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7290" w14:textId="77777777" w:rsidR="003335B0" w:rsidRDefault="003335B0" w:rsidP="003335B0">
      <w:pPr>
        <w:spacing w:beforeLines="840" w:before="2016"/>
        <w:jc w:val="center"/>
        <w:rPr>
          <w:rFonts w:ascii="Arial" w:hAnsi="Arial" w:cs="Arial"/>
          <w:b/>
          <w:sz w:val="22"/>
          <w:szCs w:val="22"/>
        </w:rPr>
      </w:pPr>
      <w:r w:rsidRPr="002A2F69">
        <w:rPr>
          <w:rFonts w:ascii="Arial" w:hAnsi="Arial" w:cs="Arial"/>
          <w:b/>
          <w:sz w:val="22"/>
          <w:szCs w:val="22"/>
        </w:rPr>
        <w:t xml:space="preserve">CONVENTION </w:t>
      </w:r>
      <w:r w:rsidRPr="00787FF0">
        <w:rPr>
          <w:rFonts w:ascii="Arial" w:hAnsi="Arial" w:cs="Arial"/>
          <w:b/>
          <w:sz w:val="22"/>
          <w:szCs w:val="22"/>
        </w:rPr>
        <w:t>POUR</w:t>
      </w:r>
      <w:r w:rsidRPr="002A2F69">
        <w:rPr>
          <w:rFonts w:ascii="Arial" w:hAnsi="Arial" w:cs="Arial"/>
          <w:b/>
          <w:sz w:val="22"/>
          <w:szCs w:val="22"/>
        </w:rPr>
        <w:t xml:space="preserve"> LA SAUVEGARDE DU</w:t>
      </w:r>
    </w:p>
    <w:p w14:paraId="27DD4C21" w14:textId="3711AE31" w:rsidR="00E9232A" w:rsidRPr="003335B0" w:rsidRDefault="003335B0" w:rsidP="003335B0">
      <w:pPr>
        <w:spacing w:afterLines="360" w:after="864"/>
        <w:jc w:val="center"/>
        <w:rPr>
          <w:rFonts w:ascii="Arial" w:hAnsi="Arial" w:cs="Arial"/>
          <w:b/>
          <w:sz w:val="22"/>
          <w:szCs w:val="22"/>
        </w:rPr>
      </w:pPr>
      <w:r w:rsidRPr="002A2F69">
        <w:rPr>
          <w:rFonts w:ascii="Arial" w:hAnsi="Arial" w:cs="Arial"/>
          <w:b/>
          <w:sz w:val="22"/>
          <w:szCs w:val="22"/>
        </w:rPr>
        <w:t>PATRIMOINE CULTUREL IMMATÉRIEL</w:t>
      </w:r>
    </w:p>
    <w:p w14:paraId="6163697E" w14:textId="77777777" w:rsidR="003335B0" w:rsidRDefault="003335B0" w:rsidP="003335B0">
      <w:pPr>
        <w:spacing w:beforeLines="840" w:before="2016"/>
        <w:jc w:val="center"/>
        <w:rPr>
          <w:rFonts w:ascii="Arial" w:eastAsia="Calibri" w:hAnsi="Arial" w:cs="Arial"/>
          <w:b/>
          <w:bCs/>
          <w:caps/>
          <w:sz w:val="22"/>
          <w:szCs w:val="22"/>
        </w:rPr>
      </w:pPr>
      <w:r w:rsidRPr="008E2BF7">
        <w:rPr>
          <w:rFonts w:ascii="Arial" w:eastAsia="Calibri" w:hAnsi="Arial" w:cs="Arial"/>
          <w:b/>
          <w:bCs/>
          <w:caps/>
          <w:sz w:val="22"/>
          <w:szCs w:val="22"/>
        </w:rPr>
        <w:t>réunion de réflexion mondiale</w:t>
      </w:r>
      <w:r w:rsidRPr="008E2BF7" w:rsidDel="00EF0BA8">
        <w:rPr>
          <w:rFonts w:ascii="Arial" w:eastAsia="Calibri" w:hAnsi="Arial" w:cs="Arial"/>
          <w:b/>
          <w:bCs/>
          <w:caps/>
          <w:sz w:val="22"/>
          <w:szCs w:val="22"/>
        </w:rPr>
        <w:t xml:space="preserve"> </w:t>
      </w:r>
    </w:p>
    <w:p w14:paraId="6FBE53E5" w14:textId="11C465A1" w:rsidR="00E9232A" w:rsidRPr="003335B0" w:rsidRDefault="003335B0" w:rsidP="003335B0">
      <w:pPr>
        <w:jc w:val="center"/>
        <w:rPr>
          <w:rFonts w:ascii="Arial" w:eastAsia="Calibri" w:hAnsi="Arial" w:cs="Arial"/>
          <w:b/>
          <w:bCs/>
          <w:caps/>
          <w:sz w:val="22"/>
          <w:szCs w:val="22"/>
        </w:rPr>
      </w:pPr>
      <w:r w:rsidRPr="008E2BF7">
        <w:rPr>
          <w:rFonts w:ascii="Arial" w:eastAsia="Calibri" w:hAnsi="Arial" w:cs="Arial"/>
          <w:b/>
          <w:bCs/>
          <w:caps/>
          <w:sz w:val="22"/>
          <w:szCs w:val="22"/>
        </w:rPr>
        <w:t>sur le</w:t>
      </w:r>
      <w:r w:rsidR="007125BA">
        <w:rPr>
          <w:rFonts w:ascii="Arial" w:eastAsia="Calibri" w:hAnsi="Arial" w:cs="Arial"/>
          <w:b/>
          <w:bCs/>
          <w:caps/>
          <w:sz w:val="22"/>
          <w:szCs w:val="22"/>
        </w:rPr>
        <w:t>S</w:t>
      </w:r>
      <w:r w:rsidRPr="008E2BF7">
        <w:rPr>
          <w:rFonts w:ascii="Arial" w:eastAsia="Calibri" w:hAnsi="Arial" w:cs="Arial"/>
          <w:b/>
          <w:bCs/>
          <w:caps/>
          <w:sz w:val="22"/>
          <w:szCs w:val="22"/>
        </w:rPr>
        <w:t xml:space="preserve"> mécanisme</w:t>
      </w:r>
      <w:r w:rsidR="007125BA">
        <w:rPr>
          <w:rFonts w:ascii="Arial" w:eastAsia="Calibri" w:hAnsi="Arial" w:cs="Arial"/>
          <w:b/>
          <w:bCs/>
          <w:caps/>
          <w:sz w:val="22"/>
          <w:szCs w:val="22"/>
        </w:rPr>
        <w:t>S</w:t>
      </w:r>
      <w:r w:rsidRPr="008E2BF7">
        <w:rPr>
          <w:rFonts w:ascii="Arial" w:eastAsia="Calibri" w:hAnsi="Arial" w:cs="Arial"/>
          <w:b/>
          <w:bCs/>
          <w:caps/>
          <w:sz w:val="22"/>
          <w:szCs w:val="22"/>
        </w:rPr>
        <w:t xml:space="preserve"> de rapports périodiques de la Convention de 2003</w:t>
      </w:r>
    </w:p>
    <w:p w14:paraId="31DE04A6" w14:textId="77777777" w:rsidR="003335B0" w:rsidRPr="00CE5E9A" w:rsidRDefault="003335B0" w:rsidP="003335B0">
      <w:pPr>
        <w:spacing w:beforeLines="800" w:before="1920"/>
        <w:jc w:val="center"/>
        <w:rPr>
          <w:rFonts w:ascii="Arial" w:eastAsia="Calibri" w:hAnsi="Arial" w:cs="Arial"/>
          <w:b/>
          <w:bCs/>
          <w:sz w:val="22"/>
          <w:szCs w:val="22"/>
        </w:rPr>
      </w:pPr>
      <w:r w:rsidRPr="00CE5E9A">
        <w:rPr>
          <w:rFonts w:ascii="Arial" w:eastAsia="Calibri" w:hAnsi="Arial" w:cs="Arial"/>
          <w:b/>
          <w:bCs/>
          <w:sz w:val="22"/>
          <w:szCs w:val="22"/>
        </w:rPr>
        <w:t xml:space="preserve">28 </w:t>
      </w:r>
      <w:r w:rsidRPr="00494F7E">
        <w:rPr>
          <w:rFonts w:ascii="Arial" w:hAnsi="Arial"/>
          <w:b/>
        </w:rPr>
        <w:t>–</w:t>
      </w:r>
      <w:r w:rsidRPr="00CE5E9A">
        <w:rPr>
          <w:rFonts w:ascii="Arial" w:eastAsia="Calibri" w:hAnsi="Arial" w:cs="Arial"/>
          <w:b/>
          <w:bCs/>
          <w:sz w:val="22"/>
          <w:szCs w:val="22"/>
        </w:rPr>
        <w:t xml:space="preserve"> 30 avril 2026</w:t>
      </w:r>
    </w:p>
    <w:p w14:paraId="2D652E25" w14:textId="77777777" w:rsidR="003335B0" w:rsidRPr="00CE5E9A" w:rsidRDefault="003335B0" w:rsidP="003335B0">
      <w:pPr>
        <w:jc w:val="center"/>
        <w:rPr>
          <w:rFonts w:ascii="Arial" w:eastAsia="Calibri" w:hAnsi="Arial" w:cs="Arial"/>
          <w:b/>
          <w:bCs/>
          <w:sz w:val="22"/>
          <w:szCs w:val="22"/>
        </w:rPr>
      </w:pPr>
      <w:r w:rsidRPr="00CE5E9A">
        <w:rPr>
          <w:rFonts w:ascii="Arial" w:eastAsia="Calibri" w:hAnsi="Arial" w:cs="Arial"/>
          <w:b/>
          <w:bCs/>
          <w:sz w:val="22"/>
          <w:szCs w:val="22"/>
        </w:rPr>
        <w:t>En ligne</w:t>
      </w:r>
    </w:p>
    <w:p w14:paraId="457EB54D" w14:textId="7BCAB39A" w:rsidR="000F1388" w:rsidRPr="003335B0" w:rsidRDefault="003335B0" w:rsidP="003335B0">
      <w:pPr>
        <w:jc w:val="center"/>
        <w:rPr>
          <w:rFonts w:ascii="Arial" w:eastAsia="Calibri" w:hAnsi="Arial" w:cs="Arial"/>
          <w:b/>
          <w:bCs/>
          <w:sz w:val="22"/>
          <w:szCs w:val="22"/>
        </w:rPr>
      </w:pPr>
      <w:r w:rsidRPr="00CE5E9A">
        <w:rPr>
          <w:rFonts w:ascii="Arial" w:eastAsia="Calibri" w:hAnsi="Arial" w:cs="Arial"/>
          <w:b/>
          <w:bCs/>
          <w:sz w:val="22"/>
          <w:szCs w:val="22"/>
        </w:rPr>
        <w:t>13h</w:t>
      </w:r>
      <w:r>
        <w:rPr>
          <w:rFonts w:ascii="Arial" w:eastAsia="Calibri" w:hAnsi="Arial" w:cs="Arial"/>
          <w:b/>
          <w:bCs/>
          <w:sz w:val="22"/>
          <w:szCs w:val="22"/>
        </w:rPr>
        <w:t>00</w:t>
      </w:r>
      <w:r w:rsidRPr="00CE5E9A">
        <w:rPr>
          <w:rFonts w:ascii="Arial" w:eastAsia="Calibri" w:hAnsi="Arial" w:cs="Arial"/>
          <w:b/>
          <w:bCs/>
          <w:sz w:val="22"/>
          <w:szCs w:val="22"/>
        </w:rPr>
        <w:t xml:space="preserve"> – 15h</w:t>
      </w:r>
      <w:r>
        <w:rPr>
          <w:rFonts w:ascii="Arial" w:eastAsia="Calibri" w:hAnsi="Arial" w:cs="Arial"/>
          <w:b/>
          <w:bCs/>
          <w:sz w:val="22"/>
          <w:szCs w:val="22"/>
        </w:rPr>
        <w:t>00</w:t>
      </w:r>
      <w:r w:rsidRPr="00CE5E9A">
        <w:rPr>
          <w:rFonts w:ascii="Arial" w:eastAsia="Calibri" w:hAnsi="Arial" w:cs="Arial"/>
          <w:b/>
          <w:bCs/>
          <w:sz w:val="22"/>
          <w:szCs w:val="22"/>
        </w:rPr>
        <w:t xml:space="preserve"> (heure de Paris /UTC/GMT+</w:t>
      </w:r>
      <w:r w:rsidR="005D1284">
        <w:rPr>
          <w:rFonts w:ascii="Arial" w:eastAsia="Calibri" w:hAnsi="Arial" w:cs="Arial"/>
          <w:b/>
          <w:bCs/>
          <w:sz w:val="22"/>
          <w:szCs w:val="22"/>
        </w:rPr>
        <w:t>2</w:t>
      </w:r>
      <w:r w:rsidR="000F1388" w:rsidRPr="003335B0">
        <w:rPr>
          <w:rFonts w:ascii="Arial" w:hAnsi="Arial" w:cs="Arial"/>
          <w:b/>
          <w:spacing w:val="-2"/>
          <w:sz w:val="22"/>
          <w:szCs w:val="22"/>
        </w:rPr>
        <w:t>)</w:t>
      </w:r>
    </w:p>
    <w:p w14:paraId="29CCEFFC" w14:textId="522A0C93" w:rsidR="000F1388" w:rsidRPr="00306FAC" w:rsidRDefault="003335B0" w:rsidP="003335B0">
      <w:pPr>
        <w:spacing w:beforeLines="840" w:before="2016" w:afterLines="360" w:after="864"/>
        <w:jc w:val="center"/>
        <w:rPr>
          <w:rFonts w:ascii="Arial" w:eastAsia="Calibri" w:hAnsi="Arial" w:cs="Arial"/>
          <w:b/>
          <w:bCs/>
          <w:sz w:val="32"/>
          <w:szCs w:val="32"/>
          <w:lang w:val="en-US"/>
        </w:rPr>
      </w:pPr>
      <w:r w:rsidRPr="003335B0">
        <w:rPr>
          <w:rFonts w:ascii="Arial" w:eastAsia="Calibri" w:hAnsi="Arial" w:cs="Arial"/>
          <w:b/>
          <w:bCs/>
          <w:sz w:val="32"/>
          <w:szCs w:val="32"/>
        </w:rPr>
        <w:t>Éléments de contexte</w:t>
      </w:r>
    </w:p>
    <w:p w14:paraId="53D6ECAB" w14:textId="6B521C2F" w:rsidR="00EF0131" w:rsidRPr="00BA15CF" w:rsidRDefault="00655736" w:rsidP="002518AC">
      <w:pPr>
        <w:spacing w:beforeLines="840" w:before="2016" w:afterLines="360" w:after="864"/>
        <w:jc w:val="center"/>
        <w:rPr>
          <w:rFonts w:ascii="Arial" w:hAnsi="Arial" w:cs="Arial"/>
          <w:b/>
          <w:snapToGrid w:val="0"/>
          <w:sz w:val="22"/>
          <w:szCs w:val="22"/>
          <w:lang w:val="en-US" w:eastAsia="en-US"/>
        </w:rPr>
      </w:pPr>
      <w:r w:rsidRPr="00BA15CF">
        <w:rPr>
          <w:lang w:val="en-US"/>
        </w:rPr>
        <w:br w:type="page"/>
      </w:r>
    </w:p>
    <w:p w14:paraId="1265572D" w14:textId="2312D835" w:rsidR="00876D8E" w:rsidRDefault="003335B0" w:rsidP="006D236D">
      <w:pPr>
        <w:pStyle w:val="COMPara"/>
        <w:numPr>
          <w:ilvl w:val="0"/>
          <w:numId w:val="5"/>
        </w:numPr>
        <w:ind w:left="360"/>
        <w:jc w:val="both"/>
        <w:rPr>
          <w:b/>
          <w:bCs/>
          <w:color w:val="000000" w:themeColor="text1"/>
        </w:rPr>
      </w:pPr>
      <w:r>
        <w:rPr>
          <w:b/>
          <w:bCs/>
          <w:color w:val="000000" w:themeColor="text1"/>
        </w:rPr>
        <w:lastRenderedPageBreak/>
        <w:t>Contexte</w:t>
      </w:r>
    </w:p>
    <w:p w14:paraId="1BF5FBA7" w14:textId="1F6DE657" w:rsidR="008515D8" w:rsidRPr="003335B0" w:rsidRDefault="003335B0" w:rsidP="003335B0">
      <w:pPr>
        <w:pStyle w:val="COMPara"/>
        <w:ind w:left="360"/>
        <w:jc w:val="both"/>
        <w:rPr>
          <w:rFonts w:asciiTheme="minorBidi" w:hAnsiTheme="minorBidi" w:cstheme="minorBidi"/>
          <w:lang w:val="fr-FR"/>
        </w:rPr>
      </w:pPr>
      <w:r w:rsidRPr="003335B0">
        <w:rPr>
          <w:lang w:val="fr-FR"/>
        </w:rPr>
        <w:t>Conformément à l’article 29 de la Convention de 2003 et au chapitre V des Directives opérationnelles en vigueur, les États parties soumettent leurs rapports périodiques : (i) sur la mise en œuvre de la Convention au niveau national et sur l’état des éléments inscrits sur la Liste représentative du patrimoine culturel immatériel de l’humanité (ci-après, la Liste représentative), et, séparément ; (ii) sur l’état des éléments inscrits sur la Liste du patrimoine culturel immatériel nécessitant une sauvegarde urgente (ci-après, la Liste de sauvegarde urgente).</w:t>
      </w:r>
    </w:p>
    <w:p w14:paraId="6217FEE1" w14:textId="3BB091FB" w:rsidR="00F3290C" w:rsidRPr="00816EBC" w:rsidRDefault="00816EBC" w:rsidP="00C04849">
      <w:pPr>
        <w:pStyle w:val="COMPara"/>
        <w:ind w:left="360"/>
        <w:jc w:val="both"/>
        <w:rPr>
          <w:rFonts w:asciiTheme="minorBidi" w:hAnsiTheme="minorBidi" w:cstheme="minorBidi"/>
          <w:lang w:val="fr-FR"/>
        </w:rPr>
      </w:pPr>
      <w:r w:rsidRPr="00816EBC">
        <w:rPr>
          <w:lang w:val="fr-FR"/>
        </w:rPr>
        <w:t>Le</w:t>
      </w:r>
      <w:r w:rsidR="00C04849">
        <w:rPr>
          <w:lang w:val="fr-FR"/>
        </w:rPr>
        <w:t>s</w:t>
      </w:r>
      <w:r w:rsidRPr="00816EBC">
        <w:rPr>
          <w:lang w:val="fr-FR"/>
        </w:rPr>
        <w:t xml:space="preserve"> rapport</w:t>
      </w:r>
      <w:r w:rsidR="00C04849">
        <w:rPr>
          <w:lang w:val="fr-FR"/>
        </w:rPr>
        <w:t>s</w:t>
      </w:r>
      <w:r w:rsidRPr="00816EBC">
        <w:rPr>
          <w:lang w:val="fr-FR"/>
        </w:rPr>
        <w:t xml:space="preserve"> périodique</w:t>
      </w:r>
      <w:r w:rsidR="00C04849">
        <w:rPr>
          <w:lang w:val="fr-FR"/>
        </w:rPr>
        <w:t>s</w:t>
      </w:r>
      <w:r w:rsidRPr="00816EBC">
        <w:rPr>
          <w:lang w:val="fr-FR"/>
        </w:rPr>
        <w:t xml:space="preserve"> de la Convention de 2003 </w:t>
      </w:r>
      <w:r w:rsidR="00C04849">
        <w:rPr>
          <w:lang w:val="fr-FR"/>
        </w:rPr>
        <w:t>ont</w:t>
      </w:r>
      <w:r w:rsidRPr="00816EBC">
        <w:rPr>
          <w:lang w:val="fr-FR"/>
        </w:rPr>
        <w:t xml:space="preserve"> été réformé</w:t>
      </w:r>
      <w:r w:rsidR="00C04849">
        <w:rPr>
          <w:lang w:val="fr-FR"/>
        </w:rPr>
        <w:t>s</w:t>
      </w:r>
      <w:r w:rsidRPr="00816EBC">
        <w:rPr>
          <w:lang w:val="fr-FR"/>
        </w:rPr>
        <w:t xml:space="preserve"> en 2017 afin d’en améliorer la qualité, l’utilité et l’opportunité, ainsi que pour remédier au faible taux de soumission</w:t>
      </w:r>
      <w:r w:rsidR="00F3290C" w:rsidRPr="00816EBC">
        <w:rPr>
          <w:rFonts w:asciiTheme="minorBidi" w:hAnsiTheme="minorBidi" w:cstheme="minorBidi"/>
          <w:lang w:val="fr-FR"/>
        </w:rPr>
        <w:t xml:space="preserve">, </w:t>
      </w:r>
      <w:r w:rsidRPr="00816EBC">
        <w:rPr>
          <w:rFonts w:asciiTheme="minorBidi" w:hAnsiTheme="minorBidi" w:cstheme="minorBidi"/>
          <w:lang w:val="fr-FR"/>
        </w:rPr>
        <w:t xml:space="preserve">à la suite de la décision prise lors de la douzième session du Comité en 2017 </w:t>
      </w:r>
      <w:r w:rsidR="00F3290C" w:rsidRPr="00816EBC">
        <w:rPr>
          <w:rFonts w:asciiTheme="minorBidi" w:hAnsiTheme="minorBidi" w:cstheme="minorBidi"/>
          <w:lang w:val="fr-FR"/>
        </w:rPr>
        <w:t>(</w:t>
      </w:r>
      <w:r w:rsidR="00C04849" w:rsidRPr="00C04849">
        <w:rPr>
          <w:lang w:val="fr-FR"/>
        </w:rPr>
        <w:t xml:space="preserve">Décision </w:t>
      </w:r>
      <w:hyperlink r:id="rId8" w:history="1">
        <w:r w:rsidR="00C04849" w:rsidRPr="00C04849">
          <w:rPr>
            <w:rStyle w:val="Hyperlink"/>
            <w:lang w:val="fr-FR"/>
          </w:rPr>
          <w:t>12.COM 10</w:t>
        </w:r>
      </w:hyperlink>
      <w:r w:rsidR="00F3290C" w:rsidRPr="00816EBC">
        <w:rPr>
          <w:rFonts w:asciiTheme="minorBidi" w:hAnsiTheme="minorBidi" w:cstheme="minorBidi"/>
          <w:lang w:val="fr-FR"/>
        </w:rPr>
        <w:t xml:space="preserve">). </w:t>
      </w:r>
      <w:r w:rsidRPr="00816EBC">
        <w:rPr>
          <w:lang w:val="fr-FR"/>
        </w:rPr>
        <w:t xml:space="preserve">Le mécanisme a été aligné sur le </w:t>
      </w:r>
      <w:hyperlink r:id="rId9" w:history="1">
        <w:r w:rsidRPr="00816EBC">
          <w:rPr>
            <w:rStyle w:val="Hyperlink"/>
            <w:lang w:val="fr-FR"/>
          </w:rPr>
          <w:t>Cadre global des résultats</w:t>
        </w:r>
      </w:hyperlink>
      <w:r w:rsidRPr="00816EBC">
        <w:rPr>
          <w:lang w:val="fr-FR"/>
        </w:rPr>
        <w:t xml:space="preserve"> de la Convention afin de garantir la cohérence du processus avec les objectifs généraux de la Convention et permettre un suivi plus efficace pour atteindre ces objectifs (Résolution </w:t>
      </w:r>
      <w:hyperlink r:id="rId10" w:history="1">
        <w:r w:rsidRPr="00816EBC">
          <w:rPr>
            <w:rStyle w:val="Hyperlink"/>
            <w:lang w:val="fr-FR"/>
          </w:rPr>
          <w:t>7.GA 9</w:t>
        </w:r>
      </w:hyperlink>
      <w:r w:rsidRPr="00816EBC">
        <w:rPr>
          <w:lang w:val="fr-FR"/>
        </w:rPr>
        <w:t xml:space="preserve"> </w:t>
      </w:r>
      <w:r>
        <w:rPr>
          <w:lang w:val="fr-FR"/>
        </w:rPr>
        <w:t xml:space="preserve">et </w:t>
      </w:r>
      <w:r w:rsidRPr="00816EBC">
        <w:rPr>
          <w:lang w:val="fr-FR"/>
        </w:rPr>
        <w:t>Décision</w:t>
      </w:r>
      <w:r>
        <w:rPr>
          <w:lang w:val="fr-FR"/>
        </w:rPr>
        <w:t xml:space="preserve"> </w:t>
      </w:r>
      <w:hyperlink r:id="rId11" w:history="1">
        <w:r w:rsidRPr="00816EBC">
          <w:rPr>
            <w:rStyle w:val="Hyperlink"/>
            <w:lang w:val="fr-FR"/>
          </w:rPr>
          <w:t>14.COM 8</w:t>
        </w:r>
      </w:hyperlink>
      <w:r w:rsidRPr="00816EBC">
        <w:rPr>
          <w:lang w:val="fr-FR"/>
        </w:rPr>
        <w:t>)</w:t>
      </w:r>
      <w:r w:rsidR="00F3290C" w:rsidRPr="00816EBC">
        <w:rPr>
          <w:rFonts w:asciiTheme="minorBidi" w:hAnsiTheme="minorBidi" w:cstheme="minorBidi"/>
          <w:lang w:val="fr-FR"/>
        </w:rPr>
        <w:t xml:space="preserve">. </w:t>
      </w:r>
      <w:r w:rsidRPr="00816EBC">
        <w:rPr>
          <w:rFonts w:asciiTheme="minorBidi" w:hAnsiTheme="minorBidi" w:cstheme="minorBidi"/>
          <w:lang w:val="fr-FR"/>
        </w:rPr>
        <w:t>Ces réformes ont porté sur le processus de rapport relatif à la mise en œuvre de la Convention et à l’état actuel des éléments inscrits sur la Liste représentative (</w:t>
      </w:r>
      <w:r>
        <w:rPr>
          <w:rFonts w:asciiTheme="minorBidi" w:hAnsiTheme="minorBidi" w:cstheme="minorBidi"/>
          <w:lang w:val="fr-FR"/>
        </w:rPr>
        <w:t>la soumission</w:t>
      </w:r>
      <w:r w:rsidRPr="00816EBC">
        <w:rPr>
          <w:rFonts w:asciiTheme="minorBidi" w:hAnsiTheme="minorBidi" w:cstheme="minorBidi"/>
          <w:lang w:val="fr-FR"/>
        </w:rPr>
        <w:t xml:space="preserve"> de rapports sur les éléments inscrits sur la Liste de sauvegarde urgente n’a pas été concerné par la réforme, tandis que le Registre de bonnes pratiques de sauvegarde</w:t>
      </w:r>
      <w:r>
        <w:rPr>
          <w:rFonts w:asciiTheme="minorBidi" w:hAnsiTheme="minorBidi" w:cstheme="minorBidi"/>
          <w:lang w:val="fr-FR"/>
        </w:rPr>
        <w:t xml:space="preserve"> </w:t>
      </w:r>
      <w:r w:rsidRPr="00816EBC">
        <w:rPr>
          <w:rFonts w:asciiTheme="minorBidi" w:hAnsiTheme="minorBidi" w:cstheme="minorBidi"/>
          <w:lang w:val="fr-FR"/>
        </w:rPr>
        <w:t xml:space="preserve">n’a jamais fait l’objet d’un </w:t>
      </w:r>
      <w:r>
        <w:rPr>
          <w:rFonts w:asciiTheme="minorBidi" w:hAnsiTheme="minorBidi" w:cstheme="minorBidi"/>
          <w:lang w:val="fr-FR"/>
        </w:rPr>
        <w:t>mécanisme</w:t>
      </w:r>
      <w:r w:rsidRPr="00816EBC">
        <w:rPr>
          <w:rFonts w:asciiTheme="minorBidi" w:hAnsiTheme="minorBidi" w:cstheme="minorBidi"/>
          <w:lang w:val="fr-FR"/>
        </w:rPr>
        <w:t xml:space="preserve"> de rapport).</w:t>
      </w:r>
    </w:p>
    <w:p w14:paraId="2900DD4F" w14:textId="044C81CF" w:rsidR="00CC637C" w:rsidRPr="001E317D" w:rsidRDefault="00816EBC" w:rsidP="001E2D7E">
      <w:pPr>
        <w:pStyle w:val="COMPara"/>
        <w:ind w:left="360"/>
        <w:jc w:val="both"/>
        <w:rPr>
          <w:lang w:val="fr-FR"/>
        </w:rPr>
      </w:pPr>
      <w:r w:rsidRPr="00816EBC">
        <w:rPr>
          <w:rFonts w:asciiTheme="minorBidi" w:hAnsiTheme="minorBidi" w:cstheme="minorBidi"/>
          <w:lang w:val="fr-FR"/>
        </w:rPr>
        <w:t xml:space="preserve">La périodicité du processus de rapport </w:t>
      </w:r>
      <w:r>
        <w:rPr>
          <w:rFonts w:asciiTheme="minorBidi" w:hAnsiTheme="minorBidi" w:cstheme="minorBidi"/>
          <w:lang w:val="fr-FR"/>
        </w:rPr>
        <w:t xml:space="preserve">périodique </w:t>
      </w:r>
      <w:r w:rsidRPr="00816EBC">
        <w:rPr>
          <w:rFonts w:asciiTheme="minorBidi" w:hAnsiTheme="minorBidi" w:cstheme="minorBidi"/>
          <w:lang w:val="fr-FR"/>
        </w:rPr>
        <w:t xml:space="preserve">a également été modifiée, de sorte que les États parties soumettent leurs rapports tous les six </w:t>
      </w:r>
      <w:r w:rsidRPr="001E317D">
        <w:rPr>
          <w:rFonts w:asciiTheme="minorBidi" w:hAnsiTheme="minorBidi" w:cstheme="minorBidi"/>
          <w:lang w:val="fr-FR"/>
        </w:rPr>
        <w:t xml:space="preserve">ans sur la base d’un système de rotation régionale (Décision </w:t>
      </w:r>
      <w:hyperlink r:id="rId12" w:history="1">
        <w:r w:rsidRPr="001E317D">
          <w:rPr>
            <w:rStyle w:val="Hyperlink"/>
            <w:rFonts w:asciiTheme="minorBidi" w:hAnsiTheme="minorBidi" w:cstheme="minorBidi"/>
            <w:lang w:val="fr-FR"/>
          </w:rPr>
          <w:t>13.COM 8</w:t>
        </w:r>
      </w:hyperlink>
      <w:r w:rsidRPr="001E317D">
        <w:rPr>
          <w:rFonts w:asciiTheme="minorBidi" w:hAnsiTheme="minorBidi" w:cstheme="minorBidi"/>
          <w:lang w:val="fr-FR"/>
        </w:rPr>
        <w:t>).</w:t>
      </w:r>
      <w:r w:rsidR="00B23498" w:rsidRPr="001E317D">
        <w:rPr>
          <w:rFonts w:asciiTheme="minorBidi" w:hAnsiTheme="minorBidi" w:cstheme="minorBidi"/>
          <w:lang w:val="fr-FR"/>
        </w:rPr>
        <w:t xml:space="preserve"> </w:t>
      </w:r>
      <w:r w:rsidR="001E2D7E" w:rsidRPr="001E317D">
        <w:rPr>
          <w:lang w:val="fr-FR"/>
        </w:rPr>
        <w:t>L’approche régionale adoptée a permis d’améliorer de manière significative l’opportunité et le taux de soumission des rapports, tout en renforçant le développement des capacités</w:t>
      </w:r>
      <w:r w:rsidR="001F1CE7" w:rsidRPr="001E317D">
        <w:rPr>
          <w:lang w:val="fr-FR"/>
        </w:rPr>
        <w:t xml:space="preserve"> et</w:t>
      </w:r>
      <w:r w:rsidR="001E2D7E" w:rsidRPr="001E317D">
        <w:rPr>
          <w:lang w:val="fr-FR"/>
        </w:rPr>
        <w:t xml:space="preserve"> l’apprentissage entre pairs</w:t>
      </w:r>
      <w:r w:rsidR="001F1CE7" w:rsidRPr="001E317D">
        <w:rPr>
          <w:lang w:val="fr-FR"/>
        </w:rPr>
        <w:t>.</w:t>
      </w:r>
      <w:r w:rsidR="001E2D7E" w:rsidRPr="001E317D">
        <w:rPr>
          <w:lang w:val="fr-FR"/>
        </w:rPr>
        <w:t xml:space="preserve"> </w:t>
      </w:r>
      <w:r w:rsidR="001F1CE7" w:rsidRPr="001E317D">
        <w:rPr>
          <w:lang w:val="fr-FR"/>
        </w:rPr>
        <w:t>Le premier cycle régional de rapport a également permis l’analyse régionale des principales tendances</w:t>
      </w:r>
      <w:r w:rsidR="001E2D7E" w:rsidRPr="001E317D">
        <w:rPr>
          <w:lang w:val="fr-FR"/>
        </w:rPr>
        <w:t>.</w:t>
      </w:r>
      <w:r w:rsidR="00CC637C" w:rsidRPr="001E317D">
        <w:rPr>
          <w:lang w:val="fr-FR"/>
        </w:rPr>
        <w:t xml:space="preserve"> </w:t>
      </w:r>
      <w:r w:rsidR="001E2D7E" w:rsidRPr="001E317D">
        <w:rPr>
          <w:lang w:val="fr-FR"/>
        </w:rPr>
        <w:t>Par ailleurs</w:t>
      </w:r>
      <w:r w:rsidR="00CC637C" w:rsidRPr="001E317D">
        <w:rPr>
          <w:lang w:val="fr-FR"/>
        </w:rPr>
        <w:t xml:space="preserve">, </w:t>
      </w:r>
      <w:r w:rsidR="001E2D7E" w:rsidRPr="001E317D">
        <w:rPr>
          <w:lang w:val="fr-FR"/>
        </w:rPr>
        <w:t xml:space="preserve">l’exercice de rapports périodiques est de plus en plus lié à d’autres mécanismes de coopération internationale </w:t>
      </w:r>
      <w:r w:rsidR="00D755DF" w:rsidRPr="001E317D">
        <w:rPr>
          <w:lang w:val="fr-FR"/>
        </w:rPr>
        <w:t>de</w:t>
      </w:r>
      <w:r w:rsidR="001E2D7E" w:rsidRPr="001E317D">
        <w:rPr>
          <w:lang w:val="fr-FR"/>
        </w:rPr>
        <w:t xml:space="preserve"> la Convention</w:t>
      </w:r>
      <w:r w:rsidR="00CC637C" w:rsidRPr="001E317D">
        <w:rPr>
          <w:lang w:val="fr-FR"/>
        </w:rPr>
        <w:t xml:space="preserve">, </w:t>
      </w:r>
      <w:r w:rsidR="001E2D7E" w:rsidRPr="001E317D">
        <w:rPr>
          <w:lang w:val="fr-FR"/>
        </w:rPr>
        <w:t>contribuant à éclairer les processus d’évaluation et de soumission de candidatures, ainsi qu’à définir les priorités en matière d’</w:t>
      </w:r>
      <w:r w:rsidR="00D755DF" w:rsidRPr="001E317D">
        <w:rPr>
          <w:lang w:val="fr-FR"/>
        </w:rPr>
        <w:t>A</w:t>
      </w:r>
      <w:r w:rsidR="001E2D7E" w:rsidRPr="001E317D">
        <w:rPr>
          <w:lang w:val="fr-FR"/>
        </w:rPr>
        <w:t>ssistance internationale et de mesures de sauvegarde ciblées</w:t>
      </w:r>
      <w:r w:rsidR="00CC637C" w:rsidRPr="001E317D">
        <w:rPr>
          <w:lang w:val="fr-FR"/>
        </w:rPr>
        <w:t>.</w:t>
      </w:r>
    </w:p>
    <w:p w14:paraId="7B308A63" w14:textId="2327C1A2" w:rsidR="00A94CB9" w:rsidRPr="001E317D" w:rsidRDefault="001E2D7E" w:rsidP="001E2D7E">
      <w:pPr>
        <w:pStyle w:val="COMPara"/>
        <w:ind w:left="360"/>
        <w:jc w:val="both"/>
        <w:rPr>
          <w:rFonts w:asciiTheme="minorBidi" w:hAnsiTheme="minorBidi" w:cstheme="minorBidi"/>
          <w:lang w:val="fr-FR"/>
        </w:rPr>
      </w:pPr>
      <w:r w:rsidRPr="001E317D">
        <w:rPr>
          <w:rFonts w:asciiTheme="minorBidi" w:hAnsiTheme="minorBidi" w:cstheme="minorBidi"/>
          <w:lang w:val="fr-FR"/>
        </w:rPr>
        <w:t xml:space="preserve">Le calendrier du premier cycle de rapport a été défini comme suit – les taux de soumission par région sont également indiqués </w:t>
      </w:r>
      <w:r w:rsidR="00B23498" w:rsidRPr="001E317D">
        <w:rPr>
          <w:rFonts w:asciiTheme="minorBidi" w:hAnsiTheme="minorBidi" w:cstheme="minorBidi"/>
          <w:lang w:val="fr-FR"/>
        </w:rPr>
        <w:t>:</w:t>
      </w:r>
    </w:p>
    <w:p w14:paraId="1039F792" w14:textId="5B661E9F" w:rsidR="00A94CB9" w:rsidRPr="001E317D" w:rsidRDefault="001E2D7E" w:rsidP="006D236D">
      <w:pPr>
        <w:pStyle w:val="Sansinterligne2"/>
        <w:numPr>
          <w:ilvl w:val="0"/>
          <w:numId w:val="6"/>
        </w:numPr>
        <w:spacing w:after="120"/>
        <w:ind w:left="1134" w:hanging="567"/>
        <w:jc w:val="both"/>
        <w:rPr>
          <w:rFonts w:asciiTheme="minorBidi" w:hAnsiTheme="minorBidi" w:cstheme="minorBidi"/>
          <w:sz w:val="22"/>
          <w:szCs w:val="22"/>
        </w:rPr>
      </w:pPr>
      <w:r w:rsidRPr="001E317D">
        <w:rPr>
          <w:rFonts w:asciiTheme="minorBidi" w:hAnsiTheme="minorBidi" w:cstheme="minorBidi"/>
          <w:b/>
          <w:bCs/>
          <w:sz w:val="22"/>
          <w:szCs w:val="22"/>
        </w:rPr>
        <w:t>Amérique latine et Caraïbes</w:t>
      </w:r>
      <w:r w:rsidRPr="001E317D">
        <w:rPr>
          <w:rFonts w:asciiTheme="minorBidi" w:hAnsiTheme="minorBidi" w:cstheme="minorBidi"/>
          <w:sz w:val="22"/>
          <w:szCs w:val="22"/>
        </w:rPr>
        <w:t xml:space="preserve"> (cycle 2021) : rapports périodiques soumis au 15</w:t>
      </w:r>
      <w:r w:rsidR="004F1D75">
        <w:rPr>
          <w:rFonts w:asciiTheme="minorBidi" w:hAnsiTheme="minorBidi" w:cstheme="minorBidi"/>
          <w:sz w:val="22"/>
          <w:szCs w:val="22"/>
        </w:rPr>
        <w:t> </w:t>
      </w:r>
      <w:r w:rsidRPr="001E317D">
        <w:rPr>
          <w:rFonts w:asciiTheme="minorBidi" w:hAnsiTheme="minorBidi" w:cstheme="minorBidi"/>
          <w:sz w:val="22"/>
          <w:szCs w:val="22"/>
        </w:rPr>
        <w:t>décembre 2020 pour examen par le Comité lors de sa seizième session en 2021 ; vingt-huit États parties sur trente-deux (87,5 pour cent) ont soumis leur rapport</w:t>
      </w:r>
      <w:r w:rsidR="00A94CB9" w:rsidRPr="001E317D">
        <w:rPr>
          <w:rFonts w:asciiTheme="minorBidi" w:hAnsiTheme="minorBidi" w:cstheme="minorBidi"/>
          <w:sz w:val="22"/>
          <w:szCs w:val="22"/>
        </w:rPr>
        <w:t>.</w:t>
      </w:r>
    </w:p>
    <w:p w14:paraId="1ADB5C68" w14:textId="76A01D27" w:rsidR="00A94CB9" w:rsidRPr="001E317D" w:rsidRDefault="001E2D7E" w:rsidP="006D236D">
      <w:pPr>
        <w:pStyle w:val="Sansinterligne2"/>
        <w:numPr>
          <w:ilvl w:val="0"/>
          <w:numId w:val="6"/>
        </w:numPr>
        <w:spacing w:after="120"/>
        <w:ind w:left="1134" w:hanging="567"/>
        <w:jc w:val="both"/>
        <w:rPr>
          <w:rFonts w:asciiTheme="minorBidi" w:hAnsiTheme="minorBidi" w:cstheme="minorBidi"/>
          <w:sz w:val="22"/>
          <w:szCs w:val="22"/>
        </w:rPr>
      </w:pPr>
      <w:r w:rsidRPr="001E317D">
        <w:rPr>
          <w:rFonts w:asciiTheme="minorBidi" w:hAnsiTheme="minorBidi" w:cstheme="minorBidi"/>
          <w:b/>
          <w:bCs/>
          <w:sz w:val="22"/>
          <w:szCs w:val="22"/>
        </w:rPr>
        <w:t>Europe</w:t>
      </w:r>
      <w:r w:rsidRPr="001E317D">
        <w:rPr>
          <w:rFonts w:asciiTheme="minorBidi" w:hAnsiTheme="minorBidi" w:cstheme="minorBidi"/>
          <w:sz w:val="22"/>
          <w:szCs w:val="22"/>
        </w:rPr>
        <w:t xml:space="preserve"> (cycle 2022) : rapports périodiques soumis au 15 décembre 2021 pour examen par le Comité lors de sa dix-septième session en 2022 ; quarante-quatre États parties en Europe (100 pour cent) ont soumis leur rapport</w:t>
      </w:r>
      <w:r w:rsidR="00A94CB9" w:rsidRPr="001E317D">
        <w:rPr>
          <w:rFonts w:asciiTheme="minorBidi" w:hAnsiTheme="minorBidi" w:cstheme="minorBidi"/>
          <w:sz w:val="22"/>
          <w:szCs w:val="22"/>
        </w:rPr>
        <w:t>.</w:t>
      </w:r>
    </w:p>
    <w:p w14:paraId="6C74B661" w14:textId="1D5D4565" w:rsidR="00A94CB9" w:rsidRPr="001E317D" w:rsidRDefault="001E2D7E" w:rsidP="006D236D">
      <w:pPr>
        <w:pStyle w:val="Sansinterligne2"/>
        <w:numPr>
          <w:ilvl w:val="0"/>
          <w:numId w:val="6"/>
        </w:numPr>
        <w:spacing w:after="120"/>
        <w:ind w:left="1134" w:hanging="567"/>
        <w:jc w:val="both"/>
        <w:rPr>
          <w:rFonts w:asciiTheme="minorBidi" w:hAnsiTheme="minorBidi" w:cstheme="minorBidi"/>
          <w:sz w:val="22"/>
          <w:szCs w:val="22"/>
        </w:rPr>
      </w:pPr>
      <w:r w:rsidRPr="001E317D">
        <w:rPr>
          <w:rFonts w:asciiTheme="minorBidi" w:hAnsiTheme="minorBidi" w:cstheme="minorBidi"/>
          <w:b/>
          <w:bCs/>
          <w:sz w:val="22"/>
          <w:szCs w:val="22"/>
        </w:rPr>
        <w:t>États arabes</w:t>
      </w:r>
      <w:r w:rsidRPr="001E317D">
        <w:rPr>
          <w:rFonts w:asciiTheme="minorBidi" w:hAnsiTheme="minorBidi" w:cstheme="minorBidi"/>
          <w:sz w:val="22"/>
          <w:szCs w:val="22"/>
        </w:rPr>
        <w:t xml:space="preserve"> (cycle 2023) : rapports périodiques soumis au 15 décembre 2022 pour examen par le Comité lors de sa dix-huitième session en 2023 ; les dix-huit États arabes parties à la Convention au moment de l’établissement des rapports (100 pour cent) ont soumis leur rapport</w:t>
      </w:r>
      <w:r w:rsidR="00A94CB9" w:rsidRPr="001E317D">
        <w:rPr>
          <w:rFonts w:asciiTheme="minorBidi" w:hAnsiTheme="minorBidi" w:cstheme="minorBidi"/>
          <w:sz w:val="22"/>
          <w:szCs w:val="22"/>
        </w:rPr>
        <w:t>.</w:t>
      </w:r>
    </w:p>
    <w:p w14:paraId="548594B5" w14:textId="11C3875E" w:rsidR="00A94CB9" w:rsidRPr="001E317D" w:rsidRDefault="00F86CB9" w:rsidP="006D236D">
      <w:pPr>
        <w:pStyle w:val="Sansinterligne2"/>
        <w:numPr>
          <w:ilvl w:val="0"/>
          <w:numId w:val="6"/>
        </w:numPr>
        <w:spacing w:after="120"/>
        <w:ind w:left="1134" w:hanging="567"/>
        <w:jc w:val="both"/>
        <w:rPr>
          <w:rFonts w:asciiTheme="minorBidi" w:hAnsiTheme="minorBidi" w:cstheme="minorBidi"/>
          <w:sz w:val="22"/>
          <w:szCs w:val="22"/>
        </w:rPr>
      </w:pPr>
      <w:r w:rsidRPr="001E317D">
        <w:rPr>
          <w:rFonts w:asciiTheme="minorBidi" w:hAnsiTheme="minorBidi" w:cstheme="minorBidi"/>
          <w:b/>
          <w:bCs/>
          <w:sz w:val="22"/>
          <w:szCs w:val="22"/>
        </w:rPr>
        <w:t>Afrique</w:t>
      </w:r>
      <w:r w:rsidRPr="001E317D">
        <w:rPr>
          <w:rFonts w:asciiTheme="minorBidi" w:hAnsiTheme="minorBidi" w:cstheme="minorBidi"/>
          <w:sz w:val="22"/>
          <w:szCs w:val="22"/>
        </w:rPr>
        <w:t xml:space="preserve"> (cycle 2024) : rapports périodiques soumis au 15 décembre 2023 pour examen par le Comité lors de sa dix-neuvième session en 2024 ; les quarante-quatre États d’Afrique parties à la Convention au moment de l’établissement des rapports (100 pour cent) ont soumis leur rapport</w:t>
      </w:r>
      <w:r w:rsidR="00A94CB9" w:rsidRPr="001E317D">
        <w:rPr>
          <w:rFonts w:asciiTheme="minorBidi" w:hAnsiTheme="minorBidi" w:cstheme="minorBidi"/>
          <w:sz w:val="22"/>
          <w:szCs w:val="22"/>
        </w:rPr>
        <w:t>.</w:t>
      </w:r>
    </w:p>
    <w:p w14:paraId="23B7A240" w14:textId="7A32EF5C" w:rsidR="00B23498" w:rsidRPr="001E317D" w:rsidRDefault="000E07B3" w:rsidP="006D236D">
      <w:pPr>
        <w:pStyle w:val="Sansinterligne2"/>
        <w:numPr>
          <w:ilvl w:val="0"/>
          <w:numId w:val="6"/>
        </w:numPr>
        <w:spacing w:after="120"/>
        <w:ind w:left="1134" w:hanging="567"/>
        <w:jc w:val="both"/>
        <w:rPr>
          <w:rFonts w:asciiTheme="minorBidi" w:hAnsiTheme="minorBidi" w:cstheme="minorBidi"/>
          <w:sz w:val="22"/>
          <w:szCs w:val="22"/>
        </w:rPr>
      </w:pPr>
      <w:r w:rsidRPr="001E317D">
        <w:rPr>
          <w:rFonts w:asciiTheme="minorBidi" w:hAnsiTheme="minorBidi" w:cstheme="minorBidi"/>
          <w:b/>
          <w:bCs/>
          <w:sz w:val="22"/>
          <w:szCs w:val="22"/>
        </w:rPr>
        <w:t>Asie et Pacifique</w:t>
      </w:r>
      <w:r w:rsidRPr="001E317D">
        <w:rPr>
          <w:rFonts w:asciiTheme="minorBidi" w:hAnsiTheme="minorBidi" w:cstheme="minorBidi"/>
          <w:sz w:val="22"/>
          <w:szCs w:val="22"/>
        </w:rPr>
        <w:t xml:space="preserve"> (cycle 2025) : rapports périodiques soumis au 15 décembre 2024 pour examen par le Comité lors de sa vingtième session en 2025 ; trente-huit États parties sur quarante-deux (90,</w:t>
      </w:r>
      <w:r w:rsidR="00C04849" w:rsidRPr="001E317D">
        <w:rPr>
          <w:rFonts w:asciiTheme="minorBidi" w:hAnsiTheme="minorBidi" w:cstheme="minorBidi"/>
          <w:sz w:val="22"/>
          <w:szCs w:val="22"/>
        </w:rPr>
        <w:t>5</w:t>
      </w:r>
      <w:r w:rsidRPr="001E317D">
        <w:rPr>
          <w:rFonts w:asciiTheme="minorBidi" w:hAnsiTheme="minorBidi" w:cstheme="minorBidi"/>
          <w:sz w:val="22"/>
          <w:szCs w:val="22"/>
        </w:rPr>
        <w:t xml:space="preserve"> pour cent) ont soumis leur rapport</w:t>
      </w:r>
      <w:r w:rsidR="00A94CB9" w:rsidRPr="001E317D">
        <w:rPr>
          <w:rFonts w:asciiTheme="minorBidi" w:hAnsiTheme="minorBidi" w:cstheme="minorBidi"/>
          <w:sz w:val="22"/>
          <w:szCs w:val="22"/>
        </w:rPr>
        <w:t>.</w:t>
      </w:r>
    </w:p>
    <w:p w14:paraId="57AF5141" w14:textId="796B7BFB" w:rsidR="00752298" w:rsidRPr="001E317D" w:rsidRDefault="00D6174A" w:rsidP="006D236D">
      <w:pPr>
        <w:pStyle w:val="COMPara"/>
        <w:numPr>
          <w:ilvl w:val="0"/>
          <w:numId w:val="5"/>
        </w:numPr>
        <w:spacing w:before="120"/>
        <w:ind w:left="357" w:hanging="357"/>
        <w:jc w:val="both"/>
        <w:rPr>
          <w:b/>
          <w:bCs/>
          <w:color w:val="000000" w:themeColor="text1"/>
          <w:lang w:val="fr-FR"/>
        </w:rPr>
      </w:pPr>
      <w:r w:rsidRPr="001E317D">
        <w:rPr>
          <w:b/>
          <w:bCs/>
          <w:color w:val="000000" w:themeColor="text1"/>
          <w:lang w:val="fr-FR"/>
        </w:rPr>
        <w:t>V</w:t>
      </w:r>
      <w:r w:rsidR="008A57E6" w:rsidRPr="001E317D">
        <w:rPr>
          <w:b/>
          <w:bCs/>
          <w:color w:val="000000" w:themeColor="text1"/>
          <w:lang w:val="fr-FR"/>
        </w:rPr>
        <w:t xml:space="preserve">ers un système de soumission unique à l’échelle mondiale </w:t>
      </w:r>
      <w:r w:rsidR="000D24E7" w:rsidRPr="001E317D">
        <w:rPr>
          <w:b/>
          <w:bCs/>
          <w:color w:val="000000" w:themeColor="text1"/>
          <w:lang w:val="fr-FR"/>
        </w:rPr>
        <w:t xml:space="preserve">: </w:t>
      </w:r>
      <w:r w:rsidR="008A57E6" w:rsidRPr="001E317D">
        <w:rPr>
          <w:b/>
          <w:bCs/>
          <w:color w:val="000000" w:themeColor="text1"/>
          <w:lang w:val="fr-FR"/>
        </w:rPr>
        <w:t>calendrier</w:t>
      </w:r>
      <w:r w:rsidR="000D24E7" w:rsidRPr="001E317D">
        <w:rPr>
          <w:b/>
          <w:bCs/>
          <w:color w:val="000000" w:themeColor="text1"/>
          <w:lang w:val="fr-FR"/>
        </w:rPr>
        <w:t xml:space="preserve"> </w:t>
      </w:r>
      <w:r w:rsidR="008A57E6" w:rsidRPr="001E317D">
        <w:rPr>
          <w:b/>
          <w:bCs/>
          <w:color w:val="000000" w:themeColor="text1"/>
          <w:lang w:val="fr-FR"/>
        </w:rPr>
        <w:t>et</w:t>
      </w:r>
      <w:r w:rsidR="000D24E7" w:rsidRPr="001E317D">
        <w:rPr>
          <w:b/>
          <w:bCs/>
          <w:color w:val="000000" w:themeColor="text1"/>
          <w:lang w:val="fr-FR"/>
        </w:rPr>
        <w:t xml:space="preserve"> </w:t>
      </w:r>
      <w:r w:rsidR="008A57E6" w:rsidRPr="001E317D">
        <w:rPr>
          <w:b/>
          <w:bCs/>
          <w:color w:val="000000" w:themeColor="text1"/>
          <w:lang w:val="fr-FR"/>
        </w:rPr>
        <w:t>étapes clés</w:t>
      </w:r>
    </w:p>
    <w:p w14:paraId="23A7A2C5" w14:textId="43F7B529" w:rsidR="00FB357B" w:rsidRPr="001E317D" w:rsidRDefault="00487A85" w:rsidP="00487A85">
      <w:pPr>
        <w:pStyle w:val="COMPara"/>
        <w:ind w:left="360"/>
        <w:jc w:val="both"/>
        <w:rPr>
          <w:lang w:val="fr-FR"/>
        </w:rPr>
      </w:pPr>
      <w:r w:rsidRPr="001E317D">
        <w:rPr>
          <w:lang w:val="fr-FR"/>
        </w:rPr>
        <w:t xml:space="preserve">La </w:t>
      </w:r>
      <w:hyperlink r:id="rId13" w:history="1">
        <w:r w:rsidRPr="001E317D">
          <w:rPr>
            <w:rStyle w:val="Hyperlink"/>
            <w:lang w:val="fr-FR"/>
          </w:rPr>
          <w:t>Déclaration</w:t>
        </w:r>
      </w:hyperlink>
      <w:r w:rsidRPr="001E317D">
        <w:rPr>
          <w:lang w:val="fr-FR"/>
        </w:rPr>
        <w:t xml:space="preserve"> de MONDIACULT 2022 a invité l’UNESCO à produire un </w:t>
      </w:r>
      <w:r w:rsidR="00D755DF" w:rsidRPr="001E317D">
        <w:rPr>
          <w:lang w:val="fr-FR"/>
        </w:rPr>
        <w:t xml:space="preserve">Rapport </w:t>
      </w:r>
      <w:r w:rsidRPr="001E317D">
        <w:rPr>
          <w:lang w:val="fr-FR"/>
        </w:rPr>
        <w:t xml:space="preserve">global sur les politiques culturelles, tous les quatre ans, dont la </w:t>
      </w:r>
      <w:hyperlink r:id="rId14" w:history="1">
        <w:r w:rsidRPr="001E317D">
          <w:rPr>
            <w:rStyle w:val="Hyperlink"/>
            <w:lang w:val="fr-FR"/>
          </w:rPr>
          <w:t>première édition</w:t>
        </w:r>
      </w:hyperlink>
      <w:r w:rsidRPr="001E317D">
        <w:rPr>
          <w:lang w:val="fr-FR"/>
        </w:rPr>
        <w:t xml:space="preserve"> a été publiée en 2025, nécessitant </w:t>
      </w:r>
      <w:r w:rsidR="00C04849" w:rsidRPr="001E317D">
        <w:rPr>
          <w:lang w:val="fr-FR"/>
        </w:rPr>
        <w:t xml:space="preserve">des adaptations au titre de la Convention de 2003 afin de soutenir cette analyse </w:t>
      </w:r>
      <w:r w:rsidR="00C04849" w:rsidRPr="001E317D">
        <w:rPr>
          <w:lang w:val="fr-FR"/>
        </w:rPr>
        <w:lastRenderedPageBreak/>
        <w:t>mondiale approfondie</w:t>
      </w:r>
      <w:r w:rsidRPr="001E317D">
        <w:rPr>
          <w:lang w:val="fr-FR"/>
        </w:rPr>
        <w:t xml:space="preserve">. En réponse, le Comité intergouvernemental de la Convention de 2003 a approuvé une feuille de route vers un système de soumission </w:t>
      </w:r>
      <w:r w:rsidR="001277F4" w:rsidRPr="001E317D">
        <w:rPr>
          <w:lang w:val="fr-FR"/>
        </w:rPr>
        <w:t>unique à l’échelle mondiale</w:t>
      </w:r>
      <w:r w:rsidRPr="001E317D">
        <w:rPr>
          <w:lang w:val="fr-FR"/>
        </w:rPr>
        <w:t>, exigeant que tous les États parties soumettent leur rapport</w:t>
      </w:r>
      <w:r w:rsidR="00DE62D4" w:rsidRPr="001E317D">
        <w:rPr>
          <w:lang w:val="fr-FR"/>
        </w:rPr>
        <w:t>s</w:t>
      </w:r>
      <w:r w:rsidRPr="001E317D">
        <w:rPr>
          <w:lang w:val="fr-FR"/>
        </w:rPr>
        <w:t xml:space="preserve"> au 30 juin 2027, puis tous les quatre ans</w:t>
      </w:r>
      <w:r w:rsidR="001F1CE7" w:rsidRPr="001E317D">
        <w:rPr>
          <w:lang w:val="fr-FR"/>
        </w:rPr>
        <w:t xml:space="preserve"> (plus récemment lors de sa vingtième session en décembre 2025, voir la Décision </w:t>
      </w:r>
      <w:hyperlink r:id="rId15" w:history="1">
        <w:r w:rsidR="001F1CE7" w:rsidRPr="001E317D">
          <w:rPr>
            <w:rStyle w:val="Hyperlink"/>
            <w:lang w:val="fr-FR"/>
          </w:rPr>
          <w:t>20.COM 6.c</w:t>
        </w:r>
      </w:hyperlink>
      <w:r w:rsidR="001F1CE7" w:rsidRPr="001E317D">
        <w:rPr>
          <w:lang w:val="fr-FR"/>
        </w:rPr>
        <w:t>)</w:t>
      </w:r>
      <w:r w:rsidRPr="001E317D">
        <w:rPr>
          <w:lang w:val="fr-FR"/>
        </w:rPr>
        <w:t xml:space="preserve">, sous réserve de l’approbation des amendements aux Directives opérationnelles par la onzième session de l’Assemblée générale. </w:t>
      </w:r>
      <w:r w:rsidR="001277F4" w:rsidRPr="001E317D">
        <w:rPr>
          <w:lang w:val="fr-FR"/>
        </w:rPr>
        <w:t xml:space="preserve">Ce système prévoit ce qui suit </w:t>
      </w:r>
      <w:r w:rsidRPr="001E317D">
        <w:rPr>
          <w:lang w:val="fr-FR"/>
        </w:rPr>
        <w:t>:</w:t>
      </w:r>
    </w:p>
    <w:p w14:paraId="2A70193B" w14:textId="38CD7B85" w:rsidR="00660938" w:rsidRPr="001E317D" w:rsidRDefault="001277F4" w:rsidP="006D236D">
      <w:pPr>
        <w:pStyle w:val="Sansinterligne2"/>
        <w:numPr>
          <w:ilvl w:val="0"/>
          <w:numId w:val="6"/>
        </w:numPr>
        <w:spacing w:after="120"/>
        <w:ind w:left="1134" w:hanging="567"/>
        <w:jc w:val="both"/>
        <w:rPr>
          <w:rFonts w:asciiTheme="minorBidi" w:hAnsiTheme="minorBidi" w:cstheme="minorBidi"/>
          <w:sz w:val="22"/>
          <w:szCs w:val="22"/>
        </w:rPr>
      </w:pPr>
      <w:r w:rsidRPr="001E317D">
        <w:rPr>
          <w:rFonts w:asciiTheme="minorBidi" w:hAnsiTheme="minorBidi" w:cstheme="minorBidi"/>
          <w:sz w:val="22"/>
          <w:szCs w:val="22"/>
        </w:rPr>
        <w:t xml:space="preserve">Les rapports des États parties sur la mise en œuvre de la Convention et sur l’état des éléments inscrits sur la Liste représentative, ainsi que les rapports des États parties concernant les éléments inscrits sur la Liste </w:t>
      </w:r>
      <w:r w:rsidR="00D755DF" w:rsidRPr="001E317D">
        <w:rPr>
          <w:rFonts w:asciiTheme="minorBidi" w:hAnsiTheme="minorBidi" w:cstheme="minorBidi"/>
          <w:sz w:val="22"/>
          <w:szCs w:val="22"/>
        </w:rPr>
        <w:t>de</w:t>
      </w:r>
      <w:r w:rsidRPr="001E317D">
        <w:rPr>
          <w:rFonts w:asciiTheme="minorBidi" w:hAnsiTheme="minorBidi" w:cstheme="minorBidi"/>
          <w:sz w:val="22"/>
          <w:szCs w:val="22"/>
        </w:rPr>
        <w:t xml:space="preserve"> sauvegarde urgente, </w:t>
      </w:r>
      <w:r w:rsidR="009D3DEA" w:rsidRPr="001E317D">
        <w:rPr>
          <w:rFonts w:asciiTheme="minorBidi" w:hAnsiTheme="minorBidi" w:cstheme="minorBidi"/>
          <w:sz w:val="22"/>
          <w:szCs w:val="22"/>
        </w:rPr>
        <w:t xml:space="preserve">ainsi que les rapports des États non parties à la Convention sur les éléments inscrits sur la Liste représentative, </w:t>
      </w:r>
      <w:r w:rsidRPr="001E317D">
        <w:rPr>
          <w:rFonts w:asciiTheme="minorBidi" w:hAnsiTheme="minorBidi" w:cstheme="minorBidi"/>
          <w:sz w:val="22"/>
          <w:szCs w:val="22"/>
        </w:rPr>
        <w:t>seront soumis le 30 juin 2027, puis tous les quatre ans par la suite</w:t>
      </w:r>
      <w:r w:rsidR="00660938" w:rsidRPr="001E317D">
        <w:rPr>
          <w:rFonts w:asciiTheme="minorBidi" w:hAnsiTheme="minorBidi" w:cstheme="minorBidi"/>
          <w:sz w:val="22"/>
          <w:szCs w:val="22"/>
        </w:rPr>
        <w:t>.</w:t>
      </w:r>
    </w:p>
    <w:p w14:paraId="2984B8A3" w14:textId="473DED09" w:rsidR="00660938" w:rsidRPr="001E317D" w:rsidRDefault="001277F4" w:rsidP="006D236D">
      <w:pPr>
        <w:pStyle w:val="ListParagraph"/>
        <w:numPr>
          <w:ilvl w:val="0"/>
          <w:numId w:val="7"/>
        </w:numPr>
        <w:snapToGrid w:val="0"/>
        <w:spacing w:after="120"/>
        <w:ind w:left="1134" w:hanging="567"/>
        <w:contextualSpacing w:val="0"/>
        <w:jc w:val="both"/>
        <w:rPr>
          <w:rFonts w:asciiTheme="minorBidi" w:hAnsiTheme="minorBidi" w:cstheme="minorBidi"/>
          <w:sz w:val="22"/>
          <w:szCs w:val="22"/>
        </w:rPr>
      </w:pPr>
      <w:r w:rsidRPr="001E317D">
        <w:rPr>
          <w:rFonts w:asciiTheme="minorBidi" w:hAnsiTheme="minorBidi" w:cstheme="minorBidi"/>
          <w:sz w:val="22"/>
          <w:szCs w:val="22"/>
        </w:rPr>
        <w:t>L’Assemblée générale, lors de sa onzième session (17–18 juin 2026 au Siège de l’UNESCO), examinera les amendements nécessaires aux Directives opérationnelles pour la mise en œuvre de la Convention de sorte à soutenir ce passage</w:t>
      </w:r>
      <w:r w:rsidR="00660938" w:rsidRPr="001E317D">
        <w:rPr>
          <w:rFonts w:asciiTheme="minorBidi" w:hAnsiTheme="minorBidi" w:cstheme="minorBidi"/>
          <w:sz w:val="22"/>
          <w:szCs w:val="22"/>
        </w:rPr>
        <w:t>.</w:t>
      </w:r>
    </w:p>
    <w:p w14:paraId="63AC14A3" w14:textId="72784C9D" w:rsidR="00660938" w:rsidRPr="001E317D" w:rsidRDefault="001277F4" w:rsidP="006D236D">
      <w:pPr>
        <w:pStyle w:val="ListParagraph"/>
        <w:numPr>
          <w:ilvl w:val="0"/>
          <w:numId w:val="7"/>
        </w:numPr>
        <w:snapToGrid w:val="0"/>
        <w:spacing w:after="120"/>
        <w:ind w:left="1134" w:hanging="567"/>
        <w:contextualSpacing w:val="0"/>
        <w:jc w:val="both"/>
        <w:rPr>
          <w:rFonts w:asciiTheme="minorBidi" w:hAnsiTheme="minorBidi" w:cstheme="minorBidi"/>
          <w:sz w:val="22"/>
          <w:szCs w:val="22"/>
        </w:rPr>
      </w:pPr>
      <w:r w:rsidRPr="001E317D">
        <w:rPr>
          <w:rFonts w:asciiTheme="minorBidi" w:hAnsiTheme="minorBidi" w:cstheme="minorBidi"/>
          <w:sz w:val="22"/>
          <w:szCs w:val="22"/>
        </w:rPr>
        <w:t>Tous les États seraient invités à soumettre leurs rapports par le biais des formulaires prévus à cet effet, actuellement en cours de révision afin d</w:t>
      </w:r>
      <w:r w:rsidR="002631B5" w:rsidRPr="001E317D">
        <w:rPr>
          <w:rFonts w:asciiTheme="minorBidi" w:hAnsiTheme="minorBidi" w:cstheme="minorBidi"/>
          <w:sz w:val="22"/>
          <w:szCs w:val="22"/>
        </w:rPr>
        <w:t>e les</w:t>
      </w:r>
      <w:r w:rsidRPr="001E317D">
        <w:rPr>
          <w:rFonts w:asciiTheme="minorBidi" w:hAnsiTheme="minorBidi" w:cstheme="minorBidi"/>
          <w:sz w:val="22"/>
          <w:szCs w:val="22"/>
        </w:rPr>
        <w:t xml:space="preserve"> simplifier (formulaire ICH-10 et formulaire ICH-11). À la suite de leur soumission, les </w:t>
      </w:r>
      <w:r w:rsidR="002631B5" w:rsidRPr="001E317D">
        <w:rPr>
          <w:rFonts w:asciiTheme="minorBidi" w:hAnsiTheme="minorBidi" w:cstheme="minorBidi"/>
          <w:sz w:val="22"/>
          <w:szCs w:val="22"/>
        </w:rPr>
        <w:t>O</w:t>
      </w:r>
      <w:r w:rsidRPr="001E317D">
        <w:rPr>
          <w:rFonts w:asciiTheme="minorBidi" w:hAnsiTheme="minorBidi" w:cstheme="minorBidi"/>
          <w:sz w:val="22"/>
          <w:szCs w:val="22"/>
        </w:rPr>
        <w:t xml:space="preserve">rganes directeurs de la Convention continueront </w:t>
      </w:r>
      <w:r w:rsidR="002631B5" w:rsidRPr="001E317D">
        <w:rPr>
          <w:rFonts w:asciiTheme="minorBidi" w:hAnsiTheme="minorBidi" w:cstheme="minorBidi"/>
          <w:sz w:val="22"/>
          <w:szCs w:val="22"/>
        </w:rPr>
        <w:t xml:space="preserve">à </w:t>
      </w:r>
      <w:r w:rsidRPr="001E317D">
        <w:rPr>
          <w:rFonts w:asciiTheme="minorBidi" w:hAnsiTheme="minorBidi" w:cstheme="minorBidi"/>
          <w:sz w:val="22"/>
          <w:szCs w:val="22"/>
        </w:rPr>
        <w:t>examiner ces rapports, qui seront ensuite portés à l’attention de la Conférence générale de l’UNESCO, conformément à l’article 30 de la Convention</w:t>
      </w:r>
      <w:r w:rsidR="00660938" w:rsidRPr="001E317D">
        <w:rPr>
          <w:rFonts w:asciiTheme="minorBidi" w:hAnsiTheme="minorBidi" w:cstheme="minorBidi"/>
          <w:sz w:val="22"/>
          <w:szCs w:val="22"/>
        </w:rPr>
        <w:t>.</w:t>
      </w:r>
    </w:p>
    <w:p w14:paraId="5BA09FBC" w14:textId="44B2FD4D" w:rsidR="00660938" w:rsidRPr="001E317D" w:rsidRDefault="001277F4" w:rsidP="006D236D">
      <w:pPr>
        <w:pStyle w:val="ListParagraph"/>
        <w:numPr>
          <w:ilvl w:val="0"/>
          <w:numId w:val="7"/>
        </w:numPr>
        <w:snapToGrid w:val="0"/>
        <w:spacing w:after="120"/>
        <w:ind w:left="1134" w:hanging="567"/>
        <w:contextualSpacing w:val="0"/>
        <w:jc w:val="both"/>
        <w:rPr>
          <w:rFonts w:asciiTheme="minorBidi" w:hAnsiTheme="minorBidi" w:cstheme="minorBidi"/>
          <w:sz w:val="22"/>
          <w:szCs w:val="22"/>
        </w:rPr>
      </w:pPr>
      <w:r w:rsidRPr="001E317D">
        <w:rPr>
          <w:rFonts w:asciiTheme="minorBidi" w:hAnsiTheme="minorBidi" w:cstheme="minorBidi"/>
          <w:sz w:val="22"/>
          <w:szCs w:val="22"/>
        </w:rPr>
        <w:t>En attendant, la soumission de tous les types de rapports pour l’échéance du 15 décembre 2026 est suspendue, y compris pour les rapports en retard</w:t>
      </w:r>
      <w:r w:rsidR="00660938" w:rsidRPr="001E317D">
        <w:rPr>
          <w:rFonts w:asciiTheme="minorBidi" w:hAnsiTheme="minorBidi" w:cstheme="minorBidi"/>
          <w:sz w:val="22"/>
          <w:szCs w:val="22"/>
        </w:rPr>
        <w:t>.</w:t>
      </w:r>
    </w:p>
    <w:p w14:paraId="6DDDB7F8" w14:textId="1B62DF9E" w:rsidR="00D04E4B" w:rsidRPr="001E317D" w:rsidRDefault="000C6B4E">
      <w:pPr>
        <w:pStyle w:val="COMPara"/>
        <w:ind w:left="360"/>
        <w:jc w:val="both"/>
        <w:rPr>
          <w:lang w:val="fr-FR"/>
        </w:rPr>
      </w:pPr>
      <w:r w:rsidRPr="001E317D">
        <w:rPr>
          <w:lang w:val="fr-FR"/>
        </w:rPr>
        <w:t xml:space="preserve">Le Comité continuera à examiner les rapports périodiques </w:t>
      </w:r>
      <w:r w:rsidRPr="001E317D">
        <w:rPr>
          <w:rFonts w:asciiTheme="minorBidi" w:hAnsiTheme="minorBidi" w:cstheme="minorBidi"/>
          <w:lang w:val="fr-FR"/>
        </w:rPr>
        <w:t xml:space="preserve">sur la mise en œuvre de la Convention et sur l’état des éléments inscrits sur la Liste représentative </w:t>
      </w:r>
      <w:r w:rsidRPr="001E317D">
        <w:rPr>
          <w:lang w:val="fr-FR"/>
        </w:rPr>
        <w:t>soumis par les États parties (conformément à l’article 29 de la Convention) et sur l’état des éléments inscrits sur la Liste de sauvegarde urgente. De même, les rapports périodiques continueront d’être soumis par le Comité à l’Assemblée générale et portés à l’attention de la Conférence générale de l’UNESCO (conformément à l’article 30 de la Convention)</w:t>
      </w:r>
      <w:r w:rsidR="00FB357B" w:rsidRPr="001E317D">
        <w:rPr>
          <w:lang w:val="fr-FR"/>
        </w:rPr>
        <w:t>.</w:t>
      </w:r>
    </w:p>
    <w:p w14:paraId="7AC274EE" w14:textId="3B29708A" w:rsidR="005208F3" w:rsidRPr="001E317D" w:rsidRDefault="002631B5" w:rsidP="006D236D">
      <w:pPr>
        <w:pStyle w:val="COMPara"/>
        <w:numPr>
          <w:ilvl w:val="0"/>
          <w:numId w:val="5"/>
        </w:numPr>
        <w:spacing w:before="120"/>
        <w:ind w:left="357" w:hanging="357"/>
        <w:jc w:val="both"/>
        <w:rPr>
          <w:b/>
          <w:bCs/>
          <w:color w:val="000000" w:themeColor="text1"/>
          <w:lang w:val="fr-FR"/>
        </w:rPr>
      </w:pPr>
      <w:r w:rsidRPr="001E317D">
        <w:rPr>
          <w:b/>
          <w:bCs/>
          <w:lang w:val="fr-FR"/>
        </w:rPr>
        <w:t xml:space="preserve">Établissement </w:t>
      </w:r>
      <w:r w:rsidR="00D6174A" w:rsidRPr="001E317D">
        <w:rPr>
          <w:b/>
          <w:bCs/>
          <w:lang w:val="fr-FR"/>
        </w:rPr>
        <w:t>de</w:t>
      </w:r>
      <w:r w:rsidRPr="001E317D">
        <w:rPr>
          <w:b/>
          <w:bCs/>
          <w:lang w:val="fr-FR"/>
        </w:rPr>
        <w:t>s</w:t>
      </w:r>
      <w:r w:rsidR="00D6174A" w:rsidRPr="001E317D">
        <w:rPr>
          <w:b/>
          <w:bCs/>
          <w:lang w:val="fr-FR"/>
        </w:rPr>
        <w:t xml:space="preserve"> rapports périodiques au titre de la Convention : aperçu des modalités actuelles et des points à améliorer</w:t>
      </w:r>
    </w:p>
    <w:p w14:paraId="3376D639" w14:textId="3816A33A" w:rsidR="00D6174A" w:rsidRPr="001E317D" w:rsidRDefault="00D6174A" w:rsidP="00C76374">
      <w:pPr>
        <w:pStyle w:val="COMPara"/>
        <w:ind w:left="360"/>
        <w:jc w:val="both"/>
        <w:rPr>
          <w:lang w:val="fr-FR"/>
        </w:rPr>
      </w:pPr>
      <w:r w:rsidRPr="001E317D">
        <w:rPr>
          <w:lang w:val="fr-FR"/>
        </w:rPr>
        <w:t>Le Secrétariat a organisé</w:t>
      </w:r>
      <w:r w:rsidR="00883E34" w:rsidRPr="001E317D">
        <w:rPr>
          <w:lang w:val="fr-FR"/>
        </w:rPr>
        <w:t xml:space="preserve"> </w:t>
      </w:r>
      <w:hyperlink r:id="rId16" w:history="1">
        <w:r w:rsidRPr="001E317D">
          <w:rPr>
            <w:rStyle w:val="Hyperlink"/>
            <w:lang w:val="fr-FR"/>
          </w:rPr>
          <w:t>cinq consultations régionales en ligne</w:t>
        </w:r>
      </w:hyperlink>
      <w:r w:rsidR="00883E34" w:rsidRPr="001E317D">
        <w:rPr>
          <w:lang w:val="fr-FR"/>
        </w:rPr>
        <w:t xml:space="preserve">, </w:t>
      </w:r>
      <w:r w:rsidRPr="001E317D">
        <w:rPr>
          <w:lang w:val="fr-FR"/>
        </w:rPr>
        <w:t xml:space="preserve">chacune précédée d’une enquête dédiée, </w:t>
      </w:r>
      <w:r w:rsidR="00867B32" w:rsidRPr="001E317D">
        <w:rPr>
          <w:lang w:val="fr-FR"/>
        </w:rPr>
        <w:t>aux mois d’</w:t>
      </w:r>
      <w:r w:rsidRPr="001E317D">
        <w:rPr>
          <w:lang w:val="fr-FR"/>
        </w:rPr>
        <w:t xml:space="preserve">avril et mai 2025, en préparation de l’année de réflexion </w:t>
      </w:r>
      <w:r w:rsidR="00867B32" w:rsidRPr="001E317D">
        <w:rPr>
          <w:lang w:val="fr-FR"/>
        </w:rPr>
        <w:t>en cours</w:t>
      </w:r>
      <w:r w:rsidRPr="001E317D">
        <w:rPr>
          <w:lang w:val="fr-FR"/>
        </w:rPr>
        <w:t xml:space="preserve">. Au total, 290 participants ont pris part à ces consultations, notamment </w:t>
      </w:r>
      <w:r w:rsidR="00867B32" w:rsidRPr="001E317D">
        <w:rPr>
          <w:lang w:val="fr-FR"/>
        </w:rPr>
        <w:t xml:space="preserve">des </w:t>
      </w:r>
      <w:r w:rsidRPr="001E317D">
        <w:rPr>
          <w:lang w:val="fr-FR"/>
        </w:rPr>
        <w:t>points focaux pour les rapports périodiques, des facilitateurs du réseau mondial de l’UNESCO et des représentants des centres de catégorie 2 actifs dans le domaine du patrimoine vivant</w:t>
      </w:r>
      <w:r w:rsidR="00883E34" w:rsidRPr="001E317D">
        <w:rPr>
          <w:lang w:val="fr-FR"/>
        </w:rPr>
        <w:t xml:space="preserve">. </w:t>
      </w:r>
      <w:r w:rsidRPr="001E317D">
        <w:rPr>
          <w:lang w:val="fr-FR"/>
        </w:rPr>
        <w:t xml:space="preserve">Les principales recommandations ont porté sur la simplification des formulaires de rapport et l’amélioration des outils de soumission en ligne. Les suggestions </w:t>
      </w:r>
      <w:r w:rsidR="00867B32" w:rsidRPr="001E317D">
        <w:rPr>
          <w:lang w:val="fr-FR"/>
        </w:rPr>
        <w:t xml:space="preserve">principales </w:t>
      </w:r>
      <w:r w:rsidRPr="001E317D">
        <w:rPr>
          <w:lang w:val="fr-FR"/>
        </w:rPr>
        <w:t xml:space="preserve">ont </w:t>
      </w:r>
      <w:r w:rsidR="00867B32" w:rsidRPr="001E317D">
        <w:rPr>
          <w:lang w:val="fr-FR"/>
        </w:rPr>
        <w:t>mis l’accent</w:t>
      </w:r>
      <w:r w:rsidRPr="001E317D">
        <w:rPr>
          <w:lang w:val="fr-FR"/>
        </w:rPr>
        <w:t xml:space="preserve"> sur la nécessité de simplifier les formulaires en réduisant et en fusionnant certaines questions, ainsi qu’en supprimant les redondances. </w:t>
      </w:r>
      <w:r w:rsidR="00980696" w:rsidRPr="001E317D">
        <w:rPr>
          <w:lang w:val="fr-FR"/>
        </w:rPr>
        <w:t>D’autres améliorations peuvent inclure des réponses optionnelles pour certaines sous-sections</w:t>
      </w:r>
      <w:r w:rsidRPr="001E317D">
        <w:rPr>
          <w:lang w:val="fr-FR"/>
        </w:rPr>
        <w:t xml:space="preserve">, l’élaboration d’un </w:t>
      </w:r>
      <w:r w:rsidR="00980696" w:rsidRPr="001E317D">
        <w:rPr>
          <w:lang w:val="fr-FR"/>
        </w:rPr>
        <w:t>manuel technique proposant des conseils étape par étape</w:t>
      </w:r>
      <w:r w:rsidRPr="001E317D">
        <w:rPr>
          <w:lang w:val="fr-FR"/>
        </w:rPr>
        <w:t>, ainsi que des améliorations de la convivialité de l’interface utilisateur</w:t>
      </w:r>
      <w:r w:rsidR="00980696" w:rsidRPr="001E317D">
        <w:rPr>
          <w:lang w:val="fr-FR"/>
        </w:rPr>
        <w:t>.</w:t>
      </w:r>
    </w:p>
    <w:p w14:paraId="4C840B7E" w14:textId="49B3FB08" w:rsidR="00980696" w:rsidRPr="001E317D" w:rsidRDefault="00980696" w:rsidP="00CE45DA">
      <w:pPr>
        <w:pStyle w:val="COMPara"/>
        <w:ind w:left="360"/>
        <w:jc w:val="both"/>
        <w:rPr>
          <w:lang w:val="fr-FR"/>
        </w:rPr>
      </w:pPr>
      <w:r w:rsidRPr="001E317D">
        <w:rPr>
          <w:lang w:val="fr-FR"/>
        </w:rPr>
        <w:t xml:space="preserve">L’approche visant à simplifier le formulaire ICH-10 pour la soumission de </w:t>
      </w:r>
      <w:r w:rsidRPr="001E317D">
        <w:rPr>
          <w:u w:val="single"/>
          <w:lang w:val="fr-FR"/>
        </w:rPr>
        <w:t>rapports sur la mise en œuvre de la Convention et sur l’état des éléments inscrits sur la Liste représentative</w:t>
      </w:r>
      <w:r w:rsidRPr="001E317D">
        <w:rPr>
          <w:lang w:val="fr-FR"/>
        </w:rPr>
        <w:t xml:space="preserve"> doit trouver un équilibre entre réduction structurelle et préservation de l’intégrité analytique. Le formulaire comprend actuellement trois sections principales, </w:t>
      </w:r>
      <w:r w:rsidR="00867B32" w:rsidRPr="001E317D">
        <w:rPr>
          <w:lang w:val="fr-FR"/>
        </w:rPr>
        <w:t xml:space="preserve">parmi lesquelles </w:t>
      </w:r>
      <w:r w:rsidRPr="001E317D">
        <w:rPr>
          <w:lang w:val="fr-FR"/>
        </w:rPr>
        <w:t xml:space="preserve">la section B </w:t>
      </w:r>
      <w:r w:rsidR="00867B32" w:rsidRPr="001E317D">
        <w:rPr>
          <w:lang w:val="fr-FR"/>
        </w:rPr>
        <w:t xml:space="preserve">constitue </w:t>
      </w:r>
      <w:r w:rsidRPr="001E317D">
        <w:rPr>
          <w:lang w:val="fr-FR"/>
        </w:rPr>
        <w:t xml:space="preserve">la partie la plus complexe, dans la mesure où elle rend compte du Cadre global de résultats à travers des domaines thématiques, des indicateurs et des facteurs d’évaluation, ainsi que des </w:t>
      </w:r>
      <w:r w:rsidR="00867B32" w:rsidRPr="001E317D">
        <w:rPr>
          <w:lang w:val="fr-FR"/>
        </w:rPr>
        <w:t>niveaux de référence</w:t>
      </w:r>
      <w:r w:rsidRPr="001E317D">
        <w:rPr>
          <w:lang w:val="fr-FR"/>
        </w:rPr>
        <w:t xml:space="preserve"> calculés automatiquement. La simplification proposée se concentre donc principalement sur cette section, tout en procédant également à un </w:t>
      </w:r>
      <w:r w:rsidR="00867B32" w:rsidRPr="001E317D">
        <w:rPr>
          <w:lang w:val="fr-FR"/>
        </w:rPr>
        <w:t xml:space="preserve">vérification </w:t>
      </w:r>
      <w:r w:rsidRPr="001E317D">
        <w:rPr>
          <w:lang w:val="fr-FR"/>
        </w:rPr>
        <w:t>des sections A et C afin d’éliminer les répétitions. L’objectif est de réduire de manière significative le nombre de questions, en visant une diminution substantielle grâce à la suppression, la fusion, la reformulation et le regroupement des items, tout en maintenant un alignement clair avec le Cadre global de résultats. Une attention particulière est accordée à l’amélioration de la qualité des réponses, notamment en encourageant l’utilisation de questions à échelle plutôt que de formats binaires, ainsi qu’à la résolution des limit</w:t>
      </w:r>
      <w:r w:rsidR="003F1BD7" w:rsidRPr="001E317D">
        <w:rPr>
          <w:lang w:val="fr-FR"/>
        </w:rPr>
        <w:t>ation</w:t>
      </w:r>
      <w:r w:rsidRPr="001E317D">
        <w:rPr>
          <w:lang w:val="fr-FR"/>
        </w:rPr>
        <w:t xml:space="preserve">s du système actuel de calcul des </w:t>
      </w:r>
      <w:r w:rsidR="003F1BD7" w:rsidRPr="001E317D">
        <w:rPr>
          <w:lang w:val="fr-FR"/>
        </w:rPr>
        <w:t>niveaux de référence</w:t>
      </w:r>
      <w:r w:rsidRPr="001E317D">
        <w:rPr>
          <w:lang w:val="fr-FR"/>
        </w:rPr>
        <w:t xml:space="preserve">. Dans le même temps, il est nécessaire de préserver la continuité avec les </w:t>
      </w:r>
      <w:r w:rsidR="003F1BD7" w:rsidRPr="001E317D">
        <w:rPr>
          <w:lang w:val="fr-FR"/>
        </w:rPr>
        <w:t>niveaux de référence</w:t>
      </w:r>
      <w:r w:rsidRPr="001E317D">
        <w:rPr>
          <w:lang w:val="fr-FR"/>
        </w:rPr>
        <w:t xml:space="preserve"> existants, lorsque cela est pertinent</w:t>
      </w:r>
      <w:r w:rsidR="00851D68" w:rsidRPr="001E317D">
        <w:rPr>
          <w:lang w:val="fr-FR"/>
        </w:rPr>
        <w:t>.</w:t>
      </w:r>
    </w:p>
    <w:p w14:paraId="339C5750" w14:textId="4F7A087A" w:rsidR="00CC6225" w:rsidRPr="001E317D" w:rsidRDefault="00980696" w:rsidP="00C62E2B">
      <w:pPr>
        <w:pStyle w:val="COMPara"/>
        <w:ind w:left="360"/>
        <w:jc w:val="both"/>
        <w:rPr>
          <w:lang w:val="fr-FR"/>
        </w:rPr>
      </w:pPr>
      <w:r w:rsidRPr="001E317D">
        <w:rPr>
          <w:lang w:val="fr-FR"/>
        </w:rPr>
        <w:t xml:space="preserve">L’approche visant à simplifier le formulaire ICH-11 pour </w:t>
      </w:r>
      <w:r w:rsidR="003F1BD7" w:rsidRPr="001E317D">
        <w:rPr>
          <w:lang w:val="fr-FR"/>
        </w:rPr>
        <w:t>l’établissement</w:t>
      </w:r>
      <w:r w:rsidRPr="001E317D">
        <w:rPr>
          <w:lang w:val="fr-FR"/>
        </w:rPr>
        <w:t xml:space="preserve"> de </w:t>
      </w:r>
      <w:r w:rsidRPr="001E317D">
        <w:rPr>
          <w:u w:val="single"/>
          <w:lang w:val="fr-FR"/>
        </w:rPr>
        <w:t>rapports sur l’état des éléments inscrits sur la Liste de sauvegarde urgente</w:t>
      </w:r>
      <w:r w:rsidRPr="001E317D">
        <w:rPr>
          <w:lang w:val="fr-FR"/>
        </w:rPr>
        <w:t xml:space="preserve"> s’appuiera sur les révisions proposées de la section C du formulaire ICH-10 consacré aux éléments inscrits sur la Liste représentative, tout en préservant les objectifs spécifiques et les particularités </w:t>
      </w:r>
      <w:r w:rsidR="00526DFE" w:rsidRPr="001E317D">
        <w:rPr>
          <w:lang w:val="fr-FR"/>
        </w:rPr>
        <w:t xml:space="preserve">liées aux éléments </w:t>
      </w:r>
      <w:r w:rsidRPr="001E317D">
        <w:rPr>
          <w:lang w:val="fr-FR"/>
        </w:rPr>
        <w:t xml:space="preserve">propres à chaque </w:t>
      </w:r>
      <w:r w:rsidR="00B838E6" w:rsidRPr="001E317D">
        <w:rPr>
          <w:lang w:val="fr-FR"/>
        </w:rPr>
        <w:t>formulaire</w:t>
      </w:r>
      <w:r w:rsidRPr="001E317D">
        <w:rPr>
          <w:lang w:val="fr-FR"/>
        </w:rPr>
        <w:t>.</w:t>
      </w:r>
      <w:r w:rsidR="00526DFE" w:rsidRPr="001E317D">
        <w:rPr>
          <w:lang w:val="fr-FR"/>
        </w:rPr>
        <w:t xml:space="preserve"> </w:t>
      </w:r>
      <w:r w:rsidR="001D02AB" w:rsidRPr="001E317D">
        <w:rPr>
          <w:lang w:val="fr-FR"/>
        </w:rPr>
        <w:t xml:space="preserve">En parallèle, </w:t>
      </w:r>
      <w:r w:rsidRPr="001E317D">
        <w:rPr>
          <w:lang w:val="fr-FR"/>
        </w:rPr>
        <w:t xml:space="preserve">cette révision devra être menée avec une attention particulière afin de maintenir l’alignement avec le formulaire ICH-02 USL à RL, utilisé pour les demandes de transfert d’éléments de la Liste de sauvegarde urgente vers la Liste représentative, garantissant ainsi la continuité et la compatibilité entre ces mécanismes interconnectés. En effet, le passage à un système de soumission unique aurait une incidence sur le </w:t>
      </w:r>
      <w:r w:rsidRPr="001E317D">
        <w:rPr>
          <w:u w:val="single"/>
          <w:lang w:val="fr-FR"/>
        </w:rPr>
        <w:t>processus de transfert des éléments de la Liste de sauvegarde urgente vers la Liste représentative</w:t>
      </w:r>
      <w:r w:rsidRPr="001E317D">
        <w:rPr>
          <w:lang w:val="fr-FR"/>
        </w:rPr>
        <w:t xml:space="preserve">, lequel a été lié </w:t>
      </w:r>
      <w:r w:rsidR="00BD0947" w:rsidRPr="001E317D">
        <w:rPr>
          <w:lang w:val="fr-FR"/>
        </w:rPr>
        <w:t>à l’établissement des</w:t>
      </w:r>
      <w:r w:rsidRPr="001E317D">
        <w:rPr>
          <w:lang w:val="fr-FR"/>
        </w:rPr>
        <w:t xml:space="preserve"> rapports périodiques dans le cadre des résultats de la </w:t>
      </w:r>
      <w:r w:rsidR="00772C54" w:rsidRPr="001E317D">
        <w:rPr>
          <w:lang w:val="fr-FR"/>
        </w:rPr>
        <w:t>R</w:t>
      </w:r>
      <w:r w:rsidRPr="001E317D">
        <w:rPr>
          <w:lang w:val="fr-FR"/>
        </w:rPr>
        <w:t xml:space="preserve">éflexion globale sur les mécanismes </w:t>
      </w:r>
      <w:r w:rsidR="00772C54" w:rsidRPr="001E317D">
        <w:rPr>
          <w:lang w:val="fr-FR"/>
        </w:rPr>
        <w:t>d’inscription sur les listes de la Convention</w:t>
      </w:r>
      <w:r w:rsidRPr="001E317D">
        <w:rPr>
          <w:lang w:val="fr-FR"/>
        </w:rPr>
        <w:t xml:space="preserve"> (2018–2022).</w:t>
      </w:r>
      <w:r w:rsidR="006D236D" w:rsidRPr="001E317D">
        <w:rPr>
          <w:lang w:val="fr-FR"/>
        </w:rPr>
        <w:t xml:space="preserve"> </w:t>
      </w:r>
      <w:r w:rsidRPr="001E317D">
        <w:rPr>
          <w:lang w:val="fr-FR"/>
        </w:rPr>
        <w:t xml:space="preserve">Dans le cadre du nouveau système, les demandes de transfert d’éléments de la Liste de sauvegarde urgente vers la Liste représentative pourront être </w:t>
      </w:r>
      <w:r w:rsidR="00BD0947" w:rsidRPr="001E317D">
        <w:rPr>
          <w:lang w:val="fr-FR"/>
        </w:rPr>
        <w:t xml:space="preserve">déposées </w:t>
      </w:r>
      <w:r w:rsidRPr="001E317D">
        <w:rPr>
          <w:lang w:val="fr-FR"/>
        </w:rPr>
        <w:t xml:space="preserve">à la date de soumission </w:t>
      </w:r>
      <w:r w:rsidR="006D236D" w:rsidRPr="001E317D">
        <w:rPr>
          <w:lang w:val="fr-FR"/>
        </w:rPr>
        <w:t xml:space="preserve">unique </w:t>
      </w:r>
      <w:r w:rsidRPr="001E317D">
        <w:rPr>
          <w:lang w:val="fr-FR"/>
        </w:rPr>
        <w:t xml:space="preserve">du 30 juin 2027, puis tous les quatre ans par la suite. </w:t>
      </w:r>
      <w:r w:rsidR="00BD0947" w:rsidRPr="001E317D">
        <w:rPr>
          <w:lang w:val="fr-FR"/>
        </w:rPr>
        <w:t>Par ailleurs</w:t>
      </w:r>
      <w:r w:rsidRPr="001E317D">
        <w:rPr>
          <w:lang w:val="fr-FR"/>
        </w:rPr>
        <w:t xml:space="preserve">, aucune révision </w:t>
      </w:r>
      <w:r w:rsidR="00BD0947" w:rsidRPr="001E317D">
        <w:rPr>
          <w:lang w:val="fr-FR"/>
        </w:rPr>
        <w:t xml:space="preserve">majeure </w:t>
      </w:r>
      <w:r w:rsidRPr="001E317D">
        <w:rPr>
          <w:lang w:val="fr-FR"/>
        </w:rPr>
        <w:t xml:space="preserve">du formulaire ICH-02 USL à RL n’est prévue. </w:t>
      </w:r>
      <w:r w:rsidR="00C62E2B" w:rsidRPr="001E317D">
        <w:rPr>
          <w:lang w:val="fr-FR"/>
        </w:rPr>
        <w:t>En outre, l</w:t>
      </w:r>
      <w:r w:rsidRPr="001E317D">
        <w:rPr>
          <w:lang w:val="fr-FR"/>
        </w:rPr>
        <w:t>e processus de transfert d’un élément de la Liste représentative vers la Liste de sauvegarde urgente</w:t>
      </w:r>
      <w:r w:rsidR="00C62E2B" w:rsidRPr="001E317D">
        <w:rPr>
          <w:lang w:val="fr-FR"/>
        </w:rPr>
        <w:t>, pour lequel le délai statutaire est fixé au 31 janvier,</w:t>
      </w:r>
      <w:r w:rsidRPr="001E317D">
        <w:rPr>
          <w:lang w:val="fr-FR"/>
        </w:rPr>
        <w:t xml:space="preserve"> ne devrait pas être affecté par la mise en place du nouveau système de rapport</w:t>
      </w:r>
      <w:r w:rsidR="006D236D" w:rsidRPr="001E317D">
        <w:rPr>
          <w:lang w:val="fr-FR"/>
        </w:rPr>
        <w:t>.</w:t>
      </w:r>
    </w:p>
    <w:p w14:paraId="40F7308B" w14:textId="05548D5A" w:rsidR="006D4510" w:rsidRPr="001E317D" w:rsidRDefault="006D236D" w:rsidP="007F3A5B">
      <w:pPr>
        <w:pStyle w:val="COMPara"/>
        <w:ind w:left="360"/>
        <w:jc w:val="both"/>
        <w:rPr>
          <w:lang w:val="fr-FR"/>
        </w:rPr>
      </w:pPr>
      <w:r w:rsidRPr="001E317D">
        <w:rPr>
          <w:lang w:val="fr-FR"/>
        </w:rPr>
        <w:t xml:space="preserve">Les consultations susmentionnées ont également mis en évidence la nécessité pour le </w:t>
      </w:r>
      <w:r w:rsidRPr="001E317D">
        <w:rPr>
          <w:rFonts w:eastAsia="MS Mincho"/>
          <w:lang w:val="fr-FR"/>
        </w:rPr>
        <w:t>système</w:t>
      </w:r>
      <w:r w:rsidRPr="001E317D">
        <w:rPr>
          <w:lang w:val="fr-FR"/>
        </w:rPr>
        <w:t xml:space="preserve"> de rapport périodique de couvrir l’état des programmes, projets et activités </w:t>
      </w:r>
      <w:r w:rsidR="009977F1" w:rsidRPr="001E317D">
        <w:rPr>
          <w:lang w:val="fr-FR"/>
        </w:rPr>
        <w:t>sélectionnés</w:t>
      </w:r>
      <w:r w:rsidRPr="001E317D">
        <w:rPr>
          <w:lang w:val="fr-FR"/>
        </w:rPr>
        <w:t xml:space="preserve"> </w:t>
      </w:r>
      <w:r w:rsidR="009977F1" w:rsidRPr="001E317D">
        <w:rPr>
          <w:lang w:val="fr-FR"/>
        </w:rPr>
        <w:t>pour le</w:t>
      </w:r>
      <w:r w:rsidRPr="001E317D">
        <w:rPr>
          <w:lang w:val="fr-FR"/>
        </w:rPr>
        <w:t xml:space="preserve"> </w:t>
      </w:r>
      <w:r w:rsidRPr="001E317D">
        <w:rPr>
          <w:u w:val="single"/>
          <w:lang w:val="fr-FR"/>
        </w:rPr>
        <w:t>Registre des bonnes pratiques de sauvegarde</w:t>
      </w:r>
      <w:r w:rsidRPr="001E317D">
        <w:rPr>
          <w:lang w:val="fr-FR"/>
        </w:rPr>
        <w:t xml:space="preserve">, ce qui n’est pas le cas dans le système actuel. </w:t>
      </w:r>
      <w:r w:rsidR="00841092" w:rsidRPr="001E317D">
        <w:rPr>
          <w:lang w:val="fr-FR"/>
        </w:rPr>
        <w:t>Le</w:t>
      </w:r>
      <w:r w:rsidR="001E2C26" w:rsidRPr="001E317D">
        <w:rPr>
          <w:lang w:val="fr-FR"/>
        </w:rPr>
        <w:t xml:space="preserve"> changement prévu n’aura pas d’incidence immédiate sur les programmes, projets et activités figurant dans le Registre des bonnes pratiques de sauvegarde. Cela s’explique principalement par le fait que la configuration du Registre diffère de celle de la Liste représentative et de la Liste de sauvegarde urgente, en ce sens qu’elle reconnaît les interventions « achevées » et « en cours ». Ainsi, la logique de rapport pour les deux listes n’est pas automatiquement applicable au Registre</w:t>
      </w:r>
      <w:r w:rsidRPr="001E317D">
        <w:rPr>
          <w:lang w:val="fr-FR"/>
        </w:rPr>
        <w:t xml:space="preserve">. </w:t>
      </w:r>
      <w:r w:rsidRPr="001E317D">
        <w:rPr>
          <w:rFonts w:eastAsia="MS Mincho"/>
          <w:lang w:val="fr-FR"/>
        </w:rPr>
        <w:t>Parallèlement</w:t>
      </w:r>
      <w:r w:rsidRPr="001E317D">
        <w:rPr>
          <w:lang w:val="fr-FR"/>
        </w:rPr>
        <w:t xml:space="preserve">, les organes directeurs de la Convention </w:t>
      </w:r>
      <w:r w:rsidR="001E2C26" w:rsidRPr="001E317D">
        <w:rPr>
          <w:lang w:val="fr-FR"/>
        </w:rPr>
        <w:t>ont mené</w:t>
      </w:r>
      <w:r w:rsidRPr="001E317D">
        <w:rPr>
          <w:lang w:val="fr-FR"/>
        </w:rPr>
        <w:t xml:space="preserve"> une réflexion sur </w:t>
      </w:r>
      <w:r w:rsidR="00BD0947" w:rsidRPr="001E317D">
        <w:rPr>
          <w:lang w:val="fr-FR"/>
        </w:rPr>
        <w:t xml:space="preserve">une </w:t>
      </w:r>
      <w:r w:rsidRPr="001E317D">
        <w:rPr>
          <w:lang w:val="fr-FR"/>
        </w:rPr>
        <w:t xml:space="preserve">mise en œuvre </w:t>
      </w:r>
      <w:r w:rsidR="00BD0947" w:rsidRPr="001E317D">
        <w:rPr>
          <w:lang w:val="fr-FR"/>
        </w:rPr>
        <w:t xml:space="preserve">plus large </w:t>
      </w:r>
      <w:r w:rsidRPr="001E317D">
        <w:rPr>
          <w:lang w:val="fr-FR"/>
        </w:rPr>
        <w:t xml:space="preserve">de l’article 18 de la Convention afin de faciliter le partage des bonnes pratiques de sauvegarde (voir la </w:t>
      </w:r>
      <w:hyperlink r:id="rId17" w:history="1">
        <w:r w:rsidRPr="001E317D">
          <w:rPr>
            <w:rStyle w:val="Hyperlink"/>
            <w:lang w:val="fr-FR"/>
          </w:rPr>
          <w:t>version préliminaire</w:t>
        </w:r>
      </w:hyperlink>
      <w:r w:rsidRPr="001E317D">
        <w:rPr>
          <w:lang w:val="fr-FR"/>
        </w:rPr>
        <w:t xml:space="preserve"> de la plateforme en ligne, lancée en mai 2025).</w:t>
      </w:r>
    </w:p>
    <w:p w14:paraId="40844A85" w14:textId="3F93A1CF" w:rsidR="00B11417" w:rsidRPr="001E317D" w:rsidRDefault="001E2C26" w:rsidP="000B445A">
      <w:pPr>
        <w:pStyle w:val="COMPara"/>
        <w:ind w:left="360"/>
        <w:jc w:val="both"/>
        <w:rPr>
          <w:lang w:val="fr-FR"/>
        </w:rPr>
      </w:pPr>
      <w:r w:rsidRPr="001E317D">
        <w:rPr>
          <w:lang w:val="fr-FR"/>
        </w:rPr>
        <w:t>Le travail techniquement complexe de simplification des formulaires de rapport périodique devrait bénéficier des discussions qui seront menées lors de la réunion mondiale de réflexion en question, afin d’affiner les révisions proposées avant la mise à disposition des formulaires aux États parties. L’objectif est de publier une version Word des formulaires révisés d’ici le 30 juin 2026 (cible).</w:t>
      </w:r>
    </w:p>
    <w:p w14:paraId="6137255E" w14:textId="17BF76D0" w:rsidR="00410E1D" w:rsidRPr="001E317D" w:rsidRDefault="001E2C26" w:rsidP="006D236D">
      <w:pPr>
        <w:pStyle w:val="COMPara"/>
        <w:numPr>
          <w:ilvl w:val="0"/>
          <w:numId w:val="5"/>
        </w:numPr>
        <w:spacing w:before="120"/>
        <w:ind w:left="357" w:hanging="357"/>
        <w:jc w:val="both"/>
        <w:rPr>
          <w:b/>
          <w:bCs/>
          <w:color w:val="000000" w:themeColor="text1"/>
          <w:lang w:val="fr-FR"/>
        </w:rPr>
      </w:pPr>
      <w:r w:rsidRPr="001E317D">
        <w:rPr>
          <w:b/>
          <w:bCs/>
          <w:color w:val="000000" w:themeColor="text1"/>
          <w:lang w:val="fr-FR"/>
        </w:rPr>
        <w:t xml:space="preserve">Renforcement des capacités </w:t>
      </w:r>
      <w:r w:rsidR="003C5DCD" w:rsidRPr="001E317D">
        <w:rPr>
          <w:b/>
          <w:bCs/>
          <w:color w:val="000000" w:themeColor="text1"/>
          <w:lang w:val="fr-FR"/>
        </w:rPr>
        <w:t>pour l’établissement</w:t>
      </w:r>
      <w:r w:rsidRPr="001E317D">
        <w:rPr>
          <w:b/>
          <w:bCs/>
          <w:color w:val="000000" w:themeColor="text1"/>
          <w:lang w:val="fr-FR"/>
        </w:rPr>
        <w:t xml:space="preserve"> de</w:t>
      </w:r>
      <w:r w:rsidR="003C5DCD" w:rsidRPr="001E317D">
        <w:rPr>
          <w:b/>
          <w:bCs/>
          <w:color w:val="000000" w:themeColor="text1"/>
          <w:lang w:val="fr-FR"/>
        </w:rPr>
        <w:t>s</w:t>
      </w:r>
      <w:r w:rsidRPr="001E317D">
        <w:rPr>
          <w:b/>
          <w:bCs/>
          <w:color w:val="000000" w:themeColor="text1"/>
          <w:lang w:val="fr-FR"/>
        </w:rPr>
        <w:t xml:space="preserve"> rapports périodiques</w:t>
      </w:r>
    </w:p>
    <w:p w14:paraId="281FB913" w14:textId="3E08755C" w:rsidR="00711C4F" w:rsidRPr="001E317D" w:rsidRDefault="00711C4F" w:rsidP="00711C4F">
      <w:pPr>
        <w:pStyle w:val="COMPara"/>
        <w:ind w:left="360"/>
        <w:jc w:val="both"/>
        <w:rPr>
          <w:sz w:val="24"/>
          <w:szCs w:val="24"/>
          <w:lang w:val="fr-FR"/>
        </w:rPr>
      </w:pPr>
      <w:r w:rsidRPr="001E317D">
        <w:rPr>
          <w:lang w:val="fr-FR"/>
        </w:rPr>
        <w:t xml:space="preserve">Le passage </w:t>
      </w:r>
      <w:r w:rsidR="003C5DCD" w:rsidRPr="001E317D">
        <w:rPr>
          <w:lang w:val="fr-FR"/>
        </w:rPr>
        <w:t xml:space="preserve">d’un </w:t>
      </w:r>
      <w:r w:rsidRPr="001E317D">
        <w:rPr>
          <w:lang w:val="fr-FR"/>
        </w:rPr>
        <w:t xml:space="preserve">système de soumission à l’échelle mondiale des rapports périodiques nécessite </w:t>
      </w:r>
      <w:r w:rsidR="003C5DCD" w:rsidRPr="001E317D">
        <w:rPr>
          <w:lang w:val="fr-FR"/>
        </w:rPr>
        <w:t xml:space="preserve">la </w:t>
      </w:r>
      <w:r w:rsidRPr="001E317D">
        <w:rPr>
          <w:lang w:val="fr-FR"/>
        </w:rPr>
        <w:t>planification d’une stratégie de renforcement des capacités ciblée</w:t>
      </w:r>
      <w:r w:rsidR="003C5DCD" w:rsidRPr="001E317D">
        <w:rPr>
          <w:lang w:val="fr-FR"/>
        </w:rPr>
        <w:t>. Celle-ci doit</w:t>
      </w:r>
      <w:r w:rsidRPr="001E317D">
        <w:rPr>
          <w:lang w:val="fr-FR"/>
        </w:rPr>
        <w:t xml:space="preserve"> </w:t>
      </w:r>
      <w:r w:rsidR="003C5DCD" w:rsidRPr="001E317D">
        <w:rPr>
          <w:lang w:val="fr-FR"/>
        </w:rPr>
        <w:t xml:space="preserve">tenir </w:t>
      </w:r>
      <w:r w:rsidRPr="001E317D">
        <w:rPr>
          <w:lang w:val="fr-FR"/>
        </w:rPr>
        <w:t xml:space="preserve">compte des ressources financières et humaines nécessaires à la lumière du nouveau calendrier de présentation des rapports, tout en conservant les pierres angulaires de la stratégie actuelle, telles que l’approche régionale et l’accent mis sur l’apprentissage par les pairs, qui se sont </w:t>
      </w:r>
      <w:r w:rsidR="003C5DCD" w:rsidRPr="001E317D">
        <w:rPr>
          <w:lang w:val="fr-FR"/>
        </w:rPr>
        <w:t xml:space="preserve">révélées </w:t>
      </w:r>
      <w:r w:rsidRPr="001E317D">
        <w:rPr>
          <w:lang w:val="fr-FR"/>
        </w:rPr>
        <w:t>efficaces au cours du premier cycle régional de présentation des rapports. Dans ce cadre, les activités de renforcement des capacités pourraient bénéficier d’une coopération et d’une collaboration renforcées avec les centres de catégorie 2, qui ont joué un rôle essentiel dans l’organisation et l’accueil des activités de formation au cours du cycle actuel et qui se sont déclarés prêts à s’impliquer plus largement dans l’exercice de rapports périodiques.</w:t>
      </w:r>
    </w:p>
    <w:p w14:paraId="48608FA2" w14:textId="11603FBF" w:rsidR="00711C4F" w:rsidRPr="001E317D" w:rsidRDefault="00711C4F" w:rsidP="00711C4F">
      <w:pPr>
        <w:pStyle w:val="COMPara"/>
        <w:ind w:left="360"/>
        <w:jc w:val="both"/>
        <w:rPr>
          <w:lang w:val="fr-FR"/>
        </w:rPr>
      </w:pPr>
      <w:r w:rsidRPr="001E317D">
        <w:rPr>
          <w:lang w:val="fr-FR"/>
        </w:rPr>
        <w:t xml:space="preserve">À ce jour, le Secrétariat a planifié une série d’activités au niveau </w:t>
      </w:r>
      <w:r w:rsidR="003C5DCD" w:rsidRPr="001E317D">
        <w:rPr>
          <w:lang w:val="fr-FR"/>
        </w:rPr>
        <w:t xml:space="preserve">mondial </w:t>
      </w:r>
      <w:r w:rsidRPr="001E317D">
        <w:rPr>
          <w:lang w:val="fr-FR"/>
        </w:rPr>
        <w:t xml:space="preserve">avec l’appui des centres de catégorie 2. Celles-ci comprennent une formation en ligne de formateurs, prévue du 17 au 18 septembre 2026, ainsi que la publication de </w:t>
      </w:r>
      <w:r w:rsidR="003C5DCD" w:rsidRPr="001E317D">
        <w:rPr>
          <w:lang w:val="fr-FR"/>
        </w:rPr>
        <w:t xml:space="preserve">ressources </w:t>
      </w:r>
      <w:r w:rsidRPr="001E317D">
        <w:rPr>
          <w:lang w:val="fr-FR"/>
        </w:rPr>
        <w:t xml:space="preserve">de renforcement des capacités actualisé à l’intention des points focaux, sur la </w:t>
      </w:r>
      <w:hyperlink r:id="rId18" w:history="1">
        <w:r w:rsidRPr="001E317D">
          <w:rPr>
            <w:rStyle w:val="Hyperlink"/>
            <w:lang w:val="fr-FR"/>
          </w:rPr>
          <w:t>page web</w:t>
        </w:r>
      </w:hyperlink>
      <w:r w:rsidRPr="001E317D">
        <w:rPr>
          <w:lang w:val="fr-FR"/>
        </w:rPr>
        <w:t xml:space="preserve"> dédiée de la Convention, entre septembre et octobre 2026. Parallèlement, des consultations avec les centres de catégorie 2 sont en cours afin de définir les modalités concrètes de coopération au niveau régional.</w:t>
      </w:r>
    </w:p>
    <w:p w14:paraId="24D40DAA" w14:textId="2E41E929" w:rsidR="00C62E2B" w:rsidRPr="001E317D" w:rsidRDefault="00C62E2B" w:rsidP="00C62E2B">
      <w:pPr>
        <w:pStyle w:val="COMPara"/>
        <w:ind w:left="360"/>
        <w:jc w:val="both"/>
        <w:rPr>
          <w:lang w:val="fr-FR"/>
        </w:rPr>
      </w:pPr>
      <w:r w:rsidRPr="001E317D">
        <w:rPr>
          <w:lang w:val="fr-FR"/>
        </w:rPr>
        <w:t>Bien que ces activités prévues constituent une avancée importante et très positive pour le renforcement des capacités en matière de rapport périodique, elles ne suffiront pas, à elles seules, à garantir un renforcement équitable des capacités dans toutes les régions. Des ressources financières et humaines supplémentaires seront nécessaires pour soutenir une mise en œuvre plus soutenue et plus inclusive, afin de garantir une couverture adéquate de l’ensemble des régions. À cet égard, un appui supplémentaire serait important pour consolider et renforcer ces efforts à plus grande échelle.</w:t>
      </w:r>
    </w:p>
    <w:p w14:paraId="7C019C6E" w14:textId="18EE1C9C" w:rsidR="00100D36" w:rsidRPr="001E317D" w:rsidRDefault="00711C4F" w:rsidP="006D236D">
      <w:pPr>
        <w:pStyle w:val="COMPara"/>
        <w:numPr>
          <w:ilvl w:val="0"/>
          <w:numId w:val="5"/>
        </w:numPr>
        <w:spacing w:before="240"/>
        <w:ind w:left="357" w:hanging="357"/>
        <w:jc w:val="both"/>
        <w:rPr>
          <w:b/>
          <w:bCs/>
          <w:color w:val="000000" w:themeColor="text1"/>
          <w:lang w:val="fr-FR"/>
        </w:rPr>
      </w:pPr>
      <w:r w:rsidRPr="001E317D">
        <w:rPr>
          <w:b/>
          <w:bCs/>
          <w:color w:val="000000" w:themeColor="text1"/>
          <w:lang w:val="fr-FR"/>
        </w:rPr>
        <w:t>Réunion de réflexion mondiale</w:t>
      </w:r>
    </w:p>
    <w:p w14:paraId="03703665" w14:textId="658B0E4E" w:rsidR="00711C4F" w:rsidRPr="001E317D" w:rsidRDefault="00711C4F" w:rsidP="00711C4F">
      <w:pPr>
        <w:pStyle w:val="COMPara"/>
        <w:ind w:left="360"/>
        <w:jc w:val="both"/>
        <w:rPr>
          <w:sz w:val="24"/>
          <w:szCs w:val="24"/>
          <w:lang w:val="fr-FR"/>
        </w:rPr>
      </w:pPr>
      <w:r w:rsidRPr="001E317D">
        <w:rPr>
          <w:lang w:val="fr-FR"/>
        </w:rPr>
        <w:t>L’année de réflexion, qui conclut le cycle actuel de rapport</w:t>
      </w:r>
      <w:r w:rsidR="00A838BD" w:rsidRPr="001E317D">
        <w:rPr>
          <w:lang w:val="fr-FR"/>
        </w:rPr>
        <w:t>s périodiques</w:t>
      </w:r>
      <w:r w:rsidRPr="001E317D">
        <w:rPr>
          <w:lang w:val="fr-FR"/>
        </w:rPr>
        <w:t xml:space="preserve">, sera déterminante pour évaluer les enseignements tirés et identifier les lacunes, en vue de renforcer davantage les mécanismes de rapport </w:t>
      </w:r>
      <w:r w:rsidR="00A838BD" w:rsidRPr="001E317D">
        <w:rPr>
          <w:lang w:val="fr-FR"/>
        </w:rPr>
        <w:t xml:space="preserve">périodique </w:t>
      </w:r>
      <w:r w:rsidRPr="001E317D">
        <w:rPr>
          <w:lang w:val="fr-FR"/>
        </w:rPr>
        <w:t>de la Convention et d’améliorer le suivi axé sur les résultats. En tant qu’étape clé de cette année de réflexion, la présente réunion de réflexion mondiale permettra de faire le point sur les enseignements tirés, tout en jetant les bases des cycles à venir à la lumière du passage à un système unique de soumission mondiale des rapports périodiques.</w:t>
      </w:r>
    </w:p>
    <w:p w14:paraId="02E379DE" w14:textId="22B0B5E8" w:rsidR="00711C4F" w:rsidRPr="001E317D" w:rsidRDefault="00711C4F" w:rsidP="00950238">
      <w:pPr>
        <w:pStyle w:val="COMPara"/>
        <w:ind w:left="360"/>
        <w:jc w:val="both"/>
        <w:rPr>
          <w:lang w:val="fr-FR"/>
        </w:rPr>
      </w:pPr>
      <w:r w:rsidRPr="001E317D">
        <w:rPr>
          <w:lang w:val="fr-FR"/>
        </w:rPr>
        <w:t xml:space="preserve">Réunissant les points focaux pour les rapports périodiques (le Secrétariat a appelé à leur désignation par lettre circulaire le 13 mars 2026) ainsi que les principaux acteurs techniques, la réunion </w:t>
      </w:r>
      <w:r w:rsidR="00950238" w:rsidRPr="001E317D">
        <w:rPr>
          <w:lang w:val="fr-FR"/>
        </w:rPr>
        <w:t xml:space="preserve">a été conçu également comme une plateforme importante </w:t>
      </w:r>
      <w:r w:rsidRPr="001E317D">
        <w:rPr>
          <w:lang w:val="fr-FR"/>
        </w:rPr>
        <w:t>pour affiner l</w:t>
      </w:r>
      <w:r w:rsidR="00A838BD" w:rsidRPr="001E317D">
        <w:rPr>
          <w:lang w:val="fr-FR"/>
        </w:rPr>
        <w:t>a</w:t>
      </w:r>
      <w:r w:rsidRPr="001E317D">
        <w:rPr>
          <w:lang w:val="fr-FR"/>
        </w:rPr>
        <w:t xml:space="preserve"> révision des formulaires de rapport périodique. En outre, elle offr</w:t>
      </w:r>
      <w:r w:rsidR="00950238" w:rsidRPr="001E317D">
        <w:rPr>
          <w:lang w:val="fr-FR"/>
        </w:rPr>
        <w:t>e</w:t>
      </w:r>
      <w:r w:rsidRPr="001E317D">
        <w:rPr>
          <w:lang w:val="fr-FR"/>
        </w:rPr>
        <w:t xml:space="preserve"> au Secrétariat l’occasion de partager des informations sur l’approche de renforcement des capacités pour </w:t>
      </w:r>
      <w:r w:rsidR="00950238" w:rsidRPr="001E317D">
        <w:rPr>
          <w:lang w:val="fr-FR"/>
        </w:rPr>
        <w:t>les prochains cycles</w:t>
      </w:r>
      <w:r w:rsidRPr="001E317D">
        <w:rPr>
          <w:lang w:val="fr-FR"/>
        </w:rPr>
        <w:t xml:space="preserve"> de rapport périodique.</w:t>
      </w:r>
    </w:p>
    <w:p w14:paraId="47AED555" w14:textId="32AB9D19" w:rsidR="00100D36" w:rsidRPr="00711C4F" w:rsidRDefault="00711C4F" w:rsidP="00711C4F">
      <w:pPr>
        <w:pStyle w:val="COMPara"/>
        <w:ind w:left="360"/>
        <w:jc w:val="both"/>
        <w:rPr>
          <w:lang w:val="fr-FR"/>
        </w:rPr>
      </w:pPr>
      <w:r w:rsidRPr="00711C4F">
        <w:rPr>
          <w:lang w:val="fr-FR"/>
        </w:rPr>
        <w:t xml:space="preserve">La </w:t>
      </w:r>
      <w:hyperlink r:id="rId19" w:history="1">
        <w:r w:rsidRPr="006A3463">
          <w:rPr>
            <w:rStyle w:val="Hyperlink"/>
            <w:lang w:val="fr-FR"/>
          </w:rPr>
          <w:t>page web dédiée</w:t>
        </w:r>
      </w:hyperlink>
      <w:r w:rsidRPr="00711C4F">
        <w:rPr>
          <w:lang w:val="fr-FR"/>
        </w:rPr>
        <w:t xml:space="preserve"> fournit l’ordre du jour et le calendrier, des informations contextuelles ainsi que la liste des </w:t>
      </w:r>
      <w:r>
        <w:rPr>
          <w:lang w:val="fr-FR"/>
        </w:rPr>
        <w:t>invités</w:t>
      </w:r>
      <w:r w:rsidRPr="00711C4F">
        <w:rPr>
          <w:lang w:val="fr-FR"/>
        </w:rPr>
        <w:t>, tandis que le présent document comprend une liste des principaux documents statutaires et décisions des organes directeurs relatifs au</w:t>
      </w:r>
      <w:r>
        <w:rPr>
          <w:lang w:val="fr-FR"/>
        </w:rPr>
        <w:t>x</w:t>
      </w:r>
      <w:r w:rsidRPr="00711C4F">
        <w:rPr>
          <w:lang w:val="fr-FR"/>
        </w:rPr>
        <w:t xml:space="preserve"> rapport</w:t>
      </w:r>
      <w:r>
        <w:rPr>
          <w:lang w:val="fr-FR"/>
        </w:rPr>
        <w:t>s</w:t>
      </w:r>
      <w:r w:rsidRPr="00711C4F">
        <w:rPr>
          <w:lang w:val="fr-FR"/>
        </w:rPr>
        <w:t xml:space="preserve"> périodique</w:t>
      </w:r>
      <w:r>
        <w:rPr>
          <w:lang w:val="fr-FR"/>
        </w:rPr>
        <w:t>s</w:t>
      </w:r>
      <w:r w:rsidRPr="00711C4F">
        <w:rPr>
          <w:lang w:val="fr-FR"/>
        </w:rPr>
        <w:t xml:space="preserve"> au titre de la Convention de 2003 (</w:t>
      </w:r>
      <w:hyperlink w:anchor="_Annexe_I:" w:history="1">
        <w:r w:rsidRPr="004A40A4">
          <w:rPr>
            <w:rStyle w:val="Hyperlink"/>
            <w:lang w:val="fr-FR"/>
          </w:rPr>
          <w:t>annexe I</w:t>
        </w:r>
      </w:hyperlink>
      <w:r w:rsidRPr="00711C4F">
        <w:rPr>
          <w:lang w:val="fr-FR"/>
        </w:rPr>
        <w:t>), ainsi que le calendrier du passage à un système de soumission unique à l’échelle mondiale des rapports périodiques (</w:t>
      </w:r>
      <w:hyperlink w:anchor="_Annexe_II:" w:history="1">
        <w:r w:rsidRPr="004A40A4">
          <w:rPr>
            <w:rStyle w:val="Hyperlink"/>
            <w:lang w:val="fr-FR"/>
          </w:rPr>
          <w:t>annexe II</w:t>
        </w:r>
      </w:hyperlink>
      <w:r w:rsidRPr="00711C4F">
        <w:rPr>
          <w:lang w:val="fr-FR"/>
        </w:rPr>
        <w:t>).</w:t>
      </w:r>
    </w:p>
    <w:p w14:paraId="1C828916" w14:textId="77777777" w:rsidR="00FE620E" w:rsidRPr="00711C4F" w:rsidRDefault="00FE620E">
      <w:pPr>
        <w:rPr>
          <w:rFonts w:ascii="Arial" w:hAnsi="Arial" w:cs="Arial"/>
          <w:b/>
          <w:bCs/>
          <w:snapToGrid w:val="0"/>
          <w:sz w:val="22"/>
          <w:szCs w:val="22"/>
          <w:lang w:eastAsia="en-US"/>
        </w:rPr>
      </w:pPr>
      <w:r w:rsidRPr="00711C4F">
        <w:rPr>
          <w:b/>
          <w:bCs/>
        </w:rPr>
        <w:br w:type="page"/>
      </w:r>
    </w:p>
    <w:p w14:paraId="593DA637" w14:textId="46593925" w:rsidR="00A94EF3" w:rsidRPr="00CA05EE" w:rsidRDefault="00FC582E" w:rsidP="00C04849">
      <w:pPr>
        <w:pStyle w:val="Heading4"/>
        <w:numPr>
          <w:ilvl w:val="0"/>
          <w:numId w:val="0"/>
        </w:numPr>
        <w:ind w:left="567" w:hanging="567"/>
        <w:rPr>
          <w:b w:val="0"/>
          <w:bCs w:val="0"/>
          <w:lang w:val="fr-BE"/>
        </w:rPr>
      </w:pPr>
      <w:bookmarkStart w:id="0" w:name="_Annexe_I:"/>
      <w:bookmarkEnd w:id="0"/>
      <w:r w:rsidRPr="00CA05EE">
        <w:rPr>
          <w:rStyle w:val="Heading4Char"/>
          <w:b/>
          <w:bCs/>
        </w:rPr>
        <w:t>Annex</w:t>
      </w:r>
      <w:r w:rsidR="00711C4F" w:rsidRPr="00CA05EE">
        <w:rPr>
          <w:rStyle w:val="Heading4Char"/>
          <w:b/>
          <w:bCs/>
        </w:rPr>
        <w:t>e</w:t>
      </w:r>
      <w:r w:rsidRPr="00CA05EE">
        <w:rPr>
          <w:rStyle w:val="Heading4Char"/>
          <w:b/>
          <w:bCs/>
        </w:rPr>
        <w:t xml:space="preserve"> I</w:t>
      </w:r>
      <w:r w:rsidRPr="00CA05EE">
        <w:rPr>
          <w:b w:val="0"/>
          <w:bCs w:val="0"/>
          <w:lang w:val="fr-BE"/>
        </w:rPr>
        <w:t xml:space="preserve">: </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84E63" w:rsidRPr="008E701B" w14:paraId="353D5D13" w14:textId="77777777" w:rsidTr="00701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2F2F2" w:themeFill="background1" w:themeFillShade="F2"/>
          </w:tcPr>
          <w:p w14:paraId="542547B9" w14:textId="7EE7670F" w:rsidR="00084E63" w:rsidRPr="008E701B" w:rsidRDefault="008E701B" w:rsidP="002C64EF">
            <w:pPr>
              <w:pStyle w:val="COMPara"/>
              <w:keepNext/>
              <w:numPr>
                <w:ilvl w:val="0"/>
                <w:numId w:val="0"/>
              </w:numPr>
              <w:spacing w:before="120"/>
              <w:jc w:val="both"/>
              <w:rPr>
                <w:lang w:val="fr-FR"/>
              </w:rPr>
            </w:pPr>
            <w:r w:rsidRPr="008E701B">
              <w:rPr>
                <w:lang w:val="fr-FR"/>
              </w:rPr>
              <w:t>Documents statutaires et décisions/résolutions des organes directeurs de la Convention de 2003 relatifs aux rapports périodiques</w:t>
            </w:r>
            <w:r w:rsidR="00951A36">
              <w:rPr>
                <w:rStyle w:val="FootnoteReference"/>
                <w:lang w:val="en-US"/>
              </w:rPr>
              <w:footnoteReference w:id="1"/>
            </w:r>
          </w:p>
        </w:tc>
      </w:tr>
    </w:tbl>
    <w:p w14:paraId="24346890" w14:textId="10C056E0" w:rsidR="00657E6B" w:rsidRPr="008E701B" w:rsidRDefault="00657E6B" w:rsidP="00E01E4F">
      <w:pPr>
        <w:pStyle w:val="COMPara"/>
        <w:numPr>
          <w:ilvl w:val="0"/>
          <w:numId w:val="0"/>
        </w:numPr>
        <w:spacing w:before="120"/>
        <w:jc w:val="both"/>
        <w:rPr>
          <w:sz w:val="18"/>
          <w:szCs w:val="18"/>
          <w:lang w:val="fr-FR"/>
        </w:rPr>
      </w:pPr>
    </w:p>
    <w:tbl>
      <w:tblPr>
        <w:tblStyle w:val="TableGrid"/>
        <w:tblW w:w="9678" w:type="dxa"/>
        <w:tblLayout w:type="fixed"/>
        <w:tblLook w:val="04A0" w:firstRow="1" w:lastRow="0" w:firstColumn="1" w:lastColumn="0" w:noHBand="0" w:noVBand="1"/>
      </w:tblPr>
      <w:tblGrid>
        <w:gridCol w:w="4815"/>
        <w:gridCol w:w="2410"/>
        <w:gridCol w:w="2453"/>
      </w:tblGrid>
      <w:tr w:rsidR="00967267" w14:paraId="79DA4E83" w14:textId="77777777" w:rsidTr="002518AC">
        <w:tc>
          <w:tcPr>
            <w:tcW w:w="4815" w:type="dxa"/>
            <w:shd w:val="clear" w:color="auto" w:fill="C6D9F1" w:themeFill="text2" w:themeFillTint="33"/>
          </w:tcPr>
          <w:p w14:paraId="185435B5" w14:textId="59B479B6" w:rsidR="00967267" w:rsidRPr="006341F5" w:rsidRDefault="00967267" w:rsidP="00C41DBD">
            <w:pPr>
              <w:pStyle w:val="COMPara"/>
              <w:numPr>
                <w:ilvl w:val="0"/>
                <w:numId w:val="0"/>
              </w:numPr>
              <w:spacing w:beforeLines="60" w:before="144" w:afterLines="60" w:after="144"/>
              <w:jc w:val="both"/>
              <w:rPr>
                <w:b/>
                <w:bCs/>
                <w:lang w:val="fr-FR"/>
              </w:rPr>
            </w:pPr>
            <w:r w:rsidRPr="006341F5">
              <w:rPr>
                <w:b/>
                <w:bCs/>
                <w:lang w:val="fr-FR"/>
              </w:rPr>
              <w:t>Sessions</w:t>
            </w:r>
          </w:p>
        </w:tc>
        <w:tc>
          <w:tcPr>
            <w:tcW w:w="2410" w:type="dxa"/>
            <w:shd w:val="clear" w:color="auto" w:fill="C6D9F1" w:themeFill="text2" w:themeFillTint="33"/>
          </w:tcPr>
          <w:p w14:paraId="719D2323" w14:textId="4A8F08B6" w:rsidR="00967267" w:rsidRPr="006341F5" w:rsidRDefault="00967267" w:rsidP="00C41DBD">
            <w:pPr>
              <w:pStyle w:val="COMPara"/>
              <w:numPr>
                <w:ilvl w:val="0"/>
                <w:numId w:val="0"/>
              </w:numPr>
              <w:spacing w:beforeLines="60" w:before="144" w:afterLines="60" w:after="144"/>
              <w:jc w:val="both"/>
              <w:rPr>
                <w:b/>
                <w:bCs/>
                <w:lang w:val="fr-FR"/>
              </w:rPr>
            </w:pPr>
            <w:r w:rsidRPr="006341F5">
              <w:rPr>
                <w:b/>
                <w:bCs/>
                <w:lang w:val="fr-FR"/>
              </w:rPr>
              <w:t>Documents</w:t>
            </w:r>
          </w:p>
        </w:tc>
        <w:tc>
          <w:tcPr>
            <w:tcW w:w="2453" w:type="dxa"/>
            <w:shd w:val="clear" w:color="auto" w:fill="C6D9F1" w:themeFill="text2" w:themeFillTint="33"/>
          </w:tcPr>
          <w:p w14:paraId="3459F35F" w14:textId="32B7A704" w:rsidR="00967267" w:rsidRPr="006341F5" w:rsidRDefault="006341F5" w:rsidP="00C41DBD">
            <w:pPr>
              <w:pStyle w:val="COMPara"/>
              <w:numPr>
                <w:ilvl w:val="0"/>
                <w:numId w:val="0"/>
              </w:numPr>
              <w:spacing w:beforeLines="60" w:before="144" w:afterLines="60" w:after="144"/>
              <w:jc w:val="both"/>
              <w:rPr>
                <w:b/>
                <w:bCs/>
                <w:lang w:val="fr-FR"/>
              </w:rPr>
            </w:pPr>
            <w:r w:rsidRPr="006341F5">
              <w:rPr>
                <w:b/>
                <w:bCs/>
                <w:lang w:val="fr-FR"/>
              </w:rPr>
              <w:t>Résultats</w:t>
            </w:r>
          </w:p>
        </w:tc>
      </w:tr>
      <w:tr w:rsidR="00D52D59" w:rsidRPr="001F5163" w14:paraId="39C5F466" w14:textId="77777777" w:rsidTr="002518AC">
        <w:tc>
          <w:tcPr>
            <w:tcW w:w="9678" w:type="dxa"/>
            <w:gridSpan w:val="3"/>
            <w:shd w:val="clear" w:color="auto" w:fill="F2F2F2" w:themeFill="background1" w:themeFillShade="F2"/>
          </w:tcPr>
          <w:p w14:paraId="6C19EDD5" w14:textId="435D753D" w:rsidR="00D52D59" w:rsidRPr="006341F5" w:rsidRDefault="001F5163" w:rsidP="00C41DBD">
            <w:pPr>
              <w:pStyle w:val="COMPara"/>
              <w:numPr>
                <w:ilvl w:val="0"/>
                <w:numId w:val="0"/>
              </w:numPr>
              <w:spacing w:beforeLines="60" w:before="144" w:afterLines="60" w:after="144"/>
              <w:jc w:val="both"/>
              <w:rPr>
                <w:lang w:val="fr-FR"/>
              </w:rPr>
            </w:pPr>
            <w:r w:rsidRPr="001F5163">
              <w:rPr>
                <w:b/>
                <w:bCs/>
                <w:lang w:val="fr-FR"/>
              </w:rPr>
              <w:t>Douzième session du Comité</w:t>
            </w:r>
            <w:r w:rsidR="00A07E6E" w:rsidRPr="006341F5">
              <w:rPr>
                <w:b/>
                <w:bCs/>
                <w:lang w:val="fr-FR"/>
              </w:rPr>
              <w:t xml:space="preserve"> </w:t>
            </w:r>
            <w:r w:rsidR="00A07E6E" w:rsidRPr="006341F5">
              <w:rPr>
                <w:lang w:val="fr-FR"/>
              </w:rPr>
              <w:t>(</w:t>
            </w:r>
            <w:r w:rsidRPr="001F5163">
              <w:rPr>
                <w:lang w:val="fr-FR"/>
              </w:rPr>
              <w:t>4</w:t>
            </w:r>
            <w:r>
              <w:rPr>
                <w:lang w:val="fr-FR"/>
              </w:rPr>
              <w:t>-</w:t>
            </w:r>
            <w:r w:rsidRPr="001F5163">
              <w:rPr>
                <w:lang w:val="fr-FR"/>
              </w:rPr>
              <w:t>9 décembre 2017</w:t>
            </w:r>
            <w:r w:rsidR="00A07E6E" w:rsidRPr="006341F5">
              <w:rPr>
                <w:lang w:val="fr-FR"/>
              </w:rPr>
              <w:t xml:space="preserve">, </w:t>
            </w:r>
            <w:r w:rsidRPr="001F5163">
              <w:rPr>
                <w:lang w:val="fr-FR"/>
              </w:rPr>
              <w:t>l’île de Jeju, République de Corée</w:t>
            </w:r>
            <w:r w:rsidR="00A07E6E" w:rsidRPr="006341F5">
              <w:rPr>
                <w:lang w:val="fr-FR"/>
              </w:rPr>
              <w:t>)</w:t>
            </w:r>
          </w:p>
        </w:tc>
      </w:tr>
      <w:tr w:rsidR="00D52D59" w14:paraId="4A205B45" w14:textId="77777777" w:rsidTr="002518AC">
        <w:tc>
          <w:tcPr>
            <w:tcW w:w="4815" w:type="dxa"/>
          </w:tcPr>
          <w:p w14:paraId="4C6B331B" w14:textId="180A419E" w:rsidR="00D52D59" w:rsidRPr="006341F5" w:rsidRDefault="001F5163" w:rsidP="00C41DBD">
            <w:pPr>
              <w:pStyle w:val="COMPara"/>
              <w:numPr>
                <w:ilvl w:val="0"/>
                <w:numId w:val="0"/>
              </w:numPr>
              <w:spacing w:beforeLines="60" w:before="144" w:afterLines="60" w:after="144"/>
              <w:jc w:val="both"/>
              <w:rPr>
                <w:b/>
                <w:bCs/>
                <w:lang w:val="fr-FR"/>
              </w:rPr>
            </w:pPr>
            <w:r w:rsidRPr="001F5163">
              <w:rPr>
                <w:lang w:val="fr-FR"/>
              </w:rPr>
              <w:t>Projet d’amendements aux Directives opérationnelles sur l’exercice de soumission des rapports périodiques</w:t>
            </w:r>
          </w:p>
        </w:tc>
        <w:tc>
          <w:tcPr>
            <w:tcW w:w="2410" w:type="dxa"/>
          </w:tcPr>
          <w:p w14:paraId="479465C1" w14:textId="48DF2DC2" w:rsidR="00D52D59" w:rsidRPr="006341F5" w:rsidRDefault="00D52D59" w:rsidP="00C41DBD">
            <w:pPr>
              <w:pStyle w:val="COMPara"/>
              <w:numPr>
                <w:ilvl w:val="0"/>
                <w:numId w:val="0"/>
              </w:numPr>
              <w:spacing w:beforeLines="60" w:before="144" w:afterLines="60" w:after="144"/>
              <w:jc w:val="both"/>
              <w:rPr>
                <w:lang w:val="fr-FR"/>
              </w:rPr>
            </w:pPr>
            <w:hyperlink r:id="rId20" w:history="1">
              <w:r w:rsidRPr="006341F5">
                <w:rPr>
                  <w:rStyle w:val="Hyperlink"/>
                  <w:lang w:val="fr-FR"/>
                </w:rPr>
                <w:t>ITH/17/12.COM/10</w:t>
              </w:r>
            </w:hyperlink>
          </w:p>
        </w:tc>
        <w:tc>
          <w:tcPr>
            <w:tcW w:w="2453" w:type="dxa"/>
          </w:tcPr>
          <w:p w14:paraId="231079E0" w14:textId="5F24D487" w:rsidR="00D52D59" w:rsidRPr="006341F5" w:rsidRDefault="00A07E6E" w:rsidP="00C41DBD">
            <w:pPr>
              <w:pStyle w:val="COMPara"/>
              <w:numPr>
                <w:ilvl w:val="0"/>
                <w:numId w:val="0"/>
              </w:numPr>
              <w:spacing w:beforeLines="60" w:before="144" w:afterLines="60" w:after="144"/>
              <w:jc w:val="both"/>
              <w:rPr>
                <w:lang w:val="fr-FR"/>
              </w:rPr>
            </w:pPr>
            <w:r w:rsidRPr="006341F5">
              <w:rPr>
                <w:lang w:val="fr-FR"/>
              </w:rPr>
              <w:t>D</w:t>
            </w:r>
            <w:r w:rsidR="001F5163">
              <w:rPr>
                <w:lang w:val="fr-FR"/>
              </w:rPr>
              <w:t>é</w:t>
            </w:r>
            <w:r w:rsidRPr="006341F5">
              <w:rPr>
                <w:lang w:val="fr-FR"/>
              </w:rPr>
              <w:t xml:space="preserve">cision </w:t>
            </w:r>
            <w:hyperlink r:id="rId21" w:history="1">
              <w:r w:rsidRPr="006341F5">
                <w:rPr>
                  <w:rStyle w:val="Hyperlink"/>
                  <w:lang w:val="fr-FR"/>
                </w:rPr>
                <w:t>12.COM 10</w:t>
              </w:r>
            </w:hyperlink>
          </w:p>
        </w:tc>
      </w:tr>
      <w:tr w:rsidR="00D52D59" w:rsidRPr="001F5163" w14:paraId="7BAB70BE" w14:textId="77777777" w:rsidTr="002518AC">
        <w:tc>
          <w:tcPr>
            <w:tcW w:w="9678" w:type="dxa"/>
            <w:gridSpan w:val="3"/>
            <w:shd w:val="clear" w:color="auto" w:fill="F2F2F2" w:themeFill="background1" w:themeFillShade="F2"/>
          </w:tcPr>
          <w:p w14:paraId="4969D209" w14:textId="0F7E99CF" w:rsidR="00D52D59" w:rsidRPr="006341F5" w:rsidRDefault="001F5163" w:rsidP="00C41DBD">
            <w:pPr>
              <w:pStyle w:val="COMPara"/>
              <w:numPr>
                <w:ilvl w:val="0"/>
                <w:numId w:val="0"/>
              </w:numPr>
              <w:spacing w:beforeLines="60" w:before="144" w:afterLines="60" w:after="144"/>
              <w:jc w:val="both"/>
              <w:rPr>
                <w:lang w:val="fr-FR"/>
              </w:rPr>
            </w:pPr>
            <w:r>
              <w:rPr>
                <w:b/>
                <w:bCs/>
                <w:lang w:val="fr-FR"/>
              </w:rPr>
              <w:t>S</w:t>
            </w:r>
            <w:r w:rsidRPr="001F5163">
              <w:rPr>
                <w:b/>
                <w:bCs/>
                <w:lang w:val="fr-FR"/>
              </w:rPr>
              <w:t xml:space="preserve">eptième session de l’Assemblée générale </w:t>
            </w:r>
            <w:r w:rsidR="007A3D93" w:rsidRPr="006341F5">
              <w:rPr>
                <w:lang w:val="fr-FR"/>
              </w:rPr>
              <w:t>(</w:t>
            </w:r>
            <w:r w:rsidR="00951A36" w:rsidRPr="006341F5">
              <w:rPr>
                <w:lang w:val="fr-FR"/>
              </w:rPr>
              <w:t>4</w:t>
            </w:r>
            <w:r>
              <w:rPr>
                <w:lang w:val="fr-FR"/>
              </w:rPr>
              <w:t>-</w:t>
            </w:r>
            <w:r w:rsidR="00951A36" w:rsidRPr="006341F5">
              <w:rPr>
                <w:lang w:val="fr-FR"/>
              </w:rPr>
              <w:t xml:space="preserve">6 </w:t>
            </w:r>
            <w:r>
              <w:rPr>
                <w:lang w:val="fr-FR"/>
              </w:rPr>
              <w:t>juin</w:t>
            </w:r>
            <w:r w:rsidR="00951A36" w:rsidRPr="006341F5">
              <w:rPr>
                <w:lang w:val="fr-FR"/>
              </w:rPr>
              <w:t xml:space="preserve"> 2018, </w:t>
            </w:r>
            <w:r w:rsidRPr="001F5163">
              <w:rPr>
                <w:lang w:val="fr-FR"/>
              </w:rPr>
              <w:t>Siège de l’UNESCO</w:t>
            </w:r>
            <w:r w:rsidR="007A3D93" w:rsidRPr="006341F5">
              <w:rPr>
                <w:lang w:val="fr-FR"/>
              </w:rPr>
              <w:t>)</w:t>
            </w:r>
          </w:p>
        </w:tc>
      </w:tr>
      <w:tr w:rsidR="00D52D59" w14:paraId="7ABF47F1" w14:textId="77777777" w:rsidTr="002518AC">
        <w:tc>
          <w:tcPr>
            <w:tcW w:w="4815" w:type="dxa"/>
          </w:tcPr>
          <w:p w14:paraId="62A0D6A5" w14:textId="59007D35" w:rsidR="00D52D59" w:rsidRPr="006341F5" w:rsidRDefault="00C41DBD" w:rsidP="00C41DBD">
            <w:pPr>
              <w:pStyle w:val="COMPara"/>
              <w:numPr>
                <w:ilvl w:val="0"/>
                <w:numId w:val="0"/>
              </w:numPr>
              <w:spacing w:beforeLines="60" w:before="144" w:afterLines="60" w:after="144"/>
              <w:jc w:val="both"/>
              <w:rPr>
                <w:b/>
                <w:bCs/>
                <w:lang w:val="fr-FR"/>
              </w:rPr>
            </w:pPr>
            <w:r w:rsidRPr="00C41DBD">
              <w:rPr>
                <w:lang w:val="fr-FR"/>
              </w:rPr>
              <w:t>Projet de cadre global de résultats</w:t>
            </w:r>
          </w:p>
        </w:tc>
        <w:tc>
          <w:tcPr>
            <w:tcW w:w="2410" w:type="dxa"/>
          </w:tcPr>
          <w:p w14:paraId="4F576184" w14:textId="13CA6EBE" w:rsidR="00D52D59" w:rsidRPr="006341F5" w:rsidRDefault="00D52D59" w:rsidP="00C41DBD">
            <w:pPr>
              <w:pStyle w:val="COMPara"/>
              <w:numPr>
                <w:ilvl w:val="0"/>
                <w:numId w:val="0"/>
              </w:numPr>
              <w:spacing w:beforeLines="60" w:before="144" w:afterLines="60" w:after="144"/>
              <w:jc w:val="both"/>
              <w:rPr>
                <w:lang w:val="fr-FR"/>
              </w:rPr>
            </w:pPr>
            <w:hyperlink r:id="rId22" w:history="1">
              <w:r w:rsidRPr="006341F5">
                <w:rPr>
                  <w:rStyle w:val="Hyperlink"/>
                  <w:lang w:val="fr-FR"/>
                </w:rPr>
                <w:t>ITH/18/7.GA/9</w:t>
              </w:r>
            </w:hyperlink>
          </w:p>
        </w:tc>
        <w:tc>
          <w:tcPr>
            <w:tcW w:w="2453" w:type="dxa"/>
          </w:tcPr>
          <w:p w14:paraId="6644DC2B" w14:textId="1D063003" w:rsidR="00D52D59" w:rsidRPr="006341F5" w:rsidRDefault="00B6049F" w:rsidP="00C41DBD">
            <w:pPr>
              <w:pStyle w:val="COMPara"/>
              <w:numPr>
                <w:ilvl w:val="0"/>
                <w:numId w:val="0"/>
              </w:numPr>
              <w:spacing w:beforeLines="60" w:before="144" w:afterLines="60" w:after="144"/>
              <w:jc w:val="both"/>
              <w:rPr>
                <w:lang w:val="fr-FR"/>
              </w:rPr>
            </w:pPr>
            <w:r w:rsidRPr="006341F5">
              <w:rPr>
                <w:lang w:val="fr-FR"/>
              </w:rPr>
              <w:t>R</w:t>
            </w:r>
            <w:r w:rsidR="00C41DBD">
              <w:rPr>
                <w:lang w:val="fr-FR"/>
              </w:rPr>
              <w:t>é</w:t>
            </w:r>
            <w:r w:rsidRPr="006341F5">
              <w:rPr>
                <w:lang w:val="fr-FR"/>
              </w:rPr>
              <w:t xml:space="preserve">solution </w:t>
            </w:r>
            <w:hyperlink r:id="rId23" w:history="1">
              <w:r w:rsidRPr="006341F5">
                <w:rPr>
                  <w:rStyle w:val="Hyperlink"/>
                  <w:lang w:val="fr-FR"/>
                </w:rPr>
                <w:t>7.GA 9</w:t>
              </w:r>
            </w:hyperlink>
          </w:p>
        </w:tc>
      </w:tr>
      <w:tr w:rsidR="00D52D59" w:rsidRPr="00C41DBD" w14:paraId="66A1DFC3" w14:textId="77777777" w:rsidTr="002518AC">
        <w:tc>
          <w:tcPr>
            <w:tcW w:w="9678" w:type="dxa"/>
            <w:gridSpan w:val="3"/>
            <w:shd w:val="clear" w:color="auto" w:fill="F2F2F2" w:themeFill="background1" w:themeFillShade="F2"/>
          </w:tcPr>
          <w:p w14:paraId="73282860" w14:textId="5B375841" w:rsidR="00D52D59" w:rsidRPr="006341F5" w:rsidRDefault="00C41DBD" w:rsidP="00C41DBD">
            <w:pPr>
              <w:pStyle w:val="COMPara"/>
              <w:numPr>
                <w:ilvl w:val="0"/>
                <w:numId w:val="0"/>
              </w:numPr>
              <w:spacing w:beforeLines="60" w:before="144" w:afterLines="60" w:after="144"/>
              <w:jc w:val="both"/>
              <w:rPr>
                <w:lang w:val="fr-FR"/>
              </w:rPr>
            </w:pPr>
            <w:r w:rsidRPr="00C41DBD">
              <w:rPr>
                <w:b/>
                <w:bCs/>
                <w:lang w:val="fr-FR"/>
              </w:rPr>
              <w:t xml:space="preserve">Treizième session du Comité </w:t>
            </w:r>
            <w:r w:rsidR="00ED711D" w:rsidRPr="006341F5">
              <w:rPr>
                <w:lang w:val="fr-FR"/>
              </w:rPr>
              <w:t xml:space="preserve">(26 </w:t>
            </w:r>
            <w:r w:rsidR="00130901">
              <w:rPr>
                <w:lang w:val="fr-FR"/>
              </w:rPr>
              <w:t>novembre</w:t>
            </w:r>
            <w:r>
              <w:rPr>
                <w:lang w:val="fr-FR"/>
              </w:rPr>
              <w:t>-</w:t>
            </w:r>
            <w:r w:rsidR="00ED711D" w:rsidRPr="006341F5">
              <w:rPr>
                <w:lang w:val="fr-FR"/>
              </w:rPr>
              <w:t xml:space="preserve">1 </w:t>
            </w:r>
            <w:r w:rsidR="00130901">
              <w:rPr>
                <w:lang w:val="fr-FR"/>
              </w:rPr>
              <w:t>décembre</w:t>
            </w:r>
            <w:r w:rsidR="00ED711D" w:rsidRPr="006341F5">
              <w:rPr>
                <w:lang w:val="fr-FR"/>
              </w:rPr>
              <w:t xml:space="preserve"> 2018, Port Louis, </w:t>
            </w:r>
            <w:r w:rsidR="00130901" w:rsidRPr="00130901">
              <w:rPr>
                <w:lang w:val="fr-FR"/>
              </w:rPr>
              <w:t>République de Maurice</w:t>
            </w:r>
            <w:r w:rsidR="00ED711D" w:rsidRPr="006341F5">
              <w:rPr>
                <w:lang w:val="fr-FR"/>
              </w:rPr>
              <w:t>)</w:t>
            </w:r>
          </w:p>
        </w:tc>
      </w:tr>
      <w:tr w:rsidR="00D52D59" w14:paraId="641107EE" w14:textId="77777777" w:rsidTr="002518AC">
        <w:tc>
          <w:tcPr>
            <w:tcW w:w="4815" w:type="dxa"/>
          </w:tcPr>
          <w:p w14:paraId="3C245F2A" w14:textId="2944891F" w:rsidR="00D52D59" w:rsidRPr="006341F5" w:rsidRDefault="00965139" w:rsidP="00C41DBD">
            <w:pPr>
              <w:pStyle w:val="COMPara"/>
              <w:numPr>
                <w:ilvl w:val="0"/>
                <w:numId w:val="0"/>
              </w:numPr>
              <w:spacing w:beforeLines="60" w:before="144" w:afterLines="60" w:after="144"/>
              <w:jc w:val="both"/>
              <w:rPr>
                <w:b/>
                <w:bCs/>
                <w:lang w:val="fr-FR"/>
              </w:rPr>
            </w:pPr>
            <w:r w:rsidRPr="00965139">
              <w:rPr>
                <w:lang w:val="fr-FR"/>
              </w:rPr>
              <w:t>Réforme du mécanisme des rapports périodiques</w:t>
            </w:r>
          </w:p>
        </w:tc>
        <w:tc>
          <w:tcPr>
            <w:tcW w:w="2410" w:type="dxa"/>
          </w:tcPr>
          <w:p w14:paraId="5A63B582" w14:textId="59CC7343" w:rsidR="00D52D59" w:rsidRPr="006341F5" w:rsidRDefault="00D52D59" w:rsidP="00C41DBD">
            <w:pPr>
              <w:pStyle w:val="COMPara"/>
              <w:numPr>
                <w:ilvl w:val="0"/>
                <w:numId w:val="0"/>
              </w:numPr>
              <w:spacing w:beforeLines="60" w:before="144" w:afterLines="60" w:after="144"/>
              <w:jc w:val="both"/>
              <w:rPr>
                <w:lang w:val="fr-FR"/>
              </w:rPr>
            </w:pPr>
            <w:hyperlink r:id="rId24" w:history="1">
              <w:r w:rsidRPr="006341F5">
                <w:rPr>
                  <w:rStyle w:val="Hyperlink"/>
                  <w:lang w:val="fr-FR"/>
                </w:rPr>
                <w:t>ITH/18/13.COM/8</w:t>
              </w:r>
            </w:hyperlink>
          </w:p>
        </w:tc>
        <w:tc>
          <w:tcPr>
            <w:tcW w:w="2453" w:type="dxa"/>
          </w:tcPr>
          <w:p w14:paraId="3E37219B" w14:textId="393CDD1F" w:rsidR="00D52D59"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965139">
              <w:rPr>
                <w:lang w:val="fr-FR"/>
              </w:rPr>
              <w:t>é</w:t>
            </w:r>
            <w:r w:rsidRPr="006341F5">
              <w:rPr>
                <w:lang w:val="fr-FR"/>
              </w:rPr>
              <w:t xml:space="preserve">cision </w:t>
            </w:r>
            <w:hyperlink r:id="rId25" w:history="1">
              <w:r w:rsidR="0029479B" w:rsidRPr="006341F5">
                <w:rPr>
                  <w:rStyle w:val="Hyperlink"/>
                  <w:lang w:val="fr-FR"/>
                </w:rPr>
                <w:t>13.COM 8</w:t>
              </w:r>
            </w:hyperlink>
          </w:p>
        </w:tc>
      </w:tr>
      <w:tr w:rsidR="00D52D59" w:rsidRPr="00965139" w14:paraId="07569D80" w14:textId="77777777" w:rsidTr="002518AC">
        <w:tc>
          <w:tcPr>
            <w:tcW w:w="9678" w:type="dxa"/>
            <w:gridSpan w:val="3"/>
            <w:shd w:val="clear" w:color="auto" w:fill="F2F2F2" w:themeFill="background1" w:themeFillShade="F2"/>
          </w:tcPr>
          <w:p w14:paraId="3507CD2A" w14:textId="24DE8E91" w:rsidR="00D52D59" w:rsidRPr="006341F5" w:rsidRDefault="00965139" w:rsidP="00C41DBD">
            <w:pPr>
              <w:pStyle w:val="COMPara"/>
              <w:numPr>
                <w:ilvl w:val="0"/>
                <w:numId w:val="0"/>
              </w:numPr>
              <w:spacing w:beforeLines="60" w:before="144" w:afterLines="60" w:after="144"/>
              <w:jc w:val="both"/>
              <w:rPr>
                <w:lang w:val="fr-FR"/>
              </w:rPr>
            </w:pPr>
            <w:r w:rsidRPr="00965139">
              <w:rPr>
                <w:b/>
                <w:bCs/>
                <w:lang w:val="fr-FR"/>
              </w:rPr>
              <w:t>Quatorzième session du Comité</w:t>
            </w:r>
            <w:r w:rsidR="00ED711D" w:rsidRPr="006341F5">
              <w:rPr>
                <w:b/>
                <w:bCs/>
                <w:lang w:val="fr-FR"/>
              </w:rPr>
              <w:t xml:space="preserve"> </w:t>
            </w:r>
            <w:r w:rsidR="00ED711D" w:rsidRPr="006341F5">
              <w:rPr>
                <w:lang w:val="fr-FR"/>
              </w:rPr>
              <w:t>(9</w:t>
            </w:r>
            <w:r>
              <w:rPr>
                <w:lang w:val="fr-FR"/>
              </w:rPr>
              <w:t>-</w:t>
            </w:r>
            <w:r w:rsidR="00ED711D" w:rsidRPr="006341F5">
              <w:rPr>
                <w:lang w:val="fr-FR"/>
              </w:rPr>
              <w:t xml:space="preserve">14 </w:t>
            </w:r>
            <w:r>
              <w:rPr>
                <w:lang w:val="fr-FR"/>
              </w:rPr>
              <w:t>décembre</w:t>
            </w:r>
            <w:r w:rsidR="00ED711D" w:rsidRPr="006341F5">
              <w:rPr>
                <w:lang w:val="fr-FR"/>
              </w:rPr>
              <w:t xml:space="preserve"> 2019, Bogota, Colombi</w:t>
            </w:r>
            <w:r>
              <w:rPr>
                <w:lang w:val="fr-FR"/>
              </w:rPr>
              <w:t>e</w:t>
            </w:r>
            <w:r w:rsidR="00ED711D" w:rsidRPr="006341F5">
              <w:rPr>
                <w:lang w:val="fr-FR"/>
              </w:rPr>
              <w:t>)</w:t>
            </w:r>
          </w:p>
        </w:tc>
      </w:tr>
      <w:tr w:rsidR="00B86B73" w14:paraId="0808BCAE" w14:textId="77777777" w:rsidTr="002C64EF">
        <w:tc>
          <w:tcPr>
            <w:tcW w:w="4815" w:type="dxa"/>
          </w:tcPr>
          <w:p w14:paraId="45B8EA3F" w14:textId="1C72CD3E" w:rsidR="00B86B73" w:rsidRPr="006341F5" w:rsidRDefault="00965139" w:rsidP="00C41DBD">
            <w:pPr>
              <w:pStyle w:val="COMPara"/>
              <w:numPr>
                <w:ilvl w:val="0"/>
                <w:numId w:val="0"/>
              </w:numPr>
              <w:spacing w:beforeLines="60" w:before="144" w:afterLines="60" w:after="144"/>
              <w:jc w:val="both"/>
              <w:rPr>
                <w:lang w:val="fr-FR"/>
              </w:rPr>
            </w:pPr>
            <w:r w:rsidRPr="00965139">
              <w:rPr>
                <w:lang w:val="fr-FR"/>
              </w:rPr>
              <w:t>Réforme du mécanisme des rapports périodiques</w:t>
            </w:r>
          </w:p>
        </w:tc>
        <w:tc>
          <w:tcPr>
            <w:tcW w:w="2410" w:type="dxa"/>
          </w:tcPr>
          <w:p w14:paraId="61FF505C" w14:textId="38CD7C04" w:rsidR="00B86B73" w:rsidRPr="006341F5" w:rsidRDefault="00B86B73" w:rsidP="00C41DBD">
            <w:pPr>
              <w:pStyle w:val="COMPara"/>
              <w:numPr>
                <w:ilvl w:val="0"/>
                <w:numId w:val="0"/>
              </w:numPr>
              <w:spacing w:beforeLines="60" w:before="144" w:afterLines="60" w:after="144"/>
              <w:jc w:val="both"/>
              <w:rPr>
                <w:lang w:val="fr-FR"/>
              </w:rPr>
            </w:pPr>
            <w:hyperlink r:id="rId26" w:history="1">
              <w:r w:rsidRPr="006341F5">
                <w:rPr>
                  <w:rStyle w:val="Hyperlink"/>
                  <w:lang w:val="fr-FR"/>
                </w:rPr>
                <w:t>LHE/19/14.COM/8</w:t>
              </w:r>
            </w:hyperlink>
          </w:p>
        </w:tc>
        <w:tc>
          <w:tcPr>
            <w:tcW w:w="2453" w:type="dxa"/>
          </w:tcPr>
          <w:p w14:paraId="1ABAB6EF" w14:textId="5F4BCC61" w:rsidR="00B86B73" w:rsidRPr="006341F5" w:rsidRDefault="00965139" w:rsidP="00C41DBD">
            <w:pPr>
              <w:pStyle w:val="COMPara"/>
              <w:numPr>
                <w:ilvl w:val="0"/>
                <w:numId w:val="0"/>
              </w:numPr>
              <w:spacing w:beforeLines="60" w:before="144" w:afterLines="60" w:after="144"/>
              <w:jc w:val="both"/>
              <w:rPr>
                <w:lang w:val="fr-FR"/>
              </w:rPr>
            </w:pPr>
            <w:r w:rsidRPr="006341F5">
              <w:rPr>
                <w:lang w:val="fr-FR"/>
              </w:rPr>
              <w:t>Décision</w:t>
            </w:r>
            <w:r w:rsidR="00A30D55" w:rsidRPr="006341F5">
              <w:rPr>
                <w:lang w:val="fr-FR"/>
              </w:rPr>
              <w:t xml:space="preserve"> </w:t>
            </w:r>
            <w:hyperlink r:id="rId27" w:history="1">
              <w:r w:rsidR="00B86B73" w:rsidRPr="006341F5">
                <w:rPr>
                  <w:rStyle w:val="Hyperlink"/>
                  <w:lang w:val="fr-FR"/>
                </w:rPr>
                <w:t>14.COM 8</w:t>
              </w:r>
            </w:hyperlink>
          </w:p>
        </w:tc>
      </w:tr>
      <w:tr w:rsidR="00B86B73" w:rsidRPr="00562C1E" w14:paraId="332A7BA6" w14:textId="77777777" w:rsidTr="002518AC">
        <w:tc>
          <w:tcPr>
            <w:tcW w:w="9678" w:type="dxa"/>
            <w:gridSpan w:val="3"/>
            <w:shd w:val="clear" w:color="auto" w:fill="F2F2F2" w:themeFill="background1" w:themeFillShade="F2"/>
          </w:tcPr>
          <w:p w14:paraId="05915304" w14:textId="34F68C3C" w:rsidR="00B86B73" w:rsidRPr="006341F5" w:rsidRDefault="00562C1E" w:rsidP="00C41DBD">
            <w:pPr>
              <w:pStyle w:val="COMPara"/>
              <w:numPr>
                <w:ilvl w:val="0"/>
                <w:numId w:val="0"/>
              </w:numPr>
              <w:spacing w:beforeLines="60" w:before="144" w:afterLines="60" w:after="144"/>
              <w:jc w:val="both"/>
              <w:rPr>
                <w:lang w:val="fr-FR"/>
              </w:rPr>
            </w:pPr>
            <w:r w:rsidRPr="00562C1E">
              <w:rPr>
                <w:b/>
                <w:bCs/>
                <w:lang w:val="fr-FR"/>
              </w:rPr>
              <w:t xml:space="preserve">Seizième session du Comité </w:t>
            </w:r>
            <w:r w:rsidR="00B86B73" w:rsidRPr="006341F5">
              <w:rPr>
                <w:lang w:val="fr-FR"/>
              </w:rPr>
              <w:t>(13</w:t>
            </w:r>
            <w:r>
              <w:rPr>
                <w:lang w:val="fr-FR"/>
              </w:rPr>
              <w:t>-</w:t>
            </w:r>
            <w:r w:rsidR="00B86B73" w:rsidRPr="006341F5">
              <w:rPr>
                <w:lang w:val="fr-FR"/>
              </w:rPr>
              <w:t xml:space="preserve">18 </w:t>
            </w:r>
            <w:r>
              <w:rPr>
                <w:lang w:val="fr-FR"/>
              </w:rPr>
              <w:t>décembre</w:t>
            </w:r>
            <w:r w:rsidR="00B86B73" w:rsidRPr="006341F5">
              <w:rPr>
                <w:lang w:val="fr-FR"/>
              </w:rPr>
              <w:t xml:space="preserve"> 2021, </w:t>
            </w:r>
            <w:r>
              <w:rPr>
                <w:lang w:val="fr-FR"/>
              </w:rPr>
              <w:t>En ligne</w:t>
            </w:r>
            <w:r w:rsidR="00B86B73" w:rsidRPr="006341F5">
              <w:rPr>
                <w:lang w:val="fr-FR"/>
              </w:rPr>
              <w:t>)</w:t>
            </w:r>
          </w:p>
        </w:tc>
      </w:tr>
      <w:tr w:rsidR="00B86B73" w:rsidRPr="00562C1E" w14:paraId="3AA6E7D0" w14:textId="77777777" w:rsidTr="002518AC">
        <w:tc>
          <w:tcPr>
            <w:tcW w:w="4815" w:type="dxa"/>
          </w:tcPr>
          <w:p w14:paraId="5260D1B9" w14:textId="53F34D00" w:rsidR="00B86B73" w:rsidRPr="006341F5" w:rsidRDefault="00562C1E" w:rsidP="00C41DBD">
            <w:pPr>
              <w:pStyle w:val="COMPara"/>
              <w:numPr>
                <w:ilvl w:val="0"/>
                <w:numId w:val="0"/>
              </w:numPr>
              <w:spacing w:beforeLines="60" w:before="144" w:afterLines="60" w:after="144"/>
              <w:jc w:val="both"/>
              <w:rPr>
                <w:b/>
                <w:bCs/>
                <w:lang w:val="fr-FR"/>
              </w:rPr>
            </w:pPr>
            <w:r w:rsidRPr="00562C1E">
              <w:rPr>
                <w:lang w:val="fr-FR"/>
              </w:rPr>
              <w:t>Examen des rapports des États parties sur l’état actuel d’éléments inscrits sur la Liste du patrimoine culturel immatériel nécessitant une sauvegarde urgente</w:t>
            </w:r>
          </w:p>
        </w:tc>
        <w:tc>
          <w:tcPr>
            <w:tcW w:w="2410" w:type="dxa"/>
          </w:tcPr>
          <w:p w14:paraId="675A831E" w14:textId="60A14D60" w:rsidR="00B86B73" w:rsidRPr="006341F5" w:rsidRDefault="00B86B73" w:rsidP="00C41DBD">
            <w:pPr>
              <w:pStyle w:val="COMPara"/>
              <w:numPr>
                <w:ilvl w:val="0"/>
                <w:numId w:val="0"/>
              </w:numPr>
              <w:spacing w:beforeLines="60" w:before="144" w:afterLines="60" w:after="144"/>
              <w:jc w:val="both"/>
              <w:rPr>
                <w:lang w:val="fr-FR"/>
              </w:rPr>
            </w:pPr>
            <w:hyperlink r:id="rId28" w:history="1">
              <w:r w:rsidRPr="006341F5">
                <w:rPr>
                  <w:rStyle w:val="Hyperlink"/>
                  <w:lang w:val="fr-FR"/>
                </w:rPr>
                <w:t>LHE/21/16.COM/7.a</w:t>
              </w:r>
            </w:hyperlink>
          </w:p>
        </w:tc>
        <w:tc>
          <w:tcPr>
            <w:tcW w:w="2453" w:type="dxa"/>
          </w:tcPr>
          <w:p w14:paraId="6B9A1DD7" w14:textId="3E96667E" w:rsidR="00B86B73" w:rsidRPr="00D755DF" w:rsidRDefault="00965139" w:rsidP="00C41DBD">
            <w:pPr>
              <w:pStyle w:val="COMPara"/>
              <w:numPr>
                <w:ilvl w:val="0"/>
                <w:numId w:val="0"/>
              </w:numPr>
              <w:spacing w:beforeLines="60" w:before="144" w:afterLines="60" w:after="144"/>
              <w:jc w:val="both"/>
              <w:rPr>
                <w:lang w:val="fr-FR"/>
              </w:rPr>
            </w:pPr>
            <w:r w:rsidRPr="00AC20B9">
              <w:rPr>
                <w:lang w:val="fr-FR"/>
              </w:rPr>
              <w:t>Décision</w:t>
            </w:r>
            <w:r w:rsidR="00A30D55" w:rsidRPr="00D755DF">
              <w:rPr>
                <w:lang w:val="fr-FR"/>
              </w:rPr>
              <w:t xml:space="preserve"> </w:t>
            </w:r>
            <w:hyperlink r:id="rId29" w:history="1">
              <w:r w:rsidR="00B86B73" w:rsidRPr="00D755DF">
                <w:rPr>
                  <w:rStyle w:val="Hyperlink"/>
                  <w:lang w:val="fr-FR"/>
                </w:rPr>
                <w:t>16.COM 7.a</w:t>
              </w:r>
            </w:hyperlink>
          </w:p>
          <w:p w14:paraId="1664F8BB" w14:textId="3DAA1A53" w:rsidR="00562C1E" w:rsidRPr="00562C1E" w:rsidRDefault="00562C1E" w:rsidP="00562C1E">
            <w:pPr>
              <w:pStyle w:val="COMPara"/>
              <w:numPr>
                <w:ilvl w:val="0"/>
                <w:numId w:val="0"/>
              </w:numPr>
              <w:spacing w:beforeLines="60" w:before="144" w:afterLines="60" w:after="144"/>
              <w:jc w:val="both"/>
              <w:rPr>
                <w:lang w:val="fr-FR"/>
              </w:rPr>
            </w:pPr>
            <w:r w:rsidRPr="00562C1E">
              <w:rPr>
                <w:lang w:val="fr-FR"/>
              </w:rPr>
              <w:t xml:space="preserve">Voir également les </w:t>
            </w:r>
            <w:hyperlink r:id="rId30" w:history="1">
              <w:r w:rsidRPr="00562C1E">
                <w:rPr>
                  <w:rStyle w:val="Hyperlink"/>
                  <w:lang w:val="fr-FR"/>
                </w:rPr>
                <w:t>décisions individuelles</w:t>
              </w:r>
            </w:hyperlink>
            <w:r w:rsidRPr="00562C1E">
              <w:rPr>
                <w:lang w:val="fr-FR"/>
              </w:rPr>
              <w:t xml:space="preserve"> au titre du point 7.a</w:t>
            </w:r>
          </w:p>
        </w:tc>
      </w:tr>
      <w:tr w:rsidR="00B86B73" w14:paraId="1A3C91F5" w14:textId="77777777" w:rsidTr="002518AC">
        <w:tc>
          <w:tcPr>
            <w:tcW w:w="4815" w:type="dxa"/>
          </w:tcPr>
          <w:p w14:paraId="1537D3C7" w14:textId="4576EE12" w:rsidR="00B86B73" w:rsidRPr="00AC37F5" w:rsidRDefault="00AC37F5" w:rsidP="00C41DBD">
            <w:pPr>
              <w:pStyle w:val="COMPara"/>
              <w:numPr>
                <w:ilvl w:val="0"/>
                <w:numId w:val="0"/>
              </w:numPr>
              <w:spacing w:beforeLines="60" w:before="144" w:afterLines="60" w:after="144"/>
              <w:jc w:val="both"/>
              <w:rPr>
                <w:b/>
                <w:bCs/>
                <w:lang w:val="fr-FR"/>
              </w:rPr>
            </w:pPr>
            <w:r w:rsidRPr="00AC37F5">
              <w:rPr>
                <w:lang w:val="fr-FR"/>
              </w:rPr>
              <w:t>Examen des rapports du premier cycle de rapports périodiques sur la mise en œuvre de la Convention et sur l’état actuel des éléments inscrits sur la Liste représentative du patrimoine culturel immatériel de l’humanité des États parties d’Amérique latine et des Caraïbes</w:t>
            </w:r>
          </w:p>
        </w:tc>
        <w:tc>
          <w:tcPr>
            <w:tcW w:w="2410" w:type="dxa"/>
          </w:tcPr>
          <w:p w14:paraId="19C42654" w14:textId="625C9471" w:rsidR="00B86B73" w:rsidRPr="006341F5" w:rsidRDefault="00B86B73" w:rsidP="00C41DBD">
            <w:pPr>
              <w:pStyle w:val="COMPara"/>
              <w:numPr>
                <w:ilvl w:val="0"/>
                <w:numId w:val="0"/>
              </w:numPr>
              <w:spacing w:beforeLines="60" w:before="144" w:afterLines="60" w:after="144"/>
              <w:jc w:val="both"/>
              <w:rPr>
                <w:lang w:val="fr-FR"/>
              </w:rPr>
            </w:pPr>
            <w:hyperlink r:id="rId31" w:history="1">
              <w:r w:rsidRPr="006341F5">
                <w:rPr>
                  <w:rStyle w:val="Hyperlink"/>
                  <w:lang w:val="fr-FR"/>
                </w:rPr>
                <w:t>LHE/21/16.COM/7.b</w:t>
              </w:r>
            </w:hyperlink>
          </w:p>
        </w:tc>
        <w:tc>
          <w:tcPr>
            <w:tcW w:w="2453" w:type="dxa"/>
          </w:tcPr>
          <w:p w14:paraId="14FF1E5D" w14:textId="580E7EDF"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AC37F5">
              <w:rPr>
                <w:lang w:val="fr-FR"/>
              </w:rPr>
              <w:t>é</w:t>
            </w:r>
            <w:r w:rsidRPr="006341F5">
              <w:rPr>
                <w:lang w:val="fr-FR"/>
              </w:rPr>
              <w:t xml:space="preserve">cision </w:t>
            </w:r>
            <w:hyperlink r:id="rId32" w:history="1">
              <w:r w:rsidR="00B86B73" w:rsidRPr="006341F5">
                <w:rPr>
                  <w:rStyle w:val="Hyperlink"/>
                  <w:lang w:val="fr-FR"/>
                </w:rPr>
                <w:t>16.COM 7.b</w:t>
              </w:r>
            </w:hyperlink>
          </w:p>
        </w:tc>
      </w:tr>
      <w:tr w:rsidR="00B86B73" w14:paraId="65BC3DA6" w14:textId="77777777" w:rsidTr="002518AC">
        <w:tc>
          <w:tcPr>
            <w:tcW w:w="4815" w:type="dxa"/>
          </w:tcPr>
          <w:p w14:paraId="6C86F051" w14:textId="567A458A" w:rsidR="00B86B73" w:rsidRPr="006341F5" w:rsidRDefault="00AC37F5" w:rsidP="00C41DBD">
            <w:pPr>
              <w:pStyle w:val="COMPara"/>
              <w:numPr>
                <w:ilvl w:val="0"/>
                <w:numId w:val="0"/>
              </w:numPr>
              <w:spacing w:beforeLines="60" w:before="144" w:afterLines="60" w:after="144"/>
              <w:jc w:val="both"/>
              <w:rPr>
                <w:b/>
                <w:bCs/>
                <w:lang w:val="fr-FR"/>
              </w:rPr>
            </w:pPr>
            <w:r w:rsidRPr="00AC37F5">
              <w:rPr>
                <w:lang w:val="fr-FR"/>
              </w:rPr>
              <w:t>Examen des rapports des États non parties sur l’état actuel des éléments inscrits sur la Liste représentative du patrimoine culturel immatériel de l’humanité</w:t>
            </w:r>
          </w:p>
        </w:tc>
        <w:tc>
          <w:tcPr>
            <w:tcW w:w="2410" w:type="dxa"/>
          </w:tcPr>
          <w:p w14:paraId="0FBE4C70" w14:textId="48ACA1CD" w:rsidR="00B86B73" w:rsidRPr="006341F5" w:rsidRDefault="00B86B73" w:rsidP="00C41DBD">
            <w:pPr>
              <w:pStyle w:val="COMPara"/>
              <w:numPr>
                <w:ilvl w:val="0"/>
                <w:numId w:val="0"/>
              </w:numPr>
              <w:spacing w:beforeLines="60" w:before="144" w:afterLines="60" w:after="144"/>
              <w:jc w:val="both"/>
              <w:rPr>
                <w:lang w:val="fr-FR"/>
              </w:rPr>
            </w:pPr>
            <w:hyperlink r:id="rId33" w:history="1">
              <w:r w:rsidRPr="006341F5">
                <w:rPr>
                  <w:rStyle w:val="Hyperlink"/>
                  <w:lang w:val="fr-FR"/>
                </w:rPr>
                <w:t>LHE/21/16.COM/7.c</w:t>
              </w:r>
            </w:hyperlink>
          </w:p>
        </w:tc>
        <w:tc>
          <w:tcPr>
            <w:tcW w:w="2453" w:type="dxa"/>
          </w:tcPr>
          <w:p w14:paraId="128725A7" w14:textId="7823F79D"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AC37F5">
              <w:rPr>
                <w:lang w:val="fr-FR"/>
              </w:rPr>
              <w:t>é</w:t>
            </w:r>
            <w:r w:rsidRPr="006341F5">
              <w:rPr>
                <w:lang w:val="fr-FR"/>
              </w:rPr>
              <w:t xml:space="preserve">cision </w:t>
            </w:r>
            <w:hyperlink r:id="rId34" w:history="1">
              <w:r w:rsidR="00B86B73" w:rsidRPr="006341F5">
                <w:rPr>
                  <w:rStyle w:val="Hyperlink"/>
                  <w:lang w:val="fr-FR"/>
                </w:rPr>
                <w:t>16.COM 7.c</w:t>
              </w:r>
            </w:hyperlink>
          </w:p>
        </w:tc>
      </w:tr>
      <w:tr w:rsidR="00B86B73" w:rsidRPr="006630E5" w14:paraId="4144DBE0" w14:textId="77777777" w:rsidTr="002518AC">
        <w:tc>
          <w:tcPr>
            <w:tcW w:w="9678" w:type="dxa"/>
            <w:gridSpan w:val="3"/>
            <w:shd w:val="clear" w:color="auto" w:fill="F2F2F2" w:themeFill="background1" w:themeFillShade="F2"/>
          </w:tcPr>
          <w:p w14:paraId="41179891" w14:textId="5168A617" w:rsidR="00B86B73" w:rsidRPr="006630E5" w:rsidRDefault="006630E5" w:rsidP="00C41DBD">
            <w:pPr>
              <w:pStyle w:val="COMPara"/>
              <w:numPr>
                <w:ilvl w:val="0"/>
                <w:numId w:val="0"/>
              </w:numPr>
              <w:spacing w:beforeLines="60" w:before="144" w:afterLines="60" w:after="144"/>
              <w:jc w:val="both"/>
              <w:rPr>
                <w:lang w:val="fr-FR"/>
              </w:rPr>
            </w:pPr>
            <w:r w:rsidRPr="006630E5">
              <w:rPr>
                <w:b/>
                <w:bCs/>
                <w:lang w:val="fr-FR"/>
              </w:rPr>
              <w:t>Dix-septième session du Comité</w:t>
            </w:r>
            <w:r w:rsidR="00B86B73" w:rsidRPr="006630E5">
              <w:rPr>
                <w:lang w:val="fr-FR"/>
              </w:rPr>
              <w:t xml:space="preserve"> (28 </w:t>
            </w:r>
            <w:r w:rsidRPr="006630E5">
              <w:rPr>
                <w:lang w:val="fr-FR"/>
              </w:rPr>
              <w:t>novembre-</w:t>
            </w:r>
            <w:r w:rsidR="00B86B73" w:rsidRPr="006630E5">
              <w:rPr>
                <w:lang w:val="fr-FR"/>
              </w:rPr>
              <w:t xml:space="preserve">3 </w:t>
            </w:r>
            <w:r w:rsidRPr="006630E5">
              <w:rPr>
                <w:lang w:val="fr-FR"/>
              </w:rPr>
              <w:t>déce</w:t>
            </w:r>
            <w:r>
              <w:rPr>
                <w:lang w:val="fr-FR"/>
              </w:rPr>
              <w:t>mbre</w:t>
            </w:r>
            <w:r w:rsidR="00B86B73" w:rsidRPr="006630E5">
              <w:rPr>
                <w:lang w:val="fr-FR"/>
              </w:rPr>
              <w:t xml:space="preserve"> 2022, Rabat, </w:t>
            </w:r>
            <w:r w:rsidRPr="006630E5">
              <w:rPr>
                <w:lang w:val="fr-FR"/>
              </w:rPr>
              <w:t>Royaume du Maroc</w:t>
            </w:r>
            <w:r w:rsidR="00B86B73" w:rsidRPr="006630E5">
              <w:rPr>
                <w:lang w:val="fr-FR"/>
              </w:rPr>
              <w:t>)</w:t>
            </w:r>
          </w:p>
        </w:tc>
      </w:tr>
      <w:tr w:rsidR="00B86B73" w:rsidRPr="00210854" w14:paraId="42385726" w14:textId="77777777" w:rsidTr="002518AC">
        <w:tc>
          <w:tcPr>
            <w:tcW w:w="4815" w:type="dxa"/>
          </w:tcPr>
          <w:p w14:paraId="4D027D16" w14:textId="62D20F6F" w:rsidR="00B86B73" w:rsidRPr="006341F5" w:rsidRDefault="00210854" w:rsidP="00C41DBD">
            <w:pPr>
              <w:pStyle w:val="COMPara"/>
              <w:numPr>
                <w:ilvl w:val="0"/>
                <w:numId w:val="0"/>
              </w:numPr>
              <w:spacing w:beforeLines="60" w:before="144" w:afterLines="60" w:after="144"/>
              <w:jc w:val="both"/>
              <w:rPr>
                <w:b/>
                <w:bCs/>
                <w:lang w:val="fr-FR"/>
              </w:rPr>
            </w:pPr>
            <w:r w:rsidRPr="00210854">
              <w:rPr>
                <w:lang w:val="fr-FR"/>
              </w:rPr>
              <w:t>Examen des rapports des États parties sur l’état actuel des éléments inscrits sur la Liste du patrimoine culturel immatériel nécessitant une sauvegarde urgente</w:t>
            </w:r>
          </w:p>
        </w:tc>
        <w:tc>
          <w:tcPr>
            <w:tcW w:w="2410" w:type="dxa"/>
          </w:tcPr>
          <w:p w14:paraId="738599C5" w14:textId="11377E63" w:rsidR="00B86B73" w:rsidRPr="006341F5" w:rsidRDefault="00B86B73" w:rsidP="00C41DBD">
            <w:pPr>
              <w:pStyle w:val="COMPara"/>
              <w:numPr>
                <w:ilvl w:val="0"/>
                <w:numId w:val="0"/>
              </w:numPr>
              <w:spacing w:beforeLines="60" w:before="144" w:afterLines="60" w:after="144"/>
              <w:jc w:val="both"/>
              <w:rPr>
                <w:lang w:val="fr-FR"/>
              </w:rPr>
            </w:pPr>
            <w:hyperlink r:id="rId35" w:history="1">
              <w:r w:rsidRPr="006341F5">
                <w:rPr>
                  <w:rStyle w:val="Hyperlink"/>
                  <w:lang w:val="fr-FR"/>
                </w:rPr>
                <w:t>LHE/22/17.COM/6.a Rev.</w:t>
              </w:r>
            </w:hyperlink>
          </w:p>
        </w:tc>
        <w:tc>
          <w:tcPr>
            <w:tcW w:w="2453" w:type="dxa"/>
          </w:tcPr>
          <w:p w14:paraId="35676311" w14:textId="02F2B42F" w:rsidR="00B86B73" w:rsidRPr="00D755DF" w:rsidRDefault="00A30D55" w:rsidP="00C41DBD">
            <w:pPr>
              <w:pStyle w:val="COMPara"/>
              <w:numPr>
                <w:ilvl w:val="0"/>
                <w:numId w:val="0"/>
              </w:numPr>
              <w:spacing w:beforeLines="60" w:before="144" w:afterLines="60" w:after="144"/>
              <w:jc w:val="both"/>
              <w:rPr>
                <w:lang w:val="fr-FR"/>
              </w:rPr>
            </w:pPr>
            <w:r w:rsidRPr="00210854">
              <w:rPr>
                <w:lang w:val="fr-FR"/>
              </w:rPr>
              <w:t>D</w:t>
            </w:r>
            <w:r w:rsidR="00210854" w:rsidRPr="00210854">
              <w:rPr>
                <w:lang w:val="fr-FR"/>
              </w:rPr>
              <w:t>é</w:t>
            </w:r>
            <w:r w:rsidRPr="00210854">
              <w:rPr>
                <w:lang w:val="fr-FR"/>
              </w:rPr>
              <w:t>cision</w:t>
            </w:r>
            <w:r w:rsidRPr="00D755DF">
              <w:rPr>
                <w:lang w:val="fr-FR"/>
              </w:rPr>
              <w:t xml:space="preserve"> </w:t>
            </w:r>
            <w:hyperlink r:id="rId36" w:history="1">
              <w:r w:rsidR="00B86B73" w:rsidRPr="00D755DF">
                <w:rPr>
                  <w:rStyle w:val="Hyperlink"/>
                  <w:lang w:val="fr-FR"/>
                </w:rPr>
                <w:t>17.COM 6.a</w:t>
              </w:r>
            </w:hyperlink>
          </w:p>
          <w:p w14:paraId="6769002B" w14:textId="7A8EFBA3" w:rsidR="00210854" w:rsidRPr="00210854" w:rsidRDefault="00210854" w:rsidP="00C41DBD">
            <w:pPr>
              <w:pStyle w:val="COMPara"/>
              <w:numPr>
                <w:ilvl w:val="0"/>
                <w:numId w:val="0"/>
              </w:numPr>
              <w:spacing w:beforeLines="60" w:before="144" w:afterLines="60" w:after="144"/>
              <w:jc w:val="both"/>
              <w:rPr>
                <w:lang w:val="fr-FR"/>
              </w:rPr>
            </w:pPr>
            <w:r w:rsidRPr="00562C1E">
              <w:rPr>
                <w:lang w:val="fr-FR"/>
              </w:rPr>
              <w:t xml:space="preserve">Voir également les </w:t>
            </w:r>
            <w:hyperlink r:id="rId37" w:history="1">
              <w:r w:rsidRPr="00562C1E">
                <w:rPr>
                  <w:rStyle w:val="Hyperlink"/>
                  <w:lang w:val="fr-FR"/>
                </w:rPr>
                <w:t>décisions individuelles</w:t>
              </w:r>
            </w:hyperlink>
            <w:r w:rsidRPr="00562C1E">
              <w:rPr>
                <w:lang w:val="fr-FR"/>
              </w:rPr>
              <w:t xml:space="preserve"> au titre du point </w:t>
            </w:r>
            <w:r>
              <w:rPr>
                <w:lang w:val="fr-FR"/>
              </w:rPr>
              <w:t>6</w:t>
            </w:r>
            <w:r w:rsidRPr="00562C1E">
              <w:rPr>
                <w:lang w:val="fr-FR"/>
              </w:rPr>
              <w:t>.a</w:t>
            </w:r>
          </w:p>
        </w:tc>
      </w:tr>
      <w:tr w:rsidR="00B86B73" w14:paraId="0583E0BD" w14:textId="77777777" w:rsidTr="002518AC">
        <w:tc>
          <w:tcPr>
            <w:tcW w:w="4815" w:type="dxa"/>
          </w:tcPr>
          <w:p w14:paraId="29141036" w14:textId="21EA2543" w:rsidR="00B86B73" w:rsidRPr="006341F5" w:rsidRDefault="00210854" w:rsidP="00C41DBD">
            <w:pPr>
              <w:pStyle w:val="COMPara"/>
              <w:numPr>
                <w:ilvl w:val="0"/>
                <w:numId w:val="0"/>
              </w:numPr>
              <w:spacing w:beforeLines="60" w:before="144" w:afterLines="60" w:after="144"/>
              <w:jc w:val="both"/>
              <w:rPr>
                <w:b/>
                <w:bCs/>
                <w:lang w:val="fr-FR"/>
              </w:rPr>
            </w:pPr>
            <w:r w:rsidRPr="00210854">
              <w:rPr>
                <w:lang w:val="fr-FR"/>
              </w:rPr>
              <w:t>Examen des rapports du premier cycle de rapports périodiques sur la mise en œuvre de la Convention et sur l’état actuel des éléments inscrits sur la Liste représentative du patrimoine culturel immatériel de l’humanité des États parties d’Europe</w:t>
            </w:r>
          </w:p>
        </w:tc>
        <w:tc>
          <w:tcPr>
            <w:tcW w:w="2410" w:type="dxa"/>
          </w:tcPr>
          <w:p w14:paraId="01BEB7DF" w14:textId="55F18FDA" w:rsidR="00B86B73" w:rsidRPr="006341F5" w:rsidRDefault="00B86B73" w:rsidP="00C41DBD">
            <w:pPr>
              <w:pStyle w:val="COMPara"/>
              <w:numPr>
                <w:ilvl w:val="0"/>
                <w:numId w:val="0"/>
              </w:numPr>
              <w:spacing w:beforeLines="60" w:before="144" w:afterLines="60" w:after="144"/>
              <w:jc w:val="both"/>
              <w:rPr>
                <w:lang w:val="fr-FR"/>
              </w:rPr>
            </w:pPr>
            <w:hyperlink r:id="rId38" w:history="1">
              <w:r w:rsidRPr="00210854">
                <w:rPr>
                  <w:rStyle w:val="Hyperlink"/>
                  <w:lang w:val="fr-FR"/>
                </w:rPr>
                <w:t>LHE/22/17.COM/6.b Rev.</w:t>
              </w:r>
            </w:hyperlink>
            <w:r w:rsidRPr="00210854">
              <w:rPr>
                <w:lang w:val="fr-FR"/>
              </w:rPr>
              <w:t> </w:t>
            </w:r>
          </w:p>
        </w:tc>
        <w:tc>
          <w:tcPr>
            <w:tcW w:w="2453" w:type="dxa"/>
          </w:tcPr>
          <w:p w14:paraId="0CA087BC" w14:textId="45577C8B"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210854">
              <w:rPr>
                <w:lang w:val="fr-FR"/>
              </w:rPr>
              <w:t>é</w:t>
            </w:r>
            <w:r w:rsidRPr="006341F5">
              <w:rPr>
                <w:lang w:val="fr-FR"/>
              </w:rPr>
              <w:t xml:space="preserve">cision </w:t>
            </w:r>
            <w:hyperlink r:id="rId39" w:history="1">
              <w:r w:rsidR="00B86B73" w:rsidRPr="006341F5">
                <w:rPr>
                  <w:rStyle w:val="Hyperlink"/>
                  <w:lang w:val="fr-FR"/>
                </w:rPr>
                <w:t>17.COM 6.b</w:t>
              </w:r>
            </w:hyperlink>
          </w:p>
        </w:tc>
      </w:tr>
      <w:tr w:rsidR="00B86B73" w14:paraId="36799F47" w14:textId="77777777" w:rsidTr="002518AC">
        <w:tc>
          <w:tcPr>
            <w:tcW w:w="4815" w:type="dxa"/>
          </w:tcPr>
          <w:p w14:paraId="110741BF" w14:textId="4E2438D2" w:rsidR="00B86B73" w:rsidRPr="006341F5" w:rsidRDefault="005D4C20" w:rsidP="00C41DBD">
            <w:pPr>
              <w:pStyle w:val="COMPara"/>
              <w:numPr>
                <w:ilvl w:val="0"/>
                <w:numId w:val="0"/>
              </w:numPr>
              <w:spacing w:beforeLines="60" w:before="144" w:afterLines="60" w:after="144"/>
              <w:jc w:val="both"/>
              <w:rPr>
                <w:b/>
                <w:bCs/>
                <w:lang w:val="fr-FR"/>
              </w:rPr>
            </w:pPr>
            <w:r w:rsidRPr="005D4C20">
              <w:rPr>
                <w:lang w:val="fr-FR"/>
              </w:rPr>
              <w:t>Point sur le premier cycle de rapports périodiques sur la mise en œuvre de la Convention et sur l’état actuel des éléments inscrits sur la Liste représentative du patrimoine culturel immatériel de l’humanité des États parties d’Amérique latine et des Caraïbes (cycle 2021), des États arabes (cycle 2023) et en Afrique (cycle 2024)</w:t>
            </w:r>
          </w:p>
        </w:tc>
        <w:tc>
          <w:tcPr>
            <w:tcW w:w="2410" w:type="dxa"/>
          </w:tcPr>
          <w:p w14:paraId="5E720271" w14:textId="663F344F" w:rsidR="00B86B73" w:rsidRPr="006341F5" w:rsidRDefault="00B86B73" w:rsidP="00C41DBD">
            <w:pPr>
              <w:pStyle w:val="COMPara"/>
              <w:numPr>
                <w:ilvl w:val="0"/>
                <w:numId w:val="0"/>
              </w:numPr>
              <w:spacing w:beforeLines="60" w:before="144" w:afterLines="60" w:after="144"/>
              <w:jc w:val="both"/>
              <w:rPr>
                <w:lang w:val="fr-FR"/>
              </w:rPr>
            </w:pPr>
            <w:hyperlink r:id="rId40" w:history="1">
              <w:r w:rsidRPr="006341F5">
                <w:rPr>
                  <w:rStyle w:val="Hyperlink"/>
                  <w:lang w:val="fr-FR"/>
                </w:rPr>
                <w:t>LHE/22/17.COM/6.c</w:t>
              </w:r>
            </w:hyperlink>
          </w:p>
        </w:tc>
        <w:tc>
          <w:tcPr>
            <w:tcW w:w="2453" w:type="dxa"/>
          </w:tcPr>
          <w:p w14:paraId="56D4A2E2" w14:textId="55D3ED4E"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5D4C20">
              <w:rPr>
                <w:lang w:val="fr-FR"/>
              </w:rPr>
              <w:t>é</w:t>
            </w:r>
            <w:r w:rsidRPr="006341F5">
              <w:rPr>
                <w:lang w:val="fr-FR"/>
              </w:rPr>
              <w:t xml:space="preserve">cision </w:t>
            </w:r>
            <w:hyperlink r:id="rId41" w:history="1">
              <w:r w:rsidR="00B86B73" w:rsidRPr="006341F5">
                <w:rPr>
                  <w:rStyle w:val="Hyperlink"/>
                  <w:lang w:val="fr-FR"/>
                </w:rPr>
                <w:t>17.COM 6.c</w:t>
              </w:r>
            </w:hyperlink>
          </w:p>
        </w:tc>
      </w:tr>
      <w:tr w:rsidR="00B86B73" w:rsidRPr="00E634DB" w14:paraId="3662347A" w14:textId="77777777" w:rsidTr="002518AC">
        <w:tc>
          <w:tcPr>
            <w:tcW w:w="4815" w:type="dxa"/>
          </w:tcPr>
          <w:p w14:paraId="48329D88" w14:textId="32DAE503" w:rsidR="00B86B73" w:rsidRPr="006341F5" w:rsidRDefault="005D4C20" w:rsidP="00C41DBD">
            <w:pPr>
              <w:pStyle w:val="COMPara"/>
              <w:numPr>
                <w:ilvl w:val="0"/>
                <w:numId w:val="0"/>
              </w:numPr>
              <w:spacing w:beforeLines="60" w:before="144" w:afterLines="60" w:after="144"/>
              <w:jc w:val="both"/>
              <w:rPr>
                <w:b/>
                <w:bCs/>
                <w:lang w:val="fr-FR"/>
              </w:rPr>
            </w:pPr>
            <w:r w:rsidRPr="005D4C20">
              <w:rPr>
                <w:lang w:val="fr-FR"/>
              </w:rPr>
              <w:t>Rapport analytique du premier cycle de rapports périodiques sur la mise en œuvre de la Convention et sur l’état actuel des éléments inscrits sur la Liste représentative du patrimoine culturel immatériel de l’humanité des États parties d’Amérique latine et des Caraïbes</w:t>
            </w:r>
          </w:p>
        </w:tc>
        <w:tc>
          <w:tcPr>
            <w:tcW w:w="2410" w:type="dxa"/>
          </w:tcPr>
          <w:p w14:paraId="58D240B9" w14:textId="17E11E1F" w:rsidR="00B86B73" w:rsidRPr="00D755DF" w:rsidRDefault="00B86B73" w:rsidP="00C41DBD">
            <w:pPr>
              <w:pStyle w:val="COMPara"/>
              <w:numPr>
                <w:ilvl w:val="0"/>
                <w:numId w:val="0"/>
              </w:numPr>
              <w:spacing w:beforeLines="60" w:before="144" w:afterLines="60" w:after="144"/>
              <w:jc w:val="both"/>
              <w:rPr>
                <w:lang w:val="pt-PT"/>
              </w:rPr>
            </w:pPr>
            <w:hyperlink r:id="rId42" w:history="1">
              <w:r w:rsidRPr="00D755DF">
                <w:rPr>
                  <w:rStyle w:val="Hyperlink"/>
                  <w:lang w:val="pt-PT"/>
                </w:rPr>
                <w:t>LHE/22/17.COM/INF.6.c Rev.</w:t>
              </w:r>
            </w:hyperlink>
          </w:p>
        </w:tc>
        <w:tc>
          <w:tcPr>
            <w:tcW w:w="2453" w:type="dxa"/>
          </w:tcPr>
          <w:p w14:paraId="1509DCA4" w14:textId="33640C33" w:rsidR="00B86B73" w:rsidRPr="006341F5" w:rsidRDefault="00CA05EE" w:rsidP="00C41DBD">
            <w:pPr>
              <w:pStyle w:val="COMPara"/>
              <w:numPr>
                <w:ilvl w:val="0"/>
                <w:numId w:val="0"/>
              </w:numPr>
              <w:spacing w:beforeLines="60" w:before="144" w:afterLines="60" w:after="144"/>
              <w:jc w:val="both"/>
              <w:rPr>
                <w:lang w:val="fr-FR"/>
              </w:rPr>
            </w:pPr>
            <w:r w:rsidRPr="006341F5">
              <w:rPr>
                <w:lang w:val="fr-FR"/>
              </w:rPr>
              <w:t>D</w:t>
            </w:r>
            <w:r>
              <w:rPr>
                <w:lang w:val="fr-FR"/>
              </w:rPr>
              <w:t>é</w:t>
            </w:r>
            <w:r w:rsidRPr="006341F5">
              <w:rPr>
                <w:lang w:val="fr-FR"/>
              </w:rPr>
              <w:t xml:space="preserve">cision </w:t>
            </w:r>
            <w:hyperlink r:id="rId43" w:history="1">
              <w:r w:rsidRPr="006341F5">
                <w:rPr>
                  <w:rStyle w:val="Hyperlink"/>
                  <w:lang w:val="fr-FR"/>
                </w:rPr>
                <w:t>17.COM 6.c</w:t>
              </w:r>
            </w:hyperlink>
          </w:p>
        </w:tc>
      </w:tr>
      <w:tr w:rsidR="00B86B73" w:rsidRPr="005D4C20" w14:paraId="4E32316E" w14:textId="77777777" w:rsidTr="002518AC">
        <w:tc>
          <w:tcPr>
            <w:tcW w:w="9678" w:type="dxa"/>
            <w:gridSpan w:val="3"/>
            <w:shd w:val="clear" w:color="auto" w:fill="F2F2F2" w:themeFill="background1" w:themeFillShade="F2"/>
          </w:tcPr>
          <w:p w14:paraId="774C890A" w14:textId="19EEFDD6" w:rsidR="00B86B73" w:rsidRPr="006341F5" w:rsidRDefault="005D4C20" w:rsidP="00C41DBD">
            <w:pPr>
              <w:pStyle w:val="COMPara"/>
              <w:numPr>
                <w:ilvl w:val="0"/>
                <w:numId w:val="0"/>
              </w:numPr>
              <w:spacing w:beforeLines="60" w:before="144" w:afterLines="60" w:after="144"/>
              <w:jc w:val="both"/>
              <w:rPr>
                <w:lang w:val="fr-FR"/>
              </w:rPr>
            </w:pPr>
            <w:r w:rsidRPr="005D4C20">
              <w:rPr>
                <w:b/>
                <w:bCs/>
                <w:lang w:val="fr-FR"/>
              </w:rPr>
              <w:t>Dix-huitième session du Comité</w:t>
            </w:r>
            <w:r w:rsidR="00B86B73" w:rsidRPr="006341F5">
              <w:rPr>
                <w:b/>
                <w:bCs/>
                <w:lang w:val="fr-FR"/>
              </w:rPr>
              <w:t xml:space="preserve"> </w:t>
            </w:r>
            <w:r w:rsidR="00B86B73" w:rsidRPr="006341F5">
              <w:rPr>
                <w:lang w:val="fr-FR"/>
              </w:rPr>
              <w:t>(5</w:t>
            </w:r>
            <w:r>
              <w:rPr>
                <w:lang w:val="fr-FR"/>
              </w:rPr>
              <w:t>-</w:t>
            </w:r>
            <w:r w:rsidR="00B86B73" w:rsidRPr="006341F5">
              <w:rPr>
                <w:lang w:val="fr-FR"/>
              </w:rPr>
              <w:t xml:space="preserve">8 </w:t>
            </w:r>
            <w:r>
              <w:rPr>
                <w:lang w:val="fr-FR"/>
              </w:rPr>
              <w:t>décembre</w:t>
            </w:r>
            <w:r w:rsidR="00B86B73" w:rsidRPr="006341F5">
              <w:rPr>
                <w:lang w:val="fr-FR"/>
              </w:rPr>
              <w:t xml:space="preserve"> 2023, Kasane, </w:t>
            </w:r>
            <w:r w:rsidRPr="005D4C20">
              <w:rPr>
                <w:lang w:val="fr-FR"/>
              </w:rPr>
              <w:t>République du Botswana</w:t>
            </w:r>
            <w:r w:rsidR="00B86B73" w:rsidRPr="006341F5">
              <w:rPr>
                <w:lang w:val="fr-FR"/>
              </w:rPr>
              <w:t>)</w:t>
            </w:r>
          </w:p>
        </w:tc>
      </w:tr>
      <w:tr w:rsidR="00B86B73" w:rsidRPr="005D4C20" w14:paraId="05C3C4AA" w14:textId="77777777" w:rsidTr="002518AC">
        <w:tc>
          <w:tcPr>
            <w:tcW w:w="4815" w:type="dxa"/>
          </w:tcPr>
          <w:p w14:paraId="6240A0DA" w14:textId="01954CF4" w:rsidR="00B86B73" w:rsidRPr="006341F5" w:rsidRDefault="005D4C20" w:rsidP="00C41DBD">
            <w:pPr>
              <w:pStyle w:val="COMPara"/>
              <w:numPr>
                <w:ilvl w:val="0"/>
                <w:numId w:val="0"/>
              </w:numPr>
              <w:spacing w:beforeLines="60" w:before="144" w:afterLines="60" w:after="144"/>
              <w:jc w:val="both"/>
              <w:rPr>
                <w:b/>
                <w:bCs/>
                <w:lang w:val="fr-FR"/>
              </w:rPr>
            </w:pPr>
            <w:r w:rsidRPr="005D4C20">
              <w:rPr>
                <w:lang w:val="fr-FR"/>
              </w:rPr>
              <w:t>Examen des rapports des États parties sur l’état actuel des éléments inscrits sur la Liste du patrimoine culturel immatériel nécessitant une sauvegarde urgente</w:t>
            </w:r>
          </w:p>
        </w:tc>
        <w:tc>
          <w:tcPr>
            <w:tcW w:w="2410" w:type="dxa"/>
          </w:tcPr>
          <w:p w14:paraId="6467C82C" w14:textId="5C9120FF" w:rsidR="00B86B73" w:rsidRPr="006341F5" w:rsidRDefault="00B86B73" w:rsidP="00C41DBD">
            <w:pPr>
              <w:pStyle w:val="COMPara"/>
              <w:numPr>
                <w:ilvl w:val="0"/>
                <w:numId w:val="0"/>
              </w:numPr>
              <w:spacing w:beforeLines="60" w:before="144" w:afterLines="60" w:after="144"/>
              <w:jc w:val="both"/>
              <w:rPr>
                <w:lang w:val="fr-FR"/>
              </w:rPr>
            </w:pPr>
            <w:hyperlink r:id="rId44" w:history="1">
              <w:r w:rsidRPr="006341F5">
                <w:rPr>
                  <w:rStyle w:val="Hyperlink"/>
                  <w:lang w:val="fr-FR"/>
                </w:rPr>
                <w:t>LHE/23/18.COM/7.a</w:t>
              </w:r>
            </w:hyperlink>
          </w:p>
        </w:tc>
        <w:tc>
          <w:tcPr>
            <w:tcW w:w="2453" w:type="dxa"/>
          </w:tcPr>
          <w:p w14:paraId="1D03F645" w14:textId="64BFCBE4"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5D4C20">
              <w:rPr>
                <w:lang w:val="fr-FR"/>
              </w:rPr>
              <w:t>é</w:t>
            </w:r>
            <w:r w:rsidRPr="006341F5">
              <w:rPr>
                <w:lang w:val="fr-FR"/>
              </w:rPr>
              <w:t xml:space="preserve">cision </w:t>
            </w:r>
            <w:hyperlink r:id="rId45" w:history="1">
              <w:r w:rsidR="00B86B73" w:rsidRPr="006341F5">
                <w:rPr>
                  <w:rStyle w:val="Hyperlink"/>
                  <w:lang w:val="fr-FR"/>
                </w:rPr>
                <w:t>18.COM 7.a</w:t>
              </w:r>
            </w:hyperlink>
          </w:p>
          <w:p w14:paraId="7C773F49" w14:textId="690D49C1" w:rsidR="00B86B73" w:rsidRPr="006341F5" w:rsidRDefault="005D4C20" w:rsidP="00C41DBD">
            <w:pPr>
              <w:pStyle w:val="COMPara"/>
              <w:numPr>
                <w:ilvl w:val="0"/>
                <w:numId w:val="0"/>
              </w:numPr>
              <w:spacing w:beforeLines="60" w:before="144" w:afterLines="60" w:after="144"/>
              <w:jc w:val="both"/>
              <w:rPr>
                <w:lang w:val="fr-FR"/>
              </w:rPr>
            </w:pPr>
            <w:r w:rsidRPr="00562C1E">
              <w:rPr>
                <w:lang w:val="fr-FR"/>
              </w:rPr>
              <w:t xml:space="preserve">Voir également les </w:t>
            </w:r>
            <w:hyperlink r:id="rId46" w:history="1">
              <w:r w:rsidRPr="00562C1E">
                <w:rPr>
                  <w:rStyle w:val="Hyperlink"/>
                  <w:lang w:val="fr-FR"/>
                </w:rPr>
                <w:t>décisions individuelles</w:t>
              </w:r>
            </w:hyperlink>
            <w:r w:rsidRPr="00562C1E">
              <w:rPr>
                <w:lang w:val="fr-FR"/>
              </w:rPr>
              <w:t xml:space="preserve"> au titre du point </w:t>
            </w:r>
            <w:r>
              <w:rPr>
                <w:lang w:val="fr-FR"/>
              </w:rPr>
              <w:t>7</w:t>
            </w:r>
            <w:r w:rsidRPr="00562C1E">
              <w:rPr>
                <w:lang w:val="fr-FR"/>
              </w:rPr>
              <w:t>.a</w:t>
            </w:r>
          </w:p>
        </w:tc>
      </w:tr>
      <w:tr w:rsidR="00B86B73" w14:paraId="5EFB9688" w14:textId="77777777" w:rsidTr="002518AC">
        <w:tc>
          <w:tcPr>
            <w:tcW w:w="4815" w:type="dxa"/>
          </w:tcPr>
          <w:p w14:paraId="7F0906E6" w14:textId="221F01A4" w:rsidR="00B86B73" w:rsidRPr="006341F5" w:rsidRDefault="005D4C20" w:rsidP="00C41DBD">
            <w:pPr>
              <w:pStyle w:val="COMPara"/>
              <w:numPr>
                <w:ilvl w:val="0"/>
                <w:numId w:val="0"/>
              </w:numPr>
              <w:spacing w:beforeLines="60" w:before="144" w:afterLines="60" w:after="144"/>
              <w:jc w:val="both"/>
              <w:rPr>
                <w:b/>
                <w:bCs/>
                <w:lang w:val="fr-FR"/>
              </w:rPr>
            </w:pPr>
            <w:r w:rsidRPr="005D4C20">
              <w:rPr>
                <w:lang w:val="fr-FR"/>
              </w:rPr>
              <w:t>Examen des rapports du cycle régional de rapports périodiques sur la mise en œuvre de la Convention et sur l’état actuel des éléments inscrits sur la Liste représentative du patrimoine culturel immatériel de l’humanité des États parties dans les États arabes</w:t>
            </w:r>
          </w:p>
        </w:tc>
        <w:tc>
          <w:tcPr>
            <w:tcW w:w="2410" w:type="dxa"/>
          </w:tcPr>
          <w:p w14:paraId="185AA6CF" w14:textId="21936AF0" w:rsidR="00B86B73" w:rsidRPr="006341F5" w:rsidRDefault="00B86B73" w:rsidP="00C41DBD">
            <w:pPr>
              <w:pStyle w:val="COMPara"/>
              <w:numPr>
                <w:ilvl w:val="0"/>
                <w:numId w:val="0"/>
              </w:numPr>
              <w:spacing w:beforeLines="60" w:before="144" w:afterLines="60" w:after="144"/>
              <w:jc w:val="both"/>
              <w:rPr>
                <w:lang w:val="fr-FR"/>
              </w:rPr>
            </w:pPr>
            <w:hyperlink r:id="rId47" w:history="1">
              <w:r w:rsidRPr="006341F5">
                <w:rPr>
                  <w:rStyle w:val="Hyperlink"/>
                  <w:lang w:val="fr-FR"/>
                </w:rPr>
                <w:t>LHE/23/18.COM/7.b Rev.</w:t>
              </w:r>
            </w:hyperlink>
          </w:p>
        </w:tc>
        <w:tc>
          <w:tcPr>
            <w:tcW w:w="2453" w:type="dxa"/>
          </w:tcPr>
          <w:p w14:paraId="68BE1369" w14:textId="2505C37C"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5D4C20">
              <w:rPr>
                <w:lang w:val="fr-FR"/>
              </w:rPr>
              <w:t>é</w:t>
            </w:r>
            <w:r w:rsidRPr="006341F5">
              <w:rPr>
                <w:lang w:val="fr-FR"/>
              </w:rPr>
              <w:t xml:space="preserve">cision </w:t>
            </w:r>
            <w:hyperlink r:id="rId48" w:history="1">
              <w:r w:rsidR="00B86B73" w:rsidRPr="006341F5">
                <w:rPr>
                  <w:rStyle w:val="Hyperlink"/>
                  <w:lang w:val="fr-FR"/>
                </w:rPr>
                <w:t>18.COM 7.b</w:t>
              </w:r>
            </w:hyperlink>
          </w:p>
        </w:tc>
      </w:tr>
      <w:tr w:rsidR="00B86B73" w14:paraId="4F5322E4" w14:textId="77777777" w:rsidTr="002518AC">
        <w:tc>
          <w:tcPr>
            <w:tcW w:w="4815" w:type="dxa"/>
          </w:tcPr>
          <w:p w14:paraId="53AF37BE" w14:textId="7CA9B817" w:rsidR="00B86B73" w:rsidRPr="006341F5" w:rsidRDefault="005D4C20" w:rsidP="00C41DBD">
            <w:pPr>
              <w:pStyle w:val="COMPara"/>
              <w:numPr>
                <w:ilvl w:val="0"/>
                <w:numId w:val="0"/>
              </w:numPr>
              <w:spacing w:beforeLines="60" w:before="144" w:afterLines="60" w:after="144"/>
              <w:jc w:val="both"/>
              <w:rPr>
                <w:b/>
                <w:bCs/>
                <w:lang w:val="fr-FR"/>
              </w:rPr>
            </w:pPr>
            <w:r w:rsidRPr="005D4C20">
              <w:rPr>
                <w:lang w:val="fr-FR"/>
              </w:rPr>
              <w:t>Point sur les cycles régionaux de rapports périodiques et proposition d’amendements relatifs aux Directives opérationnelles</w:t>
            </w:r>
          </w:p>
        </w:tc>
        <w:tc>
          <w:tcPr>
            <w:tcW w:w="2410" w:type="dxa"/>
          </w:tcPr>
          <w:p w14:paraId="03FA46AC" w14:textId="6B6A1670" w:rsidR="00B86B73" w:rsidRPr="006341F5" w:rsidRDefault="00B86B73" w:rsidP="00C41DBD">
            <w:pPr>
              <w:pStyle w:val="COMPara"/>
              <w:numPr>
                <w:ilvl w:val="0"/>
                <w:numId w:val="0"/>
              </w:numPr>
              <w:spacing w:beforeLines="60" w:before="144" w:afterLines="60" w:after="144"/>
              <w:jc w:val="both"/>
              <w:rPr>
                <w:lang w:val="fr-FR"/>
              </w:rPr>
            </w:pPr>
            <w:hyperlink r:id="rId49" w:history="1">
              <w:r w:rsidRPr="006341F5">
                <w:rPr>
                  <w:rStyle w:val="Hyperlink"/>
                  <w:lang w:val="fr-FR"/>
                </w:rPr>
                <w:t>LHE/23/18.COM/7.c Rev.</w:t>
              </w:r>
            </w:hyperlink>
          </w:p>
        </w:tc>
        <w:tc>
          <w:tcPr>
            <w:tcW w:w="2453" w:type="dxa"/>
          </w:tcPr>
          <w:p w14:paraId="3375F560" w14:textId="5D932E8C"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5D4C20">
              <w:rPr>
                <w:lang w:val="fr-FR"/>
              </w:rPr>
              <w:t>é</w:t>
            </w:r>
            <w:r w:rsidRPr="006341F5">
              <w:rPr>
                <w:lang w:val="fr-FR"/>
              </w:rPr>
              <w:t xml:space="preserve">cision </w:t>
            </w:r>
            <w:hyperlink r:id="rId50" w:history="1">
              <w:r w:rsidR="00B86B73" w:rsidRPr="006341F5">
                <w:rPr>
                  <w:rStyle w:val="Hyperlink"/>
                  <w:lang w:val="fr-FR"/>
                </w:rPr>
                <w:t>18.COM 7.c</w:t>
              </w:r>
            </w:hyperlink>
          </w:p>
        </w:tc>
      </w:tr>
      <w:tr w:rsidR="00B86B73" w14:paraId="1F828A03" w14:textId="77777777" w:rsidTr="002518AC">
        <w:tc>
          <w:tcPr>
            <w:tcW w:w="4815" w:type="dxa"/>
          </w:tcPr>
          <w:p w14:paraId="1E6E50AA" w14:textId="153FBEAA"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Rapport analytique du premier cycle de soumission de rapports périodiques sur la mise en œuvre de la Convention et sur l’état actuel des éléments inscrits sur la Liste représentative du patrimoine culturel immatériel de l’humanité par les États parties en Europe</w:t>
            </w:r>
          </w:p>
        </w:tc>
        <w:tc>
          <w:tcPr>
            <w:tcW w:w="2410" w:type="dxa"/>
          </w:tcPr>
          <w:p w14:paraId="09195118" w14:textId="53EDD9C6" w:rsidR="00B86B73" w:rsidRPr="006341F5" w:rsidRDefault="00B86B73" w:rsidP="00C41DBD">
            <w:pPr>
              <w:pStyle w:val="COMPara"/>
              <w:numPr>
                <w:ilvl w:val="0"/>
                <w:numId w:val="0"/>
              </w:numPr>
              <w:spacing w:beforeLines="60" w:before="144" w:afterLines="60" w:after="144"/>
              <w:jc w:val="both"/>
              <w:rPr>
                <w:lang w:val="fr-FR"/>
              </w:rPr>
            </w:pPr>
            <w:hyperlink r:id="rId51" w:history="1">
              <w:r w:rsidRPr="006341F5">
                <w:rPr>
                  <w:rStyle w:val="Hyperlink"/>
                  <w:lang w:val="fr-FR"/>
                </w:rPr>
                <w:t>LHE/23/18.COM/INF.7.c</w:t>
              </w:r>
            </w:hyperlink>
          </w:p>
        </w:tc>
        <w:tc>
          <w:tcPr>
            <w:tcW w:w="2453" w:type="dxa"/>
          </w:tcPr>
          <w:p w14:paraId="2B48B633" w14:textId="57B84BB6" w:rsidR="00B86B73" w:rsidRPr="006341F5" w:rsidRDefault="00CA05EE" w:rsidP="00C41DBD">
            <w:pPr>
              <w:pStyle w:val="COMPara"/>
              <w:numPr>
                <w:ilvl w:val="0"/>
                <w:numId w:val="0"/>
              </w:numPr>
              <w:spacing w:beforeLines="60" w:before="144" w:afterLines="60" w:after="144"/>
              <w:jc w:val="both"/>
              <w:rPr>
                <w:lang w:val="fr-FR"/>
              </w:rPr>
            </w:pPr>
            <w:r w:rsidRPr="006341F5">
              <w:rPr>
                <w:lang w:val="fr-FR"/>
              </w:rPr>
              <w:t>D</w:t>
            </w:r>
            <w:r>
              <w:rPr>
                <w:lang w:val="fr-FR"/>
              </w:rPr>
              <w:t>é</w:t>
            </w:r>
            <w:r w:rsidRPr="006341F5">
              <w:rPr>
                <w:lang w:val="fr-FR"/>
              </w:rPr>
              <w:t xml:space="preserve">cision </w:t>
            </w:r>
            <w:hyperlink r:id="rId52" w:history="1">
              <w:r w:rsidRPr="006341F5">
                <w:rPr>
                  <w:rStyle w:val="Hyperlink"/>
                  <w:lang w:val="fr-FR"/>
                </w:rPr>
                <w:t>18.COM 7.c</w:t>
              </w:r>
            </w:hyperlink>
          </w:p>
        </w:tc>
      </w:tr>
      <w:tr w:rsidR="00B86B73" w:rsidRPr="00D94206" w14:paraId="43039C69" w14:textId="77777777" w:rsidTr="002518AC">
        <w:tc>
          <w:tcPr>
            <w:tcW w:w="9678" w:type="dxa"/>
            <w:gridSpan w:val="3"/>
            <w:shd w:val="clear" w:color="auto" w:fill="F2F2F2" w:themeFill="background1" w:themeFillShade="F2"/>
          </w:tcPr>
          <w:p w14:paraId="15218BF9" w14:textId="560E9280" w:rsidR="00B86B73" w:rsidRPr="006341F5" w:rsidRDefault="00D94206" w:rsidP="00C41DBD">
            <w:pPr>
              <w:pStyle w:val="COMPara"/>
              <w:numPr>
                <w:ilvl w:val="0"/>
                <w:numId w:val="0"/>
              </w:numPr>
              <w:spacing w:beforeLines="60" w:before="144" w:afterLines="60" w:after="144"/>
              <w:jc w:val="both"/>
              <w:rPr>
                <w:b/>
                <w:bCs/>
                <w:lang w:val="fr-FR"/>
              </w:rPr>
            </w:pPr>
            <w:r w:rsidRPr="00D94206">
              <w:rPr>
                <w:b/>
                <w:bCs/>
                <w:lang w:val="fr-FR"/>
              </w:rPr>
              <w:t>Dixième session de l’Assemblée générale</w:t>
            </w:r>
            <w:r w:rsidR="00B86B73" w:rsidRPr="006341F5">
              <w:rPr>
                <w:b/>
                <w:bCs/>
                <w:lang w:val="fr-FR"/>
              </w:rPr>
              <w:t xml:space="preserve"> </w:t>
            </w:r>
            <w:r w:rsidR="00B86B73" w:rsidRPr="006341F5">
              <w:rPr>
                <w:lang w:val="fr-FR"/>
              </w:rPr>
              <w:t>(11</w:t>
            </w:r>
            <w:r>
              <w:rPr>
                <w:lang w:val="fr-FR"/>
              </w:rPr>
              <w:t>-</w:t>
            </w:r>
            <w:r w:rsidR="00B86B73" w:rsidRPr="006341F5">
              <w:rPr>
                <w:lang w:val="fr-FR"/>
              </w:rPr>
              <w:t xml:space="preserve">12 </w:t>
            </w:r>
            <w:r>
              <w:rPr>
                <w:lang w:val="fr-FR"/>
              </w:rPr>
              <w:t>juin</w:t>
            </w:r>
            <w:r w:rsidR="00B86B73" w:rsidRPr="006341F5">
              <w:rPr>
                <w:lang w:val="fr-FR"/>
              </w:rPr>
              <w:t xml:space="preserve"> 2024, </w:t>
            </w:r>
            <w:r w:rsidRPr="00D94206">
              <w:rPr>
                <w:lang w:val="fr-FR"/>
              </w:rPr>
              <w:t>Siège de l’UNESCO</w:t>
            </w:r>
            <w:r w:rsidR="00B86B73" w:rsidRPr="006341F5">
              <w:rPr>
                <w:lang w:val="fr-FR"/>
              </w:rPr>
              <w:t>)</w:t>
            </w:r>
          </w:p>
        </w:tc>
      </w:tr>
      <w:tr w:rsidR="00B86B73" w14:paraId="0ADA626A" w14:textId="77777777" w:rsidTr="002518AC">
        <w:tc>
          <w:tcPr>
            <w:tcW w:w="4815" w:type="dxa"/>
          </w:tcPr>
          <w:p w14:paraId="5614B17A" w14:textId="6FBEB142"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Rapport du Comité à l’Assemblée générale (de janvier 2022 à décembre 2023)</w:t>
            </w:r>
          </w:p>
        </w:tc>
        <w:tc>
          <w:tcPr>
            <w:tcW w:w="2410" w:type="dxa"/>
          </w:tcPr>
          <w:p w14:paraId="72E97A9F" w14:textId="0642DB5C" w:rsidR="00B86B73" w:rsidRPr="006341F5" w:rsidRDefault="00B86B73" w:rsidP="00C41DBD">
            <w:pPr>
              <w:pStyle w:val="COMPara"/>
              <w:numPr>
                <w:ilvl w:val="0"/>
                <w:numId w:val="0"/>
              </w:numPr>
              <w:spacing w:beforeLines="60" w:before="144" w:afterLines="60" w:after="144"/>
              <w:jc w:val="both"/>
              <w:rPr>
                <w:lang w:val="fr-FR"/>
              </w:rPr>
            </w:pPr>
            <w:hyperlink r:id="rId53" w:history="1">
              <w:r w:rsidRPr="006341F5">
                <w:rPr>
                  <w:rStyle w:val="Hyperlink"/>
                  <w:lang w:val="fr-FR"/>
                </w:rPr>
                <w:t>LHE/24/10.GA/5</w:t>
              </w:r>
            </w:hyperlink>
          </w:p>
        </w:tc>
        <w:tc>
          <w:tcPr>
            <w:tcW w:w="2453" w:type="dxa"/>
          </w:tcPr>
          <w:p w14:paraId="021215C9" w14:textId="1736B996"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R</w:t>
            </w:r>
            <w:r w:rsidR="00D94206">
              <w:rPr>
                <w:lang w:val="fr-FR"/>
              </w:rPr>
              <w:t>é</w:t>
            </w:r>
            <w:r w:rsidRPr="006341F5">
              <w:rPr>
                <w:lang w:val="fr-FR"/>
              </w:rPr>
              <w:t xml:space="preserve">solution </w:t>
            </w:r>
            <w:hyperlink r:id="rId54" w:history="1">
              <w:r w:rsidR="00B86B73" w:rsidRPr="006341F5">
                <w:rPr>
                  <w:rStyle w:val="Hyperlink"/>
                  <w:lang w:val="fr-FR"/>
                </w:rPr>
                <w:t>10/GA 5</w:t>
              </w:r>
            </w:hyperlink>
          </w:p>
        </w:tc>
      </w:tr>
      <w:tr w:rsidR="00B86B73" w14:paraId="1E396EE9" w14:textId="77777777" w:rsidTr="002518AC">
        <w:tc>
          <w:tcPr>
            <w:tcW w:w="4815" w:type="dxa"/>
          </w:tcPr>
          <w:p w14:paraId="50ECC14B" w14:textId="780EDB92"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Rapport du Secrétariat sur ses activités (de janvier 2022 à décembre 2023)</w:t>
            </w:r>
          </w:p>
        </w:tc>
        <w:tc>
          <w:tcPr>
            <w:tcW w:w="2410" w:type="dxa"/>
          </w:tcPr>
          <w:p w14:paraId="25C04ADE" w14:textId="3CE6BD6B" w:rsidR="00B86B73" w:rsidRPr="006341F5" w:rsidRDefault="00B86B73" w:rsidP="00C41DBD">
            <w:pPr>
              <w:pStyle w:val="COMPara"/>
              <w:numPr>
                <w:ilvl w:val="0"/>
                <w:numId w:val="0"/>
              </w:numPr>
              <w:spacing w:beforeLines="60" w:before="144" w:afterLines="60" w:after="144"/>
              <w:jc w:val="both"/>
              <w:rPr>
                <w:lang w:val="fr-FR"/>
              </w:rPr>
            </w:pPr>
            <w:hyperlink r:id="rId55" w:history="1">
              <w:r w:rsidRPr="006341F5">
                <w:rPr>
                  <w:rStyle w:val="Hyperlink"/>
                  <w:lang w:val="fr-FR"/>
                </w:rPr>
                <w:t>LHE/24/10.GA/6</w:t>
              </w:r>
            </w:hyperlink>
          </w:p>
        </w:tc>
        <w:tc>
          <w:tcPr>
            <w:tcW w:w="2453" w:type="dxa"/>
          </w:tcPr>
          <w:p w14:paraId="5D04DA59" w14:textId="74400C6D"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R</w:t>
            </w:r>
            <w:r w:rsidR="00D94206">
              <w:rPr>
                <w:lang w:val="fr-FR"/>
              </w:rPr>
              <w:t>é</w:t>
            </w:r>
            <w:r w:rsidRPr="006341F5">
              <w:rPr>
                <w:lang w:val="fr-FR"/>
              </w:rPr>
              <w:t xml:space="preserve">solution </w:t>
            </w:r>
            <w:hyperlink r:id="rId56" w:history="1">
              <w:r w:rsidR="00B86B73" w:rsidRPr="006341F5">
                <w:rPr>
                  <w:rStyle w:val="Hyperlink"/>
                  <w:lang w:val="fr-FR"/>
                </w:rPr>
                <w:t>10/GA 6</w:t>
              </w:r>
            </w:hyperlink>
          </w:p>
        </w:tc>
      </w:tr>
      <w:tr w:rsidR="00B86B73" w:rsidRPr="00D94206" w14:paraId="0A663CEA" w14:textId="77777777" w:rsidTr="002518AC">
        <w:tc>
          <w:tcPr>
            <w:tcW w:w="9678" w:type="dxa"/>
            <w:gridSpan w:val="3"/>
            <w:shd w:val="clear" w:color="auto" w:fill="F2F2F2" w:themeFill="background1" w:themeFillShade="F2"/>
          </w:tcPr>
          <w:p w14:paraId="37992D29" w14:textId="4BC208C3" w:rsidR="00B86B73" w:rsidRPr="006341F5" w:rsidRDefault="00D94206" w:rsidP="00C41DBD">
            <w:pPr>
              <w:pStyle w:val="COMPara"/>
              <w:numPr>
                <w:ilvl w:val="0"/>
                <w:numId w:val="0"/>
              </w:numPr>
              <w:spacing w:beforeLines="60" w:before="144" w:afterLines="60" w:after="144"/>
              <w:jc w:val="both"/>
              <w:rPr>
                <w:lang w:val="fr-FR"/>
              </w:rPr>
            </w:pPr>
            <w:r w:rsidRPr="00D94206">
              <w:rPr>
                <w:b/>
                <w:bCs/>
                <w:lang w:val="fr-FR"/>
              </w:rPr>
              <w:t>Dix-neuvième session du Comité</w:t>
            </w:r>
            <w:r w:rsidR="00B86B73" w:rsidRPr="006341F5">
              <w:rPr>
                <w:b/>
                <w:bCs/>
                <w:lang w:val="fr-FR"/>
              </w:rPr>
              <w:t xml:space="preserve"> </w:t>
            </w:r>
            <w:r w:rsidR="00B86B73" w:rsidRPr="006341F5">
              <w:rPr>
                <w:lang w:val="fr-FR"/>
              </w:rPr>
              <w:t>(2</w:t>
            </w:r>
            <w:r>
              <w:rPr>
                <w:lang w:val="fr-FR"/>
              </w:rPr>
              <w:t>-</w:t>
            </w:r>
            <w:r w:rsidR="00B86B73" w:rsidRPr="006341F5">
              <w:rPr>
                <w:lang w:val="fr-FR"/>
              </w:rPr>
              <w:t xml:space="preserve">6 </w:t>
            </w:r>
            <w:r>
              <w:rPr>
                <w:lang w:val="fr-FR"/>
              </w:rPr>
              <w:t>décembre</w:t>
            </w:r>
            <w:r w:rsidR="00B86B73" w:rsidRPr="006341F5">
              <w:rPr>
                <w:lang w:val="fr-FR"/>
              </w:rPr>
              <w:t xml:space="preserve"> 2024, Asunción, </w:t>
            </w:r>
            <w:r w:rsidRPr="00D94206">
              <w:rPr>
                <w:lang w:val="fr-FR"/>
              </w:rPr>
              <w:t>République du Paraguay</w:t>
            </w:r>
            <w:r w:rsidR="00B86B73" w:rsidRPr="006341F5">
              <w:rPr>
                <w:lang w:val="fr-FR"/>
              </w:rPr>
              <w:t>)</w:t>
            </w:r>
          </w:p>
        </w:tc>
      </w:tr>
      <w:tr w:rsidR="00B86B73" w:rsidRPr="00D94206" w14:paraId="57008C92" w14:textId="77777777" w:rsidTr="002518AC">
        <w:tc>
          <w:tcPr>
            <w:tcW w:w="4815" w:type="dxa"/>
          </w:tcPr>
          <w:p w14:paraId="7B5398BB" w14:textId="147D07B0"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Examen des rapports des États parties sur l’état actuel des éléments inscrits sur la Liste du patrimoine culturel immatériel nécessitant une sauvegarde urgente</w:t>
            </w:r>
          </w:p>
        </w:tc>
        <w:tc>
          <w:tcPr>
            <w:tcW w:w="2410" w:type="dxa"/>
          </w:tcPr>
          <w:p w14:paraId="51172CAD" w14:textId="5630C4F9" w:rsidR="00B86B73" w:rsidRPr="006341F5" w:rsidRDefault="00B86B73" w:rsidP="00C41DBD">
            <w:pPr>
              <w:pStyle w:val="COMPara"/>
              <w:numPr>
                <w:ilvl w:val="0"/>
                <w:numId w:val="0"/>
              </w:numPr>
              <w:spacing w:beforeLines="60" w:before="144" w:afterLines="60" w:after="144"/>
              <w:jc w:val="both"/>
              <w:rPr>
                <w:lang w:val="fr-FR"/>
              </w:rPr>
            </w:pPr>
            <w:hyperlink r:id="rId57" w:history="1">
              <w:r w:rsidRPr="006341F5">
                <w:rPr>
                  <w:rStyle w:val="Hyperlink"/>
                  <w:lang w:val="fr-FR"/>
                </w:rPr>
                <w:t>LHE/24/19.COM/6.a</w:t>
              </w:r>
            </w:hyperlink>
          </w:p>
        </w:tc>
        <w:tc>
          <w:tcPr>
            <w:tcW w:w="2453" w:type="dxa"/>
          </w:tcPr>
          <w:p w14:paraId="09CE4F60" w14:textId="6C50E99C"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D94206">
              <w:rPr>
                <w:lang w:val="fr-FR"/>
              </w:rPr>
              <w:t>é</w:t>
            </w:r>
            <w:r w:rsidRPr="006341F5">
              <w:rPr>
                <w:lang w:val="fr-FR"/>
              </w:rPr>
              <w:t xml:space="preserve">cision </w:t>
            </w:r>
            <w:hyperlink r:id="rId58" w:history="1">
              <w:r w:rsidR="00B86B73" w:rsidRPr="006341F5">
                <w:rPr>
                  <w:rStyle w:val="Hyperlink"/>
                  <w:lang w:val="fr-FR"/>
                </w:rPr>
                <w:t>19.COM 6.a</w:t>
              </w:r>
            </w:hyperlink>
          </w:p>
          <w:p w14:paraId="0119D4AC" w14:textId="72A45A68" w:rsidR="00B86B73" w:rsidRPr="006341F5" w:rsidRDefault="00D94206" w:rsidP="00C41DBD">
            <w:pPr>
              <w:pStyle w:val="COMPara"/>
              <w:numPr>
                <w:ilvl w:val="0"/>
                <w:numId w:val="0"/>
              </w:numPr>
              <w:spacing w:beforeLines="60" w:before="144" w:afterLines="60" w:after="144"/>
              <w:jc w:val="both"/>
              <w:rPr>
                <w:lang w:val="fr-FR"/>
              </w:rPr>
            </w:pPr>
            <w:r w:rsidRPr="00562C1E">
              <w:rPr>
                <w:lang w:val="fr-FR"/>
              </w:rPr>
              <w:t xml:space="preserve">Voir également les </w:t>
            </w:r>
            <w:hyperlink r:id="rId59" w:history="1">
              <w:r w:rsidRPr="00562C1E">
                <w:rPr>
                  <w:rStyle w:val="Hyperlink"/>
                  <w:lang w:val="fr-FR"/>
                </w:rPr>
                <w:t>décisions individuelles</w:t>
              </w:r>
            </w:hyperlink>
            <w:r w:rsidRPr="00562C1E">
              <w:rPr>
                <w:lang w:val="fr-FR"/>
              </w:rPr>
              <w:t xml:space="preserve"> au titre du point </w:t>
            </w:r>
            <w:r>
              <w:rPr>
                <w:lang w:val="fr-FR"/>
              </w:rPr>
              <w:t>6</w:t>
            </w:r>
            <w:r w:rsidRPr="00562C1E">
              <w:rPr>
                <w:lang w:val="fr-FR"/>
              </w:rPr>
              <w:t>.a</w:t>
            </w:r>
          </w:p>
        </w:tc>
      </w:tr>
      <w:tr w:rsidR="00B86B73" w14:paraId="69600F76" w14:textId="77777777" w:rsidTr="002518AC">
        <w:tc>
          <w:tcPr>
            <w:tcW w:w="4815" w:type="dxa"/>
          </w:tcPr>
          <w:p w14:paraId="13A6B404" w14:textId="10365563"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Examen des rapports du cycle régional de rapports périodiques sur la mise en œuvre de la Convention et sur l’état actuel des éléments inscrits sur la Liste représentative du patrimoine culturel immatériel de l’humanité des États parties en Afrique</w:t>
            </w:r>
          </w:p>
        </w:tc>
        <w:tc>
          <w:tcPr>
            <w:tcW w:w="2410" w:type="dxa"/>
          </w:tcPr>
          <w:p w14:paraId="7D54B7F8" w14:textId="62ECF6B0" w:rsidR="00B86B73" w:rsidRPr="006341F5" w:rsidRDefault="00B86B73" w:rsidP="00C41DBD">
            <w:pPr>
              <w:pStyle w:val="COMPara"/>
              <w:numPr>
                <w:ilvl w:val="0"/>
                <w:numId w:val="0"/>
              </w:numPr>
              <w:spacing w:beforeLines="60" w:before="144" w:afterLines="60" w:after="144"/>
              <w:jc w:val="both"/>
              <w:rPr>
                <w:lang w:val="fr-FR"/>
              </w:rPr>
            </w:pPr>
            <w:hyperlink r:id="rId60" w:history="1">
              <w:r w:rsidRPr="006341F5">
                <w:rPr>
                  <w:rStyle w:val="Hyperlink"/>
                  <w:lang w:val="fr-FR"/>
                </w:rPr>
                <w:t>LHE/24/19.COM/6.b</w:t>
              </w:r>
            </w:hyperlink>
          </w:p>
        </w:tc>
        <w:tc>
          <w:tcPr>
            <w:tcW w:w="2453" w:type="dxa"/>
          </w:tcPr>
          <w:p w14:paraId="36229FFA" w14:textId="1AAB220C"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D94206">
              <w:rPr>
                <w:lang w:val="fr-FR"/>
              </w:rPr>
              <w:t>é</w:t>
            </w:r>
            <w:r w:rsidRPr="006341F5">
              <w:rPr>
                <w:lang w:val="fr-FR"/>
              </w:rPr>
              <w:t xml:space="preserve">cision </w:t>
            </w:r>
            <w:hyperlink r:id="rId61" w:history="1">
              <w:r w:rsidR="00B86B73" w:rsidRPr="006341F5">
                <w:rPr>
                  <w:rStyle w:val="Hyperlink"/>
                  <w:lang w:val="fr-FR"/>
                </w:rPr>
                <w:t>19.COM 6.b</w:t>
              </w:r>
            </w:hyperlink>
          </w:p>
        </w:tc>
      </w:tr>
      <w:tr w:rsidR="00B86B73" w14:paraId="70609081" w14:textId="77777777" w:rsidTr="002518AC">
        <w:tc>
          <w:tcPr>
            <w:tcW w:w="4815" w:type="dxa"/>
          </w:tcPr>
          <w:p w14:paraId="512B37D8" w14:textId="57B85020"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Point sur les cycles régionaux de rapports périodiques de la Convention</w:t>
            </w:r>
          </w:p>
        </w:tc>
        <w:tc>
          <w:tcPr>
            <w:tcW w:w="2410" w:type="dxa"/>
          </w:tcPr>
          <w:p w14:paraId="020A2740" w14:textId="5DFAC2C8" w:rsidR="00B86B73" w:rsidRPr="006341F5" w:rsidRDefault="00B86B73" w:rsidP="00C41DBD">
            <w:pPr>
              <w:pStyle w:val="COMPara"/>
              <w:numPr>
                <w:ilvl w:val="0"/>
                <w:numId w:val="0"/>
              </w:numPr>
              <w:spacing w:beforeLines="60" w:before="144" w:afterLines="60" w:after="144"/>
              <w:jc w:val="both"/>
              <w:rPr>
                <w:lang w:val="fr-FR"/>
              </w:rPr>
            </w:pPr>
            <w:hyperlink r:id="rId62" w:history="1">
              <w:r w:rsidRPr="006341F5">
                <w:rPr>
                  <w:rStyle w:val="Hyperlink"/>
                  <w:lang w:val="fr-FR"/>
                </w:rPr>
                <w:t>LHE/24/19.COM/6.c</w:t>
              </w:r>
            </w:hyperlink>
          </w:p>
        </w:tc>
        <w:tc>
          <w:tcPr>
            <w:tcW w:w="2453" w:type="dxa"/>
          </w:tcPr>
          <w:p w14:paraId="5A906431" w14:textId="7ECAB8AF"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D94206">
              <w:rPr>
                <w:lang w:val="fr-FR"/>
              </w:rPr>
              <w:t>é</w:t>
            </w:r>
            <w:r w:rsidRPr="006341F5">
              <w:rPr>
                <w:lang w:val="fr-FR"/>
              </w:rPr>
              <w:t xml:space="preserve">cision </w:t>
            </w:r>
            <w:hyperlink r:id="rId63" w:history="1">
              <w:r w:rsidR="00B86B73" w:rsidRPr="006341F5">
                <w:rPr>
                  <w:rStyle w:val="Hyperlink"/>
                  <w:lang w:val="fr-FR"/>
                </w:rPr>
                <w:t>19.COM 6.c</w:t>
              </w:r>
            </w:hyperlink>
          </w:p>
        </w:tc>
      </w:tr>
      <w:tr w:rsidR="00B86B73" w14:paraId="4423C6FF" w14:textId="77777777" w:rsidTr="002518AC">
        <w:tc>
          <w:tcPr>
            <w:tcW w:w="4815" w:type="dxa"/>
          </w:tcPr>
          <w:p w14:paraId="626BD7F9" w14:textId="5FCA0AB1" w:rsidR="00B86B73" w:rsidRPr="006341F5" w:rsidRDefault="00D94206" w:rsidP="00C41DBD">
            <w:pPr>
              <w:pStyle w:val="COMPara"/>
              <w:numPr>
                <w:ilvl w:val="0"/>
                <w:numId w:val="0"/>
              </w:numPr>
              <w:spacing w:beforeLines="60" w:before="144" w:afterLines="60" w:after="144"/>
              <w:jc w:val="both"/>
              <w:rPr>
                <w:b/>
                <w:bCs/>
                <w:lang w:val="fr-FR"/>
              </w:rPr>
            </w:pPr>
            <w:r w:rsidRPr="00D94206">
              <w:rPr>
                <w:lang w:val="fr-FR"/>
              </w:rPr>
              <w:t>Rapport analytique du premier cycle de soumission de rapports périodiques sur la mise en œuvre de la Convention et sur l’état actuel des éléments inscrits sur la Liste représentative du patrimoine culturel immatériel de l’humanité par les États parties dans les États arabes</w:t>
            </w:r>
          </w:p>
        </w:tc>
        <w:tc>
          <w:tcPr>
            <w:tcW w:w="2410" w:type="dxa"/>
          </w:tcPr>
          <w:p w14:paraId="5E495CF9" w14:textId="2C5438CE" w:rsidR="00B86B73" w:rsidRPr="006341F5" w:rsidRDefault="00B86B73" w:rsidP="00C41DBD">
            <w:pPr>
              <w:pStyle w:val="COMPara"/>
              <w:numPr>
                <w:ilvl w:val="0"/>
                <w:numId w:val="0"/>
              </w:numPr>
              <w:spacing w:beforeLines="60" w:before="144" w:afterLines="60" w:after="144"/>
              <w:jc w:val="both"/>
              <w:rPr>
                <w:lang w:val="fr-FR"/>
              </w:rPr>
            </w:pPr>
            <w:hyperlink r:id="rId64" w:history="1">
              <w:r w:rsidRPr="006341F5">
                <w:rPr>
                  <w:rStyle w:val="Hyperlink"/>
                  <w:lang w:val="fr-FR"/>
                </w:rPr>
                <w:t>LHE/24/19.COM/INF.6.c</w:t>
              </w:r>
            </w:hyperlink>
          </w:p>
        </w:tc>
        <w:tc>
          <w:tcPr>
            <w:tcW w:w="2453" w:type="dxa"/>
          </w:tcPr>
          <w:p w14:paraId="3F809D6A" w14:textId="1C357CCE" w:rsidR="00B86B73" w:rsidRPr="006341F5" w:rsidRDefault="00CA05EE" w:rsidP="00C41DBD">
            <w:pPr>
              <w:pStyle w:val="COMPara"/>
              <w:numPr>
                <w:ilvl w:val="0"/>
                <w:numId w:val="0"/>
              </w:numPr>
              <w:spacing w:beforeLines="60" w:before="144" w:afterLines="60" w:after="144"/>
              <w:jc w:val="both"/>
              <w:rPr>
                <w:lang w:val="fr-FR"/>
              </w:rPr>
            </w:pPr>
            <w:r w:rsidRPr="006341F5">
              <w:rPr>
                <w:lang w:val="fr-FR"/>
              </w:rPr>
              <w:t>D</w:t>
            </w:r>
            <w:r>
              <w:rPr>
                <w:lang w:val="fr-FR"/>
              </w:rPr>
              <w:t>é</w:t>
            </w:r>
            <w:r w:rsidRPr="006341F5">
              <w:rPr>
                <w:lang w:val="fr-FR"/>
              </w:rPr>
              <w:t xml:space="preserve">cision </w:t>
            </w:r>
            <w:hyperlink r:id="rId65" w:history="1">
              <w:r w:rsidRPr="006341F5">
                <w:rPr>
                  <w:rStyle w:val="Hyperlink"/>
                  <w:lang w:val="fr-FR"/>
                </w:rPr>
                <w:t>19.COM 6.c</w:t>
              </w:r>
            </w:hyperlink>
          </w:p>
        </w:tc>
      </w:tr>
      <w:tr w:rsidR="00B86B73" w:rsidRPr="00246FC6" w14:paraId="1F03281E" w14:textId="77777777" w:rsidTr="002518AC">
        <w:tc>
          <w:tcPr>
            <w:tcW w:w="9678" w:type="dxa"/>
            <w:gridSpan w:val="3"/>
            <w:shd w:val="clear" w:color="auto" w:fill="F2F2F2" w:themeFill="background1" w:themeFillShade="F2"/>
          </w:tcPr>
          <w:p w14:paraId="6C875635" w14:textId="3E5676EE" w:rsidR="00B86B73" w:rsidRPr="006341F5" w:rsidRDefault="00246FC6" w:rsidP="00C41DBD">
            <w:pPr>
              <w:pStyle w:val="COMPara"/>
              <w:numPr>
                <w:ilvl w:val="0"/>
                <w:numId w:val="0"/>
              </w:numPr>
              <w:spacing w:beforeLines="60" w:before="144" w:afterLines="60" w:after="144"/>
              <w:jc w:val="both"/>
              <w:rPr>
                <w:b/>
                <w:bCs/>
                <w:lang w:val="fr-FR"/>
              </w:rPr>
            </w:pPr>
            <w:r w:rsidRPr="00246FC6">
              <w:rPr>
                <w:b/>
                <w:bCs/>
                <w:lang w:val="fr-FR"/>
              </w:rPr>
              <w:t xml:space="preserve">Vingtième session du Comité </w:t>
            </w:r>
            <w:r w:rsidR="00B86B73" w:rsidRPr="00246FC6">
              <w:rPr>
                <w:lang w:val="fr-FR"/>
              </w:rPr>
              <w:t>(8</w:t>
            </w:r>
            <w:r>
              <w:rPr>
                <w:lang w:val="fr-FR"/>
              </w:rPr>
              <w:t>-</w:t>
            </w:r>
            <w:r w:rsidR="00B86B73" w:rsidRPr="00246FC6">
              <w:rPr>
                <w:lang w:val="fr-FR"/>
              </w:rPr>
              <w:t xml:space="preserve">12 </w:t>
            </w:r>
            <w:r>
              <w:rPr>
                <w:lang w:val="fr-FR"/>
              </w:rPr>
              <w:t>décembre</w:t>
            </w:r>
            <w:r w:rsidR="00B86B73" w:rsidRPr="00246FC6">
              <w:rPr>
                <w:lang w:val="fr-FR"/>
              </w:rPr>
              <w:t xml:space="preserve"> 2025, New Delhi, </w:t>
            </w:r>
            <w:r>
              <w:rPr>
                <w:lang w:val="fr-FR"/>
              </w:rPr>
              <w:t>Inde</w:t>
            </w:r>
            <w:r w:rsidR="00B86B73" w:rsidRPr="00246FC6">
              <w:rPr>
                <w:lang w:val="fr-FR"/>
              </w:rPr>
              <w:t>)</w:t>
            </w:r>
          </w:p>
        </w:tc>
      </w:tr>
      <w:tr w:rsidR="00B86B73" w:rsidRPr="00246FC6" w14:paraId="5765AA31" w14:textId="77777777" w:rsidTr="002518AC">
        <w:tc>
          <w:tcPr>
            <w:tcW w:w="4815" w:type="dxa"/>
          </w:tcPr>
          <w:p w14:paraId="6ED046D5" w14:textId="1E138F53" w:rsidR="00B86B73" w:rsidRPr="006341F5" w:rsidRDefault="00246FC6" w:rsidP="00C41DBD">
            <w:pPr>
              <w:pStyle w:val="COMPara"/>
              <w:numPr>
                <w:ilvl w:val="0"/>
                <w:numId w:val="0"/>
              </w:numPr>
              <w:spacing w:beforeLines="60" w:before="144" w:afterLines="60" w:after="144"/>
              <w:jc w:val="both"/>
              <w:rPr>
                <w:lang w:val="fr-FR"/>
              </w:rPr>
            </w:pPr>
            <w:r w:rsidRPr="00246FC6">
              <w:rPr>
                <w:lang w:val="fr-FR"/>
              </w:rPr>
              <w:t>Examen des rapports des États parties sur l’état actuel des éléments inscrits sur la Liste du patrimoine culturel immatériel nécessitant une sauvegarde urgente</w:t>
            </w:r>
          </w:p>
        </w:tc>
        <w:tc>
          <w:tcPr>
            <w:tcW w:w="2410" w:type="dxa"/>
          </w:tcPr>
          <w:p w14:paraId="5FF140A4" w14:textId="7AAC9D22" w:rsidR="00B86B73" w:rsidRPr="006341F5" w:rsidRDefault="00B86B73" w:rsidP="00C41DBD">
            <w:pPr>
              <w:pStyle w:val="COMPara"/>
              <w:numPr>
                <w:ilvl w:val="0"/>
                <w:numId w:val="0"/>
              </w:numPr>
              <w:spacing w:beforeLines="60" w:before="144" w:afterLines="60" w:after="144"/>
              <w:jc w:val="both"/>
              <w:rPr>
                <w:lang w:val="fr-FR"/>
              </w:rPr>
            </w:pPr>
            <w:hyperlink r:id="rId66" w:history="1">
              <w:r w:rsidRPr="006341F5">
                <w:rPr>
                  <w:rStyle w:val="Hyperlink"/>
                  <w:lang w:val="fr-FR"/>
                </w:rPr>
                <w:t>LHE/25/20.COM/6.a</w:t>
              </w:r>
            </w:hyperlink>
          </w:p>
          <w:p w14:paraId="473A4773" w14:textId="77777777" w:rsidR="00B86B73" w:rsidRPr="006341F5" w:rsidRDefault="00B86B73" w:rsidP="00C41DBD">
            <w:pPr>
              <w:pStyle w:val="COMPara"/>
              <w:numPr>
                <w:ilvl w:val="0"/>
                <w:numId w:val="0"/>
              </w:numPr>
              <w:spacing w:beforeLines="60" w:before="144" w:afterLines="60" w:after="144"/>
              <w:jc w:val="both"/>
              <w:rPr>
                <w:lang w:val="fr-FR"/>
              </w:rPr>
            </w:pPr>
          </w:p>
        </w:tc>
        <w:tc>
          <w:tcPr>
            <w:tcW w:w="2453" w:type="dxa"/>
          </w:tcPr>
          <w:p w14:paraId="22CFACF9" w14:textId="0AA903F0"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246FC6">
              <w:rPr>
                <w:lang w:val="fr-FR"/>
              </w:rPr>
              <w:t>é</w:t>
            </w:r>
            <w:r w:rsidRPr="006341F5">
              <w:rPr>
                <w:lang w:val="fr-FR"/>
              </w:rPr>
              <w:t xml:space="preserve">cision </w:t>
            </w:r>
            <w:hyperlink r:id="rId67" w:history="1">
              <w:r w:rsidR="00B86B73" w:rsidRPr="006341F5">
                <w:rPr>
                  <w:rStyle w:val="Hyperlink"/>
                  <w:lang w:val="fr-FR"/>
                </w:rPr>
                <w:t>20.COM 6.a</w:t>
              </w:r>
            </w:hyperlink>
          </w:p>
          <w:p w14:paraId="21D3DA2D" w14:textId="6B600F1F" w:rsidR="00B86B73" w:rsidRPr="006341F5" w:rsidRDefault="00246FC6" w:rsidP="00C41DBD">
            <w:pPr>
              <w:pStyle w:val="COMPara"/>
              <w:numPr>
                <w:ilvl w:val="0"/>
                <w:numId w:val="0"/>
              </w:numPr>
              <w:spacing w:beforeLines="60" w:before="144" w:afterLines="60" w:after="144"/>
              <w:rPr>
                <w:lang w:val="fr-FR"/>
              </w:rPr>
            </w:pPr>
            <w:r w:rsidRPr="00246FC6">
              <w:rPr>
                <w:lang w:val="fr-FR"/>
              </w:rPr>
              <w:t xml:space="preserve">Voir également les </w:t>
            </w:r>
            <w:hyperlink r:id="rId68" w:history="1">
              <w:r w:rsidRPr="00246FC6">
                <w:rPr>
                  <w:rStyle w:val="Hyperlink"/>
                  <w:lang w:val="fr-FR"/>
                </w:rPr>
                <w:t>décisions individuelles</w:t>
              </w:r>
            </w:hyperlink>
            <w:r w:rsidRPr="00246FC6">
              <w:rPr>
                <w:lang w:val="fr-FR"/>
              </w:rPr>
              <w:t xml:space="preserve"> au titre du point 6.a</w:t>
            </w:r>
          </w:p>
        </w:tc>
      </w:tr>
      <w:tr w:rsidR="00B86B73" w14:paraId="54DFFE42" w14:textId="77777777" w:rsidTr="002518AC">
        <w:tc>
          <w:tcPr>
            <w:tcW w:w="4815" w:type="dxa"/>
          </w:tcPr>
          <w:p w14:paraId="5726B9EC" w14:textId="15AE4D6F" w:rsidR="00B86B73" w:rsidRPr="006341F5" w:rsidRDefault="00246FC6" w:rsidP="00C41DBD">
            <w:pPr>
              <w:pStyle w:val="COMPara"/>
              <w:numPr>
                <w:ilvl w:val="0"/>
                <w:numId w:val="0"/>
              </w:numPr>
              <w:spacing w:beforeLines="60" w:before="144" w:afterLines="60" w:after="144"/>
              <w:jc w:val="both"/>
              <w:rPr>
                <w:lang w:val="fr-FR"/>
              </w:rPr>
            </w:pPr>
            <w:r w:rsidRPr="00246FC6">
              <w:rPr>
                <w:lang w:val="fr-FR"/>
              </w:rPr>
              <w:t>Examen des rapports du cycle régional de rapports périodiques sur la mise en œuvre de la Convention et sur l’état actuel des éléments inscrits sur la Liste représentative du patrimoine culturel immatériel de l’humanité des États parties en Asie et dans le Pacifique</w:t>
            </w:r>
          </w:p>
        </w:tc>
        <w:tc>
          <w:tcPr>
            <w:tcW w:w="2410" w:type="dxa"/>
          </w:tcPr>
          <w:p w14:paraId="7C976E07" w14:textId="50029FC8" w:rsidR="00B86B73" w:rsidRPr="006341F5" w:rsidRDefault="00B86B73" w:rsidP="00C41DBD">
            <w:pPr>
              <w:pStyle w:val="COMPara"/>
              <w:numPr>
                <w:ilvl w:val="0"/>
                <w:numId w:val="0"/>
              </w:numPr>
              <w:spacing w:beforeLines="60" w:before="144" w:afterLines="60" w:after="144"/>
              <w:jc w:val="both"/>
              <w:rPr>
                <w:lang w:val="fr-FR"/>
              </w:rPr>
            </w:pPr>
            <w:hyperlink r:id="rId69" w:history="1">
              <w:r w:rsidRPr="006341F5">
                <w:rPr>
                  <w:rStyle w:val="Hyperlink"/>
                  <w:lang w:val="fr-FR"/>
                </w:rPr>
                <w:t>LHE/25/20.COM/6.b</w:t>
              </w:r>
            </w:hyperlink>
          </w:p>
          <w:p w14:paraId="03B78754" w14:textId="77777777" w:rsidR="00B86B73" w:rsidRPr="006341F5" w:rsidRDefault="00B86B73" w:rsidP="00C41DBD">
            <w:pPr>
              <w:pStyle w:val="COMPara"/>
              <w:numPr>
                <w:ilvl w:val="0"/>
                <w:numId w:val="0"/>
              </w:numPr>
              <w:spacing w:beforeLines="60" w:before="144" w:afterLines="60" w:after="144"/>
              <w:jc w:val="both"/>
              <w:rPr>
                <w:lang w:val="fr-FR"/>
              </w:rPr>
            </w:pPr>
          </w:p>
        </w:tc>
        <w:tc>
          <w:tcPr>
            <w:tcW w:w="2453" w:type="dxa"/>
          </w:tcPr>
          <w:p w14:paraId="1A8FDCA8" w14:textId="26534741"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246FC6">
              <w:rPr>
                <w:lang w:val="fr-FR"/>
              </w:rPr>
              <w:t>é</w:t>
            </w:r>
            <w:r w:rsidRPr="006341F5">
              <w:rPr>
                <w:lang w:val="fr-FR"/>
              </w:rPr>
              <w:t xml:space="preserve">cision </w:t>
            </w:r>
            <w:hyperlink r:id="rId70" w:history="1">
              <w:r w:rsidR="00B86B73" w:rsidRPr="006341F5">
                <w:rPr>
                  <w:rStyle w:val="Hyperlink"/>
                  <w:lang w:val="fr-FR"/>
                </w:rPr>
                <w:t>20.COM 6.b</w:t>
              </w:r>
            </w:hyperlink>
          </w:p>
          <w:p w14:paraId="32CF46E8" w14:textId="6C45CEDD" w:rsidR="00B86B73" w:rsidRPr="006341F5" w:rsidRDefault="00B86B73" w:rsidP="00C41DBD">
            <w:pPr>
              <w:pStyle w:val="COMPara"/>
              <w:numPr>
                <w:ilvl w:val="0"/>
                <w:numId w:val="0"/>
              </w:numPr>
              <w:spacing w:beforeLines="60" w:before="144" w:afterLines="60" w:after="144"/>
              <w:jc w:val="both"/>
              <w:rPr>
                <w:lang w:val="fr-FR"/>
              </w:rPr>
            </w:pPr>
          </w:p>
        </w:tc>
      </w:tr>
      <w:tr w:rsidR="00B86B73" w14:paraId="414309BE" w14:textId="77777777" w:rsidTr="002518AC">
        <w:tc>
          <w:tcPr>
            <w:tcW w:w="4815" w:type="dxa"/>
          </w:tcPr>
          <w:p w14:paraId="302A0ADC" w14:textId="4ABF5A7B" w:rsidR="00B86B73" w:rsidRPr="006341F5" w:rsidRDefault="00246FC6" w:rsidP="00C41DBD">
            <w:pPr>
              <w:pStyle w:val="COMPara"/>
              <w:numPr>
                <w:ilvl w:val="0"/>
                <w:numId w:val="0"/>
              </w:numPr>
              <w:spacing w:beforeLines="60" w:before="144" w:afterLines="60" w:after="144"/>
              <w:jc w:val="both"/>
              <w:rPr>
                <w:lang w:val="fr-FR"/>
              </w:rPr>
            </w:pPr>
            <w:r w:rsidRPr="00246FC6">
              <w:rPr>
                <w:lang w:val="fr-FR"/>
              </w:rPr>
              <w:t>Point sur les cycles régionaux de rapports périodiques de la Convention et proposition d’amendements connexes aux Directives opérationnelles</w:t>
            </w:r>
          </w:p>
        </w:tc>
        <w:tc>
          <w:tcPr>
            <w:tcW w:w="2410" w:type="dxa"/>
          </w:tcPr>
          <w:p w14:paraId="57A85A96" w14:textId="5D21A05E" w:rsidR="00B86B73" w:rsidRPr="006341F5" w:rsidRDefault="00B86B73" w:rsidP="00C41DBD">
            <w:pPr>
              <w:pStyle w:val="COMPara"/>
              <w:numPr>
                <w:ilvl w:val="0"/>
                <w:numId w:val="0"/>
              </w:numPr>
              <w:spacing w:beforeLines="60" w:before="144" w:afterLines="60" w:after="144"/>
              <w:jc w:val="both"/>
              <w:rPr>
                <w:lang w:val="fr-FR"/>
              </w:rPr>
            </w:pPr>
            <w:hyperlink r:id="rId71" w:history="1">
              <w:r w:rsidRPr="006341F5">
                <w:rPr>
                  <w:rStyle w:val="Hyperlink"/>
                  <w:lang w:val="fr-FR"/>
                </w:rPr>
                <w:t>LHE/25/20.COM/6.c</w:t>
              </w:r>
            </w:hyperlink>
          </w:p>
          <w:p w14:paraId="57EF6E71" w14:textId="77777777" w:rsidR="00B86B73" w:rsidRPr="006341F5" w:rsidRDefault="00B86B73" w:rsidP="00C41DBD">
            <w:pPr>
              <w:pStyle w:val="COMPara"/>
              <w:numPr>
                <w:ilvl w:val="0"/>
                <w:numId w:val="0"/>
              </w:numPr>
              <w:spacing w:beforeLines="60" w:before="144" w:afterLines="60" w:after="144"/>
              <w:jc w:val="both"/>
              <w:rPr>
                <w:lang w:val="fr-FR"/>
              </w:rPr>
            </w:pPr>
          </w:p>
        </w:tc>
        <w:tc>
          <w:tcPr>
            <w:tcW w:w="2453" w:type="dxa"/>
          </w:tcPr>
          <w:p w14:paraId="10C72E2D" w14:textId="44533DFF" w:rsidR="00B86B73" w:rsidRPr="006341F5" w:rsidRDefault="00A30D55" w:rsidP="00C41DBD">
            <w:pPr>
              <w:pStyle w:val="COMPara"/>
              <w:numPr>
                <w:ilvl w:val="0"/>
                <w:numId w:val="0"/>
              </w:numPr>
              <w:spacing w:beforeLines="60" w:before="144" w:afterLines="60" w:after="144"/>
              <w:jc w:val="both"/>
              <w:rPr>
                <w:lang w:val="fr-FR"/>
              </w:rPr>
            </w:pPr>
            <w:r w:rsidRPr="006341F5">
              <w:rPr>
                <w:lang w:val="fr-FR"/>
              </w:rPr>
              <w:t>D</w:t>
            </w:r>
            <w:r w:rsidR="00246FC6">
              <w:rPr>
                <w:lang w:val="fr-FR"/>
              </w:rPr>
              <w:t>é</w:t>
            </w:r>
            <w:r w:rsidRPr="006341F5">
              <w:rPr>
                <w:lang w:val="fr-FR"/>
              </w:rPr>
              <w:t xml:space="preserve">cision </w:t>
            </w:r>
            <w:hyperlink r:id="rId72" w:history="1">
              <w:r w:rsidR="00B86B73" w:rsidRPr="006341F5">
                <w:rPr>
                  <w:rStyle w:val="Hyperlink"/>
                  <w:lang w:val="fr-FR"/>
                </w:rPr>
                <w:t>20.COM 6.c</w:t>
              </w:r>
            </w:hyperlink>
          </w:p>
          <w:p w14:paraId="176CBAB2" w14:textId="66D1C04F" w:rsidR="00B86B73" w:rsidRPr="006341F5" w:rsidRDefault="00B86B73" w:rsidP="00C41DBD">
            <w:pPr>
              <w:pStyle w:val="COMPara"/>
              <w:numPr>
                <w:ilvl w:val="0"/>
                <w:numId w:val="0"/>
              </w:numPr>
              <w:spacing w:beforeLines="60" w:before="144" w:afterLines="60" w:after="144"/>
              <w:jc w:val="both"/>
              <w:rPr>
                <w:lang w:val="fr-FR"/>
              </w:rPr>
            </w:pPr>
          </w:p>
        </w:tc>
      </w:tr>
      <w:tr w:rsidR="00B86B73" w14:paraId="35D17B53" w14:textId="77777777" w:rsidTr="002518AC">
        <w:tc>
          <w:tcPr>
            <w:tcW w:w="4815" w:type="dxa"/>
          </w:tcPr>
          <w:p w14:paraId="43D99803" w14:textId="2A6F322D" w:rsidR="00B86B73" w:rsidRPr="006341F5" w:rsidRDefault="00246FC6" w:rsidP="00C41DBD">
            <w:pPr>
              <w:pStyle w:val="COMPara"/>
              <w:numPr>
                <w:ilvl w:val="0"/>
                <w:numId w:val="0"/>
              </w:numPr>
              <w:spacing w:beforeLines="60" w:before="144" w:afterLines="60" w:after="144"/>
              <w:jc w:val="both"/>
              <w:rPr>
                <w:lang w:val="fr-FR"/>
              </w:rPr>
            </w:pPr>
            <w:r w:rsidRPr="00246FC6">
              <w:rPr>
                <w:lang w:val="fr-FR"/>
              </w:rPr>
              <w:t>Rapport analytique du premier cycle des rapports périodiques sur la mise en œuvre de la Convention et sur l’état actuel des éléments inscrits sur la Liste représentative du patrimoine culturel immatériel de l’humanité par les États parties en Afrique</w:t>
            </w:r>
          </w:p>
        </w:tc>
        <w:tc>
          <w:tcPr>
            <w:tcW w:w="2410" w:type="dxa"/>
          </w:tcPr>
          <w:p w14:paraId="0DA98AB4" w14:textId="5BD2E2A5" w:rsidR="00B86B73" w:rsidRPr="006341F5" w:rsidRDefault="00B86B73" w:rsidP="00C41DBD">
            <w:pPr>
              <w:pStyle w:val="COMPara"/>
              <w:numPr>
                <w:ilvl w:val="0"/>
                <w:numId w:val="0"/>
              </w:numPr>
              <w:spacing w:beforeLines="60" w:before="144" w:afterLines="60" w:after="144"/>
              <w:jc w:val="both"/>
              <w:rPr>
                <w:lang w:val="fr-FR"/>
              </w:rPr>
            </w:pPr>
            <w:hyperlink r:id="rId73" w:history="1">
              <w:r w:rsidRPr="006341F5">
                <w:rPr>
                  <w:rStyle w:val="Hyperlink"/>
                  <w:lang w:val="fr-FR"/>
                </w:rPr>
                <w:t>LHE/25/20.COM/INF.6.c</w:t>
              </w:r>
            </w:hyperlink>
          </w:p>
        </w:tc>
        <w:tc>
          <w:tcPr>
            <w:tcW w:w="2453" w:type="dxa"/>
          </w:tcPr>
          <w:p w14:paraId="3C3AC62D" w14:textId="12A39105" w:rsidR="00B86B73" w:rsidRPr="006341F5" w:rsidRDefault="00CA05EE" w:rsidP="00CA05EE">
            <w:pPr>
              <w:pStyle w:val="COMPara"/>
              <w:numPr>
                <w:ilvl w:val="0"/>
                <w:numId w:val="0"/>
              </w:numPr>
              <w:spacing w:beforeLines="60" w:before="144" w:afterLines="60" w:after="144"/>
              <w:jc w:val="both"/>
              <w:rPr>
                <w:lang w:val="fr-FR"/>
              </w:rPr>
            </w:pPr>
            <w:r w:rsidRPr="006341F5">
              <w:rPr>
                <w:lang w:val="fr-FR"/>
              </w:rPr>
              <w:t>D</w:t>
            </w:r>
            <w:r>
              <w:rPr>
                <w:lang w:val="fr-FR"/>
              </w:rPr>
              <w:t>é</w:t>
            </w:r>
            <w:r w:rsidRPr="006341F5">
              <w:rPr>
                <w:lang w:val="fr-FR"/>
              </w:rPr>
              <w:t xml:space="preserve">cision </w:t>
            </w:r>
            <w:hyperlink r:id="rId74" w:history="1">
              <w:r w:rsidRPr="006341F5">
                <w:rPr>
                  <w:rStyle w:val="Hyperlink"/>
                  <w:lang w:val="fr-FR"/>
                </w:rPr>
                <w:t>20.COM 6.c</w:t>
              </w:r>
            </w:hyperlink>
          </w:p>
        </w:tc>
      </w:tr>
    </w:tbl>
    <w:p w14:paraId="156457DF" w14:textId="77777777" w:rsidR="00967267" w:rsidRDefault="00967267" w:rsidP="002518AC">
      <w:pPr>
        <w:pStyle w:val="COMPara"/>
        <w:numPr>
          <w:ilvl w:val="0"/>
          <w:numId w:val="0"/>
        </w:numPr>
        <w:spacing w:after="0"/>
        <w:jc w:val="both"/>
        <w:rPr>
          <w:lang w:val="en-US"/>
        </w:rPr>
      </w:pPr>
    </w:p>
    <w:p w14:paraId="3DD196EF" w14:textId="77777777" w:rsidR="00657E6B" w:rsidRDefault="00657E6B" w:rsidP="00967267">
      <w:pPr>
        <w:rPr>
          <w:rFonts w:ascii="Arial" w:hAnsi="Arial" w:cs="Arial"/>
          <w:snapToGrid w:val="0"/>
          <w:sz w:val="22"/>
          <w:szCs w:val="22"/>
          <w:lang w:val="en-US" w:eastAsia="en-US"/>
        </w:rPr>
      </w:pPr>
      <w:r>
        <w:rPr>
          <w:lang w:val="en-US"/>
        </w:rPr>
        <w:br w:type="page"/>
      </w:r>
    </w:p>
    <w:p w14:paraId="5C826097" w14:textId="444DC648" w:rsidR="00084E63" w:rsidRPr="00246FC6" w:rsidRDefault="00657E6B" w:rsidP="00C04849">
      <w:pPr>
        <w:pStyle w:val="Heading4"/>
        <w:numPr>
          <w:ilvl w:val="0"/>
          <w:numId w:val="0"/>
        </w:numPr>
        <w:ind w:left="567" w:hanging="567"/>
      </w:pPr>
      <w:bookmarkStart w:id="1" w:name="_Annexe_II:"/>
      <w:bookmarkEnd w:id="1"/>
      <w:r w:rsidRPr="00246FC6">
        <w:t>Annex</w:t>
      </w:r>
      <w:r w:rsidR="00246FC6" w:rsidRPr="00246FC6">
        <w:t>e</w:t>
      </w:r>
      <w:r w:rsidRPr="00246FC6">
        <w:t xml:space="preserve"> II: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42"/>
      </w:tblGrid>
      <w:tr w:rsidR="00657E6B" w:rsidRPr="00246FC6" w14:paraId="13E16A63" w14:textId="77777777" w:rsidTr="00701B4D">
        <w:tc>
          <w:tcPr>
            <w:tcW w:w="9394" w:type="dxa"/>
            <w:gridSpan w:val="2"/>
            <w:shd w:val="clear" w:color="auto" w:fill="F2F2F2" w:themeFill="background1" w:themeFillShade="F2"/>
          </w:tcPr>
          <w:p w14:paraId="622DD8C2" w14:textId="59156A84" w:rsidR="00657E6B" w:rsidRPr="00246FC6" w:rsidRDefault="00246FC6" w:rsidP="00701B4D">
            <w:pPr>
              <w:pStyle w:val="COMPara"/>
              <w:numPr>
                <w:ilvl w:val="0"/>
                <w:numId w:val="0"/>
              </w:numPr>
              <w:spacing w:before="120"/>
              <w:jc w:val="both"/>
              <w:rPr>
                <w:b/>
                <w:bCs/>
                <w:lang w:val="fr-FR"/>
              </w:rPr>
            </w:pPr>
            <w:r w:rsidRPr="00246FC6">
              <w:rPr>
                <w:rFonts w:asciiTheme="minorBidi" w:hAnsiTheme="minorBidi" w:cstheme="minorBidi"/>
                <w:b/>
                <w:bCs/>
                <w:lang w:val="fr-FR"/>
              </w:rPr>
              <w:t>Calendrier et étapes clés : transition vers un système de soumission unique à l’échelle mondiale des rapports périodiques</w:t>
            </w:r>
          </w:p>
        </w:tc>
      </w:tr>
      <w:tr w:rsidR="00657E6B" w:rsidRPr="00246FC6" w14:paraId="55DBD99B" w14:textId="77777777" w:rsidTr="00701B4D">
        <w:tc>
          <w:tcPr>
            <w:tcW w:w="2552" w:type="dxa"/>
          </w:tcPr>
          <w:p w14:paraId="49BB1E9F" w14:textId="5BD5242D" w:rsidR="00657E6B" w:rsidRPr="00246FC6" w:rsidRDefault="00246FC6" w:rsidP="00701B4D">
            <w:pPr>
              <w:pStyle w:val="COMPara"/>
              <w:numPr>
                <w:ilvl w:val="0"/>
                <w:numId w:val="0"/>
              </w:numPr>
              <w:spacing w:before="120"/>
              <w:jc w:val="both"/>
              <w:rPr>
                <w:rFonts w:asciiTheme="minorBidi" w:hAnsiTheme="minorBidi"/>
                <w:b/>
                <w:bCs/>
                <w:lang w:val="fr-FR"/>
              </w:rPr>
            </w:pPr>
            <w:r w:rsidRPr="00246FC6">
              <w:rPr>
                <w:rFonts w:asciiTheme="minorBidi" w:hAnsiTheme="minorBidi"/>
                <w:b/>
                <w:bCs/>
                <w:lang w:val="fr-FR"/>
              </w:rPr>
              <w:t>Calendrier</w:t>
            </w:r>
          </w:p>
        </w:tc>
        <w:tc>
          <w:tcPr>
            <w:tcW w:w="6842" w:type="dxa"/>
          </w:tcPr>
          <w:p w14:paraId="2A929E9E" w14:textId="1ED45B43" w:rsidR="00657E6B" w:rsidRPr="00AC7F3A" w:rsidRDefault="00246FC6" w:rsidP="00701B4D">
            <w:pPr>
              <w:pStyle w:val="COMPara"/>
              <w:numPr>
                <w:ilvl w:val="0"/>
                <w:numId w:val="0"/>
              </w:numPr>
              <w:spacing w:before="120"/>
              <w:jc w:val="both"/>
              <w:rPr>
                <w:rFonts w:asciiTheme="minorBidi" w:hAnsiTheme="minorBidi"/>
                <w:b/>
                <w:bCs/>
                <w:lang w:val="fr-FR"/>
              </w:rPr>
            </w:pPr>
            <w:r w:rsidRPr="00AC7F3A">
              <w:rPr>
                <w:rFonts w:asciiTheme="minorBidi" w:hAnsiTheme="minorBidi"/>
                <w:b/>
                <w:bCs/>
                <w:lang w:val="fr-FR"/>
              </w:rPr>
              <w:t>Activité</w:t>
            </w:r>
          </w:p>
        </w:tc>
      </w:tr>
      <w:tr w:rsidR="00657E6B" w:rsidRPr="00246FC6" w14:paraId="59FD70BE" w14:textId="77777777" w:rsidTr="00701B4D">
        <w:tc>
          <w:tcPr>
            <w:tcW w:w="2552" w:type="dxa"/>
          </w:tcPr>
          <w:p w14:paraId="6E37F0B6" w14:textId="6E6FA437" w:rsidR="00657E6B" w:rsidRPr="00246FC6" w:rsidRDefault="00657E6B" w:rsidP="00701B4D">
            <w:pPr>
              <w:pStyle w:val="COMPara"/>
              <w:numPr>
                <w:ilvl w:val="0"/>
                <w:numId w:val="0"/>
              </w:numPr>
              <w:spacing w:before="120"/>
              <w:rPr>
                <w:rFonts w:asciiTheme="minorBidi" w:hAnsiTheme="minorBidi"/>
                <w:lang w:val="fr-FR"/>
              </w:rPr>
            </w:pPr>
            <w:r w:rsidRPr="00246FC6">
              <w:rPr>
                <w:rFonts w:asciiTheme="minorBidi" w:hAnsiTheme="minorBidi"/>
                <w:lang w:val="fr-FR"/>
              </w:rPr>
              <w:t>28</w:t>
            </w:r>
            <w:r w:rsidR="00246FC6">
              <w:rPr>
                <w:rFonts w:asciiTheme="minorBidi" w:hAnsiTheme="minorBidi"/>
                <w:lang w:val="fr-FR"/>
              </w:rPr>
              <w:t>-</w:t>
            </w:r>
            <w:r w:rsidRPr="00246FC6">
              <w:rPr>
                <w:rFonts w:asciiTheme="minorBidi" w:hAnsiTheme="minorBidi"/>
                <w:lang w:val="fr-FR"/>
              </w:rPr>
              <w:t xml:space="preserve">30 </w:t>
            </w:r>
            <w:r w:rsidR="00246FC6">
              <w:rPr>
                <w:rFonts w:asciiTheme="minorBidi" w:hAnsiTheme="minorBidi"/>
                <w:lang w:val="fr-FR"/>
              </w:rPr>
              <w:t>avril</w:t>
            </w:r>
            <w:r w:rsidRPr="00246FC6">
              <w:rPr>
                <w:rFonts w:asciiTheme="minorBidi" w:hAnsiTheme="minorBidi"/>
                <w:lang w:val="fr-FR"/>
              </w:rPr>
              <w:t xml:space="preserve"> 2026</w:t>
            </w:r>
          </w:p>
        </w:tc>
        <w:tc>
          <w:tcPr>
            <w:tcW w:w="6842" w:type="dxa"/>
          </w:tcPr>
          <w:p w14:paraId="731A7B69" w14:textId="79773CBB" w:rsidR="00657E6B" w:rsidRPr="00AC7F3A" w:rsidRDefault="00246FC6" w:rsidP="00701B4D">
            <w:pPr>
              <w:pStyle w:val="COMPara"/>
              <w:numPr>
                <w:ilvl w:val="0"/>
                <w:numId w:val="0"/>
              </w:numPr>
              <w:spacing w:before="120"/>
              <w:jc w:val="both"/>
              <w:rPr>
                <w:rFonts w:asciiTheme="minorBidi" w:hAnsiTheme="minorBidi"/>
                <w:lang w:val="fr-FR"/>
              </w:rPr>
            </w:pPr>
            <w:r w:rsidRPr="00AC7F3A">
              <w:rPr>
                <w:rFonts w:asciiTheme="minorBidi" w:hAnsiTheme="minorBidi"/>
                <w:lang w:val="fr-FR"/>
              </w:rPr>
              <w:t>Réunion de réflexion mondiale sur les mécanismes de rapport périodique de la Convention de 2003</w:t>
            </w:r>
          </w:p>
        </w:tc>
      </w:tr>
      <w:tr w:rsidR="00657E6B" w:rsidRPr="00246FC6" w14:paraId="1615D4FB" w14:textId="77777777" w:rsidTr="00701B4D">
        <w:tc>
          <w:tcPr>
            <w:tcW w:w="2552" w:type="dxa"/>
          </w:tcPr>
          <w:p w14:paraId="6ADAFDC4" w14:textId="6EC2ADA0" w:rsidR="00657E6B" w:rsidRPr="00246FC6" w:rsidRDefault="00657E6B" w:rsidP="00701B4D">
            <w:pPr>
              <w:pStyle w:val="COMPara"/>
              <w:numPr>
                <w:ilvl w:val="0"/>
                <w:numId w:val="0"/>
              </w:numPr>
              <w:spacing w:before="120"/>
              <w:rPr>
                <w:rFonts w:asciiTheme="minorBidi" w:hAnsiTheme="minorBidi"/>
                <w:lang w:val="fr-FR"/>
              </w:rPr>
            </w:pPr>
            <w:r w:rsidRPr="00246FC6">
              <w:rPr>
                <w:rFonts w:asciiTheme="minorBidi" w:hAnsiTheme="minorBidi"/>
                <w:lang w:val="fr-FR"/>
              </w:rPr>
              <w:t>17</w:t>
            </w:r>
            <w:r w:rsidR="00246FC6">
              <w:rPr>
                <w:rFonts w:asciiTheme="minorBidi" w:hAnsiTheme="minorBidi"/>
                <w:lang w:val="fr-FR"/>
              </w:rPr>
              <w:t>-</w:t>
            </w:r>
            <w:r w:rsidRPr="00246FC6">
              <w:rPr>
                <w:rFonts w:asciiTheme="minorBidi" w:hAnsiTheme="minorBidi"/>
                <w:lang w:val="fr-FR"/>
              </w:rPr>
              <w:t xml:space="preserve">18 </w:t>
            </w:r>
            <w:r w:rsidR="00246FC6">
              <w:rPr>
                <w:rFonts w:asciiTheme="minorBidi" w:hAnsiTheme="minorBidi"/>
                <w:lang w:val="fr-FR"/>
              </w:rPr>
              <w:t>juin</w:t>
            </w:r>
            <w:r w:rsidRPr="00246FC6">
              <w:rPr>
                <w:rFonts w:asciiTheme="minorBidi" w:hAnsiTheme="minorBidi"/>
                <w:lang w:val="fr-FR"/>
              </w:rPr>
              <w:t xml:space="preserve"> 2026</w:t>
            </w:r>
          </w:p>
        </w:tc>
        <w:tc>
          <w:tcPr>
            <w:tcW w:w="6842" w:type="dxa"/>
          </w:tcPr>
          <w:p w14:paraId="6E4632C0" w14:textId="6E693585" w:rsidR="00657E6B" w:rsidRPr="00AC7F3A" w:rsidRDefault="00246FC6" w:rsidP="00CA05EE">
            <w:pPr>
              <w:pStyle w:val="COMPara"/>
              <w:numPr>
                <w:ilvl w:val="0"/>
                <w:numId w:val="0"/>
              </w:numPr>
              <w:spacing w:before="120"/>
              <w:jc w:val="both"/>
              <w:rPr>
                <w:rFonts w:asciiTheme="minorBidi" w:hAnsiTheme="minorBidi"/>
                <w:lang w:val="fr-FR"/>
              </w:rPr>
            </w:pPr>
            <w:r w:rsidRPr="00AC7F3A">
              <w:rPr>
                <w:rFonts w:asciiTheme="minorBidi" w:hAnsiTheme="minorBidi"/>
                <w:lang w:val="fr-FR"/>
              </w:rPr>
              <w:t xml:space="preserve">Examen des </w:t>
            </w:r>
            <w:r w:rsidR="000904E4" w:rsidRPr="00AC7F3A">
              <w:rPr>
                <w:rFonts w:asciiTheme="minorBidi" w:hAnsiTheme="minorBidi"/>
                <w:lang w:val="fr-FR"/>
              </w:rPr>
              <w:t>révisions proposées aux</w:t>
            </w:r>
            <w:r w:rsidRPr="00AC7F3A">
              <w:rPr>
                <w:rFonts w:asciiTheme="minorBidi" w:hAnsiTheme="minorBidi"/>
                <w:lang w:val="fr-FR"/>
              </w:rPr>
              <w:t xml:space="preserve"> Directives opérationnelles pour la mise en œuvre de la Convention</w:t>
            </w:r>
            <w:r w:rsidR="00CA05EE" w:rsidRPr="00AC7F3A">
              <w:rPr>
                <w:rFonts w:asciiTheme="minorBidi" w:hAnsiTheme="minorBidi"/>
                <w:lang w:val="fr-FR"/>
              </w:rPr>
              <w:t xml:space="preserve"> lors de la onzième session de l’Assemblée générale</w:t>
            </w:r>
          </w:p>
        </w:tc>
      </w:tr>
      <w:tr w:rsidR="00657E6B" w:rsidRPr="00246FC6" w14:paraId="69232C42" w14:textId="77777777" w:rsidTr="00701B4D">
        <w:tc>
          <w:tcPr>
            <w:tcW w:w="2552" w:type="dxa"/>
          </w:tcPr>
          <w:p w14:paraId="5E9863F1" w14:textId="4BB0E905" w:rsidR="00657E6B" w:rsidRPr="00246FC6" w:rsidRDefault="00657E6B" w:rsidP="00701B4D">
            <w:pPr>
              <w:pStyle w:val="COMPara"/>
              <w:numPr>
                <w:ilvl w:val="0"/>
                <w:numId w:val="0"/>
              </w:numPr>
              <w:spacing w:before="120"/>
              <w:rPr>
                <w:u w:val="single"/>
                <w:lang w:val="fr-FR"/>
              </w:rPr>
            </w:pPr>
            <w:r w:rsidRPr="00246FC6">
              <w:rPr>
                <w:rFonts w:asciiTheme="minorBidi" w:hAnsiTheme="minorBidi"/>
                <w:lang w:val="fr-FR"/>
              </w:rPr>
              <w:t xml:space="preserve">19 </w:t>
            </w:r>
            <w:r w:rsidR="00246FC6">
              <w:rPr>
                <w:rFonts w:asciiTheme="minorBidi" w:hAnsiTheme="minorBidi"/>
                <w:lang w:val="fr-FR"/>
              </w:rPr>
              <w:t>juin</w:t>
            </w:r>
            <w:r w:rsidRPr="00246FC6">
              <w:rPr>
                <w:rFonts w:asciiTheme="minorBidi" w:hAnsiTheme="minorBidi"/>
                <w:lang w:val="fr-FR"/>
              </w:rPr>
              <w:t xml:space="preserve"> 2026</w:t>
            </w:r>
          </w:p>
        </w:tc>
        <w:tc>
          <w:tcPr>
            <w:tcW w:w="6842" w:type="dxa"/>
          </w:tcPr>
          <w:p w14:paraId="173F0EB0" w14:textId="6F413D28" w:rsidR="00657E6B" w:rsidRPr="00AC7F3A" w:rsidRDefault="000904E4" w:rsidP="00701B4D">
            <w:pPr>
              <w:pStyle w:val="COMPara"/>
              <w:numPr>
                <w:ilvl w:val="0"/>
                <w:numId w:val="0"/>
              </w:numPr>
              <w:spacing w:before="120"/>
              <w:jc w:val="both"/>
              <w:rPr>
                <w:u w:val="single"/>
                <w:lang w:val="fr-FR"/>
              </w:rPr>
            </w:pPr>
            <w:r w:rsidRPr="00AC7F3A">
              <w:rPr>
                <w:rFonts w:asciiTheme="minorBidi" w:hAnsiTheme="minorBidi"/>
                <w:lang w:val="fr-FR"/>
              </w:rPr>
              <w:t>Quatorzième réunion annuelle de coordination des centres de catégorie 2 actifs dans le domaine du patrimoine culturel immatériel</w:t>
            </w:r>
            <w:r w:rsidR="00657E6B" w:rsidRPr="00AC7F3A">
              <w:rPr>
                <w:rFonts w:asciiTheme="minorBidi" w:hAnsiTheme="minorBidi"/>
                <w:lang w:val="fr-FR"/>
              </w:rPr>
              <w:t xml:space="preserve"> – </w:t>
            </w:r>
            <w:r w:rsidRPr="00AC7F3A">
              <w:rPr>
                <w:rFonts w:asciiTheme="minorBidi" w:hAnsiTheme="minorBidi"/>
                <w:i/>
                <w:iCs/>
                <w:lang w:val="fr-FR"/>
              </w:rPr>
              <w:t>réunion privée</w:t>
            </w:r>
          </w:p>
        </w:tc>
      </w:tr>
      <w:tr w:rsidR="00657E6B" w:rsidRPr="00246FC6" w14:paraId="73E9C25F" w14:textId="77777777" w:rsidTr="00701B4D">
        <w:tc>
          <w:tcPr>
            <w:tcW w:w="2552" w:type="dxa"/>
          </w:tcPr>
          <w:p w14:paraId="0565D445" w14:textId="64EF3D7F" w:rsidR="00657E6B" w:rsidRPr="00246FC6" w:rsidRDefault="00657E6B" w:rsidP="00701B4D">
            <w:pPr>
              <w:pStyle w:val="COMPara"/>
              <w:numPr>
                <w:ilvl w:val="0"/>
                <w:numId w:val="0"/>
              </w:numPr>
              <w:spacing w:before="120"/>
              <w:rPr>
                <w:rFonts w:asciiTheme="minorBidi" w:hAnsiTheme="minorBidi"/>
                <w:lang w:val="fr-FR"/>
              </w:rPr>
            </w:pPr>
            <w:r w:rsidRPr="00246FC6">
              <w:rPr>
                <w:rFonts w:asciiTheme="minorBidi" w:hAnsiTheme="minorBidi"/>
                <w:lang w:val="fr-FR"/>
              </w:rPr>
              <w:t xml:space="preserve">30 </w:t>
            </w:r>
            <w:r w:rsidR="00246FC6">
              <w:rPr>
                <w:rFonts w:asciiTheme="minorBidi" w:hAnsiTheme="minorBidi"/>
                <w:lang w:val="fr-FR"/>
              </w:rPr>
              <w:t>juin</w:t>
            </w:r>
            <w:r w:rsidRPr="00246FC6">
              <w:rPr>
                <w:rFonts w:asciiTheme="minorBidi" w:hAnsiTheme="minorBidi"/>
                <w:lang w:val="fr-FR"/>
              </w:rPr>
              <w:t xml:space="preserve"> 2026 (</w:t>
            </w:r>
            <w:r w:rsidR="00246FC6" w:rsidRPr="00246FC6">
              <w:rPr>
                <w:rFonts w:asciiTheme="minorBidi" w:hAnsiTheme="minorBidi"/>
                <w:lang w:val="fr-FR"/>
              </w:rPr>
              <w:t>cible</w:t>
            </w:r>
            <w:r w:rsidRPr="00246FC6">
              <w:rPr>
                <w:rFonts w:asciiTheme="minorBidi" w:hAnsiTheme="minorBidi"/>
                <w:lang w:val="fr-FR"/>
              </w:rPr>
              <w:t>)</w:t>
            </w:r>
          </w:p>
        </w:tc>
        <w:tc>
          <w:tcPr>
            <w:tcW w:w="6842" w:type="dxa"/>
          </w:tcPr>
          <w:p w14:paraId="2E8D0AF2" w14:textId="7B47D4D2" w:rsidR="00657E6B" w:rsidRPr="00AC7F3A" w:rsidRDefault="000904E4" w:rsidP="00701B4D">
            <w:pPr>
              <w:pStyle w:val="COMPara"/>
              <w:numPr>
                <w:ilvl w:val="0"/>
                <w:numId w:val="0"/>
              </w:numPr>
              <w:spacing w:before="120"/>
              <w:jc w:val="both"/>
              <w:rPr>
                <w:rFonts w:asciiTheme="minorBidi" w:hAnsiTheme="minorBidi"/>
                <w:lang w:val="fr-FR"/>
              </w:rPr>
            </w:pPr>
            <w:r w:rsidRPr="00AC7F3A">
              <w:rPr>
                <w:rFonts w:asciiTheme="minorBidi" w:hAnsiTheme="minorBidi"/>
                <w:lang w:val="fr-FR"/>
              </w:rPr>
              <w:t>Publication de la version Word des formulaires révisés</w:t>
            </w:r>
          </w:p>
        </w:tc>
      </w:tr>
      <w:tr w:rsidR="00657E6B" w:rsidRPr="00246FC6" w14:paraId="43119956" w14:textId="77777777" w:rsidTr="00701B4D">
        <w:tc>
          <w:tcPr>
            <w:tcW w:w="2552" w:type="dxa"/>
          </w:tcPr>
          <w:p w14:paraId="69D2BC42" w14:textId="2766C576" w:rsidR="00657E6B" w:rsidRPr="00246FC6" w:rsidRDefault="00246FC6" w:rsidP="00701B4D">
            <w:pPr>
              <w:pStyle w:val="COMPara"/>
              <w:numPr>
                <w:ilvl w:val="0"/>
                <w:numId w:val="0"/>
              </w:numPr>
              <w:spacing w:before="120"/>
              <w:rPr>
                <w:u w:val="single"/>
                <w:lang w:val="fr-FR"/>
              </w:rPr>
            </w:pPr>
            <w:r w:rsidRPr="00246FC6">
              <w:rPr>
                <w:rFonts w:asciiTheme="minorBidi" w:hAnsiTheme="minorBidi"/>
                <w:lang w:val="fr-FR"/>
              </w:rPr>
              <w:t>De septembre à octobre 2026</w:t>
            </w:r>
          </w:p>
        </w:tc>
        <w:tc>
          <w:tcPr>
            <w:tcW w:w="6842" w:type="dxa"/>
          </w:tcPr>
          <w:p w14:paraId="548D12A8" w14:textId="45F853C1" w:rsidR="00657E6B" w:rsidRPr="00AC7F3A" w:rsidRDefault="000904E4" w:rsidP="00701B4D">
            <w:pPr>
              <w:pStyle w:val="COMPara"/>
              <w:numPr>
                <w:ilvl w:val="0"/>
                <w:numId w:val="0"/>
              </w:numPr>
              <w:spacing w:before="120"/>
              <w:jc w:val="both"/>
              <w:rPr>
                <w:u w:val="single"/>
                <w:lang w:val="fr-FR"/>
              </w:rPr>
            </w:pPr>
            <w:r w:rsidRPr="00AC7F3A">
              <w:rPr>
                <w:rFonts w:asciiTheme="minorBidi" w:hAnsiTheme="minorBidi"/>
                <w:lang w:val="fr-FR"/>
              </w:rPr>
              <w:t xml:space="preserve">Publication de </w:t>
            </w:r>
            <w:r w:rsidR="00A838BD" w:rsidRPr="00AC7F3A">
              <w:rPr>
                <w:rFonts w:asciiTheme="minorBidi" w:hAnsiTheme="minorBidi"/>
                <w:lang w:val="fr-FR"/>
              </w:rPr>
              <w:t xml:space="preserve">ressources </w:t>
            </w:r>
            <w:r w:rsidRPr="00AC7F3A">
              <w:rPr>
                <w:rFonts w:asciiTheme="minorBidi" w:hAnsiTheme="minorBidi"/>
                <w:lang w:val="fr-FR"/>
              </w:rPr>
              <w:t>actualisé</w:t>
            </w:r>
            <w:r w:rsidR="00A838BD" w:rsidRPr="00AC7F3A">
              <w:rPr>
                <w:rFonts w:asciiTheme="minorBidi" w:hAnsiTheme="minorBidi"/>
                <w:lang w:val="fr-FR"/>
              </w:rPr>
              <w:t>e</w:t>
            </w:r>
            <w:r w:rsidRPr="00AC7F3A">
              <w:rPr>
                <w:rFonts w:asciiTheme="minorBidi" w:hAnsiTheme="minorBidi"/>
                <w:lang w:val="fr-FR"/>
              </w:rPr>
              <w:t>s de renforcement des capacités relatifs aux rapports périodiques</w:t>
            </w:r>
          </w:p>
        </w:tc>
      </w:tr>
      <w:tr w:rsidR="00657E6B" w:rsidRPr="00246FC6" w14:paraId="2F2FAEDF" w14:textId="77777777" w:rsidTr="00701B4D">
        <w:tc>
          <w:tcPr>
            <w:tcW w:w="2552" w:type="dxa"/>
          </w:tcPr>
          <w:p w14:paraId="15345E13" w14:textId="2D068B06" w:rsidR="00657E6B" w:rsidRPr="00246FC6" w:rsidRDefault="00657E6B" w:rsidP="00701B4D">
            <w:pPr>
              <w:pStyle w:val="COMPara"/>
              <w:numPr>
                <w:ilvl w:val="0"/>
                <w:numId w:val="0"/>
              </w:numPr>
              <w:spacing w:before="120"/>
              <w:rPr>
                <w:u w:val="single"/>
                <w:lang w:val="fr-FR"/>
              </w:rPr>
            </w:pPr>
            <w:r w:rsidRPr="00246FC6">
              <w:rPr>
                <w:rFonts w:asciiTheme="minorBidi" w:hAnsiTheme="minorBidi"/>
                <w:lang w:val="fr-FR"/>
              </w:rPr>
              <w:t>17</w:t>
            </w:r>
            <w:r w:rsidR="00246FC6">
              <w:rPr>
                <w:rFonts w:asciiTheme="minorBidi" w:hAnsiTheme="minorBidi"/>
                <w:lang w:val="fr-FR"/>
              </w:rPr>
              <w:t>-</w:t>
            </w:r>
            <w:r w:rsidRPr="00246FC6">
              <w:rPr>
                <w:rFonts w:asciiTheme="minorBidi" w:hAnsiTheme="minorBidi"/>
                <w:lang w:val="fr-FR"/>
              </w:rPr>
              <w:t xml:space="preserve">18 </w:t>
            </w:r>
            <w:r w:rsidR="00246FC6">
              <w:rPr>
                <w:rFonts w:asciiTheme="minorBidi" w:hAnsiTheme="minorBidi"/>
                <w:lang w:val="fr-FR"/>
              </w:rPr>
              <w:t>septembre</w:t>
            </w:r>
            <w:r w:rsidRPr="00246FC6">
              <w:rPr>
                <w:rFonts w:asciiTheme="minorBidi" w:hAnsiTheme="minorBidi"/>
                <w:lang w:val="fr-FR"/>
              </w:rPr>
              <w:t xml:space="preserve"> 2026</w:t>
            </w:r>
          </w:p>
        </w:tc>
        <w:tc>
          <w:tcPr>
            <w:tcW w:w="6842" w:type="dxa"/>
          </w:tcPr>
          <w:p w14:paraId="1509AC9D" w14:textId="2C704CB0" w:rsidR="00657E6B" w:rsidRPr="00AC7F3A" w:rsidRDefault="000904E4" w:rsidP="000904E4">
            <w:pPr>
              <w:pStyle w:val="COMPara"/>
              <w:numPr>
                <w:ilvl w:val="0"/>
                <w:numId w:val="0"/>
              </w:numPr>
              <w:spacing w:before="120"/>
              <w:jc w:val="both"/>
              <w:rPr>
                <w:u w:val="single"/>
                <w:lang w:val="fr-FR"/>
              </w:rPr>
            </w:pPr>
            <w:r w:rsidRPr="00AC7F3A">
              <w:rPr>
                <w:rFonts w:asciiTheme="minorBidi" w:hAnsiTheme="minorBidi"/>
                <w:lang w:val="fr-FR"/>
              </w:rPr>
              <w:t xml:space="preserve">Formation de formateurs en ligne </w:t>
            </w:r>
          </w:p>
        </w:tc>
      </w:tr>
      <w:tr w:rsidR="00657E6B" w:rsidRPr="00246FC6" w14:paraId="4A432F7A" w14:textId="77777777" w:rsidTr="00701B4D">
        <w:tc>
          <w:tcPr>
            <w:tcW w:w="2552" w:type="dxa"/>
          </w:tcPr>
          <w:p w14:paraId="53545E74" w14:textId="6D08D02E" w:rsidR="00657E6B" w:rsidRPr="00246FC6" w:rsidRDefault="00246FC6" w:rsidP="00701B4D">
            <w:pPr>
              <w:pStyle w:val="COMPara"/>
              <w:numPr>
                <w:ilvl w:val="0"/>
                <w:numId w:val="0"/>
              </w:numPr>
              <w:spacing w:before="120"/>
              <w:rPr>
                <w:lang w:val="fr-FR"/>
              </w:rPr>
            </w:pPr>
            <w:r w:rsidRPr="00246FC6">
              <w:rPr>
                <w:rFonts w:asciiTheme="minorBidi" w:hAnsiTheme="minorBidi"/>
                <w:lang w:val="fr-FR"/>
              </w:rPr>
              <w:t>De septembre 2026 à février 2027</w:t>
            </w:r>
          </w:p>
        </w:tc>
        <w:tc>
          <w:tcPr>
            <w:tcW w:w="6842" w:type="dxa"/>
          </w:tcPr>
          <w:p w14:paraId="66B85FE1" w14:textId="50654D26" w:rsidR="00657E6B" w:rsidRPr="00AC7F3A" w:rsidRDefault="000904E4" w:rsidP="000904E4">
            <w:pPr>
              <w:pStyle w:val="COMPara"/>
              <w:numPr>
                <w:ilvl w:val="0"/>
                <w:numId w:val="0"/>
              </w:numPr>
              <w:spacing w:before="120"/>
              <w:jc w:val="both"/>
              <w:rPr>
                <w:lang w:val="fr-FR"/>
              </w:rPr>
            </w:pPr>
            <w:r w:rsidRPr="00AC7F3A">
              <w:rPr>
                <w:rFonts w:asciiTheme="minorBidi" w:hAnsiTheme="minorBidi"/>
                <w:lang w:val="fr-FR"/>
              </w:rPr>
              <w:t>Activités de formation ciblées avec l’appui des centres de catégorie 2 (adaptées à chaque région)</w:t>
            </w:r>
          </w:p>
        </w:tc>
      </w:tr>
      <w:tr w:rsidR="00657E6B" w:rsidRPr="00246FC6" w14:paraId="3790BB49" w14:textId="77777777" w:rsidTr="00701B4D">
        <w:tc>
          <w:tcPr>
            <w:tcW w:w="2552" w:type="dxa"/>
          </w:tcPr>
          <w:p w14:paraId="0E813503" w14:textId="7542EAC2" w:rsidR="00657E6B" w:rsidRPr="00246FC6" w:rsidRDefault="00246FC6" w:rsidP="00701B4D">
            <w:pPr>
              <w:pStyle w:val="COMPara"/>
              <w:numPr>
                <w:ilvl w:val="0"/>
                <w:numId w:val="0"/>
              </w:numPr>
              <w:spacing w:before="120"/>
              <w:rPr>
                <w:lang w:val="fr-FR"/>
              </w:rPr>
            </w:pPr>
            <w:r w:rsidRPr="00246FC6">
              <w:rPr>
                <w:rFonts w:asciiTheme="minorBidi" w:hAnsiTheme="minorBidi"/>
                <w:lang w:val="fr-FR"/>
              </w:rPr>
              <w:t>De janvier à juin 2027</w:t>
            </w:r>
          </w:p>
        </w:tc>
        <w:tc>
          <w:tcPr>
            <w:tcW w:w="6842" w:type="dxa"/>
          </w:tcPr>
          <w:p w14:paraId="0DDB77D4" w14:textId="70E419E8" w:rsidR="00657E6B" w:rsidRPr="00AC7F3A" w:rsidRDefault="000904E4" w:rsidP="000904E4">
            <w:pPr>
              <w:pStyle w:val="COMPara"/>
              <w:numPr>
                <w:ilvl w:val="0"/>
                <w:numId w:val="0"/>
              </w:numPr>
              <w:spacing w:before="120"/>
              <w:jc w:val="both"/>
              <w:rPr>
                <w:lang w:val="fr-FR"/>
              </w:rPr>
            </w:pPr>
            <w:r w:rsidRPr="00AC7F3A">
              <w:rPr>
                <w:rFonts w:asciiTheme="minorBidi" w:hAnsiTheme="minorBidi"/>
                <w:lang w:val="fr-FR"/>
              </w:rPr>
              <w:t>Appui de suivi ciblé (en ligne) aux points focaux avec l’appui des centres de catégorie 2</w:t>
            </w:r>
          </w:p>
        </w:tc>
      </w:tr>
      <w:tr w:rsidR="00CA05EE" w:rsidRPr="00246FC6" w14:paraId="60A361BC" w14:textId="77777777" w:rsidTr="00701B4D">
        <w:tc>
          <w:tcPr>
            <w:tcW w:w="2552" w:type="dxa"/>
          </w:tcPr>
          <w:p w14:paraId="288DD5E2" w14:textId="0E06F995" w:rsidR="00CA05EE" w:rsidRPr="00246FC6" w:rsidRDefault="00CA05EE" w:rsidP="00701B4D">
            <w:pPr>
              <w:pStyle w:val="COMPara"/>
              <w:numPr>
                <w:ilvl w:val="0"/>
                <w:numId w:val="0"/>
              </w:numPr>
              <w:spacing w:before="120"/>
              <w:rPr>
                <w:rFonts w:asciiTheme="minorBidi" w:hAnsiTheme="minorBidi"/>
                <w:lang w:val="fr-FR"/>
              </w:rPr>
            </w:pPr>
            <w:r>
              <w:rPr>
                <w:rFonts w:asciiTheme="minorBidi" w:hAnsiTheme="minorBidi"/>
                <w:lang w:val="fr-FR"/>
              </w:rPr>
              <w:t>30 juin 2027</w:t>
            </w:r>
          </w:p>
        </w:tc>
        <w:tc>
          <w:tcPr>
            <w:tcW w:w="6842" w:type="dxa"/>
          </w:tcPr>
          <w:p w14:paraId="64530994" w14:textId="1F681521" w:rsidR="00CA05EE" w:rsidRPr="00AC7F3A" w:rsidRDefault="00CA05EE" w:rsidP="00CA05EE">
            <w:pPr>
              <w:pStyle w:val="COMPara"/>
              <w:numPr>
                <w:ilvl w:val="0"/>
                <w:numId w:val="0"/>
              </w:numPr>
              <w:spacing w:before="120"/>
              <w:jc w:val="both"/>
              <w:rPr>
                <w:rFonts w:asciiTheme="minorBidi" w:hAnsiTheme="minorBidi"/>
                <w:lang w:val="fr-FR"/>
              </w:rPr>
            </w:pPr>
            <w:r w:rsidRPr="00AC7F3A">
              <w:rPr>
                <w:rFonts w:asciiTheme="minorBidi" w:hAnsiTheme="minorBidi"/>
                <w:lang w:val="fr-FR"/>
              </w:rPr>
              <w:t>Date de soumission unique à l’échelle mondiale</w:t>
            </w:r>
          </w:p>
        </w:tc>
      </w:tr>
      <w:tr w:rsidR="00657E6B" w:rsidRPr="00246FC6" w14:paraId="2815C227" w14:textId="77777777" w:rsidTr="00701B4D">
        <w:tc>
          <w:tcPr>
            <w:tcW w:w="2552" w:type="dxa"/>
          </w:tcPr>
          <w:p w14:paraId="466DACFF" w14:textId="60263998" w:rsidR="00657E6B" w:rsidRPr="00246FC6" w:rsidRDefault="00246FC6" w:rsidP="00701B4D">
            <w:pPr>
              <w:pStyle w:val="COMPara"/>
              <w:numPr>
                <w:ilvl w:val="0"/>
                <w:numId w:val="0"/>
              </w:numPr>
              <w:spacing w:before="120"/>
              <w:rPr>
                <w:lang w:val="fr-FR"/>
              </w:rPr>
            </w:pPr>
            <w:r w:rsidRPr="00246FC6">
              <w:rPr>
                <w:rFonts w:asciiTheme="minorBidi" w:hAnsiTheme="minorBidi"/>
                <w:lang w:val="fr-FR"/>
              </w:rPr>
              <w:t>À partir de juillet 2027</w:t>
            </w:r>
          </w:p>
        </w:tc>
        <w:tc>
          <w:tcPr>
            <w:tcW w:w="6842" w:type="dxa"/>
          </w:tcPr>
          <w:p w14:paraId="7892856E" w14:textId="5FA8340E" w:rsidR="00657E6B" w:rsidRPr="00AC7F3A" w:rsidRDefault="000904E4" w:rsidP="000904E4">
            <w:pPr>
              <w:pStyle w:val="COMPara"/>
              <w:numPr>
                <w:ilvl w:val="0"/>
                <w:numId w:val="0"/>
              </w:numPr>
              <w:spacing w:before="120"/>
              <w:jc w:val="both"/>
              <w:rPr>
                <w:lang w:val="fr-FR"/>
              </w:rPr>
            </w:pPr>
            <w:r w:rsidRPr="00AC7F3A">
              <w:rPr>
                <w:rFonts w:asciiTheme="minorBidi" w:hAnsiTheme="minorBidi"/>
                <w:lang w:val="fr-FR"/>
              </w:rPr>
              <w:t>Analyse des rapports périodiques avec l’appui des centres de catégorie 2</w:t>
            </w:r>
          </w:p>
        </w:tc>
      </w:tr>
    </w:tbl>
    <w:p w14:paraId="2262569F" w14:textId="77777777" w:rsidR="00657E6B" w:rsidRPr="000904E4" w:rsidRDefault="00657E6B" w:rsidP="00657E6B">
      <w:pPr>
        <w:pStyle w:val="COMPara"/>
        <w:numPr>
          <w:ilvl w:val="0"/>
          <w:numId w:val="0"/>
        </w:numPr>
        <w:spacing w:before="120"/>
        <w:jc w:val="both"/>
        <w:rPr>
          <w:lang w:val="fr-FR"/>
        </w:rPr>
      </w:pPr>
    </w:p>
    <w:sectPr w:rsidR="00657E6B" w:rsidRPr="000904E4" w:rsidSect="00655736">
      <w:headerReference w:type="even" r:id="rId75"/>
      <w:headerReference w:type="default" r:id="rId76"/>
      <w:headerReference w:type="first" r:id="rId7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E677" w14:textId="77777777" w:rsidR="003B7522" w:rsidRDefault="003B7522" w:rsidP="00655736">
      <w:r>
        <w:separator/>
      </w:r>
    </w:p>
  </w:endnote>
  <w:endnote w:type="continuationSeparator" w:id="0">
    <w:p w14:paraId="58A2B457" w14:textId="77777777" w:rsidR="003B7522" w:rsidRDefault="003B752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3322" w14:textId="77777777" w:rsidR="003B7522" w:rsidRDefault="003B7522" w:rsidP="00655736">
      <w:r>
        <w:separator/>
      </w:r>
    </w:p>
  </w:footnote>
  <w:footnote w:type="continuationSeparator" w:id="0">
    <w:p w14:paraId="150646F0" w14:textId="77777777" w:rsidR="003B7522" w:rsidRDefault="003B7522" w:rsidP="00655736">
      <w:r>
        <w:continuationSeparator/>
      </w:r>
    </w:p>
  </w:footnote>
  <w:footnote w:id="1">
    <w:p w14:paraId="75DA9DD0" w14:textId="00DBC645" w:rsidR="00951A36" w:rsidRPr="008E701B" w:rsidRDefault="00951A36" w:rsidP="00711C4F">
      <w:pPr>
        <w:pStyle w:val="FootnoteText"/>
        <w:jc w:val="both"/>
        <w:rPr>
          <w:rFonts w:ascii="Arial" w:hAnsi="Arial" w:cs="Arial"/>
          <w:sz w:val="18"/>
          <w:szCs w:val="18"/>
        </w:rPr>
      </w:pPr>
      <w:r w:rsidRPr="00711C4F">
        <w:rPr>
          <w:rStyle w:val="FootnoteReference"/>
          <w:rFonts w:ascii="Arial" w:hAnsi="Arial" w:cs="Arial"/>
          <w:sz w:val="18"/>
          <w:szCs w:val="18"/>
        </w:rPr>
        <w:footnoteRef/>
      </w:r>
      <w:r w:rsidRPr="008E701B">
        <w:rPr>
          <w:rFonts w:ascii="Arial" w:hAnsi="Arial" w:cs="Arial"/>
          <w:sz w:val="18"/>
          <w:szCs w:val="18"/>
        </w:rPr>
        <w:t xml:space="preserve"> </w:t>
      </w:r>
      <w:r w:rsidR="008E701B" w:rsidRPr="008E701B">
        <w:rPr>
          <w:rFonts w:ascii="Arial" w:hAnsi="Arial" w:cs="Arial"/>
          <w:sz w:val="18"/>
          <w:szCs w:val="18"/>
        </w:rPr>
        <w:t>Les informations fournies dans le tableau sont à compléter par les éléments disponibles sur la page web consacrée aux documents de travail du Comité intergouvernemental, en particulier pour les rapports soumis dans les cycles antérieurs à la réforme lancée en 2017</w:t>
      </w:r>
      <w:r w:rsidR="005E44F4" w:rsidRPr="008E701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3E9862A1" w:rsidR="00D95C4C" w:rsidRPr="00455314" w:rsidRDefault="00C5776D" w:rsidP="00192A23">
    <w:pPr>
      <w:pStyle w:val="Header"/>
      <w:jc w:val="right"/>
      <w:rPr>
        <w:rFonts w:ascii="Arial" w:hAnsi="Arial" w:cs="Arial"/>
        <w:lang w:val="es-ES"/>
      </w:rPr>
    </w:pPr>
    <w:r w:rsidRPr="00C85609">
      <w:rPr>
        <w:rFonts w:ascii="Arial" w:hAnsi="Arial" w:cs="Arial"/>
        <w:sz w:val="20"/>
        <w:szCs w:val="20"/>
        <w:lang w:val="es-ES"/>
      </w:rPr>
      <w:t>L</w:t>
    </w:r>
    <w:r w:rsidR="00CB0542" w:rsidRPr="00C85609">
      <w:rPr>
        <w:rFonts w:ascii="Arial" w:hAnsi="Arial" w:cs="Arial"/>
        <w:sz w:val="20"/>
        <w:szCs w:val="20"/>
        <w:lang w:val="es-ES"/>
      </w:rPr>
      <w:t>H</w:t>
    </w:r>
    <w:r w:rsidRPr="00C85609">
      <w:rPr>
        <w:rFonts w:ascii="Arial" w:hAnsi="Arial" w:cs="Arial"/>
        <w:sz w:val="20"/>
        <w:szCs w:val="20"/>
        <w:lang w:val="es-ES"/>
      </w:rPr>
      <w:t>E</w:t>
    </w:r>
    <w:r w:rsidR="00CB0542" w:rsidRPr="00C85609">
      <w:rPr>
        <w:rFonts w:ascii="Arial" w:hAnsi="Arial" w:cs="Arial"/>
        <w:sz w:val="20"/>
        <w:szCs w:val="20"/>
        <w:lang w:val="es-ES"/>
      </w:rPr>
      <w:t>/</w:t>
    </w:r>
    <w:r w:rsidR="00D7105A" w:rsidRPr="00C85609">
      <w:rPr>
        <w:rFonts w:ascii="Arial" w:hAnsi="Arial" w:cs="Arial"/>
        <w:sz w:val="20"/>
        <w:szCs w:val="20"/>
        <w:lang w:val="es-ES"/>
      </w:rPr>
      <w:t>2</w:t>
    </w:r>
    <w:r w:rsidR="00010244">
      <w:rPr>
        <w:rFonts w:ascii="Arial" w:hAnsi="Arial" w:cs="Arial"/>
        <w:sz w:val="20"/>
        <w:szCs w:val="20"/>
        <w:lang w:val="es-ES"/>
      </w:rPr>
      <w:t>6</w:t>
    </w:r>
    <w:r w:rsidR="00CB0542" w:rsidRPr="00C85609">
      <w:rPr>
        <w:rFonts w:ascii="Arial" w:hAnsi="Arial" w:cs="Arial"/>
        <w:sz w:val="20"/>
        <w:szCs w:val="20"/>
        <w:lang w:val="es-ES"/>
      </w:rPr>
      <w:t>/</w:t>
    </w:r>
    <w:r w:rsidR="00514C11" w:rsidRPr="00C85609">
      <w:rPr>
        <w:rFonts w:ascii="Arial" w:hAnsi="Arial" w:cs="Arial"/>
        <w:sz w:val="20"/>
        <w:szCs w:val="20"/>
        <w:lang w:val="es-ES"/>
      </w:rPr>
      <w:t>PR</w:t>
    </w:r>
    <w:r w:rsidR="0070257B">
      <w:rPr>
        <w:rFonts w:ascii="Arial" w:hAnsi="Arial" w:cs="Arial"/>
        <w:sz w:val="20"/>
        <w:szCs w:val="20"/>
        <w:lang w:val="es-ES"/>
      </w:rPr>
      <w:t xml:space="preserve"> – RFL</w:t>
    </w:r>
    <w:r w:rsidR="00B157F8">
      <w:rPr>
        <w:rFonts w:ascii="Arial" w:hAnsi="Arial" w:cs="Arial"/>
        <w:sz w:val="20"/>
        <w:szCs w:val="20"/>
        <w:lang w:val="es-ES"/>
      </w:rPr>
      <w:t>/</w:t>
    </w:r>
    <w:r w:rsidR="004F1737">
      <w:rPr>
        <w:rFonts w:ascii="Arial" w:hAnsi="Arial" w:cs="Arial"/>
        <w:sz w:val="20"/>
        <w:szCs w:val="20"/>
        <w:lang w:val="es-ES"/>
      </w:rPr>
      <w:t>2</w:t>
    </w:r>
    <w:r w:rsidR="009470E6">
      <w:rPr>
        <w:rFonts w:ascii="Arial" w:hAnsi="Arial" w:cs="Arial"/>
        <w:sz w:val="20"/>
        <w:szCs w:val="20"/>
        <w:lang w:val="es-ES"/>
      </w:rPr>
      <w:t xml:space="preserve"> </w:t>
    </w:r>
    <w:r w:rsidR="00D95C4C" w:rsidRPr="00C85609">
      <w:rPr>
        <w:rFonts w:ascii="Arial" w:hAnsi="Arial" w:cs="Arial"/>
        <w:sz w:val="20"/>
        <w:szCs w:val="20"/>
        <w:lang w:val="es-ES"/>
      </w:rPr>
      <w:t xml:space="preserve">– page </w:t>
    </w:r>
    <w:r w:rsidR="00D95C4C" w:rsidRPr="00C85609">
      <w:rPr>
        <w:rStyle w:val="PageNumber"/>
        <w:rFonts w:ascii="Arial" w:hAnsi="Arial" w:cs="Arial"/>
        <w:sz w:val="20"/>
        <w:szCs w:val="20"/>
        <w:lang w:val="en-GB"/>
      </w:rPr>
      <w:fldChar w:fldCharType="begin"/>
    </w:r>
    <w:r w:rsidR="00D95C4C" w:rsidRPr="00C85609">
      <w:rPr>
        <w:rStyle w:val="PageNumber"/>
        <w:rFonts w:ascii="Arial" w:hAnsi="Arial" w:cs="Arial"/>
        <w:sz w:val="20"/>
        <w:szCs w:val="20"/>
        <w:lang w:val="es-ES"/>
      </w:rPr>
      <w:instrText xml:space="preserve"> PAGE </w:instrText>
    </w:r>
    <w:r w:rsidR="00D95C4C" w:rsidRPr="00C85609">
      <w:rPr>
        <w:rStyle w:val="PageNumber"/>
        <w:rFonts w:ascii="Arial" w:hAnsi="Arial" w:cs="Arial"/>
        <w:sz w:val="20"/>
        <w:szCs w:val="20"/>
        <w:lang w:val="en-GB"/>
      </w:rPr>
      <w:fldChar w:fldCharType="separate"/>
    </w:r>
    <w:r w:rsidR="006E75EB" w:rsidRPr="00C85609">
      <w:rPr>
        <w:rStyle w:val="PageNumber"/>
        <w:rFonts w:ascii="Arial" w:hAnsi="Arial" w:cs="Arial"/>
        <w:noProof/>
        <w:sz w:val="20"/>
        <w:szCs w:val="20"/>
        <w:lang w:val="es-ES"/>
      </w:rPr>
      <w:t>2</w:t>
    </w:r>
    <w:r w:rsidR="00D95C4C" w:rsidRPr="00C85609">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5D82A23" w:rsidR="00D95C4C" w:rsidRPr="00EE5D7D" w:rsidRDefault="00EE5D7D" w:rsidP="00EE5D7D">
    <w:pPr>
      <w:pStyle w:val="Header"/>
      <w:jc w:val="right"/>
      <w:rPr>
        <w:rFonts w:ascii="Arial" w:hAnsi="Arial" w:cs="Arial"/>
        <w:lang w:val="es-ES"/>
      </w:rPr>
    </w:pPr>
    <w:r w:rsidRPr="00455314">
      <w:rPr>
        <w:rFonts w:ascii="Arial" w:hAnsi="Arial" w:cs="Arial"/>
        <w:sz w:val="20"/>
        <w:szCs w:val="20"/>
        <w:lang w:val="es-ES"/>
      </w:rPr>
      <w:t>LHE/2</w:t>
    </w:r>
    <w:r w:rsidR="00BC6E41">
      <w:rPr>
        <w:rFonts w:ascii="Arial" w:hAnsi="Arial" w:cs="Arial"/>
        <w:sz w:val="20"/>
        <w:szCs w:val="20"/>
        <w:lang w:val="es-ES"/>
      </w:rPr>
      <w:t>6</w:t>
    </w:r>
    <w:r w:rsidRPr="00455314">
      <w:rPr>
        <w:rFonts w:ascii="Arial" w:hAnsi="Arial" w:cs="Arial"/>
        <w:sz w:val="20"/>
        <w:szCs w:val="20"/>
        <w:lang w:val="es-ES"/>
      </w:rPr>
      <w:t>/</w:t>
    </w:r>
    <w:r w:rsidR="00483586">
      <w:rPr>
        <w:rFonts w:ascii="Arial" w:hAnsi="Arial" w:cs="Arial"/>
        <w:sz w:val="20"/>
        <w:szCs w:val="20"/>
        <w:lang w:val="es-ES"/>
      </w:rPr>
      <w:t>PR</w:t>
    </w:r>
    <w:r w:rsidR="00B157F8">
      <w:rPr>
        <w:rFonts w:ascii="Arial" w:hAnsi="Arial" w:cs="Arial"/>
        <w:sz w:val="20"/>
        <w:szCs w:val="20"/>
        <w:lang w:val="es-ES"/>
      </w:rPr>
      <w:t>/</w:t>
    </w:r>
    <w:r w:rsidR="00482B75">
      <w:rPr>
        <w:rFonts w:ascii="Arial" w:hAnsi="Arial" w:cs="Arial"/>
        <w:sz w:val="20"/>
        <w:szCs w:val="20"/>
        <w:lang w:val="es-ES"/>
      </w:rPr>
      <w:t>2</w:t>
    </w:r>
    <w:r w:rsidR="009470E6">
      <w:rPr>
        <w:rFonts w:ascii="Arial" w:hAnsi="Arial" w:cs="Arial"/>
        <w:sz w:val="20"/>
        <w:szCs w:val="20"/>
        <w:lang w:val="es-ES"/>
      </w:rPr>
      <w:t xml:space="preserve"> </w:t>
    </w:r>
    <w:r w:rsidRPr="00455314">
      <w:rPr>
        <w:rFonts w:ascii="Arial" w:hAnsi="Arial" w:cs="Arial"/>
        <w:sz w:val="20"/>
        <w:szCs w:val="20"/>
        <w:lang w:val="es-ES"/>
      </w:rPr>
      <w:t xml:space="preserve">– page </w:t>
    </w:r>
    <w:r w:rsidRPr="00C23A97">
      <w:rPr>
        <w:rStyle w:val="PageNumber"/>
        <w:rFonts w:ascii="Arial" w:hAnsi="Arial" w:cs="Arial"/>
        <w:sz w:val="20"/>
        <w:szCs w:val="20"/>
        <w:lang w:val="en-GB"/>
      </w:rPr>
      <w:fldChar w:fldCharType="begin"/>
    </w:r>
    <w:r w:rsidRPr="00455314">
      <w:rPr>
        <w:rStyle w:val="PageNumber"/>
        <w:rFonts w:ascii="Arial" w:hAnsi="Arial" w:cs="Arial"/>
        <w:sz w:val="20"/>
        <w:szCs w:val="20"/>
        <w:lang w:val="es-ES"/>
      </w:rPr>
      <w:instrText xml:space="preserve"> PAGE </w:instrText>
    </w:r>
    <w:r w:rsidRPr="00C23A97">
      <w:rPr>
        <w:rStyle w:val="PageNumber"/>
        <w:rFonts w:ascii="Arial" w:hAnsi="Arial" w:cs="Arial"/>
        <w:sz w:val="20"/>
        <w:szCs w:val="20"/>
        <w:lang w:val="en-GB"/>
      </w:rPr>
      <w:fldChar w:fldCharType="separate"/>
    </w:r>
    <w:r w:rsidRPr="00EE5D7D">
      <w:rPr>
        <w:rStyle w:val="PageNumber"/>
        <w:rFonts w:ascii="Arial" w:hAnsi="Arial" w:cs="Arial"/>
        <w:sz w:val="20"/>
        <w:szCs w:val="20"/>
        <w:lang w:val="es-ES"/>
      </w:rPr>
      <w:t>2</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3A352F7C" w:rsidR="00D95C4C" w:rsidRPr="00E95AE2" w:rsidRDefault="00CD564B">
    <w:pPr>
      <w:pStyle w:val="Header"/>
      <w:rPr>
        <w:sz w:val="22"/>
        <w:szCs w:val="22"/>
        <w:lang w:val="en-GB"/>
      </w:rPr>
    </w:pPr>
    <w:r w:rsidRPr="009C2BE4">
      <w:rPr>
        <w:rFonts w:ascii="Arial" w:hAnsi="Arial"/>
        <w:b/>
        <w:noProof/>
        <w:sz w:val="44"/>
        <w:lang w:val="pt-PT"/>
      </w:rPr>
      <w:drawing>
        <wp:anchor distT="0" distB="0" distL="114300" distR="114300" simplePos="0" relativeHeight="251659264" behindDoc="1" locked="0" layoutInCell="1" allowOverlap="1" wp14:anchorId="256B77EC" wp14:editId="26E46457">
          <wp:simplePos x="0" y="0"/>
          <wp:positionH relativeFrom="margin">
            <wp:posOffset>0</wp:posOffset>
          </wp:positionH>
          <wp:positionV relativeFrom="paragraph">
            <wp:posOffset>0</wp:posOffset>
          </wp:positionV>
          <wp:extent cx="1709420" cy="1435735"/>
          <wp:effectExtent l="0" t="0" r="5080" b="0"/>
          <wp:wrapNone/>
          <wp:docPr id="1" name="Imag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5735"/>
                  </a:xfrm>
                  <a:prstGeom prst="rect">
                    <a:avLst/>
                  </a:prstGeom>
                  <a:noFill/>
                  <a:ln>
                    <a:noFill/>
                  </a:ln>
                </pic:spPr>
              </pic:pic>
            </a:graphicData>
          </a:graphic>
        </wp:anchor>
      </w:drawing>
    </w:r>
  </w:p>
  <w:p w14:paraId="5F355250" w14:textId="7501FB03" w:rsidR="004E1760" w:rsidRPr="00D7105A" w:rsidRDefault="00EF0131" w:rsidP="004E1760">
    <w:pPr>
      <w:pStyle w:val="Header"/>
      <w:spacing w:after="520"/>
      <w:jc w:val="right"/>
      <w:rPr>
        <w:rFonts w:ascii="Arial" w:hAnsi="Arial" w:cs="Arial"/>
        <w:b/>
        <w:sz w:val="44"/>
        <w:szCs w:val="44"/>
        <w:lang w:val="pt-PT"/>
      </w:rPr>
    </w:pPr>
    <w:r>
      <w:rPr>
        <w:rFonts w:ascii="Arial" w:hAnsi="Arial" w:cs="Arial"/>
        <w:b/>
        <w:sz w:val="44"/>
        <w:szCs w:val="44"/>
        <w:lang w:val="pt-PT"/>
      </w:rPr>
      <w:t>PR</w:t>
    </w:r>
    <w:r w:rsidR="00CD564B">
      <w:rPr>
        <w:rFonts w:ascii="Arial" w:hAnsi="Arial" w:cs="Arial"/>
        <w:b/>
        <w:sz w:val="44"/>
        <w:szCs w:val="44"/>
        <w:lang w:val="pt-PT"/>
      </w:rPr>
      <w:t xml:space="preserve"> – RFL</w:t>
    </w:r>
  </w:p>
  <w:p w14:paraId="6D1B3489" w14:textId="770C8F3B"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240B12">
      <w:rPr>
        <w:rFonts w:ascii="Arial" w:hAnsi="Arial" w:cs="Arial"/>
        <w:b/>
        <w:sz w:val="22"/>
        <w:szCs w:val="22"/>
        <w:lang w:val="pt-PT"/>
      </w:rPr>
      <w:t>6</w:t>
    </w:r>
    <w:r w:rsidRPr="00D7105A">
      <w:rPr>
        <w:rFonts w:ascii="Arial" w:hAnsi="Arial" w:cs="Arial"/>
        <w:b/>
        <w:sz w:val="22"/>
        <w:szCs w:val="22"/>
        <w:lang w:val="pt-PT"/>
      </w:rPr>
      <w:t>/</w:t>
    </w:r>
    <w:bookmarkStart w:id="2" w:name="_Hlk94624970"/>
    <w:r w:rsidR="00D858FC">
      <w:rPr>
        <w:rFonts w:ascii="Arial" w:hAnsi="Arial" w:cs="Arial"/>
        <w:b/>
        <w:sz w:val="22"/>
        <w:szCs w:val="22"/>
        <w:lang w:val="pt-PT"/>
      </w:rPr>
      <w:t>PR</w:t>
    </w:r>
    <w:r w:rsidR="000F1388">
      <w:rPr>
        <w:rFonts w:ascii="Arial" w:hAnsi="Arial" w:cs="Arial"/>
        <w:b/>
        <w:sz w:val="22"/>
        <w:szCs w:val="22"/>
        <w:lang w:val="pt-PT"/>
      </w:rPr>
      <w:t xml:space="preserve"> – RFL</w:t>
    </w:r>
    <w:r w:rsidR="00B157F8">
      <w:rPr>
        <w:rFonts w:ascii="Arial" w:hAnsi="Arial" w:cs="Arial"/>
        <w:b/>
        <w:sz w:val="22"/>
        <w:szCs w:val="22"/>
        <w:lang w:val="pt-PT"/>
      </w:rPr>
      <w:t>/</w:t>
    </w:r>
    <w:r w:rsidR="004F1737">
      <w:rPr>
        <w:rFonts w:ascii="Arial" w:hAnsi="Arial" w:cs="Arial"/>
        <w:b/>
        <w:sz w:val="22"/>
        <w:szCs w:val="22"/>
        <w:lang w:val="pt-PT"/>
      </w:rPr>
      <w:t>2</w:t>
    </w:r>
  </w:p>
  <w:bookmarkEnd w:id="2"/>
  <w:p w14:paraId="1B4446C3" w14:textId="4558B743" w:rsidR="00D95C4C" w:rsidRPr="00FA5AA3" w:rsidRDefault="00D95C4C" w:rsidP="00655736">
    <w:pPr>
      <w:jc w:val="right"/>
      <w:rPr>
        <w:rFonts w:ascii="Arial" w:eastAsiaTheme="minorEastAsia" w:hAnsi="Arial" w:cs="Arial"/>
        <w:b/>
        <w:color w:val="000000" w:themeColor="text1"/>
        <w:sz w:val="22"/>
        <w:szCs w:val="22"/>
        <w:lang w:val="pt-PT" w:eastAsia="ko-KR"/>
      </w:rPr>
    </w:pPr>
    <w:r w:rsidRPr="00FA5AA3">
      <w:rPr>
        <w:rFonts w:ascii="Arial" w:hAnsi="Arial" w:cs="Arial"/>
        <w:b/>
        <w:color w:val="000000" w:themeColor="text1"/>
        <w:sz w:val="22"/>
        <w:szCs w:val="22"/>
        <w:lang w:val="pt-PT"/>
      </w:rPr>
      <w:t xml:space="preserve">Paris, </w:t>
    </w:r>
    <w:r w:rsidR="00CA05EE">
      <w:rPr>
        <w:rFonts w:ascii="Arial" w:hAnsi="Arial" w:cs="Arial"/>
        <w:b/>
        <w:color w:val="000000" w:themeColor="text1"/>
        <w:sz w:val="22"/>
        <w:szCs w:val="22"/>
        <w:lang w:val="pt-PT"/>
      </w:rPr>
      <w:t>17</w:t>
    </w:r>
    <w:r w:rsidR="00FA5AA3" w:rsidRPr="00FA5AA3">
      <w:rPr>
        <w:rFonts w:ascii="Arial" w:hAnsi="Arial" w:cs="Arial"/>
        <w:b/>
        <w:color w:val="000000" w:themeColor="text1"/>
        <w:sz w:val="22"/>
        <w:szCs w:val="22"/>
        <w:lang w:val="pt-PT"/>
      </w:rPr>
      <w:t xml:space="preserve"> </w:t>
    </w:r>
    <w:r w:rsidR="00CD564B">
      <w:rPr>
        <w:rFonts w:ascii="Arial" w:hAnsi="Arial" w:cs="Arial"/>
        <w:b/>
        <w:color w:val="000000" w:themeColor="text1"/>
        <w:sz w:val="22"/>
        <w:szCs w:val="22"/>
        <w:lang w:val="pt-PT"/>
      </w:rPr>
      <w:t>avril</w:t>
    </w:r>
    <w:r w:rsidR="00174D0C" w:rsidRPr="00FA5AA3">
      <w:rPr>
        <w:rFonts w:ascii="Arial" w:hAnsi="Arial" w:cs="Arial"/>
        <w:b/>
        <w:color w:val="000000" w:themeColor="text1"/>
        <w:sz w:val="22"/>
        <w:szCs w:val="22"/>
        <w:lang w:val="pt-PT"/>
      </w:rPr>
      <w:t xml:space="preserve"> 202</w:t>
    </w:r>
    <w:r w:rsidR="00240B12" w:rsidRPr="00FA5AA3">
      <w:rPr>
        <w:rFonts w:ascii="Arial" w:hAnsi="Arial" w:cs="Arial"/>
        <w:b/>
        <w:color w:val="000000" w:themeColor="text1"/>
        <w:sz w:val="22"/>
        <w:szCs w:val="22"/>
        <w:lang w:val="pt-PT"/>
      </w:rPr>
      <w:t>6</w:t>
    </w:r>
  </w:p>
  <w:p w14:paraId="255B57FF" w14:textId="782F3F7A" w:rsidR="00D95C4C" w:rsidRPr="006121F5" w:rsidRDefault="00D95C4C" w:rsidP="00962034">
    <w:pPr>
      <w:spacing w:after="120"/>
      <w:jc w:val="right"/>
      <w:rPr>
        <w:rFonts w:ascii="Arial" w:hAnsi="Arial" w:cs="Arial"/>
        <w:b/>
        <w:sz w:val="22"/>
        <w:szCs w:val="22"/>
      </w:rPr>
    </w:pPr>
    <w:r w:rsidRPr="006121F5">
      <w:rPr>
        <w:rFonts w:ascii="Arial" w:hAnsi="Arial" w:cs="Arial"/>
        <w:b/>
        <w:sz w:val="22"/>
        <w:szCs w:val="22"/>
      </w:rPr>
      <w:t xml:space="preserve">Original: </w:t>
    </w:r>
    <w:r w:rsidR="00CD564B">
      <w:rPr>
        <w:rFonts w:ascii="Arial" w:hAnsi="Arial" w:cs="Arial"/>
        <w:b/>
        <w:sz w:val="22"/>
        <w:szCs w:val="22"/>
      </w:rPr>
      <w:t>anglais</w:t>
    </w:r>
  </w:p>
  <w:p w14:paraId="3C4B8B1B" w14:textId="77777777" w:rsidR="00D95C4C" w:rsidRPr="006121F5"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69B"/>
    <w:multiLevelType w:val="hybridMultilevel"/>
    <w:tmpl w:val="DED2CEC2"/>
    <w:lvl w:ilvl="0" w:tplc="04090015">
      <w:start w:val="1"/>
      <w:numFmt w:val="upperLetter"/>
      <w:lvlText w:val="%1."/>
      <w:lvlJc w:val="left"/>
      <w:pPr>
        <w:ind w:left="10990" w:hanging="360"/>
      </w:p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 w15:restartNumberingAfterBreak="0">
    <w:nsid w:val="0B8E094C"/>
    <w:multiLevelType w:val="hybridMultilevel"/>
    <w:tmpl w:val="C0563D0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5F07BFE"/>
    <w:multiLevelType w:val="hybridMultilevel"/>
    <w:tmpl w:val="6F0239AA"/>
    <w:lvl w:ilvl="0" w:tplc="B46E98C2">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F7735D"/>
    <w:multiLevelType w:val="hybridMultilevel"/>
    <w:tmpl w:val="F1A4EAA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16cid:durableId="577862344">
    <w:abstractNumId w:val="2"/>
  </w:num>
  <w:num w:numId="2" w16cid:durableId="217087148">
    <w:abstractNumId w:val="3"/>
  </w:num>
  <w:num w:numId="3" w16cid:durableId="347945616">
    <w:abstractNumId w:val="4"/>
  </w:num>
  <w:num w:numId="4" w16cid:durableId="1119109097">
    <w:abstractNumId w:val="5"/>
  </w:num>
  <w:num w:numId="5" w16cid:durableId="1280989740">
    <w:abstractNumId w:val="0"/>
  </w:num>
  <w:num w:numId="6" w16cid:durableId="1166019084">
    <w:abstractNumId w:val="6"/>
  </w:num>
  <w:num w:numId="7" w16cid:durableId="1379935754">
    <w:abstractNumId w:val="1"/>
  </w:num>
  <w:num w:numId="8" w16cid:durableId="1041318590">
    <w:abstractNumId w:val="3"/>
  </w:num>
  <w:num w:numId="9" w16cid:durableId="1746295218">
    <w:abstractNumId w:val="3"/>
  </w:num>
  <w:num w:numId="10" w16cid:durableId="1333221596">
    <w:abstractNumId w:val="3"/>
  </w:num>
  <w:num w:numId="11" w16cid:durableId="121439110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00F"/>
    <w:rsid w:val="00001449"/>
    <w:rsid w:val="000048ED"/>
    <w:rsid w:val="00010244"/>
    <w:rsid w:val="00010CF6"/>
    <w:rsid w:val="00011BCB"/>
    <w:rsid w:val="00014915"/>
    <w:rsid w:val="00041A66"/>
    <w:rsid w:val="00042D88"/>
    <w:rsid w:val="00045E64"/>
    <w:rsid w:val="00046667"/>
    <w:rsid w:val="0005176E"/>
    <w:rsid w:val="00051C77"/>
    <w:rsid w:val="00053A2A"/>
    <w:rsid w:val="000626F5"/>
    <w:rsid w:val="0006754A"/>
    <w:rsid w:val="00074D19"/>
    <w:rsid w:val="000765F7"/>
    <w:rsid w:val="00077AB7"/>
    <w:rsid w:val="00081CD8"/>
    <w:rsid w:val="00084E63"/>
    <w:rsid w:val="00086C89"/>
    <w:rsid w:val="000904E4"/>
    <w:rsid w:val="00091385"/>
    <w:rsid w:val="000949B0"/>
    <w:rsid w:val="000A121D"/>
    <w:rsid w:val="000A35CC"/>
    <w:rsid w:val="000A3620"/>
    <w:rsid w:val="000A3FF4"/>
    <w:rsid w:val="000A7F0E"/>
    <w:rsid w:val="000B1C8F"/>
    <w:rsid w:val="000B445A"/>
    <w:rsid w:val="000B52AE"/>
    <w:rsid w:val="000B60A9"/>
    <w:rsid w:val="000C0D61"/>
    <w:rsid w:val="000C16E6"/>
    <w:rsid w:val="000C50B4"/>
    <w:rsid w:val="000C6B4E"/>
    <w:rsid w:val="000D24E7"/>
    <w:rsid w:val="000D3B33"/>
    <w:rsid w:val="000D65F4"/>
    <w:rsid w:val="000E07B3"/>
    <w:rsid w:val="000E5B8B"/>
    <w:rsid w:val="000E66A3"/>
    <w:rsid w:val="000E6CBF"/>
    <w:rsid w:val="000F1388"/>
    <w:rsid w:val="000F3A3F"/>
    <w:rsid w:val="00100D36"/>
    <w:rsid w:val="0010249C"/>
    <w:rsid w:val="00102557"/>
    <w:rsid w:val="00114132"/>
    <w:rsid w:val="00116321"/>
    <w:rsid w:val="001202E8"/>
    <w:rsid w:val="001265E9"/>
    <w:rsid w:val="00127407"/>
    <w:rsid w:val="001277F4"/>
    <w:rsid w:val="00130901"/>
    <w:rsid w:val="001331DD"/>
    <w:rsid w:val="001335B6"/>
    <w:rsid w:val="00151E44"/>
    <w:rsid w:val="00152867"/>
    <w:rsid w:val="00154AA4"/>
    <w:rsid w:val="0015772D"/>
    <w:rsid w:val="00162C7F"/>
    <w:rsid w:val="00164D56"/>
    <w:rsid w:val="001654F0"/>
    <w:rsid w:val="00165C27"/>
    <w:rsid w:val="00167B10"/>
    <w:rsid w:val="0017402F"/>
    <w:rsid w:val="001747E8"/>
    <w:rsid w:val="00174D0C"/>
    <w:rsid w:val="00177846"/>
    <w:rsid w:val="00180295"/>
    <w:rsid w:val="00181E43"/>
    <w:rsid w:val="00190205"/>
    <w:rsid w:val="00192A23"/>
    <w:rsid w:val="00196C1B"/>
    <w:rsid w:val="001B0F73"/>
    <w:rsid w:val="001B6994"/>
    <w:rsid w:val="001B7F3C"/>
    <w:rsid w:val="001C2DB7"/>
    <w:rsid w:val="001D02AB"/>
    <w:rsid w:val="001D14FE"/>
    <w:rsid w:val="001D37D4"/>
    <w:rsid w:val="001D5C04"/>
    <w:rsid w:val="001D66C4"/>
    <w:rsid w:val="001E1090"/>
    <w:rsid w:val="001E135E"/>
    <w:rsid w:val="001E2C26"/>
    <w:rsid w:val="001E2D73"/>
    <w:rsid w:val="001E2D7E"/>
    <w:rsid w:val="001E2E78"/>
    <w:rsid w:val="001E317D"/>
    <w:rsid w:val="001E4609"/>
    <w:rsid w:val="001F1CE7"/>
    <w:rsid w:val="001F26CF"/>
    <w:rsid w:val="001F3067"/>
    <w:rsid w:val="001F4143"/>
    <w:rsid w:val="001F4E62"/>
    <w:rsid w:val="001F5163"/>
    <w:rsid w:val="001F7778"/>
    <w:rsid w:val="001F782B"/>
    <w:rsid w:val="0020018C"/>
    <w:rsid w:val="002074E5"/>
    <w:rsid w:val="00210854"/>
    <w:rsid w:val="00212D2D"/>
    <w:rsid w:val="002150C5"/>
    <w:rsid w:val="002156E9"/>
    <w:rsid w:val="00222A2D"/>
    <w:rsid w:val="00223029"/>
    <w:rsid w:val="00225185"/>
    <w:rsid w:val="00234745"/>
    <w:rsid w:val="002351A6"/>
    <w:rsid w:val="002407AF"/>
    <w:rsid w:val="00240B12"/>
    <w:rsid w:val="00246FC6"/>
    <w:rsid w:val="00250466"/>
    <w:rsid w:val="002518AC"/>
    <w:rsid w:val="00251E43"/>
    <w:rsid w:val="00261A33"/>
    <w:rsid w:val="0026221A"/>
    <w:rsid w:val="00262A8B"/>
    <w:rsid w:val="002631B5"/>
    <w:rsid w:val="002679DB"/>
    <w:rsid w:val="00271672"/>
    <w:rsid w:val="00273B6D"/>
    <w:rsid w:val="0027466B"/>
    <w:rsid w:val="00277688"/>
    <w:rsid w:val="00277A24"/>
    <w:rsid w:val="002821CE"/>
    <w:rsid w:val="002838A5"/>
    <w:rsid w:val="00285BB4"/>
    <w:rsid w:val="00293DC7"/>
    <w:rsid w:val="0029479B"/>
    <w:rsid w:val="002A0A07"/>
    <w:rsid w:val="002A3D81"/>
    <w:rsid w:val="002A4311"/>
    <w:rsid w:val="002A61A9"/>
    <w:rsid w:val="002B279F"/>
    <w:rsid w:val="002C09E3"/>
    <w:rsid w:val="002C6334"/>
    <w:rsid w:val="002C64EF"/>
    <w:rsid w:val="002C7884"/>
    <w:rsid w:val="002C7BC0"/>
    <w:rsid w:val="002D0B4C"/>
    <w:rsid w:val="002D1244"/>
    <w:rsid w:val="002D14DD"/>
    <w:rsid w:val="002E3B67"/>
    <w:rsid w:val="002E3F93"/>
    <w:rsid w:val="002E4374"/>
    <w:rsid w:val="00302FE1"/>
    <w:rsid w:val="003032A3"/>
    <w:rsid w:val="00307770"/>
    <w:rsid w:val="0031456C"/>
    <w:rsid w:val="00325F55"/>
    <w:rsid w:val="003335B0"/>
    <w:rsid w:val="003346B0"/>
    <w:rsid w:val="00337340"/>
    <w:rsid w:val="00337CEB"/>
    <w:rsid w:val="00344B58"/>
    <w:rsid w:val="0034539A"/>
    <w:rsid w:val="00345CB4"/>
    <w:rsid w:val="003507F7"/>
    <w:rsid w:val="00360422"/>
    <w:rsid w:val="00362FEC"/>
    <w:rsid w:val="0036758A"/>
    <w:rsid w:val="003734C1"/>
    <w:rsid w:val="00375D42"/>
    <w:rsid w:val="0038130A"/>
    <w:rsid w:val="003B38DB"/>
    <w:rsid w:val="003B7522"/>
    <w:rsid w:val="003B7E4F"/>
    <w:rsid w:val="003C0BE9"/>
    <w:rsid w:val="003C2BBA"/>
    <w:rsid w:val="003C3534"/>
    <w:rsid w:val="003C5DCD"/>
    <w:rsid w:val="003D069C"/>
    <w:rsid w:val="003D201B"/>
    <w:rsid w:val="003D324B"/>
    <w:rsid w:val="003D3FB6"/>
    <w:rsid w:val="003D4AEE"/>
    <w:rsid w:val="003D7646"/>
    <w:rsid w:val="003D7D30"/>
    <w:rsid w:val="003F113A"/>
    <w:rsid w:val="003F1BD7"/>
    <w:rsid w:val="003F2220"/>
    <w:rsid w:val="003F37A1"/>
    <w:rsid w:val="003F3E63"/>
    <w:rsid w:val="004005EB"/>
    <w:rsid w:val="00407480"/>
    <w:rsid w:val="00407BCE"/>
    <w:rsid w:val="00410E1D"/>
    <w:rsid w:val="00414643"/>
    <w:rsid w:val="00426B3B"/>
    <w:rsid w:val="004421E5"/>
    <w:rsid w:val="004452C9"/>
    <w:rsid w:val="00452284"/>
    <w:rsid w:val="00455314"/>
    <w:rsid w:val="00457C8E"/>
    <w:rsid w:val="00460C5A"/>
    <w:rsid w:val="0046359D"/>
    <w:rsid w:val="004775BE"/>
    <w:rsid w:val="004809D4"/>
    <w:rsid w:val="00482B75"/>
    <w:rsid w:val="00483586"/>
    <w:rsid w:val="004856CA"/>
    <w:rsid w:val="00487A85"/>
    <w:rsid w:val="00487E67"/>
    <w:rsid w:val="00492788"/>
    <w:rsid w:val="0049705E"/>
    <w:rsid w:val="004A2875"/>
    <w:rsid w:val="004A34A0"/>
    <w:rsid w:val="004A40A4"/>
    <w:rsid w:val="004B012B"/>
    <w:rsid w:val="004B0E48"/>
    <w:rsid w:val="004B251B"/>
    <w:rsid w:val="004B41AB"/>
    <w:rsid w:val="004B4A04"/>
    <w:rsid w:val="004B7E25"/>
    <w:rsid w:val="004C03DF"/>
    <w:rsid w:val="004C6A7C"/>
    <w:rsid w:val="004C7C82"/>
    <w:rsid w:val="004D0061"/>
    <w:rsid w:val="004D2476"/>
    <w:rsid w:val="004E1760"/>
    <w:rsid w:val="004E7232"/>
    <w:rsid w:val="004E7BE9"/>
    <w:rsid w:val="004F1737"/>
    <w:rsid w:val="004F1D75"/>
    <w:rsid w:val="004F278E"/>
    <w:rsid w:val="005008A8"/>
    <w:rsid w:val="0050643B"/>
    <w:rsid w:val="00514C11"/>
    <w:rsid w:val="005150FE"/>
    <w:rsid w:val="00517FD8"/>
    <w:rsid w:val="005208F3"/>
    <w:rsid w:val="005231B2"/>
    <w:rsid w:val="005235E7"/>
    <w:rsid w:val="00526B7B"/>
    <w:rsid w:val="00526DFE"/>
    <w:rsid w:val="005308CE"/>
    <w:rsid w:val="0053318C"/>
    <w:rsid w:val="005447E4"/>
    <w:rsid w:val="0055116D"/>
    <w:rsid w:val="00562C1E"/>
    <w:rsid w:val="0056538E"/>
    <w:rsid w:val="0057439C"/>
    <w:rsid w:val="00577A23"/>
    <w:rsid w:val="00584233"/>
    <w:rsid w:val="005918E0"/>
    <w:rsid w:val="00594B49"/>
    <w:rsid w:val="005A1B9A"/>
    <w:rsid w:val="005A6924"/>
    <w:rsid w:val="005B0127"/>
    <w:rsid w:val="005B10E8"/>
    <w:rsid w:val="005B56E9"/>
    <w:rsid w:val="005B5EF0"/>
    <w:rsid w:val="005B75C8"/>
    <w:rsid w:val="005B7A35"/>
    <w:rsid w:val="005C1CCA"/>
    <w:rsid w:val="005C4B73"/>
    <w:rsid w:val="005C55AB"/>
    <w:rsid w:val="005D1284"/>
    <w:rsid w:val="005D1C6E"/>
    <w:rsid w:val="005D21BA"/>
    <w:rsid w:val="005D4C20"/>
    <w:rsid w:val="005E0390"/>
    <w:rsid w:val="005E1D2B"/>
    <w:rsid w:val="005E3058"/>
    <w:rsid w:val="005E44F4"/>
    <w:rsid w:val="005E7074"/>
    <w:rsid w:val="005F23D7"/>
    <w:rsid w:val="005F270F"/>
    <w:rsid w:val="005F2BAF"/>
    <w:rsid w:val="00600D93"/>
    <w:rsid w:val="00601871"/>
    <w:rsid w:val="00607A64"/>
    <w:rsid w:val="006121F5"/>
    <w:rsid w:val="0061543F"/>
    <w:rsid w:val="00616D3E"/>
    <w:rsid w:val="006228B9"/>
    <w:rsid w:val="00626BEA"/>
    <w:rsid w:val="0062774B"/>
    <w:rsid w:val="0063300C"/>
    <w:rsid w:val="006341F5"/>
    <w:rsid w:val="00634F10"/>
    <w:rsid w:val="00650E7A"/>
    <w:rsid w:val="00651A5B"/>
    <w:rsid w:val="00655736"/>
    <w:rsid w:val="00656A6B"/>
    <w:rsid w:val="0065728A"/>
    <w:rsid w:val="00657E6B"/>
    <w:rsid w:val="00660938"/>
    <w:rsid w:val="006630E5"/>
    <w:rsid w:val="00663191"/>
    <w:rsid w:val="00663B8D"/>
    <w:rsid w:val="006763C8"/>
    <w:rsid w:val="006817BF"/>
    <w:rsid w:val="0069548E"/>
    <w:rsid w:val="00696C8D"/>
    <w:rsid w:val="006A2AC2"/>
    <w:rsid w:val="006A3463"/>
    <w:rsid w:val="006A3617"/>
    <w:rsid w:val="006A54A0"/>
    <w:rsid w:val="006A64ED"/>
    <w:rsid w:val="006A7315"/>
    <w:rsid w:val="006B1325"/>
    <w:rsid w:val="006B31EB"/>
    <w:rsid w:val="006B4452"/>
    <w:rsid w:val="006B47B7"/>
    <w:rsid w:val="006B6A1B"/>
    <w:rsid w:val="006C07E3"/>
    <w:rsid w:val="006C18D1"/>
    <w:rsid w:val="006C7642"/>
    <w:rsid w:val="006D236D"/>
    <w:rsid w:val="006D4510"/>
    <w:rsid w:val="006D482A"/>
    <w:rsid w:val="006E36FE"/>
    <w:rsid w:val="006E46E4"/>
    <w:rsid w:val="006E5D0A"/>
    <w:rsid w:val="006E75EB"/>
    <w:rsid w:val="006F0AA2"/>
    <w:rsid w:val="0070257B"/>
    <w:rsid w:val="00702B92"/>
    <w:rsid w:val="00711C4F"/>
    <w:rsid w:val="007125BA"/>
    <w:rsid w:val="00717DA5"/>
    <w:rsid w:val="00744484"/>
    <w:rsid w:val="00747566"/>
    <w:rsid w:val="00752298"/>
    <w:rsid w:val="00772C54"/>
    <w:rsid w:val="00773188"/>
    <w:rsid w:val="00774436"/>
    <w:rsid w:val="00783782"/>
    <w:rsid w:val="00784B8C"/>
    <w:rsid w:val="00784D93"/>
    <w:rsid w:val="007879E1"/>
    <w:rsid w:val="007909C5"/>
    <w:rsid w:val="00793960"/>
    <w:rsid w:val="007979E6"/>
    <w:rsid w:val="007A3D93"/>
    <w:rsid w:val="007A752B"/>
    <w:rsid w:val="007B23B0"/>
    <w:rsid w:val="007E1842"/>
    <w:rsid w:val="00800233"/>
    <w:rsid w:val="00800B7B"/>
    <w:rsid w:val="00800BBC"/>
    <w:rsid w:val="008021A6"/>
    <w:rsid w:val="00802239"/>
    <w:rsid w:val="00816EBC"/>
    <w:rsid w:val="00822F27"/>
    <w:rsid w:val="00823A11"/>
    <w:rsid w:val="00836CF8"/>
    <w:rsid w:val="00841092"/>
    <w:rsid w:val="00843D8D"/>
    <w:rsid w:val="0084525A"/>
    <w:rsid w:val="008515D8"/>
    <w:rsid w:val="0085188D"/>
    <w:rsid w:val="00851D68"/>
    <w:rsid w:val="008538C3"/>
    <w:rsid w:val="0085405E"/>
    <w:rsid w:val="0085414A"/>
    <w:rsid w:val="00857EB9"/>
    <w:rsid w:val="00861BDA"/>
    <w:rsid w:val="0086269D"/>
    <w:rsid w:val="0086543A"/>
    <w:rsid w:val="008678EF"/>
    <w:rsid w:val="00867B32"/>
    <w:rsid w:val="008724E5"/>
    <w:rsid w:val="00872D5E"/>
    <w:rsid w:val="00873BF5"/>
    <w:rsid w:val="00876D8E"/>
    <w:rsid w:val="0088046D"/>
    <w:rsid w:val="00883CDC"/>
    <w:rsid w:val="00883E34"/>
    <w:rsid w:val="00884A9D"/>
    <w:rsid w:val="0088512B"/>
    <w:rsid w:val="00886AA3"/>
    <w:rsid w:val="008916ED"/>
    <w:rsid w:val="00896767"/>
    <w:rsid w:val="008A2439"/>
    <w:rsid w:val="008A2B2D"/>
    <w:rsid w:val="008A4726"/>
    <w:rsid w:val="008A4E1E"/>
    <w:rsid w:val="008A55C8"/>
    <w:rsid w:val="008A57E6"/>
    <w:rsid w:val="008C296C"/>
    <w:rsid w:val="008C29AE"/>
    <w:rsid w:val="008D1567"/>
    <w:rsid w:val="008D4305"/>
    <w:rsid w:val="008D7FEC"/>
    <w:rsid w:val="008E02C5"/>
    <w:rsid w:val="008E1A85"/>
    <w:rsid w:val="008E546B"/>
    <w:rsid w:val="008E701B"/>
    <w:rsid w:val="008F0EEC"/>
    <w:rsid w:val="00911B63"/>
    <w:rsid w:val="00913F6E"/>
    <w:rsid w:val="00914E95"/>
    <w:rsid w:val="009163A7"/>
    <w:rsid w:val="009450E3"/>
    <w:rsid w:val="00946D0B"/>
    <w:rsid w:val="009470E6"/>
    <w:rsid w:val="00950238"/>
    <w:rsid w:val="00951A36"/>
    <w:rsid w:val="00955877"/>
    <w:rsid w:val="0095608F"/>
    <w:rsid w:val="009610A7"/>
    <w:rsid w:val="00962034"/>
    <w:rsid w:val="0096247C"/>
    <w:rsid w:val="00965139"/>
    <w:rsid w:val="009656A6"/>
    <w:rsid w:val="00967267"/>
    <w:rsid w:val="009678EF"/>
    <w:rsid w:val="009717B3"/>
    <w:rsid w:val="00974992"/>
    <w:rsid w:val="00980696"/>
    <w:rsid w:val="009854FF"/>
    <w:rsid w:val="0099073F"/>
    <w:rsid w:val="00992976"/>
    <w:rsid w:val="009977F1"/>
    <w:rsid w:val="009A18CD"/>
    <w:rsid w:val="009A3190"/>
    <w:rsid w:val="009A63BE"/>
    <w:rsid w:val="009B6626"/>
    <w:rsid w:val="009C0117"/>
    <w:rsid w:val="009C22BE"/>
    <w:rsid w:val="009D29C5"/>
    <w:rsid w:val="009D3DEA"/>
    <w:rsid w:val="009D5428"/>
    <w:rsid w:val="009D6E91"/>
    <w:rsid w:val="009D7086"/>
    <w:rsid w:val="009F097F"/>
    <w:rsid w:val="009F1E4C"/>
    <w:rsid w:val="009F5BF7"/>
    <w:rsid w:val="009F776C"/>
    <w:rsid w:val="00A07E6E"/>
    <w:rsid w:val="00A10022"/>
    <w:rsid w:val="00A12558"/>
    <w:rsid w:val="00A13903"/>
    <w:rsid w:val="00A23530"/>
    <w:rsid w:val="00A30D55"/>
    <w:rsid w:val="00A30E88"/>
    <w:rsid w:val="00A34ED5"/>
    <w:rsid w:val="00A37184"/>
    <w:rsid w:val="00A41310"/>
    <w:rsid w:val="00A426D4"/>
    <w:rsid w:val="00A45DBF"/>
    <w:rsid w:val="00A507F9"/>
    <w:rsid w:val="00A50FFA"/>
    <w:rsid w:val="00A52886"/>
    <w:rsid w:val="00A53792"/>
    <w:rsid w:val="00A53F11"/>
    <w:rsid w:val="00A725CF"/>
    <w:rsid w:val="00A755A2"/>
    <w:rsid w:val="00A765C4"/>
    <w:rsid w:val="00A77A7B"/>
    <w:rsid w:val="00A838BD"/>
    <w:rsid w:val="00A8529F"/>
    <w:rsid w:val="00A865F9"/>
    <w:rsid w:val="00A94CB9"/>
    <w:rsid w:val="00A94EF3"/>
    <w:rsid w:val="00AA09C7"/>
    <w:rsid w:val="00AA6660"/>
    <w:rsid w:val="00AB2C36"/>
    <w:rsid w:val="00AB6DDE"/>
    <w:rsid w:val="00AB70B6"/>
    <w:rsid w:val="00AC20B9"/>
    <w:rsid w:val="00AC37F5"/>
    <w:rsid w:val="00AC5250"/>
    <w:rsid w:val="00AC7F3A"/>
    <w:rsid w:val="00AD1A86"/>
    <w:rsid w:val="00AE103E"/>
    <w:rsid w:val="00AE33FA"/>
    <w:rsid w:val="00AE3AA7"/>
    <w:rsid w:val="00AE3ACC"/>
    <w:rsid w:val="00AE5603"/>
    <w:rsid w:val="00AF0892"/>
    <w:rsid w:val="00AF0A07"/>
    <w:rsid w:val="00AF1041"/>
    <w:rsid w:val="00AF1E77"/>
    <w:rsid w:val="00AF4AEC"/>
    <w:rsid w:val="00AF625E"/>
    <w:rsid w:val="00AF70EC"/>
    <w:rsid w:val="00B02A18"/>
    <w:rsid w:val="00B11417"/>
    <w:rsid w:val="00B11E14"/>
    <w:rsid w:val="00B1317B"/>
    <w:rsid w:val="00B139BE"/>
    <w:rsid w:val="00B157F8"/>
    <w:rsid w:val="00B2083D"/>
    <w:rsid w:val="00B2172B"/>
    <w:rsid w:val="00B23498"/>
    <w:rsid w:val="00B26FD8"/>
    <w:rsid w:val="00B46A4D"/>
    <w:rsid w:val="00B547F7"/>
    <w:rsid w:val="00B6049F"/>
    <w:rsid w:val="00B61438"/>
    <w:rsid w:val="00B70F53"/>
    <w:rsid w:val="00B71DB1"/>
    <w:rsid w:val="00B73F75"/>
    <w:rsid w:val="00B82D57"/>
    <w:rsid w:val="00B838E6"/>
    <w:rsid w:val="00B86B73"/>
    <w:rsid w:val="00B87964"/>
    <w:rsid w:val="00B906F1"/>
    <w:rsid w:val="00B9146E"/>
    <w:rsid w:val="00B917D2"/>
    <w:rsid w:val="00B92495"/>
    <w:rsid w:val="00BA15CF"/>
    <w:rsid w:val="00BA241A"/>
    <w:rsid w:val="00BB04AF"/>
    <w:rsid w:val="00BB158C"/>
    <w:rsid w:val="00BB23DD"/>
    <w:rsid w:val="00BB4572"/>
    <w:rsid w:val="00BC3A77"/>
    <w:rsid w:val="00BC6E41"/>
    <w:rsid w:val="00BD0947"/>
    <w:rsid w:val="00BD30C2"/>
    <w:rsid w:val="00BD52C9"/>
    <w:rsid w:val="00BD5DFC"/>
    <w:rsid w:val="00BD7836"/>
    <w:rsid w:val="00BE6354"/>
    <w:rsid w:val="00C04849"/>
    <w:rsid w:val="00C138D1"/>
    <w:rsid w:val="00C15B5E"/>
    <w:rsid w:val="00C17D8F"/>
    <w:rsid w:val="00C20036"/>
    <w:rsid w:val="00C200B6"/>
    <w:rsid w:val="00C20899"/>
    <w:rsid w:val="00C22B32"/>
    <w:rsid w:val="00C23A97"/>
    <w:rsid w:val="00C2407D"/>
    <w:rsid w:val="00C2557D"/>
    <w:rsid w:val="00C25B18"/>
    <w:rsid w:val="00C302B1"/>
    <w:rsid w:val="00C314D2"/>
    <w:rsid w:val="00C32233"/>
    <w:rsid w:val="00C34AD2"/>
    <w:rsid w:val="00C41DBD"/>
    <w:rsid w:val="00C46AAF"/>
    <w:rsid w:val="00C52EBE"/>
    <w:rsid w:val="00C54201"/>
    <w:rsid w:val="00C5776D"/>
    <w:rsid w:val="00C62E2B"/>
    <w:rsid w:val="00C64855"/>
    <w:rsid w:val="00C70EA7"/>
    <w:rsid w:val="00C71344"/>
    <w:rsid w:val="00C7433F"/>
    <w:rsid w:val="00C7516E"/>
    <w:rsid w:val="00C75374"/>
    <w:rsid w:val="00C75770"/>
    <w:rsid w:val="00C85609"/>
    <w:rsid w:val="00C87A6F"/>
    <w:rsid w:val="00C9225A"/>
    <w:rsid w:val="00CA05EE"/>
    <w:rsid w:val="00CA3082"/>
    <w:rsid w:val="00CA329C"/>
    <w:rsid w:val="00CA51B3"/>
    <w:rsid w:val="00CA56BB"/>
    <w:rsid w:val="00CA77F7"/>
    <w:rsid w:val="00CB0542"/>
    <w:rsid w:val="00CC2565"/>
    <w:rsid w:val="00CC34E0"/>
    <w:rsid w:val="00CC6225"/>
    <w:rsid w:val="00CC637C"/>
    <w:rsid w:val="00CC6B3D"/>
    <w:rsid w:val="00CC70D9"/>
    <w:rsid w:val="00CD2EE5"/>
    <w:rsid w:val="00CD460E"/>
    <w:rsid w:val="00CD564B"/>
    <w:rsid w:val="00CD595D"/>
    <w:rsid w:val="00CD7C76"/>
    <w:rsid w:val="00CE0C97"/>
    <w:rsid w:val="00CE71E5"/>
    <w:rsid w:val="00CF6230"/>
    <w:rsid w:val="00D00B2B"/>
    <w:rsid w:val="00D04E4B"/>
    <w:rsid w:val="00D16963"/>
    <w:rsid w:val="00D24877"/>
    <w:rsid w:val="00D2720E"/>
    <w:rsid w:val="00D33D76"/>
    <w:rsid w:val="00D43A72"/>
    <w:rsid w:val="00D4453E"/>
    <w:rsid w:val="00D52D59"/>
    <w:rsid w:val="00D53E1F"/>
    <w:rsid w:val="00D56B0C"/>
    <w:rsid w:val="00D6032F"/>
    <w:rsid w:val="00D6174A"/>
    <w:rsid w:val="00D6226C"/>
    <w:rsid w:val="00D65665"/>
    <w:rsid w:val="00D7105A"/>
    <w:rsid w:val="00D71D8F"/>
    <w:rsid w:val="00D755DF"/>
    <w:rsid w:val="00D76FA9"/>
    <w:rsid w:val="00D8250F"/>
    <w:rsid w:val="00D858FC"/>
    <w:rsid w:val="00D86BB3"/>
    <w:rsid w:val="00D91E0E"/>
    <w:rsid w:val="00D9222F"/>
    <w:rsid w:val="00D94206"/>
    <w:rsid w:val="00D95C4C"/>
    <w:rsid w:val="00D96FFA"/>
    <w:rsid w:val="00DA36ED"/>
    <w:rsid w:val="00DA642D"/>
    <w:rsid w:val="00DA74EB"/>
    <w:rsid w:val="00DB1AB9"/>
    <w:rsid w:val="00DB48FE"/>
    <w:rsid w:val="00DC0353"/>
    <w:rsid w:val="00DC0516"/>
    <w:rsid w:val="00DC68B3"/>
    <w:rsid w:val="00DD334A"/>
    <w:rsid w:val="00DD4BFB"/>
    <w:rsid w:val="00DD5ECE"/>
    <w:rsid w:val="00DD710E"/>
    <w:rsid w:val="00DE34F1"/>
    <w:rsid w:val="00DE5B8A"/>
    <w:rsid w:val="00DE6160"/>
    <w:rsid w:val="00DE62D4"/>
    <w:rsid w:val="00DE6C07"/>
    <w:rsid w:val="00DF4942"/>
    <w:rsid w:val="00DF7699"/>
    <w:rsid w:val="00E019FC"/>
    <w:rsid w:val="00E01E4F"/>
    <w:rsid w:val="00E0480D"/>
    <w:rsid w:val="00E123FA"/>
    <w:rsid w:val="00E14327"/>
    <w:rsid w:val="00E16EFD"/>
    <w:rsid w:val="00E17108"/>
    <w:rsid w:val="00E17C63"/>
    <w:rsid w:val="00E20AE4"/>
    <w:rsid w:val="00E2125F"/>
    <w:rsid w:val="00E244E1"/>
    <w:rsid w:val="00E32041"/>
    <w:rsid w:val="00E34A47"/>
    <w:rsid w:val="00E4150C"/>
    <w:rsid w:val="00E41616"/>
    <w:rsid w:val="00E446D1"/>
    <w:rsid w:val="00E46C23"/>
    <w:rsid w:val="00E523AE"/>
    <w:rsid w:val="00E54227"/>
    <w:rsid w:val="00E54E2E"/>
    <w:rsid w:val="00E5638D"/>
    <w:rsid w:val="00E627B1"/>
    <w:rsid w:val="00E634DB"/>
    <w:rsid w:val="00E70169"/>
    <w:rsid w:val="00E849B8"/>
    <w:rsid w:val="00E84F84"/>
    <w:rsid w:val="00E9232A"/>
    <w:rsid w:val="00E9376C"/>
    <w:rsid w:val="00E942CB"/>
    <w:rsid w:val="00E95AE2"/>
    <w:rsid w:val="00EA335E"/>
    <w:rsid w:val="00EA528C"/>
    <w:rsid w:val="00EA580C"/>
    <w:rsid w:val="00EA7C27"/>
    <w:rsid w:val="00EA7C29"/>
    <w:rsid w:val="00EC6F8D"/>
    <w:rsid w:val="00ED39B2"/>
    <w:rsid w:val="00ED5538"/>
    <w:rsid w:val="00ED64C0"/>
    <w:rsid w:val="00ED711D"/>
    <w:rsid w:val="00EE3415"/>
    <w:rsid w:val="00EE379A"/>
    <w:rsid w:val="00EE49F4"/>
    <w:rsid w:val="00EE4DAC"/>
    <w:rsid w:val="00EE5D7D"/>
    <w:rsid w:val="00EF0131"/>
    <w:rsid w:val="00EF1119"/>
    <w:rsid w:val="00EF34E2"/>
    <w:rsid w:val="00EF4185"/>
    <w:rsid w:val="00F01F42"/>
    <w:rsid w:val="00F27214"/>
    <w:rsid w:val="00F30DC6"/>
    <w:rsid w:val="00F31E61"/>
    <w:rsid w:val="00F31EDD"/>
    <w:rsid w:val="00F3290C"/>
    <w:rsid w:val="00F32C23"/>
    <w:rsid w:val="00F3479C"/>
    <w:rsid w:val="00F437BD"/>
    <w:rsid w:val="00F45B84"/>
    <w:rsid w:val="00F51602"/>
    <w:rsid w:val="00F53DE9"/>
    <w:rsid w:val="00F56FA1"/>
    <w:rsid w:val="00F576CB"/>
    <w:rsid w:val="00F65E6C"/>
    <w:rsid w:val="00F7035D"/>
    <w:rsid w:val="00F71A02"/>
    <w:rsid w:val="00F76289"/>
    <w:rsid w:val="00F771CF"/>
    <w:rsid w:val="00F82B0F"/>
    <w:rsid w:val="00F851A4"/>
    <w:rsid w:val="00F86CB9"/>
    <w:rsid w:val="00F87CD0"/>
    <w:rsid w:val="00F91559"/>
    <w:rsid w:val="00F92792"/>
    <w:rsid w:val="00FA0D63"/>
    <w:rsid w:val="00FA5AA3"/>
    <w:rsid w:val="00FA794F"/>
    <w:rsid w:val="00FB357B"/>
    <w:rsid w:val="00FC27AA"/>
    <w:rsid w:val="00FC582A"/>
    <w:rsid w:val="00FC582E"/>
    <w:rsid w:val="00FC67CA"/>
    <w:rsid w:val="00FD0212"/>
    <w:rsid w:val="00FD1226"/>
    <w:rsid w:val="00FD208E"/>
    <w:rsid w:val="00FD5374"/>
    <w:rsid w:val="00FE44E7"/>
    <w:rsid w:val="00FE620E"/>
    <w:rsid w:val="00FE6C4C"/>
    <w:rsid w:val="00FE7560"/>
    <w:rsid w:val="00FF459A"/>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character" w:styleId="Hyperlink">
    <w:name w:val="Hyperlink"/>
    <w:basedOn w:val="DefaultParagraphFont"/>
    <w:uiPriority w:val="99"/>
    <w:unhideWhenUsed/>
    <w:rsid w:val="00046667"/>
    <w:rPr>
      <w:color w:val="0000FF" w:themeColor="hyperlink"/>
      <w:u w:val="single"/>
    </w:rPr>
  </w:style>
  <w:style w:type="character" w:styleId="UnresolvedMention">
    <w:name w:val="Unresolved Mention"/>
    <w:basedOn w:val="DefaultParagraphFont"/>
    <w:uiPriority w:val="99"/>
    <w:semiHidden/>
    <w:unhideWhenUsed/>
    <w:rsid w:val="00046667"/>
    <w:rPr>
      <w:color w:val="605E5C"/>
      <w:shd w:val="clear" w:color="auto" w:fill="E1DFDD"/>
    </w:rPr>
  </w:style>
  <w:style w:type="character" w:styleId="CommentReference">
    <w:name w:val="annotation reference"/>
    <w:basedOn w:val="DefaultParagraphFont"/>
    <w:uiPriority w:val="99"/>
    <w:semiHidden/>
    <w:unhideWhenUsed/>
    <w:rsid w:val="00E0480D"/>
    <w:rPr>
      <w:sz w:val="16"/>
      <w:szCs w:val="16"/>
    </w:rPr>
  </w:style>
  <w:style w:type="paragraph" w:styleId="CommentText">
    <w:name w:val="annotation text"/>
    <w:basedOn w:val="Normal"/>
    <w:link w:val="CommentTextChar"/>
    <w:uiPriority w:val="99"/>
    <w:unhideWhenUsed/>
    <w:rsid w:val="00E0480D"/>
    <w:rPr>
      <w:sz w:val="20"/>
      <w:szCs w:val="20"/>
    </w:rPr>
  </w:style>
  <w:style w:type="character" w:customStyle="1" w:styleId="CommentTextChar">
    <w:name w:val="Comment Text Char"/>
    <w:basedOn w:val="DefaultParagraphFont"/>
    <w:link w:val="CommentText"/>
    <w:uiPriority w:val="99"/>
    <w:rsid w:val="00E048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0480D"/>
    <w:rPr>
      <w:b/>
      <w:bCs/>
    </w:rPr>
  </w:style>
  <w:style w:type="character" w:customStyle="1" w:styleId="CommentSubjectChar">
    <w:name w:val="Comment Subject Char"/>
    <w:basedOn w:val="CommentTextChar"/>
    <w:link w:val="CommentSubject"/>
    <w:uiPriority w:val="99"/>
    <w:semiHidden/>
    <w:rsid w:val="00E0480D"/>
    <w:rPr>
      <w:rFonts w:ascii="Times New Roman" w:eastAsia="Times New Roman" w:hAnsi="Times New Roman"/>
      <w:b/>
      <w:bCs/>
    </w:rPr>
  </w:style>
  <w:style w:type="paragraph" w:styleId="Revision">
    <w:name w:val="Revision"/>
    <w:hidden/>
    <w:uiPriority w:val="99"/>
    <w:semiHidden/>
    <w:rsid w:val="00CC34E0"/>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802239"/>
    <w:rPr>
      <w:sz w:val="20"/>
      <w:szCs w:val="20"/>
    </w:rPr>
  </w:style>
  <w:style w:type="character" w:customStyle="1" w:styleId="FootnoteTextChar">
    <w:name w:val="Footnote Text Char"/>
    <w:basedOn w:val="DefaultParagraphFont"/>
    <w:link w:val="FootnoteText"/>
    <w:uiPriority w:val="99"/>
    <w:semiHidden/>
    <w:rsid w:val="00802239"/>
    <w:rPr>
      <w:rFonts w:ascii="Times New Roman" w:eastAsia="Times New Roman" w:hAnsi="Times New Roman"/>
    </w:rPr>
  </w:style>
  <w:style w:type="character" w:styleId="FootnoteReference">
    <w:name w:val="footnote reference"/>
    <w:basedOn w:val="DefaultParagraphFont"/>
    <w:uiPriority w:val="99"/>
    <w:semiHidden/>
    <w:unhideWhenUsed/>
    <w:rsid w:val="00802239"/>
    <w:rPr>
      <w:vertAlign w:val="superscript"/>
    </w:rPr>
  </w:style>
  <w:style w:type="character" w:styleId="FollowedHyperlink">
    <w:name w:val="FollowedHyperlink"/>
    <w:basedOn w:val="DefaultParagraphFont"/>
    <w:uiPriority w:val="99"/>
    <w:semiHidden/>
    <w:unhideWhenUsed/>
    <w:rsid w:val="009D29C5"/>
    <w:rPr>
      <w:color w:val="800080" w:themeColor="followedHyperlink"/>
      <w:u w:val="single"/>
    </w:rPr>
  </w:style>
  <w:style w:type="paragraph" w:styleId="NormalWeb">
    <w:name w:val="Normal (Web)"/>
    <w:basedOn w:val="Normal"/>
    <w:uiPriority w:val="99"/>
    <w:semiHidden/>
    <w:unhideWhenUsed/>
    <w:rsid w:val="00F31EDD"/>
  </w:style>
  <w:style w:type="character" w:styleId="IntenseReference">
    <w:name w:val="Intense Reference"/>
    <w:basedOn w:val="DefaultParagraphFont"/>
    <w:uiPriority w:val="32"/>
    <w:qFormat/>
    <w:rsid w:val="007909C5"/>
    <w:rPr>
      <w:b/>
      <w:bCs/>
      <w:smallCaps/>
      <w:color w:val="365F91" w:themeColor="accent1" w:themeShade="BF"/>
      <w:spacing w:val="5"/>
    </w:rPr>
  </w:style>
  <w:style w:type="table" w:styleId="GridTable1Light">
    <w:name w:val="Grid Table 1 Light"/>
    <w:basedOn w:val="TableNormal"/>
    <w:uiPriority w:val="46"/>
    <w:rsid w:val="00EF41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8322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esco.org/fr/articles/conference-mondiale-de-lunesco-sur-les-politiques-culturelles-et-le-developpement-durable-mondiacult" TargetMode="External"/><Relationship Id="rId18" Type="http://schemas.openxmlformats.org/officeDocument/2006/relationships/hyperlink" Target="https://ich.unesco.org/fr/materiel-renforcement-capacites" TargetMode="External"/><Relationship Id="rId26" Type="http://schemas.openxmlformats.org/officeDocument/2006/relationships/hyperlink" Target="https://ich.unesco.org/doc/src/LHE-19-14.COM-8-FR.docx?t=1573057054" TargetMode="External"/><Relationship Id="rId39" Type="http://schemas.openxmlformats.org/officeDocument/2006/relationships/hyperlink" Target="https://ich.unesco.org/fr/decisions/17.COM/6.B" TargetMode="External"/><Relationship Id="rId21" Type="http://schemas.openxmlformats.org/officeDocument/2006/relationships/hyperlink" Target="https://ich.unesco.org/fr/decisions/12.COM/10" TargetMode="External"/><Relationship Id="rId34" Type="http://schemas.openxmlformats.org/officeDocument/2006/relationships/hyperlink" Target="https://ich.unesco.org/fr/decisions/16.COM/7.C" TargetMode="External"/><Relationship Id="rId42" Type="http://schemas.openxmlformats.org/officeDocument/2006/relationships/hyperlink" Target="https://ich.unesco.org/doc/src/LHE-22-17.COM-INF.6.c_Rev-FR.pdf?t=1669757973" TargetMode="External"/><Relationship Id="rId47" Type="http://schemas.openxmlformats.org/officeDocument/2006/relationships/hyperlink" Target="https://ich.unesco.org/doc/src/LHE-23-18.COM-7.b_FR_Rev..docx?t=1701538705" TargetMode="External"/><Relationship Id="rId50" Type="http://schemas.openxmlformats.org/officeDocument/2006/relationships/hyperlink" Target="https://ich.unesco.org/fr/decisions/18.COM/7.C" TargetMode="External"/><Relationship Id="rId55" Type="http://schemas.openxmlformats.org/officeDocument/2006/relationships/hyperlink" Target="https://ich.unesco.org/doc/src/LHE-24-10.GA-6_FR.docx?t=1715637506" TargetMode="External"/><Relationship Id="rId63" Type="http://schemas.openxmlformats.org/officeDocument/2006/relationships/hyperlink" Target="https://ich.unesco.org/fr/decisions/19.COM/6.C" TargetMode="External"/><Relationship Id="rId68" Type="http://schemas.openxmlformats.org/officeDocument/2006/relationships/hyperlink" Target="https://ich.unesco.org/fr/20com"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ich.unesco.org/doc/src/LHE-25-20.COM-6.c_FR.docx?t=1764185672" TargetMode="External"/><Relationship Id="rId2" Type="http://schemas.openxmlformats.org/officeDocument/2006/relationships/numbering" Target="numbering.xml"/><Relationship Id="rId16" Type="http://schemas.openxmlformats.org/officeDocument/2006/relationships/hyperlink" Target="https://ich.unesco.org/fr/regional-consultation-meetings-in-preparation-of-the-reflection-year-01394" TargetMode="External"/><Relationship Id="rId29" Type="http://schemas.openxmlformats.org/officeDocument/2006/relationships/hyperlink" Target="https://ich.unesco.org/fr/decisions/16.COM/7.A" TargetMode="External"/><Relationship Id="rId11" Type="http://schemas.openxmlformats.org/officeDocument/2006/relationships/hyperlink" Target="https://ich.unesco.org/fr/Decisions/14.COM/8" TargetMode="External"/><Relationship Id="rId24" Type="http://schemas.openxmlformats.org/officeDocument/2006/relationships/hyperlink" Target="https://ich.unesco.org/doc/src/ITH-18-13.COM-8-FR.docx?t=1540565106" TargetMode="External"/><Relationship Id="rId32" Type="http://schemas.openxmlformats.org/officeDocument/2006/relationships/hyperlink" Target="https://ich.unesco.org/fr/decisions/16.COM/7.B" TargetMode="External"/><Relationship Id="rId37" Type="http://schemas.openxmlformats.org/officeDocument/2006/relationships/hyperlink" Target="https://ich.unesco.org/fr/17com" TargetMode="External"/><Relationship Id="rId40" Type="http://schemas.openxmlformats.org/officeDocument/2006/relationships/hyperlink" Target="https://ich.unesco.org/doc/src/LHE-22-17.COM-6.c-FR.docx?t=1667253536" TargetMode="External"/><Relationship Id="rId45" Type="http://schemas.openxmlformats.org/officeDocument/2006/relationships/hyperlink" Target="https://ich.unesco.org/fr/decisions/18.COM/7.A" TargetMode="External"/><Relationship Id="rId53" Type="http://schemas.openxmlformats.org/officeDocument/2006/relationships/hyperlink" Target="https://ich.unesco.org/doc/src/LHE-24-10.GA-5_FR.docx?t=1715634280" TargetMode="External"/><Relationship Id="rId58" Type="http://schemas.openxmlformats.org/officeDocument/2006/relationships/hyperlink" Target="https://ich.unesco.org/fr/decisions/19.COM/6.A" TargetMode="External"/><Relationship Id="rId66" Type="http://schemas.openxmlformats.org/officeDocument/2006/relationships/hyperlink" Target="https://ich.unesco.org/doc/src/LHE-25-20.COM-6.a_FR.docx?t=1762797040" TargetMode="External"/><Relationship Id="rId74" Type="http://schemas.openxmlformats.org/officeDocument/2006/relationships/hyperlink" Target="https://ich.unesco.org/fr/decisions/20.COM/6.C"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ch.unesco.org/fr/decisions/19.COM/6.B" TargetMode="External"/><Relationship Id="rId10" Type="http://schemas.openxmlformats.org/officeDocument/2006/relationships/hyperlink" Target="https://ich.unesco.org/fr/Decisions/7.GA/9" TargetMode="External"/><Relationship Id="rId19" Type="http://schemas.openxmlformats.org/officeDocument/2006/relationships/hyperlink" Target="https://ich.unesco.org/fr/evenements/reunion-de-reflexion-mondiale-sur-le-mecanisme-des-rapports-periodiques-de-la-convention-de-2003-01058" TargetMode="External"/><Relationship Id="rId31" Type="http://schemas.openxmlformats.org/officeDocument/2006/relationships/hyperlink" Target="https://ich.unesco.org/doc/src/LHE-21-16.COM-7.b-FR.docx?t=1638892097" TargetMode="External"/><Relationship Id="rId44" Type="http://schemas.openxmlformats.org/officeDocument/2006/relationships/hyperlink" Target="https://ich.unesco.org/doc/src/LHE-23-18.COM-7.a_FR.docx?t=1699314942" TargetMode="External"/><Relationship Id="rId52" Type="http://schemas.openxmlformats.org/officeDocument/2006/relationships/hyperlink" Target="https://ich.unesco.org/fr/decisions/18.COM/7.C" TargetMode="External"/><Relationship Id="rId60" Type="http://schemas.openxmlformats.org/officeDocument/2006/relationships/hyperlink" Target="https://ich.unesco.org/doc/src/LHE-24-19.COM-6.b_FR.docx?t=1730758492" TargetMode="External"/><Relationship Id="rId65" Type="http://schemas.openxmlformats.org/officeDocument/2006/relationships/hyperlink" Target="https://ich.unesco.org/fr/decisions/19.COM/6.C" TargetMode="External"/><Relationship Id="rId73" Type="http://schemas.openxmlformats.org/officeDocument/2006/relationships/hyperlink" Target="https://ich.unesco.org/doc/src/LHE-25-20.COM-INF-6.c_FR.docx?t=1764018207"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overall-results-framework-00984" TargetMode="External"/><Relationship Id="rId14" Type="http://schemas.openxmlformats.org/officeDocument/2006/relationships/hyperlink" Target="https://www.unesco.org/fr/culture/global-report/global-report-cultural-policies?hub=150011" TargetMode="External"/><Relationship Id="rId22" Type="http://schemas.openxmlformats.org/officeDocument/2006/relationships/hyperlink" Target="https://ich.unesco.org/doc/src/ITH-18-7.GA-9-FR.docx?t=1525450424" TargetMode="External"/><Relationship Id="rId27" Type="http://schemas.openxmlformats.org/officeDocument/2006/relationships/hyperlink" Target="https://ich.unesco.org/fr/decisions/14.COM/8" TargetMode="External"/><Relationship Id="rId30" Type="http://schemas.openxmlformats.org/officeDocument/2006/relationships/hyperlink" Target="https://ich.unesco.org/fr/16com" TargetMode="External"/><Relationship Id="rId35" Type="http://schemas.openxmlformats.org/officeDocument/2006/relationships/hyperlink" Target="https://ich.unesco.org/doc/src/LHE-22-17.COM-6.a-_Rev.-FR.docx?t=1669467076" TargetMode="External"/><Relationship Id="rId43" Type="http://schemas.openxmlformats.org/officeDocument/2006/relationships/hyperlink" Target="https://ich.unesco.org/fr/decisions/17.COM/6.C" TargetMode="External"/><Relationship Id="rId48" Type="http://schemas.openxmlformats.org/officeDocument/2006/relationships/hyperlink" Target="https://ich.unesco.org/fr/decisions/18.COM/7.B" TargetMode="External"/><Relationship Id="rId56" Type="http://schemas.openxmlformats.org/officeDocument/2006/relationships/hyperlink" Target="https://ich.unesco.org/fr/decisions/10.GA/6" TargetMode="External"/><Relationship Id="rId64" Type="http://schemas.openxmlformats.org/officeDocument/2006/relationships/hyperlink" Target="https://ich.unesco.org/doc/src/LHE-24-19.COM-INF.6.c_FR.docx?t=1730758627" TargetMode="External"/><Relationship Id="rId69" Type="http://schemas.openxmlformats.org/officeDocument/2006/relationships/hyperlink" Target="https://ich.unesco.org/doc/src/LHE-25-20.COM-6.b_FR.docx?t=1762812702" TargetMode="External"/><Relationship Id="rId77" Type="http://schemas.openxmlformats.org/officeDocument/2006/relationships/header" Target="header3.xml"/><Relationship Id="rId8" Type="http://schemas.openxmlformats.org/officeDocument/2006/relationships/hyperlink" Target="https://ich.unesco.org/fr/Decisions/12.COM/10" TargetMode="External"/><Relationship Id="rId51" Type="http://schemas.openxmlformats.org/officeDocument/2006/relationships/hyperlink" Target="https://ich.unesco.org/doc/src/LHE-23-18.COM-INF.7.c_FR.docx?t=1699309487" TargetMode="External"/><Relationship Id="rId72" Type="http://schemas.openxmlformats.org/officeDocument/2006/relationships/hyperlink" Target="https://ich.unesco.org/fr/decisions/20.COM/6.C" TargetMode="External"/><Relationship Id="rId3" Type="http://schemas.openxmlformats.org/officeDocument/2006/relationships/styles" Target="styles.xml"/><Relationship Id="rId12" Type="http://schemas.openxmlformats.org/officeDocument/2006/relationships/hyperlink" Target="https://ich.unesco.org/fr/Decisions/13.COM/8" TargetMode="External"/><Relationship Id="rId17" Type="http://schemas.openxmlformats.org/officeDocument/2006/relationships/hyperlink" Target="https://ich.unesco.org/fr/partager-les-bonnes-pratiques-de-sauvegarde" TargetMode="External"/><Relationship Id="rId25" Type="http://schemas.openxmlformats.org/officeDocument/2006/relationships/hyperlink" Target="https://ich.unesco.org/fr/decisions/13.COM/8" TargetMode="External"/><Relationship Id="rId33" Type="http://schemas.openxmlformats.org/officeDocument/2006/relationships/hyperlink" Target="https://ich.unesco.org/doc/src/LHE-21-16.COM-7.c-FR.docx?t=1638892045" TargetMode="External"/><Relationship Id="rId38" Type="http://schemas.openxmlformats.org/officeDocument/2006/relationships/hyperlink" Target="https://ich.unesco.org/doc/src/LHE-22-17.COM-6.b-_Rev.-FR.docx?t=1667939940" TargetMode="External"/><Relationship Id="rId46" Type="http://schemas.openxmlformats.org/officeDocument/2006/relationships/hyperlink" Target="https://ich.unesco.org/fr/18com" TargetMode="External"/><Relationship Id="rId59" Type="http://schemas.openxmlformats.org/officeDocument/2006/relationships/hyperlink" Target="https://ich.unesco.org/fr/19com" TargetMode="External"/><Relationship Id="rId67" Type="http://schemas.openxmlformats.org/officeDocument/2006/relationships/hyperlink" Target="https://ich.unesco.org/fr/decisions/20.COM/6.A" TargetMode="External"/><Relationship Id="rId20" Type="http://schemas.openxmlformats.org/officeDocument/2006/relationships/hyperlink" Target="https://ich.unesco.org/doc/src/ITH-17-12.COM-10-FR.docx?t=1509557316" TargetMode="External"/><Relationship Id="rId41" Type="http://schemas.openxmlformats.org/officeDocument/2006/relationships/hyperlink" Target="https://ich.unesco.org/fr/decisions/17.COM/6.C" TargetMode="External"/><Relationship Id="rId54" Type="http://schemas.openxmlformats.org/officeDocument/2006/relationships/hyperlink" Target="https://ich.unesco.org/fr/decisions/10.GA/5" TargetMode="External"/><Relationship Id="rId62" Type="http://schemas.openxmlformats.org/officeDocument/2006/relationships/hyperlink" Target="https://ich.unesco.org/doc/src/LHE-24-19.COM-6.c-FR.docx?t=1730756532" TargetMode="External"/><Relationship Id="rId70" Type="http://schemas.openxmlformats.org/officeDocument/2006/relationships/hyperlink" Target="https://ich.unesco.org/fr/decisions/20.COM/6.B"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fr/decisions/20.COM/6.C" TargetMode="External"/><Relationship Id="rId23" Type="http://schemas.openxmlformats.org/officeDocument/2006/relationships/hyperlink" Target="https://ich.unesco.org/fr/decisions/7.GA/9" TargetMode="External"/><Relationship Id="rId28" Type="http://schemas.openxmlformats.org/officeDocument/2006/relationships/hyperlink" Target="https://ich.unesco.org/doc/src/LHE-21-16.COM-7.a-FR.docx?t=1638892163" TargetMode="External"/><Relationship Id="rId36" Type="http://schemas.openxmlformats.org/officeDocument/2006/relationships/hyperlink" Target="https://ich.unesco.org/fr/decisions/17.COM/6.A" TargetMode="External"/><Relationship Id="rId49" Type="http://schemas.openxmlformats.org/officeDocument/2006/relationships/hyperlink" Target="https://ich.unesco.org/doc/src/LHE-23-18.COM-7.c_Rev_FR.docx?t=1701537676" TargetMode="External"/><Relationship Id="rId57" Type="http://schemas.openxmlformats.org/officeDocument/2006/relationships/hyperlink" Target="https://ich.unesco.org/doc/src/LHE-24-19.COM-6.a_FR.docx?t=173076085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238</TotalTime>
  <Pages>10</Pages>
  <Words>4346</Words>
  <Characters>24773</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Martinotti, Alessandro</cp:lastModifiedBy>
  <cp:revision>45</cp:revision>
  <cp:lastPrinted>2025-03-04T09:28:00Z</cp:lastPrinted>
  <dcterms:created xsi:type="dcterms:W3CDTF">2026-04-15T11:05:00Z</dcterms:created>
  <dcterms:modified xsi:type="dcterms:W3CDTF">2026-04-17T15:31:00Z</dcterms:modified>
</cp:coreProperties>
</file>