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93" w:rsidRPr="005D157F" w:rsidRDefault="00D16540" w:rsidP="00A45F1B">
      <w:pPr>
        <w:pBdr>
          <w:top w:val="single" w:sz="4" w:space="6" w:color="auto"/>
          <w:left w:val="single" w:sz="4" w:space="4" w:color="auto"/>
          <w:bottom w:val="single" w:sz="4" w:space="6" w:color="auto"/>
          <w:right w:val="single" w:sz="4" w:space="4" w:color="auto"/>
        </w:pBdr>
        <w:spacing w:before="240" w:after="120" w:line="280" w:lineRule="atLeast"/>
        <w:ind w:left="142" w:right="141"/>
        <w:jc w:val="both"/>
        <w:rPr>
          <w:rFonts w:ascii="Arial" w:hAnsi="Arial" w:cs="Arial"/>
          <w:sz w:val="24"/>
          <w:szCs w:val="24"/>
        </w:rPr>
      </w:pPr>
      <w:r w:rsidRPr="005D157F">
        <w:rPr>
          <w:rFonts w:ascii="Arial" w:hAnsi="Arial" w:cs="Arial"/>
          <w:sz w:val="24"/>
          <w:szCs w:val="24"/>
        </w:rPr>
        <w:t xml:space="preserve">Le Secrétariat de la </w:t>
      </w:r>
      <w:hyperlink r:id="rId8" w:history="1">
        <w:r w:rsidRPr="005D157F">
          <w:rPr>
            <w:rStyle w:val="Hyperlink"/>
            <w:rFonts w:ascii="Arial" w:hAnsi="Arial" w:cs="Arial"/>
            <w:sz w:val="24"/>
            <w:szCs w:val="24"/>
          </w:rPr>
          <w:t>Convention pour la sauvegarde du patrimoine culturel immatériel</w:t>
        </w:r>
      </w:hyperlink>
      <w:r w:rsidRPr="005D157F">
        <w:rPr>
          <w:rFonts w:ascii="Arial" w:hAnsi="Arial" w:cs="Arial"/>
          <w:sz w:val="24"/>
          <w:szCs w:val="24"/>
        </w:rPr>
        <w:t xml:space="preserve"> (2003) est à la recherche d’un ou plusieurs consultants pour contribuer à la </w:t>
      </w:r>
      <w:r w:rsidR="00A564A8" w:rsidRPr="005D157F">
        <w:rPr>
          <w:rFonts w:ascii="Arial" w:hAnsi="Arial" w:cs="Arial"/>
          <w:sz w:val="24"/>
          <w:szCs w:val="24"/>
        </w:rPr>
        <w:t>réflexion</w:t>
      </w:r>
      <w:r w:rsidRPr="005D157F">
        <w:rPr>
          <w:rFonts w:ascii="Arial" w:hAnsi="Arial" w:cs="Arial"/>
          <w:sz w:val="24"/>
          <w:szCs w:val="24"/>
        </w:rPr>
        <w:t xml:space="preserve"> sur les possibles moyens de partager les </w:t>
      </w:r>
      <w:proofErr w:type="spellStart"/>
      <w:r w:rsidRPr="005D157F">
        <w:rPr>
          <w:rFonts w:ascii="Arial" w:hAnsi="Arial" w:cs="Arial"/>
          <w:sz w:val="24"/>
          <w:szCs w:val="24"/>
        </w:rPr>
        <w:t>experiences</w:t>
      </w:r>
      <w:proofErr w:type="spellEnd"/>
      <w:r w:rsidRPr="005D157F">
        <w:rPr>
          <w:rFonts w:ascii="Arial" w:hAnsi="Arial" w:cs="Arial"/>
          <w:sz w:val="24"/>
          <w:szCs w:val="24"/>
        </w:rPr>
        <w:t xml:space="preserve"> de sauvegarde du patrimoine culturel immatériel</w:t>
      </w:r>
      <w:r w:rsidR="00CC27AC" w:rsidRPr="005D157F">
        <w:rPr>
          <w:rFonts w:ascii="Arial" w:hAnsi="Arial" w:cs="Arial"/>
          <w:sz w:val="24"/>
          <w:szCs w:val="24"/>
        </w:rPr>
        <w:t xml:space="preserve"> (</w:t>
      </w:r>
      <w:r w:rsidRPr="005D157F">
        <w:rPr>
          <w:rFonts w:ascii="Arial" w:hAnsi="Arial" w:cs="Arial"/>
          <w:sz w:val="24"/>
          <w:szCs w:val="24"/>
        </w:rPr>
        <w:t>PCI</w:t>
      </w:r>
      <w:r w:rsidR="00CC27AC" w:rsidRPr="005D157F">
        <w:rPr>
          <w:rFonts w:ascii="Arial" w:hAnsi="Arial" w:cs="Arial"/>
          <w:sz w:val="24"/>
          <w:szCs w:val="24"/>
        </w:rPr>
        <w:t>)</w:t>
      </w:r>
      <w:r w:rsidR="00041593" w:rsidRPr="005D157F">
        <w:rPr>
          <w:rFonts w:ascii="Arial" w:hAnsi="Arial" w:cs="Arial"/>
          <w:sz w:val="24"/>
          <w:szCs w:val="24"/>
        </w:rPr>
        <w:t xml:space="preserve">. </w:t>
      </w:r>
      <w:r w:rsidR="00A564A8" w:rsidRPr="005D157F">
        <w:rPr>
          <w:rFonts w:ascii="Arial" w:hAnsi="Arial" w:cs="Arial"/>
          <w:sz w:val="24"/>
          <w:szCs w:val="24"/>
        </w:rPr>
        <w:t xml:space="preserve">Les principales tâches du (des) consultant(s) seront de </w:t>
      </w:r>
      <w:r w:rsidR="00A564A8" w:rsidRPr="005D157F">
        <w:rPr>
          <w:rFonts w:ascii="Arial" w:hAnsi="Arial" w:cs="Arial"/>
          <w:b/>
          <w:sz w:val="24"/>
          <w:szCs w:val="24"/>
        </w:rPr>
        <w:t>créer une enquête</w:t>
      </w:r>
      <w:r w:rsidR="00A564A8" w:rsidRPr="005D157F">
        <w:rPr>
          <w:rFonts w:ascii="Arial" w:hAnsi="Arial" w:cs="Arial"/>
          <w:sz w:val="24"/>
          <w:szCs w:val="24"/>
        </w:rPr>
        <w:t xml:space="preserve">, </w:t>
      </w:r>
      <w:r w:rsidR="00A564A8" w:rsidRPr="005D157F">
        <w:rPr>
          <w:rFonts w:ascii="Arial" w:hAnsi="Arial" w:cs="Arial"/>
          <w:b/>
          <w:sz w:val="24"/>
          <w:szCs w:val="24"/>
        </w:rPr>
        <w:t>compiler la liste des destinataires</w:t>
      </w:r>
      <w:r w:rsidR="00A564A8" w:rsidRPr="005D157F">
        <w:rPr>
          <w:rFonts w:ascii="Arial" w:hAnsi="Arial" w:cs="Arial"/>
          <w:sz w:val="24"/>
          <w:szCs w:val="24"/>
        </w:rPr>
        <w:t xml:space="preserve"> (ONG, institutions, etc.) et </w:t>
      </w:r>
      <w:r w:rsidR="00A564A8" w:rsidRPr="005D157F">
        <w:rPr>
          <w:rFonts w:ascii="Arial" w:hAnsi="Arial" w:cs="Arial"/>
          <w:b/>
          <w:sz w:val="24"/>
          <w:szCs w:val="24"/>
        </w:rPr>
        <w:t>préparer un compte-rendu analytique</w:t>
      </w:r>
      <w:r w:rsidR="00041593" w:rsidRPr="005D157F">
        <w:rPr>
          <w:rFonts w:ascii="Arial" w:hAnsi="Arial" w:cs="Arial"/>
          <w:sz w:val="24"/>
          <w:szCs w:val="24"/>
        </w:rPr>
        <w:t xml:space="preserve"> </w:t>
      </w:r>
      <w:r w:rsidR="00A564A8" w:rsidRPr="005D157F">
        <w:rPr>
          <w:rFonts w:ascii="Arial" w:hAnsi="Arial" w:cs="Arial"/>
          <w:sz w:val="24"/>
          <w:szCs w:val="24"/>
        </w:rPr>
        <w:t>sur les résultats de l’enquête</w:t>
      </w:r>
      <w:r w:rsidR="00041593" w:rsidRPr="005D157F">
        <w:rPr>
          <w:rFonts w:ascii="Arial" w:hAnsi="Arial" w:cs="Arial"/>
          <w:sz w:val="24"/>
          <w:szCs w:val="24"/>
        </w:rPr>
        <w:t>.</w:t>
      </w:r>
    </w:p>
    <w:p w:rsidR="00A45F1B" w:rsidRPr="005D157F" w:rsidRDefault="00A564A8" w:rsidP="00A45F1B">
      <w:pPr>
        <w:pBdr>
          <w:top w:val="single" w:sz="4" w:space="6" w:color="auto"/>
          <w:left w:val="single" w:sz="4" w:space="4" w:color="auto"/>
          <w:bottom w:val="single" w:sz="4" w:space="6" w:color="auto"/>
          <w:right w:val="single" w:sz="4" w:space="4" w:color="auto"/>
        </w:pBdr>
        <w:spacing w:before="240" w:after="120" w:line="280" w:lineRule="atLeast"/>
        <w:ind w:left="142" w:right="141"/>
        <w:jc w:val="both"/>
        <w:rPr>
          <w:rFonts w:ascii="Arial" w:hAnsi="Arial" w:cs="Arial"/>
          <w:sz w:val="24"/>
          <w:szCs w:val="24"/>
        </w:rPr>
      </w:pPr>
      <w:r w:rsidRPr="005D157F">
        <w:rPr>
          <w:rFonts w:ascii="Arial" w:hAnsi="Arial" w:cs="Arial"/>
          <w:sz w:val="24"/>
          <w:szCs w:val="24"/>
        </w:rPr>
        <w:t xml:space="preserve">La date limite de soumission des propositions est le </w:t>
      </w:r>
      <w:r w:rsidR="00B3569C" w:rsidRPr="005D157F">
        <w:rPr>
          <w:rFonts w:ascii="Arial" w:hAnsi="Arial" w:cs="Arial"/>
          <w:b/>
          <w:sz w:val="24"/>
          <w:szCs w:val="24"/>
        </w:rPr>
        <w:t xml:space="preserve">20 </w:t>
      </w:r>
      <w:r w:rsidRPr="005D157F">
        <w:rPr>
          <w:rFonts w:ascii="Arial" w:hAnsi="Arial" w:cs="Arial"/>
          <w:b/>
          <w:sz w:val="24"/>
          <w:szCs w:val="24"/>
        </w:rPr>
        <w:t>s</w:t>
      </w:r>
      <w:r w:rsidR="00041593" w:rsidRPr="005D157F">
        <w:rPr>
          <w:rFonts w:ascii="Arial" w:hAnsi="Arial" w:cs="Arial"/>
          <w:b/>
          <w:sz w:val="24"/>
          <w:szCs w:val="24"/>
        </w:rPr>
        <w:t>eptemb</w:t>
      </w:r>
      <w:r w:rsidRPr="005D157F">
        <w:rPr>
          <w:rFonts w:ascii="Arial" w:hAnsi="Arial" w:cs="Arial"/>
          <w:b/>
          <w:sz w:val="24"/>
          <w:szCs w:val="24"/>
        </w:rPr>
        <w:t>r</w:t>
      </w:r>
      <w:r w:rsidR="00041593" w:rsidRPr="005D157F">
        <w:rPr>
          <w:rFonts w:ascii="Arial" w:hAnsi="Arial" w:cs="Arial"/>
          <w:b/>
          <w:sz w:val="24"/>
          <w:szCs w:val="24"/>
        </w:rPr>
        <w:t xml:space="preserve">e </w:t>
      </w:r>
      <w:r w:rsidR="00A45F1B" w:rsidRPr="005D157F">
        <w:rPr>
          <w:rFonts w:ascii="Arial" w:hAnsi="Arial" w:cs="Arial"/>
          <w:b/>
          <w:sz w:val="24"/>
          <w:szCs w:val="24"/>
        </w:rPr>
        <w:t>201</w:t>
      </w:r>
      <w:r w:rsidR="00B9455F" w:rsidRPr="005D157F">
        <w:rPr>
          <w:rFonts w:ascii="Arial" w:hAnsi="Arial" w:cs="Arial"/>
          <w:b/>
          <w:sz w:val="24"/>
          <w:szCs w:val="24"/>
        </w:rPr>
        <w:t>7</w:t>
      </w:r>
      <w:r w:rsidR="00B9455F" w:rsidRPr="005D157F">
        <w:rPr>
          <w:rFonts w:ascii="Arial" w:hAnsi="Arial" w:cs="Arial"/>
          <w:sz w:val="24"/>
          <w:szCs w:val="24"/>
        </w:rPr>
        <w:t xml:space="preserve"> </w:t>
      </w:r>
      <w:r w:rsidR="00AA50BA" w:rsidRPr="005D157F">
        <w:rPr>
          <w:rFonts w:ascii="Arial" w:hAnsi="Arial" w:cs="Arial"/>
          <w:sz w:val="24"/>
          <w:szCs w:val="24"/>
        </w:rPr>
        <w:t>(</w:t>
      </w:r>
      <w:r w:rsidRPr="005D157F">
        <w:rPr>
          <w:rFonts w:ascii="Arial" w:hAnsi="Arial" w:cs="Arial"/>
          <w:sz w:val="24"/>
          <w:szCs w:val="24"/>
        </w:rPr>
        <w:t xml:space="preserve">début de mission </w:t>
      </w:r>
      <w:proofErr w:type="spellStart"/>
      <w:r w:rsidRPr="005D157F">
        <w:rPr>
          <w:rFonts w:ascii="Arial" w:hAnsi="Arial" w:cs="Arial"/>
          <w:sz w:val="24"/>
          <w:szCs w:val="24"/>
        </w:rPr>
        <w:t>mi octobre</w:t>
      </w:r>
      <w:proofErr w:type="spellEnd"/>
      <w:r w:rsidRPr="005D157F">
        <w:rPr>
          <w:rFonts w:ascii="Arial" w:hAnsi="Arial" w:cs="Arial"/>
          <w:sz w:val="24"/>
          <w:szCs w:val="24"/>
        </w:rPr>
        <w:t xml:space="preserve"> 2017, </w:t>
      </w:r>
      <w:r w:rsidR="006A57FF">
        <w:rPr>
          <w:rFonts w:ascii="Arial" w:hAnsi="Arial" w:cs="Arial"/>
          <w:sz w:val="24"/>
          <w:szCs w:val="24"/>
        </w:rPr>
        <w:t xml:space="preserve">fin des </w:t>
      </w:r>
      <w:r w:rsidRPr="005D157F">
        <w:rPr>
          <w:rFonts w:ascii="Arial" w:hAnsi="Arial" w:cs="Arial"/>
          <w:sz w:val="24"/>
          <w:szCs w:val="24"/>
        </w:rPr>
        <w:t xml:space="preserve">tâches pour le mois d’avril </w:t>
      </w:r>
      <w:r w:rsidR="00AE65C3" w:rsidRPr="005D157F">
        <w:rPr>
          <w:rFonts w:ascii="Arial" w:hAnsi="Arial" w:cs="Arial"/>
          <w:sz w:val="24"/>
          <w:szCs w:val="24"/>
        </w:rPr>
        <w:t>2018</w:t>
      </w:r>
      <w:r w:rsidR="00AA50BA" w:rsidRPr="005D157F">
        <w:rPr>
          <w:rFonts w:ascii="Arial" w:hAnsi="Arial" w:cs="Arial"/>
          <w:sz w:val="24"/>
          <w:szCs w:val="24"/>
        </w:rPr>
        <w:t>)</w:t>
      </w:r>
      <w:r w:rsidR="00B9455F" w:rsidRPr="005D157F">
        <w:rPr>
          <w:rFonts w:ascii="Arial" w:hAnsi="Arial" w:cs="Arial"/>
          <w:sz w:val="24"/>
          <w:szCs w:val="24"/>
        </w:rPr>
        <w:t>.</w:t>
      </w:r>
    </w:p>
    <w:p w:rsidR="00B9455F" w:rsidRPr="005D157F" w:rsidRDefault="00B9455F" w:rsidP="00B9455F">
      <w:pPr>
        <w:keepNext/>
        <w:keepLines/>
        <w:spacing w:before="240" w:after="120" w:line="240" w:lineRule="auto"/>
        <w:outlineLvl w:val="1"/>
        <w:rPr>
          <w:rFonts w:ascii="Arial" w:eastAsiaTheme="majorEastAsia" w:hAnsi="Arial" w:cs="Arial"/>
          <w:b/>
          <w:bCs/>
          <w:color w:val="000000" w:themeColor="text1"/>
        </w:rPr>
      </w:pPr>
      <w:r w:rsidRPr="005D157F">
        <w:rPr>
          <w:rFonts w:ascii="Arial" w:eastAsiaTheme="majorEastAsia" w:hAnsi="Arial" w:cs="Arial"/>
          <w:b/>
          <w:bCs/>
          <w:color w:val="000000" w:themeColor="text1"/>
        </w:rPr>
        <w:t>Context</w:t>
      </w:r>
      <w:r w:rsidR="00A564A8" w:rsidRPr="005D157F">
        <w:rPr>
          <w:rFonts w:ascii="Arial" w:eastAsiaTheme="majorEastAsia" w:hAnsi="Arial" w:cs="Arial"/>
          <w:b/>
          <w:bCs/>
          <w:color w:val="000000" w:themeColor="text1"/>
        </w:rPr>
        <w:t>e</w:t>
      </w:r>
    </w:p>
    <w:p w:rsidR="00041593" w:rsidRPr="005D157F" w:rsidRDefault="00A564A8" w:rsidP="006552BB">
      <w:pPr>
        <w:jc w:val="both"/>
        <w:rPr>
          <w:rFonts w:ascii="Arial" w:hAnsi="Arial" w:cs="Arial"/>
        </w:rPr>
      </w:pPr>
      <w:r w:rsidRPr="005D157F">
        <w:rPr>
          <w:rFonts w:ascii="Arial" w:hAnsi="Arial" w:cs="Arial"/>
        </w:rPr>
        <w:t xml:space="preserve">Dans le cadre des activités du Comité intergouvernemental de sauvegarde du patrimoine culturel immatériel, en particulier de ses décisions </w:t>
      </w:r>
      <w:hyperlink r:id="rId9" w:history="1">
        <w:r w:rsidR="00041593" w:rsidRPr="005D157F">
          <w:rPr>
            <w:rStyle w:val="Hyperlink"/>
            <w:rFonts w:ascii="Arial" w:hAnsi="Arial" w:cs="Arial"/>
          </w:rPr>
          <w:t>8.COM 5.c.1</w:t>
        </w:r>
      </w:hyperlink>
      <w:r w:rsidR="00A645E6" w:rsidRPr="005D157F">
        <w:rPr>
          <w:rFonts w:ascii="Arial" w:hAnsi="Arial" w:cs="Arial"/>
        </w:rPr>
        <w:t xml:space="preserve"> </w:t>
      </w:r>
      <w:r w:rsidRPr="005D157F">
        <w:rPr>
          <w:rFonts w:ascii="Arial" w:hAnsi="Arial" w:cs="Arial"/>
        </w:rPr>
        <w:t>et</w:t>
      </w:r>
      <w:r w:rsidR="00A645E6" w:rsidRPr="005D157F">
        <w:rPr>
          <w:rFonts w:ascii="Arial" w:hAnsi="Arial" w:cs="Arial"/>
        </w:rPr>
        <w:t xml:space="preserve"> </w:t>
      </w:r>
      <w:hyperlink r:id="rId10" w:history="1">
        <w:r w:rsidR="00A645E6" w:rsidRPr="005D157F">
          <w:rPr>
            <w:rStyle w:val="Hyperlink"/>
            <w:rFonts w:ascii="Arial" w:hAnsi="Arial" w:cs="Arial"/>
          </w:rPr>
          <w:t>10.COM 10</w:t>
        </w:r>
      </w:hyperlink>
      <w:r w:rsidR="00A645E6" w:rsidRPr="005D157F">
        <w:rPr>
          <w:rFonts w:ascii="Arial" w:hAnsi="Arial" w:cs="Arial"/>
        </w:rPr>
        <w:t>,</w:t>
      </w:r>
      <w:r w:rsidR="00D32FF6" w:rsidRPr="005D157F">
        <w:rPr>
          <w:rFonts w:ascii="Arial" w:hAnsi="Arial" w:cs="Arial"/>
        </w:rPr>
        <w:t xml:space="preserve"> </w:t>
      </w:r>
      <w:r w:rsidRPr="005D157F">
        <w:rPr>
          <w:rFonts w:ascii="Arial" w:hAnsi="Arial" w:cs="Arial"/>
        </w:rPr>
        <w:t xml:space="preserve">le Secrétariat de la Convention va conduire une enquête sur les possibles moyens de partager les </w:t>
      </w:r>
      <w:r w:rsidR="005D157F" w:rsidRPr="005D157F">
        <w:rPr>
          <w:rFonts w:ascii="Arial" w:hAnsi="Arial" w:cs="Arial"/>
        </w:rPr>
        <w:t>expériences</w:t>
      </w:r>
      <w:r w:rsidRPr="005D157F">
        <w:rPr>
          <w:rFonts w:ascii="Arial" w:hAnsi="Arial" w:cs="Arial"/>
        </w:rPr>
        <w:t xml:space="preserve"> de pratique de sauvegarde complémentaire au Registre des bonnes pratiques de sauvegarde (article 18)</w:t>
      </w:r>
      <w:r w:rsidR="00041593" w:rsidRPr="005D157F">
        <w:rPr>
          <w:rFonts w:ascii="Arial" w:hAnsi="Arial" w:cs="Arial"/>
        </w:rPr>
        <w:t xml:space="preserve">. </w:t>
      </w:r>
      <w:r w:rsidRPr="005D157F">
        <w:rPr>
          <w:rFonts w:ascii="Arial" w:hAnsi="Arial" w:cs="Arial"/>
        </w:rPr>
        <w:t xml:space="preserve">La nécessité de </w:t>
      </w:r>
      <w:r w:rsidR="005D157F" w:rsidRPr="005D157F">
        <w:rPr>
          <w:rFonts w:ascii="Arial" w:hAnsi="Arial" w:cs="Arial"/>
        </w:rPr>
        <w:t>développer « d’autres moyens alternatifs de partage des expériences de sauvegarde » vient principalement du faible nombre de pratiques identifiées dans le Registre et donc du faible impact de ce mécanisme</w:t>
      </w:r>
      <w:r w:rsidR="00CE595D" w:rsidRPr="005D157F">
        <w:rPr>
          <w:rStyle w:val="FootnoteReference"/>
          <w:rFonts w:ascii="Arial" w:hAnsi="Arial" w:cs="Arial"/>
        </w:rPr>
        <w:footnoteReference w:id="1"/>
      </w:r>
      <w:r w:rsidR="00373378" w:rsidRPr="005D157F">
        <w:rPr>
          <w:rFonts w:ascii="Arial" w:hAnsi="Arial" w:cs="Arial"/>
        </w:rPr>
        <w:t xml:space="preserve">. </w:t>
      </w:r>
      <w:r w:rsidR="005D157F" w:rsidRPr="005D157F">
        <w:rPr>
          <w:rFonts w:ascii="Arial" w:hAnsi="Arial" w:cs="Arial"/>
        </w:rPr>
        <w:t>Les principaux objectifs des tâches à accomplir sont </w:t>
      </w:r>
      <w:r w:rsidR="00041593" w:rsidRPr="005D157F">
        <w:rPr>
          <w:rFonts w:ascii="Arial" w:hAnsi="Arial" w:cs="Arial"/>
        </w:rPr>
        <w:t>:</w:t>
      </w:r>
    </w:p>
    <w:p w:rsidR="00D32FF6" w:rsidRPr="005D157F" w:rsidRDefault="005D157F" w:rsidP="006552BB">
      <w:pPr>
        <w:pStyle w:val="ListParagraph"/>
        <w:numPr>
          <w:ilvl w:val="0"/>
          <w:numId w:val="10"/>
        </w:numPr>
        <w:jc w:val="both"/>
        <w:rPr>
          <w:rFonts w:ascii="Arial" w:hAnsi="Arial" w:cs="Arial"/>
        </w:rPr>
      </w:pPr>
      <w:r>
        <w:rPr>
          <w:rFonts w:ascii="Arial" w:hAnsi="Arial" w:cs="Arial"/>
        </w:rPr>
        <w:t>D’identifier un large spectre de parties prenantes directement impliqués dans la sauvegarde du PCI, tel que les ONG accréditées, les organisations de peuples autochtones, les villes et gouvernements locaux, les institutions nationales, les communautés académiques ou les Centres de catégorie 2 </w:t>
      </w:r>
      <w:r w:rsidR="00041593" w:rsidRPr="005D157F">
        <w:rPr>
          <w:rFonts w:ascii="Arial" w:hAnsi="Arial" w:cs="Arial"/>
        </w:rPr>
        <w:t>;</w:t>
      </w:r>
    </w:p>
    <w:p w:rsidR="00041593" w:rsidRPr="005D157F" w:rsidRDefault="005D157F" w:rsidP="006552BB">
      <w:pPr>
        <w:pStyle w:val="ListParagraph"/>
        <w:numPr>
          <w:ilvl w:val="0"/>
          <w:numId w:val="10"/>
        </w:numPr>
        <w:jc w:val="both"/>
        <w:rPr>
          <w:rFonts w:ascii="Arial" w:hAnsi="Arial" w:cs="Arial"/>
        </w:rPr>
      </w:pPr>
      <w:r>
        <w:rPr>
          <w:rFonts w:ascii="Arial" w:hAnsi="Arial" w:cs="Arial"/>
        </w:rPr>
        <w:t>De collecter des informations auprès de ces organisations au travers d’une enquête en ligne sur les possibles moyens de partager les expériences de sauvegarde</w:t>
      </w:r>
      <w:r w:rsidR="00041593" w:rsidRPr="005D157F">
        <w:rPr>
          <w:rFonts w:ascii="Arial" w:hAnsi="Arial" w:cs="Arial"/>
        </w:rPr>
        <w:t xml:space="preserve">, </w:t>
      </w:r>
      <w:r>
        <w:rPr>
          <w:rFonts w:ascii="Arial" w:hAnsi="Arial" w:cs="Arial"/>
        </w:rPr>
        <w:t xml:space="preserve">notamment vis-à-vis des questions suivantes </w:t>
      </w:r>
      <w:r w:rsidR="00041593" w:rsidRPr="005D157F">
        <w:rPr>
          <w:rFonts w:ascii="Arial" w:hAnsi="Arial" w:cs="Arial"/>
        </w:rPr>
        <w:t>:</w:t>
      </w:r>
    </w:p>
    <w:p w:rsidR="00041593" w:rsidRPr="005D157F" w:rsidRDefault="005D157F" w:rsidP="006552BB">
      <w:pPr>
        <w:pStyle w:val="ListParagraph"/>
        <w:numPr>
          <w:ilvl w:val="1"/>
          <w:numId w:val="10"/>
        </w:numPr>
        <w:spacing w:after="160" w:line="252" w:lineRule="auto"/>
        <w:jc w:val="both"/>
        <w:rPr>
          <w:rFonts w:ascii="Arial" w:hAnsi="Arial" w:cs="Arial"/>
        </w:rPr>
      </w:pPr>
      <w:r>
        <w:rPr>
          <w:rFonts w:ascii="Arial" w:hAnsi="Arial" w:cs="Arial"/>
        </w:rPr>
        <w:t>Quelles données sur les activités de sauvegarde devraient être échangées pour être effectivement utiles et inspirantes lors de l’élaboration de nouvelles activités ?</w:t>
      </w:r>
    </w:p>
    <w:p w:rsidR="00041593" w:rsidRPr="005D157F" w:rsidRDefault="005D157F" w:rsidP="006552BB">
      <w:pPr>
        <w:pStyle w:val="ListParagraph"/>
        <w:numPr>
          <w:ilvl w:val="1"/>
          <w:numId w:val="10"/>
        </w:numPr>
        <w:spacing w:after="160" w:line="252" w:lineRule="auto"/>
        <w:jc w:val="both"/>
        <w:rPr>
          <w:rFonts w:ascii="Arial" w:hAnsi="Arial" w:cs="Arial"/>
        </w:rPr>
      </w:pPr>
      <w:r>
        <w:rPr>
          <w:rFonts w:ascii="Arial" w:hAnsi="Arial" w:cs="Arial"/>
        </w:rPr>
        <w:t>Quels sont les possibles contributeurs et destinataires de telles données ?</w:t>
      </w:r>
    </w:p>
    <w:p w:rsidR="00041593" w:rsidRPr="005D157F" w:rsidRDefault="006A57FF" w:rsidP="006552BB">
      <w:pPr>
        <w:pStyle w:val="ListParagraph"/>
        <w:numPr>
          <w:ilvl w:val="1"/>
          <w:numId w:val="10"/>
        </w:numPr>
        <w:spacing w:after="160" w:line="252" w:lineRule="auto"/>
        <w:jc w:val="both"/>
        <w:rPr>
          <w:rFonts w:ascii="Arial" w:hAnsi="Arial" w:cs="Arial"/>
        </w:rPr>
      </w:pPr>
      <w:r>
        <w:rPr>
          <w:rFonts w:ascii="Arial" w:hAnsi="Arial" w:cs="Arial"/>
        </w:rPr>
        <w:t>Devrait-il y avoir des processus de sélection/revue de ces données ?</w:t>
      </w:r>
      <w:r w:rsidR="00041593" w:rsidRPr="005D157F">
        <w:rPr>
          <w:rFonts w:ascii="Arial" w:hAnsi="Arial" w:cs="Arial"/>
        </w:rPr>
        <w:t xml:space="preserve"> </w:t>
      </w:r>
      <w:r>
        <w:rPr>
          <w:rFonts w:ascii="Arial" w:hAnsi="Arial" w:cs="Arial"/>
        </w:rPr>
        <w:t>Auquel cas, comment le système pourrait rester léger ?</w:t>
      </w:r>
    </w:p>
    <w:p w:rsidR="00041593" w:rsidRPr="005D157F" w:rsidRDefault="006A57FF" w:rsidP="006552BB">
      <w:pPr>
        <w:pStyle w:val="ListParagraph"/>
        <w:numPr>
          <w:ilvl w:val="1"/>
          <w:numId w:val="10"/>
        </w:numPr>
        <w:spacing w:after="160" w:line="252" w:lineRule="auto"/>
        <w:jc w:val="both"/>
        <w:rPr>
          <w:rFonts w:ascii="Arial" w:hAnsi="Arial" w:cs="Arial"/>
        </w:rPr>
      </w:pPr>
      <w:r>
        <w:rPr>
          <w:rFonts w:ascii="Arial" w:hAnsi="Arial" w:cs="Arial"/>
        </w:rPr>
        <w:t>Quels seraient les moyens les plus appropriés pour développer, sélectionner et partager ces expériences de sauvegarde au niveau local/national/régional/international</w:t>
      </w:r>
      <w:r w:rsidR="00041593" w:rsidRPr="005D157F">
        <w:rPr>
          <w:rFonts w:ascii="Arial" w:hAnsi="Arial" w:cs="Arial"/>
        </w:rPr>
        <w:t>?</w:t>
      </w:r>
    </w:p>
    <w:p w:rsidR="00041593" w:rsidRPr="005D157F" w:rsidRDefault="006A57FF" w:rsidP="006552BB">
      <w:pPr>
        <w:pStyle w:val="ListParagraph"/>
        <w:numPr>
          <w:ilvl w:val="1"/>
          <w:numId w:val="10"/>
        </w:numPr>
        <w:spacing w:after="160" w:line="252" w:lineRule="auto"/>
        <w:jc w:val="both"/>
        <w:rPr>
          <w:rFonts w:ascii="Arial" w:hAnsi="Arial" w:cs="Arial"/>
        </w:rPr>
      </w:pPr>
      <w:r>
        <w:rPr>
          <w:rFonts w:ascii="Arial" w:hAnsi="Arial" w:cs="Arial"/>
        </w:rPr>
        <w:t>Comment les données devraient-elles être collectées, stockées et présentées pour garantir une recherche efficace ?</w:t>
      </w:r>
    </w:p>
    <w:p w:rsidR="00041593" w:rsidRPr="005D157F" w:rsidRDefault="006A57FF" w:rsidP="006552BB">
      <w:pPr>
        <w:pStyle w:val="ListParagraph"/>
        <w:numPr>
          <w:ilvl w:val="1"/>
          <w:numId w:val="10"/>
        </w:numPr>
        <w:spacing w:after="160" w:line="252" w:lineRule="auto"/>
        <w:jc w:val="both"/>
        <w:rPr>
          <w:rFonts w:ascii="Arial" w:hAnsi="Arial" w:cs="Arial"/>
        </w:rPr>
      </w:pPr>
      <w:r>
        <w:rPr>
          <w:rFonts w:ascii="Arial" w:hAnsi="Arial" w:cs="Arial"/>
        </w:rPr>
        <w:t xml:space="preserve">Y </w:t>
      </w:r>
      <w:proofErr w:type="spellStart"/>
      <w:r>
        <w:rPr>
          <w:rFonts w:ascii="Arial" w:hAnsi="Arial" w:cs="Arial"/>
        </w:rPr>
        <w:t>a-t-il</w:t>
      </w:r>
      <w:proofErr w:type="spellEnd"/>
      <w:r>
        <w:rPr>
          <w:rFonts w:ascii="Arial" w:hAnsi="Arial" w:cs="Arial"/>
        </w:rPr>
        <w:t xml:space="preserve"> des opportunités de partenariat autour de ce sujet ?</w:t>
      </w:r>
    </w:p>
    <w:p w:rsidR="00041593" w:rsidRPr="005D157F" w:rsidRDefault="006A57FF" w:rsidP="006552BB">
      <w:pPr>
        <w:pStyle w:val="ListParagraph"/>
        <w:numPr>
          <w:ilvl w:val="0"/>
          <w:numId w:val="10"/>
        </w:numPr>
        <w:spacing w:after="160" w:line="252" w:lineRule="auto"/>
        <w:jc w:val="both"/>
        <w:rPr>
          <w:rFonts w:ascii="Arial" w:hAnsi="Arial" w:cs="Arial"/>
        </w:rPr>
      </w:pPr>
      <w:r>
        <w:rPr>
          <w:rFonts w:ascii="Arial" w:hAnsi="Arial" w:cs="Arial"/>
        </w:rPr>
        <w:t>De préparer un rapport analytique sur les résultats de l’enquête pour le Secrétariat qui fera une présentation sur ce sujet lors du Comité en novembre/décembre 2018.</w:t>
      </w:r>
    </w:p>
    <w:p w:rsidR="0064290E" w:rsidRPr="005D157F" w:rsidRDefault="00041593" w:rsidP="006552BB">
      <w:pPr>
        <w:jc w:val="both"/>
        <w:rPr>
          <w:rFonts w:ascii="Arial" w:eastAsiaTheme="majorEastAsia" w:hAnsi="Arial" w:cs="Arial"/>
          <w:b/>
          <w:bCs/>
          <w:color w:val="000000" w:themeColor="text1"/>
        </w:rPr>
      </w:pPr>
      <w:r w:rsidRPr="005D157F">
        <w:rPr>
          <w:rFonts w:ascii="Arial" w:eastAsiaTheme="majorEastAsia" w:hAnsi="Arial" w:cs="Arial"/>
          <w:b/>
          <w:bCs/>
          <w:color w:val="000000" w:themeColor="text1"/>
        </w:rPr>
        <w:br w:type="page"/>
      </w:r>
      <w:r w:rsidR="0064290E" w:rsidRPr="005D157F">
        <w:rPr>
          <w:rFonts w:ascii="Arial" w:eastAsiaTheme="majorEastAsia" w:hAnsi="Arial" w:cs="Arial"/>
          <w:b/>
          <w:bCs/>
          <w:color w:val="000000" w:themeColor="text1"/>
        </w:rPr>
        <w:lastRenderedPageBreak/>
        <w:t>T</w:t>
      </w:r>
      <w:r w:rsidR="006A57FF">
        <w:rPr>
          <w:rFonts w:ascii="Arial" w:eastAsiaTheme="majorEastAsia" w:hAnsi="Arial" w:cs="Arial"/>
          <w:b/>
          <w:bCs/>
          <w:color w:val="000000" w:themeColor="text1"/>
        </w:rPr>
        <w:t>âches</w:t>
      </w:r>
    </w:p>
    <w:p w:rsidR="00041593" w:rsidRPr="005D157F" w:rsidRDefault="006A57FF" w:rsidP="006552BB">
      <w:pPr>
        <w:jc w:val="both"/>
        <w:rPr>
          <w:rFonts w:ascii="Arial" w:hAnsi="Arial" w:cs="Arial"/>
        </w:rPr>
      </w:pPr>
      <w:r>
        <w:rPr>
          <w:rFonts w:ascii="Arial" w:hAnsi="Arial" w:cs="Arial"/>
        </w:rPr>
        <w:t>Sous la supervision du Chef de l’unité de mise en œuvre du programme et en consultation avec le Spécialiste de gestion de l’information de la Section du PCI, le(s) contractant(s) devront :</w:t>
      </w:r>
    </w:p>
    <w:p w:rsidR="00ED49D1" w:rsidRPr="005D157F" w:rsidRDefault="006A57FF" w:rsidP="006552BB">
      <w:pPr>
        <w:pStyle w:val="ListParagraph"/>
        <w:numPr>
          <w:ilvl w:val="0"/>
          <w:numId w:val="1"/>
        </w:numPr>
        <w:spacing w:after="0" w:line="240" w:lineRule="auto"/>
        <w:jc w:val="both"/>
        <w:rPr>
          <w:rFonts w:ascii="Arial" w:hAnsi="Arial" w:cs="Arial"/>
        </w:rPr>
      </w:pPr>
      <w:r>
        <w:rPr>
          <w:rFonts w:ascii="Arial" w:hAnsi="Arial" w:cs="Arial"/>
        </w:rPr>
        <w:t xml:space="preserve">Prendre connaissance de la documentation pertinente sur la question des « autres moyens plus léger de partager les expériences de sauvegarde » </w:t>
      </w:r>
      <w:r w:rsidR="006B6A4D" w:rsidRPr="005D157F">
        <w:rPr>
          <w:rFonts w:ascii="Arial" w:hAnsi="Arial" w:cs="Arial"/>
        </w:rPr>
        <w:t>(</w:t>
      </w:r>
      <w:r>
        <w:rPr>
          <w:rFonts w:ascii="Arial" w:hAnsi="Arial" w:cs="Arial"/>
        </w:rPr>
        <w:t>fournie par la Section du PCI</w:t>
      </w:r>
      <w:r w:rsidR="006C36B2" w:rsidRPr="005D157F">
        <w:rPr>
          <w:rFonts w:ascii="Arial" w:hAnsi="Arial" w:cs="Arial"/>
        </w:rPr>
        <w:t>)</w:t>
      </w:r>
      <w:r>
        <w:rPr>
          <w:rFonts w:ascii="Arial" w:hAnsi="Arial" w:cs="Arial"/>
        </w:rPr>
        <w:t> ;</w:t>
      </w:r>
    </w:p>
    <w:p w:rsidR="00041593" w:rsidRPr="005D157F" w:rsidRDefault="006A57FF" w:rsidP="006552BB">
      <w:pPr>
        <w:pStyle w:val="ListParagraph"/>
        <w:numPr>
          <w:ilvl w:val="0"/>
          <w:numId w:val="1"/>
        </w:numPr>
        <w:spacing w:after="0" w:line="240" w:lineRule="auto"/>
        <w:jc w:val="both"/>
        <w:rPr>
          <w:rFonts w:ascii="Arial" w:hAnsi="Arial" w:cs="Arial"/>
        </w:rPr>
      </w:pPr>
      <w:r>
        <w:rPr>
          <w:rFonts w:ascii="Arial" w:hAnsi="Arial" w:cs="Arial"/>
        </w:rPr>
        <w:t>Développer la méthodologie de l’enquête, en collaboration avec le Secrétariat, afin d’obtenir un bon taux de réponse, définir les modalités de l’enquête en ligne et la structure pour le rapport ;</w:t>
      </w:r>
    </w:p>
    <w:p w:rsidR="00041593" w:rsidRPr="005D157F" w:rsidRDefault="006A57FF" w:rsidP="006552BB">
      <w:pPr>
        <w:pStyle w:val="ListParagraph"/>
        <w:numPr>
          <w:ilvl w:val="0"/>
          <w:numId w:val="1"/>
        </w:numPr>
        <w:spacing w:after="0" w:line="240" w:lineRule="auto"/>
        <w:jc w:val="both"/>
        <w:rPr>
          <w:rFonts w:ascii="Arial" w:hAnsi="Arial" w:cs="Arial"/>
        </w:rPr>
      </w:pPr>
      <w:r>
        <w:rPr>
          <w:rFonts w:ascii="Arial" w:hAnsi="Arial" w:cs="Arial"/>
        </w:rPr>
        <w:t>Finaliser la liste des destinataires, en s’assurant d’une couverture large d’organisations et d’institutions impliquées dans la sauvegarde du PCI</w:t>
      </w:r>
      <w:r w:rsidR="0082771E">
        <w:rPr>
          <w:rFonts w:ascii="Arial" w:hAnsi="Arial" w:cs="Arial"/>
        </w:rPr>
        <w:t xml:space="preserve"> et en s’appuyant sur les réseaux et répertoires existant ;</w:t>
      </w:r>
    </w:p>
    <w:p w:rsidR="00ED49D1" w:rsidRPr="005D157F" w:rsidRDefault="0082771E" w:rsidP="006552BB">
      <w:pPr>
        <w:pStyle w:val="ListParagraph"/>
        <w:numPr>
          <w:ilvl w:val="0"/>
          <w:numId w:val="1"/>
        </w:numPr>
        <w:spacing w:after="0" w:line="240" w:lineRule="auto"/>
        <w:jc w:val="both"/>
        <w:rPr>
          <w:rFonts w:ascii="Arial" w:hAnsi="Arial" w:cs="Arial"/>
        </w:rPr>
      </w:pPr>
      <w:r>
        <w:rPr>
          <w:rFonts w:ascii="Arial" w:hAnsi="Arial" w:cs="Arial"/>
        </w:rPr>
        <w:t xml:space="preserve">Élaborer l’enquête et intégrer les commentaires d’entités externes </w:t>
      </w:r>
      <w:r w:rsidR="00041593" w:rsidRPr="005D157F">
        <w:rPr>
          <w:rFonts w:ascii="Arial" w:hAnsi="Arial" w:cs="Arial"/>
        </w:rPr>
        <w:t>(</w:t>
      </w:r>
      <w:r>
        <w:rPr>
          <w:rFonts w:ascii="Arial" w:hAnsi="Arial" w:cs="Arial"/>
        </w:rPr>
        <w:t>par exemple le Forum des ONG ou des Centres de catégorie 2</w:t>
      </w:r>
      <w:r w:rsidR="00041593" w:rsidRPr="005D157F">
        <w:rPr>
          <w:rFonts w:ascii="Arial" w:hAnsi="Arial" w:cs="Arial"/>
        </w:rPr>
        <w:t xml:space="preserve">), </w:t>
      </w:r>
      <w:r>
        <w:rPr>
          <w:rFonts w:ascii="Arial" w:hAnsi="Arial" w:cs="Arial"/>
        </w:rPr>
        <w:t>et le mettre en œuvre du 15 novembre 2017 au 30 janvier 2018 ;</w:t>
      </w:r>
    </w:p>
    <w:p w:rsidR="00CB6424" w:rsidRPr="005D157F" w:rsidRDefault="0082771E" w:rsidP="006552BB">
      <w:pPr>
        <w:pStyle w:val="ListParagraph"/>
        <w:numPr>
          <w:ilvl w:val="0"/>
          <w:numId w:val="1"/>
        </w:numPr>
        <w:spacing w:after="0" w:line="240" w:lineRule="auto"/>
        <w:jc w:val="both"/>
        <w:rPr>
          <w:rFonts w:ascii="Arial" w:hAnsi="Arial" w:cs="Arial"/>
        </w:rPr>
      </w:pPr>
      <w:r>
        <w:rPr>
          <w:rFonts w:ascii="Arial" w:hAnsi="Arial" w:cs="Arial"/>
        </w:rPr>
        <w:t xml:space="preserve">Préparer un rapport analytique de cette enquête </w:t>
      </w:r>
      <w:r w:rsidR="005C47F2" w:rsidRPr="005D157F">
        <w:rPr>
          <w:rFonts w:ascii="Arial" w:hAnsi="Arial" w:cs="Arial"/>
        </w:rPr>
        <w:t xml:space="preserve">(maximum </w:t>
      </w:r>
      <w:r>
        <w:rPr>
          <w:rFonts w:ascii="Arial" w:hAnsi="Arial" w:cs="Arial"/>
        </w:rPr>
        <w:t>de 20</w:t>
      </w:r>
      <w:r w:rsidR="00D94603" w:rsidRPr="005D157F">
        <w:rPr>
          <w:rFonts w:ascii="Arial" w:hAnsi="Arial" w:cs="Arial"/>
        </w:rPr>
        <w:t xml:space="preserve"> </w:t>
      </w:r>
      <w:r w:rsidR="00540F84" w:rsidRPr="005D157F">
        <w:rPr>
          <w:rFonts w:ascii="Arial" w:hAnsi="Arial" w:cs="Arial"/>
        </w:rPr>
        <w:t>pages</w:t>
      </w:r>
      <w:r>
        <w:rPr>
          <w:rFonts w:ascii="Arial" w:hAnsi="Arial" w:cs="Arial"/>
        </w:rPr>
        <w:t>, hors annexes</w:t>
      </w:r>
      <w:r w:rsidR="00540F84" w:rsidRPr="005D157F">
        <w:rPr>
          <w:rFonts w:ascii="Arial" w:hAnsi="Arial" w:cs="Arial"/>
        </w:rPr>
        <w:t>)</w:t>
      </w:r>
      <w:r w:rsidR="00D94603" w:rsidRPr="005D157F">
        <w:rPr>
          <w:rFonts w:ascii="Arial" w:hAnsi="Arial" w:cs="Arial"/>
        </w:rPr>
        <w:t xml:space="preserve"> </w:t>
      </w:r>
      <w:r>
        <w:rPr>
          <w:rFonts w:ascii="Arial" w:hAnsi="Arial" w:cs="Arial"/>
        </w:rPr>
        <w:t xml:space="preserve">avant le fin mars </w:t>
      </w:r>
      <w:r w:rsidR="00041593" w:rsidRPr="005D157F">
        <w:rPr>
          <w:rFonts w:ascii="Arial" w:hAnsi="Arial" w:cs="Arial"/>
        </w:rPr>
        <w:t>2018</w:t>
      </w:r>
      <w:r w:rsidR="00540F84" w:rsidRPr="005D157F">
        <w:rPr>
          <w:rFonts w:ascii="Arial" w:hAnsi="Arial" w:cs="Arial"/>
        </w:rPr>
        <w:t>.</w:t>
      </w:r>
      <w:r w:rsidR="002628E8" w:rsidRPr="005D157F">
        <w:rPr>
          <w:rFonts w:ascii="Arial" w:hAnsi="Arial" w:cs="Arial"/>
        </w:rPr>
        <w:t xml:space="preserve"> </w:t>
      </w:r>
      <w:r>
        <w:rPr>
          <w:rFonts w:ascii="Arial" w:hAnsi="Arial" w:cs="Arial"/>
        </w:rPr>
        <w:t>Le rapport doit inclure des données désagrégées selon le type d’organisations et les régions</w:t>
      </w:r>
      <w:r w:rsidR="002628E8" w:rsidRPr="005D157F">
        <w:rPr>
          <w:rFonts w:ascii="Arial" w:hAnsi="Arial" w:cs="Arial"/>
        </w:rPr>
        <w:t xml:space="preserve">. </w:t>
      </w:r>
      <w:r>
        <w:rPr>
          <w:rFonts w:ascii="Arial" w:hAnsi="Arial" w:cs="Arial"/>
        </w:rPr>
        <w:t>Des tableaux</w:t>
      </w:r>
      <w:r w:rsidR="00CA1EA1">
        <w:rPr>
          <w:rFonts w:ascii="Arial" w:hAnsi="Arial" w:cs="Arial"/>
        </w:rPr>
        <w:t xml:space="preserve"> et </w:t>
      </w:r>
      <w:r>
        <w:rPr>
          <w:rFonts w:ascii="Arial" w:hAnsi="Arial" w:cs="Arial"/>
        </w:rPr>
        <w:t xml:space="preserve">graphiques devraient être utilisés </w:t>
      </w:r>
      <w:r>
        <w:rPr>
          <w:rFonts w:ascii="Arial" w:hAnsi="Arial" w:cs="Arial"/>
        </w:rPr>
        <w:t>autant que possible</w:t>
      </w:r>
      <w:r>
        <w:rPr>
          <w:rFonts w:ascii="Arial" w:hAnsi="Arial" w:cs="Arial"/>
        </w:rPr>
        <w:t xml:space="preserve"> pour présenter les informations</w:t>
      </w:r>
      <w:r w:rsidR="002628E8" w:rsidRPr="005D157F">
        <w:rPr>
          <w:rFonts w:ascii="Arial" w:hAnsi="Arial" w:cs="Arial"/>
        </w:rPr>
        <w:t>.</w:t>
      </w:r>
    </w:p>
    <w:p w:rsidR="0064290E" w:rsidRPr="005D157F" w:rsidRDefault="0064290E" w:rsidP="006552BB">
      <w:pPr>
        <w:keepNext/>
        <w:keepLines/>
        <w:spacing w:before="240" w:after="120" w:line="240" w:lineRule="auto"/>
        <w:jc w:val="both"/>
        <w:outlineLvl w:val="1"/>
        <w:rPr>
          <w:rFonts w:ascii="Arial" w:eastAsiaTheme="majorEastAsia" w:hAnsi="Arial" w:cs="Arial"/>
          <w:b/>
          <w:bCs/>
          <w:color w:val="000000" w:themeColor="text1"/>
        </w:rPr>
      </w:pPr>
      <w:r w:rsidRPr="005D157F">
        <w:rPr>
          <w:rFonts w:ascii="Arial" w:eastAsiaTheme="majorEastAsia" w:hAnsi="Arial" w:cs="Arial"/>
          <w:b/>
          <w:bCs/>
          <w:color w:val="000000" w:themeColor="text1"/>
        </w:rPr>
        <w:t>Qualifications</w:t>
      </w:r>
    </w:p>
    <w:p w:rsidR="0082771E" w:rsidRDefault="0082771E" w:rsidP="0082771E">
      <w:pPr>
        <w:pStyle w:val="Default"/>
        <w:numPr>
          <w:ilvl w:val="0"/>
          <w:numId w:val="8"/>
        </w:numPr>
        <w:rPr>
          <w:sz w:val="22"/>
          <w:szCs w:val="22"/>
        </w:rPr>
      </w:pPr>
      <w:r>
        <w:rPr>
          <w:sz w:val="22"/>
          <w:szCs w:val="22"/>
        </w:rPr>
        <w:t xml:space="preserve">Diplôme universitaire d’études supérieures (Master ou équivalent) dans un domaine approprié </w:t>
      </w:r>
    </w:p>
    <w:p w:rsidR="0064290E" w:rsidRPr="005D157F" w:rsidRDefault="00041593" w:rsidP="006552BB">
      <w:pPr>
        <w:numPr>
          <w:ilvl w:val="0"/>
          <w:numId w:val="8"/>
        </w:numPr>
        <w:spacing w:after="120" w:line="280" w:lineRule="atLeast"/>
        <w:ind w:left="714" w:hanging="357"/>
        <w:jc w:val="both"/>
        <w:rPr>
          <w:rFonts w:ascii="Arial" w:hAnsi="Arial" w:cs="Arial"/>
        </w:rPr>
      </w:pPr>
      <w:r w:rsidRPr="005D157F">
        <w:rPr>
          <w:rFonts w:ascii="Arial" w:hAnsi="Arial" w:cs="Arial"/>
        </w:rPr>
        <w:t>10</w:t>
      </w:r>
      <w:r w:rsidR="0082771E">
        <w:rPr>
          <w:rFonts w:ascii="Arial" w:hAnsi="Arial" w:cs="Arial"/>
        </w:rPr>
        <w:t xml:space="preserve"> à 15 ans d’expérience professionnelle</w:t>
      </w:r>
    </w:p>
    <w:p w:rsidR="0082771E" w:rsidRDefault="0064290E" w:rsidP="00D84242">
      <w:pPr>
        <w:numPr>
          <w:ilvl w:val="0"/>
          <w:numId w:val="8"/>
        </w:numPr>
        <w:spacing w:after="120" w:line="280" w:lineRule="atLeast"/>
        <w:ind w:left="714" w:hanging="357"/>
        <w:jc w:val="both"/>
        <w:rPr>
          <w:rFonts w:ascii="Arial" w:hAnsi="Arial" w:cs="Arial"/>
        </w:rPr>
      </w:pPr>
      <w:r w:rsidRPr="0082771E">
        <w:rPr>
          <w:rFonts w:ascii="Arial" w:hAnsi="Arial" w:cs="Arial"/>
        </w:rPr>
        <w:t>Excellent</w:t>
      </w:r>
      <w:r w:rsidR="0082771E" w:rsidRPr="0082771E">
        <w:rPr>
          <w:rFonts w:ascii="Arial" w:hAnsi="Arial" w:cs="Arial"/>
        </w:rPr>
        <w:t>es compétences rédactionnelles et de communication en anglais ou en français</w:t>
      </w:r>
    </w:p>
    <w:p w:rsidR="00D94603" w:rsidRPr="0082771E" w:rsidRDefault="0082771E" w:rsidP="00D84242">
      <w:pPr>
        <w:numPr>
          <w:ilvl w:val="0"/>
          <w:numId w:val="8"/>
        </w:numPr>
        <w:spacing w:after="120" w:line="280" w:lineRule="atLeast"/>
        <w:ind w:left="714" w:hanging="357"/>
        <w:jc w:val="both"/>
        <w:rPr>
          <w:rFonts w:ascii="Arial" w:hAnsi="Arial" w:cs="Arial"/>
        </w:rPr>
      </w:pPr>
      <w:r>
        <w:rPr>
          <w:rFonts w:ascii="Arial" w:hAnsi="Arial" w:cs="Arial"/>
        </w:rPr>
        <w:t xml:space="preserve">Une bonne expérience en matière de réalisation d’enquêtes impliquant une connaissance des différentes méthodologies, des formes de questionnaire, de l’analyse des données, des procédés de rédaction du compte-rendu, d’Excel et de visualisation de données </w:t>
      </w:r>
      <w:r w:rsidR="00B9455F" w:rsidRPr="0082771E">
        <w:rPr>
          <w:rFonts w:ascii="Arial" w:hAnsi="Arial" w:cs="Arial"/>
        </w:rPr>
        <w:t>(</w:t>
      </w:r>
      <w:r w:rsidR="00CA1EA1">
        <w:rPr>
          <w:rFonts w:ascii="Arial" w:hAnsi="Arial" w:cs="Arial"/>
        </w:rPr>
        <w:t>tableaux, graphiques et illustrations</w:t>
      </w:r>
      <w:r w:rsidR="00B9455F" w:rsidRPr="0082771E">
        <w:rPr>
          <w:rFonts w:ascii="Arial" w:hAnsi="Arial" w:cs="Arial"/>
        </w:rPr>
        <w:t>)</w:t>
      </w:r>
      <w:r w:rsidR="00D94603" w:rsidRPr="0082771E">
        <w:rPr>
          <w:rFonts w:ascii="Arial" w:hAnsi="Arial" w:cs="Arial"/>
        </w:rPr>
        <w:t>;</w:t>
      </w:r>
    </w:p>
    <w:p w:rsidR="00041593" w:rsidRPr="005D157F" w:rsidRDefault="00CA1EA1" w:rsidP="006552BB">
      <w:pPr>
        <w:numPr>
          <w:ilvl w:val="0"/>
          <w:numId w:val="8"/>
        </w:numPr>
        <w:spacing w:after="120" w:line="280" w:lineRule="atLeast"/>
        <w:ind w:left="714" w:hanging="357"/>
        <w:jc w:val="both"/>
        <w:rPr>
          <w:rFonts w:ascii="Arial" w:hAnsi="Arial" w:cs="Arial"/>
        </w:rPr>
      </w:pPr>
      <w:r>
        <w:rPr>
          <w:rFonts w:ascii="Arial" w:hAnsi="Arial" w:cs="Arial"/>
        </w:rPr>
        <w:t xml:space="preserve">Connaissances sur la Convention de </w:t>
      </w:r>
      <w:r w:rsidR="00041593" w:rsidRPr="005D157F">
        <w:rPr>
          <w:rFonts w:ascii="Arial" w:hAnsi="Arial" w:cs="Arial"/>
        </w:rPr>
        <w:t xml:space="preserve">2003 </w:t>
      </w:r>
      <w:r>
        <w:rPr>
          <w:rFonts w:ascii="Arial" w:hAnsi="Arial" w:cs="Arial"/>
        </w:rPr>
        <w:t>et la sauvegarde du PCI</w:t>
      </w:r>
    </w:p>
    <w:p w:rsidR="0064290E" w:rsidRPr="005D157F" w:rsidRDefault="00CA1EA1" w:rsidP="006552BB">
      <w:pPr>
        <w:keepNext/>
        <w:keepLines/>
        <w:spacing w:before="240" w:after="120" w:line="240" w:lineRule="auto"/>
        <w:jc w:val="both"/>
        <w:outlineLvl w:val="1"/>
        <w:rPr>
          <w:rFonts w:ascii="Arial" w:eastAsiaTheme="majorEastAsia" w:hAnsi="Arial" w:cs="Arial"/>
          <w:b/>
          <w:bCs/>
          <w:color w:val="000000" w:themeColor="text1"/>
        </w:rPr>
      </w:pPr>
      <w:r>
        <w:rPr>
          <w:rFonts w:ascii="Arial" w:eastAsiaTheme="majorEastAsia" w:hAnsi="Arial" w:cs="Arial"/>
          <w:b/>
          <w:bCs/>
          <w:color w:val="000000" w:themeColor="text1"/>
        </w:rPr>
        <w:t>Comment postuler ?</w:t>
      </w:r>
    </w:p>
    <w:p w:rsidR="00CA1EA1" w:rsidRDefault="00CA1EA1" w:rsidP="00CA1EA1">
      <w:pPr>
        <w:pStyle w:val="Default"/>
        <w:rPr>
          <w:sz w:val="22"/>
          <w:szCs w:val="22"/>
        </w:rPr>
      </w:pPr>
      <w:r>
        <w:rPr>
          <w:sz w:val="22"/>
          <w:szCs w:val="22"/>
        </w:rPr>
        <w:t xml:space="preserve">Les candidats intéressés par cette mission doivent envoyer leur candidature et y inclure les renseignements </w:t>
      </w:r>
      <w:r>
        <w:rPr>
          <w:sz w:val="22"/>
          <w:szCs w:val="22"/>
        </w:rPr>
        <w:t>suivants :</w:t>
      </w:r>
    </w:p>
    <w:p w:rsidR="00CA1EA1" w:rsidRDefault="00CA1EA1" w:rsidP="00CA1EA1">
      <w:pPr>
        <w:numPr>
          <w:ilvl w:val="0"/>
          <w:numId w:val="8"/>
        </w:numPr>
        <w:spacing w:after="120" w:line="280" w:lineRule="atLeast"/>
        <w:ind w:left="714" w:hanging="357"/>
        <w:jc w:val="both"/>
        <w:rPr>
          <w:rFonts w:ascii="Arial" w:hAnsi="Arial" w:cs="Arial"/>
        </w:rPr>
      </w:pPr>
      <w:r w:rsidRPr="00CA1EA1">
        <w:rPr>
          <w:rFonts w:ascii="Arial" w:hAnsi="Arial" w:cs="Arial"/>
        </w:rPr>
        <w:t>Une courte lettre de motivation en répon</w:t>
      </w:r>
      <w:r>
        <w:rPr>
          <w:rFonts w:ascii="Arial" w:hAnsi="Arial" w:cs="Arial"/>
        </w:rPr>
        <w:t>se aux critères susmentionnés ;</w:t>
      </w:r>
    </w:p>
    <w:p w:rsidR="00CA1EA1" w:rsidRPr="00CA1EA1" w:rsidRDefault="00CA1EA1" w:rsidP="00827DA3">
      <w:pPr>
        <w:numPr>
          <w:ilvl w:val="0"/>
          <w:numId w:val="8"/>
        </w:numPr>
        <w:spacing w:after="66" w:line="280" w:lineRule="atLeast"/>
        <w:ind w:left="714" w:hanging="357"/>
        <w:jc w:val="both"/>
      </w:pPr>
      <w:r w:rsidRPr="00CA1EA1">
        <w:rPr>
          <w:rFonts w:ascii="Arial" w:hAnsi="Arial" w:cs="Arial"/>
        </w:rPr>
        <w:t>Une copie de leur CV ;</w:t>
      </w:r>
    </w:p>
    <w:p w:rsidR="00CA1EA1" w:rsidRPr="00CA1EA1" w:rsidRDefault="00CA1EA1" w:rsidP="00CA1EA1">
      <w:pPr>
        <w:numPr>
          <w:ilvl w:val="0"/>
          <w:numId w:val="8"/>
        </w:numPr>
        <w:spacing w:after="66" w:line="280" w:lineRule="atLeast"/>
        <w:ind w:left="714" w:hanging="357"/>
        <w:jc w:val="both"/>
        <w:rPr>
          <w:rFonts w:ascii="Arial" w:hAnsi="Arial" w:cs="Arial"/>
        </w:rPr>
      </w:pPr>
      <w:r w:rsidRPr="00CA1EA1">
        <w:rPr>
          <w:rFonts w:ascii="Arial" w:hAnsi="Arial" w:cs="Arial"/>
        </w:rPr>
        <w:t>Des exemples d’expériences similaires en matière de gestion d’une enquête et/ou de création de questionnaire, de rédaction de compte-rendu et</w:t>
      </w:r>
      <w:r w:rsidRPr="00CA1EA1">
        <w:rPr>
          <w:rFonts w:ascii="Arial" w:hAnsi="Arial" w:cs="Arial"/>
        </w:rPr>
        <w:t>c. ;</w:t>
      </w:r>
    </w:p>
    <w:p w:rsidR="00CA1EA1" w:rsidRPr="00CA1EA1" w:rsidRDefault="00CA1EA1" w:rsidP="00CA1EA1">
      <w:pPr>
        <w:numPr>
          <w:ilvl w:val="0"/>
          <w:numId w:val="8"/>
        </w:numPr>
        <w:spacing w:after="66" w:line="280" w:lineRule="atLeast"/>
        <w:ind w:left="714" w:hanging="357"/>
        <w:jc w:val="both"/>
        <w:rPr>
          <w:rFonts w:ascii="Arial" w:hAnsi="Arial" w:cs="Arial"/>
        </w:rPr>
      </w:pPr>
      <w:r w:rsidRPr="00CA1EA1">
        <w:rPr>
          <w:rFonts w:ascii="Arial" w:hAnsi="Arial" w:cs="Arial"/>
        </w:rPr>
        <w:t xml:space="preserve">Une indication de tarif de cette prestation menée par un/une consultant(e), ainsi qu’un calendrier prévisionnel. </w:t>
      </w:r>
    </w:p>
    <w:p w:rsidR="0064290E" w:rsidRPr="00CA1EA1" w:rsidRDefault="00CA1EA1" w:rsidP="00CA1EA1">
      <w:pPr>
        <w:spacing w:before="360" w:after="120" w:line="280" w:lineRule="atLeast"/>
        <w:jc w:val="both"/>
        <w:rPr>
          <w:rFonts w:ascii="Arial" w:hAnsi="Arial" w:cs="Arial"/>
          <w:b/>
        </w:rPr>
      </w:pPr>
      <w:r w:rsidRPr="00CA1EA1">
        <w:rPr>
          <w:rFonts w:ascii="Arial" w:hAnsi="Arial" w:cs="Arial"/>
          <w:bCs/>
          <w:iCs/>
        </w:rPr>
        <w:t xml:space="preserve">Les </w:t>
      </w:r>
      <w:proofErr w:type="gramStart"/>
      <w:r w:rsidRPr="00CA1EA1">
        <w:rPr>
          <w:rFonts w:ascii="Arial" w:hAnsi="Arial" w:cs="Arial"/>
          <w:bCs/>
          <w:iCs/>
        </w:rPr>
        <w:t>candidature</w:t>
      </w:r>
      <w:proofErr w:type="gramEnd"/>
      <w:r w:rsidRPr="00CA1EA1">
        <w:rPr>
          <w:rFonts w:ascii="Arial" w:hAnsi="Arial" w:cs="Arial"/>
          <w:bCs/>
          <w:iCs/>
        </w:rPr>
        <w:t xml:space="preserve"> doivent être envoyées à l’</w:t>
      </w:r>
      <w:r w:rsidR="0064290E" w:rsidRPr="00CA1EA1">
        <w:rPr>
          <w:rFonts w:ascii="Arial" w:hAnsi="Arial" w:cs="Arial"/>
          <w:bCs/>
          <w:iCs/>
        </w:rPr>
        <w:t xml:space="preserve">UNESCO </w:t>
      </w:r>
      <w:r w:rsidRPr="00CA1EA1">
        <w:rPr>
          <w:rFonts w:ascii="Arial" w:hAnsi="Arial" w:cs="Arial"/>
          <w:b/>
          <w:bCs/>
          <w:iCs/>
          <w:u w:val="single"/>
        </w:rPr>
        <w:t xml:space="preserve">avant le 20 septembre </w:t>
      </w:r>
      <w:r w:rsidR="0064290E" w:rsidRPr="00CA1EA1">
        <w:rPr>
          <w:rFonts w:ascii="Arial" w:hAnsi="Arial" w:cs="Arial"/>
          <w:b/>
          <w:bCs/>
          <w:iCs/>
          <w:u w:val="single"/>
        </w:rPr>
        <w:t>201</w:t>
      </w:r>
      <w:r w:rsidR="00B9455F" w:rsidRPr="00CA1EA1">
        <w:rPr>
          <w:rFonts w:ascii="Arial" w:hAnsi="Arial" w:cs="Arial"/>
          <w:b/>
          <w:bCs/>
          <w:iCs/>
          <w:u w:val="single"/>
        </w:rPr>
        <w:t>7</w:t>
      </w:r>
      <w:r w:rsidRPr="00CA1EA1">
        <w:rPr>
          <w:rFonts w:ascii="Arial" w:hAnsi="Arial" w:cs="Arial"/>
          <w:bCs/>
          <w:iCs/>
        </w:rPr>
        <w:t>, à</w:t>
      </w:r>
      <w:r>
        <w:rPr>
          <w:rFonts w:ascii="Arial" w:hAnsi="Arial" w:cs="Arial"/>
          <w:b/>
          <w:bCs/>
          <w:iCs/>
        </w:rPr>
        <w:t xml:space="preserve"> </w:t>
      </w:r>
      <w:r w:rsidR="00041593" w:rsidRPr="005D157F">
        <w:rPr>
          <w:rFonts w:ascii="Arial" w:eastAsia="Calibri" w:hAnsi="Arial" w:cs="Arial"/>
        </w:rPr>
        <w:t>Hugues Sicard</w:t>
      </w:r>
      <w:r w:rsidR="0064290E" w:rsidRPr="005D157F">
        <w:rPr>
          <w:rFonts w:ascii="Arial" w:eastAsia="Calibri" w:hAnsi="Arial" w:cs="Arial"/>
        </w:rPr>
        <w:t>, UNESCO Intangible Cultural Herita</w:t>
      </w:r>
      <w:bookmarkStart w:id="0" w:name="_GoBack"/>
      <w:bookmarkEnd w:id="0"/>
      <w:r w:rsidR="0064290E" w:rsidRPr="005D157F">
        <w:rPr>
          <w:rFonts w:ascii="Arial" w:eastAsia="Calibri" w:hAnsi="Arial" w:cs="Arial"/>
        </w:rPr>
        <w:t>ge Section (</w:t>
      </w:r>
      <w:hyperlink r:id="rId11" w:history="1"/>
      <w:r w:rsidR="00041593" w:rsidRPr="005D157F">
        <w:rPr>
          <w:rStyle w:val="Hyperlink"/>
          <w:rFonts w:ascii="Arial" w:eastAsia="Calibri" w:hAnsi="Arial" w:cs="Arial"/>
        </w:rPr>
        <w:t>h.sicard@unesco.org</w:t>
      </w:r>
      <w:r w:rsidR="0064290E" w:rsidRPr="005D157F">
        <w:rPr>
          <w:rFonts w:ascii="Arial" w:eastAsia="Calibri" w:hAnsi="Arial" w:cs="Arial"/>
        </w:rPr>
        <w:t>).</w:t>
      </w:r>
    </w:p>
    <w:sectPr w:rsidR="0064290E" w:rsidRPr="00CA1EA1" w:rsidSect="006552BB">
      <w:headerReference w:type="default" r:id="rId12"/>
      <w:headerReference w:type="first" r:id="rId13"/>
      <w:pgSz w:w="11906" w:h="16838"/>
      <w:pgMar w:top="959"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5D" w:rsidRDefault="00CE595D" w:rsidP="00CE595D">
      <w:pPr>
        <w:spacing w:after="0" w:line="240" w:lineRule="auto"/>
      </w:pPr>
      <w:r>
        <w:separator/>
      </w:r>
    </w:p>
  </w:endnote>
  <w:endnote w:type="continuationSeparator" w:id="0">
    <w:p w:rsidR="00CE595D" w:rsidRDefault="00CE595D" w:rsidP="00CE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5D" w:rsidRDefault="00CE595D" w:rsidP="00CE595D">
      <w:pPr>
        <w:spacing w:after="0" w:line="240" w:lineRule="auto"/>
      </w:pPr>
      <w:r>
        <w:separator/>
      </w:r>
    </w:p>
  </w:footnote>
  <w:footnote w:type="continuationSeparator" w:id="0">
    <w:p w:rsidR="00CE595D" w:rsidRDefault="00CE595D" w:rsidP="00CE595D">
      <w:pPr>
        <w:spacing w:after="0" w:line="240" w:lineRule="auto"/>
      </w:pPr>
      <w:r>
        <w:continuationSeparator/>
      </w:r>
    </w:p>
  </w:footnote>
  <w:footnote w:id="1">
    <w:p w:rsidR="00CE595D" w:rsidRPr="005D157F" w:rsidRDefault="00CE595D" w:rsidP="005D157F">
      <w:pPr>
        <w:pStyle w:val="FootnoteText"/>
        <w:jc w:val="both"/>
      </w:pPr>
      <w:r>
        <w:rPr>
          <w:rStyle w:val="FootnoteReference"/>
        </w:rPr>
        <w:footnoteRef/>
      </w:r>
      <w:r w:rsidRPr="005D157F">
        <w:t xml:space="preserve"> </w:t>
      </w:r>
      <w:r w:rsidR="005D157F" w:rsidRPr="005D157F">
        <w:t xml:space="preserve">Pour plus d’information, voir </w:t>
      </w:r>
      <w:r w:rsidR="005D157F">
        <w:t xml:space="preserve">l’ « Évaluation du travail normatif de l’UNESCO dans le domaine de la Culture », partie I : </w:t>
      </w:r>
      <w:hyperlink r:id="rId1" w:tgtFrame="_blank" w:history="1">
        <w:proofErr w:type="spellStart"/>
        <w:r w:rsidR="005D157F" w:rsidRPr="005D157F">
          <w:rPr>
            <w:b/>
            <w:bCs/>
            <w:color w:val="0872CB"/>
          </w:rPr>
          <w:t>anglais</w:t>
        </w:r>
      </w:hyperlink>
      <w:r w:rsidRPr="005D157F">
        <w:t>|</w:t>
      </w:r>
      <w:hyperlink r:id="rId2" w:tgtFrame="_blank" w:history="1">
        <w:r w:rsidR="005D157F">
          <w:rPr>
            <w:b/>
            <w:bCs/>
            <w:color w:val="0872CB"/>
          </w:rPr>
          <w:t>français</w:t>
        </w:r>
        <w:proofErr w:type="spellEnd"/>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BB" w:rsidRPr="006552BB" w:rsidRDefault="006552BB" w:rsidP="006552BB">
    <w:pPr>
      <w:pStyle w:val="Header"/>
      <w:ind w:left="-567"/>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BB" w:rsidRPr="006552BB" w:rsidRDefault="00D16540" w:rsidP="006552BB">
    <w:pPr>
      <w:spacing w:after="360" w:line="280" w:lineRule="atLeast"/>
      <w:ind w:left="2694"/>
      <w:rPr>
        <w:rFonts w:ascii="Arial" w:eastAsiaTheme="majorEastAsia" w:hAnsi="Arial" w:cs="Arial"/>
        <w:b/>
        <w:bCs/>
        <w:color w:val="000000" w:themeColor="text1"/>
        <w:sz w:val="40"/>
        <w:szCs w:val="40"/>
        <w:lang w:val="en-GB"/>
      </w:rPr>
    </w:pPr>
    <w:r>
      <w:rPr>
        <w:rFonts w:ascii="Arial" w:eastAsiaTheme="majorEastAsia" w:hAnsi="Arial" w:cs="Arial"/>
        <w:b/>
        <w:bCs/>
        <w:noProof/>
        <w:color w:val="000000" w:themeColor="text1"/>
        <w:sz w:val="40"/>
        <w:szCs w:val="40"/>
        <w:lang w:eastAsia="fr-FR"/>
      </w:rPr>
      <w:drawing>
        <wp:anchor distT="0" distB="0" distL="114300" distR="114300" simplePos="0" relativeHeight="251658240" behindDoc="0" locked="0" layoutInCell="1" allowOverlap="1">
          <wp:simplePos x="0" y="0"/>
          <wp:positionH relativeFrom="column">
            <wp:posOffset>-336830</wp:posOffset>
          </wp:positionH>
          <wp:positionV relativeFrom="paragraph">
            <wp:posOffset>-296418</wp:posOffset>
          </wp:positionV>
          <wp:extent cx="1630680" cy="124777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sco_logo_fr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0680" cy="1247775"/>
                  </a:xfrm>
                  <a:prstGeom prst="rect">
                    <a:avLst/>
                  </a:prstGeom>
                </pic:spPr>
              </pic:pic>
            </a:graphicData>
          </a:graphic>
          <wp14:sizeRelH relativeFrom="page">
            <wp14:pctWidth>0</wp14:pctWidth>
          </wp14:sizeRelH>
          <wp14:sizeRelV relativeFrom="page">
            <wp14:pctHeight>0</wp14:pctHeight>
          </wp14:sizeRelV>
        </wp:anchor>
      </w:drawing>
    </w:r>
    <w:r w:rsidR="006552BB">
      <w:rPr>
        <w:rFonts w:ascii="Arial" w:eastAsiaTheme="majorEastAsia" w:hAnsi="Arial" w:cs="Arial"/>
        <w:b/>
        <w:bCs/>
        <w:color w:val="000000" w:themeColor="text1"/>
        <w:sz w:val="40"/>
        <w:szCs w:val="40"/>
        <w:lang w:val="en-GB"/>
      </w:rPr>
      <w:br/>
    </w:r>
    <w:r>
      <w:rPr>
        <w:rFonts w:ascii="Arial" w:eastAsiaTheme="majorEastAsia" w:hAnsi="Arial" w:cs="Arial"/>
        <w:b/>
        <w:bCs/>
        <w:color w:val="000000" w:themeColor="text1"/>
        <w:sz w:val="40"/>
        <w:szCs w:val="40"/>
        <w:lang w:val="en-GB"/>
      </w:rPr>
      <w:t>Appel à candidatures</w:t>
    </w:r>
  </w:p>
  <w:p w:rsidR="006552BB" w:rsidRDefault="00655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90B"/>
    <w:multiLevelType w:val="hybridMultilevel"/>
    <w:tmpl w:val="39DC3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43141"/>
    <w:multiLevelType w:val="hybridMultilevel"/>
    <w:tmpl w:val="3A30CF62"/>
    <w:lvl w:ilvl="0" w:tplc="9D20728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D3A2E"/>
    <w:multiLevelType w:val="hybridMultilevel"/>
    <w:tmpl w:val="9006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6919"/>
    <w:multiLevelType w:val="hybridMultilevel"/>
    <w:tmpl w:val="DBFE6018"/>
    <w:lvl w:ilvl="0" w:tplc="DB8406EC">
      <w:start w:val="1"/>
      <w:numFmt w:val="low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0A4544"/>
    <w:multiLevelType w:val="hybridMultilevel"/>
    <w:tmpl w:val="E7D696A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38323FC"/>
    <w:multiLevelType w:val="hybridMultilevel"/>
    <w:tmpl w:val="80EC6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2A44D9"/>
    <w:multiLevelType w:val="hybridMultilevel"/>
    <w:tmpl w:val="019890FE"/>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438B732D"/>
    <w:multiLevelType w:val="hybridMultilevel"/>
    <w:tmpl w:val="9162C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C23556"/>
    <w:multiLevelType w:val="hybridMultilevel"/>
    <w:tmpl w:val="AC781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772D4D"/>
    <w:multiLevelType w:val="hybridMultilevel"/>
    <w:tmpl w:val="FFA29848"/>
    <w:lvl w:ilvl="0" w:tplc="9426036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0036052"/>
    <w:multiLevelType w:val="hybridMultilevel"/>
    <w:tmpl w:val="E99CB444"/>
    <w:lvl w:ilvl="0" w:tplc="4DE6EF7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0"/>
  </w:num>
  <w:num w:numId="5">
    <w:abstractNumId w:val="9"/>
  </w:num>
  <w:num w:numId="6">
    <w:abstractNumId w:val="10"/>
  </w:num>
  <w:num w:numId="7">
    <w:abstractNumId w:val="7"/>
  </w:num>
  <w:num w:numId="8">
    <w:abstractNumId w:val="2"/>
  </w:num>
  <w:num w:numId="9">
    <w:abstractNumId w:val="5"/>
  </w:num>
  <w:num w:numId="10">
    <w:abstractNumId w:val="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67"/>
    <w:rsid w:val="00031475"/>
    <w:rsid w:val="00041593"/>
    <w:rsid w:val="0004614A"/>
    <w:rsid w:val="000707D8"/>
    <w:rsid w:val="00090F3F"/>
    <w:rsid w:val="000B19FA"/>
    <w:rsid w:val="000B2BB4"/>
    <w:rsid w:val="001234D3"/>
    <w:rsid w:val="001455D7"/>
    <w:rsid w:val="001722FD"/>
    <w:rsid w:val="001773B8"/>
    <w:rsid w:val="00181C70"/>
    <w:rsid w:val="001A482A"/>
    <w:rsid w:val="001C2481"/>
    <w:rsid w:val="001D6620"/>
    <w:rsid w:val="00200F3F"/>
    <w:rsid w:val="002225F0"/>
    <w:rsid w:val="00231174"/>
    <w:rsid w:val="00233230"/>
    <w:rsid w:val="002351A5"/>
    <w:rsid w:val="00261A60"/>
    <w:rsid w:val="002628E8"/>
    <w:rsid w:val="00265713"/>
    <w:rsid w:val="002906D0"/>
    <w:rsid w:val="00296C82"/>
    <w:rsid w:val="002C58D7"/>
    <w:rsid w:val="002C7B4F"/>
    <w:rsid w:val="002C7B9A"/>
    <w:rsid w:val="002E77CB"/>
    <w:rsid w:val="00311A13"/>
    <w:rsid w:val="003237F8"/>
    <w:rsid w:val="00361C87"/>
    <w:rsid w:val="00373378"/>
    <w:rsid w:val="00392E31"/>
    <w:rsid w:val="003F4A84"/>
    <w:rsid w:val="0040562D"/>
    <w:rsid w:val="004116FF"/>
    <w:rsid w:val="004163D2"/>
    <w:rsid w:val="00420B91"/>
    <w:rsid w:val="004326DC"/>
    <w:rsid w:val="00433328"/>
    <w:rsid w:val="00441591"/>
    <w:rsid w:val="00445593"/>
    <w:rsid w:val="00454C52"/>
    <w:rsid w:val="004568EF"/>
    <w:rsid w:val="00473A6A"/>
    <w:rsid w:val="004942BE"/>
    <w:rsid w:val="004959AD"/>
    <w:rsid w:val="004A5E44"/>
    <w:rsid w:val="004B4978"/>
    <w:rsid w:val="004E1DEF"/>
    <w:rsid w:val="004E3CED"/>
    <w:rsid w:val="0052464C"/>
    <w:rsid w:val="00540597"/>
    <w:rsid w:val="00540F84"/>
    <w:rsid w:val="00555081"/>
    <w:rsid w:val="0056313C"/>
    <w:rsid w:val="0056591F"/>
    <w:rsid w:val="00581540"/>
    <w:rsid w:val="0058448E"/>
    <w:rsid w:val="005B1C77"/>
    <w:rsid w:val="005C47F2"/>
    <w:rsid w:val="005D0C55"/>
    <w:rsid w:val="005D157F"/>
    <w:rsid w:val="006156E1"/>
    <w:rsid w:val="0064290E"/>
    <w:rsid w:val="00646207"/>
    <w:rsid w:val="00647652"/>
    <w:rsid w:val="00650F55"/>
    <w:rsid w:val="00652867"/>
    <w:rsid w:val="006552BB"/>
    <w:rsid w:val="00675114"/>
    <w:rsid w:val="00683F51"/>
    <w:rsid w:val="006A473E"/>
    <w:rsid w:val="006A57FF"/>
    <w:rsid w:val="006B188D"/>
    <w:rsid w:val="006B6A4D"/>
    <w:rsid w:val="006C36B2"/>
    <w:rsid w:val="006C7D86"/>
    <w:rsid w:val="0074336B"/>
    <w:rsid w:val="007552F0"/>
    <w:rsid w:val="00771409"/>
    <w:rsid w:val="00783727"/>
    <w:rsid w:val="007B1258"/>
    <w:rsid w:val="007B6EC4"/>
    <w:rsid w:val="007B776E"/>
    <w:rsid w:val="007C256D"/>
    <w:rsid w:val="007C6C7A"/>
    <w:rsid w:val="007D7D7C"/>
    <w:rsid w:val="0080670B"/>
    <w:rsid w:val="0082771E"/>
    <w:rsid w:val="008706C8"/>
    <w:rsid w:val="00870E8F"/>
    <w:rsid w:val="00884030"/>
    <w:rsid w:val="00891BE8"/>
    <w:rsid w:val="008D385B"/>
    <w:rsid w:val="008E4BF0"/>
    <w:rsid w:val="00934DFC"/>
    <w:rsid w:val="0099250E"/>
    <w:rsid w:val="009929E6"/>
    <w:rsid w:val="00994C39"/>
    <w:rsid w:val="00994C63"/>
    <w:rsid w:val="009A3462"/>
    <w:rsid w:val="009C63C5"/>
    <w:rsid w:val="009D2DF7"/>
    <w:rsid w:val="009D4B1B"/>
    <w:rsid w:val="009D5F63"/>
    <w:rsid w:val="009E46CE"/>
    <w:rsid w:val="009F73A5"/>
    <w:rsid w:val="00A06FE3"/>
    <w:rsid w:val="00A23444"/>
    <w:rsid w:val="00A26664"/>
    <w:rsid w:val="00A45F1B"/>
    <w:rsid w:val="00A564A8"/>
    <w:rsid w:val="00A645E6"/>
    <w:rsid w:val="00A76765"/>
    <w:rsid w:val="00A92B0D"/>
    <w:rsid w:val="00AA50BA"/>
    <w:rsid w:val="00AB2A0D"/>
    <w:rsid w:val="00AB7CE2"/>
    <w:rsid w:val="00AC4000"/>
    <w:rsid w:val="00AC7790"/>
    <w:rsid w:val="00AD59E7"/>
    <w:rsid w:val="00AE4092"/>
    <w:rsid w:val="00AE65C3"/>
    <w:rsid w:val="00B018E4"/>
    <w:rsid w:val="00B05995"/>
    <w:rsid w:val="00B30FC4"/>
    <w:rsid w:val="00B3569C"/>
    <w:rsid w:val="00B7270B"/>
    <w:rsid w:val="00B75738"/>
    <w:rsid w:val="00B83692"/>
    <w:rsid w:val="00B83AAE"/>
    <w:rsid w:val="00B9455F"/>
    <w:rsid w:val="00BA27B3"/>
    <w:rsid w:val="00BA282E"/>
    <w:rsid w:val="00BC064B"/>
    <w:rsid w:val="00BC4CDC"/>
    <w:rsid w:val="00BF17DC"/>
    <w:rsid w:val="00C00936"/>
    <w:rsid w:val="00C22B11"/>
    <w:rsid w:val="00C32927"/>
    <w:rsid w:val="00C3790B"/>
    <w:rsid w:val="00C4284D"/>
    <w:rsid w:val="00C617A7"/>
    <w:rsid w:val="00C668AC"/>
    <w:rsid w:val="00C874EC"/>
    <w:rsid w:val="00CA1EA1"/>
    <w:rsid w:val="00CB460F"/>
    <w:rsid w:val="00CB6424"/>
    <w:rsid w:val="00CC27AC"/>
    <w:rsid w:val="00CC6B48"/>
    <w:rsid w:val="00CC7B05"/>
    <w:rsid w:val="00CE595D"/>
    <w:rsid w:val="00CF4CC7"/>
    <w:rsid w:val="00CF6AEA"/>
    <w:rsid w:val="00D16540"/>
    <w:rsid w:val="00D20BA2"/>
    <w:rsid w:val="00D32FF6"/>
    <w:rsid w:val="00D34110"/>
    <w:rsid w:val="00D6365A"/>
    <w:rsid w:val="00D92C15"/>
    <w:rsid w:val="00D94603"/>
    <w:rsid w:val="00DB220A"/>
    <w:rsid w:val="00DC376D"/>
    <w:rsid w:val="00DC3AE1"/>
    <w:rsid w:val="00DE2985"/>
    <w:rsid w:val="00DF4C02"/>
    <w:rsid w:val="00DF745D"/>
    <w:rsid w:val="00E0146B"/>
    <w:rsid w:val="00E16114"/>
    <w:rsid w:val="00E21ED6"/>
    <w:rsid w:val="00E3367D"/>
    <w:rsid w:val="00E97F9F"/>
    <w:rsid w:val="00EA2650"/>
    <w:rsid w:val="00EC1510"/>
    <w:rsid w:val="00ED49D1"/>
    <w:rsid w:val="00EE3061"/>
    <w:rsid w:val="00EF69FD"/>
    <w:rsid w:val="00F11F3B"/>
    <w:rsid w:val="00F25D72"/>
    <w:rsid w:val="00F4597C"/>
    <w:rsid w:val="00F50F60"/>
    <w:rsid w:val="00F63572"/>
    <w:rsid w:val="00FA3938"/>
    <w:rsid w:val="00FA43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E344E89-F029-4B07-8E30-6665F13A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D1"/>
    <w:pPr>
      <w:ind w:left="720"/>
      <w:contextualSpacing/>
    </w:pPr>
  </w:style>
  <w:style w:type="paragraph" w:styleId="BalloonText">
    <w:name w:val="Balloon Text"/>
    <w:basedOn w:val="Normal"/>
    <w:link w:val="BalloonTextChar"/>
    <w:uiPriority w:val="99"/>
    <w:semiHidden/>
    <w:unhideWhenUsed/>
    <w:rsid w:val="00CB6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424"/>
    <w:rPr>
      <w:rFonts w:ascii="Segoe UI" w:hAnsi="Segoe UI" w:cs="Segoe UI"/>
      <w:sz w:val="18"/>
      <w:szCs w:val="18"/>
    </w:rPr>
  </w:style>
  <w:style w:type="table" w:styleId="TableGrid">
    <w:name w:val="Table Grid"/>
    <w:basedOn w:val="TableNormal"/>
    <w:uiPriority w:val="59"/>
    <w:rsid w:val="00AB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290E"/>
    <w:rPr>
      <w:color w:val="0000FF" w:themeColor="hyperlink"/>
      <w:u w:val="single"/>
    </w:rPr>
  </w:style>
  <w:style w:type="character" w:styleId="FollowedHyperlink">
    <w:name w:val="FollowedHyperlink"/>
    <w:basedOn w:val="DefaultParagraphFont"/>
    <w:uiPriority w:val="99"/>
    <w:semiHidden/>
    <w:unhideWhenUsed/>
    <w:rsid w:val="002C7B9A"/>
    <w:rPr>
      <w:color w:val="800080" w:themeColor="followedHyperlink"/>
      <w:u w:val="single"/>
    </w:rPr>
  </w:style>
  <w:style w:type="paragraph" w:styleId="FootnoteText">
    <w:name w:val="footnote text"/>
    <w:basedOn w:val="Normal"/>
    <w:link w:val="FootnoteTextChar"/>
    <w:uiPriority w:val="99"/>
    <w:unhideWhenUsed/>
    <w:rsid w:val="00CE595D"/>
    <w:pPr>
      <w:spacing w:after="0" w:line="240" w:lineRule="auto"/>
    </w:pPr>
    <w:rPr>
      <w:sz w:val="20"/>
      <w:szCs w:val="20"/>
    </w:rPr>
  </w:style>
  <w:style w:type="character" w:customStyle="1" w:styleId="FootnoteTextChar">
    <w:name w:val="Footnote Text Char"/>
    <w:basedOn w:val="DefaultParagraphFont"/>
    <w:link w:val="FootnoteText"/>
    <w:uiPriority w:val="99"/>
    <w:rsid w:val="00CE595D"/>
    <w:rPr>
      <w:sz w:val="20"/>
      <w:szCs w:val="20"/>
    </w:rPr>
  </w:style>
  <w:style w:type="character" w:styleId="FootnoteReference">
    <w:name w:val="footnote reference"/>
    <w:basedOn w:val="DefaultParagraphFont"/>
    <w:uiPriority w:val="99"/>
    <w:semiHidden/>
    <w:unhideWhenUsed/>
    <w:rsid w:val="00CE595D"/>
    <w:rPr>
      <w:vertAlign w:val="superscript"/>
    </w:rPr>
  </w:style>
  <w:style w:type="paragraph" w:styleId="Header">
    <w:name w:val="header"/>
    <w:basedOn w:val="Normal"/>
    <w:link w:val="HeaderChar"/>
    <w:uiPriority w:val="99"/>
    <w:unhideWhenUsed/>
    <w:rsid w:val="006552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52BB"/>
  </w:style>
  <w:style w:type="paragraph" w:styleId="Footer">
    <w:name w:val="footer"/>
    <w:basedOn w:val="Normal"/>
    <w:link w:val="FooterChar"/>
    <w:uiPriority w:val="99"/>
    <w:unhideWhenUsed/>
    <w:rsid w:val="006552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52BB"/>
  </w:style>
  <w:style w:type="paragraph" w:customStyle="1" w:styleId="Default">
    <w:name w:val="Default"/>
    <w:rsid w:val="008277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95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h.unesco.org/fr/decisions/10.COM/10" TargetMode="External"/><Relationship Id="rId4" Type="http://schemas.openxmlformats.org/officeDocument/2006/relationships/settings" Target="settings.xml"/><Relationship Id="rId9" Type="http://schemas.openxmlformats.org/officeDocument/2006/relationships/hyperlink" Target="http://www.unesco.org/culture/ich/fr/decisions/8.COM/5.c.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doc/src/ITH-13-8.COM-INF.5.c-FR_.doc" TargetMode="External"/><Relationship Id="rId1" Type="http://schemas.openxmlformats.org/officeDocument/2006/relationships/hyperlink" Target="https://ich.unesco.org/doc/src/ITH-13-8.COM-INF.5.c-EN.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8CABF-5443-4B12-A988-1CDBC595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830</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Ashley Elizabeth</dc:creator>
  <cp:lastModifiedBy>CLT/CEH/ITH - H. Sicard</cp:lastModifiedBy>
  <cp:revision>3</cp:revision>
  <cp:lastPrinted>2017-06-16T09:06:00Z</cp:lastPrinted>
  <dcterms:created xsi:type="dcterms:W3CDTF">2017-09-06T09:19:00Z</dcterms:created>
  <dcterms:modified xsi:type="dcterms:W3CDTF">2017-09-06T10:21:00Z</dcterms:modified>
</cp:coreProperties>
</file>