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46E6" w14:textId="1E94422B" w:rsidR="00362E84" w:rsidRPr="00703091" w:rsidRDefault="00FB67EF" w:rsidP="00233445">
      <w:pPr>
        <w:pStyle w:val="Chapitre"/>
        <w:keepNext w:val="0"/>
        <w:keepLines w:val="0"/>
        <w:widowControl w:val="0"/>
        <w:spacing w:line="240" w:lineRule="auto"/>
      </w:pPr>
      <w:bookmarkStart w:id="0" w:name="_Toc154220417"/>
      <w:bookmarkStart w:id="1" w:name="_Toc302374671"/>
      <w:bookmarkStart w:id="2" w:name="_Toc241644684"/>
      <w:r>
        <w:rPr>
          <w:lang w:val="fr"/>
        </w:rPr>
        <w:t>unité 64</w:t>
      </w:r>
    </w:p>
    <w:bookmarkEnd w:id="0"/>
    <w:bookmarkEnd w:id="1"/>
    <w:bookmarkEnd w:id="2"/>
    <w:p w14:paraId="299CC0CC" w14:textId="38C4C7CA" w:rsidR="005E61A1" w:rsidRPr="005E61A1" w:rsidRDefault="00006382" w:rsidP="005E61A1">
      <w:pPr>
        <w:widowControl w:val="0"/>
        <w:tabs>
          <w:tab w:val="left" w:pos="567"/>
        </w:tabs>
        <w:snapToGrid w:val="0"/>
        <w:spacing w:after="60" w:line="320" w:lineRule="exact"/>
        <w:jc w:val="both"/>
        <w:rPr>
          <w:rFonts w:ascii="Arial" w:eastAsia="SimSun" w:hAnsi="Arial" w:cs="Arial"/>
          <w:b/>
          <w:bCs/>
          <w:iCs/>
          <w:sz w:val="32"/>
          <w:szCs w:val="32"/>
        </w:rPr>
      </w:pPr>
      <w:r>
        <w:rPr>
          <w:rFonts w:ascii="Arial" w:eastAsia="SimSun" w:hAnsi="Arial" w:cs="Arial"/>
          <w:b/>
          <w:bCs/>
          <w:sz w:val="32"/>
          <w:szCs w:val="32"/>
          <w:lang w:val="fr"/>
        </w:rPr>
        <w:t>ÉTUDE DE CAS 2 - Le Merapi, Indonésie : vivre sur un volcan</w:t>
      </w:r>
    </w:p>
    <w:p w14:paraId="17B83C8D" w14:textId="77777777" w:rsidR="005E61A1" w:rsidRDefault="005E61A1" w:rsidP="005E61A1">
      <w:pPr>
        <w:widowControl w:val="0"/>
        <w:tabs>
          <w:tab w:val="left" w:pos="567"/>
        </w:tabs>
        <w:snapToGrid w:val="0"/>
        <w:spacing w:after="60" w:line="320" w:lineRule="exact"/>
        <w:jc w:val="both"/>
        <w:rPr>
          <w:rFonts w:ascii="Arial" w:eastAsia="SimSun" w:hAnsi="Arial" w:cs="Arial"/>
          <w:sz w:val="20"/>
          <w:szCs w:val="20"/>
        </w:rPr>
      </w:pPr>
    </w:p>
    <w:p w14:paraId="60BFCAE7" w14:textId="0216D8B8" w:rsidR="00F90754" w:rsidRDefault="00F112AD" w:rsidP="005E61A1">
      <w:pPr>
        <w:widowControl w:val="0"/>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L'étude de cas n°2 porte sur la situation des habitants des pentes du Merapi, en Indonésie, dont le PCI et la culture en général se sont développés dans le contexte d'éruptions volcaniques répétées. L'étude de cas fournit aux participants un exemple des interactions complexes entre les formes locales et scientifiques de la connaissance des volcans, et les réponses des gouvernements et des communautés face aux catastrophes successives. </w:t>
      </w:r>
    </w:p>
    <w:p w14:paraId="756102C9" w14:textId="3B51B567" w:rsidR="00DC72A1" w:rsidRDefault="00DC72A1" w:rsidP="005E61A1">
      <w:pPr>
        <w:widowControl w:val="0"/>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Le Merapi, situé près de la ville de Yogyakarta sur l'île de Java, est l'un des volcans les plus actifs et les plus dangereux d'Indonésie : il entre en éruption presque continuellement, avec des événements destructeurs majeurs tous les 8 à 15 ans et des événements catastrophiques tous les 26 à 54 ans. Les archives historiques font état d'éruptions remontant au moins à 1006 de notre ère, mais l'éruption la plus importante jamais enregistrée a eu lieu en 1672 de notre ère et a fait plus de 3 000 victimes. Malgré ce passé éruptif, des communautés locales comptant plus de 50 000 personnes continuent d'habiter les pentes du volcan, profitant des sols très fertiles qui sont intéressants à la fois pour l'agriculture et l'élevage. Ces communautés se sont adaptées au fil des siècles à une culture du risque volcanique.</w:t>
      </w:r>
    </w:p>
    <w:p w14:paraId="1EE4AB11" w14:textId="7B1A3BBD" w:rsidR="0048433D" w:rsidRDefault="0048433D" w:rsidP="005E61A1">
      <w:pPr>
        <w:widowControl w:val="0"/>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Au fur et à mesure que la population locale s'accroît, les risques augmentent. Une éruption en 1994 a tué 63 personnes et détruit de nombreuses personnes et du bétail ; bien que 55 000 personnes aient été évacuées, 810 sont restées sur place. En 2006, une éruption accompagnée d'un tremblement de terre a tué 6 000 personnes et endommagé ou détruit 280 000 habitations, laissant 1 million de personnes sans abri. En 2010, une autre éruption a tué 200 personnes et laissé 100 000 sans-abri. Mais pour de nombreux habitants du Merapi, la dévotion à leur foi, l'attachement à leurs terres ancestrales et à leur mode de vie et les options limitées ou moins attrayantes ailleurs, signifient qu'ils continueront à revenir et à vivre sur les pentes du Merapi.</w:t>
      </w:r>
    </w:p>
    <w:p w14:paraId="288E713D" w14:textId="44C46A07" w:rsidR="00DC72A1" w:rsidRDefault="00DC72A1" w:rsidP="00DC72A1">
      <w:pPr>
        <w:widowControl w:val="0"/>
        <w:tabs>
          <w:tab w:val="left" w:pos="567"/>
        </w:tabs>
        <w:snapToGrid w:val="0"/>
        <w:spacing w:after="60" w:line="280" w:lineRule="exact"/>
        <w:jc w:val="both"/>
        <w:rPr>
          <w:rFonts w:ascii="Arial" w:eastAsia="SimSun" w:hAnsi="Arial" w:cs="Arial"/>
          <w:bCs/>
          <w:iCs/>
          <w:sz w:val="20"/>
          <w:szCs w:val="20"/>
        </w:rPr>
      </w:pPr>
      <w:r>
        <w:rPr>
          <w:rFonts w:ascii="Arial" w:eastAsia="SimSun" w:hAnsi="Arial" w:cs="Arial"/>
          <w:sz w:val="20"/>
          <w:szCs w:val="20"/>
          <w:lang w:val="fr"/>
        </w:rPr>
        <w:t>Le Merapi est le centre des croyances animistes, hindoues et islamiques locales, et le site du patrimoine mondial du temple bouddhiste de Borobudur. Selon les croyances locales, la fertilité de la région et la sécurité de ses habitants dépendent d'une gestion morale adéquate du volcan par les communautés locales et par le sultan de Yogyakarta. Des cérémonies rituelles sont organisées pour gérer la relation avec les esprits qui vivent à l'intérieur du volcan. Les éruptions désastreuses qui entraînent des pertes humaines et matérielles sont souvent attribuées aux manquements moraux des habitants de la région ou d'autres régions d'Indonésie.</w:t>
      </w:r>
    </w:p>
    <w:p w14:paraId="3D110D11" w14:textId="0B2A53F7" w:rsidR="00DC72A1" w:rsidRDefault="00DC72A1" w:rsidP="00DC72A1">
      <w:pPr>
        <w:widowControl w:val="0"/>
        <w:tabs>
          <w:tab w:val="left" w:pos="567"/>
        </w:tabs>
        <w:snapToGrid w:val="0"/>
        <w:spacing w:after="60" w:line="280" w:lineRule="exact"/>
        <w:jc w:val="both"/>
        <w:rPr>
          <w:rFonts w:ascii="Arial" w:eastAsia="SimSun" w:hAnsi="Arial" w:cs="Arial"/>
          <w:bCs/>
          <w:iCs/>
          <w:sz w:val="20"/>
          <w:szCs w:val="20"/>
        </w:rPr>
      </w:pPr>
      <w:r>
        <w:rPr>
          <w:rFonts w:ascii="Arial" w:eastAsia="SimSun" w:hAnsi="Arial" w:cs="Arial"/>
          <w:sz w:val="20"/>
          <w:szCs w:val="20"/>
          <w:lang w:val="fr"/>
        </w:rPr>
        <w:t xml:space="preserve">Les habitants du Merapi s'appuient sur une combinaison de signes traditionnels (animaux sauvages en fuite, orages électriques intenses, etc.) et d'alertes scientifiques en cas d'éruption imminente (voir la figure ci-dessous), mais préfèrent de loin rester dans leurs villages et sur leurs terres pour s'occuper de leur bétail, même lors des éruptions les plus fortes. Sept observatoires surveillent l'activité du volcan et émettent des alertes. Le gouvernement a désigné des zones à risque et des zones où les gens ne peuvent pas construire de maisons, mais ces restrictions ne sont pas toujours respectées. Après chaque éruption majeure, des tentatives sont faites pour déplacer les communautés locales, mais la plupart d'entre elles parviennent à retourner sur leurs terres ancestrales et à s'y installer. Le gardien local de Merapi, le très respecté Mbah Marijan, a symbolisé la résistance des habitants de Merapi à la relocalisation. Résidant sur les pentes du volcan, il a refusé de déménager après chaque éruption, mais </w:t>
      </w:r>
      <w:r>
        <w:rPr>
          <w:rFonts w:ascii="Arial" w:eastAsia="SimSun" w:hAnsi="Arial" w:cs="Arial"/>
          <w:sz w:val="20"/>
          <w:szCs w:val="20"/>
          <w:lang w:val="fr"/>
        </w:rPr>
        <w:lastRenderedPageBreak/>
        <w:t>a péri dans sa maison lors de l'éruption massive de 2010.</w:t>
      </w:r>
    </w:p>
    <w:p w14:paraId="3E38240B" w14:textId="0ACB877A" w:rsidR="00DC72A1" w:rsidRDefault="00DC72A1" w:rsidP="00DC72A1">
      <w:pPr>
        <w:widowControl w:val="0"/>
        <w:tabs>
          <w:tab w:val="left" w:pos="567"/>
        </w:tabs>
        <w:snapToGrid w:val="0"/>
        <w:spacing w:after="60" w:line="280" w:lineRule="exact"/>
        <w:jc w:val="both"/>
        <w:rPr>
          <w:rFonts w:ascii="Arial" w:eastAsia="SimSun" w:hAnsi="Arial" w:cs="Arial"/>
          <w:bCs/>
          <w:iCs/>
          <w:sz w:val="20"/>
          <w:szCs w:val="20"/>
        </w:rPr>
      </w:pPr>
    </w:p>
    <w:p w14:paraId="0B4D2047" w14:textId="16894437" w:rsidR="005E61A1" w:rsidRPr="005E61A1" w:rsidRDefault="005E61A1" w:rsidP="005E61A1">
      <w:pPr>
        <w:widowControl w:val="0"/>
        <w:tabs>
          <w:tab w:val="left" w:pos="567"/>
        </w:tabs>
        <w:snapToGrid w:val="0"/>
        <w:spacing w:after="60" w:line="280" w:lineRule="exact"/>
        <w:jc w:val="both"/>
        <w:rPr>
          <w:rFonts w:ascii="Arial" w:eastAsia="SimSun" w:hAnsi="Arial" w:cs="Arial"/>
          <w:b/>
          <w:bCs/>
          <w:iCs/>
          <w:sz w:val="20"/>
          <w:szCs w:val="20"/>
        </w:rPr>
      </w:pPr>
      <w:r>
        <w:rPr>
          <w:rFonts w:ascii="Arial" w:eastAsia="SimSun" w:hAnsi="Arial" w:cs="Arial"/>
          <w:b/>
          <w:bCs/>
          <w:sz w:val="20"/>
          <w:szCs w:val="20"/>
          <w:lang w:val="fr"/>
        </w:rPr>
        <w:t>Points à soulever par le facilitateur après avoir présenté l'étude de cas :</w:t>
      </w:r>
    </w:p>
    <w:p w14:paraId="641085CD" w14:textId="77777777" w:rsidR="00A379D2" w:rsidRDefault="00DA4686" w:rsidP="007D55D0">
      <w:pPr>
        <w:widowControl w:val="0"/>
        <w:numPr>
          <w:ilvl w:val="0"/>
          <w:numId w:val="1"/>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Le cas du Merapi illustre les défis posés à la sauvegarde du patrimoine culturel immatériel par l'évolution des conditions historiques, l'augmentation de la population entraînant une augmentation du risque de catastrophe. </w:t>
      </w:r>
    </w:p>
    <w:p w14:paraId="2D289570" w14:textId="4F2F4901" w:rsidR="007D55D0" w:rsidRPr="007D55D0" w:rsidRDefault="00A379D2" w:rsidP="007D55D0">
      <w:pPr>
        <w:widowControl w:val="0"/>
        <w:numPr>
          <w:ilvl w:val="0"/>
          <w:numId w:val="1"/>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Au Merapi, les trois « modalités » que sont les personnes, les lieux et les histoires sont gravement menacées, tant par la certitude des éruptions que par la possibilité d'une relocalisation.</w:t>
      </w:r>
    </w:p>
    <w:p w14:paraId="343FD59A" w14:textId="47F913EE" w:rsidR="005E61A1" w:rsidRPr="00CF3A3C" w:rsidRDefault="00A379D2" w:rsidP="005E61A1">
      <w:pPr>
        <w:widowControl w:val="0"/>
        <w:numPr>
          <w:ilvl w:val="0"/>
          <w:numId w:val="1"/>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Le cas du Merapi invite les participants à réfléchir à la manière dont de nombreuses cultures sont adaptées à l'éventualité d'une catastrophe et en dépendent dans une certaine mesure. </w:t>
      </w:r>
    </w:p>
    <w:p w14:paraId="2D7A8DE4" w14:textId="0234D6BC" w:rsidR="00F5479B" w:rsidRDefault="00F5479B" w:rsidP="005E61A1">
      <w:pPr>
        <w:widowControl w:val="0"/>
        <w:numPr>
          <w:ilvl w:val="0"/>
          <w:numId w:val="1"/>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Les participants ont-ils connaissance d'autres cas dans lesquels les connaissances scientifiques et locales sur les catastrophes et les réponses appropriées s'opposent ?</w:t>
      </w:r>
    </w:p>
    <w:p w14:paraId="401E923C" w14:textId="03A53BF3" w:rsidR="00F5479B" w:rsidRPr="005E61A1" w:rsidRDefault="00F5479B" w:rsidP="005E61A1">
      <w:pPr>
        <w:widowControl w:val="0"/>
        <w:numPr>
          <w:ilvl w:val="0"/>
          <w:numId w:val="1"/>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Que peut faire le gouvernement indonésien pour convaincre les habitants du Merapi que le risque de catastrophe l'emporte sur les raisons culturelles et économiques de rester sur place ?</w:t>
      </w:r>
    </w:p>
    <w:p w14:paraId="4C42A9CD" w14:textId="24CEB905" w:rsidR="00310CD0" w:rsidRPr="005E61A1" w:rsidRDefault="00310CD0" w:rsidP="005E61A1">
      <w:pPr>
        <w:widowControl w:val="0"/>
        <w:tabs>
          <w:tab w:val="left" w:pos="567"/>
        </w:tabs>
        <w:snapToGrid w:val="0"/>
        <w:spacing w:after="60" w:line="280" w:lineRule="exact"/>
        <w:jc w:val="both"/>
        <w:rPr>
          <w:rFonts w:ascii="Arial" w:eastAsia="SimSun" w:hAnsi="Arial" w:cs="Arial"/>
          <w:b/>
          <w:bCs/>
          <w:caps/>
          <w:sz w:val="20"/>
          <w:szCs w:val="20"/>
        </w:rPr>
      </w:pPr>
    </w:p>
    <w:sectPr w:rsidR="00310CD0" w:rsidRPr="005E61A1" w:rsidSect="00703091">
      <w:headerReference w:type="even" r:id="rId8"/>
      <w:headerReference w:type="default" r:id="rId9"/>
      <w:footerReference w:type="even"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3647" w14:textId="77777777" w:rsidR="00FD073D" w:rsidRDefault="00FD073D" w:rsidP="00CD20DF">
      <w:pPr>
        <w:spacing w:after="0" w:line="240" w:lineRule="auto"/>
      </w:pPr>
      <w:r>
        <w:separator/>
      </w:r>
    </w:p>
  </w:endnote>
  <w:endnote w:type="continuationSeparator" w:id="0">
    <w:p w14:paraId="31C04F19" w14:textId="77777777" w:rsidR="00FD073D" w:rsidRDefault="00FD073D" w:rsidP="00CD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D34" w14:textId="231C6FD4" w:rsidR="005F4004" w:rsidRPr="00791B56" w:rsidRDefault="005F4004" w:rsidP="00E7586E">
    <w:pPr>
      <w:pStyle w:val="Footer"/>
      <w:rPr>
        <w:rFonts w:ascii="Arial" w:hAnsi="Arial" w:cs="Arial"/>
        <w:sz w:val="16"/>
        <w:szCs w:val="16"/>
      </w:rPr>
    </w:pPr>
    <w:r>
      <w:rPr>
        <w:rFonts w:ascii="Arial" w:hAnsi="Arial" w:cs="Arial"/>
        <w:noProof/>
        <w:sz w:val="16"/>
        <w:szCs w:val="16"/>
        <w:lang w:val="fr"/>
      </w:rPr>
      <w:drawing>
        <wp:anchor distT="0" distB="0" distL="114300" distR="114300" simplePos="0" relativeHeight="251660288" behindDoc="0" locked="0" layoutInCell="1" allowOverlap="1" wp14:anchorId="495A1B86" wp14:editId="20DEB009">
          <wp:simplePos x="0" y="0"/>
          <wp:positionH relativeFrom="column">
            <wp:posOffset>2757998</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fr"/>
      </w:rPr>
      <w:drawing>
        <wp:anchor distT="0" distB="0" distL="114300" distR="114300" simplePos="0" relativeHeight="251659264" behindDoc="0" locked="0" layoutInCell="1" allowOverlap="1" wp14:anchorId="1A140045" wp14:editId="0C5B16FC">
          <wp:simplePos x="0" y="0"/>
          <wp:positionH relativeFrom="column">
            <wp:posOffset>4776721</wp:posOffset>
          </wp:positionH>
          <wp:positionV relativeFrom="paragraph">
            <wp:posOffset>-229450</wp:posOffset>
          </wp:positionV>
          <wp:extent cx="986790" cy="6051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lang w:val="fr"/>
      </w:rPr>
      <w:t>U064-v1.0-FN FR</w:t>
    </w:r>
    <w:r>
      <w:rPr>
        <w:rFonts w:ascii="Arial" w:hAnsi="Arial" w:cs="Arial"/>
        <w:sz w:val="16"/>
        <w:szCs w:val="16"/>
        <w:lang w:val="fr"/>
      </w:rPr>
      <w:tab/>
    </w:r>
    <w:r>
      <w:rPr>
        <w:rFonts w:ascii="Arial" w:hAnsi="Arial" w:cs="Arial"/>
        <w:sz w:val="16"/>
        <w:szCs w:val="16"/>
        <w:lang w:val="fr"/>
      </w:rPr>
      <w:tab/>
      <w:t>=</w:t>
    </w:r>
  </w:p>
  <w:p w14:paraId="34111954" w14:textId="77777777" w:rsidR="005F4004" w:rsidRDefault="005F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8B72" w14:textId="77777777" w:rsidR="00FD073D" w:rsidRDefault="00FD073D" w:rsidP="00CD20DF">
      <w:pPr>
        <w:spacing w:after="0" w:line="240" w:lineRule="auto"/>
      </w:pPr>
      <w:r>
        <w:separator/>
      </w:r>
    </w:p>
  </w:footnote>
  <w:footnote w:type="continuationSeparator" w:id="0">
    <w:p w14:paraId="4DB794F1" w14:textId="77777777" w:rsidR="00FD073D" w:rsidRDefault="00FD073D" w:rsidP="00CD2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3847" w14:textId="6C30E7F6" w:rsidR="005F4004" w:rsidRPr="009316D5" w:rsidRDefault="00FD073D" w:rsidP="00703091">
    <w:pPr>
      <w:pStyle w:val="Header"/>
      <w:rPr>
        <w:rFonts w:asciiTheme="minorBidi" w:hAnsiTheme="minorBidi"/>
        <w:sz w:val="16"/>
        <w:szCs w:val="16"/>
      </w:rPr>
    </w:pPr>
    <w:r>
      <w:rPr>
        <w:rStyle w:val="PageNumber"/>
        <w:rFonts w:asciiTheme="minorBidi" w:hAnsiTheme="minorBidi"/>
        <w:sz w:val="16"/>
        <w:szCs w:val="16"/>
        <w:lang w:val="fr"/>
      </w:rPr>
      <w:fldChar w:fldCharType="begin"/>
    </w:r>
    <w:r>
      <w:rPr>
        <w:rStyle w:val="PageNumber"/>
        <w:rFonts w:asciiTheme="minorBidi" w:hAnsiTheme="minorBidi"/>
        <w:sz w:val="16"/>
        <w:szCs w:val="16"/>
        <w:lang w:val="fr"/>
      </w:rPr>
      <w:instrText xml:space="preserve"> PAGE </w:instrText>
    </w:r>
    <w:r>
      <w:rPr>
        <w:rStyle w:val="PageNumber"/>
        <w:rFonts w:asciiTheme="minorBidi" w:hAnsiTheme="minorBidi"/>
        <w:sz w:val="16"/>
        <w:szCs w:val="16"/>
        <w:lang w:val="fr"/>
      </w:rPr>
      <w:fldChar w:fldCharType="separate"/>
    </w:r>
    <w:r>
      <w:rPr>
        <w:rStyle w:val="PageNumber"/>
        <w:rFonts w:asciiTheme="minorBidi" w:hAnsiTheme="minorBidi"/>
        <w:noProof/>
        <w:sz w:val="16"/>
        <w:szCs w:val="16"/>
        <w:lang w:val="fr"/>
      </w:rPr>
      <w:t>2</w:t>
    </w:r>
    <w:r>
      <w:rPr>
        <w:rStyle w:val="PageNumber"/>
        <w:rFonts w:asciiTheme="minorBidi" w:hAnsiTheme="minorBidi"/>
        <w:sz w:val="16"/>
        <w:szCs w:val="16"/>
        <w:lang w:val="fr"/>
      </w:rPr>
      <w:fldChar w:fldCharType="end"/>
    </w:r>
    <w:r>
      <w:rPr>
        <w:rStyle w:val="PageNumber"/>
        <w:rFonts w:asciiTheme="minorBidi" w:hAnsiTheme="minorBidi"/>
        <w:sz w:val="16"/>
        <w:szCs w:val="16"/>
        <w:lang w:val="fr"/>
      </w:rPr>
      <w:tab/>
    </w:r>
    <w:r>
      <w:rPr>
        <w:rFonts w:asciiTheme="minorBidi" w:hAnsiTheme="minorBidi"/>
        <w:sz w:val="16"/>
        <w:szCs w:val="16"/>
        <w:lang w:val="fr"/>
      </w:rPr>
      <w:t>U064 : Intégration du risque de catastrophe dans l'inventaire du PCI</w:t>
    </w:r>
    <w:r>
      <w:rPr>
        <w:rFonts w:asciiTheme="minorBidi" w:hAnsiTheme="minorBidi"/>
        <w:sz w:val="16"/>
        <w:szCs w:val="16"/>
        <w:lang w:val="fr"/>
      </w:rPr>
      <w:tab/>
      <w:t>Étude de cas 2</w:t>
    </w:r>
  </w:p>
  <w:p w14:paraId="083ED9FB" w14:textId="77777777" w:rsidR="005F4004" w:rsidRPr="00703091" w:rsidRDefault="005F4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8849" w14:textId="7879E1BA" w:rsidR="005F4004" w:rsidRPr="009316D5" w:rsidRDefault="005F4004" w:rsidP="00703091">
    <w:pPr>
      <w:pStyle w:val="Header"/>
      <w:rPr>
        <w:rFonts w:asciiTheme="minorBidi" w:hAnsiTheme="minorBidi"/>
        <w:sz w:val="16"/>
        <w:szCs w:val="16"/>
      </w:rPr>
    </w:pPr>
    <w:r>
      <w:rPr>
        <w:rStyle w:val="PageNumber"/>
        <w:rFonts w:asciiTheme="minorBidi" w:hAnsiTheme="minorBidi"/>
        <w:sz w:val="16"/>
        <w:szCs w:val="16"/>
        <w:lang w:val="fr"/>
      </w:rPr>
      <w:fldChar w:fldCharType="begin"/>
    </w:r>
    <w:r>
      <w:rPr>
        <w:rStyle w:val="PageNumber"/>
        <w:rFonts w:asciiTheme="minorBidi" w:hAnsiTheme="minorBidi"/>
        <w:sz w:val="16"/>
        <w:szCs w:val="16"/>
        <w:lang w:val="fr"/>
      </w:rPr>
      <w:instrText xml:space="preserve"> PAGE </w:instrText>
    </w:r>
    <w:r>
      <w:rPr>
        <w:rStyle w:val="PageNumber"/>
        <w:rFonts w:asciiTheme="minorBidi" w:hAnsiTheme="minorBidi"/>
        <w:sz w:val="16"/>
        <w:szCs w:val="16"/>
        <w:lang w:val="fr"/>
      </w:rPr>
      <w:fldChar w:fldCharType="separate"/>
    </w:r>
    <w:r>
      <w:rPr>
        <w:rStyle w:val="PageNumber"/>
        <w:rFonts w:asciiTheme="minorBidi" w:hAnsiTheme="minorBidi"/>
        <w:noProof/>
        <w:sz w:val="16"/>
        <w:szCs w:val="16"/>
        <w:lang w:val="fr"/>
      </w:rPr>
      <w:t>3</w:t>
    </w:r>
    <w:r>
      <w:rPr>
        <w:rStyle w:val="PageNumber"/>
        <w:rFonts w:asciiTheme="minorBidi" w:hAnsiTheme="minorBidi"/>
        <w:sz w:val="16"/>
        <w:szCs w:val="16"/>
        <w:lang w:val="fr"/>
      </w:rPr>
      <w:fldChar w:fldCharType="end"/>
    </w:r>
    <w:r>
      <w:rPr>
        <w:rStyle w:val="PageNumber"/>
        <w:rFonts w:asciiTheme="minorBidi" w:hAnsiTheme="minorBidi"/>
        <w:sz w:val="16"/>
        <w:szCs w:val="16"/>
        <w:lang w:val="fr"/>
      </w:rPr>
      <w:tab/>
    </w:r>
    <w:r>
      <w:rPr>
        <w:rFonts w:asciiTheme="minorBidi" w:hAnsiTheme="minorBidi"/>
        <w:sz w:val="16"/>
        <w:szCs w:val="16"/>
        <w:lang w:val="fr"/>
      </w:rPr>
      <w:t>U064 : Principes de base de la réduction des risques de catastrophes et PCI</w:t>
    </w:r>
    <w:r>
      <w:rPr>
        <w:rFonts w:asciiTheme="minorBidi" w:hAnsiTheme="minorBidi"/>
        <w:sz w:val="16"/>
        <w:szCs w:val="16"/>
        <w:lang w:val="fr"/>
      </w:rPr>
      <w:tab/>
      <w:t>Notes du facilitateur</w:t>
    </w:r>
  </w:p>
  <w:p w14:paraId="390948F8" w14:textId="62C4D756" w:rsidR="005F4004" w:rsidRPr="00703091" w:rsidRDefault="00870B22">
    <w:pPr>
      <w:pStyle w:val="Header"/>
    </w:pPr>
    <w:r>
      <w:rPr>
        <w:noProof/>
        <w:lang w:val="fr"/>
      </w:rPr>
      <w:pict w14:anchorId="3485E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7.2pt;height:159.05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VANT-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70AB" w14:textId="0DF0DBE7" w:rsidR="005F4004" w:rsidRPr="00703091" w:rsidRDefault="00FD073D" w:rsidP="00703091">
    <w:pPr>
      <w:pStyle w:val="Header"/>
      <w:jc w:val="right"/>
      <w:rPr>
        <w:rFonts w:asciiTheme="minorBidi" w:hAnsiTheme="minorBidi"/>
        <w:sz w:val="16"/>
        <w:szCs w:val="16"/>
      </w:rPr>
    </w:pPr>
    <w:r>
      <w:rPr>
        <w:rFonts w:asciiTheme="minorBidi" w:hAnsiTheme="minorBidi"/>
        <w:sz w:val="16"/>
        <w:szCs w:val="16"/>
        <w:lang w:val="fr"/>
      </w:rPr>
      <w:t>Étude de cas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num w:numId="1" w16cid:durableId="1379092485">
    <w:abstractNumId w:val="0"/>
  </w:num>
  <w:num w:numId="2" w16cid:durableId="19866816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defaultTabStop w:val="720"/>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3D"/>
    <w:rsid w:val="00004C48"/>
    <w:rsid w:val="00004CCD"/>
    <w:rsid w:val="00006382"/>
    <w:rsid w:val="00011B0C"/>
    <w:rsid w:val="00013A5D"/>
    <w:rsid w:val="00013D67"/>
    <w:rsid w:val="00016BF0"/>
    <w:rsid w:val="00020F7D"/>
    <w:rsid w:val="00021C76"/>
    <w:rsid w:val="00022914"/>
    <w:rsid w:val="00026018"/>
    <w:rsid w:val="00033FA5"/>
    <w:rsid w:val="00035E0C"/>
    <w:rsid w:val="0004531D"/>
    <w:rsid w:val="000454AC"/>
    <w:rsid w:val="00046949"/>
    <w:rsid w:val="0005133D"/>
    <w:rsid w:val="000535A6"/>
    <w:rsid w:val="00054539"/>
    <w:rsid w:val="000618FE"/>
    <w:rsid w:val="00063016"/>
    <w:rsid w:val="000670A1"/>
    <w:rsid w:val="000719FC"/>
    <w:rsid w:val="000726E5"/>
    <w:rsid w:val="00080EB8"/>
    <w:rsid w:val="00081BAB"/>
    <w:rsid w:val="00093CAE"/>
    <w:rsid w:val="00096224"/>
    <w:rsid w:val="000A7FB8"/>
    <w:rsid w:val="000B7B13"/>
    <w:rsid w:val="000C6C6B"/>
    <w:rsid w:val="000D465F"/>
    <w:rsid w:val="000D6333"/>
    <w:rsid w:val="001071DB"/>
    <w:rsid w:val="00120AF7"/>
    <w:rsid w:val="00123806"/>
    <w:rsid w:val="0012722B"/>
    <w:rsid w:val="00133BCB"/>
    <w:rsid w:val="0013411B"/>
    <w:rsid w:val="00140792"/>
    <w:rsid w:val="00142305"/>
    <w:rsid w:val="00143DCE"/>
    <w:rsid w:val="00150672"/>
    <w:rsid w:val="00155571"/>
    <w:rsid w:val="00160902"/>
    <w:rsid w:val="001625F6"/>
    <w:rsid w:val="00181322"/>
    <w:rsid w:val="00182AF4"/>
    <w:rsid w:val="0019115A"/>
    <w:rsid w:val="00193005"/>
    <w:rsid w:val="001A0189"/>
    <w:rsid w:val="001A0C98"/>
    <w:rsid w:val="001B23FC"/>
    <w:rsid w:val="001B741D"/>
    <w:rsid w:val="001C46C9"/>
    <w:rsid w:val="001C52C8"/>
    <w:rsid w:val="001F091E"/>
    <w:rsid w:val="001F671B"/>
    <w:rsid w:val="00201136"/>
    <w:rsid w:val="0020746A"/>
    <w:rsid w:val="002126BC"/>
    <w:rsid w:val="00233445"/>
    <w:rsid w:val="00244722"/>
    <w:rsid w:val="00264B1C"/>
    <w:rsid w:val="00271D74"/>
    <w:rsid w:val="00281F4B"/>
    <w:rsid w:val="00287D7F"/>
    <w:rsid w:val="002A0D83"/>
    <w:rsid w:val="002C04B0"/>
    <w:rsid w:val="002C150F"/>
    <w:rsid w:val="002C6022"/>
    <w:rsid w:val="002D293A"/>
    <w:rsid w:val="002D466E"/>
    <w:rsid w:val="002D7D87"/>
    <w:rsid w:val="002E50F7"/>
    <w:rsid w:val="002F3F80"/>
    <w:rsid w:val="00301A22"/>
    <w:rsid w:val="00302AF5"/>
    <w:rsid w:val="00303D25"/>
    <w:rsid w:val="00310CD0"/>
    <w:rsid w:val="00310D26"/>
    <w:rsid w:val="003136F7"/>
    <w:rsid w:val="003218E2"/>
    <w:rsid w:val="003240A8"/>
    <w:rsid w:val="003318D0"/>
    <w:rsid w:val="003458FA"/>
    <w:rsid w:val="00347478"/>
    <w:rsid w:val="00353ED1"/>
    <w:rsid w:val="00362E84"/>
    <w:rsid w:val="00365104"/>
    <w:rsid w:val="003661A9"/>
    <w:rsid w:val="003746A0"/>
    <w:rsid w:val="00384258"/>
    <w:rsid w:val="00390297"/>
    <w:rsid w:val="0039637C"/>
    <w:rsid w:val="003A5E29"/>
    <w:rsid w:val="003B084C"/>
    <w:rsid w:val="003B1093"/>
    <w:rsid w:val="003C1B62"/>
    <w:rsid w:val="003E5E6B"/>
    <w:rsid w:val="003E71FC"/>
    <w:rsid w:val="003F64C7"/>
    <w:rsid w:val="004126E8"/>
    <w:rsid w:val="00416E87"/>
    <w:rsid w:val="00425236"/>
    <w:rsid w:val="00434C4F"/>
    <w:rsid w:val="0044319E"/>
    <w:rsid w:val="00443818"/>
    <w:rsid w:val="00453FDD"/>
    <w:rsid w:val="004576C6"/>
    <w:rsid w:val="00463C5E"/>
    <w:rsid w:val="00466A82"/>
    <w:rsid w:val="00471E7D"/>
    <w:rsid w:val="00473455"/>
    <w:rsid w:val="0047466C"/>
    <w:rsid w:val="004758D3"/>
    <w:rsid w:val="00480B8C"/>
    <w:rsid w:val="00480FB1"/>
    <w:rsid w:val="004825DC"/>
    <w:rsid w:val="0048433D"/>
    <w:rsid w:val="00492DEB"/>
    <w:rsid w:val="004B3550"/>
    <w:rsid w:val="004B6447"/>
    <w:rsid w:val="004B75CA"/>
    <w:rsid w:val="004C610A"/>
    <w:rsid w:val="004E5E45"/>
    <w:rsid w:val="00506258"/>
    <w:rsid w:val="005224F6"/>
    <w:rsid w:val="00523F4D"/>
    <w:rsid w:val="00525FE0"/>
    <w:rsid w:val="0054040F"/>
    <w:rsid w:val="00551744"/>
    <w:rsid w:val="00554170"/>
    <w:rsid w:val="005542C4"/>
    <w:rsid w:val="00554311"/>
    <w:rsid w:val="00554F71"/>
    <w:rsid w:val="005634C0"/>
    <w:rsid w:val="00586220"/>
    <w:rsid w:val="00586F77"/>
    <w:rsid w:val="005A0D13"/>
    <w:rsid w:val="005A7774"/>
    <w:rsid w:val="005D1F9C"/>
    <w:rsid w:val="005E1137"/>
    <w:rsid w:val="005E463C"/>
    <w:rsid w:val="005E61A1"/>
    <w:rsid w:val="005F199A"/>
    <w:rsid w:val="005F4004"/>
    <w:rsid w:val="006027C6"/>
    <w:rsid w:val="00604FAF"/>
    <w:rsid w:val="00611E20"/>
    <w:rsid w:val="0061300A"/>
    <w:rsid w:val="00615E04"/>
    <w:rsid w:val="00615F29"/>
    <w:rsid w:val="00617F8B"/>
    <w:rsid w:val="006223D2"/>
    <w:rsid w:val="00627136"/>
    <w:rsid w:val="006305D7"/>
    <w:rsid w:val="00633308"/>
    <w:rsid w:val="00637983"/>
    <w:rsid w:val="00645D54"/>
    <w:rsid w:val="00647C7B"/>
    <w:rsid w:val="006662D3"/>
    <w:rsid w:val="006771F6"/>
    <w:rsid w:val="006824DC"/>
    <w:rsid w:val="006826B0"/>
    <w:rsid w:val="006868AD"/>
    <w:rsid w:val="00694947"/>
    <w:rsid w:val="006953E6"/>
    <w:rsid w:val="006A4425"/>
    <w:rsid w:val="006A5E4F"/>
    <w:rsid w:val="006C3094"/>
    <w:rsid w:val="006C632F"/>
    <w:rsid w:val="006D0E98"/>
    <w:rsid w:val="006D1832"/>
    <w:rsid w:val="006D4FAF"/>
    <w:rsid w:val="006E070D"/>
    <w:rsid w:val="006E0C66"/>
    <w:rsid w:val="006F6279"/>
    <w:rsid w:val="00701371"/>
    <w:rsid w:val="00703091"/>
    <w:rsid w:val="0070508B"/>
    <w:rsid w:val="007063B0"/>
    <w:rsid w:val="00707EFF"/>
    <w:rsid w:val="00711EC5"/>
    <w:rsid w:val="00724839"/>
    <w:rsid w:val="00734E70"/>
    <w:rsid w:val="00741227"/>
    <w:rsid w:val="00742112"/>
    <w:rsid w:val="0075004F"/>
    <w:rsid w:val="007509FF"/>
    <w:rsid w:val="00751844"/>
    <w:rsid w:val="0075218E"/>
    <w:rsid w:val="00757161"/>
    <w:rsid w:val="007577E7"/>
    <w:rsid w:val="00761C1D"/>
    <w:rsid w:val="00762A52"/>
    <w:rsid w:val="007641E6"/>
    <w:rsid w:val="00766414"/>
    <w:rsid w:val="00772E4B"/>
    <w:rsid w:val="00781B3A"/>
    <w:rsid w:val="007927E4"/>
    <w:rsid w:val="007951D5"/>
    <w:rsid w:val="00796622"/>
    <w:rsid w:val="007B57A4"/>
    <w:rsid w:val="007B5852"/>
    <w:rsid w:val="007C1122"/>
    <w:rsid w:val="007C7522"/>
    <w:rsid w:val="007D0351"/>
    <w:rsid w:val="007D0B22"/>
    <w:rsid w:val="007D3C88"/>
    <w:rsid w:val="007D55D0"/>
    <w:rsid w:val="007E32E1"/>
    <w:rsid w:val="007E3457"/>
    <w:rsid w:val="007E3CF2"/>
    <w:rsid w:val="007F0868"/>
    <w:rsid w:val="007F0979"/>
    <w:rsid w:val="007F3CB0"/>
    <w:rsid w:val="008144AC"/>
    <w:rsid w:val="00816CE1"/>
    <w:rsid w:val="00824C80"/>
    <w:rsid w:val="00831D00"/>
    <w:rsid w:val="0085038A"/>
    <w:rsid w:val="0086041C"/>
    <w:rsid w:val="0086475E"/>
    <w:rsid w:val="00870B22"/>
    <w:rsid w:val="00871B69"/>
    <w:rsid w:val="008825D4"/>
    <w:rsid w:val="00884380"/>
    <w:rsid w:val="0088510F"/>
    <w:rsid w:val="00893501"/>
    <w:rsid w:val="00894E94"/>
    <w:rsid w:val="00897EC4"/>
    <w:rsid w:val="008B0468"/>
    <w:rsid w:val="008B30E8"/>
    <w:rsid w:val="008B3525"/>
    <w:rsid w:val="008C0963"/>
    <w:rsid w:val="008C14A2"/>
    <w:rsid w:val="008C4F7A"/>
    <w:rsid w:val="008D2D2D"/>
    <w:rsid w:val="008D3A0A"/>
    <w:rsid w:val="008F4A0B"/>
    <w:rsid w:val="008F6C25"/>
    <w:rsid w:val="008F7282"/>
    <w:rsid w:val="00910FAA"/>
    <w:rsid w:val="0091432E"/>
    <w:rsid w:val="00914F58"/>
    <w:rsid w:val="00915458"/>
    <w:rsid w:val="00932DEB"/>
    <w:rsid w:val="00952CBF"/>
    <w:rsid w:val="00957144"/>
    <w:rsid w:val="00971B76"/>
    <w:rsid w:val="0097291F"/>
    <w:rsid w:val="00981570"/>
    <w:rsid w:val="0098389A"/>
    <w:rsid w:val="00987CD0"/>
    <w:rsid w:val="00993523"/>
    <w:rsid w:val="009B2FEC"/>
    <w:rsid w:val="009B3FA2"/>
    <w:rsid w:val="009C1EF8"/>
    <w:rsid w:val="009C3589"/>
    <w:rsid w:val="009C773F"/>
    <w:rsid w:val="009D2C0F"/>
    <w:rsid w:val="009E5F15"/>
    <w:rsid w:val="009E7E11"/>
    <w:rsid w:val="009F3387"/>
    <w:rsid w:val="009F44CF"/>
    <w:rsid w:val="00A064D8"/>
    <w:rsid w:val="00A1037E"/>
    <w:rsid w:val="00A1798E"/>
    <w:rsid w:val="00A202AB"/>
    <w:rsid w:val="00A21D93"/>
    <w:rsid w:val="00A24C64"/>
    <w:rsid w:val="00A379D2"/>
    <w:rsid w:val="00A54796"/>
    <w:rsid w:val="00A5787F"/>
    <w:rsid w:val="00A814BC"/>
    <w:rsid w:val="00A83A85"/>
    <w:rsid w:val="00A920EF"/>
    <w:rsid w:val="00A96FE9"/>
    <w:rsid w:val="00A9785C"/>
    <w:rsid w:val="00AA0977"/>
    <w:rsid w:val="00AA6DDD"/>
    <w:rsid w:val="00AB0D16"/>
    <w:rsid w:val="00AB30EF"/>
    <w:rsid w:val="00AC175F"/>
    <w:rsid w:val="00AC5B14"/>
    <w:rsid w:val="00AD35C8"/>
    <w:rsid w:val="00AE4C60"/>
    <w:rsid w:val="00AF344A"/>
    <w:rsid w:val="00B1031F"/>
    <w:rsid w:val="00B21766"/>
    <w:rsid w:val="00B27A0C"/>
    <w:rsid w:val="00B30D97"/>
    <w:rsid w:val="00B37841"/>
    <w:rsid w:val="00B4112D"/>
    <w:rsid w:val="00B41A01"/>
    <w:rsid w:val="00B52E1A"/>
    <w:rsid w:val="00B620BC"/>
    <w:rsid w:val="00B6515C"/>
    <w:rsid w:val="00B8202A"/>
    <w:rsid w:val="00B82D27"/>
    <w:rsid w:val="00B84DFA"/>
    <w:rsid w:val="00B85B71"/>
    <w:rsid w:val="00B8702C"/>
    <w:rsid w:val="00B91593"/>
    <w:rsid w:val="00B91BEB"/>
    <w:rsid w:val="00B94930"/>
    <w:rsid w:val="00B9699D"/>
    <w:rsid w:val="00BB122C"/>
    <w:rsid w:val="00BB2204"/>
    <w:rsid w:val="00BB4BA7"/>
    <w:rsid w:val="00BB6F16"/>
    <w:rsid w:val="00BE69F6"/>
    <w:rsid w:val="00C00543"/>
    <w:rsid w:val="00C05C6C"/>
    <w:rsid w:val="00C07EF0"/>
    <w:rsid w:val="00C25EBC"/>
    <w:rsid w:val="00C4137A"/>
    <w:rsid w:val="00C41A39"/>
    <w:rsid w:val="00C53022"/>
    <w:rsid w:val="00C54316"/>
    <w:rsid w:val="00C544D6"/>
    <w:rsid w:val="00C61E37"/>
    <w:rsid w:val="00C666DF"/>
    <w:rsid w:val="00C956CA"/>
    <w:rsid w:val="00CC4951"/>
    <w:rsid w:val="00CC510D"/>
    <w:rsid w:val="00CD1DC3"/>
    <w:rsid w:val="00CD20DF"/>
    <w:rsid w:val="00CD7D0D"/>
    <w:rsid w:val="00CE6BD4"/>
    <w:rsid w:val="00CE7494"/>
    <w:rsid w:val="00CF216E"/>
    <w:rsid w:val="00CF3A3C"/>
    <w:rsid w:val="00CF6128"/>
    <w:rsid w:val="00CF7082"/>
    <w:rsid w:val="00D044A4"/>
    <w:rsid w:val="00D05BF5"/>
    <w:rsid w:val="00D07F9A"/>
    <w:rsid w:val="00D14C09"/>
    <w:rsid w:val="00D256C3"/>
    <w:rsid w:val="00D27B0B"/>
    <w:rsid w:val="00D30715"/>
    <w:rsid w:val="00D321F5"/>
    <w:rsid w:val="00D37FAD"/>
    <w:rsid w:val="00D42AD8"/>
    <w:rsid w:val="00D578BA"/>
    <w:rsid w:val="00D60AAD"/>
    <w:rsid w:val="00D61792"/>
    <w:rsid w:val="00D62F9F"/>
    <w:rsid w:val="00D76512"/>
    <w:rsid w:val="00D93362"/>
    <w:rsid w:val="00DA3FFD"/>
    <w:rsid w:val="00DA4686"/>
    <w:rsid w:val="00DC2EA7"/>
    <w:rsid w:val="00DC6A51"/>
    <w:rsid w:val="00DC72A1"/>
    <w:rsid w:val="00DD0D87"/>
    <w:rsid w:val="00DD196A"/>
    <w:rsid w:val="00DD2616"/>
    <w:rsid w:val="00DD2838"/>
    <w:rsid w:val="00DE02E7"/>
    <w:rsid w:val="00DE6D63"/>
    <w:rsid w:val="00E000D1"/>
    <w:rsid w:val="00E0054B"/>
    <w:rsid w:val="00E12A27"/>
    <w:rsid w:val="00E13BFF"/>
    <w:rsid w:val="00E153DA"/>
    <w:rsid w:val="00E21D75"/>
    <w:rsid w:val="00E31D97"/>
    <w:rsid w:val="00E51ACD"/>
    <w:rsid w:val="00E64753"/>
    <w:rsid w:val="00E64AF6"/>
    <w:rsid w:val="00E7586E"/>
    <w:rsid w:val="00E81708"/>
    <w:rsid w:val="00E83CB1"/>
    <w:rsid w:val="00E84975"/>
    <w:rsid w:val="00E87803"/>
    <w:rsid w:val="00E90378"/>
    <w:rsid w:val="00E97D83"/>
    <w:rsid w:val="00EA0654"/>
    <w:rsid w:val="00EB15E0"/>
    <w:rsid w:val="00EB3548"/>
    <w:rsid w:val="00EB4974"/>
    <w:rsid w:val="00EC4EDC"/>
    <w:rsid w:val="00EC7CD8"/>
    <w:rsid w:val="00ED08A5"/>
    <w:rsid w:val="00EE79E5"/>
    <w:rsid w:val="00EF4193"/>
    <w:rsid w:val="00F07123"/>
    <w:rsid w:val="00F112AD"/>
    <w:rsid w:val="00F279B5"/>
    <w:rsid w:val="00F317B1"/>
    <w:rsid w:val="00F414E7"/>
    <w:rsid w:val="00F4219C"/>
    <w:rsid w:val="00F5145E"/>
    <w:rsid w:val="00F5479B"/>
    <w:rsid w:val="00F56B0F"/>
    <w:rsid w:val="00F6491D"/>
    <w:rsid w:val="00F674B9"/>
    <w:rsid w:val="00F71821"/>
    <w:rsid w:val="00F840E2"/>
    <w:rsid w:val="00F90744"/>
    <w:rsid w:val="00F90754"/>
    <w:rsid w:val="00FA0107"/>
    <w:rsid w:val="00FA149E"/>
    <w:rsid w:val="00FA58FA"/>
    <w:rsid w:val="00FA7B06"/>
    <w:rsid w:val="00FB67EF"/>
    <w:rsid w:val="00FB6866"/>
    <w:rsid w:val="00FC02CE"/>
    <w:rsid w:val="00FC05AD"/>
    <w:rsid w:val="00FC0CA6"/>
    <w:rsid w:val="00FC1AE7"/>
    <w:rsid w:val="00FC5AD8"/>
    <w:rsid w:val="00FD073D"/>
    <w:rsid w:val="00FE0DB0"/>
    <w:rsid w:val="00FF3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CE099E"/>
  <w15:docId w15:val="{69132F3F-5885-488F-8A9E-9EFF1A9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07EF0"/>
    <w:pPr>
      <w:keepNext/>
      <w:keepLines/>
      <w:spacing w:before="360" w:after="120" w:line="300" w:lineRule="exact"/>
      <w:outlineLvl w:val="3"/>
    </w:pPr>
    <w:rPr>
      <w:rFonts w:ascii="Arial" w:eastAsia="SimSun" w:hAnsi="Arial" w:cs="Times New Roman"/>
      <w:b/>
      <w:bCs/>
      <w:caps/>
      <w:sz w:val="20"/>
      <w:szCs w:val="24"/>
      <w:lang w:val="it-IT" w:eastAsia="en-US"/>
    </w:rPr>
  </w:style>
  <w:style w:type="paragraph" w:styleId="Heading6">
    <w:name w:val="heading 6"/>
    <w:basedOn w:val="Normal"/>
    <w:next w:val="Normal"/>
    <w:link w:val="Heading6Char"/>
    <w:rsid w:val="00894E94"/>
    <w:pPr>
      <w:keepNext/>
      <w:keepLines/>
      <w:spacing w:before="480" w:after="60" w:line="300" w:lineRule="exact"/>
      <w:outlineLvl w:val="5"/>
    </w:pPr>
    <w:rPr>
      <w:rFonts w:ascii="Arial" w:eastAsia="SimSun" w:hAnsi="Arial" w:cs="Times New Roman"/>
      <w:b/>
      <w:bCs/>
      <w:caps/>
      <w:color w:val="00800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uce">
    <w:name w:val="Upuce"/>
    <w:basedOn w:val="UTxt"/>
    <w:rsid w:val="002C6022"/>
    <w:pPr>
      <w:widowControl w:val="0"/>
      <w:numPr>
        <w:numId w:val="1"/>
      </w:numPr>
      <w:tabs>
        <w:tab w:val="num" w:pos="360"/>
      </w:tabs>
      <w:ind w:left="340" w:hanging="227"/>
    </w:pPr>
  </w:style>
  <w:style w:type="paragraph" w:customStyle="1" w:styleId="UTxt">
    <w:name w:val="UTxt"/>
    <w:basedOn w:val="Normal"/>
    <w:link w:val="UTxtCar"/>
    <w:rsid w:val="00FB67EF"/>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FB67EF"/>
    <w:rPr>
      <w:rFonts w:ascii="Arial" w:eastAsia="SimSun" w:hAnsi="Arial" w:cs="Arial"/>
      <w:sz w:val="20"/>
      <w:szCs w:val="24"/>
      <w:lang w:eastAsia="zh-CN"/>
    </w:rPr>
  </w:style>
  <w:style w:type="paragraph" w:customStyle="1" w:styleId="Titcoul">
    <w:name w:val="Titcoul"/>
    <w:basedOn w:val="Heading1"/>
    <w:link w:val="TitcoulCar"/>
    <w:rsid w:val="0005133D"/>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05133D"/>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0513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05133D"/>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05133D"/>
    <w:pPr>
      <w:spacing w:after="0"/>
    </w:pPr>
    <w:rPr>
      <w:sz w:val="48"/>
      <w:szCs w:val="48"/>
    </w:rPr>
  </w:style>
  <w:style w:type="character" w:customStyle="1" w:styleId="UPlanCar">
    <w:name w:val="UPlan Car"/>
    <w:basedOn w:val="TitcoulCar"/>
    <w:link w:val="UPlan"/>
    <w:rsid w:val="0005133D"/>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0513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B71"/>
    <w:pPr>
      <w:ind w:left="720"/>
      <w:contextualSpacing/>
    </w:pPr>
  </w:style>
  <w:style w:type="paragraph" w:styleId="FootnoteText">
    <w:name w:val="footnote text"/>
    <w:basedOn w:val="Normal"/>
    <w:link w:val="FootnoteTextChar"/>
    <w:unhideWhenUsed/>
    <w:rsid w:val="002C6022"/>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2C6022"/>
    <w:rPr>
      <w:rFonts w:ascii="Arial" w:eastAsia="SimSun" w:hAnsi="Arial" w:cs="Arial"/>
      <w:snapToGrid w:val="0"/>
      <w:sz w:val="16"/>
      <w:szCs w:val="20"/>
      <w:lang w:val="en-US" w:eastAsia="zh-CN"/>
    </w:rPr>
  </w:style>
  <w:style w:type="paragraph" w:customStyle="1" w:styleId="Default">
    <w:name w:val="Default"/>
    <w:rsid w:val="00B85B7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shortdesc1">
    <w:name w:val="short_desc1"/>
    <w:basedOn w:val="DefaultParagraphFont"/>
    <w:rsid w:val="00B85B71"/>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B85B71"/>
    <w:rPr>
      <w:rFonts w:ascii="Verdana" w:hAnsi="Verdana" w:hint="default"/>
      <w:strike w:val="0"/>
      <w:dstrike w:val="0"/>
      <w:color w:val="000000"/>
      <w:sz w:val="15"/>
      <w:szCs w:val="15"/>
      <w:u w:val="none"/>
      <w:effect w:val="none"/>
    </w:rPr>
  </w:style>
  <w:style w:type="paragraph" w:styleId="CommentText">
    <w:name w:val="annotation text"/>
    <w:basedOn w:val="Normal"/>
    <w:link w:val="CommentTextChar"/>
    <w:uiPriority w:val="99"/>
    <w:unhideWhenUsed/>
    <w:rsid w:val="000719F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0719FC"/>
    <w:rPr>
      <w:rFonts w:ascii="Calibri" w:eastAsia="MS Mincho" w:hAnsi="Calibri" w:cs="Times New Roman"/>
      <w:sz w:val="24"/>
      <w:szCs w:val="24"/>
    </w:rPr>
  </w:style>
  <w:style w:type="character" w:styleId="Strong">
    <w:name w:val="Strong"/>
    <w:uiPriority w:val="22"/>
    <w:qFormat/>
    <w:rsid w:val="00362E84"/>
    <w:rPr>
      <w:b/>
      <w:color w:val="C0504D"/>
    </w:rPr>
  </w:style>
  <w:style w:type="character" w:styleId="Hyperlink">
    <w:name w:val="Hyperlink"/>
    <w:unhideWhenUsed/>
    <w:rsid w:val="00362E84"/>
    <w:rPr>
      <w:color w:val="0000FF"/>
      <w:u w:val="single"/>
    </w:rPr>
  </w:style>
  <w:style w:type="character" w:customStyle="1" w:styleId="hps">
    <w:name w:val="hps"/>
    <w:rsid w:val="00362E84"/>
  </w:style>
  <w:style w:type="paragraph" w:customStyle="1" w:styleId="UTit4">
    <w:name w:val="UTit4"/>
    <w:basedOn w:val="Heading4"/>
    <w:link w:val="UTit4Car"/>
    <w:rsid w:val="00FC5AD8"/>
    <w:pPr>
      <w:pBdr>
        <w:top w:val="single" w:sz="12" w:space="6" w:color="auto" w:shadow="1"/>
        <w:left w:val="single" w:sz="12" w:space="4" w:color="auto" w:shadow="1"/>
        <w:bottom w:val="single" w:sz="12" w:space="6" w:color="auto" w:shadow="1"/>
        <w:right w:val="single" w:sz="12" w:space="4" w:color="auto" w:shadow="1"/>
      </w:pBdr>
      <w:ind w:left="113" w:right="113"/>
    </w:pPr>
    <w:rPr>
      <w:szCs w:val="20"/>
    </w:rPr>
  </w:style>
  <w:style w:type="character" w:customStyle="1" w:styleId="UTit4Car">
    <w:name w:val="UTit4 Car"/>
    <w:basedOn w:val="Heading4Char"/>
    <w:link w:val="UTit4"/>
    <w:rsid w:val="00FC5AD8"/>
    <w:rPr>
      <w:rFonts w:ascii="Arial" w:eastAsia="SimSun" w:hAnsi="Arial" w:cs="Times New Roman"/>
      <w:b/>
      <w:bCs/>
      <w:caps/>
      <w:sz w:val="20"/>
      <w:szCs w:val="20"/>
      <w:lang w:val="it-IT" w:eastAsia="en-US"/>
    </w:rPr>
  </w:style>
  <w:style w:type="paragraph" w:customStyle="1" w:styleId="Texte1">
    <w:name w:val="Texte1"/>
    <w:basedOn w:val="Normal"/>
    <w:link w:val="Texte1Car"/>
    <w:rsid w:val="00362E84"/>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362E84"/>
    <w:rPr>
      <w:rFonts w:ascii="Arial" w:eastAsia="SimSun" w:hAnsi="Arial" w:cs="Arial"/>
      <w:sz w:val="20"/>
      <w:szCs w:val="24"/>
      <w:lang w:val="fr-FR" w:eastAsia="zh-CN"/>
    </w:rPr>
  </w:style>
  <w:style w:type="paragraph" w:customStyle="1" w:styleId="Txtpucegras">
    <w:name w:val="Txtpucegras"/>
    <w:basedOn w:val="Texte1"/>
    <w:rsid w:val="0061300A"/>
    <w:pPr>
      <w:numPr>
        <w:numId w:val="2"/>
      </w:numPr>
      <w:tabs>
        <w:tab w:val="clear" w:pos="851"/>
        <w:tab w:val="num" w:pos="360"/>
      </w:tabs>
      <w:ind w:left="1021" w:hanging="170"/>
    </w:pPr>
  </w:style>
  <w:style w:type="paragraph" w:customStyle="1" w:styleId="Soustitre">
    <w:name w:val="Soustitre"/>
    <w:basedOn w:val="Normal"/>
    <w:link w:val="SoustitreCar"/>
    <w:qFormat/>
    <w:rsid w:val="00362E84"/>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362E84"/>
    <w:rPr>
      <w:rFonts w:ascii="Arial" w:eastAsia="SimSun" w:hAnsi="Arial" w:cs="Arial"/>
      <w:b/>
      <w:bCs/>
      <w:i/>
      <w:noProof/>
      <w:sz w:val="20"/>
      <w:szCs w:val="20"/>
      <w:lang w:val="fr-FR"/>
    </w:rPr>
  </w:style>
  <w:style w:type="character" w:customStyle="1" w:styleId="Heading4Char">
    <w:name w:val="Heading 4 Char"/>
    <w:link w:val="Heading4"/>
    <w:rsid w:val="00C07EF0"/>
    <w:rPr>
      <w:rFonts w:ascii="Arial" w:eastAsia="SimSun" w:hAnsi="Arial" w:cs="Times New Roman"/>
      <w:b/>
      <w:bCs/>
      <w:caps/>
      <w:sz w:val="20"/>
      <w:szCs w:val="24"/>
      <w:lang w:val="it-IT" w:eastAsia="en-US"/>
    </w:rPr>
  </w:style>
  <w:style w:type="paragraph" w:styleId="Subtitle">
    <w:name w:val="Subtitle"/>
    <w:basedOn w:val="Normal"/>
    <w:next w:val="Normal"/>
    <w:link w:val="SubtitleChar"/>
    <w:uiPriority w:val="11"/>
    <w:qFormat/>
    <w:rsid w:val="00CF7082"/>
    <w:pPr>
      <w:numPr>
        <w:ilvl w:val="1"/>
      </w:numPr>
      <w:tabs>
        <w:tab w:val="left" w:pos="567"/>
      </w:tabs>
      <w:snapToGrid w:val="0"/>
      <w:spacing w:before="120" w:after="12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CF7082"/>
    <w:rPr>
      <w:rFonts w:ascii="Cambria" w:eastAsia="Times New Roman" w:hAnsi="Cambria" w:cs="Times New Roman"/>
      <w:i/>
      <w:iCs/>
      <w:color w:val="4F81BD"/>
      <w:spacing w:val="15"/>
      <w:sz w:val="24"/>
      <w:szCs w:val="24"/>
    </w:rPr>
  </w:style>
  <w:style w:type="paragraph" w:customStyle="1" w:styleId="Txtjourne">
    <w:name w:val="Txtjournée"/>
    <w:basedOn w:val="Texte1"/>
    <w:rsid w:val="00384258"/>
    <w:pPr>
      <w:spacing w:before="60"/>
      <w:ind w:left="113"/>
      <w:jc w:val="left"/>
    </w:pPr>
  </w:style>
  <w:style w:type="paragraph" w:customStyle="1" w:styleId="Tetierejourne">
    <w:name w:val="Tetiere journée"/>
    <w:basedOn w:val="Txtjourne"/>
    <w:rsid w:val="00384258"/>
    <w:rPr>
      <w:b/>
      <w:bCs/>
    </w:rPr>
  </w:style>
  <w:style w:type="character" w:styleId="CommentReference">
    <w:name w:val="annotation reference"/>
    <w:basedOn w:val="DefaultParagraphFont"/>
    <w:uiPriority w:val="99"/>
    <w:semiHidden/>
    <w:unhideWhenUsed/>
    <w:rsid w:val="001625F6"/>
    <w:rPr>
      <w:sz w:val="16"/>
      <w:szCs w:val="16"/>
    </w:rPr>
  </w:style>
  <w:style w:type="paragraph" w:styleId="CommentSubject">
    <w:name w:val="annotation subject"/>
    <w:basedOn w:val="CommentText"/>
    <w:next w:val="CommentText"/>
    <w:link w:val="CommentSubjectChar"/>
    <w:uiPriority w:val="99"/>
    <w:semiHidden/>
    <w:unhideWhenUsed/>
    <w:rsid w:val="001625F6"/>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625F6"/>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1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F6"/>
    <w:rPr>
      <w:rFonts w:ascii="Segoe UI" w:hAnsi="Segoe UI" w:cs="Segoe UI"/>
      <w:sz w:val="18"/>
      <w:szCs w:val="18"/>
    </w:rPr>
  </w:style>
  <w:style w:type="character" w:customStyle="1" w:styleId="Heading6Char">
    <w:name w:val="Heading 6 Char"/>
    <w:link w:val="Heading6"/>
    <w:rsid w:val="00894E94"/>
    <w:rPr>
      <w:rFonts w:ascii="Arial" w:eastAsia="SimSun" w:hAnsi="Arial" w:cs="Times New Roman"/>
      <w:b/>
      <w:bCs/>
      <w:caps/>
      <w:color w:val="008000"/>
      <w:sz w:val="24"/>
      <w:lang w:val="it-IT" w:eastAsia="en-US"/>
    </w:rPr>
  </w:style>
  <w:style w:type="paragraph" w:customStyle="1" w:styleId="diapo2">
    <w:name w:val="diapo2"/>
    <w:basedOn w:val="Normal"/>
    <w:link w:val="diapo2Car"/>
    <w:rsid w:val="00F674B9"/>
    <w:pPr>
      <w:keepNext/>
      <w:spacing w:before="200" w:after="60" w:line="280" w:lineRule="exact"/>
      <w:jc w:val="both"/>
    </w:pPr>
    <w:rPr>
      <w:rFonts w:ascii="Arial" w:eastAsia="SimSun" w:hAnsi="Arial" w:cs="Arial"/>
      <w:b/>
      <w:noProof/>
      <w:snapToGrid w:val="0"/>
      <w:sz w:val="24"/>
      <w:lang w:eastAsia="en-US"/>
    </w:rPr>
  </w:style>
  <w:style w:type="character" w:customStyle="1" w:styleId="diapo2Car">
    <w:name w:val="diapo2 Car"/>
    <w:link w:val="diapo2"/>
    <w:rsid w:val="00F674B9"/>
    <w:rPr>
      <w:rFonts w:ascii="Arial" w:eastAsia="SimSun" w:hAnsi="Arial" w:cs="Arial"/>
      <w:b/>
      <w:noProof/>
      <w:snapToGrid w:val="0"/>
      <w:sz w:val="24"/>
      <w:lang w:eastAsia="en-US"/>
    </w:rPr>
  </w:style>
  <w:style w:type="character" w:styleId="FootnoteReference">
    <w:name w:val="footnote reference"/>
    <w:basedOn w:val="DefaultParagraphFont"/>
    <w:uiPriority w:val="99"/>
    <w:semiHidden/>
    <w:unhideWhenUsed/>
    <w:rsid w:val="00CD20DF"/>
    <w:rPr>
      <w:vertAlign w:val="superscript"/>
    </w:rPr>
  </w:style>
  <w:style w:type="paragraph" w:styleId="Header">
    <w:name w:val="header"/>
    <w:basedOn w:val="Normal"/>
    <w:link w:val="HeaderChar"/>
    <w:uiPriority w:val="99"/>
    <w:unhideWhenUsed/>
    <w:rsid w:val="00E31D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97"/>
  </w:style>
  <w:style w:type="paragraph" w:styleId="Footer">
    <w:name w:val="footer"/>
    <w:basedOn w:val="Normal"/>
    <w:link w:val="FooterChar"/>
    <w:unhideWhenUsed/>
    <w:rsid w:val="00E31D97"/>
    <w:pPr>
      <w:tabs>
        <w:tab w:val="center" w:pos="4536"/>
        <w:tab w:val="right" w:pos="9072"/>
      </w:tabs>
      <w:spacing w:after="0" w:line="240" w:lineRule="auto"/>
    </w:pPr>
  </w:style>
  <w:style w:type="character" w:customStyle="1" w:styleId="FooterChar">
    <w:name w:val="Footer Char"/>
    <w:basedOn w:val="DefaultParagraphFont"/>
    <w:link w:val="Footer"/>
    <w:rsid w:val="00E31D97"/>
  </w:style>
  <w:style w:type="character" w:styleId="PageNumber">
    <w:name w:val="page number"/>
    <w:rsid w:val="00E31D97"/>
  </w:style>
  <w:style w:type="paragraph" w:styleId="BodyText">
    <w:name w:val="Body Text"/>
    <w:basedOn w:val="Normal"/>
    <w:link w:val="BodyTextChar"/>
    <w:rsid w:val="0044319E"/>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44319E"/>
    <w:rPr>
      <w:rFonts w:ascii="Times New Roman" w:eastAsia="Times New Roman" w:hAnsi="Times New Roman" w:cs="Times New Roman"/>
      <w:sz w:val="24"/>
      <w:szCs w:val="20"/>
      <w:lang w:val="pt-BR" w:eastAsia="pt-BR"/>
    </w:rPr>
  </w:style>
  <w:style w:type="character" w:styleId="FollowedHyperlink">
    <w:name w:val="FollowedHyperlink"/>
    <w:basedOn w:val="DefaultParagraphFont"/>
    <w:uiPriority w:val="99"/>
    <w:semiHidden/>
    <w:unhideWhenUsed/>
    <w:rsid w:val="00EB3548"/>
    <w:rPr>
      <w:color w:val="800080" w:themeColor="followedHyperlink"/>
      <w:u w:val="single"/>
    </w:rPr>
  </w:style>
  <w:style w:type="paragraph" w:styleId="NormalWeb">
    <w:name w:val="Normal (Web)"/>
    <w:basedOn w:val="Normal"/>
    <w:uiPriority w:val="99"/>
    <w:semiHidden/>
    <w:unhideWhenUsed/>
    <w:rsid w:val="00A1037E"/>
    <w:rPr>
      <w:rFonts w:ascii="Times New Roman" w:hAnsi="Times New Roman" w:cs="Times New Roman"/>
      <w:sz w:val="24"/>
      <w:szCs w:val="24"/>
    </w:rPr>
  </w:style>
  <w:style w:type="table" w:styleId="TableGrid">
    <w:name w:val="Table Grid"/>
    <w:basedOn w:val="TableNormal"/>
    <w:uiPriority w:val="59"/>
    <w:rsid w:val="002D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3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400">
      <w:bodyDiv w:val="1"/>
      <w:marLeft w:val="0"/>
      <w:marRight w:val="0"/>
      <w:marTop w:val="0"/>
      <w:marBottom w:val="0"/>
      <w:divBdr>
        <w:top w:val="none" w:sz="0" w:space="0" w:color="auto"/>
        <w:left w:val="none" w:sz="0" w:space="0" w:color="auto"/>
        <w:bottom w:val="none" w:sz="0" w:space="0" w:color="auto"/>
        <w:right w:val="none" w:sz="0" w:space="0" w:color="auto"/>
      </w:divBdr>
    </w:div>
    <w:div w:id="672731424">
      <w:bodyDiv w:val="1"/>
      <w:marLeft w:val="0"/>
      <w:marRight w:val="0"/>
      <w:marTop w:val="0"/>
      <w:marBottom w:val="0"/>
      <w:divBdr>
        <w:top w:val="none" w:sz="0" w:space="0" w:color="auto"/>
        <w:left w:val="none" w:sz="0" w:space="0" w:color="auto"/>
        <w:bottom w:val="none" w:sz="0" w:space="0" w:color="auto"/>
        <w:right w:val="none" w:sz="0" w:space="0" w:color="auto"/>
      </w:divBdr>
      <w:divsChild>
        <w:div w:id="1607543897">
          <w:marLeft w:val="547"/>
          <w:marRight w:val="0"/>
          <w:marTop w:val="0"/>
          <w:marBottom w:val="0"/>
          <w:divBdr>
            <w:top w:val="none" w:sz="0" w:space="0" w:color="auto"/>
            <w:left w:val="none" w:sz="0" w:space="0" w:color="auto"/>
            <w:bottom w:val="none" w:sz="0" w:space="0" w:color="auto"/>
            <w:right w:val="none" w:sz="0" w:space="0" w:color="auto"/>
          </w:divBdr>
        </w:div>
        <w:div w:id="68502839">
          <w:marLeft w:val="547"/>
          <w:marRight w:val="0"/>
          <w:marTop w:val="0"/>
          <w:marBottom w:val="0"/>
          <w:divBdr>
            <w:top w:val="none" w:sz="0" w:space="0" w:color="auto"/>
            <w:left w:val="none" w:sz="0" w:space="0" w:color="auto"/>
            <w:bottom w:val="none" w:sz="0" w:space="0" w:color="auto"/>
            <w:right w:val="none" w:sz="0" w:space="0" w:color="auto"/>
          </w:divBdr>
        </w:div>
        <w:div w:id="1164590298">
          <w:marLeft w:val="547"/>
          <w:marRight w:val="0"/>
          <w:marTop w:val="0"/>
          <w:marBottom w:val="0"/>
          <w:divBdr>
            <w:top w:val="none" w:sz="0" w:space="0" w:color="auto"/>
            <w:left w:val="none" w:sz="0" w:space="0" w:color="auto"/>
            <w:bottom w:val="none" w:sz="0" w:space="0" w:color="auto"/>
            <w:right w:val="none" w:sz="0" w:space="0" w:color="auto"/>
          </w:divBdr>
        </w:div>
        <w:div w:id="344327590">
          <w:marLeft w:val="547"/>
          <w:marRight w:val="0"/>
          <w:marTop w:val="0"/>
          <w:marBottom w:val="0"/>
          <w:divBdr>
            <w:top w:val="none" w:sz="0" w:space="0" w:color="auto"/>
            <w:left w:val="none" w:sz="0" w:space="0" w:color="auto"/>
            <w:bottom w:val="none" w:sz="0" w:space="0" w:color="auto"/>
            <w:right w:val="none" w:sz="0" w:space="0" w:color="auto"/>
          </w:divBdr>
        </w:div>
        <w:div w:id="1415740460">
          <w:marLeft w:val="547"/>
          <w:marRight w:val="0"/>
          <w:marTop w:val="0"/>
          <w:marBottom w:val="0"/>
          <w:divBdr>
            <w:top w:val="none" w:sz="0" w:space="0" w:color="auto"/>
            <w:left w:val="none" w:sz="0" w:space="0" w:color="auto"/>
            <w:bottom w:val="none" w:sz="0" w:space="0" w:color="auto"/>
            <w:right w:val="none" w:sz="0" w:space="0" w:color="auto"/>
          </w:divBdr>
        </w:div>
        <w:div w:id="1477532911">
          <w:marLeft w:val="547"/>
          <w:marRight w:val="0"/>
          <w:marTop w:val="0"/>
          <w:marBottom w:val="0"/>
          <w:divBdr>
            <w:top w:val="none" w:sz="0" w:space="0" w:color="auto"/>
            <w:left w:val="none" w:sz="0" w:space="0" w:color="auto"/>
            <w:bottom w:val="none" w:sz="0" w:space="0" w:color="auto"/>
            <w:right w:val="none" w:sz="0" w:space="0" w:color="auto"/>
          </w:divBdr>
        </w:div>
        <w:div w:id="69154319">
          <w:marLeft w:val="547"/>
          <w:marRight w:val="0"/>
          <w:marTop w:val="0"/>
          <w:marBottom w:val="0"/>
          <w:divBdr>
            <w:top w:val="none" w:sz="0" w:space="0" w:color="auto"/>
            <w:left w:val="none" w:sz="0" w:space="0" w:color="auto"/>
            <w:bottom w:val="none" w:sz="0" w:space="0" w:color="auto"/>
            <w:right w:val="none" w:sz="0" w:space="0" w:color="auto"/>
          </w:divBdr>
        </w:div>
        <w:div w:id="1954245303">
          <w:marLeft w:val="547"/>
          <w:marRight w:val="0"/>
          <w:marTop w:val="0"/>
          <w:marBottom w:val="0"/>
          <w:divBdr>
            <w:top w:val="none" w:sz="0" w:space="0" w:color="auto"/>
            <w:left w:val="none" w:sz="0" w:space="0" w:color="auto"/>
            <w:bottom w:val="none" w:sz="0" w:space="0" w:color="auto"/>
            <w:right w:val="none" w:sz="0" w:space="0" w:color="auto"/>
          </w:divBdr>
        </w:div>
      </w:divsChild>
    </w:div>
    <w:div w:id="729306454">
      <w:bodyDiv w:val="1"/>
      <w:marLeft w:val="0"/>
      <w:marRight w:val="0"/>
      <w:marTop w:val="0"/>
      <w:marBottom w:val="0"/>
      <w:divBdr>
        <w:top w:val="none" w:sz="0" w:space="0" w:color="auto"/>
        <w:left w:val="none" w:sz="0" w:space="0" w:color="auto"/>
        <w:bottom w:val="none" w:sz="0" w:space="0" w:color="auto"/>
        <w:right w:val="none" w:sz="0" w:space="0" w:color="auto"/>
      </w:divBdr>
      <w:divsChild>
        <w:div w:id="1467817495">
          <w:marLeft w:val="446"/>
          <w:marRight w:val="0"/>
          <w:marTop w:val="0"/>
          <w:marBottom w:val="0"/>
          <w:divBdr>
            <w:top w:val="none" w:sz="0" w:space="0" w:color="auto"/>
            <w:left w:val="none" w:sz="0" w:space="0" w:color="auto"/>
            <w:bottom w:val="none" w:sz="0" w:space="0" w:color="auto"/>
            <w:right w:val="none" w:sz="0" w:space="0" w:color="auto"/>
          </w:divBdr>
        </w:div>
        <w:div w:id="1955751779">
          <w:marLeft w:val="446"/>
          <w:marRight w:val="0"/>
          <w:marTop w:val="0"/>
          <w:marBottom w:val="0"/>
          <w:divBdr>
            <w:top w:val="none" w:sz="0" w:space="0" w:color="auto"/>
            <w:left w:val="none" w:sz="0" w:space="0" w:color="auto"/>
            <w:bottom w:val="none" w:sz="0" w:space="0" w:color="auto"/>
            <w:right w:val="none" w:sz="0" w:space="0" w:color="auto"/>
          </w:divBdr>
        </w:div>
        <w:div w:id="2035232199">
          <w:marLeft w:val="446"/>
          <w:marRight w:val="0"/>
          <w:marTop w:val="0"/>
          <w:marBottom w:val="0"/>
          <w:divBdr>
            <w:top w:val="none" w:sz="0" w:space="0" w:color="auto"/>
            <w:left w:val="none" w:sz="0" w:space="0" w:color="auto"/>
            <w:bottom w:val="none" w:sz="0" w:space="0" w:color="auto"/>
            <w:right w:val="none" w:sz="0" w:space="0" w:color="auto"/>
          </w:divBdr>
        </w:div>
        <w:div w:id="1276987834">
          <w:marLeft w:val="446"/>
          <w:marRight w:val="0"/>
          <w:marTop w:val="0"/>
          <w:marBottom w:val="0"/>
          <w:divBdr>
            <w:top w:val="none" w:sz="0" w:space="0" w:color="auto"/>
            <w:left w:val="none" w:sz="0" w:space="0" w:color="auto"/>
            <w:bottom w:val="none" w:sz="0" w:space="0" w:color="auto"/>
            <w:right w:val="none" w:sz="0" w:space="0" w:color="auto"/>
          </w:divBdr>
        </w:div>
        <w:div w:id="561329470">
          <w:marLeft w:val="446"/>
          <w:marRight w:val="0"/>
          <w:marTop w:val="0"/>
          <w:marBottom w:val="0"/>
          <w:divBdr>
            <w:top w:val="none" w:sz="0" w:space="0" w:color="auto"/>
            <w:left w:val="none" w:sz="0" w:space="0" w:color="auto"/>
            <w:bottom w:val="none" w:sz="0" w:space="0" w:color="auto"/>
            <w:right w:val="none" w:sz="0" w:space="0" w:color="auto"/>
          </w:divBdr>
        </w:div>
        <w:div w:id="1993868844">
          <w:marLeft w:val="446"/>
          <w:marRight w:val="0"/>
          <w:marTop w:val="0"/>
          <w:marBottom w:val="0"/>
          <w:divBdr>
            <w:top w:val="none" w:sz="0" w:space="0" w:color="auto"/>
            <w:left w:val="none" w:sz="0" w:space="0" w:color="auto"/>
            <w:bottom w:val="none" w:sz="0" w:space="0" w:color="auto"/>
            <w:right w:val="none" w:sz="0" w:space="0" w:color="auto"/>
          </w:divBdr>
        </w:div>
        <w:div w:id="329598271">
          <w:marLeft w:val="446"/>
          <w:marRight w:val="0"/>
          <w:marTop w:val="0"/>
          <w:marBottom w:val="0"/>
          <w:divBdr>
            <w:top w:val="none" w:sz="0" w:space="0" w:color="auto"/>
            <w:left w:val="none" w:sz="0" w:space="0" w:color="auto"/>
            <w:bottom w:val="none" w:sz="0" w:space="0" w:color="auto"/>
            <w:right w:val="none" w:sz="0" w:space="0" w:color="auto"/>
          </w:divBdr>
        </w:div>
      </w:divsChild>
    </w:div>
    <w:div w:id="784812150">
      <w:bodyDiv w:val="1"/>
      <w:marLeft w:val="0"/>
      <w:marRight w:val="0"/>
      <w:marTop w:val="0"/>
      <w:marBottom w:val="0"/>
      <w:divBdr>
        <w:top w:val="none" w:sz="0" w:space="0" w:color="auto"/>
        <w:left w:val="none" w:sz="0" w:space="0" w:color="auto"/>
        <w:bottom w:val="none" w:sz="0" w:space="0" w:color="auto"/>
        <w:right w:val="none" w:sz="0" w:space="0" w:color="auto"/>
      </w:divBdr>
      <w:divsChild>
        <w:div w:id="782186117">
          <w:marLeft w:val="0"/>
          <w:marRight w:val="0"/>
          <w:marTop w:val="0"/>
          <w:marBottom w:val="0"/>
          <w:divBdr>
            <w:top w:val="none" w:sz="0" w:space="0" w:color="auto"/>
            <w:left w:val="none" w:sz="0" w:space="0" w:color="auto"/>
            <w:bottom w:val="none" w:sz="0" w:space="0" w:color="auto"/>
            <w:right w:val="none" w:sz="0" w:space="0" w:color="auto"/>
          </w:divBdr>
        </w:div>
      </w:divsChild>
    </w:div>
    <w:div w:id="877856392">
      <w:bodyDiv w:val="1"/>
      <w:marLeft w:val="0"/>
      <w:marRight w:val="0"/>
      <w:marTop w:val="0"/>
      <w:marBottom w:val="0"/>
      <w:divBdr>
        <w:top w:val="none" w:sz="0" w:space="0" w:color="auto"/>
        <w:left w:val="none" w:sz="0" w:space="0" w:color="auto"/>
        <w:bottom w:val="none" w:sz="0" w:space="0" w:color="auto"/>
        <w:right w:val="none" w:sz="0" w:space="0" w:color="auto"/>
      </w:divBdr>
    </w:div>
    <w:div w:id="1395199131">
      <w:bodyDiv w:val="1"/>
      <w:marLeft w:val="0"/>
      <w:marRight w:val="0"/>
      <w:marTop w:val="0"/>
      <w:marBottom w:val="0"/>
      <w:divBdr>
        <w:top w:val="none" w:sz="0" w:space="0" w:color="auto"/>
        <w:left w:val="none" w:sz="0" w:space="0" w:color="auto"/>
        <w:bottom w:val="none" w:sz="0" w:space="0" w:color="auto"/>
        <w:right w:val="none" w:sz="0" w:space="0" w:color="auto"/>
      </w:divBdr>
      <w:divsChild>
        <w:div w:id="651063054">
          <w:marLeft w:val="547"/>
          <w:marRight w:val="0"/>
          <w:marTop w:val="0"/>
          <w:marBottom w:val="0"/>
          <w:divBdr>
            <w:top w:val="none" w:sz="0" w:space="0" w:color="auto"/>
            <w:left w:val="none" w:sz="0" w:space="0" w:color="auto"/>
            <w:bottom w:val="none" w:sz="0" w:space="0" w:color="auto"/>
            <w:right w:val="none" w:sz="0" w:space="0" w:color="auto"/>
          </w:divBdr>
        </w:div>
        <w:div w:id="112136507">
          <w:marLeft w:val="547"/>
          <w:marRight w:val="0"/>
          <w:marTop w:val="0"/>
          <w:marBottom w:val="0"/>
          <w:divBdr>
            <w:top w:val="none" w:sz="0" w:space="0" w:color="auto"/>
            <w:left w:val="none" w:sz="0" w:space="0" w:color="auto"/>
            <w:bottom w:val="none" w:sz="0" w:space="0" w:color="auto"/>
            <w:right w:val="none" w:sz="0" w:space="0" w:color="auto"/>
          </w:divBdr>
        </w:div>
        <w:div w:id="653027033">
          <w:marLeft w:val="547"/>
          <w:marRight w:val="0"/>
          <w:marTop w:val="0"/>
          <w:marBottom w:val="0"/>
          <w:divBdr>
            <w:top w:val="none" w:sz="0" w:space="0" w:color="auto"/>
            <w:left w:val="none" w:sz="0" w:space="0" w:color="auto"/>
            <w:bottom w:val="none" w:sz="0" w:space="0" w:color="auto"/>
            <w:right w:val="none" w:sz="0" w:space="0" w:color="auto"/>
          </w:divBdr>
        </w:div>
        <w:div w:id="1277911856">
          <w:marLeft w:val="547"/>
          <w:marRight w:val="0"/>
          <w:marTop w:val="0"/>
          <w:marBottom w:val="0"/>
          <w:divBdr>
            <w:top w:val="none" w:sz="0" w:space="0" w:color="auto"/>
            <w:left w:val="none" w:sz="0" w:space="0" w:color="auto"/>
            <w:bottom w:val="none" w:sz="0" w:space="0" w:color="auto"/>
            <w:right w:val="none" w:sz="0" w:space="0" w:color="auto"/>
          </w:divBdr>
        </w:div>
        <w:div w:id="1630548876">
          <w:marLeft w:val="547"/>
          <w:marRight w:val="0"/>
          <w:marTop w:val="0"/>
          <w:marBottom w:val="0"/>
          <w:divBdr>
            <w:top w:val="none" w:sz="0" w:space="0" w:color="auto"/>
            <w:left w:val="none" w:sz="0" w:space="0" w:color="auto"/>
            <w:bottom w:val="none" w:sz="0" w:space="0" w:color="auto"/>
            <w:right w:val="none" w:sz="0" w:space="0" w:color="auto"/>
          </w:divBdr>
        </w:div>
        <w:div w:id="1783651019">
          <w:marLeft w:val="547"/>
          <w:marRight w:val="0"/>
          <w:marTop w:val="0"/>
          <w:marBottom w:val="0"/>
          <w:divBdr>
            <w:top w:val="none" w:sz="0" w:space="0" w:color="auto"/>
            <w:left w:val="none" w:sz="0" w:space="0" w:color="auto"/>
            <w:bottom w:val="none" w:sz="0" w:space="0" w:color="auto"/>
            <w:right w:val="none" w:sz="0" w:space="0" w:color="auto"/>
          </w:divBdr>
        </w:div>
        <w:div w:id="1197742794">
          <w:marLeft w:val="547"/>
          <w:marRight w:val="0"/>
          <w:marTop w:val="0"/>
          <w:marBottom w:val="0"/>
          <w:divBdr>
            <w:top w:val="none" w:sz="0" w:space="0" w:color="auto"/>
            <w:left w:val="none" w:sz="0" w:space="0" w:color="auto"/>
            <w:bottom w:val="none" w:sz="0" w:space="0" w:color="auto"/>
            <w:right w:val="none" w:sz="0" w:space="0" w:color="auto"/>
          </w:divBdr>
        </w:div>
      </w:divsChild>
    </w:div>
    <w:div w:id="1959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510BF-57EA-4F26-8D19-868A1253079E}">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Koffi, Bryan</cp:lastModifiedBy>
  <cp:revision>4</cp:revision>
  <cp:lastPrinted>2020-09-04T15:39:00Z</cp:lastPrinted>
  <dcterms:created xsi:type="dcterms:W3CDTF">2020-09-04T15:39:00Z</dcterms:created>
  <dcterms:modified xsi:type="dcterms:W3CDTF">2024-02-28T10:40:00Z</dcterms:modified>
</cp:coreProperties>
</file>