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046E6" w14:textId="1E94422B" w:rsidR="00362E84" w:rsidRPr="00703091" w:rsidRDefault="00FB67EF" w:rsidP="00233445">
      <w:pPr>
        <w:pStyle w:val="Chapitre"/>
        <w:keepNext w:val="0"/>
        <w:keepLines w:val="0"/>
        <w:widowControl w:val="0"/>
        <w:spacing w:line="240" w:lineRule="auto"/>
      </w:pPr>
      <w:bookmarkStart w:id="0" w:name="_Toc154220417"/>
      <w:bookmarkStart w:id="1" w:name="_Toc302374671"/>
      <w:bookmarkStart w:id="2" w:name="_Toc241644684"/>
      <w:r>
        <w:rPr>
          <w:lang w:val="fr"/>
        </w:rPr>
        <w:t>unité 64</w:t>
      </w:r>
    </w:p>
    <w:bookmarkEnd w:id="0"/>
    <w:bookmarkEnd w:id="1"/>
    <w:bookmarkEnd w:id="2"/>
    <w:p w14:paraId="299CC0CC" w14:textId="29BF6A66" w:rsidR="005E61A1" w:rsidRPr="005E61A1" w:rsidRDefault="005E61A1" w:rsidP="005E61A1">
      <w:pPr>
        <w:widowControl w:val="0"/>
        <w:tabs>
          <w:tab w:val="left" w:pos="567"/>
        </w:tabs>
        <w:snapToGrid w:val="0"/>
        <w:spacing w:after="60" w:line="320" w:lineRule="exact"/>
        <w:jc w:val="both"/>
        <w:rPr>
          <w:rFonts w:ascii="Arial" w:eastAsia="SimSun" w:hAnsi="Arial" w:cs="Arial"/>
          <w:b/>
          <w:bCs/>
          <w:iCs/>
          <w:sz w:val="32"/>
          <w:szCs w:val="32"/>
        </w:rPr>
      </w:pPr>
      <w:r>
        <w:rPr>
          <w:rFonts w:ascii="Arial" w:eastAsia="SimSun" w:hAnsi="Arial" w:cs="Arial"/>
          <w:b/>
          <w:bCs/>
          <w:sz w:val="32"/>
          <w:szCs w:val="32"/>
          <w:lang w:val="fr"/>
        </w:rPr>
        <w:t>ÉTUDE DE CAS 1 - Cyclones et PCI dans le nord du Vanuatu</w:t>
      </w:r>
    </w:p>
    <w:p w14:paraId="17B83C8D" w14:textId="77777777" w:rsidR="005E61A1" w:rsidRDefault="005E61A1" w:rsidP="005E61A1">
      <w:pPr>
        <w:widowControl w:val="0"/>
        <w:tabs>
          <w:tab w:val="left" w:pos="567"/>
        </w:tabs>
        <w:snapToGrid w:val="0"/>
        <w:spacing w:after="60" w:line="320" w:lineRule="exact"/>
        <w:jc w:val="both"/>
        <w:rPr>
          <w:rFonts w:ascii="Arial" w:eastAsia="SimSun" w:hAnsi="Arial" w:cs="Arial"/>
          <w:sz w:val="20"/>
          <w:szCs w:val="20"/>
        </w:rPr>
      </w:pPr>
    </w:p>
    <w:p w14:paraId="7D9D0CA0" w14:textId="7E2D4933" w:rsidR="005E61A1" w:rsidRDefault="007D55D0" w:rsidP="005E61A1">
      <w:pPr>
        <w:widowControl w:val="0"/>
        <w:tabs>
          <w:tab w:val="left" w:pos="567"/>
        </w:tabs>
        <w:snapToGrid w:val="0"/>
        <w:spacing w:after="60" w:line="280" w:lineRule="exact"/>
        <w:jc w:val="both"/>
        <w:rPr>
          <w:rFonts w:ascii="Arial" w:eastAsia="SimSun" w:hAnsi="Arial" w:cs="Arial"/>
          <w:sz w:val="20"/>
          <w:szCs w:val="20"/>
        </w:rPr>
      </w:pPr>
      <w:r>
        <w:rPr>
          <w:rFonts w:ascii="Arial" w:eastAsia="SimSun" w:hAnsi="Arial" w:cs="Arial"/>
          <w:sz w:val="20"/>
          <w:szCs w:val="20"/>
          <w:lang w:val="fr"/>
        </w:rPr>
        <w:t xml:space="preserve">L'étude de cas 1 repose sur l'étude d'une longue histoire de l'impact des cyclones sur le patrimoine culturel immatériel (PCI) des îles Banks dans la République du Vanuatu, dans l'océan Pacifique (qui est généralement identifiée par l'indice de risque mondial comme le pays le plus exposé aux catastrophes dans le monde). L'étude de cas permet aux participants de mieux comprendre l'éventail des processus sociaux, environnementaux, économiques et politiques qui peuvent transformer le PCI d'une région au fil du temps. L'étude de cas démontre que la mesure dans laquelle le PCI « survit » à un cyclone ou à un autre risque naturel dépend de sa « résilience » avant et après la catastrophe. </w:t>
      </w:r>
    </w:p>
    <w:p w14:paraId="31826090" w14:textId="77777777" w:rsidR="00F90754" w:rsidRDefault="00F90754" w:rsidP="005E61A1">
      <w:pPr>
        <w:widowControl w:val="0"/>
        <w:tabs>
          <w:tab w:val="left" w:pos="567"/>
        </w:tabs>
        <w:snapToGrid w:val="0"/>
        <w:spacing w:after="60" w:line="280" w:lineRule="exact"/>
        <w:jc w:val="both"/>
        <w:rPr>
          <w:rFonts w:ascii="Arial" w:eastAsia="SimSun" w:hAnsi="Arial" w:cs="Arial"/>
          <w:sz w:val="20"/>
          <w:szCs w:val="20"/>
        </w:rPr>
      </w:pPr>
    </w:p>
    <w:p w14:paraId="4F0B8181" w14:textId="2FA0365B" w:rsidR="007D55D0" w:rsidRDefault="00F90754" w:rsidP="005E61A1">
      <w:pPr>
        <w:widowControl w:val="0"/>
        <w:tabs>
          <w:tab w:val="left" w:pos="567"/>
        </w:tabs>
        <w:snapToGrid w:val="0"/>
        <w:spacing w:after="60" w:line="280" w:lineRule="exact"/>
        <w:jc w:val="both"/>
        <w:rPr>
          <w:rFonts w:ascii="Arial" w:eastAsia="SimSun" w:hAnsi="Arial" w:cs="Arial"/>
          <w:sz w:val="20"/>
          <w:szCs w:val="20"/>
        </w:rPr>
      </w:pPr>
      <w:r>
        <w:rPr>
          <w:rFonts w:ascii="Calibri" w:eastAsia="Calibri" w:hAnsi="Calibri" w:cs="Times New Roman"/>
          <w:noProof/>
          <w:lang w:val="fr"/>
        </w:rPr>
        <w:drawing>
          <wp:anchor distT="0" distB="0" distL="114300" distR="114300" simplePos="0" relativeHeight="251659264" behindDoc="0" locked="0" layoutInCell="1" allowOverlap="1" wp14:anchorId="2392AD57" wp14:editId="3051FB47">
            <wp:simplePos x="0" y="0"/>
            <wp:positionH relativeFrom="margin">
              <wp:align>left</wp:align>
            </wp:positionH>
            <wp:positionV relativeFrom="paragraph">
              <wp:posOffset>3175</wp:posOffset>
            </wp:positionV>
            <wp:extent cx="2581678" cy="3060700"/>
            <wp:effectExtent l="0" t="0" r="9525" b="635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678" cy="306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E78628" w14:textId="09CC489C" w:rsidR="007D55D0" w:rsidRDefault="007D55D0" w:rsidP="005E61A1">
      <w:pPr>
        <w:widowControl w:val="0"/>
        <w:tabs>
          <w:tab w:val="left" w:pos="567"/>
        </w:tabs>
        <w:snapToGrid w:val="0"/>
        <w:spacing w:after="60" w:line="280" w:lineRule="exact"/>
        <w:jc w:val="both"/>
        <w:rPr>
          <w:rFonts w:ascii="Arial" w:eastAsia="SimSun" w:hAnsi="Arial" w:cs="Arial"/>
          <w:sz w:val="20"/>
          <w:szCs w:val="20"/>
        </w:rPr>
      </w:pPr>
    </w:p>
    <w:p w14:paraId="19EEEF07" w14:textId="3BF9FED9" w:rsidR="00F90754" w:rsidRDefault="00F90754" w:rsidP="00F90754">
      <w:pPr>
        <w:widowControl w:val="0"/>
        <w:tabs>
          <w:tab w:val="left" w:pos="567"/>
        </w:tabs>
        <w:snapToGrid w:val="0"/>
        <w:spacing w:after="60" w:line="280" w:lineRule="exact"/>
        <w:ind w:left="4320"/>
        <w:jc w:val="both"/>
        <w:rPr>
          <w:rFonts w:ascii="Arial" w:eastAsia="SimSun" w:hAnsi="Arial" w:cs="Arial"/>
          <w:sz w:val="20"/>
          <w:szCs w:val="20"/>
        </w:rPr>
      </w:pPr>
      <w:r>
        <w:rPr>
          <w:rFonts w:ascii="Arial" w:eastAsia="SimSun" w:hAnsi="Arial" w:cs="Arial"/>
          <w:sz w:val="20"/>
          <w:szCs w:val="20"/>
          <w:lang w:val="fr"/>
        </w:rPr>
        <w:t xml:space="preserve">Monnaie en coquillage de la collection du British Museum, acquise en 1976, coll. no. Oc1976,11.49, 20e siècle, Vanuatu (Photo : Administrateurs du British Museum) </w:t>
      </w:r>
    </w:p>
    <w:p w14:paraId="45A2F124" w14:textId="26AC46F3" w:rsidR="00F90754" w:rsidRDefault="00F90754" w:rsidP="005E61A1">
      <w:pPr>
        <w:widowControl w:val="0"/>
        <w:tabs>
          <w:tab w:val="left" w:pos="567"/>
        </w:tabs>
        <w:snapToGrid w:val="0"/>
        <w:spacing w:after="60" w:line="280" w:lineRule="exact"/>
        <w:jc w:val="both"/>
        <w:rPr>
          <w:rFonts w:ascii="Arial" w:eastAsia="SimSun" w:hAnsi="Arial" w:cs="Arial"/>
          <w:sz w:val="20"/>
          <w:szCs w:val="20"/>
        </w:rPr>
      </w:pPr>
    </w:p>
    <w:p w14:paraId="4F8A9D26" w14:textId="77777777" w:rsidR="00F90754" w:rsidRPr="00F90754" w:rsidRDefault="00F90754" w:rsidP="00F90754">
      <w:pPr>
        <w:spacing w:after="0" w:line="240" w:lineRule="auto"/>
        <w:jc w:val="right"/>
        <w:rPr>
          <w:rFonts w:ascii="&amp;quot" w:eastAsia="Times New Roman" w:hAnsi="&amp;quot" w:cs="Times New Roman"/>
          <w:color w:val="323232"/>
          <w:sz w:val="26"/>
          <w:szCs w:val="26"/>
        </w:rPr>
      </w:pPr>
      <w:r>
        <w:rPr>
          <w:rFonts w:ascii="&amp;quot" w:eastAsia="Times New Roman" w:hAnsi="&amp;quot" w:cs="Times New Roman"/>
          <w:noProof/>
          <w:color w:val="323232"/>
          <w:sz w:val="26"/>
          <w:szCs w:val="26"/>
          <w:lang w:val="fr"/>
        </w:rPr>
        <w:drawing>
          <wp:inline distT="0" distB="0" distL="0" distR="0" wp14:anchorId="20D49D77" wp14:editId="2AC94DE4">
            <wp:extent cx="3041922" cy="1663551"/>
            <wp:effectExtent l="0" t="0" r="6350" b="0"/>
            <wp:docPr id="5" name="Picture 5" descr="Monnaie en coquillage de la collection du British Museum, acquise en 1976, coll. no. Oc1976,11.49, 20e siècle, Vanuatu (Photo : Administrateurs du British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ll Money from the British Museum Collection, acquired in 1976, coll. no. Oc1976,11.49, 20th century, Vanuatu (Photo: Trustees of the British Museu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8767" cy="1700107"/>
                    </a:xfrm>
                    <a:prstGeom prst="rect">
                      <a:avLst/>
                    </a:prstGeom>
                    <a:noFill/>
                    <a:ln>
                      <a:noFill/>
                    </a:ln>
                  </pic:spPr>
                </pic:pic>
              </a:graphicData>
            </a:graphic>
          </wp:inline>
        </w:drawing>
      </w:r>
    </w:p>
    <w:p w14:paraId="60BFCAE7" w14:textId="5DECF2C3" w:rsidR="00F90754" w:rsidRDefault="00F90754" w:rsidP="005E61A1">
      <w:pPr>
        <w:widowControl w:val="0"/>
        <w:tabs>
          <w:tab w:val="left" w:pos="567"/>
        </w:tabs>
        <w:snapToGrid w:val="0"/>
        <w:spacing w:after="60" w:line="280" w:lineRule="exact"/>
        <w:jc w:val="both"/>
        <w:rPr>
          <w:rFonts w:ascii="Arial" w:eastAsia="SimSun" w:hAnsi="Arial" w:cs="Arial"/>
          <w:sz w:val="20"/>
          <w:szCs w:val="20"/>
        </w:rPr>
      </w:pPr>
    </w:p>
    <w:p w14:paraId="57944CFE" w14:textId="51794810" w:rsidR="005E61A1" w:rsidRDefault="005E61A1" w:rsidP="005E61A1">
      <w:pPr>
        <w:widowControl w:val="0"/>
        <w:tabs>
          <w:tab w:val="left" w:pos="567"/>
        </w:tabs>
        <w:snapToGrid w:val="0"/>
        <w:spacing w:after="60" w:line="280" w:lineRule="exact"/>
        <w:jc w:val="both"/>
        <w:rPr>
          <w:rFonts w:ascii="Arial" w:eastAsia="SimSun" w:hAnsi="Arial" w:cs="Arial"/>
          <w:sz w:val="20"/>
          <w:szCs w:val="20"/>
        </w:rPr>
      </w:pPr>
      <w:r>
        <w:rPr>
          <w:rFonts w:ascii="Arial" w:eastAsia="SimSun" w:hAnsi="Arial" w:cs="Arial"/>
          <w:sz w:val="20"/>
          <w:szCs w:val="20"/>
          <w:lang w:val="fr"/>
        </w:rPr>
        <w:t xml:space="preserve">Les transformations de la vie sociale, politique et économique de l'île de Mota Lava (îles Banks, Vanuatu) se sont accélérées avec l'arrivée des missionnaires chrétiens au milieu du XIXe siècle. Auparavant, les échanges économiques entre les communautés de l'île de Banks s'inscrivaient dans un réseau complexe d'interactions entre les îles et de mouvements de personnes, de marchandises, de nourriture et d'argent en coquillages qui soutenaient le mariage, un système de notation pour les hommes et les femmes âgés, connu sous le nom de </w:t>
      </w:r>
      <w:r>
        <w:rPr>
          <w:rFonts w:ascii="Arial" w:eastAsia="SimSun" w:hAnsi="Arial" w:cs="Arial"/>
          <w:i/>
          <w:iCs/>
          <w:sz w:val="20"/>
          <w:szCs w:val="20"/>
          <w:lang w:val="fr"/>
        </w:rPr>
        <w:t>suqe</w:t>
      </w:r>
      <w:r>
        <w:rPr>
          <w:rFonts w:ascii="Arial" w:eastAsia="SimSun" w:hAnsi="Arial" w:cs="Arial"/>
          <w:sz w:val="20"/>
          <w:szCs w:val="20"/>
          <w:lang w:val="fr"/>
        </w:rPr>
        <w:t xml:space="preserve">, et d'autres structures et réseaux sociaux régionaux. Ces réseaux et transactions inter-îles étaient personnalisés autour d'amitiés individuelles formelles de type </w:t>
      </w:r>
      <w:r>
        <w:rPr>
          <w:rFonts w:ascii="Arial" w:eastAsia="SimSun" w:hAnsi="Arial" w:cs="Arial"/>
          <w:i/>
          <w:iCs/>
          <w:sz w:val="20"/>
          <w:szCs w:val="20"/>
          <w:lang w:val="fr"/>
        </w:rPr>
        <w:t>pulsala</w:t>
      </w:r>
      <w:r>
        <w:rPr>
          <w:rFonts w:ascii="Arial" w:eastAsia="SimSun" w:hAnsi="Arial" w:cs="Arial"/>
          <w:sz w:val="20"/>
          <w:szCs w:val="20"/>
          <w:lang w:val="fr"/>
        </w:rPr>
        <w:t xml:space="preserve">. Chaque île s'est spécialisée dans la production d'aliments, de biens ou de monnaie en coquillage particuliers qui soutenaient ces activités. En cas de catastrophe, ce réseau inter-îles bien établi a permis de répartir les risques sur une région plus vaste et a fourni des moyens de soutien essentiels. </w:t>
      </w:r>
    </w:p>
    <w:p w14:paraId="03E50BF7" w14:textId="0D732777" w:rsidR="005E61A1" w:rsidRDefault="005E61A1" w:rsidP="005E61A1">
      <w:pPr>
        <w:widowControl w:val="0"/>
        <w:tabs>
          <w:tab w:val="left" w:pos="567"/>
        </w:tabs>
        <w:snapToGrid w:val="0"/>
        <w:spacing w:after="60" w:line="280" w:lineRule="exact"/>
        <w:jc w:val="both"/>
        <w:rPr>
          <w:rFonts w:ascii="Arial" w:eastAsia="SimSun" w:hAnsi="Arial" w:cs="Arial"/>
          <w:sz w:val="20"/>
          <w:szCs w:val="20"/>
        </w:rPr>
      </w:pPr>
      <w:r>
        <w:rPr>
          <w:rFonts w:ascii="Arial" w:eastAsia="SimSun" w:hAnsi="Arial" w:cs="Arial"/>
          <w:sz w:val="20"/>
          <w:szCs w:val="20"/>
          <w:lang w:val="fr"/>
        </w:rPr>
        <w:t xml:space="preserve">La période post-contact a été marquée par de profonds changements dans ces réseaux inter-îles en raison de la mission, des épidémies, du déclin de la population et de la participation à l'économie de </w:t>
      </w:r>
      <w:r>
        <w:rPr>
          <w:rFonts w:ascii="Arial" w:eastAsia="SimSun" w:hAnsi="Arial" w:cs="Arial"/>
          <w:sz w:val="20"/>
          <w:szCs w:val="20"/>
          <w:lang w:val="fr"/>
        </w:rPr>
        <w:lastRenderedPageBreak/>
        <w:t xml:space="preserve">marché. Les perles ont commencé à remplacer la monnaie en coquillage dans les transactions ; le système de grade </w:t>
      </w:r>
      <w:r>
        <w:rPr>
          <w:rFonts w:ascii="Arial" w:eastAsia="SimSun" w:hAnsi="Arial" w:cs="Arial"/>
          <w:i/>
          <w:iCs/>
          <w:sz w:val="20"/>
          <w:szCs w:val="20"/>
          <w:lang w:val="fr"/>
        </w:rPr>
        <w:t>suqe</w:t>
      </w:r>
      <w:r>
        <w:rPr>
          <w:rFonts w:ascii="Arial" w:eastAsia="SimSun" w:hAnsi="Arial" w:cs="Arial"/>
          <w:sz w:val="20"/>
          <w:szCs w:val="20"/>
          <w:lang w:val="fr"/>
        </w:rPr>
        <w:t xml:space="preserve"> et les formes traditionnelles de mariage ont été affectés par l'expansion de l'influence missionnaire ; et les autorités coloniales ont cherché à contrôler les déplacements entre les îles. Sans la demande de biens inter-îles et d'excédents alimentaires nécessaires pour soutenir ces pratiques de PCI, le besoin d'argent fictif a diminué et les liens inter-îles et interpersonnels se sont rompus. Avec l'expansion des plantations industrielles de noix de coco, les îles Banks se sont de plus en plus engagées dans l'économie monétaire. Le déclin démographique antérieur dû aux maladies et l'abandon des pratiques traditionnelles de subsistance ont conduit à un désir de cultures moins exigeantes en main-d'œuvre et plus productives, telles que le manioc. Ni les noix de coco ni le manioc ne résistent aussi bien aux cyclones que les denrées de base traditionnelles, ce qui aggrave encore </w:t>
      </w:r>
      <w:r w:rsidR="00A07C04" w:rsidRPr="00A07C04">
        <w:rPr>
          <w:noProof/>
        </w:rPr>
        <w:drawing>
          <wp:anchor distT="0" distB="0" distL="114300" distR="114300" simplePos="0" relativeHeight="251660288" behindDoc="0" locked="0" layoutInCell="1" allowOverlap="1" wp14:anchorId="54392ABF" wp14:editId="3D22017D">
            <wp:simplePos x="0" y="0"/>
            <wp:positionH relativeFrom="column">
              <wp:posOffset>-241935</wp:posOffset>
            </wp:positionH>
            <wp:positionV relativeFrom="paragraph">
              <wp:posOffset>2026920</wp:posOffset>
            </wp:positionV>
            <wp:extent cx="3544570" cy="4675505"/>
            <wp:effectExtent l="0" t="0" r="0" b="0"/>
            <wp:wrapSquare wrapText="bothSides"/>
            <wp:docPr id="762183478" name="Picture 1" descr="A screenshot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183478" name="Picture 1" descr="A screenshot of a chart&#10;&#10;Description automatically generated"/>
                    <pic:cNvPicPr/>
                  </pic:nvPicPr>
                  <pic:blipFill>
                    <a:blip r:embed="rId10"/>
                    <a:stretch>
                      <a:fillRect/>
                    </a:stretch>
                  </pic:blipFill>
                  <pic:spPr>
                    <a:xfrm>
                      <a:off x="0" y="0"/>
                      <a:ext cx="3544570" cy="4675505"/>
                    </a:xfrm>
                    <a:prstGeom prst="rect">
                      <a:avLst/>
                    </a:prstGeom>
                  </pic:spPr>
                </pic:pic>
              </a:graphicData>
            </a:graphic>
            <wp14:sizeRelH relativeFrom="page">
              <wp14:pctWidth>0</wp14:pctWidth>
            </wp14:sizeRelH>
            <wp14:sizeRelV relativeFrom="page">
              <wp14:pctHeight>0</wp14:pctHeight>
            </wp14:sizeRelV>
          </wp:anchor>
        </w:drawing>
      </w:r>
      <w:r>
        <w:rPr>
          <w:rFonts w:ascii="Arial" w:eastAsia="SimSun" w:hAnsi="Arial" w:cs="Arial"/>
          <w:sz w:val="20"/>
          <w:szCs w:val="20"/>
          <w:lang w:val="fr"/>
        </w:rPr>
        <w:t xml:space="preserve">les pénuries alimentaires après les cyclones les plus récents. </w:t>
      </w:r>
    </w:p>
    <w:p w14:paraId="5B2A92C3" w14:textId="2A5802E0" w:rsidR="005E61A1" w:rsidRDefault="00F90754" w:rsidP="00F90754">
      <w:pPr>
        <w:widowControl w:val="0"/>
        <w:tabs>
          <w:tab w:val="left" w:pos="567"/>
        </w:tabs>
        <w:snapToGrid w:val="0"/>
        <w:spacing w:after="60" w:line="280" w:lineRule="exact"/>
        <w:ind w:left="5040"/>
        <w:jc w:val="both"/>
        <w:rPr>
          <w:rFonts w:ascii="Arial" w:eastAsia="SimSun" w:hAnsi="Arial" w:cs="Arial"/>
          <w:sz w:val="20"/>
          <w:szCs w:val="20"/>
        </w:rPr>
      </w:pPr>
      <w:r>
        <w:rPr>
          <w:rFonts w:ascii="Arial" w:hAnsi="Arial"/>
          <w:sz w:val="20"/>
          <w:szCs w:val="20"/>
          <w:lang w:val="fr"/>
        </w:rPr>
        <w:t>Ce contexte de transformations historiques des personnes, des lieux et des histoires permet une analyse détaillée des réponses à une série de cyclones majeurs, qui ont eu lieu en 1873, 1910, 1939, 1972 et 1988. À partir du cyclone de 1873, avec la diminution de la diversité des cultures vivrières, la pénurie alimentaire est devenue monnaie courante dans les banques et les premières aides alimentaires non traditionnelles et extérieures ont été fournies. À partir de 1910, les aliments traditionnels de la famine, comme le sagou, ont disparu. Bien que les réseaux traditionnels aient encore été activés en 1939, ils ont été remplacés en 1972 par des liens avec les agences gouvernementales et les parents des migrants dans la capitale, Port Vila. Chacun de ces changements historiques, provoqués par les effets de la mondialisation, a remodelé les conditions antérieures à la catastrophe, qui ont à leur tour redéfini l'impact de la catastrophe sur le PCI et les changements simultanés de résilience à mesure que la diversité culturelle et la diversité des moyens de subsistance se sont amenuisées avec le temps.</w:t>
      </w:r>
    </w:p>
    <w:p w14:paraId="2B0ABD6F" w14:textId="77777777" w:rsidR="00F90754" w:rsidRDefault="00F90754" w:rsidP="005E61A1">
      <w:pPr>
        <w:widowControl w:val="0"/>
        <w:tabs>
          <w:tab w:val="left" w:pos="567"/>
        </w:tabs>
        <w:snapToGrid w:val="0"/>
        <w:spacing w:after="60" w:line="280" w:lineRule="exact"/>
        <w:jc w:val="both"/>
        <w:rPr>
          <w:rFonts w:ascii="Arial" w:eastAsia="SimSun" w:hAnsi="Arial" w:cs="Arial"/>
          <w:b/>
          <w:bCs/>
          <w:iCs/>
          <w:sz w:val="20"/>
          <w:szCs w:val="20"/>
        </w:rPr>
      </w:pPr>
    </w:p>
    <w:p w14:paraId="0B4D2047" w14:textId="16894437" w:rsidR="005E61A1" w:rsidRPr="005E61A1" w:rsidRDefault="005E61A1" w:rsidP="005E61A1">
      <w:pPr>
        <w:widowControl w:val="0"/>
        <w:tabs>
          <w:tab w:val="left" w:pos="567"/>
        </w:tabs>
        <w:snapToGrid w:val="0"/>
        <w:spacing w:after="60" w:line="280" w:lineRule="exact"/>
        <w:jc w:val="both"/>
        <w:rPr>
          <w:rFonts w:ascii="Arial" w:eastAsia="SimSun" w:hAnsi="Arial" w:cs="Arial"/>
          <w:b/>
          <w:bCs/>
          <w:iCs/>
          <w:sz w:val="20"/>
          <w:szCs w:val="20"/>
        </w:rPr>
      </w:pPr>
      <w:r>
        <w:rPr>
          <w:rFonts w:ascii="Arial" w:eastAsia="SimSun" w:hAnsi="Arial" w:cs="Arial"/>
          <w:b/>
          <w:bCs/>
          <w:sz w:val="20"/>
          <w:szCs w:val="20"/>
          <w:lang w:val="fr"/>
        </w:rPr>
        <w:t>Points à soulever par le facilitateur après avoir présenté l'étude de cas :</w:t>
      </w:r>
    </w:p>
    <w:p w14:paraId="2D289570" w14:textId="77777777" w:rsidR="007D55D0" w:rsidRPr="007D55D0" w:rsidRDefault="007D55D0" w:rsidP="007D55D0">
      <w:pPr>
        <w:widowControl w:val="0"/>
        <w:numPr>
          <w:ilvl w:val="0"/>
          <w:numId w:val="1"/>
        </w:numPr>
        <w:tabs>
          <w:tab w:val="left" w:pos="567"/>
        </w:tabs>
        <w:snapToGrid w:val="0"/>
        <w:spacing w:after="60" w:line="280" w:lineRule="exact"/>
        <w:jc w:val="both"/>
        <w:rPr>
          <w:rFonts w:ascii="Arial" w:eastAsia="SimSun" w:hAnsi="Arial" w:cs="Arial"/>
          <w:sz w:val="20"/>
          <w:szCs w:val="20"/>
        </w:rPr>
      </w:pPr>
      <w:r>
        <w:rPr>
          <w:rFonts w:ascii="Arial" w:eastAsia="SimSun" w:hAnsi="Arial" w:cs="Arial"/>
          <w:sz w:val="20"/>
          <w:szCs w:val="20"/>
          <w:lang w:val="fr"/>
        </w:rPr>
        <w:t>Un tel cadre historique est essentiel pour comprendre la manière dont les défis liés à la sauvegarde du PCI évoluent au fil du temps, en particulier dans les cas où les pratiques culturelles ont été affectées par le colonialisme ou la transformation de l'environnement. Nous pouvons qualifier ce cadre de compréhension plus long de « biographie des catastrophes liées au PCI ».</w:t>
      </w:r>
    </w:p>
    <w:p w14:paraId="343FD59A" w14:textId="59A77662" w:rsidR="005E61A1" w:rsidRPr="005E61A1" w:rsidRDefault="005E61A1" w:rsidP="005E61A1">
      <w:pPr>
        <w:widowControl w:val="0"/>
        <w:numPr>
          <w:ilvl w:val="0"/>
          <w:numId w:val="1"/>
        </w:numPr>
        <w:tabs>
          <w:tab w:val="left" w:pos="567"/>
        </w:tabs>
        <w:snapToGrid w:val="0"/>
        <w:spacing w:after="60" w:line="280" w:lineRule="exact"/>
        <w:jc w:val="both"/>
        <w:rPr>
          <w:rFonts w:ascii="Arial" w:eastAsia="SimSun" w:hAnsi="Arial" w:cs="Arial"/>
          <w:sz w:val="20"/>
          <w:szCs w:val="20"/>
        </w:rPr>
      </w:pPr>
      <w:r>
        <w:rPr>
          <w:rFonts w:ascii="Arial" w:eastAsia="SimSun" w:hAnsi="Arial" w:cs="Arial"/>
          <w:sz w:val="20"/>
          <w:szCs w:val="20"/>
          <w:lang w:val="fr"/>
        </w:rPr>
        <w:t xml:space="preserve">Nous devons comprendre les catastrophes dans ces contextes sociaux plus larges pour la </w:t>
      </w:r>
      <w:r>
        <w:rPr>
          <w:rFonts w:ascii="Arial" w:eastAsia="SimSun" w:hAnsi="Arial" w:cs="Arial"/>
          <w:sz w:val="20"/>
          <w:szCs w:val="20"/>
          <w:lang w:val="fr"/>
        </w:rPr>
        <w:lastRenderedPageBreak/>
        <w:t>connaissance des catastrophes, et dans des contextes historiques plus larges pour les événements individuels, comme base de référence pour évaluer et comprendre l'impact des catastrophes sur le PCI, et le rôle du PCI dans le soutien de la résilience face aux catastrophes.</w:t>
      </w:r>
    </w:p>
    <w:p w14:paraId="0FF23CA8" w14:textId="00E45894" w:rsidR="005E61A1" w:rsidRPr="005E61A1" w:rsidRDefault="005E61A1" w:rsidP="005E61A1">
      <w:pPr>
        <w:widowControl w:val="0"/>
        <w:numPr>
          <w:ilvl w:val="0"/>
          <w:numId w:val="1"/>
        </w:numPr>
        <w:tabs>
          <w:tab w:val="left" w:pos="567"/>
        </w:tabs>
        <w:snapToGrid w:val="0"/>
        <w:spacing w:after="60" w:line="280" w:lineRule="exact"/>
        <w:jc w:val="both"/>
        <w:rPr>
          <w:rFonts w:ascii="Arial" w:eastAsia="SimSun" w:hAnsi="Arial" w:cs="Arial"/>
          <w:sz w:val="20"/>
          <w:szCs w:val="20"/>
        </w:rPr>
      </w:pPr>
      <w:r>
        <w:rPr>
          <w:rFonts w:ascii="Arial" w:eastAsia="SimSun" w:hAnsi="Arial" w:cs="Arial"/>
          <w:sz w:val="20"/>
          <w:szCs w:val="20"/>
          <w:lang w:val="fr"/>
        </w:rPr>
        <w:t>La biographie des catastrophes liées au PCI montre comment les modalités de personnes, de lieu et d'histoire sont transformées individuellement et collectivement au fil du temps, générant un ensemble différent de conditions préalables pour chaque nouvelle catastrophe.</w:t>
      </w:r>
    </w:p>
    <w:p w14:paraId="5B27A69A" w14:textId="77777777" w:rsidR="003F41D2" w:rsidRPr="007D55D0" w:rsidRDefault="003F41D2" w:rsidP="003F41D2">
      <w:pPr>
        <w:widowControl w:val="0"/>
        <w:numPr>
          <w:ilvl w:val="0"/>
          <w:numId w:val="1"/>
        </w:numPr>
        <w:tabs>
          <w:tab w:val="left" w:pos="567"/>
        </w:tabs>
        <w:snapToGrid w:val="0"/>
        <w:spacing w:after="60" w:line="280" w:lineRule="exact"/>
        <w:jc w:val="both"/>
        <w:rPr>
          <w:rFonts w:ascii="Arial" w:eastAsia="SimSun" w:hAnsi="Arial" w:cs="Arial"/>
          <w:sz w:val="20"/>
          <w:szCs w:val="20"/>
        </w:rPr>
      </w:pPr>
      <w:r>
        <w:rPr>
          <w:rFonts w:ascii="Arial" w:eastAsia="SimSun" w:hAnsi="Arial" w:cs="Arial"/>
          <w:sz w:val="20"/>
          <w:szCs w:val="20"/>
          <w:lang w:val="fr"/>
        </w:rPr>
        <w:t xml:space="preserve">La source de cette étude de cas et des chiffres est la suivante : Campbell, John R. « Disasters and development in historical context : Tropical cyclone response in the Banks Islands, Northern Vanuatu. » </w:t>
      </w:r>
      <w:r>
        <w:rPr>
          <w:rFonts w:ascii="Arial" w:eastAsia="SimSun" w:hAnsi="Arial" w:cs="Arial"/>
          <w:i/>
          <w:iCs/>
          <w:sz w:val="20"/>
          <w:szCs w:val="20"/>
          <w:lang w:val="fr"/>
        </w:rPr>
        <w:t>International Journal of Mass Emergencies and Disasters</w:t>
      </w:r>
      <w:r>
        <w:rPr>
          <w:rFonts w:ascii="Arial" w:eastAsia="SimSun" w:hAnsi="Arial" w:cs="Arial"/>
          <w:sz w:val="20"/>
          <w:szCs w:val="20"/>
          <w:lang w:val="fr"/>
        </w:rPr>
        <w:t xml:space="preserve"> 8, no. 3 (1990) : 401-424 ; notez que la « biographie » de Campbell a été écrite avant la Convention de 2003 et ne fait donc pas référence au PCI.</w:t>
      </w:r>
    </w:p>
    <w:p w14:paraId="4C42A9CD" w14:textId="24CEB905" w:rsidR="00310CD0" w:rsidRPr="005E61A1" w:rsidRDefault="00310CD0" w:rsidP="005E61A1">
      <w:pPr>
        <w:widowControl w:val="0"/>
        <w:tabs>
          <w:tab w:val="left" w:pos="567"/>
        </w:tabs>
        <w:snapToGrid w:val="0"/>
        <w:spacing w:after="60" w:line="280" w:lineRule="exact"/>
        <w:jc w:val="both"/>
        <w:rPr>
          <w:rFonts w:ascii="Arial" w:eastAsia="SimSun" w:hAnsi="Arial" w:cs="Arial"/>
          <w:b/>
          <w:bCs/>
          <w:caps/>
          <w:sz w:val="20"/>
          <w:szCs w:val="20"/>
        </w:rPr>
      </w:pPr>
    </w:p>
    <w:sectPr w:rsidR="00310CD0" w:rsidRPr="005E61A1" w:rsidSect="00703091">
      <w:headerReference w:type="even" r:id="rId11"/>
      <w:headerReference w:type="default" r:id="rId12"/>
      <w:footerReference w:type="even"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AC66B" w14:textId="77777777" w:rsidR="00921A1C" w:rsidRDefault="00921A1C" w:rsidP="00CD20DF">
      <w:pPr>
        <w:spacing w:after="0" w:line="240" w:lineRule="auto"/>
      </w:pPr>
      <w:r>
        <w:separator/>
      </w:r>
    </w:p>
  </w:endnote>
  <w:endnote w:type="continuationSeparator" w:id="0">
    <w:p w14:paraId="5E3AB97D" w14:textId="77777777" w:rsidR="00921A1C" w:rsidRDefault="00921A1C" w:rsidP="00CD2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1D34" w14:textId="231C6FD4" w:rsidR="005F4004" w:rsidRPr="00791B56" w:rsidRDefault="005F4004" w:rsidP="00E7586E">
    <w:pPr>
      <w:pStyle w:val="Footer"/>
      <w:rPr>
        <w:rFonts w:ascii="Arial" w:hAnsi="Arial" w:cs="Arial"/>
        <w:sz w:val="16"/>
        <w:szCs w:val="16"/>
      </w:rPr>
    </w:pPr>
    <w:r>
      <w:rPr>
        <w:rFonts w:ascii="Arial" w:hAnsi="Arial" w:cs="Arial"/>
        <w:noProof/>
        <w:sz w:val="16"/>
        <w:szCs w:val="16"/>
        <w:lang w:val="fr"/>
      </w:rPr>
      <w:drawing>
        <wp:anchor distT="0" distB="0" distL="114300" distR="114300" simplePos="0" relativeHeight="251660288" behindDoc="0" locked="0" layoutInCell="1" allowOverlap="1" wp14:anchorId="495A1B86" wp14:editId="20DEB009">
          <wp:simplePos x="0" y="0"/>
          <wp:positionH relativeFrom="column">
            <wp:posOffset>2757998</wp:posOffset>
          </wp:positionH>
          <wp:positionV relativeFrom="paragraph">
            <wp:posOffset>116840</wp:posOffset>
          </wp:positionV>
          <wp:extent cx="542925" cy="190500"/>
          <wp:effectExtent l="0" t="0" r="9525" b="0"/>
          <wp:wrapThrough wrapText="bothSides">
            <wp:wrapPolygon edited="0">
              <wp:start x="0" y="0"/>
              <wp:lineTo x="0" y="19440"/>
              <wp:lineTo x="21221" y="19440"/>
              <wp:lineTo x="2122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lang w:val="fr"/>
      </w:rPr>
      <w:drawing>
        <wp:anchor distT="0" distB="0" distL="114300" distR="114300" simplePos="0" relativeHeight="251659264" behindDoc="0" locked="0" layoutInCell="1" allowOverlap="1" wp14:anchorId="1A140045" wp14:editId="0C5B16FC">
          <wp:simplePos x="0" y="0"/>
          <wp:positionH relativeFrom="column">
            <wp:posOffset>4776721</wp:posOffset>
          </wp:positionH>
          <wp:positionV relativeFrom="paragraph">
            <wp:posOffset>-229450</wp:posOffset>
          </wp:positionV>
          <wp:extent cx="986790" cy="605155"/>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png"/>
                  <pic:cNvPicPr/>
                </pic:nvPicPr>
                <pic:blipFill>
                  <a:blip r:embed="rId2">
                    <a:extLst>
                      <a:ext uri="{28A0092B-C50C-407E-A947-70E740481C1C}">
                        <a14:useLocalDpi xmlns:a14="http://schemas.microsoft.com/office/drawing/2010/main" val="0"/>
                      </a:ext>
                    </a:extLst>
                  </a:blip>
                  <a:stretch>
                    <a:fillRect/>
                  </a:stretch>
                </pic:blipFill>
                <pic:spPr>
                  <a:xfrm>
                    <a:off x="0" y="0"/>
                    <a:ext cx="986790" cy="60515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16"/>
        <w:szCs w:val="16"/>
        <w:lang w:val="fr"/>
      </w:rPr>
      <w:t>U064-v1.0-FN FR</w:t>
    </w:r>
    <w:r>
      <w:rPr>
        <w:rFonts w:ascii="Arial" w:hAnsi="Arial" w:cs="Arial"/>
        <w:sz w:val="16"/>
        <w:szCs w:val="16"/>
        <w:lang w:val="fr"/>
      </w:rPr>
      <w:tab/>
    </w:r>
    <w:r>
      <w:rPr>
        <w:rFonts w:ascii="Arial" w:hAnsi="Arial" w:cs="Arial"/>
        <w:sz w:val="16"/>
        <w:szCs w:val="16"/>
        <w:lang w:val="fr"/>
      </w:rPr>
      <w:tab/>
      <w:t>=</w:t>
    </w:r>
  </w:p>
  <w:p w14:paraId="34111954" w14:textId="77777777" w:rsidR="005F4004" w:rsidRDefault="005F4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7FADF" w14:textId="77777777" w:rsidR="00921A1C" w:rsidRDefault="00921A1C" w:rsidP="00CD20DF">
      <w:pPr>
        <w:spacing w:after="0" w:line="240" w:lineRule="auto"/>
      </w:pPr>
      <w:r>
        <w:separator/>
      </w:r>
    </w:p>
  </w:footnote>
  <w:footnote w:type="continuationSeparator" w:id="0">
    <w:p w14:paraId="6446432B" w14:textId="77777777" w:rsidR="00921A1C" w:rsidRDefault="00921A1C" w:rsidP="00CD2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33847" w14:textId="56E5EE80" w:rsidR="005F4004" w:rsidRPr="009316D5" w:rsidRDefault="00F73F09" w:rsidP="00703091">
    <w:pPr>
      <w:pStyle w:val="Header"/>
      <w:rPr>
        <w:rFonts w:asciiTheme="minorBidi" w:hAnsiTheme="minorBidi"/>
        <w:sz w:val="16"/>
        <w:szCs w:val="16"/>
      </w:rPr>
    </w:pPr>
    <w:r>
      <w:rPr>
        <w:rStyle w:val="PageNumber"/>
        <w:rFonts w:asciiTheme="minorBidi" w:hAnsiTheme="minorBidi"/>
        <w:sz w:val="16"/>
        <w:szCs w:val="16"/>
        <w:lang w:val="fr"/>
      </w:rPr>
      <w:fldChar w:fldCharType="begin"/>
    </w:r>
    <w:r>
      <w:rPr>
        <w:rStyle w:val="PageNumber"/>
        <w:rFonts w:asciiTheme="minorBidi" w:hAnsiTheme="minorBidi"/>
        <w:sz w:val="16"/>
        <w:szCs w:val="16"/>
        <w:lang w:val="fr"/>
      </w:rPr>
      <w:instrText xml:space="preserve"> PAGE </w:instrText>
    </w:r>
    <w:r>
      <w:rPr>
        <w:rStyle w:val="PageNumber"/>
        <w:rFonts w:asciiTheme="minorBidi" w:hAnsiTheme="minorBidi"/>
        <w:sz w:val="16"/>
        <w:szCs w:val="16"/>
        <w:lang w:val="fr"/>
      </w:rPr>
      <w:fldChar w:fldCharType="separate"/>
    </w:r>
    <w:r>
      <w:rPr>
        <w:rStyle w:val="PageNumber"/>
        <w:rFonts w:asciiTheme="minorBidi" w:hAnsiTheme="minorBidi"/>
        <w:noProof/>
        <w:sz w:val="16"/>
        <w:szCs w:val="16"/>
        <w:lang w:val="fr"/>
      </w:rPr>
      <w:t>2</w:t>
    </w:r>
    <w:r>
      <w:rPr>
        <w:rStyle w:val="PageNumber"/>
        <w:rFonts w:asciiTheme="minorBidi" w:hAnsiTheme="minorBidi"/>
        <w:sz w:val="16"/>
        <w:szCs w:val="16"/>
        <w:lang w:val="fr"/>
      </w:rPr>
      <w:fldChar w:fldCharType="end"/>
    </w:r>
    <w:r>
      <w:rPr>
        <w:rStyle w:val="PageNumber"/>
        <w:rFonts w:asciiTheme="minorBidi" w:hAnsiTheme="minorBidi"/>
        <w:sz w:val="16"/>
        <w:szCs w:val="16"/>
        <w:lang w:val="fr"/>
      </w:rPr>
      <w:tab/>
    </w:r>
    <w:r>
      <w:rPr>
        <w:rFonts w:asciiTheme="minorBidi" w:hAnsiTheme="minorBidi"/>
        <w:sz w:val="16"/>
        <w:szCs w:val="16"/>
        <w:lang w:val="fr"/>
      </w:rPr>
      <w:t>U064 : Intégration du risque de catastrophe dans l'inventaire du PCI</w:t>
    </w:r>
    <w:r>
      <w:rPr>
        <w:rFonts w:asciiTheme="minorBidi" w:hAnsiTheme="minorBidi"/>
        <w:sz w:val="16"/>
        <w:szCs w:val="16"/>
        <w:lang w:val="fr"/>
      </w:rPr>
      <w:tab/>
      <w:t>Étude de cas 2</w:t>
    </w:r>
  </w:p>
  <w:p w14:paraId="083ED9FB" w14:textId="77777777" w:rsidR="005F4004" w:rsidRPr="00703091" w:rsidRDefault="005F40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38849" w14:textId="59CF2724" w:rsidR="005F4004" w:rsidRPr="009316D5" w:rsidRDefault="005F4004" w:rsidP="00703091">
    <w:pPr>
      <w:pStyle w:val="Header"/>
      <w:rPr>
        <w:rFonts w:asciiTheme="minorBidi" w:hAnsiTheme="minorBidi"/>
        <w:sz w:val="16"/>
        <w:szCs w:val="16"/>
      </w:rPr>
    </w:pPr>
    <w:r>
      <w:rPr>
        <w:rStyle w:val="PageNumber"/>
        <w:rFonts w:asciiTheme="minorBidi" w:hAnsiTheme="minorBidi"/>
        <w:sz w:val="16"/>
        <w:szCs w:val="16"/>
        <w:lang w:val="fr"/>
      </w:rPr>
      <w:fldChar w:fldCharType="begin"/>
    </w:r>
    <w:r>
      <w:rPr>
        <w:rStyle w:val="PageNumber"/>
        <w:rFonts w:asciiTheme="minorBidi" w:hAnsiTheme="minorBidi"/>
        <w:sz w:val="16"/>
        <w:szCs w:val="16"/>
        <w:lang w:val="fr"/>
      </w:rPr>
      <w:instrText xml:space="preserve"> PAGE </w:instrText>
    </w:r>
    <w:r>
      <w:rPr>
        <w:rStyle w:val="PageNumber"/>
        <w:rFonts w:asciiTheme="minorBidi" w:hAnsiTheme="minorBidi"/>
        <w:sz w:val="16"/>
        <w:szCs w:val="16"/>
        <w:lang w:val="fr"/>
      </w:rPr>
      <w:fldChar w:fldCharType="separate"/>
    </w:r>
    <w:r>
      <w:rPr>
        <w:rStyle w:val="PageNumber"/>
        <w:rFonts w:asciiTheme="minorBidi" w:hAnsiTheme="minorBidi"/>
        <w:noProof/>
        <w:sz w:val="16"/>
        <w:szCs w:val="16"/>
        <w:lang w:val="fr"/>
      </w:rPr>
      <w:t>3</w:t>
    </w:r>
    <w:r>
      <w:rPr>
        <w:rStyle w:val="PageNumber"/>
        <w:rFonts w:asciiTheme="minorBidi" w:hAnsiTheme="minorBidi"/>
        <w:sz w:val="16"/>
        <w:szCs w:val="16"/>
        <w:lang w:val="fr"/>
      </w:rPr>
      <w:fldChar w:fldCharType="end"/>
    </w:r>
    <w:r>
      <w:rPr>
        <w:rStyle w:val="PageNumber"/>
        <w:rFonts w:asciiTheme="minorBidi" w:hAnsiTheme="minorBidi"/>
        <w:sz w:val="16"/>
        <w:szCs w:val="16"/>
        <w:lang w:val="fr"/>
      </w:rPr>
      <w:tab/>
    </w:r>
    <w:r>
      <w:rPr>
        <w:rFonts w:asciiTheme="minorBidi" w:hAnsiTheme="minorBidi"/>
        <w:sz w:val="16"/>
        <w:szCs w:val="16"/>
        <w:lang w:val="fr"/>
      </w:rPr>
      <w:t>U064 : Principes de base de la réduction des risques de catastrophes et PCI</w:t>
    </w:r>
    <w:r>
      <w:rPr>
        <w:rFonts w:asciiTheme="minorBidi" w:hAnsiTheme="minorBidi"/>
        <w:sz w:val="16"/>
        <w:szCs w:val="16"/>
        <w:lang w:val="fr"/>
      </w:rPr>
      <w:tab/>
      <w:t>Notes du facilitateur</w:t>
    </w:r>
  </w:p>
  <w:p w14:paraId="390948F8" w14:textId="4DFB9438" w:rsidR="005F4004" w:rsidRPr="00703091" w:rsidRDefault="005F40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2A6A" w14:textId="6F7E2F35" w:rsidR="009D7BE6" w:rsidRPr="009316D5" w:rsidRDefault="00F73F09" w:rsidP="009D7BE6">
    <w:pPr>
      <w:pStyle w:val="Header"/>
      <w:rPr>
        <w:rFonts w:asciiTheme="minorBidi" w:hAnsiTheme="minorBidi"/>
        <w:sz w:val="16"/>
        <w:szCs w:val="16"/>
      </w:rPr>
    </w:pPr>
    <w:r>
      <w:rPr>
        <w:rStyle w:val="PageNumber"/>
        <w:rFonts w:asciiTheme="minorBidi" w:hAnsiTheme="minorBidi"/>
        <w:sz w:val="16"/>
        <w:szCs w:val="16"/>
        <w:lang w:val="fr"/>
      </w:rPr>
      <w:fldChar w:fldCharType="begin"/>
    </w:r>
    <w:r>
      <w:rPr>
        <w:rStyle w:val="PageNumber"/>
        <w:rFonts w:asciiTheme="minorBidi" w:hAnsiTheme="minorBidi"/>
        <w:sz w:val="16"/>
        <w:szCs w:val="16"/>
        <w:lang w:val="fr"/>
      </w:rPr>
      <w:instrText xml:space="preserve"> PAGE </w:instrText>
    </w:r>
    <w:r>
      <w:rPr>
        <w:rStyle w:val="PageNumber"/>
        <w:rFonts w:asciiTheme="minorBidi" w:hAnsiTheme="minorBidi"/>
        <w:sz w:val="16"/>
        <w:szCs w:val="16"/>
        <w:lang w:val="fr"/>
      </w:rPr>
      <w:fldChar w:fldCharType="separate"/>
    </w:r>
    <w:r>
      <w:rPr>
        <w:rStyle w:val="PageNumber"/>
        <w:rFonts w:asciiTheme="minorBidi" w:hAnsiTheme="minorBidi"/>
        <w:noProof/>
        <w:sz w:val="16"/>
        <w:szCs w:val="16"/>
        <w:lang w:val="fr"/>
      </w:rPr>
      <w:t>1</w:t>
    </w:r>
    <w:r>
      <w:rPr>
        <w:rStyle w:val="PageNumber"/>
        <w:rFonts w:asciiTheme="minorBidi" w:hAnsiTheme="minorBidi"/>
        <w:sz w:val="16"/>
        <w:szCs w:val="16"/>
        <w:lang w:val="fr"/>
      </w:rPr>
      <w:fldChar w:fldCharType="end"/>
    </w:r>
    <w:r>
      <w:rPr>
        <w:rStyle w:val="PageNumber"/>
        <w:rFonts w:asciiTheme="minorBidi" w:hAnsiTheme="minorBidi"/>
        <w:sz w:val="16"/>
        <w:szCs w:val="16"/>
        <w:lang w:val="fr"/>
      </w:rPr>
      <w:tab/>
    </w:r>
    <w:r>
      <w:rPr>
        <w:rFonts w:asciiTheme="minorBidi" w:hAnsiTheme="minorBidi"/>
        <w:sz w:val="16"/>
        <w:szCs w:val="16"/>
        <w:lang w:val="fr"/>
      </w:rPr>
      <w:t>U064 : Intégration du risque de catastrophe dans l'inventaire du PCI</w:t>
    </w:r>
    <w:r>
      <w:rPr>
        <w:rFonts w:asciiTheme="minorBidi" w:hAnsiTheme="minorBidi"/>
        <w:sz w:val="16"/>
        <w:szCs w:val="16"/>
        <w:lang w:val="fr"/>
      </w:rPr>
      <w:tab/>
      <w:t>Étude de cas 2</w:t>
    </w:r>
  </w:p>
  <w:p w14:paraId="104E70AB" w14:textId="0DE6E730" w:rsidR="005F4004" w:rsidRPr="00682029" w:rsidRDefault="005F4004" w:rsidP="009D7B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0D6"/>
    <w:multiLevelType w:val="hybridMultilevel"/>
    <w:tmpl w:val="3482D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24091"/>
    <w:multiLevelType w:val="hybridMultilevel"/>
    <w:tmpl w:val="77A67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B70708"/>
    <w:multiLevelType w:val="hybridMultilevel"/>
    <w:tmpl w:val="6850582E"/>
    <w:lvl w:ilvl="0" w:tplc="4978CE52">
      <w:start w:val="1"/>
      <w:numFmt w:val="bullet"/>
      <w:pStyle w:val="Upuce"/>
      <w:lvlText w:val=""/>
      <w:lvlJc w:val="left"/>
      <w:pPr>
        <w:ind w:left="360" w:hanging="360"/>
      </w:pPr>
      <w:rPr>
        <w:rFonts w:ascii="Symbol" w:hAnsi="Symbol" w:hint="default"/>
      </w:rPr>
    </w:lvl>
    <w:lvl w:ilvl="1" w:tplc="040C0019">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3" w15:restartNumberingAfterBreak="0">
    <w:nsid w:val="1A69628B"/>
    <w:multiLevelType w:val="hybridMultilevel"/>
    <w:tmpl w:val="74929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755C9A"/>
    <w:multiLevelType w:val="hybridMultilevel"/>
    <w:tmpl w:val="FB9AE1B0"/>
    <w:lvl w:ilvl="0" w:tplc="DA9C523E">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907C9"/>
    <w:multiLevelType w:val="hybridMultilevel"/>
    <w:tmpl w:val="D12E5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B95775"/>
    <w:multiLevelType w:val="hybridMultilevel"/>
    <w:tmpl w:val="EDEAC62A"/>
    <w:lvl w:ilvl="0" w:tplc="C2ACDB3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E320CA"/>
    <w:multiLevelType w:val="hybridMultilevel"/>
    <w:tmpl w:val="2A5C9A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02F5F89"/>
    <w:multiLevelType w:val="hybridMultilevel"/>
    <w:tmpl w:val="86A29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C54D2D"/>
    <w:multiLevelType w:val="hybridMultilevel"/>
    <w:tmpl w:val="D400A80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2775805"/>
    <w:multiLevelType w:val="hybridMultilevel"/>
    <w:tmpl w:val="20F47B7E"/>
    <w:lvl w:ilvl="0" w:tplc="0809000F">
      <w:start w:val="1"/>
      <w:numFmt w:val="decimal"/>
      <w:lvlText w:val="%1."/>
      <w:lvlJc w:val="left"/>
      <w:pPr>
        <w:ind w:left="720" w:hanging="360"/>
      </w:pPr>
    </w:lvl>
    <w:lvl w:ilvl="1" w:tplc="32EA9C5C">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C515B4"/>
    <w:multiLevelType w:val="hybridMultilevel"/>
    <w:tmpl w:val="5A283C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5358A0"/>
    <w:multiLevelType w:val="hybridMultilevel"/>
    <w:tmpl w:val="760E509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1D13BA"/>
    <w:multiLevelType w:val="hybridMultilevel"/>
    <w:tmpl w:val="10DE589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6BD59CD"/>
    <w:multiLevelType w:val="hybridMultilevel"/>
    <w:tmpl w:val="C96A5B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B863B4"/>
    <w:multiLevelType w:val="hybridMultilevel"/>
    <w:tmpl w:val="62A82FD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2BE77135"/>
    <w:multiLevelType w:val="hybridMultilevel"/>
    <w:tmpl w:val="F70E9AF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706587"/>
    <w:multiLevelType w:val="hybridMultilevel"/>
    <w:tmpl w:val="76BC9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AE5ABF"/>
    <w:multiLevelType w:val="hybridMultilevel"/>
    <w:tmpl w:val="5718B6A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FA77E4"/>
    <w:multiLevelType w:val="hybridMultilevel"/>
    <w:tmpl w:val="6E4CC3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7679F8"/>
    <w:multiLevelType w:val="hybridMultilevel"/>
    <w:tmpl w:val="E2B037CA"/>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3C95664A"/>
    <w:multiLevelType w:val="hybridMultilevel"/>
    <w:tmpl w:val="EDA8CD5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9C7E1A"/>
    <w:multiLevelType w:val="hybridMultilevel"/>
    <w:tmpl w:val="1A7ECAF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11634D"/>
    <w:multiLevelType w:val="hybridMultilevel"/>
    <w:tmpl w:val="7BAE661C"/>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4" w15:restartNumberingAfterBreak="0">
    <w:nsid w:val="3D117217"/>
    <w:multiLevelType w:val="hybridMultilevel"/>
    <w:tmpl w:val="DF44C0F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E78512A"/>
    <w:multiLevelType w:val="hybridMultilevel"/>
    <w:tmpl w:val="5FB2ACF8"/>
    <w:lvl w:ilvl="0" w:tplc="3D7C4236">
      <w:start w:val="1"/>
      <w:numFmt w:val="bullet"/>
      <w:pStyle w:val="Txtpucegras"/>
      <w:lvlText w:val=""/>
      <w:lvlJc w:val="left"/>
      <w:pPr>
        <w:tabs>
          <w:tab w:val="num" w:pos="851"/>
        </w:tabs>
        <w:ind w:left="851" w:hanging="284"/>
      </w:pPr>
      <w:rPr>
        <w:rFonts w:ascii="Symbol" w:hAnsi="Symbol" w:hint="default"/>
      </w:rPr>
    </w:lvl>
    <w:lvl w:ilvl="1" w:tplc="040C0003">
      <w:start w:val="1"/>
      <w:numFmt w:val="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26" w15:restartNumberingAfterBreak="0">
    <w:nsid w:val="41453A9F"/>
    <w:multiLevelType w:val="hybridMultilevel"/>
    <w:tmpl w:val="56DC8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9374BC"/>
    <w:multiLevelType w:val="hybridMultilevel"/>
    <w:tmpl w:val="39D0549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0A412F"/>
    <w:multiLevelType w:val="hybridMultilevel"/>
    <w:tmpl w:val="BEF8DBD6"/>
    <w:lvl w:ilvl="0" w:tplc="AA5AC9FE">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9" w15:restartNumberingAfterBreak="0">
    <w:nsid w:val="4BA6652D"/>
    <w:multiLevelType w:val="hybridMultilevel"/>
    <w:tmpl w:val="98662A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7836E1"/>
    <w:multiLevelType w:val="hybridMultilevel"/>
    <w:tmpl w:val="F918A07A"/>
    <w:lvl w:ilvl="0" w:tplc="BD585E10">
      <w:start w:val="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1242F1"/>
    <w:multiLevelType w:val="hybridMultilevel"/>
    <w:tmpl w:val="A6CC70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28C09D7"/>
    <w:multiLevelType w:val="hybridMultilevel"/>
    <w:tmpl w:val="4B7E8A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6F0FE0"/>
    <w:multiLevelType w:val="hybridMultilevel"/>
    <w:tmpl w:val="89AACF40"/>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4" w15:restartNumberingAfterBreak="0">
    <w:nsid w:val="53DC56BA"/>
    <w:multiLevelType w:val="hybridMultilevel"/>
    <w:tmpl w:val="ED4C0A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DF672D7"/>
    <w:multiLevelType w:val="hybridMultilevel"/>
    <w:tmpl w:val="EE5E4E04"/>
    <w:lvl w:ilvl="0" w:tplc="726054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C4C6C03"/>
    <w:multiLevelType w:val="hybridMultilevel"/>
    <w:tmpl w:val="1008556E"/>
    <w:lvl w:ilvl="0" w:tplc="A3765D8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F66C2A"/>
    <w:multiLevelType w:val="hybridMultilevel"/>
    <w:tmpl w:val="F75654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FF5AC3"/>
    <w:multiLevelType w:val="hybridMultilevel"/>
    <w:tmpl w:val="47A60C9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7038559B"/>
    <w:multiLevelType w:val="hybridMultilevel"/>
    <w:tmpl w:val="CD12DF00"/>
    <w:lvl w:ilvl="0" w:tplc="0C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1924F16"/>
    <w:multiLevelType w:val="hybridMultilevel"/>
    <w:tmpl w:val="97B80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5A4055"/>
    <w:multiLevelType w:val="hybridMultilevel"/>
    <w:tmpl w:val="F342F52A"/>
    <w:lvl w:ilvl="0" w:tplc="F70AC6CA">
      <w:start w:val="1"/>
      <w:numFmt w:val="low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8D496E"/>
    <w:multiLevelType w:val="hybridMultilevel"/>
    <w:tmpl w:val="9EF246D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EC1AEC"/>
    <w:multiLevelType w:val="hybridMultilevel"/>
    <w:tmpl w:val="3886F1D0"/>
    <w:lvl w:ilvl="0" w:tplc="4BB6E952">
      <w:start w:val="5"/>
      <w:numFmt w:val="decimal"/>
      <w:lvlText w:val="%1."/>
      <w:lvlJc w:val="left"/>
      <w:pPr>
        <w:ind w:left="360" w:hanging="360"/>
      </w:pPr>
      <w:rPr>
        <w:rFonts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3B40B77"/>
    <w:multiLevelType w:val="hybridMultilevel"/>
    <w:tmpl w:val="D57C703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5D95DC8"/>
    <w:multiLevelType w:val="hybridMultilevel"/>
    <w:tmpl w:val="278C6E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AF38CF"/>
    <w:multiLevelType w:val="hybridMultilevel"/>
    <w:tmpl w:val="6358830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DB555F"/>
    <w:multiLevelType w:val="hybridMultilevel"/>
    <w:tmpl w:val="C1AEA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2562FB"/>
    <w:multiLevelType w:val="hybridMultilevel"/>
    <w:tmpl w:val="5E3CB7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EA0096D"/>
    <w:multiLevelType w:val="hybridMultilevel"/>
    <w:tmpl w:val="7854A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1307399">
    <w:abstractNumId w:val="2"/>
  </w:num>
  <w:num w:numId="2" w16cid:durableId="354354773">
    <w:abstractNumId w:val="32"/>
  </w:num>
  <w:num w:numId="3" w16cid:durableId="744957759">
    <w:abstractNumId w:val="40"/>
  </w:num>
  <w:num w:numId="4" w16cid:durableId="393505531">
    <w:abstractNumId w:val="5"/>
  </w:num>
  <w:num w:numId="5" w16cid:durableId="1562136532">
    <w:abstractNumId w:val="26"/>
  </w:num>
  <w:num w:numId="6" w16cid:durableId="1429154575">
    <w:abstractNumId w:val="45"/>
  </w:num>
  <w:num w:numId="7" w16cid:durableId="1338193852">
    <w:abstractNumId w:val="47"/>
  </w:num>
  <w:num w:numId="8" w16cid:durableId="1370687134">
    <w:abstractNumId w:val="25"/>
  </w:num>
  <w:num w:numId="9" w16cid:durableId="494148762">
    <w:abstractNumId w:val="10"/>
  </w:num>
  <w:num w:numId="10" w16cid:durableId="937298187">
    <w:abstractNumId w:val="6"/>
  </w:num>
  <w:num w:numId="11" w16cid:durableId="1681084093">
    <w:abstractNumId w:val="23"/>
  </w:num>
  <w:num w:numId="12" w16cid:durableId="1888880431">
    <w:abstractNumId w:val="44"/>
  </w:num>
  <w:num w:numId="13" w16cid:durableId="1258900041">
    <w:abstractNumId w:val="46"/>
  </w:num>
  <w:num w:numId="14" w16cid:durableId="1757239496">
    <w:abstractNumId w:val="31"/>
  </w:num>
  <w:num w:numId="15" w16cid:durableId="570700344">
    <w:abstractNumId w:val="36"/>
  </w:num>
  <w:num w:numId="16" w16cid:durableId="1402563942">
    <w:abstractNumId w:val="16"/>
  </w:num>
  <w:num w:numId="17" w16cid:durableId="322583301">
    <w:abstractNumId w:val="28"/>
  </w:num>
  <w:num w:numId="18" w16cid:durableId="1210457565">
    <w:abstractNumId w:val="17"/>
  </w:num>
  <w:num w:numId="19" w16cid:durableId="1373337299">
    <w:abstractNumId w:val="33"/>
  </w:num>
  <w:num w:numId="20" w16cid:durableId="771969727">
    <w:abstractNumId w:val="7"/>
  </w:num>
  <w:num w:numId="21" w16cid:durableId="1104423837">
    <w:abstractNumId w:val="1"/>
  </w:num>
  <w:num w:numId="22" w16cid:durableId="1103964231">
    <w:abstractNumId w:val="27"/>
  </w:num>
  <w:num w:numId="23" w16cid:durableId="1059941642">
    <w:abstractNumId w:val="22"/>
  </w:num>
  <w:num w:numId="24" w16cid:durableId="738598429">
    <w:abstractNumId w:val="18"/>
  </w:num>
  <w:num w:numId="25" w16cid:durableId="250626000">
    <w:abstractNumId w:val="19"/>
  </w:num>
  <w:num w:numId="26" w16cid:durableId="802037272">
    <w:abstractNumId w:val="21"/>
  </w:num>
  <w:num w:numId="27" w16cid:durableId="1161308032">
    <w:abstractNumId w:val="9"/>
  </w:num>
  <w:num w:numId="28" w16cid:durableId="163202960">
    <w:abstractNumId w:val="38"/>
  </w:num>
  <w:num w:numId="29" w16cid:durableId="563688466">
    <w:abstractNumId w:val="20"/>
  </w:num>
  <w:num w:numId="30" w16cid:durableId="27069969">
    <w:abstractNumId w:val="34"/>
  </w:num>
  <w:num w:numId="31" w16cid:durableId="1535649594">
    <w:abstractNumId w:val="42"/>
  </w:num>
  <w:num w:numId="32" w16cid:durableId="1125538884">
    <w:abstractNumId w:val="41"/>
  </w:num>
  <w:num w:numId="33" w16cid:durableId="505943301">
    <w:abstractNumId w:val="0"/>
  </w:num>
  <w:num w:numId="34" w16cid:durableId="677775180">
    <w:abstractNumId w:val="37"/>
  </w:num>
  <w:num w:numId="35" w16cid:durableId="1526746297">
    <w:abstractNumId w:val="14"/>
  </w:num>
  <w:num w:numId="36" w16cid:durableId="845636673">
    <w:abstractNumId w:val="11"/>
  </w:num>
  <w:num w:numId="37" w16cid:durableId="843083496">
    <w:abstractNumId w:val="24"/>
  </w:num>
  <w:num w:numId="38" w16cid:durableId="935407631">
    <w:abstractNumId w:val="48"/>
  </w:num>
  <w:num w:numId="39" w16cid:durableId="318777783">
    <w:abstractNumId w:val="13"/>
  </w:num>
  <w:num w:numId="40" w16cid:durableId="1466200577">
    <w:abstractNumId w:val="35"/>
  </w:num>
  <w:num w:numId="41" w16cid:durableId="715589598">
    <w:abstractNumId w:val="43"/>
  </w:num>
  <w:num w:numId="42" w16cid:durableId="49116094">
    <w:abstractNumId w:val="29"/>
  </w:num>
  <w:num w:numId="43" w16cid:durableId="1160462673">
    <w:abstractNumId w:val="30"/>
  </w:num>
  <w:num w:numId="44" w16cid:durableId="877741294">
    <w:abstractNumId w:val="4"/>
  </w:num>
  <w:num w:numId="45" w16cid:durableId="123692707">
    <w:abstractNumId w:val="49"/>
  </w:num>
  <w:num w:numId="46" w16cid:durableId="302807491">
    <w:abstractNumId w:val="15"/>
  </w:num>
  <w:num w:numId="47" w16cid:durableId="271324492">
    <w:abstractNumId w:val="39"/>
  </w:num>
  <w:num w:numId="48" w16cid:durableId="1567640025">
    <w:abstractNumId w:val="3"/>
  </w:num>
  <w:num w:numId="49" w16cid:durableId="1702584406">
    <w:abstractNumId w:val="12"/>
  </w:num>
  <w:num w:numId="50" w16cid:durableId="5117267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hyphenationZone w:val="425"/>
  <w:evenAndOddHeaders/>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33D"/>
    <w:rsid w:val="00004C48"/>
    <w:rsid w:val="00004CCD"/>
    <w:rsid w:val="00011B0C"/>
    <w:rsid w:val="00013A5D"/>
    <w:rsid w:val="00013D67"/>
    <w:rsid w:val="00016BF0"/>
    <w:rsid w:val="00020F7D"/>
    <w:rsid w:val="00021C76"/>
    <w:rsid w:val="00022914"/>
    <w:rsid w:val="00026018"/>
    <w:rsid w:val="00033FA5"/>
    <w:rsid w:val="00035E0C"/>
    <w:rsid w:val="0004531D"/>
    <w:rsid w:val="000454AC"/>
    <w:rsid w:val="00046949"/>
    <w:rsid w:val="0005133D"/>
    <w:rsid w:val="000535A6"/>
    <w:rsid w:val="00054539"/>
    <w:rsid w:val="000618FE"/>
    <w:rsid w:val="00063016"/>
    <w:rsid w:val="000670A1"/>
    <w:rsid w:val="000719FC"/>
    <w:rsid w:val="000726E5"/>
    <w:rsid w:val="00080EB8"/>
    <w:rsid w:val="00081BAB"/>
    <w:rsid w:val="00093CAE"/>
    <w:rsid w:val="00096224"/>
    <w:rsid w:val="000A7FB8"/>
    <w:rsid w:val="000B7B13"/>
    <w:rsid w:val="000C6C6B"/>
    <w:rsid w:val="000D465F"/>
    <w:rsid w:val="000D6333"/>
    <w:rsid w:val="001071DB"/>
    <w:rsid w:val="00120AF7"/>
    <w:rsid w:val="00123806"/>
    <w:rsid w:val="0012722B"/>
    <w:rsid w:val="00133BCB"/>
    <w:rsid w:val="0013411B"/>
    <w:rsid w:val="00140792"/>
    <w:rsid w:val="00142305"/>
    <w:rsid w:val="00143DCE"/>
    <w:rsid w:val="00150672"/>
    <w:rsid w:val="00155571"/>
    <w:rsid w:val="00160902"/>
    <w:rsid w:val="001625F6"/>
    <w:rsid w:val="00181322"/>
    <w:rsid w:val="00182AF4"/>
    <w:rsid w:val="0019115A"/>
    <w:rsid w:val="00193005"/>
    <w:rsid w:val="001A0189"/>
    <w:rsid w:val="001A0C98"/>
    <w:rsid w:val="001B23FC"/>
    <w:rsid w:val="001B741D"/>
    <w:rsid w:val="001C46C9"/>
    <w:rsid w:val="001C52C8"/>
    <w:rsid w:val="001F091E"/>
    <w:rsid w:val="001F3E6A"/>
    <w:rsid w:val="001F671B"/>
    <w:rsid w:val="00201136"/>
    <w:rsid w:val="0020746A"/>
    <w:rsid w:val="002126BC"/>
    <w:rsid w:val="00233445"/>
    <w:rsid w:val="00244722"/>
    <w:rsid w:val="00264B1C"/>
    <w:rsid w:val="00271D74"/>
    <w:rsid w:val="00277FA1"/>
    <w:rsid w:val="00281F4B"/>
    <w:rsid w:val="00287D7F"/>
    <w:rsid w:val="00295B58"/>
    <w:rsid w:val="002A0D83"/>
    <w:rsid w:val="002C04B0"/>
    <w:rsid w:val="002C150F"/>
    <w:rsid w:val="002C6022"/>
    <w:rsid w:val="002D293A"/>
    <w:rsid w:val="002D466E"/>
    <w:rsid w:val="002D7D87"/>
    <w:rsid w:val="002E50F7"/>
    <w:rsid w:val="002F3F80"/>
    <w:rsid w:val="00301A22"/>
    <w:rsid w:val="00302AF5"/>
    <w:rsid w:val="00303D25"/>
    <w:rsid w:val="00310CD0"/>
    <w:rsid w:val="00310D26"/>
    <w:rsid w:val="003136F7"/>
    <w:rsid w:val="003218E2"/>
    <w:rsid w:val="003240A8"/>
    <w:rsid w:val="003318D0"/>
    <w:rsid w:val="003458FA"/>
    <w:rsid w:val="00347478"/>
    <w:rsid w:val="00353ED1"/>
    <w:rsid w:val="00362E84"/>
    <w:rsid w:val="00365104"/>
    <w:rsid w:val="003661A9"/>
    <w:rsid w:val="003746A0"/>
    <w:rsid w:val="00384258"/>
    <w:rsid w:val="00390297"/>
    <w:rsid w:val="0039637C"/>
    <w:rsid w:val="003A5E29"/>
    <w:rsid w:val="003B084C"/>
    <w:rsid w:val="003B1093"/>
    <w:rsid w:val="003C1B62"/>
    <w:rsid w:val="003E5E6B"/>
    <w:rsid w:val="003E71FC"/>
    <w:rsid w:val="003F41D2"/>
    <w:rsid w:val="003F64C7"/>
    <w:rsid w:val="004126E8"/>
    <w:rsid w:val="00416E87"/>
    <w:rsid w:val="00425236"/>
    <w:rsid w:val="00434C4F"/>
    <w:rsid w:val="0044319E"/>
    <w:rsid w:val="00443818"/>
    <w:rsid w:val="00453FDD"/>
    <w:rsid w:val="004576C6"/>
    <w:rsid w:val="00463C5E"/>
    <w:rsid w:val="00466A82"/>
    <w:rsid w:val="00471E7D"/>
    <w:rsid w:val="00473455"/>
    <w:rsid w:val="0047466C"/>
    <w:rsid w:val="004758D3"/>
    <w:rsid w:val="00480B8C"/>
    <w:rsid w:val="00480FB1"/>
    <w:rsid w:val="004825DC"/>
    <w:rsid w:val="00492DEB"/>
    <w:rsid w:val="004B3550"/>
    <w:rsid w:val="004B6447"/>
    <w:rsid w:val="004B75CA"/>
    <w:rsid w:val="004C610A"/>
    <w:rsid w:val="004E5E45"/>
    <w:rsid w:val="00506258"/>
    <w:rsid w:val="005224F6"/>
    <w:rsid w:val="00523F4D"/>
    <w:rsid w:val="00525FE0"/>
    <w:rsid w:val="0054040F"/>
    <w:rsid w:val="00551744"/>
    <w:rsid w:val="00554170"/>
    <w:rsid w:val="005542C4"/>
    <w:rsid w:val="00554311"/>
    <w:rsid w:val="00554F71"/>
    <w:rsid w:val="005634C0"/>
    <w:rsid w:val="00586220"/>
    <w:rsid w:val="00586F77"/>
    <w:rsid w:val="005A0D13"/>
    <w:rsid w:val="005A7774"/>
    <w:rsid w:val="005D1F9C"/>
    <w:rsid w:val="005E1137"/>
    <w:rsid w:val="005E463C"/>
    <w:rsid w:val="005E61A1"/>
    <w:rsid w:val="005F199A"/>
    <w:rsid w:val="005F4004"/>
    <w:rsid w:val="006027C6"/>
    <w:rsid w:val="00604FAF"/>
    <w:rsid w:val="00611E20"/>
    <w:rsid w:val="0061300A"/>
    <w:rsid w:val="00615E04"/>
    <w:rsid w:val="00615F29"/>
    <w:rsid w:val="00617F8B"/>
    <w:rsid w:val="006223D2"/>
    <w:rsid w:val="00627136"/>
    <w:rsid w:val="006305D7"/>
    <w:rsid w:val="00633308"/>
    <w:rsid w:val="00637983"/>
    <w:rsid w:val="00645D54"/>
    <w:rsid w:val="00647C7B"/>
    <w:rsid w:val="006662D3"/>
    <w:rsid w:val="006771F6"/>
    <w:rsid w:val="00682029"/>
    <w:rsid w:val="006824DC"/>
    <w:rsid w:val="006826B0"/>
    <w:rsid w:val="006868AD"/>
    <w:rsid w:val="00694947"/>
    <w:rsid w:val="006953E6"/>
    <w:rsid w:val="006A4425"/>
    <w:rsid w:val="006A5E4F"/>
    <w:rsid w:val="006C3094"/>
    <w:rsid w:val="006C632F"/>
    <w:rsid w:val="006C788D"/>
    <w:rsid w:val="006D1832"/>
    <w:rsid w:val="006D4FAF"/>
    <w:rsid w:val="006E070D"/>
    <w:rsid w:val="006E0C66"/>
    <w:rsid w:val="006F6279"/>
    <w:rsid w:val="00701371"/>
    <w:rsid w:val="00703091"/>
    <w:rsid w:val="0070508B"/>
    <w:rsid w:val="007063B0"/>
    <w:rsid w:val="00707EFF"/>
    <w:rsid w:val="00711EC5"/>
    <w:rsid w:val="00724839"/>
    <w:rsid w:val="00734E70"/>
    <w:rsid w:val="00741227"/>
    <w:rsid w:val="00742112"/>
    <w:rsid w:val="0075004F"/>
    <w:rsid w:val="007509FF"/>
    <w:rsid w:val="00751844"/>
    <w:rsid w:val="0075218E"/>
    <w:rsid w:val="00757161"/>
    <w:rsid w:val="007577E7"/>
    <w:rsid w:val="00761C1D"/>
    <w:rsid w:val="00762A52"/>
    <w:rsid w:val="007641E6"/>
    <w:rsid w:val="00766414"/>
    <w:rsid w:val="00772E4B"/>
    <w:rsid w:val="00781B3A"/>
    <w:rsid w:val="007927E4"/>
    <w:rsid w:val="007951D5"/>
    <w:rsid w:val="00796622"/>
    <w:rsid w:val="007B57A4"/>
    <w:rsid w:val="007B5852"/>
    <w:rsid w:val="007C1122"/>
    <w:rsid w:val="007C7522"/>
    <w:rsid w:val="007D0351"/>
    <w:rsid w:val="007D0B22"/>
    <w:rsid w:val="007D3C88"/>
    <w:rsid w:val="007D55D0"/>
    <w:rsid w:val="007E32E1"/>
    <w:rsid w:val="007E3457"/>
    <w:rsid w:val="007E3CF2"/>
    <w:rsid w:val="007F0868"/>
    <w:rsid w:val="007F0979"/>
    <w:rsid w:val="007F3CB0"/>
    <w:rsid w:val="008144AC"/>
    <w:rsid w:val="00816CE1"/>
    <w:rsid w:val="00824C80"/>
    <w:rsid w:val="00831D00"/>
    <w:rsid w:val="0083287F"/>
    <w:rsid w:val="0085038A"/>
    <w:rsid w:val="0086041C"/>
    <w:rsid w:val="0086475E"/>
    <w:rsid w:val="00871B69"/>
    <w:rsid w:val="008825D4"/>
    <w:rsid w:val="00884380"/>
    <w:rsid w:val="0088510F"/>
    <w:rsid w:val="00893501"/>
    <w:rsid w:val="00894E94"/>
    <w:rsid w:val="00897EC4"/>
    <w:rsid w:val="008B0468"/>
    <w:rsid w:val="008B2D66"/>
    <w:rsid w:val="008B30E8"/>
    <w:rsid w:val="008B3525"/>
    <w:rsid w:val="008C0963"/>
    <w:rsid w:val="008C14A2"/>
    <w:rsid w:val="008C4F7A"/>
    <w:rsid w:val="008D2D2D"/>
    <w:rsid w:val="008D3A0A"/>
    <w:rsid w:val="008F4A0B"/>
    <w:rsid w:val="008F6C25"/>
    <w:rsid w:val="008F7282"/>
    <w:rsid w:val="00910FAA"/>
    <w:rsid w:val="0091432E"/>
    <w:rsid w:val="00914F58"/>
    <w:rsid w:val="00915458"/>
    <w:rsid w:val="00921A1C"/>
    <w:rsid w:val="00932DEB"/>
    <w:rsid w:val="00952CBF"/>
    <w:rsid w:val="00957144"/>
    <w:rsid w:val="00971B76"/>
    <w:rsid w:val="0097291F"/>
    <w:rsid w:val="00981570"/>
    <w:rsid w:val="00987CD0"/>
    <w:rsid w:val="00993523"/>
    <w:rsid w:val="009A4137"/>
    <w:rsid w:val="009B2FEC"/>
    <w:rsid w:val="009B3FA2"/>
    <w:rsid w:val="009C1EF8"/>
    <w:rsid w:val="009C3589"/>
    <w:rsid w:val="009C773F"/>
    <w:rsid w:val="009D2C0F"/>
    <w:rsid w:val="009D7BE6"/>
    <w:rsid w:val="009E5F15"/>
    <w:rsid w:val="009E7E11"/>
    <w:rsid w:val="009F3387"/>
    <w:rsid w:val="009F44CF"/>
    <w:rsid w:val="00A02DFA"/>
    <w:rsid w:val="00A064D8"/>
    <w:rsid w:val="00A07C04"/>
    <w:rsid w:val="00A1037E"/>
    <w:rsid w:val="00A1798E"/>
    <w:rsid w:val="00A202AB"/>
    <w:rsid w:val="00A21D93"/>
    <w:rsid w:val="00A24C64"/>
    <w:rsid w:val="00A54796"/>
    <w:rsid w:val="00A5787F"/>
    <w:rsid w:val="00A814BC"/>
    <w:rsid w:val="00A83A85"/>
    <w:rsid w:val="00A920EF"/>
    <w:rsid w:val="00A96FE9"/>
    <w:rsid w:val="00A9785C"/>
    <w:rsid w:val="00AA0977"/>
    <w:rsid w:val="00AA6DDD"/>
    <w:rsid w:val="00AB0D16"/>
    <w:rsid w:val="00AB30EF"/>
    <w:rsid w:val="00AC175F"/>
    <w:rsid w:val="00AC5B14"/>
    <w:rsid w:val="00AD35C8"/>
    <w:rsid w:val="00AE4C60"/>
    <w:rsid w:val="00AF344A"/>
    <w:rsid w:val="00B1031F"/>
    <w:rsid w:val="00B21766"/>
    <w:rsid w:val="00B27A0C"/>
    <w:rsid w:val="00B30D97"/>
    <w:rsid w:val="00B37841"/>
    <w:rsid w:val="00B4112D"/>
    <w:rsid w:val="00B41A01"/>
    <w:rsid w:val="00B52E1A"/>
    <w:rsid w:val="00B5619E"/>
    <w:rsid w:val="00B620BC"/>
    <w:rsid w:val="00B6515C"/>
    <w:rsid w:val="00B8202A"/>
    <w:rsid w:val="00B82D27"/>
    <w:rsid w:val="00B84DFA"/>
    <w:rsid w:val="00B85B71"/>
    <w:rsid w:val="00B8702C"/>
    <w:rsid w:val="00B91593"/>
    <w:rsid w:val="00B91988"/>
    <w:rsid w:val="00B91BEB"/>
    <w:rsid w:val="00B94930"/>
    <w:rsid w:val="00B9699D"/>
    <w:rsid w:val="00BB122C"/>
    <w:rsid w:val="00BB4BA7"/>
    <w:rsid w:val="00BB6F16"/>
    <w:rsid w:val="00BE69F6"/>
    <w:rsid w:val="00C00543"/>
    <w:rsid w:val="00C05C6C"/>
    <w:rsid w:val="00C07EF0"/>
    <w:rsid w:val="00C25EBC"/>
    <w:rsid w:val="00C27476"/>
    <w:rsid w:val="00C406D4"/>
    <w:rsid w:val="00C4137A"/>
    <w:rsid w:val="00C41A39"/>
    <w:rsid w:val="00C53022"/>
    <w:rsid w:val="00C54316"/>
    <w:rsid w:val="00C544D6"/>
    <w:rsid w:val="00C61E37"/>
    <w:rsid w:val="00C666DF"/>
    <w:rsid w:val="00C956CA"/>
    <w:rsid w:val="00CC4951"/>
    <w:rsid w:val="00CC510D"/>
    <w:rsid w:val="00CD1DC3"/>
    <w:rsid w:val="00CD20DF"/>
    <w:rsid w:val="00CD7D0D"/>
    <w:rsid w:val="00CE6BD4"/>
    <w:rsid w:val="00CE7494"/>
    <w:rsid w:val="00CF216E"/>
    <w:rsid w:val="00CF6128"/>
    <w:rsid w:val="00CF7082"/>
    <w:rsid w:val="00D044A4"/>
    <w:rsid w:val="00D05BF5"/>
    <w:rsid w:val="00D07F9A"/>
    <w:rsid w:val="00D14C09"/>
    <w:rsid w:val="00D256C3"/>
    <w:rsid w:val="00D27B0B"/>
    <w:rsid w:val="00D30715"/>
    <w:rsid w:val="00D321F5"/>
    <w:rsid w:val="00D37FAD"/>
    <w:rsid w:val="00D42AD8"/>
    <w:rsid w:val="00D578BA"/>
    <w:rsid w:val="00D60AAD"/>
    <w:rsid w:val="00D61792"/>
    <w:rsid w:val="00D62F9F"/>
    <w:rsid w:val="00D76512"/>
    <w:rsid w:val="00D93362"/>
    <w:rsid w:val="00DA3FFD"/>
    <w:rsid w:val="00DC2EA7"/>
    <w:rsid w:val="00DC6A51"/>
    <w:rsid w:val="00DD0D87"/>
    <w:rsid w:val="00DD196A"/>
    <w:rsid w:val="00DD2616"/>
    <w:rsid w:val="00DD2838"/>
    <w:rsid w:val="00DE02E7"/>
    <w:rsid w:val="00E000D1"/>
    <w:rsid w:val="00E0054B"/>
    <w:rsid w:val="00E12A27"/>
    <w:rsid w:val="00E13BFF"/>
    <w:rsid w:val="00E153DA"/>
    <w:rsid w:val="00E21D75"/>
    <w:rsid w:val="00E31D97"/>
    <w:rsid w:val="00E64753"/>
    <w:rsid w:val="00E64AF6"/>
    <w:rsid w:val="00E7586E"/>
    <w:rsid w:val="00E81708"/>
    <w:rsid w:val="00E83CB1"/>
    <w:rsid w:val="00E84975"/>
    <w:rsid w:val="00E87803"/>
    <w:rsid w:val="00E90378"/>
    <w:rsid w:val="00E97D83"/>
    <w:rsid w:val="00EA0654"/>
    <w:rsid w:val="00EB15E0"/>
    <w:rsid w:val="00EB3548"/>
    <w:rsid w:val="00EB4974"/>
    <w:rsid w:val="00EC4EDC"/>
    <w:rsid w:val="00EC7CD8"/>
    <w:rsid w:val="00ED08A5"/>
    <w:rsid w:val="00EE79E5"/>
    <w:rsid w:val="00EF4193"/>
    <w:rsid w:val="00F07123"/>
    <w:rsid w:val="00F279B5"/>
    <w:rsid w:val="00F317B1"/>
    <w:rsid w:val="00F414E7"/>
    <w:rsid w:val="00F4219C"/>
    <w:rsid w:val="00F5145E"/>
    <w:rsid w:val="00F56B0F"/>
    <w:rsid w:val="00F6491D"/>
    <w:rsid w:val="00F674B9"/>
    <w:rsid w:val="00F71821"/>
    <w:rsid w:val="00F73F09"/>
    <w:rsid w:val="00F840E2"/>
    <w:rsid w:val="00F90744"/>
    <w:rsid w:val="00F90754"/>
    <w:rsid w:val="00FA0107"/>
    <w:rsid w:val="00FA149E"/>
    <w:rsid w:val="00FA58FA"/>
    <w:rsid w:val="00FA7B06"/>
    <w:rsid w:val="00FB67EF"/>
    <w:rsid w:val="00FB6866"/>
    <w:rsid w:val="00FC02CE"/>
    <w:rsid w:val="00FC05AD"/>
    <w:rsid w:val="00FC0CA6"/>
    <w:rsid w:val="00FC1AE7"/>
    <w:rsid w:val="00FC5AD8"/>
    <w:rsid w:val="00FE0DB0"/>
    <w:rsid w:val="00FF37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9CE099E"/>
  <w15:docId w15:val="{69132F3F-5885-488F-8A9E-9EFF1A91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3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rsid w:val="00C07EF0"/>
    <w:pPr>
      <w:keepNext/>
      <w:keepLines/>
      <w:spacing w:before="360" w:after="120" w:line="300" w:lineRule="exact"/>
      <w:outlineLvl w:val="3"/>
    </w:pPr>
    <w:rPr>
      <w:rFonts w:ascii="Arial" w:eastAsia="SimSun" w:hAnsi="Arial" w:cs="Times New Roman"/>
      <w:b/>
      <w:bCs/>
      <w:caps/>
      <w:sz w:val="20"/>
      <w:szCs w:val="24"/>
      <w:lang w:val="it-IT" w:eastAsia="en-US"/>
    </w:rPr>
  </w:style>
  <w:style w:type="paragraph" w:styleId="Heading6">
    <w:name w:val="heading 6"/>
    <w:basedOn w:val="Normal"/>
    <w:next w:val="Normal"/>
    <w:link w:val="Heading6Char"/>
    <w:rsid w:val="00894E94"/>
    <w:pPr>
      <w:keepNext/>
      <w:keepLines/>
      <w:spacing w:before="480" w:after="60" w:line="300" w:lineRule="exact"/>
      <w:outlineLvl w:val="5"/>
    </w:pPr>
    <w:rPr>
      <w:rFonts w:ascii="Arial" w:eastAsia="SimSun" w:hAnsi="Arial" w:cs="Times New Roman"/>
      <w:b/>
      <w:bCs/>
      <w:caps/>
      <w:color w:val="008000"/>
      <w:sz w:val="24"/>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uce">
    <w:name w:val="Upuce"/>
    <w:basedOn w:val="UTxt"/>
    <w:rsid w:val="002C6022"/>
    <w:pPr>
      <w:widowControl w:val="0"/>
      <w:numPr>
        <w:numId w:val="1"/>
      </w:numPr>
      <w:tabs>
        <w:tab w:val="num" w:pos="360"/>
      </w:tabs>
      <w:ind w:left="340" w:hanging="227"/>
    </w:pPr>
  </w:style>
  <w:style w:type="paragraph" w:customStyle="1" w:styleId="UTxt">
    <w:name w:val="UTxt"/>
    <w:basedOn w:val="Normal"/>
    <w:link w:val="UTxtCar"/>
    <w:rsid w:val="00FB67EF"/>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60" w:line="280" w:lineRule="exact"/>
      <w:ind w:left="113" w:right="113"/>
      <w:jc w:val="both"/>
    </w:pPr>
    <w:rPr>
      <w:rFonts w:ascii="Arial" w:eastAsia="SimSun" w:hAnsi="Arial" w:cs="Arial"/>
      <w:sz w:val="20"/>
      <w:szCs w:val="24"/>
      <w:lang w:eastAsia="zh-CN"/>
    </w:rPr>
  </w:style>
  <w:style w:type="character" w:customStyle="1" w:styleId="UTxtCar">
    <w:name w:val="UTxt Car"/>
    <w:basedOn w:val="DefaultParagraphFont"/>
    <w:link w:val="UTxt"/>
    <w:rsid w:val="00FB67EF"/>
    <w:rPr>
      <w:rFonts w:ascii="Arial" w:eastAsia="SimSun" w:hAnsi="Arial" w:cs="Arial"/>
      <w:sz w:val="20"/>
      <w:szCs w:val="24"/>
      <w:lang w:eastAsia="zh-CN"/>
    </w:rPr>
  </w:style>
  <w:style w:type="paragraph" w:customStyle="1" w:styleId="Titcoul">
    <w:name w:val="Titcoul"/>
    <w:basedOn w:val="Heading1"/>
    <w:link w:val="TitcoulCar"/>
    <w:rsid w:val="0005133D"/>
    <w:pPr>
      <w:tabs>
        <w:tab w:val="left" w:pos="567"/>
      </w:tabs>
      <w:snapToGrid w:val="0"/>
      <w:spacing w:after="480" w:line="480" w:lineRule="exact"/>
    </w:pPr>
    <w:rPr>
      <w:rFonts w:ascii="Arial" w:eastAsia="Times New Roman" w:hAnsi="Arial" w:cs="Arial"/>
      <w:caps/>
      <w:noProof/>
      <w:snapToGrid w:val="0"/>
      <w:color w:val="3366FF"/>
      <w:kern w:val="28"/>
      <w:sz w:val="32"/>
      <w:szCs w:val="32"/>
      <w:lang w:eastAsia="zh-CN"/>
    </w:rPr>
  </w:style>
  <w:style w:type="character" w:customStyle="1" w:styleId="TitcoulCar">
    <w:name w:val="Titcoul Car"/>
    <w:link w:val="Titcoul"/>
    <w:rsid w:val="0005133D"/>
    <w:rPr>
      <w:rFonts w:ascii="Arial" w:eastAsia="Times New Roman" w:hAnsi="Arial" w:cs="Arial"/>
      <w:b/>
      <w:bCs/>
      <w:caps/>
      <w:noProof/>
      <w:snapToGrid w:val="0"/>
      <w:color w:val="3366FF"/>
      <w:kern w:val="28"/>
      <w:sz w:val="32"/>
      <w:szCs w:val="32"/>
      <w:lang w:eastAsia="zh-CN"/>
    </w:rPr>
  </w:style>
  <w:style w:type="paragraph" w:customStyle="1" w:styleId="Chapitre">
    <w:name w:val="Chapitre"/>
    <w:basedOn w:val="Heading1"/>
    <w:link w:val="ChapitreCar"/>
    <w:rsid w:val="0005133D"/>
    <w:p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eastAsia="zh-CN"/>
    </w:rPr>
  </w:style>
  <w:style w:type="character" w:customStyle="1" w:styleId="ChapitreCar">
    <w:name w:val="Chapitre Car"/>
    <w:link w:val="Chapitre"/>
    <w:rsid w:val="0005133D"/>
    <w:rPr>
      <w:rFonts w:ascii="Arial" w:eastAsia="Times New Roman" w:hAnsi="Arial" w:cs="Arial"/>
      <w:b/>
      <w:bCs/>
      <w:caps/>
      <w:noProof/>
      <w:snapToGrid w:val="0"/>
      <w:color w:val="3366FF"/>
      <w:kern w:val="28"/>
      <w:sz w:val="70"/>
      <w:szCs w:val="70"/>
      <w:lang w:eastAsia="zh-CN"/>
    </w:rPr>
  </w:style>
  <w:style w:type="paragraph" w:customStyle="1" w:styleId="UPlan">
    <w:name w:val="UPlan"/>
    <w:basedOn w:val="Titcoul"/>
    <w:link w:val="UPlanCar"/>
    <w:rsid w:val="0005133D"/>
    <w:pPr>
      <w:spacing w:after="0"/>
    </w:pPr>
    <w:rPr>
      <w:sz w:val="48"/>
      <w:szCs w:val="48"/>
    </w:rPr>
  </w:style>
  <w:style w:type="character" w:customStyle="1" w:styleId="UPlanCar">
    <w:name w:val="UPlan Car"/>
    <w:basedOn w:val="TitcoulCar"/>
    <w:link w:val="UPlan"/>
    <w:rsid w:val="0005133D"/>
    <w:rPr>
      <w:rFonts w:ascii="Arial" w:eastAsia="Times New Roman" w:hAnsi="Arial" w:cs="Arial"/>
      <w:b/>
      <w:bCs/>
      <w:caps/>
      <w:noProof/>
      <w:snapToGrid w:val="0"/>
      <w:color w:val="3366FF"/>
      <w:kern w:val="28"/>
      <w:sz w:val="48"/>
      <w:szCs w:val="48"/>
      <w:lang w:eastAsia="zh-CN"/>
    </w:rPr>
  </w:style>
  <w:style w:type="character" w:customStyle="1" w:styleId="Heading1Char">
    <w:name w:val="Heading 1 Char"/>
    <w:basedOn w:val="DefaultParagraphFont"/>
    <w:link w:val="Heading1"/>
    <w:uiPriority w:val="9"/>
    <w:rsid w:val="0005133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85B71"/>
    <w:pPr>
      <w:ind w:left="720"/>
      <w:contextualSpacing/>
    </w:pPr>
  </w:style>
  <w:style w:type="paragraph" w:styleId="FootnoteText">
    <w:name w:val="footnote text"/>
    <w:basedOn w:val="Normal"/>
    <w:link w:val="FootnoteTextChar"/>
    <w:unhideWhenUsed/>
    <w:rsid w:val="002C6022"/>
    <w:pPr>
      <w:tabs>
        <w:tab w:val="left" w:pos="284"/>
      </w:tabs>
      <w:snapToGrid w:val="0"/>
      <w:spacing w:after="60" w:line="180" w:lineRule="exact"/>
      <w:ind w:left="284" w:hanging="284"/>
      <w:jc w:val="both"/>
    </w:pPr>
    <w:rPr>
      <w:rFonts w:ascii="Arial" w:eastAsia="SimSun" w:hAnsi="Arial" w:cs="Arial"/>
      <w:snapToGrid w:val="0"/>
      <w:sz w:val="16"/>
      <w:szCs w:val="20"/>
      <w:lang w:val="en-US" w:eastAsia="zh-CN"/>
    </w:rPr>
  </w:style>
  <w:style w:type="character" w:customStyle="1" w:styleId="FootnoteTextChar">
    <w:name w:val="Footnote Text Char"/>
    <w:link w:val="FootnoteText"/>
    <w:rsid w:val="002C6022"/>
    <w:rPr>
      <w:rFonts w:ascii="Arial" w:eastAsia="SimSun" w:hAnsi="Arial" w:cs="Arial"/>
      <w:snapToGrid w:val="0"/>
      <w:sz w:val="16"/>
      <w:szCs w:val="20"/>
      <w:lang w:val="en-US" w:eastAsia="zh-CN"/>
    </w:rPr>
  </w:style>
  <w:style w:type="paragraph" w:customStyle="1" w:styleId="Default">
    <w:name w:val="Default"/>
    <w:rsid w:val="00B85B71"/>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GB"/>
    </w:rPr>
  </w:style>
  <w:style w:type="character" w:customStyle="1" w:styleId="shortdesc1">
    <w:name w:val="short_desc1"/>
    <w:basedOn w:val="DefaultParagraphFont"/>
    <w:rsid w:val="00B85B71"/>
    <w:rPr>
      <w:rFonts w:ascii="Verdana" w:hAnsi="Verdana" w:hint="default"/>
      <w:strike w:val="0"/>
      <w:dstrike w:val="0"/>
      <w:color w:val="000000"/>
      <w:sz w:val="15"/>
      <w:szCs w:val="15"/>
      <w:u w:val="none"/>
      <w:effect w:val="none"/>
    </w:rPr>
  </w:style>
  <w:style w:type="character" w:customStyle="1" w:styleId="longdesc1">
    <w:name w:val="long_desc1"/>
    <w:basedOn w:val="DefaultParagraphFont"/>
    <w:rsid w:val="00B85B71"/>
    <w:rPr>
      <w:rFonts w:ascii="Verdana" w:hAnsi="Verdana" w:hint="default"/>
      <w:strike w:val="0"/>
      <w:dstrike w:val="0"/>
      <w:color w:val="000000"/>
      <w:sz w:val="15"/>
      <w:szCs w:val="15"/>
      <w:u w:val="none"/>
      <w:effect w:val="none"/>
    </w:rPr>
  </w:style>
  <w:style w:type="paragraph" w:styleId="CommentText">
    <w:name w:val="annotation text"/>
    <w:basedOn w:val="Normal"/>
    <w:link w:val="CommentTextChar"/>
    <w:uiPriority w:val="99"/>
    <w:unhideWhenUsed/>
    <w:rsid w:val="000719FC"/>
    <w:pPr>
      <w:spacing w:line="240" w:lineRule="auto"/>
    </w:pPr>
    <w:rPr>
      <w:rFonts w:ascii="Calibri" w:eastAsia="MS Mincho" w:hAnsi="Calibri" w:cs="Times New Roman"/>
      <w:sz w:val="24"/>
      <w:szCs w:val="24"/>
    </w:rPr>
  </w:style>
  <w:style w:type="character" w:customStyle="1" w:styleId="CommentTextChar">
    <w:name w:val="Comment Text Char"/>
    <w:basedOn w:val="DefaultParagraphFont"/>
    <w:link w:val="CommentText"/>
    <w:uiPriority w:val="99"/>
    <w:rsid w:val="000719FC"/>
    <w:rPr>
      <w:rFonts w:ascii="Calibri" w:eastAsia="MS Mincho" w:hAnsi="Calibri" w:cs="Times New Roman"/>
      <w:sz w:val="24"/>
      <w:szCs w:val="24"/>
    </w:rPr>
  </w:style>
  <w:style w:type="character" w:styleId="Strong">
    <w:name w:val="Strong"/>
    <w:uiPriority w:val="22"/>
    <w:qFormat/>
    <w:rsid w:val="00362E84"/>
    <w:rPr>
      <w:b/>
      <w:color w:val="C0504D"/>
    </w:rPr>
  </w:style>
  <w:style w:type="character" w:styleId="Hyperlink">
    <w:name w:val="Hyperlink"/>
    <w:unhideWhenUsed/>
    <w:rsid w:val="00362E84"/>
    <w:rPr>
      <w:color w:val="0000FF"/>
      <w:u w:val="single"/>
    </w:rPr>
  </w:style>
  <w:style w:type="character" w:customStyle="1" w:styleId="hps">
    <w:name w:val="hps"/>
    <w:rsid w:val="00362E84"/>
  </w:style>
  <w:style w:type="paragraph" w:customStyle="1" w:styleId="UTit4">
    <w:name w:val="UTit4"/>
    <w:basedOn w:val="Heading4"/>
    <w:link w:val="UTit4Car"/>
    <w:rsid w:val="00FC5AD8"/>
    <w:pPr>
      <w:pBdr>
        <w:top w:val="single" w:sz="12" w:space="6" w:color="auto" w:shadow="1"/>
        <w:left w:val="single" w:sz="12" w:space="4" w:color="auto" w:shadow="1"/>
        <w:bottom w:val="single" w:sz="12" w:space="6" w:color="auto" w:shadow="1"/>
        <w:right w:val="single" w:sz="12" w:space="4" w:color="auto" w:shadow="1"/>
      </w:pBdr>
      <w:ind w:left="113" w:right="113"/>
    </w:pPr>
    <w:rPr>
      <w:szCs w:val="20"/>
    </w:rPr>
  </w:style>
  <w:style w:type="character" w:customStyle="1" w:styleId="UTit4Car">
    <w:name w:val="UTit4 Car"/>
    <w:basedOn w:val="Heading4Char"/>
    <w:link w:val="UTit4"/>
    <w:rsid w:val="00FC5AD8"/>
    <w:rPr>
      <w:rFonts w:ascii="Arial" w:eastAsia="SimSun" w:hAnsi="Arial" w:cs="Times New Roman"/>
      <w:b/>
      <w:bCs/>
      <w:caps/>
      <w:sz w:val="20"/>
      <w:szCs w:val="20"/>
      <w:lang w:val="it-IT" w:eastAsia="en-US"/>
    </w:rPr>
  </w:style>
  <w:style w:type="paragraph" w:customStyle="1" w:styleId="Texte1">
    <w:name w:val="Texte1"/>
    <w:basedOn w:val="Normal"/>
    <w:link w:val="Texte1Car"/>
    <w:rsid w:val="00362E84"/>
    <w:pPr>
      <w:tabs>
        <w:tab w:val="left" w:pos="567"/>
      </w:tabs>
      <w:snapToGrid w:val="0"/>
      <w:spacing w:after="60" w:line="280" w:lineRule="exact"/>
      <w:ind w:left="851"/>
      <w:jc w:val="both"/>
    </w:pPr>
    <w:rPr>
      <w:rFonts w:ascii="Arial" w:eastAsia="SimSun" w:hAnsi="Arial" w:cs="Arial"/>
      <w:sz w:val="20"/>
      <w:szCs w:val="24"/>
      <w:lang w:eastAsia="zh-CN"/>
    </w:rPr>
  </w:style>
  <w:style w:type="character" w:customStyle="1" w:styleId="Texte1Car">
    <w:name w:val="Texte1 Car"/>
    <w:link w:val="Texte1"/>
    <w:rsid w:val="00362E84"/>
    <w:rPr>
      <w:rFonts w:ascii="Arial" w:eastAsia="SimSun" w:hAnsi="Arial" w:cs="Arial"/>
      <w:sz w:val="20"/>
      <w:szCs w:val="24"/>
      <w:lang w:val="fr-FR" w:eastAsia="zh-CN"/>
    </w:rPr>
  </w:style>
  <w:style w:type="paragraph" w:customStyle="1" w:styleId="Txtpucegras">
    <w:name w:val="Txtpucegras"/>
    <w:basedOn w:val="Texte1"/>
    <w:rsid w:val="0061300A"/>
    <w:pPr>
      <w:numPr>
        <w:numId w:val="8"/>
      </w:numPr>
      <w:tabs>
        <w:tab w:val="clear" w:pos="851"/>
        <w:tab w:val="num" w:pos="360"/>
      </w:tabs>
      <w:ind w:left="1021" w:hanging="170"/>
    </w:pPr>
  </w:style>
  <w:style w:type="paragraph" w:customStyle="1" w:styleId="Soustitre">
    <w:name w:val="Soustitre"/>
    <w:basedOn w:val="Normal"/>
    <w:link w:val="SoustitreCar"/>
    <w:qFormat/>
    <w:rsid w:val="00362E84"/>
    <w:pPr>
      <w:keepNext/>
      <w:spacing w:before="200" w:after="60" w:line="280" w:lineRule="exact"/>
    </w:pPr>
    <w:rPr>
      <w:rFonts w:ascii="Arial" w:eastAsia="SimSun" w:hAnsi="Arial" w:cs="Arial"/>
      <w:b/>
      <w:bCs/>
      <w:i/>
      <w:noProof/>
      <w:sz w:val="20"/>
      <w:szCs w:val="20"/>
    </w:rPr>
  </w:style>
  <w:style w:type="character" w:customStyle="1" w:styleId="SoustitreCar">
    <w:name w:val="Soustitre Car"/>
    <w:link w:val="Soustitre"/>
    <w:rsid w:val="00362E84"/>
    <w:rPr>
      <w:rFonts w:ascii="Arial" w:eastAsia="SimSun" w:hAnsi="Arial" w:cs="Arial"/>
      <w:b/>
      <w:bCs/>
      <w:i/>
      <w:noProof/>
      <w:sz w:val="20"/>
      <w:szCs w:val="20"/>
      <w:lang w:val="fr-FR"/>
    </w:rPr>
  </w:style>
  <w:style w:type="character" w:customStyle="1" w:styleId="Heading4Char">
    <w:name w:val="Heading 4 Char"/>
    <w:link w:val="Heading4"/>
    <w:rsid w:val="00C07EF0"/>
    <w:rPr>
      <w:rFonts w:ascii="Arial" w:eastAsia="SimSun" w:hAnsi="Arial" w:cs="Times New Roman"/>
      <w:b/>
      <w:bCs/>
      <w:caps/>
      <w:sz w:val="20"/>
      <w:szCs w:val="24"/>
      <w:lang w:val="it-IT" w:eastAsia="en-US"/>
    </w:rPr>
  </w:style>
  <w:style w:type="paragraph" w:styleId="Subtitle">
    <w:name w:val="Subtitle"/>
    <w:basedOn w:val="Normal"/>
    <w:next w:val="Normal"/>
    <w:link w:val="SubtitleChar"/>
    <w:uiPriority w:val="11"/>
    <w:qFormat/>
    <w:rsid w:val="00CF7082"/>
    <w:pPr>
      <w:numPr>
        <w:ilvl w:val="1"/>
      </w:numPr>
      <w:tabs>
        <w:tab w:val="left" w:pos="567"/>
      </w:tabs>
      <w:snapToGrid w:val="0"/>
      <w:spacing w:before="120" w:after="120" w:line="240" w:lineRule="auto"/>
      <w:jc w:val="both"/>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CF7082"/>
    <w:rPr>
      <w:rFonts w:ascii="Cambria" w:eastAsia="Times New Roman" w:hAnsi="Cambria" w:cs="Times New Roman"/>
      <w:i/>
      <w:iCs/>
      <w:color w:val="4F81BD"/>
      <w:spacing w:val="15"/>
      <w:sz w:val="24"/>
      <w:szCs w:val="24"/>
    </w:rPr>
  </w:style>
  <w:style w:type="paragraph" w:customStyle="1" w:styleId="Txtjourne">
    <w:name w:val="Txtjournée"/>
    <w:basedOn w:val="Texte1"/>
    <w:rsid w:val="00384258"/>
    <w:pPr>
      <w:spacing w:before="60"/>
      <w:ind w:left="113"/>
      <w:jc w:val="left"/>
    </w:pPr>
  </w:style>
  <w:style w:type="paragraph" w:customStyle="1" w:styleId="Tetierejourne">
    <w:name w:val="Tetiere journée"/>
    <w:basedOn w:val="Txtjourne"/>
    <w:rsid w:val="00384258"/>
    <w:rPr>
      <w:b/>
      <w:bCs/>
    </w:rPr>
  </w:style>
  <w:style w:type="character" w:styleId="CommentReference">
    <w:name w:val="annotation reference"/>
    <w:basedOn w:val="DefaultParagraphFont"/>
    <w:uiPriority w:val="99"/>
    <w:semiHidden/>
    <w:unhideWhenUsed/>
    <w:rsid w:val="001625F6"/>
    <w:rPr>
      <w:sz w:val="16"/>
      <w:szCs w:val="16"/>
    </w:rPr>
  </w:style>
  <w:style w:type="paragraph" w:styleId="CommentSubject">
    <w:name w:val="annotation subject"/>
    <w:basedOn w:val="CommentText"/>
    <w:next w:val="CommentText"/>
    <w:link w:val="CommentSubjectChar"/>
    <w:uiPriority w:val="99"/>
    <w:semiHidden/>
    <w:unhideWhenUsed/>
    <w:rsid w:val="001625F6"/>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1625F6"/>
    <w:rPr>
      <w:rFonts w:ascii="Calibri" w:eastAsia="MS Mincho" w:hAnsi="Calibri" w:cs="Times New Roman"/>
      <w:b/>
      <w:bCs/>
      <w:sz w:val="20"/>
      <w:szCs w:val="20"/>
    </w:rPr>
  </w:style>
  <w:style w:type="paragraph" w:styleId="BalloonText">
    <w:name w:val="Balloon Text"/>
    <w:basedOn w:val="Normal"/>
    <w:link w:val="BalloonTextChar"/>
    <w:uiPriority w:val="99"/>
    <w:semiHidden/>
    <w:unhideWhenUsed/>
    <w:rsid w:val="00162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5F6"/>
    <w:rPr>
      <w:rFonts w:ascii="Segoe UI" w:hAnsi="Segoe UI" w:cs="Segoe UI"/>
      <w:sz w:val="18"/>
      <w:szCs w:val="18"/>
    </w:rPr>
  </w:style>
  <w:style w:type="character" w:customStyle="1" w:styleId="Heading6Char">
    <w:name w:val="Heading 6 Char"/>
    <w:link w:val="Heading6"/>
    <w:rsid w:val="00894E94"/>
    <w:rPr>
      <w:rFonts w:ascii="Arial" w:eastAsia="SimSun" w:hAnsi="Arial" w:cs="Times New Roman"/>
      <w:b/>
      <w:bCs/>
      <w:caps/>
      <w:color w:val="008000"/>
      <w:sz w:val="24"/>
      <w:lang w:val="it-IT" w:eastAsia="en-US"/>
    </w:rPr>
  </w:style>
  <w:style w:type="paragraph" w:customStyle="1" w:styleId="diapo2">
    <w:name w:val="diapo2"/>
    <w:basedOn w:val="Normal"/>
    <w:link w:val="diapo2Car"/>
    <w:rsid w:val="00F674B9"/>
    <w:pPr>
      <w:keepNext/>
      <w:spacing w:before="200" w:after="60" w:line="280" w:lineRule="exact"/>
      <w:jc w:val="both"/>
    </w:pPr>
    <w:rPr>
      <w:rFonts w:ascii="Arial" w:eastAsia="SimSun" w:hAnsi="Arial" w:cs="Arial"/>
      <w:b/>
      <w:noProof/>
      <w:snapToGrid w:val="0"/>
      <w:sz w:val="24"/>
      <w:lang w:eastAsia="en-US"/>
    </w:rPr>
  </w:style>
  <w:style w:type="character" w:customStyle="1" w:styleId="diapo2Car">
    <w:name w:val="diapo2 Car"/>
    <w:link w:val="diapo2"/>
    <w:rsid w:val="00F674B9"/>
    <w:rPr>
      <w:rFonts w:ascii="Arial" w:eastAsia="SimSun" w:hAnsi="Arial" w:cs="Arial"/>
      <w:b/>
      <w:noProof/>
      <w:snapToGrid w:val="0"/>
      <w:sz w:val="24"/>
      <w:lang w:eastAsia="en-US"/>
    </w:rPr>
  </w:style>
  <w:style w:type="character" w:styleId="FootnoteReference">
    <w:name w:val="footnote reference"/>
    <w:basedOn w:val="DefaultParagraphFont"/>
    <w:uiPriority w:val="99"/>
    <w:semiHidden/>
    <w:unhideWhenUsed/>
    <w:rsid w:val="00CD20DF"/>
    <w:rPr>
      <w:vertAlign w:val="superscript"/>
    </w:rPr>
  </w:style>
  <w:style w:type="paragraph" w:styleId="Header">
    <w:name w:val="header"/>
    <w:basedOn w:val="Normal"/>
    <w:link w:val="HeaderChar"/>
    <w:uiPriority w:val="99"/>
    <w:unhideWhenUsed/>
    <w:rsid w:val="00E31D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1D97"/>
  </w:style>
  <w:style w:type="paragraph" w:styleId="Footer">
    <w:name w:val="footer"/>
    <w:basedOn w:val="Normal"/>
    <w:link w:val="FooterChar"/>
    <w:unhideWhenUsed/>
    <w:rsid w:val="00E31D97"/>
    <w:pPr>
      <w:tabs>
        <w:tab w:val="center" w:pos="4536"/>
        <w:tab w:val="right" w:pos="9072"/>
      </w:tabs>
      <w:spacing w:after="0" w:line="240" w:lineRule="auto"/>
    </w:pPr>
  </w:style>
  <w:style w:type="character" w:customStyle="1" w:styleId="FooterChar">
    <w:name w:val="Footer Char"/>
    <w:basedOn w:val="DefaultParagraphFont"/>
    <w:link w:val="Footer"/>
    <w:rsid w:val="00E31D97"/>
  </w:style>
  <w:style w:type="character" w:styleId="PageNumber">
    <w:name w:val="page number"/>
    <w:rsid w:val="00E31D97"/>
  </w:style>
  <w:style w:type="paragraph" w:styleId="BodyText">
    <w:name w:val="Body Text"/>
    <w:basedOn w:val="Normal"/>
    <w:link w:val="BodyTextChar"/>
    <w:rsid w:val="0044319E"/>
    <w:pPr>
      <w:spacing w:after="0" w:line="240" w:lineRule="auto"/>
      <w:jc w:val="both"/>
    </w:pPr>
    <w:rPr>
      <w:rFonts w:ascii="Times New Roman" w:eastAsia="Times New Roman" w:hAnsi="Times New Roman" w:cs="Times New Roman"/>
      <w:sz w:val="24"/>
      <w:szCs w:val="20"/>
      <w:lang w:val="pt-BR" w:eastAsia="pt-BR"/>
    </w:rPr>
  </w:style>
  <w:style w:type="character" w:customStyle="1" w:styleId="BodyTextChar">
    <w:name w:val="Body Text Char"/>
    <w:basedOn w:val="DefaultParagraphFont"/>
    <w:link w:val="BodyText"/>
    <w:rsid w:val="0044319E"/>
    <w:rPr>
      <w:rFonts w:ascii="Times New Roman" w:eastAsia="Times New Roman" w:hAnsi="Times New Roman" w:cs="Times New Roman"/>
      <w:sz w:val="24"/>
      <w:szCs w:val="20"/>
      <w:lang w:val="pt-BR" w:eastAsia="pt-BR"/>
    </w:rPr>
  </w:style>
  <w:style w:type="character" w:styleId="FollowedHyperlink">
    <w:name w:val="FollowedHyperlink"/>
    <w:basedOn w:val="DefaultParagraphFont"/>
    <w:uiPriority w:val="99"/>
    <w:semiHidden/>
    <w:unhideWhenUsed/>
    <w:rsid w:val="00EB3548"/>
    <w:rPr>
      <w:color w:val="800080" w:themeColor="followedHyperlink"/>
      <w:u w:val="single"/>
    </w:rPr>
  </w:style>
  <w:style w:type="paragraph" w:styleId="NormalWeb">
    <w:name w:val="Normal (Web)"/>
    <w:basedOn w:val="Normal"/>
    <w:uiPriority w:val="99"/>
    <w:semiHidden/>
    <w:unhideWhenUsed/>
    <w:rsid w:val="00A1037E"/>
    <w:rPr>
      <w:rFonts w:ascii="Times New Roman" w:hAnsi="Times New Roman" w:cs="Times New Roman"/>
      <w:sz w:val="24"/>
      <w:szCs w:val="24"/>
    </w:rPr>
  </w:style>
  <w:style w:type="table" w:styleId="TableGrid">
    <w:name w:val="Table Grid"/>
    <w:basedOn w:val="TableNormal"/>
    <w:uiPriority w:val="59"/>
    <w:rsid w:val="002D2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00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00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33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53400">
      <w:bodyDiv w:val="1"/>
      <w:marLeft w:val="0"/>
      <w:marRight w:val="0"/>
      <w:marTop w:val="0"/>
      <w:marBottom w:val="0"/>
      <w:divBdr>
        <w:top w:val="none" w:sz="0" w:space="0" w:color="auto"/>
        <w:left w:val="none" w:sz="0" w:space="0" w:color="auto"/>
        <w:bottom w:val="none" w:sz="0" w:space="0" w:color="auto"/>
        <w:right w:val="none" w:sz="0" w:space="0" w:color="auto"/>
      </w:divBdr>
    </w:div>
    <w:div w:id="784812150">
      <w:bodyDiv w:val="1"/>
      <w:marLeft w:val="0"/>
      <w:marRight w:val="0"/>
      <w:marTop w:val="0"/>
      <w:marBottom w:val="0"/>
      <w:divBdr>
        <w:top w:val="none" w:sz="0" w:space="0" w:color="auto"/>
        <w:left w:val="none" w:sz="0" w:space="0" w:color="auto"/>
        <w:bottom w:val="none" w:sz="0" w:space="0" w:color="auto"/>
        <w:right w:val="none" w:sz="0" w:space="0" w:color="auto"/>
      </w:divBdr>
      <w:divsChild>
        <w:div w:id="782186117">
          <w:marLeft w:val="0"/>
          <w:marRight w:val="0"/>
          <w:marTop w:val="0"/>
          <w:marBottom w:val="0"/>
          <w:divBdr>
            <w:top w:val="none" w:sz="0" w:space="0" w:color="auto"/>
            <w:left w:val="none" w:sz="0" w:space="0" w:color="auto"/>
            <w:bottom w:val="none" w:sz="0" w:space="0" w:color="auto"/>
            <w:right w:val="none" w:sz="0" w:space="0" w:color="auto"/>
          </w:divBdr>
        </w:div>
      </w:divsChild>
    </w:div>
    <w:div w:id="877856392">
      <w:bodyDiv w:val="1"/>
      <w:marLeft w:val="0"/>
      <w:marRight w:val="0"/>
      <w:marTop w:val="0"/>
      <w:marBottom w:val="0"/>
      <w:divBdr>
        <w:top w:val="none" w:sz="0" w:space="0" w:color="auto"/>
        <w:left w:val="none" w:sz="0" w:space="0" w:color="auto"/>
        <w:bottom w:val="none" w:sz="0" w:space="0" w:color="auto"/>
        <w:right w:val="none" w:sz="0" w:space="0" w:color="auto"/>
      </w:divBdr>
    </w:div>
    <w:div w:id="195929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D3648-398E-49F4-B23C-E9A76697DE6F}">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45</TotalTime>
  <Pages>3</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jab</dc:creator>
  <cp:lastModifiedBy>Koffi, Bryan</cp:lastModifiedBy>
  <cp:revision>6</cp:revision>
  <cp:lastPrinted>2020-09-04T15:38:00Z</cp:lastPrinted>
  <dcterms:created xsi:type="dcterms:W3CDTF">2020-09-14T12:41:00Z</dcterms:created>
  <dcterms:modified xsi:type="dcterms:W3CDTF">2024-02-28T10:39:00Z</dcterms:modified>
</cp:coreProperties>
</file>