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89A" w:rsidRPr="00961C1C" w:rsidRDefault="00E6289A" w:rsidP="00961C1C">
      <w:pPr>
        <w:pStyle w:val="Chapitre"/>
      </w:pPr>
      <w:r>
        <w:t>Unidad 55</w:t>
      </w:r>
    </w:p>
    <w:p w:rsidR="004625CD" w:rsidRDefault="005824B9" w:rsidP="00961C1C">
      <w:pPr>
        <w:pStyle w:val="HO1"/>
      </w:pPr>
      <w:r>
        <w:t xml:space="preserve">Folleto 6: </w:t>
      </w:r>
    </w:p>
    <w:p w:rsidR="00FF69DB" w:rsidRPr="00961C1C" w:rsidRDefault="00CE664B" w:rsidP="00961C1C">
      <w:pPr>
        <w:pStyle w:val="HO2"/>
        <w:rPr>
          <w:kern w:val="28"/>
        </w:rPr>
      </w:pPr>
      <w:r>
        <w:t>Formulación de una estrategia para la elaboración de políticas</w:t>
      </w:r>
      <w:r w:rsidR="00BF3B25">
        <w:t>:</w:t>
      </w:r>
      <w:r>
        <w:t xml:space="preserve"> Ejercicio</w:t>
      </w:r>
    </w:p>
    <w:p w:rsidR="00CE664B" w:rsidRPr="00961C1C" w:rsidRDefault="00BF3B25" w:rsidP="00961C1C">
      <w:pPr>
        <w:keepNext/>
        <w:keepLines/>
        <w:tabs>
          <w:tab w:val="clear" w:pos="567"/>
        </w:tabs>
        <w:snapToGrid/>
        <w:spacing w:before="360" w:line="300" w:lineRule="exact"/>
        <w:jc w:val="left"/>
        <w:outlineLvl w:val="3"/>
        <w:rPr>
          <w:rFonts w:cs="Times New Roman"/>
          <w:b/>
          <w:bCs/>
          <w:caps/>
          <w:snapToGrid/>
          <w:sz w:val="20"/>
        </w:rPr>
      </w:pPr>
      <w:r>
        <w:rPr>
          <w:b/>
          <w:caps/>
          <w:snapToGrid/>
          <w:sz w:val="20"/>
        </w:rPr>
        <w:t>CONSIDERACIONES SOBRE</w:t>
      </w:r>
      <w:r w:rsidR="000D0570">
        <w:rPr>
          <w:b/>
          <w:caps/>
          <w:snapToGrid/>
          <w:sz w:val="20"/>
        </w:rPr>
        <w:t xml:space="preserve"> la finalidad y naturaleza de las políticas sobre PCI</w:t>
      </w:r>
    </w:p>
    <w:p w:rsidR="00DD2B3F" w:rsidRPr="00961C1C" w:rsidRDefault="00DD2B3F" w:rsidP="00961C1C">
      <w:pPr>
        <w:spacing w:before="0" w:after="60" w:line="280" w:lineRule="exact"/>
        <w:ind w:left="851"/>
        <w:rPr>
          <w:snapToGrid/>
          <w:sz w:val="20"/>
        </w:rPr>
      </w:pPr>
      <w:r>
        <w:rPr>
          <w:snapToGrid/>
          <w:sz w:val="20"/>
        </w:rPr>
        <w:t>El Estado puede ayudar a las comunidades, organizaciones de la sociedad civil, las ONG y demás instituciones a establecer un entorno propicio para la salvaguardia del PCI, por ejemplo, a través de la elaboración o el fortalecimiento de la política, regulaciones y legislación relativas al PCI, (Artículo 13, DO 103–105), incluida la protección de los derechos de propiedad intelectual (DO 104).</w:t>
      </w:r>
    </w:p>
    <w:p w:rsidR="00D420E8" w:rsidRPr="00961C1C" w:rsidRDefault="00D420E8" w:rsidP="00961C1C">
      <w:pPr>
        <w:spacing w:before="0" w:after="60" w:line="280" w:lineRule="exact"/>
        <w:ind w:left="851"/>
        <w:rPr>
          <w:snapToGrid/>
          <w:sz w:val="20"/>
        </w:rPr>
      </w:pPr>
      <w:r>
        <w:rPr>
          <w:snapToGrid/>
          <w:sz w:val="20"/>
        </w:rPr>
        <w:t>De conformidad con la Convención, la acción de los Estados en favor de la salvaguardia del PCI idealmente debería:</w:t>
      </w:r>
    </w:p>
    <w:p w:rsidR="00D420E8" w:rsidRPr="00961C1C" w:rsidRDefault="00D420E8" w:rsidP="00961C1C">
      <w:pPr>
        <w:pStyle w:val="ListParagraph"/>
        <w:numPr>
          <w:ilvl w:val="0"/>
          <w:numId w:val="15"/>
        </w:numPr>
        <w:spacing w:before="0" w:after="60" w:line="280" w:lineRule="exact"/>
        <w:rPr>
          <w:snapToGrid/>
          <w:sz w:val="20"/>
        </w:rPr>
      </w:pPr>
      <w:r>
        <w:rPr>
          <w:snapToGrid/>
          <w:sz w:val="20"/>
        </w:rPr>
        <w:t>promover la salvaguardia del PCI en sus respectivos territorios (Artículo 1, Preámbulo),</w:t>
      </w:r>
    </w:p>
    <w:p w:rsidR="00D420E8" w:rsidRPr="00961C1C" w:rsidRDefault="00D420E8" w:rsidP="00961C1C">
      <w:pPr>
        <w:pStyle w:val="ListParagraph"/>
        <w:numPr>
          <w:ilvl w:val="0"/>
          <w:numId w:val="15"/>
        </w:numPr>
        <w:spacing w:before="0" w:after="60" w:line="280" w:lineRule="exact"/>
        <w:rPr>
          <w:snapToGrid/>
          <w:sz w:val="20"/>
        </w:rPr>
      </w:pPr>
      <w:r>
        <w:rPr>
          <w:snapToGrid/>
          <w:sz w:val="20"/>
        </w:rPr>
        <w:t>promover el reconocimiento de la diversidad del PCI en sus respectivos territorios (Artículo 1, Preámbulo),</w:t>
      </w:r>
    </w:p>
    <w:p w:rsidR="00D420E8" w:rsidRPr="00961C1C" w:rsidRDefault="00D420E8" w:rsidP="00961C1C">
      <w:pPr>
        <w:pStyle w:val="ListParagraph"/>
        <w:numPr>
          <w:ilvl w:val="0"/>
          <w:numId w:val="15"/>
        </w:numPr>
        <w:spacing w:before="0" w:after="60" w:line="280" w:lineRule="exact"/>
        <w:rPr>
          <w:snapToGrid/>
          <w:sz w:val="20"/>
        </w:rPr>
      </w:pPr>
      <w:r>
        <w:rPr>
          <w:snapToGrid/>
          <w:sz w:val="20"/>
        </w:rPr>
        <w:t>promover la participación de las comunidades en las actividades para la salvaguardia del PCI (Artículo 15, apartado (b) del Artículo 11);</w:t>
      </w:r>
    </w:p>
    <w:p w:rsidR="00D420E8" w:rsidRPr="00961C1C" w:rsidRDefault="00D420E8" w:rsidP="00961C1C">
      <w:pPr>
        <w:pStyle w:val="ListParagraph"/>
        <w:numPr>
          <w:ilvl w:val="0"/>
          <w:numId w:val="15"/>
        </w:numPr>
        <w:spacing w:before="0" w:after="60" w:line="280" w:lineRule="exact"/>
        <w:rPr>
          <w:snapToGrid/>
          <w:sz w:val="20"/>
        </w:rPr>
      </w:pPr>
      <w:r>
        <w:rPr>
          <w:snapToGrid/>
          <w:sz w:val="20"/>
        </w:rPr>
        <w:t>ser compatible con los principios de derechos humanos, con los imperativos de desarrollo sostenible y de respeto mutuo (Artículo 2.1 de la Convención); y</w:t>
      </w:r>
    </w:p>
    <w:p w:rsidR="00D420E8" w:rsidRPr="00961C1C" w:rsidRDefault="00D420E8" w:rsidP="00961C1C">
      <w:pPr>
        <w:pStyle w:val="ListParagraph"/>
        <w:numPr>
          <w:ilvl w:val="0"/>
          <w:numId w:val="15"/>
        </w:numPr>
        <w:spacing w:before="0" w:after="60" w:line="280" w:lineRule="exact"/>
        <w:rPr>
          <w:snapToGrid/>
          <w:sz w:val="20"/>
        </w:rPr>
      </w:pPr>
      <w:r>
        <w:rPr>
          <w:snapToGrid/>
          <w:sz w:val="20"/>
        </w:rPr>
        <w:t>promover la cooperación y asistencia internacionales (Artículos 19 y 20).</w:t>
      </w:r>
    </w:p>
    <w:p w:rsidR="00D420E8" w:rsidRPr="00961C1C" w:rsidRDefault="00D420E8" w:rsidP="00961C1C">
      <w:pPr>
        <w:spacing w:before="0" w:after="60" w:line="280" w:lineRule="exact"/>
        <w:ind w:left="851"/>
        <w:rPr>
          <w:snapToGrid/>
          <w:sz w:val="20"/>
        </w:rPr>
      </w:pPr>
      <w:r>
        <w:rPr>
          <w:snapToGrid/>
          <w:sz w:val="20"/>
        </w:rPr>
        <w:t>Cada uno de los Estados Partes en la Convenci</w:t>
      </w:r>
      <w:r w:rsidR="00BF3B25">
        <w:rPr>
          <w:snapToGrid/>
          <w:sz w:val="20"/>
        </w:rPr>
        <w:t>ó</w:t>
      </w:r>
      <w:r>
        <w:rPr>
          <w:snapToGrid/>
          <w:sz w:val="20"/>
        </w:rPr>
        <w:t xml:space="preserve">n deberá desarrollar una política sobre PCI orientada a atender su situación en particular. </w:t>
      </w:r>
      <w:r w:rsidR="00BF3B25" w:rsidRPr="00BF3B25">
        <w:rPr>
          <w:snapToGrid/>
          <w:sz w:val="20"/>
        </w:rPr>
        <w:t xml:space="preserve">Los Estados cuentan con diversos elementos del PCI en sus territorios y varias comunidades vinculadas con dicho patrimonio. </w:t>
      </w:r>
      <w:r>
        <w:rPr>
          <w:snapToGrid/>
          <w:sz w:val="20"/>
        </w:rPr>
        <w:t>Los Estados suelen tener en vigor diferentes disposiciones de orden jurídico y administrativo, influencias regionales e internacionales, motivos para ratificar la Convención y contextos sociopolíticos, históricos y económicos. No todas las instituciones u organizaciones abocadas a la salvaguardia del PCI están necesariamente establecidas, financiadas o respaldadas por el Estado. Algunas organizaciones comunitarias o de la sociedad civil suelen preferir mantenerse independientes, por ejemplo. La relación entre el Estado, las instituciones y las ONG, y diferentes comunidades repercutirá en cómo se redacten las políticas y cómo las iniciativas públicas sean consideradas por los distintos actores interesados.</w:t>
      </w:r>
    </w:p>
    <w:p w:rsidR="00D420E8" w:rsidRPr="00961C1C" w:rsidRDefault="00D420E8" w:rsidP="00961C1C">
      <w:pPr>
        <w:spacing w:before="0" w:after="60" w:line="280" w:lineRule="exact"/>
        <w:ind w:left="851"/>
        <w:rPr>
          <w:snapToGrid/>
          <w:sz w:val="20"/>
        </w:rPr>
      </w:pPr>
      <w:r>
        <w:rPr>
          <w:snapToGrid/>
          <w:sz w:val="20"/>
        </w:rPr>
        <w:t>La política relativa al PCI por lo tanto varía ampliamente, pero a los efectos de la Convención podría incluir disposiciones para:</w:t>
      </w:r>
    </w:p>
    <w:p w:rsidR="008F474C" w:rsidRPr="00961C1C" w:rsidRDefault="008F474C" w:rsidP="00961C1C">
      <w:pPr>
        <w:pStyle w:val="ListParagraph"/>
        <w:numPr>
          <w:ilvl w:val="0"/>
          <w:numId w:val="16"/>
        </w:numPr>
        <w:spacing w:before="0" w:after="60" w:line="280" w:lineRule="exact"/>
        <w:rPr>
          <w:snapToGrid/>
          <w:sz w:val="20"/>
        </w:rPr>
      </w:pPr>
      <w:r>
        <w:rPr>
          <w:snapToGrid/>
          <w:sz w:val="20"/>
        </w:rPr>
        <w:lastRenderedPageBreak/>
        <w:t>garantizar que la identificación y salvaguardia del PCI promueva la diversidad cultural, los derechos humanos, el desarrollo sostenible y el respeto mutuo entre las comunidades (Preámbulo, Artículo 2.1);</w:t>
      </w:r>
    </w:p>
    <w:p w:rsidR="00D420E8" w:rsidRPr="00961C1C" w:rsidRDefault="00D420E8" w:rsidP="00961C1C">
      <w:pPr>
        <w:pStyle w:val="ListParagraph"/>
        <w:numPr>
          <w:ilvl w:val="0"/>
          <w:numId w:val="16"/>
        </w:numPr>
        <w:spacing w:before="0" w:after="60" w:line="280" w:lineRule="exact"/>
        <w:rPr>
          <w:snapToGrid/>
          <w:sz w:val="20"/>
        </w:rPr>
      </w:pPr>
      <w:r>
        <w:rPr>
          <w:snapToGrid/>
          <w:sz w:val="20"/>
        </w:rPr>
        <w:t>establecer o fortalecer organismos consultivos o mecanismos de coordinación que velen por la representación de las comunidades en las actividades de salvaguardia del PCI (DO 80);</w:t>
      </w:r>
    </w:p>
    <w:p w:rsidR="00D420E8" w:rsidRPr="00961C1C" w:rsidRDefault="00D420E8" w:rsidP="00961C1C">
      <w:pPr>
        <w:pStyle w:val="ListParagraph"/>
        <w:numPr>
          <w:ilvl w:val="0"/>
          <w:numId w:val="16"/>
        </w:numPr>
        <w:spacing w:before="0" w:after="60" w:line="280" w:lineRule="exact"/>
        <w:rPr>
          <w:snapToGrid/>
          <w:sz w:val="20"/>
        </w:rPr>
      </w:pPr>
      <w:r>
        <w:rPr>
          <w:snapToGrid/>
          <w:sz w:val="20"/>
        </w:rPr>
        <w:t>impulsar la cooperación y el trabajo en red entre comunidades y entre las comunidades y otras partes interesadas (DO 79–80, 86 y 88);</w:t>
      </w:r>
    </w:p>
    <w:p w:rsidR="00DD2B3F" w:rsidRPr="00961C1C" w:rsidRDefault="00D420E8" w:rsidP="00961C1C">
      <w:pPr>
        <w:pStyle w:val="ListParagraph"/>
        <w:numPr>
          <w:ilvl w:val="0"/>
          <w:numId w:val="16"/>
        </w:numPr>
        <w:spacing w:before="0" w:after="60" w:line="280" w:lineRule="exact"/>
        <w:rPr>
          <w:snapToGrid/>
          <w:sz w:val="20"/>
        </w:rPr>
      </w:pPr>
      <w:r>
        <w:rPr>
          <w:snapToGrid/>
          <w:sz w:val="20"/>
        </w:rPr>
        <w:t>asegurar la gestión apropiada y el acceso a la información sobre el PCI en el territorio del Estado de que se trate (apartado (d) del Artículo 13; DO 109);</w:t>
      </w:r>
    </w:p>
    <w:p w:rsidR="00DD2B3F" w:rsidRPr="00961C1C" w:rsidRDefault="00DD2B3F" w:rsidP="00961C1C">
      <w:pPr>
        <w:pStyle w:val="ListParagraph"/>
        <w:numPr>
          <w:ilvl w:val="0"/>
          <w:numId w:val="16"/>
        </w:numPr>
        <w:spacing w:before="0" w:after="60" w:line="280" w:lineRule="exact"/>
        <w:rPr>
          <w:snapToGrid/>
          <w:sz w:val="20"/>
        </w:rPr>
      </w:pPr>
      <w:r>
        <w:rPr>
          <w:snapToGrid/>
          <w:sz w:val="20"/>
        </w:rPr>
        <w:t>fortalecer las capacidades para la salvaguardia del CPI (apartados (d) e (i) del Artículo 13, y Artículo 14</w:t>
      </w:r>
      <w:r w:rsidR="00BF3B25">
        <w:rPr>
          <w:snapToGrid/>
          <w:sz w:val="20"/>
        </w:rPr>
        <w:t>;</w:t>
      </w:r>
      <w:r>
        <w:rPr>
          <w:snapToGrid/>
          <w:sz w:val="20"/>
        </w:rPr>
        <w:t xml:space="preserve"> DO 82, 86, 107(k) y 109);</w:t>
      </w:r>
    </w:p>
    <w:p w:rsidR="00DD2B3F" w:rsidRPr="00961C1C" w:rsidRDefault="00DD2B3F" w:rsidP="00961C1C">
      <w:pPr>
        <w:pStyle w:val="ListParagraph"/>
        <w:numPr>
          <w:ilvl w:val="0"/>
          <w:numId w:val="16"/>
        </w:numPr>
        <w:spacing w:before="0" w:after="60" w:line="280" w:lineRule="exact"/>
        <w:rPr>
          <w:snapToGrid/>
          <w:sz w:val="20"/>
        </w:rPr>
      </w:pPr>
      <w:r>
        <w:rPr>
          <w:snapToGrid/>
          <w:sz w:val="20"/>
        </w:rPr>
        <w:t>medidas de orden financiero en apoyo a las actividades relativas a la salvaguardia del PCI (apartado (d) del Artículo 13</w:t>
      </w:r>
      <w:r w:rsidR="00BF3B25">
        <w:rPr>
          <w:snapToGrid/>
          <w:sz w:val="20"/>
        </w:rPr>
        <w:t>;</w:t>
      </w:r>
      <w:r>
        <w:rPr>
          <w:snapToGrid/>
          <w:sz w:val="20"/>
        </w:rPr>
        <w:t xml:space="preserve"> DO 78); e</w:t>
      </w:r>
    </w:p>
    <w:p w:rsidR="00DD2B3F" w:rsidRPr="00961C1C" w:rsidRDefault="00DD2B3F" w:rsidP="00961C1C">
      <w:pPr>
        <w:pStyle w:val="ListParagraph"/>
        <w:numPr>
          <w:ilvl w:val="0"/>
          <w:numId w:val="16"/>
        </w:numPr>
        <w:spacing w:before="0" w:after="60" w:line="280" w:lineRule="exact"/>
        <w:rPr>
          <w:snapToGrid/>
          <w:sz w:val="20"/>
        </w:rPr>
      </w:pPr>
      <w:r>
        <w:rPr>
          <w:snapToGrid/>
          <w:sz w:val="20"/>
        </w:rPr>
        <w:t>intercambiar conocimientos especializados e información a nivel internacional (apartado (d) del Artículo 1 y Artículo 19; DO 86–88).</w:t>
      </w:r>
    </w:p>
    <w:p w:rsidR="00AC05BE" w:rsidRPr="00961C1C" w:rsidRDefault="00AC05BE" w:rsidP="00961C1C">
      <w:pPr>
        <w:keepNext/>
        <w:keepLines/>
        <w:tabs>
          <w:tab w:val="clear" w:pos="567"/>
        </w:tabs>
        <w:snapToGrid/>
        <w:spacing w:before="360" w:line="300" w:lineRule="exact"/>
        <w:jc w:val="left"/>
        <w:outlineLvl w:val="3"/>
        <w:rPr>
          <w:rFonts w:cs="Times New Roman"/>
          <w:b/>
          <w:bCs/>
          <w:caps/>
          <w:snapToGrid/>
          <w:sz w:val="20"/>
        </w:rPr>
      </w:pPr>
      <w:r>
        <w:rPr>
          <w:b/>
          <w:caps/>
          <w:snapToGrid/>
          <w:sz w:val="20"/>
        </w:rPr>
        <w:t>Formulación de una estrategia para la elaboración de políticas</w:t>
      </w:r>
    </w:p>
    <w:p w:rsidR="007227BE" w:rsidRPr="00961C1C" w:rsidRDefault="00AC05BE" w:rsidP="00961C1C">
      <w:pPr>
        <w:spacing w:before="0" w:after="60" w:line="280" w:lineRule="exact"/>
        <w:ind w:left="851"/>
        <w:rPr>
          <w:snapToGrid/>
          <w:sz w:val="20"/>
        </w:rPr>
      </w:pPr>
      <w:r>
        <w:rPr>
          <w:snapToGrid/>
          <w:sz w:val="20"/>
        </w:rPr>
        <w:t>Al formular una estrategia para elaborar políticas que asistan en la salvaguardia del PCI es importante considerar lo siguiente:</w:t>
      </w:r>
    </w:p>
    <w:p w:rsidR="007227BE" w:rsidRPr="00961C1C" w:rsidRDefault="000F7DE5" w:rsidP="00961C1C">
      <w:pPr>
        <w:pStyle w:val="ListParagraph"/>
        <w:numPr>
          <w:ilvl w:val="0"/>
          <w:numId w:val="16"/>
        </w:numPr>
        <w:spacing w:before="0" w:after="60" w:line="280" w:lineRule="exact"/>
        <w:rPr>
          <w:snapToGrid/>
          <w:sz w:val="20"/>
        </w:rPr>
      </w:pPr>
      <w:r>
        <w:rPr>
          <w:snapToGrid/>
          <w:sz w:val="20"/>
        </w:rPr>
        <w:t>¿Qué cuestiones y problemas deberían abordar quienes elaboran las políticas al reformar las ya vigentes o crear otras nuevas?</w:t>
      </w:r>
    </w:p>
    <w:p w:rsidR="007227BE" w:rsidRPr="00961C1C" w:rsidRDefault="000F7DE5" w:rsidP="00961C1C">
      <w:pPr>
        <w:pStyle w:val="ListParagraph"/>
        <w:numPr>
          <w:ilvl w:val="0"/>
          <w:numId w:val="16"/>
        </w:numPr>
        <w:spacing w:before="0" w:after="60" w:line="280" w:lineRule="exact"/>
        <w:rPr>
          <w:snapToGrid/>
          <w:sz w:val="20"/>
        </w:rPr>
      </w:pPr>
      <w:r>
        <w:rPr>
          <w:snapToGrid/>
          <w:sz w:val="20"/>
        </w:rPr>
        <w:t>¿De qué manera se garantizará la participación de las comunidades con su consentimiento en la elaboración y aplicación de las políticas? y</w:t>
      </w:r>
    </w:p>
    <w:p w:rsidR="007227BE" w:rsidRPr="00961C1C" w:rsidRDefault="00531110" w:rsidP="00961C1C">
      <w:pPr>
        <w:pStyle w:val="ListParagraph"/>
        <w:numPr>
          <w:ilvl w:val="0"/>
          <w:numId w:val="16"/>
        </w:numPr>
        <w:spacing w:before="0" w:after="60" w:line="280" w:lineRule="exact"/>
        <w:rPr>
          <w:snapToGrid/>
          <w:sz w:val="20"/>
        </w:rPr>
      </w:pPr>
      <w:r>
        <w:rPr>
          <w:snapToGrid/>
          <w:sz w:val="20"/>
        </w:rPr>
        <w:t>¿De qué manera se harán efectivos los cambios propuestos para el entorno de las políticas?</w:t>
      </w:r>
    </w:p>
    <w:p w:rsidR="005E73C4" w:rsidRPr="00961C1C" w:rsidRDefault="00B12E5F" w:rsidP="00961C1C">
      <w:pPr>
        <w:spacing w:before="0" w:after="60" w:line="280" w:lineRule="exact"/>
        <w:ind w:left="851"/>
        <w:rPr>
          <w:snapToGrid/>
          <w:sz w:val="20"/>
        </w:rPr>
      </w:pPr>
      <w:r>
        <w:rPr>
          <w:snapToGrid/>
          <w:sz w:val="20"/>
        </w:rPr>
        <w:t xml:space="preserve">Podría tomar mucho tiempo decidir qué políticas se deberían aplicar; bien podrían efectuarse actividades de investigación, consultas y proyectos piloto antes de elaborar cualquier política. Cada Estado tendrá su propio enfoque para la participación de las partes interesadas en este proceso. Con relación a los elementos del PCI, la consulta con el público en general y las comunidades interesadas es fundamental para garantizar que estas políticas sean de apoyo para las iniciativas de salvaguardia y ayuden a abordar los problemas que enfrentan. Una </w:t>
      </w:r>
      <w:r w:rsidR="00B504DB">
        <w:rPr>
          <w:snapToGrid/>
          <w:sz w:val="20"/>
        </w:rPr>
        <w:t>elaboración</w:t>
      </w:r>
      <w:r>
        <w:rPr>
          <w:snapToGrid/>
          <w:sz w:val="20"/>
        </w:rPr>
        <w:t xml:space="preserve"> de políticas fructífera habitualmente requiere una base amplia de apoyo político de los poderes legislativo y ejecutivo y del público (incluidas las comunidades interesadas) y las instituciones afectadas por las medidas. Una vez que se ha decidido la orientación para elaborar las políticas, debe prestarse atención por lo tanto a garantizar que se cuente con la voluntad política suficiente en los organismos de gobierno, el Parlamento y otras partes interesadas para poder obrar los cambios.</w:t>
      </w:r>
    </w:p>
    <w:p w:rsidR="0077589C" w:rsidRPr="00961C1C" w:rsidRDefault="0077589C" w:rsidP="00961C1C">
      <w:pPr>
        <w:spacing w:before="0" w:after="60" w:line="280" w:lineRule="exact"/>
        <w:ind w:left="851"/>
        <w:rPr>
          <w:snapToGrid/>
          <w:sz w:val="20"/>
        </w:rPr>
      </w:pPr>
      <w:r>
        <w:rPr>
          <w:snapToGrid/>
          <w:sz w:val="20"/>
        </w:rPr>
        <w:t xml:space="preserve">Se alienta a los participantes del taller a sugerir las medidas que se podrían incluir en el proceso de elaboración de políticas. Estas ideas podrían ayudar a poner en acción el proceso en el ámbito nacional. Por ejemplo, se podrían efectuar consultas públicas en el Estado acerca de cuáles son los elementos del PCI que son valorados por qué comunidades, y determinar los problemas que surgen a la hora de salvaguardar el PCI. Esto sería de ayuda para establecer cómo las políticas </w:t>
      </w:r>
      <w:r w:rsidR="00B504DB">
        <w:rPr>
          <w:snapToGrid/>
          <w:sz w:val="20"/>
        </w:rPr>
        <w:t>relacionadas con e</w:t>
      </w:r>
      <w:r>
        <w:rPr>
          <w:snapToGrid/>
          <w:sz w:val="20"/>
        </w:rPr>
        <w:t xml:space="preserve">l PCI podrían contribuir a su salvaguardia. Cuando sea necesario, se podrían realizar consultas más específicas con las comunidades y los ministerios, organismos públicos o municipios </w:t>
      </w:r>
      <w:r>
        <w:rPr>
          <w:snapToGrid/>
          <w:sz w:val="20"/>
        </w:rPr>
        <w:lastRenderedPageBreak/>
        <w:t>pertinentes para trazar estrategias o políticas específicas para la salvaguardia de elementos puntuales del PCI que se encuentren en peligro o para apoyar a determinadas comunidades.</w:t>
      </w:r>
    </w:p>
    <w:p w:rsidR="00780238" w:rsidRPr="00961C1C" w:rsidRDefault="00740BFE" w:rsidP="00961C1C">
      <w:pPr>
        <w:keepNext/>
        <w:keepLines/>
        <w:tabs>
          <w:tab w:val="clear" w:pos="567"/>
        </w:tabs>
        <w:snapToGrid/>
        <w:spacing w:before="360" w:line="300" w:lineRule="exact"/>
        <w:jc w:val="left"/>
        <w:outlineLvl w:val="3"/>
        <w:rPr>
          <w:rFonts w:cs="Times New Roman"/>
          <w:b/>
          <w:bCs/>
          <w:caps/>
          <w:snapToGrid/>
          <w:sz w:val="20"/>
        </w:rPr>
      </w:pPr>
      <w:r>
        <w:rPr>
          <w:b/>
          <w:caps/>
          <w:snapToGrid/>
          <w:sz w:val="20"/>
        </w:rPr>
        <w:t>Dos actividades</w:t>
      </w:r>
    </w:p>
    <w:p w:rsidR="00780238" w:rsidRPr="00961C1C" w:rsidRDefault="00AC05BE" w:rsidP="00961C1C">
      <w:pPr>
        <w:spacing w:before="0" w:after="60" w:line="280" w:lineRule="exact"/>
        <w:ind w:left="851"/>
        <w:rPr>
          <w:snapToGrid/>
          <w:sz w:val="20"/>
        </w:rPr>
      </w:pPr>
      <w:r>
        <w:rPr>
          <w:snapToGrid/>
          <w:sz w:val="20"/>
        </w:rPr>
        <w:t>Este ejercicio se propone asistir a los participantes en la creación de una estrategia para la elaboración de políticas nacionales.</w:t>
      </w:r>
    </w:p>
    <w:p w:rsidR="004C26C6" w:rsidRPr="00961C1C" w:rsidRDefault="00780238" w:rsidP="00961C1C">
      <w:pPr>
        <w:spacing w:before="0" w:after="60" w:line="280" w:lineRule="exact"/>
        <w:ind w:left="851"/>
        <w:rPr>
          <w:snapToGrid/>
          <w:sz w:val="20"/>
        </w:rPr>
      </w:pPr>
      <w:r>
        <w:rPr>
          <w:snapToGrid/>
          <w:sz w:val="20"/>
        </w:rPr>
        <w:t>En su grupo, realice las siguientes actividades:</w:t>
      </w:r>
    </w:p>
    <w:p w:rsidR="004C26C6" w:rsidRPr="00961C1C" w:rsidRDefault="006D092F" w:rsidP="00961C1C">
      <w:pPr>
        <w:pStyle w:val="ListParagraph"/>
        <w:numPr>
          <w:ilvl w:val="0"/>
          <w:numId w:val="17"/>
        </w:numPr>
        <w:spacing w:before="0" w:after="60" w:line="280" w:lineRule="exact"/>
        <w:rPr>
          <w:snapToGrid/>
          <w:sz w:val="20"/>
        </w:rPr>
      </w:pPr>
      <w:r>
        <w:rPr>
          <w:snapToGrid/>
          <w:sz w:val="20"/>
        </w:rPr>
        <w:t>Actividad 1: Documente en la tabla que sigue algunas de las cuestiones y problemas clave que la elaboración de las políticas debería abordar.</w:t>
      </w:r>
    </w:p>
    <w:p w:rsidR="004C26C6" w:rsidRPr="00961C1C" w:rsidRDefault="00E121D2" w:rsidP="00961C1C">
      <w:pPr>
        <w:pStyle w:val="ListParagraph"/>
        <w:numPr>
          <w:ilvl w:val="0"/>
          <w:numId w:val="17"/>
        </w:numPr>
        <w:spacing w:before="0" w:after="60" w:line="280" w:lineRule="exact"/>
        <w:rPr>
          <w:snapToGrid/>
          <w:sz w:val="20"/>
        </w:rPr>
      </w:pPr>
      <w:r>
        <w:rPr>
          <w:snapToGrid/>
          <w:sz w:val="20"/>
        </w:rPr>
        <w:t>Actividad 2: Sugiera un cronograma de posibles medidas para el proceso de elaboración de las políticas.</w:t>
      </w:r>
    </w:p>
    <w:p w:rsidR="004C26C6" w:rsidRDefault="004C26C6" w:rsidP="00780238"/>
    <w:p w:rsidR="004C26C6" w:rsidRDefault="004C26C6" w:rsidP="004C26C6">
      <w:pPr>
        <w:sectPr w:rsidR="004C26C6" w:rsidSect="00B62A8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92" w:gutter="0"/>
          <w:cols w:space="708"/>
          <w:titlePg/>
          <w:docGrid w:linePitch="360"/>
        </w:sectPr>
      </w:pPr>
    </w:p>
    <w:p w:rsidR="00CE664B" w:rsidRPr="00961C1C" w:rsidRDefault="006D092F" w:rsidP="00DD2B3F">
      <w:pPr>
        <w:pStyle w:val="Heading2"/>
        <w:rPr>
          <w:rFonts w:eastAsia="SimSun" w:cs="Times New Roman"/>
          <w:b/>
          <w:caps/>
          <w:noProof w:val="0"/>
          <w:snapToGrid/>
          <w:color w:val="auto"/>
          <w:kern w:val="0"/>
          <w:sz w:val="20"/>
          <w:szCs w:val="24"/>
        </w:rPr>
      </w:pPr>
      <w:r>
        <w:rPr>
          <w:b/>
          <w:caps/>
          <w:noProof w:val="0"/>
          <w:snapToGrid/>
          <w:color w:val="auto"/>
          <w:kern w:val="0"/>
          <w:sz w:val="20"/>
        </w:rPr>
        <w:lastRenderedPageBreak/>
        <w:t>Actividad 1: Consideraciones propuestas en el taller para la elaboración de las políticas</w:t>
      </w:r>
    </w:p>
    <w:tbl>
      <w:tblPr>
        <w:tblStyle w:val="TableGrid"/>
        <w:tblW w:w="14170" w:type="dxa"/>
        <w:tblLook w:val="04A0" w:firstRow="1" w:lastRow="0" w:firstColumn="1" w:lastColumn="0" w:noHBand="0" w:noVBand="1"/>
      </w:tblPr>
      <w:tblGrid>
        <w:gridCol w:w="2405"/>
        <w:gridCol w:w="11765"/>
      </w:tblGrid>
      <w:tr w:rsidR="000B0013" w:rsidTr="00AC05BE">
        <w:tc>
          <w:tcPr>
            <w:tcW w:w="2405" w:type="dxa"/>
          </w:tcPr>
          <w:p w:rsidR="000B0013" w:rsidRDefault="002A5D19" w:rsidP="000B0013">
            <w:pPr>
              <w:jc w:val="left"/>
            </w:pPr>
            <w:r>
              <w:t>Asunto</w:t>
            </w:r>
          </w:p>
        </w:tc>
        <w:tc>
          <w:tcPr>
            <w:tcW w:w="11765" w:type="dxa"/>
          </w:tcPr>
          <w:p w:rsidR="000B0013" w:rsidRDefault="000B0013" w:rsidP="000B0013">
            <w:r>
              <w:t>Comentarios</w:t>
            </w:r>
          </w:p>
        </w:tc>
      </w:tr>
      <w:tr w:rsidR="000B0013" w:rsidTr="00AC05BE">
        <w:tc>
          <w:tcPr>
            <w:tcW w:w="2405" w:type="dxa"/>
          </w:tcPr>
          <w:p w:rsidR="000B0013" w:rsidRDefault="000F7DE5" w:rsidP="000B0013">
            <w:pPr>
              <w:jc w:val="left"/>
            </w:pPr>
            <w:r>
              <w:t>Cuestiones y problemas clave que la elaboración de las políticas debería abordar para promover la salvaguardia del PCI en el Estado.</w:t>
            </w:r>
          </w:p>
          <w:p w:rsidR="00B11929" w:rsidRDefault="00B11929" w:rsidP="00B11929">
            <w:pPr>
              <w:jc w:val="left"/>
            </w:pPr>
          </w:p>
        </w:tc>
        <w:tc>
          <w:tcPr>
            <w:tcW w:w="11765" w:type="dxa"/>
          </w:tcPr>
          <w:p w:rsidR="000B0013" w:rsidRDefault="000B0013" w:rsidP="000B0013"/>
          <w:p w:rsidR="005824B9" w:rsidRDefault="005824B9" w:rsidP="000B0013"/>
          <w:p w:rsidR="005824B9" w:rsidRDefault="005824B9" w:rsidP="000B0013"/>
          <w:p w:rsidR="005824B9" w:rsidRDefault="005824B9" w:rsidP="000B0013"/>
          <w:p w:rsidR="005824B9" w:rsidRDefault="005824B9" w:rsidP="000B0013"/>
          <w:p w:rsidR="000F7DE5" w:rsidRDefault="000F7DE5" w:rsidP="000B0013"/>
          <w:p w:rsidR="000F7DE5" w:rsidRDefault="000F7DE5" w:rsidP="000B0013"/>
          <w:p w:rsidR="000F7DE5" w:rsidRDefault="000F7DE5" w:rsidP="000B0013"/>
          <w:p w:rsidR="005824B9" w:rsidRDefault="005824B9" w:rsidP="000B0013"/>
          <w:p w:rsidR="005824B9" w:rsidRDefault="005824B9" w:rsidP="000B0013"/>
        </w:tc>
      </w:tr>
      <w:tr w:rsidR="00603CCD" w:rsidTr="00AC05BE">
        <w:tc>
          <w:tcPr>
            <w:tcW w:w="2405" w:type="dxa"/>
          </w:tcPr>
          <w:p w:rsidR="00603CCD" w:rsidRDefault="00DA7006" w:rsidP="000B0013">
            <w:pPr>
              <w:jc w:val="left"/>
            </w:pPr>
            <w:r>
              <w:t>Propuestas de modalidades para conseguir la participación de las comunidades interesadas en la elaboración y aplicación de políticas para la salvaguardia del PCI</w:t>
            </w:r>
          </w:p>
          <w:p w:rsidR="00D43F84" w:rsidRDefault="00D43F84" w:rsidP="000B0013">
            <w:pPr>
              <w:jc w:val="left"/>
            </w:pPr>
          </w:p>
          <w:p w:rsidR="00603CCD" w:rsidRDefault="00603CCD" w:rsidP="000B0013">
            <w:pPr>
              <w:jc w:val="left"/>
            </w:pPr>
          </w:p>
          <w:p w:rsidR="00603CCD" w:rsidRDefault="00603CCD" w:rsidP="000B0013">
            <w:pPr>
              <w:jc w:val="left"/>
            </w:pPr>
          </w:p>
        </w:tc>
        <w:tc>
          <w:tcPr>
            <w:tcW w:w="11765" w:type="dxa"/>
          </w:tcPr>
          <w:p w:rsidR="00603CCD" w:rsidRDefault="00603CCD" w:rsidP="000B0013"/>
        </w:tc>
      </w:tr>
      <w:tr w:rsidR="000F7DE5" w:rsidTr="00AC05BE">
        <w:tc>
          <w:tcPr>
            <w:tcW w:w="2405" w:type="dxa"/>
          </w:tcPr>
          <w:p w:rsidR="000F7DE5" w:rsidRDefault="000F7DE5" w:rsidP="000B0013">
            <w:pPr>
              <w:jc w:val="left"/>
            </w:pPr>
            <w:r>
              <w:t>Áreas donde existe una sinergia entre las políticas vigentes y las metas de la salvaguardia del PCI</w:t>
            </w:r>
          </w:p>
          <w:p w:rsidR="000F7DE5" w:rsidRDefault="000F7DE5" w:rsidP="000B0013">
            <w:pPr>
              <w:jc w:val="left"/>
            </w:pPr>
          </w:p>
          <w:p w:rsidR="000F7DE5" w:rsidRDefault="000F7DE5" w:rsidP="000B0013">
            <w:pPr>
              <w:jc w:val="left"/>
            </w:pPr>
          </w:p>
          <w:p w:rsidR="000F7DE5" w:rsidRDefault="000F7DE5" w:rsidP="000B0013">
            <w:pPr>
              <w:jc w:val="left"/>
            </w:pPr>
          </w:p>
        </w:tc>
        <w:tc>
          <w:tcPr>
            <w:tcW w:w="11765" w:type="dxa"/>
          </w:tcPr>
          <w:p w:rsidR="000F7DE5" w:rsidRDefault="000F7DE5" w:rsidP="000B0013"/>
          <w:p w:rsidR="00B11929" w:rsidRDefault="00B11929" w:rsidP="000B0013"/>
          <w:p w:rsidR="00B11929" w:rsidRDefault="00B11929" w:rsidP="000B0013"/>
          <w:p w:rsidR="00B11929" w:rsidRDefault="00B11929" w:rsidP="000B0013"/>
          <w:p w:rsidR="00B11929" w:rsidRDefault="00B11929" w:rsidP="000B0013"/>
          <w:p w:rsidR="00B11929" w:rsidRDefault="00B11929" w:rsidP="000B0013"/>
          <w:p w:rsidR="00B11929" w:rsidRDefault="00B11929" w:rsidP="000B0013"/>
        </w:tc>
      </w:tr>
      <w:tr w:rsidR="000B0013" w:rsidTr="00AC05BE">
        <w:tc>
          <w:tcPr>
            <w:tcW w:w="2405" w:type="dxa"/>
          </w:tcPr>
          <w:p w:rsidR="000B0013" w:rsidRDefault="000F7DE5" w:rsidP="000F7DE5">
            <w:pPr>
              <w:jc w:val="left"/>
            </w:pPr>
            <w:r>
              <w:t>Áreas donde existen tensiones entre las políticas ya en marcha y las metas</w:t>
            </w:r>
            <w:r w:rsidR="002A5D19">
              <w:t xml:space="preserve"> de</w:t>
            </w:r>
            <w:r>
              <w:t xml:space="preserve"> la salvaguardia del PCI</w:t>
            </w:r>
          </w:p>
        </w:tc>
        <w:tc>
          <w:tcPr>
            <w:tcW w:w="11765" w:type="dxa"/>
          </w:tcPr>
          <w:p w:rsidR="000B0013" w:rsidRDefault="000B0013" w:rsidP="000B0013"/>
          <w:p w:rsidR="005824B9" w:rsidRDefault="005824B9" w:rsidP="000B0013"/>
          <w:p w:rsidR="00780238" w:rsidRDefault="00780238" w:rsidP="000B0013"/>
          <w:p w:rsidR="00780238" w:rsidRDefault="00780238" w:rsidP="000B0013"/>
          <w:p w:rsidR="005824B9" w:rsidRDefault="005824B9" w:rsidP="000B0013"/>
          <w:p w:rsidR="005824B9" w:rsidRDefault="005824B9" w:rsidP="000B0013"/>
          <w:p w:rsidR="005824B9" w:rsidRDefault="005824B9" w:rsidP="000B0013"/>
        </w:tc>
      </w:tr>
      <w:tr w:rsidR="005E7768" w:rsidTr="00AC05BE">
        <w:tc>
          <w:tcPr>
            <w:tcW w:w="2405" w:type="dxa"/>
          </w:tcPr>
          <w:p w:rsidR="00B11929" w:rsidRDefault="00EA59D5" w:rsidP="00B11929">
            <w:pPr>
              <w:jc w:val="left"/>
            </w:pPr>
            <w:r>
              <w:t>Propuestas referidas a las políticas ajenas al sector cultural que repercuten en la salvaguardia del PCI, por ejemplo, desarrollo, propiedad intelectual, salud, educación, turismo</w:t>
            </w:r>
          </w:p>
          <w:p w:rsidR="005E7768" w:rsidRDefault="005E7768" w:rsidP="005E7768">
            <w:pPr>
              <w:jc w:val="left"/>
            </w:pPr>
          </w:p>
        </w:tc>
        <w:tc>
          <w:tcPr>
            <w:tcW w:w="11765" w:type="dxa"/>
          </w:tcPr>
          <w:p w:rsidR="005E7768" w:rsidRDefault="005E7768" w:rsidP="000B0013"/>
          <w:p w:rsidR="00B11929" w:rsidRDefault="00B11929" w:rsidP="000B0013"/>
          <w:p w:rsidR="00B11929" w:rsidRDefault="00B11929" w:rsidP="000B0013"/>
          <w:p w:rsidR="00B11929" w:rsidRDefault="00B11929" w:rsidP="000B0013"/>
          <w:p w:rsidR="00B11929" w:rsidRDefault="00B11929" w:rsidP="000B0013"/>
          <w:p w:rsidR="00B11929" w:rsidRDefault="00B11929" w:rsidP="000B0013"/>
          <w:p w:rsidR="00B11929" w:rsidRDefault="00B11929" w:rsidP="000B0013"/>
          <w:p w:rsidR="005824B9" w:rsidRDefault="005824B9" w:rsidP="000B0013"/>
          <w:p w:rsidR="005824B9" w:rsidRDefault="005824B9" w:rsidP="000B0013"/>
        </w:tc>
      </w:tr>
      <w:tr w:rsidR="00B11929" w:rsidTr="00AC05BE">
        <w:tc>
          <w:tcPr>
            <w:tcW w:w="2405" w:type="dxa"/>
          </w:tcPr>
          <w:p w:rsidR="00B11929" w:rsidRDefault="00B11929" w:rsidP="00B11929">
            <w:pPr>
              <w:jc w:val="left"/>
            </w:pPr>
            <w:r>
              <w:lastRenderedPageBreak/>
              <w:t>Propuestas referidas a las políticas del sector cultural que repercuten en la salvaguardia del PCI, por ejemplo, idioma, política cultural, la política del patrimonio edificado</w:t>
            </w:r>
          </w:p>
          <w:p w:rsidR="00B11929" w:rsidRPr="000866CD" w:rsidRDefault="00B11929" w:rsidP="00B11929">
            <w:pPr>
              <w:jc w:val="left"/>
            </w:pPr>
          </w:p>
        </w:tc>
        <w:tc>
          <w:tcPr>
            <w:tcW w:w="11765" w:type="dxa"/>
          </w:tcPr>
          <w:p w:rsidR="00B11929" w:rsidRDefault="00B11929" w:rsidP="000B0013"/>
          <w:p w:rsidR="00B11929" w:rsidRDefault="00B11929" w:rsidP="000B0013"/>
          <w:p w:rsidR="00B11929" w:rsidRDefault="00B11929" w:rsidP="000B0013"/>
          <w:p w:rsidR="00B11929" w:rsidRDefault="00B11929" w:rsidP="000B0013"/>
          <w:p w:rsidR="00B11929" w:rsidRDefault="00B11929" w:rsidP="000B0013"/>
          <w:p w:rsidR="00B11929" w:rsidRDefault="00B11929" w:rsidP="000B0013"/>
          <w:p w:rsidR="00B11929" w:rsidRDefault="00B11929" w:rsidP="000B0013"/>
          <w:p w:rsidR="00EA59D5" w:rsidRDefault="00EA59D5" w:rsidP="000B0013"/>
          <w:p w:rsidR="00EA59D5" w:rsidRDefault="00EA59D5" w:rsidP="000B0013"/>
          <w:p w:rsidR="00B11929" w:rsidRDefault="00B11929" w:rsidP="000B0013"/>
          <w:p w:rsidR="00B11929" w:rsidRDefault="00B11929" w:rsidP="000B0013"/>
        </w:tc>
      </w:tr>
      <w:tr w:rsidR="00EA59D5" w:rsidTr="00AC05BE">
        <w:tc>
          <w:tcPr>
            <w:tcW w:w="2405" w:type="dxa"/>
          </w:tcPr>
          <w:p w:rsidR="00EA59D5" w:rsidRPr="000866CD" w:rsidRDefault="00EA59D5" w:rsidP="00D705D9">
            <w:pPr>
              <w:jc w:val="left"/>
            </w:pPr>
            <w:r>
              <w:t>En caso de estar previstas, propuestas referidas a la elaboración de políticas específicas al PCI, y los mandatos de las instituciones responsables y los organismos de consulta o coordinación</w:t>
            </w:r>
          </w:p>
        </w:tc>
        <w:tc>
          <w:tcPr>
            <w:tcW w:w="11765" w:type="dxa"/>
          </w:tcPr>
          <w:p w:rsidR="00EA59D5" w:rsidRDefault="00EA59D5" w:rsidP="000B0013"/>
          <w:p w:rsidR="00EA59D5" w:rsidRDefault="00EA59D5" w:rsidP="000B0013"/>
          <w:p w:rsidR="00EA59D5" w:rsidRDefault="00EA59D5" w:rsidP="000B0013"/>
          <w:p w:rsidR="00EA59D5" w:rsidRDefault="00EA59D5" w:rsidP="000B0013">
            <w:bookmarkStart w:id="0" w:name="_GoBack"/>
            <w:bookmarkEnd w:id="0"/>
          </w:p>
          <w:p w:rsidR="00EA59D5" w:rsidRDefault="00EA59D5" w:rsidP="000B0013"/>
          <w:p w:rsidR="00EA59D5" w:rsidRDefault="00EA59D5" w:rsidP="000B0013"/>
          <w:p w:rsidR="00EA59D5" w:rsidRDefault="00EA59D5" w:rsidP="000B0013"/>
          <w:p w:rsidR="00EA59D5" w:rsidRDefault="00EA59D5" w:rsidP="000B0013"/>
          <w:p w:rsidR="00EA59D5" w:rsidRDefault="00EA59D5" w:rsidP="000B0013"/>
          <w:p w:rsidR="008A061B" w:rsidRDefault="008A061B" w:rsidP="000B0013"/>
          <w:p w:rsidR="00EA59D5" w:rsidRDefault="00EA59D5" w:rsidP="000B0013"/>
        </w:tc>
      </w:tr>
    </w:tbl>
    <w:p w:rsidR="0014749A" w:rsidRPr="00551F42" w:rsidRDefault="0014749A">
      <w:pPr>
        <w:tabs>
          <w:tab w:val="clear" w:pos="567"/>
        </w:tabs>
        <w:snapToGrid/>
        <w:spacing w:before="0" w:after="160" w:line="259" w:lineRule="auto"/>
        <w:jc w:val="left"/>
        <w:rPr>
          <w:rFonts w:eastAsiaTheme="majorEastAsia"/>
          <w:bCs/>
          <w:noProof/>
          <w:color w:val="000000" w:themeColor="text1"/>
          <w:kern w:val="28"/>
          <w:sz w:val="32"/>
          <w:szCs w:val="32"/>
        </w:rPr>
      </w:pPr>
      <w:r>
        <w:lastRenderedPageBreak/>
        <w:br w:type="page"/>
      </w:r>
    </w:p>
    <w:p w:rsidR="006D092F" w:rsidRPr="00961C1C" w:rsidRDefault="00E121D2" w:rsidP="006D092F">
      <w:pPr>
        <w:pStyle w:val="Heading2"/>
        <w:rPr>
          <w:rFonts w:eastAsia="SimSun" w:cs="Times New Roman"/>
          <w:b/>
          <w:caps/>
          <w:noProof w:val="0"/>
          <w:snapToGrid/>
          <w:color w:val="auto"/>
          <w:kern w:val="0"/>
          <w:sz w:val="20"/>
          <w:szCs w:val="24"/>
        </w:rPr>
      </w:pPr>
      <w:r>
        <w:rPr>
          <w:b/>
          <w:caps/>
          <w:noProof w:val="0"/>
          <w:snapToGrid/>
          <w:color w:val="auto"/>
          <w:kern w:val="0"/>
          <w:sz w:val="20"/>
        </w:rPr>
        <w:lastRenderedPageBreak/>
        <w:t>Actividad 2: Posibles medidas para el proceso de elaboración de las políticas</w:t>
      </w:r>
    </w:p>
    <w:tbl>
      <w:tblPr>
        <w:tblStyle w:val="TableGrid"/>
        <w:tblW w:w="0" w:type="auto"/>
        <w:tblLook w:val="04A0" w:firstRow="1" w:lastRow="0" w:firstColumn="1" w:lastColumn="0" w:noHBand="0" w:noVBand="1"/>
      </w:tblPr>
      <w:tblGrid>
        <w:gridCol w:w="5717"/>
        <w:gridCol w:w="2578"/>
        <w:gridCol w:w="2796"/>
        <w:gridCol w:w="3083"/>
      </w:tblGrid>
      <w:tr w:rsidR="005045BE" w:rsidRPr="005045BE" w:rsidTr="00961C1C">
        <w:tc>
          <w:tcPr>
            <w:tcW w:w="5765" w:type="dxa"/>
            <w:shd w:val="clear" w:color="auto" w:fill="auto"/>
          </w:tcPr>
          <w:p w:rsidR="005045BE" w:rsidRPr="005045BE" w:rsidRDefault="005045BE" w:rsidP="006D092F">
            <w:pPr>
              <w:rPr>
                <w:b/>
              </w:rPr>
            </w:pPr>
            <w:r>
              <w:rPr>
                <w:b/>
              </w:rPr>
              <w:t>Actividad</w:t>
            </w:r>
          </w:p>
        </w:tc>
        <w:tc>
          <w:tcPr>
            <w:tcW w:w="2594" w:type="dxa"/>
            <w:shd w:val="clear" w:color="auto" w:fill="auto"/>
          </w:tcPr>
          <w:p w:rsidR="005045BE" w:rsidRDefault="005045BE" w:rsidP="006D092F">
            <w:pPr>
              <w:rPr>
                <w:b/>
              </w:rPr>
            </w:pPr>
            <w:r>
              <w:rPr>
                <w:b/>
              </w:rPr>
              <w:t>Objetivo</w:t>
            </w:r>
          </w:p>
        </w:tc>
        <w:tc>
          <w:tcPr>
            <w:tcW w:w="2490" w:type="dxa"/>
            <w:shd w:val="clear" w:color="auto" w:fill="auto"/>
          </w:tcPr>
          <w:p w:rsidR="005045BE" w:rsidRPr="005045BE" w:rsidRDefault="00C40A9F" w:rsidP="006D092F">
            <w:pPr>
              <w:rPr>
                <w:b/>
              </w:rPr>
            </w:pPr>
            <w:r>
              <w:rPr>
                <w:b/>
              </w:rPr>
              <w:t>Organismo/organización responsable</w:t>
            </w:r>
          </w:p>
        </w:tc>
        <w:tc>
          <w:tcPr>
            <w:tcW w:w="3099" w:type="dxa"/>
            <w:shd w:val="clear" w:color="auto" w:fill="auto"/>
          </w:tcPr>
          <w:p w:rsidR="005045BE" w:rsidRPr="005045BE" w:rsidRDefault="005045BE" w:rsidP="006D092F">
            <w:pPr>
              <w:rPr>
                <w:b/>
              </w:rPr>
            </w:pPr>
            <w:r>
              <w:rPr>
                <w:b/>
              </w:rPr>
              <w:t>Partes interesadas involucradas en el proceso</w:t>
            </w:r>
          </w:p>
        </w:tc>
      </w:tr>
      <w:tr w:rsidR="005045BE" w:rsidTr="005045BE">
        <w:tc>
          <w:tcPr>
            <w:tcW w:w="5765" w:type="dxa"/>
          </w:tcPr>
          <w:p w:rsidR="005045BE" w:rsidRDefault="005045BE" w:rsidP="006D092F"/>
          <w:p w:rsidR="005045BE" w:rsidRDefault="005045BE" w:rsidP="006D092F"/>
          <w:p w:rsidR="00EA59D5" w:rsidRDefault="00EA59D5" w:rsidP="006D092F"/>
          <w:p w:rsidR="00EA59D5" w:rsidRDefault="00EA59D5" w:rsidP="006D092F"/>
        </w:tc>
        <w:tc>
          <w:tcPr>
            <w:tcW w:w="2594" w:type="dxa"/>
          </w:tcPr>
          <w:p w:rsidR="005045BE" w:rsidRDefault="005045BE" w:rsidP="006D092F"/>
          <w:p w:rsidR="005D2493" w:rsidRDefault="005D2493" w:rsidP="006D092F"/>
          <w:p w:rsidR="005D2493" w:rsidRDefault="005D2493" w:rsidP="006D092F"/>
        </w:tc>
        <w:tc>
          <w:tcPr>
            <w:tcW w:w="2490" w:type="dxa"/>
          </w:tcPr>
          <w:p w:rsidR="005045BE" w:rsidRDefault="005045BE" w:rsidP="006D092F"/>
        </w:tc>
        <w:tc>
          <w:tcPr>
            <w:tcW w:w="3099" w:type="dxa"/>
          </w:tcPr>
          <w:p w:rsidR="005045BE" w:rsidRDefault="005045BE" w:rsidP="006D092F"/>
        </w:tc>
      </w:tr>
      <w:tr w:rsidR="005045BE" w:rsidTr="005045BE">
        <w:tc>
          <w:tcPr>
            <w:tcW w:w="5765" w:type="dxa"/>
          </w:tcPr>
          <w:p w:rsidR="005045BE" w:rsidRDefault="005045BE" w:rsidP="006D092F"/>
          <w:p w:rsidR="00C972E2" w:rsidRDefault="00C972E2" w:rsidP="006D092F"/>
          <w:p w:rsidR="00EA59D5" w:rsidRDefault="00EA59D5" w:rsidP="006D092F"/>
          <w:p w:rsidR="00C972E2" w:rsidRDefault="00C972E2" w:rsidP="006D092F"/>
          <w:p w:rsidR="00C972E2" w:rsidRDefault="00C972E2" w:rsidP="006D092F"/>
        </w:tc>
        <w:tc>
          <w:tcPr>
            <w:tcW w:w="2594" w:type="dxa"/>
          </w:tcPr>
          <w:p w:rsidR="005045BE" w:rsidRDefault="005045BE" w:rsidP="006D092F"/>
          <w:p w:rsidR="005D2493" w:rsidRDefault="005D2493" w:rsidP="006D092F"/>
          <w:p w:rsidR="005D2493" w:rsidRDefault="005D2493" w:rsidP="006D092F"/>
        </w:tc>
        <w:tc>
          <w:tcPr>
            <w:tcW w:w="2490" w:type="dxa"/>
          </w:tcPr>
          <w:p w:rsidR="005045BE" w:rsidRDefault="005045BE" w:rsidP="006D092F"/>
        </w:tc>
        <w:tc>
          <w:tcPr>
            <w:tcW w:w="3099" w:type="dxa"/>
          </w:tcPr>
          <w:p w:rsidR="005045BE" w:rsidRDefault="005045BE" w:rsidP="006D092F"/>
        </w:tc>
      </w:tr>
      <w:tr w:rsidR="005045BE" w:rsidTr="005045BE">
        <w:tc>
          <w:tcPr>
            <w:tcW w:w="5765" w:type="dxa"/>
          </w:tcPr>
          <w:p w:rsidR="005045BE" w:rsidRDefault="005045BE" w:rsidP="006D092F"/>
          <w:p w:rsidR="005D2493" w:rsidRDefault="005D2493" w:rsidP="006D092F"/>
          <w:p w:rsidR="005D2493" w:rsidRDefault="005D2493" w:rsidP="006D092F"/>
          <w:p w:rsidR="005045BE" w:rsidRDefault="005045BE" w:rsidP="006D092F"/>
        </w:tc>
        <w:tc>
          <w:tcPr>
            <w:tcW w:w="2594" w:type="dxa"/>
          </w:tcPr>
          <w:p w:rsidR="005045BE" w:rsidRDefault="005045BE" w:rsidP="006D092F"/>
        </w:tc>
        <w:tc>
          <w:tcPr>
            <w:tcW w:w="2490" w:type="dxa"/>
          </w:tcPr>
          <w:p w:rsidR="005045BE" w:rsidRDefault="005045BE" w:rsidP="006D092F"/>
        </w:tc>
        <w:tc>
          <w:tcPr>
            <w:tcW w:w="3099" w:type="dxa"/>
          </w:tcPr>
          <w:p w:rsidR="005045BE" w:rsidRDefault="005045BE" w:rsidP="006D092F"/>
        </w:tc>
      </w:tr>
      <w:tr w:rsidR="005045BE" w:rsidTr="005045BE">
        <w:tc>
          <w:tcPr>
            <w:tcW w:w="5765" w:type="dxa"/>
          </w:tcPr>
          <w:p w:rsidR="005045BE" w:rsidRDefault="005045BE" w:rsidP="006D092F"/>
          <w:p w:rsidR="005045BE" w:rsidRDefault="005045BE" w:rsidP="006D092F"/>
          <w:p w:rsidR="005D2493" w:rsidRDefault="005D2493" w:rsidP="006D092F"/>
          <w:p w:rsidR="005D2493" w:rsidRDefault="005D2493" w:rsidP="006D092F"/>
        </w:tc>
        <w:tc>
          <w:tcPr>
            <w:tcW w:w="2594" w:type="dxa"/>
          </w:tcPr>
          <w:p w:rsidR="005045BE" w:rsidRDefault="005045BE" w:rsidP="006D092F"/>
        </w:tc>
        <w:tc>
          <w:tcPr>
            <w:tcW w:w="2490" w:type="dxa"/>
          </w:tcPr>
          <w:p w:rsidR="005045BE" w:rsidRDefault="005045BE" w:rsidP="006D092F"/>
        </w:tc>
        <w:tc>
          <w:tcPr>
            <w:tcW w:w="3099" w:type="dxa"/>
          </w:tcPr>
          <w:p w:rsidR="005045BE" w:rsidRDefault="005045BE" w:rsidP="006D092F"/>
        </w:tc>
      </w:tr>
    </w:tbl>
    <w:p w:rsidR="006D092F" w:rsidRPr="006D092F" w:rsidRDefault="006D092F" w:rsidP="006D092F"/>
    <w:sectPr w:rsidR="006D092F" w:rsidRPr="006D092F" w:rsidSect="009F4CF5">
      <w:headerReference w:type="even" r:id="rId14"/>
      <w:headerReference w:type="default" r:id="rId15"/>
      <w:footerReference w:type="even"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FD2" w:rsidRDefault="007C7FD2" w:rsidP="0081196A">
      <w:pPr>
        <w:spacing w:before="0" w:after="0"/>
      </w:pPr>
      <w:r>
        <w:separator/>
      </w:r>
    </w:p>
  </w:endnote>
  <w:endnote w:type="continuationSeparator" w:id="0">
    <w:p w:rsidR="007C7FD2" w:rsidRDefault="007C7FD2" w:rsidP="008119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6A" w:rsidRPr="00B62A86" w:rsidRDefault="000E6806" w:rsidP="00B62A86">
    <w:pPr>
      <w:tabs>
        <w:tab w:val="clear" w:pos="567"/>
        <w:tab w:val="center" w:pos="4423"/>
        <w:tab w:val="right" w:pos="9000"/>
      </w:tabs>
      <w:snapToGrid/>
      <w:spacing w:before="0" w:after="0" w:line="240" w:lineRule="exact"/>
      <w:jc w:val="left"/>
      <w:rPr>
        <w:rFonts w:eastAsia="Calibri" w:cs="Times New Roman"/>
        <w:snapToGrid/>
        <w:sz w:val="16"/>
        <w:szCs w:val="22"/>
      </w:rPr>
    </w:pPr>
    <w:r>
      <w:rPr>
        <w:noProof/>
        <w:lang w:val="fr-FR" w:eastAsia="ja-JP"/>
      </w:rPr>
      <w:drawing>
        <wp:anchor distT="0" distB="0" distL="114300" distR="114300" simplePos="0" relativeHeight="251661824" behindDoc="0" locked="0" layoutInCell="1" allowOverlap="1" wp14:anchorId="1522C554" wp14:editId="71F8E734">
          <wp:simplePos x="0" y="0"/>
          <wp:positionH relativeFrom="column">
            <wp:posOffset>2593075</wp:posOffset>
          </wp:positionH>
          <wp:positionV relativeFrom="paragraph">
            <wp:posOffset>13705</wp:posOffset>
          </wp:positionV>
          <wp:extent cx="542290" cy="189230"/>
          <wp:effectExtent l="0" t="0" r="0" b="127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5903C8">
      <w:rPr>
        <w:rFonts w:eastAsia="Calibri" w:cs="Times New Roman"/>
        <w:noProof/>
        <w:snapToGrid/>
        <w:sz w:val="16"/>
        <w:szCs w:val="22"/>
        <w:lang w:val="fr-FR" w:eastAsia="ja-JP" w:bidi="ar-SA"/>
      </w:rPr>
      <w:drawing>
        <wp:anchor distT="0" distB="0" distL="114300" distR="114300" simplePos="0" relativeHeight="251675648" behindDoc="0" locked="0" layoutInCell="1" allowOverlap="1" wp14:anchorId="2546DDC3" wp14:editId="2AB64A86">
          <wp:simplePos x="0" y="0"/>
          <wp:positionH relativeFrom="column">
            <wp:posOffset>-113140</wp:posOffset>
          </wp:positionH>
          <wp:positionV relativeFrom="paragraph">
            <wp:posOffset>-205602</wp:posOffset>
          </wp:positionV>
          <wp:extent cx="796124" cy="577244"/>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6124" cy="577244"/>
                  </a:xfrm>
                  <a:prstGeom prst="rect">
                    <a:avLst/>
                  </a:prstGeom>
                </pic:spPr>
              </pic:pic>
            </a:graphicData>
          </a:graphic>
          <wp14:sizeRelH relativeFrom="page">
            <wp14:pctWidth>0</wp14:pctWidth>
          </wp14:sizeRelH>
          <wp14:sizeRelV relativeFrom="page">
            <wp14:pctHeight>0</wp14:pctHeight>
          </wp14:sizeRelV>
        </wp:anchor>
      </w:drawing>
    </w:r>
    <w:r w:rsidR="00B62A86">
      <w:tab/>
    </w:r>
    <w:r w:rsidR="00B62A86">
      <w:tab/>
    </w:r>
    <w:r w:rsidR="00B62A86">
      <w:rPr>
        <w:snapToGrid/>
        <w:sz w:val="16"/>
      </w:rPr>
      <w:t>U055-v1.0-HO6-ES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E8" w:rsidRPr="007B66E8" w:rsidRDefault="000E6806">
    <w:pPr>
      <w:pStyle w:val="Footer"/>
      <w:rPr>
        <w:lang w:val="fr-FR"/>
      </w:rPr>
    </w:pPr>
    <w:r>
      <w:rPr>
        <w:noProof/>
        <w:lang w:val="fr-FR" w:eastAsia="ja-JP"/>
      </w:rPr>
      <w:drawing>
        <wp:anchor distT="0" distB="0" distL="114300" distR="114300" simplePos="0" relativeHeight="251662848" behindDoc="0" locked="0" layoutInCell="1" allowOverlap="1" wp14:anchorId="1522C554" wp14:editId="71F8E734">
          <wp:simplePos x="0" y="0"/>
          <wp:positionH relativeFrom="column">
            <wp:posOffset>2593074</wp:posOffset>
          </wp:positionH>
          <wp:positionV relativeFrom="paragraph">
            <wp:posOffset>27352</wp:posOffset>
          </wp:positionV>
          <wp:extent cx="542290" cy="189230"/>
          <wp:effectExtent l="0" t="0" r="0" b="127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7B66E8">
      <w:rPr>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6A" w:rsidRPr="00320CED" w:rsidRDefault="000E6806" w:rsidP="00320CED">
    <w:pPr>
      <w:tabs>
        <w:tab w:val="clear" w:pos="567"/>
        <w:tab w:val="left" w:pos="2520"/>
        <w:tab w:val="center" w:pos="4680"/>
        <w:tab w:val="right" w:pos="8845"/>
      </w:tabs>
      <w:snapToGrid/>
      <w:spacing w:before="0" w:after="0" w:line="240" w:lineRule="exact"/>
      <w:jc w:val="left"/>
      <w:rPr>
        <w:rFonts w:eastAsia="Calibri" w:cs="Times New Roman"/>
        <w:snapToGrid/>
        <w:sz w:val="16"/>
        <w:szCs w:val="22"/>
      </w:rPr>
    </w:pPr>
    <w:r>
      <w:rPr>
        <w:noProof/>
        <w:lang w:val="fr-FR" w:eastAsia="ja-JP"/>
      </w:rPr>
      <w:drawing>
        <wp:anchor distT="0" distB="0" distL="114300" distR="114300" simplePos="0" relativeHeight="251660800" behindDoc="0" locked="0" layoutInCell="1" allowOverlap="1" wp14:anchorId="1522C554" wp14:editId="71F8E734">
          <wp:simplePos x="0" y="0"/>
          <wp:positionH relativeFrom="column">
            <wp:posOffset>2593074</wp:posOffset>
          </wp:positionH>
          <wp:positionV relativeFrom="paragraph">
            <wp:posOffset>13704</wp:posOffset>
          </wp:positionV>
          <wp:extent cx="542290" cy="189230"/>
          <wp:effectExtent l="0" t="0" r="0" b="127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5903C8">
      <w:rPr>
        <w:rFonts w:eastAsia="Calibri" w:cs="Times New Roman"/>
        <w:noProof/>
        <w:snapToGrid/>
        <w:sz w:val="16"/>
        <w:szCs w:val="22"/>
        <w:lang w:val="fr-FR" w:eastAsia="ja-JP" w:bidi="ar-SA"/>
      </w:rPr>
      <w:drawing>
        <wp:anchor distT="0" distB="0" distL="114300" distR="114300" simplePos="0" relativeHeight="251652608" behindDoc="0" locked="0" layoutInCell="1" allowOverlap="1" wp14:anchorId="403A9EC4" wp14:editId="23E9A051">
          <wp:simplePos x="0" y="0"/>
          <wp:positionH relativeFrom="column">
            <wp:posOffset>5033177</wp:posOffset>
          </wp:positionH>
          <wp:positionV relativeFrom="paragraph">
            <wp:posOffset>-208998</wp:posOffset>
          </wp:positionV>
          <wp:extent cx="796124" cy="577244"/>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5481" cy="576778"/>
                  </a:xfrm>
                  <a:prstGeom prst="rect">
                    <a:avLst/>
                  </a:prstGeom>
                </pic:spPr>
              </pic:pic>
            </a:graphicData>
          </a:graphic>
          <wp14:sizeRelH relativeFrom="page">
            <wp14:pctWidth>0</wp14:pctWidth>
          </wp14:sizeRelH>
          <wp14:sizeRelV relativeFrom="page">
            <wp14:pctHeight>0</wp14:pctHeight>
          </wp14:sizeRelV>
        </wp:anchor>
      </w:drawing>
    </w:r>
    <w:r w:rsidR="00320CED">
      <w:rPr>
        <w:snapToGrid/>
        <w:sz w:val="16"/>
      </w:rPr>
      <w:t>U055-v1.0-HO6-ES</w:t>
    </w:r>
    <w:r w:rsidR="00320CED">
      <w:tab/>
    </w:r>
    <w:r w:rsidR="00D801A5">
      <w:tab/>
    </w:r>
    <w:r w:rsidR="00320CED">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F5" w:rsidRPr="009F4CF5" w:rsidRDefault="000E6806" w:rsidP="009F4CF5">
    <w:pPr>
      <w:tabs>
        <w:tab w:val="clear" w:pos="567"/>
        <w:tab w:val="center" w:pos="6480"/>
        <w:tab w:val="right" w:pos="13860"/>
      </w:tabs>
      <w:snapToGrid/>
      <w:spacing w:before="0" w:after="0" w:line="240" w:lineRule="exact"/>
      <w:jc w:val="left"/>
      <w:rPr>
        <w:rFonts w:eastAsia="Calibri" w:cs="Times New Roman"/>
        <w:snapToGrid/>
        <w:sz w:val="16"/>
        <w:szCs w:val="22"/>
      </w:rPr>
    </w:pPr>
    <w:r>
      <w:rPr>
        <w:noProof/>
        <w:lang w:val="fr-FR" w:eastAsia="ja-JP"/>
      </w:rPr>
      <w:drawing>
        <wp:anchor distT="0" distB="0" distL="114300" distR="114300" simplePos="0" relativeHeight="251663872" behindDoc="0" locked="0" layoutInCell="1" allowOverlap="1" wp14:anchorId="1522C554" wp14:editId="71F8E734">
          <wp:simplePos x="0" y="0"/>
          <wp:positionH relativeFrom="column">
            <wp:posOffset>4162567</wp:posOffset>
          </wp:positionH>
          <wp:positionV relativeFrom="paragraph">
            <wp:posOffset>12747</wp:posOffset>
          </wp:positionV>
          <wp:extent cx="542290" cy="189230"/>
          <wp:effectExtent l="0" t="0" r="0" b="127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DF3CE8">
      <w:rPr>
        <w:rFonts w:eastAsia="Calibri" w:cs="Times New Roman"/>
        <w:noProof/>
        <w:snapToGrid/>
        <w:sz w:val="16"/>
        <w:szCs w:val="22"/>
        <w:lang w:val="fr-FR" w:eastAsia="ja-JP" w:bidi="ar-SA"/>
      </w:rPr>
      <w:drawing>
        <wp:anchor distT="0" distB="0" distL="114300" distR="114300" simplePos="0" relativeHeight="251676672" behindDoc="0" locked="0" layoutInCell="1" allowOverlap="1" wp14:anchorId="412F9CE8" wp14:editId="5AA3500A">
          <wp:simplePos x="0" y="0"/>
          <wp:positionH relativeFrom="column">
            <wp:posOffset>-7951</wp:posOffset>
          </wp:positionH>
          <wp:positionV relativeFrom="paragraph">
            <wp:posOffset>-326942</wp:posOffset>
          </wp:positionV>
          <wp:extent cx="785003" cy="569512"/>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4696" cy="569289"/>
                  </a:xfrm>
                  <a:prstGeom prst="rect">
                    <a:avLst/>
                  </a:prstGeom>
                </pic:spPr>
              </pic:pic>
            </a:graphicData>
          </a:graphic>
          <wp14:sizeRelH relativeFrom="page">
            <wp14:pctWidth>0</wp14:pctWidth>
          </wp14:sizeRelH>
          <wp14:sizeRelV relativeFrom="page">
            <wp14:pctHeight>0</wp14:pctHeight>
          </wp14:sizeRelV>
        </wp:anchor>
      </w:drawing>
    </w:r>
    <w:r w:rsidR="009F4CF5">
      <w:rPr>
        <w:rFonts w:eastAsia="Calibri" w:cs="Times New Roman"/>
        <w:noProof/>
        <w:snapToGrid/>
        <w:sz w:val="16"/>
        <w:szCs w:val="22"/>
        <w:lang w:val="fr-FR" w:eastAsia="ja-JP" w:bidi="ar-SA"/>
      </w:rPr>
      <w:drawing>
        <wp:anchor distT="0" distB="0" distL="114300" distR="114300" simplePos="0" relativeHeight="251669504" behindDoc="0" locked="1" layoutInCell="1" allowOverlap="0" wp14:anchorId="46426EB7" wp14:editId="7D9E4F93">
          <wp:simplePos x="0" y="0"/>
          <wp:positionH relativeFrom="margin">
            <wp:posOffset>-228600</wp:posOffset>
          </wp:positionH>
          <wp:positionV relativeFrom="margin">
            <wp:posOffset>8914130</wp:posOffset>
          </wp:positionV>
          <wp:extent cx="942975" cy="538480"/>
          <wp:effectExtent l="0" t="0" r="9525" b="0"/>
          <wp:wrapSquare wrapText="bothSides"/>
          <wp:docPr id="19" name="Imag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3">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009F4CF5">
      <w:tab/>
    </w:r>
    <w:r w:rsidR="009F4CF5">
      <w:tab/>
    </w:r>
    <w:r w:rsidR="009F4CF5">
      <w:rPr>
        <w:snapToGrid/>
        <w:sz w:val="16"/>
      </w:rPr>
      <w:t>U055-v1.0-HO6-ES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F5" w:rsidRPr="009F4CF5" w:rsidRDefault="000E6806" w:rsidP="009F4CF5">
    <w:pPr>
      <w:tabs>
        <w:tab w:val="clear" w:pos="567"/>
        <w:tab w:val="left" w:pos="5220"/>
        <w:tab w:val="center" w:pos="6660"/>
        <w:tab w:val="right" w:pos="14040"/>
      </w:tabs>
      <w:snapToGrid/>
      <w:spacing w:before="0" w:after="0" w:line="240" w:lineRule="exact"/>
      <w:jc w:val="left"/>
      <w:rPr>
        <w:rFonts w:eastAsia="Calibri" w:cs="Times New Roman"/>
        <w:snapToGrid/>
        <w:sz w:val="16"/>
        <w:szCs w:val="22"/>
      </w:rPr>
    </w:pPr>
    <w:r>
      <w:rPr>
        <w:noProof/>
        <w:lang w:val="fr-FR" w:eastAsia="ja-JP"/>
      </w:rPr>
      <w:drawing>
        <wp:anchor distT="0" distB="0" distL="114300" distR="114300" simplePos="0" relativeHeight="251664896" behindDoc="0" locked="0" layoutInCell="1" allowOverlap="1" wp14:anchorId="1522C554" wp14:editId="71F8E734">
          <wp:simplePos x="0" y="0"/>
          <wp:positionH relativeFrom="column">
            <wp:posOffset>4162567</wp:posOffset>
          </wp:positionH>
          <wp:positionV relativeFrom="paragraph">
            <wp:posOffset>12748</wp:posOffset>
          </wp:positionV>
          <wp:extent cx="542290" cy="189230"/>
          <wp:effectExtent l="0" t="0" r="0" b="127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189230"/>
                  </a:xfrm>
                  <a:prstGeom prst="rect">
                    <a:avLst/>
                  </a:prstGeom>
                  <a:noFill/>
                </pic:spPr>
              </pic:pic>
            </a:graphicData>
          </a:graphic>
          <wp14:sizeRelH relativeFrom="page">
            <wp14:pctWidth>0</wp14:pctWidth>
          </wp14:sizeRelH>
          <wp14:sizeRelV relativeFrom="page">
            <wp14:pctHeight>0</wp14:pctHeight>
          </wp14:sizeRelV>
        </wp:anchor>
      </w:drawing>
    </w:r>
    <w:r w:rsidR="00DF3CE8">
      <w:rPr>
        <w:noProof/>
        <w:snapToGrid/>
        <w:lang w:val="fr-FR" w:eastAsia="ja-JP" w:bidi="ar-SA"/>
      </w:rPr>
      <w:drawing>
        <wp:anchor distT="0" distB="0" distL="114300" distR="114300" simplePos="0" relativeHeight="251677696" behindDoc="0" locked="0" layoutInCell="1" allowOverlap="1" wp14:anchorId="783FCC95" wp14:editId="429877C0">
          <wp:simplePos x="0" y="0"/>
          <wp:positionH relativeFrom="column">
            <wp:posOffset>8135620</wp:posOffset>
          </wp:positionH>
          <wp:positionV relativeFrom="paragraph">
            <wp:posOffset>-215265</wp:posOffset>
          </wp:positionV>
          <wp:extent cx="780415" cy="567055"/>
          <wp:effectExtent l="0" t="0" r="63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0415" cy="567055"/>
                  </a:xfrm>
                  <a:prstGeom prst="rect">
                    <a:avLst/>
                  </a:prstGeom>
                  <a:noFill/>
                </pic:spPr>
              </pic:pic>
            </a:graphicData>
          </a:graphic>
          <wp14:sizeRelH relativeFrom="page">
            <wp14:pctWidth>0</wp14:pctWidth>
          </wp14:sizeRelH>
          <wp14:sizeRelV relativeFrom="page">
            <wp14:pctHeight>0</wp14:pctHeight>
          </wp14:sizeRelV>
        </wp:anchor>
      </w:drawing>
    </w:r>
    <w:r w:rsidR="009F4CF5">
      <w:rPr>
        <w:snapToGrid/>
        <w:sz w:val="16"/>
      </w:rPr>
      <w:t>U055-v1.0-HO6-ES</w:t>
    </w:r>
    <w:r w:rsidR="009F4CF5">
      <w:tab/>
    </w:r>
    <w:r w:rsidR="009F4CF5">
      <w:tab/>
    </w:r>
    <w:r w:rsidR="009F4CF5">
      <w:rPr>
        <w:rFonts w:eastAsia="Calibri" w:cs="Times New Roman"/>
        <w:noProof/>
        <w:snapToGrid/>
        <w:sz w:val="16"/>
        <w:szCs w:val="20"/>
        <w:lang w:val="fr-FR" w:eastAsia="ja-JP" w:bidi="ar-SA"/>
      </w:rPr>
      <w:drawing>
        <wp:anchor distT="0" distB="0" distL="114300" distR="114300" simplePos="0" relativeHeight="251665408" behindDoc="0" locked="1" layoutInCell="1" allowOverlap="0" wp14:anchorId="33B974B7" wp14:editId="6CBF5D0E">
          <wp:simplePos x="0" y="0"/>
          <wp:positionH relativeFrom="margin">
            <wp:posOffset>5063490</wp:posOffset>
          </wp:positionH>
          <wp:positionV relativeFrom="margin">
            <wp:posOffset>9066530</wp:posOffset>
          </wp:positionV>
          <wp:extent cx="942975" cy="538480"/>
          <wp:effectExtent l="0" t="0" r="9525" b="0"/>
          <wp:wrapSquare wrapText="bothSides"/>
          <wp:docPr id="15" name="Imag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3">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009F4CF5">
      <w:rPr>
        <w:rFonts w:eastAsia="Calibri" w:cs="Times New Roman"/>
        <w:noProof/>
        <w:snapToGrid/>
        <w:sz w:val="16"/>
        <w:szCs w:val="20"/>
        <w:lang w:val="fr-FR" w:eastAsia="ja-JP" w:bidi="ar-SA"/>
      </w:rPr>
      <w:drawing>
        <wp:anchor distT="0" distB="0" distL="114300" distR="114300" simplePos="0" relativeHeight="251663360" behindDoc="0" locked="1" layoutInCell="1" allowOverlap="0" wp14:anchorId="0461D45B" wp14:editId="381C5AAF">
          <wp:simplePos x="0" y="0"/>
          <wp:positionH relativeFrom="margin">
            <wp:posOffset>4911090</wp:posOffset>
          </wp:positionH>
          <wp:positionV relativeFrom="margin">
            <wp:posOffset>8914130</wp:posOffset>
          </wp:positionV>
          <wp:extent cx="942975" cy="538480"/>
          <wp:effectExtent l="0" t="0" r="9525" b="0"/>
          <wp:wrapSquare wrapText="bothSides"/>
          <wp:docPr id="14" name="Imag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3">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FD2" w:rsidRDefault="007C7FD2" w:rsidP="0081196A">
      <w:pPr>
        <w:spacing w:before="0" w:after="0"/>
      </w:pPr>
      <w:r>
        <w:separator/>
      </w:r>
    </w:p>
  </w:footnote>
  <w:footnote w:type="continuationSeparator" w:id="0">
    <w:p w:rsidR="007C7FD2" w:rsidRDefault="007C7FD2" w:rsidP="008119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6A" w:rsidRPr="00320CED" w:rsidRDefault="00320CED" w:rsidP="00320CED">
    <w:pPr>
      <w:tabs>
        <w:tab w:val="clear" w:pos="567"/>
        <w:tab w:val="center" w:pos="4423"/>
        <w:tab w:val="right" w:pos="9000"/>
      </w:tabs>
      <w:snapToGrid/>
      <w:spacing w:before="0" w:after="200" w:line="276" w:lineRule="auto"/>
      <w:jc w:val="left"/>
      <w:rPr>
        <w:rFonts w:eastAsia="Calibri" w:cs="Times New Roman"/>
        <w:snapToGrid/>
        <w:sz w:val="16"/>
        <w:szCs w:val="22"/>
      </w:rPr>
    </w:pPr>
    <w:r w:rsidRPr="00320CED">
      <w:rPr>
        <w:rFonts w:eastAsia="Calibri" w:cs="Times New Roman"/>
        <w:snapToGrid/>
        <w:sz w:val="16"/>
        <w:szCs w:val="22"/>
      </w:rPr>
      <w:fldChar w:fldCharType="begin"/>
    </w:r>
    <w:r w:rsidRPr="00320CED">
      <w:rPr>
        <w:rFonts w:eastAsia="Calibri" w:cs="Times New Roman"/>
        <w:snapToGrid/>
        <w:sz w:val="16"/>
        <w:szCs w:val="22"/>
      </w:rPr>
      <w:instrText xml:space="preserve"> PAGE </w:instrText>
    </w:r>
    <w:r w:rsidRPr="00320CED">
      <w:rPr>
        <w:rFonts w:eastAsia="Calibri" w:cs="Times New Roman"/>
        <w:snapToGrid/>
        <w:sz w:val="16"/>
        <w:szCs w:val="22"/>
      </w:rPr>
      <w:fldChar w:fldCharType="separate"/>
    </w:r>
    <w:r w:rsidR="000E6806">
      <w:rPr>
        <w:rFonts w:eastAsia="Calibri" w:cs="Times New Roman"/>
        <w:noProof/>
        <w:snapToGrid/>
        <w:sz w:val="16"/>
        <w:szCs w:val="22"/>
      </w:rPr>
      <w:t>2</w:t>
    </w:r>
    <w:r w:rsidRPr="00320CED">
      <w:rPr>
        <w:rFonts w:eastAsia="Calibri" w:cs="Times New Roman"/>
        <w:snapToGrid/>
        <w:sz w:val="16"/>
        <w:szCs w:val="22"/>
      </w:rPr>
      <w:fldChar w:fldCharType="end"/>
    </w:r>
    <w:r>
      <w:tab/>
    </w:r>
    <w:r>
      <w:rPr>
        <w:snapToGrid/>
        <w:sz w:val="16"/>
      </w:rPr>
      <w:t>Unidad 55: Taller de elaboración de políticas para la salvaguardia del PCI</w:t>
    </w:r>
    <w:r>
      <w:tab/>
    </w:r>
    <w:r>
      <w:rPr>
        <w:snapToGrid/>
        <w:sz w:val="16"/>
      </w:rPr>
      <w:t>Folleto 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6A" w:rsidRPr="005903C8" w:rsidRDefault="0081196A" w:rsidP="005903C8">
    <w:pPr>
      <w:pStyle w:val="Header"/>
      <w:rPr>
        <w:sz w:val="16"/>
        <w:szCs w:val="16"/>
      </w:rPr>
    </w:pPr>
    <w:r w:rsidRPr="005903C8">
      <w:rPr>
        <w:rStyle w:val="PageNumber"/>
        <w:sz w:val="16"/>
        <w:szCs w:val="16"/>
      </w:rPr>
      <w:fldChar w:fldCharType="begin"/>
    </w:r>
    <w:r w:rsidRPr="005903C8">
      <w:rPr>
        <w:rStyle w:val="PageNumber"/>
        <w:sz w:val="16"/>
        <w:szCs w:val="16"/>
      </w:rPr>
      <w:instrText xml:space="preserve">PAGE  </w:instrText>
    </w:r>
    <w:r w:rsidRPr="005903C8">
      <w:rPr>
        <w:rStyle w:val="PageNumber"/>
        <w:sz w:val="16"/>
        <w:szCs w:val="16"/>
      </w:rPr>
      <w:fldChar w:fldCharType="separate"/>
    </w:r>
    <w:r w:rsidR="000E6806">
      <w:rPr>
        <w:rStyle w:val="PageNumber"/>
        <w:noProof/>
        <w:sz w:val="16"/>
        <w:szCs w:val="16"/>
      </w:rPr>
      <w:t>3</w:t>
    </w:r>
    <w:r w:rsidRPr="005903C8">
      <w:rPr>
        <w:rStyle w:val="PageNumber"/>
        <w:sz w:val="16"/>
        <w:szCs w:val="16"/>
      </w:rPr>
      <w:fldChar w:fldCharType="end"/>
    </w:r>
    <w:r w:rsidRPr="005903C8">
      <w:rPr>
        <w:sz w:val="16"/>
        <w:szCs w:val="16"/>
      </w:rPr>
      <w:tab/>
      <w:t>Unidad 10</w:t>
    </w:r>
    <w:r w:rsidRPr="005903C8">
      <w:rPr>
        <w:sz w:val="16"/>
        <w:szCs w:val="16"/>
      </w:rPr>
      <w:tab/>
    </w:r>
    <w:r w:rsidRPr="005903C8">
      <w:rPr>
        <w:rStyle w:val="PageNumber"/>
        <w:sz w:val="16"/>
        <w:szCs w:val="16"/>
      </w:rPr>
      <w:t>Folleto 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6A" w:rsidRPr="00320CED" w:rsidRDefault="00320CED" w:rsidP="00320CED">
    <w:pPr>
      <w:tabs>
        <w:tab w:val="clear" w:pos="567"/>
        <w:tab w:val="center" w:pos="4513"/>
        <w:tab w:val="right" w:pos="9026"/>
      </w:tabs>
      <w:spacing w:before="0" w:after="0"/>
      <w:jc w:val="center"/>
      <w:rPr>
        <w:sz w:val="16"/>
        <w:szCs w:val="16"/>
      </w:rPr>
    </w:pPr>
    <w:r>
      <w:rPr>
        <w:sz w:val="16"/>
      </w:rPr>
      <w:t>Folleto 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F5" w:rsidRPr="00320CED" w:rsidRDefault="009F4CF5" w:rsidP="009F4CF5">
    <w:pPr>
      <w:tabs>
        <w:tab w:val="clear" w:pos="567"/>
        <w:tab w:val="center" w:pos="7020"/>
        <w:tab w:val="right" w:pos="13860"/>
      </w:tabs>
      <w:snapToGrid/>
      <w:spacing w:before="0" w:after="200" w:line="276" w:lineRule="auto"/>
      <w:jc w:val="left"/>
      <w:rPr>
        <w:rFonts w:eastAsia="Calibri" w:cs="Times New Roman"/>
        <w:snapToGrid/>
        <w:sz w:val="16"/>
        <w:szCs w:val="22"/>
      </w:rPr>
    </w:pPr>
    <w:r w:rsidRPr="00320CED">
      <w:rPr>
        <w:rFonts w:eastAsia="Calibri" w:cs="Times New Roman"/>
        <w:snapToGrid/>
        <w:sz w:val="16"/>
        <w:szCs w:val="22"/>
      </w:rPr>
      <w:fldChar w:fldCharType="begin"/>
    </w:r>
    <w:r w:rsidRPr="00320CED">
      <w:rPr>
        <w:rFonts w:eastAsia="Calibri" w:cs="Times New Roman"/>
        <w:snapToGrid/>
        <w:sz w:val="16"/>
        <w:szCs w:val="22"/>
      </w:rPr>
      <w:instrText xml:space="preserve"> PAGE </w:instrText>
    </w:r>
    <w:r w:rsidRPr="00320CED">
      <w:rPr>
        <w:rFonts w:eastAsia="Calibri" w:cs="Times New Roman"/>
        <w:snapToGrid/>
        <w:sz w:val="16"/>
        <w:szCs w:val="22"/>
      </w:rPr>
      <w:fldChar w:fldCharType="separate"/>
    </w:r>
    <w:r w:rsidR="000E6806">
      <w:rPr>
        <w:rFonts w:eastAsia="Calibri" w:cs="Times New Roman"/>
        <w:noProof/>
        <w:snapToGrid/>
        <w:sz w:val="16"/>
        <w:szCs w:val="22"/>
      </w:rPr>
      <w:t>6</w:t>
    </w:r>
    <w:r w:rsidRPr="00320CED">
      <w:rPr>
        <w:rFonts w:eastAsia="Calibri" w:cs="Times New Roman"/>
        <w:snapToGrid/>
        <w:sz w:val="16"/>
        <w:szCs w:val="22"/>
      </w:rPr>
      <w:fldChar w:fldCharType="end"/>
    </w:r>
    <w:r>
      <w:tab/>
    </w:r>
    <w:r>
      <w:rPr>
        <w:snapToGrid/>
        <w:sz w:val="16"/>
      </w:rPr>
      <w:t>Unidad 55: Taller de elaboración de políticas para la salvaguardia del PCI</w:t>
    </w:r>
    <w:r>
      <w:tab/>
    </w:r>
    <w:r>
      <w:rPr>
        <w:snapToGrid/>
        <w:sz w:val="16"/>
      </w:rPr>
      <w:t>Folleto 6</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F5" w:rsidRPr="009F4CF5" w:rsidRDefault="009F4CF5" w:rsidP="009F4CF5">
    <w:pPr>
      <w:tabs>
        <w:tab w:val="clear" w:pos="567"/>
        <w:tab w:val="center" w:pos="7020"/>
        <w:tab w:val="right" w:pos="14040"/>
      </w:tabs>
      <w:snapToGrid/>
      <w:spacing w:before="0" w:after="200" w:line="276" w:lineRule="auto"/>
      <w:jc w:val="left"/>
      <w:rPr>
        <w:rFonts w:eastAsia="Calibri" w:cs="Times New Roman"/>
        <w:snapToGrid/>
        <w:sz w:val="16"/>
        <w:szCs w:val="22"/>
      </w:rPr>
    </w:pPr>
    <w:r>
      <w:rPr>
        <w:snapToGrid/>
        <w:sz w:val="16"/>
      </w:rPr>
      <w:t>Folleto 6</w:t>
    </w:r>
    <w:r>
      <w:tab/>
    </w:r>
    <w:r>
      <w:rPr>
        <w:snapToGrid/>
        <w:sz w:val="16"/>
      </w:rPr>
      <w:t>Unidad 55: Taller sobre elaboración de políticas para la salvaguardia del PCI</w:t>
    </w:r>
    <w:r>
      <w:tab/>
    </w:r>
    <w:r w:rsidRPr="009F4CF5">
      <w:rPr>
        <w:rFonts w:eastAsia="Calibri" w:cs="Times New Roman"/>
        <w:snapToGrid/>
        <w:sz w:val="16"/>
        <w:szCs w:val="22"/>
      </w:rPr>
      <w:fldChar w:fldCharType="begin"/>
    </w:r>
    <w:r w:rsidRPr="009F4CF5">
      <w:rPr>
        <w:rFonts w:eastAsia="Calibri" w:cs="Times New Roman"/>
        <w:snapToGrid/>
        <w:sz w:val="16"/>
        <w:szCs w:val="22"/>
      </w:rPr>
      <w:instrText xml:space="preserve"> PAGE </w:instrText>
    </w:r>
    <w:r w:rsidRPr="009F4CF5">
      <w:rPr>
        <w:rFonts w:eastAsia="Calibri" w:cs="Times New Roman"/>
        <w:snapToGrid/>
        <w:sz w:val="16"/>
        <w:szCs w:val="22"/>
      </w:rPr>
      <w:fldChar w:fldCharType="separate"/>
    </w:r>
    <w:r w:rsidR="000E6806">
      <w:rPr>
        <w:rFonts w:eastAsia="Calibri" w:cs="Times New Roman"/>
        <w:noProof/>
        <w:snapToGrid/>
        <w:sz w:val="16"/>
        <w:szCs w:val="22"/>
      </w:rPr>
      <w:t>5</w:t>
    </w:r>
    <w:r w:rsidRPr="009F4CF5">
      <w:rPr>
        <w:rFonts w:eastAsia="Calibri" w:cs="Times New Roman"/>
        <w:snapToGrid/>
        <w:sz w:val="16"/>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506"/>
    <w:multiLevelType w:val="hybridMultilevel"/>
    <w:tmpl w:val="815E74C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AB45EB9"/>
    <w:multiLevelType w:val="hybridMultilevel"/>
    <w:tmpl w:val="4E3474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52322"/>
    <w:multiLevelType w:val="hybridMultilevel"/>
    <w:tmpl w:val="0C429DA6"/>
    <w:lvl w:ilvl="0" w:tplc="6ACEF6DC">
      <w:start w:val="1"/>
      <w:numFmt w:val="bullet"/>
      <w:lvlText w:val="•"/>
      <w:lvlJc w:val="left"/>
      <w:pPr>
        <w:tabs>
          <w:tab w:val="num" w:pos="720"/>
        </w:tabs>
        <w:ind w:left="720" w:hanging="360"/>
      </w:pPr>
      <w:rPr>
        <w:rFonts w:ascii="Arial" w:hAnsi="Arial" w:hint="default"/>
      </w:rPr>
    </w:lvl>
    <w:lvl w:ilvl="1" w:tplc="D8ACDD88" w:tentative="1">
      <w:start w:val="1"/>
      <w:numFmt w:val="bullet"/>
      <w:lvlText w:val="•"/>
      <w:lvlJc w:val="left"/>
      <w:pPr>
        <w:tabs>
          <w:tab w:val="num" w:pos="1440"/>
        </w:tabs>
        <w:ind w:left="1440" w:hanging="360"/>
      </w:pPr>
      <w:rPr>
        <w:rFonts w:ascii="Arial" w:hAnsi="Arial" w:hint="default"/>
      </w:rPr>
    </w:lvl>
    <w:lvl w:ilvl="2" w:tplc="4AE82350" w:tentative="1">
      <w:start w:val="1"/>
      <w:numFmt w:val="bullet"/>
      <w:lvlText w:val="•"/>
      <w:lvlJc w:val="left"/>
      <w:pPr>
        <w:tabs>
          <w:tab w:val="num" w:pos="2160"/>
        </w:tabs>
        <w:ind w:left="2160" w:hanging="360"/>
      </w:pPr>
      <w:rPr>
        <w:rFonts w:ascii="Arial" w:hAnsi="Arial" w:hint="default"/>
      </w:rPr>
    </w:lvl>
    <w:lvl w:ilvl="3" w:tplc="F888FA8A" w:tentative="1">
      <w:start w:val="1"/>
      <w:numFmt w:val="bullet"/>
      <w:lvlText w:val="•"/>
      <w:lvlJc w:val="left"/>
      <w:pPr>
        <w:tabs>
          <w:tab w:val="num" w:pos="2880"/>
        </w:tabs>
        <w:ind w:left="2880" w:hanging="360"/>
      </w:pPr>
      <w:rPr>
        <w:rFonts w:ascii="Arial" w:hAnsi="Arial" w:hint="default"/>
      </w:rPr>
    </w:lvl>
    <w:lvl w:ilvl="4" w:tplc="250EDFBA" w:tentative="1">
      <w:start w:val="1"/>
      <w:numFmt w:val="bullet"/>
      <w:lvlText w:val="•"/>
      <w:lvlJc w:val="left"/>
      <w:pPr>
        <w:tabs>
          <w:tab w:val="num" w:pos="3600"/>
        </w:tabs>
        <w:ind w:left="3600" w:hanging="360"/>
      </w:pPr>
      <w:rPr>
        <w:rFonts w:ascii="Arial" w:hAnsi="Arial" w:hint="default"/>
      </w:rPr>
    </w:lvl>
    <w:lvl w:ilvl="5" w:tplc="5E7C39F8" w:tentative="1">
      <w:start w:val="1"/>
      <w:numFmt w:val="bullet"/>
      <w:lvlText w:val="•"/>
      <w:lvlJc w:val="left"/>
      <w:pPr>
        <w:tabs>
          <w:tab w:val="num" w:pos="4320"/>
        </w:tabs>
        <w:ind w:left="4320" w:hanging="360"/>
      </w:pPr>
      <w:rPr>
        <w:rFonts w:ascii="Arial" w:hAnsi="Arial" w:hint="default"/>
      </w:rPr>
    </w:lvl>
    <w:lvl w:ilvl="6" w:tplc="56D469C2" w:tentative="1">
      <w:start w:val="1"/>
      <w:numFmt w:val="bullet"/>
      <w:lvlText w:val="•"/>
      <w:lvlJc w:val="left"/>
      <w:pPr>
        <w:tabs>
          <w:tab w:val="num" w:pos="5040"/>
        </w:tabs>
        <w:ind w:left="5040" w:hanging="360"/>
      </w:pPr>
      <w:rPr>
        <w:rFonts w:ascii="Arial" w:hAnsi="Arial" w:hint="default"/>
      </w:rPr>
    </w:lvl>
    <w:lvl w:ilvl="7" w:tplc="984E6004" w:tentative="1">
      <w:start w:val="1"/>
      <w:numFmt w:val="bullet"/>
      <w:lvlText w:val="•"/>
      <w:lvlJc w:val="left"/>
      <w:pPr>
        <w:tabs>
          <w:tab w:val="num" w:pos="5760"/>
        </w:tabs>
        <w:ind w:left="5760" w:hanging="360"/>
      </w:pPr>
      <w:rPr>
        <w:rFonts w:ascii="Arial" w:hAnsi="Arial" w:hint="default"/>
      </w:rPr>
    </w:lvl>
    <w:lvl w:ilvl="8" w:tplc="D94CEE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 w15:restartNumberingAfterBreak="0">
    <w:nsid w:val="440F3B99"/>
    <w:multiLevelType w:val="hybridMultilevel"/>
    <w:tmpl w:val="3AC63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9962F1"/>
    <w:multiLevelType w:val="hybridMultilevel"/>
    <w:tmpl w:val="F78079C6"/>
    <w:lvl w:ilvl="0" w:tplc="164CD164">
      <w:start w:val="1"/>
      <w:numFmt w:val="bullet"/>
      <w:lvlText w:val="•"/>
      <w:lvlJc w:val="left"/>
      <w:pPr>
        <w:tabs>
          <w:tab w:val="num" w:pos="720"/>
        </w:tabs>
        <w:ind w:left="720" w:hanging="360"/>
      </w:pPr>
      <w:rPr>
        <w:rFonts w:ascii="Arial" w:hAnsi="Arial" w:hint="default"/>
      </w:rPr>
    </w:lvl>
    <w:lvl w:ilvl="1" w:tplc="A23E95D2" w:tentative="1">
      <w:start w:val="1"/>
      <w:numFmt w:val="bullet"/>
      <w:lvlText w:val="•"/>
      <w:lvlJc w:val="left"/>
      <w:pPr>
        <w:tabs>
          <w:tab w:val="num" w:pos="1440"/>
        </w:tabs>
        <w:ind w:left="1440" w:hanging="360"/>
      </w:pPr>
      <w:rPr>
        <w:rFonts w:ascii="Arial" w:hAnsi="Arial" w:hint="default"/>
      </w:rPr>
    </w:lvl>
    <w:lvl w:ilvl="2" w:tplc="3FD2E52C" w:tentative="1">
      <w:start w:val="1"/>
      <w:numFmt w:val="bullet"/>
      <w:lvlText w:val="•"/>
      <w:lvlJc w:val="left"/>
      <w:pPr>
        <w:tabs>
          <w:tab w:val="num" w:pos="2160"/>
        </w:tabs>
        <w:ind w:left="2160" w:hanging="360"/>
      </w:pPr>
      <w:rPr>
        <w:rFonts w:ascii="Arial" w:hAnsi="Arial" w:hint="default"/>
      </w:rPr>
    </w:lvl>
    <w:lvl w:ilvl="3" w:tplc="4664F1BE" w:tentative="1">
      <w:start w:val="1"/>
      <w:numFmt w:val="bullet"/>
      <w:lvlText w:val="•"/>
      <w:lvlJc w:val="left"/>
      <w:pPr>
        <w:tabs>
          <w:tab w:val="num" w:pos="2880"/>
        </w:tabs>
        <w:ind w:left="2880" w:hanging="360"/>
      </w:pPr>
      <w:rPr>
        <w:rFonts w:ascii="Arial" w:hAnsi="Arial" w:hint="default"/>
      </w:rPr>
    </w:lvl>
    <w:lvl w:ilvl="4" w:tplc="A594BAFE" w:tentative="1">
      <w:start w:val="1"/>
      <w:numFmt w:val="bullet"/>
      <w:lvlText w:val="•"/>
      <w:lvlJc w:val="left"/>
      <w:pPr>
        <w:tabs>
          <w:tab w:val="num" w:pos="3600"/>
        </w:tabs>
        <w:ind w:left="3600" w:hanging="360"/>
      </w:pPr>
      <w:rPr>
        <w:rFonts w:ascii="Arial" w:hAnsi="Arial" w:hint="default"/>
      </w:rPr>
    </w:lvl>
    <w:lvl w:ilvl="5" w:tplc="5B3A1958" w:tentative="1">
      <w:start w:val="1"/>
      <w:numFmt w:val="bullet"/>
      <w:lvlText w:val="•"/>
      <w:lvlJc w:val="left"/>
      <w:pPr>
        <w:tabs>
          <w:tab w:val="num" w:pos="4320"/>
        </w:tabs>
        <w:ind w:left="4320" w:hanging="360"/>
      </w:pPr>
      <w:rPr>
        <w:rFonts w:ascii="Arial" w:hAnsi="Arial" w:hint="default"/>
      </w:rPr>
    </w:lvl>
    <w:lvl w:ilvl="6" w:tplc="B4AE2AD0" w:tentative="1">
      <w:start w:val="1"/>
      <w:numFmt w:val="bullet"/>
      <w:lvlText w:val="•"/>
      <w:lvlJc w:val="left"/>
      <w:pPr>
        <w:tabs>
          <w:tab w:val="num" w:pos="5040"/>
        </w:tabs>
        <w:ind w:left="5040" w:hanging="360"/>
      </w:pPr>
      <w:rPr>
        <w:rFonts w:ascii="Arial" w:hAnsi="Arial" w:hint="default"/>
      </w:rPr>
    </w:lvl>
    <w:lvl w:ilvl="7" w:tplc="D7742AD8" w:tentative="1">
      <w:start w:val="1"/>
      <w:numFmt w:val="bullet"/>
      <w:lvlText w:val="•"/>
      <w:lvlJc w:val="left"/>
      <w:pPr>
        <w:tabs>
          <w:tab w:val="num" w:pos="5760"/>
        </w:tabs>
        <w:ind w:left="5760" w:hanging="360"/>
      </w:pPr>
      <w:rPr>
        <w:rFonts w:ascii="Arial" w:hAnsi="Arial" w:hint="default"/>
      </w:rPr>
    </w:lvl>
    <w:lvl w:ilvl="8" w:tplc="F71EFF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BE057E"/>
    <w:multiLevelType w:val="hybridMultilevel"/>
    <w:tmpl w:val="E54ACF7C"/>
    <w:lvl w:ilvl="0" w:tplc="880CA808">
      <w:start w:val="1"/>
      <w:numFmt w:val="bullet"/>
      <w:lvlText w:val="•"/>
      <w:lvlJc w:val="left"/>
      <w:pPr>
        <w:tabs>
          <w:tab w:val="num" w:pos="720"/>
        </w:tabs>
        <w:ind w:left="720" w:hanging="360"/>
      </w:pPr>
      <w:rPr>
        <w:rFonts w:ascii="Arial" w:hAnsi="Arial" w:hint="default"/>
      </w:rPr>
    </w:lvl>
    <w:lvl w:ilvl="1" w:tplc="A5821476" w:tentative="1">
      <w:start w:val="1"/>
      <w:numFmt w:val="bullet"/>
      <w:lvlText w:val="•"/>
      <w:lvlJc w:val="left"/>
      <w:pPr>
        <w:tabs>
          <w:tab w:val="num" w:pos="1440"/>
        </w:tabs>
        <w:ind w:left="1440" w:hanging="360"/>
      </w:pPr>
      <w:rPr>
        <w:rFonts w:ascii="Arial" w:hAnsi="Arial" w:hint="default"/>
      </w:rPr>
    </w:lvl>
    <w:lvl w:ilvl="2" w:tplc="312A86F6" w:tentative="1">
      <w:start w:val="1"/>
      <w:numFmt w:val="bullet"/>
      <w:lvlText w:val="•"/>
      <w:lvlJc w:val="left"/>
      <w:pPr>
        <w:tabs>
          <w:tab w:val="num" w:pos="2160"/>
        </w:tabs>
        <w:ind w:left="2160" w:hanging="360"/>
      </w:pPr>
      <w:rPr>
        <w:rFonts w:ascii="Arial" w:hAnsi="Arial" w:hint="default"/>
      </w:rPr>
    </w:lvl>
    <w:lvl w:ilvl="3" w:tplc="22EE70FA" w:tentative="1">
      <w:start w:val="1"/>
      <w:numFmt w:val="bullet"/>
      <w:lvlText w:val="•"/>
      <w:lvlJc w:val="left"/>
      <w:pPr>
        <w:tabs>
          <w:tab w:val="num" w:pos="2880"/>
        </w:tabs>
        <w:ind w:left="2880" w:hanging="360"/>
      </w:pPr>
      <w:rPr>
        <w:rFonts w:ascii="Arial" w:hAnsi="Arial" w:hint="default"/>
      </w:rPr>
    </w:lvl>
    <w:lvl w:ilvl="4" w:tplc="9DE8740A" w:tentative="1">
      <w:start w:val="1"/>
      <w:numFmt w:val="bullet"/>
      <w:lvlText w:val="•"/>
      <w:lvlJc w:val="left"/>
      <w:pPr>
        <w:tabs>
          <w:tab w:val="num" w:pos="3600"/>
        </w:tabs>
        <w:ind w:left="3600" w:hanging="360"/>
      </w:pPr>
      <w:rPr>
        <w:rFonts w:ascii="Arial" w:hAnsi="Arial" w:hint="default"/>
      </w:rPr>
    </w:lvl>
    <w:lvl w:ilvl="5" w:tplc="3998C3E2" w:tentative="1">
      <w:start w:val="1"/>
      <w:numFmt w:val="bullet"/>
      <w:lvlText w:val="•"/>
      <w:lvlJc w:val="left"/>
      <w:pPr>
        <w:tabs>
          <w:tab w:val="num" w:pos="4320"/>
        </w:tabs>
        <w:ind w:left="4320" w:hanging="360"/>
      </w:pPr>
      <w:rPr>
        <w:rFonts w:ascii="Arial" w:hAnsi="Arial" w:hint="default"/>
      </w:rPr>
    </w:lvl>
    <w:lvl w:ilvl="6" w:tplc="3850E86C" w:tentative="1">
      <w:start w:val="1"/>
      <w:numFmt w:val="bullet"/>
      <w:lvlText w:val="•"/>
      <w:lvlJc w:val="left"/>
      <w:pPr>
        <w:tabs>
          <w:tab w:val="num" w:pos="5040"/>
        </w:tabs>
        <w:ind w:left="5040" w:hanging="360"/>
      </w:pPr>
      <w:rPr>
        <w:rFonts w:ascii="Arial" w:hAnsi="Arial" w:hint="default"/>
      </w:rPr>
    </w:lvl>
    <w:lvl w:ilvl="7" w:tplc="1BE48014" w:tentative="1">
      <w:start w:val="1"/>
      <w:numFmt w:val="bullet"/>
      <w:lvlText w:val="•"/>
      <w:lvlJc w:val="left"/>
      <w:pPr>
        <w:tabs>
          <w:tab w:val="num" w:pos="5760"/>
        </w:tabs>
        <w:ind w:left="5760" w:hanging="360"/>
      </w:pPr>
      <w:rPr>
        <w:rFonts w:ascii="Arial" w:hAnsi="Arial" w:hint="default"/>
      </w:rPr>
    </w:lvl>
    <w:lvl w:ilvl="8" w:tplc="DBC0FE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F2573A"/>
    <w:multiLevelType w:val="hybridMultilevel"/>
    <w:tmpl w:val="446A182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5B396179"/>
    <w:multiLevelType w:val="hybridMultilevel"/>
    <w:tmpl w:val="339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A363F5"/>
    <w:multiLevelType w:val="hybridMultilevel"/>
    <w:tmpl w:val="D3F60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FE02DD"/>
    <w:multiLevelType w:val="hybridMultilevel"/>
    <w:tmpl w:val="2A403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18682F"/>
    <w:multiLevelType w:val="hybridMultilevel"/>
    <w:tmpl w:val="24F8BD7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9"/>
  </w:num>
  <w:num w:numId="2">
    <w:abstractNumId w:val="3"/>
  </w:num>
  <w:num w:numId="3">
    <w:abstractNumId w:val="9"/>
  </w:num>
  <w:num w:numId="4">
    <w:abstractNumId w:val="3"/>
  </w:num>
  <w:num w:numId="5">
    <w:abstractNumId w:val="9"/>
  </w:num>
  <w:num w:numId="6">
    <w:abstractNumId w:val="3"/>
  </w:num>
  <w:num w:numId="7">
    <w:abstractNumId w:val="1"/>
  </w:num>
  <w:num w:numId="8">
    <w:abstractNumId w:val="2"/>
  </w:num>
  <w:num w:numId="9">
    <w:abstractNumId w:val="11"/>
  </w:num>
  <w:num w:numId="10">
    <w:abstractNumId w:val="5"/>
  </w:num>
  <w:num w:numId="11">
    <w:abstractNumId w:val="6"/>
  </w:num>
  <w:num w:numId="12">
    <w:abstractNumId w:val="10"/>
  </w:num>
  <w:num w:numId="13">
    <w:abstractNumId w:val="4"/>
  </w:num>
  <w:num w:numId="14">
    <w:abstractNumId w:val="8"/>
  </w:num>
  <w:num w:numId="15">
    <w:abstractNumId w:val="7"/>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4B"/>
    <w:rsid w:val="00067070"/>
    <w:rsid w:val="000866CD"/>
    <w:rsid w:val="000A741C"/>
    <w:rsid w:val="000B0013"/>
    <w:rsid w:val="000C58DF"/>
    <w:rsid w:val="000D0570"/>
    <w:rsid w:val="000D2C89"/>
    <w:rsid w:val="000E6806"/>
    <w:rsid w:val="000F7DE5"/>
    <w:rsid w:val="00102295"/>
    <w:rsid w:val="00135DE0"/>
    <w:rsid w:val="0014749A"/>
    <w:rsid w:val="0017525C"/>
    <w:rsid w:val="001E3A2C"/>
    <w:rsid w:val="002125FD"/>
    <w:rsid w:val="00251842"/>
    <w:rsid w:val="002A5D19"/>
    <w:rsid w:val="00302229"/>
    <w:rsid w:val="00320CED"/>
    <w:rsid w:val="003A686E"/>
    <w:rsid w:val="004625CD"/>
    <w:rsid w:val="00464544"/>
    <w:rsid w:val="004C26C6"/>
    <w:rsid w:val="004D5099"/>
    <w:rsid w:val="0050307E"/>
    <w:rsid w:val="005045BE"/>
    <w:rsid w:val="00531110"/>
    <w:rsid w:val="00536CD0"/>
    <w:rsid w:val="00551F42"/>
    <w:rsid w:val="005668AA"/>
    <w:rsid w:val="005824B9"/>
    <w:rsid w:val="005903C8"/>
    <w:rsid w:val="005D2493"/>
    <w:rsid w:val="005E73C4"/>
    <w:rsid w:val="005E7768"/>
    <w:rsid w:val="00603CCD"/>
    <w:rsid w:val="00614EAC"/>
    <w:rsid w:val="006269F4"/>
    <w:rsid w:val="00637374"/>
    <w:rsid w:val="0066270E"/>
    <w:rsid w:val="00673A60"/>
    <w:rsid w:val="006C720A"/>
    <w:rsid w:val="006D092F"/>
    <w:rsid w:val="006D70B5"/>
    <w:rsid w:val="007227BE"/>
    <w:rsid w:val="00740BFE"/>
    <w:rsid w:val="00742BE5"/>
    <w:rsid w:val="0077589C"/>
    <w:rsid w:val="00780238"/>
    <w:rsid w:val="007B66E8"/>
    <w:rsid w:val="007C7FD2"/>
    <w:rsid w:val="0081196A"/>
    <w:rsid w:val="008275C4"/>
    <w:rsid w:val="008A061B"/>
    <w:rsid w:val="008F474C"/>
    <w:rsid w:val="00947943"/>
    <w:rsid w:val="00961C1C"/>
    <w:rsid w:val="00963E06"/>
    <w:rsid w:val="00974AC6"/>
    <w:rsid w:val="009A03E4"/>
    <w:rsid w:val="009B6D53"/>
    <w:rsid w:val="009F4CF5"/>
    <w:rsid w:val="00A563B8"/>
    <w:rsid w:val="00A70B2A"/>
    <w:rsid w:val="00A96C40"/>
    <w:rsid w:val="00AC05BE"/>
    <w:rsid w:val="00AD1A29"/>
    <w:rsid w:val="00B11929"/>
    <w:rsid w:val="00B12E5F"/>
    <w:rsid w:val="00B504DB"/>
    <w:rsid w:val="00B62A86"/>
    <w:rsid w:val="00BB1422"/>
    <w:rsid w:val="00BF3B25"/>
    <w:rsid w:val="00C2284B"/>
    <w:rsid w:val="00C324C3"/>
    <w:rsid w:val="00C40A9F"/>
    <w:rsid w:val="00C503B0"/>
    <w:rsid w:val="00C55EFA"/>
    <w:rsid w:val="00C87026"/>
    <w:rsid w:val="00C972E2"/>
    <w:rsid w:val="00CA3317"/>
    <w:rsid w:val="00CE664B"/>
    <w:rsid w:val="00D420E8"/>
    <w:rsid w:val="00D43F84"/>
    <w:rsid w:val="00D705D9"/>
    <w:rsid w:val="00D801A5"/>
    <w:rsid w:val="00DA7006"/>
    <w:rsid w:val="00DD2B3F"/>
    <w:rsid w:val="00DF3CE8"/>
    <w:rsid w:val="00E121D2"/>
    <w:rsid w:val="00E47F6C"/>
    <w:rsid w:val="00E6289A"/>
    <w:rsid w:val="00EA59D5"/>
    <w:rsid w:val="00EA7A15"/>
    <w:rsid w:val="00EC1AD4"/>
    <w:rsid w:val="00EC293C"/>
    <w:rsid w:val="00EF1FF6"/>
    <w:rsid w:val="00F0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06A158"/>
  <w15:docId w15:val="{341B1C64-3D91-4A62-A7BE-89B1F027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64B"/>
    <w:pPr>
      <w:tabs>
        <w:tab w:val="left" w:pos="567"/>
      </w:tabs>
      <w:snapToGrid w:val="0"/>
      <w:spacing w:before="120" w:after="120" w:line="240" w:lineRule="auto"/>
      <w:jc w:val="both"/>
    </w:pPr>
    <w:rPr>
      <w:rFonts w:ascii="Arial" w:eastAsia="SimSun" w:hAnsi="Arial" w:cs="Arial"/>
      <w:snapToGrid w:val="0"/>
      <w:szCs w:val="24"/>
    </w:rPr>
  </w:style>
  <w:style w:type="paragraph" w:styleId="Heading1">
    <w:name w:val="heading 1"/>
    <w:basedOn w:val="Normal"/>
    <w:next w:val="Normal"/>
    <w:link w:val="Heading1Char"/>
    <w:uiPriority w:val="9"/>
    <w:qFormat/>
    <w:rsid w:val="00CE664B"/>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CE664B"/>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CE664B"/>
    <w:pPr>
      <w:tabs>
        <w:tab w:val="clear" w:pos="567"/>
      </w:tabs>
      <w:snapToGrid/>
      <w:spacing w:before="360" w:after="120" w:line="300" w:lineRule="exact"/>
      <w:jc w:val="left"/>
      <w:outlineLvl w:val="2"/>
    </w:pPr>
    <w:rPr>
      <w:rFonts w:ascii="Arial" w:eastAsia="SimSun" w:hAnsi="Arial"/>
      <w:b/>
      <w:bCs/>
      <w:snapToGrid/>
      <w:sz w:val="24"/>
    </w:rPr>
  </w:style>
  <w:style w:type="paragraph" w:styleId="Heading4">
    <w:name w:val="heading 4"/>
    <w:basedOn w:val="Normal"/>
    <w:next w:val="Normal"/>
    <w:link w:val="Heading4Char"/>
    <w:uiPriority w:val="9"/>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semiHidden/>
    <w:unhideWhenUsed/>
    <w:qFormat/>
    <w:rsid w:val="00CE664B"/>
    <w:pPr>
      <w:tabs>
        <w:tab w:val="clear" w:pos="567"/>
      </w:tabs>
      <w:snapToGrid/>
      <w:spacing w:before="360" w:after="120" w:line="300" w:lineRule="exact"/>
      <w:jc w:val="left"/>
      <w:outlineLvl w:val="4"/>
    </w:pPr>
    <w:rPr>
      <w:rFonts w:ascii="Arial" w:eastAsia="SimSun" w:hAnsi="Arial"/>
      <w:b/>
      <w:bCs/>
      <w:snapToGrid/>
      <w:sz w:val="20"/>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664B"/>
    <w:rPr>
      <w:rFonts w:ascii="Arial" w:eastAsiaTheme="majorEastAsia" w:hAnsi="Arial" w:cs="Arial"/>
      <w:b/>
      <w:bCs/>
      <w:caps/>
      <w:noProof/>
      <w:snapToGrid w:val="0"/>
      <w:color w:val="3366FF"/>
      <w:kern w:val="28"/>
      <w:sz w:val="32"/>
      <w:szCs w:val="32"/>
      <w:lang w:val="es-ES" w:eastAsia="es-ES"/>
    </w:rPr>
  </w:style>
  <w:style w:type="character" w:customStyle="1" w:styleId="Heading2Char">
    <w:name w:val="Heading 2 Char"/>
    <w:basedOn w:val="DefaultParagraphFont"/>
    <w:link w:val="Heading2"/>
    <w:uiPriority w:val="9"/>
    <w:rsid w:val="00CE664B"/>
    <w:rPr>
      <w:rFonts w:ascii="Arial" w:eastAsiaTheme="majorEastAsia" w:hAnsi="Arial" w:cs="Arial"/>
      <w:bCs/>
      <w:noProof/>
      <w:snapToGrid w:val="0"/>
      <w:color w:val="3366FF"/>
      <w:kern w:val="28"/>
      <w:sz w:val="32"/>
      <w:szCs w:val="32"/>
      <w:lang w:val="es-ES" w:eastAsia="es-ES"/>
    </w:rPr>
  </w:style>
  <w:style w:type="character" w:customStyle="1" w:styleId="Heading3Char">
    <w:name w:val="Heading 3 Char"/>
    <w:basedOn w:val="DefaultParagraphFont"/>
    <w:link w:val="Heading3"/>
    <w:uiPriority w:val="9"/>
    <w:rsid w:val="00CE664B"/>
    <w:rPr>
      <w:rFonts w:ascii="Arial" w:eastAsia="SimSun" w:hAnsi="Arial" w:cstheme="majorBidi"/>
      <w:b/>
      <w:bCs/>
      <w:caps/>
      <w:sz w:val="24"/>
      <w:szCs w:val="24"/>
      <w:lang w:val="es-ES"/>
    </w:rPr>
  </w:style>
  <w:style w:type="character" w:customStyle="1" w:styleId="Heading4Char">
    <w:name w:val="Heading 4 Char"/>
    <w:basedOn w:val="DefaultParagraphFont"/>
    <w:link w:val="Heading4"/>
    <w:uiPriority w:val="9"/>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E664B"/>
    <w:rPr>
      <w:rFonts w:ascii="Arial" w:eastAsia="SimSun" w:hAnsi="Arial" w:cstheme="majorBidi"/>
      <w:b/>
      <w:bCs/>
      <w:caps/>
      <w:sz w:val="20"/>
      <w:szCs w:val="24"/>
      <w:lang w:val="es-ES"/>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s-ES" w:eastAsia="es-ES"/>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s-ES" w:eastAsia="es-ES"/>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s-ES" w:eastAsia="es-ES"/>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s-ES" w:eastAsia="es-ES"/>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CE664B"/>
    <w:pPr>
      <w:keepNext/>
      <w:keepLines/>
      <w:spacing w:before="480" w:after="0" w:line="480" w:lineRule="exact"/>
      <w:jc w:val="left"/>
      <w:outlineLvl w:val="0"/>
    </w:pPr>
    <w:rPr>
      <w:rFonts w:eastAsiaTheme="majorEastAsia"/>
      <w:b/>
      <w:bCs/>
      <w:caps/>
      <w:noProof/>
      <w:color w:val="3366FF"/>
      <w:kern w:val="28"/>
      <w:sz w:val="48"/>
      <w:szCs w:val="48"/>
    </w:rPr>
  </w:style>
  <w:style w:type="character" w:customStyle="1" w:styleId="TitleChar">
    <w:name w:val="Title Char"/>
    <w:basedOn w:val="DefaultParagraphFont"/>
    <w:link w:val="Title"/>
    <w:uiPriority w:val="10"/>
    <w:rsid w:val="00CE664B"/>
    <w:rPr>
      <w:rFonts w:ascii="Arial" w:eastAsiaTheme="majorEastAsia" w:hAnsi="Arial" w:cs="Arial"/>
      <w:b/>
      <w:bCs/>
      <w:caps/>
      <w:noProof/>
      <w:snapToGrid w:val="0"/>
      <w:color w:val="3366FF"/>
      <w:kern w:val="28"/>
      <w:sz w:val="48"/>
      <w:szCs w:val="48"/>
      <w:lang w:eastAsia="es-ES"/>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s-ES" w:eastAsia="es-ES"/>
    </w:rPr>
  </w:style>
  <w:style w:type="character" w:styleId="Strong">
    <w:name w:val="Strong"/>
    <w:basedOn w:val="DefaultParagraphFont"/>
    <w:uiPriority w:val="22"/>
    <w:qFormat/>
    <w:rsid w:val="00CE664B"/>
    <w:rPr>
      <w:b/>
      <w:bCs/>
    </w:rPr>
  </w:style>
  <w:style w:type="character" w:styleId="Emphasis">
    <w:name w:val="Emphasis"/>
    <w:basedOn w:val="DefaultParagraphFont"/>
    <w:uiPriority w:val="20"/>
    <w:qFormat/>
    <w:rsid w:val="00CE664B"/>
    <w:rPr>
      <w:i/>
      <w:iCs/>
    </w:rPr>
  </w:style>
  <w:style w:type="paragraph" w:styleId="NoSpacing">
    <w:name w:val="No Spacing"/>
    <w:aliases w:val="Title Ed"/>
    <w:basedOn w:val="FootnoteText"/>
    <w:link w:val="NoSpacingChar"/>
    <w:uiPriority w:val="1"/>
    <w:qFormat/>
    <w:rsid w:val="00CE664B"/>
    <w:pPr>
      <w:tabs>
        <w:tab w:val="clear" w:pos="567"/>
        <w:tab w:val="left" w:pos="369"/>
      </w:tabs>
      <w:spacing w:after="60" w:line="180" w:lineRule="exact"/>
      <w:ind w:left="284" w:hanging="284"/>
      <w:jc w:val="left"/>
    </w:pPr>
    <w:rPr>
      <w:rFonts w:ascii="Calibri" w:eastAsiaTheme="minorHAnsi" w:hAnsi="Calibri"/>
      <w:snapToGrid/>
    </w:rPr>
  </w:style>
  <w:style w:type="character" w:customStyle="1" w:styleId="NoSpacingChar">
    <w:name w:val="No Spacing Char"/>
    <w:aliases w:val="Title Ed Char"/>
    <w:basedOn w:val="DefaultParagraphFont"/>
    <w:link w:val="NoSpacing"/>
    <w:uiPriority w:val="1"/>
    <w:locked/>
    <w:rsid w:val="00CE664B"/>
    <w:rPr>
      <w:rFonts w:ascii="Calibri" w:hAnsi="Calibri" w:cs="Arial"/>
      <w:sz w:val="20"/>
      <w:szCs w:val="20"/>
    </w:rPr>
  </w:style>
  <w:style w:type="paragraph" w:styleId="ListParagraph">
    <w:name w:val="List Paragraph"/>
    <w:basedOn w:val="Normal"/>
    <w:uiPriority w:val="34"/>
    <w:qFormat/>
    <w:rsid w:val="00CE664B"/>
    <w:pPr>
      <w:tabs>
        <w:tab w:val="clear" w:pos="567"/>
        <w:tab w:val="left" w:pos="360"/>
      </w:tabs>
      <w:ind w:left="720" w:hanging="360"/>
    </w:pPr>
  </w:style>
  <w:style w:type="paragraph" w:styleId="Quote">
    <w:name w:val="Quote"/>
    <w:basedOn w:val="Normal"/>
    <w:next w:val="Normal"/>
    <w:link w:val="QuoteChar"/>
    <w:uiPriority w:val="29"/>
    <w:qFormat/>
    <w:rsid w:val="00CE664B"/>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CE664B"/>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CE664B"/>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rPr>
  </w:style>
  <w:style w:type="character" w:customStyle="1" w:styleId="IntenseQuoteChar">
    <w:name w:val="Intense Quote Char"/>
    <w:basedOn w:val="DefaultParagraphFont"/>
    <w:link w:val="IntenseQuote"/>
    <w:uiPriority w:val="30"/>
    <w:rsid w:val="00CE664B"/>
    <w:rPr>
      <w:rFonts w:eastAsiaTheme="minorEastAsia" w:cs="Arial"/>
      <w:i/>
      <w:iCs/>
      <w:color w:val="4F81BD"/>
      <w:sz w:val="20"/>
      <w:szCs w:val="20"/>
      <w:lang w:val="es-E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CE664B"/>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rPr>
  </w:style>
  <w:style w:type="paragraph" w:customStyle="1" w:styleId="Nospaces">
    <w:name w:val="No spaces"/>
    <w:basedOn w:val="Normal"/>
    <w:rsid w:val="002125FD"/>
    <w:pPr>
      <w:spacing w:after="0"/>
    </w:pPr>
    <w:rPr>
      <w:snapToGrid/>
    </w:rPr>
  </w:style>
  <w:style w:type="paragraph" w:customStyle="1" w:styleId="1">
    <w:name w:val="1."/>
    <w:basedOn w:val="Normal"/>
    <w:link w:val="1Char"/>
    <w:qFormat/>
    <w:rsid w:val="00CE664B"/>
    <w:pPr>
      <w:widowControl w:val="0"/>
      <w:tabs>
        <w:tab w:val="clear" w:pos="567"/>
        <w:tab w:val="left" w:pos="1134"/>
      </w:tabs>
      <w:autoSpaceDE w:val="0"/>
      <w:autoSpaceDN w:val="0"/>
      <w:adjustRightInd w:val="0"/>
      <w:snapToGrid/>
      <w:ind w:left="1134" w:hanging="567"/>
      <w:jc w:val="left"/>
    </w:pPr>
    <w:rPr>
      <w:snapToGrid/>
      <w:w w:val="96"/>
      <w:szCs w:val="22"/>
    </w:rPr>
  </w:style>
  <w:style w:type="character" w:customStyle="1" w:styleId="1Char">
    <w:name w:val="1. Char"/>
    <w:link w:val="1"/>
    <w:locked/>
    <w:rsid w:val="00CE664B"/>
    <w:rPr>
      <w:rFonts w:ascii="Arial" w:eastAsia="SimSun" w:hAnsi="Arial" w:cs="Arial"/>
      <w:w w:val="96"/>
      <w:lang w:val="es-ES" w:eastAsia="es-ES"/>
    </w:rPr>
  </w:style>
  <w:style w:type="paragraph" w:customStyle="1" w:styleId="U1">
    <w:name w:val="U.1"/>
    <w:basedOn w:val="Normal"/>
    <w:qFormat/>
    <w:rsid w:val="00CE664B"/>
    <w:pPr>
      <w:widowControl w:val="0"/>
      <w:tabs>
        <w:tab w:val="clear" w:pos="567"/>
        <w:tab w:val="left" w:pos="1701"/>
      </w:tabs>
      <w:autoSpaceDE w:val="0"/>
      <w:autoSpaceDN w:val="0"/>
      <w:adjustRightInd w:val="0"/>
      <w:snapToGrid/>
      <w:ind w:left="1701" w:hanging="567"/>
      <w:jc w:val="left"/>
    </w:pPr>
    <w:rPr>
      <w:snapToGrid/>
      <w:szCs w:val="22"/>
    </w:rPr>
  </w:style>
  <w:style w:type="paragraph" w:customStyle="1" w:styleId="Paragraph">
    <w:name w:val="Paragraph"/>
    <w:basedOn w:val="Normal"/>
    <w:link w:val="ParagraphChar"/>
    <w:qFormat/>
    <w:rsid w:val="00CE664B"/>
    <w:pPr>
      <w:numPr>
        <w:numId w:val="1"/>
      </w:numPr>
      <w:tabs>
        <w:tab w:val="clear" w:pos="567"/>
      </w:tabs>
      <w:snapToGrid/>
      <w:spacing w:before="240" w:after="0"/>
    </w:pPr>
    <w:rPr>
      <w:snapToGrid/>
      <w:szCs w:val="22"/>
    </w:rPr>
  </w:style>
  <w:style w:type="character" w:customStyle="1" w:styleId="ParagraphChar">
    <w:name w:val="Paragraph Char"/>
    <w:link w:val="Paragraph"/>
    <w:rsid w:val="00CE664B"/>
    <w:rPr>
      <w:rFonts w:ascii="Arial" w:eastAsia="SimSun" w:hAnsi="Arial" w:cs="Arial"/>
      <w:lang w:val="es-ES" w:eastAsia="es-ES"/>
    </w:rPr>
  </w:style>
  <w:style w:type="paragraph" w:customStyle="1" w:styleId="Slideheading">
    <w:name w:val="Slide heading"/>
    <w:basedOn w:val="Heading2"/>
    <w:link w:val="SlideheadingChar"/>
    <w:qFormat/>
    <w:rsid w:val="00CE664B"/>
    <w:pPr>
      <w:spacing w:before="200"/>
    </w:pPr>
    <w:rPr>
      <w:rFonts w:eastAsia="Times New Roman" w:cs="Times New Roman"/>
      <w:b/>
      <w:noProof w:val="0"/>
      <w:color w:val="000000"/>
      <w:kern w:val="0"/>
      <w:sz w:val="24"/>
      <w:szCs w:val="26"/>
    </w:rPr>
  </w:style>
  <w:style w:type="character" w:customStyle="1" w:styleId="SlideheadingChar">
    <w:name w:val="Slide heading Char"/>
    <w:link w:val="Slideheading"/>
    <w:rsid w:val="00CE664B"/>
    <w:rPr>
      <w:rFonts w:ascii="Arial" w:eastAsia="Times New Roman" w:hAnsi="Arial" w:cs="Times New Roman"/>
      <w:b/>
      <w:bCs/>
      <w:snapToGrid w:val="0"/>
      <w:color w:val="000000"/>
      <w:sz w:val="24"/>
      <w:szCs w:val="26"/>
      <w:lang w:eastAsia="es-ES"/>
    </w:rPr>
  </w:style>
  <w:style w:type="paragraph" w:customStyle="1" w:styleId="Txtsecondbullet">
    <w:name w:val="Txt second bullet"/>
    <w:basedOn w:val="Normal"/>
    <w:qFormat/>
    <w:rsid w:val="00CE664B"/>
    <w:pPr>
      <w:numPr>
        <w:ilvl w:val="1"/>
        <w:numId w:val="6"/>
      </w:numPr>
      <w:spacing w:before="0" w:after="60" w:line="280" w:lineRule="exact"/>
    </w:pPr>
    <w:rPr>
      <w:snapToGrid/>
      <w:sz w:val="20"/>
    </w:rPr>
  </w:style>
  <w:style w:type="paragraph" w:customStyle="1" w:styleId="citationunit">
    <w:name w:val="citation unit"/>
    <w:basedOn w:val="Normal"/>
    <w:qFormat/>
    <w:rsid w:val="00CE664B"/>
    <w:pPr>
      <w:spacing w:before="0" w:after="60" w:line="280" w:lineRule="exact"/>
      <w:ind w:left="1134" w:right="284"/>
    </w:pPr>
    <w:rPr>
      <w:snapToGrid/>
      <w:sz w:val="20"/>
    </w:rPr>
  </w:style>
  <w:style w:type="paragraph" w:styleId="FootnoteText">
    <w:name w:val="footnote text"/>
    <w:basedOn w:val="Normal"/>
    <w:link w:val="FootnoteTextChar"/>
    <w:uiPriority w:val="99"/>
    <w:semiHidden/>
    <w:unhideWhenUsed/>
    <w:rsid w:val="00CE664B"/>
    <w:pPr>
      <w:spacing w:before="0" w:after="0"/>
    </w:pPr>
    <w:rPr>
      <w:sz w:val="20"/>
      <w:szCs w:val="20"/>
    </w:rPr>
  </w:style>
  <w:style w:type="character" w:customStyle="1" w:styleId="FootnoteTextChar">
    <w:name w:val="Footnote Text Char"/>
    <w:basedOn w:val="DefaultParagraphFont"/>
    <w:link w:val="FootnoteText"/>
    <w:uiPriority w:val="99"/>
    <w:semiHidden/>
    <w:rsid w:val="00CE664B"/>
    <w:rPr>
      <w:rFonts w:ascii="Arial" w:eastAsia="SimSun" w:hAnsi="Arial" w:cs="Arial"/>
      <w:snapToGrid w:val="0"/>
      <w:sz w:val="20"/>
      <w:szCs w:val="20"/>
      <w:lang w:val="es-ES" w:eastAsia="es-ES"/>
    </w:rPr>
  </w:style>
  <w:style w:type="table" w:styleId="TableGrid">
    <w:name w:val="Table Grid"/>
    <w:basedOn w:val="TableNormal"/>
    <w:uiPriority w:val="39"/>
    <w:rsid w:val="000B0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0570"/>
    <w:pPr>
      <w:tabs>
        <w:tab w:val="clear" w:pos="567"/>
      </w:tabs>
      <w:snapToGrid/>
      <w:spacing w:before="100" w:beforeAutospacing="1" w:after="100" w:afterAutospacing="1"/>
      <w:jc w:val="left"/>
    </w:pPr>
    <w:rPr>
      <w:rFonts w:ascii="Times New Roman" w:eastAsia="Times New Roman" w:hAnsi="Times New Roman" w:cs="Times New Roman"/>
      <w:snapToGrid/>
      <w:sz w:val="24"/>
    </w:rPr>
  </w:style>
  <w:style w:type="paragraph" w:styleId="Header">
    <w:name w:val="header"/>
    <w:basedOn w:val="Normal"/>
    <w:link w:val="HeaderChar"/>
    <w:uiPriority w:val="99"/>
    <w:unhideWhenUsed/>
    <w:rsid w:val="0081196A"/>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81196A"/>
    <w:rPr>
      <w:rFonts w:ascii="Arial" w:eastAsia="SimSun" w:hAnsi="Arial" w:cs="Arial"/>
      <w:snapToGrid w:val="0"/>
      <w:szCs w:val="24"/>
      <w:lang w:val="es-ES" w:eastAsia="es-ES"/>
    </w:rPr>
  </w:style>
  <w:style w:type="paragraph" w:styleId="Footer">
    <w:name w:val="footer"/>
    <w:basedOn w:val="Normal"/>
    <w:link w:val="FooterChar"/>
    <w:uiPriority w:val="99"/>
    <w:unhideWhenUsed/>
    <w:rsid w:val="0081196A"/>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81196A"/>
    <w:rPr>
      <w:rFonts w:ascii="Arial" w:eastAsia="SimSun" w:hAnsi="Arial" w:cs="Arial"/>
      <w:snapToGrid w:val="0"/>
      <w:szCs w:val="24"/>
      <w:lang w:val="es-ES" w:eastAsia="es-ES"/>
    </w:rPr>
  </w:style>
  <w:style w:type="character" w:styleId="PageNumber">
    <w:name w:val="page number"/>
    <w:rsid w:val="0081196A"/>
  </w:style>
  <w:style w:type="paragraph" w:customStyle="1" w:styleId="Chapitre">
    <w:name w:val="Chapitre"/>
    <w:basedOn w:val="Heading1"/>
    <w:link w:val="ChapitreCar"/>
    <w:rsid w:val="00961C1C"/>
    <w:pPr>
      <w:pBdr>
        <w:bottom w:val="single" w:sz="4" w:space="14" w:color="3366FF"/>
      </w:pBdr>
      <w:spacing w:before="240" w:line="840" w:lineRule="exact"/>
    </w:pPr>
    <w:rPr>
      <w:rFonts w:eastAsia="Times New Roman"/>
      <w:sz w:val="70"/>
      <w:szCs w:val="70"/>
    </w:rPr>
  </w:style>
  <w:style w:type="character" w:customStyle="1" w:styleId="ChapitreCar">
    <w:name w:val="Chapitre Car"/>
    <w:link w:val="Chapitre"/>
    <w:rsid w:val="00961C1C"/>
    <w:rPr>
      <w:rFonts w:ascii="Arial" w:eastAsia="Times New Roman" w:hAnsi="Arial" w:cs="Arial"/>
      <w:b/>
      <w:bCs/>
      <w:caps/>
      <w:noProof/>
      <w:snapToGrid w:val="0"/>
      <w:color w:val="3366FF"/>
      <w:kern w:val="28"/>
      <w:sz w:val="70"/>
      <w:szCs w:val="70"/>
      <w:lang w:eastAsia="es-ES"/>
    </w:rPr>
  </w:style>
  <w:style w:type="paragraph" w:customStyle="1" w:styleId="HO1">
    <w:name w:val="HO1"/>
    <w:basedOn w:val="Normal"/>
    <w:link w:val="HO1Car"/>
    <w:rsid w:val="00961C1C"/>
    <w:pPr>
      <w:keepNext/>
      <w:keepLines/>
      <w:spacing w:before="480" w:after="0" w:line="480" w:lineRule="exact"/>
      <w:jc w:val="left"/>
      <w:outlineLvl w:val="0"/>
    </w:pPr>
    <w:rPr>
      <w:rFonts w:eastAsia="Times New Roman"/>
      <w:b/>
      <w:bCs/>
      <w:noProof/>
      <w:color w:val="3366FF"/>
      <w:sz w:val="32"/>
      <w:szCs w:val="32"/>
    </w:rPr>
  </w:style>
  <w:style w:type="character" w:customStyle="1" w:styleId="HO1Car">
    <w:name w:val="HO1 Car"/>
    <w:basedOn w:val="DefaultParagraphFont"/>
    <w:link w:val="HO1"/>
    <w:rsid w:val="00961C1C"/>
    <w:rPr>
      <w:rFonts w:ascii="Arial" w:eastAsia="Times New Roman" w:hAnsi="Arial" w:cs="Arial"/>
      <w:b/>
      <w:bCs/>
      <w:noProof/>
      <w:snapToGrid w:val="0"/>
      <w:color w:val="3366FF"/>
      <w:sz w:val="32"/>
      <w:szCs w:val="32"/>
      <w:lang w:val="es-ES" w:eastAsia="es-ES"/>
    </w:rPr>
  </w:style>
  <w:style w:type="paragraph" w:customStyle="1" w:styleId="HO2">
    <w:name w:val="HO2"/>
    <w:basedOn w:val="HO1"/>
    <w:link w:val="HO2Car"/>
    <w:rsid w:val="00961C1C"/>
    <w:pPr>
      <w:spacing w:before="0" w:after="480"/>
    </w:pPr>
    <w:rPr>
      <w:caps/>
    </w:rPr>
  </w:style>
  <w:style w:type="character" w:customStyle="1" w:styleId="HO2Car">
    <w:name w:val="HO2 Car"/>
    <w:basedOn w:val="HO1Car"/>
    <w:link w:val="HO2"/>
    <w:rsid w:val="00961C1C"/>
    <w:rPr>
      <w:rFonts w:ascii="Arial" w:eastAsia="Times New Roman" w:hAnsi="Arial" w:cs="Arial"/>
      <w:b/>
      <w:bCs/>
      <w:caps/>
      <w:noProof/>
      <w:snapToGrid w:val="0"/>
      <w:color w:val="3366FF"/>
      <w:sz w:val="32"/>
      <w:szCs w:val="32"/>
      <w:lang w:val="es-ES" w:eastAsia="es-ES"/>
    </w:rPr>
  </w:style>
  <w:style w:type="paragraph" w:styleId="BalloonText">
    <w:name w:val="Balloon Text"/>
    <w:basedOn w:val="Normal"/>
    <w:link w:val="BalloonTextChar"/>
    <w:uiPriority w:val="99"/>
    <w:semiHidden/>
    <w:unhideWhenUsed/>
    <w:rsid w:val="009F4CF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CF5"/>
    <w:rPr>
      <w:rFonts w:ascii="Tahoma" w:eastAsia="SimSun" w:hAnsi="Tahoma" w:cs="Tahoma"/>
      <w:snapToGrid w:val="0"/>
      <w:sz w:val="16"/>
      <w:szCs w:val="16"/>
      <w:lang w:val="es-ES" w:eastAsia="es-ES"/>
    </w:rPr>
  </w:style>
  <w:style w:type="character" w:styleId="Hyperlink">
    <w:name w:val="Hyperlink"/>
    <w:basedOn w:val="DefaultParagraphFont"/>
    <w:uiPriority w:val="99"/>
    <w:semiHidden/>
    <w:unhideWhenUsed/>
    <w:rsid w:val="00D801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44293">
      <w:bodyDiv w:val="1"/>
      <w:marLeft w:val="0"/>
      <w:marRight w:val="0"/>
      <w:marTop w:val="0"/>
      <w:marBottom w:val="0"/>
      <w:divBdr>
        <w:top w:val="none" w:sz="0" w:space="0" w:color="auto"/>
        <w:left w:val="none" w:sz="0" w:space="0" w:color="auto"/>
        <w:bottom w:val="none" w:sz="0" w:space="0" w:color="auto"/>
        <w:right w:val="none" w:sz="0" w:space="0" w:color="auto"/>
      </w:divBdr>
    </w:div>
    <w:div w:id="659503290">
      <w:bodyDiv w:val="1"/>
      <w:marLeft w:val="0"/>
      <w:marRight w:val="0"/>
      <w:marTop w:val="0"/>
      <w:marBottom w:val="0"/>
      <w:divBdr>
        <w:top w:val="none" w:sz="0" w:space="0" w:color="auto"/>
        <w:left w:val="none" w:sz="0" w:space="0" w:color="auto"/>
        <w:bottom w:val="none" w:sz="0" w:space="0" w:color="auto"/>
        <w:right w:val="none" w:sz="0" w:space="0" w:color="auto"/>
      </w:divBdr>
      <w:divsChild>
        <w:div w:id="1756823992">
          <w:marLeft w:val="346"/>
          <w:marRight w:val="0"/>
          <w:marTop w:val="240"/>
          <w:marBottom w:val="0"/>
          <w:divBdr>
            <w:top w:val="none" w:sz="0" w:space="0" w:color="auto"/>
            <w:left w:val="none" w:sz="0" w:space="0" w:color="auto"/>
            <w:bottom w:val="none" w:sz="0" w:space="0" w:color="auto"/>
            <w:right w:val="none" w:sz="0" w:space="0" w:color="auto"/>
          </w:divBdr>
        </w:div>
        <w:div w:id="1517184256">
          <w:marLeft w:val="346"/>
          <w:marRight w:val="0"/>
          <w:marTop w:val="240"/>
          <w:marBottom w:val="0"/>
          <w:divBdr>
            <w:top w:val="none" w:sz="0" w:space="0" w:color="auto"/>
            <w:left w:val="none" w:sz="0" w:space="0" w:color="auto"/>
            <w:bottom w:val="none" w:sz="0" w:space="0" w:color="auto"/>
            <w:right w:val="none" w:sz="0" w:space="0" w:color="auto"/>
          </w:divBdr>
        </w:div>
        <w:div w:id="867987348">
          <w:marLeft w:val="346"/>
          <w:marRight w:val="0"/>
          <w:marTop w:val="240"/>
          <w:marBottom w:val="0"/>
          <w:divBdr>
            <w:top w:val="none" w:sz="0" w:space="0" w:color="auto"/>
            <w:left w:val="none" w:sz="0" w:space="0" w:color="auto"/>
            <w:bottom w:val="none" w:sz="0" w:space="0" w:color="auto"/>
            <w:right w:val="none" w:sz="0" w:space="0" w:color="auto"/>
          </w:divBdr>
        </w:div>
        <w:div w:id="1412966784">
          <w:marLeft w:val="346"/>
          <w:marRight w:val="0"/>
          <w:marTop w:val="240"/>
          <w:marBottom w:val="0"/>
          <w:divBdr>
            <w:top w:val="none" w:sz="0" w:space="0" w:color="auto"/>
            <w:left w:val="none" w:sz="0" w:space="0" w:color="auto"/>
            <w:bottom w:val="none" w:sz="0" w:space="0" w:color="auto"/>
            <w:right w:val="none" w:sz="0" w:space="0" w:color="auto"/>
          </w:divBdr>
        </w:div>
      </w:divsChild>
    </w:div>
    <w:div w:id="1405226367">
      <w:bodyDiv w:val="1"/>
      <w:marLeft w:val="0"/>
      <w:marRight w:val="0"/>
      <w:marTop w:val="0"/>
      <w:marBottom w:val="0"/>
      <w:divBdr>
        <w:top w:val="none" w:sz="0" w:space="0" w:color="auto"/>
        <w:left w:val="none" w:sz="0" w:space="0" w:color="auto"/>
        <w:bottom w:val="none" w:sz="0" w:space="0" w:color="auto"/>
        <w:right w:val="none" w:sz="0" w:space="0" w:color="auto"/>
      </w:divBdr>
      <w:divsChild>
        <w:div w:id="313067974">
          <w:marLeft w:val="346"/>
          <w:marRight w:val="0"/>
          <w:marTop w:val="240"/>
          <w:marBottom w:val="0"/>
          <w:divBdr>
            <w:top w:val="none" w:sz="0" w:space="0" w:color="auto"/>
            <w:left w:val="none" w:sz="0" w:space="0" w:color="auto"/>
            <w:bottom w:val="none" w:sz="0" w:space="0" w:color="auto"/>
            <w:right w:val="none" w:sz="0" w:space="0" w:color="auto"/>
          </w:divBdr>
        </w:div>
        <w:div w:id="338630271">
          <w:marLeft w:val="346"/>
          <w:marRight w:val="0"/>
          <w:marTop w:val="240"/>
          <w:marBottom w:val="0"/>
          <w:divBdr>
            <w:top w:val="none" w:sz="0" w:space="0" w:color="auto"/>
            <w:left w:val="none" w:sz="0" w:space="0" w:color="auto"/>
            <w:bottom w:val="none" w:sz="0" w:space="0" w:color="auto"/>
            <w:right w:val="none" w:sz="0" w:space="0" w:color="auto"/>
          </w:divBdr>
        </w:div>
        <w:div w:id="2020963014">
          <w:marLeft w:val="346"/>
          <w:marRight w:val="0"/>
          <w:marTop w:val="240"/>
          <w:marBottom w:val="0"/>
          <w:divBdr>
            <w:top w:val="none" w:sz="0" w:space="0" w:color="auto"/>
            <w:left w:val="none" w:sz="0" w:space="0" w:color="auto"/>
            <w:bottom w:val="none" w:sz="0" w:space="0" w:color="auto"/>
            <w:right w:val="none" w:sz="0" w:space="0" w:color="auto"/>
          </w:divBdr>
        </w:div>
        <w:div w:id="448201350">
          <w:marLeft w:val="346"/>
          <w:marRight w:val="0"/>
          <w:marTop w:val="240"/>
          <w:marBottom w:val="0"/>
          <w:divBdr>
            <w:top w:val="none" w:sz="0" w:space="0" w:color="auto"/>
            <w:left w:val="none" w:sz="0" w:space="0" w:color="auto"/>
            <w:bottom w:val="none" w:sz="0" w:space="0" w:color="auto"/>
            <w:right w:val="none" w:sz="0" w:space="0" w:color="auto"/>
          </w:divBdr>
        </w:div>
      </w:divsChild>
    </w:div>
    <w:div w:id="1972975114">
      <w:bodyDiv w:val="1"/>
      <w:marLeft w:val="0"/>
      <w:marRight w:val="0"/>
      <w:marTop w:val="0"/>
      <w:marBottom w:val="0"/>
      <w:divBdr>
        <w:top w:val="none" w:sz="0" w:space="0" w:color="auto"/>
        <w:left w:val="none" w:sz="0" w:space="0" w:color="auto"/>
        <w:bottom w:val="none" w:sz="0" w:space="0" w:color="auto"/>
        <w:right w:val="none" w:sz="0" w:space="0" w:color="auto"/>
      </w:divBdr>
      <w:divsChild>
        <w:div w:id="1911425155">
          <w:marLeft w:val="346"/>
          <w:marRight w:val="0"/>
          <w:marTop w:val="240"/>
          <w:marBottom w:val="0"/>
          <w:divBdr>
            <w:top w:val="none" w:sz="0" w:space="0" w:color="auto"/>
            <w:left w:val="none" w:sz="0" w:space="0" w:color="auto"/>
            <w:bottom w:val="none" w:sz="0" w:space="0" w:color="auto"/>
            <w:right w:val="none" w:sz="0" w:space="0" w:color="auto"/>
          </w:divBdr>
        </w:div>
        <w:div w:id="4287870">
          <w:marLeft w:val="346"/>
          <w:marRight w:val="0"/>
          <w:marTop w:val="240"/>
          <w:marBottom w:val="0"/>
          <w:divBdr>
            <w:top w:val="none" w:sz="0" w:space="0" w:color="auto"/>
            <w:left w:val="none" w:sz="0" w:space="0" w:color="auto"/>
            <w:bottom w:val="none" w:sz="0" w:space="0" w:color="auto"/>
            <w:right w:val="none" w:sz="0" w:space="0" w:color="auto"/>
          </w:divBdr>
        </w:div>
        <w:div w:id="878323245">
          <w:marLeft w:val="346"/>
          <w:marRight w:val="0"/>
          <w:marTop w:val="240"/>
          <w:marBottom w:val="0"/>
          <w:divBdr>
            <w:top w:val="none" w:sz="0" w:space="0" w:color="auto"/>
            <w:left w:val="none" w:sz="0" w:space="0" w:color="auto"/>
            <w:bottom w:val="none" w:sz="0" w:space="0" w:color="auto"/>
            <w:right w:val="none" w:sz="0" w:space="0" w:color="auto"/>
          </w:divBdr>
        </w:div>
        <w:div w:id="1277565586">
          <w:marLeft w:val="346"/>
          <w:marRight w:val="0"/>
          <w:marTop w:val="240"/>
          <w:marBottom w:val="0"/>
          <w:divBdr>
            <w:top w:val="none" w:sz="0" w:space="0" w:color="auto"/>
            <w:left w:val="none" w:sz="0" w:space="0" w:color="auto"/>
            <w:bottom w:val="none" w:sz="0" w:space="0" w:color="auto"/>
            <w:right w:val="none" w:sz="0" w:space="0" w:color="auto"/>
          </w:divBdr>
        </w:div>
      </w:divsChild>
    </w:div>
    <w:div w:id="1974478043">
      <w:bodyDiv w:val="1"/>
      <w:marLeft w:val="0"/>
      <w:marRight w:val="0"/>
      <w:marTop w:val="0"/>
      <w:marBottom w:val="0"/>
      <w:divBdr>
        <w:top w:val="none" w:sz="0" w:space="0" w:color="auto"/>
        <w:left w:val="none" w:sz="0" w:space="0" w:color="auto"/>
        <w:bottom w:val="none" w:sz="0" w:space="0" w:color="auto"/>
        <w:right w:val="none" w:sz="0" w:space="0" w:color="auto"/>
      </w:divBdr>
      <w:divsChild>
        <w:div w:id="922028007">
          <w:marLeft w:val="346"/>
          <w:marRight w:val="0"/>
          <w:marTop w:val="240"/>
          <w:marBottom w:val="0"/>
          <w:divBdr>
            <w:top w:val="none" w:sz="0" w:space="0" w:color="auto"/>
            <w:left w:val="none" w:sz="0" w:space="0" w:color="auto"/>
            <w:bottom w:val="none" w:sz="0" w:space="0" w:color="auto"/>
            <w:right w:val="none" w:sz="0" w:space="0" w:color="auto"/>
          </w:divBdr>
        </w:div>
        <w:div w:id="1728644639">
          <w:marLeft w:val="346"/>
          <w:marRight w:val="0"/>
          <w:marTop w:val="240"/>
          <w:marBottom w:val="0"/>
          <w:divBdr>
            <w:top w:val="none" w:sz="0" w:space="0" w:color="auto"/>
            <w:left w:val="none" w:sz="0" w:space="0" w:color="auto"/>
            <w:bottom w:val="none" w:sz="0" w:space="0" w:color="auto"/>
            <w:right w:val="none" w:sz="0" w:space="0" w:color="auto"/>
          </w:divBdr>
        </w:div>
        <w:div w:id="1242183358">
          <w:marLeft w:val="346"/>
          <w:marRight w:val="0"/>
          <w:marTop w:val="240"/>
          <w:marBottom w:val="0"/>
          <w:divBdr>
            <w:top w:val="none" w:sz="0" w:space="0" w:color="auto"/>
            <w:left w:val="none" w:sz="0" w:space="0" w:color="auto"/>
            <w:bottom w:val="none" w:sz="0" w:space="0" w:color="auto"/>
            <w:right w:val="none" w:sz="0" w:space="0" w:color="auto"/>
          </w:divBdr>
        </w:div>
        <w:div w:id="1246065465">
          <w:marLeft w:val="346"/>
          <w:marRight w:val="0"/>
          <w:marTop w:val="240"/>
          <w:marBottom w:val="0"/>
          <w:divBdr>
            <w:top w:val="none" w:sz="0" w:space="0" w:color="auto"/>
            <w:left w:val="none" w:sz="0" w:space="0" w:color="auto"/>
            <w:bottom w:val="none" w:sz="0" w:space="0" w:color="auto"/>
            <w:right w:val="none" w:sz="0" w:space="0" w:color="auto"/>
          </w:divBdr>
        </w:div>
        <w:div w:id="1713188573">
          <w:marLeft w:val="346"/>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1F916-2527-4D90-A4AF-68354EBF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1198</Words>
  <Characters>6593</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Kim, Dain</cp:lastModifiedBy>
  <cp:revision>7</cp:revision>
  <dcterms:created xsi:type="dcterms:W3CDTF">2016-03-15T15:31:00Z</dcterms:created>
  <dcterms:modified xsi:type="dcterms:W3CDTF">2018-03-23T13:21:00Z</dcterms:modified>
</cp:coreProperties>
</file>