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38D02" w14:textId="50A4E619" w:rsidR="009F28BC" w:rsidRPr="004936EF" w:rsidRDefault="009F28BC" w:rsidP="009F28BC">
      <w:pPr>
        <w:pStyle w:val="Chapitre"/>
      </w:pPr>
      <w:bookmarkStart w:id="0" w:name="_Toc241229778"/>
      <w:bookmarkStart w:id="1" w:name="_Toc241229982"/>
      <w:bookmarkStart w:id="2" w:name="_Toc242165676"/>
      <w:r>
        <w:t>Unidad 49</w:t>
      </w:r>
    </w:p>
    <w:p w14:paraId="46C994E5" w14:textId="6892FC79" w:rsidR="006C700E" w:rsidRDefault="006C700E" w:rsidP="006C700E">
      <w:pPr>
        <w:pStyle w:val="HO1"/>
      </w:pPr>
      <w:r>
        <w:t>Folleto 7:</w:t>
      </w:r>
    </w:p>
    <w:bookmarkEnd w:id="0"/>
    <w:bookmarkEnd w:id="1"/>
    <w:bookmarkEnd w:id="2"/>
    <w:p w14:paraId="0A32421E" w14:textId="336ED069" w:rsidR="0031587B" w:rsidRDefault="007C3CE3" w:rsidP="00C73E9C">
      <w:pPr>
        <w:pStyle w:val="HO2"/>
      </w:pPr>
      <w:r>
        <w:t>El carácter heterogéneo de las comunidades</w:t>
      </w:r>
    </w:p>
    <w:p w14:paraId="58B4F092" w14:textId="32B1737D" w:rsidR="007C3CE3" w:rsidRPr="0064147C" w:rsidRDefault="007C3CE3" w:rsidP="007C3CE3">
      <w:pPr>
        <w:pStyle w:val="Texte1"/>
        <w:rPr>
          <w:rFonts w:eastAsiaTheme="minorHAnsi"/>
          <w:b/>
          <w:bCs/>
        </w:rPr>
      </w:pPr>
      <w:r>
        <w:rPr>
          <w:rFonts w:eastAsiaTheme="minorHAnsi"/>
          <w:b/>
          <w:i/>
        </w:rPr>
        <w:t>Nota sobre el “Carácter heterogéneo de las comunidades”</w:t>
      </w:r>
      <w:r>
        <w:rPr>
          <w:rFonts w:eastAsiaTheme="minorHAnsi"/>
          <w:b/>
        </w:rPr>
        <w:t xml:space="preserve"> extraída del memorándum para completar los formularios de presentación de candidaturas a la Lista Representativa del patrimonio cultural inmaterial:</w:t>
      </w:r>
    </w:p>
    <w:p w14:paraId="44D15BB3" w14:textId="06781920" w:rsidR="007C3CE3" w:rsidRPr="007C3CE3" w:rsidRDefault="00B5665F" w:rsidP="007C3CE3">
      <w:pPr>
        <w:pStyle w:val="Texte1"/>
      </w:pPr>
      <w:r>
        <w:t xml:space="preserve">Aunque hay comunidades que suelen ser creadas </w:t>
      </w:r>
      <w:r w:rsidR="007C3CE3">
        <w:t>por su apego compartido a formas particulares del pat</w:t>
      </w:r>
      <w:r>
        <w:t>rimonio que les infunde</w:t>
      </w:r>
      <w:r w:rsidR="007C3CE3">
        <w:t>n un “un sentimient</w:t>
      </w:r>
      <w:r w:rsidR="00C03B56">
        <w:t>o de identidad y continuidad” (a</w:t>
      </w:r>
      <w:r w:rsidR="007C3CE3">
        <w:t xml:space="preserve">rtículo 2.1 de la Convención), ello no implica que la totalidad de sus miembros compartan una única visión sobre dicho patrimonio o que tengan las mismas aspiraciones para él. Es necesario el mayor nivel de participación posible, en especial debido al carácter heterogéneo de las comunidades, tal como </w:t>
      </w:r>
      <w:r>
        <w:t xml:space="preserve">lo </w:t>
      </w:r>
      <w:r w:rsidR="007C3CE3">
        <w:t>recuerda el Comité en el párrafo 30: “las comunidades han de tener la participación más amplia posible en el proceso de elaboración de las candidaturas, las que deberán poner de manifiesto la diversidad de sus expectativas y demandas...”</w:t>
      </w:r>
    </w:p>
    <w:sectPr w:rsidR="007C3CE3" w:rsidRPr="007C3CE3" w:rsidSect="009B3A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type w:val="oddPage"/>
      <w:pgSz w:w="11900" w:h="16820" w:code="9"/>
      <w:pgMar w:top="1701" w:right="1531" w:bottom="1701" w:left="1531" w:header="720" w:footer="720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AF0AB" w14:textId="77777777" w:rsidR="009E3555" w:rsidRDefault="009E3555" w:rsidP="000A699C">
      <w:pPr>
        <w:spacing w:before="0" w:after="0"/>
      </w:pPr>
      <w:r>
        <w:separator/>
      </w:r>
    </w:p>
  </w:endnote>
  <w:endnote w:type="continuationSeparator" w:id="0">
    <w:p w14:paraId="2E8F0274" w14:textId="77777777" w:rsidR="009E3555" w:rsidRDefault="009E3555" w:rsidP="000A69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2F16C" w14:textId="430B2F50" w:rsidR="00044005" w:rsidRDefault="00044005" w:rsidP="004936EF">
    <w:pPr>
      <w:pStyle w:val="Footer"/>
    </w:pPr>
    <w:r>
      <w:rPr>
        <w:noProof/>
        <w:lang w:val="fr-FR" w:eastAsia="ja-JP" w:bidi="ar-SA"/>
      </w:rPr>
      <w:drawing>
        <wp:anchor distT="0" distB="0" distL="114300" distR="114300" simplePos="0" relativeHeight="251759616" behindDoc="0" locked="1" layoutInCell="1" allowOverlap="0" wp14:anchorId="3FDEFB64" wp14:editId="685EF368">
          <wp:simplePos x="0" y="0"/>
          <wp:positionH relativeFrom="margin">
            <wp:posOffset>0</wp:posOffset>
          </wp:positionH>
          <wp:positionV relativeFrom="margin">
            <wp:posOffset>8641080</wp:posOffset>
          </wp:positionV>
          <wp:extent cx="942975" cy="538480"/>
          <wp:effectExtent l="0" t="0" r="0" b="0"/>
          <wp:wrapSquare wrapText="bothSides"/>
          <wp:docPr id="375" name="Image 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© UNESCO • No se debe reproducir sin permiso</w:t>
    </w:r>
    <w:r>
      <w:tab/>
      <w:t>U006-v1.0-HO-ES</w:t>
    </w:r>
    <w:r>
      <w:rPr>
        <w:rStyle w:val="PageNumber"/>
      </w:rPr>
      <w:t xml:space="preserve"> </w:t>
    </w:r>
  </w:p>
  <w:p w14:paraId="43055D74" w14:textId="77777777" w:rsidR="00044005" w:rsidRDefault="00044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6C5B" w14:textId="1F22F225" w:rsidR="00044005" w:rsidRPr="007D60D5" w:rsidRDefault="00044005">
    <w:pPr>
      <w:pStyle w:val="Footer"/>
    </w:pPr>
    <w:r>
      <w:t>U006-v1.0-HO-ES</w:t>
    </w:r>
    <w:r>
      <w:tab/>
      <w:t>© UNESCO • No se debe reproducir sin permiso</w:t>
    </w:r>
    <w:r>
      <w:tab/>
    </w:r>
    <w:r>
      <w:rPr>
        <w:noProof/>
        <w:lang w:val="fr-FR" w:eastAsia="ja-JP" w:bidi="ar-SA"/>
      </w:rPr>
      <w:drawing>
        <wp:anchor distT="0" distB="0" distL="114300" distR="114300" simplePos="0" relativeHeight="251773952" behindDoc="0" locked="1" layoutInCell="1" allowOverlap="0" wp14:anchorId="79B0CF13" wp14:editId="0F04FB06">
          <wp:simplePos x="0" y="0"/>
          <wp:positionH relativeFrom="margin">
            <wp:posOffset>4681855</wp:posOffset>
          </wp:positionH>
          <wp:positionV relativeFrom="margin">
            <wp:posOffset>8641080</wp:posOffset>
          </wp:positionV>
          <wp:extent cx="942975" cy="538480"/>
          <wp:effectExtent l="0" t="0" r="0" b="0"/>
          <wp:wrapSquare wrapText="bothSides"/>
          <wp:docPr id="376" name="Image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1E157" w14:textId="1EAD1E11" w:rsidR="005B432B" w:rsidRDefault="00C92297" w:rsidP="00F14C9D">
    <w:pPr>
      <w:pStyle w:val="Footer"/>
      <w:tabs>
        <w:tab w:val="left" w:pos="2860"/>
      </w:tabs>
    </w:pPr>
    <w:bookmarkStart w:id="3" w:name="_GoBack"/>
    <w:r>
      <w:rPr>
        <w:noProof/>
        <w:lang w:eastAsia="ja-JP"/>
      </w:rPr>
      <w:drawing>
        <wp:anchor distT="0" distB="0" distL="114300" distR="114300" simplePos="0" relativeHeight="251658240" behindDoc="0" locked="0" layoutInCell="1" allowOverlap="1" wp14:anchorId="7267268C" wp14:editId="18A153CD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290" cy="189230"/>
          <wp:effectExtent l="0" t="0" r="0" b="1270"/>
          <wp:wrapThrough wrapText="bothSides">
            <wp:wrapPolygon edited="0">
              <wp:start x="0" y="0"/>
              <wp:lineTo x="0" y="19570"/>
              <wp:lineTo x="20487" y="19570"/>
              <wp:lineTo x="20487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r w:rsidR="00F14C9D">
      <w:rPr>
        <w:rFonts w:asciiTheme="minorBidi" w:hAnsiTheme="minorBidi"/>
        <w:noProof/>
        <w:szCs w:val="16"/>
        <w:lang w:val="fr-FR" w:eastAsia="ja-JP" w:bidi="ar-SA"/>
      </w:rPr>
      <w:drawing>
        <wp:anchor distT="0" distB="0" distL="114300" distR="114300" simplePos="0" relativeHeight="251776000" behindDoc="0" locked="0" layoutInCell="1" allowOverlap="1" wp14:anchorId="7E927FF0" wp14:editId="63326081">
          <wp:simplePos x="0" y="0"/>
          <wp:positionH relativeFrom="column">
            <wp:posOffset>4678045</wp:posOffset>
          </wp:positionH>
          <wp:positionV relativeFrom="paragraph">
            <wp:posOffset>-307340</wp:posOffset>
          </wp:positionV>
          <wp:extent cx="956310" cy="6934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1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CE3">
      <w:t>U049-v1.0-HO7-ES</w:t>
    </w:r>
    <w:r w:rsidR="007C3CE3">
      <w:tab/>
    </w:r>
    <w:r w:rsidR="006B7540">
      <w:tab/>
    </w:r>
    <w:r w:rsidR="007C3CE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B7F69" w14:textId="77777777" w:rsidR="009E3555" w:rsidRDefault="009E3555" w:rsidP="000A699C">
      <w:pPr>
        <w:spacing w:before="0" w:after="0"/>
      </w:pPr>
      <w:r>
        <w:separator/>
      </w:r>
    </w:p>
  </w:footnote>
  <w:footnote w:type="continuationSeparator" w:id="0">
    <w:p w14:paraId="499C1C59" w14:textId="77777777" w:rsidR="009E3555" w:rsidRDefault="009E3555" w:rsidP="000A69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104D8" w14:textId="6A5A327A" w:rsidR="00044005" w:rsidRDefault="00044005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100A">
      <w:rPr>
        <w:rStyle w:val="PageNumber"/>
        <w:noProof/>
      </w:rPr>
      <w:t>6</w:t>
    </w:r>
    <w:r>
      <w:rPr>
        <w:rStyle w:val="PageNumber"/>
      </w:rPr>
      <w:fldChar w:fldCharType="end"/>
    </w:r>
    <w:r>
      <w:tab/>
    </w:r>
    <w:r>
      <w:rPr>
        <w:rStyle w:val="PageNumber"/>
      </w:rPr>
      <w:t>Unidad 6: Identificación y confección de inventarios</w:t>
    </w:r>
    <w:r>
      <w:tab/>
      <w:t>Folleto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77F3F" w14:textId="65F6AB01" w:rsidR="00044005" w:rsidRPr="004A4AD6" w:rsidRDefault="00044005" w:rsidP="00D25BBB">
    <w:pPr>
      <w:pStyle w:val="Header"/>
    </w:pPr>
    <w:r>
      <w:t>Folleto</w:t>
    </w:r>
    <w:r>
      <w:tab/>
    </w:r>
    <w:r>
      <w:rPr>
        <w:rStyle w:val="PageNumber"/>
      </w:rPr>
      <w:t xml:space="preserve">Unidad 6: Identificación y confección de inventarios 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100A">
      <w:rPr>
        <w:rStyle w:val="PageNumber"/>
        <w:noProof/>
      </w:rPr>
      <w:t>7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2B47" w14:textId="2F4594A5" w:rsidR="00044005" w:rsidRPr="002305AA" w:rsidRDefault="00254C5C">
    <w:pPr>
      <w:pStyle w:val="Header"/>
    </w:pPr>
    <w:r>
      <w:tab/>
      <w:t>Folleto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00A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913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47C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540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3CE3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555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65F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3B56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97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4D46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4C9D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es-ES" w:eastAsia="es-E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es-ES" w:eastAsia="es-E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s-ES" w:eastAsia="es-ES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es-ES" w:eastAsia="es-E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es-ES" w:eastAsia="es-E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es-ES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es-ES" w:eastAsia="es-E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s-ES" w:eastAsia="es-ES" w:bidi="es-ES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s-ES" w:eastAsia="es-ES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s-ES" w:eastAsia="es-ES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s-ES" w:eastAsia="es-ES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es-ES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es-ES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s-E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s-ES" w:eastAsia="es-E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es-ES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s-E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s-ES"/>
    </w:rPr>
  </w:style>
  <w:style w:type="paragraph" w:customStyle="1" w:styleId="DOa">
    <w:name w:val="DOa"/>
    <w:basedOn w:val="numrationa"/>
    <w:rsid w:val="002915CA"/>
    <w:pPr>
      <w:ind w:left="2325"/>
    </w:p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es-ES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es-ES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es-ES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s-ES" w:eastAsia="es-ES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s-ES" w:eastAsia="es-ES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s-E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s-ES" w:eastAsia="es-ES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es-ES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es-ES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s-ES" w:eastAsia="es-ES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14BEB-75F7-4B93-9702-F89D0AE14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06B4D3-3936-4457-AFED-80BB0730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984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2016-05-17T17:47:00Z</dcterms:created>
  <dcterms:modified xsi:type="dcterms:W3CDTF">2018-03-23T12:58:00Z</dcterms:modified>
</cp:coreProperties>
</file>