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8D02" w14:textId="26C09A11" w:rsidR="009F28BC" w:rsidRPr="00560424" w:rsidRDefault="009F28BC" w:rsidP="009F28BC">
      <w:pPr>
        <w:pStyle w:val="Chapitre"/>
        <w:rPr>
          <w:lang w:val="fr-FR"/>
        </w:rPr>
      </w:pPr>
      <w:bookmarkStart w:id="0" w:name="_Toc241229778"/>
      <w:bookmarkStart w:id="1" w:name="_Toc241229982"/>
      <w:bookmarkStart w:id="2" w:name="_Toc242165676"/>
      <w:bookmarkStart w:id="3" w:name="_GoBack"/>
      <w:bookmarkEnd w:id="3"/>
      <w:r w:rsidRPr="00560424">
        <w:rPr>
          <w:lang w:val="fr-FR"/>
        </w:rPr>
        <w:t>Unit</w:t>
      </w:r>
      <w:r w:rsidR="00CA0284" w:rsidRPr="00560424">
        <w:rPr>
          <w:lang w:val="fr-FR"/>
        </w:rPr>
        <w:t>é</w:t>
      </w:r>
      <w:r w:rsidRPr="00560424">
        <w:rPr>
          <w:lang w:val="fr-FR"/>
        </w:rPr>
        <w:t xml:space="preserve"> </w:t>
      </w:r>
      <w:r w:rsidR="003329EE" w:rsidRPr="00560424">
        <w:rPr>
          <w:lang w:val="fr-FR"/>
        </w:rPr>
        <w:t>49</w:t>
      </w:r>
    </w:p>
    <w:p w14:paraId="46C994E5" w14:textId="2A528EBD" w:rsidR="006C700E" w:rsidRPr="00560424" w:rsidRDefault="00CA0284" w:rsidP="006C700E">
      <w:pPr>
        <w:pStyle w:val="HO1"/>
        <w:rPr>
          <w:lang w:val="fr-FR"/>
        </w:rPr>
      </w:pPr>
      <w:r w:rsidRPr="00560424">
        <w:rPr>
          <w:lang w:val="fr-FR"/>
        </w:rPr>
        <w:t>Imprimé 1 :</w:t>
      </w:r>
    </w:p>
    <w:bookmarkEnd w:id="0"/>
    <w:bookmarkEnd w:id="1"/>
    <w:bookmarkEnd w:id="2"/>
    <w:p w14:paraId="0A32421E" w14:textId="18489CB1" w:rsidR="0031587B" w:rsidRPr="00CA0284" w:rsidRDefault="00CA0284" w:rsidP="00C73E9C">
      <w:pPr>
        <w:pStyle w:val="HO2"/>
        <w:rPr>
          <w:noProof w:val="0"/>
          <w:lang w:val="fr-FR"/>
        </w:rPr>
      </w:pPr>
      <w:r>
        <w:rPr>
          <w:noProof w:val="0"/>
          <w:lang w:val="fr-FR"/>
        </w:rPr>
        <w:t>Ré</w:t>
      </w:r>
      <w:r w:rsidR="003329EE" w:rsidRPr="00CA0284">
        <w:rPr>
          <w:noProof w:val="0"/>
          <w:lang w:val="fr-FR"/>
        </w:rPr>
        <w:t>v</w:t>
      </w:r>
      <w:r w:rsidRPr="00CA0284">
        <w:rPr>
          <w:noProof w:val="0"/>
          <w:lang w:val="fr-FR"/>
        </w:rPr>
        <w:t xml:space="preserve">ision des </w:t>
      </w:r>
      <w:r w:rsidR="00560424">
        <w:rPr>
          <w:noProof w:val="0"/>
          <w:lang w:val="fr-FR"/>
        </w:rPr>
        <w:t>Directives opérationnelles</w:t>
      </w:r>
    </w:p>
    <w:p w14:paraId="566857EC" w14:textId="3FC2EF24" w:rsidR="003329EE" w:rsidRPr="00CA0284" w:rsidRDefault="003329EE" w:rsidP="00CA0284">
      <w:pPr>
        <w:pStyle w:val="Texte1"/>
        <w:rPr>
          <w:b/>
        </w:rPr>
      </w:pPr>
      <w:r w:rsidRPr="00560424">
        <w:rPr>
          <w:b/>
          <w:bCs/>
          <w:szCs w:val="20"/>
        </w:rPr>
        <w:t>(</w:t>
      </w:r>
      <w:r w:rsidRPr="00CA0284">
        <w:rPr>
          <w:b/>
          <w:bCs/>
          <w:szCs w:val="20"/>
        </w:rPr>
        <w:t>A)</w:t>
      </w:r>
      <w:r w:rsidR="00CA0284" w:rsidRPr="00CA0284">
        <w:rPr>
          <w:b/>
          <w:bCs/>
          <w:szCs w:val="20"/>
        </w:rPr>
        <w:t> </w:t>
      </w:r>
      <w:r w:rsidR="003B3461">
        <w:rPr>
          <w:b/>
          <w:bCs/>
          <w:szCs w:val="20"/>
        </w:rPr>
        <w:t xml:space="preserve">La </w:t>
      </w:r>
      <w:r w:rsidR="003B3461">
        <w:rPr>
          <w:b/>
        </w:rPr>
        <w:t>d</w:t>
      </w:r>
      <w:r w:rsidR="00A61AE2">
        <w:rPr>
          <w:b/>
        </w:rPr>
        <w:t>écision 8.COM 5c</w:t>
      </w:r>
      <w:r w:rsidR="00CA0284" w:rsidRPr="00CA0284">
        <w:rPr>
          <w:b/>
        </w:rPr>
        <w:t>.1 – paragraphe 11(b) - demande au Secrétariat de :</w:t>
      </w:r>
    </w:p>
    <w:p w14:paraId="6CDE443C" w14:textId="6A09F5E4" w:rsidR="003329EE" w:rsidRPr="00CA0284" w:rsidRDefault="00CA0284" w:rsidP="008E6382">
      <w:pPr>
        <w:pStyle w:val="Quote"/>
        <w:rPr>
          <w:rFonts w:eastAsia="Calibri"/>
        </w:rPr>
      </w:pPr>
      <w:r w:rsidRPr="00B95467">
        <w:t>Réviser tous les documents et formulaires concernés (y compris les Directives opérationnelles, les formats de rapports périodiques et les dossiers de candidature) afin d’y inclure des conseils et des questions spécifiques au genre</w:t>
      </w:r>
      <w:r>
        <w:t xml:space="preserve"> (Recommandation 1)</w:t>
      </w:r>
    </w:p>
    <w:p w14:paraId="25ECB05A" w14:textId="630019F2" w:rsidR="003329EE" w:rsidRPr="003B3461" w:rsidRDefault="003329EE" w:rsidP="003B3461">
      <w:pPr>
        <w:pStyle w:val="Texte1"/>
        <w:spacing w:before="240"/>
        <w:rPr>
          <w:b/>
          <w:bCs/>
        </w:rPr>
      </w:pPr>
      <w:r w:rsidRPr="00CA0284">
        <w:rPr>
          <w:b/>
          <w:bCs/>
        </w:rPr>
        <w:t>(B)</w:t>
      </w:r>
      <w:r w:rsidRPr="00CA0284">
        <w:t xml:space="preserve"> </w:t>
      </w:r>
      <w:r w:rsidR="00CA0284">
        <w:rPr>
          <w:b/>
          <w:bCs/>
        </w:rPr>
        <w:t>P</w:t>
      </w:r>
      <w:r w:rsidR="00CA0284" w:rsidRPr="00CA0284">
        <w:rPr>
          <w:b/>
          <w:bCs/>
        </w:rPr>
        <w:t>aragraphe</w:t>
      </w:r>
      <w:r w:rsidR="00CA0284">
        <w:rPr>
          <w:b/>
          <w:bCs/>
        </w:rPr>
        <w:t xml:space="preserve"> </w:t>
      </w:r>
      <w:r w:rsidR="003B3461">
        <w:rPr>
          <w:b/>
          <w:bCs/>
        </w:rPr>
        <w:t>14 du projet de Directives opérationnelles sur la « </w:t>
      </w:r>
      <w:r w:rsidR="003B3461" w:rsidRPr="003B3461">
        <w:rPr>
          <w:b/>
          <w:bCs/>
        </w:rPr>
        <w:t>sauvegarde</w:t>
      </w:r>
      <w:r w:rsidR="003B3461">
        <w:rPr>
          <w:b/>
          <w:bCs/>
        </w:rPr>
        <w:t xml:space="preserve"> du patrimoine culturel immatériel et du développement durable au niveau national » </w:t>
      </w:r>
      <w:r w:rsidRPr="00CA0284">
        <w:rPr>
          <w:b/>
          <w:bCs/>
        </w:rPr>
        <w:t>(Annex</w:t>
      </w:r>
      <w:r w:rsidR="00A61AE2">
        <w:rPr>
          <w:b/>
          <w:bCs/>
        </w:rPr>
        <w:t>e du d</w:t>
      </w:r>
      <w:r w:rsidR="003B3461">
        <w:rPr>
          <w:b/>
          <w:bCs/>
        </w:rPr>
        <w:t>ocument ITH/14/9.COM/13.b) :</w:t>
      </w:r>
    </w:p>
    <w:p w14:paraId="1D725C3D" w14:textId="61A2D407" w:rsidR="00CA0284" w:rsidRPr="004C1604" w:rsidRDefault="00CA0284" w:rsidP="00CA0284">
      <w:pPr>
        <w:pStyle w:val="ListParagraph"/>
        <w:autoSpaceDE w:val="0"/>
        <w:autoSpaceDN w:val="0"/>
        <w:adjustRightInd w:val="0"/>
        <w:spacing w:before="240" w:after="240" w:line="240" w:lineRule="auto"/>
        <w:ind w:left="1134"/>
        <w:contextualSpacing w:val="0"/>
        <w:jc w:val="both"/>
        <w:rPr>
          <w:rFonts w:ascii="Arial" w:hAnsi="Arial" w:cs="Arial"/>
          <w:sz w:val="20"/>
          <w:szCs w:val="20"/>
        </w:rPr>
      </w:pPr>
      <w:r w:rsidRPr="004C1604">
        <w:rPr>
          <w:rFonts w:ascii="Arial" w:hAnsi="Arial"/>
          <w:sz w:val="20"/>
          <w:szCs w:val="20"/>
        </w:rPr>
        <w:t>Les États parties s’efforcent de favoriser les contributions du patrimoine culturel immatériel à une plus grande égalité des genres et à l'élimination des discriminations fondées sur le genre, tout en reconnaissant que les communautés transmettent leurs valeurs, leurs normes et leurs attentes relatives au genre à travers le patrimoine culturel immatériel, et qu’il est donc un contexte privilégié dans lequel les identités de genre des membres de la communauté sont façonnées. À cette fin, les États parties sont encouragés à :</w:t>
      </w:r>
    </w:p>
    <w:p w14:paraId="47494655" w14:textId="746CBBA9" w:rsidR="00CA0284" w:rsidRPr="004C1604" w:rsidRDefault="00CA0284" w:rsidP="00CA0284">
      <w:pPr>
        <w:autoSpaceDE w:val="0"/>
        <w:autoSpaceDN w:val="0"/>
        <w:adjustRightInd w:val="0"/>
        <w:spacing w:before="240" w:after="240"/>
        <w:ind w:left="1843" w:hanging="425"/>
        <w:rPr>
          <w:sz w:val="20"/>
          <w:szCs w:val="20"/>
          <w:lang w:val="fr-FR"/>
        </w:rPr>
      </w:pPr>
      <w:r w:rsidRPr="004C1604">
        <w:rPr>
          <w:sz w:val="20"/>
          <w:szCs w:val="20"/>
          <w:lang w:val="fr-FR"/>
        </w:rPr>
        <w:t>a)</w:t>
      </w:r>
      <w:r w:rsidRPr="004C1604">
        <w:rPr>
          <w:sz w:val="20"/>
          <w:szCs w:val="20"/>
          <w:lang w:val="fr-FR"/>
        </w:rPr>
        <w:tab/>
        <w:t>tirer parti du potentiel du patrimoine culturel immatériel pour créer des espaces communs de dialogue sur la meilleure façon de parvenir à l’égalité des genres, en prenant en compte les différents points de vue de toutes les parties prenantes concernées ;</w:t>
      </w:r>
    </w:p>
    <w:p w14:paraId="611C113B" w14:textId="0A683CAE" w:rsidR="00CA0284" w:rsidRPr="004C1604" w:rsidRDefault="00CA0284" w:rsidP="00CA0284">
      <w:pPr>
        <w:autoSpaceDE w:val="0"/>
        <w:autoSpaceDN w:val="0"/>
        <w:adjustRightInd w:val="0"/>
        <w:spacing w:before="240" w:after="240"/>
        <w:ind w:left="1843" w:hanging="425"/>
        <w:rPr>
          <w:sz w:val="20"/>
          <w:szCs w:val="20"/>
          <w:lang w:val="fr-FR"/>
        </w:rPr>
      </w:pPr>
      <w:r w:rsidRPr="004C1604">
        <w:rPr>
          <w:sz w:val="20"/>
          <w:szCs w:val="20"/>
          <w:lang w:val="fr-FR"/>
        </w:rPr>
        <w:t>b)</w:t>
      </w:r>
      <w:r w:rsidRPr="004C1604">
        <w:rPr>
          <w:sz w:val="20"/>
          <w:szCs w:val="20"/>
          <w:lang w:val="fr-FR"/>
        </w:rPr>
        <w:tab/>
        <w:t>promouvoir le rôle important que le patrimoine culturel immatériel peut jouer dans la promotion du respect mutuel au sein des communautés et des groupes dont les membres ne partagent pas toujours les mêmes conceptions du genre ;</w:t>
      </w:r>
    </w:p>
    <w:p w14:paraId="0CCDE2EC" w14:textId="5BECA378" w:rsidR="00CA0284" w:rsidRPr="004C1604" w:rsidRDefault="00CA0284" w:rsidP="00CA0284">
      <w:pPr>
        <w:pStyle w:val="ListParagraph"/>
        <w:autoSpaceDE w:val="0"/>
        <w:autoSpaceDN w:val="0"/>
        <w:adjustRightInd w:val="0"/>
        <w:spacing w:before="240" w:after="240" w:line="240" w:lineRule="auto"/>
        <w:ind w:left="1843" w:hanging="425"/>
        <w:contextualSpacing w:val="0"/>
        <w:jc w:val="both"/>
        <w:rPr>
          <w:rFonts w:ascii="Arial" w:hAnsi="Arial" w:cs="Arial"/>
          <w:sz w:val="20"/>
          <w:szCs w:val="20"/>
        </w:rPr>
      </w:pPr>
      <w:r w:rsidRPr="004C1604">
        <w:rPr>
          <w:rFonts w:ascii="Arial" w:hAnsi="Arial"/>
          <w:sz w:val="20"/>
          <w:szCs w:val="20"/>
        </w:rPr>
        <w:t>c)</w:t>
      </w:r>
      <w:r w:rsidRPr="004C1604">
        <w:rPr>
          <w:rFonts w:ascii="Arial" w:hAnsi="Arial"/>
          <w:sz w:val="20"/>
          <w:szCs w:val="20"/>
        </w:rPr>
        <w:tab/>
        <w:t>favoriser les études scientifiques et les méthodologies de recherche, y compris celles menées par les communautés elles-mêmes, visant à comprendre la diversité des rôles de genre au sein de certaines expressions du patrimoine culturel immatériel ;</w:t>
      </w:r>
    </w:p>
    <w:p w14:paraId="6DCAD7B1" w14:textId="6479583F" w:rsidR="004C1604" w:rsidRPr="00560424" w:rsidRDefault="00CA0284" w:rsidP="00560424">
      <w:pPr>
        <w:pStyle w:val="ListParagraph"/>
        <w:autoSpaceDE w:val="0"/>
        <w:autoSpaceDN w:val="0"/>
        <w:adjustRightInd w:val="0"/>
        <w:spacing w:before="240" w:after="240" w:line="240" w:lineRule="auto"/>
        <w:ind w:left="1843" w:hanging="425"/>
        <w:contextualSpacing w:val="0"/>
        <w:jc w:val="both"/>
        <w:rPr>
          <w:rFonts w:ascii="Arial" w:hAnsi="Arial"/>
          <w:sz w:val="20"/>
          <w:szCs w:val="20"/>
        </w:rPr>
      </w:pPr>
      <w:r w:rsidRPr="004C1604">
        <w:rPr>
          <w:rFonts w:ascii="Arial" w:hAnsi="Arial"/>
          <w:sz w:val="20"/>
          <w:szCs w:val="20"/>
        </w:rPr>
        <w:t>d)</w:t>
      </w:r>
      <w:r w:rsidRPr="004C1604">
        <w:rPr>
          <w:rFonts w:ascii="Arial" w:hAnsi="Arial"/>
          <w:sz w:val="20"/>
          <w:szCs w:val="20"/>
        </w:rPr>
        <w:tab/>
        <w:t xml:space="preserve">assurer l’égalité des genres dans la planification, la gestion et la mise en œuvre des mesures de sauvegarde, à tous les niveaux et dans tous les contextes, afin de tirer pleinement parti des différents points de vue de </w:t>
      </w:r>
      <w:r w:rsidR="00560424">
        <w:rPr>
          <w:rFonts w:ascii="Arial" w:hAnsi="Arial"/>
          <w:sz w:val="20"/>
          <w:szCs w:val="20"/>
        </w:rPr>
        <w:t>tous les membres de la société.</w:t>
      </w:r>
    </w:p>
    <w:p w14:paraId="4222BC7A" w14:textId="41E69874" w:rsidR="003329EE" w:rsidRPr="00B37C3C" w:rsidRDefault="003329EE" w:rsidP="008E6382">
      <w:pPr>
        <w:pStyle w:val="Texte1"/>
        <w:spacing w:before="240"/>
        <w:rPr>
          <w:rFonts w:eastAsia="Calibri"/>
          <w:bCs/>
        </w:rPr>
      </w:pPr>
      <w:r w:rsidRPr="00560424">
        <w:rPr>
          <w:rFonts w:eastAsia="Calibri"/>
          <w:b/>
        </w:rPr>
        <w:lastRenderedPageBreak/>
        <w:t>(C)</w:t>
      </w:r>
      <w:r w:rsidRPr="00560424">
        <w:rPr>
          <w:rFonts w:eastAsia="Calibri"/>
          <w:bCs/>
        </w:rPr>
        <w:t xml:space="preserve"> </w:t>
      </w:r>
      <w:r w:rsidR="00B37C3C">
        <w:rPr>
          <w:rFonts w:eastAsia="Calibri"/>
          <w:bCs/>
        </w:rPr>
        <w:t>D’autres documents, disponibl</w:t>
      </w:r>
      <w:r w:rsidR="00AC5335" w:rsidRPr="00B37C3C">
        <w:rPr>
          <w:rFonts w:eastAsia="Calibri"/>
          <w:bCs/>
        </w:rPr>
        <w:t xml:space="preserve">es en ligne, </w:t>
      </w:r>
      <w:r w:rsidR="00B37C3C">
        <w:rPr>
          <w:rFonts w:eastAsia="Calibri"/>
          <w:bCs/>
        </w:rPr>
        <w:t xml:space="preserve">témoignent d’un </w:t>
      </w:r>
      <w:r w:rsidR="00B37C3C" w:rsidRPr="00B37C3C">
        <w:rPr>
          <w:rFonts w:eastAsia="Calibri"/>
          <w:bCs/>
        </w:rPr>
        <w:t xml:space="preserve">recours accru à une approche sensible au genre </w:t>
      </w:r>
      <w:r w:rsidR="00B37C3C">
        <w:rPr>
          <w:rFonts w:eastAsia="Calibri"/>
          <w:bCs/>
        </w:rPr>
        <w:t>par les États parties. Parmi ceux-ci on citera : les rapports périodiques, les Aide-mémoires et les candidatures</w:t>
      </w:r>
      <w:r w:rsidR="00B37C3C">
        <w:rPr>
          <w:rStyle w:val="FootnoteReference"/>
          <w:rFonts w:eastAsia="Calibri"/>
          <w:bCs/>
        </w:rPr>
        <w:footnoteReference w:id="1"/>
      </w:r>
      <w:r w:rsidR="00B37C3C">
        <w:rPr>
          <w:rFonts w:eastAsia="Calibri"/>
          <w:bCs/>
        </w:rPr>
        <w:t>.</w:t>
      </w:r>
    </w:p>
    <w:sectPr w:rsidR="003329EE" w:rsidRPr="00B37C3C" w:rsidSect="009B3A9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A61AE2" w:rsidRDefault="00A61AE2" w:rsidP="000A699C">
      <w:pPr>
        <w:spacing w:before="0" w:after="0"/>
      </w:pPr>
      <w:r>
        <w:separator/>
      </w:r>
    </w:p>
  </w:endnote>
  <w:endnote w:type="continuationSeparator" w:id="0">
    <w:p w14:paraId="6B6A2CAD" w14:textId="77777777" w:rsidR="00A61AE2" w:rsidRDefault="00A61AE2"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5D74" w14:textId="17B4076A" w:rsidR="00A61AE2" w:rsidRPr="00BC7828" w:rsidRDefault="00602B45" w:rsidP="00BC7828">
    <w:pPr>
      <w:pStyle w:val="Footer"/>
      <w:rPr>
        <w:lang w:val="fr-FR"/>
      </w:rPr>
    </w:pPr>
    <w:r>
      <w:rPr>
        <w:noProof/>
        <w:lang w:eastAsia="fr-FR"/>
      </w:rPr>
      <w:drawing>
        <wp:anchor distT="0" distB="0" distL="114300" distR="114300" simplePos="0" relativeHeight="251785216" behindDoc="0" locked="0" layoutInCell="1" allowOverlap="1" wp14:anchorId="708D1BD0" wp14:editId="0014AB1D">
          <wp:simplePos x="0" y="0"/>
          <wp:positionH relativeFrom="column">
            <wp:posOffset>2183765</wp:posOffset>
          </wp:positionH>
          <wp:positionV relativeFrom="paragraph">
            <wp:posOffset>-21590</wp:posOffset>
          </wp:positionV>
          <wp:extent cx="542925" cy="190500"/>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C7828">
      <w:rPr>
        <w:noProof/>
        <w:lang w:val="fr-FR" w:eastAsia="fr-FR"/>
      </w:rPr>
      <w:drawing>
        <wp:anchor distT="0" distB="0" distL="114300" distR="114300" simplePos="0" relativeHeight="251777024" behindDoc="0" locked="0" layoutInCell="1" allowOverlap="1" wp14:anchorId="66F82E1E" wp14:editId="00354C12">
          <wp:simplePos x="0" y="0"/>
          <wp:positionH relativeFrom="column">
            <wp:posOffset>-209814</wp:posOffset>
          </wp:positionH>
          <wp:positionV relativeFrom="paragraph">
            <wp:posOffset>-303901</wp:posOffset>
          </wp:positionV>
          <wp:extent cx="802005" cy="6019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02005" cy="601980"/>
                  </a:xfrm>
                  <a:prstGeom prst="rect">
                    <a:avLst/>
                  </a:prstGeom>
                </pic:spPr>
              </pic:pic>
            </a:graphicData>
          </a:graphic>
          <wp14:sizeRelH relativeFrom="page">
            <wp14:pctWidth>0</wp14:pctWidth>
          </wp14:sizeRelH>
          <wp14:sizeRelV relativeFrom="page">
            <wp14:pctHeight>0</wp14:pctHeight>
          </wp14:sizeRelV>
        </wp:anchor>
      </w:drawing>
    </w:r>
    <w:r w:rsidR="00A61AE2" w:rsidRPr="00AC5335">
      <w:rPr>
        <w:lang w:val="fr-FR"/>
      </w:rPr>
      <w:tab/>
    </w:r>
    <w:r w:rsidR="00560424">
      <w:rPr>
        <w:lang w:val="fr-FR"/>
      </w:rPr>
      <w:tab/>
      <w:t>U006-v1.0-HO1-FR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1F22F225" w:rsidR="00A61AE2" w:rsidRPr="007D60D5" w:rsidRDefault="00A61AE2">
    <w:pPr>
      <w:pStyle w:val="Footer"/>
    </w:pPr>
    <w:r>
      <w:t>U006-v1.</w:t>
    </w:r>
    <w:proofErr w:type="gramStart"/>
    <w:r>
      <w:t>0-HO-EN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5B7AFC">
      <w:rPr>
        <w:noProof/>
        <w:lang w:val="fr-FR" w:eastAsia="fr-FR"/>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E157" w14:textId="4D57673F" w:rsidR="00A61AE2" w:rsidRPr="003B3461" w:rsidRDefault="00602B45" w:rsidP="00BC7828">
    <w:pPr>
      <w:pStyle w:val="Footer"/>
      <w:rPr>
        <w:lang w:val="fr-FR"/>
      </w:rPr>
    </w:pPr>
    <w:r>
      <w:rPr>
        <w:noProof/>
        <w:lang w:eastAsia="fr-FR"/>
      </w:rPr>
      <w:drawing>
        <wp:anchor distT="0" distB="0" distL="114300" distR="114300" simplePos="0" relativeHeight="251783168" behindDoc="0" locked="0" layoutInCell="1" allowOverlap="1" wp14:anchorId="37BB9357" wp14:editId="2D20B13B">
          <wp:simplePos x="0" y="0"/>
          <wp:positionH relativeFrom="column">
            <wp:posOffset>2517140</wp:posOffset>
          </wp:positionH>
          <wp:positionV relativeFrom="paragraph">
            <wp:posOffset>26035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C7828">
      <w:rPr>
        <w:noProof/>
        <w:lang w:val="fr-FR" w:eastAsia="fr-FR"/>
      </w:rPr>
      <w:drawing>
        <wp:anchor distT="0" distB="0" distL="114300" distR="114300" simplePos="0" relativeHeight="251774976" behindDoc="0" locked="0" layoutInCell="1" allowOverlap="1" wp14:anchorId="11F5B0EF" wp14:editId="2FEFC3E4">
          <wp:simplePos x="0" y="0"/>
          <wp:positionH relativeFrom="column">
            <wp:posOffset>4958715</wp:posOffset>
          </wp:positionH>
          <wp:positionV relativeFrom="paragraph">
            <wp:posOffset>-304800</wp:posOffset>
          </wp:positionV>
          <wp:extent cx="802005" cy="601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02005" cy="601980"/>
                  </a:xfrm>
                  <a:prstGeom prst="rect">
                    <a:avLst/>
                  </a:prstGeom>
                </pic:spPr>
              </pic:pic>
            </a:graphicData>
          </a:graphic>
          <wp14:sizeRelH relativeFrom="page">
            <wp14:pctWidth>0</wp14:pctWidth>
          </wp14:sizeRelH>
          <wp14:sizeRelV relativeFrom="page">
            <wp14:pctHeight>0</wp14:pctHeight>
          </wp14:sizeRelV>
        </wp:anchor>
      </w:drawing>
    </w:r>
    <w:r w:rsidR="00A61AE2" w:rsidRPr="003B3461">
      <w:rPr>
        <w:lang w:val="fr-FR"/>
      </w:rPr>
      <w:t>U049-v1.0-HO1-FR</w:t>
    </w:r>
    <w:r w:rsidR="00A61AE2" w:rsidRPr="003B3461">
      <w:rPr>
        <w:lang w:val="fr-FR"/>
      </w:rPr>
      <w:tab/>
    </w:r>
    <w:r w:rsidR="00A61AE2" w:rsidRPr="003B3461">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A61AE2" w:rsidRDefault="00A61AE2" w:rsidP="000A699C">
      <w:pPr>
        <w:spacing w:before="0" w:after="0"/>
      </w:pPr>
      <w:r>
        <w:separator/>
      </w:r>
    </w:p>
  </w:footnote>
  <w:footnote w:type="continuationSeparator" w:id="0">
    <w:p w14:paraId="47B8F248" w14:textId="77777777" w:rsidR="00A61AE2" w:rsidRDefault="00A61AE2" w:rsidP="000A699C">
      <w:pPr>
        <w:spacing w:before="0" w:after="0"/>
      </w:pPr>
      <w:r>
        <w:continuationSeparator/>
      </w:r>
    </w:p>
  </w:footnote>
  <w:footnote w:id="1">
    <w:p w14:paraId="519EFC68" w14:textId="516F75EB" w:rsidR="00A61AE2" w:rsidRPr="00560424" w:rsidRDefault="00A61AE2" w:rsidP="00560424">
      <w:pPr>
        <w:pStyle w:val="FootnoteText"/>
      </w:pPr>
      <w:r w:rsidRPr="00560424">
        <w:rPr>
          <w:rStyle w:val="FootnoteReference"/>
          <w:vertAlign w:val="baseline"/>
        </w:rPr>
        <w:footnoteRef/>
      </w:r>
      <w:r w:rsidRPr="00560424">
        <w:tab/>
      </w:r>
      <w:proofErr w:type="spellStart"/>
      <w:r w:rsidRPr="00560424">
        <w:t>Exemples</w:t>
      </w:r>
      <w:proofErr w:type="spellEnd"/>
      <w:r w:rsidRPr="00560424">
        <w:t xml:space="preserve"> de </w:t>
      </w:r>
      <w:hyperlink r:id="rId1" w:history="1">
        <w:r w:rsidRPr="00560424">
          <w:rPr>
            <w:rStyle w:val="Hyperlink"/>
            <w:color w:val="auto"/>
            <w:u w:val="none"/>
          </w:rPr>
          <w:t xml:space="preserve">rapports </w:t>
        </w:r>
        <w:proofErr w:type="spellStart"/>
        <w:r w:rsidRPr="00560424">
          <w:rPr>
            <w:rStyle w:val="Hyperlink"/>
            <w:color w:val="auto"/>
            <w:u w:val="none"/>
          </w:rPr>
          <w:t>périodiques</w:t>
        </w:r>
        <w:proofErr w:type="spellEnd"/>
      </w:hyperlink>
      <w:r w:rsidRPr="00560424">
        <w:t xml:space="preserve"> (de </w:t>
      </w:r>
      <w:proofErr w:type="spellStart"/>
      <w:r w:rsidRPr="00560424">
        <w:t>l’</w:t>
      </w:r>
      <w:hyperlink r:id="rId2" w:history="1">
        <w:r w:rsidRPr="00560424">
          <w:rPr>
            <w:rStyle w:val="Hyperlink"/>
            <w:color w:val="auto"/>
            <w:u w:val="none"/>
          </w:rPr>
          <w:t>Égypte</w:t>
        </w:r>
        <w:proofErr w:type="spellEnd"/>
      </w:hyperlink>
      <w:r w:rsidRPr="00560424">
        <w:t xml:space="preserve">, du </w:t>
      </w:r>
      <w:hyperlink r:id="rId3" w:history="1">
        <w:proofErr w:type="spellStart"/>
        <w:r w:rsidRPr="00560424">
          <w:rPr>
            <w:rStyle w:val="Hyperlink"/>
            <w:color w:val="auto"/>
            <w:u w:val="none"/>
          </w:rPr>
          <w:t>Brésil</w:t>
        </w:r>
        <w:proofErr w:type="spellEnd"/>
      </w:hyperlink>
      <w:r w:rsidRPr="00560424">
        <w:t xml:space="preserve">, du </w:t>
      </w:r>
      <w:hyperlink r:id="rId4" w:history="1">
        <w:r w:rsidRPr="00560424">
          <w:rPr>
            <w:rStyle w:val="Hyperlink"/>
            <w:color w:val="auto"/>
            <w:u w:val="none"/>
          </w:rPr>
          <w:t>Burkina Faso</w:t>
        </w:r>
      </w:hyperlink>
      <w:r w:rsidRPr="00560424">
        <w:t xml:space="preserve"> et du </w:t>
      </w:r>
      <w:hyperlink r:id="rId5" w:history="1">
        <w:r w:rsidRPr="00560424">
          <w:rPr>
            <w:rStyle w:val="Hyperlink"/>
            <w:color w:val="auto"/>
            <w:u w:val="none"/>
          </w:rPr>
          <w:t>Viet Nam</w:t>
        </w:r>
      </w:hyperlink>
      <w:r w:rsidRPr="00560424">
        <w:t xml:space="preserve">) </w:t>
      </w:r>
      <w:proofErr w:type="spellStart"/>
      <w:r w:rsidRPr="00560424">
        <w:t>soumis</w:t>
      </w:r>
      <w:proofErr w:type="spellEnd"/>
      <w:r w:rsidRPr="00560424">
        <w:t xml:space="preserve"> au </w:t>
      </w:r>
      <w:proofErr w:type="spellStart"/>
      <w:r w:rsidRPr="00560424">
        <w:t>Comité</w:t>
      </w:r>
      <w:proofErr w:type="spellEnd"/>
      <w:r w:rsidRPr="00560424">
        <w:t xml:space="preserve"> qui </w:t>
      </w:r>
      <w:proofErr w:type="spellStart"/>
      <w:r w:rsidRPr="00560424">
        <w:t>ont</w:t>
      </w:r>
      <w:proofErr w:type="spellEnd"/>
      <w:r w:rsidRPr="00560424">
        <w:t xml:space="preserve"> </w:t>
      </w:r>
      <w:proofErr w:type="spellStart"/>
      <w:r w:rsidRPr="00560424">
        <w:t>adopté</w:t>
      </w:r>
      <w:proofErr w:type="spellEnd"/>
      <w:r w:rsidRPr="00560424">
        <w:t xml:space="preserve"> </w:t>
      </w:r>
      <w:proofErr w:type="spellStart"/>
      <w:r w:rsidRPr="00560424">
        <w:t>une</w:t>
      </w:r>
      <w:proofErr w:type="spellEnd"/>
      <w:r w:rsidRPr="00560424">
        <w:t xml:space="preserve"> </w:t>
      </w:r>
      <w:proofErr w:type="spellStart"/>
      <w:r w:rsidRPr="00560424">
        <w:t>approche</w:t>
      </w:r>
      <w:proofErr w:type="spellEnd"/>
      <w:r w:rsidRPr="00560424">
        <w:t xml:space="preserve"> sensible au genre.</w:t>
      </w:r>
    </w:p>
    <w:p w14:paraId="4017DE96" w14:textId="0E254749" w:rsidR="00A61AE2" w:rsidRPr="00BC7828" w:rsidRDefault="00A61AE2" w:rsidP="00560424">
      <w:pPr>
        <w:pStyle w:val="FootnoteText"/>
        <w:rPr>
          <w:lang w:val="fr-FR"/>
        </w:rPr>
      </w:pPr>
      <w:r w:rsidRPr="00560424">
        <w:tab/>
      </w:r>
      <w:r w:rsidRPr="00BC7828">
        <w:rPr>
          <w:lang w:val="fr-FR"/>
        </w:rPr>
        <w:t xml:space="preserve">Aide-Mémoires pour élaborer les candidatures à la </w:t>
      </w:r>
      <w:hyperlink r:id="rId6" w:history="1">
        <w:r w:rsidRPr="00BC7828">
          <w:rPr>
            <w:rStyle w:val="Hyperlink"/>
            <w:color w:val="auto"/>
            <w:u w:val="none"/>
            <w:lang w:val="fr-FR"/>
          </w:rPr>
          <w:t>Liste de sauvegarde urgente</w:t>
        </w:r>
      </w:hyperlink>
      <w:r w:rsidRPr="00BC7828">
        <w:rPr>
          <w:lang w:val="fr-FR"/>
        </w:rPr>
        <w:t xml:space="preserve">, et les candidatures à la </w:t>
      </w:r>
      <w:hyperlink r:id="rId7" w:history="1">
        <w:r w:rsidRPr="00BC7828">
          <w:rPr>
            <w:rStyle w:val="Hyperlink"/>
            <w:color w:val="auto"/>
            <w:u w:val="none"/>
            <w:lang w:val="fr-FR"/>
          </w:rPr>
          <w:t>Liste représentative</w:t>
        </w:r>
      </w:hyperlink>
      <w:r w:rsidRPr="00BC7828">
        <w:rPr>
          <w:lang w:val="fr-FR"/>
        </w:rPr>
        <w:t>.</w:t>
      </w:r>
    </w:p>
    <w:p w14:paraId="06C4B1AE" w14:textId="7411296F" w:rsidR="00A61AE2" w:rsidRPr="00B37C3C" w:rsidRDefault="00A61AE2" w:rsidP="00560424">
      <w:pPr>
        <w:pStyle w:val="FootnoteText"/>
        <w:rPr>
          <w:lang w:val="fr-FR"/>
        </w:rPr>
      </w:pPr>
      <w:r w:rsidRPr="00BC7828">
        <w:rPr>
          <w:lang w:val="fr-FR"/>
        </w:rPr>
        <w:tab/>
        <w:t xml:space="preserve">Exemples de candidatures soumises par le </w:t>
      </w:r>
      <w:hyperlink r:id="rId8" w:history="1">
        <w:r w:rsidRPr="00BC7828">
          <w:rPr>
            <w:rStyle w:val="Hyperlink"/>
            <w:color w:val="auto"/>
            <w:u w:val="none"/>
            <w:lang w:val="fr-FR"/>
          </w:rPr>
          <w:t>Japon</w:t>
        </w:r>
      </w:hyperlink>
      <w:r w:rsidRPr="00BC7828">
        <w:rPr>
          <w:lang w:val="fr-FR"/>
        </w:rPr>
        <w:t xml:space="preserve"> et la </w:t>
      </w:r>
      <w:hyperlink r:id="rId9" w:history="1">
        <w:r w:rsidRPr="00BC7828">
          <w:rPr>
            <w:rStyle w:val="Hyperlink"/>
            <w:color w:val="auto"/>
            <w:u w:val="none"/>
            <w:lang w:val="fr-FR"/>
          </w:rPr>
          <w:t>République de Corée</w:t>
        </w:r>
      </w:hyperlink>
      <w:r w:rsidRPr="00BC7828">
        <w:rPr>
          <w:lang w:val="fr-FR"/>
        </w:rPr>
        <w:t xml:space="preserve"> à la 8e session du Comité, et par le </w:t>
      </w:r>
      <w:hyperlink r:id="rId10" w:history="1">
        <w:r w:rsidRPr="00BC7828">
          <w:rPr>
            <w:rStyle w:val="Hyperlink"/>
            <w:color w:val="auto"/>
            <w:u w:val="none"/>
            <w:lang w:val="fr-FR"/>
          </w:rPr>
          <w:t>Burundi</w:t>
        </w:r>
      </w:hyperlink>
      <w:r w:rsidRPr="00BC7828">
        <w:rPr>
          <w:lang w:val="fr-FR"/>
        </w:rPr>
        <w:t xml:space="preserve">, le </w:t>
      </w:r>
      <w:hyperlink r:id="rId11" w:history="1">
        <w:r w:rsidRPr="00BC7828">
          <w:rPr>
            <w:rStyle w:val="Hyperlink"/>
            <w:color w:val="auto"/>
            <w:u w:val="none"/>
            <w:lang w:val="fr-FR"/>
          </w:rPr>
          <w:t>Portugal</w:t>
        </w:r>
      </w:hyperlink>
      <w:r w:rsidR="00560424" w:rsidRPr="00BC7828">
        <w:rPr>
          <w:lang w:val="fr-FR"/>
        </w:rPr>
        <w:t xml:space="preserve"> à la 9e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5644306D" w:rsidR="00A61AE2" w:rsidRPr="003B3461" w:rsidRDefault="00A61AE2">
    <w:pPr>
      <w:pStyle w:val="Header"/>
      <w:rPr>
        <w:lang w:val="fr-FR"/>
      </w:rPr>
    </w:pPr>
    <w:r w:rsidRPr="003B3461">
      <w:rPr>
        <w:rStyle w:val="PageNumber"/>
        <w:lang w:val="fr-FR"/>
      </w:rPr>
      <w:fldChar w:fldCharType="begin"/>
    </w:r>
    <w:r w:rsidRPr="003B3461">
      <w:rPr>
        <w:rStyle w:val="PageNumber"/>
        <w:lang w:val="fr-FR"/>
      </w:rPr>
      <w:instrText xml:space="preserve"> PAGE </w:instrText>
    </w:r>
    <w:r w:rsidRPr="003B3461">
      <w:rPr>
        <w:rStyle w:val="PageNumber"/>
        <w:lang w:val="fr-FR"/>
      </w:rPr>
      <w:fldChar w:fldCharType="separate"/>
    </w:r>
    <w:r w:rsidR="00602B45">
      <w:rPr>
        <w:rStyle w:val="PageNumber"/>
        <w:noProof/>
        <w:lang w:val="fr-FR"/>
      </w:rPr>
      <w:t>2</w:t>
    </w:r>
    <w:r w:rsidRPr="003B3461">
      <w:rPr>
        <w:rStyle w:val="PageNumber"/>
        <w:lang w:val="fr-FR"/>
      </w:rPr>
      <w:fldChar w:fldCharType="end"/>
    </w:r>
    <w:r>
      <w:rPr>
        <w:rStyle w:val="PageNumber"/>
        <w:lang w:val="fr-FR"/>
      </w:rPr>
      <w:tab/>
      <w:t>Unité 49 : U</w:t>
    </w:r>
    <w:r w:rsidRPr="003B3461">
      <w:rPr>
        <w:rStyle w:val="PageNumber"/>
        <w:lang w:val="fr-FR"/>
      </w:rPr>
      <w:t>ne approche sensible au genre pour la sauvegarde du PCI</w:t>
    </w:r>
    <w:r w:rsidRPr="003B3461">
      <w:rPr>
        <w:lang w:val="fr-FR"/>
      </w:rPr>
      <w:tab/>
      <w:t>Imprimé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65F6AB01" w:rsidR="00A61AE2" w:rsidRPr="004A4AD6" w:rsidRDefault="00A61AE2" w:rsidP="00D25BBB">
    <w:pPr>
      <w:pStyle w:val="Header"/>
    </w:pPr>
    <w:proofErr w:type="spellStart"/>
    <w:r>
      <w:t>Hand</w:t>
    </w:r>
    <w:proofErr w:type="spellEnd"/>
    <w:r>
      <w:t>-out</w:t>
    </w:r>
    <w:r>
      <w:tab/>
    </w:r>
    <w:r>
      <w:rPr>
        <w:rStyle w:val="PageNumber"/>
      </w:rPr>
      <w:t xml:space="preserve">Unit 6: </w:t>
    </w:r>
    <w:proofErr w:type="spellStart"/>
    <w:r>
      <w:rPr>
        <w:rStyle w:val="PageNumber"/>
      </w:rPr>
      <w:t>Identification</w:t>
    </w:r>
    <w:proofErr w:type="spellEnd"/>
    <w:r>
      <w:rPr>
        <w:rStyle w:val="PageNumber"/>
      </w:rPr>
      <w:t xml:space="preserve"> and </w:t>
    </w:r>
    <w:proofErr w:type="spellStart"/>
    <w:r>
      <w:rPr>
        <w:rStyle w:val="PageNumber"/>
      </w:rPr>
      <w:t>inventorying</w:t>
    </w:r>
    <w:proofErr w:type="spellEnd"/>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661AA1DD" w:rsidR="00A61AE2" w:rsidRPr="002305AA" w:rsidRDefault="00A61AE2">
    <w:pPr>
      <w:pStyle w:val="Header"/>
    </w:pPr>
    <w:r>
      <w:tab/>
      <w:t>Imprimé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98662E2"/>
    <w:multiLevelType w:val="hybridMultilevel"/>
    <w:tmpl w:val="8FECEE90"/>
    <w:lvl w:ilvl="0" w:tplc="040C0017">
      <w:start w:val="1"/>
      <w:numFmt w:val="lowerLetter"/>
      <w:lvlText w:val="%1)"/>
      <w:lvlJc w:val="left"/>
      <w:pPr>
        <w:ind w:left="1854" w:hanging="360"/>
      </w:p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47">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7FE77FC"/>
    <w:multiLevelType w:val="hybridMultilevel"/>
    <w:tmpl w:val="188E83D0"/>
    <w:lvl w:ilvl="0" w:tplc="27043C84">
      <w:start w:val="30"/>
      <w:numFmt w:val="decimal"/>
      <w:pStyle w:val="paragraph1"/>
      <w:lvlText w:val="%1."/>
      <w:lvlJc w:val="left"/>
      <w:pPr>
        <w:ind w:left="720" w:hanging="360"/>
      </w:pPr>
      <w:rPr>
        <w:rFonts w:hint="default"/>
        <w:b w:val="0"/>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2">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3">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4">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6">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7">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9">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3">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13959EA"/>
    <w:multiLevelType w:val="hybridMultilevel"/>
    <w:tmpl w:val="52D89E88"/>
    <w:lvl w:ilvl="0" w:tplc="0809000F">
      <w:start w:val="1"/>
      <w:numFmt w:val="decimal"/>
      <w:lvlText w:val="%1."/>
      <w:lvlJc w:val="left"/>
      <w:pPr>
        <w:ind w:left="360" w:hanging="360"/>
      </w:p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9">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2">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5">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7">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9">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2">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3">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7"/>
  </w:num>
  <w:num w:numId="3">
    <w:abstractNumId w:val="22"/>
  </w:num>
  <w:num w:numId="4">
    <w:abstractNumId w:val="82"/>
  </w:num>
  <w:num w:numId="5">
    <w:abstractNumId w:val="11"/>
  </w:num>
  <w:num w:numId="6">
    <w:abstractNumId w:val="59"/>
  </w:num>
  <w:num w:numId="7">
    <w:abstractNumId w:val="58"/>
  </w:num>
  <w:num w:numId="8">
    <w:abstractNumId w:val="9"/>
  </w:num>
  <w:num w:numId="9">
    <w:abstractNumId w:val="28"/>
  </w:num>
  <w:num w:numId="10">
    <w:abstractNumId w:val="8"/>
  </w:num>
  <w:num w:numId="11">
    <w:abstractNumId w:val="13"/>
  </w:num>
  <w:num w:numId="12">
    <w:abstractNumId w:val="69"/>
  </w:num>
  <w:num w:numId="13">
    <w:abstractNumId w:val="79"/>
  </w:num>
  <w:num w:numId="14">
    <w:abstractNumId w:val="30"/>
  </w:num>
  <w:num w:numId="15">
    <w:abstractNumId w:val="72"/>
  </w:num>
  <w:num w:numId="16">
    <w:abstractNumId w:val="17"/>
  </w:num>
  <w:num w:numId="17">
    <w:abstractNumId w:val="43"/>
  </w:num>
  <w:num w:numId="18">
    <w:abstractNumId w:val="38"/>
  </w:num>
  <w:num w:numId="19">
    <w:abstractNumId w:val="70"/>
  </w:num>
  <w:num w:numId="20">
    <w:abstractNumId w:val="51"/>
  </w:num>
  <w:num w:numId="21">
    <w:abstractNumId w:val="10"/>
  </w:num>
  <w:num w:numId="22">
    <w:abstractNumId w:val="5"/>
  </w:num>
  <w:num w:numId="23">
    <w:abstractNumId w:val="63"/>
  </w:num>
  <w:num w:numId="24">
    <w:abstractNumId w:val="40"/>
  </w:num>
  <w:num w:numId="25">
    <w:abstractNumId w:val="48"/>
  </w:num>
  <w:num w:numId="26">
    <w:abstractNumId w:val="21"/>
  </w:num>
  <w:num w:numId="27">
    <w:abstractNumId w:val="24"/>
  </w:num>
  <w:num w:numId="28">
    <w:abstractNumId w:val="39"/>
  </w:num>
  <w:num w:numId="29">
    <w:abstractNumId w:val="41"/>
  </w:num>
  <w:num w:numId="30">
    <w:abstractNumId w:val="55"/>
  </w:num>
  <w:num w:numId="31">
    <w:abstractNumId w:val="71"/>
  </w:num>
  <w:num w:numId="32">
    <w:abstractNumId w:val="74"/>
  </w:num>
  <w:num w:numId="33">
    <w:abstractNumId w:val="19"/>
  </w:num>
  <w:num w:numId="34">
    <w:abstractNumId w:val="0"/>
  </w:num>
  <w:num w:numId="35">
    <w:abstractNumId w:val="78"/>
  </w:num>
  <w:num w:numId="36">
    <w:abstractNumId w:val="27"/>
  </w:num>
  <w:num w:numId="37">
    <w:abstractNumId w:val="66"/>
  </w:num>
  <w:num w:numId="38">
    <w:abstractNumId w:val="78"/>
  </w:num>
  <w:num w:numId="39">
    <w:abstractNumId w:val="2"/>
  </w:num>
  <w:num w:numId="40">
    <w:abstractNumId w:val="61"/>
  </w:num>
  <w:num w:numId="41">
    <w:abstractNumId w:val="27"/>
    <w:lvlOverride w:ilvl="0">
      <w:startOverride w:val="1"/>
    </w:lvlOverride>
  </w:num>
  <w:num w:numId="42">
    <w:abstractNumId w:val="14"/>
  </w:num>
  <w:num w:numId="43">
    <w:abstractNumId w:val="42"/>
  </w:num>
  <w:num w:numId="44">
    <w:abstractNumId w:val="77"/>
  </w:num>
  <w:num w:numId="45">
    <w:abstractNumId w:val="31"/>
  </w:num>
  <w:num w:numId="46">
    <w:abstractNumId w:val="65"/>
  </w:num>
  <w:num w:numId="47">
    <w:abstractNumId w:val="31"/>
    <w:lvlOverride w:ilvl="0">
      <w:startOverride w:val="1"/>
    </w:lvlOverride>
  </w:num>
  <w:num w:numId="48">
    <w:abstractNumId w:val="41"/>
  </w:num>
  <w:num w:numId="49">
    <w:abstractNumId w:val="75"/>
  </w:num>
  <w:num w:numId="50">
    <w:abstractNumId w:val="31"/>
    <w:lvlOverride w:ilvl="0">
      <w:startOverride w:val="1"/>
    </w:lvlOverride>
  </w:num>
  <w:num w:numId="51">
    <w:abstractNumId w:val="25"/>
  </w:num>
  <w:num w:numId="52">
    <w:abstractNumId w:val="31"/>
    <w:lvlOverride w:ilvl="0">
      <w:startOverride w:val="1"/>
    </w:lvlOverride>
  </w:num>
  <w:num w:numId="53">
    <w:abstractNumId w:val="78"/>
  </w:num>
  <w:num w:numId="54">
    <w:abstractNumId w:val="78"/>
  </w:num>
  <w:num w:numId="55">
    <w:abstractNumId w:val="78"/>
  </w:num>
  <w:num w:numId="56">
    <w:abstractNumId w:val="78"/>
  </w:num>
  <w:num w:numId="57">
    <w:abstractNumId w:val="78"/>
  </w:num>
  <w:num w:numId="58">
    <w:abstractNumId w:val="83"/>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60"/>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9"/>
  </w:num>
  <w:num w:numId="93">
    <w:abstractNumId w:val="57"/>
  </w:num>
  <w:num w:numId="94">
    <w:abstractNumId w:val="54"/>
  </w:num>
  <w:num w:numId="95">
    <w:abstractNumId w:val="44"/>
    <w:lvlOverride w:ilvl="0">
      <w:startOverride w:val="2"/>
    </w:lvlOverride>
  </w:num>
  <w:num w:numId="96">
    <w:abstractNumId w:val="52"/>
  </w:num>
  <w:num w:numId="97">
    <w:abstractNumId w:val="67"/>
  </w:num>
  <w:num w:numId="98">
    <w:abstractNumId w:val="64"/>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6"/>
  </w:num>
  <w:num w:numId="113">
    <w:abstractNumId w:val="81"/>
  </w:num>
  <w:num w:numId="114">
    <w:abstractNumId w:val="73"/>
  </w:num>
  <w:num w:numId="115">
    <w:abstractNumId w:val="34"/>
    <w:lvlOverride w:ilvl="0">
      <w:startOverride w:val="1"/>
    </w:lvlOverride>
  </w:num>
  <w:num w:numId="116">
    <w:abstractNumId w:val="53"/>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80"/>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2"/>
  </w:num>
  <w:num w:numId="141">
    <w:abstractNumId w:val="34"/>
    <w:lvlOverride w:ilvl="0">
      <w:startOverride w:val="1"/>
    </w:lvlOverride>
  </w:num>
  <w:num w:numId="142">
    <w:abstractNumId w:val="64"/>
  </w:num>
  <w:num w:numId="143">
    <w:abstractNumId w:val="39"/>
  </w:num>
  <w:num w:numId="144">
    <w:abstractNumId w:val="23"/>
  </w:num>
  <w:num w:numId="145">
    <w:abstractNumId w:val="15"/>
  </w:num>
  <w:num w:numId="146">
    <w:abstractNumId w:val="34"/>
  </w:num>
  <w:num w:numId="147">
    <w:abstractNumId w:val="56"/>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68"/>
  </w:num>
  <w:num w:numId="160">
    <w:abstractNumId w:val="46"/>
  </w:num>
  <w:num w:numId="161">
    <w:abstractNumId w:val="50"/>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00A"/>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4E13"/>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9EE"/>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461"/>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604"/>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424"/>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95C"/>
    <w:rsid w:val="005C6BD6"/>
    <w:rsid w:val="005C6D1C"/>
    <w:rsid w:val="005C7128"/>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5FFD"/>
    <w:rsid w:val="005F61A8"/>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2B45"/>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277"/>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6E8"/>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82"/>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1AE2"/>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335"/>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37C3C"/>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828"/>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1436"/>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15"/>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284"/>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AF2"/>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 w:type="paragraph" w:styleId="ListParagraph">
    <w:name w:val="List Paragraph"/>
    <w:basedOn w:val="Normal"/>
    <w:uiPriority w:val="34"/>
    <w:qFormat/>
    <w:rsid w:val="003329EE"/>
    <w:pPr>
      <w:tabs>
        <w:tab w:val="clear" w:pos="567"/>
      </w:tabs>
      <w:snapToGrid/>
      <w:spacing w:before="0" w:after="200" w:line="276" w:lineRule="auto"/>
      <w:ind w:left="720"/>
      <w:contextualSpacing/>
      <w:jc w:val="left"/>
    </w:pPr>
    <w:rPr>
      <w:rFonts w:asciiTheme="minorHAnsi" w:eastAsiaTheme="minorEastAsia" w:hAnsiTheme="minorHAnsi" w:cstheme="minorBidi"/>
      <w:snapToGrid/>
      <w:szCs w:val="22"/>
      <w:lang w:val="fr-FR" w:eastAsia="fr-FR"/>
    </w:rPr>
  </w:style>
  <w:style w:type="character" w:customStyle="1" w:styleId="MargeChar">
    <w:name w:val="Marge Char"/>
    <w:rsid w:val="003329EE"/>
    <w:rPr>
      <w:rFonts w:ascii="Arial" w:eastAsia="Times New Roman" w:hAnsi="Arial" w:cs="Times New Roman"/>
      <w:snapToGrid w:val="0"/>
      <w:szCs w:val="24"/>
      <w:lang w:val="fr-FR"/>
    </w:rPr>
  </w:style>
  <w:style w:type="paragraph" w:customStyle="1" w:styleId="paragraph1">
    <w:name w:val="paragraph 1"/>
    <w:basedOn w:val="Normal"/>
    <w:link w:val="paragraph1Char"/>
    <w:qFormat/>
    <w:rsid w:val="005F5FFD"/>
    <w:pPr>
      <w:numPr>
        <w:numId w:val="161"/>
      </w:numPr>
      <w:tabs>
        <w:tab w:val="clear" w:pos="567"/>
      </w:tabs>
      <w:spacing w:before="0" w:after="60" w:line="280" w:lineRule="exact"/>
    </w:pPr>
    <w:rPr>
      <w:snapToGrid/>
      <w:sz w:val="20"/>
      <w:szCs w:val="22"/>
      <w:lang w:val="fr-FR"/>
    </w:rPr>
  </w:style>
  <w:style w:type="character" w:customStyle="1" w:styleId="paragraph1Char">
    <w:name w:val="paragraph 1 Char"/>
    <w:link w:val="paragraph1"/>
    <w:rsid w:val="005F5FFD"/>
    <w:rPr>
      <w:rFonts w:ascii="Arial" w:eastAsia="SimSun" w:hAnsi="Arial" w:cs="Arial"/>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 w:type="paragraph" w:styleId="ListParagraph">
    <w:name w:val="List Paragraph"/>
    <w:basedOn w:val="Normal"/>
    <w:uiPriority w:val="34"/>
    <w:qFormat/>
    <w:rsid w:val="003329EE"/>
    <w:pPr>
      <w:tabs>
        <w:tab w:val="clear" w:pos="567"/>
      </w:tabs>
      <w:snapToGrid/>
      <w:spacing w:before="0" w:after="200" w:line="276" w:lineRule="auto"/>
      <w:ind w:left="720"/>
      <w:contextualSpacing/>
      <w:jc w:val="left"/>
    </w:pPr>
    <w:rPr>
      <w:rFonts w:asciiTheme="minorHAnsi" w:eastAsiaTheme="minorEastAsia" w:hAnsiTheme="minorHAnsi" w:cstheme="minorBidi"/>
      <w:snapToGrid/>
      <w:szCs w:val="22"/>
      <w:lang w:val="fr-FR" w:eastAsia="fr-FR"/>
    </w:rPr>
  </w:style>
  <w:style w:type="character" w:customStyle="1" w:styleId="MargeChar">
    <w:name w:val="Marge Char"/>
    <w:rsid w:val="003329EE"/>
    <w:rPr>
      <w:rFonts w:ascii="Arial" w:eastAsia="Times New Roman" w:hAnsi="Arial" w:cs="Times New Roman"/>
      <w:snapToGrid w:val="0"/>
      <w:szCs w:val="24"/>
      <w:lang w:val="fr-FR"/>
    </w:rPr>
  </w:style>
  <w:style w:type="paragraph" w:customStyle="1" w:styleId="paragraph1">
    <w:name w:val="paragraph 1"/>
    <w:basedOn w:val="Normal"/>
    <w:link w:val="paragraph1Char"/>
    <w:qFormat/>
    <w:rsid w:val="005F5FFD"/>
    <w:pPr>
      <w:numPr>
        <w:numId w:val="161"/>
      </w:numPr>
      <w:tabs>
        <w:tab w:val="clear" w:pos="567"/>
      </w:tabs>
      <w:spacing w:before="0" w:after="60" w:line="280" w:lineRule="exact"/>
    </w:pPr>
    <w:rPr>
      <w:snapToGrid/>
      <w:sz w:val="20"/>
      <w:szCs w:val="22"/>
      <w:lang w:val="fr-FR"/>
    </w:rPr>
  </w:style>
  <w:style w:type="character" w:customStyle="1" w:styleId="paragraph1Char">
    <w:name w:val="paragraph 1 Char"/>
    <w:link w:val="paragraph1"/>
    <w:rsid w:val="005F5FFD"/>
    <w:rPr>
      <w:rFonts w:ascii="Arial" w:eastAsia="SimSun" w:hAnsi="Arial" w:cs="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unesco.org/culture/ich/index.php?lg=fr&amp;pg=00011&amp;RL=00869" TargetMode="External"/><Relationship Id="rId3" Type="http://schemas.openxmlformats.org/officeDocument/2006/relationships/hyperlink" Target="http://www.unesco.org/culture/ich/doc/download.php?versionID=26288" TargetMode="External"/><Relationship Id="rId7" Type="http://schemas.openxmlformats.org/officeDocument/2006/relationships/hyperlink" Target="http://www.unesco.org/culture/ich/doc/src/ICH-02-2016_aide-m%C3%A9moire-FR.docx" TargetMode="External"/><Relationship Id="rId2" Type="http://schemas.openxmlformats.org/officeDocument/2006/relationships/hyperlink" Target="http://www.unesco.org/culture/ich/doc/download.php?versionID=18815" TargetMode="External"/><Relationship Id="rId1" Type="http://schemas.openxmlformats.org/officeDocument/2006/relationships/hyperlink" Target="http://www.unesco.org/culture/ich/index.php?lg=fr&amp;pg=00460" TargetMode="External"/><Relationship Id="rId6" Type="http://schemas.openxmlformats.org/officeDocument/2006/relationships/hyperlink" Target="http://www.unesco.org/culture/ich/doc/src/ICH-01-2016_aide-m%C3%A9moire-FR.doc" TargetMode="External"/><Relationship Id="rId11" Type="http://schemas.openxmlformats.org/officeDocument/2006/relationships/hyperlink" Target="http://www.unesco.org/culture/ich/index.php?lg=fr&amp;pg=00011&amp;RL=01007" TargetMode="External"/><Relationship Id="rId5" Type="http://schemas.openxmlformats.org/officeDocument/2006/relationships/hyperlink" Target="http://www.unesco.org/culture/ich/doc/download.php?versionID=33102" TargetMode="External"/><Relationship Id="rId10" Type="http://schemas.openxmlformats.org/officeDocument/2006/relationships/hyperlink" Target="http://www.unesco.org/culture/ich/index.php?lg=fr&amp;pg=00011&amp;RL=00989" TargetMode="External"/><Relationship Id="rId4" Type="http://schemas.openxmlformats.org/officeDocument/2006/relationships/hyperlink" Target="http://www.unesco.org/culture/ich/doc/download.php?versionID=33232" TargetMode="External"/><Relationship Id="rId9" Type="http://schemas.openxmlformats.org/officeDocument/2006/relationships/hyperlink" Target="http://www.unesco.org/culture/ich/index.php?lg=fr&amp;pg=00011&amp;RL+0088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D2897-7090-4FF3-8597-CD16D485AC85}">
  <ds:schemaRefs>
    <ds:schemaRef ds:uri="http://schemas.openxmlformats.org/officeDocument/2006/bibliography"/>
  </ds:schemaRefs>
</ds:datastoreItem>
</file>

<file path=customXml/itemProps2.xml><?xml version="1.0" encoding="utf-8"?>
<ds:datastoreItem xmlns:ds="http://schemas.openxmlformats.org/officeDocument/2006/customXml" ds:itemID="{6F6A0EF4-F333-4812-AA91-1F4C314F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2336</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2014-07-23T14:14:00Z</dcterms:created>
  <dcterms:modified xsi:type="dcterms:W3CDTF">2018-02-22T13:00:00Z</dcterms:modified>
</cp:coreProperties>
</file>