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8D02" w14:textId="5651F49E" w:rsidR="009F28BC" w:rsidRPr="00821A21" w:rsidRDefault="009F28BC" w:rsidP="009F28BC">
      <w:pPr>
        <w:pStyle w:val="Chapitre"/>
        <w:rPr>
          <w:noProof w:val="0"/>
          <w:lang w:val="fr-FR"/>
        </w:rPr>
      </w:pPr>
      <w:bookmarkStart w:id="0" w:name="_Toc241229778"/>
      <w:bookmarkStart w:id="1" w:name="_Toc241229982"/>
      <w:bookmarkStart w:id="2" w:name="_Toc242165676"/>
      <w:bookmarkStart w:id="3" w:name="_GoBack"/>
      <w:bookmarkEnd w:id="3"/>
      <w:r w:rsidRPr="00821A21">
        <w:rPr>
          <w:noProof w:val="0"/>
          <w:lang w:val="fr-FR"/>
        </w:rPr>
        <w:t>Unit</w:t>
      </w:r>
      <w:r w:rsidR="00821A21" w:rsidRPr="00821A21">
        <w:rPr>
          <w:noProof w:val="0"/>
          <w:lang w:val="fr-FR"/>
        </w:rPr>
        <w:t>é</w:t>
      </w:r>
      <w:r w:rsidRPr="00821A21">
        <w:rPr>
          <w:noProof w:val="0"/>
          <w:lang w:val="fr-FR"/>
        </w:rPr>
        <w:t xml:space="preserve"> </w:t>
      </w:r>
      <w:r w:rsidR="000C100A" w:rsidRPr="00821A21">
        <w:rPr>
          <w:noProof w:val="0"/>
          <w:lang w:val="fr-FR"/>
        </w:rPr>
        <w:t>48</w:t>
      </w:r>
    </w:p>
    <w:p w14:paraId="46C994E5" w14:textId="2C90E284" w:rsidR="006C700E" w:rsidRPr="00821A21" w:rsidRDefault="00821A21" w:rsidP="006C700E">
      <w:pPr>
        <w:pStyle w:val="HO1"/>
        <w:rPr>
          <w:noProof w:val="0"/>
          <w:lang w:val="fr-FR"/>
        </w:rPr>
      </w:pPr>
      <w:r w:rsidRPr="00821A21">
        <w:rPr>
          <w:noProof w:val="0"/>
          <w:lang w:val="fr-FR"/>
        </w:rPr>
        <w:t>Imprimé 1</w:t>
      </w:r>
      <w:r>
        <w:rPr>
          <w:noProof w:val="0"/>
          <w:lang w:val="fr-FR"/>
        </w:rPr>
        <w:t xml:space="preserve"> </w:t>
      </w:r>
      <w:r w:rsidRPr="00821A21">
        <w:rPr>
          <w:noProof w:val="0"/>
          <w:lang w:val="fr-FR"/>
        </w:rPr>
        <w:t>:</w:t>
      </w:r>
    </w:p>
    <w:bookmarkEnd w:id="0"/>
    <w:bookmarkEnd w:id="1"/>
    <w:bookmarkEnd w:id="2"/>
    <w:p w14:paraId="0A32421E" w14:textId="0CAEE4EC" w:rsidR="0031587B" w:rsidRPr="00821A21" w:rsidRDefault="00821A21" w:rsidP="00C73E9C">
      <w:pPr>
        <w:pStyle w:val="HO2"/>
        <w:rPr>
          <w:noProof w:val="0"/>
          <w:lang w:val="fr-FR"/>
        </w:rPr>
      </w:pPr>
      <w:r w:rsidRPr="00821A21">
        <w:rPr>
          <w:noProof w:val="0"/>
          <w:lang w:val="fr-FR"/>
        </w:rPr>
        <w:t>discri</w:t>
      </w:r>
      <w:r>
        <w:rPr>
          <w:noProof w:val="0"/>
          <w:lang w:val="fr-FR"/>
        </w:rPr>
        <w:t>mi</w:t>
      </w:r>
      <w:r w:rsidRPr="00821A21">
        <w:rPr>
          <w:noProof w:val="0"/>
          <w:lang w:val="fr-FR"/>
        </w:rPr>
        <w:t>nation liée au genre et pci</w:t>
      </w:r>
    </w:p>
    <w:p w14:paraId="230C4760" w14:textId="68FA5B7D" w:rsidR="000C100A" w:rsidRPr="00821A21" w:rsidRDefault="00821A21" w:rsidP="000C100A">
      <w:pPr>
        <w:pStyle w:val="Texte1"/>
        <w:rPr>
          <w:b/>
          <w:bCs/>
          <w:i/>
          <w:iCs/>
        </w:rPr>
      </w:pPr>
      <w:r>
        <w:rPr>
          <w:b/>
          <w:bCs/>
          <w:i/>
          <w:iCs/>
        </w:rPr>
        <w:t xml:space="preserve">L’Article 2(1) de la </w:t>
      </w:r>
      <w:r w:rsidRPr="00821A21">
        <w:rPr>
          <w:b/>
          <w:bCs/>
          <w:i/>
          <w:iCs/>
        </w:rPr>
        <w:t>Convention </w:t>
      </w:r>
      <w:r>
        <w:rPr>
          <w:b/>
          <w:bCs/>
          <w:i/>
          <w:iCs/>
        </w:rPr>
        <w:t>définit le « patrimoine culturel immatériel » ainsi :</w:t>
      </w:r>
    </w:p>
    <w:p w14:paraId="291AFAC1" w14:textId="2A36843B" w:rsidR="000C100A" w:rsidRPr="00821A21" w:rsidRDefault="000C100A" w:rsidP="003F7808">
      <w:pPr>
        <w:pStyle w:val="Texte1"/>
        <w:spacing w:line="276" w:lineRule="auto"/>
        <w:rPr>
          <w:szCs w:val="20"/>
        </w:rPr>
      </w:pPr>
      <w:r w:rsidRPr="00821A21">
        <w:rPr>
          <w:szCs w:val="20"/>
        </w:rPr>
        <w:t>…</w:t>
      </w:r>
      <w:r w:rsidR="00821A21" w:rsidRPr="00821A21">
        <w:rPr>
          <w:rFonts w:eastAsia="Calibri"/>
          <w:szCs w:val="20"/>
          <w:lang w:eastAsia="fr-FR"/>
        </w:rPr>
        <w:t>les pratiques, représentations, expressions, connaissances et savoir-faire - ainsi que les instruments, objets, artefacts et espaces culturels qui leur sont associés - que les communautés, les groupes et, le cas échéant, les individus reconnaissent comme faisant partie de leur patrimoine culturel. Ce patrimoine culturel immatériel, transmis de génération en génération, est recréé en permanence par les communautés et groupes en fonction de leur milieu, de leur interaction avec la nature et de leur histoire, et leur procure un sentiment d’identité et de continuité, contribuant ainsi à promouvoir le respect de la diversité culturelle et la créativité humaine. Aux fins de la présente Convention, seul sera pris en considération le patrimoine culturel immatériel conforme aux instruments internationaux existants relatifs aux droits de l’homme, ainsi qu’à l’exigence du respect mutuel entre communautés, groupes et individus, et d’un développement durable.</w:t>
      </w:r>
    </w:p>
    <w:p w14:paraId="0B127F87" w14:textId="274CF4BA" w:rsidR="000C100A" w:rsidRPr="00821A21" w:rsidRDefault="00821A21" w:rsidP="000C100A">
      <w:pPr>
        <w:pStyle w:val="Texte1"/>
        <w:spacing w:before="360"/>
        <w:rPr>
          <w:b/>
          <w:bCs/>
          <w:i/>
          <w:iCs/>
        </w:rPr>
      </w:pPr>
      <w:r>
        <w:rPr>
          <w:b/>
          <w:bCs/>
          <w:i/>
          <w:iCs/>
        </w:rPr>
        <w:t xml:space="preserve">Dans son Article 4, la Déclaration universelle de l’UNESCO sur la diversité culturelle stipule que </w:t>
      </w:r>
      <w:r w:rsidR="000C100A" w:rsidRPr="00821A21">
        <w:rPr>
          <w:b/>
          <w:bCs/>
          <w:i/>
          <w:iCs/>
        </w:rPr>
        <w:t>:</w:t>
      </w:r>
    </w:p>
    <w:p w14:paraId="76FE2718" w14:textId="578FEC3C" w:rsidR="000C100A" w:rsidRPr="00821A21" w:rsidRDefault="00821A21" w:rsidP="003F7808">
      <w:pPr>
        <w:pStyle w:val="Texte1"/>
        <w:spacing w:line="276" w:lineRule="auto"/>
      </w:pPr>
      <w:r w:rsidRPr="00821A21">
        <w:rPr>
          <w:rFonts w:eastAsia="Calibri"/>
          <w:szCs w:val="20"/>
          <w:lang w:eastAsia="fr-FR"/>
        </w:rPr>
        <w:t>La défense de la diversité culturelle est un impératif éthique, inséparable du respect de la dignité de la personne humaine. Elle implique l'engagement de respecter les droits de l'homme et les libertés fondamentales, en particulier les droits des personnes appartenant à des minorités et ceux des peuples autochtones. Nul ne peut invoquer la diversité culturelle pour porter atteinte aux droits de l'homme garantis par le droit international, ni pour en limiter la portée.</w:t>
      </w:r>
    </w:p>
    <w:p w14:paraId="0F2EB144" w14:textId="2AB9A684" w:rsidR="000C100A" w:rsidRPr="00821A21" w:rsidRDefault="00821A21" w:rsidP="000C100A">
      <w:pPr>
        <w:pStyle w:val="Texte1"/>
        <w:spacing w:before="360"/>
        <w:rPr>
          <w:b/>
          <w:bCs/>
          <w:i/>
          <w:iCs/>
        </w:rPr>
      </w:pPr>
      <w:r>
        <w:rPr>
          <w:b/>
          <w:bCs/>
          <w:i/>
          <w:iCs/>
        </w:rPr>
        <w:t xml:space="preserve">L’Article 5 de la </w:t>
      </w:r>
      <w:r w:rsidRPr="00821A21">
        <w:rPr>
          <w:b/>
          <w:bCs/>
          <w:i/>
          <w:iCs/>
        </w:rPr>
        <w:t>Convention </w:t>
      </w:r>
      <w:r>
        <w:rPr>
          <w:b/>
          <w:bCs/>
          <w:i/>
          <w:iCs/>
        </w:rPr>
        <w:t>sur</w:t>
      </w:r>
      <w:r w:rsidR="003F7808">
        <w:rPr>
          <w:b/>
          <w:bCs/>
          <w:i/>
          <w:iCs/>
        </w:rPr>
        <w:t xml:space="preserve"> l’élimination de toutes les formes de discrimination à l’égard des femmes (1979) stipule que :</w:t>
      </w:r>
    </w:p>
    <w:p w14:paraId="0EEFDD5F" w14:textId="77FBDF95" w:rsidR="000C100A" w:rsidRPr="00681AB3" w:rsidRDefault="003F7808" w:rsidP="00681AB3">
      <w:pPr>
        <w:widowControl w:val="0"/>
        <w:tabs>
          <w:tab w:val="clear" w:pos="567"/>
        </w:tabs>
        <w:autoSpaceDE w:val="0"/>
        <w:autoSpaceDN w:val="0"/>
        <w:adjustRightInd w:val="0"/>
        <w:snapToGrid/>
        <w:spacing w:before="0" w:line="276" w:lineRule="auto"/>
        <w:ind w:left="851"/>
        <w:rPr>
          <w:rFonts w:eastAsia="Calibri"/>
          <w:snapToGrid/>
          <w:sz w:val="20"/>
          <w:szCs w:val="20"/>
          <w:lang w:val="fr-FR" w:eastAsia="fr-FR"/>
        </w:rPr>
      </w:pPr>
      <w:r>
        <w:rPr>
          <w:rFonts w:eastAsia="Calibri"/>
          <w:snapToGrid/>
          <w:sz w:val="20"/>
          <w:szCs w:val="20"/>
          <w:lang w:val="fr-FR" w:eastAsia="fr-FR"/>
        </w:rPr>
        <w:t>[Les États parties]</w:t>
      </w:r>
      <w:r w:rsidRPr="003F7808">
        <w:rPr>
          <w:rFonts w:eastAsia="Calibri"/>
          <w:snapToGrid/>
          <w:sz w:val="20"/>
          <w:szCs w:val="20"/>
          <w:lang w:val="fr-FR" w:eastAsia="fr-FR"/>
        </w:rPr>
        <w:t xml:space="preserve"> prennent toutes les mesures appropriées pour </w:t>
      </w:r>
      <w:r>
        <w:rPr>
          <w:rFonts w:eastAsia="Calibri"/>
          <w:snapToGrid/>
          <w:sz w:val="20"/>
          <w:szCs w:val="20"/>
          <w:lang w:val="fr-FR" w:eastAsia="fr-FR"/>
        </w:rPr>
        <w:t>m</w:t>
      </w:r>
      <w:r w:rsidRPr="003F7808">
        <w:rPr>
          <w:rFonts w:eastAsia="Calibri"/>
          <w:snapToGrid/>
          <w:sz w:val="20"/>
          <w:szCs w:val="20"/>
          <w:lang w:val="fr-FR" w:eastAsia="fr-FR"/>
        </w:rPr>
        <w:t>odifier les schémas et modè</w:t>
      </w:r>
      <w:r>
        <w:rPr>
          <w:rFonts w:eastAsia="Calibri"/>
          <w:snapToGrid/>
          <w:sz w:val="20"/>
          <w:szCs w:val="20"/>
          <w:lang w:val="fr-FR" w:eastAsia="fr-FR"/>
        </w:rPr>
        <w:t>les de comportement socioculture</w:t>
      </w:r>
      <w:r w:rsidRPr="003F7808">
        <w:rPr>
          <w:rFonts w:eastAsia="Calibri"/>
          <w:snapToGrid/>
          <w:sz w:val="20"/>
          <w:szCs w:val="20"/>
          <w:lang w:val="fr-FR" w:eastAsia="fr-FR"/>
        </w:rPr>
        <w:t>l de l’homme et de la femme en vue de parvenir à l’élimination des préjugés et des pratiques coutumières, ou de tout autre type, qui sont fondés sur l’idée de l’infériorité ou de la supériorité de l’un ou l’autre sexe ou d'un rôle stér</w:t>
      </w:r>
      <w:r>
        <w:rPr>
          <w:rFonts w:eastAsia="Calibri"/>
          <w:snapToGrid/>
          <w:sz w:val="20"/>
          <w:szCs w:val="20"/>
          <w:lang w:val="fr-FR" w:eastAsia="fr-FR"/>
        </w:rPr>
        <w:t>éotypé des hommes et des femmes.</w:t>
      </w:r>
    </w:p>
    <w:sectPr w:rsidR="000C100A" w:rsidRPr="00681AB3"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821A21" w:rsidRDefault="00821A21" w:rsidP="000A699C">
      <w:pPr>
        <w:spacing w:before="0" w:after="0"/>
      </w:pPr>
      <w:r>
        <w:separator/>
      </w:r>
    </w:p>
  </w:endnote>
  <w:endnote w:type="continuationSeparator" w:id="0">
    <w:p w14:paraId="6B6A2CAD" w14:textId="77777777" w:rsidR="00821A21" w:rsidRDefault="00821A21"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430B2F50" w:rsidR="00821A21" w:rsidRDefault="00821A21" w:rsidP="004936EF">
    <w:pPr>
      <w:pStyle w:val="Footer"/>
    </w:pPr>
    <w:r w:rsidRPr="002A3923">
      <w:rPr>
        <w:noProof/>
        <w:lang w:val="fr-FR" w:eastAsia="fr-FR"/>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t>U006-v1.</w:t>
    </w:r>
    <w:proofErr w:type="gramStart"/>
    <w:r>
      <w:t>0-HO-EN</w:t>
    </w:r>
    <w:proofErr w:type="gramEnd"/>
    <w:r w:rsidDel="00F22FFD">
      <w:rPr>
        <w:rStyle w:val="PageNumber"/>
      </w:rPr>
      <w:t xml:space="preserve"> </w:t>
    </w:r>
  </w:p>
  <w:p w14:paraId="43055D74" w14:textId="77777777" w:rsidR="00821A21" w:rsidRDefault="00821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1F22F225" w:rsidR="00821A21" w:rsidRPr="007D60D5" w:rsidRDefault="00821A21">
    <w:pPr>
      <w:pStyle w:val="Footer"/>
    </w:pPr>
    <w:r>
      <w:t>U006-v1.</w:t>
    </w:r>
    <w:proofErr w:type="gramStart"/>
    <w:r>
      <w:t>0-HO-EN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E157" w14:textId="5793038E" w:rsidR="00821A21" w:rsidRPr="005C4762" w:rsidRDefault="000A1E89" w:rsidP="00681AB3">
    <w:pPr>
      <w:pStyle w:val="Footer"/>
      <w:rPr>
        <w:lang w:val="fr-FR"/>
      </w:rPr>
    </w:pPr>
    <w:r>
      <w:rPr>
        <w:noProof/>
        <w:lang w:eastAsia="fr-FR"/>
      </w:rPr>
      <w:drawing>
        <wp:anchor distT="0" distB="0" distL="114300" distR="114300" simplePos="0" relativeHeight="251777024" behindDoc="0" locked="0" layoutInCell="1" allowOverlap="1" wp14:anchorId="3DFC3F8B" wp14:editId="6F5840FD">
          <wp:simplePos x="0" y="0"/>
          <wp:positionH relativeFrom="column">
            <wp:posOffset>2517140</wp:posOffset>
          </wp:positionH>
          <wp:positionV relativeFrom="paragraph">
            <wp:posOffset>-59690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C4762">
      <w:rPr>
        <w:noProof/>
        <w:lang w:val="fr-FR" w:eastAsia="fr-FR"/>
      </w:rPr>
      <w:drawing>
        <wp:anchor distT="0" distB="0" distL="114300" distR="114300" simplePos="0" relativeHeight="251774976" behindDoc="0" locked="0" layoutInCell="1" allowOverlap="1" wp14:anchorId="4C3E3190" wp14:editId="42ABE593">
          <wp:simplePos x="0" y="0"/>
          <wp:positionH relativeFrom="margin">
            <wp:align>right</wp:align>
          </wp:positionH>
          <wp:positionV relativeFrom="paragraph">
            <wp:posOffset>-306070</wp:posOffset>
          </wp:positionV>
          <wp:extent cx="736600" cy="520065"/>
          <wp:effectExtent l="0" t="0" r="6350" b="0"/>
          <wp:wrapNone/>
          <wp:docPr id="85" name="Picture 45"/>
          <wp:cNvGraphicFramePr/>
          <a:graphic xmlns:a="http://schemas.openxmlformats.org/drawingml/2006/main">
            <a:graphicData uri="http://schemas.openxmlformats.org/drawingml/2006/picture">
              <pic:pic xmlns:pic="http://schemas.openxmlformats.org/drawingml/2006/picture">
                <pic:nvPicPr>
                  <pic:cNvPr id="85" name="Picture 4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60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A21" w:rsidRPr="003F7808">
      <w:rPr>
        <w:lang w:val="fr-FR"/>
      </w:rPr>
      <w:t>U048-v1.0-HO1-FR</w:t>
    </w:r>
    <w:r w:rsidR="00821A21" w:rsidRPr="003F7808">
      <w:rPr>
        <w:lang w:val="fr-FR"/>
      </w:rPr>
      <w:tab/>
    </w:r>
    <w:r w:rsidR="00821A21" w:rsidRPr="003F7808">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821A21" w:rsidRDefault="00821A21" w:rsidP="000A699C">
      <w:pPr>
        <w:spacing w:before="0" w:after="0"/>
      </w:pPr>
      <w:r>
        <w:separator/>
      </w:r>
    </w:p>
  </w:footnote>
  <w:footnote w:type="continuationSeparator" w:id="0">
    <w:p w14:paraId="47B8F248" w14:textId="77777777" w:rsidR="00821A21" w:rsidRDefault="00821A21"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6A5A327A" w:rsidR="00821A21" w:rsidRDefault="00821A21">
    <w:pPr>
      <w:pStyle w:val="Header"/>
    </w:pPr>
    <w:r>
      <w:rPr>
        <w:rStyle w:val="PageNumber"/>
      </w:rPr>
      <w:fldChar w:fldCharType="begin"/>
    </w:r>
    <w:r>
      <w:rPr>
        <w:rStyle w:val="PageNumber"/>
      </w:rPr>
      <w:instrText xml:space="preserve"> PAGE </w:instrText>
    </w:r>
    <w:r>
      <w:rPr>
        <w:rStyle w:val="PageNumber"/>
      </w:rPr>
      <w:fldChar w:fldCharType="separate"/>
    </w:r>
    <w:r w:rsidR="003F7808">
      <w:rPr>
        <w:rStyle w:val="PageNumber"/>
        <w:noProof/>
      </w:rPr>
      <w:t>2</w:t>
    </w:r>
    <w:r>
      <w:rPr>
        <w:rStyle w:val="PageNumber"/>
      </w:rPr>
      <w:fldChar w:fldCharType="end"/>
    </w:r>
    <w:r>
      <w:rPr>
        <w:rStyle w:val="PageNumber"/>
      </w:rPr>
      <w:tab/>
      <w:t xml:space="preserve">Unit 6: </w:t>
    </w:r>
    <w:proofErr w:type="spellStart"/>
    <w:r>
      <w:rPr>
        <w:rStyle w:val="PageNumber"/>
      </w:rPr>
      <w:t>Identification</w:t>
    </w:r>
    <w:proofErr w:type="spellEnd"/>
    <w:r>
      <w:rPr>
        <w:rStyle w:val="PageNumber"/>
      </w:rPr>
      <w:t xml:space="preserve"> and </w:t>
    </w:r>
    <w:proofErr w:type="spellStart"/>
    <w:r>
      <w:rPr>
        <w:rStyle w:val="PageNumber"/>
      </w:rPr>
      <w:t>inventorying</w:t>
    </w:r>
    <w:proofErr w:type="spellEnd"/>
    <w:r>
      <w:tab/>
    </w:r>
    <w:proofErr w:type="spellStart"/>
    <w:r>
      <w:t>Hand</w:t>
    </w:r>
    <w:proofErr w:type="spellEnd"/>
    <w:r>
      <w:t>-out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65F6AB01" w:rsidR="00821A21" w:rsidRPr="004A4AD6" w:rsidRDefault="00821A21" w:rsidP="00D25BBB">
    <w:pPr>
      <w:pStyle w:val="Header"/>
    </w:pPr>
    <w:proofErr w:type="spellStart"/>
    <w:r>
      <w:t>Hand</w:t>
    </w:r>
    <w:proofErr w:type="spellEnd"/>
    <w:r>
      <w:t>-out</w:t>
    </w:r>
    <w:r>
      <w:tab/>
    </w:r>
    <w:r>
      <w:rPr>
        <w:rStyle w:val="PageNumber"/>
      </w:rPr>
      <w:t xml:space="preserve">Unit 6: </w:t>
    </w:r>
    <w:proofErr w:type="spellStart"/>
    <w:r>
      <w:rPr>
        <w:rStyle w:val="PageNumber"/>
      </w:rPr>
      <w:t>Identification</w:t>
    </w:r>
    <w:proofErr w:type="spellEnd"/>
    <w:r>
      <w:rPr>
        <w:rStyle w:val="PageNumber"/>
      </w:rPr>
      <w:t xml:space="preserve"> and </w:t>
    </w:r>
    <w:proofErr w:type="spellStart"/>
    <w:r>
      <w:rPr>
        <w:rStyle w:val="PageNumber"/>
      </w:rPr>
      <w:t>inventorying</w:t>
    </w:r>
    <w:proofErr w:type="spellEnd"/>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7605C48B" w:rsidR="00821A21" w:rsidRPr="002305AA" w:rsidRDefault="00821A21">
    <w:pPr>
      <w:pStyle w:val="Header"/>
    </w:pPr>
    <w:r>
      <w:tab/>
      <w:t>Imprimé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1E89"/>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0A"/>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722"/>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A95"/>
    <w:rsid w:val="003F4C68"/>
    <w:rsid w:val="003F4D25"/>
    <w:rsid w:val="003F4FF1"/>
    <w:rsid w:val="003F5327"/>
    <w:rsid w:val="003F542C"/>
    <w:rsid w:val="003F54AE"/>
    <w:rsid w:val="003F54E4"/>
    <w:rsid w:val="003F58CC"/>
    <w:rsid w:val="003F5943"/>
    <w:rsid w:val="003F5D5F"/>
    <w:rsid w:val="003F630B"/>
    <w:rsid w:val="003F6FFB"/>
    <w:rsid w:val="003F7808"/>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762"/>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AB3"/>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A21"/>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701"/>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0929-290A-44E2-8BF9-10A87B0AC2CE}">
  <ds:schemaRefs>
    <ds:schemaRef ds:uri="http://schemas.openxmlformats.org/officeDocument/2006/bibliography"/>
  </ds:schemaRefs>
</ds:datastoreItem>
</file>

<file path=customXml/itemProps2.xml><?xml version="1.0" encoding="utf-8"?>
<ds:datastoreItem xmlns:ds="http://schemas.openxmlformats.org/officeDocument/2006/customXml" ds:itemID="{383649D2-F265-40AF-BA91-F6AFA916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2197</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2015-09-24T13:04:00Z</dcterms:created>
  <dcterms:modified xsi:type="dcterms:W3CDTF">2018-02-22T12:59:00Z</dcterms:modified>
</cp:coreProperties>
</file>