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CB" w:rsidRPr="003F3661" w:rsidRDefault="00346988" w:rsidP="00465656">
      <w:pPr>
        <w:pStyle w:val="Chapitre"/>
        <w:rPr>
          <w:lang w:val="fr-FR"/>
        </w:rPr>
      </w:pPr>
      <w:bookmarkStart w:id="0" w:name="_Toc241229644"/>
      <w:bookmarkStart w:id="1" w:name="_Toc241229848"/>
      <w:bookmarkStart w:id="2" w:name="_Toc242165541"/>
      <w:r>
        <w:rPr>
          <w:lang w:val="fr-FR"/>
        </w:rPr>
        <w:t>UNITÉ 16</w:t>
      </w:r>
    </w:p>
    <w:p w:rsidR="001227CB" w:rsidRPr="003F3661" w:rsidRDefault="00C52DD3" w:rsidP="00B46B17">
      <w:pPr>
        <w:pStyle w:val="UPlan"/>
        <w:rPr>
          <w:lang w:val="fr-FR"/>
        </w:rPr>
      </w:pPr>
      <w:r w:rsidRPr="003F3661">
        <w:rPr>
          <w:rFonts w:eastAsiaTheme="minorEastAsia"/>
          <w:lang w:val="fr-FR" w:eastAsia="zh-TW"/>
        </w:rPr>
        <w:drawing>
          <wp:anchor distT="0" distB="0" distL="114300" distR="114300" simplePos="0" relativeHeight="251665408" behindDoc="1" locked="1" layoutInCell="1" allowOverlap="0" wp14:anchorId="20DA95C9" wp14:editId="7CB107B9">
            <wp:simplePos x="0" y="0"/>
            <wp:positionH relativeFrom="margin">
              <wp:posOffset>583565</wp:posOffset>
            </wp:positionH>
            <wp:positionV relativeFrom="margin">
              <wp:posOffset>2171700</wp:posOffset>
            </wp:positionV>
            <wp:extent cx="4869815" cy="4497705"/>
            <wp:effectExtent l="2540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BC34E5" w:rsidRPr="003F3661">
        <w:rPr>
          <w:rFonts w:eastAsiaTheme="minorEastAsia"/>
          <w:lang w:val="fr-FR"/>
        </w:rPr>
        <w:t>ATELIER SUR LA RATIFICATION DE LA CONVENTION : INTRODUCTION</w:t>
      </w:r>
    </w:p>
    <w:p w:rsidR="00465656" w:rsidRPr="003F3661" w:rsidRDefault="00BC34E5" w:rsidP="00B46B17">
      <w:pPr>
        <w:pStyle w:val="Titcoul"/>
        <w:rPr>
          <w:lang w:val="fr-FR"/>
        </w:rPr>
      </w:pPr>
      <w:r w:rsidRPr="003F3661">
        <w:rPr>
          <w:lang w:val="fr-FR"/>
        </w:rPr>
        <w:t>Texte du participant</w:t>
      </w:r>
    </w:p>
    <w:p w:rsidR="008E32D7" w:rsidRPr="00C52DD3" w:rsidRDefault="00BC34E5" w:rsidP="00716869">
      <w:pPr>
        <w:pStyle w:val="Sschap"/>
        <w:rPr>
          <w:spacing w:val="9"/>
        </w:rPr>
      </w:pPr>
      <w:r w:rsidRPr="003F3661">
        <w:rPr>
          <w:spacing w:val="9"/>
        </w:rPr>
        <w:t>La présente unité couvre les sujets suivants :</w:t>
      </w:r>
    </w:p>
    <w:p w:rsidR="00EA3CDC" w:rsidRPr="00C52DD3" w:rsidRDefault="00BC34E5" w:rsidP="00716869">
      <w:pPr>
        <w:pStyle w:val="Txtchap"/>
        <w:numPr>
          <w:ilvl w:val="0"/>
          <w:numId w:val="2"/>
        </w:numPr>
        <w:tabs>
          <w:tab w:val="num" w:pos="567"/>
        </w:tabs>
        <w:spacing w:before="0" w:after="60"/>
        <w:ind w:left="567" w:hanging="567"/>
      </w:pPr>
      <w:r w:rsidRPr="003F3661">
        <w:t>Ateliers de renforcement des capacités pour la mise en œuvre de la Convention</w:t>
      </w:r>
      <w:r w:rsidR="00C52DD3">
        <w:t xml:space="preserve"> </w:t>
      </w:r>
      <w:r w:rsidRPr="003F3661">
        <w:t>de l’UNESCO pour la sauvegarde du patrimoine culturel immatériel.</w:t>
      </w:r>
    </w:p>
    <w:p w:rsidR="00EA3CDC" w:rsidRPr="00C52DD3" w:rsidRDefault="00BC34E5" w:rsidP="00716869">
      <w:pPr>
        <w:pStyle w:val="Txtchap"/>
        <w:numPr>
          <w:ilvl w:val="0"/>
          <w:numId w:val="2"/>
        </w:numPr>
        <w:tabs>
          <w:tab w:val="num" w:pos="567"/>
        </w:tabs>
        <w:spacing w:before="0" w:after="60"/>
        <w:ind w:left="567" w:hanging="567"/>
      </w:pPr>
      <w:r w:rsidRPr="003F3661">
        <w:t>Propos et structure de l’atelier de deux jours sur la ratification de la Convention.</w:t>
      </w:r>
    </w:p>
    <w:p w:rsidR="0083757A" w:rsidRPr="00C52DD3" w:rsidRDefault="00C52DD3" w:rsidP="00716869">
      <w:pPr>
        <w:pStyle w:val="Txtchap"/>
        <w:numPr>
          <w:ilvl w:val="0"/>
          <w:numId w:val="2"/>
        </w:numPr>
        <w:tabs>
          <w:tab w:val="num" w:pos="567"/>
        </w:tabs>
        <w:spacing w:before="0" w:after="60"/>
        <w:ind w:left="567" w:hanging="567"/>
      </w:pPr>
      <w:r>
        <w:t>U</w:t>
      </w:r>
      <w:r w:rsidR="00BC34E5" w:rsidRPr="003F3661">
        <w:t xml:space="preserve">tilisation </w:t>
      </w:r>
      <w:r>
        <w:t>du</w:t>
      </w:r>
      <w:r w:rsidR="00BC34E5" w:rsidRPr="003F3661">
        <w:t xml:space="preserve"> </w:t>
      </w:r>
      <w:r>
        <w:t>matériel</w:t>
      </w:r>
      <w:r w:rsidR="00BC34E5" w:rsidRPr="003F3661">
        <w:t xml:space="preserve"> de renforcement des capacités.</w:t>
      </w:r>
    </w:p>
    <w:p w:rsidR="004B3F53" w:rsidRPr="00C52DD3" w:rsidRDefault="00C52DD3" w:rsidP="00716869">
      <w:pPr>
        <w:pStyle w:val="Txtchap"/>
        <w:numPr>
          <w:ilvl w:val="0"/>
          <w:numId w:val="2"/>
        </w:numPr>
        <w:tabs>
          <w:tab w:val="num" w:pos="567"/>
        </w:tabs>
        <w:spacing w:before="0" w:after="60"/>
        <w:ind w:left="567" w:hanging="567"/>
      </w:pPr>
      <w:r>
        <w:t>C</w:t>
      </w:r>
      <w:r w:rsidR="00BC34E5" w:rsidRPr="003F3661">
        <w:t xml:space="preserve">oncepts clés et définitions (patrimoine culturel immatériel (PCI) et sauvegarde </w:t>
      </w:r>
      <w:r>
        <w:t>au titre de</w:t>
      </w:r>
      <w:r w:rsidR="00BC34E5" w:rsidRPr="003F3661">
        <w:t xml:space="preserve"> la Convention [en référence à l’Unité 3]).</w:t>
      </w:r>
    </w:p>
    <w:p w:rsidR="00C52DD3" w:rsidRPr="00B46B17" w:rsidRDefault="00BC34E5" w:rsidP="003F3661">
      <w:pPr>
        <w:pStyle w:val="Txtchap"/>
        <w:numPr>
          <w:ilvl w:val="0"/>
          <w:numId w:val="2"/>
        </w:numPr>
        <w:tabs>
          <w:tab w:val="num" w:pos="567"/>
        </w:tabs>
        <w:spacing w:before="0" w:after="60"/>
        <w:ind w:left="567" w:hanging="567"/>
      </w:pPr>
      <w:r w:rsidRPr="00C52DD3">
        <w:t>Ressources et terminologie (en référence à l’Imprimé 1 de l’Unité 1).</w:t>
      </w:r>
      <w:bookmarkEnd w:id="0"/>
      <w:bookmarkEnd w:id="1"/>
      <w:bookmarkEnd w:id="2"/>
    </w:p>
    <w:p w:rsidR="005D7A9C" w:rsidRPr="00C52DD3" w:rsidRDefault="00BC34E5">
      <w:pPr>
        <w:rPr>
          <w:rFonts w:ascii="Arial" w:hAnsi="Arial" w:cs="Arial"/>
          <w:b/>
        </w:rPr>
      </w:pPr>
      <w:r w:rsidRPr="00C52DD3">
        <w:rPr>
          <w:rFonts w:ascii="Arial" w:hAnsi="Arial" w:cs="Arial"/>
          <w:b/>
        </w:rPr>
        <w:br w:type="page"/>
      </w:r>
    </w:p>
    <w:p w:rsidR="00BC794C" w:rsidRPr="00BC794C" w:rsidRDefault="00BC794C" w:rsidP="00BC794C">
      <w:pPr>
        <w:spacing w:before="480"/>
        <w:rPr>
          <w:rFonts w:ascii="Arial" w:eastAsia="Times New Roman" w:hAnsi="Arial" w:cs="Arial"/>
          <w:sz w:val="22"/>
          <w:szCs w:val="22"/>
          <w:lang w:eastAsia="pt-BR"/>
        </w:rPr>
      </w:pP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Times New Roman" w:hAnsi="Arial" w:cs="Arial"/>
          <w:sz w:val="22"/>
          <w:szCs w:val="22"/>
          <w:lang w:eastAsia="pt-BR"/>
        </w:rPr>
        <w:t xml:space="preserve">Publié en </w:t>
      </w:r>
      <w:r w:rsidR="00473633">
        <w:rPr>
          <w:rFonts w:ascii="Arial" w:eastAsia="Times New Roman" w:hAnsi="Arial" w:cs="Arial"/>
          <w:sz w:val="22"/>
          <w:szCs w:val="22"/>
          <w:lang w:eastAsia="pt-BR"/>
        </w:rPr>
        <w:t>2016</w:t>
      </w:r>
      <w:r w:rsidRPr="00BC794C">
        <w:rPr>
          <w:rFonts w:ascii="Arial" w:eastAsia="Times New Roman" w:hAnsi="Arial" w:cs="Arial"/>
          <w:sz w:val="22"/>
          <w:szCs w:val="22"/>
          <w:lang w:eastAsia="pt-BR"/>
        </w:rPr>
        <w:t xml:space="preserve"> par l’Organisation des Nations Unies pour l’éducation, la science et la </w:t>
      </w:r>
      <w:r w:rsidRPr="00BC794C">
        <w:rPr>
          <w:rFonts w:ascii="Arial" w:eastAsia="SimSun" w:hAnsi="Arial" w:cs="Arial"/>
          <w:snapToGrid w:val="0"/>
          <w:sz w:val="22"/>
          <w:szCs w:val="22"/>
          <w:lang w:eastAsia="zh-CN"/>
        </w:rPr>
        <w:t xml:space="preserve">culture </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7, place de Fontenoy, 75352 Paris 07 SP, France</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 xml:space="preserve">© UNESCO </w:t>
      </w:r>
      <w:r w:rsidR="00473633">
        <w:rPr>
          <w:rFonts w:ascii="Arial" w:eastAsia="SimSun" w:hAnsi="Arial" w:cs="Arial"/>
          <w:snapToGrid w:val="0"/>
          <w:sz w:val="22"/>
          <w:szCs w:val="22"/>
          <w:lang w:eastAsia="zh-CN"/>
        </w:rPr>
        <w:t>2016</w:t>
      </w:r>
    </w:p>
    <w:p w:rsidR="00BC794C" w:rsidRPr="00BC794C" w:rsidRDefault="00BC794C" w:rsidP="00BC794C">
      <w:pPr>
        <w:autoSpaceDE w:val="0"/>
        <w:autoSpaceDN w:val="0"/>
        <w:adjustRightInd w:val="0"/>
        <w:rPr>
          <w:rFonts w:ascii="Arial" w:hAnsi="Arial" w:cs="Arial"/>
          <w:sz w:val="22"/>
          <w:szCs w:val="22"/>
        </w:rPr>
      </w:pPr>
    </w:p>
    <w:p w:rsidR="00BC794C" w:rsidRPr="00BC794C" w:rsidRDefault="00BC794C" w:rsidP="00BC794C">
      <w:pPr>
        <w:autoSpaceDE w:val="0"/>
        <w:autoSpaceDN w:val="0"/>
        <w:adjustRightInd w:val="0"/>
        <w:rPr>
          <w:rFonts w:ascii="Arial" w:hAnsi="Arial" w:cs="Arial"/>
          <w:sz w:val="22"/>
          <w:szCs w:val="22"/>
        </w:rPr>
      </w:pPr>
      <w:r w:rsidRPr="00BC794C">
        <w:rPr>
          <w:rFonts w:ascii="Arial" w:hAnsi="Arial" w:cs="Arial"/>
          <w:noProof/>
          <w:sz w:val="22"/>
          <w:szCs w:val="22"/>
          <w:lang w:eastAsia="zh-TW"/>
        </w:rPr>
        <w:drawing>
          <wp:anchor distT="0" distB="0" distL="114300" distR="114300" simplePos="0" relativeHeight="251684864" behindDoc="0" locked="0" layoutInCell="1" allowOverlap="1" wp14:anchorId="1A2B84F8" wp14:editId="1298D11F">
            <wp:simplePos x="0" y="0"/>
            <wp:positionH relativeFrom="column">
              <wp:posOffset>-3810</wp:posOffset>
            </wp:positionH>
            <wp:positionV relativeFrom="paragraph">
              <wp:posOffset>156210</wp:posOffset>
            </wp:positionV>
            <wp:extent cx="756285" cy="265430"/>
            <wp:effectExtent l="0" t="0" r="5715"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BC794C" w:rsidRDefault="00BC794C" w:rsidP="00BC794C">
      <w:pPr>
        <w:autoSpaceDE w:val="0"/>
        <w:autoSpaceDN w:val="0"/>
        <w:adjustRightInd w:val="0"/>
        <w:rPr>
          <w:rFonts w:ascii="Arial" w:hAnsi="Arial" w:cs="Arial"/>
          <w:sz w:val="22"/>
          <w:szCs w:val="22"/>
        </w:rPr>
      </w:pPr>
    </w:p>
    <w:p w:rsidR="00BC794C" w:rsidRDefault="00BC794C" w:rsidP="00BC794C">
      <w:pPr>
        <w:autoSpaceDE w:val="0"/>
        <w:autoSpaceDN w:val="0"/>
        <w:adjustRightInd w:val="0"/>
        <w:rPr>
          <w:rFonts w:ascii="Arial" w:hAnsi="Arial" w:cs="Arial"/>
          <w:sz w:val="22"/>
          <w:szCs w:val="22"/>
        </w:rPr>
      </w:pP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Œuvre publiée en libre accès sous la licence Attribution-Sha</w:t>
      </w:r>
      <w:bookmarkStart w:id="3" w:name="_GoBack"/>
      <w:bookmarkEnd w:id="3"/>
      <w:r w:rsidRPr="00BC794C">
        <w:rPr>
          <w:rFonts w:ascii="Arial" w:eastAsia="SimSun" w:hAnsi="Arial" w:cs="Arial"/>
          <w:snapToGrid w:val="0"/>
          <w:sz w:val="22"/>
          <w:szCs w:val="22"/>
          <w:lang w:eastAsia="zh-CN"/>
        </w:rPr>
        <w:t>reAlike 3.0 IGO (CC-BY-SA 3.0 IGO) (</w:t>
      </w:r>
      <w:hyperlink r:id="rId10" w:history="1">
        <w:r w:rsidRPr="00BC794C">
          <w:rPr>
            <w:rFonts w:ascii="Arial" w:eastAsia="SimSun" w:hAnsi="Arial" w:cs="Arial"/>
            <w:snapToGrid w:val="0"/>
            <w:sz w:val="22"/>
            <w:szCs w:val="22"/>
            <w:lang w:eastAsia="zh-CN"/>
          </w:rPr>
          <w:t>http://creativecommons.org/licenses/by-sa/3.0/igo/</w:t>
        </w:r>
      </w:hyperlink>
      <w:r w:rsidRPr="00BC794C">
        <w:rPr>
          <w:rFonts w:ascii="Arial" w:eastAsia="SimSun" w:hAnsi="Arial" w:cs="Arial"/>
          <w:snapToGrid w:val="0"/>
          <w:sz w:val="22"/>
          <w:szCs w:val="22"/>
          <w:lang w:eastAsia="zh-CN"/>
        </w:rPr>
        <w:t>). Les utilisateurs du contenu de la présente publication acceptent les termes d’utilisation de l’Archive ouverte de libre accès UNESCO (</w:t>
      </w:r>
      <w:hyperlink r:id="rId11" w:history="1">
        <w:r w:rsidRPr="00BC794C">
          <w:rPr>
            <w:rFonts w:ascii="Arial" w:eastAsia="SimSun" w:hAnsi="Arial" w:cs="Arial"/>
            <w:snapToGrid w:val="0"/>
            <w:sz w:val="22"/>
            <w:szCs w:val="22"/>
            <w:lang w:eastAsia="zh-CN"/>
          </w:rPr>
          <w:t>www.unesco.org/open-access/terms-use-ccbysa-fr</w:t>
        </w:r>
      </w:hyperlink>
      <w:r w:rsidRPr="00BC794C">
        <w:rPr>
          <w:rFonts w:ascii="Arial" w:eastAsia="SimSun" w:hAnsi="Arial" w:cs="Arial"/>
          <w:snapToGrid w:val="0"/>
          <w:sz w:val="22"/>
          <w:szCs w:val="22"/>
          <w:lang w:eastAsia="zh-CN"/>
        </w:rPr>
        <w:t>).</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 xml:space="preserve">Les images dans cette publication ne sont pas couvertes par la licence CC-BY-SA et ne peuvent en aucune façon être commercialisées ou reproduites sans l’autorisation expresse des détenteurs des droits de reproduction. </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p>
    <w:p w:rsidR="00BC794C" w:rsidRPr="001408B5" w:rsidRDefault="00BC794C" w:rsidP="00BC794C">
      <w:pPr>
        <w:autoSpaceDE w:val="0"/>
        <w:autoSpaceDN w:val="0"/>
        <w:adjustRightInd w:val="0"/>
        <w:spacing w:before="200" w:after="60"/>
        <w:jc w:val="both"/>
        <w:rPr>
          <w:rFonts w:ascii="Arial" w:eastAsia="SimSun" w:hAnsi="Arial" w:cs="Arial"/>
          <w:snapToGrid w:val="0"/>
          <w:sz w:val="22"/>
          <w:szCs w:val="22"/>
          <w:lang w:val="en-US" w:eastAsia="zh-CN"/>
        </w:rPr>
      </w:pPr>
      <w:r w:rsidRPr="001408B5">
        <w:rPr>
          <w:rFonts w:ascii="Arial" w:eastAsia="SimSun" w:hAnsi="Arial" w:cs="Arial"/>
          <w:snapToGrid w:val="0"/>
          <w:sz w:val="22"/>
          <w:szCs w:val="22"/>
          <w:lang w:val="en-US" w:eastAsia="zh-CN"/>
        </w:rPr>
        <w:t>Titre original : Workshop on ratifying the convention</w:t>
      </w:r>
      <w:r w:rsidR="001408B5">
        <w:rPr>
          <w:rFonts w:ascii="Arial" w:eastAsia="SimSun" w:hAnsi="Arial" w:cs="Arial"/>
          <w:snapToGrid w:val="0"/>
          <w:sz w:val="22"/>
          <w:szCs w:val="22"/>
          <w:lang w:val="en-US" w:eastAsia="zh-CN"/>
        </w:rPr>
        <w:t>:</w:t>
      </w:r>
      <w:r w:rsidRPr="001408B5">
        <w:rPr>
          <w:rFonts w:ascii="Arial" w:eastAsia="SimSun" w:hAnsi="Arial" w:cs="Arial"/>
          <w:snapToGrid w:val="0"/>
          <w:sz w:val="22"/>
          <w:szCs w:val="22"/>
          <w:lang w:val="en-US" w:eastAsia="zh-CN"/>
        </w:rPr>
        <w:t xml:space="preserve"> introduction</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 xml:space="preserve">Publié en </w:t>
      </w:r>
      <w:r w:rsidR="00473633">
        <w:rPr>
          <w:rFonts w:ascii="Arial" w:eastAsia="SimSun" w:hAnsi="Arial" w:cs="Arial"/>
          <w:snapToGrid w:val="0"/>
          <w:sz w:val="22"/>
          <w:szCs w:val="22"/>
          <w:lang w:eastAsia="zh-CN"/>
        </w:rPr>
        <w:t>2016</w:t>
      </w:r>
      <w:r w:rsidRPr="00BC794C">
        <w:rPr>
          <w:rFonts w:ascii="Arial" w:eastAsia="SimSun" w:hAnsi="Arial" w:cs="Arial"/>
          <w:snapToGrid w:val="0"/>
          <w:sz w:val="22"/>
          <w:szCs w:val="22"/>
          <w:lang w:eastAsia="zh-CN"/>
        </w:rPr>
        <w:t xml:space="preserve"> par l’Organisation des Nations Unies pour l’éducation, la science et la culture </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t>Les idées et les opinions exprimées dans cette publication sont celles des auteurs ; elles ne reflètent pas nécessairement les points de vue de l’UNESCO et n’engagent en aucune façon l’Organisation.</w:t>
      </w:r>
    </w:p>
    <w:p w:rsidR="00BC794C" w:rsidRPr="00BC794C" w:rsidRDefault="00BC794C" w:rsidP="00BC794C">
      <w:pPr>
        <w:autoSpaceDE w:val="0"/>
        <w:autoSpaceDN w:val="0"/>
        <w:adjustRightInd w:val="0"/>
        <w:spacing w:before="200" w:after="60"/>
        <w:jc w:val="both"/>
        <w:rPr>
          <w:rFonts w:ascii="Arial" w:eastAsia="SimSun" w:hAnsi="Arial" w:cs="Arial"/>
          <w:snapToGrid w:val="0"/>
          <w:sz w:val="22"/>
          <w:szCs w:val="22"/>
          <w:lang w:eastAsia="zh-CN"/>
        </w:rPr>
      </w:pPr>
      <w:r w:rsidRPr="00BC794C">
        <w:rPr>
          <w:rFonts w:ascii="Arial" w:eastAsia="SimSun" w:hAnsi="Arial" w:cs="Arial"/>
          <w:snapToGrid w:val="0"/>
          <w:sz w:val="22"/>
          <w:szCs w:val="22"/>
          <w:lang w:eastAsia="zh-CN"/>
        </w:rPr>
        <w:br w:type="page"/>
      </w:r>
    </w:p>
    <w:p w:rsidR="00557C29" w:rsidRPr="00430822" w:rsidRDefault="00BC34E5" w:rsidP="00430822">
      <w:pPr>
        <w:pStyle w:val="Titcoul"/>
        <w:rPr>
          <w:lang w:val="fr-FR"/>
        </w:rPr>
      </w:pPr>
      <w:r w:rsidRPr="003F3661">
        <w:rPr>
          <w:lang w:val="fr-FR"/>
        </w:rPr>
        <w:lastRenderedPageBreak/>
        <w:t>16.1</w:t>
      </w:r>
      <w:r w:rsidRPr="003F3661">
        <w:rPr>
          <w:lang w:val="fr-FR"/>
        </w:rPr>
        <w:tab/>
        <w:t>UN PROGRAMME DE RENFORCEMENT DEs CAPACITÉS</w:t>
      </w:r>
    </w:p>
    <w:p w:rsidR="00557C29" w:rsidRPr="00C52DD3" w:rsidRDefault="00BC34E5" w:rsidP="00716869">
      <w:pPr>
        <w:pStyle w:val="Texte1"/>
        <w:rPr>
          <w:lang w:val="fr-FR"/>
        </w:rPr>
      </w:pPr>
      <w:r w:rsidRPr="003F3661">
        <w:rPr>
          <w:lang w:val="fr-FR"/>
        </w:rPr>
        <w:t xml:space="preserve">En 2003, la Conférence générale de l’Organisation des Nations Unies pour l’éducation, la science et la culture (UNESCO) a adopté la Convention pour la sauvegarde du patrimoine culturel immatériel qui est entrée en vigueur en 2006. </w:t>
      </w:r>
      <w:r w:rsidR="00962723">
        <w:rPr>
          <w:lang w:val="fr-FR"/>
        </w:rPr>
        <w:t>A</w:t>
      </w:r>
      <w:r w:rsidR="00962723" w:rsidRPr="00C52DD3">
        <w:rPr>
          <w:lang w:val="fr-FR"/>
        </w:rPr>
        <w:t>ujourd’hui</w:t>
      </w:r>
      <w:r w:rsidR="00962723">
        <w:rPr>
          <w:lang w:val="fr-FR"/>
        </w:rPr>
        <w:t>,</w:t>
      </w:r>
      <w:r w:rsidR="00962723" w:rsidRPr="00C52DD3">
        <w:rPr>
          <w:lang w:val="fr-FR"/>
        </w:rPr>
        <w:t xml:space="preserve"> </w:t>
      </w:r>
      <w:r w:rsidR="00962723">
        <w:rPr>
          <w:lang w:val="fr-FR"/>
        </w:rPr>
        <w:t>d</w:t>
      </w:r>
      <w:r w:rsidRPr="003F3661">
        <w:rPr>
          <w:lang w:val="fr-FR"/>
        </w:rPr>
        <w:t xml:space="preserve">éjà plus de deux tiers des États membres de l’UNESCO ont </w:t>
      </w:r>
      <w:r w:rsidR="00346988">
        <w:rPr>
          <w:lang w:val="fr-FR"/>
        </w:rPr>
        <w:t>ratifié cette Convention.</w:t>
      </w:r>
    </w:p>
    <w:p w:rsidR="000F362F" w:rsidRPr="00C52DD3" w:rsidRDefault="00BC34E5" w:rsidP="00716869">
      <w:pPr>
        <w:pStyle w:val="Texte1"/>
        <w:rPr>
          <w:lang w:val="fr-FR"/>
        </w:rPr>
      </w:pPr>
      <w:r w:rsidRPr="003F3661">
        <w:rPr>
          <w:lang w:val="fr-FR"/>
        </w:rPr>
        <w:t>Le Comité intergouvernemental pour la sauvegarde du patrimoine culturel immatériel qui supervise la mise en œuvre de la Convention a demandé que le Secrétariat de l’UNESCO organise dans le monde entier des formations destinées à renforcer les capacités de mise en œuvre de la Convention. Les État parties ont accordé un généreux soutien financier afin de permettre au Secrétariat de préparer des matériels d’apprentissage, former des facilitateurs et financer des activités de renforcement des capacités.</w:t>
      </w:r>
    </w:p>
    <w:p w:rsidR="00557C29" w:rsidRPr="00C52DD3" w:rsidRDefault="00BC34E5" w:rsidP="00716869">
      <w:pPr>
        <w:pStyle w:val="Heading4"/>
        <w:rPr>
          <w:w w:val="108"/>
          <w:lang w:val="fr-FR"/>
        </w:rPr>
      </w:pPr>
      <w:r w:rsidRPr="003F3661">
        <w:rPr>
          <w:w w:val="108"/>
          <w:lang w:val="fr-FR"/>
        </w:rPr>
        <w:t>ATELIERS DE RENFORCEMENT DEs CAPACITÉS</w:t>
      </w:r>
    </w:p>
    <w:p w:rsidR="00E876E7" w:rsidRPr="00C52DD3" w:rsidRDefault="00BC34E5" w:rsidP="00716869">
      <w:pPr>
        <w:pStyle w:val="Texte1"/>
        <w:rPr>
          <w:lang w:val="fr-FR"/>
        </w:rPr>
      </w:pPr>
      <w:r w:rsidRPr="003F3661">
        <w:rPr>
          <w:lang w:val="fr-FR"/>
        </w:rPr>
        <w:t>Le Secrétariat a mis en place une série d’ateliers de renforcement des capacités qui couvrent différents thèmes relatifs à la mise en œuvre de la Convention tels que la ratification, la mise en œuvre de la Convention au niveau national, la tenue d’inventaires avec la participation des communautés, l</w:t>
      </w:r>
      <w:r w:rsidR="00354149">
        <w:rPr>
          <w:lang w:val="fr-FR"/>
        </w:rPr>
        <w:t>a présentation de</w:t>
      </w:r>
      <w:r w:rsidRPr="003F3661">
        <w:rPr>
          <w:lang w:val="fr-FR"/>
        </w:rPr>
        <w:t xml:space="preserve"> candidatures et l’élaboration de plans de sauvegarde. D’autres thèmes sont actuellement </w:t>
      </w:r>
      <w:r w:rsidR="00354149">
        <w:rPr>
          <w:lang w:val="fr-FR"/>
        </w:rPr>
        <w:t>à l’étude</w:t>
      </w:r>
      <w:r w:rsidRPr="003F3661">
        <w:rPr>
          <w:lang w:val="fr-FR"/>
        </w:rPr>
        <w:t xml:space="preserve">. Les ateliers sont eux-mêmes </w:t>
      </w:r>
      <w:r w:rsidR="00354149">
        <w:rPr>
          <w:lang w:val="fr-FR"/>
        </w:rPr>
        <w:t>conçu</w:t>
      </w:r>
      <w:r w:rsidRPr="003F3661">
        <w:rPr>
          <w:lang w:val="fr-FR"/>
        </w:rPr>
        <w:t xml:space="preserve">s en fonction des besoins des participants et des pays d’où ils sont originaires. Des débats interactifs sont organisés autour de thématiques qui </w:t>
      </w:r>
      <w:r w:rsidR="00354149">
        <w:rPr>
          <w:lang w:val="fr-FR"/>
        </w:rPr>
        <w:t>revête</w:t>
      </w:r>
      <w:r w:rsidRPr="003F3661">
        <w:rPr>
          <w:lang w:val="fr-FR"/>
        </w:rPr>
        <w:t xml:space="preserve">nt </w:t>
      </w:r>
      <w:r w:rsidR="00354149">
        <w:rPr>
          <w:lang w:val="fr-FR"/>
        </w:rPr>
        <w:t>une importance</w:t>
      </w:r>
      <w:r w:rsidR="00354149" w:rsidRPr="00C52DD3">
        <w:rPr>
          <w:lang w:val="fr-FR"/>
        </w:rPr>
        <w:t xml:space="preserve"> </w:t>
      </w:r>
      <w:r w:rsidRPr="003F3661">
        <w:rPr>
          <w:lang w:val="fr-FR"/>
        </w:rPr>
        <w:t>particulière pour les participants.</w:t>
      </w:r>
    </w:p>
    <w:p w:rsidR="00B643CA" w:rsidRPr="003F3661" w:rsidRDefault="00BC34E5" w:rsidP="00430822">
      <w:pPr>
        <w:pStyle w:val="Titcoul"/>
        <w:rPr>
          <w:lang w:val="fr-FR"/>
        </w:rPr>
      </w:pPr>
      <w:r w:rsidRPr="003F3661">
        <w:rPr>
          <w:lang w:val="fr-FR"/>
        </w:rPr>
        <w:t>16.2</w:t>
      </w:r>
      <w:r w:rsidRPr="003F3661">
        <w:rPr>
          <w:lang w:val="fr-FR"/>
        </w:rPr>
        <w:tab/>
        <w:t>atelier sur la ratification de la convention</w:t>
      </w:r>
    </w:p>
    <w:p w:rsidR="00A511E5" w:rsidRPr="00C52DD3" w:rsidRDefault="00BC34E5" w:rsidP="00224842">
      <w:pPr>
        <w:pStyle w:val="Texte1"/>
        <w:rPr>
          <w:lang w:val="fr-FR"/>
        </w:rPr>
      </w:pPr>
      <w:r w:rsidRPr="003F3661">
        <w:rPr>
          <w:color w:val="000000" w:themeColor="text1"/>
          <w:lang w:val="fr-FR"/>
        </w:rPr>
        <w:t>L’atelier sur la ratification</w:t>
      </w:r>
      <w:r w:rsidRPr="003F3661">
        <w:rPr>
          <w:b/>
          <w:caps/>
          <w:color w:val="000000" w:themeColor="text1"/>
          <w:lang w:val="fr-FR"/>
        </w:rPr>
        <w:t xml:space="preserve"> </w:t>
      </w:r>
      <w:r w:rsidR="00832A51">
        <w:rPr>
          <w:color w:val="000000" w:themeColor="text1"/>
          <w:lang w:val="fr-FR"/>
        </w:rPr>
        <w:t>s’adresse aux</w:t>
      </w:r>
      <w:r w:rsidRPr="003F3661">
        <w:rPr>
          <w:color w:val="000000" w:themeColor="text1"/>
          <w:lang w:val="fr-FR"/>
        </w:rPr>
        <w:t xml:space="preserve"> États qui n’ont pas encore ratifié la Convention et</w:t>
      </w:r>
      <w:r w:rsidRPr="003F3661">
        <w:rPr>
          <w:lang w:val="fr-FR"/>
        </w:rPr>
        <w:t xml:space="preserve"> c’est donc souvent le premier atelier à être pro</w:t>
      </w:r>
      <w:r w:rsidR="00832A51">
        <w:rPr>
          <w:lang w:val="fr-FR"/>
        </w:rPr>
        <w:t>gramm</w:t>
      </w:r>
      <w:r w:rsidRPr="003F3661">
        <w:rPr>
          <w:lang w:val="fr-FR"/>
        </w:rPr>
        <w:t xml:space="preserve">é dans un pays particulier. Il couvre les connaissances élémentaires requises pour la mise en œuvre de la Convention en référence à un certain nombre d’autres unités du programme de renforcement des capacités. Il explique comment les États peuvent ratifier la Convention, quelles sont les obligations qu’elle leur impose, quels </w:t>
      </w:r>
      <w:r w:rsidR="00832A51">
        <w:rPr>
          <w:lang w:val="fr-FR"/>
        </w:rPr>
        <w:t xml:space="preserve">sont les </w:t>
      </w:r>
      <w:r w:rsidRPr="003F3661">
        <w:rPr>
          <w:lang w:val="fr-FR"/>
        </w:rPr>
        <w:t xml:space="preserve">États </w:t>
      </w:r>
      <w:r w:rsidR="00832A51">
        <w:rPr>
          <w:lang w:val="fr-FR"/>
        </w:rPr>
        <w:t xml:space="preserve">qui </w:t>
      </w:r>
      <w:r w:rsidRPr="003F3661">
        <w:rPr>
          <w:lang w:val="fr-FR"/>
        </w:rPr>
        <w:t xml:space="preserve">l’ont fait jusqu’à présent, </w:t>
      </w:r>
      <w:r w:rsidR="00157EB9">
        <w:rPr>
          <w:lang w:val="fr-FR"/>
        </w:rPr>
        <w:t xml:space="preserve">en </w:t>
      </w:r>
      <w:r w:rsidRPr="003F3661">
        <w:rPr>
          <w:lang w:val="fr-FR"/>
        </w:rPr>
        <w:t xml:space="preserve">quoi la ratification </w:t>
      </w:r>
      <w:r w:rsidR="00832A51">
        <w:rPr>
          <w:lang w:val="fr-FR"/>
        </w:rPr>
        <w:t>se</w:t>
      </w:r>
      <w:r w:rsidRPr="003F3661">
        <w:rPr>
          <w:lang w:val="fr-FR"/>
        </w:rPr>
        <w:t>rait</w:t>
      </w:r>
      <w:r w:rsidR="00832A51">
        <w:rPr>
          <w:lang w:val="fr-FR"/>
        </w:rPr>
        <w:t>-elle</w:t>
      </w:r>
      <w:r w:rsidRPr="003F3661">
        <w:rPr>
          <w:lang w:val="fr-FR"/>
        </w:rPr>
        <w:t xml:space="preserve"> bénéfique pour les divers acteurs</w:t>
      </w:r>
      <w:r w:rsidR="00832A51">
        <w:rPr>
          <w:lang w:val="fr-FR"/>
        </w:rPr>
        <w:t>,</w:t>
      </w:r>
      <w:r w:rsidRPr="003F3661">
        <w:rPr>
          <w:lang w:val="fr-FR"/>
        </w:rPr>
        <w:t xml:space="preserve"> et il donne des orientations </w:t>
      </w:r>
      <w:r w:rsidR="00157EB9">
        <w:rPr>
          <w:lang w:val="fr-FR"/>
        </w:rPr>
        <w:t xml:space="preserve">permettant </w:t>
      </w:r>
      <w:r w:rsidRPr="003F3661">
        <w:rPr>
          <w:lang w:val="fr-FR"/>
        </w:rPr>
        <w:t>d’œuvrer en faveur de la ratification (Unité 17).</w:t>
      </w:r>
    </w:p>
    <w:p w:rsidR="00224842" w:rsidRPr="003F3661" w:rsidRDefault="00BC34E5" w:rsidP="00224842">
      <w:pPr>
        <w:pStyle w:val="Texte1"/>
        <w:rPr>
          <w:lang w:val="fr-FR"/>
        </w:rPr>
      </w:pPr>
      <w:r w:rsidRPr="003F3661">
        <w:rPr>
          <w:color w:val="000000" w:themeColor="text1"/>
          <w:lang w:val="fr-FR"/>
        </w:rPr>
        <w:t>L</w:t>
      </w:r>
      <w:r w:rsidRPr="003F3661">
        <w:rPr>
          <w:lang w:val="fr-FR"/>
        </w:rPr>
        <w:t>e contenu de chaque atelier est adapt</w:t>
      </w:r>
      <w:r w:rsidR="00157EB9">
        <w:rPr>
          <w:lang w:val="fr-FR"/>
        </w:rPr>
        <w:t>é au</w:t>
      </w:r>
      <w:r w:rsidRPr="003F3661">
        <w:rPr>
          <w:lang w:val="fr-FR"/>
        </w:rPr>
        <w:t xml:space="preserve"> profil et aux besoins spécifiques des participants, aussi est-il très important de procurer aux facilitateurs des informations générales sur les participants avant l’atelier.</w:t>
      </w:r>
    </w:p>
    <w:p w:rsidR="00224842" w:rsidRPr="003F3661" w:rsidRDefault="00BC34E5" w:rsidP="00224842">
      <w:pPr>
        <w:pStyle w:val="Texte1"/>
        <w:rPr>
          <w:lang w:val="fr-FR"/>
        </w:rPr>
      </w:pPr>
      <w:r w:rsidRPr="003F3661">
        <w:rPr>
          <w:lang w:val="fr-FR"/>
        </w:rPr>
        <w:t>L’atelier sur la ratification</w:t>
      </w:r>
      <w:r w:rsidR="00157EB9">
        <w:rPr>
          <w:lang w:val="fr-FR"/>
        </w:rPr>
        <w:t>, réparti</w:t>
      </w:r>
      <w:r w:rsidR="00157EB9" w:rsidRPr="00C52DD3">
        <w:rPr>
          <w:lang w:val="fr-FR"/>
        </w:rPr>
        <w:t xml:space="preserve"> </w:t>
      </w:r>
      <w:r w:rsidRPr="003F3661">
        <w:rPr>
          <w:lang w:val="fr-FR"/>
        </w:rPr>
        <w:t xml:space="preserve">normalement </w:t>
      </w:r>
      <w:r w:rsidR="00157EB9">
        <w:rPr>
          <w:lang w:val="fr-FR"/>
        </w:rPr>
        <w:t>sur</w:t>
      </w:r>
      <w:r w:rsidR="00157EB9" w:rsidRPr="00C52DD3">
        <w:rPr>
          <w:lang w:val="fr-FR"/>
        </w:rPr>
        <w:t xml:space="preserve"> deux jours</w:t>
      </w:r>
      <w:r w:rsidR="00157EB9">
        <w:rPr>
          <w:lang w:val="fr-FR"/>
        </w:rPr>
        <w:t>,</w:t>
      </w:r>
      <w:r w:rsidR="00157EB9" w:rsidRPr="00C52DD3">
        <w:rPr>
          <w:lang w:val="fr-FR"/>
        </w:rPr>
        <w:t xml:space="preserve"> </w:t>
      </w:r>
      <w:r w:rsidRPr="003F3661">
        <w:rPr>
          <w:lang w:val="fr-FR"/>
        </w:rPr>
        <w:t>comprend les sessions suivantes :</w:t>
      </w:r>
    </w:p>
    <w:p w:rsidR="00C52DD3" w:rsidRPr="003F3661" w:rsidRDefault="00BC34E5" w:rsidP="003F3661">
      <w:pPr>
        <w:pStyle w:val="Txtpucegras"/>
        <w:rPr>
          <w:caps/>
          <w:lang w:val="fr-FR"/>
        </w:rPr>
      </w:pPr>
      <w:bookmarkStart w:id="4" w:name="_Toc238982177"/>
      <w:r w:rsidRPr="003F3661">
        <w:rPr>
          <w:b/>
          <w:lang w:val="fr-FR"/>
        </w:rPr>
        <w:t xml:space="preserve">Sessions </w:t>
      </w:r>
      <w:r w:rsidRPr="003F3661">
        <w:rPr>
          <w:b/>
          <w:caps/>
          <w:lang w:val="fr-FR"/>
        </w:rPr>
        <w:t xml:space="preserve">1-3 : </w:t>
      </w:r>
      <w:r w:rsidRPr="003F3661">
        <w:rPr>
          <w:lang w:val="fr-FR"/>
        </w:rPr>
        <w:t xml:space="preserve">Introduction de la Convention </w:t>
      </w:r>
      <w:r w:rsidRPr="003F3661">
        <w:rPr>
          <w:caps/>
          <w:lang w:val="fr-FR"/>
        </w:rPr>
        <w:t>(</w:t>
      </w:r>
      <w:r w:rsidRPr="003F3661">
        <w:rPr>
          <w:lang w:val="fr-FR"/>
        </w:rPr>
        <w:t>Unités</w:t>
      </w:r>
      <w:r w:rsidRPr="003F3661">
        <w:rPr>
          <w:caps/>
          <w:lang w:val="fr-FR"/>
        </w:rPr>
        <w:t xml:space="preserve"> 16, 2, 3, 13 </w:t>
      </w:r>
      <w:r w:rsidRPr="003F3661">
        <w:rPr>
          <w:lang w:val="fr-FR"/>
        </w:rPr>
        <w:t>facultative</w:t>
      </w:r>
      <w:r w:rsidRPr="003F3661">
        <w:rPr>
          <w:caps/>
          <w:lang w:val="fr-FR"/>
        </w:rPr>
        <w:t>)</w:t>
      </w:r>
      <w:bookmarkEnd w:id="4"/>
    </w:p>
    <w:p w:rsidR="00C52DD3" w:rsidRPr="003F3661" w:rsidRDefault="00BC34E5" w:rsidP="00430822">
      <w:pPr>
        <w:pStyle w:val="Txtpucegras"/>
        <w:rPr>
          <w:caps/>
          <w:lang w:val="fr-FR"/>
        </w:rPr>
      </w:pPr>
      <w:r w:rsidRPr="003F3661">
        <w:rPr>
          <w:b/>
          <w:lang w:val="fr-FR"/>
        </w:rPr>
        <w:t>Session</w:t>
      </w:r>
      <w:r w:rsidRPr="003F3661">
        <w:rPr>
          <w:b/>
          <w:caps/>
          <w:lang w:val="fr-FR"/>
        </w:rPr>
        <w:t xml:space="preserve"> 4 : </w:t>
      </w:r>
      <w:bookmarkStart w:id="5" w:name="_Toc238982178"/>
      <w:r w:rsidRPr="003F3661">
        <w:rPr>
          <w:lang w:val="fr-FR"/>
        </w:rPr>
        <w:t xml:space="preserve">Mise en œuvre de la Convention au niveau national </w:t>
      </w:r>
      <w:r w:rsidRPr="003F3661">
        <w:rPr>
          <w:caps/>
          <w:lang w:val="fr-FR"/>
        </w:rPr>
        <w:t>(</w:t>
      </w:r>
      <w:r w:rsidRPr="003F3661">
        <w:rPr>
          <w:lang w:val="fr-FR"/>
        </w:rPr>
        <w:t>Unités</w:t>
      </w:r>
      <w:r w:rsidRPr="003F3661">
        <w:rPr>
          <w:caps/>
          <w:lang w:val="fr-FR"/>
        </w:rPr>
        <w:t xml:space="preserve"> 4, 5, 6, 8, 9 </w:t>
      </w:r>
      <w:r w:rsidRPr="003F3661">
        <w:rPr>
          <w:lang w:val="fr-FR"/>
        </w:rPr>
        <w:t>et</w:t>
      </w:r>
      <w:r w:rsidRPr="003F3661">
        <w:rPr>
          <w:caps/>
          <w:lang w:val="fr-FR"/>
        </w:rPr>
        <w:t xml:space="preserve"> 10)</w:t>
      </w:r>
      <w:bookmarkEnd w:id="5"/>
    </w:p>
    <w:p w:rsidR="00C52DD3" w:rsidRPr="003F3661" w:rsidRDefault="00BC34E5">
      <w:pPr>
        <w:pStyle w:val="Txtpucegras"/>
        <w:rPr>
          <w:caps/>
          <w:lang w:val="fr-FR"/>
        </w:rPr>
      </w:pPr>
      <w:r w:rsidRPr="003F3661">
        <w:rPr>
          <w:b/>
          <w:lang w:val="fr-FR"/>
        </w:rPr>
        <w:t>Session</w:t>
      </w:r>
      <w:r w:rsidRPr="003F3661">
        <w:rPr>
          <w:b/>
          <w:caps/>
          <w:lang w:val="fr-FR"/>
        </w:rPr>
        <w:t xml:space="preserve"> 5 : </w:t>
      </w:r>
      <w:bookmarkStart w:id="6" w:name="_Toc238982180"/>
      <w:r w:rsidRPr="003F3661">
        <w:rPr>
          <w:lang w:val="fr-FR"/>
        </w:rPr>
        <w:t xml:space="preserve">Mise en œuvre de la Convention au niveau international </w:t>
      </w:r>
      <w:r w:rsidRPr="003F3661">
        <w:rPr>
          <w:caps/>
          <w:lang w:val="fr-FR"/>
        </w:rPr>
        <w:t>(</w:t>
      </w:r>
      <w:r w:rsidRPr="003F3661">
        <w:rPr>
          <w:lang w:val="fr-FR"/>
        </w:rPr>
        <w:t>Unités</w:t>
      </w:r>
      <w:r w:rsidRPr="003F3661">
        <w:rPr>
          <w:caps/>
          <w:lang w:val="fr-FR"/>
        </w:rPr>
        <w:t> 11-12)</w:t>
      </w:r>
    </w:p>
    <w:p w:rsidR="00C52DD3" w:rsidRPr="003F3661" w:rsidRDefault="00BC34E5">
      <w:pPr>
        <w:pStyle w:val="Txtpucegras"/>
        <w:rPr>
          <w:caps/>
          <w:lang w:val="fr-FR"/>
        </w:rPr>
      </w:pPr>
      <w:r w:rsidRPr="003F3661">
        <w:rPr>
          <w:b/>
          <w:lang w:val="fr-FR"/>
        </w:rPr>
        <w:t>Session</w:t>
      </w:r>
      <w:r w:rsidRPr="003F3661">
        <w:rPr>
          <w:b/>
          <w:caps/>
          <w:lang w:val="fr-FR"/>
        </w:rPr>
        <w:t xml:space="preserve"> 6 : </w:t>
      </w:r>
      <w:r w:rsidRPr="003F3661">
        <w:rPr>
          <w:lang w:val="fr-FR"/>
        </w:rPr>
        <w:t>Implication des communautés (Unité 7)</w:t>
      </w:r>
    </w:p>
    <w:p w:rsidR="00C52DD3" w:rsidRPr="003F3661" w:rsidRDefault="00BC34E5">
      <w:pPr>
        <w:pStyle w:val="Txtpucegras"/>
        <w:rPr>
          <w:caps/>
          <w:lang w:val="fr-FR"/>
        </w:rPr>
      </w:pPr>
      <w:r w:rsidRPr="003F3661">
        <w:rPr>
          <w:b/>
          <w:lang w:val="fr-FR"/>
        </w:rPr>
        <w:t>Session</w:t>
      </w:r>
      <w:r w:rsidRPr="003F3661">
        <w:rPr>
          <w:b/>
          <w:caps/>
          <w:lang w:val="fr-FR"/>
        </w:rPr>
        <w:t xml:space="preserve"> 7 : </w:t>
      </w:r>
      <w:r w:rsidRPr="003F3661">
        <w:rPr>
          <w:lang w:val="fr-FR"/>
        </w:rPr>
        <w:t>Ratification de la Convention (Unité</w:t>
      </w:r>
      <w:r w:rsidRPr="003F3661">
        <w:rPr>
          <w:caps/>
          <w:lang w:val="fr-FR"/>
        </w:rPr>
        <w:t> 17)</w:t>
      </w:r>
    </w:p>
    <w:p w:rsidR="00C52DD3" w:rsidRPr="003F3661" w:rsidRDefault="00BC34E5">
      <w:pPr>
        <w:pStyle w:val="Txtpucegras"/>
        <w:rPr>
          <w:caps/>
          <w:lang w:val="fr-FR"/>
        </w:rPr>
      </w:pPr>
      <w:r w:rsidRPr="003F3661">
        <w:rPr>
          <w:b/>
          <w:lang w:val="fr-FR"/>
        </w:rPr>
        <w:lastRenderedPageBreak/>
        <w:t>Session</w:t>
      </w:r>
      <w:r w:rsidRPr="003F3661">
        <w:rPr>
          <w:b/>
          <w:caps/>
          <w:lang w:val="fr-FR"/>
        </w:rPr>
        <w:t xml:space="preserve"> 8 : </w:t>
      </w:r>
      <w:r w:rsidRPr="003F3661">
        <w:rPr>
          <w:lang w:val="fr-FR"/>
        </w:rPr>
        <w:t>Conclusions et évaluation (Unité</w:t>
      </w:r>
      <w:r w:rsidRPr="003F3661">
        <w:rPr>
          <w:caps/>
          <w:lang w:val="fr-FR"/>
        </w:rPr>
        <w:t> 15)</w:t>
      </w:r>
      <w:bookmarkEnd w:id="6"/>
    </w:p>
    <w:p w:rsidR="00C52DD3" w:rsidRPr="003F3661" w:rsidRDefault="00BC34E5" w:rsidP="003F3661">
      <w:pPr>
        <w:pStyle w:val="Texte1"/>
        <w:rPr>
          <w:lang w:val="fr-FR"/>
        </w:rPr>
      </w:pPr>
      <w:r w:rsidRPr="00B46B17">
        <w:rPr>
          <w:lang w:val="fr-FR"/>
        </w:rPr>
        <w:t>Les f</w:t>
      </w:r>
      <w:r w:rsidRPr="003F3661">
        <w:rPr>
          <w:lang w:val="fr-FR"/>
        </w:rPr>
        <w:t xml:space="preserve">acilitateurs fourniront aux participants </w:t>
      </w:r>
      <w:r w:rsidRPr="00B46B17">
        <w:rPr>
          <w:lang w:val="fr-FR"/>
        </w:rPr>
        <w:t>tout le</w:t>
      </w:r>
      <w:r w:rsidRPr="003F3661">
        <w:rPr>
          <w:lang w:val="fr-FR"/>
        </w:rPr>
        <w:t xml:space="preserve"> matériel nécessaire </w:t>
      </w:r>
      <w:r w:rsidR="00157EB9">
        <w:rPr>
          <w:lang w:val="fr-FR"/>
        </w:rPr>
        <w:t>à</w:t>
      </w:r>
      <w:r w:rsidRPr="00B46B17">
        <w:rPr>
          <w:lang w:val="fr-FR"/>
        </w:rPr>
        <w:t xml:space="preserve"> l</w:t>
      </w:r>
      <w:r w:rsidRPr="003F3661">
        <w:rPr>
          <w:lang w:val="fr-FR"/>
        </w:rPr>
        <w:t>’atelier, y compris les Textes du participant et les Imprimés.</w:t>
      </w:r>
    </w:p>
    <w:p w:rsidR="00344BBE" w:rsidRPr="003F3661" w:rsidRDefault="00BC34E5" w:rsidP="00430822">
      <w:pPr>
        <w:pStyle w:val="Titcoul"/>
        <w:rPr>
          <w:lang w:val="fr-FR"/>
        </w:rPr>
      </w:pPr>
      <w:r w:rsidRPr="003F3661">
        <w:rPr>
          <w:lang w:val="fr-FR"/>
        </w:rPr>
        <w:t>16.3</w:t>
      </w:r>
      <w:r w:rsidRPr="003F3661">
        <w:rPr>
          <w:lang w:val="fr-FR"/>
        </w:rPr>
        <w:tab/>
        <w:t>matériels de renforcement des capacités</w:t>
      </w:r>
    </w:p>
    <w:p w:rsidR="00D51606" w:rsidRPr="00C52DD3" w:rsidRDefault="00BC34E5" w:rsidP="00716869">
      <w:pPr>
        <w:pStyle w:val="Texte1"/>
        <w:rPr>
          <w:lang w:val="fr-FR"/>
        </w:rPr>
      </w:pPr>
      <w:r w:rsidRPr="003F3661">
        <w:rPr>
          <w:lang w:val="fr-FR"/>
        </w:rPr>
        <w:t xml:space="preserve">Des matériels </w:t>
      </w:r>
      <w:r w:rsidR="002257B7">
        <w:rPr>
          <w:lang w:val="fr-FR"/>
        </w:rPr>
        <w:t>d’atelier</w:t>
      </w:r>
      <w:r w:rsidRPr="003F3661">
        <w:rPr>
          <w:lang w:val="fr-FR"/>
        </w:rPr>
        <w:t xml:space="preserve"> ont été mis au point par des experts reconnus au plan international dans le domaine du PCI. Conçus pour </w:t>
      </w:r>
      <w:r w:rsidR="002257B7">
        <w:rPr>
          <w:lang w:val="fr-FR"/>
        </w:rPr>
        <w:t>s’</w:t>
      </w:r>
      <w:r w:rsidR="002257B7" w:rsidRPr="00C52DD3">
        <w:rPr>
          <w:lang w:val="fr-FR"/>
        </w:rPr>
        <w:t>adapt</w:t>
      </w:r>
      <w:r w:rsidR="002257B7">
        <w:rPr>
          <w:lang w:val="fr-FR"/>
        </w:rPr>
        <w:t>er</w:t>
      </w:r>
      <w:r w:rsidR="002257B7" w:rsidRPr="00C52DD3">
        <w:rPr>
          <w:lang w:val="fr-FR"/>
        </w:rPr>
        <w:t xml:space="preserve"> </w:t>
      </w:r>
      <w:r w:rsidRPr="003F3661">
        <w:rPr>
          <w:lang w:val="fr-FR"/>
        </w:rPr>
        <w:t>facilement aux besoins locaux, ces matériels sont répartis en unités qui comprennent</w:t>
      </w:r>
      <w:r w:rsidR="002257B7">
        <w:rPr>
          <w:lang w:val="fr-FR"/>
        </w:rPr>
        <w:t> :</w:t>
      </w:r>
      <w:r w:rsidRPr="003F3661">
        <w:rPr>
          <w:lang w:val="fr-FR"/>
        </w:rPr>
        <w:t xml:space="preserve"> les Notes du facilitateur, le Texte du participant, les présentations PowerPoint, des exercices, des questionnaires et un large éventail d’études de cas. Les matériels </w:t>
      </w:r>
      <w:r w:rsidR="002514B7">
        <w:rPr>
          <w:lang w:val="fr-FR"/>
        </w:rPr>
        <w:t>se réfère</w:t>
      </w:r>
      <w:r w:rsidRPr="003F3661">
        <w:rPr>
          <w:lang w:val="fr-FR"/>
        </w:rPr>
        <w:t xml:space="preserve">nt fréquemment aux articles de la Convention et aux paragraphes des Directives opérationnelles (DO). Ces textes doivent donc aussi être utilisés pendant les ateliers (tous deux figurent dans les </w:t>
      </w:r>
      <w:r w:rsidRPr="003F3661">
        <w:rPr>
          <w:i/>
          <w:lang w:val="fr-FR"/>
        </w:rPr>
        <w:t>Textes fondamentaux de la Convention de 2003 pour la sauvegarde du patrimoine culturel immatériel</w:t>
      </w:r>
      <w:r w:rsidRPr="003F3661">
        <w:rPr>
          <w:rStyle w:val="FootnoteReference"/>
          <w:i/>
          <w:lang w:val="fr-FR"/>
        </w:rPr>
        <w:footnoteReference w:customMarkFollows="1" w:id="1"/>
        <w:t>1</w:t>
      </w:r>
      <w:r w:rsidRPr="003F3661">
        <w:rPr>
          <w:lang w:val="fr-FR"/>
        </w:rPr>
        <w:t>).</w:t>
      </w:r>
    </w:p>
    <w:p w:rsidR="006D4925" w:rsidRPr="00C52DD3" w:rsidRDefault="00BC34E5" w:rsidP="00716869">
      <w:pPr>
        <w:pStyle w:val="Texte1"/>
        <w:rPr>
          <w:lang w:val="fr-FR"/>
        </w:rPr>
      </w:pPr>
      <w:r w:rsidRPr="003F3661">
        <w:rPr>
          <w:lang w:val="fr-FR"/>
        </w:rPr>
        <w:t>Tous les matériels ont été testés par les facilitateurs a</w:t>
      </w:r>
      <w:r w:rsidR="002514B7">
        <w:rPr>
          <w:lang w:val="fr-FR"/>
        </w:rPr>
        <w:t>uprès de</w:t>
      </w:r>
      <w:r w:rsidRPr="003F3661">
        <w:rPr>
          <w:lang w:val="fr-FR"/>
        </w:rPr>
        <w:t xml:space="preserve"> divers publics à travers le monde. Ils sont tous disponibles sous forme électronique pour être utilisés par les facilitateurs en anglais et seront progressivement traduits dans d’autres langues, notamment en français, en espagnol, en portugais, en russe, en arabe et autres.</w:t>
      </w:r>
    </w:p>
    <w:p w:rsidR="003E66CE" w:rsidRPr="00C52DD3" w:rsidRDefault="00BC34E5" w:rsidP="00716869">
      <w:pPr>
        <w:pStyle w:val="Texte1"/>
        <w:rPr>
          <w:lang w:val="fr-FR"/>
        </w:rPr>
      </w:pPr>
      <w:r w:rsidRPr="003F3661">
        <w:rPr>
          <w:lang w:val="fr-FR"/>
        </w:rPr>
        <w:t xml:space="preserve">La stratégie prévoit à cet égard </w:t>
      </w:r>
      <w:r w:rsidR="002514B7">
        <w:rPr>
          <w:lang w:val="fr-FR"/>
        </w:rPr>
        <w:t>le</w:t>
      </w:r>
      <w:r w:rsidRPr="003F3661">
        <w:rPr>
          <w:lang w:val="fr-FR"/>
        </w:rPr>
        <w:t xml:space="preserve"> développement continu de nouve</w:t>
      </w:r>
      <w:r w:rsidR="002514B7">
        <w:rPr>
          <w:lang w:val="fr-FR"/>
        </w:rPr>
        <w:t>lles thématique</w:t>
      </w:r>
      <w:r w:rsidRPr="003F3661">
        <w:rPr>
          <w:lang w:val="fr-FR"/>
        </w:rPr>
        <w:t>s</w:t>
      </w:r>
      <w:r w:rsidR="002514B7">
        <w:rPr>
          <w:lang w:val="fr-FR"/>
        </w:rPr>
        <w:t>, ainsi que l’</w:t>
      </w:r>
      <w:r w:rsidRPr="003F3661">
        <w:rPr>
          <w:lang w:val="fr-FR"/>
        </w:rPr>
        <w:t xml:space="preserve">amélioration et </w:t>
      </w:r>
      <w:r w:rsidR="002514B7">
        <w:rPr>
          <w:lang w:val="fr-FR"/>
        </w:rPr>
        <w:t>l’</w:t>
      </w:r>
      <w:r w:rsidRPr="003F3661">
        <w:rPr>
          <w:lang w:val="fr-FR"/>
        </w:rPr>
        <w:t>adaptation d</w:t>
      </w:r>
      <w:r w:rsidR="00294087">
        <w:rPr>
          <w:lang w:val="fr-FR"/>
        </w:rPr>
        <w:t>u</w:t>
      </w:r>
      <w:r w:rsidRPr="003F3661">
        <w:rPr>
          <w:lang w:val="fr-FR"/>
        </w:rPr>
        <w:t xml:space="preserve"> matériel existant afin de se faire l’écho du retour d’expérience des facilitateurs et des participants et de les ajuster en fonction des besoins spécifiques de chaque État. Ce processus de mise à jour concerne non seulement le développement du contenu, mais encore la conception et la présentation des programmes afin d’améliorer leur efficacité éducative, leur attractivité et leur facilité de reproduction.</w:t>
      </w:r>
    </w:p>
    <w:p w:rsidR="00D13BA7" w:rsidRPr="00C52DD3" w:rsidRDefault="00BC34E5" w:rsidP="00716869">
      <w:pPr>
        <w:pStyle w:val="Texte1"/>
        <w:rPr>
          <w:lang w:val="fr-FR"/>
        </w:rPr>
      </w:pPr>
      <w:r w:rsidRPr="003F3661">
        <w:rPr>
          <w:lang w:val="fr-FR"/>
        </w:rPr>
        <w:t xml:space="preserve">Les matériels ne sont pas </w:t>
      </w:r>
      <w:r w:rsidR="00294087">
        <w:rPr>
          <w:lang w:val="fr-FR"/>
        </w:rPr>
        <w:t>seule</w:t>
      </w:r>
      <w:r w:rsidRPr="003F3661">
        <w:rPr>
          <w:lang w:val="fr-FR"/>
        </w:rPr>
        <w:t xml:space="preserve">ment utilisés dans le cadre des ateliers. Ils ont </w:t>
      </w:r>
      <w:r w:rsidR="00294087">
        <w:rPr>
          <w:lang w:val="fr-FR"/>
        </w:rPr>
        <w:t>aussi</w:t>
      </w:r>
      <w:r w:rsidRPr="003F3661">
        <w:rPr>
          <w:lang w:val="fr-FR"/>
        </w:rPr>
        <w:t xml:space="preserve"> été conçus comme </w:t>
      </w:r>
      <w:r w:rsidR="00294087">
        <w:rPr>
          <w:lang w:val="fr-FR"/>
        </w:rPr>
        <w:t xml:space="preserve">une </w:t>
      </w:r>
      <w:r w:rsidRPr="003F3661">
        <w:rPr>
          <w:lang w:val="fr-FR"/>
        </w:rPr>
        <w:t xml:space="preserve">source d’information </w:t>
      </w:r>
      <w:r w:rsidR="00294087">
        <w:rPr>
          <w:lang w:val="fr-FR"/>
        </w:rPr>
        <w:t>qui</w:t>
      </w:r>
      <w:r w:rsidRPr="003F3661">
        <w:rPr>
          <w:lang w:val="fr-FR"/>
        </w:rPr>
        <w:t xml:space="preserve"> accompagne d</w:t>
      </w:r>
      <w:r w:rsidR="00294087">
        <w:rPr>
          <w:lang w:val="fr-FR"/>
        </w:rPr>
        <w:t xml:space="preserve">es </w:t>
      </w:r>
      <w:r w:rsidRPr="003F3661">
        <w:rPr>
          <w:lang w:val="fr-FR"/>
        </w:rPr>
        <w:t xml:space="preserve">initiatives à plus long terme </w:t>
      </w:r>
      <w:r w:rsidR="00294087">
        <w:rPr>
          <w:lang w:val="fr-FR"/>
        </w:rPr>
        <w:t>comme</w:t>
      </w:r>
      <w:r w:rsidRPr="003F3661">
        <w:rPr>
          <w:lang w:val="fr-FR"/>
        </w:rPr>
        <w:t xml:space="preserve"> la révision de politiques ou les réformes institutionnelles.</w:t>
      </w:r>
    </w:p>
    <w:p w:rsidR="00091E9E" w:rsidRPr="003F3661" w:rsidRDefault="00BC34E5" w:rsidP="00091E9E">
      <w:pPr>
        <w:keepNext/>
        <w:keepLines/>
        <w:snapToGrid w:val="0"/>
        <w:spacing w:before="480" w:after="240" w:line="300" w:lineRule="exact"/>
        <w:ind w:left="1" w:firstLine="1"/>
        <w:outlineLvl w:val="3"/>
        <w:rPr>
          <w:rFonts w:ascii="Arial" w:eastAsia="Times New Roman" w:hAnsi="Arial" w:cs="Arial"/>
          <w:b/>
          <w:bCs/>
          <w:caps/>
          <w:w w:val="108"/>
          <w:sz w:val="20"/>
          <w:lang w:eastAsia="en-US"/>
        </w:rPr>
      </w:pPr>
      <w:r w:rsidRPr="003F3661">
        <w:rPr>
          <w:rFonts w:ascii="Arial" w:eastAsia="Times New Roman" w:hAnsi="Arial" w:cs="Arial"/>
          <w:b/>
          <w:bCs/>
          <w:caps/>
          <w:w w:val="108"/>
          <w:sz w:val="20"/>
          <w:lang w:eastAsia="en-US"/>
        </w:rPr>
        <w:t>à propos du texte du Participant</w:t>
      </w:r>
    </w:p>
    <w:p w:rsidR="00091E9E" w:rsidRPr="00C52DD3" w:rsidRDefault="00BC34E5" w:rsidP="00D13BA7">
      <w:pPr>
        <w:pStyle w:val="Texte1"/>
        <w:rPr>
          <w:lang w:val="fr-FR"/>
        </w:rPr>
      </w:pPr>
      <w:r w:rsidRPr="003F3661">
        <w:rPr>
          <w:lang w:val="fr-FR"/>
        </w:rPr>
        <w:t>Le Texte du participant est fait pour servir de référence dans les ateliers de formation et peut également être utilisé p</w:t>
      </w:r>
      <w:r w:rsidR="00294087">
        <w:rPr>
          <w:lang w:val="fr-FR"/>
        </w:rPr>
        <w:t xml:space="preserve">ar la suite à titre de </w:t>
      </w:r>
      <w:r w:rsidRPr="003F3661">
        <w:rPr>
          <w:lang w:val="fr-FR"/>
        </w:rPr>
        <w:t>référence pour les participants afin de les aider dans la mise en œuvre de la Convention. Le Texte du participant d</w:t>
      </w:r>
      <w:r w:rsidR="00294087">
        <w:rPr>
          <w:lang w:val="fr-FR"/>
        </w:rPr>
        <w:t>ispens</w:t>
      </w:r>
      <w:r w:rsidRPr="003F3661">
        <w:rPr>
          <w:lang w:val="fr-FR"/>
        </w:rPr>
        <w:t xml:space="preserve">e des informations générales ; des informations plus détaillées et spécifiques au contexte seront </w:t>
      </w:r>
      <w:r w:rsidR="00294087">
        <w:rPr>
          <w:lang w:val="fr-FR"/>
        </w:rPr>
        <w:t>fourni</w:t>
      </w:r>
      <w:r w:rsidRPr="003F3661">
        <w:rPr>
          <w:lang w:val="fr-FR"/>
        </w:rPr>
        <w:t>es pendant les ateliers.</w:t>
      </w:r>
    </w:p>
    <w:p w:rsidR="00091E9E" w:rsidRPr="00C52DD3" w:rsidRDefault="00BC34E5" w:rsidP="00091E9E">
      <w:pPr>
        <w:keepNext/>
        <w:keepLines/>
        <w:snapToGrid w:val="0"/>
        <w:spacing w:before="480" w:after="240" w:line="300" w:lineRule="exact"/>
        <w:ind w:left="1" w:firstLine="1"/>
        <w:outlineLvl w:val="3"/>
        <w:rPr>
          <w:rFonts w:ascii="Arial" w:eastAsia="Times New Roman" w:hAnsi="Arial" w:cs="Arial"/>
          <w:b/>
          <w:bCs/>
          <w:caps/>
          <w:w w:val="108"/>
          <w:sz w:val="20"/>
          <w:lang w:eastAsia="en-US"/>
        </w:rPr>
      </w:pPr>
      <w:r w:rsidRPr="003F3661">
        <w:rPr>
          <w:rFonts w:ascii="Arial" w:eastAsia="Times New Roman" w:hAnsi="Arial" w:cs="Arial"/>
          <w:b/>
          <w:bCs/>
          <w:caps/>
          <w:w w:val="108"/>
          <w:sz w:val="20"/>
          <w:lang w:eastAsia="en-US"/>
        </w:rPr>
        <w:lastRenderedPageBreak/>
        <w:t>icônes</w:t>
      </w:r>
    </w:p>
    <w:p w:rsidR="00C800F5" w:rsidRPr="00C52DD3" w:rsidRDefault="00BC34E5" w:rsidP="00C800F5">
      <w:pPr>
        <w:tabs>
          <w:tab w:val="left" w:pos="567"/>
        </w:tabs>
        <w:snapToGrid w:val="0"/>
        <w:spacing w:after="60" w:line="280" w:lineRule="exact"/>
        <w:ind w:left="851"/>
        <w:jc w:val="both"/>
        <w:rPr>
          <w:rFonts w:ascii="Arial" w:eastAsia="SimSun" w:hAnsi="Arial" w:cs="Arial"/>
          <w:sz w:val="20"/>
          <w:szCs w:val="20"/>
          <w:lang w:eastAsia="zh-CN"/>
        </w:rPr>
      </w:pPr>
      <w:r w:rsidRPr="003F3661">
        <w:rPr>
          <w:rFonts w:ascii="Arial" w:eastAsia="SimSun" w:hAnsi="Arial" w:cs="Arial"/>
          <w:sz w:val="20"/>
          <w:szCs w:val="20"/>
          <w:lang w:eastAsia="zh-CN"/>
        </w:rPr>
        <w:t>Des icônes sont utilisées dans l’ensemble du matériel de renforcement des capacités afin d’attirer l’attention sur certains aspects du texte.</w:t>
      </w:r>
    </w:p>
    <w:p w:rsidR="00C800F5" w:rsidRPr="00C52DD3" w:rsidRDefault="00C52DD3" w:rsidP="00C800F5">
      <w:pPr>
        <w:tabs>
          <w:tab w:val="left" w:pos="567"/>
        </w:tabs>
        <w:snapToGrid w:val="0"/>
        <w:spacing w:after="60" w:line="280" w:lineRule="exact"/>
        <w:ind w:left="851"/>
        <w:jc w:val="both"/>
        <w:rPr>
          <w:rFonts w:ascii="Arial" w:eastAsia="SimSun" w:hAnsi="Arial" w:cs="Arial"/>
          <w:sz w:val="20"/>
          <w:szCs w:val="20"/>
          <w:lang w:eastAsia="zh-CN"/>
        </w:rPr>
      </w:pPr>
      <w:r w:rsidRPr="003F3661">
        <w:rPr>
          <w:rFonts w:ascii="Arial" w:eastAsia="SimSun" w:hAnsi="Arial" w:cs="Arial"/>
          <w:i/>
          <w:noProof/>
          <w:sz w:val="20"/>
          <w:szCs w:val="20"/>
          <w:lang w:eastAsia="zh-TW"/>
        </w:rPr>
        <w:drawing>
          <wp:anchor distT="0" distB="0" distL="114300" distR="114300" simplePos="0" relativeHeight="251668480" behindDoc="0" locked="1" layoutInCell="1" allowOverlap="0" wp14:anchorId="36C63F6F" wp14:editId="6E7C56D8">
            <wp:simplePos x="0" y="0"/>
            <wp:positionH relativeFrom="margin">
              <wp:align>left</wp:align>
            </wp:positionH>
            <wp:positionV relativeFrom="paragraph">
              <wp:posOffset>-63500</wp:posOffset>
            </wp:positionV>
            <wp:extent cx="285750" cy="355600"/>
            <wp:effectExtent l="2540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2"/>
                    <a:srcRect/>
                    <a:stretch>
                      <a:fillRect/>
                    </a:stretch>
                  </pic:blipFill>
                  <pic:spPr bwMode="auto">
                    <a:xfrm>
                      <a:off x="0" y="0"/>
                      <a:ext cx="285750" cy="355600"/>
                    </a:xfrm>
                    <a:prstGeom prst="rect">
                      <a:avLst/>
                    </a:prstGeom>
                    <a:noFill/>
                    <a:ln w="9525">
                      <a:noFill/>
                      <a:miter lim="800000"/>
                      <a:headEnd/>
                      <a:tailEnd/>
                    </a:ln>
                  </pic:spPr>
                </pic:pic>
              </a:graphicData>
            </a:graphic>
          </wp:anchor>
        </w:drawing>
      </w:r>
      <w:r w:rsidR="00BC34E5" w:rsidRPr="003F3661">
        <w:rPr>
          <w:rFonts w:ascii="Arial" w:eastAsia="SimSun" w:hAnsi="Arial" w:cs="Arial"/>
          <w:sz w:val="20"/>
          <w:szCs w:val="20"/>
          <w:lang w:eastAsia="zh-CN"/>
        </w:rPr>
        <w:t xml:space="preserve">L’icône de l’œil indique une référence à une autre unité ou section du matériel de renforcement des capacités ne figurant pas dans le document, ou une référence aux </w:t>
      </w:r>
      <w:r w:rsidR="00BC34E5" w:rsidRPr="003F3661">
        <w:rPr>
          <w:rFonts w:ascii="Arial" w:eastAsia="SimSun" w:hAnsi="Arial" w:cs="Arial"/>
          <w:i/>
          <w:sz w:val="20"/>
          <w:szCs w:val="20"/>
          <w:lang w:eastAsia="zh-CN"/>
        </w:rPr>
        <w:t>Textes fondamentaux</w:t>
      </w:r>
      <w:r w:rsidR="00BC34E5" w:rsidRPr="003F3661">
        <w:rPr>
          <w:rFonts w:ascii="Arial" w:eastAsia="SimSun" w:hAnsi="Arial" w:cs="Arial"/>
          <w:sz w:val="20"/>
          <w:szCs w:val="20"/>
          <w:lang w:eastAsia="zh-CN"/>
        </w:rPr>
        <w:t>.</w:t>
      </w:r>
    </w:p>
    <w:p w:rsidR="00C800F5" w:rsidRPr="00C52DD3" w:rsidRDefault="00C52DD3" w:rsidP="00C800F5">
      <w:pPr>
        <w:tabs>
          <w:tab w:val="left" w:pos="567"/>
        </w:tabs>
        <w:snapToGrid w:val="0"/>
        <w:spacing w:after="60" w:line="280" w:lineRule="exact"/>
        <w:ind w:left="851"/>
        <w:jc w:val="both"/>
        <w:rPr>
          <w:rFonts w:ascii="Arial" w:eastAsia="SimSun" w:hAnsi="Arial" w:cs="Arial"/>
          <w:sz w:val="20"/>
          <w:szCs w:val="20"/>
          <w:lang w:eastAsia="zh-CN"/>
        </w:rPr>
      </w:pPr>
      <w:r w:rsidRPr="003F3661">
        <w:rPr>
          <w:rFonts w:ascii="Arial" w:eastAsia="SimSun" w:hAnsi="Arial" w:cs="Arial"/>
          <w:noProof/>
          <w:sz w:val="20"/>
          <w:szCs w:val="20"/>
          <w:lang w:eastAsia="zh-TW"/>
        </w:rPr>
        <w:drawing>
          <wp:anchor distT="0" distB="0" distL="114300" distR="114300" simplePos="0" relativeHeight="251670528" behindDoc="0" locked="1" layoutInCell="1" allowOverlap="0" wp14:anchorId="14BDF993" wp14:editId="571C3A5E">
            <wp:simplePos x="0" y="0"/>
            <wp:positionH relativeFrom="margin">
              <wp:align>left</wp:align>
            </wp:positionH>
            <wp:positionV relativeFrom="paragraph">
              <wp:posOffset>-65405</wp:posOffset>
            </wp:positionV>
            <wp:extent cx="271780" cy="34734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271780" cy="347345"/>
                    </a:xfrm>
                    <a:prstGeom prst="rect">
                      <a:avLst/>
                    </a:prstGeom>
                    <a:noFill/>
                    <a:ln w="9525">
                      <a:noFill/>
                      <a:miter lim="800000"/>
                      <a:headEnd/>
                      <a:tailEnd/>
                    </a:ln>
                  </pic:spPr>
                </pic:pic>
              </a:graphicData>
            </a:graphic>
          </wp:anchor>
        </w:drawing>
      </w:r>
      <w:r w:rsidR="00BC34E5" w:rsidRPr="003F3661">
        <w:rPr>
          <w:rFonts w:ascii="Arial" w:eastAsia="SimSun" w:hAnsi="Arial" w:cs="Arial"/>
          <w:sz w:val="20"/>
          <w:szCs w:val="20"/>
          <w:lang w:eastAsia="zh-CN"/>
        </w:rPr>
        <w:t>L’icône du papier indique une référence qui ne fait pas partie du matériel de renforcement des capacités. Il peut s’agir de sites web, articles et autres ressources extérieures.</w:t>
      </w:r>
    </w:p>
    <w:p w:rsidR="00C800F5" w:rsidRPr="00C52DD3" w:rsidRDefault="00C52DD3" w:rsidP="00C800F5">
      <w:pPr>
        <w:tabs>
          <w:tab w:val="left" w:pos="567"/>
        </w:tabs>
        <w:snapToGrid w:val="0"/>
        <w:spacing w:after="60" w:line="280" w:lineRule="exact"/>
        <w:ind w:left="851"/>
        <w:jc w:val="both"/>
        <w:rPr>
          <w:rFonts w:ascii="Arial" w:eastAsia="SimSun" w:hAnsi="Arial" w:cs="Arial"/>
          <w:sz w:val="20"/>
          <w:szCs w:val="20"/>
          <w:lang w:eastAsia="zh-CN"/>
        </w:rPr>
      </w:pPr>
      <w:r w:rsidRPr="003F3661">
        <w:rPr>
          <w:rFonts w:ascii="Arial" w:eastAsia="SimSun" w:hAnsi="Arial" w:cs="Arial"/>
          <w:noProof/>
          <w:sz w:val="20"/>
          <w:szCs w:val="20"/>
          <w:lang w:eastAsia="zh-TW"/>
        </w:rPr>
        <w:drawing>
          <wp:anchor distT="0" distB="0" distL="114300" distR="114300" simplePos="0" relativeHeight="251667456" behindDoc="0" locked="1" layoutInCell="1" allowOverlap="0" wp14:anchorId="67C164F7" wp14:editId="014B54F1">
            <wp:simplePos x="0" y="0"/>
            <wp:positionH relativeFrom="margin">
              <wp:align>left</wp:align>
            </wp:positionH>
            <wp:positionV relativeFrom="paragraph">
              <wp:posOffset>61595</wp:posOffset>
            </wp:positionV>
            <wp:extent cx="271145" cy="325755"/>
            <wp:effectExtent l="25400" t="0" r="8255"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srcRect/>
                    <a:stretch>
                      <a:fillRect/>
                    </a:stretch>
                  </pic:blipFill>
                  <pic:spPr bwMode="auto">
                    <a:xfrm>
                      <a:off x="0" y="0"/>
                      <a:ext cx="271145" cy="325755"/>
                    </a:xfrm>
                    <a:prstGeom prst="rect">
                      <a:avLst/>
                    </a:prstGeom>
                    <a:noFill/>
                    <a:ln w="9525">
                      <a:noFill/>
                      <a:miter lim="800000"/>
                      <a:headEnd/>
                      <a:tailEnd/>
                    </a:ln>
                  </pic:spPr>
                </pic:pic>
              </a:graphicData>
            </a:graphic>
          </wp:anchor>
        </w:drawing>
      </w:r>
      <w:r w:rsidR="00BC34E5" w:rsidRPr="003F3661">
        <w:rPr>
          <w:rFonts w:ascii="Arial" w:eastAsia="SimSun" w:hAnsi="Arial" w:cs="Arial"/>
          <w:sz w:val="20"/>
          <w:szCs w:val="20"/>
          <w:lang w:eastAsia="zh-CN"/>
        </w:rPr>
        <w:t>L’icône du point d’exclamation indique un élément d’information qui est particulièrement important à signaler et à retenir.</w:t>
      </w:r>
    </w:p>
    <w:p w:rsidR="00C800F5" w:rsidRPr="00C52DD3" w:rsidRDefault="00C52DD3" w:rsidP="00C800F5">
      <w:pPr>
        <w:tabs>
          <w:tab w:val="left" w:pos="567"/>
        </w:tabs>
        <w:snapToGrid w:val="0"/>
        <w:spacing w:after="60" w:line="280" w:lineRule="exact"/>
        <w:ind w:left="851"/>
        <w:jc w:val="both"/>
        <w:rPr>
          <w:rFonts w:ascii="Arial" w:eastAsia="SimSun" w:hAnsi="Arial" w:cs="Arial"/>
          <w:sz w:val="20"/>
          <w:szCs w:val="20"/>
          <w:lang w:eastAsia="zh-CN"/>
        </w:rPr>
      </w:pPr>
      <w:r w:rsidRPr="003F3661">
        <w:rPr>
          <w:rFonts w:ascii="Arial" w:eastAsia="SimSun" w:hAnsi="Arial" w:cs="Arial"/>
          <w:noProof/>
          <w:kern w:val="28"/>
          <w:sz w:val="20"/>
          <w:szCs w:val="20"/>
          <w:lang w:eastAsia="zh-TW"/>
        </w:rPr>
        <w:drawing>
          <wp:anchor distT="0" distB="0" distL="114300" distR="114300" simplePos="0" relativeHeight="251669504" behindDoc="0" locked="0" layoutInCell="1" allowOverlap="1" wp14:anchorId="552E6745" wp14:editId="703CB647">
            <wp:simplePos x="0" y="0"/>
            <wp:positionH relativeFrom="margin">
              <wp:align>left</wp:align>
            </wp:positionH>
            <wp:positionV relativeFrom="paragraph">
              <wp:posOffset>13335</wp:posOffset>
            </wp:positionV>
            <wp:extent cx="294640" cy="347345"/>
            <wp:effectExtent l="25400" t="0" r="10160" b="0"/>
            <wp:wrapNone/>
            <wp:docPr id="4"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_cunningham\AppData\Local\Microsoft\Windows\Temporary Internet Files\Content.IE5\0LYUBDWZ\pencil-silhouette[1].jpg"/>
                    <pic:cNvPicPr>
                      <a:picLocks noChangeAspect="1" noChangeArrowheads="1"/>
                    </pic:cNvPicPr>
                  </pic:nvPicPr>
                  <pic:blipFill>
                    <a:blip r:embed="rId15"/>
                    <a:srcRect/>
                    <a:stretch>
                      <a:fillRect/>
                    </a:stretch>
                  </pic:blipFill>
                  <pic:spPr bwMode="auto">
                    <a:xfrm>
                      <a:off x="0" y="0"/>
                      <a:ext cx="294640" cy="347345"/>
                    </a:xfrm>
                    <a:prstGeom prst="rect">
                      <a:avLst/>
                    </a:prstGeom>
                    <a:noFill/>
                    <a:ln w="9525">
                      <a:noFill/>
                      <a:miter lim="800000"/>
                      <a:headEnd/>
                      <a:tailEnd/>
                    </a:ln>
                  </pic:spPr>
                </pic:pic>
              </a:graphicData>
            </a:graphic>
          </wp:anchor>
        </w:drawing>
      </w:r>
      <w:r w:rsidR="00BC34E5" w:rsidRPr="003F3661">
        <w:rPr>
          <w:rFonts w:ascii="Arial" w:eastAsia="SimSun" w:hAnsi="Arial" w:cs="Arial"/>
          <w:sz w:val="20"/>
          <w:szCs w:val="20"/>
          <w:lang w:eastAsia="zh-CN"/>
        </w:rPr>
        <w:t>L’icône du crayon indique un exercice ou une activité qui fait partie de l’unité. Ces exercices réclament une attention adéquate.</w:t>
      </w:r>
    </w:p>
    <w:p w:rsidR="00763DD3" w:rsidRPr="00430822" w:rsidRDefault="00BC34E5" w:rsidP="00430822">
      <w:pPr>
        <w:pStyle w:val="Titcoul"/>
        <w:rPr>
          <w:lang w:val="fr-FR"/>
        </w:rPr>
      </w:pPr>
      <w:r w:rsidRPr="003F3661">
        <w:rPr>
          <w:lang w:val="fr-FR"/>
        </w:rPr>
        <w:t>16.4</w:t>
      </w:r>
      <w:r w:rsidR="00430822" w:rsidRPr="00430822">
        <w:rPr>
          <w:lang w:val="fr-FR"/>
        </w:rPr>
        <w:tab/>
      </w:r>
      <w:r w:rsidRPr="003F3661">
        <w:rPr>
          <w:lang w:val="fr-FR"/>
        </w:rPr>
        <w:t>concepts clés et définitions</w:t>
      </w:r>
    </w:p>
    <w:p w:rsidR="00763DD3" w:rsidRPr="00C52DD3" w:rsidRDefault="00BC34E5" w:rsidP="00763DD3">
      <w:pPr>
        <w:pStyle w:val="Texte1"/>
        <w:rPr>
          <w:lang w:val="fr-FR"/>
        </w:rPr>
      </w:pPr>
      <w:r w:rsidRPr="003F3661">
        <w:rPr>
          <w:lang w:val="fr-FR"/>
        </w:rPr>
        <w:t xml:space="preserve">La Convention ne donne que quelques définitions, la plupart à l’article 2. Le « patrimoine culturel immatériel » et la « sauvegarde » y sont définis. </w:t>
      </w:r>
      <w:r w:rsidR="009C16AA">
        <w:rPr>
          <w:lang w:val="fr-FR"/>
        </w:rPr>
        <w:t xml:space="preserve">Ce sont là </w:t>
      </w:r>
      <w:r w:rsidRPr="003F3661">
        <w:rPr>
          <w:lang w:val="fr-FR"/>
        </w:rPr>
        <w:t>deux concepts clés de la Convention qui feront l’objet d’un examen approfondi au cours de l’atelier.</w:t>
      </w:r>
    </w:p>
    <w:p w:rsidR="00763DD3" w:rsidRPr="00C52DD3" w:rsidRDefault="00BC34E5" w:rsidP="00763DD3">
      <w:pPr>
        <w:pStyle w:val="Texte1"/>
        <w:rPr>
          <w:lang w:val="fr-FR"/>
        </w:rPr>
      </w:pPr>
      <w:r w:rsidRPr="003F3661">
        <w:rPr>
          <w:lang w:val="fr-FR"/>
        </w:rPr>
        <w:t>La mise en œuvre des mesures de sauvegarde du PCI à divers niveaux est une tâche que la communauté internationale est de plus en plus disposée à soutenir, comme en témoigne la rapidité de la ratification de la Convention (voir aussi l’article 19.2).</w:t>
      </w:r>
    </w:p>
    <w:p w:rsidR="00763DD3" w:rsidRPr="00C52DD3" w:rsidRDefault="00C52DD3" w:rsidP="00763DD3">
      <w:pPr>
        <w:pStyle w:val="Informations"/>
        <w:rPr>
          <w:snapToGrid/>
          <w:lang w:val="fr-FR" w:eastAsia="fr-FR"/>
        </w:rPr>
      </w:pPr>
      <w:r w:rsidRPr="003F3661">
        <w:rPr>
          <w:noProof/>
          <w:snapToGrid/>
          <w:lang w:val="fr-FR" w:eastAsia="zh-TW"/>
        </w:rPr>
        <w:drawing>
          <wp:anchor distT="0" distB="0" distL="114300" distR="114300" simplePos="0" relativeHeight="251672576" behindDoc="0" locked="1" layoutInCell="1" allowOverlap="0" wp14:anchorId="259755B3" wp14:editId="39BF74C4">
            <wp:simplePos x="0" y="0"/>
            <wp:positionH relativeFrom="column">
              <wp:posOffset>5080</wp:posOffset>
            </wp:positionH>
            <wp:positionV relativeFrom="paragraph">
              <wp:posOffset>-29845</wp:posOffset>
            </wp:positionV>
            <wp:extent cx="284480" cy="360045"/>
            <wp:effectExtent l="0" t="0" r="1270" b="1905"/>
            <wp:wrapThrough wrapText="bothSides">
              <wp:wrapPolygon edited="0">
                <wp:start x="0" y="0"/>
                <wp:lineTo x="0" y="20571"/>
                <wp:lineTo x="20250" y="20571"/>
                <wp:lineTo x="20250" y="0"/>
                <wp:lineTo x="0" y="0"/>
              </wp:wrapPolygon>
            </wp:wrapThrough>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anchor>
        </w:drawing>
      </w:r>
      <w:r w:rsidR="00BC34E5" w:rsidRPr="003F3661">
        <w:rPr>
          <w:snapToGrid/>
          <w:lang w:val="fr-FR" w:eastAsia="fr-FR"/>
        </w:rPr>
        <w:t>Voir Texte du participant de l’Unité 3 : « Domaines du PCI », « Patrimoine culturel immatériel » et « Sauvegarde »</w:t>
      </w:r>
    </w:p>
    <w:p w:rsidR="00457B38" w:rsidRPr="003F3661" w:rsidRDefault="00BC34E5" w:rsidP="00430822">
      <w:pPr>
        <w:pStyle w:val="Titcoul"/>
        <w:rPr>
          <w:lang w:val="fr-FR"/>
        </w:rPr>
      </w:pPr>
      <w:r w:rsidRPr="003F3661">
        <w:rPr>
          <w:lang w:val="fr-FR"/>
        </w:rPr>
        <w:t xml:space="preserve">16.5 </w:t>
      </w:r>
      <w:r w:rsidRPr="003F3661">
        <w:rPr>
          <w:lang w:val="fr-FR"/>
        </w:rPr>
        <w:tab/>
        <w:t>RESSOURCES et terminologie</w:t>
      </w:r>
    </w:p>
    <w:p w:rsidR="00273DA8" w:rsidRPr="00C52DD3" w:rsidRDefault="00BC34E5" w:rsidP="00716869">
      <w:pPr>
        <w:pStyle w:val="Texte1"/>
        <w:rPr>
          <w:lang w:val="fr-FR"/>
        </w:rPr>
      </w:pPr>
      <w:r w:rsidRPr="003F3661">
        <w:rPr>
          <w:lang w:val="fr-FR"/>
        </w:rPr>
        <w:t xml:space="preserve">Il sera remis aux participants à l’atelier un exemplaire en version papier ou électronique des </w:t>
      </w:r>
      <w:r w:rsidRPr="003F3661">
        <w:rPr>
          <w:i/>
          <w:lang w:val="fr-FR"/>
        </w:rPr>
        <w:t>Textes fondamentaux</w:t>
      </w:r>
      <w:r w:rsidRPr="003F3661">
        <w:rPr>
          <w:lang w:val="fr-FR"/>
        </w:rPr>
        <w:t xml:space="preserve">. Disponible en anglais, arabe, chinois, espagnol, français et russe, cette publication </w:t>
      </w:r>
      <w:r w:rsidR="009C16AA">
        <w:rPr>
          <w:lang w:val="fr-FR"/>
        </w:rPr>
        <w:t>contient</w:t>
      </w:r>
      <w:r w:rsidRPr="003F3661">
        <w:rPr>
          <w:lang w:val="fr-FR"/>
        </w:rPr>
        <w:t xml:space="preserve"> le texte de la Convention, ses Directives opérationnelles, le Règlement intérieur des deux Organes de la Convention, le Règlement financier et un certain nombre d’annexes. Tous les textes </w:t>
      </w:r>
      <w:r w:rsidR="009C16AA">
        <w:rPr>
          <w:lang w:val="fr-FR"/>
        </w:rPr>
        <w:t>qui figurent</w:t>
      </w:r>
      <w:r w:rsidRPr="003F3661">
        <w:rPr>
          <w:lang w:val="fr-FR"/>
        </w:rPr>
        <w:t xml:space="preserve"> dans cet ouvrage sont téléchargeables depuis le site Web de la Convention.</w:t>
      </w:r>
    </w:p>
    <w:p w:rsidR="00C128EE" w:rsidRPr="00C52DD3" w:rsidDel="00C128EE" w:rsidRDefault="00C52DD3" w:rsidP="00716869">
      <w:pPr>
        <w:pStyle w:val="Texte1"/>
        <w:rPr>
          <w:lang w:val="fr-FR"/>
        </w:rPr>
      </w:pPr>
      <w:r w:rsidRPr="003F3661">
        <w:rPr>
          <w:noProof/>
          <w:color w:val="000000" w:themeColor="text1"/>
          <w:lang w:val="fr-FR" w:eastAsia="zh-TW"/>
        </w:rPr>
        <w:drawing>
          <wp:anchor distT="0" distB="0" distL="114300" distR="114300" simplePos="0" relativeHeight="251682816" behindDoc="0" locked="1" layoutInCell="1" allowOverlap="0" wp14:anchorId="304255ED" wp14:editId="7BE74394">
            <wp:simplePos x="0" y="0"/>
            <wp:positionH relativeFrom="margin">
              <wp:align>left</wp:align>
            </wp:positionH>
            <wp:positionV relativeFrom="paragraph">
              <wp:posOffset>0</wp:posOffset>
            </wp:positionV>
            <wp:extent cx="273050" cy="349250"/>
            <wp:effectExtent l="25400" t="0" r="635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BC34E5" w:rsidRPr="003F3661">
        <w:rPr>
          <w:color w:val="000000" w:themeColor="text1"/>
          <w:lang w:val="fr-FR"/>
        </w:rPr>
        <w:t>Le site Web du PCI,</w:t>
      </w:r>
      <w:r w:rsidR="00BC34E5" w:rsidRPr="003F3661">
        <w:rPr>
          <w:lang w:val="fr-FR"/>
        </w:rPr>
        <w:t xml:space="preserve"> http://www.unesco.org/culture/ich/, géré par le Secrétariat de la Convention, propose de nombreux documents et informations complémentaires en lien avec le sujet, </w:t>
      </w:r>
      <w:r w:rsidR="009C16AA">
        <w:rPr>
          <w:lang w:val="fr-FR"/>
        </w:rPr>
        <w:t>en particulier</w:t>
      </w:r>
      <w:r w:rsidR="00BC34E5" w:rsidRPr="003F3661">
        <w:rPr>
          <w:lang w:val="fr-FR"/>
        </w:rPr>
        <w:t> :</w:t>
      </w:r>
    </w:p>
    <w:p w:rsidR="00C52DD3" w:rsidRPr="00C52DD3" w:rsidRDefault="00BC34E5" w:rsidP="00346988">
      <w:pPr>
        <w:pStyle w:val="Texte1"/>
        <w:numPr>
          <w:ilvl w:val="0"/>
          <w:numId w:val="6"/>
        </w:numPr>
        <w:ind w:left="1134" w:hanging="284"/>
        <w:rPr>
          <w:lang w:val="fr-FR"/>
        </w:rPr>
      </w:pPr>
      <w:r w:rsidRPr="003F3661">
        <w:rPr>
          <w:lang w:val="fr-FR"/>
        </w:rPr>
        <w:t xml:space="preserve">Les six versions officielles de la Convention. La Convention a été traduite, officiellement ou non, dans beaucoup de langues. Bon nombre de ces traductions sont disponibles à : </w:t>
      </w:r>
      <w:hyperlink r:id="rId18" w:history="1">
        <w:r w:rsidRPr="003F3661">
          <w:rPr>
            <w:rStyle w:val="Hyperlink"/>
            <w:color w:val="auto"/>
            <w:u w:val="none"/>
            <w:lang w:val="fr-FR"/>
          </w:rPr>
          <w:t>http://www.unesco.org/culture/ich/index.php?lg=fr&amp;pg=00102</w:t>
        </w:r>
      </w:hyperlink>
    </w:p>
    <w:p w:rsidR="002E4962" w:rsidRPr="00C52DD3" w:rsidRDefault="00BC34E5" w:rsidP="00346988">
      <w:pPr>
        <w:pStyle w:val="Texte1"/>
        <w:numPr>
          <w:ilvl w:val="0"/>
          <w:numId w:val="6"/>
        </w:numPr>
        <w:ind w:left="1134" w:hanging="284"/>
        <w:rPr>
          <w:lang w:val="fr-FR"/>
        </w:rPr>
      </w:pPr>
      <w:r w:rsidRPr="003F3661">
        <w:rPr>
          <w:lang w:val="fr-FR"/>
        </w:rPr>
        <w:t>Les informations sur les Organes de la Convention, y compris les rapports détaillés de leurs réunions et les listes de leurs décisions.</w:t>
      </w:r>
    </w:p>
    <w:p w:rsidR="002E4962" w:rsidRPr="003F3661" w:rsidRDefault="00BC34E5" w:rsidP="00346988">
      <w:pPr>
        <w:pStyle w:val="Texte1"/>
        <w:numPr>
          <w:ilvl w:val="0"/>
          <w:numId w:val="6"/>
        </w:numPr>
        <w:ind w:left="1134" w:hanging="284"/>
        <w:rPr>
          <w:lang w:val="fr-FR"/>
        </w:rPr>
      </w:pPr>
      <w:r w:rsidRPr="003F3661">
        <w:rPr>
          <w:lang w:val="fr-FR"/>
        </w:rPr>
        <w:lastRenderedPageBreak/>
        <w:t>Les informations sur les réunions consacrées au PCI et à la Convention, organisées ou co-organisées par l’UNESCO depuis 1992 :</w:t>
      </w:r>
    </w:p>
    <w:p w:rsidR="00C52DD3" w:rsidRPr="003F3661" w:rsidRDefault="00473633" w:rsidP="003F3661">
      <w:pPr>
        <w:pStyle w:val="Texte1"/>
        <w:ind w:left="1134"/>
        <w:rPr>
          <w:lang w:val="fr-FR"/>
        </w:rPr>
      </w:pPr>
      <w:hyperlink r:id="rId19" w:history="1">
        <w:r w:rsidR="00BC34E5" w:rsidRPr="003F3661">
          <w:rPr>
            <w:rStyle w:val="Hyperlink"/>
            <w:color w:val="auto"/>
            <w:u w:val="none"/>
            <w:lang w:val="fr-FR"/>
          </w:rPr>
          <w:t>http://www.unesco.org/culture/ich/index.php?lg=fr&amp;pg=00015</w:t>
        </w:r>
      </w:hyperlink>
    </w:p>
    <w:p w:rsidR="00C52DD3" w:rsidRPr="00346988" w:rsidRDefault="00BC34E5" w:rsidP="00346988">
      <w:pPr>
        <w:pStyle w:val="Txtpucegras"/>
        <w:ind w:left="1134"/>
        <w:rPr>
          <w:rStyle w:val="Hyperlink"/>
          <w:color w:val="auto"/>
          <w:u w:val="none"/>
          <w:lang w:val="fr-FR"/>
        </w:rPr>
      </w:pPr>
      <w:r w:rsidRPr="003F3661">
        <w:rPr>
          <w:lang w:val="fr-FR"/>
        </w:rPr>
        <w:t>Les informations sur les organisations non gouvernementales (ONG) accréditées :</w:t>
      </w:r>
      <w:r w:rsidR="00FB091C">
        <w:rPr>
          <w:lang w:val="fr-FR"/>
        </w:rPr>
        <w:t xml:space="preserve"> </w:t>
      </w:r>
      <w:r w:rsidRPr="003F3661">
        <w:rPr>
          <w:rStyle w:val="Hyperlink"/>
          <w:color w:val="auto"/>
          <w:u w:val="none"/>
          <w:lang w:val="fr-FR"/>
        </w:rPr>
        <w:t>http://www.unesco.org/culture/ich/index.php?lg=fr&amp;pg=00331</w:t>
      </w:r>
    </w:p>
    <w:p w:rsidR="00C52DD3" w:rsidRPr="00080ED1" w:rsidRDefault="00BC34E5" w:rsidP="003F3661">
      <w:pPr>
        <w:pStyle w:val="Txtpucegras"/>
        <w:ind w:left="1134"/>
        <w:rPr>
          <w:lang w:val="fr-FR"/>
        </w:rPr>
      </w:pPr>
      <w:r w:rsidRPr="003F3661">
        <w:rPr>
          <w:lang w:val="fr-FR"/>
        </w:rPr>
        <w:t xml:space="preserve">Un kit expliquant ce qu’est le PCI et les raisons pour lesquelles la sauvegarde est utile : </w:t>
      </w:r>
      <w:hyperlink r:id="rId20" w:history="1">
        <w:r w:rsidRPr="003F3661">
          <w:rPr>
            <w:rStyle w:val="Hyperlink"/>
            <w:color w:val="auto"/>
            <w:u w:val="none"/>
            <w:lang w:val="fr-FR"/>
          </w:rPr>
          <w:t>http://www.unesco.org/culture/ich/fr/kit/</w:t>
        </w:r>
      </w:hyperlink>
    </w:p>
    <w:p w:rsidR="00C52DD3" w:rsidRPr="003F3661" w:rsidRDefault="00BC34E5" w:rsidP="003F3661">
      <w:pPr>
        <w:pStyle w:val="Txtpucegras"/>
        <w:ind w:left="1134"/>
        <w:rPr>
          <w:lang w:val="fr-FR"/>
        </w:rPr>
      </w:pPr>
      <w:r w:rsidRPr="003F3661">
        <w:rPr>
          <w:lang w:val="fr-FR"/>
        </w:rPr>
        <w:t>Une présentation des éléments inscrits sur les Listes de la Convention et des projets ou programmes sélectionnés pour le Registre des meilleures pratiques de sauvegarde : http://www.unesco.org/culture/ich/fr/listes/</w:t>
      </w:r>
    </w:p>
    <w:p w:rsidR="00C52DD3" w:rsidRPr="003F3661" w:rsidRDefault="00BC34E5" w:rsidP="003F3661">
      <w:pPr>
        <w:pStyle w:val="Txtpucegras"/>
        <w:ind w:left="1134"/>
        <w:rPr>
          <w:lang w:val="fr-FR"/>
        </w:rPr>
      </w:pPr>
      <w:r w:rsidRPr="003F3661">
        <w:rPr>
          <w:lang w:val="fr-FR"/>
        </w:rPr>
        <w:t>Les formulaires à utiliser pour proposer l’inscription d’éléments sur les Listes de la Convention (uniquement en anglais et en français), l’inclusion de pratiques de sauvegarde dans le Registre des meilleures pratiques de sauvegarde</w:t>
      </w:r>
      <w:r w:rsidR="00F65F48" w:rsidRPr="003F3661">
        <w:rPr>
          <w:lang w:val="fr-FR"/>
        </w:rPr>
        <w:t>,</w:t>
      </w:r>
      <w:r w:rsidRPr="003F3661">
        <w:rPr>
          <w:lang w:val="fr-FR"/>
        </w:rPr>
        <w:t xml:space="preserve"> et </w:t>
      </w:r>
      <w:r w:rsidR="00F65F48" w:rsidRPr="003F3661">
        <w:rPr>
          <w:lang w:val="fr-FR"/>
        </w:rPr>
        <w:t>les</w:t>
      </w:r>
      <w:r w:rsidRPr="003F3661">
        <w:rPr>
          <w:lang w:val="fr-FR"/>
        </w:rPr>
        <w:t xml:space="preserve"> demande</w:t>
      </w:r>
      <w:r w:rsidR="00F65F48" w:rsidRPr="003F3661">
        <w:rPr>
          <w:lang w:val="fr-FR"/>
        </w:rPr>
        <w:t>s</w:t>
      </w:r>
      <w:r w:rsidRPr="003F3661">
        <w:rPr>
          <w:lang w:val="fr-FR"/>
        </w:rPr>
        <w:t xml:space="preserve"> d’assistance internationale. Ces formulaires sont disponibles à : http://www.unesco.org/culture/ich/fr/formulaires/</w:t>
      </w:r>
    </w:p>
    <w:p w:rsidR="00C52DD3" w:rsidRPr="003F3661" w:rsidRDefault="00BC34E5" w:rsidP="003F3661">
      <w:pPr>
        <w:pStyle w:val="Titcoul"/>
        <w:rPr>
          <w:color w:val="000000" w:themeColor="text1"/>
          <w:sz w:val="20"/>
          <w:lang w:val="fr-FR"/>
        </w:rPr>
      </w:pPr>
      <w:r w:rsidRPr="003F3661">
        <w:rPr>
          <w:color w:val="000000" w:themeColor="text1"/>
          <w:sz w:val="20"/>
          <w:lang w:val="fr-FR"/>
        </w:rPr>
        <w:t>TERMINOLOGIE</w:t>
      </w:r>
    </w:p>
    <w:p w:rsidR="00C52DD3" w:rsidRPr="003F3661" w:rsidRDefault="00F65F48" w:rsidP="003F3661">
      <w:pPr>
        <w:pStyle w:val="Informations"/>
        <w:rPr>
          <w:b/>
          <w:lang w:val="fr-FR"/>
        </w:rPr>
      </w:pPr>
      <w:r w:rsidRPr="003F3661">
        <w:rPr>
          <w:i w:val="0"/>
          <w:color w:val="000000" w:themeColor="text1"/>
          <w:lang w:val="fr-FR"/>
        </w:rPr>
        <w:t>Pour</w:t>
      </w:r>
      <w:r w:rsidR="00BC34E5" w:rsidRPr="003F3661">
        <w:rPr>
          <w:color w:val="000000" w:themeColor="text1"/>
          <w:lang w:val="fr-FR"/>
        </w:rPr>
        <w:t xml:space="preserve"> </w:t>
      </w:r>
      <w:r>
        <w:rPr>
          <w:i w:val="0"/>
          <w:color w:val="000000" w:themeColor="text1"/>
          <w:lang w:val="fr-FR"/>
        </w:rPr>
        <w:t xml:space="preserve">avoir </w:t>
      </w:r>
      <w:r w:rsidR="005D3C2C" w:rsidRPr="00B46B17">
        <w:rPr>
          <w:color w:val="000000" w:themeColor="text1"/>
          <w:lang w:val="fr-FR"/>
        </w:rPr>
        <w:t>la</w:t>
      </w:r>
      <w:r w:rsidR="00BC34E5" w:rsidRPr="003F3661">
        <w:rPr>
          <w:color w:val="000000" w:themeColor="text1"/>
          <w:lang w:val="fr-FR"/>
        </w:rPr>
        <w:t xml:space="preserve"> liste complète des abréviations, acronymes et </w:t>
      </w:r>
      <w:r w:rsidR="00BC34E5" w:rsidRPr="003F3661">
        <w:rPr>
          <w:i w:val="0"/>
          <w:color w:val="000000" w:themeColor="text1"/>
          <w:lang w:val="fr-FR"/>
        </w:rPr>
        <w:t xml:space="preserve">de </w:t>
      </w:r>
      <w:r w:rsidR="00BC34E5" w:rsidRPr="003F3661">
        <w:rPr>
          <w:color w:val="000000" w:themeColor="text1"/>
          <w:lang w:val="fr-FR"/>
        </w:rPr>
        <w:t xml:space="preserve">la terminologie, </w:t>
      </w:r>
      <w:r w:rsidR="00BC34E5" w:rsidRPr="003F3661">
        <w:rPr>
          <w:i w:val="0"/>
          <w:color w:val="000000" w:themeColor="text1"/>
          <w:lang w:val="fr-FR"/>
        </w:rPr>
        <w:t>veuillez</w:t>
      </w:r>
      <w:r w:rsidR="00BC34E5" w:rsidRPr="003F3661">
        <w:rPr>
          <w:color w:val="000000" w:themeColor="text1"/>
          <w:lang w:val="fr-FR"/>
        </w:rPr>
        <w:t xml:space="preserve"> consulter l’Imprimé 1 de l’Unité 1.</w:t>
      </w:r>
    </w:p>
    <w:sectPr w:rsidR="00C52DD3" w:rsidRPr="003F3661" w:rsidSect="00716869">
      <w:headerReference w:type="even" r:id="rId21"/>
      <w:headerReference w:type="default" r:id="rId22"/>
      <w:footerReference w:type="even" r:id="rId23"/>
      <w:footerReference w:type="default" r:id="rId24"/>
      <w:headerReference w:type="first" r:id="rId25"/>
      <w:footerReference w:type="first" r:id="rId26"/>
      <w:pgSz w:w="11900" w:h="16840"/>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AA" w:rsidRDefault="009C16AA" w:rsidP="008E32D7">
      <w:r>
        <w:separator/>
      </w:r>
    </w:p>
  </w:endnote>
  <w:endnote w:type="continuationSeparator" w:id="0">
    <w:p w:rsidR="009C16AA" w:rsidRDefault="009C16AA" w:rsidP="008E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A" w:rsidRPr="00F44E22" w:rsidRDefault="00BC794C" w:rsidP="00F44E22">
    <w:pPr>
      <w:tabs>
        <w:tab w:val="center" w:pos="4423"/>
        <w:tab w:val="right" w:pos="8845"/>
      </w:tabs>
      <w:spacing w:line="240" w:lineRule="exact"/>
      <w:ind w:right="360" w:firstLine="360"/>
      <w:rPr>
        <w:rFonts w:ascii="Arial" w:eastAsia="Calibri" w:hAnsi="Arial" w:cs="Times New Roman"/>
        <w:sz w:val="16"/>
        <w:szCs w:val="22"/>
        <w:lang w:eastAsia="en-US"/>
      </w:rPr>
    </w:pPr>
    <w:r w:rsidRPr="006021AD">
      <w:rPr>
        <w:rFonts w:cs="Arial"/>
        <w:noProof/>
        <w:sz w:val="22"/>
        <w:lang w:eastAsia="zh-TW"/>
      </w:rPr>
      <w:drawing>
        <wp:anchor distT="0" distB="0" distL="114300" distR="114300" simplePos="0" relativeHeight="251681792" behindDoc="0" locked="0" layoutInCell="1" allowOverlap="1" wp14:anchorId="561EB17C" wp14:editId="728BBEBB">
          <wp:simplePos x="0" y="0"/>
          <wp:positionH relativeFrom="column">
            <wp:posOffset>2399665</wp:posOffset>
          </wp:positionH>
          <wp:positionV relativeFrom="paragraph">
            <wp:posOffset>-24765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44E22" w:rsidRPr="00F44E22">
      <w:rPr>
        <w:rFonts w:ascii="Arial" w:eastAsia="Calibri" w:hAnsi="Arial" w:cs="Times New Roman"/>
        <w:noProof/>
        <w:sz w:val="16"/>
        <w:szCs w:val="22"/>
        <w:lang w:eastAsia="zh-TW"/>
      </w:rPr>
      <w:drawing>
        <wp:anchor distT="0" distB="0" distL="114300" distR="114300" simplePos="0" relativeHeight="251671552" behindDoc="1" locked="1" layoutInCell="1" allowOverlap="0" wp14:anchorId="0E175E02" wp14:editId="317E2EE5">
          <wp:simplePos x="0" y="0"/>
          <wp:positionH relativeFrom="margin">
            <wp:posOffset>28575</wp:posOffset>
          </wp:positionH>
          <wp:positionV relativeFrom="margin">
            <wp:posOffset>8759190</wp:posOffset>
          </wp:positionV>
          <wp:extent cx="806450" cy="535940"/>
          <wp:effectExtent l="0" t="0" r="0" b="0"/>
          <wp:wrapThrough wrapText="bothSides">
            <wp:wrapPolygon edited="0">
              <wp:start x="0" y="0"/>
              <wp:lineTo x="0" y="20730"/>
              <wp:lineTo x="20920" y="20730"/>
              <wp:lineTo x="20920" y="0"/>
              <wp:lineTo x="0" y="0"/>
            </wp:wrapPolygon>
          </wp:wrapThrough>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r w:rsidR="00F44E22" w:rsidRPr="00F44E22">
      <w:rPr>
        <w:rFonts w:ascii="Arial" w:eastAsia="Calibri" w:hAnsi="Arial" w:cs="Times New Roman"/>
        <w:sz w:val="16"/>
        <w:szCs w:val="22"/>
        <w:lang w:eastAsia="en-US"/>
      </w:rPr>
      <w:tab/>
    </w:r>
    <w:r w:rsidR="00F44E22" w:rsidRPr="00F44E22">
      <w:rPr>
        <w:rFonts w:ascii="Arial" w:eastAsia="Calibri" w:hAnsi="Arial" w:cs="Times New Roman"/>
        <w:sz w:val="16"/>
        <w:szCs w:val="22"/>
        <w:lang w:eastAsia="en-US"/>
      </w:rPr>
      <w:tab/>
      <w:t>U016-v1.1</w:t>
    </w:r>
    <w:r w:rsidR="00F44E22">
      <w:rPr>
        <w:rFonts w:ascii="Arial" w:eastAsia="Calibri" w:hAnsi="Arial" w:cs="Times New Roman"/>
        <w:sz w:val="16"/>
        <w:szCs w:val="22"/>
        <w:lang w:eastAsia="en-US"/>
      </w:rPr>
      <w:t>-PT</w:t>
    </w:r>
    <w:r w:rsidR="00F44E22" w:rsidRPr="00F44E22">
      <w:rPr>
        <w:rFonts w:ascii="Arial" w:eastAsia="Calibri" w:hAnsi="Arial" w:cs="Times New Roman"/>
        <w:sz w:val="16"/>
        <w:szCs w:val="22"/>
        <w:lang w:eastAsia="en-US"/>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A" w:rsidRPr="00346988" w:rsidRDefault="00BC794C" w:rsidP="00346988">
    <w:pPr>
      <w:pStyle w:val="Footer"/>
      <w:rPr>
        <w:rFonts w:ascii="Arial" w:hAnsi="Arial" w:cs="Arial"/>
        <w:sz w:val="16"/>
        <w:szCs w:val="16"/>
      </w:rPr>
    </w:pPr>
    <w:r w:rsidRPr="006021AD">
      <w:rPr>
        <w:rFonts w:cs="Arial"/>
        <w:noProof/>
        <w:sz w:val="22"/>
        <w:lang w:eastAsia="zh-TW"/>
      </w:rPr>
      <w:drawing>
        <wp:anchor distT="0" distB="0" distL="114300" distR="114300" simplePos="0" relativeHeight="251683840" behindDoc="0" locked="0" layoutInCell="1" allowOverlap="1" wp14:anchorId="561EB17C" wp14:editId="728BBEBB">
          <wp:simplePos x="0" y="0"/>
          <wp:positionH relativeFrom="column">
            <wp:posOffset>2704465</wp:posOffset>
          </wp:positionH>
          <wp:positionV relativeFrom="paragraph">
            <wp:posOffset>-41275</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C16AA">
      <w:rPr>
        <w:rFonts w:ascii="Arial" w:hAnsi="Arial" w:cs="Arial"/>
        <w:sz w:val="16"/>
        <w:szCs w:val="16"/>
      </w:rPr>
      <w:t>U016-v1.1</w:t>
    </w:r>
    <w:r w:rsidR="009C16AA" w:rsidRPr="00557C29">
      <w:rPr>
        <w:rFonts w:ascii="Arial" w:hAnsi="Arial" w:cs="Arial"/>
        <w:sz w:val="16"/>
        <w:szCs w:val="16"/>
      </w:rPr>
      <w:t>-PT-FR</w:t>
    </w:r>
    <w:r w:rsidR="009C16AA" w:rsidRPr="00557C29">
      <w:rPr>
        <w:rFonts w:ascii="Arial" w:hAnsi="Arial" w:cs="Arial"/>
        <w:sz w:val="16"/>
        <w:szCs w:val="16"/>
      </w:rPr>
      <w:tab/>
    </w:r>
    <w:r w:rsidR="009C16AA">
      <w:rPr>
        <w:noProof/>
        <w:lang w:eastAsia="zh-TW"/>
      </w:rPr>
      <w:drawing>
        <wp:anchor distT="0" distB="0" distL="114300" distR="114300" simplePos="0" relativeHeight="251669504" behindDoc="1" locked="1" layoutInCell="1" allowOverlap="0" wp14:anchorId="29FA078C" wp14:editId="78004240">
          <wp:simplePos x="0" y="0"/>
          <wp:positionH relativeFrom="margin">
            <wp:posOffset>4797425</wp:posOffset>
          </wp:positionH>
          <wp:positionV relativeFrom="margin">
            <wp:posOffset>8692515</wp:posOffset>
          </wp:positionV>
          <wp:extent cx="806450" cy="535940"/>
          <wp:effectExtent l="0" t="0" r="0" b="0"/>
          <wp:wrapThrough wrapText="bothSides">
            <wp:wrapPolygon edited="0">
              <wp:start x="0" y="0"/>
              <wp:lineTo x="0" y="20730"/>
              <wp:lineTo x="20920" y="20730"/>
              <wp:lineTo x="20920"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A" w:rsidRPr="00346988" w:rsidRDefault="00BC794C" w:rsidP="00CC00E8">
    <w:pPr>
      <w:pStyle w:val="Footer"/>
      <w:rPr>
        <w:rFonts w:ascii="Arial" w:hAnsi="Arial" w:cs="Arial"/>
        <w:sz w:val="16"/>
        <w:szCs w:val="16"/>
      </w:rPr>
    </w:pPr>
    <w:r w:rsidRPr="006021AD">
      <w:rPr>
        <w:rFonts w:cs="Arial"/>
        <w:noProof/>
        <w:sz w:val="22"/>
        <w:lang w:eastAsia="zh-TW"/>
      </w:rPr>
      <w:drawing>
        <wp:anchor distT="0" distB="0" distL="114300" distR="114300" simplePos="0" relativeHeight="251679744" behindDoc="0" locked="0" layoutInCell="1" allowOverlap="1" wp14:anchorId="561EB17C" wp14:editId="728BBEBB">
          <wp:simplePos x="0" y="0"/>
          <wp:positionH relativeFrom="column">
            <wp:posOffset>2637790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C16AA" w:rsidRPr="00EF21D8">
      <w:rPr>
        <w:rFonts w:ascii="Arial" w:hAnsi="Arial" w:cs="Arial"/>
        <w:sz w:val="16"/>
        <w:szCs w:val="16"/>
      </w:rPr>
      <w:t>U016</w:t>
    </w:r>
    <w:r w:rsidR="009C16AA">
      <w:rPr>
        <w:rFonts w:ascii="Arial" w:hAnsi="Arial" w:cs="Arial"/>
        <w:sz w:val="16"/>
        <w:szCs w:val="16"/>
      </w:rPr>
      <w:t>-v1.1-PT-FR</w:t>
    </w:r>
    <w:r w:rsidR="009C16AA">
      <w:rPr>
        <w:rFonts w:ascii="Arial" w:hAnsi="Arial" w:cs="Arial"/>
        <w:sz w:val="16"/>
        <w:szCs w:val="16"/>
      </w:rPr>
      <w:tab/>
    </w:r>
    <w:r w:rsidR="009C16AA" w:rsidRPr="00EF21D8">
      <w:rPr>
        <w:rFonts w:ascii="Arial" w:hAnsi="Arial" w:cs="Arial"/>
        <w:sz w:val="16"/>
        <w:szCs w:val="16"/>
      </w:rPr>
      <w:tab/>
    </w:r>
    <w:r w:rsidR="009C16AA">
      <w:rPr>
        <w:noProof/>
        <w:lang w:eastAsia="zh-TW"/>
      </w:rPr>
      <w:drawing>
        <wp:anchor distT="0" distB="0" distL="114300" distR="114300" simplePos="0" relativeHeight="251665408" behindDoc="1" locked="1" layoutInCell="1" allowOverlap="0" wp14:anchorId="18F59BB2" wp14:editId="2162AB65">
          <wp:simplePos x="0" y="0"/>
          <wp:positionH relativeFrom="margin">
            <wp:posOffset>4806950</wp:posOffset>
          </wp:positionH>
          <wp:positionV relativeFrom="margin">
            <wp:posOffset>8721090</wp:posOffset>
          </wp:positionV>
          <wp:extent cx="806450" cy="535940"/>
          <wp:effectExtent l="0" t="0" r="0" b="0"/>
          <wp:wrapThrough wrapText="bothSides">
            <wp:wrapPolygon edited="0">
              <wp:start x="0" y="0"/>
              <wp:lineTo x="0" y="20730"/>
              <wp:lineTo x="20920" y="20730"/>
              <wp:lineTo x="20920"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AA" w:rsidRDefault="009C16AA" w:rsidP="008E32D7">
      <w:r>
        <w:separator/>
      </w:r>
    </w:p>
  </w:footnote>
  <w:footnote w:type="continuationSeparator" w:id="0">
    <w:p w:rsidR="009C16AA" w:rsidRDefault="009C16AA" w:rsidP="008E32D7">
      <w:r>
        <w:continuationSeparator/>
      </w:r>
    </w:p>
  </w:footnote>
  <w:footnote w:id="1">
    <w:p w:rsidR="009C16AA" w:rsidRPr="00FB091C" w:rsidRDefault="009C16AA" w:rsidP="003F3661">
      <w:pPr>
        <w:pStyle w:val="FootnoteText"/>
        <w:rPr>
          <w:lang w:val="fr-FR"/>
        </w:rPr>
      </w:pPr>
      <w:r w:rsidRPr="00FB091C">
        <w:rPr>
          <w:rStyle w:val="FootnoteReference"/>
          <w:vertAlign w:val="baseline"/>
          <w:lang w:val="fr-FR"/>
        </w:rPr>
        <w:t>1</w:t>
      </w:r>
      <w:r w:rsidR="003F3661" w:rsidRPr="00FB091C">
        <w:rPr>
          <w:lang w:val="fr-FR"/>
        </w:rPr>
        <w:t>.</w:t>
      </w:r>
      <w:r w:rsidR="003F3661" w:rsidRPr="00FB091C">
        <w:rPr>
          <w:lang w:val="fr-FR"/>
        </w:rPr>
        <w:tab/>
      </w:r>
      <w:r w:rsidRPr="00FB091C">
        <w:rPr>
          <w:lang w:val="fr-FR"/>
        </w:rPr>
        <w:t>UNESCO. Textes fondamentaux de la Convention de 2003 pour la sauvegarde du patrimoine culturel immatériel (dénommé ci-après ‘Textes fondamentaux’). Paris, UNESCO. Disponible à l’adresse 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A" w:rsidRPr="00346988" w:rsidRDefault="00F44E22" w:rsidP="00F44E22">
    <w:pPr>
      <w:tabs>
        <w:tab w:val="center" w:pos="4423"/>
        <w:tab w:val="right" w:pos="8845"/>
      </w:tabs>
      <w:spacing w:after="200" w:line="276" w:lineRule="auto"/>
      <w:rPr>
        <w:rFonts w:ascii="Arial" w:eastAsia="Calibri" w:hAnsi="Arial" w:cs="Times New Roman"/>
        <w:sz w:val="16"/>
        <w:szCs w:val="22"/>
        <w:lang w:eastAsia="en-US"/>
      </w:rPr>
    </w:pPr>
    <w:r w:rsidRPr="00F44E22">
      <w:rPr>
        <w:rFonts w:ascii="Arial" w:eastAsia="Calibri" w:hAnsi="Arial" w:cs="Times New Roman"/>
        <w:sz w:val="16"/>
        <w:szCs w:val="22"/>
        <w:lang w:eastAsia="en-US"/>
      </w:rPr>
      <w:fldChar w:fldCharType="begin"/>
    </w:r>
    <w:r w:rsidRPr="00F44E22">
      <w:rPr>
        <w:rFonts w:ascii="Arial" w:eastAsia="Calibri" w:hAnsi="Arial" w:cs="Times New Roman"/>
        <w:sz w:val="16"/>
        <w:szCs w:val="22"/>
        <w:lang w:eastAsia="en-US"/>
      </w:rPr>
      <w:instrText xml:space="preserve"> PAGE </w:instrText>
    </w:r>
    <w:r w:rsidRPr="00F44E22">
      <w:rPr>
        <w:rFonts w:ascii="Arial" w:eastAsia="Calibri" w:hAnsi="Arial" w:cs="Times New Roman"/>
        <w:sz w:val="16"/>
        <w:szCs w:val="22"/>
        <w:lang w:eastAsia="en-US"/>
      </w:rPr>
      <w:fldChar w:fldCharType="separate"/>
    </w:r>
    <w:r w:rsidR="00473633">
      <w:rPr>
        <w:rFonts w:ascii="Arial" w:eastAsia="Calibri" w:hAnsi="Arial" w:cs="Times New Roman"/>
        <w:noProof/>
        <w:sz w:val="16"/>
        <w:szCs w:val="22"/>
        <w:lang w:eastAsia="en-US"/>
      </w:rPr>
      <w:t>2</w:t>
    </w:r>
    <w:r w:rsidRPr="00F44E22">
      <w:rPr>
        <w:rFonts w:ascii="Arial" w:eastAsia="Calibri" w:hAnsi="Arial" w:cs="Times New Roman"/>
        <w:sz w:val="16"/>
        <w:szCs w:val="22"/>
        <w:lang w:eastAsia="en-US"/>
      </w:rPr>
      <w:fldChar w:fldCharType="end"/>
    </w:r>
    <w:r w:rsidRPr="00F44E22">
      <w:rPr>
        <w:rFonts w:ascii="Arial" w:eastAsia="Calibri" w:hAnsi="Arial" w:cs="Times New Roman"/>
        <w:sz w:val="16"/>
        <w:szCs w:val="22"/>
        <w:lang w:eastAsia="en-US"/>
      </w:rPr>
      <w:tab/>
      <w:t>Unité 16 : Atelier RAT : introduction</w:t>
    </w:r>
    <w:r w:rsidRPr="00F44E22">
      <w:rPr>
        <w:rFonts w:ascii="Arial" w:eastAsia="Calibri" w:hAnsi="Arial" w:cs="Times New Roman"/>
        <w:sz w:val="16"/>
        <w:szCs w:val="22"/>
        <w:lang w:eastAsia="en-US"/>
      </w:rPr>
      <w:tab/>
    </w:r>
    <w:r w:rsidR="00BD5CEB">
      <w:rPr>
        <w:rFonts w:ascii="Arial" w:eastAsia="Calibri" w:hAnsi="Arial" w:cs="Times New Roman"/>
        <w:sz w:val="16"/>
        <w:szCs w:val="22"/>
        <w:lang w:eastAsia="en-US"/>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A" w:rsidRPr="008C38E9" w:rsidRDefault="009C16AA" w:rsidP="00CC00E8">
    <w:pPr>
      <w:pStyle w:val="Header"/>
      <w:framePr w:wrap="around" w:vAnchor="text" w:hAnchor="margin" w:xAlign="outside" w:y="1"/>
      <w:rPr>
        <w:rStyle w:val="PageNumber"/>
      </w:rPr>
    </w:pPr>
    <w:r w:rsidRPr="008C38E9">
      <w:rPr>
        <w:rStyle w:val="PageNumber"/>
        <w:rFonts w:ascii="Arial" w:hAnsi="Arial" w:cs="Arial"/>
        <w:sz w:val="16"/>
        <w:szCs w:val="16"/>
      </w:rPr>
      <w:fldChar w:fldCharType="begin"/>
    </w:r>
    <w:r w:rsidRPr="008C38E9">
      <w:rPr>
        <w:rStyle w:val="PageNumber"/>
        <w:rFonts w:ascii="Arial" w:hAnsi="Arial" w:cs="Arial"/>
        <w:sz w:val="16"/>
        <w:szCs w:val="16"/>
      </w:rPr>
      <w:instrText xml:space="preserve">PAGE  </w:instrText>
    </w:r>
    <w:r w:rsidRPr="008C38E9">
      <w:rPr>
        <w:rStyle w:val="PageNumber"/>
        <w:rFonts w:ascii="Arial" w:hAnsi="Arial" w:cs="Arial"/>
        <w:sz w:val="16"/>
        <w:szCs w:val="16"/>
      </w:rPr>
      <w:fldChar w:fldCharType="separate"/>
    </w:r>
    <w:r w:rsidR="00473633">
      <w:rPr>
        <w:rStyle w:val="PageNumber"/>
        <w:rFonts w:ascii="Arial" w:hAnsi="Arial" w:cs="Arial"/>
        <w:noProof/>
        <w:sz w:val="16"/>
        <w:szCs w:val="16"/>
      </w:rPr>
      <w:t>3</w:t>
    </w:r>
    <w:r w:rsidRPr="008C38E9">
      <w:rPr>
        <w:rStyle w:val="PageNumber"/>
        <w:rFonts w:ascii="Arial" w:hAnsi="Arial" w:cs="Arial"/>
        <w:sz w:val="16"/>
        <w:szCs w:val="16"/>
      </w:rPr>
      <w:fldChar w:fldCharType="end"/>
    </w:r>
  </w:p>
  <w:p w:rsidR="009C16AA" w:rsidRPr="00346988" w:rsidRDefault="009C16AA" w:rsidP="00346988">
    <w:pPr>
      <w:pStyle w:val="Header"/>
      <w:ind w:right="360"/>
      <w:rPr>
        <w:rFonts w:ascii="Arial" w:hAnsi="Arial" w:cs="Arial"/>
        <w:sz w:val="16"/>
        <w:szCs w:val="16"/>
      </w:rPr>
    </w:pPr>
    <w:r>
      <w:rPr>
        <w:rFonts w:ascii="Arial" w:hAnsi="Arial" w:cs="Arial"/>
        <w:sz w:val="16"/>
        <w:szCs w:val="16"/>
      </w:rPr>
      <w:t xml:space="preserve">Texte du participant </w:t>
    </w:r>
    <w:r w:rsidR="00346988">
      <w:rPr>
        <w:rFonts w:ascii="Arial" w:hAnsi="Arial" w:cs="Arial"/>
        <w:sz w:val="16"/>
        <w:szCs w:val="16"/>
      </w:rPr>
      <w:tab/>
    </w:r>
    <w:r w:rsidRPr="00CC00E8">
      <w:rPr>
        <w:rFonts w:ascii="Arial" w:hAnsi="Arial" w:cs="Arial"/>
        <w:sz w:val="16"/>
        <w:szCs w:val="16"/>
      </w:rPr>
      <w:t xml:space="preserve">Unité 16 : </w:t>
    </w:r>
    <w:r>
      <w:rPr>
        <w:rFonts w:ascii="Arial" w:hAnsi="Arial" w:cs="Arial"/>
        <w:sz w:val="16"/>
        <w:szCs w:val="16"/>
      </w:rPr>
      <w:t>Atelier RAT : i</w:t>
    </w:r>
    <w:r w:rsidRPr="00CC00E8">
      <w:rPr>
        <w:rFonts w:ascii="Arial" w:hAnsi="Arial" w:cs="Arial"/>
        <w:sz w:val="16"/>
        <w:szCs w:val="16"/>
      </w:rPr>
      <w:t xml:space="preserve">ntroduction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A" w:rsidRPr="00CC00E8" w:rsidRDefault="009C16AA" w:rsidP="00CC00E8">
    <w:pPr>
      <w:pStyle w:val="Header"/>
      <w:jc w:val="center"/>
      <w:rPr>
        <w:rFonts w:ascii="Arial" w:hAnsi="Arial"/>
        <w:sz w:val="16"/>
        <w:szCs w:val="16"/>
      </w:rPr>
    </w:pPr>
    <w:r>
      <w:rPr>
        <w:rFonts w:ascii="Arial" w:hAnsi="Arial"/>
        <w:sz w:val="16"/>
        <w:szCs w:val="16"/>
      </w:rPr>
      <w:t>Texte du participant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A3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7E8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E66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E0CD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6C9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AD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9E1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544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C1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E4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A2288"/>
    <w:multiLevelType w:val="hybridMultilevel"/>
    <w:tmpl w:val="C66CBC2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083E5DD1"/>
    <w:multiLevelType w:val="multilevel"/>
    <w:tmpl w:val="026E7832"/>
    <w:lvl w:ilvl="0">
      <w:start w:val="1"/>
      <w:numFmt w:val="bullet"/>
      <w:lvlText w:val=""/>
      <w:lvlJc w:val="left"/>
      <w:pPr>
        <w:ind w:left="1211" w:hanging="360"/>
      </w:pPr>
      <w:rPr>
        <w:rFonts w:ascii="Symbol" w:hAnsi="Symbol" w:hint="default"/>
      </w:rPr>
    </w:lvl>
    <w:lvl w:ilvl="1">
      <w:start w:val="1"/>
      <w:numFmt w:val="bullet"/>
      <w:lvlText w:val="o"/>
      <w:lvlJc w:val="left"/>
      <w:pPr>
        <w:ind w:left="1788" w:hanging="360"/>
      </w:pPr>
      <w:rPr>
        <w:rFonts w:ascii="Courier New" w:hAnsi="Courier New" w:cs="Symbol"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Symbol"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Symbol" w:hint="default"/>
      </w:rPr>
    </w:lvl>
    <w:lvl w:ilvl="8">
      <w:start w:val="1"/>
      <w:numFmt w:val="bullet"/>
      <w:lvlText w:val=""/>
      <w:lvlJc w:val="left"/>
      <w:pPr>
        <w:ind w:left="6828" w:hanging="360"/>
      </w:pPr>
      <w:rPr>
        <w:rFonts w:ascii="Wingdings" w:hAnsi="Wingdings" w:hint="default"/>
      </w:rPr>
    </w:lvl>
  </w:abstractNum>
  <w:abstractNum w:abstractNumId="12" w15:restartNumberingAfterBreak="0">
    <w:nsid w:val="177C16F4"/>
    <w:multiLevelType w:val="hybridMultilevel"/>
    <w:tmpl w:val="F9804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A30EF6"/>
    <w:multiLevelType w:val="hybridMultilevel"/>
    <w:tmpl w:val="2708E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E61FB0"/>
    <w:multiLevelType w:val="hybridMultilevel"/>
    <w:tmpl w:val="98625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253B2A"/>
    <w:multiLevelType w:val="hybridMultilevel"/>
    <w:tmpl w:val="0838C176"/>
    <w:lvl w:ilvl="0" w:tplc="68329DA2">
      <w:start w:val="1"/>
      <w:numFmt w:val="bullet"/>
      <w:pStyle w:val="Txtpucegras"/>
      <w:lvlText w:val=""/>
      <w:lvlJc w:val="left"/>
      <w:pPr>
        <w:ind w:left="2118" w:hanging="360"/>
      </w:pPr>
      <w:rPr>
        <w:rFonts w:ascii="Symbol" w:hAnsi="Symbol" w:hint="default"/>
        <w:color w:val="auto"/>
      </w:rPr>
    </w:lvl>
    <w:lvl w:ilvl="1" w:tplc="040C0003" w:tentative="1">
      <w:start w:val="1"/>
      <w:numFmt w:val="bullet"/>
      <w:lvlText w:val="o"/>
      <w:lvlJc w:val="left"/>
      <w:pPr>
        <w:ind w:left="2347" w:hanging="360"/>
      </w:pPr>
      <w:rPr>
        <w:rFonts w:ascii="Courier New" w:hAnsi="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6" w15:restartNumberingAfterBreak="0">
    <w:nsid w:val="61705876"/>
    <w:multiLevelType w:val="hybridMultilevel"/>
    <w:tmpl w:val="F53A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7752E6"/>
    <w:multiLevelType w:val="hybridMultilevel"/>
    <w:tmpl w:val="7616C7C2"/>
    <w:lvl w:ilvl="0" w:tplc="D0A4D6E6">
      <w:start w:val="1"/>
      <w:numFmt w:val="bullet"/>
      <w:lvlText w:val=""/>
      <w:lvlJc w:val="left"/>
      <w:pPr>
        <w:ind w:left="1211" w:hanging="360"/>
      </w:pPr>
      <w:rPr>
        <w:rFonts w:ascii="Symbol" w:hAnsi="Symbol" w:hint="default"/>
      </w:rPr>
    </w:lvl>
    <w:lvl w:ilvl="1" w:tplc="1C090003" w:tentative="1">
      <w:start w:val="1"/>
      <w:numFmt w:val="bullet"/>
      <w:lvlText w:val="o"/>
      <w:lvlJc w:val="left"/>
      <w:pPr>
        <w:ind w:left="1788" w:hanging="360"/>
      </w:pPr>
      <w:rPr>
        <w:rFonts w:ascii="Courier New" w:hAnsi="Courier New" w:cs="Symbol"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Symbol"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Symbol" w:hint="default"/>
      </w:rPr>
    </w:lvl>
    <w:lvl w:ilvl="8" w:tplc="1C090005" w:tentative="1">
      <w:start w:val="1"/>
      <w:numFmt w:val="bullet"/>
      <w:lvlText w:val=""/>
      <w:lvlJc w:val="left"/>
      <w:pPr>
        <w:ind w:left="6828" w:hanging="360"/>
      </w:pPr>
      <w:rPr>
        <w:rFonts w:ascii="Wingdings" w:hAnsi="Wingdings" w:hint="default"/>
      </w:rPr>
    </w:lvl>
  </w:abstractNum>
  <w:num w:numId="1">
    <w:abstractNumId w:val="14"/>
  </w:num>
  <w:num w:numId="2">
    <w:abstractNumId w:val="13"/>
  </w:num>
  <w:num w:numId="3">
    <w:abstractNumId w:val="12"/>
  </w:num>
  <w:num w:numId="4">
    <w:abstractNumId w:val="17"/>
  </w:num>
  <w:num w:numId="5">
    <w:abstractNumId w:val="16"/>
  </w:num>
  <w:num w:numId="6">
    <w:abstractNumId w:val="10"/>
  </w:num>
  <w:num w:numId="7">
    <w:abstractNumId w:val="11"/>
  </w:num>
  <w:num w:numId="8">
    <w:abstractNumId w:val="17"/>
    <w:lvlOverride w:ilvl="0">
      <w:startOverride w:val="1"/>
    </w:lvlOverride>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7"/>
    <w:rsid w:val="00021459"/>
    <w:rsid w:val="000241DA"/>
    <w:rsid w:val="00080ED1"/>
    <w:rsid w:val="0008330E"/>
    <w:rsid w:val="00091E9E"/>
    <w:rsid w:val="000A0C67"/>
    <w:rsid w:val="000B06EB"/>
    <w:rsid w:val="000B55CD"/>
    <w:rsid w:val="000B5BBF"/>
    <w:rsid w:val="000F362F"/>
    <w:rsid w:val="00102670"/>
    <w:rsid w:val="00120E65"/>
    <w:rsid w:val="001227CB"/>
    <w:rsid w:val="001408B5"/>
    <w:rsid w:val="00157EB9"/>
    <w:rsid w:val="00177677"/>
    <w:rsid w:val="001A1180"/>
    <w:rsid w:val="00224842"/>
    <w:rsid w:val="002257B7"/>
    <w:rsid w:val="002514B7"/>
    <w:rsid w:val="00273DA8"/>
    <w:rsid w:val="00294087"/>
    <w:rsid w:val="002E4962"/>
    <w:rsid w:val="00310F7B"/>
    <w:rsid w:val="00313B94"/>
    <w:rsid w:val="00323FB6"/>
    <w:rsid w:val="00344BBE"/>
    <w:rsid w:val="00346988"/>
    <w:rsid w:val="00354149"/>
    <w:rsid w:val="00356F93"/>
    <w:rsid w:val="003E66CE"/>
    <w:rsid w:val="003F3661"/>
    <w:rsid w:val="00430822"/>
    <w:rsid w:val="00457B38"/>
    <w:rsid w:val="00465656"/>
    <w:rsid w:val="00473633"/>
    <w:rsid w:val="0047573A"/>
    <w:rsid w:val="004B3F53"/>
    <w:rsid w:val="00557C29"/>
    <w:rsid w:val="005D3C2C"/>
    <w:rsid w:val="005D7A9C"/>
    <w:rsid w:val="00646D9A"/>
    <w:rsid w:val="00655438"/>
    <w:rsid w:val="006C4CD6"/>
    <w:rsid w:val="006D4925"/>
    <w:rsid w:val="00710A40"/>
    <w:rsid w:val="00711EBB"/>
    <w:rsid w:val="00716869"/>
    <w:rsid w:val="00732C70"/>
    <w:rsid w:val="00763DD3"/>
    <w:rsid w:val="007B7D19"/>
    <w:rsid w:val="0082621F"/>
    <w:rsid w:val="00832A51"/>
    <w:rsid w:val="0083757A"/>
    <w:rsid w:val="008801F1"/>
    <w:rsid w:val="008C38E9"/>
    <w:rsid w:val="008E32D7"/>
    <w:rsid w:val="008E5A98"/>
    <w:rsid w:val="008F21A7"/>
    <w:rsid w:val="0091406F"/>
    <w:rsid w:val="009541D0"/>
    <w:rsid w:val="00962723"/>
    <w:rsid w:val="009B26CE"/>
    <w:rsid w:val="009C16AA"/>
    <w:rsid w:val="009C5347"/>
    <w:rsid w:val="00A12851"/>
    <w:rsid w:val="00A511E5"/>
    <w:rsid w:val="00A71239"/>
    <w:rsid w:val="00A96838"/>
    <w:rsid w:val="00AF11C9"/>
    <w:rsid w:val="00AF2226"/>
    <w:rsid w:val="00B44282"/>
    <w:rsid w:val="00B46B17"/>
    <w:rsid w:val="00B643CA"/>
    <w:rsid w:val="00B675A8"/>
    <w:rsid w:val="00B86526"/>
    <w:rsid w:val="00BA13C7"/>
    <w:rsid w:val="00BC34E5"/>
    <w:rsid w:val="00BC794C"/>
    <w:rsid w:val="00BD5CEB"/>
    <w:rsid w:val="00C128EE"/>
    <w:rsid w:val="00C164E6"/>
    <w:rsid w:val="00C52DD3"/>
    <w:rsid w:val="00C800F5"/>
    <w:rsid w:val="00CC00E8"/>
    <w:rsid w:val="00D13BA7"/>
    <w:rsid w:val="00D51606"/>
    <w:rsid w:val="00DA412C"/>
    <w:rsid w:val="00DD6D4B"/>
    <w:rsid w:val="00E35ED1"/>
    <w:rsid w:val="00E40778"/>
    <w:rsid w:val="00E876E7"/>
    <w:rsid w:val="00E927ED"/>
    <w:rsid w:val="00EA3CDC"/>
    <w:rsid w:val="00EB55D7"/>
    <w:rsid w:val="00F11C98"/>
    <w:rsid w:val="00F2075C"/>
    <w:rsid w:val="00F44E22"/>
    <w:rsid w:val="00F619C3"/>
    <w:rsid w:val="00F65F48"/>
    <w:rsid w:val="00F74F92"/>
    <w:rsid w:val="00FB091C"/>
    <w:rsid w:val="00FD69EC"/>
    <w:rsid w:val="00FE332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DDBD58D-F600-4C88-BB43-53A35455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6F"/>
  </w:style>
  <w:style w:type="paragraph" w:styleId="Heading1">
    <w:name w:val="heading 1"/>
    <w:basedOn w:val="Title"/>
    <w:next w:val="Normal"/>
    <w:link w:val="Heading1Char"/>
    <w:uiPriority w:val="9"/>
    <w:qFormat/>
    <w:rsid w:val="007B7D19"/>
    <w:pPr>
      <w:tabs>
        <w:tab w:val="left" w:pos="567"/>
      </w:tabs>
      <w:snapToGrid w:val="0"/>
      <w:outlineLvl w:val="0"/>
    </w:pPr>
    <w:rPr>
      <w:rFonts w:ascii="Arial Bold" w:hAnsi="Arial Bold" w:cs="Arial"/>
      <w:b/>
      <w:caps/>
      <w:snapToGrid w:val="0"/>
      <w:color w:val="548DD4" w:themeColor="text2" w:themeTint="99"/>
      <w:sz w:val="72"/>
      <w:szCs w:val="72"/>
      <w:lang w:val="en-GB" w:eastAsia="zh-CN"/>
    </w:rPr>
  </w:style>
  <w:style w:type="paragraph" w:styleId="Heading4">
    <w:name w:val="heading 4"/>
    <w:basedOn w:val="Normal"/>
    <w:next w:val="Normal"/>
    <w:link w:val="Heading4Char"/>
    <w:uiPriority w:val="9"/>
    <w:unhideWhenUsed/>
    <w:qFormat/>
    <w:rsid w:val="005D7A9C"/>
    <w:pPr>
      <w:keepNext/>
      <w:keepLines/>
      <w:tabs>
        <w:tab w:val="left" w:pos="567"/>
      </w:tabs>
      <w:snapToGrid w:val="0"/>
      <w:spacing w:before="360" w:after="120" w:line="300" w:lineRule="exact"/>
      <w:jc w:val="both"/>
      <w:outlineLvl w:val="3"/>
    </w:pPr>
    <w:rPr>
      <w:rFonts w:ascii="Arial" w:eastAsiaTheme="majorEastAsia" w:hAnsi="Arial" w:cs="Arial"/>
      <w:b/>
      <w:bCs/>
      <w:iCs/>
      <w:caps/>
      <w:snapToGrid w:val="0"/>
      <w:sz w:val="20"/>
      <w:szCs w:val="1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F3661"/>
    <w:pPr>
      <w:tabs>
        <w:tab w:val="left" w:pos="284"/>
      </w:tabs>
      <w:spacing w:before="200" w:after="60" w:line="180" w:lineRule="exact"/>
      <w:ind w:left="284" w:hanging="284"/>
      <w:jc w:val="both"/>
    </w:pPr>
    <w:rPr>
      <w:rFonts w:ascii="Arial" w:eastAsia="SimSun" w:hAnsi="Arial" w:cs="Arial"/>
      <w:snapToGrid w:val="0"/>
      <w:sz w:val="16"/>
      <w:szCs w:val="20"/>
      <w:lang w:val="en-GB" w:eastAsia="zh-CN"/>
    </w:rPr>
  </w:style>
  <w:style w:type="character" w:customStyle="1" w:styleId="FootnoteTextChar">
    <w:name w:val="Footnote Text Char"/>
    <w:basedOn w:val="DefaultParagraphFont"/>
    <w:link w:val="FootnoteText"/>
    <w:uiPriority w:val="99"/>
    <w:rsid w:val="003F3661"/>
    <w:rPr>
      <w:rFonts w:ascii="Arial" w:eastAsia="SimSun" w:hAnsi="Arial" w:cs="Arial"/>
      <w:snapToGrid w:val="0"/>
      <w:sz w:val="16"/>
      <w:szCs w:val="20"/>
      <w:lang w:val="en-GB" w:eastAsia="zh-CN"/>
    </w:rPr>
  </w:style>
  <w:style w:type="character" w:styleId="FootnoteReference">
    <w:name w:val="footnote reference"/>
    <w:basedOn w:val="DefaultParagraphFont"/>
    <w:unhideWhenUsed/>
    <w:rsid w:val="008E32D7"/>
    <w:rPr>
      <w:vertAlign w:val="superscript"/>
    </w:rPr>
  </w:style>
  <w:style w:type="paragraph" w:styleId="ListParagraph">
    <w:name w:val="List Paragraph"/>
    <w:basedOn w:val="Normal"/>
    <w:uiPriority w:val="34"/>
    <w:qFormat/>
    <w:rsid w:val="008E32D7"/>
    <w:pPr>
      <w:ind w:left="720"/>
      <w:contextualSpacing/>
    </w:pPr>
  </w:style>
  <w:style w:type="paragraph" w:styleId="Header">
    <w:name w:val="header"/>
    <w:basedOn w:val="Normal"/>
    <w:link w:val="HeaderChar"/>
    <w:uiPriority w:val="99"/>
    <w:unhideWhenUsed/>
    <w:rsid w:val="004B3F53"/>
    <w:pPr>
      <w:tabs>
        <w:tab w:val="center" w:pos="4536"/>
        <w:tab w:val="right" w:pos="9072"/>
      </w:tabs>
    </w:pPr>
  </w:style>
  <w:style w:type="character" w:customStyle="1" w:styleId="HeaderChar">
    <w:name w:val="Header Char"/>
    <w:basedOn w:val="DefaultParagraphFont"/>
    <w:link w:val="Header"/>
    <w:uiPriority w:val="99"/>
    <w:rsid w:val="004B3F53"/>
  </w:style>
  <w:style w:type="paragraph" w:styleId="Footer">
    <w:name w:val="footer"/>
    <w:basedOn w:val="Normal"/>
    <w:link w:val="FooterChar"/>
    <w:unhideWhenUsed/>
    <w:rsid w:val="004B3F53"/>
    <w:pPr>
      <w:tabs>
        <w:tab w:val="center" w:pos="4536"/>
        <w:tab w:val="right" w:pos="9072"/>
      </w:tabs>
    </w:pPr>
  </w:style>
  <w:style w:type="character" w:customStyle="1" w:styleId="FooterChar">
    <w:name w:val="Footer Char"/>
    <w:basedOn w:val="DefaultParagraphFont"/>
    <w:link w:val="Footer"/>
    <w:rsid w:val="004B3F53"/>
  </w:style>
  <w:style w:type="character" w:styleId="Hyperlink">
    <w:name w:val="Hyperlink"/>
    <w:basedOn w:val="DefaultParagraphFont"/>
    <w:uiPriority w:val="99"/>
    <w:unhideWhenUsed/>
    <w:rsid w:val="0047573A"/>
    <w:rPr>
      <w:color w:val="0000FF" w:themeColor="hyperlink"/>
      <w:u w:val="single"/>
    </w:rPr>
  </w:style>
  <w:style w:type="character" w:styleId="FollowedHyperlink">
    <w:name w:val="FollowedHyperlink"/>
    <w:basedOn w:val="DefaultParagraphFont"/>
    <w:uiPriority w:val="99"/>
    <w:semiHidden/>
    <w:unhideWhenUsed/>
    <w:rsid w:val="000B5BBF"/>
    <w:rPr>
      <w:color w:val="800080" w:themeColor="followedHyperlink"/>
      <w:u w:val="single"/>
    </w:rPr>
  </w:style>
  <w:style w:type="character" w:styleId="PageNumber">
    <w:name w:val="page number"/>
    <w:basedOn w:val="DefaultParagraphFont"/>
    <w:uiPriority w:val="99"/>
    <w:semiHidden/>
    <w:unhideWhenUsed/>
    <w:rsid w:val="00CC00E8"/>
  </w:style>
  <w:style w:type="character" w:customStyle="1" w:styleId="Heading1Char">
    <w:name w:val="Heading 1 Char"/>
    <w:basedOn w:val="DefaultParagraphFont"/>
    <w:link w:val="Heading1"/>
    <w:uiPriority w:val="9"/>
    <w:rsid w:val="007B7D19"/>
    <w:rPr>
      <w:rFonts w:ascii="Arial Bold" w:eastAsiaTheme="majorEastAsia" w:hAnsi="Arial Bold" w:cs="Arial"/>
      <w:b/>
      <w:caps/>
      <w:snapToGrid w:val="0"/>
      <w:color w:val="548DD4" w:themeColor="text2" w:themeTint="99"/>
      <w:spacing w:val="5"/>
      <w:kern w:val="28"/>
      <w:sz w:val="72"/>
      <w:szCs w:val="72"/>
      <w:lang w:val="en-GB" w:eastAsia="zh-CN"/>
    </w:rPr>
  </w:style>
  <w:style w:type="paragraph" w:styleId="Title">
    <w:name w:val="Title"/>
    <w:basedOn w:val="Normal"/>
    <w:next w:val="Normal"/>
    <w:link w:val="TitleChar"/>
    <w:uiPriority w:val="10"/>
    <w:qFormat/>
    <w:rsid w:val="007B7D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D19"/>
    <w:rPr>
      <w:rFonts w:asciiTheme="majorHAnsi" w:eastAsiaTheme="majorEastAsia" w:hAnsiTheme="majorHAnsi" w:cstheme="majorBidi"/>
      <w:color w:val="17365D" w:themeColor="text2" w:themeShade="BF"/>
      <w:spacing w:val="5"/>
      <w:kern w:val="28"/>
      <w:sz w:val="52"/>
      <w:szCs w:val="52"/>
    </w:rPr>
  </w:style>
  <w:style w:type="paragraph" w:customStyle="1" w:styleId="Chapitre">
    <w:name w:val="Chapitre"/>
    <w:basedOn w:val="Title"/>
    <w:autoRedefine/>
    <w:rsid w:val="001227CB"/>
    <w:pPr>
      <w:pBdr>
        <w:bottom w:val="single" w:sz="4" w:space="14" w:color="3366FF"/>
      </w:pBdr>
      <w:tabs>
        <w:tab w:val="left" w:pos="567"/>
      </w:tabs>
      <w:snapToGrid w:val="0"/>
      <w:spacing w:before="240" w:after="480" w:line="840" w:lineRule="exact"/>
      <w:contextualSpacing w:val="0"/>
    </w:pPr>
    <w:rPr>
      <w:rFonts w:ascii="Arial" w:hAnsi="Arial"/>
      <w:b/>
      <w:bCs/>
      <w:caps/>
      <w:snapToGrid w:val="0"/>
      <w:color w:val="3366FF"/>
      <w:sz w:val="70"/>
      <w:szCs w:val="70"/>
      <w:lang w:val="en-GB" w:eastAsia="zh-CN"/>
    </w:rPr>
  </w:style>
  <w:style w:type="paragraph" w:customStyle="1" w:styleId="Sschap">
    <w:name w:val="Sschap"/>
    <w:basedOn w:val="Normal"/>
    <w:autoRedefine/>
    <w:rsid w:val="005D7A9C"/>
    <w:pPr>
      <w:keepNext/>
      <w:widowControl w:val="0"/>
      <w:tabs>
        <w:tab w:val="left" w:pos="567"/>
      </w:tabs>
      <w:snapToGrid w:val="0"/>
      <w:spacing w:before="480" w:after="240" w:line="300" w:lineRule="exact"/>
      <w:jc w:val="both"/>
    </w:pPr>
    <w:rPr>
      <w:rFonts w:ascii="Arial" w:eastAsia="SimSun" w:hAnsi="Arial" w:cs="Arial"/>
      <w:b/>
      <w:bCs/>
      <w:snapToGrid w:val="0"/>
      <w:w w:val="99"/>
      <w:lang w:eastAsia="zh-CN"/>
    </w:rPr>
  </w:style>
  <w:style w:type="paragraph" w:customStyle="1" w:styleId="Txtchap">
    <w:name w:val="Txtchap"/>
    <w:basedOn w:val="Normal"/>
    <w:link w:val="TxtchapCar"/>
    <w:autoRedefine/>
    <w:rsid w:val="005D7A9C"/>
    <w:pPr>
      <w:snapToGrid w:val="0"/>
      <w:spacing w:before="120" w:after="120" w:line="360" w:lineRule="exact"/>
      <w:jc w:val="both"/>
    </w:pPr>
    <w:rPr>
      <w:rFonts w:ascii="Arial" w:eastAsia="SimSun" w:hAnsi="Arial" w:cs="Arial"/>
      <w:snapToGrid w:val="0"/>
      <w:lang w:eastAsia="zh-CN"/>
    </w:rPr>
  </w:style>
  <w:style w:type="character" w:customStyle="1" w:styleId="TxtchapCar">
    <w:name w:val="Txtchap Car"/>
    <w:basedOn w:val="DefaultParagraphFont"/>
    <w:link w:val="Txtchap"/>
    <w:rsid w:val="005D7A9C"/>
    <w:rPr>
      <w:rFonts w:ascii="Arial" w:eastAsia="SimSun" w:hAnsi="Arial" w:cs="Arial"/>
      <w:snapToGrid w:val="0"/>
      <w:lang w:eastAsia="zh-CN"/>
    </w:rPr>
  </w:style>
  <w:style w:type="paragraph" w:customStyle="1" w:styleId="Titcoul">
    <w:name w:val="Titcoul"/>
    <w:basedOn w:val="Title"/>
    <w:link w:val="TitcoulCar"/>
    <w:rsid w:val="00465656"/>
    <w:pPr>
      <w:keepNext/>
      <w:keepLines/>
      <w:pBdr>
        <w:bottom w:val="none" w:sz="0" w:space="0" w:color="auto"/>
      </w:pBdr>
      <w:tabs>
        <w:tab w:val="left" w:pos="851"/>
      </w:tabs>
      <w:snapToGrid w:val="0"/>
      <w:spacing w:before="720" w:after="240" w:line="320" w:lineRule="exact"/>
      <w:ind w:left="851" w:hanging="851"/>
      <w:contextualSpacing w:val="0"/>
    </w:pPr>
    <w:rPr>
      <w:rFonts w:ascii="Arial" w:eastAsia="SimSun" w:hAnsi="Arial"/>
      <w:b/>
      <w:bCs/>
      <w:caps/>
      <w:snapToGrid w:val="0"/>
      <w:color w:val="3366FF"/>
      <w:sz w:val="24"/>
      <w:szCs w:val="24"/>
      <w:lang w:val="en-US" w:eastAsia="zh-CN"/>
    </w:rPr>
  </w:style>
  <w:style w:type="character" w:customStyle="1" w:styleId="TitcoulCar">
    <w:name w:val="Titcoul Car"/>
    <w:link w:val="Titcoul"/>
    <w:rsid w:val="00465656"/>
    <w:rPr>
      <w:rFonts w:ascii="Arial" w:eastAsia="SimSun" w:hAnsi="Arial" w:cstheme="majorBidi"/>
      <w:b/>
      <w:bCs/>
      <w:caps/>
      <w:snapToGrid w:val="0"/>
      <w:color w:val="3366FF"/>
      <w:spacing w:val="5"/>
      <w:kern w:val="28"/>
      <w:lang w:val="en-US" w:eastAsia="zh-CN"/>
    </w:rPr>
  </w:style>
  <w:style w:type="paragraph" w:customStyle="1" w:styleId="Texte1">
    <w:name w:val="Texte1"/>
    <w:basedOn w:val="Normal"/>
    <w:link w:val="Texte1Car"/>
    <w:rsid w:val="005D7A9C"/>
    <w:pPr>
      <w:tabs>
        <w:tab w:val="left" w:pos="567"/>
      </w:tabs>
      <w:snapToGrid w:val="0"/>
      <w:spacing w:after="60" w:line="280" w:lineRule="exact"/>
      <w:ind w:left="851"/>
      <w:jc w:val="both"/>
    </w:pPr>
    <w:rPr>
      <w:rFonts w:ascii="Arial" w:eastAsia="SimSun" w:hAnsi="Arial" w:cs="Arial"/>
      <w:snapToGrid w:val="0"/>
      <w:sz w:val="20"/>
      <w:szCs w:val="20"/>
      <w:lang w:val="en-GB" w:eastAsia="zh-CN"/>
    </w:rPr>
  </w:style>
  <w:style w:type="character" w:customStyle="1" w:styleId="Texte1Car">
    <w:name w:val="Texte1 Car"/>
    <w:link w:val="Texte1"/>
    <w:rsid w:val="005D7A9C"/>
    <w:rPr>
      <w:rFonts w:ascii="Arial" w:eastAsia="SimSun" w:hAnsi="Arial" w:cs="Arial"/>
      <w:snapToGrid w:val="0"/>
      <w:sz w:val="20"/>
      <w:szCs w:val="20"/>
      <w:lang w:val="en-GB" w:eastAsia="zh-CN"/>
    </w:rPr>
  </w:style>
  <w:style w:type="character" w:customStyle="1" w:styleId="Heading4Char">
    <w:name w:val="Heading 4 Char"/>
    <w:basedOn w:val="DefaultParagraphFont"/>
    <w:link w:val="Heading4"/>
    <w:uiPriority w:val="9"/>
    <w:rsid w:val="005D7A9C"/>
    <w:rPr>
      <w:rFonts w:ascii="Arial" w:eastAsiaTheme="majorEastAsia" w:hAnsi="Arial" w:cs="Arial"/>
      <w:b/>
      <w:bCs/>
      <w:iCs/>
      <w:caps/>
      <w:snapToGrid w:val="0"/>
      <w:sz w:val="20"/>
      <w:szCs w:val="18"/>
      <w:lang w:val="en-US" w:eastAsia="zh-CN"/>
    </w:rPr>
  </w:style>
  <w:style w:type="paragraph" w:customStyle="1" w:styleId="Informations">
    <w:name w:val="Informations"/>
    <w:basedOn w:val="Normal"/>
    <w:link w:val="InformationsCar"/>
    <w:rsid w:val="005D7A9C"/>
    <w:pPr>
      <w:tabs>
        <w:tab w:val="left" w:pos="567"/>
      </w:tabs>
      <w:snapToGrid w:val="0"/>
      <w:spacing w:after="60" w:line="280" w:lineRule="exact"/>
      <w:ind w:left="851"/>
      <w:jc w:val="both"/>
    </w:pPr>
    <w:rPr>
      <w:rFonts w:ascii="Arial" w:eastAsia="SimSun" w:hAnsi="Arial" w:cs="Arial"/>
      <w:i/>
      <w:iCs/>
      <w:snapToGrid w:val="0"/>
      <w:color w:val="3366FF"/>
      <w:sz w:val="20"/>
      <w:szCs w:val="20"/>
      <w:lang w:val="en-GB" w:eastAsia="zh-CN"/>
    </w:rPr>
  </w:style>
  <w:style w:type="character" w:customStyle="1" w:styleId="InformationsCar">
    <w:name w:val="Informations Car"/>
    <w:link w:val="Informations"/>
    <w:rsid w:val="005D7A9C"/>
    <w:rPr>
      <w:rFonts w:ascii="Arial" w:eastAsia="SimSun" w:hAnsi="Arial" w:cs="Arial"/>
      <w:i/>
      <w:iCs/>
      <w:snapToGrid w:val="0"/>
      <w:color w:val="3366FF"/>
      <w:sz w:val="20"/>
      <w:szCs w:val="20"/>
      <w:lang w:val="en-GB" w:eastAsia="zh-CN"/>
    </w:rPr>
  </w:style>
  <w:style w:type="paragraph" w:customStyle="1" w:styleId="Txtpucegras">
    <w:name w:val="Txtpucegras"/>
    <w:basedOn w:val="Texte1"/>
    <w:autoRedefine/>
    <w:rsid w:val="00430822"/>
    <w:pPr>
      <w:numPr>
        <w:numId w:val="9"/>
      </w:numPr>
      <w:tabs>
        <w:tab w:val="clear" w:pos="567"/>
      </w:tabs>
      <w:spacing w:line="240" w:lineRule="auto"/>
      <w:ind w:left="1210"/>
    </w:pPr>
  </w:style>
  <w:style w:type="paragraph" w:styleId="BalloonText">
    <w:name w:val="Balloon Text"/>
    <w:basedOn w:val="Normal"/>
    <w:link w:val="BalloonTextChar"/>
    <w:uiPriority w:val="99"/>
    <w:semiHidden/>
    <w:unhideWhenUsed/>
    <w:rsid w:val="00716869"/>
    <w:rPr>
      <w:rFonts w:ascii="Tahoma" w:hAnsi="Tahoma" w:cs="Tahoma"/>
      <w:sz w:val="16"/>
      <w:szCs w:val="16"/>
    </w:rPr>
  </w:style>
  <w:style w:type="character" w:customStyle="1" w:styleId="BalloonTextChar">
    <w:name w:val="Balloon Text Char"/>
    <w:basedOn w:val="DefaultParagraphFont"/>
    <w:link w:val="BalloonText"/>
    <w:uiPriority w:val="99"/>
    <w:semiHidden/>
    <w:rsid w:val="00716869"/>
    <w:rPr>
      <w:rFonts w:ascii="Tahoma" w:hAnsi="Tahoma" w:cs="Tahoma"/>
      <w:sz w:val="16"/>
      <w:szCs w:val="16"/>
    </w:rPr>
  </w:style>
  <w:style w:type="paragraph" w:customStyle="1" w:styleId="UPlan">
    <w:name w:val="UPlan"/>
    <w:basedOn w:val="Normal"/>
    <w:link w:val="UPlanCar"/>
    <w:rsid w:val="00465656"/>
    <w:pPr>
      <w:tabs>
        <w:tab w:val="left" w:pos="567"/>
      </w:tabs>
      <w:snapToGrid w:val="0"/>
      <w:spacing w:before="480" w:line="480" w:lineRule="exact"/>
      <w:contextualSpacing/>
      <w:outlineLvl w:val="0"/>
    </w:pPr>
    <w:rPr>
      <w:rFonts w:ascii="Arial" w:eastAsia="Times New Roman" w:hAnsi="Arial" w:cs="Arial"/>
      <w:b/>
      <w:bCs/>
      <w:caps/>
      <w:noProof/>
      <w:snapToGrid w:val="0"/>
      <w:color w:val="3366FF"/>
      <w:spacing w:val="5"/>
      <w:kern w:val="28"/>
      <w:sz w:val="48"/>
      <w:szCs w:val="48"/>
      <w:lang w:val="en-GB" w:eastAsia="zh-CN"/>
    </w:rPr>
  </w:style>
  <w:style w:type="character" w:customStyle="1" w:styleId="UPlanCar">
    <w:name w:val="UPlan Car"/>
    <w:basedOn w:val="DefaultParagraphFont"/>
    <w:link w:val="UPlan"/>
    <w:rsid w:val="00465656"/>
    <w:rPr>
      <w:rFonts w:ascii="Arial" w:eastAsia="Times New Roman" w:hAnsi="Arial" w:cs="Arial"/>
      <w:b/>
      <w:bCs/>
      <w:caps/>
      <w:noProof/>
      <w:snapToGrid w:val="0"/>
      <w:color w:val="3366FF"/>
      <w:spacing w:val="5"/>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unesco.org/culture/ich/index.php?lg=fr&amp;pg=0010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unesco.org/culture/ich/f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index.php?lg=fr&amp;pg=00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651-27EB-4061-AEEF-6C2D6537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1773</Words>
  <Characters>9754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U016-v1.1-PT-FRA.docx</vt:lpstr>
    </vt:vector>
  </TitlesOfParts>
  <Company>FabDab formation</Company>
  <LinksUpToDate>false</LinksUpToDate>
  <CharactersWithSpaces>11504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U016-v1.1-PT-FRA.docx</dc:title>
  <dc:creator>Fabrice Daboval</dc:creator>
  <cp:lastModifiedBy>Kim, Dain</cp:lastModifiedBy>
  <cp:revision>14</cp:revision>
  <dcterms:created xsi:type="dcterms:W3CDTF">2015-09-24T14:57:00Z</dcterms:created>
  <dcterms:modified xsi:type="dcterms:W3CDTF">2018-04-20T14:53:00Z</dcterms:modified>
</cp:coreProperties>
</file>