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73968" w14:textId="523847D2" w:rsidR="003D2C58" w:rsidRPr="00F13D41" w:rsidRDefault="00E2057C" w:rsidP="004936EF">
      <w:pPr>
        <w:pStyle w:val="Chapitre"/>
      </w:pPr>
      <w:bookmarkStart w:id="0" w:name="_Toc302374702"/>
      <w:bookmarkStart w:id="1" w:name="_GoBack"/>
      <w:bookmarkEnd w:id="1"/>
      <w:r>
        <w:rPr>
          <w:kern w:val="0"/>
          <w:lang w:val="en-US"/>
        </w:rPr>
        <w:t>Unit 1</w:t>
      </w:r>
      <w:r w:rsidR="00F13D41" w:rsidRPr="004936EF">
        <w:rPr>
          <w:b w:val="0"/>
          <w:caps w:val="0"/>
          <w:sz w:val="20"/>
          <w:szCs w:val="20"/>
          <w:lang w:val="es-ES_tradnl" w:eastAsia="es-ES_tradnl"/>
        </w:rPr>
        <w:drawing>
          <wp:anchor distT="0" distB="0" distL="114300" distR="114300" simplePos="0" relativeHeight="251680768" behindDoc="1" locked="1" layoutInCell="1" allowOverlap="0" wp14:anchorId="48ED5BDB" wp14:editId="36B05005">
            <wp:simplePos x="0" y="0"/>
            <wp:positionH relativeFrom="margin">
              <wp:posOffset>431800</wp:posOffset>
            </wp:positionH>
            <wp:positionV relativeFrom="margin">
              <wp:posOffset>1980565</wp:posOffset>
            </wp:positionV>
            <wp:extent cx="4870411" cy="4498145"/>
            <wp:effectExtent l="0" t="0" r="6985" b="0"/>
            <wp:wrapNone/>
            <wp:docPr id="390" name="Imag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Pr>
          <w:kern w:val="0"/>
          <w:lang w:val="en-US"/>
        </w:rPr>
        <w:t>3</w:t>
      </w:r>
    </w:p>
    <w:bookmarkEnd w:id="0"/>
    <w:p w14:paraId="39A37EAC" w14:textId="5AC052BE" w:rsidR="00F13D41" w:rsidRDefault="004F5D6D" w:rsidP="004936EF">
      <w:pPr>
        <w:pStyle w:val="UPlan"/>
      </w:pPr>
      <w:r>
        <w:t xml:space="preserve">The Intangible Heritage Convention and the </w:t>
      </w:r>
      <w:r w:rsidR="00B80636">
        <w:br/>
      </w:r>
      <w:r>
        <w:t>World Heritage Convention</w:t>
      </w:r>
    </w:p>
    <w:p w14:paraId="4F5B9C40" w14:textId="0F33B533" w:rsidR="005B23EA" w:rsidRPr="00141792" w:rsidRDefault="00A52502" w:rsidP="00F13D41">
      <w:pPr>
        <w:pStyle w:val="Titcoul"/>
        <w:rPr>
          <w:rFonts w:eastAsia="Calibri"/>
        </w:rPr>
      </w:pPr>
      <w:r>
        <w:rPr>
          <w:kern w:val="0"/>
          <w:szCs w:val="70"/>
          <w:lang w:val="en-US"/>
        </w:rPr>
        <w:t>lesson plan</w:t>
      </w:r>
    </w:p>
    <w:p w14:paraId="7E856ABC" w14:textId="1F332555" w:rsidR="00F50654" w:rsidRPr="004936EF" w:rsidRDefault="003D2C58" w:rsidP="004936EF">
      <w:pPr>
        <w:pStyle w:val="UTit4"/>
        <w:rPr>
          <w:snapToGrid w:val="0"/>
        </w:rPr>
      </w:pPr>
      <w:r w:rsidRPr="004936EF">
        <w:rPr>
          <w:snapToGrid w:val="0"/>
        </w:rPr>
        <w:t>Duration:</w:t>
      </w:r>
    </w:p>
    <w:p w14:paraId="542DEE77" w14:textId="183D1D0B" w:rsidR="003D2C58" w:rsidRPr="00CF515A" w:rsidRDefault="00827B9C" w:rsidP="00F13D41">
      <w:pPr>
        <w:pStyle w:val="UTxt"/>
        <w:rPr>
          <w:i w:val="0"/>
          <w:lang w:val="en-US"/>
        </w:rPr>
      </w:pPr>
      <w:r>
        <w:rPr>
          <w:i w:val="0"/>
          <w:lang w:val="en-US"/>
        </w:rPr>
        <w:t>1 hour 30 minutes</w:t>
      </w:r>
    </w:p>
    <w:p w14:paraId="0122224D" w14:textId="77777777" w:rsidR="003D2C58" w:rsidRPr="004936EF" w:rsidRDefault="003D2C58" w:rsidP="004936EF">
      <w:pPr>
        <w:pStyle w:val="UTit4"/>
        <w:rPr>
          <w:snapToGrid w:val="0"/>
        </w:rPr>
      </w:pPr>
      <w:r w:rsidRPr="004936EF">
        <w:rPr>
          <w:snapToGrid w:val="0"/>
        </w:rPr>
        <w:t>Objective</w:t>
      </w:r>
      <w:proofErr w:type="gramStart"/>
      <w:r w:rsidRPr="004936EF">
        <w:rPr>
          <w:snapToGrid w:val="0"/>
        </w:rPr>
        <w:t>(</w:t>
      </w:r>
      <w:proofErr w:type="gramEnd"/>
      <w:r w:rsidRPr="004936EF">
        <w:rPr>
          <w:snapToGrid w:val="0"/>
        </w:rPr>
        <w:t>s)</w:t>
      </w:r>
      <w:r w:rsidRPr="00F13D41">
        <w:rPr>
          <w:snapToGrid w:val="0"/>
        </w:rPr>
        <w:t>:</w:t>
      </w:r>
    </w:p>
    <w:p w14:paraId="158A9A00" w14:textId="232F42F4" w:rsidR="003D2C58" w:rsidRPr="00CF515A" w:rsidRDefault="007C7AE7" w:rsidP="00195E98">
      <w:pPr>
        <w:pStyle w:val="UTxt"/>
        <w:rPr>
          <w:i w:val="0"/>
          <w:lang w:val="en-US"/>
        </w:rPr>
      </w:pPr>
      <w:r w:rsidRPr="007C7AE7">
        <w:rPr>
          <w:i w:val="0"/>
          <w:lang w:val="en-US"/>
        </w:rPr>
        <w:t xml:space="preserve">Develop a shared understanding of the </w:t>
      </w:r>
      <w:r w:rsidR="008C5CA1">
        <w:rPr>
          <w:i w:val="0"/>
          <w:lang w:val="en-US"/>
        </w:rPr>
        <w:t>common features</w:t>
      </w:r>
      <w:r w:rsidR="003D747B">
        <w:rPr>
          <w:i w:val="0"/>
          <w:lang w:val="en-US"/>
        </w:rPr>
        <w:t xml:space="preserve"> of</w:t>
      </w:r>
      <w:r w:rsidR="00B80636">
        <w:rPr>
          <w:i w:val="0"/>
          <w:lang w:val="en-US"/>
        </w:rPr>
        <w:t xml:space="preserve"> </w:t>
      </w:r>
      <w:r w:rsidR="008C5CA1">
        <w:rPr>
          <w:i w:val="0"/>
          <w:lang w:val="en-US"/>
        </w:rPr>
        <w:t xml:space="preserve">and </w:t>
      </w:r>
      <w:r>
        <w:rPr>
          <w:i w:val="0"/>
          <w:lang w:val="en-US"/>
        </w:rPr>
        <w:t xml:space="preserve">differences between the </w:t>
      </w:r>
      <w:r w:rsidRPr="007C7AE7">
        <w:rPr>
          <w:i w:val="0"/>
          <w:lang w:val="en-US"/>
        </w:rPr>
        <w:t>Convention for the Safeguarding of the Intangible Cultural Heritage</w:t>
      </w:r>
      <w:r w:rsidR="00336816">
        <w:rPr>
          <w:rStyle w:val="FootnoteReference"/>
          <w:i w:val="0"/>
          <w:lang w:val="en-US"/>
        </w:rPr>
        <w:footnoteReference w:id="1"/>
      </w:r>
      <w:r w:rsidRPr="007C7AE7">
        <w:rPr>
          <w:i w:val="0"/>
          <w:lang w:val="en-US"/>
        </w:rPr>
        <w:t xml:space="preserve"> </w:t>
      </w:r>
      <w:r>
        <w:rPr>
          <w:i w:val="0"/>
          <w:lang w:val="en-US"/>
        </w:rPr>
        <w:t xml:space="preserve">and the </w:t>
      </w:r>
      <w:r w:rsidR="00195E98">
        <w:rPr>
          <w:i w:val="0"/>
          <w:lang w:val="en-US"/>
        </w:rPr>
        <w:t>Convention Concerning the Protection of the World Cultural and Natural Heritage.</w:t>
      </w:r>
      <w:r w:rsidR="00195E98">
        <w:rPr>
          <w:rStyle w:val="FootnoteReference"/>
          <w:i w:val="0"/>
          <w:lang w:val="en-US"/>
        </w:rPr>
        <w:footnoteReference w:id="2"/>
      </w:r>
    </w:p>
    <w:p w14:paraId="0142A40F" w14:textId="672841B6" w:rsidR="003D2C58" w:rsidRPr="004936EF" w:rsidRDefault="003D2C58" w:rsidP="004936EF">
      <w:pPr>
        <w:pStyle w:val="UTit4"/>
        <w:rPr>
          <w:snapToGrid w:val="0"/>
        </w:rPr>
      </w:pPr>
      <w:r w:rsidRPr="004936EF">
        <w:rPr>
          <w:snapToGrid w:val="0"/>
        </w:rPr>
        <w:t>Description</w:t>
      </w:r>
      <w:r w:rsidRPr="00F13D41">
        <w:rPr>
          <w:snapToGrid w:val="0"/>
        </w:rPr>
        <w:t>:</w:t>
      </w:r>
    </w:p>
    <w:p w14:paraId="2F9B5A5A" w14:textId="4B52B866" w:rsidR="000F0FDD" w:rsidRDefault="008C5CA1" w:rsidP="00336816">
      <w:pPr>
        <w:pStyle w:val="UTxt"/>
        <w:rPr>
          <w:lang w:val="en-US"/>
        </w:rPr>
      </w:pPr>
      <w:r>
        <w:rPr>
          <w:i w:val="0"/>
          <w:lang w:val="en-US"/>
        </w:rPr>
        <w:t xml:space="preserve">This </w:t>
      </w:r>
      <w:r w:rsidR="004B73D7">
        <w:rPr>
          <w:i w:val="0"/>
          <w:lang w:val="en-US"/>
        </w:rPr>
        <w:t>u</w:t>
      </w:r>
      <w:r>
        <w:rPr>
          <w:i w:val="0"/>
          <w:lang w:val="en-US"/>
        </w:rPr>
        <w:t xml:space="preserve">nit </w:t>
      </w:r>
      <w:r w:rsidR="00FE50F8">
        <w:rPr>
          <w:i w:val="0"/>
          <w:lang w:val="en-US"/>
        </w:rPr>
        <w:t xml:space="preserve">compares the </w:t>
      </w:r>
      <w:r w:rsidR="00FB6B1C" w:rsidRPr="008C5CA1">
        <w:rPr>
          <w:i w:val="0"/>
          <w:lang w:val="en-US"/>
        </w:rPr>
        <w:t>World Heritage Convention</w:t>
      </w:r>
      <w:r w:rsidR="00FB6B1C">
        <w:rPr>
          <w:i w:val="0"/>
          <w:lang w:val="en-US"/>
        </w:rPr>
        <w:t xml:space="preserve"> and the </w:t>
      </w:r>
      <w:r w:rsidRPr="008C5CA1">
        <w:rPr>
          <w:i w:val="0"/>
          <w:lang w:val="en-US"/>
        </w:rPr>
        <w:t>Convention for the Safeguarding of the Intangible Cultural Heritage</w:t>
      </w:r>
      <w:r w:rsidR="00FE50F8">
        <w:rPr>
          <w:i w:val="0"/>
          <w:lang w:val="en-US"/>
        </w:rPr>
        <w:t>. It covers their origins and reviews the main features of the</w:t>
      </w:r>
      <w:r w:rsidR="0056386B">
        <w:rPr>
          <w:i w:val="0"/>
          <w:lang w:val="en-US"/>
        </w:rPr>
        <w:t xml:space="preserve"> two</w:t>
      </w:r>
      <w:r w:rsidR="00FE50F8">
        <w:rPr>
          <w:i w:val="0"/>
          <w:lang w:val="en-US"/>
        </w:rPr>
        <w:t xml:space="preserve"> Conventions.</w:t>
      </w:r>
      <w:r w:rsidR="00FB6B1C">
        <w:rPr>
          <w:i w:val="0"/>
          <w:lang w:val="en-US"/>
        </w:rPr>
        <w:t xml:space="preserve"> </w:t>
      </w:r>
      <w:r w:rsidR="00FE50F8">
        <w:rPr>
          <w:i w:val="0"/>
          <w:lang w:val="en-US"/>
        </w:rPr>
        <w:t xml:space="preserve">Each section </w:t>
      </w:r>
      <w:r w:rsidR="00827B9C">
        <w:rPr>
          <w:i w:val="0"/>
          <w:lang w:val="en-US"/>
        </w:rPr>
        <w:t>highlight</w:t>
      </w:r>
      <w:r w:rsidR="00FE50F8">
        <w:rPr>
          <w:i w:val="0"/>
          <w:lang w:val="en-US"/>
        </w:rPr>
        <w:t>s</w:t>
      </w:r>
      <w:r w:rsidR="000A4129">
        <w:rPr>
          <w:i w:val="0"/>
          <w:lang w:val="en-US"/>
        </w:rPr>
        <w:t xml:space="preserve"> </w:t>
      </w:r>
      <w:r w:rsidR="00165D0A">
        <w:rPr>
          <w:i w:val="0"/>
          <w:lang w:val="en-US"/>
        </w:rPr>
        <w:t xml:space="preserve">the </w:t>
      </w:r>
      <w:r w:rsidR="00FE50F8">
        <w:rPr>
          <w:i w:val="0"/>
          <w:lang w:val="en-US"/>
        </w:rPr>
        <w:t>key points they have in common</w:t>
      </w:r>
      <w:r w:rsidR="0056386B">
        <w:rPr>
          <w:i w:val="0"/>
          <w:lang w:val="en-US"/>
        </w:rPr>
        <w:t>,</w:t>
      </w:r>
      <w:r w:rsidR="00FE50F8">
        <w:rPr>
          <w:i w:val="0"/>
          <w:lang w:val="en-US"/>
        </w:rPr>
        <w:t xml:space="preserve"> the</w:t>
      </w:r>
      <w:r w:rsidR="000A4129">
        <w:rPr>
          <w:i w:val="0"/>
          <w:lang w:val="en-US"/>
        </w:rPr>
        <w:t xml:space="preserve"> </w:t>
      </w:r>
      <w:r w:rsidR="00827B9C">
        <w:rPr>
          <w:i w:val="0"/>
          <w:lang w:val="en-US"/>
        </w:rPr>
        <w:t>differences</w:t>
      </w:r>
      <w:r w:rsidR="00165D0A">
        <w:rPr>
          <w:i w:val="0"/>
          <w:lang w:val="en-US"/>
        </w:rPr>
        <w:t xml:space="preserve"> between them</w:t>
      </w:r>
      <w:r w:rsidR="004C545E">
        <w:rPr>
          <w:i w:val="0"/>
          <w:lang w:val="en-US"/>
        </w:rPr>
        <w:t xml:space="preserve"> and </w:t>
      </w:r>
      <w:r w:rsidR="00165D0A">
        <w:rPr>
          <w:i w:val="0"/>
          <w:lang w:val="en-US"/>
        </w:rPr>
        <w:t xml:space="preserve">the </w:t>
      </w:r>
      <w:r w:rsidR="004C545E">
        <w:rPr>
          <w:i w:val="0"/>
          <w:lang w:val="en-US"/>
        </w:rPr>
        <w:t>ways that they complement each other</w:t>
      </w:r>
      <w:r w:rsidR="000A4129">
        <w:rPr>
          <w:i w:val="0"/>
          <w:lang w:val="en-US"/>
        </w:rPr>
        <w:t>.</w:t>
      </w:r>
    </w:p>
    <w:p w14:paraId="2F9C69B8" w14:textId="36FA1079" w:rsidR="00280789" w:rsidRPr="00E34BE8" w:rsidRDefault="00280789" w:rsidP="00E34BE8">
      <w:pPr>
        <w:pStyle w:val="UTxt"/>
        <w:rPr>
          <w:lang w:val="en-US"/>
        </w:rPr>
      </w:pPr>
      <w:r w:rsidRPr="00E34BE8">
        <w:rPr>
          <w:lang w:val="en-US"/>
        </w:rPr>
        <w:t>Proposed sequence:</w:t>
      </w:r>
    </w:p>
    <w:p w14:paraId="69DE5CEC" w14:textId="1D29AEA5" w:rsidR="003D2C58" w:rsidRDefault="000F0FDD" w:rsidP="00117FA3">
      <w:pPr>
        <w:pStyle w:val="Upuce"/>
        <w:rPr>
          <w:lang w:val="en-GB"/>
        </w:rPr>
      </w:pPr>
      <w:r>
        <w:rPr>
          <w:lang w:val="en-GB"/>
        </w:rPr>
        <w:t>O</w:t>
      </w:r>
      <w:r w:rsidR="00117FA3" w:rsidRPr="00117FA3">
        <w:rPr>
          <w:lang w:val="en-GB"/>
        </w:rPr>
        <w:t>rigins of the two Conventions</w:t>
      </w:r>
    </w:p>
    <w:p w14:paraId="203BA12E" w14:textId="713E64EB" w:rsidR="0056386B" w:rsidRDefault="000F0FDD" w:rsidP="00117FA3">
      <w:pPr>
        <w:pStyle w:val="Upuce"/>
        <w:rPr>
          <w:lang w:val="en-GB"/>
        </w:rPr>
      </w:pPr>
      <w:r>
        <w:rPr>
          <w:lang w:val="en-GB"/>
        </w:rPr>
        <w:t xml:space="preserve">The </w:t>
      </w:r>
      <w:r w:rsidR="00E005B3">
        <w:rPr>
          <w:lang w:val="en-GB"/>
        </w:rPr>
        <w:t>t</w:t>
      </w:r>
      <w:r>
        <w:rPr>
          <w:lang w:val="en-GB"/>
        </w:rPr>
        <w:t>exts</w:t>
      </w:r>
      <w:r w:rsidR="00E005B3">
        <w:rPr>
          <w:lang w:val="en-GB"/>
        </w:rPr>
        <w:t xml:space="preserve"> of the two Conventions</w:t>
      </w:r>
      <w:r>
        <w:rPr>
          <w:lang w:val="en-GB"/>
        </w:rPr>
        <w:t xml:space="preserve">: </w:t>
      </w:r>
      <w:r w:rsidR="00B80636">
        <w:rPr>
          <w:lang w:val="en-GB"/>
        </w:rPr>
        <w:t>s</w:t>
      </w:r>
      <w:r>
        <w:rPr>
          <w:lang w:val="en-GB"/>
        </w:rPr>
        <w:t>imilarities a</w:t>
      </w:r>
      <w:r w:rsidRPr="000F0FDD">
        <w:rPr>
          <w:lang w:val="en-GB"/>
        </w:rPr>
        <w:t xml:space="preserve">nd </w:t>
      </w:r>
      <w:r w:rsidR="00B80636">
        <w:rPr>
          <w:lang w:val="en-GB"/>
        </w:rPr>
        <w:t>d</w:t>
      </w:r>
      <w:r w:rsidRPr="000F0FDD">
        <w:rPr>
          <w:lang w:val="en-GB"/>
        </w:rPr>
        <w:t>ifferences</w:t>
      </w:r>
    </w:p>
    <w:p w14:paraId="74074C19" w14:textId="72B09C60" w:rsidR="00117FA3" w:rsidRPr="00117FA3" w:rsidRDefault="00117FA3" w:rsidP="00117FA3">
      <w:pPr>
        <w:pStyle w:val="Upuce"/>
        <w:rPr>
          <w:lang w:val="en-GB"/>
        </w:rPr>
      </w:pPr>
      <w:r w:rsidRPr="00117FA3">
        <w:rPr>
          <w:lang w:val="en-GB"/>
        </w:rPr>
        <w:t>Definitions of heritage in the two Conventions</w:t>
      </w:r>
    </w:p>
    <w:p w14:paraId="56FF5823" w14:textId="06540348" w:rsidR="00117FA3" w:rsidRPr="00117FA3" w:rsidRDefault="00117FA3" w:rsidP="00117FA3">
      <w:pPr>
        <w:pStyle w:val="Upuce"/>
        <w:rPr>
          <w:lang w:val="en-GB"/>
        </w:rPr>
      </w:pPr>
      <w:r w:rsidRPr="00117FA3">
        <w:rPr>
          <w:lang w:val="en-GB"/>
        </w:rPr>
        <w:t>Inventory</w:t>
      </w:r>
      <w:r w:rsidR="0056386B">
        <w:rPr>
          <w:lang w:val="en-GB"/>
        </w:rPr>
        <w:t>-</w:t>
      </w:r>
      <w:r w:rsidRPr="00117FA3">
        <w:rPr>
          <w:lang w:val="en-GB"/>
        </w:rPr>
        <w:t>making under the two Conventions</w:t>
      </w:r>
    </w:p>
    <w:p w14:paraId="7CC4ABE9" w14:textId="700D2339" w:rsidR="00117FA3" w:rsidRPr="00117FA3" w:rsidRDefault="00117FA3" w:rsidP="00117FA3">
      <w:pPr>
        <w:pStyle w:val="Upuce"/>
        <w:rPr>
          <w:lang w:val="en-GB"/>
        </w:rPr>
      </w:pPr>
      <w:r w:rsidRPr="00117FA3">
        <w:rPr>
          <w:lang w:val="en-GB"/>
        </w:rPr>
        <w:t>Lists of the two Conventions</w:t>
      </w:r>
    </w:p>
    <w:p w14:paraId="6FC679DD" w14:textId="430D3938" w:rsidR="00117FA3" w:rsidRDefault="00117FA3" w:rsidP="00117FA3">
      <w:pPr>
        <w:pStyle w:val="Upuce"/>
        <w:rPr>
          <w:lang w:val="en-GB"/>
        </w:rPr>
      </w:pPr>
      <w:r w:rsidRPr="00117FA3">
        <w:rPr>
          <w:lang w:val="en-GB"/>
        </w:rPr>
        <w:t>Organs of the two Conventions</w:t>
      </w:r>
    </w:p>
    <w:p w14:paraId="2720679F" w14:textId="2133F743" w:rsidR="00117FA3" w:rsidRPr="00E2057C" w:rsidRDefault="00117FA3" w:rsidP="00117FA3">
      <w:pPr>
        <w:pStyle w:val="Upuce"/>
        <w:rPr>
          <w:lang w:val="en-GB"/>
        </w:rPr>
      </w:pPr>
      <w:r w:rsidRPr="00117FA3">
        <w:rPr>
          <w:lang w:val="en-GB"/>
        </w:rPr>
        <w:t>Advisory organizations under the two Conventions</w:t>
      </w:r>
    </w:p>
    <w:p w14:paraId="129FB46F" w14:textId="77777777" w:rsidR="003D2C58" w:rsidRPr="004936EF" w:rsidRDefault="003D2C58" w:rsidP="004936EF">
      <w:pPr>
        <w:pStyle w:val="UTit4"/>
        <w:rPr>
          <w:snapToGrid w:val="0"/>
        </w:rPr>
      </w:pPr>
      <w:r w:rsidRPr="004936EF">
        <w:rPr>
          <w:snapToGrid w:val="0"/>
        </w:rPr>
        <w:lastRenderedPageBreak/>
        <w:t>Supporting documents</w:t>
      </w:r>
      <w:r w:rsidRPr="00F13D41">
        <w:rPr>
          <w:snapToGrid w:val="0"/>
        </w:rPr>
        <w:t>:</w:t>
      </w:r>
    </w:p>
    <w:p w14:paraId="05C611C2" w14:textId="1EF03E5B" w:rsidR="00117FA3" w:rsidRPr="00117FA3" w:rsidRDefault="00117FA3" w:rsidP="00117FA3">
      <w:pPr>
        <w:pStyle w:val="Upuce"/>
        <w:rPr>
          <w:lang w:val="en-GB"/>
        </w:rPr>
      </w:pPr>
      <w:proofErr w:type="spellStart"/>
      <w:r>
        <w:t>Participant’s</w:t>
      </w:r>
      <w:proofErr w:type="spellEnd"/>
      <w:r>
        <w:t> </w:t>
      </w:r>
      <w:proofErr w:type="spellStart"/>
      <w:r>
        <w:t>text</w:t>
      </w:r>
      <w:proofErr w:type="spellEnd"/>
      <w:r>
        <w:t xml:space="preserve"> </w:t>
      </w:r>
      <w:r w:rsidRPr="00117FA3">
        <w:rPr>
          <w:lang w:val="en-GB"/>
        </w:rPr>
        <w:t>Unit 13</w:t>
      </w:r>
    </w:p>
    <w:p w14:paraId="4588ABF9" w14:textId="308113A7" w:rsidR="00117FA3" w:rsidRDefault="00117FA3" w:rsidP="00117FA3">
      <w:pPr>
        <w:pStyle w:val="Upuce"/>
        <w:rPr>
          <w:lang w:val="en-GB"/>
        </w:rPr>
      </w:pPr>
      <w:r>
        <w:rPr>
          <w:lang w:val="en-GB"/>
        </w:rPr>
        <w:t>Participant’s</w:t>
      </w:r>
      <w:r w:rsidRPr="00145AE5">
        <w:rPr>
          <w:lang w:val="en-GB"/>
        </w:rPr>
        <w:t> text</w:t>
      </w:r>
      <w:r>
        <w:rPr>
          <w:lang w:val="en-GB"/>
        </w:rPr>
        <w:t xml:space="preserve"> Unit 3.</w:t>
      </w:r>
      <w:r w:rsidRPr="00145AE5">
        <w:rPr>
          <w:lang w:val="en-GB"/>
        </w:rPr>
        <w:t xml:space="preserve"> </w:t>
      </w:r>
      <w:r w:rsidRPr="00117FA3">
        <w:rPr>
          <w:position w:val="1"/>
          <w:lang w:val="en-GB"/>
        </w:rPr>
        <w:t>Relevant</w:t>
      </w:r>
      <w:r w:rsidRPr="00117FA3">
        <w:rPr>
          <w:spacing w:val="-3"/>
          <w:position w:val="1"/>
          <w:lang w:val="en-GB"/>
        </w:rPr>
        <w:t xml:space="preserve"> </w:t>
      </w:r>
      <w:r w:rsidRPr="00117FA3">
        <w:rPr>
          <w:position w:val="1"/>
          <w:lang w:val="en-GB"/>
        </w:rPr>
        <w:t>entries</w:t>
      </w:r>
      <w:r w:rsidRPr="00117FA3">
        <w:rPr>
          <w:spacing w:val="-3"/>
          <w:position w:val="1"/>
          <w:lang w:val="en-GB"/>
        </w:rPr>
        <w:t xml:space="preserve"> </w:t>
      </w:r>
      <w:r w:rsidRPr="00117FA3">
        <w:rPr>
          <w:position w:val="1"/>
          <w:lang w:val="en-GB"/>
        </w:rPr>
        <w:t>include:</w:t>
      </w:r>
      <w:r w:rsidRPr="00117FA3">
        <w:rPr>
          <w:spacing w:val="-4"/>
          <w:position w:val="1"/>
          <w:lang w:val="en-GB"/>
        </w:rPr>
        <w:t xml:space="preserve"> </w:t>
      </w:r>
      <w:r w:rsidRPr="00117FA3">
        <w:rPr>
          <w:position w:val="1"/>
          <w:lang w:val="en-GB"/>
        </w:rPr>
        <w:t>‘1989</w:t>
      </w:r>
      <w:r w:rsidRPr="00117FA3">
        <w:rPr>
          <w:spacing w:val="-4"/>
          <w:position w:val="1"/>
          <w:lang w:val="en-GB"/>
        </w:rPr>
        <w:t xml:space="preserve"> </w:t>
      </w:r>
      <w:r w:rsidRPr="00117FA3">
        <w:rPr>
          <w:position w:val="1"/>
          <w:lang w:val="en-GB"/>
        </w:rPr>
        <w:t xml:space="preserve">Recommendation’, </w:t>
      </w:r>
      <w:r w:rsidRPr="00117FA3">
        <w:rPr>
          <w:lang w:val="en-GB"/>
        </w:rPr>
        <w:t>‘Authenticity’,</w:t>
      </w:r>
      <w:r w:rsidRPr="00117FA3">
        <w:rPr>
          <w:spacing w:val="5"/>
          <w:lang w:val="en-GB"/>
        </w:rPr>
        <w:t xml:space="preserve"> </w:t>
      </w:r>
      <w:r w:rsidRPr="00117FA3">
        <w:rPr>
          <w:lang w:val="en-GB"/>
        </w:rPr>
        <w:t>‘Cultural</w:t>
      </w:r>
      <w:r w:rsidRPr="00117FA3">
        <w:rPr>
          <w:spacing w:val="5"/>
          <w:lang w:val="en-GB"/>
        </w:rPr>
        <w:t xml:space="preserve"> </w:t>
      </w:r>
      <w:r w:rsidRPr="00117FA3">
        <w:rPr>
          <w:lang w:val="en-GB"/>
        </w:rPr>
        <w:t>space’,</w:t>
      </w:r>
      <w:r w:rsidRPr="00117FA3">
        <w:rPr>
          <w:spacing w:val="5"/>
          <w:lang w:val="en-GB"/>
        </w:rPr>
        <w:t xml:space="preserve"> </w:t>
      </w:r>
      <w:r w:rsidRPr="00117FA3">
        <w:rPr>
          <w:lang w:val="en-GB"/>
        </w:rPr>
        <w:t>‘General</w:t>
      </w:r>
      <w:r w:rsidRPr="00117FA3">
        <w:rPr>
          <w:spacing w:val="5"/>
          <w:lang w:val="en-GB"/>
        </w:rPr>
        <w:t xml:space="preserve"> </w:t>
      </w:r>
      <w:r w:rsidRPr="00117FA3">
        <w:rPr>
          <w:lang w:val="en-GB"/>
        </w:rPr>
        <w:t>Assembly’,</w:t>
      </w:r>
      <w:r w:rsidRPr="00117FA3">
        <w:rPr>
          <w:spacing w:val="4"/>
          <w:lang w:val="en-GB"/>
        </w:rPr>
        <w:t xml:space="preserve"> </w:t>
      </w:r>
      <w:r w:rsidRPr="00117FA3">
        <w:rPr>
          <w:lang w:val="en-GB"/>
        </w:rPr>
        <w:t>‘Intergovernmental Committee’</w:t>
      </w:r>
      <w:r w:rsidRPr="00117FA3">
        <w:rPr>
          <w:spacing w:val="-2"/>
          <w:lang w:val="en-GB"/>
        </w:rPr>
        <w:t xml:space="preserve"> </w:t>
      </w:r>
      <w:r w:rsidRPr="00117FA3">
        <w:rPr>
          <w:lang w:val="en-GB"/>
        </w:rPr>
        <w:t>and</w:t>
      </w:r>
      <w:r w:rsidRPr="00117FA3">
        <w:rPr>
          <w:spacing w:val="-2"/>
          <w:lang w:val="en-GB"/>
        </w:rPr>
        <w:t xml:space="preserve"> </w:t>
      </w:r>
      <w:r w:rsidRPr="00117FA3">
        <w:rPr>
          <w:lang w:val="en-GB"/>
        </w:rPr>
        <w:t>‘Masterpieces’.</w:t>
      </w:r>
    </w:p>
    <w:p w14:paraId="5591865C" w14:textId="77B7DAC6" w:rsidR="00117FA3" w:rsidRPr="001D09BA" w:rsidRDefault="00117FA3" w:rsidP="00117FA3">
      <w:pPr>
        <w:pStyle w:val="Upuce"/>
        <w:rPr>
          <w:lang w:val="en-GB"/>
        </w:rPr>
      </w:pPr>
      <w:r w:rsidRPr="001D09BA">
        <w:rPr>
          <w:lang w:val="en-GB"/>
        </w:rPr>
        <w:t>Basic Texts of the 2003 Convention for the Safeguarding of the Intangible Cultural Heritage</w:t>
      </w:r>
      <w:r w:rsidR="00336816">
        <w:rPr>
          <w:rStyle w:val="FootnoteReference"/>
          <w:lang w:val="en-GB"/>
        </w:rPr>
        <w:footnoteReference w:id="3"/>
      </w:r>
    </w:p>
    <w:p w14:paraId="37160FD3" w14:textId="2DF0AF14" w:rsidR="00541A49" w:rsidRPr="004936EF" w:rsidRDefault="00773A81" w:rsidP="004936EF">
      <w:pPr>
        <w:pStyle w:val="Soustitre"/>
        <w:rPr>
          <w:lang w:val="en-US"/>
        </w:rPr>
      </w:pPr>
      <w:r>
        <w:rPr>
          <w:lang w:val="en-US"/>
        </w:rPr>
        <w:t>Notes and suggestions</w:t>
      </w:r>
    </w:p>
    <w:p w14:paraId="4C753182" w14:textId="4D73F917" w:rsidR="00816CE8" w:rsidRDefault="00816CE8" w:rsidP="004C545E">
      <w:pPr>
        <w:pStyle w:val="Texte1"/>
        <w:rPr>
          <w:lang w:val="en-GB"/>
        </w:rPr>
      </w:pPr>
      <w:r>
        <w:rPr>
          <w:lang w:val="en-GB"/>
        </w:rPr>
        <w:t>For the topic of comparing the Intangible Heritage Convention and the World Heritage Convention, facilitators are invited to use the Participant’s text of Unit 13, which contains the basic knowledge required to understand the commonalities and differences of the two Conventions. You could either read the text with the participants or prepare a PowerPoint presentation tailored to the workshop participants. Facilitators may wish to identify some examples for inscriptions or inventories and put them up on the screen to illustrate some of the points made in the text.</w:t>
      </w:r>
    </w:p>
    <w:p w14:paraId="39AC5502" w14:textId="6D4F3651" w:rsidR="00816CE8" w:rsidRDefault="00816CE8" w:rsidP="004C545E">
      <w:pPr>
        <w:pStyle w:val="Texte1"/>
        <w:rPr>
          <w:lang w:val="en-GB"/>
        </w:rPr>
      </w:pPr>
      <w:r>
        <w:rPr>
          <w:lang w:val="en-GB"/>
        </w:rPr>
        <w:t xml:space="preserve">The </w:t>
      </w:r>
      <w:r w:rsidR="003D747B">
        <w:rPr>
          <w:lang w:val="en-GB"/>
        </w:rPr>
        <w:t>u</w:t>
      </w:r>
      <w:r>
        <w:rPr>
          <w:lang w:val="en-GB"/>
        </w:rPr>
        <w:t>nit builds on an initial comparison proposed in Unit 2 where the Intangible Heritage Convention is introduced. It is particularly useful if the workshop participants have a professional background in the field of tangible cultural heritage.</w:t>
      </w:r>
    </w:p>
    <w:p w14:paraId="0101DF4B" w14:textId="3E997907" w:rsidR="00783E22" w:rsidRPr="002F40EB" w:rsidRDefault="000F0FDD" w:rsidP="004C545E">
      <w:pPr>
        <w:pStyle w:val="Texte1"/>
        <w:rPr>
          <w:lang w:val="en-GB"/>
        </w:rPr>
      </w:pPr>
      <w:r>
        <w:rPr>
          <w:lang w:val="en-GB"/>
        </w:rPr>
        <w:t>If sufficient time is available,</w:t>
      </w:r>
      <w:r w:rsidR="003D747B">
        <w:rPr>
          <w:lang w:val="en-GB"/>
        </w:rPr>
        <w:t xml:space="preserve"> facilitators could add</w:t>
      </w:r>
      <w:r>
        <w:rPr>
          <w:lang w:val="en-GB"/>
        </w:rPr>
        <w:t xml:space="preserve"> an exercise using the texts of the two Conventions to identify </w:t>
      </w:r>
      <w:r w:rsidRPr="000F0FDD">
        <w:rPr>
          <w:lang w:val="en-GB"/>
        </w:rPr>
        <w:t xml:space="preserve">the common features, </w:t>
      </w:r>
      <w:r w:rsidR="00165D0A">
        <w:rPr>
          <w:lang w:val="en-GB"/>
        </w:rPr>
        <w:t xml:space="preserve">the </w:t>
      </w:r>
      <w:r w:rsidR="004C545E">
        <w:rPr>
          <w:lang w:val="en-GB"/>
        </w:rPr>
        <w:t>ways they complement each other</w:t>
      </w:r>
      <w:r w:rsidR="004C545E" w:rsidRPr="000F0FDD">
        <w:rPr>
          <w:lang w:val="en-GB"/>
        </w:rPr>
        <w:t xml:space="preserve"> </w:t>
      </w:r>
      <w:r w:rsidRPr="000F0FDD">
        <w:rPr>
          <w:lang w:val="en-GB"/>
        </w:rPr>
        <w:t xml:space="preserve">and </w:t>
      </w:r>
      <w:r w:rsidR="00165D0A">
        <w:rPr>
          <w:lang w:val="en-GB"/>
        </w:rPr>
        <w:t xml:space="preserve">the </w:t>
      </w:r>
      <w:r w:rsidRPr="000F0FDD">
        <w:rPr>
          <w:lang w:val="en-GB"/>
        </w:rPr>
        <w:t xml:space="preserve">differences between </w:t>
      </w:r>
      <w:r w:rsidR="004C545E">
        <w:rPr>
          <w:lang w:val="en-GB"/>
        </w:rPr>
        <w:t>them</w:t>
      </w:r>
      <w:r>
        <w:rPr>
          <w:lang w:val="en-GB"/>
        </w:rPr>
        <w:t>.</w:t>
      </w:r>
    </w:p>
    <w:sectPr w:rsidR="00783E22" w:rsidRPr="002F40EB" w:rsidSect="009B3A94">
      <w:headerReference w:type="even" r:id="rId12"/>
      <w:headerReference w:type="default" r:id="rId13"/>
      <w:footerReference w:type="even" r:id="rId14"/>
      <w:footerReference w:type="default" r:id="rId15"/>
      <w:headerReference w:type="first" r:id="rId16"/>
      <w:footerReference w:type="first" r:id="rId17"/>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BC9B94" w15:done="0"/>
  <w15:commentEx w15:paraId="39F8A7BA" w15:done="0"/>
  <w15:commentEx w15:paraId="5A68AAA3" w15:paraIdParent="39F8A7BA"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044005" w:rsidRDefault="00044005" w:rsidP="000A699C">
      <w:pPr>
        <w:spacing w:before="0" w:after="0"/>
      </w:pPr>
      <w:r>
        <w:separator/>
      </w:r>
    </w:p>
  </w:endnote>
  <w:endnote w:type="continuationSeparator" w:id="0">
    <w:p w14:paraId="6B6A2CAD" w14:textId="77777777" w:rsidR="00044005" w:rsidRDefault="0004400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7B359990" w:rsidR="00044005" w:rsidRDefault="00044005" w:rsidP="004936EF">
    <w:pPr>
      <w:pStyle w:val="Footer"/>
    </w:pPr>
    <w:r w:rsidRPr="002A3923">
      <w:rPr>
        <w:noProof/>
        <w:lang w:val="es-ES_tradnl" w:eastAsia="es-ES_tradnl"/>
      </w:rPr>
      <w:drawing>
        <wp:anchor distT="0" distB="0" distL="114300" distR="114300" simplePos="0" relativeHeight="251759616" behindDoc="0" locked="1" layoutInCell="1" allowOverlap="0" wp14:anchorId="3FDEFB64" wp14:editId="685EF368">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t xml:space="preserve">© UNESCO • </w:t>
    </w:r>
    <w:proofErr w:type="spellStart"/>
    <w:r>
      <w:t>Not</w:t>
    </w:r>
    <w:proofErr w:type="spellEnd"/>
    <w:r>
      <w:t xml:space="preserve"> to be </w:t>
    </w:r>
    <w:proofErr w:type="spellStart"/>
    <w:r>
      <w:t>reprodu</w:t>
    </w:r>
    <w:r w:rsidR="00796195">
      <w:t>ced</w:t>
    </w:r>
    <w:proofErr w:type="spellEnd"/>
    <w:r w:rsidR="00796195">
      <w:t xml:space="preserve"> </w:t>
    </w:r>
    <w:proofErr w:type="spellStart"/>
    <w:r w:rsidR="00796195">
      <w:t>without</w:t>
    </w:r>
    <w:proofErr w:type="spellEnd"/>
    <w:r w:rsidR="00796195">
      <w:t xml:space="preserve"> </w:t>
    </w:r>
    <w:proofErr w:type="spellStart"/>
    <w:r w:rsidR="00796195">
      <w:t>permission</w:t>
    </w:r>
    <w:proofErr w:type="spellEnd"/>
    <w:r w:rsidR="00796195">
      <w:tab/>
      <w:t>U013-v1.</w:t>
    </w:r>
    <w:proofErr w:type="gramStart"/>
    <w:r w:rsidR="00796195">
      <w:t>1-FN</w:t>
    </w:r>
    <w:r>
      <w:t>-EN</w:t>
    </w:r>
    <w:proofErr w:type="gramEnd"/>
    <w:r w:rsidDel="00F22FFD">
      <w:rPr>
        <w:rStyle w:val="PageNumber"/>
      </w:rPr>
      <w:t xml:space="preserve"> </w:t>
    </w:r>
  </w:p>
  <w:p w14:paraId="43055D74" w14:textId="77777777" w:rsidR="00044005" w:rsidRDefault="00044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22C4C000" w:rsidR="00044005" w:rsidRPr="007D60D5" w:rsidRDefault="00044005">
    <w:pPr>
      <w:pStyle w:val="Footer"/>
    </w:pPr>
    <w:r>
      <w:t>U015-v1.</w:t>
    </w:r>
    <w:proofErr w:type="gramStart"/>
    <w:r>
      <w:t>0-HO-EN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5B7AFC">
      <w:rPr>
        <w:noProof/>
        <w:lang w:val="es-ES_tradnl" w:eastAsia="es-ES_tradnl"/>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E02F" w14:textId="05466ED3" w:rsidR="00044005" w:rsidRDefault="002347B7">
    <w:pPr>
      <w:pStyle w:val="Footer"/>
    </w:pPr>
    <w:r>
      <w:t>U013</w:t>
    </w:r>
    <w:r w:rsidR="002F40EB">
      <w:t>-v1.</w:t>
    </w:r>
    <w:proofErr w:type="gramStart"/>
    <w:r w:rsidR="002F40EB">
      <w:t>1</w:t>
    </w:r>
    <w:r w:rsidR="00044005">
      <w:t>-</w:t>
    </w:r>
    <w:r w:rsidR="00783E22">
      <w:t>FN</w:t>
    </w:r>
    <w:r w:rsidR="00044005">
      <w:t>-EN</w:t>
    </w:r>
    <w:proofErr w:type="gramEnd"/>
    <w:r w:rsidR="00044005">
      <w:tab/>
      <w:t xml:space="preserve">© UNESCO • </w:t>
    </w:r>
    <w:proofErr w:type="spellStart"/>
    <w:r w:rsidR="00044005">
      <w:t>Not</w:t>
    </w:r>
    <w:proofErr w:type="spellEnd"/>
    <w:r w:rsidR="00044005">
      <w:t xml:space="preserve"> to be </w:t>
    </w:r>
    <w:proofErr w:type="spellStart"/>
    <w:r w:rsidR="00044005">
      <w:t>reproduced</w:t>
    </w:r>
    <w:proofErr w:type="spellEnd"/>
    <w:r w:rsidR="00044005">
      <w:t xml:space="preserve"> </w:t>
    </w:r>
    <w:proofErr w:type="spellStart"/>
    <w:r w:rsidR="00044005">
      <w:t>without</w:t>
    </w:r>
    <w:proofErr w:type="spellEnd"/>
    <w:r w:rsidR="00044005">
      <w:t xml:space="preserve"> </w:t>
    </w:r>
    <w:proofErr w:type="spellStart"/>
    <w:r w:rsidR="00044005">
      <w:t>permission</w:t>
    </w:r>
    <w:proofErr w:type="spellEnd"/>
    <w:r w:rsidR="00044005">
      <w:tab/>
    </w:r>
    <w:r w:rsidR="00044005" w:rsidRPr="00473E47">
      <w:rPr>
        <w:noProof/>
        <w:szCs w:val="20"/>
        <w:lang w:val="es-ES_tradnl" w:eastAsia="es-ES_tradnl"/>
      </w:rPr>
      <w:drawing>
        <wp:anchor distT="0" distB="0" distL="114300" distR="114300" simplePos="0" relativeHeight="251788288" behindDoc="0" locked="1" layoutInCell="1" allowOverlap="0" wp14:anchorId="424D64C2" wp14:editId="2E1F3FB8">
          <wp:simplePos x="0" y="0"/>
          <wp:positionH relativeFrom="margin">
            <wp:posOffset>4681855</wp:posOffset>
          </wp:positionH>
          <wp:positionV relativeFrom="margin">
            <wp:posOffset>8641080</wp:posOffset>
          </wp:positionV>
          <wp:extent cx="942975" cy="538480"/>
          <wp:effectExtent l="0" t="0" r="0" b="0"/>
          <wp:wrapSquare wrapText="bothSides"/>
          <wp:docPr id="377"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044005" w:rsidRDefault="00044005" w:rsidP="000A699C">
      <w:pPr>
        <w:spacing w:before="0" w:after="0"/>
      </w:pPr>
      <w:r>
        <w:separator/>
      </w:r>
    </w:p>
  </w:footnote>
  <w:footnote w:type="continuationSeparator" w:id="0">
    <w:p w14:paraId="47B8F248" w14:textId="77777777" w:rsidR="00044005" w:rsidRDefault="00044005" w:rsidP="000A699C">
      <w:pPr>
        <w:spacing w:before="0" w:after="0"/>
      </w:pPr>
      <w:r>
        <w:continuationSeparator/>
      </w:r>
    </w:p>
  </w:footnote>
  <w:footnote w:id="1">
    <w:p w14:paraId="32A7082D" w14:textId="557D8CB9" w:rsidR="00336816" w:rsidRDefault="00336816">
      <w:pPr>
        <w:pStyle w:val="FootnoteText"/>
      </w:pPr>
      <w:r w:rsidRPr="00860F56">
        <w:rPr>
          <w:rStyle w:val="FootnoteReference"/>
          <w:vertAlign w:val="baseline"/>
        </w:rPr>
        <w:footnoteRef/>
      </w:r>
      <w:r>
        <w:t>.</w:t>
      </w:r>
      <w:r>
        <w:tab/>
      </w:r>
      <w:r w:rsidRPr="000E6E3E">
        <w:t>Frequently referred to as the ‘Intangible Heritage Convention’, the ‘2003 Convention’ and, for the purpose of this unit, simply the ‘Convention’.</w:t>
      </w:r>
    </w:p>
  </w:footnote>
  <w:footnote w:id="2">
    <w:p w14:paraId="68E1E85D" w14:textId="20C4E62D" w:rsidR="00195E98" w:rsidRDefault="00195E98">
      <w:pPr>
        <w:pStyle w:val="FootnoteText"/>
      </w:pPr>
      <w:r w:rsidRPr="00860F56">
        <w:rPr>
          <w:rStyle w:val="FootnoteReference"/>
          <w:vertAlign w:val="baseline"/>
        </w:rPr>
        <w:footnoteRef/>
      </w:r>
      <w:r>
        <w:t>.</w:t>
      </w:r>
      <w:r>
        <w:tab/>
      </w:r>
      <w:proofErr w:type="gramStart"/>
      <w:r w:rsidRPr="000E6E3E">
        <w:t>Frequently referred to as the</w:t>
      </w:r>
      <w:r>
        <w:t xml:space="preserve"> ‘World Heritage Convention’ or the ‘1972</w:t>
      </w:r>
      <w:r w:rsidRPr="000E6E3E">
        <w:t xml:space="preserve"> Conven</w:t>
      </w:r>
      <w:r>
        <w:t>tion’</w:t>
      </w:r>
      <w:r w:rsidRPr="000E6E3E">
        <w:t>.</w:t>
      </w:r>
      <w:proofErr w:type="gramEnd"/>
    </w:p>
  </w:footnote>
  <w:footnote w:id="3">
    <w:p w14:paraId="6350D4C4" w14:textId="3CBEFDA7" w:rsidR="00336816" w:rsidRDefault="003E02BF" w:rsidP="00DF3721">
      <w:pPr>
        <w:pStyle w:val="FootnoteText"/>
      </w:pPr>
      <w:r w:rsidRPr="00860F56">
        <w:rPr>
          <w:rStyle w:val="FootnoteReference"/>
          <w:vertAlign w:val="baseline"/>
        </w:rPr>
        <w:footnoteRef/>
      </w:r>
      <w:r>
        <w:t>.</w:t>
      </w:r>
      <w:r>
        <w:tab/>
      </w:r>
      <w:proofErr w:type="gramStart"/>
      <w:r w:rsidRPr="00A73D26">
        <w:t>UNESCO</w:t>
      </w:r>
      <w:r>
        <w:t>.</w:t>
      </w:r>
      <w:proofErr w:type="gramEnd"/>
      <w:r w:rsidRPr="00A73D26">
        <w:t xml:space="preserve"> </w:t>
      </w:r>
      <w:r w:rsidRPr="00FB172C">
        <w:rPr>
          <w:i/>
        </w:rPr>
        <w:t>Basic Texts of the 2003 Convention for the Safeguarding of the Intangible Cultural Heritage</w:t>
      </w:r>
      <w:r w:rsidRPr="00A73D26">
        <w:t xml:space="preserve"> (referred to in this unit as Basic Texts)</w:t>
      </w:r>
      <w:r>
        <w:t>.</w:t>
      </w:r>
      <w:r w:rsidRPr="00A73D26">
        <w:t xml:space="preserve"> Paris,</w:t>
      </w:r>
      <w:r>
        <w:t xml:space="preserve"> UNESCO</w:t>
      </w:r>
      <w:r w:rsidRPr="00A73D26">
        <w:t xml:space="preserve">. </w:t>
      </w:r>
      <w:proofErr w:type="gramStart"/>
      <w:r w:rsidRPr="00A73D26">
        <w:t xml:space="preserve">Available at </w:t>
      </w:r>
      <w:hyperlink r:id="rId1" w:history="1">
        <w:r w:rsidR="00DF3721">
          <w:rPr>
            <w:rStyle w:val="Hyperlink"/>
            <w:rFonts w:eastAsia="Times New Roman"/>
            <w:szCs w:val="16"/>
            <w:lang w:val="es-ES"/>
          </w:rPr>
          <w:t>http://www.unesco.org/culture/ich/index.php?lg=en&amp;pg=00503</w:t>
        </w:r>
      </w:hyperlink>
      <w:r w:rsidRPr="00A73D26">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2F8AE94D" w:rsidR="00044005" w:rsidRDefault="00044005">
    <w:pPr>
      <w:pStyle w:val="Header"/>
    </w:pPr>
    <w:r>
      <w:rPr>
        <w:rStyle w:val="PageNumber"/>
      </w:rPr>
      <w:fldChar w:fldCharType="begin"/>
    </w:r>
    <w:r>
      <w:rPr>
        <w:rStyle w:val="PageNumber"/>
      </w:rPr>
      <w:instrText xml:space="preserve"> PAGE </w:instrText>
    </w:r>
    <w:r>
      <w:rPr>
        <w:rStyle w:val="PageNumber"/>
      </w:rPr>
      <w:fldChar w:fldCharType="separate"/>
    </w:r>
    <w:r w:rsidR="00B05CAA">
      <w:rPr>
        <w:rStyle w:val="PageNumber"/>
        <w:noProof/>
      </w:rPr>
      <w:t>2</w:t>
    </w:r>
    <w:r>
      <w:rPr>
        <w:rStyle w:val="PageNumber"/>
      </w:rPr>
      <w:fldChar w:fldCharType="end"/>
    </w:r>
    <w:r>
      <w:rPr>
        <w:rStyle w:val="PageNumber"/>
      </w:rPr>
      <w:tab/>
    </w:r>
    <w:r w:rsidR="00B05CAA">
      <w:t xml:space="preserve">Unit 13: The </w:t>
    </w:r>
    <w:proofErr w:type="spellStart"/>
    <w:r w:rsidR="00B05CAA">
      <w:t>Intangible</w:t>
    </w:r>
    <w:proofErr w:type="spellEnd"/>
    <w:r w:rsidR="00B05CAA">
      <w:t xml:space="preserve"> Heritage Convention and the World Heritage Convention</w:t>
    </w:r>
    <w:r w:rsidR="00B05CAA">
      <w:tab/>
    </w:r>
    <w:proofErr w:type="spellStart"/>
    <w:r w:rsidR="00B05CAA">
      <w:t>Facilitator’s</w:t>
    </w:r>
    <w:proofErr w:type="spellEnd"/>
    <w:r w:rsidR="00B05CAA">
      <w:t xml:space="preserve"> notes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06F87D5F" w:rsidR="00044005" w:rsidRPr="004A4AD6" w:rsidRDefault="00044005" w:rsidP="00D25BBB">
    <w:pPr>
      <w:pStyle w:val="Header"/>
    </w:pPr>
    <w:proofErr w:type="spellStart"/>
    <w:r>
      <w:t>Hand</w:t>
    </w:r>
    <w:proofErr w:type="spellEnd"/>
    <w:r>
      <w:t>-out</w:t>
    </w:r>
    <w:r>
      <w:tab/>
      <w:t>Unit 15: Evaluation</w:t>
    </w:r>
    <w:r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783E22">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71067F03" w:rsidR="00044005" w:rsidRDefault="00044005" w:rsidP="00E34BE8">
    <w:pPr>
      <w:pStyle w:val="Header"/>
      <w:ind w:right="360"/>
    </w:pPr>
    <w:r>
      <w:tab/>
    </w:r>
    <w:proofErr w:type="spellStart"/>
    <w:r w:rsidR="00783E22">
      <w:t>Facilitator’s</w:t>
    </w:r>
    <w:proofErr w:type="spellEnd"/>
    <w:r w:rsidR="00783E22">
      <w:t xml:space="preserve">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8">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2">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3">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2">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3">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4">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6">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7">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9">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3">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1">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3">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4">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6">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8">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1">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2">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8"/>
  </w:num>
  <w:num w:numId="3">
    <w:abstractNumId w:val="22"/>
  </w:num>
  <w:num w:numId="4">
    <w:abstractNumId w:val="81"/>
  </w:num>
  <w:num w:numId="5">
    <w:abstractNumId w:val="11"/>
  </w:num>
  <w:num w:numId="6">
    <w:abstractNumId w:val="59"/>
  </w:num>
  <w:num w:numId="7">
    <w:abstractNumId w:val="58"/>
  </w:num>
  <w:num w:numId="8">
    <w:abstractNumId w:val="9"/>
  </w:num>
  <w:num w:numId="9">
    <w:abstractNumId w:val="28"/>
  </w:num>
  <w:num w:numId="10">
    <w:abstractNumId w:val="8"/>
  </w:num>
  <w:num w:numId="11">
    <w:abstractNumId w:val="13"/>
  </w:num>
  <w:num w:numId="12">
    <w:abstractNumId w:val="68"/>
  </w:num>
  <w:num w:numId="13">
    <w:abstractNumId w:val="78"/>
  </w:num>
  <w:num w:numId="14">
    <w:abstractNumId w:val="30"/>
  </w:num>
  <w:num w:numId="15">
    <w:abstractNumId w:val="71"/>
  </w:num>
  <w:num w:numId="16">
    <w:abstractNumId w:val="17"/>
  </w:num>
  <w:num w:numId="17">
    <w:abstractNumId w:val="45"/>
  </w:num>
  <w:num w:numId="18">
    <w:abstractNumId w:val="40"/>
  </w:num>
  <w:num w:numId="19">
    <w:abstractNumId w:val="69"/>
  </w:num>
  <w:num w:numId="20">
    <w:abstractNumId w:val="51"/>
  </w:num>
  <w:num w:numId="21">
    <w:abstractNumId w:val="10"/>
  </w:num>
  <w:num w:numId="22">
    <w:abstractNumId w:val="5"/>
  </w:num>
  <w:num w:numId="23">
    <w:abstractNumId w:val="63"/>
  </w:num>
  <w:num w:numId="24">
    <w:abstractNumId w:val="42"/>
  </w:num>
  <w:num w:numId="25">
    <w:abstractNumId w:val="49"/>
  </w:num>
  <w:num w:numId="26">
    <w:abstractNumId w:val="21"/>
  </w:num>
  <w:num w:numId="27">
    <w:abstractNumId w:val="24"/>
  </w:num>
  <w:num w:numId="28">
    <w:abstractNumId w:val="41"/>
  </w:num>
  <w:num w:numId="29">
    <w:abstractNumId w:val="43"/>
  </w:num>
  <w:num w:numId="30">
    <w:abstractNumId w:val="55"/>
  </w:num>
  <w:num w:numId="31">
    <w:abstractNumId w:val="70"/>
  </w:num>
  <w:num w:numId="32">
    <w:abstractNumId w:val="73"/>
  </w:num>
  <w:num w:numId="33">
    <w:abstractNumId w:val="19"/>
  </w:num>
  <w:num w:numId="34">
    <w:abstractNumId w:val="0"/>
  </w:num>
  <w:num w:numId="35">
    <w:abstractNumId w:val="77"/>
  </w:num>
  <w:num w:numId="36">
    <w:abstractNumId w:val="27"/>
  </w:num>
  <w:num w:numId="37">
    <w:abstractNumId w:val="66"/>
  </w:num>
  <w:num w:numId="38">
    <w:abstractNumId w:val="77"/>
  </w:num>
  <w:num w:numId="39">
    <w:abstractNumId w:val="2"/>
  </w:num>
  <w:num w:numId="40">
    <w:abstractNumId w:val="61"/>
  </w:num>
  <w:num w:numId="41">
    <w:abstractNumId w:val="27"/>
    <w:lvlOverride w:ilvl="0">
      <w:startOverride w:val="1"/>
    </w:lvlOverride>
  </w:num>
  <w:num w:numId="42">
    <w:abstractNumId w:val="14"/>
  </w:num>
  <w:num w:numId="43">
    <w:abstractNumId w:val="44"/>
  </w:num>
  <w:num w:numId="44">
    <w:abstractNumId w:val="76"/>
  </w:num>
  <w:num w:numId="45">
    <w:abstractNumId w:val="31"/>
  </w:num>
  <w:num w:numId="46">
    <w:abstractNumId w:val="65"/>
  </w:num>
  <w:num w:numId="47">
    <w:abstractNumId w:val="31"/>
    <w:lvlOverride w:ilvl="0">
      <w:startOverride w:val="1"/>
    </w:lvlOverride>
  </w:num>
  <w:num w:numId="48">
    <w:abstractNumId w:val="43"/>
  </w:num>
  <w:num w:numId="49">
    <w:abstractNumId w:val="74"/>
  </w:num>
  <w:num w:numId="50">
    <w:abstractNumId w:val="31"/>
    <w:lvlOverride w:ilvl="0">
      <w:startOverride w:val="1"/>
    </w:lvlOverride>
  </w:num>
  <w:num w:numId="51">
    <w:abstractNumId w:val="25"/>
  </w:num>
  <w:num w:numId="52">
    <w:abstractNumId w:val="31"/>
    <w:lvlOverride w:ilvl="0">
      <w:startOverride w:val="1"/>
    </w:lvlOverride>
  </w:num>
  <w:num w:numId="53">
    <w:abstractNumId w:val="77"/>
  </w:num>
  <w:num w:numId="54">
    <w:abstractNumId w:val="77"/>
  </w:num>
  <w:num w:numId="55">
    <w:abstractNumId w:val="77"/>
  </w:num>
  <w:num w:numId="56">
    <w:abstractNumId w:val="77"/>
  </w:num>
  <w:num w:numId="57">
    <w:abstractNumId w:val="77"/>
  </w:num>
  <w:num w:numId="58">
    <w:abstractNumId w:val="82"/>
  </w:num>
  <w:num w:numId="59">
    <w:abstractNumId w:val="46"/>
  </w:num>
  <w:num w:numId="60">
    <w:abstractNumId w:val="4"/>
  </w:num>
  <w:num w:numId="61">
    <w:abstractNumId w:val="46"/>
    <w:lvlOverride w:ilvl="0">
      <w:startOverride w:val="1"/>
    </w:lvlOverride>
  </w:num>
  <w:num w:numId="62">
    <w:abstractNumId w:val="46"/>
  </w:num>
  <w:num w:numId="63">
    <w:abstractNumId w:val="46"/>
  </w:num>
  <w:num w:numId="64">
    <w:abstractNumId w:val="46"/>
  </w:num>
  <w:num w:numId="65">
    <w:abstractNumId w:val="46"/>
  </w:num>
  <w:num w:numId="66">
    <w:abstractNumId w:val="46"/>
  </w:num>
  <w:num w:numId="67">
    <w:abstractNumId w:val="46"/>
  </w:num>
  <w:num w:numId="68">
    <w:abstractNumId w:val="47"/>
  </w:num>
  <w:num w:numId="69">
    <w:abstractNumId w:val="46"/>
    <w:lvlOverride w:ilvl="0">
      <w:startOverride w:val="1"/>
    </w:lvlOverride>
  </w:num>
  <w:num w:numId="70">
    <w:abstractNumId w:val="46"/>
  </w:num>
  <w:num w:numId="71">
    <w:abstractNumId w:val="46"/>
  </w:num>
  <w:num w:numId="72">
    <w:abstractNumId w:val="46"/>
  </w:num>
  <w:num w:numId="73">
    <w:abstractNumId w:val="46"/>
  </w:num>
  <w:num w:numId="74">
    <w:abstractNumId w:val="46"/>
  </w:num>
  <w:num w:numId="75">
    <w:abstractNumId w:val="46"/>
  </w:num>
  <w:num w:numId="76">
    <w:abstractNumId w:val="46"/>
  </w:num>
  <w:num w:numId="77">
    <w:abstractNumId w:val="46"/>
  </w:num>
  <w:num w:numId="78">
    <w:abstractNumId w:val="29"/>
  </w:num>
  <w:num w:numId="79">
    <w:abstractNumId w:val="18"/>
  </w:num>
  <w:num w:numId="80">
    <w:abstractNumId w:val="46"/>
    <w:lvlOverride w:ilvl="0">
      <w:startOverride w:val="1"/>
    </w:lvlOverride>
  </w:num>
  <w:num w:numId="81">
    <w:abstractNumId w:val="60"/>
  </w:num>
  <w:num w:numId="82">
    <w:abstractNumId w:val="33"/>
  </w:num>
  <w:num w:numId="83">
    <w:abstractNumId w:val="39"/>
  </w:num>
  <w:num w:numId="84">
    <w:abstractNumId w:val="16"/>
  </w:num>
  <w:num w:numId="85">
    <w:abstractNumId w:val="46"/>
    <w:lvlOverride w:ilvl="0">
      <w:startOverride w:val="1"/>
    </w:lvlOverride>
  </w:num>
  <w:num w:numId="86">
    <w:abstractNumId w:val="3"/>
  </w:num>
  <w:num w:numId="87">
    <w:abstractNumId w:val="12"/>
  </w:num>
  <w:num w:numId="88">
    <w:abstractNumId w:val="46"/>
    <w:lvlOverride w:ilvl="0">
      <w:startOverride w:val="1"/>
    </w:lvlOverride>
  </w:num>
  <w:num w:numId="89">
    <w:abstractNumId w:val="32"/>
  </w:num>
  <w:num w:numId="90">
    <w:abstractNumId w:val="46"/>
    <w:lvlOverride w:ilvl="0">
      <w:startOverride w:val="1"/>
    </w:lvlOverride>
  </w:num>
  <w:num w:numId="91">
    <w:abstractNumId w:val="6"/>
  </w:num>
  <w:num w:numId="92">
    <w:abstractNumId w:val="50"/>
  </w:num>
  <w:num w:numId="93">
    <w:abstractNumId w:val="57"/>
  </w:num>
  <w:num w:numId="94">
    <w:abstractNumId w:val="54"/>
  </w:num>
  <w:num w:numId="95">
    <w:abstractNumId w:val="46"/>
    <w:lvlOverride w:ilvl="0">
      <w:startOverride w:val="2"/>
    </w:lvlOverride>
  </w:num>
  <w:num w:numId="96">
    <w:abstractNumId w:val="52"/>
  </w:num>
  <w:num w:numId="97">
    <w:abstractNumId w:val="67"/>
  </w:num>
  <w:num w:numId="98">
    <w:abstractNumId w:val="64"/>
  </w:num>
  <w:num w:numId="99">
    <w:abstractNumId w:val="36"/>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5"/>
  </w:num>
  <w:num w:numId="113">
    <w:abstractNumId w:val="80"/>
  </w:num>
  <w:num w:numId="114">
    <w:abstractNumId w:val="72"/>
  </w:num>
  <w:num w:numId="115">
    <w:abstractNumId w:val="34"/>
    <w:lvlOverride w:ilvl="0">
      <w:startOverride w:val="1"/>
    </w:lvlOverride>
  </w:num>
  <w:num w:numId="116">
    <w:abstractNumId w:val="53"/>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7"/>
  </w:num>
  <w:num w:numId="124">
    <w:abstractNumId w:val="34"/>
    <w:lvlOverride w:ilvl="0">
      <w:startOverride w:val="1"/>
    </w:lvlOverride>
  </w:num>
  <w:num w:numId="125">
    <w:abstractNumId w:val="7"/>
  </w:num>
  <w:num w:numId="126">
    <w:abstractNumId w:val="7"/>
  </w:num>
  <w:num w:numId="127">
    <w:abstractNumId w:val="79"/>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2"/>
  </w:num>
  <w:num w:numId="141">
    <w:abstractNumId w:val="34"/>
    <w:lvlOverride w:ilvl="0">
      <w:startOverride w:val="1"/>
    </w:lvlOverride>
  </w:num>
  <w:num w:numId="142">
    <w:abstractNumId w:val="64"/>
  </w:num>
  <w:num w:numId="143">
    <w:abstractNumId w:val="41"/>
  </w:num>
  <w:num w:numId="144">
    <w:abstractNumId w:val="23"/>
  </w:num>
  <w:num w:numId="145">
    <w:abstractNumId w:val="15"/>
  </w:num>
  <w:num w:numId="146">
    <w:abstractNumId w:val="34"/>
  </w:num>
  <w:num w:numId="147">
    <w:abstractNumId w:val="56"/>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38"/>
  </w:num>
  <w:num w:numId="160">
    <w:abstractNumId w:val="35"/>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3FDA"/>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16C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4129"/>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0FDD"/>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192"/>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17FA3"/>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D0A"/>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B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5E98"/>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577"/>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9BA"/>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76C"/>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047"/>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2E12"/>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A70"/>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7B7"/>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68A"/>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0EB"/>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16"/>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47B"/>
    <w:rsid w:val="003D77F3"/>
    <w:rsid w:val="003D7C59"/>
    <w:rsid w:val="003E02BF"/>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775FB"/>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1F5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3D7"/>
    <w:rsid w:val="004B7998"/>
    <w:rsid w:val="004C0416"/>
    <w:rsid w:val="004C093E"/>
    <w:rsid w:val="004C0B3A"/>
    <w:rsid w:val="004C0FAC"/>
    <w:rsid w:val="004C110A"/>
    <w:rsid w:val="004C1229"/>
    <w:rsid w:val="004C1805"/>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45E"/>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D6D"/>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86B"/>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81"/>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3E22"/>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195"/>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9C0"/>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AE7"/>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600"/>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CE8"/>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9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5CA1"/>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995"/>
    <w:rsid w:val="00913A9B"/>
    <w:rsid w:val="00913AE9"/>
    <w:rsid w:val="00913BA9"/>
    <w:rsid w:val="00913C02"/>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491"/>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502"/>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28A1"/>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AA"/>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7F1"/>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982"/>
    <w:rsid w:val="00B75AB3"/>
    <w:rsid w:val="00B75D66"/>
    <w:rsid w:val="00B75F69"/>
    <w:rsid w:val="00B75F93"/>
    <w:rsid w:val="00B76238"/>
    <w:rsid w:val="00B7639A"/>
    <w:rsid w:val="00B76680"/>
    <w:rsid w:val="00B76C46"/>
    <w:rsid w:val="00B77689"/>
    <w:rsid w:val="00B77706"/>
    <w:rsid w:val="00B77DEF"/>
    <w:rsid w:val="00B80636"/>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29A"/>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7B8"/>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0976"/>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15A"/>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5F99"/>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3D40"/>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721"/>
    <w:rsid w:val="00DF39EB"/>
    <w:rsid w:val="00DF3A62"/>
    <w:rsid w:val="00DF3A8C"/>
    <w:rsid w:val="00DF3B88"/>
    <w:rsid w:val="00DF3C52"/>
    <w:rsid w:val="00DF4753"/>
    <w:rsid w:val="00DF4E22"/>
    <w:rsid w:val="00DF4ED8"/>
    <w:rsid w:val="00DF54ED"/>
    <w:rsid w:val="00DF590F"/>
    <w:rsid w:val="00DF6A37"/>
    <w:rsid w:val="00DF77A6"/>
    <w:rsid w:val="00DF7827"/>
    <w:rsid w:val="00E005B3"/>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57C"/>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BE8"/>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BC"/>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1C"/>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0F8"/>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12E12"/>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Txtchap">
    <w:name w:val="Txtchap"/>
    <w:basedOn w:val="Normal"/>
    <w:link w:val="TxtchapCar"/>
    <w:autoRedefine/>
    <w:rsid w:val="00117FA3"/>
    <w:pPr>
      <w:numPr>
        <w:numId w:val="159"/>
      </w:numPr>
      <w:spacing w:before="0" w:line="360" w:lineRule="exact"/>
    </w:pPr>
    <w:rPr>
      <w:snapToGrid/>
      <w:sz w:val="24"/>
      <w:lang w:val="en-GB"/>
    </w:rPr>
  </w:style>
  <w:style w:type="character" w:customStyle="1" w:styleId="TxtchapCar">
    <w:name w:val="Txtchap Car"/>
    <w:basedOn w:val="DefaultParagraphFont"/>
    <w:link w:val="Txtchap"/>
    <w:rsid w:val="00117FA3"/>
    <w:rPr>
      <w:rFonts w:ascii="Arial" w:eastAsia="SimSun" w:hAnsi="Arial" w:cs="Arial"/>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12E12"/>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Txtchap">
    <w:name w:val="Txtchap"/>
    <w:basedOn w:val="Normal"/>
    <w:link w:val="TxtchapCar"/>
    <w:autoRedefine/>
    <w:rsid w:val="00117FA3"/>
    <w:pPr>
      <w:numPr>
        <w:numId w:val="159"/>
      </w:numPr>
      <w:spacing w:before="0" w:line="360" w:lineRule="exact"/>
    </w:pPr>
    <w:rPr>
      <w:snapToGrid/>
      <w:sz w:val="24"/>
      <w:lang w:val="en-GB"/>
    </w:rPr>
  </w:style>
  <w:style w:type="character" w:customStyle="1" w:styleId="TxtchapCar">
    <w:name w:val="Txtchap Car"/>
    <w:basedOn w:val="DefaultParagraphFont"/>
    <w:link w:val="Txtchap"/>
    <w:rsid w:val="00117FA3"/>
    <w:rPr>
      <w:rFonts w:ascii="Arial" w:eastAsia="SimSun" w:hAnsi="Arial" w:cs="Arial"/>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1/relationships/commentsExtended" Target="commentsExtended.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9059-328C-4A7F-B266-59EF84EB78CE}">
  <ds:schemaRefs>
    <ds:schemaRef ds:uri="http://schemas.openxmlformats.org/officeDocument/2006/bibliography"/>
  </ds:schemaRefs>
</ds:datastoreItem>
</file>

<file path=customXml/itemProps2.xml><?xml version="1.0" encoding="utf-8"?>
<ds:datastoreItem xmlns:ds="http://schemas.openxmlformats.org/officeDocument/2006/customXml" ds:itemID="{AB4A5845-6347-469B-956B-6643D6E5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2406</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2015-06-04T10:26:00Z</dcterms:created>
  <dcterms:modified xsi:type="dcterms:W3CDTF">2015-09-30T09:06:00Z</dcterms:modified>
</cp:coreProperties>
</file>