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72" w:rsidRPr="00994BB3" w:rsidRDefault="000C5704" w:rsidP="004936EF">
      <w:pPr>
        <w:pStyle w:val="Chapitre"/>
        <w:rPr>
          <w:kern w:val="0"/>
          <w:lang w:val="es-ES"/>
        </w:rPr>
      </w:pPr>
      <w:r w:rsidRPr="00994BB3">
        <w:rPr>
          <w:b w:val="0"/>
          <w:caps w:val="0"/>
          <w:sz w:val="20"/>
          <w:szCs w:val="20"/>
          <w:lang w:eastAsia="en-GB"/>
        </w:rPr>
        <w:drawing>
          <wp:anchor distT="0" distB="0" distL="114300" distR="114300" simplePos="0" relativeHeight="251677696" behindDoc="1" locked="1" layoutInCell="1" allowOverlap="0">
            <wp:simplePos x="0" y="0"/>
            <wp:positionH relativeFrom="margin">
              <wp:posOffset>431800</wp:posOffset>
            </wp:positionH>
            <wp:positionV relativeFrom="margin">
              <wp:posOffset>1980565</wp:posOffset>
            </wp:positionV>
            <wp:extent cx="4870411" cy="4498145"/>
            <wp:effectExtent l="0" t="0" r="6985" b="0"/>
            <wp:wrapNone/>
            <wp:docPr id="388" name="Imag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anchor>
        </w:drawing>
      </w:r>
      <w:bookmarkStart w:id="0" w:name="_Toc241644737"/>
      <w:bookmarkStart w:id="1" w:name="_Toc302374696"/>
      <w:r w:rsidR="00C4640B" w:rsidRPr="00994BB3">
        <w:rPr>
          <w:kern w:val="0"/>
          <w:lang w:val="es-ES"/>
        </w:rPr>
        <w:t>Uni</w:t>
      </w:r>
      <w:r w:rsidR="00CD0851" w:rsidRPr="00994BB3">
        <w:rPr>
          <w:kern w:val="0"/>
          <w:lang w:val="es-ES"/>
        </w:rPr>
        <w:t>dad</w:t>
      </w:r>
      <w:r w:rsidR="00C4640B" w:rsidRPr="00994BB3">
        <w:rPr>
          <w:kern w:val="0"/>
          <w:lang w:val="es-ES"/>
        </w:rPr>
        <w:t xml:space="preserve"> </w:t>
      </w:r>
      <w:r w:rsidR="0038650F" w:rsidRPr="00994BB3">
        <w:rPr>
          <w:kern w:val="0"/>
          <w:lang w:val="es-ES"/>
        </w:rPr>
        <w:t>12</w:t>
      </w:r>
      <w:bookmarkEnd w:id="0"/>
    </w:p>
    <w:p w:rsidR="000C5704" w:rsidRPr="00994BB3" w:rsidRDefault="00CD0851" w:rsidP="004936EF">
      <w:pPr>
        <w:pStyle w:val="UPlan"/>
        <w:rPr>
          <w:sz w:val="44"/>
          <w:szCs w:val="44"/>
          <w:lang w:val="es-ES"/>
        </w:rPr>
      </w:pPr>
      <w:bookmarkStart w:id="2" w:name="_Toc241644738"/>
      <w:r w:rsidRPr="00994BB3">
        <w:rPr>
          <w:sz w:val="44"/>
          <w:szCs w:val="44"/>
          <w:lang w:val="es-ES"/>
        </w:rPr>
        <w:t>plan de la lección</w:t>
      </w:r>
    </w:p>
    <w:p w:rsidR="000C5704" w:rsidRPr="00994BB3" w:rsidRDefault="00CD0851" w:rsidP="004936EF">
      <w:pPr>
        <w:pStyle w:val="Titcoul"/>
        <w:rPr>
          <w:szCs w:val="70"/>
          <w:lang w:val="es-ES"/>
        </w:rPr>
      </w:pPr>
      <w:r w:rsidRPr="00994BB3">
        <w:rPr>
          <w:kern w:val="0"/>
          <w:szCs w:val="70"/>
          <w:lang w:val="es-ES"/>
        </w:rPr>
        <w:t xml:space="preserve">cooperación y asistencia </w:t>
      </w:r>
      <w:r w:rsidR="00B21D13" w:rsidRPr="00994BB3">
        <w:rPr>
          <w:kern w:val="0"/>
          <w:szCs w:val="70"/>
          <w:lang w:val="es-ES"/>
        </w:rPr>
        <w:t>I</w:t>
      </w:r>
      <w:r w:rsidRPr="00994BB3">
        <w:rPr>
          <w:kern w:val="0"/>
          <w:szCs w:val="70"/>
          <w:lang w:val="es-ES"/>
        </w:rPr>
        <w:t>nternac</w:t>
      </w:r>
      <w:r w:rsidR="0038650F" w:rsidRPr="00994BB3">
        <w:rPr>
          <w:kern w:val="0"/>
          <w:szCs w:val="70"/>
          <w:lang w:val="es-ES"/>
        </w:rPr>
        <w:t>ional</w:t>
      </w:r>
      <w:r w:rsidRPr="00994BB3">
        <w:rPr>
          <w:kern w:val="0"/>
          <w:szCs w:val="70"/>
          <w:lang w:val="es-ES"/>
        </w:rPr>
        <w:t>es</w:t>
      </w:r>
      <w:r w:rsidR="0038650F" w:rsidRPr="00994BB3">
        <w:rPr>
          <w:kern w:val="0"/>
          <w:szCs w:val="70"/>
          <w:lang w:val="es-ES"/>
        </w:rPr>
        <w:t xml:space="preserve"> </w:t>
      </w:r>
      <w:bookmarkEnd w:id="1"/>
    </w:p>
    <w:bookmarkEnd w:id="2"/>
    <w:p w:rsidR="00896772" w:rsidRPr="00994BB3" w:rsidRDefault="00896772" w:rsidP="000C5704">
      <w:pPr>
        <w:pStyle w:val="UTit4"/>
        <w:rPr>
          <w:lang w:val="es-ES"/>
        </w:rPr>
      </w:pPr>
      <w:r w:rsidRPr="00994BB3">
        <w:rPr>
          <w:lang w:val="es-ES"/>
        </w:rPr>
        <w:t>Dura</w:t>
      </w:r>
      <w:r w:rsidR="00CD0851" w:rsidRPr="00994BB3">
        <w:rPr>
          <w:lang w:val="es-ES"/>
        </w:rPr>
        <w:t>ció</w:t>
      </w:r>
      <w:r w:rsidRPr="00994BB3">
        <w:rPr>
          <w:lang w:val="es-ES"/>
        </w:rPr>
        <w:t xml:space="preserve">n: </w:t>
      </w:r>
    </w:p>
    <w:p w:rsidR="00896772" w:rsidRPr="00994BB3" w:rsidRDefault="00896772" w:rsidP="007735A8">
      <w:pPr>
        <w:pStyle w:val="UTxt"/>
        <w:rPr>
          <w:lang w:val="es-ES" w:eastAsia="en-US"/>
        </w:rPr>
      </w:pPr>
      <w:r w:rsidRPr="00994BB3">
        <w:rPr>
          <w:lang w:val="es-ES" w:eastAsia="en-US"/>
        </w:rPr>
        <w:t>1 h</w:t>
      </w:r>
      <w:r w:rsidR="00CD0851" w:rsidRPr="00994BB3">
        <w:rPr>
          <w:lang w:val="es-ES" w:eastAsia="en-US"/>
        </w:rPr>
        <w:t>ora y media</w:t>
      </w:r>
    </w:p>
    <w:p w:rsidR="00896772" w:rsidRPr="00994BB3" w:rsidRDefault="00CD0851" w:rsidP="004936EF">
      <w:pPr>
        <w:pStyle w:val="UTit4"/>
        <w:rPr>
          <w:szCs w:val="70"/>
          <w:lang w:val="es-ES"/>
        </w:rPr>
      </w:pPr>
      <w:r w:rsidRPr="00994BB3">
        <w:rPr>
          <w:rFonts w:cs="Arial"/>
          <w:szCs w:val="70"/>
          <w:lang w:val="es-ES"/>
        </w:rPr>
        <w:t>Obje</w:t>
      </w:r>
      <w:r w:rsidR="00896772" w:rsidRPr="00994BB3">
        <w:rPr>
          <w:rFonts w:cs="Arial"/>
          <w:szCs w:val="70"/>
          <w:lang w:val="es-ES"/>
        </w:rPr>
        <w:t>tiv</w:t>
      </w:r>
      <w:r w:rsidRPr="00994BB3">
        <w:rPr>
          <w:rFonts w:cs="Arial"/>
          <w:szCs w:val="70"/>
          <w:lang w:val="es-ES"/>
        </w:rPr>
        <w:t>o</w:t>
      </w:r>
      <w:r w:rsidR="00896772" w:rsidRPr="00994BB3">
        <w:rPr>
          <w:rFonts w:cs="Arial"/>
          <w:szCs w:val="70"/>
          <w:lang w:val="es-ES"/>
        </w:rPr>
        <w:t xml:space="preserve">(s): </w:t>
      </w:r>
    </w:p>
    <w:p w:rsidR="00896772" w:rsidRPr="00B7572D" w:rsidRDefault="00D12765" w:rsidP="007735A8">
      <w:pPr>
        <w:pStyle w:val="UTxt"/>
        <w:rPr>
          <w:i w:val="0"/>
          <w:lang w:val="es-ES" w:eastAsia="en-US"/>
        </w:rPr>
      </w:pPr>
      <w:r w:rsidRPr="00B7572D">
        <w:rPr>
          <w:i w:val="0"/>
          <w:lang w:val="es-ES" w:eastAsia="en-US"/>
        </w:rPr>
        <w:t>Examinar cómo la</w:t>
      </w:r>
      <w:r w:rsidR="00896772" w:rsidRPr="00B7572D">
        <w:rPr>
          <w:i w:val="0"/>
          <w:lang w:val="es-ES" w:eastAsia="en-US"/>
        </w:rPr>
        <w:t xml:space="preserve"> </w:t>
      </w:r>
      <w:r w:rsidR="00695A16" w:rsidRPr="00B7572D">
        <w:rPr>
          <w:i w:val="0"/>
          <w:lang w:val="es-ES" w:eastAsia="en-US"/>
        </w:rPr>
        <w:t xml:space="preserve">cooperación </w:t>
      </w:r>
      <w:r w:rsidR="00373D53" w:rsidRPr="00B7572D">
        <w:rPr>
          <w:i w:val="0"/>
          <w:lang w:val="es-ES" w:eastAsia="en-US"/>
        </w:rPr>
        <w:t xml:space="preserve">y </w:t>
      </w:r>
      <w:r w:rsidR="00695A16" w:rsidRPr="00B7572D">
        <w:rPr>
          <w:i w:val="0"/>
          <w:lang w:val="es-ES" w:eastAsia="en-US"/>
        </w:rPr>
        <w:t>asistencia</w:t>
      </w:r>
      <w:r w:rsidR="00896772" w:rsidRPr="00B7572D">
        <w:rPr>
          <w:i w:val="0"/>
          <w:lang w:val="es-ES" w:eastAsia="en-US"/>
        </w:rPr>
        <w:t xml:space="preserve"> </w:t>
      </w:r>
      <w:r w:rsidR="00373D53" w:rsidRPr="00B7572D">
        <w:rPr>
          <w:i w:val="0"/>
          <w:lang w:val="es-ES" w:eastAsia="en-US"/>
        </w:rPr>
        <w:t xml:space="preserve">internacionales </w:t>
      </w:r>
      <w:r w:rsidRPr="00B7572D">
        <w:rPr>
          <w:i w:val="0"/>
          <w:lang w:val="es-ES"/>
        </w:rPr>
        <w:t xml:space="preserve">pueden contribuir a la salvaguardia del patrimonio cultural inmaterial (PCI) presente en el territorio de los Estados Partes en la </w:t>
      </w:r>
      <w:r w:rsidR="006A2545" w:rsidRPr="00B7572D">
        <w:rPr>
          <w:i w:val="0"/>
          <w:lang w:val="es-ES"/>
        </w:rPr>
        <w:t>Convención para</w:t>
      </w:r>
      <w:r w:rsidRPr="00B7572D">
        <w:rPr>
          <w:i w:val="0"/>
          <w:lang w:val="es-ES"/>
        </w:rPr>
        <w:t xml:space="preserve"> la </w:t>
      </w:r>
      <w:r w:rsidR="006A2545" w:rsidRPr="00B7572D">
        <w:rPr>
          <w:i w:val="0"/>
          <w:lang w:val="es-ES"/>
        </w:rPr>
        <w:t>Salvaguardia</w:t>
      </w:r>
      <w:r w:rsidRPr="00B7572D">
        <w:rPr>
          <w:i w:val="0"/>
          <w:lang w:val="es-ES"/>
        </w:rPr>
        <w:t xml:space="preserve"> del Patrimonio Cultural Inmaterial.</w:t>
      </w:r>
      <w:r w:rsidR="00444FA2" w:rsidRPr="00B7572D">
        <w:rPr>
          <w:rStyle w:val="FootnoteReference"/>
          <w:i w:val="0"/>
          <w:lang w:val="es-ES" w:eastAsia="en-US"/>
        </w:rPr>
        <w:footnoteReference w:id="1"/>
      </w:r>
    </w:p>
    <w:p w:rsidR="00896772" w:rsidRPr="00994BB3" w:rsidRDefault="00896772" w:rsidP="004936EF">
      <w:pPr>
        <w:pStyle w:val="UTit4"/>
        <w:rPr>
          <w:szCs w:val="70"/>
          <w:lang w:val="es-ES"/>
        </w:rPr>
      </w:pPr>
      <w:r w:rsidRPr="00994BB3">
        <w:rPr>
          <w:rFonts w:cs="Arial"/>
          <w:szCs w:val="70"/>
          <w:lang w:val="es-ES"/>
        </w:rPr>
        <w:t>Descrip</w:t>
      </w:r>
      <w:r w:rsidR="00CD0851" w:rsidRPr="00994BB3">
        <w:rPr>
          <w:rFonts w:cs="Arial"/>
          <w:szCs w:val="70"/>
          <w:lang w:val="es-ES"/>
        </w:rPr>
        <w:t>ció</w:t>
      </w:r>
      <w:r w:rsidRPr="00994BB3">
        <w:rPr>
          <w:rFonts w:cs="Arial"/>
          <w:szCs w:val="70"/>
          <w:lang w:val="es-ES"/>
        </w:rPr>
        <w:t xml:space="preserve">n: </w:t>
      </w:r>
    </w:p>
    <w:p w:rsidR="002A41A8" w:rsidRPr="00B7572D" w:rsidRDefault="007D0CDE" w:rsidP="002A41A8">
      <w:pPr>
        <w:pStyle w:val="UTxt"/>
        <w:rPr>
          <w:i w:val="0"/>
          <w:lang w:val="es-ES" w:eastAsia="en-US"/>
        </w:rPr>
      </w:pPr>
      <w:r w:rsidRPr="00B7572D">
        <w:rPr>
          <w:i w:val="0"/>
          <w:lang w:val="es-ES" w:eastAsia="en-US"/>
        </w:rPr>
        <w:t xml:space="preserve">En esta </w:t>
      </w:r>
      <w:r w:rsidR="00D73F1D" w:rsidRPr="00B7572D">
        <w:rPr>
          <w:i w:val="0"/>
          <w:lang w:val="es-ES" w:eastAsia="en-US"/>
        </w:rPr>
        <w:t>unidad</w:t>
      </w:r>
      <w:r w:rsidRPr="00B7572D">
        <w:rPr>
          <w:i w:val="0"/>
          <w:lang w:val="es-ES" w:eastAsia="en-US"/>
        </w:rPr>
        <w:t xml:space="preserve"> se presentan a grandes rasgos dos cuestiones principales</w:t>
      </w:r>
      <w:r w:rsidR="002A41A8" w:rsidRPr="00B7572D">
        <w:rPr>
          <w:i w:val="0"/>
          <w:lang w:val="es-ES" w:eastAsia="en-US"/>
        </w:rPr>
        <w:t xml:space="preserve">: </w:t>
      </w:r>
      <w:r w:rsidRPr="00B7572D">
        <w:rPr>
          <w:i w:val="0"/>
          <w:lang w:val="es-ES" w:eastAsia="en-US"/>
        </w:rPr>
        <w:t xml:space="preserve">la </w:t>
      </w:r>
      <w:r w:rsidR="00695A16" w:rsidRPr="00B7572D">
        <w:rPr>
          <w:i w:val="0"/>
          <w:lang w:val="es-ES" w:eastAsia="en-US"/>
        </w:rPr>
        <w:t>cooperación internacional</w:t>
      </w:r>
      <w:r w:rsidR="002A41A8" w:rsidRPr="00B7572D">
        <w:rPr>
          <w:i w:val="0"/>
          <w:lang w:val="es-ES" w:eastAsia="en-US"/>
        </w:rPr>
        <w:t xml:space="preserve"> </w:t>
      </w:r>
      <w:r w:rsidRPr="00B7572D">
        <w:rPr>
          <w:i w:val="0"/>
          <w:lang w:val="es-ES" w:eastAsia="en-US"/>
        </w:rPr>
        <w:t xml:space="preserve">entre los </w:t>
      </w:r>
      <w:r w:rsidR="005C1589" w:rsidRPr="00B7572D">
        <w:rPr>
          <w:i w:val="0"/>
          <w:lang w:val="es-ES" w:eastAsia="en-US"/>
        </w:rPr>
        <w:t>Estados Partes</w:t>
      </w:r>
      <w:r w:rsidR="002A41A8" w:rsidRPr="00B7572D">
        <w:rPr>
          <w:i w:val="0"/>
          <w:lang w:val="es-ES" w:eastAsia="en-US"/>
        </w:rPr>
        <w:t xml:space="preserve"> </w:t>
      </w:r>
      <w:r w:rsidRPr="00B7572D">
        <w:rPr>
          <w:i w:val="0"/>
          <w:lang w:val="es-ES" w:eastAsia="en-US"/>
        </w:rPr>
        <w:t>para aplicar la</w:t>
      </w:r>
      <w:r w:rsidR="002A41A8" w:rsidRPr="00B7572D">
        <w:rPr>
          <w:i w:val="0"/>
          <w:lang w:val="es-ES" w:eastAsia="en-US"/>
        </w:rPr>
        <w:t xml:space="preserve"> </w:t>
      </w:r>
      <w:r w:rsidR="00F53A3B" w:rsidRPr="00B7572D">
        <w:rPr>
          <w:i w:val="0"/>
          <w:lang w:val="es-ES" w:eastAsia="en-US"/>
        </w:rPr>
        <w:t>Convención</w:t>
      </w:r>
      <w:r w:rsidR="002A41A8" w:rsidRPr="00B7572D">
        <w:rPr>
          <w:i w:val="0"/>
          <w:lang w:val="es-ES" w:eastAsia="en-US"/>
        </w:rPr>
        <w:t xml:space="preserve"> </w:t>
      </w:r>
      <w:r w:rsidRPr="00B7572D">
        <w:rPr>
          <w:i w:val="0"/>
          <w:lang w:val="es-ES" w:eastAsia="en-US"/>
        </w:rPr>
        <w:t xml:space="preserve">y la </w:t>
      </w:r>
      <w:r w:rsidR="00F53A3B" w:rsidRPr="00B7572D">
        <w:rPr>
          <w:i w:val="0"/>
          <w:lang w:val="es-ES" w:eastAsia="en-US"/>
        </w:rPr>
        <w:t>asistencia internacional</w:t>
      </w:r>
      <w:r w:rsidRPr="00B7572D">
        <w:rPr>
          <w:i w:val="0"/>
          <w:lang w:val="es-ES" w:eastAsia="en-US"/>
        </w:rPr>
        <w:t xml:space="preserve"> que éstos pueden recibir del </w:t>
      </w:r>
      <w:r w:rsidRPr="00B7572D">
        <w:rPr>
          <w:rFonts w:eastAsia="Calibri"/>
          <w:i w:val="0"/>
          <w:lang w:val="es-ES"/>
        </w:rPr>
        <w:t>Fondo para la Salvaguardia del Patrimonio Cultural Inmaterial</w:t>
      </w:r>
      <w:r w:rsidR="0060309A" w:rsidRPr="00B7572D">
        <w:rPr>
          <w:rFonts w:eastAsia="Calibri"/>
          <w:i w:val="0"/>
          <w:lang w:val="es-ES"/>
        </w:rPr>
        <w:t xml:space="preserve"> (Fondo del PCI)</w:t>
      </w:r>
      <w:r w:rsidR="002A41A8" w:rsidRPr="00B7572D">
        <w:rPr>
          <w:i w:val="0"/>
          <w:lang w:val="es-ES" w:eastAsia="en-US"/>
        </w:rPr>
        <w:t xml:space="preserve">. </w:t>
      </w:r>
      <w:r w:rsidRPr="00B7572D">
        <w:rPr>
          <w:i w:val="0"/>
          <w:lang w:val="es-ES" w:eastAsia="en-US"/>
        </w:rPr>
        <w:t xml:space="preserve">Entre los temas abarcados en la </w:t>
      </w:r>
      <w:r w:rsidR="00D73F1D" w:rsidRPr="00B7572D">
        <w:rPr>
          <w:i w:val="0"/>
          <w:lang w:val="es-ES" w:eastAsia="en-US"/>
        </w:rPr>
        <w:t>unidad</w:t>
      </w:r>
      <w:r w:rsidRPr="00B7572D">
        <w:rPr>
          <w:i w:val="0"/>
          <w:lang w:val="es-ES" w:eastAsia="en-US"/>
        </w:rPr>
        <w:t>, figuran los siguientes</w:t>
      </w:r>
      <w:r w:rsidR="002A41A8" w:rsidRPr="00B7572D">
        <w:rPr>
          <w:i w:val="0"/>
          <w:lang w:val="es-ES" w:eastAsia="en-US"/>
        </w:rPr>
        <w:t xml:space="preserve">: </w:t>
      </w:r>
      <w:r w:rsidR="00695A16" w:rsidRPr="00B7572D">
        <w:rPr>
          <w:i w:val="0"/>
          <w:lang w:val="es-ES" w:eastAsia="en-US"/>
        </w:rPr>
        <w:t>cooperación internacional</w:t>
      </w:r>
      <w:r w:rsidR="002A41A8" w:rsidRPr="00B7572D">
        <w:rPr>
          <w:i w:val="0"/>
          <w:lang w:val="es-ES" w:eastAsia="en-US"/>
        </w:rPr>
        <w:t xml:space="preserve">, </w:t>
      </w:r>
      <w:r w:rsidRPr="00B7572D">
        <w:rPr>
          <w:rFonts w:eastAsia="Calibri"/>
          <w:i w:val="0"/>
          <w:lang w:val="es-ES"/>
        </w:rPr>
        <w:t>patrimonio compartido</w:t>
      </w:r>
      <w:r w:rsidR="002A41A8" w:rsidRPr="00B7572D">
        <w:rPr>
          <w:i w:val="0"/>
          <w:lang w:val="es-ES" w:eastAsia="en-US"/>
        </w:rPr>
        <w:t xml:space="preserve">, </w:t>
      </w:r>
      <w:r w:rsidRPr="00B7572D">
        <w:rPr>
          <w:i w:val="0"/>
          <w:lang w:val="es-ES" w:eastAsia="en-US"/>
        </w:rPr>
        <w:t>candidaturas de elementos multinac</w:t>
      </w:r>
      <w:r w:rsidR="002A41A8" w:rsidRPr="00B7572D">
        <w:rPr>
          <w:i w:val="0"/>
          <w:lang w:val="es-ES" w:eastAsia="en-US"/>
        </w:rPr>
        <w:t>ional</w:t>
      </w:r>
      <w:r w:rsidRPr="00B7572D">
        <w:rPr>
          <w:i w:val="0"/>
          <w:lang w:val="es-ES" w:eastAsia="en-US"/>
        </w:rPr>
        <w:t>e</w:t>
      </w:r>
      <w:r w:rsidR="002A41A8" w:rsidRPr="00B7572D">
        <w:rPr>
          <w:i w:val="0"/>
          <w:lang w:val="es-ES" w:eastAsia="en-US"/>
        </w:rPr>
        <w:t xml:space="preserve">s, </w:t>
      </w:r>
      <w:r w:rsidR="0060309A" w:rsidRPr="00B7572D">
        <w:rPr>
          <w:i w:val="0"/>
          <w:lang w:val="es-ES" w:eastAsia="en-US"/>
        </w:rPr>
        <w:t>Fondo del PCI</w:t>
      </w:r>
      <w:r w:rsidR="002A41A8" w:rsidRPr="00B7572D">
        <w:rPr>
          <w:i w:val="0"/>
          <w:lang w:val="es-ES" w:eastAsia="en-US"/>
        </w:rPr>
        <w:t xml:space="preserve">, </w:t>
      </w:r>
      <w:r w:rsidR="00F53A3B" w:rsidRPr="00B7572D">
        <w:rPr>
          <w:i w:val="0"/>
          <w:lang w:val="es-ES" w:eastAsia="en-US"/>
        </w:rPr>
        <w:t>asistencia internacional</w:t>
      </w:r>
      <w:r w:rsidR="002A41A8" w:rsidRPr="00B7572D">
        <w:rPr>
          <w:i w:val="0"/>
          <w:lang w:val="es-ES" w:eastAsia="en-US"/>
        </w:rPr>
        <w:t xml:space="preserve"> </w:t>
      </w:r>
      <w:r w:rsidR="0060309A" w:rsidRPr="00B7572D">
        <w:rPr>
          <w:i w:val="0"/>
          <w:lang w:val="es-ES" w:eastAsia="en-US"/>
        </w:rPr>
        <w:t>y procedimientos, calendarios y criterios para la elaboración y evaluación de las solicitudes de</w:t>
      </w:r>
      <w:r w:rsidR="002A41A8" w:rsidRPr="00B7572D">
        <w:rPr>
          <w:i w:val="0"/>
          <w:lang w:val="es-ES" w:eastAsia="en-US"/>
        </w:rPr>
        <w:t xml:space="preserve"> </w:t>
      </w:r>
      <w:r w:rsidR="00F53A3B" w:rsidRPr="00B7572D">
        <w:rPr>
          <w:i w:val="0"/>
          <w:lang w:val="es-ES" w:eastAsia="en-US"/>
        </w:rPr>
        <w:t>asistencia internacional</w:t>
      </w:r>
      <w:r w:rsidR="002A41A8" w:rsidRPr="00B7572D">
        <w:rPr>
          <w:i w:val="0"/>
          <w:lang w:val="es-ES" w:eastAsia="en-US"/>
        </w:rPr>
        <w:t>.</w:t>
      </w:r>
    </w:p>
    <w:p w:rsidR="00896772" w:rsidRPr="00994BB3" w:rsidRDefault="00CD0851" w:rsidP="007735A8">
      <w:pPr>
        <w:pStyle w:val="UTxt"/>
        <w:rPr>
          <w:lang w:val="es-ES" w:eastAsia="en-US"/>
        </w:rPr>
      </w:pPr>
      <w:r w:rsidRPr="00994BB3">
        <w:rPr>
          <w:lang w:val="es-ES" w:eastAsia="en-US"/>
        </w:rPr>
        <w:t>Secuenciación propuesta</w:t>
      </w:r>
      <w:r w:rsidR="002A41A8" w:rsidRPr="00994BB3">
        <w:rPr>
          <w:lang w:val="es-ES" w:eastAsia="en-US"/>
        </w:rPr>
        <w:t>:</w:t>
      </w:r>
    </w:p>
    <w:p w:rsidR="00896772" w:rsidRPr="00994BB3" w:rsidRDefault="00D12765" w:rsidP="004936EF">
      <w:pPr>
        <w:pStyle w:val="Upuce"/>
        <w:rPr>
          <w:lang w:val="es-ES" w:bidi="en-US"/>
        </w:rPr>
      </w:pPr>
      <w:r w:rsidRPr="00994BB3">
        <w:rPr>
          <w:rFonts w:eastAsia="Calibri"/>
          <w:lang w:val="es-ES"/>
        </w:rPr>
        <w:t>Cooperación internacional</w:t>
      </w:r>
      <w:r w:rsidR="00632AA1">
        <w:rPr>
          <w:lang w:val="es-ES" w:bidi="en-US"/>
        </w:rPr>
        <w:t>.</w:t>
      </w:r>
    </w:p>
    <w:p w:rsidR="00896772" w:rsidRPr="00994BB3" w:rsidRDefault="007D0CDE" w:rsidP="004936EF">
      <w:pPr>
        <w:pStyle w:val="Upuce"/>
        <w:rPr>
          <w:lang w:val="es-ES" w:bidi="en-US"/>
        </w:rPr>
      </w:pPr>
      <w:r w:rsidRPr="00994BB3">
        <w:rPr>
          <w:rFonts w:eastAsia="Calibri"/>
          <w:lang w:val="es-ES"/>
        </w:rPr>
        <w:t>Patrimonio compartido</w:t>
      </w:r>
      <w:r w:rsidR="00632AA1">
        <w:rPr>
          <w:rFonts w:eastAsia="Calibri"/>
          <w:lang w:val="es-ES"/>
        </w:rPr>
        <w:t>.</w:t>
      </w:r>
    </w:p>
    <w:p w:rsidR="00896772" w:rsidRPr="00994BB3" w:rsidRDefault="007D0CDE" w:rsidP="004936EF">
      <w:pPr>
        <w:pStyle w:val="Upuce"/>
        <w:rPr>
          <w:lang w:val="es-ES" w:bidi="en-US"/>
        </w:rPr>
      </w:pPr>
      <w:r w:rsidRPr="00994BB3">
        <w:rPr>
          <w:rFonts w:eastAsia="Calibri"/>
          <w:lang w:val="es-ES"/>
        </w:rPr>
        <w:t>Asistencia internacional</w:t>
      </w:r>
      <w:r w:rsidR="00632AA1">
        <w:rPr>
          <w:rFonts w:eastAsia="Calibri"/>
          <w:lang w:val="es-ES"/>
        </w:rPr>
        <w:t>.</w:t>
      </w:r>
    </w:p>
    <w:p w:rsidR="00896772" w:rsidRPr="00994BB3" w:rsidRDefault="00770721" w:rsidP="004936EF">
      <w:pPr>
        <w:pStyle w:val="Upuce"/>
        <w:rPr>
          <w:lang w:val="es-ES" w:bidi="en-US"/>
        </w:rPr>
      </w:pPr>
      <w:r>
        <w:rPr>
          <w:rFonts w:eastAsia="Calibri"/>
          <w:lang w:val="es-ES"/>
        </w:rPr>
        <w:t xml:space="preserve">El </w:t>
      </w:r>
      <w:r w:rsidR="007D0CDE" w:rsidRPr="00994BB3">
        <w:rPr>
          <w:rFonts w:eastAsia="Calibri"/>
          <w:lang w:val="es-ES"/>
        </w:rPr>
        <w:t xml:space="preserve">Fondo </w:t>
      </w:r>
      <w:r>
        <w:rPr>
          <w:rFonts w:eastAsia="Calibri"/>
          <w:lang w:val="es-ES"/>
        </w:rPr>
        <w:t>del PCI</w:t>
      </w:r>
      <w:r w:rsidR="00632AA1">
        <w:rPr>
          <w:rFonts w:eastAsia="Calibri"/>
          <w:lang w:val="es-ES"/>
        </w:rPr>
        <w:t>.</w:t>
      </w:r>
    </w:p>
    <w:p w:rsidR="00896772" w:rsidRPr="00994BB3" w:rsidRDefault="007D0CDE" w:rsidP="004936EF">
      <w:pPr>
        <w:pStyle w:val="Upuce"/>
        <w:rPr>
          <w:lang w:val="es-ES" w:bidi="en-US"/>
        </w:rPr>
      </w:pPr>
      <w:r w:rsidRPr="00994BB3">
        <w:rPr>
          <w:rFonts w:eastAsia="Calibri"/>
          <w:lang w:val="es-ES"/>
        </w:rPr>
        <w:t>Solicitudes aprobadas por el Comité</w:t>
      </w:r>
      <w:r w:rsidR="00632AA1">
        <w:rPr>
          <w:rFonts w:eastAsia="Calibri"/>
          <w:lang w:val="es-ES"/>
        </w:rPr>
        <w:t>.</w:t>
      </w:r>
    </w:p>
    <w:p w:rsidR="00896772" w:rsidRPr="00994BB3" w:rsidRDefault="007D0CDE" w:rsidP="004936EF">
      <w:pPr>
        <w:pStyle w:val="Upuce"/>
        <w:rPr>
          <w:lang w:val="es-ES" w:bidi="en-US"/>
        </w:rPr>
      </w:pPr>
      <w:r w:rsidRPr="00994BB3">
        <w:rPr>
          <w:rFonts w:eastAsia="Calibri"/>
          <w:lang w:val="es-ES"/>
        </w:rPr>
        <w:t>Calendario para la presentación, evaluación y examen de las solicitudes de asistencia</w:t>
      </w:r>
      <w:r w:rsidR="00632AA1">
        <w:rPr>
          <w:rFonts w:eastAsia="Calibri"/>
          <w:lang w:val="es-ES"/>
        </w:rPr>
        <w:t>.</w:t>
      </w:r>
    </w:p>
    <w:p w:rsidR="00896772" w:rsidRPr="00994BB3" w:rsidRDefault="007D0CDE" w:rsidP="004936EF">
      <w:pPr>
        <w:pStyle w:val="Upuce"/>
        <w:rPr>
          <w:lang w:val="es-ES" w:bidi="en-US"/>
        </w:rPr>
      </w:pPr>
      <w:r w:rsidRPr="00994BB3">
        <w:rPr>
          <w:rFonts w:eastAsia="Calibri"/>
          <w:lang w:val="es-ES"/>
        </w:rPr>
        <w:t>Criterios para la evaluación de las solicitudes de asistencia</w:t>
      </w:r>
      <w:r w:rsidR="00632AA1">
        <w:rPr>
          <w:rFonts w:eastAsia="Calibri"/>
          <w:lang w:val="es-ES"/>
        </w:rPr>
        <w:t>.</w:t>
      </w:r>
    </w:p>
    <w:p w:rsidR="005C4655" w:rsidRPr="00994BB3" w:rsidRDefault="005C4655">
      <w:pPr>
        <w:tabs>
          <w:tab w:val="clear" w:pos="567"/>
        </w:tabs>
        <w:snapToGrid/>
        <w:spacing w:before="0" w:after="0"/>
        <w:jc w:val="left"/>
        <w:rPr>
          <w:b/>
          <w:bCs/>
          <w:caps/>
          <w:snapToGrid/>
          <w:sz w:val="20"/>
          <w:szCs w:val="70"/>
          <w:lang w:val="es-ES" w:eastAsia="en-US"/>
        </w:rPr>
      </w:pPr>
      <w:r w:rsidRPr="00994BB3">
        <w:rPr>
          <w:szCs w:val="70"/>
          <w:lang w:val="es-ES"/>
        </w:rPr>
        <w:br w:type="page"/>
      </w:r>
    </w:p>
    <w:p w:rsidR="00896772" w:rsidRPr="00994BB3" w:rsidRDefault="00CD0851" w:rsidP="004936EF">
      <w:pPr>
        <w:pStyle w:val="UTit4"/>
        <w:rPr>
          <w:szCs w:val="70"/>
          <w:lang w:val="es-ES"/>
        </w:rPr>
      </w:pPr>
      <w:r w:rsidRPr="00994BB3">
        <w:rPr>
          <w:rFonts w:cs="Arial"/>
          <w:szCs w:val="70"/>
          <w:lang w:val="es-ES"/>
        </w:rPr>
        <w:lastRenderedPageBreak/>
        <w:t>documentos auxiliares</w:t>
      </w:r>
      <w:r w:rsidR="00896772" w:rsidRPr="00994BB3">
        <w:rPr>
          <w:rFonts w:cs="Arial"/>
          <w:szCs w:val="70"/>
          <w:lang w:val="es-ES"/>
        </w:rPr>
        <w:t xml:space="preserve">: </w:t>
      </w:r>
    </w:p>
    <w:p w:rsidR="00896772" w:rsidRPr="00994BB3" w:rsidRDefault="00AC5B27" w:rsidP="004936EF">
      <w:pPr>
        <w:pStyle w:val="Upuce"/>
        <w:rPr>
          <w:lang w:val="es-ES" w:bidi="en-US"/>
        </w:rPr>
      </w:pPr>
      <w:r w:rsidRPr="00994BB3">
        <w:rPr>
          <w:lang w:val="es-ES"/>
        </w:rPr>
        <w:t>Presentación Nº 12 APLI (PowerPoint) y las Notas para el Facilitador</w:t>
      </w:r>
    </w:p>
    <w:p w:rsidR="00896772" w:rsidRPr="00994BB3" w:rsidRDefault="00AC5B27" w:rsidP="004936EF">
      <w:pPr>
        <w:pStyle w:val="Upuce"/>
        <w:rPr>
          <w:lang w:val="es-ES" w:bidi="en-US"/>
        </w:rPr>
      </w:pPr>
      <w:r w:rsidRPr="00994BB3">
        <w:rPr>
          <w:lang w:val="es-ES" w:bidi="en-US"/>
        </w:rPr>
        <w:t>Texto para el Participante</w:t>
      </w:r>
      <w:r w:rsidR="002A3923" w:rsidRPr="00994BB3">
        <w:rPr>
          <w:lang w:val="es-ES" w:bidi="en-US"/>
        </w:rPr>
        <w:t xml:space="preserve"> </w:t>
      </w:r>
      <w:r w:rsidRPr="00994BB3">
        <w:rPr>
          <w:lang w:val="es-ES" w:bidi="en-US"/>
        </w:rPr>
        <w:t>de la Unidad</w:t>
      </w:r>
      <w:r w:rsidR="00447773" w:rsidRPr="00994BB3">
        <w:rPr>
          <w:lang w:val="es-ES" w:bidi="en-US"/>
        </w:rPr>
        <w:t xml:space="preserve"> 12</w:t>
      </w:r>
    </w:p>
    <w:p w:rsidR="00896772" w:rsidRPr="00994BB3" w:rsidRDefault="00632AA1" w:rsidP="004936EF">
      <w:pPr>
        <w:pStyle w:val="Upuce"/>
        <w:rPr>
          <w:lang w:val="es-ES" w:bidi="en-US"/>
        </w:rPr>
      </w:pPr>
      <w:r>
        <w:rPr>
          <w:lang w:val="es-ES" w:bidi="en-US"/>
        </w:rPr>
        <w:t>Secciones del T</w:t>
      </w:r>
      <w:r w:rsidR="00AC5B27" w:rsidRPr="00994BB3">
        <w:rPr>
          <w:lang w:val="es-ES" w:bidi="en-US"/>
        </w:rPr>
        <w:t>exto para el Participante</w:t>
      </w:r>
      <w:r w:rsidR="002A3923" w:rsidRPr="00994BB3">
        <w:rPr>
          <w:lang w:val="es-ES" w:bidi="en-US"/>
        </w:rPr>
        <w:t xml:space="preserve"> </w:t>
      </w:r>
      <w:r w:rsidR="00AC5B27" w:rsidRPr="00994BB3">
        <w:rPr>
          <w:lang w:val="es-ES" w:bidi="en-US"/>
        </w:rPr>
        <w:t>de la Unidad</w:t>
      </w:r>
      <w:r w:rsidR="00447773" w:rsidRPr="00994BB3">
        <w:rPr>
          <w:lang w:val="es-ES" w:bidi="en-US"/>
        </w:rPr>
        <w:t xml:space="preserve"> 3</w:t>
      </w:r>
      <w:r>
        <w:rPr>
          <w:lang w:val="es-ES" w:bidi="en-US"/>
        </w:rPr>
        <w:t xml:space="preserve"> tituladas</w:t>
      </w:r>
      <w:r w:rsidR="00896772" w:rsidRPr="00994BB3">
        <w:rPr>
          <w:lang w:val="es-ES" w:bidi="en-US"/>
        </w:rPr>
        <w:t xml:space="preserve"> </w:t>
      </w:r>
      <w:r w:rsidR="00663502" w:rsidRPr="00994BB3">
        <w:rPr>
          <w:lang w:val="es-ES" w:bidi="en-US"/>
        </w:rPr>
        <w:t>“</w:t>
      </w:r>
      <w:r w:rsidR="00663502" w:rsidRPr="00994BB3">
        <w:rPr>
          <w:lang w:val="es-ES"/>
        </w:rPr>
        <w:t>Actividades a nivel internacional, regional, subregional y local</w:t>
      </w:r>
      <w:r w:rsidR="00663502" w:rsidRPr="00994BB3">
        <w:rPr>
          <w:lang w:val="es-ES" w:bidi="en-US"/>
        </w:rPr>
        <w:t>”, “Asistencia internacional”, “Cooperación internac</w:t>
      </w:r>
      <w:r w:rsidR="00896772" w:rsidRPr="00994BB3">
        <w:rPr>
          <w:lang w:val="es-ES" w:bidi="en-US"/>
        </w:rPr>
        <w:t>ional</w:t>
      </w:r>
      <w:r w:rsidR="00663502" w:rsidRPr="00994BB3">
        <w:rPr>
          <w:lang w:val="es-ES" w:bidi="en-US"/>
        </w:rPr>
        <w:t>”</w:t>
      </w:r>
      <w:r w:rsidR="00896772" w:rsidRPr="00994BB3">
        <w:rPr>
          <w:lang w:val="es-ES" w:bidi="en-US"/>
        </w:rPr>
        <w:t xml:space="preserve">, </w:t>
      </w:r>
      <w:r w:rsidR="00663502" w:rsidRPr="00994BB3">
        <w:rPr>
          <w:lang w:val="es-ES" w:bidi="en-US"/>
        </w:rPr>
        <w:t>“Órgano Consultivo”, “Órganos subsidiarios” y “Patrimonio compartido o transfronterizo”</w:t>
      </w:r>
    </w:p>
    <w:p w:rsidR="0038650F" w:rsidRPr="00994BB3" w:rsidRDefault="0038650F" w:rsidP="004936EF">
      <w:pPr>
        <w:pStyle w:val="Soustitre"/>
        <w:rPr>
          <w:caps/>
          <w:lang w:val="es-ES"/>
        </w:rPr>
      </w:pPr>
      <w:bookmarkStart w:id="3" w:name="_Toc238982271"/>
      <w:r w:rsidRPr="00994BB3">
        <w:rPr>
          <w:lang w:val="es-ES"/>
        </w:rPr>
        <w:t>Not</w:t>
      </w:r>
      <w:r w:rsidR="00CD0851" w:rsidRPr="00994BB3">
        <w:rPr>
          <w:lang w:val="es-ES"/>
        </w:rPr>
        <w:t>a</w:t>
      </w:r>
      <w:r w:rsidRPr="00994BB3">
        <w:rPr>
          <w:lang w:val="es-ES"/>
        </w:rPr>
        <w:t xml:space="preserve">s </w:t>
      </w:r>
      <w:r w:rsidR="00CD0851" w:rsidRPr="00994BB3">
        <w:rPr>
          <w:lang w:val="es-ES"/>
        </w:rPr>
        <w:t xml:space="preserve">y </w:t>
      </w:r>
      <w:r w:rsidRPr="00994BB3">
        <w:rPr>
          <w:lang w:val="es-ES"/>
        </w:rPr>
        <w:t>sug</w:t>
      </w:r>
      <w:r w:rsidR="00CD0851" w:rsidRPr="00994BB3">
        <w:rPr>
          <w:lang w:val="es-ES"/>
        </w:rPr>
        <w:t>erencia</w:t>
      </w:r>
      <w:r w:rsidRPr="00994BB3">
        <w:rPr>
          <w:lang w:val="es-ES"/>
        </w:rPr>
        <w:t>s</w:t>
      </w:r>
      <w:bookmarkEnd w:id="3"/>
    </w:p>
    <w:p w:rsidR="003D63B4" w:rsidRPr="00994BB3" w:rsidRDefault="0060309A" w:rsidP="009909DD">
      <w:pPr>
        <w:pStyle w:val="Texte1"/>
        <w:rPr>
          <w:lang w:val="es-ES"/>
        </w:rPr>
      </w:pPr>
      <w:r w:rsidRPr="00994BB3">
        <w:rPr>
          <w:lang w:val="es-ES"/>
        </w:rPr>
        <w:t xml:space="preserve">Los ejercicios de la presente </w:t>
      </w:r>
      <w:r w:rsidR="00D73F1D">
        <w:rPr>
          <w:lang w:val="es-ES"/>
        </w:rPr>
        <w:t>unidad</w:t>
      </w:r>
      <w:r w:rsidRPr="00994BB3">
        <w:rPr>
          <w:lang w:val="es-ES"/>
        </w:rPr>
        <w:t xml:space="preserve"> se pueden adaptar a las necesidades de los participantes en el taller, o suprimirlos si fuere necesario</w:t>
      </w:r>
      <w:r w:rsidR="0038650F" w:rsidRPr="00994BB3">
        <w:rPr>
          <w:lang w:val="es-ES"/>
        </w:rPr>
        <w:t xml:space="preserve">. </w:t>
      </w:r>
    </w:p>
    <w:p w:rsidR="003D63B4" w:rsidRPr="00994BB3" w:rsidRDefault="0060309A" w:rsidP="009909DD">
      <w:pPr>
        <w:pStyle w:val="Texte1"/>
        <w:rPr>
          <w:lang w:val="es-ES"/>
        </w:rPr>
      </w:pPr>
      <w:r w:rsidRPr="00994BB3">
        <w:rPr>
          <w:lang w:val="es-ES"/>
        </w:rPr>
        <w:t>E</w:t>
      </w:r>
      <w:r w:rsidR="00632AA1">
        <w:rPr>
          <w:lang w:val="es-ES"/>
        </w:rPr>
        <w:t>n e</w:t>
      </w:r>
      <w:r w:rsidRPr="00994BB3">
        <w:rPr>
          <w:lang w:val="es-ES"/>
        </w:rPr>
        <w:t>l ejercicio</w:t>
      </w:r>
      <w:r w:rsidR="00632AA1">
        <w:rPr>
          <w:lang w:val="es-ES"/>
        </w:rPr>
        <w:t xml:space="preserve"> de unos 30 minutos de duración</w:t>
      </w:r>
      <w:r w:rsidRPr="00994BB3">
        <w:rPr>
          <w:lang w:val="es-ES"/>
        </w:rPr>
        <w:t xml:space="preserve"> correspondiente a la Diapositiva 4, </w:t>
      </w:r>
      <w:r w:rsidR="00632AA1">
        <w:rPr>
          <w:lang w:val="es-ES"/>
        </w:rPr>
        <w:t xml:space="preserve">se </w:t>
      </w:r>
      <w:r w:rsidRPr="00994BB3">
        <w:rPr>
          <w:lang w:val="es-ES"/>
        </w:rPr>
        <w:t xml:space="preserve">muestra </w:t>
      </w:r>
      <w:r w:rsidR="00632AA1">
        <w:rPr>
          <w:lang w:val="es-ES"/>
        </w:rPr>
        <w:t xml:space="preserve">un </w:t>
      </w:r>
      <w:r w:rsidRPr="00994BB3">
        <w:rPr>
          <w:lang w:val="es-ES"/>
        </w:rPr>
        <w:t>ejemplo de elemento del PCI compartido y se centra en el tema de las candidaturas de elementos multinacionales. Para realizarlo, se puede repartir a los participantes en pequeños grupos y distribuir entre ellos algunas de la</w:t>
      </w:r>
      <w:r w:rsidR="00632AA1">
        <w:rPr>
          <w:lang w:val="es-ES"/>
        </w:rPr>
        <w:t>s</w:t>
      </w:r>
      <w:r w:rsidRPr="00994BB3">
        <w:rPr>
          <w:lang w:val="es-ES"/>
        </w:rPr>
        <w:t xml:space="preserve"> preguntas formuladas para que las examinen y discutan</w:t>
      </w:r>
      <w:r w:rsidR="003D63B4" w:rsidRPr="00994BB3">
        <w:rPr>
          <w:lang w:val="es-ES"/>
        </w:rPr>
        <w:t>.</w:t>
      </w:r>
    </w:p>
    <w:p w:rsidR="00444FA2" w:rsidRPr="00994BB3" w:rsidRDefault="00847D44" w:rsidP="009909DD">
      <w:pPr>
        <w:pStyle w:val="Texte1"/>
        <w:rPr>
          <w:i/>
          <w:lang w:val="es-ES"/>
        </w:rPr>
      </w:pPr>
      <w:r w:rsidRPr="00994BB3">
        <w:rPr>
          <w:lang w:val="es-ES"/>
        </w:rPr>
        <w:t>El ejercicio</w:t>
      </w:r>
      <w:r w:rsidR="00632AA1">
        <w:rPr>
          <w:lang w:val="es-ES"/>
        </w:rPr>
        <w:t xml:space="preserve"> de unos 30 minutos de duración</w:t>
      </w:r>
      <w:r w:rsidRPr="00994BB3">
        <w:rPr>
          <w:lang w:val="es-ES"/>
        </w:rPr>
        <w:t xml:space="preserve"> corr</w:t>
      </w:r>
      <w:r w:rsidR="00632AA1">
        <w:rPr>
          <w:lang w:val="es-ES"/>
        </w:rPr>
        <w:t>espondiente a la Diapositiva 13</w:t>
      </w:r>
      <w:r w:rsidRPr="00994BB3">
        <w:rPr>
          <w:lang w:val="es-ES"/>
        </w:rPr>
        <w:t xml:space="preserve"> se centra en los formularios de solicitud de asistencia internacional. La realización de este ejercicio es muy pertinente en caso de que los participantes tengan preguntas específicas sobre la presentación de una solicitud. </w:t>
      </w:r>
      <w:r w:rsidRPr="00994BB3">
        <w:rPr>
          <w:i/>
          <w:lang w:val="es-ES"/>
        </w:rPr>
        <w:t xml:space="preserve">A este respecto, </w:t>
      </w:r>
      <w:r w:rsidR="001A7EED">
        <w:rPr>
          <w:i/>
          <w:lang w:val="es-ES"/>
        </w:rPr>
        <w:t>es preciso</w:t>
      </w:r>
      <w:r w:rsidRPr="00994BB3">
        <w:rPr>
          <w:i/>
          <w:lang w:val="es-ES"/>
        </w:rPr>
        <w:t xml:space="preserve"> recordar</w:t>
      </w:r>
      <w:r w:rsidRPr="00994BB3">
        <w:rPr>
          <w:lang w:val="es-ES"/>
        </w:rPr>
        <w:t xml:space="preserve"> </w:t>
      </w:r>
      <w:r w:rsidRPr="00994BB3">
        <w:rPr>
          <w:i/>
          <w:lang w:val="es-ES"/>
        </w:rPr>
        <w:t>a los facilitadores que han suscrito un contrato con la UNESCO para la realización del taller. Eso quiere decir que no están autorizados a emprender ninguna actividad de asesoramiento a los Estados Partes o sus representantes</w:t>
      </w:r>
      <w:r w:rsidR="001A7EED">
        <w:rPr>
          <w:i/>
          <w:lang w:val="es-ES"/>
        </w:rPr>
        <w:t>,</w:t>
      </w:r>
      <w:r w:rsidRPr="00994BB3">
        <w:rPr>
          <w:i/>
          <w:lang w:val="es-ES"/>
        </w:rPr>
        <w:t xml:space="preserve"> consistente, por ejemplo, en cumplimentar formularios para la presentación de candida</w:t>
      </w:r>
      <w:r w:rsidR="00A877F4">
        <w:rPr>
          <w:i/>
          <w:lang w:val="es-ES"/>
        </w:rPr>
        <w:t xml:space="preserve">turas de elementos del PCI o </w:t>
      </w:r>
      <w:r w:rsidRPr="00994BB3">
        <w:rPr>
          <w:i/>
          <w:lang w:val="es-ES"/>
        </w:rPr>
        <w:t>solicitudes de asistencia internacional</w:t>
      </w:r>
      <w:r w:rsidR="00C903F5" w:rsidRPr="00994BB3">
        <w:rPr>
          <w:i/>
          <w:lang w:val="es-ES"/>
        </w:rPr>
        <w:t>.</w:t>
      </w:r>
    </w:p>
    <w:p w:rsidR="00444FA2" w:rsidRPr="00994BB3" w:rsidRDefault="00444FA2">
      <w:pPr>
        <w:tabs>
          <w:tab w:val="clear" w:pos="567"/>
        </w:tabs>
        <w:snapToGrid/>
        <w:spacing w:before="0" w:after="0"/>
        <w:jc w:val="left"/>
        <w:rPr>
          <w:i/>
          <w:snapToGrid/>
          <w:sz w:val="20"/>
          <w:lang w:val="es-ES"/>
        </w:rPr>
      </w:pPr>
      <w:r w:rsidRPr="00994BB3">
        <w:rPr>
          <w:i/>
          <w:lang w:val="es-ES"/>
        </w:rPr>
        <w:br w:type="page"/>
      </w:r>
    </w:p>
    <w:p w:rsidR="00896772" w:rsidRPr="00994BB3" w:rsidRDefault="00C4640B" w:rsidP="004936EF">
      <w:pPr>
        <w:pStyle w:val="Chapitre"/>
        <w:rPr>
          <w:kern w:val="0"/>
          <w:lang w:val="es-ES"/>
        </w:rPr>
      </w:pPr>
      <w:bookmarkStart w:id="4" w:name="_Toc241644739"/>
      <w:bookmarkStart w:id="5" w:name="_Toc302374697"/>
      <w:r w:rsidRPr="00994BB3">
        <w:rPr>
          <w:kern w:val="0"/>
          <w:lang w:val="es-ES"/>
        </w:rPr>
        <w:t>Uni</w:t>
      </w:r>
      <w:r w:rsidR="00CD0851" w:rsidRPr="00994BB3">
        <w:rPr>
          <w:kern w:val="0"/>
          <w:lang w:val="es-ES"/>
        </w:rPr>
        <w:t>dad</w:t>
      </w:r>
      <w:r w:rsidRPr="00994BB3">
        <w:rPr>
          <w:kern w:val="0"/>
          <w:lang w:val="es-ES"/>
        </w:rPr>
        <w:t xml:space="preserve"> </w:t>
      </w:r>
      <w:r w:rsidR="0038650F" w:rsidRPr="00994BB3">
        <w:rPr>
          <w:kern w:val="0"/>
          <w:lang w:val="es-ES"/>
        </w:rPr>
        <w:t>12</w:t>
      </w:r>
      <w:bookmarkEnd w:id="4"/>
    </w:p>
    <w:p w:rsidR="0038650F" w:rsidRPr="00994BB3" w:rsidRDefault="00CD0851" w:rsidP="004936EF">
      <w:pPr>
        <w:pStyle w:val="Titcoul"/>
        <w:rPr>
          <w:kern w:val="0"/>
          <w:szCs w:val="70"/>
          <w:lang w:val="es-ES"/>
        </w:rPr>
      </w:pPr>
      <w:bookmarkStart w:id="6" w:name="_Toc241644740"/>
      <w:bookmarkEnd w:id="5"/>
      <w:r w:rsidRPr="00994BB3">
        <w:rPr>
          <w:kern w:val="0"/>
          <w:szCs w:val="70"/>
          <w:lang w:val="es-ES"/>
        </w:rPr>
        <w:t>cooperación y asistencia Internacionales</w:t>
      </w:r>
      <w:r w:rsidR="00B21D13" w:rsidRPr="00994BB3">
        <w:rPr>
          <w:kern w:val="0"/>
          <w:szCs w:val="70"/>
          <w:lang w:val="es-ES"/>
        </w:rPr>
        <w:t xml:space="preserve"> </w:t>
      </w:r>
      <w:bookmarkEnd w:id="6"/>
    </w:p>
    <w:p w:rsidR="00896772" w:rsidRPr="00994BB3" w:rsidRDefault="00CD0851" w:rsidP="004936EF">
      <w:pPr>
        <w:pStyle w:val="Heading6"/>
        <w:rPr>
          <w:lang w:val="es-ES"/>
        </w:rPr>
      </w:pPr>
      <w:r w:rsidRPr="00994BB3">
        <w:rPr>
          <w:lang w:val="es-ES"/>
        </w:rPr>
        <w:t>DIAPOSITIVA</w:t>
      </w:r>
      <w:r w:rsidR="005369DB" w:rsidRPr="00994BB3">
        <w:rPr>
          <w:lang w:val="es-ES"/>
        </w:rPr>
        <w:t xml:space="preserve"> </w:t>
      </w:r>
      <w:r w:rsidR="00AF685C" w:rsidRPr="00994BB3">
        <w:rPr>
          <w:lang w:val="es-ES"/>
        </w:rPr>
        <w:t>1</w:t>
      </w:r>
      <w:r w:rsidR="00896772" w:rsidRPr="00994BB3">
        <w:rPr>
          <w:lang w:val="es-ES"/>
        </w:rPr>
        <w:t>.</w:t>
      </w:r>
    </w:p>
    <w:p w:rsidR="002174AC" w:rsidRPr="00994BB3" w:rsidRDefault="006F0D4E" w:rsidP="004936EF">
      <w:pPr>
        <w:pStyle w:val="diapo2"/>
        <w:rPr>
          <w:lang w:val="es-ES"/>
        </w:rPr>
      </w:pPr>
      <w:r w:rsidRPr="00994BB3">
        <w:rPr>
          <w:lang w:val="es-ES" w:bidi="en-US"/>
        </w:rPr>
        <w:t>Cooperación y asistencia internacionales</w:t>
      </w:r>
    </w:p>
    <w:p w:rsidR="00674D1C" w:rsidRPr="00994BB3" w:rsidRDefault="006F0D4E" w:rsidP="009909DD">
      <w:pPr>
        <w:pStyle w:val="Texte1"/>
        <w:rPr>
          <w:lang w:val="es-ES"/>
        </w:rPr>
      </w:pPr>
      <w:r w:rsidRPr="00994BB3">
        <w:rPr>
          <w:lang w:val="es-ES"/>
        </w:rPr>
        <w:t xml:space="preserve">En el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AC5B27" w:rsidRPr="00994BB3">
        <w:rPr>
          <w:lang w:val="es-ES"/>
        </w:rPr>
        <w:t>Unidad</w:t>
      </w:r>
      <w:r w:rsidR="00447773" w:rsidRPr="00994BB3">
        <w:rPr>
          <w:lang w:val="es-ES"/>
        </w:rPr>
        <w:t xml:space="preserve"> 12</w:t>
      </w:r>
      <w:r w:rsidR="009E5D5D" w:rsidRPr="00994BB3">
        <w:rPr>
          <w:lang w:val="es-ES"/>
        </w:rPr>
        <w:t xml:space="preserve"> </w:t>
      </w:r>
      <w:r w:rsidRPr="00994BB3">
        <w:rPr>
          <w:lang w:val="es-ES"/>
        </w:rPr>
        <w:t>se aborda este tema</w:t>
      </w:r>
      <w:r w:rsidR="009E5D5D" w:rsidRPr="00994BB3">
        <w:rPr>
          <w:lang w:val="es-ES"/>
        </w:rPr>
        <w:t>.</w:t>
      </w:r>
    </w:p>
    <w:p w:rsidR="00896772" w:rsidRPr="00994BB3" w:rsidRDefault="00CD0851" w:rsidP="004936EF">
      <w:pPr>
        <w:pStyle w:val="Heading6"/>
        <w:rPr>
          <w:lang w:val="es-ES"/>
        </w:rPr>
      </w:pPr>
      <w:r w:rsidRPr="00994BB3">
        <w:rPr>
          <w:lang w:val="es-ES"/>
        </w:rPr>
        <w:t>DIAPOSITIVA</w:t>
      </w:r>
      <w:r w:rsidR="007871C3" w:rsidRPr="00994BB3">
        <w:rPr>
          <w:lang w:val="es-ES"/>
        </w:rPr>
        <w:t xml:space="preserve"> 2</w:t>
      </w:r>
      <w:r w:rsidR="00896772" w:rsidRPr="00994BB3">
        <w:rPr>
          <w:lang w:val="es-ES"/>
        </w:rPr>
        <w:t>.</w:t>
      </w:r>
    </w:p>
    <w:p w:rsidR="007871C3" w:rsidRPr="00994BB3" w:rsidRDefault="006F0D4E" w:rsidP="004936EF">
      <w:pPr>
        <w:pStyle w:val="diapo2"/>
        <w:rPr>
          <w:lang w:val="es-ES"/>
        </w:rPr>
      </w:pPr>
      <w:r w:rsidRPr="00994BB3">
        <w:rPr>
          <w:lang w:val="es-ES"/>
        </w:rPr>
        <w:t>Esta presentación se refiere a</w:t>
      </w:r>
      <w:r w:rsidR="00586482" w:rsidRPr="00994BB3">
        <w:rPr>
          <w:lang w:val="es-ES"/>
        </w:rPr>
        <w:t>…</w:t>
      </w:r>
    </w:p>
    <w:p w:rsidR="00896772" w:rsidRPr="00B7572D" w:rsidRDefault="00CD0851" w:rsidP="004936EF">
      <w:pPr>
        <w:pStyle w:val="Heading6"/>
        <w:rPr>
          <w:lang w:val="fr-FR"/>
        </w:rPr>
      </w:pPr>
      <w:r w:rsidRPr="00B7572D">
        <w:rPr>
          <w:lang w:val="fr-FR"/>
        </w:rPr>
        <w:t>DIAPOSITIVA</w:t>
      </w:r>
      <w:r w:rsidR="002174AC" w:rsidRPr="00B7572D">
        <w:rPr>
          <w:lang w:val="fr-FR"/>
        </w:rPr>
        <w:t xml:space="preserve"> </w:t>
      </w:r>
      <w:r w:rsidR="00EE1AE8" w:rsidRPr="00B7572D">
        <w:rPr>
          <w:lang w:val="fr-FR"/>
        </w:rPr>
        <w:t>3</w:t>
      </w:r>
      <w:r w:rsidR="00896772" w:rsidRPr="00B7572D">
        <w:rPr>
          <w:lang w:val="fr-FR"/>
        </w:rPr>
        <w:t>.</w:t>
      </w:r>
      <w:r w:rsidR="00B826A9" w:rsidRPr="00B7572D">
        <w:rPr>
          <w:lang w:val="fr-FR"/>
        </w:rPr>
        <w:t xml:space="preserve"> </w:t>
      </w:r>
    </w:p>
    <w:p w:rsidR="002174AC" w:rsidRPr="00994BB3" w:rsidRDefault="006F0D4E" w:rsidP="004936EF">
      <w:pPr>
        <w:pStyle w:val="diapo2"/>
        <w:rPr>
          <w:lang w:val="es-ES"/>
        </w:rPr>
      </w:pPr>
      <w:r w:rsidRPr="00994BB3">
        <w:rPr>
          <w:lang w:val="es-ES"/>
        </w:rPr>
        <w:t>Cooperación internac</w:t>
      </w:r>
      <w:r w:rsidR="002174AC" w:rsidRPr="00994BB3">
        <w:rPr>
          <w:lang w:val="es-ES"/>
        </w:rPr>
        <w:t>ional</w:t>
      </w:r>
    </w:p>
    <w:p w:rsidR="00674D1C" w:rsidRPr="00994BB3" w:rsidRDefault="006F0D4E" w:rsidP="009909DD">
      <w:pPr>
        <w:pStyle w:val="Texte1"/>
        <w:rPr>
          <w:lang w:val="es-ES"/>
        </w:rPr>
      </w:pPr>
      <w:r w:rsidRPr="00994BB3">
        <w:rPr>
          <w:lang w:val="es-ES"/>
        </w:rPr>
        <w:t xml:space="preserve">En la sección 1 del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AC5B27" w:rsidRPr="00994BB3">
        <w:rPr>
          <w:lang w:val="es-ES"/>
        </w:rPr>
        <w:t>Unidad</w:t>
      </w:r>
      <w:r w:rsidR="00447773" w:rsidRPr="00994BB3">
        <w:rPr>
          <w:lang w:val="es-ES"/>
        </w:rPr>
        <w:t xml:space="preserve"> 12</w:t>
      </w:r>
      <w:r w:rsidR="002F5401" w:rsidRPr="00994BB3">
        <w:rPr>
          <w:lang w:val="es-ES"/>
        </w:rPr>
        <w:t xml:space="preserve"> </w:t>
      </w:r>
      <w:r w:rsidRPr="00994BB3">
        <w:rPr>
          <w:lang w:val="es-ES"/>
        </w:rPr>
        <w:t>se presenta, a grandes rasgos, qué se entiende por cooperación internac</w:t>
      </w:r>
      <w:r w:rsidR="002F5401" w:rsidRPr="00994BB3">
        <w:rPr>
          <w:lang w:val="es-ES"/>
        </w:rPr>
        <w:t xml:space="preserve">ional </w:t>
      </w:r>
      <w:r w:rsidRPr="00994BB3">
        <w:rPr>
          <w:lang w:val="es-ES"/>
        </w:rPr>
        <w:t xml:space="preserve">y el porqué de su </w:t>
      </w:r>
      <w:r w:rsidR="002F5401" w:rsidRPr="00994BB3">
        <w:rPr>
          <w:lang w:val="es-ES"/>
        </w:rPr>
        <w:t>importan</w:t>
      </w:r>
      <w:r w:rsidRPr="00994BB3">
        <w:rPr>
          <w:lang w:val="es-ES"/>
        </w:rPr>
        <w:t>cia</w:t>
      </w:r>
      <w:r w:rsidR="002F5401" w:rsidRPr="00994BB3">
        <w:rPr>
          <w:lang w:val="es-ES"/>
        </w:rPr>
        <w:t>.</w:t>
      </w:r>
    </w:p>
    <w:p w:rsidR="00DA5FBB" w:rsidRPr="00994BB3" w:rsidRDefault="00B012D4" w:rsidP="004936EF">
      <w:pPr>
        <w:pStyle w:val="Soustitre"/>
        <w:rPr>
          <w:caps/>
          <w:lang w:val="es-ES"/>
        </w:rPr>
      </w:pPr>
      <w:bookmarkStart w:id="7" w:name="_Toc238982272"/>
      <w:r w:rsidRPr="00994BB3">
        <w:rPr>
          <w:lang w:val="es-ES"/>
        </w:rPr>
        <w:t xml:space="preserve">Nota sobre </w:t>
      </w:r>
      <w:r w:rsidR="00065C9D" w:rsidRPr="00994BB3">
        <w:rPr>
          <w:lang w:val="es-ES"/>
        </w:rPr>
        <w:t xml:space="preserve">cómo </w:t>
      </w:r>
      <w:r w:rsidRPr="00994BB3">
        <w:rPr>
          <w:lang w:val="es-ES"/>
        </w:rPr>
        <w:t>las</w:t>
      </w:r>
      <w:r w:rsidR="00DA5FBB" w:rsidRPr="00994BB3">
        <w:rPr>
          <w:lang w:val="es-ES"/>
        </w:rPr>
        <w:t xml:space="preserve"> </w:t>
      </w:r>
      <w:r w:rsidR="00695A16" w:rsidRPr="00994BB3">
        <w:rPr>
          <w:lang w:val="es-ES"/>
        </w:rPr>
        <w:t>Directrices Operativas</w:t>
      </w:r>
      <w:r w:rsidR="002162D4" w:rsidRPr="00994BB3">
        <w:rPr>
          <w:lang w:val="es-ES"/>
        </w:rPr>
        <w:t>(</w:t>
      </w:r>
      <w:r w:rsidR="00412973" w:rsidRPr="00994BB3">
        <w:rPr>
          <w:lang w:val="es-ES"/>
        </w:rPr>
        <w:t>DO</w:t>
      </w:r>
      <w:r w:rsidR="002162D4" w:rsidRPr="00994BB3">
        <w:rPr>
          <w:lang w:val="es-ES"/>
        </w:rPr>
        <w:t>)</w:t>
      </w:r>
      <w:r w:rsidR="00DA5FBB" w:rsidRPr="00994BB3">
        <w:rPr>
          <w:lang w:val="es-ES"/>
        </w:rPr>
        <w:t xml:space="preserve"> </w:t>
      </w:r>
      <w:r w:rsidRPr="00994BB3">
        <w:rPr>
          <w:lang w:val="es-ES"/>
        </w:rPr>
        <w:t xml:space="preserve">alientan la </w:t>
      </w:r>
      <w:r w:rsidR="00695A16" w:rsidRPr="00994BB3">
        <w:rPr>
          <w:lang w:val="es-ES"/>
        </w:rPr>
        <w:t>cooperación internacional</w:t>
      </w:r>
      <w:r w:rsidR="00DA5FBB" w:rsidRPr="00994BB3">
        <w:rPr>
          <w:lang w:val="es-ES"/>
        </w:rPr>
        <w:t xml:space="preserve"> </w:t>
      </w:r>
      <w:r w:rsidRPr="00994BB3">
        <w:rPr>
          <w:lang w:val="es-ES"/>
        </w:rPr>
        <w:t>para la salvaguardia del</w:t>
      </w:r>
      <w:r w:rsidR="00DA5FBB" w:rsidRPr="00994BB3">
        <w:rPr>
          <w:lang w:val="es-ES"/>
        </w:rPr>
        <w:t xml:space="preserve"> </w:t>
      </w:r>
      <w:r w:rsidR="00065C9D" w:rsidRPr="00994BB3">
        <w:rPr>
          <w:lang w:val="es-ES"/>
        </w:rPr>
        <w:t>PCI</w:t>
      </w:r>
      <w:r w:rsidR="006A2545" w:rsidRPr="00994BB3">
        <w:rPr>
          <w:lang w:val="es-ES"/>
        </w:rPr>
        <w:t xml:space="preserve"> </w:t>
      </w:r>
      <w:bookmarkEnd w:id="7"/>
    </w:p>
    <w:p w:rsidR="00DA5FBB" w:rsidRPr="00994BB3" w:rsidRDefault="001A7EED" w:rsidP="004936EF">
      <w:pPr>
        <w:pStyle w:val="Txtpucegras"/>
        <w:rPr>
          <w:lang w:val="es-ES"/>
        </w:rPr>
      </w:pPr>
      <w:r>
        <w:rPr>
          <w:lang w:val="es-ES"/>
        </w:rPr>
        <w:t>En la</w:t>
      </w:r>
      <w:r w:rsidR="00DE0CE5" w:rsidRPr="00994BB3">
        <w:rPr>
          <w:lang w:val="es-ES"/>
        </w:rPr>
        <w:t xml:space="preserve"> DO 15 </w:t>
      </w:r>
      <w:r>
        <w:rPr>
          <w:lang w:val="es-ES"/>
        </w:rPr>
        <w:t xml:space="preserve">se </w:t>
      </w:r>
      <w:r w:rsidR="00DE0CE5" w:rsidRPr="00994BB3">
        <w:rPr>
          <w:lang w:val="es-ES"/>
        </w:rPr>
        <w:t xml:space="preserve">alienta específicamente </w:t>
      </w:r>
      <w:r w:rsidR="00DE0CE5" w:rsidRPr="00994BB3">
        <w:rPr>
          <w:lang w:val="es-ES" w:eastAsia="es-ES"/>
        </w:rPr>
        <w:t>a que se presenten “los programas, proyectos y actividades de ámbito subregional o regional, así como los realizados conjuntamente por Estados Partes en zonas geográficamente discontinuas”</w:t>
      </w:r>
      <w:r>
        <w:rPr>
          <w:lang w:val="es-ES" w:eastAsia="es-ES"/>
        </w:rPr>
        <w:t>,</w:t>
      </w:r>
      <w:r w:rsidR="00DE0CE5" w:rsidRPr="00994BB3">
        <w:rPr>
          <w:lang w:val="es-ES" w:eastAsia="es-ES"/>
        </w:rPr>
        <w:t xml:space="preserve"> para su selección como mejores prácticas de salvaguardia. Los programas, proyectos o actividades que el Comité seleccione como mejores prácticas de salvaguardia deben, entre otras cosas, promover “la coordinación de los esfuerzos encaminados a salvaguardar el patrimonio cultural inmaterial en el ámbito regional, subregional y/o internacional”</w:t>
      </w:r>
      <w:r w:rsidR="00DE0CE5" w:rsidRPr="00994BB3">
        <w:rPr>
          <w:rFonts w:ascii="MyriadPro-Light" w:hAnsi="MyriadPro-Light" w:cs="MyriadPro-Light"/>
          <w:sz w:val="18"/>
          <w:szCs w:val="18"/>
          <w:lang w:val="es-ES" w:eastAsia="es-ES"/>
        </w:rPr>
        <w:t xml:space="preserve"> </w:t>
      </w:r>
      <w:r w:rsidR="00DE0CE5" w:rsidRPr="00994BB3">
        <w:rPr>
          <w:lang w:val="es-ES"/>
        </w:rPr>
        <w:t>(DO 7, P.2)</w:t>
      </w:r>
      <w:r w:rsidR="004B51E4" w:rsidRPr="00994BB3">
        <w:rPr>
          <w:lang w:val="es-ES"/>
        </w:rPr>
        <w:t>.</w:t>
      </w:r>
    </w:p>
    <w:p w:rsidR="004B51E4" w:rsidRPr="00994BB3" w:rsidRDefault="00065C9D" w:rsidP="004936EF">
      <w:pPr>
        <w:pStyle w:val="Txtpucegras"/>
        <w:rPr>
          <w:lang w:val="es-ES"/>
        </w:rPr>
      </w:pPr>
      <w:r w:rsidRPr="00994BB3">
        <w:rPr>
          <w:lang w:val="es-ES"/>
        </w:rPr>
        <w:t>Al evaluar las solicitudes de asistencia internacional que se financien con los rec</w:t>
      </w:r>
      <w:r w:rsidR="001A7EED">
        <w:rPr>
          <w:lang w:val="es-ES"/>
        </w:rPr>
        <w:t>ursos del Fondo del PCI, se da</w:t>
      </w:r>
      <w:r w:rsidRPr="00994BB3">
        <w:rPr>
          <w:lang w:val="es-ES"/>
        </w:rPr>
        <w:t xml:space="preserve"> prioridad, entre otras cosas, a las solicitudes rela</w:t>
      </w:r>
      <w:r w:rsidR="001A7EED">
        <w:rPr>
          <w:lang w:val="es-ES"/>
        </w:rPr>
        <w:t>cionadas con</w:t>
      </w:r>
      <w:r w:rsidRPr="00994BB3">
        <w:rPr>
          <w:lang w:val="es-ES" w:eastAsia="es-ES"/>
        </w:rPr>
        <w:t xml:space="preserve"> “programas, proyectos y actividades de ámbito nacional, subregional y regional” (DO 9.c). En la DO 4 se indica que “[en] cada reunión, el Comité podrá pedir expresamente que se presenten propuestas caracterizadas por la cooperación internacional”</w:t>
      </w:r>
      <w:r w:rsidR="004B51E4" w:rsidRPr="00994BB3">
        <w:rPr>
          <w:lang w:val="es-ES"/>
        </w:rPr>
        <w:t>.</w:t>
      </w:r>
    </w:p>
    <w:p w:rsidR="004B51E4" w:rsidRPr="00994BB3" w:rsidRDefault="00065C9D" w:rsidP="004936EF">
      <w:pPr>
        <w:pStyle w:val="Txtpucegras"/>
        <w:rPr>
          <w:lang w:val="es-ES"/>
        </w:rPr>
      </w:pPr>
      <w:r w:rsidRPr="00994BB3">
        <w:rPr>
          <w:lang w:val="es-ES"/>
        </w:rPr>
        <w:t xml:space="preserve">En la DO 88 “[se] </w:t>
      </w:r>
      <w:r w:rsidRPr="00994BB3">
        <w:rPr>
          <w:lang w:val="es-ES" w:eastAsia="es-ES"/>
        </w:rPr>
        <w:t xml:space="preserve">alienta a los Estados Partes a participar en actividades relacionadas con la cooperación regional, comprendidas las de los centros de </w:t>
      </w:r>
      <w:r w:rsidR="001A7EED">
        <w:rPr>
          <w:lang w:val="es-ES" w:eastAsia="es-ES"/>
        </w:rPr>
        <w:t>c</w:t>
      </w:r>
      <w:r w:rsidRPr="00994BB3">
        <w:rPr>
          <w:lang w:val="es-ES" w:eastAsia="es-ES"/>
        </w:rPr>
        <w:t>ategoría 2 para el patrimonio cultural inmaterial”. En la DO 86 también “[se] alienta</w:t>
      </w:r>
      <w:r w:rsidR="006A2545" w:rsidRPr="00994BB3">
        <w:rPr>
          <w:lang w:val="es-ES" w:eastAsia="es-ES"/>
        </w:rPr>
        <w:t xml:space="preserve"> </w:t>
      </w:r>
      <w:r w:rsidRPr="00994BB3">
        <w:rPr>
          <w:lang w:val="es-ES" w:eastAsia="es-ES"/>
        </w:rPr>
        <w:t>a los Estados Partes a crear conjuntamente en el plano subregional y regional, redes de comunidades, expertos, centros de competencias e institutos de investigación para formular planteamientos compartidos, especialmente en relación con los elementos del patrimonio cultural inmaterial que tienen en común”</w:t>
      </w:r>
      <w:r w:rsidR="004B51E4" w:rsidRPr="00994BB3">
        <w:rPr>
          <w:lang w:val="es-ES"/>
        </w:rPr>
        <w:t>.</w:t>
      </w:r>
    </w:p>
    <w:p w:rsidR="00DA5FBB" w:rsidRPr="00994BB3" w:rsidRDefault="003540F5" w:rsidP="004936EF">
      <w:pPr>
        <w:pStyle w:val="Txtpucegras"/>
        <w:rPr>
          <w:szCs w:val="20"/>
          <w:lang w:val="es-ES"/>
        </w:rPr>
      </w:pPr>
      <w:r w:rsidRPr="00994BB3">
        <w:rPr>
          <w:iCs/>
          <w:lang w:val="es-ES"/>
        </w:rPr>
        <w:t xml:space="preserve">En la DO 87 se </w:t>
      </w:r>
      <w:r w:rsidRPr="00994BB3">
        <w:rPr>
          <w:lang w:val="es-ES" w:eastAsia="es-ES"/>
        </w:rPr>
        <w:t>alienta a los Estados Partes que posean documentación relativa a un elemento del patrimonio cultural inmaterial presente en el territorio de otro Estado Parte a que la transmitan a dicho Estado, que pondrá la información</w:t>
      </w:r>
      <w:r w:rsidR="001A7EED">
        <w:rPr>
          <w:lang w:val="es-ES" w:eastAsia="es-ES"/>
        </w:rPr>
        <w:t xml:space="preserve"> así obtenida</w:t>
      </w:r>
      <w:r w:rsidRPr="00994BB3">
        <w:rPr>
          <w:lang w:val="es-ES" w:eastAsia="es-ES"/>
        </w:rPr>
        <w:t xml:space="preserve"> a disposición de las comunidades interesadas</w:t>
      </w:r>
      <w:r w:rsidR="001A7EED">
        <w:rPr>
          <w:lang w:val="es-ES" w:eastAsia="es-ES"/>
        </w:rPr>
        <w:t xml:space="preserve"> y</w:t>
      </w:r>
      <w:r w:rsidRPr="00994BB3">
        <w:rPr>
          <w:lang w:val="es-ES" w:eastAsia="es-ES"/>
        </w:rPr>
        <w:t xml:space="preserve"> de los expertos e instituciones pertinentes</w:t>
      </w:r>
      <w:r w:rsidR="00DA5FBB" w:rsidRPr="00994BB3">
        <w:rPr>
          <w:szCs w:val="20"/>
          <w:lang w:val="es-ES"/>
        </w:rPr>
        <w:t xml:space="preserve">. </w:t>
      </w:r>
    </w:p>
    <w:p w:rsidR="004B51E4" w:rsidRPr="00994BB3" w:rsidRDefault="003540F5" w:rsidP="004936EF">
      <w:pPr>
        <w:pStyle w:val="Txtpucegras"/>
        <w:rPr>
          <w:lang w:val="es-ES"/>
        </w:rPr>
      </w:pPr>
      <w:r w:rsidRPr="00994BB3">
        <w:rPr>
          <w:iCs/>
          <w:lang w:val="es-ES"/>
        </w:rPr>
        <w:t>Se pide a los Estados Partes que en sus informes sexenales al Comité sobre el estado de salvaguardia del PCI presente en sus territorios informen “</w:t>
      </w:r>
      <w:r w:rsidRPr="00994BB3">
        <w:rPr>
          <w:lang w:val="es-ES" w:eastAsia="es-ES"/>
        </w:rPr>
        <w:t>acerca de las medidas que haya[n] adoptado en el plano bilateral, subregional, regional e internacional para aplicar la Convención” (DO 156)</w:t>
      </w:r>
      <w:r w:rsidR="004B51E4" w:rsidRPr="00994BB3">
        <w:rPr>
          <w:lang w:val="es-ES"/>
        </w:rPr>
        <w:t>.</w:t>
      </w:r>
      <w:r w:rsidR="00E56778" w:rsidRPr="00994BB3">
        <w:rPr>
          <w:rStyle w:val="FootnoteReference"/>
          <w:lang w:val="es-ES"/>
        </w:rPr>
        <w:footnoteReference w:id="2"/>
      </w:r>
    </w:p>
    <w:p w:rsidR="00896772" w:rsidRPr="00994BB3" w:rsidRDefault="00CD0851" w:rsidP="004936EF">
      <w:pPr>
        <w:pStyle w:val="Heading6"/>
        <w:rPr>
          <w:lang w:val="es-ES"/>
        </w:rPr>
      </w:pPr>
      <w:r w:rsidRPr="00994BB3">
        <w:rPr>
          <w:lang w:val="es-ES"/>
        </w:rPr>
        <w:t>DIAPOSITIVA</w:t>
      </w:r>
      <w:r w:rsidR="007C2925" w:rsidRPr="00994BB3">
        <w:rPr>
          <w:lang w:val="es-ES"/>
        </w:rPr>
        <w:t xml:space="preserve"> </w:t>
      </w:r>
      <w:r w:rsidR="00BB45B7" w:rsidRPr="00994BB3">
        <w:rPr>
          <w:lang w:val="es-ES"/>
        </w:rPr>
        <w:t>4</w:t>
      </w:r>
      <w:r w:rsidR="00896772" w:rsidRPr="00994BB3">
        <w:rPr>
          <w:lang w:val="es-ES"/>
        </w:rPr>
        <w:t>.</w:t>
      </w:r>
    </w:p>
    <w:p w:rsidR="001F1A8C" w:rsidRPr="00994BB3" w:rsidRDefault="006F0D4E" w:rsidP="004936EF">
      <w:pPr>
        <w:pStyle w:val="diapo2"/>
        <w:rPr>
          <w:lang w:val="es-ES"/>
        </w:rPr>
      </w:pPr>
      <w:r w:rsidRPr="00994BB3">
        <w:rPr>
          <w:bCs/>
          <w:lang w:val="es-ES"/>
        </w:rPr>
        <w:t>Actividades multinacionales relacionadas con el patrimonio compartido</w:t>
      </w:r>
    </w:p>
    <w:p w:rsidR="00CF7984" w:rsidRPr="00994BB3" w:rsidRDefault="00BA4F48" w:rsidP="009909DD">
      <w:pPr>
        <w:pStyle w:val="Texte1"/>
        <w:rPr>
          <w:lang w:val="es-ES"/>
        </w:rPr>
      </w:pPr>
      <w:r w:rsidRPr="00994BB3">
        <w:rPr>
          <w:lang w:val="es-ES"/>
        </w:rPr>
        <w:t xml:space="preserve">En la Sección 2 del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AC5B27" w:rsidRPr="00994BB3">
        <w:rPr>
          <w:lang w:val="es-ES"/>
        </w:rPr>
        <w:t>Unidad</w:t>
      </w:r>
      <w:r w:rsidR="00447773" w:rsidRPr="00994BB3">
        <w:rPr>
          <w:lang w:val="es-ES"/>
        </w:rPr>
        <w:t xml:space="preserve"> 12</w:t>
      </w:r>
      <w:r w:rsidR="002F5401" w:rsidRPr="00994BB3">
        <w:rPr>
          <w:lang w:val="es-ES"/>
        </w:rPr>
        <w:t xml:space="preserve"> </w:t>
      </w:r>
      <w:r w:rsidR="003540F5" w:rsidRPr="00994BB3">
        <w:rPr>
          <w:lang w:val="es-ES"/>
        </w:rPr>
        <w:t>se examina qué se entiende por patrimonio compartido y por qué la Convención alienta la cooperación internacional para salvaguardarlo</w:t>
      </w:r>
      <w:r w:rsidR="002F5401" w:rsidRPr="00994BB3">
        <w:rPr>
          <w:lang w:val="es-ES"/>
        </w:rPr>
        <w:t>.</w:t>
      </w:r>
    </w:p>
    <w:p w:rsidR="00363B6A" w:rsidRPr="00994BB3" w:rsidRDefault="00BA4F48" w:rsidP="009909DD">
      <w:pPr>
        <w:pStyle w:val="Texte1"/>
        <w:rPr>
          <w:lang w:val="es-ES"/>
        </w:rPr>
      </w:pPr>
      <w:r w:rsidRPr="00994BB3">
        <w:rPr>
          <w:lang w:val="es-ES"/>
        </w:rPr>
        <w:t xml:space="preserve">En la Sección 3 del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AC5B27" w:rsidRPr="00994BB3">
        <w:rPr>
          <w:lang w:val="es-ES"/>
        </w:rPr>
        <w:t>Unidad</w:t>
      </w:r>
      <w:r w:rsidR="00447773" w:rsidRPr="00994BB3">
        <w:rPr>
          <w:lang w:val="es-ES"/>
        </w:rPr>
        <w:t xml:space="preserve"> 12</w:t>
      </w:r>
      <w:r w:rsidRPr="00994BB3">
        <w:rPr>
          <w:lang w:val="es-ES"/>
        </w:rPr>
        <w:t xml:space="preserve"> </w:t>
      </w:r>
      <w:r w:rsidR="006A4AB7" w:rsidRPr="00994BB3">
        <w:rPr>
          <w:lang w:val="es-ES"/>
        </w:rPr>
        <w:t>se explica cómo y por qué son objeto de una consideración especial, en el marco de la Convención, las candidaturas multinacionales para la inscripción de elementos del PCI en las Listas de ésta</w:t>
      </w:r>
      <w:r w:rsidR="002F5401" w:rsidRPr="00994BB3">
        <w:rPr>
          <w:lang w:val="es-ES"/>
        </w:rPr>
        <w:t>.</w:t>
      </w:r>
    </w:p>
    <w:p w:rsidR="002F5401" w:rsidRPr="00994BB3" w:rsidRDefault="002F5401" w:rsidP="004936EF">
      <w:pPr>
        <w:pStyle w:val="Soustitre"/>
        <w:rPr>
          <w:caps/>
          <w:lang w:val="es-ES"/>
        </w:rPr>
      </w:pPr>
      <w:bookmarkStart w:id="8" w:name="_Toc238982273"/>
      <w:r w:rsidRPr="00994BB3">
        <w:rPr>
          <w:lang w:val="es-ES"/>
        </w:rPr>
        <w:t>Not</w:t>
      </w:r>
      <w:r w:rsidR="00176E90" w:rsidRPr="00994BB3">
        <w:rPr>
          <w:lang w:val="es-ES"/>
        </w:rPr>
        <w:t xml:space="preserve">a sobre las diferentes formas en que el PCI </w:t>
      </w:r>
      <w:r w:rsidR="002815F8" w:rsidRPr="00994BB3">
        <w:rPr>
          <w:lang w:val="es-ES"/>
        </w:rPr>
        <w:t>puede llegar a convertirse en patrimonio cultural compartido</w:t>
      </w:r>
      <w:bookmarkEnd w:id="8"/>
      <w:r w:rsidR="006A4AB7" w:rsidRPr="00994BB3">
        <w:rPr>
          <w:lang w:val="es-ES"/>
        </w:rPr>
        <w:t xml:space="preserve"> más allá de las fronteras</w:t>
      </w:r>
    </w:p>
    <w:p w:rsidR="007C1C4D" w:rsidRPr="00994BB3" w:rsidRDefault="00A27B89" w:rsidP="004936EF">
      <w:pPr>
        <w:pStyle w:val="Txtpucegras"/>
        <w:rPr>
          <w:lang w:val="es-ES"/>
        </w:rPr>
      </w:pPr>
      <w:r w:rsidRPr="00994BB3">
        <w:rPr>
          <w:lang w:val="es-ES"/>
        </w:rPr>
        <w:t xml:space="preserve">Es muy frecuente que </w:t>
      </w:r>
      <w:r w:rsidR="002815F8" w:rsidRPr="00994BB3">
        <w:rPr>
          <w:lang w:val="es-ES"/>
        </w:rPr>
        <w:t xml:space="preserve">las fronteras estatales </w:t>
      </w:r>
      <w:r w:rsidRPr="00994BB3">
        <w:rPr>
          <w:lang w:val="es-ES"/>
        </w:rPr>
        <w:t>dividan</w:t>
      </w:r>
      <w:r w:rsidR="002815F8" w:rsidRPr="00994BB3">
        <w:rPr>
          <w:lang w:val="es-ES"/>
        </w:rPr>
        <w:t xml:space="preserve"> a </w:t>
      </w:r>
      <w:r w:rsidR="006A4AB7" w:rsidRPr="00994BB3">
        <w:rPr>
          <w:lang w:val="es-ES"/>
        </w:rPr>
        <w:t>los grupos y</w:t>
      </w:r>
      <w:r w:rsidR="002815F8" w:rsidRPr="00994BB3">
        <w:rPr>
          <w:lang w:val="es-ES"/>
        </w:rPr>
        <w:t xml:space="preserve"> comunidades</w:t>
      </w:r>
      <w:r w:rsidR="007C1C4D" w:rsidRPr="00994BB3">
        <w:rPr>
          <w:lang w:val="es-ES"/>
        </w:rPr>
        <w:t>.</w:t>
      </w:r>
      <w:r w:rsidR="00DD6DB5" w:rsidRPr="00994BB3">
        <w:rPr>
          <w:lang w:val="es-ES"/>
        </w:rPr>
        <w:t xml:space="preserve"> </w:t>
      </w:r>
    </w:p>
    <w:p w:rsidR="00896772" w:rsidRPr="00994BB3" w:rsidRDefault="00AA3844" w:rsidP="009909DD">
      <w:pPr>
        <w:pStyle w:val="Texte1"/>
        <w:rPr>
          <w:lang w:val="es-ES"/>
        </w:rPr>
      </w:pPr>
      <w:r w:rsidRPr="00994BB3">
        <w:rPr>
          <w:lang w:val="es-ES"/>
        </w:rPr>
        <w:t xml:space="preserve">Los mongoles, por ejemplo, </w:t>
      </w:r>
      <w:r w:rsidRPr="00994BB3">
        <w:rPr>
          <w:szCs w:val="22"/>
          <w:lang w:val="es-ES"/>
        </w:rPr>
        <w:t>viven a ambos lados de la frontera que separa a Mongolia de China</w:t>
      </w:r>
      <w:r w:rsidRPr="00994BB3">
        <w:rPr>
          <w:lang w:val="es-ES"/>
        </w:rPr>
        <w:t xml:space="preserve"> y sus cantos largos tradicionales (“</w:t>
      </w:r>
      <w:proofErr w:type="spellStart"/>
      <w:r w:rsidR="00896772" w:rsidRPr="00994BB3">
        <w:rPr>
          <w:lang w:val="es-ES"/>
        </w:rPr>
        <w:t>Urtiin</w:t>
      </w:r>
      <w:proofErr w:type="spellEnd"/>
      <w:r w:rsidR="00896772" w:rsidRPr="00994BB3">
        <w:rPr>
          <w:lang w:val="es-ES"/>
        </w:rPr>
        <w:t xml:space="preserve"> </w:t>
      </w:r>
      <w:proofErr w:type="spellStart"/>
      <w:r w:rsidR="00994BB3" w:rsidRPr="00994BB3">
        <w:rPr>
          <w:lang w:val="es-ES"/>
        </w:rPr>
        <w:t>d</w:t>
      </w:r>
      <w:r w:rsidR="00896772" w:rsidRPr="00994BB3">
        <w:rPr>
          <w:lang w:val="es-ES"/>
        </w:rPr>
        <w:t>uu</w:t>
      </w:r>
      <w:proofErr w:type="spellEnd"/>
      <w:r w:rsidRPr="00994BB3">
        <w:rPr>
          <w:lang w:val="es-ES"/>
        </w:rPr>
        <w:t>”)</w:t>
      </w:r>
      <w:r w:rsidR="00896772" w:rsidRPr="00994BB3">
        <w:rPr>
          <w:lang w:val="es-ES"/>
        </w:rPr>
        <w:t xml:space="preserve"> </w:t>
      </w:r>
      <w:r w:rsidRPr="00994BB3">
        <w:rPr>
          <w:lang w:val="es-ES"/>
        </w:rPr>
        <w:t>se interpretan en los territorios de</w:t>
      </w:r>
      <w:r w:rsidR="006A2545" w:rsidRPr="00994BB3">
        <w:rPr>
          <w:lang w:val="es-ES"/>
        </w:rPr>
        <w:t xml:space="preserve"> </w:t>
      </w:r>
      <w:r w:rsidRPr="00994BB3">
        <w:rPr>
          <w:lang w:val="es-ES"/>
        </w:rPr>
        <w:t>esos dos países</w:t>
      </w:r>
      <w:r w:rsidR="00A27B89" w:rsidRPr="00994BB3">
        <w:rPr>
          <w:lang w:val="es-ES"/>
        </w:rPr>
        <w:t xml:space="preserve">. Este elemento del PCI se inscribió en la LR el año </w:t>
      </w:r>
      <w:r w:rsidR="00896772" w:rsidRPr="00994BB3">
        <w:rPr>
          <w:lang w:val="es-ES"/>
        </w:rPr>
        <w:t xml:space="preserve">2008. </w:t>
      </w:r>
      <w:r w:rsidR="00AF5E7E" w:rsidRPr="00994BB3">
        <w:rPr>
          <w:lang w:val="es-ES"/>
        </w:rPr>
        <w:t>Asimismo, el relato épico tradicional de los kirguises denominado Manas se representa en zonas colindantes del Kirguistán y de China. Este elemento</w:t>
      </w:r>
      <w:r w:rsidR="004A3E15" w:rsidRPr="00994BB3">
        <w:rPr>
          <w:lang w:val="es-ES"/>
        </w:rPr>
        <w:t xml:space="preserve"> del PCI </w:t>
      </w:r>
      <w:r w:rsidR="00AF5E7E" w:rsidRPr="00994BB3">
        <w:rPr>
          <w:lang w:val="es-ES"/>
        </w:rPr>
        <w:t xml:space="preserve">se ha inscrito dos veces en la LR: </w:t>
      </w:r>
      <w:r w:rsidR="009048A3" w:rsidRPr="00994BB3">
        <w:rPr>
          <w:lang w:val="es-ES"/>
        </w:rPr>
        <w:t>en 2008</w:t>
      </w:r>
      <w:r w:rsidR="009048A3">
        <w:rPr>
          <w:lang w:val="es-ES"/>
        </w:rPr>
        <w:t xml:space="preserve"> </w:t>
      </w:r>
      <w:r w:rsidR="004A3E15" w:rsidRPr="00994BB3">
        <w:rPr>
          <w:lang w:val="es-ES"/>
        </w:rPr>
        <w:t xml:space="preserve">por </w:t>
      </w:r>
      <w:r w:rsidR="009048A3">
        <w:rPr>
          <w:lang w:val="es-ES"/>
        </w:rPr>
        <w:t xml:space="preserve">iniciativa del </w:t>
      </w:r>
      <w:r w:rsidR="004A3E15" w:rsidRPr="00994BB3">
        <w:rPr>
          <w:lang w:val="es-ES"/>
        </w:rPr>
        <w:t xml:space="preserve">Kirguistán, en calidad de antigua </w:t>
      </w:r>
      <w:r w:rsidR="00AF5E7E" w:rsidRPr="00994BB3">
        <w:rPr>
          <w:lang w:val="es-ES"/>
        </w:rPr>
        <w:t>“Obra Maestra del Patrimonio Oral e Inmaterial</w:t>
      </w:r>
      <w:r w:rsidR="004A3E15" w:rsidRPr="00994BB3">
        <w:rPr>
          <w:lang w:val="es-ES"/>
        </w:rPr>
        <w:t xml:space="preserve">”; y </w:t>
      </w:r>
      <w:r w:rsidR="009048A3" w:rsidRPr="00994BB3">
        <w:rPr>
          <w:lang w:val="es-ES"/>
        </w:rPr>
        <w:t>en 2009</w:t>
      </w:r>
      <w:r w:rsidR="004A3E15" w:rsidRPr="00994BB3">
        <w:rPr>
          <w:lang w:val="es-ES"/>
        </w:rPr>
        <w:t xml:space="preserve"> por </w:t>
      </w:r>
      <w:r w:rsidR="009048A3">
        <w:rPr>
          <w:lang w:val="es-ES"/>
        </w:rPr>
        <w:t xml:space="preserve">iniciativa de </w:t>
      </w:r>
      <w:r w:rsidR="004A3E15" w:rsidRPr="00994BB3">
        <w:rPr>
          <w:lang w:val="es-ES"/>
        </w:rPr>
        <w:t>China</w:t>
      </w:r>
      <w:r w:rsidR="00896772" w:rsidRPr="00994BB3">
        <w:rPr>
          <w:lang w:val="es-ES"/>
        </w:rPr>
        <w:t>.</w:t>
      </w:r>
      <w:r w:rsidR="00896772" w:rsidRPr="00994BB3">
        <w:rPr>
          <w:szCs w:val="22"/>
          <w:lang w:val="es-ES"/>
        </w:rPr>
        <w:t xml:space="preserve"> </w:t>
      </w:r>
    </w:p>
    <w:p w:rsidR="007C1C4D" w:rsidRPr="00994BB3" w:rsidRDefault="006A4AB7" w:rsidP="004936EF">
      <w:pPr>
        <w:pStyle w:val="Txtpucegras"/>
        <w:rPr>
          <w:lang w:val="es-ES"/>
        </w:rPr>
      </w:pPr>
      <w:r w:rsidRPr="00994BB3">
        <w:rPr>
          <w:lang w:val="es-ES"/>
        </w:rPr>
        <w:t>El PCI compartido tiene a menudo su origen en las migraciones</w:t>
      </w:r>
      <w:r w:rsidR="007C1C4D" w:rsidRPr="00994BB3">
        <w:rPr>
          <w:lang w:val="es-ES"/>
        </w:rPr>
        <w:t>.</w:t>
      </w:r>
    </w:p>
    <w:p w:rsidR="00896772" w:rsidRPr="00994BB3" w:rsidRDefault="006A4AB7" w:rsidP="009909DD">
      <w:pPr>
        <w:pStyle w:val="Texte1"/>
        <w:rPr>
          <w:lang w:val="es-ES"/>
        </w:rPr>
      </w:pPr>
      <w:r w:rsidRPr="00994BB3">
        <w:rPr>
          <w:lang w:val="es-ES"/>
        </w:rPr>
        <w:t xml:space="preserve">Hay miles de </w:t>
      </w:r>
      <w:r w:rsidR="00543593" w:rsidRPr="00994BB3">
        <w:rPr>
          <w:lang w:val="es-ES"/>
        </w:rPr>
        <w:t>casos que ilustran esto</w:t>
      </w:r>
      <w:r w:rsidR="00896772" w:rsidRPr="00994BB3">
        <w:rPr>
          <w:strike/>
          <w:lang w:val="es-ES"/>
        </w:rPr>
        <w:t>.</w:t>
      </w:r>
      <w:r w:rsidR="00896772" w:rsidRPr="00994BB3">
        <w:rPr>
          <w:lang w:val="es-ES"/>
        </w:rPr>
        <w:t xml:space="preserve"> </w:t>
      </w:r>
      <w:r w:rsidR="00543593" w:rsidRPr="00994BB3">
        <w:rPr>
          <w:lang w:val="es-ES"/>
        </w:rPr>
        <w:t>Por ejemplo, m</w:t>
      </w:r>
      <w:r w:rsidRPr="00994BB3">
        <w:rPr>
          <w:lang w:val="es-ES"/>
        </w:rPr>
        <w:t>uchos de</w:t>
      </w:r>
      <w:r w:rsidR="00543593" w:rsidRPr="00994BB3">
        <w:rPr>
          <w:lang w:val="es-ES"/>
        </w:rPr>
        <w:t xml:space="preserve"> </w:t>
      </w:r>
      <w:r w:rsidRPr="00994BB3">
        <w:rPr>
          <w:lang w:val="es-ES"/>
        </w:rPr>
        <w:t xml:space="preserve">los kurdos que viven en </w:t>
      </w:r>
      <w:r w:rsidR="006C2CE6" w:rsidRPr="00994BB3">
        <w:rPr>
          <w:lang w:val="es-ES"/>
        </w:rPr>
        <w:t xml:space="preserve">los Países Bajos celebran el </w:t>
      </w:r>
      <w:proofErr w:type="spellStart"/>
      <w:r w:rsidR="00896772" w:rsidRPr="00994BB3">
        <w:rPr>
          <w:lang w:val="es-ES"/>
        </w:rPr>
        <w:t>Novruz</w:t>
      </w:r>
      <w:proofErr w:type="spellEnd"/>
      <w:r w:rsidR="00896772" w:rsidRPr="00994BB3">
        <w:rPr>
          <w:lang w:val="es-ES"/>
        </w:rPr>
        <w:t xml:space="preserve">, </w:t>
      </w:r>
      <w:r w:rsidR="006C2CE6" w:rsidRPr="00994BB3">
        <w:rPr>
          <w:lang w:val="es-ES"/>
        </w:rPr>
        <w:t>esto es, la fiesta tradicional del Año Nuevo de numerosos pueblos asentados entre Turquía y la India. Esta festividad se inscribió en 2010 en la LR a petición de</w:t>
      </w:r>
      <w:r w:rsidR="006A2545" w:rsidRPr="00994BB3">
        <w:rPr>
          <w:lang w:val="es-ES"/>
        </w:rPr>
        <w:t xml:space="preserve"> </w:t>
      </w:r>
      <w:r w:rsidR="006C2CE6" w:rsidRPr="00994BB3">
        <w:rPr>
          <w:lang w:val="es-ES"/>
        </w:rPr>
        <w:t xml:space="preserve">Azerbaiyán, la India, la República Islámica </w:t>
      </w:r>
      <w:proofErr w:type="spellStart"/>
      <w:r w:rsidR="006C2CE6" w:rsidRPr="00994BB3">
        <w:rPr>
          <w:lang w:val="es-ES"/>
        </w:rPr>
        <w:t>del</w:t>
      </w:r>
      <w:proofErr w:type="spellEnd"/>
      <w:r w:rsidR="006C2CE6" w:rsidRPr="00994BB3">
        <w:rPr>
          <w:lang w:val="es-ES"/>
        </w:rPr>
        <w:t xml:space="preserve"> Irán, Kirguistán, Pakistán, Turquía y Uzbekistán</w:t>
      </w:r>
      <w:r w:rsidR="00896772" w:rsidRPr="00994BB3">
        <w:rPr>
          <w:lang w:val="es-ES"/>
        </w:rPr>
        <w:t xml:space="preserve">. </w:t>
      </w:r>
      <w:r w:rsidR="006C2CE6" w:rsidRPr="00994BB3">
        <w:rPr>
          <w:lang w:val="es-ES"/>
        </w:rPr>
        <w:t xml:space="preserve">Muchas poblaciones de los Estados Isleños del Pacífico han emigrado a Nueva Zelandia, </w:t>
      </w:r>
      <w:r w:rsidR="006C2CE6" w:rsidRPr="00994BB3">
        <w:rPr>
          <w:szCs w:val="22"/>
          <w:lang w:val="es-ES"/>
        </w:rPr>
        <w:t xml:space="preserve">donde siguen practicando activamente los elementos de su PCI. Otro tanto ocurre </w:t>
      </w:r>
      <w:r w:rsidR="006C2CE6" w:rsidRPr="00994BB3">
        <w:rPr>
          <w:lang w:val="es-ES"/>
        </w:rPr>
        <w:t>con las comunidades</w:t>
      </w:r>
      <w:r w:rsidR="00896772" w:rsidRPr="00994BB3">
        <w:rPr>
          <w:lang w:val="es-ES"/>
        </w:rPr>
        <w:t xml:space="preserve"> </w:t>
      </w:r>
      <w:r w:rsidR="00034A8F" w:rsidRPr="00994BB3">
        <w:rPr>
          <w:lang w:val="es-ES"/>
        </w:rPr>
        <w:t>sij</w:t>
      </w:r>
      <w:r w:rsidR="00896772" w:rsidRPr="00994BB3">
        <w:rPr>
          <w:lang w:val="es-ES"/>
        </w:rPr>
        <w:t xml:space="preserve"> </w:t>
      </w:r>
      <w:r w:rsidR="00034A8F" w:rsidRPr="00994BB3">
        <w:rPr>
          <w:lang w:val="es-ES"/>
        </w:rPr>
        <w:t>establecidas en Canadá, Estado</w:t>
      </w:r>
      <w:r w:rsidR="009048A3">
        <w:rPr>
          <w:lang w:val="es-ES"/>
        </w:rPr>
        <w:t>s</w:t>
      </w:r>
      <w:r w:rsidR="00034A8F" w:rsidRPr="00994BB3">
        <w:rPr>
          <w:lang w:val="es-ES"/>
        </w:rPr>
        <w:t xml:space="preserve"> Unidos, Malasia, el Re</w:t>
      </w:r>
      <w:r w:rsidR="009048A3">
        <w:rPr>
          <w:lang w:val="es-ES"/>
        </w:rPr>
        <w:t>i</w:t>
      </w:r>
      <w:r w:rsidR="00034A8F" w:rsidRPr="00994BB3">
        <w:rPr>
          <w:lang w:val="es-ES"/>
        </w:rPr>
        <w:t>no Unido y otros países</w:t>
      </w:r>
      <w:r w:rsidR="00896772" w:rsidRPr="00994BB3">
        <w:rPr>
          <w:lang w:val="es-ES"/>
        </w:rPr>
        <w:t xml:space="preserve">. </w:t>
      </w:r>
      <w:r w:rsidR="00034A8F" w:rsidRPr="00994BB3">
        <w:rPr>
          <w:lang w:val="es-ES"/>
        </w:rPr>
        <w:t>En Nueva</w:t>
      </w:r>
      <w:r w:rsidR="006A2545" w:rsidRPr="00994BB3">
        <w:rPr>
          <w:lang w:val="es-ES"/>
        </w:rPr>
        <w:t xml:space="preserve"> </w:t>
      </w:r>
      <w:r w:rsidR="00034A8F" w:rsidRPr="00994BB3">
        <w:rPr>
          <w:lang w:val="es-ES"/>
        </w:rPr>
        <w:t>York, los emigrantes chinos organizan representaciones de ópera de Pekín</w:t>
      </w:r>
      <w:r w:rsidR="00896772" w:rsidRPr="00994BB3">
        <w:rPr>
          <w:lang w:val="es-ES"/>
        </w:rPr>
        <w:t>.</w:t>
      </w:r>
    </w:p>
    <w:p w:rsidR="007C1C4D" w:rsidRPr="00994BB3" w:rsidRDefault="00543593" w:rsidP="004936EF">
      <w:pPr>
        <w:pStyle w:val="Txtpucegras"/>
        <w:rPr>
          <w:lang w:val="es-ES"/>
        </w:rPr>
      </w:pPr>
      <w:r w:rsidRPr="00994BB3">
        <w:rPr>
          <w:lang w:val="es-ES"/>
        </w:rPr>
        <w:t xml:space="preserve">El PCI de los grupos nómadas suele manifestarse en diferentes Estados, e incluso </w:t>
      </w:r>
      <w:r w:rsidR="009048A3">
        <w:rPr>
          <w:lang w:val="es-ES"/>
        </w:rPr>
        <w:t xml:space="preserve">la celebración de </w:t>
      </w:r>
      <w:r w:rsidRPr="00994BB3">
        <w:rPr>
          <w:lang w:val="es-ES"/>
        </w:rPr>
        <w:t>algunos ritu</w:t>
      </w:r>
      <w:r w:rsidR="009048A3">
        <w:rPr>
          <w:lang w:val="es-ES"/>
        </w:rPr>
        <w:t>ales puede</w:t>
      </w:r>
      <w:r w:rsidRPr="00994BB3">
        <w:rPr>
          <w:lang w:val="es-ES"/>
        </w:rPr>
        <w:t xml:space="preserve"> comenzar en un Estado y proseguir en otro</w:t>
      </w:r>
      <w:r w:rsidR="00AE690D" w:rsidRPr="00994BB3">
        <w:rPr>
          <w:lang w:val="es-ES"/>
        </w:rPr>
        <w:t>.</w:t>
      </w:r>
      <w:r w:rsidR="007C1C4D" w:rsidRPr="00994BB3">
        <w:rPr>
          <w:lang w:val="es-ES"/>
        </w:rPr>
        <w:t xml:space="preserve"> </w:t>
      </w:r>
      <w:r w:rsidR="006C2CE6" w:rsidRPr="00994BB3">
        <w:rPr>
          <w:lang w:val="es-ES"/>
        </w:rPr>
        <w:t>Los itinerarios de algunas peregrinaciones también traspasan las fronteras estatales</w:t>
      </w:r>
      <w:r w:rsidR="007C1C4D" w:rsidRPr="00994BB3">
        <w:rPr>
          <w:lang w:val="es-ES"/>
        </w:rPr>
        <w:t>.</w:t>
      </w:r>
    </w:p>
    <w:p w:rsidR="00896772" w:rsidRPr="00994BB3" w:rsidRDefault="00034A8F" w:rsidP="009909DD">
      <w:pPr>
        <w:pStyle w:val="Texte1"/>
        <w:rPr>
          <w:lang w:val="es-ES"/>
        </w:rPr>
      </w:pPr>
      <w:r w:rsidRPr="00994BB3">
        <w:rPr>
          <w:lang w:val="es-ES"/>
        </w:rPr>
        <w:t>En el mundo hay unos 40 millones de personas que practican el nomadismo</w:t>
      </w:r>
      <w:r w:rsidR="00896772" w:rsidRPr="00994BB3">
        <w:rPr>
          <w:lang w:val="es-ES"/>
        </w:rPr>
        <w:t xml:space="preserve">. </w:t>
      </w:r>
      <w:r w:rsidRPr="00994BB3">
        <w:rPr>
          <w:lang w:val="es-ES"/>
        </w:rPr>
        <w:t>Algunas poblaciones nómadas sólo se desplazan dentro de las fronteras de un mismo Estado, pero son</w:t>
      </w:r>
      <w:r w:rsidR="00CE25CD" w:rsidRPr="00994BB3">
        <w:rPr>
          <w:lang w:val="es-ES"/>
        </w:rPr>
        <w:t xml:space="preserve"> numerosos los grupos que cruzan las fronteras. Así ocurre, por ejemplo, con los t</w:t>
      </w:r>
      <w:r w:rsidR="00896772" w:rsidRPr="00994BB3">
        <w:rPr>
          <w:lang w:val="es-ES"/>
        </w:rPr>
        <w:t xml:space="preserve">uareg </w:t>
      </w:r>
      <w:r w:rsidR="00CE25CD" w:rsidRPr="00994BB3">
        <w:rPr>
          <w:lang w:val="es-ES"/>
        </w:rPr>
        <w:t>que viajan por Argelia, Burkina Faso, Libia, Malí y Níger</w:t>
      </w:r>
      <w:r w:rsidR="00896772" w:rsidRPr="00994BB3">
        <w:rPr>
          <w:lang w:val="es-ES"/>
        </w:rPr>
        <w:t>.</w:t>
      </w:r>
      <w:r w:rsidR="00896772" w:rsidRPr="00994BB3">
        <w:rPr>
          <w:szCs w:val="22"/>
          <w:lang w:val="es-ES"/>
        </w:rPr>
        <w:t xml:space="preserve"> </w:t>
      </w:r>
    </w:p>
    <w:p w:rsidR="007C1C4D" w:rsidRPr="00994BB3" w:rsidRDefault="00CE25CD" w:rsidP="004936EF">
      <w:pPr>
        <w:pStyle w:val="Txtpucegras"/>
        <w:rPr>
          <w:lang w:val="es-ES"/>
        </w:rPr>
      </w:pPr>
      <w:r w:rsidRPr="00994BB3">
        <w:rPr>
          <w:lang w:val="es-ES"/>
        </w:rPr>
        <w:t xml:space="preserve">El </w:t>
      </w:r>
      <w:r w:rsidR="00B012D4" w:rsidRPr="00994BB3">
        <w:rPr>
          <w:lang w:val="es-ES"/>
        </w:rPr>
        <w:t>PCI</w:t>
      </w:r>
      <w:r w:rsidR="007C1C4D" w:rsidRPr="00994BB3">
        <w:rPr>
          <w:lang w:val="es-ES"/>
        </w:rPr>
        <w:t xml:space="preserve"> </w:t>
      </w:r>
      <w:r w:rsidRPr="00994BB3">
        <w:rPr>
          <w:lang w:val="es-ES"/>
        </w:rPr>
        <w:t>se puede difundir de una comunidad a otra por contactos entre individuos</w:t>
      </w:r>
      <w:r w:rsidR="007C1C4D" w:rsidRPr="00994BB3">
        <w:rPr>
          <w:lang w:val="es-ES"/>
        </w:rPr>
        <w:t xml:space="preserve">, </w:t>
      </w:r>
      <w:r w:rsidRPr="00994BB3">
        <w:rPr>
          <w:lang w:val="es-ES"/>
        </w:rPr>
        <w:t>convirtiéndose así en un patrimonio compartido a nivel internacional</w:t>
      </w:r>
      <w:r w:rsidR="007C1C4D" w:rsidRPr="00994BB3">
        <w:rPr>
          <w:lang w:val="es-ES"/>
        </w:rPr>
        <w:t>.</w:t>
      </w:r>
    </w:p>
    <w:p w:rsidR="00896772" w:rsidRPr="00994BB3" w:rsidRDefault="00D7192C" w:rsidP="009909DD">
      <w:pPr>
        <w:pStyle w:val="Texte1"/>
        <w:rPr>
          <w:lang w:val="es-ES"/>
        </w:rPr>
      </w:pPr>
      <w:r w:rsidRPr="00994BB3">
        <w:rPr>
          <w:szCs w:val="22"/>
          <w:lang w:val="es-ES"/>
        </w:rPr>
        <w:t>El teatro de sombras, por ejemplo, se ha propagado desde el Asia Oriental al Asia Occidental, para pasar luego a Europa. El tango, inscrito en la LR por solicitud de Argentina y Uruguay, goza de una gran popularidad en Japón y hace ya mucho tiempo que forma parte de los bailes de salón en Europa. Los deportes marciales del Asia oriental se han difundido por el mundo entero. Las fiestas de Navidad se celebran con múltiples variantes en muchos países no cristianos de todos los continentes</w:t>
      </w:r>
      <w:r w:rsidR="00896772" w:rsidRPr="00994BB3">
        <w:rPr>
          <w:lang w:val="es-ES"/>
        </w:rPr>
        <w:t>.</w:t>
      </w:r>
      <w:r w:rsidR="00896772" w:rsidRPr="00994BB3">
        <w:rPr>
          <w:szCs w:val="22"/>
          <w:lang w:val="es-ES"/>
        </w:rPr>
        <w:t xml:space="preserve"> </w:t>
      </w:r>
    </w:p>
    <w:p w:rsidR="00142AA4" w:rsidRPr="00994BB3" w:rsidRDefault="00142AA4" w:rsidP="004936EF">
      <w:pPr>
        <w:pStyle w:val="Soustitre"/>
        <w:rPr>
          <w:caps/>
          <w:lang w:val="es-ES"/>
        </w:rPr>
      </w:pPr>
      <w:bookmarkStart w:id="9" w:name="_Toc238982274"/>
      <w:r w:rsidRPr="00994BB3">
        <w:rPr>
          <w:lang w:val="es-ES"/>
        </w:rPr>
        <w:t>Not</w:t>
      </w:r>
      <w:r w:rsidR="00D7192C" w:rsidRPr="00994BB3">
        <w:rPr>
          <w:lang w:val="es-ES"/>
        </w:rPr>
        <w:t>a</w:t>
      </w:r>
      <w:r w:rsidR="004D5404" w:rsidRPr="00994BB3">
        <w:rPr>
          <w:lang w:val="es-ES"/>
        </w:rPr>
        <w:t xml:space="preserve"> </w:t>
      </w:r>
      <w:r w:rsidR="00D7192C" w:rsidRPr="00994BB3">
        <w:rPr>
          <w:lang w:val="es-ES"/>
        </w:rPr>
        <w:t xml:space="preserve">sobre </w:t>
      </w:r>
      <w:r w:rsidR="00F6011A" w:rsidRPr="00994BB3">
        <w:rPr>
          <w:lang w:val="es-ES"/>
        </w:rPr>
        <w:t xml:space="preserve">las </w:t>
      </w:r>
      <w:r w:rsidR="00D7192C" w:rsidRPr="00994BB3">
        <w:rPr>
          <w:lang w:val="es-ES"/>
        </w:rPr>
        <w:t xml:space="preserve">inscripciones de </w:t>
      </w:r>
      <w:r w:rsidR="00F6011A" w:rsidRPr="00994BB3">
        <w:rPr>
          <w:lang w:val="es-ES"/>
        </w:rPr>
        <w:t>bienes culturales</w:t>
      </w:r>
      <w:r w:rsidR="006A2545" w:rsidRPr="00994BB3">
        <w:rPr>
          <w:lang w:val="es-ES"/>
        </w:rPr>
        <w:t xml:space="preserve"> </w:t>
      </w:r>
      <w:r w:rsidR="00D7192C" w:rsidRPr="00994BB3">
        <w:rPr>
          <w:lang w:val="es-ES"/>
        </w:rPr>
        <w:t>transnac</w:t>
      </w:r>
      <w:r w:rsidR="00F938EB" w:rsidRPr="00994BB3">
        <w:rPr>
          <w:lang w:val="es-ES"/>
        </w:rPr>
        <w:t>ional</w:t>
      </w:r>
      <w:r w:rsidR="00D7192C" w:rsidRPr="00994BB3">
        <w:rPr>
          <w:lang w:val="es-ES"/>
        </w:rPr>
        <w:t xml:space="preserve">es, </w:t>
      </w:r>
      <w:r w:rsidR="00F938EB" w:rsidRPr="00994BB3">
        <w:rPr>
          <w:lang w:val="es-ES"/>
        </w:rPr>
        <w:t>transregional</w:t>
      </w:r>
      <w:r w:rsidR="00D7192C" w:rsidRPr="00994BB3">
        <w:rPr>
          <w:lang w:val="es-ES"/>
        </w:rPr>
        <w:t xml:space="preserve">es y </w:t>
      </w:r>
      <w:r w:rsidR="00F938EB" w:rsidRPr="00994BB3">
        <w:rPr>
          <w:lang w:val="es-ES"/>
        </w:rPr>
        <w:t>trans</w:t>
      </w:r>
      <w:r w:rsidR="00D7192C" w:rsidRPr="00994BB3">
        <w:rPr>
          <w:lang w:val="es-ES"/>
        </w:rPr>
        <w:t>fronterizo</w:t>
      </w:r>
      <w:r w:rsidR="00F6011A" w:rsidRPr="00994BB3">
        <w:rPr>
          <w:lang w:val="es-ES"/>
        </w:rPr>
        <w:t>s</w:t>
      </w:r>
      <w:r w:rsidR="006A2545" w:rsidRPr="00994BB3">
        <w:rPr>
          <w:lang w:val="es-ES"/>
        </w:rPr>
        <w:t xml:space="preserve"> </w:t>
      </w:r>
      <w:bookmarkEnd w:id="9"/>
      <w:r w:rsidR="00F6011A" w:rsidRPr="00994BB3">
        <w:rPr>
          <w:lang w:val="es-ES"/>
        </w:rPr>
        <w:t>en la Lista del Patrimonio Mundial</w:t>
      </w:r>
    </w:p>
    <w:p w:rsidR="009A0F4C" w:rsidRPr="00994BB3" w:rsidRDefault="00543593" w:rsidP="00B7572D">
      <w:pPr>
        <w:pStyle w:val="Texte1"/>
        <w:rPr>
          <w:rFonts w:ascii="Times New Roman" w:eastAsia="Calibri" w:hAnsi="Times New Roman" w:cs="Times New Roman"/>
          <w:lang w:eastAsia="fr-FR"/>
        </w:rPr>
      </w:pPr>
      <w:r w:rsidRPr="00994BB3">
        <w:t xml:space="preserve">En la Directriz </w:t>
      </w:r>
      <w:r w:rsidR="009A0F4C" w:rsidRPr="00994BB3">
        <w:t>Operativa</w:t>
      </w:r>
      <w:r w:rsidR="00155409" w:rsidRPr="00994BB3">
        <w:t xml:space="preserve"> 135 </w:t>
      </w:r>
      <w:r w:rsidRPr="00994BB3">
        <w:t>de la Convención del Patrimonio Mundial</w:t>
      </w:r>
      <w:r w:rsidR="00155409" w:rsidRPr="00994BB3">
        <w:rPr>
          <w:i/>
          <w:iCs/>
        </w:rPr>
        <w:t xml:space="preserve"> </w:t>
      </w:r>
      <w:r w:rsidR="00155409" w:rsidRPr="00994BB3">
        <w:t>(</w:t>
      </w:r>
      <w:r w:rsidRPr="00994BB3">
        <w:t xml:space="preserve">edición de </w:t>
      </w:r>
      <w:r w:rsidR="00155409" w:rsidRPr="00B7572D">
        <w:t>201</w:t>
      </w:r>
      <w:r w:rsidR="001273AC">
        <w:t>2</w:t>
      </w:r>
      <w:r w:rsidR="00155409" w:rsidRPr="00994BB3">
        <w:t xml:space="preserve">) </w:t>
      </w:r>
      <w:r w:rsidRPr="00994BB3">
        <w:t xml:space="preserve">se alienta </w:t>
      </w:r>
      <w:r w:rsidR="009A0F4C" w:rsidRPr="00994BB3">
        <w:t xml:space="preserve">a los Estados Partes a preparar y presentar conjuntamente </w:t>
      </w:r>
      <w:r w:rsidR="00F6011A" w:rsidRPr="00994BB3">
        <w:t xml:space="preserve">candidaturas para la inscripción de </w:t>
      </w:r>
      <w:r w:rsidR="001A0500">
        <w:t xml:space="preserve">los </w:t>
      </w:r>
      <w:r w:rsidR="00F6011A" w:rsidRPr="00994BB3">
        <w:t xml:space="preserve">bienes culturales transfronterizos, </w:t>
      </w:r>
      <w:r w:rsidR="001A0500">
        <w:t>es decir,</w:t>
      </w:r>
      <w:r w:rsidR="00F6011A" w:rsidRPr="00994BB3">
        <w:t xml:space="preserve"> los situados en territorios colindantes de dos o más Estados.</w:t>
      </w:r>
      <w:r w:rsidR="009A0F4C" w:rsidRPr="00994BB3">
        <w:rPr>
          <w:rFonts w:ascii="Times New Roman" w:eastAsia="Calibri" w:hAnsi="Times New Roman" w:cs="Times New Roman"/>
          <w:lang w:eastAsia="fr-FR"/>
        </w:rPr>
        <w:t xml:space="preserve"> </w:t>
      </w:r>
    </w:p>
    <w:p w:rsidR="00142AA4" w:rsidRPr="00994BB3" w:rsidRDefault="00176E90" w:rsidP="004936EF">
      <w:pPr>
        <w:pStyle w:val="Soustitre"/>
        <w:rPr>
          <w:caps/>
          <w:lang w:val="es-ES"/>
        </w:rPr>
      </w:pPr>
      <w:r w:rsidRPr="00994BB3">
        <w:rPr>
          <w:lang w:val="es-ES"/>
        </w:rPr>
        <w:t>Inscripciones multinacionales en la Lista Representativa (2008-2014)</w:t>
      </w:r>
    </w:p>
    <w:p w:rsidR="00155409" w:rsidRPr="00994BB3" w:rsidRDefault="00176E90" w:rsidP="004936EF">
      <w:pPr>
        <w:pStyle w:val="Texte1"/>
        <w:rPr>
          <w:szCs w:val="20"/>
          <w:lang w:val="es-ES"/>
        </w:rPr>
      </w:pPr>
      <w:r w:rsidRPr="00994BB3">
        <w:rPr>
          <w:lang w:val="es-ES"/>
        </w:rPr>
        <w:t xml:space="preserve">En el periodo 2008-2014 se </w:t>
      </w:r>
      <w:r w:rsidRPr="00B7572D">
        <w:rPr>
          <w:lang w:val="es-ES"/>
        </w:rPr>
        <w:t>efectuaron 19 inscripciones</w:t>
      </w:r>
      <w:r w:rsidRPr="00994BB3">
        <w:rPr>
          <w:lang w:val="es-ES"/>
        </w:rPr>
        <w:t xml:space="preserve"> de elementos multinacionales en la LR, pero ninguna en la LSU. Para el Registro de Mejores Prácticas de Salvaguardia se seleccionó un programa de América Latina. En 2008, se incorporaron a la LR nueve elementos multinacionales, todos ellos pertenecientes a la lista del antiguo programa “Obras Maestras del Patrimonio Oral e Inmaterial de la Humanidad. Este programa fomentó activamente la presentación de candidaturas de elementos multinacionales.</w:t>
      </w:r>
      <w:r w:rsidR="00155409" w:rsidRPr="00994BB3">
        <w:rPr>
          <w:szCs w:val="20"/>
          <w:lang w:val="es-ES"/>
        </w:rPr>
        <w:t xml:space="preserve"> </w:t>
      </w:r>
    </w:p>
    <w:p w:rsidR="001125B6" w:rsidRPr="00994BB3" w:rsidRDefault="00176E90" w:rsidP="00155409">
      <w:pPr>
        <w:pStyle w:val="Texte1"/>
        <w:rPr>
          <w:lang w:val="es-ES"/>
        </w:rPr>
      </w:pPr>
      <w:r w:rsidRPr="00994BB3">
        <w:rPr>
          <w:lang w:val="es-ES"/>
        </w:rPr>
        <w:t xml:space="preserve">La distribución geográfica </w:t>
      </w:r>
      <w:r w:rsidRPr="00B7572D">
        <w:rPr>
          <w:lang w:val="es-ES"/>
        </w:rPr>
        <w:t>de los 19 elementos</w:t>
      </w:r>
      <w:r w:rsidRPr="00994BB3">
        <w:rPr>
          <w:lang w:val="es-ES"/>
        </w:rPr>
        <w:t xml:space="preserve"> multinacionales </w:t>
      </w:r>
      <w:r w:rsidR="006A2545" w:rsidRPr="00994BB3">
        <w:rPr>
          <w:lang w:val="es-ES"/>
        </w:rPr>
        <w:t>inscritos</w:t>
      </w:r>
      <w:r w:rsidRPr="00994BB3">
        <w:rPr>
          <w:lang w:val="es-ES"/>
        </w:rPr>
        <w:t xml:space="preserve"> en la LR es la siguiente</w:t>
      </w:r>
      <w:r w:rsidR="001125B6" w:rsidRPr="00994BB3">
        <w:rPr>
          <w:lang w:val="es-ES"/>
        </w:rPr>
        <w:t>:</w:t>
      </w:r>
    </w:p>
    <w:p w:rsidR="00D3015B" w:rsidRPr="00994BB3" w:rsidRDefault="00D3015B" w:rsidP="00D3015B">
      <w:pPr>
        <w:pStyle w:val="Texte1"/>
        <w:rPr>
          <w:b/>
          <w:lang w:val="es-ES"/>
        </w:rPr>
      </w:pPr>
      <w:r w:rsidRPr="001A0500">
        <w:rPr>
          <w:b/>
          <w:lang w:val="es-ES"/>
        </w:rPr>
        <w:t>Cuatro en África:</w:t>
      </w:r>
    </w:p>
    <w:p w:rsidR="00D3015B" w:rsidRPr="00994BB3" w:rsidRDefault="00D3015B" w:rsidP="00D3015B">
      <w:pPr>
        <w:pStyle w:val="Txtpucegras"/>
        <w:rPr>
          <w:lang w:val="es-ES"/>
        </w:rPr>
      </w:pPr>
      <w:proofErr w:type="spellStart"/>
      <w:r w:rsidRPr="00994BB3">
        <w:rPr>
          <w:lang w:val="es-ES"/>
        </w:rPr>
        <w:t>Benin</w:t>
      </w:r>
      <w:proofErr w:type="spellEnd"/>
      <w:r w:rsidRPr="00994BB3">
        <w:rPr>
          <w:lang w:val="es-ES"/>
        </w:rPr>
        <w:t xml:space="preserve">, Nigeria y Togo: El patrimonio oral </w:t>
      </w:r>
      <w:proofErr w:type="spellStart"/>
      <w:r w:rsidRPr="00994BB3">
        <w:rPr>
          <w:lang w:val="es-ES"/>
        </w:rPr>
        <w:t>Gelede</w:t>
      </w:r>
      <w:proofErr w:type="spellEnd"/>
      <w:r w:rsidRPr="00994BB3">
        <w:rPr>
          <w:lang w:val="es-ES"/>
        </w:rPr>
        <w:t xml:space="preserve"> (2008)</w:t>
      </w:r>
    </w:p>
    <w:p w:rsidR="00D3015B" w:rsidRPr="00994BB3" w:rsidRDefault="00D3015B" w:rsidP="00D3015B">
      <w:pPr>
        <w:pStyle w:val="Txtpucegras"/>
        <w:rPr>
          <w:lang w:val="es-ES"/>
        </w:rPr>
      </w:pPr>
      <w:r w:rsidRPr="00994BB3">
        <w:rPr>
          <w:lang w:val="es-ES"/>
        </w:rPr>
        <w:t xml:space="preserve">Malawi, Mozambique y Zambia: El </w:t>
      </w:r>
      <w:proofErr w:type="spellStart"/>
      <w:r w:rsidRPr="00994BB3">
        <w:rPr>
          <w:lang w:val="es-ES"/>
        </w:rPr>
        <w:t>Gule</w:t>
      </w:r>
      <w:proofErr w:type="spellEnd"/>
      <w:r w:rsidRPr="00994BB3">
        <w:rPr>
          <w:lang w:val="es-ES"/>
        </w:rPr>
        <w:t xml:space="preserve"> </w:t>
      </w:r>
      <w:proofErr w:type="spellStart"/>
      <w:r w:rsidRPr="00994BB3">
        <w:rPr>
          <w:lang w:val="es-ES"/>
        </w:rPr>
        <w:t>Wamkulu</w:t>
      </w:r>
      <w:proofErr w:type="spellEnd"/>
      <w:r w:rsidRPr="00994BB3">
        <w:rPr>
          <w:lang w:val="es-ES"/>
        </w:rPr>
        <w:t xml:space="preserve"> (2008)</w:t>
      </w:r>
    </w:p>
    <w:p w:rsidR="00D3015B" w:rsidRPr="00994BB3" w:rsidRDefault="00D3015B" w:rsidP="00D3015B">
      <w:pPr>
        <w:pStyle w:val="Txtpucegras"/>
        <w:rPr>
          <w:lang w:val="es-ES"/>
        </w:rPr>
      </w:pPr>
      <w:r w:rsidRPr="00994BB3">
        <w:rPr>
          <w:lang w:val="es-ES"/>
        </w:rPr>
        <w:t xml:space="preserve">Senegal y Gambia: El </w:t>
      </w:r>
      <w:proofErr w:type="spellStart"/>
      <w:r w:rsidRPr="00994BB3">
        <w:rPr>
          <w:lang w:val="es-ES"/>
        </w:rPr>
        <w:t>Kankurang</w:t>
      </w:r>
      <w:proofErr w:type="spellEnd"/>
      <w:r w:rsidRPr="00994BB3">
        <w:rPr>
          <w:lang w:val="es-ES"/>
        </w:rPr>
        <w:t>, rito de iniciación mandinga (2008)</w:t>
      </w:r>
    </w:p>
    <w:p w:rsidR="00D3015B" w:rsidRPr="00994BB3" w:rsidRDefault="004923D8" w:rsidP="00D3015B">
      <w:pPr>
        <w:pStyle w:val="Txtpucegras"/>
        <w:jc w:val="left"/>
        <w:rPr>
          <w:lang w:val="es-ES"/>
        </w:rPr>
      </w:pPr>
      <w:hyperlink r:id="rId12" w:tooltip="00849" w:history="1">
        <w:r w:rsidR="00D3015B" w:rsidRPr="00994BB3">
          <w:rPr>
            <w:lang w:val="es-ES"/>
          </w:rPr>
          <w:t xml:space="preserve">Las prácticas y expresiones culturales vinculadas al </w:t>
        </w:r>
        <w:proofErr w:type="spellStart"/>
        <w:r w:rsidR="00D3015B" w:rsidRPr="00994BB3">
          <w:rPr>
            <w:lang w:val="es-ES"/>
          </w:rPr>
          <w:t>balafón</w:t>
        </w:r>
        <w:proofErr w:type="spellEnd"/>
        <w:r w:rsidR="00D3015B" w:rsidRPr="00994BB3">
          <w:rPr>
            <w:lang w:val="es-ES"/>
          </w:rPr>
          <w:t xml:space="preserve"> de las comunidades senufo de Malí, Burkina Faso y </w:t>
        </w:r>
        <w:proofErr w:type="spellStart"/>
        <w:r w:rsidR="00D3015B" w:rsidRPr="00994BB3">
          <w:rPr>
            <w:lang w:val="es-ES"/>
          </w:rPr>
          <w:t>Côte</w:t>
        </w:r>
        <w:proofErr w:type="spellEnd"/>
        <w:r w:rsidR="00D3015B" w:rsidRPr="00994BB3">
          <w:rPr>
            <w:lang w:val="es-ES"/>
          </w:rPr>
          <w:t xml:space="preserve"> </w:t>
        </w:r>
        <w:proofErr w:type="spellStart"/>
        <w:r w:rsidR="00D3015B" w:rsidRPr="00994BB3">
          <w:rPr>
            <w:lang w:val="es-ES"/>
          </w:rPr>
          <w:t>d’Ivoire</w:t>
        </w:r>
        <w:proofErr w:type="spellEnd"/>
      </w:hyperlink>
      <w:r w:rsidR="00D3015B" w:rsidRPr="00994BB3">
        <w:rPr>
          <w:lang w:val="es-ES"/>
        </w:rPr>
        <w:t xml:space="preserve"> (2012) </w:t>
      </w:r>
    </w:p>
    <w:p w:rsidR="00D3015B" w:rsidRPr="00994BB3" w:rsidRDefault="00D3015B" w:rsidP="00D3015B">
      <w:pPr>
        <w:pStyle w:val="Texte1"/>
        <w:rPr>
          <w:b/>
          <w:lang w:val="es-ES"/>
        </w:rPr>
      </w:pPr>
      <w:r w:rsidRPr="00994BB3">
        <w:rPr>
          <w:b/>
          <w:lang w:val="es-ES"/>
        </w:rPr>
        <w:t>Tres en América Latina:</w:t>
      </w:r>
    </w:p>
    <w:p w:rsidR="00D3015B" w:rsidRPr="00994BB3" w:rsidRDefault="00D3015B" w:rsidP="00D3015B">
      <w:pPr>
        <w:pStyle w:val="Txtpucegras"/>
        <w:rPr>
          <w:lang w:val="es-ES"/>
        </w:rPr>
      </w:pPr>
      <w:r w:rsidRPr="00994BB3">
        <w:rPr>
          <w:lang w:val="es-ES"/>
        </w:rPr>
        <w:t>Belice, Guatemala, Honduras y Nicaragua: La lengua, la danza y la música de l</w:t>
      </w:r>
      <w:r w:rsidR="006A2545" w:rsidRPr="00994BB3">
        <w:rPr>
          <w:lang w:val="es-ES"/>
        </w:rPr>
        <w:t xml:space="preserve">os </w:t>
      </w:r>
      <w:proofErr w:type="spellStart"/>
      <w:r w:rsidR="006A2545" w:rsidRPr="00994BB3">
        <w:rPr>
          <w:lang w:val="es-ES"/>
        </w:rPr>
        <w:t>gari</w:t>
      </w:r>
      <w:r w:rsidRPr="00994BB3">
        <w:rPr>
          <w:lang w:val="es-ES"/>
        </w:rPr>
        <w:t>funas</w:t>
      </w:r>
      <w:proofErr w:type="spellEnd"/>
      <w:r w:rsidRPr="00994BB3">
        <w:rPr>
          <w:lang w:val="es-ES"/>
        </w:rPr>
        <w:t xml:space="preserve"> (2008) </w:t>
      </w:r>
    </w:p>
    <w:p w:rsidR="00D3015B" w:rsidRPr="00994BB3" w:rsidRDefault="00D3015B" w:rsidP="00D3015B">
      <w:pPr>
        <w:pStyle w:val="Txtpucegras"/>
        <w:rPr>
          <w:lang w:val="es-ES"/>
        </w:rPr>
      </w:pPr>
      <w:r w:rsidRPr="00994BB3">
        <w:rPr>
          <w:lang w:val="es-ES"/>
        </w:rPr>
        <w:t xml:space="preserve">Ecuador y Perú: El patrimonio oral y las manifestaciones culturales del pueblo </w:t>
      </w:r>
      <w:proofErr w:type="spellStart"/>
      <w:r w:rsidRPr="00994BB3">
        <w:rPr>
          <w:lang w:val="es-ES"/>
        </w:rPr>
        <w:t>zápara</w:t>
      </w:r>
      <w:proofErr w:type="spellEnd"/>
      <w:r w:rsidRPr="00994BB3">
        <w:rPr>
          <w:lang w:val="es-ES"/>
        </w:rPr>
        <w:t xml:space="preserve"> (2008)</w:t>
      </w:r>
    </w:p>
    <w:p w:rsidR="00D3015B" w:rsidRPr="00994BB3" w:rsidRDefault="00D3015B" w:rsidP="00D3015B">
      <w:pPr>
        <w:pStyle w:val="Txtpucegras"/>
        <w:rPr>
          <w:lang w:val="es-ES"/>
        </w:rPr>
      </w:pPr>
      <w:r w:rsidRPr="00994BB3">
        <w:rPr>
          <w:lang w:val="es-ES"/>
        </w:rPr>
        <w:t>Argentina y Uruguay: El tango (2009)</w:t>
      </w:r>
    </w:p>
    <w:p w:rsidR="00D3015B" w:rsidRPr="00994BB3" w:rsidRDefault="00D3015B" w:rsidP="00D3015B">
      <w:pPr>
        <w:pStyle w:val="Texte1"/>
        <w:rPr>
          <w:b/>
          <w:lang w:val="es-ES"/>
        </w:rPr>
      </w:pPr>
      <w:r w:rsidRPr="00B7572D">
        <w:rPr>
          <w:b/>
          <w:lang w:val="es-ES"/>
        </w:rPr>
        <w:t>Cuatro en Asia:</w:t>
      </w:r>
    </w:p>
    <w:p w:rsidR="00D3015B" w:rsidRPr="00994BB3" w:rsidRDefault="00D3015B" w:rsidP="00D3015B">
      <w:pPr>
        <w:pStyle w:val="Txtpucegras"/>
        <w:rPr>
          <w:lang w:val="es-ES"/>
        </w:rPr>
      </w:pPr>
      <w:r w:rsidRPr="00994BB3">
        <w:rPr>
          <w:lang w:val="es-ES"/>
        </w:rPr>
        <w:t xml:space="preserve">Mongolia y China: El </w:t>
      </w:r>
      <w:proofErr w:type="spellStart"/>
      <w:r w:rsidRPr="00994BB3">
        <w:rPr>
          <w:lang w:val="es-ES"/>
        </w:rPr>
        <w:t>Urtiin</w:t>
      </w:r>
      <w:proofErr w:type="spellEnd"/>
      <w:r w:rsidRPr="00994BB3">
        <w:rPr>
          <w:lang w:val="es-ES"/>
        </w:rPr>
        <w:t xml:space="preserve"> </w:t>
      </w:r>
      <w:proofErr w:type="spellStart"/>
      <w:r w:rsidRPr="00994BB3">
        <w:rPr>
          <w:lang w:val="es-ES"/>
        </w:rPr>
        <w:t>duu</w:t>
      </w:r>
      <w:proofErr w:type="spellEnd"/>
      <w:r w:rsidRPr="00994BB3">
        <w:rPr>
          <w:lang w:val="es-ES"/>
        </w:rPr>
        <w:t xml:space="preserve">, cantos largos tradicionales de los mongoles (2008) </w:t>
      </w:r>
    </w:p>
    <w:p w:rsidR="00D3015B" w:rsidRPr="00994BB3" w:rsidRDefault="00D3015B" w:rsidP="00D3015B">
      <w:pPr>
        <w:pStyle w:val="Txtpucegras"/>
        <w:rPr>
          <w:lang w:val="es-ES"/>
        </w:rPr>
      </w:pPr>
      <w:r w:rsidRPr="00994BB3">
        <w:rPr>
          <w:lang w:val="es-ES"/>
        </w:rPr>
        <w:t xml:space="preserve">Uzbekistán y Tayikistán: La música </w:t>
      </w:r>
      <w:proofErr w:type="spellStart"/>
      <w:r w:rsidRPr="00994BB3">
        <w:rPr>
          <w:lang w:val="es-ES"/>
        </w:rPr>
        <w:t>shashmaqom</w:t>
      </w:r>
      <w:proofErr w:type="spellEnd"/>
      <w:r w:rsidRPr="00994BB3">
        <w:rPr>
          <w:lang w:val="es-ES"/>
        </w:rPr>
        <w:t xml:space="preserve"> (2008)</w:t>
      </w:r>
    </w:p>
    <w:p w:rsidR="00D3015B" w:rsidRPr="00994BB3" w:rsidRDefault="00D3015B" w:rsidP="00D3015B">
      <w:pPr>
        <w:pStyle w:val="Txtpucegras"/>
        <w:rPr>
          <w:lang w:val="es-ES"/>
        </w:rPr>
      </w:pPr>
      <w:r w:rsidRPr="00994BB3">
        <w:rPr>
          <w:lang w:val="es-ES"/>
        </w:rPr>
        <w:t xml:space="preserve">Azerbaiyán, India, </w:t>
      </w:r>
      <w:r w:rsidR="006C2CE6" w:rsidRPr="00994BB3">
        <w:rPr>
          <w:lang w:val="es-ES"/>
        </w:rPr>
        <w:t xml:space="preserve">la República Islámica </w:t>
      </w:r>
      <w:proofErr w:type="spellStart"/>
      <w:r w:rsidR="006C2CE6" w:rsidRPr="00994BB3">
        <w:rPr>
          <w:lang w:val="es-ES"/>
        </w:rPr>
        <w:t>del</w:t>
      </w:r>
      <w:proofErr w:type="spellEnd"/>
      <w:r w:rsidR="006C2CE6" w:rsidRPr="00994BB3">
        <w:rPr>
          <w:lang w:val="es-ES"/>
        </w:rPr>
        <w:t xml:space="preserve"> Irán</w:t>
      </w:r>
      <w:r w:rsidRPr="00994BB3">
        <w:rPr>
          <w:lang w:val="es-ES"/>
        </w:rPr>
        <w:t xml:space="preserve">, Kirguistán, Pakistán, Turquía y Uzbekistán: El </w:t>
      </w:r>
      <w:proofErr w:type="spellStart"/>
      <w:r w:rsidRPr="00994BB3">
        <w:rPr>
          <w:lang w:val="es-ES"/>
        </w:rPr>
        <w:t>Novruz</w:t>
      </w:r>
      <w:proofErr w:type="spellEnd"/>
      <w:r w:rsidRPr="00994BB3">
        <w:rPr>
          <w:lang w:val="es-ES"/>
        </w:rPr>
        <w:t xml:space="preserve"> o </w:t>
      </w:r>
      <w:proofErr w:type="spellStart"/>
      <w:r w:rsidRPr="00994BB3">
        <w:rPr>
          <w:lang w:val="es-ES"/>
        </w:rPr>
        <w:t>Nowrouz</w:t>
      </w:r>
      <w:proofErr w:type="spellEnd"/>
      <w:r w:rsidRPr="00994BB3">
        <w:rPr>
          <w:lang w:val="es-ES"/>
        </w:rPr>
        <w:t xml:space="preserve">, </w:t>
      </w:r>
      <w:proofErr w:type="spellStart"/>
      <w:r w:rsidRPr="00994BB3">
        <w:rPr>
          <w:lang w:val="es-ES"/>
        </w:rPr>
        <w:t>Nooruz</w:t>
      </w:r>
      <w:proofErr w:type="spellEnd"/>
      <w:r w:rsidRPr="00994BB3">
        <w:rPr>
          <w:lang w:val="es-ES"/>
        </w:rPr>
        <w:t xml:space="preserve">, </w:t>
      </w:r>
      <w:proofErr w:type="spellStart"/>
      <w:r w:rsidRPr="00994BB3">
        <w:rPr>
          <w:lang w:val="es-ES"/>
        </w:rPr>
        <w:t>Navruz</w:t>
      </w:r>
      <w:proofErr w:type="spellEnd"/>
      <w:r w:rsidRPr="00994BB3">
        <w:rPr>
          <w:lang w:val="es-ES"/>
        </w:rPr>
        <w:t xml:space="preserve">, </w:t>
      </w:r>
      <w:proofErr w:type="spellStart"/>
      <w:r w:rsidRPr="00994BB3">
        <w:rPr>
          <w:lang w:val="es-ES"/>
        </w:rPr>
        <w:t>Nauroz</w:t>
      </w:r>
      <w:proofErr w:type="spellEnd"/>
      <w:r w:rsidRPr="00994BB3">
        <w:rPr>
          <w:lang w:val="es-ES"/>
        </w:rPr>
        <w:t xml:space="preserve"> y </w:t>
      </w:r>
      <w:proofErr w:type="spellStart"/>
      <w:r w:rsidRPr="00994BB3">
        <w:rPr>
          <w:lang w:val="es-ES"/>
        </w:rPr>
        <w:t>Nevruz</w:t>
      </w:r>
      <w:proofErr w:type="spellEnd"/>
      <w:r w:rsidRPr="00994BB3">
        <w:rPr>
          <w:lang w:val="es-ES"/>
        </w:rPr>
        <w:t xml:space="preserve"> [Celebraciones del Año Nuevo] (2009)</w:t>
      </w:r>
    </w:p>
    <w:p w:rsidR="00D3015B" w:rsidRPr="00B7572D" w:rsidRDefault="00D3015B" w:rsidP="00D3015B">
      <w:pPr>
        <w:pStyle w:val="Txtpucegras"/>
        <w:rPr>
          <w:lang w:val="es-ES"/>
        </w:rPr>
      </w:pPr>
      <w:r w:rsidRPr="00B7572D">
        <w:rPr>
          <w:lang w:val="es-ES"/>
        </w:rPr>
        <w:t xml:space="preserve">Kazajstán y Kirguistán: Conocimientos y técnicas tradicionales vinculados a la fabricación de </w:t>
      </w:r>
      <w:proofErr w:type="spellStart"/>
      <w:r w:rsidRPr="00B7572D">
        <w:rPr>
          <w:lang w:val="es-ES"/>
        </w:rPr>
        <w:t>yurtas</w:t>
      </w:r>
      <w:proofErr w:type="spellEnd"/>
      <w:r w:rsidRPr="00B7572D">
        <w:rPr>
          <w:lang w:val="es-ES"/>
        </w:rPr>
        <w:t xml:space="preserve"> kirguises y kazajas (hábitat nómada de los pueblos </w:t>
      </w:r>
      <w:proofErr w:type="spellStart"/>
      <w:r w:rsidRPr="00B7572D">
        <w:rPr>
          <w:lang w:val="es-ES"/>
        </w:rPr>
        <w:t>túrquicos</w:t>
      </w:r>
      <w:proofErr w:type="spellEnd"/>
      <w:r w:rsidRPr="00B7572D">
        <w:rPr>
          <w:lang w:val="es-ES"/>
        </w:rPr>
        <w:t>) (2014)</w:t>
      </w:r>
    </w:p>
    <w:p w:rsidR="00176E90" w:rsidRPr="00E0459D" w:rsidRDefault="00176E90" w:rsidP="00176E90">
      <w:pPr>
        <w:pStyle w:val="Texte1"/>
        <w:rPr>
          <w:b/>
          <w:lang w:val="es-ES"/>
        </w:rPr>
      </w:pPr>
      <w:r w:rsidRPr="00B7572D">
        <w:rPr>
          <w:b/>
          <w:lang w:val="es-ES"/>
        </w:rPr>
        <w:t>Dos en la región de los Estados Árabes</w:t>
      </w:r>
      <w:r w:rsidRPr="00E0459D">
        <w:rPr>
          <w:b/>
          <w:lang w:val="es-ES"/>
        </w:rPr>
        <w:t xml:space="preserve"> </w:t>
      </w:r>
    </w:p>
    <w:p w:rsidR="00176E90" w:rsidRPr="00EA4933" w:rsidRDefault="00176E90" w:rsidP="00176E90">
      <w:pPr>
        <w:pStyle w:val="Txtpucegras"/>
        <w:rPr>
          <w:lang w:val="es-ES"/>
        </w:rPr>
      </w:pPr>
      <w:r w:rsidRPr="00347FB0">
        <w:rPr>
          <w:lang w:val="es-ES"/>
        </w:rPr>
        <w:t xml:space="preserve">Emiratos Árabes Unidos y Omán: </w:t>
      </w:r>
      <w:hyperlink r:id="rId13" w:tooltip="00744" w:history="1">
        <w:r w:rsidRPr="00EA4933">
          <w:rPr>
            <w:i/>
            <w:lang w:val="es-ES"/>
          </w:rPr>
          <w:t>Al-</w:t>
        </w:r>
        <w:proofErr w:type="spellStart"/>
        <w:r w:rsidRPr="00EA4933">
          <w:rPr>
            <w:i/>
            <w:lang w:val="es-ES"/>
          </w:rPr>
          <w:t>Taghrooda</w:t>
        </w:r>
        <w:proofErr w:type="spellEnd"/>
        <w:r w:rsidRPr="00EA4933">
          <w:rPr>
            <w:lang w:val="es-ES"/>
          </w:rPr>
          <w:t xml:space="preserve">: poesía cantada tradicional de los beduinos de los Emiratos Árabes Unidos y del Sultanato de Omán </w:t>
        </w:r>
      </w:hyperlink>
      <w:r w:rsidRPr="00EA4933">
        <w:rPr>
          <w:lang w:val="es-ES"/>
        </w:rPr>
        <w:t xml:space="preserve"> (2012)</w:t>
      </w:r>
    </w:p>
    <w:p w:rsidR="00176E90" w:rsidRPr="00B7572D" w:rsidRDefault="00176E90" w:rsidP="00176E90">
      <w:pPr>
        <w:pStyle w:val="Txtpucegras"/>
        <w:rPr>
          <w:lang w:val="es-ES"/>
        </w:rPr>
      </w:pPr>
      <w:r w:rsidRPr="00B7572D">
        <w:rPr>
          <w:lang w:val="es-ES"/>
        </w:rPr>
        <w:t xml:space="preserve">Emiratos Árabes Unidos y Omán: </w:t>
      </w:r>
      <w:r w:rsidRPr="00B7572D">
        <w:rPr>
          <w:i/>
          <w:lang w:val="es-ES"/>
        </w:rPr>
        <w:t>Al-</w:t>
      </w:r>
      <w:proofErr w:type="spellStart"/>
      <w:r w:rsidRPr="00B7572D">
        <w:rPr>
          <w:i/>
          <w:lang w:val="es-ES"/>
        </w:rPr>
        <w:t>ayyala</w:t>
      </w:r>
      <w:proofErr w:type="spellEnd"/>
      <w:r w:rsidRPr="00B7572D">
        <w:rPr>
          <w:lang w:val="es-ES"/>
        </w:rPr>
        <w:t>, arte escénico tradicional de los Emiratos Árabes Unidos y del Sultanato de Omán (2014)</w:t>
      </w:r>
    </w:p>
    <w:p w:rsidR="00142AA4" w:rsidRPr="00994BB3" w:rsidRDefault="00BA4F48" w:rsidP="009909DD">
      <w:pPr>
        <w:pStyle w:val="Texte1"/>
        <w:rPr>
          <w:b/>
          <w:lang w:val="es-ES"/>
        </w:rPr>
      </w:pPr>
      <w:r w:rsidRPr="00994BB3">
        <w:rPr>
          <w:b/>
          <w:lang w:val="es-ES"/>
        </w:rPr>
        <w:t>Tres en Europa</w:t>
      </w:r>
      <w:r w:rsidR="00142AA4" w:rsidRPr="00994BB3">
        <w:rPr>
          <w:b/>
          <w:lang w:val="es-ES"/>
        </w:rPr>
        <w:t>:</w:t>
      </w:r>
    </w:p>
    <w:p w:rsidR="00142AA4" w:rsidRPr="00994BB3" w:rsidRDefault="00CF5B59" w:rsidP="004936EF">
      <w:pPr>
        <w:pStyle w:val="Txtpucegras"/>
        <w:rPr>
          <w:lang w:val="es-ES"/>
        </w:rPr>
      </w:pPr>
      <w:r w:rsidRPr="00994BB3">
        <w:rPr>
          <w:lang w:val="es-ES"/>
        </w:rPr>
        <w:t>Bélgica y Francia: Gigantes y dragones procesionales de Bélgica y Francia</w:t>
      </w:r>
      <w:r w:rsidR="00142AA4" w:rsidRPr="00994BB3">
        <w:rPr>
          <w:lang w:val="es-ES"/>
        </w:rPr>
        <w:t xml:space="preserve"> (2008)</w:t>
      </w:r>
    </w:p>
    <w:p w:rsidR="00142AA4" w:rsidRPr="00994BB3" w:rsidRDefault="00CF5B59" w:rsidP="004936EF">
      <w:pPr>
        <w:pStyle w:val="Txtpucegras"/>
        <w:rPr>
          <w:lang w:val="es-ES"/>
        </w:rPr>
      </w:pPr>
      <w:r w:rsidRPr="00994BB3">
        <w:rPr>
          <w:lang w:val="es-ES"/>
        </w:rPr>
        <w:t xml:space="preserve">Estonia, Letonia y Lituania: Las celebraciones de los cantos y danzas bálticos </w:t>
      </w:r>
      <w:r w:rsidR="00142AA4" w:rsidRPr="00994BB3">
        <w:rPr>
          <w:lang w:val="es-ES"/>
        </w:rPr>
        <w:t xml:space="preserve">(2008) </w:t>
      </w:r>
    </w:p>
    <w:p w:rsidR="00863E83" w:rsidRPr="00994BB3" w:rsidRDefault="00CF5B59" w:rsidP="00863E83">
      <w:pPr>
        <w:pStyle w:val="Txtpucegras"/>
        <w:rPr>
          <w:lang w:val="es-ES"/>
        </w:rPr>
      </w:pPr>
      <w:r w:rsidRPr="00994BB3">
        <w:rPr>
          <w:lang w:val="es-ES"/>
        </w:rPr>
        <w:t xml:space="preserve">República de </w:t>
      </w:r>
      <w:proofErr w:type="spellStart"/>
      <w:r w:rsidRPr="00994BB3">
        <w:rPr>
          <w:lang w:val="es-ES"/>
        </w:rPr>
        <w:t>Moldova</w:t>
      </w:r>
      <w:proofErr w:type="spellEnd"/>
      <w:r w:rsidRPr="00994BB3">
        <w:rPr>
          <w:lang w:val="es-ES"/>
        </w:rPr>
        <w:t xml:space="preserve"> y </w:t>
      </w:r>
      <w:r w:rsidR="00863E83" w:rsidRPr="00994BB3">
        <w:rPr>
          <w:lang w:val="es-ES"/>
        </w:rPr>
        <w:t>R</w:t>
      </w:r>
      <w:r w:rsidRPr="00994BB3">
        <w:rPr>
          <w:lang w:val="es-ES"/>
        </w:rPr>
        <w:t>u</w:t>
      </w:r>
      <w:r w:rsidR="00863E83" w:rsidRPr="00994BB3">
        <w:rPr>
          <w:lang w:val="es-ES"/>
        </w:rPr>
        <w:t xml:space="preserve">mania: </w:t>
      </w:r>
      <w:proofErr w:type="spellStart"/>
      <w:r w:rsidR="00D3015B" w:rsidRPr="00994BB3">
        <w:rPr>
          <w:i/>
          <w:lang w:val="es-ES"/>
        </w:rPr>
        <w:t>Colindat</w:t>
      </w:r>
      <w:proofErr w:type="spellEnd"/>
      <w:r w:rsidR="00D3015B" w:rsidRPr="00994BB3">
        <w:rPr>
          <w:lang w:val="es-ES"/>
        </w:rPr>
        <w:t>: ronda navideña de grupos de hombres jóvenes</w:t>
      </w:r>
      <w:r w:rsidR="00863E83" w:rsidRPr="00994BB3">
        <w:rPr>
          <w:lang w:val="es-ES"/>
        </w:rPr>
        <w:t xml:space="preserve"> (2013)</w:t>
      </w:r>
    </w:p>
    <w:p w:rsidR="00142AA4" w:rsidRPr="00994BB3" w:rsidRDefault="00863E83" w:rsidP="009909DD">
      <w:pPr>
        <w:pStyle w:val="Texte1"/>
        <w:rPr>
          <w:b/>
          <w:lang w:val="es-ES"/>
        </w:rPr>
      </w:pPr>
      <w:r w:rsidRPr="00994BB3">
        <w:rPr>
          <w:b/>
          <w:lang w:val="es-ES"/>
        </w:rPr>
        <w:t>T</w:t>
      </w:r>
      <w:r w:rsidR="00BA4F48" w:rsidRPr="00994BB3">
        <w:rPr>
          <w:b/>
          <w:lang w:val="es-ES"/>
        </w:rPr>
        <w:t>res elementos interregionales</w:t>
      </w:r>
      <w:r w:rsidR="00142AA4" w:rsidRPr="00994BB3">
        <w:rPr>
          <w:b/>
          <w:lang w:val="es-ES"/>
        </w:rPr>
        <w:t>:</w:t>
      </w:r>
    </w:p>
    <w:p w:rsidR="00142AA4" w:rsidRPr="00994BB3" w:rsidRDefault="009177C4" w:rsidP="004936EF">
      <w:pPr>
        <w:pStyle w:val="Txtpucegras"/>
        <w:rPr>
          <w:lang w:val="es-ES"/>
        </w:rPr>
      </w:pPr>
      <w:r w:rsidRPr="00994BB3">
        <w:rPr>
          <w:lang w:val="es-ES"/>
        </w:rPr>
        <w:t>Arabia Saudita, Austria, Bélgica, Emiratos Árabes Unidos, España, Francia, Hungría, Mongolia, Marruecos, Qatar, República Árabe Siria, República Checa y República de Corea: La cetrería, un patrimonio humano vivo (2012)</w:t>
      </w:r>
    </w:p>
    <w:p w:rsidR="00142AA4" w:rsidRPr="00994BB3" w:rsidRDefault="009177C4" w:rsidP="004936EF">
      <w:pPr>
        <w:pStyle w:val="Txtpucegras"/>
        <w:rPr>
          <w:lang w:val="es-ES"/>
        </w:rPr>
      </w:pPr>
      <w:r w:rsidRPr="00994BB3">
        <w:rPr>
          <w:lang w:val="es-ES"/>
        </w:rPr>
        <w:t>Chipre, Croacia, España, Grecia, Italia, Marruecos y Portugal: La dieta mediterránea (2013)</w:t>
      </w:r>
    </w:p>
    <w:p w:rsidR="00863E83" w:rsidRPr="00994BB3" w:rsidRDefault="009177C4" w:rsidP="00863E83">
      <w:pPr>
        <w:pStyle w:val="Txtpucegras"/>
        <w:rPr>
          <w:lang w:val="es-ES"/>
        </w:rPr>
      </w:pPr>
      <w:r w:rsidRPr="00994BB3">
        <w:rPr>
          <w:lang w:val="es-ES"/>
        </w:rPr>
        <w:t>Argelia, Malí y Níger</w:t>
      </w:r>
      <w:r w:rsidR="00863E83" w:rsidRPr="00994BB3">
        <w:rPr>
          <w:lang w:val="es-ES"/>
        </w:rPr>
        <w:t xml:space="preserve">: </w:t>
      </w:r>
      <w:r w:rsidR="00176E90" w:rsidRPr="00994BB3">
        <w:rPr>
          <w:lang w:val="es-ES"/>
        </w:rPr>
        <w:t xml:space="preserve">Los conocimientos y prácticas vinculados al </w:t>
      </w:r>
      <w:proofErr w:type="spellStart"/>
      <w:r w:rsidR="00176E90" w:rsidRPr="00994BB3">
        <w:rPr>
          <w:i/>
          <w:lang w:val="es-ES"/>
        </w:rPr>
        <w:t>imzad</w:t>
      </w:r>
      <w:proofErr w:type="spellEnd"/>
      <w:r w:rsidR="00176E90" w:rsidRPr="00994BB3">
        <w:rPr>
          <w:lang w:val="es-ES"/>
        </w:rPr>
        <w:t xml:space="preserve"> de las comunidades tuaregs de Argelia, Malí y Níger</w:t>
      </w:r>
      <w:r w:rsidR="00863E83" w:rsidRPr="00994BB3">
        <w:rPr>
          <w:lang w:val="es-ES"/>
        </w:rPr>
        <w:t xml:space="preserve"> (2013)</w:t>
      </w:r>
    </w:p>
    <w:p w:rsidR="00B21B13" w:rsidRPr="00994BB3" w:rsidRDefault="00B739E4" w:rsidP="0063086E">
      <w:pPr>
        <w:pStyle w:val="Soustitre"/>
        <w:rPr>
          <w:lang w:val="es-ES"/>
        </w:rPr>
      </w:pPr>
      <w:r w:rsidRPr="00994BB3">
        <w:rPr>
          <w:lang w:val="es-ES"/>
        </w:rPr>
        <w:t>Ejercicio</w:t>
      </w:r>
      <w:r w:rsidR="00C34BC4" w:rsidRPr="00994BB3">
        <w:rPr>
          <w:lang w:val="es-ES"/>
        </w:rPr>
        <w:t xml:space="preserve"> (30 </w:t>
      </w:r>
      <w:r w:rsidRPr="00994BB3">
        <w:rPr>
          <w:lang w:val="es-ES"/>
        </w:rPr>
        <w:t>minutos</w:t>
      </w:r>
      <w:r w:rsidR="00C34BC4" w:rsidRPr="00994BB3">
        <w:rPr>
          <w:lang w:val="es-ES"/>
        </w:rPr>
        <w:t xml:space="preserve">): </w:t>
      </w:r>
      <w:r w:rsidR="00755880" w:rsidRPr="00994BB3">
        <w:rPr>
          <w:lang w:val="es-ES"/>
        </w:rPr>
        <w:t>un modelo de elemento compartido del PCI</w:t>
      </w:r>
    </w:p>
    <w:p w:rsidR="00B21B13" w:rsidRPr="00994BB3" w:rsidRDefault="00755880" w:rsidP="009909DD">
      <w:pPr>
        <w:pStyle w:val="Texte1"/>
        <w:rPr>
          <w:lang w:val="es-ES"/>
        </w:rPr>
      </w:pPr>
      <w:r w:rsidRPr="00994BB3">
        <w:rPr>
          <w:lang w:val="es-ES"/>
        </w:rPr>
        <w:t>Aquí se presenta a los participantes en el taller un modelo de elemento compartido del PCI, expresamente ideado para este ejercicio, con vistas a que puedan examinar y discutir diversos temas relacionados con las candidaturas de elementos multinacionales</w:t>
      </w:r>
      <w:r w:rsidR="00C649C4" w:rsidRPr="00994BB3">
        <w:rPr>
          <w:lang w:val="es-ES"/>
        </w:rPr>
        <w:t>.</w:t>
      </w:r>
    </w:p>
    <w:p w:rsidR="00827FFC" w:rsidRPr="00994BB3" w:rsidRDefault="00A67E11" w:rsidP="009909DD">
      <w:pPr>
        <w:pStyle w:val="Texte1"/>
        <w:rPr>
          <w:lang w:val="es-ES"/>
        </w:rPr>
      </w:pPr>
      <w:r>
        <w:rPr>
          <w:lang w:val="es-ES"/>
        </w:rPr>
        <w:t>En el África Oriental</w:t>
      </w:r>
      <w:r w:rsidR="00A73DF4" w:rsidRPr="00994BB3">
        <w:rPr>
          <w:lang w:val="es-ES"/>
        </w:rPr>
        <w:t xml:space="preserve"> hay un lago</w:t>
      </w:r>
      <w:r>
        <w:rPr>
          <w:lang w:val="es-ES"/>
        </w:rPr>
        <w:t>,</w:t>
      </w:r>
      <w:r w:rsidR="00A73DF4" w:rsidRPr="00994BB3">
        <w:rPr>
          <w:lang w:val="es-ES"/>
        </w:rPr>
        <w:t xml:space="preserve"> situado en el país A</w:t>
      </w:r>
      <w:r>
        <w:rPr>
          <w:lang w:val="es-ES"/>
        </w:rPr>
        <w:t>,</w:t>
      </w:r>
      <w:r w:rsidR="00A73DF4" w:rsidRPr="00994BB3">
        <w:rPr>
          <w:lang w:val="es-ES"/>
        </w:rPr>
        <w:t xml:space="preserve"> que una comunidad trashumante asentada a ambos lados de la frontera entre este país y el país B considera sagrado. La frontera, trazada en la época colonial, atraviesa las tierras en las que siguen pastando hoy en día los ganados de esta comunidad. Diseminada en una serie de aldeas, la población de la comunidad cruza la frontera en distintas épocas del año en busca de pastos para sus ganados. Muchos miembros de la comunidad no han adquirido aún la nacionalidad de ninguno de los dos países. Cada cinco años, los jóvenes de diferentes aldeas que han alcanzado una determinada edad, van en peregrinación al lago sagrado. Las autoridades gubernamentales de ambos países permiten a esos jóvenes el libre paso de la frontera en esa ocasión. La peregrinación al lago es el punto culminante de una serie de ritos de iniciación a la edad adulta, en los que participan miembros de diversas aldeas para recibir enseñanzas y</w:t>
      </w:r>
      <w:r w:rsidR="006A2545" w:rsidRPr="00994BB3">
        <w:rPr>
          <w:lang w:val="es-ES"/>
        </w:rPr>
        <w:t xml:space="preserve"> </w:t>
      </w:r>
      <w:r w:rsidR="00A73DF4" w:rsidRPr="00994BB3">
        <w:rPr>
          <w:lang w:val="es-ES"/>
        </w:rPr>
        <w:t>e</w:t>
      </w:r>
      <w:r>
        <w:rPr>
          <w:lang w:val="es-ES"/>
        </w:rPr>
        <w:t>jercitarse</w:t>
      </w:r>
      <w:r w:rsidR="00A73DF4" w:rsidRPr="00994BB3">
        <w:rPr>
          <w:lang w:val="es-ES"/>
        </w:rPr>
        <w:t xml:space="preserve"> físicamente. Estos rituales de iniciación tienen lugar en aldeas situadas a ambos lados de la frontera. Los conocimientos relativos a la práctica de los ritos de iniciación y la peregrinación se han venido transmitiendo de generación en generación y constituyen un medio </w:t>
      </w:r>
      <w:r>
        <w:rPr>
          <w:lang w:val="es-ES"/>
        </w:rPr>
        <w:t>para</w:t>
      </w:r>
      <w:r w:rsidR="00A73DF4" w:rsidRPr="00994BB3">
        <w:rPr>
          <w:lang w:val="es-ES"/>
        </w:rPr>
        <w:t xml:space="preserve"> enseñar a los jóvenes su función en la sociedad. Esos conocimientos son esenciales para el sentimiento de identidad y continuidad de esta comunidad trashumante. Este elemento del PCI de la comunidad en cuestión se sigue siendo practicando cada cinco años y su viabilidad no corre peligro.</w:t>
      </w:r>
    </w:p>
    <w:p w:rsidR="005B6A87" w:rsidRPr="00994BB3" w:rsidRDefault="00A73DF4" w:rsidP="004936EF">
      <w:pPr>
        <w:pStyle w:val="Soustitre"/>
        <w:rPr>
          <w:caps/>
          <w:lang w:val="es-ES" w:eastAsia="zh-CN"/>
        </w:rPr>
      </w:pPr>
      <w:r w:rsidRPr="00994BB3">
        <w:rPr>
          <w:lang w:val="es-ES" w:eastAsia="zh-CN"/>
        </w:rPr>
        <w:t xml:space="preserve">Procédase al examen y </w:t>
      </w:r>
      <w:r w:rsidR="00A67E11">
        <w:rPr>
          <w:lang w:val="es-ES" w:eastAsia="zh-CN"/>
        </w:rPr>
        <w:t>d</w:t>
      </w:r>
      <w:r w:rsidRPr="00994BB3">
        <w:rPr>
          <w:lang w:val="es-ES" w:eastAsia="zh-CN"/>
        </w:rPr>
        <w:t>iscusión de</w:t>
      </w:r>
      <w:r w:rsidR="008631E5" w:rsidRPr="00994BB3">
        <w:rPr>
          <w:lang w:val="es-ES" w:eastAsia="zh-CN"/>
        </w:rPr>
        <w:t xml:space="preserve"> </w:t>
      </w:r>
      <w:r w:rsidR="00BA4F48" w:rsidRPr="00994BB3">
        <w:rPr>
          <w:lang w:val="es-ES" w:eastAsia="zh-CN"/>
        </w:rPr>
        <w:t>las siguientes preguntas y respuestas</w:t>
      </w:r>
      <w:r w:rsidR="00AC3B88" w:rsidRPr="00994BB3">
        <w:rPr>
          <w:lang w:val="es-ES" w:eastAsia="zh-CN"/>
        </w:rPr>
        <w:t>:</w:t>
      </w:r>
    </w:p>
    <w:p w:rsidR="008631E5" w:rsidRPr="00994BB3" w:rsidRDefault="00BB0201" w:rsidP="004936EF">
      <w:pPr>
        <w:pStyle w:val="Numrosance"/>
        <w:numPr>
          <w:ilvl w:val="0"/>
          <w:numId w:val="61"/>
        </w:numPr>
        <w:rPr>
          <w:lang w:val="es-ES"/>
        </w:rPr>
      </w:pPr>
      <w:r w:rsidRPr="00994BB3">
        <w:rPr>
          <w:lang w:val="es-ES"/>
        </w:rPr>
        <w:t>Supongan que ambos países son Estados Partes en la Convención. En caso de que se prepare una candidatura del elemento del PCI para su inscripción en una de las Listas de la Convención, ¿quién debe ser presentarla? ¿El gobierno del país A?, ¿El gobierno del país B? ¿Ambos gobiernos a la vez?</w:t>
      </w:r>
    </w:p>
    <w:p w:rsidR="005D09D0" w:rsidRPr="00994BB3" w:rsidRDefault="00BA4F48" w:rsidP="004936EF">
      <w:pPr>
        <w:pStyle w:val="Rponses"/>
        <w:rPr>
          <w:b/>
          <w:lang w:val="es-ES"/>
        </w:rPr>
      </w:pPr>
      <w:r w:rsidRPr="00994BB3">
        <w:rPr>
          <w:b/>
          <w:lang w:val="es-ES"/>
        </w:rPr>
        <w:t>Respuesta</w:t>
      </w:r>
      <w:r w:rsidR="005D09D0" w:rsidRPr="00994BB3">
        <w:rPr>
          <w:lang w:val="es-ES"/>
        </w:rPr>
        <w:t>:</w:t>
      </w:r>
      <w:r w:rsidR="001B767D" w:rsidRPr="00994BB3">
        <w:rPr>
          <w:lang w:val="es-ES"/>
        </w:rPr>
        <w:t xml:space="preserve"> </w:t>
      </w:r>
      <w:r w:rsidR="00BB0201" w:rsidRPr="00994BB3">
        <w:rPr>
          <w:lang w:val="es-ES"/>
        </w:rPr>
        <w:t>Es preferible que la presenten conjuntamente ambos países, aunque esto no constituya una obligación</w:t>
      </w:r>
      <w:r w:rsidR="00EC6493" w:rsidRPr="00994BB3">
        <w:rPr>
          <w:lang w:val="es-ES"/>
        </w:rPr>
        <w:t>.</w:t>
      </w:r>
    </w:p>
    <w:p w:rsidR="008631E5" w:rsidRPr="00994BB3" w:rsidRDefault="00BB0201" w:rsidP="004936EF">
      <w:pPr>
        <w:pStyle w:val="Numrosance"/>
        <w:numPr>
          <w:ilvl w:val="0"/>
          <w:numId w:val="61"/>
        </w:numPr>
        <w:rPr>
          <w:lang w:val="es-ES"/>
        </w:rPr>
      </w:pPr>
      <w:r w:rsidRPr="00994BB3">
        <w:rPr>
          <w:lang w:val="es-ES"/>
        </w:rPr>
        <w:t>Supongan que el país A es un Estado Parte en la Convención y que el país B no la ha ratificado. ¿Pueden presentar una candidatura multinacional de este patrimonio cultural compartido para inscribirlo en una de las Listas de la Convención?</w:t>
      </w:r>
    </w:p>
    <w:p w:rsidR="005D09D0" w:rsidRPr="00994BB3" w:rsidRDefault="00BA4F48" w:rsidP="004936EF">
      <w:pPr>
        <w:pStyle w:val="Rponses"/>
        <w:rPr>
          <w:b/>
          <w:lang w:val="es-ES"/>
        </w:rPr>
      </w:pPr>
      <w:r w:rsidRPr="00994BB3">
        <w:rPr>
          <w:b/>
          <w:lang w:val="es-ES"/>
        </w:rPr>
        <w:t>Respuesta</w:t>
      </w:r>
      <w:r w:rsidR="005D09D0" w:rsidRPr="00994BB3">
        <w:rPr>
          <w:b/>
          <w:lang w:val="es-ES"/>
        </w:rPr>
        <w:t>:</w:t>
      </w:r>
      <w:r w:rsidR="00EC6493" w:rsidRPr="00994BB3">
        <w:rPr>
          <w:b/>
          <w:lang w:val="es-ES"/>
        </w:rPr>
        <w:t xml:space="preserve"> </w:t>
      </w:r>
      <w:r w:rsidR="00BB0201" w:rsidRPr="00994BB3">
        <w:rPr>
          <w:lang w:val="es-ES"/>
        </w:rPr>
        <w:t>No. En efecto, los Estados que no son partes en la Convención no pueden presentar expedientes de candidatura, ni individual ni conjuntamente con otro Estado</w:t>
      </w:r>
      <w:r w:rsidR="00EC6493" w:rsidRPr="00994BB3">
        <w:rPr>
          <w:lang w:val="es-ES"/>
        </w:rPr>
        <w:t>.</w:t>
      </w:r>
    </w:p>
    <w:p w:rsidR="008631E5" w:rsidRPr="00994BB3" w:rsidRDefault="00BB0201" w:rsidP="004936EF">
      <w:pPr>
        <w:pStyle w:val="Numrosance"/>
        <w:numPr>
          <w:ilvl w:val="0"/>
          <w:numId w:val="61"/>
        </w:numPr>
        <w:rPr>
          <w:lang w:val="es-ES"/>
        </w:rPr>
      </w:pPr>
      <w:r w:rsidRPr="00994BB3">
        <w:rPr>
          <w:lang w:val="es-ES"/>
        </w:rPr>
        <w:t>¿El país A puede presentar por sí solo la candidatura de este elemento del patrimonio cultural compartido para que se inscriba en una de las Listas de la Convención?</w:t>
      </w:r>
    </w:p>
    <w:p w:rsidR="005D09D0" w:rsidRPr="00994BB3" w:rsidRDefault="00BA4F48" w:rsidP="004936EF">
      <w:pPr>
        <w:pStyle w:val="Rponses"/>
        <w:rPr>
          <w:lang w:val="es-ES"/>
        </w:rPr>
      </w:pPr>
      <w:r w:rsidRPr="00994BB3">
        <w:rPr>
          <w:b/>
          <w:lang w:val="es-ES"/>
        </w:rPr>
        <w:t>Respuesta</w:t>
      </w:r>
      <w:r w:rsidR="005D09D0" w:rsidRPr="00994BB3">
        <w:rPr>
          <w:b/>
          <w:lang w:val="es-ES"/>
        </w:rPr>
        <w:t>:</w:t>
      </w:r>
      <w:r w:rsidR="00510D97" w:rsidRPr="00994BB3">
        <w:rPr>
          <w:b/>
          <w:lang w:val="es-ES"/>
        </w:rPr>
        <w:t xml:space="preserve"> </w:t>
      </w:r>
      <w:r w:rsidR="00BB0201" w:rsidRPr="00994BB3">
        <w:rPr>
          <w:lang w:val="es-ES"/>
        </w:rPr>
        <w:t xml:space="preserve">Sí. Pero solamente para la parte del elemento presente en </w:t>
      </w:r>
      <w:r w:rsidR="00D742EC" w:rsidRPr="00994BB3">
        <w:rPr>
          <w:lang w:val="es-ES"/>
        </w:rPr>
        <w:t>su territorio</w:t>
      </w:r>
      <w:r w:rsidR="00BB0201" w:rsidRPr="00994BB3">
        <w:rPr>
          <w:lang w:val="es-ES"/>
        </w:rPr>
        <w:t>, aunque puede mencionar en el expediente</w:t>
      </w:r>
      <w:r w:rsidR="00A67E11">
        <w:rPr>
          <w:lang w:val="es-ES"/>
        </w:rPr>
        <w:t xml:space="preserve"> de candidatura la presencia de dicho</w:t>
      </w:r>
      <w:r w:rsidR="00BB0201" w:rsidRPr="00994BB3">
        <w:rPr>
          <w:lang w:val="es-ES"/>
        </w:rPr>
        <w:t xml:space="preserve"> elemento en el (los) territorio(s) de otro(s) país(es)</w:t>
      </w:r>
      <w:r w:rsidR="00510D97" w:rsidRPr="00994BB3">
        <w:rPr>
          <w:lang w:val="es-ES"/>
        </w:rPr>
        <w:t>.</w:t>
      </w:r>
    </w:p>
    <w:p w:rsidR="008631E5" w:rsidRPr="00994BB3" w:rsidRDefault="004500B7" w:rsidP="004936EF">
      <w:pPr>
        <w:pStyle w:val="Numrosance"/>
        <w:numPr>
          <w:ilvl w:val="0"/>
          <w:numId w:val="61"/>
        </w:numPr>
        <w:rPr>
          <w:lang w:val="es-ES"/>
        </w:rPr>
      </w:pPr>
      <w:r w:rsidRPr="00994BB3">
        <w:rPr>
          <w:lang w:val="es-ES"/>
        </w:rPr>
        <w:t>En caso de que el país B ratifique la Convención con posterioridad al país A, ¿tiene la obligación de adherirse a la candidatura del elemento presentada por el país A, o puede presentar una nueva candidatura del mismo para que sea inscrito en una de las Listas de la Convención?</w:t>
      </w:r>
    </w:p>
    <w:p w:rsidR="005D09D0" w:rsidRPr="00994BB3" w:rsidRDefault="00BA4F48" w:rsidP="004936EF">
      <w:pPr>
        <w:pStyle w:val="Rponses"/>
        <w:rPr>
          <w:b/>
          <w:lang w:val="es-ES"/>
        </w:rPr>
      </w:pPr>
      <w:r w:rsidRPr="00994BB3">
        <w:rPr>
          <w:b/>
          <w:lang w:val="es-ES"/>
        </w:rPr>
        <w:t>Respuesta</w:t>
      </w:r>
      <w:r w:rsidR="005D09D0" w:rsidRPr="00994BB3">
        <w:rPr>
          <w:b/>
          <w:lang w:val="es-ES"/>
        </w:rPr>
        <w:t>:</w:t>
      </w:r>
      <w:r w:rsidR="00510D97" w:rsidRPr="00994BB3">
        <w:rPr>
          <w:b/>
          <w:lang w:val="es-ES"/>
        </w:rPr>
        <w:t xml:space="preserve"> </w:t>
      </w:r>
      <w:r w:rsidR="004500B7" w:rsidRPr="00994BB3">
        <w:rPr>
          <w:lang w:val="es-ES"/>
        </w:rPr>
        <w:t>Si el país B tiene la intención de presentar una candidatura del elemento tal y como se manifiesta su territorio, lo más recomendable es que se ponga de acuerdo con el país A para presentar conjuntamente una nueva candidatura. Si a pesar de todo el país B presenta una candidatura por separado, corresponderá al Comité Intergubernamental decidir cómo se debe abordar el problema planteado. Si la viabilidad del elemento en el país B fuera muy diferente de la existente en el país A, la mejor opción sería presentar una candidatura por separado a una lista diferente de la escogida por el país A</w:t>
      </w:r>
      <w:r w:rsidR="00510D97" w:rsidRPr="00994BB3">
        <w:rPr>
          <w:lang w:val="es-ES"/>
        </w:rPr>
        <w:t>.</w:t>
      </w:r>
    </w:p>
    <w:p w:rsidR="001125B6" w:rsidRPr="00994BB3" w:rsidRDefault="004500B7" w:rsidP="004936EF">
      <w:pPr>
        <w:pStyle w:val="Numrosance"/>
        <w:numPr>
          <w:ilvl w:val="0"/>
          <w:numId w:val="61"/>
        </w:numPr>
        <w:rPr>
          <w:lang w:val="es-ES"/>
        </w:rPr>
      </w:pPr>
      <w:r w:rsidRPr="00994BB3">
        <w:rPr>
          <w:lang w:val="es-ES"/>
        </w:rPr>
        <w:t>Teniendo en cuenta que el sitio de la peregrinación es inherente a la manifestación del elemento del PCI, ¿significa esto que se debe presentar una candidatura para la inscripción en la Lista del Patrimonio Mundial, en vez de hacerlo para la Lista de la Convención del Patrimonio Cultural Inmaterial?</w:t>
      </w:r>
    </w:p>
    <w:p w:rsidR="00B64312" w:rsidRPr="00994BB3" w:rsidRDefault="00BA4F48" w:rsidP="004936EF">
      <w:pPr>
        <w:pStyle w:val="Rponses"/>
        <w:rPr>
          <w:lang w:val="es-ES"/>
        </w:rPr>
      </w:pPr>
      <w:r w:rsidRPr="00994BB3">
        <w:rPr>
          <w:b/>
          <w:lang w:val="es-ES"/>
        </w:rPr>
        <w:t>Respuesta</w:t>
      </w:r>
      <w:r w:rsidR="00B64312" w:rsidRPr="00994BB3">
        <w:rPr>
          <w:b/>
          <w:lang w:val="es-ES"/>
        </w:rPr>
        <w:t xml:space="preserve">: </w:t>
      </w:r>
      <w:r w:rsidR="004500B7" w:rsidRPr="00994BB3">
        <w:rPr>
          <w:lang w:val="es-ES"/>
        </w:rPr>
        <w:t xml:space="preserve">Si se considera que el elemento central es la peregrinación propiamente dicha, los lugares de su manifestación (emplazamiento del culto, itinerarios que conducen a éste, etc.) se pueden considerar espacios culturales en el sentido del Artículo 2.1 de la Convención del Patrimonio Inmaterial. Si se considera que uno o más de los espacios relacionados con la peregrinación poseen un valor universal excepcional, </w:t>
      </w:r>
      <w:r w:rsidR="00A67E11">
        <w:rPr>
          <w:lang w:val="es-ES"/>
        </w:rPr>
        <w:t>de conformidad con</w:t>
      </w:r>
      <w:r w:rsidR="004500B7" w:rsidRPr="00994BB3">
        <w:rPr>
          <w:lang w:val="es-ES"/>
        </w:rPr>
        <w:t xml:space="preserve"> los criterios aplicados para las inscripciones en la Lista del Patrimonio Mundial, entonces el país de que se trate –a condición de que sea Estado Parte en ambas Convenciones– puede contemplar la posibilidad de presentar dos candidaturas por separado: una para la inscripción en la Lista del Patrimonio Mundial; y otra para una de las dos Listas de la Convención del Patrimonio Inmaterial</w:t>
      </w:r>
      <w:r w:rsidR="00B64312" w:rsidRPr="00994BB3">
        <w:rPr>
          <w:lang w:val="es-ES"/>
        </w:rPr>
        <w:t>.</w:t>
      </w:r>
      <w:r w:rsidR="006A2545" w:rsidRPr="00994BB3">
        <w:rPr>
          <w:lang w:val="es-ES"/>
        </w:rPr>
        <w:t xml:space="preserve"> </w:t>
      </w:r>
    </w:p>
    <w:p w:rsidR="001125B6" w:rsidRPr="00994BB3" w:rsidRDefault="004500B7" w:rsidP="004936EF">
      <w:pPr>
        <w:pStyle w:val="Numrosance"/>
        <w:numPr>
          <w:ilvl w:val="0"/>
          <w:numId w:val="61"/>
        </w:numPr>
        <w:rPr>
          <w:lang w:val="es-ES"/>
        </w:rPr>
      </w:pPr>
      <w:r w:rsidRPr="00994BB3">
        <w:rPr>
          <w:lang w:val="es-ES"/>
        </w:rPr>
        <w:t>Si se presenta una candidatura del elemento para su inscripción en una de las Listas de la Convención, ¿se tienen que incluir en ella todos los rituales de iniciación, o solamente la peregrinación al lago?</w:t>
      </w:r>
    </w:p>
    <w:p w:rsidR="005D09D0" w:rsidRPr="00994BB3" w:rsidRDefault="00BA4F48" w:rsidP="004936EF">
      <w:pPr>
        <w:pStyle w:val="Rponses"/>
        <w:rPr>
          <w:lang w:val="es-ES"/>
        </w:rPr>
      </w:pPr>
      <w:r w:rsidRPr="00994BB3">
        <w:rPr>
          <w:b/>
          <w:lang w:val="es-ES"/>
        </w:rPr>
        <w:t>Respuesta</w:t>
      </w:r>
      <w:r w:rsidR="005D09D0" w:rsidRPr="00994BB3">
        <w:rPr>
          <w:b/>
          <w:lang w:val="es-ES"/>
        </w:rPr>
        <w:t>:</w:t>
      </w:r>
      <w:r w:rsidR="00093197" w:rsidRPr="00994BB3">
        <w:rPr>
          <w:b/>
          <w:lang w:val="es-ES"/>
        </w:rPr>
        <w:t xml:space="preserve"> </w:t>
      </w:r>
      <w:r w:rsidR="00FF4AEE" w:rsidRPr="00994BB3">
        <w:rPr>
          <w:lang w:val="es-ES"/>
        </w:rPr>
        <w:t>En las DO no se dan indicaciones precisas para resolver este tipo de cuestiones. Lo que importa tener en cuenta es que el elemento propuesto para su inscripción sea reconocido como patrimonio cultural propio por la comunidad interesada. Ésta puede estar de acuerdo con que se presente la candidatura de una parte bien delimitada de los ritos y otros usos constitutivos de la peregrinación. También puede oponerse a la delimitación de una parte del elemento por considerar que las prácticas, expresiones y conocimientos relacionados con la peregrinación forman un conjunto que no debe ser parcelado por consideraciones ajenas a lo que ella estima ser su patrimonio cultural</w:t>
      </w:r>
      <w:r w:rsidR="00093197" w:rsidRPr="00994BB3">
        <w:rPr>
          <w:lang w:val="es-ES"/>
        </w:rPr>
        <w:t>.</w:t>
      </w:r>
    </w:p>
    <w:p w:rsidR="00067922" w:rsidRPr="00994BB3" w:rsidRDefault="00CC3731" w:rsidP="004936EF">
      <w:pPr>
        <w:pStyle w:val="Numrosance"/>
        <w:numPr>
          <w:ilvl w:val="0"/>
          <w:numId w:val="61"/>
        </w:numPr>
        <w:rPr>
          <w:lang w:val="es-ES"/>
        </w:rPr>
      </w:pPr>
      <w:r w:rsidRPr="00994BB3">
        <w:rPr>
          <w:lang w:val="es-ES"/>
        </w:rPr>
        <w:t>Si ocurre que las comunidades interesadas son, en el plano jurí</w:t>
      </w:r>
      <w:r w:rsidR="00A67E11">
        <w:rPr>
          <w:lang w:val="es-ES"/>
        </w:rPr>
        <w:t xml:space="preserve">dico, nacionales de otro país, pero </w:t>
      </w:r>
      <w:r w:rsidRPr="00994BB3">
        <w:rPr>
          <w:lang w:val="es-ES"/>
        </w:rPr>
        <w:t>están asentadas en el país A o en el país B, ¿se puede presentar la candidatura del PCI de dichas comunidades para su inscripción en una de las Listas de la Convención?</w:t>
      </w:r>
    </w:p>
    <w:p w:rsidR="005D09D0" w:rsidRPr="00994BB3" w:rsidRDefault="00BA4F48" w:rsidP="004936EF">
      <w:pPr>
        <w:pStyle w:val="Rponses"/>
        <w:rPr>
          <w:lang w:val="es-ES"/>
        </w:rPr>
      </w:pPr>
      <w:r w:rsidRPr="00994BB3">
        <w:rPr>
          <w:b/>
          <w:lang w:val="es-ES"/>
        </w:rPr>
        <w:t>Respuesta</w:t>
      </w:r>
      <w:r w:rsidR="005D09D0" w:rsidRPr="00994BB3">
        <w:rPr>
          <w:b/>
          <w:lang w:val="es-ES"/>
        </w:rPr>
        <w:t>:</w:t>
      </w:r>
      <w:r w:rsidR="00F8716B" w:rsidRPr="00994BB3">
        <w:rPr>
          <w:b/>
          <w:lang w:val="es-ES"/>
        </w:rPr>
        <w:t xml:space="preserve"> </w:t>
      </w:r>
      <w:r w:rsidR="00CC3731" w:rsidRPr="00994BB3">
        <w:rPr>
          <w:lang w:val="es-ES"/>
        </w:rPr>
        <w:t>Siempre y cuando la práctica y la transmisión de un elemento específico del PCI tengan lugar dentro del territorio de un Estado Parte en la Convención del Patrimonio Inmaterial, este Estado puede presentar una candidatura para la inscripción del elemento de que se trate en las Listas de la Convención.</w:t>
      </w:r>
    </w:p>
    <w:p w:rsidR="00B21B13" w:rsidRPr="00994BB3" w:rsidRDefault="00FF4AEE" w:rsidP="004936EF">
      <w:pPr>
        <w:pStyle w:val="Soustitre"/>
        <w:rPr>
          <w:lang w:val="es-ES"/>
        </w:rPr>
      </w:pPr>
      <w:r w:rsidRPr="00994BB3">
        <w:rPr>
          <w:lang w:val="es-ES"/>
        </w:rPr>
        <w:t>Preguntas que se plantean frecuentemente</w:t>
      </w:r>
    </w:p>
    <w:p w:rsidR="007C0C5B" w:rsidRPr="00994BB3" w:rsidRDefault="0036647A" w:rsidP="004936EF">
      <w:pPr>
        <w:pStyle w:val="Numrosance"/>
        <w:numPr>
          <w:ilvl w:val="0"/>
          <w:numId w:val="69"/>
        </w:numPr>
        <w:rPr>
          <w:lang w:val="es-ES"/>
        </w:rPr>
      </w:pPr>
      <w:r w:rsidRPr="00994BB3">
        <w:rPr>
          <w:lang w:val="es-ES"/>
        </w:rPr>
        <w:t xml:space="preserve">¿Es posible confeccionar </w:t>
      </w:r>
      <w:r w:rsidR="00CC496D" w:rsidRPr="00994BB3">
        <w:rPr>
          <w:lang w:val="es-ES"/>
        </w:rPr>
        <w:t>el</w:t>
      </w:r>
      <w:r w:rsidRPr="00994BB3">
        <w:rPr>
          <w:lang w:val="es-ES"/>
        </w:rPr>
        <w:t xml:space="preserve"> inventario </w:t>
      </w:r>
      <w:r w:rsidR="00CC496D" w:rsidRPr="00994BB3">
        <w:rPr>
          <w:lang w:val="es-ES"/>
        </w:rPr>
        <w:t>de un elemento del</w:t>
      </w:r>
      <w:r w:rsidRPr="00994BB3">
        <w:rPr>
          <w:lang w:val="es-ES"/>
        </w:rPr>
        <w:t xml:space="preserve"> PCI </w:t>
      </w:r>
      <w:r w:rsidR="00CC496D" w:rsidRPr="00994BB3">
        <w:rPr>
          <w:lang w:val="es-ES"/>
        </w:rPr>
        <w:t>perteneciente a</w:t>
      </w:r>
      <w:r w:rsidRPr="00994BB3">
        <w:rPr>
          <w:lang w:val="es-ES"/>
        </w:rPr>
        <w:t xml:space="preserve"> </w:t>
      </w:r>
      <w:r w:rsidR="00CC496D" w:rsidRPr="00994BB3">
        <w:rPr>
          <w:lang w:val="es-ES"/>
        </w:rPr>
        <w:t>una comunidad inmigrante</w:t>
      </w:r>
      <w:r w:rsidRPr="00994BB3">
        <w:rPr>
          <w:lang w:val="es-ES"/>
        </w:rPr>
        <w:t xml:space="preserve">? ¿Puede </w:t>
      </w:r>
      <w:r w:rsidR="00CC496D" w:rsidRPr="00994BB3">
        <w:rPr>
          <w:lang w:val="es-ES"/>
        </w:rPr>
        <w:t xml:space="preserve">este elemento </w:t>
      </w:r>
      <w:r w:rsidRPr="00994BB3">
        <w:rPr>
          <w:lang w:val="es-ES"/>
        </w:rPr>
        <w:t>ser objeto de una candidatura a la inscripción presentada por el Estado Parte en el que esa</w:t>
      </w:r>
      <w:r w:rsidR="00CC496D" w:rsidRPr="00994BB3">
        <w:rPr>
          <w:lang w:val="es-ES"/>
        </w:rPr>
        <w:t xml:space="preserve"> comunidad</w:t>
      </w:r>
      <w:r w:rsidRPr="00994BB3">
        <w:rPr>
          <w:lang w:val="es-ES"/>
        </w:rPr>
        <w:t xml:space="preserve"> se haya asentado recientemente?</w:t>
      </w:r>
    </w:p>
    <w:p w:rsidR="00954BF8" w:rsidRPr="00994BB3" w:rsidRDefault="00BA4F48" w:rsidP="004936EF">
      <w:pPr>
        <w:pStyle w:val="Rponses"/>
        <w:rPr>
          <w:lang w:val="es-ES"/>
        </w:rPr>
      </w:pPr>
      <w:r w:rsidRPr="00994BB3">
        <w:rPr>
          <w:b/>
          <w:lang w:val="es-ES"/>
        </w:rPr>
        <w:t>Respuesta</w:t>
      </w:r>
      <w:r w:rsidR="007C0C5B" w:rsidRPr="00994BB3">
        <w:rPr>
          <w:b/>
          <w:lang w:val="es-ES"/>
        </w:rPr>
        <w:t>:</w:t>
      </w:r>
      <w:r w:rsidR="007C0C5B" w:rsidRPr="00994BB3">
        <w:rPr>
          <w:lang w:val="es-ES"/>
        </w:rPr>
        <w:t xml:space="preserve"> </w:t>
      </w:r>
      <w:r w:rsidR="0036647A" w:rsidRPr="00994BB3">
        <w:rPr>
          <w:lang w:val="es-ES"/>
        </w:rPr>
        <w:t xml:space="preserve">Sí, es posible, siempre y cuando ese </w:t>
      </w:r>
      <w:r w:rsidR="00CC496D" w:rsidRPr="00994BB3">
        <w:rPr>
          <w:lang w:val="es-ES"/>
        </w:rPr>
        <w:t xml:space="preserve">elemento del </w:t>
      </w:r>
      <w:r w:rsidR="0036647A" w:rsidRPr="00994BB3">
        <w:rPr>
          <w:lang w:val="es-ES"/>
        </w:rPr>
        <w:t>PCI se manifieste y</w:t>
      </w:r>
      <w:r w:rsidR="006A2545" w:rsidRPr="00994BB3">
        <w:rPr>
          <w:lang w:val="es-ES"/>
        </w:rPr>
        <w:t xml:space="preserve"> </w:t>
      </w:r>
      <w:r w:rsidR="0036647A" w:rsidRPr="00994BB3">
        <w:rPr>
          <w:lang w:val="es-ES"/>
        </w:rPr>
        <w:t>transmita en el territorio del Estado Parte en cuestión, y a condición de que cumpla con los criterios pertinentes señalados en</w:t>
      </w:r>
      <w:r w:rsidR="00CC496D" w:rsidRPr="00994BB3">
        <w:rPr>
          <w:lang w:val="es-ES"/>
        </w:rPr>
        <w:t xml:space="preserve"> la DO 1 o en la DO 2 para ser inscrito</w:t>
      </w:r>
      <w:r w:rsidR="003D77F3" w:rsidRPr="00994BB3">
        <w:rPr>
          <w:lang w:val="es-ES"/>
        </w:rPr>
        <w:t>.</w:t>
      </w:r>
    </w:p>
    <w:p w:rsidR="007C0C5B" w:rsidRPr="00994BB3" w:rsidRDefault="00CC496D" w:rsidP="004936EF">
      <w:pPr>
        <w:pStyle w:val="Numrosance"/>
        <w:numPr>
          <w:ilvl w:val="0"/>
          <w:numId w:val="69"/>
        </w:numPr>
        <w:rPr>
          <w:lang w:val="es-ES"/>
        </w:rPr>
      </w:pPr>
      <w:r w:rsidRPr="00994BB3">
        <w:rPr>
          <w:lang w:val="es-ES"/>
        </w:rPr>
        <w:t>¿Es posible confeccionar el inventario de un elemento del PCI perteneciente a una comunidad nómada o apátrida? ¿Puede este elemento ser objeto de una candidatura a la inscripción presentada por un Estado Parte?</w:t>
      </w:r>
    </w:p>
    <w:p w:rsidR="00954BF8" w:rsidRPr="00994BB3" w:rsidRDefault="00BA4F48" w:rsidP="004936EF">
      <w:pPr>
        <w:pStyle w:val="Rponses"/>
        <w:rPr>
          <w:lang w:val="es-ES"/>
        </w:rPr>
      </w:pPr>
      <w:r w:rsidRPr="00994BB3">
        <w:rPr>
          <w:b/>
          <w:lang w:val="es-ES"/>
        </w:rPr>
        <w:t>Respuesta</w:t>
      </w:r>
      <w:r w:rsidR="007C0C5B" w:rsidRPr="00994BB3">
        <w:rPr>
          <w:b/>
          <w:lang w:val="es-ES"/>
        </w:rPr>
        <w:t>:</w:t>
      </w:r>
      <w:r w:rsidR="007C0C5B" w:rsidRPr="00994BB3">
        <w:rPr>
          <w:lang w:val="es-ES"/>
        </w:rPr>
        <w:t xml:space="preserve"> </w:t>
      </w:r>
      <w:r w:rsidR="0093320C" w:rsidRPr="00994BB3">
        <w:rPr>
          <w:lang w:val="es-ES"/>
        </w:rPr>
        <w:t>Sí, es posible, siempre y cuando ese PCI se manifieste y</w:t>
      </w:r>
      <w:r w:rsidR="006A2545" w:rsidRPr="00994BB3">
        <w:rPr>
          <w:lang w:val="es-ES"/>
        </w:rPr>
        <w:t xml:space="preserve"> </w:t>
      </w:r>
      <w:r w:rsidR="0093320C" w:rsidRPr="00994BB3">
        <w:rPr>
          <w:lang w:val="es-ES"/>
        </w:rPr>
        <w:t>transmita en el territorio del Estado Parte en cuestión, y a condición de que cumpla con los criterios pertinentes señalados en la DO 1 o en la DO 2 para ser inscrito.</w:t>
      </w:r>
    </w:p>
    <w:p w:rsidR="007C0C5B" w:rsidRPr="00994BB3" w:rsidRDefault="0093320C" w:rsidP="004936EF">
      <w:pPr>
        <w:pStyle w:val="Numrosance"/>
        <w:numPr>
          <w:ilvl w:val="0"/>
          <w:numId w:val="69"/>
        </w:numPr>
        <w:rPr>
          <w:lang w:val="es-ES"/>
        </w:rPr>
      </w:pPr>
      <w:r w:rsidRPr="00994BB3">
        <w:rPr>
          <w:lang w:val="es-ES"/>
        </w:rPr>
        <w:t>¿Es posible confeccionar un inventario del PCI de comunidades dispersas en diferentes países? ¿Puede ser objeto ese PCI de una candidatura a la inscripción presentada por un Estado Parte?</w:t>
      </w:r>
    </w:p>
    <w:p w:rsidR="00954BF8" w:rsidRPr="00994BB3" w:rsidRDefault="00BA4F48" w:rsidP="004936EF">
      <w:pPr>
        <w:pStyle w:val="Rponses"/>
        <w:rPr>
          <w:lang w:val="es-ES"/>
        </w:rPr>
      </w:pPr>
      <w:r w:rsidRPr="00994BB3">
        <w:rPr>
          <w:b/>
          <w:lang w:val="es-ES"/>
        </w:rPr>
        <w:t>Respuesta</w:t>
      </w:r>
      <w:r w:rsidR="007C0C5B" w:rsidRPr="00994BB3">
        <w:rPr>
          <w:b/>
          <w:lang w:val="es-ES"/>
        </w:rPr>
        <w:t>:</w:t>
      </w:r>
      <w:r w:rsidR="007C0C5B" w:rsidRPr="00994BB3">
        <w:rPr>
          <w:lang w:val="es-ES"/>
        </w:rPr>
        <w:t xml:space="preserve"> </w:t>
      </w:r>
      <w:r w:rsidR="0093320C" w:rsidRPr="00994BB3">
        <w:rPr>
          <w:lang w:val="es-ES"/>
        </w:rPr>
        <w:t>Sí, es posible, siempre y cuando ese PCI se manifieste y</w:t>
      </w:r>
      <w:r w:rsidR="006A2545" w:rsidRPr="00994BB3">
        <w:rPr>
          <w:lang w:val="es-ES"/>
        </w:rPr>
        <w:t xml:space="preserve"> </w:t>
      </w:r>
      <w:r w:rsidR="0093320C" w:rsidRPr="00994BB3">
        <w:rPr>
          <w:lang w:val="es-ES"/>
        </w:rPr>
        <w:t>transmita en el territorio del Estado Parte en cuestión, y a condición de que cumpla con los criterios pertinentes señalados en la DO 1 o en la DO 2 para ser inscrito</w:t>
      </w:r>
      <w:r w:rsidR="003D77F3" w:rsidRPr="00994BB3">
        <w:rPr>
          <w:lang w:val="es-ES"/>
        </w:rPr>
        <w:t>.</w:t>
      </w:r>
    </w:p>
    <w:p w:rsidR="007C0C5B" w:rsidRPr="00994BB3" w:rsidRDefault="00CC496D" w:rsidP="004936EF">
      <w:pPr>
        <w:pStyle w:val="Numrosance"/>
        <w:numPr>
          <w:ilvl w:val="0"/>
          <w:numId w:val="69"/>
        </w:numPr>
        <w:rPr>
          <w:lang w:val="es-ES"/>
        </w:rPr>
      </w:pPr>
      <w:r w:rsidRPr="00994BB3">
        <w:rPr>
          <w:lang w:val="es-ES"/>
        </w:rPr>
        <w:t xml:space="preserve">¿Cómo puede ser objeto de reconocimiento –en un inventario o mediante su inscripción en una de las Listas de la Convención– el PCI de comunidades o naciones que no </w:t>
      </w:r>
      <w:r w:rsidR="00465F29" w:rsidRPr="00994BB3">
        <w:rPr>
          <w:lang w:val="es-ES"/>
        </w:rPr>
        <w:t>es reconocido por</w:t>
      </w:r>
      <w:r w:rsidRPr="00994BB3">
        <w:rPr>
          <w:lang w:val="es-ES"/>
        </w:rPr>
        <w:t xml:space="preserve"> los Estados Partes en cuyos territorios están asentadas?</w:t>
      </w:r>
    </w:p>
    <w:p w:rsidR="00954BF8" w:rsidRPr="00994BB3" w:rsidRDefault="00BA4F48" w:rsidP="004936EF">
      <w:pPr>
        <w:pStyle w:val="Rponses"/>
        <w:rPr>
          <w:lang w:val="es-ES"/>
        </w:rPr>
      </w:pPr>
      <w:r w:rsidRPr="00994BB3">
        <w:rPr>
          <w:b/>
          <w:lang w:val="es-ES"/>
        </w:rPr>
        <w:t>Respuesta</w:t>
      </w:r>
      <w:r w:rsidR="007C0C5B" w:rsidRPr="00994BB3">
        <w:rPr>
          <w:b/>
          <w:lang w:val="es-ES"/>
        </w:rPr>
        <w:t>:</w:t>
      </w:r>
      <w:r w:rsidR="007C0C5B" w:rsidRPr="00994BB3">
        <w:rPr>
          <w:lang w:val="es-ES"/>
        </w:rPr>
        <w:t xml:space="preserve"> </w:t>
      </w:r>
      <w:r w:rsidR="008017FD" w:rsidRPr="00994BB3">
        <w:rPr>
          <w:lang w:val="es-ES"/>
        </w:rPr>
        <w:t xml:space="preserve">Es difícil obtener ese reconocimiento, salvo en casos de extrema urgencia </w:t>
      </w:r>
      <w:r w:rsidR="008017FD" w:rsidRPr="00B7572D">
        <w:rPr>
          <w:lang w:val="es-ES"/>
        </w:rPr>
        <w:t>(véase la DO 32).</w:t>
      </w:r>
      <w:r w:rsidR="008017FD" w:rsidRPr="00994BB3">
        <w:rPr>
          <w:lang w:val="es-ES"/>
        </w:rPr>
        <w:t xml:space="preserve"> Si fracasan las propuestas presentadas por algunas comunidades (</w:t>
      </w:r>
      <w:r w:rsidR="00520023">
        <w:rPr>
          <w:lang w:val="es-ES"/>
        </w:rPr>
        <w:t>o</w:t>
      </w:r>
      <w:r w:rsidR="008017FD" w:rsidRPr="00994BB3">
        <w:rPr>
          <w:lang w:val="es-ES"/>
        </w:rPr>
        <w:t xml:space="preserve"> </w:t>
      </w:r>
      <w:r w:rsidR="00520023">
        <w:rPr>
          <w:lang w:val="es-ES"/>
        </w:rPr>
        <w:t xml:space="preserve">algunas </w:t>
      </w:r>
      <w:r w:rsidR="008017FD" w:rsidRPr="00994BB3">
        <w:rPr>
          <w:lang w:val="es-ES"/>
        </w:rPr>
        <w:t>ONG) a las autoridades de un Estado Parte para confeccionar un inventario de determinados elementos de su PCI a nivel nacional, existe la posibilidad de dirigirse al Comité Intergubernamental habida cuenta de que el Estado en cuestión parece mostrarse reacio a cumplir con su obligación de adoptar medidas encaminadas a confeccionar inventarios del PCI presente en su territorio</w:t>
      </w:r>
      <w:r w:rsidR="006A2545" w:rsidRPr="00994BB3">
        <w:rPr>
          <w:lang w:val="es-ES"/>
        </w:rPr>
        <w:t xml:space="preserve"> </w:t>
      </w:r>
      <w:r w:rsidR="008017FD" w:rsidRPr="00994BB3">
        <w:rPr>
          <w:lang w:val="es-ES"/>
        </w:rPr>
        <w:t>y a salvaguardarlo.</w:t>
      </w:r>
    </w:p>
    <w:p w:rsidR="001359FC" w:rsidRPr="00994BB3" w:rsidRDefault="008017FD" w:rsidP="004936EF">
      <w:pPr>
        <w:pStyle w:val="Numrosance"/>
        <w:numPr>
          <w:ilvl w:val="0"/>
          <w:numId w:val="69"/>
        </w:numPr>
        <w:rPr>
          <w:lang w:val="es-ES"/>
        </w:rPr>
      </w:pPr>
      <w:r w:rsidRPr="00994BB3">
        <w:rPr>
          <w:lang w:val="es-ES"/>
        </w:rPr>
        <w:t>¿Cómo se puede salvaguardar el PCI en peligro cuando el Estado Parte interesado no lo reconoce?</w:t>
      </w:r>
    </w:p>
    <w:p w:rsidR="00954BF8" w:rsidRPr="00994BB3" w:rsidRDefault="00BA4F48" w:rsidP="004936EF">
      <w:pPr>
        <w:pStyle w:val="Rponses"/>
        <w:rPr>
          <w:lang w:val="es-ES"/>
        </w:rPr>
      </w:pPr>
      <w:r w:rsidRPr="00994BB3">
        <w:rPr>
          <w:b/>
          <w:lang w:val="es-ES"/>
        </w:rPr>
        <w:t>Respuesta</w:t>
      </w:r>
      <w:r w:rsidR="001359FC" w:rsidRPr="00994BB3">
        <w:rPr>
          <w:b/>
          <w:lang w:val="es-ES"/>
        </w:rPr>
        <w:t>:</w:t>
      </w:r>
      <w:r w:rsidR="001359FC" w:rsidRPr="00994BB3">
        <w:rPr>
          <w:lang w:val="es-ES"/>
        </w:rPr>
        <w:t xml:space="preserve"> </w:t>
      </w:r>
      <w:r w:rsidR="00342579" w:rsidRPr="00994BB3">
        <w:rPr>
          <w:lang w:val="es-ES"/>
        </w:rPr>
        <w:t>En algunos casos, es probable que las comunidades interesadas y quienes están autorizados para prestarles ayuda (por ejemplo, algunas ONG) asuman la tarea de salvaguardar el PCI en peligro. En casos de extrema urgencia, la DO 32 permite a otras partes interesadas –y no sólo al Estado Parte– señalar a la atención de la Mesa del Comité Intergubernamental la situación de un elemento en peligro.</w:t>
      </w:r>
    </w:p>
    <w:p w:rsidR="009F4039" w:rsidRPr="00994BB3" w:rsidRDefault="00800081" w:rsidP="004936EF">
      <w:pPr>
        <w:pStyle w:val="Numrosance"/>
        <w:numPr>
          <w:ilvl w:val="0"/>
          <w:numId w:val="69"/>
        </w:numPr>
        <w:rPr>
          <w:lang w:val="es-ES"/>
        </w:rPr>
      </w:pPr>
      <w:r w:rsidRPr="00994BB3">
        <w:rPr>
          <w:lang w:val="es-ES"/>
        </w:rPr>
        <w:t>¿Es posible que varios Estados Partes confeccionen, cada uno por su cuenta,</w:t>
      </w:r>
      <w:r w:rsidR="006A2545" w:rsidRPr="00994BB3">
        <w:rPr>
          <w:lang w:val="es-ES"/>
        </w:rPr>
        <w:t xml:space="preserve"> </w:t>
      </w:r>
      <w:r w:rsidRPr="00994BB3">
        <w:rPr>
          <w:lang w:val="es-ES"/>
        </w:rPr>
        <w:t>inventarios de un mismo elemento del PCI (o de varios elementos semejantes) y presenten candidaturas para la inscripción de dicho(s) elemento(s) por separado?</w:t>
      </w:r>
    </w:p>
    <w:p w:rsidR="00954BF8" w:rsidRPr="00994BB3" w:rsidRDefault="00BA4F48" w:rsidP="004936EF">
      <w:pPr>
        <w:pStyle w:val="Rponses"/>
        <w:rPr>
          <w:lang w:val="es-ES"/>
        </w:rPr>
      </w:pPr>
      <w:r w:rsidRPr="00994BB3">
        <w:rPr>
          <w:b/>
          <w:lang w:val="es-ES"/>
        </w:rPr>
        <w:t>Respuesta</w:t>
      </w:r>
      <w:r w:rsidR="009F4039" w:rsidRPr="00994BB3">
        <w:rPr>
          <w:b/>
          <w:lang w:val="es-ES"/>
        </w:rPr>
        <w:t>:</w:t>
      </w:r>
      <w:r w:rsidR="009F4039" w:rsidRPr="00994BB3">
        <w:rPr>
          <w:lang w:val="es-ES"/>
        </w:rPr>
        <w:t xml:space="preserve"> </w:t>
      </w:r>
      <w:r w:rsidR="00800081" w:rsidRPr="00994BB3">
        <w:rPr>
          <w:lang w:val="es-ES"/>
        </w:rPr>
        <w:t>Sí, es posible, siempre y cuando dicho(s) elemento(s) del PCI se manifieste(n) y</w:t>
      </w:r>
      <w:r w:rsidR="006A2545" w:rsidRPr="00994BB3">
        <w:rPr>
          <w:lang w:val="es-ES"/>
        </w:rPr>
        <w:t xml:space="preserve"> </w:t>
      </w:r>
      <w:r w:rsidR="00800081" w:rsidRPr="00994BB3">
        <w:rPr>
          <w:lang w:val="es-ES"/>
        </w:rPr>
        <w:t>transmita(n) en los territorios de los Estados Partes en cuestión, y a condición de que cumpla(n) con los criterios pertinentes señalados en la DO 1 o en la DO 2 para ser inscrito(s).</w:t>
      </w:r>
    </w:p>
    <w:p w:rsidR="009F4039" w:rsidRPr="00994BB3" w:rsidRDefault="00D70080" w:rsidP="004936EF">
      <w:pPr>
        <w:pStyle w:val="Numrosance"/>
        <w:numPr>
          <w:ilvl w:val="0"/>
          <w:numId w:val="69"/>
        </w:numPr>
        <w:rPr>
          <w:lang w:val="es-ES"/>
        </w:rPr>
      </w:pPr>
      <w:r w:rsidRPr="00994BB3">
        <w:rPr>
          <w:lang w:val="es-ES"/>
        </w:rPr>
        <w:t>¿Tiene un Estado Parte derecho a vetar la(s) candidatura(s) presentada(s) por otro(s) Estado(s)?</w:t>
      </w:r>
    </w:p>
    <w:p w:rsidR="00954BF8" w:rsidRPr="00994BB3" w:rsidRDefault="00BA4F48" w:rsidP="004936EF">
      <w:pPr>
        <w:pStyle w:val="Rponses"/>
        <w:rPr>
          <w:lang w:val="es-ES"/>
        </w:rPr>
      </w:pPr>
      <w:r w:rsidRPr="00994BB3">
        <w:rPr>
          <w:b/>
          <w:lang w:val="es-ES"/>
        </w:rPr>
        <w:t>Respuesta</w:t>
      </w:r>
      <w:r w:rsidR="007061A4" w:rsidRPr="00994BB3">
        <w:rPr>
          <w:b/>
          <w:lang w:val="es-ES"/>
        </w:rPr>
        <w:t>:</w:t>
      </w:r>
      <w:r w:rsidR="009F4039" w:rsidRPr="00994BB3">
        <w:rPr>
          <w:lang w:val="es-ES"/>
        </w:rPr>
        <w:t xml:space="preserve"> </w:t>
      </w:r>
      <w:r w:rsidR="00D70080" w:rsidRPr="00994BB3">
        <w:rPr>
          <w:lang w:val="es-ES"/>
        </w:rPr>
        <w:t>No tiene ese derecho, pero se puede oponer a la inscripción en caso de que sea miembro del Comité Intergubernamental</w:t>
      </w:r>
      <w:r w:rsidR="003D77F3" w:rsidRPr="00994BB3">
        <w:rPr>
          <w:lang w:val="es-ES"/>
        </w:rPr>
        <w:t>.</w:t>
      </w:r>
    </w:p>
    <w:p w:rsidR="003660C0" w:rsidRPr="00994BB3" w:rsidRDefault="0007584E" w:rsidP="004936EF">
      <w:pPr>
        <w:pStyle w:val="Numrosance"/>
        <w:numPr>
          <w:ilvl w:val="0"/>
          <w:numId w:val="69"/>
        </w:numPr>
        <w:rPr>
          <w:lang w:val="es-ES"/>
        </w:rPr>
      </w:pPr>
      <w:r w:rsidRPr="00994BB3">
        <w:rPr>
          <w:lang w:val="es-ES"/>
        </w:rPr>
        <w:t xml:space="preserve">En </w:t>
      </w:r>
      <w:r w:rsidR="00520023">
        <w:rPr>
          <w:lang w:val="es-ES"/>
        </w:rPr>
        <w:t>el</w:t>
      </w:r>
      <w:r w:rsidRPr="00994BB3">
        <w:rPr>
          <w:lang w:val="es-ES"/>
        </w:rPr>
        <w:t xml:space="preserve"> expediente de candidatura </w:t>
      </w:r>
      <w:r w:rsidR="006A2545" w:rsidRPr="00994BB3">
        <w:rPr>
          <w:lang w:val="es-ES"/>
        </w:rPr>
        <w:t>presentado</w:t>
      </w:r>
      <w:r w:rsidRPr="00994BB3">
        <w:rPr>
          <w:lang w:val="es-ES"/>
        </w:rPr>
        <w:t xml:space="preserve"> por un solo Estado Parte, ¿qué información se exige sobre el </w:t>
      </w:r>
      <w:r w:rsidR="006A2545" w:rsidRPr="00994BB3">
        <w:rPr>
          <w:lang w:val="es-ES"/>
        </w:rPr>
        <w:t xml:space="preserve">elemento del </w:t>
      </w:r>
      <w:r w:rsidR="00B012D4" w:rsidRPr="00994BB3">
        <w:rPr>
          <w:lang w:val="es-ES"/>
        </w:rPr>
        <w:t>PCI</w:t>
      </w:r>
      <w:r w:rsidR="00954BF8" w:rsidRPr="00994BB3">
        <w:rPr>
          <w:lang w:val="es-ES"/>
        </w:rPr>
        <w:t xml:space="preserve"> </w:t>
      </w:r>
      <w:r w:rsidRPr="00994BB3">
        <w:rPr>
          <w:lang w:val="es-ES"/>
        </w:rPr>
        <w:t xml:space="preserve">practicado o representado fuera del </w:t>
      </w:r>
      <w:r w:rsidR="006A2545" w:rsidRPr="00994BB3">
        <w:rPr>
          <w:lang w:val="es-ES"/>
        </w:rPr>
        <w:t xml:space="preserve">territorio del </w:t>
      </w:r>
      <w:r w:rsidRPr="00994BB3">
        <w:rPr>
          <w:lang w:val="es-ES"/>
        </w:rPr>
        <w:t xml:space="preserve">Estado </w:t>
      </w:r>
      <w:r w:rsidR="006A2545" w:rsidRPr="00994BB3">
        <w:rPr>
          <w:lang w:val="es-ES"/>
        </w:rPr>
        <w:t>autor del inventario y de la candidatura de ese elemento</w:t>
      </w:r>
      <w:r w:rsidR="00954BF8" w:rsidRPr="00994BB3">
        <w:rPr>
          <w:lang w:val="es-ES"/>
        </w:rPr>
        <w:t>?</w:t>
      </w:r>
    </w:p>
    <w:p w:rsidR="00954BF8" w:rsidRPr="00994BB3" w:rsidRDefault="00BA4F48" w:rsidP="004936EF">
      <w:pPr>
        <w:pStyle w:val="Rponses"/>
        <w:rPr>
          <w:lang w:val="es-ES"/>
        </w:rPr>
      </w:pPr>
      <w:r w:rsidRPr="00994BB3">
        <w:rPr>
          <w:b/>
          <w:lang w:val="es-ES"/>
        </w:rPr>
        <w:t>Respuesta</w:t>
      </w:r>
      <w:r w:rsidR="007061A4" w:rsidRPr="00994BB3">
        <w:rPr>
          <w:b/>
          <w:lang w:val="es-ES"/>
        </w:rPr>
        <w:t>:</w:t>
      </w:r>
      <w:r w:rsidR="003660C0" w:rsidRPr="00994BB3">
        <w:rPr>
          <w:lang w:val="es-ES"/>
        </w:rPr>
        <w:t xml:space="preserve"> </w:t>
      </w:r>
      <w:r w:rsidR="0007584E" w:rsidRPr="00994BB3">
        <w:rPr>
          <w:lang w:val="es-ES"/>
        </w:rPr>
        <w:t>La mayor parte de la información debe referirse al elemento del PCI practicado o representado dentro del territorio del Estado que presenta la candidatura,</w:t>
      </w:r>
      <w:r w:rsidR="006A2545" w:rsidRPr="00994BB3">
        <w:rPr>
          <w:lang w:val="es-ES"/>
        </w:rPr>
        <w:t xml:space="preserve"> </w:t>
      </w:r>
      <w:r w:rsidR="0007584E" w:rsidRPr="00994BB3">
        <w:rPr>
          <w:lang w:val="es-ES"/>
        </w:rPr>
        <w:t>pero se deben aportar datos contextuales sobre la(s) práctica(s) conexa(s) del elemento en cuestión que tengan lugar fuera del territorio de este Estado</w:t>
      </w:r>
      <w:r w:rsidR="003D77F3" w:rsidRPr="00994BB3">
        <w:rPr>
          <w:lang w:val="es-ES"/>
        </w:rPr>
        <w:t>.</w:t>
      </w:r>
    </w:p>
    <w:p w:rsidR="00640C6C" w:rsidRPr="00994BB3" w:rsidRDefault="009F0B2C" w:rsidP="004936EF">
      <w:pPr>
        <w:pStyle w:val="Numrosance"/>
        <w:numPr>
          <w:ilvl w:val="0"/>
          <w:numId w:val="69"/>
        </w:numPr>
        <w:rPr>
          <w:lang w:val="es-ES"/>
        </w:rPr>
      </w:pPr>
      <w:r w:rsidRPr="00994BB3">
        <w:rPr>
          <w:lang w:val="es-ES"/>
        </w:rPr>
        <w:t>¿Tienen los Estados Partes la obligación de presentar candidaturas multinacionales para el PCI compartido?</w:t>
      </w:r>
    </w:p>
    <w:p w:rsidR="00954BF8" w:rsidRPr="00994BB3" w:rsidRDefault="00BA4F48" w:rsidP="004936EF">
      <w:pPr>
        <w:pStyle w:val="Rponses"/>
        <w:rPr>
          <w:lang w:val="es-ES"/>
        </w:rPr>
      </w:pPr>
      <w:r w:rsidRPr="00994BB3">
        <w:rPr>
          <w:b/>
          <w:lang w:val="es-ES"/>
        </w:rPr>
        <w:t>Respuesta</w:t>
      </w:r>
      <w:r w:rsidR="007061A4" w:rsidRPr="00994BB3">
        <w:rPr>
          <w:b/>
          <w:lang w:val="es-ES"/>
        </w:rPr>
        <w:t>:</w:t>
      </w:r>
      <w:r w:rsidR="00640C6C" w:rsidRPr="00994BB3">
        <w:rPr>
          <w:lang w:val="es-ES"/>
        </w:rPr>
        <w:t xml:space="preserve"> </w:t>
      </w:r>
      <w:r w:rsidR="009F0B2C" w:rsidRPr="00994BB3">
        <w:rPr>
          <w:lang w:val="es-ES"/>
        </w:rPr>
        <w:t>No tienen esa obligación, pero se les alienta vivamente a presentar conjuntamente candidaturas de este tipo (DO 13). Si un elemento del PCI compartido ya se ha inscrito en una de las Listas de la Convención, otros Estados Partes pueden pedir que se amplíe la inscripción (DO 14) para incluir el PCI practicado y transmitido en sus territorios respectivos, si todas las partes interesadas están de acuerdo</w:t>
      </w:r>
      <w:r w:rsidR="003D77F3" w:rsidRPr="00994BB3">
        <w:rPr>
          <w:lang w:val="es-ES"/>
        </w:rPr>
        <w:t>.</w:t>
      </w:r>
    </w:p>
    <w:p w:rsidR="009B5273" w:rsidRPr="00994BB3" w:rsidRDefault="00CD0851" w:rsidP="004936EF">
      <w:pPr>
        <w:pStyle w:val="Heading6"/>
        <w:rPr>
          <w:lang w:val="es-ES"/>
        </w:rPr>
      </w:pPr>
      <w:r w:rsidRPr="00994BB3">
        <w:rPr>
          <w:lang w:val="es-ES"/>
        </w:rPr>
        <w:t>DIAPOSITIVA</w:t>
      </w:r>
      <w:r w:rsidR="008F3EFC" w:rsidRPr="00994BB3">
        <w:rPr>
          <w:lang w:val="es-ES"/>
        </w:rPr>
        <w:t xml:space="preserve"> </w:t>
      </w:r>
      <w:r w:rsidR="00BB45B7" w:rsidRPr="00994BB3">
        <w:rPr>
          <w:lang w:val="es-ES"/>
        </w:rPr>
        <w:t>5</w:t>
      </w:r>
      <w:r w:rsidR="009B5273" w:rsidRPr="00994BB3">
        <w:rPr>
          <w:lang w:val="es-ES"/>
        </w:rPr>
        <w:t>.</w:t>
      </w:r>
    </w:p>
    <w:p w:rsidR="001F1A8C" w:rsidRPr="00994BB3" w:rsidRDefault="00412973" w:rsidP="004936EF">
      <w:pPr>
        <w:pStyle w:val="diapo2"/>
        <w:rPr>
          <w:lang w:val="es-ES"/>
        </w:rPr>
      </w:pPr>
      <w:r w:rsidRPr="00994BB3">
        <w:rPr>
          <w:bCs/>
          <w:lang w:val="es-ES"/>
        </w:rPr>
        <w:t>Asistencia internacional</w:t>
      </w:r>
    </w:p>
    <w:p w:rsidR="0037668E" w:rsidRPr="00994BB3" w:rsidRDefault="00BA4F48" w:rsidP="009909DD">
      <w:pPr>
        <w:pStyle w:val="Texte1"/>
        <w:rPr>
          <w:lang w:val="es-ES"/>
        </w:rPr>
      </w:pPr>
      <w:r w:rsidRPr="00994BB3">
        <w:rPr>
          <w:lang w:val="es-ES"/>
        </w:rPr>
        <w:t>Véase la Sección 5</w:t>
      </w:r>
      <w:r w:rsidR="005B24F5" w:rsidRPr="00994BB3">
        <w:rPr>
          <w:lang w:val="es-ES"/>
        </w:rPr>
        <w:t xml:space="preserve"> </w:t>
      </w:r>
      <w:r w:rsidRPr="00994BB3">
        <w:rPr>
          <w:lang w:val="es-ES"/>
        </w:rPr>
        <w:t xml:space="preserve">del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AC5B27" w:rsidRPr="00994BB3">
        <w:rPr>
          <w:lang w:val="es-ES"/>
        </w:rPr>
        <w:t>Unidad</w:t>
      </w:r>
      <w:r w:rsidRPr="00994BB3">
        <w:rPr>
          <w:lang w:val="es-ES"/>
        </w:rPr>
        <w:t xml:space="preserve"> 12</w:t>
      </w:r>
      <w:r w:rsidR="005B24F5" w:rsidRPr="00994BB3">
        <w:rPr>
          <w:lang w:val="es-ES"/>
        </w:rPr>
        <w:t xml:space="preserve">. </w:t>
      </w:r>
    </w:p>
    <w:p w:rsidR="009B5273" w:rsidRPr="00994BB3" w:rsidRDefault="00CD0851" w:rsidP="004936EF">
      <w:pPr>
        <w:pStyle w:val="Heading6"/>
        <w:rPr>
          <w:lang w:val="es-ES"/>
        </w:rPr>
      </w:pPr>
      <w:r w:rsidRPr="00994BB3">
        <w:rPr>
          <w:lang w:val="es-ES"/>
        </w:rPr>
        <w:t>DIAPOSITIVA</w:t>
      </w:r>
      <w:r w:rsidR="0037668E" w:rsidRPr="00994BB3">
        <w:rPr>
          <w:lang w:val="es-ES"/>
        </w:rPr>
        <w:t xml:space="preserve"> 6</w:t>
      </w:r>
      <w:r w:rsidR="009B5273" w:rsidRPr="00994BB3">
        <w:rPr>
          <w:lang w:val="es-ES"/>
        </w:rPr>
        <w:t>.</w:t>
      </w:r>
    </w:p>
    <w:p w:rsidR="0037668E" w:rsidRPr="00994BB3" w:rsidRDefault="00412973" w:rsidP="004936EF">
      <w:pPr>
        <w:pStyle w:val="diapo2"/>
        <w:rPr>
          <w:lang w:val="es-ES"/>
        </w:rPr>
      </w:pPr>
      <w:r w:rsidRPr="00994BB3">
        <w:rPr>
          <w:bCs/>
          <w:lang w:val="es-ES"/>
        </w:rPr>
        <w:t>Fondo para la Salvaguardia del PCI</w:t>
      </w:r>
    </w:p>
    <w:p w:rsidR="003E2D4E" w:rsidRPr="00994BB3" w:rsidRDefault="00BA4F48" w:rsidP="009909DD">
      <w:pPr>
        <w:pStyle w:val="Texte1"/>
        <w:rPr>
          <w:lang w:val="es-ES"/>
        </w:rPr>
      </w:pPr>
      <w:r w:rsidRPr="00994BB3">
        <w:rPr>
          <w:lang w:val="es-ES"/>
        </w:rPr>
        <w:t>Véase la Sección 4 del Texto para el Participante de la presente Unidad 12</w:t>
      </w:r>
      <w:r w:rsidR="004F3A46">
        <w:rPr>
          <w:lang w:val="es-ES"/>
        </w:rPr>
        <w:t>.</w:t>
      </w:r>
    </w:p>
    <w:p w:rsidR="00D20466" w:rsidRPr="00994BB3" w:rsidRDefault="00D20466" w:rsidP="004936EF">
      <w:pPr>
        <w:pStyle w:val="Soustitre"/>
        <w:rPr>
          <w:caps/>
          <w:lang w:val="es-ES"/>
        </w:rPr>
      </w:pPr>
      <w:bookmarkStart w:id="10" w:name="_Toc238982276"/>
      <w:r w:rsidRPr="00994BB3">
        <w:rPr>
          <w:lang w:val="es-ES"/>
        </w:rPr>
        <w:t>Not</w:t>
      </w:r>
      <w:bookmarkEnd w:id="10"/>
      <w:r w:rsidR="00412973" w:rsidRPr="00994BB3">
        <w:rPr>
          <w:lang w:val="es-ES"/>
        </w:rPr>
        <w:t>a sobre el plan de utilización del Fondo</w:t>
      </w:r>
    </w:p>
    <w:p w:rsidR="00284531" w:rsidRPr="00994BB3" w:rsidRDefault="00412973" w:rsidP="009909DD">
      <w:pPr>
        <w:pStyle w:val="Texte1"/>
        <w:rPr>
          <w:lang w:val="es-ES"/>
        </w:rPr>
      </w:pPr>
      <w:r w:rsidRPr="00994BB3">
        <w:rPr>
          <w:lang w:val="es-ES"/>
        </w:rPr>
        <w:t>En cada reunión ordinaria de la Asamblea General, el Comité presenta un plan bienal de utilización del Fondo para la Salvaguardia del PCI</w:t>
      </w:r>
      <w:r w:rsidR="005E4996" w:rsidRPr="00994BB3">
        <w:rPr>
          <w:lang w:val="es-ES"/>
        </w:rPr>
        <w:t xml:space="preserve">. </w:t>
      </w:r>
      <w:r w:rsidRPr="00994BB3">
        <w:rPr>
          <w:lang w:val="es-ES"/>
        </w:rPr>
        <w:t>Una vez que ha transcurrido el plazo de dos años, el Comité tiene la obligación de presentar un informe sobre el uso efectivo que se ha</w:t>
      </w:r>
      <w:r w:rsidR="004F3A46">
        <w:rPr>
          <w:lang w:val="es-ES"/>
        </w:rPr>
        <w:t>ya</w:t>
      </w:r>
      <w:r w:rsidRPr="00994BB3">
        <w:rPr>
          <w:lang w:val="es-ES"/>
        </w:rPr>
        <w:t xml:space="preserve"> hecho de los recursos del Fondo</w:t>
      </w:r>
      <w:r w:rsidR="00284531" w:rsidRPr="00994BB3">
        <w:rPr>
          <w:lang w:val="es-ES"/>
        </w:rPr>
        <w:t>.</w:t>
      </w:r>
    </w:p>
    <w:p w:rsidR="009B5273" w:rsidRPr="00994BB3" w:rsidRDefault="00CD0851" w:rsidP="004936EF">
      <w:pPr>
        <w:pStyle w:val="Heading6"/>
        <w:rPr>
          <w:lang w:val="es-ES"/>
        </w:rPr>
      </w:pPr>
      <w:r w:rsidRPr="00994BB3">
        <w:rPr>
          <w:lang w:val="es-ES"/>
        </w:rPr>
        <w:t>DIAPOSITIVA</w:t>
      </w:r>
      <w:r w:rsidR="00CD2EE9" w:rsidRPr="00994BB3">
        <w:rPr>
          <w:lang w:val="es-ES"/>
        </w:rPr>
        <w:t xml:space="preserve"> </w:t>
      </w:r>
      <w:r w:rsidR="0037668E" w:rsidRPr="00994BB3">
        <w:rPr>
          <w:lang w:val="es-ES"/>
        </w:rPr>
        <w:t>7</w:t>
      </w:r>
      <w:r w:rsidR="009B5273" w:rsidRPr="00994BB3">
        <w:rPr>
          <w:lang w:val="es-ES"/>
        </w:rPr>
        <w:t>.</w:t>
      </w:r>
    </w:p>
    <w:p w:rsidR="00284531" w:rsidRPr="00994BB3" w:rsidRDefault="00A00F57" w:rsidP="004936EF">
      <w:pPr>
        <w:pStyle w:val="diapo2"/>
        <w:rPr>
          <w:lang w:val="es-ES"/>
        </w:rPr>
      </w:pPr>
      <w:r w:rsidRPr="00994BB3">
        <w:rPr>
          <w:lang w:val="es-ES"/>
        </w:rPr>
        <w:t>Obje</w:t>
      </w:r>
      <w:r w:rsidR="00412973" w:rsidRPr="00994BB3">
        <w:rPr>
          <w:lang w:val="es-ES"/>
        </w:rPr>
        <w:t>tivo</w:t>
      </w:r>
      <w:r w:rsidRPr="00994BB3">
        <w:rPr>
          <w:lang w:val="es-ES"/>
        </w:rPr>
        <w:t>s</w:t>
      </w:r>
      <w:r w:rsidR="00284531" w:rsidRPr="00994BB3">
        <w:rPr>
          <w:lang w:val="es-ES"/>
        </w:rPr>
        <w:t xml:space="preserve"> </w:t>
      </w:r>
      <w:r w:rsidR="00412973" w:rsidRPr="00994BB3">
        <w:rPr>
          <w:lang w:val="es-ES"/>
        </w:rPr>
        <w:t>de la a</w:t>
      </w:r>
      <w:r w:rsidR="00451F0F" w:rsidRPr="00994BB3">
        <w:rPr>
          <w:lang w:val="es-ES"/>
        </w:rPr>
        <w:t>sist</w:t>
      </w:r>
      <w:r w:rsidR="00412973" w:rsidRPr="00994BB3">
        <w:rPr>
          <w:lang w:val="es-ES"/>
        </w:rPr>
        <w:t>encia internacional</w:t>
      </w:r>
    </w:p>
    <w:p w:rsidR="004F1B36" w:rsidRPr="00994BB3" w:rsidRDefault="00BA4F48" w:rsidP="009909DD">
      <w:pPr>
        <w:pStyle w:val="Texte1"/>
        <w:rPr>
          <w:lang w:val="es-ES"/>
        </w:rPr>
      </w:pPr>
      <w:r w:rsidRPr="00994BB3">
        <w:rPr>
          <w:lang w:val="es-ES"/>
        </w:rPr>
        <w:t xml:space="preserve">En la </w:t>
      </w:r>
      <w:r w:rsidR="00412A77" w:rsidRPr="00994BB3">
        <w:rPr>
          <w:lang w:val="es-ES"/>
        </w:rPr>
        <w:t>Sección 5 del Texto para el Participante de la presente Unidad 12</w:t>
      </w:r>
      <w:r w:rsidR="004F1B36" w:rsidRPr="00994BB3">
        <w:rPr>
          <w:lang w:val="es-ES"/>
        </w:rPr>
        <w:t xml:space="preserve"> </w:t>
      </w:r>
      <w:r w:rsidR="00F53A3B" w:rsidRPr="00994BB3">
        <w:rPr>
          <w:lang w:val="es-ES"/>
        </w:rPr>
        <w:t>se examinan las actividades apoyadas con la asistencia internacional y se indica cómo se deben presentar las solicitudes para obtenerla</w:t>
      </w:r>
      <w:r w:rsidR="004F1B36" w:rsidRPr="00994BB3">
        <w:rPr>
          <w:lang w:val="es-ES"/>
        </w:rPr>
        <w:t>.</w:t>
      </w:r>
    </w:p>
    <w:p w:rsidR="00284531" w:rsidRPr="004F3A46" w:rsidRDefault="00412973" w:rsidP="009909DD">
      <w:pPr>
        <w:pStyle w:val="Texte1"/>
        <w:rPr>
          <w:lang w:val="es-ES"/>
        </w:rPr>
      </w:pPr>
      <w:r w:rsidRPr="004F3A46">
        <w:rPr>
          <w:lang w:val="es-ES"/>
        </w:rPr>
        <w:t>Según la DO 9</w:t>
      </w:r>
      <w:r w:rsidR="002907D7" w:rsidRPr="004F3A46">
        <w:rPr>
          <w:lang w:val="es-ES"/>
        </w:rPr>
        <w:t>,</w:t>
      </w:r>
      <w:r w:rsidR="001307EC" w:rsidRPr="004F3A46">
        <w:rPr>
          <w:lang w:val="es-ES"/>
        </w:rPr>
        <w:t xml:space="preserve"> </w:t>
      </w:r>
      <w:r w:rsidRPr="004F3A46">
        <w:rPr>
          <w:lang w:val="es-ES"/>
        </w:rPr>
        <w:t>“</w:t>
      </w:r>
      <w:r w:rsidRPr="004F3A46">
        <w:rPr>
          <w:szCs w:val="20"/>
          <w:lang w:val="es-ES"/>
        </w:rPr>
        <w:t>El Comité podrá recibir, examinar y aprobar peticiones con cualquier objetivo y para cualquiera de las formas de asistencia internacional que se mencionan en los Artículos 20 y 21 de la Convención, respectivamente, en función de los recursos disponibles</w:t>
      </w:r>
      <w:r w:rsidRPr="004F3A46">
        <w:rPr>
          <w:lang w:val="es-ES"/>
        </w:rPr>
        <w:t>”</w:t>
      </w:r>
      <w:r w:rsidR="00284531" w:rsidRPr="004F3A46">
        <w:rPr>
          <w:lang w:val="es-ES"/>
        </w:rPr>
        <w:t xml:space="preserve">. </w:t>
      </w:r>
    </w:p>
    <w:p w:rsidR="00484121" w:rsidRPr="00994BB3" w:rsidRDefault="00484121" w:rsidP="004936EF">
      <w:pPr>
        <w:pStyle w:val="Soustitre"/>
        <w:rPr>
          <w:caps/>
          <w:lang w:val="es-ES"/>
        </w:rPr>
      </w:pPr>
      <w:bookmarkStart w:id="11" w:name="_Toc238982277"/>
      <w:r w:rsidRPr="00994BB3">
        <w:rPr>
          <w:lang w:val="es-ES"/>
        </w:rPr>
        <w:t>Not</w:t>
      </w:r>
      <w:r w:rsidR="00412973" w:rsidRPr="00994BB3">
        <w:rPr>
          <w:lang w:val="es-ES"/>
        </w:rPr>
        <w:t>a</w:t>
      </w:r>
      <w:r w:rsidRPr="00994BB3">
        <w:rPr>
          <w:lang w:val="es-ES"/>
        </w:rPr>
        <w:t xml:space="preserve"> </w:t>
      </w:r>
      <w:r w:rsidR="00412973" w:rsidRPr="00994BB3">
        <w:rPr>
          <w:lang w:val="es-ES"/>
        </w:rPr>
        <w:t>sobre el</w:t>
      </w:r>
      <w:r w:rsidRPr="00994BB3">
        <w:rPr>
          <w:lang w:val="es-ES"/>
        </w:rPr>
        <w:t xml:space="preserve"> </w:t>
      </w:r>
      <w:r w:rsidR="00412973" w:rsidRPr="00994BB3">
        <w:rPr>
          <w:lang w:val="es-ES"/>
        </w:rPr>
        <w:t>Artículo</w:t>
      </w:r>
      <w:r w:rsidR="00442E1A" w:rsidRPr="00994BB3">
        <w:rPr>
          <w:lang w:val="es-ES"/>
        </w:rPr>
        <w:t> </w:t>
      </w:r>
      <w:r w:rsidRPr="00994BB3">
        <w:rPr>
          <w:lang w:val="es-ES"/>
        </w:rPr>
        <w:t>21</w:t>
      </w:r>
      <w:bookmarkEnd w:id="11"/>
      <w:r w:rsidR="00412973" w:rsidRPr="00994BB3">
        <w:rPr>
          <w:lang w:val="es-ES"/>
        </w:rPr>
        <w:t xml:space="preserve"> de la Convención</w:t>
      </w:r>
    </w:p>
    <w:p w:rsidR="00484121" w:rsidRPr="00994BB3" w:rsidRDefault="00F53A3B" w:rsidP="009909DD">
      <w:pPr>
        <w:pStyle w:val="Texte1"/>
        <w:rPr>
          <w:lang w:val="es-ES"/>
        </w:rPr>
      </w:pPr>
      <w:r w:rsidRPr="00994BB3">
        <w:rPr>
          <w:lang w:val="es-ES"/>
        </w:rPr>
        <w:t>Según el</w:t>
      </w:r>
      <w:r w:rsidR="00484121" w:rsidRPr="00994BB3">
        <w:rPr>
          <w:lang w:val="es-ES"/>
        </w:rPr>
        <w:t xml:space="preserve"> </w:t>
      </w:r>
      <w:r w:rsidR="00412973" w:rsidRPr="00994BB3">
        <w:rPr>
          <w:lang w:val="es-ES"/>
        </w:rPr>
        <w:t>Artículo</w:t>
      </w:r>
      <w:r w:rsidR="00442E1A" w:rsidRPr="00994BB3">
        <w:rPr>
          <w:lang w:val="es-ES"/>
        </w:rPr>
        <w:t> </w:t>
      </w:r>
      <w:r w:rsidR="00484121" w:rsidRPr="00994BB3">
        <w:rPr>
          <w:lang w:val="es-ES"/>
        </w:rPr>
        <w:t xml:space="preserve">21 </w:t>
      </w:r>
      <w:r w:rsidRPr="00994BB3">
        <w:rPr>
          <w:lang w:val="es-ES"/>
        </w:rPr>
        <w:t>de la</w:t>
      </w:r>
      <w:r w:rsidR="00484121" w:rsidRPr="00994BB3">
        <w:rPr>
          <w:lang w:val="es-ES"/>
        </w:rPr>
        <w:t xml:space="preserve"> </w:t>
      </w:r>
      <w:r w:rsidRPr="00994BB3">
        <w:rPr>
          <w:lang w:val="es-ES"/>
        </w:rPr>
        <w:t>Convención</w:t>
      </w:r>
      <w:r w:rsidR="00484121" w:rsidRPr="00994BB3">
        <w:rPr>
          <w:lang w:val="es-ES"/>
        </w:rPr>
        <w:t xml:space="preserve">, </w:t>
      </w:r>
      <w:r w:rsidRPr="00994BB3">
        <w:rPr>
          <w:lang w:val="es-ES"/>
        </w:rPr>
        <w:t>la asistencia internacional</w:t>
      </w:r>
      <w:r w:rsidR="00484121" w:rsidRPr="00994BB3">
        <w:rPr>
          <w:lang w:val="es-ES"/>
        </w:rPr>
        <w:t xml:space="preserve"> </w:t>
      </w:r>
      <w:r w:rsidR="00E741B8" w:rsidRPr="00994BB3">
        <w:rPr>
          <w:lang w:val="es-ES"/>
        </w:rPr>
        <w:t>se puede utiliz</w:t>
      </w:r>
      <w:r w:rsidRPr="00994BB3">
        <w:rPr>
          <w:lang w:val="es-ES"/>
        </w:rPr>
        <w:t>ar con diversas finalidades</w:t>
      </w:r>
      <w:r w:rsidR="00484121" w:rsidRPr="00994BB3">
        <w:rPr>
          <w:lang w:val="es-ES"/>
        </w:rPr>
        <w:t>:</w:t>
      </w:r>
    </w:p>
    <w:p w:rsidR="00484121" w:rsidRPr="00994BB3" w:rsidRDefault="007E3211" w:rsidP="004936EF">
      <w:pPr>
        <w:pStyle w:val="numrationa1"/>
        <w:rPr>
          <w:lang w:val="es-ES"/>
        </w:rPr>
      </w:pPr>
      <w:r w:rsidRPr="00994BB3">
        <w:rPr>
          <w:lang w:val="es-ES"/>
        </w:rPr>
        <w:t>a</w:t>
      </w:r>
      <w:r w:rsidR="009B5273" w:rsidRPr="00994BB3">
        <w:rPr>
          <w:lang w:val="es-ES"/>
        </w:rPr>
        <w:t>)</w:t>
      </w:r>
      <w:r w:rsidR="009B5273" w:rsidRPr="00994BB3">
        <w:rPr>
          <w:lang w:val="es-ES"/>
        </w:rPr>
        <w:tab/>
      </w:r>
      <w:r w:rsidR="00F53A3B" w:rsidRPr="00994BB3">
        <w:rPr>
          <w:lang w:val="es-ES"/>
        </w:rPr>
        <w:t xml:space="preserve">Realizar </w:t>
      </w:r>
      <w:r w:rsidR="005C1589" w:rsidRPr="00994BB3">
        <w:rPr>
          <w:lang w:val="es-ES"/>
        </w:rPr>
        <w:t>e</w:t>
      </w:r>
      <w:r w:rsidR="00F53A3B" w:rsidRPr="00994BB3">
        <w:rPr>
          <w:lang w:val="es-ES"/>
        </w:rPr>
        <w:t>studios relativos a los diferentes aspectos de la salvaguardia</w:t>
      </w:r>
      <w:r w:rsidR="00484121" w:rsidRPr="00994BB3">
        <w:rPr>
          <w:lang w:val="es-ES"/>
        </w:rPr>
        <w:t>.</w:t>
      </w:r>
    </w:p>
    <w:p w:rsidR="00484121" w:rsidRPr="004F3A46" w:rsidRDefault="005C1589" w:rsidP="009909DD">
      <w:pPr>
        <w:pStyle w:val="Texte1"/>
        <w:rPr>
          <w:bCs/>
          <w:lang w:val="es-ES"/>
        </w:rPr>
      </w:pPr>
      <w:r w:rsidRPr="004F3A46">
        <w:rPr>
          <w:lang w:val="es-ES"/>
        </w:rPr>
        <w:t>En el A</w:t>
      </w:r>
      <w:r w:rsidR="00412973" w:rsidRPr="004F3A46">
        <w:rPr>
          <w:lang w:val="es-ES"/>
        </w:rPr>
        <w:t>rtículo</w:t>
      </w:r>
      <w:r w:rsidR="00442E1A" w:rsidRPr="004F3A46">
        <w:rPr>
          <w:lang w:val="es-ES"/>
        </w:rPr>
        <w:t> </w:t>
      </w:r>
      <w:r w:rsidR="00484121" w:rsidRPr="004F3A46">
        <w:rPr>
          <w:lang w:val="es-ES"/>
        </w:rPr>
        <w:t xml:space="preserve">13 </w:t>
      </w:r>
      <w:r w:rsidRPr="004F3A46">
        <w:rPr>
          <w:lang w:val="es-ES"/>
        </w:rPr>
        <w:t>se indica a este respecto que los</w:t>
      </w:r>
      <w:r w:rsidR="00957160" w:rsidRPr="004F3A46">
        <w:rPr>
          <w:lang w:val="es-ES"/>
        </w:rPr>
        <w:t xml:space="preserve"> </w:t>
      </w:r>
      <w:r w:rsidRPr="004F3A46">
        <w:rPr>
          <w:lang w:val="es-ES"/>
        </w:rPr>
        <w:t>Estados Partes</w:t>
      </w:r>
      <w:r w:rsidR="00484121" w:rsidRPr="004F3A46">
        <w:rPr>
          <w:lang w:val="es-ES"/>
        </w:rPr>
        <w:t xml:space="preserve"> </w:t>
      </w:r>
      <w:r w:rsidRPr="004F3A46">
        <w:rPr>
          <w:lang w:val="es-ES"/>
        </w:rPr>
        <w:t>deben tratar de</w:t>
      </w:r>
      <w:r w:rsidR="00484121" w:rsidRPr="004F3A46">
        <w:rPr>
          <w:lang w:val="es-ES"/>
        </w:rPr>
        <w:t xml:space="preserve"> </w:t>
      </w:r>
      <w:r w:rsidRPr="004F3A46">
        <w:rPr>
          <w:lang w:val="es-ES"/>
        </w:rPr>
        <w:t>“</w:t>
      </w:r>
      <w:r w:rsidRPr="004F3A46">
        <w:rPr>
          <w:rFonts w:eastAsia="Calibri"/>
          <w:szCs w:val="20"/>
          <w:lang w:val="es-ES" w:eastAsia="fr-FR"/>
        </w:rPr>
        <w:t xml:space="preserve">fomentar estudios científicos, técnicos y artísticos, así como metodologías de </w:t>
      </w:r>
      <w:r w:rsidR="004F3A46">
        <w:rPr>
          <w:rFonts w:eastAsia="Calibri"/>
          <w:szCs w:val="20"/>
          <w:lang w:val="es-ES" w:eastAsia="fr-FR"/>
        </w:rPr>
        <w:t xml:space="preserve">investigación </w:t>
      </w:r>
      <w:r w:rsidRPr="004F3A46">
        <w:rPr>
          <w:rFonts w:eastAsia="Calibri"/>
          <w:szCs w:val="20"/>
          <w:lang w:val="es-ES" w:eastAsia="fr-FR"/>
        </w:rPr>
        <w:t>para la salvaguardia eficaz del patrimonio cultural inmaterial”</w:t>
      </w:r>
      <w:r w:rsidR="00484121" w:rsidRPr="004F3A46">
        <w:rPr>
          <w:lang w:val="es-ES"/>
        </w:rPr>
        <w:t xml:space="preserve">. </w:t>
      </w:r>
    </w:p>
    <w:p w:rsidR="00484121" w:rsidRPr="004F3A46" w:rsidRDefault="007E3211" w:rsidP="004936EF">
      <w:pPr>
        <w:pStyle w:val="numrationa1"/>
        <w:rPr>
          <w:lang w:val="es-ES"/>
        </w:rPr>
      </w:pPr>
      <w:r w:rsidRPr="004F3A46">
        <w:rPr>
          <w:lang w:val="es-ES"/>
        </w:rPr>
        <w:t>b</w:t>
      </w:r>
      <w:r w:rsidR="009B5273" w:rsidRPr="004F3A46">
        <w:rPr>
          <w:lang w:val="es-ES"/>
        </w:rPr>
        <w:t>)</w:t>
      </w:r>
      <w:r w:rsidR="009B5273" w:rsidRPr="004F3A46">
        <w:rPr>
          <w:lang w:val="es-ES"/>
        </w:rPr>
        <w:tab/>
      </w:r>
      <w:r w:rsidR="00F53A3B" w:rsidRPr="004F3A46">
        <w:rPr>
          <w:lang w:val="es-ES"/>
        </w:rPr>
        <w:t xml:space="preserve">Obtener </w:t>
      </w:r>
      <w:r w:rsidR="00F53A3B" w:rsidRPr="004F3A46">
        <w:rPr>
          <w:rFonts w:eastAsia="Calibri"/>
          <w:szCs w:val="20"/>
          <w:lang w:val="es-ES" w:eastAsia="fr-FR"/>
        </w:rPr>
        <w:t xml:space="preserve">servicios de expertos </w:t>
      </w:r>
      <w:r w:rsidR="004F3A46" w:rsidRPr="004F3A46">
        <w:rPr>
          <w:rFonts w:eastAsia="Calibri"/>
          <w:szCs w:val="20"/>
          <w:lang w:val="es-ES" w:eastAsia="fr-FR"/>
        </w:rPr>
        <w:t xml:space="preserve">en patrimonio cultural inmaterial </w:t>
      </w:r>
      <w:r w:rsidR="00F53A3B" w:rsidRPr="004F3A46">
        <w:rPr>
          <w:rFonts w:eastAsia="Calibri"/>
          <w:szCs w:val="20"/>
          <w:lang w:val="es-ES" w:eastAsia="fr-FR"/>
        </w:rPr>
        <w:t xml:space="preserve">y </w:t>
      </w:r>
      <w:r w:rsidR="004F3A46">
        <w:rPr>
          <w:rFonts w:eastAsia="Calibri"/>
          <w:szCs w:val="20"/>
          <w:lang w:val="es-ES" w:eastAsia="fr-FR"/>
        </w:rPr>
        <w:t xml:space="preserve">de </w:t>
      </w:r>
      <w:r w:rsidR="00F53A3B" w:rsidRPr="004F3A46">
        <w:rPr>
          <w:rFonts w:eastAsia="Calibri"/>
          <w:szCs w:val="20"/>
          <w:lang w:val="es-ES" w:eastAsia="fr-FR"/>
        </w:rPr>
        <w:t>otras personas con experiencia práctica</w:t>
      </w:r>
      <w:r w:rsidR="004F3A46">
        <w:rPr>
          <w:rFonts w:eastAsia="Calibri"/>
          <w:szCs w:val="20"/>
          <w:lang w:val="es-ES" w:eastAsia="fr-FR"/>
        </w:rPr>
        <w:t xml:space="preserve"> en este ámbito</w:t>
      </w:r>
      <w:r w:rsidR="00957160" w:rsidRPr="004F3A46">
        <w:rPr>
          <w:lang w:val="es-ES"/>
        </w:rPr>
        <w:t>.</w:t>
      </w:r>
    </w:p>
    <w:p w:rsidR="00484121" w:rsidRPr="004F3A46" w:rsidRDefault="00F53A3B" w:rsidP="009909DD">
      <w:pPr>
        <w:pStyle w:val="Texte1"/>
        <w:rPr>
          <w:bCs/>
          <w:lang w:val="es-ES"/>
        </w:rPr>
      </w:pPr>
      <w:r w:rsidRPr="004F3A46">
        <w:rPr>
          <w:lang w:val="es-ES"/>
        </w:rPr>
        <w:t xml:space="preserve">En las </w:t>
      </w:r>
      <w:r w:rsidR="00412973" w:rsidRPr="004F3A46">
        <w:rPr>
          <w:lang w:val="es-ES"/>
        </w:rPr>
        <w:t>DO</w:t>
      </w:r>
      <w:r w:rsidR="00484121" w:rsidRPr="004F3A46">
        <w:rPr>
          <w:lang w:val="es-ES"/>
        </w:rPr>
        <w:t xml:space="preserve"> 86</w:t>
      </w:r>
      <w:r w:rsidRPr="004F3A46">
        <w:rPr>
          <w:lang w:val="es-ES"/>
        </w:rPr>
        <w:t xml:space="preserve"> a</w:t>
      </w:r>
      <w:r w:rsidR="005C1589" w:rsidRPr="004F3A46">
        <w:rPr>
          <w:lang w:val="es-ES"/>
        </w:rPr>
        <w:t xml:space="preserve"> </w:t>
      </w:r>
      <w:r w:rsidR="00484121" w:rsidRPr="004F3A46">
        <w:rPr>
          <w:lang w:val="es-ES"/>
        </w:rPr>
        <w:t xml:space="preserve">88 </w:t>
      </w:r>
      <w:r w:rsidR="005C1589" w:rsidRPr="004F3A46">
        <w:rPr>
          <w:lang w:val="es-ES"/>
        </w:rPr>
        <w:t>se alienta a los</w:t>
      </w:r>
      <w:r w:rsidR="00484121" w:rsidRPr="004F3A46">
        <w:rPr>
          <w:lang w:val="es-ES"/>
        </w:rPr>
        <w:t xml:space="preserve"> </w:t>
      </w:r>
      <w:r w:rsidR="005C1589" w:rsidRPr="004F3A46">
        <w:rPr>
          <w:lang w:val="es-ES"/>
        </w:rPr>
        <w:t>Estados Partes</w:t>
      </w:r>
      <w:r w:rsidR="00484121" w:rsidRPr="004F3A46">
        <w:rPr>
          <w:lang w:val="es-ES"/>
        </w:rPr>
        <w:t xml:space="preserve"> </w:t>
      </w:r>
      <w:r w:rsidR="005C1589" w:rsidRPr="004F3A46">
        <w:rPr>
          <w:lang w:val="es-ES"/>
        </w:rPr>
        <w:t>a fomentar la cooperación internac</w:t>
      </w:r>
      <w:r w:rsidR="00484121" w:rsidRPr="004F3A46">
        <w:rPr>
          <w:lang w:val="es-ES"/>
        </w:rPr>
        <w:t xml:space="preserve">ional </w:t>
      </w:r>
      <w:r w:rsidR="005C1589" w:rsidRPr="004F3A46">
        <w:rPr>
          <w:lang w:val="es-ES"/>
        </w:rPr>
        <w:t>y</w:t>
      </w:r>
      <w:r w:rsidR="00484121" w:rsidRPr="004F3A46">
        <w:rPr>
          <w:lang w:val="es-ES"/>
        </w:rPr>
        <w:t xml:space="preserve"> regional </w:t>
      </w:r>
      <w:r w:rsidR="00783AFB" w:rsidRPr="004F3A46">
        <w:rPr>
          <w:lang w:val="es-ES"/>
        </w:rPr>
        <w:t>haciendo participar a</w:t>
      </w:r>
      <w:r w:rsidR="00484121" w:rsidRPr="004F3A46">
        <w:rPr>
          <w:lang w:val="es-ES"/>
        </w:rPr>
        <w:t xml:space="preserve"> </w:t>
      </w:r>
      <w:r w:rsidR="00783AFB" w:rsidRPr="004F3A46">
        <w:rPr>
          <w:lang w:val="es-ES"/>
        </w:rPr>
        <w:t xml:space="preserve">“las comunidades, </w:t>
      </w:r>
      <w:r w:rsidR="00783AFB" w:rsidRPr="004F3A46">
        <w:rPr>
          <w:rFonts w:eastAsia="Calibri"/>
          <w:szCs w:val="20"/>
          <w:lang w:val="es-ES" w:eastAsia="fr-FR"/>
        </w:rPr>
        <w:t>los grupos y, si procede, los individuos interesados, así como […] los expertos, centros de</w:t>
      </w:r>
      <w:r w:rsidR="00484121" w:rsidRPr="004F3A46">
        <w:rPr>
          <w:lang w:val="es-ES"/>
        </w:rPr>
        <w:t xml:space="preserve"> </w:t>
      </w:r>
      <w:r w:rsidR="00783AFB" w:rsidRPr="004F3A46">
        <w:rPr>
          <w:rFonts w:eastAsia="Calibri"/>
          <w:szCs w:val="20"/>
          <w:lang w:val="es-ES" w:eastAsia="fr-FR"/>
        </w:rPr>
        <w:t>competencias e institutos de investigación” para que intercambien, por ejemplo, ideas sobre la salvaguardia y documentación</w:t>
      </w:r>
      <w:r w:rsidR="00484121" w:rsidRPr="004F3A46">
        <w:rPr>
          <w:lang w:val="es-ES"/>
        </w:rPr>
        <w:t xml:space="preserve">. </w:t>
      </w:r>
      <w:r w:rsidR="00783AFB" w:rsidRPr="004F3A46">
        <w:rPr>
          <w:lang w:val="es-ES"/>
        </w:rPr>
        <w:t>Los expertos y practicantes de elementos del PCI que intervienen en la preparación de expedientes de candidatura y medidas de salvaguardia</w:t>
      </w:r>
      <w:r w:rsidR="00484121" w:rsidRPr="004F3A46">
        <w:rPr>
          <w:lang w:val="es-ES"/>
        </w:rPr>
        <w:t xml:space="preserve"> </w:t>
      </w:r>
      <w:r w:rsidR="00783AFB" w:rsidRPr="004F3A46">
        <w:rPr>
          <w:lang w:val="es-ES"/>
        </w:rPr>
        <w:t>pueden ser remunerados por los servicios que presten</w:t>
      </w:r>
      <w:r w:rsidR="00484121" w:rsidRPr="004F3A46">
        <w:rPr>
          <w:lang w:val="es-ES"/>
        </w:rPr>
        <w:t>.</w:t>
      </w:r>
    </w:p>
    <w:p w:rsidR="00484121" w:rsidRPr="00994BB3" w:rsidRDefault="007E3211" w:rsidP="004936EF">
      <w:pPr>
        <w:pStyle w:val="numrationa1"/>
        <w:rPr>
          <w:lang w:val="es-ES"/>
        </w:rPr>
      </w:pPr>
      <w:r w:rsidRPr="00994BB3">
        <w:rPr>
          <w:lang w:val="es-ES"/>
        </w:rPr>
        <w:t>c)</w:t>
      </w:r>
      <w:r w:rsidR="00E741B8" w:rsidRPr="00994BB3">
        <w:rPr>
          <w:lang w:val="es-ES"/>
        </w:rPr>
        <w:tab/>
      </w:r>
      <w:r w:rsidR="00F53A3B" w:rsidRPr="00994BB3">
        <w:rPr>
          <w:lang w:val="es-ES"/>
        </w:rPr>
        <w:t>Formar a todo el personal necesario</w:t>
      </w:r>
      <w:r w:rsidR="00484121" w:rsidRPr="00994BB3">
        <w:rPr>
          <w:lang w:val="es-ES"/>
        </w:rPr>
        <w:t>.</w:t>
      </w:r>
    </w:p>
    <w:p w:rsidR="00484121" w:rsidRPr="00C63A72" w:rsidRDefault="00412973" w:rsidP="009909DD">
      <w:pPr>
        <w:pStyle w:val="Texte1"/>
        <w:rPr>
          <w:bCs/>
          <w:lang w:val="es-ES"/>
        </w:rPr>
      </w:pPr>
      <w:r w:rsidRPr="00C63A72">
        <w:rPr>
          <w:lang w:val="es-ES"/>
        </w:rPr>
        <w:t>A</w:t>
      </w:r>
      <w:r w:rsidR="005C1589" w:rsidRPr="00C63A72">
        <w:rPr>
          <w:lang w:val="es-ES"/>
        </w:rPr>
        <w:t xml:space="preserve"> este respecto, cabe recordar que en el A</w:t>
      </w:r>
      <w:r w:rsidRPr="00C63A72">
        <w:rPr>
          <w:lang w:val="es-ES"/>
        </w:rPr>
        <w:t>rtículo</w:t>
      </w:r>
      <w:r w:rsidR="00442E1A" w:rsidRPr="00C63A72">
        <w:rPr>
          <w:lang w:val="es-ES"/>
        </w:rPr>
        <w:t> </w:t>
      </w:r>
      <w:r w:rsidR="00484121" w:rsidRPr="00C63A72">
        <w:rPr>
          <w:lang w:val="es-ES"/>
        </w:rPr>
        <w:t xml:space="preserve">14 </w:t>
      </w:r>
      <w:r w:rsidR="005C1589" w:rsidRPr="00C63A72">
        <w:rPr>
          <w:lang w:val="es-ES"/>
        </w:rPr>
        <w:t>se señala que los</w:t>
      </w:r>
      <w:r w:rsidR="00484121" w:rsidRPr="00C63A72">
        <w:rPr>
          <w:lang w:val="es-ES"/>
        </w:rPr>
        <w:t xml:space="preserve"> </w:t>
      </w:r>
      <w:r w:rsidR="005C1589" w:rsidRPr="00C63A72">
        <w:rPr>
          <w:lang w:val="es-ES"/>
        </w:rPr>
        <w:t>Estados Partes</w:t>
      </w:r>
      <w:r w:rsidR="00484121" w:rsidRPr="00C63A72">
        <w:rPr>
          <w:lang w:val="es-ES"/>
        </w:rPr>
        <w:t xml:space="preserve"> </w:t>
      </w:r>
      <w:r w:rsidR="005C1589" w:rsidRPr="00C63A72">
        <w:rPr>
          <w:lang w:val="es-ES"/>
        </w:rPr>
        <w:t>deben llevar a cabo “</w:t>
      </w:r>
      <w:r w:rsidR="005C1589" w:rsidRPr="00C63A72">
        <w:rPr>
          <w:rFonts w:eastAsia="Calibri"/>
          <w:szCs w:val="20"/>
          <w:lang w:val="es-ES" w:eastAsia="fr-FR"/>
        </w:rPr>
        <w:t>actividades de fortalecimiento de capacidades en materia de salvaguardia del</w:t>
      </w:r>
      <w:r w:rsidR="00484121" w:rsidRPr="00C63A72">
        <w:rPr>
          <w:lang w:val="es-ES"/>
        </w:rPr>
        <w:t xml:space="preserve"> </w:t>
      </w:r>
      <w:r w:rsidR="005C1589" w:rsidRPr="00C63A72">
        <w:rPr>
          <w:rFonts w:eastAsia="Calibri"/>
          <w:szCs w:val="20"/>
          <w:lang w:val="es-ES" w:eastAsia="fr-FR"/>
        </w:rPr>
        <w:t>patrimonio cultural inmaterial, y especialmente de gestión y de investigación científica”</w:t>
      </w:r>
      <w:r w:rsidR="00484121" w:rsidRPr="00C63A72">
        <w:rPr>
          <w:lang w:val="es-ES"/>
        </w:rPr>
        <w:t>.</w:t>
      </w:r>
    </w:p>
    <w:p w:rsidR="00484121" w:rsidRPr="00994BB3" w:rsidRDefault="007E3211" w:rsidP="004936EF">
      <w:pPr>
        <w:pStyle w:val="numrationa1"/>
        <w:rPr>
          <w:lang w:val="es-ES"/>
        </w:rPr>
      </w:pPr>
      <w:r w:rsidRPr="00994BB3">
        <w:rPr>
          <w:lang w:val="es-ES"/>
        </w:rPr>
        <w:t>d</w:t>
      </w:r>
      <w:r w:rsidR="009B5273" w:rsidRPr="00994BB3">
        <w:rPr>
          <w:lang w:val="es-ES"/>
        </w:rPr>
        <w:t>)</w:t>
      </w:r>
      <w:r w:rsidR="009B5273" w:rsidRPr="00994BB3">
        <w:rPr>
          <w:lang w:val="es-ES"/>
        </w:rPr>
        <w:tab/>
      </w:r>
      <w:r w:rsidR="007F3189" w:rsidRPr="00994BB3">
        <w:rPr>
          <w:lang w:val="es-ES"/>
        </w:rPr>
        <w:t>Elaborar medidas normativas o de otra índole</w:t>
      </w:r>
      <w:r w:rsidR="00484121" w:rsidRPr="00994BB3">
        <w:rPr>
          <w:lang w:val="es-ES"/>
        </w:rPr>
        <w:t>.</w:t>
      </w:r>
    </w:p>
    <w:p w:rsidR="00484121" w:rsidRPr="00C63A72" w:rsidRDefault="007F3189" w:rsidP="009909DD">
      <w:pPr>
        <w:pStyle w:val="Texte1"/>
        <w:rPr>
          <w:bCs/>
          <w:lang w:val="es-ES"/>
        </w:rPr>
      </w:pPr>
      <w:r w:rsidRPr="00C63A72">
        <w:rPr>
          <w:lang w:val="es-ES"/>
        </w:rPr>
        <w:t xml:space="preserve">En el </w:t>
      </w:r>
      <w:r w:rsidR="00412973" w:rsidRPr="00C63A72">
        <w:rPr>
          <w:lang w:val="es-ES"/>
        </w:rPr>
        <w:t>Artículo</w:t>
      </w:r>
      <w:r w:rsidR="00442E1A" w:rsidRPr="00C63A72">
        <w:rPr>
          <w:lang w:val="es-ES"/>
        </w:rPr>
        <w:t> </w:t>
      </w:r>
      <w:r w:rsidR="00484121" w:rsidRPr="00C63A72">
        <w:rPr>
          <w:lang w:val="es-ES"/>
        </w:rPr>
        <w:t xml:space="preserve">13 </w:t>
      </w:r>
      <w:r w:rsidRPr="00C63A72">
        <w:rPr>
          <w:lang w:val="es-ES"/>
        </w:rPr>
        <w:t>se pide a los</w:t>
      </w:r>
      <w:r w:rsidR="00484121" w:rsidRPr="00C63A72">
        <w:rPr>
          <w:lang w:val="es-ES"/>
        </w:rPr>
        <w:t xml:space="preserve"> </w:t>
      </w:r>
      <w:r w:rsidR="005C1589" w:rsidRPr="00C63A72">
        <w:rPr>
          <w:lang w:val="es-ES"/>
        </w:rPr>
        <w:t>Estados Partes</w:t>
      </w:r>
      <w:r w:rsidR="00484121" w:rsidRPr="00C63A72">
        <w:rPr>
          <w:lang w:val="es-ES"/>
        </w:rPr>
        <w:t xml:space="preserve"> </w:t>
      </w:r>
      <w:r w:rsidR="00C63A72">
        <w:rPr>
          <w:lang w:val="es-ES"/>
        </w:rPr>
        <w:t xml:space="preserve">que </w:t>
      </w:r>
      <w:r w:rsidRPr="00C63A72">
        <w:rPr>
          <w:lang w:val="es-ES"/>
        </w:rPr>
        <w:t>hagan todo lo posible por “</w:t>
      </w:r>
      <w:r w:rsidRPr="00C63A72">
        <w:rPr>
          <w:rFonts w:eastAsia="Calibri"/>
          <w:szCs w:val="20"/>
          <w:lang w:val="es-ES" w:eastAsia="fr-FR"/>
        </w:rPr>
        <w:t>adoptar una política general encaminada a realzar la función del patrimonio cultural</w:t>
      </w:r>
      <w:r w:rsidRPr="00C63A72">
        <w:rPr>
          <w:lang w:val="es-ES"/>
        </w:rPr>
        <w:t xml:space="preserve"> </w:t>
      </w:r>
      <w:r w:rsidRPr="00C63A72">
        <w:rPr>
          <w:rFonts w:eastAsia="Calibri"/>
          <w:szCs w:val="20"/>
          <w:lang w:val="es-ES" w:eastAsia="fr-FR"/>
        </w:rPr>
        <w:t>inmaterial en la sociedad y a integrar su salvaguardia en programas de planificación”</w:t>
      </w:r>
      <w:r w:rsidR="00484121" w:rsidRPr="00C63A72">
        <w:rPr>
          <w:lang w:val="es-ES"/>
        </w:rPr>
        <w:t xml:space="preserve">. </w:t>
      </w:r>
      <w:r w:rsidRPr="00C63A72">
        <w:rPr>
          <w:lang w:val="es-ES"/>
        </w:rPr>
        <w:t xml:space="preserve">En la </w:t>
      </w:r>
      <w:r w:rsidR="00412973" w:rsidRPr="00C63A72">
        <w:rPr>
          <w:lang w:val="es-ES"/>
        </w:rPr>
        <w:t>DO</w:t>
      </w:r>
      <w:r w:rsidR="00484121" w:rsidRPr="00C63A72">
        <w:rPr>
          <w:lang w:val="es-ES"/>
        </w:rPr>
        <w:t xml:space="preserve"> </w:t>
      </w:r>
      <w:r w:rsidRPr="00C63A72">
        <w:rPr>
          <w:lang w:val="es-ES"/>
        </w:rPr>
        <w:t xml:space="preserve">105 se </w:t>
      </w:r>
      <w:r w:rsidR="00C63A72">
        <w:rPr>
          <w:lang w:val="es-ES"/>
        </w:rPr>
        <w:t>a</w:t>
      </w:r>
      <w:r w:rsidRPr="00C63A72">
        <w:rPr>
          <w:lang w:val="es-ES"/>
        </w:rPr>
        <w:t>lienta a los</w:t>
      </w:r>
      <w:r w:rsidR="00484121" w:rsidRPr="00C63A72">
        <w:rPr>
          <w:lang w:val="es-ES"/>
        </w:rPr>
        <w:t xml:space="preserve"> </w:t>
      </w:r>
      <w:r w:rsidR="005C1589" w:rsidRPr="00C63A72">
        <w:rPr>
          <w:lang w:val="es-ES"/>
        </w:rPr>
        <w:t>Estados Partes</w:t>
      </w:r>
      <w:r w:rsidR="00484121" w:rsidRPr="00C63A72">
        <w:rPr>
          <w:lang w:val="es-ES"/>
        </w:rPr>
        <w:t xml:space="preserve"> </w:t>
      </w:r>
      <w:r w:rsidRPr="00C63A72">
        <w:rPr>
          <w:lang w:val="es-ES"/>
        </w:rPr>
        <w:t>a</w:t>
      </w:r>
      <w:r w:rsidR="00484121" w:rsidRPr="00C63A72">
        <w:rPr>
          <w:lang w:val="es-ES"/>
        </w:rPr>
        <w:t xml:space="preserve"> </w:t>
      </w:r>
      <w:r w:rsidRPr="00C63A72">
        <w:rPr>
          <w:lang w:val="es-ES"/>
        </w:rPr>
        <w:t>“</w:t>
      </w:r>
      <w:r w:rsidRPr="00C63A72">
        <w:rPr>
          <w:rFonts w:eastAsia="Calibri"/>
          <w:szCs w:val="20"/>
          <w:lang w:val="es-ES" w:eastAsia="fr-FR"/>
        </w:rPr>
        <w:t>promover políticas en favor de un reconocimiento oficial de los depositarios y</w:t>
      </w:r>
      <w:r w:rsidRPr="00C63A72">
        <w:rPr>
          <w:lang w:val="es-ES"/>
        </w:rPr>
        <w:t xml:space="preserve"> </w:t>
      </w:r>
      <w:r w:rsidRPr="00C63A72">
        <w:rPr>
          <w:rFonts w:eastAsia="Calibri"/>
          <w:szCs w:val="20"/>
          <w:lang w:val="es-ES" w:eastAsia="fr-FR"/>
        </w:rPr>
        <w:t>ejecutantes del</w:t>
      </w:r>
      <w:r w:rsidR="00C63A72">
        <w:rPr>
          <w:rFonts w:eastAsia="Calibri"/>
          <w:szCs w:val="20"/>
          <w:lang w:val="es-ES" w:eastAsia="fr-FR"/>
        </w:rPr>
        <w:t xml:space="preserve"> patrimonio cultural inmaterial […]</w:t>
      </w:r>
      <w:r w:rsidR="00484121" w:rsidRPr="00C63A72">
        <w:rPr>
          <w:lang w:val="es-ES"/>
        </w:rPr>
        <w:t xml:space="preserve"> </w:t>
      </w:r>
      <w:r w:rsidR="00C63A72">
        <w:rPr>
          <w:lang w:val="es-ES"/>
        </w:rPr>
        <w:t>[</w:t>
      </w:r>
      <w:r w:rsidRPr="00C63A72">
        <w:rPr>
          <w:lang w:val="es-ES"/>
        </w:rPr>
        <w:t>y</w:t>
      </w:r>
      <w:r w:rsidR="00C63A72">
        <w:rPr>
          <w:lang w:val="es-ES"/>
        </w:rPr>
        <w:t>]</w:t>
      </w:r>
      <w:r w:rsidR="00484121" w:rsidRPr="00C63A72">
        <w:rPr>
          <w:lang w:val="es-ES"/>
        </w:rPr>
        <w:t xml:space="preserve"> </w:t>
      </w:r>
      <w:r w:rsidRPr="00C63A72">
        <w:rPr>
          <w:rFonts w:eastAsia="Calibri"/>
          <w:szCs w:val="20"/>
          <w:lang w:val="es-ES" w:eastAsia="fr-FR"/>
        </w:rPr>
        <w:t>respaldar la elaboración y aplicación de políticas locales destinadas a promover el conocimiento del patrimonio cultural inmaterial”</w:t>
      </w:r>
      <w:r w:rsidR="00484121" w:rsidRPr="00C63A72">
        <w:rPr>
          <w:lang w:val="es-ES"/>
        </w:rPr>
        <w:t xml:space="preserve">. </w:t>
      </w:r>
      <w:r w:rsidRPr="00C63A72">
        <w:rPr>
          <w:lang w:val="es-ES"/>
        </w:rPr>
        <w:t>En la DO 107 se detallan algunos de los posibles objetivos de las pol</w:t>
      </w:r>
      <w:r w:rsidR="00E741B8" w:rsidRPr="00C63A72">
        <w:rPr>
          <w:lang w:val="es-ES"/>
        </w:rPr>
        <w:t>ít</w:t>
      </w:r>
      <w:r w:rsidRPr="00C63A72">
        <w:rPr>
          <w:lang w:val="es-ES"/>
        </w:rPr>
        <w:t xml:space="preserve">icas </w:t>
      </w:r>
      <w:r w:rsidR="00E741B8" w:rsidRPr="00C63A72">
        <w:rPr>
          <w:lang w:val="es-ES"/>
        </w:rPr>
        <w:t>e</w:t>
      </w:r>
      <w:r w:rsidRPr="00C63A72">
        <w:rPr>
          <w:lang w:val="es-ES"/>
        </w:rPr>
        <w:t>laboradas por los</w:t>
      </w:r>
      <w:r w:rsidR="00484121" w:rsidRPr="00C63A72">
        <w:rPr>
          <w:lang w:val="es-ES"/>
        </w:rPr>
        <w:t xml:space="preserve"> </w:t>
      </w:r>
      <w:r w:rsidR="005C1589" w:rsidRPr="00C63A72">
        <w:rPr>
          <w:lang w:val="es-ES"/>
        </w:rPr>
        <w:t>Estados Partes</w:t>
      </w:r>
      <w:r w:rsidR="00484121" w:rsidRPr="00C63A72">
        <w:rPr>
          <w:lang w:val="es-ES"/>
        </w:rPr>
        <w:t>.</w:t>
      </w:r>
    </w:p>
    <w:p w:rsidR="00484121" w:rsidRPr="00994BB3" w:rsidRDefault="007E3211" w:rsidP="004936EF">
      <w:pPr>
        <w:pStyle w:val="numrationa1"/>
        <w:rPr>
          <w:lang w:val="es-ES"/>
        </w:rPr>
      </w:pPr>
      <w:r w:rsidRPr="00994BB3">
        <w:rPr>
          <w:lang w:val="es-ES"/>
        </w:rPr>
        <w:t>e</w:t>
      </w:r>
      <w:r w:rsidR="009B5273" w:rsidRPr="00994BB3">
        <w:rPr>
          <w:lang w:val="es-ES"/>
        </w:rPr>
        <w:t>)</w:t>
      </w:r>
      <w:r w:rsidR="009B5273" w:rsidRPr="00994BB3">
        <w:rPr>
          <w:lang w:val="es-ES"/>
        </w:rPr>
        <w:tab/>
      </w:r>
      <w:r w:rsidR="00E741B8" w:rsidRPr="00994BB3">
        <w:rPr>
          <w:lang w:val="es-ES"/>
        </w:rPr>
        <w:t>Crear y utilizar</w:t>
      </w:r>
      <w:r w:rsidR="00484121" w:rsidRPr="00994BB3">
        <w:rPr>
          <w:lang w:val="es-ES"/>
        </w:rPr>
        <w:t xml:space="preserve"> infra</w:t>
      </w:r>
      <w:r w:rsidR="00E741B8" w:rsidRPr="00994BB3">
        <w:rPr>
          <w:lang w:val="es-ES"/>
        </w:rPr>
        <w:t>e</w:t>
      </w:r>
      <w:r w:rsidR="00484121" w:rsidRPr="00994BB3">
        <w:rPr>
          <w:lang w:val="es-ES"/>
        </w:rPr>
        <w:t>structur</w:t>
      </w:r>
      <w:r w:rsidR="00E741B8" w:rsidRPr="00994BB3">
        <w:rPr>
          <w:lang w:val="es-ES"/>
        </w:rPr>
        <w:t>a</w:t>
      </w:r>
      <w:r w:rsidR="00484121" w:rsidRPr="00994BB3">
        <w:rPr>
          <w:lang w:val="es-ES"/>
        </w:rPr>
        <w:t>s.</w:t>
      </w:r>
    </w:p>
    <w:p w:rsidR="00484121" w:rsidRPr="00C63A72" w:rsidRDefault="00E741B8" w:rsidP="009909DD">
      <w:pPr>
        <w:pStyle w:val="Texte1"/>
        <w:rPr>
          <w:bCs/>
          <w:lang w:val="es-ES"/>
        </w:rPr>
      </w:pPr>
      <w:r w:rsidRPr="00C63A72">
        <w:rPr>
          <w:lang w:val="es-ES"/>
        </w:rPr>
        <w:t>A este respect</w:t>
      </w:r>
      <w:r w:rsidR="008132E0" w:rsidRPr="00C63A72">
        <w:rPr>
          <w:lang w:val="es-ES"/>
        </w:rPr>
        <w:t>o</w:t>
      </w:r>
      <w:r w:rsidRPr="00C63A72">
        <w:rPr>
          <w:lang w:val="es-ES"/>
        </w:rPr>
        <w:t xml:space="preserve">, se debe señalar que </w:t>
      </w:r>
      <w:r w:rsidR="00C63A72">
        <w:rPr>
          <w:lang w:val="es-ES"/>
        </w:rPr>
        <w:t xml:space="preserve">en </w:t>
      </w:r>
      <w:r w:rsidRPr="00C63A72">
        <w:rPr>
          <w:lang w:val="es-ES"/>
        </w:rPr>
        <w:t xml:space="preserve">el </w:t>
      </w:r>
      <w:r w:rsidR="00412973" w:rsidRPr="00C63A72">
        <w:rPr>
          <w:lang w:val="es-ES"/>
        </w:rPr>
        <w:t>Artículo</w:t>
      </w:r>
      <w:r w:rsidR="00442E1A" w:rsidRPr="00C63A72">
        <w:rPr>
          <w:lang w:val="es-ES"/>
        </w:rPr>
        <w:t> </w:t>
      </w:r>
      <w:r w:rsidR="00484121" w:rsidRPr="00C63A72">
        <w:rPr>
          <w:lang w:val="es-ES"/>
        </w:rPr>
        <w:t xml:space="preserve">13 </w:t>
      </w:r>
      <w:r w:rsidR="00C63A72">
        <w:rPr>
          <w:lang w:val="es-ES"/>
        </w:rPr>
        <w:t xml:space="preserve">se </w:t>
      </w:r>
      <w:r w:rsidRPr="00C63A72">
        <w:rPr>
          <w:lang w:val="es-ES"/>
        </w:rPr>
        <w:t xml:space="preserve">hace referencia a la necesidad de </w:t>
      </w:r>
      <w:r w:rsidR="008132E0" w:rsidRPr="00C63A72">
        <w:rPr>
          <w:lang w:val="es-ES"/>
        </w:rPr>
        <w:t>“</w:t>
      </w:r>
      <w:r w:rsidR="008132E0" w:rsidRPr="00C63A72">
        <w:rPr>
          <w:rFonts w:eastAsia="Calibri"/>
          <w:szCs w:val="20"/>
          <w:lang w:val="es-ES" w:eastAsia="fr-FR"/>
        </w:rPr>
        <w:t xml:space="preserve">favorecer la creación o el fortalecimiento de instituciones de formación en gestión del </w:t>
      </w:r>
      <w:r w:rsidR="00C63A72">
        <w:rPr>
          <w:rFonts w:eastAsia="Calibri"/>
          <w:szCs w:val="20"/>
          <w:lang w:val="es-ES" w:eastAsia="fr-FR"/>
        </w:rPr>
        <w:t>patrimonio cultural inmaterial</w:t>
      </w:r>
      <w:r w:rsidR="008132E0" w:rsidRPr="00C63A72">
        <w:rPr>
          <w:rFonts w:eastAsia="Calibri"/>
          <w:szCs w:val="20"/>
          <w:lang w:val="es-ES" w:eastAsia="fr-FR"/>
        </w:rPr>
        <w:t xml:space="preserve"> </w:t>
      </w:r>
      <w:r w:rsidR="00C63A72">
        <w:rPr>
          <w:rFonts w:eastAsia="Calibri"/>
          <w:szCs w:val="20"/>
          <w:lang w:val="es-ES" w:eastAsia="fr-FR"/>
        </w:rPr>
        <w:t>[</w:t>
      </w:r>
      <w:r w:rsidR="008132E0" w:rsidRPr="00C63A72">
        <w:rPr>
          <w:rFonts w:eastAsia="Calibri"/>
          <w:szCs w:val="20"/>
          <w:lang w:val="es-ES" w:eastAsia="fr-FR"/>
        </w:rPr>
        <w:t>y de</w:t>
      </w:r>
      <w:r w:rsidR="00C63A72">
        <w:rPr>
          <w:rFonts w:eastAsia="Calibri"/>
          <w:szCs w:val="20"/>
          <w:lang w:val="es-ES" w:eastAsia="fr-FR"/>
        </w:rPr>
        <w:t>]</w:t>
      </w:r>
      <w:r w:rsidR="008132E0" w:rsidRPr="00C63A72">
        <w:rPr>
          <w:rFonts w:eastAsia="Calibri"/>
          <w:szCs w:val="20"/>
          <w:lang w:val="es-ES" w:eastAsia="fr-FR"/>
        </w:rPr>
        <w:t xml:space="preserve"> instituciones de documentación sobre el patrimonio cultural inmaterial”</w:t>
      </w:r>
      <w:r w:rsidR="00484121" w:rsidRPr="00C63A72">
        <w:rPr>
          <w:lang w:val="es-ES"/>
        </w:rPr>
        <w:t xml:space="preserve">. </w:t>
      </w:r>
      <w:r w:rsidR="008132E0" w:rsidRPr="00C63A72">
        <w:rPr>
          <w:lang w:val="es-ES"/>
        </w:rPr>
        <w:t xml:space="preserve">En la </w:t>
      </w:r>
      <w:r w:rsidR="00412973" w:rsidRPr="00C63A72">
        <w:rPr>
          <w:lang w:val="es-ES"/>
        </w:rPr>
        <w:t>DO</w:t>
      </w:r>
      <w:r w:rsidR="008132E0" w:rsidRPr="00C63A72">
        <w:rPr>
          <w:lang w:val="es-ES"/>
        </w:rPr>
        <w:t xml:space="preserve"> 80</w:t>
      </w:r>
      <w:r w:rsidR="00484121" w:rsidRPr="00C63A72">
        <w:rPr>
          <w:lang w:val="es-ES"/>
        </w:rPr>
        <w:t xml:space="preserve"> </w:t>
      </w:r>
      <w:r w:rsidR="008132E0" w:rsidRPr="00C63A72">
        <w:rPr>
          <w:szCs w:val="20"/>
          <w:lang w:val="es-ES"/>
        </w:rPr>
        <w:t xml:space="preserve">“[se] alienta a los Estados Partes a crear un organismo consultivo o un mecanismo de coordinación para facilitar la participación de las comunidades, los grupos y, si procede, los individuos, así como de los expertos, centros de competencias e institutos de investigación”, y en la </w:t>
      </w:r>
      <w:r w:rsidR="00412973" w:rsidRPr="00C63A72">
        <w:rPr>
          <w:lang w:val="es-ES"/>
        </w:rPr>
        <w:t>DO</w:t>
      </w:r>
      <w:r w:rsidR="00BA1280" w:rsidRPr="00C63A72">
        <w:rPr>
          <w:lang w:val="es-ES"/>
        </w:rPr>
        <w:t xml:space="preserve"> 8</w:t>
      </w:r>
      <w:r w:rsidR="008132E0" w:rsidRPr="00C63A72">
        <w:rPr>
          <w:lang w:val="es-ES"/>
        </w:rPr>
        <w:t>6 se les alienta además a crear redes de todas esas partes interesadas</w:t>
      </w:r>
      <w:r w:rsidR="00484121" w:rsidRPr="00C63A72">
        <w:rPr>
          <w:lang w:val="es-ES"/>
        </w:rPr>
        <w:t>.</w:t>
      </w:r>
    </w:p>
    <w:p w:rsidR="00484121" w:rsidRPr="00994BB3" w:rsidRDefault="007E3211" w:rsidP="004936EF">
      <w:pPr>
        <w:pStyle w:val="numrationa1"/>
        <w:rPr>
          <w:lang w:val="es-ES"/>
        </w:rPr>
      </w:pPr>
      <w:r w:rsidRPr="00994BB3">
        <w:rPr>
          <w:lang w:val="es-ES"/>
        </w:rPr>
        <w:t>f</w:t>
      </w:r>
      <w:r w:rsidR="009B5273" w:rsidRPr="00994BB3">
        <w:rPr>
          <w:lang w:val="es-ES"/>
        </w:rPr>
        <w:t>)</w:t>
      </w:r>
      <w:r w:rsidR="009B5273" w:rsidRPr="00994BB3">
        <w:rPr>
          <w:lang w:val="es-ES"/>
        </w:rPr>
        <w:tab/>
      </w:r>
      <w:r w:rsidR="00E741B8" w:rsidRPr="00994BB3">
        <w:rPr>
          <w:lang w:val="es-ES"/>
        </w:rPr>
        <w:t>Aportar material y conocimientos especializados</w:t>
      </w:r>
      <w:r w:rsidR="00484121" w:rsidRPr="00994BB3">
        <w:rPr>
          <w:lang w:val="es-ES"/>
        </w:rPr>
        <w:t>.</w:t>
      </w:r>
    </w:p>
    <w:p w:rsidR="00484121" w:rsidRPr="00C63A72" w:rsidRDefault="007E3211" w:rsidP="004936EF">
      <w:pPr>
        <w:pStyle w:val="numrationa1"/>
        <w:rPr>
          <w:lang w:val="es-ES"/>
        </w:rPr>
      </w:pPr>
      <w:r w:rsidRPr="00994BB3">
        <w:rPr>
          <w:lang w:val="es-ES"/>
        </w:rPr>
        <w:t>g</w:t>
      </w:r>
      <w:r w:rsidR="009B5273" w:rsidRPr="00994BB3">
        <w:rPr>
          <w:lang w:val="es-ES"/>
        </w:rPr>
        <w:t>)</w:t>
      </w:r>
      <w:r w:rsidR="009B5273" w:rsidRPr="00994BB3">
        <w:rPr>
          <w:lang w:val="es-ES"/>
        </w:rPr>
        <w:tab/>
      </w:r>
      <w:r w:rsidR="00484121" w:rsidRPr="00C63A72">
        <w:rPr>
          <w:lang w:val="es-ES"/>
        </w:rPr>
        <w:t>O</w:t>
      </w:r>
      <w:r w:rsidR="00E741B8" w:rsidRPr="00C63A72">
        <w:rPr>
          <w:lang w:val="es-ES"/>
        </w:rPr>
        <w:t xml:space="preserve">btener </w:t>
      </w:r>
      <w:r w:rsidR="00E741B8" w:rsidRPr="00C63A72">
        <w:rPr>
          <w:rFonts w:eastAsia="Calibri"/>
          <w:szCs w:val="20"/>
          <w:lang w:val="es-ES" w:eastAsia="fr-FR"/>
        </w:rPr>
        <w:t>otras formas de ayuda finan</w:t>
      </w:r>
      <w:r w:rsidR="004C3779" w:rsidRPr="00C63A72">
        <w:rPr>
          <w:rFonts w:eastAsia="Calibri"/>
          <w:szCs w:val="20"/>
          <w:lang w:val="es-ES" w:eastAsia="fr-FR"/>
        </w:rPr>
        <w:t>ciera y técnica, comprendidas c</w:t>
      </w:r>
      <w:r w:rsidR="00E741B8" w:rsidRPr="00C63A72">
        <w:rPr>
          <w:rFonts w:eastAsia="Calibri"/>
          <w:szCs w:val="20"/>
          <w:lang w:val="es-ES" w:eastAsia="fr-FR"/>
        </w:rPr>
        <w:t>oncesiones de préstamos a interés reducido y donaciones</w:t>
      </w:r>
      <w:r w:rsidR="00484121" w:rsidRPr="00C63A72">
        <w:rPr>
          <w:lang w:val="es-ES"/>
        </w:rPr>
        <w:t xml:space="preserve"> </w:t>
      </w:r>
      <w:r w:rsidR="00BA1280" w:rsidRPr="00C63A72">
        <w:rPr>
          <w:lang w:val="es-ES"/>
        </w:rPr>
        <w:t>(</w:t>
      </w:r>
      <w:r w:rsidR="00E741B8" w:rsidRPr="00C63A72">
        <w:rPr>
          <w:lang w:val="es-ES"/>
        </w:rPr>
        <w:t>cabe señalar que hasta la fecha no se le ha presentado al Comité ninguna solicitud de este tipo).</w:t>
      </w:r>
    </w:p>
    <w:p w:rsidR="009B5273" w:rsidRPr="00994BB3" w:rsidRDefault="00CD0851" w:rsidP="004936EF">
      <w:pPr>
        <w:pStyle w:val="Heading6"/>
        <w:rPr>
          <w:lang w:val="es-ES"/>
        </w:rPr>
      </w:pPr>
      <w:r w:rsidRPr="00994BB3">
        <w:rPr>
          <w:lang w:val="es-ES"/>
        </w:rPr>
        <w:t>DIAPOSITIVA</w:t>
      </w:r>
      <w:r w:rsidR="008F3EFC" w:rsidRPr="00994BB3">
        <w:rPr>
          <w:lang w:val="es-ES"/>
        </w:rPr>
        <w:t xml:space="preserve"> </w:t>
      </w:r>
      <w:r w:rsidR="00E859B6" w:rsidRPr="00994BB3">
        <w:rPr>
          <w:lang w:val="es-ES"/>
        </w:rPr>
        <w:t>8</w:t>
      </w:r>
      <w:r w:rsidR="009B5273" w:rsidRPr="00994BB3">
        <w:rPr>
          <w:lang w:val="es-ES"/>
        </w:rPr>
        <w:t>.</w:t>
      </w:r>
    </w:p>
    <w:p w:rsidR="00284531" w:rsidRPr="00994BB3" w:rsidRDefault="008132E0" w:rsidP="004936EF">
      <w:pPr>
        <w:pStyle w:val="diapo2"/>
        <w:rPr>
          <w:lang w:val="es-ES"/>
        </w:rPr>
      </w:pPr>
      <w:r w:rsidRPr="00994BB3">
        <w:rPr>
          <w:bCs/>
          <w:lang w:val="es-ES"/>
        </w:rPr>
        <w:t>Salvaguardia de las artes tradicionales somalíes del espectáculo</w:t>
      </w:r>
    </w:p>
    <w:p w:rsidR="00284531" w:rsidRPr="00994BB3" w:rsidRDefault="00840429" w:rsidP="009909DD">
      <w:pPr>
        <w:pStyle w:val="Texte1"/>
        <w:rPr>
          <w:lang w:val="es-ES"/>
        </w:rPr>
      </w:pPr>
      <w:r w:rsidRPr="00994BB3">
        <w:rPr>
          <w:lang w:val="es-ES"/>
        </w:rPr>
        <w:t>Este es un ejemplo de proyecto al que se concedió una ayuda financiera con los recursos del Fondo Fiduciario Especial UNESCO/Japón para la Preservación y Promoción del Patrimonio Cultural Inmaterial</w:t>
      </w:r>
      <w:r w:rsidR="00284531" w:rsidRPr="00994BB3">
        <w:rPr>
          <w:szCs w:val="22"/>
          <w:lang w:val="es-ES"/>
        </w:rPr>
        <w:t>.</w:t>
      </w:r>
    </w:p>
    <w:p w:rsidR="00284531" w:rsidRPr="00994BB3" w:rsidRDefault="008A1A5B" w:rsidP="009909DD">
      <w:pPr>
        <w:pStyle w:val="Texte1"/>
        <w:rPr>
          <w:lang w:val="es-ES"/>
        </w:rPr>
      </w:pPr>
      <w:r w:rsidRPr="00994BB3">
        <w:rPr>
          <w:lang w:val="es-ES"/>
        </w:rPr>
        <w:t xml:space="preserve">Entre 2008 y 2009, los habitantes de habla somalí de Nairobi y de la Provincia Nororiental de </w:t>
      </w:r>
      <w:proofErr w:type="spellStart"/>
      <w:r w:rsidRPr="00994BB3">
        <w:rPr>
          <w:lang w:val="es-ES"/>
        </w:rPr>
        <w:t>Kenya</w:t>
      </w:r>
      <w:proofErr w:type="spellEnd"/>
      <w:r w:rsidRPr="00994BB3">
        <w:rPr>
          <w:lang w:val="es-ES"/>
        </w:rPr>
        <w:t xml:space="preserve"> llevaron a cabo un proyecto denominado “Salvaguardia de </w:t>
      </w:r>
      <w:r w:rsidRPr="00994BB3">
        <w:rPr>
          <w:bCs/>
          <w:lang w:val="es-ES"/>
        </w:rPr>
        <w:t>las artes tradicionales somalíes del espectáculo</w:t>
      </w:r>
      <w:r w:rsidRPr="00994BB3">
        <w:rPr>
          <w:lang w:val="es-ES"/>
        </w:rPr>
        <w:t>”. Históricamente, la Provincia Nororiental ha sido un lugar de asentamiento de comunidades kenyanas de habla somalí y, hoy en día, han buscado asilo en ella –y en Nairobi– muchos</w:t>
      </w:r>
      <w:r w:rsidR="006A2545" w:rsidRPr="00994BB3">
        <w:rPr>
          <w:lang w:val="es-ES"/>
        </w:rPr>
        <w:t xml:space="preserve"> </w:t>
      </w:r>
      <w:r w:rsidRPr="00994BB3">
        <w:rPr>
          <w:lang w:val="es-ES"/>
        </w:rPr>
        <w:t>refugiados procedentes de Somalia, donde la situación política no permite realizar proyectos de esta clase. Las actividades del proyecto consistieron en</w:t>
      </w:r>
      <w:r w:rsidR="00284531" w:rsidRPr="00994BB3">
        <w:rPr>
          <w:lang w:val="es-ES"/>
        </w:rPr>
        <w:t>:</w:t>
      </w:r>
    </w:p>
    <w:p w:rsidR="00284531" w:rsidRPr="00994BB3" w:rsidRDefault="0017309B" w:rsidP="004936EF">
      <w:pPr>
        <w:pStyle w:val="Txtpucegras"/>
        <w:rPr>
          <w:szCs w:val="20"/>
          <w:lang w:val="es-ES"/>
        </w:rPr>
      </w:pPr>
      <w:r w:rsidRPr="00994BB3">
        <w:rPr>
          <w:lang w:val="es-ES"/>
        </w:rPr>
        <w:t xml:space="preserve">la identificación de las artes tradicionales del espectáculo de las comunidades de habla somalí en la </w:t>
      </w:r>
      <w:r w:rsidR="008B3215" w:rsidRPr="00994BB3">
        <w:rPr>
          <w:lang w:val="es-ES"/>
        </w:rPr>
        <w:t xml:space="preserve">Provincia Nororiental </w:t>
      </w:r>
      <w:r w:rsidRPr="00994BB3">
        <w:rPr>
          <w:lang w:val="es-ES"/>
        </w:rPr>
        <w:t xml:space="preserve">de </w:t>
      </w:r>
      <w:proofErr w:type="spellStart"/>
      <w:r w:rsidRPr="00994BB3">
        <w:rPr>
          <w:lang w:val="es-ES"/>
        </w:rPr>
        <w:t>Kenya</w:t>
      </w:r>
      <w:proofErr w:type="spellEnd"/>
      <w:r w:rsidRPr="00994BB3">
        <w:rPr>
          <w:lang w:val="es-ES"/>
        </w:rPr>
        <w:t>;</w:t>
      </w:r>
      <w:r w:rsidR="00284531" w:rsidRPr="00994BB3">
        <w:rPr>
          <w:szCs w:val="20"/>
          <w:lang w:val="es-ES"/>
        </w:rPr>
        <w:t xml:space="preserve"> </w:t>
      </w:r>
    </w:p>
    <w:p w:rsidR="00284531" w:rsidRPr="00994BB3" w:rsidRDefault="0017309B" w:rsidP="004936EF">
      <w:pPr>
        <w:pStyle w:val="Txtpucegras"/>
        <w:rPr>
          <w:szCs w:val="20"/>
          <w:lang w:val="es-ES"/>
        </w:rPr>
      </w:pPr>
      <w:r w:rsidRPr="00994BB3">
        <w:rPr>
          <w:lang w:val="es-ES"/>
        </w:rPr>
        <w:t>la preparación de un proyecto de inventario de esas artes tradicionales (se elaboró una lista con descripciones de los elementos identificados</w:t>
      </w:r>
      <w:r w:rsidR="008A1A5B" w:rsidRPr="00994BB3">
        <w:rPr>
          <w:lang w:val="es-ES"/>
        </w:rPr>
        <w:t>,</w:t>
      </w:r>
      <w:r w:rsidRPr="00994BB3">
        <w:rPr>
          <w:lang w:val="es-ES"/>
        </w:rPr>
        <w:t xml:space="preserve"> que se podrá integrar en inventarios de más envergadura); y</w:t>
      </w:r>
      <w:r w:rsidR="00284531" w:rsidRPr="00994BB3">
        <w:rPr>
          <w:szCs w:val="20"/>
          <w:lang w:val="es-ES"/>
        </w:rPr>
        <w:t xml:space="preserve"> </w:t>
      </w:r>
    </w:p>
    <w:p w:rsidR="00284531" w:rsidRPr="00994BB3" w:rsidRDefault="0017309B" w:rsidP="004936EF">
      <w:pPr>
        <w:pStyle w:val="Txtpucegras"/>
        <w:rPr>
          <w:szCs w:val="20"/>
          <w:lang w:val="es-ES"/>
        </w:rPr>
      </w:pPr>
      <w:r w:rsidRPr="00994BB3">
        <w:rPr>
          <w:lang w:val="es-ES"/>
        </w:rPr>
        <w:t>la adquisición del material audiovisual existente sobre las artes tradicionales del espectáculo del pueblo somalí (se acopiaron materiales y se facilitó el acceso a los mismos en algunas instituciones públicas).</w:t>
      </w:r>
    </w:p>
    <w:p w:rsidR="00284531" w:rsidRPr="00994BB3" w:rsidRDefault="008A1A5B">
      <w:pPr>
        <w:pStyle w:val="Texte1"/>
        <w:rPr>
          <w:lang w:val="es-ES"/>
        </w:rPr>
      </w:pPr>
      <w:r w:rsidRPr="00994BB3">
        <w:rPr>
          <w:lang w:val="es-ES"/>
        </w:rPr>
        <w:t>El Fondo Fiduciario Especial UNESCO/Japón aportó 40.000 dólares para el proyecto y los resultados de éste se dieron a conocer por medios digitales en algunas instituciones pertinentes del ámbito del PCI. Se espera que el proyecto pueda contribuir, tan pronto como la situación política lo permita, a la identificación del PCI presente en el territorio de Somalia, así como a la confección de un inventario de sus elementos</w:t>
      </w:r>
      <w:r w:rsidR="00284531" w:rsidRPr="00994BB3">
        <w:rPr>
          <w:lang w:val="es-ES"/>
        </w:rPr>
        <w:t>.</w:t>
      </w:r>
    </w:p>
    <w:p w:rsidR="009B5273" w:rsidRPr="006A2545" w:rsidRDefault="00CD0851" w:rsidP="004936EF">
      <w:pPr>
        <w:pStyle w:val="Heading6"/>
        <w:rPr>
          <w:lang w:val="es-ES"/>
        </w:rPr>
      </w:pPr>
      <w:r w:rsidRPr="00994BB3">
        <w:rPr>
          <w:lang w:val="es-ES"/>
        </w:rPr>
        <w:t>DIAPOSITIVA</w:t>
      </w:r>
      <w:r w:rsidR="00CD0E96">
        <w:rPr>
          <w:lang w:val="es-ES"/>
        </w:rPr>
        <w:t>S</w:t>
      </w:r>
      <w:r w:rsidR="008F3EFC" w:rsidRPr="006A2545">
        <w:rPr>
          <w:lang w:val="es-ES"/>
        </w:rPr>
        <w:t xml:space="preserve"> </w:t>
      </w:r>
      <w:r w:rsidR="00E859B6" w:rsidRPr="00EB7CE3">
        <w:rPr>
          <w:lang w:val="es-ES"/>
        </w:rPr>
        <w:t>9</w:t>
      </w:r>
      <w:r w:rsidR="00CD0E96" w:rsidRPr="00EB7CE3">
        <w:rPr>
          <w:lang w:val="es-ES"/>
        </w:rPr>
        <w:t xml:space="preserve"> Y 10</w:t>
      </w:r>
    </w:p>
    <w:p w:rsidR="00284531" w:rsidRPr="001A7C80" w:rsidRDefault="0089324A" w:rsidP="004936EF">
      <w:pPr>
        <w:pStyle w:val="diapo2"/>
        <w:rPr>
          <w:lang w:val="es-ES_tradnl"/>
        </w:rPr>
      </w:pPr>
      <w:r w:rsidRPr="00EB7CE3">
        <w:rPr>
          <w:bCs/>
          <w:lang w:val="es-ES"/>
        </w:rPr>
        <w:t xml:space="preserve">Solicitudes de asistencia internacional aprobadas </w:t>
      </w:r>
      <w:r w:rsidR="001A7C80" w:rsidRPr="00EB7CE3">
        <w:rPr>
          <w:lang w:val="es-ES"/>
        </w:rPr>
        <w:t>desde</w:t>
      </w:r>
      <w:r w:rsidR="00284531" w:rsidRPr="00EB7CE3">
        <w:rPr>
          <w:lang w:val="es-ES"/>
        </w:rPr>
        <w:t xml:space="preserve"> 2009</w:t>
      </w:r>
      <w:r w:rsidR="0043799E" w:rsidRPr="00EB7CE3">
        <w:rPr>
          <w:lang w:val="es-ES"/>
        </w:rPr>
        <w:t xml:space="preserve"> </w:t>
      </w:r>
    </w:p>
    <w:p w:rsidR="00393C02" w:rsidRPr="00994BB3" w:rsidRDefault="0065414D" w:rsidP="009909DD">
      <w:pPr>
        <w:pStyle w:val="Texte1"/>
        <w:rPr>
          <w:lang w:val="es-ES"/>
        </w:rPr>
      </w:pPr>
      <w:r w:rsidRPr="00994BB3">
        <w:rPr>
          <w:lang w:val="es-ES"/>
        </w:rPr>
        <w:t xml:space="preserve">En la Sección 9 del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AC5B27" w:rsidRPr="00994BB3">
        <w:rPr>
          <w:lang w:val="es-ES"/>
        </w:rPr>
        <w:t>Unidad</w:t>
      </w:r>
      <w:r w:rsidR="00465447" w:rsidRPr="00994BB3">
        <w:rPr>
          <w:lang w:val="es-ES"/>
        </w:rPr>
        <w:t xml:space="preserve"> 12</w:t>
      </w:r>
      <w:r w:rsidR="00EE4C33" w:rsidRPr="00994BB3">
        <w:rPr>
          <w:lang w:val="es-ES"/>
        </w:rPr>
        <w:t xml:space="preserve"> </w:t>
      </w:r>
      <w:r w:rsidRPr="00994BB3">
        <w:rPr>
          <w:lang w:val="es-ES"/>
        </w:rPr>
        <w:t>se presentan las solicitudes de asistencia internacional aprobadas hasta la fecha</w:t>
      </w:r>
      <w:r w:rsidR="00EE4C33" w:rsidRPr="00994BB3">
        <w:rPr>
          <w:lang w:val="es-ES"/>
        </w:rPr>
        <w:t>.</w:t>
      </w:r>
    </w:p>
    <w:p w:rsidR="00EE4C33" w:rsidRPr="00994BB3" w:rsidRDefault="00EE4C33" w:rsidP="004936EF">
      <w:pPr>
        <w:pStyle w:val="Soustitre"/>
        <w:rPr>
          <w:caps/>
          <w:lang w:val="es-ES"/>
        </w:rPr>
      </w:pPr>
      <w:bookmarkStart w:id="12" w:name="_Toc238982278"/>
      <w:r w:rsidRPr="00994BB3">
        <w:rPr>
          <w:lang w:val="es-ES"/>
        </w:rPr>
        <w:t>Not</w:t>
      </w:r>
      <w:r w:rsidR="0089324A" w:rsidRPr="00994BB3">
        <w:rPr>
          <w:lang w:val="es-ES"/>
        </w:rPr>
        <w:t>a sobre las dec</w:t>
      </w:r>
      <w:r w:rsidR="0065414D" w:rsidRPr="00994BB3">
        <w:rPr>
          <w:lang w:val="es-ES"/>
        </w:rPr>
        <w:t>isiones del Comit</w:t>
      </w:r>
      <w:r w:rsidR="0089324A" w:rsidRPr="00994BB3">
        <w:rPr>
          <w:lang w:val="es-ES"/>
        </w:rPr>
        <w:t xml:space="preserve">é </w:t>
      </w:r>
      <w:r w:rsidR="008B7290" w:rsidRPr="00994BB3">
        <w:rPr>
          <w:lang w:val="es-ES"/>
        </w:rPr>
        <w:t xml:space="preserve">Intergubernamental </w:t>
      </w:r>
      <w:r w:rsidR="0089324A" w:rsidRPr="00994BB3">
        <w:rPr>
          <w:lang w:val="es-ES"/>
        </w:rPr>
        <w:t>relativas a las solicitudes de</w:t>
      </w:r>
      <w:r w:rsidRPr="00994BB3">
        <w:rPr>
          <w:lang w:val="es-ES"/>
        </w:rPr>
        <w:t xml:space="preserve"> </w:t>
      </w:r>
      <w:r w:rsidR="00F53A3B" w:rsidRPr="00994BB3">
        <w:rPr>
          <w:lang w:val="es-ES"/>
        </w:rPr>
        <w:t>asistencia internacional</w:t>
      </w:r>
      <w:bookmarkEnd w:id="12"/>
    </w:p>
    <w:p w:rsidR="00585C84" w:rsidRPr="00994BB3" w:rsidRDefault="008B7290" w:rsidP="009909DD">
      <w:pPr>
        <w:pStyle w:val="Texte1"/>
        <w:rPr>
          <w:lang w:val="es-ES"/>
        </w:rPr>
      </w:pPr>
      <w:r w:rsidRPr="00994BB3">
        <w:rPr>
          <w:lang w:val="es-ES"/>
        </w:rPr>
        <w:t>A continuación</w:t>
      </w:r>
      <w:r w:rsidR="008B3215">
        <w:rPr>
          <w:lang w:val="es-ES"/>
        </w:rPr>
        <w:t>,</w:t>
      </w:r>
      <w:r w:rsidRPr="00994BB3">
        <w:rPr>
          <w:lang w:val="es-ES"/>
        </w:rPr>
        <w:t xml:space="preserve"> se reproducen dos de las tres decisiones </w:t>
      </w:r>
      <w:r w:rsidR="008B3215" w:rsidRPr="00994BB3">
        <w:rPr>
          <w:lang w:val="es-ES"/>
        </w:rPr>
        <w:t xml:space="preserve">sobre solicitudes de asistencia internacional </w:t>
      </w:r>
      <w:r w:rsidRPr="00994BB3">
        <w:rPr>
          <w:lang w:val="es-ES"/>
        </w:rPr>
        <w:t>adoptadas en 2009 por el Comité Intergubernamental</w:t>
      </w:r>
      <w:r w:rsidR="00EE4C33" w:rsidRPr="00994BB3">
        <w:rPr>
          <w:lang w:val="es-ES"/>
        </w:rPr>
        <w:t xml:space="preserve">. </w:t>
      </w:r>
      <w:r w:rsidR="007F7F84" w:rsidRPr="00994BB3">
        <w:rPr>
          <w:lang w:val="es-ES"/>
        </w:rPr>
        <w:t xml:space="preserve">Estas decisiones pueden </w:t>
      </w:r>
      <w:r w:rsidR="00A259ED" w:rsidRPr="00994BB3">
        <w:rPr>
          <w:lang w:val="es-ES"/>
        </w:rPr>
        <w:t>ser ilustrativas</w:t>
      </w:r>
      <w:r w:rsidR="007F7F84" w:rsidRPr="00994BB3">
        <w:rPr>
          <w:lang w:val="es-ES"/>
        </w:rPr>
        <w:t xml:space="preserve"> </w:t>
      </w:r>
      <w:r w:rsidR="008B3215">
        <w:rPr>
          <w:lang w:val="es-ES"/>
        </w:rPr>
        <w:t>de la manera de redactar este tipo de textos</w:t>
      </w:r>
      <w:r w:rsidR="007F7F84" w:rsidRPr="00994BB3">
        <w:rPr>
          <w:lang w:val="es-ES"/>
        </w:rPr>
        <w:t xml:space="preserve"> y </w:t>
      </w:r>
      <w:r w:rsidR="008B3215">
        <w:rPr>
          <w:lang w:val="es-ES"/>
        </w:rPr>
        <w:t>de</w:t>
      </w:r>
      <w:r w:rsidR="007F7F84" w:rsidRPr="00994BB3">
        <w:rPr>
          <w:lang w:val="es-ES"/>
        </w:rPr>
        <w:t xml:space="preserve"> las condiciones </w:t>
      </w:r>
      <w:r w:rsidR="008B3215">
        <w:rPr>
          <w:lang w:val="es-ES"/>
        </w:rPr>
        <w:t xml:space="preserve">adicionales </w:t>
      </w:r>
      <w:r w:rsidR="007F7F84" w:rsidRPr="00994BB3">
        <w:rPr>
          <w:lang w:val="es-ES"/>
        </w:rPr>
        <w:t xml:space="preserve">que </w:t>
      </w:r>
      <w:r w:rsidR="008B3215">
        <w:rPr>
          <w:lang w:val="es-ES"/>
        </w:rPr>
        <w:t xml:space="preserve">se </w:t>
      </w:r>
      <w:r w:rsidR="007F7F84" w:rsidRPr="00994BB3">
        <w:rPr>
          <w:lang w:val="es-ES"/>
        </w:rPr>
        <w:t>imponen en alg</w:t>
      </w:r>
      <w:r w:rsidR="008B3215">
        <w:rPr>
          <w:lang w:val="es-ES"/>
        </w:rPr>
        <w:t>unos</w:t>
      </w:r>
      <w:r w:rsidR="007F7F84" w:rsidRPr="00994BB3">
        <w:rPr>
          <w:lang w:val="es-ES"/>
        </w:rPr>
        <w:t xml:space="preserve"> caso</w:t>
      </w:r>
      <w:r w:rsidR="008B3215">
        <w:rPr>
          <w:lang w:val="es-ES"/>
        </w:rPr>
        <w:t>s</w:t>
      </w:r>
      <w:r w:rsidR="00284531" w:rsidRPr="00994BB3">
        <w:rPr>
          <w:lang w:val="es-ES"/>
        </w:rPr>
        <w:t>.</w:t>
      </w:r>
    </w:p>
    <w:p w:rsidR="00EE4C33" w:rsidRPr="00994BB3" w:rsidRDefault="00EE4C33" w:rsidP="004936EF">
      <w:pPr>
        <w:pStyle w:val="diapo2"/>
        <w:ind w:left="851"/>
        <w:jc w:val="center"/>
        <w:rPr>
          <w:szCs w:val="20"/>
          <w:lang w:val="es-ES"/>
        </w:rPr>
      </w:pPr>
      <w:r w:rsidRPr="00994BB3">
        <w:rPr>
          <w:sz w:val="20"/>
          <w:szCs w:val="20"/>
          <w:lang w:val="es-ES"/>
        </w:rPr>
        <w:t>DECISI</w:t>
      </w:r>
      <w:r w:rsidR="008F0232" w:rsidRPr="00994BB3">
        <w:rPr>
          <w:sz w:val="20"/>
          <w:szCs w:val="20"/>
          <w:lang w:val="es-ES"/>
        </w:rPr>
        <w:t>Ó</w:t>
      </w:r>
      <w:r w:rsidRPr="00994BB3">
        <w:rPr>
          <w:sz w:val="20"/>
          <w:szCs w:val="20"/>
          <w:lang w:val="es-ES"/>
        </w:rPr>
        <w:t>N 4.COM 11.01</w:t>
      </w:r>
    </w:p>
    <w:p w:rsidR="00EE4C33" w:rsidRPr="00994BB3" w:rsidRDefault="007F7F84" w:rsidP="009909DD">
      <w:pPr>
        <w:pStyle w:val="Texte1"/>
        <w:rPr>
          <w:lang w:val="es-ES"/>
        </w:rPr>
      </w:pPr>
      <w:r w:rsidRPr="00994BB3">
        <w:rPr>
          <w:lang w:val="es-ES"/>
        </w:rPr>
        <w:t>El Comité</w:t>
      </w:r>
      <w:r w:rsidR="00EE4C33" w:rsidRPr="00994BB3">
        <w:rPr>
          <w:lang w:val="es-ES"/>
        </w:rPr>
        <w:t>,</w:t>
      </w:r>
    </w:p>
    <w:p w:rsidR="00EE4C33" w:rsidRPr="00994BB3" w:rsidRDefault="009B5273" w:rsidP="004936EF">
      <w:pPr>
        <w:pStyle w:val="Enumrotation"/>
        <w:rPr>
          <w:bCs/>
          <w:lang w:val="es-ES"/>
        </w:rPr>
      </w:pPr>
      <w:r w:rsidRPr="00994BB3">
        <w:rPr>
          <w:bCs/>
          <w:lang w:val="es-ES"/>
        </w:rPr>
        <w:t>1.</w:t>
      </w:r>
      <w:r w:rsidRPr="00994BB3">
        <w:rPr>
          <w:bCs/>
          <w:lang w:val="es-ES"/>
        </w:rPr>
        <w:tab/>
      </w:r>
      <w:r w:rsidR="008F0232" w:rsidRPr="00994BB3">
        <w:rPr>
          <w:u w:val="single"/>
          <w:lang w:val="es-ES"/>
        </w:rPr>
        <w:t>Habiendo examinado</w:t>
      </w:r>
      <w:r w:rsidR="008F0232" w:rsidRPr="00994BB3">
        <w:rPr>
          <w:lang w:val="es-ES"/>
        </w:rPr>
        <w:t xml:space="preserve"> el documento ITH/09/4.COM/CONF.209/11 y sus anexos, y </w:t>
      </w:r>
      <w:r w:rsidR="008F0232" w:rsidRPr="00994BB3">
        <w:rPr>
          <w:u w:val="single"/>
          <w:lang w:val="es-ES"/>
        </w:rPr>
        <w:t>habiendo examinado asimismo</w:t>
      </w:r>
      <w:r w:rsidR="008F0232" w:rsidRPr="00994BB3">
        <w:rPr>
          <w:lang w:val="es-ES"/>
        </w:rPr>
        <w:t xml:space="preserve"> la solicitud de asistencia internacional presentada por Kenya con el título “Tradiciones y prácticas vinculadas a los </w:t>
      </w:r>
      <w:r w:rsidR="008F0232" w:rsidRPr="00994BB3">
        <w:rPr>
          <w:i/>
          <w:lang w:val="es-ES"/>
        </w:rPr>
        <w:t>kayas</w:t>
      </w:r>
      <w:r w:rsidR="008F0232" w:rsidRPr="00994BB3">
        <w:rPr>
          <w:lang w:val="es-ES"/>
        </w:rPr>
        <w:t xml:space="preserve"> en los bosques sagrados de los mijikendas” (expediente número 00326);</w:t>
      </w:r>
    </w:p>
    <w:p w:rsidR="00EE4C33" w:rsidRPr="00994BB3" w:rsidRDefault="009B5273" w:rsidP="004936EF">
      <w:pPr>
        <w:pStyle w:val="Enumrotation"/>
        <w:rPr>
          <w:bCs/>
          <w:lang w:val="es-ES"/>
        </w:rPr>
      </w:pPr>
      <w:r w:rsidRPr="00994BB3">
        <w:rPr>
          <w:bCs/>
          <w:lang w:val="es-ES"/>
        </w:rPr>
        <w:t>2.</w:t>
      </w:r>
      <w:r w:rsidRPr="00994BB3">
        <w:rPr>
          <w:bCs/>
          <w:lang w:val="es-ES"/>
        </w:rPr>
        <w:tab/>
      </w:r>
      <w:r w:rsidR="008F0232" w:rsidRPr="00994BB3">
        <w:rPr>
          <w:u w:val="single"/>
          <w:lang w:val="es-ES"/>
        </w:rPr>
        <w:t>Recordando</w:t>
      </w:r>
      <w:r w:rsidR="008F0232" w:rsidRPr="00994BB3">
        <w:rPr>
          <w:lang w:val="es-ES"/>
        </w:rPr>
        <w:t xml:space="preserve"> el Capítulo V de la Convención y el Capítulo II de las Directrices Operativas;</w:t>
      </w:r>
    </w:p>
    <w:p w:rsidR="00EE4C33" w:rsidRPr="00994BB3" w:rsidRDefault="009B5273" w:rsidP="004936EF">
      <w:pPr>
        <w:pStyle w:val="Enumrotation"/>
        <w:rPr>
          <w:bCs/>
          <w:lang w:val="es-ES"/>
        </w:rPr>
      </w:pPr>
      <w:r w:rsidRPr="00994BB3">
        <w:rPr>
          <w:bCs/>
          <w:lang w:val="es-ES"/>
        </w:rPr>
        <w:t>3.</w:t>
      </w:r>
      <w:r w:rsidRPr="00994BB3">
        <w:rPr>
          <w:bCs/>
          <w:lang w:val="es-ES"/>
        </w:rPr>
        <w:tab/>
      </w:r>
      <w:r w:rsidR="008F0232" w:rsidRPr="00994BB3">
        <w:rPr>
          <w:u w:val="single"/>
          <w:lang w:val="es-ES"/>
        </w:rPr>
        <w:t>Felicita</w:t>
      </w:r>
      <w:r w:rsidR="008F0232" w:rsidRPr="00994BB3">
        <w:rPr>
          <w:lang w:val="es-ES"/>
        </w:rPr>
        <w:t xml:space="preserve"> al Estado Parte por la creatividad y diversidad de las actividades propuestas en su solicitud, por su compromiso de garantizar la participación de las comunidades interesadas en su ejecución y por la atención que ha prestado al enfoque de salvaguardar el patrimonio cultural inmaterial junto con el entorno natural en el que se practica;</w:t>
      </w:r>
    </w:p>
    <w:p w:rsidR="00EE4C33" w:rsidRPr="00994BB3" w:rsidRDefault="009B5273" w:rsidP="004936EF">
      <w:pPr>
        <w:pStyle w:val="Enumrotation"/>
        <w:rPr>
          <w:bCs/>
          <w:lang w:val="es-ES"/>
        </w:rPr>
      </w:pPr>
      <w:r w:rsidRPr="00994BB3">
        <w:rPr>
          <w:bCs/>
          <w:lang w:val="es-ES"/>
        </w:rPr>
        <w:t>4.</w:t>
      </w:r>
      <w:r w:rsidRPr="00994BB3">
        <w:rPr>
          <w:bCs/>
          <w:lang w:val="es-ES"/>
        </w:rPr>
        <w:tab/>
      </w:r>
      <w:r w:rsidR="00BB3B2B" w:rsidRPr="00994BB3">
        <w:rPr>
          <w:u w:val="single"/>
          <w:lang w:val="es-ES"/>
        </w:rPr>
        <w:t>Toma nota</w:t>
      </w:r>
      <w:r w:rsidR="00BB3B2B" w:rsidRPr="00994BB3">
        <w:rPr>
          <w:lang w:val="es-ES"/>
        </w:rPr>
        <w:t xml:space="preserve"> de que los examinadores designados para estudiar la solicitud han presentado al Comité sus informes, incluidos en el Anexo 1 del Documento ITH/09/4.COM/CONF.209/11, en los que recomiendan la aprobación de dicha solicitud, aunque plantean una serie de interrogantes y formulan observaciones sobre la forma en </w:t>
      </w:r>
      <w:r w:rsidR="008B3215">
        <w:rPr>
          <w:lang w:val="es-ES"/>
        </w:rPr>
        <w:t xml:space="preserve">que </w:t>
      </w:r>
      <w:r w:rsidR="00BB3B2B" w:rsidRPr="00994BB3">
        <w:rPr>
          <w:lang w:val="es-ES"/>
        </w:rPr>
        <w:t>tal solicitud fue presentada;</w:t>
      </w:r>
    </w:p>
    <w:p w:rsidR="00EE4C33" w:rsidRPr="00994BB3" w:rsidRDefault="009B5273" w:rsidP="004936EF">
      <w:pPr>
        <w:pStyle w:val="Enumrotation"/>
        <w:rPr>
          <w:bCs/>
          <w:lang w:val="es-ES"/>
        </w:rPr>
      </w:pPr>
      <w:r w:rsidRPr="00994BB3">
        <w:rPr>
          <w:bCs/>
          <w:lang w:val="es-ES"/>
        </w:rPr>
        <w:t>5.</w:t>
      </w:r>
      <w:r w:rsidRPr="00994BB3">
        <w:rPr>
          <w:bCs/>
          <w:lang w:val="es-ES"/>
        </w:rPr>
        <w:tab/>
      </w:r>
      <w:r w:rsidR="00BB3B2B" w:rsidRPr="00994BB3">
        <w:rPr>
          <w:u w:val="single"/>
          <w:lang w:val="es-ES"/>
        </w:rPr>
        <w:t>Aprueba</w:t>
      </w:r>
      <w:r w:rsidR="00BB3B2B" w:rsidRPr="00994BB3">
        <w:rPr>
          <w:lang w:val="es-ES"/>
        </w:rPr>
        <w:t xml:space="preserve"> la solicitud por un importe de 126.580 dólares estadounidenses;</w:t>
      </w:r>
    </w:p>
    <w:p w:rsidR="00EE4C33" w:rsidRPr="00994BB3" w:rsidRDefault="009B5273" w:rsidP="004936EF">
      <w:pPr>
        <w:pStyle w:val="Enumrotation"/>
        <w:rPr>
          <w:bCs/>
          <w:lang w:val="es-ES"/>
        </w:rPr>
      </w:pPr>
      <w:r w:rsidRPr="00994BB3">
        <w:rPr>
          <w:bCs/>
          <w:lang w:val="es-ES"/>
        </w:rPr>
        <w:t>6.</w:t>
      </w:r>
      <w:r w:rsidRPr="00994BB3">
        <w:rPr>
          <w:bCs/>
          <w:lang w:val="es-ES"/>
        </w:rPr>
        <w:tab/>
      </w:r>
      <w:r w:rsidR="005526C6" w:rsidRPr="00994BB3">
        <w:rPr>
          <w:u w:val="single"/>
          <w:lang w:val="es-ES"/>
        </w:rPr>
        <w:t>Invita</w:t>
      </w:r>
      <w:r w:rsidR="005526C6" w:rsidRPr="00994BB3">
        <w:rPr>
          <w:lang w:val="es-ES"/>
        </w:rPr>
        <w:t xml:space="preserve"> al Estado Parte a elaborar, a la mayor brevedad, un proyecto revisado que t</w:t>
      </w:r>
      <w:r w:rsidR="00A259ED" w:rsidRPr="00994BB3">
        <w:rPr>
          <w:lang w:val="es-ES"/>
        </w:rPr>
        <w:t>enga</w:t>
      </w:r>
      <w:r w:rsidR="005526C6" w:rsidRPr="00994BB3">
        <w:rPr>
          <w:lang w:val="es-ES"/>
        </w:rPr>
        <w:t xml:space="preserve"> en cuenta, en la mayor medida de lo posible, las observaciones formuladas por los examinadores, así como por el Comité en sus debates</w:t>
      </w:r>
      <w:r w:rsidR="00EE4C33" w:rsidRPr="00994BB3">
        <w:rPr>
          <w:lang w:val="es-ES"/>
        </w:rPr>
        <w:t>;</w:t>
      </w:r>
    </w:p>
    <w:p w:rsidR="00EE4C33" w:rsidRPr="00994BB3" w:rsidRDefault="009B5273" w:rsidP="004936EF">
      <w:pPr>
        <w:pStyle w:val="Enumrotation"/>
        <w:rPr>
          <w:bCs/>
          <w:lang w:val="es-ES"/>
        </w:rPr>
      </w:pPr>
      <w:r w:rsidRPr="00994BB3">
        <w:rPr>
          <w:bCs/>
          <w:lang w:val="es-ES"/>
        </w:rPr>
        <w:t>7.</w:t>
      </w:r>
      <w:r w:rsidRPr="00994BB3">
        <w:rPr>
          <w:bCs/>
          <w:lang w:val="es-ES"/>
        </w:rPr>
        <w:tab/>
      </w:r>
      <w:r w:rsidR="005526C6" w:rsidRPr="00994BB3">
        <w:rPr>
          <w:u w:val="single"/>
          <w:lang w:val="es-ES"/>
        </w:rPr>
        <w:t>Pide</w:t>
      </w:r>
      <w:r w:rsidR="005526C6" w:rsidRPr="00994BB3">
        <w:rPr>
          <w:lang w:val="es-ES"/>
        </w:rPr>
        <w:t xml:space="preserve"> a la Secretaría que ayude al Estado Parte </w:t>
      </w:r>
      <w:r w:rsidR="006F6637">
        <w:rPr>
          <w:lang w:val="es-ES"/>
        </w:rPr>
        <w:t>a</w:t>
      </w:r>
      <w:r w:rsidR="005526C6" w:rsidRPr="00994BB3">
        <w:rPr>
          <w:lang w:val="es-ES"/>
        </w:rPr>
        <w:t xml:space="preserve"> revis</w:t>
      </w:r>
      <w:r w:rsidR="006F6637">
        <w:rPr>
          <w:lang w:val="es-ES"/>
        </w:rPr>
        <w:t xml:space="preserve">ar </w:t>
      </w:r>
      <w:r w:rsidR="005526C6" w:rsidRPr="00994BB3">
        <w:rPr>
          <w:lang w:val="es-ES"/>
        </w:rPr>
        <w:t>el proyecto</w:t>
      </w:r>
      <w:r w:rsidR="006F6637" w:rsidRPr="00994BB3">
        <w:rPr>
          <w:lang w:val="es-ES"/>
        </w:rPr>
        <w:t>, si fuere necesario,</w:t>
      </w:r>
    </w:p>
    <w:p w:rsidR="00EE4C33" w:rsidRPr="00994BB3" w:rsidRDefault="00EE4C33" w:rsidP="004936EF">
      <w:pPr>
        <w:pStyle w:val="diapo2"/>
        <w:ind w:left="851"/>
        <w:jc w:val="center"/>
        <w:rPr>
          <w:szCs w:val="20"/>
          <w:lang w:val="es-ES"/>
        </w:rPr>
      </w:pPr>
      <w:r w:rsidRPr="00994BB3">
        <w:rPr>
          <w:sz w:val="20"/>
          <w:szCs w:val="20"/>
          <w:lang w:val="es-ES"/>
        </w:rPr>
        <w:t>DECISI</w:t>
      </w:r>
      <w:r w:rsidR="005526C6" w:rsidRPr="00994BB3">
        <w:rPr>
          <w:sz w:val="20"/>
          <w:szCs w:val="20"/>
          <w:lang w:val="es-ES"/>
        </w:rPr>
        <w:t>Ó</w:t>
      </w:r>
      <w:r w:rsidRPr="00994BB3">
        <w:rPr>
          <w:sz w:val="20"/>
          <w:szCs w:val="20"/>
          <w:lang w:val="es-ES"/>
        </w:rPr>
        <w:t xml:space="preserve">N 4.COM 11.02 </w:t>
      </w:r>
    </w:p>
    <w:p w:rsidR="00EE4C33" w:rsidRPr="00994BB3" w:rsidRDefault="005526C6" w:rsidP="009909DD">
      <w:pPr>
        <w:pStyle w:val="Texte1"/>
        <w:rPr>
          <w:lang w:val="es-ES"/>
        </w:rPr>
      </w:pPr>
      <w:r w:rsidRPr="00994BB3">
        <w:rPr>
          <w:lang w:val="es-ES"/>
        </w:rPr>
        <w:t>El</w:t>
      </w:r>
      <w:r w:rsidR="00EE4C33" w:rsidRPr="00994BB3">
        <w:rPr>
          <w:lang w:val="es-ES"/>
        </w:rPr>
        <w:t xml:space="preserve"> </w:t>
      </w:r>
      <w:r w:rsidRPr="00994BB3">
        <w:rPr>
          <w:lang w:val="es-ES"/>
        </w:rPr>
        <w:t>Comité</w:t>
      </w:r>
      <w:r w:rsidR="00EE4C33" w:rsidRPr="00994BB3">
        <w:rPr>
          <w:lang w:val="es-ES"/>
        </w:rPr>
        <w:t>,</w:t>
      </w:r>
    </w:p>
    <w:p w:rsidR="00EE4C33" w:rsidRPr="00994BB3" w:rsidRDefault="009B5273" w:rsidP="004936EF">
      <w:pPr>
        <w:pStyle w:val="Enumrotation"/>
        <w:rPr>
          <w:bCs/>
          <w:lang w:val="es-ES"/>
        </w:rPr>
      </w:pPr>
      <w:r w:rsidRPr="00994BB3">
        <w:rPr>
          <w:bCs/>
          <w:lang w:val="es-ES"/>
        </w:rPr>
        <w:t>1.</w:t>
      </w:r>
      <w:r w:rsidRPr="00994BB3">
        <w:rPr>
          <w:bCs/>
          <w:lang w:val="es-ES"/>
        </w:rPr>
        <w:tab/>
      </w:r>
      <w:r w:rsidR="00A259ED" w:rsidRPr="00994BB3">
        <w:rPr>
          <w:u w:val="single"/>
          <w:lang w:val="es-ES"/>
        </w:rPr>
        <w:t>Habiendo examinado</w:t>
      </w:r>
      <w:r w:rsidR="00A259ED" w:rsidRPr="00994BB3">
        <w:rPr>
          <w:lang w:val="es-ES"/>
        </w:rPr>
        <w:t xml:space="preserve"> el documento ITH/09/4.COM/CONF.209/11 y sus anexos, y </w:t>
      </w:r>
      <w:r w:rsidR="00A259ED" w:rsidRPr="00994BB3">
        <w:rPr>
          <w:u w:val="single"/>
          <w:lang w:val="es-ES"/>
        </w:rPr>
        <w:t>habiendo examinado asimismo</w:t>
      </w:r>
      <w:r w:rsidR="00A259ED" w:rsidRPr="00994BB3">
        <w:rPr>
          <w:lang w:val="es-ES"/>
        </w:rPr>
        <w:t xml:space="preserve"> la solicitud de asistencia internacional presentada por Mauricio con el título “Documentación e inventario del patrimonio cultural inmaterial de la República de Mauricio” (número de expediente 00327)</w:t>
      </w:r>
      <w:r w:rsidR="00EE4C33" w:rsidRPr="00994BB3">
        <w:rPr>
          <w:lang w:val="es-ES"/>
        </w:rPr>
        <w:t>;</w:t>
      </w:r>
    </w:p>
    <w:p w:rsidR="00EE4C33" w:rsidRPr="00994BB3" w:rsidRDefault="009B5273" w:rsidP="004936EF">
      <w:pPr>
        <w:pStyle w:val="Enumrotation"/>
        <w:rPr>
          <w:bCs/>
          <w:lang w:val="es-ES"/>
        </w:rPr>
      </w:pPr>
      <w:r w:rsidRPr="00994BB3">
        <w:rPr>
          <w:bCs/>
          <w:lang w:val="es-ES"/>
        </w:rPr>
        <w:t>2.</w:t>
      </w:r>
      <w:r w:rsidRPr="00994BB3">
        <w:rPr>
          <w:bCs/>
          <w:lang w:val="es-ES"/>
        </w:rPr>
        <w:tab/>
      </w:r>
      <w:r w:rsidR="00A259ED" w:rsidRPr="00994BB3">
        <w:rPr>
          <w:u w:val="single"/>
          <w:lang w:val="es-ES"/>
        </w:rPr>
        <w:t>Recordando</w:t>
      </w:r>
      <w:r w:rsidR="00A259ED" w:rsidRPr="00994BB3">
        <w:rPr>
          <w:lang w:val="es-ES"/>
        </w:rPr>
        <w:t xml:space="preserve"> el Capítulo V de la Convención y el Capítulo II de las Directrices Operativas</w:t>
      </w:r>
      <w:r w:rsidR="00EE4C33" w:rsidRPr="00994BB3">
        <w:rPr>
          <w:lang w:val="es-ES"/>
        </w:rPr>
        <w:t>;</w:t>
      </w:r>
    </w:p>
    <w:p w:rsidR="00EE4C33" w:rsidRPr="00994BB3" w:rsidRDefault="009B5273" w:rsidP="004936EF">
      <w:pPr>
        <w:pStyle w:val="Enumrotation"/>
        <w:rPr>
          <w:bCs/>
          <w:lang w:val="es-ES"/>
        </w:rPr>
      </w:pPr>
      <w:r w:rsidRPr="00994BB3">
        <w:rPr>
          <w:bCs/>
          <w:lang w:val="es-ES"/>
        </w:rPr>
        <w:t>3.</w:t>
      </w:r>
      <w:r w:rsidRPr="00994BB3">
        <w:rPr>
          <w:bCs/>
          <w:lang w:val="es-ES"/>
        </w:rPr>
        <w:tab/>
      </w:r>
      <w:r w:rsidR="00A259ED" w:rsidRPr="00994BB3">
        <w:rPr>
          <w:u w:val="single"/>
          <w:lang w:val="es-ES"/>
        </w:rPr>
        <w:t>Recordando además</w:t>
      </w:r>
      <w:r w:rsidR="00A259ED" w:rsidRPr="00994BB3">
        <w:rPr>
          <w:lang w:val="es-ES"/>
        </w:rPr>
        <w:t xml:space="preserve"> los Artículos 11 y 12 de la Convención</w:t>
      </w:r>
      <w:r w:rsidR="00EE4C33" w:rsidRPr="00994BB3">
        <w:rPr>
          <w:lang w:val="es-ES"/>
        </w:rPr>
        <w:t>;</w:t>
      </w:r>
    </w:p>
    <w:p w:rsidR="00EE4C33" w:rsidRPr="00994BB3" w:rsidRDefault="009B5273" w:rsidP="004936EF">
      <w:pPr>
        <w:pStyle w:val="Enumrotation"/>
        <w:rPr>
          <w:bCs/>
          <w:lang w:val="es-ES"/>
        </w:rPr>
      </w:pPr>
      <w:r w:rsidRPr="00994BB3">
        <w:rPr>
          <w:bCs/>
          <w:lang w:val="es-ES"/>
        </w:rPr>
        <w:t>4.</w:t>
      </w:r>
      <w:r w:rsidRPr="00994BB3">
        <w:rPr>
          <w:bCs/>
          <w:lang w:val="es-ES"/>
        </w:rPr>
        <w:tab/>
      </w:r>
      <w:r w:rsidR="00A259ED" w:rsidRPr="00994BB3">
        <w:rPr>
          <w:u w:val="single"/>
          <w:lang w:val="es-ES"/>
        </w:rPr>
        <w:t>Felicita</w:t>
      </w:r>
      <w:r w:rsidR="00A259ED" w:rsidRPr="00994BB3">
        <w:rPr>
          <w:lang w:val="es-ES"/>
        </w:rPr>
        <w:t xml:space="preserve"> al Estado Parte por su compromiso de cumplir sus obligaciones confeccionando uno o más inventarios del patrimonio cultural inmaterial presente en su territorio, y </w:t>
      </w:r>
      <w:r w:rsidR="00A259ED" w:rsidRPr="00994BB3">
        <w:rPr>
          <w:u w:val="single"/>
          <w:lang w:val="es-ES"/>
        </w:rPr>
        <w:t>acoge con beneplácito</w:t>
      </w:r>
      <w:r w:rsidR="00A259ED" w:rsidRPr="00994BB3">
        <w:rPr>
          <w:lang w:val="es-ES"/>
        </w:rPr>
        <w:t xml:space="preserve"> su iniciativa de solicitar asistencia internacional para complementar los recursos nacionales disponibles para tales fines</w:t>
      </w:r>
      <w:r w:rsidR="00EE4C33" w:rsidRPr="00994BB3">
        <w:rPr>
          <w:lang w:val="es-ES"/>
        </w:rPr>
        <w:t>;</w:t>
      </w:r>
    </w:p>
    <w:p w:rsidR="00EE4C33" w:rsidRPr="00994BB3" w:rsidRDefault="009B5273" w:rsidP="004936EF">
      <w:pPr>
        <w:pStyle w:val="Enumrotation"/>
        <w:rPr>
          <w:bCs/>
          <w:lang w:val="es-ES"/>
        </w:rPr>
      </w:pPr>
      <w:r w:rsidRPr="00994BB3">
        <w:rPr>
          <w:bCs/>
          <w:lang w:val="es-ES"/>
        </w:rPr>
        <w:t>5.</w:t>
      </w:r>
      <w:r w:rsidRPr="00994BB3">
        <w:rPr>
          <w:bCs/>
          <w:lang w:val="es-ES"/>
        </w:rPr>
        <w:tab/>
      </w:r>
      <w:r w:rsidR="00A259ED" w:rsidRPr="00994BB3">
        <w:rPr>
          <w:u w:val="single"/>
          <w:lang w:val="es-ES"/>
        </w:rPr>
        <w:t>Toma nota</w:t>
      </w:r>
      <w:r w:rsidR="00A259ED" w:rsidRPr="00994BB3">
        <w:rPr>
          <w:lang w:val="es-ES"/>
        </w:rPr>
        <w:t xml:space="preserve"> de que los examinadores designados para estudiar la solicitud han presentado al Comité sus informes, incluidos en el Anexo 2 del Documento ITH/09/4.COM/CONF.209/11, en los que recomiendan la aprobación de dicha solicitud</w:t>
      </w:r>
      <w:r w:rsidR="00EE4C33" w:rsidRPr="00994BB3">
        <w:rPr>
          <w:lang w:val="es-ES"/>
        </w:rPr>
        <w:t>;</w:t>
      </w:r>
    </w:p>
    <w:p w:rsidR="00EE4C33" w:rsidRPr="00994BB3" w:rsidRDefault="009B5273" w:rsidP="004936EF">
      <w:pPr>
        <w:pStyle w:val="Enumrotation"/>
        <w:rPr>
          <w:bCs/>
          <w:lang w:val="es-ES"/>
        </w:rPr>
      </w:pPr>
      <w:r w:rsidRPr="00994BB3">
        <w:rPr>
          <w:bCs/>
          <w:lang w:val="es-ES"/>
        </w:rPr>
        <w:t>6.</w:t>
      </w:r>
      <w:r w:rsidRPr="00994BB3">
        <w:rPr>
          <w:bCs/>
          <w:lang w:val="es-ES"/>
        </w:rPr>
        <w:tab/>
      </w:r>
      <w:r w:rsidR="00A259ED" w:rsidRPr="00994BB3">
        <w:rPr>
          <w:u w:val="single"/>
          <w:lang w:val="es-ES"/>
        </w:rPr>
        <w:t xml:space="preserve">Aprueba </w:t>
      </w:r>
      <w:r w:rsidR="00A259ED" w:rsidRPr="00994BB3">
        <w:rPr>
          <w:lang w:val="es-ES"/>
        </w:rPr>
        <w:t>la solicitud por un importe de 52.461 dólares estadounidenses</w:t>
      </w:r>
      <w:r w:rsidR="00EE4C33" w:rsidRPr="00994BB3">
        <w:rPr>
          <w:lang w:val="es-ES"/>
        </w:rPr>
        <w:t>;</w:t>
      </w:r>
    </w:p>
    <w:p w:rsidR="00EE4C33" w:rsidRPr="00994BB3" w:rsidRDefault="009B5273" w:rsidP="004936EF">
      <w:pPr>
        <w:pStyle w:val="Enumrotation"/>
        <w:rPr>
          <w:bCs/>
          <w:lang w:val="es-ES"/>
        </w:rPr>
      </w:pPr>
      <w:r w:rsidRPr="00994BB3">
        <w:rPr>
          <w:bCs/>
          <w:lang w:val="es-ES"/>
        </w:rPr>
        <w:t>7.</w:t>
      </w:r>
      <w:r w:rsidRPr="00994BB3">
        <w:rPr>
          <w:bCs/>
          <w:lang w:val="es-ES"/>
        </w:rPr>
        <w:tab/>
      </w:r>
      <w:r w:rsidR="00A259ED" w:rsidRPr="00994BB3">
        <w:rPr>
          <w:u w:val="single"/>
          <w:lang w:val="es-ES"/>
        </w:rPr>
        <w:t>Invita</w:t>
      </w:r>
      <w:r w:rsidR="00A259ED" w:rsidRPr="00994BB3">
        <w:rPr>
          <w:lang w:val="es-ES"/>
        </w:rPr>
        <w:t xml:space="preserve"> al Estado Parte a tener en cuenta las observaciones formuladas</w:t>
      </w:r>
      <w:r w:rsidR="006A2545" w:rsidRPr="00994BB3">
        <w:rPr>
          <w:lang w:val="es-ES"/>
        </w:rPr>
        <w:t xml:space="preserve"> </w:t>
      </w:r>
      <w:r w:rsidR="00A259ED" w:rsidRPr="00994BB3">
        <w:rPr>
          <w:lang w:val="es-ES"/>
        </w:rPr>
        <w:t>por los examinadores y el Comité cuando ejecute de las actividades propuestas</w:t>
      </w:r>
      <w:r w:rsidR="00EE4C33" w:rsidRPr="00994BB3">
        <w:rPr>
          <w:lang w:val="es-ES"/>
        </w:rPr>
        <w:t>;</w:t>
      </w:r>
    </w:p>
    <w:p w:rsidR="00EE4C33" w:rsidRPr="00994BB3" w:rsidRDefault="009B5273" w:rsidP="004936EF">
      <w:pPr>
        <w:pStyle w:val="Enumrotation"/>
        <w:rPr>
          <w:bCs/>
          <w:lang w:val="es-ES"/>
        </w:rPr>
      </w:pPr>
      <w:r w:rsidRPr="00994BB3">
        <w:rPr>
          <w:bCs/>
          <w:lang w:val="es-ES"/>
        </w:rPr>
        <w:t>8.</w:t>
      </w:r>
      <w:r w:rsidRPr="00994BB3">
        <w:rPr>
          <w:bCs/>
          <w:lang w:val="es-ES"/>
        </w:rPr>
        <w:tab/>
      </w:r>
      <w:r w:rsidR="00A259ED" w:rsidRPr="00994BB3">
        <w:rPr>
          <w:u w:val="single"/>
          <w:lang w:val="es-ES"/>
        </w:rPr>
        <w:t>Pide</w:t>
      </w:r>
      <w:r w:rsidR="00A259ED" w:rsidRPr="00994BB3">
        <w:rPr>
          <w:lang w:val="es-ES"/>
        </w:rPr>
        <w:t xml:space="preserve"> a la Secretaría que llegue a un acuerdo con el Estado Parte sobre los detalles técnicos de la asistencia</w:t>
      </w:r>
      <w:r w:rsidR="00EE4C33" w:rsidRPr="00994BB3">
        <w:rPr>
          <w:lang w:val="es-ES"/>
        </w:rPr>
        <w:t>.</w:t>
      </w:r>
    </w:p>
    <w:p w:rsidR="00711E71" w:rsidRPr="00994BB3" w:rsidRDefault="005B2DEB" w:rsidP="004936EF">
      <w:pPr>
        <w:pStyle w:val="Texte1"/>
        <w:rPr>
          <w:lang w:val="es-ES"/>
        </w:rPr>
      </w:pPr>
      <w:r w:rsidRPr="00994BB3">
        <w:rPr>
          <w:lang w:val="es-ES"/>
        </w:rPr>
        <w:t xml:space="preserve">El facilitador puede proporcionar información complementaria a los participantes en el taller señalando que en su quinta reunión </w:t>
      </w:r>
      <w:r w:rsidR="00EA74AB">
        <w:rPr>
          <w:lang w:val="es-ES"/>
        </w:rPr>
        <w:t>(</w:t>
      </w:r>
      <w:r w:rsidRPr="00EB7CE3">
        <w:rPr>
          <w:lang w:val="es-ES"/>
        </w:rPr>
        <w:t>Nairobi</w:t>
      </w:r>
      <w:r w:rsidR="00EA74AB">
        <w:rPr>
          <w:lang w:val="es-ES"/>
        </w:rPr>
        <w:t>,</w:t>
      </w:r>
      <w:r w:rsidRPr="00EB7CE3">
        <w:rPr>
          <w:lang w:val="es-ES"/>
        </w:rPr>
        <w:t xml:space="preserve"> 2010</w:t>
      </w:r>
      <w:r w:rsidR="00EA74AB">
        <w:rPr>
          <w:lang w:val="es-ES"/>
        </w:rPr>
        <w:t>)</w:t>
      </w:r>
      <w:r w:rsidRPr="00994BB3">
        <w:rPr>
          <w:lang w:val="es-ES"/>
        </w:rPr>
        <w:t xml:space="preserve">, el Comité aprobó una solicitud de </w:t>
      </w:r>
      <w:proofErr w:type="spellStart"/>
      <w:r w:rsidRPr="00994BB3">
        <w:rPr>
          <w:lang w:val="es-ES"/>
        </w:rPr>
        <w:t>Belarrús</w:t>
      </w:r>
      <w:proofErr w:type="spellEnd"/>
      <w:r w:rsidRPr="00994BB3">
        <w:rPr>
          <w:lang w:val="es-ES"/>
        </w:rPr>
        <w:t xml:space="preserve"> para el proyecto “Confección del inventario nacional del patrimonio cultural inmaterial de </w:t>
      </w:r>
      <w:proofErr w:type="spellStart"/>
      <w:r w:rsidRPr="00994BB3">
        <w:rPr>
          <w:lang w:val="es-ES"/>
        </w:rPr>
        <w:t>Belarrús</w:t>
      </w:r>
      <w:proofErr w:type="spellEnd"/>
      <w:r w:rsidRPr="00994BB3">
        <w:rPr>
          <w:lang w:val="es-ES"/>
        </w:rPr>
        <w:t xml:space="preserve">”, otorgando una suma de 133.600 dólares. Asimismo, puede indicar </w:t>
      </w:r>
      <w:r w:rsidRPr="00EA74AB">
        <w:rPr>
          <w:lang w:val="es-ES"/>
        </w:rPr>
        <w:t xml:space="preserve">que </w:t>
      </w:r>
      <w:r w:rsidRPr="00EB7CE3">
        <w:rPr>
          <w:lang w:val="es-ES"/>
        </w:rPr>
        <w:t>en 2012</w:t>
      </w:r>
      <w:r w:rsidRPr="00EA74AB">
        <w:rPr>
          <w:lang w:val="es-ES"/>
        </w:rPr>
        <w:t xml:space="preserve"> se</w:t>
      </w:r>
      <w:r w:rsidRPr="00994BB3">
        <w:rPr>
          <w:lang w:val="es-ES"/>
        </w:rPr>
        <w:t xml:space="preserve"> aprobaron otras cuatro solicitudes de asistencia internacional presentadas por:</w:t>
      </w:r>
    </w:p>
    <w:p w:rsidR="00711E71" w:rsidRPr="00994BB3" w:rsidRDefault="005B2DEB" w:rsidP="004936EF">
      <w:pPr>
        <w:pStyle w:val="nutiret"/>
        <w:rPr>
          <w:szCs w:val="20"/>
          <w:lang w:val="es-ES"/>
        </w:rPr>
      </w:pPr>
      <w:r w:rsidRPr="00994BB3">
        <w:rPr>
          <w:szCs w:val="20"/>
          <w:lang w:val="es-ES"/>
        </w:rPr>
        <w:t xml:space="preserve">Mongolia para la “Salvaguardia y revitalización de la </w:t>
      </w:r>
      <w:r w:rsidR="007F3BCF" w:rsidRPr="00994BB3">
        <w:rPr>
          <w:szCs w:val="20"/>
          <w:lang w:val="es-ES"/>
        </w:rPr>
        <w:t>épica tradicional mongola”</w:t>
      </w:r>
      <w:r w:rsidR="00711E71" w:rsidRPr="00994BB3">
        <w:rPr>
          <w:szCs w:val="20"/>
          <w:lang w:val="es-ES"/>
        </w:rPr>
        <w:t xml:space="preserve"> </w:t>
      </w:r>
      <w:r w:rsidRPr="00994BB3">
        <w:rPr>
          <w:szCs w:val="20"/>
          <w:lang w:val="es-ES"/>
        </w:rPr>
        <w:t>(107.000 dólares);</w:t>
      </w:r>
    </w:p>
    <w:p w:rsidR="00711E71" w:rsidRPr="00994BB3" w:rsidRDefault="005B2DEB" w:rsidP="004936EF">
      <w:pPr>
        <w:pStyle w:val="nutiret"/>
        <w:rPr>
          <w:szCs w:val="20"/>
          <w:lang w:val="es-ES"/>
        </w:rPr>
      </w:pPr>
      <w:r w:rsidRPr="00994BB3">
        <w:rPr>
          <w:szCs w:val="20"/>
          <w:lang w:val="es-ES"/>
        </w:rPr>
        <w:t>Uganda para la “Confecci</w:t>
      </w:r>
      <w:r w:rsidR="008B7290" w:rsidRPr="00994BB3">
        <w:rPr>
          <w:szCs w:val="20"/>
          <w:lang w:val="es-ES"/>
        </w:rPr>
        <w:t>ón de un</w:t>
      </w:r>
      <w:r w:rsidRPr="00994BB3">
        <w:rPr>
          <w:szCs w:val="20"/>
          <w:lang w:val="es-ES"/>
        </w:rPr>
        <w:t xml:space="preserve"> inventario del patrimonio </w:t>
      </w:r>
      <w:r w:rsidR="008B7290" w:rsidRPr="00994BB3">
        <w:rPr>
          <w:szCs w:val="20"/>
          <w:lang w:val="es-ES"/>
        </w:rPr>
        <w:t>cultural inmaterial de cuatro comunidades ugandesas</w:t>
      </w:r>
      <w:r w:rsidRPr="00994BB3">
        <w:rPr>
          <w:szCs w:val="20"/>
          <w:lang w:val="es-ES"/>
        </w:rPr>
        <w:t>”(216.000 dólares);</w:t>
      </w:r>
    </w:p>
    <w:p w:rsidR="00711E71" w:rsidRPr="00994BB3" w:rsidRDefault="005B2DEB" w:rsidP="004936EF">
      <w:pPr>
        <w:pStyle w:val="nutiret"/>
        <w:rPr>
          <w:szCs w:val="20"/>
          <w:lang w:val="es-ES"/>
        </w:rPr>
      </w:pPr>
      <w:r w:rsidRPr="00994BB3">
        <w:rPr>
          <w:szCs w:val="20"/>
          <w:lang w:val="es-ES"/>
        </w:rPr>
        <w:t>Burkina Faso para</w:t>
      </w:r>
      <w:r w:rsidR="00711E71" w:rsidRPr="00994BB3">
        <w:rPr>
          <w:szCs w:val="20"/>
          <w:lang w:val="es-ES"/>
        </w:rPr>
        <w:t xml:space="preserve"> </w:t>
      </w:r>
      <w:r w:rsidR="008B7290" w:rsidRPr="00994BB3">
        <w:rPr>
          <w:szCs w:val="20"/>
          <w:lang w:val="es-ES"/>
        </w:rPr>
        <w:t>el “</w:t>
      </w:r>
      <w:r w:rsidR="00711E71" w:rsidRPr="00994BB3">
        <w:rPr>
          <w:szCs w:val="20"/>
          <w:lang w:val="es-ES"/>
        </w:rPr>
        <w:t>Invent</w:t>
      </w:r>
      <w:r w:rsidR="008B7290" w:rsidRPr="00994BB3">
        <w:rPr>
          <w:szCs w:val="20"/>
          <w:lang w:val="es-ES"/>
        </w:rPr>
        <w:t xml:space="preserve">ario y promoción del patrimonio cultural inmaterial burkinés” </w:t>
      </w:r>
      <w:r w:rsidRPr="00994BB3">
        <w:rPr>
          <w:szCs w:val="20"/>
          <w:lang w:val="es-ES"/>
        </w:rPr>
        <w:t>(262.080 dólares); y</w:t>
      </w:r>
    </w:p>
    <w:p w:rsidR="00711E71" w:rsidRPr="00994BB3" w:rsidRDefault="005B2DEB" w:rsidP="004936EF">
      <w:pPr>
        <w:pStyle w:val="nutiret"/>
        <w:rPr>
          <w:szCs w:val="20"/>
          <w:lang w:val="es-ES"/>
        </w:rPr>
      </w:pPr>
      <w:r w:rsidRPr="00994BB3">
        <w:rPr>
          <w:szCs w:val="20"/>
          <w:lang w:val="es-ES"/>
        </w:rPr>
        <w:t xml:space="preserve">Senegal para un “Inventario de la música tradicional </w:t>
      </w:r>
      <w:r w:rsidR="008B7290" w:rsidRPr="00994BB3">
        <w:rPr>
          <w:szCs w:val="20"/>
          <w:lang w:val="es-ES"/>
        </w:rPr>
        <w:t>senegalesa</w:t>
      </w:r>
      <w:r w:rsidRPr="00994BB3">
        <w:rPr>
          <w:szCs w:val="20"/>
          <w:lang w:val="es-ES"/>
        </w:rPr>
        <w:t>”(80.</w:t>
      </w:r>
      <w:r w:rsidR="00711E71" w:rsidRPr="00994BB3">
        <w:rPr>
          <w:szCs w:val="20"/>
          <w:lang w:val="es-ES"/>
        </w:rPr>
        <w:t>789</w:t>
      </w:r>
      <w:r w:rsidRPr="00994BB3">
        <w:rPr>
          <w:szCs w:val="20"/>
          <w:lang w:val="es-ES"/>
        </w:rPr>
        <w:t xml:space="preserve"> dólares)</w:t>
      </w:r>
    </w:p>
    <w:p w:rsidR="00155409" w:rsidRPr="006A2545" w:rsidRDefault="00CD0851" w:rsidP="004936EF">
      <w:pPr>
        <w:pStyle w:val="Heading6"/>
        <w:rPr>
          <w:highlight w:val="red"/>
          <w:lang w:val="es-ES"/>
        </w:rPr>
      </w:pPr>
      <w:r w:rsidRPr="00994BB3">
        <w:rPr>
          <w:lang w:val="es-ES"/>
        </w:rPr>
        <w:t>DIAPOSITIVA</w:t>
      </w:r>
      <w:r w:rsidR="007C2925" w:rsidRPr="00994BB3">
        <w:rPr>
          <w:lang w:val="es-ES"/>
        </w:rPr>
        <w:t xml:space="preserve"> </w:t>
      </w:r>
      <w:r w:rsidR="00E859B6" w:rsidRPr="00EB7CE3">
        <w:rPr>
          <w:lang w:val="es-ES"/>
        </w:rPr>
        <w:t>1</w:t>
      </w:r>
      <w:r w:rsidR="00CD0E96" w:rsidRPr="00EB7CE3">
        <w:rPr>
          <w:lang w:val="es-ES"/>
        </w:rPr>
        <w:t>1</w:t>
      </w:r>
      <w:r w:rsidR="00155409" w:rsidRPr="00EB7CE3">
        <w:rPr>
          <w:lang w:val="es-ES"/>
        </w:rPr>
        <w:t>.</w:t>
      </w:r>
    </w:p>
    <w:p w:rsidR="00155409" w:rsidRPr="00994BB3" w:rsidRDefault="00530FD7" w:rsidP="004936EF">
      <w:pPr>
        <w:pStyle w:val="diapo2"/>
        <w:rPr>
          <w:lang w:val="es-ES"/>
        </w:rPr>
      </w:pPr>
      <w:r w:rsidRPr="00994BB3">
        <w:rPr>
          <w:lang w:val="es-ES"/>
        </w:rPr>
        <w:t>Formularios para la presentación de solicitudes</w:t>
      </w:r>
      <w:r w:rsidR="00155409" w:rsidRPr="00994BB3" w:rsidDel="00155409">
        <w:rPr>
          <w:lang w:val="es-ES"/>
        </w:rPr>
        <w:t xml:space="preserve"> </w:t>
      </w:r>
    </w:p>
    <w:p w:rsidR="0072042B" w:rsidRPr="00994BB3" w:rsidRDefault="00530FD7" w:rsidP="004936EF">
      <w:pPr>
        <w:pStyle w:val="Texte1"/>
        <w:rPr>
          <w:lang w:val="es-ES"/>
        </w:rPr>
      </w:pPr>
      <w:r w:rsidRPr="00994BB3">
        <w:rPr>
          <w:lang w:val="es-ES"/>
        </w:rPr>
        <w:t xml:space="preserve">En la Sección 5 del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AC5B27" w:rsidRPr="00994BB3">
        <w:rPr>
          <w:lang w:val="es-ES"/>
        </w:rPr>
        <w:t>Unidad</w:t>
      </w:r>
      <w:r w:rsidR="00465447" w:rsidRPr="00994BB3">
        <w:rPr>
          <w:lang w:val="es-ES"/>
        </w:rPr>
        <w:t xml:space="preserve"> 12</w:t>
      </w:r>
      <w:r w:rsidR="00636E52" w:rsidRPr="00994BB3">
        <w:rPr>
          <w:lang w:val="es-ES"/>
        </w:rPr>
        <w:t xml:space="preserve"> </w:t>
      </w:r>
      <w:r w:rsidRPr="00994BB3">
        <w:rPr>
          <w:lang w:val="es-ES"/>
        </w:rPr>
        <w:t>se presentan los diferentes formularios utilizados para las solicitudes de asistencia internacional</w:t>
      </w:r>
      <w:r w:rsidR="00636E52" w:rsidRPr="00994BB3">
        <w:rPr>
          <w:lang w:val="es-ES"/>
        </w:rPr>
        <w:t xml:space="preserve">. </w:t>
      </w:r>
      <w:r w:rsidRPr="00994BB3">
        <w:rPr>
          <w:lang w:val="es-ES"/>
        </w:rPr>
        <w:t>Esos formularios se examinan más pormenorizadamente en las Secciones 6 y 7 del</w:t>
      </w:r>
      <w:r w:rsidR="00636E52" w:rsidRPr="00994BB3">
        <w:rPr>
          <w:lang w:val="es-ES"/>
        </w:rPr>
        <w:t xml:space="preserve">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465447" w:rsidRPr="00994BB3">
        <w:rPr>
          <w:lang w:val="es-ES"/>
        </w:rPr>
        <w:t>Uni</w:t>
      </w:r>
      <w:r w:rsidRPr="00994BB3">
        <w:rPr>
          <w:lang w:val="es-ES"/>
        </w:rPr>
        <w:t>dad</w:t>
      </w:r>
      <w:r w:rsidR="00465447" w:rsidRPr="00994BB3">
        <w:rPr>
          <w:lang w:val="es-ES"/>
        </w:rPr>
        <w:t xml:space="preserve"> </w:t>
      </w:r>
      <w:r w:rsidRPr="00994BB3">
        <w:rPr>
          <w:lang w:val="es-ES"/>
        </w:rPr>
        <w:t>12.</w:t>
      </w:r>
    </w:p>
    <w:p w:rsidR="00155409" w:rsidRPr="006A2545" w:rsidRDefault="00CD0851" w:rsidP="004936EF">
      <w:pPr>
        <w:pStyle w:val="Heading6"/>
        <w:rPr>
          <w:highlight w:val="red"/>
          <w:lang w:val="es-ES"/>
        </w:rPr>
      </w:pPr>
      <w:r w:rsidRPr="00994BB3">
        <w:rPr>
          <w:lang w:val="es-ES"/>
        </w:rPr>
        <w:t>DIAPOSITIVA</w:t>
      </w:r>
      <w:r w:rsidR="007C2925" w:rsidRPr="00994BB3">
        <w:rPr>
          <w:lang w:val="es-ES"/>
        </w:rPr>
        <w:t xml:space="preserve"> </w:t>
      </w:r>
      <w:r w:rsidR="00BB45B7" w:rsidRPr="00EB7CE3">
        <w:rPr>
          <w:lang w:val="es-ES"/>
        </w:rPr>
        <w:t>1</w:t>
      </w:r>
      <w:r w:rsidR="00CD0E96" w:rsidRPr="00EB7CE3">
        <w:rPr>
          <w:lang w:val="es-ES"/>
        </w:rPr>
        <w:t>2</w:t>
      </w:r>
      <w:r w:rsidR="00155409" w:rsidRPr="00EB7CE3">
        <w:rPr>
          <w:lang w:val="es-ES"/>
        </w:rPr>
        <w:t>.</w:t>
      </w:r>
    </w:p>
    <w:p w:rsidR="00155409" w:rsidRPr="00994BB3" w:rsidRDefault="00530FD7" w:rsidP="004936EF">
      <w:pPr>
        <w:pStyle w:val="diapo2"/>
        <w:rPr>
          <w:lang w:val="es-ES"/>
        </w:rPr>
      </w:pPr>
      <w:r w:rsidRPr="00994BB3">
        <w:rPr>
          <w:bCs/>
          <w:lang w:val="es-ES"/>
        </w:rPr>
        <w:t>Calendario de presentación y tramitación de las solicitudes</w:t>
      </w:r>
    </w:p>
    <w:p w:rsidR="00183E70" w:rsidRPr="00994BB3" w:rsidRDefault="00530FD7" w:rsidP="009909DD">
      <w:pPr>
        <w:pStyle w:val="Texte1"/>
        <w:rPr>
          <w:lang w:val="es-ES"/>
        </w:rPr>
      </w:pPr>
      <w:r w:rsidRPr="00994BB3">
        <w:rPr>
          <w:lang w:val="es-ES"/>
        </w:rPr>
        <w:t>En las Secciones 6 y 7 del Texto para el Participante de la presente Unidad 12 se examinan los calendarios de presentación, evaluación y examen de las solicitudes de asistencia internacional</w:t>
      </w:r>
      <w:r w:rsidR="00636E52" w:rsidRPr="00994BB3">
        <w:rPr>
          <w:lang w:val="es-ES"/>
        </w:rPr>
        <w:t>.</w:t>
      </w:r>
    </w:p>
    <w:p w:rsidR="008A0492" w:rsidRPr="00994BB3" w:rsidRDefault="004C3779" w:rsidP="004936EF">
      <w:pPr>
        <w:pStyle w:val="Soustitre"/>
        <w:rPr>
          <w:lang w:val="es-ES"/>
        </w:rPr>
      </w:pPr>
      <w:r w:rsidRPr="00994BB3">
        <w:rPr>
          <w:bCs w:val="0"/>
          <w:color w:val="000000"/>
          <w:szCs w:val="22"/>
          <w:lang w:val="es-ES"/>
        </w:rPr>
        <w:t xml:space="preserve">Fechas límites y trámites para las solicitudes de </w:t>
      </w:r>
      <w:r w:rsidR="00F53A3B" w:rsidRPr="00994BB3">
        <w:rPr>
          <w:lang w:val="es-ES"/>
        </w:rPr>
        <w:t>asistencia internacional</w:t>
      </w:r>
      <w:r w:rsidR="008A0492" w:rsidRPr="00994BB3">
        <w:rPr>
          <w:lang w:val="es-ES"/>
        </w:rPr>
        <w:t xml:space="preserve"> (</w:t>
      </w:r>
      <w:r w:rsidR="00412973" w:rsidRPr="00994BB3">
        <w:rPr>
          <w:lang w:val="es-ES"/>
        </w:rPr>
        <w:t>DO</w:t>
      </w:r>
      <w:r w:rsidR="008A0492" w:rsidRPr="00994BB3">
        <w:rPr>
          <w:lang w:val="es-ES"/>
        </w:rPr>
        <w:t xml:space="preserve"> 54</w:t>
      </w:r>
      <w:r w:rsidRPr="00994BB3">
        <w:rPr>
          <w:lang w:val="es-ES"/>
        </w:rPr>
        <w:t xml:space="preserve"> a </w:t>
      </w:r>
      <w:r w:rsidR="008A0492" w:rsidRPr="00994BB3">
        <w:rPr>
          <w:lang w:val="es-ES"/>
        </w:rPr>
        <w:t>56)</w:t>
      </w:r>
    </w:p>
    <w:tbl>
      <w:tblPr>
        <w:tblW w:w="7995" w:type="dxa"/>
        <w:tblInd w:w="851" w:type="dxa"/>
        <w:tblLayout w:type="fixed"/>
        <w:tblCellMar>
          <w:left w:w="0" w:type="dxa"/>
          <w:right w:w="0" w:type="dxa"/>
        </w:tblCellMar>
        <w:tblLook w:val="04A0" w:firstRow="1" w:lastRow="0" w:firstColumn="1" w:lastColumn="0" w:noHBand="0" w:noVBand="1"/>
      </w:tblPr>
      <w:tblGrid>
        <w:gridCol w:w="850"/>
        <w:gridCol w:w="1134"/>
        <w:gridCol w:w="6011"/>
      </w:tblGrid>
      <w:tr w:rsidR="008A0492" w:rsidRPr="00EB7CE3" w:rsidTr="00285BAE">
        <w:tc>
          <w:tcPr>
            <w:tcW w:w="850" w:type="dxa"/>
            <w:shd w:val="clear" w:color="auto" w:fill="auto"/>
          </w:tcPr>
          <w:p w:rsidR="008A0492" w:rsidRPr="00EB7CE3" w:rsidRDefault="00412973" w:rsidP="004936EF">
            <w:pPr>
              <w:pStyle w:val="Txtjourne"/>
              <w:ind w:right="113"/>
              <w:rPr>
                <w:b/>
                <w:snapToGrid w:val="0"/>
                <w:szCs w:val="20"/>
                <w:lang w:val="es-ES"/>
              </w:rPr>
            </w:pPr>
            <w:r w:rsidRPr="00EB7CE3">
              <w:rPr>
                <w:b/>
                <w:szCs w:val="20"/>
                <w:lang w:val="es-ES"/>
              </w:rPr>
              <w:t>DO</w:t>
            </w:r>
            <w:r w:rsidR="008A0492" w:rsidRPr="00EB7CE3">
              <w:rPr>
                <w:b/>
                <w:szCs w:val="20"/>
                <w:lang w:val="es-ES"/>
              </w:rPr>
              <w:t xml:space="preserve"> 54</w:t>
            </w:r>
          </w:p>
        </w:tc>
        <w:tc>
          <w:tcPr>
            <w:tcW w:w="1134" w:type="dxa"/>
            <w:shd w:val="clear" w:color="auto" w:fill="auto"/>
          </w:tcPr>
          <w:p w:rsidR="008A0492" w:rsidRPr="00EB7CE3" w:rsidRDefault="003F6285" w:rsidP="00847D44">
            <w:pPr>
              <w:pStyle w:val="Txtjourne"/>
              <w:ind w:right="113"/>
              <w:rPr>
                <w:b/>
                <w:snapToGrid w:val="0"/>
                <w:szCs w:val="20"/>
                <w:lang w:val="es-ES"/>
              </w:rPr>
            </w:pPr>
            <w:r w:rsidRPr="00EB7CE3">
              <w:rPr>
                <w:b/>
                <w:szCs w:val="20"/>
                <w:lang w:val="es-ES"/>
              </w:rPr>
              <w:t>F</w:t>
            </w:r>
            <w:r w:rsidR="008A0492" w:rsidRPr="00EB7CE3">
              <w:rPr>
                <w:b/>
                <w:szCs w:val="20"/>
                <w:lang w:val="es-ES"/>
              </w:rPr>
              <w:t>ase 1:</w:t>
            </w:r>
          </w:p>
        </w:tc>
        <w:tc>
          <w:tcPr>
            <w:tcW w:w="6011" w:type="dxa"/>
            <w:shd w:val="clear" w:color="auto" w:fill="auto"/>
          </w:tcPr>
          <w:p w:rsidR="008A0492" w:rsidRPr="00EB7CE3" w:rsidRDefault="008A0492" w:rsidP="003F6285">
            <w:pPr>
              <w:pStyle w:val="Txtjourne"/>
              <w:ind w:right="113"/>
              <w:jc w:val="center"/>
              <w:rPr>
                <w:b/>
                <w:snapToGrid w:val="0"/>
                <w:szCs w:val="20"/>
                <w:lang w:val="es-ES"/>
              </w:rPr>
            </w:pPr>
            <w:r w:rsidRPr="00EB7CE3">
              <w:rPr>
                <w:b/>
                <w:szCs w:val="20"/>
                <w:lang w:val="es-ES"/>
              </w:rPr>
              <w:t>Prepara</w:t>
            </w:r>
            <w:r w:rsidR="003F6285" w:rsidRPr="00EB7CE3">
              <w:rPr>
                <w:b/>
                <w:szCs w:val="20"/>
                <w:lang w:val="es-ES"/>
              </w:rPr>
              <w:t>ción y presentación de las solicitudes</w:t>
            </w:r>
          </w:p>
        </w:tc>
      </w:tr>
      <w:tr w:rsidR="008A0492" w:rsidRPr="00EB7CE3" w:rsidTr="00285BAE">
        <w:tc>
          <w:tcPr>
            <w:tcW w:w="850" w:type="dxa"/>
            <w:shd w:val="clear" w:color="auto" w:fill="auto"/>
          </w:tcPr>
          <w:p w:rsidR="008A0492" w:rsidRPr="00994BB3" w:rsidRDefault="008A0492" w:rsidP="004936EF">
            <w:pPr>
              <w:pStyle w:val="Txtjourne"/>
              <w:ind w:right="113"/>
              <w:rPr>
                <w:snapToGrid w:val="0"/>
                <w:szCs w:val="20"/>
                <w:lang w:val="es-ES"/>
              </w:rPr>
            </w:pPr>
          </w:p>
        </w:tc>
        <w:tc>
          <w:tcPr>
            <w:tcW w:w="1134" w:type="dxa"/>
            <w:shd w:val="clear" w:color="auto" w:fill="auto"/>
          </w:tcPr>
          <w:p w:rsidR="008A0492" w:rsidRPr="00994BB3" w:rsidRDefault="003F6285" w:rsidP="00847D44">
            <w:pPr>
              <w:spacing w:before="0" w:after="0"/>
              <w:jc w:val="left"/>
              <w:rPr>
                <w:sz w:val="20"/>
                <w:szCs w:val="20"/>
                <w:lang w:val="es-ES"/>
              </w:rPr>
            </w:pPr>
            <w:r w:rsidRPr="00994BB3">
              <w:rPr>
                <w:color w:val="000000"/>
                <w:sz w:val="20"/>
                <w:szCs w:val="20"/>
                <w:lang w:val="es-ES"/>
              </w:rPr>
              <w:t>31 de marzo</w:t>
            </w:r>
            <w:r w:rsidRPr="00994BB3">
              <w:rPr>
                <w:color w:val="000000"/>
                <w:sz w:val="20"/>
                <w:szCs w:val="20"/>
                <w:lang w:val="es-ES"/>
              </w:rPr>
              <w:br/>
              <w:t>del Año 0</w:t>
            </w:r>
          </w:p>
          <w:p w:rsidR="008A0492" w:rsidRPr="00994BB3" w:rsidRDefault="008A0492" w:rsidP="00847D44">
            <w:pPr>
              <w:pStyle w:val="Txtjourne"/>
              <w:spacing w:before="0" w:after="0" w:line="240" w:lineRule="auto"/>
              <w:ind w:left="0"/>
              <w:rPr>
                <w:snapToGrid w:val="0"/>
                <w:szCs w:val="20"/>
                <w:lang w:val="es-ES"/>
              </w:rPr>
            </w:pPr>
          </w:p>
        </w:tc>
        <w:tc>
          <w:tcPr>
            <w:tcW w:w="6011" w:type="dxa"/>
            <w:shd w:val="clear" w:color="auto" w:fill="auto"/>
          </w:tcPr>
          <w:p w:rsidR="008A0492" w:rsidRPr="00994BB3" w:rsidRDefault="00FC05EF" w:rsidP="004936EF">
            <w:pPr>
              <w:pStyle w:val="Txtjourne"/>
              <w:ind w:right="113"/>
              <w:jc w:val="both"/>
              <w:rPr>
                <w:szCs w:val="20"/>
                <w:lang w:val="es-ES"/>
              </w:rPr>
            </w:pPr>
            <w:r w:rsidRPr="00994BB3">
              <w:rPr>
                <w:color w:val="000000"/>
                <w:szCs w:val="20"/>
                <w:lang w:val="es-ES"/>
              </w:rPr>
              <w:t xml:space="preserve">Fecha límite de presentación de las solicitudes de asistencia preparatoria para elaborar candidaturas de elementos con miras a su inscripción en la LSU y </w:t>
            </w:r>
            <w:r w:rsidR="00542983" w:rsidRPr="00994BB3">
              <w:rPr>
                <w:color w:val="000000"/>
                <w:szCs w:val="20"/>
                <w:lang w:val="es-ES"/>
              </w:rPr>
              <w:t xml:space="preserve">presentar propuestas de selección para </w:t>
            </w:r>
            <w:r w:rsidRPr="00994BB3">
              <w:rPr>
                <w:color w:val="000000"/>
                <w:szCs w:val="20"/>
                <w:lang w:val="es-ES"/>
              </w:rPr>
              <w:t>el Registro de Mejores Prácticas de Salvaguardia</w:t>
            </w:r>
          </w:p>
          <w:p w:rsidR="008A0492" w:rsidRPr="00994BB3" w:rsidRDefault="008A0492" w:rsidP="00542983">
            <w:pPr>
              <w:pStyle w:val="Txtjourne"/>
              <w:ind w:right="113"/>
              <w:jc w:val="both"/>
              <w:rPr>
                <w:bCs/>
                <w:i/>
                <w:szCs w:val="20"/>
                <w:lang w:val="es-ES"/>
              </w:rPr>
            </w:pPr>
            <w:r w:rsidRPr="00994BB3">
              <w:rPr>
                <w:i/>
                <w:szCs w:val="20"/>
                <w:lang w:val="es-ES"/>
              </w:rPr>
              <w:t>(Not</w:t>
            </w:r>
            <w:r w:rsidR="00FC05EF" w:rsidRPr="00994BB3">
              <w:rPr>
                <w:i/>
                <w:szCs w:val="20"/>
                <w:lang w:val="es-ES"/>
              </w:rPr>
              <w:t>a</w:t>
            </w:r>
            <w:r w:rsidRPr="00994BB3">
              <w:rPr>
                <w:i/>
                <w:szCs w:val="20"/>
                <w:lang w:val="es-ES"/>
              </w:rPr>
              <w:t xml:space="preserve">: </w:t>
            </w:r>
            <w:r w:rsidR="00542983" w:rsidRPr="00994BB3">
              <w:rPr>
                <w:i/>
                <w:color w:val="000000"/>
                <w:szCs w:val="20"/>
                <w:lang w:val="es-ES"/>
              </w:rPr>
              <w:t>La Mesa del Comité examina estas solicitudes en un lapso de tiempo relativamente breve y sus decisiones son comunicadas a los Estados Partes por la Secretaría en un plazo de dos semanas</w:t>
            </w:r>
            <w:r w:rsidRPr="00994BB3">
              <w:rPr>
                <w:i/>
                <w:szCs w:val="20"/>
                <w:lang w:val="es-ES"/>
              </w:rPr>
              <w:t>.)</w:t>
            </w:r>
          </w:p>
        </w:tc>
      </w:tr>
      <w:tr w:rsidR="008A0492" w:rsidRPr="00EB7CE3" w:rsidTr="00285BAE">
        <w:tc>
          <w:tcPr>
            <w:tcW w:w="850" w:type="dxa"/>
            <w:shd w:val="clear" w:color="auto" w:fill="auto"/>
          </w:tcPr>
          <w:p w:rsidR="008A0492" w:rsidRPr="00994BB3" w:rsidRDefault="008A0492" w:rsidP="004936EF">
            <w:pPr>
              <w:pStyle w:val="Txtjourne"/>
              <w:ind w:right="113"/>
              <w:rPr>
                <w:szCs w:val="20"/>
                <w:lang w:val="es-ES"/>
              </w:rPr>
            </w:pPr>
          </w:p>
        </w:tc>
        <w:tc>
          <w:tcPr>
            <w:tcW w:w="1134" w:type="dxa"/>
            <w:shd w:val="clear" w:color="auto" w:fill="auto"/>
          </w:tcPr>
          <w:p w:rsidR="003F6285" w:rsidRPr="00994BB3" w:rsidRDefault="003F6285" w:rsidP="00847D44">
            <w:pPr>
              <w:spacing w:before="0" w:after="0"/>
              <w:jc w:val="left"/>
              <w:rPr>
                <w:sz w:val="20"/>
                <w:szCs w:val="20"/>
                <w:lang w:val="es-ES"/>
              </w:rPr>
            </w:pPr>
            <w:r w:rsidRPr="00994BB3">
              <w:rPr>
                <w:color w:val="000000"/>
                <w:sz w:val="20"/>
                <w:szCs w:val="20"/>
                <w:lang w:val="es-ES"/>
              </w:rPr>
              <w:t>31 de marzo</w:t>
            </w:r>
            <w:r w:rsidRPr="00994BB3">
              <w:rPr>
                <w:color w:val="000000"/>
                <w:sz w:val="20"/>
                <w:szCs w:val="20"/>
                <w:lang w:val="es-ES"/>
              </w:rPr>
              <w:br/>
              <w:t>del Año 1</w:t>
            </w:r>
          </w:p>
          <w:p w:rsidR="008A0492" w:rsidRPr="00994BB3" w:rsidRDefault="008A0492" w:rsidP="00847D44">
            <w:pPr>
              <w:pStyle w:val="Txtjourne"/>
              <w:spacing w:before="0" w:after="0" w:line="240" w:lineRule="auto"/>
              <w:ind w:left="0"/>
              <w:rPr>
                <w:snapToGrid w:val="0"/>
                <w:szCs w:val="20"/>
                <w:lang w:val="es-ES"/>
              </w:rPr>
            </w:pPr>
          </w:p>
        </w:tc>
        <w:tc>
          <w:tcPr>
            <w:tcW w:w="6011" w:type="dxa"/>
            <w:shd w:val="clear" w:color="auto" w:fill="auto"/>
          </w:tcPr>
          <w:p w:rsidR="008A0492" w:rsidRPr="00994BB3" w:rsidRDefault="006D2EC7" w:rsidP="00DE4B84">
            <w:pPr>
              <w:pStyle w:val="Txtjourne"/>
              <w:ind w:right="113"/>
              <w:jc w:val="both"/>
              <w:rPr>
                <w:szCs w:val="20"/>
                <w:lang w:val="es-ES"/>
              </w:rPr>
            </w:pPr>
            <w:r w:rsidRPr="00994BB3">
              <w:rPr>
                <w:color w:val="000000"/>
                <w:szCs w:val="20"/>
                <w:lang w:val="es-ES"/>
              </w:rPr>
              <w:t>Fecha límite de recepción en la Secretaría de las solicitudes de asistencia internacional superiores a 25.000 dólares</w:t>
            </w:r>
            <w:r w:rsidR="00C756DD" w:rsidRPr="00994BB3">
              <w:rPr>
                <w:szCs w:val="20"/>
                <w:lang w:val="es-ES"/>
              </w:rPr>
              <w:t xml:space="preserve">. </w:t>
            </w:r>
            <w:r w:rsidRPr="00994BB3">
              <w:rPr>
                <w:color w:val="000000"/>
                <w:szCs w:val="20"/>
                <w:lang w:val="es-ES"/>
              </w:rPr>
              <w:t>Los expedientes recibidos después de esta fecha sólo se examinan en el ciclo siguiente</w:t>
            </w:r>
            <w:r w:rsidR="00C756DD" w:rsidRPr="00994BB3">
              <w:rPr>
                <w:szCs w:val="20"/>
                <w:lang w:val="es-ES"/>
              </w:rPr>
              <w:t xml:space="preserve">. </w:t>
            </w:r>
          </w:p>
        </w:tc>
      </w:tr>
      <w:tr w:rsidR="00C756DD" w:rsidRPr="00EB7CE3" w:rsidTr="00285BAE">
        <w:tc>
          <w:tcPr>
            <w:tcW w:w="850" w:type="dxa"/>
            <w:shd w:val="clear" w:color="auto" w:fill="auto"/>
          </w:tcPr>
          <w:p w:rsidR="00C756DD" w:rsidRPr="00994BB3" w:rsidRDefault="00C756DD" w:rsidP="004936EF">
            <w:pPr>
              <w:pStyle w:val="Txtjourne"/>
              <w:ind w:right="113"/>
              <w:rPr>
                <w:szCs w:val="20"/>
                <w:lang w:val="es-ES"/>
              </w:rPr>
            </w:pPr>
          </w:p>
        </w:tc>
        <w:tc>
          <w:tcPr>
            <w:tcW w:w="1134" w:type="dxa"/>
            <w:shd w:val="clear" w:color="auto" w:fill="auto"/>
          </w:tcPr>
          <w:p w:rsidR="00C756DD" w:rsidRPr="00994BB3" w:rsidRDefault="003F6285" w:rsidP="00847D44">
            <w:pPr>
              <w:pStyle w:val="Txtjourne"/>
              <w:spacing w:before="0" w:after="0" w:line="240" w:lineRule="auto"/>
              <w:ind w:left="0"/>
              <w:rPr>
                <w:snapToGrid w:val="0"/>
                <w:szCs w:val="20"/>
                <w:lang w:val="es-ES"/>
              </w:rPr>
            </w:pPr>
            <w:r w:rsidRPr="00994BB3">
              <w:rPr>
                <w:color w:val="000000"/>
                <w:szCs w:val="20"/>
                <w:lang w:val="es-ES"/>
              </w:rPr>
              <w:t>30 de junio</w:t>
            </w:r>
            <w:r w:rsidRPr="00994BB3">
              <w:rPr>
                <w:color w:val="000000"/>
                <w:szCs w:val="20"/>
                <w:lang w:val="es-ES"/>
              </w:rPr>
              <w:br/>
              <w:t>del Año 1</w:t>
            </w:r>
          </w:p>
          <w:p w:rsidR="00C756DD" w:rsidRPr="00994BB3" w:rsidRDefault="00C756DD" w:rsidP="00847D44">
            <w:pPr>
              <w:pStyle w:val="Txtjourne"/>
              <w:spacing w:before="0" w:after="0" w:line="240" w:lineRule="auto"/>
              <w:ind w:left="0"/>
              <w:rPr>
                <w:snapToGrid w:val="0"/>
                <w:szCs w:val="20"/>
                <w:lang w:val="es-ES"/>
              </w:rPr>
            </w:pPr>
          </w:p>
        </w:tc>
        <w:tc>
          <w:tcPr>
            <w:tcW w:w="6011" w:type="dxa"/>
            <w:shd w:val="clear" w:color="auto" w:fill="auto"/>
          </w:tcPr>
          <w:p w:rsidR="00C756DD" w:rsidRPr="00994BB3" w:rsidRDefault="006D2EC7" w:rsidP="006D2EC7">
            <w:pPr>
              <w:pStyle w:val="Txtjourne"/>
              <w:ind w:right="113"/>
              <w:jc w:val="both"/>
              <w:rPr>
                <w:szCs w:val="20"/>
                <w:lang w:val="es-ES"/>
              </w:rPr>
            </w:pPr>
            <w:r w:rsidRPr="00994BB3">
              <w:rPr>
                <w:szCs w:val="20"/>
                <w:lang w:val="es-ES"/>
              </w:rPr>
              <w:t>Fecha límite para que la Secretaría finalice la tramitación de los expedientes, comprendidos el registro y el acuse de recibo de éstos</w:t>
            </w:r>
            <w:r w:rsidR="00C756DD" w:rsidRPr="00994BB3">
              <w:rPr>
                <w:szCs w:val="20"/>
                <w:lang w:val="es-ES"/>
              </w:rPr>
              <w:t xml:space="preserve">. </w:t>
            </w:r>
            <w:r w:rsidRPr="00994BB3">
              <w:rPr>
                <w:szCs w:val="20"/>
                <w:lang w:val="es-ES"/>
              </w:rPr>
              <w:t>Si se comprueba que un expediente está incompleto, se devuelve al Estado Parte interesado y se le invita a que lo ultime debidamente</w:t>
            </w:r>
            <w:r w:rsidR="00C756DD" w:rsidRPr="00994BB3">
              <w:rPr>
                <w:szCs w:val="20"/>
                <w:lang w:val="es-ES"/>
              </w:rPr>
              <w:t xml:space="preserve">. </w:t>
            </w:r>
          </w:p>
        </w:tc>
      </w:tr>
      <w:tr w:rsidR="00C756DD" w:rsidRPr="00EB7CE3" w:rsidTr="00285BAE">
        <w:tc>
          <w:tcPr>
            <w:tcW w:w="850" w:type="dxa"/>
            <w:shd w:val="clear" w:color="auto" w:fill="auto"/>
          </w:tcPr>
          <w:p w:rsidR="00C756DD" w:rsidRPr="00994BB3" w:rsidRDefault="00C756DD" w:rsidP="004936EF">
            <w:pPr>
              <w:pStyle w:val="Txtjourne"/>
              <w:ind w:right="113"/>
              <w:rPr>
                <w:szCs w:val="20"/>
                <w:lang w:val="es-ES"/>
              </w:rPr>
            </w:pPr>
          </w:p>
        </w:tc>
        <w:tc>
          <w:tcPr>
            <w:tcW w:w="1134" w:type="dxa"/>
            <w:shd w:val="clear" w:color="auto" w:fill="auto"/>
          </w:tcPr>
          <w:p w:rsidR="00C756DD" w:rsidRPr="00994BB3" w:rsidRDefault="006D2EC7" w:rsidP="00847D44">
            <w:pPr>
              <w:pStyle w:val="Txtjourne"/>
              <w:spacing w:before="0" w:after="0" w:line="240" w:lineRule="auto"/>
              <w:ind w:left="0"/>
              <w:rPr>
                <w:snapToGrid w:val="0"/>
                <w:szCs w:val="20"/>
                <w:lang w:val="es-ES"/>
              </w:rPr>
            </w:pPr>
            <w:r w:rsidRPr="00994BB3">
              <w:rPr>
                <w:color w:val="000000"/>
                <w:szCs w:val="20"/>
                <w:lang w:val="es-ES"/>
              </w:rPr>
              <w:t>30 de</w:t>
            </w:r>
            <w:r w:rsidRPr="00994BB3">
              <w:rPr>
                <w:color w:val="000000"/>
                <w:szCs w:val="20"/>
                <w:lang w:val="es-ES"/>
              </w:rPr>
              <w:br/>
            </w:r>
            <w:r w:rsidR="003F6285" w:rsidRPr="00994BB3">
              <w:rPr>
                <w:color w:val="000000"/>
                <w:szCs w:val="20"/>
                <w:lang w:val="es-ES"/>
              </w:rPr>
              <w:t>septiembre</w:t>
            </w:r>
            <w:r w:rsidR="003F6285" w:rsidRPr="00994BB3">
              <w:rPr>
                <w:color w:val="000000"/>
                <w:szCs w:val="20"/>
                <w:lang w:val="es-ES"/>
              </w:rPr>
              <w:br/>
              <w:t>del Año 1</w:t>
            </w:r>
          </w:p>
          <w:p w:rsidR="00C756DD" w:rsidRPr="00994BB3" w:rsidRDefault="00C756DD" w:rsidP="00847D44">
            <w:pPr>
              <w:pStyle w:val="Txtjourne"/>
              <w:spacing w:before="0" w:after="0" w:line="240" w:lineRule="auto"/>
              <w:ind w:left="0"/>
              <w:rPr>
                <w:snapToGrid w:val="0"/>
                <w:szCs w:val="20"/>
                <w:lang w:val="es-ES"/>
              </w:rPr>
            </w:pPr>
          </w:p>
        </w:tc>
        <w:tc>
          <w:tcPr>
            <w:tcW w:w="6011" w:type="dxa"/>
            <w:shd w:val="clear" w:color="auto" w:fill="auto"/>
          </w:tcPr>
          <w:p w:rsidR="00C756DD" w:rsidRPr="00994BB3" w:rsidRDefault="000B4B37" w:rsidP="000B4B37">
            <w:pPr>
              <w:pStyle w:val="Txtjourne"/>
              <w:ind w:right="113"/>
              <w:jc w:val="both"/>
              <w:rPr>
                <w:szCs w:val="20"/>
                <w:lang w:val="es-ES"/>
              </w:rPr>
            </w:pPr>
            <w:r w:rsidRPr="00994BB3">
              <w:rPr>
                <w:color w:val="000000"/>
                <w:szCs w:val="20"/>
                <w:lang w:val="es-ES"/>
              </w:rPr>
              <w:t xml:space="preserve">Fecha límite para que los Estados Partes envíen a la Secretaría la información que hubiera podido faltar </w:t>
            </w:r>
            <w:r w:rsidRPr="00994BB3">
              <w:rPr>
                <w:szCs w:val="20"/>
                <w:lang w:val="es-ES"/>
              </w:rPr>
              <w:t>para que sus expedientes estén completos</w:t>
            </w:r>
            <w:r w:rsidR="00C756DD" w:rsidRPr="00994BB3">
              <w:rPr>
                <w:szCs w:val="20"/>
                <w:lang w:val="es-ES"/>
              </w:rPr>
              <w:t xml:space="preserve">. </w:t>
            </w:r>
            <w:r w:rsidRPr="00994BB3">
              <w:rPr>
                <w:color w:val="000000"/>
                <w:szCs w:val="20"/>
                <w:lang w:val="es-ES"/>
              </w:rPr>
              <w:t>Los expedientes que no estén completos se devuelven a los Estados Partes, que pueden ultimarlos y presentarlos en el ciclo siguiente</w:t>
            </w:r>
          </w:p>
        </w:tc>
      </w:tr>
      <w:tr w:rsidR="00C756DD" w:rsidRPr="00994BB3" w:rsidTr="00285BAE">
        <w:tc>
          <w:tcPr>
            <w:tcW w:w="850" w:type="dxa"/>
            <w:shd w:val="clear" w:color="auto" w:fill="auto"/>
          </w:tcPr>
          <w:p w:rsidR="00C756DD" w:rsidRPr="00EB7CE3" w:rsidRDefault="00412973" w:rsidP="004936EF">
            <w:pPr>
              <w:pStyle w:val="Txtjourne"/>
              <w:ind w:right="113"/>
              <w:rPr>
                <w:b/>
                <w:snapToGrid w:val="0"/>
                <w:szCs w:val="20"/>
                <w:lang w:val="es-ES"/>
              </w:rPr>
            </w:pPr>
            <w:r w:rsidRPr="00EB7CE3">
              <w:rPr>
                <w:b/>
                <w:szCs w:val="20"/>
                <w:lang w:val="es-ES"/>
              </w:rPr>
              <w:t>DO</w:t>
            </w:r>
            <w:r w:rsidR="00C756DD" w:rsidRPr="00EB7CE3">
              <w:rPr>
                <w:b/>
                <w:szCs w:val="20"/>
                <w:lang w:val="es-ES"/>
              </w:rPr>
              <w:t xml:space="preserve"> 55</w:t>
            </w:r>
          </w:p>
        </w:tc>
        <w:tc>
          <w:tcPr>
            <w:tcW w:w="1134" w:type="dxa"/>
            <w:shd w:val="clear" w:color="auto" w:fill="auto"/>
          </w:tcPr>
          <w:p w:rsidR="00C756DD" w:rsidRPr="00EB7CE3" w:rsidRDefault="003F6285" w:rsidP="00847D44">
            <w:pPr>
              <w:pStyle w:val="Txtjourne"/>
              <w:ind w:right="113"/>
              <w:rPr>
                <w:b/>
                <w:snapToGrid w:val="0"/>
                <w:szCs w:val="20"/>
                <w:lang w:val="es-ES"/>
              </w:rPr>
            </w:pPr>
            <w:r w:rsidRPr="00EB7CE3">
              <w:rPr>
                <w:b/>
                <w:szCs w:val="20"/>
                <w:lang w:val="es-ES"/>
              </w:rPr>
              <w:t>F</w:t>
            </w:r>
            <w:r w:rsidR="00C756DD" w:rsidRPr="00EB7CE3">
              <w:rPr>
                <w:b/>
                <w:szCs w:val="20"/>
                <w:lang w:val="es-ES"/>
              </w:rPr>
              <w:t>ase 2:</w:t>
            </w:r>
          </w:p>
        </w:tc>
        <w:tc>
          <w:tcPr>
            <w:tcW w:w="6011" w:type="dxa"/>
            <w:shd w:val="clear" w:color="auto" w:fill="auto"/>
          </w:tcPr>
          <w:p w:rsidR="00C756DD" w:rsidRPr="00EB7CE3" w:rsidRDefault="00C756DD" w:rsidP="003F6285">
            <w:pPr>
              <w:pStyle w:val="Txtjourne"/>
              <w:ind w:right="113"/>
              <w:jc w:val="center"/>
              <w:rPr>
                <w:b/>
                <w:bCs/>
                <w:i/>
                <w:iCs/>
                <w:snapToGrid w:val="0"/>
                <w:color w:val="404040" w:themeColor="text1" w:themeTint="BF"/>
                <w:kern w:val="28"/>
                <w:szCs w:val="20"/>
                <w:lang w:val="es-ES"/>
              </w:rPr>
            </w:pPr>
            <w:r w:rsidRPr="00EB7CE3">
              <w:rPr>
                <w:b/>
                <w:szCs w:val="20"/>
                <w:lang w:val="es-ES"/>
              </w:rPr>
              <w:t>Evalua</w:t>
            </w:r>
            <w:r w:rsidR="003F6285" w:rsidRPr="00EB7CE3">
              <w:rPr>
                <w:b/>
                <w:szCs w:val="20"/>
                <w:lang w:val="es-ES"/>
              </w:rPr>
              <w:t>ció</w:t>
            </w:r>
            <w:r w:rsidRPr="00EB7CE3">
              <w:rPr>
                <w:b/>
                <w:szCs w:val="20"/>
                <w:lang w:val="es-ES"/>
              </w:rPr>
              <w:t xml:space="preserve">n </w:t>
            </w:r>
            <w:r w:rsidR="003F6285" w:rsidRPr="00EB7CE3">
              <w:rPr>
                <w:b/>
                <w:szCs w:val="20"/>
                <w:lang w:val="es-ES"/>
              </w:rPr>
              <w:t>de las solicitudes</w:t>
            </w:r>
          </w:p>
        </w:tc>
      </w:tr>
      <w:tr w:rsidR="00C756DD" w:rsidRPr="00EB7CE3" w:rsidTr="00285BAE">
        <w:tc>
          <w:tcPr>
            <w:tcW w:w="850" w:type="dxa"/>
            <w:shd w:val="clear" w:color="auto" w:fill="auto"/>
          </w:tcPr>
          <w:p w:rsidR="00C756DD" w:rsidRPr="00994BB3" w:rsidRDefault="00C756DD" w:rsidP="004936EF">
            <w:pPr>
              <w:pStyle w:val="Txtjourne"/>
              <w:ind w:right="113"/>
              <w:rPr>
                <w:snapToGrid w:val="0"/>
                <w:szCs w:val="20"/>
                <w:lang w:val="es-ES"/>
              </w:rPr>
            </w:pPr>
          </w:p>
        </w:tc>
        <w:tc>
          <w:tcPr>
            <w:tcW w:w="1134" w:type="dxa"/>
            <w:shd w:val="clear" w:color="auto" w:fill="auto"/>
          </w:tcPr>
          <w:p w:rsidR="00C756DD" w:rsidRPr="00994BB3" w:rsidRDefault="006D2EC7" w:rsidP="00847D44">
            <w:pPr>
              <w:keepNext/>
              <w:keepLines/>
              <w:tabs>
                <w:tab w:val="left" w:pos="1440"/>
              </w:tabs>
              <w:spacing w:before="0" w:after="0"/>
              <w:jc w:val="left"/>
              <w:rPr>
                <w:sz w:val="20"/>
                <w:szCs w:val="20"/>
                <w:lang w:val="es-ES"/>
              </w:rPr>
            </w:pPr>
            <w:r w:rsidRPr="00994BB3">
              <w:rPr>
                <w:color w:val="000000"/>
                <w:sz w:val="20"/>
                <w:szCs w:val="20"/>
                <w:lang w:val="es-ES"/>
              </w:rPr>
              <w:t>Entre</w:t>
            </w:r>
            <w:r w:rsidRPr="00994BB3">
              <w:rPr>
                <w:color w:val="000000"/>
                <w:sz w:val="20"/>
                <w:szCs w:val="20"/>
                <w:lang w:val="es-ES"/>
              </w:rPr>
              <w:br/>
            </w:r>
            <w:r w:rsidR="003F6285" w:rsidRPr="00994BB3">
              <w:rPr>
                <w:color w:val="000000"/>
                <w:sz w:val="20"/>
                <w:szCs w:val="20"/>
                <w:lang w:val="es-ES"/>
              </w:rPr>
              <w:t>diciembre</w:t>
            </w:r>
            <w:r w:rsidR="003F6285" w:rsidRPr="00994BB3">
              <w:rPr>
                <w:color w:val="000000"/>
                <w:sz w:val="20"/>
                <w:szCs w:val="20"/>
                <w:lang w:val="es-ES"/>
              </w:rPr>
              <w:br/>
              <w:t>del Año 1</w:t>
            </w:r>
            <w:r w:rsidR="003F6285" w:rsidRPr="00994BB3">
              <w:rPr>
                <w:color w:val="000000"/>
                <w:sz w:val="20"/>
                <w:szCs w:val="20"/>
                <w:lang w:val="es-ES"/>
              </w:rPr>
              <w:br/>
              <w:t>y mayo</w:t>
            </w:r>
            <w:r w:rsidR="003F6285" w:rsidRPr="00994BB3">
              <w:rPr>
                <w:color w:val="000000"/>
                <w:sz w:val="20"/>
                <w:szCs w:val="20"/>
                <w:lang w:val="es-ES"/>
              </w:rPr>
              <w:br/>
              <w:t>del Año 2</w:t>
            </w:r>
          </w:p>
          <w:p w:rsidR="00C756DD" w:rsidRPr="00994BB3" w:rsidRDefault="00C756DD" w:rsidP="00847D44">
            <w:pPr>
              <w:pStyle w:val="Txtjourne"/>
              <w:spacing w:before="0" w:after="0" w:line="240" w:lineRule="auto"/>
              <w:ind w:left="0"/>
              <w:rPr>
                <w:szCs w:val="20"/>
                <w:lang w:val="es-ES"/>
              </w:rPr>
            </w:pPr>
          </w:p>
        </w:tc>
        <w:tc>
          <w:tcPr>
            <w:tcW w:w="6011" w:type="dxa"/>
            <w:shd w:val="clear" w:color="auto" w:fill="auto"/>
          </w:tcPr>
          <w:p w:rsidR="00C756DD" w:rsidRPr="00994BB3" w:rsidRDefault="00B31412" w:rsidP="004936EF">
            <w:pPr>
              <w:pStyle w:val="Txtjourne"/>
              <w:ind w:right="113"/>
              <w:jc w:val="both"/>
              <w:rPr>
                <w:szCs w:val="20"/>
                <w:lang w:val="es-ES"/>
              </w:rPr>
            </w:pPr>
            <w:r w:rsidRPr="00994BB3">
              <w:rPr>
                <w:szCs w:val="20"/>
                <w:lang w:val="es-ES"/>
              </w:rPr>
              <w:t xml:space="preserve">Evaluación de las solicitudes por parte del Órgano </w:t>
            </w:r>
            <w:r w:rsidR="00C756DD" w:rsidRPr="00994BB3">
              <w:rPr>
                <w:szCs w:val="20"/>
                <w:lang w:val="es-ES"/>
              </w:rPr>
              <w:t>Consult</w:t>
            </w:r>
            <w:r w:rsidRPr="00994BB3">
              <w:rPr>
                <w:szCs w:val="20"/>
                <w:lang w:val="es-ES"/>
              </w:rPr>
              <w:t>ivo</w:t>
            </w:r>
            <w:r w:rsidR="00C756DD" w:rsidRPr="00994BB3">
              <w:rPr>
                <w:szCs w:val="20"/>
                <w:lang w:val="es-ES"/>
              </w:rPr>
              <w:t xml:space="preserve">. </w:t>
            </w:r>
          </w:p>
          <w:p w:rsidR="00C756DD" w:rsidRPr="00994BB3" w:rsidRDefault="00C756DD" w:rsidP="000B4B37">
            <w:pPr>
              <w:pStyle w:val="Txtjourne"/>
              <w:ind w:right="113"/>
              <w:jc w:val="both"/>
              <w:rPr>
                <w:i/>
                <w:szCs w:val="20"/>
                <w:lang w:val="es-ES"/>
              </w:rPr>
            </w:pPr>
            <w:r w:rsidRPr="00994BB3">
              <w:rPr>
                <w:i/>
                <w:szCs w:val="20"/>
                <w:lang w:val="es-ES"/>
              </w:rPr>
              <w:t>(Not</w:t>
            </w:r>
            <w:r w:rsidR="000B4B37" w:rsidRPr="00994BB3">
              <w:rPr>
                <w:i/>
                <w:szCs w:val="20"/>
                <w:lang w:val="es-ES"/>
              </w:rPr>
              <w:t>a</w:t>
            </w:r>
            <w:r w:rsidRPr="00994BB3">
              <w:rPr>
                <w:i/>
                <w:szCs w:val="20"/>
                <w:lang w:val="es-ES"/>
              </w:rPr>
              <w:t xml:space="preserve">: </w:t>
            </w:r>
            <w:r w:rsidR="000B4B37" w:rsidRPr="00994BB3">
              <w:rPr>
                <w:i/>
                <w:color w:val="000000"/>
                <w:szCs w:val="20"/>
                <w:lang w:val="es-ES"/>
              </w:rPr>
              <w:t>Los Estados Partes solicitantes tienen derecho a retirar sus solicitudes hasta que</w:t>
            </w:r>
            <w:r w:rsidRPr="00994BB3">
              <w:rPr>
                <w:i/>
                <w:szCs w:val="20"/>
                <w:lang w:val="es-ES"/>
              </w:rPr>
              <w:t xml:space="preserve"> </w:t>
            </w:r>
            <w:r w:rsidR="000B4B37" w:rsidRPr="00994BB3">
              <w:rPr>
                <w:i/>
                <w:szCs w:val="20"/>
                <w:lang w:val="es-ES"/>
              </w:rPr>
              <w:t>dé comienzo la reunión del Comité Intergubernamental</w:t>
            </w:r>
            <w:r w:rsidRPr="00994BB3">
              <w:rPr>
                <w:i/>
                <w:szCs w:val="20"/>
                <w:lang w:val="es-ES"/>
              </w:rPr>
              <w:t>)</w:t>
            </w:r>
          </w:p>
        </w:tc>
      </w:tr>
      <w:tr w:rsidR="00C756DD" w:rsidRPr="00EB7CE3" w:rsidTr="00285BAE">
        <w:tc>
          <w:tcPr>
            <w:tcW w:w="850" w:type="dxa"/>
            <w:shd w:val="clear" w:color="auto" w:fill="auto"/>
          </w:tcPr>
          <w:p w:rsidR="00C756DD" w:rsidRPr="00994BB3" w:rsidRDefault="00C756DD" w:rsidP="004936EF">
            <w:pPr>
              <w:pStyle w:val="Txtjourne"/>
              <w:ind w:right="113"/>
              <w:rPr>
                <w:szCs w:val="20"/>
                <w:lang w:val="es-ES"/>
              </w:rPr>
            </w:pPr>
          </w:p>
        </w:tc>
        <w:tc>
          <w:tcPr>
            <w:tcW w:w="1134" w:type="dxa"/>
            <w:shd w:val="clear" w:color="auto" w:fill="auto"/>
          </w:tcPr>
          <w:p w:rsidR="00C756DD" w:rsidRPr="00994BB3" w:rsidRDefault="006D2EC7" w:rsidP="00847D44">
            <w:pPr>
              <w:pStyle w:val="Txtjourne"/>
              <w:spacing w:before="0" w:after="0" w:line="240" w:lineRule="auto"/>
              <w:ind w:left="0"/>
              <w:rPr>
                <w:snapToGrid w:val="0"/>
                <w:szCs w:val="20"/>
                <w:lang w:val="es-ES"/>
              </w:rPr>
            </w:pPr>
            <w:r w:rsidRPr="00994BB3">
              <w:rPr>
                <w:color w:val="000000"/>
                <w:szCs w:val="20"/>
                <w:lang w:val="es-ES"/>
              </w:rPr>
              <w:t>Entre abril</w:t>
            </w:r>
            <w:r w:rsidRPr="00994BB3">
              <w:rPr>
                <w:color w:val="000000"/>
                <w:szCs w:val="20"/>
                <w:lang w:val="es-ES"/>
              </w:rPr>
              <w:br/>
            </w:r>
            <w:r w:rsidR="00B31412" w:rsidRPr="00994BB3">
              <w:rPr>
                <w:color w:val="000000"/>
                <w:szCs w:val="20"/>
                <w:lang w:val="es-ES"/>
              </w:rPr>
              <w:t>y junio</w:t>
            </w:r>
            <w:r w:rsidR="00B31412" w:rsidRPr="00994BB3">
              <w:rPr>
                <w:color w:val="000000"/>
                <w:szCs w:val="20"/>
                <w:lang w:val="es-ES"/>
              </w:rPr>
              <w:br/>
            </w:r>
            <w:r w:rsidR="003F6285" w:rsidRPr="00994BB3">
              <w:rPr>
                <w:color w:val="000000"/>
                <w:szCs w:val="20"/>
                <w:lang w:val="es-ES"/>
              </w:rPr>
              <w:t>del Año 2</w:t>
            </w:r>
          </w:p>
        </w:tc>
        <w:tc>
          <w:tcPr>
            <w:tcW w:w="6011" w:type="dxa"/>
            <w:shd w:val="clear" w:color="auto" w:fill="auto"/>
          </w:tcPr>
          <w:p w:rsidR="00C756DD" w:rsidRPr="00994BB3" w:rsidRDefault="00B31412" w:rsidP="004936EF">
            <w:pPr>
              <w:pStyle w:val="Txtjourne"/>
              <w:ind w:right="113"/>
              <w:jc w:val="both"/>
              <w:rPr>
                <w:szCs w:val="20"/>
                <w:lang w:val="es-ES"/>
              </w:rPr>
            </w:pPr>
            <w:r w:rsidRPr="00994BB3">
              <w:rPr>
                <w:color w:val="000000"/>
                <w:szCs w:val="20"/>
                <w:lang w:val="es-ES"/>
              </w:rPr>
              <w:t>El Órgano Consultivo se reúne para efectuar una evaluación final</w:t>
            </w:r>
            <w:r w:rsidR="00C756DD" w:rsidRPr="00994BB3">
              <w:rPr>
                <w:color w:val="000000"/>
                <w:szCs w:val="20"/>
                <w:lang w:val="es-ES"/>
              </w:rPr>
              <w:t>.</w:t>
            </w:r>
          </w:p>
          <w:p w:rsidR="00C756DD" w:rsidRPr="00994BB3" w:rsidRDefault="00C756DD" w:rsidP="00E01DB5">
            <w:pPr>
              <w:pStyle w:val="Txtjourne"/>
              <w:ind w:right="113"/>
              <w:jc w:val="both"/>
              <w:rPr>
                <w:i/>
                <w:szCs w:val="20"/>
                <w:lang w:val="es-ES"/>
              </w:rPr>
            </w:pPr>
            <w:r w:rsidRPr="00994BB3">
              <w:rPr>
                <w:i/>
                <w:color w:val="000000"/>
                <w:szCs w:val="20"/>
                <w:lang w:val="es-ES"/>
              </w:rPr>
              <w:t>(Not</w:t>
            </w:r>
            <w:r w:rsidR="00B31412" w:rsidRPr="00994BB3">
              <w:rPr>
                <w:i/>
                <w:color w:val="000000"/>
                <w:szCs w:val="20"/>
                <w:lang w:val="es-ES"/>
              </w:rPr>
              <w:t>a</w:t>
            </w:r>
            <w:r w:rsidRPr="00994BB3">
              <w:rPr>
                <w:i/>
                <w:color w:val="000000"/>
                <w:szCs w:val="20"/>
                <w:lang w:val="es-ES"/>
              </w:rPr>
              <w:t xml:space="preserve">: </w:t>
            </w:r>
            <w:r w:rsidR="00B31412" w:rsidRPr="00994BB3">
              <w:rPr>
                <w:i/>
                <w:color w:val="000000"/>
                <w:szCs w:val="20"/>
                <w:lang w:val="es-ES"/>
              </w:rPr>
              <w:t xml:space="preserve">Los </w:t>
            </w:r>
            <w:r w:rsidR="005C1589" w:rsidRPr="00994BB3">
              <w:rPr>
                <w:i/>
                <w:color w:val="000000"/>
                <w:szCs w:val="20"/>
                <w:lang w:val="es-ES"/>
              </w:rPr>
              <w:t>Estados Partes</w:t>
            </w:r>
            <w:r w:rsidRPr="00994BB3">
              <w:rPr>
                <w:i/>
                <w:color w:val="000000"/>
                <w:szCs w:val="20"/>
                <w:lang w:val="es-ES"/>
              </w:rPr>
              <w:t xml:space="preserve"> </w:t>
            </w:r>
            <w:r w:rsidR="00B31412" w:rsidRPr="00994BB3">
              <w:rPr>
                <w:i/>
                <w:color w:val="000000"/>
                <w:szCs w:val="20"/>
                <w:lang w:val="es-ES"/>
              </w:rPr>
              <w:t>tienen derecho a retirar sus solicitudes hasta el mismo momento en que el Presidente del Comité Intergubernamental declar</w:t>
            </w:r>
            <w:r w:rsidR="00E01DB5">
              <w:rPr>
                <w:i/>
                <w:color w:val="000000"/>
                <w:szCs w:val="20"/>
                <w:lang w:val="es-ES"/>
              </w:rPr>
              <w:t>e</w:t>
            </w:r>
            <w:r w:rsidRPr="00994BB3">
              <w:rPr>
                <w:i/>
                <w:color w:val="000000"/>
                <w:szCs w:val="20"/>
                <w:lang w:val="es-ES"/>
              </w:rPr>
              <w:t xml:space="preserve"> </w:t>
            </w:r>
            <w:r w:rsidR="00B31412" w:rsidRPr="00994BB3">
              <w:rPr>
                <w:i/>
                <w:color w:val="000000"/>
                <w:szCs w:val="20"/>
                <w:lang w:val="es-ES"/>
              </w:rPr>
              <w:t>abierto el debate sobre el punto correspondiente del orden del día de la reunión de este órgano</w:t>
            </w:r>
            <w:r w:rsidRPr="00994BB3">
              <w:rPr>
                <w:i/>
                <w:color w:val="000000"/>
                <w:szCs w:val="20"/>
                <w:lang w:val="es-ES"/>
              </w:rPr>
              <w:t>)</w:t>
            </w:r>
          </w:p>
        </w:tc>
      </w:tr>
      <w:tr w:rsidR="00C756DD" w:rsidRPr="00EB7CE3" w:rsidTr="00285BAE">
        <w:tc>
          <w:tcPr>
            <w:tcW w:w="850" w:type="dxa"/>
            <w:shd w:val="clear" w:color="auto" w:fill="auto"/>
          </w:tcPr>
          <w:p w:rsidR="00C756DD" w:rsidRPr="00994BB3" w:rsidRDefault="00C756DD" w:rsidP="004936EF">
            <w:pPr>
              <w:pStyle w:val="Txtjourne"/>
              <w:ind w:right="113"/>
              <w:rPr>
                <w:szCs w:val="20"/>
                <w:lang w:val="es-ES"/>
              </w:rPr>
            </w:pPr>
          </w:p>
        </w:tc>
        <w:tc>
          <w:tcPr>
            <w:tcW w:w="1134" w:type="dxa"/>
            <w:shd w:val="clear" w:color="auto" w:fill="auto"/>
          </w:tcPr>
          <w:p w:rsidR="00C756DD" w:rsidRPr="00994BB3" w:rsidRDefault="000B4B37" w:rsidP="00847D44">
            <w:pPr>
              <w:pStyle w:val="Txtjourne"/>
              <w:spacing w:before="0" w:after="0" w:line="240" w:lineRule="auto"/>
              <w:ind w:left="0"/>
              <w:rPr>
                <w:szCs w:val="20"/>
                <w:lang w:val="es-ES"/>
              </w:rPr>
            </w:pPr>
            <w:r w:rsidRPr="00994BB3">
              <w:rPr>
                <w:color w:val="000000"/>
                <w:szCs w:val="20"/>
                <w:lang w:val="es-ES"/>
              </w:rPr>
              <w:t xml:space="preserve">Cuatro semanas antes de la </w:t>
            </w:r>
            <w:r w:rsidR="003F6285" w:rsidRPr="00994BB3">
              <w:rPr>
                <w:color w:val="000000"/>
                <w:szCs w:val="20"/>
                <w:lang w:val="es-ES"/>
              </w:rPr>
              <w:t>reunión del Comité</w:t>
            </w:r>
          </w:p>
        </w:tc>
        <w:tc>
          <w:tcPr>
            <w:tcW w:w="6011" w:type="dxa"/>
            <w:shd w:val="clear" w:color="auto" w:fill="auto"/>
          </w:tcPr>
          <w:p w:rsidR="00C756DD" w:rsidRPr="00994BB3" w:rsidRDefault="00B31412" w:rsidP="004936EF">
            <w:pPr>
              <w:pStyle w:val="Txtjourne"/>
              <w:ind w:right="113"/>
              <w:jc w:val="both"/>
              <w:rPr>
                <w:szCs w:val="20"/>
                <w:lang w:val="es-ES"/>
              </w:rPr>
            </w:pPr>
            <w:r w:rsidRPr="00994BB3">
              <w:rPr>
                <w:color w:val="000000"/>
                <w:szCs w:val="20"/>
                <w:lang w:val="es-ES"/>
              </w:rPr>
              <w:t>Los expedientes y los informes de evaluación se publican en línea para que puedan consultarlos los miembros del Comité y los Estados Partes</w:t>
            </w:r>
          </w:p>
        </w:tc>
      </w:tr>
      <w:tr w:rsidR="00C756DD" w:rsidRPr="00994BB3" w:rsidTr="00285BAE">
        <w:tc>
          <w:tcPr>
            <w:tcW w:w="850" w:type="dxa"/>
            <w:shd w:val="clear" w:color="auto" w:fill="auto"/>
          </w:tcPr>
          <w:p w:rsidR="00C756DD" w:rsidRPr="00EB7CE3" w:rsidRDefault="00412973" w:rsidP="004936EF">
            <w:pPr>
              <w:pStyle w:val="Txtjourne"/>
              <w:ind w:right="113"/>
              <w:rPr>
                <w:b/>
                <w:snapToGrid w:val="0"/>
                <w:szCs w:val="20"/>
                <w:lang w:val="es-ES"/>
              </w:rPr>
            </w:pPr>
            <w:r w:rsidRPr="00EB7CE3">
              <w:rPr>
                <w:b/>
                <w:color w:val="000000"/>
                <w:szCs w:val="20"/>
                <w:lang w:val="es-ES"/>
              </w:rPr>
              <w:t>DO</w:t>
            </w:r>
            <w:r w:rsidR="00C756DD" w:rsidRPr="00EB7CE3">
              <w:rPr>
                <w:b/>
                <w:color w:val="000000"/>
                <w:szCs w:val="20"/>
                <w:lang w:val="es-ES"/>
              </w:rPr>
              <w:t xml:space="preserve"> 56</w:t>
            </w:r>
          </w:p>
        </w:tc>
        <w:tc>
          <w:tcPr>
            <w:tcW w:w="1134" w:type="dxa"/>
            <w:shd w:val="clear" w:color="auto" w:fill="auto"/>
          </w:tcPr>
          <w:p w:rsidR="00C756DD" w:rsidRPr="00EB7CE3" w:rsidRDefault="003F6285" w:rsidP="00847D44">
            <w:pPr>
              <w:pStyle w:val="Txtjourne"/>
              <w:ind w:right="113"/>
              <w:rPr>
                <w:b/>
                <w:snapToGrid w:val="0"/>
                <w:szCs w:val="20"/>
                <w:lang w:val="es-ES"/>
              </w:rPr>
            </w:pPr>
            <w:r w:rsidRPr="00EB7CE3">
              <w:rPr>
                <w:b/>
                <w:color w:val="000000"/>
                <w:szCs w:val="20"/>
                <w:lang w:val="es-ES"/>
              </w:rPr>
              <w:t>F</w:t>
            </w:r>
            <w:r w:rsidR="00C756DD" w:rsidRPr="00EB7CE3">
              <w:rPr>
                <w:b/>
                <w:color w:val="000000"/>
                <w:szCs w:val="20"/>
                <w:lang w:val="es-ES"/>
              </w:rPr>
              <w:t>ase 3:</w:t>
            </w:r>
          </w:p>
        </w:tc>
        <w:tc>
          <w:tcPr>
            <w:tcW w:w="6011" w:type="dxa"/>
            <w:shd w:val="clear" w:color="auto" w:fill="auto"/>
          </w:tcPr>
          <w:p w:rsidR="00C756DD" w:rsidRPr="00EB7CE3" w:rsidRDefault="00C756DD" w:rsidP="003F6285">
            <w:pPr>
              <w:pStyle w:val="Txtjourne"/>
              <w:ind w:right="113"/>
              <w:jc w:val="center"/>
              <w:rPr>
                <w:b/>
                <w:snapToGrid w:val="0"/>
                <w:szCs w:val="20"/>
                <w:lang w:val="es-ES"/>
              </w:rPr>
            </w:pPr>
            <w:r w:rsidRPr="00EB7CE3">
              <w:rPr>
                <w:b/>
                <w:szCs w:val="20"/>
                <w:lang w:val="es-ES"/>
              </w:rPr>
              <w:t>Exam</w:t>
            </w:r>
            <w:r w:rsidR="003F6285" w:rsidRPr="00EB7CE3">
              <w:rPr>
                <w:b/>
                <w:szCs w:val="20"/>
                <w:lang w:val="es-ES"/>
              </w:rPr>
              <w:t>en de las solicitudes</w:t>
            </w:r>
          </w:p>
        </w:tc>
      </w:tr>
      <w:tr w:rsidR="00C756DD" w:rsidRPr="00EB7CE3" w:rsidTr="00285BAE">
        <w:tc>
          <w:tcPr>
            <w:tcW w:w="850" w:type="dxa"/>
            <w:shd w:val="clear" w:color="auto" w:fill="auto"/>
          </w:tcPr>
          <w:p w:rsidR="00C756DD" w:rsidRPr="00994BB3" w:rsidRDefault="00C756DD" w:rsidP="004936EF">
            <w:pPr>
              <w:pStyle w:val="Txtjourne"/>
              <w:ind w:right="113"/>
              <w:rPr>
                <w:snapToGrid w:val="0"/>
                <w:szCs w:val="20"/>
                <w:lang w:val="es-ES"/>
              </w:rPr>
            </w:pPr>
          </w:p>
        </w:tc>
        <w:tc>
          <w:tcPr>
            <w:tcW w:w="1134" w:type="dxa"/>
            <w:shd w:val="clear" w:color="auto" w:fill="auto"/>
          </w:tcPr>
          <w:p w:rsidR="00C756DD" w:rsidRPr="00994BB3" w:rsidRDefault="003F6285" w:rsidP="00847D44">
            <w:pPr>
              <w:pStyle w:val="Txtjourne"/>
              <w:spacing w:before="0" w:after="0" w:line="240" w:lineRule="auto"/>
              <w:ind w:left="0"/>
              <w:rPr>
                <w:snapToGrid w:val="0"/>
                <w:szCs w:val="20"/>
                <w:lang w:val="es-ES"/>
              </w:rPr>
            </w:pPr>
            <w:r w:rsidRPr="00994BB3">
              <w:rPr>
                <w:color w:val="000000"/>
                <w:szCs w:val="20"/>
                <w:lang w:val="es-ES"/>
              </w:rPr>
              <w:t>Noviembre</w:t>
            </w:r>
            <w:r w:rsidRPr="00994BB3">
              <w:rPr>
                <w:color w:val="000000"/>
                <w:szCs w:val="20"/>
                <w:lang w:val="es-ES"/>
              </w:rPr>
              <w:br/>
              <w:t>del Año 2</w:t>
            </w:r>
          </w:p>
        </w:tc>
        <w:tc>
          <w:tcPr>
            <w:tcW w:w="6011" w:type="dxa"/>
            <w:shd w:val="clear" w:color="auto" w:fill="auto"/>
          </w:tcPr>
          <w:p w:rsidR="00C756DD" w:rsidRPr="006A2545" w:rsidRDefault="003F6285" w:rsidP="00285BAE">
            <w:pPr>
              <w:pStyle w:val="Txtjourne"/>
              <w:ind w:right="113"/>
              <w:jc w:val="both"/>
              <w:rPr>
                <w:szCs w:val="20"/>
                <w:lang w:val="es-ES"/>
              </w:rPr>
            </w:pPr>
            <w:r w:rsidRPr="00994BB3">
              <w:rPr>
                <w:color w:val="000000"/>
                <w:szCs w:val="20"/>
                <w:lang w:val="es-ES"/>
              </w:rPr>
              <w:t xml:space="preserve">El Comité examina las solicitudes </w:t>
            </w:r>
            <w:r w:rsidR="00285BAE" w:rsidRPr="00994BB3">
              <w:rPr>
                <w:color w:val="000000"/>
                <w:szCs w:val="20"/>
                <w:lang w:val="es-ES"/>
              </w:rPr>
              <w:t xml:space="preserve">y toma </w:t>
            </w:r>
            <w:r w:rsidRPr="00994BB3">
              <w:rPr>
                <w:color w:val="000000"/>
                <w:szCs w:val="20"/>
                <w:lang w:val="es-ES"/>
              </w:rPr>
              <w:t>decisiones</w:t>
            </w:r>
            <w:r w:rsidR="00285BAE" w:rsidRPr="00994BB3">
              <w:rPr>
                <w:color w:val="000000"/>
                <w:szCs w:val="20"/>
                <w:lang w:val="es-ES"/>
              </w:rPr>
              <w:t>.</w:t>
            </w:r>
          </w:p>
        </w:tc>
      </w:tr>
    </w:tbl>
    <w:p w:rsidR="00CA5A0E" w:rsidRPr="006A2545" w:rsidRDefault="00CD0851" w:rsidP="004936EF">
      <w:pPr>
        <w:pStyle w:val="Heading6"/>
        <w:rPr>
          <w:lang w:val="es-ES"/>
        </w:rPr>
      </w:pPr>
      <w:r w:rsidRPr="00994BB3">
        <w:rPr>
          <w:lang w:val="es-ES"/>
        </w:rPr>
        <w:t>DIAPOSITIVA</w:t>
      </w:r>
      <w:r w:rsidR="007C2925" w:rsidRPr="006A2545">
        <w:rPr>
          <w:lang w:val="es-ES"/>
        </w:rPr>
        <w:t xml:space="preserve"> </w:t>
      </w:r>
      <w:r w:rsidR="00BB45B7" w:rsidRPr="00EB7CE3">
        <w:rPr>
          <w:lang w:val="es-ES"/>
        </w:rPr>
        <w:t>1</w:t>
      </w:r>
      <w:r w:rsidR="00CD0E96" w:rsidRPr="00EB7CE3">
        <w:rPr>
          <w:lang w:val="es-ES"/>
        </w:rPr>
        <w:t>3</w:t>
      </w:r>
      <w:r w:rsidR="00CA5A0E" w:rsidRPr="00EB7CE3">
        <w:rPr>
          <w:lang w:val="es-ES"/>
        </w:rPr>
        <w:t>.</w:t>
      </w:r>
    </w:p>
    <w:p w:rsidR="00284531" w:rsidRPr="006A2545" w:rsidRDefault="00A76DA2" w:rsidP="004936EF">
      <w:pPr>
        <w:pStyle w:val="diapo2"/>
        <w:rPr>
          <w:lang w:val="es-ES"/>
        </w:rPr>
      </w:pPr>
      <w:r w:rsidRPr="00EB7CE3">
        <w:rPr>
          <w:bCs/>
          <w:lang w:val="es-ES"/>
        </w:rPr>
        <w:t>Los criterios de evaluación de las solicitudes de asistencia internacional comprenden…</w:t>
      </w:r>
    </w:p>
    <w:p w:rsidR="00FE741F" w:rsidRPr="00994BB3" w:rsidRDefault="00A76DA2" w:rsidP="009909DD">
      <w:pPr>
        <w:pStyle w:val="Texte1"/>
        <w:rPr>
          <w:lang w:val="es-ES"/>
        </w:rPr>
      </w:pPr>
      <w:r w:rsidRPr="00994BB3">
        <w:rPr>
          <w:lang w:val="es-ES"/>
        </w:rPr>
        <w:t>Véase la Sección 8 del</w:t>
      </w:r>
      <w:r w:rsidR="00553832" w:rsidRPr="00994BB3">
        <w:rPr>
          <w:lang w:val="es-ES"/>
        </w:rPr>
        <w:t xml:space="preserve"> </w:t>
      </w:r>
      <w:r w:rsidR="00AC5B27" w:rsidRPr="00994BB3">
        <w:rPr>
          <w:lang w:val="es-ES"/>
        </w:rPr>
        <w:t>Texto para el Participante</w:t>
      </w:r>
      <w:r w:rsidR="002A3923" w:rsidRPr="00994BB3">
        <w:rPr>
          <w:lang w:val="es-ES"/>
        </w:rPr>
        <w:t xml:space="preserve"> </w:t>
      </w:r>
      <w:r w:rsidRPr="00994BB3">
        <w:rPr>
          <w:lang w:val="es-ES"/>
        </w:rPr>
        <w:t xml:space="preserve">de la presente </w:t>
      </w:r>
      <w:r w:rsidR="00AC5B27" w:rsidRPr="00994BB3">
        <w:rPr>
          <w:lang w:val="es-ES"/>
        </w:rPr>
        <w:t>Unidad</w:t>
      </w:r>
      <w:r w:rsidR="00465447" w:rsidRPr="00994BB3">
        <w:rPr>
          <w:lang w:val="es-ES"/>
        </w:rPr>
        <w:t xml:space="preserve"> 12</w:t>
      </w:r>
      <w:r w:rsidR="00404E76" w:rsidRPr="00994BB3">
        <w:rPr>
          <w:lang w:val="es-ES"/>
        </w:rPr>
        <w:t>.</w:t>
      </w:r>
    </w:p>
    <w:p w:rsidR="0087429F" w:rsidRPr="006A2545" w:rsidRDefault="00CD0851" w:rsidP="004936EF">
      <w:pPr>
        <w:pStyle w:val="Heading6"/>
        <w:rPr>
          <w:lang w:val="es-ES"/>
        </w:rPr>
      </w:pPr>
      <w:r w:rsidRPr="00994BB3">
        <w:rPr>
          <w:lang w:val="es-ES"/>
        </w:rPr>
        <w:t>DIAPOSITIVA</w:t>
      </w:r>
      <w:r w:rsidR="007C2925" w:rsidRPr="006A2545">
        <w:rPr>
          <w:lang w:val="es-ES"/>
        </w:rPr>
        <w:t xml:space="preserve"> </w:t>
      </w:r>
      <w:r w:rsidR="00BB45B7" w:rsidRPr="00EB7CE3">
        <w:rPr>
          <w:lang w:val="es-ES"/>
        </w:rPr>
        <w:t>1</w:t>
      </w:r>
      <w:r w:rsidR="00CD0E96" w:rsidRPr="00EB7CE3">
        <w:rPr>
          <w:lang w:val="es-ES"/>
        </w:rPr>
        <w:t>4</w:t>
      </w:r>
      <w:r w:rsidR="0087429F" w:rsidRPr="00EB7CE3">
        <w:rPr>
          <w:lang w:val="es-ES"/>
        </w:rPr>
        <w:t>.</w:t>
      </w:r>
    </w:p>
    <w:p w:rsidR="00284531" w:rsidRPr="006A2545" w:rsidRDefault="00A76DA2" w:rsidP="004936EF">
      <w:pPr>
        <w:pStyle w:val="diapo2"/>
        <w:rPr>
          <w:lang w:val="es-ES"/>
        </w:rPr>
      </w:pPr>
      <w:r w:rsidRPr="00EB7CE3">
        <w:rPr>
          <w:bCs/>
          <w:lang w:val="es-ES"/>
        </w:rPr>
        <w:t>Se otorga prioridad a las solicitudes relacionadas con…</w:t>
      </w:r>
    </w:p>
    <w:p w:rsidR="00FE741F" w:rsidRPr="00994BB3" w:rsidRDefault="00A76DA2" w:rsidP="009909DD">
      <w:pPr>
        <w:pStyle w:val="Texte1"/>
        <w:rPr>
          <w:lang w:val="es-ES"/>
        </w:rPr>
      </w:pPr>
      <w:r w:rsidRPr="00994BB3">
        <w:rPr>
          <w:lang w:val="es-ES"/>
        </w:rPr>
        <w:t>Véase la Sección 8 del</w:t>
      </w:r>
      <w:r w:rsidR="00D57EFB" w:rsidRPr="00994BB3">
        <w:rPr>
          <w:lang w:val="es-ES"/>
        </w:rPr>
        <w:t xml:space="preserve"> </w:t>
      </w:r>
      <w:r w:rsidR="00AC5B27" w:rsidRPr="00994BB3">
        <w:rPr>
          <w:lang w:val="es-ES"/>
        </w:rPr>
        <w:t>Texto para el Participante</w:t>
      </w:r>
      <w:r w:rsidR="002A3923" w:rsidRPr="00994BB3">
        <w:rPr>
          <w:lang w:val="es-ES"/>
        </w:rPr>
        <w:t xml:space="preserve"> </w:t>
      </w:r>
      <w:r w:rsidRPr="00994BB3">
        <w:rPr>
          <w:lang w:val="es-ES"/>
        </w:rPr>
        <w:t>de la</w:t>
      </w:r>
      <w:r w:rsidR="00B739E4" w:rsidRPr="00994BB3">
        <w:rPr>
          <w:lang w:val="es-ES"/>
        </w:rPr>
        <w:t xml:space="preserve"> </w:t>
      </w:r>
      <w:r w:rsidRPr="00994BB3">
        <w:rPr>
          <w:lang w:val="es-ES"/>
        </w:rPr>
        <w:t xml:space="preserve">presente </w:t>
      </w:r>
      <w:r w:rsidR="00AC5B27" w:rsidRPr="00994BB3">
        <w:rPr>
          <w:lang w:val="es-ES"/>
        </w:rPr>
        <w:t>Unidad</w:t>
      </w:r>
      <w:r w:rsidR="00D73F1D">
        <w:rPr>
          <w:lang w:val="es-ES"/>
        </w:rPr>
        <w:t xml:space="preserve"> 12</w:t>
      </w:r>
      <w:r w:rsidR="00DB6FD6" w:rsidRPr="00994BB3">
        <w:rPr>
          <w:lang w:val="es-ES"/>
        </w:rPr>
        <w:t>.</w:t>
      </w:r>
    </w:p>
    <w:p w:rsidR="0016251C" w:rsidRPr="00994BB3" w:rsidRDefault="0016251C" w:rsidP="004936EF">
      <w:pPr>
        <w:pStyle w:val="Soustitre"/>
        <w:rPr>
          <w:caps/>
          <w:lang w:val="es-ES"/>
        </w:rPr>
      </w:pPr>
      <w:bookmarkStart w:id="13" w:name="_Toc238982279"/>
      <w:r w:rsidRPr="00994BB3">
        <w:rPr>
          <w:lang w:val="es-ES"/>
        </w:rPr>
        <w:t>Not</w:t>
      </w:r>
      <w:r w:rsidR="00F44EA0" w:rsidRPr="00994BB3">
        <w:rPr>
          <w:lang w:val="es-ES"/>
        </w:rPr>
        <w:t>a</w:t>
      </w:r>
      <w:r w:rsidRPr="00994BB3">
        <w:rPr>
          <w:lang w:val="es-ES"/>
        </w:rPr>
        <w:t xml:space="preserve"> </w:t>
      </w:r>
      <w:bookmarkEnd w:id="13"/>
      <w:r w:rsidR="00F44EA0" w:rsidRPr="00994BB3">
        <w:rPr>
          <w:lang w:val="es-ES"/>
        </w:rPr>
        <w:t>sobre el establecimiento de un orden de prioridad para las solicitudes</w:t>
      </w:r>
    </w:p>
    <w:p w:rsidR="00284531" w:rsidRPr="00E01DB5" w:rsidRDefault="00275A83" w:rsidP="009909DD">
      <w:pPr>
        <w:pStyle w:val="Texte1"/>
        <w:rPr>
          <w:lang w:val="es-ES"/>
        </w:rPr>
      </w:pPr>
      <w:r w:rsidRPr="00994BB3">
        <w:rPr>
          <w:lang w:val="es-ES"/>
        </w:rPr>
        <w:t xml:space="preserve">Cabe señalar que sólo se establece un orden de prioridad cuando los montos de las solicitudes de asistencia internacional sobrepasan los recursos del Fondo para la </w:t>
      </w:r>
      <w:r w:rsidRPr="00E01DB5">
        <w:rPr>
          <w:lang w:val="es-ES"/>
        </w:rPr>
        <w:t>Salvaguardia del Patrimonio Cultural Inmaterial, cosa que actualmente no ocurre</w:t>
      </w:r>
      <w:r w:rsidR="00284531" w:rsidRPr="00E01DB5">
        <w:rPr>
          <w:lang w:val="es-ES"/>
        </w:rPr>
        <w:t>.</w:t>
      </w:r>
    </w:p>
    <w:p w:rsidR="00275A83" w:rsidRPr="00E01DB5" w:rsidRDefault="00275A83" w:rsidP="009909DD">
      <w:pPr>
        <w:pStyle w:val="Texte1"/>
        <w:rPr>
          <w:lang w:val="es-ES"/>
        </w:rPr>
      </w:pPr>
      <w:r w:rsidRPr="00E01DB5">
        <w:rPr>
          <w:lang w:val="es-ES"/>
        </w:rPr>
        <w:t>Con respecto a las prioridades, en la</w:t>
      </w:r>
      <w:r w:rsidR="00F44EA0" w:rsidRPr="00E01DB5">
        <w:rPr>
          <w:lang w:val="es-ES"/>
        </w:rPr>
        <w:t>s</w:t>
      </w:r>
      <w:r w:rsidRPr="00E01DB5">
        <w:rPr>
          <w:lang w:val="es-ES"/>
        </w:rPr>
        <w:t xml:space="preserve"> DO</w:t>
      </w:r>
      <w:r w:rsidR="006A2545" w:rsidRPr="00E01DB5">
        <w:rPr>
          <w:lang w:val="es-ES"/>
        </w:rPr>
        <w:t xml:space="preserve"> </w:t>
      </w:r>
      <w:r w:rsidRPr="00E01DB5">
        <w:rPr>
          <w:lang w:val="es-ES"/>
        </w:rPr>
        <w:t>se dice lo siguiente:</w:t>
      </w:r>
    </w:p>
    <w:p w:rsidR="00075939" w:rsidRPr="00E01DB5" w:rsidRDefault="00412973" w:rsidP="004936EF">
      <w:pPr>
        <w:pStyle w:val="DO"/>
        <w:rPr>
          <w:lang w:val="es-ES"/>
        </w:rPr>
      </w:pPr>
      <w:r w:rsidRPr="00E01DB5">
        <w:rPr>
          <w:lang w:val="es-ES"/>
        </w:rPr>
        <w:t>DO</w:t>
      </w:r>
      <w:r w:rsidR="00075939" w:rsidRPr="00E01DB5">
        <w:rPr>
          <w:lang w:val="es-ES"/>
        </w:rPr>
        <w:t xml:space="preserve"> 10</w:t>
      </w:r>
      <w:r w:rsidR="00075939" w:rsidRPr="00E01DB5">
        <w:rPr>
          <w:lang w:val="es-ES"/>
        </w:rPr>
        <w:tab/>
      </w:r>
      <w:r w:rsidR="00B739E4" w:rsidRPr="00E01DB5">
        <w:rPr>
          <w:lang w:val="es-ES"/>
        </w:rPr>
        <w:t>“</w:t>
      </w:r>
      <w:r w:rsidR="00B739E4" w:rsidRPr="00E01DB5">
        <w:rPr>
          <w:szCs w:val="20"/>
          <w:lang w:val="es-ES"/>
        </w:rPr>
        <w:t>Al examinar las solicitudes de asistencia internacional, el Comité tendrá en cuenta el principio de la distribución geográfica equitativa y las necesidades especiales de los países en desarrollo. El Comité podrá tener en cuenta igualmente si:</w:t>
      </w:r>
      <w:r w:rsidR="00075939" w:rsidRPr="00E01DB5">
        <w:rPr>
          <w:lang w:val="es-ES"/>
        </w:rPr>
        <w:t xml:space="preserve"> </w:t>
      </w:r>
    </w:p>
    <w:p w:rsidR="00075939" w:rsidRPr="00E01DB5" w:rsidRDefault="00075939" w:rsidP="004936EF">
      <w:pPr>
        <w:pStyle w:val="DOa"/>
        <w:rPr>
          <w:lang w:val="es-ES"/>
        </w:rPr>
      </w:pPr>
      <w:r w:rsidRPr="00E01DB5">
        <w:rPr>
          <w:lang w:val="es-ES"/>
        </w:rPr>
        <w:t>a)</w:t>
      </w:r>
      <w:r w:rsidRPr="00E01DB5">
        <w:rPr>
          <w:lang w:val="es-ES"/>
        </w:rPr>
        <w:tab/>
      </w:r>
      <w:r w:rsidR="00E01DB5">
        <w:rPr>
          <w:lang w:val="es-ES"/>
        </w:rPr>
        <w:t xml:space="preserve">la </w:t>
      </w:r>
      <w:r w:rsidR="00B739E4" w:rsidRPr="00E01DB5">
        <w:rPr>
          <w:szCs w:val="20"/>
          <w:lang w:val="es-ES"/>
        </w:rPr>
        <w:t>solicitud supone la cooperación en el ámbito bilateral, regional o internacional; y/o</w:t>
      </w:r>
    </w:p>
    <w:p w:rsidR="00075939" w:rsidRPr="00E01DB5" w:rsidRDefault="00075939" w:rsidP="004936EF">
      <w:pPr>
        <w:pStyle w:val="DOa"/>
        <w:rPr>
          <w:lang w:val="es-ES"/>
        </w:rPr>
      </w:pPr>
      <w:r w:rsidRPr="00E01DB5">
        <w:rPr>
          <w:lang w:val="es-ES"/>
        </w:rPr>
        <w:t>b)</w:t>
      </w:r>
      <w:r w:rsidRPr="00E01DB5">
        <w:rPr>
          <w:lang w:val="es-ES"/>
        </w:rPr>
        <w:tab/>
      </w:r>
      <w:proofErr w:type="gramStart"/>
      <w:r w:rsidR="00B739E4" w:rsidRPr="00E01DB5">
        <w:rPr>
          <w:szCs w:val="20"/>
          <w:lang w:val="es-ES"/>
        </w:rPr>
        <w:t>la</w:t>
      </w:r>
      <w:proofErr w:type="gramEnd"/>
      <w:r w:rsidR="00B739E4" w:rsidRPr="00E01DB5">
        <w:rPr>
          <w:szCs w:val="20"/>
          <w:lang w:val="es-ES"/>
        </w:rPr>
        <w:t xml:space="preserve"> asistencia podría tener un efecto multiplicador y fomentar contribuciones financieras y técnicas procedentes de otras fuentes</w:t>
      </w:r>
      <w:r w:rsidR="00B739E4" w:rsidRPr="00E01DB5">
        <w:rPr>
          <w:lang w:val="es-ES"/>
        </w:rPr>
        <w:t>”</w:t>
      </w:r>
      <w:r w:rsidRPr="00E01DB5">
        <w:rPr>
          <w:lang w:val="es-ES"/>
        </w:rPr>
        <w:t>.</w:t>
      </w:r>
    </w:p>
    <w:p w:rsidR="00284531" w:rsidRPr="00994BB3" w:rsidRDefault="00284531" w:rsidP="0063086E">
      <w:pPr>
        <w:pStyle w:val="Soustitre"/>
        <w:rPr>
          <w:lang w:val="es-ES"/>
        </w:rPr>
      </w:pPr>
      <w:r w:rsidRPr="00E01DB5">
        <w:rPr>
          <w:lang w:val="es-ES"/>
        </w:rPr>
        <w:t>E</w:t>
      </w:r>
      <w:r w:rsidR="00B739E4" w:rsidRPr="00E01DB5">
        <w:rPr>
          <w:lang w:val="es-ES"/>
        </w:rPr>
        <w:t>jercicio</w:t>
      </w:r>
      <w:r w:rsidR="00C34BC4" w:rsidRPr="00E01DB5">
        <w:rPr>
          <w:lang w:val="es-ES"/>
        </w:rPr>
        <w:t xml:space="preserve"> (30 </w:t>
      </w:r>
      <w:r w:rsidR="00B739E4" w:rsidRPr="00E01DB5">
        <w:rPr>
          <w:lang w:val="es-ES"/>
        </w:rPr>
        <w:t>minutos</w:t>
      </w:r>
      <w:r w:rsidR="00E95124" w:rsidRPr="00E01DB5">
        <w:rPr>
          <w:lang w:val="es-ES"/>
        </w:rPr>
        <w:t>) –</w:t>
      </w:r>
      <w:r w:rsidR="00C34BC4" w:rsidRPr="00E01DB5">
        <w:rPr>
          <w:lang w:val="es-ES"/>
        </w:rPr>
        <w:t xml:space="preserve"> </w:t>
      </w:r>
      <w:r w:rsidR="00E95124" w:rsidRPr="00E01DB5">
        <w:rPr>
          <w:lang w:val="es-ES"/>
        </w:rPr>
        <w:t>Preguntas sobre la presentación de solicitudes</w:t>
      </w:r>
      <w:r w:rsidR="00E95124" w:rsidRPr="00994BB3">
        <w:rPr>
          <w:lang w:val="es-ES"/>
        </w:rPr>
        <w:t xml:space="preserve"> de financiación</w:t>
      </w:r>
    </w:p>
    <w:p w:rsidR="0099521F" w:rsidRPr="006A2545" w:rsidRDefault="00536F97" w:rsidP="009909DD">
      <w:pPr>
        <w:pStyle w:val="Texte1"/>
        <w:rPr>
          <w:lang w:val="es-ES"/>
        </w:rPr>
      </w:pPr>
      <w:r w:rsidRPr="00994BB3">
        <w:rPr>
          <w:lang w:val="es-ES"/>
        </w:rPr>
        <w:t>Si el tiempo lo permite y a los participantes en el taller les interesa este tema, se les puede dar la oportunidad de leer y analizar los formularios de solicitud de asistencia internacional. El facilitador no debe discutir con los participantes la cumplimentación de un formulario con vistas a solicitar financiación para una actividad concreta.</w:t>
      </w:r>
    </w:p>
    <w:sectPr w:rsidR="0099521F" w:rsidRPr="006A2545" w:rsidSect="009B3A94">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1900" w:h="16820" w:code="9"/>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042" w:rsidRDefault="009A3042" w:rsidP="000A699C">
      <w:pPr>
        <w:spacing w:before="0" w:after="0"/>
      </w:pPr>
      <w:r>
        <w:separator/>
      </w:r>
    </w:p>
  </w:endnote>
  <w:endnote w:type="continuationSeparator" w:id="0">
    <w:p w:rsidR="009A3042" w:rsidRDefault="009A3042"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Gras">
    <w:altName w:val="Times New Roman"/>
    <w:panose1 w:val="00000000000000000000"/>
    <w:charset w:val="00"/>
    <w:family w:val="roman"/>
    <w:notTrueType/>
    <w:pitch w:val="default"/>
  </w:font>
  <w:font w:name="MyriadPro-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F4" w:rsidRDefault="00BB2481" w:rsidP="004936EF">
    <w:pPr>
      <w:pStyle w:val="Footer"/>
    </w:pPr>
    <w:r>
      <w:rPr>
        <w:noProof/>
        <w:lang w:val="en-GB" w:eastAsia="en-GB"/>
      </w:rPr>
      <w:drawing>
        <wp:anchor distT="0" distB="0" distL="114300" distR="114300" simplePos="0" relativeHeight="251780096" behindDoc="0" locked="0" layoutInCell="1" allowOverlap="1" wp14:anchorId="70B205E0" wp14:editId="78985E3B">
          <wp:simplePos x="0" y="0"/>
          <wp:positionH relativeFrom="column">
            <wp:posOffset>-36204</wp:posOffset>
          </wp:positionH>
          <wp:positionV relativeFrom="paragraph">
            <wp:posOffset>-188040</wp:posOffset>
          </wp:positionV>
          <wp:extent cx="827477" cy="600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77" cy="600075"/>
                  </a:xfrm>
                  <a:prstGeom prst="rect">
                    <a:avLst/>
                  </a:prstGeom>
                </pic:spPr>
              </pic:pic>
            </a:graphicData>
          </a:graphic>
          <wp14:sizeRelH relativeFrom="page">
            <wp14:pctWidth>0</wp14:pctWidth>
          </wp14:sizeRelH>
          <wp14:sizeRelV relativeFrom="page">
            <wp14:pctHeight>0</wp14:pctHeight>
          </wp14:sizeRelV>
        </wp:anchor>
      </w:drawing>
    </w:r>
    <w:r w:rsidR="00A73DF4">
      <w:tab/>
      <w:t xml:space="preserve">© UNESCO • No se </w:t>
    </w:r>
    <w:proofErr w:type="spellStart"/>
    <w:r w:rsidR="00A73DF4">
      <w:t>debe</w:t>
    </w:r>
    <w:proofErr w:type="spellEnd"/>
    <w:r w:rsidR="00A73DF4">
      <w:t xml:space="preserve"> </w:t>
    </w:r>
    <w:proofErr w:type="spellStart"/>
    <w:r w:rsidR="00A73DF4">
      <w:t>reproducir</w:t>
    </w:r>
    <w:proofErr w:type="spellEnd"/>
    <w:r w:rsidR="00A73DF4">
      <w:t xml:space="preserve"> sin </w:t>
    </w:r>
    <w:proofErr w:type="spellStart"/>
    <w:proofErr w:type="gramStart"/>
    <w:r w:rsidR="00A73DF4">
      <w:t>permiso</w:t>
    </w:r>
    <w:proofErr w:type="spellEnd"/>
    <w:proofErr w:type="gramEnd"/>
    <w:r w:rsidR="00A73DF4">
      <w:tab/>
    </w:r>
    <w:r w:rsidR="00A73DF4" w:rsidRPr="0099521F">
      <w:t xml:space="preserve"> </w:t>
    </w:r>
    <w:r w:rsidR="00A73DF4">
      <w:t>U012-v1.</w:t>
    </w:r>
    <w:proofErr w:type="gramStart"/>
    <w:r w:rsidR="00A73DF4">
      <w:t>0-FN-ES</w:t>
    </w:r>
    <w:proofErr w:type="gramEnd"/>
  </w:p>
  <w:p w:rsidR="00A73DF4" w:rsidRDefault="00A73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F4" w:rsidRPr="007D60D5" w:rsidRDefault="00BB2481">
    <w:pPr>
      <w:pStyle w:val="Footer"/>
    </w:pPr>
    <w:r>
      <w:rPr>
        <w:noProof/>
        <w:lang w:val="en-GB" w:eastAsia="en-GB"/>
      </w:rPr>
      <w:drawing>
        <wp:anchor distT="0" distB="0" distL="114300" distR="114300" simplePos="0" relativeHeight="251782144" behindDoc="0" locked="0" layoutInCell="1" allowOverlap="1" wp14:anchorId="2A020DD8" wp14:editId="2BD9E027">
          <wp:simplePos x="0" y="0"/>
          <wp:positionH relativeFrom="column">
            <wp:posOffset>4947920</wp:posOffset>
          </wp:positionH>
          <wp:positionV relativeFrom="paragraph">
            <wp:posOffset>-340449</wp:posOffset>
          </wp:positionV>
          <wp:extent cx="827405" cy="600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A73DF4">
      <w:t>U012-v1.</w:t>
    </w:r>
    <w:proofErr w:type="gramStart"/>
    <w:r w:rsidR="00A73DF4">
      <w:t>0-FN-ES</w:t>
    </w:r>
    <w:proofErr w:type="gramEnd"/>
    <w:r w:rsidR="00A73DF4">
      <w:tab/>
      <w:t xml:space="preserve">© UNESCO • No se </w:t>
    </w:r>
    <w:proofErr w:type="spellStart"/>
    <w:r w:rsidR="00A73DF4">
      <w:t>debe</w:t>
    </w:r>
    <w:proofErr w:type="spellEnd"/>
    <w:r w:rsidR="00A73DF4">
      <w:t xml:space="preserve"> </w:t>
    </w:r>
    <w:proofErr w:type="spellStart"/>
    <w:r w:rsidR="00A73DF4">
      <w:t>reproducir</w:t>
    </w:r>
    <w:proofErr w:type="spellEnd"/>
    <w:r w:rsidR="00A73DF4">
      <w:t xml:space="preserve"> sin </w:t>
    </w:r>
    <w:proofErr w:type="spellStart"/>
    <w:proofErr w:type="gramStart"/>
    <w:r w:rsidR="00A73DF4">
      <w:t>permiso</w:t>
    </w:r>
    <w:proofErr w:type="spellEnd"/>
    <w:proofErr w:type="gramEnd"/>
    <w:r w:rsidR="00A73DF4">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F4" w:rsidRPr="0099521F" w:rsidRDefault="00BB2481" w:rsidP="0099521F">
    <w:pPr>
      <w:pStyle w:val="Footer"/>
    </w:pPr>
    <w:r>
      <w:rPr>
        <w:noProof/>
        <w:lang w:val="en-GB" w:eastAsia="en-GB"/>
      </w:rPr>
      <w:drawing>
        <wp:anchor distT="0" distB="0" distL="114300" distR="114300" simplePos="0" relativeHeight="251778048" behindDoc="0" locked="0" layoutInCell="1" allowOverlap="1" wp14:anchorId="79DED6F9" wp14:editId="74EA1A92">
          <wp:simplePos x="0" y="0"/>
          <wp:positionH relativeFrom="column">
            <wp:posOffset>4836270</wp:posOffset>
          </wp:positionH>
          <wp:positionV relativeFrom="paragraph">
            <wp:posOffset>-332105</wp:posOffset>
          </wp:positionV>
          <wp:extent cx="827405"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s.png"/>
                  <pic:cNvPicPr/>
                </pic:nvPicPr>
                <pic:blipFill>
                  <a:blip r:embed="rId1">
                    <a:extLst>
                      <a:ext uri="{28A0092B-C50C-407E-A947-70E740481C1C}">
                        <a14:useLocalDpi xmlns:a14="http://schemas.microsoft.com/office/drawing/2010/main" val="0"/>
                      </a:ext>
                    </a:extLst>
                  </a:blip>
                  <a:stretch>
                    <a:fillRect/>
                  </a:stretch>
                </pic:blipFill>
                <pic:spPr>
                  <a:xfrm>
                    <a:off x="0" y="0"/>
                    <a:ext cx="827405" cy="600075"/>
                  </a:xfrm>
                  <a:prstGeom prst="rect">
                    <a:avLst/>
                  </a:prstGeom>
                </pic:spPr>
              </pic:pic>
            </a:graphicData>
          </a:graphic>
          <wp14:sizeRelH relativeFrom="page">
            <wp14:pctWidth>0</wp14:pctWidth>
          </wp14:sizeRelH>
          <wp14:sizeRelV relativeFrom="page">
            <wp14:pctHeight>0</wp14:pctHeight>
          </wp14:sizeRelV>
        </wp:anchor>
      </w:drawing>
    </w:r>
    <w:r w:rsidR="00A73DF4">
      <w:t>U012-v1.</w:t>
    </w:r>
    <w:proofErr w:type="gramStart"/>
    <w:r w:rsidR="00A73DF4">
      <w:t>0-FN-ES</w:t>
    </w:r>
    <w:proofErr w:type="gramEnd"/>
    <w:r w:rsidR="00A73DF4">
      <w:tab/>
      <w:t xml:space="preserve">© UNESCO • No se </w:t>
    </w:r>
    <w:proofErr w:type="spellStart"/>
    <w:r w:rsidR="00A73DF4">
      <w:t>debe</w:t>
    </w:r>
    <w:proofErr w:type="spellEnd"/>
    <w:r w:rsidR="00A73DF4">
      <w:t xml:space="preserve"> </w:t>
    </w:r>
    <w:proofErr w:type="spellStart"/>
    <w:r w:rsidR="00A73DF4">
      <w:t>reproducir</w:t>
    </w:r>
    <w:proofErr w:type="spellEnd"/>
    <w:r w:rsidR="00A73DF4">
      <w:t xml:space="preserve"> sin </w:t>
    </w:r>
    <w:proofErr w:type="spellStart"/>
    <w:proofErr w:type="gramStart"/>
    <w:r w:rsidR="00A73DF4">
      <w:t>permiso</w:t>
    </w:r>
    <w:bookmarkStart w:id="14" w:name="_GoBack"/>
    <w:bookmarkEnd w:id="14"/>
    <w:proofErr w:type="spellEnd"/>
    <w:proofErr w:type="gramEnd"/>
    <w:r w:rsidR="00A73DF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042" w:rsidRDefault="009A3042" w:rsidP="000A699C">
      <w:pPr>
        <w:spacing w:before="0" w:after="0"/>
      </w:pPr>
      <w:r>
        <w:separator/>
      </w:r>
    </w:p>
  </w:footnote>
  <w:footnote w:type="continuationSeparator" w:id="0">
    <w:p w:rsidR="009A3042" w:rsidRDefault="009A3042" w:rsidP="000A699C">
      <w:pPr>
        <w:spacing w:before="0" w:after="0"/>
      </w:pPr>
      <w:r>
        <w:continuationSeparator/>
      </w:r>
    </w:p>
  </w:footnote>
  <w:footnote w:id="1">
    <w:p w:rsidR="00A73DF4" w:rsidRPr="00994BB3" w:rsidRDefault="00A73DF4" w:rsidP="00444FA2">
      <w:pPr>
        <w:pStyle w:val="FootnoteText"/>
        <w:rPr>
          <w:lang w:val="es-ES"/>
        </w:rPr>
      </w:pPr>
      <w:r w:rsidRPr="00994BB3">
        <w:rPr>
          <w:rStyle w:val="FootnoteReference"/>
          <w:lang w:val="es-ES"/>
        </w:rPr>
        <w:footnoteRef/>
      </w:r>
      <w:r w:rsidRPr="00994BB3">
        <w:rPr>
          <w:szCs w:val="16"/>
          <w:vertAlign w:val="superscript"/>
          <w:lang w:val="es-ES"/>
        </w:rPr>
        <w:t>.</w:t>
      </w:r>
      <w:r w:rsidRPr="00994BB3">
        <w:rPr>
          <w:lang w:val="es-ES"/>
        </w:rPr>
        <w:tab/>
        <w:t xml:space="preserve">Frecuentemente denominada Convención del Patrimonio Inmaterial y, a los efectos de esta </w:t>
      </w:r>
      <w:r w:rsidR="00D73F1D">
        <w:rPr>
          <w:lang w:val="es-ES"/>
        </w:rPr>
        <w:t>u</w:t>
      </w:r>
      <w:r w:rsidRPr="00994BB3">
        <w:rPr>
          <w:lang w:val="es-ES"/>
        </w:rPr>
        <w:t>nidad, simplemente Convención.</w:t>
      </w:r>
    </w:p>
  </w:footnote>
  <w:footnote w:id="2">
    <w:p w:rsidR="00A73DF4" w:rsidRPr="00994BB3" w:rsidRDefault="00A73DF4">
      <w:pPr>
        <w:pStyle w:val="FootnoteText"/>
        <w:rPr>
          <w:lang w:val="es-ES"/>
        </w:rPr>
      </w:pPr>
      <w:r w:rsidRPr="00994BB3">
        <w:rPr>
          <w:rStyle w:val="FootnoteReference"/>
          <w:szCs w:val="16"/>
          <w:lang w:val="es-ES"/>
        </w:rPr>
        <w:footnoteRef/>
      </w:r>
      <w:r w:rsidRPr="00994BB3">
        <w:rPr>
          <w:szCs w:val="16"/>
          <w:vertAlign w:val="superscript"/>
          <w:lang w:val="es-ES"/>
        </w:rPr>
        <w:t>.</w:t>
      </w:r>
      <w:r w:rsidRPr="00994BB3">
        <w:rPr>
          <w:szCs w:val="16"/>
          <w:lang w:val="es-ES"/>
        </w:rPr>
        <w:tab/>
      </w:r>
      <w:r w:rsidR="00994BB3" w:rsidRPr="00994BB3">
        <w:rPr>
          <w:szCs w:val="16"/>
          <w:lang w:val="es-ES"/>
        </w:rPr>
        <w:t xml:space="preserve">Documento informativo para la reunión de la </w:t>
      </w:r>
      <w:r w:rsidRPr="00994BB3">
        <w:rPr>
          <w:szCs w:val="16"/>
          <w:lang w:val="es-ES"/>
        </w:rPr>
        <w:t xml:space="preserve">UNESCO </w:t>
      </w:r>
      <w:r w:rsidR="00994BB3" w:rsidRPr="00994BB3">
        <w:rPr>
          <w:szCs w:val="16"/>
          <w:lang w:val="es-ES"/>
        </w:rPr>
        <w:t xml:space="preserve">sobre el tema “El patrimonio inmaterial más allá de las fronteras – </w:t>
      </w:r>
      <w:r w:rsidR="00327AC6">
        <w:rPr>
          <w:szCs w:val="16"/>
          <w:lang w:val="es-ES"/>
        </w:rPr>
        <w:t>La s</w:t>
      </w:r>
      <w:r w:rsidR="00994BB3" w:rsidRPr="00994BB3">
        <w:rPr>
          <w:szCs w:val="16"/>
          <w:lang w:val="es-ES"/>
        </w:rPr>
        <w:t>alvaguardia mediante la cooperación internacional”</w:t>
      </w:r>
      <w:r w:rsidRPr="00994BB3">
        <w:rPr>
          <w:szCs w:val="16"/>
          <w:lang w:val="es-ES"/>
        </w:rPr>
        <w:t xml:space="preserve">, Bangkok, 20 </w:t>
      </w:r>
      <w:r w:rsidR="00994BB3" w:rsidRPr="00994BB3">
        <w:rPr>
          <w:szCs w:val="16"/>
          <w:lang w:val="es-ES"/>
        </w:rPr>
        <w:t>y</w:t>
      </w:r>
      <w:r w:rsidRPr="00994BB3">
        <w:rPr>
          <w:szCs w:val="16"/>
          <w:lang w:val="es-ES"/>
        </w:rPr>
        <w:t xml:space="preserve"> 21 </w:t>
      </w:r>
      <w:r w:rsidR="00994BB3" w:rsidRPr="00994BB3">
        <w:rPr>
          <w:szCs w:val="16"/>
          <w:lang w:val="es-ES"/>
        </w:rPr>
        <w:t>de julio de</w:t>
      </w:r>
      <w:r w:rsidRPr="00994BB3">
        <w:rPr>
          <w:szCs w:val="16"/>
          <w:lang w:val="es-ES"/>
        </w:rPr>
        <w:t xml:space="preserve">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F4" w:rsidRDefault="00785906">
    <w:pPr>
      <w:pStyle w:val="Header"/>
    </w:pPr>
    <w:r>
      <w:rPr>
        <w:rStyle w:val="PageNumber"/>
      </w:rPr>
      <w:fldChar w:fldCharType="begin"/>
    </w:r>
    <w:r w:rsidR="00A73DF4">
      <w:rPr>
        <w:rStyle w:val="PageNumber"/>
      </w:rPr>
      <w:instrText xml:space="preserve"> PAGE </w:instrText>
    </w:r>
    <w:r>
      <w:rPr>
        <w:rStyle w:val="PageNumber"/>
      </w:rPr>
      <w:fldChar w:fldCharType="separate"/>
    </w:r>
    <w:r w:rsidR="004923D8">
      <w:rPr>
        <w:rStyle w:val="PageNumber"/>
        <w:noProof/>
      </w:rPr>
      <w:t>16</w:t>
    </w:r>
    <w:r>
      <w:rPr>
        <w:rStyle w:val="PageNumber"/>
      </w:rPr>
      <w:fldChar w:fldCharType="end"/>
    </w:r>
    <w:r w:rsidR="00A73DF4">
      <w:rPr>
        <w:rStyle w:val="PageNumber"/>
      </w:rPr>
      <w:tab/>
    </w:r>
    <w:proofErr w:type="spellStart"/>
    <w:r w:rsidR="00A73DF4">
      <w:t>Unidad</w:t>
    </w:r>
    <w:proofErr w:type="spellEnd"/>
    <w:r w:rsidR="00A73DF4">
      <w:t xml:space="preserve"> 12: </w:t>
    </w:r>
    <w:proofErr w:type="spellStart"/>
    <w:r w:rsidR="00A73DF4">
      <w:t>Cooperación</w:t>
    </w:r>
    <w:proofErr w:type="spellEnd"/>
    <w:r w:rsidR="00A73DF4">
      <w:t xml:space="preserve"> y </w:t>
    </w:r>
    <w:proofErr w:type="spellStart"/>
    <w:r w:rsidR="00A73DF4">
      <w:t>asistencia</w:t>
    </w:r>
    <w:proofErr w:type="spellEnd"/>
    <w:r w:rsidR="00A73DF4">
      <w:t xml:space="preserve"> </w:t>
    </w:r>
    <w:proofErr w:type="spellStart"/>
    <w:r w:rsidR="00A73DF4">
      <w:t>internacionales</w:t>
    </w:r>
    <w:proofErr w:type="spellEnd"/>
    <w:r w:rsidR="00A73DF4">
      <w:rPr>
        <w:rStyle w:val="PageNumber"/>
      </w:rPr>
      <w:tab/>
    </w:r>
    <w:proofErr w:type="spellStart"/>
    <w:r w:rsidR="00A73DF4">
      <w:t>Notas</w:t>
    </w:r>
    <w:proofErr w:type="spellEnd"/>
    <w:r w:rsidR="00A73DF4">
      <w:t xml:space="preserve"> para </w:t>
    </w:r>
    <w:proofErr w:type="spellStart"/>
    <w:r w:rsidR="00A73DF4">
      <w:t>el</w:t>
    </w:r>
    <w:proofErr w:type="spellEnd"/>
    <w:r w:rsidR="00A73DF4">
      <w:t xml:space="preserve"> </w:t>
    </w:r>
    <w:proofErr w:type="spellStart"/>
    <w:r w:rsidR="00A73DF4">
      <w:t>Facilitador</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F4" w:rsidRPr="004A4AD6" w:rsidRDefault="00A73DF4" w:rsidP="00D25BBB">
    <w:pPr>
      <w:pStyle w:val="Header"/>
    </w:pPr>
    <w:proofErr w:type="spellStart"/>
    <w:r>
      <w:t>Notas</w:t>
    </w:r>
    <w:proofErr w:type="spellEnd"/>
    <w:r>
      <w:t xml:space="preserve"> para </w:t>
    </w:r>
    <w:proofErr w:type="spellStart"/>
    <w:r>
      <w:t>el</w:t>
    </w:r>
    <w:proofErr w:type="spellEnd"/>
    <w:r>
      <w:t xml:space="preserve"> </w:t>
    </w:r>
    <w:proofErr w:type="spellStart"/>
    <w:r>
      <w:t>Facilitador</w:t>
    </w:r>
    <w:proofErr w:type="spellEnd"/>
    <w:r>
      <w:tab/>
    </w:r>
    <w:proofErr w:type="spellStart"/>
    <w:r>
      <w:t>Unidad</w:t>
    </w:r>
    <w:proofErr w:type="spellEnd"/>
    <w:r>
      <w:t xml:space="preserve"> 12: </w:t>
    </w:r>
    <w:proofErr w:type="spellStart"/>
    <w:r>
      <w:t>Cooperación</w:t>
    </w:r>
    <w:proofErr w:type="spellEnd"/>
    <w:r>
      <w:t xml:space="preserve"> y </w:t>
    </w:r>
    <w:proofErr w:type="spellStart"/>
    <w:r>
      <w:t>asistencia</w:t>
    </w:r>
    <w:proofErr w:type="spellEnd"/>
    <w:r>
      <w:t xml:space="preserve"> </w:t>
    </w:r>
    <w:proofErr w:type="spellStart"/>
    <w:r>
      <w:t>internacionales</w:t>
    </w:r>
    <w:proofErr w:type="spellEnd"/>
    <w:r w:rsidDel="006831F2">
      <w:rPr>
        <w:rStyle w:val="PageNumber"/>
      </w:rPr>
      <w:t xml:space="preserve"> </w:t>
    </w:r>
    <w:r>
      <w:tab/>
    </w:r>
    <w:r w:rsidR="00785906">
      <w:rPr>
        <w:rStyle w:val="PageNumber"/>
      </w:rPr>
      <w:fldChar w:fldCharType="begin"/>
    </w:r>
    <w:r>
      <w:rPr>
        <w:rStyle w:val="PageNumber"/>
      </w:rPr>
      <w:instrText xml:space="preserve"> PAGE </w:instrText>
    </w:r>
    <w:r w:rsidR="00785906">
      <w:rPr>
        <w:rStyle w:val="PageNumber"/>
      </w:rPr>
      <w:fldChar w:fldCharType="separate"/>
    </w:r>
    <w:r w:rsidR="004923D8">
      <w:rPr>
        <w:rStyle w:val="PageNumber"/>
        <w:noProof/>
      </w:rPr>
      <w:t>15</w:t>
    </w:r>
    <w:r w:rsidR="00785906">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F4" w:rsidRPr="0099521F" w:rsidRDefault="00A73DF4">
    <w:pPr>
      <w:pStyle w:val="Header"/>
    </w:pPr>
    <w:r>
      <w:tab/>
    </w:r>
    <w:proofErr w:type="spellStart"/>
    <w:r>
      <w:t>Notas</w:t>
    </w:r>
    <w:proofErr w:type="spellEnd"/>
    <w:r>
      <w:t xml:space="preserve"> para </w:t>
    </w:r>
    <w:proofErr w:type="spellStart"/>
    <w:r>
      <w:t>el</w:t>
    </w:r>
    <w:proofErr w:type="spellEnd"/>
    <w:r>
      <w:t xml:space="preserve"> </w:t>
    </w:r>
    <w:proofErr w:type="spellStart"/>
    <w:r>
      <w:t>Facilitador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563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A8F"/>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5C9D"/>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84E"/>
    <w:rsid w:val="00075939"/>
    <w:rsid w:val="00075A15"/>
    <w:rsid w:val="000761E7"/>
    <w:rsid w:val="0007670B"/>
    <w:rsid w:val="0007675D"/>
    <w:rsid w:val="00076902"/>
    <w:rsid w:val="000771EA"/>
    <w:rsid w:val="00077300"/>
    <w:rsid w:val="000774A8"/>
    <w:rsid w:val="000774D9"/>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B3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6C9"/>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4F16"/>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3AC"/>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09B"/>
    <w:rsid w:val="00173BB8"/>
    <w:rsid w:val="00173E44"/>
    <w:rsid w:val="00173E8A"/>
    <w:rsid w:val="001742D9"/>
    <w:rsid w:val="001746BE"/>
    <w:rsid w:val="00174BB4"/>
    <w:rsid w:val="00175B19"/>
    <w:rsid w:val="00176473"/>
    <w:rsid w:val="00176E90"/>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E78"/>
    <w:rsid w:val="001A00FC"/>
    <w:rsid w:val="001A0338"/>
    <w:rsid w:val="001A0500"/>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C80"/>
    <w:rsid w:val="001A7EAF"/>
    <w:rsid w:val="001A7EED"/>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43F"/>
    <w:rsid w:val="001C7BB7"/>
    <w:rsid w:val="001C7C0E"/>
    <w:rsid w:val="001C7F25"/>
    <w:rsid w:val="001D0A63"/>
    <w:rsid w:val="001D0BF8"/>
    <w:rsid w:val="001D0E12"/>
    <w:rsid w:val="001D1766"/>
    <w:rsid w:val="001D1E90"/>
    <w:rsid w:val="001D203B"/>
    <w:rsid w:val="001D2F1D"/>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64"/>
    <w:rsid w:val="0022250A"/>
    <w:rsid w:val="00222B46"/>
    <w:rsid w:val="00222C4C"/>
    <w:rsid w:val="00222DEC"/>
    <w:rsid w:val="002232AC"/>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A66"/>
    <w:rsid w:val="00247B2A"/>
    <w:rsid w:val="00247DA7"/>
    <w:rsid w:val="00250149"/>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440"/>
    <w:rsid w:val="002735A5"/>
    <w:rsid w:val="0027383F"/>
    <w:rsid w:val="00273E7D"/>
    <w:rsid w:val="00274271"/>
    <w:rsid w:val="0027472C"/>
    <w:rsid w:val="00275A83"/>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15F8"/>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5BAE"/>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533C"/>
    <w:rsid w:val="002D5596"/>
    <w:rsid w:val="002D5615"/>
    <w:rsid w:val="002D6241"/>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447B"/>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386"/>
    <w:rsid w:val="0031476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27AC6"/>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579"/>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47FB0"/>
    <w:rsid w:val="00350C69"/>
    <w:rsid w:val="0035111A"/>
    <w:rsid w:val="003512F1"/>
    <w:rsid w:val="00351526"/>
    <w:rsid w:val="003516EB"/>
    <w:rsid w:val="00351C75"/>
    <w:rsid w:val="003522A8"/>
    <w:rsid w:val="0035264F"/>
    <w:rsid w:val="00352801"/>
    <w:rsid w:val="0035295B"/>
    <w:rsid w:val="00353A90"/>
    <w:rsid w:val="00353B4F"/>
    <w:rsid w:val="00353DD1"/>
    <w:rsid w:val="003540F5"/>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47A"/>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53"/>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04"/>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285"/>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973"/>
    <w:rsid w:val="00412A77"/>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99E"/>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2F54"/>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0B7"/>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5F29"/>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1F5B"/>
    <w:rsid w:val="004923D8"/>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3E15"/>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79"/>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A46"/>
    <w:rsid w:val="004F3C39"/>
    <w:rsid w:val="004F4542"/>
    <w:rsid w:val="004F4943"/>
    <w:rsid w:val="004F4AF3"/>
    <w:rsid w:val="004F4DA6"/>
    <w:rsid w:val="004F4F60"/>
    <w:rsid w:val="004F50B4"/>
    <w:rsid w:val="004F56F6"/>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023"/>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0E57"/>
    <w:rsid w:val="00530FD7"/>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6F97"/>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983"/>
    <w:rsid w:val="00542B34"/>
    <w:rsid w:val="00542CAA"/>
    <w:rsid w:val="00542EA1"/>
    <w:rsid w:val="005431D0"/>
    <w:rsid w:val="00543593"/>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6C6"/>
    <w:rsid w:val="00552F35"/>
    <w:rsid w:val="0055329D"/>
    <w:rsid w:val="00553832"/>
    <w:rsid w:val="005539C0"/>
    <w:rsid w:val="00553C85"/>
    <w:rsid w:val="00554077"/>
    <w:rsid w:val="0055413B"/>
    <w:rsid w:val="005541E1"/>
    <w:rsid w:val="00554F68"/>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9F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2DEB"/>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589"/>
    <w:rsid w:val="005C1A47"/>
    <w:rsid w:val="005C20FF"/>
    <w:rsid w:val="005C22E4"/>
    <w:rsid w:val="005C2422"/>
    <w:rsid w:val="005C249F"/>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0F0"/>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09A"/>
    <w:rsid w:val="006030FF"/>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EED"/>
    <w:rsid w:val="00622544"/>
    <w:rsid w:val="0062263F"/>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86E"/>
    <w:rsid w:val="006309AC"/>
    <w:rsid w:val="00630E06"/>
    <w:rsid w:val="00631067"/>
    <w:rsid w:val="00631131"/>
    <w:rsid w:val="0063193D"/>
    <w:rsid w:val="006319AB"/>
    <w:rsid w:val="00631FF3"/>
    <w:rsid w:val="00632054"/>
    <w:rsid w:val="006325AE"/>
    <w:rsid w:val="006325F2"/>
    <w:rsid w:val="006328AA"/>
    <w:rsid w:val="00632AA1"/>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267"/>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4D"/>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02"/>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16"/>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545"/>
    <w:rsid w:val="006A27C7"/>
    <w:rsid w:val="006A2A10"/>
    <w:rsid w:val="006A2E09"/>
    <w:rsid w:val="006A386C"/>
    <w:rsid w:val="006A3B17"/>
    <w:rsid w:val="006A43D5"/>
    <w:rsid w:val="006A4AB7"/>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29"/>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E7B"/>
    <w:rsid w:val="006C216B"/>
    <w:rsid w:val="006C2CE6"/>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2EC7"/>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0D4E"/>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649"/>
    <w:rsid w:val="006F6090"/>
    <w:rsid w:val="006F6637"/>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2514"/>
    <w:rsid w:val="0072303E"/>
    <w:rsid w:val="0072326D"/>
    <w:rsid w:val="007236F2"/>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80"/>
    <w:rsid w:val="007558BB"/>
    <w:rsid w:val="0075593D"/>
    <w:rsid w:val="00755AC5"/>
    <w:rsid w:val="00755D33"/>
    <w:rsid w:val="00755E8B"/>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A2"/>
    <w:rsid w:val="007677FC"/>
    <w:rsid w:val="00767CDC"/>
    <w:rsid w:val="00767E13"/>
    <w:rsid w:val="0077068E"/>
    <w:rsid w:val="0077069D"/>
    <w:rsid w:val="007706D9"/>
    <w:rsid w:val="00770721"/>
    <w:rsid w:val="00770FC7"/>
    <w:rsid w:val="007712FE"/>
    <w:rsid w:val="00771CF3"/>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3AFB"/>
    <w:rsid w:val="007853E1"/>
    <w:rsid w:val="00785906"/>
    <w:rsid w:val="00785E54"/>
    <w:rsid w:val="00786327"/>
    <w:rsid w:val="00786513"/>
    <w:rsid w:val="007871C3"/>
    <w:rsid w:val="007878F8"/>
    <w:rsid w:val="00787C1A"/>
    <w:rsid w:val="00787C83"/>
    <w:rsid w:val="00790418"/>
    <w:rsid w:val="0079063A"/>
    <w:rsid w:val="007906B9"/>
    <w:rsid w:val="00790E0D"/>
    <w:rsid w:val="00790E4E"/>
    <w:rsid w:val="00791506"/>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8D3"/>
    <w:rsid w:val="007D0CDE"/>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189"/>
    <w:rsid w:val="007F35AB"/>
    <w:rsid w:val="007F368B"/>
    <w:rsid w:val="007F3A46"/>
    <w:rsid w:val="007F3AB9"/>
    <w:rsid w:val="007F3BCF"/>
    <w:rsid w:val="007F42A1"/>
    <w:rsid w:val="007F4999"/>
    <w:rsid w:val="007F4A3B"/>
    <w:rsid w:val="007F4D95"/>
    <w:rsid w:val="007F5169"/>
    <w:rsid w:val="007F5894"/>
    <w:rsid w:val="007F5AEC"/>
    <w:rsid w:val="007F5CAF"/>
    <w:rsid w:val="007F6286"/>
    <w:rsid w:val="007F6530"/>
    <w:rsid w:val="007F68A9"/>
    <w:rsid w:val="007F72CE"/>
    <w:rsid w:val="007F7878"/>
    <w:rsid w:val="007F7C82"/>
    <w:rsid w:val="007F7F84"/>
    <w:rsid w:val="00800081"/>
    <w:rsid w:val="00800137"/>
    <w:rsid w:val="00800BF2"/>
    <w:rsid w:val="00800CE2"/>
    <w:rsid w:val="00801046"/>
    <w:rsid w:val="008015C8"/>
    <w:rsid w:val="008017FD"/>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1E33"/>
    <w:rsid w:val="008120E9"/>
    <w:rsid w:val="008122F8"/>
    <w:rsid w:val="00812D8A"/>
    <w:rsid w:val="0081310B"/>
    <w:rsid w:val="008132E0"/>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DA8"/>
    <w:rsid w:val="00831FBB"/>
    <w:rsid w:val="008324A3"/>
    <w:rsid w:val="00832A86"/>
    <w:rsid w:val="00832C37"/>
    <w:rsid w:val="00832C7C"/>
    <w:rsid w:val="00832FDF"/>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429"/>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47D44"/>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24A"/>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1A5B"/>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B12"/>
    <w:rsid w:val="008A7B8C"/>
    <w:rsid w:val="008B000F"/>
    <w:rsid w:val="008B0E6B"/>
    <w:rsid w:val="008B1627"/>
    <w:rsid w:val="008B21D7"/>
    <w:rsid w:val="008B2D7C"/>
    <w:rsid w:val="008B3215"/>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290"/>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232"/>
    <w:rsid w:val="008F039A"/>
    <w:rsid w:val="008F0DAD"/>
    <w:rsid w:val="008F1BBB"/>
    <w:rsid w:val="008F2353"/>
    <w:rsid w:val="008F2436"/>
    <w:rsid w:val="008F27A6"/>
    <w:rsid w:val="008F2C5F"/>
    <w:rsid w:val="008F3398"/>
    <w:rsid w:val="008F3D52"/>
    <w:rsid w:val="008F3D71"/>
    <w:rsid w:val="008F3EFC"/>
    <w:rsid w:val="008F4178"/>
    <w:rsid w:val="008F43E7"/>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93F"/>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A3"/>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177C4"/>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A84"/>
    <w:rsid w:val="00925C30"/>
    <w:rsid w:val="00925CD0"/>
    <w:rsid w:val="00925F9D"/>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20C"/>
    <w:rsid w:val="0093344C"/>
    <w:rsid w:val="00933900"/>
    <w:rsid w:val="00933B1E"/>
    <w:rsid w:val="00933B93"/>
    <w:rsid w:val="00933DEE"/>
    <w:rsid w:val="00933FCE"/>
    <w:rsid w:val="009340A1"/>
    <w:rsid w:val="009340A4"/>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37F0F"/>
    <w:rsid w:val="00940240"/>
    <w:rsid w:val="009403A4"/>
    <w:rsid w:val="009406CD"/>
    <w:rsid w:val="00940717"/>
    <w:rsid w:val="00940AB5"/>
    <w:rsid w:val="00940C7D"/>
    <w:rsid w:val="00940DF4"/>
    <w:rsid w:val="009411C1"/>
    <w:rsid w:val="009419C9"/>
    <w:rsid w:val="0094205E"/>
    <w:rsid w:val="0094219B"/>
    <w:rsid w:val="00942AAD"/>
    <w:rsid w:val="00942EF0"/>
    <w:rsid w:val="0094320A"/>
    <w:rsid w:val="0094339A"/>
    <w:rsid w:val="00943B59"/>
    <w:rsid w:val="00943C02"/>
    <w:rsid w:val="00943DBD"/>
    <w:rsid w:val="00944198"/>
    <w:rsid w:val="00944473"/>
    <w:rsid w:val="0094485E"/>
    <w:rsid w:val="00944EA0"/>
    <w:rsid w:val="00945001"/>
    <w:rsid w:val="0094504F"/>
    <w:rsid w:val="009450A4"/>
    <w:rsid w:val="00945155"/>
    <w:rsid w:val="00945227"/>
    <w:rsid w:val="00945279"/>
    <w:rsid w:val="00945328"/>
    <w:rsid w:val="00945975"/>
    <w:rsid w:val="009462F7"/>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0CE"/>
    <w:rsid w:val="009601D3"/>
    <w:rsid w:val="00960353"/>
    <w:rsid w:val="009603F0"/>
    <w:rsid w:val="009609F9"/>
    <w:rsid w:val="00961276"/>
    <w:rsid w:val="00961562"/>
    <w:rsid w:val="00961C99"/>
    <w:rsid w:val="00962203"/>
    <w:rsid w:val="00962206"/>
    <w:rsid w:val="00963121"/>
    <w:rsid w:val="0096335C"/>
    <w:rsid w:val="009640BE"/>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BB3"/>
    <w:rsid w:val="00994E08"/>
    <w:rsid w:val="00995074"/>
    <w:rsid w:val="0099521F"/>
    <w:rsid w:val="0099536B"/>
    <w:rsid w:val="0099591B"/>
    <w:rsid w:val="00995D13"/>
    <w:rsid w:val="00995E18"/>
    <w:rsid w:val="00995F0F"/>
    <w:rsid w:val="00996C4F"/>
    <w:rsid w:val="009970A5"/>
    <w:rsid w:val="00997838"/>
    <w:rsid w:val="009A09F1"/>
    <w:rsid w:val="009A0A21"/>
    <w:rsid w:val="009A0C33"/>
    <w:rsid w:val="009A0F4C"/>
    <w:rsid w:val="009A117D"/>
    <w:rsid w:val="009A1A96"/>
    <w:rsid w:val="009A215A"/>
    <w:rsid w:val="009A2C19"/>
    <w:rsid w:val="009A3042"/>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5E76"/>
    <w:rsid w:val="009E600A"/>
    <w:rsid w:val="009E63DD"/>
    <w:rsid w:val="009E6503"/>
    <w:rsid w:val="009E6846"/>
    <w:rsid w:val="009E734C"/>
    <w:rsid w:val="009E7BC5"/>
    <w:rsid w:val="009E7E9C"/>
    <w:rsid w:val="009E7F9C"/>
    <w:rsid w:val="009F0513"/>
    <w:rsid w:val="009F0608"/>
    <w:rsid w:val="009F0968"/>
    <w:rsid w:val="009F0B2C"/>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59ED"/>
    <w:rsid w:val="00A26176"/>
    <w:rsid w:val="00A267D3"/>
    <w:rsid w:val="00A26F22"/>
    <w:rsid w:val="00A27145"/>
    <w:rsid w:val="00A2722F"/>
    <w:rsid w:val="00A272EF"/>
    <w:rsid w:val="00A274A4"/>
    <w:rsid w:val="00A27B89"/>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67E11"/>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3DF4"/>
    <w:rsid w:val="00A74582"/>
    <w:rsid w:val="00A7487A"/>
    <w:rsid w:val="00A74974"/>
    <w:rsid w:val="00A74C66"/>
    <w:rsid w:val="00A74FFB"/>
    <w:rsid w:val="00A767F3"/>
    <w:rsid w:val="00A76DA2"/>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7F4"/>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844"/>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B7C41"/>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3C5"/>
    <w:rsid w:val="00AC56EB"/>
    <w:rsid w:val="00AC5B27"/>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88"/>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628"/>
    <w:rsid w:val="00AF3C00"/>
    <w:rsid w:val="00AF3D93"/>
    <w:rsid w:val="00AF3EAE"/>
    <w:rsid w:val="00AF44FD"/>
    <w:rsid w:val="00AF47AE"/>
    <w:rsid w:val="00AF4AE4"/>
    <w:rsid w:val="00AF4E10"/>
    <w:rsid w:val="00AF5E7E"/>
    <w:rsid w:val="00AF5EDF"/>
    <w:rsid w:val="00AF685C"/>
    <w:rsid w:val="00AF7034"/>
    <w:rsid w:val="00AF7431"/>
    <w:rsid w:val="00B00480"/>
    <w:rsid w:val="00B00698"/>
    <w:rsid w:val="00B00B7C"/>
    <w:rsid w:val="00B00DA7"/>
    <w:rsid w:val="00B012D4"/>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AA6"/>
    <w:rsid w:val="00B144E3"/>
    <w:rsid w:val="00B14588"/>
    <w:rsid w:val="00B14680"/>
    <w:rsid w:val="00B1543C"/>
    <w:rsid w:val="00B155BD"/>
    <w:rsid w:val="00B15B87"/>
    <w:rsid w:val="00B15F64"/>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412"/>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C6D"/>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9E4"/>
    <w:rsid w:val="00B73BB0"/>
    <w:rsid w:val="00B744AB"/>
    <w:rsid w:val="00B745F1"/>
    <w:rsid w:val="00B74742"/>
    <w:rsid w:val="00B74819"/>
    <w:rsid w:val="00B74A48"/>
    <w:rsid w:val="00B74C0C"/>
    <w:rsid w:val="00B74C71"/>
    <w:rsid w:val="00B7533F"/>
    <w:rsid w:val="00B754E1"/>
    <w:rsid w:val="00B7572D"/>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6A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4F48"/>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01"/>
    <w:rsid w:val="00BB0287"/>
    <w:rsid w:val="00BB0430"/>
    <w:rsid w:val="00BB0441"/>
    <w:rsid w:val="00BB056B"/>
    <w:rsid w:val="00BB05F1"/>
    <w:rsid w:val="00BB06DD"/>
    <w:rsid w:val="00BB0814"/>
    <w:rsid w:val="00BB0DC7"/>
    <w:rsid w:val="00BB0E68"/>
    <w:rsid w:val="00BB1504"/>
    <w:rsid w:val="00BB1BAA"/>
    <w:rsid w:val="00BB2481"/>
    <w:rsid w:val="00BB2DDF"/>
    <w:rsid w:val="00BB3420"/>
    <w:rsid w:val="00BB34E2"/>
    <w:rsid w:val="00BB3B2B"/>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091D"/>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09"/>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50B"/>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3A72"/>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77C"/>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9BE"/>
    <w:rsid w:val="00CC22E7"/>
    <w:rsid w:val="00CC25C7"/>
    <w:rsid w:val="00CC25EB"/>
    <w:rsid w:val="00CC264F"/>
    <w:rsid w:val="00CC286D"/>
    <w:rsid w:val="00CC2BE5"/>
    <w:rsid w:val="00CC3174"/>
    <w:rsid w:val="00CC3731"/>
    <w:rsid w:val="00CC39FA"/>
    <w:rsid w:val="00CC4200"/>
    <w:rsid w:val="00CC48DF"/>
    <w:rsid w:val="00CC496D"/>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51"/>
    <w:rsid w:val="00CD0862"/>
    <w:rsid w:val="00CD0E96"/>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5CD"/>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E7A79"/>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B59"/>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76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15B"/>
    <w:rsid w:val="00D30716"/>
    <w:rsid w:val="00D307B6"/>
    <w:rsid w:val="00D30AF2"/>
    <w:rsid w:val="00D31284"/>
    <w:rsid w:val="00D31864"/>
    <w:rsid w:val="00D31C8A"/>
    <w:rsid w:val="00D32195"/>
    <w:rsid w:val="00D32425"/>
    <w:rsid w:val="00D32532"/>
    <w:rsid w:val="00D32B3B"/>
    <w:rsid w:val="00D32E5C"/>
    <w:rsid w:val="00D32F18"/>
    <w:rsid w:val="00D3317B"/>
    <w:rsid w:val="00D341C7"/>
    <w:rsid w:val="00D342A3"/>
    <w:rsid w:val="00D344E1"/>
    <w:rsid w:val="00D3456D"/>
    <w:rsid w:val="00D34A61"/>
    <w:rsid w:val="00D34FE3"/>
    <w:rsid w:val="00D35264"/>
    <w:rsid w:val="00D35564"/>
    <w:rsid w:val="00D359B7"/>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A96"/>
    <w:rsid w:val="00D56D2C"/>
    <w:rsid w:val="00D572B3"/>
    <w:rsid w:val="00D5737F"/>
    <w:rsid w:val="00D575AB"/>
    <w:rsid w:val="00D576C6"/>
    <w:rsid w:val="00D578B1"/>
    <w:rsid w:val="00D57B5B"/>
    <w:rsid w:val="00D57DF3"/>
    <w:rsid w:val="00D57EFB"/>
    <w:rsid w:val="00D57F1C"/>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080"/>
    <w:rsid w:val="00D703A6"/>
    <w:rsid w:val="00D707DE"/>
    <w:rsid w:val="00D70841"/>
    <w:rsid w:val="00D7093C"/>
    <w:rsid w:val="00D7117D"/>
    <w:rsid w:val="00D7162F"/>
    <w:rsid w:val="00D7192C"/>
    <w:rsid w:val="00D721D6"/>
    <w:rsid w:val="00D72859"/>
    <w:rsid w:val="00D72911"/>
    <w:rsid w:val="00D72DBE"/>
    <w:rsid w:val="00D72F0A"/>
    <w:rsid w:val="00D730E1"/>
    <w:rsid w:val="00D732A9"/>
    <w:rsid w:val="00D73436"/>
    <w:rsid w:val="00D73A21"/>
    <w:rsid w:val="00D73BD3"/>
    <w:rsid w:val="00D73F1D"/>
    <w:rsid w:val="00D740F0"/>
    <w:rsid w:val="00D742EC"/>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0CE5"/>
    <w:rsid w:val="00DE11A2"/>
    <w:rsid w:val="00DE1294"/>
    <w:rsid w:val="00DE137B"/>
    <w:rsid w:val="00DE1452"/>
    <w:rsid w:val="00DE1A79"/>
    <w:rsid w:val="00DE1F64"/>
    <w:rsid w:val="00DE1F95"/>
    <w:rsid w:val="00DE2B19"/>
    <w:rsid w:val="00DE3576"/>
    <w:rsid w:val="00DE3849"/>
    <w:rsid w:val="00DE4B84"/>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77D"/>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1DB5"/>
    <w:rsid w:val="00E02372"/>
    <w:rsid w:val="00E02548"/>
    <w:rsid w:val="00E02D04"/>
    <w:rsid w:val="00E02F74"/>
    <w:rsid w:val="00E03C3E"/>
    <w:rsid w:val="00E03DDE"/>
    <w:rsid w:val="00E04473"/>
    <w:rsid w:val="00E0459D"/>
    <w:rsid w:val="00E04817"/>
    <w:rsid w:val="00E0505B"/>
    <w:rsid w:val="00E05240"/>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52"/>
    <w:rsid w:val="00E65E0C"/>
    <w:rsid w:val="00E66151"/>
    <w:rsid w:val="00E6684E"/>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1B8"/>
    <w:rsid w:val="00E746AF"/>
    <w:rsid w:val="00E7490E"/>
    <w:rsid w:val="00E74B42"/>
    <w:rsid w:val="00E74EAE"/>
    <w:rsid w:val="00E74F6F"/>
    <w:rsid w:val="00E753DE"/>
    <w:rsid w:val="00E7580E"/>
    <w:rsid w:val="00E76246"/>
    <w:rsid w:val="00E765E1"/>
    <w:rsid w:val="00E766F8"/>
    <w:rsid w:val="00E76A43"/>
    <w:rsid w:val="00E76AB0"/>
    <w:rsid w:val="00E76E90"/>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24"/>
    <w:rsid w:val="00E95162"/>
    <w:rsid w:val="00E9526C"/>
    <w:rsid w:val="00E95280"/>
    <w:rsid w:val="00E9551B"/>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33"/>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A74AB"/>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35D"/>
    <w:rsid w:val="00EB565A"/>
    <w:rsid w:val="00EB5B69"/>
    <w:rsid w:val="00EB5ECE"/>
    <w:rsid w:val="00EB615E"/>
    <w:rsid w:val="00EB6245"/>
    <w:rsid w:val="00EB6B70"/>
    <w:rsid w:val="00EB7CE3"/>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8E"/>
    <w:rsid w:val="00EE3C9C"/>
    <w:rsid w:val="00EE3EAD"/>
    <w:rsid w:val="00EE4B32"/>
    <w:rsid w:val="00EE4C33"/>
    <w:rsid w:val="00EE4DC1"/>
    <w:rsid w:val="00EE50AF"/>
    <w:rsid w:val="00EE5371"/>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39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5348"/>
    <w:rsid w:val="00F15B30"/>
    <w:rsid w:val="00F15D63"/>
    <w:rsid w:val="00F15E7C"/>
    <w:rsid w:val="00F1620F"/>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4EA0"/>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3B"/>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11A"/>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31E"/>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5EF"/>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4AEE"/>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265FE9"/>
    <w:pPr>
      <w:numPr>
        <w:numId w:val="28"/>
      </w:numPr>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esco.org/culture/ich/index.php?lg=es&amp;pg=00011&amp;RL=00744" TargetMode="External"/><Relationship Id="rId18" Type="http://schemas.openxmlformats.org/officeDocument/2006/relationships/header" Target="header3.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nesco.org/culture/ich/index.php?lg=es&amp;pg=00011&amp;RL=00849" TargetMode="External"/><Relationship Id="rId17" Type="http://schemas.openxmlformats.org/officeDocument/2006/relationships/footer" Target="footer2.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9C489-D3CD-4D00-BF18-FEDFC7DF7C2D}">
  <ds:schemaRefs>
    <ds:schemaRef ds:uri="http://schemas.openxmlformats.org/officeDocument/2006/bibliography"/>
  </ds:schemaRefs>
</ds:datastoreItem>
</file>

<file path=customXml/itemProps2.xml><?xml version="1.0" encoding="utf-8"?>
<ds:datastoreItem xmlns:ds="http://schemas.openxmlformats.org/officeDocument/2006/customXml" ds:itemID="{E262CD4A-D7BC-44DF-90C9-545FD9A6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5817</Words>
  <Characters>33158</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38898</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2015-04-29T12:38:00Z</dcterms:created>
  <dcterms:modified xsi:type="dcterms:W3CDTF">2015-04-30T15:27:00Z</dcterms:modified>
</cp:coreProperties>
</file>