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4F2B5" w14:textId="0D5AE9C0" w:rsidR="00896772" w:rsidRPr="002F5130" w:rsidRDefault="000C5704" w:rsidP="004936EF">
      <w:pPr>
        <w:pStyle w:val="Chapitre"/>
        <w:rPr>
          <w:kern w:val="0"/>
          <w:lang w:val="en-US"/>
        </w:rPr>
      </w:pPr>
      <w:r w:rsidRPr="002F5130">
        <w:rPr>
          <w:b w:val="0"/>
          <w:caps w:val="0"/>
          <w:sz w:val="20"/>
          <w:szCs w:val="20"/>
          <w:lang w:val="es-ES_tradnl" w:eastAsia="es-ES_tradnl"/>
        </w:rPr>
        <w:drawing>
          <wp:anchor distT="0" distB="0" distL="114300" distR="114300" simplePos="0" relativeHeight="251677696" behindDoc="1" locked="1" layoutInCell="1" allowOverlap="0" wp14:anchorId="6B3BFA3C" wp14:editId="6325E4BB">
            <wp:simplePos x="0" y="0"/>
            <wp:positionH relativeFrom="margin">
              <wp:posOffset>431800</wp:posOffset>
            </wp:positionH>
            <wp:positionV relativeFrom="margin">
              <wp:posOffset>1980565</wp:posOffset>
            </wp:positionV>
            <wp:extent cx="4870411" cy="4498145"/>
            <wp:effectExtent l="0" t="0" r="6985" b="0"/>
            <wp:wrapNone/>
            <wp:docPr id="388" name="Imag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bookmarkStart w:id="0" w:name="_Toc241644737"/>
      <w:bookmarkStart w:id="1" w:name="_Toc302374696"/>
      <w:r w:rsidR="00C4640B" w:rsidRPr="002F5130">
        <w:rPr>
          <w:kern w:val="0"/>
          <w:lang w:val="en-US"/>
        </w:rPr>
        <w:t xml:space="preserve">Unit </w:t>
      </w:r>
      <w:r w:rsidR="0038650F" w:rsidRPr="002F5130">
        <w:rPr>
          <w:kern w:val="0"/>
          <w:lang w:val="en-US"/>
        </w:rPr>
        <w:t>12</w:t>
      </w:r>
      <w:bookmarkEnd w:id="0"/>
    </w:p>
    <w:p w14:paraId="532AA75A" w14:textId="4CE99B3E" w:rsidR="000C5704" w:rsidRPr="0000151C" w:rsidRDefault="00F10EF1" w:rsidP="004936EF">
      <w:pPr>
        <w:pStyle w:val="UPlan"/>
      </w:pPr>
      <w:bookmarkStart w:id="2" w:name="_Toc241644738"/>
      <w:r>
        <w:t xml:space="preserve">International Cooperation </w:t>
      </w:r>
      <w:r>
        <w:br/>
        <w:t>and Assistance</w:t>
      </w:r>
    </w:p>
    <w:p w14:paraId="2AF3B01A" w14:textId="28167367" w:rsidR="000C5704" w:rsidRDefault="00F10EF1" w:rsidP="004936EF">
      <w:pPr>
        <w:pStyle w:val="Titcoul"/>
        <w:rPr>
          <w:szCs w:val="70"/>
          <w:lang w:val="en-US"/>
        </w:rPr>
      </w:pPr>
      <w:r>
        <w:rPr>
          <w:kern w:val="0"/>
          <w:szCs w:val="70"/>
          <w:lang w:val="en-US"/>
        </w:rPr>
        <w:t>Lesson Plan</w:t>
      </w:r>
      <w:bookmarkEnd w:id="1"/>
    </w:p>
    <w:bookmarkEnd w:id="2"/>
    <w:p w14:paraId="6612E867" w14:textId="147C51FC" w:rsidR="00896772" w:rsidRPr="003E1187" w:rsidRDefault="00896772" w:rsidP="000C5704">
      <w:pPr>
        <w:pStyle w:val="UTit4"/>
        <w:rPr>
          <w:lang w:val="en-US"/>
        </w:rPr>
      </w:pPr>
      <w:r w:rsidRPr="00141792">
        <w:t xml:space="preserve">Duration: </w:t>
      </w:r>
    </w:p>
    <w:p w14:paraId="7E6AB4FF" w14:textId="7437EEB5" w:rsidR="00896772" w:rsidRPr="003E1187" w:rsidRDefault="005E1C9C" w:rsidP="007735A8">
      <w:pPr>
        <w:pStyle w:val="UTxt"/>
        <w:rPr>
          <w:i w:val="0"/>
          <w:lang w:val="en-US" w:eastAsia="en-US"/>
        </w:rPr>
      </w:pPr>
      <w:r>
        <w:rPr>
          <w:i w:val="0"/>
          <w:lang w:val="en-US" w:eastAsia="en-US"/>
        </w:rPr>
        <w:t>1 hour</w:t>
      </w:r>
      <w:r w:rsidR="00896772" w:rsidRPr="003E1187">
        <w:rPr>
          <w:i w:val="0"/>
          <w:lang w:val="en-US" w:eastAsia="en-US"/>
        </w:rPr>
        <w:t xml:space="preserve"> 30 mins</w:t>
      </w:r>
    </w:p>
    <w:p w14:paraId="5EAE9BF6" w14:textId="3224E52C" w:rsidR="00896772" w:rsidRPr="007735A8" w:rsidRDefault="003332B0" w:rsidP="004936EF">
      <w:pPr>
        <w:pStyle w:val="UTit4"/>
        <w:rPr>
          <w:szCs w:val="70"/>
          <w:lang w:val="en-US"/>
        </w:rPr>
      </w:pPr>
      <w:r>
        <w:rPr>
          <w:rFonts w:cs="Arial"/>
          <w:szCs w:val="70"/>
          <w:lang w:val="en-US"/>
        </w:rPr>
        <w:t>Objective(s):</w:t>
      </w:r>
    </w:p>
    <w:p w14:paraId="6BA219FC" w14:textId="2CA3E31B" w:rsidR="00896772" w:rsidRPr="003E1187" w:rsidRDefault="00896772" w:rsidP="007735A8">
      <w:pPr>
        <w:pStyle w:val="UTxt"/>
        <w:rPr>
          <w:i w:val="0"/>
          <w:lang w:val="en-US" w:eastAsia="en-US"/>
        </w:rPr>
      </w:pPr>
      <w:r w:rsidRPr="003E1187">
        <w:rPr>
          <w:i w:val="0"/>
          <w:lang w:val="en-US" w:eastAsia="en-US"/>
        </w:rPr>
        <w:t xml:space="preserve">Discuss how international cooperation and assistance may contribute to the safeguarding of the </w:t>
      </w:r>
      <w:r w:rsidR="0097038A" w:rsidRPr="003E1187">
        <w:rPr>
          <w:i w:val="0"/>
          <w:lang w:val="en-US" w:eastAsia="en-US"/>
        </w:rPr>
        <w:t xml:space="preserve">intangible cultural heritage (ICH) </w:t>
      </w:r>
      <w:r w:rsidRPr="003E1187">
        <w:rPr>
          <w:i w:val="0"/>
          <w:lang w:val="en-US" w:eastAsia="en-US"/>
        </w:rPr>
        <w:t>present in the territory of States Parties to the Convention</w:t>
      </w:r>
      <w:r w:rsidR="00F848F4" w:rsidRPr="003E1187">
        <w:rPr>
          <w:i w:val="0"/>
          <w:lang w:val="en-US" w:eastAsia="en-US"/>
        </w:rPr>
        <w:t xml:space="preserve"> for the Safeguarding of the Intangible Cultural Heritage</w:t>
      </w:r>
      <w:r w:rsidR="00F308D2">
        <w:rPr>
          <w:i w:val="0"/>
          <w:lang w:val="en-US" w:eastAsia="en-US"/>
        </w:rPr>
        <w:t>.</w:t>
      </w:r>
      <w:r w:rsidR="00444FA2" w:rsidRPr="003E1187">
        <w:rPr>
          <w:rStyle w:val="FootnoteReference"/>
          <w:i w:val="0"/>
          <w:lang w:val="en-US" w:eastAsia="en-US"/>
        </w:rPr>
        <w:footnoteReference w:id="1"/>
      </w:r>
    </w:p>
    <w:p w14:paraId="44CBCEC9" w14:textId="477C1352" w:rsidR="00896772" w:rsidRPr="007735A8" w:rsidRDefault="00896772" w:rsidP="004936EF">
      <w:pPr>
        <w:pStyle w:val="UTit4"/>
        <w:rPr>
          <w:szCs w:val="70"/>
          <w:lang w:val="en-US"/>
        </w:rPr>
      </w:pPr>
      <w:r w:rsidRPr="007735A8">
        <w:rPr>
          <w:rFonts w:cs="Arial"/>
          <w:szCs w:val="70"/>
          <w:lang w:val="en-US"/>
        </w:rPr>
        <w:t>Descri</w:t>
      </w:r>
      <w:r w:rsidR="003332B0">
        <w:rPr>
          <w:rFonts w:cs="Arial"/>
          <w:szCs w:val="70"/>
          <w:lang w:val="en-US"/>
        </w:rPr>
        <w:t>ption:</w:t>
      </w:r>
    </w:p>
    <w:p w14:paraId="539197EC" w14:textId="72867D90" w:rsidR="002A41A8" w:rsidRPr="003E1187" w:rsidRDefault="002A41A8" w:rsidP="002A41A8">
      <w:pPr>
        <w:pStyle w:val="UTxt"/>
        <w:rPr>
          <w:i w:val="0"/>
          <w:lang w:val="en-US" w:eastAsia="en-US"/>
        </w:rPr>
      </w:pPr>
      <w:r w:rsidRPr="003E1187">
        <w:rPr>
          <w:i w:val="0"/>
          <w:lang w:val="en-US" w:eastAsia="en-US"/>
        </w:rPr>
        <w:t xml:space="preserve">This unit </w:t>
      </w:r>
      <w:r w:rsidR="00720F3F" w:rsidRPr="003E1187">
        <w:rPr>
          <w:i w:val="0"/>
          <w:lang w:val="en-US" w:eastAsia="en-US"/>
        </w:rPr>
        <w:t xml:space="preserve">provides an overview in </w:t>
      </w:r>
      <w:r w:rsidRPr="003E1187">
        <w:rPr>
          <w:i w:val="0"/>
          <w:lang w:val="en-US" w:eastAsia="en-US"/>
        </w:rPr>
        <w:t>two main areas: international cooperation between States Parties for the implementation of the Convention and international assistance to States Parties that can be provided from the Fund</w:t>
      </w:r>
      <w:r w:rsidR="00720F3F" w:rsidRPr="003E1187">
        <w:rPr>
          <w:i w:val="0"/>
          <w:lang w:val="en-US" w:eastAsia="en-US"/>
        </w:rPr>
        <w:t xml:space="preserve"> for the Safeguarding of the Intangible Cultural Heritage</w:t>
      </w:r>
      <w:r w:rsidRPr="003E1187">
        <w:rPr>
          <w:i w:val="0"/>
          <w:lang w:val="en-US" w:eastAsia="en-US"/>
        </w:rPr>
        <w:t>. Topics covered in the unit include: international cooperation, shared heritage, multi-national nominations, the Fund</w:t>
      </w:r>
      <w:r w:rsidR="00720F3F" w:rsidRPr="003E1187">
        <w:rPr>
          <w:i w:val="0"/>
          <w:lang w:val="en-US" w:eastAsia="en-US"/>
        </w:rPr>
        <w:t xml:space="preserve"> for the Safeguarding of the Intangible Cultural Heritage</w:t>
      </w:r>
      <w:r w:rsidRPr="003E1187">
        <w:rPr>
          <w:i w:val="0"/>
          <w:lang w:val="en-US" w:eastAsia="en-US"/>
        </w:rPr>
        <w:t>, international assistance and procedures, timetables and criteria for making and evaluating international assistance requests.</w:t>
      </w:r>
    </w:p>
    <w:p w14:paraId="59C8C0C5" w14:textId="0FAC582C" w:rsidR="00896772" w:rsidRPr="00141792" w:rsidRDefault="002A41A8" w:rsidP="007735A8">
      <w:pPr>
        <w:pStyle w:val="UTxt"/>
        <w:rPr>
          <w:lang w:eastAsia="en-US"/>
        </w:rPr>
      </w:pPr>
      <w:proofErr w:type="spellStart"/>
      <w:r>
        <w:rPr>
          <w:lang w:eastAsia="en-US"/>
        </w:rPr>
        <w:t>Proposed</w:t>
      </w:r>
      <w:proofErr w:type="spellEnd"/>
      <w:r>
        <w:rPr>
          <w:lang w:eastAsia="en-US"/>
        </w:rPr>
        <w:t xml:space="preserve"> </w:t>
      </w:r>
      <w:proofErr w:type="spellStart"/>
      <w:r>
        <w:rPr>
          <w:lang w:eastAsia="en-US"/>
        </w:rPr>
        <w:t>sequence</w:t>
      </w:r>
      <w:proofErr w:type="spellEnd"/>
      <w:r>
        <w:rPr>
          <w:lang w:eastAsia="en-US"/>
        </w:rPr>
        <w:t>:</w:t>
      </w:r>
    </w:p>
    <w:p w14:paraId="059837E9" w14:textId="77777777" w:rsidR="00896772" w:rsidRPr="003E1187" w:rsidRDefault="00896772" w:rsidP="004936EF">
      <w:pPr>
        <w:pStyle w:val="Upuce"/>
        <w:rPr>
          <w:lang w:bidi="en-US"/>
        </w:rPr>
      </w:pPr>
      <w:r w:rsidRPr="003E1187">
        <w:rPr>
          <w:lang w:bidi="en-US"/>
        </w:rPr>
        <w:t xml:space="preserve">International </w:t>
      </w:r>
      <w:proofErr w:type="spellStart"/>
      <w:r w:rsidRPr="003E1187">
        <w:rPr>
          <w:lang w:bidi="en-US"/>
        </w:rPr>
        <w:t>cooperation</w:t>
      </w:r>
      <w:proofErr w:type="spellEnd"/>
      <w:r w:rsidRPr="003E1187">
        <w:rPr>
          <w:lang w:bidi="en-US"/>
        </w:rPr>
        <w:t xml:space="preserve"> </w:t>
      </w:r>
    </w:p>
    <w:p w14:paraId="3BA5A02A" w14:textId="77777777" w:rsidR="00896772" w:rsidRPr="003E1187" w:rsidRDefault="00896772" w:rsidP="004936EF">
      <w:pPr>
        <w:pStyle w:val="Upuce"/>
        <w:rPr>
          <w:lang w:bidi="en-US"/>
        </w:rPr>
      </w:pPr>
      <w:proofErr w:type="spellStart"/>
      <w:r w:rsidRPr="003E1187">
        <w:rPr>
          <w:lang w:bidi="en-US"/>
        </w:rPr>
        <w:t>Shared</w:t>
      </w:r>
      <w:proofErr w:type="spellEnd"/>
      <w:r w:rsidRPr="003E1187">
        <w:rPr>
          <w:lang w:bidi="en-US"/>
        </w:rPr>
        <w:t xml:space="preserve"> </w:t>
      </w:r>
      <w:proofErr w:type="spellStart"/>
      <w:r w:rsidRPr="003E1187">
        <w:rPr>
          <w:lang w:bidi="en-US"/>
        </w:rPr>
        <w:t>heritage</w:t>
      </w:r>
      <w:proofErr w:type="spellEnd"/>
    </w:p>
    <w:p w14:paraId="5BFE3FC7" w14:textId="77777777" w:rsidR="00896772" w:rsidRPr="003E1187" w:rsidRDefault="00896772" w:rsidP="004936EF">
      <w:pPr>
        <w:pStyle w:val="Upuce"/>
        <w:rPr>
          <w:lang w:bidi="en-US"/>
        </w:rPr>
      </w:pPr>
      <w:r w:rsidRPr="003E1187">
        <w:rPr>
          <w:lang w:bidi="en-US"/>
        </w:rPr>
        <w:t>International assistance</w:t>
      </w:r>
    </w:p>
    <w:p w14:paraId="43E18AF0" w14:textId="77777777" w:rsidR="00896772" w:rsidRPr="003E1187" w:rsidRDefault="00896772" w:rsidP="004936EF">
      <w:pPr>
        <w:pStyle w:val="Upuce"/>
        <w:rPr>
          <w:lang w:bidi="en-US"/>
        </w:rPr>
      </w:pPr>
      <w:r w:rsidRPr="003E1187">
        <w:rPr>
          <w:lang w:bidi="en-US"/>
        </w:rPr>
        <w:t xml:space="preserve">ICH </w:t>
      </w:r>
      <w:proofErr w:type="spellStart"/>
      <w:r w:rsidRPr="003E1187">
        <w:rPr>
          <w:lang w:bidi="en-US"/>
        </w:rPr>
        <w:t>Fund</w:t>
      </w:r>
      <w:proofErr w:type="spellEnd"/>
    </w:p>
    <w:p w14:paraId="3E9BE444" w14:textId="77777777" w:rsidR="00896772" w:rsidRPr="003E1187" w:rsidRDefault="00896772" w:rsidP="004936EF">
      <w:pPr>
        <w:pStyle w:val="Upuce"/>
        <w:rPr>
          <w:lang w:bidi="en-US"/>
        </w:rPr>
      </w:pPr>
      <w:proofErr w:type="spellStart"/>
      <w:r w:rsidRPr="003E1187">
        <w:rPr>
          <w:lang w:bidi="en-US"/>
        </w:rPr>
        <w:t>Requests</w:t>
      </w:r>
      <w:proofErr w:type="spellEnd"/>
      <w:r w:rsidRPr="003E1187">
        <w:rPr>
          <w:lang w:bidi="en-US"/>
        </w:rPr>
        <w:t xml:space="preserve"> </w:t>
      </w:r>
      <w:proofErr w:type="spellStart"/>
      <w:r w:rsidRPr="003E1187">
        <w:rPr>
          <w:lang w:bidi="en-US"/>
        </w:rPr>
        <w:t>approved</w:t>
      </w:r>
      <w:proofErr w:type="spellEnd"/>
      <w:r w:rsidRPr="003E1187">
        <w:rPr>
          <w:lang w:bidi="en-US"/>
        </w:rPr>
        <w:t xml:space="preserve"> by the </w:t>
      </w:r>
      <w:proofErr w:type="spellStart"/>
      <w:r w:rsidRPr="003E1187">
        <w:rPr>
          <w:lang w:bidi="en-US"/>
        </w:rPr>
        <w:t>Committee</w:t>
      </w:r>
      <w:proofErr w:type="spellEnd"/>
    </w:p>
    <w:p w14:paraId="7D90DEB0" w14:textId="77777777" w:rsidR="00896772" w:rsidRPr="003E1187" w:rsidRDefault="00896772" w:rsidP="004936EF">
      <w:pPr>
        <w:pStyle w:val="Upuce"/>
        <w:rPr>
          <w:lang w:bidi="en-US"/>
        </w:rPr>
      </w:pPr>
      <w:proofErr w:type="spellStart"/>
      <w:r w:rsidRPr="003E1187">
        <w:rPr>
          <w:lang w:bidi="en-US"/>
        </w:rPr>
        <w:t>Timetable</w:t>
      </w:r>
      <w:proofErr w:type="spellEnd"/>
      <w:r w:rsidRPr="003E1187">
        <w:rPr>
          <w:lang w:bidi="en-US"/>
        </w:rPr>
        <w:t xml:space="preserve"> for assistance </w:t>
      </w:r>
      <w:proofErr w:type="spellStart"/>
      <w:r w:rsidRPr="003E1187">
        <w:rPr>
          <w:lang w:bidi="en-US"/>
        </w:rPr>
        <w:t>requests</w:t>
      </w:r>
      <w:proofErr w:type="spellEnd"/>
    </w:p>
    <w:p w14:paraId="39BC0BE9" w14:textId="77777777" w:rsidR="00896772" w:rsidRPr="003E1187" w:rsidRDefault="00896772" w:rsidP="004936EF">
      <w:pPr>
        <w:pStyle w:val="Upuce"/>
        <w:rPr>
          <w:lang w:bidi="en-US"/>
        </w:rPr>
      </w:pPr>
      <w:proofErr w:type="spellStart"/>
      <w:r w:rsidRPr="003E1187">
        <w:rPr>
          <w:lang w:bidi="en-US"/>
        </w:rPr>
        <w:t>Evaluation</w:t>
      </w:r>
      <w:proofErr w:type="spellEnd"/>
      <w:r w:rsidRPr="003E1187">
        <w:rPr>
          <w:lang w:bidi="en-US"/>
        </w:rPr>
        <w:t xml:space="preserve"> </w:t>
      </w:r>
      <w:proofErr w:type="spellStart"/>
      <w:r w:rsidRPr="003E1187">
        <w:rPr>
          <w:lang w:bidi="en-US"/>
        </w:rPr>
        <w:t>criteria</w:t>
      </w:r>
      <w:proofErr w:type="spellEnd"/>
      <w:r w:rsidRPr="003E1187">
        <w:rPr>
          <w:lang w:bidi="en-US"/>
        </w:rPr>
        <w:t xml:space="preserve"> for assistance </w:t>
      </w:r>
      <w:proofErr w:type="spellStart"/>
      <w:r w:rsidRPr="003E1187">
        <w:rPr>
          <w:lang w:bidi="en-US"/>
        </w:rPr>
        <w:t>requests</w:t>
      </w:r>
      <w:proofErr w:type="spellEnd"/>
    </w:p>
    <w:p w14:paraId="0487179B" w14:textId="77777777" w:rsidR="005C4655" w:rsidRDefault="005C4655">
      <w:pPr>
        <w:tabs>
          <w:tab w:val="clear" w:pos="567"/>
        </w:tabs>
        <w:snapToGrid/>
        <w:spacing w:before="0" w:after="0"/>
        <w:jc w:val="left"/>
        <w:rPr>
          <w:b/>
          <w:bCs/>
          <w:caps/>
          <w:snapToGrid/>
          <w:sz w:val="20"/>
          <w:szCs w:val="70"/>
          <w:lang w:eastAsia="en-US"/>
        </w:rPr>
      </w:pPr>
      <w:r>
        <w:rPr>
          <w:szCs w:val="70"/>
        </w:rPr>
        <w:br w:type="page"/>
      </w:r>
    </w:p>
    <w:p w14:paraId="7E21BACA" w14:textId="2BAF70CC" w:rsidR="00896772" w:rsidRPr="007735A8" w:rsidRDefault="00896772" w:rsidP="004936EF">
      <w:pPr>
        <w:pStyle w:val="UTit4"/>
        <w:rPr>
          <w:szCs w:val="70"/>
          <w:lang w:val="en-US"/>
        </w:rPr>
      </w:pPr>
      <w:r w:rsidRPr="007735A8">
        <w:rPr>
          <w:rFonts w:cs="Arial"/>
          <w:szCs w:val="70"/>
          <w:lang w:val="en-US"/>
        </w:rPr>
        <w:lastRenderedPageBreak/>
        <w:t xml:space="preserve">Supporting documents: </w:t>
      </w:r>
    </w:p>
    <w:p w14:paraId="6F07CCB8" w14:textId="016F92CC" w:rsidR="00896772" w:rsidRDefault="007779E8" w:rsidP="004936EF">
      <w:pPr>
        <w:pStyle w:val="Upuce"/>
        <w:rPr>
          <w:lang w:bidi="en-US"/>
        </w:rPr>
      </w:pPr>
      <w:proofErr w:type="spellStart"/>
      <w:r>
        <w:rPr>
          <w:lang w:bidi="en-US"/>
        </w:rPr>
        <w:t>F</w:t>
      </w:r>
      <w:r w:rsidR="00C8068F">
        <w:rPr>
          <w:lang w:bidi="en-US"/>
        </w:rPr>
        <w:t>acilitator’s</w:t>
      </w:r>
      <w:proofErr w:type="spellEnd"/>
      <w:r w:rsidR="00C8068F">
        <w:rPr>
          <w:lang w:bidi="en-US"/>
        </w:rPr>
        <w:t> </w:t>
      </w:r>
      <w:r w:rsidR="00896772" w:rsidRPr="00B048E4">
        <w:rPr>
          <w:lang w:bidi="en-US"/>
        </w:rPr>
        <w:t>notes</w:t>
      </w:r>
      <w:r w:rsidR="002D7FDE">
        <w:rPr>
          <w:lang w:bidi="en-US"/>
        </w:rPr>
        <w:t xml:space="preserve"> Unit </w:t>
      </w:r>
      <w:r>
        <w:rPr>
          <w:lang w:bidi="en-US"/>
        </w:rPr>
        <w:t>12</w:t>
      </w:r>
    </w:p>
    <w:p w14:paraId="5336ECAD" w14:textId="5C9E0D2B" w:rsidR="007779E8" w:rsidRPr="004936EF" w:rsidRDefault="002D7FDE" w:rsidP="004936EF">
      <w:pPr>
        <w:pStyle w:val="Upuce"/>
        <w:rPr>
          <w:lang w:bidi="en-US"/>
        </w:rPr>
      </w:pPr>
      <w:r>
        <w:rPr>
          <w:lang w:bidi="en-US"/>
        </w:rPr>
        <w:t xml:space="preserve">PowerPoint </w:t>
      </w:r>
      <w:proofErr w:type="spellStart"/>
      <w:r>
        <w:rPr>
          <w:lang w:bidi="en-US"/>
        </w:rPr>
        <w:t>presentation</w:t>
      </w:r>
      <w:proofErr w:type="spellEnd"/>
      <w:r>
        <w:rPr>
          <w:lang w:bidi="en-US"/>
        </w:rPr>
        <w:t xml:space="preserve"> Unit </w:t>
      </w:r>
      <w:r w:rsidR="007779E8">
        <w:rPr>
          <w:lang w:bidi="en-US"/>
        </w:rPr>
        <w:t>12</w:t>
      </w:r>
    </w:p>
    <w:p w14:paraId="19459A12" w14:textId="3A0BB962" w:rsidR="00896772" w:rsidRPr="004936EF" w:rsidRDefault="00F02D08" w:rsidP="004936EF">
      <w:pPr>
        <w:pStyle w:val="Upuce"/>
        <w:rPr>
          <w:lang w:bidi="en-US"/>
        </w:rPr>
      </w:pPr>
      <w:proofErr w:type="spellStart"/>
      <w:r>
        <w:rPr>
          <w:lang w:bidi="en-US"/>
        </w:rPr>
        <w:t>Participant’s</w:t>
      </w:r>
      <w:proofErr w:type="spellEnd"/>
      <w:r w:rsidR="002A3923">
        <w:rPr>
          <w:lang w:bidi="en-US"/>
        </w:rPr>
        <w:t> </w:t>
      </w:r>
      <w:proofErr w:type="spellStart"/>
      <w:r w:rsidR="002A3923">
        <w:rPr>
          <w:lang w:bidi="en-US"/>
        </w:rPr>
        <w:t>text</w:t>
      </w:r>
      <w:proofErr w:type="spellEnd"/>
      <w:r w:rsidR="002A3923">
        <w:rPr>
          <w:lang w:bidi="en-US"/>
        </w:rPr>
        <w:t xml:space="preserve"> </w:t>
      </w:r>
      <w:r w:rsidR="002D7FDE">
        <w:rPr>
          <w:lang w:bidi="en-US"/>
        </w:rPr>
        <w:t>Unit </w:t>
      </w:r>
      <w:r w:rsidR="00447773">
        <w:rPr>
          <w:lang w:bidi="en-US"/>
        </w:rPr>
        <w:t>12</w:t>
      </w:r>
    </w:p>
    <w:p w14:paraId="1E345552" w14:textId="6631ADC9" w:rsidR="00896772" w:rsidRDefault="00F02D08" w:rsidP="004936EF">
      <w:pPr>
        <w:pStyle w:val="Upuce"/>
        <w:rPr>
          <w:lang w:val="en-US" w:bidi="en-US"/>
        </w:rPr>
      </w:pPr>
      <w:r>
        <w:rPr>
          <w:lang w:val="en-US" w:bidi="en-US"/>
        </w:rPr>
        <w:t>Participant’s</w:t>
      </w:r>
      <w:r w:rsidR="002A3923" w:rsidRPr="00AB0A71">
        <w:rPr>
          <w:lang w:val="en-US" w:bidi="en-US"/>
        </w:rPr>
        <w:t xml:space="preserve"> text </w:t>
      </w:r>
      <w:r w:rsidR="002D7FDE">
        <w:rPr>
          <w:lang w:val="en-US" w:bidi="en-US"/>
        </w:rPr>
        <w:t>Unit </w:t>
      </w:r>
      <w:r w:rsidR="00447773" w:rsidRPr="00AB0A71">
        <w:rPr>
          <w:lang w:val="en-US" w:bidi="en-US"/>
        </w:rPr>
        <w:t>3</w:t>
      </w:r>
      <w:r w:rsidR="00896772" w:rsidRPr="00AB0A71">
        <w:rPr>
          <w:lang w:val="en-US" w:bidi="en-US"/>
        </w:rPr>
        <w:t xml:space="preserve">: ‘Consultative Body’, ‘International, regional, </w:t>
      </w:r>
      <w:proofErr w:type="spellStart"/>
      <w:r w:rsidR="00896772" w:rsidRPr="00AB0A71">
        <w:rPr>
          <w:lang w:val="en-US" w:bidi="en-US"/>
        </w:rPr>
        <w:t>subregional</w:t>
      </w:r>
      <w:proofErr w:type="spellEnd"/>
      <w:r w:rsidR="00896772" w:rsidRPr="00AB0A71">
        <w:rPr>
          <w:lang w:val="en-US" w:bidi="en-US"/>
        </w:rPr>
        <w:t>, local’, ‘International assistance’, ‘International cooperation’, ‘Shared or cross-border heritage’ and ‘Subsidiary Body’</w:t>
      </w:r>
    </w:p>
    <w:p w14:paraId="00AF4226" w14:textId="74A5DCB0" w:rsidR="00D87563" w:rsidRPr="00D87563" w:rsidRDefault="00D87563" w:rsidP="004936EF">
      <w:pPr>
        <w:pStyle w:val="Upuce"/>
        <w:rPr>
          <w:i/>
          <w:lang w:val="en-US" w:bidi="en-US"/>
        </w:rPr>
      </w:pPr>
      <w:r w:rsidRPr="005861E8">
        <w:rPr>
          <w:lang w:val="en-US" w:bidi="en-US"/>
        </w:rPr>
        <w:t>Basic Texts</w:t>
      </w:r>
      <w:r w:rsidR="005E1C9C" w:rsidRPr="005861E8">
        <w:rPr>
          <w:lang w:val="en-US" w:bidi="en-US"/>
        </w:rPr>
        <w:t xml:space="preserve"> of the 2003 Convention for </w:t>
      </w:r>
      <w:r w:rsidR="00081E9D" w:rsidRPr="005861E8">
        <w:rPr>
          <w:lang w:val="en-US" w:bidi="en-US"/>
        </w:rPr>
        <w:t>the Safeguarding of the Intangible Cultural Heritage</w:t>
      </w:r>
      <w:r w:rsidR="00081E9D">
        <w:rPr>
          <w:rStyle w:val="FootnoteReference"/>
          <w:i/>
          <w:lang w:val="en-US" w:bidi="en-US"/>
        </w:rPr>
        <w:footnoteReference w:id="2"/>
      </w:r>
    </w:p>
    <w:p w14:paraId="252ED992" w14:textId="77777777" w:rsidR="0038650F" w:rsidRPr="004936EF" w:rsidRDefault="0038650F" w:rsidP="004936EF">
      <w:pPr>
        <w:pStyle w:val="Soustitre"/>
        <w:rPr>
          <w:caps/>
          <w:lang w:val="en-GB"/>
        </w:rPr>
      </w:pPr>
      <w:bookmarkStart w:id="3" w:name="_Toc238982271"/>
      <w:r w:rsidRPr="004936EF">
        <w:rPr>
          <w:lang w:val="en-US"/>
        </w:rPr>
        <w:t>Notes and suggestions</w:t>
      </w:r>
      <w:bookmarkEnd w:id="3"/>
    </w:p>
    <w:p w14:paraId="115D7788" w14:textId="512C0D1C" w:rsidR="003D63B4" w:rsidRPr="004936EF" w:rsidRDefault="00EE1AE8" w:rsidP="009909DD">
      <w:pPr>
        <w:pStyle w:val="Texte1"/>
        <w:rPr>
          <w:lang w:val="en-US"/>
        </w:rPr>
      </w:pPr>
      <w:r w:rsidRPr="00141792">
        <w:rPr>
          <w:lang w:val="en-GB"/>
        </w:rPr>
        <w:t>The exercise</w:t>
      </w:r>
      <w:r w:rsidR="003D63B4" w:rsidRPr="00141792">
        <w:rPr>
          <w:lang w:val="en-GB"/>
        </w:rPr>
        <w:t>s</w:t>
      </w:r>
      <w:r w:rsidR="0038650F" w:rsidRPr="00141792">
        <w:rPr>
          <w:lang w:val="en-GB"/>
        </w:rPr>
        <w:t xml:space="preserve"> in this </w:t>
      </w:r>
      <w:r w:rsidR="002F5130">
        <w:rPr>
          <w:lang w:val="en-GB"/>
        </w:rPr>
        <w:t>unit</w:t>
      </w:r>
      <w:r w:rsidR="002F5130" w:rsidRPr="00141792">
        <w:rPr>
          <w:lang w:val="en-GB"/>
        </w:rPr>
        <w:t xml:space="preserve"> </w:t>
      </w:r>
      <w:r w:rsidR="0038650F" w:rsidRPr="00141792">
        <w:rPr>
          <w:lang w:val="en-GB"/>
        </w:rPr>
        <w:t xml:space="preserve">can be tailored to the needs of participants </w:t>
      </w:r>
      <w:r w:rsidR="00BB0DC7" w:rsidRPr="00141792">
        <w:rPr>
          <w:lang w:val="en-GB"/>
        </w:rPr>
        <w:t xml:space="preserve">(or </w:t>
      </w:r>
      <w:r w:rsidR="0038650F" w:rsidRPr="00141792">
        <w:rPr>
          <w:lang w:val="en-GB"/>
        </w:rPr>
        <w:t>omitted if necessary</w:t>
      </w:r>
      <w:r w:rsidR="00BB0DC7" w:rsidRPr="00141792">
        <w:rPr>
          <w:lang w:val="en-GB"/>
        </w:rPr>
        <w:t>)</w:t>
      </w:r>
      <w:r w:rsidR="0038650F" w:rsidRPr="00141792">
        <w:rPr>
          <w:lang w:val="en-GB"/>
        </w:rPr>
        <w:t xml:space="preserve">. </w:t>
      </w:r>
    </w:p>
    <w:p w14:paraId="49BF4671" w14:textId="7C107B74" w:rsidR="003D63B4" w:rsidRPr="004936EF" w:rsidRDefault="00C8068F" w:rsidP="009909DD">
      <w:pPr>
        <w:pStyle w:val="Texte1"/>
        <w:rPr>
          <w:lang w:val="en-US"/>
        </w:rPr>
      </w:pPr>
      <w:r>
        <w:rPr>
          <w:lang w:val="en-US"/>
        </w:rPr>
        <w:t>The exercise at slide </w:t>
      </w:r>
      <w:r w:rsidR="00BB45B7" w:rsidRPr="004936EF">
        <w:rPr>
          <w:lang w:val="en-US"/>
        </w:rPr>
        <w:t>4</w:t>
      </w:r>
      <w:r w:rsidR="0046330C" w:rsidRPr="004936EF">
        <w:rPr>
          <w:lang w:val="en-US"/>
        </w:rPr>
        <w:t xml:space="preserve"> (about 30 mins)</w:t>
      </w:r>
      <w:r w:rsidR="003D63B4" w:rsidRPr="004936EF">
        <w:rPr>
          <w:lang w:val="en-US"/>
        </w:rPr>
        <w:t xml:space="preserve">, </w:t>
      </w:r>
      <w:r w:rsidR="0046330C" w:rsidRPr="004936EF">
        <w:rPr>
          <w:lang w:val="en-US"/>
        </w:rPr>
        <w:t xml:space="preserve">on </w:t>
      </w:r>
      <w:r w:rsidR="003D63B4" w:rsidRPr="004936EF">
        <w:rPr>
          <w:lang w:val="en-US"/>
        </w:rPr>
        <w:t>a sample shared heritage element</w:t>
      </w:r>
      <w:r w:rsidR="0046330C" w:rsidRPr="004936EF">
        <w:rPr>
          <w:lang w:val="en-US"/>
        </w:rPr>
        <w:t>,</w:t>
      </w:r>
      <w:r w:rsidR="003D63B4" w:rsidRPr="004936EF">
        <w:rPr>
          <w:lang w:val="en-US"/>
        </w:rPr>
        <w:t xml:space="preserve"> focuses on the question of </w:t>
      </w:r>
      <w:r w:rsidR="00A60F2E" w:rsidRPr="004936EF">
        <w:rPr>
          <w:lang w:val="en-US"/>
        </w:rPr>
        <w:t>multi-national</w:t>
      </w:r>
      <w:r w:rsidR="003D63B4" w:rsidRPr="004936EF">
        <w:rPr>
          <w:lang w:val="en-US"/>
        </w:rPr>
        <w:t xml:space="preserve"> nominations. To conduct the exercise on shared heritage, participants could be divided into small groups and given a few of the questions to discuss.</w:t>
      </w:r>
    </w:p>
    <w:p w14:paraId="37191253" w14:textId="1B3AC198" w:rsidR="004A3D0A" w:rsidRDefault="00C903F5" w:rsidP="009909DD">
      <w:pPr>
        <w:pStyle w:val="Texte1"/>
        <w:rPr>
          <w:lang w:val="en-US"/>
        </w:rPr>
      </w:pPr>
      <w:proofErr w:type="gramStart"/>
      <w:r w:rsidRPr="004936EF">
        <w:rPr>
          <w:lang w:val="en-US"/>
        </w:rPr>
        <w:t xml:space="preserve">The exercise at </w:t>
      </w:r>
      <w:r w:rsidR="00C8068F">
        <w:rPr>
          <w:lang w:val="en-US"/>
        </w:rPr>
        <w:t>slide </w:t>
      </w:r>
      <w:r w:rsidR="00E8493A" w:rsidRPr="004936EF">
        <w:rPr>
          <w:lang w:val="en-US"/>
        </w:rPr>
        <w:t>13</w:t>
      </w:r>
      <w:r w:rsidRPr="004936EF">
        <w:rPr>
          <w:lang w:val="en-US"/>
        </w:rPr>
        <w:t xml:space="preserve"> (</w:t>
      </w:r>
      <w:r w:rsidR="0038650F" w:rsidRPr="004936EF">
        <w:rPr>
          <w:lang w:val="en-US"/>
        </w:rPr>
        <w:t>about 30 mins)</w:t>
      </w:r>
      <w:r w:rsidRPr="004936EF">
        <w:rPr>
          <w:lang w:val="en-US"/>
        </w:rPr>
        <w:t>, on applying for funding</w:t>
      </w:r>
      <w:r w:rsidR="00BB0DC7" w:rsidRPr="004936EF">
        <w:rPr>
          <w:lang w:val="en-US"/>
        </w:rPr>
        <w:t>,</w:t>
      </w:r>
      <w:r w:rsidR="0038650F" w:rsidRPr="004936EF">
        <w:rPr>
          <w:lang w:val="en-US"/>
        </w:rPr>
        <w:t xml:space="preserve"> focuses on the form for international assistance requests.</w:t>
      </w:r>
      <w:proofErr w:type="gramEnd"/>
      <w:r w:rsidR="0038650F" w:rsidRPr="004936EF">
        <w:rPr>
          <w:lang w:val="en-US"/>
        </w:rPr>
        <w:t xml:space="preserve"> </w:t>
      </w:r>
      <w:r w:rsidR="00BB0DC7" w:rsidRPr="004936EF">
        <w:rPr>
          <w:lang w:val="en-US"/>
        </w:rPr>
        <w:t xml:space="preserve">This </w:t>
      </w:r>
      <w:r w:rsidR="0038650F" w:rsidRPr="004936EF">
        <w:rPr>
          <w:lang w:val="en-US"/>
        </w:rPr>
        <w:t xml:space="preserve">is </w:t>
      </w:r>
      <w:r w:rsidR="00BB0DC7" w:rsidRPr="004936EF">
        <w:rPr>
          <w:lang w:val="en-US"/>
        </w:rPr>
        <w:t xml:space="preserve">an </w:t>
      </w:r>
      <w:r w:rsidR="0038650F" w:rsidRPr="004936EF">
        <w:rPr>
          <w:lang w:val="en-US"/>
        </w:rPr>
        <w:t xml:space="preserve">appropriate </w:t>
      </w:r>
      <w:r w:rsidR="00BB0DC7" w:rsidRPr="004936EF">
        <w:rPr>
          <w:lang w:val="en-US"/>
        </w:rPr>
        <w:t xml:space="preserve">exercise </w:t>
      </w:r>
      <w:r w:rsidR="0038650F" w:rsidRPr="004936EF">
        <w:rPr>
          <w:lang w:val="en-US"/>
        </w:rPr>
        <w:t xml:space="preserve">in cases where </w:t>
      </w:r>
      <w:r w:rsidR="00447773" w:rsidRPr="00515922">
        <w:rPr>
          <w:noProof/>
          <w:lang w:val="es-ES_tradnl" w:eastAsia="es-ES_tradnl"/>
        </w:rPr>
        <w:drawing>
          <wp:anchor distT="0" distB="0" distL="114300" distR="114300" simplePos="0" relativeHeight="251662336" behindDoc="0" locked="1" layoutInCell="1" allowOverlap="0" wp14:anchorId="643FCFB5" wp14:editId="05ED4B74">
            <wp:simplePos x="0" y="0"/>
            <wp:positionH relativeFrom="column">
              <wp:posOffset>86360</wp:posOffset>
            </wp:positionH>
            <wp:positionV relativeFrom="paragraph">
              <wp:posOffset>611505</wp:posOffset>
            </wp:positionV>
            <wp:extent cx="283210" cy="358775"/>
            <wp:effectExtent l="0" t="0" r="2540" b="3175"/>
            <wp:wrapThrough wrapText="bothSides">
              <wp:wrapPolygon edited="0">
                <wp:start x="0" y="0"/>
                <wp:lineTo x="0" y="20644"/>
                <wp:lineTo x="20341" y="20644"/>
                <wp:lineTo x="20341"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38650F" w:rsidRPr="004936EF">
        <w:rPr>
          <w:lang w:val="en-US"/>
        </w:rPr>
        <w:t xml:space="preserve">participants have specific questions about submitting a </w:t>
      </w:r>
      <w:r w:rsidR="002F5130">
        <w:rPr>
          <w:lang w:val="en-US"/>
        </w:rPr>
        <w:t>request</w:t>
      </w:r>
      <w:r w:rsidR="0038650F" w:rsidRPr="004936EF">
        <w:rPr>
          <w:lang w:val="en-US"/>
        </w:rPr>
        <w:t>.</w:t>
      </w:r>
    </w:p>
    <w:p w14:paraId="6AB5A86B" w14:textId="57E0C0BC" w:rsidR="00444FA2" w:rsidRDefault="00C903F5" w:rsidP="009909DD">
      <w:pPr>
        <w:pStyle w:val="Texte1"/>
        <w:rPr>
          <w:i/>
          <w:lang w:val="en-US"/>
        </w:rPr>
      </w:pPr>
      <w:r w:rsidRPr="004A3D0A">
        <w:rPr>
          <w:lang w:val="en-US"/>
        </w:rPr>
        <w:t>Facilitators should note that they are under contract to UNESCO</w:t>
      </w:r>
      <w:r w:rsidR="0046330C" w:rsidRPr="004A3D0A">
        <w:rPr>
          <w:lang w:val="en-US"/>
        </w:rPr>
        <w:t>:</w:t>
      </w:r>
      <w:r w:rsidRPr="004A3D0A">
        <w:rPr>
          <w:lang w:val="en-US"/>
        </w:rPr>
        <w:t xml:space="preserve"> </w:t>
      </w:r>
      <w:r w:rsidR="0046330C" w:rsidRPr="004A3D0A">
        <w:rPr>
          <w:lang w:val="en-US"/>
        </w:rPr>
        <w:t xml:space="preserve">this means that they are not allowed to engage in </w:t>
      </w:r>
      <w:r w:rsidRPr="004A3D0A">
        <w:rPr>
          <w:lang w:val="en-US"/>
        </w:rPr>
        <w:t>any activity in which they assist States or their representatives, for example in completing nomination forms or requests for international assistance</w:t>
      </w:r>
      <w:r w:rsidRPr="004936EF">
        <w:rPr>
          <w:i/>
          <w:lang w:val="en-US"/>
        </w:rPr>
        <w:t>.</w:t>
      </w:r>
    </w:p>
    <w:p w14:paraId="3B075B12" w14:textId="77777777" w:rsidR="00444FA2" w:rsidRDefault="00444FA2">
      <w:pPr>
        <w:tabs>
          <w:tab w:val="clear" w:pos="567"/>
        </w:tabs>
        <w:snapToGrid/>
        <w:spacing w:before="0" w:after="0"/>
        <w:jc w:val="left"/>
        <w:rPr>
          <w:i/>
          <w:snapToGrid/>
          <w:sz w:val="20"/>
        </w:rPr>
      </w:pPr>
      <w:r>
        <w:rPr>
          <w:i/>
        </w:rPr>
        <w:br w:type="page"/>
      </w:r>
    </w:p>
    <w:p w14:paraId="0D08E178" w14:textId="46F40629" w:rsidR="00896772" w:rsidRPr="004936EF" w:rsidRDefault="00C4640B" w:rsidP="004936EF">
      <w:pPr>
        <w:pStyle w:val="Chapitre"/>
        <w:rPr>
          <w:kern w:val="0"/>
          <w:lang w:val="en-US"/>
        </w:rPr>
      </w:pPr>
      <w:bookmarkStart w:id="4" w:name="_Toc241644739"/>
      <w:bookmarkStart w:id="5" w:name="_Toc302374697"/>
      <w:r w:rsidRPr="009077CD">
        <w:rPr>
          <w:kern w:val="0"/>
          <w:lang w:val="en-US"/>
        </w:rPr>
        <w:t xml:space="preserve">Unit </w:t>
      </w:r>
      <w:r w:rsidR="0038650F" w:rsidRPr="004936EF">
        <w:rPr>
          <w:kern w:val="0"/>
          <w:lang w:val="en-US"/>
        </w:rPr>
        <w:t>12</w:t>
      </w:r>
      <w:bookmarkEnd w:id="4"/>
    </w:p>
    <w:p w14:paraId="0EC03D59" w14:textId="77777777" w:rsidR="00756A6A" w:rsidRPr="0000151C" w:rsidRDefault="00756A6A" w:rsidP="00756A6A">
      <w:pPr>
        <w:pStyle w:val="UPlan"/>
      </w:pPr>
      <w:bookmarkStart w:id="6" w:name="_Toc241644740"/>
      <w:r>
        <w:t xml:space="preserve">International Cooperation </w:t>
      </w:r>
      <w:r>
        <w:br/>
        <w:t>and Assistance</w:t>
      </w:r>
    </w:p>
    <w:p w14:paraId="7FFE2D42" w14:textId="3FE668D2" w:rsidR="00756A6A" w:rsidRDefault="00756A6A" w:rsidP="00756A6A">
      <w:pPr>
        <w:pStyle w:val="Titcoul"/>
        <w:rPr>
          <w:szCs w:val="70"/>
          <w:lang w:val="en-US"/>
        </w:rPr>
      </w:pPr>
      <w:r>
        <w:rPr>
          <w:kern w:val="0"/>
          <w:szCs w:val="70"/>
          <w:lang w:val="en-US"/>
        </w:rPr>
        <w:t>Facilitator’s narrative</w:t>
      </w:r>
      <w:r w:rsidRPr="004936EF">
        <w:rPr>
          <w:kern w:val="0"/>
          <w:szCs w:val="70"/>
          <w:lang w:val="en-US"/>
        </w:rPr>
        <w:t xml:space="preserve"> </w:t>
      </w:r>
    </w:p>
    <w:bookmarkEnd w:id="5"/>
    <w:bookmarkEnd w:id="6"/>
    <w:p w14:paraId="2D69F305" w14:textId="1C4B3707" w:rsidR="00896772" w:rsidRDefault="005369DB" w:rsidP="004936EF">
      <w:pPr>
        <w:pStyle w:val="Heading6"/>
        <w:rPr>
          <w:lang w:val="en-GB"/>
        </w:rPr>
      </w:pPr>
      <w:proofErr w:type="gramStart"/>
      <w:r w:rsidRPr="00141792">
        <w:rPr>
          <w:lang w:val="en-GB"/>
        </w:rPr>
        <w:t xml:space="preserve">Slide </w:t>
      </w:r>
      <w:r w:rsidR="00AF685C" w:rsidRPr="00141792">
        <w:rPr>
          <w:lang w:val="en-GB"/>
        </w:rPr>
        <w:t>1</w:t>
      </w:r>
      <w:r w:rsidR="00896772" w:rsidRPr="00141792">
        <w:rPr>
          <w:lang w:val="en-GB"/>
        </w:rPr>
        <w:t>.</w:t>
      </w:r>
      <w:proofErr w:type="gramEnd"/>
    </w:p>
    <w:p w14:paraId="549CE1DA" w14:textId="77777777" w:rsidR="002174AC" w:rsidRPr="00141792" w:rsidRDefault="004F1859" w:rsidP="004936EF">
      <w:pPr>
        <w:pStyle w:val="diapo2"/>
        <w:rPr>
          <w:lang w:val="en-GB"/>
        </w:rPr>
      </w:pPr>
      <w:r w:rsidRPr="00141792">
        <w:rPr>
          <w:lang w:val="en-GB" w:bidi="en-US"/>
        </w:rPr>
        <w:t>International cooperation and assistance</w:t>
      </w:r>
    </w:p>
    <w:p w14:paraId="21915CA3" w14:textId="62953325" w:rsidR="00674D1C" w:rsidRPr="004936EF" w:rsidRDefault="00F02D08" w:rsidP="009909DD">
      <w:pPr>
        <w:pStyle w:val="Texte1"/>
        <w:rPr>
          <w:lang w:val="en-US"/>
        </w:rPr>
      </w:pPr>
      <w:r>
        <w:rPr>
          <w:lang w:val="en-GB"/>
        </w:rPr>
        <w:t>Participant’s</w:t>
      </w:r>
      <w:r w:rsidR="002A3923">
        <w:rPr>
          <w:lang w:val="en-GB"/>
        </w:rPr>
        <w:t xml:space="preserve"> text </w:t>
      </w:r>
      <w:r w:rsidR="00CD3DF7">
        <w:rPr>
          <w:lang w:val="en-GB"/>
        </w:rPr>
        <w:t>Unit </w:t>
      </w:r>
      <w:r w:rsidR="00447773">
        <w:rPr>
          <w:lang w:val="en-GB"/>
        </w:rPr>
        <w:t>12</w:t>
      </w:r>
      <w:r w:rsidR="009E5D5D" w:rsidRPr="00141792">
        <w:rPr>
          <w:lang w:val="en-GB"/>
        </w:rPr>
        <w:t xml:space="preserve"> covers this topic.</w:t>
      </w:r>
    </w:p>
    <w:p w14:paraId="609B9707" w14:textId="40BFE957" w:rsidR="00896772" w:rsidRDefault="007871C3" w:rsidP="004936EF">
      <w:pPr>
        <w:pStyle w:val="Heading6"/>
        <w:rPr>
          <w:lang w:val="en-GB"/>
        </w:rPr>
      </w:pPr>
      <w:proofErr w:type="gramStart"/>
      <w:r w:rsidRPr="00141792">
        <w:rPr>
          <w:lang w:val="en-GB"/>
        </w:rPr>
        <w:t>Slide 2</w:t>
      </w:r>
      <w:r w:rsidR="00896772" w:rsidRPr="00141792">
        <w:rPr>
          <w:lang w:val="en-GB"/>
        </w:rPr>
        <w:t>.</w:t>
      </w:r>
      <w:proofErr w:type="gramEnd"/>
    </w:p>
    <w:p w14:paraId="4BFDE220" w14:textId="77777777" w:rsidR="007871C3" w:rsidRPr="00141792" w:rsidRDefault="007871C3" w:rsidP="004936EF">
      <w:pPr>
        <w:pStyle w:val="diapo2"/>
        <w:rPr>
          <w:lang w:val="en-GB"/>
        </w:rPr>
      </w:pPr>
      <w:r w:rsidRPr="00141792">
        <w:rPr>
          <w:lang w:val="en-GB"/>
        </w:rPr>
        <w:t xml:space="preserve">In this presentation </w:t>
      </w:r>
      <w:r w:rsidR="00586482" w:rsidRPr="00141792">
        <w:rPr>
          <w:lang w:val="en-GB"/>
        </w:rPr>
        <w:t>…</w:t>
      </w:r>
    </w:p>
    <w:p w14:paraId="65D8C5C2" w14:textId="1D677E42" w:rsidR="00896772" w:rsidRDefault="002174AC" w:rsidP="004936EF">
      <w:pPr>
        <w:pStyle w:val="Heading6"/>
        <w:rPr>
          <w:lang w:val="en-GB"/>
        </w:rPr>
      </w:pPr>
      <w:proofErr w:type="gramStart"/>
      <w:r w:rsidRPr="00141792">
        <w:rPr>
          <w:lang w:val="en-GB"/>
        </w:rPr>
        <w:t xml:space="preserve">Slide </w:t>
      </w:r>
      <w:r w:rsidR="00EE1AE8" w:rsidRPr="00141792">
        <w:rPr>
          <w:lang w:val="en-GB"/>
        </w:rPr>
        <w:t>3</w:t>
      </w:r>
      <w:r w:rsidR="00896772" w:rsidRPr="00141792">
        <w:rPr>
          <w:lang w:val="en-GB"/>
        </w:rPr>
        <w:t>.</w:t>
      </w:r>
      <w:proofErr w:type="gramEnd"/>
    </w:p>
    <w:p w14:paraId="48277F0A" w14:textId="77777777" w:rsidR="002174AC" w:rsidRPr="00141792" w:rsidRDefault="002174AC" w:rsidP="004936EF">
      <w:pPr>
        <w:pStyle w:val="diapo2"/>
        <w:rPr>
          <w:lang w:val="en-GB"/>
        </w:rPr>
      </w:pPr>
      <w:r w:rsidRPr="00141792">
        <w:rPr>
          <w:lang w:val="en-GB"/>
        </w:rPr>
        <w:t>International cooperation</w:t>
      </w:r>
    </w:p>
    <w:p w14:paraId="2E417B20" w14:textId="3375D8C7" w:rsidR="00674D1C" w:rsidRPr="004936EF" w:rsidRDefault="00F02D08" w:rsidP="009909DD">
      <w:pPr>
        <w:pStyle w:val="Texte1"/>
        <w:rPr>
          <w:lang w:val="en-US"/>
        </w:rPr>
      </w:pPr>
      <w:r>
        <w:rPr>
          <w:lang w:val="en-GB"/>
        </w:rPr>
        <w:t>Participant’s</w:t>
      </w:r>
      <w:r w:rsidR="002A3923">
        <w:rPr>
          <w:lang w:val="en-GB"/>
        </w:rPr>
        <w:t xml:space="preserve"> text </w:t>
      </w:r>
      <w:r w:rsidR="002D7FDE">
        <w:rPr>
          <w:lang w:val="en-GB"/>
        </w:rPr>
        <w:t>Unit </w:t>
      </w:r>
      <w:r w:rsidR="00447773">
        <w:rPr>
          <w:lang w:val="en-GB"/>
        </w:rPr>
        <w:t>12</w:t>
      </w:r>
      <w:r w:rsidR="00674D1C" w:rsidRPr="00141792">
        <w:rPr>
          <w:lang w:val="en-GB"/>
        </w:rPr>
        <w:t>.1</w:t>
      </w:r>
      <w:r w:rsidR="002F5401" w:rsidRPr="00141792">
        <w:rPr>
          <w:lang w:val="en-GB"/>
        </w:rPr>
        <w:t xml:space="preserve"> outlines what is meant by international cooperation and why it is important.</w:t>
      </w:r>
    </w:p>
    <w:p w14:paraId="211D41F5" w14:textId="778FE423" w:rsidR="00DA5FBB" w:rsidRPr="004936EF" w:rsidRDefault="00DA5FBB" w:rsidP="004936EF">
      <w:pPr>
        <w:pStyle w:val="Soustitre"/>
        <w:rPr>
          <w:caps/>
          <w:lang w:val="en-GB"/>
        </w:rPr>
      </w:pPr>
      <w:bookmarkStart w:id="7" w:name="_Toc238982272"/>
      <w:r w:rsidRPr="004936EF">
        <w:rPr>
          <w:lang w:val="en-US"/>
        </w:rPr>
        <w:t xml:space="preserve">Note on how the </w:t>
      </w:r>
      <w:r w:rsidR="002162D4">
        <w:rPr>
          <w:lang w:val="en-US"/>
        </w:rPr>
        <w:t>Operational Directives (</w:t>
      </w:r>
      <w:r w:rsidRPr="004936EF">
        <w:rPr>
          <w:lang w:val="en-US"/>
        </w:rPr>
        <w:t>ODs</w:t>
      </w:r>
      <w:r w:rsidR="002162D4">
        <w:rPr>
          <w:lang w:val="en-US"/>
        </w:rPr>
        <w:t>)</w:t>
      </w:r>
      <w:r w:rsidRPr="004936EF">
        <w:rPr>
          <w:lang w:val="en-US"/>
        </w:rPr>
        <w:t xml:space="preserve"> encourage international cooperation for ICH safeguarding</w:t>
      </w:r>
      <w:bookmarkEnd w:id="7"/>
    </w:p>
    <w:p w14:paraId="7A782AD8" w14:textId="5F172119" w:rsidR="00DA5FBB" w:rsidRPr="004936EF" w:rsidRDefault="00C8068F" w:rsidP="004936EF">
      <w:pPr>
        <w:pStyle w:val="Txtpucegras"/>
        <w:rPr>
          <w:lang w:val="en-US"/>
        </w:rPr>
      </w:pPr>
      <w:r>
        <w:rPr>
          <w:lang w:val="en-US"/>
        </w:rPr>
        <w:t>OD </w:t>
      </w:r>
      <w:r w:rsidR="00DA5FBB" w:rsidRPr="004936EF">
        <w:rPr>
          <w:lang w:val="en-US"/>
        </w:rPr>
        <w:t xml:space="preserve">15 specifically encourages the joint submission of </w:t>
      </w:r>
      <w:r w:rsidR="008E290E" w:rsidRPr="004936EF">
        <w:rPr>
          <w:lang w:val="en-US"/>
        </w:rPr>
        <w:t>‘</w:t>
      </w:r>
      <w:proofErr w:type="spellStart"/>
      <w:r w:rsidR="00DA5FBB" w:rsidRPr="004936EF">
        <w:rPr>
          <w:lang w:val="en-US"/>
        </w:rPr>
        <w:t>subregional</w:t>
      </w:r>
      <w:proofErr w:type="spellEnd"/>
      <w:r w:rsidR="00DA5FBB" w:rsidRPr="004936EF">
        <w:rPr>
          <w:lang w:val="en-US"/>
        </w:rPr>
        <w:t xml:space="preserve"> or regional </w:t>
      </w:r>
      <w:proofErr w:type="spellStart"/>
      <w:r w:rsidR="00DA5FBB" w:rsidRPr="004936EF">
        <w:rPr>
          <w:lang w:val="en-US"/>
        </w:rPr>
        <w:t>programmes</w:t>
      </w:r>
      <w:proofErr w:type="spellEnd"/>
      <w:r w:rsidR="00DA5FBB" w:rsidRPr="004936EF">
        <w:rPr>
          <w:lang w:val="en-US"/>
        </w:rPr>
        <w:t>, projects and activities as well as those undertaken jointly by States Parties in geographically discontinuous areas</w:t>
      </w:r>
      <w:r w:rsidR="008E290E" w:rsidRPr="004936EF">
        <w:rPr>
          <w:lang w:val="en-US"/>
        </w:rPr>
        <w:t>’</w:t>
      </w:r>
      <w:r w:rsidR="00DA5FBB" w:rsidRPr="004936EF">
        <w:rPr>
          <w:lang w:val="en-US"/>
        </w:rPr>
        <w:t xml:space="preserve">, for selection as best safeguarding practices. </w:t>
      </w:r>
      <w:r w:rsidR="004B51E4" w:rsidRPr="004936EF">
        <w:rPr>
          <w:lang w:val="en-US"/>
        </w:rPr>
        <w:t xml:space="preserve">The </w:t>
      </w:r>
      <w:proofErr w:type="spellStart"/>
      <w:r w:rsidR="004B51E4" w:rsidRPr="004936EF">
        <w:rPr>
          <w:lang w:val="en-US"/>
        </w:rPr>
        <w:t>programmes</w:t>
      </w:r>
      <w:proofErr w:type="spellEnd"/>
      <w:r w:rsidR="004B51E4" w:rsidRPr="004936EF">
        <w:rPr>
          <w:lang w:val="en-US"/>
        </w:rPr>
        <w:t xml:space="preserve">, projects and activities that the Committee will select as best practices should, among other criteria, promote the coordination of efforts for safeguarding ICH on regional, </w:t>
      </w:r>
      <w:proofErr w:type="spellStart"/>
      <w:r w:rsidR="00901B82" w:rsidRPr="004936EF">
        <w:rPr>
          <w:lang w:val="en-US"/>
        </w:rPr>
        <w:t>subregional</w:t>
      </w:r>
      <w:proofErr w:type="spellEnd"/>
      <w:r w:rsidR="004B51E4" w:rsidRPr="004936EF">
        <w:rPr>
          <w:lang w:val="en-US"/>
        </w:rPr>
        <w:t xml:space="preserve"> and</w:t>
      </w:r>
      <w:r w:rsidR="0068568B" w:rsidRPr="004936EF">
        <w:rPr>
          <w:lang w:val="en-US"/>
        </w:rPr>
        <w:t>/or</w:t>
      </w:r>
      <w:r>
        <w:rPr>
          <w:lang w:val="en-US"/>
        </w:rPr>
        <w:t xml:space="preserve"> international levels (OD </w:t>
      </w:r>
      <w:r w:rsidR="004B51E4" w:rsidRPr="004936EF">
        <w:rPr>
          <w:lang w:val="en-US"/>
        </w:rPr>
        <w:t>7</w:t>
      </w:r>
      <w:r w:rsidR="00901B82" w:rsidRPr="004936EF">
        <w:rPr>
          <w:lang w:val="en-US"/>
        </w:rPr>
        <w:t>,</w:t>
      </w:r>
      <w:r w:rsidR="004B51E4" w:rsidRPr="004936EF">
        <w:rPr>
          <w:lang w:val="en-US"/>
        </w:rPr>
        <w:t xml:space="preserve"> P</w:t>
      </w:r>
      <w:r w:rsidR="00901B82" w:rsidRPr="004936EF">
        <w:rPr>
          <w:lang w:val="en-US"/>
        </w:rPr>
        <w:t>.</w:t>
      </w:r>
      <w:r w:rsidR="004B51E4" w:rsidRPr="004936EF">
        <w:rPr>
          <w:lang w:val="en-US"/>
        </w:rPr>
        <w:t>2).</w:t>
      </w:r>
    </w:p>
    <w:p w14:paraId="6F108E50" w14:textId="177C365E" w:rsidR="004B51E4" w:rsidRPr="004936EF" w:rsidRDefault="004B51E4" w:rsidP="004936EF">
      <w:pPr>
        <w:pStyle w:val="Txtpucegras"/>
        <w:rPr>
          <w:lang w:val="en-US"/>
        </w:rPr>
      </w:pPr>
      <w:r w:rsidRPr="004936EF">
        <w:rPr>
          <w:lang w:val="en-US"/>
        </w:rPr>
        <w:t xml:space="preserve">When evaluating requests for international assistance to be financed from the </w:t>
      </w:r>
      <w:r w:rsidR="0053598A" w:rsidRPr="004936EF">
        <w:rPr>
          <w:lang w:val="en-US"/>
        </w:rPr>
        <w:t xml:space="preserve">ICH </w:t>
      </w:r>
      <w:r w:rsidRPr="004936EF">
        <w:rPr>
          <w:lang w:val="en-US"/>
        </w:rPr>
        <w:t xml:space="preserve">Fund, priority will be given, among other things, to requests concerning </w:t>
      </w:r>
      <w:proofErr w:type="spellStart"/>
      <w:r w:rsidRPr="004936EF">
        <w:rPr>
          <w:lang w:val="en-US"/>
        </w:rPr>
        <w:t>programmes</w:t>
      </w:r>
      <w:proofErr w:type="spellEnd"/>
      <w:r w:rsidRPr="004936EF">
        <w:rPr>
          <w:lang w:val="en-US"/>
        </w:rPr>
        <w:t xml:space="preserve">, projects and activities carried out at the national, </w:t>
      </w:r>
      <w:proofErr w:type="spellStart"/>
      <w:r w:rsidR="00901B82" w:rsidRPr="004936EF">
        <w:rPr>
          <w:lang w:val="en-US"/>
        </w:rPr>
        <w:t>subregional</w:t>
      </w:r>
      <w:proofErr w:type="spellEnd"/>
      <w:r w:rsidR="00C8068F">
        <w:rPr>
          <w:lang w:val="en-US"/>
        </w:rPr>
        <w:t xml:space="preserve"> and regional levels (OD </w:t>
      </w:r>
      <w:r w:rsidRPr="004936EF">
        <w:rPr>
          <w:lang w:val="en-US"/>
        </w:rPr>
        <w:t>9</w:t>
      </w:r>
      <w:r w:rsidR="005E0B3B" w:rsidRPr="004936EF">
        <w:rPr>
          <w:lang w:val="en-US"/>
        </w:rPr>
        <w:t>(</w:t>
      </w:r>
      <w:r w:rsidRPr="004936EF">
        <w:rPr>
          <w:lang w:val="en-US"/>
        </w:rPr>
        <w:t>c</w:t>
      </w:r>
      <w:r w:rsidR="005E0B3B" w:rsidRPr="004936EF">
        <w:rPr>
          <w:lang w:val="en-US"/>
        </w:rPr>
        <w:t>)</w:t>
      </w:r>
      <w:r w:rsidR="00C8068F">
        <w:rPr>
          <w:lang w:val="en-US"/>
        </w:rPr>
        <w:t>). OD </w:t>
      </w:r>
      <w:r w:rsidRPr="004936EF">
        <w:rPr>
          <w:lang w:val="en-US"/>
        </w:rPr>
        <w:t>4 states that at each session the Committee may explicitly call for proposals characterized by international cooperation.</w:t>
      </w:r>
    </w:p>
    <w:p w14:paraId="693077FD" w14:textId="03C41E1A" w:rsidR="004B51E4" w:rsidRPr="004936EF" w:rsidRDefault="00C8068F" w:rsidP="004936EF">
      <w:pPr>
        <w:pStyle w:val="Txtpucegras"/>
        <w:rPr>
          <w:lang w:val="en-US"/>
        </w:rPr>
      </w:pPr>
      <w:r>
        <w:rPr>
          <w:lang w:val="en-US"/>
        </w:rPr>
        <w:t>OD </w:t>
      </w:r>
      <w:r w:rsidR="004B51E4" w:rsidRPr="004936EF">
        <w:rPr>
          <w:lang w:val="en-US"/>
        </w:rPr>
        <w:t xml:space="preserve">88 calls upon States Parties to ‘participate in activities pertaining to regional cooperation, including those of </w:t>
      </w:r>
      <w:r w:rsidR="00714308">
        <w:rPr>
          <w:lang w:val="en-US"/>
        </w:rPr>
        <w:t>category 2</w:t>
      </w:r>
      <w:r w:rsidR="004B51E4" w:rsidRPr="004936EF">
        <w:rPr>
          <w:lang w:val="en-US"/>
        </w:rPr>
        <w:t xml:space="preserve"> </w:t>
      </w:r>
      <w:proofErr w:type="spellStart"/>
      <w:r w:rsidR="004B51E4" w:rsidRPr="004936EF">
        <w:rPr>
          <w:lang w:val="en-US"/>
        </w:rPr>
        <w:t>centres</w:t>
      </w:r>
      <w:proofErr w:type="spellEnd"/>
      <w:r w:rsidR="004B51E4" w:rsidRPr="004936EF">
        <w:rPr>
          <w:lang w:val="en-US"/>
        </w:rPr>
        <w:t xml:space="preserve"> for </w:t>
      </w:r>
      <w:r w:rsidR="005E0B3B" w:rsidRPr="004936EF">
        <w:rPr>
          <w:lang w:val="en-US"/>
        </w:rPr>
        <w:t>intangible cultural heritage</w:t>
      </w:r>
      <w:r w:rsidR="0068568B" w:rsidRPr="004936EF">
        <w:rPr>
          <w:lang w:val="en-US"/>
        </w:rPr>
        <w:t>’</w:t>
      </w:r>
      <w:r w:rsidR="005E0B3B" w:rsidRPr="004936EF">
        <w:rPr>
          <w:lang w:val="en-US"/>
        </w:rPr>
        <w:t>.</w:t>
      </w:r>
      <w:r>
        <w:rPr>
          <w:lang w:val="en-US"/>
        </w:rPr>
        <w:t xml:space="preserve"> OD</w:t>
      </w:r>
      <w:r w:rsidR="00340F8F">
        <w:rPr>
          <w:lang w:val="en-US"/>
        </w:rPr>
        <w:t> </w:t>
      </w:r>
      <w:r w:rsidR="004B51E4" w:rsidRPr="004936EF">
        <w:rPr>
          <w:lang w:val="en-US"/>
        </w:rPr>
        <w:t xml:space="preserve">86 encourages them to develop, </w:t>
      </w:r>
      <w:r w:rsidR="005E0B3B" w:rsidRPr="004936EF">
        <w:rPr>
          <w:lang w:val="en-US"/>
        </w:rPr>
        <w:t>‘</w:t>
      </w:r>
      <w:r w:rsidR="004B51E4" w:rsidRPr="004936EF">
        <w:rPr>
          <w:lang w:val="en-US"/>
        </w:rPr>
        <w:t xml:space="preserve">at the </w:t>
      </w:r>
      <w:proofErr w:type="spellStart"/>
      <w:r w:rsidR="00901B82" w:rsidRPr="004936EF">
        <w:rPr>
          <w:lang w:val="en-US"/>
        </w:rPr>
        <w:t>subregional</w:t>
      </w:r>
      <w:proofErr w:type="spellEnd"/>
      <w:r w:rsidR="004B51E4" w:rsidRPr="004936EF">
        <w:rPr>
          <w:lang w:val="en-US"/>
        </w:rPr>
        <w:t xml:space="preserve"> and regional levels, networks of communities, experts, </w:t>
      </w:r>
      <w:proofErr w:type="spellStart"/>
      <w:r w:rsidR="004B51E4" w:rsidRPr="004936EF">
        <w:rPr>
          <w:lang w:val="en-US"/>
        </w:rPr>
        <w:t>centres</w:t>
      </w:r>
      <w:proofErr w:type="spellEnd"/>
      <w:r w:rsidR="004B51E4" w:rsidRPr="004936EF">
        <w:rPr>
          <w:lang w:val="en-US"/>
        </w:rPr>
        <w:t xml:space="preserve"> of </w:t>
      </w:r>
      <w:r w:rsidR="005E0B3B" w:rsidRPr="004936EF">
        <w:rPr>
          <w:lang w:val="en-US"/>
        </w:rPr>
        <w:t xml:space="preserve">expertise </w:t>
      </w:r>
      <w:r w:rsidR="004B51E4" w:rsidRPr="004936EF">
        <w:rPr>
          <w:lang w:val="en-US"/>
        </w:rPr>
        <w:t xml:space="preserve">and research institutes to develop joint approaches, particularly concerning the elements of </w:t>
      </w:r>
      <w:r w:rsidR="005E0B3B" w:rsidRPr="004936EF">
        <w:rPr>
          <w:lang w:val="en-US"/>
        </w:rPr>
        <w:t>intangible cultural heritage</w:t>
      </w:r>
      <w:r w:rsidR="005E0B3B" w:rsidRPr="004936EF" w:rsidDel="005E0B3B">
        <w:rPr>
          <w:lang w:val="en-US"/>
        </w:rPr>
        <w:t xml:space="preserve"> </w:t>
      </w:r>
      <w:r w:rsidR="004B51E4" w:rsidRPr="004936EF">
        <w:rPr>
          <w:lang w:val="en-US"/>
        </w:rPr>
        <w:t>they have in common’.</w:t>
      </w:r>
    </w:p>
    <w:p w14:paraId="03781887" w14:textId="65B5E3C7" w:rsidR="00DA5FBB" w:rsidRPr="004936EF" w:rsidRDefault="00C8068F" w:rsidP="004936EF">
      <w:pPr>
        <w:pStyle w:val="Txtpucegras"/>
        <w:rPr>
          <w:szCs w:val="20"/>
          <w:lang w:val="en-US"/>
        </w:rPr>
      </w:pPr>
      <w:r>
        <w:rPr>
          <w:szCs w:val="20"/>
          <w:lang w:val="en-US"/>
        </w:rPr>
        <w:t>OD </w:t>
      </w:r>
      <w:r w:rsidR="00DA5FBB" w:rsidRPr="004936EF">
        <w:rPr>
          <w:szCs w:val="20"/>
          <w:lang w:val="en-US"/>
        </w:rPr>
        <w:t xml:space="preserve">87 encourages ‘States Parties that possess documentation concerning an element of </w:t>
      </w:r>
      <w:r w:rsidR="00AC06D5" w:rsidRPr="004936EF">
        <w:rPr>
          <w:snapToGrid w:val="0"/>
          <w:szCs w:val="20"/>
          <w:lang w:val="en-US"/>
        </w:rPr>
        <w:t>intangible cultural heritage</w:t>
      </w:r>
      <w:r w:rsidR="00AC06D5" w:rsidRPr="004936EF" w:rsidDel="00AC06D5">
        <w:rPr>
          <w:szCs w:val="20"/>
          <w:lang w:val="en-US"/>
        </w:rPr>
        <w:t xml:space="preserve"> </w:t>
      </w:r>
      <w:r w:rsidR="00DA5FBB" w:rsidRPr="004936EF">
        <w:rPr>
          <w:szCs w:val="20"/>
          <w:lang w:val="en-US"/>
        </w:rPr>
        <w:t>present on the territory of another State Party … to share such documentation with that other State, and thereby make that information available to the communities concerned and relevant experts and institutions.</w:t>
      </w:r>
      <w:r w:rsidR="00D90650">
        <w:rPr>
          <w:szCs w:val="20"/>
          <w:lang w:val="en-US"/>
        </w:rPr>
        <w:t>’</w:t>
      </w:r>
      <w:r w:rsidR="00DA5FBB" w:rsidRPr="004936EF">
        <w:rPr>
          <w:szCs w:val="20"/>
          <w:lang w:val="en-US"/>
        </w:rPr>
        <w:t xml:space="preserve"> </w:t>
      </w:r>
    </w:p>
    <w:p w14:paraId="3151B0EF" w14:textId="08CB3273" w:rsidR="004B51E4" w:rsidRPr="004936EF" w:rsidRDefault="004B51E4" w:rsidP="004936EF">
      <w:pPr>
        <w:pStyle w:val="Txtpucegras"/>
        <w:rPr>
          <w:lang w:val="en-US"/>
        </w:rPr>
      </w:pPr>
      <w:r w:rsidRPr="004936EF">
        <w:rPr>
          <w:lang w:val="en-US"/>
        </w:rPr>
        <w:t xml:space="preserve">In their six-yearly </w:t>
      </w:r>
      <w:r w:rsidR="00366C9A">
        <w:rPr>
          <w:lang w:val="en-US"/>
        </w:rPr>
        <w:t xml:space="preserve">periodic </w:t>
      </w:r>
      <w:r w:rsidRPr="004936EF">
        <w:rPr>
          <w:lang w:val="en-US"/>
        </w:rPr>
        <w:t xml:space="preserve">reports to the Committee about the state of safeguarding of the ICH present in their territories, the States Parties are requested to include information on the measures taken by them at the bilateral, </w:t>
      </w:r>
      <w:proofErr w:type="spellStart"/>
      <w:r w:rsidR="00901B82" w:rsidRPr="004936EF">
        <w:rPr>
          <w:lang w:val="en-US"/>
        </w:rPr>
        <w:t>subregional</w:t>
      </w:r>
      <w:proofErr w:type="spellEnd"/>
      <w:r w:rsidRPr="004936EF">
        <w:rPr>
          <w:lang w:val="en-US"/>
        </w:rPr>
        <w:t>, regional and international levels for the implementat</w:t>
      </w:r>
      <w:r w:rsidR="00340F8F">
        <w:rPr>
          <w:lang w:val="en-US"/>
        </w:rPr>
        <w:t>ion of the Convention (OD </w:t>
      </w:r>
      <w:r w:rsidRPr="004936EF">
        <w:rPr>
          <w:lang w:val="en-US"/>
        </w:rPr>
        <w:t>156).</w:t>
      </w:r>
      <w:r w:rsidR="00E56778">
        <w:rPr>
          <w:rStyle w:val="FootnoteReference"/>
          <w:lang w:val="en-US"/>
        </w:rPr>
        <w:footnoteReference w:id="3"/>
      </w:r>
    </w:p>
    <w:p w14:paraId="25FD9C04" w14:textId="57917344" w:rsidR="00896772" w:rsidRDefault="007C2925" w:rsidP="004936EF">
      <w:pPr>
        <w:pStyle w:val="Heading6"/>
        <w:rPr>
          <w:lang w:val="en-GB"/>
        </w:rPr>
      </w:pPr>
      <w:proofErr w:type="gramStart"/>
      <w:r w:rsidRPr="00141792">
        <w:rPr>
          <w:lang w:val="en-GB"/>
        </w:rPr>
        <w:t xml:space="preserve">Slide </w:t>
      </w:r>
      <w:r w:rsidR="00BB45B7" w:rsidRPr="00141792">
        <w:rPr>
          <w:lang w:val="en-GB"/>
        </w:rPr>
        <w:t>4</w:t>
      </w:r>
      <w:r w:rsidR="00896772" w:rsidRPr="00141792">
        <w:rPr>
          <w:lang w:val="en-GB"/>
        </w:rPr>
        <w:t>.</w:t>
      </w:r>
      <w:proofErr w:type="gramEnd"/>
    </w:p>
    <w:p w14:paraId="0D56FB1B" w14:textId="77777777" w:rsidR="001F1A8C" w:rsidRPr="00141792" w:rsidRDefault="001F1A8C" w:rsidP="004936EF">
      <w:pPr>
        <w:pStyle w:val="diapo2"/>
        <w:rPr>
          <w:lang w:val="en-GB"/>
        </w:rPr>
      </w:pPr>
      <w:r w:rsidRPr="00141792">
        <w:rPr>
          <w:lang w:val="en-GB"/>
        </w:rPr>
        <w:t>Multi</w:t>
      </w:r>
      <w:r w:rsidR="00B76C46" w:rsidRPr="00141792">
        <w:rPr>
          <w:lang w:val="en-GB"/>
        </w:rPr>
        <w:t>-</w:t>
      </w:r>
      <w:r w:rsidRPr="00141792">
        <w:rPr>
          <w:lang w:val="en-GB"/>
        </w:rPr>
        <w:t xml:space="preserve">national </w:t>
      </w:r>
      <w:r w:rsidR="0024448F" w:rsidRPr="00141792">
        <w:rPr>
          <w:lang w:val="en-GB"/>
        </w:rPr>
        <w:t>actions regarding shared heritage</w:t>
      </w:r>
    </w:p>
    <w:p w14:paraId="5CEBF062" w14:textId="39C030AC" w:rsidR="00CF7984" w:rsidRPr="004936EF" w:rsidRDefault="00F02D08" w:rsidP="009909DD">
      <w:pPr>
        <w:pStyle w:val="Texte1"/>
        <w:rPr>
          <w:lang w:val="en-US"/>
        </w:rPr>
      </w:pPr>
      <w:r>
        <w:rPr>
          <w:lang w:val="en-GB"/>
        </w:rPr>
        <w:t>Participant’s</w:t>
      </w:r>
      <w:r w:rsidR="002A3923">
        <w:rPr>
          <w:lang w:val="en-GB"/>
        </w:rPr>
        <w:t xml:space="preserve"> text </w:t>
      </w:r>
      <w:r w:rsidR="002D7FDE">
        <w:rPr>
          <w:lang w:val="en-GB"/>
        </w:rPr>
        <w:t>Unit </w:t>
      </w:r>
      <w:r w:rsidR="00447773">
        <w:rPr>
          <w:lang w:val="en-GB"/>
        </w:rPr>
        <w:t>12</w:t>
      </w:r>
      <w:r w:rsidR="00966991" w:rsidRPr="00141792">
        <w:rPr>
          <w:lang w:val="en-GB"/>
        </w:rPr>
        <w:t>.2</w:t>
      </w:r>
      <w:r w:rsidR="002F5401" w:rsidRPr="00141792">
        <w:rPr>
          <w:lang w:val="en-GB"/>
        </w:rPr>
        <w:t xml:space="preserve"> discusses what is meant by shared heritage and why the Convention encourages international cooperation to safeguard it.</w:t>
      </w:r>
    </w:p>
    <w:p w14:paraId="6271B492" w14:textId="644BEF89" w:rsidR="00363B6A" w:rsidRPr="004936EF" w:rsidRDefault="00F02D08" w:rsidP="009909DD">
      <w:pPr>
        <w:pStyle w:val="Texte1"/>
        <w:rPr>
          <w:lang w:val="en-US"/>
        </w:rPr>
      </w:pPr>
      <w:r>
        <w:rPr>
          <w:lang w:val="en-US"/>
        </w:rPr>
        <w:t>Participant’s</w:t>
      </w:r>
      <w:r w:rsidR="002A3923">
        <w:rPr>
          <w:lang w:val="en-US"/>
        </w:rPr>
        <w:t xml:space="preserve"> text </w:t>
      </w:r>
      <w:r w:rsidR="002D7FDE">
        <w:rPr>
          <w:lang w:val="en-GB"/>
        </w:rPr>
        <w:t>Unit </w:t>
      </w:r>
      <w:r w:rsidR="00447773">
        <w:rPr>
          <w:lang w:val="en-GB"/>
        </w:rPr>
        <w:t>12</w:t>
      </w:r>
      <w:r w:rsidR="00363B6A" w:rsidRPr="004936EF">
        <w:rPr>
          <w:lang w:val="en-US"/>
        </w:rPr>
        <w:t>.3</w:t>
      </w:r>
      <w:r w:rsidR="002F5401" w:rsidRPr="004936EF">
        <w:rPr>
          <w:lang w:val="en-US"/>
        </w:rPr>
        <w:t xml:space="preserve"> explains how and why multi-national nominations are given special consideration under the Convention.</w:t>
      </w:r>
    </w:p>
    <w:p w14:paraId="3F291E21" w14:textId="77777777" w:rsidR="002F5401" w:rsidRPr="004936EF" w:rsidRDefault="002F5401" w:rsidP="004936EF">
      <w:pPr>
        <w:pStyle w:val="Soustitre"/>
        <w:rPr>
          <w:caps/>
          <w:lang w:val="en-GB"/>
        </w:rPr>
      </w:pPr>
      <w:bookmarkStart w:id="8" w:name="_Toc238982273"/>
      <w:r w:rsidRPr="004936EF">
        <w:rPr>
          <w:lang w:val="en-US"/>
        </w:rPr>
        <w:t>Note on the different ways that ICH can become shared across international borders</w:t>
      </w:r>
      <w:bookmarkEnd w:id="8"/>
    </w:p>
    <w:p w14:paraId="2775B0B5" w14:textId="77777777" w:rsidR="007C1C4D" w:rsidRPr="004936EF" w:rsidRDefault="003A0211" w:rsidP="004936EF">
      <w:pPr>
        <w:pStyle w:val="Txtpucegras"/>
        <w:rPr>
          <w:lang w:val="en-US"/>
        </w:rPr>
      </w:pPr>
      <w:r w:rsidRPr="004936EF">
        <w:rPr>
          <w:lang w:val="en-US"/>
        </w:rPr>
        <w:t>There are few</w:t>
      </w:r>
      <w:r w:rsidR="007C1C4D" w:rsidRPr="004936EF">
        <w:rPr>
          <w:lang w:val="en-US"/>
        </w:rPr>
        <w:t xml:space="preserve"> </w:t>
      </w:r>
      <w:r w:rsidR="00893673" w:rsidRPr="004936EF">
        <w:rPr>
          <w:lang w:val="en-US"/>
        </w:rPr>
        <w:t xml:space="preserve">State </w:t>
      </w:r>
      <w:r w:rsidR="007C1C4D" w:rsidRPr="004936EF">
        <w:rPr>
          <w:lang w:val="en-US"/>
        </w:rPr>
        <w:t xml:space="preserve">borders that do not split up </w:t>
      </w:r>
      <w:r w:rsidR="003F4A02" w:rsidRPr="004936EF">
        <w:rPr>
          <w:lang w:val="en-US"/>
        </w:rPr>
        <w:t>communities</w:t>
      </w:r>
      <w:r w:rsidR="007C1C4D" w:rsidRPr="004936EF">
        <w:rPr>
          <w:lang w:val="en-US"/>
        </w:rPr>
        <w:t>.</w:t>
      </w:r>
      <w:r w:rsidR="00DD6DB5" w:rsidRPr="004936EF">
        <w:rPr>
          <w:lang w:val="en-US"/>
        </w:rPr>
        <w:t xml:space="preserve"> </w:t>
      </w:r>
    </w:p>
    <w:p w14:paraId="6908C5A0" w14:textId="77777777" w:rsidR="00896772" w:rsidRPr="004936EF" w:rsidRDefault="00896772" w:rsidP="009909DD">
      <w:pPr>
        <w:pStyle w:val="Texte1"/>
        <w:rPr>
          <w:lang w:val="en-US"/>
        </w:rPr>
      </w:pPr>
      <w:r w:rsidRPr="00141792">
        <w:rPr>
          <w:lang w:val="en-GB"/>
        </w:rPr>
        <w:t xml:space="preserve">Mongolians live on both sides of the Mongolian-Chinese border and their </w:t>
      </w:r>
      <w:proofErr w:type="spellStart"/>
      <w:r w:rsidRPr="00141792">
        <w:rPr>
          <w:lang w:val="en-GB"/>
        </w:rPr>
        <w:t>Urtiin</w:t>
      </w:r>
      <w:proofErr w:type="spellEnd"/>
      <w:r w:rsidRPr="00141792">
        <w:rPr>
          <w:lang w:val="en-GB"/>
        </w:rPr>
        <w:t xml:space="preserve"> </w:t>
      </w:r>
      <w:proofErr w:type="spellStart"/>
      <w:r w:rsidRPr="00141792">
        <w:rPr>
          <w:lang w:val="en-GB"/>
        </w:rPr>
        <w:t>Duu</w:t>
      </w:r>
      <w:proofErr w:type="spellEnd"/>
      <w:r w:rsidRPr="00141792">
        <w:rPr>
          <w:lang w:val="en-GB"/>
        </w:rPr>
        <w:t xml:space="preserve"> – Traditional Folk Long Song</w:t>
      </w:r>
      <w:r w:rsidRPr="00141792">
        <w:rPr>
          <w:i/>
          <w:lang w:val="en-GB"/>
        </w:rPr>
        <w:t xml:space="preserve"> </w:t>
      </w:r>
      <w:r w:rsidRPr="00141792">
        <w:rPr>
          <w:lang w:val="en-GB"/>
        </w:rPr>
        <w:t xml:space="preserve">is enacted both on the territory of China and on that of Mongolia; it was included in the RL in 2008. Another epic tradition, the </w:t>
      </w:r>
      <w:proofErr w:type="spellStart"/>
      <w:r w:rsidRPr="00141792">
        <w:rPr>
          <w:lang w:val="en-GB"/>
        </w:rPr>
        <w:t>Manas</w:t>
      </w:r>
      <w:proofErr w:type="spellEnd"/>
      <w:r w:rsidRPr="00141792">
        <w:rPr>
          <w:lang w:val="en-GB"/>
        </w:rPr>
        <w:t>, which is enacted by Kyrgyz in adjacent parts of Kyrgyzstan and China, was included twice in the RL, once for Kyrgyzstan (2008, as a former Masterpiece) and once for China (2009).</w:t>
      </w:r>
      <w:r w:rsidRPr="00141792">
        <w:rPr>
          <w:szCs w:val="22"/>
          <w:lang w:val="en-GB"/>
        </w:rPr>
        <w:t xml:space="preserve"> </w:t>
      </w:r>
    </w:p>
    <w:p w14:paraId="530A2A3D" w14:textId="76534801" w:rsidR="007C1C4D" w:rsidRPr="004936EF" w:rsidRDefault="007C1C4D" w:rsidP="004936EF">
      <w:pPr>
        <w:pStyle w:val="Txtpucegras"/>
        <w:rPr>
          <w:lang w:val="en-US"/>
        </w:rPr>
      </w:pPr>
      <w:r w:rsidRPr="004936EF">
        <w:rPr>
          <w:lang w:val="en-US"/>
        </w:rPr>
        <w:t xml:space="preserve">Migration </w:t>
      </w:r>
      <w:r w:rsidR="002F5401" w:rsidRPr="004936EF">
        <w:rPr>
          <w:lang w:val="en-US"/>
        </w:rPr>
        <w:t>provides the</w:t>
      </w:r>
      <w:r w:rsidRPr="004936EF">
        <w:rPr>
          <w:lang w:val="en-US"/>
        </w:rPr>
        <w:t xml:space="preserve"> background for </w:t>
      </w:r>
      <w:r w:rsidR="002F5401" w:rsidRPr="004936EF">
        <w:rPr>
          <w:lang w:val="en-US"/>
        </w:rPr>
        <w:t>many</w:t>
      </w:r>
      <w:r w:rsidRPr="004936EF">
        <w:rPr>
          <w:lang w:val="en-US"/>
        </w:rPr>
        <w:t xml:space="preserve"> cases of shared ICH.</w:t>
      </w:r>
    </w:p>
    <w:p w14:paraId="48035AAC" w14:textId="77777777" w:rsidR="00896772" w:rsidRPr="004936EF" w:rsidRDefault="00896772" w:rsidP="009909DD">
      <w:pPr>
        <w:pStyle w:val="Texte1"/>
        <w:rPr>
          <w:lang w:val="en-US"/>
        </w:rPr>
      </w:pPr>
      <w:r w:rsidRPr="00141792">
        <w:rPr>
          <w:lang w:val="en-GB"/>
        </w:rPr>
        <w:t>There are thousands of examples of this</w:t>
      </w:r>
      <w:r w:rsidRPr="00587A4E">
        <w:rPr>
          <w:strike/>
          <w:lang w:val="en-GB"/>
        </w:rPr>
        <w:t>.</w:t>
      </w:r>
      <w:r w:rsidRPr="00141792">
        <w:rPr>
          <w:lang w:val="en-GB"/>
        </w:rPr>
        <w:t xml:space="preserve"> Large numbers of Kurds living in the Netherlands celebrate </w:t>
      </w:r>
      <w:proofErr w:type="spellStart"/>
      <w:r w:rsidRPr="00141792">
        <w:rPr>
          <w:lang w:val="en-GB"/>
        </w:rPr>
        <w:t>Novruz</w:t>
      </w:r>
      <w:proofErr w:type="spellEnd"/>
      <w:r w:rsidRPr="00141792">
        <w:rPr>
          <w:lang w:val="en-GB"/>
        </w:rPr>
        <w:t>, the traditional New Year festivities of many peoples living between Turkey and India (inscribed on the RL in 2010, at the request of Azerbaijan, India, the Islamic Republic of Iran, Kyrgyzstan, Pakistan, Turkey and Uzbekistan). Large numbers of people from Pacific Island states have settled in New Zealand and actively continue practising their ICH there; the same is true of Sikh communities in the UK, Canada, the USA, Malaysia and elsewhere. Peking opera is also performed in New York by immigrants from China.</w:t>
      </w:r>
    </w:p>
    <w:p w14:paraId="1E5D03CA" w14:textId="77777777" w:rsidR="007C1C4D" w:rsidRPr="00141792" w:rsidRDefault="007C1C4D" w:rsidP="004936EF">
      <w:pPr>
        <w:pStyle w:val="Txtpucegras"/>
      </w:pPr>
      <w:r w:rsidRPr="004936EF">
        <w:rPr>
          <w:lang w:val="en-US"/>
        </w:rPr>
        <w:t xml:space="preserve">Nomadic groups </w:t>
      </w:r>
      <w:r w:rsidR="002F5401" w:rsidRPr="004936EF">
        <w:rPr>
          <w:lang w:val="en-US"/>
        </w:rPr>
        <w:t xml:space="preserve">often </w:t>
      </w:r>
      <w:r w:rsidRPr="004936EF">
        <w:rPr>
          <w:lang w:val="en-US"/>
        </w:rPr>
        <w:t xml:space="preserve">enact their ICH in different </w:t>
      </w:r>
      <w:r w:rsidR="00AE690D" w:rsidRPr="004936EF">
        <w:rPr>
          <w:lang w:val="en-US"/>
        </w:rPr>
        <w:t>States</w:t>
      </w:r>
      <w:r w:rsidR="002F5401" w:rsidRPr="004936EF">
        <w:rPr>
          <w:lang w:val="en-US"/>
        </w:rPr>
        <w:t>;</w:t>
      </w:r>
      <w:r w:rsidRPr="004936EF">
        <w:rPr>
          <w:lang w:val="en-US"/>
        </w:rPr>
        <w:t xml:space="preserve"> rituals may </w:t>
      </w:r>
      <w:r w:rsidR="001125B6" w:rsidRPr="004936EF">
        <w:rPr>
          <w:lang w:val="en-US"/>
        </w:rPr>
        <w:t xml:space="preserve">even </w:t>
      </w:r>
      <w:r w:rsidRPr="004936EF">
        <w:rPr>
          <w:lang w:val="en-US"/>
        </w:rPr>
        <w:t xml:space="preserve">start in one </w:t>
      </w:r>
      <w:r w:rsidR="009D1FB6" w:rsidRPr="004936EF">
        <w:rPr>
          <w:lang w:val="en-US"/>
        </w:rPr>
        <w:t xml:space="preserve">State </w:t>
      </w:r>
      <w:r w:rsidRPr="004936EF">
        <w:rPr>
          <w:lang w:val="en-US"/>
        </w:rPr>
        <w:t>and continue in another</w:t>
      </w:r>
      <w:r w:rsidR="00AE690D" w:rsidRPr="004936EF">
        <w:rPr>
          <w:lang w:val="en-US"/>
        </w:rPr>
        <w:t>.</w:t>
      </w:r>
      <w:r w:rsidRPr="004936EF">
        <w:rPr>
          <w:lang w:val="en-US"/>
        </w:rPr>
        <w:t xml:space="preserve"> </w:t>
      </w:r>
      <w:proofErr w:type="spellStart"/>
      <w:r w:rsidR="00AE690D" w:rsidRPr="00141792">
        <w:t>S</w:t>
      </w:r>
      <w:r w:rsidRPr="00141792">
        <w:t>ome</w:t>
      </w:r>
      <w:proofErr w:type="spellEnd"/>
      <w:r w:rsidRPr="00141792">
        <w:t xml:space="preserve"> </w:t>
      </w:r>
      <w:proofErr w:type="spellStart"/>
      <w:r w:rsidRPr="00141792">
        <w:t>pilgrimages</w:t>
      </w:r>
      <w:proofErr w:type="spellEnd"/>
      <w:r w:rsidRPr="00141792">
        <w:t xml:space="preserve"> </w:t>
      </w:r>
      <w:proofErr w:type="spellStart"/>
      <w:r w:rsidRPr="00141792">
        <w:t>also</w:t>
      </w:r>
      <w:proofErr w:type="spellEnd"/>
      <w:r w:rsidRPr="00141792">
        <w:t xml:space="preserve"> </w:t>
      </w:r>
      <w:proofErr w:type="spellStart"/>
      <w:r w:rsidRPr="00141792">
        <w:t>involve</w:t>
      </w:r>
      <w:proofErr w:type="spellEnd"/>
      <w:r w:rsidRPr="00141792">
        <w:t xml:space="preserve"> </w:t>
      </w:r>
      <w:proofErr w:type="gramStart"/>
      <w:r w:rsidRPr="00141792">
        <w:t>border-</w:t>
      </w:r>
      <w:proofErr w:type="spellStart"/>
      <w:proofErr w:type="gramEnd"/>
      <w:r w:rsidRPr="00141792">
        <w:t>crossing</w:t>
      </w:r>
      <w:proofErr w:type="spellEnd"/>
      <w:r w:rsidRPr="00141792">
        <w:t>.</w:t>
      </w:r>
    </w:p>
    <w:p w14:paraId="71670E0F" w14:textId="77777777" w:rsidR="00896772" w:rsidRPr="004936EF" w:rsidRDefault="00896772" w:rsidP="009909DD">
      <w:pPr>
        <w:pStyle w:val="Texte1"/>
        <w:rPr>
          <w:lang w:val="en-US"/>
        </w:rPr>
      </w:pPr>
      <w:r w:rsidRPr="00141792">
        <w:rPr>
          <w:lang w:val="en-GB"/>
        </w:rPr>
        <w:t xml:space="preserve">Nearly 40 million people in the world maintain a traditional nomadic lifestyle. Some move within the confines of one State; numerous groups cross borders, such as, for example, the </w:t>
      </w:r>
      <w:proofErr w:type="spellStart"/>
      <w:r w:rsidRPr="00141792">
        <w:rPr>
          <w:lang w:val="en-GB"/>
        </w:rPr>
        <w:t>Tuareg</w:t>
      </w:r>
      <w:proofErr w:type="spellEnd"/>
      <w:r w:rsidRPr="00141792">
        <w:rPr>
          <w:lang w:val="en-GB"/>
        </w:rPr>
        <w:t xml:space="preserve"> in Burkina Faso, Niger, Mali, Algeria and Libya.</w:t>
      </w:r>
      <w:r w:rsidRPr="00141792">
        <w:rPr>
          <w:szCs w:val="22"/>
          <w:lang w:val="en-GB"/>
        </w:rPr>
        <w:t xml:space="preserve"> </w:t>
      </w:r>
    </w:p>
    <w:p w14:paraId="24C6A5C6" w14:textId="73FE51B6" w:rsidR="007C1C4D" w:rsidRPr="004936EF" w:rsidRDefault="007C1C4D" w:rsidP="004936EF">
      <w:pPr>
        <w:pStyle w:val="Txtpucegras"/>
        <w:rPr>
          <w:lang w:val="en-US"/>
        </w:rPr>
      </w:pPr>
      <w:r w:rsidRPr="004936EF">
        <w:rPr>
          <w:lang w:val="en-US"/>
        </w:rPr>
        <w:t xml:space="preserve">ICH can also spread from one community to another, </w:t>
      </w:r>
      <w:r w:rsidR="002134A2" w:rsidRPr="004936EF">
        <w:rPr>
          <w:lang w:val="en-US"/>
        </w:rPr>
        <w:t>through</w:t>
      </w:r>
      <w:r w:rsidRPr="004936EF">
        <w:rPr>
          <w:lang w:val="en-US"/>
        </w:rPr>
        <w:t xml:space="preserve"> contact between people, and thus become internationally shared heritage.</w:t>
      </w:r>
    </w:p>
    <w:p w14:paraId="73D2683B" w14:textId="77777777" w:rsidR="00896772" w:rsidRPr="004936EF" w:rsidRDefault="00896772" w:rsidP="009909DD">
      <w:pPr>
        <w:pStyle w:val="Texte1"/>
        <w:rPr>
          <w:lang w:val="en-US"/>
        </w:rPr>
      </w:pPr>
      <w:r w:rsidRPr="00141792">
        <w:rPr>
          <w:lang w:val="en-GB"/>
        </w:rPr>
        <w:t>Shadow theatre spread from East to West Asia and from there to Europe. The Tango, which was inscribed on the RL at the request of Argentina and Uruguay, is hugely popular in Japan and has long been incorporated into European ballroom dance. East Asian martial sports have spread over the globe. Christmas is celebrated by many non-Christians on all continents in their own ways.</w:t>
      </w:r>
      <w:r w:rsidRPr="00141792">
        <w:rPr>
          <w:szCs w:val="22"/>
          <w:lang w:val="en-GB"/>
        </w:rPr>
        <w:t xml:space="preserve"> </w:t>
      </w:r>
    </w:p>
    <w:p w14:paraId="269DAE1D" w14:textId="77777777" w:rsidR="00142AA4" w:rsidRPr="004936EF" w:rsidRDefault="00142AA4" w:rsidP="004936EF">
      <w:pPr>
        <w:pStyle w:val="Soustitre"/>
        <w:rPr>
          <w:caps/>
          <w:lang w:val="en-GB"/>
        </w:rPr>
      </w:pPr>
      <w:bookmarkStart w:id="9" w:name="_Toc238982274"/>
      <w:r w:rsidRPr="004936EF">
        <w:rPr>
          <w:lang w:val="en-US"/>
        </w:rPr>
        <w:t>Note</w:t>
      </w:r>
      <w:r w:rsidR="004D5404" w:rsidRPr="004936EF">
        <w:rPr>
          <w:lang w:val="en-US"/>
        </w:rPr>
        <w:t xml:space="preserve"> on the proportion of </w:t>
      </w:r>
      <w:r w:rsidR="00F938EB" w:rsidRPr="004936EF">
        <w:rPr>
          <w:lang w:val="en-US"/>
        </w:rPr>
        <w:t xml:space="preserve">transnational/transregional/transboundary </w:t>
      </w:r>
      <w:r w:rsidR="004D5404" w:rsidRPr="004936EF">
        <w:rPr>
          <w:lang w:val="en-US"/>
        </w:rPr>
        <w:t>inscriptions on the World Heritage List</w:t>
      </w:r>
      <w:bookmarkEnd w:id="9"/>
    </w:p>
    <w:p w14:paraId="0A2D52F3" w14:textId="71F21C8F" w:rsidR="00155409" w:rsidRPr="004936EF" w:rsidRDefault="00155409" w:rsidP="004936EF">
      <w:pPr>
        <w:pStyle w:val="Texte1"/>
        <w:rPr>
          <w:szCs w:val="20"/>
          <w:lang w:val="en-GB"/>
        </w:rPr>
      </w:pPr>
      <w:r w:rsidRPr="004936EF">
        <w:rPr>
          <w:szCs w:val="20"/>
          <w:lang w:val="en-US"/>
        </w:rPr>
        <w:t xml:space="preserve">Operational Guideline 135 of the </w:t>
      </w:r>
      <w:r w:rsidRPr="004936EF">
        <w:rPr>
          <w:i/>
          <w:iCs/>
          <w:szCs w:val="20"/>
          <w:lang w:val="en-US"/>
        </w:rPr>
        <w:t xml:space="preserve">World Heritage Convention </w:t>
      </w:r>
      <w:r w:rsidRPr="004936EF">
        <w:rPr>
          <w:szCs w:val="20"/>
          <w:lang w:val="en-US"/>
        </w:rPr>
        <w:t xml:space="preserve">(2012 edition) encourages the joint preparation and submission of nominations for so-called transboundary properties, i.e. properties occurring on the territory of adjacent States. </w:t>
      </w:r>
    </w:p>
    <w:p w14:paraId="66801384" w14:textId="77777777" w:rsidR="00142AA4" w:rsidRPr="004936EF" w:rsidRDefault="00142AA4" w:rsidP="004936EF">
      <w:pPr>
        <w:pStyle w:val="Soustitre"/>
        <w:rPr>
          <w:caps/>
          <w:lang w:val="en-GB"/>
        </w:rPr>
      </w:pPr>
      <w:bookmarkStart w:id="10" w:name="_Toc238982275"/>
      <w:r w:rsidRPr="004936EF">
        <w:rPr>
          <w:lang w:val="en-US"/>
        </w:rPr>
        <w:t xml:space="preserve">Existing </w:t>
      </w:r>
      <w:r w:rsidR="00A60F2E" w:rsidRPr="004936EF">
        <w:rPr>
          <w:lang w:val="en-US"/>
        </w:rPr>
        <w:t>multi-national</w:t>
      </w:r>
      <w:r w:rsidRPr="004936EF">
        <w:rPr>
          <w:lang w:val="en-US"/>
        </w:rPr>
        <w:t xml:space="preserve"> inscriptions on the Representative List</w:t>
      </w:r>
      <w:bookmarkEnd w:id="10"/>
    </w:p>
    <w:p w14:paraId="5A79AB7C" w14:textId="5B8E3A34" w:rsidR="00155409" w:rsidRPr="004936EF" w:rsidRDefault="00155409" w:rsidP="004936EF">
      <w:pPr>
        <w:pStyle w:val="Texte1"/>
        <w:rPr>
          <w:szCs w:val="20"/>
          <w:lang w:val="en-GB"/>
        </w:rPr>
      </w:pPr>
      <w:r w:rsidRPr="004936EF">
        <w:rPr>
          <w:szCs w:val="20"/>
          <w:lang w:val="en-US"/>
        </w:rPr>
        <w:t xml:space="preserve">So far, there are </w:t>
      </w:r>
      <w:r w:rsidR="00863E83">
        <w:rPr>
          <w:szCs w:val="20"/>
          <w:lang w:val="en-US"/>
        </w:rPr>
        <w:t>seventeen</w:t>
      </w:r>
      <w:r w:rsidR="00863E83" w:rsidRPr="004936EF">
        <w:rPr>
          <w:szCs w:val="20"/>
          <w:lang w:val="en-US"/>
        </w:rPr>
        <w:t xml:space="preserve"> </w:t>
      </w:r>
      <w:r w:rsidRPr="004936EF">
        <w:rPr>
          <w:szCs w:val="20"/>
          <w:lang w:val="en-US"/>
        </w:rPr>
        <w:t xml:space="preserve">multi-national inscriptions on the RL, none on the USL and the Register of Best Safeguarding Practices contains one </w:t>
      </w:r>
      <w:proofErr w:type="spellStart"/>
      <w:r w:rsidRPr="004936EF">
        <w:rPr>
          <w:szCs w:val="20"/>
          <w:lang w:val="en-US"/>
        </w:rPr>
        <w:t>programme</w:t>
      </w:r>
      <w:proofErr w:type="spellEnd"/>
      <w:r w:rsidRPr="004936EF">
        <w:rPr>
          <w:szCs w:val="20"/>
          <w:lang w:val="en-US"/>
        </w:rPr>
        <w:t xml:space="preserve"> from Latin America. Nine multi-national elements – all former Masterpieces were included in 2008. Under the Masterpieces </w:t>
      </w:r>
      <w:proofErr w:type="spellStart"/>
      <w:r w:rsidRPr="004936EF">
        <w:rPr>
          <w:szCs w:val="20"/>
          <w:lang w:val="en-US"/>
        </w:rPr>
        <w:t>programme</w:t>
      </w:r>
      <w:proofErr w:type="spellEnd"/>
      <w:r w:rsidRPr="004936EF">
        <w:rPr>
          <w:szCs w:val="20"/>
          <w:lang w:val="en-US"/>
        </w:rPr>
        <w:t xml:space="preserve">, multi-national submissions were actively encouraged. </w:t>
      </w:r>
    </w:p>
    <w:p w14:paraId="110D56A4" w14:textId="2E43F5AA" w:rsidR="001125B6" w:rsidRPr="004936EF" w:rsidRDefault="001125B6" w:rsidP="00155409">
      <w:pPr>
        <w:pStyle w:val="Texte1"/>
        <w:rPr>
          <w:lang w:val="en-US"/>
        </w:rPr>
      </w:pPr>
      <w:r w:rsidRPr="004936EF">
        <w:rPr>
          <w:lang w:val="en-US"/>
        </w:rPr>
        <w:t xml:space="preserve">The </w:t>
      </w:r>
      <w:r w:rsidR="00863E83">
        <w:rPr>
          <w:lang w:val="en-US"/>
        </w:rPr>
        <w:t>seventeen</w:t>
      </w:r>
      <w:r w:rsidR="00863E83" w:rsidRPr="004936EF">
        <w:rPr>
          <w:lang w:val="en-US"/>
        </w:rPr>
        <w:t xml:space="preserve"> </w:t>
      </w:r>
      <w:r w:rsidR="00A60F2E" w:rsidRPr="004936EF">
        <w:rPr>
          <w:lang w:val="en-US"/>
        </w:rPr>
        <w:t>multi-national</w:t>
      </w:r>
      <w:r w:rsidRPr="004936EF">
        <w:rPr>
          <w:lang w:val="en-US"/>
        </w:rPr>
        <w:t xml:space="preserve"> elements inscribed on the RL have the following </w:t>
      </w:r>
      <w:r w:rsidR="00E82481" w:rsidRPr="004936EF">
        <w:rPr>
          <w:lang w:val="en-US"/>
        </w:rPr>
        <w:t xml:space="preserve">geographical </w:t>
      </w:r>
      <w:r w:rsidRPr="004936EF">
        <w:rPr>
          <w:lang w:val="en-US"/>
        </w:rPr>
        <w:t>distribution:</w:t>
      </w:r>
    </w:p>
    <w:p w14:paraId="47C18D72" w14:textId="00343FC5" w:rsidR="00142AA4" w:rsidRPr="004936EF" w:rsidRDefault="00863E83" w:rsidP="009909DD">
      <w:pPr>
        <w:pStyle w:val="Texte1"/>
        <w:rPr>
          <w:b/>
        </w:rPr>
      </w:pPr>
      <w:proofErr w:type="spellStart"/>
      <w:r>
        <w:rPr>
          <w:b/>
        </w:rPr>
        <w:t>Three</w:t>
      </w:r>
      <w:proofErr w:type="spellEnd"/>
      <w:r w:rsidRPr="004936EF">
        <w:rPr>
          <w:b/>
        </w:rPr>
        <w:t xml:space="preserve"> </w:t>
      </w:r>
      <w:proofErr w:type="spellStart"/>
      <w:r w:rsidR="00142AA4" w:rsidRPr="004936EF">
        <w:rPr>
          <w:b/>
        </w:rPr>
        <w:t>from</w:t>
      </w:r>
      <w:proofErr w:type="spellEnd"/>
      <w:r w:rsidR="00142AA4" w:rsidRPr="004936EF">
        <w:rPr>
          <w:b/>
        </w:rPr>
        <w:t xml:space="preserve"> Europe:</w:t>
      </w:r>
    </w:p>
    <w:p w14:paraId="675C2D45" w14:textId="77777777" w:rsidR="00142AA4" w:rsidRPr="004936EF" w:rsidRDefault="00142AA4" w:rsidP="004936EF">
      <w:pPr>
        <w:pStyle w:val="Txtpucegras"/>
        <w:rPr>
          <w:lang w:val="en-US"/>
        </w:rPr>
      </w:pPr>
      <w:r w:rsidRPr="004936EF">
        <w:rPr>
          <w:lang w:val="en-US"/>
        </w:rPr>
        <w:t>Belgium</w:t>
      </w:r>
      <w:r w:rsidR="00DA7A5F" w:rsidRPr="004936EF">
        <w:rPr>
          <w:lang w:val="en-US"/>
        </w:rPr>
        <w:t xml:space="preserve"> and </w:t>
      </w:r>
      <w:r w:rsidRPr="004936EF">
        <w:rPr>
          <w:lang w:val="en-US"/>
        </w:rPr>
        <w:t>France: Processional Giants and Dragons</w:t>
      </w:r>
      <w:r w:rsidR="00DA7A5F" w:rsidRPr="004936EF">
        <w:rPr>
          <w:lang w:val="en-US"/>
        </w:rPr>
        <w:t xml:space="preserve"> in Belgium and France</w:t>
      </w:r>
      <w:r w:rsidRPr="004936EF">
        <w:rPr>
          <w:lang w:val="en-US"/>
        </w:rPr>
        <w:t xml:space="preserve"> (2008)</w:t>
      </w:r>
    </w:p>
    <w:p w14:paraId="5641AE9F" w14:textId="77777777" w:rsidR="00142AA4" w:rsidRDefault="00142AA4" w:rsidP="004936EF">
      <w:pPr>
        <w:pStyle w:val="Txtpucegras"/>
        <w:rPr>
          <w:lang w:val="en-US"/>
        </w:rPr>
      </w:pPr>
      <w:r w:rsidRPr="004936EF">
        <w:rPr>
          <w:lang w:val="en-US"/>
        </w:rPr>
        <w:t>Estonia</w:t>
      </w:r>
      <w:r w:rsidR="00DA7A5F" w:rsidRPr="004936EF">
        <w:rPr>
          <w:lang w:val="en-US"/>
        </w:rPr>
        <w:t xml:space="preserve">, </w:t>
      </w:r>
      <w:r w:rsidRPr="004936EF">
        <w:rPr>
          <w:lang w:val="en-US"/>
        </w:rPr>
        <w:t>Latvia</w:t>
      </w:r>
      <w:r w:rsidR="00DA7A5F" w:rsidRPr="004936EF">
        <w:rPr>
          <w:lang w:val="en-US"/>
        </w:rPr>
        <w:t xml:space="preserve"> and </w:t>
      </w:r>
      <w:r w:rsidRPr="004936EF">
        <w:rPr>
          <w:lang w:val="en-US"/>
        </w:rPr>
        <w:t xml:space="preserve">Lithuania: The Baltic Song and Dance </w:t>
      </w:r>
      <w:r w:rsidR="00232B82" w:rsidRPr="004936EF">
        <w:rPr>
          <w:lang w:val="en-US"/>
        </w:rPr>
        <w:t>C</w:t>
      </w:r>
      <w:r w:rsidRPr="004936EF">
        <w:rPr>
          <w:lang w:val="en-US"/>
        </w:rPr>
        <w:t xml:space="preserve">elebrations (2008) </w:t>
      </w:r>
    </w:p>
    <w:p w14:paraId="208EA986" w14:textId="1305BED4" w:rsidR="00863E83" w:rsidRPr="004936EF" w:rsidRDefault="00863E83" w:rsidP="00863E83">
      <w:pPr>
        <w:pStyle w:val="Txtpucegras"/>
        <w:rPr>
          <w:lang w:val="en-US"/>
        </w:rPr>
      </w:pPr>
      <w:r w:rsidRPr="00863E83">
        <w:rPr>
          <w:lang w:val="en-US"/>
        </w:rPr>
        <w:t>Romania</w:t>
      </w:r>
      <w:r>
        <w:rPr>
          <w:lang w:val="en-US"/>
        </w:rPr>
        <w:t xml:space="preserve"> and</w:t>
      </w:r>
      <w:r w:rsidRPr="0063086E">
        <w:rPr>
          <w:lang w:val="en-US"/>
        </w:rPr>
        <w:t xml:space="preserve"> </w:t>
      </w:r>
      <w:r>
        <w:rPr>
          <w:lang w:val="en-US"/>
        </w:rPr>
        <w:t xml:space="preserve">the </w:t>
      </w:r>
      <w:r w:rsidRPr="0063086E">
        <w:rPr>
          <w:lang w:val="en-US"/>
        </w:rPr>
        <w:t>Republic of Moldova</w:t>
      </w:r>
      <w:r>
        <w:rPr>
          <w:lang w:val="en-US"/>
        </w:rPr>
        <w:t xml:space="preserve">: </w:t>
      </w:r>
      <w:r w:rsidRPr="00863E83">
        <w:rPr>
          <w:lang w:val="en-US"/>
        </w:rPr>
        <w:t xml:space="preserve">Men’s group </w:t>
      </w:r>
      <w:proofErr w:type="spellStart"/>
      <w:r w:rsidRPr="00863E83">
        <w:rPr>
          <w:lang w:val="en-US"/>
        </w:rPr>
        <w:t>Colindat</w:t>
      </w:r>
      <w:proofErr w:type="spellEnd"/>
      <w:r w:rsidRPr="00863E83">
        <w:rPr>
          <w:lang w:val="en-US"/>
        </w:rPr>
        <w:t>, Christmas-time ritual</w:t>
      </w:r>
      <w:r>
        <w:rPr>
          <w:lang w:val="en-US"/>
        </w:rPr>
        <w:t xml:space="preserve"> (2013)</w:t>
      </w:r>
    </w:p>
    <w:p w14:paraId="30D4DB96" w14:textId="77777777" w:rsidR="00142AA4" w:rsidRPr="004936EF" w:rsidRDefault="00142AA4" w:rsidP="009909DD">
      <w:pPr>
        <w:pStyle w:val="Texte1"/>
        <w:rPr>
          <w:b/>
        </w:rPr>
      </w:pPr>
      <w:proofErr w:type="spellStart"/>
      <w:r w:rsidRPr="004936EF">
        <w:rPr>
          <w:b/>
        </w:rPr>
        <w:t>Three</w:t>
      </w:r>
      <w:proofErr w:type="spellEnd"/>
      <w:r w:rsidRPr="004936EF">
        <w:rPr>
          <w:b/>
        </w:rPr>
        <w:t xml:space="preserve"> </w:t>
      </w:r>
      <w:proofErr w:type="spellStart"/>
      <w:r w:rsidRPr="004936EF">
        <w:rPr>
          <w:b/>
        </w:rPr>
        <w:t>from</w:t>
      </w:r>
      <w:proofErr w:type="spellEnd"/>
      <w:r w:rsidRPr="004936EF">
        <w:rPr>
          <w:b/>
        </w:rPr>
        <w:t xml:space="preserve"> Latin </w:t>
      </w:r>
      <w:proofErr w:type="spellStart"/>
      <w:r w:rsidRPr="004936EF">
        <w:rPr>
          <w:b/>
        </w:rPr>
        <w:t>America</w:t>
      </w:r>
      <w:proofErr w:type="spellEnd"/>
      <w:r w:rsidRPr="004936EF">
        <w:rPr>
          <w:b/>
        </w:rPr>
        <w:t>:</w:t>
      </w:r>
    </w:p>
    <w:p w14:paraId="70F8CA74" w14:textId="77777777" w:rsidR="00142AA4" w:rsidRPr="004936EF" w:rsidRDefault="00142AA4" w:rsidP="004936EF">
      <w:pPr>
        <w:pStyle w:val="Txtpucegras"/>
        <w:rPr>
          <w:lang w:val="en-US"/>
        </w:rPr>
      </w:pPr>
      <w:r w:rsidRPr="004936EF">
        <w:rPr>
          <w:lang w:val="en-US"/>
        </w:rPr>
        <w:t>Belize</w:t>
      </w:r>
      <w:r w:rsidR="00DA7A5F" w:rsidRPr="004936EF">
        <w:rPr>
          <w:lang w:val="en-US"/>
        </w:rPr>
        <w:t xml:space="preserve">, </w:t>
      </w:r>
      <w:r w:rsidRPr="004936EF">
        <w:rPr>
          <w:lang w:val="en-US"/>
        </w:rPr>
        <w:t>Guatemala</w:t>
      </w:r>
      <w:r w:rsidR="00DA7A5F" w:rsidRPr="004936EF">
        <w:rPr>
          <w:lang w:val="en-US"/>
        </w:rPr>
        <w:t xml:space="preserve">, </w:t>
      </w:r>
      <w:r w:rsidRPr="004936EF">
        <w:rPr>
          <w:lang w:val="en-US"/>
        </w:rPr>
        <w:t>Honduras</w:t>
      </w:r>
      <w:r w:rsidR="00DA7A5F" w:rsidRPr="004936EF">
        <w:rPr>
          <w:lang w:val="en-US"/>
        </w:rPr>
        <w:t xml:space="preserve"> and </w:t>
      </w:r>
      <w:r w:rsidRPr="004936EF">
        <w:rPr>
          <w:lang w:val="en-US"/>
        </w:rPr>
        <w:t xml:space="preserve">Nicaragua: Language, Dance and Music of the Garifuna (2008) </w:t>
      </w:r>
    </w:p>
    <w:p w14:paraId="137BB07D" w14:textId="77777777" w:rsidR="00142AA4" w:rsidRPr="004936EF" w:rsidRDefault="00142AA4" w:rsidP="004936EF">
      <w:pPr>
        <w:pStyle w:val="Txtpucegras"/>
        <w:rPr>
          <w:lang w:val="en-US"/>
        </w:rPr>
      </w:pPr>
      <w:r w:rsidRPr="004936EF">
        <w:rPr>
          <w:lang w:val="en-US"/>
        </w:rPr>
        <w:t>Ecuador</w:t>
      </w:r>
      <w:r w:rsidR="00DA7A5F" w:rsidRPr="004936EF">
        <w:rPr>
          <w:lang w:val="en-US"/>
        </w:rPr>
        <w:t xml:space="preserve"> and </w:t>
      </w:r>
      <w:r w:rsidRPr="004936EF">
        <w:rPr>
          <w:lang w:val="en-US"/>
        </w:rPr>
        <w:t xml:space="preserve">Peru: The Oral Heritage and Cultural Manifestations of the </w:t>
      </w:r>
      <w:proofErr w:type="spellStart"/>
      <w:r w:rsidRPr="004936EF">
        <w:rPr>
          <w:lang w:val="en-US"/>
        </w:rPr>
        <w:t>Z</w:t>
      </w:r>
      <w:r w:rsidR="00DA7A5F" w:rsidRPr="004936EF">
        <w:rPr>
          <w:lang w:val="en-US"/>
        </w:rPr>
        <w:t>á</w:t>
      </w:r>
      <w:r w:rsidRPr="004936EF">
        <w:rPr>
          <w:lang w:val="en-US"/>
        </w:rPr>
        <w:t>para</w:t>
      </w:r>
      <w:proofErr w:type="spellEnd"/>
      <w:r w:rsidRPr="004936EF">
        <w:rPr>
          <w:lang w:val="en-US"/>
        </w:rPr>
        <w:t xml:space="preserve"> </w:t>
      </w:r>
      <w:r w:rsidR="00DA7A5F" w:rsidRPr="004936EF">
        <w:rPr>
          <w:lang w:val="en-US"/>
        </w:rPr>
        <w:t>P</w:t>
      </w:r>
      <w:r w:rsidRPr="004936EF">
        <w:rPr>
          <w:lang w:val="en-US"/>
        </w:rPr>
        <w:t>eople (2008)</w:t>
      </w:r>
    </w:p>
    <w:p w14:paraId="0B2E7811" w14:textId="77777777" w:rsidR="00142AA4" w:rsidRPr="004936EF" w:rsidRDefault="00142AA4" w:rsidP="004936EF">
      <w:pPr>
        <w:pStyle w:val="Txtpucegras"/>
      </w:pPr>
      <w:r w:rsidRPr="004936EF">
        <w:t>Argentina</w:t>
      </w:r>
      <w:r w:rsidR="00DA7A5F" w:rsidRPr="004936EF">
        <w:t xml:space="preserve"> and </w:t>
      </w:r>
      <w:r w:rsidRPr="004936EF">
        <w:t>Uruguay: Tango (2009)</w:t>
      </w:r>
    </w:p>
    <w:p w14:paraId="10C0D0B0" w14:textId="77777777" w:rsidR="00142AA4" w:rsidRPr="004936EF" w:rsidRDefault="00142AA4" w:rsidP="009909DD">
      <w:pPr>
        <w:pStyle w:val="Texte1"/>
        <w:rPr>
          <w:b/>
        </w:rPr>
      </w:pPr>
      <w:proofErr w:type="spellStart"/>
      <w:r w:rsidRPr="004936EF">
        <w:rPr>
          <w:b/>
        </w:rPr>
        <w:t>Three</w:t>
      </w:r>
      <w:proofErr w:type="spellEnd"/>
      <w:r w:rsidRPr="004936EF">
        <w:rPr>
          <w:b/>
        </w:rPr>
        <w:t xml:space="preserve"> </w:t>
      </w:r>
      <w:proofErr w:type="spellStart"/>
      <w:r w:rsidRPr="004936EF">
        <w:rPr>
          <w:b/>
        </w:rPr>
        <w:t>from</w:t>
      </w:r>
      <w:proofErr w:type="spellEnd"/>
      <w:r w:rsidRPr="004936EF">
        <w:rPr>
          <w:b/>
        </w:rPr>
        <w:t xml:space="preserve"> Asia:</w:t>
      </w:r>
    </w:p>
    <w:p w14:paraId="50129F5E" w14:textId="77777777" w:rsidR="00142AA4" w:rsidRPr="004936EF" w:rsidRDefault="00142AA4" w:rsidP="004936EF">
      <w:pPr>
        <w:pStyle w:val="Txtpucegras"/>
        <w:rPr>
          <w:lang w:val="en-US"/>
        </w:rPr>
      </w:pPr>
      <w:r w:rsidRPr="004936EF">
        <w:rPr>
          <w:lang w:val="en-US"/>
        </w:rPr>
        <w:t>Mongolia</w:t>
      </w:r>
      <w:r w:rsidR="00CF52DE" w:rsidRPr="004936EF">
        <w:rPr>
          <w:lang w:val="en-US"/>
        </w:rPr>
        <w:t xml:space="preserve"> and </w:t>
      </w:r>
      <w:r w:rsidRPr="004936EF">
        <w:rPr>
          <w:lang w:val="en-US"/>
        </w:rPr>
        <w:t>China</w:t>
      </w:r>
      <w:r w:rsidR="00CF52DE" w:rsidRPr="004936EF">
        <w:rPr>
          <w:lang w:val="en-US"/>
        </w:rPr>
        <w:t>:</w:t>
      </w:r>
      <w:r w:rsidRPr="004936EF">
        <w:rPr>
          <w:lang w:val="en-US"/>
        </w:rPr>
        <w:t xml:space="preserve"> </w:t>
      </w:r>
      <w:proofErr w:type="spellStart"/>
      <w:r w:rsidRPr="004936EF">
        <w:rPr>
          <w:lang w:val="en-US"/>
        </w:rPr>
        <w:t>Urtiin</w:t>
      </w:r>
      <w:proofErr w:type="spellEnd"/>
      <w:r w:rsidRPr="004936EF">
        <w:rPr>
          <w:lang w:val="en-US"/>
        </w:rPr>
        <w:t xml:space="preserve"> </w:t>
      </w:r>
      <w:proofErr w:type="spellStart"/>
      <w:r w:rsidRPr="004936EF">
        <w:rPr>
          <w:lang w:val="en-US"/>
        </w:rPr>
        <w:t>Duu</w:t>
      </w:r>
      <w:proofErr w:type="spellEnd"/>
      <w:r w:rsidR="00CF52DE" w:rsidRPr="004936EF">
        <w:rPr>
          <w:lang w:val="en-US"/>
        </w:rPr>
        <w:t xml:space="preserve"> –</w:t>
      </w:r>
      <w:r w:rsidRPr="004936EF">
        <w:rPr>
          <w:lang w:val="en-US"/>
        </w:rPr>
        <w:t xml:space="preserve"> </w:t>
      </w:r>
      <w:r w:rsidR="00CF52DE" w:rsidRPr="004936EF">
        <w:rPr>
          <w:lang w:val="en-US"/>
        </w:rPr>
        <w:t>T</w:t>
      </w:r>
      <w:r w:rsidRPr="004936EF">
        <w:rPr>
          <w:lang w:val="en-US"/>
        </w:rPr>
        <w:t xml:space="preserve">raditional </w:t>
      </w:r>
      <w:r w:rsidR="00CF52DE" w:rsidRPr="004936EF">
        <w:rPr>
          <w:lang w:val="en-US"/>
        </w:rPr>
        <w:t>F</w:t>
      </w:r>
      <w:r w:rsidRPr="004936EF">
        <w:rPr>
          <w:lang w:val="en-US"/>
        </w:rPr>
        <w:t xml:space="preserve">olk </w:t>
      </w:r>
      <w:r w:rsidR="00CF52DE" w:rsidRPr="004936EF">
        <w:rPr>
          <w:lang w:val="en-US"/>
        </w:rPr>
        <w:t>L</w:t>
      </w:r>
      <w:r w:rsidRPr="004936EF">
        <w:rPr>
          <w:lang w:val="en-US"/>
        </w:rPr>
        <w:t xml:space="preserve">ong </w:t>
      </w:r>
      <w:r w:rsidR="00CF52DE" w:rsidRPr="004936EF">
        <w:rPr>
          <w:lang w:val="en-US"/>
        </w:rPr>
        <w:t>S</w:t>
      </w:r>
      <w:r w:rsidRPr="004936EF">
        <w:rPr>
          <w:lang w:val="en-US"/>
        </w:rPr>
        <w:t xml:space="preserve">ong (2008) </w:t>
      </w:r>
    </w:p>
    <w:p w14:paraId="7578B229" w14:textId="77777777" w:rsidR="00142AA4" w:rsidRPr="004936EF" w:rsidRDefault="00142AA4" w:rsidP="004936EF">
      <w:pPr>
        <w:pStyle w:val="Txtpucegras"/>
        <w:rPr>
          <w:lang w:val="en-US"/>
        </w:rPr>
      </w:pPr>
      <w:r w:rsidRPr="004936EF">
        <w:rPr>
          <w:lang w:val="en-US"/>
        </w:rPr>
        <w:t>Uzbekistan</w:t>
      </w:r>
      <w:r w:rsidR="00CF52DE" w:rsidRPr="004936EF">
        <w:rPr>
          <w:lang w:val="en-US"/>
        </w:rPr>
        <w:t xml:space="preserve"> and </w:t>
      </w:r>
      <w:r w:rsidRPr="004936EF">
        <w:rPr>
          <w:lang w:val="en-US"/>
        </w:rPr>
        <w:t xml:space="preserve">Tajikistan: </w:t>
      </w:r>
      <w:proofErr w:type="spellStart"/>
      <w:r w:rsidRPr="004936EF">
        <w:rPr>
          <w:lang w:val="en-US"/>
        </w:rPr>
        <w:t>Shashmaqom</w:t>
      </w:r>
      <w:proofErr w:type="spellEnd"/>
      <w:r w:rsidRPr="004936EF">
        <w:rPr>
          <w:lang w:val="en-US"/>
        </w:rPr>
        <w:t xml:space="preserve"> Music (2008)</w:t>
      </w:r>
    </w:p>
    <w:p w14:paraId="3257C701" w14:textId="77777777" w:rsidR="00142AA4" w:rsidRPr="004936EF" w:rsidRDefault="00142AA4" w:rsidP="004936EF">
      <w:pPr>
        <w:pStyle w:val="Txtpucegras"/>
        <w:rPr>
          <w:lang w:val="en-US"/>
        </w:rPr>
      </w:pPr>
      <w:r w:rsidRPr="004936EF">
        <w:rPr>
          <w:lang w:val="en-US"/>
        </w:rPr>
        <w:t xml:space="preserve"> Azerbaijan</w:t>
      </w:r>
      <w:r w:rsidR="00F66386" w:rsidRPr="004936EF">
        <w:rPr>
          <w:lang w:val="en-US"/>
        </w:rPr>
        <w:t xml:space="preserve">, </w:t>
      </w:r>
      <w:r w:rsidRPr="004936EF">
        <w:rPr>
          <w:lang w:val="en-US"/>
        </w:rPr>
        <w:t>India</w:t>
      </w:r>
      <w:r w:rsidR="00F66386" w:rsidRPr="004936EF">
        <w:rPr>
          <w:lang w:val="en-US"/>
        </w:rPr>
        <w:t xml:space="preserve">, Islamic Republic of </w:t>
      </w:r>
      <w:r w:rsidRPr="004936EF">
        <w:rPr>
          <w:lang w:val="en-US"/>
        </w:rPr>
        <w:t>Iran</w:t>
      </w:r>
      <w:r w:rsidR="00F66386" w:rsidRPr="004936EF">
        <w:rPr>
          <w:lang w:val="en-US"/>
        </w:rPr>
        <w:t xml:space="preserve">, </w:t>
      </w:r>
      <w:r w:rsidRPr="004936EF">
        <w:rPr>
          <w:lang w:val="en-US"/>
        </w:rPr>
        <w:t>Kyrgyzstan</w:t>
      </w:r>
      <w:r w:rsidR="00F66386" w:rsidRPr="004936EF">
        <w:rPr>
          <w:lang w:val="en-US"/>
        </w:rPr>
        <w:t xml:space="preserve">, </w:t>
      </w:r>
      <w:r w:rsidRPr="004936EF">
        <w:rPr>
          <w:lang w:val="en-US"/>
        </w:rPr>
        <w:t>Pakistan</w:t>
      </w:r>
      <w:r w:rsidR="00F66386" w:rsidRPr="004936EF">
        <w:rPr>
          <w:lang w:val="en-US"/>
        </w:rPr>
        <w:t xml:space="preserve">, </w:t>
      </w:r>
      <w:r w:rsidRPr="004936EF">
        <w:rPr>
          <w:lang w:val="en-US"/>
        </w:rPr>
        <w:t>Turkey</w:t>
      </w:r>
      <w:r w:rsidR="00F66386" w:rsidRPr="004936EF">
        <w:rPr>
          <w:lang w:val="en-US"/>
        </w:rPr>
        <w:t xml:space="preserve"> and </w:t>
      </w:r>
      <w:r w:rsidRPr="004936EF">
        <w:rPr>
          <w:lang w:val="en-US"/>
        </w:rPr>
        <w:t xml:space="preserve">Uzbekistan: </w:t>
      </w:r>
      <w:proofErr w:type="spellStart"/>
      <w:r w:rsidRPr="004936EF">
        <w:rPr>
          <w:lang w:val="en-US"/>
        </w:rPr>
        <w:t>Novruz</w:t>
      </w:r>
      <w:proofErr w:type="spellEnd"/>
      <w:r w:rsidR="00F66386" w:rsidRPr="004936EF">
        <w:rPr>
          <w:lang w:val="en-US"/>
        </w:rPr>
        <w:t xml:space="preserve">, </w:t>
      </w:r>
      <w:proofErr w:type="spellStart"/>
      <w:r w:rsidR="00F66386" w:rsidRPr="004936EF">
        <w:rPr>
          <w:lang w:val="en-US"/>
        </w:rPr>
        <w:t>Nowrouz</w:t>
      </w:r>
      <w:proofErr w:type="spellEnd"/>
      <w:r w:rsidR="00F66386" w:rsidRPr="004936EF">
        <w:rPr>
          <w:lang w:val="en-US"/>
        </w:rPr>
        <w:t xml:space="preserve">, </w:t>
      </w:r>
      <w:proofErr w:type="spellStart"/>
      <w:r w:rsidR="00F66386" w:rsidRPr="004936EF">
        <w:rPr>
          <w:lang w:val="en-US"/>
        </w:rPr>
        <w:t>Nooruz</w:t>
      </w:r>
      <w:proofErr w:type="spellEnd"/>
      <w:r w:rsidR="00F66386" w:rsidRPr="004936EF">
        <w:rPr>
          <w:lang w:val="en-US"/>
        </w:rPr>
        <w:t xml:space="preserve">, </w:t>
      </w:r>
      <w:proofErr w:type="spellStart"/>
      <w:r w:rsidR="00F66386" w:rsidRPr="004936EF">
        <w:rPr>
          <w:lang w:val="en-US"/>
        </w:rPr>
        <w:t>Navruz</w:t>
      </w:r>
      <w:proofErr w:type="spellEnd"/>
      <w:r w:rsidR="00F66386" w:rsidRPr="004936EF">
        <w:rPr>
          <w:lang w:val="en-US"/>
        </w:rPr>
        <w:t xml:space="preserve">, </w:t>
      </w:r>
      <w:proofErr w:type="spellStart"/>
      <w:r w:rsidR="00F66386" w:rsidRPr="004936EF">
        <w:rPr>
          <w:lang w:val="en-US"/>
        </w:rPr>
        <w:t>Nauroz</w:t>
      </w:r>
      <w:proofErr w:type="spellEnd"/>
      <w:r w:rsidR="00F66386" w:rsidRPr="004936EF">
        <w:rPr>
          <w:lang w:val="en-US"/>
        </w:rPr>
        <w:t xml:space="preserve">, </w:t>
      </w:r>
      <w:proofErr w:type="spellStart"/>
      <w:r w:rsidR="00F66386" w:rsidRPr="004936EF">
        <w:rPr>
          <w:lang w:val="en-US"/>
        </w:rPr>
        <w:t>Nevruz</w:t>
      </w:r>
      <w:proofErr w:type="spellEnd"/>
      <w:r w:rsidRPr="004936EF">
        <w:rPr>
          <w:lang w:val="en-US"/>
        </w:rPr>
        <w:t xml:space="preserve"> </w:t>
      </w:r>
      <w:r w:rsidR="00F66386" w:rsidRPr="004936EF">
        <w:rPr>
          <w:lang w:val="en-US"/>
        </w:rPr>
        <w:t>[</w:t>
      </w:r>
      <w:r w:rsidRPr="004936EF">
        <w:rPr>
          <w:lang w:val="en-US"/>
        </w:rPr>
        <w:t>New Year celebrations</w:t>
      </w:r>
      <w:r w:rsidR="00F66386" w:rsidRPr="004936EF">
        <w:rPr>
          <w:lang w:val="en-US"/>
        </w:rPr>
        <w:t>]</w:t>
      </w:r>
      <w:r w:rsidRPr="004936EF">
        <w:rPr>
          <w:lang w:val="en-US"/>
        </w:rPr>
        <w:t xml:space="preserve"> (2009)</w:t>
      </w:r>
    </w:p>
    <w:p w14:paraId="6C7A51CB" w14:textId="3C5FAA12" w:rsidR="00142AA4" w:rsidRPr="004936EF" w:rsidRDefault="0085630E" w:rsidP="009909DD">
      <w:pPr>
        <w:pStyle w:val="Texte1"/>
        <w:rPr>
          <w:b/>
        </w:rPr>
      </w:pPr>
      <w:r w:rsidRPr="004936EF">
        <w:rPr>
          <w:b/>
        </w:rPr>
        <w:t xml:space="preserve">Four </w:t>
      </w:r>
      <w:r w:rsidR="00142AA4" w:rsidRPr="004936EF">
        <w:rPr>
          <w:b/>
        </w:rPr>
        <w:t xml:space="preserve"> </w:t>
      </w:r>
      <w:proofErr w:type="spellStart"/>
      <w:r w:rsidR="00142AA4" w:rsidRPr="004936EF">
        <w:rPr>
          <w:b/>
        </w:rPr>
        <w:t>from</w:t>
      </w:r>
      <w:proofErr w:type="spellEnd"/>
      <w:r w:rsidR="00142AA4" w:rsidRPr="004936EF">
        <w:rPr>
          <w:b/>
        </w:rPr>
        <w:t xml:space="preserve"> </w:t>
      </w:r>
      <w:proofErr w:type="spellStart"/>
      <w:r w:rsidR="00142AA4" w:rsidRPr="004936EF">
        <w:rPr>
          <w:b/>
        </w:rPr>
        <w:t>Africa</w:t>
      </w:r>
      <w:proofErr w:type="spellEnd"/>
      <w:r w:rsidR="00142AA4" w:rsidRPr="004936EF">
        <w:rPr>
          <w:b/>
        </w:rPr>
        <w:t>:</w:t>
      </w:r>
    </w:p>
    <w:p w14:paraId="2BA0D02F" w14:textId="77777777" w:rsidR="00142AA4" w:rsidRPr="004936EF" w:rsidRDefault="00142AA4" w:rsidP="004936EF">
      <w:pPr>
        <w:pStyle w:val="Txtpucegras"/>
        <w:rPr>
          <w:lang w:val="en-US"/>
        </w:rPr>
      </w:pPr>
      <w:r w:rsidRPr="004936EF">
        <w:rPr>
          <w:lang w:val="en-US"/>
        </w:rPr>
        <w:t>Benin</w:t>
      </w:r>
      <w:r w:rsidR="00F66386" w:rsidRPr="004936EF">
        <w:rPr>
          <w:lang w:val="en-US"/>
        </w:rPr>
        <w:t xml:space="preserve">, </w:t>
      </w:r>
      <w:r w:rsidRPr="004936EF">
        <w:rPr>
          <w:lang w:val="en-US"/>
        </w:rPr>
        <w:t>Nigeria</w:t>
      </w:r>
      <w:r w:rsidR="00F66386" w:rsidRPr="004936EF">
        <w:rPr>
          <w:lang w:val="en-US"/>
        </w:rPr>
        <w:t xml:space="preserve"> and </w:t>
      </w:r>
      <w:r w:rsidRPr="004936EF">
        <w:rPr>
          <w:lang w:val="en-US"/>
        </w:rPr>
        <w:t xml:space="preserve">Togo: The Oral Heritage of </w:t>
      </w:r>
      <w:proofErr w:type="spellStart"/>
      <w:r w:rsidRPr="004936EF">
        <w:rPr>
          <w:lang w:val="en-US"/>
        </w:rPr>
        <w:t>Gelede</w:t>
      </w:r>
      <w:proofErr w:type="spellEnd"/>
      <w:r w:rsidRPr="004936EF">
        <w:rPr>
          <w:lang w:val="en-US"/>
        </w:rPr>
        <w:t xml:space="preserve"> (2008)</w:t>
      </w:r>
    </w:p>
    <w:p w14:paraId="535F633B" w14:textId="77777777" w:rsidR="00142AA4" w:rsidRPr="004936EF" w:rsidRDefault="00142AA4" w:rsidP="004936EF">
      <w:pPr>
        <w:pStyle w:val="Txtpucegras"/>
        <w:rPr>
          <w:lang w:val="en-US"/>
        </w:rPr>
      </w:pPr>
      <w:r w:rsidRPr="004936EF">
        <w:rPr>
          <w:lang w:val="en-US"/>
        </w:rPr>
        <w:t xml:space="preserve"> Malawi</w:t>
      </w:r>
      <w:r w:rsidR="00F66386" w:rsidRPr="004936EF">
        <w:rPr>
          <w:lang w:val="en-US"/>
        </w:rPr>
        <w:t xml:space="preserve">, </w:t>
      </w:r>
      <w:r w:rsidRPr="004936EF">
        <w:rPr>
          <w:lang w:val="en-US"/>
        </w:rPr>
        <w:t>Mozambique</w:t>
      </w:r>
      <w:r w:rsidR="00F66386" w:rsidRPr="004936EF">
        <w:rPr>
          <w:lang w:val="en-US"/>
        </w:rPr>
        <w:t xml:space="preserve"> and </w:t>
      </w:r>
      <w:r w:rsidRPr="004936EF">
        <w:rPr>
          <w:lang w:val="en-US"/>
        </w:rPr>
        <w:t xml:space="preserve">Zambia: The </w:t>
      </w:r>
      <w:proofErr w:type="spellStart"/>
      <w:r w:rsidRPr="004936EF">
        <w:rPr>
          <w:lang w:val="en-US"/>
        </w:rPr>
        <w:t>Gule</w:t>
      </w:r>
      <w:proofErr w:type="spellEnd"/>
      <w:r w:rsidRPr="004936EF">
        <w:rPr>
          <w:lang w:val="en-US"/>
        </w:rPr>
        <w:t xml:space="preserve"> </w:t>
      </w:r>
      <w:proofErr w:type="spellStart"/>
      <w:r w:rsidR="007C7A2B" w:rsidRPr="004936EF">
        <w:rPr>
          <w:lang w:val="en-US"/>
        </w:rPr>
        <w:t>Wamkulu</w:t>
      </w:r>
      <w:proofErr w:type="spellEnd"/>
      <w:r w:rsidR="007C7A2B" w:rsidRPr="004936EF">
        <w:rPr>
          <w:lang w:val="en-US"/>
        </w:rPr>
        <w:t xml:space="preserve"> </w:t>
      </w:r>
      <w:r w:rsidRPr="004936EF">
        <w:rPr>
          <w:lang w:val="en-US"/>
        </w:rPr>
        <w:t>(2008)</w:t>
      </w:r>
    </w:p>
    <w:p w14:paraId="0D6EA534" w14:textId="77777777" w:rsidR="00142AA4" w:rsidRPr="004936EF" w:rsidRDefault="00142AA4" w:rsidP="004936EF">
      <w:pPr>
        <w:pStyle w:val="Txtpucegras"/>
        <w:rPr>
          <w:lang w:val="en-US"/>
        </w:rPr>
      </w:pPr>
      <w:r w:rsidRPr="004936EF">
        <w:rPr>
          <w:lang w:val="en-US"/>
        </w:rPr>
        <w:t>Senegal</w:t>
      </w:r>
      <w:r w:rsidR="00F66386" w:rsidRPr="004936EF">
        <w:rPr>
          <w:lang w:val="en-US"/>
        </w:rPr>
        <w:t xml:space="preserve"> and </w:t>
      </w:r>
      <w:r w:rsidRPr="004936EF">
        <w:rPr>
          <w:lang w:val="en-US"/>
        </w:rPr>
        <w:t xml:space="preserve">Gambia: The </w:t>
      </w:r>
      <w:proofErr w:type="spellStart"/>
      <w:r w:rsidRPr="004936EF">
        <w:rPr>
          <w:lang w:val="en-US"/>
        </w:rPr>
        <w:t>Kankurang</w:t>
      </w:r>
      <w:proofErr w:type="spellEnd"/>
      <w:r w:rsidR="00F66386" w:rsidRPr="004936EF">
        <w:rPr>
          <w:lang w:val="en-US"/>
        </w:rPr>
        <w:t>,</w:t>
      </w:r>
      <w:r w:rsidRPr="004936EF">
        <w:rPr>
          <w:lang w:val="en-US"/>
        </w:rPr>
        <w:t xml:space="preserve"> </w:t>
      </w:r>
      <w:proofErr w:type="spellStart"/>
      <w:r w:rsidRPr="004936EF">
        <w:rPr>
          <w:lang w:val="en-US"/>
        </w:rPr>
        <w:t>Manding</w:t>
      </w:r>
      <w:proofErr w:type="spellEnd"/>
      <w:r w:rsidRPr="004936EF">
        <w:rPr>
          <w:lang w:val="en-US"/>
        </w:rPr>
        <w:t xml:space="preserve"> </w:t>
      </w:r>
      <w:r w:rsidR="00F66386" w:rsidRPr="004936EF">
        <w:rPr>
          <w:lang w:val="en-US"/>
        </w:rPr>
        <w:t>I</w:t>
      </w:r>
      <w:r w:rsidRPr="004936EF">
        <w:rPr>
          <w:lang w:val="en-US"/>
        </w:rPr>
        <w:t xml:space="preserve">nitiatory </w:t>
      </w:r>
      <w:r w:rsidR="00F66386" w:rsidRPr="004936EF">
        <w:rPr>
          <w:lang w:val="en-US"/>
        </w:rPr>
        <w:t>R</w:t>
      </w:r>
      <w:r w:rsidRPr="004936EF">
        <w:rPr>
          <w:lang w:val="en-US"/>
        </w:rPr>
        <w:t>ite (2008)</w:t>
      </w:r>
    </w:p>
    <w:p w14:paraId="68C47C67" w14:textId="433A108A" w:rsidR="003C185A" w:rsidRPr="004936EF" w:rsidRDefault="00EE660D" w:rsidP="004936EF">
      <w:pPr>
        <w:pStyle w:val="Txtpucegras"/>
        <w:jc w:val="left"/>
        <w:rPr>
          <w:lang w:val="en-US"/>
        </w:rPr>
      </w:pPr>
      <w:hyperlink r:id="rId13" w:tooltip="00849" w:history="1">
        <w:r w:rsidR="006C56B5" w:rsidRPr="004936EF">
          <w:rPr>
            <w:rStyle w:val="Hyperlink"/>
            <w:color w:val="auto"/>
            <w:u w:val="none"/>
            <w:lang w:val="en-US"/>
          </w:rPr>
          <w:t>Cultural practices and expressions linked to the balafon of the Senufo communities of Mali, Burkina Faso and Côte d’Ivoire</w:t>
        </w:r>
      </w:hyperlink>
      <w:r w:rsidR="006C56B5" w:rsidRPr="004936EF">
        <w:rPr>
          <w:lang w:val="en-US"/>
        </w:rPr>
        <w:t xml:space="preserve"> (2012) </w:t>
      </w:r>
      <w:bookmarkStart w:id="11" w:name="_GoBack"/>
      <w:bookmarkEnd w:id="11"/>
    </w:p>
    <w:p w14:paraId="54E56451" w14:textId="77777777" w:rsidR="003C185A" w:rsidRPr="004936EF" w:rsidRDefault="003C185A" w:rsidP="009909DD">
      <w:pPr>
        <w:pStyle w:val="Texte1"/>
        <w:rPr>
          <w:b/>
        </w:rPr>
      </w:pPr>
      <w:r w:rsidRPr="004936EF">
        <w:rPr>
          <w:b/>
        </w:rPr>
        <w:t xml:space="preserve">One </w:t>
      </w:r>
      <w:proofErr w:type="spellStart"/>
      <w:r w:rsidRPr="004936EF">
        <w:rPr>
          <w:b/>
        </w:rPr>
        <w:t>from</w:t>
      </w:r>
      <w:proofErr w:type="spellEnd"/>
      <w:r w:rsidRPr="004936EF">
        <w:rPr>
          <w:b/>
        </w:rPr>
        <w:t xml:space="preserve"> the </w:t>
      </w:r>
      <w:proofErr w:type="spellStart"/>
      <w:r w:rsidRPr="004936EF">
        <w:rPr>
          <w:b/>
        </w:rPr>
        <w:t>Arab</w:t>
      </w:r>
      <w:proofErr w:type="spellEnd"/>
      <w:r w:rsidRPr="004936EF">
        <w:rPr>
          <w:b/>
        </w:rPr>
        <w:t xml:space="preserve"> </w:t>
      </w:r>
      <w:proofErr w:type="spellStart"/>
      <w:r w:rsidRPr="004936EF">
        <w:rPr>
          <w:b/>
        </w:rPr>
        <w:t>Region</w:t>
      </w:r>
      <w:proofErr w:type="spellEnd"/>
      <w:r w:rsidRPr="004936EF">
        <w:rPr>
          <w:b/>
        </w:rPr>
        <w:t xml:space="preserve"> </w:t>
      </w:r>
    </w:p>
    <w:p w14:paraId="7F465CA6" w14:textId="77777777" w:rsidR="003C185A" w:rsidRPr="004936EF" w:rsidRDefault="003C185A" w:rsidP="004936EF">
      <w:pPr>
        <w:pStyle w:val="Txtpucegras"/>
        <w:rPr>
          <w:lang w:val="en-US"/>
        </w:rPr>
      </w:pPr>
      <w:r w:rsidRPr="004936EF">
        <w:rPr>
          <w:lang w:val="en-US"/>
        </w:rPr>
        <w:t>United Arab Emirates and Oman: Al-</w:t>
      </w:r>
      <w:proofErr w:type="spellStart"/>
      <w:r w:rsidRPr="004936EF">
        <w:rPr>
          <w:lang w:val="en-US"/>
        </w:rPr>
        <w:t>Taghrooda</w:t>
      </w:r>
      <w:proofErr w:type="spellEnd"/>
      <w:r w:rsidRPr="004936EF">
        <w:rPr>
          <w:lang w:val="en-US"/>
        </w:rPr>
        <w:t>, traditional Bedouin chanted poetry in the United Arab Emirates and the Sultanate of Oman</w:t>
      </w:r>
      <w:r w:rsidR="006C56B5" w:rsidRPr="004936EF">
        <w:rPr>
          <w:lang w:val="en-US"/>
        </w:rPr>
        <w:t xml:space="preserve"> (2012)</w:t>
      </w:r>
    </w:p>
    <w:p w14:paraId="495D5BB8" w14:textId="6F7F2734" w:rsidR="00142AA4" w:rsidRPr="004936EF" w:rsidRDefault="00863E83" w:rsidP="009909DD">
      <w:pPr>
        <w:pStyle w:val="Texte1"/>
        <w:rPr>
          <w:b/>
        </w:rPr>
      </w:pPr>
      <w:proofErr w:type="spellStart"/>
      <w:r>
        <w:rPr>
          <w:b/>
        </w:rPr>
        <w:t>Three</w:t>
      </w:r>
      <w:proofErr w:type="spellEnd"/>
      <w:r w:rsidRPr="004936EF">
        <w:rPr>
          <w:b/>
        </w:rPr>
        <w:t xml:space="preserve"> </w:t>
      </w:r>
      <w:proofErr w:type="spellStart"/>
      <w:r w:rsidR="00142AA4" w:rsidRPr="004936EF">
        <w:rPr>
          <w:b/>
        </w:rPr>
        <w:t>interregional</w:t>
      </w:r>
      <w:proofErr w:type="spellEnd"/>
      <w:r w:rsidR="00BE0B00" w:rsidRPr="004936EF">
        <w:rPr>
          <w:b/>
        </w:rPr>
        <w:t xml:space="preserve"> </w:t>
      </w:r>
      <w:proofErr w:type="spellStart"/>
      <w:r w:rsidR="00BE0B00" w:rsidRPr="004936EF">
        <w:rPr>
          <w:b/>
        </w:rPr>
        <w:t>ones</w:t>
      </w:r>
      <w:proofErr w:type="spellEnd"/>
      <w:r w:rsidR="00142AA4" w:rsidRPr="004936EF">
        <w:rPr>
          <w:b/>
        </w:rPr>
        <w:t>:</w:t>
      </w:r>
    </w:p>
    <w:p w14:paraId="1D946ECC" w14:textId="77777777" w:rsidR="00142AA4" w:rsidRPr="004936EF" w:rsidRDefault="00142AA4" w:rsidP="004936EF">
      <w:pPr>
        <w:pStyle w:val="Txtpucegras"/>
        <w:rPr>
          <w:lang w:val="en-US"/>
        </w:rPr>
      </w:pPr>
      <w:r w:rsidRPr="004936EF">
        <w:rPr>
          <w:lang w:val="en-US"/>
        </w:rPr>
        <w:t>United Arab Emirates,</w:t>
      </w:r>
      <w:r w:rsidR="003C185A" w:rsidRPr="004936EF">
        <w:rPr>
          <w:lang w:val="en-US"/>
        </w:rPr>
        <w:t xml:space="preserve"> Austria,</w:t>
      </w:r>
      <w:r w:rsidRPr="004936EF">
        <w:rPr>
          <w:lang w:val="en-US"/>
        </w:rPr>
        <w:t xml:space="preserve"> Belgium, Czech Republic, France, </w:t>
      </w:r>
      <w:r w:rsidR="00B019FA" w:rsidRPr="004936EF">
        <w:rPr>
          <w:lang w:val="en-US"/>
        </w:rPr>
        <w:t xml:space="preserve">Hungary, </w:t>
      </w:r>
      <w:r w:rsidR="00F5436B" w:rsidRPr="004936EF">
        <w:rPr>
          <w:lang w:val="en-US"/>
        </w:rPr>
        <w:t xml:space="preserve">Republic of </w:t>
      </w:r>
      <w:r w:rsidRPr="004936EF">
        <w:rPr>
          <w:lang w:val="en-US"/>
        </w:rPr>
        <w:t>Korea, Mongolia, Morocco, Qatar, Saudi Arabia, Spain</w:t>
      </w:r>
      <w:r w:rsidR="00F5436B" w:rsidRPr="004936EF">
        <w:rPr>
          <w:lang w:val="en-US"/>
        </w:rPr>
        <w:t xml:space="preserve"> and</w:t>
      </w:r>
      <w:r w:rsidRPr="004936EF">
        <w:rPr>
          <w:lang w:val="en-US"/>
        </w:rPr>
        <w:t xml:space="preserve"> Syria</w:t>
      </w:r>
      <w:r w:rsidR="00F5436B" w:rsidRPr="004936EF">
        <w:rPr>
          <w:lang w:val="en-US"/>
        </w:rPr>
        <w:t>n Arab Republic</w:t>
      </w:r>
      <w:r w:rsidRPr="004936EF">
        <w:rPr>
          <w:lang w:val="en-US"/>
        </w:rPr>
        <w:t>:</w:t>
      </w:r>
      <w:r w:rsidR="00DD6DB5" w:rsidRPr="004936EF">
        <w:rPr>
          <w:lang w:val="en-US"/>
        </w:rPr>
        <w:t xml:space="preserve"> </w:t>
      </w:r>
      <w:r w:rsidRPr="004936EF">
        <w:rPr>
          <w:lang w:val="en-US"/>
        </w:rPr>
        <w:t>Falconry</w:t>
      </w:r>
      <w:r w:rsidR="00F5436B" w:rsidRPr="004936EF">
        <w:rPr>
          <w:lang w:val="en-US"/>
        </w:rPr>
        <w:t>, a living human heritage</w:t>
      </w:r>
      <w:r w:rsidRPr="004936EF">
        <w:rPr>
          <w:lang w:val="en-US"/>
        </w:rPr>
        <w:t xml:space="preserve"> (2010)</w:t>
      </w:r>
    </w:p>
    <w:p w14:paraId="626B507D" w14:textId="6037D524" w:rsidR="00142AA4" w:rsidRDefault="007C081F" w:rsidP="004936EF">
      <w:pPr>
        <w:pStyle w:val="Txtpucegras"/>
        <w:rPr>
          <w:lang w:val="en-US"/>
        </w:rPr>
      </w:pPr>
      <w:r>
        <w:rPr>
          <w:lang w:val="en-US"/>
        </w:rPr>
        <w:t xml:space="preserve">Cyprus, Croatia, </w:t>
      </w:r>
      <w:r w:rsidR="00142AA4" w:rsidRPr="004936EF">
        <w:rPr>
          <w:lang w:val="en-US"/>
        </w:rPr>
        <w:t>Spain, Greece, Italy</w:t>
      </w:r>
      <w:r>
        <w:rPr>
          <w:lang w:val="en-US"/>
        </w:rPr>
        <w:t>,</w:t>
      </w:r>
      <w:r w:rsidR="00F5436B" w:rsidRPr="004936EF">
        <w:rPr>
          <w:lang w:val="en-US"/>
        </w:rPr>
        <w:t xml:space="preserve"> </w:t>
      </w:r>
      <w:r w:rsidR="00142AA4" w:rsidRPr="004936EF">
        <w:rPr>
          <w:lang w:val="en-US"/>
        </w:rPr>
        <w:t>Morocco</w:t>
      </w:r>
      <w:r>
        <w:rPr>
          <w:lang w:val="en-US"/>
        </w:rPr>
        <w:t xml:space="preserve"> and Portugal</w:t>
      </w:r>
      <w:r w:rsidR="00142AA4" w:rsidRPr="004936EF">
        <w:rPr>
          <w:lang w:val="en-US"/>
        </w:rPr>
        <w:t xml:space="preserve">: The Mediterranean </w:t>
      </w:r>
      <w:r w:rsidR="00F5436B" w:rsidRPr="004936EF">
        <w:rPr>
          <w:lang w:val="en-US"/>
        </w:rPr>
        <w:t>d</w:t>
      </w:r>
      <w:r w:rsidR="00142AA4" w:rsidRPr="004936EF">
        <w:rPr>
          <w:lang w:val="en-US"/>
        </w:rPr>
        <w:t>iet (</w:t>
      </w:r>
      <w:r w:rsidR="007F72CE">
        <w:rPr>
          <w:lang w:val="en-US"/>
        </w:rPr>
        <w:t>2013</w:t>
      </w:r>
      <w:r w:rsidR="00142AA4" w:rsidRPr="004936EF">
        <w:rPr>
          <w:lang w:val="en-US"/>
        </w:rPr>
        <w:t>)</w:t>
      </w:r>
    </w:p>
    <w:p w14:paraId="5298D640" w14:textId="533E213F" w:rsidR="00863E83" w:rsidRPr="0063086E" w:rsidRDefault="00863E83" w:rsidP="00863E83">
      <w:pPr>
        <w:pStyle w:val="Txtpucegras"/>
        <w:rPr>
          <w:lang w:val="en-US"/>
        </w:rPr>
      </w:pPr>
      <w:r w:rsidRPr="0063086E">
        <w:rPr>
          <w:lang w:val="en-US"/>
        </w:rPr>
        <w:t>Algeria</w:t>
      </w:r>
      <w:r>
        <w:rPr>
          <w:lang w:val="en-US"/>
        </w:rPr>
        <w:t xml:space="preserve">, </w:t>
      </w:r>
      <w:r w:rsidRPr="0063086E">
        <w:rPr>
          <w:lang w:val="en-US"/>
        </w:rPr>
        <w:t xml:space="preserve">Mali </w:t>
      </w:r>
      <w:r>
        <w:rPr>
          <w:lang w:val="en-US"/>
        </w:rPr>
        <w:t>and</w:t>
      </w:r>
      <w:r w:rsidRPr="0063086E">
        <w:rPr>
          <w:lang w:val="en-US"/>
        </w:rPr>
        <w:t xml:space="preserve"> Niger</w:t>
      </w:r>
      <w:r>
        <w:rPr>
          <w:lang w:val="en-US"/>
        </w:rPr>
        <w:t>:</w:t>
      </w:r>
      <w:r w:rsidRPr="0063086E">
        <w:rPr>
          <w:lang w:val="en-US"/>
        </w:rPr>
        <w:t xml:space="preserve"> </w:t>
      </w:r>
      <w:hyperlink r:id="rId14" w:tooltip="00891" w:history="1">
        <w:r w:rsidRPr="0063086E">
          <w:rPr>
            <w:lang w:val="en-US"/>
          </w:rPr>
          <w:t xml:space="preserve">Practices and knowledge linked to the </w:t>
        </w:r>
        <w:proofErr w:type="spellStart"/>
        <w:r w:rsidRPr="0063086E">
          <w:rPr>
            <w:lang w:val="en-US"/>
          </w:rPr>
          <w:t>Imzad</w:t>
        </w:r>
        <w:proofErr w:type="spellEnd"/>
        <w:r w:rsidRPr="0063086E">
          <w:rPr>
            <w:lang w:val="en-US"/>
          </w:rPr>
          <w:t xml:space="preserve"> of the </w:t>
        </w:r>
        <w:proofErr w:type="spellStart"/>
        <w:r w:rsidRPr="0063086E">
          <w:rPr>
            <w:lang w:val="en-US"/>
          </w:rPr>
          <w:t>Tuareg</w:t>
        </w:r>
        <w:proofErr w:type="spellEnd"/>
        <w:r w:rsidRPr="0063086E">
          <w:rPr>
            <w:lang w:val="en-US"/>
          </w:rPr>
          <w:t xml:space="preserve"> communities of Algeria, Mali and Niger</w:t>
        </w:r>
      </w:hyperlink>
      <w:r>
        <w:rPr>
          <w:lang w:val="en-US"/>
        </w:rPr>
        <w:t xml:space="preserve"> (2013)</w:t>
      </w:r>
    </w:p>
    <w:p w14:paraId="49FBB715" w14:textId="77777777" w:rsidR="00B21B13" w:rsidRPr="0063086E" w:rsidRDefault="00B21B13" w:rsidP="0063086E">
      <w:pPr>
        <w:pStyle w:val="Soustitre"/>
        <w:rPr>
          <w:lang w:val="en-US"/>
        </w:rPr>
      </w:pPr>
      <w:r w:rsidRPr="0063086E">
        <w:rPr>
          <w:lang w:val="en-US"/>
        </w:rPr>
        <w:t>Exercise</w:t>
      </w:r>
      <w:r w:rsidR="00C34BC4" w:rsidRPr="0063086E">
        <w:rPr>
          <w:lang w:val="en-US"/>
        </w:rPr>
        <w:t xml:space="preserve"> (30 mins): a sample shared element</w:t>
      </w:r>
    </w:p>
    <w:p w14:paraId="58AB7B24" w14:textId="4006C4F8" w:rsidR="00B21B13" w:rsidRPr="004936EF" w:rsidRDefault="00A569A2" w:rsidP="009909DD">
      <w:pPr>
        <w:pStyle w:val="Texte1"/>
        <w:rPr>
          <w:lang w:val="en-US"/>
        </w:rPr>
      </w:pPr>
      <w:r>
        <w:rPr>
          <w:noProof/>
          <w:kern w:val="28"/>
          <w:lang w:val="es-ES_tradnl" w:eastAsia="es-ES_tradnl"/>
        </w:rPr>
        <w:drawing>
          <wp:anchor distT="0" distB="0" distL="114300" distR="114300" simplePos="0" relativeHeight="251679744" behindDoc="0" locked="0" layoutInCell="1" allowOverlap="1" wp14:anchorId="63C009EB" wp14:editId="5EBF23C7">
            <wp:simplePos x="0" y="0"/>
            <wp:positionH relativeFrom="column">
              <wp:posOffset>-3175</wp:posOffset>
            </wp:positionH>
            <wp:positionV relativeFrom="paragraph">
              <wp:posOffset>66040</wp:posOffset>
            </wp:positionV>
            <wp:extent cx="294640" cy="347345"/>
            <wp:effectExtent l="0" t="0" r="0" b="0"/>
            <wp:wrapNone/>
            <wp:docPr id="1" name="Picture 1"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B13" w:rsidRPr="00141792">
        <w:rPr>
          <w:lang w:val="en-GB"/>
        </w:rPr>
        <w:t>In this exercise</w:t>
      </w:r>
      <w:r w:rsidR="00F5436B" w:rsidRPr="00141792">
        <w:rPr>
          <w:lang w:val="en-GB"/>
        </w:rPr>
        <w:t>,</w:t>
      </w:r>
      <w:r w:rsidR="00B21B13" w:rsidRPr="00141792">
        <w:rPr>
          <w:lang w:val="en-GB"/>
        </w:rPr>
        <w:t xml:space="preserve"> participants are introduced to a</w:t>
      </w:r>
      <w:r w:rsidR="002F3BC4" w:rsidRPr="00141792">
        <w:rPr>
          <w:lang w:val="en-GB"/>
        </w:rPr>
        <w:t xml:space="preserve"> </w:t>
      </w:r>
      <w:r w:rsidR="004D5C1A" w:rsidRPr="00141792">
        <w:rPr>
          <w:lang w:val="en-GB"/>
        </w:rPr>
        <w:t xml:space="preserve">mock </w:t>
      </w:r>
      <w:r w:rsidR="00B21B13" w:rsidRPr="00141792">
        <w:rPr>
          <w:lang w:val="en-GB"/>
        </w:rPr>
        <w:t xml:space="preserve">sample </w:t>
      </w:r>
      <w:r w:rsidR="00C649C4" w:rsidRPr="00141792">
        <w:rPr>
          <w:lang w:val="en-GB"/>
        </w:rPr>
        <w:t xml:space="preserve">shared </w:t>
      </w:r>
      <w:r w:rsidR="00B21B13" w:rsidRPr="00141792">
        <w:rPr>
          <w:lang w:val="en-GB"/>
        </w:rPr>
        <w:t xml:space="preserve">element </w:t>
      </w:r>
      <w:r w:rsidR="004E219B" w:rsidRPr="00141792">
        <w:rPr>
          <w:lang w:val="en-GB"/>
        </w:rPr>
        <w:t>(invented for the purpose of discussion)</w:t>
      </w:r>
      <w:r w:rsidR="002F3BC4" w:rsidRPr="00141792">
        <w:rPr>
          <w:lang w:val="en-GB"/>
        </w:rPr>
        <w:t>.</w:t>
      </w:r>
      <w:r w:rsidR="00F5436B" w:rsidRPr="00141792">
        <w:rPr>
          <w:lang w:val="en-GB"/>
        </w:rPr>
        <w:t xml:space="preserve"> They</w:t>
      </w:r>
      <w:r w:rsidR="004E219B" w:rsidRPr="00141792">
        <w:rPr>
          <w:lang w:val="en-GB"/>
        </w:rPr>
        <w:t xml:space="preserve"> </w:t>
      </w:r>
      <w:r w:rsidR="00F5436B" w:rsidRPr="00141792">
        <w:rPr>
          <w:lang w:val="en-GB"/>
        </w:rPr>
        <w:t xml:space="preserve">can </w:t>
      </w:r>
      <w:r w:rsidR="00B21B13" w:rsidRPr="00141792">
        <w:rPr>
          <w:lang w:val="en-GB"/>
        </w:rPr>
        <w:t>then</w:t>
      </w:r>
      <w:r w:rsidR="00562F66" w:rsidRPr="00141792">
        <w:rPr>
          <w:lang w:val="en-GB"/>
        </w:rPr>
        <w:t xml:space="preserve"> be invited to</w:t>
      </w:r>
      <w:r w:rsidR="00B21B13" w:rsidRPr="00141792">
        <w:rPr>
          <w:lang w:val="en-GB"/>
        </w:rPr>
        <w:t xml:space="preserve"> </w:t>
      </w:r>
      <w:r w:rsidR="00C649C4" w:rsidRPr="00141792">
        <w:rPr>
          <w:lang w:val="en-GB"/>
        </w:rPr>
        <w:t xml:space="preserve">discuss various questions </w:t>
      </w:r>
      <w:r w:rsidR="00F5436B" w:rsidRPr="00141792">
        <w:rPr>
          <w:lang w:val="en-GB"/>
        </w:rPr>
        <w:t>concerning</w:t>
      </w:r>
      <w:r w:rsidR="00C649C4" w:rsidRPr="00141792">
        <w:rPr>
          <w:lang w:val="en-GB"/>
        </w:rPr>
        <w:t xml:space="preserve"> </w:t>
      </w:r>
      <w:r w:rsidR="00A60F2E" w:rsidRPr="00141792">
        <w:rPr>
          <w:lang w:val="en-GB"/>
        </w:rPr>
        <w:t>multi-national</w:t>
      </w:r>
      <w:r w:rsidR="00C649C4" w:rsidRPr="00141792">
        <w:rPr>
          <w:lang w:val="en-GB"/>
        </w:rPr>
        <w:t xml:space="preserve"> nominations.</w:t>
      </w:r>
    </w:p>
    <w:p w14:paraId="459FFE1A" w14:textId="03F3EE39" w:rsidR="00827FFC" w:rsidRPr="004936EF" w:rsidRDefault="00C649C4" w:rsidP="009909DD">
      <w:pPr>
        <w:pStyle w:val="Texte1"/>
        <w:rPr>
          <w:lang w:val="en-US"/>
        </w:rPr>
      </w:pPr>
      <w:r w:rsidRPr="004936EF">
        <w:rPr>
          <w:lang w:val="en-US"/>
        </w:rPr>
        <w:t xml:space="preserve">In East Africa, a </w:t>
      </w:r>
      <w:r w:rsidR="00AD41C2" w:rsidRPr="004936EF">
        <w:rPr>
          <w:lang w:val="en-US"/>
        </w:rPr>
        <w:t>lake</w:t>
      </w:r>
      <w:r w:rsidRPr="004936EF">
        <w:rPr>
          <w:lang w:val="en-US"/>
        </w:rPr>
        <w:t xml:space="preserve"> located in Country </w:t>
      </w:r>
      <w:r w:rsidR="00AD41C2" w:rsidRPr="004936EF">
        <w:rPr>
          <w:lang w:val="en-US"/>
        </w:rPr>
        <w:t>A</w:t>
      </w:r>
      <w:r w:rsidRPr="004936EF">
        <w:rPr>
          <w:lang w:val="en-US"/>
        </w:rPr>
        <w:t xml:space="preserve"> is considered sacred by a community living on both sides of the border of Country A and Country B. Th</w:t>
      </w:r>
      <w:r w:rsidR="00827FFC" w:rsidRPr="004936EF">
        <w:rPr>
          <w:lang w:val="en-US"/>
        </w:rPr>
        <w:t>e</w:t>
      </w:r>
      <w:r w:rsidRPr="004936EF">
        <w:rPr>
          <w:lang w:val="en-US"/>
        </w:rPr>
        <w:t xml:space="preserve"> border</w:t>
      </w:r>
      <w:r w:rsidR="00562F66" w:rsidRPr="004936EF">
        <w:rPr>
          <w:lang w:val="en-US"/>
        </w:rPr>
        <w:t>,</w:t>
      </w:r>
      <w:r w:rsidRPr="004936EF">
        <w:rPr>
          <w:lang w:val="en-US"/>
        </w:rPr>
        <w:t xml:space="preserve"> </w:t>
      </w:r>
      <w:r w:rsidR="00562F66" w:rsidRPr="004936EF">
        <w:rPr>
          <w:lang w:val="en-US"/>
        </w:rPr>
        <w:t>which</w:t>
      </w:r>
      <w:r w:rsidR="00827FFC" w:rsidRPr="004936EF">
        <w:rPr>
          <w:lang w:val="en-US"/>
        </w:rPr>
        <w:t xml:space="preserve"> </w:t>
      </w:r>
      <w:r w:rsidR="00562F66" w:rsidRPr="004936EF">
        <w:rPr>
          <w:lang w:val="en-US"/>
        </w:rPr>
        <w:t xml:space="preserve">was drawn during colonial times, </w:t>
      </w:r>
      <w:r w:rsidR="00827FFC" w:rsidRPr="004936EF">
        <w:rPr>
          <w:lang w:val="en-US"/>
        </w:rPr>
        <w:t>cut</w:t>
      </w:r>
      <w:r w:rsidR="00F165D4" w:rsidRPr="004936EF">
        <w:rPr>
          <w:lang w:val="en-US"/>
        </w:rPr>
        <w:t>s</w:t>
      </w:r>
      <w:r w:rsidR="00827FFC" w:rsidRPr="004936EF">
        <w:rPr>
          <w:lang w:val="en-US"/>
        </w:rPr>
        <w:t xml:space="preserve"> across the land on which this community </w:t>
      </w:r>
      <w:r w:rsidR="00562F66" w:rsidRPr="004936EF">
        <w:rPr>
          <w:lang w:val="en-US"/>
        </w:rPr>
        <w:t>still grazes</w:t>
      </w:r>
      <w:r w:rsidR="00827FFC" w:rsidRPr="004936EF">
        <w:rPr>
          <w:lang w:val="en-US"/>
        </w:rPr>
        <w:t xml:space="preserve"> its cattle</w:t>
      </w:r>
      <w:r w:rsidRPr="004936EF">
        <w:rPr>
          <w:lang w:val="en-US"/>
        </w:rPr>
        <w:t>.</w:t>
      </w:r>
      <w:r w:rsidR="00827FFC" w:rsidRPr="004936EF">
        <w:rPr>
          <w:lang w:val="en-US"/>
        </w:rPr>
        <w:t xml:space="preserve"> The community</w:t>
      </w:r>
      <w:r w:rsidR="00ED2441" w:rsidRPr="004936EF">
        <w:rPr>
          <w:lang w:val="en-US"/>
        </w:rPr>
        <w:t xml:space="preserve">, divided into various small </w:t>
      </w:r>
      <w:r w:rsidR="00C21179" w:rsidRPr="004936EF">
        <w:rPr>
          <w:lang w:val="en-US"/>
        </w:rPr>
        <w:t>villages</w:t>
      </w:r>
      <w:r w:rsidR="00ED2441" w:rsidRPr="004936EF">
        <w:rPr>
          <w:lang w:val="en-US"/>
        </w:rPr>
        <w:t>,</w:t>
      </w:r>
      <w:r w:rsidR="00827FFC" w:rsidRPr="004936EF">
        <w:rPr>
          <w:lang w:val="en-US"/>
        </w:rPr>
        <w:t xml:space="preserve"> continues to cross the border to graze their cattle</w:t>
      </w:r>
      <w:r w:rsidR="00B125C6" w:rsidRPr="004936EF">
        <w:rPr>
          <w:lang w:val="en-US"/>
        </w:rPr>
        <w:t xml:space="preserve"> at different times of the year. M</w:t>
      </w:r>
      <w:r w:rsidR="00067922" w:rsidRPr="004936EF">
        <w:rPr>
          <w:lang w:val="en-US"/>
        </w:rPr>
        <w:t>any members of the community have not formally become citizens of either country</w:t>
      </w:r>
      <w:r w:rsidR="00827FFC" w:rsidRPr="004936EF">
        <w:rPr>
          <w:lang w:val="en-US"/>
        </w:rPr>
        <w:t>. Young men of a certain age</w:t>
      </w:r>
      <w:r w:rsidR="002F3BC4" w:rsidRPr="004936EF">
        <w:rPr>
          <w:lang w:val="en-US"/>
        </w:rPr>
        <w:t>,</w:t>
      </w:r>
      <w:r w:rsidR="00827FFC" w:rsidRPr="004936EF">
        <w:rPr>
          <w:lang w:val="en-US"/>
        </w:rPr>
        <w:t xml:space="preserve"> </w:t>
      </w:r>
      <w:r w:rsidR="00562F66" w:rsidRPr="004936EF">
        <w:rPr>
          <w:lang w:val="en-US"/>
        </w:rPr>
        <w:t xml:space="preserve">from various villages </w:t>
      </w:r>
      <w:r w:rsidR="00827FFC" w:rsidRPr="004936EF">
        <w:rPr>
          <w:lang w:val="en-US"/>
        </w:rPr>
        <w:t>within the community</w:t>
      </w:r>
      <w:r w:rsidR="002F3BC4" w:rsidRPr="004936EF">
        <w:rPr>
          <w:lang w:val="en-US"/>
        </w:rPr>
        <w:t>,</w:t>
      </w:r>
      <w:r w:rsidR="00827FFC" w:rsidRPr="004936EF">
        <w:rPr>
          <w:lang w:val="en-US"/>
        </w:rPr>
        <w:t xml:space="preserve"> conduct a pilgrimage to the sacred </w:t>
      </w:r>
      <w:r w:rsidR="00AD41C2" w:rsidRPr="004936EF">
        <w:rPr>
          <w:lang w:val="en-US"/>
        </w:rPr>
        <w:t>lake</w:t>
      </w:r>
      <w:r w:rsidR="00827FFC" w:rsidRPr="004936EF">
        <w:rPr>
          <w:lang w:val="en-US"/>
        </w:rPr>
        <w:t xml:space="preserve"> every five years</w:t>
      </w:r>
      <w:r w:rsidR="00ED2441" w:rsidRPr="004936EF">
        <w:rPr>
          <w:lang w:val="en-US"/>
        </w:rPr>
        <w:t xml:space="preserve">. </w:t>
      </w:r>
      <w:r w:rsidR="008A3809" w:rsidRPr="004936EF">
        <w:rPr>
          <w:lang w:val="en-US"/>
        </w:rPr>
        <w:t xml:space="preserve">The governments of the two countries allow the free movement of these young men across the border at such times. </w:t>
      </w:r>
      <w:r w:rsidR="00ED2441" w:rsidRPr="004936EF">
        <w:rPr>
          <w:lang w:val="en-US"/>
        </w:rPr>
        <w:t xml:space="preserve">The pilgrimage is the climax of a whole series of rituals of initiation into manhood, including physical training and education, </w:t>
      </w:r>
      <w:r w:rsidR="004E58DE" w:rsidRPr="004936EF">
        <w:rPr>
          <w:lang w:val="en-US"/>
        </w:rPr>
        <w:t>which</w:t>
      </w:r>
      <w:r w:rsidR="00ED2441" w:rsidRPr="004936EF">
        <w:rPr>
          <w:lang w:val="en-US"/>
        </w:rPr>
        <w:t xml:space="preserve"> bring members of different </w:t>
      </w:r>
      <w:r w:rsidR="00C21179" w:rsidRPr="004936EF">
        <w:rPr>
          <w:lang w:val="en-US"/>
        </w:rPr>
        <w:t>villages</w:t>
      </w:r>
      <w:r w:rsidR="00ED2441" w:rsidRPr="004936EF">
        <w:rPr>
          <w:lang w:val="en-US"/>
        </w:rPr>
        <w:t xml:space="preserve"> together. </w:t>
      </w:r>
      <w:r w:rsidR="00EB4924" w:rsidRPr="004936EF">
        <w:rPr>
          <w:lang w:val="en-US"/>
        </w:rPr>
        <w:t xml:space="preserve">These initiation rituals are conducted </w:t>
      </w:r>
      <w:r w:rsidR="008A3809" w:rsidRPr="004936EF">
        <w:rPr>
          <w:lang w:val="en-US"/>
        </w:rPr>
        <w:t xml:space="preserve">in villages </w:t>
      </w:r>
      <w:r w:rsidR="00EB4924" w:rsidRPr="004936EF">
        <w:rPr>
          <w:lang w:val="en-US"/>
        </w:rPr>
        <w:t xml:space="preserve">on both sides of the border. </w:t>
      </w:r>
      <w:r w:rsidR="00827FFC" w:rsidRPr="004936EF">
        <w:rPr>
          <w:lang w:val="en-US"/>
        </w:rPr>
        <w:t>Th</w:t>
      </w:r>
      <w:r w:rsidR="008A3809" w:rsidRPr="004936EF">
        <w:rPr>
          <w:lang w:val="en-US"/>
        </w:rPr>
        <w:t>e</w:t>
      </w:r>
      <w:r w:rsidR="00827FFC" w:rsidRPr="004936EF">
        <w:rPr>
          <w:lang w:val="en-US"/>
        </w:rPr>
        <w:t xml:space="preserve"> </w:t>
      </w:r>
      <w:r w:rsidR="008A3809" w:rsidRPr="004936EF">
        <w:rPr>
          <w:lang w:val="en-US"/>
        </w:rPr>
        <w:t xml:space="preserve">knowledge about how to conduct the initiation </w:t>
      </w:r>
      <w:r w:rsidR="000C098E" w:rsidRPr="004936EF">
        <w:rPr>
          <w:lang w:val="en-US"/>
        </w:rPr>
        <w:t xml:space="preserve">rituals </w:t>
      </w:r>
      <w:r w:rsidR="008A3809" w:rsidRPr="004936EF">
        <w:rPr>
          <w:lang w:val="en-US"/>
        </w:rPr>
        <w:t>and the pilgrimage</w:t>
      </w:r>
      <w:r w:rsidR="00067922" w:rsidRPr="004936EF">
        <w:rPr>
          <w:lang w:val="en-US"/>
        </w:rPr>
        <w:t xml:space="preserve"> </w:t>
      </w:r>
      <w:r w:rsidR="00827FFC" w:rsidRPr="004936EF">
        <w:rPr>
          <w:lang w:val="en-US"/>
        </w:rPr>
        <w:t>ha</w:t>
      </w:r>
      <w:r w:rsidR="008A3809" w:rsidRPr="004936EF">
        <w:rPr>
          <w:lang w:val="en-US"/>
        </w:rPr>
        <w:t>s</w:t>
      </w:r>
      <w:r w:rsidR="00827FFC" w:rsidRPr="004936EF">
        <w:rPr>
          <w:lang w:val="en-US"/>
        </w:rPr>
        <w:t xml:space="preserve"> been passed down through many generations, and it is a way of teaching young men their role in the society. </w:t>
      </w:r>
      <w:r w:rsidR="00D15D58" w:rsidRPr="004936EF">
        <w:rPr>
          <w:lang w:val="en-US"/>
        </w:rPr>
        <w:t xml:space="preserve">It is central to the identity and sense of continuity of this nomadic community. </w:t>
      </w:r>
      <w:r w:rsidR="00E246D6" w:rsidRPr="004936EF">
        <w:rPr>
          <w:lang w:val="en-US"/>
        </w:rPr>
        <w:t xml:space="preserve">Its viability is not under threat, and it continues to be </w:t>
      </w:r>
      <w:proofErr w:type="spellStart"/>
      <w:r w:rsidR="00E246D6" w:rsidRPr="004936EF">
        <w:rPr>
          <w:lang w:val="en-US"/>
        </w:rPr>
        <w:t>practised</w:t>
      </w:r>
      <w:proofErr w:type="spellEnd"/>
      <w:r w:rsidR="00E246D6" w:rsidRPr="004936EF">
        <w:rPr>
          <w:lang w:val="en-US"/>
        </w:rPr>
        <w:t xml:space="preserve"> every five years.</w:t>
      </w:r>
    </w:p>
    <w:p w14:paraId="25E4061C" w14:textId="77777777" w:rsidR="005B6A87" w:rsidRPr="004936EF" w:rsidRDefault="008631E5" w:rsidP="004936EF">
      <w:pPr>
        <w:pStyle w:val="Soustitre"/>
        <w:rPr>
          <w:caps/>
          <w:lang w:val="en-GB" w:eastAsia="zh-CN"/>
        </w:rPr>
      </w:pPr>
      <w:r w:rsidRPr="004936EF">
        <w:rPr>
          <w:lang w:val="en-US" w:eastAsia="zh-CN"/>
        </w:rPr>
        <w:t>Consider the following questions</w:t>
      </w:r>
      <w:r w:rsidR="00F6547A" w:rsidRPr="004936EF">
        <w:rPr>
          <w:lang w:val="en-US" w:eastAsia="zh-CN"/>
        </w:rPr>
        <w:t xml:space="preserve"> and answers</w:t>
      </w:r>
      <w:r w:rsidR="00AC3B88" w:rsidRPr="004936EF">
        <w:rPr>
          <w:lang w:val="en-US" w:eastAsia="zh-CN"/>
        </w:rPr>
        <w:t>:</w:t>
      </w:r>
    </w:p>
    <w:p w14:paraId="37CB31C5" w14:textId="4493491F" w:rsidR="008631E5" w:rsidRPr="004936EF" w:rsidRDefault="001125B6" w:rsidP="004936EF">
      <w:pPr>
        <w:pStyle w:val="Numrosance"/>
        <w:numPr>
          <w:ilvl w:val="0"/>
          <w:numId w:val="61"/>
        </w:numPr>
        <w:rPr>
          <w:lang w:val="en-US"/>
        </w:rPr>
      </w:pPr>
      <w:r w:rsidRPr="004936EF">
        <w:rPr>
          <w:lang w:val="en-US"/>
        </w:rPr>
        <w:t xml:space="preserve">Imagine that both countries are States Parties to the Convention. </w:t>
      </w:r>
      <w:r w:rsidR="00B21A42" w:rsidRPr="004936EF">
        <w:rPr>
          <w:lang w:val="en-US"/>
        </w:rPr>
        <w:t xml:space="preserve">If a nomination is made to </w:t>
      </w:r>
      <w:r w:rsidR="00865932" w:rsidRPr="004936EF">
        <w:rPr>
          <w:lang w:val="en-US"/>
        </w:rPr>
        <w:t>one of the Lists of the Convention</w:t>
      </w:r>
      <w:r w:rsidR="00B21A42" w:rsidRPr="004936EF">
        <w:rPr>
          <w:lang w:val="en-US"/>
        </w:rPr>
        <w:t xml:space="preserve">, </w:t>
      </w:r>
      <w:r w:rsidR="00EB4924" w:rsidRPr="004936EF">
        <w:rPr>
          <w:lang w:val="en-US"/>
        </w:rPr>
        <w:t>does it have to be submitted by</w:t>
      </w:r>
      <w:r w:rsidR="008631E5" w:rsidRPr="004936EF">
        <w:rPr>
          <w:lang w:val="en-US"/>
        </w:rPr>
        <w:t xml:space="preserve"> the</w:t>
      </w:r>
      <w:r w:rsidR="00EB4924" w:rsidRPr="004936EF">
        <w:rPr>
          <w:lang w:val="en-US"/>
        </w:rPr>
        <w:t xml:space="preserve"> governments of Country A,</w:t>
      </w:r>
      <w:r w:rsidR="008631E5" w:rsidRPr="004936EF">
        <w:rPr>
          <w:lang w:val="en-US"/>
        </w:rPr>
        <w:t xml:space="preserve"> Country B</w:t>
      </w:r>
      <w:r w:rsidR="00EB4924" w:rsidRPr="004936EF">
        <w:rPr>
          <w:lang w:val="en-US"/>
        </w:rPr>
        <w:t xml:space="preserve"> or both countries</w:t>
      </w:r>
      <w:r w:rsidR="008631E5" w:rsidRPr="004936EF">
        <w:rPr>
          <w:lang w:val="en-US"/>
        </w:rPr>
        <w:t>?</w:t>
      </w:r>
    </w:p>
    <w:p w14:paraId="2334D042" w14:textId="638EE921" w:rsidR="005D09D0" w:rsidRPr="004936EF" w:rsidRDefault="00EC6493" w:rsidP="004936EF">
      <w:pPr>
        <w:pStyle w:val="Rponses"/>
        <w:rPr>
          <w:b/>
          <w:lang w:val="en-US"/>
        </w:rPr>
      </w:pPr>
      <w:r w:rsidRPr="004936EF">
        <w:rPr>
          <w:b/>
          <w:lang w:val="en-US"/>
        </w:rPr>
        <w:t>A</w:t>
      </w:r>
      <w:r w:rsidR="00B8513F" w:rsidRPr="004936EF">
        <w:rPr>
          <w:b/>
          <w:lang w:val="en-US"/>
        </w:rPr>
        <w:t>nswer</w:t>
      </w:r>
      <w:r w:rsidR="005D09D0" w:rsidRPr="004936EF">
        <w:rPr>
          <w:lang w:val="en-US"/>
        </w:rPr>
        <w:t>:</w:t>
      </w:r>
      <w:r w:rsidR="001B767D" w:rsidRPr="004936EF">
        <w:rPr>
          <w:lang w:val="en-US"/>
        </w:rPr>
        <w:t xml:space="preserve"> </w:t>
      </w:r>
      <w:r w:rsidRPr="004936EF">
        <w:rPr>
          <w:lang w:val="en-US"/>
        </w:rPr>
        <w:t>Preferably by both countries, although this is not an obligation.</w:t>
      </w:r>
    </w:p>
    <w:p w14:paraId="3C263F5B" w14:textId="7C928372" w:rsidR="008631E5" w:rsidRPr="004936EF" w:rsidRDefault="0081310B" w:rsidP="004936EF">
      <w:pPr>
        <w:pStyle w:val="Numrosance"/>
        <w:numPr>
          <w:ilvl w:val="0"/>
          <w:numId w:val="61"/>
        </w:numPr>
        <w:rPr>
          <w:lang w:val="en-US"/>
        </w:rPr>
      </w:pPr>
      <w:r w:rsidRPr="004936EF">
        <w:rPr>
          <w:lang w:val="en-US"/>
        </w:rPr>
        <w:t xml:space="preserve">Imagine that </w:t>
      </w:r>
      <w:r w:rsidR="008631E5" w:rsidRPr="004936EF">
        <w:rPr>
          <w:lang w:val="en-US"/>
        </w:rPr>
        <w:t xml:space="preserve">Country A is a State Party to the Convention; Country B is not. Can they make a </w:t>
      </w:r>
      <w:r w:rsidR="00A60F2E" w:rsidRPr="004936EF">
        <w:rPr>
          <w:lang w:val="en-US"/>
        </w:rPr>
        <w:t>multi-national</w:t>
      </w:r>
      <w:r w:rsidR="008631E5" w:rsidRPr="004936EF">
        <w:rPr>
          <w:lang w:val="en-US"/>
        </w:rPr>
        <w:t xml:space="preserve"> nomination of this shared heritage to </w:t>
      </w:r>
      <w:r w:rsidR="00865932" w:rsidRPr="004936EF">
        <w:rPr>
          <w:lang w:val="en-US"/>
        </w:rPr>
        <w:t>one of the Lists of the Convention</w:t>
      </w:r>
      <w:r w:rsidR="008631E5" w:rsidRPr="004936EF">
        <w:rPr>
          <w:lang w:val="en-US"/>
        </w:rPr>
        <w:t>?</w:t>
      </w:r>
    </w:p>
    <w:p w14:paraId="2259558F" w14:textId="1BC99684" w:rsidR="005D09D0" w:rsidRPr="004936EF" w:rsidRDefault="00EC6493" w:rsidP="004936EF">
      <w:pPr>
        <w:pStyle w:val="Rponses"/>
        <w:rPr>
          <w:b/>
          <w:lang w:val="en-US"/>
        </w:rPr>
      </w:pPr>
      <w:r w:rsidRPr="004936EF">
        <w:rPr>
          <w:b/>
          <w:lang w:val="en-US"/>
        </w:rPr>
        <w:t>A</w:t>
      </w:r>
      <w:r w:rsidR="00B8513F" w:rsidRPr="004936EF">
        <w:rPr>
          <w:b/>
          <w:lang w:val="en-US"/>
        </w:rPr>
        <w:t>nswer</w:t>
      </w:r>
      <w:r w:rsidR="005D09D0" w:rsidRPr="004936EF">
        <w:rPr>
          <w:b/>
          <w:lang w:val="en-US"/>
        </w:rPr>
        <w:t>:</w:t>
      </w:r>
      <w:r w:rsidRPr="004936EF">
        <w:rPr>
          <w:b/>
          <w:lang w:val="en-US"/>
        </w:rPr>
        <w:t xml:space="preserve"> </w:t>
      </w:r>
      <w:r w:rsidRPr="004936EF">
        <w:rPr>
          <w:lang w:val="en-US"/>
        </w:rPr>
        <w:t xml:space="preserve">No, </w:t>
      </w:r>
      <w:proofErr w:type="spellStart"/>
      <w:r w:rsidRPr="004936EF">
        <w:rPr>
          <w:lang w:val="en-US"/>
        </w:rPr>
        <w:t>non States</w:t>
      </w:r>
      <w:proofErr w:type="spellEnd"/>
      <w:r w:rsidRPr="004936EF">
        <w:rPr>
          <w:lang w:val="en-US"/>
        </w:rPr>
        <w:t xml:space="preserve"> Parties </w:t>
      </w:r>
      <w:r w:rsidR="00B64312" w:rsidRPr="004936EF">
        <w:rPr>
          <w:lang w:val="en-US"/>
        </w:rPr>
        <w:t>cannot</w:t>
      </w:r>
      <w:r w:rsidRPr="004936EF">
        <w:rPr>
          <w:lang w:val="en-US"/>
        </w:rPr>
        <w:t xml:space="preserve"> submit or co-submit nomination files.</w:t>
      </w:r>
    </w:p>
    <w:p w14:paraId="58341E13" w14:textId="1FA00139" w:rsidR="008631E5" w:rsidRPr="004936EF" w:rsidRDefault="008631E5" w:rsidP="004936EF">
      <w:pPr>
        <w:pStyle w:val="Numrosance"/>
        <w:numPr>
          <w:ilvl w:val="0"/>
          <w:numId w:val="61"/>
        </w:numPr>
        <w:rPr>
          <w:lang w:val="en-US"/>
        </w:rPr>
      </w:pPr>
      <w:r w:rsidRPr="004936EF">
        <w:rPr>
          <w:lang w:val="en-US"/>
        </w:rPr>
        <w:t xml:space="preserve">Can this shared heritage be nominated to </w:t>
      </w:r>
      <w:r w:rsidR="00865932" w:rsidRPr="004936EF">
        <w:rPr>
          <w:lang w:val="en-US"/>
        </w:rPr>
        <w:t>one of the Lists of the Convention</w:t>
      </w:r>
      <w:r w:rsidRPr="004936EF">
        <w:rPr>
          <w:lang w:val="en-US"/>
        </w:rPr>
        <w:t xml:space="preserve"> by Country </w:t>
      </w:r>
      <w:proofErr w:type="gramStart"/>
      <w:r w:rsidRPr="004936EF">
        <w:rPr>
          <w:lang w:val="en-US"/>
        </w:rPr>
        <w:t>A</w:t>
      </w:r>
      <w:proofErr w:type="gramEnd"/>
      <w:r w:rsidRPr="004936EF">
        <w:rPr>
          <w:lang w:val="en-US"/>
        </w:rPr>
        <w:t xml:space="preserve"> alone?</w:t>
      </w:r>
    </w:p>
    <w:p w14:paraId="6272918C" w14:textId="77777777" w:rsidR="005D09D0" w:rsidRPr="004936EF" w:rsidRDefault="00EC6493" w:rsidP="004936EF">
      <w:pPr>
        <w:pStyle w:val="Rponses"/>
        <w:rPr>
          <w:lang w:val="en-US"/>
        </w:rPr>
      </w:pPr>
      <w:r w:rsidRPr="004936EF">
        <w:rPr>
          <w:b/>
          <w:lang w:val="en-US"/>
        </w:rPr>
        <w:t>A</w:t>
      </w:r>
      <w:r w:rsidR="00B8513F" w:rsidRPr="004936EF">
        <w:rPr>
          <w:b/>
          <w:lang w:val="en-US"/>
        </w:rPr>
        <w:t>nswer</w:t>
      </w:r>
      <w:r w:rsidR="005D09D0" w:rsidRPr="004936EF">
        <w:rPr>
          <w:b/>
          <w:lang w:val="en-US"/>
        </w:rPr>
        <w:t>:</w:t>
      </w:r>
      <w:r w:rsidR="00510D97" w:rsidRPr="004936EF">
        <w:rPr>
          <w:b/>
          <w:lang w:val="en-US"/>
        </w:rPr>
        <w:t xml:space="preserve"> </w:t>
      </w:r>
      <w:r w:rsidR="00510D97" w:rsidRPr="004936EF">
        <w:rPr>
          <w:lang w:val="en-US"/>
        </w:rPr>
        <w:t xml:space="preserve">Yes, but only the part of it that is located in </w:t>
      </w:r>
      <w:r w:rsidR="00B64312" w:rsidRPr="004936EF">
        <w:rPr>
          <w:lang w:val="en-US"/>
        </w:rPr>
        <w:t>C</w:t>
      </w:r>
      <w:r w:rsidR="00510D97" w:rsidRPr="004936EF">
        <w:rPr>
          <w:lang w:val="en-US"/>
        </w:rPr>
        <w:t xml:space="preserve">ountry A, whereby of course </w:t>
      </w:r>
      <w:r w:rsidR="001B767D" w:rsidRPr="004936EF">
        <w:rPr>
          <w:lang w:val="en-US"/>
        </w:rPr>
        <w:t xml:space="preserve">   </w:t>
      </w:r>
      <w:r w:rsidR="00510D97" w:rsidRPr="004936EF">
        <w:rPr>
          <w:lang w:val="en-US"/>
        </w:rPr>
        <w:t>mention may be made of its existence in another country /other countries.</w:t>
      </w:r>
    </w:p>
    <w:p w14:paraId="60468F1C" w14:textId="585BB52F" w:rsidR="008631E5" w:rsidRPr="004936EF" w:rsidRDefault="008631E5" w:rsidP="004936EF">
      <w:pPr>
        <w:pStyle w:val="Numrosance"/>
        <w:numPr>
          <w:ilvl w:val="0"/>
          <w:numId w:val="61"/>
        </w:numPr>
        <w:rPr>
          <w:lang w:val="en-US"/>
        </w:rPr>
      </w:pPr>
      <w:r w:rsidRPr="004936EF">
        <w:rPr>
          <w:lang w:val="en-US"/>
        </w:rPr>
        <w:t xml:space="preserve">When Country B ratifies the Convention, </w:t>
      </w:r>
      <w:r w:rsidR="00EB4924" w:rsidRPr="004936EF">
        <w:rPr>
          <w:lang w:val="en-US"/>
        </w:rPr>
        <w:t>is it obliged</w:t>
      </w:r>
      <w:r w:rsidRPr="004936EF">
        <w:rPr>
          <w:lang w:val="en-US"/>
        </w:rPr>
        <w:t xml:space="preserve"> to join the nomination made by Country A or could it make a new nomination to </w:t>
      </w:r>
      <w:r w:rsidR="00865932" w:rsidRPr="004936EF">
        <w:rPr>
          <w:lang w:val="en-US"/>
        </w:rPr>
        <w:t>one of the Lists of the Convention</w:t>
      </w:r>
      <w:r w:rsidRPr="004936EF">
        <w:rPr>
          <w:lang w:val="en-US"/>
        </w:rPr>
        <w:t>?</w:t>
      </w:r>
    </w:p>
    <w:p w14:paraId="0DED0A8E" w14:textId="03D59FD7" w:rsidR="005D09D0" w:rsidRPr="004936EF" w:rsidRDefault="00510D97" w:rsidP="004936EF">
      <w:pPr>
        <w:pStyle w:val="Rponses"/>
        <w:rPr>
          <w:b/>
          <w:lang w:val="en-US"/>
        </w:rPr>
      </w:pPr>
      <w:r w:rsidRPr="004936EF">
        <w:rPr>
          <w:b/>
          <w:lang w:val="en-US"/>
        </w:rPr>
        <w:t>A</w:t>
      </w:r>
      <w:r w:rsidR="00B8513F" w:rsidRPr="004936EF">
        <w:rPr>
          <w:b/>
          <w:lang w:val="en-US"/>
        </w:rPr>
        <w:t>nswer</w:t>
      </w:r>
      <w:r w:rsidR="005D09D0" w:rsidRPr="004936EF">
        <w:rPr>
          <w:b/>
          <w:lang w:val="en-US"/>
        </w:rPr>
        <w:t>:</w:t>
      </w:r>
      <w:r w:rsidRPr="004936EF">
        <w:rPr>
          <w:b/>
          <w:lang w:val="en-US"/>
        </w:rPr>
        <w:t xml:space="preserve"> </w:t>
      </w:r>
      <w:r w:rsidRPr="004936EF">
        <w:rPr>
          <w:lang w:val="en-US"/>
        </w:rPr>
        <w:t>If it considers nominating the element as it occurs in its territory</w:t>
      </w:r>
      <w:r w:rsidR="00B64312" w:rsidRPr="004936EF">
        <w:rPr>
          <w:lang w:val="en-US"/>
        </w:rPr>
        <w:t>,</w:t>
      </w:r>
      <w:r w:rsidRPr="004936EF">
        <w:rPr>
          <w:lang w:val="en-US"/>
        </w:rPr>
        <w:t xml:space="preserve"> it is strongly recommended </w:t>
      </w:r>
      <w:r w:rsidR="00B64312" w:rsidRPr="004936EF">
        <w:rPr>
          <w:lang w:val="en-US"/>
        </w:rPr>
        <w:t>for Country B</w:t>
      </w:r>
      <w:r w:rsidRPr="004936EF">
        <w:rPr>
          <w:lang w:val="en-US"/>
        </w:rPr>
        <w:t xml:space="preserve"> to come to terms with </w:t>
      </w:r>
      <w:r w:rsidR="00B64312" w:rsidRPr="004936EF">
        <w:rPr>
          <w:lang w:val="en-US"/>
        </w:rPr>
        <w:t>C</w:t>
      </w:r>
      <w:r w:rsidRPr="004936EF">
        <w:rPr>
          <w:lang w:val="en-US"/>
        </w:rPr>
        <w:t>ountry A and submit together with it a new joint nomination; if it nevertheless submits a separate new nomination</w:t>
      </w:r>
      <w:r w:rsidR="00B64312" w:rsidRPr="004936EF">
        <w:rPr>
          <w:lang w:val="en-US"/>
        </w:rPr>
        <w:t>,</w:t>
      </w:r>
      <w:r w:rsidRPr="004936EF">
        <w:rPr>
          <w:lang w:val="en-US"/>
        </w:rPr>
        <w:t xml:space="preserve"> the Committee will decide how to deal with the situation. When the viability of the element in country B differs fundamentally from that in country A, a separate nomination to the other</w:t>
      </w:r>
      <w:r w:rsidR="00307A85" w:rsidRPr="004936EF">
        <w:rPr>
          <w:lang w:val="en-US"/>
        </w:rPr>
        <w:t xml:space="preserve"> of the two Lists might be the </w:t>
      </w:r>
      <w:r w:rsidRPr="004936EF">
        <w:rPr>
          <w:lang w:val="en-US"/>
        </w:rPr>
        <w:t>option to be preferred.</w:t>
      </w:r>
    </w:p>
    <w:p w14:paraId="59BA93D8" w14:textId="3561B1E1" w:rsidR="001125B6" w:rsidRPr="004936EF" w:rsidRDefault="001125B6" w:rsidP="004936EF">
      <w:pPr>
        <w:pStyle w:val="Numrosance"/>
        <w:numPr>
          <w:ilvl w:val="0"/>
          <w:numId w:val="61"/>
        </w:numPr>
        <w:rPr>
          <w:lang w:val="en-US"/>
        </w:rPr>
      </w:pPr>
      <w:r w:rsidRPr="004936EF">
        <w:rPr>
          <w:lang w:val="en-US"/>
        </w:rPr>
        <w:t>Because the pilgrimage involves a place, does this mean that a nomination should be made to the World Heritage List instead of to a List of the Intangible Heritage Convention?</w:t>
      </w:r>
    </w:p>
    <w:p w14:paraId="65C6B064" w14:textId="2366D582" w:rsidR="00B64312" w:rsidRPr="004936EF" w:rsidRDefault="00B64312" w:rsidP="004936EF">
      <w:pPr>
        <w:pStyle w:val="Rponses"/>
        <w:rPr>
          <w:lang w:val="en-US"/>
        </w:rPr>
      </w:pPr>
      <w:r w:rsidRPr="004936EF">
        <w:rPr>
          <w:b/>
          <w:lang w:val="en-US"/>
        </w:rPr>
        <w:t>An</w:t>
      </w:r>
      <w:r w:rsidR="00AC3B88" w:rsidRPr="004936EF">
        <w:rPr>
          <w:b/>
          <w:lang w:val="en-US"/>
        </w:rPr>
        <w:t>swer</w:t>
      </w:r>
      <w:r w:rsidRPr="004936EF">
        <w:rPr>
          <w:b/>
          <w:lang w:val="en-US"/>
        </w:rPr>
        <w:t xml:space="preserve">: </w:t>
      </w:r>
      <w:r w:rsidRPr="004936EF">
        <w:rPr>
          <w:lang w:val="en-US"/>
        </w:rPr>
        <w:t xml:space="preserve">If the focus is on the pilgrimage itself then local aspects (a place of worship, the road leading to the final destination, etc.) may be considered as cultural spaces in the sense of </w:t>
      </w:r>
      <w:r w:rsidR="00442E1A" w:rsidRPr="004936EF">
        <w:rPr>
          <w:lang w:val="en-US"/>
        </w:rPr>
        <w:t>Article </w:t>
      </w:r>
      <w:r w:rsidRPr="004936EF">
        <w:rPr>
          <w:lang w:val="en-US"/>
        </w:rPr>
        <w:t xml:space="preserve">2.1 of the Convention. If one or more of the spaces involved is considered to have outstanding universal value according to the criteria developed for inscriptions on the World Heritage List, then a country - if it is a State party to both Conventions - may consider the submission </w:t>
      </w:r>
      <w:r w:rsidR="00D3757F" w:rsidRPr="004936EF">
        <w:rPr>
          <w:lang w:val="en-US"/>
        </w:rPr>
        <w:t>of two</w:t>
      </w:r>
      <w:r w:rsidRPr="004936EF">
        <w:rPr>
          <w:lang w:val="en-US"/>
        </w:rPr>
        <w:t xml:space="preserve"> separate, mutually </w:t>
      </w:r>
      <w:r w:rsidR="00D3757F" w:rsidRPr="004936EF">
        <w:rPr>
          <w:lang w:val="en-US"/>
        </w:rPr>
        <w:t>reinforcing nominations</w:t>
      </w:r>
      <w:r w:rsidRPr="004936EF">
        <w:rPr>
          <w:lang w:val="en-US"/>
        </w:rPr>
        <w:t xml:space="preserve"> to the WHL and to </w:t>
      </w:r>
      <w:r w:rsidR="00D3757F" w:rsidRPr="004936EF">
        <w:rPr>
          <w:lang w:val="en-US"/>
        </w:rPr>
        <w:t>one of</w:t>
      </w:r>
      <w:r w:rsidRPr="004936EF">
        <w:rPr>
          <w:lang w:val="en-US"/>
        </w:rPr>
        <w:t xml:space="preserve"> the Lists of the ICH Convention.  </w:t>
      </w:r>
    </w:p>
    <w:p w14:paraId="1269CDE3" w14:textId="6322CA97" w:rsidR="001125B6" w:rsidRPr="004936EF" w:rsidRDefault="001125B6" w:rsidP="004936EF">
      <w:pPr>
        <w:pStyle w:val="Numrosance"/>
        <w:numPr>
          <w:ilvl w:val="0"/>
          <w:numId w:val="61"/>
        </w:numPr>
        <w:rPr>
          <w:lang w:val="en-US"/>
        </w:rPr>
      </w:pPr>
      <w:r w:rsidRPr="004936EF">
        <w:rPr>
          <w:lang w:val="en-US"/>
        </w:rPr>
        <w:t xml:space="preserve">If a nomination is made to one of the Lists of the Convention, should all the initiation </w:t>
      </w:r>
      <w:r w:rsidR="000C098E" w:rsidRPr="004936EF">
        <w:rPr>
          <w:lang w:val="en-US"/>
        </w:rPr>
        <w:t xml:space="preserve">rituals </w:t>
      </w:r>
      <w:r w:rsidRPr="004936EF">
        <w:rPr>
          <w:lang w:val="en-US"/>
        </w:rPr>
        <w:t>be included in the nomination or just the pilgrimage to the lake?</w:t>
      </w:r>
    </w:p>
    <w:p w14:paraId="000C43FA" w14:textId="77777777" w:rsidR="005D09D0" w:rsidRPr="004936EF" w:rsidRDefault="00510D97" w:rsidP="004936EF">
      <w:pPr>
        <w:pStyle w:val="Rponses"/>
        <w:rPr>
          <w:lang w:val="en-US"/>
        </w:rPr>
      </w:pPr>
      <w:r w:rsidRPr="004936EF">
        <w:rPr>
          <w:b/>
          <w:lang w:val="en-US"/>
        </w:rPr>
        <w:t>A</w:t>
      </w:r>
      <w:r w:rsidR="00AC3B88" w:rsidRPr="004936EF">
        <w:rPr>
          <w:b/>
          <w:lang w:val="en-US"/>
        </w:rPr>
        <w:t>nswer</w:t>
      </w:r>
      <w:r w:rsidR="005D09D0" w:rsidRPr="004936EF">
        <w:rPr>
          <w:b/>
          <w:lang w:val="en-US"/>
        </w:rPr>
        <w:t>:</w:t>
      </w:r>
      <w:r w:rsidR="00093197" w:rsidRPr="004936EF">
        <w:rPr>
          <w:b/>
          <w:lang w:val="en-US"/>
        </w:rPr>
        <w:t xml:space="preserve"> </w:t>
      </w:r>
      <w:r w:rsidR="00093197" w:rsidRPr="004936EF">
        <w:rPr>
          <w:lang w:val="en-US"/>
        </w:rPr>
        <w:t xml:space="preserve">There are no direct indications in the OD to solve such questions; an important consideration should be that the element proposed is recognized as such by the community concerned - they may agree to the nomination of a well definable sub-element of the rituals and other practices that constitute the </w:t>
      </w:r>
      <w:r w:rsidR="00B64312" w:rsidRPr="004936EF">
        <w:rPr>
          <w:lang w:val="en-US"/>
        </w:rPr>
        <w:t>pilgrimage</w:t>
      </w:r>
      <w:r w:rsidR="00093197" w:rsidRPr="004936EF">
        <w:rPr>
          <w:lang w:val="en-US"/>
        </w:rPr>
        <w:t xml:space="preserve">; they may also be opposed to that and indicate that for them all practices, expressions and knowledge related to the </w:t>
      </w:r>
      <w:r w:rsidR="00B64312" w:rsidRPr="004936EF">
        <w:rPr>
          <w:lang w:val="en-US"/>
        </w:rPr>
        <w:t>pilgrimage</w:t>
      </w:r>
      <w:r w:rsidR="00093197" w:rsidRPr="004936EF">
        <w:rPr>
          <w:lang w:val="en-US"/>
        </w:rPr>
        <w:t xml:space="preserve"> should be considered as one element that should not be split up for considerations that are not theirs.</w:t>
      </w:r>
    </w:p>
    <w:p w14:paraId="71987E5F" w14:textId="48C2E5B0" w:rsidR="00067922" w:rsidRPr="004936EF" w:rsidRDefault="00067922" w:rsidP="004936EF">
      <w:pPr>
        <w:pStyle w:val="Numrosance"/>
        <w:numPr>
          <w:ilvl w:val="0"/>
          <w:numId w:val="61"/>
        </w:numPr>
        <w:rPr>
          <w:lang w:val="en-US"/>
        </w:rPr>
      </w:pPr>
      <w:r w:rsidRPr="004936EF">
        <w:rPr>
          <w:lang w:val="en-US"/>
        </w:rPr>
        <w:t xml:space="preserve">If the communities concerned </w:t>
      </w:r>
      <w:r w:rsidR="003D77F3" w:rsidRPr="004936EF">
        <w:rPr>
          <w:lang w:val="en-US"/>
        </w:rPr>
        <w:t>happen to be</w:t>
      </w:r>
      <w:r w:rsidRPr="004936EF">
        <w:rPr>
          <w:lang w:val="en-US"/>
        </w:rPr>
        <w:t xml:space="preserve"> citizens of </w:t>
      </w:r>
      <w:r w:rsidR="00903027" w:rsidRPr="004936EF">
        <w:rPr>
          <w:lang w:val="en-US"/>
        </w:rPr>
        <w:t xml:space="preserve">another country but resident in </w:t>
      </w:r>
      <w:r w:rsidRPr="004936EF">
        <w:rPr>
          <w:lang w:val="en-US"/>
        </w:rPr>
        <w:t xml:space="preserve">Country A or Country B, can their heritage be nominated to </w:t>
      </w:r>
      <w:r w:rsidR="00865932" w:rsidRPr="004936EF">
        <w:rPr>
          <w:lang w:val="en-US"/>
        </w:rPr>
        <w:t>one of the Lists of the Convention</w:t>
      </w:r>
      <w:r w:rsidRPr="004936EF">
        <w:rPr>
          <w:lang w:val="en-US"/>
        </w:rPr>
        <w:t>?</w:t>
      </w:r>
    </w:p>
    <w:p w14:paraId="0234F755" w14:textId="77F25AD0" w:rsidR="005D09D0" w:rsidRPr="004936EF" w:rsidRDefault="00510D97" w:rsidP="004936EF">
      <w:pPr>
        <w:pStyle w:val="Rponses"/>
        <w:rPr>
          <w:lang w:val="en-US"/>
        </w:rPr>
      </w:pPr>
      <w:r w:rsidRPr="004936EF">
        <w:rPr>
          <w:b/>
          <w:lang w:val="en-US"/>
        </w:rPr>
        <w:t>A</w:t>
      </w:r>
      <w:r w:rsidR="00AC3B88" w:rsidRPr="004936EF">
        <w:rPr>
          <w:b/>
          <w:lang w:val="en-US"/>
        </w:rPr>
        <w:t>nswer</w:t>
      </w:r>
      <w:r w:rsidR="005D09D0" w:rsidRPr="004936EF">
        <w:rPr>
          <w:b/>
          <w:lang w:val="en-US"/>
        </w:rPr>
        <w:t>:</w:t>
      </w:r>
      <w:r w:rsidR="00F8716B" w:rsidRPr="004936EF">
        <w:rPr>
          <w:b/>
          <w:lang w:val="en-US"/>
        </w:rPr>
        <w:t xml:space="preserve"> </w:t>
      </w:r>
      <w:r w:rsidR="00F8716B" w:rsidRPr="004936EF">
        <w:rPr>
          <w:lang w:val="en-US"/>
        </w:rPr>
        <w:t>As long as the practice and transmission of a specific element take place within the borders of a State Party</w:t>
      </w:r>
      <w:r w:rsidR="00B64312" w:rsidRPr="004936EF">
        <w:rPr>
          <w:lang w:val="en-US"/>
        </w:rPr>
        <w:t xml:space="preserve"> </w:t>
      </w:r>
      <w:r w:rsidR="00F8716B" w:rsidRPr="004936EF">
        <w:rPr>
          <w:lang w:val="en-US"/>
        </w:rPr>
        <w:t>to the ICH Convention, that State Party may submit a nomination for the element concerned.</w:t>
      </w:r>
    </w:p>
    <w:p w14:paraId="45011986" w14:textId="77777777" w:rsidR="00B21B13" w:rsidRPr="00141792" w:rsidRDefault="00D8091B" w:rsidP="004936EF">
      <w:pPr>
        <w:pStyle w:val="Soustitre"/>
      </w:pPr>
      <w:r w:rsidRPr="00141792">
        <w:t>Some frequently</w:t>
      </w:r>
      <w:r w:rsidR="007C0C5B" w:rsidRPr="00141792">
        <w:t xml:space="preserve"> </w:t>
      </w:r>
      <w:r w:rsidRPr="00141792">
        <w:t>asked questions</w:t>
      </w:r>
    </w:p>
    <w:p w14:paraId="563CF283" w14:textId="2792E183" w:rsidR="007C0C5B" w:rsidRPr="004936EF" w:rsidRDefault="00954BF8" w:rsidP="004936EF">
      <w:pPr>
        <w:pStyle w:val="Numrosance"/>
        <w:numPr>
          <w:ilvl w:val="0"/>
          <w:numId w:val="69"/>
        </w:numPr>
        <w:rPr>
          <w:lang w:val="en-US"/>
        </w:rPr>
      </w:pPr>
      <w:r w:rsidRPr="004936EF">
        <w:rPr>
          <w:lang w:val="en-US"/>
        </w:rPr>
        <w:t xml:space="preserve">Can </w:t>
      </w:r>
      <w:r w:rsidR="007C0C5B" w:rsidRPr="004936EF">
        <w:rPr>
          <w:lang w:val="en-US"/>
        </w:rPr>
        <w:t xml:space="preserve">the </w:t>
      </w:r>
      <w:r w:rsidRPr="004936EF">
        <w:rPr>
          <w:lang w:val="en-US"/>
        </w:rPr>
        <w:t xml:space="preserve">ICH </w:t>
      </w:r>
      <w:r w:rsidR="003D77F3" w:rsidRPr="004936EF">
        <w:rPr>
          <w:lang w:val="en-US"/>
        </w:rPr>
        <w:t xml:space="preserve">of immigrant communities </w:t>
      </w:r>
      <w:r w:rsidRPr="004936EF">
        <w:rPr>
          <w:lang w:val="en-US"/>
        </w:rPr>
        <w:t>be inventoried</w:t>
      </w:r>
      <w:r w:rsidR="00BF6DA7" w:rsidRPr="004936EF">
        <w:rPr>
          <w:lang w:val="en-US"/>
        </w:rPr>
        <w:t>/</w:t>
      </w:r>
      <w:r w:rsidR="001704E5" w:rsidRPr="004936EF">
        <w:rPr>
          <w:lang w:val="en-US"/>
        </w:rPr>
        <w:t xml:space="preserve"> </w:t>
      </w:r>
      <w:r w:rsidRPr="004936EF">
        <w:rPr>
          <w:lang w:val="en-US"/>
        </w:rPr>
        <w:t xml:space="preserve">nominated by </w:t>
      </w:r>
      <w:r w:rsidR="0081310B" w:rsidRPr="004936EF">
        <w:rPr>
          <w:lang w:val="en-US"/>
        </w:rPr>
        <w:t>the</w:t>
      </w:r>
      <w:r w:rsidRPr="004936EF">
        <w:rPr>
          <w:lang w:val="en-US"/>
        </w:rPr>
        <w:t xml:space="preserve"> State Party</w:t>
      </w:r>
      <w:r w:rsidR="0081310B" w:rsidRPr="004936EF">
        <w:rPr>
          <w:lang w:val="en-US"/>
        </w:rPr>
        <w:t xml:space="preserve"> where they have recently moved</w:t>
      </w:r>
      <w:r w:rsidRPr="004936EF">
        <w:rPr>
          <w:lang w:val="en-US"/>
        </w:rPr>
        <w:t>?</w:t>
      </w:r>
    </w:p>
    <w:p w14:paraId="7B306B58" w14:textId="6BDF810C" w:rsidR="00954BF8" w:rsidRPr="004936EF" w:rsidRDefault="007C0C5B" w:rsidP="004936EF">
      <w:pPr>
        <w:pStyle w:val="Rponses"/>
        <w:rPr>
          <w:lang w:val="en-US"/>
        </w:rPr>
      </w:pPr>
      <w:r w:rsidRPr="004936EF">
        <w:rPr>
          <w:b/>
          <w:lang w:val="en-US"/>
        </w:rPr>
        <w:t>Answer:</w:t>
      </w:r>
      <w:r w:rsidRPr="004936EF">
        <w:rPr>
          <w:lang w:val="en-US"/>
        </w:rPr>
        <w:t xml:space="preserve"> </w:t>
      </w:r>
      <w:r w:rsidR="00954BF8" w:rsidRPr="004936EF">
        <w:rPr>
          <w:lang w:val="en-US"/>
        </w:rPr>
        <w:t>Yes, as long as the ICH is enacted</w:t>
      </w:r>
      <w:r w:rsidR="00BF6DA7" w:rsidRPr="004936EF">
        <w:rPr>
          <w:lang w:val="en-US"/>
        </w:rPr>
        <w:t>/</w:t>
      </w:r>
      <w:r w:rsidR="00954BF8" w:rsidRPr="004936EF">
        <w:rPr>
          <w:lang w:val="en-US"/>
        </w:rPr>
        <w:t xml:space="preserve">transmitted on the territory of the State Party and it fulfils the other relevant criteria in </w:t>
      </w:r>
      <w:r w:rsidR="00340F8F">
        <w:rPr>
          <w:lang w:val="en-US"/>
        </w:rPr>
        <w:t>OD </w:t>
      </w:r>
      <w:r w:rsidR="008C31AA" w:rsidRPr="004936EF">
        <w:rPr>
          <w:lang w:val="en-US"/>
        </w:rPr>
        <w:t>1</w:t>
      </w:r>
      <w:r w:rsidR="0081310B" w:rsidRPr="004936EF">
        <w:rPr>
          <w:lang w:val="en-US"/>
        </w:rPr>
        <w:t xml:space="preserve"> or </w:t>
      </w:r>
      <w:r w:rsidR="00340F8F">
        <w:rPr>
          <w:lang w:val="en-US"/>
        </w:rPr>
        <w:t>OD </w:t>
      </w:r>
      <w:r w:rsidRPr="004936EF">
        <w:rPr>
          <w:lang w:val="en-US"/>
        </w:rPr>
        <w:t>2</w:t>
      </w:r>
      <w:r w:rsidR="003D77F3" w:rsidRPr="004936EF">
        <w:rPr>
          <w:lang w:val="en-US"/>
        </w:rPr>
        <w:t>.</w:t>
      </w:r>
    </w:p>
    <w:p w14:paraId="0B93146B" w14:textId="48E2337C" w:rsidR="007C0C5B" w:rsidRPr="004936EF" w:rsidRDefault="00954BF8" w:rsidP="004936EF">
      <w:pPr>
        <w:pStyle w:val="Numrosance"/>
        <w:numPr>
          <w:ilvl w:val="0"/>
          <w:numId w:val="69"/>
        </w:numPr>
        <w:rPr>
          <w:lang w:val="en-US"/>
        </w:rPr>
      </w:pPr>
      <w:r w:rsidRPr="004936EF">
        <w:rPr>
          <w:lang w:val="en-US"/>
        </w:rPr>
        <w:t>Can the ICH of nomadic or stateless people be inventoried</w:t>
      </w:r>
      <w:r w:rsidR="00BF6DA7" w:rsidRPr="004936EF">
        <w:rPr>
          <w:lang w:val="en-US"/>
        </w:rPr>
        <w:t>/</w:t>
      </w:r>
      <w:r w:rsidR="001704E5" w:rsidRPr="004936EF">
        <w:rPr>
          <w:lang w:val="en-US"/>
        </w:rPr>
        <w:t xml:space="preserve"> </w:t>
      </w:r>
      <w:r w:rsidRPr="004936EF">
        <w:rPr>
          <w:lang w:val="en-US"/>
        </w:rPr>
        <w:t>nominated by a State Party?</w:t>
      </w:r>
    </w:p>
    <w:p w14:paraId="248313AE" w14:textId="062EB119" w:rsidR="00954BF8" w:rsidRPr="004936EF" w:rsidRDefault="007C0C5B" w:rsidP="004936EF">
      <w:pPr>
        <w:pStyle w:val="Rponses"/>
        <w:rPr>
          <w:lang w:val="en-US"/>
        </w:rPr>
      </w:pPr>
      <w:r w:rsidRPr="004936EF">
        <w:rPr>
          <w:b/>
          <w:lang w:val="en-US"/>
        </w:rPr>
        <w:t>Answer:</w:t>
      </w:r>
      <w:r w:rsidRPr="004936EF">
        <w:rPr>
          <w:lang w:val="en-US"/>
        </w:rPr>
        <w:t xml:space="preserve"> </w:t>
      </w:r>
      <w:r w:rsidR="00954BF8" w:rsidRPr="004936EF">
        <w:rPr>
          <w:lang w:val="en-US"/>
        </w:rPr>
        <w:t>Yes, as long as the ICH is enacted</w:t>
      </w:r>
      <w:r w:rsidR="00BF6DA7" w:rsidRPr="004936EF">
        <w:rPr>
          <w:lang w:val="en-US"/>
        </w:rPr>
        <w:t>/</w:t>
      </w:r>
      <w:r w:rsidR="00954BF8" w:rsidRPr="004936EF">
        <w:rPr>
          <w:lang w:val="en-US"/>
        </w:rPr>
        <w:t xml:space="preserve">transmitted on the territory of the State Party and it fulfils the other relevant criteria in </w:t>
      </w:r>
      <w:r w:rsidR="00340F8F">
        <w:rPr>
          <w:lang w:val="en-US"/>
        </w:rPr>
        <w:t>OD </w:t>
      </w:r>
      <w:r w:rsidR="008C31AA" w:rsidRPr="004936EF">
        <w:rPr>
          <w:lang w:val="en-US"/>
        </w:rPr>
        <w:t>1</w:t>
      </w:r>
      <w:r w:rsidR="0081310B" w:rsidRPr="004936EF">
        <w:rPr>
          <w:lang w:val="en-US"/>
        </w:rPr>
        <w:t xml:space="preserve"> or </w:t>
      </w:r>
      <w:r w:rsidR="00340F8F">
        <w:rPr>
          <w:lang w:val="en-US"/>
        </w:rPr>
        <w:t>OD </w:t>
      </w:r>
      <w:r w:rsidRPr="004936EF">
        <w:rPr>
          <w:lang w:val="en-US"/>
        </w:rPr>
        <w:t>2</w:t>
      </w:r>
      <w:r w:rsidR="003D77F3" w:rsidRPr="004936EF">
        <w:rPr>
          <w:lang w:val="en-US"/>
        </w:rPr>
        <w:t>.</w:t>
      </w:r>
    </w:p>
    <w:p w14:paraId="5396C6A3" w14:textId="28DDEE2C" w:rsidR="007C0C5B" w:rsidRPr="004936EF" w:rsidRDefault="00954BF8" w:rsidP="004936EF">
      <w:pPr>
        <w:pStyle w:val="Numrosance"/>
        <w:numPr>
          <w:ilvl w:val="0"/>
          <w:numId w:val="69"/>
        </w:numPr>
        <w:rPr>
          <w:lang w:val="en-US"/>
        </w:rPr>
      </w:pPr>
      <w:r w:rsidRPr="004936EF">
        <w:rPr>
          <w:lang w:val="en-US"/>
        </w:rPr>
        <w:t>Can the ICH of geographically dispersed communities be inventoried</w:t>
      </w:r>
      <w:r w:rsidR="00BF6DA7" w:rsidRPr="004936EF">
        <w:rPr>
          <w:lang w:val="en-US"/>
        </w:rPr>
        <w:t>/</w:t>
      </w:r>
      <w:r w:rsidR="001704E5" w:rsidRPr="004936EF">
        <w:rPr>
          <w:lang w:val="en-US"/>
        </w:rPr>
        <w:t xml:space="preserve"> </w:t>
      </w:r>
      <w:r w:rsidRPr="004936EF">
        <w:rPr>
          <w:lang w:val="en-US"/>
        </w:rPr>
        <w:t>nominated by a State Party?</w:t>
      </w:r>
    </w:p>
    <w:p w14:paraId="5A4F3F8B" w14:textId="5DF5A427" w:rsidR="00954BF8" w:rsidRPr="004936EF" w:rsidRDefault="007C0C5B" w:rsidP="004936EF">
      <w:pPr>
        <w:pStyle w:val="Rponses"/>
        <w:rPr>
          <w:lang w:val="en-US"/>
        </w:rPr>
      </w:pPr>
      <w:r w:rsidRPr="004936EF">
        <w:rPr>
          <w:b/>
          <w:lang w:val="en-US"/>
        </w:rPr>
        <w:t>Answer:</w:t>
      </w:r>
      <w:r w:rsidRPr="004936EF">
        <w:rPr>
          <w:lang w:val="en-US"/>
        </w:rPr>
        <w:t xml:space="preserve"> </w:t>
      </w:r>
      <w:r w:rsidR="00954BF8" w:rsidRPr="004936EF">
        <w:rPr>
          <w:lang w:val="en-US"/>
        </w:rPr>
        <w:t>Yes, as long as the ICH is enacted</w:t>
      </w:r>
      <w:r w:rsidR="00BF6DA7" w:rsidRPr="004936EF">
        <w:rPr>
          <w:lang w:val="en-US"/>
        </w:rPr>
        <w:t>/</w:t>
      </w:r>
      <w:r w:rsidR="00954BF8" w:rsidRPr="004936EF">
        <w:rPr>
          <w:lang w:val="en-US"/>
        </w:rPr>
        <w:t xml:space="preserve">transmitted on the territory of the State Party and </w:t>
      </w:r>
      <w:r w:rsidR="003D77F3" w:rsidRPr="004936EF">
        <w:rPr>
          <w:lang w:val="en-US"/>
        </w:rPr>
        <w:t xml:space="preserve">(in regard to nomination) if </w:t>
      </w:r>
      <w:r w:rsidR="00954BF8" w:rsidRPr="004936EF">
        <w:rPr>
          <w:lang w:val="en-US"/>
        </w:rPr>
        <w:t xml:space="preserve">it fulfils the other relevant criteria in </w:t>
      </w:r>
      <w:r w:rsidR="00340F8F">
        <w:rPr>
          <w:lang w:val="en-US"/>
        </w:rPr>
        <w:t>OD </w:t>
      </w:r>
      <w:r w:rsidR="008C31AA" w:rsidRPr="004936EF">
        <w:rPr>
          <w:lang w:val="en-US"/>
        </w:rPr>
        <w:t>1</w:t>
      </w:r>
      <w:r w:rsidR="0081310B" w:rsidRPr="004936EF">
        <w:rPr>
          <w:lang w:val="en-US"/>
        </w:rPr>
        <w:t xml:space="preserve"> or </w:t>
      </w:r>
      <w:r w:rsidR="00340F8F">
        <w:rPr>
          <w:lang w:val="en-US"/>
        </w:rPr>
        <w:t>OD </w:t>
      </w:r>
      <w:r w:rsidR="00954BF8" w:rsidRPr="004936EF">
        <w:rPr>
          <w:lang w:val="en-US"/>
        </w:rPr>
        <w:t>2</w:t>
      </w:r>
      <w:r w:rsidR="003D77F3" w:rsidRPr="004936EF">
        <w:rPr>
          <w:lang w:val="en-US"/>
        </w:rPr>
        <w:t>.</w:t>
      </w:r>
    </w:p>
    <w:p w14:paraId="2D4599A7" w14:textId="6506C475" w:rsidR="007C0C5B" w:rsidRPr="004936EF" w:rsidRDefault="00954BF8" w:rsidP="004936EF">
      <w:pPr>
        <w:pStyle w:val="Numrosance"/>
        <w:numPr>
          <w:ilvl w:val="0"/>
          <w:numId w:val="69"/>
        </w:numPr>
        <w:rPr>
          <w:lang w:val="en-US"/>
        </w:rPr>
      </w:pPr>
      <w:r w:rsidRPr="004936EF">
        <w:rPr>
          <w:lang w:val="en-US"/>
        </w:rPr>
        <w:t xml:space="preserve">How can the ICH of communities or nations unrecognized by States Parties in whose territories they reside be recognized in inventories or the Lists of the </w:t>
      </w:r>
      <w:r w:rsidR="00265783" w:rsidRPr="004936EF">
        <w:rPr>
          <w:lang w:val="en-US"/>
        </w:rPr>
        <w:t>Convention</w:t>
      </w:r>
      <w:r w:rsidRPr="004936EF">
        <w:rPr>
          <w:lang w:val="en-US"/>
        </w:rPr>
        <w:t>?</w:t>
      </w:r>
    </w:p>
    <w:p w14:paraId="6224738F" w14:textId="2C06A977" w:rsidR="00954BF8" w:rsidRPr="004936EF" w:rsidRDefault="007C0C5B" w:rsidP="004936EF">
      <w:pPr>
        <w:pStyle w:val="Rponses"/>
        <w:rPr>
          <w:lang w:val="en-US"/>
        </w:rPr>
      </w:pPr>
      <w:r w:rsidRPr="004936EF">
        <w:rPr>
          <w:b/>
          <w:lang w:val="en-US"/>
        </w:rPr>
        <w:t>Answer:</w:t>
      </w:r>
      <w:r w:rsidRPr="004936EF">
        <w:rPr>
          <w:lang w:val="en-US"/>
        </w:rPr>
        <w:t xml:space="preserve"> This is d</w:t>
      </w:r>
      <w:r w:rsidR="003D77F3" w:rsidRPr="004936EF">
        <w:rPr>
          <w:lang w:val="en-US"/>
        </w:rPr>
        <w:t>ifficult, exc</w:t>
      </w:r>
      <w:r w:rsidRPr="004936EF">
        <w:rPr>
          <w:lang w:val="en-US"/>
        </w:rPr>
        <w:t>ept in cases of extreme urgency</w:t>
      </w:r>
      <w:r w:rsidR="003D77F3" w:rsidRPr="004936EF">
        <w:rPr>
          <w:lang w:val="en-US"/>
        </w:rPr>
        <w:t xml:space="preserve"> </w:t>
      </w:r>
      <w:r w:rsidRPr="004936EF">
        <w:rPr>
          <w:lang w:val="en-US"/>
        </w:rPr>
        <w:t>(</w:t>
      </w:r>
      <w:r w:rsidR="00340F8F">
        <w:rPr>
          <w:lang w:val="en-US"/>
        </w:rPr>
        <w:t>see OD </w:t>
      </w:r>
      <w:r w:rsidR="003D77F3" w:rsidRPr="004936EF">
        <w:rPr>
          <w:lang w:val="en-US"/>
        </w:rPr>
        <w:t>3</w:t>
      </w:r>
      <w:r w:rsidR="00280868" w:rsidRPr="004936EF">
        <w:rPr>
          <w:lang w:val="en-US"/>
        </w:rPr>
        <w:t>2</w:t>
      </w:r>
      <w:r w:rsidR="003D77F3" w:rsidRPr="004936EF">
        <w:rPr>
          <w:lang w:val="en-US"/>
        </w:rPr>
        <w:t>4</w:t>
      </w:r>
      <w:r w:rsidRPr="004936EF">
        <w:rPr>
          <w:lang w:val="en-US"/>
        </w:rPr>
        <w:t>)</w:t>
      </w:r>
      <w:r w:rsidR="003D77F3" w:rsidRPr="004936EF">
        <w:rPr>
          <w:lang w:val="en-US"/>
        </w:rPr>
        <w:t xml:space="preserve">. If communities and, for </w:t>
      </w:r>
      <w:r w:rsidRPr="004936EF">
        <w:rPr>
          <w:lang w:val="en-US"/>
        </w:rPr>
        <w:t>example</w:t>
      </w:r>
      <w:r w:rsidR="003D77F3" w:rsidRPr="004936EF">
        <w:rPr>
          <w:lang w:val="en-US"/>
        </w:rPr>
        <w:t>, NGOs are unsuccessful in proposing that the national authorities inventory certain of their ICH elements at the national level, they may turn to the Intergovernmental Committee, since the State Party might seem unwilling to take measures to inventory</w:t>
      </w:r>
      <w:r w:rsidR="00BF6DA7" w:rsidRPr="004936EF">
        <w:rPr>
          <w:lang w:val="en-US"/>
        </w:rPr>
        <w:t>/</w:t>
      </w:r>
      <w:r w:rsidR="003D77F3" w:rsidRPr="004936EF">
        <w:rPr>
          <w:lang w:val="en-US"/>
        </w:rPr>
        <w:t>safeguard the ICH present in it.</w:t>
      </w:r>
    </w:p>
    <w:p w14:paraId="2B721143" w14:textId="4FAB985E" w:rsidR="001359FC" w:rsidRPr="004936EF" w:rsidRDefault="00954BF8" w:rsidP="004936EF">
      <w:pPr>
        <w:pStyle w:val="Numrosance"/>
        <w:numPr>
          <w:ilvl w:val="0"/>
          <w:numId w:val="69"/>
        </w:numPr>
        <w:rPr>
          <w:lang w:val="en-US"/>
        </w:rPr>
      </w:pPr>
      <w:r w:rsidRPr="004936EF">
        <w:rPr>
          <w:lang w:val="en-US"/>
        </w:rPr>
        <w:t>How can endangered ICH be safeguarded if the State Party concerned does not recognize it?</w:t>
      </w:r>
    </w:p>
    <w:p w14:paraId="520D08C9" w14:textId="5CB70B0A" w:rsidR="00954BF8" w:rsidRPr="004936EF" w:rsidRDefault="001359FC" w:rsidP="004936EF">
      <w:pPr>
        <w:pStyle w:val="Rponses"/>
        <w:rPr>
          <w:lang w:val="en-US"/>
        </w:rPr>
      </w:pPr>
      <w:r w:rsidRPr="004936EF">
        <w:rPr>
          <w:b/>
          <w:lang w:val="en-US"/>
        </w:rPr>
        <w:t>Answer:</w:t>
      </w:r>
      <w:r w:rsidRPr="004936EF">
        <w:rPr>
          <w:lang w:val="en-US"/>
        </w:rPr>
        <w:t xml:space="preserve"> The c</w:t>
      </w:r>
      <w:r w:rsidR="00954BF8" w:rsidRPr="004936EF">
        <w:rPr>
          <w:lang w:val="en-US"/>
        </w:rPr>
        <w:t>ommunities concerned and those permitted to assist them (including NGOs) will probably under</w:t>
      </w:r>
      <w:r w:rsidR="009F4039" w:rsidRPr="004936EF">
        <w:rPr>
          <w:lang w:val="en-US"/>
        </w:rPr>
        <w:t>take safeguarding in such cases. I</w:t>
      </w:r>
      <w:r w:rsidR="00954BF8" w:rsidRPr="004936EF">
        <w:rPr>
          <w:lang w:val="en-US"/>
        </w:rPr>
        <w:t xml:space="preserve">n cases of extreme urgency </w:t>
      </w:r>
      <w:r w:rsidR="009F4039" w:rsidRPr="004936EF">
        <w:rPr>
          <w:lang w:val="en-US"/>
        </w:rPr>
        <w:t>(</w:t>
      </w:r>
      <w:r w:rsidR="00340F8F">
        <w:rPr>
          <w:lang w:val="en-US"/>
        </w:rPr>
        <w:t>see OD </w:t>
      </w:r>
      <w:r w:rsidR="00954BF8" w:rsidRPr="004936EF">
        <w:rPr>
          <w:lang w:val="en-US"/>
        </w:rPr>
        <w:t>3</w:t>
      </w:r>
      <w:r w:rsidR="00E03DDE" w:rsidRPr="004936EF">
        <w:rPr>
          <w:lang w:val="en-US"/>
        </w:rPr>
        <w:t>2</w:t>
      </w:r>
      <w:r w:rsidR="00954BF8" w:rsidRPr="004936EF">
        <w:rPr>
          <w:lang w:val="en-US"/>
        </w:rPr>
        <w:t>4</w:t>
      </w:r>
      <w:r w:rsidR="009F4039" w:rsidRPr="004936EF">
        <w:rPr>
          <w:lang w:val="en-US"/>
        </w:rPr>
        <w:t>)</w:t>
      </w:r>
      <w:r w:rsidR="00954BF8" w:rsidRPr="004936EF">
        <w:rPr>
          <w:lang w:val="en-US"/>
        </w:rPr>
        <w:t xml:space="preserve">, parties other than the State Party may bring an element </w:t>
      </w:r>
      <w:r w:rsidR="003D77F3" w:rsidRPr="004936EF">
        <w:rPr>
          <w:lang w:val="en-US"/>
        </w:rPr>
        <w:t>to the attention of the Bureau.</w:t>
      </w:r>
    </w:p>
    <w:p w14:paraId="5916F1DE" w14:textId="05011C27" w:rsidR="009F4039" w:rsidRPr="004936EF" w:rsidRDefault="00954BF8" w:rsidP="004936EF">
      <w:pPr>
        <w:pStyle w:val="Numrosance"/>
        <w:numPr>
          <w:ilvl w:val="0"/>
          <w:numId w:val="69"/>
        </w:numPr>
        <w:rPr>
          <w:lang w:val="en-US"/>
        </w:rPr>
      </w:pPr>
      <w:r w:rsidRPr="004936EF">
        <w:rPr>
          <w:lang w:val="en-US"/>
        </w:rPr>
        <w:t xml:space="preserve">Can </w:t>
      </w:r>
      <w:r w:rsidR="00852623" w:rsidRPr="004936EF">
        <w:rPr>
          <w:lang w:val="en-US"/>
        </w:rPr>
        <w:t xml:space="preserve">the same or very </w:t>
      </w:r>
      <w:r w:rsidRPr="004936EF">
        <w:rPr>
          <w:lang w:val="en-US"/>
        </w:rPr>
        <w:t>similar elements be nominated</w:t>
      </w:r>
      <w:r w:rsidR="00BF6DA7" w:rsidRPr="004936EF">
        <w:rPr>
          <w:lang w:val="en-US"/>
        </w:rPr>
        <w:t>/</w:t>
      </w:r>
      <w:r w:rsidR="006863F8" w:rsidRPr="004936EF">
        <w:rPr>
          <w:lang w:val="en-US"/>
        </w:rPr>
        <w:t xml:space="preserve"> </w:t>
      </w:r>
      <w:r w:rsidRPr="004936EF">
        <w:rPr>
          <w:lang w:val="en-US"/>
        </w:rPr>
        <w:t xml:space="preserve">inventoried by several </w:t>
      </w:r>
      <w:r w:rsidR="009F4039" w:rsidRPr="004936EF">
        <w:rPr>
          <w:lang w:val="en-US"/>
        </w:rPr>
        <w:t xml:space="preserve">States </w:t>
      </w:r>
      <w:r w:rsidR="00852623" w:rsidRPr="004936EF">
        <w:rPr>
          <w:lang w:val="en-US"/>
        </w:rPr>
        <w:t>independently</w:t>
      </w:r>
      <w:r w:rsidRPr="004936EF">
        <w:rPr>
          <w:lang w:val="en-US"/>
        </w:rPr>
        <w:t>?</w:t>
      </w:r>
    </w:p>
    <w:p w14:paraId="6049AC3C" w14:textId="77777777" w:rsidR="00954BF8" w:rsidRPr="004936EF" w:rsidRDefault="009F4039" w:rsidP="004936EF">
      <w:pPr>
        <w:pStyle w:val="Rponses"/>
        <w:rPr>
          <w:lang w:val="en-US"/>
        </w:rPr>
      </w:pPr>
      <w:r w:rsidRPr="004936EF">
        <w:rPr>
          <w:b/>
          <w:lang w:val="en-US"/>
        </w:rPr>
        <w:t>Answer:</w:t>
      </w:r>
      <w:r w:rsidRPr="004936EF">
        <w:rPr>
          <w:lang w:val="en-US"/>
        </w:rPr>
        <w:t xml:space="preserve"> </w:t>
      </w:r>
      <w:r w:rsidR="00954BF8" w:rsidRPr="004936EF">
        <w:rPr>
          <w:lang w:val="en-US"/>
        </w:rPr>
        <w:t>Yes, as long as the ICH is enacted</w:t>
      </w:r>
      <w:r w:rsidR="00BF6DA7" w:rsidRPr="004936EF">
        <w:rPr>
          <w:lang w:val="en-US"/>
        </w:rPr>
        <w:t>/</w:t>
      </w:r>
      <w:r w:rsidR="00954BF8" w:rsidRPr="004936EF">
        <w:rPr>
          <w:lang w:val="en-US"/>
        </w:rPr>
        <w:t>transmitt</w:t>
      </w:r>
      <w:r w:rsidR="00852623" w:rsidRPr="004936EF">
        <w:rPr>
          <w:lang w:val="en-US"/>
        </w:rPr>
        <w:t>ed on the territory of the States Parties</w:t>
      </w:r>
      <w:r w:rsidR="00954BF8" w:rsidRPr="004936EF">
        <w:rPr>
          <w:lang w:val="en-US"/>
        </w:rPr>
        <w:t xml:space="preserve"> nominat</w:t>
      </w:r>
      <w:r w:rsidRPr="004936EF">
        <w:rPr>
          <w:lang w:val="en-US"/>
        </w:rPr>
        <w:t>ing or inventorying the element</w:t>
      </w:r>
      <w:r w:rsidR="003D77F3" w:rsidRPr="004936EF">
        <w:rPr>
          <w:lang w:val="en-US"/>
        </w:rPr>
        <w:t>.</w:t>
      </w:r>
    </w:p>
    <w:p w14:paraId="05616ACB" w14:textId="16A1BB05" w:rsidR="009F4039" w:rsidRPr="004936EF" w:rsidRDefault="00954BF8" w:rsidP="004936EF">
      <w:pPr>
        <w:pStyle w:val="Numrosance"/>
        <w:numPr>
          <w:ilvl w:val="0"/>
          <w:numId w:val="69"/>
        </w:numPr>
        <w:rPr>
          <w:lang w:val="en-US"/>
        </w:rPr>
      </w:pPr>
      <w:r w:rsidRPr="004936EF">
        <w:rPr>
          <w:lang w:val="en-US"/>
        </w:rPr>
        <w:t xml:space="preserve">Does one State Party have </w:t>
      </w:r>
      <w:r w:rsidR="00D35564" w:rsidRPr="004936EF">
        <w:rPr>
          <w:lang w:val="en-US"/>
        </w:rPr>
        <w:t xml:space="preserve">the </w:t>
      </w:r>
      <w:r w:rsidRPr="004936EF">
        <w:rPr>
          <w:lang w:val="en-US"/>
        </w:rPr>
        <w:t xml:space="preserve">power </w:t>
      </w:r>
      <w:r w:rsidR="00D35564" w:rsidRPr="004936EF">
        <w:rPr>
          <w:lang w:val="en-US"/>
        </w:rPr>
        <w:t xml:space="preserve">of veto </w:t>
      </w:r>
      <w:r w:rsidRPr="004936EF">
        <w:rPr>
          <w:lang w:val="en-US"/>
        </w:rPr>
        <w:t xml:space="preserve">over a nomination by other </w:t>
      </w:r>
      <w:r w:rsidR="009F4039" w:rsidRPr="004936EF">
        <w:rPr>
          <w:lang w:val="en-US"/>
        </w:rPr>
        <w:t>States</w:t>
      </w:r>
      <w:r w:rsidRPr="004936EF">
        <w:rPr>
          <w:lang w:val="en-US"/>
        </w:rPr>
        <w:t>?</w:t>
      </w:r>
    </w:p>
    <w:p w14:paraId="054A9DEE" w14:textId="77777777" w:rsidR="00954BF8" w:rsidRPr="004936EF" w:rsidRDefault="009F4039" w:rsidP="004936EF">
      <w:pPr>
        <w:pStyle w:val="Rponses"/>
        <w:rPr>
          <w:lang w:val="en-US"/>
        </w:rPr>
      </w:pPr>
      <w:r w:rsidRPr="004936EF">
        <w:rPr>
          <w:b/>
          <w:lang w:val="en-US"/>
        </w:rPr>
        <w:t>Answer</w:t>
      </w:r>
      <w:r w:rsidR="007061A4" w:rsidRPr="004936EF">
        <w:rPr>
          <w:b/>
          <w:lang w:val="en-US"/>
        </w:rPr>
        <w:t>:</w:t>
      </w:r>
      <w:r w:rsidRPr="004936EF">
        <w:rPr>
          <w:lang w:val="en-US"/>
        </w:rPr>
        <w:t xml:space="preserve"> </w:t>
      </w:r>
      <w:r w:rsidR="00954BF8" w:rsidRPr="004936EF">
        <w:rPr>
          <w:lang w:val="en-US"/>
        </w:rPr>
        <w:t>No</w:t>
      </w:r>
      <w:r w:rsidRPr="004936EF">
        <w:rPr>
          <w:lang w:val="en-US"/>
        </w:rPr>
        <w:t>,</w:t>
      </w:r>
      <w:r w:rsidR="00852623" w:rsidRPr="004936EF">
        <w:rPr>
          <w:lang w:val="en-US"/>
        </w:rPr>
        <w:t xml:space="preserve"> but it may express </w:t>
      </w:r>
      <w:r w:rsidR="00D35564" w:rsidRPr="004936EF">
        <w:rPr>
          <w:lang w:val="en-US"/>
        </w:rPr>
        <w:t>its opposition to</w:t>
      </w:r>
      <w:r w:rsidR="00852623" w:rsidRPr="004936EF">
        <w:rPr>
          <w:lang w:val="en-US"/>
        </w:rPr>
        <w:t xml:space="preserve"> inscription if it </w:t>
      </w:r>
      <w:r w:rsidRPr="004936EF">
        <w:rPr>
          <w:lang w:val="en-US"/>
        </w:rPr>
        <w:t>is</w:t>
      </w:r>
      <w:r w:rsidR="003D77F3" w:rsidRPr="004936EF">
        <w:rPr>
          <w:lang w:val="en-US"/>
        </w:rPr>
        <w:t xml:space="preserve"> a Committee Member.</w:t>
      </w:r>
    </w:p>
    <w:p w14:paraId="1A995F12" w14:textId="559060CB" w:rsidR="003660C0" w:rsidRPr="004936EF" w:rsidRDefault="00954BF8" w:rsidP="004936EF">
      <w:pPr>
        <w:pStyle w:val="Numrosance"/>
        <w:numPr>
          <w:ilvl w:val="0"/>
          <w:numId w:val="69"/>
        </w:numPr>
        <w:rPr>
          <w:lang w:val="en-US"/>
        </w:rPr>
      </w:pPr>
      <w:r w:rsidRPr="004936EF">
        <w:rPr>
          <w:lang w:val="en-US"/>
        </w:rPr>
        <w:t>How much information is required on the ICH performed</w:t>
      </w:r>
      <w:r w:rsidR="00BF6DA7" w:rsidRPr="004936EF">
        <w:rPr>
          <w:lang w:val="en-US"/>
        </w:rPr>
        <w:t>/</w:t>
      </w:r>
      <w:proofErr w:type="spellStart"/>
      <w:r w:rsidRPr="004936EF">
        <w:rPr>
          <w:lang w:val="en-US"/>
        </w:rPr>
        <w:t>practised</w:t>
      </w:r>
      <w:proofErr w:type="spellEnd"/>
      <w:r w:rsidRPr="004936EF">
        <w:rPr>
          <w:lang w:val="en-US"/>
        </w:rPr>
        <w:t xml:space="preserve"> outside the </w:t>
      </w:r>
      <w:r w:rsidR="003660C0" w:rsidRPr="004936EF">
        <w:rPr>
          <w:lang w:val="en-US"/>
        </w:rPr>
        <w:t xml:space="preserve">State </w:t>
      </w:r>
      <w:r w:rsidRPr="004936EF">
        <w:rPr>
          <w:lang w:val="en-US"/>
        </w:rPr>
        <w:t>nominating</w:t>
      </w:r>
      <w:r w:rsidR="00BF6DA7" w:rsidRPr="004936EF">
        <w:rPr>
          <w:lang w:val="en-US"/>
        </w:rPr>
        <w:t>/</w:t>
      </w:r>
      <w:r w:rsidRPr="004936EF">
        <w:rPr>
          <w:lang w:val="en-US"/>
        </w:rPr>
        <w:t>inventorying it</w:t>
      </w:r>
      <w:r w:rsidR="003D77F3" w:rsidRPr="004936EF">
        <w:rPr>
          <w:lang w:val="en-US"/>
        </w:rPr>
        <w:t xml:space="preserve"> in nomination files submitted by a single State Party</w:t>
      </w:r>
      <w:r w:rsidRPr="004936EF">
        <w:rPr>
          <w:lang w:val="en-US"/>
        </w:rPr>
        <w:t>?</w:t>
      </w:r>
    </w:p>
    <w:p w14:paraId="08E10471" w14:textId="77777777" w:rsidR="00954BF8" w:rsidRPr="004936EF" w:rsidRDefault="003660C0" w:rsidP="004936EF">
      <w:pPr>
        <w:pStyle w:val="Rponses"/>
        <w:rPr>
          <w:lang w:val="en-US"/>
        </w:rPr>
      </w:pPr>
      <w:r w:rsidRPr="004936EF">
        <w:rPr>
          <w:b/>
          <w:lang w:val="en-US"/>
        </w:rPr>
        <w:t>Answer</w:t>
      </w:r>
      <w:r w:rsidR="007061A4" w:rsidRPr="004936EF">
        <w:rPr>
          <w:b/>
          <w:lang w:val="en-US"/>
        </w:rPr>
        <w:t>:</w:t>
      </w:r>
      <w:r w:rsidRPr="004936EF">
        <w:rPr>
          <w:lang w:val="en-US"/>
        </w:rPr>
        <w:t xml:space="preserve"> </w:t>
      </w:r>
      <w:r w:rsidR="00954BF8" w:rsidRPr="004936EF">
        <w:rPr>
          <w:lang w:val="en-US"/>
        </w:rPr>
        <w:t>Most information should pertain to the ICH performed</w:t>
      </w:r>
      <w:r w:rsidR="00BF6DA7" w:rsidRPr="004936EF">
        <w:rPr>
          <w:lang w:val="en-US"/>
        </w:rPr>
        <w:t>/</w:t>
      </w:r>
      <w:proofErr w:type="spellStart"/>
      <w:r w:rsidR="00954BF8" w:rsidRPr="004936EF">
        <w:rPr>
          <w:lang w:val="en-US"/>
        </w:rPr>
        <w:t>practised</w:t>
      </w:r>
      <w:proofErr w:type="spellEnd"/>
      <w:r w:rsidR="003302AE" w:rsidRPr="004936EF">
        <w:rPr>
          <w:lang w:val="en-US"/>
        </w:rPr>
        <w:t xml:space="preserve"> inside the </w:t>
      </w:r>
      <w:r w:rsidRPr="004936EF">
        <w:rPr>
          <w:lang w:val="en-US"/>
        </w:rPr>
        <w:t>State</w:t>
      </w:r>
      <w:r w:rsidR="003302AE" w:rsidRPr="004936EF">
        <w:rPr>
          <w:lang w:val="en-US"/>
        </w:rPr>
        <w:t xml:space="preserve"> nominating</w:t>
      </w:r>
      <w:r w:rsidR="00954BF8" w:rsidRPr="004936EF">
        <w:rPr>
          <w:lang w:val="en-US"/>
        </w:rPr>
        <w:t xml:space="preserve"> it, but some context should be provided on related practice outside the </w:t>
      </w:r>
      <w:r w:rsidRPr="004936EF">
        <w:rPr>
          <w:lang w:val="en-US"/>
        </w:rPr>
        <w:t>State</w:t>
      </w:r>
      <w:r w:rsidR="003D77F3" w:rsidRPr="004936EF">
        <w:rPr>
          <w:lang w:val="en-US"/>
        </w:rPr>
        <w:t>.</w:t>
      </w:r>
    </w:p>
    <w:p w14:paraId="3B7420CB" w14:textId="1EDE2B82" w:rsidR="00640C6C" w:rsidRPr="004936EF" w:rsidRDefault="00954BF8" w:rsidP="004936EF">
      <w:pPr>
        <w:pStyle w:val="Numrosance"/>
        <w:numPr>
          <w:ilvl w:val="0"/>
          <w:numId w:val="69"/>
        </w:numPr>
        <w:rPr>
          <w:lang w:val="en-US"/>
        </w:rPr>
      </w:pPr>
      <w:r w:rsidRPr="004936EF">
        <w:rPr>
          <w:lang w:val="en-US"/>
        </w:rPr>
        <w:t xml:space="preserve">Are State Parties obliged to make </w:t>
      </w:r>
      <w:r w:rsidR="00A60F2E" w:rsidRPr="004936EF">
        <w:rPr>
          <w:lang w:val="en-US"/>
        </w:rPr>
        <w:t>multi-national</w:t>
      </w:r>
      <w:r w:rsidRPr="004936EF">
        <w:rPr>
          <w:lang w:val="en-US"/>
        </w:rPr>
        <w:t xml:space="preserve"> nominations for shared heritage?</w:t>
      </w:r>
    </w:p>
    <w:p w14:paraId="711AD8FF" w14:textId="1BBD0C50" w:rsidR="00954BF8" w:rsidRPr="004936EF" w:rsidRDefault="00640C6C" w:rsidP="004936EF">
      <w:pPr>
        <w:pStyle w:val="Rponses"/>
        <w:rPr>
          <w:lang w:val="en-US"/>
        </w:rPr>
      </w:pPr>
      <w:r w:rsidRPr="004936EF">
        <w:rPr>
          <w:b/>
          <w:lang w:val="en-US"/>
        </w:rPr>
        <w:t>Answer</w:t>
      </w:r>
      <w:r w:rsidR="007061A4" w:rsidRPr="004936EF">
        <w:rPr>
          <w:b/>
          <w:lang w:val="en-US"/>
        </w:rPr>
        <w:t>:</w:t>
      </w:r>
      <w:r w:rsidRPr="004936EF">
        <w:rPr>
          <w:lang w:val="en-US"/>
        </w:rPr>
        <w:t xml:space="preserve"> </w:t>
      </w:r>
      <w:r w:rsidR="00954BF8" w:rsidRPr="004936EF">
        <w:rPr>
          <w:lang w:val="en-US"/>
        </w:rPr>
        <w:t>No, but in cases where the heritage is shared, they are s</w:t>
      </w:r>
      <w:r w:rsidR="00340F8F">
        <w:rPr>
          <w:lang w:val="en-US"/>
        </w:rPr>
        <w:t>trongly encouraged to do so (OD </w:t>
      </w:r>
      <w:r w:rsidR="00954BF8" w:rsidRPr="004936EF">
        <w:rPr>
          <w:lang w:val="en-US"/>
        </w:rPr>
        <w:t>13). If a shared element has already been inscribed on one of the Lists of the Convention, other States Parties may app</w:t>
      </w:r>
      <w:r w:rsidR="00340F8F">
        <w:rPr>
          <w:lang w:val="en-US"/>
        </w:rPr>
        <w:t>ly to extend the nomination (OD </w:t>
      </w:r>
      <w:r w:rsidR="00954BF8" w:rsidRPr="004936EF">
        <w:rPr>
          <w:lang w:val="en-US"/>
        </w:rPr>
        <w:t xml:space="preserve">14) to include the ICH </w:t>
      </w:r>
      <w:proofErr w:type="spellStart"/>
      <w:r w:rsidR="00954BF8" w:rsidRPr="004936EF">
        <w:rPr>
          <w:lang w:val="en-US"/>
        </w:rPr>
        <w:t>practised</w:t>
      </w:r>
      <w:proofErr w:type="spellEnd"/>
      <w:r w:rsidR="00BF6DA7" w:rsidRPr="004936EF">
        <w:rPr>
          <w:lang w:val="en-US"/>
        </w:rPr>
        <w:t>/</w:t>
      </w:r>
      <w:r w:rsidR="00954BF8" w:rsidRPr="004936EF">
        <w:rPr>
          <w:lang w:val="en-US"/>
        </w:rPr>
        <w:t xml:space="preserve">transmitted on their </w:t>
      </w:r>
      <w:r w:rsidRPr="004936EF">
        <w:rPr>
          <w:lang w:val="en-US"/>
        </w:rPr>
        <w:t>territories – if all the stakeholders agree</w:t>
      </w:r>
      <w:r w:rsidR="003D77F3" w:rsidRPr="004936EF">
        <w:rPr>
          <w:lang w:val="en-US"/>
        </w:rPr>
        <w:t>.</w:t>
      </w:r>
    </w:p>
    <w:p w14:paraId="2E0392E4" w14:textId="4C37D2F2" w:rsidR="009B5273" w:rsidRDefault="008F3EFC" w:rsidP="004936EF">
      <w:pPr>
        <w:pStyle w:val="Heading6"/>
        <w:rPr>
          <w:lang w:val="en-GB"/>
        </w:rPr>
      </w:pPr>
      <w:proofErr w:type="gramStart"/>
      <w:r w:rsidRPr="00141792">
        <w:rPr>
          <w:lang w:val="en-GB"/>
        </w:rPr>
        <w:t xml:space="preserve">Slide </w:t>
      </w:r>
      <w:r w:rsidR="00BB45B7" w:rsidRPr="00141792">
        <w:rPr>
          <w:lang w:val="en-GB"/>
        </w:rPr>
        <w:t>5</w:t>
      </w:r>
      <w:r w:rsidR="009B5273" w:rsidRPr="00141792">
        <w:rPr>
          <w:lang w:val="en-GB"/>
        </w:rPr>
        <w:t>.</w:t>
      </w:r>
      <w:proofErr w:type="gramEnd"/>
    </w:p>
    <w:p w14:paraId="5A27102A" w14:textId="77777777" w:rsidR="001F1A8C" w:rsidRPr="00141792" w:rsidRDefault="00451F0F" w:rsidP="004936EF">
      <w:pPr>
        <w:pStyle w:val="diapo2"/>
        <w:rPr>
          <w:lang w:val="en-GB"/>
        </w:rPr>
      </w:pPr>
      <w:r w:rsidRPr="00141792">
        <w:rPr>
          <w:lang w:val="en-GB"/>
        </w:rPr>
        <w:t>International assistance</w:t>
      </w:r>
      <w:r w:rsidR="001F1A8C" w:rsidRPr="00141792">
        <w:rPr>
          <w:lang w:val="en-GB"/>
        </w:rPr>
        <w:t xml:space="preserve"> </w:t>
      </w:r>
    </w:p>
    <w:p w14:paraId="27A40535" w14:textId="7DB0EED3" w:rsidR="0037668E" w:rsidRPr="004936EF" w:rsidRDefault="005B24F5" w:rsidP="009909DD">
      <w:pPr>
        <w:pStyle w:val="Texte1"/>
        <w:rPr>
          <w:lang w:val="en-US"/>
        </w:rPr>
      </w:pPr>
      <w:r w:rsidRPr="00141792">
        <w:rPr>
          <w:lang w:val="en-GB"/>
        </w:rPr>
        <w:t xml:space="preserve"> See </w:t>
      </w:r>
      <w:r w:rsidR="00F02D08">
        <w:rPr>
          <w:lang w:val="en-GB"/>
        </w:rPr>
        <w:t>Participant’s</w:t>
      </w:r>
      <w:r w:rsidR="002A3923">
        <w:rPr>
          <w:lang w:val="en-GB"/>
        </w:rPr>
        <w:t xml:space="preserve"> text </w:t>
      </w:r>
      <w:r w:rsidR="002D7FDE">
        <w:rPr>
          <w:lang w:val="en-GB"/>
        </w:rPr>
        <w:t>Unit </w:t>
      </w:r>
      <w:r w:rsidR="00465447">
        <w:rPr>
          <w:lang w:val="en-GB"/>
        </w:rPr>
        <w:t>12</w:t>
      </w:r>
      <w:r w:rsidR="0037668E" w:rsidRPr="00141792">
        <w:rPr>
          <w:lang w:val="en-GB"/>
        </w:rPr>
        <w:t>.5</w:t>
      </w:r>
      <w:r w:rsidRPr="00141792">
        <w:rPr>
          <w:lang w:val="en-GB"/>
        </w:rPr>
        <w:t xml:space="preserve">. </w:t>
      </w:r>
    </w:p>
    <w:p w14:paraId="5A6895F3" w14:textId="0E218E7C" w:rsidR="009B5273" w:rsidRDefault="0037668E" w:rsidP="004936EF">
      <w:pPr>
        <w:pStyle w:val="Heading6"/>
        <w:rPr>
          <w:lang w:val="en-GB"/>
        </w:rPr>
      </w:pPr>
      <w:proofErr w:type="gramStart"/>
      <w:r w:rsidRPr="00141792">
        <w:rPr>
          <w:lang w:val="en-GB"/>
        </w:rPr>
        <w:t>Slide 6</w:t>
      </w:r>
      <w:r w:rsidR="009B5273" w:rsidRPr="00141792">
        <w:rPr>
          <w:lang w:val="en-GB"/>
        </w:rPr>
        <w:t>.</w:t>
      </w:r>
      <w:proofErr w:type="gramEnd"/>
    </w:p>
    <w:p w14:paraId="794D60FE" w14:textId="77777777" w:rsidR="0037668E" w:rsidRPr="00141792" w:rsidRDefault="00D526D8" w:rsidP="004936EF">
      <w:pPr>
        <w:pStyle w:val="diapo2"/>
        <w:rPr>
          <w:lang w:val="en-GB"/>
        </w:rPr>
      </w:pPr>
      <w:r w:rsidRPr="00141792">
        <w:rPr>
          <w:lang w:val="en-GB"/>
        </w:rPr>
        <w:t xml:space="preserve">ICH </w:t>
      </w:r>
      <w:r w:rsidR="0037668E" w:rsidRPr="00141792">
        <w:rPr>
          <w:lang w:val="en-GB"/>
        </w:rPr>
        <w:t xml:space="preserve">Fund </w:t>
      </w:r>
    </w:p>
    <w:p w14:paraId="288EE8AF" w14:textId="1EFAC3E8" w:rsidR="003E2D4E" w:rsidRPr="004936EF" w:rsidRDefault="005B24F5"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2D7FDE">
        <w:rPr>
          <w:lang w:val="en-GB"/>
        </w:rPr>
        <w:t>Unit </w:t>
      </w:r>
      <w:r w:rsidR="00465447">
        <w:rPr>
          <w:lang w:val="en-GB"/>
        </w:rPr>
        <w:t>12</w:t>
      </w:r>
      <w:r w:rsidR="003E2D4E" w:rsidRPr="00141792">
        <w:rPr>
          <w:lang w:val="en-GB"/>
        </w:rPr>
        <w:t>.4</w:t>
      </w:r>
      <w:r w:rsidR="00D20466" w:rsidRPr="00141792">
        <w:rPr>
          <w:lang w:val="en-GB"/>
        </w:rPr>
        <w:t xml:space="preserve"> </w:t>
      </w:r>
    </w:p>
    <w:p w14:paraId="0D815785" w14:textId="77777777" w:rsidR="00D20466" w:rsidRPr="004936EF" w:rsidRDefault="00D20466" w:rsidP="004936EF">
      <w:pPr>
        <w:pStyle w:val="Soustitre"/>
        <w:rPr>
          <w:caps/>
          <w:lang w:val="en-GB"/>
        </w:rPr>
      </w:pPr>
      <w:bookmarkStart w:id="12" w:name="_Toc238982276"/>
      <w:r w:rsidRPr="004936EF">
        <w:rPr>
          <w:lang w:val="en-US"/>
        </w:rPr>
        <w:t>Note on planning for the use of the Fund</w:t>
      </w:r>
      <w:bookmarkEnd w:id="12"/>
    </w:p>
    <w:p w14:paraId="360749E8" w14:textId="77777777" w:rsidR="00284531" w:rsidRPr="004936EF" w:rsidRDefault="005E4996" w:rsidP="009909DD">
      <w:pPr>
        <w:pStyle w:val="Texte1"/>
        <w:rPr>
          <w:lang w:val="en-US"/>
        </w:rPr>
      </w:pPr>
      <w:r w:rsidRPr="00141792">
        <w:rPr>
          <w:lang w:val="en-GB"/>
        </w:rPr>
        <w:t>At every ordinary session of the General Assembly</w:t>
      </w:r>
      <w:r w:rsidR="00E4663C" w:rsidRPr="00141792">
        <w:rPr>
          <w:lang w:val="en-GB"/>
        </w:rPr>
        <w:t>,</w:t>
      </w:r>
      <w:r w:rsidRPr="00141792">
        <w:rPr>
          <w:lang w:val="en-GB"/>
        </w:rPr>
        <w:t xml:space="preserve"> t</w:t>
      </w:r>
      <w:r w:rsidR="00284531" w:rsidRPr="00141792">
        <w:rPr>
          <w:lang w:val="en-GB"/>
        </w:rPr>
        <w:t xml:space="preserve">he Committee presents a plan for the use of the </w:t>
      </w:r>
      <w:r w:rsidR="00D526D8" w:rsidRPr="00141792">
        <w:rPr>
          <w:lang w:val="en-GB"/>
        </w:rPr>
        <w:t xml:space="preserve">ICH </w:t>
      </w:r>
      <w:r w:rsidR="00284531" w:rsidRPr="00141792">
        <w:rPr>
          <w:lang w:val="en-GB"/>
        </w:rPr>
        <w:t>Fund for a two-year period</w:t>
      </w:r>
      <w:r w:rsidRPr="00141792">
        <w:rPr>
          <w:lang w:val="en-GB"/>
        </w:rPr>
        <w:t>. When this period is over,</w:t>
      </w:r>
      <w:r w:rsidR="00284531" w:rsidRPr="00141792">
        <w:rPr>
          <w:lang w:val="en-GB"/>
        </w:rPr>
        <w:t xml:space="preserve"> the Committee </w:t>
      </w:r>
      <w:r w:rsidR="00A5040C" w:rsidRPr="00141792">
        <w:rPr>
          <w:lang w:val="en-GB"/>
        </w:rPr>
        <w:t>must</w:t>
      </w:r>
      <w:r w:rsidR="00284531" w:rsidRPr="00141792">
        <w:rPr>
          <w:lang w:val="en-GB"/>
        </w:rPr>
        <w:t xml:space="preserve"> report </w:t>
      </w:r>
      <w:r w:rsidR="00A5040C" w:rsidRPr="00141792">
        <w:rPr>
          <w:lang w:val="en-GB"/>
        </w:rPr>
        <w:t xml:space="preserve">on </w:t>
      </w:r>
      <w:r w:rsidR="00284531" w:rsidRPr="00141792">
        <w:rPr>
          <w:lang w:val="en-GB"/>
        </w:rPr>
        <w:t>the actual use made of the Fund.</w:t>
      </w:r>
    </w:p>
    <w:p w14:paraId="6C4BD70C" w14:textId="6BADD879" w:rsidR="009B5273" w:rsidRDefault="00CD2EE9" w:rsidP="004936EF">
      <w:pPr>
        <w:pStyle w:val="Heading6"/>
        <w:rPr>
          <w:lang w:val="en-GB"/>
        </w:rPr>
      </w:pPr>
      <w:proofErr w:type="gramStart"/>
      <w:r w:rsidRPr="00141792">
        <w:rPr>
          <w:lang w:val="en-GB"/>
        </w:rPr>
        <w:t xml:space="preserve">Slide </w:t>
      </w:r>
      <w:r w:rsidR="0037668E" w:rsidRPr="00141792">
        <w:rPr>
          <w:lang w:val="en-GB"/>
        </w:rPr>
        <w:t>7</w:t>
      </w:r>
      <w:r w:rsidR="009B5273" w:rsidRPr="00141792">
        <w:rPr>
          <w:lang w:val="en-GB"/>
        </w:rPr>
        <w:t>.</w:t>
      </w:r>
      <w:proofErr w:type="gramEnd"/>
    </w:p>
    <w:p w14:paraId="3485D701" w14:textId="77777777" w:rsidR="00284531" w:rsidRPr="00141792" w:rsidRDefault="00A00F57" w:rsidP="004936EF">
      <w:pPr>
        <w:pStyle w:val="diapo2"/>
        <w:rPr>
          <w:lang w:val="en-GB"/>
        </w:rPr>
      </w:pPr>
      <w:r w:rsidRPr="00141792">
        <w:rPr>
          <w:lang w:val="en-GB"/>
        </w:rPr>
        <w:t>Objectives</w:t>
      </w:r>
      <w:r w:rsidR="00284531" w:rsidRPr="00141792">
        <w:rPr>
          <w:lang w:val="en-GB"/>
        </w:rPr>
        <w:t xml:space="preserve"> of </w:t>
      </w:r>
      <w:r w:rsidR="00451F0F" w:rsidRPr="00141792">
        <w:rPr>
          <w:lang w:val="en-GB"/>
        </w:rPr>
        <w:t>international assistance</w:t>
      </w:r>
    </w:p>
    <w:p w14:paraId="0D960DB8" w14:textId="3C20B268" w:rsidR="004F1B36" w:rsidRPr="004936EF" w:rsidRDefault="00F02D08" w:rsidP="009909DD">
      <w:pPr>
        <w:pStyle w:val="Texte1"/>
        <w:rPr>
          <w:lang w:val="en-US"/>
        </w:rPr>
      </w:pPr>
      <w:r>
        <w:rPr>
          <w:lang w:val="en-GB"/>
        </w:rPr>
        <w:t>Participant’s</w:t>
      </w:r>
      <w:r w:rsidR="002A3923">
        <w:rPr>
          <w:lang w:val="en-GB"/>
        </w:rPr>
        <w:t xml:space="preserve"> text </w:t>
      </w:r>
      <w:r w:rsidR="00CD3DF7">
        <w:rPr>
          <w:lang w:val="en-GB"/>
        </w:rPr>
        <w:t>Unit </w:t>
      </w:r>
      <w:r w:rsidR="00465447">
        <w:rPr>
          <w:lang w:val="en-GB"/>
        </w:rPr>
        <w:t>12</w:t>
      </w:r>
      <w:r w:rsidR="004F1B36" w:rsidRPr="00141792">
        <w:rPr>
          <w:lang w:val="en-GB"/>
        </w:rPr>
        <w:t>.5 discusses the activities supported by international assistance and how to apply.</w:t>
      </w:r>
    </w:p>
    <w:p w14:paraId="509902D7" w14:textId="4806E7D1" w:rsidR="00284531" w:rsidRPr="004936EF" w:rsidRDefault="002907D7" w:rsidP="009909DD">
      <w:pPr>
        <w:pStyle w:val="Texte1"/>
        <w:rPr>
          <w:lang w:val="en-US"/>
        </w:rPr>
      </w:pPr>
      <w:r w:rsidRPr="004936EF">
        <w:rPr>
          <w:lang w:val="en-US"/>
        </w:rPr>
        <w:t>According to t</w:t>
      </w:r>
      <w:r w:rsidR="001307EC" w:rsidRPr="004936EF">
        <w:rPr>
          <w:lang w:val="en-US"/>
        </w:rPr>
        <w:t xml:space="preserve">he </w:t>
      </w:r>
      <w:r w:rsidR="007E3211" w:rsidRPr="004936EF">
        <w:rPr>
          <w:lang w:val="en-US"/>
        </w:rPr>
        <w:t>ODs</w:t>
      </w:r>
      <w:r w:rsidRPr="004936EF">
        <w:rPr>
          <w:lang w:val="en-US"/>
        </w:rPr>
        <w:t>,</w:t>
      </w:r>
      <w:r w:rsidR="001307EC" w:rsidRPr="004936EF">
        <w:rPr>
          <w:lang w:val="en-US"/>
        </w:rPr>
        <w:t xml:space="preserve"> </w:t>
      </w:r>
      <w:r w:rsidR="00284531" w:rsidRPr="004936EF">
        <w:rPr>
          <w:lang w:val="en-US"/>
        </w:rPr>
        <w:t>‘The Committee may receive, e</w:t>
      </w:r>
      <w:r w:rsidR="00E03DDE" w:rsidRPr="004936EF">
        <w:rPr>
          <w:lang w:val="en-US"/>
        </w:rPr>
        <w:t>xamine</w:t>
      </w:r>
      <w:r w:rsidR="004F0EF5" w:rsidRPr="004936EF">
        <w:rPr>
          <w:lang w:val="en-US"/>
        </w:rPr>
        <w:t xml:space="preserve"> </w:t>
      </w:r>
      <w:r w:rsidR="00284531" w:rsidRPr="004936EF">
        <w:rPr>
          <w:lang w:val="en-US"/>
        </w:rPr>
        <w:t>and approve requests for any purpose and for any form of international a</w:t>
      </w:r>
      <w:r w:rsidR="00C8068F">
        <w:rPr>
          <w:lang w:val="en-US"/>
        </w:rPr>
        <w:t>ssistance mentioned in Articles </w:t>
      </w:r>
      <w:r w:rsidR="00284531" w:rsidRPr="004936EF">
        <w:rPr>
          <w:lang w:val="en-US"/>
        </w:rPr>
        <w:t>20 and 21 of the Convention respectively, depending on the available resources’</w:t>
      </w:r>
      <w:r w:rsidR="00340F8F">
        <w:rPr>
          <w:lang w:val="en-US"/>
        </w:rPr>
        <w:t xml:space="preserve"> (OD </w:t>
      </w:r>
      <w:r w:rsidRPr="004936EF">
        <w:rPr>
          <w:lang w:val="en-US"/>
        </w:rPr>
        <w:t>9)</w:t>
      </w:r>
      <w:r w:rsidR="00284531" w:rsidRPr="004936EF">
        <w:rPr>
          <w:lang w:val="en-US"/>
        </w:rPr>
        <w:t xml:space="preserve">. </w:t>
      </w:r>
    </w:p>
    <w:p w14:paraId="190ED863" w14:textId="2D15F7C9" w:rsidR="00484121" w:rsidRPr="004936EF" w:rsidRDefault="00484121" w:rsidP="004936EF">
      <w:pPr>
        <w:pStyle w:val="Soustitre"/>
        <w:rPr>
          <w:caps/>
          <w:lang w:val="en-GB"/>
        </w:rPr>
      </w:pPr>
      <w:bookmarkStart w:id="13" w:name="_Toc238982277"/>
      <w:r w:rsidRPr="004936EF">
        <w:rPr>
          <w:lang w:val="en-US"/>
        </w:rPr>
        <w:t xml:space="preserve">Note on </w:t>
      </w:r>
      <w:r w:rsidR="00442E1A" w:rsidRPr="004936EF">
        <w:rPr>
          <w:lang w:val="en-US"/>
        </w:rPr>
        <w:t>Article </w:t>
      </w:r>
      <w:r w:rsidRPr="004936EF">
        <w:rPr>
          <w:lang w:val="en-US"/>
        </w:rPr>
        <w:t>21</w:t>
      </w:r>
      <w:bookmarkEnd w:id="13"/>
    </w:p>
    <w:p w14:paraId="698FFF1E" w14:textId="3ECFA074" w:rsidR="00484121" w:rsidRDefault="00484121" w:rsidP="009909DD">
      <w:pPr>
        <w:pStyle w:val="Texte1"/>
        <w:rPr>
          <w:lang w:val="en-GB"/>
        </w:rPr>
      </w:pPr>
      <w:r w:rsidRPr="00141792">
        <w:rPr>
          <w:lang w:val="en-GB"/>
        </w:rPr>
        <w:t xml:space="preserve">According to </w:t>
      </w:r>
      <w:r w:rsidR="00442E1A">
        <w:rPr>
          <w:lang w:val="en-GB"/>
        </w:rPr>
        <w:t>Article </w:t>
      </w:r>
      <w:r w:rsidRPr="00141792">
        <w:rPr>
          <w:lang w:val="en-GB"/>
        </w:rPr>
        <w:t>21 of the Convention, international assistance can be used for a number of purposes:</w:t>
      </w:r>
    </w:p>
    <w:p w14:paraId="76BE48FC" w14:textId="4E09C4BD" w:rsidR="00484121" w:rsidRPr="004936EF" w:rsidRDefault="007E3211" w:rsidP="004936EF">
      <w:pPr>
        <w:pStyle w:val="numrationa1"/>
        <w:rPr>
          <w:lang w:val="en-US"/>
        </w:rPr>
      </w:pPr>
      <w:r w:rsidRPr="004936EF">
        <w:rPr>
          <w:lang w:val="en-US"/>
        </w:rPr>
        <w:t>(a</w:t>
      </w:r>
      <w:r w:rsidR="009B5273" w:rsidRPr="004936EF">
        <w:rPr>
          <w:lang w:val="en-US"/>
        </w:rPr>
        <w:t>)</w:t>
      </w:r>
      <w:r w:rsidR="009B5273" w:rsidRPr="004936EF">
        <w:rPr>
          <w:lang w:val="en-US"/>
        </w:rPr>
        <w:tab/>
      </w:r>
      <w:r w:rsidR="00465447" w:rsidRPr="004936EF">
        <w:rPr>
          <w:lang w:val="en-US"/>
        </w:rPr>
        <w:t xml:space="preserve">Studies </w:t>
      </w:r>
      <w:r w:rsidR="00484121" w:rsidRPr="004936EF">
        <w:rPr>
          <w:lang w:val="en-US"/>
        </w:rPr>
        <w:t>concerning various aspects of safeguarding.</w:t>
      </w:r>
    </w:p>
    <w:p w14:paraId="7D02D485" w14:textId="67CD56E8" w:rsidR="00484121" w:rsidRPr="004936EF" w:rsidRDefault="00442E1A" w:rsidP="009909DD">
      <w:pPr>
        <w:pStyle w:val="Texte1"/>
        <w:rPr>
          <w:bCs/>
          <w:lang w:val="en-US"/>
        </w:rPr>
      </w:pPr>
      <w:r w:rsidRPr="004936EF">
        <w:rPr>
          <w:lang w:val="en-US"/>
        </w:rPr>
        <w:t>Article </w:t>
      </w:r>
      <w:r w:rsidR="00484121" w:rsidRPr="004936EF">
        <w:rPr>
          <w:lang w:val="en-US"/>
        </w:rPr>
        <w:t xml:space="preserve">13 says </w:t>
      </w:r>
      <w:r w:rsidR="00957160" w:rsidRPr="004936EF">
        <w:rPr>
          <w:lang w:val="en-US"/>
        </w:rPr>
        <w:t xml:space="preserve">that </w:t>
      </w:r>
      <w:r w:rsidR="00484121" w:rsidRPr="004936EF">
        <w:rPr>
          <w:lang w:val="en-US"/>
        </w:rPr>
        <w:t xml:space="preserve">States Parties should try to ‘foster scientific, technical and artistic studies, as well as research methodologies, with a view to effective safeguarding of the intangible cultural heritage’. </w:t>
      </w:r>
    </w:p>
    <w:p w14:paraId="709FDE96" w14:textId="0067E7F8" w:rsidR="00484121" w:rsidRPr="004936EF" w:rsidRDefault="007E3211" w:rsidP="004936EF">
      <w:pPr>
        <w:pStyle w:val="numrationa1"/>
        <w:rPr>
          <w:lang w:val="en-US"/>
        </w:rPr>
      </w:pPr>
      <w:r w:rsidRPr="004936EF">
        <w:rPr>
          <w:lang w:val="en-US"/>
        </w:rPr>
        <w:t>(b</w:t>
      </w:r>
      <w:r w:rsidR="009B5273" w:rsidRPr="004936EF">
        <w:rPr>
          <w:lang w:val="en-US"/>
        </w:rPr>
        <w:t>)</w:t>
      </w:r>
      <w:r w:rsidR="009B5273" w:rsidRPr="004936EF">
        <w:rPr>
          <w:lang w:val="en-US"/>
        </w:rPr>
        <w:tab/>
      </w:r>
      <w:r w:rsidR="00465447" w:rsidRPr="004936EF">
        <w:rPr>
          <w:lang w:val="en-US"/>
        </w:rPr>
        <w:t xml:space="preserve">The </w:t>
      </w:r>
      <w:r w:rsidR="00957160" w:rsidRPr="004936EF">
        <w:rPr>
          <w:lang w:val="en-US"/>
        </w:rPr>
        <w:t>p</w:t>
      </w:r>
      <w:r w:rsidR="00484121" w:rsidRPr="004936EF">
        <w:rPr>
          <w:lang w:val="en-US"/>
        </w:rPr>
        <w:t>rovision of experts and practitioners</w:t>
      </w:r>
      <w:r w:rsidR="00957160" w:rsidRPr="004936EF">
        <w:rPr>
          <w:lang w:val="en-US"/>
        </w:rPr>
        <w:t>.</w:t>
      </w:r>
    </w:p>
    <w:p w14:paraId="402B0C77" w14:textId="0934BBDE" w:rsidR="00484121" w:rsidRPr="004936EF" w:rsidRDefault="00484121" w:rsidP="009909DD">
      <w:pPr>
        <w:pStyle w:val="Texte1"/>
        <w:rPr>
          <w:bCs/>
          <w:lang w:val="en-US"/>
        </w:rPr>
      </w:pPr>
      <w:r w:rsidRPr="004936EF">
        <w:rPr>
          <w:lang w:val="en-US"/>
        </w:rPr>
        <w:t>OD</w:t>
      </w:r>
      <w:r w:rsidR="00957160" w:rsidRPr="004936EF">
        <w:rPr>
          <w:lang w:val="en-US"/>
        </w:rPr>
        <w:t>s</w:t>
      </w:r>
      <w:r w:rsidR="00340F8F">
        <w:rPr>
          <w:lang w:val="en-US"/>
        </w:rPr>
        <w:t> </w:t>
      </w:r>
      <w:r w:rsidRPr="004936EF">
        <w:rPr>
          <w:lang w:val="en-US"/>
        </w:rPr>
        <w:t>86</w:t>
      </w:r>
      <w:r w:rsidR="00957160" w:rsidRPr="004936EF">
        <w:rPr>
          <w:lang w:val="en-US"/>
        </w:rPr>
        <w:t>–</w:t>
      </w:r>
      <w:r w:rsidRPr="004936EF">
        <w:rPr>
          <w:lang w:val="en-US"/>
        </w:rPr>
        <w:t xml:space="preserve">88 encourage States Parties to promote international and regional cooperation involving ‘communities, groups and, where applicable, individuals as well as experts, </w:t>
      </w:r>
      <w:proofErr w:type="spellStart"/>
      <w:r w:rsidRPr="004936EF">
        <w:rPr>
          <w:lang w:val="en-US"/>
        </w:rPr>
        <w:t>centres</w:t>
      </w:r>
      <w:proofErr w:type="spellEnd"/>
      <w:r w:rsidRPr="004936EF">
        <w:rPr>
          <w:lang w:val="en-US"/>
        </w:rPr>
        <w:t xml:space="preserve"> of expertise and research institutes’</w:t>
      </w:r>
      <w:r w:rsidR="007F4A3B" w:rsidRPr="004936EF">
        <w:rPr>
          <w:lang w:val="en-US"/>
        </w:rPr>
        <w:t>:</w:t>
      </w:r>
      <w:r w:rsidRPr="004936EF">
        <w:rPr>
          <w:lang w:val="en-US"/>
        </w:rPr>
        <w:t xml:space="preserve"> for example</w:t>
      </w:r>
      <w:r w:rsidR="007F4A3B" w:rsidRPr="004936EF">
        <w:rPr>
          <w:lang w:val="en-US"/>
        </w:rPr>
        <w:t>,</w:t>
      </w:r>
      <w:r w:rsidRPr="004936EF">
        <w:rPr>
          <w:lang w:val="en-US"/>
        </w:rPr>
        <w:t xml:space="preserve"> to share safeguarding ideas and documentation. Experts and practitioners who are involved in the preparation of nomination files and safeguarding measures may also have to be paid for their services.</w:t>
      </w:r>
    </w:p>
    <w:p w14:paraId="4E8A0154" w14:textId="456960FA" w:rsidR="00484121" w:rsidRPr="004936EF" w:rsidRDefault="007E3211" w:rsidP="004936EF">
      <w:pPr>
        <w:pStyle w:val="numrationa1"/>
        <w:rPr>
          <w:lang w:val="en-US"/>
        </w:rPr>
      </w:pPr>
      <w:r w:rsidRPr="004936EF">
        <w:rPr>
          <w:lang w:val="en-US"/>
        </w:rPr>
        <w:t>(c)</w:t>
      </w:r>
      <w:r w:rsidR="00465447" w:rsidRPr="004936EF">
        <w:rPr>
          <w:lang w:val="en-US"/>
        </w:rPr>
        <w:t xml:space="preserve"> T</w:t>
      </w:r>
      <w:r w:rsidR="00484121" w:rsidRPr="004936EF">
        <w:rPr>
          <w:lang w:val="en-US"/>
        </w:rPr>
        <w:t>he training of all necessary staff.</w:t>
      </w:r>
    </w:p>
    <w:p w14:paraId="1F61D407" w14:textId="76BA3022" w:rsidR="00484121" w:rsidRPr="004936EF" w:rsidRDefault="00442E1A" w:rsidP="009909DD">
      <w:pPr>
        <w:pStyle w:val="Texte1"/>
        <w:rPr>
          <w:bCs/>
          <w:lang w:val="en-US"/>
        </w:rPr>
      </w:pPr>
      <w:r w:rsidRPr="004936EF">
        <w:rPr>
          <w:lang w:val="en-US"/>
        </w:rPr>
        <w:t>Article </w:t>
      </w:r>
      <w:r w:rsidR="00484121" w:rsidRPr="004936EF">
        <w:rPr>
          <w:lang w:val="en-US"/>
        </w:rPr>
        <w:t>14 refers to the need for States Parties to undertake ‘capacity-building activities for the safeguarding of the intangible cultural heritage, in particular management and scientific research’.</w:t>
      </w:r>
    </w:p>
    <w:p w14:paraId="070FC239" w14:textId="796A8DFA" w:rsidR="00484121" w:rsidRPr="004936EF" w:rsidRDefault="007E3211" w:rsidP="004936EF">
      <w:pPr>
        <w:pStyle w:val="numrationa1"/>
        <w:rPr>
          <w:lang w:val="en-US"/>
        </w:rPr>
      </w:pPr>
      <w:r w:rsidRPr="004936EF">
        <w:rPr>
          <w:lang w:val="en-US"/>
        </w:rPr>
        <w:t>(d</w:t>
      </w:r>
      <w:r w:rsidR="009B5273" w:rsidRPr="004936EF">
        <w:rPr>
          <w:lang w:val="en-US"/>
        </w:rPr>
        <w:t>)</w:t>
      </w:r>
      <w:r w:rsidR="009B5273" w:rsidRPr="004936EF">
        <w:rPr>
          <w:lang w:val="en-US"/>
        </w:rPr>
        <w:tab/>
      </w:r>
      <w:r w:rsidR="00465447" w:rsidRPr="004936EF">
        <w:rPr>
          <w:lang w:val="en-US"/>
        </w:rPr>
        <w:t>T</w:t>
      </w:r>
      <w:r w:rsidR="00484121" w:rsidRPr="004936EF">
        <w:rPr>
          <w:lang w:val="en-US"/>
        </w:rPr>
        <w:t>he elaboration of standard-setting and other measures.</w:t>
      </w:r>
    </w:p>
    <w:p w14:paraId="029AC899" w14:textId="60DDA6F6" w:rsidR="00484121" w:rsidRPr="004936EF" w:rsidRDefault="00442E1A" w:rsidP="009909DD">
      <w:pPr>
        <w:pStyle w:val="Texte1"/>
        <w:rPr>
          <w:bCs/>
          <w:lang w:val="en-US"/>
        </w:rPr>
      </w:pPr>
      <w:r w:rsidRPr="004936EF">
        <w:rPr>
          <w:lang w:val="en-US"/>
        </w:rPr>
        <w:t>Article </w:t>
      </w:r>
      <w:r w:rsidR="00484121" w:rsidRPr="004936EF">
        <w:rPr>
          <w:lang w:val="en-US"/>
        </w:rPr>
        <w:t xml:space="preserve">13 asks States Parties to try </w:t>
      </w:r>
      <w:r w:rsidR="00BA1280" w:rsidRPr="004936EF">
        <w:rPr>
          <w:lang w:val="en-US"/>
        </w:rPr>
        <w:t xml:space="preserve">to </w:t>
      </w:r>
      <w:r w:rsidR="00484121" w:rsidRPr="004936EF">
        <w:rPr>
          <w:lang w:val="en-US"/>
        </w:rPr>
        <w:t xml:space="preserve">‘adopt a general policy aimed at promoting the function of the intangible cultural heritage in society, and at integrating the safeguarding of such heritage into planning </w:t>
      </w:r>
      <w:proofErr w:type="spellStart"/>
      <w:r w:rsidR="00484121" w:rsidRPr="004936EF">
        <w:rPr>
          <w:lang w:val="en-US"/>
        </w:rPr>
        <w:t>programmes</w:t>
      </w:r>
      <w:proofErr w:type="spellEnd"/>
      <w:r w:rsidR="00484121" w:rsidRPr="004936EF">
        <w:rPr>
          <w:lang w:val="en-US"/>
        </w:rPr>
        <w:t xml:space="preserve">’. The </w:t>
      </w:r>
      <w:r w:rsidR="00BA1280" w:rsidRPr="004936EF">
        <w:rPr>
          <w:lang w:val="en-US"/>
        </w:rPr>
        <w:t>ODs</w:t>
      </w:r>
      <w:r w:rsidR="00484121" w:rsidRPr="004936EF">
        <w:rPr>
          <w:lang w:val="en-US"/>
        </w:rPr>
        <w:t xml:space="preserve"> encourage States Parties to ‘promote policies for the public recognition of bearers and practitioners of intangible cultural heritage’ and ‘support the development and implementation of local policies aiming at promoting awareness of intangible cultural he</w:t>
      </w:r>
      <w:r w:rsidR="00340F8F">
        <w:rPr>
          <w:lang w:val="en-US"/>
        </w:rPr>
        <w:t>ritage’ (OD </w:t>
      </w:r>
      <w:r w:rsidR="00484121" w:rsidRPr="004936EF">
        <w:rPr>
          <w:lang w:val="en-US"/>
        </w:rPr>
        <w:t>105). Some of the possible aims of policies developed by St</w:t>
      </w:r>
      <w:r w:rsidR="00340F8F">
        <w:rPr>
          <w:lang w:val="en-US"/>
        </w:rPr>
        <w:t>ates Parties are detailed in OD </w:t>
      </w:r>
      <w:r w:rsidR="00484121" w:rsidRPr="004936EF">
        <w:rPr>
          <w:lang w:val="en-US"/>
        </w:rPr>
        <w:t>107.</w:t>
      </w:r>
    </w:p>
    <w:p w14:paraId="070E386D" w14:textId="2CB2DAB7" w:rsidR="00484121" w:rsidRPr="004936EF" w:rsidRDefault="007E3211" w:rsidP="004936EF">
      <w:pPr>
        <w:pStyle w:val="numrationa1"/>
        <w:rPr>
          <w:lang w:val="en-US"/>
        </w:rPr>
      </w:pPr>
      <w:r w:rsidRPr="004936EF">
        <w:rPr>
          <w:lang w:val="en-US"/>
        </w:rPr>
        <w:t>(e</w:t>
      </w:r>
      <w:r w:rsidR="009B5273" w:rsidRPr="004936EF">
        <w:rPr>
          <w:lang w:val="en-US"/>
        </w:rPr>
        <w:t>)</w:t>
      </w:r>
      <w:r w:rsidR="009B5273" w:rsidRPr="004936EF">
        <w:rPr>
          <w:lang w:val="en-US"/>
        </w:rPr>
        <w:tab/>
      </w:r>
      <w:r w:rsidR="00484121" w:rsidRPr="004936EF">
        <w:rPr>
          <w:lang w:val="en-US"/>
        </w:rPr>
        <w:t>The creation and operation of infrastructures.</w:t>
      </w:r>
    </w:p>
    <w:p w14:paraId="479772D5" w14:textId="5608BB9D" w:rsidR="00484121" w:rsidRPr="004936EF" w:rsidRDefault="00442E1A" w:rsidP="009909DD">
      <w:pPr>
        <w:pStyle w:val="Texte1"/>
        <w:rPr>
          <w:bCs/>
          <w:lang w:val="en-US"/>
        </w:rPr>
      </w:pPr>
      <w:r w:rsidRPr="004936EF">
        <w:rPr>
          <w:lang w:val="en-US"/>
        </w:rPr>
        <w:t>Article </w:t>
      </w:r>
      <w:r w:rsidR="00484121" w:rsidRPr="004936EF">
        <w:rPr>
          <w:lang w:val="en-US"/>
        </w:rPr>
        <w:t xml:space="preserve">13 refers to ‘institutions for training in the management of the intangible cultural heritage’ and to ‘documentation institutions for the intangible cultural heritage’. The </w:t>
      </w:r>
      <w:r w:rsidR="00BA1280" w:rsidRPr="004936EF">
        <w:rPr>
          <w:lang w:val="en-US"/>
        </w:rPr>
        <w:t>ODs</w:t>
      </w:r>
      <w:r w:rsidR="00484121" w:rsidRPr="004936EF">
        <w:rPr>
          <w:lang w:val="en-US"/>
        </w:rPr>
        <w:t xml:space="preserve"> encourage States Parties to </w:t>
      </w:r>
      <w:r w:rsidR="00BA1280" w:rsidRPr="004936EF">
        <w:rPr>
          <w:lang w:val="en-US"/>
        </w:rPr>
        <w:t>‘</w:t>
      </w:r>
      <w:r w:rsidR="00484121" w:rsidRPr="004936EF">
        <w:rPr>
          <w:lang w:val="en-US"/>
        </w:rPr>
        <w:t xml:space="preserve">create a consultative body or a coordination mechanism to facilitate the participation of communities, groups and, where applicable, individuals, as well as experts, </w:t>
      </w:r>
      <w:proofErr w:type="spellStart"/>
      <w:r w:rsidR="00484121" w:rsidRPr="004936EF">
        <w:rPr>
          <w:lang w:val="en-US"/>
        </w:rPr>
        <w:t>centres</w:t>
      </w:r>
      <w:proofErr w:type="spellEnd"/>
      <w:r w:rsidR="00484121" w:rsidRPr="004936EF">
        <w:rPr>
          <w:lang w:val="en-US"/>
        </w:rPr>
        <w:t xml:space="preserve"> of expertise and research institutes’</w:t>
      </w:r>
      <w:r w:rsidR="00340F8F">
        <w:rPr>
          <w:lang w:val="en-US"/>
        </w:rPr>
        <w:t xml:space="preserve"> (OD </w:t>
      </w:r>
      <w:r w:rsidR="00BA1280" w:rsidRPr="004936EF">
        <w:rPr>
          <w:lang w:val="en-US"/>
        </w:rPr>
        <w:t>80)</w:t>
      </w:r>
      <w:r w:rsidR="00484121" w:rsidRPr="004936EF">
        <w:rPr>
          <w:lang w:val="en-US"/>
        </w:rPr>
        <w:t>, as well as net</w:t>
      </w:r>
      <w:r w:rsidR="00340F8F">
        <w:rPr>
          <w:lang w:val="en-US"/>
        </w:rPr>
        <w:t>works of these stakeholders (OD </w:t>
      </w:r>
      <w:r w:rsidR="00484121" w:rsidRPr="004936EF">
        <w:rPr>
          <w:lang w:val="en-US"/>
        </w:rPr>
        <w:t>86</w:t>
      </w:r>
      <w:r w:rsidR="00484121" w:rsidRPr="004936EF">
        <w:rPr>
          <w:lang w:val="en-US"/>
        </w:rPr>
        <w:softHyphen/>
        <w:t>).</w:t>
      </w:r>
    </w:p>
    <w:p w14:paraId="181D3FEC" w14:textId="1C44AA09" w:rsidR="00484121" w:rsidRPr="004936EF" w:rsidRDefault="007E3211" w:rsidP="004936EF">
      <w:pPr>
        <w:pStyle w:val="numrationa1"/>
        <w:rPr>
          <w:lang w:val="en-US"/>
        </w:rPr>
      </w:pPr>
      <w:r w:rsidRPr="004936EF">
        <w:rPr>
          <w:lang w:val="en-US"/>
        </w:rPr>
        <w:t>(f</w:t>
      </w:r>
      <w:r w:rsidR="009B5273" w:rsidRPr="004936EF">
        <w:rPr>
          <w:lang w:val="en-US"/>
        </w:rPr>
        <w:t>)</w:t>
      </w:r>
      <w:r w:rsidR="009B5273" w:rsidRPr="004936EF">
        <w:rPr>
          <w:lang w:val="en-US"/>
        </w:rPr>
        <w:tab/>
      </w:r>
      <w:r w:rsidR="00465447" w:rsidRPr="004936EF">
        <w:rPr>
          <w:lang w:val="en-US"/>
        </w:rPr>
        <w:t>T</w:t>
      </w:r>
      <w:r w:rsidR="00484121" w:rsidRPr="004936EF">
        <w:rPr>
          <w:lang w:val="en-US"/>
        </w:rPr>
        <w:t>he supply of equipment and know-how.</w:t>
      </w:r>
    </w:p>
    <w:p w14:paraId="3529F02A" w14:textId="3E158B75" w:rsidR="00484121" w:rsidRPr="004936EF" w:rsidRDefault="007E3211" w:rsidP="004936EF">
      <w:pPr>
        <w:pStyle w:val="numrationa1"/>
        <w:rPr>
          <w:lang w:val="en-US"/>
        </w:rPr>
      </w:pPr>
      <w:r w:rsidRPr="004936EF">
        <w:rPr>
          <w:lang w:val="en-US"/>
        </w:rPr>
        <w:t>(g</w:t>
      </w:r>
      <w:r w:rsidR="009B5273" w:rsidRPr="004936EF">
        <w:rPr>
          <w:lang w:val="en-US"/>
        </w:rPr>
        <w:t>)</w:t>
      </w:r>
      <w:r w:rsidR="009B5273" w:rsidRPr="004936EF">
        <w:rPr>
          <w:lang w:val="en-US"/>
        </w:rPr>
        <w:tab/>
      </w:r>
      <w:r w:rsidR="00484121" w:rsidRPr="004936EF">
        <w:rPr>
          <w:lang w:val="en-US"/>
        </w:rPr>
        <w:t xml:space="preserve">Other forms of financial and technical assistance, including the granting of low-interest loans and donations. </w:t>
      </w:r>
      <w:r w:rsidR="00BA1280" w:rsidRPr="004936EF">
        <w:rPr>
          <w:lang w:val="en-US"/>
        </w:rPr>
        <w:t>(</w:t>
      </w:r>
      <w:r w:rsidR="00484121" w:rsidRPr="004936EF">
        <w:rPr>
          <w:lang w:val="en-US"/>
        </w:rPr>
        <w:t>Such a request has not yet been submitted to the Committee.</w:t>
      </w:r>
      <w:r w:rsidR="00BA1280" w:rsidRPr="004936EF">
        <w:rPr>
          <w:lang w:val="en-US"/>
        </w:rPr>
        <w:t>)</w:t>
      </w:r>
    </w:p>
    <w:p w14:paraId="24EF5446" w14:textId="5B93D38E" w:rsidR="009B5273" w:rsidRDefault="008F3EFC" w:rsidP="004936EF">
      <w:pPr>
        <w:pStyle w:val="Heading6"/>
        <w:rPr>
          <w:lang w:val="en-GB"/>
        </w:rPr>
      </w:pPr>
      <w:proofErr w:type="gramStart"/>
      <w:r w:rsidRPr="00141792">
        <w:rPr>
          <w:lang w:val="en-GB"/>
        </w:rPr>
        <w:t xml:space="preserve">Slide </w:t>
      </w:r>
      <w:r w:rsidR="00E859B6" w:rsidRPr="00141792">
        <w:rPr>
          <w:lang w:val="en-GB"/>
        </w:rPr>
        <w:t>8</w:t>
      </w:r>
      <w:r w:rsidR="009B5273" w:rsidRPr="00141792">
        <w:rPr>
          <w:lang w:val="en-GB"/>
        </w:rPr>
        <w:t>.</w:t>
      </w:r>
      <w:proofErr w:type="gramEnd"/>
    </w:p>
    <w:p w14:paraId="0C80D32E" w14:textId="77777777" w:rsidR="00284531" w:rsidRPr="00141792" w:rsidRDefault="00284531" w:rsidP="004936EF">
      <w:pPr>
        <w:pStyle w:val="diapo2"/>
        <w:rPr>
          <w:lang w:val="en-GB"/>
        </w:rPr>
      </w:pPr>
      <w:r w:rsidRPr="00141792">
        <w:rPr>
          <w:lang w:val="en-GB"/>
        </w:rPr>
        <w:t>Safeguarding traditional Somali performing arts</w:t>
      </w:r>
    </w:p>
    <w:p w14:paraId="453245B5" w14:textId="77777777" w:rsidR="00284531" w:rsidRPr="004936EF" w:rsidRDefault="00DC314B" w:rsidP="009909DD">
      <w:pPr>
        <w:pStyle w:val="Texte1"/>
        <w:rPr>
          <w:lang w:val="en-US"/>
        </w:rPr>
      </w:pPr>
      <w:r w:rsidRPr="00141792">
        <w:rPr>
          <w:lang w:val="en-GB"/>
        </w:rPr>
        <w:t>This is an example of a project for which</w:t>
      </w:r>
      <w:r w:rsidR="00284531" w:rsidRPr="00141792">
        <w:rPr>
          <w:lang w:val="en-GB"/>
        </w:rPr>
        <w:t xml:space="preserve"> financial assistance </w:t>
      </w:r>
      <w:r w:rsidRPr="00141792">
        <w:rPr>
          <w:lang w:val="en-GB"/>
        </w:rPr>
        <w:t xml:space="preserve">was </w:t>
      </w:r>
      <w:r w:rsidR="00284531" w:rsidRPr="00141792">
        <w:rPr>
          <w:lang w:val="en-GB"/>
        </w:rPr>
        <w:t xml:space="preserve">granted under the </w:t>
      </w:r>
      <w:r w:rsidR="00284531" w:rsidRPr="00141792">
        <w:rPr>
          <w:szCs w:val="22"/>
          <w:lang w:val="en-GB"/>
        </w:rPr>
        <w:t>UNESCO</w:t>
      </w:r>
      <w:r w:rsidR="00D02969" w:rsidRPr="004936EF">
        <w:rPr>
          <w:szCs w:val="22"/>
          <w:lang w:val="en-US"/>
        </w:rPr>
        <w:t>/Japan Funds-In-Trust for the ‘Preservation and Promotion of the Intangible Cultural Heritage’</w:t>
      </w:r>
      <w:r w:rsidR="00284531" w:rsidRPr="00141792">
        <w:rPr>
          <w:szCs w:val="22"/>
          <w:lang w:val="en-GB"/>
        </w:rPr>
        <w:t>.</w:t>
      </w:r>
    </w:p>
    <w:p w14:paraId="34A8FADC" w14:textId="77777777" w:rsidR="00284531" w:rsidRPr="00141792" w:rsidRDefault="00DC314B" w:rsidP="009909DD">
      <w:pPr>
        <w:pStyle w:val="Texte1"/>
      </w:pPr>
      <w:r w:rsidRPr="004936EF">
        <w:rPr>
          <w:lang w:val="en-US"/>
        </w:rPr>
        <w:t>In</w:t>
      </w:r>
      <w:r w:rsidR="00793E90" w:rsidRPr="004936EF">
        <w:rPr>
          <w:lang w:val="en-US"/>
        </w:rPr>
        <w:t xml:space="preserve"> 2008 and 2009</w:t>
      </w:r>
      <w:r w:rsidR="00284531" w:rsidRPr="004936EF">
        <w:rPr>
          <w:lang w:val="en-US"/>
        </w:rPr>
        <w:t xml:space="preserve"> a project called </w:t>
      </w:r>
      <w:r w:rsidR="005A2B32" w:rsidRPr="004936EF">
        <w:rPr>
          <w:lang w:val="en-US"/>
        </w:rPr>
        <w:t>‘</w:t>
      </w:r>
      <w:r w:rsidR="00284531" w:rsidRPr="004936EF">
        <w:rPr>
          <w:lang w:val="en-US"/>
        </w:rPr>
        <w:t>Safeguarding Traditional Somali Performing Art</w:t>
      </w:r>
      <w:r w:rsidR="00EB5ECE" w:rsidRPr="004936EF">
        <w:rPr>
          <w:lang w:val="en-US"/>
        </w:rPr>
        <w:t>s</w:t>
      </w:r>
      <w:r w:rsidR="005A2B32" w:rsidRPr="004936EF">
        <w:rPr>
          <w:lang w:val="en-US"/>
        </w:rPr>
        <w:t>’</w:t>
      </w:r>
      <w:r w:rsidR="00EB5ECE" w:rsidRPr="004936EF">
        <w:rPr>
          <w:lang w:val="en-US"/>
        </w:rPr>
        <w:t xml:space="preserve"> was undertaken among Somali</w:t>
      </w:r>
      <w:r w:rsidR="005A2B32" w:rsidRPr="004936EF">
        <w:rPr>
          <w:lang w:val="en-US"/>
        </w:rPr>
        <w:t>-</w:t>
      </w:r>
      <w:r w:rsidR="00EB5ECE" w:rsidRPr="004936EF">
        <w:rPr>
          <w:lang w:val="en-US"/>
        </w:rPr>
        <w:t>speakers</w:t>
      </w:r>
      <w:r w:rsidR="00284531" w:rsidRPr="004936EF">
        <w:rPr>
          <w:lang w:val="en-US"/>
        </w:rPr>
        <w:t xml:space="preserve"> in </w:t>
      </w:r>
      <w:r w:rsidR="00F941B8" w:rsidRPr="004936EF">
        <w:rPr>
          <w:lang w:val="en-US"/>
        </w:rPr>
        <w:t>the N</w:t>
      </w:r>
      <w:r w:rsidR="00284531" w:rsidRPr="004936EF">
        <w:rPr>
          <w:lang w:val="en-US"/>
        </w:rPr>
        <w:t>orth</w:t>
      </w:r>
      <w:r w:rsidR="00F941B8" w:rsidRPr="004936EF">
        <w:rPr>
          <w:lang w:val="en-US"/>
        </w:rPr>
        <w:t xml:space="preserve"> E</w:t>
      </w:r>
      <w:r w:rsidR="00284531" w:rsidRPr="004936EF">
        <w:rPr>
          <w:lang w:val="en-US"/>
        </w:rPr>
        <w:t xml:space="preserve">astern </w:t>
      </w:r>
      <w:r w:rsidR="00F941B8" w:rsidRPr="004936EF">
        <w:rPr>
          <w:lang w:val="en-US"/>
        </w:rPr>
        <w:t xml:space="preserve">Province of </w:t>
      </w:r>
      <w:r w:rsidR="00284531" w:rsidRPr="004936EF">
        <w:rPr>
          <w:lang w:val="en-US"/>
        </w:rPr>
        <w:t xml:space="preserve">Kenya and Nairobi. </w:t>
      </w:r>
      <w:r w:rsidR="00EB5ECE" w:rsidRPr="004936EF">
        <w:rPr>
          <w:lang w:val="en-US"/>
        </w:rPr>
        <w:t xml:space="preserve">Somali-speaking Kenyan communities have historically lived in </w:t>
      </w:r>
      <w:r w:rsidR="00F941B8" w:rsidRPr="004936EF">
        <w:rPr>
          <w:lang w:val="en-US"/>
        </w:rPr>
        <w:t>the N</w:t>
      </w:r>
      <w:r w:rsidR="00EB5ECE" w:rsidRPr="004936EF">
        <w:rPr>
          <w:lang w:val="en-US"/>
        </w:rPr>
        <w:t>orth</w:t>
      </w:r>
      <w:r w:rsidR="00F941B8" w:rsidRPr="004936EF">
        <w:rPr>
          <w:lang w:val="en-US"/>
        </w:rPr>
        <w:t xml:space="preserve"> E</w:t>
      </w:r>
      <w:r w:rsidR="00284531" w:rsidRPr="004936EF">
        <w:rPr>
          <w:lang w:val="en-US"/>
        </w:rPr>
        <w:t xml:space="preserve">astern </w:t>
      </w:r>
      <w:r w:rsidR="00F941B8" w:rsidRPr="004936EF">
        <w:rPr>
          <w:lang w:val="en-US"/>
        </w:rPr>
        <w:t>Province</w:t>
      </w:r>
      <w:r w:rsidR="00284531" w:rsidRPr="004936EF">
        <w:rPr>
          <w:lang w:val="en-US"/>
        </w:rPr>
        <w:t>; many Somali refugees</w:t>
      </w:r>
      <w:r w:rsidRPr="004936EF">
        <w:rPr>
          <w:lang w:val="en-US"/>
        </w:rPr>
        <w:t xml:space="preserve"> now</w:t>
      </w:r>
      <w:r w:rsidR="00284531" w:rsidRPr="004936EF">
        <w:rPr>
          <w:lang w:val="en-US"/>
        </w:rPr>
        <w:t xml:space="preserve"> live both in that region and in Nairobi. </w:t>
      </w:r>
      <w:r w:rsidR="00F941B8" w:rsidRPr="004936EF">
        <w:rPr>
          <w:lang w:val="en-US"/>
        </w:rPr>
        <w:t>(</w:t>
      </w:r>
      <w:r w:rsidR="00284531" w:rsidRPr="004936EF">
        <w:rPr>
          <w:lang w:val="en-US"/>
        </w:rPr>
        <w:t>The political situation did not allow for similar activities to be carried out in Somalia itself.</w:t>
      </w:r>
      <w:r w:rsidR="00F941B8" w:rsidRPr="004936EF">
        <w:rPr>
          <w:lang w:val="en-US"/>
        </w:rPr>
        <w:t>)</w:t>
      </w:r>
      <w:r w:rsidR="00284531" w:rsidRPr="004936EF">
        <w:rPr>
          <w:lang w:val="en-US"/>
        </w:rPr>
        <w:t xml:space="preserve"> </w:t>
      </w:r>
      <w:r w:rsidR="00284531" w:rsidRPr="00141792">
        <w:t xml:space="preserve">The </w:t>
      </w:r>
      <w:proofErr w:type="spellStart"/>
      <w:r w:rsidR="00284531" w:rsidRPr="00141792">
        <w:t>project</w:t>
      </w:r>
      <w:proofErr w:type="spellEnd"/>
      <w:r w:rsidR="00284531" w:rsidRPr="00141792">
        <w:t xml:space="preserve"> </w:t>
      </w:r>
      <w:proofErr w:type="spellStart"/>
      <w:r w:rsidR="00284531" w:rsidRPr="00141792">
        <w:t>involved</w:t>
      </w:r>
      <w:proofErr w:type="spellEnd"/>
      <w:r w:rsidR="00284531" w:rsidRPr="00141792">
        <w:t>:</w:t>
      </w:r>
    </w:p>
    <w:p w14:paraId="51AC960C" w14:textId="77777777" w:rsidR="00284531" w:rsidRPr="004936EF" w:rsidRDefault="001B02AB" w:rsidP="004936EF">
      <w:pPr>
        <w:pStyle w:val="Txtpucegras"/>
        <w:rPr>
          <w:szCs w:val="20"/>
          <w:lang w:val="en-US"/>
        </w:rPr>
      </w:pPr>
      <w:r w:rsidRPr="004936EF">
        <w:rPr>
          <w:szCs w:val="20"/>
          <w:lang w:val="en-US"/>
        </w:rPr>
        <w:t>t</w:t>
      </w:r>
      <w:r w:rsidR="00284531" w:rsidRPr="004936EF">
        <w:rPr>
          <w:szCs w:val="20"/>
          <w:lang w:val="en-US"/>
        </w:rPr>
        <w:t xml:space="preserve">he identification of traditional performing arts of Somali-speaking communities in the North Eastern Province </w:t>
      </w:r>
      <w:r w:rsidR="00A50B27" w:rsidRPr="004936EF">
        <w:rPr>
          <w:szCs w:val="20"/>
          <w:lang w:val="en-US"/>
        </w:rPr>
        <w:t xml:space="preserve">of </w:t>
      </w:r>
      <w:r w:rsidR="00284531" w:rsidRPr="004936EF">
        <w:rPr>
          <w:szCs w:val="20"/>
          <w:lang w:val="en-US"/>
        </w:rPr>
        <w:t xml:space="preserve">Kenya; </w:t>
      </w:r>
    </w:p>
    <w:p w14:paraId="6505392D" w14:textId="77777777" w:rsidR="00284531" w:rsidRPr="004936EF" w:rsidRDefault="00A50B27" w:rsidP="004936EF">
      <w:pPr>
        <w:pStyle w:val="Txtpucegras"/>
        <w:rPr>
          <w:szCs w:val="20"/>
          <w:lang w:val="en-US"/>
        </w:rPr>
      </w:pPr>
      <w:r w:rsidRPr="004936EF">
        <w:rPr>
          <w:szCs w:val="20"/>
          <w:lang w:val="en-US"/>
        </w:rPr>
        <w:t>t</w:t>
      </w:r>
      <w:r w:rsidR="00284531" w:rsidRPr="004936EF">
        <w:rPr>
          <w:szCs w:val="20"/>
          <w:lang w:val="en-US"/>
        </w:rPr>
        <w:t xml:space="preserve">he preparation of a draft inventory of those traditions (a list with descriptions of identified elements was drafted and may be integrated in larger inventories); and </w:t>
      </w:r>
    </w:p>
    <w:p w14:paraId="146F65FE" w14:textId="77777777" w:rsidR="00284531" w:rsidRPr="004936EF" w:rsidRDefault="00A50B27" w:rsidP="004936EF">
      <w:pPr>
        <w:pStyle w:val="Txtpucegras"/>
        <w:rPr>
          <w:szCs w:val="20"/>
          <w:lang w:val="en-US"/>
        </w:rPr>
      </w:pPr>
      <w:proofErr w:type="gramStart"/>
      <w:r w:rsidRPr="004936EF">
        <w:rPr>
          <w:szCs w:val="20"/>
          <w:lang w:val="en-US"/>
        </w:rPr>
        <w:t>t</w:t>
      </w:r>
      <w:r w:rsidR="00284531" w:rsidRPr="004936EF">
        <w:rPr>
          <w:szCs w:val="20"/>
          <w:lang w:val="en-US"/>
        </w:rPr>
        <w:t>he</w:t>
      </w:r>
      <w:proofErr w:type="gramEnd"/>
      <w:r w:rsidR="00284531" w:rsidRPr="004936EF">
        <w:rPr>
          <w:szCs w:val="20"/>
          <w:lang w:val="en-US"/>
        </w:rPr>
        <w:t xml:space="preserve"> acquisition of existing </w:t>
      </w:r>
      <w:r w:rsidR="00E83629" w:rsidRPr="004936EF">
        <w:rPr>
          <w:szCs w:val="20"/>
          <w:lang w:val="en-US"/>
        </w:rPr>
        <w:t>audiovis</w:t>
      </w:r>
      <w:r w:rsidR="00EA310F" w:rsidRPr="004936EF">
        <w:rPr>
          <w:szCs w:val="20"/>
          <w:lang w:val="en-US"/>
        </w:rPr>
        <w:t>ual</w:t>
      </w:r>
      <w:r w:rsidR="00284531" w:rsidRPr="004936EF">
        <w:rPr>
          <w:szCs w:val="20"/>
          <w:lang w:val="en-US"/>
        </w:rPr>
        <w:t xml:space="preserve"> materials related to the traditional performing arts of Somali people (materials were collected and made available in some public institutions).</w:t>
      </w:r>
    </w:p>
    <w:p w14:paraId="10A8714E" w14:textId="77777777" w:rsidR="00284531" w:rsidRPr="004936EF" w:rsidRDefault="00284531">
      <w:pPr>
        <w:pStyle w:val="Texte1"/>
        <w:rPr>
          <w:lang w:val="en-US"/>
        </w:rPr>
      </w:pPr>
      <w:r w:rsidRPr="004936EF">
        <w:rPr>
          <w:lang w:val="en-US"/>
        </w:rPr>
        <w:t>The UNESCO/Japan Funds</w:t>
      </w:r>
      <w:r w:rsidR="00A50B27" w:rsidRPr="004936EF">
        <w:rPr>
          <w:lang w:val="en-US"/>
        </w:rPr>
        <w:t>-</w:t>
      </w:r>
      <w:r w:rsidRPr="004936EF">
        <w:rPr>
          <w:lang w:val="en-US"/>
        </w:rPr>
        <w:t>in</w:t>
      </w:r>
      <w:r w:rsidR="00A50B27" w:rsidRPr="004936EF">
        <w:rPr>
          <w:lang w:val="en-US"/>
        </w:rPr>
        <w:t>-</w:t>
      </w:r>
      <w:r w:rsidRPr="004936EF">
        <w:rPr>
          <w:lang w:val="en-US"/>
        </w:rPr>
        <w:t>Trust provided US$40,000 for this project, the results of which were disseminated in digitized form in a few relevant institutions in the area. It is hoped that this project may contribute to the identification and inventorying of ICH present in Somalia as soon as the political situation allow</w:t>
      </w:r>
      <w:r w:rsidR="00A50B27" w:rsidRPr="004936EF">
        <w:rPr>
          <w:lang w:val="en-US"/>
        </w:rPr>
        <w:t>s</w:t>
      </w:r>
      <w:r w:rsidRPr="004936EF">
        <w:rPr>
          <w:lang w:val="en-US"/>
        </w:rPr>
        <w:t>.</w:t>
      </w:r>
    </w:p>
    <w:p w14:paraId="290F815F" w14:textId="2F6D6B73" w:rsidR="009B5273" w:rsidRDefault="008F3EFC" w:rsidP="004936EF">
      <w:pPr>
        <w:pStyle w:val="Heading6"/>
        <w:rPr>
          <w:lang w:val="en-GB"/>
        </w:rPr>
      </w:pPr>
      <w:proofErr w:type="gramStart"/>
      <w:r w:rsidRPr="00141792">
        <w:rPr>
          <w:lang w:val="en-GB"/>
        </w:rPr>
        <w:t>Slide</w:t>
      </w:r>
      <w:r w:rsidR="00234E9C">
        <w:rPr>
          <w:lang w:val="en-GB"/>
        </w:rPr>
        <w:t>s</w:t>
      </w:r>
      <w:r w:rsidRPr="00141792">
        <w:rPr>
          <w:lang w:val="en-GB"/>
        </w:rPr>
        <w:t xml:space="preserve"> </w:t>
      </w:r>
      <w:r w:rsidR="00E859B6" w:rsidRPr="00141792">
        <w:rPr>
          <w:lang w:val="en-GB"/>
        </w:rPr>
        <w:t>9</w:t>
      </w:r>
      <w:r w:rsidR="00234E9C">
        <w:rPr>
          <w:lang w:val="en-GB"/>
        </w:rPr>
        <w:t>-10</w:t>
      </w:r>
      <w:r w:rsidR="009B5273" w:rsidRPr="00141792">
        <w:rPr>
          <w:lang w:val="en-GB"/>
        </w:rPr>
        <w:t>.</w:t>
      </w:r>
      <w:proofErr w:type="gramEnd"/>
    </w:p>
    <w:p w14:paraId="52E2F0A7" w14:textId="56ED7137" w:rsidR="00284531" w:rsidRPr="00141792" w:rsidRDefault="0022055B" w:rsidP="004936EF">
      <w:pPr>
        <w:pStyle w:val="diapo2"/>
        <w:rPr>
          <w:lang w:val="en-GB"/>
        </w:rPr>
      </w:pPr>
      <w:r>
        <w:rPr>
          <w:lang w:val="en-GB"/>
        </w:rPr>
        <w:t>International assistance r</w:t>
      </w:r>
      <w:r w:rsidR="00284531" w:rsidRPr="00141792">
        <w:rPr>
          <w:lang w:val="en-GB"/>
        </w:rPr>
        <w:t xml:space="preserve">equests approved </w:t>
      </w:r>
      <w:r w:rsidR="00234E9C">
        <w:rPr>
          <w:lang w:val="en-GB"/>
        </w:rPr>
        <w:t>since 2009</w:t>
      </w:r>
    </w:p>
    <w:p w14:paraId="67371A05" w14:textId="01474DAD" w:rsidR="00393C02" w:rsidRPr="004936EF" w:rsidRDefault="00F02D08" w:rsidP="009909DD">
      <w:pPr>
        <w:pStyle w:val="Texte1"/>
        <w:rPr>
          <w:lang w:val="en-US"/>
        </w:rPr>
      </w:pPr>
      <w:r>
        <w:rPr>
          <w:lang w:val="en-GB"/>
        </w:rPr>
        <w:t>Participant’s</w:t>
      </w:r>
      <w:r w:rsidR="002A3923">
        <w:rPr>
          <w:lang w:val="en-GB"/>
        </w:rPr>
        <w:t xml:space="preserve"> text </w:t>
      </w:r>
      <w:r w:rsidR="00CD3DF7">
        <w:rPr>
          <w:lang w:val="en-GB"/>
        </w:rPr>
        <w:t>Unit </w:t>
      </w:r>
      <w:r w:rsidR="00465447">
        <w:rPr>
          <w:lang w:val="en-GB"/>
        </w:rPr>
        <w:t>12</w:t>
      </w:r>
      <w:r w:rsidR="00393C02" w:rsidRPr="00141792">
        <w:rPr>
          <w:lang w:val="en-GB"/>
        </w:rPr>
        <w:t>.9</w:t>
      </w:r>
      <w:r w:rsidR="00EE4C33" w:rsidRPr="00141792">
        <w:rPr>
          <w:lang w:val="en-GB"/>
        </w:rPr>
        <w:t xml:space="preserve"> discusses requests approved to date.</w:t>
      </w:r>
    </w:p>
    <w:p w14:paraId="47EE2C79" w14:textId="77777777" w:rsidR="00EE4C33" w:rsidRPr="004936EF" w:rsidRDefault="00EE4C33" w:rsidP="004936EF">
      <w:pPr>
        <w:pStyle w:val="Soustitre"/>
        <w:rPr>
          <w:caps/>
          <w:lang w:val="en-GB"/>
        </w:rPr>
      </w:pPr>
      <w:bookmarkStart w:id="14" w:name="_Toc238982278"/>
      <w:r w:rsidRPr="004936EF">
        <w:rPr>
          <w:lang w:val="en-US"/>
        </w:rPr>
        <w:t>Note on the decisions of the Committee on international assistance requests</w:t>
      </w:r>
      <w:bookmarkEnd w:id="14"/>
    </w:p>
    <w:p w14:paraId="172D0510" w14:textId="1AE2566B" w:rsidR="00585C84" w:rsidRPr="004936EF" w:rsidRDefault="00EE4C33" w:rsidP="009909DD">
      <w:pPr>
        <w:pStyle w:val="Texte1"/>
        <w:rPr>
          <w:lang w:val="en-US"/>
        </w:rPr>
      </w:pPr>
      <w:r w:rsidRPr="00141792">
        <w:rPr>
          <w:lang w:val="en-GB"/>
        </w:rPr>
        <w:t>T</w:t>
      </w:r>
      <w:r w:rsidR="008245A4" w:rsidRPr="00141792">
        <w:rPr>
          <w:lang w:val="en-GB"/>
        </w:rPr>
        <w:t>wo Committee</w:t>
      </w:r>
      <w:r w:rsidR="00284531" w:rsidRPr="00141792">
        <w:rPr>
          <w:lang w:val="en-GB"/>
        </w:rPr>
        <w:t xml:space="preserve"> decisions </w:t>
      </w:r>
      <w:r w:rsidRPr="00141792">
        <w:rPr>
          <w:lang w:val="en-GB"/>
        </w:rPr>
        <w:t xml:space="preserve">on international assistance requests </w:t>
      </w:r>
      <w:r w:rsidR="00284531" w:rsidRPr="00141792">
        <w:rPr>
          <w:lang w:val="en-GB"/>
        </w:rPr>
        <w:t xml:space="preserve">are presented </w:t>
      </w:r>
      <w:r w:rsidRPr="00141792">
        <w:rPr>
          <w:lang w:val="en-GB"/>
        </w:rPr>
        <w:t>below. They may illustrate</w:t>
      </w:r>
      <w:r w:rsidR="00284531" w:rsidRPr="00141792">
        <w:rPr>
          <w:lang w:val="en-GB"/>
        </w:rPr>
        <w:t xml:space="preserve"> the wordings of such texts and the additional conditions </w:t>
      </w:r>
      <w:r w:rsidRPr="00141792">
        <w:rPr>
          <w:lang w:val="en-GB"/>
        </w:rPr>
        <w:t>attached in some cases</w:t>
      </w:r>
      <w:r w:rsidR="00284531" w:rsidRPr="00141792">
        <w:rPr>
          <w:lang w:val="en-GB"/>
        </w:rPr>
        <w:t>.</w:t>
      </w:r>
    </w:p>
    <w:p w14:paraId="3527E7E4" w14:textId="77777777" w:rsidR="00EE4C33" w:rsidRPr="00AB0A71" w:rsidRDefault="00EE4C33" w:rsidP="004936EF">
      <w:pPr>
        <w:pStyle w:val="diapo2"/>
        <w:ind w:left="851"/>
        <w:jc w:val="center"/>
        <w:rPr>
          <w:szCs w:val="20"/>
          <w:lang w:val="en-US"/>
        </w:rPr>
      </w:pPr>
      <w:r w:rsidRPr="00AB0A71">
        <w:rPr>
          <w:sz w:val="20"/>
          <w:szCs w:val="20"/>
          <w:lang w:val="en-US"/>
        </w:rPr>
        <w:t>DECISION 4.COM 11.01</w:t>
      </w:r>
    </w:p>
    <w:p w14:paraId="56F7EEB1" w14:textId="77777777" w:rsidR="00EE4C33" w:rsidRPr="004936EF" w:rsidRDefault="00EE4C33" w:rsidP="009909DD">
      <w:pPr>
        <w:pStyle w:val="Texte1"/>
        <w:rPr>
          <w:lang w:val="en-US"/>
        </w:rPr>
      </w:pPr>
      <w:r w:rsidRPr="004936EF">
        <w:rPr>
          <w:lang w:val="en-US"/>
        </w:rPr>
        <w:t>The Committee,</w:t>
      </w:r>
    </w:p>
    <w:p w14:paraId="008CE67A" w14:textId="77777777" w:rsidR="00EE4C33" w:rsidRPr="004936EF" w:rsidRDefault="009B5273" w:rsidP="004936EF">
      <w:pPr>
        <w:pStyle w:val="Enumrotation"/>
        <w:rPr>
          <w:bCs/>
          <w:lang w:val="en-US"/>
        </w:rPr>
      </w:pPr>
      <w:r w:rsidRPr="004936EF">
        <w:rPr>
          <w:bCs/>
          <w:lang w:val="en-US"/>
        </w:rPr>
        <w:t>1.</w:t>
      </w:r>
      <w:r w:rsidRPr="004936EF">
        <w:rPr>
          <w:bCs/>
          <w:lang w:val="en-US"/>
        </w:rPr>
        <w:tab/>
      </w:r>
      <w:r w:rsidR="00EE4C33" w:rsidRPr="004936EF">
        <w:rPr>
          <w:u w:val="single"/>
          <w:lang w:val="en-US"/>
        </w:rPr>
        <w:t>Having examined</w:t>
      </w:r>
      <w:r w:rsidR="00EE4C33" w:rsidRPr="004936EF">
        <w:rPr>
          <w:lang w:val="en-US"/>
        </w:rPr>
        <w:t xml:space="preserve"> document ITH/09/4.COM/CONF.209/11 and its annexes, and </w:t>
      </w:r>
      <w:r w:rsidR="00EE4C33" w:rsidRPr="004936EF">
        <w:rPr>
          <w:u w:val="single"/>
          <w:lang w:val="en-US"/>
        </w:rPr>
        <w:t>having examined</w:t>
      </w:r>
      <w:r w:rsidR="00EE4C33" w:rsidRPr="004936EF">
        <w:rPr>
          <w:lang w:val="en-US"/>
        </w:rPr>
        <w:t xml:space="preserve"> the request for international assistance submitted by Kenya entitled ‘Traditions and practices associated to the Kayas in the Sacred Forests of the Mijikenda’ (file number 00326);</w:t>
      </w:r>
    </w:p>
    <w:p w14:paraId="3872988F" w14:textId="02515498" w:rsidR="00EE4C33" w:rsidRPr="004936EF" w:rsidRDefault="009B5273" w:rsidP="004936EF">
      <w:pPr>
        <w:pStyle w:val="Enumrotation"/>
        <w:rPr>
          <w:bCs/>
          <w:lang w:val="en-US"/>
        </w:rPr>
      </w:pPr>
      <w:r w:rsidRPr="004936EF">
        <w:rPr>
          <w:bCs/>
          <w:lang w:val="en-US"/>
        </w:rPr>
        <w:t>2.</w:t>
      </w:r>
      <w:r w:rsidRPr="004936EF">
        <w:rPr>
          <w:bCs/>
          <w:lang w:val="en-US"/>
        </w:rPr>
        <w:tab/>
      </w:r>
      <w:r w:rsidR="00EE4C33" w:rsidRPr="004936EF">
        <w:rPr>
          <w:u w:val="single"/>
          <w:lang w:val="en-US"/>
        </w:rPr>
        <w:t>Recalling</w:t>
      </w:r>
      <w:r w:rsidR="00EE4C33" w:rsidRPr="004936EF">
        <w:rPr>
          <w:lang w:val="en-US"/>
        </w:rPr>
        <w:t xml:space="preserve"> </w:t>
      </w:r>
      <w:r w:rsidR="005C22E4" w:rsidRPr="004936EF">
        <w:rPr>
          <w:lang w:val="en-US"/>
        </w:rPr>
        <w:t>Chapter </w:t>
      </w:r>
      <w:r w:rsidR="00EE4C33" w:rsidRPr="004936EF">
        <w:rPr>
          <w:lang w:val="en-US"/>
        </w:rPr>
        <w:t xml:space="preserve">V of the Convention and </w:t>
      </w:r>
      <w:r w:rsidR="005C22E4" w:rsidRPr="004936EF">
        <w:rPr>
          <w:lang w:val="en-US"/>
        </w:rPr>
        <w:t>Chapter </w:t>
      </w:r>
      <w:r w:rsidR="00EE4C33" w:rsidRPr="004936EF">
        <w:rPr>
          <w:lang w:val="en-US"/>
        </w:rPr>
        <w:t>II of the Operational Directives;</w:t>
      </w:r>
    </w:p>
    <w:p w14:paraId="1F536F4F" w14:textId="77777777" w:rsidR="00EE4C33" w:rsidRPr="004936EF" w:rsidRDefault="009B5273" w:rsidP="004936EF">
      <w:pPr>
        <w:pStyle w:val="Enumrotation"/>
        <w:rPr>
          <w:bCs/>
          <w:lang w:val="en-US"/>
        </w:rPr>
      </w:pPr>
      <w:r w:rsidRPr="004936EF">
        <w:rPr>
          <w:bCs/>
          <w:lang w:val="en-US"/>
        </w:rPr>
        <w:t>3.</w:t>
      </w:r>
      <w:r w:rsidRPr="004936EF">
        <w:rPr>
          <w:bCs/>
          <w:lang w:val="en-US"/>
        </w:rPr>
        <w:tab/>
      </w:r>
      <w:r w:rsidR="00EE4C33" w:rsidRPr="004936EF">
        <w:rPr>
          <w:u w:val="single"/>
          <w:lang w:val="en-US"/>
        </w:rPr>
        <w:t>Commends</w:t>
      </w:r>
      <w:r w:rsidR="00EE4C33" w:rsidRPr="004936EF">
        <w:rPr>
          <w:lang w:val="en-US"/>
        </w:rPr>
        <w:t xml:space="preserve"> the State Party for the creativity and diversity of the activities proposed in its request, for its commitment to ensuring the participation of the communities concerned in their implementation and for its attention to an approach to safeguarding intangible cultural heritage together with the natural environment in which it is practised;</w:t>
      </w:r>
    </w:p>
    <w:p w14:paraId="5EE1E1F8" w14:textId="0526F2C9" w:rsidR="00EE4C33" w:rsidRPr="004936EF" w:rsidRDefault="009B5273" w:rsidP="004936EF">
      <w:pPr>
        <w:pStyle w:val="Enumrotation"/>
        <w:rPr>
          <w:bCs/>
          <w:lang w:val="en-US"/>
        </w:rPr>
      </w:pPr>
      <w:r w:rsidRPr="004936EF">
        <w:rPr>
          <w:bCs/>
          <w:lang w:val="en-US"/>
        </w:rPr>
        <w:t>4.</w:t>
      </w:r>
      <w:r w:rsidRPr="004936EF">
        <w:rPr>
          <w:bCs/>
          <w:lang w:val="en-US"/>
        </w:rPr>
        <w:tab/>
      </w:r>
      <w:r w:rsidR="00EE4C33" w:rsidRPr="004936EF">
        <w:rPr>
          <w:u w:val="single"/>
          <w:lang w:val="en-US"/>
        </w:rPr>
        <w:t>Takes note</w:t>
      </w:r>
      <w:r w:rsidR="00EE4C33" w:rsidRPr="004936EF">
        <w:rPr>
          <w:lang w:val="en-US"/>
        </w:rPr>
        <w:t xml:space="preserve"> that the examiners appointed to examine the request have presented their reports to the Committee, incorporated within </w:t>
      </w:r>
      <w:r w:rsidR="00442E1A" w:rsidRPr="004936EF">
        <w:rPr>
          <w:lang w:val="en-US"/>
        </w:rPr>
        <w:t>Annex </w:t>
      </w:r>
      <w:r w:rsidR="00EE4C33" w:rsidRPr="004936EF">
        <w:rPr>
          <w:lang w:val="en-US"/>
        </w:rPr>
        <w:t>1 of Document ITH/09/4.COM/CONF.209/11, in which they recommend the request be approved but raise a number of questions and provide comments regarding the request, as submitted;</w:t>
      </w:r>
    </w:p>
    <w:p w14:paraId="1AA6D0BF" w14:textId="77777777" w:rsidR="00EE4C33" w:rsidRPr="004936EF" w:rsidRDefault="009B5273" w:rsidP="004936EF">
      <w:pPr>
        <w:pStyle w:val="Enumrotation"/>
        <w:rPr>
          <w:bCs/>
          <w:lang w:val="en-US"/>
        </w:rPr>
      </w:pPr>
      <w:r w:rsidRPr="004936EF">
        <w:rPr>
          <w:bCs/>
          <w:lang w:val="en-US"/>
        </w:rPr>
        <w:t>5.</w:t>
      </w:r>
      <w:r w:rsidRPr="004936EF">
        <w:rPr>
          <w:bCs/>
          <w:lang w:val="en-US"/>
        </w:rPr>
        <w:tab/>
      </w:r>
      <w:r w:rsidR="00EE4C33" w:rsidRPr="004936EF">
        <w:rPr>
          <w:u w:val="single"/>
          <w:lang w:val="en-US"/>
        </w:rPr>
        <w:t>Approves</w:t>
      </w:r>
      <w:r w:rsidR="00EE4C33" w:rsidRPr="004936EF">
        <w:rPr>
          <w:lang w:val="en-US"/>
        </w:rPr>
        <w:t xml:space="preserve"> the request in the amount of US$126,580;</w:t>
      </w:r>
    </w:p>
    <w:p w14:paraId="0CA2E736" w14:textId="77777777" w:rsidR="00EE4C33" w:rsidRPr="004936EF" w:rsidRDefault="009B5273" w:rsidP="004936EF">
      <w:pPr>
        <w:pStyle w:val="Enumrotation"/>
        <w:rPr>
          <w:bCs/>
          <w:lang w:val="en-US"/>
        </w:rPr>
      </w:pPr>
      <w:r w:rsidRPr="004936EF">
        <w:rPr>
          <w:bCs/>
          <w:lang w:val="en-US"/>
        </w:rPr>
        <w:t>6.</w:t>
      </w:r>
      <w:r w:rsidRPr="004936EF">
        <w:rPr>
          <w:bCs/>
          <w:lang w:val="en-US"/>
        </w:rPr>
        <w:tab/>
      </w:r>
      <w:r w:rsidR="00EE4C33" w:rsidRPr="004936EF">
        <w:rPr>
          <w:u w:val="single"/>
          <w:lang w:val="en-US"/>
        </w:rPr>
        <w:t>Invites</w:t>
      </w:r>
      <w:r w:rsidR="00EE4C33" w:rsidRPr="004936EF">
        <w:rPr>
          <w:lang w:val="en-US"/>
        </w:rPr>
        <w:t xml:space="preserve"> the State Party to prepare, at the earliest opportunity, a revised project that takes into account insofar as possible the comments of the examiners and of the Committee during its debates;</w:t>
      </w:r>
    </w:p>
    <w:p w14:paraId="608CC274" w14:textId="77777777" w:rsidR="00EE4C33" w:rsidRPr="004936EF" w:rsidRDefault="009B5273" w:rsidP="004936EF">
      <w:pPr>
        <w:pStyle w:val="Enumrotation"/>
        <w:rPr>
          <w:bCs/>
          <w:lang w:val="en-US"/>
        </w:rPr>
      </w:pPr>
      <w:r w:rsidRPr="004936EF">
        <w:rPr>
          <w:bCs/>
          <w:lang w:val="en-US"/>
        </w:rPr>
        <w:t>7.</w:t>
      </w:r>
      <w:r w:rsidRPr="004936EF">
        <w:rPr>
          <w:bCs/>
          <w:lang w:val="en-US"/>
        </w:rPr>
        <w:tab/>
      </w:r>
      <w:r w:rsidR="00EE4C33" w:rsidRPr="004936EF">
        <w:rPr>
          <w:u w:val="single"/>
          <w:lang w:val="en-US"/>
        </w:rPr>
        <w:t>Requests</w:t>
      </w:r>
      <w:r w:rsidR="00EE4C33" w:rsidRPr="004936EF">
        <w:rPr>
          <w:lang w:val="en-US"/>
        </w:rPr>
        <w:t xml:space="preserve"> the Secretariat to assist the State Party, if necessary, in this process of revision.</w:t>
      </w:r>
    </w:p>
    <w:p w14:paraId="130CD30E" w14:textId="77777777" w:rsidR="00EE4C33" w:rsidRPr="00AB0A71" w:rsidRDefault="00EE4C33" w:rsidP="004936EF">
      <w:pPr>
        <w:pStyle w:val="diapo2"/>
        <w:ind w:left="851"/>
        <w:jc w:val="center"/>
        <w:rPr>
          <w:szCs w:val="20"/>
          <w:lang w:val="en-US"/>
        </w:rPr>
      </w:pPr>
      <w:r w:rsidRPr="00AB0A71">
        <w:rPr>
          <w:sz w:val="20"/>
          <w:szCs w:val="20"/>
          <w:lang w:val="en-US"/>
        </w:rPr>
        <w:t xml:space="preserve">DECISION 4.COM 11.02 </w:t>
      </w:r>
    </w:p>
    <w:p w14:paraId="6E097DAD" w14:textId="77777777" w:rsidR="00EE4C33" w:rsidRPr="004936EF" w:rsidRDefault="00EE4C33" w:rsidP="009909DD">
      <w:pPr>
        <w:pStyle w:val="Texte1"/>
        <w:rPr>
          <w:lang w:val="en-US"/>
        </w:rPr>
      </w:pPr>
      <w:r w:rsidRPr="004936EF">
        <w:rPr>
          <w:lang w:val="en-US"/>
        </w:rPr>
        <w:t>The Committee,</w:t>
      </w:r>
    </w:p>
    <w:p w14:paraId="7D273B86" w14:textId="77777777" w:rsidR="00EE4C33" w:rsidRPr="004936EF" w:rsidRDefault="009B5273" w:rsidP="004936EF">
      <w:pPr>
        <w:pStyle w:val="Enumrotation"/>
        <w:rPr>
          <w:bCs/>
          <w:lang w:val="en-US"/>
        </w:rPr>
      </w:pPr>
      <w:r w:rsidRPr="004936EF">
        <w:rPr>
          <w:bCs/>
          <w:lang w:val="en-US"/>
        </w:rPr>
        <w:t>1.</w:t>
      </w:r>
      <w:r w:rsidRPr="004936EF">
        <w:rPr>
          <w:bCs/>
          <w:lang w:val="en-US"/>
        </w:rPr>
        <w:tab/>
      </w:r>
      <w:r w:rsidR="00EE4C33" w:rsidRPr="004936EF">
        <w:rPr>
          <w:u w:val="single"/>
          <w:lang w:val="en-US"/>
        </w:rPr>
        <w:t>Having examined</w:t>
      </w:r>
      <w:r w:rsidR="00EE4C33" w:rsidRPr="004936EF">
        <w:rPr>
          <w:lang w:val="en-US"/>
        </w:rPr>
        <w:t xml:space="preserve"> document ITH/09/4.COM/CONF.209/11 and its annexes, and </w:t>
      </w:r>
      <w:r w:rsidR="00EE4C33" w:rsidRPr="004936EF">
        <w:rPr>
          <w:u w:val="single"/>
          <w:lang w:val="en-US"/>
        </w:rPr>
        <w:t>having examined</w:t>
      </w:r>
      <w:r w:rsidR="00EE4C33" w:rsidRPr="004936EF">
        <w:rPr>
          <w:lang w:val="en-US"/>
        </w:rPr>
        <w:t xml:space="preserve"> the request for international assistance submitted by Mauritius entitled ‘Documentation and inventory of intangible cultural heritage in the Republic of Mauritius’ (file number 00327);</w:t>
      </w:r>
    </w:p>
    <w:p w14:paraId="65237040" w14:textId="2E8E4303" w:rsidR="00EE4C33" w:rsidRPr="004936EF" w:rsidRDefault="009B5273" w:rsidP="004936EF">
      <w:pPr>
        <w:pStyle w:val="Enumrotation"/>
        <w:rPr>
          <w:bCs/>
          <w:lang w:val="en-US"/>
        </w:rPr>
      </w:pPr>
      <w:r w:rsidRPr="004936EF">
        <w:rPr>
          <w:bCs/>
          <w:lang w:val="en-US"/>
        </w:rPr>
        <w:t>2.</w:t>
      </w:r>
      <w:r w:rsidRPr="004936EF">
        <w:rPr>
          <w:bCs/>
          <w:lang w:val="en-US"/>
        </w:rPr>
        <w:tab/>
      </w:r>
      <w:r w:rsidR="00EE4C33" w:rsidRPr="004936EF">
        <w:rPr>
          <w:u w:val="single"/>
          <w:lang w:val="en-US"/>
        </w:rPr>
        <w:t>Recalling</w:t>
      </w:r>
      <w:r w:rsidR="00EE4C33" w:rsidRPr="004936EF">
        <w:rPr>
          <w:lang w:val="en-US"/>
        </w:rPr>
        <w:t xml:space="preserve"> </w:t>
      </w:r>
      <w:r w:rsidR="005C22E4" w:rsidRPr="004936EF">
        <w:rPr>
          <w:lang w:val="en-US"/>
        </w:rPr>
        <w:t>Chapter </w:t>
      </w:r>
      <w:r w:rsidR="00EE4C33" w:rsidRPr="004936EF">
        <w:rPr>
          <w:lang w:val="en-US"/>
        </w:rPr>
        <w:t xml:space="preserve">V of the Convention and </w:t>
      </w:r>
      <w:r w:rsidR="005C22E4" w:rsidRPr="004936EF">
        <w:rPr>
          <w:lang w:val="en-US"/>
        </w:rPr>
        <w:t>Chapter </w:t>
      </w:r>
      <w:r w:rsidR="00EE4C33" w:rsidRPr="004936EF">
        <w:rPr>
          <w:lang w:val="en-US"/>
        </w:rPr>
        <w:t>II of the Operational Directives;</w:t>
      </w:r>
    </w:p>
    <w:p w14:paraId="1B9628BC" w14:textId="0B13470A" w:rsidR="00EE4C33" w:rsidRPr="004936EF" w:rsidRDefault="009B5273" w:rsidP="004936EF">
      <w:pPr>
        <w:pStyle w:val="Enumrotation"/>
        <w:rPr>
          <w:bCs/>
          <w:lang w:val="en-US"/>
        </w:rPr>
      </w:pPr>
      <w:r w:rsidRPr="004936EF">
        <w:rPr>
          <w:bCs/>
          <w:lang w:val="en-US"/>
        </w:rPr>
        <w:t>3.</w:t>
      </w:r>
      <w:r w:rsidRPr="004936EF">
        <w:rPr>
          <w:bCs/>
          <w:lang w:val="en-US"/>
        </w:rPr>
        <w:tab/>
      </w:r>
      <w:r w:rsidR="00EE4C33" w:rsidRPr="004936EF">
        <w:rPr>
          <w:u w:val="single"/>
          <w:lang w:val="en-US"/>
        </w:rPr>
        <w:t>Further recalling</w:t>
      </w:r>
      <w:r w:rsidR="00C8068F">
        <w:rPr>
          <w:lang w:val="en-US"/>
        </w:rPr>
        <w:t xml:space="preserve"> Articles </w:t>
      </w:r>
      <w:r w:rsidR="00EE4C33" w:rsidRPr="004936EF">
        <w:rPr>
          <w:lang w:val="en-US"/>
        </w:rPr>
        <w:t>11 and 12 of the Convention;</w:t>
      </w:r>
    </w:p>
    <w:p w14:paraId="6AA573D5" w14:textId="77777777" w:rsidR="00EE4C33" w:rsidRPr="004936EF" w:rsidRDefault="009B5273" w:rsidP="004936EF">
      <w:pPr>
        <w:pStyle w:val="Enumrotation"/>
        <w:rPr>
          <w:bCs/>
          <w:lang w:val="en-US"/>
        </w:rPr>
      </w:pPr>
      <w:r w:rsidRPr="004936EF">
        <w:rPr>
          <w:bCs/>
          <w:lang w:val="en-US"/>
        </w:rPr>
        <w:t>4.</w:t>
      </w:r>
      <w:r w:rsidRPr="004936EF">
        <w:rPr>
          <w:bCs/>
          <w:lang w:val="en-US"/>
        </w:rPr>
        <w:tab/>
      </w:r>
      <w:r w:rsidR="00EE4C33" w:rsidRPr="004936EF">
        <w:rPr>
          <w:u w:val="single"/>
          <w:lang w:val="en-US"/>
        </w:rPr>
        <w:t>Commends</w:t>
      </w:r>
      <w:r w:rsidR="00EE4C33" w:rsidRPr="004936EF">
        <w:rPr>
          <w:lang w:val="en-US"/>
        </w:rPr>
        <w:t xml:space="preserve"> the State Party for its commitment to meet its obligations to draw up one or more inventories of the intangible cultural heritage present in its territory, and </w:t>
      </w:r>
      <w:r w:rsidR="00EE4C33" w:rsidRPr="004936EF">
        <w:rPr>
          <w:u w:val="single"/>
          <w:lang w:val="en-US"/>
        </w:rPr>
        <w:t>welcomes</w:t>
      </w:r>
      <w:r w:rsidR="00EE4C33" w:rsidRPr="004936EF">
        <w:rPr>
          <w:lang w:val="en-US"/>
        </w:rPr>
        <w:t xml:space="preserve"> its initiative in requesting international assistance to supplement national resources available for that purpose;</w:t>
      </w:r>
    </w:p>
    <w:p w14:paraId="6859B3C7" w14:textId="22AD9120" w:rsidR="00EE4C33" w:rsidRPr="004936EF" w:rsidRDefault="009B5273" w:rsidP="004936EF">
      <w:pPr>
        <w:pStyle w:val="Enumrotation"/>
        <w:rPr>
          <w:bCs/>
          <w:lang w:val="en-US"/>
        </w:rPr>
      </w:pPr>
      <w:r w:rsidRPr="004936EF">
        <w:rPr>
          <w:bCs/>
          <w:lang w:val="en-US"/>
        </w:rPr>
        <w:t>5.</w:t>
      </w:r>
      <w:r w:rsidRPr="004936EF">
        <w:rPr>
          <w:bCs/>
          <w:lang w:val="en-US"/>
        </w:rPr>
        <w:tab/>
      </w:r>
      <w:r w:rsidR="00EE4C33" w:rsidRPr="004936EF">
        <w:rPr>
          <w:u w:val="single"/>
          <w:lang w:val="en-US"/>
        </w:rPr>
        <w:t>Takes note</w:t>
      </w:r>
      <w:r w:rsidR="00EE4C33" w:rsidRPr="004936EF">
        <w:rPr>
          <w:lang w:val="en-US"/>
        </w:rPr>
        <w:t xml:space="preserve"> that the examiners appointed to examine the request have presented their reports to the Committee, incorporated within </w:t>
      </w:r>
      <w:r w:rsidR="00442E1A" w:rsidRPr="004936EF">
        <w:rPr>
          <w:lang w:val="en-US"/>
        </w:rPr>
        <w:t>Annex </w:t>
      </w:r>
      <w:r w:rsidR="00EE4C33" w:rsidRPr="004936EF">
        <w:rPr>
          <w:lang w:val="en-US"/>
        </w:rPr>
        <w:t>2 of Document ITH/09/4.COM/CONF.209/11, in which they recommend the request be approved;</w:t>
      </w:r>
    </w:p>
    <w:p w14:paraId="5452CDBB" w14:textId="77777777" w:rsidR="00EE4C33" w:rsidRPr="004936EF" w:rsidRDefault="009B5273" w:rsidP="004936EF">
      <w:pPr>
        <w:pStyle w:val="Enumrotation"/>
        <w:rPr>
          <w:bCs/>
          <w:lang w:val="en-US"/>
        </w:rPr>
      </w:pPr>
      <w:r w:rsidRPr="004936EF">
        <w:rPr>
          <w:bCs/>
          <w:lang w:val="en-US"/>
        </w:rPr>
        <w:t>6.</w:t>
      </w:r>
      <w:r w:rsidRPr="004936EF">
        <w:rPr>
          <w:bCs/>
          <w:lang w:val="en-US"/>
        </w:rPr>
        <w:tab/>
      </w:r>
      <w:r w:rsidR="00EE4C33" w:rsidRPr="004936EF">
        <w:rPr>
          <w:u w:val="single"/>
          <w:lang w:val="en-US"/>
        </w:rPr>
        <w:t xml:space="preserve">Approves </w:t>
      </w:r>
      <w:r w:rsidR="00EE4C33" w:rsidRPr="004936EF">
        <w:rPr>
          <w:lang w:val="en-US"/>
        </w:rPr>
        <w:t>the request in the amount of US$52,461;</w:t>
      </w:r>
    </w:p>
    <w:p w14:paraId="07AB631E" w14:textId="77777777" w:rsidR="00EE4C33" w:rsidRPr="004936EF" w:rsidRDefault="009B5273" w:rsidP="004936EF">
      <w:pPr>
        <w:pStyle w:val="Enumrotation"/>
        <w:rPr>
          <w:bCs/>
          <w:lang w:val="en-US"/>
        </w:rPr>
      </w:pPr>
      <w:r w:rsidRPr="004936EF">
        <w:rPr>
          <w:bCs/>
          <w:lang w:val="en-US"/>
        </w:rPr>
        <w:t>7.</w:t>
      </w:r>
      <w:r w:rsidRPr="004936EF">
        <w:rPr>
          <w:bCs/>
          <w:lang w:val="en-US"/>
        </w:rPr>
        <w:tab/>
      </w:r>
      <w:r w:rsidR="00EE4C33" w:rsidRPr="004936EF">
        <w:rPr>
          <w:u w:val="single"/>
          <w:lang w:val="en-US"/>
        </w:rPr>
        <w:t>Invites</w:t>
      </w:r>
      <w:r w:rsidR="00EE4C33" w:rsidRPr="004936EF">
        <w:rPr>
          <w:lang w:val="en-US"/>
        </w:rPr>
        <w:t xml:space="preserve"> the State Party, in its implementation of the proposed activities, to take into account the comments of the examiners, and of the Committee in its present debate;</w:t>
      </w:r>
    </w:p>
    <w:p w14:paraId="550623C1" w14:textId="77777777" w:rsidR="00EE4C33" w:rsidRPr="004936EF" w:rsidRDefault="009B5273" w:rsidP="004936EF">
      <w:pPr>
        <w:pStyle w:val="Enumrotation"/>
        <w:rPr>
          <w:bCs/>
          <w:lang w:val="en-US"/>
        </w:rPr>
      </w:pPr>
      <w:r w:rsidRPr="004936EF">
        <w:rPr>
          <w:bCs/>
          <w:lang w:val="en-US"/>
        </w:rPr>
        <w:t>8.</w:t>
      </w:r>
      <w:r w:rsidRPr="004936EF">
        <w:rPr>
          <w:bCs/>
          <w:lang w:val="en-US"/>
        </w:rPr>
        <w:tab/>
      </w:r>
      <w:r w:rsidR="00EE4C33" w:rsidRPr="004936EF">
        <w:rPr>
          <w:u w:val="single"/>
          <w:lang w:val="en-US"/>
        </w:rPr>
        <w:t>Requests</w:t>
      </w:r>
      <w:r w:rsidR="00EE4C33" w:rsidRPr="004936EF">
        <w:rPr>
          <w:lang w:val="en-US"/>
        </w:rPr>
        <w:t xml:space="preserve"> the Secretariat to reach agreement with the State Party on the technical details of the assistance.</w:t>
      </w:r>
    </w:p>
    <w:p w14:paraId="6796833F" w14:textId="781A0BF4" w:rsidR="00711E71" w:rsidRDefault="00711E71" w:rsidP="004936EF">
      <w:pPr>
        <w:pStyle w:val="Texte1"/>
        <w:rPr>
          <w:lang w:val="en-GB"/>
        </w:rPr>
      </w:pPr>
      <w:r w:rsidRPr="00141792">
        <w:rPr>
          <w:lang w:val="en-GB"/>
        </w:rPr>
        <w:t>The facilitator might add that during its fifth session (Nairobi, 2010) the Committee approved one request, from Belarus, for an amount of US$133,600 for a project called ‘Establishing the National Inventory of the ICH of Belarus’</w:t>
      </w:r>
      <w:r>
        <w:rPr>
          <w:lang w:val="en-GB"/>
        </w:rPr>
        <w:t xml:space="preserve"> and that </w:t>
      </w:r>
      <w:r w:rsidR="00234E9C">
        <w:rPr>
          <w:lang w:val="en-GB"/>
        </w:rPr>
        <w:t xml:space="preserve">five </w:t>
      </w:r>
      <w:r>
        <w:rPr>
          <w:lang w:val="en-GB"/>
        </w:rPr>
        <w:t>more were granted in 2012:</w:t>
      </w:r>
    </w:p>
    <w:p w14:paraId="1435E374" w14:textId="77777777" w:rsidR="00711E71" w:rsidRPr="004936EF" w:rsidRDefault="00711E71" w:rsidP="004936EF">
      <w:pPr>
        <w:pStyle w:val="nutiret"/>
        <w:rPr>
          <w:szCs w:val="20"/>
          <w:lang w:val="en-GB"/>
        </w:rPr>
      </w:pPr>
      <w:r w:rsidRPr="004936EF">
        <w:rPr>
          <w:szCs w:val="20"/>
          <w:lang w:val="en-US"/>
        </w:rPr>
        <w:t>from Mongolia, for Safeguarding and revitalizing the Mongolian traditional epic, for an amount of US$107,000</w:t>
      </w:r>
    </w:p>
    <w:p w14:paraId="72638B44" w14:textId="77777777" w:rsidR="00711E71" w:rsidRPr="004936EF" w:rsidRDefault="00711E71" w:rsidP="004936EF">
      <w:pPr>
        <w:pStyle w:val="nutiret"/>
        <w:rPr>
          <w:szCs w:val="20"/>
          <w:lang w:val="en-GB"/>
        </w:rPr>
      </w:pPr>
      <w:r w:rsidRPr="004936EF">
        <w:rPr>
          <w:szCs w:val="20"/>
          <w:lang w:val="en-US"/>
        </w:rPr>
        <w:t>from Uganda, for Inventorying the intangible cultural heritage of four communities in Uganda, for an amount of US$216,000</w:t>
      </w:r>
    </w:p>
    <w:p w14:paraId="6FE29D65" w14:textId="77777777" w:rsidR="00711E71" w:rsidRPr="004936EF" w:rsidRDefault="00711E71" w:rsidP="004936EF">
      <w:pPr>
        <w:pStyle w:val="nutiret"/>
        <w:rPr>
          <w:szCs w:val="20"/>
          <w:lang w:val="en-GB"/>
        </w:rPr>
      </w:pPr>
      <w:r w:rsidRPr="004936EF">
        <w:rPr>
          <w:szCs w:val="20"/>
          <w:lang w:val="en-US"/>
        </w:rPr>
        <w:t>from Burkina Faso, for the Inventory and promotion of intangible cultural heritage in Burkina Faso, for an amount of US$262,080</w:t>
      </w:r>
    </w:p>
    <w:p w14:paraId="63BD28E5" w14:textId="77777777" w:rsidR="00711E71" w:rsidRPr="003E1187" w:rsidRDefault="00711E71" w:rsidP="004936EF">
      <w:pPr>
        <w:pStyle w:val="nutiret"/>
        <w:rPr>
          <w:szCs w:val="20"/>
          <w:lang w:val="en-GB"/>
        </w:rPr>
      </w:pPr>
      <w:r w:rsidRPr="004936EF">
        <w:rPr>
          <w:szCs w:val="20"/>
          <w:lang w:val="en-US"/>
        </w:rPr>
        <w:t>from Senegal, for Inventory of traditional music in Senegal, for an amount of US$80,789</w:t>
      </w:r>
    </w:p>
    <w:p w14:paraId="6607931E" w14:textId="54C56E8C" w:rsidR="00234E9C" w:rsidRPr="004936EF" w:rsidRDefault="00234E9C" w:rsidP="004936EF">
      <w:pPr>
        <w:pStyle w:val="nutiret"/>
        <w:rPr>
          <w:szCs w:val="20"/>
          <w:lang w:val="en-GB"/>
        </w:rPr>
      </w:pPr>
      <w:proofErr w:type="gramStart"/>
      <w:r>
        <w:rPr>
          <w:szCs w:val="20"/>
          <w:lang w:val="en-US"/>
        </w:rPr>
        <w:t>from</w:t>
      </w:r>
      <w:proofErr w:type="gramEnd"/>
      <w:r>
        <w:rPr>
          <w:szCs w:val="20"/>
          <w:lang w:val="en-US"/>
        </w:rPr>
        <w:t xml:space="preserve"> Uruguay, for </w:t>
      </w:r>
      <w:r w:rsidRPr="00234E9C">
        <w:rPr>
          <w:szCs w:val="20"/>
          <w:lang w:val="en-US"/>
        </w:rPr>
        <w:t xml:space="preserve">Documentation, promotion and dissemination of the </w:t>
      </w:r>
      <w:proofErr w:type="spellStart"/>
      <w:r w:rsidRPr="00234E9C">
        <w:rPr>
          <w:szCs w:val="20"/>
          <w:lang w:val="en-US"/>
        </w:rPr>
        <w:t>Candombe</w:t>
      </w:r>
      <w:proofErr w:type="spellEnd"/>
      <w:r w:rsidRPr="00234E9C">
        <w:rPr>
          <w:szCs w:val="20"/>
          <w:lang w:val="en-US"/>
        </w:rPr>
        <w:t xml:space="preserve"> traditional drum calls, expressions of identity of the Sur, Palermo, and </w:t>
      </w:r>
      <w:proofErr w:type="spellStart"/>
      <w:r w:rsidRPr="00234E9C">
        <w:rPr>
          <w:szCs w:val="20"/>
          <w:lang w:val="en-US"/>
        </w:rPr>
        <w:t>Cordón</w:t>
      </w:r>
      <w:proofErr w:type="spellEnd"/>
      <w:r w:rsidRPr="00234E9C">
        <w:rPr>
          <w:szCs w:val="20"/>
          <w:lang w:val="en-US"/>
        </w:rPr>
        <w:t xml:space="preserve"> </w:t>
      </w:r>
      <w:proofErr w:type="spellStart"/>
      <w:r w:rsidRPr="00234E9C">
        <w:rPr>
          <w:szCs w:val="20"/>
          <w:lang w:val="en-US"/>
        </w:rPr>
        <w:t>neighbourhoods</w:t>
      </w:r>
      <w:proofErr w:type="spellEnd"/>
      <w:r w:rsidRPr="00234E9C">
        <w:rPr>
          <w:szCs w:val="20"/>
          <w:lang w:val="en-US"/>
        </w:rPr>
        <w:t xml:space="preserve"> in the city of Montevideo</w:t>
      </w:r>
      <w:r>
        <w:rPr>
          <w:szCs w:val="20"/>
          <w:lang w:val="en-US"/>
        </w:rPr>
        <w:t xml:space="preserve">, </w:t>
      </w:r>
      <w:r w:rsidRPr="004936EF">
        <w:rPr>
          <w:szCs w:val="20"/>
          <w:lang w:val="en-US"/>
        </w:rPr>
        <w:t>for an amount of US$</w:t>
      </w:r>
      <w:r w:rsidRPr="00234E9C">
        <w:rPr>
          <w:szCs w:val="20"/>
          <w:lang w:val="en-US"/>
        </w:rPr>
        <w:t>186,875</w:t>
      </w:r>
      <w:r>
        <w:rPr>
          <w:szCs w:val="20"/>
          <w:lang w:val="en-US"/>
        </w:rPr>
        <w:t>.</w:t>
      </w:r>
    </w:p>
    <w:p w14:paraId="4CA168EB" w14:textId="1A497B9D" w:rsidR="00155409" w:rsidRDefault="007C2925" w:rsidP="004936EF">
      <w:pPr>
        <w:pStyle w:val="Heading6"/>
        <w:rPr>
          <w:lang w:val="en-GB"/>
        </w:rPr>
      </w:pPr>
      <w:proofErr w:type="gramStart"/>
      <w:r w:rsidRPr="0063086E">
        <w:rPr>
          <w:lang w:val="en-GB"/>
        </w:rPr>
        <w:t>Slide</w:t>
      </w:r>
      <w:r w:rsidRPr="00141792">
        <w:rPr>
          <w:lang w:val="en-GB"/>
        </w:rPr>
        <w:t xml:space="preserve"> </w:t>
      </w:r>
      <w:r w:rsidR="00CC42A1">
        <w:rPr>
          <w:lang w:val="en-GB"/>
        </w:rPr>
        <w:t>11</w:t>
      </w:r>
      <w:r w:rsidR="00155409" w:rsidRPr="00141792">
        <w:rPr>
          <w:lang w:val="en-GB"/>
        </w:rPr>
        <w:t>.</w:t>
      </w:r>
      <w:proofErr w:type="gramEnd"/>
    </w:p>
    <w:p w14:paraId="6742E100" w14:textId="6F09720F" w:rsidR="00155409" w:rsidRDefault="00155409" w:rsidP="004936EF">
      <w:pPr>
        <w:pStyle w:val="diapo2"/>
        <w:rPr>
          <w:lang w:val="en-GB"/>
        </w:rPr>
      </w:pPr>
      <w:r>
        <w:rPr>
          <w:lang w:val="en-GB"/>
        </w:rPr>
        <w:t>Preparing</w:t>
      </w:r>
      <w:r w:rsidRPr="00141792">
        <w:rPr>
          <w:lang w:val="en-GB"/>
        </w:rPr>
        <w:t xml:space="preserve"> a </w:t>
      </w:r>
      <w:r>
        <w:rPr>
          <w:lang w:val="en-GB"/>
        </w:rPr>
        <w:t>request</w:t>
      </w:r>
      <w:r w:rsidRPr="00141792">
        <w:rPr>
          <w:lang w:val="en-GB"/>
        </w:rPr>
        <w:t>: forms</w:t>
      </w:r>
    </w:p>
    <w:p w14:paraId="2D92FAE7" w14:textId="64C5B71E" w:rsidR="0072042B" w:rsidRDefault="00F02D08" w:rsidP="004936EF">
      <w:pPr>
        <w:pStyle w:val="Texte1"/>
        <w:rPr>
          <w:lang w:val="en-GB"/>
        </w:rPr>
      </w:pPr>
      <w:r>
        <w:rPr>
          <w:lang w:val="en-GB"/>
        </w:rPr>
        <w:t>Participant’s</w:t>
      </w:r>
      <w:r w:rsidR="002A3923">
        <w:rPr>
          <w:lang w:val="en-GB"/>
        </w:rPr>
        <w:t xml:space="preserve"> text </w:t>
      </w:r>
      <w:r w:rsidR="00CD3DF7">
        <w:rPr>
          <w:lang w:val="en-GB"/>
        </w:rPr>
        <w:t>Unit </w:t>
      </w:r>
      <w:r w:rsidR="00465447">
        <w:rPr>
          <w:lang w:val="en-GB"/>
        </w:rPr>
        <w:t>12</w:t>
      </w:r>
      <w:r w:rsidR="00221B1C" w:rsidRPr="00141792">
        <w:rPr>
          <w:lang w:val="en-GB"/>
        </w:rPr>
        <w:t>.5</w:t>
      </w:r>
      <w:r w:rsidR="00636E52" w:rsidRPr="00141792">
        <w:rPr>
          <w:lang w:val="en-GB"/>
        </w:rPr>
        <w:t xml:space="preserve"> introduces the forms used for preparing assistance requests. The forms are then discussed individually under </w:t>
      </w:r>
      <w:r>
        <w:rPr>
          <w:lang w:val="en-GB"/>
        </w:rPr>
        <w:t>Participant’s</w:t>
      </w:r>
      <w:r w:rsidR="002A3923">
        <w:rPr>
          <w:lang w:val="en-GB"/>
        </w:rPr>
        <w:t xml:space="preserve"> text </w:t>
      </w:r>
      <w:r w:rsidR="00CD3DF7">
        <w:rPr>
          <w:lang w:val="en-GB"/>
        </w:rPr>
        <w:t>Units </w:t>
      </w:r>
      <w:r w:rsidR="00465447">
        <w:rPr>
          <w:lang w:val="en-GB"/>
        </w:rPr>
        <w:t>12</w:t>
      </w:r>
      <w:r w:rsidR="00CD3DF7">
        <w:rPr>
          <w:lang w:val="en-GB"/>
        </w:rPr>
        <w:t>.6 and </w:t>
      </w:r>
      <w:r w:rsidR="00465447" w:rsidRPr="00141792">
        <w:rPr>
          <w:lang w:val="en-GB"/>
        </w:rPr>
        <w:t>1</w:t>
      </w:r>
      <w:r w:rsidR="00465447">
        <w:rPr>
          <w:lang w:val="en-GB"/>
        </w:rPr>
        <w:t>2</w:t>
      </w:r>
      <w:r w:rsidR="00636E52" w:rsidRPr="00141792">
        <w:rPr>
          <w:lang w:val="en-GB"/>
        </w:rPr>
        <w:t>.7</w:t>
      </w:r>
    </w:p>
    <w:p w14:paraId="5663DC29" w14:textId="04B026DD" w:rsidR="00155409" w:rsidRDefault="00970FB6" w:rsidP="004936EF">
      <w:pPr>
        <w:pStyle w:val="Heading6"/>
        <w:rPr>
          <w:lang w:val="en-GB"/>
        </w:rPr>
      </w:pPr>
      <w:proofErr w:type="gramStart"/>
      <w:r>
        <w:rPr>
          <w:lang w:val="en-GB"/>
        </w:rPr>
        <w:t>S</w:t>
      </w:r>
      <w:r w:rsidR="007C2925" w:rsidRPr="00141792">
        <w:rPr>
          <w:lang w:val="en-GB"/>
        </w:rPr>
        <w:t xml:space="preserve">lide </w:t>
      </w:r>
      <w:r w:rsidR="00CC42A1">
        <w:rPr>
          <w:lang w:val="en-GB"/>
        </w:rPr>
        <w:t>12</w:t>
      </w:r>
      <w:r w:rsidR="00155409" w:rsidRPr="00141792">
        <w:rPr>
          <w:lang w:val="en-GB"/>
        </w:rPr>
        <w:t>.</w:t>
      </w:r>
      <w:proofErr w:type="gramEnd"/>
    </w:p>
    <w:p w14:paraId="5001E257" w14:textId="5869ACDF" w:rsidR="00155409" w:rsidRDefault="00155409" w:rsidP="004936EF">
      <w:pPr>
        <w:pStyle w:val="diapo2"/>
        <w:rPr>
          <w:lang w:val="en-GB"/>
        </w:rPr>
      </w:pPr>
      <w:r>
        <w:rPr>
          <w:lang w:val="en-GB"/>
        </w:rPr>
        <w:t>Preparing</w:t>
      </w:r>
      <w:r w:rsidRPr="00141792">
        <w:rPr>
          <w:lang w:val="en-GB"/>
        </w:rPr>
        <w:t xml:space="preserve"> a </w:t>
      </w:r>
      <w:r>
        <w:rPr>
          <w:lang w:val="en-GB"/>
        </w:rPr>
        <w:t>request</w:t>
      </w:r>
      <w:r w:rsidRPr="00141792">
        <w:rPr>
          <w:lang w:val="en-GB"/>
        </w:rPr>
        <w:t>: timetable</w:t>
      </w:r>
    </w:p>
    <w:p w14:paraId="211852BB" w14:textId="707443B4" w:rsidR="00183E70" w:rsidRPr="004936EF" w:rsidRDefault="00F02D08" w:rsidP="009909DD">
      <w:pPr>
        <w:pStyle w:val="Texte1"/>
        <w:rPr>
          <w:lang w:val="en-US"/>
        </w:rPr>
      </w:pPr>
      <w:r>
        <w:rPr>
          <w:lang w:val="en-GB"/>
        </w:rPr>
        <w:t>Participant’s</w:t>
      </w:r>
      <w:r w:rsidR="002A3923">
        <w:rPr>
          <w:lang w:val="en-GB"/>
        </w:rPr>
        <w:t xml:space="preserve"> text </w:t>
      </w:r>
      <w:r w:rsidR="00CD3DF7">
        <w:rPr>
          <w:lang w:val="en-GB"/>
        </w:rPr>
        <w:t>Units </w:t>
      </w:r>
      <w:r w:rsidR="00465447">
        <w:rPr>
          <w:lang w:val="en-GB"/>
        </w:rPr>
        <w:t>12</w:t>
      </w:r>
      <w:r w:rsidR="00221B1C" w:rsidRPr="00141792">
        <w:rPr>
          <w:lang w:val="en-GB"/>
        </w:rPr>
        <w:t xml:space="preserve">.6 and </w:t>
      </w:r>
      <w:r w:rsidR="00465447">
        <w:rPr>
          <w:lang w:val="en-GB"/>
        </w:rPr>
        <w:t>12</w:t>
      </w:r>
      <w:r w:rsidR="00221B1C" w:rsidRPr="00141792">
        <w:rPr>
          <w:lang w:val="en-GB"/>
        </w:rPr>
        <w:t>.7</w:t>
      </w:r>
      <w:r w:rsidR="00636E52" w:rsidRPr="00141792">
        <w:rPr>
          <w:lang w:val="en-GB"/>
        </w:rPr>
        <w:t xml:space="preserve"> discuss the timetables for the submission and evaluation of assistance requests.</w:t>
      </w:r>
    </w:p>
    <w:p w14:paraId="3D2A9AA3" w14:textId="663DCB00" w:rsidR="008A0492" w:rsidRPr="004936EF" w:rsidRDefault="008A0492" w:rsidP="004936EF">
      <w:pPr>
        <w:pStyle w:val="Soustitre"/>
        <w:rPr>
          <w:lang w:val="en-US"/>
        </w:rPr>
      </w:pPr>
      <w:r w:rsidRPr="004936EF">
        <w:rPr>
          <w:lang w:val="en-US"/>
        </w:rPr>
        <w:t>Deadlines and procedures for interna</w:t>
      </w:r>
      <w:r w:rsidR="00C8068F">
        <w:rPr>
          <w:lang w:val="en-US"/>
        </w:rPr>
        <w:t>tional assistance requests (</w:t>
      </w:r>
      <w:r w:rsidR="00C8068F" w:rsidRPr="00C8068F">
        <w:rPr>
          <w:lang w:val="en-GB"/>
        </w:rPr>
        <w:t>ODs</w:t>
      </w:r>
      <w:r w:rsidR="00C8068F">
        <w:rPr>
          <w:lang w:val="en-GB"/>
        </w:rPr>
        <w:t> </w:t>
      </w:r>
      <w:r w:rsidRPr="00C8068F">
        <w:rPr>
          <w:lang w:val="en-GB"/>
        </w:rPr>
        <w:t>54</w:t>
      </w:r>
      <w:r w:rsidRPr="004936EF">
        <w:rPr>
          <w:lang w:val="en-US"/>
        </w:rPr>
        <w:t>–56)</w:t>
      </w:r>
    </w:p>
    <w:tbl>
      <w:tblPr>
        <w:tblW w:w="7995" w:type="dxa"/>
        <w:tblInd w:w="851" w:type="dxa"/>
        <w:tblLayout w:type="fixed"/>
        <w:tblCellMar>
          <w:left w:w="0" w:type="dxa"/>
          <w:right w:w="0" w:type="dxa"/>
        </w:tblCellMar>
        <w:tblLook w:val="04A0" w:firstRow="1" w:lastRow="0" w:firstColumn="1" w:lastColumn="0" w:noHBand="0" w:noVBand="1"/>
      </w:tblPr>
      <w:tblGrid>
        <w:gridCol w:w="1539"/>
        <w:gridCol w:w="1538"/>
        <w:gridCol w:w="4918"/>
      </w:tblGrid>
      <w:tr w:rsidR="008A0492" w14:paraId="2B4DA2D0" w14:textId="77777777" w:rsidTr="004936EF">
        <w:tc>
          <w:tcPr>
            <w:tcW w:w="1701" w:type="dxa"/>
            <w:shd w:val="clear" w:color="auto" w:fill="auto"/>
          </w:tcPr>
          <w:p w14:paraId="267B3CBA" w14:textId="13615B5A" w:rsidR="008A0492" w:rsidRDefault="00C8068F" w:rsidP="004936EF">
            <w:pPr>
              <w:pStyle w:val="Txtjourne"/>
              <w:ind w:right="113"/>
              <w:rPr>
                <w:snapToGrid w:val="0"/>
              </w:rPr>
            </w:pPr>
            <w:proofErr w:type="spellStart"/>
            <w:r>
              <w:t>From</w:t>
            </w:r>
            <w:proofErr w:type="spellEnd"/>
            <w:r>
              <w:t xml:space="preserve"> OD </w:t>
            </w:r>
            <w:r w:rsidR="008A0492" w:rsidRPr="008A0492">
              <w:t>54</w:t>
            </w:r>
          </w:p>
        </w:tc>
        <w:tc>
          <w:tcPr>
            <w:tcW w:w="1701" w:type="dxa"/>
            <w:shd w:val="clear" w:color="auto" w:fill="auto"/>
          </w:tcPr>
          <w:p w14:paraId="60D5796B" w14:textId="77777777" w:rsidR="008A0492" w:rsidRDefault="008A0492" w:rsidP="004936EF">
            <w:pPr>
              <w:pStyle w:val="Txtjourne"/>
              <w:ind w:right="113"/>
              <w:jc w:val="right"/>
              <w:rPr>
                <w:snapToGrid w:val="0"/>
              </w:rPr>
            </w:pPr>
            <w:r w:rsidRPr="008A0492">
              <w:t>Phase 1:</w:t>
            </w:r>
          </w:p>
        </w:tc>
        <w:tc>
          <w:tcPr>
            <w:tcW w:w="5443" w:type="dxa"/>
            <w:shd w:val="clear" w:color="auto" w:fill="auto"/>
          </w:tcPr>
          <w:p w14:paraId="789FF381" w14:textId="77777777" w:rsidR="008A0492" w:rsidRDefault="008A0492" w:rsidP="004936EF">
            <w:pPr>
              <w:pStyle w:val="Txtjourne"/>
              <w:ind w:right="113"/>
              <w:jc w:val="both"/>
              <w:rPr>
                <w:snapToGrid w:val="0"/>
              </w:rPr>
            </w:pPr>
            <w:proofErr w:type="spellStart"/>
            <w:r w:rsidRPr="008A0492">
              <w:t>Preparation</w:t>
            </w:r>
            <w:proofErr w:type="spellEnd"/>
            <w:r w:rsidRPr="008A0492">
              <w:t xml:space="preserve"> and </w:t>
            </w:r>
            <w:proofErr w:type="spellStart"/>
            <w:r w:rsidRPr="008A0492">
              <w:t>submission</w:t>
            </w:r>
            <w:proofErr w:type="spellEnd"/>
          </w:p>
        </w:tc>
      </w:tr>
      <w:tr w:rsidR="008A0492" w14:paraId="7A8EC508" w14:textId="77777777" w:rsidTr="004936EF">
        <w:tc>
          <w:tcPr>
            <w:tcW w:w="1701" w:type="dxa"/>
            <w:shd w:val="clear" w:color="auto" w:fill="auto"/>
          </w:tcPr>
          <w:p w14:paraId="5C6BBE48" w14:textId="77777777" w:rsidR="008A0492" w:rsidRDefault="008A0492" w:rsidP="004936EF">
            <w:pPr>
              <w:pStyle w:val="Txtjourne"/>
              <w:ind w:right="113"/>
              <w:rPr>
                <w:snapToGrid w:val="0"/>
              </w:rPr>
            </w:pPr>
          </w:p>
        </w:tc>
        <w:tc>
          <w:tcPr>
            <w:tcW w:w="1701" w:type="dxa"/>
            <w:shd w:val="clear" w:color="auto" w:fill="auto"/>
          </w:tcPr>
          <w:p w14:paraId="55BC2C12" w14:textId="77FBA4D1" w:rsidR="008A0492" w:rsidRDefault="008A0492" w:rsidP="004936EF">
            <w:pPr>
              <w:pStyle w:val="Txtjourne"/>
              <w:ind w:right="113"/>
              <w:jc w:val="right"/>
              <w:rPr>
                <w:snapToGrid w:val="0"/>
              </w:rPr>
            </w:pPr>
            <w:r w:rsidRPr="00141792">
              <w:t>31 March</w:t>
            </w:r>
            <w:r w:rsidR="000622A0">
              <w:br/>
            </w:r>
            <w:proofErr w:type="spellStart"/>
            <w:r w:rsidRPr="00141792">
              <w:t>Year</w:t>
            </w:r>
            <w:proofErr w:type="spellEnd"/>
            <w:r w:rsidRPr="00141792">
              <w:t xml:space="preserve"> 0</w:t>
            </w:r>
          </w:p>
          <w:p w14:paraId="2EF396FE" w14:textId="77777777" w:rsidR="008A0492" w:rsidRDefault="008A0492" w:rsidP="004936EF">
            <w:pPr>
              <w:pStyle w:val="Txtjourne"/>
              <w:ind w:right="113"/>
              <w:jc w:val="right"/>
              <w:rPr>
                <w:snapToGrid w:val="0"/>
              </w:rPr>
            </w:pPr>
          </w:p>
        </w:tc>
        <w:tc>
          <w:tcPr>
            <w:tcW w:w="5443" w:type="dxa"/>
            <w:shd w:val="clear" w:color="auto" w:fill="auto"/>
          </w:tcPr>
          <w:p w14:paraId="51F449B1" w14:textId="77777777" w:rsidR="008A0492" w:rsidRPr="004936EF" w:rsidRDefault="008A0492" w:rsidP="004936EF">
            <w:pPr>
              <w:pStyle w:val="Txtjourne"/>
              <w:ind w:right="113"/>
              <w:jc w:val="both"/>
              <w:rPr>
                <w:lang w:val="en-US"/>
              </w:rPr>
            </w:pPr>
            <w:r w:rsidRPr="004936EF">
              <w:rPr>
                <w:lang w:val="en-US"/>
              </w:rPr>
              <w:t>Deadline for preparatory assistance requests for the elaboration of nominations for the USL and proposals for the Register of Best Safeguarding Practices.</w:t>
            </w:r>
          </w:p>
          <w:p w14:paraId="23BBE6B7" w14:textId="77777777" w:rsidR="008A0492" w:rsidRPr="0063086E" w:rsidRDefault="008A0492" w:rsidP="004936EF">
            <w:pPr>
              <w:pStyle w:val="Txtjourne"/>
              <w:ind w:right="113"/>
              <w:jc w:val="both"/>
              <w:rPr>
                <w:bCs/>
                <w:i/>
                <w:lang w:val="en-US"/>
              </w:rPr>
            </w:pPr>
            <w:r w:rsidRPr="0063086E">
              <w:rPr>
                <w:i/>
                <w:lang w:val="en-US"/>
              </w:rPr>
              <w:t>(</w:t>
            </w:r>
            <w:r w:rsidRPr="00217A97">
              <w:rPr>
                <w:i/>
                <w:lang w:val="en-US"/>
              </w:rPr>
              <w:t>Note</w:t>
            </w:r>
            <w:r w:rsidRPr="0063086E">
              <w:rPr>
                <w:i/>
                <w:lang w:val="en-US"/>
              </w:rPr>
              <w:t>: These requests are evaluated and examined</w:t>
            </w:r>
            <w:r w:rsidRPr="0063086E" w:rsidDel="0024006B">
              <w:rPr>
                <w:i/>
                <w:lang w:val="en-US"/>
              </w:rPr>
              <w:t xml:space="preserve"> </w:t>
            </w:r>
            <w:r w:rsidRPr="0063086E">
              <w:rPr>
                <w:i/>
                <w:lang w:val="en-US"/>
              </w:rPr>
              <w:t>at relatively short notice by the Bureau of the Committee; the Secretariat informs the submitting States Parties within two weeks of the decisions of the Bureau.)</w:t>
            </w:r>
          </w:p>
        </w:tc>
      </w:tr>
      <w:tr w:rsidR="008A0492" w14:paraId="4F9AF37B" w14:textId="77777777" w:rsidTr="004936EF">
        <w:tc>
          <w:tcPr>
            <w:tcW w:w="1701" w:type="dxa"/>
            <w:shd w:val="clear" w:color="auto" w:fill="auto"/>
          </w:tcPr>
          <w:p w14:paraId="5229B9D8" w14:textId="77777777" w:rsidR="008A0492" w:rsidRPr="004936EF" w:rsidRDefault="008A0492" w:rsidP="004936EF">
            <w:pPr>
              <w:pStyle w:val="Txtjourne"/>
              <w:ind w:right="113"/>
              <w:rPr>
                <w:lang w:val="en-US"/>
              </w:rPr>
            </w:pPr>
          </w:p>
        </w:tc>
        <w:tc>
          <w:tcPr>
            <w:tcW w:w="1701" w:type="dxa"/>
            <w:shd w:val="clear" w:color="auto" w:fill="auto"/>
          </w:tcPr>
          <w:p w14:paraId="07A34795" w14:textId="657B431E" w:rsidR="00C756DD" w:rsidRPr="00141792" w:rsidRDefault="00C756DD" w:rsidP="004936EF">
            <w:pPr>
              <w:pStyle w:val="Txtjourne"/>
              <w:ind w:right="113"/>
              <w:jc w:val="right"/>
              <w:rPr>
                <w:snapToGrid w:val="0"/>
              </w:rPr>
            </w:pPr>
            <w:r w:rsidRPr="00C756DD">
              <w:t xml:space="preserve">31 March </w:t>
            </w:r>
            <w:r w:rsidR="000622A0">
              <w:br/>
            </w:r>
            <w:proofErr w:type="spellStart"/>
            <w:r w:rsidRPr="00C756DD">
              <w:t>Year</w:t>
            </w:r>
            <w:proofErr w:type="spellEnd"/>
            <w:r w:rsidRPr="00C756DD">
              <w:t xml:space="preserve"> 1</w:t>
            </w:r>
          </w:p>
          <w:p w14:paraId="1DFDD827" w14:textId="77777777" w:rsidR="008A0492" w:rsidRDefault="008A0492" w:rsidP="004936EF">
            <w:pPr>
              <w:pStyle w:val="Txtjourne"/>
              <w:ind w:right="113"/>
              <w:jc w:val="right"/>
              <w:rPr>
                <w:snapToGrid w:val="0"/>
              </w:rPr>
            </w:pPr>
          </w:p>
        </w:tc>
        <w:tc>
          <w:tcPr>
            <w:tcW w:w="5443" w:type="dxa"/>
            <w:shd w:val="clear" w:color="auto" w:fill="auto"/>
          </w:tcPr>
          <w:p w14:paraId="2E5A0C69" w14:textId="77777777" w:rsidR="008A0492" w:rsidRPr="004936EF" w:rsidRDefault="00C756DD" w:rsidP="004936EF">
            <w:pPr>
              <w:pStyle w:val="Txtjourne"/>
              <w:ind w:right="113"/>
              <w:jc w:val="both"/>
              <w:rPr>
                <w:lang w:val="en-US"/>
              </w:rPr>
            </w:pPr>
            <w:r w:rsidRPr="004936EF">
              <w:rPr>
                <w:lang w:val="en-US"/>
              </w:rPr>
              <w:t xml:space="preserve">Deadline by which international assistance requests greater than US$25,000 must be received by the Secretariat. Files received after this date will be examined in the next cycle. </w:t>
            </w:r>
          </w:p>
        </w:tc>
      </w:tr>
      <w:tr w:rsidR="00C756DD" w14:paraId="7C1F4CD0" w14:textId="77777777" w:rsidTr="004936EF">
        <w:tc>
          <w:tcPr>
            <w:tcW w:w="1701" w:type="dxa"/>
            <w:shd w:val="clear" w:color="auto" w:fill="auto"/>
          </w:tcPr>
          <w:p w14:paraId="067B9FA3" w14:textId="77777777" w:rsidR="00C756DD" w:rsidRPr="004936EF" w:rsidRDefault="00C756DD" w:rsidP="004936EF">
            <w:pPr>
              <w:pStyle w:val="Txtjourne"/>
              <w:ind w:right="113"/>
              <w:rPr>
                <w:lang w:val="en-US"/>
              </w:rPr>
            </w:pPr>
          </w:p>
        </w:tc>
        <w:tc>
          <w:tcPr>
            <w:tcW w:w="1701" w:type="dxa"/>
            <w:shd w:val="clear" w:color="auto" w:fill="auto"/>
          </w:tcPr>
          <w:p w14:paraId="75EB1993" w14:textId="319636DF" w:rsidR="00C756DD" w:rsidRPr="00141792" w:rsidRDefault="00C756DD" w:rsidP="004936EF">
            <w:pPr>
              <w:pStyle w:val="Txtjourne"/>
              <w:ind w:right="113"/>
              <w:jc w:val="right"/>
              <w:rPr>
                <w:snapToGrid w:val="0"/>
              </w:rPr>
            </w:pPr>
            <w:r w:rsidRPr="00C756DD">
              <w:t xml:space="preserve">30 </w:t>
            </w:r>
            <w:proofErr w:type="spellStart"/>
            <w:r w:rsidRPr="00C756DD">
              <w:t>June</w:t>
            </w:r>
            <w:proofErr w:type="spellEnd"/>
            <w:r w:rsidR="000622A0">
              <w:br/>
            </w:r>
            <w:proofErr w:type="spellStart"/>
            <w:r w:rsidRPr="00C756DD">
              <w:t>Year</w:t>
            </w:r>
            <w:proofErr w:type="spellEnd"/>
            <w:r w:rsidRPr="00C756DD">
              <w:t xml:space="preserve"> 1</w:t>
            </w:r>
          </w:p>
          <w:p w14:paraId="574114D0" w14:textId="77777777" w:rsidR="00C756DD" w:rsidRDefault="00C756DD" w:rsidP="004936EF">
            <w:pPr>
              <w:pStyle w:val="Txtjourne"/>
              <w:ind w:right="113"/>
              <w:jc w:val="right"/>
              <w:rPr>
                <w:snapToGrid w:val="0"/>
              </w:rPr>
            </w:pPr>
          </w:p>
        </w:tc>
        <w:tc>
          <w:tcPr>
            <w:tcW w:w="5443" w:type="dxa"/>
            <w:shd w:val="clear" w:color="auto" w:fill="auto"/>
          </w:tcPr>
          <w:p w14:paraId="76C84581" w14:textId="77777777" w:rsidR="00C756DD" w:rsidRPr="004936EF" w:rsidRDefault="00C756DD" w:rsidP="004936EF">
            <w:pPr>
              <w:pStyle w:val="Txtjourne"/>
              <w:ind w:right="113"/>
              <w:jc w:val="both"/>
              <w:rPr>
                <w:sz w:val="22"/>
                <w:lang w:val="en-US"/>
              </w:rPr>
            </w:pPr>
            <w:r w:rsidRPr="0063086E">
              <w:rPr>
                <w:lang w:val="en-US"/>
              </w:rPr>
              <w:t>Deadline by which the Secretariat will have processed the files, including registration and acknowledgement of receipt. If a file is found to be incomplete, the State Party is invited to complete the file.</w:t>
            </w:r>
            <w:r w:rsidRPr="004936EF">
              <w:rPr>
                <w:sz w:val="22"/>
                <w:lang w:val="en-US"/>
              </w:rPr>
              <w:t xml:space="preserve"> </w:t>
            </w:r>
          </w:p>
        </w:tc>
      </w:tr>
      <w:tr w:rsidR="00C756DD" w14:paraId="71C33908" w14:textId="77777777" w:rsidTr="004936EF">
        <w:tc>
          <w:tcPr>
            <w:tcW w:w="1701" w:type="dxa"/>
            <w:shd w:val="clear" w:color="auto" w:fill="auto"/>
          </w:tcPr>
          <w:p w14:paraId="57D2B794" w14:textId="77777777" w:rsidR="00C756DD" w:rsidRPr="004936EF" w:rsidRDefault="00C756DD" w:rsidP="004936EF">
            <w:pPr>
              <w:pStyle w:val="Txtjourne"/>
              <w:ind w:right="113"/>
              <w:rPr>
                <w:lang w:val="en-US"/>
              </w:rPr>
            </w:pPr>
          </w:p>
        </w:tc>
        <w:tc>
          <w:tcPr>
            <w:tcW w:w="1701" w:type="dxa"/>
            <w:shd w:val="clear" w:color="auto" w:fill="auto"/>
          </w:tcPr>
          <w:p w14:paraId="3BA4A141" w14:textId="6455FC9D" w:rsidR="00C756DD" w:rsidRPr="00141792" w:rsidRDefault="00C756DD" w:rsidP="004936EF">
            <w:pPr>
              <w:pStyle w:val="Txtjourne"/>
              <w:ind w:right="113"/>
              <w:jc w:val="right"/>
              <w:rPr>
                <w:snapToGrid w:val="0"/>
              </w:rPr>
            </w:pPr>
            <w:r w:rsidRPr="00C756DD">
              <w:t xml:space="preserve">30 </w:t>
            </w:r>
            <w:proofErr w:type="spellStart"/>
            <w:r w:rsidRPr="00C756DD">
              <w:t>September</w:t>
            </w:r>
            <w:proofErr w:type="spellEnd"/>
            <w:r w:rsidR="000622A0">
              <w:br/>
            </w:r>
            <w:proofErr w:type="spellStart"/>
            <w:r w:rsidR="000622A0">
              <w:t>Y</w:t>
            </w:r>
            <w:r w:rsidRPr="00C756DD">
              <w:t>ear</w:t>
            </w:r>
            <w:proofErr w:type="spellEnd"/>
            <w:r w:rsidRPr="00C756DD">
              <w:t xml:space="preserve"> 1</w:t>
            </w:r>
          </w:p>
          <w:p w14:paraId="35CB0086" w14:textId="77777777" w:rsidR="00C756DD" w:rsidRDefault="00C756DD" w:rsidP="004936EF">
            <w:pPr>
              <w:pStyle w:val="Txtjourne"/>
              <w:ind w:right="113"/>
              <w:jc w:val="right"/>
              <w:rPr>
                <w:snapToGrid w:val="0"/>
              </w:rPr>
            </w:pPr>
          </w:p>
        </w:tc>
        <w:tc>
          <w:tcPr>
            <w:tcW w:w="5443" w:type="dxa"/>
            <w:shd w:val="clear" w:color="auto" w:fill="auto"/>
          </w:tcPr>
          <w:p w14:paraId="47DFDA37" w14:textId="77777777" w:rsidR="00C756DD" w:rsidRPr="004936EF" w:rsidRDefault="00C756DD" w:rsidP="004936EF">
            <w:pPr>
              <w:pStyle w:val="Txtjourne"/>
              <w:ind w:right="113"/>
              <w:jc w:val="both"/>
              <w:rPr>
                <w:lang w:val="en-US"/>
              </w:rPr>
            </w:pPr>
            <w:proofErr w:type="gramStart"/>
            <w:r w:rsidRPr="004936EF">
              <w:rPr>
                <w:lang w:val="en-US"/>
              </w:rPr>
              <w:t>Deadline</w:t>
            </w:r>
            <w:proofErr w:type="gramEnd"/>
            <w:r w:rsidRPr="004936EF">
              <w:rPr>
                <w:lang w:val="en-US"/>
              </w:rPr>
              <w:t xml:space="preserve"> by which missing information required to complete the files, if any, shall be submitted by the State Party to the Secretariat. Files that remain incomplete are returned to the States Parties, which may complete them for a subsequent cycle. </w:t>
            </w:r>
          </w:p>
        </w:tc>
      </w:tr>
      <w:tr w:rsidR="00C756DD" w14:paraId="453799DB" w14:textId="77777777" w:rsidTr="004936EF">
        <w:tc>
          <w:tcPr>
            <w:tcW w:w="1701" w:type="dxa"/>
            <w:shd w:val="clear" w:color="auto" w:fill="auto"/>
          </w:tcPr>
          <w:p w14:paraId="696FEBED" w14:textId="541BB188" w:rsidR="00C756DD" w:rsidRDefault="00C8068F" w:rsidP="004936EF">
            <w:pPr>
              <w:pStyle w:val="Txtjourne"/>
              <w:ind w:right="113"/>
              <w:rPr>
                <w:snapToGrid w:val="0"/>
              </w:rPr>
            </w:pPr>
            <w:proofErr w:type="spellStart"/>
            <w:r>
              <w:t>From</w:t>
            </w:r>
            <w:proofErr w:type="spellEnd"/>
            <w:r>
              <w:t xml:space="preserve"> OD </w:t>
            </w:r>
            <w:r w:rsidR="00C756DD" w:rsidRPr="00C756DD">
              <w:t>55</w:t>
            </w:r>
          </w:p>
        </w:tc>
        <w:tc>
          <w:tcPr>
            <w:tcW w:w="1701" w:type="dxa"/>
            <w:shd w:val="clear" w:color="auto" w:fill="auto"/>
          </w:tcPr>
          <w:p w14:paraId="05BAE567" w14:textId="77777777" w:rsidR="00C756DD" w:rsidRDefault="00C756DD" w:rsidP="004936EF">
            <w:pPr>
              <w:pStyle w:val="Txtjourne"/>
              <w:ind w:right="113"/>
              <w:jc w:val="right"/>
              <w:rPr>
                <w:snapToGrid w:val="0"/>
              </w:rPr>
            </w:pPr>
            <w:r w:rsidRPr="00C756DD">
              <w:t>Phase 2:</w:t>
            </w:r>
          </w:p>
          <w:p w14:paraId="6DFF4F05" w14:textId="77777777" w:rsidR="00C756DD" w:rsidRDefault="00C756DD" w:rsidP="004936EF">
            <w:pPr>
              <w:pStyle w:val="Txtjourne"/>
              <w:ind w:right="113"/>
              <w:jc w:val="right"/>
              <w:rPr>
                <w:snapToGrid w:val="0"/>
              </w:rPr>
            </w:pPr>
          </w:p>
        </w:tc>
        <w:tc>
          <w:tcPr>
            <w:tcW w:w="5443" w:type="dxa"/>
            <w:shd w:val="clear" w:color="auto" w:fill="auto"/>
          </w:tcPr>
          <w:p w14:paraId="76877244" w14:textId="77777777" w:rsidR="00C756DD" w:rsidRDefault="00C756DD" w:rsidP="004936EF">
            <w:pPr>
              <w:pStyle w:val="Txtjourne"/>
              <w:ind w:right="113"/>
              <w:jc w:val="both"/>
              <w:rPr>
                <w:bCs/>
                <w:i/>
                <w:iCs/>
                <w:snapToGrid w:val="0"/>
                <w:color w:val="404040" w:themeColor="text1" w:themeTint="BF"/>
                <w:kern w:val="28"/>
              </w:rPr>
            </w:pPr>
            <w:r w:rsidRPr="00C756DD">
              <w:t xml:space="preserve">Evaluation </w:t>
            </w:r>
          </w:p>
        </w:tc>
      </w:tr>
      <w:tr w:rsidR="00C756DD" w14:paraId="13691E96" w14:textId="77777777" w:rsidTr="004936EF">
        <w:tc>
          <w:tcPr>
            <w:tcW w:w="1701" w:type="dxa"/>
            <w:shd w:val="clear" w:color="auto" w:fill="auto"/>
          </w:tcPr>
          <w:p w14:paraId="011649D8" w14:textId="77777777" w:rsidR="00C756DD" w:rsidRDefault="00C756DD" w:rsidP="004936EF">
            <w:pPr>
              <w:pStyle w:val="Txtjourne"/>
              <w:ind w:right="113"/>
              <w:rPr>
                <w:snapToGrid w:val="0"/>
              </w:rPr>
            </w:pPr>
          </w:p>
        </w:tc>
        <w:tc>
          <w:tcPr>
            <w:tcW w:w="1701" w:type="dxa"/>
            <w:shd w:val="clear" w:color="auto" w:fill="auto"/>
          </w:tcPr>
          <w:p w14:paraId="327B2341" w14:textId="77777777" w:rsidR="000622A0" w:rsidRPr="004936EF" w:rsidRDefault="00C756DD" w:rsidP="004936EF">
            <w:pPr>
              <w:pStyle w:val="Txtjourne"/>
              <w:ind w:right="113"/>
              <w:jc w:val="right"/>
              <w:rPr>
                <w:lang w:val="en-US"/>
              </w:rPr>
            </w:pPr>
            <w:r w:rsidRPr="004936EF">
              <w:rPr>
                <w:lang w:val="en-US"/>
              </w:rPr>
              <w:t>December</w:t>
            </w:r>
          </w:p>
          <w:p w14:paraId="6E9A892F" w14:textId="39043773" w:rsidR="00C756DD" w:rsidRPr="004936EF" w:rsidRDefault="00C756DD" w:rsidP="004936EF">
            <w:pPr>
              <w:pStyle w:val="Txtjourne"/>
              <w:ind w:right="113"/>
              <w:jc w:val="right"/>
              <w:rPr>
                <w:lang w:val="en-US"/>
              </w:rPr>
            </w:pPr>
            <w:r w:rsidRPr="004936EF">
              <w:rPr>
                <w:lang w:val="en-US"/>
              </w:rPr>
              <w:t>Year 1</w:t>
            </w:r>
            <w:r w:rsidR="000622A0" w:rsidRPr="004936EF">
              <w:rPr>
                <w:lang w:val="en-US"/>
              </w:rPr>
              <w:br/>
            </w:r>
            <w:r w:rsidRPr="004936EF">
              <w:rPr>
                <w:lang w:val="en-US"/>
              </w:rPr>
              <w:t>to May</w:t>
            </w:r>
            <w:r w:rsidR="000622A0" w:rsidRPr="004936EF">
              <w:rPr>
                <w:lang w:val="en-US"/>
              </w:rPr>
              <w:br/>
            </w:r>
            <w:r w:rsidRPr="004936EF">
              <w:rPr>
                <w:lang w:val="en-US"/>
              </w:rPr>
              <w:t xml:space="preserve">Year 2   </w:t>
            </w:r>
          </w:p>
          <w:p w14:paraId="398DB29B" w14:textId="77777777" w:rsidR="00C756DD" w:rsidRPr="004936EF" w:rsidRDefault="00C756DD" w:rsidP="004936EF">
            <w:pPr>
              <w:pStyle w:val="Txtjourne"/>
              <w:ind w:right="113"/>
              <w:jc w:val="right"/>
              <w:rPr>
                <w:lang w:val="en-US"/>
              </w:rPr>
            </w:pPr>
          </w:p>
        </w:tc>
        <w:tc>
          <w:tcPr>
            <w:tcW w:w="5443" w:type="dxa"/>
            <w:shd w:val="clear" w:color="auto" w:fill="auto"/>
          </w:tcPr>
          <w:p w14:paraId="0C09B8C2" w14:textId="77777777" w:rsidR="00C756DD" w:rsidRPr="004936EF" w:rsidRDefault="00C756DD" w:rsidP="004936EF">
            <w:pPr>
              <w:pStyle w:val="Txtjourne"/>
              <w:ind w:right="113"/>
              <w:jc w:val="both"/>
              <w:rPr>
                <w:lang w:val="en-US"/>
              </w:rPr>
            </w:pPr>
            <w:r w:rsidRPr="004936EF">
              <w:rPr>
                <w:lang w:val="en-US"/>
              </w:rPr>
              <w:t>Evaluation</w:t>
            </w:r>
            <w:r w:rsidRPr="004936EF">
              <w:rPr>
                <w:strike/>
                <w:lang w:val="en-US"/>
              </w:rPr>
              <w:t xml:space="preserve"> </w:t>
            </w:r>
            <w:r w:rsidRPr="004936EF">
              <w:rPr>
                <w:lang w:val="en-US"/>
              </w:rPr>
              <w:t xml:space="preserve">of the requests by the Consultative Body. </w:t>
            </w:r>
          </w:p>
          <w:p w14:paraId="6C0192C9" w14:textId="77777777" w:rsidR="00C756DD" w:rsidRPr="0063086E" w:rsidRDefault="00C756DD" w:rsidP="004936EF">
            <w:pPr>
              <w:pStyle w:val="Txtjourne"/>
              <w:ind w:right="113"/>
              <w:jc w:val="both"/>
              <w:rPr>
                <w:i/>
                <w:lang w:val="en-US"/>
              </w:rPr>
            </w:pPr>
            <w:r w:rsidRPr="0063086E">
              <w:rPr>
                <w:i/>
                <w:lang w:val="en-US"/>
              </w:rPr>
              <w:t>(</w:t>
            </w:r>
            <w:r w:rsidRPr="00217A97">
              <w:rPr>
                <w:i/>
                <w:lang w:val="en-US"/>
              </w:rPr>
              <w:t>Note:</w:t>
            </w:r>
            <w:r w:rsidRPr="0063086E">
              <w:rPr>
                <w:i/>
                <w:lang w:val="en-US"/>
              </w:rPr>
              <w:t xml:space="preserve"> The submitting States Parties have the right to withdraw their requests until the session of the Intergovernmental Committee)</w:t>
            </w:r>
          </w:p>
        </w:tc>
      </w:tr>
      <w:tr w:rsidR="00C756DD" w:rsidRPr="00837079" w14:paraId="5C170BC9" w14:textId="77777777" w:rsidTr="004936EF">
        <w:tc>
          <w:tcPr>
            <w:tcW w:w="1701" w:type="dxa"/>
            <w:shd w:val="clear" w:color="auto" w:fill="auto"/>
          </w:tcPr>
          <w:p w14:paraId="42C713D1" w14:textId="77777777" w:rsidR="00C756DD" w:rsidRPr="004936EF" w:rsidRDefault="00C756DD" w:rsidP="004936EF">
            <w:pPr>
              <w:pStyle w:val="Txtjourne"/>
              <w:ind w:right="113"/>
              <w:rPr>
                <w:lang w:val="en-US"/>
              </w:rPr>
            </w:pPr>
          </w:p>
        </w:tc>
        <w:tc>
          <w:tcPr>
            <w:tcW w:w="1701" w:type="dxa"/>
            <w:shd w:val="clear" w:color="auto" w:fill="auto"/>
          </w:tcPr>
          <w:p w14:paraId="6A502306" w14:textId="563CCD84" w:rsidR="00C756DD" w:rsidRDefault="00C756DD" w:rsidP="004936EF">
            <w:pPr>
              <w:pStyle w:val="Txtjourne"/>
              <w:ind w:right="113"/>
              <w:jc w:val="right"/>
              <w:rPr>
                <w:snapToGrid w:val="0"/>
              </w:rPr>
            </w:pPr>
            <w:r>
              <w:t>Apri</w:t>
            </w:r>
            <w:r w:rsidR="000622A0">
              <w:t>l</w:t>
            </w:r>
            <w:r>
              <w:t xml:space="preserve"> to </w:t>
            </w:r>
            <w:proofErr w:type="spellStart"/>
            <w:r>
              <w:t>June</w:t>
            </w:r>
            <w:proofErr w:type="spellEnd"/>
          </w:p>
          <w:p w14:paraId="1F5C7ED0" w14:textId="77777777" w:rsidR="00C756DD" w:rsidRDefault="00C756DD" w:rsidP="004936EF">
            <w:pPr>
              <w:pStyle w:val="Txtjourne"/>
              <w:ind w:right="113"/>
              <w:jc w:val="right"/>
              <w:rPr>
                <w:snapToGrid w:val="0"/>
              </w:rPr>
            </w:pPr>
            <w:proofErr w:type="spellStart"/>
            <w:r>
              <w:t>Year</w:t>
            </w:r>
            <w:proofErr w:type="spellEnd"/>
            <w:r>
              <w:t xml:space="preserve"> 2</w:t>
            </w:r>
          </w:p>
        </w:tc>
        <w:tc>
          <w:tcPr>
            <w:tcW w:w="5443" w:type="dxa"/>
            <w:shd w:val="clear" w:color="auto" w:fill="auto"/>
          </w:tcPr>
          <w:p w14:paraId="3A79BF0A" w14:textId="77777777" w:rsidR="00C756DD" w:rsidRPr="004936EF" w:rsidRDefault="00C756DD" w:rsidP="004936EF">
            <w:pPr>
              <w:pStyle w:val="Txtjourne"/>
              <w:ind w:right="113"/>
              <w:jc w:val="both"/>
              <w:rPr>
                <w:lang w:val="en-US"/>
              </w:rPr>
            </w:pPr>
            <w:r w:rsidRPr="00837079">
              <w:rPr>
                <w:color w:val="000000"/>
                <w:szCs w:val="22"/>
                <w:lang w:val="en-GB"/>
              </w:rPr>
              <w:t>Meetings for final evaluation by the Consultative Body.</w:t>
            </w:r>
          </w:p>
          <w:p w14:paraId="6BA2B56D" w14:textId="68A7C64B" w:rsidR="00C756DD" w:rsidRPr="0063086E" w:rsidRDefault="00C756DD" w:rsidP="004936EF">
            <w:pPr>
              <w:pStyle w:val="Txtjourne"/>
              <w:ind w:right="113"/>
              <w:jc w:val="both"/>
              <w:rPr>
                <w:i/>
                <w:lang w:val="en-US"/>
              </w:rPr>
            </w:pPr>
            <w:r w:rsidRPr="0063086E">
              <w:rPr>
                <w:i/>
                <w:color w:val="000000"/>
                <w:szCs w:val="22"/>
                <w:lang w:val="en-GB"/>
              </w:rPr>
              <w:t>(</w:t>
            </w:r>
            <w:r w:rsidRPr="00217A97">
              <w:rPr>
                <w:i/>
                <w:color w:val="000000"/>
                <w:szCs w:val="22"/>
                <w:lang w:val="en-GB"/>
              </w:rPr>
              <w:t>Note</w:t>
            </w:r>
            <w:r w:rsidRPr="0063086E">
              <w:rPr>
                <w:i/>
                <w:color w:val="000000"/>
                <w:szCs w:val="22"/>
                <w:lang w:val="en-GB"/>
              </w:rPr>
              <w:t xml:space="preserve">: States Parties have the right to withdraw their requests </w:t>
            </w:r>
            <w:r w:rsidRPr="0063086E">
              <w:rPr>
                <w:rStyle w:val="hps"/>
                <w:i/>
                <w:lang w:val="en"/>
              </w:rPr>
              <w:t>until the</w:t>
            </w:r>
            <w:r w:rsidRPr="0063086E">
              <w:rPr>
                <w:i/>
                <w:lang w:val="en"/>
              </w:rPr>
              <w:t xml:space="preserve"> </w:t>
            </w:r>
            <w:r w:rsidRPr="0063086E">
              <w:rPr>
                <w:rStyle w:val="hps"/>
                <w:i/>
                <w:lang w:val="en"/>
              </w:rPr>
              <w:t>corresponding</w:t>
            </w:r>
            <w:r w:rsidRPr="0063086E">
              <w:rPr>
                <w:i/>
                <w:lang w:val="en"/>
              </w:rPr>
              <w:t xml:space="preserve"> </w:t>
            </w:r>
            <w:r w:rsidRPr="0063086E">
              <w:rPr>
                <w:rStyle w:val="hps"/>
                <w:i/>
                <w:lang w:val="en"/>
              </w:rPr>
              <w:t>agenda item</w:t>
            </w:r>
            <w:r w:rsidRPr="0063086E">
              <w:rPr>
                <w:i/>
                <w:lang w:val="en"/>
              </w:rPr>
              <w:t xml:space="preserve"> </w:t>
            </w:r>
            <w:r w:rsidRPr="0063086E">
              <w:rPr>
                <w:rStyle w:val="hps"/>
                <w:i/>
                <w:lang w:val="en"/>
              </w:rPr>
              <w:t>is</w:t>
            </w:r>
            <w:r w:rsidRPr="0063086E">
              <w:rPr>
                <w:i/>
                <w:lang w:val="en"/>
              </w:rPr>
              <w:t xml:space="preserve"> </w:t>
            </w:r>
            <w:r w:rsidRPr="0063086E">
              <w:rPr>
                <w:rStyle w:val="hps"/>
                <w:i/>
                <w:lang w:val="en"/>
              </w:rPr>
              <w:t>opened during the session of the Intergovernmental Committee by its Chairperson</w:t>
            </w:r>
            <w:r w:rsidRPr="0063086E">
              <w:rPr>
                <w:i/>
                <w:color w:val="000000"/>
                <w:szCs w:val="22"/>
                <w:lang w:val="en-GB"/>
              </w:rPr>
              <w:t>)</w:t>
            </w:r>
          </w:p>
        </w:tc>
      </w:tr>
      <w:tr w:rsidR="00C756DD" w14:paraId="43247B8F" w14:textId="77777777" w:rsidTr="004936EF">
        <w:tc>
          <w:tcPr>
            <w:tcW w:w="1701" w:type="dxa"/>
            <w:shd w:val="clear" w:color="auto" w:fill="auto"/>
          </w:tcPr>
          <w:p w14:paraId="7B2BFB27" w14:textId="77777777" w:rsidR="00C756DD" w:rsidRPr="004936EF" w:rsidRDefault="00C756DD" w:rsidP="004936EF">
            <w:pPr>
              <w:pStyle w:val="Txtjourne"/>
              <w:ind w:right="113"/>
              <w:rPr>
                <w:lang w:val="en-US"/>
              </w:rPr>
            </w:pPr>
          </w:p>
        </w:tc>
        <w:tc>
          <w:tcPr>
            <w:tcW w:w="1701" w:type="dxa"/>
            <w:shd w:val="clear" w:color="auto" w:fill="auto"/>
          </w:tcPr>
          <w:p w14:paraId="614EFEE7" w14:textId="77777777" w:rsidR="00C756DD" w:rsidRPr="004936EF" w:rsidRDefault="00C756DD" w:rsidP="004936EF">
            <w:pPr>
              <w:pStyle w:val="Txtjourne"/>
              <w:ind w:right="113"/>
              <w:jc w:val="right"/>
              <w:rPr>
                <w:lang w:val="en-US"/>
              </w:rPr>
            </w:pPr>
            <w:r w:rsidRPr="004936EF">
              <w:rPr>
                <w:lang w:val="en-US"/>
              </w:rPr>
              <w:t xml:space="preserve">Four Weeks </w:t>
            </w:r>
            <w:r w:rsidRPr="00837079">
              <w:rPr>
                <w:color w:val="000000"/>
                <w:szCs w:val="22"/>
                <w:lang w:val="en-GB"/>
              </w:rPr>
              <w:t>prior to the session of the Committee</w:t>
            </w:r>
          </w:p>
        </w:tc>
        <w:tc>
          <w:tcPr>
            <w:tcW w:w="5443" w:type="dxa"/>
            <w:shd w:val="clear" w:color="auto" w:fill="auto"/>
          </w:tcPr>
          <w:p w14:paraId="2E95C7F3" w14:textId="77777777" w:rsidR="00C756DD" w:rsidRPr="004936EF" w:rsidRDefault="00C756DD" w:rsidP="004936EF">
            <w:pPr>
              <w:pStyle w:val="Txtjourne"/>
              <w:ind w:right="113"/>
              <w:jc w:val="both"/>
              <w:rPr>
                <w:lang w:val="en-US"/>
              </w:rPr>
            </w:pPr>
            <w:r w:rsidRPr="00837079">
              <w:rPr>
                <w:color w:val="000000"/>
                <w:szCs w:val="22"/>
                <w:lang w:val="en-GB"/>
              </w:rPr>
              <w:t>The files and evaluation reports are made available online for consultation by members of the Committee and other States Parties.</w:t>
            </w:r>
          </w:p>
        </w:tc>
      </w:tr>
      <w:tr w:rsidR="00C756DD" w:rsidRPr="00837079" w14:paraId="2786A4F5" w14:textId="77777777" w:rsidTr="004936EF">
        <w:tc>
          <w:tcPr>
            <w:tcW w:w="1701" w:type="dxa"/>
            <w:shd w:val="clear" w:color="auto" w:fill="auto"/>
          </w:tcPr>
          <w:p w14:paraId="69A50552" w14:textId="307F37D9" w:rsidR="00C756DD" w:rsidRDefault="00C8068F" w:rsidP="004936EF">
            <w:pPr>
              <w:pStyle w:val="Txtjourne"/>
              <w:ind w:right="113"/>
              <w:rPr>
                <w:snapToGrid w:val="0"/>
              </w:rPr>
            </w:pPr>
            <w:r>
              <w:rPr>
                <w:color w:val="000000"/>
                <w:szCs w:val="22"/>
                <w:lang w:val="en-GB"/>
              </w:rPr>
              <w:t>OD </w:t>
            </w:r>
            <w:r w:rsidR="00C756DD" w:rsidRPr="00837079">
              <w:rPr>
                <w:color w:val="000000"/>
                <w:szCs w:val="22"/>
                <w:lang w:val="en-GB"/>
              </w:rPr>
              <w:t>56</w:t>
            </w:r>
          </w:p>
        </w:tc>
        <w:tc>
          <w:tcPr>
            <w:tcW w:w="1701" w:type="dxa"/>
            <w:shd w:val="clear" w:color="auto" w:fill="auto"/>
          </w:tcPr>
          <w:p w14:paraId="7ACA1BF6" w14:textId="77777777" w:rsidR="00C756DD" w:rsidRDefault="00C756DD" w:rsidP="004936EF">
            <w:pPr>
              <w:pStyle w:val="Txtjourne"/>
              <w:ind w:right="113"/>
              <w:jc w:val="right"/>
              <w:rPr>
                <w:snapToGrid w:val="0"/>
              </w:rPr>
            </w:pPr>
            <w:r w:rsidRPr="00837079">
              <w:rPr>
                <w:color w:val="000000"/>
                <w:szCs w:val="22"/>
                <w:lang w:val="en-GB"/>
              </w:rPr>
              <w:t>Phase 3:</w:t>
            </w:r>
          </w:p>
        </w:tc>
        <w:tc>
          <w:tcPr>
            <w:tcW w:w="5443" w:type="dxa"/>
            <w:shd w:val="clear" w:color="auto" w:fill="auto"/>
          </w:tcPr>
          <w:p w14:paraId="369FB244" w14:textId="77777777" w:rsidR="00C756DD" w:rsidRDefault="00C756DD" w:rsidP="004936EF">
            <w:pPr>
              <w:pStyle w:val="Txtjourne"/>
              <w:ind w:right="113"/>
              <w:jc w:val="both"/>
              <w:rPr>
                <w:snapToGrid w:val="0"/>
              </w:rPr>
            </w:pPr>
            <w:proofErr w:type="spellStart"/>
            <w:r>
              <w:t>Examination</w:t>
            </w:r>
            <w:proofErr w:type="spellEnd"/>
          </w:p>
        </w:tc>
      </w:tr>
      <w:tr w:rsidR="00C756DD" w14:paraId="1425844D" w14:textId="77777777" w:rsidTr="004936EF">
        <w:tc>
          <w:tcPr>
            <w:tcW w:w="1701" w:type="dxa"/>
            <w:shd w:val="clear" w:color="auto" w:fill="auto"/>
          </w:tcPr>
          <w:p w14:paraId="73732511" w14:textId="77777777" w:rsidR="00C756DD" w:rsidRDefault="00C756DD" w:rsidP="004936EF">
            <w:pPr>
              <w:pStyle w:val="Txtjourne"/>
              <w:ind w:right="113"/>
              <w:rPr>
                <w:snapToGrid w:val="0"/>
              </w:rPr>
            </w:pPr>
          </w:p>
        </w:tc>
        <w:tc>
          <w:tcPr>
            <w:tcW w:w="1701" w:type="dxa"/>
            <w:shd w:val="clear" w:color="auto" w:fill="auto"/>
          </w:tcPr>
          <w:p w14:paraId="2361E3C1" w14:textId="77777777" w:rsidR="00C756DD" w:rsidRDefault="00C756DD" w:rsidP="004936EF">
            <w:pPr>
              <w:pStyle w:val="Txtjourne"/>
              <w:ind w:right="113"/>
              <w:jc w:val="right"/>
              <w:rPr>
                <w:snapToGrid w:val="0"/>
              </w:rPr>
            </w:pPr>
            <w:proofErr w:type="spellStart"/>
            <w:r>
              <w:t>November</w:t>
            </w:r>
            <w:proofErr w:type="spellEnd"/>
            <w:r w:rsidR="00CA5A0E">
              <w:br/>
            </w:r>
            <w:proofErr w:type="spellStart"/>
            <w:r>
              <w:t>Year</w:t>
            </w:r>
            <w:proofErr w:type="spellEnd"/>
            <w:r>
              <w:t xml:space="preserve"> 2</w:t>
            </w:r>
          </w:p>
        </w:tc>
        <w:tc>
          <w:tcPr>
            <w:tcW w:w="5443" w:type="dxa"/>
            <w:shd w:val="clear" w:color="auto" w:fill="auto"/>
          </w:tcPr>
          <w:p w14:paraId="7D6B3036" w14:textId="77777777" w:rsidR="00C756DD" w:rsidRPr="004936EF" w:rsidRDefault="00C756DD" w:rsidP="004936EF">
            <w:pPr>
              <w:pStyle w:val="Txtjourne"/>
              <w:ind w:right="113"/>
              <w:jc w:val="both"/>
              <w:rPr>
                <w:lang w:val="en-US"/>
              </w:rPr>
            </w:pPr>
            <w:r w:rsidRPr="004936EF">
              <w:rPr>
                <w:lang w:val="en-US"/>
              </w:rPr>
              <w:t>The Committee examines the requests and makes decisions</w:t>
            </w:r>
          </w:p>
        </w:tc>
      </w:tr>
    </w:tbl>
    <w:p w14:paraId="4C678C7E" w14:textId="5BEBD09D" w:rsidR="00CA5A0E" w:rsidRDefault="007C2925" w:rsidP="004936EF">
      <w:pPr>
        <w:pStyle w:val="Heading6"/>
        <w:rPr>
          <w:lang w:val="en-GB"/>
        </w:rPr>
      </w:pPr>
      <w:proofErr w:type="gramStart"/>
      <w:r w:rsidRPr="00141792">
        <w:rPr>
          <w:lang w:val="en-GB"/>
        </w:rPr>
        <w:t xml:space="preserve">Slide </w:t>
      </w:r>
      <w:r w:rsidR="00CC42A1">
        <w:rPr>
          <w:lang w:val="en-GB"/>
        </w:rPr>
        <w:t>13</w:t>
      </w:r>
      <w:r w:rsidR="00CA5A0E" w:rsidRPr="00141792">
        <w:rPr>
          <w:lang w:val="en-GB"/>
        </w:rPr>
        <w:t>.</w:t>
      </w:r>
      <w:proofErr w:type="gramEnd"/>
    </w:p>
    <w:p w14:paraId="3B85A061" w14:textId="1F7D9509" w:rsidR="00284531" w:rsidRPr="00141792" w:rsidRDefault="00284531" w:rsidP="004936EF">
      <w:pPr>
        <w:pStyle w:val="diapo2"/>
        <w:rPr>
          <w:lang w:val="en-GB"/>
        </w:rPr>
      </w:pPr>
      <w:r w:rsidRPr="00141792">
        <w:rPr>
          <w:lang w:val="en-GB"/>
        </w:rPr>
        <w:t>Evaluation criteria for in</w:t>
      </w:r>
      <w:r w:rsidR="003332B0">
        <w:rPr>
          <w:lang w:val="en-GB"/>
        </w:rPr>
        <w:t>ternational assistance requests</w:t>
      </w:r>
    </w:p>
    <w:p w14:paraId="10668494" w14:textId="0BD15727" w:rsidR="00FE741F" w:rsidRPr="004936EF" w:rsidRDefault="00553832"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CD3DF7">
        <w:rPr>
          <w:lang w:val="en-GB"/>
        </w:rPr>
        <w:t>Unit </w:t>
      </w:r>
      <w:r w:rsidR="00465447">
        <w:rPr>
          <w:lang w:val="en-GB"/>
        </w:rPr>
        <w:t>12</w:t>
      </w:r>
      <w:r w:rsidR="00FE741F" w:rsidRPr="00141792">
        <w:rPr>
          <w:lang w:val="en-GB"/>
        </w:rPr>
        <w:t>.8</w:t>
      </w:r>
      <w:r w:rsidR="00404E76" w:rsidRPr="00141792">
        <w:rPr>
          <w:lang w:val="en-GB"/>
        </w:rPr>
        <w:t>.</w:t>
      </w:r>
    </w:p>
    <w:p w14:paraId="47F8E55A" w14:textId="55A2ED48" w:rsidR="0087429F" w:rsidRDefault="007C2925" w:rsidP="004936EF">
      <w:pPr>
        <w:pStyle w:val="Heading6"/>
      </w:pPr>
      <w:proofErr w:type="gramStart"/>
      <w:r w:rsidRPr="00141792">
        <w:t>Slide</w:t>
      </w:r>
      <w:proofErr w:type="gramEnd"/>
      <w:r w:rsidRPr="00141792">
        <w:t xml:space="preserve"> </w:t>
      </w:r>
      <w:r w:rsidR="00CC42A1">
        <w:t>14</w:t>
      </w:r>
      <w:r w:rsidR="0087429F" w:rsidRPr="00141792">
        <w:t>.</w:t>
      </w:r>
    </w:p>
    <w:p w14:paraId="32838164" w14:textId="77777777" w:rsidR="00284531" w:rsidRPr="00AB0A71" w:rsidRDefault="00553832" w:rsidP="004936EF">
      <w:pPr>
        <w:pStyle w:val="diapo2"/>
        <w:rPr>
          <w:lang w:val="en-US"/>
        </w:rPr>
      </w:pPr>
      <w:r w:rsidRPr="00AB0A71">
        <w:rPr>
          <w:lang w:val="en-US"/>
        </w:rPr>
        <w:t>How requests are prioritized</w:t>
      </w:r>
      <w:r w:rsidR="005E4629" w:rsidRPr="00AB0A71">
        <w:rPr>
          <w:lang w:val="en-US"/>
        </w:rPr>
        <w:t xml:space="preserve"> </w:t>
      </w:r>
    </w:p>
    <w:p w14:paraId="7A07AF0B" w14:textId="7635B7B6" w:rsidR="00FE741F" w:rsidRPr="004936EF" w:rsidRDefault="00D57EFB" w:rsidP="009909DD">
      <w:pPr>
        <w:pStyle w:val="Texte1"/>
        <w:rPr>
          <w:lang w:val="en-US"/>
        </w:rPr>
      </w:pPr>
      <w:r w:rsidRPr="00141792">
        <w:rPr>
          <w:lang w:val="en-GB"/>
        </w:rPr>
        <w:t xml:space="preserve">See </w:t>
      </w:r>
      <w:r w:rsidR="00F02D08">
        <w:rPr>
          <w:lang w:val="en-GB"/>
        </w:rPr>
        <w:t>Participant’s</w:t>
      </w:r>
      <w:r w:rsidR="002A3923">
        <w:rPr>
          <w:lang w:val="en-GB"/>
        </w:rPr>
        <w:t xml:space="preserve"> text </w:t>
      </w:r>
      <w:r w:rsidR="00CD3DF7">
        <w:rPr>
          <w:lang w:val="en-GB"/>
        </w:rPr>
        <w:t>Unit </w:t>
      </w:r>
      <w:r w:rsidR="00465447">
        <w:rPr>
          <w:lang w:val="en-GB"/>
        </w:rPr>
        <w:t>12</w:t>
      </w:r>
      <w:r w:rsidR="00FE741F" w:rsidRPr="00141792">
        <w:rPr>
          <w:lang w:val="en-GB"/>
        </w:rPr>
        <w:t>.8</w:t>
      </w:r>
      <w:r w:rsidR="00DB6FD6" w:rsidRPr="00141792">
        <w:rPr>
          <w:lang w:val="en-GB"/>
        </w:rPr>
        <w:t>.</w:t>
      </w:r>
    </w:p>
    <w:p w14:paraId="13D33169" w14:textId="77777777" w:rsidR="0016251C" w:rsidRPr="004936EF" w:rsidRDefault="0016251C" w:rsidP="004936EF">
      <w:pPr>
        <w:pStyle w:val="Soustitre"/>
        <w:rPr>
          <w:caps/>
          <w:lang w:val="en-GB"/>
        </w:rPr>
      </w:pPr>
      <w:bookmarkStart w:id="15" w:name="_Toc238982279"/>
      <w:r w:rsidRPr="004936EF">
        <w:rPr>
          <w:lang w:val="en-US"/>
        </w:rPr>
        <w:t>Note on when prioritizations come into effect</w:t>
      </w:r>
      <w:bookmarkEnd w:id="15"/>
    </w:p>
    <w:p w14:paraId="281B38BA" w14:textId="77777777" w:rsidR="00284531" w:rsidRPr="004936EF" w:rsidRDefault="00FE741F" w:rsidP="009909DD">
      <w:pPr>
        <w:pStyle w:val="Texte1"/>
        <w:rPr>
          <w:lang w:val="en-US"/>
        </w:rPr>
      </w:pPr>
      <w:r w:rsidRPr="00141792">
        <w:rPr>
          <w:lang w:val="en-GB"/>
        </w:rPr>
        <w:t>I</w:t>
      </w:r>
      <w:r w:rsidR="00284531" w:rsidRPr="00141792">
        <w:rPr>
          <w:lang w:val="en-GB"/>
        </w:rPr>
        <w:t xml:space="preserve">t should be noted that prioritizations only come into effect when the requests for assistance exceed the capacity of the </w:t>
      </w:r>
      <w:r w:rsidR="00FA1BAD" w:rsidRPr="00141792">
        <w:rPr>
          <w:lang w:val="en-GB"/>
        </w:rPr>
        <w:t>ICH F</w:t>
      </w:r>
      <w:r w:rsidR="00284531" w:rsidRPr="00141792">
        <w:rPr>
          <w:lang w:val="en-GB"/>
        </w:rPr>
        <w:t>und, which is not currently the case.</w:t>
      </w:r>
    </w:p>
    <w:p w14:paraId="375BF829" w14:textId="00289641" w:rsidR="00075939" w:rsidRPr="004936EF" w:rsidRDefault="00C8068F" w:rsidP="004936EF">
      <w:pPr>
        <w:pStyle w:val="DO"/>
        <w:rPr>
          <w:lang w:val="en-US"/>
        </w:rPr>
      </w:pPr>
      <w:r>
        <w:rPr>
          <w:lang w:val="en-US"/>
        </w:rPr>
        <w:t>OD </w:t>
      </w:r>
      <w:r w:rsidR="00075939" w:rsidRPr="004936EF">
        <w:rPr>
          <w:lang w:val="en-US"/>
        </w:rPr>
        <w:t>10</w:t>
      </w:r>
      <w:r w:rsidR="00075939" w:rsidRPr="004936EF">
        <w:rPr>
          <w:lang w:val="en-US"/>
        </w:rPr>
        <w:tab/>
        <w:t xml:space="preserve">When evaluating requests for international assistance, the Committee shall take into account the principle of equitable geographical distribution and the special needs of developing countries. The Committee may also take into account whether: </w:t>
      </w:r>
    </w:p>
    <w:p w14:paraId="5E4C0666" w14:textId="77777777" w:rsidR="00075939" w:rsidRPr="004936EF" w:rsidRDefault="00075939" w:rsidP="004936EF">
      <w:pPr>
        <w:pStyle w:val="DOa"/>
        <w:rPr>
          <w:lang w:val="en-US"/>
        </w:rPr>
      </w:pPr>
      <w:r w:rsidRPr="004936EF">
        <w:rPr>
          <w:lang w:val="en-US"/>
        </w:rPr>
        <w:t>(a)</w:t>
      </w:r>
      <w:r w:rsidRPr="004936EF">
        <w:rPr>
          <w:lang w:val="en-US"/>
        </w:rPr>
        <w:tab/>
      </w:r>
      <w:proofErr w:type="gramStart"/>
      <w:r w:rsidRPr="004936EF">
        <w:rPr>
          <w:lang w:val="en-US"/>
        </w:rPr>
        <w:t>the</w:t>
      </w:r>
      <w:proofErr w:type="gramEnd"/>
      <w:r w:rsidRPr="004936EF">
        <w:rPr>
          <w:lang w:val="en-US"/>
        </w:rPr>
        <w:t xml:space="preserve"> request implies cooperation at the bilateral, regional or international levels; and/or</w:t>
      </w:r>
    </w:p>
    <w:p w14:paraId="259E582A" w14:textId="77777777" w:rsidR="00075939" w:rsidRPr="004936EF" w:rsidRDefault="00075939" w:rsidP="004936EF">
      <w:pPr>
        <w:pStyle w:val="DOa"/>
        <w:rPr>
          <w:lang w:val="en-US"/>
        </w:rPr>
      </w:pPr>
      <w:r w:rsidRPr="004936EF">
        <w:rPr>
          <w:lang w:val="en-US"/>
        </w:rPr>
        <w:t>(b)</w:t>
      </w:r>
      <w:r w:rsidRPr="004936EF">
        <w:rPr>
          <w:lang w:val="en-US"/>
        </w:rPr>
        <w:tab/>
      </w:r>
      <w:proofErr w:type="gramStart"/>
      <w:r w:rsidRPr="004936EF">
        <w:rPr>
          <w:lang w:val="en-US"/>
        </w:rPr>
        <w:t>the</w:t>
      </w:r>
      <w:proofErr w:type="gramEnd"/>
      <w:r w:rsidRPr="004936EF">
        <w:rPr>
          <w:lang w:val="en-US"/>
        </w:rPr>
        <w:t xml:space="preserve"> assistance may have a multiplier effect and may stimulate financial and technical contributions from other sources.</w:t>
      </w:r>
    </w:p>
    <w:p w14:paraId="1FD8CD98" w14:textId="77777777" w:rsidR="00284531" w:rsidRPr="0063086E" w:rsidRDefault="00284531" w:rsidP="0063086E">
      <w:pPr>
        <w:pStyle w:val="Soustitre"/>
        <w:rPr>
          <w:lang w:val="en-US"/>
        </w:rPr>
      </w:pPr>
      <w:r w:rsidRPr="0063086E">
        <w:rPr>
          <w:lang w:val="en-US"/>
        </w:rPr>
        <w:t>Exercise</w:t>
      </w:r>
      <w:r w:rsidR="00C34BC4" w:rsidRPr="0063086E">
        <w:rPr>
          <w:lang w:val="en-US"/>
        </w:rPr>
        <w:t xml:space="preserve"> (30 mins): </w:t>
      </w:r>
      <w:r w:rsidR="00AE671E" w:rsidRPr="0063086E">
        <w:rPr>
          <w:lang w:val="en-US"/>
        </w:rPr>
        <w:t xml:space="preserve">questions about </w:t>
      </w:r>
      <w:r w:rsidR="00C34BC4" w:rsidRPr="0063086E">
        <w:rPr>
          <w:lang w:val="en-US"/>
        </w:rPr>
        <w:t>applying for funding</w:t>
      </w:r>
    </w:p>
    <w:p w14:paraId="193E0FE7" w14:textId="2FCB505D" w:rsidR="0099521F" w:rsidRDefault="00A569A2" w:rsidP="003332B0">
      <w:pPr>
        <w:pStyle w:val="Texte1"/>
        <w:rPr>
          <w:lang w:val="en-GB"/>
        </w:rPr>
      </w:pPr>
      <w:r>
        <w:rPr>
          <w:noProof/>
          <w:kern w:val="28"/>
          <w:lang w:val="es-ES_tradnl" w:eastAsia="es-ES_tradnl"/>
        </w:rPr>
        <w:drawing>
          <wp:anchor distT="0" distB="0" distL="114300" distR="114300" simplePos="0" relativeHeight="251681792" behindDoc="0" locked="0" layoutInCell="1" allowOverlap="1" wp14:anchorId="6C96A5EF" wp14:editId="4FF16E56">
            <wp:simplePos x="0" y="0"/>
            <wp:positionH relativeFrom="column">
              <wp:posOffset>1905</wp:posOffset>
            </wp:positionH>
            <wp:positionV relativeFrom="paragraph">
              <wp:posOffset>27305</wp:posOffset>
            </wp:positionV>
            <wp:extent cx="294640" cy="347345"/>
            <wp:effectExtent l="0" t="0" r="0" b="0"/>
            <wp:wrapNone/>
            <wp:docPr id="2"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2AE" w:rsidRPr="00141792">
        <w:rPr>
          <w:lang w:val="en-GB"/>
        </w:rPr>
        <w:t xml:space="preserve">If time permits and participants are interested, </w:t>
      </w:r>
      <w:r w:rsidR="00FA1BAD" w:rsidRPr="00141792">
        <w:rPr>
          <w:lang w:val="en-GB"/>
        </w:rPr>
        <w:t xml:space="preserve">they could </w:t>
      </w:r>
      <w:r w:rsidR="003302AE" w:rsidRPr="00141792">
        <w:rPr>
          <w:lang w:val="en-GB"/>
        </w:rPr>
        <w:t xml:space="preserve">now </w:t>
      </w:r>
      <w:r w:rsidR="00FA1BAD" w:rsidRPr="00141792">
        <w:rPr>
          <w:lang w:val="en-GB"/>
        </w:rPr>
        <w:t>be given the</w:t>
      </w:r>
      <w:r w:rsidR="003302AE" w:rsidRPr="00141792">
        <w:rPr>
          <w:lang w:val="en-GB"/>
        </w:rPr>
        <w:t xml:space="preserve"> opportunity to read and discuss the forms for international assistance. The facilitator should not engage with the participants in discussions about filling in a form to request funding for a specific activity.</w:t>
      </w:r>
    </w:p>
    <w:sectPr w:rsidR="0099521F" w:rsidSect="009B3A94">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22E24C44" w:rsidR="00044005" w:rsidRDefault="00044005" w:rsidP="004936EF">
    <w:pPr>
      <w:pStyle w:val="Footer"/>
    </w:pPr>
    <w:r w:rsidRPr="002A3923">
      <w:rPr>
        <w:noProof/>
        <w:lang w:val="es-ES_tradnl" w:eastAsia="es-ES_tradnl"/>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0099521F" w:rsidRPr="0099521F">
      <w:t xml:space="preserve"> </w:t>
    </w:r>
    <w:r w:rsidR="0099521F">
      <w:t>U012-v1.</w:t>
    </w:r>
    <w:proofErr w:type="gramStart"/>
    <w:r w:rsidR="0099521F">
      <w:t>0-FN-EN</w:t>
    </w:r>
    <w:proofErr w:type="gramEnd"/>
  </w:p>
  <w:p w14:paraId="43055D74" w14:textId="77777777"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5E949B60" w:rsidR="00044005" w:rsidRPr="007D60D5" w:rsidRDefault="0099521F">
    <w:pPr>
      <w:pStyle w:val="Footer"/>
    </w:pPr>
    <w:r>
      <w:t>U012-v1.</w:t>
    </w:r>
    <w:proofErr w:type="gramStart"/>
    <w:r>
      <w:t>0-FN-EN</w:t>
    </w:r>
    <w:proofErr w:type="gramEnd"/>
    <w:r w:rsidR="00044005">
      <w:tab/>
      <w:t xml:space="preserve">© UNESCO • </w:t>
    </w:r>
    <w:proofErr w:type="spellStart"/>
    <w:r w:rsidR="00044005">
      <w:t>Not</w:t>
    </w:r>
    <w:proofErr w:type="spellEnd"/>
    <w:r w:rsidR="00044005">
      <w:t xml:space="preserve"> to be </w:t>
    </w:r>
    <w:proofErr w:type="spellStart"/>
    <w:r w:rsidR="00044005">
      <w:t>reproduced</w:t>
    </w:r>
    <w:proofErr w:type="spellEnd"/>
    <w:r w:rsidR="00044005">
      <w:t xml:space="preserve"> </w:t>
    </w:r>
    <w:proofErr w:type="spellStart"/>
    <w:r w:rsidR="00044005">
      <w:t>without</w:t>
    </w:r>
    <w:proofErr w:type="spellEnd"/>
    <w:r w:rsidR="00044005">
      <w:t xml:space="preserve"> </w:t>
    </w:r>
    <w:proofErr w:type="spellStart"/>
    <w:r w:rsidR="00044005">
      <w:t>permission</w:t>
    </w:r>
    <w:proofErr w:type="spellEnd"/>
    <w:r w:rsidR="00044005">
      <w:tab/>
    </w:r>
    <w:r w:rsidR="00044005" w:rsidRPr="005B7AFC">
      <w:rPr>
        <w:noProof/>
        <w:lang w:val="es-ES_tradnl" w:eastAsia="es-ES_tradnl"/>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E02F" w14:textId="4749EA8D" w:rsidR="00044005" w:rsidRPr="0099521F" w:rsidRDefault="0099521F" w:rsidP="0099521F">
    <w:pPr>
      <w:pStyle w:val="Footer"/>
    </w:pPr>
    <w:r>
      <w:t>U012-v1.</w:t>
    </w:r>
    <w:proofErr w:type="gramStart"/>
    <w:r>
      <w:t>0-FN-EN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776000" behindDoc="0" locked="1" layoutInCell="1" allowOverlap="0" wp14:anchorId="663B2406" wp14:editId="05E1ECE6">
          <wp:simplePos x="0" y="0"/>
          <wp:positionH relativeFrom="margin">
            <wp:posOffset>4681855</wp:posOffset>
          </wp:positionH>
          <wp:positionV relativeFrom="margin">
            <wp:posOffset>8641080</wp:posOffset>
          </wp:positionV>
          <wp:extent cx="942975" cy="538480"/>
          <wp:effectExtent l="0" t="0" r="0" b="0"/>
          <wp:wrapSquare wrapText="bothSides"/>
          <wp:docPr id="35" name="Imag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 w:id="1">
    <w:p w14:paraId="64B224BD" w14:textId="69CD9524" w:rsidR="00044005" w:rsidRPr="003332B0" w:rsidRDefault="00044005" w:rsidP="003332B0">
      <w:pPr>
        <w:pStyle w:val="FootnoteText"/>
      </w:pPr>
      <w:r w:rsidRPr="003332B0">
        <w:rPr>
          <w:rStyle w:val="FootnoteReference"/>
          <w:vertAlign w:val="baseline"/>
        </w:rPr>
        <w:footnoteRef/>
      </w:r>
      <w:r w:rsidRPr="003332B0">
        <w:t>.</w:t>
      </w:r>
      <w:r w:rsidRPr="003332B0">
        <w:tab/>
      </w:r>
      <w:r w:rsidR="00A23602" w:rsidRPr="003332B0">
        <w:t>Frequently referred to as the ‘Intangible Heritage Convention’, the ‘2003 Convention’ and, for the purpose of this Unit, simply the ‘Convention’.</w:t>
      </w:r>
    </w:p>
  </w:footnote>
  <w:footnote w:id="2">
    <w:p w14:paraId="1A103AC2" w14:textId="69D00D29" w:rsidR="00081E9D" w:rsidRPr="003332B0" w:rsidRDefault="00081E9D" w:rsidP="003332B0">
      <w:pPr>
        <w:pStyle w:val="FootnoteText"/>
      </w:pPr>
      <w:r w:rsidRPr="003332B0">
        <w:rPr>
          <w:rStyle w:val="FootnoteReference"/>
          <w:vertAlign w:val="baseline"/>
        </w:rPr>
        <w:footnoteRef/>
      </w:r>
      <w:r w:rsidR="003332B0">
        <w:t>.</w:t>
      </w:r>
      <w:r w:rsidR="003332B0">
        <w:tab/>
      </w:r>
      <w:proofErr w:type="gramStart"/>
      <w:r w:rsidR="005378DF" w:rsidRPr="00A73D26">
        <w:t>UNESCO</w:t>
      </w:r>
      <w:r w:rsidR="005378DF">
        <w:t>.</w:t>
      </w:r>
      <w:proofErr w:type="gramEnd"/>
      <w:r w:rsidR="005378DF" w:rsidRPr="00A73D26">
        <w:t xml:space="preserve"> </w:t>
      </w:r>
      <w:r w:rsidR="005378DF" w:rsidRPr="00FB172C">
        <w:rPr>
          <w:i/>
        </w:rPr>
        <w:t>Basic Texts of the 2003 Convention for the Safeguarding of the Intangible Cultural Heritage</w:t>
      </w:r>
      <w:r w:rsidR="005378DF" w:rsidRPr="00A73D26">
        <w:t xml:space="preserve"> (referred to in this unit as Basic Texts)</w:t>
      </w:r>
      <w:r w:rsidR="005378DF">
        <w:t>.</w:t>
      </w:r>
      <w:r w:rsidR="005378DF" w:rsidRPr="00A73D26">
        <w:t xml:space="preserve"> Paris,</w:t>
      </w:r>
      <w:r w:rsidR="005378DF">
        <w:t xml:space="preserve"> UNESCO</w:t>
      </w:r>
      <w:r w:rsidR="005378DF" w:rsidRPr="00A73D26">
        <w:t xml:space="preserve">. </w:t>
      </w:r>
      <w:proofErr w:type="gramStart"/>
      <w:r w:rsidR="005378DF" w:rsidRPr="00A73D26">
        <w:t xml:space="preserve">Available at </w:t>
      </w:r>
      <w:hyperlink r:id="rId1" w:history="1">
        <w:r w:rsidR="005378DF" w:rsidRPr="00FB172C">
          <w:rPr>
            <w:rStyle w:val="Hyperlink"/>
            <w:color w:val="auto"/>
            <w:u w:val="none"/>
          </w:rPr>
          <w:t>http://www.unesco.org/culture/ich/index.php?lg=en&amp;pg=00026</w:t>
        </w:r>
      </w:hyperlink>
      <w:r w:rsidR="005378DF" w:rsidRPr="00A73D26">
        <w:t>.</w:t>
      </w:r>
      <w:proofErr w:type="gramEnd"/>
    </w:p>
  </w:footnote>
  <w:footnote w:id="3">
    <w:p w14:paraId="753D798A" w14:textId="68829B76" w:rsidR="00044005" w:rsidRPr="003332B0" w:rsidRDefault="00044005" w:rsidP="003332B0">
      <w:pPr>
        <w:pStyle w:val="FootnoteText"/>
      </w:pPr>
      <w:r w:rsidRPr="003332B0">
        <w:rPr>
          <w:rStyle w:val="FootnoteReference"/>
          <w:vertAlign w:val="baseline"/>
        </w:rPr>
        <w:footnoteRef/>
      </w:r>
      <w:r w:rsidRPr="003332B0">
        <w:t>.</w:t>
      </w:r>
      <w:r w:rsidRPr="003332B0">
        <w:tab/>
        <w:t>Background Paper for UNESCO meeting, ‘Intangible Heritage beyond Borders: Safeguarding through International Cooperation’, Bangkok, 20 and 21 July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60904F72" w:rsidR="00044005" w:rsidRDefault="00044005">
    <w:pPr>
      <w:pStyle w:val="Header"/>
    </w:pPr>
    <w:r>
      <w:rPr>
        <w:rStyle w:val="PageNumber"/>
      </w:rPr>
      <w:fldChar w:fldCharType="begin"/>
    </w:r>
    <w:r>
      <w:rPr>
        <w:rStyle w:val="PageNumber"/>
      </w:rPr>
      <w:instrText xml:space="preserve"> PAGE </w:instrText>
    </w:r>
    <w:r>
      <w:rPr>
        <w:rStyle w:val="PageNumber"/>
      </w:rPr>
      <w:fldChar w:fldCharType="separate"/>
    </w:r>
    <w:r w:rsidR="00C6223C">
      <w:rPr>
        <w:rStyle w:val="PageNumber"/>
        <w:noProof/>
      </w:rPr>
      <w:t>2</w:t>
    </w:r>
    <w:r>
      <w:rPr>
        <w:rStyle w:val="PageNumber"/>
      </w:rPr>
      <w:fldChar w:fldCharType="end"/>
    </w:r>
    <w:r>
      <w:rPr>
        <w:rStyle w:val="PageNumber"/>
      </w:rPr>
      <w:tab/>
    </w:r>
    <w:r w:rsidR="0099521F">
      <w:t xml:space="preserve">Unit 12: International </w:t>
    </w:r>
    <w:proofErr w:type="spellStart"/>
    <w:r w:rsidR="0099521F">
      <w:t>cooperation</w:t>
    </w:r>
    <w:proofErr w:type="spellEnd"/>
    <w:r w:rsidR="0099521F">
      <w:t xml:space="preserve"> and </w:t>
    </w:r>
    <w:proofErr w:type="spellStart"/>
    <w:r w:rsidR="0099521F">
      <w:t>assistance</w:t>
    </w:r>
    <w:proofErr w:type="spellEnd"/>
    <w:r w:rsidR="0099521F">
      <w:rPr>
        <w:rStyle w:val="PageNumber"/>
      </w:rPr>
      <w:tab/>
    </w:r>
    <w:proofErr w:type="spellStart"/>
    <w:r w:rsidR="0099521F">
      <w:rPr>
        <w:rStyle w:val="PageNumber"/>
      </w:rPr>
      <w:t>Facilitator’s</w:t>
    </w:r>
    <w:proofErr w:type="spellEnd"/>
    <w:r w:rsidR="0099521F">
      <w:rPr>
        <w:rStyle w:val="PageNumber"/>
      </w:rPr>
      <w:t xml:space="preserve"> 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2D4DF5FA" w:rsidR="00044005" w:rsidRPr="004A4AD6" w:rsidRDefault="0099521F" w:rsidP="00D25BBB">
    <w:pPr>
      <w:pStyle w:val="Header"/>
    </w:pPr>
    <w:proofErr w:type="spellStart"/>
    <w:r>
      <w:t>Facilitator’s</w:t>
    </w:r>
    <w:proofErr w:type="spellEnd"/>
    <w:r>
      <w:t xml:space="preserve"> notes</w:t>
    </w:r>
    <w:r>
      <w:tab/>
      <w:t xml:space="preserve">Unit 12: International </w:t>
    </w:r>
    <w:proofErr w:type="spellStart"/>
    <w:r>
      <w:t>cooperation</w:t>
    </w:r>
    <w:proofErr w:type="spellEnd"/>
    <w:r>
      <w:t xml:space="preserve"> and </w:t>
    </w:r>
    <w:proofErr w:type="spellStart"/>
    <w:r>
      <w:t>assistance</w:t>
    </w:r>
    <w:proofErr w:type="spellEnd"/>
    <w:r w:rsidDel="006831F2">
      <w:rPr>
        <w:rStyle w:val="PageNumber"/>
      </w:rPr>
      <w:t xml:space="preserve"> </w:t>
    </w:r>
    <w:r w:rsidR="00044005">
      <w:tab/>
    </w:r>
    <w:r w:rsidR="00044005">
      <w:rPr>
        <w:rStyle w:val="PageNumber"/>
      </w:rPr>
      <w:fldChar w:fldCharType="begin"/>
    </w:r>
    <w:r w:rsidR="00044005">
      <w:rPr>
        <w:rStyle w:val="PageNumber"/>
      </w:rPr>
      <w:instrText xml:space="preserve"> PAGE </w:instrText>
    </w:r>
    <w:r w:rsidR="00044005">
      <w:rPr>
        <w:rStyle w:val="PageNumber"/>
      </w:rPr>
      <w:fldChar w:fldCharType="separate"/>
    </w:r>
    <w:r w:rsidR="00C6223C">
      <w:rPr>
        <w:rStyle w:val="PageNumber"/>
        <w:noProof/>
      </w:rPr>
      <w:t>3</w:t>
    </w:r>
    <w:r w:rsidR="00044005">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579592AE" w:rsidR="00044005" w:rsidRPr="0099521F" w:rsidRDefault="0099521F">
    <w:pPr>
      <w:pStyle w:val="Header"/>
    </w:pPr>
    <w:r>
      <w:tab/>
    </w:r>
    <w:proofErr w:type="spellStart"/>
    <w:r>
      <w:t>Facilitator’s</w:t>
    </w:r>
    <w:proofErr w:type="spellEnd"/>
    <w:r>
      <w:t xml:space="preserve">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32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1E9D"/>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5CB"/>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55B"/>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4E9C"/>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D7FDE"/>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2B0"/>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0F8F"/>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6C9A"/>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0CC1"/>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187"/>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1F5B"/>
    <w:rsid w:val="004926BE"/>
    <w:rsid w:val="00492DB8"/>
    <w:rsid w:val="004935C2"/>
    <w:rsid w:val="004936EF"/>
    <w:rsid w:val="004937B2"/>
    <w:rsid w:val="00493C8B"/>
    <w:rsid w:val="00493E97"/>
    <w:rsid w:val="004942AE"/>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0A"/>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6FE"/>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8DF"/>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9F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1E8"/>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9C"/>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86E"/>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08"/>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6A"/>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779E8"/>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21F"/>
    <w:rsid w:val="0099536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602"/>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2"/>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2A2"/>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64"/>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23C"/>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68F"/>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9FA"/>
    <w:rsid w:val="00CC4200"/>
    <w:rsid w:val="00CC42A1"/>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DF7"/>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563"/>
    <w:rsid w:val="00D87EE7"/>
    <w:rsid w:val="00D87FC2"/>
    <w:rsid w:val="00D900E5"/>
    <w:rsid w:val="00D90650"/>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0D"/>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39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0EF1"/>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8D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2E46"/>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sco.org/culture/ich/index.php?lg=en&amp;pg=00011&amp;RL=00849" TargetMode="External"/><Relationship Id="rId18" Type="http://schemas.openxmlformats.org/officeDocument/2006/relationships/footer" Target="footer1.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nesco.org/culture/ich/index.php?lg=en&amp;pg=00011&amp;RL=0089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026"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AA19-D75D-47D0-9FE4-AD0D06748CBC}">
  <ds:schemaRefs>
    <ds:schemaRef ds:uri="http://schemas.openxmlformats.org/officeDocument/2006/bibliography"/>
  </ds:schemaRefs>
</ds:datastoreItem>
</file>

<file path=customXml/itemProps2.xml><?xml version="1.0" encoding="utf-8"?>
<ds:datastoreItem xmlns:ds="http://schemas.openxmlformats.org/officeDocument/2006/customXml" ds:itemID="{ACCA22C6-08C4-4881-A4C2-67513377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4708</Words>
  <Characters>25900</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30547</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2014-07-23T13:31:00Z</dcterms:created>
  <dcterms:modified xsi:type="dcterms:W3CDTF">2015-09-30T08:40:00Z</dcterms:modified>
</cp:coreProperties>
</file>