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727EF" w14:textId="317BDAF6" w:rsidR="00B9709E" w:rsidRDefault="00861557" w:rsidP="00406030">
      <w:pPr>
        <w:pStyle w:val="Chapitre"/>
      </w:pPr>
      <w:bookmarkStart w:id="0" w:name="_Toc301443384"/>
      <w:bookmarkStart w:id="1" w:name="_Toc321407027"/>
      <w:bookmarkStart w:id="2" w:name="_Toc354486651"/>
      <w:bookmarkStart w:id="3" w:name="_Toc354486957"/>
      <w:bookmarkStart w:id="4" w:name="_Toc247360248"/>
      <w:r>
        <w:t xml:space="preserve">UnitÉ </w:t>
      </w:r>
      <w:r w:rsidR="00785367">
        <w:t>10</w:t>
      </w:r>
    </w:p>
    <w:p w14:paraId="24B142B8" w14:textId="778BEC46" w:rsidR="004325DC" w:rsidRDefault="00C10A1F" w:rsidP="00406030">
      <w:pPr>
        <w:pStyle w:val="Chapitre"/>
      </w:pPr>
      <w:bookmarkStart w:id="5" w:name="_Toc238963280"/>
      <w:bookmarkStart w:id="6" w:name="_Toc241065166"/>
      <w:r w:rsidRPr="00556D69">
        <w:t xml:space="preserve">Politiques et institutions du </w:t>
      </w:r>
      <w:bookmarkEnd w:id="0"/>
      <w:bookmarkEnd w:id="1"/>
      <w:bookmarkEnd w:id="2"/>
      <w:bookmarkEnd w:id="3"/>
      <w:bookmarkEnd w:id="5"/>
      <w:bookmarkEnd w:id="6"/>
      <w:r w:rsidR="00A85270" w:rsidRPr="00FC06E9">
        <w:t>PCI</w:t>
      </w:r>
      <w:r w:rsidR="001D13FF" w:rsidRPr="00D10237">
        <w:rPr>
          <w:rStyle w:val="FootnoteReference"/>
          <w:sz w:val="70"/>
        </w:rPr>
        <w:footnoteReference w:id="1"/>
      </w:r>
      <w:bookmarkEnd w:id="4"/>
    </w:p>
    <w:p w14:paraId="3F5955D3" w14:textId="2EACBE15" w:rsidR="004325DC" w:rsidRDefault="00D65E8C" w:rsidP="000C41FA">
      <w:pPr>
        <w:pStyle w:val="Sschap"/>
      </w:pPr>
      <w:r w:rsidRPr="00150FFB">
        <w:rPr>
          <w:rFonts w:hint="eastAsia"/>
        </w:rPr>
        <w:t xml:space="preserve">La </w:t>
      </w:r>
      <w:r w:rsidR="00D32C21" w:rsidRPr="00150FFB">
        <w:rPr>
          <w:rFonts w:hint="eastAsia"/>
        </w:rPr>
        <w:t>pr</w:t>
      </w:r>
      <w:r w:rsidR="00D32C21">
        <w:t>é</w:t>
      </w:r>
      <w:r w:rsidRPr="00150FFB">
        <w:rPr>
          <w:rFonts w:hint="eastAsia"/>
        </w:rPr>
        <w:t xml:space="preserve">sente </w:t>
      </w:r>
      <w:r w:rsidR="00D32C21" w:rsidRPr="00150FFB">
        <w:rPr>
          <w:rFonts w:hint="eastAsia"/>
        </w:rPr>
        <w:t>unit</w:t>
      </w:r>
      <w:r w:rsidR="00D32C21">
        <w:t>é</w:t>
      </w:r>
      <w:r w:rsidR="00D32C21" w:rsidRPr="00150FFB">
        <w:rPr>
          <w:rFonts w:hint="eastAsia"/>
        </w:rPr>
        <w:t xml:space="preserve"> </w:t>
      </w:r>
      <w:r w:rsidR="00C10A1F" w:rsidRPr="00150FFB">
        <w:rPr>
          <w:rFonts w:hint="eastAsia"/>
        </w:rPr>
        <w:t xml:space="preserve">montre comment la </w:t>
      </w:r>
      <w:r w:rsidR="00A85270">
        <w:t>Convention pour la sauvegarde du patrimoine culturel immatériel</w:t>
      </w:r>
      <w:r w:rsidR="00A85270" w:rsidRPr="00D10237">
        <w:rPr>
          <w:rStyle w:val="FootnoteReference"/>
          <w:sz w:val="24"/>
        </w:rPr>
        <w:footnoteReference w:id="2"/>
      </w:r>
      <w:r w:rsidR="00A85270" w:rsidRPr="00150FFB" w:rsidDel="00A85270">
        <w:rPr>
          <w:rFonts w:hint="eastAsia"/>
        </w:rPr>
        <w:t xml:space="preserve"> </w:t>
      </w:r>
      <w:r w:rsidR="00C10A1F" w:rsidRPr="00150FFB">
        <w:rPr>
          <w:rFonts w:hint="eastAsia"/>
        </w:rPr>
        <w:t xml:space="preserve">et les </w:t>
      </w:r>
      <w:r w:rsidR="001D13FF">
        <w:t>Directives opérationnelles (</w:t>
      </w:r>
      <w:r w:rsidR="00461004" w:rsidRPr="00150FFB">
        <w:rPr>
          <w:rFonts w:hint="eastAsia"/>
        </w:rPr>
        <w:t>DO</w:t>
      </w:r>
      <w:r w:rsidR="001D13FF">
        <w:t>)</w:t>
      </w:r>
      <w:r w:rsidR="00A85270">
        <w:t xml:space="preserve"> </w:t>
      </w:r>
      <w:r w:rsidR="00D32C21" w:rsidRPr="00150FFB">
        <w:rPr>
          <w:rFonts w:hint="eastAsia"/>
        </w:rPr>
        <w:t>sugg</w:t>
      </w:r>
      <w:r w:rsidR="00D32C21">
        <w:t>è</w:t>
      </w:r>
      <w:r w:rsidR="00C10A1F" w:rsidRPr="00150FFB">
        <w:rPr>
          <w:rFonts w:hint="eastAsia"/>
        </w:rPr>
        <w:t xml:space="preserve">rent que des mesures juridiques, techniques, administratives et </w:t>
      </w:r>
      <w:r w:rsidR="00D32C21" w:rsidRPr="00150FFB">
        <w:rPr>
          <w:rFonts w:hint="eastAsia"/>
        </w:rPr>
        <w:t>financi</w:t>
      </w:r>
      <w:r w:rsidR="00D32C21">
        <w:t>è</w:t>
      </w:r>
      <w:r w:rsidR="00D32C21" w:rsidRPr="00150FFB">
        <w:rPr>
          <w:rFonts w:hint="eastAsia"/>
        </w:rPr>
        <w:t xml:space="preserve">res </w:t>
      </w:r>
      <w:r w:rsidR="00C10A1F" w:rsidRPr="00150FFB">
        <w:rPr>
          <w:rFonts w:hint="eastAsia"/>
        </w:rPr>
        <w:t xml:space="preserve">prises aux niveaux local, national et international peuvent aider </w:t>
      </w:r>
      <w:r w:rsidR="00D32C21">
        <w:t>à</w:t>
      </w:r>
      <w:r w:rsidR="00D32C21" w:rsidRPr="00150FFB">
        <w:rPr>
          <w:rFonts w:hint="eastAsia"/>
        </w:rPr>
        <w:t xml:space="preserve"> </w:t>
      </w:r>
      <w:r w:rsidR="00C10A1F" w:rsidRPr="00150FFB">
        <w:rPr>
          <w:rFonts w:hint="eastAsia"/>
        </w:rPr>
        <w:t xml:space="preserve">faciliter la mise en </w:t>
      </w:r>
      <w:r w:rsidR="00D32C21">
        <w:t>œuvre</w:t>
      </w:r>
      <w:r w:rsidR="00C10A1F" w:rsidRPr="00150FFB">
        <w:rPr>
          <w:rFonts w:hint="eastAsia"/>
        </w:rPr>
        <w:t xml:space="preserve"> de la Convention au niveau national. </w:t>
      </w:r>
      <w:r w:rsidR="00C10A1F" w:rsidRPr="00556D69">
        <w:t>Les sujets traités portent sur</w:t>
      </w:r>
      <w:r w:rsidR="00EA1FE1" w:rsidRPr="00556D69">
        <w:t> :</w:t>
      </w:r>
    </w:p>
    <w:p w14:paraId="613E5658" w14:textId="0BD67C3D" w:rsidR="004325DC" w:rsidRDefault="00EE1902" w:rsidP="00150FFB">
      <w:pPr>
        <w:pStyle w:val="Txtchap"/>
      </w:pPr>
      <w:r w:rsidRPr="00556D69">
        <w:t xml:space="preserve">Ce </w:t>
      </w:r>
      <w:r w:rsidR="00C10A1F" w:rsidRPr="00556D69">
        <w:t>que recommande la Convention</w:t>
      </w:r>
      <w:r>
        <w:t>.</w:t>
      </w:r>
    </w:p>
    <w:p w14:paraId="2F834DE1" w14:textId="3E68F0E6" w:rsidR="004325DC" w:rsidRDefault="00EE1902" w:rsidP="00150FFB">
      <w:pPr>
        <w:pStyle w:val="Txtchap"/>
      </w:pPr>
      <w:r w:rsidRPr="00556D69">
        <w:t xml:space="preserve">Les </w:t>
      </w:r>
      <w:r w:rsidR="00C10A1F" w:rsidRPr="00556D69">
        <w:t>politiques et les mesures locales</w:t>
      </w:r>
      <w:r>
        <w:t>.</w:t>
      </w:r>
    </w:p>
    <w:p w14:paraId="5B4F7765" w14:textId="5AEE7EFF" w:rsidR="004325DC" w:rsidRDefault="00EE1902" w:rsidP="00150FFB">
      <w:pPr>
        <w:pStyle w:val="Txtchap"/>
      </w:pPr>
      <w:r w:rsidRPr="00556D69">
        <w:t xml:space="preserve">Les </w:t>
      </w:r>
      <w:r w:rsidR="00C10A1F" w:rsidRPr="00556D69">
        <w:t>politiques et les mesures nationales</w:t>
      </w:r>
      <w:r>
        <w:t>.</w:t>
      </w:r>
      <w:r w:rsidR="00DB6DE5" w:rsidRPr="00DB6DE5">
        <w:rPr>
          <w:noProof/>
          <w:lang w:eastAsia="fr-FR"/>
        </w:rPr>
        <w:t xml:space="preserve"> </w:t>
      </w:r>
      <w:r w:rsidR="00DB6DE5">
        <w:rPr>
          <w:noProof/>
          <w:lang w:eastAsia="fr-FR"/>
        </w:rPr>
        <w:drawing>
          <wp:anchor distT="0" distB="0" distL="114300" distR="114300" simplePos="0" relativeHeight="251907584" behindDoc="1" locked="1" layoutInCell="1" allowOverlap="0" wp14:anchorId="59A8CA33" wp14:editId="183D7FC0">
            <wp:simplePos x="0" y="0"/>
            <wp:positionH relativeFrom="margin">
              <wp:posOffset>360045</wp:posOffset>
            </wp:positionH>
            <wp:positionV relativeFrom="margin">
              <wp:posOffset>1800225</wp:posOffset>
            </wp:positionV>
            <wp:extent cx="4870411" cy="4498145"/>
            <wp:effectExtent l="0" t="0" r="6985" b="0"/>
            <wp:wrapNone/>
            <wp:docPr id="234" name="Imag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p>
    <w:p w14:paraId="12A4428C" w14:textId="0A8AD581" w:rsidR="004325DC" w:rsidRDefault="00EE1902" w:rsidP="00150FFB">
      <w:pPr>
        <w:pStyle w:val="Txtchap"/>
      </w:pPr>
      <w:r w:rsidRPr="00556D69">
        <w:t xml:space="preserve">Les </w:t>
      </w:r>
      <w:r w:rsidR="00C10A1F" w:rsidRPr="00556D69">
        <w:t>cadres institutionnels</w:t>
      </w:r>
      <w:r>
        <w:t>.</w:t>
      </w:r>
    </w:p>
    <w:p w14:paraId="4299BB11" w14:textId="3345D9B3" w:rsidR="004325DC" w:rsidRDefault="00EE1902" w:rsidP="00150FFB">
      <w:pPr>
        <w:pStyle w:val="Txtchap"/>
      </w:pPr>
      <w:r w:rsidRPr="00556D69">
        <w:t xml:space="preserve">La </w:t>
      </w:r>
      <w:r w:rsidR="00C10A1F" w:rsidRPr="00556D69">
        <w:t>protection des droits de la propriété intellectuelle à l</w:t>
      </w:r>
      <w:r w:rsidR="00A61E6D">
        <w:t>’</w:t>
      </w:r>
      <w:r w:rsidR="00C10A1F" w:rsidRPr="00556D69">
        <w:t>échelon national</w:t>
      </w:r>
      <w:r>
        <w:t>.</w:t>
      </w:r>
    </w:p>
    <w:p w14:paraId="1EAA5C96" w14:textId="77777777" w:rsidR="004325DC" w:rsidRDefault="00EE1902" w:rsidP="00150FFB">
      <w:pPr>
        <w:pStyle w:val="Txtchap"/>
      </w:pPr>
      <w:r w:rsidRPr="00556D69">
        <w:t xml:space="preserve">Le </w:t>
      </w:r>
      <w:r w:rsidR="00C10A1F" w:rsidRPr="00556D69">
        <w:t>contexte international.</w:t>
      </w:r>
    </w:p>
    <w:p w14:paraId="08AE9F11" w14:textId="1F2C3AE6" w:rsidR="004325DC" w:rsidRDefault="00C10A1F" w:rsidP="00150FFB">
      <w:pPr>
        <w:pStyle w:val="Chapinfo"/>
      </w:pPr>
      <w:r w:rsidRPr="00556D69">
        <w:t xml:space="preserve">Rubriques pertinentes </w:t>
      </w:r>
      <w:r w:rsidR="00D65E8C">
        <w:t xml:space="preserve">dans </w:t>
      </w:r>
      <w:r w:rsidR="00DB6DE5">
        <w:t xml:space="preserve">le </w:t>
      </w:r>
      <w:r w:rsidR="00646D3D">
        <w:t>Texte du participant</w:t>
      </w:r>
      <w:r w:rsidR="001E73A9">
        <w:t xml:space="preserve"> de l’</w:t>
      </w:r>
      <w:r w:rsidR="00DB6DE5">
        <w:t>Unité 3</w:t>
      </w:r>
      <w:r w:rsidR="00EA1FE1" w:rsidRPr="00556D69">
        <w:t> :</w:t>
      </w:r>
      <w:r w:rsidR="00043DFF" w:rsidRPr="00556D69">
        <w:t xml:space="preserve"> « </w:t>
      </w:r>
      <w:r w:rsidRPr="00556D69">
        <w:t>Propriété intellectuelle</w:t>
      </w:r>
      <w:r w:rsidR="00043DFF" w:rsidRPr="00556D69">
        <w:t xml:space="preserve"> » </w:t>
      </w:r>
      <w:r w:rsidRPr="00556D69">
        <w:t>et</w:t>
      </w:r>
      <w:r w:rsidR="00043DFF" w:rsidRPr="00556D69">
        <w:t xml:space="preserve"> « </w:t>
      </w:r>
      <w:r w:rsidRPr="00556D69">
        <w:t xml:space="preserve">international, régional, </w:t>
      </w:r>
      <w:proofErr w:type="spellStart"/>
      <w:r w:rsidRPr="00556D69">
        <w:t>sous-régional</w:t>
      </w:r>
      <w:proofErr w:type="spellEnd"/>
      <w:r w:rsidRPr="00556D69">
        <w:t>, local</w:t>
      </w:r>
      <w:r w:rsidR="00461004" w:rsidRPr="00556D69">
        <w:t> ».</w:t>
      </w:r>
    </w:p>
    <w:p w14:paraId="4618DC1A" w14:textId="40821189" w:rsidR="00DE4E32" w:rsidRDefault="00C10A1F">
      <w:pPr>
        <w:pStyle w:val="Chapinfo"/>
      </w:pPr>
      <w:r w:rsidRPr="00556D69">
        <w:t xml:space="preserve">On peut trouver des exemples qui illustrent </w:t>
      </w:r>
      <w:r w:rsidR="008D5B4A">
        <w:t>cette unité</w:t>
      </w:r>
      <w:r w:rsidRPr="00556D69">
        <w:t xml:space="preserve"> dans </w:t>
      </w:r>
      <w:r w:rsidR="00DB6DE5">
        <w:t xml:space="preserve">les </w:t>
      </w:r>
      <w:r w:rsidR="00D65E8C">
        <w:t>É</w:t>
      </w:r>
      <w:r w:rsidR="00D65E8C" w:rsidRPr="00556D69">
        <w:t xml:space="preserve">tudes </w:t>
      </w:r>
      <w:r w:rsidRPr="00556D69">
        <w:t>de cas 1</w:t>
      </w:r>
      <w:r w:rsidR="00D65E8C">
        <w:t xml:space="preserve"> </w:t>
      </w:r>
      <w:r w:rsidRPr="00556D69">
        <w:t>et 28</w:t>
      </w:r>
      <w:r w:rsidR="00D32C21">
        <w:t xml:space="preserve"> à </w:t>
      </w:r>
      <w:r w:rsidRPr="00556D69">
        <w:t>32.</w:t>
      </w:r>
    </w:p>
    <w:p w14:paraId="58E77AC0" w14:textId="77777777" w:rsidR="00DE4E32" w:rsidRDefault="00DE4E32">
      <w:pPr>
        <w:keepNext w:val="0"/>
        <w:tabs>
          <w:tab w:val="clear" w:pos="567"/>
        </w:tabs>
        <w:snapToGrid/>
        <w:spacing w:line="240" w:lineRule="auto"/>
        <w:ind w:left="0"/>
        <w:jc w:val="left"/>
        <w:rPr>
          <w:i/>
          <w:iCs/>
          <w:color w:val="3366FF"/>
          <w:sz w:val="24"/>
          <w:szCs w:val="24"/>
        </w:rPr>
      </w:pPr>
      <w:r>
        <w:br w:type="page"/>
      </w:r>
    </w:p>
    <w:p w14:paraId="348BFF42" w14:textId="70C53DD0" w:rsidR="004325DC" w:rsidRDefault="001D39F7" w:rsidP="004A78E2">
      <w:pPr>
        <w:pStyle w:val="Titcoul"/>
        <w:spacing w:before="0"/>
      </w:pPr>
      <w:bookmarkStart w:id="7" w:name="_Toc238963281"/>
      <w:bookmarkStart w:id="8" w:name="_Toc241065167"/>
      <w:bookmarkStart w:id="9" w:name="_Toc301443385"/>
      <w:bookmarkStart w:id="10" w:name="_Toc321407028"/>
      <w:bookmarkStart w:id="11" w:name="_Toc354486652"/>
      <w:bookmarkStart w:id="12" w:name="_Toc354486958"/>
      <w:bookmarkStart w:id="13" w:name="_Toc247360249"/>
      <w:r>
        <w:lastRenderedPageBreak/>
        <w:t>10</w:t>
      </w:r>
      <w:r w:rsidR="00C10A1F" w:rsidRPr="00556D69">
        <w:t>.1</w:t>
      </w:r>
      <w:bookmarkEnd w:id="7"/>
      <w:bookmarkEnd w:id="8"/>
      <w:r w:rsidR="0022235D">
        <w:tab/>
      </w:r>
      <w:bookmarkStart w:id="14" w:name="_Toc238963282"/>
      <w:bookmarkStart w:id="15" w:name="_Toc241065168"/>
      <w:r w:rsidR="008A7E01" w:rsidRPr="00556D69">
        <w:t xml:space="preserve">Dispositions </w:t>
      </w:r>
      <w:r w:rsidR="00C10A1F" w:rsidRPr="00556D69">
        <w:t>de la Convention</w:t>
      </w:r>
      <w:bookmarkEnd w:id="9"/>
      <w:bookmarkEnd w:id="10"/>
      <w:bookmarkEnd w:id="11"/>
      <w:bookmarkEnd w:id="12"/>
      <w:bookmarkEnd w:id="13"/>
      <w:bookmarkEnd w:id="14"/>
      <w:bookmarkEnd w:id="15"/>
    </w:p>
    <w:p w14:paraId="79CC653C" w14:textId="0DA77425" w:rsidR="004325DC" w:rsidRDefault="00C10A1F" w:rsidP="00914287">
      <w:pPr>
        <w:pStyle w:val="Texte1"/>
      </w:pPr>
      <w:r w:rsidRPr="00556D69">
        <w:t xml:space="preserve">La Convention et ses </w:t>
      </w:r>
      <w:r w:rsidR="00461004" w:rsidRPr="00556D69">
        <w:t>DO </w:t>
      </w:r>
      <w:r w:rsidRPr="00556D69">
        <w:t>préconisent fortement aux États parties d</w:t>
      </w:r>
      <w:r w:rsidR="00A61E6D">
        <w:t>’</w:t>
      </w:r>
      <w:r w:rsidRPr="00556D69">
        <w:t>essayer </w:t>
      </w:r>
      <w:r w:rsidR="00EA1FE1" w:rsidRPr="00556D69">
        <w:t>:</w:t>
      </w:r>
    </w:p>
    <w:p w14:paraId="31549BF8" w14:textId="3404E9D2" w:rsidR="004325DC" w:rsidRDefault="00EE1902" w:rsidP="00914287">
      <w:pPr>
        <w:pStyle w:val="Txtpucegras"/>
      </w:pPr>
      <w:r w:rsidRPr="00556D69">
        <w:rPr>
          <w:i/>
        </w:rPr>
        <w:t>D</w:t>
      </w:r>
      <w:r w:rsidR="00A61E6D">
        <w:rPr>
          <w:i/>
        </w:rPr>
        <w:t>’</w:t>
      </w:r>
      <w:r w:rsidRPr="00556D69">
        <w:rPr>
          <w:i/>
        </w:rPr>
        <w:t xml:space="preserve">adopter </w:t>
      </w:r>
      <w:r w:rsidR="00C10A1F" w:rsidRPr="00556D69">
        <w:rPr>
          <w:i/>
        </w:rPr>
        <w:t>des politiques</w:t>
      </w:r>
      <w:r w:rsidR="00C10A1F" w:rsidRPr="00556D69">
        <w:t xml:space="preserve"> pour s</w:t>
      </w:r>
      <w:r w:rsidR="00A61E6D">
        <w:t>’</w:t>
      </w:r>
      <w:r w:rsidR="00C10A1F" w:rsidRPr="00556D69">
        <w:t xml:space="preserve">assurer que le </w:t>
      </w:r>
      <w:r w:rsidR="00A85270">
        <w:t>patrimoine culturel immatériel (</w:t>
      </w:r>
      <w:r w:rsidR="00A85270" w:rsidRPr="00FC06E9">
        <w:t>PCI</w:t>
      </w:r>
      <w:r w:rsidR="00A85270">
        <w:t xml:space="preserve">) </w:t>
      </w:r>
      <w:r w:rsidR="00C10A1F" w:rsidRPr="00556D69">
        <w:t>sera sauvegardé selon l</w:t>
      </w:r>
      <w:r w:rsidR="00A61E6D">
        <w:t>’</w:t>
      </w:r>
      <w:r w:rsidR="00C10A1F" w:rsidRPr="00556D69">
        <w:t>esprit de la Convention et en conformité avec les codes d</w:t>
      </w:r>
      <w:r w:rsidR="00A61E6D">
        <w:t>’</w:t>
      </w:r>
      <w:r w:rsidR="00C10A1F" w:rsidRPr="00556D69">
        <w:t>éthique (</w:t>
      </w:r>
      <w:r w:rsidR="00043DFF" w:rsidRPr="00556D69">
        <w:t>article </w:t>
      </w:r>
      <w:r w:rsidR="00C10A1F" w:rsidRPr="00556D69">
        <w:t>13(a)</w:t>
      </w:r>
      <w:r w:rsidR="00EA1FE1" w:rsidRPr="00556D69">
        <w:t> ;</w:t>
      </w:r>
      <w:r w:rsidR="00C10A1F" w:rsidRPr="00556D69">
        <w:t xml:space="preserve"> les </w:t>
      </w:r>
      <w:r w:rsidR="00461004" w:rsidRPr="00556D69">
        <w:t>DO </w:t>
      </w:r>
      <w:r w:rsidR="00C10A1F" w:rsidRPr="00556D69">
        <w:t>105(d), 105(f) 105(g) et 107), dans le respect des pratiques coutumières qui régissent l</w:t>
      </w:r>
      <w:r w:rsidR="00A61E6D">
        <w:t>’</w:t>
      </w:r>
      <w:r w:rsidR="00C10A1F" w:rsidRPr="00556D69">
        <w:t>accès à des aspects spécifiques du PCI (</w:t>
      </w:r>
      <w:r w:rsidR="00043DFF" w:rsidRPr="00556D69">
        <w:t>article </w:t>
      </w:r>
      <w:r w:rsidR="00C10A1F" w:rsidRPr="00556D69">
        <w:t>13(d)(ii)) et avec le consentement et la participation des communautés aux affaires concernant leur PCI (</w:t>
      </w:r>
      <w:r w:rsidR="00043DFF" w:rsidRPr="00556D69">
        <w:t>article </w:t>
      </w:r>
      <w:r w:rsidR="00C10A1F" w:rsidRPr="00556D69">
        <w:t>15</w:t>
      </w:r>
      <w:r w:rsidR="00EA1FE1" w:rsidRPr="00556D69">
        <w:t> ;</w:t>
      </w:r>
      <w:r w:rsidR="00C10A1F" w:rsidRPr="00556D69">
        <w:t xml:space="preserve"> </w:t>
      </w:r>
      <w:r w:rsidR="00461004" w:rsidRPr="00556D69">
        <w:t>DO </w:t>
      </w:r>
      <w:r w:rsidR="00C10A1F" w:rsidRPr="00556D69">
        <w:t>79</w:t>
      </w:r>
      <w:r w:rsidR="00AB54CF">
        <w:t>-</w:t>
      </w:r>
      <w:r w:rsidR="00C10A1F" w:rsidRPr="00556D69">
        <w:t>89)</w:t>
      </w:r>
      <w:r>
        <w:t>.</w:t>
      </w:r>
    </w:p>
    <w:p w14:paraId="15F04599" w14:textId="0D29D399" w:rsidR="004325DC" w:rsidRDefault="00EE1902" w:rsidP="00914287">
      <w:pPr>
        <w:pStyle w:val="Txtpucegras"/>
      </w:pPr>
      <w:r w:rsidRPr="00556D69">
        <w:rPr>
          <w:i/>
        </w:rPr>
        <w:t>D</w:t>
      </w:r>
      <w:r w:rsidR="00A61E6D">
        <w:rPr>
          <w:i/>
        </w:rPr>
        <w:t>’</w:t>
      </w:r>
      <w:r w:rsidRPr="00556D69">
        <w:rPr>
          <w:i/>
        </w:rPr>
        <w:t xml:space="preserve">établir </w:t>
      </w:r>
      <w:r w:rsidR="00C10A1F" w:rsidRPr="00556D69">
        <w:rPr>
          <w:i/>
        </w:rPr>
        <w:t>ou de désigner des institutions</w:t>
      </w:r>
      <w:r w:rsidR="00C10A1F" w:rsidRPr="00556D69">
        <w:t xml:space="preserve"> </w:t>
      </w:r>
      <w:r w:rsidR="00C10A1F" w:rsidRPr="00556D69">
        <w:rPr>
          <w:i/>
        </w:rPr>
        <w:t xml:space="preserve">ou des organismes compétents </w:t>
      </w:r>
      <w:r w:rsidR="00C10A1F" w:rsidRPr="00556D69">
        <w:t>qui peuvent soutenir la sauvegarde du PCI, le renforcement des capacités (</w:t>
      </w:r>
      <w:r w:rsidR="00043DFF" w:rsidRPr="00556D69">
        <w:t>article </w:t>
      </w:r>
      <w:r w:rsidR="00C10A1F" w:rsidRPr="00556D69">
        <w:t>14</w:t>
      </w:r>
      <w:r w:rsidR="00EA1FE1" w:rsidRPr="00556D69">
        <w:t> ;</w:t>
      </w:r>
      <w:r w:rsidR="00C10A1F" w:rsidRPr="00556D69">
        <w:t xml:space="preserve"> </w:t>
      </w:r>
      <w:r w:rsidR="00461004" w:rsidRPr="00556D69">
        <w:t>DO </w:t>
      </w:r>
      <w:r w:rsidR="00C10A1F" w:rsidRPr="00556D69">
        <w:t>107), la réalisation d</w:t>
      </w:r>
      <w:r w:rsidR="00A61E6D">
        <w:t>’</w:t>
      </w:r>
      <w:r w:rsidR="00C10A1F" w:rsidRPr="00556D69">
        <w:t>inventaire (</w:t>
      </w:r>
      <w:r w:rsidR="00043DFF" w:rsidRPr="00556D69">
        <w:t>article </w:t>
      </w:r>
      <w:r w:rsidR="00C10A1F" w:rsidRPr="00556D69">
        <w:t>13(b) et 13(d)(i)</w:t>
      </w:r>
      <w:r w:rsidR="00EA1FE1" w:rsidRPr="00556D69">
        <w:t> ;</w:t>
      </w:r>
      <w:r w:rsidR="00C10A1F" w:rsidRPr="00556D69">
        <w:t xml:space="preserve"> les </w:t>
      </w:r>
      <w:r w:rsidR="00461004" w:rsidRPr="00556D69">
        <w:t>DO </w:t>
      </w:r>
      <w:r w:rsidR="00C10A1F" w:rsidRPr="00556D69">
        <w:t>80 et 82</w:t>
      </w:r>
      <w:r w:rsidR="00AB54CF">
        <w:t>-</w:t>
      </w:r>
      <w:r w:rsidR="00C10A1F" w:rsidRPr="00556D69">
        <w:t>83), la recherche (</w:t>
      </w:r>
      <w:r w:rsidR="00043DFF" w:rsidRPr="00556D69">
        <w:t>article </w:t>
      </w:r>
      <w:r w:rsidR="00C10A1F" w:rsidRPr="00556D69">
        <w:t>13(c)</w:t>
      </w:r>
      <w:r w:rsidR="00EA1FE1" w:rsidRPr="00556D69">
        <w:t> ;</w:t>
      </w:r>
      <w:r w:rsidR="00C10A1F" w:rsidRPr="00556D69">
        <w:t xml:space="preserve"> les </w:t>
      </w:r>
      <w:r w:rsidR="00461004" w:rsidRPr="00556D69">
        <w:t>DO </w:t>
      </w:r>
      <w:r w:rsidR="00C10A1F" w:rsidRPr="00556D69">
        <w:t>105(b), 105(c) et 107(k)), la documentation (</w:t>
      </w:r>
      <w:r w:rsidR="00043DFF" w:rsidRPr="00556D69">
        <w:t>article </w:t>
      </w:r>
      <w:r w:rsidR="00C10A1F" w:rsidRPr="00556D69">
        <w:t>13(d)(iii)</w:t>
      </w:r>
      <w:r w:rsidR="00EA1FE1" w:rsidRPr="00556D69">
        <w:t> ;</w:t>
      </w:r>
      <w:r w:rsidR="00C10A1F" w:rsidRPr="00556D69">
        <w:t xml:space="preserve"> la </w:t>
      </w:r>
      <w:r w:rsidR="00461004" w:rsidRPr="00556D69">
        <w:t>DO </w:t>
      </w:r>
      <w:r w:rsidR="00C10A1F" w:rsidRPr="00556D69">
        <w:t>85) et la sensibilisation (</w:t>
      </w:r>
      <w:r w:rsidR="00043DFF" w:rsidRPr="00556D69">
        <w:t>articles </w:t>
      </w:r>
      <w:r w:rsidR="00C10A1F" w:rsidRPr="00556D69">
        <w:t>1(b), 13(d)(iii), 1(c) et 14(a)</w:t>
      </w:r>
      <w:r w:rsidR="00EA1FE1" w:rsidRPr="00556D69">
        <w:t> ;</w:t>
      </w:r>
      <w:r w:rsidR="00C10A1F" w:rsidRPr="00556D69">
        <w:t xml:space="preserve"> </w:t>
      </w:r>
      <w:r w:rsidR="00461004" w:rsidRPr="00556D69">
        <w:t>DO </w:t>
      </w:r>
      <w:r w:rsidR="00C10A1F" w:rsidRPr="00556D69">
        <w:t>85, 105 et 107(b))</w:t>
      </w:r>
      <w:r>
        <w:t>.</w:t>
      </w:r>
    </w:p>
    <w:p w14:paraId="3DAAC384" w14:textId="1C1D076F" w:rsidR="004325DC" w:rsidRDefault="00EE1902" w:rsidP="00914287">
      <w:pPr>
        <w:pStyle w:val="Txtpucegras"/>
      </w:pPr>
      <w:r w:rsidRPr="00556D69">
        <w:rPr>
          <w:i/>
        </w:rPr>
        <w:t>D</w:t>
      </w:r>
      <w:r w:rsidR="00A61E6D">
        <w:rPr>
          <w:i/>
        </w:rPr>
        <w:t>’</w:t>
      </w:r>
      <w:r w:rsidRPr="00556D69">
        <w:rPr>
          <w:i/>
        </w:rPr>
        <w:t xml:space="preserve">encourager </w:t>
      </w:r>
      <w:r w:rsidR="00C10A1F" w:rsidRPr="00556D69">
        <w:rPr>
          <w:i/>
        </w:rPr>
        <w:t>la coordination</w:t>
      </w:r>
      <w:r w:rsidR="00C10A1F" w:rsidRPr="00556D69">
        <w:t xml:space="preserve"> entre tous les types d</w:t>
      </w:r>
      <w:r w:rsidR="00A61E6D">
        <w:t>’</w:t>
      </w:r>
      <w:r w:rsidR="00C10A1F" w:rsidRPr="00556D69">
        <w:t>acteurs engagés dans la sauvegarde et la promotion du PCI à l</w:t>
      </w:r>
      <w:r w:rsidR="00A61E6D">
        <w:t>’</w:t>
      </w:r>
      <w:r w:rsidR="00C10A1F" w:rsidRPr="00556D69">
        <w:t>échelon national (</w:t>
      </w:r>
      <w:r w:rsidR="00461004" w:rsidRPr="00556D69">
        <w:t>DO </w:t>
      </w:r>
      <w:r w:rsidR="00C10A1F" w:rsidRPr="00556D69">
        <w:t>79 et 83) et de faciliter la coopération sur le plan international (</w:t>
      </w:r>
      <w:r w:rsidR="00043DFF" w:rsidRPr="00556D69">
        <w:t>article </w:t>
      </w:r>
      <w:r w:rsidR="00C10A1F" w:rsidRPr="00556D69">
        <w:t>19</w:t>
      </w:r>
      <w:r w:rsidR="00EA1FE1" w:rsidRPr="00556D69">
        <w:t> ;</w:t>
      </w:r>
      <w:r w:rsidR="00C10A1F" w:rsidRPr="00556D69">
        <w:t xml:space="preserve"> </w:t>
      </w:r>
      <w:r w:rsidR="00461004" w:rsidRPr="00556D69">
        <w:t>DO </w:t>
      </w:r>
      <w:r w:rsidR="00C10A1F" w:rsidRPr="00556D69">
        <w:t>86 et 88).</w:t>
      </w:r>
    </w:p>
    <w:p w14:paraId="5B1B7CFD" w14:textId="55C12082" w:rsidR="004325DC" w:rsidRDefault="00C10A1F" w:rsidP="00DE4E32">
      <w:pPr>
        <w:pStyle w:val="Texte1"/>
        <w:tabs>
          <w:tab w:val="left" w:pos="2694"/>
        </w:tabs>
      </w:pPr>
      <w:r w:rsidRPr="00556D69">
        <w:t>Certains États parties à la Convention ont des systèmes juridiques et administratifs établis depuis des décennies afin de contribuer à la sauvegarde du PCI, bien avant que la Convention n</w:t>
      </w:r>
      <w:r w:rsidR="00A61E6D">
        <w:t>’</w:t>
      </w:r>
      <w:r w:rsidRPr="00556D69">
        <w:t>entre elle-même en vigueur. La législation du Japon sur la protection des biens culturels a établi dès 1950 un système de protection du PCI au niveau national. La loi de la République de Corée sur la protection du patrimoine culturel a introduit en 1962 un programme des Trésors humains vivants qui vise à la fois à promouvoir la reconnaissance et la transmission du PCI</w:t>
      </w:r>
      <w:r w:rsidR="00DE4E32" w:rsidRPr="00CF2C59">
        <w:rPr>
          <w:rStyle w:val="FootnoteReference"/>
          <w:sz w:val="20"/>
        </w:rPr>
        <w:footnoteReference w:id="3"/>
      </w:r>
      <w:r w:rsidRPr="00556D69">
        <w:t>. Les politiques, les lois, les institutions et les accords existants peuvent subir une adaptation ou, si nécessaire, une extension pour aider à mettre en œuvre la Convention, tout en continuant à exercer leurs autres fonctions.</w:t>
      </w:r>
    </w:p>
    <w:p w14:paraId="5C706D23" w14:textId="632334B4" w:rsidR="004325DC" w:rsidRDefault="001D39F7" w:rsidP="00EE1902">
      <w:pPr>
        <w:pStyle w:val="Titcoul"/>
      </w:pPr>
      <w:bookmarkStart w:id="16" w:name="_Toc238963283"/>
      <w:bookmarkStart w:id="17" w:name="_Toc241065169"/>
      <w:bookmarkStart w:id="18" w:name="_Toc301443386"/>
      <w:bookmarkStart w:id="19" w:name="_Toc321407029"/>
      <w:bookmarkStart w:id="20" w:name="_Toc354486653"/>
      <w:bookmarkStart w:id="21" w:name="_Toc354486959"/>
      <w:bookmarkStart w:id="22" w:name="_Toc247360250"/>
      <w:r>
        <w:t>10</w:t>
      </w:r>
      <w:r w:rsidR="00C10A1F" w:rsidRPr="00556D69">
        <w:t>.2</w:t>
      </w:r>
      <w:bookmarkEnd w:id="16"/>
      <w:bookmarkEnd w:id="17"/>
      <w:r w:rsidR="0022235D">
        <w:tab/>
      </w:r>
      <w:bookmarkStart w:id="23" w:name="_Toc238963284"/>
      <w:bookmarkStart w:id="24" w:name="_Toc241065170"/>
      <w:r w:rsidR="00C10A1F" w:rsidRPr="00556D69">
        <w:t>Un syst</w:t>
      </w:r>
      <w:r w:rsidR="00B3365B">
        <w:t>È</w:t>
      </w:r>
      <w:r w:rsidR="00C10A1F" w:rsidRPr="00556D69">
        <w:t xml:space="preserve">me </w:t>
      </w:r>
      <w:r w:rsidR="00B3365B">
        <w:t>À</w:t>
      </w:r>
      <w:r w:rsidR="00C10A1F" w:rsidRPr="00556D69">
        <w:t xml:space="preserve"> plusieurs niveaux</w:t>
      </w:r>
      <w:bookmarkEnd w:id="18"/>
      <w:bookmarkEnd w:id="19"/>
      <w:bookmarkEnd w:id="20"/>
      <w:bookmarkEnd w:id="21"/>
      <w:bookmarkEnd w:id="22"/>
      <w:bookmarkEnd w:id="23"/>
      <w:bookmarkEnd w:id="24"/>
    </w:p>
    <w:p w14:paraId="6017BAEB" w14:textId="58A9C205" w:rsidR="004325DC" w:rsidRDefault="00C10A1F" w:rsidP="00914287">
      <w:pPr>
        <w:pStyle w:val="Texte1"/>
      </w:pPr>
      <w:r w:rsidRPr="00556D69">
        <w:t>Le vaste contexte pour la sauvegarde du PCI sur le plan national peut être assuré par un système à plusieurs niveaux (identique à bien des égards à celui instauré dans bon nombre d</w:t>
      </w:r>
      <w:r w:rsidR="00A61E6D">
        <w:t>’</w:t>
      </w:r>
      <w:r w:rsidRPr="00556D69">
        <w:t>États pour le patrimoine matériel) qui comporte, par exemple, des mesures locales, provinciales et nationales interdépendantes. Un haut niveau de décentralisation administrative semble souvent donner satisfaction en matière de sauvegarde du PCI.</w:t>
      </w:r>
    </w:p>
    <w:p w14:paraId="096AB618" w14:textId="3B8AEDFD" w:rsidR="004325DC" w:rsidRDefault="001D39F7" w:rsidP="00914287">
      <w:pPr>
        <w:pStyle w:val="Texte1"/>
      </w:pPr>
      <w:r>
        <w:rPr>
          <w:noProof/>
          <w:lang w:eastAsia="fr-FR"/>
        </w:rPr>
        <w:drawing>
          <wp:anchor distT="0" distB="0" distL="114300" distR="114300" simplePos="0" relativeHeight="251909632" behindDoc="0" locked="1" layoutInCell="1" allowOverlap="0" wp14:anchorId="2C246234" wp14:editId="0291A489">
            <wp:simplePos x="0" y="0"/>
            <wp:positionH relativeFrom="column">
              <wp:posOffset>0</wp:posOffset>
            </wp:positionH>
            <wp:positionV relativeFrom="paragraph">
              <wp:posOffset>26035</wp:posOffset>
            </wp:positionV>
            <wp:extent cx="283210" cy="358775"/>
            <wp:effectExtent l="0" t="0" r="0" b="0"/>
            <wp:wrapThrough wrapText="bothSides">
              <wp:wrapPolygon edited="0">
                <wp:start x="0" y="0"/>
                <wp:lineTo x="0" y="19880"/>
                <wp:lineTo x="19372" y="19880"/>
                <wp:lineTo x="19372" y="0"/>
                <wp:lineTo x="0" y="0"/>
              </wp:wrapPolygon>
            </wp:wrapThrough>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C10A1F" w:rsidRPr="00556D69">
        <w:t>L</w:t>
      </w:r>
      <w:r w:rsidR="00A61E6D">
        <w:t>’</w:t>
      </w:r>
      <w:r w:rsidR="003F5CA8">
        <w:t>Étude de cas</w:t>
      </w:r>
      <w:r w:rsidR="00C10A1F" w:rsidRPr="00556D69">
        <w:t xml:space="preserve"> 1, porte sur le </w:t>
      </w:r>
      <w:proofErr w:type="spellStart"/>
      <w:r w:rsidR="00C10A1F" w:rsidRPr="00556D69">
        <w:t>Yamahoko</w:t>
      </w:r>
      <w:proofErr w:type="spellEnd"/>
      <w:r w:rsidR="00C10A1F" w:rsidRPr="00556D69">
        <w:t>, cérémonie des chars à Kyoto</w:t>
      </w:r>
      <w:r w:rsidR="007A1860">
        <w:t xml:space="preserve"> (</w:t>
      </w:r>
      <w:r w:rsidR="00C10A1F" w:rsidRPr="00556D69">
        <w:t>Japon</w:t>
      </w:r>
      <w:r w:rsidR="007A1860">
        <w:t>)</w:t>
      </w:r>
      <w:r w:rsidR="00EA1FE1" w:rsidRPr="00556D69">
        <w:t> :</w:t>
      </w:r>
      <w:r w:rsidR="00C10A1F" w:rsidRPr="00556D69">
        <w:t xml:space="preserve"> cela peut servir comme exemple d</w:t>
      </w:r>
      <w:r w:rsidR="00A61E6D">
        <w:t>’</w:t>
      </w:r>
      <w:r w:rsidR="00C10A1F" w:rsidRPr="00556D69">
        <w:t xml:space="preserve">une étroite interaction entre différents acteurs dans un système de sauvegarde. Une association </w:t>
      </w:r>
      <w:r w:rsidR="009867A4">
        <w:t>des communautés</w:t>
      </w:r>
      <w:r w:rsidR="00C10A1F" w:rsidRPr="00556D69">
        <w:t xml:space="preserve"> locale coordonne la formation et la présence des participants et assure l</w:t>
      </w:r>
      <w:r w:rsidR="00A61E6D">
        <w:t>’</w:t>
      </w:r>
      <w:r w:rsidR="00C10A1F" w:rsidRPr="00556D69">
        <w:t>entretien et le stockage des chars. La procession a été inscrite à l</w:t>
      </w:r>
      <w:r w:rsidR="00A61E6D">
        <w:t>’</w:t>
      </w:r>
      <w:r w:rsidR="00C10A1F" w:rsidRPr="00556D69">
        <w:t xml:space="preserve">inventaire national, provincial et municipal du PCI et les autorités nationales, préfectorales et municipales aident au déroulement de la procession sur le plan logistique et à travers des dispositions législatives. Les industries de Kyoto </w:t>
      </w:r>
      <w:r w:rsidR="00C10A1F" w:rsidRPr="00556D69">
        <w:lastRenderedPageBreak/>
        <w:t>participent à l</w:t>
      </w:r>
      <w:r w:rsidR="00A61E6D">
        <w:t>’</w:t>
      </w:r>
      <w:r w:rsidR="00C10A1F" w:rsidRPr="00556D69">
        <w:t xml:space="preserve">entretien des chars. Au niveau international, le </w:t>
      </w:r>
      <w:proofErr w:type="spellStart"/>
      <w:r w:rsidR="00C10A1F" w:rsidRPr="00556D69">
        <w:t>Yamahoko</w:t>
      </w:r>
      <w:proofErr w:type="spellEnd"/>
      <w:r w:rsidR="00C10A1F" w:rsidRPr="00556D69">
        <w:t>,</w:t>
      </w:r>
      <w:r w:rsidR="00461004" w:rsidRPr="00556D69">
        <w:t xml:space="preserve"> </w:t>
      </w:r>
      <w:r w:rsidR="00C10A1F" w:rsidRPr="00556D69">
        <w:t xml:space="preserve">cérémonie des chars du festival de </w:t>
      </w:r>
      <w:proofErr w:type="spellStart"/>
      <w:r w:rsidR="00C10A1F" w:rsidRPr="00556D69">
        <w:t>Gion</w:t>
      </w:r>
      <w:proofErr w:type="spellEnd"/>
      <w:r w:rsidR="00C10A1F" w:rsidRPr="00556D69">
        <w:t xml:space="preserve"> à Kyoto, a été inscrit sur la Liste représentative de la Convention en 2009, ce qui entraîne pour le Japon des obligations de sauvegarde spécifiques à cet égard.</w:t>
      </w:r>
    </w:p>
    <w:p w14:paraId="5DD87FB3" w14:textId="0E5C4055" w:rsidR="004325DC" w:rsidRDefault="00C10A1F" w:rsidP="00914287">
      <w:pPr>
        <w:pStyle w:val="Texte1"/>
      </w:pPr>
      <w:r w:rsidRPr="00556D69">
        <w:t>Les États parties doivent veiller à ce que ces différents niveaux travaillent ensemble avec efficacité, de façon à créer des cadres propices pour répondre aux besoins de sauvegarde du PCI et des communautés concernées. Les États parties doivent également faire en sorte que les efforts de sauvegarde à l</w:t>
      </w:r>
      <w:r w:rsidR="00A61E6D">
        <w:t>’</w:t>
      </w:r>
      <w:r w:rsidRPr="00556D69">
        <w:t>échelle nationale bénéficient de l</w:t>
      </w:r>
      <w:r w:rsidR="00A61E6D">
        <w:t>’</w:t>
      </w:r>
      <w:r w:rsidRPr="00556D69">
        <w:t>échange d</w:t>
      </w:r>
      <w:r w:rsidR="00A61E6D">
        <w:t>’</w:t>
      </w:r>
      <w:r w:rsidRPr="00556D69">
        <w:t>expertise et de la coopération au niveau international.</w:t>
      </w:r>
    </w:p>
    <w:p w14:paraId="55A7CCB8" w14:textId="071E0BAF" w:rsidR="004325DC" w:rsidRDefault="00C10A1F" w:rsidP="00914287">
      <w:pPr>
        <w:pStyle w:val="Texte1"/>
      </w:pPr>
      <w:r w:rsidRPr="00556D69">
        <w:t>Dans les États fédéraux où la décentralisation est très poussée, l</w:t>
      </w:r>
      <w:r w:rsidR="00A61E6D">
        <w:t>’</w:t>
      </w:r>
      <w:r w:rsidRPr="00556D69">
        <w:t>échelon national n</w:t>
      </w:r>
      <w:r w:rsidR="00A61E6D">
        <w:t>’</w:t>
      </w:r>
      <w:r w:rsidRPr="00556D69">
        <w:t>assume parfois que des fonctions de coordination (</w:t>
      </w:r>
      <w:r w:rsidR="00043DFF" w:rsidRPr="00556D69">
        <w:t>article </w:t>
      </w:r>
      <w:r w:rsidRPr="00556D69">
        <w:t>35(a)). Dans ce cas, ce qui est dit ici au sujet du niveau national vaut, par exemple, pour les autorités</w:t>
      </w:r>
      <w:r w:rsidR="00043DFF" w:rsidRPr="00556D69">
        <w:t xml:space="preserve"> « </w:t>
      </w:r>
      <w:r w:rsidRPr="00556D69">
        <w:t>républicaines</w:t>
      </w:r>
      <w:r w:rsidR="00461004" w:rsidRPr="00556D69">
        <w:t xml:space="preserve"> », </w:t>
      </w:r>
      <w:r w:rsidRPr="00556D69">
        <w:t>la</w:t>
      </w:r>
      <w:r w:rsidR="00043DFF" w:rsidRPr="00556D69">
        <w:t xml:space="preserve"> « </w:t>
      </w:r>
      <w:r w:rsidRPr="00556D69">
        <w:t>province</w:t>
      </w:r>
      <w:r w:rsidR="00461004" w:rsidRPr="00556D69">
        <w:t xml:space="preserve"> », </w:t>
      </w:r>
      <w:r w:rsidRPr="00556D69">
        <w:t>le</w:t>
      </w:r>
      <w:r w:rsidR="00043DFF" w:rsidRPr="00556D69">
        <w:t xml:space="preserve"> « </w:t>
      </w:r>
      <w:r w:rsidRPr="00556D69">
        <w:t>comté</w:t>
      </w:r>
      <w:r w:rsidR="00461004" w:rsidRPr="00556D69">
        <w:t xml:space="preserve"> », </w:t>
      </w:r>
      <w:r w:rsidR="00043DFF" w:rsidRPr="00556D69">
        <w:t>« </w:t>
      </w:r>
      <w:r w:rsidRPr="00556D69">
        <w:t>l</w:t>
      </w:r>
      <w:r w:rsidR="00A61E6D">
        <w:t>’</w:t>
      </w:r>
      <w:r w:rsidRPr="00556D69">
        <w:t>État</w:t>
      </w:r>
      <w:r w:rsidR="00043DFF" w:rsidRPr="00556D69">
        <w:t xml:space="preserve"> » </w:t>
      </w:r>
      <w:r w:rsidRPr="00556D69">
        <w:t>ou le</w:t>
      </w:r>
      <w:r w:rsidR="00043DFF" w:rsidRPr="00556D69">
        <w:t xml:space="preserve"> « </w:t>
      </w:r>
      <w:r w:rsidRPr="00556D69">
        <w:t>canton</w:t>
      </w:r>
      <w:r w:rsidR="00043DFF" w:rsidRPr="00556D69">
        <w:t xml:space="preserve"> » </w:t>
      </w:r>
      <w:r w:rsidRPr="00556D69">
        <w:t>(</w:t>
      </w:r>
      <w:r w:rsidR="00043DFF" w:rsidRPr="00556D69">
        <w:t>article </w:t>
      </w:r>
      <w:r w:rsidRPr="00556D69">
        <w:t xml:space="preserve">35(b)). </w:t>
      </w:r>
    </w:p>
    <w:p w14:paraId="21658EC1" w14:textId="26B2E77B" w:rsidR="004325DC" w:rsidRDefault="00C10A1F" w:rsidP="00914287">
      <w:pPr>
        <w:pStyle w:val="Texte1"/>
      </w:pPr>
      <w:r w:rsidRPr="00556D69">
        <w:t xml:space="preserve">En </w:t>
      </w:r>
      <w:r w:rsidR="007A1860">
        <w:t>Belgique – </w:t>
      </w:r>
      <w:r w:rsidRPr="00556D69">
        <w:t xml:space="preserve">État fédéral avec une forte autonomie régionale et </w:t>
      </w:r>
      <w:r w:rsidR="009867A4">
        <w:t>des communautés</w:t>
      </w:r>
      <w:r w:rsidR="007A1860">
        <w:t> –</w:t>
      </w:r>
      <w:r w:rsidRPr="00556D69">
        <w:t xml:space="preserve"> les Gouvernements des communautés flamande, francophone et germanophone assument la responsabilité de leurs propres affaires patrimoniales. Ils ont créé plusieurs agences afin </w:t>
      </w:r>
      <w:r w:rsidR="001D39F7">
        <w:rPr>
          <w:noProof/>
          <w:lang w:eastAsia="fr-FR"/>
        </w:rPr>
        <w:drawing>
          <wp:anchor distT="0" distB="0" distL="114300" distR="114300" simplePos="0" relativeHeight="251911680" behindDoc="0" locked="1" layoutInCell="1" allowOverlap="0" wp14:anchorId="6D26D100" wp14:editId="0057BD78">
            <wp:simplePos x="0" y="0"/>
            <wp:positionH relativeFrom="column">
              <wp:posOffset>0</wp:posOffset>
            </wp:positionH>
            <wp:positionV relativeFrom="paragraph">
              <wp:posOffset>448945</wp:posOffset>
            </wp:positionV>
            <wp:extent cx="283210" cy="358775"/>
            <wp:effectExtent l="0" t="0" r="0" b="0"/>
            <wp:wrapThrough wrapText="bothSides">
              <wp:wrapPolygon edited="0">
                <wp:start x="0" y="0"/>
                <wp:lineTo x="0" y="19880"/>
                <wp:lineTo x="19372" y="19880"/>
                <wp:lineTo x="19372" y="0"/>
                <wp:lineTo x="0" y="0"/>
              </wp:wrapPolygon>
            </wp:wrapThrough>
            <wp:docPr id="250" name="Imag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556D69">
        <w:t xml:space="preserve">de parvenir à cet objectif (voir </w:t>
      </w:r>
      <w:r w:rsidR="001D39F7">
        <w:t>l</w:t>
      </w:r>
      <w:r w:rsidR="00A61E6D">
        <w:t>’</w:t>
      </w:r>
      <w:r w:rsidR="003F5CA8">
        <w:t>Étude de cas</w:t>
      </w:r>
      <w:r w:rsidRPr="00556D69">
        <w:t xml:space="preserve"> 28).</w:t>
      </w:r>
    </w:p>
    <w:p w14:paraId="502248C5" w14:textId="688140C0" w:rsidR="004325DC" w:rsidRDefault="00C10A1F" w:rsidP="00914287">
      <w:pPr>
        <w:pStyle w:val="Texte1"/>
      </w:pPr>
      <w:r w:rsidRPr="00556D69">
        <w:t>Certains États non fédéraux laissent aussi officiellement au niveau sous-national la responsabilité de la politique et la gestion du patrimoine, comme cela se produit jusqu</w:t>
      </w:r>
      <w:r w:rsidR="00A61E6D">
        <w:t>’</w:t>
      </w:r>
      <w:r w:rsidRPr="00556D69">
        <w:t xml:space="preserve">à </w:t>
      </w:r>
      <w:r w:rsidR="006F42B3">
        <w:rPr>
          <w:noProof/>
          <w:lang w:eastAsia="fr-FR"/>
        </w:rPr>
        <w:drawing>
          <wp:anchor distT="0" distB="0" distL="114300" distR="114300" simplePos="0" relativeHeight="251913728" behindDoc="0" locked="1" layoutInCell="1" allowOverlap="0" wp14:anchorId="44ADFA74" wp14:editId="22D471E2">
            <wp:simplePos x="0" y="0"/>
            <wp:positionH relativeFrom="column">
              <wp:posOffset>0</wp:posOffset>
            </wp:positionH>
            <wp:positionV relativeFrom="paragraph">
              <wp:posOffset>233045</wp:posOffset>
            </wp:positionV>
            <wp:extent cx="283210" cy="358775"/>
            <wp:effectExtent l="0" t="0" r="0" b="0"/>
            <wp:wrapThrough wrapText="bothSides">
              <wp:wrapPolygon edited="0">
                <wp:start x="0" y="0"/>
                <wp:lineTo x="0" y="19880"/>
                <wp:lineTo x="19372" y="19880"/>
                <wp:lineTo x="19372" y="0"/>
                <wp:lineTo x="0" y="0"/>
              </wp:wrapPolygon>
            </wp:wrapThrough>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556D69">
        <w:t xml:space="preserve">un certain degré en Afrique du Sud (voir </w:t>
      </w:r>
      <w:r w:rsidR="001D39F7">
        <w:t>l</w:t>
      </w:r>
      <w:r w:rsidR="00A61E6D">
        <w:t>’</w:t>
      </w:r>
      <w:r w:rsidR="003F5CA8">
        <w:t>Étude de cas</w:t>
      </w:r>
      <w:r w:rsidRPr="00556D69">
        <w:t xml:space="preserve"> 29).</w:t>
      </w:r>
    </w:p>
    <w:p w14:paraId="4E4E926B" w14:textId="1BDB878F" w:rsidR="004325DC" w:rsidRDefault="00C10A1F" w:rsidP="00914287">
      <w:pPr>
        <w:pStyle w:val="Texte1"/>
      </w:pPr>
      <w:r w:rsidRPr="00556D69">
        <w:t>Il est important de garder en mémoire qu</w:t>
      </w:r>
      <w:r w:rsidR="00A61E6D">
        <w:t>’</w:t>
      </w:r>
      <w:r w:rsidRPr="00556D69">
        <w:t>en premier lieu, les États parties (</w:t>
      </w:r>
      <w:r w:rsidR="007A1860">
        <w:t>c</w:t>
      </w:r>
      <w:r w:rsidR="00A61E6D">
        <w:t>’</w:t>
      </w:r>
      <w:r w:rsidR="007A1860">
        <w:t>est-à-dire</w:t>
      </w:r>
      <w:r w:rsidRPr="00556D69">
        <w:t xml:space="preserve"> leurs agences) doivent assurer des conditions générales propices au bon état du PCI. Si la viabilité d</w:t>
      </w:r>
      <w:r w:rsidR="00A61E6D">
        <w:t>’</w:t>
      </w:r>
      <w:r w:rsidRPr="00556D69">
        <w:t>éléments spécifiques ne se trouve pas mise en péril ou que les activités de sauvegarde menées à l</w:t>
      </w:r>
      <w:r w:rsidR="00A61E6D">
        <w:t>’</w:t>
      </w:r>
      <w:r w:rsidRPr="00556D69">
        <w:t>échelon local fonctionnent efficacement sans aide extérieure, aucune intervention externe n</w:t>
      </w:r>
      <w:r w:rsidR="00A61E6D">
        <w:t>’</w:t>
      </w:r>
      <w:r w:rsidRPr="00556D69">
        <w:t>est alors requise, pas même celle de l</w:t>
      </w:r>
      <w:r w:rsidR="00A61E6D">
        <w:t>’</w:t>
      </w:r>
      <w:r w:rsidRPr="00556D69">
        <w:t>État. L</w:t>
      </w:r>
      <w:r w:rsidR="00A61E6D">
        <w:t>’</w:t>
      </w:r>
      <w:r w:rsidRPr="00556D69">
        <w:t>administration du PCI doit rester entre les mains des communautés concernées même lorsque la sauvegarde bénéficie d</w:t>
      </w:r>
      <w:r w:rsidR="00A61E6D">
        <w:t>’</w:t>
      </w:r>
      <w:r w:rsidRPr="00556D69">
        <w:t>une aide extérieure.</w:t>
      </w:r>
    </w:p>
    <w:p w14:paraId="2C7B7376" w14:textId="5BD8CE70" w:rsidR="004325DC" w:rsidRDefault="006F42B3" w:rsidP="00EE1902">
      <w:pPr>
        <w:pStyle w:val="Titcoul"/>
      </w:pPr>
      <w:bookmarkStart w:id="25" w:name="_Toc238963285"/>
      <w:bookmarkStart w:id="26" w:name="_Toc241065171"/>
      <w:bookmarkStart w:id="27" w:name="_Toc301443387"/>
      <w:bookmarkStart w:id="28" w:name="_Toc321407030"/>
      <w:bookmarkStart w:id="29" w:name="_Toc354486654"/>
      <w:bookmarkStart w:id="30" w:name="_Toc354486960"/>
      <w:bookmarkStart w:id="31" w:name="_Toc247360251"/>
      <w:r>
        <w:t>10</w:t>
      </w:r>
      <w:r w:rsidR="00C10A1F" w:rsidRPr="00556D69">
        <w:t>.3</w:t>
      </w:r>
      <w:bookmarkEnd w:id="25"/>
      <w:bookmarkEnd w:id="26"/>
      <w:r w:rsidR="0022235D">
        <w:tab/>
      </w:r>
      <w:bookmarkStart w:id="32" w:name="_Toc238963286"/>
      <w:bookmarkStart w:id="33" w:name="_Toc241065172"/>
      <w:r w:rsidR="00C10A1F" w:rsidRPr="00556D69">
        <w:t>Politiques et mesures à l</w:t>
      </w:r>
      <w:r w:rsidR="00A61E6D">
        <w:t>’</w:t>
      </w:r>
      <w:r w:rsidR="00B3365B">
        <w:t>É</w:t>
      </w:r>
      <w:r w:rsidR="00C10A1F" w:rsidRPr="00556D69">
        <w:t>chelle locale</w:t>
      </w:r>
      <w:bookmarkEnd w:id="27"/>
      <w:bookmarkEnd w:id="28"/>
      <w:bookmarkEnd w:id="29"/>
      <w:bookmarkEnd w:id="30"/>
      <w:bookmarkEnd w:id="31"/>
      <w:bookmarkEnd w:id="32"/>
      <w:bookmarkEnd w:id="33"/>
    </w:p>
    <w:p w14:paraId="17092E71" w14:textId="32A1397F" w:rsidR="004325DC" w:rsidRDefault="00C10A1F" w:rsidP="00914287">
      <w:pPr>
        <w:pStyle w:val="Texte1"/>
      </w:pPr>
      <w:r w:rsidRPr="00556D69">
        <w:t xml:space="preserve">Les acteurs locaux (ou </w:t>
      </w:r>
      <w:proofErr w:type="spellStart"/>
      <w:r w:rsidRPr="00556D69">
        <w:t>subnationaux</w:t>
      </w:r>
      <w:proofErr w:type="spellEnd"/>
      <w:r w:rsidRPr="00556D69">
        <w:t xml:space="preserve">, par exemple au niveau provincial et municipal) jouent un rôle important dans la sauvegarde du PCI parce que leurs interventions peuvent être facilement adaptées avec efficacité aux besoins des communautés locales et des projets locaux. </w:t>
      </w:r>
      <w:r w:rsidRPr="00603A8C">
        <w:t xml:space="preserve">Les mesures locales ou </w:t>
      </w:r>
      <w:proofErr w:type="spellStart"/>
      <w:r w:rsidRPr="00603A8C">
        <w:t>subnationales</w:t>
      </w:r>
      <w:proofErr w:type="spellEnd"/>
      <w:r w:rsidRPr="00603A8C">
        <w:t xml:space="preserve"> incluent les r</w:t>
      </w:r>
      <w:r w:rsidR="00953DB9" w:rsidRPr="00603A8C">
        <w:t>é</w:t>
      </w:r>
      <w:r w:rsidRPr="00603A8C">
        <w:t xml:space="preserve">glementations, les subventions et les politiques relatives au PCI présenté aussi bien dans des lieux publics (comme les festivals ou les spectacles) que dans </w:t>
      </w:r>
      <w:r w:rsidR="00B3365B">
        <w:t xml:space="preserve">lieux privés </w:t>
      </w:r>
      <w:r w:rsidRPr="00603A8C">
        <w:t xml:space="preserve">des </w:t>
      </w:r>
      <w:r w:rsidR="00AB54CF" w:rsidRPr="00603A8C">
        <w:t>communautés</w:t>
      </w:r>
      <w:r w:rsidRPr="00603A8C">
        <w:t>.</w:t>
      </w:r>
      <w:r w:rsidRPr="00556D69">
        <w:t xml:space="preserve"> Elles peuvent impliquer des institutions telles que des associations </w:t>
      </w:r>
      <w:r w:rsidR="009867A4">
        <w:t xml:space="preserve">de </w:t>
      </w:r>
      <w:r w:rsidR="00AB54CF">
        <w:t>communautés</w:t>
      </w:r>
      <w:r w:rsidRPr="00556D69">
        <w:t xml:space="preserve"> et des ONG locales, des écoles, des musées, des centres de recherche, d</w:t>
      </w:r>
      <w:r w:rsidR="00A61E6D">
        <w:t>’</w:t>
      </w:r>
      <w:r w:rsidRPr="00556D69">
        <w:t>archives et de documentation. En principe, les communautés locales s</w:t>
      </w:r>
      <w:r w:rsidR="00A61E6D">
        <w:t>’</w:t>
      </w:r>
      <w:r w:rsidRPr="00556D69">
        <w:t>engagent aussi sur le plan financier et logistique à pratiquer et transmettre le PCI et recherchent des mécènes dans leur propre domaine.</w:t>
      </w:r>
    </w:p>
    <w:p w14:paraId="56475DD8" w14:textId="6E2784FE" w:rsidR="004325DC" w:rsidRDefault="00C10A1F" w:rsidP="00914287">
      <w:pPr>
        <w:pStyle w:val="Texte1"/>
      </w:pPr>
      <w:r w:rsidRPr="00556D69">
        <w:t xml:space="preserve">Dans la province du Limbourg, Pays-Bas, par exemple, la plupart des villages et des villes de banlieue ont chacune leur </w:t>
      </w:r>
      <w:r w:rsidRPr="00556D69">
        <w:rPr>
          <w:i/>
        </w:rPr>
        <w:t>harmonie</w:t>
      </w:r>
      <w:r w:rsidRPr="00556D69">
        <w:t xml:space="preserve"> (fanfare ou orchestre), formation musicale traditionnelle qui se produit régulièrement en concert dans des lieux publics et lors d</w:t>
      </w:r>
      <w:r w:rsidR="00A61E6D">
        <w:t>’</w:t>
      </w:r>
      <w:r w:rsidRPr="00556D69">
        <w:t xml:space="preserve">occasions de nature plus privée. La plupart de ces associations comptent un grand </w:t>
      </w:r>
      <w:r w:rsidRPr="00556D69">
        <w:lastRenderedPageBreak/>
        <w:t>nombre de membres et essaient d</w:t>
      </w:r>
      <w:r w:rsidR="00A61E6D">
        <w:t>’</w:t>
      </w:r>
      <w:r w:rsidRPr="00556D69">
        <w:t>être financièrement indépendantes en trouvant leurs propres commanditaires, mais en principe elles reçoivent aussi de petites subventions prélevées sur le budget municipal et/ou provincial. Les bureaux de ces associations se composent en général de responsables de l</w:t>
      </w:r>
      <w:r w:rsidR="00A61E6D">
        <w:t>’</w:t>
      </w:r>
      <w:r w:rsidRPr="00556D69">
        <w:t>administration locale. Dans les petits villages de la région, plus de la moitié de la population participe bénévolement à la préparation, l</w:t>
      </w:r>
      <w:r w:rsidR="00A61E6D">
        <w:t>’</w:t>
      </w:r>
      <w:r w:rsidRPr="00556D69">
        <w:t>organisation et la représentation des festivités locales et aux opérations de nettoyage qui s</w:t>
      </w:r>
      <w:r w:rsidR="00A61E6D">
        <w:t>’</w:t>
      </w:r>
      <w:r w:rsidRPr="00556D69">
        <w:t>ensuivent.</w:t>
      </w:r>
    </w:p>
    <w:p w14:paraId="0AE81B89" w14:textId="315A104B" w:rsidR="004325DC" w:rsidRDefault="00C10A1F" w:rsidP="00914287">
      <w:pPr>
        <w:pStyle w:val="Texte1"/>
      </w:pPr>
      <w:r w:rsidRPr="00556D69">
        <w:t>Dans la plupart des municipalités du Limbourg, le Carnaval est célébré sous une forme ou une autre. Un élément presqu</w:t>
      </w:r>
      <w:r w:rsidR="00A61E6D">
        <w:t>’</w:t>
      </w:r>
      <w:r w:rsidRPr="00556D69">
        <w:t>obligatoire est l</w:t>
      </w:r>
      <w:r w:rsidR="00A61E6D">
        <w:t>’</w:t>
      </w:r>
      <w:r w:rsidRPr="00556D69">
        <w:t>élection annuelle d</w:t>
      </w:r>
      <w:r w:rsidR="00A61E6D">
        <w:t>’</w:t>
      </w:r>
      <w:r w:rsidRPr="00556D69">
        <w:t>un</w:t>
      </w:r>
      <w:r w:rsidR="00043DFF" w:rsidRPr="00556D69">
        <w:t xml:space="preserve"> « </w:t>
      </w:r>
      <w:r w:rsidRPr="00556D69">
        <w:t>Prince du Carnaval</w:t>
      </w:r>
      <w:r w:rsidR="00043DFF" w:rsidRPr="00556D69">
        <w:t xml:space="preserve"> » </w:t>
      </w:r>
      <w:r w:rsidRPr="00556D69">
        <w:t>(les princesses sont rarement élues), bien avant la date du Carnaval. Le Prince du Carnaval a plusieurs devoirs à sa charge, comme rendre visite aux personnes âgées et malades qui ne peuvent pas prendre part aux festivités publiques, en étant parfois accompagné par l</w:t>
      </w:r>
      <w:r w:rsidR="00A61E6D">
        <w:t>’</w:t>
      </w:r>
      <w:r w:rsidRPr="00556D69">
        <w:t>harmonie locale. À Maastricht, capitale de la province du Limbourg, le maire remet les clés de la ville au prince local pendant les quatre jours de carnaval, tandis que l</w:t>
      </w:r>
      <w:r w:rsidR="00A61E6D">
        <w:t>’</w:t>
      </w:r>
      <w:r w:rsidRPr="00556D69">
        <w:t xml:space="preserve">administration et la police municipales </w:t>
      </w:r>
      <w:r w:rsidR="00BB70F2">
        <w:t>– </w:t>
      </w:r>
      <w:r w:rsidRPr="00556D69">
        <w:t>suivant les dispositions r</w:t>
      </w:r>
      <w:r w:rsidR="00227E50">
        <w:t>é</w:t>
      </w:r>
      <w:r w:rsidRPr="00556D69">
        <w:t>glementaires locales</w:t>
      </w:r>
      <w:r w:rsidR="00BB70F2">
        <w:t> –</w:t>
      </w:r>
      <w:r w:rsidRPr="00556D69">
        <w:t xml:space="preserve"> veillent à ce que le centre</w:t>
      </w:r>
      <w:r w:rsidR="00227E50">
        <w:t>-</w:t>
      </w:r>
      <w:r w:rsidRPr="00556D69">
        <w:t>ville soit sûr et accessible pendant la durée des festivités.</w:t>
      </w:r>
    </w:p>
    <w:p w14:paraId="0575181C" w14:textId="77777777" w:rsidR="00C10A1F" w:rsidRPr="00556D69" w:rsidRDefault="00C10A1F" w:rsidP="000542FD">
      <w:pPr>
        <w:pStyle w:val="Heading4"/>
      </w:pPr>
      <w:bookmarkStart w:id="34" w:name="_Toc247360252"/>
      <w:r w:rsidRPr="00556D69">
        <w:t>Associations locales</w:t>
      </w:r>
      <w:bookmarkEnd w:id="34"/>
    </w:p>
    <w:p w14:paraId="782AACA1" w14:textId="672FE549" w:rsidR="004325DC" w:rsidRDefault="00C10A1F" w:rsidP="00914287">
      <w:pPr>
        <w:pStyle w:val="Texte1"/>
      </w:pPr>
      <w:r w:rsidRPr="00556D69">
        <w:t>Beaucoup de pays comptent des associations regroupant souvent diverses communautés qui pratiquent des formes analogues de PCI et s</w:t>
      </w:r>
      <w:r w:rsidR="00A61E6D">
        <w:t>’</w:t>
      </w:r>
      <w:r w:rsidRPr="00556D69">
        <w:t>entraident en partageant leur expertise et leurs ressources.</w:t>
      </w:r>
    </w:p>
    <w:p w14:paraId="182DA11D" w14:textId="0315A0CF" w:rsidR="004325DC" w:rsidRDefault="00C10A1F" w:rsidP="00914287">
      <w:pPr>
        <w:pStyle w:val="Texte1"/>
      </w:pPr>
      <w:r w:rsidRPr="00556D69">
        <w:t xml:space="preserve">Les </w:t>
      </w:r>
      <w:r w:rsidRPr="00556D69">
        <w:rPr>
          <w:i/>
        </w:rPr>
        <w:t>harmonies</w:t>
      </w:r>
      <w:r w:rsidRPr="00556D69">
        <w:t xml:space="preserve"> susmentionnées, par exemple, relèvent d</w:t>
      </w:r>
      <w:r w:rsidR="00A61E6D">
        <w:t>’</w:t>
      </w:r>
      <w:r w:rsidRPr="00556D69">
        <w:t>associations qui leur assurent non seulement une assistance mutuelle, mais organisent aussi des manifestations et des compétitions conjointes. En Allemagne, il existe</w:t>
      </w:r>
      <w:r w:rsidR="00461004" w:rsidRPr="00556D69">
        <w:t xml:space="preserve"> </w:t>
      </w:r>
      <w:r w:rsidRPr="00556D69">
        <w:t>des associations de conteurs</w:t>
      </w:r>
      <w:r w:rsidR="00EA1FE1" w:rsidRPr="00556D69">
        <w:t> ;</w:t>
      </w:r>
      <w:r w:rsidRPr="00556D69">
        <w:t xml:space="preserve"> en Bretagne</w:t>
      </w:r>
      <w:r w:rsidR="00C476D5">
        <w:t xml:space="preserve"> (France)</w:t>
      </w:r>
      <w:r w:rsidRPr="00556D69">
        <w:t>, il existe des formations locales qui jouent de la musique traditionnelle. En soutenant ces organisations, les États parties peuvent apporter une importante contribution à la sauvegarde d</w:t>
      </w:r>
      <w:r w:rsidR="00A61E6D">
        <w:t>’</w:t>
      </w:r>
      <w:r w:rsidRPr="00556D69">
        <w:t>expressions du PCI par les communautés elles-mêmes. (Les Pays-Bas et l</w:t>
      </w:r>
      <w:r w:rsidR="00A61E6D">
        <w:t>’</w:t>
      </w:r>
      <w:r w:rsidRPr="00556D69">
        <w:t>Allemagne ne sont pas encore États parties à la Convention</w:t>
      </w:r>
      <w:r w:rsidR="00EA1FE1" w:rsidRPr="00556D69">
        <w:t> ;</w:t>
      </w:r>
      <w:r w:rsidRPr="00556D69">
        <w:t xml:space="preserve"> la France l</w:t>
      </w:r>
      <w:r w:rsidR="00A61E6D">
        <w:t>’</w:t>
      </w:r>
      <w:r w:rsidRPr="00556D69">
        <w:t>est.)</w:t>
      </w:r>
    </w:p>
    <w:p w14:paraId="298A9C7E" w14:textId="7D25E587" w:rsidR="00C10A1F" w:rsidRPr="00556D69" w:rsidRDefault="007F3170" w:rsidP="000542FD">
      <w:pPr>
        <w:pStyle w:val="Heading4"/>
      </w:pPr>
      <w:bookmarkStart w:id="35" w:name="_Toc247360253"/>
      <w:r w:rsidRPr="00556D69">
        <w:t>Int</w:t>
      </w:r>
      <w:r>
        <w:t>É</w:t>
      </w:r>
      <w:r w:rsidRPr="00556D69">
        <w:t xml:space="preserve">grer </w:t>
      </w:r>
      <w:r w:rsidR="00C10A1F" w:rsidRPr="00556D69">
        <w:t>la sauvegarde du PCI à d</w:t>
      </w:r>
      <w:r w:rsidR="00A61E6D">
        <w:t>’</w:t>
      </w:r>
      <w:r w:rsidR="00C10A1F" w:rsidRPr="00556D69">
        <w:t>autres initiatives locales</w:t>
      </w:r>
      <w:bookmarkEnd w:id="35"/>
    </w:p>
    <w:p w14:paraId="45A26823" w14:textId="0EFC3707" w:rsidR="004325DC" w:rsidRDefault="00C10A1F" w:rsidP="00914287">
      <w:pPr>
        <w:pStyle w:val="Texte1"/>
      </w:pPr>
      <w:r w:rsidRPr="00556D69">
        <w:t>Au niveau local, il y a de bonnes opportunités permettant d</w:t>
      </w:r>
      <w:r w:rsidR="00A61E6D">
        <w:t>’</w:t>
      </w:r>
      <w:r w:rsidRPr="00556D69">
        <w:t>intégrer des activités de sauvegarde du PCI dans les programmes de santé, d</w:t>
      </w:r>
      <w:r w:rsidR="00A61E6D">
        <w:t>’</w:t>
      </w:r>
      <w:r w:rsidRPr="00556D69">
        <w:t>éducation et autres questions de développement pour les autorités et les communautés locales.</w:t>
      </w:r>
    </w:p>
    <w:p w14:paraId="0281E2CE" w14:textId="2A195E26" w:rsidR="004325DC" w:rsidRDefault="00C10A1F" w:rsidP="00914287">
      <w:pPr>
        <w:pStyle w:val="Texte1"/>
      </w:pPr>
      <w:r w:rsidRPr="00556D69">
        <w:t>Un exemple de législation à l</w:t>
      </w:r>
      <w:r w:rsidR="00A61E6D">
        <w:t>’</w:t>
      </w:r>
      <w:r w:rsidRPr="00556D69">
        <w:t>échelle locale permettant la sauvegarde du PCI est celui de la Loi de 2006 sur les sites sacrés aborigènes du Territoire du Nord (</w:t>
      </w:r>
      <w:proofErr w:type="spellStart"/>
      <w:r w:rsidRPr="00556D69">
        <w:rPr>
          <w:i/>
        </w:rPr>
        <w:t>Northern</w:t>
      </w:r>
      <w:proofErr w:type="spellEnd"/>
      <w:r w:rsidRPr="00556D69">
        <w:rPr>
          <w:i/>
        </w:rPr>
        <w:t xml:space="preserve"> </w:t>
      </w:r>
      <w:proofErr w:type="spellStart"/>
      <w:r w:rsidRPr="00556D69">
        <w:rPr>
          <w:i/>
        </w:rPr>
        <w:t>Territory</w:t>
      </w:r>
      <w:proofErr w:type="spellEnd"/>
      <w:r w:rsidRPr="00556D69">
        <w:rPr>
          <w:i/>
        </w:rPr>
        <w:t xml:space="preserve"> </w:t>
      </w:r>
      <w:proofErr w:type="spellStart"/>
      <w:r w:rsidRPr="00556D69">
        <w:rPr>
          <w:i/>
        </w:rPr>
        <w:t>Aboriginal</w:t>
      </w:r>
      <w:proofErr w:type="spellEnd"/>
      <w:r w:rsidRPr="00556D69">
        <w:rPr>
          <w:i/>
        </w:rPr>
        <w:t xml:space="preserve"> </w:t>
      </w:r>
      <w:proofErr w:type="spellStart"/>
      <w:r w:rsidRPr="00556D69">
        <w:rPr>
          <w:i/>
        </w:rPr>
        <w:t>Sacred</w:t>
      </w:r>
      <w:proofErr w:type="spellEnd"/>
      <w:r w:rsidRPr="00556D69">
        <w:rPr>
          <w:i/>
        </w:rPr>
        <w:t xml:space="preserve"> Sites </w:t>
      </w:r>
      <w:proofErr w:type="spellStart"/>
      <w:r w:rsidRPr="00556D69">
        <w:rPr>
          <w:i/>
        </w:rPr>
        <w:t>Act</w:t>
      </w:r>
      <w:proofErr w:type="spellEnd"/>
      <w:r w:rsidRPr="00556D69">
        <w:t xml:space="preserve">), qui aide les communautés autochtones (aborigènes) du Territoire du Nord en Australie à garder le contrôle de la gestion de leur </w:t>
      </w:r>
      <w:r w:rsidR="00BB2FF5" w:rsidRPr="00556D69">
        <w:t>patrimoine culturel immatériel</w:t>
      </w:r>
      <w:r w:rsidRPr="00556D69">
        <w:t xml:space="preserve"> et des bénéfices qu</w:t>
      </w:r>
      <w:r w:rsidR="00A61E6D">
        <w:t>’</w:t>
      </w:r>
      <w:r w:rsidRPr="00556D69">
        <w:t>elles en tirent. Ladite loi a créé des instances telles que l</w:t>
      </w:r>
      <w:r w:rsidR="00A61E6D">
        <w:t>’</w:t>
      </w:r>
      <w:proofErr w:type="spellStart"/>
      <w:r w:rsidRPr="00556D69">
        <w:t>Aboriginal</w:t>
      </w:r>
      <w:proofErr w:type="spellEnd"/>
      <w:r w:rsidRPr="00556D69">
        <w:t xml:space="preserve"> Areas Protection </w:t>
      </w:r>
      <w:proofErr w:type="spellStart"/>
      <w:r w:rsidRPr="00556D69">
        <w:t>Authority</w:t>
      </w:r>
      <w:proofErr w:type="spellEnd"/>
      <w:r w:rsidRPr="00556D69">
        <w:t xml:space="preserve"> qui tente de trouver un équilibre entre la </w:t>
      </w:r>
      <w:r w:rsidRPr="00556D69">
        <w:lastRenderedPageBreak/>
        <w:t>nécessité de sauvegarder le PCI des autochtones et leurs rapports avec la terre et le développement économique, social et culturel de toutes les populations du Territoire</w:t>
      </w:r>
      <w:r w:rsidRPr="00556D69">
        <w:rPr>
          <w:vertAlign w:val="superscript"/>
        </w:rPr>
        <w:footnoteReference w:id="4"/>
      </w:r>
      <w:r w:rsidRPr="00556D69">
        <w:t>.</w:t>
      </w:r>
    </w:p>
    <w:p w14:paraId="4BE6B561" w14:textId="2A3D99AB" w:rsidR="00C10A1F" w:rsidRPr="00556D69" w:rsidRDefault="00C10A1F" w:rsidP="000542FD">
      <w:pPr>
        <w:pStyle w:val="Heading4"/>
      </w:pPr>
      <w:bookmarkStart w:id="36" w:name="_Toc247360254"/>
      <w:r w:rsidRPr="00556D69">
        <w:t>Règlementations et politiques de l</w:t>
      </w:r>
      <w:r w:rsidR="00A61E6D">
        <w:t>’</w:t>
      </w:r>
      <w:r w:rsidRPr="00556D69">
        <w:t>administration locale</w:t>
      </w:r>
      <w:bookmarkEnd w:id="36"/>
    </w:p>
    <w:p w14:paraId="6CC91B16" w14:textId="77827B69" w:rsidR="004325DC" w:rsidRDefault="00C10A1F" w:rsidP="00914287">
      <w:pPr>
        <w:pStyle w:val="Texte1"/>
      </w:pPr>
      <w:r w:rsidRPr="00556D69">
        <w:t>Le rôle du gouvernement local est d</w:t>
      </w:r>
      <w:r w:rsidR="00A61E6D">
        <w:t>’</w:t>
      </w:r>
      <w:r w:rsidRPr="00556D69">
        <w:t>une importance primordiale pour la sauvegarde du PCI, qu</w:t>
      </w:r>
      <w:r w:rsidR="00A61E6D">
        <w:t>’</w:t>
      </w:r>
      <w:r w:rsidRPr="00556D69">
        <w:t>il soit précisé ou non dans les dispositions r</w:t>
      </w:r>
      <w:r w:rsidR="00227E50">
        <w:t>é</w:t>
      </w:r>
      <w:r w:rsidRPr="00556D69">
        <w:t>glementaires ou les politiques générales. Les États parties doivent encourager et faciliter le soutien accordé aux initiatives locales pour la sauvegarde du PCI.</w:t>
      </w:r>
    </w:p>
    <w:p w14:paraId="7A210B75" w14:textId="46B9838C" w:rsidR="004325DC" w:rsidRDefault="00C10A1F" w:rsidP="00914287">
      <w:pPr>
        <w:pStyle w:val="Texte1"/>
      </w:pPr>
      <w:r w:rsidRPr="00556D69">
        <w:t>Au Népal, les municipalités et les Comités de développement de village jouent un rôle important dans le soutien des activités religieuses et culturelles ainsi que pour stimuler la participation locale aux décisions en matière de santé, d</w:t>
      </w:r>
      <w:r w:rsidR="00A61E6D">
        <w:t>’</w:t>
      </w:r>
      <w:r w:rsidRPr="00556D69">
        <w:t>éducation, de services et autres. Il n</w:t>
      </w:r>
      <w:r w:rsidR="00A61E6D">
        <w:t>’</w:t>
      </w:r>
      <w:r w:rsidRPr="00556D69">
        <w:t>y a actuellement aucune politique affirmant que les Comités de développement de village sont directement responsables de la sauvegarde et de la promotion du PCI au niveau local, de même qu</w:t>
      </w:r>
      <w:r w:rsidR="00A61E6D">
        <w:t>’</w:t>
      </w:r>
      <w:r w:rsidRPr="00556D69">
        <w:t>ils ne disposent d</w:t>
      </w:r>
      <w:r w:rsidR="00A61E6D">
        <w:t>’</w:t>
      </w:r>
      <w:r w:rsidRPr="00556D69">
        <w:t>aucune source de revenu régulière pour mener à bien ces activités. Mais en tant qu</w:t>
      </w:r>
      <w:r w:rsidR="00A61E6D">
        <w:t>’</w:t>
      </w:r>
      <w:r w:rsidRPr="00556D69">
        <w:t>autorités placées au niveau local, elles peuvent et jouent en effet les intermédiaires entre le gouvernement national, les instances pertinentes, les interprètes locaux et les détenteurs de traditions pour les questions relatives à la sauvegarde du PCI</w:t>
      </w:r>
      <w:r w:rsidRPr="00556D69">
        <w:rPr>
          <w:vertAlign w:val="superscript"/>
        </w:rPr>
        <w:footnoteReference w:id="5"/>
      </w:r>
      <w:r w:rsidRPr="00556D69">
        <w:t>.</w:t>
      </w:r>
    </w:p>
    <w:p w14:paraId="7974D409" w14:textId="49208C81" w:rsidR="004325DC" w:rsidRDefault="006F42B3" w:rsidP="00EE1902">
      <w:pPr>
        <w:pStyle w:val="Titcoul"/>
      </w:pPr>
      <w:bookmarkStart w:id="37" w:name="_Toc238963287"/>
      <w:bookmarkStart w:id="38" w:name="_Toc241065173"/>
      <w:bookmarkStart w:id="39" w:name="_Toc247360255"/>
      <w:bookmarkStart w:id="40" w:name="_Toc301443388"/>
      <w:bookmarkStart w:id="41" w:name="_Toc321407031"/>
      <w:bookmarkStart w:id="42" w:name="_Toc354486655"/>
      <w:bookmarkStart w:id="43" w:name="_Toc354486961"/>
      <w:r>
        <w:t>10</w:t>
      </w:r>
      <w:r w:rsidR="00C10A1F" w:rsidRPr="00556D69">
        <w:t>.4</w:t>
      </w:r>
      <w:bookmarkEnd w:id="37"/>
      <w:bookmarkEnd w:id="38"/>
      <w:r w:rsidR="0022235D">
        <w:tab/>
      </w:r>
      <w:bookmarkStart w:id="44" w:name="_Toc238963288"/>
      <w:bookmarkStart w:id="45" w:name="_Toc241065174"/>
      <w:r w:rsidR="00C10A1F" w:rsidRPr="00753989">
        <w:rPr>
          <w:szCs w:val="28"/>
        </w:rPr>
        <w:t xml:space="preserve">Infrastructures </w:t>
      </w:r>
      <w:r w:rsidR="00086C3C" w:rsidRPr="00753989">
        <w:rPr>
          <w:szCs w:val="28"/>
        </w:rPr>
        <w:t xml:space="preserve">nationales </w:t>
      </w:r>
      <w:r w:rsidR="00DE4E32">
        <w:rPr>
          <w:szCs w:val="28"/>
        </w:rPr>
        <w:br/>
      </w:r>
      <w:r w:rsidR="00C10A1F" w:rsidRPr="00753989">
        <w:rPr>
          <w:szCs w:val="28"/>
        </w:rPr>
        <w:t>juridiques et administratives</w:t>
      </w:r>
      <w:bookmarkEnd w:id="39"/>
      <w:r w:rsidR="00C10A1F" w:rsidRPr="00603A8C">
        <w:rPr>
          <w:w w:val="95"/>
        </w:rPr>
        <w:t xml:space="preserve"> </w:t>
      </w:r>
      <w:bookmarkEnd w:id="40"/>
      <w:bookmarkEnd w:id="41"/>
      <w:bookmarkEnd w:id="42"/>
      <w:bookmarkEnd w:id="43"/>
      <w:bookmarkEnd w:id="44"/>
      <w:bookmarkEnd w:id="45"/>
    </w:p>
    <w:p w14:paraId="11F752C3" w14:textId="7B6F0DA2" w:rsidR="004325DC" w:rsidRDefault="00C10A1F" w:rsidP="00914287">
      <w:pPr>
        <w:pStyle w:val="Texte1"/>
      </w:pPr>
      <w:r w:rsidRPr="00556D69">
        <w:t>Les infrastructures juridiques et administratives nationales (ou fédérales) peuvent prévoir des mesures relatives au PCI énoncées dans une constitution et une législation sur le patrimoine ou des politiques culturelles et patrimoniales, des centres nationaux de recherche et de documentation pour le PCI (dans des universités et autres établissements), des musées, des centres d</w:t>
      </w:r>
      <w:r w:rsidR="00A61E6D">
        <w:t>’</w:t>
      </w:r>
      <w:r w:rsidRPr="00556D69">
        <w:t>archives, etc., des organes consultatifs et des mécanismes de coordination. Elles peuvent aussi traiter du PCI dans des politiques, des lois et des institutions relatives à d</w:t>
      </w:r>
      <w:r w:rsidR="00A61E6D">
        <w:t>’</w:t>
      </w:r>
      <w:r w:rsidRPr="00556D69">
        <w:t>autres domaines comme les finances, les droits de propriété intellectuelle (DPI), la médecine, la santé et l</w:t>
      </w:r>
      <w:r w:rsidR="00A61E6D">
        <w:t>’</w:t>
      </w:r>
      <w:r w:rsidRPr="00556D69">
        <w:t>agriculture.</w:t>
      </w:r>
    </w:p>
    <w:p w14:paraId="582EAF1F" w14:textId="6E6AF1E4" w:rsidR="004325DC" w:rsidRDefault="00C10A1F" w:rsidP="00914287">
      <w:pPr>
        <w:pStyle w:val="Texte1"/>
      </w:pPr>
      <w:r w:rsidRPr="00556D69">
        <w:t>Les mesures légales et administratives prises à l</w:t>
      </w:r>
      <w:r w:rsidR="00A61E6D">
        <w:t>’</w:t>
      </w:r>
      <w:r w:rsidRPr="00556D69">
        <w:t>échelon national sont essentiellement censées contribuer de façon générale à la promotion et la sauvegarde du PCI et créer un cadre propice aux actions de sauvegarde entreprises au niveau local. Les mesures mises en œuvre au niveau national ont, en général, un impact très direct sur la viabilité des éléments du PCI.</w:t>
      </w:r>
    </w:p>
    <w:p w14:paraId="12011F84" w14:textId="70A53443" w:rsidR="00C10A1F" w:rsidRPr="00556D69" w:rsidRDefault="00C10A1F">
      <w:pPr>
        <w:pStyle w:val="Heading4"/>
      </w:pPr>
      <w:bookmarkStart w:id="46" w:name="_Toc247360256"/>
      <w:r w:rsidRPr="00556D69">
        <w:lastRenderedPageBreak/>
        <w:t xml:space="preserve">Rapports entre les politiques ou les institutions du PCI </w:t>
      </w:r>
      <w:r w:rsidR="00972FD9">
        <w:br/>
      </w:r>
      <w:r w:rsidRPr="00556D69">
        <w:t>et les autres infrastructures nationales</w:t>
      </w:r>
      <w:bookmarkEnd w:id="46"/>
    </w:p>
    <w:p w14:paraId="5022C9F8" w14:textId="6D5D8058" w:rsidR="004325DC" w:rsidRDefault="00C10A1F" w:rsidP="00914287">
      <w:pPr>
        <w:pStyle w:val="Texte1"/>
      </w:pPr>
      <w:r w:rsidRPr="00556D69">
        <w:t xml:space="preserve">Dans certains États, le patrimoine matériel et le </w:t>
      </w:r>
      <w:r w:rsidR="00BB2FF5" w:rsidRPr="00556D69">
        <w:t>patrimoine culturel immatériel</w:t>
      </w:r>
      <w:r w:rsidRPr="00556D69">
        <w:t xml:space="preserve"> sont la responsabilité d</w:t>
      </w:r>
      <w:r w:rsidR="00A61E6D">
        <w:t>’</w:t>
      </w:r>
      <w:r w:rsidRPr="00556D69">
        <w:t>une seule et unique structure législative et institutionnelle</w:t>
      </w:r>
      <w:r w:rsidR="00EA1FE1" w:rsidRPr="00556D69">
        <w:t> ;</w:t>
      </w:r>
      <w:r w:rsidRPr="00556D69">
        <w:t xml:space="preserve"> dans d</w:t>
      </w:r>
      <w:r w:rsidR="00A61E6D">
        <w:t>’</w:t>
      </w:r>
      <w:r w:rsidRPr="00556D69">
        <w:t>autres, ces responsabilités sont séparées. Les institutions existantes peuvent assumer de nouvelles fonctions requises pour superviser des aspects de la mise en œuvre de la Convention ou de nouvelles instances peuvent être créées.</w:t>
      </w:r>
    </w:p>
    <w:p w14:paraId="61AAFFB7" w14:textId="293FBD63" w:rsidR="004325DC" w:rsidRDefault="00C10A1F" w:rsidP="00914287">
      <w:pPr>
        <w:pStyle w:val="Informations"/>
      </w:pPr>
      <w:r w:rsidRPr="00556D69">
        <w:t>L</w:t>
      </w:r>
      <w:r w:rsidR="00A61E6D">
        <w:t>’</w:t>
      </w:r>
      <w:r w:rsidR="003F5CA8">
        <w:t>Étude de cas</w:t>
      </w:r>
      <w:r w:rsidRPr="00556D69">
        <w:t xml:space="preserve"> 29, donne l</w:t>
      </w:r>
      <w:r w:rsidR="00A61E6D">
        <w:t>’</w:t>
      </w:r>
      <w:r w:rsidRPr="00556D69">
        <w:t>exemple d</w:t>
      </w:r>
      <w:r w:rsidR="00A61E6D">
        <w:t>’</w:t>
      </w:r>
      <w:r w:rsidRPr="00556D69">
        <w:t>un groupe d</w:t>
      </w:r>
      <w:r w:rsidR="00A61E6D">
        <w:t>’</w:t>
      </w:r>
      <w:r w:rsidRPr="00556D69">
        <w:t>agences gouvernementales qui interviennent dans la sauvegarde du PCI en Afrique du Sud.</w:t>
      </w:r>
    </w:p>
    <w:p w14:paraId="7820FA66" w14:textId="3BD6DC26" w:rsidR="004325DC" w:rsidRDefault="006F42B3" w:rsidP="00914287">
      <w:pPr>
        <w:pStyle w:val="Texte1"/>
      </w:pPr>
      <w:r>
        <w:rPr>
          <w:noProof/>
          <w:lang w:eastAsia="fr-FR"/>
        </w:rPr>
        <w:drawing>
          <wp:anchor distT="0" distB="0" distL="114300" distR="114300" simplePos="0" relativeHeight="251915776" behindDoc="0" locked="1" layoutInCell="1" allowOverlap="0" wp14:anchorId="04C3F957" wp14:editId="3F0DEA9D">
            <wp:simplePos x="0" y="0"/>
            <wp:positionH relativeFrom="column">
              <wp:posOffset>-635</wp:posOffset>
            </wp:positionH>
            <wp:positionV relativeFrom="paragraph">
              <wp:posOffset>-376555</wp:posOffset>
            </wp:positionV>
            <wp:extent cx="283210" cy="358775"/>
            <wp:effectExtent l="0" t="0" r="0" b="0"/>
            <wp:wrapThrough wrapText="bothSides">
              <wp:wrapPolygon edited="0">
                <wp:start x="0" y="0"/>
                <wp:lineTo x="0" y="19880"/>
                <wp:lineTo x="19372" y="19880"/>
                <wp:lineTo x="19372" y="0"/>
                <wp:lineTo x="0" y="0"/>
              </wp:wrapPolygon>
            </wp:wrapThrough>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C10A1F" w:rsidRPr="00556D69">
        <w:t>Dans les États où l</w:t>
      </w:r>
      <w:r w:rsidR="00A61E6D">
        <w:t>’</w:t>
      </w:r>
      <w:r w:rsidR="00C10A1F" w:rsidRPr="00556D69">
        <w:t>administration est assez centralisée, les institutions centrales exercent des fonctions patrimoniales sous l</w:t>
      </w:r>
      <w:r w:rsidR="00A61E6D">
        <w:t>’</w:t>
      </w:r>
      <w:r w:rsidR="00C10A1F" w:rsidRPr="00556D69">
        <w:t>égide d</w:t>
      </w:r>
      <w:r w:rsidR="00A61E6D">
        <w:t>’</w:t>
      </w:r>
      <w:r w:rsidR="00C10A1F" w:rsidRPr="00556D69">
        <w:t>un ministère national et de ses politiques. En général, la structure juridique et administrative propre à la mise en œuvre de la Convention au niveau national n</w:t>
      </w:r>
      <w:r w:rsidR="00A61E6D">
        <w:t>’</w:t>
      </w:r>
      <w:r w:rsidR="00C10A1F" w:rsidRPr="00556D69">
        <w:t>est pas uniquement l</w:t>
      </w:r>
      <w:r w:rsidR="00A61E6D">
        <w:t>’</w:t>
      </w:r>
      <w:r w:rsidR="00C10A1F" w:rsidRPr="00556D69">
        <w:t xml:space="preserve">affaire du Ministère de la Culture ou de son équivalent. Dans beaucoup de pays, la Constitution nationale ou la Déclaration des droits </w:t>
      </w:r>
      <w:r w:rsidR="00CF2C59">
        <w:t>permettent aux</w:t>
      </w:r>
      <w:r w:rsidR="00C10A1F" w:rsidRPr="00556D69">
        <w:t xml:space="preserve"> individus à participer aux pratiques culturelles (dans la mesure où cela ne porte pas préjudice à d</w:t>
      </w:r>
      <w:r w:rsidR="00A61E6D">
        <w:t>’</w:t>
      </w:r>
      <w:r w:rsidR="00C10A1F" w:rsidRPr="00556D69">
        <w:t>autres droits humains). La politique et la législation en matière d</w:t>
      </w:r>
      <w:r w:rsidR="00A61E6D">
        <w:t>’</w:t>
      </w:r>
      <w:r w:rsidR="00C10A1F" w:rsidRPr="00556D69">
        <w:t>agriculture, de tourisme, de médecine, de finances ou autres domaines peuvent avoir une incidence (positive ou négative) sur la manière dont les communautés, les ONG et autres institutions, et les agences gouvernementales peuvent sauvegarder le PCI sur leur territoire.</w:t>
      </w:r>
    </w:p>
    <w:p w14:paraId="243322FA" w14:textId="49EF156F" w:rsidR="004325DC" w:rsidRDefault="00C10A1F" w:rsidP="00914287">
      <w:pPr>
        <w:pStyle w:val="Texte1"/>
      </w:pPr>
      <w:r w:rsidRPr="00556D69">
        <w:t>Dans certains pays, les impôts élevés sur les successions découragent les gens de léguer de précieux instruments de musique ou costumes traditionnels en leur possession à de jeunes praticiens pour qu</w:t>
      </w:r>
      <w:r w:rsidR="00A61E6D">
        <w:t>’</w:t>
      </w:r>
      <w:r w:rsidRPr="00556D69">
        <w:t>ils continuent à s</w:t>
      </w:r>
      <w:r w:rsidR="00A61E6D">
        <w:t>’</w:t>
      </w:r>
      <w:r w:rsidRPr="00556D69">
        <w:t>en servir dans les représentations du PCI</w:t>
      </w:r>
      <w:r w:rsidR="00EA1FE1" w:rsidRPr="00556D69">
        <w:t> ;</w:t>
      </w:r>
      <w:r w:rsidRPr="00556D69">
        <w:t xml:space="preserve"> au lieu de cela, ils sont forcés de les vendre à des musées ou d</w:t>
      </w:r>
      <w:r w:rsidR="00A61E6D">
        <w:t>’</w:t>
      </w:r>
      <w:r w:rsidRPr="00556D69">
        <w:t>autres institutions. Des amendements appropriés en termes juridiques pourraient encourager la pratique continue du PCI.</w:t>
      </w:r>
    </w:p>
    <w:p w14:paraId="58D1977A" w14:textId="7853099C" w:rsidR="00C10A1F" w:rsidRPr="00556D69" w:rsidRDefault="00C10A1F">
      <w:pPr>
        <w:pStyle w:val="Heading4"/>
      </w:pPr>
      <w:bookmarkStart w:id="47" w:name="_Toc247360257"/>
      <w:r w:rsidRPr="00556D69">
        <w:t>Danger d</w:t>
      </w:r>
      <w:r w:rsidR="00A61E6D">
        <w:t>’</w:t>
      </w:r>
      <w:r w:rsidRPr="00556D69">
        <w:t>un contr</w:t>
      </w:r>
      <w:r w:rsidR="006C362F">
        <w:t>Ô</w:t>
      </w:r>
      <w:r w:rsidRPr="00556D69">
        <w:t xml:space="preserve">le </w:t>
      </w:r>
      <w:r w:rsidR="006C362F" w:rsidRPr="00556D69">
        <w:t>l</w:t>
      </w:r>
      <w:r w:rsidR="006C362F">
        <w:t>É</w:t>
      </w:r>
      <w:r w:rsidR="006C362F" w:rsidRPr="00556D69">
        <w:t xml:space="preserve">gislatif </w:t>
      </w:r>
      <w:r w:rsidRPr="00556D69">
        <w:t xml:space="preserve">ou </w:t>
      </w:r>
      <w:r w:rsidR="009F5434">
        <w:br/>
      </w:r>
      <w:r w:rsidRPr="00556D69">
        <w:t>d</w:t>
      </w:r>
      <w:r w:rsidR="00A61E6D">
        <w:t>’</w:t>
      </w:r>
      <w:r w:rsidRPr="00556D69">
        <w:t xml:space="preserve">une intervention administrative trop </w:t>
      </w:r>
      <w:bookmarkEnd w:id="47"/>
      <w:r w:rsidR="006C362F" w:rsidRPr="00556D69">
        <w:t>pouss</w:t>
      </w:r>
      <w:r w:rsidR="006C362F">
        <w:t>É</w:t>
      </w:r>
      <w:r w:rsidR="006C362F" w:rsidRPr="00556D69">
        <w:t>e</w:t>
      </w:r>
    </w:p>
    <w:p w14:paraId="7BAD082C" w14:textId="1173DA94" w:rsidR="004325DC" w:rsidRDefault="00C10A1F" w:rsidP="00914287">
      <w:pPr>
        <w:pStyle w:val="Texte1"/>
      </w:pPr>
      <w:r w:rsidRPr="00556D69">
        <w:t xml:space="preserve">Bien que la Convention encourage les États parties à mettre en œuvre des mesures légales et administratives, </w:t>
      </w:r>
      <w:r w:rsidR="009F5434">
        <w:t>ceux-ci</w:t>
      </w:r>
      <w:r w:rsidRPr="00556D69">
        <w:t xml:space="preserve"> n</w:t>
      </w:r>
      <w:r w:rsidR="00A61E6D">
        <w:t>’</w:t>
      </w:r>
      <w:r w:rsidRPr="00556D69">
        <w:t>ont pas besoin de législation officielle pour exécuter les tâches qu</w:t>
      </w:r>
      <w:r w:rsidR="00A61E6D">
        <w:t>’</w:t>
      </w:r>
      <w:r w:rsidRPr="00556D69">
        <w:t>ils sont obligés d</w:t>
      </w:r>
      <w:r w:rsidR="00A61E6D">
        <w:t>’</w:t>
      </w:r>
      <w:r w:rsidRPr="00556D69">
        <w:t>accomplir dans la mise en œuvre de la Convention. Paradoxalement, un contrôle législatif excessif ou une intervention administrative trop poussée pourrait également entraver la sauvegarde du PCI</w:t>
      </w:r>
      <w:r w:rsidR="00EA1FE1" w:rsidRPr="00556D69">
        <w:t> :</w:t>
      </w:r>
      <w:r w:rsidRPr="00556D69">
        <w:t xml:space="preserve"> les communautés doivent être laissées aussi libres que possible de décider quand et comment elles veulent représenter leur PCI. Il convient également de laisser aux communautés le contrôle de leur PCI, du moment que leurs pratiques et expressions dans ce domaine sont conformes à la législation et aux politiques pertinentes dans leur pays. La législation et la politique de l</w:t>
      </w:r>
      <w:r w:rsidR="00A61E6D">
        <w:t>’</w:t>
      </w:r>
      <w:r w:rsidRPr="00556D69">
        <w:t>État ne devraient en principe exclure aucune forme de PCI conforme à la définition du PCI dans la Convention, pas plus qu</w:t>
      </w:r>
      <w:r w:rsidR="00A61E6D">
        <w:t>’</w:t>
      </w:r>
      <w:r w:rsidRPr="00556D69">
        <w:t>elles ne devraient attribuer le PCI de ces communautés à l</w:t>
      </w:r>
      <w:r w:rsidR="00A61E6D">
        <w:t>’</w:t>
      </w:r>
      <w:r w:rsidRPr="00556D69">
        <w:t>État.</w:t>
      </w:r>
    </w:p>
    <w:p w14:paraId="28946512" w14:textId="70DE135A" w:rsidR="004325DC" w:rsidRDefault="006F42B3" w:rsidP="00C1515E">
      <w:pPr>
        <w:pStyle w:val="Titcoul"/>
      </w:pPr>
      <w:bookmarkStart w:id="48" w:name="_Toc238963289"/>
      <w:bookmarkStart w:id="49" w:name="_Toc241065175"/>
      <w:bookmarkStart w:id="50" w:name="_Toc301443389"/>
      <w:bookmarkStart w:id="51" w:name="_Toc321407032"/>
      <w:bookmarkStart w:id="52" w:name="_Toc354486656"/>
      <w:bookmarkStart w:id="53" w:name="_Toc354486962"/>
      <w:bookmarkStart w:id="54" w:name="_Toc247360258"/>
      <w:r>
        <w:lastRenderedPageBreak/>
        <w:t>10</w:t>
      </w:r>
      <w:r w:rsidR="00C10A1F" w:rsidRPr="00556D69">
        <w:t>.5</w:t>
      </w:r>
      <w:bookmarkEnd w:id="48"/>
      <w:bookmarkEnd w:id="49"/>
      <w:r w:rsidR="0022235D">
        <w:tab/>
      </w:r>
      <w:bookmarkStart w:id="55" w:name="_Toc238963290"/>
      <w:bookmarkStart w:id="56" w:name="_Toc241065176"/>
      <w:r w:rsidR="00C10A1F" w:rsidRPr="00556D69">
        <w:t>Cadres institutionnels</w:t>
      </w:r>
      <w:bookmarkEnd w:id="50"/>
      <w:bookmarkEnd w:id="51"/>
      <w:bookmarkEnd w:id="52"/>
      <w:bookmarkEnd w:id="53"/>
      <w:bookmarkEnd w:id="54"/>
      <w:bookmarkEnd w:id="55"/>
      <w:bookmarkEnd w:id="56"/>
    </w:p>
    <w:p w14:paraId="5FF62314" w14:textId="22650A44" w:rsidR="004325DC" w:rsidRDefault="00C10A1F" w:rsidP="00914287">
      <w:pPr>
        <w:pStyle w:val="Texte1"/>
      </w:pPr>
      <w:r w:rsidRPr="00556D69">
        <w:t>Les types d</w:t>
      </w:r>
      <w:r w:rsidR="00A61E6D">
        <w:t>’</w:t>
      </w:r>
      <w:r w:rsidRPr="00556D69">
        <w:t xml:space="preserve">activités pour lesquelles, selon la Convention et ses Directives opérationnelles, diverses institutions pourraient contribuer (avec la participation et le consentement </w:t>
      </w:r>
      <w:r w:rsidR="009867A4">
        <w:t xml:space="preserve">des </w:t>
      </w:r>
      <w:r w:rsidR="00A84586">
        <w:t>communautés</w:t>
      </w:r>
      <w:r w:rsidRPr="00556D69">
        <w:t xml:space="preserve">) à la sauvegarde du PCI, ont été </w:t>
      </w:r>
      <w:proofErr w:type="gramStart"/>
      <w:r w:rsidRPr="00556D69">
        <w:t>résumées</w:t>
      </w:r>
      <w:proofErr w:type="gramEnd"/>
      <w:r w:rsidRPr="00556D69">
        <w:t xml:space="preserve"> dans </w:t>
      </w:r>
      <w:r w:rsidR="006F42B3">
        <w:t xml:space="preserve">le </w:t>
      </w:r>
      <w:r w:rsidR="009F5434">
        <w:rPr>
          <w:noProof/>
          <w:lang w:eastAsia="fr-FR"/>
        </w:rPr>
        <w:drawing>
          <wp:anchor distT="0" distB="0" distL="114300" distR="114300" simplePos="0" relativeHeight="252050944" behindDoc="0" locked="1" layoutInCell="1" allowOverlap="0" wp14:anchorId="116BBC81" wp14:editId="39467E6C">
            <wp:simplePos x="0" y="0"/>
            <wp:positionH relativeFrom="column">
              <wp:posOffset>0</wp:posOffset>
            </wp:positionH>
            <wp:positionV relativeFrom="paragraph">
              <wp:posOffset>467995</wp:posOffset>
            </wp:positionV>
            <wp:extent cx="283210" cy="358775"/>
            <wp:effectExtent l="0" t="0" r="0" b="0"/>
            <wp:wrapThrough wrapText="bothSides">
              <wp:wrapPolygon edited="0">
                <wp:start x="0" y="0"/>
                <wp:lineTo x="0" y="19880"/>
                <wp:lineTo x="19372" y="19880"/>
                <wp:lineTo x="1937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46D3D">
        <w:t>Texte du participant</w:t>
      </w:r>
      <w:r w:rsidR="0022235D">
        <w:t> </w:t>
      </w:r>
      <w:r w:rsidR="006F42B3">
        <w:t>4</w:t>
      </w:r>
      <w:r w:rsidRPr="00556D69">
        <w:t>.8. Certes, les institutions peuvent aussi travailler directement avec les communautés concernées sur leur propre initiative si ces dernières sont d</w:t>
      </w:r>
      <w:r w:rsidR="00A61E6D">
        <w:t>’</w:t>
      </w:r>
      <w:r w:rsidRPr="00556D69">
        <w:t>accord. Les activités qu</w:t>
      </w:r>
      <w:r w:rsidR="00A61E6D">
        <w:t>’</w:t>
      </w:r>
      <w:r w:rsidRPr="00556D69">
        <w:t>elles entreprennent n</w:t>
      </w:r>
      <w:r w:rsidR="00A61E6D">
        <w:t>’</w:t>
      </w:r>
      <w:r w:rsidRPr="00556D69">
        <w:t>ont pas à être centralisées, mais elles peuvent avoir besoin d</w:t>
      </w:r>
      <w:r w:rsidR="00A61E6D">
        <w:t>’</w:t>
      </w:r>
      <w:r w:rsidRPr="00556D69">
        <w:t>être coordonnées pour maximiser l</w:t>
      </w:r>
      <w:r w:rsidR="00A61E6D">
        <w:t>’</w:t>
      </w:r>
      <w:r w:rsidRPr="00556D69">
        <w:t>efficience et éviter la duplication.</w:t>
      </w:r>
    </w:p>
    <w:p w14:paraId="00AC914F" w14:textId="194796BE" w:rsidR="004325DC" w:rsidRDefault="00C10A1F" w:rsidP="00914287">
      <w:pPr>
        <w:pStyle w:val="Texte1"/>
      </w:pPr>
      <w:r w:rsidRPr="00556D69">
        <w:t>Les Directives opérationnelles encouragent les États parties à créer un organisme consultatif ou un mécanisme de coordination pour faciliter la participation des communautés et des experts aux diverses tâches (</w:t>
      </w:r>
      <w:r w:rsidR="00461004" w:rsidRPr="00556D69">
        <w:t>DO </w:t>
      </w:r>
      <w:r w:rsidRPr="00556D69">
        <w:t>80). Les États parties ne sont pas soumis à l</w:t>
      </w:r>
      <w:r w:rsidR="00A61E6D">
        <w:t>’</w:t>
      </w:r>
      <w:r w:rsidRPr="00556D69">
        <w:t xml:space="preserve">obligation de créer ces structures, mais il leur est conseillé de réfléchir à la manière dont la participation </w:t>
      </w:r>
      <w:r w:rsidR="009867A4">
        <w:t>des communautés</w:t>
      </w:r>
      <w:r w:rsidRPr="00556D69">
        <w:t xml:space="preserve"> à la sauvegarde du PCI peut être assurée et la coordination des activités de sauvegarde réalisée. La preuve de la participation de la communauté </w:t>
      </w:r>
      <w:r w:rsidR="00BB70F2">
        <w:t>– </w:t>
      </w:r>
      <w:r w:rsidRPr="00556D69">
        <w:t>et parfois aussi de son consentement</w:t>
      </w:r>
      <w:r w:rsidR="00BB70F2">
        <w:t> –</w:t>
      </w:r>
      <w:r w:rsidRPr="00556D69">
        <w:t xml:space="preserve"> est requise dans les rapports périodiques (</w:t>
      </w:r>
      <w:r w:rsidR="00461004" w:rsidRPr="00556D69">
        <w:t>DO </w:t>
      </w:r>
      <w:r w:rsidRPr="00556D69">
        <w:t>157(e) et 162(d)) et les dossiers de candidature (</w:t>
      </w:r>
      <w:r w:rsidR="00461004" w:rsidRPr="00556D69">
        <w:t>DO </w:t>
      </w:r>
      <w:r w:rsidRPr="00556D69">
        <w:t>1</w:t>
      </w:r>
      <w:r w:rsidR="00A84586">
        <w:t>-</w:t>
      </w:r>
      <w:r w:rsidRPr="00556D69">
        <w:t>2).</w:t>
      </w:r>
    </w:p>
    <w:p w14:paraId="33413F53" w14:textId="6A6EA7CD" w:rsidR="004325DC" w:rsidRDefault="006F42B3" w:rsidP="00C1515E">
      <w:pPr>
        <w:pStyle w:val="Titcoul"/>
      </w:pPr>
      <w:bookmarkStart w:id="57" w:name="_Toc238963291"/>
      <w:bookmarkStart w:id="58" w:name="_Toc241065177"/>
      <w:bookmarkStart w:id="59" w:name="_Toc301443390"/>
      <w:bookmarkStart w:id="60" w:name="_Toc321407033"/>
      <w:bookmarkStart w:id="61" w:name="_Toc354486657"/>
      <w:bookmarkStart w:id="62" w:name="_Toc354486963"/>
      <w:bookmarkStart w:id="63" w:name="_Toc247360259"/>
      <w:r>
        <w:t>10</w:t>
      </w:r>
      <w:r w:rsidR="00C10A1F" w:rsidRPr="00556D69">
        <w:t>.6</w:t>
      </w:r>
      <w:bookmarkEnd w:id="57"/>
      <w:bookmarkEnd w:id="58"/>
      <w:r w:rsidR="0022235D">
        <w:tab/>
      </w:r>
      <w:bookmarkStart w:id="64" w:name="_Toc238963292"/>
      <w:bookmarkStart w:id="65" w:name="_Toc241065178"/>
      <w:r w:rsidR="00C10A1F" w:rsidRPr="00556D69">
        <w:t xml:space="preserve">Protection des droits de </w:t>
      </w:r>
      <w:r w:rsidR="008D07D5" w:rsidRPr="00556D69">
        <w:t>propri</w:t>
      </w:r>
      <w:r w:rsidR="008D07D5">
        <w:t>É</w:t>
      </w:r>
      <w:r w:rsidR="008D07D5" w:rsidRPr="00556D69">
        <w:t xml:space="preserve">té </w:t>
      </w:r>
      <w:r w:rsidR="00C10A1F" w:rsidRPr="00556D69">
        <w:t xml:space="preserve">intellectuelle </w:t>
      </w:r>
      <w:r w:rsidR="00972FD9">
        <w:br/>
      </w:r>
      <w:r w:rsidR="00C10A1F" w:rsidRPr="00556D69">
        <w:t>au niveau national</w:t>
      </w:r>
      <w:bookmarkEnd w:id="59"/>
      <w:bookmarkEnd w:id="60"/>
      <w:bookmarkEnd w:id="61"/>
      <w:bookmarkEnd w:id="62"/>
      <w:bookmarkEnd w:id="63"/>
      <w:bookmarkEnd w:id="64"/>
      <w:bookmarkEnd w:id="65"/>
    </w:p>
    <w:p w14:paraId="692732FC" w14:textId="2CA8B7EA" w:rsidR="004325DC" w:rsidRDefault="00C10A1F" w:rsidP="00914287">
      <w:pPr>
        <w:pStyle w:val="Texte1"/>
      </w:pPr>
      <w:r w:rsidRPr="00556D69">
        <w:t xml:space="preserve">La </w:t>
      </w:r>
      <w:r w:rsidR="009F5434">
        <w:t>Convention</w:t>
      </w:r>
      <w:r w:rsidRPr="00556D69">
        <w:t xml:space="preserve"> met davantage l</w:t>
      </w:r>
      <w:r w:rsidR="00A61E6D">
        <w:t>’</w:t>
      </w:r>
      <w:r w:rsidRPr="00556D69">
        <w:t xml:space="preserve">accent sur la sauvegarde du PCI que sur la protection juridique des manifestations spécifiques du PCI à travers les régimes des droits de propriété intellectuelle (DPI). Cependant, la </w:t>
      </w:r>
      <w:r w:rsidR="00461004" w:rsidRPr="00556D69">
        <w:t>DO </w:t>
      </w:r>
      <w:r w:rsidRPr="00556D69">
        <w:t>104 recommande aux États parties de s</w:t>
      </w:r>
      <w:r w:rsidR="00A61E6D">
        <w:t>’</w:t>
      </w:r>
      <w:r w:rsidRPr="00556D69">
        <w:t>attacher à faire en sorte, à travers l</w:t>
      </w:r>
      <w:r w:rsidR="00A61E6D">
        <w:t>’</w:t>
      </w:r>
      <w:r w:rsidRPr="00556D69">
        <w:t>application des DPI et de toute autre forme de protection juridique, que les droits des communautés sur leur PCI soient dûment protégés lorsqu</w:t>
      </w:r>
      <w:r w:rsidR="00A61E6D">
        <w:t>’</w:t>
      </w:r>
      <w:r w:rsidRPr="00556D69">
        <w:t>ils sensibilisent ou entreprennent des activités commerciales.</w:t>
      </w:r>
    </w:p>
    <w:p w14:paraId="1FDBD39A" w14:textId="231AD1CE" w:rsidR="004325DC" w:rsidRDefault="006F42B3" w:rsidP="00150FFB">
      <w:pPr>
        <w:pStyle w:val="Informations"/>
      </w:pPr>
      <w:r w:rsidRPr="00EB66C5">
        <w:rPr>
          <w:noProof/>
          <w:lang w:eastAsia="fr-FR"/>
        </w:rPr>
        <w:drawing>
          <wp:anchor distT="0" distB="0" distL="114300" distR="114300" simplePos="0" relativeHeight="251919872" behindDoc="0" locked="1" layoutInCell="1" allowOverlap="0" wp14:anchorId="7F00AD70" wp14:editId="01A50D92">
            <wp:simplePos x="0" y="0"/>
            <wp:positionH relativeFrom="column">
              <wp:posOffset>0</wp:posOffset>
            </wp:positionH>
            <wp:positionV relativeFrom="paragraph">
              <wp:posOffset>-60960</wp:posOffset>
            </wp:positionV>
            <wp:extent cx="283210" cy="358775"/>
            <wp:effectExtent l="0" t="0" r="0" b="0"/>
            <wp:wrapThrough wrapText="bothSides">
              <wp:wrapPolygon edited="0">
                <wp:start x="0" y="0"/>
                <wp:lineTo x="0" y="19880"/>
                <wp:lineTo x="19372" y="19880"/>
                <wp:lineTo x="19372" y="0"/>
                <wp:lineTo x="0" y="0"/>
              </wp:wrapPolygon>
            </wp:wrapThrough>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C10A1F" w:rsidRPr="00556D69">
        <w:t>Voir</w:t>
      </w:r>
      <w:r>
        <w:t xml:space="preserve"> le </w:t>
      </w:r>
      <w:r w:rsidR="001E73A9">
        <w:t>Texte du participant de l’</w:t>
      </w:r>
      <w:r>
        <w:t>Unité 3</w:t>
      </w:r>
      <w:r w:rsidR="00EA1FE1" w:rsidRPr="00556D69">
        <w:t> :</w:t>
      </w:r>
      <w:r w:rsidR="00043DFF" w:rsidRPr="00556D69">
        <w:t xml:space="preserve"> « </w:t>
      </w:r>
      <w:r w:rsidR="00C10A1F" w:rsidRPr="00556D69">
        <w:t>Propriété intellectuelle</w:t>
      </w:r>
      <w:r w:rsidR="00461004" w:rsidRPr="00556D69">
        <w:t> ».</w:t>
      </w:r>
    </w:p>
    <w:p w14:paraId="4F517D8E" w14:textId="77777777" w:rsidR="004325DC" w:rsidRDefault="00C10A1F" w:rsidP="00914287">
      <w:pPr>
        <w:pStyle w:val="Texte1"/>
      </w:pPr>
      <w:r w:rsidRPr="00556D69">
        <w:t>Certains types de protection de la PI en usage, comme les marques déposées ou les marques de garantie, peuvent aider à protéger les DPI associés au PCI, y compris les droits moraux. Cependant, les régimes de DPI existants ne sont pas toujours en mesure de protéger les droits des communautés sur leur PCI, et il y a des pays où le droit de la propriété intellectuelle a ainsi été amendé pour que cela puisse se produire. Par exemple, des savoirs traditionnels peuvent être consignés dans une base de données spéciale (comme</w:t>
      </w:r>
      <w:r w:rsidRPr="00556D69">
        <w:rPr>
          <w:rFonts w:ascii="AXNUBV+TheSans-Plain" w:eastAsia="Calibri" w:hAnsi="AXNUBV+TheSans-Plain" w:cs="AXNUBV+TheSans-Plain"/>
          <w:color w:val="000000"/>
          <w:sz w:val="17"/>
          <w:szCs w:val="17"/>
        </w:rPr>
        <w:t xml:space="preserve"> </w:t>
      </w:r>
      <w:r w:rsidRPr="00556D69">
        <w:t xml:space="preserve">la </w:t>
      </w:r>
      <w:proofErr w:type="spellStart"/>
      <w:r w:rsidRPr="00556D69">
        <w:t>Traditional</w:t>
      </w:r>
      <w:proofErr w:type="spellEnd"/>
      <w:r w:rsidRPr="00556D69">
        <w:t xml:space="preserve"> </w:t>
      </w:r>
      <w:proofErr w:type="spellStart"/>
      <w:r w:rsidRPr="00556D69">
        <w:t>Knowledge</w:t>
      </w:r>
      <w:proofErr w:type="spellEnd"/>
      <w:r w:rsidRPr="00556D69">
        <w:t xml:space="preserve"> Digital Library, ou TKDL, en Inde) pour empêcher de prendre des brevets commerciaux sans la participation ou le consentement de la communauté.</w:t>
      </w:r>
    </w:p>
    <w:p w14:paraId="044A9CC9" w14:textId="0A9BAB6F" w:rsidR="00C10A1F" w:rsidRPr="00556D69" w:rsidRDefault="00C10A1F">
      <w:pPr>
        <w:pStyle w:val="Heading4"/>
      </w:pPr>
      <w:bookmarkStart w:id="66" w:name="_Toc247360260"/>
      <w:r w:rsidRPr="00556D69">
        <w:t xml:space="preserve">Comment la protection des DPI peut-elle </w:t>
      </w:r>
      <w:r w:rsidR="006F4396">
        <w:t>Ê</w:t>
      </w:r>
      <w:r w:rsidRPr="00556D69">
        <w:t xml:space="preserve">tre </w:t>
      </w:r>
      <w:r w:rsidR="006F4396" w:rsidRPr="00556D69">
        <w:t>b</w:t>
      </w:r>
      <w:r w:rsidR="006F4396">
        <w:t>É</w:t>
      </w:r>
      <w:r w:rsidR="006F4396" w:rsidRPr="00556D69">
        <w:t>n</w:t>
      </w:r>
      <w:r w:rsidR="006F4396">
        <w:t>É</w:t>
      </w:r>
      <w:r w:rsidR="006F4396" w:rsidRPr="00556D69">
        <w:t xml:space="preserve">fique </w:t>
      </w:r>
      <w:r w:rsidRPr="00556D69">
        <w:t xml:space="preserve">aux </w:t>
      </w:r>
      <w:r w:rsidR="006F4396" w:rsidRPr="00556D69">
        <w:t>communaut</w:t>
      </w:r>
      <w:r w:rsidR="006F4396">
        <w:t>É</w:t>
      </w:r>
      <w:r w:rsidR="006F4396" w:rsidRPr="00556D69">
        <w:t xml:space="preserve">s </w:t>
      </w:r>
      <w:bookmarkEnd w:id="66"/>
      <w:r w:rsidR="006F4396" w:rsidRPr="00556D69">
        <w:t>concern</w:t>
      </w:r>
      <w:r w:rsidR="006F4396">
        <w:t>É</w:t>
      </w:r>
      <w:r w:rsidR="006F4396" w:rsidRPr="00556D69">
        <w:t>es</w:t>
      </w:r>
    </w:p>
    <w:p w14:paraId="3D6D8996" w14:textId="6F2310EA" w:rsidR="004325DC" w:rsidRDefault="00C10A1F" w:rsidP="00914287">
      <w:pPr>
        <w:pStyle w:val="Texte1"/>
      </w:pPr>
      <w:r w:rsidRPr="00556D69">
        <w:t>Grâce à des régimes modifiés de DPI et d</w:t>
      </w:r>
      <w:r w:rsidR="00A61E6D">
        <w:t>’</w:t>
      </w:r>
      <w:r w:rsidRPr="00556D69">
        <w:t>autres mécanismes, les entreprises intéressées par la commercialisation de savoirs ou d</w:t>
      </w:r>
      <w:r w:rsidR="00A61E6D">
        <w:t>’</w:t>
      </w:r>
      <w:r w:rsidRPr="00556D69">
        <w:t xml:space="preserve">expressions du PCI pourraient être encouragées ou forcées à développer des accords de partage des bénéfices avec les communautés </w:t>
      </w:r>
      <w:r w:rsidRPr="00556D69">
        <w:lastRenderedPageBreak/>
        <w:t>concernées. Le fait de protéger les droits de PI peut aider les communautés à maintenir un meilleur contrôle des avantages économiques tirés des différents types de PCI, de l</w:t>
      </w:r>
      <w:r w:rsidR="00A61E6D">
        <w:t>’</w:t>
      </w:r>
      <w:r w:rsidRPr="00556D69">
        <w:t>accès aux représentations, la vente d</w:t>
      </w:r>
      <w:r w:rsidR="00A61E6D">
        <w:t>’</w:t>
      </w:r>
      <w:r w:rsidRPr="00556D69">
        <w:t>enregistrements et de produits associés à leurs connaissances ou savoir-faire traditionnels. Cela peut aussi aider les communautés à lutter contre une représentation erronée de leur image et de leur PCI. C</w:t>
      </w:r>
      <w:r w:rsidR="00A61E6D">
        <w:t>’</w:t>
      </w:r>
      <w:r w:rsidRPr="00556D69">
        <w:t>est souvent l</w:t>
      </w:r>
      <w:r w:rsidR="00A61E6D">
        <w:t>’</w:t>
      </w:r>
      <w:r w:rsidRPr="00556D69">
        <w:t>ignorance de la loi et une incapacité à la mettre en application qui empêche les communautés de protéger leurs droits à l</w:t>
      </w:r>
      <w:r w:rsidR="00A61E6D">
        <w:t>’</w:t>
      </w:r>
      <w:r w:rsidRPr="00556D69">
        <w:t>égard de leur patrimoine. Il est possible d</w:t>
      </w:r>
      <w:r w:rsidR="00A61E6D">
        <w:t>’</w:t>
      </w:r>
      <w:r w:rsidRPr="00556D69">
        <w:t>aider, le cas échéant, les communautés à négocier des accords qui protègent leurs droits et leurs intérêts.</w:t>
      </w:r>
    </w:p>
    <w:p w14:paraId="2E440CAB" w14:textId="77777777" w:rsidR="004325DC" w:rsidRDefault="00C10A1F" w:rsidP="00914287">
      <w:pPr>
        <w:pStyle w:val="Texte1"/>
      </w:pPr>
      <w:r w:rsidRPr="00556D69">
        <w:t xml:space="preserve">La protection des DPI est parfois difficile à faire appliquer et ne peut pas nécessairement traiter les problèmes plus vastes de la pauvreté et de la marginalisation sociale. Dans certaines situations, le fait de mettre les informations non secrètes sur le PCI dans le domaine public et de se concentrer sur les projets de développement </w:t>
      </w:r>
      <w:r w:rsidR="009867A4">
        <w:t xml:space="preserve">des </w:t>
      </w:r>
      <w:r w:rsidR="00A84586">
        <w:t>communautés</w:t>
      </w:r>
      <w:r w:rsidRPr="00556D69">
        <w:t xml:space="preserve"> peut être aussi un moteur efficace du développement.</w:t>
      </w:r>
    </w:p>
    <w:p w14:paraId="32EF4A17" w14:textId="21E0DFCB" w:rsidR="004325DC" w:rsidRDefault="006F42B3" w:rsidP="00C1515E">
      <w:pPr>
        <w:pStyle w:val="Titcoul"/>
      </w:pPr>
      <w:bookmarkStart w:id="67" w:name="_Toc238963293"/>
      <w:bookmarkStart w:id="68" w:name="_Toc241065179"/>
      <w:bookmarkStart w:id="69" w:name="_Toc301443391"/>
      <w:bookmarkStart w:id="70" w:name="_Toc321407034"/>
      <w:bookmarkStart w:id="71" w:name="_Toc354486658"/>
      <w:bookmarkStart w:id="72" w:name="_Toc354486964"/>
      <w:bookmarkStart w:id="73" w:name="_Toc247360261"/>
      <w:r>
        <w:t>10</w:t>
      </w:r>
      <w:r w:rsidR="00C10A1F" w:rsidRPr="00556D69">
        <w:t>.7</w:t>
      </w:r>
      <w:bookmarkEnd w:id="67"/>
      <w:bookmarkEnd w:id="68"/>
      <w:r w:rsidR="0022235D">
        <w:tab/>
      </w:r>
      <w:bookmarkStart w:id="74" w:name="_Toc238963294"/>
      <w:bookmarkStart w:id="75" w:name="_Toc241065180"/>
      <w:r w:rsidR="00BB70F2">
        <w:t>C</w:t>
      </w:r>
      <w:r w:rsidR="00C10A1F" w:rsidRPr="00556D69">
        <w:t>ontexte international</w:t>
      </w:r>
      <w:bookmarkEnd w:id="69"/>
      <w:bookmarkEnd w:id="70"/>
      <w:bookmarkEnd w:id="71"/>
      <w:bookmarkEnd w:id="72"/>
      <w:bookmarkEnd w:id="73"/>
      <w:bookmarkEnd w:id="74"/>
      <w:bookmarkEnd w:id="75"/>
    </w:p>
    <w:p w14:paraId="20FA2FFF" w14:textId="27FB7CED" w:rsidR="004325DC" w:rsidRDefault="00C10A1F" w:rsidP="00914287">
      <w:pPr>
        <w:pStyle w:val="Texte1"/>
      </w:pPr>
      <w:r w:rsidRPr="00556D69">
        <w:t xml:space="preserve">La manière dont la Convention du </w:t>
      </w:r>
      <w:r w:rsidR="00BB2FF5" w:rsidRPr="00556D69">
        <w:t>patrimoine culturel immatériel</w:t>
      </w:r>
      <w:r w:rsidRPr="00556D69">
        <w:t xml:space="preserve"> est mise en œuvre et le PCI sauvegardé à l</w:t>
      </w:r>
      <w:r w:rsidR="00A61E6D">
        <w:t>’</w:t>
      </w:r>
      <w:r w:rsidRPr="00556D69">
        <w:t>échelon national est influencée à partir du niveau international par des conventions, des recommandations et des déclarations, des codes d</w:t>
      </w:r>
      <w:r w:rsidR="00A61E6D">
        <w:t>’</w:t>
      </w:r>
      <w:r w:rsidRPr="00556D69">
        <w:t>éthique, des codes de conduite et autres documents faisant autorité. Grâce au travail en réseau au niveau international, diverses organisations internationales comme des centres de recherche ou des ONG, peuvent aussi influencer le mode d</w:t>
      </w:r>
      <w:r w:rsidR="00A61E6D">
        <w:t>’</w:t>
      </w:r>
      <w:r w:rsidRPr="00556D69">
        <w:t>application de la Convention, non seulement sur la scène internationale, mais aussi nationale.</w:t>
      </w:r>
    </w:p>
    <w:p w14:paraId="391002BC" w14:textId="75F45867" w:rsidR="004325DC" w:rsidRDefault="00C10A1F" w:rsidP="00914287">
      <w:pPr>
        <w:pStyle w:val="Texte1"/>
      </w:pPr>
      <w:r w:rsidRPr="00556D69">
        <w:t>Les institutions et les instruments juridiques pertinents au niveau international pour l</w:t>
      </w:r>
      <w:r w:rsidR="00A61E6D">
        <w:t>’</w:t>
      </w:r>
      <w:r w:rsidRPr="00556D69">
        <w:t>interprétation et la mise en œuvre de la Convention du PCI sont</w:t>
      </w:r>
      <w:r w:rsidR="00EA1FE1" w:rsidRPr="00556D69">
        <w:t> :</w:t>
      </w:r>
    </w:p>
    <w:p w14:paraId="1AFC4A66" w14:textId="39F04C1F" w:rsidR="006C3387" w:rsidRDefault="00C10A1F" w:rsidP="00150FFB">
      <w:pPr>
        <w:pStyle w:val="Enutiret"/>
      </w:pPr>
      <w:r w:rsidRPr="00556D69">
        <w:t>les instruments internationaux relatifs aux droits de l</w:t>
      </w:r>
      <w:r w:rsidR="00A61E6D">
        <w:t>’</w:t>
      </w:r>
      <w:r w:rsidRPr="00556D69">
        <w:t>homme (</w:t>
      </w:r>
      <w:r w:rsidR="00043DFF" w:rsidRPr="00556D69">
        <w:t>article </w:t>
      </w:r>
      <w:r w:rsidRPr="00556D69">
        <w:t>2.1)</w:t>
      </w:r>
      <w:r w:rsidR="00EA1FE1" w:rsidRPr="00556D69">
        <w:t> ;</w:t>
      </w:r>
    </w:p>
    <w:p w14:paraId="5BBEF72E" w14:textId="23C57DD8" w:rsidR="006C3387" w:rsidRDefault="00C10A1F" w:rsidP="00150FFB">
      <w:pPr>
        <w:pStyle w:val="Enutiret"/>
      </w:pPr>
      <w:r w:rsidRPr="00556D69">
        <w:t>la Convention du patrimoine mondial (mentionnée dans l</w:t>
      </w:r>
      <w:r w:rsidR="00A61E6D">
        <w:t>’</w:t>
      </w:r>
      <w:r w:rsidR="00043DFF" w:rsidRPr="00556D69">
        <w:t>article </w:t>
      </w:r>
      <w:r w:rsidRPr="00556D69">
        <w:t>3(a) de la Convention du PCI) et les autres Conventions de l</w:t>
      </w:r>
      <w:r w:rsidR="00A61E6D">
        <w:t>’</w:t>
      </w:r>
      <w:r w:rsidRPr="00556D69">
        <w:t>UNESCO dans le domaine du patrimoine et de la culture</w:t>
      </w:r>
      <w:r w:rsidR="00EA1FE1" w:rsidRPr="00556D69">
        <w:t> ;</w:t>
      </w:r>
    </w:p>
    <w:p w14:paraId="481D8E88" w14:textId="0F7CBC8B" w:rsidR="006C3387" w:rsidRDefault="00C10A1F" w:rsidP="00150FFB">
      <w:pPr>
        <w:pStyle w:val="Enutiret"/>
      </w:pPr>
      <w:r w:rsidRPr="00556D69">
        <w:t>les instruments internationaux relatifs à la propriété intellectuelle et l</w:t>
      </w:r>
      <w:r w:rsidR="00A61E6D">
        <w:t>’</w:t>
      </w:r>
      <w:r w:rsidRPr="00556D69">
        <w:t>usage des ressources biologiques et écologiques (mentionné dans l</w:t>
      </w:r>
      <w:r w:rsidR="00A61E6D">
        <w:t>’</w:t>
      </w:r>
      <w:r w:rsidR="00043DFF" w:rsidRPr="00556D69">
        <w:t>article </w:t>
      </w:r>
      <w:r w:rsidRPr="00556D69">
        <w:t>3(b)), y compris les lignes directrices à établir par l</w:t>
      </w:r>
      <w:r w:rsidR="00A61E6D">
        <w:t>’</w:t>
      </w:r>
      <w:r w:rsidRPr="00556D69">
        <w:t>Organisation mondiale de la Propriété intellectuelle (OMPI)</w:t>
      </w:r>
      <w:r w:rsidR="00EA1FE1" w:rsidRPr="00556D69">
        <w:t> ;</w:t>
      </w:r>
      <w:r w:rsidRPr="00556D69">
        <w:t xml:space="preserve"> et</w:t>
      </w:r>
    </w:p>
    <w:p w14:paraId="30F1C3AF" w14:textId="77777777" w:rsidR="006C3387" w:rsidRDefault="00C10A1F" w:rsidP="00150FFB">
      <w:pPr>
        <w:pStyle w:val="Enutiret"/>
      </w:pPr>
      <w:r w:rsidRPr="00556D69">
        <w:t>les mécanismes de coopération au niveau international, bilatéral et régional (</w:t>
      </w:r>
      <w:r w:rsidR="00043DFF" w:rsidRPr="00556D69">
        <w:t>article </w:t>
      </w:r>
      <w:r w:rsidRPr="00556D69">
        <w:t>19), y compris les réseaux et centres de catégorie II (</w:t>
      </w:r>
      <w:r w:rsidR="00461004" w:rsidRPr="00556D69">
        <w:t>DO </w:t>
      </w:r>
      <w:r w:rsidRPr="00556D69">
        <w:t>86 et 88).</w:t>
      </w:r>
    </w:p>
    <w:p w14:paraId="0BB62ED7" w14:textId="6130F999" w:rsidR="004325DC" w:rsidRDefault="00C10A1F" w:rsidP="00150FFB">
      <w:pPr>
        <w:pStyle w:val="Informations"/>
      </w:pPr>
      <w:r w:rsidRPr="00556D69">
        <w:t xml:space="preserve">Les instruments internationaux mentionnés dans les trois premiers points ci-dessus sont examinés dans les sections suivantes de </w:t>
      </w:r>
      <w:r w:rsidR="008D5B4A">
        <w:t>cette unité</w:t>
      </w:r>
      <w:r w:rsidR="00EA1FE1" w:rsidRPr="00556D69">
        <w:t> ;</w:t>
      </w:r>
      <w:r w:rsidRPr="00556D69">
        <w:t xml:space="preserve"> les mécanismes de coopération internationale auxquels fait référence le quatrième point sont analysés dans</w:t>
      </w:r>
      <w:r w:rsidR="006F42B3">
        <w:t xml:space="preserve"> le Texte </w:t>
      </w:r>
      <w:r w:rsidR="00972FD9">
        <w:t>du</w:t>
      </w:r>
      <w:r w:rsidR="006F42B3">
        <w:t xml:space="preserve"> </w:t>
      </w:r>
      <w:r w:rsidR="006F42B3" w:rsidRPr="00EB66C5">
        <w:rPr>
          <w:noProof/>
          <w:lang w:eastAsia="fr-FR"/>
        </w:rPr>
        <w:drawing>
          <wp:anchor distT="0" distB="0" distL="114300" distR="114300" simplePos="0" relativeHeight="251921920" behindDoc="0" locked="1" layoutInCell="1" allowOverlap="0" wp14:anchorId="245AB43A" wp14:editId="4EBF51A3">
            <wp:simplePos x="0" y="0"/>
            <wp:positionH relativeFrom="column">
              <wp:posOffset>0</wp:posOffset>
            </wp:positionH>
            <wp:positionV relativeFrom="paragraph">
              <wp:posOffset>431800</wp:posOffset>
            </wp:positionV>
            <wp:extent cx="283210" cy="358775"/>
            <wp:effectExtent l="0" t="0" r="0" b="0"/>
            <wp:wrapThrough wrapText="bothSides">
              <wp:wrapPolygon edited="0">
                <wp:start x="0" y="0"/>
                <wp:lineTo x="0" y="19880"/>
                <wp:lineTo x="19372" y="19880"/>
                <wp:lineTo x="19372" y="0"/>
                <wp:lineTo x="0" y="0"/>
              </wp:wrapPolygon>
            </wp:wrapThrough>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972FD9">
        <w:t>participant</w:t>
      </w:r>
      <w:r w:rsidR="001E73A9">
        <w:t xml:space="preserve"> de l’</w:t>
      </w:r>
      <w:r w:rsidR="006F42B3">
        <w:t>Unité 12.</w:t>
      </w:r>
    </w:p>
    <w:p w14:paraId="28739885" w14:textId="3F59DE16" w:rsidR="004325DC" w:rsidRDefault="006F42B3" w:rsidP="00C1515E">
      <w:pPr>
        <w:pStyle w:val="Titcoul"/>
      </w:pPr>
      <w:bookmarkStart w:id="76" w:name="_Toc238963295"/>
      <w:bookmarkStart w:id="77" w:name="_Toc241065181"/>
      <w:bookmarkStart w:id="78" w:name="_Toc301443392"/>
      <w:bookmarkStart w:id="79" w:name="_Toc321407035"/>
      <w:bookmarkStart w:id="80" w:name="_Toc354486659"/>
      <w:bookmarkStart w:id="81" w:name="_Toc354486965"/>
      <w:bookmarkStart w:id="82" w:name="_Toc247360262"/>
      <w:r>
        <w:lastRenderedPageBreak/>
        <w:t>10</w:t>
      </w:r>
      <w:r w:rsidR="00C10A1F" w:rsidRPr="00556D69">
        <w:t>.8</w:t>
      </w:r>
      <w:bookmarkEnd w:id="76"/>
      <w:bookmarkEnd w:id="77"/>
      <w:r w:rsidR="0022235D">
        <w:tab/>
      </w:r>
      <w:bookmarkStart w:id="83" w:name="_Toc238963296"/>
      <w:bookmarkStart w:id="84" w:name="_Toc241065182"/>
      <w:r w:rsidR="00C10A1F" w:rsidRPr="00556D69">
        <w:t>Instruments internationaux des droits de l</w:t>
      </w:r>
      <w:r w:rsidR="00A61E6D">
        <w:t>’</w:t>
      </w:r>
      <w:r w:rsidR="00C10A1F" w:rsidRPr="00556D69">
        <w:t>homme</w:t>
      </w:r>
      <w:bookmarkEnd w:id="78"/>
      <w:bookmarkEnd w:id="79"/>
      <w:bookmarkEnd w:id="80"/>
      <w:bookmarkEnd w:id="81"/>
      <w:bookmarkEnd w:id="82"/>
      <w:bookmarkEnd w:id="83"/>
      <w:bookmarkEnd w:id="84"/>
    </w:p>
    <w:p w14:paraId="75AEFAAF" w14:textId="0FC3A79F" w:rsidR="004325DC" w:rsidRDefault="00C10A1F" w:rsidP="00914287">
      <w:pPr>
        <w:pStyle w:val="Texte1"/>
      </w:pPr>
      <w:r w:rsidRPr="00556D69">
        <w:t>La Convention fait référence dans son préambule à un certain nombre d</w:t>
      </w:r>
      <w:r w:rsidR="00A61E6D">
        <w:t>’</w:t>
      </w:r>
      <w:r w:rsidRPr="00556D69">
        <w:t>instruments internationaux en matière de droits de l</w:t>
      </w:r>
      <w:r w:rsidR="00A61E6D">
        <w:t>’</w:t>
      </w:r>
      <w:r w:rsidRPr="00556D69">
        <w:t>homme</w:t>
      </w:r>
      <w:r w:rsidR="00EA1FE1" w:rsidRPr="00556D69">
        <w:t> :</w:t>
      </w:r>
    </w:p>
    <w:p w14:paraId="54D3F9A5" w14:textId="4F651ECC" w:rsidR="004325DC" w:rsidRDefault="00C10A1F" w:rsidP="00150FFB">
      <w:pPr>
        <w:pStyle w:val="citation"/>
      </w:pPr>
      <w:r w:rsidRPr="00556D69">
        <w:t>Se référant aux instruments internationaux existants relatifs aux droits de l</w:t>
      </w:r>
      <w:r w:rsidR="00A61E6D">
        <w:t>’</w:t>
      </w:r>
      <w:r w:rsidRPr="00556D69">
        <w:t>homme, en particulier à la Déclaration universelle des droits de l</w:t>
      </w:r>
      <w:r w:rsidR="00A61E6D">
        <w:t>’</w:t>
      </w:r>
      <w:r w:rsidRPr="00556D69">
        <w:t>homme de 1948, au Pacte international relatif aux droits économiques, sociaux et culturels de 1966 et au Pacte international relatif aux droits civils et politiques de 1966…</w:t>
      </w:r>
    </w:p>
    <w:p w14:paraId="631D0256" w14:textId="4C21606A" w:rsidR="004325DC" w:rsidRDefault="004325DC" w:rsidP="00914287">
      <w:pPr>
        <w:pStyle w:val="Texte1"/>
      </w:pPr>
      <w:r w:rsidRPr="00150FFB">
        <w:rPr>
          <w:b/>
        </w:rPr>
        <w:t>L</w:t>
      </w:r>
      <w:r w:rsidR="00A61E6D">
        <w:rPr>
          <w:b/>
        </w:rPr>
        <w:t>’</w:t>
      </w:r>
      <w:r w:rsidRPr="00150FFB">
        <w:rPr>
          <w:b/>
        </w:rPr>
        <w:t>article 2.1</w:t>
      </w:r>
      <w:r w:rsidR="00C10A1F" w:rsidRPr="00C1515E">
        <w:t xml:space="preserve"> </w:t>
      </w:r>
      <w:r w:rsidR="00C10A1F" w:rsidRPr="00556D69">
        <w:t>stipule que seul le PCI conforme aux instruments internationaux des droits de l</w:t>
      </w:r>
      <w:r w:rsidR="00A61E6D">
        <w:t>’</w:t>
      </w:r>
      <w:r w:rsidR="00C10A1F" w:rsidRPr="00556D69">
        <w:t>homme sera pris en compte aux fins de la Convention</w:t>
      </w:r>
      <w:r w:rsidR="00EA1FE1" w:rsidRPr="00556D69">
        <w:t> :</w:t>
      </w:r>
    </w:p>
    <w:p w14:paraId="6AEF7D73" w14:textId="377C9874" w:rsidR="004325DC" w:rsidRDefault="00C10A1F" w:rsidP="00150FFB">
      <w:pPr>
        <w:pStyle w:val="citation"/>
      </w:pPr>
      <w:r w:rsidRPr="00556D69">
        <w:t>… Aux fins de la présente Convention, seul sera pris en considération le patrimoine culturel immatériel conforme aux instruments internationaux existants relatifs aux droits de l</w:t>
      </w:r>
      <w:r w:rsidR="00A61E6D">
        <w:t>’</w:t>
      </w:r>
      <w:r w:rsidRPr="00556D69">
        <w:t>homme</w:t>
      </w:r>
      <w:r w:rsidR="00953DB9">
        <w:t>…</w:t>
      </w:r>
    </w:p>
    <w:p w14:paraId="00AC8750" w14:textId="67427843" w:rsidR="004325DC" w:rsidRDefault="00C10A1F" w:rsidP="00914287">
      <w:pPr>
        <w:pStyle w:val="Texte1"/>
      </w:pPr>
      <w:r w:rsidRPr="00556D69">
        <w:t>Il y a, bien sûr, d</w:t>
      </w:r>
      <w:r w:rsidR="00A61E6D">
        <w:t>’</w:t>
      </w:r>
      <w:r w:rsidRPr="00556D69">
        <w:t>autres instruments relatifs aux droits de l</w:t>
      </w:r>
      <w:r w:rsidR="00A61E6D">
        <w:t>’</w:t>
      </w:r>
      <w:r w:rsidRPr="00556D69">
        <w:t>homme, non mentionnés de manière spécifique dans la Convention, qui sont pertinents à cet égard. Un texte particulièrement pertinent et largement entériné est celui de la Déclaration des Nations Unies sur les droits des peuples autochtones (2007)</w:t>
      </w:r>
      <w:r w:rsidRPr="00556D69">
        <w:rPr>
          <w:vertAlign w:val="superscript"/>
        </w:rPr>
        <w:footnoteReference w:id="6"/>
      </w:r>
      <w:r w:rsidRPr="00556D69">
        <w:t xml:space="preserve"> qui reconnaît que</w:t>
      </w:r>
      <w:r w:rsidR="00043DFF" w:rsidRPr="00556D69">
        <w:t xml:space="preserve"> « </w:t>
      </w:r>
      <w:r w:rsidRPr="00556D69">
        <w:t>le respect des savoirs, des cultures et des pratiques traditionnelles autochtones contribue à une mise en valeur durable et équitable de l</w:t>
      </w:r>
      <w:r w:rsidR="00A61E6D">
        <w:t>’</w:t>
      </w:r>
      <w:r w:rsidRPr="00556D69">
        <w:t>environnement</w:t>
      </w:r>
      <w:r w:rsidR="00461004" w:rsidRPr="00556D69">
        <w:t xml:space="preserve"> ». </w:t>
      </w:r>
      <w:r w:rsidRPr="00556D69">
        <w:t>Elle souligne que les peuples autochtones ont le</w:t>
      </w:r>
      <w:r w:rsidR="00043DFF" w:rsidRPr="00556D69">
        <w:t xml:space="preserve"> « </w:t>
      </w:r>
      <w:r w:rsidRPr="00556D69">
        <w:t>droit d</w:t>
      </w:r>
      <w:r w:rsidR="00A61E6D">
        <w:t>’</w:t>
      </w:r>
      <w:r w:rsidRPr="00556D69">
        <w:t>observer et de revivifier leurs traditions culturelles et leurs coutumes</w:t>
      </w:r>
      <w:r w:rsidR="00043DFF" w:rsidRPr="00556D69">
        <w:t xml:space="preserve"> » </w:t>
      </w:r>
      <w:r w:rsidRPr="00556D69">
        <w:t>et le droit à</w:t>
      </w:r>
      <w:r w:rsidR="00043DFF" w:rsidRPr="00556D69">
        <w:t xml:space="preserve"> « </w:t>
      </w:r>
      <w:r w:rsidRPr="00556D69">
        <w:t>la dignité et la diversité de leurs cultures, de leurs traditions, de leur histoire et de leurs aspirations</w:t>
      </w:r>
      <w:r w:rsidR="00461004" w:rsidRPr="00556D69">
        <w:t xml:space="preserve"> », </w:t>
      </w:r>
      <w:r w:rsidRPr="00556D69">
        <w:t>y compris les médecines traditionnelles. Ils ont aussi le droit de</w:t>
      </w:r>
      <w:r w:rsidR="00043DFF" w:rsidRPr="00556D69">
        <w:t xml:space="preserve"> « </w:t>
      </w:r>
      <w:r w:rsidRPr="00556D69">
        <w:t>préserver, de contrôler, de protéger et de développer leur patrimoine culturel, leur savoir traditionnel et leurs expressions culturelles traditionnelles</w:t>
      </w:r>
      <w:r w:rsidR="00461004" w:rsidRPr="00556D69">
        <w:t xml:space="preserve"> ». </w:t>
      </w:r>
      <w:r w:rsidRPr="00556D69">
        <w:t>En outre,</w:t>
      </w:r>
      <w:r w:rsidR="00043DFF" w:rsidRPr="00556D69">
        <w:t xml:space="preserve"> « </w:t>
      </w:r>
      <w:r w:rsidRPr="00556D69">
        <w:t>les autochtones, peuples et individus, ont le droit de ne pas subir d</w:t>
      </w:r>
      <w:r w:rsidR="00A61E6D">
        <w:t>’</w:t>
      </w:r>
      <w:r w:rsidRPr="00556D69">
        <w:t>assimilation forcée ou de destruction de leur culture</w:t>
      </w:r>
      <w:r w:rsidR="00461004" w:rsidRPr="00556D69">
        <w:t> ».</w:t>
      </w:r>
    </w:p>
    <w:p w14:paraId="3C8B781E" w14:textId="69740F20" w:rsidR="004325DC" w:rsidRDefault="006F42B3" w:rsidP="00C1515E">
      <w:pPr>
        <w:pStyle w:val="Titcoul"/>
      </w:pPr>
      <w:bookmarkStart w:id="85" w:name="_Toc238963297"/>
      <w:bookmarkStart w:id="86" w:name="_Toc241065183"/>
      <w:bookmarkStart w:id="87" w:name="_Toc301443393"/>
      <w:bookmarkStart w:id="88" w:name="_Toc321407036"/>
      <w:bookmarkStart w:id="89" w:name="_Toc354486660"/>
      <w:bookmarkStart w:id="90" w:name="_Toc354486966"/>
      <w:bookmarkStart w:id="91" w:name="_Toc247360263"/>
      <w:r>
        <w:t>10</w:t>
      </w:r>
      <w:r w:rsidR="00C10A1F" w:rsidRPr="00556D69">
        <w:t>.9</w:t>
      </w:r>
      <w:bookmarkEnd w:id="85"/>
      <w:bookmarkEnd w:id="86"/>
      <w:r w:rsidR="0022235D">
        <w:tab/>
      </w:r>
      <w:bookmarkStart w:id="92" w:name="_Toc238963298"/>
      <w:bookmarkStart w:id="93" w:name="_Toc241065184"/>
      <w:r w:rsidR="00C10A1F" w:rsidRPr="00556D69">
        <w:t>Convention du patrimoine mondial</w:t>
      </w:r>
      <w:bookmarkEnd w:id="87"/>
      <w:bookmarkEnd w:id="88"/>
      <w:bookmarkEnd w:id="89"/>
      <w:bookmarkEnd w:id="90"/>
      <w:bookmarkEnd w:id="91"/>
      <w:bookmarkEnd w:id="92"/>
      <w:bookmarkEnd w:id="93"/>
    </w:p>
    <w:p w14:paraId="4D8BF1A3" w14:textId="7C0C94E7" w:rsidR="004325DC" w:rsidRDefault="00C10A1F" w:rsidP="00914287">
      <w:pPr>
        <w:pStyle w:val="Texte1"/>
      </w:pPr>
      <w:r w:rsidRPr="00556D69">
        <w:t>La Convention du patrimoine mondial est mentionnée dans l</w:t>
      </w:r>
      <w:r w:rsidR="00A61E6D">
        <w:t>’</w:t>
      </w:r>
      <w:r w:rsidR="00043DFF" w:rsidRPr="00150FFB">
        <w:rPr>
          <w:b/>
        </w:rPr>
        <w:t>article </w:t>
      </w:r>
      <w:r w:rsidRPr="00150FFB">
        <w:rPr>
          <w:b/>
        </w:rPr>
        <w:t>3(a)</w:t>
      </w:r>
      <w:r w:rsidRPr="00556D69">
        <w:t xml:space="preserve"> de la Convention du </w:t>
      </w:r>
      <w:r w:rsidR="00BB2FF5" w:rsidRPr="00556D69">
        <w:t>patrimoine culturel immatériel</w:t>
      </w:r>
      <w:r w:rsidR="00EA1FE1" w:rsidRPr="00556D69">
        <w:t> :</w:t>
      </w:r>
    </w:p>
    <w:p w14:paraId="0CC1D2C9" w14:textId="405A03CD" w:rsidR="004325DC" w:rsidRDefault="00C10A1F" w:rsidP="00150FFB">
      <w:pPr>
        <w:pStyle w:val="citation"/>
      </w:pPr>
      <w:r w:rsidRPr="00556D69">
        <w:t>Rien dans la présente Convention ne peut être interprété comme</w:t>
      </w:r>
      <w:r w:rsidR="00EA1FE1" w:rsidRPr="00556D69">
        <w:t> :</w:t>
      </w:r>
    </w:p>
    <w:p w14:paraId="02C010F6" w14:textId="5850A557" w:rsidR="004325DC" w:rsidRDefault="007C70FB" w:rsidP="00914287">
      <w:pPr>
        <w:pStyle w:val="numrationa"/>
      </w:pPr>
      <w:r>
        <w:t>(a)</w:t>
      </w:r>
      <w:r w:rsidR="003259DC">
        <w:tab/>
      </w:r>
      <w:r w:rsidR="00C10A1F" w:rsidRPr="00556D69">
        <w:t>altérant le statut ou diminuant le niveau de protection des biens déclarés du patrimoine mondial dans le cadre de la Convention concernant la protection du patrimoine mondial, culturel et naturel de 1972, auxquels un élément du patrimoine culturel immatériel est directement associé…</w:t>
      </w:r>
    </w:p>
    <w:p w14:paraId="1D5759BA" w14:textId="09B957B5" w:rsidR="004325DC" w:rsidRDefault="00C10A1F" w:rsidP="00914287">
      <w:pPr>
        <w:pStyle w:val="Texte1"/>
      </w:pPr>
      <w:r w:rsidRPr="00556D69">
        <w:t>Un certain nombre d</w:t>
      </w:r>
      <w:r w:rsidR="00A61E6D">
        <w:t>’</w:t>
      </w:r>
      <w:r w:rsidRPr="00556D69">
        <w:t>éléments du PCI figurant sur la Liste représentative ou sur la Liste de sauvegarde urgente sont effectivement représentés par des communautés qui se trouvent sur ou près de sites du patrimoine mondial. Par exemple, les Rizières en terrasses des cordillères des Philippines sont sur la Liste du patrimoine mondial</w:t>
      </w:r>
      <w:r w:rsidR="00EA1FE1" w:rsidRPr="00556D69">
        <w:t> ;</w:t>
      </w:r>
      <w:r w:rsidRPr="00556D69">
        <w:t xml:space="preserve"> les </w:t>
      </w:r>
      <w:proofErr w:type="spellStart"/>
      <w:r w:rsidRPr="00556D69">
        <w:t>Ifugao</w:t>
      </w:r>
      <w:proofErr w:type="spellEnd"/>
      <w:r w:rsidRPr="00556D69">
        <w:t xml:space="preserve"> vivent à proximité et travaillent dans ces rizières en terrasses. Leurs chants </w:t>
      </w:r>
      <w:proofErr w:type="spellStart"/>
      <w:r w:rsidRPr="00556D69">
        <w:t>Hudhud</w:t>
      </w:r>
      <w:proofErr w:type="spellEnd"/>
      <w:r w:rsidRPr="00556D69">
        <w:t xml:space="preserve">, récits chantés traditionnellement interprétés pendant le semis et la récolte du riz dans les </w:t>
      </w:r>
      <w:r w:rsidRPr="00556D69">
        <w:lastRenderedPageBreak/>
        <w:t xml:space="preserve">champs en terrasse et lors de rituels spécifiques, sont inscrits sur la Liste représentative de la Convention du </w:t>
      </w:r>
      <w:r w:rsidR="00BB2FF5" w:rsidRPr="00556D69">
        <w:t>patrimoine culturel immatériel</w:t>
      </w:r>
      <w:r w:rsidRPr="00556D69">
        <w:t xml:space="preserve">. Dans ce cas, il y a un lien très organique entre le site, la communauté concernée et son PCI. La protection des rizières en terrasses et la sauvegarde des chants </w:t>
      </w:r>
      <w:proofErr w:type="spellStart"/>
      <w:r w:rsidRPr="00556D69">
        <w:t>Hudhud</w:t>
      </w:r>
      <w:proofErr w:type="spellEnd"/>
      <w:r w:rsidRPr="00556D69">
        <w:t xml:space="preserve"> sont étroitement mêlées et mutuellement bénéfiques pour la communauté </w:t>
      </w:r>
      <w:proofErr w:type="spellStart"/>
      <w:r w:rsidRPr="00556D69">
        <w:t>Ifugao</w:t>
      </w:r>
      <w:proofErr w:type="spellEnd"/>
      <w:r w:rsidRPr="00556D69">
        <w:t xml:space="preserve"> concernée.</w:t>
      </w:r>
    </w:p>
    <w:p w14:paraId="27B446E9" w14:textId="266682E9" w:rsidR="00BB5F18" w:rsidRDefault="00BB5F18" w:rsidP="00603A8C">
      <w:pPr>
        <w:pStyle w:val="Soustitre"/>
      </w:pPr>
      <w:r>
        <w:t>Pour plus d</w:t>
      </w:r>
      <w:r w:rsidR="00A61E6D">
        <w:t>’</w:t>
      </w:r>
      <w:r>
        <w:t>informations :</w:t>
      </w:r>
    </w:p>
    <w:p w14:paraId="3B19FC6E" w14:textId="45B8FB69" w:rsidR="004325DC" w:rsidRDefault="00C10A1F" w:rsidP="00603A8C">
      <w:pPr>
        <w:pStyle w:val="Informations"/>
        <w:keepNext/>
      </w:pPr>
      <w:r w:rsidRPr="00556D69">
        <w:t>Se référer à l</w:t>
      </w:r>
      <w:r w:rsidR="00A61E6D">
        <w:t>’</w:t>
      </w:r>
      <w:r w:rsidR="003F5CA8">
        <w:t>Étude de cas</w:t>
      </w:r>
      <w:r w:rsidRPr="00556D69">
        <w:t xml:space="preserve"> 33 sur les récits chantés </w:t>
      </w:r>
      <w:proofErr w:type="spellStart"/>
      <w:r w:rsidRPr="00556D69">
        <w:t>Hudhud</w:t>
      </w:r>
      <w:proofErr w:type="spellEnd"/>
      <w:r w:rsidRPr="00556D69">
        <w:t>.</w:t>
      </w:r>
    </w:p>
    <w:p w14:paraId="6EF5D9DB" w14:textId="79E4DCF9" w:rsidR="004325DC" w:rsidRDefault="00C10A1F" w:rsidP="00603A8C">
      <w:pPr>
        <w:pStyle w:val="Informations"/>
        <w:keepNext/>
      </w:pPr>
      <w:r w:rsidRPr="00556D69">
        <w:t xml:space="preserve">Voir </w:t>
      </w:r>
      <w:r w:rsidR="006F42B3">
        <w:t xml:space="preserve">le </w:t>
      </w:r>
      <w:r w:rsidR="00646D3D">
        <w:t>Texte du participant</w:t>
      </w:r>
      <w:r w:rsidR="001E73A9">
        <w:t xml:space="preserve"> de l’</w:t>
      </w:r>
      <w:r w:rsidR="006F42B3">
        <w:t>Unité 13</w:t>
      </w:r>
      <w:r w:rsidRPr="00556D69">
        <w:t xml:space="preserve"> sur la Convention du </w:t>
      </w:r>
      <w:r w:rsidR="006F42B3">
        <w:rPr>
          <w:noProof/>
          <w:lang w:eastAsia="fr-FR"/>
        </w:rPr>
        <w:drawing>
          <wp:anchor distT="0" distB="0" distL="114300" distR="114300" simplePos="0" relativeHeight="251923968" behindDoc="0" locked="1" layoutInCell="1" allowOverlap="0" wp14:anchorId="311C3C58" wp14:editId="18B3C6C9">
            <wp:simplePos x="0" y="0"/>
            <wp:positionH relativeFrom="column">
              <wp:posOffset>0</wp:posOffset>
            </wp:positionH>
            <wp:positionV relativeFrom="paragraph">
              <wp:posOffset>-180340</wp:posOffset>
            </wp:positionV>
            <wp:extent cx="283210" cy="358775"/>
            <wp:effectExtent l="0" t="0" r="0" b="0"/>
            <wp:wrapThrough wrapText="bothSides">
              <wp:wrapPolygon edited="0">
                <wp:start x="0" y="0"/>
                <wp:lineTo x="0" y="19880"/>
                <wp:lineTo x="19372" y="19880"/>
                <wp:lineTo x="19372" y="0"/>
                <wp:lineTo x="0" y="0"/>
              </wp:wrapPolygon>
            </wp:wrapThrough>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556D69">
        <w:t>patrimoine mondial.</w:t>
      </w:r>
    </w:p>
    <w:p w14:paraId="4C62576C" w14:textId="2143585D" w:rsidR="004325DC" w:rsidRDefault="006F42B3" w:rsidP="00C1515E">
      <w:pPr>
        <w:pStyle w:val="Titcoul"/>
      </w:pPr>
      <w:bookmarkStart w:id="94" w:name="_Toc238963299"/>
      <w:bookmarkStart w:id="95" w:name="_Toc241065185"/>
      <w:bookmarkStart w:id="96" w:name="_Toc301443394"/>
      <w:bookmarkStart w:id="97" w:name="_Toc321407037"/>
      <w:bookmarkStart w:id="98" w:name="_Toc354486661"/>
      <w:bookmarkStart w:id="99" w:name="_Toc354486967"/>
      <w:bookmarkStart w:id="100" w:name="_Toc247360264"/>
      <w:r>
        <w:t>10</w:t>
      </w:r>
      <w:r w:rsidR="00C10A1F" w:rsidRPr="00556D69">
        <w:t>.10</w:t>
      </w:r>
      <w:bookmarkEnd w:id="94"/>
      <w:bookmarkEnd w:id="95"/>
      <w:r w:rsidR="00664974">
        <w:tab/>
      </w:r>
      <w:bookmarkStart w:id="101" w:name="_Toc238963300"/>
      <w:bookmarkStart w:id="102" w:name="_Toc241065186"/>
      <w:r w:rsidR="00C10A1F" w:rsidRPr="00556D69">
        <w:t>Autres instruments juridiques internationaux auxquels renvoie la Convention</w:t>
      </w:r>
      <w:bookmarkEnd w:id="96"/>
      <w:bookmarkEnd w:id="97"/>
      <w:bookmarkEnd w:id="98"/>
      <w:bookmarkEnd w:id="99"/>
      <w:bookmarkEnd w:id="100"/>
      <w:bookmarkEnd w:id="101"/>
      <w:bookmarkEnd w:id="102"/>
    </w:p>
    <w:p w14:paraId="73C0971C" w14:textId="42963BB5" w:rsidR="004325DC" w:rsidRDefault="00C10A1F" w:rsidP="00914287">
      <w:pPr>
        <w:pStyle w:val="Texte1"/>
      </w:pPr>
      <w:r w:rsidRPr="00556D69">
        <w:t>D</w:t>
      </w:r>
      <w:r w:rsidR="00A61E6D">
        <w:t>’</w:t>
      </w:r>
      <w:r w:rsidRPr="00556D69">
        <w:t>autres types d</w:t>
      </w:r>
      <w:r w:rsidR="00A61E6D">
        <w:t>’</w:t>
      </w:r>
      <w:r w:rsidRPr="00556D69">
        <w:t>instruments internationaux sont également cités en référence dans l</w:t>
      </w:r>
      <w:r w:rsidR="00A61E6D">
        <w:t>’</w:t>
      </w:r>
      <w:r w:rsidR="00043DFF" w:rsidRPr="00150FFB">
        <w:rPr>
          <w:b/>
        </w:rPr>
        <w:t>article </w:t>
      </w:r>
      <w:r w:rsidRPr="00150FFB">
        <w:rPr>
          <w:b/>
        </w:rPr>
        <w:t>3</w:t>
      </w:r>
      <w:r w:rsidRPr="00556D69">
        <w:t xml:space="preserve"> de la Convention</w:t>
      </w:r>
      <w:r w:rsidR="00EA1FE1" w:rsidRPr="00556D69">
        <w:t> :</w:t>
      </w:r>
    </w:p>
    <w:p w14:paraId="3E71F4F3" w14:textId="77777777" w:rsidR="004325DC" w:rsidRDefault="00C10A1F" w:rsidP="00150FFB">
      <w:pPr>
        <w:pStyle w:val="citation"/>
      </w:pPr>
      <w:r w:rsidRPr="00556D69">
        <w:t>Rien dans la présente Convention ne peut être interprété comme</w:t>
      </w:r>
      <w:r w:rsidR="00EA1FE1" w:rsidRPr="00556D69">
        <w:t> :</w:t>
      </w:r>
    </w:p>
    <w:p w14:paraId="34CED7C8" w14:textId="187D77CE" w:rsidR="004325DC" w:rsidRDefault="00D90C20" w:rsidP="00914287">
      <w:pPr>
        <w:pStyle w:val="numrationa"/>
      </w:pPr>
      <w:r>
        <w:t>(b)</w:t>
      </w:r>
      <w:r>
        <w:tab/>
      </w:r>
      <w:r w:rsidR="00C10A1F" w:rsidRPr="00556D69">
        <w:t>…affectant les droits et obligations des États parties découlant de tout instrument international relatif aux droits de la propriété intellectuelle ou à l</w:t>
      </w:r>
      <w:r w:rsidR="00A61E6D">
        <w:t>’</w:t>
      </w:r>
      <w:r w:rsidR="00C10A1F" w:rsidRPr="00556D69">
        <w:t>usage des ressources biologiques et écologiques auquel ils sont parties.</w:t>
      </w:r>
    </w:p>
    <w:p w14:paraId="7E38F4C3" w14:textId="3D229FBB" w:rsidR="004325DC" w:rsidRDefault="00C10A1F" w:rsidP="00914287">
      <w:pPr>
        <w:pStyle w:val="Texte1"/>
        <w:rPr>
          <w:b/>
        </w:rPr>
      </w:pPr>
      <w:r w:rsidRPr="00556D69">
        <w:t>Dans ce contexte il est opportun de présenter brièvement les tentatives de l</w:t>
      </w:r>
      <w:r w:rsidR="00A61E6D">
        <w:t>’</w:t>
      </w:r>
      <w:r w:rsidRPr="00556D69">
        <w:t>Organisation mondiale de la Propriété intellectuelle (OMPI) d</w:t>
      </w:r>
      <w:r w:rsidR="00A61E6D">
        <w:t>’</w:t>
      </w:r>
      <w:r w:rsidRPr="00556D69">
        <w:t>établir un instrument juridique interne pour la protection des droits de propriété intellectuelle (DPI) sur le PCI et les questions qui s</w:t>
      </w:r>
      <w:r w:rsidR="00A61E6D">
        <w:t>’</w:t>
      </w:r>
      <w:r w:rsidRPr="00556D69">
        <w:t>y rapportent, et la Convention des Nations Unies de 1992 sur la diversité biologique (CDB).</w:t>
      </w:r>
    </w:p>
    <w:p w14:paraId="6A12C643" w14:textId="7456A2B2" w:rsidR="00C10A1F" w:rsidRPr="00556D69" w:rsidRDefault="00C10A1F">
      <w:pPr>
        <w:pStyle w:val="Heading4"/>
      </w:pPr>
      <w:bookmarkStart w:id="103" w:name="_Toc247360265"/>
      <w:r w:rsidRPr="00556D69">
        <w:t>Organisation mondiale de la Propri</w:t>
      </w:r>
      <w:r w:rsidR="00075D7D">
        <w:t>É</w:t>
      </w:r>
      <w:r w:rsidRPr="00556D69">
        <w:t>té intellectuelle (OMPI)</w:t>
      </w:r>
      <w:bookmarkEnd w:id="103"/>
    </w:p>
    <w:p w14:paraId="6D4CE80E" w14:textId="2E1860B1" w:rsidR="004325DC" w:rsidRDefault="00C10A1F" w:rsidP="00914287">
      <w:pPr>
        <w:pStyle w:val="Texte1"/>
      </w:pPr>
      <w:r w:rsidRPr="00556D69">
        <w:t>Le Comité intergouvernemental de la propriété intellectuelle relative aux ressources génétiques, aux savoirs traditionnels et au folklore de l</w:t>
      </w:r>
      <w:r w:rsidR="00A61E6D">
        <w:t>’</w:t>
      </w:r>
      <w:r w:rsidR="005E17CB">
        <w:t xml:space="preserve">Organisation mondiale de la Propriété intellectuelle </w:t>
      </w:r>
      <w:r w:rsidRPr="00556D69">
        <w:t>a discuté, pendant un certain nombre d</w:t>
      </w:r>
      <w:r w:rsidR="00A61E6D">
        <w:t>’</w:t>
      </w:r>
      <w:r w:rsidRPr="00556D69">
        <w:t>années, du caractère souhaitable et des dispositions possibles pour un instrument normatif international traitant des DPI sur les pratiques et expressions qui répondent dans l</w:t>
      </w:r>
      <w:r w:rsidR="00A61E6D">
        <w:t>’</w:t>
      </w:r>
      <w:r w:rsidRPr="00556D69">
        <w:t xml:space="preserve">ensemble à la définition du PCI selon la Convention du </w:t>
      </w:r>
      <w:r w:rsidR="00BB2FF5" w:rsidRPr="00556D69">
        <w:t>patrimoine culturel immatériel</w:t>
      </w:r>
      <w:r w:rsidRPr="00556D69">
        <w:t>. Il y a de bonnes chances que ce texte normatif, probablement une Convention, soit finalisé d</w:t>
      </w:r>
      <w:r w:rsidR="00A61E6D">
        <w:t>’</w:t>
      </w:r>
      <w:r w:rsidRPr="00556D69">
        <w:t>ici quelques années, en dépit des problèmes évidents qu</w:t>
      </w:r>
      <w:r w:rsidR="00A61E6D">
        <w:t>’</w:t>
      </w:r>
      <w:r w:rsidRPr="00556D69">
        <w:t>il rencontre</w:t>
      </w:r>
      <w:r w:rsidR="00EA1FE1" w:rsidRPr="00556D69">
        <w:t> :</w:t>
      </w:r>
      <w:r w:rsidRPr="00556D69">
        <w:t xml:space="preserve"> il faut trouver les moyens de déterminer qui est membre d</w:t>
      </w:r>
      <w:r w:rsidR="00A61E6D">
        <w:t>’</w:t>
      </w:r>
      <w:r w:rsidRPr="00556D69">
        <w:t xml:space="preserve">une communauté et qui peut parler </w:t>
      </w:r>
      <w:r w:rsidR="00BB70F2">
        <w:t>– </w:t>
      </w:r>
      <w:r w:rsidRPr="00556D69">
        <w:t>ou s</w:t>
      </w:r>
      <w:r w:rsidR="00A61E6D">
        <w:t>’</w:t>
      </w:r>
      <w:r w:rsidRPr="00556D69">
        <w:t>arroger les droits</w:t>
      </w:r>
      <w:r w:rsidR="00BB70F2">
        <w:t> –</w:t>
      </w:r>
      <w:r w:rsidRPr="00556D69">
        <w:t xml:space="preserve"> au nom de cette communauté</w:t>
      </w:r>
      <w:r w:rsidR="00EA1FE1" w:rsidRPr="00556D69">
        <w:t> ;</w:t>
      </w:r>
      <w:r w:rsidRPr="00556D69">
        <w:t xml:space="preserve"> il faut tenir compte du caractère en mutation constante du PCI</w:t>
      </w:r>
      <w:r w:rsidR="00EA1FE1" w:rsidRPr="00556D69">
        <w:t> ;</w:t>
      </w:r>
      <w:r w:rsidRPr="00556D69">
        <w:t xml:space="preserve"> et les États membres de l</w:t>
      </w:r>
      <w:r w:rsidR="00A61E6D">
        <w:t>’</w:t>
      </w:r>
      <w:r w:rsidR="005E17CB">
        <w:t xml:space="preserve">Organisation mondiale de la Propriété intellectuelle </w:t>
      </w:r>
      <w:r w:rsidRPr="00556D69">
        <w:t xml:space="preserve"> ont différents intérêts catégoriels, au même titre que les industries, par exemple les industries pharmaceutiques et culturelles. (Noter que les États membres de l</w:t>
      </w:r>
      <w:r w:rsidR="00A61E6D">
        <w:t>’</w:t>
      </w:r>
      <w:r w:rsidR="005E17CB">
        <w:t xml:space="preserve">Organisation mondiale de la Propriété intellectuelle </w:t>
      </w:r>
      <w:r w:rsidRPr="00556D69">
        <w:t xml:space="preserve"> et l</w:t>
      </w:r>
      <w:r w:rsidR="00A61E6D">
        <w:t>’</w:t>
      </w:r>
      <w:r w:rsidRPr="00556D69">
        <w:t>UNESCO s</w:t>
      </w:r>
      <w:r w:rsidR="00A61E6D">
        <w:t>’</w:t>
      </w:r>
      <w:r w:rsidRPr="00556D69">
        <w:t>accordent presque complètement.)</w:t>
      </w:r>
    </w:p>
    <w:p w14:paraId="3A6F5A9F" w14:textId="78422D8E" w:rsidR="004325DC" w:rsidRDefault="00C10A1F" w:rsidP="00914287">
      <w:pPr>
        <w:pStyle w:val="Texte1"/>
      </w:pPr>
      <w:r w:rsidRPr="00556D69">
        <w:t>Plusieurs accords régionaux sur les instruments de PI visant à protéger les droits des communautés sur leur PCI sont déjà entrés en vigueur. L</w:t>
      </w:r>
      <w:r w:rsidR="00A61E6D">
        <w:t>’</w:t>
      </w:r>
      <w:r w:rsidRPr="00556D69">
        <w:t xml:space="preserve">Organisation régionale africaine de la Propriété intellectuelle (ARIPO), par exemple, a récemment mis au point un instrument juridique pour la protection des savoirs traditionnels et des expressions du </w:t>
      </w:r>
      <w:r w:rsidRPr="00556D69">
        <w:lastRenderedPageBreak/>
        <w:t>folklore (2007), ainsi que le Protocole de Swakopmund sur la protection des savoirs traditionnels et des expressions du folklore (2010).</w:t>
      </w:r>
    </w:p>
    <w:p w14:paraId="5CF45137" w14:textId="1DDA96D3" w:rsidR="00C10A1F" w:rsidRPr="00556D69" w:rsidRDefault="00C10A1F" w:rsidP="000542FD">
      <w:pPr>
        <w:pStyle w:val="Heading4"/>
      </w:pPr>
      <w:bookmarkStart w:id="104" w:name="_Toc247360266"/>
      <w:r w:rsidRPr="00556D69">
        <w:t xml:space="preserve">Convention des Nations Unies sur la </w:t>
      </w:r>
      <w:r w:rsidR="00075D7D" w:rsidRPr="00556D69">
        <w:t>diversit</w:t>
      </w:r>
      <w:r w:rsidR="00075D7D">
        <w:t>É</w:t>
      </w:r>
      <w:r w:rsidR="00075D7D" w:rsidRPr="00556D69">
        <w:t xml:space="preserve"> </w:t>
      </w:r>
      <w:r w:rsidRPr="00556D69">
        <w:t>biologique (CDB)</w:t>
      </w:r>
      <w:bookmarkEnd w:id="104"/>
    </w:p>
    <w:p w14:paraId="23DC8173" w14:textId="5D75585B" w:rsidR="004325DC" w:rsidRDefault="00C10A1F" w:rsidP="00914287">
      <w:pPr>
        <w:pStyle w:val="Texte1"/>
      </w:pPr>
      <w:r w:rsidRPr="00556D69">
        <w:t>La Convention sur la diversité biologique est entrée en vigueur à la fin de 1993 et est maintenant ratifiée par la plupart des États membres des Nations Unies. Elle crée un engagement juridiquement contraignant pour les États parties avec pour objectifs la conservation de la diversité biologique, l</w:t>
      </w:r>
      <w:r w:rsidR="00A61E6D">
        <w:t>’</w:t>
      </w:r>
      <w:r w:rsidRPr="00556D69">
        <w:t>utilisation durable de ses éléments et le partage équitable des avantages découlant de l</w:t>
      </w:r>
      <w:r w:rsidR="00A61E6D">
        <w:t>’</w:t>
      </w:r>
      <w:r w:rsidRPr="00556D69">
        <w:t>exploitation des ressources génétiques. La CDB encourage les États parties à développer, reconnaître et protéger les droits des populations et communautés autochtones dans leurs pratiques traditionnelles relatives à la conservation et l</w:t>
      </w:r>
      <w:r w:rsidR="00A61E6D">
        <w:t>’</w:t>
      </w:r>
      <w:r w:rsidRPr="00556D69">
        <w:t>exploitation durable de la diversité biologique.</w:t>
      </w:r>
    </w:p>
    <w:p w14:paraId="1C5542AE" w14:textId="12441432" w:rsidR="004325DC" w:rsidRDefault="006F42B3">
      <w:pPr>
        <w:pStyle w:val="Titcoul"/>
      </w:pPr>
      <w:bookmarkStart w:id="105" w:name="_Toc238963301"/>
      <w:bookmarkStart w:id="106" w:name="_Toc241065187"/>
      <w:bookmarkStart w:id="107" w:name="_Toc301443395"/>
      <w:bookmarkStart w:id="108" w:name="_Toc321407038"/>
      <w:bookmarkStart w:id="109" w:name="_Toc354486662"/>
      <w:bookmarkStart w:id="110" w:name="_Toc354486968"/>
      <w:bookmarkStart w:id="111" w:name="_Toc247360267"/>
      <w:r>
        <w:t>10</w:t>
      </w:r>
      <w:r w:rsidRPr="000151E5">
        <w:rPr>
          <w:b w:val="0"/>
          <w:caps w:val="0"/>
          <w:noProof/>
          <w:lang w:eastAsia="fr-FR"/>
        </w:rPr>
        <w:drawing>
          <wp:anchor distT="0" distB="0" distL="114300" distR="114300" simplePos="0" relativeHeight="251926016" behindDoc="0" locked="1" layoutInCell="1" allowOverlap="0" wp14:anchorId="2F9BD770" wp14:editId="0D36C6CA">
            <wp:simplePos x="0" y="0"/>
            <wp:positionH relativeFrom="column">
              <wp:posOffset>0</wp:posOffset>
            </wp:positionH>
            <wp:positionV relativeFrom="paragraph">
              <wp:posOffset>833755</wp:posOffset>
            </wp:positionV>
            <wp:extent cx="283210" cy="358775"/>
            <wp:effectExtent l="0" t="0" r="0" b="0"/>
            <wp:wrapThrough wrapText="bothSides">
              <wp:wrapPolygon edited="0">
                <wp:start x="0" y="0"/>
                <wp:lineTo x="0" y="19880"/>
                <wp:lineTo x="19372" y="19880"/>
                <wp:lineTo x="19372" y="0"/>
                <wp:lineTo x="0" y="0"/>
              </wp:wrapPolygon>
            </wp:wrapThrough>
            <wp:docPr id="12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1">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C10A1F" w:rsidRPr="00556D69">
        <w:t>.11</w:t>
      </w:r>
      <w:bookmarkEnd w:id="105"/>
      <w:bookmarkEnd w:id="106"/>
      <w:r w:rsidR="00664974">
        <w:tab/>
      </w:r>
      <w:bookmarkStart w:id="112" w:name="_Toc238963302"/>
      <w:bookmarkStart w:id="113" w:name="_Toc241065188"/>
      <w:r w:rsidR="00C10A1F" w:rsidRPr="00556D69">
        <w:t>Orientations et codes d</w:t>
      </w:r>
      <w:r w:rsidR="00A61E6D">
        <w:t>’</w:t>
      </w:r>
      <w:r w:rsidR="00402839">
        <w:t>É</w:t>
      </w:r>
      <w:r w:rsidR="00C10A1F" w:rsidRPr="00556D69">
        <w:t>thique</w:t>
      </w:r>
      <w:bookmarkEnd w:id="107"/>
      <w:bookmarkEnd w:id="108"/>
      <w:bookmarkEnd w:id="109"/>
      <w:bookmarkEnd w:id="110"/>
      <w:bookmarkEnd w:id="111"/>
      <w:bookmarkEnd w:id="112"/>
      <w:bookmarkEnd w:id="113"/>
    </w:p>
    <w:p w14:paraId="0DEBCA95" w14:textId="1A1D5559" w:rsidR="004325DC" w:rsidRDefault="00C10A1F" w:rsidP="00914287">
      <w:pPr>
        <w:pStyle w:val="Texte1"/>
      </w:pPr>
      <w:r w:rsidRPr="00556D69">
        <w:t>Diverses communautés, organisations et associations professionnelles à travers le monde ont rédigé des lignes de conduite ou des codes d</w:t>
      </w:r>
      <w:r w:rsidR="00A61E6D">
        <w:t>’</w:t>
      </w:r>
      <w:r w:rsidRPr="00556D69">
        <w:t>éthique qui peuvent (ou dans certains cas doivent) être suivis par les personnes qui font des travaux de recherche, de sauvegarde ou de sensibilisation liés au PCI. Les uns ont un caractère international, tandis que d</w:t>
      </w:r>
      <w:r w:rsidR="00A61E6D">
        <w:t>’</w:t>
      </w:r>
      <w:r w:rsidRPr="00556D69">
        <w:t>autres ont des possibilités d</w:t>
      </w:r>
      <w:r w:rsidR="00A61E6D">
        <w:t>’</w:t>
      </w:r>
      <w:r w:rsidRPr="00556D69">
        <w:t>application plus restreintes. Les gouvernements et les institutions peuvent aussi formuler leurs propres lignes de conduite ou codes d</w:t>
      </w:r>
      <w:r w:rsidR="00A61E6D">
        <w:t>’</w:t>
      </w:r>
      <w:r w:rsidRPr="00556D69">
        <w:t>éthique pour s</w:t>
      </w:r>
      <w:r w:rsidR="00A61E6D">
        <w:t>’</w:t>
      </w:r>
      <w:r w:rsidRPr="00556D69">
        <w:t>assurer que les droits des communautés sont protégés. Les Directives opérationnelles encouragent les États parties à élaborer et adopter des codes d</w:t>
      </w:r>
      <w:r w:rsidR="00A61E6D">
        <w:t>’</w:t>
      </w:r>
      <w:r w:rsidRPr="00556D69">
        <w:t>éthique pour veiller à ce que la sensibilisation se fasse dans l</w:t>
      </w:r>
      <w:r w:rsidR="00A61E6D">
        <w:t>’</w:t>
      </w:r>
      <w:r w:rsidRPr="00556D69">
        <w:t>esprit de la Convention (</w:t>
      </w:r>
      <w:r w:rsidR="00461004" w:rsidRPr="00556D69">
        <w:t>DO </w:t>
      </w:r>
      <w:r w:rsidRPr="00556D69">
        <w:t>103). Il y a, bien sûr, beaucoup d</w:t>
      </w:r>
      <w:r w:rsidR="00A61E6D">
        <w:t>’</w:t>
      </w:r>
      <w:r w:rsidRPr="00556D69">
        <w:t>autres types d</w:t>
      </w:r>
      <w:r w:rsidR="00A61E6D">
        <w:t>’</w:t>
      </w:r>
      <w:r w:rsidRPr="00556D69">
        <w:t>activités au titre de la Convention pour lesquelles ces codes pourraient aussi être établis.</w:t>
      </w:r>
    </w:p>
    <w:p w14:paraId="29C7608A" w14:textId="71E328B0" w:rsidR="004325DC" w:rsidRDefault="00C10A1F" w:rsidP="00914287">
      <w:pPr>
        <w:pStyle w:val="Texte1"/>
      </w:pPr>
      <w:r w:rsidRPr="00556D69">
        <w:t>L</w:t>
      </w:r>
      <w:r w:rsidR="00A61E6D">
        <w:t>’</w:t>
      </w:r>
      <w:r w:rsidR="005E17CB">
        <w:t xml:space="preserve">Organisation mondiale de la Propriété intellectuelle </w:t>
      </w:r>
      <w:r w:rsidRPr="00556D69">
        <w:t xml:space="preserve"> a demandé de réaliser des études sur les codes, les protocoles, les politiques, les pratiques et les accords courants en matière de sauvegarde, d</w:t>
      </w:r>
      <w:r w:rsidR="00A61E6D">
        <w:t>’</w:t>
      </w:r>
      <w:r w:rsidRPr="00556D69">
        <w:t>accès, de propriété et de contrôle du patrimoine culturel dans un certain nombre de régions du monde. L</w:t>
      </w:r>
      <w:r w:rsidR="00A61E6D">
        <w:t>’</w:t>
      </w:r>
      <w:r w:rsidR="005E17CB">
        <w:t xml:space="preserve">Organisation mondiale de la Propriété intellectuelle </w:t>
      </w:r>
      <w:r w:rsidRPr="00556D69">
        <w:t xml:space="preserve"> estime que ces résultats peuvent servir de base empirique pour la mise au point définitive d</w:t>
      </w:r>
      <w:r w:rsidR="00A61E6D">
        <w:t>’</w:t>
      </w:r>
      <w:r w:rsidRPr="00556D69">
        <w:t>un recueil des meilleures p</w:t>
      </w:r>
      <w:bookmarkStart w:id="114" w:name="_GoBack"/>
      <w:bookmarkEnd w:id="114"/>
      <w:r w:rsidRPr="00556D69">
        <w:t>ratiques et recommandations dans ce domaine.</w:t>
      </w:r>
    </w:p>
    <w:p w14:paraId="31427B18" w14:textId="56229A90" w:rsidR="004325DC" w:rsidRDefault="00C10A1F" w:rsidP="00914287">
      <w:pPr>
        <w:pStyle w:val="Informations"/>
      </w:pPr>
      <w:r w:rsidRPr="00556D69">
        <w:t>L</w:t>
      </w:r>
      <w:r w:rsidR="00A61E6D">
        <w:t>’</w:t>
      </w:r>
      <w:r w:rsidR="003F5CA8">
        <w:t>Étude de cas</w:t>
      </w:r>
      <w:r w:rsidRPr="00556D69">
        <w:t xml:space="preserve"> 3</w:t>
      </w:r>
      <w:r w:rsidR="001E73A9">
        <w:t>1</w:t>
      </w:r>
      <w:r w:rsidRPr="00556D69">
        <w:t xml:space="preserve"> examine le système par lequel est gérée l</w:t>
      </w:r>
      <w:r w:rsidR="00A61E6D">
        <w:t>’</w:t>
      </w:r>
      <w:r w:rsidRPr="00556D69">
        <w:t>autorisation de faire de la recherche parmi les groupes autochtones au Brésil.</w:t>
      </w:r>
    </w:p>
    <w:p w14:paraId="5E791797" w14:textId="08906B65" w:rsidR="004325DC" w:rsidRDefault="007B1EE5" w:rsidP="00914287">
      <w:pPr>
        <w:pStyle w:val="Informations"/>
      </w:pPr>
      <w:r>
        <w:rPr>
          <w:noProof/>
          <w:lang w:eastAsia="fr-FR"/>
        </w:rPr>
        <w:drawing>
          <wp:anchor distT="0" distB="0" distL="114300" distR="114300" simplePos="0" relativeHeight="252174848" behindDoc="0" locked="1" layoutInCell="1" allowOverlap="0" wp14:anchorId="6111D13C" wp14:editId="143C420B">
            <wp:simplePos x="0" y="0"/>
            <wp:positionH relativeFrom="column">
              <wp:posOffset>3810</wp:posOffset>
            </wp:positionH>
            <wp:positionV relativeFrom="paragraph">
              <wp:posOffset>23495</wp:posOffset>
            </wp:positionV>
            <wp:extent cx="283210" cy="358775"/>
            <wp:effectExtent l="0" t="0" r="2540" b="3175"/>
            <wp:wrapThrough wrapText="bothSides">
              <wp:wrapPolygon edited="0">
                <wp:start x="0" y="0"/>
                <wp:lineTo x="0" y="20644"/>
                <wp:lineTo x="20341" y="20644"/>
                <wp:lineTo x="20341" y="0"/>
                <wp:lineTo x="0" y="0"/>
              </wp:wrapPolygon>
            </wp:wrapThrough>
            <wp:docPr id="75"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F42B3">
        <w:rPr>
          <w:noProof/>
          <w:lang w:eastAsia="fr-FR"/>
        </w:rPr>
        <w:drawing>
          <wp:anchor distT="0" distB="0" distL="114300" distR="114300" simplePos="0" relativeHeight="251928064" behindDoc="0" locked="1" layoutInCell="1" allowOverlap="0" wp14:anchorId="7CF56331" wp14:editId="1B653101">
            <wp:simplePos x="0" y="0"/>
            <wp:positionH relativeFrom="column">
              <wp:posOffset>1905</wp:posOffset>
            </wp:positionH>
            <wp:positionV relativeFrom="paragraph">
              <wp:posOffset>-385445</wp:posOffset>
            </wp:positionV>
            <wp:extent cx="283210" cy="358775"/>
            <wp:effectExtent l="0" t="0" r="2540" b="3175"/>
            <wp:wrapThrough wrapText="bothSides">
              <wp:wrapPolygon edited="0">
                <wp:start x="0" y="0"/>
                <wp:lineTo x="0" y="20644"/>
                <wp:lineTo x="20341" y="20644"/>
                <wp:lineTo x="20341" y="0"/>
                <wp:lineTo x="0" y="0"/>
              </wp:wrapPolygon>
            </wp:wrapThrough>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C10A1F" w:rsidRPr="00556D69">
        <w:t>L</w:t>
      </w:r>
      <w:r w:rsidR="00A61E6D">
        <w:t>’</w:t>
      </w:r>
      <w:r w:rsidR="003F5CA8">
        <w:t>Étude de cas</w:t>
      </w:r>
      <w:r w:rsidR="00C10A1F" w:rsidRPr="00556D69">
        <w:t xml:space="preserve"> 32 décrit le protocole de la tribu Hopi pour la recherche qui indique comment les Hopi aux États-Unis souhaiteraient que leurs ressources intellectuelles et expressions culturelles traditionnelles soient exploitées par les autres.</w:t>
      </w:r>
    </w:p>
    <w:p w14:paraId="39FDD1D9" w14:textId="77777777" w:rsidR="00331BC0" w:rsidRDefault="00331BC0" w:rsidP="00914287">
      <w:pPr>
        <w:pStyle w:val="Informations"/>
      </w:pPr>
    </w:p>
    <w:sectPr w:rsidR="00331BC0" w:rsidSect="00A41931">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oddPage"/>
      <w:pgSz w:w="11900" w:h="16840"/>
      <w:pgMar w:top="1701" w:right="1531" w:bottom="1701" w:left="1531" w:header="720" w:footer="720" w:gutter="0"/>
      <w:pgNumType w:start="1"/>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409BCF" w15:done="0"/>
  <w15:commentEx w15:paraId="311725F1" w15:done="0"/>
  <w15:commentEx w15:paraId="59BC89B0" w15:done="0"/>
  <w15:commentEx w15:paraId="6A3519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DA88C" w14:textId="77777777" w:rsidR="00331BC0" w:rsidRDefault="00331BC0" w:rsidP="000F4C6A">
      <w:r>
        <w:separator/>
      </w:r>
    </w:p>
    <w:p w14:paraId="0E17F115" w14:textId="77777777" w:rsidR="00331BC0" w:rsidRDefault="00331BC0"/>
    <w:p w14:paraId="47886D99" w14:textId="77777777" w:rsidR="00331BC0" w:rsidRDefault="00331BC0"/>
  </w:endnote>
  <w:endnote w:type="continuationSeparator" w:id="0">
    <w:p w14:paraId="7BF50423" w14:textId="77777777" w:rsidR="00331BC0" w:rsidRDefault="00331BC0" w:rsidP="000F4C6A">
      <w:r>
        <w:continuationSeparator/>
      </w:r>
    </w:p>
    <w:p w14:paraId="01ACA669" w14:textId="77777777" w:rsidR="00331BC0" w:rsidRDefault="00331BC0"/>
    <w:p w14:paraId="5778A8A4" w14:textId="77777777" w:rsidR="00331BC0" w:rsidRDefault="00331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Gras">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XNUBV+TheSans-Plain">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3547" w14:textId="04BEA808" w:rsidR="00331BC0" w:rsidRDefault="00331BC0" w:rsidP="00A31863">
    <w:pPr>
      <w:pStyle w:val="Footer"/>
    </w:pPr>
    <w:r>
      <w:rPr>
        <w:noProof/>
        <w:lang w:eastAsia="fr-FR"/>
      </w:rPr>
      <w:drawing>
        <wp:anchor distT="0" distB="0" distL="114300" distR="114300" simplePos="0" relativeHeight="251995136" behindDoc="1" locked="1" layoutInCell="1" allowOverlap="0" wp14:anchorId="1349F3E7" wp14:editId="78537A13">
          <wp:simplePos x="0" y="0"/>
          <wp:positionH relativeFrom="margin">
            <wp:posOffset>635</wp:posOffset>
          </wp:positionH>
          <wp:positionV relativeFrom="margin">
            <wp:posOffset>8641715</wp:posOffset>
          </wp:positionV>
          <wp:extent cx="904240" cy="607060"/>
          <wp:effectExtent l="0" t="0" r="0" b="2540"/>
          <wp:wrapThrough wrapText="bothSides">
            <wp:wrapPolygon edited="0">
              <wp:start x="0" y="0"/>
              <wp:lineTo x="0" y="21013"/>
              <wp:lineTo x="20933" y="21013"/>
              <wp:lineTo x="20933" y="0"/>
              <wp:lineTo x="0" y="0"/>
            </wp:wrapPolygon>
          </wp:wrapThrough>
          <wp:docPr id="32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607060"/>
                  </a:xfrm>
                  <a:prstGeom prst="rect">
                    <a:avLst/>
                  </a:prstGeom>
                  <a:noFill/>
                  <a:ln>
                    <a:noFill/>
                  </a:ln>
                </pic:spPr>
              </pic:pic>
            </a:graphicData>
          </a:graphic>
          <wp14:sizeRelH relativeFrom="page">
            <wp14:pctWidth>0</wp14:pctWidth>
          </wp14:sizeRelH>
          <wp14:sizeRelV relativeFrom="page">
            <wp14:pctHeight>0</wp14:pctHeight>
          </wp14:sizeRelV>
        </wp:anchor>
      </w:drawing>
    </w:r>
    <w:r>
      <w:tab/>
      <w:t>© UNESCO • Ne pas reproduire sans autorisation</w:t>
    </w:r>
    <w:r>
      <w:tab/>
      <w:t>U010-v1.0-PT-FR</w:t>
    </w:r>
    <w:r w:rsidRPr="00BA76B0" w:rsidDel="00D80F71">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9A00" w14:textId="7273DE6C" w:rsidR="00331BC0" w:rsidRPr="00A21469" w:rsidRDefault="00331BC0" w:rsidP="00A21469">
    <w:pPr>
      <w:pStyle w:val="Footer"/>
      <w:tabs>
        <w:tab w:val="left" w:pos="2600"/>
      </w:tabs>
      <w:rPr>
        <w:sz w:val="20"/>
      </w:rPr>
    </w:pPr>
    <w:r>
      <w:rPr>
        <w:noProof/>
        <w:lang w:eastAsia="fr-FR"/>
      </w:rPr>
      <w:drawing>
        <wp:anchor distT="0" distB="0" distL="114300" distR="114300" simplePos="0" relativeHeight="251964416" behindDoc="1" locked="1" layoutInCell="1" allowOverlap="0" wp14:anchorId="739CA749" wp14:editId="22B7338F">
          <wp:simplePos x="0" y="0"/>
          <wp:positionH relativeFrom="margin">
            <wp:posOffset>4681855</wp:posOffset>
          </wp:positionH>
          <wp:positionV relativeFrom="margin">
            <wp:posOffset>8641715</wp:posOffset>
          </wp:positionV>
          <wp:extent cx="904240" cy="599440"/>
          <wp:effectExtent l="0" t="0" r="0" b="0"/>
          <wp:wrapThrough wrapText="bothSides">
            <wp:wrapPolygon edited="0">
              <wp:start x="0" y="0"/>
              <wp:lineTo x="0" y="20593"/>
              <wp:lineTo x="20933" y="20593"/>
              <wp:lineTo x="20933" y="0"/>
              <wp:lineTo x="0" y="0"/>
            </wp:wrapPolygon>
          </wp:wrapThrough>
          <wp:docPr id="9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599440"/>
                  </a:xfrm>
                  <a:prstGeom prst="rect">
                    <a:avLst/>
                  </a:prstGeom>
                  <a:noFill/>
                  <a:ln>
                    <a:noFill/>
                  </a:ln>
                </pic:spPr>
              </pic:pic>
            </a:graphicData>
          </a:graphic>
          <wp14:sizeRelH relativeFrom="page">
            <wp14:pctWidth>0</wp14:pctWidth>
          </wp14:sizeRelH>
          <wp14:sizeRelV relativeFrom="page">
            <wp14:pctHeight>0</wp14:pctHeight>
          </wp14:sizeRelV>
        </wp:anchor>
      </w:drawing>
    </w:r>
    <w:r>
      <w:t>U010-v1.0-PT-FR</w:t>
    </w:r>
    <w:r>
      <w:tab/>
      <w:t>© UNESCO • Ne pas reproduire sans autorisation</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20CA" w14:textId="26C331C4" w:rsidR="00331BC0" w:rsidRPr="00150FFB" w:rsidRDefault="00331BC0" w:rsidP="009633A3">
    <w:pPr>
      <w:pStyle w:val="Footer"/>
      <w:tabs>
        <w:tab w:val="left" w:pos="2600"/>
      </w:tabs>
      <w:rPr>
        <w:sz w:val="20"/>
      </w:rPr>
    </w:pPr>
    <w:r>
      <w:rPr>
        <w:noProof/>
        <w:lang w:eastAsia="fr-FR"/>
      </w:rPr>
      <w:drawing>
        <wp:anchor distT="0" distB="0" distL="114300" distR="114300" simplePos="0" relativeHeight="251962368" behindDoc="1" locked="1" layoutInCell="1" allowOverlap="0" wp14:anchorId="2E8073A9" wp14:editId="38BAD4B8">
          <wp:simplePos x="0" y="0"/>
          <wp:positionH relativeFrom="margin">
            <wp:posOffset>4681855</wp:posOffset>
          </wp:positionH>
          <wp:positionV relativeFrom="margin">
            <wp:posOffset>8641715</wp:posOffset>
          </wp:positionV>
          <wp:extent cx="904240" cy="614045"/>
          <wp:effectExtent l="0" t="0" r="0" b="0"/>
          <wp:wrapThrough wrapText="bothSides">
            <wp:wrapPolygon edited="0">
              <wp:start x="0" y="0"/>
              <wp:lineTo x="0" y="20774"/>
              <wp:lineTo x="20933" y="20774"/>
              <wp:lineTo x="20933" y="0"/>
              <wp:lineTo x="0" y="0"/>
            </wp:wrapPolygon>
          </wp:wrapThrough>
          <wp:docPr id="9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614045"/>
                  </a:xfrm>
                  <a:prstGeom prst="rect">
                    <a:avLst/>
                  </a:prstGeom>
                  <a:noFill/>
                  <a:ln>
                    <a:noFill/>
                  </a:ln>
                </pic:spPr>
              </pic:pic>
            </a:graphicData>
          </a:graphic>
          <wp14:sizeRelH relativeFrom="page">
            <wp14:pctWidth>0</wp14:pctWidth>
          </wp14:sizeRelH>
          <wp14:sizeRelV relativeFrom="page">
            <wp14:pctHeight>0</wp14:pctHeight>
          </wp14:sizeRelV>
        </wp:anchor>
      </w:drawing>
    </w:r>
    <w:r>
      <w:t>U010-v1.0-PT-FR</w:t>
    </w:r>
    <w:r>
      <w:tab/>
      <w:t>© UNESCO • Ne pas reproduire sans autorisation</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92291" w14:textId="77777777" w:rsidR="00331BC0" w:rsidRDefault="00331BC0" w:rsidP="00150FFB">
      <w:pPr>
        <w:spacing w:after="60"/>
        <w:ind w:left="0"/>
      </w:pPr>
      <w:r>
        <w:separator/>
      </w:r>
    </w:p>
  </w:footnote>
  <w:footnote w:type="continuationSeparator" w:id="0">
    <w:p w14:paraId="28C6C40B" w14:textId="77777777" w:rsidR="00331BC0" w:rsidRDefault="00331BC0" w:rsidP="000F4C6A">
      <w:r>
        <w:continuationSeparator/>
      </w:r>
    </w:p>
    <w:p w14:paraId="6C5BABAA" w14:textId="77777777" w:rsidR="00331BC0" w:rsidRDefault="00331BC0"/>
    <w:p w14:paraId="13D59883" w14:textId="77777777" w:rsidR="00331BC0" w:rsidRDefault="00331BC0"/>
  </w:footnote>
  <w:footnote w:id="1">
    <w:p w14:paraId="1A7E2ED1" w14:textId="19BD835E" w:rsidR="00331BC0" w:rsidRDefault="00331BC0">
      <w:pPr>
        <w:pStyle w:val="FootnoteText"/>
      </w:pPr>
      <w:r w:rsidRPr="00D10237">
        <w:rPr>
          <w:rStyle w:val="FootnoteReference"/>
          <w:sz w:val="16"/>
          <w:szCs w:val="16"/>
          <w:vertAlign w:val="baseline"/>
        </w:rPr>
        <w:footnoteRef/>
      </w:r>
      <w:r>
        <w:rPr>
          <w:szCs w:val="16"/>
        </w:rPr>
        <w:t>.</w:t>
      </w:r>
      <w:r>
        <w:rPr>
          <w:szCs w:val="16"/>
        </w:rPr>
        <w:tab/>
      </w:r>
      <w:r>
        <w:t>Le mot « PCI » fait référence au patrimoine culturel immatériel.</w:t>
      </w:r>
    </w:p>
  </w:footnote>
  <w:footnote w:id="2">
    <w:p w14:paraId="53BEDCE1" w14:textId="166570BD" w:rsidR="00331BC0" w:rsidRDefault="00331BC0">
      <w:pPr>
        <w:pStyle w:val="FootnoteText"/>
      </w:pPr>
      <w:r w:rsidRPr="00D10237">
        <w:rPr>
          <w:rStyle w:val="FootnoteReference"/>
          <w:sz w:val="16"/>
          <w:szCs w:val="16"/>
          <w:vertAlign w:val="baseline"/>
        </w:rPr>
        <w:footnoteRef/>
      </w:r>
      <w:r>
        <w:rPr>
          <w:szCs w:val="16"/>
        </w:rPr>
        <w:t>.</w:t>
      </w:r>
      <w:r>
        <w:rPr>
          <w:szCs w:val="16"/>
        </w:rPr>
        <w:tab/>
      </w:r>
      <w:r>
        <w:rPr>
          <w:rStyle w:val="hps"/>
        </w:rPr>
        <w:t>Appelé en abrégé</w:t>
      </w:r>
      <w:r>
        <w:t xml:space="preserve">, </w:t>
      </w:r>
      <w:r>
        <w:rPr>
          <w:rStyle w:val="hps"/>
        </w:rPr>
        <w:t>la Convention du patrimoine</w:t>
      </w:r>
      <w:r>
        <w:t xml:space="preserve"> culturel </w:t>
      </w:r>
      <w:r>
        <w:rPr>
          <w:rStyle w:val="hps"/>
        </w:rPr>
        <w:t>immatériel et</w:t>
      </w:r>
      <w:r>
        <w:t xml:space="preserve">, </w:t>
      </w:r>
      <w:r>
        <w:rPr>
          <w:rStyle w:val="hps"/>
        </w:rPr>
        <w:t>dans le cadre</w:t>
      </w:r>
      <w:r>
        <w:t xml:space="preserve"> </w:t>
      </w:r>
      <w:r>
        <w:rPr>
          <w:rStyle w:val="hps"/>
        </w:rPr>
        <w:t>de cette unité</w:t>
      </w:r>
      <w:r>
        <w:t xml:space="preserve">, </w:t>
      </w:r>
      <w:r>
        <w:rPr>
          <w:rStyle w:val="hps"/>
        </w:rPr>
        <w:t>tout simplement</w:t>
      </w:r>
      <w:r>
        <w:t xml:space="preserve">, </w:t>
      </w:r>
      <w:r>
        <w:rPr>
          <w:rStyle w:val="hps"/>
        </w:rPr>
        <w:t>la Convention</w:t>
      </w:r>
      <w:r>
        <w:t>.</w:t>
      </w:r>
    </w:p>
  </w:footnote>
  <w:footnote w:id="3">
    <w:p w14:paraId="6D090480" w14:textId="44C18F46" w:rsidR="00331BC0" w:rsidRPr="00753989" w:rsidRDefault="00331BC0">
      <w:pPr>
        <w:pStyle w:val="FootnoteText"/>
        <w:rPr>
          <w:szCs w:val="16"/>
          <w:lang w:val="en-US"/>
        </w:rPr>
      </w:pPr>
      <w:r w:rsidRPr="00DE4E32">
        <w:rPr>
          <w:rStyle w:val="FootnoteReference"/>
          <w:sz w:val="16"/>
          <w:szCs w:val="16"/>
          <w:vertAlign w:val="baseline"/>
        </w:rPr>
        <w:footnoteRef/>
      </w:r>
      <w:r w:rsidRPr="00753989">
        <w:rPr>
          <w:szCs w:val="16"/>
          <w:lang w:val="en-US"/>
        </w:rPr>
        <w:t>.</w:t>
      </w:r>
      <w:r w:rsidRPr="00753989">
        <w:rPr>
          <w:szCs w:val="16"/>
          <w:lang w:val="en-US"/>
        </w:rPr>
        <w:tab/>
      </w:r>
      <w:r w:rsidRPr="00753989">
        <w:rPr>
          <w:lang w:val="en-US"/>
        </w:rPr>
        <w:t xml:space="preserve">L. </w:t>
      </w:r>
      <w:proofErr w:type="spellStart"/>
      <w:r w:rsidRPr="00753989">
        <w:rPr>
          <w:lang w:val="en-US"/>
        </w:rPr>
        <w:t>Lowthorp</w:t>
      </w:r>
      <w:proofErr w:type="spellEnd"/>
      <w:r w:rsidRPr="00753989">
        <w:rPr>
          <w:lang w:val="en-US"/>
        </w:rPr>
        <w:t xml:space="preserve">, 2010, </w:t>
      </w:r>
      <w:r w:rsidRPr="00753989">
        <w:rPr>
          <w:i/>
          <w:lang w:val="en-US"/>
        </w:rPr>
        <w:t>National Intangible Cultural Heritage (ICH) Legislation and Initiatives,</w:t>
      </w:r>
      <w:r w:rsidRPr="00753989">
        <w:rPr>
          <w:lang w:val="en-US"/>
        </w:rPr>
        <w:t xml:space="preserve"> Bureau de </w:t>
      </w:r>
      <w:proofErr w:type="spellStart"/>
      <w:r w:rsidRPr="00753989">
        <w:rPr>
          <w:lang w:val="en-US"/>
        </w:rPr>
        <w:t>l’UNESCO</w:t>
      </w:r>
      <w:proofErr w:type="spellEnd"/>
      <w:r w:rsidRPr="00753989">
        <w:rPr>
          <w:lang w:val="en-US"/>
        </w:rPr>
        <w:t xml:space="preserve"> à New Delhi.</w:t>
      </w:r>
    </w:p>
  </w:footnote>
  <w:footnote w:id="4">
    <w:p w14:paraId="14C132B0" w14:textId="51248EF3" w:rsidR="00331BC0" w:rsidRPr="00FC15EB" w:rsidRDefault="00331BC0" w:rsidP="008A7E01">
      <w:pPr>
        <w:pStyle w:val="FootnoteText"/>
        <w:rPr>
          <w:lang w:val="en-US"/>
        </w:rPr>
      </w:pPr>
      <w:r w:rsidRPr="00D57EC4">
        <w:rPr>
          <w:szCs w:val="14"/>
        </w:rPr>
        <w:footnoteRef/>
      </w:r>
      <w:r w:rsidRPr="00D07828">
        <w:rPr>
          <w:szCs w:val="14"/>
          <w:lang w:val="en-US"/>
        </w:rPr>
        <w:t>.</w:t>
      </w:r>
      <w:r w:rsidRPr="00D07828">
        <w:rPr>
          <w:szCs w:val="14"/>
          <w:lang w:val="en-US"/>
        </w:rPr>
        <w:tab/>
      </w:r>
      <w:r w:rsidRPr="00FC15EB">
        <w:rPr>
          <w:lang w:val="en-US"/>
        </w:rPr>
        <w:t>Aboriginal Areas Protection Authority</w:t>
      </w:r>
      <w:r>
        <w:rPr>
          <w:lang w:val="en-US"/>
        </w:rPr>
        <w:t> :</w:t>
      </w:r>
      <w:r w:rsidRPr="00FC15EB">
        <w:rPr>
          <w:lang w:val="en-US"/>
        </w:rPr>
        <w:t xml:space="preserve"> </w:t>
      </w:r>
      <w:r w:rsidR="001E73A9">
        <w:fldChar w:fldCharType="begin"/>
      </w:r>
      <w:r w:rsidR="001E73A9" w:rsidRPr="001E73A9">
        <w:rPr>
          <w:lang w:val="en-US"/>
        </w:rPr>
        <w:instrText xml:space="preserve"> HYPERLINK "http://www.aapant.org.au/" </w:instrText>
      </w:r>
      <w:r w:rsidR="001E73A9">
        <w:fldChar w:fldCharType="separate"/>
      </w:r>
      <w:r w:rsidRPr="00CD0294">
        <w:rPr>
          <w:lang w:val="en-US"/>
        </w:rPr>
        <w:t>http://www.aapant.org.au/</w:t>
      </w:r>
      <w:r w:rsidR="001E73A9">
        <w:rPr>
          <w:lang w:val="en-US"/>
        </w:rPr>
        <w:fldChar w:fldCharType="end"/>
      </w:r>
      <w:r>
        <w:rPr>
          <w:lang w:val="en-US"/>
        </w:rPr>
        <w:t xml:space="preserve"> </w:t>
      </w:r>
    </w:p>
  </w:footnote>
  <w:footnote w:id="5">
    <w:p w14:paraId="52C2341F" w14:textId="77777777" w:rsidR="00331BC0" w:rsidRPr="00FC15EB" w:rsidRDefault="00331BC0" w:rsidP="00F94A0E">
      <w:pPr>
        <w:pStyle w:val="FootnoteText"/>
        <w:rPr>
          <w:lang w:val="en-US"/>
        </w:rPr>
      </w:pPr>
      <w:r w:rsidRPr="00D57EC4">
        <w:rPr>
          <w:szCs w:val="14"/>
        </w:rPr>
        <w:footnoteRef/>
      </w:r>
      <w:r w:rsidRPr="00D07828">
        <w:rPr>
          <w:szCs w:val="14"/>
          <w:lang w:val="en-US"/>
        </w:rPr>
        <w:t>.</w:t>
      </w:r>
      <w:r w:rsidRPr="00D07828">
        <w:rPr>
          <w:szCs w:val="14"/>
          <w:lang w:val="en-US"/>
        </w:rPr>
        <w:tab/>
      </w:r>
      <w:r w:rsidRPr="00D07828">
        <w:rPr>
          <w:lang w:val="en-US"/>
        </w:rPr>
        <w:t xml:space="preserve">T. </w:t>
      </w:r>
      <w:proofErr w:type="spellStart"/>
      <w:r w:rsidRPr="00D07828">
        <w:rPr>
          <w:lang w:val="en-US"/>
        </w:rPr>
        <w:t>Diwasa</w:t>
      </w:r>
      <w:proofErr w:type="spellEnd"/>
      <w:r w:rsidRPr="00D07828">
        <w:rPr>
          <w:lang w:val="en-US"/>
        </w:rPr>
        <w:t xml:space="preserve">, C. M. </w:t>
      </w:r>
      <w:proofErr w:type="spellStart"/>
      <w:r w:rsidRPr="00D07828">
        <w:rPr>
          <w:lang w:val="en-US"/>
        </w:rPr>
        <w:t>Bandhu</w:t>
      </w:r>
      <w:proofErr w:type="spellEnd"/>
      <w:r w:rsidRPr="00D07828">
        <w:rPr>
          <w:lang w:val="en-US"/>
        </w:rPr>
        <w:t xml:space="preserve"> &amp; B. Nepal, 2007, </w:t>
      </w:r>
      <w:r w:rsidRPr="00150FFB">
        <w:rPr>
          <w:i/>
          <w:lang w:val="en-US"/>
        </w:rPr>
        <w:t xml:space="preserve">The Intangible Cultural Heritage of Nepal : Future Directions, </w:t>
      </w:r>
      <w:r w:rsidRPr="00D07828">
        <w:rPr>
          <w:lang w:val="en-US"/>
        </w:rPr>
        <w:t xml:space="preserve">Bureau de </w:t>
      </w:r>
      <w:proofErr w:type="spellStart"/>
      <w:r w:rsidRPr="00D07828">
        <w:rPr>
          <w:lang w:val="en-US"/>
        </w:rPr>
        <w:t>l’UNESCO</w:t>
      </w:r>
      <w:proofErr w:type="spellEnd"/>
      <w:r w:rsidRPr="00D07828">
        <w:rPr>
          <w:lang w:val="en-US"/>
        </w:rPr>
        <w:t xml:space="preserve"> à Kathmandu, p.19.</w:t>
      </w:r>
    </w:p>
  </w:footnote>
  <w:footnote w:id="6">
    <w:p w14:paraId="7F566D36" w14:textId="028CCECE" w:rsidR="00331BC0" w:rsidRPr="00D07828" w:rsidRDefault="00331BC0" w:rsidP="008A7E01">
      <w:pPr>
        <w:pStyle w:val="FootnoteText"/>
        <w:rPr>
          <w:lang w:val="en-US"/>
        </w:rPr>
      </w:pPr>
      <w:r w:rsidRPr="00D57EC4">
        <w:rPr>
          <w:szCs w:val="14"/>
        </w:rPr>
        <w:footnoteRef/>
      </w:r>
      <w:r w:rsidRPr="00D07828">
        <w:rPr>
          <w:szCs w:val="14"/>
          <w:lang w:val="en-US"/>
        </w:rPr>
        <w:t>.</w:t>
      </w:r>
      <w:r w:rsidRPr="00D07828">
        <w:rPr>
          <w:szCs w:val="14"/>
          <w:lang w:val="en-US"/>
        </w:rPr>
        <w:tab/>
      </w:r>
      <w:r w:rsidR="001E73A9">
        <w:fldChar w:fldCharType="begin"/>
      </w:r>
      <w:r w:rsidR="001E73A9" w:rsidRPr="001E73A9">
        <w:rPr>
          <w:lang w:val="en-US"/>
        </w:rPr>
        <w:instrText xml:space="preserve"> HYPERLINK "http://www.un.org/esa/socdev/unpfii/en/drip.html" </w:instrText>
      </w:r>
      <w:r w:rsidR="001E73A9">
        <w:fldChar w:fldCharType="separate"/>
      </w:r>
      <w:r w:rsidRPr="00D07828">
        <w:rPr>
          <w:lang w:val="en-US"/>
        </w:rPr>
        <w:t>http://www.un.org/esa/socdev/unpfii/en/drip.html</w:t>
      </w:r>
      <w:r w:rsidR="001E73A9">
        <w:rPr>
          <w:lang w:val="en-US"/>
        </w:rPr>
        <w:fldChar w:fldCharType="end"/>
      </w:r>
      <w:r w:rsidRPr="00D07828">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9E1F5" w14:textId="54166A86" w:rsidR="00331BC0" w:rsidRPr="00603A8C" w:rsidRDefault="00331BC0" w:rsidP="00150FFB">
    <w:pPr>
      <w:pStyle w:val="Header"/>
      <w:rPr>
        <w:lang w:val="fr-FR"/>
      </w:rPr>
    </w:pPr>
    <w:r>
      <w:rPr>
        <w:rStyle w:val="PageNumber"/>
      </w:rPr>
      <w:fldChar w:fldCharType="begin"/>
    </w:r>
    <w:r w:rsidRPr="00603A8C">
      <w:rPr>
        <w:rStyle w:val="PageNumber"/>
        <w:lang w:val="fr-FR"/>
      </w:rPr>
      <w:instrText xml:space="preserve"> PAGE </w:instrText>
    </w:r>
    <w:r>
      <w:rPr>
        <w:rStyle w:val="PageNumber"/>
      </w:rPr>
      <w:fldChar w:fldCharType="separate"/>
    </w:r>
    <w:r w:rsidR="001E73A9">
      <w:rPr>
        <w:rStyle w:val="PageNumber"/>
        <w:noProof/>
        <w:lang w:val="fr-FR"/>
      </w:rPr>
      <w:t>10</w:t>
    </w:r>
    <w:r>
      <w:rPr>
        <w:rStyle w:val="PageNumber"/>
      </w:rPr>
      <w:fldChar w:fldCharType="end"/>
    </w:r>
    <w:r w:rsidRPr="00603A8C">
      <w:rPr>
        <w:lang w:val="fr-FR"/>
      </w:rPr>
      <w:tab/>
    </w:r>
    <w:r w:rsidRPr="00150FFB">
      <w:rPr>
        <w:lang w:val="fr-FR"/>
      </w:rPr>
      <w:t xml:space="preserve">Unité 10 : Politiques et institutions du </w:t>
    </w:r>
    <w:r>
      <w:rPr>
        <w:lang w:val="fr-FR"/>
      </w:rPr>
      <w:t>PCI</w:t>
    </w:r>
    <w:r>
      <w:rPr>
        <w:lang w:val="fr-FR"/>
      </w:rPr>
      <w:tab/>
    </w:r>
    <w:r w:rsidRPr="00603A8C">
      <w:rPr>
        <w:lang w:val="fr-FR"/>
      </w:rPr>
      <w:t>Texte du participant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A88B" w14:textId="51DB04B9" w:rsidR="00331BC0" w:rsidRPr="00603A8C" w:rsidRDefault="00331BC0" w:rsidP="00150FFB">
    <w:pPr>
      <w:pStyle w:val="Header"/>
      <w:rPr>
        <w:lang w:val="fr-FR"/>
      </w:rPr>
    </w:pPr>
    <w:r w:rsidRPr="00603A8C">
      <w:rPr>
        <w:lang w:val="fr-FR"/>
      </w:rPr>
      <w:t>Texte du participant</w:t>
    </w:r>
    <w:r w:rsidRPr="00603A8C">
      <w:rPr>
        <w:lang w:val="fr-FR"/>
      </w:rPr>
      <w:tab/>
    </w:r>
    <w:r w:rsidRPr="00150FFB">
      <w:rPr>
        <w:lang w:val="fr-FR"/>
      </w:rPr>
      <w:t xml:space="preserve">Unité 10 : Politiques et institutions du </w:t>
    </w:r>
    <w:r>
      <w:rPr>
        <w:lang w:val="fr-FR"/>
      </w:rPr>
      <w:t>PCI</w:t>
    </w:r>
    <w:r w:rsidRPr="00603A8C">
      <w:rPr>
        <w:lang w:val="fr-FR"/>
      </w:rPr>
      <w:tab/>
    </w:r>
    <w:r>
      <w:rPr>
        <w:rStyle w:val="PageNumber"/>
      </w:rPr>
      <w:fldChar w:fldCharType="begin"/>
    </w:r>
    <w:r w:rsidRPr="00603A8C">
      <w:rPr>
        <w:rStyle w:val="PageNumber"/>
        <w:lang w:val="fr-FR"/>
      </w:rPr>
      <w:instrText xml:space="preserve"> PAGE </w:instrText>
    </w:r>
    <w:r>
      <w:rPr>
        <w:rStyle w:val="PageNumber"/>
      </w:rPr>
      <w:fldChar w:fldCharType="separate"/>
    </w:r>
    <w:r w:rsidR="001E73A9">
      <w:rPr>
        <w:rStyle w:val="PageNumber"/>
        <w:noProof/>
        <w:lang w:val="fr-FR"/>
      </w:rPr>
      <w:t>11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5078" w14:textId="5CA41A54" w:rsidR="00331BC0" w:rsidRPr="00603A8C" w:rsidRDefault="00331BC0" w:rsidP="00A41931">
    <w:pPr>
      <w:pStyle w:val="Header"/>
      <w:ind w:right="360"/>
      <w:rPr>
        <w:lang w:val="fr-FR"/>
      </w:rPr>
    </w:pPr>
    <w:r>
      <w:rPr>
        <w:rStyle w:val="PageNumber"/>
      </w:rPr>
      <w:tab/>
    </w:r>
    <w:proofErr w:type="spellStart"/>
    <w:r>
      <w:rPr>
        <w:rStyle w:val="PageNumber"/>
      </w:rPr>
      <w:t>Texte</w:t>
    </w:r>
    <w:proofErr w:type="spellEnd"/>
    <w:r>
      <w:rPr>
        <w:rStyle w:val="PageNumber"/>
      </w:rPr>
      <w:t xml:space="preserve"> du participant</w: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947F6"/>
    <w:multiLevelType w:val="hybridMultilevel"/>
    <w:tmpl w:val="31FE440C"/>
    <w:lvl w:ilvl="0" w:tplc="083C3858">
      <w:start w:val="1"/>
      <w:numFmt w:val="decimal"/>
      <w:pStyle w:val="Enumrotation"/>
      <w:lvlText w:val="%1."/>
      <w:lvlJc w:val="left"/>
      <w:pPr>
        <w:tabs>
          <w:tab w:val="num" w:pos="1191"/>
        </w:tabs>
        <w:ind w:left="1191" w:hanging="340"/>
      </w:pPr>
      <w:rPr>
        <w:rFonts w:ascii="Arial" w:eastAsia="SimSun" w:hAnsi="Arial" w:cs="Arial"/>
      </w:rPr>
    </w:lvl>
    <w:lvl w:ilvl="1" w:tplc="040C0019">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1">
    <w:nsid w:val="1A211498"/>
    <w:multiLevelType w:val="hybridMultilevel"/>
    <w:tmpl w:val="4BF2EDA2"/>
    <w:lvl w:ilvl="0" w:tplc="040C0001">
      <w:start w:val="1"/>
      <w:numFmt w:val="bullet"/>
      <w:lvlText w:val=""/>
      <w:lvlJc w:val="left"/>
      <w:pPr>
        <w:ind w:left="1571" w:hanging="360"/>
      </w:pPr>
      <w:rPr>
        <w:rFonts w:ascii="Symbol" w:hAnsi="Symbol" w:hint="default"/>
      </w:rPr>
    </w:lvl>
    <w:lvl w:ilvl="1" w:tplc="436E5EE2">
      <w:numFmt w:val="bullet"/>
      <w:lvlText w:val="-"/>
      <w:lvlJc w:val="left"/>
      <w:pPr>
        <w:ind w:left="3142" w:hanging="1211"/>
      </w:pPr>
      <w:rPr>
        <w:rFonts w:ascii="Arial" w:eastAsia="SimSun" w:hAnsi="Arial" w:cs="Aria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
    <w:nsid w:val="1C233066"/>
    <w:multiLevelType w:val="multilevel"/>
    <w:tmpl w:val="A0E60D08"/>
    <w:lvl w:ilvl="0">
      <w:start w:val="1"/>
      <w:numFmt w:val="bullet"/>
      <w:lvlText w:val=""/>
      <w:lvlJc w:val="left"/>
      <w:pPr>
        <w:tabs>
          <w:tab w:val="num" w:pos="567"/>
        </w:tabs>
        <w:ind w:left="567" w:hanging="567"/>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pStyle w:val="Txtpucemaitre"/>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
    <w:nsid w:val="3B8943AE"/>
    <w:multiLevelType w:val="hybridMultilevel"/>
    <w:tmpl w:val="A0E60D08"/>
    <w:lvl w:ilvl="0" w:tplc="DE1C8388">
      <w:start w:val="1"/>
      <w:numFmt w:val="bullet"/>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21D672D"/>
    <w:multiLevelType w:val="multilevel"/>
    <w:tmpl w:val="E284A1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8AD26BF"/>
    <w:multiLevelType w:val="hybridMultilevel"/>
    <w:tmpl w:val="653E8370"/>
    <w:lvl w:ilvl="0" w:tplc="D24E78FE">
      <w:start w:val="1"/>
      <w:numFmt w:val="decimal"/>
      <w:pStyle w:val="Enu1"/>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8">
    <w:nsid w:val="5B587C39"/>
    <w:multiLevelType w:val="hybridMultilevel"/>
    <w:tmpl w:val="ACAA8AD0"/>
    <w:lvl w:ilvl="0" w:tplc="D4A2D562">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C9C7E9B"/>
    <w:multiLevelType w:val="hybridMultilevel"/>
    <w:tmpl w:val="AD5E7E1C"/>
    <w:lvl w:ilvl="0" w:tplc="95A6A61A">
      <w:start w:val="1"/>
      <w:numFmt w:val="bull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EBD194B"/>
    <w:multiLevelType w:val="hybridMultilevel"/>
    <w:tmpl w:val="4B349D9E"/>
    <w:lvl w:ilvl="0" w:tplc="B04E0E06">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nsid w:val="70C57F62"/>
    <w:multiLevelType w:val="hybridMultilevel"/>
    <w:tmpl w:val="F9000E08"/>
    <w:lvl w:ilvl="0" w:tplc="86DE94BC">
      <w:numFmt w:val="bullet"/>
      <w:pStyle w:val="Enutir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
    <w:nsid w:val="75674636"/>
    <w:multiLevelType w:val="multilevel"/>
    <w:tmpl w:val="811215F8"/>
    <w:lvl w:ilvl="0">
      <w:start w:val="1"/>
      <w:numFmt w:val="bullet"/>
      <w:lvlText w:val=""/>
      <w:lvlJc w:val="left"/>
      <w:pPr>
        <w:tabs>
          <w:tab w:val="num" w:pos="1003"/>
        </w:tabs>
        <w:ind w:left="1003"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BD74204"/>
    <w:multiLevelType w:val="hybridMultilevel"/>
    <w:tmpl w:val="8FB6C784"/>
    <w:lvl w:ilvl="0" w:tplc="590A27DA">
      <w:start w:val="1"/>
      <w:numFmt w:val="bullet"/>
      <w:pStyle w:val="Puceannexe"/>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14">
    <w:nsid w:val="7ED741CB"/>
    <w:multiLevelType w:val="hybridMultilevel"/>
    <w:tmpl w:val="6C2646DC"/>
    <w:lvl w:ilvl="0" w:tplc="C360C63E">
      <w:start w:val="2"/>
      <w:numFmt w:val="none"/>
      <w:pStyle w:val="citationa"/>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0"/>
  </w:num>
  <w:num w:numId="2">
    <w:abstractNumId w:val="4"/>
  </w:num>
  <w:num w:numId="3">
    <w:abstractNumId w:val="3"/>
  </w:num>
  <w:num w:numId="4">
    <w:abstractNumId w:val="13"/>
  </w:num>
  <w:num w:numId="5">
    <w:abstractNumId w:val="15"/>
  </w:num>
  <w:num w:numId="6">
    <w:abstractNumId w:val="14"/>
  </w:num>
  <w:num w:numId="7">
    <w:abstractNumId w:val="7"/>
  </w:num>
  <w:num w:numId="8">
    <w:abstractNumId w:val="0"/>
  </w:num>
  <w:num w:numId="9">
    <w:abstractNumId w:val="0"/>
    <w:lvlOverride w:ilvl="0">
      <w:startOverride w:val="1"/>
    </w:lvlOverride>
  </w:num>
  <w:num w:numId="10">
    <w:abstractNumId w:val="11"/>
  </w:num>
  <w:num w:numId="11">
    <w:abstractNumId w:val="0"/>
    <w:lvlOverride w:ilvl="0">
      <w:startOverride w:val="1"/>
    </w:lvlOverride>
  </w:num>
  <w:num w:numId="12">
    <w:abstractNumId w:val="1"/>
  </w:num>
  <w:num w:numId="13">
    <w:abstractNumId w:val="8"/>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2"/>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5"/>
  </w:num>
  <w:num w:numId="28">
    <w:abstractNumId w:val="8"/>
  </w:num>
  <w:num w:numId="29">
    <w:abstractNumId w:val="8"/>
  </w:num>
  <w:num w:numId="30">
    <w:abstractNumId w:val="8"/>
  </w:num>
  <w:num w:numId="31">
    <w:abstractNumId w:val="2"/>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1"/>
  </w:num>
  <w:num w:numId="40">
    <w:abstractNumId w:val="11"/>
  </w:num>
  <w:num w:numId="41">
    <w:abstractNumId w:val="10"/>
  </w:num>
  <w:num w:numId="42">
    <w:abstractNumId w:val="10"/>
  </w:num>
  <w:num w:numId="43">
    <w:abstractNumId w:val="9"/>
  </w:num>
  <w:num w:numId="44">
    <w:abstractNumId w:val="10"/>
  </w:num>
  <w:num w:numId="45">
    <w:abstractNumId w:val="10"/>
  </w:num>
  <w:num w:numId="46">
    <w:abstractNumId w:val="8"/>
  </w:num>
  <w:num w:numId="47">
    <w:abstractNumId w:val="8"/>
  </w:num>
  <w:num w:numId="48">
    <w:abstractNumId w:val="11"/>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4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3E"/>
    <w:rsid w:val="000006EA"/>
    <w:rsid w:val="00000D1F"/>
    <w:rsid w:val="00000DB8"/>
    <w:rsid w:val="00014873"/>
    <w:rsid w:val="0001493B"/>
    <w:rsid w:val="000151E5"/>
    <w:rsid w:val="0001741F"/>
    <w:rsid w:val="00017D71"/>
    <w:rsid w:val="000213A8"/>
    <w:rsid w:val="00022302"/>
    <w:rsid w:val="0002511C"/>
    <w:rsid w:val="00026DC2"/>
    <w:rsid w:val="00027DD9"/>
    <w:rsid w:val="000349C0"/>
    <w:rsid w:val="00040131"/>
    <w:rsid w:val="00041EBF"/>
    <w:rsid w:val="000424D8"/>
    <w:rsid w:val="00043DFF"/>
    <w:rsid w:val="00044417"/>
    <w:rsid w:val="00047780"/>
    <w:rsid w:val="00053368"/>
    <w:rsid w:val="00054243"/>
    <w:rsid w:val="000542FD"/>
    <w:rsid w:val="00054EE0"/>
    <w:rsid w:val="00062885"/>
    <w:rsid w:val="000651E6"/>
    <w:rsid w:val="00066E72"/>
    <w:rsid w:val="0007094A"/>
    <w:rsid w:val="00073751"/>
    <w:rsid w:val="00074FFC"/>
    <w:rsid w:val="00075D7D"/>
    <w:rsid w:val="00076221"/>
    <w:rsid w:val="000800C0"/>
    <w:rsid w:val="00080DAF"/>
    <w:rsid w:val="000819F8"/>
    <w:rsid w:val="000826E1"/>
    <w:rsid w:val="0008417E"/>
    <w:rsid w:val="00085406"/>
    <w:rsid w:val="0008620C"/>
    <w:rsid w:val="00086C3C"/>
    <w:rsid w:val="00094E6C"/>
    <w:rsid w:val="000A137F"/>
    <w:rsid w:val="000A13AA"/>
    <w:rsid w:val="000A7857"/>
    <w:rsid w:val="000B0472"/>
    <w:rsid w:val="000B1EB7"/>
    <w:rsid w:val="000B2122"/>
    <w:rsid w:val="000B3E37"/>
    <w:rsid w:val="000B710C"/>
    <w:rsid w:val="000C0E6A"/>
    <w:rsid w:val="000C41FA"/>
    <w:rsid w:val="000C7105"/>
    <w:rsid w:val="000D0602"/>
    <w:rsid w:val="000D176D"/>
    <w:rsid w:val="000D6D71"/>
    <w:rsid w:val="000D7317"/>
    <w:rsid w:val="000D7964"/>
    <w:rsid w:val="000E0530"/>
    <w:rsid w:val="000E4179"/>
    <w:rsid w:val="000F4C6A"/>
    <w:rsid w:val="00103657"/>
    <w:rsid w:val="001060CE"/>
    <w:rsid w:val="00107DB1"/>
    <w:rsid w:val="00117B78"/>
    <w:rsid w:val="00123B89"/>
    <w:rsid w:val="00132CAD"/>
    <w:rsid w:val="00133E1B"/>
    <w:rsid w:val="0014251F"/>
    <w:rsid w:val="00145A5C"/>
    <w:rsid w:val="00146D1E"/>
    <w:rsid w:val="00147F5C"/>
    <w:rsid w:val="00150FFB"/>
    <w:rsid w:val="00152FA0"/>
    <w:rsid w:val="001533D4"/>
    <w:rsid w:val="0015366F"/>
    <w:rsid w:val="00154EA2"/>
    <w:rsid w:val="00164F5F"/>
    <w:rsid w:val="00166843"/>
    <w:rsid w:val="00167480"/>
    <w:rsid w:val="0017028D"/>
    <w:rsid w:val="00170BFE"/>
    <w:rsid w:val="001757F9"/>
    <w:rsid w:val="00180896"/>
    <w:rsid w:val="001843B4"/>
    <w:rsid w:val="00186060"/>
    <w:rsid w:val="00186D10"/>
    <w:rsid w:val="0018741A"/>
    <w:rsid w:val="00187C35"/>
    <w:rsid w:val="00187C60"/>
    <w:rsid w:val="00191322"/>
    <w:rsid w:val="00191B71"/>
    <w:rsid w:val="0019481E"/>
    <w:rsid w:val="0019585B"/>
    <w:rsid w:val="00195959"/>
    <w:rsid w:val="001A171D"/>
    <w:rsid w:val="001A2B13"/>
    <w:rsid w:val="001A5977"/>
    <w:rsid w:val="001A69CA"/>
    <w:rsid w:val="001B04F6"/>
    <w:rsid w:val="001B0F2D"/>
    <w:rsid w:val="001B3C85"/>
    <w:rsid w:val="001B586D"/>
    <w:rsid w:val="001C2F9D"/>
    <w:rsid w:val="001C5D26"/>
    <w:rsid w:val="001D13FF"/>
    <w:rsid w:val="001D39F7"/>
    <w:rsid w:val="001D5A7D"/>
    <w:rsid w:val="001D70CD"/>
    <w:rsid w:val="001E0C39"/>
    <w:rsid w:val="001E1505"/>
    <w:rsid w:val="001E4B93"/>
    <w:rsid w:val="001E517D"/>
    <w:rsid w:val="001E73A9"/>
    <w:rsid w:val="001E7E3A"/>
    <w:rsid w:val="001F43D8"/>
    <w:rsid w:val="001F506C"/>
    <w:rsid w:val="001F5D28"/>
    <w:rsid w:val="002032E2"/>
    <w:rsid w:val="00206C1F"/>
    <w:rsid w:val="00210D69"/>
    <w:rsid w:val="002132D2"/>
    <w:rsid w:val="00216A23"/>
    <w:rsid w:val="002171D7"/>
    <w:rsid w:val="002207C3"/>
    <w:rsid w:val="00221195"/>
    <w:rsid w:val="002216BA"/>
    <w:rsid w:val="00221F26"/>
    <w:rsid w:val="0022235D"/>
    <w:rsid w:val="0022656C"/>
    <w:rsid w:val="00227E50"/>
    <w:rsid w:val="00231010"/>
    <w:rsid w:val="00231A87"/>
    <w:rsid w:val="00233749"/>
    <w:rsid w:val="0023454D"/>
    <w:rsid w:val="00234B2D"/>
    <w:rsid w:val="00235024"/>
    <w:rsid w:val="0023521F"/>
    <w:rsid w:val="00236B5B"/>
    <w:rsid w:val="0023733F"/>
    <w:rsid w:val="00242B77"/>
    <w:rsid w:val="00242EE4"/>
    <w:rsid w:val="00243F4E"/>
    <w:rsid w:val="002440CE"/>
    <w:rsid w:val="0024481B"/>
    <w:rsid w:val="0024620F"/>
    <w:rsid w:val="00246AAF"/>
    <w:rsid w:val="00251A4E"/>
    <w:rsid w:val="00255220"/>
    <w:rsid w:val="0025578B"/>
    <w:rsid w:val="00255A53"/>
    <w:rsid w:val="00257542"/>
    <w:rsid w:val="00257BD7"/>
    <w:rsid w:val="00260AF8"/>
    <w:rsid w:val="002640FF"/>
    <w:rsid w:val="00265203"/>
    <w:rsid w:val="002712FD"/>
    <w:rsid w:val="00275601"/>
    <w:rsid w:val="002758DA"/>
    <w:rsid w:val="00277EB4"/>
    <w:rsid w:val="002800D8"/>
    <w:rsid w:val="002832A1"/>
    <w:rsid w:val="00284539"/>
    <w:rsid w:val="00285498"/>
    <w:rsid w:val="00285F80"/>
    <w:rsid w:val="002869EB"/>
    <w:rsid w:val="00290880"/>
    <w:rsid w:val="00291E2F"/>
    <w:rsid w:val="002934E6"/>
    <w:rsid w:val="00294972"/>
    <w:rsid w:val="00294FD3"/>
    <w:rsid w:val="00296070"/>
    <w:rsid w:val="002A025C"/>
    <w:rsid w:val="002A2F7A"/>
    <w:rsid w:val="002A447B"/>
    <w:rsid w:val="002A4ED4"/>
    <w:rsid w:val="002A5E66"/>
    <w:rsid w:val="002A6D5B"/>
    <w:rsid w:val="002A7352"/>
    <w:rsid w:val="002B1505"/>
    <w:rsid w:val="002B33DC"/>
    <w:rsid w:val="002B6A2C"/>
    <w:rsid w:val="002C0C94"/>
    <w:rsid w:val="002C1D8C"/>
    <w:rsid w:val="002C3A25"/>
    <w:rsid w:val="002C3A7E"/>
    <w:rsid w:val="002C7ABF"/>
    <w:rsid w:val="002D200B"/>
    <w:rsid w:val="002D2B81"/>
    <w:rsid w:val="002D41E4"/>
    <w:rsid w:val="002D6696"/>
    <w:rsid w:val="002D6CF6"/>
    <w:rsid w:val="002E0878"/>
    <w:rsid w:val="002E1E8D"/>
    <w:rsid w:val="002E5028"/>
    <w:rsid w:val="002E55CB"/>
    <w:rsid w:val="002E5AC2"/>
    <w:rsid w:val="002E71FB"/>
    <w:rsid w:val="002F2551"/>
    <w:rsid w:val="002F67A4"/>
    <w:rsid w:val="002F739D"/>
    <w:rsid w:val="0030168E"/>
    <w:rsid w:val="00307D34"/>
    <w:rsid w:val="00310CD0"/>
    <w:rsid w:val="00312970"/>
    <w:rsid w:val="00316B5B"/>
    <w:rsid w:val="003238D3"/>
    <w:rsid w:val="003259DC"/>
    <w:rsid w:val="0032659F"/>
    <w:rsid w:val="00330A6B"/>
    <w:rsid w:val="00330E2D"/>
    <w:rsid w:val="00331BC0"/>
    <w:rsid w:val="003356E3"/>
    <w:rsid w:val="003370CB"/>
    <w:rsid w:val="003372C9"/>
    <w:rsid w:val="00340932"/>
    <w:rsid w:val="003422E3"/>
    <w:rsid w:val="00344D75"/>
    <w:rsid w:val="00347851"/>
    <w:rsid w:val="00354854"/>
    <w:rsid w:val="00356218"/>
    <w:rsid w:val="00360416"/>
    <w:rsid w:val="003677D8"/>
    <w:rsid w:val="00370391"/>
    <w:rsid w:val="00370EBE"/>
    <w:rsid w:val="00374529"/>
    <w:rsid w:val="00374E95"/>
    <w:rsid w:val="00375BFE"/>
    <w:rsid w:val="00377639"/>
    <w:rsid w:val="00384E33"/>
    <w:rsid w:val="00387787"/>
    <w:rsid w:val="0039446A"/>
    <w:rsid w:val="00396190"/>
    <w:rsid w:val="00396571"/>
    <w:rsid w:val="0039745B"/>
    <w:rsid w:val="003A1010"/>
    <w:rsid w:val="003A524E"/>
    <w:rsid w:val="003B09E7"/>
    <w:rsid w:val="003B1901"/>
    <w:rsid w:val="003B2A6E"/>
    <w:rsid w:val="003B4704"/>
    <w:rsid w:val="003B5874"/>
    <w:rsid w:val="003B6B98"/>
    <w:rsid w:val="003B70C7"/>
    <w:rsid w:val="003B711B"/>
    <w:rsid w:val="003B7DFC"/>
    <w:rsid w:val="003B7F45"/>
    <w:rsid w:val="003C16F8"/>
    <w:rsid w:val="003C4F1D"/>
    <w:rsid w:val="003C76B1"/>
    <w:rsid w:val="003C7BEB"/>
    <w:rsid w:val="003D020C"/>
    <w:rsid w:val="003D2709"/>
    <w:rsid w:val="003E15E2"/>
    <w:rsid w:val="003E5E70"/>
    <w:rsid w:val="003F104E"/>
    <w:rsid w:val="003F1597"/>
    <w:rsid w:val="003F3288"/>
    <w:rsid w:val="003F50EC"/>
    <w:rsid w:val="003F5CA8"/>
    <w:rsid w:val="003F6B5C"/>
    <w:rsid w:val="00402839"/>
    <w:rsid w:val="0040373D"/>
    <w:rsid w:val="00403A1B"/>
    <w:rsid w:val="00404EAE"/>
    <w:rsid w:val="00406030"/>
    <w:rsid w:val="00411833"/>
    <w:rsid w:val="004120B8"/>
    <w:rsid w:val="004124FE"/>
    <w:rsid w:val="00412910"/>
    <w:rsid w:val="004139B2"/>
    <w:rsid w:val="0042393B"/>
    <w:rsid w:val="004272A4"/>
    <w:rsid w:val="00430B70"/>
    <w:rsid w:val="004315D8"/>
    <w:rsid w:val="004325DC"/>
    <w:rsid w:val="00433FAD"/>
    <w:rsid w:val="00434788"/>
    <w:rsid w:val="00434BA5"/>
    <w:rsid w:val="00434CAC"/>
    <w:rsid w:val="00436ECC"/>
    <w:rsid w:val="0043725F"/>
    <w:rsid w:val="004406B6"/>
    <w:rsid w:val="004449EE"/>
    <w:rsid w:val="004468CE"/>
    <w:rsid w:val="00447076"/>
    <w:rsid w:val="00447861"/>
    <w:rsid w:val="00447F1C"/>
    <w:rsid w:val="00450EF9"/>
    <w:rsid w:val="00455CF9"/>
    <w:rsid w:val="00460771"/>
    <w:rsid w:val="00461004"/>
    <w:rsid w:val="00461C5C"/>
    <w:rsid w:val="00464E9D"/>
    <w:rsid w:val="00472E0F"/>
    <w:rsid w:val="00475B87"/>
    <w:rsid w:val="00477C3F"/>
    <w:rsid w:val="0048121B"/>
    <w:rsid w:val="00481229"/>
    <w:rsid w:val="00483E5F"/>
    <w:rsid w:val="00485AA9"/>
    <w:rsid w:val="00490881"/>
    <w:rsid w:val="00495197"/>
    <w:rsid w:val="00496C7F"/>
    <w:rsid w:val="004A3569"/>
    <w:rsid w:val="004A3A76"/>
    <w:rsid w:val="004A4557"/>
    <w:rsid w:val="004A60E9"/>
    <w:rsid w:val="004A66F4"/>
    <w:rsid w:val="004A6AB4"/>
    <w:rsid w:val="004A7115"/>
    <w:rsid w:val="004A78E2"/>
    <w:rsid w:val="004A7ED8"/>
    <w:rsid w:val="004B1D4C"/>
    <w:rsid w:val="004B45C3"/>
    <w:rsid w:val="004C0123"/>
    <w:rsid w:val="004C0416"/>
    <w:rsid w:val="004C5C50"/>
    <w:rsid w:val="004D37AA"/>
    <w:rsid w:val="004D5579"/>
    <w:rsid w:val="004D571E"/>
    <w:rsid w:val="004D57C8"/>
    <w:rsid w:val="004D5C00"/>
    <w:rsid w:val="004D5F7F"/>
    <w:rsid w:val="004D6197"/>
    <w:rsid w:val="004D6B01"/>
    <w:rsid w:val="004E095F"/>
    <w:rsid w:val="004E49F5"/>
    <w:rsid w:val="004E5B44"/>
    <w:rsid w:val="004E7D6C"/>
    <w:rsid w:val="004F008E"/>
    <w:rsid w:val="004F369E"/>
    <w:rsid w:val="004F3C16"/>
    <w:rsid w:val="004F46C9"/>
    <w:rsid w:val="004F5CF8"/>
    <w:rsid w:val="004F6ED7"/>
    <w:rsid w:val="004F6F32"/>
    <w:rsid w:val="004F7122"/>
    <w:rsid w:val="00501117"/>
    <w:rsid w:val="005027DA"/>
    <w:rsid w:val="00502E0B"/>
    <w:rsid w:val="005058A4"/>
    <w:rsid w:val="00505F03"/>
    <w:rsid w:val="00506791"/>
    <w:rsid w:val="005068B2"/>
    <w:rsid w:val="00517B96"/>
    <w:rsid w:val="00520241"/>
    <w:rsid w:val="005203EA"/>
    <w:rsid w:val="00520CB3"/>
    <w:rsid w:val="00521245"/>
    <w:rsid w:val="00526259"/>
    <w:rsid w:val="0052680E"/>
    <w:rsid w:val="00527E16"/>
    <w:rsid w:val="00531E23"/>
    <w:rsid w:val="005322A5"/>
    <w:rsid w:val="0053768F"/>
    <w:rsid w:val="00547581"/>
    <w:rsid w:val="00550074"/>
    <w:rsid w:val="0055379C"/>
    <w:rsid w:val="00554DE9"/>
    <w:rsid w:val="00555900"/>
    <w:rsid w:val="00556D69"/>
    <w:rsid w:val="0056051F"/>
    <w:rsid w:val="0056138E"/>
    <w:rsid w:val="0056329E"/>
    <w:rsid w:val="00565F12"/>
    <w:rsid w:val="005666D2"/>
    <w:rsid w:val="00567F81"/>
    <w:rsid w:val="00573B3D"/>
    <w:rsid w:val="0057532F"/>
    <w:rsid w:val="00575BF8"/>
    <w:rsid w:val="00577621"/>
    <w:rsid w:val="00581F97"/>
    <w:rsid w:val="00584506"/>
    <w:rsid w:val="00590B2E"/>
    <w:rsid w:val="0059714B"/>
    <w:rsid w:val="005A0707"/>
    <w:rsid w:val="005A0AB6"/>
    <w:rsid w:val="005A207D"/>
    <w:rsid w:val="005A69B3"/>
    <w:rsid w:val="005B0DA6"/>
    <w:rsid w:val="005B1C14"/>
    <w:rsid w:val="005B5D26"/>
    <w:rsid w:val="005B5EC6"/>
    <w:rsid w:val="005B703B"/>
    <w:rsid w:val="005B79DB"/>
    <w:rsid w:val="005C10EB"/>
    <w:rsid w:val="005C21E7"/>
    <w:rsid w:val="005C7ACF"/>
    <w:rsid w:val="005D01EF"/>
    <w:rsid w:val="005D1F45"/>
    <w:rsid w:val="005D5337"/>
    <w:rsid w:val="005D65C8"/>
    <w:rsid w:val="005D6A14"/>
    <w:rsid w:val="005D72E2"/>
    <w:rsid w:val="005E17CB"/>
    <w:rsid w:val="005E221C"/>
    <w:rsid w:val="005E39EF"/>
    <w:rsid w:val="005E4961"/>
    <w:rsid w:val="005E4F57"/>
    <w:rsid w:val="005E7EEB"/>
    <w:rsid w:val="005F2FEC"/>
    <w:rsid w:val="005F3D8C"/>
    <w:rsid w:val="005F5631"/>
    <w:rsid w:val="006004EC"/>
    <w:rsid w:val="00600B60"/>
    <w:rsid w:val="00603A8C"/>
    <w:rsid w:val="0060489A"/>
    <w:rsid w:val="006073FB"/>
    <w:rsid w:val="0061203C"/>
    <w:rsid w:val="006173A9"/>
    <w:rsid w:val="006206CE"/>
    <w:rsid w:val="00625277"/>
    <w:rsid w:val="0062637E"/>
    <w:rsid w:val="00630AC3"/>
    <w:rsid w:val="00631706"/>
    <w:rsid w:val="006346F4"/>
    <w:rsid w:val="006358F9"/>
    <w:rsid w:val="00640A46"/>
    <w:rsid w:val="00641FC4"/>
    <w:rsid w:val="0064362E"/>
    <w:rsid w:val="00645717"/>
    <w:rsid w:val="00645EA9"/>
    <w:rsid w:val="00646C0C"/>
    <w:rsid w:val="00646D3D"/>
    <w:rsid w:val="0065068A"/>
    <w:rsid w:val="00651766"/>
    <w:rsid w:val="00652F82"/>
    <w:rsid w:val="00653FD6"/>
    <w:rsid w:val="00657072"/>
    <w:rsid w:val="00660FC7"/>
    <w:rsid w:val="0066356D"/>
    <w:rsid w:val="00664974"/>
    <w:rsid w:val="00665D0F"/>
    <w:rsid w:val="0067217E"/>
    <w:rsid w:val="006733E3"/>
    <w:rsid w:val="00674799"/>
    <w:rsid w:val="006757EA"/>
    <w:rsid w:val="00682587"/>
    <w:rsid w:val="00682B52"/>
    <w:rsid w:val="00684202"/>
    <w:rsid w:val="006858F6"/>
    <w:rsid w:val="0069346B"/>
    <w:rsid w:val="006B1B3A"/>
    <w:rsid w:val="006C20E9"/>
    <w:rsid w:val="006C3387"/>
    <w:rsid w:val="006C362F"/>
    <w:rsid w:val="006C6F2C"/>
    <w:rsid w:val="006D283B"/>
    <w:rsid w:val="006D313C"/>
    <w:rsid w:val="006E0048"/>
    <w:rsid w:val="006E147C"/>
    <w:rsid w:val="006E38CC"/>
    <w:rsid w:val="006E4984"/>
    <w:rsid w:val="006E6DDC"/>
    <w:rsid w:val="006F2551"/>
    <w:rsid w:val="006F42AA"/>
    <w:rsid w:val="006F42B3"/>
    <w:rsid w:val="006F4396"/>
    <w:rsid w:val="006F61A0"/>
    <w:rsid w:val="006F64E6"/>
    <w:rsid w:val="00700755"/>
    <w:rsid w:val="00701EE2"/>
    <w:rsid w:val="00702EB3"/>
    <w:rsid w:val="007102EC"/>
    <w:rsid w:val="00712B1C"/>
    <w:rsid w:val="00713917"/>
    <w:rsid w:val="00713A6D"/>
    <w:rsid w:val="0071539A"/>
    <w:rsid w:val="00722302"/>
    <w:rsid w:val="00726F77"/>
    <w:rsid w:val="007278A8"/>
    <w:rsid w:val="007342F5"/>
    <w:rsid w:val="00734A13"/>
    <w:rsid w:val="00740702"/>
    <w:rsid w:val="00744425"/>
    <w:rsid w:val="00746321"/>
    <w:rsid w:val="00750512"/>
    <w:rsid w:val="00751114"/>
    <w:rsid w:val="007521EC"/>
    <w:rsid w:val="00752A0F"/>
    <w:rsid w:val="00753989"/>
    <w:rsid w:val="0075609B"/>
    <w:rsid w:val="00756390"/>
    <w:rsid w:val="0075652A"/>
    <w:rsid w:val="00757DCB"/>
    <w:rsid w:val="00761C46"/>
    <w:rsid w:val="00765959"/>
    <w:rsid w:val="00765B7E"/>
    <w:rsid w:val="0077206E"/>
    <w:rsid w:val="00772169"/>
    <w:rsid w:val="007728F8"/>
    <w:rsid w:val="007729B5"/>
    <w:rsid w:val="00772D1E"/>
    <w:rsid w:val="00773186"/>
    <w:rsid w:val="00775F40"/>
    <w:rsid w:val="007800DA"/>
    <w:rsid w:val="007808BE"/>
    <w:rsid w:val="007814F9"/>
    <w:rsid w:val="00785367"/>
    <w:rsid w:val="00795C6B"/>
    <w:rsid w:val="00795D4A"/>
    <w:rsid w:val="00795D56"/>
    <w:rsid w:val="00795FF0"/>
    <w:rsid w:val="00797896"/>
    <w:rsid w:val="00797C96"/>
    <w:rsid w:val="00797EB9"/>
    <w:rsid w:val="007A1531"/>
    <w:rsid w:val="007A1860"/>
    <w:rsid w:val="007A5C03"/>
    <w:rsid w:val="007A7CB3"/>
    <w:rsid w:val="007B1EE5"/>
    <w:rsid w:val="007B2C2D"/>
    <w:rsid w:val="007B69C9"/>
    <w:rsid w:val="007C119C"/>
    <w:rsid w:val="007C5C15"/>
    <w:rsid w:val="007C70FB"/>
    <w:rsid w:val="007D1DA1"/>
    <w:rsid w:val="007D222B"/>
    <w:rsid w:val="007E03FC"/>
    <w:rsid w:val="007E04EC"/>
    <w:rsid w:val="007E0DC4"/>
    <w:rsid w:val="007E60D0"/>
    <w:rsid w:val="007E6695"/>
    <w:rsid w:val="007E6806"/>
    <w:rsid w:val="007F3170"/>
    <w:rsid w:val="007F577A"/>
    <w:rsid w:val="00801003"/>
    <w:rsid w:val="0080154D"/>
    <w:rsid w:val="00801CFC"/>
    <w:rsid w:val="00803BA6"/>
    <w:rsid w:val="008043B8"/>
    <w:rsid w:val="0080530D"/>
    <w:rsid w:val="00807F0C"/>
    <w:rsid w:val="008130C5"/>
    <w:rsid w:val="0081317D"/>
    <w:rsid w:val="00813717"/>
    <w:rsid w:val="00816623"/>
    <w:rsid w:val="00816DE1"/>
    <w:rsid w:val="008177E6"/>
    <w:rsid w:val="00817F26"/>
    <w:rsid w:val="0082004C"/>
    <w:rsid w:val="008207E0"/>
    <w:rsid w:val="0082423F"/>
    <w:rsid w:val="008250BF"/>
    <w:rsid w:val="00826E06"/>
    <w:rsid w:val="00827C34"/>
    <w:rsid w:val="00833165"/>
    <w:rsid w:val="00836155"/>
    <w:rsid w:val="00841563"/>
    <w:rsid w:val="00843B5B"/>
    <w:rsid w:val="00851BFE"/>
    <w:rsid w:val="00854D3E"/>
    <w:rsid w:val="00855427"/>
    <w:rsid w:val="00861557"/>
    <w:rsid w:val="00862BBA"/>
    <w:rsid w:val="0086683E"/>
    <w:rsid w:val="00870EC7"/>
    <w:rsid w:val="008763F7"/>
    <w:rsid w:val="008772A2"/>
    <w:rsid w:val="008821BC"/>
    <w:rsid w:val="00882ED1"/>
    <w:rsid w:val="00883EB9"/>
    <w:rsid w:val="008A7E01"/>
    <w:rsid w:val="008B0D35"/>
    <w:rsid w:val="008B14CC"/>
    <w:rsid w:val="008B4150"/>
    <w:rsid w:val="008B6993"/>
    <w:rsid w:val="008B6C89"/>
    <w:rsid w:val="008C739C"/>
    <w:rsid w:val="008C7B0E"/>
    <w:rsid w:val="008D0008"/>
    <w:rsid w:val="008D07D5"/>
    <w:rsid w:val="008D07E3"/>
    <w:rsid w:val="008D59A2"/>
    <w:rsid w:val="008D5B4A"/>
    <w:rsid w:val="008D60AA"/>
    <w:rsid w:val="008D7E7E"/>
    <w:rsid w:val="008E0ADF"/>
    <w:rsid w:val="008E5022"/>
    <w:rsid w:val="008F1F90"/>
    <w:rsid w:val="008F50F6"/>
    <w:rsid w:val="008F5CBB"/>
    <w:rsid w:val="008F6F29"/>
    <w:rsid w:val="008F743C"/>
    <w:rsid w:val="008F7BC2"/>
    <w:rsid w:val="00901A6A"/>
    <w:rsid w:val="00903EAE"/>
    <w:rsid w:val="00906C0A"/>
    <w:rsid w:val="0091201E"/>
    <w:rsid w:val="00913F6A"/>
    <w:rsid w:val="00914287"/>
    <w:rsid w:val="0091635C"/>
    <w:rsid w:val="009168A6"/>
    <w:rsid w:val="009169F6"/>
    <w:rsid w:val="00916B13"/>
    <w:rsid w:val="00924A7C"/>
    <w:rsid w:val="009270A5"/>
    <w:rsid w:val="0093206D"/>
    <w:rsid w:val="009373AE"/>
    <w:rsid w:val="00946729"/>
    <w:rsid w:val="00953DB9"/>
    <w:rsid w:val="00954D9A"/>
    <w:rsid w:val="00957A73"/>
    <w:rsid w:val="00960EC7"/>
    <w:rsid w:val="009633A3"/>
    <w:rsid w:val="00965850"/>
    <w:rsid w:val="0096685C"/>
    <w:rsid w:val="0097251E"/>
    <w:rsid w:val="00972FD9"/>
    <w:rsid w:val="00975132"/>
    <w:rsid w:val="009760C0"/>
    <w:rsid w:val="0098041F"/>
    <w:rsid w:val="00980A8F"/>
    <w:rsid w:val="009815DB"/>
    <w:rsid w:val="00983C57"/>
    <w:rsid w:val="009867A4"/>
    <w:rsid w:val="009877B9"/>
    <w:rsid w:val="00990912"/>
    <w:rsid w:val="00991578"/>
    <w:rsid w:val="00992155"/>
    <w:rsid w:val="00992359"/>
    <w:rsid w:val="00993722"/>
    <w:rsid w:val="009940E0"/>
    <w:rsid w:val="0099702B"/>
    <w:rsid w:val="009A05B3"/>
    <w:rsid w:val="009A1ED4"/>
    <w:rsid w:val="009A2E34"/>
    <w:rsid w:val="009A36C2"/>
    <w:rsid w:val="009A45EE"/>
    <w:rsid w:val="009B1865"/>
    <w:rsid w:val="009B3F88"/>
    <w:rsid w:val="009C7D5E"/>
    <w:rsid w:val="009D7E32"/>
    <w:rsid w:val="009E080E"/>
    <w:rsid w:val="009E3ADA"/>
    <w:rsid w:val="009E3CFB"/>
    <w:rsid w:val="009E47DA"/>
    <w:rsid w:val="009E59B1"/>
    <w:rsid w:val="009E788F"/>
    <w:rsid w:val="009F3192"/>
    <w:rsid w:val="009F3A1F"/>
    <w:rsid w:val="009F5434"/>
    <w:rsid w:val="009F6C90"/>
    <w:rsid w:val="009F7A02"/>
    <w:rsid w:val="00A03989"/>
    <w:rsid w:val="00A0403A"/>
    <w:rsid w:val="00A0517A"/>
    <w:rsid w:val="00A129FC"/>
    <w:rsid w:val="00A1335D"/>
    <w:rsid w:val="00A14E17"/>
    <w:rsid w:val="00A1544C"/>
    <w:rsid w:val="00A16235"/>
    <w:rsid w:val="00A162F3"/>
    <w:rsid w:val="00A16ADB"/>
    <w:rsid w:val="00A201D9"/>
    <w:rsid w:val="00A202A2"/>
    <w:rsid w:val="00A21469"/>
    <w:rsid w:val="00A228F7"/>
    <w:rsid w:val="00A27F81"/>
    <w:rsid w:val="00A31863"/>
    <w:rsid w:val="00A326D2"/>
    <w:rsid w:val="00A3457B"/>
    <w:rsid w:val="00A36C3F"/>
    <w:rsid w:val="00A371A3"/>
    <w:rsid w:val="00A41931"/>
    <w:rsid w:val="00A45603"/>
    <w:rsid w:val="00A4618E"/>
    <w:rsid w:val="00A507FB"/>
    <w:rsid w:val="00A516C3"/>
    <w:rsid w:val="00A556BF"/>
    <w:rsid w:val="00A5684F"/>
    <w:rsid w:val="00A56F37"/>
    <w:rsid w:val="00A570C0"/>
    <w:rsid w:val="00A60D82"/>
    <w:rsid w:val="00A61E6D"/>
    <w:rsid w:val="00A65008"/>
    <w:rsid w:val="00A656ED"/>
    <w:rsid w:val="00A6597D"/>
    <w:rsid w:val="00A667F7"/>
    <w:rsid w:val="00A73131"/>
    <w:rsid w:val="00A734AC"/>
    <w:rsid w:val="00A7443E"/>
    <w:rsid w:val="00A75027"/>
    <w:rsid w:val="00A753E3"/>
    <w:rsid w:val="00A76CE7"/>
    <w:rsid w:val="00A76D04"/>
    <w:rsid w:val="00A80468"/>
    <w:rsid w:val="00A81058"/>
    <w:rsid w:val="00A81184"/>
    <w:rsid w:val="00A84586"/>
    <w:rsid w:val="00A84F89"/>
    <w:rsid w:val="00A85270"/>
    <w:rsid w:val="00A85E99"/>
    <w:rsid w:val="00A9799B"/>
    <w:rsid w:val="00AA0D95"/>
    <w:rsid w:val="00AA43B4"/>
    <w:rsid w:val="00AA6AD3"/>
    <w:rsid w:val="00AA72B4"/>
    <w:rsid w:val="00AB28D2"/>
    <w:rsid w:val="00AB3F98"/>
    <w:rsid w:val="00AB434F"/>
    <w:rsid w:val="00AB54CF"/>
    <w:rsid w:val="00AC0706"/>
    <w:rsid w:val="00AC1382"/>
    <w:rsid w:val="00AC2953"/>
    <w:rsid w:val="00AC47B8"/>
    <w:rsid w:val="00AC4CF8"/>
    <w:rsid w:val="00AC63A5"/>
    <w:rsid w:val="00AC69F4"/>
    <w:rsid w:val="00AC733B"/>
    <w:rsid w:val="00AC798B"/>
    <w:rsid w:val="00AD1B89"/>
    <w:rsid w:val="00AE0451"/>
    <w:rsid w:val="00AE129F"/>
    <w:rsid w:val="00AE399F"/>
    <w:rsid w:val="00AE6787"/>
    <w:rsid w:val="00AF6608"/>
    <w:rsid w:val="00AF7C55"/>
    <w:rsid w:val="00B001B1"/>
    <w:rsid w:val="00B0030C"/>
    <w:rsid w:val="00B01BD4"/>
    <w:rsid w:val="00B01E6B"/>
    <w:rsid w:val="00B02977"/>
    <w:rsid w:val="00B042E9"/>
    <w:rsid w:val="00B0489C"/>
    <w:rsid w:val="00B11970"/>
    <w:rsid w:val="00B121E6"/>
    <w:rsid w:val="00B139E0"/>
    <w:rsid w:val="00B161F9"/>
    <w:rsid w:val="00B16DDE"/>
    <w:rsid w:val="00B24530"/>
    <w:rsid w:val="00B26124"/>
    <w:rsid w:val="00B305BD"/>
    <w:rsid w:val="00B32948"/>
    <w:rsid w:val="00B3365B"/>
    <w:rsid w:val="00B36CC3"/>
    <w:rsid w:val="00B407F2"/>
    <w:rsid w:val="00B4292D"/>
    <w:rsid w:val="00B42F77"/>
    <w:rsid w:val="00B53DDB"/>
    <w:rsid w:val="00B545FC"/>
    <w:rsid w:val="00B54D98"/>
    <w:rsid w:val="00B554D7"/>
    <w:rsid w:val="00B55B6D"/>
    <w:rsid w:val="00B64FC0"/>
    <w:rsid w:val="00B7011E"/>
    <w:rsid w:val="00B72F39"/>
    <w:rsid w:val="00B7470A"/>
    <w:rsid w:val="00B7724F"/>
    <w:rsid w:val="00B804E1"/>
    <w:rsid w:val="00B81E78"/>
    <w:rsid w:val="00B81F8F"/>
    <w:rsid w:val="00B82578"/>
    <w:rsid w:val="00B828E6"/>
    <w:rsid w:val="00B854EA"/>
    <w:rsid w:val="00B91342"/>
    <w:rsid w:val="00B928D8"/>
    <w:rsid w:val="00B948BC"/>
    <w:rsid w:val="00B958DB"/>
    <w:rsid w:val="00B96532"/>
    <w:rsid w:val="00B9689C"/>
    <w:rsid w:val="00B9709E"/>
    <w:rsid w:val="00B977B7"/>
    <w:rsid w:val="00BA06FF"/>
    <w:rsid w:val="00BA6A78"/>
    <w:rsid w:val="00BA76B0"/>
    <w:rsid w:val="00BB2FF5"/>
    <w:rsid w:val="00BB3178"/>
    <w:rsid w:val="00BB443B"/>
    <w:rsid w:val="00BB5F18"/>
    <w:rsid w:val="00BB680F"/>
    <w:rsid w:val="00BB70F2"/>
    <w:rsid w:val="00BC0558"/>
    <w:rsid w:val="00BC1988"/>
    <w:rsid w:val="00BC19B9"/>
    <w:rsid w:val="00BC3A82"/>
    <w:rsid w:val="00BC3B18"/>
    <w:rsid w:val="00BC4742"/>
    <w:rsid w:val="00BD3762"/>
    <w:rsid w:val="00BD56B6"/>
    <w:rsid w:val="00BE17CC"/>
    <w:rsid w:val="00BE6789"/>
    <w:rsid w:val="00BE693E"/>
    <w:rsid w:val="00BF2A19"/>
    <w:rsid w:val="00BF2BD1"/>
    <w:rsid w:val="00BF300D"/>
    <w:rsid w:val="00BF4B81"/>
    <w:rsid w:val="00BF4F33"/>
    <w:rsid w:val="00C02EE8"/>
    <w:rsid w:val="00C049EB"/>
    <w:rsid w:val="00C05A18"/>
    <w:rsid w:val="00C06182"/>
    <w:rsid w:val="00C1027D"/>
    <w:rsid w:val="00C10A1F"/>
    <w:rsid w:val="00C1515E"/>
    <w:rsid w:val="00C153F4"/>
    <w:rsid w:val="00C16C54"/>
    <w:rsid w:val="00C17136"/>
    <w:rsid w:val="00C1743B"/>
    <w:rsid w:val="00C17588"/>
    <w:rsid w:val="00C209BC"/>
    <w:rsid w:val="00C22D41"/>
    <w:rsid w:val="00C243AB"/>
    <w:rsid w:val="00C24C96"/>
    <w:rsid w:val="00C26AEB"/>
    <w:rsid w:val="00C312F9"/>
    <w:rsid w:val="00C31DD4"/>
    <w:rsid w:val="00C31E6E"/>
    <w:rsid w:val="00C334A4"/>
    <w:rsid w:val="00C34622"/>
    <w:rsid w:val="00C349F9"/>
    <w:rsid w:val="00C35139"/>
    <w:rsid w:val="00C35191"/>
    <w:rsid w:val="00C40C54"/>
    <w:rsid w:val="00C4116A"/>
    <w:rsid w:val="00C420E9"/>
    <w:rsid w:val="00C430F5"/>
    <w:rsid w:val="00C44811"/>
    <w:rsid w:val="00C457EB"/>
    <w:rsid w:val="00C476D5"/>
    <w:rsid w:val="00C50F42"/>
    <w:rsid w:val="00C525E8"/>
    <w:rsid w:val="00C52844"/>
    <w:rsid w:val="00C558BD"/>
    <w:rsid w:val="00C55AA0"/>
    <w:rsid w:val="00C654E8"/>
    <w:rsid w:val="00C6634A"/>
    <w:rsid w:val="00C66927"/>
    <w:rsid w:val="00C736DB"/>
    <w:rsid w:val="00C748C9"/>
    <w:rsid w:val="00C74BC2"/>
    <w:rsid w:val="00C752EC"/>
    <w:rsid w:val="00C7655A"/>
    <w:rsid w:val="00C77B75"/>
    <w:rsid w:val="00C83ADA"/>
    <w:rsid w:val="00C867D7"/>
    <w:rsid w:val="00C86D17"/>
    <w:rsid w:val="00C976FF"/>
    <w:rsid w:val="00CA12A3"/>
    <w:rsid w:val="00CA1C08"/>
    <w:rsid w:val="00CA4EBB"/>
    <w:rsid w:val="00CA73D6"/>
    <w:rsid w:val="00CB61D9"/>
    <w:rsid w:val="00CB743E"/>
    <w:rsid w:val="00CC2817"/>
    <w:rsid w:val="00CC5381"/>
    <w:rsid w:val="00CC6610"/>
    <w:rsid w:val="00CC7911"/>
    <w:rsid w:val="00CD1F3D"/>
    <w:rsid w:val="00CF2C59"/>
    <w:rsid w:val="00CF307D"/>
    <w:rsid w:val="00CF36AB"/>
    <w:rsid w:val="00CF51AF"/>
    <w:rsid w:val="00CF6884"/>
    <w:rsid w:val="00D003D1"/>
    <w:rsid w:val="00D02AFE"/>
    <w:rsid w:val="00D03555"/>
    <w:rsid w:val="00D056C2"/>
    <w:rsid w:val="00D0612E"/>
    <w:rsid w:val="00D07828"/>
    <w:rsid w:val="00D10237"/>
    <w:rsid w:val="00D103B9"/>
    <w:rsid w:val="00D11A58"/>
    <w:rsid w:val="00D14D4A"/>
    <w:rsid w:val="00D20673"/>
    <w:rsid w:val="00D20766"/>
    <w:rsid w:val="00D22ADD"/>
    <w:rsid w:val="00D23759"/>
    <w:rsid w:val="00D2523A"/>
    <w:rsid w:val="00D261A5"/>
    <w:rsid w:val="00D279E8"/>
    <w:rsid w:val="00D314A0"/>
    <w:rsid w:val="00D31866"/>
    <w:rsid w:val="00D32C21"/>
    <w:rsid w:val="00D371C9"/>
    <w:rsid w:val="00D40709"/>
    <w:rsid w:val="00D43E06"/>
    <w:rsid w:val="00D53AD7"/>
    <w:rsid w:val="00D55935"/>
    <w:rsid w:val="00D56549"/>
    <w:rsid w:val="00D57EC4"/>
    <w:rsid w:val="00D6399E"/>
    <w:rsid w:val="00D639A1"/>
    <w:rsid w:val="00D65E8C"/>
    <w:rsid w:val="00D66C2C"/>
    <w:rsid w:val="00D7049C"/>
    <w:rsid w:val="00D727EE"/>
    <w:rsid w:val="00D74536"/>
    <w:rsid w:val="00D758ED"/>
    <w:rsid w:val="00D762C8"/>
    <w:rsid w:val="00D8057F"/>
    <w:rsid w:val="00D80F71"/>
    <w:rsid w:val="00D816A5"/>
    <w:rsid w:val="00D84651"/>
    <w:rsid w:val="00D85449"/>
    <w:rsid w:val="00D857B6"/>
    <w:rsid w:val="00D906B5"/>
    <w:rsid w:val="00D90C20"/>
    <w:rsid w:val="00D915D7"/>
    <w:rsid w:val="00D91F3A"/>
    <w:rsid w:val="00D926D0"/>
    <w:rsid w:val="00D93B77"/>
    <w:rsid w:val="00D9524B"/>
    <w:rsid w:val="00DA27FA"/>
    <w:rsid w:val="00DA3996"/>
    <w:rsid w:val="00DA5D47"/>
    <w:rsid w:val="00DA5E10"/>
    <w:rsid w:val="00DA65C2"/>
    <w:rsid w:val="00DB037E"/>
    <w:rsid w:val="00DB2C83"/>
    <w:rsid w:val="00DB401E"/>
    <w:rsid w:val="00DB5E57"/>
    <w:rsid w:val="00DB6DE5"/>
    <w:rsid w:val="00DC1DA8"/>
    <w:rsid w:val="00DC2C8F"/>
    <w:rsid w:val="00DC4B45"/>
    <w:rsid w:val="00DC58B1"/>
    <w:rsid w:val="00DC5FF4"/>
    <w:rsid w:val="00DD24F5"/>
    <w:rsid w:val="00DD2F61"/>
    <w:rsid w:val="00DD501A"/>
    <w:rsid w:val="00DD5438"/>
    <w:rsid w:val="00DD675B"/>
    <w:rsid w:val="00DD78E7"/>
    <w:rsid w:val="00DE1867"/>
    <w:rsid w:val="00DE36C4"/>
    <w:rsid w:val="00DE4E32"/>
    <w:rsid w:val="00DE57EC"/>
    <w:rsid w:val="00DF23DD"/>
    <w:rsid w:val="00DF35DF"/>
    <w:rsid w:val="00DF5F13"/>
    <w:rsid w:val="00DF7123"/>
    <w:rsid w:val="00E00393"/>
    <w:rsid w:val="00E00DAC"/>
    <w:rsid w:val="00E03E22"/>
    <w:rsid w:val="00E05D49"/>
    <w:rsid w:val="00E067A0"/>
    <w:rsid w:val="00E07B52"/>
    <w:rsid w:val="00E10650"/>
    <w:rsid w:val="00E122E3"/>
    <w:rsid w:val="00E157D0"/>
    <w:rsid w:val="00E16472"/>
    <w:rsid w:val="00E23FD5"/>
    <w:rsid w:val="00E24688"/>
    <w:rsid w:val="00E251C3"/>
    <w:rsid w:val="00E25329"/>
    <w:rsid w:val="00E302F4"/>
    <w:rsid w:val="00E33B74"/>
    <w:rsid w:val="00E3474D"/>
    <w:rsid w:val="00E363FB"/>
    <w:rsid w:val="00E41C39"/>
    <w:rsid w:val="00E45A7D"/>
    <w:rsid w:val="00E52727"/>
    <w:rsid w:val="00E5533D"/>
    <w:rsid w:val="00E60684"/>
    <w:rsid w:val="00E61FAB"/>
    <w:rsid w:val="00E62F35"/>
    <w:rsid w:val="00E6591E"/>
    <w:rsid w:val="00E66191"/>
    <w:rsid w:val="00E70A86"/>
    <w:rsid w:val="00E720C2"/>
    <w:rsid w:val="00E821BF"/>
    <w:rsid w:val="00E82F06"/>
    <w:rsid w:val="00E82FF1"/>
    <w:rsid w:val="00E86257"/>
    <w:rsid w:val="00E90CD6"/>
    <w:rsid w:val="00E91BF9"/>
    <w:rsid w:val="00E92B87"/>
    <w:rsid w:val="00E9441D"/>
    <w:rsid w:val="00E94B5D"/>
    <w:rsid w:val="00E969E6"/>
    <w:rsid w:val="00E9723C"/>
    <w:rsid w:val="00EA0AC0"/>
    <w:rsid w:val="00EA1FE1"/>
    <w:rsid w:val="00EA316C"/>
    <w:rsid w:val="00EA331F"/>
    <w:rsid w:val="00EA3B75"/>
    <w:rsid w:val="00EB2F19"/>
    <w:rsid w:val="00EB4F91"/>
    <w:rsid w:val="00EB66C5"/>
    <w:rsid w:val="00EB6DF4"/>
    <w:rsid w:val="00EC358A"/>
    <w:rsid w:val="00EC6AAF"/>
    <w:rsid w:val="00ED1093"/>
    <w:rsid w:val="00ED27F2"/>
    <w:rsid w:val="00ED4698"/>
    <w:rsid w:val="00ED5080"/>
    <w:rsid w:val="00EE0085"/>
    <w:rsid w:val="00EE00FD"/>
    <w:rsid w:val="00EE0760"/>
    <w:rsid w:val="00EE1902"/>
    <w:rsid w:val="00EE26DE"/>
    <w:rsid w:val="00EE53FB"/>
    <w:rsid w:val="00EF6DBD"/>
    <w:rsid w:val="00EF7621"/>
    <w:rsid w:val="00F01719"/>
    <w:rsid w:val="00F02484"/>
    <w:rsid w:val="00F0629B"/>
    <w:rsid w:val="00F062B5"/>
    <w:rsid w:val="00F07B6D"/>
    <w:rsid w:val="00F10FF2"/>
    <w:rsid w:val="00F114B4"/>
    <w:rsid w:val="00F12863"/>
    <w:rsid w:val="00F13199"/>
    <w:rsid w:val="00F13D41"/>
    <w:rsid w:val="00F15C08"/>
    <w:rsid w:val="00F16CE1"/>
    <w:rsid w:val="00F17A82"/>
    <w:rsid w:val="00F22996"/>
    <w:rsid w:val="00F265C9"/>
    <w:rsid w:val="00F26DCC"/>
    <w:rsid w:val="00F27E3A"/>
    <w:rsid w:val="00F31468"/>
    <w:rsid w:val="00F317CF"/>
    <w:rsid w:val="00F32FEC"/>
    <w:rsid w:val="00F35B62"/>
    <w:rsid w:val="00F37F65"/>
    <w:rsid w:val="00F47762"/>
    <w:rsid w:val="00F545F0"/>
    <w:rsid w:val="00F549E5"/>
    <w:rsid w:val="00F5757A"/>
    <w:rsid w:val="00F61C8F"/>
    <w:rsid w:val="00F64D90"/>
    <w:rsid w:val="00F67023"/>
    <w:rsid w:val="00F70AFB"/>
    <w:rsid w:val="00F74B2E"/>
    <w:rsid w:val="00F75E79"/>
    <w:rsid w:val="00F764DC"/>
    <w:rsid w:val="00F76AC7"/>
    <w:rsid w:val="00F8143B"/>
    <w:rsid w:val="00F847AD"/>
    <w:rsid w:val="00F904CC"/>
    <w:rsid w:val="00F93546"/>
    <w:rsid w:val="00F948EA"/>
    <w:rsid w:val="00F94A0E"/>
    <w:rsid w:val="00F94F36"/>
    <w:rsid w:val="00FA2700"/>
    <w:rsid w:val="00FA45E4"/>
    <w:rsid w:val="00FA6F2B"/>
    <w:rsid w:val="00FB11E9"/>
    <w:rsid w:val="00FB1DF7"/>
    <w:rsid w:val="00FB255B"/>
    <w:rsid w:val="00FB3B65"/>
    <w:rsid w:val="00FB5823"/>
    <w:rsid w:val="00FB605B"/>
    <w:rsid w:val="00FB659C"/>
    <w:rsid w:val="00FC01AC"/>
    <w:rsid w:val="00FC0627"/>
    <w:rsid w:val="00FC7191"/>
    <w:rsid w:val="00FD2A81"/>
    <w:rsid w:val="00FD2BBC"/>
    <w:rsid w:val="00FE099C"/>
    <w:rsid w:val="00FE120E"/>
    <w:rsid w:val="00FE2223"/>
    <w:rsid w:val="00FE65D5"/>
    <w:rsid w:val="00FF2E03"/>
    <w:rsid w:val="00FF4245"/>
    <w:rsid w:val="00FF48A7"/>
    <w:rsid w:val="00FF4DAA"/>
    <w:rsid w:val="00FF7F3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731D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0651E6"/>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3"/>
      </w:numPr>
      <w:outlineLvl w:val="4"/>
    </w:pPr>
    <w:rPr>
      <w:b/>
    </w:rPr>
  </w:style>
  <w:style w:type="paragraph" w:styleId="Heading6">
    <w:name w:val="heading 6"/>
    <w:basedOn w:val="Normal"/>
    <w:next w:val="Normal"/>
    <w:link w:val="Heading6Char"/>
    <w:qFormat/>
    <w:rsid w:val="00701EE2"/>
    <w:pPr>
      <w:keepLines/>
      <w:numPr>
        <w:ilvl w:val="5"/>
        <w:numId w:val="3"/>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CB61D9"/>
    <w:pPr>
      <w:numPr>
        <w:ilvl w:val="6"/>
        <w:numId w:val="3"/>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hAnsi="Arial" w:cs="Arial"/>
      <w:bCs/>
      <w:kern w:val="28"/>
      <w:sz w:val="52"/>
      <w:szCs w:val="52"/>
      <w:lang w:val="fr-FR" w:eastAsia="zh-CN" w:bidi="ar-SA"/>
    </w:rPr>
  </w:style>
  <w:style w:type="character" w:customStyle="1" w:styleId="Heading2Char">
    <w:name w:val="Heading 2 Char"/>
    <w:link w:val="Heading2"/>
    <w:rsid w:val="00701EE2"/>
    <w:rPr>
      <w:rFonts w:ascii="Arial" w:hAnsi="Arial" w:cs="Arial"/>
      <w:b/>
      <w:bCs/>
      <w:caps/>
      <w:kern w:val="28"/>
      <w:sz w:val="28"/>
      <w:szCs w:val="28"/>
      <w:lang w:val="en-US" w:eastAsia="zh-CN" w:bidi="ar-SA"/>
    </w:rPr>
  </w:style>
  <w:style w:type="character" w:customStyle="1" w:styleId="Heading3Char">
    <w:name w:val="Heading 3 Char"/>
    <w:link w:val="Heading3"/>
    <w:rsid w:val="00701EE2"/>
    <w:rPr>
      <w:rFonts w:ascii="Arial" w:eastAsia="SimSun" w:hAnsi="Arial" w:cs="Arial"/>
      <w:b/>
      <w:bCs/>
      <w:caps/>
      <w:kern w:val="28"/>
      <w:szCs w:val="22"/>
      <w:lang w:val="fr-FR" w:eastAsia="zh-CN" w:bidi="ar-SA"/>
    </w:rPr>
  </w:style>
  <w:style w:type="character" w:customStyle="1" w:styleId="Heading4Char">
    <w:name w:val="Heading 4 Char"/>
    <w:link w:val="Heading4"/>
    <w:rsid w:val="000651E6"/>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val="fr-FR" w:eastAsia="zh-CN" w:bidi="ar-SA"/>
    </w:rPr>
  </w:style>
  <w:style w:type="character" w:customStyle="1" w:styleId="Heading6Char">
    <w:name w:val="Heading 6 Char"/>
    <w:link w:val="Heading6"/>
    <w:rsid w:val="00701EE2"/>
    <w:rPr>
      <w:rFonts w:ascii="Arial" w:hAnsi="Arial" w:cs="Arial"/>
      <w:b/>
      <w:iCs/>
      <w:szCs w:val="22"/>
      <w:lang w:val="en-US" w:eastAsia="x-none" w:bidi="ar-SA"/>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Car"/>
    <w:rsid w:val="00713A6D"/>
    <w:pPr>
      <w:numPr>
        <w:numId w:val="10"/>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link w:val="Enutiret"/>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clear" w:pos="567"/>
        <w:tab w:val="left" w:pos="747"/>
        <w:tab w:val="left" w:pos="2183"/>
      </w:tabs>
      <w:ind w:left="1985" w:hanging="1134"/>
    </w:p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val="fr-FR" w:eastAsia="zh-CN" w:bidi="ar-SA"/>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val="x-none" w:eastAsia="zh-CN" w:bidi="ar-SA"/>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8"/>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autoRedefine/>
    <w:rsid w:val="00B9689C"/>
    <w:pPr>
      <w:numPr>
        <w:numId w:val="1"/>
      </w:numPr>
      <w:tabs>
        <w:tab w:val="clear" w:pos="567"/>
      </w:tabs>
      <w:ind w:left="851" w:hanging="284"/>
    </w:pPr>
  </w:style>
  <w:style w:type="paragraph" w:customStyle="1" w:styleId="Titcoul">
    <w:name w:val="Titcoul"/>
    <w:basedOn w:val="Title"/>
    <w:link w:val="TitcoulCar"/>
    <w:rsid w:val="000651E6"/>
    <w:pPr>
      <w:widowControl w:val="0"/>
      <w:tabs>
        <w:tab w:val="left" w:pos="851"/>
      </w:tabs>
      <w:spacing w:before="720" w:after="240" w:line="320" w:lineRule="exact"/>
      <w:ind w:left="851" w:hanging="851"/>
    </w:pPr>
    <w:rPr>
      <w:rFonts w:ascii="Arial" w:hAnsi="Arial"/>
      <w:color w:val="3366FF"/>
      <w:sz w:val="24"/>
      <w:szCs w:val="24"/>
    </w:rPr>
  </w:style>
  <w:style w:type="character" w:customStyle="1" w:styleId="TitcoulCar">
    <w:name w:val="Titcoul Car"/>
    <w:link w:val="Titcoul"/>
    <w:rsid w:val="000651E6"/>
    <w:rPr>
      <w:rFonts w:ascii="Arial" w:eastAsia="Times New Roman" w:hAnsi="Arial" w:cs="Arial"/>
      <w:b/>
      <w:caps/>
      <w:snapToGrid w:val="0"/>
      <w:color w:val="3366FF"/>
      <w:sz w:val="24"/>
      <w:szCs w:val="24"/>
      <w:lang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6"/>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7"/>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coul"/>
    <w:link w:val="ChapitreCar"/>
    <w:rsid w:val="005A0AB6"/>
    <w:pPr>
      <w:pBdr>
        <w:bottom w:val="single" w:sz="4" w:space="14" w:color="3366FF"/>
      </w:pBdr>
      <w:spacing w:before="240" w:line="840" w:lineRule="exact"/>
      <w:ind w:left="0" w:firstLine="0"/>
    </w:pPr>
    <w:rPr>
      <w:sz w:val="70"/>
      <w:szCs w:val="70"/>
    </w:rPr>
  </w:style>
  <w:style w:type="paragraph" w:customStyle="1" w:styleId="Sschapitre">
    <w:name w:val="Sschapitre"/>
    <w:basedOn w:val="Txtgras"/>
    <w:autoRedefine/>
    <w:rsid w:val="00B0489C"/>
  </w:style>
  <w:style w:type="paragraph" w:customStyle="1" w:styleId="Txtchap">
    <w:name w:val="Txtchap"/>
    <w:basedOn w:val="Normal"/>
    <w:link w:val="TxtchapCar"/>
    <w:rsid w:val="00DA5D47"/>
    <w:pPr>
      <w:numPr>
        <w:numId w:val="13"/>
      </w:numPr>
      <w:spacing w:after="120" w:line="360" w:lineRule="exact"/>
    </w:pPr>
    <w:rPr>
      <w:sz w:val="24"/>
    </w:rPr>
  </w:style>
  <w:style w:type="paragraph" w:customStyle="1" w:styleId="Chapinfo">
    <w:name w:val="Chapinfo"/>
    <w:basedOn w:val="Txtchap"/>
    <w:link w:val="ChapinfoCar"/>
    <w:rsid w:val="00795FF0"/>
    <w:pPr>
      <w:keepNext w:val="0"/>
      <w:numPr>
        <w:numId w:val="0"/>
      </w:numPr>
      <w:spacing w:before="480" w:after="0" w:line="320" w:lineRule="exact"/>
      <w:ind w:left="567"/>
    </w:pPr>
    <w:rPr>
      <w:i/>
      <w:iCs/>
      <w:color w:val="3366FF"/>
      <w:szCs w:val="24"/>
    </w:rPr>
  </w:style>
  <w:style w:type="character" w:customStyle="1" w:styleId="ChapinfoCar">
    <w:name w:val="Chapinfo Car"/>
    <w:link w:val="Chapinfo"/>
    <w:rsid w:val="00795FF0"/>
    <w:rPr>
      <w:rFonts w:ascii="Arial" w:eastAsia="SimSun" w:hAnsi="Arial" w:cs="Arial"/>
      <w:i/>
      <w:iCs/>
      <w:color w:val="3366FF"/>
      <w:sz w:val="24"/>
      <w:szCs w:val="24"/>
      <w:lang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before="0" w:after="120" w:line="480" w:lineRule="exact"/>
    </w:pPr>
    <w:rPr>
      <w:color w:val="auto"/>
      <w:sz w:val="36"/>
      <w:szCs w:val="48"/>
    </w:rPr>
  </w:style>
  <w:style w:type="paragraph" w:customStyle="1" w:styleId="Sschap">
    <w:name w:val="Sschap"/>
    <w:basedOn w:val="Txtgras"/>
    <w:autoRedefine/>
    <w:rsid w:val="000C41FA"/>
    <w:pPr>
      <w:widowControl w:val="0"/>
      <w:spacing w:before="600" w:after="480"/>
    </w:pPr>
    <w:rPr>
      <w:rFonts w:ascii="Arial" w:hAnsi="Arial"/>
      <w:smallCaps w:val="0"/>
    </w:rPr>
  </w:style>
  <w:style w:type="character" w:customStyle="1" w:styleId="TxtchapCar">
    <w:name w:val="Txtchap Car"/>
    <w:basedOn w:val="DefaultParagraphFont"/>
    <w:link w:val="Txtchap"/>
    <w:rsid w:val="00DA5D47"/>
    <w:rPr>
      <w:rFonts w:ascii="Arial" w:eastAsia="SimSun" w:hAnsi="Arial" w:cs="Arial"/>
      <w:sz w:val="24"/>
      <w:lang w:eastAsia="zh-CN"/>
    </w:rPr>
  </w:style>
  <w:style w:type="paragraph" w:customStyle="1" w:styleId="Key">
    <w:name w:val="Key"/>
    <w:basedOn w:val="Titcoul"/>
    <w:link w:val="KeyCar"/>
    <w:qFormat/>
    <w:rsid w:val="00DA5D47"/>
    <w:rPr>
      <w:rFonts w:eastAsia="SimSun"/>
      <w:lang w:val="en-US"/>
    </w:rPr>
  </w:style>
  <w:style w:type="character" w:customStyle="1" w:styleId="KeyCar">
    <w:name w:val="Key Car"/>
    <w:basedOn w:val="TitcoulCar"/>
    <w:link w:val="Key"/>
    <w:rsid w:val="00DA5D47"/>
    <w:rPr>
      <w:rFonts w:ascii="Arial Gras" w:eastAsia="SimSun" w:hAnsi="Arial Gras" w:cs="Arial"/>
      <w:b/>
      <w:bCs w:val="0"/>
      <w:caps/>
      <w:snapToGrid w:val="0"/>
      <w:color w:val="3366FF"/>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lang w:val="en-GB"/>
    </w:rPr>
  </w:style>
  <w:style w:type="character" w:customStyle="1" w:styleId="TextegrasCar">
    <w:name w:val="Textegras Car"/>
    <w:basedOn w:val="Texte1Car"/>
    <w:link w:val="Textegras"/>
    <w:rsid w:val="0057532F"/>
    <w:rPr>
      <w:rFonts w:ascii="Arial" w:eastAsia="SimSun" w:hAnsi="Arial" w:cs="Arial"/>
      <w:b/>
      <w:w w:val="95"/>
      <w:lang w:val="en-GB" w:eastAsia="zh-CN"/>
    </w:rPr>
  </w:style>
  <w:style w:type="character" w:customStyle="1" w:styleId="EnutiretCar">
    <w:name w:val="Enutiret Car"/>
    <w:basedOn w:val="DefaultParagraphFont"/>
    <w:rsid w:val="00073751"/>
    <w:rPr>
      <w:rFonts w:ascii="Arial" w:hAnsi="Arial" w:cs="Arial"/>
      <w:noProof/>
      <w:snapToGrid w:val="0"/>
      <w:sz w:val="20"/>
      <w:szCs w:val="20"/>
      <w:lang w:eastAsia="en-US"/>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5A0AB6"/>
    <w:rPr>
      <w:rFonts w:ascii="Arial" w:eastAsia="Times New Roman" w:hAnsi="Arial" w:cs="Arial"/>
      <w:b/>
      <w:caps/>
      <w:snapToGrid w:val="0"/>
      <w:color w:val="3366FF"/>
      <w:sz w:val="70"/>
      <w:szCs w:val="70"/>
      <w:lang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0651E6"/>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3"/>
      </w:numPr>
      <w:outlineLvl w:val="4"/>
    </w:pPr>
    <w:rPr>
      <w:b/>
    </w:rPr>
  </w:style>
  <w:style w:type="paragraph" w:styleId="Heading6">
    <w:name w:val="heading 6"/>
    <w:basedOn w:val="Normal"/>
    <w:next w:val="Normal"/>
    <w:link w:val="Heading6Char"/>
    <w:qFormat/>
    <w:rsid w:val="00701EE2"/>
    <w:pPr>
      <w:keepLines/>
      <w:numPr>
        <w:ilvl w:val="5"/>
        <w:numId w:val="3"/>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CB61D9"/>
    <w:pPr>
      <w:numPr>
        <w:ilvl w:val="6"/>
        <w:numId w:val="3"/>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hAnsi="Arial" w:cs="Arial"/>
      <w:bCs/>
      <w:kern w:val="28"/>
      <w:sz w:val="52"/>
      <w:szCs w:val="52"/>
      <w:lang w:val="fr-FR" w:eastAsia="zh-CN" w:bidi="ar-SA"/>
    </w:rPr>
  </w:style>
  <w:style w:type="character" w:customStyle="1" w:styleId="Heading2Char">
    <w:name w:val="Heading 2 Char"/>
    <w:link w:val="Heading2"/>
    <w:rsid w:val="00701EE2"/>
    <w:rPr>
      <w:rFonts w:ascii="Arial" w:hAnsi="Arial" w:cs="Arial"/>
      <w:b/>
      <w:bCs/>
      <w:caps/>
      <w:kern w:val="28"/>
      <w:sz w:val="28"/>
      <w:szCs w:val="28"/>
      <w:lang w:val="en-US" w:eastAsia="zh-CN" w:bidi="ar-SA"/>
    </w:rPr>
  </w:style>
  <w:style w:type="character" w:customStyle="1" w:styleId="Heading3Char">
    <w:name w:val="Heading 3 Char"/>
    <w:link w:val="Heading3"/>
    <w:rsid w:val="00701EE2"/>
    <w:rPr>
      <w:rFonts w:ascii="Arial" w:eastAsia="SimSun" w:hAnsi="Arial" w:cs="Arial"/>
      <w:b/>
      <w:bCs/>
      <w:caps/>
      <w:kern w:val="28"/>
      <w:szCs w:val="22"/>
      <w:lang w:val="fr-FR" w:eastAsia="zh-CN" w:bidi="ar-SA"/>
    </w:rPr>
  </w:style>
  <w:style w:type="character" w:customStyle="1" w:styleId="Heading4Char">
    <w:name w:val="Heading 4 Char"/>
    <w:link w:val="Heading4"/>
    <w:rsid w:val="000651E6"/>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val="fr-FR" w:eastAsia="zh-CN" w:bidi="ar-SA"/>
    </w:rPr>
  </w:style>
  <w:style w:type="character" w:customStyle="1" w:styleId="Heading6Char">
    <w:name w:val="Heading 6 Char"/>
    <w:link w:val="Heading6"/>
    <w:rsid w:val="00701EE2"/>
    <w:rPr>
      <w:rFonts w:ascii="Arial" w:hAnsi="Arial" w:cs="Arial"/>
      <w:b/>
      <w:iCs/>
      <w:szCs w:val="22"/>
      <w:lang w:val="en-US" w:eastAsia="x-none" w:bidi="ar-SA"/>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Car"/>
    <w:rsid w:val="00713A6D"/>
    <w:pPr>
      <w:numPr>
        <w:numId w:val="10"/>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link w:val="Enutiret"/>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clear" w:pos="567"/>
        <w:tab w:val="left" w:pos="747"/>
        <w:tab w:val="left" w:pos="2183"/>
      </w:tabs>
      <w:ind w:left="1985" w:hanging="1134"/>
    </w:p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val="fr-FR" w:eastAsia="zh-CN" w:bidi="ar-SA"/>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val="x-none" w:eastAsia="zh-CN" w:bidi="ar-SA"/>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8"/>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autoRedefine/>
    <w:rsid w:val="00B9689C"/>
    <w:pPr>
      <w:numPr>
        <w:numId w:val="1"/>
      </w:numPr>
      <w:tabs>
        <w:tab w:val="clear" w:pos="567"/>
      </w:tabs>
      <w:ind w:left="851" w:hanging="284"/>
    </w:pPr>
  </w:style>
  <w:style w:type="paragraph" w:customStyle="1" w:styleId="Titcoul">
    <w:name w:val="Titcoul"/>
    <w:basedOn w:val="Title"/>
    <w:link w:val="TitcoulCar"/>
    <w:rsid w:val="000651E6"/>
    <w:pPr>
      <w:widowControl w:val="0"/>
      <w:tabs>
        <w:tab w:val="left" w:pos="851"/>
      </w:tabs>
      <w:spacing w:before="720" w:after="240" w:line="320" w:lineRule="exact"/>
      <w:ind w:left="851" w:hanging="851"/>
    </w:pPr>
    <w:rPr>
      <w:rFonts w:ascii="Arial" w:hAnsi="Arial"/>
      <w:color w:val="3366FF"/>
      <w:sz w:val="24"/>
      <w:szCs w:val="24"/>
    </w:rPr>
  </w:style>
  <w:style w:type="character" w:customStyle="1" w:styleId="TitcoulCar">
    <w:name w:val="Titcoul Car"/>
    <w:link w:val="Titcoul"/>
    <w:rsid w:val="000651E6"/>
    <w:rPr>
      <w:rFonts w:ascii="Arial" w:eastAsia="Times New Roman" w:hAnsi="Arial" w:cs="Arial"/>
      <w:b/>
      <w:caps/>
      <w:snapToGrid w:val="0"/>
      <w:color w:val="3366FF"/>
      <w:sz w:val="24"/>
      <w:szCs w:val="24"/>
      <w:lang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6"/>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7"/>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coul"/>
    <w:link w:val="ChapitreCar"/>
    <w:rsid w:val="005A0AB6"/>
    <w:pPr>
      <w:pBdr>
        <w:bottom w:val="single" w:sz="4" w:space="14" w:color="3366FF"/>
      </w:pBdr>
      <w:spacing w:before="240" w:line="840" w:lineRule="exact"/>
      <w:ind w:left="0" w:firstLine="0"/>
    </w:pPr>
    <w:rPr>
      <w:sz w:val="70"/>
      <w:szCs w:val="70"/>
    </w:rPr>
  </w:style>
  <w:style w:type="paragraph" w:customStyle="1" w:styleId="Sschapitre">
    <w:name w:val="Sschapitre"/>
    <w:basedOn w:val="Txtgras"/>
    <w:autoRedefine/>
    <w:rsid w:val="00B0489C"/>
  </w:style>
  <w:style w:type="paragraph" w:customStyle="1" w:styleId="Txtchap">
    <w:name w:val="Txtchap"/>
    <w:basedOn w:val="Normal"/>
    <w:link w:val="TxtchapCar"/>
    <w:rsid w:val="00DA5D47"/>
    <w:pPr>
      <w:numPr>
        <w:numId w:val="13"/>
      </w:numPr>
      <w:spacing w:after="120" w:line="360" w:lineRule="exact"/>
    </w:pPr>
    <w:rPr>
      <w:sz w:val="24"/>
    </w:rPr>
  </w:style>
  <w:style w:type="paragraph" w:customStyle="1" w:styleId="Chapinfo">
    <w:name w:val="Chapinfo"/>
    <w:basedOn w:val="Txtchap"/>
    <w:link w:val="ChapinfoCar"/>
    <w:rsid w:val="00795FF0"/>
    <w:pPr>
      <w:keepNext w:val="0"/>
      <w:numPr>
        <w:numId w:val="0"/>
      </w:numPr>
      <w:spacing w:before="480" w:after="0" w:line="320" w:lineRule="exact"/>
      <w:ind w:left="567"/>
    </w:pPr>
    <w:rPr>
      <w:i/>
      <w:iCs/>
      <w:color w:val="3366FF"/>
      <w:szCs w:val="24"/>
    </w:rPr>
  </w:style>
  <w:style w:type="character" w:customStyle="1" w:styleId="ChapinfoCar">
    <w:name w:val="Chapinfo Car"/>
    <w:link w:val="Chapinfo"/>
    <w:rsid w:val="00795FF0"/>
    <w:rPr>
      <w:rFonts w:ascii="Arial" w:eastAsia="SimSun" w:hAnsi="Arial" w:cs="Arial"/>
      <w:i/>
      <w:iCs/>
      <w:color w:val="3366FF"/>
      <w:sz w:val="24"/>
      <w:szCs w:val="24"/>
      <w:lang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before="0" w:after="120" w:line="480" w:lineRule="exact"/>
    </w:pPr>
    <w:rPr>
      <w:color w:val="auto"/>
      <w:sz w:val="36"/>
      <w:szCs w:val="48"/>
    </w:rPr>
  </w:style>
  <w:style w:type="paragraph" w:customStyle="1" w:styleId="Sschap">
    <w:name w:val="Sschap"/>
    <w:basedOn w:val="Txtgras"/>
    <w:autoRedefine/>
    <w:rsid w:val="000C41FA"/>
    <w:pPr>
      <w:widowControl w:val="0"/>
      <w:spacing w:before="600" w:after="480"/>
    </w:pPr>
    <w:rPr>
      <w:rFonts w:ascii="Arial" w:hAnsi="Arial"/>
      <w:smallCaps w:val="0"/>
    </w:rPr>
  </w:style>
  <w:style w:type="character" w:customStyle="1" w:styleId="TxtchapCar">
    <w:name w:val="Txtchap Car"/>
    <w:basedOn w:val="DefaultParagraphFont"/>
    <w:link w:val="Txtchap"/>
    <w:rsid w:val="00DA5D47"/>
    <w:rPr>
      <w:rFonts w:ascii="Arial" w:eastAsia="SimSun" w:hAnsi="Arial" w:cs="Arial"/>
      <w:sz w:val="24"/>
      <w:lang w:eastAsia="zh-CN"/>
    </w:rPr>
  </w:style>
  <w:style w:type="paragraph" w:customStyle="1" w:styleId="Key">
    <w:name w:val="Key"/>
    <w:basedOn w:val="Titcoul"/>
    <w:link w:val="KeyCar"/>
    <w:qFormat/>
    <w:rsid w:val="00DA5D47"/>
    <w:rPr>
      <w:rFonts w:eastAsia="SimSun"/>
      <w:lang w:val="en-US"/>
    </w:rPr>
  </w:style>
  <w:style w:type="character" w:customStyle="1" w:styleId="KeyCar">
    <w:name w:val="Key Car"/>
    <w:basedOn w:val="TitcoulCar"/>
    <w:link w:val="Key"/>
    <w:rsid w:val="00DA5D47"/>
    <w:rPr>
      <w:rFonts w:ascii="Arial Gras" w:eastAsia="SimSun" w:hAnsi="Arial Gras" w:cs="Arial"/>
      <w:b/>
      <w:bCs w:val="0"/>
      <w:caps/>
      <w:snapToGrid w:val="0"/>
      <w:color w:val="3366FF"/>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lang w:val="en-GB"/>
    </w:rPr>
  </w:style>
  <w:style w:type="character" w:customStyle="1" w:styleId="TextegrasCar">
    <w:name w:val="Textegras Car"/>
    <w:basedOn w:val="Texte1Car"/>
    <w:link w:val="Textegras"/>
    <w:rsid w:val="0057532F"/>
    <w:rPr>
      <w:rFonts w:ascii="Arial" w:eastAsia="SimSun" w:hAnsi="Arial" w:cs="Arial"/>
      <w:b/>
      <w:w w:val="95"/>
      <w:lang w:val="en-GB" w:eastAsia="zh-CN"/>
    </w:rPr>
  </w:style>
  <w:style w:type="character" w:customStyle="1" w:styleId="EnutiretCar">
    <w:name w:val="Enutiret Car"/>
    <w:basedOn w:val="DefaultParagraphFont"/>
    <w:rsid w:val="00073751"/>
    <w:rPr>
      <w:rFonts w:ascii="Arial" w:hAnsi="Arial" w:cs="Arial"/>
      <w:noProof/>
      <w:snapToGrid w:val="0"/>
      <w:sz w:val="20"/>
      <w:szCs w:val="20"/>
      <w:lang w:eastAsia="en-US"/>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5A0AB6"/>
    <w:rPr>
      <w:rFonts w:ascii="Arial" w:eastAsia="Times New Roman" w:hAnsi="Arial" w:cs="Arial"/>
      <w:b/>
      <w:caps/>
      <w:snapToGrid w:val="0"/>
      <w:color w:val="3366FF"/>
      <w:sz w:val="70"/>
      <w:szCs w:val="70"/>
      <w:lang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381">
      <w:bodyDiv w:val="1"/>
      <w:marLeft w:val="0"/>
      <w:marRight w:val="0"/>
      <w:marTop w:val="0"/>
      <w:marBottom w:val="0"/>
      <w:divBdr>
        <w:top w:val="none" w:sz="0" w:space="0" w:color="auto"/>
        <w:left w:val="none" w:sz="0" w:space="0" w:color="auto"/>
        <w:bottom w:val="none" w:sz="0" w:space="0" w:color="auto"/>
        <w:right w:val="none" w:sz="0" w:space="0" w:color="auto"/>
      </w:divBdr>
    </w:div>
    <w:div w:id="113601826">
      <w:bodyDiv w:val="1"/>
      <w:marLeft w:val="0"/>
      <w:marRight w:val="0"/>
      <w:marTop w:val="0"/>
      <w:marBottom w:val="0"/>
      <w:divBdr>
        <w:top w:val="none" w:sz="0" w:space="0" w:color="auto"/>
        <w:left w:val="none" w:sz="0" w:space="0" w:color="auto"/>
        <w:bottom w:val="none" w:sz="0" w:space="0" w:color="auto"/>
        <w:right w:val="none" w:sz="0" w:space="0" w:color="auto"/>
      </w:divBdr>
    </w:div>
    <w:div w:id="282462822">
      <w:bodyDiv w:val="1"/>
      <w:marLeft w:val="0"/>
      <w:marRight w:val="0"/>
      <w:marTop w:val="0"/>
      <w:marBottom w:val="0"/>
      <w:divBdr>
        <w:top w:val="none" w:sz="0" w:space="0" w:color="auto"/>
        <w:left w:val="none" w:sz="0" w:space="0" w:color="auto"/>
        <w:bottom w:val="none" w:sz="0" w:space="0" w:color="auto"/>
        <w:right w:val="none" w:sz="0" w:space="0" w:color="auto"/>
      </w:divBdr>
    </w:div>
    <w:div w:id="714740110">
      <w:bodyDiv w:val="1"/>
      <w:marLeft w:val="0"/>
      <w:marRight w:val="0"/>
      <w:marTop w:val="0"/>
      <w:marBottom w:val="0"/>
      <w:divBdr>
        <w:top w:val="none" w:sz="0" w:space="0" w:color="auto"/>
        <w:left w:val="none" w:sz="0" w:space="0" w:color="auto"/>
        <w:bottom w:val="none" w:sz="0" w:space="0" w:color="auto"/>
        <w:right w:val="none" w:sz="0" w:space="0" w:color="auto"/>
      </w:divBdr>
    </w:div>
    <w:div w:id="772746003">
      <w:bodyDiv w:val="1"/>
      <w:marLeft w:val="0"/>
      <w:marRight w:val="0"/>
      <w:marTop w:val="0"/>
      <w:marBottom w:val="0"/>
      <w:divBdr>
        <w:top w:val="none" w:sz="0" w:space="0" w:color="auto"/>
        <w:left w:val="none" w:sz="0" w:space="0" w:color="auto"/>
        <w:bottom w:val="none" w:sz="0" w:space="0" w:color="auto"/>
        <w:right w:val="none" w:sz="0" w:space="0" w:color="auto"/>
      </w:divBdr>
    </w:div>
    <w:div w:id="1169442940">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2535">
      <w:bodyDiv w:val="1"/>
      <w:marLeft w:val="0"/>
      <w:marRight w:val="0"/>
      <w:marTop w:val="0"/>
      <w:marBottom w:val="0"/>
      <w:divBdr>
        <w:top w:val="none" w:sz="0" w:space="0" w:color="auto"/>
        <w:left w:val="none" w:sz="0" w:space="0" w:color="auto"/>
        <w:bottom w:val="none" w:sz="0" w:space="0" w:color="auto"/>
        <w:right w:val="none" w:sz="0" w:space="0" w:color="auto"/>
      </w:divBdr>
    </w:div>
    <w:div w:id="1706253258">
      <w:bodyDiv w:val="1"/>
      <w:marLeft w:val="0"/>
      <w:marRight w:val="0"/>
      <w:marTop w:val="0"/>
      <w:marBottom w:val="0"/>
      <w:divBdr>
        <w:top w:val="none" w:sz="0" w:space="0" w:color="auto"/>
        <w:left w:val="none" w:sz="0" w:space="0" w:color="auto"/>
        <w:bottom w:val="none" w:sz="0" w:space="0" w:color="auto"/>
        <w:right w:val="none" w:sz="0" w:space="0" w:color="auto"/>
      </w:divBdr>
    </w:div>
    <w:div w:id="1743871822">
      <w:bodyDiv w:val="1"/>
      <w:marLeft w:val="0"/>
      <w:marRight w:val="0"/>
      <w:marTop w:val="0"/>
      <w:marBottom w:val="0"/>
      <w:divBdr>
        <w:top w:val="none" w:sz="0" w:space="0" w:color="auto"/>
        <w:left w:val="none" w:sz="0" w:space="0" w:color="auto"/>
        <w:bottom w:val="none" w:sz="0" w:space="0" w:color="auto"/>
        <w:right w:val="none" w:sz="0" w:space="0" w:color="auto"/>
      </w:divBdr>
    </w:div>
    <w:div w:id="1899439127">
      <w:bodyDiv w:val="1"/>
      <w:marLeft w:val="0"/>
      <w:marRight w:val="0"/>
      <w:marTop w:val="0"/>
      <w:marBottom w:val="0"/>
      <w:divBdr>
        <w:top w:val="none" w:sz="0" w:space="0" w:color="auto"/>
        <w:left w:val="none" w:sz="0" w:space="0" w:color="auto"/>
        <w:bottom w:val="none" w:sz="0" w:space="0" w:color="auto"/>
        <w:right w:val="none" w:sz="0" w:space="0" w:color="auto"/>
      </w:divBdr>
    </w:div>
    <w:div w:id="1934430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124"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12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4395-7735-49FD-9AF9-4DDD4784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4618</Words>
  <Characters>25969</Characters>
  <Application>Microsoft Office Word</Application>
  <DocSecurity>0</DocSecurity>
  <Lines>216</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Manuel PCI-fr-avril</vt:lpstr>
      <vt:lpstr>Manuel PCI-fr-avril</vt:lpstr>
    </vt:vector>
  </TitlesOfParts>
  <Company/>
  <LinksUpToDate>false</LinksUpToDate>
  <CharactersWithSpaces>30526</CharactersWithSpaces>
  <SharedDoc>false</SharedDoc>
  <HyperlinkBase/>
  <HLinks>
    <vt:vector size="732" baseType="variant">
      <vt:variant>
        <vt:i4>6291556</vt:i4>
      </vt:variant>
      <vt:variant>
        <vt:i4>1182</vt:i4>
      </vt:variant>
      <vt:variant>
        <vt:i4>0</vt:i4>
      </vt:variant>
      <vt:variant>
        <vt:i4>5</vt:i4>
      </vt:variant>
      <vt:variant>
        <vt:lpwstr>http://whc.unesco.org/fr/list/722/</vt:lpwstr>
      </vt:variant>
      <vt:variant>
        <vt:lpwstr/>
      </vt:variant>
      <vt:variant>
        <vt:i4>7733348</vt:i4>
      </vt:variant>
      <vt:variant>
        <vt:i4>1179</vt:i4>
      </vt:variant>
      <vt:variant>
        <vt:i4>0</vt:i4>
      </vt:variant>
      <vt:variant>
        <vt:i4>5</vt:i4>
      </vt:variant>
      <vt:variant>
        <vt:lpwstr>http://www.unesco.org/culture/ich/index.php?lg=fr&amp;pg=00011&amp;RL=00015</vt:lpwstr>
      </vt:variant>
      <vt:variant>
        <vt:lpwstr/>
      </vt:variant>
      <vt:variant>
        <vt:i4>1507409</vt:i4>
      </vt:variant>
      <vt:variant>
        <vt:i4>1176</vt:i4>
      </vt:variant>
      <vt:variant>
        <vt:i4>0</vt:i4>
      </vt:variant>
      <vt:variant>
        <vt:i4>5</vt:i4>
      </vt:variant>
      <vt:variant>
        <vt:lpwstr>http://www.nau.edu/~hcpo-p/research.html</vt:lpwstr>
      </vt:variant>
      <vt:variant>
        <vt:lpwstr/>
      </vt:variant>
      <vt:variant>
        <vt:i4>1703964</vt:i4>
      </vt:variant>
      <vt:variant>
        <vt:i4>1173</vt:i4>
      </vt:variant>
      <vt:variant>
        <vt:i4>0</vt:i4>
      </vt:variant>
      <vt:variant>
        <vt:i4>5</vt:i4>
      </vt:variant>
      <vt:variant>
        <vt:lpwstr>http://www.faronet.be/fr/faro-interface-flamande-pour-le-patrimoine-culturel-asbl</vt:lpwstr>
      </vt:variant>
      <vt:variant>
        <vt:lpwstr/>
      </vt:variant>
      <vt:variant>
        <vt:i4>7602291</vt:i4>
      </vt:variant>
      <vt:variant>
        <vt:i4>1170</vt:i4>
      </vt:variant>
      <vt:variant>
        <vt:i4>0</vt:i4>
      </vt:variant>
      <vt:variant>
        <vt:i4>5</vt:i4>
      </vt:variant>
      <vt:variant>
        <vt:lpwstr>http://www.heemkunde-vlaanderen.be/</vt:lpwstr>
      </vt:variant>
      <vt:variant>
        <vt:lpwstr/>
      </vt:variant>
      <vt:variant>
        <vt:i4>1507398</vt:i4>
      </vt:variant>
      <vt:variant>
        <vt:i4>1167</vt:i4>
      </vt:variant>
      <vt:variant>
        <vt:i4>0</vt:i4>
      </vt:variant>
      <vt:variant>
        <vt:i4>5</vt:i4>
      </vt:variant>
      <vt:variant>
        <vt:lpwstr>http://www.unesco.org/culture/ich/index.php?lg=fr&amp;pg=00011&amp;USL=00305</vt:lpwstr>
      </vt:variant>
      <vt:variant>
        <vt:lpwstr/>
      </vt:variant>
      <vt:variant>
        <vt:i4>589914</vt:i4>
      </vt:variant>
      <vt:variant>
        <vt:i4>1164</vt:i4>
      </vt:variant>
      <vt:variant>
        <vt:i4>0</vt:i4>
      </vt:variant>
      <vt:variant>
        <vt:i4>5</vt:i4>
      </vt:variant>
      <vt:variant>
        <vt:lpwstr>http://www.accu.or.jp/ich/en/community/index.html</vt:lpwstr>
      </vt:variant>
      <vt:variant>
        <vt:lpwstr/>
      </vt:variant>
      <vt:variant>
        <vt:i4>7274529</vt:i4>
      </vt:variant>
      <vt:variant>
        <vt:i4>1161</vt:i4>
      </vt:variant>
      <vt:variant>
        <vt:i4>0</vt:i4>
      </vt:variant>
      <vt:variant>
        <vt:i4>5</vt:i4>
      </vt:variant>
      <vt:variant>
        <vt:lpwstr>http://www.accu.or.jp/ich/en/community/sanbaso.html</vt:lpwstr>
      </vt:variant>
      <vt:variant>
        <vt:lpwstr/>
      </vt:variant>
      <vt:variant>
        <vt:i4>5963803</vt:i4>
      </vt:variant>
      <vt:variant>
        <vt:i4>1158</vt:i4>
      </vt:variant>
      <vt:variant>
        <vt:i4>0</vt:i4>
      </vt:variant>
      <vt:variant>
        <vt:i4>5</vt:i4>
      </vt:variant>
      <vt:variant>
        <vt:lpwstr>http://www.unesco.org/culture/ich/index.php?pg=00311&amp;cp=PH&amp;topic=lht</vt:lpwstr>
      </vt:variant>
      <vt:variant>
        <vt:lpwstr>a-acronym-titleliving-human-treasurelhtacronym-system</vt:lpwstr>
      </vt:variant>
      <vt:variant>
        <vt:i4>7733307</vt:i4>
      </vt:variant>
      <vt:variant>
        <vt:i4>1155</vt:i4>
      </vt:variant>
      <vt:variant>
        <vt:i4>0</vt:i4>
      </vt:variant>
      <vt:variant>
        <vt:i4>5</vt:i4>
      </vt:variant>
      <vt:variant>
        <vt:lpwstr>http://www.unesco.org/culture/ich/doc/src/00057-EN.pdf</vt:lpwstr>
      </vt:variant>
      <vt:variant>
        <vt:lpwstr/>
      </vt:variant>
      <vt:variant>
        <vt:i4>5308443</vt:i4>
      </vt:variant>
      <vt:variant>
        <vt:i4>1152</vt:i4>
      </vt:variant>
      <vt:variant>
        <vt:i4>0</vt:i4>
      </vt:variant>
      <vt:variant>
        <vt:i4>5</vt:i4>
      </vt:variant>
      <vt:variant>
        <vt:lpwstr>http://www.ncca.gov.ph/about-ncca/org-awards/org-awards-gamaba-guidelines.php</vt:lpwstr>
      </vt:variant>
      <vt:variant>
        <vt:lpwstr/>
      </vt:variant>
      <vt:variant>
        <vt:i4>1638631</vt:i4>
      </vt:variant>
      <vt:variant>
        <vt:i4>1149</vt:i4>
      </vt:variant>
      <vt:variant>
        <vt:i4>0</vt:i4>
      </vt:variant>
      <vt:variant>
        <vt:i4>5</vt:i4>
      </vt:variant>
      <vt:variant>
        <vt:lpwstr>http://en.wikipilipinas.org/index.php?title=Category :GAMABA_Awardees</vt:lpwstr>
      </vt:variant>
      <vt:variant>
        <vt:lpwstr/>
      </vt:variant>
      <vt:variant>
        <vt:i4>720930</vt:i4>
      </vt:variant>
      <vt:variant>
        <vt:i4>1146</vt:i4>
      </vt:variant>
      <vt:variant>
        <vt:i4>0</vt:i4>
      </vt:variant>
      <vt:variant>
        <vt:i4>5</vt:i4>
      </vt:variant>
      <vt:variant>
        <vt:lpwstr>http://www.watatu.se/information.php?info_id=34</vt:lpwstr>
      </vt:variant>
      <vt:variant>
        <vt:lpwstr/>
      </vt:variant>
      <vt:variant>
        <vt:i4>4587555</vt:i4>
      </vt:variant>
      <vt:variant>
        <vt:i4>1143</vt:i4>
      </vt:variant>
      <vt:variant>
        <vt:i4>0</vt:i4>
      </vt:variant>
      <vt:variant>
        <vt:i4>5</vt:i4>
      </vt:variant>
      <vt:variant>
        <vt:lpwstr>http://www.unesco-uganda.ug/index.php?option=com_docman&amp;Itemid=73</vt:lpwstr>
      </vt:variant>
      <vt:variant>
        <vt:lpwstr/>
      </vt:variant>
      <vt:variant>
        <vt:i4>7143511</vt:i4>
      </vt:variant>
      <vt:variant>
        <vt:i4>1140</vt:i4>
      </vt:variant>
      <vt:variant>
        <vt:i4>0</vt:i4>
      </vt:variant>
      <vt:variant>
        <vt:i4>5</vt:i4>
      </vt:variant>
      <vt:variant>
        <vt:lpwstr>http://www.unesco.org/archives/multimedia/index.php?s=films_details&amp;id_page=33&amp;id_film=641</vt:lpwstr>
      </vt:variant>
      <vt:variant>
        <vt:lpwstr/>
      </vt:variant>
      <vt:variant>
        <vt:i4>5767190</vt:i4>
      </vt:variant>
      <vt:variant>
        <vt:i4>1137</vt:i4>
      </vt:variant>
      <vt:variant>
        <vt:i4>0</vt:i4>
      </vt:variant>
      <vt:variant>
        <vt:i4>5</vt:i4>
      </vt:variant>
      <vt:variant>
        <vt:lpwstr>http://www.cartierwomensinitiative.com/site/modulefinaliste/detail/Sara-Katebalirwe/128.html</vt:lpwstr>
      </vt:variant>
      <vt:variant>
        <vt:lpwstr/>
      </vt:variant>
      <vt:variant>
        <vt:i4>4194318</vt:i4>
      </vt:variant>
      <vt:variant>
        <vt:i4>1134</vt:i4>
      </vt:variant>
      <vt:variant>
        <vt:i4>0</vt:i4>
      </vt:variant>
      <vt:variant>
        <vt:i4>5</vt:i4>
      </vt:variant>
      <vt:variant>
        <vt:lpwstr>http://unorcac.nativeweb.org/</vt:lpwstr>
      </vt:variant>
      <vt:variant>
        <vt:lpwstr/>
      </vt:variant>
      <vt:variant>
        <vt:i4>3080247</vt:i4>
      </vt:variant>
      <vt:variant>
        <vt:i4>1131</vt:i4>
      </vt:variant>
      <vt:variant>
        <vt:i4>0</vt:i4>
      </vt:variant>
      <vt:variant>
        <vt:i4>5</vt:i4>
      </vt:variant>
      <vt:variant>
        <vt:lpwstr>http://www.runatupari.com/</vt:lpwstr>
      </vt:variant>
      <vt:variant>
        <vt:lpwstr/>
      </vt:variant>
      <vt:variant>
        <vt:i4>1704001</vt:i4>
      </vt:variant>
      <vt:variant>
        <vt:i4>1128</vt:i4>
      </vt:variant>
      <vt:variant>
        <vt:i4>0</vt:i4>
      </vt:variant>
      <vt:variant>
        <vt:i4>5</vt:i4>
      </vt:variant>
      <vt:variant>
        <vt:lpwstr>http://www.agriterra.org/assets/uploads/15068/solutions_agriterra_en.pdf</vt:lpwstr>
      </vt:variant>
      <vt:variant>
        <vt:lpwstr/>
      </vt:variant>
      <vt:variant>
        <vt:i4>131156</vt:i4>
      </vt:variant>
      <vt:variant>
        <vt:i4>1125</vt:i4>
      </vt:variant>
      <vt:variant>
        <vt:i4>0</vt:i4>
      </vt:variant>
      <vt:variant>
        <vt:i4>5</vt:i4>
      </vt:variant>
      <vt:variant>
        <vt:lpwstr>http://www.agriterra.org/en/text/about-agriterra</vt:lpwstr>
      </vt:variant>
      <vt:variant>
        <vt:lpwstr/>
      </vt:variant>
      <vt:variant>
        <vt:i4>917584</vt:i4>
      </vt:variant>
      <vt:variant>
        <vt:i4>1122</vt:i4>
      </vt:variant>
      <vt:variant>
        <vt:i4>0</vt:i4>
      </vt:variant>
      <vt:variant>
        <vt:i4>5</vt:i4>
      </vt:variant>
      <vt:variant>
        <vt:lpwstr>http://www.wipo.int/export/sites/www/academy/en/ipacademies/educational_materials/cs1_hoodia.pdf</vt:lpwstr>
      </vt:variant>
      <vt:variant>
        <vt:lpwstr/>
      </vt:variant>
      <vt:variant>
        <vt:i4>6160454</vt:i4>
      </vt:variant>
      <vt:variant>
        <vt:i4>1119</vt:i4>
      </vt:variant>
      <vt:variant>
        <vt:i4>0</vt:i4>
      </vt:variant>
      <vt:variant>
        <vt:i4>5</vt:i4>
      </vt:variant>
      <vt:variant>
        <vt:lpwstr>http://www.cbd.int/doc/publications/cbd-ts-38-en.pdf</vt:lpwstr>
      </vt:variant>
      <vt:variant>
        <vt:lpwstr/>
      </vt:variant>
      <vt:variant>
        <vt:i4>4718680</vt:i4>
      </vt:variant>
      <vt:variant>
        <vt:i4>1116</vt:i4>
      </vt:variant>
      <vt:variant>
        <vt:i4>0</vt:i4>
      </vt:variant>
      <vt:variant>
        <vt:i4>5</vt:i4>
      </vt:variant>
      <vt:variant>
        <vt:lpwstr>http://www.unesco.org/culture/ich/index.php?pg=00011&amp;LR=00166</vt:lpwstr>
      </vt:variant>
      <vt:variant>
        <vt:lpwstr/>
      </vt:variant>
      <vt:variant>
        <vt:i4>1114216</vt:i4>
      </vt:variant>
      <vt:variant>
        <vt:i4>1113</vt:i4>
      </vt:variant>
      <vt:variant>
        <vt:i4>0</vt:i4>
      </vt:variant>
      <vt:variant>
        <vt:i4>5</vt:i4>
      </vt:variant>
      <vt:variant>
        <vt:lpwstr>http://www.cedla.uva.nl/50_publications/pdf/revista/82RevistaEuropea/82-Ypeij&amp;Zorn-ISSN-0924-0608.pdf</vt:lpwstr>
      </vt:variant>
      <vt:variant>
        <vt:lpwstr/>
      </vt:variant>
      <vt:variant>
        <vt:i4>3342435</vt:i4>
      </vt:variant>
      <vt:variant>
        <vt:i4>1110</vt:i4>
      </vt:variant>
      <vt:variant>
        <vt:i4>0</vt:i4>
      </vt:variant>
      <vt:variant>
        <vt:i4>5</vt:i4>
      </vt:variant>
      <vt:variant>
        <vt:lpwstr>http://www.unesco.org/uil/litbase/?menu=4&amp;programme=25</vt:lpwstr>
      </vt:variant>
      <vt:variant>
        <vt:lpwstr/>
      </vt:variant>
      <vt:variant>
        <vt:i4>7143527</vt:i4>
      </vt:variant>
      <vt:variant>
        <vt:i4>1107</vt:i4>
      </vt:variant>
      <vt:variant>
        <vt:i4>0</vt:i4>
      </vt:variant>
      <vt:variant>
        <vt:i4>5</vt:i4>
      </vt:variant>
      <vt:variant>
        <vt:lpwstr>http://www.unesco.org/culture/ich/index.php?lg=en&amp;pg=00011&amp;LR=00174</vt:lpwstr>
      </vt:variant>
      <vt:variant>
        <vt:lpwstr/>
      </vt:variant>
      <vt:variant>
        <vt:i4>393307</vt:i4>
      </vt:variant>
      <vt:variant>
        <vt:i4>1104</vt:i4>
      </vt:variant>
      <vt:variant>
        <vt:i4>0</vt:i4>
      </vt:variant>
      <vt:variant>
        <vt:i4>5</vt:i4>
      </vt:variant>
      <vt:variant>
        <vt:lpwstr>http://www.unesco.org/culture/ich/index.php?LSU=00313</vt:lpwstr>
      </vt:variant>
      <vt:variant>
        <vt:lpwstr/>
      </vt:variant>
      <vt:variant>
        <vt:i4>393307</vt:i4>
      </vt:variant>
      <vt:variant>
        <vt:i4>1101</vt:i4>
      </vt:variant>
      <vt:variant>
        <vt:i4>0</vt:i4>
      </vt:variant>
      <vt:variant>
        <vt:i4>5</vt:i4>
      </vt:variant>
      <vt:variant>
        <vt:lpwstr>http://www.unesco.org/culture/ich/index.php?LSU=00315</vt:lpwstr>
      </vt:variant>
      <vt:variant>
        <vt:lpwstr/>
      </vt:variant>
      <vt:variant>
        <vt:i4>74</vt:i4>
      </vt:variant>
      <vt:variant>
        <vt:i4>1098</vt:i4>
      </vt:variant>
      <vt:variant>
        <vt:i4>0</vt:i4>
      </vt:variant>
      <vt:variant>
        <vt:i4>5</vt:i4>
      </vt:variant>
      <vt:variant>
        <vt:lpwstr>http://www.ifad.org/english/indigenous/pub/documents/Indigeknowledge.pdf</vt:lpwstr>
      </vt:variant>
      <vt:variant>
        <vt:lpwstr/>
      </vt:variant>
      <vt:variant>
        <vt:i4>1900554</vt:i4>
      </vt:variant>
      <vt:variant>
        <vt:i4>1095</vt:i4>
      </vt:variant>
      <vt:variant>
        <vt:i4>0</vt:i4>
      </vt:variant>
      <vt:variant>
        <vt:i4>5</vt:i4>
      </vt:variant>
      <vt:variant>
        <vt:lpwstr>http://www.unesco.org/culture/ich/index.php?pg=00261</vt:lpwstr>
      </vt:variant>
      <vt:variant>
        <vt:lpwstr/>
      </vt:variant>
      <vt:variant>
        <vt:i4>655428</vt:i4>
      </vt:variant>
      <vt:variant>
        <vt:i4>1092</vt:i4>
      </vt:variant>
      <vt:variant>
        <vt:i4>0</vt:i4>
      </vt:variant>
      <vt:variant>
        <vt:i4>5</vt:i4>
      </vt:variant>
      <vt:variant>
        <vt:lpwstr>http://www.wipo.int/export/sites/www/tk/en/culturalheritage/casestudies/arantes_report_vol1.pdf</vt:lpwstr>
      </vt:variant>
      <vt:variant>
        <vt:lpwstr/>
      </vt:variant>
      <vt:variant>
        <vt:i4>5374028</vt:i4>
      </vt:variant>
      <vt:variant>
        <vt:i4>1089</vt:i4>
      </vt:variant>
      <vt:variant>
        <vt:i4>0</vt:i4>
      </vt:variant>
      <vt:variant>
        <vt:i4>5</vt:i4>
      </vt:variant>
      <vt:variant>
        <vt:lpwstr>http://www.iphan.gov.br/bcrE/pages/indexE.jsf</vt:lpwstr>
      </vt:variant>
      <vt:variant>
        <vt:lpwstr/>
      </vt:variant>
      <vt:variant>
        <vt:i4>1572956</vt:i4>
      </vt:variant>
      <vt:variant>
        <vt:i4>1086</vt:i4>
      </vt:variant>
      <vt:variant>
        <vt:i4>0</vt:i4>
      </vt:variant>
      <vt:variant>
        <vt:i4>5</vt:i4>
      </vt:variant>
      <vt:variant>
        <vt:lpwstr>http://www.iphan.gov.br/</vt:lpwstr>
      </vt:variant>
      <vt:variant>
        <vt:lpwstr/>
      </vt:variant>
      <vt:variant>
        <vt:i4>6815778</vt:i4>
      </vt:variant>
      <vt:variant>
        <vt:i4>1083</vt:i4>
      </vt:variant>
      <vt:variant>
        <vt:i4>0</vt:i4>
      </vt:variant>
      <vt:variant>
        <vt:i4>5</vt:i4>
      </vt:variant>
      <vt:variant>
        <vt:lpwstr>http://www.unesco.org/culture/ich/index.php?pg=00015&amp;categ=2010</vt:lpwstr>
      </vt:variant>
      <vt:variant>
        <vt:lpwstr/>
      </vt:variant>
      <vt:variant>
        <vt:i4>2228334</vt:i4>
      </vt:variant>
      <vt:variant>
        <vt:i4>1080</vt:i4>
      </vt:variant>
      <vt:variant>
        <vt:i4>0</vt:i4>
      </vt:variant>
      <vt:variant>
        <vt:i4>5</vt:i4>
      </vt:variant>
      <vt:variant>
        <vt:lpwstr>http://www.mun.ca/ich/home/</vt:lpwstr>
      </vt:variant>
      <vt:variant>
        <vt:lpwstr/>
      </vt:variant>
      <vt:variant>
        <vt:i4>2818175</vt:i4>
      </vt:variant>
      <vt:variant>
        <vt:i4>1077</vt:i4>
      </vt:variant>
      <vt:variant>
        <vt:i4>0</vt:i4>
      </vt:variant>
      <vt:variant>
        <vt:i4>5</vt:i4>
      </vt:variant>
      <vt:variant>
        <vt:lpwstr>http://collections.mun.ca/index.php</vt:lpwstr>
      </vt:variant>
      <vt:variant>
        <vt:lpwstr/>
      </vt:variant>
      <vt:variant>
        <vt:i4>1114189</vt:i4>
      </vt:variant>
      <vt:variant>
        <vt:i4>1074</vt:i4>
      </vt:variant>
      <vt:variant>
        <vt:i4>0</vt:i4>
      </vt:variant>
      <vt:variant>
        <vt:i4>5</vt:i4>
      </vt:variant>
      <vt:variant>
        <vt:lpwstr>http://www.heritagefoundation.ca/ich.aspx</vt:lpwstr>
      </vt:variant>
      <vt:variant>
        <vt:lpwstr/>
      </vt:variant>
      <vt:variant>
        <vt:i4>1703951</vt:i4>
      </vt:variant>
      <vt:variant>
        <vt:i4>1071</vt:i4>
      </vt:variant>
      <vt:variant>
        <vt:i4>0</vt:i4>
      </vt:variant>
      <vt:variant>
        <vt:i4>5</vt:i4>
      </vt:variant>
      <vt:variant>
        <vt:lpwstr>http://www.mun.ca/ich/resources/</vt:lpwstr>
      </vt:variant>
      <vt:variant>
        <vt:lpwstr/>
      </vt:variant>
      <vt:variant>
        <vt:i4>917581</vt:i4>
      </vt:variant>
      <vt:variant>
        <vt:i4>1068</vt:i4>
      </vt:variant>
      <vt:variant>
        <vt:i4>0</vt:i4>
      </vt:variant>
      <vt:variant>
        <vt:i4>5</vt:i4>
      </vt:variant>
      <vt:variant>
        <vt:lpwstr>http://www.mun.ca/ich/inventory/ICHtopic.php</vt:lpwstr>
      </vt:variant>
      <vt:variant>
        <vt:lpwstr/>
      </vt:variant>
      <vt:variant>
        <vt:i4>65625</vt:i4>
      </vt:variant>
      <vt:variant>
        <vt:i4>1065</vt:i4>
      </vt:variant>
      <vt:variant>
        <vt:i4>0</vt:i4>
      </vt:variant>
      <vt:variant>
        <vt:i4>5</vt:i4>
      </vt:variant>
      <vt:variant>
        <vt:lpwstr>http://www.mun.ca/ich/inventory/profiles.php</vt:lpwstr>
      </vt:variant>
      <vt:variant>
        <vt:lpwstr/>
      </vt:variant>
      <vt:variant>
        <vt:i4>6684794</vt:i4>
      </vt:variant>
      <vt:variant>
        <vt:i4>1062</vt:i4>
      </vt:variant>
      <vt:variant>
        <vt:i4>0</vt:i4>
      </vt:variant>
      <vt:variant>
        <vt:i4>5</vt:i4>
      </vt:variant>
      <vt:variant>
        <vt:lpwstr>http://collections.mun.ca/</vt:lpwstr>
      </vt:variant>
      <vt:variant>
        <vt:lpwstr/>
      </vt:variant>
      <vt:variant>
        <vt:i4>983051</vt:i4>
      </vt:variant>
      <vt:variant>
        <vt:i4>1059</vt:i4>
      </vt:variant>
      <vt:variant>
        <vt:i4>0</vt:i4>
      </vt:variant>
      <vt:variant>
        <vt:i4>5</vt:i4>
      </vt:variant>
      <vt:variant>
        <vt:lpwstr>http://www.mun.ca/ich/advisorycommittee/</vt:lpwstr>
      </vt:variant>
      <vt:variant>
        <vt:lpwstr/>
      </vt:variant>
      <vt:variant>
        <vt:i4>65628</vt:i4>
      </vt:variant>
      <vt:variant>
        <vt:i4>1056</vt:i4>
      </vt:variant>
      <vt:variant>
        <vt:i4>0</vt:i4>
      </vt:variant>
      <vt:variant>
        <vt:i4>5</vt:i4>
      </vt:variant>
      <vt:variant>
        <vt:lpwstr>http://www.heritagefoundation.ca/</vt:lpwstr>
      </vt:variant>
      <vt:variant>
        <vt:lpwstr/>
      </vt:variant>
      <vt:variant>
        <vt:i4>4128879</vt:i4>
      </vt:variant>
      <vt:variant>
        <vt:i4>1053</vt:i4>
      </vt:variant>
      <vt:variant>
        <vt:i4>0</vt:i4>
      </vt:variant>
      <vt:variant>
        <vt:i4>5</vt:i4>
      </vt:variant>
      <vt:variant>
        <vt:lpwstr>http://www.ethnologie.chaire.ulaval.ca/</vt:lpwstr>
      </vt:variant>
      <vt:variant>
        <vt:lpwstr/>
      </vt:variant>
      <vt:variant>
        <vt:i4>7602238</vt:i4>
      </vt:variant>
      <vt:variant>
        <vt:i4>1050</vt:i4>
      </vt:variant>
      <vt:variant>
        <vt:i4>0</vt:i4>
      </vt:variant>
      <vt:variant>
        <vt:i4>5</vt:i4>
      </vt:variant>
      <vt:variant>
        <vt:lpwstr>http://www.aiatsis.gov.au/</vt:lpwstr>
      </vt:variant>
      <vt:variant>
        <vt:lpwstr/>
      </vt:variant>
      <vt:variant>
        <vt:i4>1245187</vt:i4>
      </vt:variant>
      <vt:variant>
        <vt:i4>1047</vt:i4>
      </vt:variant>
      <vt:variant>
        <vt:i4>0</vt:i4>
      </vt:variant>
      <vt:variant>
        <vt:i4>5</vt:i4>
      </vt:variant>
      <vt:variant>
        <vt:lpwstr>http://www.indiosonline.org.br/novo/</vt:lpwstr>
      </vt:variant>
      <vt:variant>
        <vt:lpwstr/>
      </vt:variant>
      <vt:variant>
        <vt:i4>3211372</vt:i4>
      </vt:variant>
      <vt:variant>
        <vt:i4>1044</vt:i4>
      </vt:variant>
      <vt:variant>
        <vt:i4>0</vt:i4>
      </vt:variant>
      <vt:variant>
        <vt:i4>5</vt:i4>
      </vt:variant>
      <vt:variant>
        <vt:lpwstr>http://www.indiasurabhi.com/indianheritage.html</vt:lpwstr>
      </vt:variant>
      <vt:variant>
        <vt:lpwstr/>
      </vt:variant>
      <vt:variant>
        <vt:i4>5963815</vt:i4>
      </vt:variant>
      <vt:variant>
        <vt:i4>1041</vt:i4>
      </vt:variant>
      <vt:variant>
        <vt:i4>0</vt:i4>
      </vt:variant>
      <vt:variant>
        <vt:i4>5</vt:i4>
      </vt:variant>
      <vt:variant>
        <vt:lpwstr>http://www.accu.ou.jp/ich/en/training/curriculum/curriculum_9.html</vt:lpwstr>
      </vt:variant>
      <vt:variant>
        <vt:lpwstr/>
      </vt:variant>
      <vt:variant>
        <vt:i4>1638451</vt:i4>
      </vt:variant>
      <vt:variant>
        <vt:i4>1038</vt:i4>
      </vt:variant>
      <vt:variant>
        <vt:i4>0</vt:i4>
      </vt:variant>
      <vt:variant>
        <vt:i4>5</vt:i4>
      </vt:variant>
      <vt:variant>
        <vt:lpwstr>http://www.accu.ou.jp/ich/en/training/curriculum/curriculum_7.html</vt:lpwstr>
      </vt:variant>
      <vt:variant>
        <vt:lpwstr>/point4/</vt:lpwstr>
      </vt:variant>
      <vt:variant>
        <vt:i4>4980845</vt:i4>
      </vt:variant>
      <vt:variant>
        <vt:i4>1035</vt:i4>
      </vt:variant>
      <vt:variant>
        <vt:i4>0</vt:i4>
      </vt:variant>
      <vt:variant>
        <vt:i4>5</vt:i4>
      </vt:variant>
      <vt:variant>
        <vt:lpwstr>http://www.accu.ou.jp/ich/en/training/curriculum/second/curriculum_7.html</vt:lpwstr>
      </vt:variant>
      <vt:variant>
        <vt:lpwstr/>
      </vt:variant>
      <vt:variant>
        <vt:i4>3866677</vt:i4>
      </vt:variant>
      <vt:variant>
        <vt:i4>1032</vt:i4>
      </vt:variant>
      <vt:variant>
        <vt:i4>0</vt:i4>
      </vt:variant>
      <vt:variant>
        <vt:i4>5</vt:i4>
      </vt:variant>
      <vt:variant>
        <vt:lpwstr>http://www.unesco.org/culture/ich/index.php?lg=en&amp;pg=00061</vt:lpwstr>
      </vt:variant>
      <vt:variant>
        <vt:lpwstr/>
      </vt:variant>
      <vt:variant>
        <vt:i4>7340093</vt:i4>
      </vt:variant>
      <vt:variant>
        <vt:i4>1029</vt:i4>
      </vt:variant>
      <vt:variant>
        <vt:i4>0</vt:i4>
      </vt:variant>
      <vt:variant>
        <vt:i4>5</vt:i4>
      </vt:variant>
      <vt:variant>
        <vt:lpwstr>http://www.unesco.org/culture/ich/doc/src/00031-EN.pdf</vt:lpwstr>
      </vt:variant>
      <vt:variant>
        <vt:lpwstr/>
      </vt:variant>
      <vt:variant>
        <vt:i4>8192038</vt:i4>
      </vt:variant>
      <vt:variant>
        <vt:i4>1026</vt:i4>
      </vt:variant>
      <vt:variant>
        <vt:i4>0</vt:i4>
      </vt:variant>
      <vt:variant>
        <vt:i4>5</vt:i4>
      </vt:variant>
      <vt:variant>
        <vt:lpwstr>http://portal.unesco.org/en/ev.php-URL_ID=13141&amp;URL_DO=DO_TOPIC&amp;URL_SECTION=201.html</vt:lpwstr>
      </vt:variant>
      <vt:variant>
        <vt:lpwstr/>
      </vt:variant>
      <vt:variant>
        <vt:i4>8126503</vt:i4>
      </vt:variant>
      <vt:variant>
        <vt:i4>1023</vt:i4>
      </vt:variant>
      <vt:variant>
        <vt:i4>0</vt:i4>
      </vt:variant>
      <vt:variant>
        <vt:i4>5</vt:i4>
      </vt:variant>
      <vt:variant>
        <vt:lpwstr>http://portal.unesco.org/en/ev.php-URL_ID=17716&amp;URL_DO=DO_TOPIC&amp;URL_SECTION=201.html</vt:lpwstr>
      </vt:variant>
      <vt:variant>
        <vt:lpwstr/>
      </vt:variant>
      <vt:variant>
        <vt:i4>6553663</vt:i4>
      </vt:variant>
      <vt:variant>
        <vt:i4>1020</vt:i4>
      </vt:variant>
      <vt:variant>
        <vt:i4>0</vt:i4>
      </vt:variant>
      <vt:variant>
        <vt:i4>5</vt:i4>
      </vt:variant>
      <vt:variant>
        <vt:lpwstr>http://www.wipo.int/freepublications/en/tk/913/wipo_pub_913.pdf</vt:lpwstr>
      </vt:variant>
      <vt:variant>
        <vt:lpwstr/>
      </vt:variant>
      <vt:variant>
        <vt:i4>5374017</vt:i4>
      </vt:variant>
      <vt:variant>
        <vt:i4>1017</vt:i4>
      </vt:variant>
      <vt:variant>
        <vt:i4>0</vt:i4>
      </vt:variant>
      <vt:variant>
        <vt:i4>5</vt:i4>
      </vt:variant>
      <vt:variant>
        <vt:lpwstr>http://www.wipo.int/tk/en/laws/folklore.html</vt:lpwstr>
      </vt:variant>
      <vt:variant>
        <vt:lpwstr/>
      </vt:variant>
      <vt:variant>
        <vt:i4>3932209</vt:i4>
      </vt:variant>
      <vt:variant>
        <vt:i4>1014</vt:i4>
      </vt:variant>
      <vt:variant>
        <vt:i4>0</vt:i4>
      </vt:variant>
      <vt:variant>
        <vt:i4>5</vt:i4>
      </vt:variant>
      <vt:variant>
        <vt:lpwstr>http://www.unesco.org/culture/ich/index.php?lg=en&amp;pg=00026</vt:lpwstr>
      </vt:variant>
      <vt:variant>
        <vt:lpwstr/>
      </vt:variant>
      <vt:variant>
        <vt:i4>1114181</vt:i4>
      </vt:variant>
      <vt:variant>
        <vt:i4>1011</vt:i4>
      </vt:variant>
      <vt:variant>
        <vt:i4>0</vt:i4>
      </vt:variant>
      <vt:variant>
        <vt:i4>5</vt:i4>
      </vt:variant>
      <vt:variant>
        <vt:lpwstr>http://www.unesco.org/culture/ich/index.php?lg=enHYPERLINK%20</vt:lpwstr>
      </vt:variant>
      <vt:variant>
        <vt:lpwstr/>
      </vt:variant>
      <vt:variant>
        <vt:i4>3276849</vt:i4>
      </vt:variant>
      <vt:variant>
        <vt:i4>1008</vt:i4>
      </vt:variant>
      <vt:variant>
        <vt:i4>0</vt:i4>
      </vt:variant>
      <vt:variant>
        <vt:i4>5</vt:i4>
      </vt:variant>
      <vt:variant>
        <vt:lpwstr>http://www.unesco.org/culture/ich/index.php?lg=en&amp;pg=00028</vt:lpwstr>
      </vt:variant>
      <vt:variant>
        <vt:lpwstr/>
      </vt:variant>
      <vt:variant>
        <vt:i4>3276851</vt:i4>
      </vt:variant>
      <vt:variant>
        <vt:i4>1005</vt:i4>
      </vt:variant>
      <vt:variant>
        <vt:i4>0</vt:i4>
      </vt:variant>
      <vt:variant>
        <vt:i4>5</vt:i4>
      </vt:variant>
      <vt:variant>
        <vt:lpwstr>http://www.unesco.org/culture/ich/index.php?lg=en&amp;pg=00008</vt:lpwstr>
      </vt:variant>
      <vt:variant>
        <vt:lpwstr/>
      </vt:variant>
      <vt:variant>
        <vt:i4>720987</vt:i4>
      </vt:variant>
      <vt:variant>
        <vt:i4>1002</vt:i4>
      </vt:variant>
      <vt:variant>
        <vt:i4>0</vt:i4>
      </vt:variant>
      <vt:variant>
        <vt:i4>5</vt:i4>
      </vt:variant>
      <vt:variant>
        <vt:lpwstr>http://whc.unesco.org/fr/list/?action=stat&amp;</vt:lpwstr>
      </vt:variant>
      <vt:variant>
        <vt:lpwstr>s1</vt:lpwstr>
      </vt:variant>
      <vt:variant>
        <vt:i4>1835027</vt:i4>
      </vt:variant>
      <vt:variant>
        <vt:i4>999</vt:i4>
      </vt:variant>
      <vt:variant>
        <vt:i4>0</vt:i4>
      </vt:variant>
      <vt:variant>
        <vt:i4>5</vt:i4>
      </vt:variant>
      <vt:variant>
        <vt:lpwstr>http://www.unesco.org/culture/ich/fr/listes/</vt:lpwstr>
      </vt:variant>
      <vt:variant>
        <vt:lpwstr/>
      </vt:variant>
      <vt:variant>
        <vt:i4>3080241</vt:i4>
      </vt:variant>
      <vt:variant>
        <vt:i4>996</vt:i4>
      </vt:variant>
      <vt:variant>
        <vt:i4>0</vt:i4>
      </vt:variant>
      <vt:variant>
        <vt:i4>5</vt:i4>
      </vt:variant>
      <vt:variant>
        <vt:lpwstr>http://whc.unesco.org/archive/global94.htm</vt:lpwstr>
      </vt:variant>
      <vt:variant>
        <vt:lpwstr/>
      </vt:variant>
      <vt:variant>
        <vt:i4>4653078</vt:i4>
      </vt:variant>
      <vt:variant>
        <vt:i4>993</vt:i4>
      </vt:variant>
      <vt:variant>
        <vt:i4>0</vt:i4>
      </vt:variant>
      <vt:variant>
        <vt:i4>5</vt:i4>
      </vt:variant>
      <vt:variant>
        <vt:lpwstr>http://whc.unesco.org/archive/site Webs/venice2002/edito.htm</vt:lpwstr>
      </vt:variant>
      <vt:variant>
        <vt:lpwstr/>
      </vt:variant>
      <vt:variant>
        <vt:i4>4063356</vt:i4>
      </vt:variant>
      <vt:variant>
        <vt:i4>990</vt:i4>
      </vt:variant>
      <vt:variant>
        <vt:i4>0</vt:i4>
      </vt:variant>
      <vt:variant>
        <vt:i4>5</vt:i4>
      </vt:variant>
      <vt:variant>
        <vt:lpwstr>http://whc.unesco.org/en/statesparties/</vt:lpwstr>
      </vt:variant>
      <vt:variant>
        <vt:lpwstr/>
      </vt:variant>
      <vt:variant>
        <vt:i4>3342387</vt:i4>
      </vt:variant>
      <vt:variant>
        <vt:i4>987</vt:i4>
      </vt:variant>
      <vt:variant>
        <vt:i4>0</vt:i4>
      </vt:variant>
      <vt:variant>
        <vt:i4>5</vt:i4>
      </vt:variant>
      <vt:variant>
        <vt:lpwstr>http://www.unesco.org/culture/ich/index.php?lg=en&amp;pg=00009</vt:lpwstr>
      </vt:variant>
      <vt:variant>
        <vt:lpwstr/>
      </vt:variant>
      <vt:variant>
        <vt:i4>4718623</vt:i4>
      </vt:variant>
      <vt:variant>
        <vt:i4>984</vt:i4>
      </vt:variant>
      <vt:variant>
        <vt:i4>0</vt:i4>
      </vt:variant>
      <vt:variant>
        <vt:i4>5</vt:i4>
      </vt:variant>
      <vt:variant>
        <vt:lpwstr>http://www.unesco.org/culture/ich/fr/formulaires/</vt:lpwstr>
      </vt:variant>
      <vt:variant>
        <vt:lpwstr/>
      </vt:variant>
      <vt:variant>
        <vt:i4>4718623</vt:i4>
      </vt:variant>
      <vt:variant>
        <vt:i4>981</vt:i4>
      </vt:variant>
      <vt:variant>
        <vt:i4>0</vt:i4>
      </vt:variant>
      <vt:variant>
        <vt:i4>5</vt:i4>
      </vt:variant>
      <vt:variant>
        <vt:lpwstr>http://www.unesco.org/culture/ich/fr/formulaires/</vt:lpwstr>
      </vt:variant>
      <vt:variant>
        <vt:lpwstr/>
      </vt:variant>
      <vt:variant>
        <vt:i4>3866674</vt:i4>
      </vt:variant>
      <vt:variant>
        <vt:i4>978</vt:i4>
      </vt:variant>
      <vt:variant>
        <vt:i4>0</vt:i4>
      </vt:variant>
      <vt:variant>
        <vt:i4>5</vt:i4>
      </vt:variant>
      <vt:variant>
        <vt:lpwstr>http://www.unesco.org/culture/ich/index.php?lg=en&amp;pg=00011</vt:lpwstr>
      </vt:variant>
      <vt:variant>
        <vt:lpwstr/>
      </vt:variant>
      <vt:variant>
        <vt:i4>6750307</vt:i4>
      </vt:variant>
      <vt:variant>
        <vt:i4>975</vt:i4>
      </vt:variant>
      <vt:variant>
        <vt:i4>0</vt:i4>
      </vt:variant>
      <vt:variant>
        <vt:i4>5</vt:i4>
      </vt:variant>
      <vt:variant>
        <vt:lpwstr>http://www.wipo.int/tk/en/culturalheritage/surveys.html</vt:lpwstr>
      </vt:variant>
      <vt:variant>
        <vt:lpwstr/>
      </vt:variant>
      <vt:variant>
        <vt:i4>655363</vt:i4>
      </vt:variant>
      <vt:variant>
        <vt:i4>972</vt:i4>
      </vt:variant>
      <vt:variant>
        <vt:i4>0</vt:i4>
      </vt:variant>
      <vt:variant>
        <vt:i4>5</vt:i4>
      </vt:variant>
      <vt:variant>
        <vt:lpwstr>http://www.unesco.org/culture/ich/index.php?lg=en&amp;pg=0006</vt:lpwstr>
      </vt:variant>
      <vt:variant>
        <vt:lpwstr/>
      </vt:variant>
      <vt:variant>
        <vt:i4>6225994</vt:i4>
      </vt:variant>
      <vt:variant>
        <vt:i4>969</vt:i4>
      </vt:variant>
      <vt:variant>
        <vt:i4>0</vt:i4>
      </vt:variant>
      <vt:variant>
        <vt:i4>5</vt:i4>
      </vt:variant>
      <vt:variant>
        <vt:lpwstr>http://www.accu.ou.jp/ich/en/pdf/2ndworkshop.pdf</vt:lpwstr>
      </vt:variant>
      <vt:variant>
        <vt:lpwstr/>
      </vt:variant>
      <vt:variant>
        <vt:i4>1376265</vt:i4>
      </vt:variant>
      <vt:variant>
        <vt:i4>966</vt:i4>
      </vt:variant>
      <vt:variant>
        <vt:i4>0</vt:i4>
      </vt:variant>
      <vt:variant>
        <vt:i4>5</vt:i4>
      </vt:variant>
      <vt:variant>
        <vt:lpwstr>http://www.unesco.org/culture/ich/index.php?RL=00171</vt:lpwstr>
      </vt:variant>
      <vt:variant>
        <vt:lpwstr/>
      </vt:variant>
      <vt:variant>
        <vt:i4>3670064</vt:i4>
      </vt:variant>
      <vt:variant>
        <vt:i4>963</vt:i4>
      </vt:variant>
      <vt:variant>
        <vt:i4>0</vt:i4>
      </vt:variant>
      <vt:variant>
        <vt:i4>5</vt:i4>
      </vt:variant>
      <vt:variant>
        <vt:lpwstr>http://www.unesco.org/culture/ich/index.php?lg=en&amp;pg=00331</vt:lpwstr>
      </vt:variant>
      <vt:variant>
        <vt:lpwstr/>
      </vt:variant>
      <vt:variant>
        <vt:i4>3932209</vt:i4>
      </vt:variant>
      <vt:variant>
        <vt:i4>960</vt:i4>
      </vt:variant>
      <vt:variant>
        <vt:i4>0</vt:i4>
      </vt:variant>
      <vt:variant>
        <vt:i4>5</vt:i4>
      </vt:variant>
      <vt:variant>
        <vt:lpwstr>http://www.unesco.org/culture/ich/index.php?lg=en&amp;pg=00026</vt:lpwstr>
      </vt:variant>
      <vt:variant>
        <vt:lpwstr/>
      </vt:variant>
      <vt:variant>
        <vt:i4>3276849</vt:i4>
      </vt:variant>
      <vt:variant>
        <vt:i4>957</vt:i4>
      </vt:variant>
      <vt:variant>
        <vt:i4>0</vt:i4>
      </vt:variant>
      <vt:variant>
        <vt:i4>5</vt:i4>
      </vt:variant>
      <vt:variant>
        <vt:lpwstr>http://www.unesco.org/culture/ich/index.php?lg=en&amp;pg=00028</vt:lpwstr>
      </vt:variant>
      <vt:variant>
        <vt:lpwstr/>
      </vt:variant>
      <vt:variant>
        <vt:i4>4128818</vt:i4>
      </vt:variant>
      <vt:variant>
        <vt:i4>954</vt:i4>
      </vt:variant>
      <vt:variant>
        <vt:i4>0</vt:i4>
      </vt:variant>
      <vt:variant>
        <vt:i4>5</vt:i4>
      </vt:variant>
      <vt:variant>
        <vt:lpwstr>http://www.unesco.org/culture/ich/index.php?lg=en&amp;pg=00015</vt:lpwstr>
      </vt:variant>
      <vt:variant>
        <vt:lpwstr/>
      </vt:variant>
      <vt:variant>
        <vt:i4>8061039</vt:i4>
      </vt:variant>
      <vt:variant>
        <vt:i4>951</vt:i4>
      </vt:variant>
      <vt:variant>
        <vt:i4>0</vt:i4>
      </vt:variant>
      <vt:variant>
        <vt:i4>5</vt:i4>
      </vt:variant>
      <vt:variant>
        <vt:lpwstr>http://portal.unesco.org/en/ev.php-URL_ID=13649&amp;URL_DO=DO_TOPIC&amp;URL_SECTION=-471.html</vt:lpwstr>
      </vt:variant>
      <vt:variant>
        <vt:lpwstr/>
      </vt:variant>
      <vt:variant>
        <vt:i4>1376275</vt:i4>
      </vt:variant>
      <vt:variant>
        <vt:i4>948</vt:i4>
      </vt:variant>
      <vt:variant>
        <vt:i4>0</vt:i4>
      </vt:variant>
      <vt:variant>
        <vt:i4>5</vt:i4>
      </vt:variant>
      <vt:variant>
        <vt:lpwstr>http://www.accu.ou.jp/ich/en/</vt:lpwstr>
      </vt:variant>
      <vt:variant>
        <vt:lpwstr/>
      </vt:variant>
      <vt:variant>
        <vt:i4>2556025</vt:i4>
      </vt:variant>
      <vt:variant>
        <vt:i4>945</vt:i4>
      </vt:variant>
      <vt:variant>
        <vt:i4>0</vt:i4>
      </vt:variant>
      <vt:variant>
        <vt:i4>5</vt:i4>
      </vt:variant>
      <vt:variant>
        <vt:lpwstr>http://www.ichcap.org/en/ichcap/ich.jsp</vt:lpwstr>
      </vt:variant>
      <vt:variant>
        <vt:lpwstr/>
      </vt:variant>
      <vt:variant>
        <vt:i4>8323177</vt:i4>
      </vt:variant>
      <vt:variant>
        <vt:i4>942</vt:i4>
      </vt:variant>
      <vt:variant>
        <vt:i4>0</vt:i4>
      </vt:variant>
      <vt:variant>
        <vt:i4>5</vt:i4>
      </vt:variant>
      <vt:variant>
        <vt:lpwstr>http://www.wipo.int/tk/en/resources</vt:lpwstr>
      </vt:variant>
      <vt:variant>
        <vt:lpwstr/>
      </vt:variant>
      <vt:variant>
        <vt:i4>1769476</vt:i4>
      </vt:variant>
      <vt:variant>
        <vt:i4>939</vt:i4>
      </vt:variant>
      <vt:variant>
        <vt:i4>0</vt:i4>
      </vt:variant>
      <vt:variant>
        <vt:i4>5</vt:i4>
      </vt:variant>
      <vt:variant>
        <vt:lpwstr>http://www.unesco.org/culture/ich/index.php?pg=00184</vt:lpwstr>
      </vt:variant>
      <vt:variant>
        <vt:lpwstr/>
      </vt:variant>
      <vt:variant>
        <vt:i4>3866674</vt:i4>
      </vt:variant>
      <vt:variant>
        <vt:i4>936</vt:i4>
      </vt:variant>
      <vt:variant>
        <vt:i4>0</vt:i4>
      </vt:variant>
      <vt:variant>
        <vt:i4>5</vt:i4>
      </vt:variant>
      <vt:variant>
        <vt:lpwstr>http://www.unesco.org/culture/ich/index.php?lg=en&amp;pg=00011</vt:lpwstr>
      </vt:variant>
      <vt:variant>
        <vt:lpwstr/>
      </vt:variant>
      <vt:variant>
        <vt:i4>3276850</vt:i4>
      </vt:variant>
      <vt:variant>
        <vt:i4>933</vt:i4>
      </vt:variant>
      <vt:variant>
        <vt:i4>0</vt:i4>
      </vt:variant>
      <vt:variant>
        <vt:i4>5</vt:i4>
      </vt:variant>
      <vt:variant>
        <vt:lpwstr>http://www.unesco.org/culture/ich/index.php?lg=en&amp;pg=00018</vt:lpwstr>
      </vt:variant>
      <vt:variant>
        <vt:lpwstr/>
      </vt:variant>
      <vt:variant>
        <vt:i4>524288</vt:i4>
      </vt:variant>
      <vt:variant>
        <vt:i4>930</vt:i4>
      </vt:variant>
      <vt:variant>
        <vt:i4>0</vt:i4>
      </vt:variant>
      <vt:variant>
        <vt:i4>5</vt:i4>
      </vt:variant>
      <vt:variant>
        <vt:lpwstr>http://www.unesco.org/culture/ich/index.php?lg=en&amp;pg=331</vt:lpwstr>
      </vt:variant>
      <vt:variant>
        <vt:lpwstr/>
      </vt:variant>
      <vt:variant>
        <vt:i4>4128818</vt:i4>
      </vt:variant>
      <vt:variant>
        <vt:i4>927</vt:i4>
      </vt:variant>
      <vt:variant>
        <vt:i4>0</vt:i4>
      </vt:variant>
      <vt:variant>
        <vt:i4>5</vt:i4>
      </vt:variant>
      <vt:variant>
        <vt:lpwstr>http://www.unesco.org/culture/ich/index.php?lg=en&amp;pg=00015</vt:lpwstr>
      </vt:variant>
      <vt:variant>
        <vt:lpwstr/>
      </vt:variant>
      <vt:variant>
        <vt:i4>3735603</vt:i4>
      </vt:variant>
      <vt:variant>
        <vt:i4>924</vt:i4>
      </vt:variant>
      <vt:variant>
        <vt:i4>0</vt:i4>
      </vt:variant>
      <vt:variant>
        <vt:i4>5</vt:i4>
      </vt:variant>
      <vt:variant>
        <vt:lpwstr>http://www.unesco.org/culture/ich/index.php?lg=en&amp;pg=00102</vt:lpwstr>
      </vt:variant>
      <vt:variant>
        <vt:lpwstr/>
      </vt:variant>
      <vt:variant>
        <vt:i4>7733297</vt:i4>
      </vt:variant>
      <vt:variant>
        <vt:i4>921</vt:i4>
      </vt:variant>
      <vt:variant>
        <vt:i4>0</vt:i4>
      </vt:variant>
      <vt:variant>
        <vt:i4>5</vt:i4>
      </vt:variant>
      <vt:variant>
        <vt:lpwstr>http://www.unesco.org/culture/ich/index.php</vt:lpwstr>
      </vt:variant>
      <vt:variant>
        <vt:lpwstr/>
      </vt:variant>
      <vt:variant>
        <vt:i4>2556014</vt:i4>
      </vt:variant>
      <vt:variant>
        <vt:i4>99</vt:i4>
      </vt:variant>
      <vt:variant>
        <vt:i4>0</vt:i4>
      </vt:variant>
      <vt:variant>
        <vt:i4>5</vt:i4>
      </vt:variant>
      <vt:variant>
        <vt:lpwstr>http://whc.unesco.org/archive/2011/whc11-35com-20f.pdf</vt:lpwstr>
      </vt:variant>
      <vt:variant>
        <vt:lpwstr/>
      </vt:variant>
      <vt:variant>
        <vt:i4>5963884</vt:i4>
      </vt:variant>
      <vt:variant>
        <vt:i4>96</vt:i4>
      </vt:variant>
      <vt:variant>
        <vt:i4>0</vt:i4>
      </vt:variant>
      <vt:variant>
        <vt:i4>5</vt:i4>
      </vt:variant>
      <vt:variant>
        <vt:lpwstr>http://whc.unesco.org/fr/decisions/?id_decision=1784&amp;</vt:lpwstr>
      </vt:variant>
      <vt:variant>
        <vt:lpwstr/>
      </vt:variant>
      <vt:variant>
        <vt:i4>5963885</vt:i4>
      </vt:variant>
      <vt:variant>
        <vt:i4>93</vt:i4>
      </vt:variant>
      <vt:variant>
        <vt:i4>0</vt:i4>
      </vt:variant>
      <vt:variant>
        <vt:i4>5</vt:i4>
      </vt:variant>
      <vt:variant>
        <vt:lpwstr>http://whc.unesco.org/fr/decisions/?id_decision=1596&amp;</vt:lpwstr>
      </vt:variant>
      <vt:variant>
        <vt:lpwstr/>
      </vt:variant>
      <vt:variant>
        <vt:i4>2621487</vt:i4>
      </vt:variant>
      <vt:variant>
        <vt:i4>90</vt:i4>
      </vt:variant>
      <vt:variant>
        <vt:i4>0</vt:i4>
      </vt:variant>
      <vt:variant>
        <vt:i4>5</vt:i4>
      </vt:variant>
      <vt:variant>
        <vt:lpwstr>http://whc.unesco.org/archive/repcom01.htm</vt:lpwstr>
      </vt:variant>
      <vt:variant>
        <vt:lpwstr>riceterraces</vt:lpwstr>
      </vt:variant>
      <vt:variant>
        <vt:i4>5177430</vt:i4>
      </vt:variant>
      <vt:variant>
        <vt:i4>87</vt:i4>
      </vt:variant>
      <vt:variant>
        <vt:i4>0</vt:i4>
      </vt:variant>
      <vt:variant>
        <vt:i4>5</vt:i4>
      </vt:variant>
      <vt:variant>
        <vt:lpwstr>http://whc.unesco.org/fr/list/722</vt:lpwstr>
      </vt:variant>
      <vt:variant>
        <vt:lpwstr/>
      </vt:variant>
      <vt:variant>
        <vt:i4>8257606</vt:i4>
      </vt:variant>
      <vt:variant>
        <vt:i4>84</vt:i4>
      </vt:variant>
      <vt:variant>
        <vt:i4>0</vt:i4>
      </vt:variant>
      <vt:variant>
        <vt:i4>5</vt:i4>
      </vt:variant>
      <vt:variant>
        <vt:lpwstr>http://www.wipo.int/export/sites/www/tk/en/culturalheritage/casestudies/hopi_protocols.pdf</vt:lpwstr>
      </vt:variant>
      <vt:variant>
        <vt:lpwstr/>
      </vt:variant>
      <vt:variant>
        <vt:i4>655428</vt:i4>
      </vt:variant>
      <vt:variant>
        <vt:i4>81</vt:i4>
      </vt:variant>
      <vt:variant>
        <vt:i4>0</vt:i4>
      </vt:variant>
      <vt:variant>
        <vt:i4>5</vt:i4>
      </vt:variant>
      <vt:variant>
        <vt:lpwstr>http://www.wipo.int/export/sites/www/tk/en/culturalheritage/casestudies/arantes_report_vol1.pdf</vt:lpwstr>
      </vt:variant>
      <vt:variant>
        <vt:lpwstr/>
      </vt:variant>
      <vt:variant>
        <vt:i4>8061052</vt:i4>
      </vt:variant>
      <vt:variant>
        <vt:i4>78</vt:i4>
      </vt:variant>
      <vt:variant>
        <vt:i4>0</vt:i4>
      </vt:variant>
      <vt:variant>
        <vt:i4>5</vt:i4>
      </vt:variant>
      <vt:variant>
        <vt:lpwstr>http://news.tangatawhenua.com/archives/5166</vt:lpwstr>
      </vt:variant>
      <vt:variant>
        <vt:lpwstr/>
      </vt:variant>
      <vt:variant>
        <vt:i4>24248333</vt:i4>
      </vt:variant>
      <vt:variant>
        <vt:i4>75</vt:i4>
      </vt:variant>
      <vt:variant>
        <vt:i4>0</vt:i4>
      </vt:variant>
      <vt:variant>
        <vt:i4>5</vt:i4>
      </vt:variant>
      <vt:variant>
        <vt:lpwstr>http://www.newswire.co.nz/2010/02/Māori-save/</vt:lpwstr>
      </vt:variant>
      <vt:variant>
        <vt:lpwstr/>
      </vt:variant>
      <vt:variant>
        <vt:i4>3145783</vt:i4>
      </vt:variant>
      <vt:variant>
        <vt:i4>72</vt:i4>
      </vt:variant>
      <vt:variant>
        <vt:i4>0</vt:i4>
      </vt:variant>
      <vt:variant>
        <vt:i4>5</vt:i4>
      </vt:variant>
      <vt:variant>
        <vt:lpwstr>http://www.toiiho.com/</vt:lpwstr>
      </vt:variant>
      <vt:variant>
        <vt:lpwstr/>
      </vt:variant>
      <vt:variant>
        <vt:i4>24248333</vt:i4>
      </vt:variant>
      <vt:variant>
        <vt:i4>69</vt:i4>
      </vt:variant>
      <vt:variant>
        <vt:i4>0</vt:i4>
      </vt:variant>
      <vt:variant>
        <vt:i4>5</vt:i4>
      </vt:variant>
      <vt:variant>
        <vt:lpwstr>http://www.newswire.co.nz/2010/02/Māori-save/</vt:lpwstr>
      </vt:variant>
      <vt:variant>
        <vt:lpwstr/>
      </vt:variant>
      <vt:variant>
        <vt:i4>24248333</vt:i4>
      </vt:variant>
      <vt:variant>
        <vt:i4>66</vt:i4>
      </vt:variant>
      <vt:variant>
        <vt:i4>0</vt:i4>
      </vt:variant>
      <vt:variant>
        <vt:i4>5</vt:i4>
      </vt:variant>
      <vt:variant>
        <vt:lpwstr>http://www.newswire.co.nz/2010/02/Māori-save/</vt:lpwstr>
      </vt:variant>
      <vt:variant>
        <vt:lpwstr/>
      </vt:variant>
      <vt:variant>
        <vt:i4>2818103</vt:i4>
      </vt:variant>
      <vt:variant>
        <vt:i4>63</vt:i4>
      </vt:variant>
      <vt:variant>
        <vt:i4>0</vt:i4>
      </vt:variant>
      <vt:variant>
        <vt:i4>5</vt:i4>
      </vt:variant>
      <vt:variant>
        <vt:lpwstr>http://faolex.fao.org/docs/pdf/saf85909.pdf</vt:lpwstr>
      </vt:variant>
      <vt:variant>
        <vt:lpwstr/>
      </vt:variant>
      <vt:variant>
        <vt:i4>7667816</vt:i4>
      </vt:variant>
      <vt:variant>
        <vt:i4>60</vt:i4>
      </vt:variant>
      <vt:variant>
        <vt:i4>0</vt:i4>
      </vt:variant>
      <vt:variant>
        <vt:i4>5</vt:i4>
      </vt:variant>
      <vt:variant>
        <vt:lpwstr>http://www.ipo.org.za/IPO_docs/archive_2010/Intellectual Property Laws Amendment Bill.pdf</vt:lpwstr>
      </vt:variant>
      <vt:variant>
        <vt:lpwstr/>
      </vt:variant>
      <vt:variant>
        <vt:i4>3145760</vt:i4>
      </vt:variant>
      <vt:variant>
        <vt:i4>57</vt:i4>
      </vt:variant>
      <vt:variant>
        <vt:i4>0</vt:i4>
      </vt:variant>
      <vt:variant>
        <vt:i4>5</vt:i4>
      </vt:variant>
      <vt:variant>
        <vt:lpwstr>http://www.dti.gov.za/ccrd/ip/bill.pdf</vt:lpwstr>
      </vt:variant>
      <vt:variant>
        <vt:lpwstr/>
      </vt:variant>
      <vt:variant>
        <vt:i4>1114121</vt:i4>
      </vt:variant>
      <vt:variant>
        <vt:i4>54</vt:i4>
      </vt:variant>
      <vt:variant>
        <vt:i4>0</vt:i4>
      </vt:variant>
      <vt:variant>
        <vt:i4>5</vt:i4>
      </vt:variant>
      <vt:variant>
        <vt:lpwstr>http://www.unesco.org/culture/ich/index.php?RL=00175</vt:lpwstr>
      </vt:variant>
      <vt:variant>
        <vt:lpwstr/>
      </vt:variant>
      <vt:variant>
        <vt:i4>7078007</vt:i4>
      </vt:variant>
      <vt:variant>
        <vt:i4>51</vt:i4>
      </vt:variant>
      <vt:variant>
        <vt:i4>0</vt:i4>
      </vt:variant>
      <vt:variant>
        <vt:i4>5</vt:i4>
      </vt:variant>
      <vt:variant>
        <vt:lpwstr>http://tradecomacpeu.com/resources/files/42/bark-cloth-from-uganda.pdf</vt:lpwstr>
      </vt:variant>
      <vt:variant>
        <vt:lpwstr/>
      </vt:variant>
      <vt:variant>
        <vt:i4>2097234</vt:i4>
      </vt:variant>
      <vt:variant>
        <vt:i4>48</vt:i4>
      </vt:variant>
      <vt:variant>
        <vt:i4>0</vt:i4>
      </vt:variant>
      <vt:variant>
        <vt:i4>5</vt:i4>
      </vt:variant>
      <vt:variant>
        <vt:lpwstr>http://www.equatorinitiative.org/index.php?option=com_content&amp;view=article&amp;id=543%3Aunorcac&amp;catid=107%3Aequator-prize-winners-2008&amp;Itemid=546&amp;lang=en</vt:lpwstr>
      </vt:variant>
      <vt:variant>
        <vt:lpwstr/>
      </vt:variant>
      <vt:variant>
        <vt:i4>3735665</vt:i4>
      </vt:variant>
      <vt:variant>
        <vt:i4>45</vt:i4>
      </vt:variant>
      <vt:variant>
        <vt:i4>0</vt:i4>
      </vt:variant>
      <vt:variant>
        <vt:i4>5</vt:i4>
      </vt:variant>
      <vt:variant>
        <vt:lpwstr>http://www.unorcac.org/</vt:lpwstr>
      </vt:variant>
      <vt:variant>
        <vt:lpwstr/>
      </vt:variant>
      <vt:variant>
        <vt:i4>131156</vt:i4>
      </vt:variant>
      <vt:variant>
        <vt:i4>42</vt:i4>
      </vt:variant>
      <vt:variant>
        <vt:i4>0</vt:i4>
      </vt:variant>
      <vt:variant>
        <vt:i4>5</vt:i4>
      </vt:variant>
      <vt:variant>
        <vt:lpwstr>http://www.agriterra.org/en/text/about-agriterra</vt:lpwstr>
      </vt:variant>
      <vt:variant>
        <vt:lpwstr/>
      </vt:variant>
      <vt:variant>
        <vt:i4>3080247</vt:i4>
      </vt:variant>
      <vt:variant>
        <vt:i4>39</vt:i4>
      </vt:variant>
      <vt:variant>
        <vt:i4>0</vt:i4>
      </vt:variant>
      <vt:variant>
        <vt:i4>5</vt:i4>
      </vt:variant>
      <vt:variant>
        <vt:lpwstr>http://www.runatupari.com/</vt:lpwstr>
      </vt:variant>
      <vt:variant>
        <vt:lpwstr/>
      </vt:variant>
      <vt:variant>
        <vt:i4>2228235</vt:i4>
      </vt:variant>
      <vt:variant>
        <vt:i4>36</vt:i4>
      </vt:variant>
      <vt:variant>
        <vt:i4>0</vt:i4>
      </vt:variant>
      <vt:variant>
        <vt:i4>5</vt:i4>
      </vt:variant>
      <vt:variant>
        <vt:lpwstr>http://www.uclan.ac.uk/schools/school_d_nursing/research_projects/files/health_cpe_genbenefit_hoodia_stakeholders.pdf</vt:lpwstr>
      </vt:variant>
      <vt:variant>
        <vt:lpwstr/>
      </vt:variant>
      <vt:variant>
        <vt:i4>6160441</vt:i4>
      </vt:variant>
      <vt:variant>
        <vt:i4>33</vt:i4>
      </vt:variant>
      <vt:variant>
        <vt:i4>0</vt:i4>
      </vt:variant>
      <vt:variant>
        <vt:i4>5</vt:i4>
      </vt:variant>
      <vt:variant>
        <vt:lpwstr>http://ntww1.csir.co.za/plsql/ptl0002/PTL0002_PGE157_MEDIA_REL?MEDIA_RELEASE_NO=7083643</vt:lpwstr>
      </vt:variant>
      <vt:variant>
        <vt:lpwstr/>
      </vt:variant>
      <vt:variant>
        <vt:i4>6029343</vt:i4>
      </vt:variant>
      <vt:variant>
        <vt:i4>30</vt:i4>
      </vt:variant>
      <vt:variant>
        <vt:i4>0</vt:i4>
      </vt:variant>
      <vt:variant>
        <vt:i4>5</vt:i4>
      </vt:variant>
      <vt:variant>
        <vt:lpwstr>http://travel.kompas.com/read/2010/06/25/19553630/Festival.Ujungberung.Dibuka</vt:lpwstr>
      </vt:variant>
      <vt:variant>
        <vt:lpwstr/>
      </vt:variant>
      <vt:variant>
        <vt:i4>65</vt:i4>
      </vt:variant>
      <vt:variant>
        <vt:i4>27</vt:i4>
      </vt:variant>
      <vt:variant>
        <vt:i4>0</vt:i4>
      </vt:variant>
      <vt:variant>
        <vt:i4>5</vt:i4>
      </vt:variant>
      <vt:variant>
        <vt:lpwstr>http://www.klik-galamedia.com/indexedisi.php?id=20100625&amp;wartakode=20100625034442</vt:lpwstr>
      </vt:variant>
      <vt:variant>
        <vt:lpwstr/>
      </vt:variant>
      <vt:variant>
        <vt:i4>7798844</vt:i4>
      </vt:variant>
      <vt:variant>
        <vt:i4>24</vt:i4>
      </vt:variant>
      <vt:variant>
        <vt:i4>0</vt:i4>
      </vt:variant>
      <vt:variant>
        <vt:i4>5</vt:i4>
      </vt:variant>
      <vt:variant>
        <vt:lpwstr>http://www.unesco.org/culture/ich/doc/src/01858-EN.pdf</vt:lpwstr>
      </vt:variant>
      <vt:variant>
        <vt:lpwstr/>
      </vt:variant>
      <vt:variant>
        <vt:i4>5505104</vt:i4>
      </vt:variant>
      <vt:variant>
        <vt:i4>21</vt:i4>
      </vt:variant>
      <vt:variant>
        <vt:i4>0</vt:i4>
      </vt:variant>
      <vt:variant>
        <vt:i4>5</vt:i4>
      </vt:variant>
      <vt:variant>
        <vt:lpwstr>http://www.unesco.org/culture/ich/doc</vt:lpwstr>
      </vt:variant>
      <vt:variant>
        <vt:lpwstr/>
      </vt:variant>
      <vt:variant>
        <vt:i4>720987</vt:i4>
      </vt:variant>
      <vt:variant>
        <vt:i4>18</vt:i4>
      </vt:variant>
      <vt:variant>
        <vt:i4>0</vt:i4>
      </vt:variant>
      <vt:variant>
        <vt:i4>5</vt:i4>
      </vt:variant>
      <vt:variant>
        <vt:lpwstr>http://whc.unesco.org/fr/list/?action=stat&amp;</vt:lpwstr>
      </vt:variant>
      <vt:variant>
        <vt:lpwstr>s1</vt:lpwstr>
      </vt:variant>
      <vt:variant>
        <vt:i4>1835027</vt:i4>
      </vt:variant>
      <vt:variant>
        <vt:i4>15</vt:i4>
      </vt:variant>
      <vt:variant>
        <vt:i4>0</vt:i4>
      </vt:variant>
      <vt:variant>
        <vt:i4>5</vt:i4>
      </vt:variant>
      <vt:variant>
        <vt:lpwstr>http://www.unesco.org/culture/ich/fr/listes/</vt:lpwstr>
      </vt:variant>
      <vt:variant>
        <vt:lpwstr/>
      </vt:variant>
      <vt:variant>
        <vt:i4>1704004</vt:i4>
      </vt:variant>
      <vt:variant>
        <vt:i4>12</vt:i4>
      </vt:variant>
      <vt:variant>
        <vt:i4>0</vt:i4>
      </vt:variant>
      <vt:variant>
        <vt:i4>5</vt:i4>
      </vt:variant>
      <vt:variant>
        <vt:lpwstr>http://www.un.org/esa/socdev/unpfii/en/drip.html</vt:lpwstr>
      </vt:variant>
      <vt:variant>
        <vt:lpwstr/>
      </vt:variant>
      <vt:variant>
        <vt:i4>5439565</vt:i4>
      </vt:variant>
      <vt:variant>
        <vt:i4>9</vt:i4>
      </vt:variant>
      <vt:variant>
        <vt:i4>0</vt:i4>
      </vt:variant>
      <vt:variant>
        <vt:i4>5</vt:i4>
      </vt:variant>
      <vt:variant>
        <vt:lpwstr>http://www.aapant.org.au/</vt:lpwstr>
      </vt:variant>
      <vt:variant>
        <vt:lpwstr/>
      </vt:variant>
      <vt:variant>
        <vt:i4>1900558</vt:i4>
      </vt:variant>
      <vt:variant>
        <vt:i4>6</vt:i4>
      </vt:variant>
      <vt:variant>
        <vt:i4>0</vt:i4>
      </vt:variant>
      <vt:variant>
        <vt:i4>5</vt:i4>
      </vt:variant>
      <vt:variant>
        <vt:lpwstr>http://unesdoc.unesco.org/images/0015/001506/150671e.pdf</vt:lpwstr>
      </vt:variant>
      <vt:variant>
        <vt:lpwstr/>
      </vt:variant>
      <vt:variant>
        <vt:i4>7798844</vt:i4>
      </vt:variant>
      <vt:variant>
        <vt:i4>3</vt:i4>
      </vt:variant>
      <vt:variant>
        <vt:i4>0</vt:i4>
      </vt:variant>
      <vt:variant>
        <vt:i4>5</vt:i4>
      </vt:variant>
      <vt:variant>
        <vt:lpwstr>http://www.unesco.org/culture/ich/doc/src/01858-EN.pdf</vt:lpwstr>
      </vt:variant>
      <vt:variant>
        <vt:lpwstr/>
      </vt:variant>
      <vt:variant>
        <vt:i4>1114199</vt:i4>
      </vt:variant>
      <vt:variant>
        <vt:i4>0</vt:i4>
      </vt:variant>
      <vt:variant>
        <vt:i4>0</vt:i4>
      </vt:variant>
      <vt:variant>
        <vt:i4>5</vt:i4>
      </vt:variant>
      <vt:variant>
        <vt:lpwstr>http://documents-dds-ny.un.org/doc/UNDOC/GEN/N87/184/67/img/N8718467.pdf?OpenElement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PCI-fr-avril</dc:title>
  <dc:creator>FLUFFY</dc:creator>
  <cp:lastModifiedBy>R.Samadov</cp:lastModifiedBy>
  <cp:revision>4</cp:revision>
  <cp:lastPrinted>2014-06-28T13:03:00Z</cp:lastPrinted>
  <dcterms:created xsi:type="dcterms:W3CDTF">2014-07-03T13:13:00Z</dcterms:created>
  <dcterms:modified xsi:type="dcterms:W3CDTF">2014-10-31T13:53:00Z</dcterms:modified>
</cp:coreProperties>
</file>