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DA" w:rsidRPr="00373B0A" w:rsidRDefault="00A853D3" w:rsidP="00C70B5B">
      <w:pPr>
        <w:pStyle w:val="Chapitre"/>
        <w:keepNext w:val="0"/>
        <w:widowControl w:val="0"/>
        <w:rPr>
          <w:w w:val="99"/>
          <w:sz w:val="62"/>
          <w:szCs w:val="62"/>
          <w:lang w:val="es-ES"/>
        </w:rPr>
      </w:pPr>
      <w:bookmarkStart w:id="0" w:name="_Toc241229729"/>
      <w:bookmarkStart w:id="1" w:name="_Toc241229933"/>
      <w:bookmarkStart w:id="2" w:name="_Toc242165627"/>
      <w:r w:rsidRPr="00373B0A">
        <w:rPr>
          <w:w w:val="99"/>
          <w:sz w:val="60"/>
          <w:szCs w:val="60"/>
          <w:lang w:val="es-ES"/>
        </w:rPr>
        <w:t>Uni</w:t>
      </w:r>
      <w:r w:rsidR="006B7E90" w:rsidRPr="00373B0A">
        <w:rPr>
          <w:w w:val="99"/>
          <w:sz w:val="60"/>
          <w:szCs w:val="60"/>
          <w:lang w:val="es-ES"/>
        </w:rPr>
        <w:t>daD</w:t>
      </w:r>
      <w:r w:rsidRPr="00373B0A">
        <w:rPr>
          <w:w w:val="99"/>
          <w:sz w:val="60"/>
          <w:szCs w:val="60"/>
          <w:lang w:val="es-ES"/>
        </w:rPr>
        <w:t xml:space="preserve"> </w:t>
      </w:r>
      <w:r w:rsidR="00955176" w:rsidRPr="00373B0A">
        <w:rPr>
          <w:w w:val="99"/>
          <w:sz w:val="60"/>
          <w:szCs w:val="60"/>
          <w:lang w:val="es-ES"/>
        </w:rPr>
        <w:t>10</w:t>
      </w:r>
      <w:r w:rsidR="00830A9C" w:rsidRPr="00373B0A">
        <w:rPr>
          <w:w w:val="99"/>
          <w:sz w:val="60"/>
          <w:szCs w:val="60"/>
          <w:lang w:val="es-ES"/>
        </w:rPr>
        <w:tab/>
      </w:r>
    </w:p>
    <w:bookmarkEnd w:id="0"/>
    <w:bookmarkEnd w:id="1"/>
    <w:bookmarkEnd w:id="2"/>
    <w:p w:rsidR="001D0283" w:rsidRPr="00373B0A" w:rsidRDefault="006B7E90" w:rsidP="00C70B5B">
      <w:pPr>
        <w:pStyle w:val="Chapitre"/>
        <w:keepNext w:val="0"/>
        <w:widowControl w:val="0"/>
        <w:rPr>
          <w:w w:val="109"/>
          <w:lang w:val="es-ES"/>
        </w:rPr>
      </w:pPr>
      <w:r w:rsidRPr="00373B0A">
        <w:rPr>
          <w:sz w:val="60"/>
          <w:szCs w:val="60"/>
          <w:lang w:val="es-ES"/>
        </w:rPr>
        <w:t xml:space="preserve">Políticas e instituciones </w:t>
      </w:r>
      <w:r w:rsidR="003B12AB" w:rsidRPr="00373B0A">
        <w:rPr>
          <w:sz w:val="60"/>
          <w:szCs w:val="60"/>
          <w:lang w:val="es-ES"/>
        </w:rPr>
        <w:t xml:space="preserve">relacionadas con </w:t>
      </w:r>
      <w:r w:rsidRPr="00373B0A">
        <w:rPr>
          <w:sz w:val="60"/>
          <w:szCs w:val="60"/>
          <w:lang w:val="es-ES"/>
        </w:rPr>
        <w:t>el pCI</w:t>
      </w:r>
      <w:r w:rsidRPr="00373B0A">
        <w:rPr>
          <w:rStyle w:val="FootnoteReference"/>
          <w:sz w:val="60"/>
          <w:szCs w:val="60"/>
          <w:lang w:val="es-ES"/>
        </w:rPr>
        <w:footnoteReference w:id="1"/>
      </w:r>
    </w:p>
    <w:p w:rsidR="001D0283" w:rsidRPr="00373B0A" w:rsidRDefault="00610C6B" w:rsidP="00A674BB">
      <w:pPr>
        <w:pStyle w:val="Sschap"/>
        <w:rPr>
          <w:lang w:val="es-ES"/>
        </w:rPr>
      </w:pPr>
      <w:r w:rsidRPr="00373B0A">
        <w:rPr>
          <w:lang w:val="es-ES"/>
        </w:rPr>
        <w:t xml:space="preserve">En esta </w:t>
      </w:r>
      <w:r w:rsidR="0067404D">
        <w:rPr>
          <w:lang w:val="es-ES"/>
        </w:rPr>
        <w:t>u</w:t>
      </w:r>
      <w:r w:rsidRPr="00373B0A">
        <w:rPr>
          <w:lang w:val="es-ES"/>
        </w:rPr>
        <w:t>nidad se muestra cómo la</w:t>
      </w:r>
      <w:r w:rsidR="001D0283" w:rsidRPr="00373B0A">
        <w:rPr>
          <w:lang w:val="es-ES"/>
        </w:rPr>
        <w:t xml:space="preserve"> </w:t>
      </w:r>
      <w:r w:rsidR="0036378C" w:rsidRPr="00373B0A">
        <w:rPr>
          <w:lang w:val="es-ES"/>
        </w:rPr>
        <w:t>Convención para la Salvaguardia del Patrimonio Cultural Inmaterial</w:t>
      </w:r>
      <w:r w:rsidR="00D602CC" w:rsidRPr="00373B0A">
        <w:rPr>
          <w:rStyle w:val="FootnoteReference"/>
          <w:sz w:val="24"/>
          <w:szCs w:val="24"/>
          <w:lang w:val="es-ES"/>
        </w:rPr>
        <w:footnoteReference w:id="2"/>
      </w:r>
      <w:r w:rsidR="00D602CC" w:rsidRPr="00373B0A">
        <w:rPr>
          <w:lang w:val="es-ES"/>
        </w:rPr>
        <w:t xml:space="preserve"> </w:t>
      </w:r>
      <w:r w:rsidR="0036378C" w:rsidRPr="00373B0A">
        <w:rPr>
          <w:lang w:val="es-ES"/>
        </w:rPr>
        <w:t>y las Directrices</w:t>
      </w:r>
      <w:r w:rsidR="008C0D26" w:rsidRPr="00373B0A">
        <w:rPr>
          <w:lang w:val="es-ES"/>
        </w:rPr>
        <w:t xml:space="preserve"> </w:t>
      </w:r>
      <w:r w:rsidR="00D602CC" w:rsidRPr="00373B0A">
        <w:rPr>
          <w:lang w:val="es-ES"/>
        </w:rPr>
        <w:t>Operat</w:t>
      </w:r>
      <w:r w:rsidR="0036378C" w:rsidRPr="00373B0A">
        <w:rPr>
          <w:lang w:val="es-ES"/>
        </w:rPr>
        <w:t>iva</w:t>
      </w:r>
      <w:r w:rsidR="00D602CC" w:rsidRPr="00373B0A">
        <w:rPr>
          <w:lang w:val="es-ES"/>
        </w:rPr>
        <w:t>s (</w:t>
      </w:r>
      <w:r w:rsidR="00034B82" w:rsidRPr="00373B0A">
        <w:rPr>
          <w:lang w:val="es-ES"/>
        </w:rPr>
        <w:t>DO</w:t>
      </w:r>
      <w:r w:rsidR="00D602CC" w:rsidRPr="00373B0A">
        <w:rPr>
          <w:lang w:val="es-ES"/>
        </w:rPr>
        <w:t>)</w:t>
      </w:r>
      <w:r w:rsidR="001D0283" w:rsidRPr="00373B0A">
        <w:rPr>
          <w:lang w:val="es-ES"/>
        </w:rPr>
        <w:t xml:space="preserve"> </w:t>
      </w:r>
      <w:r w:rsidRPr="00373B0A">
        <w:rPr>
          <w:lang w:val="es-ES"/>
        </w:rPr>
        <w:t xml:space="preserve">indican que las medidas legislativas, técnicas y administrativas adoptadas a nivel </w:t>
      </w:r>
      <w:r w:rsidR="001D0283" w:rsidRPr="00373B0A">
        <w:rPr>
          <w:lang w:val="es-ES"/>
        </w:rPr>
        <w:t xml:space="preserve">local, </w:t>
      </w:r>
      <w:r w:rsidRPr="00373B0A">
        <w:rPr>
          <w:lang w:val="es-ES"/>
        </w:rPr>
        <w:t>nac</w:t>
      </w:r>
      <w:r w:rsidR="001D0283" w:rsidRPr="00373B0A">
        <w:rPr>
          <w:lang w:val="es-ES"/>
        </w:rPr>
        <w:t xml:space="preserve">ional </w:t>
      </w:r>
      <w:r w:rsidRPr="00373B0A">
        <w:rPr>
          <w:lang w:val="es-ES"/>
        </w:rPr>
        <w:t>e internac</w:t>
      </w:r>
      <w:r w:rsidR="001D0283" w:rsidRPr="00373B0A">
        <w:rPr>
          <w:lang w:val="es-ES"/>
        </w:rPr>
        <w:t xml:space="preserve">ional </w:t>
      </w:r>
      <w:r w:rsidRPr="00373B0A">
        <w:rPr>
          <w:lang w:val="es-ES"/>
        </w:rPr>
        <w:t>pueden facilitar la aplicación de la Convenció</w:t>
      </w:r>
      <w:r w:rsidR="00034B82" w:rsidRPr="00373B0A">
        <w:rPr>
          <w:lang w:val="es-ES"/>
        </w:rPr>
        <w:t>n</w:t>
      </w:r>
      <w:r w:rsidR="001D0283" w:rsidRPr="00373B0A">
        <w:rPr>
          <w:lang w:val="es-ES"/>
        </w:rPr>
        <w:t xml:space="preserve"> </w:t>
      </w:r>
      <w:r w:rsidRPr="00373B0A">
        <w:rPr>
          <w:lang w:val="es-ES"/>
        </w:rPr>
        <w:t>en el plano nacional</w:t>
      </w:r>
      <w:r w:rsidR="001D0283" w:rsidRPr="00373B0A">
        <w:rPr>
          <w:lang w:val="es-ES"/>
        </w:rPr>
        <w:t xml:space="preserve">. </w:t>
      </w:r>
      <w:r w:rsidRPr="00373B0A">
        <w:rPr>
          <w:lang w:val="es-ES"/>
        </w:rPr>
        <w:t>Entre los temas abordados figuran los siguientes</w:t>
      </w:r>
      <w:r w:rsidR="001D0283" w:rsidRPr="00373B0A">
        <w:rPr>
          <w:lang w:val="es-ES"/>
        </w:rPr>
        <w:t>:</w:t>
      </w:r>
      <w:r w:rsidR="00346CC4" w:rsidRPr="00373B0A">
        <w:rPr>
          <w:lang w:val="es-ES"/>
        </w:rPr>
        <w:t xml:space="preserve"> </w:t>
      </w:r>
    </w:p>
    <w:p w:rsidR="001D0283" w:rsidRPr="00373B0A" w:rsidRDefault="00610C6B" w:rsidP="0071007C">
      <w:pPr>
        <w:pStyle w:val="Txtchap"/>
        <w:rPr>
          <w:lang w:val="es-ES"/>
        </w:rPr>
      </w:pPr>
      <w:r w:rsidRPr="00373B0A">
        <w:rPr>
          <w:lang w:val="es-ES"/>
        </w:rPr>
        <w:t>Recomendaciones de la</w:t>
      </w:r>
      <w:r w:rsidR="001D0283" w:rsidRPr="00373B0A">
        <w:rPr>
          <w:lang w:val="es-ES"/>
        </w:rPr>
        <w:t xml:space="preserve"> </w:t>
      </w:r>
      <w:r w:rsidR="00034B82" w:rsidRPr="00373B0A">
        <w:rPr>
          <w:lang w:val="es-ES"/>
        </w:rPr>
        <w:t>Convención</w:t>
      </w:r>
      <w:r w:rsidR="00830A9C" w:rsidRPr="00373B0A">
        <w:rPr>
          <w:lang w:val="es-ES"/>
        </w:rPr>
        <w:t>.</w:t>
      </w:r>
      <w:r w:rsidR="00346CC4" w:rsidRPr="00373B0A">
        <w:rPr>
          <w:lang w:val="es-ES"/>
        </w:rPr>
        <w:t xml:space="preserve"> </w:t>
      </w:r>
    </w:p>
    <w:p w:rsidR="001D0283" w:rsidRPr="00373B0A" w:rsidRDefault="00610C6B" w:rsidP="0071007C">
      <w:pPr>
        <w:pStyle w:val="Txtchap"/>
        <w:rPr>
          <w:lang w:val="es-ES"/>
        </w:rPr>
      </w:pPr>
      <w:r w:rsidRPr="00373B0A">
        <w:rPr>
          <w:lang w:val="es-ES"/>
        </w:rPr>
        <w:t>Políticas y medidas a nivel l</w:t>
      </w:r>
      <w:r w:rsidR="001D0283" w:rsidRPr="00373B0A">
        <w:rPr>
          <w:lang w:val="es-ES"/>
        </w:rPr>
        <w:t>ocal</w:t>
      </w:r>
      <w:r w:rsidR="00830A9C" w:rsidRPr="00373B0A">
        <w:rPr>
          <w:lang w:val="es-ES"/>
        </w:rPr>
        <w:t>.</w:t>
      </w:r>
    </w:p>
    <w:p w:rsidR="001D0283" w:rsidRPr="00373B0A" w:rsidRDefault="00610C6B" w:rsidP="0071007C">
      <w:pPr>
        <w:pStyle w:val="Txtchap"/>
        <w:rPr>
          <w:lang w:val="es-ES"/>
        </w:rPr>
      </w:pPr>
      <w:r w:rsidRPr="00373B0A">
        <w:rPr>
          <w:lang w:val="es-ES"/>
        </w:rPr>
        <w:t>Políticas y medidas a nivel nacional</w:t>
      </w:r>
      <w:r w:rsidR="00830A9C" w:rsidRPr="00373B0A">
        <w:rPr>
          <w:lang w:val="es-ES"/>
        </w:rPr>
        <w:t>.</w:t>
      </w:r>
    </w:p>
    <w:p w:rsidR="001D0283" w:rsidRPr="00373B0A" w:rsidRDefault="00610C6B" w:rsidP="0071007C">
      <w:pPr>
        <w:pStyle w:val="Txtchap"/>
        <w:rPr>
          <w:lang w:val="es-ES"/>
        </w:rPr>
      </w:pPr>
      <w:r w:rsidRPr="00373B0A">
        <w:rPr>
          <w:lang w:val="es-ES"/>
        </w:rPr>
        <w:t>Marcos instituc</w:t>
      </w:r>
      <w:r w:rsidR="001D0283" w:rsidRPr="00373B0A">
        <w:rPr>
          <w:lang w:val="es-ES"/>
        </w:rPr>
        <w:t>ional</w:t>
      </w:r>
      <w:r w:rsidRPr="00373B0A">
        <w:rPr>
          <w:lang w:val="es-ES"/>
        </w:rPr>
        <w:t>e</w:t>
      </w:r>
      <w:r w:rsidR="001D0283" w:rsidRPr="00373B0A">
        <w:rPr>
          <w:lang w:val="es-ES"/>
        </w:rPr>
        <w:t>s</w:t>
      </w:r>
      <w:r w:rsidR="00830A9C" w:rsidRPr="00373B0A">
        <w:rPr>
          <w:lang w:val="es-ES"/>
        </w:rPr>
        <w:t>.</w:t>
      </w:r>
    </w:p>
    <w:p w:rsidR="001D0283" w:rsidRPr="00373B0A" w:rsidRDefault="00610C6B" w:rsidP="0071007C">
      <w:pPr>
        <w:pStyle w:val="Txtchap"/>
        <w:rPr>
          <w:lang w:val="es-ES"/>
        </w:rPr>
      </w:pPr>
      <w:r w:rsidRPr="00373B0A">
        <w:rPr>
          <w:lang w:val="es-ES"/>
        </w:rPr>
        <w:t>Protección de los derechos de propiedad inte</w:t>
      </w:r>
      <w:r w:rsidR="001D0283" w:rsidRPr="00373B0A">
        <w:rPr>
          <w:lang w:val="es-ES"/>
        </w:rPr>
        <w:t xml:space="preserve">lectual </w:t>
      </w:r>
      <w:r w:rsidR="004D12F2" w:rsidRPr="00373B0A">
        <w:rPr>
          <w:lang w:val="es-ES"/>
        </w:rPr>
        <w:t xml:space="preserve">(DPI) </w:t>
      </w:r>
      <w:r w:rsidRPr="00373B0A">
        <w:rPr>
          <w:lang w:val="es-ES"/>
        </w:rPr>
        <w:t>a nivel nacional</w:t>
      </w:r>
      <w:r w:rsidR="00830A9C" w:rsidRPr="00373B0A">
        <w:rPr>
          <w:lang w:val="es-ES"/>
        </w:rPr>
        <w:t>.</w:t>
      </w:r>
    </w:p>
    <w:p w:rsidR="001D0283" w:rsidRPr="00373B0A" w:rsidRDefault="00610C6B" w:rsidP="0071007C">
      <w:pPr>
        <w:pStyle w:val="Txtchap"/>
        <w:rPr>
          <w:lang w:val="es-ES"/>
        </w:rPr>
      </w:pPr>
      <w:r w:rsidRPr="00373B0A">
        <w:rPr>
          <w:lang w:val="es-ES"/>
        </w:rPr>
        <w:t>E</w:t>
      </w:r>
      <w:r w:rsidR="00112E23" w:rsidRPr="00373B0A">
        <w:rPr>
          <w:lang w:val="es-ES"/>
        </w:rPr>
        <w:t>l</w:t>
      </w:r>
      <w:r w:rsidRPr="00373B0A">
        <w:rPr>
          <w:lang w:val="es-ES"/>
        </w:rPr>
        <w:t xml:space="preserve"> contexto internac</w:t>
      </w:r>
      <w:r w:rsidR="001D0283" w:rsidRPr="00373B0A">
        <w:rPr>
          <w:lang w:val="es-ES"/>
        </w:rPr>
        <w:t>ional.</w:t>
      </w:r>
    </w:p>
    <w:p w:rsidR="00830A9C" w:rsidRPr="00373B0A" w:rsidRDefault="00531E37" w:rsidP="0071007C">
      <w:pPr>
        <w:pStyle w:val="Chapinfo"/>
        <w:rPr>
          <w:lang w:val="es-ES"/>
        </w:rPr>
      </w:pPr>
      <w:r w:rsidRPr="00617A19">
        <w:rPr>
          <w:lang w:val="es-ES" w:eastAsia="en-US"/>
        </w:rPr>
        <w:t>Véanse en el Texto para</w:t>
      </w:r>
      <w:r>
        <w:rPr>
          <w:lang w:val="es-ES" w:eastAsia="en-US"/>
        </w:rPr>
        <w:t xml:space="preserve"> el Participante de la Unidad 3 las secciones tituladas</w:t>
      </w:r>
      <w:r w:rsidR="001D0283" w:rsidRPr="00373B0A">
        <w:rPr>
          <w:spacing w:val="-3"/>
          <w:lang w:val="es-ES"/>
        </w:rPr>
        <w:t xml:space="preserve"> </w:t>
      </w:r>
      <w:r w:rsidR="0036378C" w:rsidRPr="00373B0A">
        <w:rPr>
          <w:lang w:val="es-ES"/>
        </w:rPr>
        <w:t>“Actividades a nivel internacional, regional, subregional y local”</w:t>
      </w:r>
      <w:r w:rsidR="00B231EF" w:rsidRPr="00373B0A">
        <w:rPr>
          <w:lang w:val="es-ES"/>
        </w:rPr>
        <w:t xml:space="preserve"> y “Propiedad intelect</w:t>
      </w:r>
      <w:r w:rsidR="00B231EF" w:rsidRPr="00373B0A">
        <w:rPr>
          <w:noProof/>
          <w:lang w:eastAsia="en-GB"/>
        </w:rPr>
        <w:drawing>
          <wp:anchor distT="0" distB="0" distL="114300" distR="114300" simplePos="0" relativeHeight="252185088" behindDoc="1" locked="0" layoutInCell="1" allowOverlap="0">
            <wp:simplePos x="0" y="0"/>
            <wp:positionH relativeFrom="margin">
              <wp:posOffset>360045</wp:posOffset>
            </wp:positionH>
            <wp:positionV relativeFrom="margin">
              <wp:posOffset>1800225</wp:posOffset>
            </wp:positionV>
            <wp:extent cx="4870411" cy="4498145"/>
            <wp:effectExtent l="0" t="0" r="6985" b="0"/>
            <wp:wrapNone/>
            <wp:docPr id="1"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r w:rsidR="00B231EF" w:rsidRPr="00373B0A">
        <w:rPr>
          <w:lang w:val="es-ES"/>
        </w:rPr>
        <w:t>ual”</w:t>
      </w:r>
      <w:r w:rsidR="001D0283" w:rsidRPr="00373B0A">
        <w:rPr>
          <w:lang w:val="es-ES"/>
        </w:rPr>
        <w:t>.</w:t>
      </w:r>
      <w:r w:rsidR="00830A9C" w:rsidRPr="00373B0A">
        <w:rPr>
          <w:lang w:val="es-ES"/>
        </w:rPr>
        <w:tab/>
      </w:r>
    </w:p>
    <w:p w:rsidR="00713A17" w:rsidRPr="00373B0A" w:rsidRDefault="0036378C">
      <w:pPr>
        <w:pStyle w:val="Chapinfo"/>
        <w:rPr>
          <w:lang w:val="es-ES"/>
        </w:rPr>
      </w:pPr>
      <w:r w:rsidRPr="00373B0A">
        <w:rPr>
          <w:lang w:val="es-ES"/>
        </w:rPr>
        <w:t>En los Estudios de Casos 1 y 28 a 32</w:t>
      </w:r>
      <w:r w:rsidR="004D12F2" w:rsidRPr="00373B0A">
        <w:rPr>
          <w:lang w:val="es-ES"/>
        </w:rPr>
        <w:t>,</w:t>
      </w:r>
      <w:r w:rsidRPr="00373B0A">
        <w:rPr>
          <w:lang w:val="es-ES"/>
        </w:rPr>
        <w:t xml:space="preserve"> se pueden encontrar ejemplos relacionados con el contenido de la presente </w:t>
      </w:r>
      <w:r w:rsidR="0067404D">
        <w:rPr>
          <w:lang w:val="es-ES"/>
        </w:rPr>
        <w:t>u</w:t>
      </w:r>
      <w:r w:rsidRPr="00373B0A">
        <w:rPr>
          <w:lang w:val="es-ES"/>
        </w:rPr>
        <w:t>nidad</w:t>
      </w:r>
      <w:r w:rsidR="001D0283" w:rsidRPr="00373B0A">
        <w:rPr>
          <w:lang w:val="es-ES"/>
        </w:rPr>
        <w:t>.</w:t>
      </w:r>
    </w:p>
    <w:p w:rsidR="00713A17" w:rsidRPr="00373B0A" w:rsidRDefault="00713A17">
      <w:pPr>
        <w:tabs>
          <w:tab w:val="clear" w:pos="567"/>
        </w:tabs>
        <w:snapToGrid/>
        <w:spacing w:line="240" w:lineRule="auto"/>
        <w:ind w:left="0"/>
        <w:jc w:val="left"/>
        <w:rPr>
          <w:i/>
          <w:iCs/>
          <w:color w:val="3366FF"/>
          <w:sz w:val="24"/>
          <w:szCs w:val="24"/>
          <w:lang w:val="es-ES"/>
        </w:rPr>
      </w:pPr>
      <w:r w:rsidRPr="00373B0A">
        <w:rPr>
          <w:lang w:val="es-ES"/>
        </w:rPr>
        <w:br w:type="page"/>
      </w:r>
    </w:p>
    <w:p w:rsidR="000E5B15" w:rsidRPr="00373B0A" w:rsidRDefault="00955176" w:rsidP="00C824DE">
      <w:pPr>
        <w:pStyle w:val="Titcoul"/>
        <w:spacing w:before="0"/>
        <w:rPr>
          <w:i/>
          <w:iCs/>
          <w:spacing w:val="6"/>
          <w:lang w:val="es-ES"/>
        </w:rPr>
      </w:pPr>
      <w:bookmarkStart w:id="4" w:name="_Toc241229730"/>
      <w:bookmarkStart w:id="5" w:name="_Toc241229934"/>
      <w:bookmarkStart w:id="6" w:name="_Toc242165628"/>
      <w:r w:rsidRPr="00373B0A">
        <w:rPr>
          <w:lang w:val="es-ES"/>
        </w:rPr>
        <w:lastRenderedPageBreak/>
        <w:t>10</w:t>
      </w:r>
      <w:r w:rsidR="000E5B15" w:rsidRPr="00373B0A">
        <w:rPr>
          <w:lang w:val="es-ES"/>
        </w:rPr>
        <w:t>.1</w:t>
      </w:r>
      <w:r w:rsidR="0063095F" w:rsidRPr="00373B0A">
        <w:rPr>
          <w:lang w:val="es-ES"/>
        </w:rPr>
        <w:tab/>
      </w:r>
      <w:bookmarkEnd w:id="4"/>
      <w:bookmarkEnd w:id="5"/>
      <w:bookmarkEnd w:id="6"/>
      <w:r w:rsidR="004D12F2" w:rsidRPr="00373B0A">
        <w:rPr>
          <w:lang w:val="es-ES"/>
        </w:rPr>
        <w:t>Disposiciones de la Convención</w:t>
      </w:r>
    </w:p>
    <w:p w:rsidR="000E5B15" w:rsidRPr="00373B0A" w:rsidRDefault="004D12F2" w:rsidP="002D5639">
      <w:pPr>
        <w:pStyle w:val="Texte1"/>
        <w:rPr>
          <w:lang w:val="es-ES"/>
        </w:rPr>
      </w:pPr>
      <w:r w:rsidRPr="00373B0A">
        <w:rPr>
          <w:lang w:val="es-ES"/>
        </w:rPr>
        <w:t>En la</w:t>
      </w:r>
      <w:r w:rsidR="000E5B15" w:rsidRPr="00373B0A">
        <w:rPr>
          <w:lang w:val="es-ES"/>
        </w:rPr>
        <w:t xml:space="preserve"> </w:t>
      </w:r>
      <w:r w:rsidR="00034B82" w:rsidRPr="00373B0A">
        <w:rPr>
          <w:lang w:val="es-ES"/>
        </w:rPr>
        <w:t>Convención</w:t>
      </w:r>
      <w:r w:rsidR="000E5B15" w:rsidRPr="00373B0A">
        <w:rPr>
          <w:lang w:val="es-ES"/>
        </w:rPr>
        <w:t xml:space="preserve"> </w:t>
      </w:r>
      <w:r w:rsidRPr="00373B0A">
        <w:rPr>
          <w:lang w:val="es-ES"/>
        </w:rPr>
        <w:t>y las</w:t>
      </w:r>
      <w:r w:rsidR="000E5B15" w:rsidRPr="00373B0A">
        <w:rPr>
          <w:lang w:val="es-ES"/>
        </w:rPr>
        <w:t xml:space="preserve"> </w:t>
      </w:r>
      <w:r w:rsidR="00034B82" w:rsidRPr="00373B0A">
        <w:rPr>
          <w:lang w:val="es-ES"/>
        </w:rPr>
        <w:t>DO</w:t>
      </w:r>
      <w:r w:rsidR="000E5B15" w:rsidRPr="00373B0A">
        <w:rPr>
          <w:lang w:val="es-ES"/>
        </w:rPr>
        <w:t xml:space="preserve"> s</w:t>
      </w:r>
      <w:r w:rsidRPr="00373B0A">
        <w:rPr>
          <w:lang w:val="es-ES"/>
        </w:rPr>
        <w:t xml:space="preserve">e recomienda insistentemente a los </w:t>
      </w:r>
      <w:r w:rsidR="00715B7E" w:rsidRPr="00373B0A">
        <w:rPr>
          <w:lang w:val="es-ES"/>
        </w:rPr>
        <w:t>Estados Partes</w:t>
      </w:r>
      <w:r w:rsidR="000E5B15" w:rsidRPr="00373B0A">
        <w:rPr>
          <w:lang w:val="es-ES"/>
        </w:rPr>
        <w:t xml:space="preserve"> </w:t>
      </w:r>
      <w:r w:rsidRPr="00373B0A">
        <w:rPr>
          <w:lang w:val="es-ES"/>
        </w:rPr>
        <w:t>que se esfuercen por</w:t>
      </w:r>
      <w:r w:rsidR="000E5B15" w:rsidRPr="00373B0A">
        <w:rPr>
          <w:lang w:val="es-ES"/>
        </w:rPr>
        <w:t>:</w:t>
      </w:r>
    </w:p>
    <w:p w:rsidR="000E5B15" w:rsidRPr="00373B0A" w:rsidRDefault="00124D72" w:rsidP="00AD2211">
      <w:pPr>
        <w:pStyle w:val="Txtpucegras"/>
        <w:rPr>
          <w:lang w:val="es-ES"/>
        </w:rPr>
      </w:pPr>
      <w:r w:rsidRPr="00373B0A">
        <w:rPr>
          <w:i/>
          <w:lang w:val="es-ES"/>
        </w:rPr>
        <w:t xml:space="preserve">Adoptar políticas </w:t>
      </w:r>
      <w:r w:rsidRPr="00373B0A">
        <w:rPr>
          <w:lang w:val="es-ES"/>
        </w:rPr>
        <w:t xml:space="preserve">que garanticen la salvaguardia del PCI de conformidad con el espíritu de la Convención y los códigos de ética </w:t>
      </w:r>
      <w:r w:rsidR="000E5B15" w:rsidRPr="00373B0A">
        <w:rPr>
          <w:lang w:val="es-ES"/>
        </w:rPr>
        <w:t>(</w:t>
      </w:r>
      <w:r w:rsidR="00715B7E" w:rsidRPr="00373B0A">
        <w:rPr>
          <w:lang w:val="es-ES"/>
        </w:rPr>
        <w:t>Artículo</w:t>
      </w:r>
      <w:r w:rsidR="00DD01F3" w:rsidRPr="00373B0A">
        <w:rPr>
          <w:lang w:val="es-ES"/>
        </w:rPr>
        <w:t> </w:t>
      </w:r>
      <w:r w:rsidR="00533416" w:rsidRPr="00373B0A">
        <w:rPr>
          <w:lang w:val="es-ES"/>
        </w:rPr>
        <w:t>13.a y</w:t>
      </w:r>
      <w:r w:rsidR="000E5B15" w:rsidRPr="00373B0A">
        <w:rPr>
          <w:lang w:val="es-ES"/>
        </w:rPr>
        <w:t xml:space="preserve"> </w:t>
      </w:r>
      <w:r w:rsidR="00034B82" w:rsidRPr="00373B0A">
        <w:rPr>
          <w:lang w:val="es-ES"/>
        </w:rPr>
        <w:t>DO</w:t>
      </w:r>
      <w:r w:rsidR="00533416" w:rsidRPr="00373B0A">
        <w:rPr>
          <w:lang w:val="es-ES"/>
        </w:rPr>
        <w:t xml:space="preserve"> 105.d, 105.f, 105.g</w:t>
      </w:r>
      <w:r w:rsidR="000E5B15" w:rsidRPr="00373B0A">
        <w:rPr>
          <w:lang w:val="es-ES"/>
        </w:rPr>
        <w:t xml:space="preserve"> </w:t>
      </w:r>
      <w:r w:rsidR="00533416" w:rsidRPr="00373B0A">
        <w:rPr>
          <w:lang w:val="es-ES"/>
        </w:rPr>
        <w:t>y</w:t>
      </w:r>
      <w:r w:rsidR="000E5B15" w:rsidRPr="00373B0A">
        <w:rPr>
          <w:lang w:val="es-ES"/>
        </w:rPr>
        <w:t xml:space="preserve"> 107</w:t>
      </w:r>
      <w:r w:rsidRPr="00373B0A">
        <w:rPr>
          <w:lang w:val="es-ES"/>
        </w:rPr>
        <w:t>), respetando al mismo tiempo los usos consuetudinarios por los que se rige el acceso a determinados aspectos específicos del PCI</w:t>
      </w:r>
      <w:r w:rsidR="000E5B15" w:rsidRPr="00373B0A">
        <w:rPr>
          <w:lang w:val="es-ES"/>
        </w:rPr>
        <w:t xml:space="preserve"> (</w:t>
      </w:r>
      <w:r w:rsidR="00715B7E" w:rsidRPr="00373B0A">
        <w:rPr>
          <w:lang w:val="es-ES"/>
        </w:rPr>
        <w:t>Artículo</w:t>
      </w:r>
      <w:r w:rsidR="00DD01F3" w:rsidRPr="00373B0A">
        <w:rPr>
          <w:lang w:val="es-ES"/>
        </w:rPr>
        <w:t> </w:t>
      </w:r>
      <w:r w:rsidR="00533416" w:rsidRPr="00373B0A">
        <w:rPr>
          <w:lang w:val="es-ES"/>
        </w:rPr>
        <w:t>13.d.ii</w:t>
      </w:r>
      <w:r w:rsidR="000E5B15" w:rsidRPr="00373B0A">
        <w:rPr>
          <w:lang w:val="es-ES"/>
        </w:rPr>
        <w:t>)</w:t>
      </w:r>
      <w:r w:rsidRPr="00373B0A">
        <w:rPr>
          <w:lang w:val="es-ES"/>
        </w:rPr>
        <w:t>,</w:t>
      </w:r>
      <w:r w:rsidR="000E5B15" w:rsidRPr="00373B0A">
        <w:rPr>
          <w:lang w:val="es-ES"/>
        </w:rPr>
        <w:t xml:space="preserve"> </w:t>
      </w:r>
      <w:r w:rsidRPr="00373B0A">
        <w:rPr>
          <w:lang w:val="es-ES"/>
        </w:rPr>
        <w:t xml:space="preserve">haciendo participar a las comunidades </w:t>
      </w:r>
      <w:r w:rsidR="0067404D">
        <w:rPr>
          <w:lang w:val="es-ES"/>
        </w:rPr>
        <w:t xml:space="preserve">en </w:t>
      </w:r>
      <w:r w:rsidRPr="00373B0A">
        <w:rPr>
          <w:lang w:val="es-ES"/>
        </w:rPr>
        <w:t xml:space="preserve">los asuntos relacionados con su PCI y recabando el consentimiento de éstas </w:t>
      </w:r>
      <w:r w:rsidR="0067404D">
        <w:rPr>
          <w:lang w:val="es-ES"/>
        </w:rPr>
        <w:t>para</w:t>
      </w:r>
      <w:r w:rsidRPr="00373B0A">
        <w:rPr>
          <w:lang w:val="es-ES"/>
        </w:rPr>
        <w:t xml:space="preserve"> esos asuntos</w:t>
      </w:r>
      <w:r w:rsidR="000E5B15" w:rsidRPr="00373B0A">
        <w:rPr>
          <w:lang w:val="es-ES"/>
        </w:rPr>
        <w:t xml:space="preserve"> (</w:t>
      </w:r>
      <w:r w:rsidR="00715B7E" w:rsidRPr="00373B0A">
        <w:rPr>
          <w:lang w:val="es-ES"/>
        </w:rPr>
        <w:t>Artículo</w:t>
      </w:r>
      <w:r w:rsidR="00DD01F3" w:rsidRPr="00373B0A">
        <w:rPr>
          <w:lang w:val="es-ES"/>
        </w:rPr>
        <w:t> </w:t>
      </w:r>
      <w:r w:rsidR="00533416" w:rsidRPr="00373B0A">
        <w:rPr>
          <w:lang w:val="es-ES"/>
        </w:rPr>
        <w:t>15 y</w:t>
      </w:r>
      <w:r w:rsidR="000E5B15" w:rsidRPr="00373B0A">
        <w:rPr>
          <w:lang w:val="es-ES"/>
        </w:rPr>
        <w:t xml:space="preserve"> </w:t>
      </w:r>
      <w:r w:rsidR="00034B82" w:rsidRPr="00373B0A">
        <w:rPr>
          <w:lang w:val="es-ES"/>
        </w:rPr>
        <w:t>DO</w:t>
      </w:r>
      <w:r w:rsidR="000E5B15" w:rsidRPr="00373B0A">
        <w:rPr>
          <w:lang w:val="es-ES"/>
        </w:rPr>
        <w:t xml:space="preserve"> 79</w:t>
      </w:r>
      <w:r w:rsidR="00533416" w:rsidRPr="00373B0A">
        <w:rPr>
          <w:lang w:val="es-ES"/>
        </w:rPr>
        <w:t xml:space="preserve"> a </w:t>
      </w:r>
      <w:r w:rsidR="00D2390F" w:rsidRPr="00373B0A">
        <w:rPr>
          <w:lang w:val="es-ES"/>
        </w:rPr>
        <w:t>89).</w:t>
      </w:r>
    </w:p>
    <w:p w:rsidR="000E5B15" w:rsidRPr="00373B0A" w:rsidRDefault="00124D72" w:rsidP="00952DBE">
      <w:pPr>
        <w:pStyle w:val="Txtpucegras"/>
        <w:rPr>
          <w:lang w:val="es-ES"/>
        </w:rPr>
      </w:pPr>
      <w:r w:rsidRPr="00373B0A">
        <w:rPr>
          <w:i/>
          <w:lang w:val="es-ES"/>
        </w:rPr>
        <w:t>Crear o designar órganos o instituciones competentes</w:t>
      </w:r>
      <w:r w:rsidRPr="00373B0A">
        <w:rPr>
          <w:lang w:val="es-ES"/>
        </w:rPr>
        <w:t xml:space="preserve"> que puedan contribuir a la salvaguardia del PCI, el fortalecimiento de capacidades </w:t>
      </w:r>
      <w:r w:rsidR="000E5B15" w:rsidRPr="00373B0A">
        <w:rPr>
          <w:lang w:val="es-ES"/>
        </w:rPr>
        <w:t>(</w:t>
      </w:r>
      <w:r w:rsidR="00715B7E" w:rsidRPr="00373B0A">
        <w:rPr>
          <w:lang w:val="es-ES"/>
        </w:rPr>
        <w:t>Artículo</w:t>
      </w:r>
      <w:r w:rsidR="00DD01F3" w:rsidRPr="00373B0A">
        <w:rPr>
          <w:lang w:val="es-ES"/>
        </w:rPr>
        <w:t> </w:t>
      </w:r>
      <w:r w:rsidR="00533416" w:rsidRPr="00373B0A">
        <w:rPr>
          <w:lang w:val="es-ES"/>
        </w:rPr>
        <w:t>14 y</w:t>
      </w:r>
      <w:r w:rsidR="000E5B15" w:rsidRPr="00373B0A">
        <w:rPr>
          <w:lang w:val="es-ES"/>
        </w:rPr>
        <w:t xml:space="preserve"> </w:t>
      </w:r>
      <w:r w:rsidR="00034B82" w:rsidRPr="00373B0A">
        <w:rPr>
          <w:lang w:val="es-ES"/>
        </w:rPr>
        <w:t>DO</w:t>
      </w:r>
      <w:r w:rsidR="000E5B15" w:rsidRPr="00373B0A">
        <w:rPr>
          <w:lang w:val="es-ES"/>
        </w:rPr>
        <w:t xml:space="preserve"> 107), </w:t>
      </w:r>
      <w:r w:rsidRPr="00373B0A">
        <w:rPr>
          <w:lang w:val="es-ES"/>
        </w:rPr>
        <w:t>la confección de inventarios</w:t>
      </w:r>
      <w:r w:rsidR="000E5B15" w:rsidRPr="00373B0A">
        <w:rPr>
          <w:lang w:val="es-ES"/>
        </w:rPr>
        <w:t xml:space="preserve"> (</w:t>
      </w:r>
      <w:r w:rsidR="00715B7E" w:rsidRPr="00373B0A">
        <w:rPr>
          <w:lang w:val="es-ES"/>
        </w:rPr>
        <w:t>Artículo</w:t>
      </w:r>
      <w:r w:rsidR="00DD01F3" w:rsidRPr="00373B0A">
        <w:rPr>
          <w:lang w:val="es-ES"/>
        </w:rPr>
        <w:t> </w:t>
      </w:r>
      <w:r w:rsidR="00533416" w:rsidRPr="00373B0A">
        <w:rPr>
          <w:lang w:val="es-ES"/>
        </w:rPr>
        <w:t>13.b</w:t>
      </w:r>
      <w:r w:rsidR="000E5B15" w:rsidRPr="00373B0A">
        <w:rPr>
          <w:lang w:val="es-ES"/>
        </w:rPr>
        <w:t xml:space="preserve"> </w:t>
      </w:r>
      <w:r w:rsidR="00533416" w:rsidRPr="00373B0A">
        <w:rPr>
          <w:lang w:val="es-ES"/>
        </w:rPr>
        <w:t>y</w:t>
      </w:r>
      <w:r w:rsidR="0067404D">
        <w:rPr>
          <w:lang w:val="es-ES"/>
        </w:rPr>
        <w:t xml:space="preserve"> 13.d.</w:t>
      </w:r>
      <w:r w:rsidR="000E5B15" w:rsidRPr="00373B0A">
        <w:rPr>
          <w:lang w:val="es-ES"/>
        </w:rPr>
        <w:t xml:space="preserve">i); </w:t>
      </w:r>
      <w:r w:rsidR="00034B82" w:rsidRPr="00373B0A">
        <w:rPr>
          <w:lang w:val="es-ES"/>
        </w:rPr>
        <w:t>DO</w:t>
      </w:r>
      <w:r w:rsidR="00533416" w:rsidRPr="00373B0A">
        <w:rPr>
          <w:lang w:val="es-ES"/>
        </w:rPr>
        <w:t xml:space="preserve"> 80, </w:t>
      </w:r>
      <w:r w:rsidR="000E5B15" w:rsidRPr="00373B0A">
        <w:rPr>
          <w:lang w:val="es-ES"/>
        </w:rPr>
        <w:t>82</w:t>
      </w:r>
      <w:r w:rsidR="00533416" w:rsidRPr="00373B0A">
        <w:rPr>
          <w:lang w:val="es-ES"/>
        </w:rPr>
        <w:t xml:space="preserve"> y </w:t>
      </w:r>
      <w:r w:rsidR="000E5B15" w:rsidRPr="00373B0A">
        <w:rPr>
          <w:lang w:val="es-ES"/>
        </w:rPr>
        <w:t xml:space="preserve">83), </w:t>
      </w:r>
      <w:r w:rsidRPr="00373B0A">
        <w:rPr>
          <w:lang w:val="es-ES"/>
        </w:rPr>
        <w:t>los trabajos de</w:t>
      </w:r>
      <w:r w:rsidR="008C0D26" w:rsidRPr="00373B0A">
        <w:rPr>
          <w:lang w:val="es-ES"/>
        </w:rPr>
        <w:t xml:space="preserve"> </w:t>
      </w:r>
      <w:r w:rsidRPr="00373B0A">
        <w:rPr>
          <w:lang w:val="es-ES"/>
        </w:rPr>
        <w:t>investigación</w:t>
      </w:r>
      <w:r w:rsidR="000E5B15" w:rsidRPr="00373B0A">
        <w:rPr>
          <w:lang w:val="es-ES"/>
        </w:rPr>
        <w:t xml:space="preserve"> (</w:t>
      </w:r>
      <w:r w:rsidR="00715B7E" w:rsidRPr="00373B0A">
        <w:rPr>
          <w:lang w:val="es-ES"/>
        </w:rPr>
        <w:t>Artículo</w:t>
      </w:r>
      <w:r w:rsidR="00DD01F3" w:rsidRPr="00373B0A">
        <w:rPr>
          <w:lang w:val="es-ES"/>
        </w:rPr>
        <w:t> </w:t>
      </w:r>
      <w:r w:rsidR="00533416" w:rsidRPr="00373B0A">
        <w:rPr>
          <w:lang w:val="es-ES"/>
        </w:rPr>
        <w:t>13.c y</w:t>
      </w:r>
      <w:r w:rsidR="000E5B15" w:rsidRPr="00373B0A">
        <w:rPr>
          <w:lang w:val="es-ES"/>
        </w:rPr>
        <w:t xml:space="preserve"> </w:t>
      </w:r>
      <w:r w:rsidR="00034B82" w:rsidRPr="00373B0A">
        <w:rPr>
          <w:lang w:val="es-ES"/>
        </w:rPr>
        <w:t>DO</w:t>
      </w:r>
      <w:r w:rsidR="00533416" w:rsidRPr="00373B0A">
        <w:rPr>
          <w:lang w:val="es-ES"/>
        </w:rPr>
        <w:t xml:space="preserve"> 105.b, 105.c</w:t>
      </w:r>
      <w:r w:rsidR="000E5B15" w:rsidRPr="00373B0A">
        <w:rPr>
          <w:lang w:val="es-ES"/>
        </w:rPr>
        <w:t xml:space="preserve"> </w:t>
      </w:r>
      <w:r w:rsidR="00533416" w:rsidRPr="00373B0A">
        <w:rPr>
          <w:lang w:val="es-ES"/>
        </w:rPr>
        <w:t>y 107.k</w:t>
      </w:r>
      <w:r w:rsidR="000E5B15" w:rsidRPr="00373B0A">
        <w:rPr>
          <w:lang w:val="es-ES"/>
        </w:rPr>
        <w:t xml:space="preserve">), </w:t>
      </w:r>
      <w:r w:rsidRPr="00373B0A">
        <w:rPr>
          <w:lang w:val="es-ES"/>
        </w:rPr>
        <w:t>la labor de documentación</w:t>
      </w:r>
      <w:r w:rsidR="000E5B15" w:rsidRPr="00373B0A">
        <w:rPr>
          <w:lang w:val="es-ES"/>
        </w:rPr>
        <w:t xml:space="preserve"> (</w:t>
      </w:r>
      <w:r w:rsidR="00715B7E" w:rsidRPr="00373B0A">
        <w:rPr>
          <w:lang w:val="es-ES"/>
        </w:rPr>
        <w:t>Artículo</w:t>
      </w:r>
      <w:r w:rsidR="00DD01F3" w:rsidRPr="00373B0A">
        <w:rPr>
          <w:lang w:val="es-ES"/>
        </w:rPr>
        <w:t> </w:t>
      </w:r>
      <w:r w:rsidR="00533416" w:rsidRPr="00373B0A">
        <w:rPr>
          <w:lang w:val="es-ES"/>
        </w:rPr>
        <w:t>13.d.iii y</w:t>
      </w:r>
      <w:r w:rsidR="000E5B15" w:rsidRPr="00373B0A">
        <w:rPr>
          <w:lang w:val="es-ES"/>
        </w:rPr>
        <w:t xml:space="preserve"> </w:t>
      </w:r>
      <w:r w:rsidR="00034B82" w:rsidRPr="00373B0A">
        <w:rPr>
          <w:lang w:val="es-ES"/>
        </w:rPr>
        <w:t>DO</w:t>
      </w:r>
      <w:r w:rsidR="000E5B15" w:rsidRPr="00373B0A">
        <w:rPr>
          <w:lang w:val="es-ES"/>
        </w:rPr>
        <w:t xml:space="preserve"> 85) </w:t>
      </w:r>
      <w:r w:rsidRPr="00373B0A">
        <w:rPr>
          <w:lang w:val="es-ES"/>
        </w:rPr>
        <w:t xml:space="preserve">y las actividades de sensibilización </w:t>
      </w:r>
      <w:r w:rsidR="000E5B15" w:rsidRPr="00373B0A">
        <w:rPr>
          <w:lang w:val="es-ES"/>
        </w:rPr>
        <w:t>(</w:t>
      </w:r>
      <w:r w:rsidR="00715B7E" w:rsidRPr="00373B0A">
        <w:rPr>
          <w:lang w:val="es-ES"/>
        </w:rPr>
        <w:t>Artículos</w:t>
      </w:r>
      <w:r w:rsidR="00533416" w:rsidRPr="00373B0A">
        <w:rPr>
          <w:lang w:val="es-ES"/>
        </w:rPr>
        <w:t xml:space="preserve"> 1.b, </w:t>
      </w:r>
      <w:r w:rsidR="00D2390F" w:rsidRPr="00373B0A">
        <w:rPr>
          <w:lang w:val="es-ES"/>
        </w:rPr>
        <w:t xml:space="preserve">1.c, </w:t>
      </w:r>
      <w:r w:rsidR="00533416" w:rsidRPr="00373B0A">
        <w:rPr>
          <w:lang w:val="es-ES"/>
        </w:rPr>
        <w:t>13.d.iii y</w:t>
      </w:r>
      <w:r w:rsidR="00D2390F" w:rsidRPr="00373B0A">
        <w:rPr>
          <w:lang w:val="es-ES"/>
        </w:rPr>
        <w:t xml:space="preserve"> 14.a, y</w:t>
      </w:r>
      <w:r w:rsidR="000E5B15" w:rsidRPr="00373B0A">
        <w:rPr>
          <w:lang w:val="es-ES"/>
        </w:rPr>
        <w:t xml:space="preserve"> </w:t>
      </w:r>
      <w:r w:rsidR="00034B82" w:rsidRPr="00373B0A">
        <w:rPr>
          <w:lang w:val="es-ES"/>
        </w:rPr>
        <w:t>DO</w:t>
      </w:r>
      <w:r w:rsidR="000E5B15" w:rsidRPr="00373B0A">
        <w:rPr>
          <w:lang w:val="es-ES"/>
        </w:rPr>
        <w:t xml:space="preserve"> 85, 105 </w:t>
      </w:r>
      <w:r w:rsidR="00D2390F" w:rsidRPr="00373B0A">
        <w:rPr>
          <w:lang w:val="es-ES"/>
        </w:rPr>
        <w:t>y 107.b).</w:t>
      </w:r>
    </w:p>
    <w:p w:rsidR="000E5B15" w:rsidRPr="00373B0A" w:rsidRDefault="007D2B60">
      <w:pPr>
        <w:pStyle w:val="Txtpucegras"/>
        <w:rPr>
          <w:lang w:val="es-ES"/>
        </w:rPr>
      </w:pPr>
      <w:r w:rsidRPr="00373B0A">
        <w:rPr>
          <w:i/>
          <w:lang w:val="es-ES"/>
        </w:rPr>
        <w:t>Fomentar la coordinación</w:t>
      </w:r>
      <w:r w:rsidRPr="00373B0A">
        <w:rPr>
          <w:lang w:val="es-ES"/>
        </w:rPr>
        <w:t xml:space="preserve"> entre la totalidad de las diferentes partes interesadas que intervienen en la salvaguardia y promoción del PCI a nivel nacional </w:t>
      </w:r>
      <w:r w:rsidR="000E5B15" w:rsidRPr="00373B0A">
        <w:rPr>
          <w:lang w:val="es-ES"/>
        </w:rPr>
        <w:t>(</w:t>
      </w:r>
      <w:r w:rsidR="00034B82" w:rsidRPr="00373B0A">
        <w:rPr>
          <w:lang w:val="es-ES"/>
        </w:rPr>
        <w:t>DO</w:t>
      </w:r>
      <w:r w:rsidR="000E5B15" w:rsidRPr="00373B0A">
        <w:rPr>
          <w:lang w:val="es-ES"/>
        </w:rPr>
        <w:t xml:space="preserve"> 79 </w:t>
      </w:r>
      <w:r w:rsidR="00D2390F" w:rsidRPr="00373B0A">
        <w:rPr>
          <w:lang w:val="es-ES"/>
        </w:rPr>
        <w:t>y</w:t>
      </w:r>
      <w:r w:rsidR="000E5B15" w:rsidRPr="00373B0A">
        <w:rPr>
          <w:lang w:val="es-ES"/>
        </w:rPr>
        <w:t xml:space="preserve"> 83) </w:t>
      </w:r>
      <w:r w:rsidRPr="00373B0A">
        <w:rPr>
          <w:lang w:val="es-ES"/>
        </w:rPr>
        <w:t>y facilitar la cooperación a nivel internacional</w:t>
      </w:r>
      <w:r w:rsidR="000E5B15" w:rsidRPr="00373B0A">
        <w:rPr>
          <w:lang w:val="es-ES"/>
        </w:rPr>
        <w:t xml:space="preserve"> (</w:t>
      </w:r>
      <w:r w:rsidR="00715B7E" w:rsidRPr="00373B0A">
        <w:rPr>
          <w:lang w:val="es-ES"/>
        </w:rPr>
        <w:t>Artículo</w:t>
      </w:r>
      <w:r w:rsidR="00DD01F3" w:rsidRPr="00373B0A">
        <w:rPr>
          <w:lang w:val="es-ES"/>
        </w:rPr>
        <w:t> </w:t>
      </w:r>
      <w:r w:rsidR="00D2390F" w:rsidRPr="00373B0A">
        <w:rPr>
          <w:lang w:val="es-ES"/>
        </w:rPr>
        <w:t>19 y</w:t>
      </w:r>
      <w:r w:rsidR="000E5B15" w:rsidRPr="00373B0A">
        <w:rPr>
          <w:lang w:val="es-ES"/>
        </w:rPr>
        <w:t xml:space="preserve"> </w:t>
      </w:r>
      <w:r w:rsidR="00034B82" w:rsidRPr="00373B0A">
        <w:rPr>
          <w:lang w:val="es-ES"/>
        </w:rPr>
        <w:t>DO</w:t>
      </w:r>
      <w:r w:rsidR="000E5B15" w:rsidRPr="00373B0A">
        <w:rPr>
          <w:lang w:val="es-ES"/>
        </w:rPr>
        <w:t xml:space="preserve"> 86 </w:t>
      </w:r>
      <w:r w:rsidR="00D2390F" w:rsidRPr="00373B0A">
        <w:rPr>
          <w:lang w:val="es-ES"/>
        </w:rPr>
        <w:t>y</w:t>
      </w:r>
      <w:r w:rsidR="000E5B15" w:rsidRPr="00373B0A">
        <w:rPr>
          <w:lang w:val="es-ES"/>
        </w:rPr>
        <w:t xml:space="preserve"> 88).</w:t>
      </w:r>
    </w:p>
    <w:p w:rsidR="000E5B15" w:rsidRPr="00373B0A" w:rsidRDefault="00865E54" w:rsidP="002D5639">
      <w:pPr>
        <w:pStyle w:val="Texte1"/>
        <w:rPr>
          <w:lang w:val="es-ES"/>
        </w:rPr>
      </w:pPr>
      <w:r w:rsidRPr="00373B0A">
        <w:rPr>
          <w:lang w:val="es-ES"/>
        </w:rPr>
        <w:t>Mucho antes de que la Convención entrara en vigor, algunos Estados Partes ya habían establecido sistemas jurídicos y administrativos para contr</w:t>
      </w:r>
      <w:r w:rsidR="005869C1">
        <w:rPr>
          <w:lang w:val="es-ES"/>
        </w:rPr>
        <w:t>ibuir a la salvaguardia del PCI</w:t>
      </w:r>
      <w:r w:rsidRPr="00373B0A">
        <w:rPr>
          <w:lang w:val="es-ES"/>
        </w:rPr>
        <w:t xml:space="preserve"> que venía</w:t>
      </w:r>
      <w:r w:rsidR="005869C1">
        <w:rPr>
          <w:lang w:val="es-ES"/>
        </w:rPr>
        <w:t>n</w:t>
      </w:r>
      <w:r w:rsidRPr="00373B0A">
        <w:rPr>
          <w:lang w:val="es-ES"/>
        </w:rPr>
        <w:t xml:space="preserve"> funcionando desde varios decenios atrás. En Japón, la promulgación de la Ley para la protección de los bienes culturales permitió crear, ya desde 1950, un sistema para preservar el PCI a nivel nacional. En la República de Corea, la adopción de la Ley para la protección del patrimonio cultural sentó, desde 1962, las bases para la puesta en marcha del programa Tesoros Humanos Vivos cuyo objeto es reconocer el valor y la importancia del PCI y transmitirlo</w:t>
      </w:r>
      <w:r w:rsidR="000E5B15" w:rsidRPr="00373B0A">
        <w:rPr>
          <w:lang w:val="es-ES"/>
        </w:rPr>
        <w:t>.</w:t>
      </w:r>
      <w:r w:rsidR="00806058" w:rsidRPr="00373B0A">
        <w:rPr>
          <w:rStyle w:val="FootnoteReference"/>
          <w:sz w:val="20"/>
          <w:szCs w:val="20"/>
          <w:lang w:val="es-ES"/>
        </w:rPr>
        <w:footnoteReference w:id="3"/>
      </w:r>
    </w:p>
    <w:p w:rsidR="000E5B15" w:rsidRPr="00373B0A" w:rsidRDefault="00865E54" w:rsidP="002D5639">
      <w:pPr>
        <w:pStyle w:val="Texte1"/>
        <w:rPr>
          <w:lang w:val="es-ES"/>
        </w:rPr>
      </w:pPr>
      <w:r w:rsidRPr="00373B0A">
        <w:rPr>
          <w:lang w:val="es-ES"/>
        </w:rPr>
        <w:t>Las políticas, acuerdos, leyes e instituciones existentes en los diferentes países se pueden adaptar o ampliar, según proceda, para coadyuvar a la aplicación de la Convención, al tiempo que siguen desempeñando sus funciones primigenias</w:t>
      </w:r>
      <w:r w:rsidR="000E5B15" w:rsidRPr="00373B0A">
        <w:rPr>
          <w:lang w:val="es-ES"/>
        </w:rPr>
        <w:t>.</w:t>
      </w:r>
    </w:p>
    <w:p w:rsidR="000E5B15" w:rsidRPr="00373B0A" w:rsidRDefault="00955176" w:rsidP="00C82E38">
      <w:pPr>
        <w:pStyle w:val="Titcoul"/>
        <w:rPr>
          <w:lang w:val="es-ES"/>
        </w:rPr>
      </w:pPr>
      <w:bookmarkStart w:id="7" w:name="_Toc241229731"/>
      <w:bookmarkStart w:id="8" w:name="_Toc241229935"/>
      <w:bookmarkStart w:id="9" w:name="_Toc242165629"/>
      <w:r w:rsidRPr="00373B0A">
        <w:rPr>
          <w:lang w:val="es-ES"/>
        </w:rPr>
        <w:t>10</w:t>
      </w:r>
      <w:r w:rsidR="000E5B15" w:rsidRPr="00373B0A">
        <w:rPr>
          <w:lang w:val="es-ES"/>
        </w:rPr>
        <w:t>.2</w:t>
      </w:r>
      <w:r w:rsidR="001E0D28" w:rsidRPr="00373B0A">
        <w:rPr>
          <w:lang w:val="es-ES"/>
        </w:rPr>
        <w:tab/>
      </w:r>
      <w:r w:rsidR="00865E54" w:rsidRPr="00373B0A">
        <w:rPr>
          <w:lang w:val="es-ES"/>
        </w:rPr>
        <w:t xml:space="preserve">un sistema </w:t>
      </w:r>
      <w:r w:rsidR="000E5B15" w:rsidRPr="00373B0A">
        <w:rPr>
          <w:lang w:val="es-ES"/>
        </w:rPr>
        <w:t>MULTI</w:t>
      </w:r>
      <w:bookmarkEnd w:id="7"/>
      <w:bookmarkEnd w:id="8"/>
      <w:bookmarkEnd w:id="9"/>
      <w:r w:rsidR="00865E54" w:rsidRPr="00373B0A">
        <w:rPr>
          <w:lang w:val="es-ES"/>
        </w:rPr>
        <w:t>dimensional</w:t>
      </w:r>
    </w:p>
    <w:p w:rsidR="000E5B15" w:rsidRPr="00373B0A" w:rsidRDefault="00521548" w:rsidP="002D5639">
      <w:pPr>
        <w:pStyle w:val="Texte1"/>
        <w:rPr>
          <w:lang w:val="es-ES"/>
        </w:rPr>
      </w:pPr>
      <w:r w:rsidRPr="00373B0A">
        <w:rPr>
          <w:noProof/>
          <w:lang w:eastAsia="en-GB"/>
        </w:rPr>
        <w:drawing>
          <wp:anchor distT="0" distB="0" distL="114300" distR="114300" simplePos="0" relativeHeight="251958784" behindDoc="0" locked="1" layoutInCell="1" allowOverlap="0">
            <wp:simplePos x="0" y="0"/>
            <wp:positionH relativeFrom="column">
              <wp:posOffset>635</wp:posOffset>
            </wp:positionH>
            <wp:positionV relativeFrom="paragraph">
              <wp:posOffset>1052195</wp:posOffset>
            </wp:positionV>
            <wp:extent cx="281305" cy="357505"/>
            <wp:effectExtent l="19050" t="0" r="4445" b="0"/>
            <wp:wrapThrough wrapText="bothSides">
              <wp:wrapPolygon edited="0">
                <wp:start x="-1463" y="0"/>
                <wp:lineTo x="-1463" y="20718"/>
                <wp:lineTo x="21941" y="20718"/>
                <wp:lineTo x="21941" y="0"/>
                <wp:lineTo x="-1463" y="0"/>
              </wp:wrapPolygon>
            </wp:wrapThrough>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305" cy="357505"/>
                    </a:xfrm>
                    <a:prstGeom prst="rect">
                      <a:avLst/>
                    </a:prstGeom>
                  </pic:spPr>
                </pic:pic>
              </a:graphicData>
            </a:graphic>
          </wp:anchor>
        </w:drawing>
      </w:r>
      <w:r w:rsidR="00276B06" w:rsidRPr="00373B0A">
        <w:rPr>
          <w:lang w:val="es-ES"/>
        </w:rPr>
        <w:t>Un sistema multidimensional (similar en muchos aspectos al concebido por muchos Estados para el patrimonio cultural material) puede proporcionar el amplio marco necesario para salvaguardar el PCI en el plano nacional. Ese sistema puede consistir, por ejemplo, en la adopción de medidas conexas</w:t>
      </w:r>
      <w:r w:rsidR="008C0D26" w:rsidRPr="00373B0A">
        <w:rPr>
          <w:lang w:val="es-ES"/>
        </w:rPr>
        <w:t xml:space="preserve"> </w:t>
      </w:r>
      <w:r w:rsidR="00276B06" w:rsidRPr="00373B0A">
        <w:rPr>
          <w:lang w:val="es-ES"/>
        </w:rPr>
        <w:t xml:space="preserve">a nivel local, provincial y nacional. Un alto nivel de descentralización </w:t>
      </w:r>
      <w:r w:rsidR="005869C1">
        <w:rPr>
          <w:lang w:val="es-ES"/>
        </w:rPr>
        <w:t>administrativa</w:t>
      </w:r>
      <w:r w:rsidR="00276B06" w:rsidRPr="00373B0A">
        <w:rPr>
          <w:lang w:val="es-ES"/>
        </w:rPr>
        <w:t xml:space="preserve"> parece ser que permite lograr, con frecuencia, un mejor funcionamiento de las actividades encaminadas a salvaguardar el PCI</w:t>
      </w:r>
      <w:r w:rsidR="000E5B15" w:rsidRPr="00373B0A">
        <w:rPr>
          <w:lang w:val="es-ES"/>
        </w:rPr>
        <w:t>.</w:t>
      </w:r>
    </w:p>
    <w:p w:rsidR="000E5B15" w:rsidRPr="00373B0A" w:rsidRDefault="00715B7E" w:rsidP="002D5639">
      <w:pPr>
        <w:pStyle w:val="Texte1"/>
        <w:rPr>
          <w:lang w:val="es-ES"/>
        </w:rPr>
      </w:pPr>
      <w:r w:rsidRPr="00373B0A">
        <w:rPr>
          <w:lang w:val="es-ES"/>
        </w:rPr>
        <w:t>E</w:t>
      </w:r>
      <w:r w:rsidR="00E000F2" w:rsidRPr="00373B0A">
        <w:rPr>
          <w:lang w:val="es-ES"/>
        </w:rPr>
        <w:t>n el E</w:t>
      </w:r>
      <w:r w:rsidRPr="00373B0A">
        <w:rPr>
          <w:lang w:val="es-ES"/>
        </w:rPr>
        <w:t>studio de Caso</w:t>
      </w:r>
      <w:r w:rsidR="005869C1">
        <w:rPr>
          <w:lang w:val="es-ES"/>
        </w:rPr>
        <w:t xml:space="preserve"> 1</w:t>
      </w:r>
      <w:r w:rsidR="000E5B15" w:rsidRPr="00373B0A">
        <w:rPr>
          <w:lang w:val="es-ES"/>
        </w:rPr>
        <w:t xml:space="preserve"> </w:t>
      </w:r>
      <w:r w:rsidR="00D523B7" w:rsidRPr="00373B0A">
        <w:rPr>
          <w:lang w:val="es-ES"/>
        </w:rPr>
        <w:t xml:space="preserve">se examina el elemento del PCI denominado “La procesión de los </w:t>
      </w:r>
      <w:proofErr w:type="spellStart"/>
      <w:r w:rsidR="00D523B7" w:rsidRPr="00373B0A">
        <w:rPr>
          <w:i/>
          <w:lang w:val="es-ES"/>
        </w:rPr>
        <w:t>yamahoko</w:t>
      </w:r>
      <w:proofErr w:type="spellEnd"/>
      <w:r w:rsidR="00D523B7" w:rsidRPr="00373B0A">
        <w:rPr>
          <w:lang w:val="es-ES"/>
        </w:rPr>
        <w:t xml:space="preserve">, carros alegóricos del Festival de </w:t>
      </w:r>
      <w:proofErr w:type="spellStart"/>
      <w:r w:rsidR="00D523B7" w:rsidRPr="00373B0A">
        <w:rPr>
          <w:lang w:val="es-ES"/>
        </w:rPr>
        <w:t>Gion</w:t>
      </w:r>
      <w:proofErr w:type="spellEnd"/>
      <w:r w:rsidR="00D523B7" w:rsidRPr="00373B0A">
        <w:rPr>
          <w:lang w:val="es-ES"/>
        </w:rPr>
        <w:t xml:space="preserve"> de la ciudad de </w:t>
      </w:r>
      <w:proofErr w:type="spellStart"/>
      <w:r w:rsidR="00D523B7" w:rsidRPr="00373B0A">
        <w:rPr>
          <w:lang w:val="es-ES"/>
        </w:rPr>
        <w:t>Kyoto</w:t>
      </w:r>
      <w:proofErr w:type="spellEnd"/>
      <w:r w:rsidR="00D523B7" w:rsidRPr="00373B0A">
        <w:rPr>
          <w:lang w:val="es-ES"/>
        </w:rPr>
        <w:t>” (Japón).</w:t>
      </w:r>
      <w:r w:rsidR="008C0D26" w:rsidRPr="00373B0A">
        <w:rPr>
          <w:lang w:val="es-ES"/>
        </w:rPr>
        <w:t xml:space="preserve"> </w:t>
      </w:r>
      <w:r w:rsidR="00370856" w:rsidRPr="00373B0A">
        <w:rPr>
          <w:lang w:val="es-ES"/>
        </w:rPr>
        <w:t xml:space="preserve">Este estudio de caso ofrece un buen ejemplo de la estrecha interrelación existente entre las </w:t>
      </w:r>
      <w:r w:rsidR="00370856" w:rsidRPr="00373B0A">
        <w:rPr>
          <w:lang w:val="es-ES"/>
        </w:rPr>
        <w:lastRenderedPageBreak/>
        <w:t xml:space="preserve">diferentes partes interesadas que intervienen en un sistema de salvaguardia. Una organización de la comunidad local se encarga de coordinar la formación y participación de </w:t>
      </w:r>
      <w:r w:rsidR="005869C1">
        <w:rPr>
          <w:lang w:val="es-ES"/>
        </w:rPr>
        <w:t xml:space="preserve">los </w:t>
      </w:r>
      <w:r w:rsidR="00370856" w:rsidRPr="00373B0A">
        <w:rPr>
          <w:lang w:val="es-ES"/>
        </w:rPr>
        <w:t xml:space="preserve">que practican este elemento del PCI, así como de </w:t>
      </w:r>
      <w:r w:rsidR="005869C1">
        <w:rPr>
          <w:lang w:val="es-ES"/>
        </w:rPr>
        <w:t xml:space="preserve">efectuar el mantenimiento de los carros y </w:t>
      </w:r>
      <w:r w:rsidR="00370856" w:rsidRPr="00373B0A">
        <w:rPr>
          <w:lang w:val="es-ES"/>
        </w:rPr>
        <w:t xml:space="preserve">su almacenamiento. La procesión se ha incluido en inventarios municipales, provinciales y nacionales del PCI, y las autoridades gubernamentales de esas tres instancias ofrecen </w:t>
      </w:r>
      <w:r w:rsidR="005869C1">
        <w:rPr>
          <w:lang w:val="es-ES"/>
        </w:rPr>
        <w:t xml:space="preserve">un </w:t>
      </w:r>
      <w:r w:rsidR="00370856" w:rsidRPr="00373B0A">
        <w:rPr>
          <w:lang w:val="es-ES"/>
        </w:rPr>
        <w:t xml:space="preserve">apoyo logístico y legislativo para perpetuarla. Las empresas de </w:t>
      </w:r>
      <w:proofErr w:type="spellStart"/>
      <w:r w:rsidR="00370856" w:rsidRPr="00373B0A">
        <w:rPr>
          <w:lang w:val="es-ES"/>
        </w:rPr>
        <w:t>Kyoto</w:t>
      </w:r>
      <w:proofErr w:type="spellEnd"/>
      <w:r w:rsidR="00370856" w:rsidRPr="00373B0A">
        <w:rPr>
          <w:lang w:val="es-ES"/>
        </w:rPr>
        <w:t xml:space="preserve"> contribuyen a la conservación y</w:t>
      </w:r>
      <w:r w:rsidR="008C0D26" w:rsidRPr="00373B0A">
        <w:rPr>
          <w:lang w:val="es-ES"/>
        </w:rPr>
        <w:t xml:space="preserve"> </w:t>
      </w:r>
      <w:r w:rsidR="005869C1">
        <w:rPr>
          <w:lang w:val="es-ES"/>
        </w:rPr>
        <w:t xml:space="preserve">el </w:t>
      </w:r>
      <w:r w:rsidR="00370856" w:rsidRPr="00373B0A">
        <w:rPr>
          <w:lang w:val="es-ES"/>
        </w:rPr>
        <w:t xml:space="preserve">mantenimiento de los carros. A nivel internacional, cabe señalar que la ceremonia de los </w:t>
      </w:r>
      <w:proofErr w:type="spellStart"/>
      <w:r w:rsidR="00370856" w:rsidRPr="00373B0A">
        <w:rPr>
          <w:i/>
          <w:lang w:val="es-ES"/>
        </w:rPr>
        <w:t>yamahoko</w:t>
      </w:r>
      <w:proofErr w:type="spellEnd"/>
      <w:r w:rsidR="00370856" w:rsidRPr="00373B0A">
        <w:rPr>
          <w:lang w:val="es-ES"/>
        </w:rPr>
        <w:t xml:space="preserve"> se inscribió el año 2009 en la Lista representativa del Patrimonio Cultural Inmaterial de la Humanidad (LR) prevista en la Convención. Con esa inscripción, el Japón contrajo la obligación de adoptar medidas específicas para salvaguardar la ceremonia.</w:t>
      </w:r>
    </w:p>
    <w:p w:rsidR="000E5B15" w:rsidRPr="00373B0A" w:rsidRDefault="00370856" w:rsidP="002D5639">
      <w:pPr>
        <w:pStyle w:val="Texte1"/>
        <w:rPr>
          <w:lang w:val="es-ES"/>
        </w:rPr>
      </w:pPr>
      <w:r w:rsidRPr="00373B0A">
        <w:rPr>
          <w:lang w:val="es-ES"/>
        </w:rPr>
        <w:t>Los Estados Partes deben garantizar que las actividades emprendidas a nivel local, provincial y nacional se lleven a cabo conjunta y eficazmente, a fin de crear marcos propicios que permitan satisfacer las necesidades de salvaguardia del PCI y de las comunidades interesadas. Asimismo, los Estados Partes deben velar por que la labor de salvaguardia realizada a nivel nacional se beneficie del intercambio de competencias y de la cooperación internacional</w:t>
      </w:r>
      <w:r w:rsidR="000E5B15" w:rsidRPr="00373B0A">
        <w:rPr>
          <w:lang w:val="es-ES"/>
        </w:rPr>
        <w:t>.</w:t>
      </w:r>
    </w:p>
    <w:p w:rsidR="000E5B15" w:rsidRPr="00373B0A" w:rsidRDefault="00370856" w:rsidP="002D5639">
      <w:pPr>
        <w:pStyle w:val="Texte1"/>
        <w:rPr>
          <w:lang w:val="es-ES"/>
        </w:rPr>
      </w:pPr>
      <w:r w:rsidRPr="00373B0A">
        <w:rPr>
          <w:lang w:val="es-ES"/>
        </w:rPr>
        <w:t xml:space="preserve">En los Estados federales que poseen un alto nivel del descentralización, las instancias nacionales sólo desempeñan funciones de coordinación en algunos casos </w:t>
      </w:r>
      <w:r w:rsidR="000E5B15" w:rsidRPr="00373B0A">
        <w:rPr>
          <w:lang w:val="es-ES"/>
        </w:rPr>
        <w:t>(</w:t>
      </w:r>
      <w:r w:rsidR="00715B7E" w:rsidRPr="00373B0A">
        <w:rPr>
          <w:lang w:val="es-ES"/>
        </w:rPr>
        <w:t>Artículo</w:t>
      </w:r>
      <w:r w:rsidR="00DD01F3" w:rsidRPr="00373B0A">
        <w:rPr>
          <w:lang w:val="es-ES"/>
        </w:rPr>
        <w:t> </w:t>
      </w:r>
      <w:r w:rsidR="00533416" w:rsidRPr="00373B0A">
        <w:rPr>
          <w:lang w:val="es-ES"/>
        </w:rPr>
        <w:t>35.a</w:t>
      </w:r>
      <w:r w:rsidR="000E5B15" w:rsidRPr="00373B0A">
        <w:rPr>
          <w:lang w:val="es-ES"/>
        </w:rPr>
        <w:t xml:space="preserve">). </w:t>
      </w:r>
      <w:r w:rsidR="00E260B2" w:rsidRPr="00373B0A">
        <w:rPr>
          <w:lang w:val="es-ES"/>
        </w:rPr>
        <w:t>Esto que se señala par</w:t>
      </w:r>
      <w:r w:rsidR="005869C1">
        <w:rPr>
          <w:lang w:val="es-ES"/>
        </w:rPr>
        <w:t>a</w:t>
      </w:r>
      <w:r w:rsidR="00E260B2" w:rsidRPr="00373B0A">
        <w:rPr>
          <w:lang w:val="es-ES"/>
        </w:rPr>
        <w:t xml:space="preserve"> las instancias de ámbito nacional se aplica también, llega</w:t>
      </w:r>
      <w:r w:rsidR="005869C1">
        <w:rPr>
          <w:lang w:val="es-ES"/>
        </w:rPr>
        <w:t>do</w:t>
      </w:r>
      <w:r w:rsidR="00E260B2" w:rsidRPr="00373B0A">
        <w:rPr>
          <w:lang w:val="es-ES"/>
        </w:rPr>
        <w:t xml:space="preserve"> el</w:t>
      </w:r>
      <w:r w:rsidR="008C0D26" w:rsidRPr="00373B0A">
        <w:rPr>
          <w:lang w:val="es-ES"/>
        </w:rPr>
        <w:t xml:space="preserve"> </w:t>
      </w:r>
      <w:r w:rsidR="00E260B2" w:rsidRPr="00373B0A">
        <w:rPr>
          <w:lang w:val="es-ES"/>
        </w:rPr>
        <w:t>caso, a</w:t>
      </w:r>
      <w:r w:rsidR="00B42C72" w:rsidRPr="00373B0A">
        <w:rPr>
          <w:lang w:val="es-ES"/>
        </w:rPr>
        <w:t xml:space="preserve"> las instancias </w:t>
      </w:r>
      <w:proofErr w:type="spellStart"/>
      <w:r w:rsidR="00B42C72" w:rsidRPr="00373B0A">
        <w:rPr>
          <w:lang w:val="es-ES"/>
        </w:rPr>
        <w:t>subnacionales</w:t>
      </w:r>
      <w:proofErr w:type="spellEnd"/>
      <w:r w:rsidR="00B42C72" w:rsidRPr="00373B0A">
        <w:rPr>
          <w:lang w:val="es-ES"/>
        </w:rPr>
        <w:t>, ya sean “estatales”, “republicanas”, “provinciales”,</w:t>
      </w:r>
      <w:r w:rsidR="008C0D26" w:rsidRPr="00373B0A">
        <w:rPr>
          <w:lang w:val="es-ES"/>
        </w:rPr>
        <w:t xml:space="preserve"> </w:t>
      </w:r>
      <w:r w:rsidR="00B42C72" w:rsidRPr="00373B0A">
        <w:rPr>
          <w:lang w:val="es-ES"/>
        </w:rPr>
        <w:t>“comarcales” o “cantonales”</w:t>
      </w:r>
      <w:r w:rsidR="00E260B2" w:rsidRPr="00373B0A">
        <w:rPr>
          <w:lang w:val="es-ES"/>
        </w:rPr>
        <w:t xml:space="preserve"> </w:t>
      </w:r>
      <w:r w:rsidR="000E5B15" w:rsidRPr="00373B0A">
        <w:rPr>
          <w:lang w:val="es-ES"/>
        </w:rPr>
        <w:t>(</w:t>
      </w:r>
      <w:r w:rsidR="00715B7E" w:rsidRPr="00373B0A">
        <w:rPr>
          <w:lang w:val="es-ES"/>
        </w:rPr>
        <w:t>Artículo</w:t>
      </w:r>
      <w:r w:rsidR="00DD01F3" w:rsidRPr="00373B0A">
        <w:rPr>
          <w:lang w:val="es-ES"/>
        </w:rPr>
        <w:t> </w:t>
      </w:r>
      <w:r w:rsidR="00533416" w:rsidRPr="00373B0A">
        <w:rPr>
          <w:lang w:val="es-ES"/>
        </w:rPr>
        <w:t>35.b</w:t>
      </w:r>
      <w:r w:rsidR="000E5B15" w:rsidRPr="00373B0A">
        <w:rPr>
          <w:lang w:val="es-ES"/>
        </w:rPr>
        <w:t>).</w:t>
      </w:r>
    </w:p>
    <w:p w:rsidR="00E61C19" w:rsidRPr="00373B0A" w:rsidRDefault="00521548" w:rsidP="002D5639">
      <w:pPr>
        <w:pStyle w:val="Texte1"/>
        <w:rPr>
          <w:lang w:val="es-ES"/>
        </w:rPr>
      </w:pPr>
      <w:r w:rsidRPr="00373B0A">
        <w:rPr>
          <w:noProof/>
          <w:lang w:eastAsia="en-GB"/>
        </w:rPr>
        <w:drawing>
          <wp:anchor distT="0" distB="0" distL="114300" distR="114300" simplePos="0" relativeHeight="251960832" behindDoc="0" locked="1" layoutInCell="1" allowOverlap="0">
            <wp:simplePos x="0" y="0"/>
            <wp:positionH relativeFrom="column">
              <wp:posOffset>0</wp:posOffset>
            </wp:positionH>
            <wp:positionV relativeFrom="paragraph">
              <wp:posOffset>431800</wp:posOffset>
            </wp:positionV>
            <wp:extent cx="283210" cy="358775"/>
            <wp:effectExtent l="0" t="0" r="0" b="0"/>
            <wp:wrapThrough wrapText="bothSides">
              <wp:wrapPolygon edited="0">
                <wp:start x="0" y="0"/>
                <wp:lineTo x="0" y="19880"/>
                <wp:lineTo x="19372" y="19880"/>
                <wp:lineTo x="19372" y="0"/>
                <wp:lineTo x="0" y="0"/>
              </wp:wrapPolygon>
            </wp:wrapThrough>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370856" w:rsidRPr="00373B0A">
        <w:rPr>
          <w:lang w:val="es-ES"/>
        </w:rPr>
        <w:t>En Bélgica –que es un Estado federal donde las regiones y comunidades gozan de una sólida autonomía– los Gobiernos de las comunidades de habla flamenca, francesa y alemana asumen la responsabilidad de todo lo relacionado con su patrimonio cultural y han creado diferentes organismos para protegerlo</w:t>
      </w:r>
      <w:r w:rsidR="000E5B15" w:rsidRPr="00373B0A">
        <w:rPr>
          <w:lang w:val="es-ES"/>
        </w:rPr>
        <w:t xml:space="preserve"> (</w:t>
      </w:r>
      <w:r w:rsidR="00D2390F" w:rsidRPr="00373B0A">
        <w:rPr>
          <w:lang w:val="es-ES"/>
        </w:rPr>
        <w:t>véase</w:t>
      </w:r>
      <w:r w:rsidR="000E5B15" w:rsidRPr="00373B0A">
        <w:rPr>
          <w:lang w:val="es-ES"/>
        </w:rPr>
        <w:t xml:space="preserve"> </w:t>
      </w:r>
      <w:r w:rsidR="00D2390F" w:rsidRPr="00373B0A">
        <w:rPr>
          <w:lang w:val="es-ES"/>
        </w:rPr>
        <w:t>el Estudio de Caso</w:t>
      </w:r>
      <w:r w:rsidR="000E5B15" w:rsidRPr="00373B0A">
        <w:rPr>
          <w:lang w:val="es-ES"/>
        </w:rPr>
        <w:t xml:space="preserve"> 28).</w:t>
      </w:r>
    </w:p>
    <w:p w:rsidR="000E5B15" w:rsidRPr="00373B0A" w:rsidRDefault="00370856" w:rsidP="002D5639">
      <w:pPr>
        <w:pStyle w:val="Texte1"/>
        <w:rPr>
          <w:lang w:val="es-ES"/>
        </w:rPr>
      </w:pPr>
      <w:r w:rsidRPr="00373B0A">
        <w:rPr>
          <w:lang w:val="es-ES"/>
        </w:rPr>
        <w:t xml:space="preserve">Algunos Estados no federales también delegan en instancias locales o provinciales sus poderes en materia de elaboración de políticas para el PCI y de gestión de éste. Esto es lo que </w:t>
      </w:r>
      <w:r w:rsidR="00E260B2" w:rsidRPr="00373B0A">
        <w:rPr>
          <w:lang w:val="es-ES"/>
        </w:rPr>
        <w:t>ocurre</w:t>
      </w:r>
      <w:r w:rsidRPr="00373B0A">
        <w:rPr>
          <w:lang w:val="es-ES"/>
        </w:rPr>
        <w:t xml:space="preserve"> </w:t>
      </w:r>
      <w:r w:rsidR="001216F1" w:rsidRPr="00373B0A">
        <w:rPr>
          <w:lang w:val="es-ES"/>
        </w:rPr>
        <w:t xml:space="preserve">en cierta medida </w:t>
      </w:r>
      <w:r w:rsidRPr="00373B0A">
        <w:rPr>
          <w:lang w:val="es-ES"/>
        </w:rPr>
        <w:t>en Sudáfrica, por ejemplo</w:t>
      </w:r>
      <w:r w:rsidR="000E5B15" w:rsidRPr="00373B0A">
        <w:rPr>
          <w:lang w:val="es-ES"/>
        </w:rPr>
        <w:t xml:space="preserve"> (</w:t>
      </w:r>
      <w:r w:rsidR="00D2390F" w:rsidRPr="00373B0A">
        <w:rPr>
          <w:lang w:val="es-ES"/>
        </w:rPr>
        <w:t>véase</w:t>
      </w:r>
      <w:r w:rsidR="000E5B15" w:rsidRPr="00373B0A">
        <w:rPr>
          <w:lang w:val="es-ES"/>
        </w:rPr>
        <w:t xml:space="preserve"> </w:t>
      </w:r>
      <w:r w:rsidR="00D2390F" w:rsidRPr="00373B0A">
        <w:rPr>
          <w:lang w:val="es-ES"/>
        </w:rPr>
        <w:t>el Estudio de Caso</w:t>
      </w:r>
      <w:r w:rsidR="000E5B15" w:rsidRPr="00373B0A">
        <w:rPr>
          <w:lang w:val="es-ES"/>
        </w:rPr>
        <w:t xml:space="preserve"> 29).</w:t>
      </w:r>
    </w:p>
    <w:p w:rsidR="000E5B15" w:rsidRPr="00373B0A" w:rsidRDefault="006A7E24" w:rsidP="002D5639">
      <w:pPr>
        <w:pStyle w:val="Texte1"/>
        <w:rPr>
          <w:lang w:val="es-ES"/>
        </w:rPr>
      </w:pPr>
      <w:r w:rsidRPr="00373B0A">
        <w:rPr>
          <w:noProof/>
          <w:lang w:eastAsia="en-GB"/>
        </w:rPr>
        <w:drawing>
          <wp:anchor distT="0" distB="0" distL="114300" distR="114300" simplePos="0" relativeHeight="252187136" behindDoc="0" locked="1" layoutInCell="1" allowOverlap="0">
            <wp:simplePos x="0" y="0"/>
            <wp:positionH relativeFrom="column">
              <wp:posOffset>-33020</wp:posOffset>
            </wp:positionH>
            <wp:positionV relativeFrom="paragraph">
              <wp:posOffset>-301625</wp:posOffset>
            </wp:positionV>
            <wp:extent cx="281305" cy="357505"/>
            <wp:effectExtent l="19050" t="0" r="4445" b="0"/>
            <wp:wrapThrough wrapText="bothSides">
              <wp:wrapPolygon edited="0">
                <wp:start x="-1463" y="0"/>
                <wp:lineTo x="-1463" y="20718"/>
                <wp:lineTo x="21941" y="20718"/>
                <wp:lineTo x="21941" y="0"/>
                <wp:lineTo x="-1463" y="0"/>
              </wp:wrapPolygon>
            </wp:wrapThrough>
            <wp:docPr id="2"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305" cy="357505"/>
                    </a:xfrm>
                    <a:prstGeom prst="rect">
                      <a:avLst/>
                    </a:prstGeom>
                  </pic:spPr>
                </pic:pic>
              </a:graphicData>
            </a:graphic>
          </wp:anchor>
        </w:drawing>
      </w:r>
      <w:r w:rsidR="001D085B" w:rsidRPr="00373B0A">
        <w:rPr>
          <w:lang w:val="es-ES"/>
        </w:rPr>
        <w:t xml:space="preserve">Es importante recordar que, en primer lugar, los Estados Partes (esto es, sus </w:t>
      </w:r>
      <w:r w:rsidR="001216F1">
        <w:rPr>
          <w:lang w:val="es-ES"/>
        </w:rPr>
        <w:t xml:space="preserve">diferentes </w:t>
      </w:r>
      <w:r w:rsidR="001D085B" w:rsidRPr="00373B0A">
        <w:rPr>
          <w:lang w:val="es-ES"/>
        </w:rPr>
        <w:t>organismos) deben garantizar la existencia de condiciones generales propicias para el florecimiento del PCI. Cuando la viabilidad de elementos específicos de éste no se ve amenazada, o cuando las actividades de salvaguardia de índole comunitaria se realizan eficazmente sin apoyo exterior, no se necesita intervención externa alguna, ni siquiera del Estado. El control del PCI siempre debe quedar en manos de la comunidad interesada, aun cuando se preste ayuda externa para salvaguardarlo</w:t>
      </w:r>
      <w:r w:rsidR="000E5B15" w:rsidRPr="00373B0A">
        <w:rPr>
          <w:lang w:val="es-ES"/>
        </w:rPr>
        <w:t>.</w:t>
      </w:r>
    </w:p>
    <w:p w:rsidR="000E5B15" w:rsidRPr="00373B0A" w:rsidRDefault="00955176" w:rsidP="00C82E38">
      <w:pPr>
        <w:pStyle w:val="Titcoul"/>
        <w:rPr>
          <w:lang w:val="es-ES"/>
        </w:rPr>
      </w:pPr>
      <w:bookmarkStart w:id="10" w:name="_Toc241229732"/>
      <w:bookmarkStart w:id="11" w:name="_Toc241229936"/>
      <w:bookmarkStart w:id="12" w:name="_Toc242165630"/>
      <w:r w:rsidRPr="00373B0A">
        <w:rPr>
          <w:lang w:val="es-ES"/>
        </w:rPr>
        <w:t>10</w:t>
      </w:r>
      <w:r w:rsidR="000E5B15" w:rsidRPr="00373B0A">
        <w:rPr>
          <w:lang w:val="es-ES"/>
        </w:rPr>
        <w:t>.3</w:t>
      </w:r>
      <w:r w:rsidR="005672B3" w:rsidRPr="00373B0A">
        <w:rPr>
          <w:lang w:val="es-ES"/>
        </w:rPr>
        <w:tab/>
      </w:r>
      <w:bookmarkEnd w:id="10"/>
      <w:bookmarkEnd w:id="11"/>
      <w:bookmarkEnd w:id="12"/>
      <w:r w:rsidR="001D085B" w:rsidRPr="00373B0A">
        <w:rPr>
          <w:lang w:val="es-ES"/>
        </w:rPr>
        <w:t>Políticas y medidas adoptadas a nivel local</w:t>
      </w:r>
    </w:p>
    <w:p w:rsidR="000E5B15" w:rsidRPr="00373B0A" w:rsidRDefault="000E5B15" w:rsidP="002D5639">
      <w:pPr>
        <w:pStyle w:val="Texte1"/>
        <w:rPr>
          <w:lang w:val="es-ES"/>
        </w:rPr>
      </w:pPr>
      <w:r w:rsidRPr="00373B0A">
        <w:rPr>
          <w:lang w:val="es-ES"/>
        </w:rPr>
        <w:t>L</w:t>
      </w:r>
      <w:r w:rsidR="001D085B" w:rsidRPr="00373B0A">
        <w:rPr>
          <w:lang w:val="es-ES"/>
        </w:rPr>
        <w:t>as partes interesadas l</w:t>
      </w:r>
      <w:r w:rsidRPr="00373B0A">
        <w:rPr>
          <w:lang w:val="es-ES"/>
        </w:rPr>
        <w:t>ocal</w:t>
      </w:r>
      <w:r w:rsidR="001D085B" w:rsidRPr="00373B0A">
        <w:rPr>
          <w:lang w:val="es-ES"/>
        </w:rPr>
        <w:t xml:space="preserve">es (o </w:t>
      </w:r>
      <w:proofErr w:type="spellStart"/>
      <w:r w:rsidRPr="00373B0A">
        <w:rPr>
          <w:lang w:val="es-ES"/>
        </w:rPr>
        <w:t>subna</w:t>
      </w:r>
      <w:r w:rsidR="001D085B" w:rsidRPr="00373B0A">
        <w:rPr>
          <w:lang w:val="es-ES"/>
        </w:rPr>
        <w:t>c</w:t>
      </w:r>
      <w:r w:rsidRPr="00373B0A">
        <w:rPr>
          <w:lang w:val="es-ES"/>
        </w:rPr>
        <w:t>ional</w:t>
      </w:r>
      <w:r w:rsidR="001D085B" w:rsidRPr="00373B0A">
        <w:rPr>
          <w:lang w:val="es-ES"/>
        </w:rPr>
        <w:t>es</w:t>
      </w:r>
      <w:proofErr w:type="spellEnd"/>
      <w:r w:rsidRPr="00373B0A">
        <w:rPr>
          <w:lang w:val="es-ES"/>
        </w:rPr>
        <w:t xml:space="preserve">, </w:t>
      </w:r>
      <w:r w:rsidR="001D085B" w:rsidRPr="00373B0A">
        <w:rPr>
          <w:lang w:val="es-ES"/>
        </w:rPr>
        <w:t xml:space="preserve">por </w:t>
      </w:r>
      <w:proofErr w:type="gramStart"/>
      <w:r w:rsidR="001D085B" w:rsidRPr="00373B0A">
        <w:rPr>
          <w:lang w:val="es-ES"/>
        </w:rPr>
        <w:t xml:space="preserve">ejemplo </w:t>
      </w:r>
      <w:r w:rsidRPr="00373B0A">
        <w:rPr>
          <w:lang w:val="es-ES"/>
        </w:rPr>
        <w:t>provincial</w:t>
      </w:r>
      <w:r w:rsidR="001D085B" w:rsidRPr="00373B0A">
        <w:rPr>
          <w:lang w:val="es-ES"/>
        </w:rPr>
        <w:t>es</w:t>
      </w:r>
      <w:r w:rsidRPr="00373B0A">
        <w:rPr>
          <w:lang w:val="es-ES"/>
        </w:rPr>
        <w:t xml:space="preserve"> </w:t>
      </w:r>
      <w:r w:rsidR="001D085B" w:rsidRPr="00373B0A">
        <w:rPr>
          <w:lang w:val="es-ES"/>
        </w:rPr>
        <w:t>y</w:t>
      </w:r>
      <w:r w:rsidRPr="00373B0A">
        <w:rPr>
          <w:lang w:val="es-ES"/>
        </w:rPr>
        <w:t xml:space="preserve"> municipal</w:t>
      </w:r>
      <w:r w:rsidR="001D085B" w:rsidRPr="00373B0A">
        <w:rPr>
          <w:lang w:val="es-ES"/>
        </w:rPr>
        <w:t>es</w:t>
      </w:r>
      <w:proofErr w:type="gramEnd"/>
      <w:r w:rsidRPr="00373B0A">
        <w:rPr>
          <w:lang w:val="es-ES"/>
        </w:rPr>
        <w:t xml:space="preserve">) </w:t>
      </w:r>
      <w:r w:rsidR="001D085B" w:rsidRPr="00373B0A">
        <w:rPr>
          <w:lang w:val="es-ES"/>
        </w:rPr>
        <w:t>cumplen una función importante en la salvaguardia del PCI, ya que sus intervenciones se pueden adaptar fácilmente a las necesidades de las comunidades y de los proyectos comunitarios</w:t>
      </w:r>
      <w:r w:rsidRPr="00373B0A">
        <w:rPr>
          <w:lang w:val="es-ES"/>
        </w:rPr>
        <w:t xml:space="preserve">. </w:t>
      </w:r>
      <w:r w:rsidR="001216F1">
        <w:rPr>
          <w:lang w:val="es-ES"/>
        </w:rPr>
        <w:t xml:space="preserve">Las medidas de índole local o </w:t>
      </w:r>
      <w:proofErr w:type="spellStart"/>
      <w:r w:rsidR="001216F1">
        <w:rPr>
          <w:lang w:val="es-ES"/>
        </w:rPr>
        <w:t>subnacional</w:t>
      </w:r>
      <w:proofErr w:type="spellEnd"/>
      <w:r w:rsidR="001D085B" w:rsidRPr="00373B0A">
        <w:rPr>
          <w:lang w:val="es-ES"/>
        </w:rPr>
        <w:t xml:space="preserve"> pueden comprender la adopción de reglamentaciones, la concesión de subvenciones y la elaboración de políticas relacionadas con elementos del PCI que se manifiestan tanto en espacios abiertamente </w:t>
      </w:r>
      <w:r w:rsidR="001D085B" w:rsidRPr="00373B0A">
        <w:rPr>
          <w:lang w:val="es-ES"/>
        </w:rPr>
        <w:lastRenderedPageBreak/>
        <w:t>públicos (festiv</w:t>
      </w:r>
      <w:r w:rsidR="001216F1">
        <w:rPr>
          <w:lang w:val="es-ES"/>
        </w:rPr>
        <w:t>al</w:t>
      </w:r>
      <w:r w:rsidR="001D085B" w:rsidRPr="00373B0A">
        <w:rPr>
          <w:lang w:val="es-ES"/>
        </w:rPr>
        <w:t>es o representaciones) como en contextos comunitarios de carácter más privado</w:t>
      </w:r>
      <w:r w:rsidRPr="00373B0A">
        <w:rPr>
          <w:lang w:val="es-ES"/>
        </w:rPr>
        <w:t xml:space="preserve">. </w:t>
      </w:r>
      <w:r w:rsidR="00CF3D83" w:rsidRPr="00373B0A">
        <w:rPr>
          <w:lang w:val="es-ES"/>
        </w:rPr>
        <w:t>En la adopción de esas medidas pueden participar entidades c</w:t>
      </w:r>
      <w:r w:rsidR="001216F1">
        <w:rPr>
          <w:lang w:val="es-ES"/>
        </w:rPr>
        <w:t xml:space="preserve">omo organizaciones comunitarias, </w:t>
      </w:r>
      <w:r w:rsidR="00CF3D83" w:rsidRPr="00373B0A">
        <w:rPr>
          <w:lang w:val="es-ES"/>
        </w:rPr>
        <w:t>ONG, escuelas, museos, centros de investigación, archivos e institutos de documentación locales. Por regla general, las comunidades locales se comprometen a</w:t>
      </w:r>
      <w:r w:rsidR="00AF1E9A" w:rsidRPr="00373B0A">
        <w:rPr>
          <w:lang w:val="es-ES"/>
        </w:rPr>
        <w:t xml:space="preserve"> financiar y apoyar logísticamente la práctica y transmisión de sus elementos del PCI, así como a buscar patrocinadores en las zonas donde están asentadas</w:t>
      </w:r>
      <w:r w:rsidRPr="00373B0A">
        <w:rPr>
          <w:lang w:val="es-ES"/>
        </w:rPr>
        <w:t>.</w:t>
      </w:r>
    </w:p>
    <w:p w:rsidR="000E5B15" w:rsidRPr="00373B0A" w:rsidRDefault="001216F1" w:rsidP="002D5639">
      <w:pPr>
        <w:pStyle w:val="Texte1"/>
        <w:rPr>
          <w:lang w:val="es-ES"/>
        </w:rPr>
      </w:pPr>
      <w:r>
        <w:rPr>
          <w:lang w:val="es-ES"/>
        </w:rPr>
        <w:t>P</w:t>
      </w:r>
      <w:r w:rsidRPr="00373B0A">
        <w:rPr>
          <w:lang w:val="es-ES"/>
        </w:rPr>
        <w:t xml:space="preserve">or ejemplo, </w:t>
      </w:r>
      <w:r>
        <w:rPr>
          <w:lang w:val="es-ES"/>
        </w:rPr>
        <w:t>e</w:t>
      </w:r>
      <w:r w:rsidR="00EC08B8" w:rsidRPr="00373B0A">
        <w:rPr>
          <w:lang w:val="es-ES"/>
        </w:rPr>
        <w:t>n la provi</w:t>
      </w:r>
      <w:r>
        <w:rPr>
          <w:lang w:val="es-ES"/>
        </w:rPr>
        <w:t>ncia de Limburgo (Países Bajos)</w:t>
      </w:r>
      <w:r w:rsidR="00EC08B8" w:rsidRPr="00373B0A">
        <w:rPr>
          <w:lang w:val="es-ES"/>
        </w:rPr>
        <w:t xml:space="preserve"> la mayoría de los pueblos y suburbios cuentan con asociaciones de música tradicional que poseen su propia </w:t>
      </w:r>
      <w:proofErr w:type="spellStart"/>
      <w:r w:rsidR="00EC08B8" w:rsidRPr="00373B0A">
        <w:rPr>
          <w:i/>
          <w:lang w:val="es-ES"/>
        </w:rPr>
        <w:t>harmonie</w:t>
      </w:r>
      <w:proofErr w:type="spellEnd"/>
      <w:r w:rsidR="00EC08B8" w:rsidRPr="00373B0A">
        <w:rPr>
          <w:lang w:val="es-ES"/>
        </w:rPr>
        <w:t xml:space="preserve"> (fanfarria u orquesta) para dar conciertos</w:t>
      </w:r>
      <w:r w:rsidR="008C0D26" w:rsidRPr="00373B0A">
        <w:rPr>
          <w:lang w:val="es-ES"/>
        </w:rPr>
        <w:t xml:space="preserve"> </w:t>
      </w:r>
      <w:r w:rsidR="00EC08B8" w:rsidRPr="00373B0A">
        <w:rPr>
          <w:lang w:val="es-ES"/>
        </w:rPr>
        <w:t xml:space="preserve">periódicos en lugares públicos o tocar en eventos de carácter más íntimo. Casi todas cuentan con un gran número de miembros y procuran autofinanciarse buscando patrocinadores, </w:t>
      </w:r>
      <w:r>
        <w:rPr>
          <w:lang w:val="es-ES"/>
        </w:rPr>
        <w:t>aunque</w:t>
      </w:r>
      <w:r w:rsidR="00EC08B8" w:rsidRPr="00373B0A">
        <w:rPr>
          <w:lang w:val="es-ES"/>
        </w:rPr>
        <w:t xml:space="preserve"> suelen recibir </w:t>
      </w:r>
      <w:r>
        <w:rPr>
          <w:lang w:val="es-ES"/>
        </w:rPr>
        <w:t xml:space="preserve">por regla general </w:t>
      </w:r>
      <w:r w:rsidR="00EC08B8" w:rsidRPr="00373B0A">
        <w:rPr>
          <w:lang w:val="es-ES"/>
        </w:rPr>
        <w:t xml:space="preserve">subvenciones modestas </w:t>
      </w:r>
      <w:r>
        <w:rPr>
          <w:lang w:val="es-ES"/>
        </w:rPr>
        <w:t>procedentes de</w:t>
      </w:r>
      <w:r w:rsidR="00EC08B8" w:rsidRPr="00373B0A">
        <w:rPr>
          <w:lang w:val="es-ES"/>
        </w:rPr>
        <w:t xml:space="preserve"> los presupuestos de los municipios o las autoridades provinciales. En general, las juntas directivas de esas asociaciones comprenden funcionarios de la administración local. En los pueblos más pequeños de la provincia, más de la mitad de sus habitantes participan vol</w:t>
      </w:r>
      <w:r>
        <w:rPr>
          <w:lang w:val="es-ES"/>
        </w:rPr>
        <w:t xml:space="preserve">untariamente en la preparación, </w:t>
      </w:r>
      <w:r w:rsidR="00EC08B8" w:rsidRPr="00373B0A">
        <w:rPr>
          <w:lang w:val="es-ES"/>
        </w:rPr>
        <w:t xml:space="preserve">organización y realización de las fiestas locales, así como en los subsiguientes trabajos de </w:t>
      </w:r>
      <w:r w:rsidR="001835E8">
        <w:rPr>
          <w:lang w:val="es-ES"/>
        </w:rPr>
        <w:t xml:space="preserve">despeje y </w:t>
      </w:r>
      <w:r w:rsidR="00EC08B8" w:rsidRPr="00373B0A">
        <w:rPr>
          <w:lang w:val="es-ES"/>
        </w:rPr>
        <w:t>limpieza.</w:t>
      </w:r>
    </w:p>
    <w:p w:rsidR="000E5B15" w:rsidRPr="00373B0A" w:rsidRDefault="002F073C" w:rsidP="002D5639">
      <w:pPr>
        <w:pStyle w:val="Texte1"/>
        <w:rPr>
          <w:lang w:val="es-ES"/>
        </w:rPr>
      </w:pPr>
      <w:r w:rsidRPr="00373B0A">
        <w:rPr>
          <w:lang w:val="es-ES"/>
        </w:rPr>
        <w:t xml:space="preserve">En la mayoría de los municipios de la provincia de Limburgo se celebra la Fiesta de Carnaval de una u otra forma. Uno de sus componentes, prácticamente obligatorio, es la elección anual del “Príncipe del carnaval’ (rara vez se elige a una princesa) que tiene lugar mucho antes de la fiesta. El “príncipe” tiene que cumplir con diversas obligaciones, por ejemplo la de visitar a los ancianos y enfermos que no podrán participar en los regocijos públicos carnavalescos. En esas visitas, suele ir acompañado por la </w:t>
      </w:r>
      <w:proofErr w:type="spellStart"/>
      <w:r w:rsidRPr="00373B0A">
        <w:rPr>
          <w:i/>
          <w:lang w:val="es-ES"/>
        </w:rPr>
        <w:t>harmonie</w:t>
      </w:r>
      <w:proofErr w:type="spellEnd"/>
      <w:r w:rsidRPr="00373B0A">
        <w:rPr>
          <w:i/>
          <w:lang w:val="es-ES"/>
        </w:rPr>
        <w:t xml:space="preserve"> </w:t>
      </w:r>
      <w:r w:rsidRPr="00373B0A">
        <w:rPr>
          <w:lang w:val="es-ES"/>
        </w:rPr>
        <w:t xml:space="preserve">local. En </w:t>
      </w:r>
      <w:proofErr w:type="spellStart"/>
      <w:r w:rsidRPr="00373B0A">
        <w:rPr>
          <w:lang w:val="es-ES"/>
        </w:rPr>
        <w:t>Mastrique</w:t>
      </w:r>
      <w:proofErr w:type="spellEnd"/>
      <w:r w:rsidRPr="00373B0A">
        <w:rPr>
          <w:lang w:val="es-ES"/>
        </w:rPr>
        <w:t>, la capital de la provincia, el alcalde hace entrega de la llave de la ciudad al “príncipe” de ésta durante los cuatro días del Carnaval, y las autoridades municipales y policiales aplican una serie de reglamentaciones</w:t>
      </w:r>
      <w:r w:rsidR="008C0D26" w:rsidRPr="00373B0A">
        <w:rPr>
          <w:lang w:val="es-ES"/>
        </w:rPr>
        <w:t xml:space="preserve"> </w:t>
      </w:r>
      <w:r w:rsidRPr="00373B0A">
        <w:rPr>
          <w:lang w:val="es-ES"/>
        </w:rPr>
        <w:t>locales para garantizar la seguridad y accesibilidad del centro de la ciudad a lo largo de todas las festividades.</w:t>
      </w:r>
    </w:p>
    <w:p w:rsidR="000E5B15" w:rsidRPr="00373B0A" w:rsidRDefault="002F073C" w:rsidP="00A853D3">
      <w:pPr>
        <w:pStyle w:val="Heading4"/>
        <w:rPr>
          <w:lang w:val="es-ES"/>
        </w:rPr>
      </w:pPr>
      <w:bookmarkStart w:id="13" w:name="_Toc348717680"/>
      <w:bookmarkStart w:id="14" w:name="_Toc348718020"/>
      <w:bookmarkStart w:id="15" w:name="_Toc348718372"/>
      <w:r w:rsidRPr="00373B0A">
        <w:rPr>
          <w:lang w:val="es-ES"/>
        </w:rPr>
        <w:t>Organizaciones locales</w:t>
      </w:r>
      <w:bookmarkEnd w:id="13"/>
      <w:bookmarkEnd w:id="14"/>
      <w:bookmarkEnd w:id="15"/>
    </w:p>
    <w:p w:rsidR="000E5B15" w:rsidRPr="00373B0A" w:rsidRDefault="00EF06DD" w:rsidP="002D5639">
      <w:pPr>
        <w:pStyle w:val="Texte1"/>
        <w:rPr>
          <w:lang w:val="es-ES"/>
        </w:rPr>
      </w:pPr>
      <w:r w:rsidRPr="00373B0A">
        <w:rPr>
          <w:lang w:val="es-ES"/>
        </w:rPr>
        <w:t>Muchos países cuentan con organizaciones –a menudo integradas por miembros de diferentes comunidades– que practican elementos análogos del PCI y se prestan ayuda mutua, intercambiando sus competencias y recursos</w:t>
      </w:r>
      <w:r w:rsidR="000E5B15" w:rsidRPr="00373B0A">
        <w:rPr>
          <w:lang w:val="es-ES"/>
        </w:rPr>
        <w:t>.</w:t>
      </w:r>
    </w:p>
    <w:p w:rsidR="000E5B15" w:rsidRPr="00373B0A" w:rsidRDefault="003D3284" w:rsidP="002D5639">
      <w:pPr>
        <w:pStyle w:val="Texte1"/>
        <w:rPr>
          <w:lang w:val="es-ES"/>
        </w:rPr>
      </w:pPr>
      <w:r w:rsidRPr="00373B0A">
        <w:rPr>
          <w:lang w:val="es-ES"/>
        </w:rPr>
        <w:t xml:space="preserve">Las </w:t>
      </w:r>
      <w:proofErr w:type="spellStart"/>
      <w:r w:rsidRPr="00373B0A">
        <w:rPr>
          <w:i/>
          <w:lang w:val="es-ES"/>
        </w:rPr>
        <w:t>harmonies</w:t>
      </w:r>
      <w:proofErr w:type="spellEnd"/>
      <w:r w:rsidRPr="00373B0A">
        <w:rPr>
          <w:lang w:val="es-ES"/>
        </w:rPr>
        <w:t xml:space="preserve"> ya mencionadas han creado, por ejemplo, organismos de coordinación que no sólo se ocupan de la asistencia mutua, sino que además organizan eventos y concursos conjuntos. En Alemania existen organizaciones de narradores y en Bretaña (Francia) hay organizaciones comunitarias que interpretan músicas tradicionales. Apoyando a este tipo de organizaciones, los Estados Partes pueden aportar una contribución importante a la salvaguardia de expresiones del PCI llevada a cabo por las propias comunidades. Cabe señalar que Francia ha ratificado la Convención, pero los Países Bajos y Alemania todavía no son Estados Partes en ella.</w:t>
      </w:r>
      <w:r w:rsidR="000E5B15" w:rsidRPr="00373B0A">
        <w:rPr>
          <w:lang w:val="es-ES"/>
        </w:rPr>
        <w:t xml:space="preserve"> </w:t>
      </w:r>
    </w:p>
    <w:p w:rsidR="000E5B15" w:rsidRPr="00373B0A" w:rsidRDefault="003D3284" w:rsidP="00A853D3">
      <w:pPr>
        <w:pStyle w:val="Heading4"/>
        <w:rPr>
          <w:lang w:val="es-ES"/>
        </w:rPr>
      </w:pPr>
      <w:bookmarkStart w:id="16" w:name="_Toc348717681"/>
      <w:bookmarkStart w:id="17" w:name="_Toc348718021"/>
      <w:bookmarkStart w:id="18" w:name="_Toc348718373"/>
      <w:r w:rsidRPr="00373B0A">
        <w:rPr>
          <w:lang w:val="es-ES"/>
        </w:rPr>
        <w:lastRenderedPageBreak/>
        <w:t>Integración de la salvaguardia del PCI en otras iniciativas locales</w:t>
      </w:r>
      <w:bookmarkEnd w:id="16"/>
      <w:bookmarkEnd w:id="17"/>
      <w:bookmarkEnd w:id="18"/>
    </w:p>
    <w:p w:rsidR="000E5B15" w:rsidRPr="00373B0A" w:rsidRDefault="003D3284" w:rsidP="002D5639">
      <w:pPr>
        <w:pStyle w:val="Texte1"/>
        <w:rPr>
          <w:lang w:val="es-ES"/>
        </w:rPr>
      </w:pPr>
      <w:r w:rsidRPr="00373B0A">
        <w:rPr>
          <w:lang w:val="es-ES"/>
        </w:rPr>
        <w:t>A nivel local existen buenas posibilidades de</w:t>
      </w:r>
      <w:r w:rsidR="000E5B15" w:rsidRPr="00373B0A">
        <w:rPr>
          <w:lang w:val="es-ES"/>
        </w:rPr>
        <w:t xml:space="preserve"> integra</w:t>
      </w:r>
      <w:r w:rsidRPr="00373B0A">
        <w:rPr>
          <w:lang w:val="es-ES"/>
        </w:rPr>
        <w:t>r</w:t>
      </w:r>
      <w:r w:rsidR="000E5B15" w:rsidRPr="00373B0A">
        <w:rPr>
          <w:lang w:val="es-ES"/>
        </w:rPr>
        <w:t xml:space="preserve"> </w:t>
      </w:r>
      <w:r w:rsidRPr="00373B0A">
        <w:rPr>
          <w:lang w:val="es-ES"/>
        </w:rPr>
        <w:t xml:space="preserve">las actividades de salvaguardia del PCI en las acciones llevadas a cabo por las autoridades y comunidades locales en ámbitos como la salud, la educación y otros </w:t>
      </w:r>
      <w:r w:rsidR="001835E8">
        <w:rPr>
          <w:lang w:val="es-ES"/>
        </w:rPr>
        <w:t>ámbitos</w:t>
      </w:r>
      <w:r w:rsidRPr="00373B0A">
        <w:rPr>
          <w:lang w:val="es-ES"/>
        </w:rPr>
        <w:t xml:space="preserve"> del desarrollo</w:t>
      </w:r>
      <w:r w:rsidR="000E5B15" w:rsidRPr="00373B0A">
        <w:rPr>
          <w:lang w:val="es-ES"/>
        </w:rPr>
        <w:t>.</w:t>
      </w:r>
    </w:p>
    <w:p w:rsidR="000E5B15" w:rsidRPr="00373B0A" w:rsidRDefault="00B800B7" w:rsidP="002D5639">
      <w:pPr>
        <w:pStyle w:val="Texte1"/>
        <w:rPr>
          <w:lang w:val="es-ES"/>
        </w:rPr>
      </w:pPr>
      <w:r w:rsidRPr="00373B0A">
        <w:rPr>
          <w:lang w:val="es-ES"/>
        </w:rPr>
        <w:t xml:space="preserve">Un ejemplo de legislación promulgada a nivel local </w:t>
      </w:r>
      <w:r w:rsidR="001835E8">
        <w:rPr>
          <w:lang w:val="es-ES"/>
        </w:rPr>
        <w:t>para</w:t>
      </w:r>
      <w:r w:rsidRPr="00373B0A">
        <w:rPr>
          <w:lang w:val="es-ES"/>
        </w:rPr>
        <w:t xml:space="preserve"> propicia</w:t>
      </w:r>
      <w:r w:rsidR="001835E8">
        <w:rPr>
          <w:lang w:val="es-ES"/>
        </w:rPr>
        <w:t>r</w:t>
      </w:r>
      <w:r w:rsidRPr="00373B0A">
        <w:rPr>
          <w:lang w:val="es-ES"/>
        </w:rPr>
        <w:t xml:space="preserve"> la salvaguardia del PCI es la Ley sobre sitios sagrados aborígenes de los Territorios del Norte, adoptada en Australia el año 2006. Esa ley permite a las comunidades indígenas del país reservarse el control de la gestión de su PCI y de cualquier beneficio que pueda derivarse de él. En virtud de esta disposición legislativa se han creado instituciones como la Autoridad de Protección de </w:t>
      </w:r>
      <w:r w:rsidR="00E84FF0" w:rsidRPr="00373B0A">
        <w:rPr>
          <w:lang w:val="es-ES"/>
        </w:rPr>
        <w:t xml:space="preserve">las </w:t>
      </w:r>
      <w:r w:rsidRPr="00373B0A">
        <w:rPr>
          <w:lang w:val="es-ES"/>
        </w:rPr>
        <w:t xml:space="preserve">Zonas Aborígenes, que trata de encontrar un equilibrio entre la necesidad de salvaguardar el PCI de las comunidades indígenas y </w:t>
      </w:r>
      <w:r w:rsidR="00121087">
        <w:rPr>
          <w:lang w:val="es-ES"/>
        </w:rPr>
        <w:t>la</w:t>
      </w:r>
      <w:r w:rsidRPr="00373B0A">
        <w:rPr>
          <w:lang w:val="es-ES"/>
        </w:rPr>
        <w:t xml:space="preserve"> vinculación de éste con </w:t>
      </w:r>
      <w:r w:rsidR="00121087">
        <w:rPr>
          <w:lang w:val="es-ES"/>
        </w:rPr>
        <w:t>sus</w:t>
      </w:r>
      <w:r w:rsidRPr="00373B0A">
        <w:rPr>
          <w:lang w:val="es-ES"/>
        </w:rPr>
        <w:t xml:space="preserve"> territorios, por un lado, y </w:t>
      </w:r>
      <w:r w:rsidR="00121087">
        <w:rPr>
          <w:lang w:val="es-ES"/>
        </w:rPr>
        <w:t>las necesidades d</w:t>
      </w:r>
      <w:r w:rsidRPr="00373B0A">
        <w:rPr>
          <w:lang w:val="es-ES"/>
        </w:rPr>
        <w:t xml:space="preserve">el desarrollo económico, social y cultural de la totalidad de </w:t>
      </w:r>
      <w:r w:rsidR="00121087">
        <w:rPr>
          <w:lang w:val="es-ES"/>
        </w:rPr>
        <w:t>la población</w:t>
      </w:r>
      <w:r w:rsidRPr="00373B0A">
        <w:rPr>
          <w:lang w:val="es-ES"/>
        </w:rPr>
        <w:t xml:space="preserve"> de esos territorios, por otro lado</w:t>
      </w:r>
      <w:r w:rsidR="000E5B15" w:rsidRPr="00373B0A">
        <w:rPr>
          <w:lang w:val="es-ES"/>
        </w:rPr>
        <w:t>.</w:t>
      </w:r>
      <w:r w:rsidR="00B57BFE" w:rsidRPr="00373B0A">
        <w:rPr>
          <w:rStyle w:val="FootnoteReference"/>
          <w:sz w:val="20"/>
          <w:szCs w:val="20"/>
          <w:lang w:val="es-ES"/>
        </w:rPr>
        <w:footnoteReference w:id="4"/>
      </w:r>
    </w:p>
    <w:p w:rsidR="000E5B15" w:rsidRPr="00373B0A" w:rsidRDefault="00B800B7" w:rsidP="00A853D3">
      <w:pPr>
        <w:pStyle w:val="Heading4"/>
        <w:rPr>
          <w:lang w:val="es-ES"/>
        </w:rPr>
      </w:pPr>
      <w:bookmarkStart w:id="19" w:name="_Toc348717682"/>
      <w:bookmarkStart w:id="20" w:name="_Toc348718022"/>
      <w:bookmarkStart w:id="21" w:name="_Toc348718374"/>
      <w:r w:rsidRPr="00373B0A">
        <w:rPr>
          <w:lang w:val="es-ES"/>
        </w:rPr>
        <w:t>Reglamentaciones y políticas de las autoridades locales</w:t>
      </w:r>
      <w:bookmarkEnd w:id="19"/>
      <w:bookmarkEnd w:id="20"/>
      <w:bookmarkEnd w:id="21"/>
    </w:p>
    <w:p w:rsidR="000E5B15" w:rsidRPr="00373B0A" w:rsidRDefault="00B800B7" w:rsidP="002D5639">
      <w:pPr>
        <w:pStyle w:val="Texte1"/>
        <w:rPr>
          <w:lang w:val="es-ES"/>
        </w:rPr>
      </w:pPr>
      <w:r w:rsidRPr="00373B0A">
        <w:rPr>
          <w:lang w:val="es-ES"/>
        </w:rPr>
        <w:t xml:space="preserve">La función de las autoridades locales es de crucial importancia para la salvaguardia del PCI, independientemente de que esa función se traduzca o no </w:t>
      </w:r>
      <w:r w:rsidR="00C6546E">
        <w:rPr>
          <w:lang w:val="es-ES"/>
        </w:rPr>
        <w:t>en</w:t>
      </w:r>
      <w:r w:rsidRPr="00373B0A">
        <w:rPr>
          <w:lang w:val="es-ES"/>
        </w:rPr>
        <w:t xml:space="preserve"> la adopción de reglamentaciones o políticas. Los Estados Partes deben estimular y facilitar el apoyo a las iniciativas locales de salvaguardia del PCI.</w:t>
      </w:r>
    </w:p>
    <w:p w:rsidR="000E5B15" w:rsidRPr="00373B0A" w:rsidRDefault="00F15B16" w:rsidP="002D5639">
      <w:pPr>
        <w:pStyle w:val="Texte1"/>
        <w:rPr>
          <w:lang w:val="es-ES"/>
        </w:rPr>
      </w:pPr>
      <w:r w:rsidRPr="00373B0A">
        <w:rPr>
          <w:lang w:val="es-ES"/>
        </w:rPr>
        <w:t>En Nepal, los municipios y los Comités de Desarrollo Local desempeñan un importante papel en el apoyo a la celebración de actividades religiosas y culturales, y también en el fomento de la participación de las comunidades locales en la adopción de decisiones en materia de salud, educación, servicios, etc. Actualmente</w:t>
      </w:r>
      <w:r w:rsidR="00C6546E">
        <w:rPr>
          <w:lang w:val="es-ES"/>
        </w:rPr>
        <w:t>,</w:t>
      </w:r>
      <w:r w:rsidRPr="00373B0A">
        <w:rPr>
          <w:lang w:val="es-ES"/>
        </w:rPr>
        <w:t xml:space="preserve"> no existe una política que asigne oficialmente a esos comités una responsabilidad directa en las actividades de</w:t>
      </w:r>
      <w:r w:rsidR="008C0D26" w:rsidRPr="00373B0A">
        <w:rPr>
          <w:lang w:val="es-ES"/>
        </w:rPr>
        <w:t xml:space="preserve"> </w:t>
      </w:r>
      <w:r w:rsidRPr="00373B0A">
        <w:rPr>
          <w:lang w:val="es-ES"/>
        </w:rPr>
        <w:t>salvaguardia y promoción del PCI a nivel local, y además los comités tampoco disponen de fuentes estables de ingresos para realizar esas actividades. No obstante, en su calidad de autoridades locales, los comités pueden servir –y de hecho sirven– de mediadores entre el gobierno nacional y los organismos pertinentes, por un lado, y los depositarios de tradiciones y practicantes locales de elementos del PCI, por otro lado, para los asuntos relacionados con la salvaguardia del PCI</w:t>
      </w:r>
      <w:r w:rsidR="00E84FF0" w:rsidRPr="00373B0A">
        <w:rPr>
          <w:lang w:val="es-ES"/>
        </w:rPr>
        <w:t>.</w:t>
      </w:r>
      <w:r w:rsidR="00B57BFE" w:rsidRPr="00373B0A">
        <w:rPr>
          <w:rStyle w:val="FootnoteReference"/>
          <w:sz w:val="20"/>
          <w:szCs w:val="20"/>
          <w:lang w:val="es-ES"/>
        </w:rPr>
        <w:footnoteReference w:id="5"/>
      </w:r>
    </w:p>
    <w:p w:rsidR="000E5B15" w:rsidRPr="00373B0A" w:rsidRDefault="00955176" w:rsidP="00C82E38">
      <w:pPr>
        <w:pStyle w:val="Titcoul"/>
        <w:rPr>
          <w:lang w:val="es-ES"/>
        </w:rPr>
      </w:pPr>
      <w:bookmarkStart w:id="22" w:name="_Toc241229733"/>
      <w:bookmarkStart w:id="23" w:name="_Toc241229937"/>
      <w:bookmarkStart w:id="24" w:name="_Toc242165631"/>
      <w:r w:rsidRPr="00373B0A">
        <w:rPr>
          <w:lang w:val="es-ES"/>
        </w:rPr>
        <w:t>10</w:t>
      </w:r>
      <w:r w:rsidR="000E5B15" w:rsidRPr="00373B0A">
        <w:rPr>
          <w:lang w:val="es-ES"/>
        </w:rPr>
        <w:t>.4</w:t>
      </w:r>
      <w:r w:rsidR="0063095F" w:rsidRPr="00373B0A">
        <w:rPr>
          <w:lang w:val="es-ES"/>
        </w:rPr>
        <w:tab/>
      </w:r>
      <w:bookmarkEnd w:id="22"/>
      <w:bookmarkEnd w:id="23"/>
      <w:bookmarkEnd w:id="24"/>
      <w:r w:rsidR="00F15B16" w:rsidRPr="00373B0A">
        <w:rPr>
          <w:lang w:val="es-ES"/>
        </w:rPr>
        <w:t>Marcos jurídicos y administrativos nacionales</w:t>
      </w:r>
    </w:p>
    <w:p w:rsidR="000E5B15" w:rsidRPr="00373B0A" w:rsidRDefault="00AA241F" w:rsidP="002D5639">
      <w:pPr>
        <w:pStyle w:val="Texte1"/>
        <w:rPr>
          <w:lang w:val="es-ES"/>
        </w:rPr>
      </w:pPr>
      <w:r w:rsidRPr="00373B0A">
        <w:rPr>
          <w:lang w:val="es-ES"/>
        </w:rPr>
        <w:t xml:space="preserve">Los marcos jurídicos y administrativos nacionales (o federales) </w:t>
      </w:r>
      <w:r w:rsidR="00C6546E">
        <w:rPr>
          <w:lang w:val="es-ES"/>
        </w:rPr>
        <w:t xml:space="preserve">de un Estado </w:t>
      </w:r>
      <w:r w:rsidRPr="00373B0A">
        <w:rPr>
          <w:lang w:val="es-ES"/>
        </w:rPr>
        <w:t xml:space="preserve">pueden comprender las disposiciones relativas al PCI que figuren en </w:t>
      </w:r>
      <w:r w:rsidR="00C6546E">
        <w:rPr>
          <w:lang w:val="es-ES"/>
        </w:rPr>
        <w:t>su</w:t>
      </w:r>
      <w:r w:rsidRPr="00373B0A">
        <w:rPr>
          <w:lang w:val="es-ES"/>
        </w:rPr>
        <w:t xml:space="preserve"> Constitución, en </w:t>
      </w:r>
      <w:r w:rsidR="00C6546E">
        <w:rPr>
          <w:lang w:val="es-ES"/>
        </w:rPr>
        <w:t>su</w:t>
      </w:r>
      <w:r w:rsidRPr="00373B0A">
        <w:rPr>
          <w:lang w:val="es-ES"/>
        </w:rPr>
        <w:t xml:space="preserve"> legislación sobre el patrimonio cultural, o en las políticas vinculadas a éste y a la cultura en general. También pueden comprender</w:t>
      </w:r>
      <w:r w:rsidR="005507CE" w:rsidRPr="00373B0A">
        <w:rPr>
          <w:lang w:val="es-ES"/>
        </w:rPr>
        <w:t xml:space="preserve"> </w:t>
      </w:r>
      <w:r w:rsidRPr="00373B0A">
        <w:rPr>
          <w:lang w:val="es-ES"/>
        </w:rPr>
        <w:t xml:space="preserve">las disposiciones </w:t>
      </w:r>
      <w:r w:rsidR="00331CC2" w:rsidRPr="00373B0A">
        <w:rPr>
          <w:lang w:val="es-ES"/>
        </w:rPr>
        <w:t xml:space="preserve">relativas al PCI </w:t>
      </w:r>
      <w:r w:rsidR="00331CC2">
        <w:rPr>
          <w:lang w:val="es-ES"/>
        </w:rPr>
        <w:t xml:space="preserve"> aplicadas por</w:t>
      </w:r>
      <w:r w:rsidRPr="00373B0A">
        <w:rPr>
          <w:lang w:val="es-ES"/>
        </w:rPr>
        <w:t xml:space="preserve"> centros nacionales de investigación y documentación del PCI (adscritos a universidades u otro tipo de instituciones), museos, archivos, órganos consultivos, mecanismos de </w:t>
      </w:r>
      <w:r w:rsidRPr="00373B0A">
        <w:rPr>
          <w:lang w:val="es-ES"/>
        </w:rPr>
        <w:lastRenderedPageBreak/>
        <w:t>coordinación, etc. Asimismo, los marcos pueden comprender las disposiciones relativas al PCI que se hayan integrado en políticas, leyes e instituciones relacionadas con ámbitos que no son estrictamente culturales (por ejemplo: finanzas, protección de los derechos de propiedad intelectual, medicina, salud y agricultura).</w:t>
      </w:r>
    </w:p>
    <w:p w:rsidR="000E5B15" w:rsidRPr="00373B0A" w:rsidRDefault="004F558F" w:rsidP="002D5639">
      <w:pPr>
        <w:pStyle w:val="Texte1"/>
        <w:rPr>
          <w:lang w:val="es-ES"/>
        </w:rPr>
      </w:pPr>
      <w:r w:rsidRPr="00373B0A">
        <w:rPr>
          <w:lang w:val="es-ES"/>
        </w:rPr>
        <w:t xml:space="preserve">Las medidas jurídicas y administrativas adoptadas a nivel nacional pretenden, ante todo, contribuir a la promoción y salvaguardia del PCI en general y crear un marco propicio para las actividades de salvaguardia a nivel local. Las medidas aplicadas a nivel nacional </w:t>
      </w:r>
      <w:r w:rsidR="00F746B3">
        <w:rPr>
          <w:lang w:val="es-ES"/>
        </w:rPr>
        <w:t>suelen tener</w:t>
      </w:r>
      <w:r w:rsidRPr="00373B0A">
        <w:rPr>
          <w:lang w:val="es-ES"/>
        </w:rPr>
        <w:t xml:space="preserve"> un impacto muy directo en la viabilidad de los elementos del PCI</w:t>
      </w:r>
      <w:r w:rsidR="000E5B15" w:rsidRPr="00373B0A">
        <w:rPr>
          <w:lang w:val="es-ES"/>
        </w:rPr>
        <w:t>.</w:t>
      </w:r>
    </w:p>
    <w:p w:rsidR="000E5B15" w:rsidRPr="00373B0A" w:rsidRDefault="004F558F" w:rsidP="00A853D3">
      <w:pPr>
        <w:pStyle w:val="Heading4"/>
        <w:rPr>
          <w:w w:val="108"/>
          <w:lang w:val="es-ES"/>
        </w:rPr>
      </w:pPr>
      <w:bookmarkStart w:id="25" w:name="_Toc348717684"/>
      <w:bookmarkStart w:id="26" w:name="_Toc348718024"/>
      <w:bookmarkStart w:id="27" w:name="_Toc348718376"/>
      <w:r w:rsidRPr="00373B0A">
        <w:rPr>
          <w:lang w:val="es-ES"/>
        </w:rPr>
        <w:t>Relación entre las políticas o instituciones del PCI y otros marcos nacionales</w:t>
      </w:r>
      <w:bookmarkEnd w:id="25"/>
      <w:bookmarkEnd w:id="26"/>
      <w:bookmarkEnd w:id="27"/>
    </w:p>
    <w:p w:rsidR="000E5B15" w:rsidRPr="00373B0A" w:rsidRDefault="001311F5" w:rsidP="002D5639">
      <w:pPr>
        <w:pStyle w:val="Texte1"/>
        <w:rPr>
          <w:lang w:val="es-ES"/>
        </w:rPr>
      </w:pPr>
      <w:r w:rsidRPr="00373B0A">
        <w:rPr>
          <w:noProof/>
          <w:lang w:eastAsia="en-GB"/>
        </w:rPr>
        <w:drawing>
          <wp:anchor distT="0" distB="0" distL="114300" distR="114300" simplePos="0" relativeHeight="251739648" behindDoc="0" locked="0" layoutInCell="1" allowOverlap="1">
            <wp:simplePos x="0" y="0"/>
            <wp:positionH relativeFrom="column">
              <wp:posOffset>35560</wp:posOffset>
            </wp:positionH>
            <wp:positionV relativeFrom="paragraph">
              <wp:posOffset>899795</wp:posOffset>
            </wp:positionV>
            <wp:extent cx="281305" cy="357505"/>
            <wp:effectExtent l="19050" t="0" r="4445" b="0"/>
            <wp:wrapThrough wrapText="bothSides">
              <wp:wrapPolygon edited="0">
                <wp:start x="-1463" y="0"/>
                <wp:lineTo x="-1463" y="20718"/>
                <wp:lineTo x="21941" y="20718"/>
                <wp:lineTo x="21941" y="0"/>
                <wp:lineTo x="-1463" y="0"/>
              </wp:wrapPolygon>
            </wp:wrapThrough>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305" cy="357505"/>
                    </a:xfrm>
                    <a:prstGeom prst="rect">
                      <a:avLst/>
                    </a:prstGeom>
                  </pic:spPr>
                </pic:pic>
              </a:graphicData>
            </a:graphic>
          </wp:anchor>
        </w:drawing>
      </w:r>
      <w:r w:rsidR="00F746B3">
        <w:rPr>
          <w:noProof/>
          <w:lang w:val="es-ES" w:eastAsia="fr-FR"/>
        </w:rPr>
        <w:t>En algunos Estados</w:t>
      </w:r>
      <w:r w:rsidR="007362B1" w:rsidRPr="00373B0A">
        <w:rPr>
          <w:noProof/>
          <w:lang w:val="es-ES" w:eastAsia="fr-FR"/>
        </w:rPr>
        <w:t xml:space="preserve"> hay un solo marco </w:t>
      </w:r>
      <w:r w:rsidR="007362B1" w:rsidRPr="00373B0A">
        <w:rPr>
          <w:lang w:val="es-ES"/>
        </w:rPr>
        <w:t xml:space="preserve">legislativo e institucional </w:t>
      </w:r>
      <w:r w:rsidR="00C50947" w:rsidRPr="00373B0A">
        <w:rPr>
          <w:lang w:val="es-ES"/>
        </w:rPr>
        <w:t xml:space="preserve">en el </w:t>
      </w:r>
      <w:r w:rsidR="007362B1" w:rsidRPr="00373B0A">
        <w:rPr>
          <w:lang w:val="es-ES"/>
        </w:rPr>
        <w:t xml:space="preserve">que </w:t>
      </w:r>
      <w:r w:rsidR="00C50947" w:rsidRPr="00373B0A">
        <w:rPr>
          <w:lang w:val="es-ES"/>
        </w:rPr>
        <w:t xml:space="preserve">se </w:t>
      </w:r>
      <w:r w:rsidR="007362B1" w:rsidRPr="00373B0A">
        <w:rPr>
          <w:lang w:val="es-ES"/>
        </w:rPr>
        <w:t>agrupa</w:t>
      </w:r>
      <w:r w:rsidR="00C50947" w:rsidRPr="00373B0A">
        <w:rPr>
          <w:lang w:val="es-ES"/>
        </w:rPr>
        <w:t>n</w:t>
      </w:r>
      <w:r w:rsidR="007362B1" w:rsidRPr="00373B0A">
        <w:rPr>
          <w:lang w:val="es-ES"/>
        </w:rPr>
        <w:t xml:space="preserve"> </w:t>
      </w:r>
      <w:r w:rsidR="00C50947" w:rsidRPr="00373B0A">
        <w:rPr>
          <w:lang w:val="es-ES"/>
        </w:rPr>
        <w:t xml:space="preserve">las responsabilidades referentes al patrimonio </w:t>
      </w:r>
      <w:r w:rsidR="00715B7E" w:rsidRPr="00373B0A">
        <w:rPr>
          <w:lang w:val="es-ES"/>
        </w:rPr>
        <w:t>cultural</w:t>
      </w:r>
      <w:r w:rsidR="00C50947" w:rsidRPr="00373B0A">
        <w:rPr>
          <w:lang w:val="es-ES"/>
        </w:rPr>
        <w:t xml:space="preserve">, tanto material como </w:t>
      </w:r>
      <w:r w:rsidR="00715B7E" w:rsidRPr="00373B0A">
        <w:rPr>
          <w:lang w:val="es-ES"/>
        </w:rPr>
        <w:t>inmaterial</w:t>
      </w:r>
      <w:r w:rsidR="00C50947" w:rsidRPr="00373B0A">
        <w:rPr>
          <w:lang w:val="es-ES"/>
        </w:rPr>
        <w:t>, mientras que en otros Estados esas responsabilidades se ejercen por separado</w:t>
      </w:r>
      <w:r w:rsidR="000E5B15" w:rsidRPr="00373B0A">
        <w:rPr>
          <w:lang w:val="es-ES"/>
        </w:rPr>
        <w:t xml:space="preserve">. </w:t>
      </w:r>
      <w:r w:rsidR="00C50947" w:rsidRPr="00373B0A">
        <w:rPr>
          <w:lang w:val="es-ES"/>
        </w:rPr>
        <w:t>Las instituciones existentes pueden asumir las nuevas funciones requeridas por la supervisión de la aplicación de la Convención, o se pueden crear nuevos organismos a tal efecto</w:t>
      </w:r>
      <w:r w:rsidR="000E5B15" w:rsidRPr="00373B0A">
        <w:rPr>
          <w:lang w:val="es-ES"/>
        </w:rPr>
        <w:t>.</w:t>
      </w:r>
    </w:p>
    <w:p w:rsidR="000E5B15" w:rsidRPr="00373B0A" w:rsidRDefault="00715B7E" w:rsidP="002D5639">
      <w:pPr>
        <w:pStyle w:val="Informations"/>
        <w:rPr>
          <w:lang w:val="es-ES"/>
        </w:rPr>
      </w:pPr>
      <w:r w:rsidRPr="00373B0A">
        <w:rPr>
          <w:lang w:val="es-ES"/>
        </w:rPr>
        <w:t>E</w:t>
      </w:r>
      <w:r w:rsidR="00CE3C38" w:rsidRPr="00373B0A">
        <w:rPr>
          <w:lang w:val="es-ES"/>
        </w:rPr>
        <w:t>n el E</w:t>
      </w:r>
      <w:r w:rsidRPr="00373B0A">
        <w:rPr>
          <w:lang w:val="es-ES"/>
        </w:rPr>
        <w:t>studio de Caso</w:t>
      </w:r>
      <w:r w:rsidR="00CE3C38" w:rsidRPr="00373B0A">
        <w:rPr>
          <w:lang w:val="es-ES"/>
        </w:rPr>
        <w:t xml:space="preserve"> 29 se proporciona un ejemplo de los organismos estatales que intervienen en la salvaguardia del PCI </w:t>
      </w:r>
      <w:r w:rsidR="007A3416" w:rsidRPr="00373B0A">
        <w:rPr>
          <w:lang w:val="es-ES"/>
        </w:rPr>
        <w:t>en</w:t>
      </w:r>
      <w:r w:rsidR="00CE3C38" w:rsidRPr="00373B0A">
        <w:rPr>
          <w:lang w:val="es-ES"/>
        </w:rPr>
        <w:t xml:space="preserve"> Sudáfrica</w:t>
      </w:r>
      <w:r w:rsidR="000E5B15" w:rsidRPr="00373B0A">
        <w:rPr>
          <w:lang w:val="es-ES"/>
        </w:rPr>
        <w:t>.</w:t>
      </w:r>
    </w:p>
    <w:p w:rsidR="000E5B15" w:rsidRPr="00373B0A" w:rsidRDefault="00C50947" w:rsidP="002D5639">
      <w:pPr>
        <w:pStyle w:val="Texte1"/>
        <w:rPr>
          <w:lang w:val="es-ES"/>
        </w:rPr>
      </w:pPr>
      <w:r w:rsidRPr="00373B0A">
        <w:rPr>
          <w:lang w:val="es-ES"/>
        </w:rPr>
        <w:t xml:space="preserve">En los Estados donde el gobierno está bastante centralizado, las instituciones centrales desempeñan las funciones relativas al patrimonio cultural bajo la dirección de un ministerio nacional, aplicando sus políticas. En general, el marco jurídico y administrativo requerido para aplicar la Convención en el plano nacional no suele ser de la competencia exclusiva del Ministerio de Cultura o su equivalente. En muchos Estados, las constituciones nacionales o las declaraciones de derechos y garantías fundamentales protegen el derecho de las personas a participar en la vida cultural, </w:t>
      </w:r>
      <w:r w:rsidR="00F746B3">
        <w:rPr>
          <w:lang w:val="es-ES"/>
        </w:rPr>
        <w:t>en la medida en que el ejercicio de ese derecho n</w:t>
      </w:r>
      <w:r w:rsidRPr="00373B0A">
        <w:rPr>
          <w:lang w:val="es-ES"/>
        </w:rPr>
        <w:t xml:space="preserve">o </w:t>
      </w:r>
      <w:r w:rsidR="00F746B3">
        <w:rPr>
          <w:lang w:val="es-ES"/>
        </w:rPr>
        <w:t>implique que se conculquen</w:t>
      </w:r>
      <w:r w:rsidRPr="00373B0A">
        <w:rPr>
          <w:lang w:val="es-ES"/>
        </w:rPr>
        <w:t xml:space="preserve"> otros derechos humanos. Las políticas y legislaciones de sectores como la agricultura, el turismo, la medicina y las finanzas, entre otro</w:t>
      </w:r>
      <w:r w:rsidR="00F746B3">
        <w:rPr>
          <w:lang w:val="es-ES"/>
        </w:rPr>
        <w:t>s, pueden tener repercusiones –</w:t>
      </w:r>
      <w:r w:rsidRPr="00373B0A">
        <w:rPr>
          <w:lang w:val="es-ES"/>
        </w:rPr>
        <w:t>positivas o negativas– en la forma en que las comunidades, ONG, instituciones diversas y entidades pueden salvaguardar el PCI presente en su territorio</w:t>
      </w:r>
      <w:r w:rsidR="000E5B15" w:rsidRPr="00373B0A">
        <w:rPr>
          <w:lang w:val="es-ES"/>
        </w:rPr>
        <w:t>.</w:t>
      </w:r>
    </w:p>
    <w:p w:rsidR="000E5B15" w:rsidRPr="00373B0A" w:rsidRDefault="003D29CA" w:rsidP="002D5639">
      <w:pPr>
        <w:pStyle w:val="Texte1"/>
        <w:rPr>
          <w:lang w:val="es-ES"/>
        </w:rPr>
      </w:pPr>
      <w:r w:rsidRPr="00373B0A">
        <w:rPr>
          <w:lang w:val="es-ES"/>
        </w:rPr>
        <w:t xml:space="preserve">En los países </w:t>
      </w:r>
      <w:r w:rsidR="004B192F" w:rsidRPr="00373B0A">
        <w:rPr>
          <w:lang w:val="es-ES"/>
        </w:rPr>
        <w:t>donde los</w:t>
      </w:r>
      <w:r w:rsidRPr="00373B0A">
        <w:rPr>
          <w:lang w:val="es-ES"/>
        </w:rPr>
        <w:t xml:space="preserve"> impuestos </w:t>
      </w:r>
      <w:r w:rsidR="004B192F" w:rsidRPr="00373B0A">
        <w:rPr>
          <w:lang w:val="es-ES"/>
        </w:rPr>
        <w:t xml:space="preserve">sobre </w:t>
      </w:r>
      <w:r w:rsidRPr="00373B0A">
        <w:rPr>
          <w:lang w:val="es-ES"/>
        </w:rPr>
        <w:t>suces</w:t>
      </w:r>
      <w:r w:rsidR="004B192F" w:rsidRPr="00373B0A">
        <w:rPr>
          <w:lang w:val="es-ES"/>
        </w:rPr>
        <w:t>i</w:t>
      </w:r>
      <w:r w:rsidRPr="00373B0A">
        <w:rPr>
          <w:lang w:val="es-ES"/>
        </w:rPr>
        <w:t>o</w:t>
      </w:r>
      <w:r w:rsidR="004B192F" w:rsidRPr="00373B0A">
        <w:rPr>
          <w:lang w:val="es-ES"/>
        </w:rPr>
        <w:t>ne</w:t>
      </w:r>
      <w:r w:rsidRPr="00373B0A">
        <w:rPr>
          <w:lang w:val="es-ES"/>
        </w:rPr>
        <w:t xml:space="preserve">s </w:t>
      </w:r>
      <w:r w:rsidR="004B192F" w:rsidRPr="00373B0A">
        <w:rPr>
          <w:lang w:val="es-ES"/>
        </w:rPr>
        <w:t xml:space="preserve">son </w:t>
      </w:r>
      <w:r w:rsidRPr="00373B0A">
        <w:rPr>
          <w:lang w:val="es-ES"/>
        </w:rPr>
        <w:t>elevados, las personas que poseen instrumentos musicales o trajes tradicionales valiosos no son proclives a transmitirlos a los practicantes más jóvenes de los elementos del PCI de que se trate</w:t>
      </w:r>
      <w:r w:rsidR="00F746B3">
        <w:rPr>
          <w:lang w:val="es-ES"/>
        </w:rPr>
        <w:t xml:space="preserve"> para que los sigan usando</w:t>
      </w:r>
      <w:r w:rsidRPr="00373B0A">
        <w:rPr>
          <w:lang w:val="es-ES"/>
        </w:rPr>
        <w:t xml:space="preserve"> </w:t>
      </w:r>
      <w:r w:rsidR="00F746B3">
        <w:rPr>
          <w:lang w:val="es-ES"/>
        </w:rPr>
        <w:t>en la</w:t>
      </w:r>
      <w:r w:rsidRPr="00373B0A">
        <w:rPr>
          <w:lang w:val="es-ES"/>
        </w:rPr>
        <w:t xml:space="preserve"> práctica</w:t>
      </w:r>
      <w:r w:rsidR="001C44F1">
        <w:rPr>
          <w:lang w:val="es-ES"/>
        </w:rPr>
        <w:t xml:space="preserve"> de éstos</w:t>
      </w:r>
      <w:r w:rsidRPr="00373B0A">
        <w:rPr>
          <w:lang w:val="es-ES"/>
        </w:rPr>
        <w:t>. En vez de transmitirlos a las generaciones más jóvenes, los poseedores de esos objetos se ven obligados a venderlos a museos e instituciones de diverso tipo. De ahí la necesidad de que se modifiquen adecuadamente las disposiciones legales vigentes para impulsar la continuidad de la práctica de los elementos del PCI.</w:t>
      </w:r>
    </w:p>
    <w:p w:rsidR="00B57BFE" w:rsidRPr="00373B0A" w:rsidRDefault="004B192F" w:rsidP="00A853D3">
      <w:pPr>
        <w:pStyle w:val="Heading4"/>
        <w:rPr>
          <w:lang w:val="es-ES"/>
        </w:rPr>
      </w:pPr>
      <w:bookmarkStart w:id="28" w:name="_Toc348717685"/>
      <w:bookmarkStart w:id="29" w:name="_Toc348718025"/>
      <w:bookmarkStart w:id="30" w:name="_Toc348718377"/>
      <w:r w:rsidRPr="00373B0A">
        <w:rPr>
          <w:lang w:val="es-ES"/>
        </w:rPr>
        <w:t>El peligro del exceso de medidas legislativas o intervenciones administrativa</w:t>
      </w:r>
      <w:bookmarkEnd w:id="28"/>
      <w:bookmarkEnd w:id="29"/>
      <w:bookmarkEnd w:id="30"/>
      <w:r w:rsidRPr="00373B0A">
        <w:rPr>
          <w:lang w:val="es-ES"/>
        </w:rPr>
        <w:t>s</w:t>
      </w:r>
    </w:p>
    <w:p w:rsidR="004D318B" w:rsidRPr="00373B0A" w:rsidRDefault="00855279" w:rsidP="002D5639">
      <w:pPr>
        <w:pStyle w:val="Texte1"/>
        <w:rPr>
          <w:lang w:val="es-ES"/>
        </w:rPr>
      </w:pPr>
      <w:r w:rsidRPr="00373B0A">
        <w:rPr>
          <w:lang w:val="es-ES"/>
        </w:rPr>
        <w:t xml:space="preserve">Aunque la Convención alienta a los Estados Partes a aplicar medidas de orden jurídico y administrativo, no les exige que adopten oficialmente una legislación para llevar cabo las </w:t>
      </w:r>
      <w:r w:rsidRPr="00373B0A">
        <w:rPr>
          <w:lang w:val="es-ES"/>
        </w:rPr>
        <w:lastRenderedPageBreak/>
        <w:t xml:space="preserve">tareas que les incumben en la aplicación de la Convención. Paradójicamente, el exceso de medidas legislativas o intervenciones administrativas puede obstaculizar la salvaguardia del PCI. Las comunidades deben gozar de la mayor libertad posible para decidir cuándo y cómo desean manifestar y practicar los elementos de su PCI. También deben gozar del control de éste, siempre y cuando sus prácticas y expresiones cumplan con la legislación y las políticas pertinentes de sus Estados respectivos. Lo deseable </w:t>
      </w:r>
      <w:r w:rsidR="004707C3" w:rsidRPr="00373B0A">
        <w:rPr>
          <w:lang w:val="es-ES"/>
        </w:rPr>
        <w:t>es</w:t>
      </w:r>
      <w:r w:rsidRPr="00373B0A">
        <w:rPr>
          <w:lang w:val="es-ES"/>
        </w:rPr>
        <w:t xml:space="preserve"> que las legislaciones y políticas estatales no excluy</w:t>
      </w:r>
      <w:r w:rsidR="004707C3" w:rsidRPr="00373B0A">
        <w:rPr>
          <w:lang w:val="es-ES"/>
        </w:rPr>
        <w:t>a</w:t>
      </w:r>
      <w:r w:rsidRPr="00373B0A">
        <w:rPr>
          <w:lang w:val="es-ES"/>
        </w:rPr>
        <w:t>n ningún elemento del PCI que sea conforme a la definición de patrimonio cultural inmaterial que se da en la Convención</w:t>
      </w:r>
      <w:r w:rsidR="004D318B" w:rsidRPr="001C44F1">
        <w:rPr>
          <w:lang w:val="es-ES"/>
        </w:rPr>
        <w:t xml:space="preserve">, </w:t>
      </w:r>
      <w:r w:rsidR="004707C3" w:rsidRPr="001C44F1">
        <w:rPr>
          <w:lang w:val="es-ES"/>
        </w:rPr>
        <w:t>y que no impliquen una apropiación del PCI de las</w:t>
      </w:r>
      <w:r w:rsidR="005507CE" w:rsidRPr="001C44F1">
        <w:rPr>
          <w:lang w:val="es-ES"/>
        </w:rPr>
        <w:t xml:space="preserve"> </w:t>
      </w:r>
      <w:r w:rsidR="004707C3" w:rsidRPr="001C44F1">
        <w:rPr>
          <w:lang w:val="es-ES"/>
        </w:rPr>
        <w:t>comunidades por parte del Estado</w:t>
      </w:r>
      <w:r w:rsidR="004D318B" w:rsidRPr="001C44F1">
        <w:rPr>
          <w:lang w:val="es-ES"/>
        </w:rPr>
        <w:t>.</w:t>
      </w:r>
    </w:p>
    <w:p w:rsidR="004D318B" w:rsidRPr="00373B0A" w:rsidRDefault="00955176" w:rsidP="00C82E38">
      <w:pPr>
        <w:pStyle w:val="Titcoul"/>
        <w:rPr>
          <w:lang w:val="es-ES"/>
        </w:rPr>
      </w:pPr>
      <w:bookmarkStart w:id="31" w:name="_Toc241229734"/>
      <w:bookmarkStart w:id="32" w:name="_Toc241229938"/>
      <w:bookmarkStart w:id="33" w:name="_Toc242165632"/>
      <w:r w:rsidRPr="00373B0A">
        <w:rPr>
          <w:lang w:val="es-ES"/>
        </w:rPr>
        <w:t>10</w:t>
      </w:r>
      <w:r w:rsidR="004D318B" w:rsidRPr="00373B0A">
        <w:rPr>
          <w:lang w:val="es-ES"/>
        </w:rPr>
        <w:t>.5</w:t>
      </w:r>
      <w:r w:rsidR="005672B3" w:rsidRPr="00373B0A">
        <w:rPr>
          <w:lang w:val="es-ES"/>
        </w:rPr>
        <w:tab/>
      </w:r>
      <w:bookmarkEnd w:id="31"/>
      <w:bookmarkEnd w:id="32"/>
      <w:bookmarkEnd w:id="33"/>
      <w:r w:rsidR="00BC6CAE" w:rsidRPr="00373B0A">
        <w:rPr>
          <w:lang w:val="es-ES"/>
        </w:rPr>
        <w:t>Marcos institucionales</w:t>
      </w:r>
    </w:p>
    <w:p w:rsidR="000E5B15" w:rsidRPr="00373B0A" w:rsidRDefault="00521548" w:rsidP="002D5639">
      <w:pPr>
        <w:pStyle w:val="Texte1"/>
        <w:rPr>
          <w:lang w:val="es-ES"/>
        </w:rPr>
      </w:pPr>
      <w:r w:rsidRPr="00373B0A">
        <w:rPr>
          <w:noProof/>
          <w:lang w:eastAsia="en-GB"/>
        </w:rPr>
        <w:drawing>
          <wp:anchor distT="0" distB="0" distL="114300" distR="114300" simplePos="0" relativeHeight="251962880" behindDoc="0" locked="1" layoutInCell="1" allowOverlap="0">
            <wp:simplePos x="0" y="0"/>
            <wp:positionH relativeFrom="column">
              <wp:posOffset>1905</wp:posOffset>
            </wp:positionH>
            <wp:positionV relativeFrom="paragraph">
              <wp:posOffset>-29210</wp:posOffset>
            </wp:positionV>
            <wp:extent cx="281305" cy="357505"/>
            <wp:effectExtent l="19050" t="0" r="4445" b="0"/>
            <wp:wrapThrough wrapText="bothSides">
              <wp:wrapPolygon edited="0">
                <wp:start x="-1463" y="0"/>
                <wp:lineTo x="-1463" y="20718"/>
                <wp:lineTo x="21941" y="20718"/>
                <wp:lineTo x="21941" y="0"/>
                <wp:lineTo x="-1463" y="0"/>
              </wp:wrapPolygon>
            </wp:wrapThrough>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305" cy="357505"/>
                    </a:xfrm>
                    <a:prstGeom prst="rect">
                      <a:avLst/>
                    </a:prstGeom>
                  </pic:spPr>
                </pic:pic>
              </a:graphicData>
            </a:graphic>
          </wp:anchor>
        </w:drawing>
      </w:r>
      <w:r w:rsidR="00BC6CAE" w:rsidRPr="00373B0A">
        <w:rPr>
          <w:lang w:val="es-ES"/>
        </w:rPr>
        <w:t xml:space="preserve">En la Sección 8 del </w:t>
      </w:r>
      <w:r w:rsidR="0036378C" w:rsidRPr="00373B0A">
        <w:rPr>
          <w:lang w:val="es-ES"/>
        </w:rPr>
        <w:t>Texto para el Participante</w:t>
      </w:r>
      <w:r w:rsidR="00BC6CAE" w:rsidRPr="00373B0A">
        <w:rPr>
          <w:lang w:val="es-ES"/>
        </w:rPr>
        <w:t xml:space="preserve"> de la Unidad 4 figura un resumen de</w:t>
      </w:r>
      <w:r w:rsidR="005507CE" w:rsidRPr="00373B0A">
        <w:rPr>
          <w:lang w:val="es-ES"/>
        </w:rPr>
        <w:t xml:space="preserve"> </w:t>
      </w:r>
      <w:r w:rsidR="004A5F45" w:rsidRPr="00373B0A">
        <w:rPr>
          <w:lang w:val="es-ES"/>
        </w:rPr>
        <w:t>los tipos de actividades en las que –según la Convención y sus DO</w:t>
      </w:r>
      <w:r w:rsidR="00D31F0E" w:rsidRPr="00373B0A">
        <w:rPr>
          <w:lang w:val="es-ES"/>
        </w:rPr>
        <w:t>–</w:t>
      </w:r>
      <w:r w:rsidR="004A5F45" w:rsidRPr="00373B0A">
        <w:rPr>
          <w:lang w:val="es-ES"/>
        </w:rPr>
        <w:t xml:space="preserve"> diversas instituciones pueden prestar ayuda a las comunidades para salvaguardar el PCI, contando </w:t>
      </w:r>
      <w:r w:rsidR="00D31F0E" w:rsidRPr="00373B0A">
        <w:rPr>
          <w:lang w:val="es-ES"/>
        </w:rPr>
        <w:t xml:space="preserve">siempre </w:t>
      </w:r>
      <w:r w:rsidR="004A5F45" w:rsidRPr="00373B0A">
        <w:rPr>
          <w:lang w:val="es-ES"/>
        </w:rPr>
        <w:t xml:space="preserve">con </w:t>
      </w:r>
      <w:r w:rsidR="00D31F0E" w:rsidRPr="00373B0A">
        <w:rPr>
          <w:lang w:val="es-ES"/>
        </w:rPr>
        <w:t>su</w:t>
      </w:r>
      <w:r w:rsidR="004A5F45" w:rsidRPr="00373B0A">
        <w:rPr>
          <w:lang w:val="es-ES"/>
        </w:rPr>
        <w:t xml:space="preserve"> participación y consentimiento</w:t>
      </w:r>
      <w:r w:rsidR="004D318B" w:rsidRPr="00373B0A">
        <w:rPr>
          <w:lang w:val="es-ES"/>
        </w:rPr>
        <w:t xml:space="preserve">. </w:t>
      </w:r>
      <w:r w:rsidR="00D31F0E" w:rsidRPr="00373B0A">
        <w:rPr>
          <w:lang w:val="es-ES"/>
        </w:rPr>
        <w:t xml:space="preserve">Obviamente, las instituciones pueden </w:t>
      </w:r>
      <w:r w:rsidR="001C44F1" w:rsidRPr="00373B0A">
        <w:rPr>
          <w:lang w:val="es-ES"/>
        </w:rPr>
        <w:t xml:space="preserve">trabajar </w:t>
      </w:r>
      <w:r w:rsidR="00D31F0E" w:rsidRPr="00373B0A">
        <w:rPr>
          <w:lang w:val="es-ES"/>
        </w:rPr>
        <w:t>tambi</w:t>
      </w:r>
      <w:r w:rsidR="000474BD" w:rsidRPr="00373B0A">
        <w:rPr>
          <w:lang w:val="es-ES"/>
        </w:rPr>
        <w:t>é</w:t>
      </w:r>
      <w:r w:rsidR="00D31F0E" w:rsidRPr="00373B0A">
        <w:rPr>
          <w:lang w:val="es-ES"/>
        </w:rPr>
        <w:t xml:space="preserve">n directamente con las comunidades interesadas por iniciativa propia, a condición de que éstas </w:t>
      </w:r>
      <w:r w:rsidR="001C44F1">
        <w:rPr>
          <w:lang w:val="es-ES"/>
        </w:rPr>
        <w:t xml:space="preserve">últimas </w:t>
      </w:r>
      <w:r w:rsidR="00D31F0E" w:rsidRPr="00373B0A">
        <w:rPr>
          <w:lang w:val="es-ES"/>
        </w:rPr>
        <w:t>convengan en ello</w:t>
      </w:r>
      <w:r w:rsidR="004D318B" w:rsidRPr="00373B0A">
        <w:rPr>
          <w:lang w:val="es-ES"/>
        </w:rPr>
        <w:t xml:space="preserve">. </w:t>
      </w:r>
      <w:r w:rsidR="00D31F0E" w:rsidRPr="00373B0A">
        <w:rPr>
          <w:lang w:val="es-ES"/>
        </w:rPr>
        <w:t>Las actividades que las instituciones emprendan no tienen por qué estar centralizadas, pero se tienen que coordinar adecuadamente para lograr la mayor eficiencia posible y evitar repeticiones inútiles</w:t>
      </w:r>
      <w:r w:rsidR="004D318B" w:rsidRPr="00373B0A">
        <w:rPr>
          <w:lang w:val="es-ES"/>
        </w:rPr>
        <w:t>.</w:t>
      </w:r>
    </w:p>
    <w:p w:rsidR="004D318B" w:rsidRPr="00373B0A" w:rsidRDefault="005507CE" w:rsidP="002D5639">
      <w:pPr>
        <w:pStyle w:val="Texte1"/>
        <w:rPr>
          <w:lang w:val="es-ES"/>
        </w:rPr>
      </w:pPr>
      <w:r w:rsidRPr="00373B0A">
        <w:rPr>
          <w:lang w:val="es-ES"/>
        </w:rPr>
        <w:t>En las</w:t>
      </w:r>
      <w:r w:rsidR="00D31F0E" w:rsidRPr="00373B0A">
        <w:rPr>
          <w:lang w:val="es-ES"/>
        </w:rPr>
        <w:t xml:space="preserve"> Directrices Operativas se alienta a los Estados Partes a crear órganos consultivos o mecanismos de coordinación para facilitar la participación de las comunidades y los expertos en diversas actividades</w:t>
      </w:r>
      <w:r w:rsidR="004D318B" w:rsidRPr="00373B0A">
        <w:rPr>
          <w:lang w:val="es-ES"/>
        </w:rPr>
        <w:t xml:space="preserve"> (</w:t>
      </w:r>
      <w:r w:rsidR="00034B82" w:rsidRPr="00373B0A">
        <w:rPr>
          <w:lang w:val="es-ES"/>
        </w:rPr>
        <w:t>DO</w:t>
      </w:r>
      <w:r w:rsidR="004D318B" w:rsidRPr="00373B0A">
        <w:rPr>
          <w:lang w:val="es-ES"/>
        </w:rPr>
        <w:t xml:space="preserve"> 80). </w:t>
      </w:r>
      <w:r w:rsidR="00D31F0E" w:rsidRPr="00373B0A">
        <w:rPr>
          <w:lang w:val="es-ES"/>
        </w:rPr>
        <w:t>Los Estados Partes no tienen la obligación de crear esos órganos, pero se les aconseja que examinen cómo se puede garantizar la participación de las comunidades en la</w:t>
      </w:r>
      <w:r w:rsidR="000474BD" w:rsidRPr="00373B0A">
        <w:rPr>
          <w:lang w:val="es-ES"/>
        </w:rPr>
        <w:t>s</w:t>
      </w:r>
      <w:r w:rsidR="00D31F0E" w:rsidRPr="00373B0A">
        <w:rPr>
          <w:lang w:val="es-ES"/>
        </w:rPr>
        <w:t xml:space="preserve"> actividades de salvaguardia del PCI y cómo se puede lograr la coordinación de es</w:t>
      </w:r>
      <w:r w:rsidR="000474BD" w:rsidRPr="00373B0A">
        <w:rPr>
          <w:lang w:val="es-ES"/>
        </w:rPr>
        <w:t>t</w:t>
      </w:r>
      <w:r w:rsidR="00D31F0E" w:rsidRPr="00373B0A">
        <w:rPr>
          <w:lang w:val="es-ES"/>
        </w:rPr>
        <w:t>as actividades</w:t>
      </w:r>
      <w:r w:rsidR="004D318B" w:rsidRPr="00373B0A">
        <w:rPr>
          <w:lang w:val="es-ES"/>
        </w:rPr>
        <w:t xml:space="preserve">. </w:t>
      </w:r>
      <w:r w:rsidR="000474BD" w:rsidRPr="00373B0A">
        <w:rPr>
          <w:lang w:val="es-ES"/>
        </w:rPr>
        <w:t>En lo</w:t>
      </w:r>
      <w:r w:rsidR="000F6FE1">
        <w:rPr>
          <w:lang w:val="es-ES"/>
        </w:rPr>
        <w:t>s informes periódicos (DO 157.e</w:t>
      </w:r>
      <w:r w:rsidR="000474BD" w:rsidRPr="00373B0A">
        <w:rPr>
          <w:lang w:val="es-ES"/>
        </w:rPr>
        <w:t xml:space="preserve"> </w:t>
      </w:r>
      <w:r w:rsidR="000F6FE1">
        <w:rPr>
          <w:lang w:val="es-ES"/>
        </w:rPr>
        <w:t>y</w:t>
      </w:r>
      <w:r w:rsidR="000474BD" w:rsidRPr="00373B0A">
        <w:rPr>
          <w:lang w:val="es-ES"/>
        </w:rPr>
        <w:t xml:space="preserve"> 162.d) y los expedientes de candidatura (DO 1 y 2) se exigen pruebas de la participación de las comunidades y, a </w:t>
      </w:r>
      <w:r w:rsidR="000F6FE1">
        <w:rPr>
          <w:lang w:val="es-ES"/>
        </w:rPr>
        <w:t>menudo</w:t>
      </w:r>
      <w:r w:rsidR="000474BD" w:rsidRPr="00373B0A">
        <w:rPr>
          <w:lang w:val="es-ES"/>
        </w:rPr>
        <w:t xml:space="preserve"> también</w:t>
      </w:r>
      <w:r w:rsidR="000F6FE1">
        <w:rPr>
          <w:lang w:val="es-ES"/>
        </w:rPr>
        <w:t>,</w:t>
      </w:r>
      <w:r w:rsidR="000474BD" w:rsidRPr="00373B0A">
        <w:rPr>
          <w:lang w:val="es-ES"/>
        </w:rPr>
        <w:t xml:space="preserve"> de su consentimiento</w:t>
      </w:r>
      <w:r w:rsidR="004D318B" w:rsidRPr="00373B0A">
        <w:rPr>
          <w:lang w:val="es-ES"/>
        </w:rPr>
        <w:t>.</w:t>
      </w:r>
    </w:p>
    <w:p w:rsidR="004D318B" w:rsidRPr="002F1969" w:rsidRDefault="00955176" w:rsidP="00C82E38">
      <w:pPr>
        <w:pStyle w:val="Titcoul"/>
        <w:rPr>
          <w:lang w:val="es-ES"/>
        </w:rPr>
      </w:pPr>
      <w:bookmarkStart w:id="34" w:name="_Toc241229735"/>
      <w:bookmarkStart w:id="35" w:name="_Toc241229939"/>
      <w:bookmarkStart w:id="36" w:name="_Toc242165633"/>
      <w:r w:rsidRPr="002F1969">
        <w:rPr>
          <w:lang w:val="es-ES"/>
        </w:rPr>
        <w:t>10</w:t>
      </w:r>
      <w:r w:rsidR="004D318B" w:rsidRPr="002F1969">
        <w:rPr>
          <w:lang w:val="es-ES"/>
        </w:rPr>
        <w:t>.6</w:t>
      </w:r>
      <w:r w:rsidR="0063095F" w:rsidRPr="002F1969">
        <w:rPr>
          <w:lang w:val="es-ES"/>
        </w:rPr>
        <w:tab/>
      </w:r>
      <w:bookmarkEnd w:id="34"/>
      <w:bookmarkEnd w:id="35"/>
      <w:bookmarkEnd w:id="36"/>
      <w:r w:rsidR="008C0D26" w:rsidRPr="002F1969">
        <w:rPr>
          <w:lang w:val="es-ES"/>
        </w:rPr>
        <w:t>Protección de los derechos de propiedad intelectual (DPI) en el plano nacional</w:t>
      </w:r>
    </w:p>
    <w:p w:rsidR="004D318B" w:rsidRPr="002F1969" w:rsidRDefault="00F775C1" w:rsidP="002D5639">
      <w:pPr>
        <w:pStyle w:val="Texte1"/>
        <w:rPr>
          <w:lang w:val="es-ES"/>
        </w:rPr>
      </w:pPr>
      <w:r w:rsidRPr="002F1969">
        <w:rPr>
          <w:noProof/>
          <w:lang w:eastAsia="en-GB"/>
        </w:rPr>
        <w:drawing>
          <wp:anchor distT="0" distB="0" distL="114300" distR="114300" simplePos="0" relativeHeight="251741696" behindDoc="0" locked="0" layoutInCell="1" allowOverlap="1">
            <wp:simplePos x="0" y="0"/>
            <wp:positionH relativeFrom="column">
              <wp:posOffset>-45085</wp:posOffset>
            </wp:positionH>
            <wp:positionV relativeFrom="paragraph">
              <wp:posOffset>1259205</wp:posOffset>
            </wp:positionV>
            <wp:extent cx="283845" cy="357505"/>
            <wp:effectExtent l="19050" t="0" r="1905" b="0"/>
            <wp:wrapThrough wrapText="bothSides">
              <wp:wrapPolygon edited="0">
                <wp:start x="-1450" y="0"/>
                <wp:lineTo x="-1450" y="20718"/>
                <wp:lineTo x="21745" y="20718"/>
                <wp:lineTo x="21745" y="0"/>
                <wp:lineTo x="-1450" y="0"/>
              </wp:wrapPolygon>
            </wp:wrapThrough>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845" cy="357505"/>
                    </a:xfrm>
                    <a:prstGeom prst="rect">
                      <a:avLst/>
                    </a:prstGeom>
                  </pic:spPr>
                </pic:pic>
              </a:graphicData>
            </a:graphic>
          </wp:anchor>
        </w:drawing>
      </w:r>
      <w:r w:rsidR="00A46728" w:rsidRPr="002F1969">
        <w:rPr>
          <w:lang w:val="es-ES"/>
        </w:rPr>
        <w:t xml:space="preserve">La </w:t>
      </w:r>
      <w:hyperlink r:id="rId11" w:history="1">
        <w:r w:rsidR="00A46728" w:rsidRPr="002F1969">
          <w:rPr>
            <w:rStyle w:val="Hyperlink"/>
            <w:color w:val="auto"/>
            <w:u w:val="none"/>
            <w:lang w:val="es-ES"/>
          </w:rPr>
          <w:t xml:space="preserve">Convención se centra más en la salvaguardia del PCI que en la protección jurídica de </w:t>
        </w:r>
        <w:r w:rsidRPr="002F1969">
          <w:rPr>
            <w:rStyle w:val="Hyperlink"/>
            <w:color w:val="auto"/>
            <w:u w:val="none"/>
            <w:lang w:val="es-ES"/>
          </w:rPr>
          <w:t>su</w:t>
        </w:r>
        <w:r w:rsidR="00A46728" w:rsidRPr="002F1969">
          <w:rPr>
            <w:rStyle w:val="Hyperlink"/>
            <w:color w:val="auto"/>
            <w:u w:val="none"/>
            <w:lang w:val="es-ES"/>
          </w:rPr>
          <w:t xml:space="preserve">s manifestaciones específicas </w:t>
        </w:r>
        <w:r w:rsidR="002F1969">
          <w:rPr>
            <w:rStyle w:val="Hyperlink"/>
            <w:color w:val="auto"/>
            <w:u w:val="none"/>
            <w:lang w:val="es-ES"/>
          </w:rPr>
          <w:t>con</w:t>
        </w:r>
        <w:r w:rsidR="00A46728" w:rsidRPr="002F1969">
          <w:rPr>
            <w:rStyle w:val="Hyperlink"/>
            <w:color w:val="auto"/>
            <w:u w:val="none"/>
            <w:lang w:val="es-ES"/>
          </w:rPr>
          <w:t xml:space="preserve"> </w:t>
        </w:r>
        <w:r w:rsidR="002F1969">
          <w:rPr>
            <w:rStyle w:val="Hyperlink"/>
            <w:color w:val="auto"/>
            <w:u w:val="none"/>
            <w:lang w:val="es-ES"/>
          </w:rPr>
          <w:t xml:space="preserve">la aplicación de </w:t>
        </w:r>
        <w:r w:rsidR="00A46728" w:rsidRPr="002F1969">
          <w:rPr>
            <w:rStyle w:val="Hyperlink"/>
            <w:color w:val="auto"/>
            <w:u w:val="none"/>
            <w:lang w:val="es-ES"/>
          </w:rPr>
          <w:t xml:space="preserve">regímenes de derechos de propiedad </w:t>
        </w:r>
      </w:hyperlink>
      <w:r w:rsidR="00A46728" w:rsidRPr="002F1969">
        <w:rPr>
          <w:lang w:val="es-ES"/>
        </w:rPr>
        <w:t xml:space="preserve">intelectual (DPI). No obstante, en la DO 104 se recomienda a los Estados Partes que garanticen –mediante la aplicación de esos regímenes o de cualquier otra forma adecuada de protección jurídica– </w:t>
      </w:r>
      <w:r w:rsidR="002F1969">
        <w:rPr>
          <w:lang w:val="es-ES"/>
        </w:rPr>
        <w:t>el debido amparo</w:t>
      </w:r>
      <w:r w:rsidR="00A46728" w:rsidRPr="002F1969">
        <w:rPr>
          <w:lang w:val="es-ES"/>
        </w:rPr>
        <w:t xml:space="preserve"> de los derechos de las comunidades sobre su PCI, cuando se realicen actividades de sensibilización o se emprendan actividades comerciales</w:t>
      </w:r>
      <w:r w:rsidR="004D318B" w:rsidRPr="002F1969">
        <w:rPr>
          <w:lang w:val="es-ES"/>
        </w:rPr>
        <w:t>.</w:t>
      </w:r>
    </w:p>
    <w:p w:rsidR="004D318B" w:rsidRPr="00373B0A" w:rsidRDefault="00D2390F" w:rsidP="002D5639">
      <w:pPr>
        <w:pStyle w:val="Informations"/>
        <w:rPr>
          <w:lang w:val="es-ES"/>
        </w:rPr>
      </w:pPr>
      <w:r w:rsidRPr="002F1969">
        <w:rPr>
          <w:lang w:val="es-ES"/>
        </w:rPr>
        <w:t>Véase</w:t>
      </w:r>
      <w:r w:rsidR="004D318B" w:rsidRPr="002F1969">
        <w:rPr>
          <w:lang w:val="es-ES"/>
        </w:rPr>
        <w:t xml:space="preserve"> </w:t>
      </w:r>
      <w:r w:rsidRPr="002F1969">
        <w:rPr>
          <w:lang w:val="es-ES"/>
        </w:rPr>
        <w:t xml:space="preserve">el </w:t>
      </w:r>
      <w:r w:rsidR="0036378C" w:rsidRPr="002F1969">
        <w:rPr>
          <w:lang w:val="es-ES"/>
        </w:rPr>
        <w:t>Texto para el Participante</w:t>
      </w:r>
      <w:r w:rsidRPr="002F1969">
        <w:rPr>
          <w:lang w:val="es-ES"/>
        </w:rPr>
        <w:t xml:space="preserve"> de la</w:t>
      </w:r>
      <w:r w:rsidR="004D318B" w:rsidRPr="002F1969">
        <w:rPr>
          <w:lang w:val="es-ES"/>
        </w:rPr>
        <w:t xml:space="preserve"> </w:t>
      </w:r>
      <w:r w:rsidR="00002A62" w:rsidRPr="002F1969">
        <w:rPr>
          <w:lang w:val="es-ES"/>
        </w:rPr>
        <w:t>Uni</w:t>
      </w:r>
      <w:r w:rsidRPr="002F1969">
        <w:rPr>
          <w:lang w:val="es-ES"/>
        </w:rPr>
        <w:t>dad</w:t>
      </w:r>
      <w:r w:rsidR="00002A62" w:rsidRPr="002F1969">
        <w:rPr>
          <w:lang w:val="es-ES"/>
        </w:rPr>
        <w:t xml:space="preserve"> 3</w:t>
      </w:r>
      <w:r w:rsidR="004D318B" w:rsidRPr="002F1969">
        <w:rPr>
          <w:lang w:val="es-ES"/>
        </w:rPr>
        <w:t xml:space="preserve">: </w:t>
      </w:r>
      <w:r w:rsidRPr="002F1969">
        <w:rPr>
          <w:lang w:val="es-ES"/>
        </w:rPr>
        <w:t>“Propiedad inte</w:t>
      </w:r>
      <w:r w:rsidR="004D318B" w:rsidRPr="002F1969">
        <w:rPr>
          <w:lang w:val="es-ES"/>
        </w:rPr>
        <w:t>lectual’’.</w:t>
      </w:r>
    </w:p>
    <w:p w:rsidR="004D318B" w:rsidRPr="00373B0A" w:rsidRDefault="00D970AF" w:rsidP="002D5639">
      <w:pPr>
        <w:pStyle w:val="Texte1"/>
        <w:rPr>
          <w:lang w:val="es-ES"/>
        </w:rPr>
      </w:pPr>
      <w:r w:rsidRPr="00373B0A">
        <w:rPr>
          <w:lang w:val="es-ES"/>
        </w:rPr>
        <w:t xml:space="preserve">Algunos tipos de protección de la propiedad intelectual, como las marcas comerciales o de certificación, pueden contribuir a preservar los DPI relacionados con el PCI, incluidos los derechos morales. Sin embargo, los regímenes de DPI existentes no siempre pueden </w:t>
      </w:r>
      <w:r w:rsidRPr="00373B0A">
        <w:rPr>
          <w:lang w:val="es-ES"/>
        </w:rPr>
        <w:lastRenderedPageBreak/>
        <w:t xml:space="preserve">garantizar la protección de los derechos de las comunidades sobre su PCI. De ahí que en algunos países se hayan tenido que enmendar las leyes sobre la propiedad intelectual para asegurar esa protección. Los conocimientos tradicionales se pueden registrar, por ejemplo, en bases de datos especiales –como la Biblioteca </w:t>
      </w:r>
      <w:r w:rsidR="005507CE" w:rsidRPr="00373B0A">
        <w:rPr>
          <w:lang w:val="es-ES"/>
        </w:rPr>
        <w:t>D</w:t>
      </w:r>
      <w:r w:rsidRPr="00373B0A">
        <w:rPr>
          <w:lang w:val="es-ES"/>
        </w:rPr>
        <w:t>igital de Conocimientos Tradicionales (TKDL) de la India– para impedir que se concedan patentes comerciales sin la participación o el consentimiento de las comunidades</w:t>
      </w:r>
      <w:r w:rsidR="004D318B" w:rsidRPr="00373B0A">
        <w:rPr>
          <w:lang w:val="es-ES"/>
        </w:rPr>
        <w:t>.</w:t>
      </w:r>
    </w:p>
    <w:p w:rsidR="004D318B" w:rsidRPr="00373B0A" w:rsidRDefault="008C0D26" w:rsidP="00A853D3">
      <w:pPr>
        <w:pStyle w:val="Heading4"/>
        <w:rPr>
          <w:w w:val="105"/>
          <w:lang w:val="es-ES"/>
        </w:rPr>
      </w:pPr>
      <w:bookmarkStart w:id="37" w:name="_Toc348717688"/>
      <w:bookmarkStart w:id="38" w:name="_Toc348718028"/>
      <w:bookmarkStart w:id="39" w:name="_Toc348718380"/>
      <w:r w:rsidRPr="002F1969">
        <w:rPr>
          <w:lang w:val="es-ES"/>
        </w:rPr>
        <w:t>Cómo puede beneficiar la protección de los DPI a las comunidades interesadas</w:t>
      </w:r>
      <w:bookmarkEnd w:id="37"/>
      <w:bookmarkEnd w:id="38"/>
      <w:bookmarkEnd w:id="39"/>
    </w:p>
    <w:p w:rsidR="004D318B" w:rsidRPr="00373B0A" w:rsidRDefault="00D970AF" w:rsidP="002D5639">
      <w:pPr>
        <w:pStyle w:val="Texte1"/>
        <w:rPr>
          <w:lang w:val="es-ES"/>
        </w:rPr>
      </w:pPr>
      <w:r w:rsidRPr="00373B0A">
        <w:rPr>
          <w:lang w:val="es-ES"/>
        </w:rPr>
        <w:t>Mediante la aplicación de regímenes de DPI modificados</w:t>
      </w:r>
      <w:r w:rsidR="002F1969">
        <w:rPr>
          <w:lang w:val="es-ES"/>
        </w:rPr>
        <w:t xml:space="preserve"> y otros mecanismos,</w:t>
      </w:r>
      <w:r w:rsidRPr="00373B0A">
        <w:rPr>
          <w:lang w:val="es-ES"/>
        </w:rPr>
        <w:t xml:space="preserve"> se podría incitar u obligar a las empresas interesadas por la comercialización de conocimientos o expresiones del PCI a firmar acuerdos de aprovechamiento compartido de beneficios con las comunidades de que se trate. La protección de los DPI puede ayudar a las comunidades a mantener un mejor control de los beneficios económicos derivados de diferentes tipos de PCI: desde el acceso a representaciones hasta la venta de grabaciones o de productos relacionados con sus conocimientos y técnicas tradicionales. Asimismo, </w:t>
      </w:r>
      <w:r w:rsidR="002F1969">
        <w:rPr>
          <w:lang w:val="es-ES"/>
        </w:rPr>
        <w:t xml:space="preserve">esa protección </w:t>
      </w:r>
      <w:r w:rsidRPr="00373B0A">
        <w:rPr>
          <w:lang w:val="es-ES"/>
        </w:rPr>
        <w:t xml:space="preserve">puede ayudar a las comunidades a luchar contra </w:t>
      </w:r>
      <w:r w:rsidR="00F057FB">
        <w:rPr>
          <w:lang w:val="es-ES"/>
        </w:rPr>
        <w:t xml:space="preserve">la difusión de una imagen deformada </w:t>
      </w:r>
      <w:r w:rsidRPr="00373B0A">
        <w:rPr>
          <w:lang w:val="es-ES"/>
        </w:rPr>
        <w:t xml:space="preserve">de sus miembros y su PCI. A menudo, el desconocimiento de la ley y la incapacidad de aplicarla impiden </w:t>
      </w:r>
      <w:r w:rsidR="00F057FB">
        <w:rPr>
          <w:lang w:val="es-ES"/>
        </w:rPr>
        <w:t>a</w:t>
      </w:r>
      <w:r w:rsidRPr="00373B0A">
        <w:rPr>
          <w:lang w:val="es-ES"/>
        </w:rPr>
        <w:t xml:space="preserve"> las comunidades prote</w:t>
      </w:r>
      <w:r w:rsidR="00F057FB">
        <w:rPr>
          <w:lang w:val="es-ES"/>
        </w:rPr>
        <w:t>ger</w:t>
      </w:r>
      <w:r w:rsidRPr="00373B0A">
        <w:rPr>
          <w:lang w:val="es-ES"/>
        </w:rPr>
        <w:t xml:space="preserve"> </w:t>
      </w:r>
      <w:r w:rsidR="00F057FB">
        <w:rPr>
          <w:lang w:val="es-ES"/>
        </w:rPr>
        <w:t>los</w:t>
      </w:r>
      <w:r w:rsidRPr="00373B0A">
        <w:rPr>
          <w:lang w:val="es-ES"/>
        </w:rPr>
        <w:t xml:space="preserve"> derechos </w:t>
      </w:r>
      <w:r w:rsidR="00F057FB">
        <w:rPr>
          <w:lang w:val="es-ES"/>
        </w:rPr>
        <w:t>que poseen s</w:t>
      </w:r>
      <w:r w:rsidRPr="00373B0A">
        <w:rPr>
          <w:lang w:val="es-ES"/>
        </w:rPr>
        <w:t xml:space="preserve">obre su patrimonio. Cuando sea necesario, </w:t>
      </w:r>
      <w:r w:rsidR="00F057FB">
        <w:rPr>
          <w:lang w:val="es-ES"/>
        </w:rPr>
        <w:t xml:space="preserve">se </w:t>
      </w:r>
      <w:r w:rsidRPr="00373B0A">
        <w:rPr>
          <w:lang w:val="es-ES"/>
        </w:rPr>
        <w:t>p</w:t>
      </w:r>
      <w:r w:rsidR="00F057FB">
        <w:rPr>
          <w:lang w:val="es-ES"/>
        </w:rPr>
        <w:t>uede ayudar</w:t>
      </w:r>
      <w:r w:rsidRPr="00373B0A">
        <w:rPr>
          <w:lang w:val="es-ES"/>
        </w:rPr>
        <w:t xml:space="preserve"> a las comunidades a negociar acuerdos que </w:t>
      </w:r>
      <w:r w:rsidR="00F057FB">
        <w:rPr>
          <w:lang w:val="es-ES"/>
        </w:rPr>
        <w:t>amparen</w:t>
      </w:r>
      <w:r w:rsidRPr="00373B0A">
        <w:rPr>
          <w:lang w:val="es-ES"/>
        </w:rPr>
        <w:t xml:space="preserve"> sus derechos e intereses.</w:t>
      </w:r>
    </w:p>
    <w:p w:rsidR="004D318B" w:rsidRPr="00373B0A" w:rsidRDefault="00D970AF" w:rsidP="002D5639">
      <w:pPr>
        <w:pStyle w:val="Texte1"/>
        <w:rPr>
          <w:lang w:val="es-ES"/>
        </w:rPr>
      </w:pPr>
      <w:r w:rsidRPr="00373B0A">
        <w:rPr>
          <w:lang w:val="es-ES"/>
        </w:rPr>
        <w:t xml:space="preserve">A veces es difícil lograr la protección de los DPI y, </w:t>
      </w:r>
      <w:r w:rsidR="00F057FB">
        <w:rPr>
          <w:lang w:val="es-ES"/>
        </w:rPr>
        <w:t>en caso de que se</w:t>
      </w:r>
      <w:r w:rsidRPr="00373B0A">
        <w:rPr>
          <w:lang w:val="es-ES"/>
        </w:rPr>
        <w:t xml:space="preserve"> logr</w:t>
      </w:r>
      <w:r w:rsidR="00F057FB">
        <w:rPr>
          <w:lang w:val="es-ES"/>
        </w:rPr>
        <w:t>e preservarlos</w:t>
      </w:r>
      <w:r w:rsidRPr="00373B0A">
        <w:rPr>
          <w:lang w:val="es-ES"/>
        </w:rPr>
        <w:t xml:space="preserve">, no siempre </w:t>
      </w:r>
      <w:r w:rsidR="00F057FB">
        <w:rPr>
          <w:lang w:val="es-ES"/>
        </w:rPr>
        <w:t>se pueden</w:t>
      </w:r>
      <w:r w:rsidRPr="00373B0A">
        <w:rPr>
          <w:lang w:val="es-ES"/>
        </w:rPr>
        <w:t xml:space="preserve"> solucionar problemas de carácter más general, como la pobreza y la marginación social. En determinadas circunstancias se puede impulsar eficazmente el desarrollo, haciendo de dominio público la información sobre elementos de</w:t>
      </w:r>
      <w:r w:rsidR="005507CE" w:rsidRPr="00373B0A">
        <w:rPr>
          <w:lang w:val="es-ES"/>
        </w:rPr>
        <w:t xml:space="preserve"> </w:t>
      </w:r>
      <w:r w:rsidRPr="00373B0A">
        <w:rPr>
          <w:lang w:val="es-ES"/>
        </w:rPr>
        <w:t>PCI que no tenga</w:t>
      </w:r>
      <w:r w:rsidR="00F057FB">
        <w:rPr>
          <w:lang w:val="es-ES"/>
        </w:rPr>
        <w:t>n un carácter secreto o reservado</w:t>
      </w:r>
      <w:r w:rsidRPr="00373B0A">
        <w:rPr>
          <w:lang w:val="es-ES"/>
        </w:rPr>
        <w:t xml:space="preserve"> y centrándose en la realización de proyectos de desarrollo comunitario</w:t>
      </w:r>
      <w:r w:rsidR="004D318B" w:rsidRPr="00373B0A">
        <w:rPr>
          <w:lang w:val="es-ES"/>
        </w:rPr>
        <w:t>.</w:t>
      </w:r>
    </w:p>
    <w:p w:rsidR="004D318B" w:rsidRPr="00373B0A" w:rsidRDefault="00955176" w:rsidP="00C82E38">
      <w:pPr>
        <w:pStyle w:val="Titcoul"/>
        <w:rPr>
          <w:lang w:val="es-ES"/>
        </w:rPr>
      </w:pPr>
      <w:bookmarkStart w:id="40" w:name="_Toc241229736"/>
      <w:bookmarkStart w:id="41" w:name="_Toc241229940"/>
      <w:bookmarkStart w:id="42" w:name="_Toc242165634"/>
      <w:r w:rsidRPr="00373B0A">
        <w:rPr>
          <w:lang w:val="es-ES"/>
        </w:rPr>
        <w:t>10</w:t>
      </w:r>
      <w:r w:rsidR="004D318B" w:rsidRPr="00373B0A">
        <w:rPr>
          <w:lang w:val="es-ES"/>
        </w:rPr>
        <w:t>.7</w:t>
      </w:r>
      <w:r w:rsidR="001311F5" w:rsidRPr="00373B0A">
        <w:rPr>
          <w:lang w:val="es-ES"/>
        </w:rPr>
        <w:tab/>
      </w:r>
      <w:bookmarkEnd w:id="40"/>
      <w:bookmarkEnd w:id="41"/>
      <w:bookmarkEnd w:id="42"/>
      <w:r w:rsidR="002224A4" w:rsidRPr="00373B0A">
        <w:rPr>
          <w:lang w:val="es-ES"/>
        </w:rPr>
        <w:t>el Contexto internacional</w:t>
      </w:r>
    </w:p>
    <w:p w:rsidR="004D318B" w:rsidRPr="00373B0A" w:rsidRDefault="00E9392F" w:rsidP="002D5639">
      <w:pPr>
        <w:pStyle w:val="Texte1"/>
        <w:rPr>
          <w:lang w:val="es-ES"/>
        </w:rPr>
      </w:pPr>
      <w:r w:rsidRPr="00373B0A">
        <w:rPr>
          <w:lang w:val="es-ES"/>
        </w:rPr>
        <w:t xml:space="preserve">Los convenios, recomendaciones, declaraciones, códigos de ética, códigos de conducta y demás documentos oficiales de carácter internacional inciden en </w:t>
      </w:r>
      <w:r w:rsidR="00F057FB">
        <w:rPr>
          <w:lang w:val="es-ES"/>
        </w:rPr>
        <w:t>el modo de</w:t>
      </w:r>
      <w:r w:rsidRPr="00373B0A">
        <w:rPr>
          <w:lang w:val="es-ES"/>
        </w:rPr>
        <w:t xml:space="preserve"> aplica</w:t>
      </w:r>
      <w:r w:rsidR="00F057FB">
        <w:rPr>
          <w:lang w:val="es-ES"/>
        </w:rPr>
        <w:t>r</w:t>
      </w:r>
      <w:r w:rsidRPr="00373B0A">
        <w:rPr>
          <w:lang w:val="es-ES"/>
        </w:rPr>
        <w:t xml:space="preserve"> la Convención del Patrimonio Inmaterial y en </w:t>
      </w:r>
      <w:r w:rsidR="00F057FB">
        <w:rPr>
          <w:lang w:val="es-ES"/>
        </w:rPr>
        <w:t>la forma de</w:t>
      </w:r>
      <w:r w:rsidRPr="00373B0A">
        <w:rPr>
          <w:lang w:val="es-ES"/>
        </w:rPr>
        <w:t xml:space="preserve"> salvaguarda</w:t>
      </w:r>
      <w:r w:rsidR="00F057FB">
        <w:rPr>
          <w:lang w:val="es-ES"/>
        </w:rPr>
        <w:t>r</w:t>
      </w:r>
      <w:r w:rsidRPr="00373B0A">
        <w:rPr>
          <w:lang w:val="es-ES"/>
        </w:rPr>
        <w:t xml:space="preserve"> el PCI en el plano nacional. También pueden ejercer una influencia en la </w:t>
      </w:r>
      <w:r w:rsidR="00F057FB">
        <w:rPr>
          <w:lang w:val="es-ES"/>
        </w:rPr>
        <w:t>manera</w:t>
      </w:r>
      <w:r w:rsidRPr="00373B0A">
        <w:rPr>
          <w:lang w:val="es-ES"/>
        </w:rPr>
        <w:t xml:space="preserve"> de aplicar la Convención, tanto </w:t>
      </w:r>
      <w:r w:rsidR="00F057FB">
        <w:rPr>
          <w:lang w:val="es-ES"/>
        </w:rPr>
        <w:t>a nivel</w:t>
      </w:r>
      <w:r w:rsidRPr="00373B0A">
        <w:rPr>
          <w:lang w:val="es-ES"/>
        </w:rPr>
        <w:t xml:space="preserve"> internacional como nacional, las redes formadas por organismos como centros de investigación y ONG que actúan a nivel internacional.</w:t>
      </w:r>
    </w:p>
    <w:p w:rsidR="004D318B" w:rsidRPr="00373B0A" w:rsidRDefault="002E0802" w:rsidP="002D5639">
      <w:pPr>
        <w:pStyle w:val="Texte1"/>
        <w:rPr>
          <w:lang w:val="es-ES"/>
        </w:rPr>
      </w:pPr>
      <w:r w:rsidRPr="00373B0A">
        <w:rPr>
          <w:lang w:val="es-ES"/>
        </w:rPr>
        <w:t>Entre los instrumentos jurídicos y las instituciones internacionales pertinentes para la interpretación y aplicación de la Convención del Patrimonio Cultural Inmaterial, cabe mencionar</w:t>
      </w:r>
      <w:r w:rsidR="004D318B" w:rsidRPr="00373B0A">
        <w:rPr>
          <w:lang w:val="es-ES"/>
        </w:rPr>
        <w:t>:</w:t>
      </w:r>
    </w:p>
    <w:p w:rsidR="004D318B" w:rsidRPr="00373B0A" w:rsidRDefault="002E0802" w:rsidP="008C0D26">
      <w:pPr>
        <w:pStyle w:val="Enutiret"/>
        <w:rPr>
          <w:lang w:val="es-ES"/>
        </w:rPr>
      </w:pPr>
      <w:r w:rsidRPr="00373B0A">
        <w:rPr>
          <w:lang w:val="es-ES"/>
        </w:rPr>
        <w:t>los instrumentos jurídicos internac</w:t>
      </w:r>
      <w:r w:rsidR="004D318B" w:rsidRPr="00373B0A">
        <w:rPr>
          <w:lang w:val="es-ES"/>
        </w:rPr>
        <w:t>ional</w:t>
      </w:r>
      <w:r w:rsidRPr="00373B0A">
        <w:rPr>
          <w:lang w:val="es-ES"/>
        </w:rPr>
        <w:t>es</w:t>
      </w:r>
      <w:r w:rsidR="004D318B" w:rsidRPr="00373B0A">
        <w:rPr>
          <w:lang w:val="es-ES"/>
        </w:rPr>
        <w:t xml:space="preserve"> </w:t>
      </w:r>
      <w:r w:rsidR="00E80859">
        <w:rPr>
          <w:lang w:val="es-ES"/>
        </w:rPr>
        <w:t xml:space="preserve">existentes </w:t>
      </w:r>
      <w:r w:rsidR="00F057FB">
        <w:rPr>
          <w:lang w:val="es-ES"/>
        </w:rPr>
        <w:t>en materia de</w:t>
      </w:r>
      <w:r w:rsidRPr="00373B0A">
        <w:rPr>
          <w:lang w:val="es-ES"/>
        </w:rPr>
        <w:t xml:space="preserve"> derechos humanos</w:t>
      </w:r>
      <w:r w:rsidR="008C0D26" w:rsidRPr="00373B0A">
        <w:rPr>
          <w:lang w:val="es-ES"/>
        </w:rPr>
        <w:t xml:space="preserve"> </w:t>
      </w:r>
      <w:r w:rsidRPr="00373B0A">
        <w:rPr>
          <w:lang w:val="es-ES"/>
        </w:rPr>
        <w:t>(</w:t>
      </w:r>
      <w:r w:rsidR="00715B7E" w:rsidRPr="00373B0A">
        <w:rPr>
          <w:lang w:val="es-ES"/>
        </w:rPr>
        <w:t>Artículo</w:t>
      </w:r>
      <w:r w:rsidR="00DD01F3" w:rsidRPr="00373B0A">
        <w:rPr>
          <w:lang w:val="es-ES"/>
        </w:rPr>
        <w:t> </w:t>
      </w:r>
      <w:r w:rsidR="004D318B" w:rsidRPr="00373B0A">
        <w:rPr>
          <w:lang w:val="es-ES"/>
        </w:rPr>
        <w:t>2.1);</w:t>
      </w:r>
    </w:p>
    <w:p w:rsidR="004D318B" w:rsidRPr="00373B0A" w:rsidRDefault="002E0802" w:rsidP="002D5639">
      <w:pPr>
        <w:pStyle w:val="Enutiret"/>
        <w:rPr>
          <w:lang w:val="es-ES"/>
        </w:rPr>
      </w:pPr>
      <w:r w:rsidRPr="00373B0A">
        <w:rPr>
          <w:lang w:val="es-ES"/>
        </w:rPr>
        <w:t xml:space="preserve">la Convención para la Protección del Patrimonio Mundial Cultural y Natural </w:t>
      </w:r>
      <w:r w:rsidR="004D318B" w:rsidRPr="00373B0A">
        <w:rPr>
          <w:lang w:val="es-ES"/>
        </w:rPr>
        <w:t>(men</w:t>
      </w:r>
      <w:r w:rsidRPr="00373B0A">
        <w:rPr>
          <w:lang w:val="es-ES"/>
        </w:rPr>
        <w:t xml:space="preserve">cionada en el </w:t>
      </w:r>
      <w:r w:rsidR="00715B7E" w:rsidRPr="00373B0A">
        <w:rPr>
          <w:lang w:val="es-ES"/>
        </w:rPr>
        <w:t>Artículo</w:t>
      </w:r>
      <w:r w:rsidR="00DD01F3" w:rsidRPr="00373B0A">
        <w:rPr>
          <w:lang w:val="es-ES"/>
        </w:rPr>
        <w:t> </w:t>
      </w:r>
      <w:r w:rsidR="00D2390F" w:rsidRPr="00373B0A">
        <w:rPr>
          <w:lang w:val="es-ES"/>
        </w:rPr>
        <w:t>3.a</w:t>
      </w:r>
      <w:r w:rsidR="004D318B" w:rsidRPr="00373B0A">
        <w:rPr>
          <w:lang w:val="es-ES"/>
        </w:rPr>
        <w:t xml:space="preserve"> </w:t>
      </w:r>
      <w:r w:rsidRPr="00373B0A">
        <w:rPr>
          <w:lang w:val="es-ES"/>
        </w:rPr>
        <w:t>Convención del Patrimonio Cultural Inmaterial</w:t>
      </w:r>
      <w:r w:rsidR="004D318B" w:rsidRPr="00373B0A">
        <w:rPr>
          <w:lang w:val="es-ES"/>
        </w:rPr>
        <w:t xml:space="preserve">) </w:t>
      </w:r>
      <w:r w:rsidRPr="00373B0A">
        <w:rPr>
          <w:lang w:val="es-ES"/>
        </w:rPr>
        <w:t xml:space="preserve">y las </w:t>
      </w:r>
      <w:r w:rsidRPr="00373B0A">
        <w:rPr>
          <w:lang w:val="es-ES"/>
        </w:rPr>
        <w:lastRenderedPageBreak/>
        <w:t>demás convenciones de la UNESCO en los ámbitos de la cultura y el patrimonio cultural</w:t>
      </w:r>
      <w:r w:rsidR="004D318B" w:rsidRPr="00373B0A">
        <w:rPr>
          <w:lang w:val="es-ES"/>
        </w:rPr>
        <w:t>;</w:t>
      </w:r>
    </w:p>
    <w:p w:rsidR="004D318B" w:rsidRPr="00373B0A" w:rsidRDefault="002E0802" w:rsidP="002D5639">
      <w:pPr>
        <w:pStyle w:val="Enutiret"/>
        <w:rPr>
          <w:lang w:val="es-ES"/>
        </w:rPr>
      </w:pPr>
      <w:r w:rsidRPr="00373B0A">
        <w:rPr>
          <w:lang w:val="es-ES"/>
        </w:rPr>
        <w:t>los instrumentos juríd</w:t>
      </w:r>
      <w:r w:rsidR="00020F24" w:rsidRPr="00373B0A">
        <w:rPr>
          <w:lang w:val="es-ES"/>
        </w:rPr>
        <w:t xml:space="preserve">icos internacionales relativos </w:t>
      </w:r>
      <w:r w:rsidRPr="00373B0A">
        <w:rPr>
          <w:lang w:val="es-ES"/>
        </w:rPr>
        <w:t xml:space="preserve">a </w:t>
      </w:r>
      <w:r w:rsidR="00020F24" w:rsidRPr="00373B0A">
        <w:rPr>
          <w:lang w:val="es-ES"/>
        </w:rPr>
        <w:t>los derechos de</w:t>
      </w:r>
      <w:r w:rsidRPr="00373B0A">
        <w:rPr>
          <w:lang w:val="es-ES"/>
        </w:rPr>
        <w:t xml:space="preserve"> propiedad inte</w:t>
      </w:r>
      <w:r w:rsidR="004D318B" w:rsidRPr="00373B0A">
        <w:rPr>
          <w:lang w:val="es-ES"/>
        </w:rPr>
        <w:t xml:space="preserve">lectual </w:t>
      </w:r>
      <w:r w:rsidRPr="00373B0A">
        <w:rPr>
          <w:lang w:val="es-ES"/>
        </w:rPr>
        <w:t>y la utilización de los recursos biológicos y ecológicos</w:t>
      </w:r>
      <w:r w:rsidR="00020F24" w:rsidRPr="00373B0A">
        <w:rPr>
          <w:lang w:val="es-ES"/>
        </w:rPr>
        <w:t xml:space="preserve"> (menc</w:t>
      </w:r>
      <w:r w:rsidR="004D318B" w:rsidRPr="00373B0A">
        <w:rPr>
          <w:lang w:val="es-ES"/>
        </w:rPr>
        <w:t>ion</w:t>
      </w:r>
      <w:r w:rsidR="00020F24" w:rsidRPr="00373B0A">
        <w:rPr>
          <w:lang w:val="es-ES"/>
        </w:rPr>
        <w:t>ados en el</w:t>
      </w:r>
      <w:r w:rsidR="004D318B" w:rsidRPr="00373B0A">
        <w:rPr>
          <w:lang w:val="es-ES"/>
        </w:rPr>
        <w:t xml:space="preserve"> </w:t>
      </w:r>
      <w:r w:rsidR="00715B7E" w:rsidRPr="00373B0A">
        <w:rPr>
          <w:lang w:val="es-ES"/>
        </w:rPr>
        <w:t>Artículo</w:t>
      </w:r>
      <w:r w:rsidR="00DD01F3" w:rsidRPr="00373B0A">
        <w:rPr>
          <w:lang w:val="es-ES"/>
        </w:rPr>
        <w:t> </w:t>
      </w:r>
      <w:r w:rsidR="00D2390F" w:rsidRPr="00373B0A">
        <w:rPr>
          <w:lang w:val="es-ES"/>
        </w:rPr>
        <w:t>3.b</w:t>
      </w:r>
      <w:r w:rsidR="004D318B" w:rsidRPr="00373B0A">
        <w:rPr>
          <w:lang w:val="es-ES"/>
        </w:rPr>
        <w:t xml:space="preserve">), </w:t>
      </w:r>
      <w:r w:rsidRPr="00373B0A">
        <w:rPr>
          <w:lang w:val="es-ES"/>
        </w:rPr>
        <w:t>comprendid</w:t>
      </w:r>
      <w:r w:rsidR="00020F24" w:rsidRPr="00373B0A">
        <w:rPr>
          <w:lang w:val="es-ES"/>
        </w:rPr>
        <w:t>a</w:t>
      </w:r>
      <w:r w:rsidRPr="00373B0A">
        <w:rPr>
          <w:lang w:val="es-ES"/>
        </w:rPr>
        <w:t>s las directrices que va a elaborar la</w:t>
      </w:r>
      <w:r w:rsidR="00020F24" w:rsidRPr="00373B0A">
        <w:rPr>
          <w:lang w:val="es-ES"/>
        </w:rPr>
        <w:t xml:space="preserve"> Organización Mundial de la Propiedad Intelectual</w:t>
      </w:r>
      <w:r w:rsidRPr="00373B0A">
        <w:rPr>
          <w:lang w:val="es-ES"/>
        </w:rPr>
        <w:t xml:space="preserve"> </w:t>
      </w:r>
      <w:r w:rsidR="004D318B" w:rsidRPr="00373B0A">
        <w:rPr>
          <w:lang w:val="es-ES"/>
        </w:rPr>
        <w:t>(</w:t>
      </w:r>
      <w:r w:rsidR="00D2390F" w:rsidRPr="00373B0A">
        <w:rPr>
          <w:lang w:val="es-ES"/>
        </w:rPr>
        <w:t>OMPI</w:t>
      </w:r>
      <w:r w:rsidR="004D318B" w:rsidRPr="00373B0A">
        <w:rPr>
          <w:lang w:val="es-ES"/>
        </w:rPr>
        <w:t xml:space="preserve">); </w:t>
      </w:r>
      <w:r w:rsidR="00020F24" w:rsidRPr="00373B0A">
        <w:rPr>
          <w:lang w:val="es-ES"/>
        </w:rPr>
        <w:t>y</w:t>
      </w:r>
    </w:p>
    <w:p w:rsidR="004D318B" w:rsidRPr="00373B0A" w:rsidRDefault="00E000F2" w:rsidP="002D5639">
      <w:pPr>
        <w:pStyle w:val="Enutiret"/>
        <w:rPr>
          <w:lang w:val="es-ES"/>
        </w:rPr>
      </w:pPr>
      <w:r w:rsidRPr="00373B0A">
        <w:rPr>
          <w:noProof/>
          <w:lang w:eastAsia="en-GB"/>
        </w:rPr>
        <w:drawing>
          <wp:anchor distT="0" distB="0" distL="114300" distR="114300" simplePos="0" relativeHeight="252189184" behindDoc="0" locked="0" layoutInCell="1" allowOverlap="1">
            <wp:simplePos x="0" y="0"/>
            <wp:positionH relativeFrom="column">
              <wp:posOffset>-72390</wp:posOffset>
            </wp:positionH>
            <wp:positionV relativeFrom="paragraph">
              <wp:posOffset>695325</wp:posOffset>
            </wp:positionV>
            <wp:extent cx="283845" cy="357505"/>
            <wp:effectExtent l="19050" t="0" r="1905" b="0"/>
            <wp:wrapThrough wrapText="bothSides">
              <wp:wrapPolygon edited="0">
                <wp:start x="-1450" y="0"/>
                <wp:lineTo x="-1450" y="20718"/>
                <wp:lineTo x="21745" y="20718"/>
                <wp:lineTo x="21745" y="0"/>
                <wp:lineTo x="-1450" y="0"/>
              </wp:wrapPolygon>
            </wp:wrapThrough>
            <wp:docPr id="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845" cy="357505"/>
                    </a:xfrm>
                    <a:prstGeom prst="rect">
                      <a:avLst/>
                    </a:prstGeom>
                  </pic:spPr>
                </pic:pic>
              </a:graphicData>
            </a:graphic>
          </wp:anchor>
        </w:drawing>
      </w:r>
      <w:r w:rsidR="00020F24" w:rsidRPr="00373B0A">
        <w:rPr>
          <w:lang w:val="es-ES"/>
        </w:rPr>
        <w:t xml:space="preserve">los mecanismos de cooperación existentes </w:t>
      </w:r>
      <w:r w:rsidR="00020F24" w:rsidRPr="00373B0A">
        <w:rPr>
          <w:rFonts w:ascii="MyriadPro-Light" w:hAnsi="MyriadPro-Light" w:cs="MyriadPro-Light"/>
          <w:lang w:val="es-ES" w:eastAsia="fr-FR"/>
        </w:rPr>
        <w:t>en el plano bilateral, subregional, regional e internacional</w:t>
      </w:r>
      <w:r w:rsidR="004D318B" w:rsidRPr="00373B0A">
        <w:rPr>
          <w:lang w:val="es-ES"/>
        </w:rPr>
        <w:t xml:space="preserve"> (</w:t>
      </w:r>
      <w:r w:rsidR="00715B7E" w:rsidRPr="00373B0A">
        <w:rPr>
          <w:lang w:val="es-ES"/>
        </w:rPr>
        <w:t>Artículo</w:t>
      </w:r>
      <w:r w:rsidR="00DD01F3" w:rsidRPr="00373B0A">
        <w:rPr>
          <w:lang w:val="es-ES"/>
        </w:rPr>
        <w:t> </w:t>
      </w:r>
      <w:r w:rsidR="004D318B" w:rsidRPr="00373B0A">
        <w:rPr>
          <w:lang w:val="es-ES"/>
        </w:rPr>
        <w:t>19),</w:t>
      </w:r>
      <w:r w:rsidR="00DD01F3" w:rsidRPr="00373B0A">
        <w:rPr>
          <w:lang w:val="es-ES"/>
        </w:rPr>
        <w:t xml:space="preserve"> </w:t>
      </w:r>
      <w:r w:rsidR="00020F24" w:rsidRPr="00373B0A">
        <w:rPr>
          <w:lang w:val="es-ES"/>
        </w:rPr>
        <w:t>comprendidos</w:t>
      </w:r>
      <w:r w:rsidR="004D318B" w:rsidRPr="00373B0A">
        <w:rPr>
          <w:lang w:val="es-ES"/>
        </w:rPr>
        <w:t xml:space="preserve"> </w:t>
      </w:r>
      <w:r w:rsidR="00020F24" w:rsidRPr="00373B0A">
        <w:rPr>
          <w:lang w:val="es-ES"/>
        </w:rPr>
        <w:t xml:space="preserve">los centros de Categoría II y las redes </w:t>
      </w:r>
      <w:r w:rsidR="00020F24" w:rsidRPr="00373B0A">
        <w:rPr>
          <w:rFonts w:ascii="MyriadPro-Light" w:hAnsi="MyriadPro-Light" w:cs="MyriadPro-Light"/>
          <w:lang w:val="es-ES" w:eastAsia="fr-FR"/>
        </w:rPr>
        <w:t>de comunidades, expertos, centros de competencias e institutos de investigación</w:t>
      </w:r>
      <w:r w:rsidR="004D318B" w:rsidRPr="00373B0A">
        <w:rPr>
          <w:lang w:val="es-ES"/>
        </w:rPr>
        <w:t xml:space="preserve"> (</w:t>
      </w:r>
      <w:r w:rsidR="00034B82" w:rsidRPr="00373B0A">
        <w:rPr>
          <w:lang w:val="es-ES"/>
        </w:rPr>
        <w:t>DO</w:t>
      </w:r>
      <w:r w:rsidR="004D318B" w:rsidRPr="00373B0A">
        <w:rPr>
          <w:lang w:val="es-ES"/>
        </w:rPr>
        <w:t xml:space="preserve"> 86 </w:t>
      </w:r>
      <w:r w:rsidR="00D2390F" w:rsidRPr="00373B0A">
        <w:rPr>
          <w:lang w:val="es-ES"/>
        </w:rPr>
        <w:t>y</w:t>
      </w:r>
      <w:r w:rsidR="004D318B" w:rsidRPr="00373B0A">
        <w:rPr>
          <w:lang w:val="es-ES"/>
        </w:rPr>
        <w:t xml:space="preserve"> 88).</w:t>
      </w:r>
    </w:p>
    <w:p w:rsidR="004D318B" w:rsidRPr="00373B0A" w:rsidRDefault="008C0D26" w:rsidP="0071007C">
      <w:pPr>
        <w:pStyle w:val="Informations"/>
        <w:rPr>
          <w:lang w:val="es-ES"/>
        </w:rPr>
      </w:pPr>
      <w:r w:rsidRPr="00373B0A">
        <w:rPr>
          <w:lang w:val="es-ES"/>
        </w:rPr>
        <w:t>Los</w:t>
      </w:r>
      <w:r w:rsidR="004D318B" w:rsidRPr="00373B0A">
        <w:rPr>
          <w:lang w:val="es-ES"/>
        </w:rPr>
        <w:t xml:space="preserve"> </w:t>
      </w:r>
      <w:r w:rsidRPr="00373B0A">
        <w:rPr>
          <w:lang w:val="es-ES"/>
        </w:rPr>
        <w:t>instrumentos internacionales mencionados</w:t>
      </w:r>
      <w:r w:rsidR="004D318B" w:rsidRPr="00373B0A">
        <w:rPr>
          <w:lang w:val="es-ES"/>
        </w:rPr>
        <w:t xml:space="preserve"> </w:t>
      </w:r>
      <w:r w:rsidRPr="00373B0A">
        <w:rPr>
          <w:lang w:val="es-ES"/>
        </w:rPr>
        <w:t xml:space="preserve">en los tres primeros puntos </w:t>
      </w:r>
      <w:r w:rsidRPr="00373B0A">
        <w:rPr>
          <w:i w:val="0"/>
          <w:lang w:val="es-ES"/>
        </w:rPr>
        <w:t>supra</w:t>
      </w:r>
      <w:r w:rsidRPr="00373B0A">
        <w:rPr>
          <w:lang w:val="es-ES"/>
        </w:rPr>
        <w:t xml:space="preserve"> se examinan en las secciones subsiguientes de la presente </w:t>
      </w:r>
      <w:r w:rsidR="0067404D">
        <w:rPr>
          <w:lang w:val="es-ES"/>
        </w:rPr>
        <w:t>unidad</w:t>
      </w:r>
      <w:r w:rsidRPr="00373B0A">
        <w:rPr>
          <w:lang w:val="es-ES"/>
        </w:rPr>
        <w:t xml:space="preserve">, mientras que los mecanismos de cooperación señalados en el punto cuarto se examinan en el </w:t>
      </w:r>
      <w:r w:rsidR="0036378C" w:rsidRPr="00373B0A">
        <w:rPr>
          <w:lang w:val="es-ES"/>
        </w:rPr>
        <w:t>Texto para el Participante</w:t>
      </w:r>
      <w:r w:rsidR="00D2390F" w:rsidRPr="00373B0A">
        <w:rPr>
          <w:lang w:val="es-ES"/>
        </w:rPr>
        <w:t xml:space="preserve"> de la</w:t>
      </w:r>
      <w:r w:rsidR="004D318B" w:rsidRPr="00373B0A">
        <w:rPr>
          <w:lang w:val="es-ES"/>
        </w:rPr>
        <w:t xml:space="preserve"> </w:t>
      </w:r>
      <w:r w:rsidR="00D2390F" w:rsidRPr="00373B0A">
        <w:rPr>
          <w:lang w:val="es-ES"/>
        </w:rPr>
        <w:t>Unidad</w:t>
      </w:r>
      <w:r w:rsidR="00A853D3" w:rsidRPr="00373B0A">
        <w:rPr>
          <w:lang w:val="es-ES"/>
        </w:rPr>
        <w:t xml:space="preserve"> </w:t>
      </w:r>
      <w:r w:rsidR="003967C2" w:rsidRPr="00373B0A">
        <w:rPr>
          <w:lang w:val="es-ES"/>
        </w:rPr>
        <w:t>12</w:t>
      </w:r>
      <w:r w:rsidR="004D318B" w:rsidRPr="00373B0A">
        <w:rPr>
          <w:lang w:val="es-ES"/>
        </w:rPr>
        <w:t>.</w:t>
      </w:r>
    </w:p>
    <w:p w:rsidR="004D318B" w:rsidRPr="00373B0A" w:rsidRDefault="00955176" w:rsidP="00C82E38">
      <w:pPr>
        <w:pStyle w:val="Titcoul"/>
        <w:rPr>
          <w:lang w:val="es-ES"/>
        </w:rPr>
      </w:pPr>
      <w:bookmarkStart w:id="43" w:name="_Toc241229737"/>
      <w:bookmarkStart w:id="44" w:name="_Toc241229941"/>
      <w:bookmarkStart w:id="45" w:name="_Toc242165635"/>
      <w:r w:rsidRPr="00373B0A">
        <w:rPr>
          <w:lang w:val="es-ES"/>
        </w:rPr>
        <w:t>10</w:t>
      </w:r>
      <w:r w:rsidR="004D318B" w:rsidRPr="00373B0A">
        <w:rPr>
          <w:lang w:val="es-ES"/>
        </w:rPr>
        <w:t>.8</w:t>
      </w:r>
      <w:r w:rsidR="0063095F" w:rsidRPr="00373B0A">
        <w:rPr>
          <w:lang w:val="es-ES"/>
        </w:rPr>
        <w:tab/>
      </w:r>
      <w:bookmarkEnd w:id="43"/>
      <w:bookmarkEnd w:id="44"/>
      <w:bookmarkEnd w:id="45"/>
      <w:r w:rsidR="007A3416" w:rsidRPr="00373B0A">
        <w:rPr>
          <w:lang w:val="es-ES"/>
        </w:rPr>
        <w:t>instrumentos jurídicos internacionales</w:t>
      </w:r>
      <w:r w:rsidR="008C0D26" w:rsidRPr="00373B0A">
        <w:rPr>
          <w:lang w:val="es-ES"/>
        </w:rPr>
        <w:t xml:space="preserve"> </w:t>
      </w:r>
      <w:r w:rsidR="007A3416" w:rsidRPr="00373B0A">
        <w:rPr>
          <w:lang w:val="es-ES"/>
        </w:rPr>
        <w:t>sobre derechos humanos</w:t>
      </w:r>
    </w:p>
    <w:p w:rsidR="004D318B" w:rsidRPr="00373B0A" w:rsidRDefault="007A3416" w:rsidP="002D5639">
      <w:pPr>
        <w:pStyle w:val="Texte1"/>
        <w:rPr>
          <w:lang w:val="es-ES"/>
        </w:rPr>
      </w:pPr>
      <w:r w:rsidRPr="00373B0A">
        <w:rPr>
          <w:lang w:val="es-ES"/>
        </w:rPr>
        <w:t xml:space="preserve">En su </w:t>
      </w:r>
      <w:r w:rsidRPr="00867C37">
        <w:rPr>
          <w:lang w:val="es-ES"/>
        </w:rPr>
        <w:t>Preámbulo</w:t>
      </w:r>
      <w:r w:rsidRPr="00373B0A">
        <w:rPr>
          <w:lang w:val="es-ES"/>
        </w:rPr>
        <w:t>, la</w:t>
      </w:r>
      <w:r w:rsidR="004D318B" w:rsidRPr="00373B0A">
        <w:rPr>
          <w:lang w:val="es-ES"/>
        </w:rPr>
        <w:t xml:space="preserve"> </w:t>
      </w:r>
      <w:r w:rsidR="00034B82" w:rsidRPr="00373B0A">
        <w:rPr>
          <w:lang w:val="es-ES"/>
        </w:rPr>
        <w:t>Convención</w:t>
      </w:r>
      <w:r w:rsidR="004D318B" w:rsidRPr="00373B0A">
        <w:rPr>
          <w:lang w:val="es-ES"/>
        </w:rPr>
        <w:t xml:space="preserve"> </w:t>
      </w:r>
      <w:r w:rsidRPr="00373B0A">
        <w:rPr>
          <w:lang w:val="es-ES"/>
        </w:rPr>
        <w:t>menciona los siguientes instrumentos jurídicos internacionales relativos a los derechos humanos</w:t>
      </w:r>
      <w:r w:rsidR="004D318B" w:rsidRPr="00373B0A">
        <w:rPr>
          <w:lang w:val="es-ES"/>
        </w:rPr>
        <w:t>:</w:t>
      </w:r>
    </w:p>
    <w:p w:rsidR="004D318B" w:rsidRPr="00373B0A" w:rsidRDefault="007A3416" w:rsidP="002D5639">
      <w:pPr>
        <w:pStyle w:val="citation"/>
        <w:rPr>
          <w:lang w:val="es-ES"/>
        </w:rPr>
      </w:pPr>
      <w:r w:rsidRPr="00373B0A">
        <w:rPr>
          <w:lang w:val="es-ES"/>
        </w:rPr>
        <w:t xml:space="preserve">“[…] </w:t>
      </w:r>
      <w:r w:rsidRPr="00373B0A">
        <w:rPr>
          <w:rFonts w:ascii="MyriadPro-Bold" w:hAnsi="MyriadPro-Bold" w:cs="MyriadPro-Bold"/>
          <w:bCs/>
          <w:lang w:val="es-ES"/>
        </w:rPr>
        <w:t>Refiriéndose a</w:t>
      </w:r>
      <w:r w:rsidRPr="00373B0A">
        <w:rPr>
          <w:rFonts w:ascii="MyriadPro-Bold" w:hAnsi="MyriadPro-Bold" w:cs="MyriadPro-Bold"/>
          <w:b/>
          <w:bCs/>
          <w:lang w:val="es-ES"/>
        </w:rPr>
        <w:t xml:space="preserve"> </w:t>
      </w:r>
      <w:r w:rsidRPr="00373B0A">
        <w:rPr>
          <w:rFonts w:ascii="MyriadPro-Light" w:hAnsi="MyriadPro-Light" w:cs="MyriadPro-Light"/>
          <w:lang w:val="es-ES"/>
        </w:rPr>
        <w:t>los instrumentos internacionales existentes en materia de derechos humanos, en particular a la Declaración Universal de Derechos Humanos de 1948, al Pacto Internacional de Derechos Económicos, Sociales y Culturales de 1966 y al Pacto Internacional de Derechos Civiles y Políticos de 1966, […].”</w:t>
      </w:r>
    </w:p>
    <w:p w:rsidR="004D318B" w:rsidRPr="00373B0A" w:rsidRDefault="007A3416" w:rsidP="002D5639">
      <w:pPr>
        <w:pStyle w:val="Texte1"/>
        <w:rPr>
          <w:lang w:val="es-ES"/>
        </w:rPr>
      </w:pPr>
      <w:r w:rsidRPr="00373B0A">
        <w:rPr>
          <w:lang w:val="es-ES"/>
        </w:rPr>
        <w:t xml:space="preserve">En </w:t>
      </w:r>
      <w:r w:rsidR="003F74F5" w:rsidRPr="00373B0A">
        <w:rPr>
          <w:lang w:val="es-ES"/>
        </w:rPr>
        <w:t>su</w:t>
      </w:r>
      <w:r w:rsidRPr="00373B0A">
        <w:rPr>
          <w:lang w:val="es-ES"/>
        </w:rPr>
        <w:t xml:space="preserve"> </w:t>
      </w:r>
      <w:r w:rsidR="00715B7E" w:rsidRPr="00373B0A">
        <w:rPr>
          <w:b/>
          <w:lang w:val="es-ES"/>
        </w:rPr>
        <w:t>Artículo</w:t>
      </w:r>
      <w:r w:rsidR="00DD01F3" w:rsidRPr="00373B0A">
        <w:rPr>
          <w:b/>
          <w:lang w:val="es-ES"/>
        </w:rPr>
        <w:t> </w:t>
      </w:r>
      <w:r w:rsidR="004D318B" w:rsidRPr="00373B0A">
        <w:rPr>
          <w:b/>
          <w:lang w:val="es-ES"/>
        </w:rPr>
        <w:t>2.1</w:t>
      </w:r>
      <w:r w:rsidR="003F74F5" w:rsidRPr="00373B0A">
        <w:rPr>
          <w:lang w:val="es-ES"/>
        </w:rPr>
        <w:t>,</w:t>
      </w:r>
      <w:r w:rsidR="004D318B" w:rsidRPr="00373B0A">
        <w:rPr>
          <w:lang w:val="es-ES"/>
        </w:rPr>
        <w:t xml:space="preserve"> </w:t>
      </w:r>
      <w:r w:rsidRPr="00373B0A">
        <w:rPr>
          <w:lang w:val="es-ES"/>
        </w:rPr>
        <w:t xml:space="preserve">la Convención </w:t>
      </w:r>
      <w:r w:rsidR="003F74F5" w:rsidRPr="00373B0A">
        <w:rPr>
          <w:lang w:val="es-ES"/>
        </w:rPr>
        <w:t>establece además lo siguiente</w:t>
      </w:r>
      <w:r w:rsidR="004D318B" w:rsidRPr="00373B0A">
        <w:rPr>
          <w:lang w:val="es-ES"/>
        </w:rPr>
        <w:t>:</w:t>
      </w:r>
    </w:p>
    <w:p w:rsidR="004D318B" w:rsidRPr="00373B0A" w:rsidRDefault="003F74F5" w:rsidP="002D5639">
      <w:pPr>
        <w:pStyle w:val="citation"/>
        <w:rPr>
          <w:lang w:val="es-ES"/>
        </w:rPr>
      </w:pPr>
      <w:r w:rsidRPr="00373B0A">
        <w:rPr>
          <w:lang w:val="es-ES"/>
        </w:rPr>
        <w:t xml:space="preserve">“[…] </w:t>
      </w:r>
      <w:r w:rsidRPr="00373B0A">
        <w:rPr>
          <w:rFonts w:ascii="MyriadPro-Light" w:hAnsi="MyriadPro-Light" w:cs="MyriadPro-Light"/>
          <w:lang w:val="es-ES"/>
        </w:rPr>
        <w:t>A los efectos de la presente Convención, se tendrá en cuenta únicamente el patrimonio cultural inmaterial que sea compatible con los instrumentos internacionales de derechos humanos existentes</w:t>
      </w:r>
      <w:r w:rsidR="004D318B" w:rsidRPr="00373B0A">
        <w:rPr>
          <w:lang w:val="es-ES"/>
        </w:rPr>
        <w:t xml:space="preserve"> </w:t>
      </w:r>
      <w:r w:rsidRPr="00373B0A">
        <w:rPr>
          <w:rFonts w:ascii="MyriadPro-Light" w:hAnsi="MyriadPro-Light" w:cs="MyriadPro-Light"/>
          <w:lang w:val="es-ES"/>
        </w:rPr>
        <w:t>[…].”</w:t>
      </w:r>
    </w:p>
    <w:p w:rsidR="004D318B" w:rsidRPr="00373B0A" w:rsidRDefault="00C66F0B" w:rsidP="002D5639">
      <w:pPr>
        <w:pStyle w:val="Texte1"/>
        <w:rPr>
          <w:lang w:val="es-ES"/>
        </w:rPr>
      </w:pPr>
      <w:r w:rsidRPr="00373B0A">
        <w:rPr>
          <w:lang w:val="es-ES"/>
        </w:rPr>
        <w:t xml:space="preserve">Es obvio que existen otros instrumentos relativos a los derechos humanos que no se mencionan explícitamente en la Convención, pero que son pertinentes a </w:t>
      </w:r>
      <w:r w:rsidR="00E80859">
        <w:rPr>
          <w:lang w:val="es-ES"/>
        </w:rPr>
        <w:t>su</w:t>
      </w:r>
      <w:r w:rsidRPr="00373B0A">
        <w:rPr>
          <w:lang w:val="es-ES"/>
        </w:rPr>
        <w:t xml:space="preserve"> respecto. Así ocurre, por ejemplo, con la Declaración de las Naciones Unidas sobre los Derechos de los Pueblos Indígenas de 2007</w:t>
      </w:r>
      <w:r w:rsidR="004D318B" w:rsidRPr="00373B0A">
        <w:rPr>
          <w:lang w:val="es-ES"/>
        </w:rPr>
        <w:t>,</w:t>
      </w:r>
      <w:r w:rsidR="00150F56" w:rsidRPr="00373B0A">
        <w:rPr>
          <w:rStyle w:val="FootnoteReference"/>
          <w:sz w:val="20"/>
          <w:szCs w:val="20"/>
          <w:lang w:val="es-ES"/>
        </w:rPr>
        <w:footnoteReference w:id="6"/>
      </w:r>
      <w:r w:rsidR="00150F56" w:rsidRPr="00373B0A">
        <w:rPr>
          <w:lang w:val="es-ES"/>
        </w:rPr>
        <w:t xml:space="preserve"> </w:t>
      </w:r>
      <w:r w:rsidRPr="00373B0A">
        <w:rPr>
          <w:lang w:val="es-ES"/>
        </w:rPr>
        <w:t>un instrumento jurídico ampliamente respaldado en el mundo entero en el que se reconoce que “el respeto de los conocimientos, las culturas y las prácticas tradicionales indígenas contribuye al desarrollo sostenible y equitativo”. Esta Declaración destaca también que “los pueblos indígenas tienen derecho a practicar y revitalizar sus tradi</w:t>
      </w:r>
      <w:r w:rsidR="00E80859">
        <w:rPr>
          <w:lang w:val="es-ES"/>
        </w:rPr>
        <w:t xml:space="preserve">ciones y costumbres culturales </w:t>
      </w:r>
      <w:proofErr w:type="gramStart"/>
      <w:r w:rsidR="00E80859">
        <w:rPr>
          <w:lang w:val="es-ES"/>
        </w:rPr>
        <w:t>[</w:t>
      </w:r>
      <w:r w:rsidRPr="00373B0A">
        <w:rPr>
          <w:lang w:val="es-ES"/>
        </w:rPr>
        <w:t xml:space="preserve"> y</w:t>
      </w:r>
      <w:proofErr w:type="gramEnd"/>
      <w:r w:rsidRPr="00373B0A">
        <w:rPr>
          <w:lang w:val="es-ES"/>
        </w:rPr>
        <w:t xml:space="preserve"> a que se reconozca</w:t>
      </w:r>
      <w:r w:rsidR="00E80859">
        <w:rPr>
          <w:lang w:val="es-ES"/>
        </w:rPr>
        <w:t xml:space="preserve">] </w:t>
      </w:r>
      <w:r w:rsidRPr="00373B0A">
        <w:rPr>
          <w:lang w:val="es-ES"/>
        </w:rPr>
        <w:t xml:space="preserve">la dignidad y diversidad de sus culturas, tradiciones, historias y aspiraciones”, comprendidas sus prácticas medicinales ancestrales. Asimismo, la Declaración proclama que “tienen derecho a mantener, controlar, proteger y desarrollar su patrimonio cultural, sus conocimientos tradicionales [y] sus expresiones culturales tradicionales”. Además, la </w:t>
      </w:r>
      <w:r w:rsidRPr="00373B0A">
        <w:rPr>
          <w:lang w:val="es-ES"/>
        </w:rPr>
        <w:lastRenderedPageBreak/>
        <w:t>Declaración añade que “los pueblos y los individuos indígenas tienen derecho a no ser sometidos a una asimilación forzada ni a la destrucción de su cultura”</w:t>
      </w:r>
      <w:r w:rsidR="004D318B" w:rsidRPr="00373B0A">
        <w:rPr>
          <w:lang w:val="es-ES"/>
        </w:rPr>
        <w:t>.</w:t>
      </w:r>
    </w:p>
    <w:p w:rsidR="004D318B" w:rsidRPr="00373B0A" w:rsidRDefault="00955176" w:rsidP="00C82E38">
      <w:pPr>
        <w:pStyle w:val="Titcoul"/>
        <w:rPr>
          <w:lang w:val="es-ES"/>
        </w:rPr>
      </w:pPr>
      <w:bookmarkStart w:id="46" w:name="_Toc241229738"/>
      <w:bookmarkStart w:id="47" w:name="_Toc241229942"/>
      <w:bookmarkStart w:id="48" w:name="_Toc242165636"/>
      <w:r w:rsidRPr="00373B0A">
        <w:rPr>
          <w:lang w:val="es-ES"/>
        </w:rPr>
        <w:t>10</w:t>
      </w:r>
      <w:r w:rsidR="004D318B" w:rsidRPr="00373B0A">
        <w:rPr>
          <w:lang w:val="es-ES"/>
        </w:rPr>
        <w:t>.9</w:t>
      </w:r>
      <w:r w:rsidR="00B14A6D" w:rsidRPr="00373B0A">
        <w:rPr>
          <w:lang w:val="es-ES"/>
        </w:rPr>
        <w:tab/>
      </w:r>
      <w:bookmarkEnd w:id="46"/>
      <w:bookmarkEnd w:id="47"/>
      <w:bookmarkEnd w:id="48"/>
      <w:r w:rsidR="00C66F0B" w:rsidRPr="00373B0A">
        <w:rPr>
          <w:lang w:val="es-ES"/>
        </w:rPr>
        <w:t>CONVENCIÓN DEL PATRIMONIO MUNDIAL</w:t>
      </w:r>
    </w:p>
    <w:p w:rsidR="004D318B" w:rsidRPr="00373B0A" w:rsidRDefault="00D2390F" w:rsidP="002D5639">
      <w:pPr>
        <w:pStyle w:val="Texte1"/>
        <w:rPr>
          <w:lang w:val="es-ES"/>
        </w:rPr>
      </w:pPr>
      <w:r w:rsidRPr="00373B0A">
        <w:rPr>
          <w:lang w:val="es-ES"/>
        </w:rPr>
        <w:t>En el Artículo 3 la Convención para la Salvaguardia del Patrimonio Cultural Inmaterial, se hace referencia a la Convención para la Protección del Patrimonio Mundial Cultural y Natural en los siguientes términos</w:t>
      </w:r>
      <w:r w:rsidR="004D318B" w:rsidRPr="00373B0A">
        <w:rPr>
          <w:lang w:val="es-ES"/>
        </w:rPr>
        <w:t>:</w:t>
      </w:r>
    </w:p>
    <w:p w:rsidR="004D318B" w:rsidRPr="00373B0A" w:rsidRDefault="00D2390F" w:rsidP="002D5639">
      <w:pPr>
        <w:pStyle w:val="citation"/>
        <w:rPr>
          <w:lang w:val="es-ES"/>
        </w:rPr>
      </w:pPr>
      <w:r w:rsidRPr="00373B0A">
        <w:rPr>
          <w:szCs w:val="22"/>
          <w:lang w:val="es-ES"/>
        </w:rPr>
        <w:t>“Ninguna disposición de la presente Convención podrá ser interpretada de tal manera que:</w:t>
      </w:r>
    </w:p>
    <w:p w:rsidR="004D318B" w:rsidRPr="00373B0A" w:rsidRDefault="004D318B" w:rsidP="002D5639">
      <w:pPr>
        <w:pStyle w:val="numrationa"/>
        <w:rPr>
          <w:lang w:val="es-ES"/>
        </w:rPr>
      </w:pPr>
      <w:proofErr w:type="gramStart"/>
      <w:r w:rsidRPr="00373B0A">
        <w:rPr>
          <w:lang w:val="es-ES"/>
        </w:rPr>
        <w:t>a</w:t>
      </w:r>
      <w:proofErr w:type="gramEnd"/>
      <w:r w:rsidRPr="00373B0A">
        <w:rPr>
          <w:lang w:val="es-ES"/>
        </w:rPr>
        <w:t>)</w:t>
      </w:r>
      <w:r w:rsidR="002D13BF" w:rsidRPr="00373B0A">
        <w:rPr>
          <w:lang w:val="es-ES"/>
        </w:rPr>
        <w:tab/>
      </w:r>
      <w:r w:rsidR="00D2390F" w:rsidRPr="00373B0A">
        <w:rPr>
          <w:lang w:val="es-ES"/>
        </w:rPr>
        <w:t>modifique el estatuto o reduzca el nivel de protección de los bienes declarados patrimonio mundial en el marco de la Convención para la Protección del Patrimonio Mundial, Cultural y Natural de 1972 a los que esté directamente asociado un elemento del patrimonio cultural inmaterial […]”</w:t>
      </w:r>
    </w:p>
    <w:p w:rsidR="004D318B" w:rsidRPr="00373B0A" w:rsidRDefault="00627EC2" w:rsidP="002D5639">
      <w:pPr>
        <w:pStyle w:val="Texte1"/>
        <w:rPr>
          <w:lang w:val="es-ES"/>
        </w:rPr>
      </w:pPr>
      <w:r w:rsidRPr="00373B0A">
        <w:rPr>
          <w:lang w:val="es-ES"/>
        </w:rPr>
        <w:t xml:space="preserve">De hecho, hay comunidades que practican y representan algunos elementos </w:t>
      </w:r>
      <w:r w:rsidR="00D2390F" w:rsidRPr="00373B0A">
        <w:rPr>
          <w:lang w:val="es-ES"/>
        </w:rPr>
        <w:t xml:space="preserve">del </w:t>
      </w:r>
      <w:r w:rsidR="00715B7E" w:rsidRPr="00373B0A">
        <w:rPr>
          <w:lang w:val="es-ES"/>
        </w:rPr>
        <w:t>PCI</w:t>
      </w:r>
      <w:r w:rsidR="004D318B" w:rsidRPr="00373B0A">
        <w:rPr>
          <w:lang w:val="es-ES"/>
        </w:rPr>
        <w:t xml:space="preserve"> </w:t>
      </w:r>
      <w:r w:rsidR="00D2390F" w:rsidRPr="00373B0A">
        <w:rPr>
          <w:lang w:val="es-ES"/>
        </w:rPr>
        <w:t>inscritos en la</w:t>
      </w:r>
      <w:r w:rsidR="004D318B" w:rsidRPr="00373B0A">
        <w:rPr>
          <w:lang w:val="es-ES"/>
        </w:rPr>
        <w:t xml:space="preserve"> </w:t>
      </w:r>
      <w:r w:rsidR="00D2390F" w:rsidRPr="00373B0A">
        <w:rPr>
          <w:lang w:val="es-ES"/>
        </w:rPr>
        <w:t>L</w:t>
      </w:r>
      <w:r w:rsidR="00715B7E" w:rsidRPr="00373B0A">
        <w:rPr>
          <w:lang w:val="es-ES"/>
        </w:rPr>
        <w:t>R</w:t>
      </w:r>
      <w:r w:rsidR="004D318B" w:rsidRPr="00373B0A">
        <w:rPr>
          <w:lang w:val="es-ES"/>
        </w:rPr>
        <w:t xml:space="preserve"> </w:t>
      </w:r>
      <w:r w:rsidR="00D2390F" w:rsidRPr="00373B0A">
        <w:rPr>
          <w:lang w:val="es-ES"/>
        </w:rPr>
        <w:t>y la LSU</w:t>
      </w:r>
      <w:r w:rsidR="002224A4" w:rsidRPr="00373B0A">
        <w:rPr>
          <w:lang w:val="es-ES"/>
        </w:rPr>
        <w:t>, ya sea</w:t>
      </w:r>
      <w:r w:rsidR="004D318B" w:rsidRPr="00373B0A">
        <w:rPr>
          <w:lang w:val="es-ES"/>
        </w:rPr>
        <w:t xml:space="preserve"> </w:t>
      </w:r>
      <w:r w:rsidRPr="00373B0A">
        <w:rPr>
          <w:lang w:val="es-ES"/>
        </w:rPr>
        <w:t>en sitios del Pat</w:t>
      </w:r>
      <w:r w:rsidR="00AC3220" w:rsidRPr="00373B0A">
        <w:rPr>
          <w:lang w:val="es-ES"/>
        </w:rPr>
        <w:t>rimonio Mundial o en sus proxim</w:t>
      </w:r>
      <w:r w:rsidRPr="00373B0A">
        <w:rPr>
          <w:lang w:val="es-ES"/>
        </w:rPr>
        <w:t>idades</w:t>
      </w:r>
      <w:r w:rsidR="004D318B" w:rsidRPr="00373B0A">
        <w:rPr>
          <w:lang w:val="es-ES"/>
        </w:rPr>
        <w:t xml:space="preserve">. </w:t>
      </w:r>
      <w:r w:rsidR="00E80859">
        <w:rPr>
          <w:lang w:val="es-ES"/>
        </w:rPr>
        <w:t>Tal es el caso de</w:t>
      </w:r>
      <w:r w:rsidRPr="00373B0A">
        <w:rPr>
          <w:lang w:val="es-ES"/>
        </w:rPr>
        <w:t xml:space="preserve"> </w:t>
      </w:r>
      <w:r w:rsidR="00AC3220" w:rsidRPr="00373B0A">
        <w:rPr>
          <w:lang w:val="es-ES"/>
        </w:rPr>
        <w:t xml:space="preserve">la comunidad indígena </w:t>
      </w:r>
      <w:proofErr w:type="spellStart"/>
      <w:r w:rsidR="002E682D" w:rsidRPr="00373B0A">
        <w:rPr>
          <w:lang w:val="es-ES"/>
        </w:rPr>
        <w:t>i</w:t>
      </w:r>
      <w:r w:rsidR="00AC3220" w:rsidRPr="00373B0A">
        <w:rPr>
          <w:lang w:val="es-ES"/>
        </w:rPr>
        <w:t>fugao</w:t>
      </w:r>
      <w:proofErr w:type="spellEnd"/>
      <w:r w:rsidR="00E80859">
        <w:rPr>
          <w:lang w:val="es-ES"/>
        </w:rPr>
        <w:t>, que</w:t>
      </w:r>
      <w:r w:rsidR="00AC3220" w:rsidRPr="00373B0A">
        <w:rPr>
          <w:lang w:val="es-ES"/>
        </w:rPr>
        <w:t xml:space="preserve"> vive en la</w:t>
      </w:r>
      <w:r w:rsidR="002E682D" w:rsidRPr="00373B0A">
        <w:rPr>
          <w:lang w:val="es-ES"/>
        </w:rPr>
        <w:t xml:space="preserve"> zona donde se halla </w:t>
      </w:r>
      <w:r w:rsidRPr="00373B0A">
        <w:rPr>
          <w:lang w:val="es-ES"/>
        </w:rPr>
        <w:t xml:space="preserve">el sitio </w:t>
      </w:r>
      <w:r w:rsidR="003A6F91" w:rsidRPr="00373B0A">
        <w:rPr>
          <w:lang w:val="es-ES"/>
        </w:rPr>
        <w:t>del</w:t>
      </w:r>
      <w:r w:rsidR="00AC3220" w:rsidRPr="00373B0A">
        <w:rPr>
          <w:lang w:val="es-ES"/>
        </w:rPr>
        <w:t xml:space="preserve"> Patrimonio Mundial </w:t>
      </w:r>
      <w:r w:rsidR="00E80859">
        <w:rPr>
          <w:lang w:val="es-ES"/>
        </w:rPr>
        <w:t>denominado</w:t>
      </w:r>
      <w:r w:rsidR="00AC3220" w:rsidRPr="00373B0A">
        <w:rPr>
          <w:lang w:val="es-ES"/>
        </w:rPr>
        <w:t xml:space="preserve"> </w:t>
      </w:r>
      <w:r w:rsidRPr="00373B0A">
        <w:rPr>
          <w:lang w:val="es-ES"/>
        </w:rPr>
        <w:t>“Arrozales en terrazas de las cordilleras de Filipinas”</w:t>
      </w:r>
      <w:r w:rsidR="00AC3220" w:rsidRPr="00373B0A">
        <w:rPr>
          <w:lang w:val="es-ES"/>
        </w:rPr>
        <w:t xml:space="preserve"> </w:t>
      </w:r>
      <w:r w:rsidR="003A6F91" w:rsidRPr="00373B0A">
        <w:rPr>
          <w:lang w:val="es-ES"/>
        </w:rPr>
        <w:t>y</w:t>
      </w:r>
      <w:r w:rsidR="00E80859">
        <w:rPr>
          <w:lang w:val="es-ES"/>
        </w:rPr>
        <w:t xml:space="preserve"> que</w:t>
      </w:r>
      <w:r w:rsidR="002E682D" w:rsidRPr="00373B0A">
        <w:rPr>
          <w:lang w:val="es-ES"/>
        </w:rPr>
        <w:t xml:space="preserve">, además, trabaja en esos </w:t>
      </w:r>
      <w:r w:rsidR="002224A4" w:rsidRPr="00373B0A">
        <w:rPr>
          <w:lang w:val="es-ES"/>
        </w:rPr>
        <w:t xml:space="preserve">mismos </w:t>
      </w:r>
      <w:r w:rsidR="002E682D" w:rsidRPr="00373B0A">
        <w:rPr>
          <w:lang w:val="es-ES"/>
        </w:rPr>
        <w:t>arrozales</w:t>
      </w:r>
      <w:r w:rsidR="004D318B" w:rsidRPr="00373B0A">
        <w:rPr>
          <w:lang w:val="es-ES"/>
        </w:rPr>
        <w:t xml:space="preserve">. </w:t>
      </w:r>
      <w:r w:rsidR="003A6F91" w:rsidRPr="00373B0A">
        <w:rPr>
          <w:lang w:val="es-ES"/>
        </w:rPr>
        <w:t>Se da la circunstancia de que l</w:t>
      </w:r>
      <w:r w:rsidR="002E682D" w:rsidRPr="00373B0A">
        <w:rPr>
          <w:lang w:val="es-ES"/>
        </w:rPr>
        <w:t>os relatos cantados (</w:t>
      </w:r>
      <w:proofErr w:type="spellStart"/>
      <w:r w:rsidR="002E682D" w:rsidRPr="00373B0A">
        <w:rPr>
          <w:rFonts w:eastAsia="Times New Roman"/>
          <w:i/>
          <w:lang w:val="es-ES" w:eastAsia="es-ES"/>
        </w:rPr>
        <w:t>hudhud</w:t>
      </w:r>
      <w:proofErr w:type="spellEnd"/>
      <w:r w:rsidR="002E682D" w:rsidRPr="00373B0A">
        <w:rPr>
          <w:rFonts w:eastAsia="Times New Roman"/>
          <w:lang w:val="es-ES" w:eastAsia="es-ES"/>
        </w:rPr>
        <w:t>)</w:t>
      </w:r>
      <w:r w:rsidR="002E682D" w:rsidRPr="00373B0A">
        <w:rPr>
          <w:lang w:val="es-ES"/>
        </w:rPr>
        <w:t xml:space="preserve"> </w:t>
      </w:r>
      <w:r w:rsidR="003A6F91" w:rsidRPr="00373B0A">
        <w:rPr>
          <w:lang w:val="es-ES"/>
        </w:rPr>
        <w:t>por</w:t>
      </w:r>
      <w:r w:rsidR="002E682D" w:rsidRPr="00373B0A">
        <w:rPr>
          <w:lang w:val="es-ES"/>
        </w:rPr>
        <w:t xml:space="preserve"> </w:t>
      </w:r>
      <w:r w:rsidR="003A6F91" w:rsidRPr="00373B0A">
        <w:rPr>
          <w:lang w:val="es-ES"/>
        </w:rPr>
        <w:t xml:space="preserve">este </w:t>
      </w:r>
      <w:r w:rsidR="002E682D" w:rsidRPr="00373B0A">
        <w:rPr>
          <w:lang w:val="es-ES"/>
        </w:rPr>
        <w:t>pueblo indígena</w:t>
      </w:r>
      <w:r w:rsidR="003A6F91" w:rsidRPr="00373B0A">
        <w:rPr>
          <w:lang w:val="es-ES"/>
        </w:rPr>
        <w:t>, en el transcurso de sus faenas agrarias en las terrazas</w:t>
      </w:r>
      <w:r w:rsidR="002E682D" w:rsidRPr="00373B0A">
        <w:rPr>
          <w:lang w:val="es-ES"/>
        </w:rPr>
        <w:t xml:space="preserve"> y </w:t>
      </w:r>
      <w:r w:rsidR="003A6F91" w:rsidRPr="00373B0A">
        <w:rPr>
          <w:lang w:val="es-ES"/>
        </w:rPr>
        <w:t>durante</w:t>
      </w:r>
      <w:r w:rsidR="002E682D" w:rsidRPr="00373B0A">
        <w:rPr>
          <w:lang w:val="es-ES"/>
        </w:rPr>
        <w:t xml:space="preserve"> la celebración de rituales específico</w:t>
      </w:r>
      <w:r w:rsidR="003A6F91" w:rsidRPr="00373B0A">
        <w:rPr>
          <w:lang w:val="es-ES"/>
        </w:rPr>
        <w:t>s, están inscritos en la Lista R</w:t>
      </w:r>
      <w:r w:rsidR="002E682D" w:rsidRPr="00373B0A">
        <w:rPr>
          <w:lang w:val="es-ES"/>
        </w:rPr>
        <w:t>epresentativa de la Convención del Patrimonio Inmaterial</w:t>
      </w:r>
      <w:r w:rsidR="004D318B" w:rsidRPr="00373B0A">
        <w:rPr>
          <w:lang w:val="es-ES"/>
        </w:rPr>
        <w:t xml:space="preserve">. </w:t>
      </w:r>
      <w:r w:rsidR="00AC3220" w:rsidRPr="00373B0A">
        <w:rPr>
          <w:lang w:val="es-ES"/>
        </w:rPr>
        <w:t>En este caso concreto</w:t>
      </w:r>
      <w:r w:rsidR="004D318B" w:rsidRPr="00373B0A">
        <w:rPr>
          <w:lang w:val="es-ES"/>
        </w:rPr>
        <w:t xml:space="preserve"> </w:t>
      </w:r>
      <w:r w:rsidR="00AC3220" w:rsidRPr="00373B0A">
        <w:rPr>
          <w:lang w:val="es-ES"/>
        </w:rPr>
        <w:t>se puede decir que existe una relación verdaderamente orgánica entre el sitio del Patrimonio Mundial</w:t>
      </w:r>
      <w:r w:rsidR="003A6F91" w:rsidRPr="00373B0A">
        <w:rPr>
          <w:lang w:val="es-ES"/>
        </w:rPr>
        <w:t xml:space="preserve"> y </w:t>
      </w:r>
      <w:r w:rsidR="00AC3220" w:rsidRPr="00373B0A">
        <w:rPr>
          <w:lang w:val="es-ES"/>
        </w:rPr>
        <w:t>la comunidad interesada y su</w:t>
      </w:r>
      <w:r w:rsidR="004D318B" w:rsidRPr="00373B0A">
        <w:rPr>
          <w:lang w:val="es-ES"/>
        </w:rPr>
        <w:t xml:space="preserve"> </w:t>
      </w:r>
      <w:r w:rsidR="00715B7E" w:rsidRPr="00373B0A">
        <w:rPr>
          <w:lang w:val="es-ES"/>
        </w:rPr>
        <w:t>PCI</w:t>
      </w:r>
      <w:r w:rsidR="004D318B" w:rsidRPr="00373B0A">
        <w:rPr>
          <w:lang w:val="es-ES"/>
        </w:rPr>
        <w:t xml:space="preserve">. </w:t>
      </w:r>
      <w:r w:rsidR="003A6F91" w:rsidRPr="00373B0A">
        <w:rPr>
          <w:lang w:val="es-ES"/>
        </w:rPr>
        <w:t>En efecto, la</w:t>
      </w:r>
      <w:r w:rsidR="00AC3220" w:rsidRPr="00373B0A">
        <w:rPr>
          <w:lang w:val="es-ES"/>
        </w:rPr>
        <w:t xml:space="preserve"> conservación de los arrozales en terrazas y la salvaguardia de los relatos cantados están estrechamente interrelacionadas y redundan ambas en beneficio de la comunidad </w:t>
      </w:r>
      <w:proofErr w:type="spellStart"/>
      <w:r w:rsidR="002E682D" w:rsidRPr="00373B0A">
        <w:rPr>
          <w:lang w:val="es-ES"/>
        </w:rPr>
        <w:t>ifugao</w:t>
      </w:r>
      <w:proofErr w:type="spellEnd"/>
      <w:r w:rsidR="004D318B" w:rsidRPr="00373B0A">
        <w:rPr>
          <w:lang w:val="es-ES"/>
        </w:rPr>
        <w:t>.</w:t>
      </w:r>
    </w:p>
    <w:p w:rsidR="004D318B" w:rsidRPr="00373B0A" w:rsidRDefault="001311F5" w:rsidP="002D5639">
      <w:pPr>
        <w:pStyle w:val="Informations"/>
        <w:rPr>
          <w:lang w:val="es-ES"/>
        </w:rPr>
      </w:pPr>
      <w:r w:rsidRPr="00373B0A">
        <w:rPr>
          <w:noProof/>
          <w:lang w:eastAsia="en-GB"/>
        </w:rPr>
        <w:drawing>
          <wp:anchor distT="0" distB="0" distL="114300" distR="114300" simplePos="0" relativeHeight="251743744" behindDoc="0" locked="0" layoutInCell="1" allowOverlap="1">
            <wp:simplePos x="0" y="0"/>
            <wp:positionH relativeFrom="column">
              <wp:posOffset>635</wp:posOffset>
            </wp:positionH>
            <wp:positionV relativeFrom="paragraph">
              <wp:posOffset>164465</wp:posOffset>
            </wp:positionV>
            <wp:extent cx="281305" cy="357505"/>
            <wp:effectExtent l="19050" t="0" r="4445" b="0"/>
            <wp:wrapThrough wrapText="bothSides">
              <wp:wrapPolygon edited="0">
                <wp:start x="-1463" y="0"/>
                <wp:lineTo x="-1463" y="20718"/>
                <wp:lineTo x="21941" y="20718"/>
                <wp:lineTo x="21941" y="0"/>
                <wp:lineTo x="-1463" y="0"/>
              </wp:wrapPolygon>
            </wp:wrapThrough>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1305" cy="357505"/>
                    </a:xfrm>
                    <a:prstGeom prst="rect">
                      <a:avLst/>
                    </a:prstGeom>
                  </pic:spPr>
                </pic:pic>
              </a:graphicData>
            </a:graphic>
          </wp:anchor>
        </w:drawing>
      </w:r>
      <w:r w:rsidR="00143C9A" w:rsidRPr="00373B0A">
        <w:rPr>
          <w:lang w:val="es-ES"/>
        </w:rPr>
        <w:t xml:space="preserve">Para más información sobre el elemento del PCI denominado “El </w:t>
      </w:r>
      <w:proofErr w:type="spellStart"/>
      <w:r w:rsidR="00143C9A" w:rsidRPr="00373B0A">
        <w:rPr>
          <w:i w:val="0"/>
          <w:lang w:val="es-ES"/>
        </w:rPr>
        <w:t>hudhud</w:t>
      </w:r>
      <w:proofErr w:type="spellEnd"/>
      <w:r w:rsidR="00143C9A" w:rsidRPr="00373B0A">
        <w:rPr>
          <w:lang w:val="es-ES"/>
        </w:rPr>
        <w:t xml:space="preserve">, relatos cantados de los </w:t>
      </w:r>
      <w:proofErr w:type="spellStart"/>
      <w:r w:rsidR="00143C9A" w:rsidRPr="00373B0A">
        <w:rPr>
          <w:lang w:val="es-ES"/>
        </w:rPr>
        <w:t>ifugao</w:t>
      </w:r>
      <w:proofErr w:type="spellEnd"/>
      <w:r w:rsidR="00143C9A" w:rsidRPr="00373B0A">
        <w:rPr>
          <w:lang w:val="es-ES"/>
        </w:rPr>
        <w:t xml:space="preserve">”, remítanse al </w:t>
      </w:r>
      <w:r w:rsidR="00D2390F" w:rsidRPr="00373B0A">
        <w:rPr>
          <w:lang w:val="es-ES"/>
        </w:rPr>
        <w:t>Estudio de Caso</w:t>
      </w:r>
      <w:r w:rsidR="004D318B" w:rsidRPr="00373B0A">
        <w:rPr>
          <w:lang w:val="es-ES"/>
        </w:rPr>
        <w:t xml:space="preserve"> 33.</w:t>
      </w:r>
    </w:p>
    <w:p w:rsidR="004D318B" w:rsidRPr="00373B0A" w:rsidRDefault="00143C9A" w:rsidP="002D5639">
      <w:pPr>
        <w:pStyle w:val="Informations"/>
        <w:rPr>
          <w:lang w:val="es-ES"/>
        </w:rPr>
      </w:pPr>
      <w:r w:rsidRPr="00373B0A">
        <w:rPr>
          <w:lang w:val="es-ES"/>
        </w:rPr>
        <w:t>Para más información sobre la Convención del Patrimonio Mundial, v</w:t>
      </w:r>
      <w:r w:rsidR="00D2390F" w:rsidRPr="00373B0A">
        <w:rPr>
          <w:lang w:val="es-ES"/>
        </w:rPr>
        <w:t>éase</w:t>
      </w:r>
      <w:r w:rsidR="004D318B" w:rsidRPr="00373B0A">
        <w:rPr>
          <w:lang w:val="es-ES"/>
        </w:rPr>
        <w:t xml:space="preserve"> </w:t>
      </w:r>
      <w:r w:rsidRPr="00373B0A">
        <w:rPr>
          <w:lang w:val="es-ES"/>
        </w:rPr>
        <w:t xml:space="preserve">el </w:t>
      </w:r>
      <w:r w:rsidR="0036378C" w:rsidRPr="00373B0A">
        <w:rPr>
          <w:lang w:val="es-ES"/>
        </w:rPr>
        <w:t>Texto para el Participante</w:t>
      </w:r>
      <w:r w:rsidRPr="00373B0A">
        <w:rPr>
          <w:lang w:val="es-ES"/>
        </w:rPr>
        <w:t xml:space="preserve"> de la</w:t>
      </w:r>
      <w:r w:rsidR="004D318B" w:rsidRPr="00373B0A">
        <w:rPr>
          <w:lang w:val="es-ES"/>
        </w:rPr>
        <w:t xml:space="preserve"> </w:t>
      </w:r>
      <w:r w:rsidR="00D2390F" w:rsidRPr="00373B0A">
        <w:rPr>
          <w:lang w:val="es-ES"/>
        </w:rPr>
        <w:t>Unidad</w:t>
      </w:r>
      <w:r w:rsidR="00A853D3" w:rsidRPr="00373B0A">
        <w:rPr>
          <w:lang w:val="es-ES"/>
        </w:rPr>
        <w:t xml:space="preserve"> </w:t>
      </w:r>
      <w:r w:rsidR="005E0EFD" w:rsidRPr="00373B0A">
        <w:rPr>
          <w:lang w:val="es-ES"/>
        </w:rPr>
        <w:t>13</w:t>
      </w:r>
      <w:r w:rsidR="004D318B" w:rsidRPr="00373B0A">
        <w:rPr>
          <w:lang w:val="es-ES"/>
        </w:rPr>
        <w:t>.</w:t>
      </w:r>
    </w:p>
    <w:p w:rsidR="004D318B" w:rsidRPr="00373B0A" w:rsidRDefault="00955176" w:rsidP="00C82E38">
      <w:pPr>
        <w:pStyle w:val="Titcoul"/>
        <w:rPr>
          <w:lang w:val="es-ES"/>
        </w:rPr>
      </w:pPr>
      <w:bookmarkStart w:id="49" w:name="_Toc241229739"/>
      <w:bookmarkStart w:id="50" w:name="_Toc241229943"/>
      <w:bookmarkStart w:id="51" w:name="_Toc242165637"/>
      <w:r w:rsidRPr="00373B0A">
        <w:rPr>
          <w:lang w:val="es-ES"/>
        </w:rPr>
        <w:t>10</w:t>
      </w:r>
      <w:r w:rsidR="004D318B" w:rsidRPr="00373B0A">
        <w:rPr>
          <w:lang w:val="es-ES"/>
        </w:rPr>
        <w:t>.10</w:t>
      </w:r>
      <w:r w:rsidR="0063095F" w:rsidRPr="00373B0A">
        <w:rPr>
          <w:lang w:val="es-ES"/>
        </w:rPr>
        <w:tab/>
      </w:r>
      <w:r w:rsidR="00CE3C38" w:rsidRPr="00373B0A">
        <w:rPr>
          <w:lang w:val="es-ES"/>
        </w:rPr>
        <w:t xml:space="preserve">Otros instrumentos jurídicos internacionales a los que se hace referencia en la </w:t>
      </w:r>
      <w:r w:rsidR="004D318B" w:rsidRPr="00373B0A">
        <w:rPr>
          <w:lang w:val="es-ES"/>
        </w:rPr>
        <w:t>CONVEN</w:t>
      </w:r>
      <w:r w:rsidR="00CE3C38" w:rsidRPr="00373B0A">
        <w:rPr>
          <w:lang w:val="es-ES"/>
        </w:rPr>
        <w:t>ció</w:t>
      </w:r>
      <w:r w:rsidR="004D318B" w:rsidRPr="00373B0A">
        <w:rPr>
          <w:lang w:val="es-ES"/>
        </w:rPr>
        <w:t>N</w:t>
      </w:r>
      <w:bookmarkEnd w:id="49"/>
      <w:bookmarkEnd w:id="50"/>
      <w:bookmarkEnd w:id="51"/>
    </w:p>
    <w:p w:rsidR="004D318B" w:rsidRPr="00373B0A" w:rsidRDefault="00D2390F" w:rsidP="002D5639">
      <w:pPr>
        <w:pStyle w:val="Texte1"/>
        <w:rPr>
          <w:lang w:val="es-ES"/>
        </w:rPr>
      </w:pPr>
      <w:r w:rsidRPr="00373B0A">
        <w:rPr>
          <w:lang w:val="es-ES"/>
        </w:rPr>
        <w:t xml:space="preserve">En el </w:t>
      </w:r>
      <w:r w:rsidRPr="00373B0A">
        <w:rPr>
          <w:b/>
          <w:lang w:val="es-ES"/>
        </w:rPr>
        <w:t>Artículo 3</w:t>
      </w:r>
      <w:r w:rsidRPr="00373B0A">
        <w:rPr>
          <w:lang w:val="es-ES"/>
        </w:rPr>
        <w:t xml:space="preserve"> de la Convención </w:t>
      </w:r>
      <w:r w:rsidR="00143C9A" w:rsidRPr="00373B0A">
        <w:rPr>
          <w:lang w:val="es-ES"/>
        </w:rPr>
        <w:t>se alude también a otros tipos de instrumentos jurídicos internacionales</w:t>
      </w:r>
      <w:r w:rsidR="004D318B" w:rsidRPr="00373B0A">
        <w:rPr>
          <w:lang w:val="es-ES"/>
        </w:rPr>
        <w:t>:</w:t>
      </w:r>
    </w:p>
    <w:p w:rsidR="004D318B" w:rsidRPr="00373B0A" w:rsidRDefault="00D2390F" w:rsidP="002D5639">
      <w:pPr>
        <w:pStyle w:val="citation"/>
        <w:rPr>
          <w:lang w:val="es-ES"/>
        </w:rPr>
      </w:pPr>
      <w:r w:rsidRPr="00373B0A">
        <w:rPr>
          <w:szCs w:val="22"/>
          <w:lang w:val="es-ES"/>
        </w:rPr>
        <w:t>Ninguna disposición de la presente Convención podrá ser interpretada de tal manera que:</w:t>
      </w:r>
    </w:p>
    <w:p w:rsidR="004D318B" w:rsidRPr="00373B0A" w:rsidRDefault="00D2390F" w:rsidP="002D5639">
      <w:pPr>
        <w:pStyle w:val="numrationa"/>
        <w:rPr>
          <w:lang w:val="es-ES"/>
        </w:rPr>
      </w:pPr>
      <w:r w:rsidRPr="00373B0A">
        <w:rPr>
          <w:lang w:val="es-ES"/>
        </w:rPr>
        <w:t>[..] b) afecte los derechos y las obligaciones que tengan los Estados Partes en virtud de otros instrumentos internacionales relativos a los derechos de propiedad intelectual o a la utilización de los recursos biológicos y ecológicos de los que sean partes</w:t>
      </w:r>
      <w:r w:rsidR="004D318B" w:rsidRPr="00373B0A">
        <w:rPr>
          <w:lang w:val="es-ES"/>
        </w:rPr>
        <w:t>.</w:t>
      </w:r>
    </w:p>
    <w:p w:rsidR="004D318B" w:rsidRPr="00373B0A" w:rsidRDefault="00FC5FA2" w:rsidP="002D5639">
      <w:pPr>
        <w:pStyle w:val="Texte1"/>
        <w:rPr>
          <w:lang w:val="es-ES"/>
        </w:rPr>
      </w:pPr>
      <w:r w:rsidRPr="00373B0A">
        <w:rPr>
          <w:lang w:val="es-ES"/>
        </w:rPr>
        <w:lastRenderedPageBreak/>
        <w:t xml:space="preserve">En este contexto, conviene </w:t>
      </w:r>
      <w:r w:rsidR="00CE3C38" w:rsidRPr="00373B0A">
        <w:rPr>
          <w:lang w:val="es-ES"/>
        </w:rPr>
        <w:t xml:space="preserve">hacer una breve referencia a </w:t>
      </w:r>
      <w:r w:rsidR="00E80859">
        <w:rPr>
          <w:lang w:val="es-ES"/>
        </w:rPr>
        <w:t>los intentos</w:t>
      </w:r>
      <w:r w:rsidRPr="00373B0A">
        <w:rPr>
          <w:lang w:val="es-ES"/>
        </w:rPr>
        <w:t xml:space="preserve"> de la </w:t>
      </w:r>
      <w:r w:rsidR="00D2390F" w:rsidRPr="00373B0A">
        <w:rPr>
          <w:lang w:val="es-ES"/>
        </w:rPr>
        <w:t>OMPI</w:t>
      </w:r>
      <w:r w:rsidR="004D318B" w:rsidRPr="00373B0A">
        <w:rPr>
          <w:lang w:val="es-ES"/>
        </w:rPr>
        <w:t xml:space="preserve"> </w:t>
      </w:r>
      <w:r w:rsidRPr="00373B0A">
        <w:rPr>
          <w:lang w:val="es-ES"/>
        </w:rPr>
        <w:t>encaminad</w:t>
      </w:r>
      <w:r w:rsidR="00E80859">
        <w:rPr>
          <w:lang w:val="es-ES"/>
        </w:rPr>
        <w:t>os</w:t>
      </w:r>
      <w:r w:rsidRPr="00373B0A">
        <w:rPr>
          <w:lang w:val="es-ES"/>
        </w:rPr>
        <w:t xml:space="preserve"> a elaborar un </w:t>
      </w:r>
      <w:r w:rsidR="00CE3C38" w:rsidRPr="00373B0A">
        <w:rPr>
          <w:lang w:val="es-ES"/>
        </w:rPr>
        <w:t xml:space="preserve">instrumento jurídico </w:t>
      </w:r>
      <w:r w:rsidR="00E80859">
        <w:rPr>
          <w:lang w:val="es-ES"/>
        </w:rPr>
        <w:t>para</w:t>
      </w:r>
      <w:r w:rsidR="00CE3C38" w:rsidRPr="00373B0A">
        <w:rPr>
          <w:lang w:val="es-ES"/>
        </w:rPr>
        <w:t xml:space="preserve"> proteger los derechos de propiedad intelectual (DPI) sobre el PCI y </w:t>
      </w:r>
      <w:r w:rsidR="00E80859">
        <w:rPr>
          <w:lang w:val="es-ES"/>
        </w:rPr>
        <w:t>aspectos</w:t>
      </w:r>
      <w:r w:rsidR="00CE3C38" w:rsidRPr="00373B0A">
        <w:rPr>
          <w:lang w:val="es-ES"/>
        </w:rPr>
        <w:t xml:space="preserve"> conexos, </w:t>
      </w:r>
      <w:r w:rsidRPr="00373B0A">
        <w:rPr>
          <w:lang w:val="es-ES"/>
        </w:rPr>
        <w:t xml:space="preserve">y </w:t>
      </w:r>
      <w:r w:rsidR="007308FE">
        <w:rPr>
          <w:lang w:val="es-ES"/>
        </w:rPr>
        <w:t xml:space="preserve">referirse también </w:t>
      </w:r>
      <w:r w:rsidRPr="00373B0A">
        <w:rPr>
          <w:lang w:val="es-ES"/>
        </w:rPr>
        <w:t>al Convenio sobre la Diversidad Biológica (CDB) de 1992</w:t>
      </w:r>
      <w:r w:rsidR="00CE3C38" w:rsidRPr="00373B0A">
        <w:rPr>
          <w:lang w:val="es-ES"/>
        </w:rPr>
        <w:t>.</w:t>
      </w:r>
    </w:p>
    <w:p w:rsidR="004D318B" w:rsidRPr="00373B0A" w:rsidRDefault="00143C9A" w:rsidP="00A853D3">
      <w:pPr>
        <w:pStyle w:val="Heading4"/>
        <w:rPr>
          <w:lang w:val="es-ES"/>
        </w:rPr>
      </w:pPr>
      <w:r w:rsidRPr="00373B0A">
        <w:rPr>
          <w:lang w:val="es-ES"/>
        </w:rPr>
        <w:t>LA ORGANIZACIÓN MUNDIAL DE LA PROPIEDAD INTELECTUAL</w:t>
      </w:r>
      <w:r w:rsidR="004D318B" w:rsidRPr="00373B0A">
        <w:rPr>
          <w:spacing w:val="6"/>
          <w:w w:val="107"/>
          <w:lang w:val="es-ES"/>
        </w:rPr>
        <w:t xml:space="preserve"> </w:t>
      </w:r>
      <w:r w:rsidR="004D318B" w:rsidRPr="00373B0A">
        <w:rPr>
          <w:lang w:val="es-ES"/>
        </w:rPr>
        <w:t>(</w:t>
      </w:r>
      <w:r w:rsidR="00D2390F" w:rsidRPr="00373B0A">
        <w:rPr>
          <w:lang w:val="es-ES"/>
        </w:rPr>
        <w:t>OMPI</w:t>
      </w:r>
      <w:r w:rsidR="004D318B" w:rsidRPr="00373B0A">
        <w:rPr>
          <w:lang w:val="es-ES"/>
        </w:rPr>
        <w:t>)</w:t>
      </w:r>
    </w:p>
    <w:p w:rsidR="004D318B" w:rsidRPr="00373B0A" w:rsidRDefault="00733E8D" w:rsidP="002D5639">
      <w:pPr>
        <w:pStyle w:val="Texte1"/>
        <w:rPr>
          <w:lang w:val="es-ES"/>
        </w:rPr>
      </w:pPr>
      <w:r w:rsidRPr="00373B0A">
        <w:rPr>
          <w:lang w:val="es-ES"/>
        </w:rPr>
        <w:t xml:space="preserve">El </w:t>
      </w:r>
      <w:r w:rsidRPr="00373B0A">
        <w:rPr>
          <w:szCs w:val="16"/>
          <w:lang w:val="es-ES"/>
        </w:rPr>
        <w:t xml:space="preserve">Comité Intergubernamental de la OMPI </w:t>
      </w:r>
      <w:r w:rsidRPr="00373B0A">
        <w:rPr>
          <w:rStyle w:val="st1"/>
          <w:szCs w:val="16"/>
          <w:lang w:val="es-ES"/>
        </w:rPr>
        <w:t xml:space="preserve">sobre </w:t>
      </w:r>
      <w:r w:rsidRPr="00373B0A">
        <w:rPr>
          <w:rStyle w:val="Emphasis"/>
          <w:i w:val="0"/>
          <w:szCs w:val="16"/>
          <w:lang w:val="es-ES"/>
        </w:rPr>
        <w:t>Propiedad Intelectual</w:t>
      </w:r>
      <w:r w:rsidRPr="00373B0A">
        <w:rPr>
          <w:rStyle w:val="st1"/>
          <w:i/>
          <w:szCs w:val="16"/>
          <w:lang w:val="es-ES"/>
        </w:rPr>
        <w:t xml:space="preserve"> y </w:t>
      </w:r>
      <w:r w:rsidRPr="00373B0A">
        <w:rPr>
          <w:rStyle w:val="Emphasis"/>
          <w:i w:val="0"/>
          <w:szCs w:val="16"/>
          <w:lang w:val="es-ES"/>
        </w:rPr>
        <w:t>Recursos Genéticos</w:t>
      </w:r>
      <w:r w:rsidRPr="00373B0A">
        <w:rPr>
          <w:rStyle w:val="st1"/>
          <w:szCs w:val="16"/>
          <w:lang w:val="es-ES"/>
        </w:rPr>
        <w:t>, Conocimientos</w:t>
      </w:r>
      <w:r w:rsidRPr="00373B0A">
        <w:rPr>
          <w:rStyle w:val="st1"/>
          <w:i/>
          <w:szCs w:val="16"/>
          <w:lang w:val="es-ES"/>
        </w:rPr>
        <w:t xml:space="preserve"> </w:t>
      </w:r>
      <w:r w:rsidRPr="00373B0A">
        <w:rPr>
          <w:rStyle w:val="Emphasis"/>
          <w:i w:val="0"/>
          <w:szCs w:val="16"/>
          <w:lang w:val="es-ES"/>
        </w:rPr>
        <w:t>Tradicionales</w:t>
      </w:r>
      <w:r w:rsidRPr="00373B0A">
        <w:rPr>
          <w:rStyle w:val="st1"/>
          <w:b/>
          <w:i/>
          <w:szCs w:val="16"/>
          <w:lang w:val="es-ES"/>
        </w:rPr>
        <w:t xml:space="preserve"> </w:t>
      </w:r>
      <w:r w:rsidRPr="00373B0A">
        <w:rPr>
          <w:rStyle w:val="st1"/>
          <w:i/>
          <w:szCs w:val="16"/>
          <w:lang w:val="es-ES"/>
        </w:rPr>
        <w:t xml:space="preserve">y </w:t>
      </w:r>
      <w:r w:rsidRPr="00373B0A">
        <w:rPr>
          <w:rStyle w:val="Emphasis"/>
          <w:i w:val="0"/>
          <w:szCs w:val="16"/>
          <w:lang w:val="es-ES"/>
        </w:rPr>
        <w:t>Folclore</w:t>
      </w:r>
      <w:r w:rsidR="004D318B" w:rsidRPr="00373B0A">
        <w:rPr>
          <w:lang w:val="es-ES"/>
        </w:rPr>
        <w:t xml:space="preserve"> </w:t>
      </w:r>
      <w:r w:rsidRPr="00373B0A">
        <w:rPr>
          <w:lang w:val="es-ES"/>
        </w:rPr>
        <w:t>está examinando desde hace varios años la conveniencia de crear un instrumento normativo internacional que aborde la cuestión de los DPI sobre prácticas y expresiones que, en general, se ajustan a la definición de PCI enunciada en la Convención para la Salvaguardia del Patrimonio Cultural Inmaterial. También está examinando las posibles disposiciones que podría contener ese instrumento</w:t>
      </w:r>
      <w:r w:rsidR="00FC5FA2" w:rsidRPr="00373B0A">
        <w:rPr>
          <w:lang w:val="es-ES"/>
        </w:rPr>
        <w:t xml:space="preserve"> normativo</w:t>
      </w:r>
      <w:r w:rsidR="004D318B" w:rsidRPr="00373B0A">
        <w:rPr>
          <w:lang w:val="es-ES"/>
        </w:rPr>
        <w:t xml:space="preserve">. </w:t>
      </w:r>
      <w:r w:rsidR="004A391E" w:rsidRPr="00373B0A">
        <w:rPr>
          <w:lang w:val="es-ES"/>
        </w:rPr>
        <w:t xml:space="preserve">Hay buenas posibilidades de que </w:t>
      </w:r>
      <w:r w:rsidR="00FC5FA2" w:rsidRPr="00373B0A">
        <w:rPr>
          <w:lang w:val="es-ES"/>
        </w:rPr>
        <w:t>el</w:t>
      </w:r>
      <w:r w:rsidR="004A391E" w:rsidRPr="00373B0A">
        <w:rPr>
          <w:lang w:val="es-ES"/>
        </w:rPr>
        <w:t xml:space="preserve"> instrumento </w:t>
      </w:r>
      <w:r w:rsidR="00FC5FA2" w:rsidRPr="00373B0A">
        <w:rPr>
          <w:lang w:val="es-ES"/>
        </w:rPr>
        <w:t>en cuestión</w:t>
      </w:r>
      <w:r w:rsidR="004A391E" w:rsidRPr="00373B0A">
        <w:rPr>
          <w:lang w:val="es-ES"/>
        </w:rPr>
        <w:t xml:space="preserve"> – una convención, probablemente– </w:t>
      </w:r>
      <w:r w:rsidR="00FC5FA2" w:rsidRPr="00373B0A">
        <w:rPr>
          <w:lang w:val="es-ES"/>
        </w:rPr>
        <w:t>pueda</w:t>
      </w:r>
      <w:r w:rsidR="004A391E" w:rsidRPr="00373B0A">
        <w:rPr>
          <w:lang w:val="es-ES"/>
        </w:rPr>
        <w:t xml:space="preserve"> ultim</w:t>
      </w:r>
      <w:r w:rsidR="00FC5FA2" w:rsidRPr="00373B0A">
        <w:rPr>
          <w:lang w:val="es-ES"/>
        </w:rPr>
        <w:t>arse</w:t>
      </w:r>
      <w:r w:rsidR="004A391E" w:rsidRPr="00373B0A">
        <w:rPr>
          <w:lang w:val="es-ES"/>
        </w:rPr>
        <w:t xml:space="preserve"> dentro de unos pocos años, pese a los problemas que evidentemente se plantean, a saber: encontrar los medios para establecer quiénes son miembros de una comunidad determinada y quiénes pueden hablar –o asumir derechos– en su nombre; tomar debidamente en cuenta el hecho de que el PCI se caracteriza por su evolución constante</w:t>
      </w:r>
      <w:r w:rsidR="004D318B" w:rsidRPr="00373B0A">
        <w:rPr>
          <w:lang w:val="es-ES"/>
        </w:rPr>
        <w:t xml:space="preserve">; </w:t>
      </w:r>
      <w:r w:rsidR="004A391E" w:rsidRPr="00373B0A">
        <w:rPr>
          <w:lang w:val="es-ES"/>
        </w:rPr>
        <w:t>y</w:t>
      </w:r>
      <w:r w:rsidR="00FC5FA2" w:rsidRPr="00373B0A">
        <w:rPr>
          <w:lang w:val="es-ES"/>
        </w:rPr>
        <w:t xml:space="preserve">, por último, </w:t>
      </w:r>
      <w:r w:rsidR="004A391E" w:rsidRPr="00373B0A">
        <w:rPr>
          <w:lang w:val="es-ES"/>
        </w:rPr>
        <w:t>tener presente</w:t>
      </w:r>
      <w:r w:rsidR="00FC5FA2" w:rsidRPr="00373B0A">
        <w:rPr>
          <w:lang w:val="es-ES"/>
        </w:rPr>
        <w:t xml:space="preserve">s los diferentes intereses creados de los </w:t>
      </w:r>
      <w:r w:rsidR="00715B7E" w:rsidRPr="00373B0A">
        <w:rPr>
          <w:lang w:val="es-ES"/>
        </w:rPr>
        <w:t>Estados</w:t>
      </w:r>
      <w:r w:rsidR="004D318B" w:rsidRPr="00373B0A">
        <w:rPr>
          <w:lang w:val="es-ES"/>
        </w:rPr>
        <w:t xml:space="preserve"> </w:t>
      </w:r>
      <w:r w:rsidR="00FC5FA2" w:rsidRPr="00373B0A">
        <w:rPr>
          <w:lang w:val="es-ES"/>
        </w:rPr>
        <w:t>Miembros de la</w:t>
      </w:r>
      <w:r w:rsidR="004D318B" w:rsidRPr="00373B0A">
        <w:rPr>
          <w:lang w:val="es-ES"/>
        </w:rPr>
        <w:t xml:space="preserve"> </w:t>
      </w:r>
      <w:r w:rsidR="00D2390F" w:rsidRPr="00373B0A">
        <w:rPr>
          <w:lang w:val="es-ES"/>
        </w:rPr>
        <w:t>OMPI</w:t>
      </w:r>
      <w:r w:rsidR="004D318B" w:rsidRPr="00373B0A">
        <w:rPr>
          <w:lang w:val="es-ES"/>
        </w:rPr>
        <w:t xml:space="preserve"> </w:t>
      </w:r>
      <w:r w:rsidR="00FC5FA2" w:rsidRPr="00373B0A">
        <w:rPr>
          <w:lang w:val="es-ES"/>
        </w:rPr>
        <w:t xml:space="preserve">y </w:t>
      </w:r>
      <w:r w:rsidR="007308FE">
        <w:rPr>
          <w:lang w:val="es-ES"/>
        </w:rPr>
        <w:t xml:space="preserve">de </w:t>
      </w:r>
      <w:r w:rsidR="00FC5FA2" w:rsidRPr="00373B0A">
        <w:rPr>
          <w:lang w:val="es-ES"/>
        </w:rPr>
        <w:t>las empresas privadas, por ejemplo las pertenecientes a los sectores farmacéutico y cultural. A este respecto, cabe señalar que los Estados Miembros de la OMPI y la UNESCO son prácticamente los mismos.</w:t>
      </w:r>
    </w:p>
    <w:p w:rsidR="004D318B" w:rsidRPr="00373B0A" w:rsidRDefault="002949AF" w:rsidP="002D5639">
      <w:pPr>
        <w:pStyle w:val="Texte1"/>
        <w:rPr>
          <w:lang w:val="es-ES"/>
        </w:rPr>
      </w:pPr>
      <w:r w:rsidRPr="00373B0A">
        <w:rPr>
          <w:lang w:val="es-ES"/>
        </w:rPr>
        <w:t>Ya han entrado en vigor varios a</w:t>
      </w:r>
      <w:r w:rsidR="005B66EF" w:rsidRPr="00373B0A">
        <w:rPr>
          <w:lang w:val="es-ES"/>
        </w:rPr>
        <w:t>cuerdos regionales relativos a instrumentos de protecc</w:t>
      </w:r>
      <w:r w:rsidR="007308FE">
        <w:rPr>
          <w:lang w:val="es-ES"/>
        </w:rPr>
        <w:t>ión de la propiedad intelectual que tienen por</w:t>
      </w:r>
      <w:r w:rsidR="005B66EF" w:rsidRPr="00373B0A">
        <w:rPr>
          <w:lang w:val="es-ES"/>
        </w:rPr>
        <w:t xml:space="preserve"> finalidad </w:t>
      </w:r>
      <w:r w:rsidR="007308FE">
        <w:rPr>
          <w:lang w:val="es-ES"/>
        </w:rPr>
        <w:t>amparar</w:t>
      </w:r>
      <w:r w:rsidR="005B66EF" w:rsidRPr="00373B0A">
        <w:rPr>
          <w:lang w:val="es-ES"/>
        </w:rPr>
        <w:t xml:space="preserve"> los derechos de las comunidades sobre su PCI</w:t>
      </w:r>
      <w:r w:rsidR="004D318B" w:rsidRPr="00373B0A">
        <w:rPr>
          <w:lang w:val="es-ES"/>
        </w:rPr>
        <w:t xml:space="preserve">. </w:t>
      </w:r>
      <w:r w:rsidRPr="00373B0A">
        <w:rPr>
          <w:lang w:val="es-ES"/>
        </w:rPr>
        <w:t>Por ejemplo, la Organización Regional Africana de la Propiedad Intelectual (ARIPO)</w:t>
      </w:r>
      <w:r w:rsidR="004D318B" w:rsidRPr="00373B0A">
        <w:rPr>
          <w:lang w:val="es-ES"/>
        </w:rPr>
        <w:t xml:space="preserve"> </w:t>
      </w:r>
      <w:r w:rsidR="005B66EF" w:rsidRPr="00373B0A">
        <w:rPr>
          <w:lang w:val="es-ES"/>
        </w:rPr>
        <w:t xml:space="preserve">elaboró en 2007 un Instrumento jurídico para la protección de conocimientos tradicionales y expresiones del folklore, y en 2010 adoptó con este mismo objetivo el Protocolo de </w:t>
      </w:r>
      <w:proofErr w:type="spellStart"/>
      <w:r w:rsidR="005B66EF" w:rsidRPr="00373B0A">
        <w:rPr>
          <w:lang w:val="es-ES"/>
        </w:rPr>
        <w:t>Swakopmund</w:t>
      </w:r>
      <w:proofErr w:type="spellEnd"/>
      <w:r w:rsidRPr="00373B0A">
        <w:rPr>
          <w:lang w:val="es-ES"/>
        </w:rPr>
        <w:t>.</w:t>
      </w:r>
    </w:p>
    <w:p w:rsidR="004D318B" w:rsidRPr="00373B0A" w:rsidRDefault="00E84FF0" w:rsidP="00A853D3">
      <w:pPr>
        <w:pStyle w:val="Heading4"/>
        <w:rPr>
          <w:lang w:val="es-ES"/>
        </w:rPr>
      </w:pPr>
      <w:r w:rsidRPr="00373B0A">
        <w:rPr>
          <w:lang w:val="es-ES"/>
        </w:rPr>
        <w:t xml:space="preserve">EL CONVENIO SOBRE LA </w:t>
      </w:r>
      <w:r w:rsidR="004D318B" w:rsidRPr="00373B0A">
        <w:rPr>
          <w:lang w:val="es-ES"/>
        </w:rPr>
        <w:t>Di</w:t>
      </w:r>
      <w:r w:rsidR="004D318B" w:rsidRPr="00373B0A">
        <w:rPr>
          <w:spacing w:val="-3"/>
          <w:w w:val="107"/>
          <w:lang w:val="es-ES"/>
        </w:rPr>
        <w:t>v</w:t>
      </w:r>
      <w:r w:rsidR="004D318B" w:rsidRPr="00373B0A">
        <w:rPr>
          <w:lang w:val="es-ES"/>
        </w:rPr>
        <w:t>ersi</w:t>
      </w:r>
      <w:r w:rsidRPr="00373B0A">
        <w:rPr>
          <w:lang w:val="es-ES"/>
        </w:rPr>
        <w:t>DAD</w:t>
      </w:r>
      <w:r w:rsidR="004D318B" w:rsidRPr="00373B0A">
        <w:rPr>
          <w:spacing w:val="-2"/>
          <w:w w:val="107"/>
          <w:lang w:val="es-ES"/>
        </w:rPr>
        <w:t xml:space="preserve"> </w:t>
      </w:r>
      <w:r w:rsidRPr="00373B0A">
        <w:rPr>
          <w:lang w:val="es-ES"/>
        </w:rPr>
        <w:t>BiolÓgica</w:t>
      </w:r>
      <w:r w:rsidRPr="00373B0A">
        <w:rPr>
          <w:spacing w:val="-5"/>
          <w:w w:val="107"/>
          <w:lang w:val="es-ES"/>
        </w:rPr>
        <w:t xml:space="preserve"> (</w:t>
      </w:r>
      <w:r w:rsidRPr="00373B0A">
        <w:rPr>
          <w:lang w:val="es-ES"/>
        </w:rPr>
        <w:t>CB</w:t>
      </w:r>
      <w:r w:rsidRPr="00373B0A">
        <w:rPr>
          <w:spacing w:val="-4"/>
          <w:w w:val="107"/>
          <w:lang w:val="es-ES"/>
        </w:rPr>
        <w:t>D</w:t>
      </w:r>
      <w:r w:rsidRPr="00373B0A">
        <w:rPr>
          <w:lang w:val="es-ES"/>
        </w:rPr>
        <w:t xml:space="preserve">) </w:t>
      </w:r>
      <w:r w:rsidRPr="00373B0A">
        <w:rPr>
          <w:spacing w:val="-5"/>
          <w:w w:val="107"/>
          <w:lang w:val="es-ES"/>
        </w:rPr>
        <w:t xml:space="preserve">DE LAS NACIONES UNIDAS </w:t>
      </w:r>
    </w:p>
    <w:p w:rsidR="004D318B" w:rsidRPr="00373B0A" w:rsidRDefault="00E84FF0" w:rsidP="002D5639">
      <w:pPr>
        <w:pStyle w:val="Texte1"/>
        <w:rPr>
          <w:lang w:val="es-ES"/>
        </w:rPr>
      </w:pPr>
      <w:r w:rsidRPr="00373B0A">
        <w:rPr>
          <w:lang w:val="es-ES"/>
        </w:rPr>
        <w:t>E</w:t>
      </w:r>
      <w:r w:rsidR="00D8278F" w:rsidRPr="00373B0A">
        <w:rPr>
          <w:lang w:val="es-ES"/>
        </w:rPr>
        <w:t>l C</w:t>
      </w:r>
      <w:r w:rsidRPr="00373B0A">
        <w:rPr>
          <w:lang w:val="es-ES"/>
        </w:rPr>
        <w:t xml:space="preserve">onvenio sobre la </w:t>
      </w:r>
      <w:r w:rsidR="00D8278F" w:rsidRPr="00373B0A">
        <w:rPr>
          <w:lang w:val="es-ES"/>
        </w:rPr>
        <w:t>Di</w:t>
      </w:r>
      <w:r w:rsidR="00D8278F" w:rsidRPr="00373B0A">
        <w:rPr>
          <w:spacing w:val="-3"/>
          <w:w w:val="107"/>
          <w:lang w:val="es-ES"/>
        </w:rPr>
        <w:t>v</w:t>
      </w:r>
      <w:r w:rsidR="00D8278F" w:rsidRPr="00373B0A">
        <w:rPr>
          <w:lang w:val="es-ES"/>
        </w:rPr>
        <w:t>ersidad</w:t>
      </w:r>
      <w:r w:rsidR="00D8278F" w:rsidRPr="00373B0A">
        <w:rPr>
          <w:spacing w:val="-2"/>
          <w:w w:val="107"/>
          <w:lang w:val="es-ES"/>
        </w:rPr>
        <w:t xml:space="preserve"> </w:t>
      </w:r>
      <w:r w:rsidR="00D8278F" w:rsidRPr="00373B0A">
        <w:rPr>
          <w:lang w:val="es-ES"/>
        </w:rPr>
        <w:t xml:space="preserve">Biológica, que entró en vigor a finales de </w:t>
      </w:r>
      <w:r w:rsidRPr="00373B0A">
        <w:rPr>
          <w:lang w:val="es-ES"/>
        </w:rPr>
        <w:t>1993</w:t>
      </w:r>
      <w:r w:rsidR="005507CE" w:rsidRPr="00373B0A">
        <w:rPr>
          <w:lang w:val="es-ES"/>
        </w:rPr>
        <w:t>, ha sido ratificado por la may</w:t>
      </w:r>
      <w:r w:rsidR="00D8278F" w:rsidRPr="00373B0A">
        <w:rPr>
          <w:lang w:val="es-ES"/>
        </w:rPr>
        <w:t>oría de los E</w:t>
      </w:r>
      <w:r w:rsidRPr="00373B0A">
        <w:rPr>
          <w:lang w:val="es-ES"/>
        </w:rPr>
        <w:t xml:space="preserve">stados </w:t>
      </w:r>
      <w:r w:rsidR="00D8278F" w:rsidRPr="00373B0A">
        <w:rPr>
          <w:lang w:val="es-ES"/>
        </w:rPr>
        <w:t xml:space="preserve">Miembros </w:t>
      </w:r>
      <w:r w:rsidRPr="00373B0A">
        <w:rPr>
          <w:spacing w:val="-5"/>
          <w:w w:val="107"/>
          <w:lang w:val="es-ES"/>
        </w:rPr>
        <w:t xml:space="preserve">de las </w:t>
      </w:r>
      <w:r w:rsidR="00D8278F" w:rsidRPr="00373B0A">
        <w:rPr>
          <w:spacing w:val="-5"/>
          <w:w w:val="107"/>
          <w:lang w:val="es-ES"/>
        </w:rPr>
        <w:t>Naciones Unidas</w:t>
      </w:r>
      <w:r w:rsidRPr="00373B0A">
        <w:rPr>
          <w:lang w:val="es-ES"/>
        </w:rPr>
        <w:t xml:space="preserve">. </w:t>
      </w:r>
      <w:r w:rsidR="00D8278F" w:rsidRPr="00373B0A">
        <w:rPr>
          <w:lang w:val="es-ES"/>
        </w:rPr>
        <w:t>En virtud de este convenio, los Estados Partes en el mismo contraen el compromiso –jurídicamente vinculante–</w:t>
      </w:r>
      <w:r w:rsidR="004D318B" w:rsidRPr="00373B0A">
        <w:rPr>
          <w:lang w:val="es-ES"/>
        </w:rPr>
        <w:t xml:space="preserve"> </w:t>
      </w:r>
      <w:r w:rsidR="00D8278F" w:rsidRPr="00373B0A">
        <w:rPr>
          <w:lang w:val="es-ES"/>
        </w:rPr>
        <w:t>de conservar la diversidad biológica, utilizar de modo sostenible sus componentes y compartir equitativamente los beneficios que se deriven de la utilización de los recursos genéticos</w:t>
      </w:r>
      <w:r w:rsidR="004D318B" w:rsidRPr="00373B0A">
        <w:rPr>
          <w:lang w:val="es-ES"/>
        </w:rPr>
        <w:t xml:space="preserve">. </w:t>
      </w:r>
      <w:r w:rsidR="00D8278F" w:rsidRPr="00373B0A">
        <w:rPr>
          <w:lang w:val="es-ES"/>
        </w:rPr>
        <w:t>En este convenio se alienta a lo</w:t>
      </w:r>
      <w:r w:rsidR="004D318B" w:rsidRPr="00373B0A">
        <w:rPr>
          <w:lang w:val="es-ES"/>
        </w:rPr>
        <w:t xml:space="preserve">s </w:t>
      </w:r>
      <w:r w:rsidR="00715B7E" w:rsidRPr="00373B0A">
        <w:rPr>
          <w:lang w:val="es-ES"/>
        </w:rPr>
        <w:t>Estados Partes</w:t>
      </w:r>
      <w:r w:rsidR="004D318B" w:rsidRPr="00373B0A">
        <w:rPr>
          <w:lang w:val="es-ES"/>
        </w:rPr>
        <w:t xml:space="preserve"> </w:t>
      </w:r>
      <w:r w:rsidR="002949AF" w:rsidRPr="00373B0A">
        <w:rPr>
          <w:lang w:val="es-ES"/>
        </w:rPr>
        <w:t xml:space="preserve">a reconocer, proteger y desarrollar los derechos que poseen los individuos y comunidades indígenas sobre sus prácticas y conocimientos tradicionales relacionados con la conservación y utilización sostenible de la diversidad biológica. </w:t>
      </w:r>
    </w:p>
    <w:p w:rsidR="004D318B" w:rsidRPr="00373B0A" w:rsidRDefault="00955176" w:rsidP="00C82E38">
      <w:pPr>
        <w:pStyle w:val="Titcoul"/>
        <w:rPr>
          <w:lang w:val="es-ES"/>
        </w:rPr>
      </w:pPr>
      <w:bookmarkStart w:id="52" w:name="_Toc241229740"/>
      <w:bookmarkStart w:id="53" w:name="_Toc241229944"/>
      <w:bookmarkStart w:id="54" w:name="_Toc242165638"/>
      <w:r w:rsidRPr="00373B0A">
        <w:rPr>
          <w:lang w:val="es-ES"/>
        </w:rPr>
        <w:lastRenderedPageBreak/>
        <w:t>10</w:t>
      </w:r>
      <w:r w:rsidR="004D318B" w:rsidRPr="00373B0A">
        <w:rPr>
          <w:lang w:val="es-ES"/>
        </w:rPr>
        <w:t>.11</w:t>
      </w:r>
      <w:r w:rsidR="00441E29" w:rsidRPr="00373B0A">
        <w:rPr>
          <w:lang w:val="es-ES"/>
        </w:rPr>
        <w:tab/>
      </w:r>
      <w:r w:rsidR="00E84FF0" w:rsidRPr="00373B0A">
        <w:rPr>
          <w:lang w:val="es-ES"/>
        </w:rPr>
        <w:t>directrice</w:t>
      </w:r>
      <w:r w:rsidR="004D318B" w:rsidRPr="00373B0A">
        <w:rPr>
          <w:lang w:val="es-ES"/>
        </w:rPr>
        <w:t xml:space="preserve">S </w:t>
      </w:r>
      <w:bookmarkEnd w:id="52"/>
      <w:bookmarkEnd w:id="53"/>
      <w:bookmarkEnd w:id="54"/>
      <w:r w:rsidR="00E84FF0" w:rsidRPr="00373B0A">
        <w:rPr>
          <w:lang w:val="es-ES"/>
        </w:rPr>
        <w:t>y códigos de ética</w:t>
      </w:r>
    </w:p>
    <w:p w:rsidR="004D318B" w:rsidRPr="00373B0A" w:rsidRDefault="00817F2E" w:rsidP="002D5639">
      <w:pPr>
        <w:pStyle w:val="Texte1"/>
        <w:rPr>
          <w:highlight w:val="yellow"/>
          <w:lang w:val="es-ES"/>
        </w:rPr>
      </w:pPr>
      <w:r w:rsidRPr="00373B0A">
        <w:rPr>
          <w:noProof/>
          <w:highlight w:val="yellow"/>
          <w:lang w:eastAsia="en-GB"/>
        </w:rPr>
        <w:drawing>
          <wp:anchor distT="0" distB="0" distL="114300" distR="114300" simplePos="0" relativeHeight="251897344" behindDoc="0" locked="1" layoutInCell="1" allowOverlap="0">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9C44C8" w:rsidRPr="00373B0A">
        <w:rPr>
          <w:lang w:val="es-ES"/>
        </w:rPr>
        <w:t xml:space="preserve">Muchas comunidades, asociaciones profesionales y organizaciones </w:t>
      </w:r>
      <w:r w:rsidR="007308FE">
        <w:rPr>
          <w:lang w:val="es-ES"/>
        </w:rPr>
        <w:t>d</w:t>
      </w:r>
      <w:r w:rsidR="009C44C8" w:rsidRPr="00373B0A">
        <w:rPr>
          <w:lang w:val="es-ES"/>
        </w:rPr>
        <w:t xml:space="preserve">el mundo </w:t>
      </w:r>
      <w:r w:rsidR="007308FE">
        <w:rPr>
          <w:lang w:val="es-ES"/>
        </w:rPr>
        <w:t xml:space="preserve">entero </w:t>
      </w:r>
      <w:r w:rsidR="009C44C8" w:rsidRPr="00373B0A">
        <w:rPr>
          <w:lang w:val="es-ES"/>
        </w:rPr>
        <w:t xml:space="preserve">han elaborado directrices o códigos de ética </w:t>
      </w:r>
      <w:r w:rsidR="007308FE">
        <w:rPr>
          <w:lang w:val="es-ES"/>
        </w:rPr>
        <w:t>para que puedan ser utilizados –</w:t>
      </w:r>
      <w:r w:rsidR="009C44C8" w:rsidRPr="00373B0A">
        <w:rPr>
          <w:lang w:val="es-ES"/>
        </w:rPr>
        <w:t xml:space="preserve">o aplicados </w:t>
      </w:r>
      <w:r w:rsidR="007308FE" w:rsidRPr="00373B0A">
        <w:rPr>
          <w:lang w:val="es-ES"/>
        </w:rPr>
        <w:t xml:space="preserve">a veces </w:t>
      </w:r>
      <w:r w:rsidR="009C44C8" w:rsidRPr="00373B0A">
        <w:rPr>
          <w:lang w:val="es-ES"/>
        </w:rPr>
        <w:t>obligatoriamente</w:t>
      </w:r>
      <w:r w:rsidR="007308FE">
        <w:rPr>
          <w:lang w:val="es-ES"/>
        </w:rPr>
        <w:t>–</w:t>
      </w:r>
      <w:r w:rsidR="009C44C8" w:rsidRPr="00373B0A">
        <w:rPr>
          <w:lang w:val="es-ES"/>
        </w:rPr>
        <w:t xml:space="preserve"> por </w:t>
      </w:r>
      <w:r w:rsidR="007308FE">
        <w:rPr>
          <w:lang w:val="es-ES"/>
        </w:rPr>
        <w:t>todos aquellos</w:t>
      </w:r>
      <w:r w:rsidR="009C44C8" w:rsidRPr="00373B0A">
        <w:rPr>
          <w:lang w:val="es-ES"/>
        </w:rPr>
        <w:t xml:space="preserve"> que efectúan trabajos de investigación sobre el PCI, llevan a cabo actividades destinadas a salvaguardarlo o realizan campañas de sensibilización a su valor e importancia. Algunos de esos códigos y directrices son de carácter internacional y otros tienen un alcance más limitado. Los Gobiernos y las instituciones también pueden elaborar sus propios códigos de ética para garantizar la protección de los derechos de las comunidades. En las Directrices Operativas se alienta a los Estados Partes a elaborar y adoptar códigos de ética, a fin de garantizar que las actividades de sensibilización se realicen de conformidad con los principios y el espíritu </w:t>
      </w:r>
      <w:r w:rsidR="007308FE">
        <w:rPr>
          <w:lang w:val="es-ES"/>
        </w:rPr>
        <w:t>de la Convención (DO 103). Como evidentemente</w:t>
      </w:r>
      <w:r w:rsidR="009C44C8" w:rsidRPr="00373B0A">
        <w:rPr>
          <w:lang w:val="es-ES"/>
        </w:rPr>
        <w:t xml:space="preserve"> hay muchas otras clases de actividades realizadas en el contexto de la aplicación de la Convención, se deberían elaborar también códigos para todas ellas.</w:t>
      </w:r>
    </w:p>
    <w:p w:rsidR="004D318B" w:rsidRPr="00373B0A" w:rsidRDefault="00893352" w:rsidP="0071007C">
      <w:pPr>
        <w:pStyle w:val="Texte1"/>
        <w:rPr>
          <w:lang w:val="es-ES"/>
        </w:rPr>
      </w:pPr>
      <w:r w:rsidRPr="00373B0A">
        <w:rPr>
          <w:lang w:val="es-ES"/>
        </w:rPr>
        <w:t xml:space="preserve">La OMPI ha encargado en muchas partes del mundo la realización de encuestas sobre códigos, protocolos, políticas, prácticas y acuerdos estándar relacionados con la salvaguardia, la accesibilidad, la propiedad y el control del PCI. La OMPI considera que esas encuestas pueden servir de base de datos empíricos para crear en el futuro un registro de mejores prácticas y elaborar </w:t>
      </w:r>
      <w:r w:rsidRPr="00867C37">
        <w:rPr>
          <w:lang w:val="es-ES"/>
        </w:rPr>
        <w:t>directrices en este ámbito.</w:t>
      </w:r>
      <w:r w:rsidR="004D318B" w:rsidRPr="00373B0A">
        <w:rPr>
          <w:lang w:val="es-ES"/>
        </w:rPr>
        <w:t xml:space="preserve"> </w:t>
      </w:r>
    </w:p>
    <w:p w:rsidR="004D318B" w:rsidRPr="00373B0A" w:rsidRDefault="00184535" w:rsidP="002D5639">
      <w:pPr>
        <w:pStyle w:val="Informations"/>
        <w:rPr>
          <w:lang w:val="es-ES"/>
        </w:rPr>
      </w:pPr>
      <w:r w:rsidRPr="00373B0A">
        <w:rPr>
          <w:lang w:val="es-ES" w:eastAsia="en-US"/>
        </w:rPr>
        <w:t>En el Estudio de Caso 31 se examina el sistema aplicado en Brasil para autorizar la realización de trabajos de investigación en el seno de los grupos indígenas</w:t>
      </w:r>
      <w:r w:rsidR="004D318B" w:rsidRPr="00373B0A">
        <w:rPr>
          <w:lang w:val="es-ES"/>
        </w:rPr>
        <w:t>.</w:t>
      </w:r>
    </w:p>
    <w:p w:rsidR="00C87B4E" w:rsidRPr="00373B0A" w:rsidRDefault="0047474E" w:rsidP="002D5639">
      <w:pPr>
        <w:pStyle w:val="Informations"/>
        <w:rPr>
          <w:lang w:val="es-ES"/>
        </w:rPr>
      </w:pPr>
      <w:r w:rsidRPr="00373B0A">
        <w:rPr>
          <w:noProof/>
          <w:lang w:eastAsia="en-GB"/>
        </w:rPr>
        <w:drawing>
          <wp:anchor distT="0" distB="0" distL="114300" distR="114300" simplePos="0" relativeHeight="252076544" behindDoc="0" locked="1" layoutInCell="1" allowOverlap="0">
            <wp:simplePos x="0" y="0"/>
            <wp:positionH relativeFrom="column">
              <wp:posOffset>1905</wp:posOffset>
            </wp:positionH>
            <wp:positionV relativeFrom="paragraph">
              <wp:posOffset>-434975</wp:posOffset>
            </wp:positionV>
            <wp:extent cx="284480" cy="360045"/>
            <wp:effectExtent l="19050" t="0" r="1270" b="0"/>
            <wp:wrapThrough wrapText="bothSides">
              <wp:wrapPolygon edited="0">
                <wp:start x="-1446" y="0"/>
                <wp:lineTo x="-1446" y="20571"/>
                <wp:lineTo x="21696" y="20571"/>
                <wp:lineTo x="21696" y="0"/>
                <wp:lineTo x="-1446" y="0"/>
              </wp:wrapPolygon>
            </wp:wrapThrough>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4480" cy="360045"/>
                    </a:xfrm>
                    <a:prstGeom prst="rect">
                      <a:avLst/>
                    </a:prstGeom>
                  </pic:spPr>
                </pic:pic>
              </a:graphicData>
            </a:graphic>
          </wp:anchor>
        </w:drawing>
      </w:r>
      <w:r w:rsidR="00184535" w:rsidRPr="00373B0A">
        <w:rPr>
          <w:lang w:val="es-ES" w:eastAsia="en-US"/>
        </w:rPr>
        <w:t xml:space="preserve">En el Estudio de Caso 32 se presenta el Protocolo del pueblo </w:t>
      </w:r>
      <w:proofErr w:type="spellStart"/>
      <w:r w:rsidR="00184535" w:rsidRPr="00373B0A">
        <w:rPr>
          <w:lang w:val="es-ES" w:eastAsia="en-US"/>
        </w:rPr>
        <w:t>hopi</w:t>
      </w:r>
      <w:proofErr w:type="spellEnd"/>
      <w:r w:rsidR="00184535" w:rsidRPr="00373B0A">
        <w:rPr>
          <w:lang w:val="es-ES" w:eastAsia="en-US"/>
        </w:rPr>
        <w:t xml:space="preserve"> (EE.UU.) relativo a los trabajos de investigación, en el que se establece de qué manera est</w:t>
      </w:r>
      <w:r w:rsidR="007308FE">
        <w:rPr>
          <w:lang w:val="es-ES" w:eastAsia="en-US"/>
        </w:rPr>
        <w:t>a</w:t>
      </w:r>
      <w:r w:rsidR="00184535" w:rsidRPr="00373B0A">
        <w:rPr>
          <w:lang w:val="es-ES" w:eastAsia="en-US"/>
        </w:rPr>
        <w:t xml:space="preserve"> p</w:t>
      </w:r>
      <w:r w:rsidR="007308FE">
        <w:rPr>
          <w:lang w:val="es-ES" w:eastAsia="en-US"/>
        </w:rPr>
        <w:t>oblación</w:t>
      </w:r>
      <w:r w:rsidR="00184535" w:rsidRPr="00373B0A">
        <w:rPr>
          <w:lang w:val="es-ES" w:eastAsia="en-US"/>
        </w:rPr>
        <w:t xml:space="preserve"> indígena </w:t>
      </w:r>
      <w:r w:rsidR="006E1498" w:rsidRPr="00373B0A">
        <w:rPr>
          <w:noProof/>
          <w:lang w:eastAsia="en-GB"/>
        </w:rPr>
        <w:drawing>
          <wp:anchor distT="0" distB="0" distL="114300" distR="114300" simplePos="0" relativeHeight="252191232" behindDoc="0" locked="1" layoutInCell="1" allowOverlap="0">
            <wp:simplePos x="0" y="0"/>
            <wp:positionH relativeFrom="column">
              <wp:posOffset>3175</wp:posOffset>
            </wp:positionH>
            <wp:positionV relativeFrom="paragraph">
              <wp:posOffset>16510</wp:posOffset>
            </wp:positionV>
            <wp:extent cx="284480" cy="360045"/>
            <wp:effectExtent l="19050" t="0" r="1270" b="0"/>
            <wp:wrapThrough wrapText="bothSides">
              <wp:wrapPolygon edited="0">
                <wp:start x="-1446" y="0"/>
                <wp:lineTo x="-1446" y="20571"/>
                <wp:lineTo x="21696" y="20571"/>
                <wp:lineTo x="21696" y="0"/>
                <wp:lineTo x="-1446" y="0"/>
              </wp:wrapPolygon>
            </wp:wrapThrough>
            <wp:docPr id="4"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4480" cy="360045"/>
                    </a:xfrm>
                    <a:prstGeom prst="rect">
                      <a:avLst/>
                    </a:prstGeom>
                  </pic:spPr>
                </pic:pic>
              </a:graphicData>
            </a:graphic>
          </wp:anchor>
        </w:drawing>
      </w:r>
      <w:r w:rsidR="00184535" w:rsidRPr="00373B0A">
        <w:rPr>
          <w:lang w:val="es-ES" w:eastAsia="en-US"/>
        </w:rPr>
        <w:t>desea que se utilicen sus recursos intelectuales y expresiones culturales tradicionales por parte de terceros</w:t>
      </w:r>
      <w:r w:rsidR="007308FE">
        <w:rPr>
          <w:lang w:val="es-ES" w:eastAsia="en-US"/>
        </w:rPr>
        <w:t>.</w:t>
      </w:r>
    </w:p>
    <w:p w:rsidR="00BF57B3" w:rsidRPr="00373B0A" w:rsidRDefault="00BF57B3" w:rsidP="00C02ED5">
      <w:pPr>
        <w:pStyle w:val="Informations"/>
        <w:rPr>
          <w:lang w:val="es-ES"/>
        </w:rPr>
      </w:pPr>
    </w:p>
    <w:sectPr w:rsidR="00BF57B3" w:rsidRPr="00373B0A" w:rsidSect="00D552FE">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oddPage"/>
      <w:pgSz w:w="11900" w:h="16820" w:code="9"/>
      <w:pgMar w:top="1701" w:right="1531" w:bottom="1701" w:left="1531" w:header="720" w:footer="72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9651" w15:done="0"/>
  <w15:commentEx w15:paraId="3369F391" w15:done="0"/>
  <w15:commentEx w15:paraId="02B1C38B" w15:done="0"/>
  <w15:commentEx w15:paraId="3C5C1B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9DD" w:rsidRDefault="006B79DD" w:rsidP="000F4C6A">
      <w:r>
        <w:separator/>
      </w:r>
    </w:p>
    <w:p w:rsidR="006B79DD" w:rsidRDefault="006B79DD"/>
  </w:endnote>
  <w:endnote w:type="continuationSeparator" w:id="0">
    <w:p w:rsidR="006B79DD" w:rsidRDefault="006B79DD" w:rsidP="000F4C6A">
      <w:r>
        <w:continuationSeparator/>
      </w:r>
    </w:p>
    <w:p w:rsidR="006B79DD" w:rsidRDefault="006B7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Gras">
    <w:altName w:val="Times New Roman"/>
    <w:panose1 w:val="00000000000000000000"/>
    <w:charset w:val="00"/>
    <w:family w:val="roman"/>
    <w:notTrueType/>
    <w:pitch w:val="default"/>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Pro-Light">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02" w:rsidRPr="00F57697" w:rsidRDefault="007D7EB8" w:rsidP="009D4AB5">
    <w:pPr>
      <w:pStyle w:val="Footer"/>
      <w:rPr>
        <w:lang w:val="es-ES_tradnl"/>
      </w:rPr>
    </w:pPr>
    <w:r>
      <w:rPr>
        <w:noProof/>
        <w:lang w:val="en-GB" w:eastAsia="en-GB"/>
      </w:rPr>
      <w:drawing>
        <wp:anchor distT="0" distB="0" distL="114300" distR="114300" simplePos="0" relativeHeight="251995136" behindDoc="0" locked="0" layoutInCell="1" allowOverlap="1" wp14:anchorId="70B205E0" wp14:editId="78985E3B">
          <wp:simplePos x="0" y="0"/>
          <wp:positionH relativeFrom="column">
            <wp:posOffset>-48362</wp:posOffset>
          </wp:positionH>
          <wp:positionV relativeFrom="paragraph">
            <wp:posOffset>-288529</wp:posOffset>
          </wp:positionV>
          <wp:extent cx="827477" cy="6000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14:sizeRelH relativeFrom="page">
            <wp14:pctWidth>0</wp14:pctWidth>
          </wp14:sizeRelH>
          <wp14:sizeRelV relativeFrom="page">
            <wp14:pctHeight>0</wp14:pctHeight>
          </wp14:sizeRelV>
        </wp:anchor>
      </w:drawing>
    </w:r>
    <w:r w:rsidR="002E0802" w:rsidRPr="00F57697">
      <w:rPr>
        <w:rStyle w:val="PageNumber"/>
        <w:lang w:val="es-ES_tradnl"/>
      </w:rPr>
      <w:tab/>
    </w:r>
    <w:r w:rsidR="002E0802" w:rsidRPr="00F57697">
      <w:rPr>
        <w:lang w:val="es-ES_tradnl"/>
      </w:rPr>
      <w:t>© UNESCO • No se debe reproducir sin permiso</w:t>
    </w:r>
    <w:r w:rsidR="002E0802" w:rsidRPr="00F57697">
      <w:rPr>
        <w:lang w:val="es-ES_tradnl"/>
      </w:rPr>
      <w:tab/>
      <w:t>U010-v1.0-PT-E</w:t>
    </w:r>
    <w:r w:rsidR="002E0802">
      <w:rPr>
        <w:lang w:val="es-ES_tradnl"/>
      </w:rPr>
      <w: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02" w:rsidRPr="00F57697" w:rsidRDefault="002E0802" w:rsidP="00CB334B">
    <w:pPr>
      <w:pStyle w:val="Footer"/>
      <w:rPr>
        <w:lang w:val="es-ES_tradnl"/>
      </w:rPr>
    </w:pPr>
    <w:r w:rsidRPr="00F57697">
      <w:rPr>
        <w:lang w:val="es-ES_tradnl"/>
      </w:rPr>
      <w:t>U010-v1.0-PT-ES</w:t>
    </w:r>
    <w:r w:rsidRPr="00F57697">
      <w:rPr>
        <w:lang w:val="es-ES_tradnl"/>
      </w:rPr>
      <w:tab/>
      <w:t>© UNESCO • No se debe reproducir sin permiso</w:t>
    </w:r>
    <w:r w:rsidRPr="00F57697">
      <w:rPr>
        <w:lang w:val="es-ES_tradnl"/>
      </w:rPr>
      <w:tab/>
    </w:r>
    <w:r w:rsidR="007D7EB8">
      <w:rPr>
        <w:noProof/>
        <w:lang w:val="en-GB" w:eastAsia="en-GB"/>
      </w:rPr>
      <w:drawing>
        <wp:anchor distT="0" distB="0" distL="114300" distR="114300" simplePos="0" relativeHeight="251997184" behindDoc="0" locked="0" layoutInCell="1" allowOverlap="1" wp14:anchorId="70B205E0" wp14:editId="78985E3B">
          <wp:simplePos x="0" y="0"/>
          <wp:positionH relativeFrom="column">
            <wp:posOffset>4947920</wp:posOffset>
          </wp:positionH>
          <wp:positionV relativeFrom="paragraph">
            <wp:posOffset>-288925</wp:posOffset>
          </wp:positionV>
          <wp:extent cx="827477" cy="6000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02" w:rsidRPr="00F57697" w:rsidRDefault="007D7EB8" w:rsidP="00DA711D">
    <w:pPr>
      <w:pStyle w:val="Footer"/>
      <w:rPr>
        <w:lang w:val="es-ES_tradnl"/>
      </w:rPr>
    </w:pPr>
    <w:r>
      <w:rPr>
        <w:noProof/>
        <w:lang w:val="en-GB" w:eastAsia="en-GB"/>
      </w:rPr>
      <w:drawing>
        <wp:anchor distT="0" distB="0" distL="114300" distR="114300" simplePos="0" relativeHeight="251993088" behindDoc="0" locked="0" layoutInCell="1" allowOverlap="1" wp14:anchorId="6FA3F117" wp14:editId="7F64FE48">
          <wp:simplePos x="0" y="0"/>
          <wp:positionH relativeFrom="column">
            <wp:posOffset>4894885</wp:posOffset>
          </wp:positionH>
          <wp:positionV relativeFrom="paragraph">
            <wp:posOffset>-338455</wp:posOffset>
          </wp:positionV>
          <wp:extent cx="827405" cy="6000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14:sizeRelH relativeFrom="page">
            <wp14:pctWidth>0</wp14:pctWidth>
          </wp14:sizeRelH>
          <wp14:sizeRelV relativeFrom="page">
            <wp14:pctHeight>0</wp14:pctHeight>
          </wp14:sizeRelV>
        </wp:anchor>
      </w:drawing>
    </w:r>
    <w:r w:rsidR="002E0802" w:rsidRPr="0067404D">
      <w:rPr>
        <w:lang w:val="es-ES_tradnl"/>
      </w:rPr>
      <w:t>U010-v1.0-PT-ES</w:t>
    </w:r>
    <w:r w:rsidR="002E0802" w:rsidRPr="00F57697">
      <w:rPr>
        <w:lang w:val="es-ES_tradnl"/>
      </w:rPr>
      <w:tab/>
      <w:t>© UNESCO • No se debe reproducir sin permiso</w:t>
    </w:r>
    <w:r w:rsidR="002E0802" w:rsidRPr="00F57697">
      <w:rPr>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9DD" w:rsidRDefault="006B79DD" w:rsidP="00117DDB">
      <w:pPr>
        <w:ind w:left="0"/>
      </w:pPr>
      <w:r>
        <w:separator/>
      </w:r>
    </w:p>
  </w:footnote>
  <w:footnote w:type="continuationSeparator" w:id="0">
    <w:p w:rsidR="006B79DD" w:rsidRDefault="006B79DD" w:rsidP="000F4C6A">
      <w:r>
        <w:continuationSeparator/>
      </w:r>
    </w:p>
    <w:p w:rsidR="006B79DD" w:rsidRDefault="006B79DD"/>
  </w:footnote>
  <w:footnote w:id="1">
    <w:p w:rsidR="002E0802" w:rsidRPr="00E84FF0" w:rsidRDefault="002E0802" w:rsidP="006B7E90">
      <w:pPr>
        <w:pStyle w:val="FootnoteText"/>
        <w:rPr>
          <w:lang w:val="es-ES_tradnl"/>
        </w:rPr>
      </w:pPr>
      <w:r w:rsidRPr="0067404D">
        <w:rPr>
          <w:rStyle w:val="FootnoteReference"/>
          <w:sz w:val="16"/>
          <w:szCs w:val="16"/>
          <w:lang w:val="es-ES_tradnl"/>
        </w:rPr>
        <w:t>1.</w:t>
      </w:r>
      <w:r w:rsidRPr="0067404D">
        <w:rPr>
          <w:lang w:val="es-ES_tradnl"/>
        </w:rPr>
        <w:tab/>
      </w:r>
      <w:r w:rsidRPr="0067404D">
        <w:rPr>
          <w:lang w:val="es-ES"/>
        </w:rPr>
        <w:t>La sigla PCI es una abreviatura de la expresión “patrimonio cultural inmaterial”.</w:t>
      </w:r>
    </w:p>
  </w:footnote>
  <w:footnote w:id="2">
    <w:p w:rsidR="002E0802" w:rsidRPr="00E84FF0" w:rsidRDefault="002E0802">
      <w:pPr>
        <w:pStyle w:val="FootnoteText"/>
        <w:rPr>
          <w:lang w:val="es-ES_tradnl"/>
        </w:rPr>
      </w:pPr>
      <w:r w:rsidRPr="00E84FF0">
        <w:rPr>
          <w:rStyle w:val="FootnoteReference"/>
          <w:sz w:val="16"/>
          <w:szCs w:val="16"/>
          <w:lang w:val="es-ES_tradnl"/>
        </w:rPr>
        <w:t>2.</w:t>
      </w:r>
      <w:r w:rsidRPr="00E84FF0">
        <w:rPr>
          <w:lang w:val="es-ES_tradnl"/>
        </w:rPr>
        <w:tab/>
      </w:r>
      <w:r w:rsidRPr="00E84FF0">
        <w:rPr>
          <w:lang w:val="es-ES"/>
        </w:rPr>
        <w:t xml:space="preserve">Frecuentemente denominada Convención del Patrimonio Inmaterial y, a los efectos de esta </w:t>
      </w:r>
      <w:r w:rsidR="0067404D">
        <w:rPr>
          <w:lang w:val="es-ES"/>
        </w:rPr>
        <w:t>u</w:t>
      </w:r>
      <w:r w:rsidRPr="00E84FF0">
        <w:rPr>
          <w:lang w:val="es-ES"/>
        </w:rPr>
        <w:t>nidad, simplemente Convención</w:t>
      </w:r>
      <w:r w:rsidRPr="00E84FF0">
        <w:rPr>
          <w:lang w:val="es-ES_tradnl"/>
        </w:rPr>
        <w:t>.</w:t>
      </w:r>
      <w:bookmarkStart w:id="3" w:name="_GoBack"/>
      <w:bookmarkEnd w:id="3"/>
    </w:p>
  </w:footnote>
  <w:footnote w:id="3">
    <w:p w:rsidR="002E0802" w:rsidRPr="00E84FF0" w:rsidRDefault="002E0802" w:rsidP="001E6B3F">
      <w:pPr>
        <w:pStyle w:val="FootnoteText"/>
        <w:rPr>
          <w:lang w:val="es-ES_tradnl"/>
        </w:rPr>
      </w:pPr>
      <w:r w:rsidRPr="00E84FF0">
        <w:rPr>
          <w:rStyle w:val="FootnoteReference"/>
          <w:sz w:val="16"/>
          <w:szCs w:val="16"/>
          <w:lang w:val="es-ES_tradnl"/>
        </w:rPr>
        <w:t>3.</w:t>
      </w:r>
      <w:r w:rsidRPr="00E84FF0">
        <w:rPr>
          <w:lang w:val="es-ES_tradnl"/>
        </w:rPr>
        <w:tab/>
        <w:t xml:space="preserve">L. </w:t>
      </w:r>
      <w:proofErr w:type="spellStart"/>
      <w:r w:rsidRPr="00E84FF0">
        <w:rPr>
          <w:lang w:val="es-ES_tradnl"/>
        </w:rPr>
        <w:t>Lowthorp</w:t>
      </w:r>
      <w:proofErr w:type="spellEnd"/>
      <w:r w:rsidRPr="00E84FF0">
        <w:rPr>
          <w:lang w:val="es-ES_tradnl"/>
        </w:rPr>
        <w:t xml:space="preserve">, 2010, </w:t>
      </w:r>
      <w:proofErr w:type="spellStart"/>
      <w:r w:rsidRPr="00E84FF0">
        <w:rPr>
          <w:i/>
          <w:lang w:val="es-ES_tradnl"/>
        </w:rPr>
        <w:t>National</w:t>
      </w:r>
      <w:proofErr w:type="spellEnd"/>
      <w:r w:rsidRPr="00E84FF0">
        <w:rPr>
          <w:i/>
          <w:lang w:val="es-ES_tradnl"/>
        </w:rPr>
        <w:t xml:space="preserve"> Intangible Cultural </w:t>
      </w:r>
      <w:proofErr w:type="spellStart"/>
      <w:r w:rsidRPr="00E84FF0">
        <w:rPr>
          <w:i/>
          <w:lang w:val="es-ES_tradnl"/>
        </w:rPr>
        <w:t>Heritage</w:t>
      </w:r>
      <w:proofErr w:type="spellEnd"/>
      <w:r w:rsidRPr="00E84FF0">
        <w:rPr>
          <w:i/>
          <w:lang w:val="es-ES_tradnl"/>
        </w:rPr>
        <w:t xml:space="preserve"> (ICH) </w:t>
      </w:r>
      <w:proofErr w:type="spellStart"/>
      <w:r w:rsidRPr="00E84FF0">
        <w:rPr>
          <w:i/>
          <w:lang w:val="es-ES_tradnl"/>
        </w:rPr>
        <w:t>Legislation</w:t>
      </w:r>
      <w:proofErr w:type="spellEnd"/>
      <w:r w:rsidRPr="00E84FF0">
        <w:rPr>
          <w:i/>
          <w:lang w:val="es-ES_tradnl"/>
        </w:rPr>
        <w:t xml:space="preserve"> and </w:t>
      </w:r>
      <w:proofErr w:type="spellStart"/>
      <w:r w:rsidRPr="00E84FF0">
        <w:rPr>
          <w:i/>
          <w:lang w:val="es-ES_tradnl"/>
        </w:rPr>
        <w:t>Initiatives</w:t>
      </w:r>
      <w:proofErr w:type="spellEnd"/>
      <w:r w:rsidRPr="00E84FF0">
        <w:rPr>
          <w:lang w:val="es-ES_tradnl"/>
        </w:rPr>
        <w:t xml:space="preserve"> [El patrimonio cultural inmaterial (PCI) en el plano nacional – Legislación e iniciativas], Oficina de la UNESCO en Nueva Delhi.</w:t>
      </w:r>
    </w:p>
  </w:footnote>
  <w:footnote w:id="4">
    <w:p w:rsidR="002E0802" w:rsidRPr="00E84FF0" w:rsidRDefault="002E0802" w:rsidP="001E6B3F">
      <w:pPr>
        <w:pStyle w:val="FootnoteText"/>
        <w:rPr>
          <w:lang w:val="es-ES_tradnl"/>
        </w:rPr>
      </w:pPr>
      <w:r w:rsidRPr="00E84FF0">
        <w:rPr>
          <w:rStyle w:val="FootnoteReference"/>
          <w:sz w:val="16"/>
          <w:szCs w:val="16"/>
          <w:lang w:val="es-ES_tradnl"/>
        </w:rPr>
        <w:t>4.</w:t>
      </w:r>
      <w:r w:rsidRPr="00E84FF0">
        <w:rPr>
          <w:lang w:val="es-ES_tradnl"/>
        </w:rPr>
        <w:tab/>
      </w:r>
      <w:r w:rsidRPr="00B800B7">
        <w:rPr>
          <w:lang w:val="es-ES_tradnl"/>
        </w:rPr>
        <w:t xml:space="preserve">Autoridad de Protección de </w:t>
      </w:r>
      <w:r>
        <w:rPr>
          <w:lang w:val="es-ES_tradnl"/>
        </w:rPr>
        <w:t xml:space="preserve">las </w:t>
      </w:r>
      <w:r w:rsidRPr="00B800B7">
        <w:rPr>
          <w:lang w:val="es-ES_tradnl"/>
        </w:rPr>
        <w:t>Zonas Aborígenes</w:t>
      </w:r>
      <w:r>
        <w:rPr>
          <w:lang w:val="es-ES_tradnl"/>
        </w:rPr>
        <w:t xml:space="preserve"> (Australia)</w:t>
      </w:r>
      <w:r w:rsidRPr="00E84FF0">
        <w:rPr>
          <w:lang w:val="es-ES_tradnl"/>
        </w:rPr>
        <w:t xml:space="preserve">: </w:t>
      </w:r>
      <w:hyperlink r:id="rId1" w:history="1">
        <w:r w:rsidRPr="00C6546E">
          <w:rPr>
            <w:rStyle w:val="Hyperlink"/>
            <w:u w:val="none"/>
            <w:lang w:val="es-ES_tradnl"/>
          </w:rPr>
          <w:t>http://www.aapant.org.au/</w:t>
        </w:r>
      </w:hyperlink>
      <w:r w:rsidRPr="00C6546E">
        <w:rPr>
          <w:lang w:val="es-ES_tradnl"/>
        </w:rPr>
        <w:t xml:space="preserve"> </w:t>
      </w:r>
      <w:r w:rsidRPr="00E84FF0">
        <w:rPr>
          <w:lang w:val="es-ES_tradnl"/>
        </w:rPr>
        <w:t>(en ingl</w:t>
      </w:r>
      <w:r>
        <w:rPr>
          <w:lang w:val="es-ES_tradnl"/>
        </w:rPr>
        <w:t>és).</w:t>
      </w:r>
    </w:p>
  </w:footnote>
  <w:footnote w:id="5">
    <w:p w:rsidR="002E0802" w:rsidRPr="00E84FF0" w:rsidRDefault="002E0802" w:rsidP="001E6B3F">
      <w:pPr>
        <w:pStyle w:val="FootnoteText"/>
        <w:rPr>
          <w:lang w:val="es-ES_tradnl"/>
        </w:rPr>
      </w:pPr>
      <w:r w:rsidRPr="00E84FF0">
        <w:rPr>
          <w:rStyle w:val="FootnoteReference"/>
          <w:sz w:val="16"/>
          <w:szCs w:val="16"/>
          <w:lang w:val="es-ES_tradnl"/>
        </w:rPr>
        <w:t>5.</w:t>
      </w:r>
      <w:r w:rsidRPr="00E84FF0">
        <w:rPr>
          <w:lang w:val="es-ES_tradnl"/>
        </w:rPr>
        <w:tab/>
        <w:t xml:space="preserve">T. </w:t>
      </w:r>
      <w:proofErr w:type="spellStart"/>
      <w:r w:rsidRPr="00E84FF0">
        <w:rPr>
          <w:lang w:val="es-ES_tradnl"/>
        </w:rPr>
        <w:t>Diwasa</w:t>
      </w:r>
      <w:proofErr w:type="spellEnd"/>
      <w:r w:rsidRPr="00E84FF0">
        <w:rPr>
          <w:lang w:val="es-ES_tradnl"/>
        </w:rPr>
        <w:t xml:space="preserve">, C. M. </w:t>
      </w:r>
      <w:proofErr w:type="spellStart"/>
      <w:r w:rsidRPr="00E84FF0">
        <w:rPr>
          <w:lang w:val="es-ES_tradnl"/>
        </w:rPr>
        <w:t>Bandhu</w:t>
      </w:r>
      <w:proofErr w:type="spellEnd"/>
      <w:r w:rsidRPr="00E84FF0">
        <w:rPr>
          <w:lang w:val="es-ES_tradnl"/>
        </w:rPr>
        <w:t xml:space="preserve"> y B. Nepal, 2007, </w:t>
      </w:r>
      <w:proofErr w:type="spellStart"/>
      <w:r w:rsidRPr="00E84FF0">
        <w:rPr>
          <w:i/>
          <w:lang w:val="es-ES_tradnl"/>
        </w:rPr>
        <w:t>The</w:t>
      </w:r>
      <w:proofErr w:type="spellEnd"/>
      <w:r w:rsidRPr="00E84FF0">
        <w:rPr>
          <w:i/>
          <w:lang w:val="es-ES_tradnl"/>
        </w:rPr>
        <w:t xml:space="preserve"> Intangible Cultural </w:t>
      </w:r>
      <w:proofErr w:type="spellStart"/>
      <w:r w:rsidRPr="00E84FF0">
        <w:rPr>
          <w:i/>
          <w:lang w:val="es-ES_tradnl"/>
        </w:rPr>
        <w:t>Heritage</w:t>
      </w:r>
      <w:proofErr w:type="spellEnd"/>
      <w:r w:rsidRPr="00E84FF0">
        <w:rPr>
          <w:i/>
          <w:lang w:val="es-ES_tradnl"/>
        </w:rPr>
        <w:t xml:space="preserve"> of Nepal: </w:t>
      </w:r>
      <w:proofErr w:type="spellStart"/>
      <w:r w:rsidRPr="00E84FF0">
        <w:rPr>
          <w:i/>
          <w:lang w:val="es-ES_tradnl"/>
        </w:rPr>
        <w:t>Future</w:t>
      </w:r>
      <w:proofErr w:type="spellEnd"/>
      <w:r w:rsidRPr="00E84FF0">
        <w:rPr>
          <w:i/>
          <w:lang w:val="es-ES_tradnl"/>
        </w:rPr>
        <w:t xml:space="preserve"> </w:t>
      </w:r>
      <w:proofErr w:type="spellStart"/>
      <w:r w:rsidRPr="00E84FF0">
        <w:rPr>
          <w:i/>
          <w:lang w:val="es-ES_tradnl"/>
        </w:rPr>
        <w:t>Directions</w:t>
      </w:r>
      <w:proofErr w:type="spellEnd"/>
      <w:r w:rsidRPr="00E84FF0">
        <w:rPr>
          <w:i/>
          <w:lang w:val="es-ES_tradnl"/>
        </w:rPr>
        <w:t xml:space="preserve"> </w:t>
      </w:r>
      <w:r w:rsidRPr="00E84FF0">
        <w:rPr>
          <w:lang w:val="es-ES_tradnl"/>
        </w:rPr>
        <w:t>[El patr</w:t>
      </w:r>
      <w:r>
        <w:rPr>
          <w:lang w:val="es-ES_tradnl"/>
        </w:rPr>
        <w:t>i</w:t>
      </w:r>
      <w:r w:rsidRPr="00E84FF0">
        <w:rPr>
          <w:lang w:val="es-ES_tradnl"/>
        </w:rPr>
        <w:t>monio cultural inmaterial de Nepal</w:t>
      </w:r>
      <w:r>
        <w:rPr>
          <w:lang w:val="es-ES_tradnl"/>
        </w:rPr>
        <w:t xml:space="preserve"> – Orientaciones futuras</w:t>
      </w:r>
      <w:r w:rsidRPr="00E84FF0">
        <w:rPr>
          <w:lang w:val="es-ES_tradnl"/>
        </w:rPr>
        <w:t>], Ofic</w:t>
      </w:r>
      <w:r w:rsidR="005507CE">
        <w:rPr>
          <w:lang w:val="es-ES_tradnl"/>
        </w:rPr>
        <w:t>ina de la UNESCO en Katmandú, pá</w:t>
      </w:r>
      <w:r w:rsidRPr="00E84FF0">
        <w:rPr>
          <w:lang w:val="es-ES_tradnl"/>
        </w:rPr>
        <w:t>g. 19.</w:t>
      </w:r>
    </w:p>
  </w:footnote>
  <w:footnote w:id="6">
    <w:p w:rsidR="002E0802" w:rsidRDefault="002E0802">
      <w:pPr>
        <w:pStyle w:val="FootnoteText"/>
        <w:rPr>
          <w:lang w:val="es-ES_tradnl"/>
        </w:rPr>
      </w:pPr>
      <w:r w:rsidRPr="002224A4">
        <w:rPr>
          <w:rStyle w:val="FootnoteReference"/>
          <w:sz w:val="16"/>
          <w:szCs w:val="16"/>
          <w:lang w:val="es-ES_tradnl"/>
        </w:rPr>
        <w:t>6.</w:t>
      </w:r>
      <w:r w:rsidRPr="002224A4">
        <w:rPr>
          <w:lang w:val="es-ES_tradnl"/>
        </w:rPr>
        <w:tab/>
      </w:r>
      <w:r>
        <w:rPr>
          <w:lang w:val="es-ES_tradnl"/>
        </w:rPr>
        <w:t xml:space="preserve">Véase en: </w:t>
      </w:r>
      <w:hyperlink r:id="rId2" w:history="1">
        <w:r w:rsidRPr="004225D1">
          <w:rPr>
            <w:rStyle w:val="Hyperlink"/>
            <w:lang w:val="es-ES_tradnl"/>
          </w:rPr>
          <w:t>http://undesadspd.org/Default.aspx?alias=undesadspd.org/indigenouses</w:t>
        </w:r>
      </w:hyperlink>
    </w:p>
    <w:p w:rsidR="002E0802" w:rsidRDefault="002E0802">
      <w:pPr>
        <w:pStyle w:val="FootnoteText"/>
        <w:rPr>
          <w:lang w:val="es-ES_tradnl"/>
        </w:rPr>
      </w:pPr>
    </w:p>
    <w:p w:rsidR="002E0802" w:rsidRPr="002224A4" w:rsidRDefault="002E0802">
      <w:pPr>
        <w:pStyle w:val="FootnoteText"/>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02" w:rsidRPr="00034B82" w:rsidRDefault="009549C7">
    <w:pPr>
      <w:pStyle w:val="Header"/>
      <w:rPr>
        <w:lang w:val="es-ES_tradnl"/>
      </w:rPr>
    </w:pPr>
    <w:r>
      <w:rPr>
        <w:rStyle w:val="PageNumber"/>
      </w:rPr>
      <w:fldChar w:fldCharType="begin"/>
    </w:r>
    <w:r w:rsidR="002E0802" w:rsidRPr="00034B82">
      <w:rPr>
        <w:rStyle w:val="PageNumber"/>
        <w:lang w:val="es-ES_tradnl"/>
      </w:rPr>
      <w:instrText xml:space="preserve"> PAGE </w:instrText>
    </w:r>
    <w:r>
      <w:rPr>
        <w:rStyle w:val="PageNumber"/>
      </w:rPr>
      <w:fldChar w:fldCharType="separate"/>
    </w:r>
    <w:r w:rsidR="007D7EB8">
      <w:rPr>
        <w:rStyle w:val="PageNumber"/>
        <w:noProof/>
        <w:lang w:val="es-ES_tradnl"/>
      </w:rPr>
      <w:t>2</w:t>
    </w:r>
    <w:r>
      <w:rPr>
        <w:rStyle w:val="PageNumber"/>
      </w:rPr>
      <w:fldChar w:fldCharType="end"/>
    </w:r>
    <w:r w:rsidR="002E0802" w:rsidRPr="00034B82">
      <w:rPr>
        <w:lang w:val="es-ES_tradnl"/>
      </w:rPr>
      <w:tab/>
    </w:r>
    <w:r w:rsidR="002E0802" w:rsidRPr="00034B82">
      <w:rPr>
        <w:szCs w:val="16"/>
        <w:lang w:val="es-ES_tradnl"/>
      </w:rPr>
      <w:t>Unidad</w:t>
    </w:r>
    <w:r w:rsidR="002E0802">
      <w:rPr>
        <w:szCs w:val="16"/>
        <w:lang w:val="es-ES_tradnl"/>
      </w:rPr>
      <w:t xml:space="preserve"> 10: Políticas e instituciones relacionadas con </w:t>
    </w:r>
    <w:r w:rsidR="002E0802" w:rsidRPr="00034B82">
      <w:rPr>
        <w:szCs w:val="16"/>
        <w:lang w:val="es-ES_tradnl"/>
      </w:rPr>
      <w:t xml:space="preserve">el </w:t>
    </w:r>
    <w:r w:rsidR="002E0802">
      <w:rPr>
        <w:szCs w:val="16"/>
        <w:lang w:val="es-ES_tradnl"/>
      </w:rPr>
      <w:t>PCI</w:t>
    </w:r>
    <w:r w:rsidR="002E0802" w:rsidRPr="00034B82">
      <w:rPr>
        <w:lang w:val="es-ES_tradnl"/>
      </w:rPr>
      <w:tab/>
      <w:t xml:space="preserve">Texto para el Participante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02" w:rsidRPr="00034B82" w:rsidRDefault="002E0802" w:rsidP="009D4AB5">
    <w:pPr>
      <w:pStyle w:val="Header"/>
      <w:rPr>
        <w:lang w:val="es-ES_tradnl"/>
      </w:rPr>
    </w:pPr>
    <w:r w:rsidRPr="00034B82">
      <w:rPr>
        <w:lang w:val="es-ES_tradnl"/>
      </w:rPr>
      <w:t>Texto para el Participante</w:t>
    </w:r>
    <w:r w:rsidRPr="00034B82">
      <w:rPr>
        <w:lang w:val="es-ES_tradnl"/>
      </w:rPr>
      <w:tab/>
    </w:r>
    <w:r w:rsidRPr="00034B82">
      <w:rPr>
        <w:szCs w:val="16"/>
        <w:lang w:val="es-ES_tradnl"/>
      </w:rPr>
      <w:t>Unidad</w:t>
    </w:r>
    <w:r>
      <w:rPr>
        <w:szCs w:val="16"/>
        <w:lang w:val="es-ES_tradnl"/>
      </w:rPr>
      <w:t xml:space="preserve"> 10: Políticas e instituciones relacionadas con </w:t>
    </w:r>
    <w:r w:rsidRPr="00034B82">
      <w:rPr>
        <w:szCs w:val="16"/>
        <w:lang w:val="es-ES_tradnl"/>
      </w:rPr>
      <w:t xml:space="preserve">el </w:t>
    </w:r>
    <w:r>
      <w:rPr>
        <w:szCs w:val="16"/>
        <w:lang w:val="es-ES_tradnl"/>
      </w:rPr>
      <w:t>PCI</w:t>
    </w:r>
    <w:r w:rsidRPr="00034B82">
      <w:rPr>
        <w:lang w:val="es-ES_tradnl"/>
      </w:rPr>
      <w:tab/>
    </w:r>
    <w:r w:rsidR="009549C7">
      <w:rPr>
        <w:rStyle w:val="PageNumber"/>
      </w:rPr>
      <w:fldChar w:fldCharType="begin"/>
    </w:r>
    <w:r w:rsidRPr="00034B82">
      <w:rPr>
        <w:rStyle w:val="PageNumber"/>
        <w:lang w:val="es-ES_tradnl"/>
      </w:rPr>
      <w:instrText xml:space="preserve"> PAGE </w:instrText>
    </w:r>
    <w:r w:rsidR="009549C7">
      <w:rPr>
        <w:rStyle w:val="PageNumber"/>
      </w:rPr>
      <w:fldChar w:fldCharType="separate"/>
    </w:r>
    <w:r w:rsidR="007D7EB8">
      <w:rPr>
        <w:rStyle w:val="PageNumber"/>
        <w:noProof/>
        <w:lang w:val="es-ES_tradnl"/>
      </w:rPr>
      <w:t>11</w:t>
    </w:r>
    <w:r w:rsidR="009549C7">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802" w:rsidRDefault="002E0802" w:rsidP="00065059">
    <w:pPr>
      <w:pStyle w:val="Header"/>
      <w:ind w:right="360"/>
    </w:pPr>
    <w:r>
      <w:tab/>
    </w:r>
    <w:proofErr w:type="spellStart"/>
    <w:r>
      <w:t>Texto</w:t>
    </w:r>
    <w:proofErr w:type="spellEnd"/>
    <w:r>
      <w:t xml:space="preserve"> para el </w:t>
    </w:r>
    <w:proofErr w:type="spellStart"/>
    <w:r>
      <w:t>Participante</w:t>
    </w:r>
    <w:proofErr w:type="spellEnd"/>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65003A1C"/>
    <w:lvl w:ilvl="0" w:tplc="040C0001">
      <w:start w:val="1"/>
      <w:numFmt w:val="bullet"/>
      <w:pStyle w:val="Enutiret"/>
      <w:lvlText w:val=""/>
      <w:lvlJc w:val="left"/>
      <w:pPr>
        <w:tabs>
          <w:tab w:val="num" w:pos="1134"/>
        </w:tabs>
        <w:ind w:left="1134" w:hanging="283"/>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066402C"/>
    <w:multiLevelType w:val="hybridMultilevel"/>
    <w:tmpl w:val="7A06DD22"/>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50">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1">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3">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4">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6">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7">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8">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0">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1">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3">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18477FCB"/>
    <w:multiLevelType w:val="hybridMultilevel"/>
    <w:tmpl w:val="E0F6D83C"/>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5">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6">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7">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70">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71">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3">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4">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5">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6">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7">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8">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81">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2">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3">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4">
    <w:nsid w:val="22507D8C"/>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5">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6">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7">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8">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9">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92">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3">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4">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5">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6">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8">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9">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0">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1">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02">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5">
    <w:nsid w:val="289356CB"/>
    <w:multiLevelType w:val="hybridMultilevel"/>
    <w:tmpl w:val="31B8D7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928"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7">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0">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1">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12">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3">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4">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7">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8">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9">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0">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2">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23">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4">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5">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7">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8">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0">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31">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33">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6">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7">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1">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2">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3">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5">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7">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8">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9">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50">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1">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2">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5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4">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6">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7">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9">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0">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61">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62">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4">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5">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6">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7">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8">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9">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0">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1">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73">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4">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5">
    <w:nsid w:val="3ECD6EC0"/>
    <w:multiLevelType w:val="multilevel"/>
    <w:tmpl w:val="13AE5F48"/>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6">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7">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9">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0">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1">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2">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83">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4">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6">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7">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8">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9">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1">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2">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3">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4">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5">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6">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7">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8">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9">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0">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1">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2">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03">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4">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6">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7">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8">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9">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0">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1">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nsid w:val="4C8C6296"/>
    <w:multiLevelType w:val="multilevel"/>
    <w:tmpl w:val="DFBE21BC"/>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3">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4">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5">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6">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7">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8">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9">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0">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22">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3">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4">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5">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6">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7">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8">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9">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31">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3">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35">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6">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7">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8">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9">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0">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1">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42">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3">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44">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5">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6">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7">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8">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49">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0">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1">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2">
    <w:nsid w:val="5B4D5F78"/>
    <w:multiLevelType w:val="hybridMultilevel"/>
    <w:tmpl w:val="CBCABAC6"/>
    <w:lvl w:ilvl="0" w:tplc="56B4BEDC">
      <w:start w:val="1"/>
      <w:numFmt w:val="decimal"/>
      <w:lvlText w:val="%1."/>
      <w:lvlJc w:val="left"/>
      <w:pPr>
        <w:tabs>
          <w:tab w:val="num" w:pos="924"/>
        </w:tabs>
        <w:ind w:left="927"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53">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54">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55">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7">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9">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1">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2">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3">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64">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6">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7">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8">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9">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1">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2">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3">
    <w:nsid w:val="63CC48AE"/>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4">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5">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6">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7">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8">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79">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0">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1">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2">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3">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4">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85">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6">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7">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9">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0">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2">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3">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6">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7">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8">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9">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0">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1">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2">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3">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04">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5">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06">
    <w:nsid w:val="712D1837"/>
    <w:multiLevelType w:val="multilevel"/>
    <w:tmpl w:val="2FD429C8"/>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7">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8">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9">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0">
    <w:nsid w:val="71F51533"/>
    <w:multiLevelType w:val="hybridMultilevel"/>
    <w:tmpl w:val="DD8A7FFE"/>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1">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13">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4">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15">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6">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7">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8">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9">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0">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1">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22">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6">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7">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28">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9">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0">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1">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34">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5">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6">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7">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38">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9">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40">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1">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2">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3">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44">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5">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7">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8">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9">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0">
    <w:nsid w:val="7ED048C2"/>
    <w:multiLevelType w:val="multilevel"/>
    <w:tmpl w:val="6F8CEFF0"/>
    <w:lvl w:ilvl="0">
      <w:start w:val="1"/>
      <w:numFmt w:val="decimal"/>
      <w:lvlText w:val="%1."/>
      <w:lvlJc w:val="left"/>
      <w:pPr>
        <w:tabs>
          <w:tab w:val="num" w:pos="924"/>
        </w:tabs>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51">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2">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80"/>
  </w:num>
  <w:num w:numId="2">
    <w:abstractNumId w:val="205"/>
  </w:num>
  <w:num w:numId="3">
    <w:abstractNumId w:val="270"/>
  </w:num>
  <w:num w:numId="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9"/>
  </w:num>
  <w:num w:numId="7">
    <w:abstractNumId w:val="280"/>
  </w:num>
  <w:num w:numId="8">
    <w:abstractNumId w:val="237"/>
  </w:num>
  <w:num w:numId="9">
    <w:abstractNumId w:val="289"/>
  </w:num>
  <w:num w:numId="10">
    <w:abstractNumId w:val="219"/>
  </w:num>
  <w:num w:numId="11">
    <w:abstractNumId w:val="223"/>
  </w:num>
  <w:num w:numId="12">
    <w:abstractNumId w:val="260"/>
  </w:num>
  <w:num w:numId="13">
    <w:abstractNumId w:val="29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1"/>
  </w:num>
  <w:num w:numId="18">
    <w:abstractNumId w:val="21"/>
  </w:num>
  <w:num w:numId="19">
    <w:abstractNumId w:val="40"/>
  </w:num>
  <w:num w:numId="20">
    <w:abstractNumId w:val="334"/>
  </w:num>
  <w:num w:numId="21">
    <w:abstractNumId w:val="75"/>
  </w:num>
  <w:num w:numId="22">
    <w:abstractNumId w:val="251"/>
  </w:num>
  <w:num w:numId="23">
    <w:abstractNumId w:val="29"/>
  </w:num>
  <w:num w:numId="24">
    <w:abstractNumId w:val="166"/>
  </w:num>
  <w:num w:numId="25">
    <w:abstractNumId w:val="232"/>
  </w:num>
  <w:num w:numId="26">
    <w:abstractNumId w:val="91"/>
  </w:num>
  <w:num w:numId="27">
    <w:abstractNumId w:val="56"/>
  </w:num>
  <w:num w:numId="28">
    <w:abstractNumId w:val="222"/>
  </w:num>
  <w:num w:numId="29">
    <w:abstractNumId w:val="65"/>
  </w:num>
  <w:num w:numId="30">
    <w:abstractNumId w:val="314"/>
  </w:num>
  <w:num w:numId="31">
    <w:abstractNumId w:val="18"/>
  </w:num>
  <w:num w:numId="32">
    <w:abstractNumId w:val="78"/>
  </w:num>
  <w:num w:numId="33">
    <w:abstractNumId w:val="188"/>
  </w:num>
  <w:num w:numId="34">
    <w:abstractNumId w:val="238"/>
  </w:num>
  <w:num w:numId="35">
    <w:abstractNumId w:val="102"/>
  </w:num>
  <w:num w:numId="36">
    <w:abstractNumId w:val="142"/>
  </w:num>
  <w:num w:numId="37">
    <w:abstractNumId w:val="339"/>
  </w:num>
  <w:num w:numId="38">
    <w:abstractNumId w:val="5"/>
  </w:num>
  <w:num w:numId="39">
    <w:abstractNumId w:val="316"/>
  </w:num>
  <w:num w:numId="40">
    <w:abstractNumId w:val="185"/>
  </w:num>
  <w:num w:numId="41">
    <w:abstractNumId w:val="213"/>
  </w:num>
  <w:num w:numId="42">
    <w:abstractNumId w:val="156"/>
  </w:num>
  <w:num w:numId="43">
    <w:abstractNumId w:val="148"/>
  </w:num>
  <w:num w:numId="44">
    <w:abstractNumId w:val="266"/>
  </w:num>
  <w:num w:numId="45">
    <w:abstractNumId w:val="146"/>
  </w:num>
  <w:num w:numId="46">
    <w:abstractNumId w:val="144"/>
  </w:num>
  <w:num w:numId="47">
    <w:abstractNumId w:val="246"/>
  </w:num>
  <w:num w:numId="48">
    <w:abstractNumId w:val="190"/>
  </w:num>
  <w:num w:numId="49">
    <w:abstractNumId w:val="135"/>
  </w:num>
  <w:num w:numId="50">
    <w:abstractNumId w:val="129"/>
  </w:num>
  <w:num w:numId="51">
    <w:abstractNumId w:val="110"/>
  </w:num>
  <w:num w:numId="52">
    <w:abstractNumId w:val="286"/>
  </w:num>
  <w:num w:numId="53">
    <w:abstractNumId w:val="301"/>
  </w:num>
  <w:num w:numId="54">
    <w:abstractNumId w:val="191"/>
  </w:num>
  <w:num w:numId="55">
    <w:abstractNumId w:val="82"/>
  </w:num>
  <w:num w:numId="56">
    <w:abstractNumId w:val="172"/>
  </w:num>
  <w:num w:numId="57">
    <w:abstractNumId w:val="132"/>
  </w:num>
  <w:num w:numId="58">
    <w:abstractNumId w:val="92"/>
  </w:num>
  <w:num w:numId="59">
    <w:abstractNumId w:val="31"/>
  </w:num>
  <w:num w:numId="60">
    <w:abstractNumId w:val="23"/>
  </w:num>
  <w:num w:numId="61">
    <w:abstractNumId w:val="284"/>
  </w:num>
  <w:num w:numId="62">
    <w:abstractNumId w:val="253"/>
  </w:num>
  <w:num w:numId="63">
    <w:abstractNumId w:val="313"/>
  </w:num>
  <w:num w:numId="64">
    <w:abstractNumId w:val="174"/>
  </w:num>
  <w:num w:numId="65">
    <w:abstractNumId w:val="32"/>
  </w:num>
  <w:num w:numId="66">
    <w:abstractNumId w:val="87"/>
  </w:num>
  <w:num w:numId="67">
    <w:abstractNumId w:val="59"/>
  </w:num>
  <w:num w:numId="68">
    <w:abstractNumId w:val="117"/>
  </w:num>
  <w:num w:numId="69">
    <w:abstractNumId w:val="258"/>
  </w:num>
  <w:num w:numId="70">
    <w:abstractNumId w:val="241"/>
  </w:num>
  <w:num w:numId="71">
    <w:abstractNumId w:val="70"/>
  </w:num>
  <w:num w:numId="72">
    <w:abstractNumId w:val="111"/>
  </w:num>
  <w:num w:numId="73">
    <w:abstractNumId w:val="291"/>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6"/>
  </w:num>
  <w:num w:numId="76">
    <w:abstractNumId w:val="158"/>
  </w:num>
  <w:num w:numId="77">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8"/>
  </w:num>
  <w:num w:numId="84">
    <w:abstractNumId w:val="271"/>
  </w:num>
  <w:num w:numId="85">
    <w:abstractNumId w:val="17"/>
  </w:num>
  <w:num w:numId="86">
    <w:abstractNumId w:val="176"/>
  </w:num>
  <w:num w:numId="87">
    <w:abstractNumId w:val="126"/>
  </w:num>
  <w:num w:numId="88">
    <w:abstractNumId w:val="171"/>
  </w:num>
  <w:num w:numId="89">
    <w:abstractNumId w:val="325"/>
  </w:num>
  <w:num w:numId="90">
    <w:abstractNumId w:val="242"/>
  </w:num>
  <w:num w:numId="91">
    <w:abstractNumId w:val="14"/>
  </w:num>
  <w:num w:numId="92">
    <w:abstractNumId w:val="311"/>
  </w:num>
  <w:num w:numId="93">
    <w:abstractNumId w:val="204"/>
  </w:num>
  <w:num w:numId="94">
    <w:abstractNumId w:val="257"/>
  </w:num>
  <w:num w:numId="95">
    <w:abstractNumId w:val="344"/>
  </w:num>
  <w:num w:numId="96">
    <w:abstractNumId w:val="89"/>
  </w:num>
  <w:num w:numId="97">
    <w:abstractNumId w:val="282"/>
  </w:num>
  <w:num w:numId="98">
    <w:abstractNumId w:val="43"/>
  </w:num>
  <w:num w:numId="99">
    <w:abstractNumId w:val="322"/>
  </w:num>
  <w:num w:numId="100">
    <w:abstractNumId w:val="133"/>
  </w:num>
  <w:num w:numId="101">
    <w:abstractNumId w:val="134"/>
  </w:num>
  <w:num w:numId="102">
    <w:abstractNumId w:val="283"/>
    <w:lvlOverride w:ilvl="0">
      <w:startOverride w:val="1"/>
    </w:lvlOverride>
  </w:num>
  <w:num w:numId="103">
    <w:abstractNumId w:val="283"/>
  </w:num>
  <w:num w:numId="104">
    <w:abstractNumId w:val="114"/>
  </w:num>
  <w:num w:numId="105">
    <w:abstractNumId w:val="68"/>
  </w:num>
  <w:num w:numId="106">
    <w:abstractNumId w:val="346"/>
  </w:num>
  <w:num w:numId="107">
    <w:abstractNumId w:val="202"/>
  </w:num>
  <w:num w:numId="108">
    <w:abstractNumId w:val="0"/>
  </w:num>
  <w:num w:numId="109">
    <w:abstractNumId w:val="287"/>
  </w:num>
  <w:num w:numId="110">
    <w:abstractNumId w:val="299"/>
  </w:num>
  <w:num w:numId="111">
    <w:abstractNumId w:val="299"/>
  </w:num>
  <w:num w:numId="112">
    <w:abstractNumId w:val="299"/>
  </w:num>
  <w:num w:numId="113">
    <w:abstractNumId w:val="299"/>
  </w:num>
  <w:num w:numId="114">
    <w:abstractNumId w:val="299"/>
  </w:num>
  <w:num w:numId="115">
    <w:abstractNumId w:val="299"/>
  </w:num>
  <w:num w:numId="116">
    <w:abstractNumId w:val="299"/>
  </w:num>
  <w:num w:numId="117">
    <w:abstractNumId w:val="299"/>
  </w:num>
  <w:num w:numId="118">
    <w:abstractNumId w:val="299"/>
  </w:num>
  <w:num w:numId="119">
    <w:abstractNumId w:val="299"/>
  </w:num>
  <w:num w:numId="120">
    <w:abstractNumId w:val="299"/>
  </w:num>
  <w:num w:numId="121">
    <w:abstractNumId w:val="299"/>
  </w:num>
  <w:num w:numId="122">
    <w:abstractNumId w:val="299"/>
  </w:num>
  <w:num w:numId="123">
    <w:abstractNumId w:val="299"/>
  </w:num>
  <w:num w:numId="124">
    <w:abstractNumId w:val="299"/>
  </w:num>
  <w:num w:numId="125">
    <w:abstractNumId w:val="299"/>
  </w:num>
  <w:num w:numId="126">
    <w:abstractNumId w:val="299"/>
  </w:num>
  <w:num w:numId="127">
    <w:abstractNumId w:val="299"/>
  </w:num>
  <w:num w:numId="128">
    <w:abstractNumId w:val="299"/>
  </w:num>
  <w:num w:numId="129">
    <w:abstractNumId w:val="299"/>
  </w:num>
  <w:num w:numId="130">
    <w:abstractNumId w:val="299"/>
  </w:num>
  <w:num w:numId="131">
    <w:abstractNumId w:val="299"/>
  </w:num>
  <w:num w:numId="132">
    <w:abstractNumId w:val="299"/>
  </w:num>
  <w:num w:numId="133">
    <w:abstractNumId w:val="299"/>
  </w:num>
  <w:num w:numId="134">
    <w:abstractNumId w:val="299"/>
  </w:num>
  <w:num w:numId="135">
    <w:abstractNumId w:val="299"/>
  </w:num>
  <w:num w:numId="136">
    <w:abstractNumId w:val="299"/>
  </w:num>
  <w:num w:numId="137">
    <w:abstractNumId w:val="299"/>
  </w:num>
  <w:num w:numId="138">
    <w:abstractNumId w:val="299"/>
  </w:num>
  <w:num w:numId="139">
    <w:abstractNumId w:val="299"/>
  </w:num>
  <w:num w:numId="140">
    <w:abstractNumId w:val="297"/>
  </w:num>
  <w:num w:numId="141">
    <w:abstractNumId w:val="340"/>
  </w:num>
  <w:num w:numId="142">
    <w:abstractNumId w:val="55"/>
  </w:num>
  <w:num w:numId="143">
    <w:abstractNumId w:val="261"/>
  </w:num>
  <w:num w:numId="144">
    <w:abstractNumId w:val="224"/>
  </w:num>
  <w:num w:numId="145">
    <w:abstractNumId w:val="259"/>
  </w:num>
  <w:num w:numId="146">
    <w:abstractNumId w:val="153"/>
  </w:num>
  <w:num w:numId="147">
    <w:abstractNumId w:val="315"/>
  </w:num>
  <w:num w:numId="148">
    <w:abstractNumId w:val="141"/>
  </w:num>
  <w:num w:numId="149">
    <w:abstractNumId w:val="272"/>
  </w:num>
  <w:num w:numId="150">
    <w:abstractNumId w:val="153"/>
  </w:num>
  <w:num w:numId="151">
    <w:abstractNumId w:val="264"/>
  </w:num>
  <w:num w:numId="152">
    <w:abstractNumId w:val="220"/>
  </w:num>
  <w:num w:numId="153">
    <w:abstractNumId w:val="120"/>
  </w:num>
  <w:num w:numId="154">
    <w:abstractNumId w:val="167"/>
  </w:num>
  <w:num w:numId="155">
    <w:abstractNumId w:val="169"/>
  </w:num>
  <w:num w:numId="156">
    <w:abstractNumId w:val="343"/>
  </w:num>
  <w:num w:numId="157">
    <w:abstractNumId w:val="294"/>
  </w:num>
  <w:num w:numId="158">
    <w:abstractNumId w:val="107"/>
  </w:num>
  <w:num w:numId="159">
    <w:abstractNumId w:val="145"/>
  </w:num>
  <w:num w:numId="160">
    <w:abstractNumId w:val="294"/>
    <w:lvlOverride w:ilvl="0">
      <w:startOverride w:val="1"/>
    </w:lvlOverride>
  </w:num>
  <w:num w:numId="161">
    <w:abstractNumId w:val="35"/>
  </w:num>
  <w:num w:numId="162">
    <w:abstractNumId w:val="300"/>
  </w:num>
  <w:num w:numId="163">
    <w:abstractNumId w:val="109"/>
  </w:num>
  <w:num w:numId="164">
    <w:abstractNumId w:val="225"/>
  </w:num>
  <w:num w:numId="165">
    <w:abstractNumId w:val="10"/>
  </w:num>
  <w:num w:numId="166">
    <w:abstractNumId w:val="338"/>
  </w:num>
  <w:num w:numId="167">
    <w:abstractNumId w:val="338"/>
  </w:num>
  <w:num w:numId="168">
    <w:abstractNumId w:val="338"/>
  </w:num>
  <w:num w:numId="169">
    <w:abstractNumId w:val="338"/>
  </w:num>
  <w:num w:numId="170">
    <w:abstractNumId w:val="299"/>
  </w:num>
  <w:num w:numId="171">
    <w:abstractNumId w:val="299"/>
  </w:num>
  <w:num w:numId="172">
    <w:abstractNumId w:val="299"/>
  </w:num>
  <w:num w:numId="173">
    <w:abstractNumId w:val="299"/>
  </w:num>
  <w:num w:numId="174">
    <w:abstractNumId w:val="299"/>
  </w:num>
  <w:num w:numId="175">
    <w:abstractNumId w:val="299"/>
  </w:num>
  <w:num w:numId="176">
    <w:abstractNumId w:val="234"/>
  </w:num>
  <w:num w:numId="177">
    <w:abstractNumId w:val="328"/>
  </w:num>
  <w:num w:numId="178">
    <w:abstractNumId w:val="295"/>
  </w:num>
  <w:num w:numId="179">
    <w:abstractNumId w:val="299"/>
  </w:num>
  <w:num w:numId="180">
    <w:abstractNumId w:val="239"/>
  </w:num>
  <w:num w:numId="181">
    <w:abstractNumId w:val="216"/>
  </w:num>
  <w:num w:numId="182">
    <w:abstractNumId w:val="46"/>
  </w:num>
  <w:num w:numId="183">
    <w:abstractNumId w:val="201"/>
  </w:num>
  <w:num w:numId="184">
    <w:abstractNumId w:val="178"/>
  </w:num>
  <w:num w:numId="185">
    <w:abstractNumId w:val="201"/>
  </w:num>
  <w:num w:numId="186">
    <w:abstractNumId w:val="201"/>
  </w:num>
  <w:num w:numId="187">
    <w:abstractNumId w:val="201"/>
  </w:num>
  <w:num w:numId="188">
    <w:abstractNumId w:val="201"/>
  </w:num>
  <w:num w:numId="189">
    <w:abstractNumId w:val="326"/>
  </w:num>
  <w:num w:numId="190">
    <w:abstractNumId w:val="19"/>
  </w:num>
  <w:num w:numId="191">
    <w:abstractNumId w:val="36"/>
  </w:num>
  <w:num w:numId="192">
    <w:abstractNumId w:val="183"/>
  </w:num>
  <w:num w:numId="193">
    <w:abstractNumId w:val="331"/>
  </w:num>
  <w:num w:numId="194">
    <w:abstractNumId w:val="211"/>
  </w:num>
  <w:num w:numId="195">
    <w:abstractNumId w:val="81"/>
  </w:num>
  <w:num w:numId="196">
    <w:abstractNumId w:val="93"/>
  </w:num>
  <w:num w:numId="197">
    <w:abstractNumId w:val="86"/>
  </w:num>
  <w:num w:numId="198">
    <w:abstractNumId w:val="285"/>
  </w:num>
  <w:num w:numId="199">
    <w:abstractNumId w:val="285"/>
  </w:num>
  <w:num w:numId="200">
    <w:abstractNumId w:val="285"/>
  </w:num>
  <w:num w:numId="201">
    <w:abstractNumId w:val="285"/>
  </w:num>
  <w:num w:numId="202">
    <w:abstractNumId w:val="285"/>
  </w:num>
  <w:num w:numId="203">
    <w:abstractNumId w:val="285"/>
  </w:num>
  <w:num w:numId="204">
    <w:abstractNumId w:val="285"/>
  </w:num>
  <w:num w:numId="205">
    <w:abstractNumId w:val="268"/>
  </w:num>
  <w:num w:numId="206">
    <w:abstractNumId w:val="1"/>
  </w:num>
  <w:num w:numId="207">
    <w:abstractNumId w:val="12"/>
  </w:num>
  <w:num w:numId="208">
    <w:abstractNumId w:val="30"/>
  </w:num>
  <w:num w:numId="209">
    <w:abstractNumId w:val="63"/>
  </w:num>
  <w:num w:numId="210">
    <w:abstractNumId w:val="267"/>
  </w:num>
  <w:num w:numId="211">
    <w:abstractNumId w:val="164"/>
  </w:num>
  <w:num w:numId="212">
    <w:abstractNumId w:val="276"/>
  </w:num>
  <w:num w:numId="213">
    <w:abstractNumId w:val="292"/>
  </w:num>
  <w:num w:numId="214">
    <w:abstractNumId w:val="348"/>
  </w:num>
  <w:num w:numId="215">
    <w:abstractNumId w:val="348"/>
  </w:num>
  <w:num w:numId="216">
    <w:abstractNumId w:val="4"/>
  </w:num>
  <w:num w:numId="217">
    <w:abstractNumId w:val="348"/>
    <w:lvlOverride w:ilvl="0">
      <w:startOverride w:val="1"/>
    </w:lvlOverride>
  </w:num>
  <w:num w:numId="218">
    <w:abstractNumId w:val="168"/>
  </w:num>
  <w:num w:numId="219">
    <w:abstractNumId w:val="337"/>
  </w:num>
  <w:num w:numId="220">
    <w:abstractNumId w:val="303"/>
  </w:num>
  <w:num w:numId="221">
    <w:abstractNumId w:val="332"/>
  </w:num>
  <w:num w:numId="222">
    <w:abstractNumId w:val="179"/>
  </w:num>
  <w:num w:numId="223">
    <w:abstractNumId w:val="255"/>
  </w:num>
  <w:num w:numId="224">
    <w:abstractNumId w:val="275"/>
  </w:num>
  <w:num w:numId="225">
    <w:abstractNumId w:val="269"/>
  </w:num>
  <w:num w:numId="226">
    <w:abstractNumId w:val="77"/>
  </w:num>
  <w:num w:numId="227">
    <w:abstractNumId w:val="347"/>
  </w:num>
  <w:num w:numId="228">
    <w:abstractNumId w:val="226"/>
  </w:num>
  <w:num w:numId="229">
    <w:abstractNumId w:val="20"/>
  </w:num>
  <w:num w:numId="230">
    <w:abstractNumId w:val="299"/>
  </w:num>
  <w:num w:numId="231">
    <w:abstractNumId w:val="187"/>
  </w:num>
  <w:num w:numId="232">
    <w:abstractNumId w:val="2"/>
  </w:num>
  <w:num w:numId="233">
    <w:abstractNumId w:val="2"/>
  </w:num>
  <w:num w:numId="234">
    <w:abstractNumId w:val="112"/>
  </w:num>
  <w:num w:numId="235">
    <w:abstractNumId w:val="2"/>
    <w:lvlOverride w:ilvl="0">
      <w:startOverride w:val="2"/>
    </w:lvlOverride>
  </w:num>
  <w:num w:numId="236">
    <w:abstractNumId w:val="85"/>
  </w:num>
  <w:num w:numId="237">
    <w:abstractNumId w:val="170"/>
  </w:num>
  <w:num w:numId="238">
    <w:abstractNumId w:val="206"/>
  </w:num>
  <w:num w:numId="239">
    <w:abstractNumId w:val="28"/>
  </w:num>
  <w:num w:numId="240">
    <w:abstractNumId w:val="244"/>
  </w:num>
  <w:num w:numId="241">
    <w:abstractNumId w:val="94"/>
  </w:num>
  <w:num w:numId="242">
    <w:abstractNumId w:val="330"/>
  </w:num>
  <w:num w:numId="243">
    <w:abstractNumId w:val="9"/>
  </w:num>
  <w:num w:numId="244">
    <w:abstractNumId w:val="108"/>
  </w:num>
  <w:num w:numId="245">
    <w:abstractNumId w:val="51"/>
  </w:num>
  <w:num w:numId="246">
    <w:abstractNumId w:val="66"/>
  </w:num>
  <w:num w:numId="247">
    <w:abstractNumId w:val="104"/>
  </w:num>
  <w:num w:numId="248">
    <w:abstractNumId w:val="227"/>
  </w:num>
  <w:num w:numId="249">
    <w:abstractNumId w:val="281"/>
  </w:num>
  <w:num w:numId="250">
    <w:abstractNumId w:val="203"/>
  </w:num>
  <w:num w:numId="251">
    <w:abstractNumId w:val="265"/>
  </w:num>
  <w:num w:numId="252">
    <w:abstractNumId w:val="6"/>
  </w:num>
  <w:num w:numId="253">
    <w:abstractNumId w:val="299"/>
  </w:num>
  <w:num w:numId="254">
    <w:abstractNumId w:val="341"/>
  </w:num>
  <w:num w:numId="255">
    <w:abstractNumId w:val="6"/>
    <w:lvlOverride w:ilvl="0">
      <w:startOverride w:val="2"/>
    </w:lvlOverride>
  </w:num>
  <w:num w:numId="256">
    <w:abstractNumId w:val="199"/>
  </w:num>
  <w:num w:numId="257">
    <w:abstractNumId w:val="235"/>
  </w:num>
  <w:num w:numId="258">
    <w:abstractNumId w:val="159"/>
  </w:num>
  <w:num w:numId="259">
    <w:abstractNumId w:val="181"/>
  </w:num>
  <w:num w:numId="260">
    <w:abstractNumId w:val="308"/>
  </w:num>
  <w:num w:numId="261">
    <w:abstractNumId w:val="83"/>
  </w:num>
  <w:num w:numId="262">
    <w:abstractNumId w:val="76"/>
  </w:num>
  <w:num w:numId="263">
    <w:abstractNumId w:val="181"/>
    <w:lvlOverride w:ilvl="0">
      <w:startOverride w:val="2"/>
    </w:lvlOverride>
  </w:num>
  <w:num w:numId="264">
    <w:abstractNumId w:val="39"/>
  </w:num>
  <w:num w:numId="265">
    <w:abstractNumId w:val="138"/>
  </w:num>
  <w:num w:numId="266">
    <w:abstractNumId w:val="41"/>
  </w:num>
  <w:num w:numId="267">
    <w:abstractNumId w:val="293"/>
  </w:num>
  <w:num w:numId="268">
    <w:abstractNumId w:val="11"/>
  </w:num>
  <w:num w:numId="269">
    <w:abstractNumId w:val="139"/>
  </w:num>
  <w:num w:numId="270">
    <w:abstractNumId w:val="11"/>
    <w:lvlOverride w:ilvl="0">
      <w:startOverride w:val="2"/>
    </w:lvlOverride>
  </w:num>
  <w:num w:numId="271">
    <w:abstractNumId w:val="16"/>
  </w:num>
  <w:num w:numId="272">
    <w:abstractNumId w:val="352"/>
  </w:num>
  <w:num w:numId="273">
    <w:abstractNumId w:val="154"/>
  </w:num>
  <w:num w:numId="274">
    <w:abstractNumId w:val="48"/>
  </w:num>
  <w:num w:numId="275">
    <w:abstractNumId w:val="33"/>
  </w:num>
  <w:num w:numId="276">
    <w:abstractNumId w:val="11"/>
  </w:num>
  <w:num w:numId="277">
    <w:abstractNumId w:val="125"/>
  </w:num>
  <w:num w:numId="278">
    <w:abstractNumId w:val="231"/>
  </w:num>
  <w:num w:numId="279">
    <w:abstractNumId w:val="15"/>
  </w:num>
  <w:num w:numId="280">
    <w:abstractNumId w:val="345"/>
  </w:num>
  <w:num w:numId="281">
    <w:abstractNumId w:val="320"/>
  </w:num>
  <w:num w:numId="282">
    <w:abstractNumId w:val="67"/>
  </w:num>
  <w:num w:numId="283">
    <w:abstractNumId w:val="247"/>
  </w:num>
  <w:num w:numId="284">
    <w:abstractNumId w:val="312"/>
  </w:num>
  <w:num w:numId="285">
    <w:abstractNumId w:val="186"/>
  </w:num>
  <w:num w:numId="286">
    <w:abstractNumId w:val="353"/>
  </w:num>
  <w:num w:numId="287">
    <w:abstractNumId w:val="38"/>
  </w:num>
  <w:num w:numId="288">
    <w:abstractNumId w:val="234"/>
  </w:num>
  <w:num w:numId="289">
    <w:abstractNumId w:val="234"/>
  </w:num>
  <w:num w:numId="290">
    <w:abstractNumId w:val="234"/>
  </w:num>
  <w:num w:numId="291">
    <w:abstractNumId w:val="234"/>
  </w:num>
  <w:num w:numId="292">
    <w:abstractNumId w:val="234"/>
  </w:num>
  <w:num w:numId="293">
    <w:abstractNumId w:val="137"/>
  </w:num>
  <w:num w:numId="294">
    <w:abstractNumId w:val="123"/>
  </w:num>
  <w:num w:numId="295">
    <w:abstractNumId w:val="229"/>
  </w:num>
  <w:num w:numId="296">
    <w:abstractNumId w:val="155"/>
  </w:num>
  <w:num w:numId="297">
    <w:abstractNumId w:val="34"/>
  </w:num>
  <w:num w:numId="298">
    <w:abstractNumId w:val="233"/>
  </w:num>
  <w:num w:numId="299">
    <w:abstractNumId w:val="184"/>
  </w:num>
  <w:num w:numId="300">
    <w:abstractNumId w:val="248"/>
  </w:num>
  <w:num w:numId="301">
    <w:abstractNumId w:val="13"/>
  </w:num>
  <w:num w:numId="302">
    <w:abstractNumId w:val="323"/>
  </w:num>
  <w:num w:numId="303">
    <w:abstractNumId w:val="193"/>
  </w:num>
  <w:num w:numId="304">
    <w:abstractNumId w:val="140"/>
  </w:num>
  <w:num w:numId="305">
    <w:abstractNumId w:val="128"/>
  </w:num>
  <w:num w:numId="306">
    <w:abstractNumId w:val="336"/>
  </w:num>
  <w:num w:numId="307">
    <w:abstractNumId w:val="335"/>
  </w:num>
  <w:num w:numId="308">
    <w:abstractNumId w:val="197"/>
  </w:num>
  <w:num w:numId="309">
    <w:abstractNumId w:val="100"/>
  </w:num>
  <w:num w:numId="310">
    <w:abstractNumId w:val="210"/>
  </w:num>
  <w:num w:numId="311">
    <w:abstractNumId w:val="54"/>
  </w:num>
  <w:num w:numId="312">
    <w:abstractNumId w:val="198"/>
  </w:num>
  <w:num w:numId="313">
    <w:abstractNumId w:val="161"/>
  </w:num>
  <w:num w:numId="314">
    <w:abstractNumId w:val="161"/>
  </w:num>
  <w:num w:numId="315">
    <w:abstractNumId w:val="230"/>
  </w:num>
  <w:num w:numId="316">
    <w:abstractNumId w:val="278"/>
  </w:num>
  <w:num w:numId="317">
    <w:abstractNumId w:val="122"/>
  </w:num>
  <w:num w:numId="318">
    <w:abstractNumId w:val="152"/>
  </w:num>
  <w:num w:numId="319">
    <w:abstractNumId w:val="217"/>
  </w:num>
  <w:num w:numId="320">
    <w:abstractNumId w:val="150"/>
  </w:num>
  <w:num w:numId="321">
    <w:abstractNumId w:val="150"/>
  </w:num>
  <w:num w:numId="322">
    <w:abstractNumId w:val="173"/>
  </w:num>
  <w:num w:numId="323">
    <w:abstractNumId w:val="53"/>
  </w:num>
  <w:num w:numId="324">
    <w:abstractNumId w:val="342"/>
  </w:num>
  <w:num w:numId="325">
    <w:abstractNumId w:val="351"/>
  </w:num>
  <w:num w:numId="326">
    <w:abstractNumId w:val="256"/>
  </w:num>
  <w:num w:numId="327">
    <w:abstractNumId w:val="98"/>
  </w:num>
  <w:num w:numId="328">
    <w:abstractNumId w:val="245"/>
  </w:num>
  <w:num w:numId="329">
    <w:abstractNumId w:val="53"/>
    <w:lvlOverride w:ilvl="0">
      <w:startOverride w:val="1"/>
    </w:lvlOverride>
  </w:num>
  <w:num w:numId="330">
    <w:abstractNumId w:val="53"/>
    <w:lvlOverride w:ilvl="0">
      <w:startOverride w:val="2"/>
    </w:lvlOverride>
  </w:num>
  <w:num w:numId="331">
    <w:abstractNumId w:val="53"/>
    <w:lvlOverride w:ilvl="0">
      <w:startOverride w:val="3"/>
    </w:lvlOverride>
  </w:num>
  <w:num w:numId="332">
    <w:abstractNumId w:val="53"/>
    <w:lvlOverride w:ilvl="0">
      <w:startOverride w:val="4"/>
    </w:lvlOverride>
  </w:num>
  <w:num w:numId="333">
    <w:abstractNumId w:val="53"/>
  </w:num>
  <w:num w:numId="334">
    <w:abstractNumId w:val="25"/>
  </w:num>
  <w:num w:numId="335">
    <w:abstractNumId w:val="8"/>
  </w:num>
  <w:num w:numId="336">
    <w:abstractNumId w:val="53"/>
    <w:lvlOverride w:ilvl="0">
      <w:startOverride w:val="1"/>
    </w:lvlOverride>
  </w:num>
  <w:num w:numId="337">
    <w:abstractNumId w:val="157"/>
  </w:num>
  <w:num w:numId="338">
    <w:abstractNumId w:val="319"/>
  </w:num>
  <w:num w:numId="339">
    <w:abstractNumId w:val="290"/>
  </w:num>
  <w:num w:numId="340">
    <w:abstractNumId w:val="324"/>
  </w:num>
  <w:num w:numId="341">
    <w:abstractNumId w:val="228"/>
  </w:num>
  <w:num w:numId="342">
    <w:abstractNumId w:val="309"/>
  </w:num>
  <w:num w:numId="343">
    <w:abstractNumId w:val="79"/>
  </w:num>
  <w:num w:numId="344">
    <w:abstractNumId w:val="299"/>
  </w:num>
  <w:num w:numId="345">
    <w:abstractNumId w:val="299"/>
  </w:num>
  <w:num w:numId="346">
    <w:abstractNumId w:val="304"/>
  </w:num>
  <w:num w:numId="347">
    <w:abstractNumId w:val="162"/>
  </w:num>
  <w:num w:numId="348">
    <w:abstractNumId w:val="177"/>
  </w:num>
  <w:num w:numId="349">
    <w:abstractNumId w:val="236"/>
  </w:num>
  <w:num w:numId="350">
    <w:abstractNumId w:val="304"/>
  </w:num>
  <w:num w:numId="351">
    <w:abstractNumId w:val="45"/>
  </w:num>
  <w:num w:numId="352">
    <w:abstractNumId w:val="37"/>
  </w:num>
  <w:num w:numId="353">
    <w:abstractNumId w:val="37"/>
  </w:num>
  <w:num w:numId="354">
    <w:abstractNumId w:val="214"/>
  </w:num>
  <w:num w:numId="355">
    <w:abstractNumId w:val="333"/>
  </w:num>
  <w:num w:numId="356">
    <w:abstractNumId w:val="288"/>
  </w:num>
  <w:num w:numId="357">
    <w:abstractNumId w:val="263"/>
  </w:num>
  <w:num w:numId="358">
    <w:abstractNumId w:val="189"/>
  </w:num>
  <w:num w:numId="359">
    <w:abstractNumId w:val="254"/>
  </w:num>
  <w:num w:numId="360">
    <w:abstractNumId w:val="234"/>
    <w:lvlOverride w:ilvl="0">
      <w:startOverride w:val="1"/>
    </w:lvlOverride>
  </w:num>
  <w:num w:numId="361">
    <w:abstractNumId w:val="80"/>
  </w:num>
  <w:num w:numId="362">
    <w:abstractNumId w:val="234"/>
    <w:lvlOverride w:ilvl="0">
      <w:startOverride w:val="1"/>
    </w:lvlOverride>
  </w:num>
  <w:num w:numId="363">
    <w:abstractNumId w:val="72"/>
  </w:num>
  <w:num w:numId="364">
    <w:abstractNumId w:val="234"/>
    <w:lvlOverride w:ilvl="0">
      <w:startOverride w:val="1"/>
    </w:lvlOverride>
  </w:num>
  <w:num w:numId="365">
    <w:abstractNumId w:val="124"/>
  </w:num>
  <w:num w:numId="366">
    <w:abstractNumId w:val="234"/>
    <w:lvlOverride w:ilvl="0">
      <w:startOverride w:val="1"/>
    </w:lvlOverride>
  </w:num>
  <w:num w:numId="367">
    <w:abstractNumId w:val="99"/>
  </w:num>
  <w:num w:numId="368">
    <w:abstractNumId w:val="234"/>
    <w:lvlOverride w:ilvl="0">
      <w:startOverride w:val="1"/>
    </w:lvlOverride>
  </w:num>
  <w:num w:numId="369">
    <w:abstractNumId w:val="182"/>
  </w:num>
  <w:num w:numId="370">
    <w:abstractNumId w:val="234"/>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13"/>
  </w:num>
  <w:num w:numId="378">
    <w:abstractNumId w:val="234"/>
    <w:lvlOverride w:ilvl="0">
      <w:startOverride w:val="1"/>
    </w:lvlOverride>
  </w:num>
  <w:num w:numId="379">
    <w:abstractNumId w:val="37"/>
  </w:num>
  <w:num w:numId="380">
    <w:abstractNumId w:val="27"/>
  </w:num>
  <w:num w:numId="381">
    <w:abstractNumId w:val="234"/>
    <w:lvlOverride w:ilvl="0">
      <w:startOverride w:val="1"/>
    </w:lvlOverride>
  </w:num>
  <w:num w:numId="382">
    <w:abstractNumId w:val="103"/>
  </w:num>
  <w:num w:numId="383">
    <w:abstractNumId w:val="61"/>
  </w:num>
  <w:num w:numId="384">
    <w:abstractNumId w:val="200"/>
  </w:num>
  <w:num w:numId="385">
    <w:abstractNumId w:val="143"/>
  </w:num>
  <w:num w:numId="386">
    <w:abstractNumId w:val="22"/>
  </w:num>
  <w:num w:numId="387">
    <w:abstractNumId w:val="329"/>
  </w:num>
  <w:num w:numId="388">
    <w:abstractNumId w:val="250"/>
  </w:num>
  <w:num w:numId="389">
    <w:abstractNumId w:val="318"/>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5"/>
  </w:num>
  <w:num w:numId="399">
    <w:abstractNumId w:val="234"/>
    <w:lvlOverride w:ilvl="0">
      <w:startOverride w:val="1"/>
    </w:lvlOverride>
  </w:num>
  <w:num w:numId="400">
    <w:abstractNumId w:val="234"/>
  </w:num>
  <w:num w:numId="401">
    <w:abstractNumId w:val="62"/>
  </w:num>
  <w:num w:numId="402">
    <w:abstractNumId w:val="234"/>
    <w:lvlOverride w:ilvl="0">
      <w:startOverride w:val="1"/>
    </w:lvlOverride>
  </w:num>
  <w:num w:numId="403">
    <w:abstractNumId w:val="101"/>
  </w:num>
  <w:num w:numId="404">
    <w:abstractNumId w:val="234"/>
    <w:lvlOverride w:ilvl="0">
      <w:startOverride w:val="1"/>
    </w:lvlOverride>
  </w:num>
  <w:num w:numId="405">
    <w:abstractNumId w:val="305"/>
  </w:num>
  <w:num w:numId="406">
    <w:abstractNumId w:val="7"/>
  </w:num>
  <w:num w:numId="407">
    <w:abstractNumId w:val="162"/>
  </w:num>
  <w:num w:numId="408">
    <w:abstractNumId w:val="299"/>
  </w:num>
  <w:num w:numId="409">
    <w:abstractNumId w:val="299"/>
  </w:num>
  <w:num w:numId="410">
    <w:abstractNumId w:val="299"/>
  </w:num>
  <w:num w:numId="411">
    <w:abstractNumId w:val="299"/>
  </w:num>
  <w:num w:numId="412">
    <w:abstractNumId w:val="299"/>
  </w:num>
  <w:num w:numId="413">
    <w:abstractNumId w:val="299"/>
  </w:num>
  <w:num w:numId="414">
    <w:abstractNumId w:val="299"/>
  </w:num>
  <w:num w:numId="415">
    <w:abstractNumId w:val="299"/>
  </w:num>
  <w:num w:numId="416">
    <w:abstractNumId w:val="299"/>
  </w:num>
  <w:num w:numId="417">
    <w:abstractNumId w:val="299"/>
  </w:num>
  <w:num w:numId="418">
    <w:abstractNumId w:val="299"/>
  </w:num>
  <w:num w:numId="419">
    <w:abstractNumId w:val="37"/>
  </w:num>
  <w:num w:numId="420">
    <w:abstractNumId w:val="299"/>
  </w:num>
  <w:num w:numId="421">
    <w:abstractNumId w:val="299"/>
  </w:num>
  <w:num w:numId="422">
    <w:abstractNumId w:val="299"/>
  </w:num>
  <w:num w:numId="423">
    <w:abstractNumId w:val="299"/>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71"/>
  </w:num>
  <w:num w:numId="431">
    <w:abstractNumId w:val="296"/>
  </w:num>
  <w:num w:numId="432">
    <w:abstractNumId w:val="274"/>
  </w:num>
  <w:num w:numId="433">
    <w:abstractNumId w:val="321"/>
  </w:num>
  <w:num w:numId="434">
    <w:abstractNumId w:val="165"/>
  </w:num>
  <w:num w:numId="435">
    <w:abstractNumId w:val="234"/>
    <w:lvlOverride w:ilvl="0">
      <w:startOverride w:val="1"/>
    </w:lvlOverride>
  </w:num>
  <w:num w:numId="436">
    <w:abstractNumId w:val="73"/>
  </w:num>
  <w:num w:numId="437">
    <w:abstractNumId w:val="234"/>
    <w:lvlOverride w:ilvl="0">
      <w:startOverride w:val="1"/>
    </w:lvlOverride>
  </w:num>
  <w:num w:numId="438">
    <w:abstractNumId w:val="37"/>
  </w:num>
  <w:num w:numId="439">
    <w:abstractNumId w:val="37"/>
  </w:num>
  <w:num w:numId="440">
    <w:abstractNumId w:val="277"/>
  </w:num>
  <w:num w:numId="441">
    <w:abstractNumId w:val="234"/>
    <w:lvlOverride w:ilvl="0">
      <w:startOverride w:val="1"/>
    </w:lvlOverride>
  </w:num>
  <w:num w:numId="442">
    <w:abstractNumId w:val="234"/>
  </w:num>
  <w:num w:numId="443">
    <w:abstractNumId w:val="3"/>
  </w:num>
  <w:num w:numId="444">
    <w:abstractNumId w:val="60"/>
  </w:num>
  <w:num w:numId="445">
    <w:abstractNumId w:val="234"/>
    <w:lvlOverride w:ilvl="0">
      <w:startOverride w:val="1"/>
    </w:lvlOverride>
  </w:num>
  <w:num w:numId="446">
    <w:abstractNumId w:val="307"/>
  </w:num>
  <w:num w:numId="447">
    <w:abstractNumId w:val="160"/>
  </w:num>
  <w:num w:numId="448">
    <w:abstractNumId w:val="209"/>
  </w:num>
  <w:num w:numId="449">
    <w:abstractNumId w:val="160"/>
    <w:lvlOverride w:ilvl="0">
      <w:startOverride w:val="1"/>
    </w:lvlOverride>
  </w:num>
  <w:num w:numId="450">
    <w:abstractNumId w:val="37"/>
  </w:num>
  <w:num w:numId="451">
    <w:abstractNumId w:val="240"/>
  </w:num>
  <w:num w:numId="452">
    <w:abstractNumId w:val="160"/>
    <w:lvlOverride w:ilvl="0">
      <w:startOverride w:val="1"/>
    </w:lvlOverride>
  </w:num>
  <w:num w:numId="453">
    <w:abstractNumId w:val="42"/>
  </w:num>
  <w:num w:numId="454">
    <w:abstractNumId w:val="160"/>
    <w:lvlOverride w:ilvl="0">
      <w:startOverride w:val="1"/>
    </w:lvlOverride>
  </w:num>
  <w:num w:numId="455">
    <w:abstractNumId w:val="37"/>
  </w:num>
  <w:num w:numId="456">
    <w:abstractNumId w:val="26"/>
  </w:num>
  <w:num w:numId="457">
    <w:abstractNumId w:val="160"/>
    <w:lvlOverride w:ilvl="0">
      <w:startOverride w:val="1"/>
    </w:lvlOverride>
  </w:num>
  <w:num w:numId="458">
    <w:abstractNumId w:val="207"/>
  </w:num>
  <w:num w:numId="459">
    <w:abstractNumId w:val="119"/>
  </w:num>
  <w:num w:numId="460">
    <w:abstractNumId w:val="196"/>
  </w:num>
  <w:num w:numId="461">
    <w:abstractNumId w:val="163"/>
  </w:num>
  <w:num w:numId="462">
    <w:abstractNumId w:val="95"/>
  </w:num>
  <w:num w:numId="463">
    <w:abstractNumId w:val="249"/>
  </w:num>
  <w:num w:numId="464">
    <w:abstractNumId w:val="221"/>
  </w:num>
  <w:num w:numId="465">
    <w:abstractNumId w:val="160"/>
    <w:lvlOverride w:ilvl="0">
      <w:startOverride w:val="1"/>
    </w:lvlOverride>
  </w:num>
  <w:num w:numId="466">
    <w:abstractNumId w:val="57"/>
  </w:num>
  <w:num w:numId="467">
    <w:abstractNumId w:val="252"/>
  </w:num>
  <w:num w:numId="468">
    <w:abstractNumId w:val="147"/>
  </w:num>
  <w:num w:numId="469">
    <w:abstractNumId w:val="252"/>
  </w:num>
  <w:num w:numId="470">
    <w:abstractNumId w:val="317"/>
  </w:num>
  <w:num w:numId="471">
    <w:abstractNumId w:val="252"/>
    <w:lvlOverride w:ilvl="0">
      <w:startOverride w:val="1"/>
    </w:lvlOverride>
  </w:num>
  <w:num w:numId="472">
    <w:abstractNumId w:val="127"/>
  </w:num>
  <w:num w:numId="473">
    <w:abstractNumId w:val="327"/>
  </w:num>
  <w:num w:numId="474">
    <w:abstractNumId w:val="47"/>
  </w:num>
  <w:num w:numId="475">
    <w:abstractNumId w:val="88"/>
  </w:num>
  <w:num w:numId="476">
    <w:abstractNumId w:val="262"/>
  </w:num>
  <w:num w:numId="477">
    <w:abstractNumId w:val="58"/>
  </w:num>
  <w:num w:numId="478">
    <w:abstractNumId w:val="37"/>
  </w:num>
  <w:num w:numId="479">
    <w:abstractNumId w:val="243"/>
  </w:num>
  <w:num w:numId="480">
    <w:abstractNumId w:val="90"/>
  </w:num>
  <w:num w:numId="481">
    <w:abstractNumId w:val="195"/>
  </w:num>
  <w:num w:numId="482">
    <w:abstractNumId w:val="52"/>
  </w:num>
  <w:num w:numId="483">
    <w:abstractNumId w:val="349"/>
  </w:num>
  <w:num w:numId="484">
    <w:abstractNumId w:val="96"/>
  </w:num>
  <w:num w:numId="485">
    <w:abstractNumId w:val="149"/>
  </w:num>
  <w:num w:numId="486">
    <w:abstractNumId w:val="97"/>
  </w:num>
  <w:num w:numId="487">
    <w:abstractNumId w:val="215"/>
  </w:num>
  <w:num w:numId="488">
    <w:abstractNumId w:val="279"/>
  </w:num>
  <w:num w:numId="489">
    <w:abstractNumId w:val="69"/>
  </w:num>
  <w:num w:numId="490">
    <w:abstractNumId w:val="218"/>
  </w:num>
  <w:num w:numId="491">
    <w:abstractNumId w:val="130"/>
  </w:num>
  <w:num w:numId="492">
    <w:abstractNumId w:val="194"/>
  </w:num>
  <w:num w:numId="493">
    <w:abstractNumId w:val="116"/>
  </w:num>
  <w:num w:numId="494">
    <w:abstractNumId w:val="299"/>
  </w:num>
  <w:num w:numId="495">
    <w:abstractNumId w:val="162"/>
  </w:num>
  <w:num w:numId="496">
    <w:abstractNumId w:val="273"/>
  </w:num>
  <w:num w:numId="497">
    <w:abstractNumId w:val="310"/>
  </w:num>
  <w:num w:numId="498">
    <w:abstractNumId w:val="306"/>
  </w:num>
  <w:num w:numId="499">
    <w:abstractNumId w:val="350"/>
  </w:num>
  <w:num w:numId="500">
    <w:abstractNumId w:val="49"/>
  </w:num>
  <w:num w:numId="501">
    <w:abstractNumId w:val="175"/>
  </w:num>
  <w:num w:numId="502">
    <w:abstractNumId w:val="64"/>
  </w:num>
  <w:num w:numId="503">
    <w:abstractNumId w:val="212"/>
  </w:num>
  <w:num w:numId="504">
    <w:abstractNumId w:val="64"/>
    <w:lvlOverride w:ilvl="0">
      <w:startOverride w:val="1"/>
    </w:lvlOverride>
  </w:num>
  <w:num w:numId="505">
    <w:abstractNumId w:val="105"/>
  </w:num>
  <w:num w:numId="506">
    <w:abstractNumId w:val="299"/>
  </w:num>
  <w:num w:numId="507">
    <w:abstractNumId w:val="299"/>
  </w:num>
  <w:num w:numId="508">
    <w:abstractNumId w:val="162"/>
  </w:num>
  <w:num w:numId="509">
    <w:abstractNumId w:val="162"/>
  </w:num>
  <w:num w:numId="510">
    <w:abstractNumId w:val="299"/>
  </w:num>
  <w:num w:numId="511">
    <w:abstractNumId w:val="162"/>
  </w:num>
  <w:num w:numId="512">
    <w:abstractNumId w:val="162"/>
  </w:num>
  <w:num w:numId="513">
    <w:abstractNumId w:val="162"/>
  </w:num>
  <w:num w:numId="514">
    <w:abstractNumId w:val="162"/>
  </w:num>
  <w:num w:numId="515">
    <w:abstractNumId w:val="162"/>
  </w:num>
  <w:num w:numId="516">
    <w:abstractNumId w:val="162"/>
  </w:num>
  <w:num w:numId="517">
    <w:abstractNumId w:val="162"/>
  </w:num>
  <w:num w:numId="518">
    <w:abstractNumId w:val="162"/>
  </w:num>
  <w:num w:numId="519">
    <w:abstractNumId w:val="84"/>
  </w:num>
  <w:numIdMacAtCleanup w:val="5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49153">
      <o:colormenu v:ext="edit" fillcolor="non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1B1A"/>
    <w:rsid w:val="00002A62"/>
    <w:rsid w:val="00006598"/>
    <w:rsid w:val="000070CA"/>
    <w:rsid w:val="00014873"/>
    <w:rsid w:val="00017360"/>
    <w:rsid w:val="00017D71"/>
    <w:rsid w:val="00020DDD"/>
    <w:rsid w:val="00020F24"/>
    <w:rsid w:val="000213A8"/>
    <w:rsid w:val="0002203F"/>
    <w:rsid w:val="00022302"/>
    <w:rsid w:val="0002511C"/>
    <w:rsid w:val="00025E6B"/>
    <w:rsid w:val="00027510"/>
    <w:rsid w:val="00033E6C"/>
    <w:rsid w:val="0003412A"/>
    <w:rsid w:val="000349C0"/>
    <w:rsid w:val="00034B82"/>
    <w:rsid w:val="00035D61"/>
    <w:rsid w:val="00036BC5"/>
    <w:rsid w:val="0003710D"/>
    <w:rsid w:val="00037FE6"/>
    <w:rsid w:val="00041EBF"/>
    <w:rsid w:val="00042018"/>
    <w:rsid w:val="00043DFF"/>
    <w:rsid w:val="00044417"/>
    <w:rsid w:val="00044E3A"/>
    <w:rsid w:val="0004504C"/>
    <w:rsid w:val="000474BD"/>
    <w:rsid w:val="00047769"/>
    <w:rsid w:val="00051508"/>
    <w:rsid w:val="00051E75"/>
    <w:rsid w:val="0005226C"/>
    <w:rsid w:val="00053368"/>
    <w:rsid w:val="000542FD"/>
    <w:rsid w:val="0005468C"/>
    <w:rsid w:val="00060230"/>
    <w:rsid w:val="00060BBD"/>
    <w:rsid w:val="00065059"/>
    <w:rsid w:val="0007226E"/>
    <w:rsid w:val="00072B6A"/>
    <w:rsid w:val="00072F5E"/>
    <w:rsid w:val="00073E1C"/>
    <w:rsid w:val="00073E48"/>
    <w:rsid w:val="00074F29"/>
    <w:rsid w:val="00076221"/>
    <w:rsid w:val="00081E8B"/>
    <w:rsid w:val="000826CD"/>
    <w:rsid w:val="000838BD"/>
    <w:rsid w:val="0008417E"/>
    <w:rsid w:val="00085406"/>
    <w:rsid w:val="0008689C"/>
    <w:rsid w:val="000870DC"/>
    <w:rsid w:val="000877FD"/>
    <w:rsid w:val="000931CB"/>
    <w:rsid w:val="00094B61"/>
    <w:rsid w:val="00094E6C"/>
    <w:rsid w:val="000A06A3"/>
    <w:rsid w:val="000A1092"/>
    <w:rsid w:val="000A137F"/>
    <w:rsid w:val="000A7857"/>
    <w:rsid w:val="000A7DE3"/>
    <w:rsid w:val="000B3AC7"/>
    <w:rsid w:val="000B3BEF"/>
    <w:rsid w:val="000B6CC5"/>
    <w:rsid w:val="000C08B2"/>
    <w:rsid w:val="000C0E6A"/>
    <w:rsid w:val="000C2812"/>
    <w:rsid w:val="000C4C10"/>
    <w:rsid w:val="000C61DA"/>
    <w:rsid w:val="000C65CB"/>
    <w:rsid w:val="000C6BD2"/>
    <w:rsid w:val="000D5D72"/>
    <w:rsid w:val="000D647B"/>
    <w:rsid w:val="000D7317"/>
    <w:rsid w:val="000E18AA"/>
    <w:rsid w:val="000E1D9D"/>
    <w:rsid w:val="000E38A5"/>
    <w:rsid w:val="000E487A"/>
    <w:rsid w:val="000E5B15"/>
    <w:rsid w:val="000E6438"/>
    <w:rsid w:val="000E6F12"/>
    <w:rsid w:val="000F0E2D"/>
    <w:rsid w:val="000F2801"/>
    <w:rsid w:val="000F4C6A"/>
    <w:rsid w:val="000F6CD6"/>
    <w:rsid w:val="000F6FE1"/>
    <w:rsid w:val="000F779D"/>
    <w:rsid w:val="001002E2"/>
    <w:rsid w:val="00100F44"/>
    <w:rsid w:val="001044A2"/>
    <w:rsid w:val="00104F6B"/>
    <w:rsid w:val="00106058"/>
    <w:rsid w:val="00106526"/>
    <w:rsid w:val="00107921"/>
    <w:rsid w:val="00111A8E"/>
    <w:rsid w:val="00111BCC"/>
    <w:rsid w:val="00111CD1"/>
    <w:rsid w:val="00112E23"/>
    <w:rsid w:val="001160AD"/>
    <w:rsid w:val="00116A2A"/>
    <w:rsid w:val="00117168"/>
    <w:rsid w:val="00117DDB"/>
    <w:rsid w:val="00121087"/>
    <w:rsid w:val="001216F1"/>
    <w:rsid w:val="00124079"/>
    <w:rsid w:val="00124D72"/>
    <w:rsid w:val="001259D8"/>
    <w:rsid w:val="00127B0C"/>
    <w:rsid w:val="001311F5"/>
    <w:rsid w:val="00132808"/>
    <w:rsid w:val="00132CAD"/>
    <w:rsid w:val="00133838"/>
    <w:rsid w:val="00136025"/>
    <w:rsid w:val="00140E07"/>
    <w:rsid w:val="00142100"/>
    <w:rsid w:val="001435BA"/>
    <w:rsid w:val="00143C9A"/>
    <w:rsid w:val="001442C7"/>
    <w:rsid w:val="00144A3A"/>
    <w:rsid w:val="00144C96"/>
    <w:rsid w:val="00146D1E"/>
    <w:rsid w:val="00146F25"/>
    <w:rsid w:val="00147C0A"/>
    <w:rsid w:val="00150A32"/>
    <w:rsid w:val="00150F56"/>
    <w:rsid w:val="00151D2F"/>
    <w:rsid w:val="00152FA0"/>
    <w:rsid w:val="001533D4"/>
    <w:rsid w:val="00155FF4"/>
    <w:rsid w:val="00156881"/>
    <w:rsid w:val="00160FD6"/>
    <w:rsid w:val="001621D9"/>
    <w:rsid w:val="001631E0"/>
    <w:rsid w:val="00163DE2"/>
    <w:rsid w:val="00167480"/>
    <w:rsid w:val="001704D3"/>
    <w:rsid w:val="00170BF2"/>
    <w:rsid w:val="00170BFE"/>
    <w:rsid w:val="00172D1A"/>
    <w:rsid w:val="00173ED1"/>
    <w:rsid w:val="001757F9"/>
    <w:rsid w:val="00176F70"/>
    <w:rsid w:val="00176FD3"/>
    <w:rsid w:val="00180896"/>
    <w:rsid w:val="001835E8"/>
    <w:rsid w:val="00184535"/>
    <w:rsid w:val="00184FC1"/>
    <w:rsid w:val="00185FB0"/>
    <w:rsid w:val="00186D10"/>
    <w:rsid w:val="00187734"/>
    <w:rsid w:val="00192448"/>
    <w:rsid w:val="001A2366"/>
    <w:rsid w:val="001A2A63"/>
    <w:rsid w:val="001A2B13"/>
    <w:rsid w:val="001A69CA"/>
    <w:rsid w:val="001B04F6"/>
    <w:rsid w:val="001B08A5"/>
    <w:rsid w:val="001B0F2D"/>
    <w:rsid w:val="001B3C85"/>
    <w:rsid w:val="001B3FA8"/>
    <w:rsid w:val="001B586D"/>
    <w:rsid w:val="001C10C4"/>
    <w:rsid w:val="001C2803"/>
    <w:rsid w:val="001C3DD5"/>
    <w:rsid w:val="001C44F1"/>
    <w:rsid w:val="001C618F"/>
    <w:rsid w:val="001C7258"/>
    <w:rsid w:val="001D0283"/>
    <w:rsid w:val="001D085B"/>
    <w:rsid w:val="001D1BDC"/>
    <w:rsid w:val="001D2F2B"/>
    <w:rsid w:val="001D3FC1"/>
    <w:rsid w:val="001D67E3"/>
    <w:rsid w:val="001D70CD"/>
    <w:rsid w:val="001E0D28"/>
    <w:rsid w:val="001E2B7D"/>
    <w:rsid w:val="001E2F9D"/>
    <w:rsid w:val="001E5B5A"/>
    <w:rsid w:val="001E6B3F"/>
    <w:rsid w:val="001E77FC"/>
    <w:rsid w:val="001F074D"/>
    <w:rsid w:val="001F0E80"/>
    <w:rsid w:val="001F40DE"/>
    <w:rsid w:val="001F4496"/>
    <w:rsid w:val="001F6E51"/>
    <w:rsid w:val="001F7B54"/>
    <w:rsid w:val="002032E2"/>
    <w:rsid w:val="002053FF"/>
    <w:rsid w:val="002057D7"/>
    <w:rsid w:val="00210630"/>
    <w:rsid w:val="00210AA6"/>
    <w:rsid w:val="00210EAC"/>
    <w:rsid w:val="002132D2"/>
    <w:rsid w:val="002154FB"/>
    <w:rsid w:val="00216E1F"/>
    <w:rsid w:val="002207C3"/>
    <w:rsid w:val="002224A4"/>
    <w:rsid w:val="00222A7A"/>
    <w:rsid w:val="00227E50"/>
    <w:rsid w:val="002335CF"/>
    <w:rsid w:val="00233CE4"/>
    <w:rsid w:val="002342B8"/>
    <w:rsid w:val="0023454D"/>
    <w:rsid w:val="0023521F"/>
    <w:rsid w:val="00235DC5"/>
    <w:rsid w:val="00243CC1"/>
    <w:rsid w:val="002440CE"/>
    <w:rsid w:val="00244283"/>
    <w:rsid w:val="00246192"/>
    <w:rsid w:val="00253333"/>
    <w:rsid w:val="0025444A"/>
    <w:rsid w:val="002573B2"/>
    <w:rsid w:val="00261762"/>
    <w:rsid w:val="00261A28"/>
    <w:rsid w:val="00263BAE"/>
    <w:rsid w:val="002650D4"/>
    <w:rsid w:val="002712FD"/>
    <w:rsid w:val="002727D1"/>
    <w:rsid w:val="00276B06"/>
    <w:rsid w:val="002804CF"/>
    <w:rsid w:val="00280EE3"/>
    <w:rsid w:val="002815A7"/>
    <w:rsid w:val="002832A1"/>
    <w:rsid w:val="0028384F"/>
    <w:rsid w:val="00283A00"/>
    <w:rsid w:val="00284482"/>
    <w:rsid w:val="00284539"/>
    <w:rsid w:val="00285F80"/>
    <w:rsid w:val="002869EB"/>
    <w:rsid w:val="002907B1"/>
    <w:rsid w:val="00291E2F"/>
    <w:rsid w:val="00292581"/>
    <w:rsid w:val="00294972"/>
    <w:rsid w:val="002949AF"/>
    <w:rsid w:val="00294FD3"/>
    <w:rsid w:val="00296F9F"/>
    <w:rsid w:val="002A0044"/>
    <w:rsid w:val="002A1F9C"/>
    <w:rsid w:val="002A228F"/>
    <w:rsid w:val="002A22C2"/>
    <w:rsid w:val="002A3A64"/>
    <w:rsid w:val="002A5E66"/>
    <w:rsid w:val="002A5F35"/>
    <w:rsid w:val="002B1ED4"/>
    <w:rsid w:val="002B33DC"/>
    <w:rsid w:val="002B5ECD"/>
    <w:rsid w:val="002B6A2C"/>
    <w:rsid w:val="002C078E"/>
    <w:rsid w:val="002C2842"/>
    <w:rsid w:val="002C37DF"/>
    <w:rsid w:val="002C4B1C"/>
    <w:rsid w:val="002C4B32"/>
    <w:rsid w:val="002C53CE"/>
    <w:rsid w:val="002C5DD4"/>
    <w:rsid w:val="002D13BF"/>
    <w:rsid w:val="002D143A"/>
    <w:rsid w:val="002D5639"/>
    <w:rsid w:val="002E0802"/>
    <w:rsid w:val="002E318B"/>
    <w:rsid w:val="002E5028"/>
    <w:rsid w:val="002E682D"/>
    <w:rsid w:val="002E728A"/>
    <w:rsid w:val="002E7FAC"/>
    <w:rsid w:val="002F02A6"/>
    <w:rsid w:val="002F073C"/>
    <w:rsid w:val="002F1969"/>
    <w:rsid w:val="002F20F5"/>
    <w:rsid w:val="002F2B9E"/>
    <w:rsid w:val="002F54E1"/>
    <w:rsid w:val="002F739D"/>
    <w:rsid w:val="00301581"/>
    <w:rsid w:val="0030168E"/>
    <w:rsid w:val="0030186B"/>
    <w:rsid w:val="00306BB2"/>
    <w:rsid w:val="00307B4E"/>
    <w:rsid w:val="00312508"/>
    <w:rsid w:val="00312ECF"/>
    <w:rsid w:val="00313B15"/>
    <w:rsid w:val="003140E6"/>
    <w:rsid w:val="00315AB5"/>
    <w:rsid w:val="00316F9E"/>
    <w:rsid w:val="00320A0E"/>
    <w:rsid w:val="00322ABA"/>
    <w:rsid w:val="00325710"/>
    <w:rsid w:val="003259DC"/>
    <w:rsid w:val="0032659F"/>
    <w:rsid w:val="00326B3E"/>
    <w:rsid w:val="00327B68"/>
    <w:rsid w:val="00330A6B"/>
    <w:rsid w:val="00331CC2"/>
    <w:rsid w:val="00332AA8"/>
    <w:rsid w:val="003339A8"/>
    <w:rsid w:val="0033606D"/>
    <w:rsid w:val="00336977"/>
    <w:rsid w:val="003403F4"/>
    <w:rsid w:val="00340604"/>
    <w:rsid w:val="003408F2"/>
    <w:rsid w:val="00340932"/>
    <w:rsid w:val="00340A29"/>
    <w:rsid w:val="003426FF"/>
    <w:rsid w:val="0034280C"/>
    <w:rsid w:val="00343923"/>
    <w:rsid w:val="00344B54"/>
    <w:rsid w:val="00346311"/>
    <w:rsid w:val="00346A86"/>
    <w:rsid w:val="00346CC4"/>
    <w:rsid w:val="00350705"/>
    <w:rsid w:val="00351040"/>
    <w:rsid w:val="003531BA"/>
    <w:rsid w:val="00356606"/>
    <w:rsid w:val="00361F8E"/>
    <w:rsid w:val="0036378C"/>
    <w:rsid w:val="00367858"/>
    <w:rsid w:val="00370856"/>
    <w:rsid w:val="003728E8"/>
    <w:rsid w:val="00373B0A"/>
    <w:rsid w:val="00375BFE"/>
    <w:rsid w:val="00376601"/>
    <w:rsid w:val="00377CF2"/>
    <w:rsid w:val="003801E5"/>
    <w:rsid w:val="00381789"/>
    <w:rsid w:val="00387787"/>
    <w:rsid w:val="0039555D"/>
    <w:rsid w:val="00396449"/>
    <w:rsid w:val="0039678B"/>
    <w:rsid w:val="003967C2"/>
    <w:rsid w:val="0039745B"/>
    <w:rsid w:val="003A0944"/>
    <w:rsid w:val="003A1010"/>
    <w:rsid w:val="003A33AE"/>
    <w:rsid w:val="003A6CA1"/>
    <w:rsid w:val="003A6F91"/>
    <w:rsid w:val="003A75C8"/>
    <w:rsid w:val="003B0E03"/>
    <w:rsid w:val="003B12AB"/>
    <w:rsid w:val="003B2A6E"/>
    <w:rsid w:val="003B3F5C"/>
    <w:rsid w:val="003B4AA2"/>
    <w:rsid w:val="003B5330"/>
    <w:rsid w:val="003B70C7"/>
    <w:rsid w:val="003B7126"/>
    <w:rsid w:val="003B7243"/>
    <w:rsid w:val="003B7844"/>
    <w:rsid w:val="003B7D0F"/>
    <w:rsid w:val="003C0A6F"/>
    <w:rsid w:val="003C0C9F"/>
    <w:rsid w:val="003C16F8"/>
    <w:rsid w:val="003C2B71"/>
    <w:rsid w:val="003C2E1E"/>
    <w:rsid w:val="003C3419"/>
    <w:rsid w:val="003C698E"/>
    <w:rsid w:val="003C7BB6"/>
    <w:rsid w:val="003D29CA"/>
    <w:rsid w:val="003D3284"/>
    <w:rsid w:val="003D3CA6"/>
    <w:rsid w:val="003D41AA"/>
    <w:rsid w:val="003D4B1D"/>
    <w:rsid w:val="003D5074"/>
    <w:rsid w:val="003D591B"/>
    <w:rsid w:val="003D7818"/>
    <w:rsid w:val="003E0DFA"/>
    <w:rsid w:val="003E2227"/>
    <w:rsid w:val="003E2928"/>
    <w:rsid w:val="003E3FB3"/>
    <w:rsid w:val="003E687B"/>
    <w:rsid w:val="003E697A"/>
    <w:rsid w:val="003F104E"/>
    <w:rsid w:val="003F586A"/>
    <w:rsid w:val="003F74F5"/>
    <w:rsid w:val="003F7994"/>
    <w:rsid w:val="004000C8"/>
    <w:rsid w:val="00400713"/>
    <w:rsid w:val="0040083C"/>
    <w:rsid w:val="0040286F"/>
    <w:rsid w:val="00402BBD"/>
    <w:rsid w:val="0040373D"/>
    <w:rsid w:val="00404B18"/>
    <w:rsid w:val="00406DE9"/>
    <w:rsid w:val="00410AD0"/>
    <w:rsid w:val="004117F7"/>
    <w:rsid w:val="004127A8"/>
    <w:rsid w:val="004150DA"/>
    <w:rsid w:val="0041526A"/>
    <w:rsid w:val="004172D7"/>
    <w:rsid w:val="00421D0E"/>
    <w:rsid w:val="0042312C"/>
    <w:rsid w:val="004233C1"/>
    <w:rsid w:val="004241EB"/>
    <w:rsid w:val="004272A4"/>
    <w:rsid w:val="00430B70"/>
    <w:rsid w:val="00430F14"/>
    <w:rsid w:val="00432261"/>
    <w:rsid w:val="004338FB"/>
    <w:rsid w:val="0043553C"/>
    <w:rsid w:val="0043679B"/>
    <w:rsid w:val="0043729F"/>
    <w:rsid w:val="00441E29"/>
    <w:rsid w:val="004449EE"/>
    <w:rsid w:val="00445E2A"/>
    <w:rsid w:val="00447076"/>
    <w:rsid w:val="00450EF9"/>
    <w:rsid w:val="004524B2"/>
    <w:rsid w:val="00452B43"/>
    <w:rsid w:val="0045392A"/>
    <w:rsid w:val="00460BA9"/>
    <w:rsid w:val="00461004"/>
    <w:rsid w:val="004622F4"/>
    <w:rsid w:val="00466D6B"/>
    <w:rsid w:val="00467081"/>
    <w:rsid w:val="004707C3"/>
    <w:rsid w:val="0047474E"/>
    <w:rsid w:val="0047541F"/>
    <w:rsid w:val="00475F68"/>
    <w:rsid w:val="00476162"/>
    <w:rsid w:val="00477C3F"/>
    <w:rsid w:val="00482544"/>
    <w:rsid w:val="00482FAD"/>
    <w:rsid w:val="00483E5F"/>
    <w:rsid w:val="0048425E"/>
    <w:rsid w:val="004873ED"/>
    <w:rsid w:val="00487F47"/>
    <w:rsid w:val="00491B67"/>
    <w:rsid w:val="00493699"/>
    <w:rsid w:val="00494083"/>
    <w:rsid w:val="00494B66"/>
    <w:rsid w:val="00495197"/>
    <w:rsid w:val="0049701D"/>
    <w:rsid w:val="00497179"/>
    <w:rsid w:val="004A37BA"/>
    <w:rsid w:val="004A391E"/>
    <w:rsid w:val="004A4711"/>
    <w:rsid w:val="004A55D3"/>
    <w:rsid w:val="004A5F45"/>
    <w:rsid w:val="004A66F4"/>
    <w:rsid w:val="004A6AB4"/>
    <w:rsid w:val="004A6F2C"/>
    <w:rsid w:val="004A7115"/>
    <w:rsid w:val="004A736F"/>
    <w:rsid w:val="004B192F"/>
    <w:rsid w:val="004B22CA"/>
    <w:rsid w:val="004B38FD"/>
    <w:rsid w:val="004B6845"/>
    <w:rsid w:val="004B7014"/>
    <w:rsid w:val="004C03AE"/>
    <w:rsid w:val="004C0416"/>
    <w:rsid w:val="004C2D74"/>
    <w:rsid w:val="004C4A03"/>
    <w:rsid w:val="004C796E"/>
    <w:rsid w:val="004D12F2"/>
    <w:rsid w:val="004D20C2"/>
    <w:rsid w:val="004D264D"/>
    <w:rsid w:val="004D318B"/>
    <w:rsid w:val="004D5C00"/>
    <w:rsid w:val="004D76DA"/>
    <w:rsid w:val="004D7EB9"/>
    <w:rsid w:val="004E06AF"/>
    <w:rsid w:val="004E095F"/>
    <w:rsid w:val="004E3C1B"/>
    <w:rsid w:val="004E5B44"/>
    <w:rsid w:val="004E6DAA"/>
    <w:rsid w:val="004E7D6C"/>
    <w:rsid w:val="004F37E0"/>
    <w:rsid w:val="004F3C16"/>
    <w:rsid w:val="004F46C9"/>
    <w:rsid w:val="004F558F"/>
    <w:rsid w:val="004F653A"/>
    <w:rsid w:val="00501117"/>
    <w:rsid w:val="005011E9"/>
    <w:rsid w:val="00501845"/>
    <w:rsid w:val="005058A4"/>
    <w:rsid w:val="00505F03"/>
    <w:rsid w:val="00505FCF"/>
    <w:rsid w:val="00506791"/>
    <w:rsid w:val="00506ADE"/>
    <w:rsid w:val="00507FCB"/>
    <w:rsid w:val="0051158F"/>
    <w:rsid w:val="00513A84"/>
    <w:rsid w:val="005141D8"/>
    <w:rsid w:val="00520CB3"/>
    <w:rsid w:val="00521548"/>
    <w:rsid w:val="00521937"/>
    <w:rsid w:val="005226D5"/>
    <w:rsid w:val="00527CC5"/>
    <w:rsid w:val="00527E16"/>
    <w:rsid w:val="00531E37"/>
    <w:rsid w:val="005322A5"/>
    <w:rsid w:val="00533416"/>
    <w:rsid w:val="0053533D"/>
    <w:rsid w:val="005358EF"/>
    <w:rsid w:val="00536045"/>
    <w:rsid w:val="00536A95"/>
    <w:rsid w:val="00536F8D"/>
    <w:rsid w:val="00542469"/>
    <w:rsid w:val="0054424B"/>
    <w:rsid w:val="00544344"/>
    <w:rsid w:val="00544CAE"/>
    <w:rsid w:val="00544FDE"/>
    <w:rsid w:val="00547581"/>
    <w:rsid w:val="00547CA8"/>
    <w:rsid w:val="00550074"/>
    <w:rsid w:val="00550359"/>
    <w:rsid w:val="005507CE"/>
    <w:rsid w:val="0055120D"/>
    <w:rsid w:val="005523C8"/>
    <w:rsid w:val="00552655"/>
    <w:rsid w:val="0055393C"/>
    <w:rsid w:val="00553EF5"/>
    <w:rsid w:val="005540B8"/>
    <w:rsid w:val="00554DE9"/>
    <w:rsid w:val="00556672"/>
    <w:rsid w:val="00556CD4"/>
    <w:rsid w:val="00556D69"/>
    <w:rsid w:val="00557BA0"/>
    <w:rsid w:val="005616F5"/>
    <w:rsid w:val="00561EE9"/>
    <w:rsid w:val="00562D85"/>
    <w:rsid w:val="005630DC"/>
    <w:rsid w:val="0056329E"/>
    <w:rsid w:val="00564EBC"/>
    <w:rsid w:val="00565F12"/>
    <w:rsid w:val="0056621E"/>
    <w:rsid w:val="005666D2"/>
    <w:rsid w:val="005669EF"/>
    <w:rsid w:val="005672B3"/>
    <w:rsid w:val="005712BD"/>
    <w:rsid w:val="00573B3D"/>
    <w:rsid w:val="00573BD0"/>
    <w:rsid w:val="0057414E"/>
    <w:rsid w:val="00575DE5"/>
    <w:rsid w:val="005765F3"/>
    <w:rsid w:val="00576DB1"/>
    <w:rsid w:val="00577621"/>
    <w:rsid w:val="00580176"/>
    <w:rsid w:val="00581F97"/>
    <w:rsid w:val="005838EF"/>
    <w:rsid w:val="00583AF9"/>
    <w:rsid w:val="00584506"/>
    <w:rsid w:val="005855C9"/>
    <w:rsid w:val="0058637A"/>
    <w:rsid w:val="005869C1"/>
    <w:rsid w:val="00587285"/>
    <w:rsid w:val="005904EF"/>
    <w:rsid w:val="00590B2E"/>
    <w:rsid w:val="00590F22"/>
    <w:rsid w:val="0059228C"/>
    <w:rsid w:val="0059367A"/>
    <w:rsid w:val="005951FB"/>
    <w:rsid w:val="00595FA1"/>
    <w:rsid w:val="0059714B"/>
    <w:rsid w:val="005A0707"/>
    <w:rsid w:val="005A221B"/>
    <w:rsid w:val="005A3518"/>
    <w:rsid w:val="005A408C"/>
    <w:rsid w:val="005A68B9"/>
    <w:rsid w:val="005B0DA6"/>
    <w:rsid w:val="005B0E2C"/>
    <w:rsid w:val="005B1C14"/>
    <w:rsid w:val="005B2CAA"/>
    <w:rsid w:val="005B5922"/>
    <w:rsid w:val="005B5D26"/>
    <w:rsid w:val="005B66EF"/>
    <w:rsid w:val="005C10EB"/>
    <w:rsid w:val="005C21E7"/>
    <w:rsid w:val="005C5D7F"/>
    <w:rsid w:val="005D15F4"/>
    <w:rsid w:val="005D3070"/>
    <w:rsid w:val="005D35D9"/>
    <w:rsid w:val="005D4E0C"/>
    <w:rsid w:val="005D5FA7"/>
    <w:rsid w:val="005D72AA"/>
    <w:rsid w:val="005D72E2"/>
    <w:rsid w:val="005E0090"/>
    <w:rsid w:val="005E0EFD"/>
    <w:rsid w:val="005E221C"/>
    <w:rsid w:val="005E274A"/>
    <w:rsid w:val="005E3735"/>
    <w:rsid w:val="005E39EF"/>
    <w:rsid w:val="005E45A5"/>
    <w:rsid w:val="005E4F57"/>
    <w:rsid w:val="005E6768"/>
    <w:rsid w:val="005E7014"/>
    <w:rsid w:val="005E735D"/>
    <w:rsid w:val="005F3328"/>
    <w:rsid w:val="005F3D8C"/>
    <w:rsid w:val="005F6E75"/>
    <w:rsid w:val="00600682"/>
    <w:rsid w:val="006073FB"/>
    <w:rsid w:val="00610C6B"/>
    <w:rsid w:val="00610F11"/>
    <w:rsid w:val="0061203C"/>
    <w:rsid w:val="00612E93"/>
    <w:rsid w:val="00614307"/>
    <w:rsid w:val="0061494B"/>
    <w:rsid w:val="00614CB8"/>
    <w:rsid w:val="00615968"/>
    <w:rsid w:val="00615CE8"/>
    <w:rsid w:val="00616CEB"/>
    <w:rsid w:val="00621FCA"/>
    <w:rsid w:val="00625277"/>
    <w:rsid w:val="006273B9"/>
    <w:rsid w:val="00627EC2"/>
    <w:rsid w:val="00630559"/>
    <w:rsid w:val="0063095F"/>
    <w:rsid w:val="00630C52"/>
    <w:rsid w:val="00631706"/>
    <w:rsid w:val="00633031"/>
    <w:rsid w:val="00633EDB"/>
    <w:rsid w:val="006361C2"/>
    <w:rsid w:val="00640640"/>
    <w:rsid w:val="00640A46"/>
    <w:rsid w:val="00640EB6"/>
    <w:rsid w:val="00645717"/>
    <w:rsid w:val="00645FE7"/>
    <w:rsid w:val="00646C0C"/>
    <w:rsid w:val="00646DFA"/>
    <w:rsid w:val="00653A5B"/>
    <w:rsid w:val="00653FD6"/>
    <w:rsid w:val="00657CCC"/>
    <w:rsid w:val="006606EE"/>
    <w:rsid w:val="00660730"/>
    <w:rsid w:val="00660FC7"/>
    <w:rsid w:val="006636B8"/>
    <w:rsid w:val="00663AE6"/>
    <w:rsid w:val="00663EAF"/>
    <w:rsid w:val="006642C8"/>
    <w:rsid w:val="00665D0F"/>
    <w:rsid w:val="006673FC"/>
    <w:rsid w:val="00667BF2"/>
    <w:rsid w:val="00672ACC"/>
    <w:rsid w:val="0067404D"/>
    <w:rsid w:val="00674354"/>
    <w:rsid w:val="006744C9"/>
    <w:rsid w:val="00674581"/>
    <w:rsid w:val="006752F3"/>
    <w:rsid w:val="006816E7"/>
    <w:rsid w:val="006825F1"/>
    <w:rsid w:val="006858F6"/>
    <w:rsid w:val="00686D57"/>
    <w:rsid w:val="00686FCC"/>
    <w:rsid w:val="0068761A"/>
    <w:rsid w:val="0068774C"/>
    <w:rsid w:val="006900E2"/>
    <w:rsid w:val="0069346B"/>
    <w:rsid w:val="006936F9"/>
    <w:rsid w:val="006944A7"/>
    <w:rsid w:val="00694581"/>
    <w:rsid w:val="00695434"/>
    <w:rsid w:val="0069648B"/>
    <w:rsid w:val="00696A79"/>
    <w:rsid w:val="006A2C05"/>
    <w:rsid w:val="006A34BE"/>
    <w:rsid w:val="006A7E24"/>
    <w:rsid w:val="006B0E7D"/>
    <w:rsid w:val="006B20AA"/>
    <w:rsid w:val="006B2303"/>
    <w:rsid w:val="006B4812"/>
    <w:rsid w:val="006B79DD"/>
    <w:rsid w:val="006B7E90"/>
    <w:rsid w:val="006C3379"/>
    <w:rsid w:val="006C6F2C"/>
    <w:rsid w:val="006D3839"/>
    <w:rsid w:val="006D3F50"/>
    <w:rsid w:val="006D52B1"/>
    <w:rsid w:val="006D65B3"/>
    <w:rsid w:val="006D7EAB"/>
    <w:rsid w:val="006E1465"/>
    <w:rsid w:val="006E147C"/>
    <w:rsid w:val="006E1498"/>
    <w:rsid w:val="006E14A0"/>
    <w:rsid w:val="006E45F1"/>
    <w:rsid w:val="006E5029"/>
    <w:rsid w:val="006E528B"/>
    <w:rsid w:val="006E61DF"/>
    <w:rsid w:val="006E76BE"/>
    <w:rsid w:val="006F07A6"/>
    <w:rsid w:val="006F146C"/>
    <w:rsid w:val="006F42AA"/>
    <w:rsid w:val="006F4915"/>
    <w:rsid w:val="006F64E6"/>
    <w:rsid w:val="00701EE2"/>
    <w:rsid w:val="00703853"/>
    <w:rsid w:val="0070388C"/>
    <w:rsid w:val="0070685A"/>
    <w:rsid w:val="0071007C"/>
    <w:rsid w:val="007102EC"/>
    <w:rsid w:val="00713A17"/>
    <w:rsid w:val="00714801"/>
    <w:rsid w:val="00714CFE"/>
    <w:rsid w:val="00715B7E"/>
    <w:rsid w:val="00722E3D"/>
    <w:rsid w:val="00723BF6"/>
    <w:rsid w:val="00723FDF"/>
    <w:rsid w:val="00726F77"/>
    <w:rsid w:val="007303F8"/>
    <w:rsid w:val="007308FE"/>
    <w:rsid w:val="00730D9F"/>
    <w:rsid w:val="00731BEB"/>
    <w:rsid w:val="00732E2B"/>
    <w:rsid w:val="00733E8D"/>
    <w:rsid w:val="007342F5"/>
    <w:rsid w:val="007362B1"/>
    <w:rsid w:val="00736F23"/>
    <w:rsid w:val="007374AE"/>
    <w:rsid w:val="00737816"/>
    <w:rsid w:val="00737894"/>
    <w:rsid w:val="00737CE6"/>
    <w:rsid w:val="00737D0D"/>
    <w:rsid w:val="00740702"/>
    <w:rsid w:val="007415EE"/>
    <w:rsid w:val="00741F8D"/>
    <w:rsid w:val="00744390"/>
    <w:rsid w:val="00747BB7"/>
    <w:rsid w:val="00747DEB"/>
    <w:rsid w:val="00751114"/>
    <w:rsid w:val="00754559"/>
    <w:rsid w:val="0075609B"/>
    <w:rsid w:val="00757DCB"/>
    <w:rsid w:val="0076010D"/>
    <w:rsid w:val="007603C9"/>
    <w:rsid w:val="0076295A"/>
    <w:rsid w:val="0076391B"/>
    <w:rsid w:val="0076686C"/>
    <w:rsid w:val="007669D0"/>
    <w:rsid w:val="00770273"/>
    <w:rsid w:val="00770324"/>
    <w:rsid w:val="007710BA"/>
    <w:rsid w:val="00772C41"/>
    <w:rsid w:val="007751E2"/>
    <w:rsid w:val="0077574D"/>
    <w:rsid w:val="00775F40"/>
    <w:rsid w:val="00775F61"/>
    <w:rsid w:val="00776A8E"/>
    <w:rsid w:val="00776B40"/>
    <w:rsid w:val="00783111"/>
    <w:rsid w:val="0078434F"/>
    <w:rsid w:val="00785A75"/>
    <w:rsid w:val="00786167"/>
    <w:rsid w:val="00786996"/>
    <w:rsid w:val="00787639"/>
    <w:rsid w:val="00790E5E"/>
    <w:rsid w:val="00793BB8"/>
    <w:rsid w:val="00795C6B"/>
    <w:rsid w:val="00795D4A"/>
    <w:rsid w:val="007964D2"/>
    <w:rsid w:val="007971CB"/>
    <w:rsid w:val="007A0E22"/>
    <w:rsid w:val="007A15E6"/>
    <w:rsid w:val="007A17E3"/>
    <w:rsid w:val="007A3416"/>
    <w:rsid w:val="007A57E4"/>
    <w:rsid w:val="007A5B4B"/>
    <w:rsid w:val="007B3D5A"/>
    <w:rsid w:val="007C222C"/>
    <w:rsid w:val="007C493D"/>
    <w:rsid w:val="007C5026"/>
    <w:rsid w:val="007C5307"/>
    <w:rsid w:val="007C70FB"/>
    <w:rsid w:val="007D0B07"/>
    <w:rsid w:val="007D120D"/>
    <w:rsid w:val="007D222B"/>
    <w:rsid w:val="007D2B60"/>
    <w:rsid w:val="007D2C44"/>
    <w:rsid w:val="007D5D4C"/>
    <w:rsid w:val="007D7EB8"/>
    <w:rsid w:val="007E04EC"/>
    <w:rsid w:val="007E0DC4"/>
    <w:rsid w:val="007E60D0"/>
    <w:rsid w:val="007E61EF"/>
    <w:rsid w:val="007E68F0"/>
    <w:rsid w:val="007F1A48"/>
    <w:rsid w:val="007F6BE1"/>
    <w:rsid w:val="00800E68"/>
    <w:rsid w:val="00801545"/>
    <w:rsid w:val="00801CFC"/>
    <w:rsid w:val="00802500"/>
    <w:rsid w:val="00802D85"/>
    <w:rsid w:val="00803BA6"/>
    <w:rsid w:val="00803FB3"/>
    <w:rsid w:val="0080518F"/>
    <w:rsid w:val="0080530D"/>
    <w:rsid w:val="00806058"/>
    <w:rsid w:val="00812A5F"/>
    <w:rsid w:val="0081398D"/>
    <w:rsid w:val="00815552"/>
    <w:rsid w:val="00816623"/>
    <w:rsid w:val="00816DE1"/>
    <w:rsid w:val="008177E6"/>
    <w:rsid w:val="00817F2E"/>
    <w:rsid w:val="00823812"/>
    <w:rsid w:val="0082423F"/>
    <w:rsid w:val="00825D5D"/>
    <w:rsid w:val="00826E06"/>
    <w:rsid w:val="00827A78"/>
    <w:rsid w:val="00827B72"/>
    <w:rsid w:val="00827C34"/>
    <w:rsid w:val="00830A9C"/>
    <w:rsid w:val="008315EC"/>
    <w:rsid w:val="00832609"/>
    <w:rsid w:val="00832956"/>
    <w:rsid w:val="008364EE"/>
    <w:rsid w:val="00836EC2"/>
    <w:rsid w:val="00837BE1"/>
    <w:rsid w:val="008409D7"/>
    <w:rsid w:val="00842392"/>
    <w:rsid w:val="00843B5B"/>
    <w:rsid w:val="00844287"/>
    <w:rsid w:val="0084758C"/>
    <w:rsid w:val="00850B3B"/>
    <w:rsid w:val="00850FA9"/>
    <w:rsid w:val="00851F20"/>
    <w:rsid w:val="008524C7"/>
    <w:rsid w:val="0085252C"/>
    <w:rsid w:val="00854D3E"/>
    <w:rsid w:val="00855279"/>
    <w:rsid w:val="0085648E"/>
    <w:rsid w:val="00856D5D"/>
    <w:rsid w:val="0086248D"/>
    <w:rsid w:val="00862581"/>
    <w:rsid w:val="00862BBA"/>
    <w:rsid w:val="00863A8E"/>
    <w:rsid w:val="00865E54"/>
    <w:rsid w:val="0086683E"/>
    <w:rsid w:val="00867C37"/>
    <w:rsid w:val="00871D61"/>
    <w:rsid w:val="00872CC0"/>
    <w:rsid w:val="00874E4D"/>
    <w:rsid w:val="008750B0"/>
    <w:rsid w:val="008760FD"/>
    <w:rsid w:val="008763F7"/>
    <w:rsid w:val="00876DE9"/>
    <w:rsid w:val="00877EBE"/>
    <w:rsid w:val="00881BF7"/>
    <w:rsid w:val="008821BC"/>
    <w:rsid w:val="008824CF"/>
    <w:rsid w:val="00882ED1"/>
    <w:rsid w:val="008861A8"/>
    <w:rsid w:val="00890EEB"/>
    <w:rsid w:val="00893352"/>
    <w:rsid w:val="008939D5"/>
    <w:rsid w:val="008A003E"/>
    <w:rsid w:val="008A11C7"/>
    <w:rsid w:val="008A30D2"/>
    <w:rsid w:val="008A3BB7"/>
    <w:rsid w:val="008A4FAC"/>
    <w:rsid w:val="008A6E0D"/>
    <w:rsid w:val="008A7E01"/>
    <w:rsid w:val="008B06F2"/>
    <w:rsid w:val="008B0D35"/>
    <w:rsid w:val="008B14CC"/>
    <w:rsid w:val="008B1F41"/>
    <w:rsid w:val="008B4139"/>
    <w:rsid w:val="008B4C0A"/>
    <w:rsid w:val="008B4EBA"/>
    <w:rsid w:val="008B6993"/>
    <w:rsid w:val="008C0857"/>
    <w:rsid w:val="008C0D26"/>
    <w:rsid w:val="008C16F2"/>
    <w:rsid w:val="008C23DE"/>
    <w:rsid w:val="008C4432"/>
    <w:rsid w:val="008C4668"/>
    <w:rsid w:val="008C473C"/>
    <w:rsid w:val="008C56D1"/>
    <w:rsid w:val="008C7B0E"/>
    <w:rsid w:val="008D1B6B"/>
    <w:rsid w:val="008D2B11"/>
    <w:rsid w:val="008D333F"/>
    <w:rsid w:val="008D72C7"/>
    <w:rsid w:val="008D7665"/>
    <w:rsid w:val="008D7E7E"/>
    <w:rsid w:val="008E1AEC"/>
    <w:rsid w:val="008E5022"/>
    <w:rsid w:val="008E5EBF"/>
    <w:rsid w:val="008F0B2A"/>
    <w:rsid w:val="008F1260"/>
    <w:rsid w:val="008F2028"/>
    <w:rsid w:val="008F36F5"/>
    <w:rsid w:val="008F50F6"/>
    <w:rsid w:val="008F5396"/>
    <w:rsid w:val="008F630C"/>
    <w:rsid w:val="008F6FDB"/>
    <w:rsid w:val="008F712A"/>
    <w:rsid w:val="008F7BC2"/>
    <w:rsid w:val="00906C0A"/>
    <w:rsid w:val="0091201E"/>
    <w:rsid w:val="00912EA5"/>
    <w:rsid w:val="00913F6A"/>
    <w:rsid w:val="00915125"/>
    <w:rsid w:val="0091635C"/>
    <w:rsid w:val="009169F6"/>
    <w:rsid w:val="009173EE"/>
    <w:rsid w:val="00917D4E"/>
    <w:rsid w:val="0092054F"/>
    <w:rsid w:val="00921118"/>
    <w:rsid w:val="00921D36"/>
    <w:rsid w:val="00924A7C"/>
    <w:rsid w:val="0092512F"/>
    <w:rsid w:val="00925DB3"/>
    <w:rsid w:val="0092630D"/>
    <w:rsid w:val="0093206D"/>
    <w:rsid w:val="0093356D"/>
    <w:rsid w:val="00933B41"/>
    <w:rsid w:val="00934B86"/>
    <w:rsid w:val="009356B4"/>
    <w:rsid w:val="009373AE"/>
    <w:rsid w:val="009413E6"/>
    <w:rsid w:val="009431BF"/>
    <w:rsid w:val="00943418"/>
    <w:rsid w:val="0094608F"/>
    <w:rsid w:val="00946262"/>
    <w:rsid w:val="00952DBE"/>
    <w:rsid w:val="00953DB9"/>
    <w:rsid w:val="009549C7"/>
    <w:rsid w:val="00954D9A"/>
    <w:rsid w:val="00955176"/>
    <w:rsid w:val="00961866"/>
    <w:rsid w:val="0096452A"/>
    <w:rsid w:val="00965A02"/>
    <w:rsid w:val="009672A6"/>
    <w:rsid w:val="0097251E"/>
    <w:rsid w:val="00973CF0"/>
    <w:rsid w:val="00975132"/>
    <w:rsid w:val="00975B2D"/>
    <w:rsid w:val="0097794A"/>
    <w:rsid w:val="00977E50"/>
    <w:rsid w:val="00980A97"/>
    <w:rsid w:val="00980B32"/>
    <w:rsid w:val="00981122"/>
    <w:rsid w:val="009815DB"/>
    <w:rsid w:val="00982C3E"/>
    <w:rsid w:val="009867A4"/>
    <w:rsid w:val="009877B9"/>
    <w:rsid w:val="00987925"/>
    <w:rsid w:val="00992155"/>
    <w:rsid w:val="0099219B"/>
    <w:rsid w:val="009940E0"/>
    <w:rsid w:val="009940E4"/>
    <w:rsid w:val="009A05B3"/>
    <w:rsid w:val="009A085A"/>
    <w:rsid w:val="009A18C3"/>
    <w:rsid w:val="009A2615"/>
    <w:rsid w:val="009A3E3D"/>
    <w:rsid w:val="009A47F4"/>
    <w:rsid w:val="009A543F"/>
    <w:rsid w:val="009A5BFA"/>
    <w:rsid w:val="009A650C"/>
    <w:rsid w:val="009A6C4C"/>
    <w:rsid w:val="009B3246"/>
    <w:rsid w:val="009B3F88"/>
    <w:rsid w:val="009B4BEA"/>
    <w:rsid w:val="009C12C4"/>
    <w:rsid w:val="009C402D"/>
    <w:rsid w:val="009C44C8"/>
    <w:rsid w:val="009D15A0"/>
    <w:rsid w:val="009D16DD"/>
    <w:rsid w:val="009D4AB5"/>
    <w:rsid w:val="009E0FF7"/>
    <w:rsid w:val="009E1392"/>
    <w:rsid w:val="009E36E3"/>
    <w:rsid w:val="009E3CFB"/>
    <w:rsid w:val="009E459E"/>
    <w:rsid w:val="009E47DA"/>
    <w:rsid w:val="009E59B1"/>
    <w:rsid w:val="009F2DD8"/>
    <w:rsid w:val="009F3AAE"/>
    <w:rsid w:val="009F6803"/>
    <w:rsid w:val="00A0101C"/>
    <w:rsid w:val="00A01BE4"/>
    <w:rsid w:val="00A02DF9"/>
    <w:rsid w:val="00A03231"/>
    <w:rsid w:val="00A04665"/>
    <w:rsid w:val="00A0517A"/>
    <w:rsid w:val="00A06A5A"/>
    <w:rsid w:val="00A121CB"/>
    <w:rsid w:val="00A129FC"/>
    <w:rsid w:val="00A1335D"/>
    <w:rsid w:val="00A14E17"/>
    <w:rsid w:val="00A15A6A"/>
    <w:rsid w:val="00A162F3"/>
    <w:rsid w:val="00A217A0"/>
    <w:rsid w:val="00A228F7"/>
    <w:rsid w:val="00A26548"/>
    <w:rsid w:val="00A27F81"/>
    <w:rsid w:val="00A31F35"/>
    <w:rsid w:val="00A3263B"/>
    <w:rsid w:val="00A42BCC"/>
    <w:rsid w:val="00A45068"/>
    <w:rsid w:val="00A45356"/>
    <w:rsid w:val="00A4590E"/>
    <w:rsid w:val="00A4618E"/>
    <w:rsid w:val="00A46534"/>
    <w:rsid w:val="00A46728"/>
    <w:rsid w:val="00A47CA1"/>
    <w:rsid w:val="00A528CB"/>
    <w:rsid w:val="00A53781"/>
    <w:rsid w:val="00A53AD2"/>
    <w:rsid w:val="00A55396"/>
    <w:rsid w:val="00A5684F"/>
    <w:rsid w:val="00A60C59"/>
    <w:rsid w:val="00A60D82"/>
    <w:rsid w:val="00A60F56"/>
    <w:rsid w:val="00A62FA8"/>
    <w:rsid w:val="00A63B69"/>
    <w:rsid w:val="00A6597D"/>
    <w:rsid w:val="00A674BB"/>
    <w:rsid w:val="00A67DA7"/>
    <w:rsid w:val="00A716C2"/>
    <w:rsid w:val="00A734AC"/>
    <w:rsid w:val="00A775DA"/>
    <w:rsid w:val="00A80468"/>
    <w:rsid w:val="00A81058"/>
    <w:rsid w:val="00A81421"/>
    <w:rsid w:val="00A84586"/>
    <w:rsid w:val="00A84809"/>
    <w:rsid w:val="00A84E50"/>
    <w:rsid w:val="00A853D3"/>
    <w:rsid w:val="00A85D64"/>
    <w:rsid w:val="00A861B3"/>
    <w:rsid w:val="00A86D9A"/>
    <w:rsid w:val="00A9415D"/>
    <w:rsid w:val="00A96D79"/>
    <w:rsid w:val="00A9799B"/>
    <w:rsid w:val="00AA1129"/>
    <w:rsid w:val="00AA16C5"/>
    <w:rsid w:val="00AA241F"/>
    <w:rsid w:val="00AA6AD3"/>
    <w:rsid w:val="00AA79CB"/>
    <w:rsid w:val="00AB0D2D"/>
    <w:rsid w:val="00AB1E31"/>
    <w:rsid w:val="00AB3F98"/>
    <w:rsid w:val="00AB54CF"/>
    <w:rsid w:val="00AB74ED"/>
    <w:rsid w:val="00AB7F55"/>
    <w:rsid w:val="00AC2953"/>
    <w:rsid w:val="00AC29FC"/>
    <w:rsid w:val="00AC3220"/>
    <w:rsid w:val="00AC430B"/>
    <w:rsid w:val="00AC5D9F"/>
    <w:rsid w:val="00AC63A5"/>
    <w:rsid w:val="00AC798B"/>
    <w:rsid w:val="00AD1B89"/>
    <w:rsid w:val="00AD2211"/>
    <w:rsid w:val="00AD244C"/>
    <w:rsid w:val="00AD44CF"/>
    <w:rsid w:val="00AE3C66"/>
    <w:rsid w:val="00AE3CA5"/>
    <w:rsid w:val="00AE7A78"/>
    <w:rsid w:val="00AE7B2A"/>
    <w:rsid w:val="00AF1E9A"/>
    <w:rsid w:val="00AF2898"/>
    <w:rsid w:val="00AF345B"/>
    <w:rsid w:val="00AF463B"/>
    <w:rsid w:val="00AF49BA"/>
    <w:rsid w:val="00AF4EA2"/>
    <w:rsid w:val="00AF53B4"/>
    <w:rsid w:val="00AF7030"/>
    <w:rsid w:val="00B01F0F"/>
    <w:rsid w:val="00B06263"/>
    <w:rsid w:val="00B06CFE"/>
    <w:rsid w:val="00B10189"/>
    <w:rsid w:val="00B11970"/>
    <w:rsid w:val="00B121E6"/>
    <w:rsid w:val="00B139E0"/>
    <w:rsid w:val="00B14A6D"/>
    <w:rsid w:val="00B217EE"/>
    <w:rsid w:val="00B231EF"/>
    <w:rsid w:val="00B24530"/>
    <w:rsid w:val="00B245A2"/>
    <w:rsid w:val="00B2590B"/>
    <w:rsid w:val="00B26124"/>
    <w:rsid w:val="00B31B06"/>
    <w:rsid w:val="00B31D6C"/>
    <w:rsid w:val="00B32948"/>
    <w:rsid w:val="00B3316E"/>
    <w:rsid w:val="00B42C72"/>
    <w:rsid w:val="00B43374"/>
    <w:rsid w:val="00B5184E"/>
    <w:rsid w:val="00B545FC"/>
    <w:rsid w:val="00B54BB0"/>
    <w:rsid w:val="00B554D7"/>
    <w:rsid w:val="00B55B6D"/>
    <w:rsid w:val="00B570D4"/>
    <w:rsid w:val="00B57BFE"/>
    <w:rsid w:val="00B603FA"/>
    <w:rsid w:val="00B63045"/>
    <w:rsid w:val="00B674D3"/>
    <w:rsid w:val="00B73CA7"/>
    <w:rsid w:val="00B73E0C"/>
    <w:rsid w:val="00B74223"/>
    <w:rsid w:val="00B7470A"/>
    <w:rsid w:val="00B75810"/>
    <w:rsid w:val="00B800B7"/>
    <w:rsid w:val="00B804E1"/>
    <w:rsid w:val="00B81CA0"/>
    <w:rsid w:val="00B81E78"/>
    <w:rsid w:val="00B828E6"/>
    <w:rsid w:val="00B83FCC"/>
    <w:rsid w:val="00B84DC8"/>
    <w:rsid w:val="00B854EA"/>
    <w:rsid w:val="00B86393"/>
    <w:rsid w:val="00B875CC"/>
    <w:rsid w:val="00B90EB3"/>
    <w:rsid w:val="00B917AB"/>
    <w:rsid w:val="00B92B08"/>
    <w:rsid w:val="00B958DB"/>
    <w:rsid w:val="00B95949"/>
    <w:rsid w:val="00BA06FF"/>
    <w:rsid w:val="00BA449A"/>
    <w:rsid w:val="00BA6A78"/>
    <w:rsid w:val="00BA76B0"/>
    <w:rsid w:val="00BA7B83"/>
    <w:rsid w:val="00BB1346"/>
    <w:rsid w:val="00BB22B0"/>
    <w:rsid w:val="00BB2FF5"/>
    <w:rsid w:val="00BB443B"/>
    <w:rsid w:val="00BB70F2"/>
    <w:rsid w:val="00BC19B9"/>
    <w:rsid w:val="00BC1B88"/>
    <w:rsid w:val="00BC45BC"/>
    <w:rsid w:val="00BC4742"/>
    <w:rsid w:val="00BC62E3"/>
    <w:rsid w:val="00BC6862"/>
    <w:rsid w:val="00BC6CAE"/>
    <w:rsid w:val="00BD0C26"/>
    <w:rsid w:val="00BD485A"/>
    <w:rsid w:val="00BD4F2F"/>
    <w:rsid w:val="00BD55FF"/>
    <w:rsid w:val="00BD6B48"/>
    <w:rsid w:val="00BD7B3D"/>
    <w:rsid w:val="00BE17CC"/>
    <w:rsid w:val="00BE1A87"/>
    <w:rsid w:val="00BE36F2"/>
    <w:rsid w:val="00BF300D"/>
    <w:rsid w:val="00BF4B81"/>
    <w:rsid w:val="00BF57B3"/>
    <w:rsid w:val="00C01918"/>
    <w:rsid w:val="00C02ED5"/>
    <w:rsid w:val="00C05680"/>
    <w:rsid w:val="00C05A18"/>
    <w:rsid w:val="00C06D96"/>
    <w:rsid w:val="00C07366"/>
    <w:rsid w:val="00C10A1F"/>
    <w:rsid w:val="00C16C54"/>
    <w:rsid w:val="00C17136"/>
    <w:rsid w:val="00C17F25"/>
    <w:rsid w:val="00C209BC"/>
    <w:rsid w:val="00C223B7"/>
    <w:rsid w:val="00C2455A"/>
    <w:rsid w:val="00C3056E"/>
    <w:rsid w:val="00C30C92"/>
    <w:rsid w:val="00C34622"/>
    <w:rsid w:val="00C349F9"/>
    <w:rsid w:val="00C34D22"/>
    <w:rsid w:val="00C35139"/>
    <w:rsid w:val="00C37527"/>
    <w:rsid w:val="00C42BA0"/>
    <w:rsid w:val="00C43050"/>
    <w:rsid w:val="00C430F5"/>
    <w:rsid w:val="00C44811"/>
    <w:rsid w:val="00C44BA2"/>
    <w:rsid w:val="00C4559D"/>
    <w:rsid w:val="00C457EB"/>
    <w:rsid w:val="00C45C2C"/>
    <w:rsid w:val="00C46DCC"/>
    <w:rsid w:val="00C47438"/>
    <w:rsid w:val="00C50947"/>
    <w:rsid w:val="00C50DB8"/>
    <w:rsid w:val="00C525E8"/>
    <w:rsid w:val="00C558BD"/>
    <w:rsid w:val="00C55AA0"/>
    <w:rsid w:val="00C56D36"/>
    <w:rsid w:val="00C570A2"/>
    <w:rsid w:val="00C605CA"/>
    <w:rsid w:val="00C61BCD"/>
    <w:rsid w:val="00C63065"/>
    <w:rsid w:val="00C6546E"/>
    <w:rsid w:val="00C66F0B"/>
    <w:rsid w:val="00C67642"/>
    <w:rsid w:val="00C70B5B"/>
    <w:rsid w:val="00C71F3C"/>
    <w:rsid w:val="00C7573D"/>
    <w:rsid w:val="00C75B4A"/>
    <w:rsid w:val="00C76400"/>
    <w:rsid w:val="00C77A64"/>
    <w:rsid w:val="00C77D06"/>
    <w:rsid w:val="00C82340"/>
    <w:rsid w:val="00C824DE"/>
    <w:rsid w:val="00C82715"/>
    <w:rsid w:val="00C82E38"/>
    <w:rsid w:val="00C83FC7"/>
    <w:rsid w:val="00C84051"/>
    <w:rsid w:val="00C867D7"/>
    <w:rsid w:val="00C86D17"/>
    <w:rsid w:val="00C87A61"/>
    <w:rsid w:val="00C87B34"/>
    <w:rsid w:val="00C87B4E"/>
    <w:rsid w:val="00C90A63"/>
    <w:rsid w:val="00C93A79"/>
    <w:rsid w:val="00C9615E"/>
    <w:rsid w:val="00CA05D8"/>
    <w:rsid w:val="00CA0B3D"/>
    <w:rsid w:val="00CA0D12"/>
    <w:rsid w:val="00CA1C08"/>
    <w:rsid w:val="00CA2347"/>
    <w:rsid w:val="00CA2F6A"/>
    <w:rsid w:val="00CA440F"/>
    <w:rsid w:val="00CA4EBB"/>
    <w:rsid w:val="00CA546B"/>
    <w:rsid w:val="00CA73D6"/>
    <w:rsid w:val="00CB05C9"/>
    <w:rsid w:val="00CB05ED"/>
    <w:rsid w:val="00CB0859"/>
    <w:rsid w:val="00CB1AE9"/>
    <w:rsid w:val="00CB334B"/>
    <w:rsid w:val="00CB7436"/>
    <w:rsid w:val="00CB7619"/>
    <w:rsid w:val="00CC13A0"/>
    <w:rsid w:val="00CC4285"/>
    <w:rsid w:val="00CC4980"/>
    <w:rsid w:val="00CC4C82"/>
    <w:rsid w:val="00CC5641"/>
    <w:rsid w:val="00CD1F3D"/>
    <w:rsid w:val="00CD753F"/>
    <w:rsid w:val="00CE06CF"/>
    <w:rsid w:val="00CE1B8F"/>
    <w:rsid w:val="00CE3C38"/>
    <w:rsid w:val="00CE3D17"/>
    <w:rsid w:val="00CE3E33"/>
    <w:rsid w:val="00CE4F34"/>
    <w:rsid w:val="00CE6A9D"/>
    <w:rsid w:val="00CE759F"/>
    <w:rsid w:val="00CF3D83"/>
    <w:rsid w:val="00CF48DA"/>
    <w:rsid w:val="00D03555"/>
    <w:rsid w:val="00D039E8"/>
    <w:rsid w:val="00D04A6F"/>
    <w:rsid w:val="00D0503F"/>
    <w:rsid w:val="00D056C2"/>
    <w:rsid w:val="00D0595E"/>
    <w:rsid w:val="00D065E2"/>
    <w:rsid w:val="00D0772C"/>
    <w:rsid w:val="00D0782B"/>
    <w:rsid w:val="00D101F8"/>
    <w:rsid w:val="00D1074D"/>
    <w:rsid w:val="00D12399"/>
    <w:rsid w:val="00D13345"/>
    <w:rsid w:val="00D13929"/>
    <w:rsid w:val="00D162D2"/>
    <w:rsid w:val="00D178F5"/>
    <w:rsid w:val="00D2041F"/>
    <w:rsid w:val="00D20673"/>
    <w:rsid w:val="00D20766"/>
    <w:rsid w:val="00D21D73"/>
    <w:rsid w:val="00D23759"/>
    <w:rsid w:val="00D2390F"/>
    <w:rsid w:val="00D244B9"/>
    <w:rsid w:val="00D245AB"/>
    <w:rsid w:val="00D261A5"/>
    <w:rsid w:val="00D279E8"/>
    <w:rsid w:val="00D31866"/>
    <w:rsid w:val="00D31A5B"/>
    <w:rsid w:val="00D31F0E"/>
    <w:rsid w:val="00D3271E"/>
    <w:rsid w:val="00D37BA5"/>
    <w:rsid w:val="00D410EC"/>
    <w:rsid w:val="00D41905"/>
    <w:rsid w:val="00D41D2C"/>
    <w:rsid w:val="00D436CA"/>
    <w:rsid w:val="00D43A58"/>
    <w:rsid w:val="00D43AB5"/>
    <w:rsid w:val="00D44CAC"/>
    <w:rsid w:val="00D45389"/>
    <w:rsid w:val="00D46566"/>
    <w:rsid w:val="00D50B0A"/>
    <w:rsid w:val="00D523B7"/>
    <w:rsid w:val="00D54D96"/>
    <w:rsid w:val="00D552FE"/>
    <w:rsid w:val="00D55AD1"/>
    <w:rsid w:val="00D56B4E"/>
    <w:rsid w:val="00D57EC4"/>
    <w:rsid w:val="00D602CC"/>
    <w:rsid w:val="00D609C5"/>
    <w:rsid w:val="00D626D1"/>
    <w:rsid w:val="00D628CC"/>
    <w:rsid w:val="00D66235"/>
    <w:rsid w:val="00D727EE"/>
    <w:rsid w:val="00D74536"/>
    <w:rsid w:val="00D75EE5"/>
    <w:rsid w:val="00D762C8"/>
    <w:rsid w:val="00D76C34"/>
    <w:rsid w:val="00D80429"/>
    <w:rsid w:val="00D816A5"/>
    <w:rsid w:val="00D8190A"/>
    <w:rsid w:val="00D8278F"/>
    <w:rsid w:val="00D86436"/>
    <w:rsid w:val="00D90418"/>
    <w:rsid w:val="00D90C20"/>
    <w:rsid w:val="00D915D7"/>
    <w:rsid w:val="00D926D0"/>
    <w:rsid w:val="00D93769"/>
    <w:rsid w:val="00D939B5"/>
    <w:rsid w:val="00D963DE"/>
    <w:rsid w:val="00D96C17"/>
    <w:rsid w:val="00D970AF"/>
    <w:rsid w:val="00DA27FA"/>
    <w:rsid w:val="00DA5E10"/>
    <w:rsid w:val="00DA711D"/>
    <w:rsid w:val="00DA7F60"/>
    <w:rsid w:val="00DB0108"/>
    <w:rsid w:val="00DB037E"/>
    <w:rsid w:val="00DB268B"/>
    <w:rsid w:val="00DB3411"/>
    <w:rsid w:val="00DB506E"/>
    <w:rsid w:val="00DB5E57"/>
    <w:rsid w:val="00DB7A41"/>
    <w:rsid w:val="00DC01F1"/>
    <w:rsid w:val="00DC0EC6"/>
    <w:rsid w:val="00DC2C8F"/>
    <w:rsid w:val="00DC2D07"/>
    <w:rsid w:val="00DC4622"/>
    <w:rsid w:val="00DC4E8A"/>
    <w:rsid w:val="00DC58B1"/>
    <w:rsid w:val="00DC5FF4"/>
    <w:rsid w:val="00DD01F3"/>
    <w:rsid w:val="00DD2327"/>
    <w:rsid w:val="00DD23DF"/>
    <w:rsid w:val="00DD501A"/>
    <w:rsid w:val="00DD5CE3"/>
    <w:rsid w:val="00DD675B"/>
    <w:rsid w:val="00DE087D"/>
    <w:rsid w:val="00DE27BD"/>
    <w:rsid w:val="00DE6482"/>
    <w:rsid w:val="00DE6A25"/>
    <w:rsid w:val="00DF0BCA"/>
    <w:rsid w:val="00DF5F13"/>
    <w:rsid w:val="00DF7123"/>
    <w:rsid w:val="00E000F2"/>
    <w:rsid w:val="00E0099C"/>
    <w:rsid w:val="00E01CB3"/>
    <w:rsid w:val="00E03E22"/>
    <w:rsid w:val="00E07B52"/>
    <w:rsid w:val="00E122E3"/>
    <w:rsid w:val="00E13B6A"/>
    <w:rsid w:val="00E14A69"/>
    <w:rsid w:val="00E24688"/>
    <w:rsid w:val="00E251C3"/>
    <w:rsid w:val="00E25329"/>
    <w:rsid w:val="00E260B2"/>
    <w:rsid w:val="00E327C8"/>
    <w:rsid w:val="00E33654"/>
    <w:rsid w:val="00E3474D"/>
    <w:rsid w:val="00E430E1"/>
    <w:rsid w:val="00E46F9F"/>
    <w:rsid w:val="00E50EA7"/>
    <w:rsid w:val="00E50FB4"/>
    <w:rsid w:val="00E525AA"/>
    <w:rsid w:val="00E53670"/>
    <w:rsid w:val="00E55131"/>
    <w:rsid w:val="00E5533D"/>
    <w:rsid w:val="00E5598C"/>
    <w:rsid w:val="00E56BF9"/>
    <w:rsid w:val="00E61B35"/>
    <w:rsid w:val="00E61C19"/>
    <w:rsid w:val="00E64463"/>
    <w:rsid w:val="00E66191"/>
    <w:rsid w:val="00E662A1"/>
    <w:rsid w:val="00E66562"/>
    <w:rsid w:val="00E70A86"/>
    <w:rsid w:val="00E7113D"/>
    <w:rsid w:val="00E72870"/>
    <w:rsid w:val="00E72D1C"/>
    <w:rsid w:val="00E72EF8"/>
    <w:rsid w:val="00E75E48"/>
    <w:rsid w:val="00E775DF"/>
    <w:rsid w:val="00E801D8"/>
    <w:rsid w:val="00E80859"/>
    <w:rsid w:val="00E821BF"/>
    <w:rsid w:val="00E84C50"/>
    <w:rsid w:val="00E84FF0"/>
    <w:rsid w:val="00E85653"/>
    <w:rsid w:val="00E90CD6"/>
    <w:rsid w:val="00E90E89"/>
    <w:rsid w:val="00E9392F"/>
    <w:rsid w:val="00E93C20"/>
    <w:rsid w:val="00E94339"/>
    <w:rsid w:val="00E94EB3"/>
    <w:rsid w:val="00E95D91"/>
    <w:rsid w:val="00E95F86"/>
    <w:rsid w:val="00E960CF"/>
    <w:rsid w:val="00E9617F"/>
    <w:rsid w:val="00E963BA"/>
    <w:rsid w:val="00E96D01"/>
    <w:rsid w:val="00EA0E98"/>
    <w:rsid w:val="00EA1ACB"/>
    <w:rsid w:val="00EA1FE1"/>
    <w:rsid w:val="00EA282E"/>
    <w:rsid w:val="00EA3174"/>
    <w:rsid w:val="00EA3B75"/>
    <w:rsid w:val="00EA4847"/>
    <w:rsid w:val="00EA5762"/>
    <w:rsid w:val="00EB1959"/>
    <w:rsid w:val="00EB1BDE"/>
    <w:rsid w:val="00EB2F19"/>
    <w:rsid w:val="00EB4707"/>
    <w:rsid w:val="00EB4F91"/>
    <w:rsid w:val="00EB6DF4"/>
    <w:rsid w:val="00EC04BE"/>
    <w:rsid w:val="00EC0518"/>
    <w:rsid w:val="00EC08B8"/>
    <w:rsid w:val="00EC0C35"/>
    <w:rsid w:val="00EC23E6"/>
    <w:rsid w:val="00EC3441"/>
    <w:rsid w:val="00EC4BF6"/>
    <w:rsid w:val="00ED03A6"/>
    <w:rsid w:val="00ED1093"/>
    <w:rsid w:val="00ED4698"/>
    <w:rsid w:val="00EE2067"/>
    <w:rsid w:val="00EE22B0"/>
    <w:rsid w:val="00EE3CAB"/>
    <w:rsid w:val="00EE5287"/>
    <w:rsid w:val="00EE52C8"/>
    <w:rsid w:val="00EE57B4"/>
    <w:rsid w:val="00EE7FB8"/>
    <w:rsid w:val="00EF06DD"/>
    <w:rsid w:val="00EF0733"/>
    <w:rsid w:val="00EF1424"/>
    <w:rsid w:val="00EF5320"/>
    <w:rsid w:val="00EF5BCA"/>
    <w:rsid w:val="00EF6749"/>
    <w:rsid w:val="00EF693C"/>
    <w:rsid w:val="00EF7621"/>
    <w:rsid w:val="00F00A08"/>
    <w:rsid w:val="00F057FB"/>
    <w:rsid w:val="00F05812"/>
    <w:rsid w:val="00F107C6"/>
    <w:rsid w:val="00F11F04"/>
    <w:rsid w:val="00F13D41"/>
    <w:rsid w:val="00F13DB7"/>
    <w:rsid w:val="00F15B16"/>
    <w:rsid w:val="00F15C08"/>
    <w:rsid w:val="00F16CE1"/>
    <w:rsid w:val="00F17A82"/>
    <w:rsid w:val="00F22FFD"/>
    <w:rsid w:val="00F25609"/>
    <w:rsid w:val="00F265C9"/>
    <w:rsid w:val="00F26DF3"/>
    <w:rsid w:val="00F27518"/>
    <w:rsid w:val="00F27DEE"/>
    <w:rsid w:val="00F3091E"/>
    <w:rsid w:val="00F31468"/>
    <w:rsid w:val="00F32819"/>
    <w:rsid w:val="00F34ADD"/>
    <w:rsid w:val="00F35090"/>
    <w:rsid w:val="00F358EA"/>
    <w:rsid w:val="00F35B62"/>
    <w:rsid w:val="00F36BFC"/>
    <w:rsid w:val="00F37AAF"/>
    <w:rsid w:val="00F44180"/>
    <w:rsid w:val="00F456DC"/>
    <w:rsid w:val="00F465DC"/>
    <w:rsid w:val="00F47D20"/>
    <w:rsid w:val="00F50BB0"/>
    <w:rsid w:val="00F51B06"/>
    <w:rsid w:val="00F537D1"/>
    <w:rsid w:val="00F53DE1"/>
    <w:rsid w:val="00F54994"/>
    <w:rsid w:val="00F57697"/>
    <w:rsid w:val="00F60D75"/>
    <w:rsid w:val="00F61A93"/>
    <w:rsid w:val="00F649DE"/>
    <w:rsid w:val="00F65397"/>
    <w:rsid w:val="00F66B71"/>
    <w:rsid w:val="00F74532"/>
    <w:rsid w:val="00F746B3"/>
    <w:rsid w:val="00F74BA1"/>
    <w:rsid w:val="00F74E20"/>
    <w:rsid w:val="00F7595D"/>
    <w:rsid w:val="00F764DC"/>
    <w:rsid w:val="00F76AC7"/>
    <w:rsid w:val="00F775C1"/>
    <w:rsid w:val="00F77FE5"/>
    <w:rsid w:val="00F8067A"/>
    <w:rsid w:val="00F838A3"/>
    <w:rsid w:val="00F847AD"/>
    <w:rsid w:val="00F857B5"/>
    <w:rsid w:val="00F8756D"/>
    <w:rsid w:val="00F90026"/>
    <w:rsid w:val="00F904CC"/>
    <w:rsid w:val="00F91721"/>
    <w:rsid w:val="00F924CC"/>
    <w:rsid w:val="00F94A0E"/>
    <w:rsid w:val="00F94BBB"/>
    <w:rsid w:val="00F95C43"/>
    <w:rsid w:val="00F97024"/>
    <w:rsid w:val="00FA0282"/>
    <w:rsid w:val="00FA0343"/>
    <w:rsid w:val="00FA1664"/>
    <w:rsid w:val="00FA3FE2"/>
    <w:rsid w:val="00FB035A"/>
    <w:rsid w:val="00FB0EDB"/>
    <w:rsid w:val="00FB255B"/>
    <w:rsid w:val="00FB26FC"/>
    <w:rsid w:val="00FB33FA"/>
    <w:rsid w:val="00FB49CB"/>
    <w:rsid w:val="00FB5CFF"/>
    <w:rsid w:val="00FB605B"/>
    <w:rsid w:val="00FB6BDC"/>
    <w:rsid w:val="00FB74EC"/>
    <w:rsid w:val="00FC1FCD"/>
    <w:rsid w:val="00FC20ED"/>
    <w:rsid w:val="00FC40CC"/>
    <w:rsid w:val="00FC5D9B"/>
    <w:rsid w:val="00FC5FA2"/>
    <w:rsid w:val="00FC747E"/>
    <w:rsid w:val="00FC7DDA"/>
    <w:rsid w:val="00FD1685"/>
    <w:rsid w:val="00FD17F8"/>
    <w:rsid w:val="00FD1B37"/>
    <w:rsid w:val="00FD1E95"/>
    <w:rsid w:val="00FD5A48"/>
    <w:rsid w:val="00FD7C4B"/>
    <w:rsid w:val="00FE099C"/>
    <w:rsid w:val="00FE120E"/>
    <w:rsid w:val="00FE2223"/>
    <w:rsid w:val="00FF0FCD"/>
    <w:rsid w:val="00FF1221"/>
    <w:rsid w:val="00FF2732"/>
    <w:rsid w:val="00FF2E03"/>
    <w:rsid w:val="00FF3DCE"/>
    <w:rsid w:val="00FF48A7"/>
    <w:rsid w:val="00FF4A29"/>
    <w:rsid w:val="00FF4DAA"/>
    <w:rsid w:val="00FF4E26"/>
    <w:rsid w:val="00FF7F34"/>
    <w:rsid w:val="00FF7F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5A221B"/>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 w:type="character" w:styleId="Emphasis">
    <w:name w:val="Emphasis"/>
    <w:uiPriority w:val="20"/>
    <w:qFormat/>
    <w:rsid w:val="00733E8D"/>
    <w:rPr>
      <w:i/>
      <w:iCs/>
    </w:rPr>
  </w:style>
  <w:style w:type="character" w:customStyle="1" w:styleId="st1">
    <w:name w:val="st1"/>
    <w:basedOn w:val="DefaultParagraphFont"/>
    <w:rsid w:val="00733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DC0EC6"/>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4241EB"/>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4241EB"/>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047769"/>
    <w:pPr>
      <w:spacing w:after="0"/>
      <w:ind w:left="0"/>
      <w:jc w:val="left"/>
    </w:pPr>
    <w:rPr>
      <w:rFonts w:ascii="Arial Gras" w:hAnsi="Arial Gras"/>
      <w:b/>
      <w:bCs/>
    </w:rPr>
  </w:style>
  <w:style w:type="paragraph" w:styleId="TOC2">
    <w:name w:val="toc 2"/>
    <w:basedOn w:val="Texte1"/>
    <w:next w:val="Normal"/>
    <w:uiPriority w:val="39"/>
    <w:rsid w:val="00047769"/>
    <w:pPr>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EA4847"/>
    <w:rPr>
      <w:rFonts w:ascii="Arial" w:hAnsi="Arial" w:cs="Arial"/>
      <w:snapToGrid w:val="0"/>
      <w:sz w:val="16"/>
      <w:szCs w:val="16"/>
      <w:lang w:eastAsia="zh-CN"/>
    </w:rPr>
  </w:style>
  <w:style w:type="paragraph" w:styleId="FootnoteText">
    <w:name w:val="footnote text"/>
    <w:basedOn w:val="Normal"/>
    <w:link w:val="FootnoteTextChar"/>
    <w:rsid w:val="00EA4847"/>
    <w:pPr>
      <w:tabs>
        <w:tab w:val="clear" w:pos="567"/>
        <w:tab w:val="left" w:pos="340"/>
      </w:tabs>
      <w:spacing w:after="60" w:line="180" w:lineRule="exact"/>
      <w:ind w:left="340" w:hanging="340"/>
    </w:pPr>
    <w:rPr>
      <w:snapToGrid w:val="0"/>
      <w:sz w:val="16"/>
      <w:szCs w:val="16"/>
    </w:rPr>
  </w:style>
  <w:style w:type="paragraph" w:customStyle="1" w:styleId="citation">
    <w:name w:val="citation"/>
    <w:basedOn w:val="Texte1"/>
    <w:rsid w:val="005D35D9"/>
    <w:pPr>
      <w:ind w:left="1134" w:right="284"/>
    </w:pPr>
  </w:style>
  <w:style w:type="paragraph" w:customStyle="1" w:styleId="Texte1">
    <w:name w:val="Texte1"/>
    <w:basedOn w:val="Normal"/>
    <w:link w:val="Texte1Car"/>
    <w:rsid w:val="00B01F0F"/>
    <w:pPr>
      <w:tabs>
        <w:tab w:val="clear" w:pos="567"/>
      </w:tabs>
      <w:spacing w:after="60"/>
    </w:pPr>
    <w:rPr>
      <w:lang w:val="en-GB"/>
    </w:rPr>
  </w:style>
  <w:style w:type="character" w:customStyle="1" w:styleId="Texte1Car">
    <w:name w:val="Texte1 Car"/>
    <w:link w:val="Texte1"/>
    <w:rsid w:val="00B01F0F"/>
    <w:rPr>
      <w:rFonts w:ascii="Arial" w:hAnsi="Arial" w:cs="Arial"/>
      <w:lang w:val="en-GB" w:eastAsia="zh-CN"/>
    </w:rPr>
  </w:style>
  <w:style w:type="character" w:customStyle="1" w:styleId="HeaderChar">
    <w:name w:val="Header Char"/>
    <w:link w:val="Header"/>
    <w:locked/>
    <w:rsid w:val="00E14A69"/>
    <w:rPr>
      <w:rFonts w:ascii="Arial" w:hAnsi="Arial" w:cs="Arial"/>
      <w:snapToGrid w:val="0"/>
      <w:sz w:val="16"/>
      <w:lang w:val="en-US" w:eastAsia="zh-CN"/>
    </w:rPr>
  </w:style>
  <w:style w:type="paragraph" w:styleId="Header">
    <w:name w:val="header"/>
    <w:basedOn w:val="Normal"/>
    <w:link w:val="HeaderChar"/>
    <w:rsid w:val="00E14A69"/>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F22FFD"/>
    <w:rPr>
      <w:rFonts w:ascii="Arial" w:eastAsia="SimSun" w:hAnsi="Arial" w:cs="Arial"/>
      <w:snapToGrid w:val="0"/>
      <w:sz w:val="16"/>
      <w:szCs w:val="18"/>
      <w:lang w:eastAsia="zh-CN"/>
    </w:rPr>
  </w:style>
  <w:style w:type="paragraph" w:styleId="Footer">
    <w:name w:val="footer"/>
    <w:basedOn w:val="Normal"/>
    <w:link w:val="FooterChar"/>
    <w:rsid w:val="00F22FFD"/>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F36F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F36F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7603C9"/>
    <w:rPr>
      <w:rFonts w:ascii="Arial" w:hAnsi="Arial" w:cs="Arial"/>
      <w:b/>
      <w:bCs/>
      <w:lang w:val="en-GB" w:eastAsia="zh-CN"/>
    </w:rPr>
  </w:style>
  <w:style w:type="paragraph" w:customStyle="1" w:styleId="Soustitre">
    <w:name w:val="Soustitre"/>
    <w:basedOn w:val="Texte1"/>
    <w:link w:val="SoustitreCar"/>
    <w:autoRedefine/>
    <w:rsid w:val="007603C9"/>
    <w:pPr>
      <w:keepNext/>
      <w:widowControl w:val="0"/>
      <w:spacing w:before="120" w:after="80"/>
      <w:jc w:val="left"/>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FF3DCE"/>
    <w:pPr>
      <w:numPr>
        <w:numId w:val="347"/>
      </w:numPr>
      <w:spacing w:after="120"/>
    </w:pPr>
    <w:rPr>
      <w:lang w:val="en-GB"/>
    </w:r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FF3DCE"/>
    <w:rPr>
      <w:rFonts w:ascii="Arial" w:eastAsia="SimSun" w:hAnsi="Arial" w:cs="Arial"/>
      <w:sz w:val="24"/>
      <w:szCs w:val="24"/>
      <w:lang w:val="en-GB" w:eastAsia="zh-CN"/>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ind w:left="1474" w:hanging="340"/>
    </w:pPr>
    <w:rPr>
      <w:szCs w:val="22"/>
    </w:rPr>
  </w:style>
  <w:style w:type="character" w:styleId="PageNumber">
    <w:name w:val="page number"/>
    <w:rsid w:val="00117DDB"/>
    <w:rPr>
      <w:rFonts w:ascii="Arial" w:hAnsi="Arial"/>
      <w:b w:val="0"/>
      <w:i w:val="0"/>
      <w:color w:val="auto"/>
      <w:sz w:val="16"/>
    </w:rPr>
  </w:style>
  <w:style w:type="paragraph" w:customStyle="1" w:styleId="Revision1">
    <w:name w:val="Revision1"/>
    <w:hidden/>
    <w:semiHidden/>
    <w:rsid w:val="002B6A2C"/>
    <w:rPr>
      <w:rFonts w:ascii="Arial" w:hAnsi="Arial" w:cs="Arial"/>
      <w:snapToGrid w:val="0"/>
      <w:sz w:val="22"/>
      <w:szCs w:val="24"/>
      <w:lang w:val="en-US" w:eastAsia="zh-CN"/>
    </w:rPr>
  </w:style>
  <w:style w:type="paragraph" w:styleId="Revision">
    <w:name w:val="Revision"/>
    <w:hidden/>
    <w:rsid w:val="002B6A2C"/>
    <w:rPr>
      <w:rFonts w:ascii="Arial"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rsid w:val="0056621E"/>
    <w:pPr>
      <w:numPr>
        <w:numId w:val="6"/>
      </w:numPr>
      <w:ind w:left="851" w:hanging="284"/>
    </w:pPr>
  </w:style>
  <w:style w:type="paragraph" w:customStyle="1" w:styleId="Titcoul">
    <w:name w:val="Titcoul"/>
    <w:basedOn w:val="Title"/>
    <w:link w:val="TitcoulCar"/>
    <w:rsid w:val="008F36F5"/>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8F36F5"/>
    <w:rPr>
      <w:rFonts w:ascii="Arial" w:hAnsi="Arial"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uiPriority w:val="99"/>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uiPriority w:val="99"/>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1F40DE"/>
    <w:pPr>
      <w:numPr>
        <w:numId w:val="0"/>
      </w:numPr>
      <w:spacing w:before="480" w:after="0" w:line="320" w:lineRule="exact"/>
      <w:ind w:left="567"/>
    </w:pPr>
    <w:rPr>
      <w:i/>
      <w:iCs/>
      <w:color w:val="3366FF"/>
    </w:rPr>
  </w:style>
  <w:style w:type="character" w:customStyle="1" w:styleId="ChapinfoCar">
    <w:name w:val="Chapinfo Car"/>
    <w:link w:val="Chapinfo"/>
    <w:rsid w:val="001F40DE"/>
    <w:rPr>
      <w:rFonts w:ascii="Arial" w:eastAsia="SimSun" w:hAnsi="Arial" w:cs="Arial"/>
      <w:i/>
      <w:iCs/>
      <w:color w:val="3366FF"/>
      <w:sz w:val="24"/>
      <w:szCs w:val="24"/>
      <w:lang w:eastAsia="zh-CN"/>
    </w:rPr>
  </w:style>
  <w:style w:type="paragraph" w:customStyle="1" w:styleId="Chapitre">
    <w:name w:val="Chapitre"/>
    <w:basedOn w:val="Title"/>
    <w:link w:val="ChapitreCar"/>
    <w:rsid w:val="008F36F5"/>
    <w:pPr>
      <w:pBdr>
        <w:bottom w:val="single" w:sz="4" w:space="14" w:color="3366FF"/>
      </w:pBdr>
      <w:spacing w:before="0" w:after="240"/>
    </w:pPr>
    <w:rPr>
      <w:bCs/>
      <w:color w:val="3366FF"/>
      <w:lang w:val="en-GB"/>
    </w:rPr>
  </w:style>
  <w:style w:type="paragraph" w:customStyle="1" w:styleId="Sschap">
    <w:name w:val="Sschap"/>
    <w:basedOn w:val="Txtgras"/>
    <w:autoRedefine/>
    <w:rsid w:val="005A221B"/>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Textegras">
    <w:name w:val="Textegras"/>
    <w:basedOn w:val="Texte1"/>
    <w:link w:val="TextegrasCar"/>
    <w:autoRedefine/>
    <w:rsid w:val="00CE4F34"/>
    <w:pPr>
      <w:keepNext/>
      <w:spacing w:before="120"/>
      <w:ind w:left="284" w:hanging="284"/>
    </w:pPr>
    <w:rPr>
      <w:b/>
    </w:rPr>
  </w:style>
  <w:style w:type="character" w:customStyle="1" w:styleId="TextegrasCar">
    <w:name w:val="Textegras Car"/>
    <w:basedOn w:val="Texte1Car"/>
    <w:link w:val="Textegras"/>
    <w:rsid w:val="00CE4F34"/>
    <w:rPr>
      <w:rFonts w:ascii="Arial" w:eastAsia="SimSun" w:hAnsi="Arial" w:cs="Arial"/>
      <w:b/>
      <w:lang w:val="en-GB" w:eastAsia="zh-CN"/>
    </w:rPr>
  </w:style>
  <w:style w:type="character" w:styleId="FollowedHyperlink">
    <w:name w:val="FollowedHyperlink"/>
    <w:basedOn w:val="DefaultParagraphFont"/>
    <w:rsid w:val="003A75C8"/>
    <w:rPr>
      <w:color w:val="800080" w:themeColor="followedHyperlink"/>
      <w:u w:val="single"/>
    </w:rPr>
  </w:style>
  <w:style w:type="paragraph" w:styleId="ListParagraph">
    <w:name w:val="List Paragraph"/>
    <w:basedOn w:val="Normal"/>
    <w:uiPriority w:val="34"/>
    <w:qFormat/>
    <w:rsid w:val="00F60D75"/>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character" w:customStyle="1" w:styleId="ChapitreCar">
    <w:name w:val="Chapitre Car"/>
    <w:link w:val="Chapitre"/>
    <w:rsid w:val="008F36F5"/>
    <w:rPr>
      <w:rFonts w:ascii="Arial" w:eastAsia="Times New Roman" w:hAnsi="Arial" w:cs="Arial"/>
      <w:b/>
      <w:bCs/>
      <w:caps/>
      <w:snapToGrid w:val="0"/>
      <w:color w:val="3366FF"/>
      <w:sz w:val="70"/>
      <w:szCs w:val="70"/>
      <w:lang w:val="en-GB" w:eastAsia="zh-CN"/>
    </w:rPr>
  </w:style>
  <w:style w:type="paragraph" w:customStyle="1" w:styleId="HO1">
    <w:name w:val="HO1"/>
    <w:basedOn w:val="Titcoul"/>
    <w:link w:val="HO1Car"/>
    <w:rsid w:val="00544FDE"/>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544FDE"/>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544FDE"/>
    <w:pPr>
      <w:spacing w:before="0" w:after="480"/>
    </w:pPr>
    <w:rPr>
      <w:caps/>
    </w:rPr>
  </w:style>
  <w:style w:type="character" w:customStyle="1" w:styleId="HO2Car">
    <w:name w:val="HO2 Car"/>
    <w:basedOn w:val="HO1Car"/>
    <w:link w:val="HO2"/>
    <w:rsid w:val="00544FDE"/>
    <w:rPr>
      <w:rFonts w:ascii="Arial" w:eastAsia="Times New Roman" w:hAnsi="Arial" w:cs="Arial"/>
      <w:b/>
      <w:bCs/>
      <w:caps/>
      <w:noProof/>
      <w:snapToGrid w:val="0"/>
      <w:color w:val="3366FF"/>
      <w:sz w:val="32"/>
      <w:szCs w:val="32"/>
      <w:lang w:val="en-US" w:eastAsia="zh-CN"/>
    </w:rPr>
  </w:style>
  <w:style w:type="character" w:styleId="Emphasis">
    <w:name w:val="Emphasis"/>
    <w:uiPriority w:val="20"/>
    <w:qFormat/>
    <w:rsid w:val="00733E8D"/>
    <w:rPr>
      <w:i/>
      <w:iCs/>
    </w:rPr>
  </w:style>
  <w:style w:type="character" w:customStyle="1" w:styleId="st1">
    <w:name w:val="st1"/>
    <w:basedOn w:val="DefaultParagraphFont"/>
    <w:rsid w:val="00733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index.php?lg=en&amp;pg=0006" TargetMode="External"/><Relationship Id="rId5" Type="http://schemas.openxmlformats.org/officeDocument/2006/relationships/settings" Target="settings.xml"/><Relationship Id="rId15" Type="http://schemas.openxmlformats.org/officeDocument/2006/relationships/footer" Target="footer1.xml"/><Relationship Id="rId152" Type="http://schemas.microsoft.com/office/2011/relationships/people" Target="people.xml"/><Relationship Id="rId10" Type="http://schemas.openxmlformats.org/officeDocument/2006/relationships/image" Target="media/image2.jpeg"/><Relationship Id="rId19" Type="http://schemas.openxmlformats.org/officeDocument/2006/relationships/fontTable" Target="fontTable.xml"/><Relationship Id="rId15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undesadspd.org/Default.aspx?alias=undesadspd.org/indigenouses" TargetMode="External"/><Relationship Id="rId1" Type="http://schemas.openxmlformats.org/officeDocument/2006/relationships/hyperlink" Target="http://www.aapant.org.au/"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8A36-AF69-47B1-B926-496F2FD2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5020</Words>
  <Characters>28051</Characters>
  <Application>Microsoft Office Word</Application>
  <DocSecurity>0</DocSecurity>
  <Lines>233</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33005</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2015-04-29T10:50:00Z</dcterms:created>
  <dcterms:modified xsi:type="dcterms:W3CDTF">2015-04-30T09:38:00Z</dcterms:modified>
</cp:coreProperties>
</file>