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D2A8C" w14:textId="5011855E" w:rsidR="004D76DA" w:rsidRDefault="00A853D3" w:rsidP="00C70B5B">
      <w:pPr>
        <w:pStyle w:val="Chapitre"/>
        <w:keepNext w:val="0"/>
        <w:widowControl w:val="0"/>
        <w:rPr>
          <w:w w:val="99"/>
        </w:rPr>
      </w:pPr>
      <w:bookmarkStart w:id="0" w:name="_Toc241229729"/>
      <w:bookmarkStart w:id="1" w:name="_Toc241229933"/>
      <w:bookmarkStart w:id="2" w:name="_Toc242165627"/>
      <w:r w:rsidRPr="00787639">
        <w:rPr>
          <w:w w:val="99"/>
        </w:rPr>
        <w:t xml:space="preserve">Unit </w:t>
      </w:r>
      <w:r w:rsidR="00955176" w:rsidRPr="00787639">
        <w:rPr>
          <w:w w:val="99"/>
        </w:rPr>
        <w:t>10</w:t>
      </w:r>
      <w:r w:rsidR="00830A9C" w:rsidRPr="00787639">
        <w:rPr>
          <w:w w:val="99"/>
        </w:rPr>
        <w:tab/>
      </w:r>
    </w:p>
    <w:p w14:paraId="377B2682" w14:textId="77777777" w:rsidR="00D53DDC" w:rsidRPr="00D53DDC" w:rsidRDefault="00D53DDC" w:rsidP="00D53DDC">
      <w:pPr>
        <w:keepNext/>
        <w:keepLines/>
        <w:spacing w:before="480" w:line="480" w:lineRule="exact"/>
        <w:ind w:left="0"/>
        <w:jc w:val="left"/>
        <w:outlineLvl w:val="0"/>
        <w:rPr>
          <w:rFonts w:eastAsia="Times New Roman"/>
          <w:b/>
          <w:bCs/>
          <w:caps/>
          <w:noProof/>
          <w:snapToGrid w:val="0"/>
          <w:color w:val="3366FF"/>
          <w:kern w:val="28"/>
          <w:sz w:val="48"/>
          <w:szCs w:val="48"/>
          <w:lang w:val="en-GB"/>
        </w:rPr>
      </w:pPr>
      <w:bookmarkStart w:id="3" w:name="_Toc241644730"/>
      <w:bookmarkEnd w:id="0"/>
      <w:bookmarkEnd w:id="1"/>
      <w:bookmarkEnd w:id="2"/>
      <w:r w:rsidRPr="00D53DDC">
        <w:rPr>
          <w:rFonts w:eastAsia="Times New Roman"/>
          <w:b/>
          <w:bCs/>
          <w:caps/>
          <w:noProof/>
          <w:snapToGrid w:val="0"/>
          <w:color w:val="3366FF"/>
          <w:kern w:val="28"/>
          <w:sz w:val="48"/>
          <w:szCs w:val="48"/>
          <w:lang w:val="en-GB"/>
        </w:rPr>
        <w:t>Intangible Cultural Heritage policies and institutions</w:t>
      </w:r>
    </w:p>
    <w:bookmarkEnd w:id="3"/>
    <w:p w14:paraId="5A883C38" w14:textId="192AEF5A" w:rsidR="00D53DDC" w:rsidRPr="00D53DDC" w:rsidRDefault="00D53DDC" w:rsidP="00D53DDC">
      <w:pPr>
        <w:keepNext/>
        <w:keepLines/>
        <w:spacing w:before="480" w:after="480" w:line="480" w:lineRule="exact"/>
        <w:ind w:left="0"/>
        <w:jc w:val="left"/>
        <w:outlineLvl w:val="0"/>
        <w:rPr>
          <w:rFonts w:eastAsia="Times New Roman"/>
          <w:b/>
          <w:bCs/>
          <w:caps/>
          <w:noProof/>
          <w:snapToGrid w:val="0"/>
          <w:color w:val="3366FF"/>
          <w:sz w:val="32"/>
          <w:szCs w:val="70"/>
          <w:lang w:val="en-US"/>
        </w:rPr>
      </w:pPr>
      <w:r>
        <w:rPr>
          <w:rFonts w:eastAsia="Times New Roman"/>
          <w:b/>
          <w:bCs/>
          <w:caps/>
          <w:noProof/>
          <w:snapToGrid w:val="0"/>
          <w:color w:val="3366FF"/>
          <w:sz w:val="32"/>
          <w:szCs w:val="70"/>
          <w:lang w:val="en-US"/>
        </w:rPr>
        <w:t>Participant’s text</w:t>
      </w:r>
    </w:p>
    <w:p w14:paraId="7E71FA10" w14:textId="2D0C6D7E" w:rsidR="001D0283" w:rsidRPr="00B43374" w:rsidRDefault="001D0283" w:rsidP="00B521DD">
      <w:pPr>
        <w:pStyle w:val="Sschap"/>
      </w:pPr>
      <w:r w:rsidRPr="00B43374">
        <w:rPr>
          <w:rFonts w:hint="eastAsia"/>
        </w:rPr>
        <w:t>This</w:t>
      </w:r>
      <w:r w:rsidRPr="0071007C">
        <w:t xml:space="preserve"> </w:t>
      </w:r>
      <w:r w:rsidR="00A31F35" w:rsidRPr="00B43374">
        <w:rPr>
          <w:rFonts w:hint="eastAsia"/>
        </w:rPr>
        <w:t>unit</w:t>
      </w:r>
      <w:r w:rsidRPr="0071007C">
        <w:t xml:space="preserve"> </w:t>
      </w:r>
      <w:r w:rsidRPr="00B43374">
        <w:rPr>
          <w:rFonts w:hint="eastAsia"/>
        </w:rPr>
        <w:t>is</w:t>
      </w:r>
      <w:r w:rsidRPr="0071007C">
        <w:t xml:space="preserve"> </w:t>
      </w:r>
      <w:r w:rsidRPr="00B43374">
        <w:rPr>
          <w:rFonts w:hint="eastAsia"/>
        </w:rPr>
        <w:t>about</w:t>
      </w:r>
      <w:r w:rsidRPr="0071007C">
        <w:t xml:space="preserve"> </w:t>
      </w:r>
      <w:r w:rsidRPr="00B43374">
        <w:rPr>
          <w:rFonts w:hint="eastAsia"/>
        </w:rPr>
        <w:t>how</w:t>
      </w:r>
      <w:r w:rsidRPr="0071007C">
        <w:t xml:space="preserve"> </w:t>
      </w:r>
      <w:r w:rsidRPr="00B43374">
        <w:rPr>
          <w:rFonts w:hint="eastAsia"/>
        </w:rPr>
        <w:t>the</w:t>
      </w:r>
      <w:r w:rsidRPr="0071007C">
        <w:t xml:space="preserve"> </w:t>
      </w:r>
      <w:r w:rsidRPr="00B43374">
        <w:rPr>
          <w:rFonts w:hint="eastAsia"/>
        </w:rPr>
        <w:t>Convention</w:t>
      </w:r>
      <w:r w:rsidRPr="0071007C">
        <w:t xml:space="preserve"> </w:t>
      </w:r>
      <w:r w:rsidR="00D602CC">
        <w:rPr>
          <w:lang w:val="en-US" w:eastAsia="en-US"/>
        </w:rPr>
        <w:t>for the Safeguarding of the Intangible Cultural Heritage</w:t>
      </w:r>
      <w:r w:rsidR="00B521DD">
        <w:rPr>
          <w:rStyle w:val="FootnoteReference"/>
          <w:lang w:val="en-US"/>
        </w:rPr>
        <w:footnoteReference w:id="1"/>
      </w:r>
      <w:r w:rsidR="00D602CC" w:rsidRPr="00B43374">
        <w:rPr>
          <w:rFonts w:hint="eastAsia"/>
        </w:rPr>
        <w:t xml:space="preserve"> </w:t>
      </w:r>
      <w:r w:rsidRPr="00B43374">
        <w:rPr>
          <w:rFonts w:hint="eastAsia"/>
        </w:rPr>
        <w:t>and</w:t>
      </w:r>
      <w:r w:rsidRPr="0071007C">
        <w:t xml:space="preserve"> </w:t>
      </w:r>
      <w:r w:rsidRPr="00B43374">
        <w:rPr>
          <w:rFonts w:hint="eastAsia"/>
        </w:rPr>
        <w:t xml:space="preserve">the </w:t>
      </w:r>
      <w:r w:rsidR="00D602CC">
        <w:t>Operational Directives (</w:t>
      </w:r>
      <w:r w:rsidRPr="00B43374">
        <w:rPr>
          <w:rFonts w:hint="eastAsia"/>
        </w:rPr>
        <w:t>ODs</w:t>
      </w:r>
      <w:r w:rsidR="00D602CC">
        <w:t>)</w:t>
      </w:r>
      <w:r w:rsidRPr="0071007C">
        <w:t xml:space="preserve"> </w:t>
      </w:r>
      <w:r w:rsidRPr="00B43374">
        <w:rPr>
          <w:rFonts w:hint="eastAsia"/>
        </w:rPr>
        <w:t>suggest</w:t>
      </w:r>
      <w:r w:rsidRPr="0071007C">
        <w:t xml:space="preserve"> </w:t>
      </w:r>
      <w:r w:rsidRPr="00B43374">
        <w:rPr>
          <w:rFonts w:hint="eastAsia"/>
        </w:rPr>
        <w:t>that</w:t>
      </w:r>
      <w:r w:rsidRPr="0071007C">
        <w:t xml:space="preserve"> </w:t>
      </w:r>
      <w:r w:rsidRPr="00B43374">
        <w:rPr>
          <w:rFonts w:hint="eastAsia"/>
        </w:rPr>
        <w:t>legal,</w:t>
      </w:r>
      <w:r w:rsidRPr="0071007C">
        <w:t xml:space="preserve"> </w:t>
      </w:r>
      <w:r w:rsidRPr="00B43374">
        <w:rPr>
          <w:rFonts w:hint="eastAsia"/>
        </w:rPr>
        <w:t>techni</w:t>
      </w:r>
      <w:r w:rsidRPr="00B73CA7">
        <w:rPr>
          <w:rFonts w:hint="eastAsia"/>
        </w:rPr>
        <w:t>cal,</w:t>
      </w:r>
      <w:r w:rsidRPr="0071007C">
        <w:t xml:space="preserve"> </w:t>
      </w:r>
      <w:r w:rsidRPr="00B43374">
        <w:rPr>
          <w:rFonts w:hint="eastAsia"/>
        </w:rPr>
        <w:t>administrative and</w:t>
      </w:r>
      <w:r w:rsidRPr="0071007C">
        <w:t xml:space="preserve"> </w:t>
      </w:r>
      <w:r w:rsidRPr="00B43374">
        <w:rPr>
          <w:rFonts w:hint="eastAsia"/>
        </w:rPr>
        <w:t>financial</w:t>
      </w:r>
      <w:r w:rsidRPr="0071007C">
        <w:t xml:space="preserve"> </w:t>
      </w:r>
      <w:r w:rsidRPr="00B43374">
        <w:rPr>
          <w:rFonts w:hint="eastAsia"/>
        </w:rPr>
        <w:t>measures</w:t>
      </w:r>
      <w:r w:rsidRPr="0071007C">
        <w:t xml:space="preserve"> </w:t>
      </w:r>
      <w:r w:rsidRPr="00B43374">
        <w:rPr>
          <w:rFonts w:hint="eastAsia"/>
        </w:rPr>
        <w:t>at</w:t>
      </w:r>
      <w:r w:rsidRPr="0071007C">
        <w:t xml:space="preserve"> </w:t>
      </w:r>
      <w:r w:rsidRPr="00B43374">
        <w:rPr>
          <w:rFonts w:hint="eastAsia"/>
        </w:rPr>
        <w:t>the</w:t>
      </w:r>
      <w:r w:rsidRPr="0071007C">
        <w:t xml:space="preserve"> </w:t>
      </w:r>
      <w:r w:rsidRPr="00B43374">
        <w:rPr>
          <w:rFonts w:hint="eastAsia"/>
        </w:rPr>
        <w:t>local,</w:t>
      </w:r>
      <w:r w:rsidRPr="0071007C">
        <w:t xml:space="preserve"> </w:t>
      </w:r>
      <w:r w:rsidRPr="00B43374">
        <w:rPr>
          <w:rFonts w:hint="eastAsia"/>
        </w:rPr>
        <w:t>national</w:t>
      </w:r>
      <w:r w:rsidRPr="0071007C">
        <w:t xml:space="preserve"> </w:t>
      </w:r>
      <w:r w:rsidRPr="00B43374">
        <w:rPr>
          <w:rFonts w:hint="eastAsia"/>
        </w:rPr>
        <w:t>and international</w:t>
      </w:r>
      <w:r w:rsidRPr="0071007C">
        <w:t xml:space="preserve"> </w:t>
      </w:r>
      <w:r w:rsidRPr="00B43374">
        <w:rPr>
          <w:rFonts w:hint="eastAsia"/>
        </w:rPr>
        <w:t>levels</w:t>
      </w:r>
      <w:r w:rsidRPr="0071007C">
        <w:t xml:space="preserve"> </w:t>
      </w:r>
      <w:r w:rsidRPr="00B43374">
        <w:rPr>
          <w:rFonts w:hint="eastAsia"/>
        </w:rPr>
        <w:t>can</w:t>
      </w:r>
      <w:r w:rsidRPr="0071007C">
        <w:t xml:space="preserve"> </w:t>
      </w:r>
      <w:r w:rsidRPr="00B43374">
        <w:rPr>
          <w:rFonts w:hint="eastAsia"/>
        </w:rPr>
        <w:t>help</w:t>
      </w:r>
      <w:r w:rsidRPr="0071007C">
        <w:t xml:space="preserve"> </w:t>
      </w:r>
      <w:r w:rsidRPr="00B43374">
        <w:rPr>
          <w:rFonts w:hint="eastAsia"/>
        </w:rPr>
        <w:t>to</w:t>
      </w:r>
      <w:r w:rsidRPr="0071007C">
        <w:t xml:space="preserve"> </w:t>
      </w:r>
      <w:r w:rsidRPr="00B43374">
        <w:rPr>
          <w:rFonts w:hint="eastAsia"/>
        </w:rPr>
        <w:t>facilitate</w:t>
      </w:r>
      <w:r w:rsidRPr="0071007C">
        <w:t xml:space="preserve"> </w:t>
      </w:r>
      <w:r w:rsidRPr="00B43374">
        <w:rPr>
          <w:rFonts w:hint="eastAsia"/>
        </w:rPr>
        <w:t>the implementation</w:t>
      </w:r>
      <w:r w:rsidRPr="0071007C">
        <w:t xml:space="preserve"> </w:t>
      </w:r>
      <w:r w:rsidRPr="00B43374">
        <w:rPr>
          <w:rFonts w:hint="eastAsia"/>
        </w:rPr>
        <w:t>of</w:t>
      </w:r>
      <w:r w:rsidRPr="0071007C">
        <w:t xml:space="preserve"> </w:t>
      </w:r>
      <w:r w:rsidRPr="00B43374">
        <w:rPr>
          <w:rFonts w:hint="eastAsia"/>
        </w:rPr>
        <w:t>the</w:t>
      </w:r>
      <w:r w:rsidRPr="0071007C">
        <w:t xml:space="preserve"> </w:t>
      </w:r>
      <w:r w:rsidRPr="00B43374">
        <w:rPr>
          <w:rFonts w:hint="eastAsia"/>
        </w:rPr>
        <w:t>Convention</w:t>
      </w:r>
      <w:r w:rsidRPr="0071007C">
        <w:t xml:space="preserve"> </w:t>
      </w:r>
      <w:r w:rsidRPr="00B43374">
        <w:rPr>
          <w:rFonts w:hint="eastAsia"/>
        </w:rPr>
        <w:t>the</w:t>
      </w:r>
      <w:r w:rsidRPr="0071007C">
        <w:t xml:space="preserve"> </w:t>
      </w:r>
      <w:r w:rsidRPr="00B43374">
        <w:rPr>
          <w:rFonts w:hint="eastAsia"/>
        </w:rPr>
        <w:t>national leve</w:t>
      </w:r>
      <w:r w:rsidRPr="0071007C">
        <w:t>l</w:t>
      </w:r>
      <w:r w:rsidRPr="00B43374">
        <w:rPr>
          <w:rFonts w:hint="eastAsia"/>
        </w:rPr>
        <w:t>. The</w:t>
      </w:r>
      <w:r w:rsidRPr="0071007C">
        <w:t xml:space="preserve"> </w:t>
      </w:r>
      <w:r w:rsidRPr="00346CC4">
        <w:rPr>
          <w:rFonts w:hint="eastAsia"/>
        </w:rPr>
        <w:t>topics</w:t>
      </w:r>
      <w:r w:rsidRPr="0071007C">
        <w:t xml:space="preserve"> </w:t>
      </w:r>
      <w:r w:rsidRPr="00346CC4">
        <w:rPr>
          <w:rFonts w:hint="eastAsia"/>
        </w:rPr>
        <w:t>covered</w:t>
      </w:r>
      <w:r w:rsidRPr="0071007C">
        <w:t xml:space="preserve"> </w:t>
      </w:r>
      <w:r w:rsidRPr="00346CC4">
        <w:rPr>
          <w:rFonts w:hint="eastAsia"/>
        </w:rPr>
        <w:t>include:</w:t>
      </w:r>
      <w:r w:rsidR="00346CC4" w:rsidRPr="00346CC4">
        <w:t xml:space="preserve"> </w:t>
      </w:r>
    </w:p>
    <w:p w14:paraId="75933577" w14:textId="581FF786" w:rsidR="001D0283" w:rsidRPr="0071007C" w:rsidRDefault="00830A9C" w:rsidP="0071007C">
      <w:pPr>
        <w:pStyle w:val="Txtchap"/>
      </w:pPr>
      <w:r w:rsidRPr="0071007C">
        <w:t>W</w:t>
      </w:r>
      <w:r w:rsidR="001D0283" w:rsidRPr="0071007C">
        <w:t>hat the Convention recommends</w:t>
      </w:r>
      <w:r w:rsidRPr="0071007C">
        <w:t>.</w:t>
      </w:r>
      <w:r w:rsidR="00346CC4" w:rsidRPr="0071007C">
        <w:rPr>
          <w:lang w:val="fr-FR"/>
        </w:rPr>
        <w:t xml:space="preserve"> </w:t>
      </w:r>
    </w:p>
    <w:p w14:paraId="2B770799" w14:textId="77777777" w:rsidR="001D0283" w:rsidRPr="0071007C" w:rsidRDefault="00830A9C" w:rsidP="0071007C">
      <w:pPr>
        <w:pStyle w:val="Txtchap"/>
      </w:pPr>
      <w:r w:rsidRPr="0071007C">
        <w:t>L</w:t>
      </w:r>
      <w:r w:rsidR="001D0283" w:rsidRPr="0071007C">
        <w:t>ocal policies and measures</w:t>
      </w:r>
      <w:r w:rsidRPr="0071007C">
        <w:t>.</w:t>
      </w:r>
    </w:p>
    <w:p w14:paraId="106B4BAE" w14:textId="77777777" w:rsidR="001D0283" w:rsidRPr="0071007C" w:rsidRDefault="00830A9C" w:rsidP="0071007C">
      <w:pPr>
        <w:pStyle w:val="Txtchap"/>
      </w:pPr>
      <w:r w:rsidRPr="0071007C">
        <w:t>N</w:t>
      </w:r>
      <w:r w:rsidR="001D0283" w:rsidRPr="0071007C">
        <w:t>ational policies and measures</w:t>
      </w:r>
      <w:r w:rsidRPr="0071007C">
        <w:t>.</w:t>
      </w:r>
    </w:p>
    <w:p w14:paraId="7F43168B" w14:textId="77777777" w:rsidR="001D0283" w:rsidRPr="0071007C" w:rsidRDefault="00830A9C" w:rsidP="0071007C">
      <w:pPr>
        <w:pStyle w:val="Txtchap"/>
      </w:pPr>
      <w:r w:rsidRPr="0071007C">
        <w:t>I</w:t>
      </w:r>
      <w:r w:rsidR="001D0283" w:rsidRPr="0071007C">
        <w:t>nstitutional frameworks</w:t>
      </w:r>
      <w:r w:rsidRPr="0071007C">
        <w:t>.</w:t>
      </w:r>
    </w:p>
    <w:p w14:paraId="4BC4C583" w14:textId="77777777" w:rsidR="001D0283" w:rsidRPr="0071007C" w:rsidRDefault="00830A9C" w:rsidP="0071007C">
      <w:pPr>
        <w:pStyle w:val="Txtchap"/>
      </w:pPr>
      <w:r w:rsidRPr="0071007C">
        <w:t>I</w:t>
      </w:r>
      <w:r w:rsidR="001D0283" w:rsidRPr="0071007C">
        <w:t>ntellectual property rights protection at the</w:t>
      </w:r>
      <w:r w:rsidR="000E5B15" w:rsidRPr="0071007C">
        <w:t xml:space="preserve"> </w:t>
      </w:r>
      <w:r w:rsidR="001D0283" w:rsidRPr="0071007C">
        <w:t>national level</w:t>
      </w:r>
      <w:r w:rsidRPr="0071007C">
        <w:t>.</w:t>
      </w:r>
    </w:p>
    <w:p w14:paraId="56DA0589" w14:textId="77777777" w:rsidR="001D0283" w:rsidRPr="0071007C" w:rsidRDefault="00830A9C" w:rsidP="0071007C">
      <w:pPr>
        <w:pStyle w:val="Txtchap"/>
      </w:pPr>
      <w:r w:rsidRPr="0071007C">
        <w:t>T</w:t>
      </w:r>
      <w:r w:rsidR="001D0283" w:rsidRPr="0071007C">
        <w:t>he international context.</w:t>
      </w:r>
    </w:p>
    <w:p w14:paraId="05133589" w14:textId="5F38EFA4" w:rsidR="00830A9C" w:rsidRPr="00787639" w:rsidRDefault="001D0283" w:rsidP="0071007C">
      <w:pPr>
        <w:pStyle w:val="Chapinfo"/>
      </w:pPr>
      <w:r w:rsidRPr="00787639">
        <w:t>Relevant</w:t>
      </w:r>
      <w:r w:rsidRPr="00787639">
        <w:rPr>
          <w:spacing w:val="-3"/>
        </w:rPr>
        <w:t xml:space="preserve"> </w:t>
      </w:r>
      <w:r w:rsidRPr="00787639">
        <w:t>entries</w:t>
      </w:r>
      <w:r w:rsidRPr="00787639">
        <w:rPr>
          <w:spacing w:val="-3"/>
        </w:rPr>
        <w:t xml:space="preserve"> </w:t>
      </w:r>
      <w:r w:rsidRPr="00787639">
        <w:t>in</w:t>
      </w:r>
      <w:r w:rsidRPr="00D44CAC">
        <w:rPr>
          <w:spacing w:val="-3"/>
        </w:rPr>
        <w:t xml:space="preserve"> </w:t>
      </w:r>
      <w:r w:rsidR="00595B57">
        <w:t>Participant’s </w:t>
      </w:r>
      <w:r w:rsidR="00C61BCD" w:rsidRPr="00D90418">
        <w:t>tex</w:t>
      </w:r>
      <w:r w:rsidR="00C61BCD" w:rsidRPr="00787639">
        <w:t>t</w:t>
      </w:r>
      <w:r w:rsidRPr="00787639">
        <w:rPr>
          <w:spacing w:val="-3"/>
        </w:rPr>
        <w:t xml:space="preserve"> </w:t>
      </w:r>
      <w:r w:rsidR="00002A62" w:rsidRPr="00787639">
        <w:t>Unit</w:t>
      </w:r>
      <w:r w:rsidR="00B85260">
        <w:t> </w:t>
      </w:r>
      <w:r w:rsidR="00002A62" w:rsidRPr="00787639">
        <w:t>3</w:t>
      </w:r>
      <w:r w:rsidRPr="00787639">
        <w:rPr>
          <w:spacing w:val="-3"/>
        </w:rPr>
        <w:t xml:space="preserve"> </w:t>
      </w:r>
      <w:r w:rsidRPr="00787639">
        <w:t>include:</w:t>
      </w:r>
      <w:r w:rsidRPr="00787639">
        <w:rPr>
          <w:spacing w:val="-3"/>
        </w:rPr>
        <w:t xml:space="preserve"> </w:t>
      </w:r>
      <w:r w:rsidRPr="00787639">
        <w:t>‘Intellect</w:t>
      </w:r>
      <w:r w:rsidR="00CE3D17" w:rsidRPr="00AD244C">
        <w:rPr>
          <w:noProof/>
          <w:lang w:val="es-ES_tradnl" w:eastAsia="es-ES_tradnl"/>
        </w:rPr>
        <w:drawing>
          <wp:anchor distT="0" distB="0" distL="114300" distR="114300" simplePos="0" relativeHeight="252047872" behindDoc="1" locked="0" layoutInCell="1" allowOverlap="0" wp14:anchorId="57974A17" wp14:editId="77BEF4A3">
            <wp:simplePos x="0" y="0"/>
            <wp:positionH relativeFrom="margin">
              <wp:posOffset>360045</wp:posOffset>
            </wp:positionH>
            <wp:positionV relativeFrom="margin">
              <wp:posOffset>1800225</wp:posOffset>
            </wp:positionV>
            <wp:extent cx="4870411" cy="4498145"/>
            <wp:effectExtent l="0" t="0" r="6985" b="0"/>
            <wp:wrapNone/>
            <wp:docPr id="286" name="Imag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14:sizeRelH relativeFrom="margin">
              <wp14:pctWidth>0</wp14:pctWidth>
            </wp14:sizeRelH>
            <wp14:sizeRelV relativeFrom="margin">
              <wp14:pctHeight>0</wp14:pctHeight>
            </wp14:sizeRelV>
          </wp:anchor>
        </w:drawing>
      </w:r>
      <w:r w:rsidRPr="00787639">
        <w:t>ual</w:t>
      </w:r>
      <w:r w:rsidRPr="00787639">
        <w:rPr>
          <w:spacing w:val="-3"/>
        </w:rPr>
        <w:t xml:space="preserve"> </w:t>
      </w:r>
      <w:r w:rsidRPr="00787639">
        <w:t>property’</w:t>
      </w:r>
      <w:r w:rsidRPr="00787639">
        <w:rPr>
          <w:spacing w:val="-4"/>
        </w:rPr>
        <w:t xml:space="preserve"> </w:t>
      </w:r>
      <w:r w:rsidRPr="00787639">
        <w:t>and ‘International,</w:t>
      </w:r>
      <w:r w:rsidRPr="00D44CAC">
        <w:rPr>
          <w:spacing w:val="22"/>
        </w:rPr>
        <w:t xml:space="preserve"> </w:t>
      </w:r>
      <w:r w:rsidRPr="00D90418">
        <w:t>regional,</w:t>
      </w:r>
      <w:r w:rsidRPr="00787639">
        <w:rPr>
          <w:spacing w:val="22"/>
        </w:rPr>
        <w:t xml:space="preserve"> </w:t>
      </w:r>
      <w:proofErr w:type="spellStart"/>
      <w:r w:rsidRPr="00787639">
        <w:t>subregional</w:t>
      </w:r>
      <w:proofErr w:type="spellEnd"/>
      <w:r w:rsidRPr="00787639">
        <w:t>,</w:t>
      </w:r>
      <w:r w:rsidRPr="00787639">
        <w:rPr>
          <w:spacing w:val="21"/>
        </w:rPr>
        <w:t xml:space="preserve"> </w:t>
      </w:r>
      <w:r w:rsidRPr="00787639">
        <w:t>local’.</w:t>
      </w:r>
      <w:r w:rsidR="00830A9C" w:rsidRPr="00787639">
        <w:tab/>
      </w:r>
    </w:p>
    <w:p w14:paraId="1D6EAE6D" w14:textId="3A633FB9" w:rsidR="00713A17" w:rsidRDefault="001D0283">
      <w:pPr>
        <w:pStyle w:val="Chapinfo"/>
      </w:pPr>
      <w:r w:rsidRPr="00787639">
        <w:t>Examples</w:t>
      </w:r>
      <w:r w:rsidRPr="00787639">
        <w:rPr>
          <w:spacing w:val="-4"/>
        </w:rPr>
        <w:t xml:space="preserve"> </w:t>
      </w:r>
      <w:r w:rsidRPr="00787639">
        <w:t>relevant</w:t>
      </w:r>
      <w:r w:rsidRPr="00787639">
        <w:rPr>
          <w:spacing w:val="-3"/>
        </w:rPr>
        <w:t xml:space="preserve"> </w:t>
      </w:r>
      <w:r w:rsidRPr="00787639">
        <w:t>to</w:t>
      </w:r>
      <w:r w:rsidRPr="00787639">
        <w:rPr>
          <w:spacing w:val="-3"/>
        </w:rPr>
        <w:t xml:space="preserve"> </w:t>
      </w:r>
      <w:r w:rsidRPr="00787639">
        <w:t>this</w:t>
      </w:r>
      <w:r w:rsidRPr="00787639">
        <w:rPr>
          <w:spacing w:val="-3"/>
        </w:rPr>
        <w:t xml:space="preserve"> </w:t>
      </w:r>
      <w:r w:rsidR="00A31F35" w:rsidRPr="00787639">
        <w:t>unit</w:t>
      </w:r>
      <w:r w:rsidRPr="00787639">
        <w:rPr>
          <w:spacing w:val="-3"/>
        </w:rPr>
        <w:t xml:space="preserve"> </w:t>
      </w:r>
      <w:r w:rsidRPr="00787639">
        <w:t>can</w:t>
      </w:r>
      <w:r w:rsidRPr="00787639">
        <w:rPr>
          <w:spacing w:val="-4"/>
        </w:rPr>
        <w:t xml:space="preserve"> </w:t>
      </w:r>
      <w:r w:rsidRPr="00787639">
        <w:t>be</w:t>
      </w:r>
      <w:r w:rsidRPr="00787639">
        <w:rPr>
          <w:spacing w:val="-4"/>
        </w:rPr>
        <w:t xml:space="preserve"> </w:t>
      </w:r>
      <w:r w:rsidRPr="00787639">
        <w:t>found</w:t>
      </w:r>
      <w:r w:rsidRPr="00787639">
        <w:rPr>
          <w:spacing w:val="-4"/>
        </w:rPr>
        <w:t xml:space="preserve"> </w:t>
      </w:r>
      <w:r w:rsidRPr="00787639">
        <w:t>in</w:t>
      </w:r>
      <w:r w:rsidR="00955176" w:rsidRPr="00787639">
        <w:t xml:space="preserve"> </w:t>
      </w:r>
      <w:r w:rsidR="001518B6">
        <w:t>C</w:t>
      </w:r>
      <w:r w:rsidR="001518B6" w:rsidRPr="00787639">
        <w:t>ase</w:t>
      </w:r>
      <w:r w:rsidR="001518B6" w:rsidRPr="00787639">
        <w:rPr>
          <w:spacing w:val="-1"/>
        </w:rPr>
        <w:t xml:space="preserve"> </w:t>
      </w:r>
      <w:r w:rsidRPr="00787639">
        <w:t>studies</w:t>
      </w:r>
      <w:r w:rsidR="00705E57">
        <w:rPr>
          <w:spacing w:val="-2"/>
        </w:rPr>
        <w:t> </w:t>
      </w:r>
      <w:r w:rsidRPr="00787639">
        <w:t>1</w:t>
      </w:r>
      <w:r w:rsidRPr="00787639">
        <w:rPr>
          <w:spacing w:val="-2"/>
        </w:rPr>
        <w:t xml:space="preserve"> </w:t>
      </w:r>
      <w:r w:rsidRPr="00787639">
        <w:t>and</w:t>
      </w:r>
      <w:r w:rsidRPr="00787639">
        <w:rPr>
          <w:spacing w:val="-2"/>
        </w:rPr>
        <w:t xml:space="preserve"> </w:t>
      </w:r>
      <w:r w:rsidRPr="00787639">
        <w:t>28–32.</w:t>
      </w:r>
    </w:p>
    <w:p w14:paraId="08B8F1D5" w14:textId="77777777" w:rsidR="00713A17" w:rsidRDefault="00713A17">
      <w:pPr>
        <w:tabs>
          <w:tab w:val="clear" w:pos="567"/>
        </w:tabs>
        <w:snapToGrid/>
        <w:spacing w:line="240" w:lineRule="auto"/>
        <w:ind w:left="0"/>
        <w:jc w:val="left"/>
        <w:rPr>
          <w:i/>
          <w:iCs/>
          <w:color w:val="3366FF"/>
          <w:sz w:val="24"/>
          <w:szCs w:val="24"/>
          <w:lang w:val="en-GB"/>
        </w:rPr>
      </w:pPr>
      <w:r w:rsidRPr="008C4432">
        <w:rPr>
          <w:lang w:val="en-US"/>
        </w:rPr>
        <w:br w:type="page"/>
      </w:r>
    </w:p>
    <w:p w14:paraId="19629719" w14:textId="4DCFEE3D" w:rsidR="000E5B15" w:rsidRPr="0071007C" w:rsidRDefault="00955176" w:rsidP="00C824DE">
      <w:pPr>
        <w:pStyle w:val="Titcoul"/>
        <w:spacing w:before="0"/>
        <w:rPr>
          <w:i/>
          <w:iCs/>
          <w:spacing w:val="6"/>
          <w:lang w:val="en-GB"/>
        </w:rPr>
      </w:pPr>
      <w:bookmarkStart w:id="4" w:name="_Toc241229730"/>
      <w:bookmarkStart w:id="5" w:name="_Toc241229934"/>
      <w:bookmarkStart w:id="6" w:name="_Toc242165628"/>
      <w:r w:rsidRPr="0071007C">
        <w:rPr>
          <w:lang w:val="en-GB"/>
        </w:rPr>
        <w:lastRenderedPageBreak/>
        <w:t>10</w:t>
      </w:r>
      <w:r w:rsidR="000E5B15" w:rsidRPr="0071007C">
        <w:rPr>
          <w:lang w:val="en-GB"/>
        </w:rPr>
        <w:t>.1</w:t>
      </w:r>
      <w:r w:rsidR="0063095F" w:rsidRPr="0071007C">
        <w:rPr>
          <w:lang w:val="en-GB"/>
        </w:rPr>
        <w:tab/>
      </w:r>
      <w:r w:rsidR="000E5B15" w:rsidRPr="0071007C">
        <w:rPr>
          <w:spacing w:val="3"/>
          <w:lang w:val="en-GB"/>
        </w:rPr>
        <w:t>PR</w:t>
      </w:r>
      <w:r w:rsidR="000E5B15" w:rsidRPr="0071007C">
        <w:rPr>
          <w:spacing w:val="1"/>
          <w:lang w:val="en-GB"/>
        </w:rPr>
        <w:t>O</w:t>
      </w:r>
      <w:r w:rsidR="000E5B15" w:rsidRPr="0071007C">
        <w:rPr>
          <w:spacing w:val="3"/>
          <w:lang w:val="en-GB"/>
        </w:rPr>
        <w:t>VISION</w:t>
      </w:r>
      <w:r w:rsidR="000E5B15" w:rsidRPr="0071007C">
        <w:rPr>
          <w:spacing w:val="1"/>
          <w:lang w:val="en-GB"/>
        </w:rPr>
        <w:t>S</w:t>
      </w:r>
      <w:r w:rsidR="000E5B15" w:rsidRPr="0071007C">
        <w:rPr>
          <w:spacing w:val="6"/>
          <w:lang w:val="en-GB"/>
        </w:rPr>
        <w:t xml:space="preserve"> </w:t>
      </w:r>
      <w:r w:rsidR="000E5B15" w:rsidRPr="0071007C">
        <w:rPr>
          <w:spacing w:val="3"/>
          <w:lang w:val="en-GB"/>
        </w:rPr>
        <w:t>O</w:t>
      </w:r>
      <w:r w:rsidR="000E5B15" w:rsidRPr="0071007C">
        <w:rPr>
          <w:spacing w:val="2"/>
          <w:lang w:val="en-GB"/>
        </w:rPr>
        <w:t>F</w:t>
      </w:r>
      <w:r w:rsidR="000E5B15" w:rsidRPr="0071007C">
        <w:rPr>
          <w:spacing w:val="5"/>
          <w:lang w:val="en-GB"/>
        </w:rPr>
        <w:t xml:space="preserve"> </w:t>
      </w:r>
      <w:r w:rsidR="000E5B15" w:rsidRPr="0071007C">
        <w:rPr>
          <w:lang w:val="en-GB"/>
        </w:rPr>
        <w:t>TH</w:t>
      </w:r>
      <w:r w:rsidR="000E5B15" w:rsidRPr="0071007C">
        <w:rPr>
          <w:spacing w:val="2"/>
          <w:lang w:val="en-GB"/>
        </w:rPr>
        <w:t>E</w:t>
      </w:r>
      <w:r w:rsidR="000E5B15" w:rsidRPr="0071007C">
        <w:rPr>
          <w:spacing w:val="6"/>
          <w:lang w:val="en-GB"/>
        </w:rPr>
        <w:t xml:space="preserve"> </w:t>
      </w:r>
      <w:r w:rsidR="000E5B15" w:rsidRPr="0071007C">
        <w:rPr>
          <w:lang w:val="en-GB"/>
        </w:rPr>
        <w:t>CONVENTION</w:t>
      </w:r>
      <w:bookmarkEnd w:id="4"/>
      <w:bookmarkEnd w:id="5"/>
      <w:bookmarkEnd w:id="6"/>
    </w:p>
    <w:p w14:paraId="764B508D" w14:textId="77777777" w:rsidR="000E5B15" w:rsidRPr="00D90418" w:rsidRDefault="000E5B15" w:rsidP="002D5639">
      <w:pPr>
        <w:pStyle w:val="Texte1"/>
      </w:pPr>
      <w:r w:rsidRPr="00787639">
        <w:t>The Convention and its ODs strongly ad</w:t>
      </w:r>
      <w:r w:rsidRPr="00D44CAC">
        <w:t>vocate that the States Parties try t</w:t>
      </w:r>
      <w:r w:rsidRPr="00D90418">
        <w:t>o:</w:t>
      </w:r>
    </w:p>
    <w:p w14:paraId="425E3373" w14:textId="5FB08BFA" w:rsidR="000E5B15" w:rsidRPr="00787639" w:rsidRDefault="001E0D28" w:rsidP="00AD2211">
      <w:pPr>
        <w:pStyle w:val="Txtpucegras"/>
      </w:pPr>
      <w:r w:rsidRPr="00787639">
        <w:rPr>
          <w:i/>
          <w:iCs/>
        </w:rPr>
        <w:t>A</w:t>
      </w:r>
      <w:r w:rsidR="000E5B15" w:rsidRPr="00787639">
        <w:rPr>
          <w:i/>
          <w:iCs/>
        </w:rPr>
        <w:t xml:space="preserve">dopt policies </w:t>
      </w:r>
      <w:r w:rsidR="000E5B15" w:rsidRPr="00787639">
        <w:t xml:space="preserve">to ensure that the </w:t>
      </w:r>
      <w:r w:rsidR="00915125">
        <w:t>intangible cultural heritage (</w:t>
      </w:r>
      <w:r w:rsidR="000E5B15" w:rsidRPr="00787639">
        <w:t>ICH</w:t>
      </w:r>
      <w:r w:rsidR="00915125">
        <w:t>)</w:t>
      </w:r>
      <w:r w:rsidR="000E5B15" w:rsidRPr="00787639">
        <w:t xml:space="preserve"> will be safeguarded in the spirit of the</w:t>
      </w:r>
      <w:r w:rsidR="00806058" w:rsidRPr="00787639">
        <w:t xml:space="preserve"> </w:t>
      </w:r>
      <w:r w:rsidR="000E5B15" w:rsidRPr="00787639">
        <w:t>Convention and in conformity with codes of ethics (</w:t>
      </w:r>
      <w:r w:rsidR="00DD01F3" w:rsidRPr="00787639">
        <w:t>Article </w:t>
      </w:r>
      <w:r w:rsidR="000E5B15" w:rsidRPr="00787639">
        <w:t>13(a); ODs 105(d), 105(f) 105(g) and 107), respecting customary practices governing access to specific aspects of the ICH (</w:t>
      </w:r>
      <w:r w:rsidR="00DD01F3" w:rsidRPr="00787639">
        <w:t>Article </w:t>
      </w:r>
      <w:r w:rsidR="000E5B15" w:rsidRPr="00787639">
        <w:t>13(d)(ii)) and with community participation and consent in matters that concern their ICH (</w:t>
      </w:r>
      <w:r w:rsidR="00DD01F3" w:rsidRPr="00787639">
        <w:t>Article </w:t>
      </w:r>
      <w:r w:rsidR="003205A3">
        <w:t>15; ODs </w:t>
      </w:r>
      <w:r w:rsidR="000E5B15" w:rsidRPr="00787639">
        <w:t>79–89);</w:t>
      </w:r>
    </w:p>
    <w:p w14:paraId="32E890EE" w14:textId="6375E291" w:rsidR="000E5B15" w:rsidRPr="00787639" w:rsidRDefault="001E0D28" w:rsidP="00952DBE">
      <w:pPr>
        <w:pStyle w:val="Txtpucegras"/>
      </w:pPr>
      <w:r w:rsidRPr="00787639">
        <w:rPr>
          <w:i/>
          <w:iCs/>
        </w:rPr>
        <w:t>E</w:t>
      </w:r>
      <w:r w:rsidR="000E5B15" w:rsidRPr="00787639">
        <w:rPr>
          <w:i/>
          <w:iCs/>
        </w:rPr>
        <w:t xml:space="preserve">stablish or designate competent bodies or institutions </w:t>
      </w:r>
      <w:r w:rsidR="000E5B15" w:rsidRPr="00787639">
        <w:t>that can assist in the</w:t>
      </w:r>
      <w:r w:rsidR="00806058" w:rsidRPr="00787639">
        <w:t xml:space="preserve"> </w:t>
      </w:r>
      <w:r w:rsidR="000E5B15" w:rsidRPr="00787639">
        <w:t>safeguarding of ICH, capacity building (</w:t>
      </w:r>
      <w:r w:rsidR="00DD01F3" w:rsidRPr="00787639">
        <w:t>Article </w:t>
      </w:r>
      <w:r w:rsidR="003205A3">
        <w:t>14; OD </w:t>
      </w:r>
      <w:r w:rsidR="000E5B15" w:rsidRPr="00787639">
        <w:t>107), inventory-making (</w:t>
      </w:r>
      <w:r w:rsidR="00DD01F3" w:rsidRPr="00787639">
        <w:t>Article </w:t>
      </w:r>
      <w:r w:rsidR="009C6FFC">
        <w:t>13(b) and 13(d)(</w:t>
      </w:r>
      <w:proofErr w:type="spellStart"/>
      <w:r w:rsidR="009C6FFC">
        <w:t>i</w:t>
      </w:r>
      <w:proofErr w:type="spellEnd"/>
      <w:r w:rsidR="009C6FFC">
        <w:t>); ODs </w:t>
      </w:r>
      <w:r w:rsidR="000E5B15" w:rsidRPr="00787639">
        <w:t>80 and 82–83), research (</w:t>
      </w:r>
      <w:r w:rsidR="00DD01F3" w:rsidRPr="00787639">
        <w:t>Article </w:t>
      </w:r>
      <w:r w:rsidR="003205A3">
        <w:t>13(c); ODs </w:t>
      </w:r>
      <w:r w:rsidR="000E5B15" w:rsidRPr="00787639">
        <w:t>105(b), 105(c) and 107(k)), documentation (</w:t>
      </w:r>
      <w:r w:rsidR="00DD01F3" w:rsidRPr="00787639">
        <w:t>Article </w:t>
      </w:r>
      <w:r w:rsidR="003205A3">
        <w:t>13(d)(iii); OD </w:t>
      </w:r>
      <w:r w:rsidR="000E5B15" w:rsidRPr="00787639">
        <w:t xml:space="preserve">85) </w:t>
      </w:r>
      <w:r w:rsidR="003205A3">
        <w:t>and awareness-raising (Articles </w:t>
      </w:r>
      <w:r w:rsidR="000E5B15" w:rsidRPr="00787639">
        <w:t>1(b),</w:t>
      </w:r>
      <w:r w:rsidR="00CD6F55">
        <w:t xml:space="preserve"> 1(c) 13(d)(iii) </w:t>
      </w:r>
      <w:r w:rsidR="000E5B15" w:rsidRPr="00787639">
        <w:t>and 14(a);</w:t>
      </w:r>
      <w:r w:rsidR="003205A3">
        <w:t xml:space="preserve"> ODs </w:t>
      </w:r>
      <w:r w:rsidR="000E5B15" w:rsidRPr="00787639">
        <w:t>85, 105 and 107(b)); and</w:t>
      </w:r>
    </w:p>
    <w:p w14:paraId="1F0CBF3F" w14:textId="560A6D38" w:rsidR="000E5B15" w:rsidRPr="00787639" w:rsidRDefault="001E0D28">
      <w:pPr>
        <w:pStyle w:val="Txtpucegras"/>
      </w:pPr>
      <w:r w:rsidRPr="00787639">
        <w:rPr>
          <w:i/>
          <w:iCs/>
        </w:rPr>
        <w:t>E</w:t>
      </w:r>
      <w:r w:rsidR="000E5B15" w:rsidRPr="00787639">
        <w:rPr>
          <w:i/>
          <w:iCs/>
        </w:rPr>
        <w:t xml:space="preserve">ncourage coordination </w:t>
      </w:r>
      <w:r w:rsidR="000E5B15" w:rsidRPr="00787639">
        <w:t>between all types of stakeholders involved in ICH</w:t>
      </w:r>
      <w:r w:rsidR="00806058" w:rsidRPr="00787639">
        <w:t xml:space="preserve"> </w:t>
      </w:r>
      <w:r w:rsidR="000E5B15" w:rsidRPr="00787639">
        <w:t>safeguarding and promo</w:t>
      </w:r>
      <w:r w:rsidR="003205A3">
        <w:t>tion at the national level (ODs </w:t>
      </w:r>
      <w:r w:rsidR="000E5B15" w:rsidRPr="00787639">
        <w:t>79 and 83) and to facilitate cooperation at the international level (</w:t>
      </w:r>
      <w:r w:rsidR="00DD01F3" w:rsidRPr="00787639">
        <w:t>Article </w:t>
      </w:r>
      <w:r w:rsidR="003205A3">
        <w:t>19; ODs </w:t>
      </w:r>
      <w:r w:rsidR="000E5B15" w:rsidRPr="00787639">
        <w:t>86 and 88).</w:t>
      </w:r>
    </w:p>
    <w:p w14:paraId="4711A3FC" w14:textId="733A2C89" w:rsidR="000E5B15" w:rsidRPr="009A650C" w:rsidRDefault="000E5B15" w:rsidP="00592FD3">
      <w:pPr>
        <w:pStyle w:val="Texte1"/>
      </w:pPr>
      <w:r w:rsidRPr="009A650C">
        <w:t>Some States Parties to the Convention have had legal and administrative systems in place to assist in ICH safeguarding for decades, long before the Convention came into force. Japan’s Law for the Protection of Cultural Properties established a protection system for ICH at the national level as early as 1950. The Republic of Korea’s Cultural Heritage Protection Act introduced a Living Human Treasures programme in 1962 that aimed at both the recognition and the transmission of ICH.</w:t>
      </w:r>
      <w:r w:rsidR="00592FD3">
        <w:rPr>
          <w:rStyle w:val="FootnoteReference"/>
        </w:rPr>
        <w:footnoteReference w:id="2"/>
      </w:r>
    </w:p>
    <w:p w14:paraId="0ACCDB0F" w14:textId="77777777" w:rsidR="000E5B15" w:rsidRPr="00787639" w:rsidRDefault="000E5B15" w:rsidP="002D5639">
      <w:pPr>
        <w:pStyle w:val="Texte1"/>
      </w:pPr>
      <w:r w:rsidRPr="00787639">
        <w:t>Existing policies, agreements, laws and institutions may be adapted or extended as required to assist in implementing the Convention, while continuing to perform their other functions.</w:t>
      </w:r>
    </w:p>
    <w:p w14:paraId="6FFC8020" w14:textId="3CF373A0" w:rsidR="000E5B15" w:rsidRPr="0071007C" w:rsidRDefault="00955176" w:rsidP="00C82E38">
      <w:pPr>
        <w:pStyle w:val="Titcoul"/>
        <w:rPr>
          <w:lang w:val="en-GB"/>
        </w:rPr>
      </w:pPr>
      <w:bookmarkStart w:id="7" w:name="_Toc241229731"/>
      <w:bookmarkStart w:id="8" w:name="_Toc241229935"/>
      <w:bookmarkStart w:id="9" w:name="_Toc242165629"/>
      <w:r w:rsidRPr="0071007C">
        <w:rPr>
          <w:lang w:val="en-GB"/>
        </w:rPr>
        <w:t>10</w:t>
      </w:r>
      <w:r w:rsidR="000E5B15" w:rsidRPr="0071007C">
        <w:rPr>
          <w:lang w:val="en-GB"/>
        </w:rPr>
        <w:t>.2</w:t>
      </w:r>
      <w:r w:rsidR="001E0D28" w:rsidRPr="0071007C">
        <w:rPr>
          <w:lang w:val="en-GB"/>
        </w:rPr>
        <w:tab/>
      </w:r>
      <w:r w:rsidR="000E5B15" w:rsidRPr="0071007C">
        <w:rPr>
          <w:lang w:val="en-GB"/>
        </w:rPr>
        <w:t>A MULTILAYERED SYSTEM</w:t>
      </w:r>
      <w:bookmarkEnd w:id="7"/>
      <w:bookmarkEnd w:id="8"/>
      <w:bookmarkEnd w:id="9"/>
    </w:p>
    <w:p w14:paraId="44CC35E0" w14:textId="4EB0D248" w:rsidR="000E5B15" w:rsidRPr="00787639" w:rsidRDefault="00521548" w:rsidP="002D5639">
      <w:pPr>
        <w:pStyle w:val="Texte1"/>
      </w:pPr>
      <w:r w:rsidRPr="00AD244C">
        <w:rPr>
          <w:noProof/>
          <w:lang w:val="es-ES_tradnl" w:eastAsia="es-ES_tradnl"/>
        </w:rPr>
        <w:drawing>
          <wp:anchor distT="0" distB="0" distL="114300" distR="114300" simplePos="0" relativeHeight="251958784" behindDoc="0" locked="1" layoutInCell="1" allowOverlap="0" wp14:anchorId="6C22C91B" wp14:editId="15916056">
            <wp:simplePos x="0" y="0"/>
            <wp:positionH relativeFrom="column">
              <wp:posOffset>0</wp:posOffset>
            </wp:positionH>
            <wp:positionV relativeFrom="paragraph">
              <wp:posOffset>880745</wp:posOffset>
            </wp:positionV>
            <wp:extent cx="283210" cy="358775"/>
            <wp:effectExtent l="0" t="0" r="0" b="0"/>
            <wp:wrapThrough wrapText="bothSides">
              <wp:wrapPolygon edited="0">
                <wp:start x="0" y="0"/>
                <wp:lineTo x="0" y="19880"/>
                <wp:lineTo x="19372" y="19880"/>
                <wp:lineTo x="19372" y="0"/>
                <wp:lineTo x="0" y="0"/>
              </wp:wrapPolygon>
            </wp:wrapThrough>
            <wp:docPr id="145" name="Imag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0E5B15" w:rsidRPr="00787639">
        <w:t>The broad context</w:t>
      </w:r>
      <w:r w:rsidR="000E5B15" w:rsidRPr="00D44CAC">
        <w:t xml:space="preserve"> for safeguarding ICH at the national level can be provided by a </w:t>
      </w:r>
      <w:proofErr w:type="spellStart"/>
      <w:r w:rsidR="000E5B15" w:rsidRPr="00D44CAC">
        <w:t>m</w:t>
      </w:r>
      <w:r w:rsidR="000E5B15" w:rsidRPr="00D90418">
        <w:t>ultilayered</w:t>
      </w:r>
      <w:proofErr w:type="spellEnd"/>
      <w:r w:rsidR="000E5B15" w:rsidRPr="00D90418">
        <w:t xml:space="preserve"> system (in much the same way as occurs in many States for tangible heritage) that consists, for example, of interlinked local, provincial and national measures. A high level of administrative decentralization often seems t</w:t>
      </w:r>
      <w:r w:rsidR="000E5B15" w:rsidRPr="00787639">
        <w:t>o work well for ICH safeguarding.</w:t>
      </w:r>
    </w:p>
    <w:p w14:paraId="693B9BBA" w14:textId="0440423B" w:rsidR="000E5B15" w:rsidRPr="00787639" w:rsidRDefault="00E13B6A" w:rsidP="002D5639">
      <w:pPr>
        <w:pStyle w:val="Texte1"/>
      </w:pPr>
      <w:r w:rsidRPr="00787639">
        <w:t>C</w:t>
      </w:r>
      <w:r w:rsidR="00705E57">
        <w:t>ase study </w:t>
      </w:r>
      <w:r w:rsidR="000E5B15" w:rsidRPr="00787639">
        <w:t xml:space="preserve">1, discusses the </w:t>
      </w:r>
      <w:proofErr w:type="spellStart"/>
      <w:r w:rsidR="000E5B15" w:rsidRPr="00787639">
        <w:t>Yamahoko</w:t>
      </w:r>
      <w:proofErr w:type="spellEnd"/>
      <w:r w:rsidR="000E5B15" w:rsidRPr="00787639">
        <w:t xml:space="preserve"> float ceremony in Kyoto, Japan: this can be used as an example of close interaction between different stakeholders in a safeguarding system. A local community organization coordinates the training and participation of participants and ensures the maintenance and storage of the floats. The procession has been inscribed on national, provincial and municipal inventories of ICH and the national, provincial and municipal governments assist with the procession logistically and through legislative provisions. Kyoto industries participate in the maintenance of the floats. At the international level, </w:t>
      </w:r>
      <w:proofErr w:type="spellStart"/>
      <w:r w:rsidR="000E5B15" w:rsidRPr="00787639">
        <w:t>Yamahoko</w:t>
      </w:r>
      <w:proofErr w:type="spellEnd"/>
      <w:r w:rsidR="000E5B15" w:rsidRPr="00787639">
        <w:t xml:space="preserve">, the float ceremony of the Kyoto </w:t>
      </w:r>
      <w:proofErr w:type="spellStart"/>
      <w:r w:rsidR="000E5B15" w:rsidRPr="00787639">
        <w:t>Gion</w:t>
      </w:r>
      <w:proofErr w:type="spellEnd"/>
      <w:r w:rsidR="000E5B15" w:rsidRPr="00787639">
        <w:t xml:space="preserve"> festival was inscribed on the Representative List of the Convention in 2009, so Japan takes on specific safeguarding obligations for it.</w:t>
      </w:r>
    </w:p>
    <w:p w14:paraId="2ED2281B" w14:textId="77777777" w:rsidR="000E5B15" w:rsidRPr="00787639" w:rsidRDefault="000E5B15" w:rsidP="002D5639">
      <w:pPr>
        <w:pStyle w:val="Texte1"/>
      </w:pPr>
      <w:r w:rsidRPr="00787639">
        <w:t>States Parties must ensure that these different levels work together efficiently, so as to create enabling frameworks to address the safeguarding needs of the ICH and the communities concerned. States Parties should also ensure that safeguarding efforts at the national level benefit from exchange of expertise and cooperation at the international level.</w:t>
      </w:r>
    </w:p>
    <w:p w14:paraId="4F595F1C" w14:textId="77777777" w:rsidR="000E5B15" w:rsidRPr="00787639" w:rsidRDefault="000E5B15" w:rsidP="002D5639">
      <w:pPr>
        <w:pStyle w:val="Texte1"/>
      </w:pPr>
      <w:r w:rsidRPr="00787639">
        <w:t>In federal States with a high level of decentralization, the national level sometimes has coordinating tasks only (</w:t>
      </w:r>
      <w:r w:rsidR="00DD01F3" w:rsidRPr="00787639">
        <w:t>Article </w:t>
      </w:r>
      <w:r w:rsidRPr="00787639">
        <w:t xml:space="preserve">35(a)). In such cases, what is said here about the national level </w:t>
      </w:r>
      <w:proofErr w:type="gramStart"/>
      <w:r w:rsidRPr="00787639">
        <w:t>applies,</w:t>
      </w:r>
      <w:proofErr w:type="gramEnd"/>
      <w:r w:rsidRPr="00787639">
        <w:t xml:space="preserve"> for example, to the ‘provincial’, ‘county’, ‘republican’, ‘state’ or ‘canton’ level (</w:t>
      </w:r>
      <w:r w:rsidR="00DD01F3" w:rsidRPr="00787639">
        <w:t>Article </w:t>
      </w:r>
      <w:r w:rsidRPr="00787639">
        <w:t>35(b)).</w:t>
      </w:r>
    </w:p>
    <w:p w14:paraId="32A2A411" w14:textId="7C6F3174" w:rsidR="00E61C19" w:rsidRPr="00D90418" w:rsidRDefault="00521548" w:rsidP="002D5639">
      <w:pPr>
        <w:pStyle w:val="Texte1"/>
      </w:pPr>
      <w:r w:rsidRPr="00AD244C">
        <w:rPr>
          <w:noProof/>
          <w:lang w:val="es-ES_tradnl" w:eastAsia="es-ES_tradnl"/>
        </w:rPr>
        <w:drawing>
          <wp:anchor distT="0" distB="0" distL="114300" distR="114300" simplePos="0" relativeHeight="251960832" behindDoc="0" locked="1" layoutInCell="1" allowOverlap="0" wp14:anchorId="484F7A81" wp14:editId="0CE1AC4C">
            <wp:simplePos x="0" y="0"/>
            <wp:positionH relativeFrom="column">
              <wp:posOffset>0</wp:posOffset>
            </wp:positionH>
            <wp:positionV relativeFrom="paragraph">
              <wp:posOffset>431800</wp:posOffset>
            </wp:positionV>
            <wp:extent cx="283210" cy="358775"/>
            <wp:effectExtent l="0" t="0" r="0" b="0"/>
            <wp:wrapThrough wrapText="bothSides">
              <wp:wrapPolygon edited="0">
                <wp:start x="0" y="0"/>
                <wp:lineTo x="0" y="19880"/>
                <wp:lineTo x="19372" y="19880"/>
                <wp:lineTo x="19372" y="0"/>
                <wp:lineTo x="0" y="0"/>
              </wp:wrapPolygon>
            </wp:wrapThrough>
            <wp:docPr id="148" name="Imag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0E5B15" w:rsidRPr="00787639">
        <w:t xml:space="preserve">In Belgium, a federal State with strong regional and community autonomy, the Governments of the </w:t>
      </w:r>
      <w:r w:rsidR="000E5B15" w:rsidRPr="00D44CAC">
        <w:t xml:space="preserve">Flemish, French and German-speaking communities take responsibility for their own heritage issues. They have created different agencies in order to achieve this aim (see </w:t>
      </w:r>
      <w:r w:rsidR="001518B6">
        <w:t>C</w:t>
      </w:r>
      <w:r w:rsidR="00705E57">
        <w:t>ase study </w:t>
      </w:r>
      <w:r w:rsidR="000E5B15" w:rsidRPr="00D44CAC">
        <w:t>28).</w:t>
      </w:r>
    </w:p>
    <w:p w14:paraId="247CF36C" w14:textId="1B2ACB00" w:rsidR="000E5B15" w:rsidRPr="00787639" w:rsidRDefault="000E5B15" w:rsidP="002D5639">
      <w:pPr>
        <w:pStyle w:val="Texte1"/>
      </w:pPr>
      <w:r w:rsidRPr="00787639">
        <w:t xml:space="preserve">Some non-federal States also formally devolve heritage policy and management to the subnational level, as happens to some extent in South Africa (see </w:t>
      </w:r>
      <w:r w:rsidR="001518B6">
        <w:t>C</w:t>
      </w:r>
      <w:r w:rsidR="001518B6" w:rsidRPr="00787639">
        <w:t xml:space="preserve">ase </w:t>
      </w:r>
      <w:r w:rsidR="00705E57">
        <w:t>study </w:t>
      </w:r>
      <w:r w:rsidRPr="00787639">
        <w:t>29).</w:t>
      </w:r>
    </w:p>
    <w:p w14:paraId="68934881" w14:textId="4B21B535" w:rsidR="000E5B15" w:rsidRPr="00D90418" w:rsidRDefault="000E5B15" w:rsidP="002D5639">
      <w:pPr>
        <w:pStyle w:val="Texte1"/>
      </w:pPr>
      <w:r w:rsidRPr="00787639">
        <w:t xml:space="preserve">It is important to remember that, in the first place, States Parties (i.e. their agencies) must </w:t>
      </w:r>
      <w:r w:rsidR="000E38A5" w:rsidRPr="00AD244C">
        <w:rPr>
          <w:noProof/>
          <w:lang w:val="es-ES_tradnl" w:eastAsia="es-ES_tradnl"/>
        </w:rPr>
        <w:drawing>
          <wp:anchor distT="0" distB="0" distL="114300" distR="114300" simplePos="0" relativeHeight="252072448" behindDoc="0" locked="1" layoutInCell="1" allowOverlap="0" wp14:anchorId="67317E61" wp14:editId="7AA10A7D">
            <wp:simplePos x="0" y="0"/>
            <wp:positionH relativeFrom="column">
              <wp:posOffset>0</wp:posOffset>
            </wp:positionH>
            <wp:positionV relativeFrom="paragraph">
              <wp:posOffset>-300355</wp:posOffset>
            </wp:positionV>
            <wp:extent cx="283210" cy="358775"/>
            <wp:effectExtent l="0" t="0" r="0" b="0"/>
            <wp:wrapThrough wrapText="bothSides">
              <wp:wrapPolygon edited="0">
                <wp:start x="0" y="0"/>
                <wp:lineTo x="0" y="19880"/>
                <wp:lineTo x="19372" y="19880"/>
                <wp:lineTo x="19372" y="0"/>
                <wp:lineTo x="0" y="0"/>
              </wp:wrapPolygon>
            </wp:wrapThrough>
            <wp:docPr id="241" name="Imag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787639">
        <w:t xml:space="preserve">ensure the general enabling conditions in which the ICH can </w:t>
      </w:r>
      <w:r w:rsidRPr="00D44CAC">
        <w:t>thrive. If the viability of specific elements is not threatened, or when community-based safeguarding activities function effectively without outside support, then no external intervention is required, not even f</w:t>
      </w:r>
      <w:r w:rsidRPr="00D90418">
        <w:t>rom the State. Stewardship over the ICH should remain with the communities concerned even when there is assistance for safeguarding from outside.</w:t>
      </w:r>
    </w:p>
    <w:p w14:paraId="755167A2" w14:textId="52B05EE0" w:rsidR="000E5B15" w:rsidRPr="0071007C" w:rsidRDefault="00955176" w:rsidP="00C82E38">
      <w:pPr>
        <w:pStyle w:val="Titcoul"/>
        <w:rPr>
          <w:lang w:val="en-GB"/>
        </w:rPr>
      </w:pPr>
      <w:bookmarkStart w:id="10" w:name="_Toc241229732"/>
      <w:bookmarkStart w:id="11" w:name="_Toc241229936"/>
      <w:bookmarkStart w:id="12" w:name="_Toc242165630"/>
      <w:r w:rsidRPr="0071007C">
        <w:rPr>
          <w:lang w:val="en-GB"/>
        </w:rPr>
        <w:t>10</w:t>
      </w:r>
      <w:r w:rsidR="000E5B15" w:rsidRPr="0071007C">
        <w:rPr>
          <w:lang w:val="en-GB"/>
        </w:rPr>
        <w:t>.3</w:t>
      </w:r>
      <w:r w:rsidR="005672B3" w:rsidRPr="0071007C">
        <w:rPr>
          <w:lang w:val="en-GB"/>
        </w:rPr>
        <w:tab/>
      </w:r>
      <w:r w:rsidR="000E5B15" w:rsidRPr="0071007C">
        <w:rPr>
          <w:lang w:val="en-GB"/>
        </w:rPr>
        <w:t>POLICIES AND MEASURES AT THE LOCAL LEVEL</w:t>
      </w:r>
      <w:bookmarkEnd w:id="10"/>
      <w:bookmarkEnd w:id="11"/>
      <w:bookmarkEnd w:id="12"/>
    </w:p>
    <w:p w14:paraId="4F01ABD6" w14:textId="77777777" w:rsidR="000E5B15" w:rsidRPr="00787639" w:rsidRDefault="000E5B15" w:rsidP="002D5639">
      <w:pPr>
        <w:pStyle w:val="Texte1"/>
      </w:pPr>
      <w:r w:rsidRPr="00787639">
        <w:t>Local (or subna</w:t>
      </w:r>
      <w:r w:rsidRPr="00D44CAC">
        <w:t>tional, e.g. provincial and municipal) actors pla</w:t>
      </w:r>
      <w:r w:rsidRPr="00D90418">
        <w:t>y an important role in ICH safeguarding because their interventions can easily be tailored effectively to the needs of local communities and local projects. Local or subnational measures include regulations, subsidies, and policies re</w:t>
      </w:r>
      <w:r w:rsidRPr="00787639">
        <w:t>lating to ICH enacted both in public spaces (such as festivals or performances) and in more private community settings. They may involve institutions such as community organizations and local NGOs, schools, museums, research centres, archives and documentation institutions. As a rule, local communities also commit themselves financially and logistically to ICH practice and transmission and look for sponsors in their own area.</w:t>
      </w:r>
    </w:p>
    <w:p w14:paraId="0E29FF7F" w14:textId="77777777" w:rsidR="000E5B15" w:rsidRPr="00787639" w:rsidRDefault="000E5B15" w:rsidP="002D5639">
      <w:pPr>
        <w:pStyle w:val="Texte1"/>
      </w:pPr>
      <w:r w:rsidRPr="00787639">
        <w:t xml:space="preserve">In the province of Limburg, the Netherlands, for example, most villages and town suburbs have their own </w:t>
      </w:r>
      <w:proofErr w:type="spellStart"/>
      <w:r w:rsidRPr="00787639">
        <w:rPr>
          <w:i/>
          <w:iCs/>
        </w:rPr>
        <w:t>harmonie</w:t>
      </w:r>
      <w:proofErr w:type="spellEnd"/>
      <w:r w:rsidRPr="00787639">
        <w:rPr>
          <w:i/>
          <w:iCs/>
        </w:rPr>
        <w:t xml:space="preserve"> </w:t>
      </w:r>
      <w:r w:rsidRPr="00787639">
        <w:t>(brass band or orchestra)</w:t>
      </w:r>
      <w:proofErr w:type="gramStart"/>
      <w:r w:rsidRPr="00787639">
        <w:t>,</w:t>
      </w:r>
      <w:proofErr w:type="gramEnd"/>
      <w:r w:rsidRPr="00787639">
        <w:t xml:space="preserve"> traditional music associations that regularly give performances in public spaces and on occasions of a more private nature. Most of them have a large membership and try to be self-supporting, finding their own sponsors, but as a rule they also receive small subsidies from the municipal and/or provincial budget. The boards of these associations usually include local administrative officials. In small villages in the area, over half the population participates on a voluntary basis in the preparation, organization and enactment of local festive events and in the cleaning-up afterwards.</w:t>
      </w:r>
    </w:p>
    <w:p w14:paraId="7C3B5AF0" w14:textId="77777777" w:rsidR="000E5B15" w:rsidRPr="00787639" w:rsidRDefault="000E5B15" w:rsidP="002D5639">
      <w:pPr>
        <w:pStyle w:val="Texte1"/>
      </w:pPr>
      <w:r w:rsidRPr="00787639">
        <w:t>In most municipalities in Limburg, carnival is celebrated in one form or another. An almost obligatory element is the annual election of a ‘Prince of the carnival’ (princesses are rarely elected)</w:t>
      </w:r>
      <w:proofErr w:type="gramStart"/>
      <w:r w:rsidRPr="00787639">
        <w:t>,</w:t>
      </w:r>
      <w:proofErr w:type="gramEnd"/>
      <w:r w:rsidRPr="00787639">
        <w:t xml:space="preserve"> well before the carnival itself is celebrated. The Prince of the carnival takes on various duties, including visiting elderly and sick people who cannot participate in the public festivities, sometimes accompanied by the local </w:t>
      </w:r>
      <w:proofErr w:type="spellStart"/>
      <w:r w:rsidRPr="00787639">
        <w:rPr>
          <w:i/>
          <w:iCs/>
        </w:rPr>
        <w:t>harmonie</w:t>
      </w:r>
      <w:proofErr w:type="spellEnd"/>
      <w:r w:rsidRPr="00787639">
        <w:t>. In Maastricht, the capital of the province of Limburg, the Mayor hands over the keys of the town for the four days of carnival to the local Prince, while the town administration and the police – following local regulations – ensure that the town centre is safe and accessible for the duration of the festivities.</w:t>
      </w:r>
    </w:p>
    <w:p w14:paraId="0C1CA50C" w14:textId="77777777" w:rsidR="000E5B15" w:rsidRPr="0071007C" w:rsidRDefault="000E5B15" w:rsidP="00A853D3">
      <w:pPr>
        <w:pStyle w:val="Heading4"/>
        <w:rPr>
          <w:lang w:val="en-GB"/>
        </w:rPr>
      </w:pPr>
      <w:r w:rsidRPr="0071007C">
        <w:rPr>
          <w:lang w:val="en-GB"/>
        </w:rPr>
        <w:t>Local</w:t>
      </w:r>
      <w:r w:rsidRPr="00787639">
        <w:rPr>
          <w:spacing w:val="8"/>
          <w:w w:val="107"/>
          <w:lang w:val="en-GB"/>
        </w:rPr>
        <w:t xml:space="preserve"> </w:t>
      </w:r>
      <w:r w:rsidRPr="0071007C">
        <w:rPr>
          <w:lang w:val="en-GB"/>
        </w:rPr>
        <w:t>organizations</w:t>
      </w:r>
    </w:p>
    <w:p w14:paraId="41F47A93" w14:textId="77777777" w:rsidR="000E5B15" w:rsidRPr="00D90418" w:rsidRDefault="000E5B15" w:rsidP="002D5639">
      <w:pPr>
        <w:pStyle w:val="Texte1"/>
      </w:pPr>
      <w:r w:rsidRPr="00787639">
        <w:t>Ma</w:t>
      </w:r>
      <w:r w:rsidRPr="00D44CAC">
        <w:t>ny countries have organizations of people, often from different communities, who practise similar forms of ICH and who assist each other by p</w:t>
      </w:r>
      <w:r w:rsidRPr="00D90418">
        <w:t>roviding expertise and resources.</w:t>
      </w:r>
    </w:p>
    <w:p w14:paraId="5B0F429A" w14:textId="358C4F14" w:rsidR="000E5B15" w:rsidRPr="00787639" w:rsidRDefault="000E5B15" w:rsidP="002D5639">
      <w:pPr>
        <w:pStyle w:val="Texte1"/>
      </w:pPr>
      <w:r w:rsidRPr="00787639">
        <w:t xml:space="preserve">The </w:t>
      </w:r>
      <w:r w:rsidRPr="00787639">
        <w:rPr>
          <w:i/>
          <w:iCs/>
        </w:rPr>
        <w:t xml:space="preserve">harmonies </w:t>
      </w:r>
      <w:r w:rsidRPr="00787639">
        <w:t>mentioned above, for example, have umbrella organizations that not only ensure mutual assistance, but also organize joint manifestations and competitions. In Germany there are organizations of storytellers; in Brittany, France, there are community organizations that play traditional music. By supporting such organizations, States Parties may make an important contribution to the safeguarding of ICH expressions by the communities themselves (The Netherlands and Germany are not yet States Parties</w:t>
      </w:r>
      <w:r w:rsidR="00E86AD3">
        <w:t xml:space="preserve"> to the Convention; France is.).</w:t>
      </w:r>
    </w:p>
    <w:p w14:paraId="737AE8AE" w14:textId="77777777" w:rsidR="000E5B15" w:rsidRPr="0071007C" w:rsidRDefault="000E5B15" w:rsidP="00A853D3">
      <w:pPr>
        <w:pStyle w:val="Heading4"/>
        <w:rPr>
          <w:lang w:val="en-GB"/>
        </w:rPr>
      </w:pPr>
      <w:r w:rsidRPr="0071007C">
        <w:rPr>
          <w:lang w:val="en-GB"/>
        </w:rPr>
        <w:t>Integrating</w:t>
      </w:r>
      <w:r w:rsidRPr="00787639">
        <w:rPr>
          <w:spacing w:val="3"/>
          <w:w w:val="107"/>
          <w:lang w:val="en-GB"/>
        </w:rPr>
        <w:t xml:space="preserve"> </w:t>
      </w:r>
      <w:r w:rsidRPr="0071007C">
        <w:rPr>
          <w:lang w:val="en-GB"/>
        </w:rPr>
        <w:t>ICH</w:t>
      </w:r>
      <w:r w:rsidRPr="00787639">
        <w:rPr>
          <w:spacing w:val="3"/>
          <w:w w:val="107"/>
          <w:lang w:val="en-GB"/>
        </w:rPr>
        <w:t xml:space="preserve"> </w:t>
      </w:r>
      <w:r w:rsidRPr="0071007C">
        <w:rPr>
          <w:lang w:val="en-GB"/>
        </w:rPr>
        <w:t>safeguarding</w:t>
      </w:r>
      <w:r w:rsidRPr="00787639">
        <w:rPr>
          <w:spacing w:val="3"/>
          <w:w w:val="107"/>
          <w:lang w:val="en-GB"/>
        </w:rPr>
        <w:t xml:space="preserve"> </w:t>
      </w:r>
      <w:r w:rsidRPr="0071007C">
        <w:rPr>
          <w:lang w:val="en-GB"/>
        </w:rPr>
        <w:t>with</w:t>
      </w:r>
      <w:r w:rsidRPr="00787639">
        <w:rPr>
          <w:spacing w:val="3"/>
          <w:w w:val="107"/>
          <w:lang w:val="en-GB"/>
        </w:rPr>
        <w:t xml:space="preserve"> </w:t>
      </w:r>
      <w:r w:rsidRPr="0071007C">
        <w:rPr>
          <w:lang w:val="en-GB"/>
        </w:rPr>
        <w:t>other</w:t>
      </w:r>
      <w:r w:rsidRPr="00787639">
        <w:rPr>
          <w:spacing w:val="3"/>
          <w:w w:val="107"/>
          <w:lang w:val="en-GB"/>
        </w:rPr>
        <w:t xml:space="preserve"> </w:t>
      </w:r>
      <w:r w:rsidRPr="0071007C">
        <w:rPr>
          <w:lang w:val="en-GB"/>
        </w:rPr>
        <w:t>local</w:t>
      </w:r>
      <w:r w:rsidRPr="00787639">
        <w:rPr>
          <w:spacing w:val="3"/>
          <w:w w:val="107"/>
          <w:lang w:val="en-GB"/>
        </w:rPr>
        <w:t xml:space="preserve"> </w:t>
      </w:r>
      <w:r w:rsidRPr="0071007C">
        <w:rPr>
          <w:lang w:val="en-GB"/>
        </w:rPr>
        <w:t>initiatives</w:t>
      </w:r>
    </w:p>
    <w:p w14:paraId="4D3D5A24" w14:textId="77777777" w:rsidR="000E5B15" w:rsidRPr="00D90418" w:rsidRDefault="000E5B15" w:rsidP="002D5639">
      <w:pPr>
        <w:pStyle w:val="Texte1"/>
      </w:pPr>
      <w:r w:rsidRPr="00787639">
        <w:t>A</w:t>
      </w:r>
      <w:r w:rsidRPr="00D44CAC">
        <w:t>t the local level, there are good opportunities for integrating ICH safeguarding activities with the health, education and other</w:t>
      </w:r>
      <w:r w:rsidRPr="00D90418">
        <w:t xml:space="preserve"> development concerns of local authorities and communities.</w:t>
      </w:r>
    </w:p>
    <w:p w14:paraId="45B7E587" w14:textId="5426DA91" w:rsidR="000E5B15" w:rsidRPr="009A650C" w:rsidRDefault="000E5B15" w:rsidP="00592FD3">
      <w:pPr>
        <w:pStyle w:val="Texte1"/>
      </w:pPr>
      <w:r w:rsidRPr="009A650C">
        <w:t>An example of legislation at the local level enabling ICH safeguarding is the Northern Territory Aboriginal Sacred Sites Act (2006), which helps Indigenous (Aboriginal) communities in the Northern Territory of</w:t>
      </w:r>
      <w:r w:rsidR="00B57BFE" w:rsidRPr="009A650C">
        <w:t xml:space="preserve"> </w:t>
      </w:r>
      <w:r w:rsidRPr="009A650C">
        <w:t>Australia retain control over their intangible heritage management and the benefits accruing from it. The Act created institutions such as the Aboriginal Areas Protection Authority, which tries to balance the need to safeguard Indigenous ICH and its relationship to land and the economic, social and cultural development of all people in the Territory.</w:t>
      </w:r>
      <w:r w:rsidR="00592FD3">
        <w:rPr>
          <w:rStyle w:val="FootnoteReference"/>
        </w:rPr>
        <w:footnoteReference w:id="3"/>
      </w:r>
    </w:p>
    <w:p w14:paraId="3AED4CB3" w14:textId="77777777" w:rsidR="000E5B15" w:rsidRPr="0071007C" w:rsidRDefault="000E5B15" w:rsidP="00A853D3">
      <w:pPr>
        <w:pStyle w:val="Heading4"/>
        <w:rPr>
          <w:lang w:val="en-GB"/>
        </w:rPr>
      </w:pPr>
      <w:r w:rsidRPr="0071007C">
        <w:rPr>
          <w:lang w:val="en-GB"/>
        </w:rPr>
        <w:t>Local</w:t>
      </w:r>
      <w:r w:rsidRPr="00787639">
        <w:rPr>
          <w:spacing w:val="5"/>
          <w:w w:val="106"/>
          <w:lang w:val="en-GB"/>
        </w:rPr>
        <w:t xml:space="preserve"> </w:t>
      </w:r>
      <w:r w:rsidRPr="0071007C">
        <w:rPr>
          <w:lang w:val="en-GB"/>
        </w:rPr>
        <w:t>government</w:t>
      </w:r>
      <w:r w:rsidRPr="00787639">
        <w:rPr>
          <w:spacing w:val="4"/>
          <w:w w:val="106"/>
          <w:lang w:val="en-GB"/>
        </w:rPr>
        <w:t xml:space="preserve"> </w:t>
      </w:r>
      <w:r w:rsidRPr="0071007C">
        <w:rPr>
          <w:lang w:val="en-GB"/>
        </w:rPr>
        <w:t>regulations</w:t>
      </w:r>
      <w:r w:rsidRPr="00787639">
        <w:rPr>
          <w:spacing w:val="4"/>
          <w:w w:val="106"/>
          <w:lang w:val="en-GB"/>
        </w:rPr>
        <w:t xml:space="preserve"> </w:t>
      </w:r>
      <w:r w:rsidRPr="0071007C">
        <w:rPr>
          <w:lang w:val="en-GB"/>
        </w:rPr>
        <w:t>and</w:t>
      </w:r>
      <w:r w:rsidRPr="00787639">
        <w:rPr>
          <w:spacing w:val="4"/>
          <w:w w:val="106"/>
          <w:lang w:val="en-GB"/>
        </w:rPr>
        <w:t xml:space="preserve"> </w:t>
      </w:r>
      <w:r w:rsidRPr="0071007C">
        <w:rPr>
          <w:lang w:val="en-GB"/>
        </w:rPr>
        <w:t>policies</w:t>
      </w:r>
    </w:p>
    <w:p w14:paraId="3CA45501" w14:textId="77777777" w:rsidR="000E5B15" w:rsidRPr="00D90418" w:rsidRDefault="000E5B15" w:rsidP="002D5639">
      <w:pPr>
        <w:pStyle w:val="Texte1"/>
      </w:pPr>
      <w:r w:rsidRPr="00787639">
        <w:t xml:space="preserve">The </w:t>
      </w:r>
      <w:r w:rsidRPr="00D44CAC">
        <w:t>role of local government is of vital importance in ICH safeguarding, whether or not this role is s</w:t>
      </w:r>
      <w:r w:rsidRPr="00D90418">
        <w:t>et out in regulations or policies. States Parties should encourage and facilitate support to local initiatives for ICH safeguarding.</w:t>
      </w:r>
    </w:p>
    <w:p w14:paraId="075DE960" w14:textId="489AA822" w:rsidR="000E5B15" w:rsidRPr="000E1D9D" w:rsidRDefault="000E5B15" w:rsidP="00592FD3">
      <w:pPr>
        <w:pStyle w:val="Texte1"/>
      </w:pPr>
      <w:r w:rsidRPr="00482544">
        <w:t>In Nepal, municipalities and Village Development C</w:t>
      </w:r>
      <w:r w:rsidRPr="000E1D9D">
        <w:t>ommittees play an important role in supporting religious and cultural activities as well</w:t>
      </w:r>
      <w:r w:rsidR="00B57BFE" w:rsidRPr="000E1D9D">
        <w:t xml:space="preserve"> </w:t>
      </w:r>
      <w:r w:rsidRPr="000E1D9D">
        <w:t xml:space="preserve">as fostering local participation in decisions around health, education, services and so on. There is currently no policy stating that Village Development Committees </w:t>
      </w:r>
      <w:proofErr w:type="gramStart"/>
      <w:r w:rsidRPr="000E1D9D">
        <w:t>are directly</w:t>
      </w:r>
      <w:proofErr w:type="gramEnd"/>
      <w:r w:rsidRPr="000E1D9D">
        <w:t xml:space="preserve"> responsible for the safeguarding and promotion of ICH at the local level, nor do they currently have</w:t>
      </w:r>
      <w:r w:rsidR="00B57BFE" w:rsidRPr="000E1D9D">
        <w:t xml:space="preserve"> </w:t>
      </w:r>
      <w:r w:rsidRPr="000E1D9D">
        <w:t>a regular income source to carry out such activities. But as local-level authorities, they can and do help to mediate between national</w:t>
      </w:r>
      <w:r w:rsidR="00B57BFE" w:rsidRPr="000E1D9D">
        <w:t xml:space="preserve"> </w:t>
      </w:r>
      <w:r w:rsidRPr="000E1D9D">
        <w:t>government, relevant agencies, local performers and tradition bearers on issues relating to ICH safeguarding.</w:t>
      </w:r>
      <w:r w:rsidR="00592FD3">
        <w:rPr>
          <w:rStyle w:val="FootnoteReference"/>
        </w:rPr>
        <w:footnoteReference w:id="4"/>
      </w:r>
    </w:p>
    <w:p w14:paraId="38CEAB77" w14:textId="53349D47" w:rsidR="000E5B15" w:rsidRPr="0071007C" w:rsidRDefault="00955176" w:rsidP="00C82E38">
      <w:pPr>
        <w:pStyle w:val="Titcoul"/>
        <w:rPr>
          <w:lang w:val="en-GB"/>
        </w:rPr>
      </w:pPr>
      <w:bookmarkStart w:id="13" w:name="_Toc241229733"/>
      <w:bookmarkStart w:id="14" w:name="_Toc241229937"/>
      <w:bookmarkStart w:id="15" w:name="_Toc242165631"/>
      <w:r w:rsidRPr="0071007C">
        <w:rPr>
          <w:lang w:val="en-GB"/>
        </w:rPr>
        <w:t>10</w:t>
      </w:r>
      <w:r w:rsidR="000E5B15" w:rsidRPr="0071007C">
        <w:rPr>
          <w:lang w:val="en-GB"/>
        </w:rPr>
        <w:t>.4</w:t>
      </w:r>
      <w:r w:rsidR="0063095F" w:rsidRPr="0071007C">
        <w:rPr>
          <w:lang w:val="en-GB"/>
        </w:rPr>
        <w:tab/>
      </w:r>
      <w:r w:rsidR="000E5B15" w:rsidRPr="0071007C">
        <w:rPr>
          <w:lang w:val="en-GB"/>
        </w:rPr>
        <w:t>NATIONAL LEGAL AND ADMINISTRATIVE FRAMEWORKS</w:t>
      </w:r>
      <w:bookmarkEnd w:id="13"/>
      <w:bookmarkEnd w:id="14"/>
      <w:bookmarkEnd w:id="15"/>
    </w:p>
    <w:p w14:paraId="6B94D8C8" w14:textId="77777777" w:rsidR="000E5B15" w:rsidRPr="00787639" w:rsidRDefault="000E5B15" w:rsidP="002D5639">
      <w:pPr>
        <w:pStyle w:val="Texte1"/>
      </w:pPr>
      <w:r w:rsidRPr="00787639">
        <w:t>National (or federal) legal and administrative framewo</w:t>
      </w:r>
      <w:r w:rsidRPr="00D44CAC">
        <w:t>rks may include ICH-related provisions in a constitution and in heritage legislation or cultural and heritage policies, nat</w:t>
      </w:r>
      <w:r w:rsidRPr="00D90418">
        <w:t xml:space="preserve">ional research and documentation centres for ICH (at universities and elsewhere), museums, archives, etc., consultative bodies and coordination mechanisms. They may also include mainstreaming of ICH in policies, laws and institutions </w:t>
      </w:r>
      <w:r w:rsidRPr="00787639">
        <w:t>relating to other areas including finance, intellectual property rights (IPR), medicine, health and agriculture.</w:t>
      </w:r>
    </w:p>
    <w:p w14:paraId="484D67B8" w14:textId="77777777" w:rsidR="000E5B15" w:rsidRPr="00787639" w:rsidRDefault="000E5B15" w:rsidP="002D5639">
      <w:pPr>
        <w:pStyle w:val="Texte1"/>
      </w:pPr>
      <w:r w:rsidRPr="00787639">
        <w:t>Legal and administrative measures taken at the national level are primarily meant to contribute to ICH promotion and safeguarding in general and to create a supportive framework for safeguarding actions at the local level. Measures implemented at the national level usually have a very direct impact on the viability of ICH elements.</w:t>
      </w:r>
    </w:p>
    <w:p w14:paraId="5C90C972" w14:textId="56A18241" w:rsidR="000E5B15" w:rsidRPr="00787639" w:rsidRDefault="000E5B15" w:rsidP="00A853D3">
      <w:pPr>
        <w:pStyle w:val="Heading4"/>
        <w:rPr>
          <w:w w:val="108"/>
          <w:lang w:val="en-GB"/>
        </w:rPr>
      </w:pPr>
      <w:r w:rsidRPr="0071007C">
        <w:rPr>
          <w:lang w:val="en-GB"/>
        </w:rPr>
        <w:t>Relationships</w:t>
      </w:r>
      <w:r w:rsidRPr="00787639">
        <w:rPr>
          <w:spacing w:val="1"/>
          <w:w w:val="107"/>
          <w:lang w:val="en-GB"/>
        </w:rPr>
        <w:t xml:space="preserve"> </w:t>
      </w:r>
      <w:r w:rsidRPr="0071007C">
        <w:rPr>
          <w:lang w:val="en-GB"/>
        </w:rPr>
        <w:t xml:space="preserve">between ICH policies or institutions </w:t>
      </w:r>
      <w:r w:rsidR="003B7243">
        <w:rPr>
          <w:lang w:val="en-GB"/>
        </w:rPr>
        <w:br/>
      </w:r>
      <w:r w:rsidRPr="0071007C">
        <w:rPr>
          <w:lang w:val="en-GB"/>
        </w:rPr>
        <w:t>and other national</w:t>
      </w:r>
      <w:r w:rsidRPr="00787639">
        <w:rPr>
          <w:lang w:val="en-GB"/>
        </w:rPr>
        <w:t xml:space="preserve"> </w:t>
      </w:r>
      <w:r w:rsidRPr="00D44CAC">
        <w:rPr>
          <w:w w:val="108"/>
          <w:lang w:val="en-GB"/>
        </w:rPr>
        <w:t>frame</w:t>
      </w:r>
      <w:r w:rsidRPr="00D90418">
        <w:rPr>
          <w:spacing w:val="-3"/>
          <w:w w:val="108"/>
          <w:lang w:val="en-GB"/>
        </w:rPr>
        <w:t>w</w:t>
      </w:r>
      <w:r w:rsidRPr="00787639">
        <w:rPr>
          <w:w w:val="108"/>
          <w:lang w:val="en-GB"/>
        </w:rPr>
        <w:t>orks</w:t>
      </w:r>
    </w:p>
    <w:p w14:paraId="398CFED2" w14:textId="684E0093" w:rsidR="000E5B15" w:rsidRPr="00787639" w:rsidRDefault="001311F5" w:rsidP="002D5639">
      <w:pPr>
        <w:pStyle w:val="Texte1"/>
      </w:pPr>
      <w:r w:rsidRPr="00AD244C">
        <w:rPr>
          <w:noProof/>
          <w:lang w:val="es-ES_tradnl" w:eastAsia="es-ES_tradnl"/>
        </w:rPr>
        <w:drawing>
          <wp:anchor distT="0" distB="0" distL="114300" distR="114300" simplePos="0" relativeHeight="251739648" behindDoc="0" locked="0" layoutInCell="1" allowOverlap="1" wp14:anchorId="166411E2" wp14:editId="5C9239E3">
            <wp:simplePos x="0" y="0"/>
            <wp:positionH relativeFrom="column">
              <wp:posOffset>0</wp:posOffset>
            </wp:positionH>
            <wp:positionV relativeFrom="paragraph">
              <wp:posOffset>720090</wp:posOffset>
            </wp:positionV>
            <wp:extent cx="283695" cy="358970"/>
            <wp:effectExtent l="0" t="0" r="0" b="0"/>
            <wp:wrapThrough wrapText="bothSides">
              <wp:wrapPolygon edited="0">
                <wp:start x="0" y="0"/>
                <wp:lineTo x="0" y="19880"/>
                <wp:lineTo x="19372" y="19880"/>
                <wp:lineTo x="19372" y="0"/>
                <wp:lineTo x="0" y="0"/>
              </wp:wrapPolygon>
            </wp:wrapThrough>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695" cy="358970"/>
                    </a:xfrm>
                    <a:prstGeom prst="rect">
                      <a:avLst/>
                    </a:prstGeom>
                  </pic:spPr>
                </pic:pic>
              </a:graphicData>
            </a:graphic>
            <wp14:sizeRelH relativeFrom="page">
              <wp14:pctWidth>0</wp14:pctWidth>
            </wp14:sizeRelH>
            <wp14:sizeRelV relativeFrom="page">
              <wp14:pctHeight>0</wp14:pctHeight>
            </wp14:sizeRelV>
          </wp:anchor>
        </w:drawing>
      </w:r>
      <w:r w:rsidR="000E5B15" w:rsidRPr="00787639">
        <w:t>I</w:t>
      </w:r>
      <w:r w:rsidR="000E5B15" w:rsidRPr="00D44CAC">
        <w:t>n so</w:t>
      </w:r>
      <w:r w:rsidR="000E5B15" w:rsidRPr="00D90418">
        <w:t>me States tangible and intangible heritage are the responsibility of a single legislative and institutional framework; in others, these responsibilities are separated. Existing institutions may take on new functions required for super</w:t>
      </w:r>
      <w:r w:rsidR="000E5B15" w:rsidRPr="00787639">
        <w:t>vising aspects of the implementation of the Convention or new bodies may be created.</w:t>
      </w:r>
    </w:p>
    <w:p w14:paraId="7118810C" w14:textId="66C5C66C" w:rsidR="000E5B15" w:rsidRPr="00787639" w:rsidRDefault="00E13B6A" w:rsidP="002D5639">
      <w:pPr>
        <w:pStyle w:val="Informations"/>
      </w:pPr>
      <w:r w:rsidRPr="00787639">
        <w:t>C</w:t>
      </w:r>
      <w:r w:rsidR="00705E57">
        <w:t>ase study </w:t>
      </w:r>
      <w:r w:rsidR="000E5B15" w:rsidRPr="00787639">
        <w:t>29 provides an example of a range of State agencies that are involved in ICH safeguarding in South Africa.</w:t>
      </w:r>
    </w:p>
    <w:p w14:paraId="541BA37E" w14:textId="77777777" w:rsidR="000E5B15" w:rsidRPr="00787639" w:rsidRDefault="000E5B15" w:rsidP="002D5639">
      <w:pPr>
        <w:pStyle w:val="Texte1"/>
      </w:pPr>
      <w:r w:rsidRPr="00787639">
        <w:t>In States where government is fairly centralized, central institutions perform heritage functions under the guidance of a national ministry and its policies. The legal and administrative framework for implementing the Convention at the national level is usually not solely the brief of the Ministry of Culture or its equivalent. In many States, national Constitutions or Bills of Rights protect the rights of people to participate in cultural practice (as long as it does not infringe other human rights). Policy and legislation in agriculture, tourism, medicine, finance or other areas may (positively or negatively) affect how communities, NGOs and other institutions, and government agencies, can safeguard the ICH in their territory.</w:t>
      </w:r>
    </w:p>
    <w:p w14:paraId="435BF59C" w14:textId="77777777" w:rsidR="000E5B15" w:rsidRPr="00787639" w:rsidRDefault="000E5B15" w:rsidP="002D5639">
      <w:pPr>
        <w:pStyle w:val="Texte1"/>
      </w:pPr>
      <w:r w:rsidRPr="00787639">
        <w:t>In some countries, high inheritance taxes discourage people from handing down valuable traditional musical instruments or costumes in their possession to younger practitioners for their continued use in ICH practices; instead they are forced to sell them to museums or other</w:t>
      </w:r>
      <w:r w:rsidR="00B57BFE" w:rsidRPr="00787639">
        <w:t xml:space="preserve"> </w:t>
      </w:r>
      <w:r w:rsidRPr="00787639">
        <w:t>institutions. Appropriate changes in the law might encourage continued enactment of the ICH.</w:t>
      </w:r>
    </w:p>
    <w:p w14:paraId="39EA3D89" w14:textId="77777777" w:rsidR="00B57BFE" w:rsidRPr="00787639" w:rsidRDefault="004D318B" w:rsidP="00A853D3">
      <w:pPr>
        <w:pStyle w:val="Heading4"/>
        <w:rPr>
          <w:lang w:val="en-GB"/>
        </w:rPr>
      </w:pPr>
      <w:r w:rsidRPr="0071007C">
        <w:rPr>
          <w:lang w:val="en-GB"/>
        </w:rPr>
        <w:t>Danger of too much legislati</w:t>
      </w:r>
      <w:r w:rsidRPr="00787639">
        <w:rPr>
          <w:spacing w:val="-2"/>
          <w:w w:val="107"/>
          <w:lang w:val="en-GB"/>
        </w:rPr>
        <w:t>v</w:t>
      </w:r>
      <w:r w:rsidRPr="0071007C">
        <w:rPr>
          <w:lang w:val="en-GB"/>
        </w:rPr>
        <w:t>e cont</w:t>
      </w:r>
      <w:r w:rsidRPr="00787639">
        <w:rPr>
          <w:spacing w:val="-1"/>
          <w:w w:val="107"/>
          <w:lang w:val="en-GB"/>
        </w:rPr>
        <w:t>r</w:t>
      </w:r>
      <w:r w:rsidRPr="0071007C">
        <w:rPr>
          <w:lang w:val="en-GB"/>
        </w:rPr>
        <w:t>ol or administ</w:t>
      </w:r>
      <w:r w:rsidRPr="00787639">
        <w:rPr>
          <w:spacing w:val="-1"/>
          <w:w w:val="107"/>
          <w:lang w:val="en-GB"/>
        </w:rPr>
        <w:t>ra</w:t>
      </w:r>
      <w:r w:rsidRPr="0071007C">
        <w:rPr>
          <w:lang w:val="en-GB"/>
        </w:rPr>
        <w:t>ti</w:t>
      </w:r>
      <w:r w:rsidRPr="00787639">
        <w:rPr>
          <w:spacing w:val="-2"/>
          <w:w w:val="107"/>
          <w:lang w:val="en-GB"/>
        </w:rPr>
        <w:t>v</w:t>
      </w:r>
      <w:r w:rsidRPr="0071007C">
        <w:rPr>
          <w:lang w:val="en-GB"/>
        </w:rPr>
        <w:t>e</w:t>
      </w:r>
      <w:r w:rsidRPr="00787639">
        <w:rPr>
          <w:spacing w:val="-1"/>
          <w:w w:val="107"/>
          <w:lang w:val="en-GB"/>
        </w:rPr>
        <w:t xml:space="preserve"> </w:t>
      </w:r>
      <w:r w:rsidRPr="0071007C">
        <w:rPr>
          <w:lang w:val="en-GB"/>
        </w:rPr>
        <w:t>inter</w:t>
      </w:r>
      <w:r w:rsidRPr="00787639">
        <w:rPr>
          <w:spacing w:val="-2"/>
          <w:w w:val="107"/>
          <w:lang w:val="en-GB"/>
        </w:rPr>
        <w:t>v</w:t>
      </w:r>
      <w:r w:rsidRPr="0071007C">
        <w:rPr>
          <w:lang w:val="en-GB"/>
        </w:rPr>
        <w:t>ention</w:t>
      </w:r>
    </w:p>
    <w:p w14:paraId="6A477EC5" w14:textId="77777777" w:rsidR="004D318B" w:rsidRPr="00787639" w:rsidRDefault="004D318B" w:rsidP="002D5639">
      <w:pPr>
        <w:pStyle w:val="Texte1"/>
      </w:pPr>
      <w:r w:rsidRPr="00D44CAC">
        <w:t>Although the Convention encourages States Parties to implement legal and administrative measures, States Parties do not require formal legislation to implement the tasks that the</w:t>
      </w:r>
      <w:r w:rsidRPr="00D90418">
        <w:t>y are obliged to undertake in implementing the Convention. Paradoxically, too much legislative control or administrative intervention could also hinder ICH safeguarding: communities should be left as free as possible to decide when an</w:t>
      </w:r>
      <w:r w:rsidRPr="00787639">
        <w:t>d how they want to enact their ICH. Communities should also be left in control of their ICH, as long as their ICH practices and expressions comply with relevant legislation and policies in their States. State legislation and policy would hopefully not exclude any ICH that meets the definition of ICH in the Convention, nor should they appropriate the ICH of these communities to the State.</w:t>
      </w:r>
    </w:p>
    <w:p w14:paraId="53D728C7" w14:textId="325CDCDC" w:rsidR="004D318B" w:rsidRPr="0071007C" w:rsidRDefault="00955176" w:rsidP="00C82E38">
      <w:pPr>
        <w:pStyle w:val="Titcoul"/>
        <w:rPr>
          <w:lang w:val="en-GB"/>
        </w:rPr>
      </w:pPr>
      <w:bookmarkStart w:id="16" w:name="_Toc241229734"/>
      <w:bookmarkStart w:id="17" w:name="_Toc241229938"/>
      <w:bookmarkStart w:id="18" w:name="_Toc242165632"/>
      <w:r w:rsidRPr="0071007C">
        <w:rPr>
          <w:lang w:val="en-GB"/>
        </w:rPr>
        <w:t>10</w:t>
      </w:r>
      <w:r w:rsidR="004D318B" w:rsidRPr="0071007C">
        <w:rPr>
          <w:lang w:val="en-GB"/>
        </w:rPr>
        <w:t>.5</w:t>
      </w:r>
      <w:r w:rsidR="005672B3" w:rsidRPr="0071007C">
        <w:rPr>
          <w:lang w:val="en-GB"/>
        </w:rPr>
        <w:tab/>
      </w:r>
      <w:r w:rsidR="004D318B" w:rsidRPr="0071007C">
        <w:rPr>
          <w:lang w:val="en-GB"/>
        </w:rPr>
        <w:t>INSTITUTIONAL FRAMEWORKS</w:t>
      </w:r>
      <w:bookmarkEnd w:id="16"/>
      <w:bookmarkEnd w:id="17"/>
      <w:bookmarkEnd w:id="18"/>
    </w:p>
    <w:p w14:paraId="004432A3" w14:textId="45791685" w:rsidR="000E5B15" w:rsidRPr="00787639" w:rsidRDefault="00521548" w:rsidP="002D5639">
      <w:pPr>
        <w:pStyle w:val="Texte1"/>
      </w:pPr>
      <w:r w:rsidRPr="00AD244C">
        <w:rPr>
          <w:noProof/>
          <w:lang w:val="es-ES_tradnl" w:eastAsia="es-ES_tradnl"/>
        </w:rPr>
        <w:drawing>
          <wp:anchor distT="0" distB="0" distL="114300" distR="114300" simplePos="0" relativeHeight="251962880" behindDoc="0" locked="1" layoutInCell="1" allowOverlap="0" wp14:anchorId="0629E08D" wp14:editId="356B48CD">
            <wp:simplePos x="0" y="0"/>
            <wp:positionH relativeFrom="column">
              <wp:posOffset>0</wp:posOffset>
            </wp:positionH>
            <wp:positionV relativeFrom="paragraph">
              <wp:posOffset>279400</wp:posOffset>
            </wp:positionV>
            <wp:extent cx="283210" cy="358775"/>
            <wp:effectExtent l="0" t="0" r="0" b="0"/>
            <wp:wrapThrough wrapText="bothSides">
              <wp:wrapPolygon edited="0">
                <wp:start x="0" y="0"/>
                <wp:lineTo x="0" y="19880"/>
                <wp:lineTo x="19372" y="19880"/>
                <wp:lineTo x="19372" y="0"/>
                <wp:lineTo x="0" y="0"/>
              </wp:wrapPolygon>
            </wp:wrapThrough>
            <wp:docPr id="149" name="Imag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4D318B" w:rsidRPr="00787639">
        <w:t>The</w:t>
      </w:r>
      <w:r w:rsidR="004D318B" w:rsidRPr="00D44CAC">
        <w:t xml:space="preserve"> types of activities for which, following the Convention and its Operational Directives, various institutions</w:t>
      </w:r>
      <w:r w:rsidR="004D318B" w:rsidRPr="00D90418">
        <w:t xml:space="preserve"> could assist (with community participation and consent) in ICH safeguarding were summarized in </w:t>
      </w:r>
      <w:r w:rsidR="00595B57">
        <w:t>Participant’s </w:t>
      </w:r>
      <w:r w:rsidR="00C61BCD" w:rsidRPr="00787639">
        <w:t>text</w:t>
      </w:r>
      <w:r w:rsidR="004D318B" w:rsidRPr="00787639">
        <w:t xml:space="preserve"> </w:t>
      </w:r>
      <w:r w:rsidR="00B85260">
        <w:t>Unit </w:t>
      </w:r>
      <w:r w:rsidR="00955176" w:rsidRPr="00787639">
        <w:t>4</w:t>
      </w:r>
      <w:r w:rsidR="004D318B" w:rsidRPr="00787639">
        <w:t>.8. Institutions may, of course, also work directly with communities on their own initiative if the communities concerned agree. The activities they undertake do not have to be centralized, but they may need to be coordinated to maximize efficiency and avoid duplication.</w:t>
      </w:r>
    </w:p>
    <w:p w14:paraId="5357509C" w14:textId="32E57F4F" w:rsidR="004D318B" w:rsidRPr="00787639" w:rsidRDefault="004D318B" w:rsidP="002D5639">
      <w:pPr>
        <w:pStyle w:val="Texte1"/>
      </w:pPr>
      <w:r w:rsidRPr="00787639">
        <w:t>The Operational Directives encourage States Parties to create a consultative body or a coordination mechanism to facilitate community and expert par</w:t>
      </w:r>
      <w:r w:rsidR="003205A3">
        <w:t>ticipation in various tasks (OD </w:t>
      </w:r>
      <w:r w:rsidRPr="00787639">
        <w:t>80). States Parties are under no obligation to create such bodies, but it is advisable for them to consider how community participation in ICH safeguarding can be ensured and the coordination of safeguarding activities achieved. Proof of community participation – and sometimes also their consent – is re</w:t>
      </w:r>
      <w:r w:rsidR="003205A3">
        <w:t>quired in periodic reports (ODs </w:t>
      </w:r>
      <w:r w:rsidRPr="00787639">
        <w:t>157(e) and 162(d</w:t>
      </w:r>
      <w:r w:rsidR="003205A3">
        <w:t>)) and in nomination files (ODs </w:t>
      </w:r>
      <w:r w:rsidRPr="00787639">
        <w:t>1–2).</w:t>
      </w:r>
    </w:p>
    <w:p w14:paraId="57BC4FC2" w14:textId="446F0395" w:rsidR="004D318B" w:rsidRPr="0071007C" w:rsidRDefault="00955176" w:rsidP="00C82E38">
      <w:pPr>
        <w:pStyle w:val="Titcoul"/>
        <w:rPr>
          <w:lang w:val="en-GB"/>
        </w:rPr>
      </w:pPr>
      <w:bookmarkStart w:id="19" w:name="_Toc241229735"/>
      <w:bookmarkStart w:id="20" w:name="_Toc241229939"/>
      <w:bookmarkStart w:id="21" w:name="_Toc242165633"/>
      <w:r w:rsidRPr="0071007C">
        <w:rPr>
          <w:lang w:val="en-GB"/>
        </w:rPr>
        <w:t>10</w:t>
      </w:r>
      <w:r w:rsidR="004D318B" w:rsidRPr="0071007C">
        <w:rPr>
          <w:lang w:val="en-GB"/>
        </w:rPr>
        <w:t>.6</w:t>
      </w:r>
      <w:r w:rsidR="0063095F" w:rsidRPr="0071007C">
        <w:rPr>
          <w:lang w:val="en-GB"/>
        </w:rPr>
        <w:tab/>
      </w:r>
      <w:r w:rsidR="004D318B" w:rsidRPr="0071007C">
        <w:rPr>
          <w:lang w:val="en-GB"/>
        </w:rPr>
        <w:t xml:space="preserve">INTELLECTUAL PROPERTY RIGHTS PROTECTION </w:t>
      </w:r>
      <w:r w:rsidR="00871D61" w:rsidRPr="0071007C">
        <w:rPr>
          <w:lang w:val="en-GB"/>
        </w:rPr>
        <w:tab/>
      </w:r>
      <w:r w:rsidR="00871D61" w:rsidRPr="0071007C">
        <w:rPr>
          <w:lang w:val="en-GB"/>
        </w:rPr>
        <w:br/>
      </w:r>
      <w:r w:rsidR="004D318B" w:rsidRPr="0071007C">
        <w:rPr>
          <w:lang w:val="en-GB"/>
        </w:rPr>
        <w:t>AT THE NATIONAL LEVEL</w:t>
      </w:r>
      <w:bookmarkEnd w:id="19"/>
      <w:bookmarkEnd w:id="20"/>
      <w:bookmarkEnd w:id="21"/>
    </w:p>
    <w:p w14:paraId="6E4C9A98" w14:textId="3C86C3F4" w:rsidR="004D318B" w:rsidRPr="00D90418" w:rsidRDefault="001311F5" w:rsidP="002D5639">
      <w:pPr>
        <w:pStyle w:val="Texte1"/>
      </w:pPr>
      <w:r w:rsidRPr="00AD244C">
        <w:rPr>
          <w:noProof/>
          <w:lang w:val="es-ES_tradnl" w:eastAsia="es-ES_tradnl"/>
        </w:rPr>
        <w:drawing>
          <wp:anchor distT="0" distB="0" distL="114300" distR="114300" simplePos="0" relativeHeight="251741696" behindDoc="0" locked="0" layoutInCell="1" allowOverlap="1" wp14:anchorId="1C4CCE1C" wp14:editId="19F2A1AB">
            <wp:simplePos x="0" y="0"/>
            <wp:positionH relativeFrom="column">
              <wp:posOffset>0</wp:posOffset>
            </wp:positionH>
            <wp:positionV relativeFrom="paragraph">
              <wp:posOffset>828040</wp:posOffset>
            </wp:positionV>
            <wp:extent cx="283695" cy="358970"/>
            <wp:effectExtent l="0" t="0" r="0" b="0"/>
            <wp:wrapThrough wrapText="bothSides">
              <wp:wrapPolygon edited="0">
                <wp:start x="0" y="0"/>
                <wp:lineTo x="0" y="19880"/>
                <wp:lineTo x="19372" y="19880"/>
                <wp:lineTo x="19372" y="0"/>
                <wp:lineTo x="0" y="0"/>
              </wp:wrapPolygon>
            </wp:wrapThrough>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695" cy="358970"/>
                    </a:xfrm>
                    <a:prstGeom prst="rect">
                      <a:avLst/>
                    </a:prstGeom>
                  </pic:spPr>
                </pic:pic>
              </a:graphicData>
            </a:graphic>
            <wp14:sizeRelH relativeFrom="page">
              <wp14:pctWidth>0</wp14:pctWidth>
            </wp14:sizeRelH>
            <wp14:sizeRelV relativeFrom="page">
              <wp14:pctHeight>0</wp14:pctHeight>
            </wp14:sizeRelV>
          </wp:anchor>
        </w:drawing>
      </w:r>
      <w:r w:rsidR="004D318B" w:rsidRPr="00787639">
        <w:t>The</w:t>
      </w:r>
      <w:r w:rsidR="004D318B" w:rsidRPr="00D44CAC">
        <w:t xml:space="preserve"> Convention focuses on safeguarding ICH rather than on legally protecting specific manifestations of ICH through intellectual property </w:t>
      </w:r>
      <w:r w:rsidR="003205A3">
        <w:t>rights (IPR) regimes. OD </w:t>
      </w:r>
      <w:r w:rsidR="004D318B" w:rsidRPr="00D44CAC">
        <w:t xml:space="preserve">104 does recommend, however, that States Parties ensure, through the application of IPR </w:t>
      </w:r>
      <w:r w:rsidR="004D318B" w:rsidRPr="00D90418">
        <w:t>or other forms of legal protection, that community rights over their ICH are duly protected during awareness-raising and when commercial activities are developed.</w:t>
      </w:r>
    </w:p>
    <w:p w14:paraId="0BD3A040" w14:textId="75D4417E" w:rsidR="004D318B" w:rsidRPr="00787639" w:rsidRDefault="004D318B" w:rsidP="002D5639">
      <w:pPr>
        <w:pStyle w:val="Informations"/>
      </w:pPr>
      <w:r w:rsidRPr="00787639">
        <w:t xml:space="preserve">See </w:t>
      </w:r>
      <w:r w:rsidR="00705E57">
        <w:t>Participant’s </w:t>
      </w:r>
      <w:r w:rsidR="00C61BCD" w:rsidRPr="00787639">
        <w:t>text</w:t>
      </w:r>
      <w:r w:rsidRPr="00787639">
        <w:t xml:space="preserve"> </w:t>
      </w:r>
      <w:r w:rsidR="00B85260">
        <w:t>Unit </w:t>
      </w:r>
      <w:r w:rsidR="00002A62" w:rsidRPr="00787639">
        <w:t>3</w:t>
      </w:r>
      <w:r w:rsidR="00E86AD3">
        <w:t>: ‘Intellectual property’</w:t>
      </w:r>
      <w:r w:rsidRPr="00787639">
        <w:t>.</w:t>
      </w:r>
    </w:p>
    <w:p w14:paraId="50B7616F" w14:textId="77777777" w:rsidR="004D318B" w:rsidRPr="00787639" w:rsidRDefault="004D318B" w:rsidP="002D5639">
      <w:pPr>
        <w:pStyle w:val="Texte1"/>
      </w:pPr>
      <w:r w:rsidRPr="00787639">
        <w:t>Some existing types of IP protection, such as trademarks or certification marks, can help to protect the IPR associated with ICH, including moral rights. Existing IPR regimes cannot always protect community rights over their ICH, however, and in some countries intellectual property law has thus been amended to enable this to occur. For example, traditional knowledge can be registered in a special database (such as the Traditional Knowledge Digital Library, or TKDL, in India) to prevent commercial patents being taken out on it without community participation or consent.</w:t>
      </w:r>
    </w:p>
    <w:p w14:paraId="2621C348" w14:textId="77777777" w:rsidR="004D318B" w:rsidRPr="00787639" w:rsidRDefault="004D318B" w:rsidP="00A853D3">
      <w:pPr>
        <w:pStyle w:val="Heading4"/>
        <w:rPr>
          <w:w w:val="105"/>
          <w:lang w:val="en-GB"/>
        </w:rPr>
      </w:pPr>
      <w:r w:rsidRPr="00787639">
        <w:rPr>
          <w:w w:val="105"/>
          <w:lang w:val="en-GB"/>
        </w:rPr>
        <w:t>How</w:t>
      </w:r>
      <w:r w:rsidRPr="00787639">
        <w:rPr>
          <w:spacing w:val="6"/>
          <w:w w:val="105"/>
          <w:lang w:val="en-GB"/>
        </w:rPr>
        <w:t xml:space="preserve"> </w:t>
      </w:r>
      <w:r w:rsidRPr="00787639">
        <w:rPr>
          <w:w w:val="105"/>
          <w:lang w:val="en-GB"/>
        </w:rPr>
        <w:t>IPR</w:t>
      </w:r>
      <w:r w:rsidRPr="00787639">
        <w:rPr>
          <w:spacing w:val="6"/>
          <w:w w:val="105"/>
          <w:lang w:val="en-GB"/>
        </w:rPr>
        <w:t xml:space="preserve"> </w:t>
      </w:r>
      <w:r w:rsidRPr="00787639">
        <w:rPr>
          <w:w w:val="105"/>
          <w:lang w:val="en-GB"/>
        </w:rPr>
        <w:t>protection</w:t>
      </w:r>
      <w:r w:rsidRPr="00787639">
        <w:rPr>
          <w:spacing w:val="5"/>
          <w:w w:val="105"/>
          <w:lang w:val="en-GB"/>
        </w:rPr>
        <w:t xml:space="preserve"> </w:t>
      </w:r>
      <w:r w:rsidRPr="00787639">
        <w:rPr>
          <w:w w:val="105"/>
          <w:lang w:val="en-GB"/>
        </w:rPr>
        <w:t>can</w:t>
      </w:r>
      <w:r w:rsidRPr="00787639">
        <w:rPr>
          <w:spacing w:val="5"/>
          <w:w w:val="105"/>
          <w:lang w:val="en-GB"/>
        </w:rPr>
        <w:t xml:space="preserve"> </w:t>
      </w:r>
      <w:r w:rsidRPr="00787639">
        <w:rPr>
          <w:w w:val="105"/>
          <w:lang w:val="en-GB"/>
        </w:rPr>
        <w:t>benefit</w:t>
      </w:r>
      <w:r w:rsidRPr="00787639">
        <w:rPr>
          <w:spacing w:val="5"/>
          <w:w w:val="105"/>
          <w:lang w:val="en-GB"/>
        </w:rPr>
        <w:t xml:space="preserve"> </w:t>
      </w:r>
      <w:r w:rsidRPr="00787639">
        <w:rPr>
          <w:w w:val="105"/>
          <w:lang w:val="en-GB"/>
        </w:rPr>
        <w:t>the</w:t>
      </w:r>
      <w:r w:rsidRPr="00787639">
        <w:rPr>
          <w:spacing w:val="5"/>
          <w:w w:val="105"/>
          <w:lang w:val="en-GB"/>
        </w:rPr>
        <w:t xml:space="preserve"> </w:t>
      </w:r>
      <w:r w:rsidRPr="00787639">
        <w:rPr>
          <w:w w:val="105"/>
          <w:lang w:val="en-GB"/>
        </w:rPr>
        <w:t>communities</w:t>
      </w:r>
      <w:r w:rsidRPr="00787639">
        <w:rPr>
          <w:spacing w:val="5"/>
          <w:w w:val="105"/>
          <w:lang w:val="en-GB"/>
        </w:rPr>
        <w:t xml:space="preserve"> </w:t>
      </w:r>
      <w:r w:rsidRPr="00787639">
        <w:rPr>
          <w:w w:val="105"/>
          <w:lang w:val="en-GB"/>
        </w:rPr>
        <w:t>concerned</w:t>
      </w:r>
    </w:p>
    <w:p w14:paraId="784D6078" w14:textId="77777777" w:rsidR="004D318B" w:rsidRPr="00787639" w:rsidRDefault="004D318B" w:rsidP="002D5639">
      <w:pPr>
        <w:pStyle w:val="Texte1"/>
      </w:pPr>
      <w:r w:rsidRPr="00787639">
        <w:t>Through modified IPR regimes and other mechanisms, companies interested in the commercialization of ICH knowledge or expressions could be encouraged or forced to develop benefit-sharing agreements with the communities concerned. Protecting IP rights can help communities retain better control over economic benefits gained from different types of ICH, from access to performances, the sale of recordings and of products associated with their traditional knowledge or skills. It can also help communities to fight against misrepresentation of themselves and their ICH. It is often ignorance of the law and an inability to enforce it that prevents communities from protecting their rights in respect of their heritage. Communities can be helped, where necessary, to negotiate agreements that protect their rights and interests.</w:t>
      </w:r>
    </w:p>
    <w:p w14:paraId="4B7AC817" w14:textId="77777777" w:rsidR="004D318B" w:rsidRPr="00787639" w:rsidRDefault="004D318B" w:rsidP="002D5639">
      <w:pPr>
        <w:pStyle w:val="Texte1"/>
      </w:pPr>
      <w:r w:rsidRPr="00787639">
        <w:t>IPR protection is sometimes difficult to enforce and it cannot necessarily address broader problems of poverty and social marginalization. In some circumstances, putting non-secret information about ICH in the public domain and focusing on community development projects may also be an effective driver of development.</w:t>
      </w:r>
    </w:p>
    <w:p w14:paraId="405AF4CB" w14:textId="0CB6B006" w:rsidR="004D318B" w:rsidRPr="0071007C" w:rsidRDefault="00955176" w:rsidP="00C82E38">
      <w:pPr>
        <w:pStyle w:val="Titcoul"/>
        <w:rPr>
          <w:lang w:val="en-GB"/>
        </w:rPr>
      </w:pPr>
      <w:bookmarkStart w:id="22" w:name="_Toc241229736"/>
      <w:bookmarkStart w:id="23" w:name="_Toc241229940"/>
      <w:bookmarkStart w:id="24" w:name="_Toc242165634"/>
      <w:r w:rsidRPr="0071007C">
        <w:rPr>
          <w:lang w:val="en-GB"/>
        </w:rPr>
        <w:t>10</w:t>
      </w:r>
      <w:r w:rsidR="004D318B" w:rsidRPr="0071007C">
        <w:rPr>
          <w:lang w:val="en-GB"/>
        </w:rPr>
        <w:t>.7</w:t>
      </w:r>
      <w:r w:rsidR="001311F5" w:rsidRPr="0071007C">
        <w:rPr>
          <w:lang w:val="en-GB"/>
        </w:rPr>
        <w:tab/>
      </w:r>
      <w:r w:rsidR="004D318B" w:rsidRPr="0071007C">
        <w:rPr>
          <w:lang w:val="en-GB"/>
        </w:rPr>
        <w:t>THE INTERNATIONAL CONTEXT</w:t>
      </w:r>
      <w:bookmarkEnd w:id="22"/>
      <w:bookmarkEnd w:id="23"/>
      <w:bookmarkEnd w:id="24"/>
    </w:p>
    <w:p w14:paraId="7C6DF2CC" w14:textId="77777777" w:rsidR="004D318B" w:rsidRPr="00787639" w:rsidRDefault="004D318B" w:rsidP="002D5639">
      <w:pPr>
        <w:pStyle w:val="Texte1"/>
      </w:pPr>
      <w:r w:rsidRPr="00787639">
        <w:t xml:space="preserve">The way in which the Intangible Heritage Convention is implemented and the </w:t>
      </w:r>
      <w:r w:rsidRPr="00D44CAC">
        <w:t>ICH safeguarded at the national level is influenced from the international level by conventions, recommendations and declarations, codes of ethics, codes of conduct and other authoritative documents.</w:t>
      </w:r>
      <w:r w:rsidRPr="00D90418">
        <w:t xml:space="preserve"> Through networking at the international level, various international organizations such as research centres or NGOs may also influence the way the Convention is implemented, not only in the international arena, but also at a national</w:t>
      </w:r>
      <w:r w:rsidRPr="00787639">
        <w:t xml:space="preserve"> level.</w:t>
      </w:r>
    </w:p>
    <w:p w14:paraId="21088142" w14:textId="77777777" w:rsidR="004D318B" w:rsidRPr="00787639" w:rsidRDefault="004D318B" w:rsidP="002D5639">
      <w:pPr>
        <w:pStyle w:val="Texte1"/>
      </w:pPr>
      <w:r w:rsidRPr="00787639">
        <w:t>Legal instruments and institutions at the international level relevant for the interpretation and implementation of the ICH Convention include:</w:t>
      </w:r>
    </w:p>
    <w:p w14:paraId="5E539246" w14:textId="77777777" w:rsidR="004D318B" w:rsidRPr="00787639" w:rsidRDefault="004D318B" w:rsidP="002D5639">
      <w:pPr>
        <w:pStyle w:val="Enutiret"/>
      </w:pPr>
      <w:r w:rsidRPr="00787639">
        <w:t>international human rights instruments (</w:t>
      </w:r>
      <w:r w:rsidR="00DD01F3" w:rsidRPr="00787639">
        <w:t>Article </w:t>
      </w:r>
      <w:r w:rsidRPr="00787639">
        <w:t>2.1);</w:t>
      </w:r>
    </w:p>
    <w:p w14:paraId="471F6457" w14:textId="202C81C7" w:rsidR="004D318B" w:rsidRPr="00787639" w:rsidRDefault="004D318B" w:rsidP="002D5639">
      <w:pPr>
        <w:pStyle w:val="Enutiret"/>
      </w:pPr>
      <w:r w:rsidRPr="00787639">
        <w:t xml:space="preserve">the World Heritage Convention (mentioned in </w:t>
      </w:r>
      <w:r w:rsidR="00DD01F3" w:rsidRPr="00787639">
        <w:t>Article </w:t>
      </w:r>
      <w:r w:rsidRPr="00787639">
        <w:t>3(a) of the ICH</w:t>
      </w:r>
      <w:r w:rsidR="00CD6F55">
        <w:t xml:space="preserve"> </w:t>
      </w:r>
      <w:r w:rsidRPr="00787639">
        <w:t>Convention) and other UNESCO Conventions in the field of heritage and culture;</w:t>
      </w:r>
    </w:p>
    <w:p w14:paraId="1A594070" w14:textId="77777777" w:rsidR="004D318B" w:rsidRPr="00787639" w:rsidRDefault="004D318B" w:rsidP="002D5639">
      <w:pPr>
        <w:pStyle w:val="Enutiret"/>
      </w:pPr>
      <w:r w:rsidRPr="00787639">
        <w:t>international instruments relating to intellectual property and the use of</w:t>
      </w:r>
      <w:r w:rsidR="00F34ADD" w:rsidRPr="00787639">
        <w:t xml:space="preserve"> </w:t>
      </w:r>
      <w:r w:rsidRPr="00787639">
        <w:t xml:space="preserve">biological and ecological resources (mentioned in </w:t>
      </w:r>
      <w:r w:rsidR="00DD01F3" w:rsidRPr="00787639">
        <w:t>Article </w:t>
      </w:r>
      <w:r w:rsidRPr="00787639">
        <w:t>3(b)), including guidelines to be drawn up by the World Intellectual Property Organization (WIPO); and</w:t>
      </w:r>
    </w:p>
    <w:p w14:paraId="6D09D290" w14:textId="28936D11" w:rsidR="004D318B" w:rsidRPr="00787639" w:rsidRDefault="004D318B" w:rsidP="002D5639">
      <w:pPr>
        <w:pStyle w:val="Enutiret"/>
      </w:pPr>
      <w:proofErr w:type="gramStart"/>
      <w:r w:rsidRPr="00787639">
        <w:t>international</w:t>
      </w:r>
      <w:proofErr w:type="gramEnd"/>
      <w:r w:rsidRPr="00787639">
        <w:t>, bilateral and regional cooperation mechanisms (</w:t>
      </w:r>
      <w:r w:rsidR="00DD01F3" w:rsidRPr="00787639">
        <w:t>Article </w:t>
      </w:r>
      <w:r w:rsidRPr="00787639">
        <w:t>19),</w:t>
      </w:r>
      <w:r w:rsidR="00DD01F3" w:rsidRPr="00787639">
        <w:t xml:space="preserve"> </w:t>
      </w:r>
      <w:r w:rsidR="00075193">
        <w:t>including networks and category 2</w:t>
      </w:r>
      <w:r w:rsidR="003205A3">
        <w:t xml:space="preserve"> centres (ODs </w:t>
      </w:r>
      <w:r w:rsidRPr="00787639">
        <w:t>86 and 88).</w:t>
      </w:r>
    </w:p>
    <w:p w14:paraId="2CDFE243" w14:textId="5B82CE5B" w:rsidR="004D318B" w:rsidRPr="008315EC" w:rsidRDefault="004D318B" w:rsidP="00D258A6">
      <w:pPr>
        <w:pStyle w:val="Texte1"/>
      </w:pPr>
      <w:r w:rsidRPr="00320A0E">
        <w:t>The international instrum</w:t>
      </w:r>
      <w:r w:rsidRPr="00150F56">
        <w:t xml:space="preserve">ents mentioned under the first three bullet points above are discussed in </w:t>
      </w:r>
      <w:proofErr w:type="gramStart"/>
      <w:r w:rsidRPr="00150F56">
        <w:t>th</w:t>
      </w:r>
      <w:proofErr w:type="gramEnd"/>
      <w:r w:rsidR="000E38A5" w:rsidRPr="00CA0D12">
        <w:rPr>
          <w:noProof/>
          <w:lang w:val="es-ES_tradnl" w:eastAsia="es-ES_tradnl"/>
        </w:rPr>
        <w:drawing>
          <wp:anchor distT="0" distB="0" distL="114300" distR="114300" simplePos="0" relativeHeight="252074496" behindDoc="0" locked="1" layoutInCell="1" allowOverlap="0" wp14:anchorId="578BD7EB" wp14:editId="1EEDCB03">
            <wp:simplePos x="0" y="0"/>
            <wp:positionH relativeFrom="column">
              <wp:posOffset>0</wp:posOffset>
            </wp:positionH>
            <wp:positionV relativeFrom="paragraph">
              <wp:posOffset>50800</wp:posOffset>
            </wp:positionV>
            <wp:extent cx="283210" cy="358775"/>
            <wp:effectExtent l="0" t="0" r="2540" b="3175"/>
            <wp:wrapThrough wrapText="bothSides">
              <wp:wrapPolygon edited="0">
                <wp:start x="0" y="0"/>
                <wp:lineTo x="0" y="20644"/>
                <wp:lineTo x="20341" y="20644"/>
                <wp:lineTo x="20341" y="0"/>
                <wp:lineTo x="0" y="0"/>
              </wp:wrapPolygon>
            </wp:wrapThrough>
            <wp:docPr id="277" name="Imag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320A0E">
        <w:t>e</w:t>
      </w:r>
      <w:r w:rsidRPr="00150F56">
        <w:t xml:space="preserve"> following sections of this </w:t>
      </w:r>
      <w:r w:rsidR="00A31F35" w:rsidRPr="00150F56">
        <w:t>unit</w:t>
      </w:r>
      <w:r w:rsidRPr="00150F56">
        <w:t xml:space="preserve">; the international cooperation mechanisms referred to under the fourth point are discussed in </w:t>
      </w:r>
      <w:r w:rsidR="00595B57">
        <w:t>Participant’s </w:t>
      </w:r>
      <w:r w:rsidR="00C61BCD" w:rsidRPr="00612E93">
        <w:t>text</w:t>
      </w:r>
      <w:r w:rsidRPr="00B43374">
        <w:t xml:space="preserve"> </w:t>
      </w:r>
      <w:r w:rsidR="00A853D3" w:rsidRPr="00B73CA7">
        <w:t>Unit</w:t>
      </w:r>
      <w:r w:rsidR="00B85260">
        <w:t> </w:t>
      </w:r>
      <w:r w:rsidR="003967C2" w:rsidRPr="00CA0D12">
        <w:t>12</w:t>
      </w:r>
      <w:r w:rsidRPr="00CA0D12">
        <w:t>.</w:t>
      </w:r>
    </w:p>
    <w:p w14:paraId="23F7F93C" w14:textId="53F1E2A5" w:rsidR="004D318B" w:rsidRPr="0071007C" w:rsidRDefault="00955176" w:rsidP="00C82E38">
      <w:pPr>
        <w:pStyle w:val="Titcoul"/>
        <w:rPr>
          <w:lang w:val="en-GB"/>
        </w:rPr>
      </w:pPr>
      <w:bookmarkStart w:id="25" w:name="_Toc241229737"/>
      <w:bookmarkStart w:id="26" w:name="_Toc241229941"/>
      <w:bookmarkStart w:id="27" w:name="_Toc242165635"/>
      <w:r w:rsidRPr="0071007C">
        <w:rPr>
          <w:lang w:val="en-GB"/>
        </w:rPr>
        <w:t>10</w:t>
      </w:r>
      <w:r w:rsidR="004D318B" w:rsidRPr="0071007C">
        <w:rPr>
          <w:lang w:val="en-GB"/>
        </w:rPr>
        <w:t>.8</w:t>
      </w:r>
      <w:r w:rsidR="0063095F" w:rsidRPr="0071007C">
        <w:rPr>
          <w:lang w:val="en-GB"/>
        </w:rPr>
        <w:tab/>
      </w:r>
      <w:r w:rsidR="004D318B" w:rsidRPr="0071007C">
        <w:rPr>
          <w:lang w:val="en-GB"/>
        </w:rPr>
        <w:t>INTERNATIONAL HUMAN RIGHTS INSTRUMENTS</w:t>
      </w:r>
      <w:bookmarkEnd w:id="25"/>
      <w:bookmarkEnd w:id="26"/>
      <w:bookmarkEnd w:id="27"/>
    </w:p>
    <w:p w14:paraId="7B2144EA" w14:textId="77777777" w:rsidR="004D318B" w:rsidRPr="00D90418" w:rsidRDefault="004D318B" w:rsidP="002D5639">
      <w:pPr>
        <w:pStyle w:val="Texte1"/>
      </w:pPr>
      <w:r w:rsidRPr="00787639">
        <w:t>The</w:t>
      </w:r>
      <w:r w:rsidRPr="00D44CAC">
        <w:t xml:space="preserve"> Convention refer</w:t>
      </w:r>
      <w:r w:rsidRPr="00D90418">
        <w:t>s to a number of international human rights instruments in its Preamble:</w:t>
      </w:r>
    </w:p>
    <w:p w14:paraId="465DC835" w14:textId="77777777" w:rsidR="004D318B" w:rsidRPr="00787639" w:rsidRDefault="004D318B" w:rsidP="002D5639">
      <w:pPr>
        <w:pStyle w:val="citation"/>
      </w:pPr>
      <w:r w:rsidRPr="00787639">
        <w:t>Referring to existing international human rights instruments, in particular to the Universal Declaration on Human Rights of 1948, the International Covenant on Economic, Social and Cultural Rights of 1966, and the International Covenant on Civil and Political Rights of 1966 …</w:t>
      </w:r>
    </w:p>
    <w:p w14:paraId="16D67532" w14:textId="77777777" w:rsidR="004D318B" w:rsidRPr="00787639" w:rsidRDefault="00DD01F3" w:rsidP="002D5639">
      <w:pPr>
        <w:pStyle w:val="Texte1"/>
      </w:pPr>
      <w:r w:rsidRPr="00787639">
        <w:rPr>
          <w:b/>
        </w:rPr>
        <w:t>Article </w:t>
      </w:r>
      <w:r w:rsidR="004D318B" w:rsidRPr="00787639">
        <w:rPr>
          <w:b/>
        </w:rPr>
        <w:t>2.1</w:t>
      </w:r>
      <w:r w:rsidR="004D318B" w:rsidRPr="00787639">
        <w:t xml:space="preserve"> states that only ICH compatible with international human rights instruments will be taken into account under the Convention:</w:t>
      </w:r>
    </w:p>
    <w:p w14:paraId="3C5AADC5" w14:textId="77777777" w:rsidR="004D318B" w:rsidRPr="00787639" w:rsidRDefault="002D13BF" w:rsidP="002D5639">
      <w:pPr>
        <w:pStyle w:val="citation"/>
      </w:pPr>
      <w:r w:rsidRPr="00787639">
        <w:t xml:space="preserve">… For the purposes of this Convention, consideration will be given </w:t>
      </w:r>
      <w:r w:rsidR="004D318B" w:rsidRPr="00787639">
        <w:t>solely to such intangible cultural heritage as is compatible with existing international human rights instruments …</w:t>
      </w:r>
    </w:p>
    <w:p w14:paraId="7DC937A7" w14:textId="589056FA" w:rsidR="004D318B" w:rsidRPr="000E1D9D" w:rsidRDefault="004D318B" w:rsidP="00592FD3">
      <w:pPr>
        <w:pStyle w:val="Texte1"/>
      </w:pPr>
      <w:r w:rsidRPr="00482544">
        <w:t>There are of course oth</w:t>
      </w:r>
      <w:r w:rsidRPr="000E1D9D">
        <w:t>er human rights instruments, not specifically mentioned in the Convention, that are relevant in this respect. Especially relevant is the widely endorsed UN Declaration on the Rights of Indigenous Peoples (2007),</w:t>
      </w:r>
      <w:r w:rsidR="00592FD3">
        <w:rPr>
          <w:rStyle w:val="FootnoteReference"/>
        </w:rPr>
        <w:footnoteReference w:id="5"/>
      </w:r>
      <w:r w:rsidR="00150F56" w:rsidRPr="000E1D9D">
        <w:t xml:space="preserve"> </w:t>
      </w:r>
      <w:r w:rsidRPr="000E1D9D">
        <w:t>which recognizes that ‘respect for indigenous knowledge, cultures and traditional practices contributes to sustainable and equitable development’. It stresses that indigenous people have the ‘right to practise and revitalize their cultural traditions and customs’ and to ‘the dignity and diversity of their cultures, traditions, histories and aspirations’, including traditional medicines. They also have the right to ‘maintain, control, protect and develop their cultural heritage, traditional knowledge and traditional cultural expressions’. Moreover: ‘Indigenous peoples and individuals have the right not to be subjected to forced assimilation or destruction of their culture’.</w:t>
      </w:r>
    </w:p>
    <w:p w14:paraId="2B6900BF" w14:textId="0190ABD6" w:rsidR="004D318B" w:rsidRPr="0071007C" w:rsidRDefault="00955176" w:rsidP="00C82E38">
      <w:pPr>
        <w:pStyle w:val="Titcoul"/>
        <w:rPr>
          <w:lang w:val="en-GB"/>
        </w:rPr>
      </w:pPr>
      <w:bookmarkStart w:id="29" w:name="_Toc241229738"/>
      <w:bookmarkStart w:id="30" w:name="_Toc241229942"/>
      <w:bookmarkStart w:id="31" w:name="_Toc242165636"/>
      <w:r w:rsidRPr="0071007C">
        <w:rPr>
          <w:lang w:val="en-GB"/>
        </w:rPr>
        <w:t>10</w:t>
      </w:r>
      <w:r w:rsidR="004D318B" w:rsidRPr="0071007C">
        <w:rPr>
          <w:lang w:val="en-GB"/>
        </w:rPr>
        <w:t>.9</w:t>
      </w:r>
      <w:r w:rsidR="00B14A6D" w:rsidRPr="0071007C">
        <w:rPr>
          <w:lang w:val="en-GB"/>
        </w:rPr>
        <w:tab/>
      </w:r>
      <w:r w:rsidR="004D318B" w:rsidRPr="0071007C">
        <w:rPr>
          <w:lang w:val="en-GB"/>
        </w:rPr>
        <w:t>WORLD HERITAGE CONVENTION</w:t>
      </w:r>
      <w:bookmarkEnd w:id="29"/>
      <w:bookmarkEnd w:id="30"/>
      <w:bookmarkEnd w:id="31"/>
    </w:p>
    <w:p w14:paraId="764E7B9F" w14:textId="77777777" w:rsidR="004D318B" w:rsidRPr="00787639" w:rsidRDefault="004D318B" w:rsidP="002D5639">
      <w:pPr>
        <w:pStyle w:val="Texte1"/>
      </w:pPr>
      <w:r w:rsidRPr="00787639">
        <w:t>The</w:t>
      </w:r>
      <w:r w:rsidRPr="00D44CAC">
        <w:t xml:space="preserve"> World Heritage Convention is mentioned in </w:t>
      </w:r>
      <w:r w:rsidR="00DD01F3" w:rsidRPr="00D90418">
        <w:t>Article </w:t>
      </w:r>
      <w:r w:rsidRPr="00787639">
        <w:t>3(a) of the Intangible Heritage Convention:</w:t>
      </w:r>
    </w:p>
    <w:p w14:paraId="3BE9739B" w14:textId="77777777" w:rsidR="004D318B" w:rsidRPr="00787639" w:rsidRDefault="004D318B" w:rsidP="002D5639">
      <w:pPr>
        <w:pStyle w:val="citation"/>
      </w:pPr>
      <w:r w:rsidRPr="00787639">
        <w:t>Nothing in this Convention may be interpreted as:</w:t>
      </w:r>
    </w:p>
    <w:p w14:paraId="0604CA11" w14:textId="77777777" w:rsidR="004D318B" w:rsidRPr="00787639" w:rsidRDefault="004D318B" w:rsidP="002D5639">
      <w:pPr>
        <w:pStyle w:val="numrationa"/>
      </w:pPr>
      <w:r w:rsidRPr="00787639">
        <w:t>(a)</w:t>
      </w:r>
      <w:r w:rsidR="002D13BF" w:rsidRPr="00787639">
        <w:tab/>
      </w:r>
      <w:r w:rsidRPr="00787639">
        <w:t>altering the status or diminishing the level of protection under the</w:t>
      </w:r>
      <w:r w:rsidR="002D13BF" w:rsidRPr="00787639">
        <w:t xml:space="preserve"> </w:t>
      </w:r>
      <w:r w:rsidRPr="00787639">
        <w:t>1972 Convention concerning the Protection of the World Cultural and Natural Heritage of World Heritage properties with which an item of the intangible cultural heritage is directly associated …</w:t>
      </w:r>
    </w:p>
    <w:p w14:paraId="00C8AFF8" w14:textId="77777777" w:rsidR="004D318B" w:rsidRPr="00787639" w:rsidRDefault="004D318B" w:rsidP="002D5639">
      <w:pPr>
        <w:pStyle w:val="Texte1"/>
      </w:pPr>
      <w:r w:rsidRPr="00787639">
        <w:t xml:space="preserve">A number of ICH elements listed on the Representative List or Urgent Safeguarding List are indeed enacted by communities on or near World Heritage sites. For example, the Rice Terraces of the Philippine Cordilleras are on the World Heritage List; the </w:t>
      </w:r>
      <w:proofErr w:type="spellStart"/>
      <w:r w:rsidRPr="00787639">
        <w:t>Ifugao</w:t>
      </w:r>
      <w:proofErr w:type="spellEnd"/>
      <w:r w:rsidRPr="00787639">
        <w:t xml:space="preserve"> live near and work on these terraces. Their </w:t>
      </w:r>
      <w:proofErr w:type="spellStart"/>
      <w:r w:rsidRPr="00787639">
        <w:t>Hudhud</w:t>
      </w:r>
      <w:proofErr w:type="spellEnd"/>
      <w:r w:rsidRPr="00787639">
        <w:t xml:space="preserve"> chants, narrative chants traditionally performed when working on the rice terraces and in specific rituals, are inscribed on the Representative List of the Intangible Heritage Convention. In this case, there is a very organic relationship between the site, the community concerned and their ICH. The protection of the rice terraces and the safeguarding of the </w:t>
      </w:r>
      <w:proofErr w:type="spellStart"/>
      <w:r w:rsidRPr="00787639">
        <w:t>Hudhud</w:t>
      </w:r>
      <w:proofErr w:type="spellEnd"/>
      <w:r w:rsidRPr="00787639">
        <w:t xml:space="preserve"> chants are closely intertwined and mutually profitable for the </w:t>
      </w:r>
      <w:proofErr w:type="spellStart"/>
      <w:r w:rsidRPr="00787639">
        <w:t>Ifugao</w:t>
      </w:r>
      <w:proofErr w:type="spellEnd"/>
      <w:r w:rsidRPr="00787639">
        <w:t xml:space="preserve"> community concerned.</w:t>
      </w:r>
    </w:p>
    <w:p w14:paraId="2E135CA4" w14:textId="50680293" w:rsidR="004D318B" w:rsidRPr="00D90418" w:rsidRDefault="001311F5" w:rsidP="002D5639">
      <w:pPr>
        <w:pStyle w:val="Informations"/>
      </w:pPr>
      <w:r w:rsidRPr="00AD244C">
        <w:rPr>
          <w:noProof/>
          <w:lang w:val="es-ES_tradnl" w:eastAsia="es-ES_tradnl"/>
        </w:rPr>
        <w:drawing>
          <wp:anchor distT="0" distB="0" distL="114300" distR="114300" simplePos="0" relativeHeight="251743744" behindDoc="0" locked="0" layoutInCell="1" allowOverlap="1" wp14:anchorId="3CF44D18" wp14:editId="49166D53">
            <wp:simplePos x="0" y="0"/>
            <wp:positionH relativeFrom="column">
              <wp:posOffset>0</wp:posOffset>
            </wp:positionH>
            <wp:positionV relativeFrom="paragraph">
              <wp:posOffset>36195</wp:posOffset>
            </wp:positionV>
            <wp:extent cx="283695" cy="358970"/>
            <wp:effectExtent l="0" t="0" r="0" b="0"/>
            <wp:wrapThrough wrapText="bothSides">
              <wp:wrapPolygon edited="0">
                <wp:start x="0" y="0"/>
                <wp:lineTo x="0" y="19880"/>
                <wp:lineTo x="19372" y="19880"/>
                <wp:lineTo x="19372" y="0"/>
                <wp:lineTo x="0" y="0"/>
              </wp:wrapPolygon>
            </wp:wrapThrough>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695" cy="358970"/>
                    </a:xfrm>
                    <a:prstGeom prst="rect">
                      <a:avLst/>
                    </a:prstGeom>
                  </pic:spPr>
                </pic:pic>
              </a:graphicData>
            </a:graphic>
            <wp14:sizeRelH relativeFrom="page">
              <wp14:pctWidth>0</wp14:pctWidth>
            </wp14:sizeRelH>
            <wp14:sizeRelV relativeFrom="page">
              <wp14:pctHeight>0</wp14:pctHeight>
            </wp14:sizeRelV>
          </wp:anchor>
        </w:drawing>
      </w:r>
      <w:r w:rsidR="004D318B" w:rsidRPr="00787639">
        <w:t>Refer</w:t>
      </w:r>
      <w:r w:rsidR="004D318B" w:rsidRPr="00D44CAC">
        <w:t xml:space="preserve"> to </w:t>
      </w:r>
      <w:r w:rsidR="001518B6">
        <w:t>C</w:t>
      </w:r>
      <w:r w:rsidR="001518B6" w:rsidRPr="00D44CAC">
        <w:t>ase</w:t>
      </w:r>
      <w:r w:rsidR="001518B6" w:rsidRPr="00D90418">
        <w:t xml:space="preserve"> </w:t>
      </w:r>
      <w:r w:rsidR="00705E57">
        <w:t>study </w:t>
      </w:r>
      <w:r w:rsidR="004D318B" w:rsidRPr="00D90418">
        <w:t xml:space="preserve">33, for more information on the </w:t>
      </w:r>
      <w:proofErr w:type="spellStart"/>
      <w:r w:rsidR="004D318B" w:rsidRPr="00D90418">
        <w:t>Hudhud</w:t>
      </w:r>
      <w:proofErr w:type="spellEnd"/>
      <w:r w:rsidR="004D318B" w:rsidRPr="00D90418">
        <w:t xml:space="preserve"> chants.</w:t>
      </w:r>
    </w:p>
    <w:p w14:paraId="37D5C51D" w14:textId="79FED0CF" w:rsidR="004D318B" w:rsidRPr="00787639" w:rsidRDefault="004D318B" w:rsidP="002D5639">
      <w:pPr>
        <w:pStyle w:val="Informations"/>
      </w:pPr>
      <w:r w:rsidRPr="00787639">
        <w:t xml:space="preserve">See </w:t>
      </w:r>
      <w:r w:rsidR="00C61BCD" w:rsidRPr="00787639">
        <w:t>Participant’</w:t>
      </w:r>
      <w:r w:rsidR="00595B57">
        <w:t>s </w:t>
      </w:r>
      <w:r w:rsidR="00C61BCD" w:rsidRPr="00787639">
        <w:t>text</w:t>
      </w:r>
      <w:r w:rsidRPr="00787639">
        <w:t xml:space="preserve"> </w:t>
      </w:r>
      <w:r w:rsidR="00A853D3" w:rsidRPr="00787639">
        <w:t>Unit</w:t>
      </w:r>
      <w:r w:rsidR="00B85260">
        <w:t> </w:t>
      </w:r>
      <w:r w:rsidR="005E0EFD" w:rsidRPr="00787639">
        <w:t xml:space="preserve">13 </w:t>
      </w:r>
      <w:r w:rsidRPr="00787639">
        <w:t>for more information on the World Heritage Convention.</w:t>
      </w:r>
    </w:p>
    <w:p w14:paraId="1EF7BE18" w14:textId="58FDE373" w:rsidR="004D318B" w:rsidRPr="0071007C" w:rsidRDefault="00955176" w:rsidP="00C82E38">
      <w:pPr>
        <w:pStyle w:val="Titcoul"/>
        <w:rPr>
          <w:lang w:val="en-GB"/>
        </w:rPr>
      </w:pPr>
      <w:bookmarkStart w:id="32" w:name="_Toc241229739"/>
      <w:bookmarkStart w:id="33" w:name="_Toc241229943"/>
      <w:bookmarkStart w:id="34" w:name="_Toc242165637"/>
      <w:r w:rsidRPr="0071007C">
        <w:rPr>
          <w:lang w:val="en-GB"/>
        </w:rPr>
        <w:t>10</w:t>
      </w:r>
      <w:r w:rsidR="004D318B" w:rsidRPr="0071007C">
        <w:rPr>
          <w:lang w:val="en-GB"/>
        </w:rPr>
        <w:t>.10</w:t>
      </w:r>
      <w:r w:rsidR="0063095F" w:rsidRPr="0071007C">
        <w:rPr>
          <w:lang w:val="en-GB"/>
        </w:rPr>
        <w:tab/>
      </w:r>
      <w:r w:rsidR="004D318B" w:rsidRPr="0071007C">
        <w:rPr>
          <w:lang w:val="en-GB"/>
        </w:rPr>
        <w:t xml:space="preserve">OTHER INTERNATIONAL LEGAL INSTRUMENTS </w:t>
      </w:r>
      <w:r w:rsidR="00871D61" w:rsidRPr="0071007C">
        <w:rPr>
          <w:lang w:val="en-GB"/>
        </w:rPr>
        <w:tab/>
      </w:r>
      <w:r w:rsidR="00871D61" w:rsidRPr="0071007C">
        <w:rPr>
          <w:lang w:val="en-GB"/>
        </w:rPr>
        <w:br/>
      </w:r>
      <w:r w:rsidR="004D318B" w:rsidRPr="0071007C">
        <w:rPr>
          <w:lang w:val="en-GB"/>
        </w:rPr>
        <w:t>REFERRED TO IN THE CONVENTION</w:t>
      </w:r>
      <w:bookmarkEnd w:id="32"/>
      <w:bookmarkEnd w:id="33"/>
      <w:bookmarkEnd w:id="34"/>
    </w:p>
    <w:p w14:paraId="214464B4" w14:textId="77777777" w:rsidR="004D318B" w:rsidRPr="00787639" w:rsidRDefault="004D318B" w:rsidP="002D5639">
      <w:pPr>
        <w:pStyle w:val="Texte1"/>
      </w:pPr>
      <w:r w:rsidRPr="00787639">
        <w:t>O</w:t>
      </w:r>
      <w:r w:rsidRPr="00D44CAC">
        <w:t>ther types of international instrument</w:t>
      </w:r>
      <w:r w:rsidRPr="00D90418">
        <w:t xml:space="preserve">s are also alluded to in </w:t>
      </w:r>
      <w:r w:rsidR="00DD01F3" w:rsidRPr="003205A3">
        <w:t>Article </w:t>
      </w:r>
      <w:r w:rsidRPr="003205A3">
        <w:t>3</w:t>
      </w:r>
      <w:r w:rsidRPr="00787639">
        <w:t xml:space="preserve"> of the Convention:</w:t>
      </w:r>
    </w:p>
    <w:p w14:paraId="57D819E4" w14:textId="77777777" w:rsidR="004D318B" w:rsidRPr="00787639" w:rsidRDefault="004D318B" w:rsidP="002D5639">
      <w:pPr>
        <w:pStyle w:val="citation"/>
      </w:pPr>
      <w:r w:rsidRPr="00787639">
        <w:t>Nothing in this Convention may be interpreted as: …</w:t>
      </w:r>
    </w:p>
    <w:p w14:paraId="18662B21" w14:textId="49EA6E69" w:rsidR="004D318B" w:rsidRPr="00787639" w:rsidRDefault="004D318B" w:rsidP="002D5639">
      <w:pPr>
        <w:pStyle w:val="numrationa"/>
      </w:pPr>
      <w:r w:rsidRPr="00787639">
        <w:t>(b)</w:t>
      </w:r>
      <w:r w:rsidR="002D13BF" w:rsidRPr="00787639">
        <w:tab/>
      </w:r>
      <w:r w:rsidR="0047474E" w:rsidRPr="00787639">
        <w:t>…</w:t>
      </w:r>
      <w:r w:rsidRPr="00787639">
        <w:t>affecting the rights and obligations of States Parties deriving from</w:t>
      </w:r>
      <w:r w:rsidR="002D13BF" w:rsidRPr="00787639">
        <w:t xml:space="preserve"> </w:t>
      </w:r>
      <w:r w:rsidRPr="00787639">
        <w:t>any international instrument relating to intellectual property rights or to the use of biological and ecological resources to which they are parties.</w:t>
      </w:r>
    </w:p>
    <w:p w14:paraId="229148AA" w14:textId="77777777" w:rsidR="004D318B" w:rsidRPr="00787639" w:rsidRDefault="004D318B" w:rsidP="002D5639">
      <w:pPr>
        <w:pStyle w:val="Texte1"/>
      </w:pPr>
      <w:r w:rsidRPr="00787639">
        <w:t>In this context it is appropriate to introduce briefly the attempts by the World Intellectual Property Organization (WIPO) to draft an internal legal instrument for the protection of intellectual property rights (IPR) over ICH and related issues, and the 1992 UN Convention on Biological Diversity (CBD).</w:t>
      </w:r>
    </w:p>
    <w:p w14:paraId="3A9D53A9" w14:textId="77777777" w:rsidR="004D318B" w:rsidRPr="0071007C" w:rsidRDefault="004D318B" w:rsidP="00A853D3">
      <w:pPr>
        <w:pStyle w:val="Heading4"/>
        <w:rPr>
          <w:lang w:val="en-GB"/>
        </w:rPr>
      </w:pPr>
      <w:r w:rsidRPr="0071007C">
        <w:rPr>
          <w:lang w:val="en-GB"/>
        </w:rPr>
        <w:t>World</w:t>
      </w:r>
      <w:r w:rsidRPr="00787639">
        <w:rPr>
          <w:spacing w:val="7"/>
          <w:w w:val="107"/>
          <w:lang w:val="en-GB"/>
        </w:rPr>
        <w:t xml:space="preserve"> </w:t>
      </w:r>
      <w:r w:rsidRPr="0071007C">
        <w:rPr>
          <w:lang w:val="en-GB"/>
        </w:rPr>
        <w:t>Intellectual</w:t>
      </w:r>
      <w:r w:rsidRPr="00787639">
        <w:rPr>
          <w:spacing w:val="7"/>
          <w:w w:val="107"/>
          <w:lang w:val="en-GB"/>
        </w:rPr>
        <w:t xml:space="preserve"> </w:t>
      </w:r>
      <w:r w:rsidRPr="0071007C">
        <w:rPr>
          <w:lang w:val="en-GB"/>
        </w:rPr>
        <w:t>Property</w:t>
      </w:r>
      <w:r w:rsidRPr="00787639">
        <w:rPr>
          <w:spacing w:val="7"/>
          <w:w w:val="107"/>
          <w:lang w:val="en-GB"/>
        </w:rPr>
        <w:t xml:space="preserve"> </w:t>
      </w:r>
      <w:r w:rsidRPr="0071007C">
        <w:rPr>
          <w:lang w:val="en-GB"/>
        </w:rPr>
        <w:t>Organization</w:t>
      </w:r>
      <w:r w:rsidRPr="00787639">
        <w:rPr>
          <w:spacing w:val="6"/>
          <w:w w:val="107"/>
          <w:lang w:val="en-GB"/>
        </w:rPr>
        <w:t xml:space="preserve"> </w:t>
      </w:r>
      <w:r w:rsidRPr="0071007C">
        <w:rPr>
          <w:lang w:val="en-GB"/>
        </w:rPr>
        <w:t>(WIPO)</w:t>
      </w:r>
    </w:p>
    <w:p w14:paraId="409F532F" w14:textId="77777777" w:rsidR="004D318B" w:rsidRPr="00787639" w:rsidRDefault="004D318B" w:rsidP="002D5639">
      <w:pPr>
        <w:pStyle w:val="Texte1"/>
      </w:pPr>
      <w:r w:rsidRPr="00787639">
        <w:t>The</w:t>
      </w:r>
      <w:r w:rsidRPr="00D44CAC">
        <w:t xml:space="preserve"> WIPO Intergovernmental Committee on Intellectual Property and Genetic Resources, </w:t>
      </w:r>
      <w:r w:rsidRPr="00D90418">
        <w:t>Traditional Knowledge and Folklore has, for a number of years, been discussing the desirability and possible provisions for an international standard-setting instrument dealing with IPR over practices and expressions that by and large</w:t>
      </w:r>
      <w:r w:rsidRPr="00787639">
        <w:t xml:space="preserve"> fall under the definition of ICH of the Intangible Heritage Convention. There is a good chance that such a standard-setting text, probably a Convention, will be finalized in a few years, in spite of the obvious problems that it faces: ways have to be found to determine who is a member of a community and who can speak – or assume rights – in the name of that community; the ever-changing character of ICH must be taken into account; and the Member States of WIPO have different vested interests, as do industries, for instance the pharmaceutical and cultural industries. (Note that the Member States of WIPO and UNESCO almost completely coincide.)</w:t>
      </w:r>
    </w:p>
    <w:p w14:paraId="3B471548" w14:textId="77777777" w:rsidR="004D318B" w:rsidRPr="00787639" w:rsidRDefault="004D318B" w:rsidP="002D5639">
      <w:pPr>
        <w:pStyle w:val="Texte1"/>
      </w:pPr>
      <w:r w:rsidRPr="00787639">
        <w:t xml:space="preserve">Various regional agreements on IP instruments to protect community rights over their ICH are already in force. The African Regional Intellectual Property Organization (ARIPO), for example, has recently developed a Legal Instrument for the Protection of Traditional Knowledge and Expressions of Folklore (2007) and the </w:t>
      </w:r>
      <w:proofErr w:type="spellStart"/>
      <w:r w:rsidRPr="00787639">
        <w:t>Swakopmund</w:t>
      </w:r>
      <w:proofErr w:type="spellEnd"/>
      <w:r w:rsidRPr="00787639">
        <w:t xml:space="preserve"> Protocol on the Protection of Traditional Knowledge and Expressions of Folklore (2010).</w:t>
      </w:r>
    </w:p>
    <w:p w14:paraId="31083184" w14:textId="1F0B8D4B" w:rsidR="004D318B" w:rsidRPr="0071007C" w:rsidRDefault="00D96C17" w:rsidP="00A853D3">
      <w:pPr>
        <w:pStyle w:val="Heading4"/>
        <w:rPr>
          <w:lang w:val="en-GB"/>
        </w:rPr>
      </w:pPr>
      <w:r w:rsidRPr="0071007C">
        <w:rPr>
          <w:lang w:val="en-GB"/>
        </w:rPr>
        <w:t xml:space="preserve">UN </w:t>
      </w:r>
      <w:r w:rsidR="004D318B" w:rsidRPr="00787639">
        <w:rPr>
          <w:spacing w:val="-3"/>
          <w:w w:val="107"/>
          <w:lang w:val="en-GB"/>
        </w:rPr>
        <w:t>C</w:t>
      </w:r>
      <w:r w:rsidR="004D318B" w:rsidRPr="0071007C">
        <w:rPr>
          <w:lang w:val="en-GB"/>
        </w:rPr>
        <w:t>o</w:t>
      </w:r>
      <w:r w:rsidR="004D318B" w:rsidRPr="00787639">
        <w:rPr>
          <w:spacing w:val="-3"/>
          <w:w w:val="107"/>
          <w:lang w:val="en-GB"/>
        </w:rPr>
        <w:t>nv</w:t>
      </w:r>
      <w:r w:rsidR="004D318B" w:rsidRPr="0071007C">
        <w:rPr>
          <w:lang w:val="en-GB"/>
        </w:rPr>
        <w:t>e</w:t>
      </w:r>
      <w:r w:rsidR="004D318B" w:rsidRPr="00787639">
        <w:rPr>
          <w:spacing w:val="-1"/>
          <w:w w:val="107"/>
          <w:lang w:val="en-GB"/>
        </w:rPr>
        <w:t>n</w:t>
      </w:r>
      <w:r w:rsidR="004D318B" w:rsidRPr="0071007C">
        <w:rPr>
          <w:lang w:val="en-GB"/>
        </w:rPr>
        <w:t>tion</w:t>
      </w:r>
      <w:r w:rsidR="004D318B" w:rsidRPr="00787639">
        <w:rPr>
          <w:spacing w:val="-1"/>
          <w:w w:val="107"/>
          <w:lang w:val="en-GB"/>
        </w:rPr>
        <w:t xml:space="preserve"> </w:t>
      </w:r>
      <w:r w:rsidR="004D318B" w:rsidRPr="0071007C">
        <w:rPr>
          <w:lang w:val="en-GB"/>
        </w:rPr>
        <w:t>on</w:t>
      </w:r>
      <w:r w:rsidR="004D318B" w:rsidRPr="00787639">
        <w:rPr>
          <w:spacing w:val="-1"/>
          <w:w w:val="107"/>
          <w:lang w:val="en-GB"/>
        </w:rPr>
        <w:t xml:space="preserve"> </w:t>
      </w:r>
      <w:r w:rsidR="004D318B" w:rsidRPr="0071007C">
        <w:rPr>
          <w:lang w:val="en-GB"/>
        </w:rPr>
        <w:t>Biological</w:t>
      </w:r>
      <w:r w:rsidR="004D318B" w:rsidRPr="00787639">
        <w:rPr>
          <w:spacing w:val="-1"/>
          <w:w w:val="107"/>
          <w:lang w:val="en-GB"/>
        </w:rPr>
        <w:t xml:space="preserve"> </w:t>
      </w:r>
      <w:r w:rsidR="004D318B" w:rsidRPr="0071007C">
        <w:rPr>
          <w:lang w:val="en-GB"/>
        </w:rPr>
        <w:t>Di</w:t>
      </w:r>
      <w:r w:rsidR="004D318B" w:rsidRPr="00787639">
        <w:rPr>
          <w:spacing w:val="-3"/>
          <w:w w:val="107"/>
          <w:lang w:val="en-GB"/>
        </w:rPr>
        <w:t>v</w:t>
      </w:r>
      <w:r w:rsidR="004D318B" w:rsidRPr="0071007C">
        <w:rPr>
          <w:lang w:val="en-GB"/>
        </w:rPr>
        <w:t>ersity</w:t>
      </w:r>
      <w:r w:rsidR="004D318B" w:rsidRPr="00787639">
        <w:rPr>
          <w:spacing w:val="-2"/>
          <w:w w:val="107"/>
          <w:lang w:val="en-GB"/>
        </w:rPr>
        <w:t xml:space="preserve"> </w:t>
      </w:r>
      <w:r w:rsidR="004D318B" w:rsidRPr="00D44CAC">
        <w:rPr>
          <w:spacing w:val="-5"/>
          <w:w w:val="107"/>
          <w:lang w:val="en-GB"/>
        </w:rPr>
        <w:t>(</w:t>
      </w:r>
      <w:r w:rsidR="004D318B" w:rsidRPr="0071007C">
        <w:rPr>
          <w:lang w:val="en-GB"/>
        </w:rPr>
        <w:t>CB</w:t>
      </w:r>
      <w:r w:rsidR="004D318B" w:rsidRPr="00787639">
        <w:rPr>
          <w:spacing w:val="-4"/>
          <w:w w:val="107"/>
          <w:lang w:val="en-GB"/>
        </w:rPr>
        <w:t>D</w:t>
      </w:r>
      <w:r w:rsidR="004D318B" w:rsidRPr="0071007C">
        <w:rPr>
          <w:lang w:val="en-GB"/>
        </w:rPr>
        <w:t>)</w:t>
      </w:r>
    </w:p>
    <w:p w14:paraId="22605DEF" w14:textId="77777777" w:rsidR="004D318B" w:rsidRPr="00787639" w:rsidRDefault="004D318B" w:rsidP="002D5639">
      <w:pPr>
        <w:pStyle w:val="Texte1"/>
      </w:pPr>
      <w:r w:rsidRPr="00787639">
        <w:t>T</w:t>
      </w:r>
      <w:r w:rsidRPr="00D44CAC">
        <w:t>he Convention on Biological Diversity came into force at the end of 1993 and has now been ratified by most UN Member States. It creates a legally binding commitment on States Parties to cons</w:t>
      </w:r>
      <w:r w:rsidRPr="00D90418">
        <w:t>erve biological diversity, to use its components sustainably and to share equitably the benefits arising from the use of genetic resources. The CBD encourages States Parties to develop, recognize and protect the rights of indigenous c</w:t>
      </w:r>
      <w:r w:rsidRPr="00787639">
        <w:t>ommunities and individuals over their traditional practices relating to the conservation and sustainable use of biological diversity.</w:t>
      </w:r>
    </w:p>
    <w:p w14:paraId="66007084" w14:textId="193839E9" w:rsidR="004D318B" w:rsidRPr="0071007C" w:rsidRDefault="00955176" w:rsidP="00C82E38">
      <w:pPr>
        <w:pStyle w:val="Titcoul"/>
        <w:rPr>
          <w:lang w:val="en-GB"/>
        </w:rPr>
      </w:pPr>
      <w:bookmarkStart w:id="35" w:name="_Toc241229740"/>
      <w:bookmarkStart w:id="36" w:name="_Toc241229944"/>
      <w:bookmarkStart w:id="37" w:name="_Toc242165638"/>
      <w:r w:rsidRPr="0071007C">
        <w:rPr>
          <w:lang w:val="en-GB"/>
        </w:rPr>
        <w:t>10</w:t>
      </w:r>
      <w:r w:rsidR="004D318B" w:rsidRPr="0071007C">
        <w:rPr>
          <w:lang w:val="en-GB"/>
        </w:rPr>
        <w:t>.11</w:t>
      </w:r>
      <w:r w:rsidR="00441E29" w:rsidRPr="0071007C">
        <w:rPr>
          <w:lang w:val="en-GB"/>
        </w:rPr>
        <w:tab/>
      </w:r>
      <w:r w:rsidR="004D318B" w:rsidRPr="0071007C">
        <w:rPr>
          <w:lang w:val="en-GB"/>
        </w:rPr>
        <w:t>GUIDELINES AND CODES OF ETHICS</w:t>
      </w:r>
      <w:bookmarkEnd w:id="35"/>
      <w:bookmarkEnd w:id="36"/>
      <w:bookmarkEnd w:id="37"/>
    </w:p>
    <w:p w14:paraId="39E957DD" w14:textId="0F387416" w:rsidR="004D318B" w:rsidRPr="00787639" w:rsidRDefault="00817F2E" w:rsidP="002D5639">
      <w:pPr>
        <w:pStyle w:val="Texte1"/>
      </w:pPr>
      <w:r w:rsidRPr="00AD244C">
        <w:rPr>
          <w:noProof/>
          <w:lang w:val="es-ES_tradnl" w:eastAsia="es-ES_tradnl"/>
        </w:rPr>
        <w:drawing>
          <wp:anchor distT="0" distB="0" distL="114300" distR="114300" simplePos="0" relativeHeight="251897344" behindDoc="0" locked="1" layoutInCell="1" allowOverlap="0" wp14:anchorId="30C6D8AE" wp14:editId="308D3E83">
            <wp:simplePos x="0" y="0"/>
            <wp:positionH relativeFrom="column">
              <wp:posOffset>0</wp:posOffset>
            </wp:positionH>
            <wp:positionV relativeFrom="paragraph">
              <wp:posOffset>0</wp:posOffset>
            </wp:positionV>
            <wp:extent cx="283210" cy="358775"/>
            <wp:effectExtent l="0" t="0" r="0" b="0"/>
            <wp:wrapThrough wrapText="bothSides">
              <wp:wrapPolygon edited="0">
                <wp:start x="0" y="0"/>
                <wp:lineTo x="0" y="19880"/>
                <wp:lineTo x="19372" y="19880"/>
                <wp:lineTo x="19372" y="0"/>
                <wp:lineTo x="0" y="0"/>
              </wp:wrapPolygon>
            </wp:wrapThrough>
            <wp:docPr id="120" name="Imag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1">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4D318B" w:rsidRPr="00787639">
        <w:t>Various communities, professional associations and organizations around the world have drafted guidelines or codes of ethi</w:t>
      </w:r>
      <w:r w:rsidR="004D318B" w:rsidRPr="00D44CAC">
        <w:t xml:space="preserve">cs that can (or in some cases must) be used by people doing ICH-related research, safeguarding or awareness </w:t>
      </w:r>
      <w:proofErr w:type="gramStart"/>
      <w:r w:rsidR="004D318B" w:rsidRPr="00D44CAC">
        <w:t>raising</w:t>
      </w:r>
      <w:proofErr w:type="gramEnd"/>
      <w:r w:rsidR="004D318B" w:rsidRPr="00D44CAC">
        <w:t xml:space="preserve">. Some are international in nature, others have more restricted applicability. Governments and institutions may also draw up </w:t>
      </w:r>
      <w:r w:rsidR="004D318B" w:rsidRPr="00D90418">
        <w:t>their own guidelines or codes of ethics to ensure that community rights are protected. The Operational Directives encourage States Parties to develop and adopt codes of ethics to ensure that awareness-raising is undertaken in the spir</w:t>
      </w:r>
      <w:r w:rsidR="003205A3">
        <w:t>it of the Convention (OD </w:t>
      </w:r>
      <w:r w:rsidR="004D318B" w:rsidRPr="00787639">
        <w:t>103). There are, of course, many other types of activities under the Convention for which such codes might also be developed.</w:t>
      </w:r>
    </w:p>
    <w:p w14:paraId="71252567" w14:textId="156822EA" w:rsidR="004D318B" w:rsidRPr="00D90418" w:rsidRDefault="004D318B" w:rsidP="0071007C">
      <w:pPr>
        <w:pStyle w:val="Texte1"/>
      </w:pPr>
      <w:r w:rsidRPr="00787639">
        <w:t xml:space="preserve">WIPO has commissioned surveys of codes, protocols, policies, practices and standard agreements relating to the safeguarding of, access to, ownership of and control over cultural heritage in a number of regions of the world. WIPO believes these can serve as an empirical basis for the eventual development of best </w:t>
      </w:r>
      <w:r w:rsidR="00CD6F55">
        <w:t>practices and guidelines.</w:t>
      </w:r>
      <w:r w:rsidRPr="00787639">
        <w:t xml:space="preserve"> </w:t>
      </w:r>
    </w:p>
    <w:p w14:paraId="3918CCFD" w14:textId="173E30B4" w:rsidR="004D318B" w:rsidRPr="00787639" w:rsidRDefault="00E13B6A" w:rsidP="002D5639">
      <w:pPr>
        <w:pStyle w:val="Informations"/>
      </w:pPr>
      <w:r w:rsidRPr="00787639">
        <w:t>C</w:t>
      </w:r>
      <w:r w:rsidR="00705E57">
        <w:t>ase study </w:t>
      </w:r>
      <w:r w:rsidR="004D318B" w:rsidRPr="00787639">
        <w:t>31, discusses the system by which authorization to carry out research among indigenous groups is managed in Brazil.</w:t>
      </w:r>
    </w:p>
    <w:p w14:paraId="4768922E" w14:textId="57E81AD6" w:rsidR="00BF57B3" w:rsidRPr="00E86AD3" w:rsidRDefault="0047474E" w:rsidP="00E86AD3">
      <w:pPr>
        <w:pStyle w:val="Informations"/>
      </w:pPr>
      <w:r w:rsidRPr="00AD244C">
        <w:rPr>
          <w:noProof/>
          <w:lang w:val="es-ES_tradnl" w:eastAsia="es-ES_tradnl"/>
        </w:rPr>
        <w:drawing>
          <wp:anchor distT="0" distB="0" distL="114300" distR="114300" simplePos="0" relativeHeight="252076544" behindDoc="0" locked="1" layoutInCell="1" allowOverlap="0" wp14:anchorId="3D331E6A" wp14:editId="0C940356">
            <wp:simplePos x="0" y="0"/>
            <wp:positionH relativeFrom="column">
              <wp:posOffset>1905</wp:posOffset>
            </wp:positionH>
            <wp:positionV relativeFrom="paragraph">
              <wp:posOffset>-396875</wp:posOffset>
            </wp:positionV>
            <wp:extent cx="283210" cy="358775"/>
            <wp:effectExtent l="0" t="0" r="2540" b="3175"/>
            <wp:wrapThrough wrapText="bothSides">
              <wp:wrapPolygon edited="0">
                <wp:start x="0" y="0"/>
                <wp:lineTo x="0" y="20644"/>
                <wp:lineTo x="20341" y="20644"/>
                <wp:lineTo x="20341" y="0"/>
                <wp:lineTo x="0" y="0"/>
              </wp:wrapPolygon>
            </wp:wrapThrough>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E13B6A" w:rsidRPr="00787639">
        <w:t>C</w:t>
      </w:r>
      <w:r w:rsidR="00705E57">
        <w:t>ase study </w:t>
      </w:r>
      <w:r w:rsidR="004D318B" w:rsidRPr="00D44CAC">
        <w:t xml:space="preserve">32, describes the Hopi research protocol </w:t>
      </w:r>
      <w:r w:rsidR="004D318B" w:rsidRPr="00D90418">
        <w:t>that states how the Hopi people in the USA would like their intellectual resources and traditional cultural expressions to be used by others.</w:t>
      </w:r>
    </w:p>
    <w:sectPr w:rsidR="00BF57B3" w:rsidRPr="00E86AD3" w:rsidSect="00D552FE">
      <w:headerReference w:type="even" r:id="rId12"/>
      <w:headerReference w:type="default" r:id="rId13"/>
      <w:footerReference w:type="even" r:id="rId14"/>
      <w:footerReference w:type="default" r:id="rId15"/>
      <w:headerReference w:type="first" r:id="rId16"/>
      <w:footerReference w:type="first" r:id="rId17"/>
      <w:footnotePr>
        <w:numRestart w:val="eachSect"/>
      </w:footnotePr>
      <w:type w:val="oddPage"/>
      <w:pgSz w:w="11900" w:h="16820" w:code="9"/>
      <w:pgMar w:top="1701" w:right="1531" w:bottom="1701" w:left="1531" w:header="720" w:footer="720" w:gutter="0"/>
      <w:pgNumType w:start="1"/>
      <w:cols w:space="720"/>
      <w:noEndnote/>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DF9651" w15:done="0"/>
  <w15:commentEx w15:paraId="3369F391" w15:done="0"/>
  <w15:commentEx w15:paraId="02B1C38B" w15:done="0"/>
  <w15:commentEx w15:paraId="3C5C1B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5CD36" w14:textId="77777777" w:rsidR="00501845" w:rsidRDefault="00501845" w:rsidP="000F4C6A">
      <w:r>
        <w:separator/>
      </w:r>
    </w:p>
    <w:p w14:paraId="262E9671" w14:textId="77777777" w:rsidR="00501845" w:rsidRDefault="00501845"/>
  </w:endnote>
  <w:endnote w:type="continuationSeparator" w:id="0">
    <w:p w14:paraId="26A4114D" w14:textId="77777777" w:rsidR="00501845" w:rsidRDefault="00501845" w:rsidP="000F4C6A">
      <w:r>
        <w:continuationSeparator/>
      </w:r>
    </w:p>
    <w:p w14:paraId="7F3872B0" w14:textId="77777777" w:rsidR="00501845" w:rsidRDefault="005018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Gras">
    <w:altName w:val="Arial"/>
    <w:panose1 w:val="00000000000000000000"/>
    <w:charset w:val="00"/>
    <w:family w:val="roman"/>
    <w:notTrueType/>
    <w:pitch w:val="default"/>
  </w:font>
  <w:font w:name="Lucida Grande">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780D7" w14:textId="1BB1F373" w:rsidR="00501845" w:rsidRPr="008B4139" w:rsidRDefault="00501845" w:rsidP="009D4AB5">
    <w:pPr>
      <w:pStyle w:val="Footer"/>
      <w:rPr>
        <w:lang w:val="en-US"/>
      </w:rPr>
    </w:pPr>
    <w:r w:rsidRPr="008B4139">
      <w:rPr>
        <w:noProof/>
        <w:snapToGrid/>
        <w:lang w:val="es-ES_tradnl" w:eastAsia="es-ES_tradnl"/>
      </w:rPr>
      <w:drawing>
        <wp:anchor distT="0" distB="0" distL="114300" distR="114300" simplePos="0" relativeHeight="251991040" behindDoc="0" locked="1" layoutInCell="1" allowOverlap="0" wp14:anchorId="2403E22E" wp14:editId="4408CA04">
          <wp:simplePos x="0" y="0"/>
          <wp:positionH relativeFrom="margin">
            <wp:posOffset>0</wp:posOffset>
          </wp:positionH>
          <wp:positionV relativeFrom="margin">
            <wp:posOffset>8641080</wp:posOffset>
          </wp:positionV>
          <wp:extent cx="942975" cy="538480"/>
          <wp:effectExtent l="0" t="0" r="0" b="0"/>
          <wp:wrapSquare wrapText="bothSides"/>
          <wp:docPr id="420" name="Imag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r w:rsidRPr="008B4139">
      <w:rPr>
        <w:rStyle w:val="PageNumber"/>
        <w:lang w:val="en-US"/>
      </w:rPr>
      <w:tab/>
    </w:r>
    <w:r w:rsidRPr="008B4139">
      <w:rPr>
        <w:lang w:val="en-US"/>
      </w:rPr>
      <w:t xml:space="preserve">© UNESCO • Not to be reproduced without permission </w:t>
    </w:r>
    <w:r w:rsidRPr="008B4139">
      <w:rPr>
        <w:lang w:val="en-US"/>
      </w:rPr>
      <w:tab/>
      <w:t>U01</w:t>
    </w:r>
    <w:r>
      <w:rPr>
        <w:lang w:val="en-US"/>
      </w:rPr>
      <w:t>0</w:t>
    </w:r>
    <w:r w:rsidRPr="008B4139">
      <w:rPr>
        <w:lang w:val="en-US"/>
      </w:rPr>
      <w:t>-v1.0-PT-EN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6089D" w14:textId="0D875696" w:rsidR="00501845" w:rsidRPr="008B4139" w:rsidRDefault="00501845" w:rsidP="00CB334B">
    <w:pPr>
      <w:pStyle w:val="Footer"/>
      <w:rPr>
        <w:lang w:val="en-US"/>
      </w:rPr>
    </w:pPr>
    <w:r w:rsidRPr="008B4139">
      <w:rPr>
        <w:lang w:val="en-US"/>
      </w:rPr>
      <w:t>U01</w:t>
    </w:r>
    <w:r>
      <w:rPr>
        <w:lang w:val="en-US"/>
      </w:rPr>
      <w:t>0</w:t>
    </w:r>
    <w:r w:rsidRPr="008B4139">
      <w:rPr>
        <w:lang w:val="en-US"/>
      </w:rPr>
      <w:t>-v1.0-PT-EN</w:t>
    </w:r>
    <w:r w:rsidRPr="008B4139">
      <w:rPr>
        <w:lang w:val="en-US"/>
      </w:rPr>
      <w:tab/>
      <w:t>© UNESCO • Not to be reproduced without permission</w:t>
    </w:r>
    <w:r w:rsidRPr="008B4139">
      <w:rPr>
        <w:lang w:val="en-US"/>
      </w:rPr>
      <w:tab/>
    </w:r>
    <w:r w:rsidRPr="008B4139">
      <w:rPr>
        <w:noProof/>
        <w:snapToGrid/>
        <w:lang w:val="es-ES_tradnl" w:eastAsia="es-ES_tradnl"/>
      </w:rPr>
      <w:drawing>
        <wp:anchor distT="0" distB="0" distL="114300" distR="114300" simplePos="0" relativeHeight="251988992" behindDoc="0" locked="1" layoutInCell="1" allowOverlap="0" wp14:anchorId="6FEC9B8E" wp14:editId="6318869A">
          <wp:simplePos x="0" y="0"/>
          <wp:positionH relativeFrom="margin">
            <wp:posOffset>4680585</wp:posOffset>
          </wp:positionH>
          <wp:positionV relativeFrom="margin">
            <wp:posOffset>8641080</wp:posOffset>
          </wp:positionV>
          <wp:extent cx="942975" cy="538480"/>
          <wp:effectExtent l="0" t="0" r="0" b="0"/>
          <wp:wrapSquare wrapText="bothSides"/>
          <wp:docPr id="419" name="Imag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DEDC6" w14:textId="1C115E69" w:rsidR="00501845" w:rsidRPr="008B4139" w:rsidRDefault="00501845" w:rsidP="00DA711D">
    <w:pPr>
      <w:pStyle w:val="Footer"/>
      <w:rPr>
        <w:lang w:val="en-US"/>
      </w:rPr>
    </w:pPr>
    <w:r w:rsidRPr="008B4139">
      <w:rPr>
        <w:lang w:val="en-US"/>
      </w:rPr>
      <w:t>U</w:t>
    </w:r>
    <w:r>
      <w:rPr>
        <w:lang w:val="en-US"/>
      </w:rPr>
      <w:t>010</w:t>
    </w:r>
    <w:r w:rsidRPr="008B4139">
      <w:rPr>
        <w:lang w:val="en-US"/>
      </w:rPr>
      <w:t>-v1.0-PT-EN</w:t>
    </w:r>
    <w:r w:rsidRPr="008B4139">
      <w:rPr>
        <w:lang w:val="en-US"/>
      </w:rPr>
      <w:tab/>
      <w:t>© UNESCO • Not to be reproduced without permission</w:t>
    </w:r>
    <w:r w:rsidRPr="008B4139">
      <w:rPr>
        <w:lang w:val="en-US"/>
      </w:rPr>
      <w:tab/>
    </w:r>
    <w:r w:rsidRPr="008B4139">
      <w:rPr>
        <w:noProof/>
        <w:snapToGrid/>
        <w:lang w:val="es-ES_tradnl" w:eastAsia="es-ES_tradnl"/>
      </w:rPr>
      <w:drawing>
        <wp:anchor distT="0" distB="0" distL="114300" distR="114300" simplePos="0" relativeHeight="252050432" behindDoc="0" locked="1" layoutInCell="1" allowOverlap="0" wp14:anchorId="26B79FD2" wp14:editId="6D7AFB6D">
          <wp:simplePos x="0" y="0"/>
          <wp:positionH relativeFrom="margin">
            <wp:posOffset>4680585</wp:posOffset>
          </wp:positionH>
          <wp:positionV relativeFrom="margin">
            <wp:posOffset>8641080</wp:posOffset>
          </wp:positionV>
          <wp:extent cx="942975" cy="538480"/>
          <wp:effectExtent l="0" t="0" r="0" b="0"/>
          <wp:wrapSquare wrapText="bothSides"/>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5837E" w14:textId="5903BCE3" w:rsidR="00501845" w:rsidRDefault="00501845" w:rsidP="00117DDB">
      <w:pPr>
        <w:ind w:left="0"/>
      </w:pPr>
      <w:r>
        <w:separator/>
      </w:r>
    </w:p>
  </w:footnote>
  <w:footnote w:type="continuationSeparator" w:id="0">
    <w:p w14:paraId="2DF99750" w14:textId="77777777" w:rsidR="00501845" w:rsidRDefault="00501845" w:rsidP="000F4C6A">
      <w:r>
        <w:continuationSeparator/>
      </w:r>
    </w:p>
    <w:p w14:paraId="5B2EB559" w14:textId="77777777" w:rsidR="00501845" w:rsidRDefault="00501845"/>
  </w:footnote>
  <w:footnote w:id="1">
    <w:p w14:paraId="50D13451" w14:textId="1642A33D" w:rsidR="00B521DD" w:rsidRPr="00B521DD" w:rsidRDefault="00B521DD" w:rsidP="00B521DD">
      <w:pPr>
        <w:pStyle w:val="FootnoteText"/>
        <w:rPr>
          <w:lang w:val="en-US"/>
        </w:rPr>
      </w:pPr>
      <w:r w:rsidRPr="00B521DD">
        <w:rPr>
          <w:rStyle w:val="FootnoteReference"/>
          <w:sz w:val="16"/>
          <w:szCs w:val="16"/>
          <w:vertAlign w:val="baseline"/>
        </w:rPr>
        <w:footnoteRef/>
      </w:r>
      <w:r w:rsidRPr="00B521DD">
        <w:rPr>
          <w:lang w:val="en-US"/>
        </w:rPr>
        <w:t>.</w:t>
      </w:r>
      <w:r w:rsidRPr="00B521DD">
        <w:rPr>
          <w:lang w:val="en-US"/>
        </w:rPr>
        <w:tab/>
        <w:t>Frequently referred to as the ‘Intangible Heritage Convention’, the ‘2003 Convention’ and, for the purpose of this unit, simply the ‘Convention’.</w:t>
      </w:r>
    </w:p>
  </w:footnote>
  <w:footnote w:id="2">
    <w:p w14:paraId="19CB693A" w14:textId="6C293297" w:rsidR="00592FD3" w:rsidRPr="00592FD3" w:rsidRDefault="00592FD3" w:rsidP="00592FD3">
      <w:pPr>
        <w:pStyle w:val="FootnoteText"/>
      </w:pPr>
      <w:r w:rsidRPr="00592FD3">
        <w:rPr>
          <w:rStyle w:val="FootnoteReference"/>
          <w:sz w:val="16"/>
          <w:szCs w:val="16"/>
          <w:vertAlign w:val="baseline"/>
        </w:rPr>
        <w:footnoteRef/>
      </w:r>
      <w:r w:rsidRPr="00592FD3">
        <w:t>.</w:t>
      </w:r>
      <w:r w:rsidRPr="00592FD3">
        <w:tab/>
        <w:t xml:space="preserve">L. </w:t>
      </w:r>
      <w:proofErr w:type="spellStart"/>
      <w:r w:rsidRPr="00592FD3">
        <w:t>Lowthorp</w:t>
      </w:r>
      <w:proofErr w:type="spellEnd"/>
      <w:r w:rsidRPr="00592FD3">
        <w:t xml:space="preserve">, 2010, ‘National Intangible Cultural </w:t>
      </w:r>
      <w:proofErr w:type="spellStart"/>
      <w:r w:rsidRPr="00592FD3">
        <w:t>Heritage</w:t>
      </w:r>
      <w:proofErr w:type="spellEnd"/>
      <w:r w:rsidRPr="00592FD3">
        <w:t xml:space="preserve"> (ICH) </w:t>
      </w:r>
      <w:proofErr w:type="spellStart"/>
      <w:r w:rsidRPr="00592FD3">
        <w:t>Legislation</w:t>
      </w:r>
      <w:proofErr w:type="spellEnd"/>
      <w:r w:rsidRPr="00592FD3">
        <w:t xml:space="preserve"> and Initiatives’, UNESCO-New Delhi Field Office.</w:t>
      </w:r>
    </w:p>
  </w:footnote>
  <w:footnote w:id="3">
    <w:p w14:paraId="719BD233" w14:textId="6A249680" w:rsidR="00592FD3" w:rsidRPr="00592FD3" w:rsidRDefault="00592FD3" w:rsidP="00592FD3">
      <w:pPr>
        <w:pStyle w:val="FootnoteText"/>
        <w:rPr>
          <w:lang w:val="en-US"/>
        </w:rPr>
      </w:pPr>
      <w:r w:rsidRPr="00592FD3">
        <w:rPr>
          <w:rStyle w:val="FootnoteReference"/>
          <w:sz w:val="16"/>
          <w:szCs w:val="16"/>
          <w:vertAlign w:val="baseline"/>
        </w:rPr>
        <w:footnoteRef/>
      </w:r>
      <w:r w:rsidRPr="00592FD3">
        <w:rPr>
          <w:lang w:val="en-US"/>
        </w:rPr>
        <w:t>.</w:t>
      </w:r>
      <w:r w:rsidRPr="00592FD3">
        <w:rPr>
          <w:lang w:val="en-US"/>
        </w:rPr>
        <w:tab/>
        <w:t>Aboriginal Areas Protection Authority: http://www.aapant.org.au/</w:t>
      </w:r>
    </w:p>
  </w:footnote>
  <w:footnote w:id="4">
    <w:p w14:paraId="70310487" w14:textId="2CECD036" w:rsidR="00592FD3" w:rsidRPr="00592FD3" w:rsidRDefault="00592FD3" w:rsidP="00592FD3">
      <w:pPr>
        <w:pStyle w:val="FootnoteText"/>
      </w:pPr>
      <w:r w:rsidRPr="00592FD3">
        <w:rPr>
          <w:rStyle w:val="FootnoteReference"/>
          <w:sz w:val="16"/>
          <w:szCs w:val="16"/>
          <w:vertAlign w:val="baseline"/>
        </w:rPr>
        <w:footnoteRef/>
      </w:r>
      <w:r w:rsidRPr="00592FD3">
        <w:t>.</w:t>
      </w:r>
      <w:r w:rsidRPr="00592FD3">
        <w:tab/>
        <w:t xml:space="preserve">T. </w:t>
      </w:r>
      <w:proofErr w:type="spellStart"/>
      <w:r w:rsidRPr="00592FD3">
        <w:t>Diwasa</w:t>
      </w:r>
      <w:proofErr w:type="spellEnd"/>
      <w:r w:rsidRPr="00592FD3">
        <w:t xml:space="preserve">, C. M. </w:t>
      </w:r>
      <w:proofErr w:type="spellStart"/>
      <w:r w:rsidRPr="00592FD3">
        <w:t>Bandhu</w:t>
      </w:r>
      <w:proofErr w:type="spellEnd"/>
      <w:r w:rsidRPr="00592FD3">
        <w:t xml:space="preserve"> and B. </w:t>
      </w:r>
      <w:proofErr w:type="spellStart"/>
      <w:r w:rsidRPr="00592FD3">
        <w:t>Nepal</w:t>
      </w:r>
      <w:proofErr w:type="spellEnd"/>
      <w:r w:rsidRPr="00592FD3">
        <w:t xml:space="preserve">, 2007, The Intangible Cultural </w:t>
      </w:r>
      <w:proofErr w:type="spellStart"/>
      <w:r w:rsidRPr="00592FD3">
        <w:t>Heritage</w:t>
      </w:r>
      <w:proofErr w:type="spellEnd"/>
      <w:r w:rsidRPr="00592FD3">
        <w:t xml:space="preserve"> of </w:t>
      </w:r>
      <w:proofErr w:type="spellStart"/>
      <w:r w:rsidRPr="00592FD3">
        <w:t>Nepal</w:t>
      </w:r>
      <w:proofErr w:type="spellEnd"/>
      <w:r w:rsidRPr="00592FD3">
        <w:t xml:space="preserve">: Future Directions, UNESCO </w:t>
      </w:r>
      <w:proofErr w:type="spellStart"/>
      <w:r w:rsidRPr="00592FD3">
        <w:t>Kathmandu</w:t>
      </w:r>
      <w:proofErr w:type="spellEnd"/>
      <w:r w:rsidRPr="00592FD3">
        <w:t xml:space="preserve"> Office, p.19.</w:t>
      </w:r>
    </w:p>
  </w:footnote>
  <w:footnote w:id="5">
    <w:p w14:paraId="3465A9A2" w14:textId="70D63495" w:rsidR="00592FD3" w:rsidRPr="00592FD3" w:rsidRDefault="00592FD3" w:rsidP="00592FD3">
      <w:pPr>
        <w:pStyle w:val="FootnoteText"/>
      </w:pPr>
      <w:r w:rsidRPr="00592FD3">
        <w:rPr>
          <w:rStyle w:val="FootnoteReference"/>
          <w:sz w:val="16"/>
          <w:szCs w:val="16"/>
          <w:vertAlign w:val="baseline"/>
        </w:rPr>
        <w:footnoteRef/>
      </w:r>
      <w:r>
        <w:t>.</w:t>
      </w:r>
      <w:r>
        <w:tab/>
      </w:r>
      <w:r w:rsidRPr="00592FD3">
        <w:t>http://www.un.org/esa/socdev/unpfii/en/drip.html</w:t>
      </w:r>
      <w:bookmarkStart w:id="28" w:name="_GoBack"/>
      <w:bookmarkEnd w:id="28"/>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8702E" w14:textId="4F0DAD2F" w:rsidR="00501845" w:rsidRDefault="00501845">
    <w:pPr>
      <w:pStyle w:val="Header"/>
    </w:pPr>
    <w:r>
      <w:rPr>
        <w:rStyle w:val="PageNumber"/>
      </w:rPr>
      <w:fldChar w:fldCharType="begin"/>
    </w:r>
    <w:r>
      <w:rPr>
        <w:rStyle w:val="PageNumber"/>
      </w:rPr>
      <w:instrText xml:space="preserve"> PAGE </w:instrText>
    </w:r>
    <w:r>
      <w:rPr>
        <w:rStyle w:val="PageNumber"/>
      </w:rPr>
      <w:fldChar w:fldCharType="separate"/>
    </w:r>
    <w:r w:rsidR="00592FD3">
      <w:rPr>
        <w:rStyle w:val="PageNumber"/>
        <w:noProof/>
      </w:rPr>
      <w:t>2</w:t>
    </w:r>
    <w:r>
      <w:rPr>
        <w:rStyle w:val="PageNumber"/>
      </w:rPr>
      <w:fldChar w:fldCharType="end"/>
    </w:r>
    <w:r>
      <w:tab/>
    </w:r>
    <w:r>
      <w:rPr>
        <w:szCs w:val="16"/>
      </w:rPr>
      <w:t>Unit 10: ICH policies and institutions</w:t>
    </w:r>
    <w:r>
      <w:tab/>
      <w:t xml:space="preserve">Participant’s text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A33BC" w14:textId="5F2FA51D" w:rsidR="00501845" w:rsidRPr="00DB506E" w:rsidRDefault="00501845" w:rsidP="009D4AB5">
    <w:pPr>
      <w:pStyle w:val="Header"/>
    </w:pPr>
    <w:r>
      <w:t>Participant’s text</w:t>
    </w:r>
    <w:r>
      <w:tab/>
    </w:r>
    <w:r>
      <w:rPr>
        <w:szCs w:val="16"/>
      </w:rPr>
      <w:t>Unit 10: ICH policies and institutions</w:t>
    </w:r>
    <w:r>
      <w:tab/>
    </w:r>
    <w:r>
      <w:rPr>
        <w:rStyle w:val="PageNumber"/>
      </w:rPr>
      <w:fldChar w:fldCharType="begin"/>
    </w:r>
    <w:r>
      <w:rPr>
        <w:rStyle w:val="PageNumber"/>
      </w:rPr>
      <w:instrText xml:space="preserve"> PAGE </w:instrText>
    </w:r>
    <w:r>
      <w:rPr>
        <w:rStyle w:val="PageNumber"/>
      </w:rPr>
      <w:fldChar w:fldCharType="separate"/>
    </w:r>
    <w:r w:rsidR="00592FD3">
      <w:rPr>
        <w:rStyle w:val="PageNumber"/>
        <w:noProof/>
      </w:rPr>
      <w:t>3</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11B3E" w14:textId="6DBFAA03" w:rsidR="00501845" w:rsidRDefault="00501845" w:rsidP="00065059">
    <w:pPr>
      <w:pStyle w:val="Header"/>
      <w:ind w:right="360"/>
    </w:pPr>
    <w:r>
      <w:tab/>
      <w:t xml:space="preserve">Participant’s text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2361B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05778"/>
    <w:multiLevelType w:val="hybridMultilevel"/>
    <w:tmpl w:val="050AA382"/>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
    <w:nsid w:val="00480050"/>
    <w:multiLevelType w:val="hybridMultilevel"/>
    <w:tmpl w:val="10B0A42C"/>
    <w:lvl w:ilvl="0" w:tplc="859AEA16">
      <w:start w:val="2"/>
      <w:numFmt w:val="none"/>
      <w:lvlText w:val="(b)"/>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
    <w:nsid w:val="02B174A0"/>
    <w:multiLevelType w:val="multilevel"/>
    <w:tmpl w:val="E5FA416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4">
    <w:nsid w:val="02EF481A"/>
    <w:multiLevelType w:val="multilevel"/>
    <w:tmpl w:val="30CECEBE"/>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nsid w:val="03574B39"/>
    <w:multiLevelType w:val="hybridMultilevel"/>
    <w:tmpl w:val="2E26BB42"/>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
    <w:nsid w:val="0386537B"/>
    <w:multiLevelType w:val="hybridMultilevel"/>
    <w:tmpl w:val="BAEEE72C"/>
    <w:lvl w:ilvl="0" w:tplc="F7C60464">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7">
    <w:nsid w:val="039A600B"/>
    <w:multiLevelType w:val="multilevel"/>
    <w:tmpl w:val="090EA800"/>
    <w:lvl w:ilvl="0">
      <w:start w:val="1"/>
      <w:numFmt w:val="bullet"/>
      <w:lvlText w:val=""/>
      <w:lvlJc w:val="left"/>
      <w:pPr>
        <w:tabs>
          <w:tab w:val="num" w:pos="1134"/>
        </w:tabs>
        <w:ind w:left="1134" w:hanging="283"/>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3F6255D"/>
    <w:multiLevelType w:val="multilevel"/>
    <w:tmpl w:val="DDAA817C"/>
    <w:lvl w:ilvl="0">
      <w:start w:val="1"/>
      <w:numFmt w:val="decimal"/>
      <w:lvlText w:val="%1."/>
      <w:lvlJc w:val="left"/>
      <w:pPr>
        <w:tabs>
          <w:tab w:val="num" w:pos="1191"/>
        </w:tabs>
        <w:ind w:left="1191" w:hanging="340"/>
      </w:pPr>
      <w:rPr>
        <w:rFonts w:ascii="Arial" w:eastAsia="SimSun" w:hAnsi="Arial" w:cs="Arial"/>
      </w:rPr>
    </w:lvl>
    <w:lvl w:ilvl="1">
      <w:start w:val="1"/>
      <w:numFmt w:val="lowerLetter"/>
      <w:lvlText w:val="%2."/>
      <w:lvlJc w:val="left"/>
      <w:pPr>
        <w:ind w:left="2234" w:hanging="360"/>
      </w:pPr>
    </w:lvl>
    <w:lvl w:ilvl="2">
      <w:start w:val="1"/>
      <w:numFmt w:val="lowerRoman"/>
      <w:lvlText w:val="%3."/>
      <w:lvlJc w:val="right"/>
      <w:pPr>
        <w:ind w:left="2954" w:hanging="180"/>
      </w:pPr>
    </w:lvl>
    <w:lvl w:ilvl="3">
      <w:start w:val="1"/>
      <w:numFmt w:val="decimal"/>
      <w:lvlText w:val="%4."/>
      <w:lvlJc w:val="left"/>
      <w:pPr>
        <w:ind w:left="3674" w:hanging="360"/>
      </w:pPr>
    </w:lvl>
    <w:lvl w:ilvl="4">
      <w:start w:val="1"/>
      <w:numFmt w:val="lowerLetter"/>
      <w:lvlText w:val="%5."/>
      <w:lvlJc w:val="left"/>
      <w:pPr>
        <w:ind w:left="4394" w:hanging="360"/>
      </w:pPr>
    </w:lvl>
    <w:lvl w:ilvl="5">
      <w:start w:val="1"/>
      <w:numFmt w:val="lowerRoman"/>
      <w:lvlText w:val="%6."/>
      <w:lvlJc w:val="right"/>
      <w:pPr>
        <w:ind w:left="5114" w:hanging="180"/>
      </w:pPr>
    </w:lvl>
    <w:lvl w:ilvl="6">
      <w:start w:val="1"/>
      <w:numFmt w:val="decimal"/>
      <w:lvlText w:val="%7."/>
      <w:lvlJc w:val="left"/>
      <w:pPr>
        <w:ind w:left="5834" w:hanging="360"/>
      </w:pPr>
    </w:lvl>
    <w:lvl w:ilvl="7">
      <w:start w:val="1"/>
      <w:numFmt w:val="lowerLetter"/>
      <w:lvlText w:val="%8."/>
      <w:lvlJc w:val="left"/>
      <w:pPr>
        <w:ind w:left="6554" w:hanging="360"/>
      </w:pPr>
    </w:lvl>
    <w:lvl w:ilvl="8">
      <w:start w:val="1"/>
      <w:numFmt w:val="lowerRoman"/>
      <w:lvlText w:val="%9."/>
      <w:lvlJc w:val="right"/>
      <w:pPr>
        <w:ind w:left="7274" w:hanging="180"/>
      </w:pPr>
    </w:lvl>
  </w:abstractNum>
  <w:abstractNum w:abstractNumId="9">
    <w:nsid w:val="0442176D"/>
    <w:multiLevelType w:val="hybridMultilevel"/>
    <w:tmpl w:val="D3AC20CA"/>
    <w:lvl w:ilvl="0" w:tplc="F08CE2D0">
      <w:start w:val="2"/>
      <w:numFmt w:val="none"/>
      <w:lvlText w:val="(a)"/>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
    <w:nsid w:val="04B545AB"/>
    <w:multiLevelType w:val="multilevel"/>
    <w:tmpl w:val="09C67616"/>
    <w:lvl w:ilvl="0">
      <w:start w:val="1"/>
      <w:numFmt w:val="decimal"/>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5134EA3"/>
    <w:multiLevelType w:val="hybridMultilevel"/>
    <w:tmpl w:val="DF181CD6"/>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58873C8"/>
    <w:multiLevelType w:val="multilevel"/>
    <w:tmpl w:val="B018FB64"/>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
    <w:nsid w:val="05F36FA7"/>
    <w:multiLevelType w:val="hybridMultilevel"/>
    <w:tmpl w:val="FC38B798"/>
    <w:lvl w:ilvl="0" w:tplc="6D9ECB94">
      <w:start w:val="1"/>
      <w:numFmt w:val="decimal"/>
      <w:lvlText w:val="%1."/>
      <w:lvlJc w:val="left"/>
      <w:pPr>
        <w:ind w:left="927" w:hanging="36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4">
    <w:nsid w:val="06360154"/>
    <w:multiLevelType w:val="hybridMultilevel"/>
    <w:tmpl w:val="490840BE"/>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6A1103C"/>
    <w:multiLevelType w:val="hybridMultilevel"/>
    <w:tmpl w:val="B92C5882"/>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077700B5"/>
    <w:multiLevelType w:val="hybridMultilevel"/>
    <w:tmpl w:val="9D984424"/>
    <w:lvl w:ilvl="0" w:tplc="040C000F">
      <w:start w:val="1"/>
      <w:numFmt w:val="decimal"/>
      <w:lvlText w:val="%1."/>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81711AD"/>
    <w:multiLevelType w:val="hybridMultilevel"/>
    <w:tmpl w:val="9E50FB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083E5682"/>
    <w:multiLevelType w:val="hybridMultilevel"/>
    <w:tmpl w:val="2060513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
    <w:nsid w:val="08C407EF"/>
    <w:multiLevelType w:val="hybridMultilevel"/>
    <w:tmpl w:val="A2644FB2"/>
    <w:lvl w:ilvl="0" w:tplc="3CD4FD5C">
      <w:start w:val="1"/>
      <w:numFmt w:val="lowerLetter"/>
      <w:lvlText w:val="(%1)"/>
      <w:lvlJc w:val="left"/>
      <w:pPr>
        <w:ind w:left="178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
    <w:nsid w:val="09425CA5"/>
    <w:multiLevelType w:val="hybridMultilevel"/>
    <w:tmpl w:val="D89C6E0A"/>
    <w:lvl w:ilvl="0" w:tplc="E3DE717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1">
    <w:nsid w:val="09676AB4"/>
    <w:multiLevelType w:val="hybridMultilevel"/>
    <w:tmpl w:val="ACA24D50"/>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
    <w:nsid w:val="09DC6BE2"/>
    <w:multiLevelType w:val="multilevel"/>
    <w:tmpl w:val="91AE686A"/>
    <w:lvl w:ilvl="0">
      <w:start w:val="1"/>
      <w:numFmt w:val="bullet"/>
      <w:lvlText w:val=""/>
      <w:lvlJc w:val="left"/>
      <w:pPr>
        <w:tabs>
          <w:tab w:val="num" w:pos="340"/>
        </w:tabs>
        <w:ind w:left="340" w:firstLine="511"/>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AA74E8D"/>
    <w:multiLevelType w:val="hybridMultilevel"/>
    <w:tmpl w:val="5BFC4676"/>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4">
    <w:nsid w:val="0B1F5E85"/>
    <w:multiLevelType w:val="hybridMultilevel"/>
    <w:tmpl w:val="C4F69AD2"/>
    <w:lvl w:ilvl="0" w:tplc="1C09000F">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5">
    <w:nsid w:val="0B9348CC"/>
    <w:multiLevelType w:val="hybridMultilevel"/>
    <w:tmpl w:val="204ED092"/>
    <w:lvl w:ilvl="0" w:tplc="E67CC33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6">
    <w:nsid w:val="0BCB0E3C"/>
    <w:multiLevelType w:val="multilevel"/>
    <w:tmpl w:val="E28A522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
    <w:nsid w:val="0C0B227B"/>
    <w:multiLevelType w:val="multilevel"/>
    <w:tmpl w:val="7E9C879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
    <w:nsid w:val="0C6D64BE"/>
    <w:multiLevelType w:val="hybridMultilevel"/>
    <w:tmpl w:val="B9A69F52"/>
    <w:lvl w:ilvl="0" w:tplc="07209A2E">
      <w:start w:val="2"/>
      <w:numFmt w:val="none"/>
      <w:lvlText w:val="(c)"/>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
    <w:nsid w:val="0C8C7EE6"/>
    <w:multiLevelType w:val="hybridMultilevel"/>
    <w:tmpl w:val="3B824BD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
    <w:nsid w:val="0C9F72F8"/>
    <w:multiLevelType w:val="hybridMultilevel"/>
    <w:tmpl w:val="CAE69216"/>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1">
    <w:nsid w:val="0D6E6D69"/>
    <w:multiLevelType w:val="hybridMultilevel"/>
    <w:tmpl w:val="6B449DDE"/>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Wingdings 2"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Wingdings 2"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Wingdings 2"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2">
    <w:nsid w:val="0D7151E1"/>
    <w:multiLevelType w:val="hybridMultilevel"/>
    <w:tmpl w:val="BF6C4D8A"/>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3">
    <w:nsid w:val="0DE3780F"/>
    <w:multiLevelType w:val="multilevel"/>
    <w:tmpl w:val="D83644C6"/>
    <w:lvl w:ilvl="0">
      <w:start w:val="1"/>
      <w:numFmt w:val="none"/>
      <w:lvlText w:val="(a)"/>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0DE70D63"/>
    <w:multiLevelType w:val="hybridMultilevel"/>
    <w:tmpl w:val="818A13EE"/>
    <w:lvl w:ilvl="0" w:tplc="EE56F5F2">
      <w:start w:val="1"/>
      <w:numFmt w:val="decimal"/>
      <w:lvlText w:val="%1."/>
      <w:lvlJc w:val="left"/>
      <w:pPr>
        <w:ind w:left="92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
    <w:nsid w:val="0E3B2B62"/>
    <w:multiLevelType w:val="multilevel"/>
    <w:tmpl w:val="C14C2766"/>
    <w:lvl w:ilvl="0">
      <w:start w:val="1"/>
      <w:numFmt w:val="none"/>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0E712590"/>
    <w:multiLevelType w:val="multilevel"/>
    <w:tmpl w:val="2DF8C9DE"/>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7">
    <w:nsid w:val="0E847D7F"/>
    <w:multiLevelType w:val="hybridMultilevel"/>
    <w:tmpl w:val="4B08CD10"/>
    <w:lvl w:ilvl="0" w:tplc="325C787C">
      <w:start w:val="1"/>
      <w:numFmt w:val="bullet"/>
      <w:pStyle w:val="Enutiret"/>
      <w:lvlText w:val="–"/>
      <w:lvlJc w:val="left"/>
      <w:pPr>
        <w:tabs>
          <w:tab w:val="num" w:pos="1134"/>
        </w:tabs>
        <w:ind w:left="1134" w:hanging="283"/>
      </w:pPr>
      <w:rPr>
        <w:rFonts w:ascii="Arial" w:hAnsi="Aria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0EAD27D8"/>
    <w:multiLevelType w:val="multilevel"/>
    <w:tmpl w:val="DE585844"/>
    <w:lvl w:ilvl="0">
      <w:start w:val="1"/>
      <w:numFmt w:val="decimal"/>
      <w:lvlText w:val="%1."/>
      <w:lvlJc w:val="left"/>
      <w:pPr>
        <w:ind w:left="1380"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39">
    <w:nsid w:val="0F0264F7"/>
    <w:multiLevelType w:val="hybridMultilevel"/>
    <w:tmpl w:val="735C27EA"/>
    <w:lvl w:ilvl="0" w:tplc="2AD23516">
      <w:start w:val="2"/>
      <w:numFmt w:val="none"/>
      <w:lvlText w:val="(a)"/>
      <w:lvlJc w:val="left"/>
      <w:pPr>
        <w:tabs>
          <w:tab w:val="num" w:pos="1418"/>
        </w:tabs>
        <w:ind w:left="1418"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0F3645D5"/>
    <w:multiLevelType w:val="hybridMultilevel"/>
    <w:tmpl w:val="9A34512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41">
    <w:nsid w:val="0F7F3316"/>
    <w:multiLevelType w:val="hybridMultilevel"/>
    <w:tmpl w:val="2638913E"/>
    <w:lvl w:ilvl="0" w:tplc="6A0E119E">
      <w:start w:val="2"/>
      <w:numFmt w:val="none"/>
      <w:lvlText w:val="(a)%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0FBB2801"/>
    <w:multiLevelType w:val="multilevel"/>
    <w:tmpl w:val="16F2952E"/>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43">
    <w:nsid w:val="0FDD4A5D"/>
    <w:multiLevelType w:val="hybridMultilevel"/>
    <w:tmpl w:val="467C945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4">
    <w:nsid w:val="0FF13D39"/>
    <w:multiLevelType w:val="hybridMultilevel"/>
    <w:tmpl w:val="AB789C46"/>
    <w:lvl w:ilvl="0" w:tplc="C6ECEAA0">
      <w:start w:val="1"/>
      <w:numFmt w:val="decimal"/>
      <w:lvlText w:val="%1."/>
      <w:lvlJc w:val="left"/>
      <w:pPr>
        <w:tabs>
          <w:tab w:val="num" w:pos="1211"/>
        </w:tabs>
        <w:ind w:left="1211" w:hanging="360"/>
      </w:pPr>
      <w:rPr>
        <w:rFonts w:hint="default"/>
        <w:w w:val="100"/>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45">
    <w:nsid w:val="0FF2706B"/>
    <w:multiLevelType w:val="multilevel"/>
    <w:tmpl w:val="F8768110"/>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100D637E"/>
    <w:multiLevelType w:val="hybridMultilevel"/>
    <w:tmpl w:val="62E680DE"/>
    <w:lvl w:ilvl="0" w:tplc="3CD4FD5C">
      <w:start w:val="1"/>
      <w:numFmt w:val="lowerLetter"/>
      <w:lvlText w:val="(%1)"/>
      <w:lvlJc w:val="left"/>
      <w:pPr>
        <w:ind w:left="93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7">
    <w:nsid w:val="102504A7"/>
    <w:multiLevelType w:val="hybridMultilevel"/>
    <w:tmpl w:val="69C89272"/>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8">
    <w:nsid w:val="10507FF7"/>
    <w:multiLevelType w:val="hybridMultilevel"/>
    <w:tmpl w:val="D83644C6"/>
    <w:lvl w:ilvl="0" w:tplc="4D343318">
      <w:start w:val="1"/>
      <w:numFmt w:val="none"/>
      <w:lvlText w:val="(a)"/>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1066402C"/>
    <w:multiLevelType w:val="hybridMultilevel"/>
    <w:tmpl w:val="7A06DD22"/>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50">
    <w:nsid w:val="112912FF"/>
    <w:multiLevelType w:val="hybridMultilevel"/>
    <w:tmpl w:val="C32CF5C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51">
    <w:nsid w:val="11C85416"/>
    <w:multiLevelType w:val="hybridMultilevel"/>
    <w:tmpl w:val="A12A345A"/>
    <w:lvl w:ilvl="0" w:tplc="BE9AAD00">
      <w:start w:val="2"/>
      <w:numFmt w:val="none"/>
      <w:lvlText w:val="(b)"/>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2">
    <w:nsid w:val="13211DE8"/>
    <w:multiLevelType w:val="hybridMultilevel"/>
    <w:tmpl w:val="15F22B3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3">
    <w:nsid w:val="140947F6"/>
    <w:multiLevelType w:val="hybridMultilevel"/>
    <w:tmpl w:val="1A1E360E"/>
    <w:lvl w:ilvl="0" w:tplc="083C3858">
      <w:start w:val="1"/>
      <w:numFmt w:val="decimal"/>
      <w:lvlText w:val="%1."/>
      <w:lvlJc w:val="left"/>
      <w:pPr>
        <w:tabs>
          <w:tab w:val="num" w:pos="1191"/>
        </w:tabs>
        <w:ind w:left="1191" w:hanging="340"/>
      </w:pPr>
      <w:rPr>
        <w:rFonts w:ascii="Arial" w:eastAsia="SimSun" w:hAnsi="Arial" w:cs="Arial"/>
      </w:rPr>
    </w:lvl>
    <w:lvl w:ilvl="1" w:tplc="040C0019" w:tentative="1">
      <w:start w:val="1"/>
      <w:numFmt w:val="lowerLetter"/>
      <w:lvlText w:val="%2."/>
      <w:lvlJc w:val="left"/>
      <w:pPr>
        <w:ind w:left="2234" w:hanging="360"/>
      </w:pPr>
    </w:lvl>
    <w:lvl w:ilvl="2" w:tplc="040C001B" w:tentative="1">
      <w:start w:val="1"/>
      <w:numFmt w:val="lowerRoman"/>
      <w:lvlText w:val="%3."/>
      <w:lvlJc w:val="right"/>
      <w:pPr>
        <w:ind w:left="2954" w:hanging="180"/>
      </w:pPr>
    </w:lvl>
    <w:lvl w:ilvl="3" w:tplc="040C000F" w:tentative="1">
      <w:start w:val="1"/>
      <w:numFmt w:val="decimal"/>
      <w:lvlText w:val="%4."/>
      <w:lvlJc w:val="left"/>
      <w:pPr>
        <w:ind w:left="3674" w:hanging="360"/>
      </w:pPr>
    </w:lvl>
    <w:lvl w:ilvl="4" w:tplc="040C0019" w:tentative="1">
      <w:start w:val="1"/>
      <w:numFmt w:val="lowerLetter"/>
      <w:lvlText w:val="%5."/>
      <w:lvlJc w:val="left"/>
      <w:pPr>
        <w:ind w:left="4394" w:hanging="360"/>
      </w:pPr>
    </w:lvl>
    <w:lvl w:ilvl="5" w:tplc="040C001B" w:tentative="1">
      <w:start w:val="1"/>
      <w:numFmt w:val="lowerRoman"/>
      <w:lvlText w:val="%6."/>
      <w:lvlJc w:val="right"/>
      <w:pPr>
        <w:ind w:left="5114" w:hanging="180"/>
      </w:pPr>
    </w:lvl>
    <w:lvl w:ilvl="6" w:tplc="040C000F" w:tentative="1">
      <w:start w:val="1"/>
      <w:numFmt w:val="decimal"/>
      <w:lvlText w:val="%7."/>
      <w:lvlJc w:val="left"/>
      <w:pPr>
        <w:ind w:left="5834" w:hanging="360"/>
      </w:pPr>
    </w:lvl>
    <w:lvl w:ilvl="7" w:tplc="040C0019" w:tentative="1">
      <w:start w:val="1"/>
      <w:numFmt w:val="lowerLetter"/>
      <w:lvlText w:val="%8."/>
      <w:lvlJc w:val="left"/>
      <w:pPr>
        <w:ind w:left="6554" w:hanging="360"/>
      </w:pPr>
    </w:lvl>
    <w:lvl w:ilvl="8" w:tplc="040C001B" w:tentative="1">
      <w:start w:val="1"/>
      <w:numFmt w:val="lowerRoman"/>
      <w:lvlText w:val="%9."/>
      <w:lvlJc w:val="right"/>
      <w:pPr>
        <w:ind w:left="7274" w:hanging="180"/>
      </w:pPr>
    </w:lvl>
  </w:abstractNum>
  <w:abstractNum w:abstractNumId="54">
    <w:nsid w:val="1471778A"/>
    <w:multiLevelType w:val="multilevel"/>
    <w:tmpl w:val="48B00040"/>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5">
    <w:nsid w:val="14D42BEF"/>
    <w:multiLevelType w:val="multilevel"/>
    <w:tmpl w:val="FCC2641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6">
    <w:nsid w:val="15B8748A"/>
    <w:multiLevelType w:val="hybridMultilevel"/>
    <w:tmpl w:val="291A178C"/>
    <w:lvl w:ilvl="0" w:tplc="08090001">
      <w:start w:val="1"/>
      <w:numFmt w:val="bullet"/>
      <w:lvlText w:val=""/>
      <w:lvlJc w:val="left"/>
      <w:pPr>
        <w:tabs>
          <w:tab w:val="num" w:pos="720"/>
        </w:tabs>
        <w:ind w:left="720" w:hanging="360"/>
      </w:pPr>
      <w:rPr>
        <w:rFonts w:ascii="Symbol" w:hAnsi="Symbol" w:hint="default"/>
      </w:rPr>
    </w:lvl>
    <w:lvl w:ilvl="1" w:tplc="1C090019">
      <w:start w:val="1"/>
      <w:numFmt w:val="bullet"/>
      <w:lvlText w:val=""/>
      <w:lvlJc w:val="left"/>
      <w:pPr>
        <w:tabs>
          <w:tab w:val="num" w:pos="1440"/>
        </w:tabs>
        <w:ind w:left="1440" w:hanging="360"/>
      </w:pPr>
      <w:rPr>
        <w:rFonts w:ascii="Wingdings 2" w:hAnsi="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57">
    <w:nsid w:val="15F33C16"/>
    <w:multiLevelType w:val="multilevel"/>
    <w:tmpl w:val="916097C4"/>
    <w:lvl w:ilvl="0">
      <w:start w:val="1"/>
      <w:numFmt w:val="decimal"/>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58">
    <w:nsid w:val="1600281D"/>
    <w:multiLevelType w:val="hybridMultilevel"/>
    <w:tmpl w:val="41D4DAE4"/>
    <w:lvl w:ilvl="0" w:tplc="E4D6A6FA">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165D2154"/>
    <w:multiLevelType w:val="hybridMultilevel"/>
    <w:tmpl w:val="9272C2A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0">
    <w:nsid w:val="167418ED"/>
    <w:multiLevelType w:val="multilevel"/>
    <w:tmpl w:val="1FCAF05C"/>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61">
    <w:nsid w:val="16847A97"/>
    <w:multiLevelType w:val="multilevel"/>
    <w:tmpl w:val="923EC8FE"/>
    <w:lvl w:ilvl="0">
      <w:start w:val="1"/>
      <w:numFmt w:val="bullet"/>
      <w:lvlText w:val=""/>
      <w:lvlJc w:val="left"/>
      <w:pPr>
        <w:tabs>
          <w:tab w:val="num" w:pos="-397"/>
        </w:tabs>
        <w:ind w:left="-397" w:firstLine="39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17387B80"/>
    <w:multiLevelType w:val="multilevel"/>
    <w:tmpl w:val="7778B5D6"/>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63">
    <w:nsid w:val="17846776"/>
    <w:multiLevelType w:val="multilevel"/>
    <w:tmpl w:val="DE7CF72C"/>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4">
    <w:nsid w:val="18477FCB"/>
    <w:multiLevelType w:val="hybridMultilevel"/>
    <w:tmpl w:val="E0F6D83C"/>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65">
    <w:nsid w:val="195E5782"/>
    <w:multiLevelType w:val="hybridMultilevel"/>
    <w:tmpl w:val="A1CC9622"/>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6">
    <w:nsid w:val="1978529D"/>
    <w:multiLevelType w:val="multilevel"/>
    <w:tmpl w:val="400A3460"/>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7">
    <w:nsid w:val="19A458BF"/>
    <w:multiLevelType w:val="multilevel"/>
    <w:tmpl w:val="1F2E78E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1A316E47"/>
    <w:multiLevelType w:val="hybridMultilevel"/>
    <w:tmpl w:val="CB307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1AD34F80"/>
    <w:multiLevelType w:val="hybridMultilevel"/>
    <w:tmpl w:val="2FD429C8"/>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70">
    <w:nsid w:val="1B6E11C8"/>
    <w:multiLevelType w:val="hybridMultilevel"/>
    <w:tmpl w:val="C5F0218C"/>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Wingdings 2"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Wingdings 2"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Wingdings 2" w:hint="default"/>
      </w:rPr>
    </w:lvl>
    <w:lvl w:ilvl="8" w:tplc="1C090005" w:tentative="1">
      <w:start w:val="1"/>
      <w:numFmt w:val="bullet"/>
      <w:lvlText w:val=""/>
      <w:lvlJc w:val="left"/>
      <w:pPr>
        <w:ind w:left="6687" w:hanging="360"/>
      </w:pPr>
      <w:rPr>
        <w:rFonts w:ascii="Wingdings" w:hAnsi="Wingdings" w:hint="default"/>
      </w:rPr>
    </w:lvl>
  </w:abstractNum>
  <w:abstractNum w:abstractNumId="71">
    <w:nsid w:val="1BD90CDB"/>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2">
    <w:nsid w:val="1BFB1B99"/>
    <w:multiLevelType w:val="multilevel"/>
    <w:tmpl w:val="CC402B1A"/>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3">
    <w:nsid w:val="1C325FD7"/>
    <w:multiLevelType w:val="multilevel"/>
    <w:tmpl w:val="BDE4679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4">
    <w:nsid w:val="1C5F2023"/>
    <w:multiLevelType w:val="hybridMultilevel"/>
    <w:tmpl w:val="4EF43B78"/>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75">
    <w:nsid w:val="1C622332"/>
    <w:multiLevelType w:val="hybridMultilevel"/>
    <w:tmpl w:val="EE5E157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76">
    <w:nsid w:val="1D6567A8"/>
    <w:multiLevelType w:val="multilevel"/>
    <w:tmpl w:val="994CA426"/>
    <w:lvl w:ilvl="0">
      <w:start w:val="2"/>
      <w:numFmt w:val="none"/>
      <w:lvlText w:val="(b)"/>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7">
    <w:nsid w:val="1D742C4B"/>
    <w:multiLevelType w:val="multilevel"/>
    <w:tmpl w:val="B712C520"/>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8">
    <w:nsid w:val="1DC82B41"/>
    <w:multiLevelType w:val="hybridMultilevel"/>
    <w:tmpl w:val="2064047E"/>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9">
    <w:nsid w:val="1E0D03BB"/>
    <w:multiLevelType w:val="multilevel"/>
    <w:tmpl w:val="B028863E"/>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nsid w:val="1F675D38"/>
    <w:multiLevelType w:val="multilevel"/>
    <w:tmpl w:val="C97407B6"/>
    <w:lvl w:ilvl="0">
      <w:start w:val="1"/>
      <w:numFmt w:val="decimal"/>
      <w:lvlText w:val="%1."/>
      <w:lvlJc w:val="left"/>
      <w:pPr>
        <w:tabs>
          <w:tab w:val="num" w:pos="284"/>
        </w:tabs>
        <w:ind w:left="284" w:firstLine="283"/>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81">
    <w:nsid w:val="1FCE6ADB"/>
    <w:multiLevelType w:val="multilevel"/>
    <w:tmpl w:val="5E7068CE"/>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2">
    <w:nsid w:val="1FF23AF9"/>
    <w:multiLevelType w:val="hybridMultilevel"/>
    <w:tmpl w:val="47142CD8"/>
    <w:lvl w:ilvl="0" w:tplc="08090001">
      <w:start w:val="1"/>
      <w:numFmt w:val="bullet"/>
      <w:lvlText w:val=""/>
      <w:lvlJc w:val="left"/>
      <w:pPr>
        <w:tabs>
          <w:tab w:val="num" w:pos="927"/>
        </w:tabs>
        <w:ind w:left="927" w:hanging="360"/>
      </w:pPr>
      <w:rPr>
        <w:rFonts w:ascii="Symbol" w:hAnsi="Symbol" w:hint="default"/>
      </w:rPr>
    </w:lvl>
    <w:lvl w:ilvl="1" w:tplc="1C090019">
      <w:start w:val="1"/>
      <w:numFmt w:val="lowerLetter"/>
      <w:lvlText w:val="%2."/>
      <w:lvlJc w:val="left"/>
      <w:pPr>
        <w:ind w:left="1647"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83">
    <w:nsid w:val="200637C5"/>
    <w:multiLevelType w:val="hybridMultilevel"/>
    <w:tmpl w:val="88F0F7A0"/>
    <w:lvl w:ilvl="0" w:tplc="3E688E32">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84">
    <w:nsid w:val="22507D8C"/>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5">
    <w:nsid w:val="22B541E5"/>
    <w:multiLevelType w:val="multilevel"/>
    <w:tmpl w:val="17D489DE"/>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6">
    <w:nsid w:val="22B93988"/>
    <w:multiLevelType w:val="multilevel"/>
    <w:tmpl w:val="9CAE381C"/>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7">
    <w:nsid w:val="230E1121"/>
    <w:multiLevelType w:val="hybridMultilevel"/>
    <w:tmpl w:val="ABBCCAAE"/>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88">
    <w:nsid w:val="23314935"/>
    <w:multiLevelType w:val="hybridMultilevel"/>
    <w:tmpl w:val="3C90B404"/>
    <w:lvl w:ilvl="0" w:tplc="E4D6A6FA">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89">
    <w:nsid w:val="23650449"/>
    <w:multiLevelType w:val="hybridMultilevel"/>
    <w:tmpl w:val="2116C15C"/>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249B78FC"/>
    <w:multiLevelType w:val="hybridMultilevel"/>
    <w:tmpl w:val="5D529DFC"/>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1">
    <w:nsid w:val="24D07785"/>
    <w:multiLevelType w:val="hybridMultilevel"/>
    <w:tmpl w:val="D9925D36"/>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92">
    <w:nsid w:val="252404A5"/>
    <w:multiLevelType w:val="hybridMultilevel"/>
    <w:tmpl w:val="A97EF0D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Wingdings 2"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3">
    <w:nsid w:val="26071674"/>
    <w:multiLevelType w:val="hybridMultilevel"/>
    <w:tmpl w:val="694E7180"/>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4">
    <w:nsid w:val="264B3A8C"/>
    <w:multiLevelType w:val="hybridMultilevel"/>
    <w:tmpl w:val="DB2E091E"/>
    <w:lvl w:ilvl="0" w:tplc="D2EEAC70">
      <w:start w:val="2"/>
      <w:numFmt w:val="none"/>
      <w:lvlText w:val="(d)"/>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5">
    <w:nsid w:val="26AB291F"/>
    <w:multiLevelType w:val="multilevel"/>
    <w:tmpl w:val="57B41DF8"/>
    <w:lvl w:ilvl="0">
      <w:start w:val="1"/>
      <w:numFmt w:val="decimal"/>
      <w:lvlText w:val="1,5%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96">
    <w:nsid w:val="26AC60A9"/>
    <w:multiLevelType w:val="multilevel"/>
    <w:tmpl w:val="FCA4BB7C"/>
    <w:lvl w:ilvl="0">
      <w:start w:val="1"/>
      <w:numFmt w:val="bullet"/>
      <w:lvlText w:val=""/>
      <w:lvlJc w:val="left"/>
      <w:pPr>
        <w:tabs>
          <w:tab w:val="num" w:pos="567"/>
        </w:tabs>
        <w:ind w:left="567" w:hanging="56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7">
    <w:nsid w:val="26B82417"/>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98">
    <w:nsid w:val="26BF2220"/>
    <w:multiLevelType w:val="multilevel"/>
    <w:tmpl w:val="4C0CDF10"/>
    <w:lvl w:ilvl="0">
      <w:start w:val="1"/>
      <w:numFmt w:val="decimal"/>
      <w:lvlText w:val="%1."/>
      <w:lvlJc w:val="left"/>
      <w:pPr>
        <w:tabs>
          <w:tab w:val="num" w:pos="1191"/>
        </w:tabs>
        <w:ind w:left="1191"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99">
    <w:nsid w:val="2710521D"/>
    <w:multiLevelType w:val="multilevel"/>
    <w:tmpl w:val="E87A433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00">
    <w:nsid w:val="279831F5"/>
    <w:multiLevelType w:val="multilevel"/>
    <w:tmpl w:val="7482F9D6"/>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1">
    <w:nsid w:val="27C44511"/>
    <w:multiLevelType w:val="multilevel"/>
    <w:tmpl w:val="57F60D7E"/>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02">
    <w:nsid w:val="27DA1F67"/>
    <w:multiLevelType w:val="hybridMultilevel"/>
    <w:tmpl w:val="C2A81F02"/>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3">
    <w:nsid w:val="281E5035"/>
    <w:multiLevelType w:val="multilevel"/>
    <w:tmpl w:val="F1D4E14A"/>
    <w:lvl w:ilvl="0">
      <w:start w:val="1"/>
      <w:numFmt w:val="bullet"/>
      <w:lvlText w:val=""/>
      <w:lvlJc w:val="left"/>
      <w:pPr>
        <w:tabs>
          <w:tab w:val="num" w:pos="0"/>
        </w:tabs>
        <w:ind w:left="0" w:firstLine="39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4">
    <w:nsid w:val="286C6070"/>
    <w:multiLevelType w:val="hybridMultilevel"/>
    <w:tmpl w:val="BE601E0E"/>
    <w:lvl w:ilvl="0" w:tplc="00CAAC0E">
      <w:start w:val="2"/>
      <w:numFmt w:val="none"/>
      <w:lvlText w:val="(a)"/>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5">
    <w:nsid w:val="289356CB"/>
    <w:multiLevelType w:val="hybridMultilevel"/>
    <w:tmpl w:val="31B8D73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928"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nsid w:val="28DD5FBD"/>
    <w:multiLevelType w:val="hybridMultilevel"/>
    <w:tmpl w:val="DCAC3A8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07">
    <w:nsid w:val="29153DE7"/>
    <w:multiLevelType w:val="multilevel"/>
    <w:tmpl w:val="780A9DAA"/>
    <w:lvl w:ilvl="0">
      <w:start w:val="1"/>
      <w:numFmt w:val="none"/>
      <w:lvlText w:val="1"/>
      <w:lvlJc w:val="left"/>
      <w:pPr>
        <w:ind w:left="143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291E23C9"/>
    <w:multiLevelType w:val="multilevel"/>
    <w:tmpl w:val="AB0468E6"/>
    <w:lvl w:ilvl="0">
      <w:start w:val="2"/>
      <w:numFmt w:val="none"/>
      <w:lvlText w:val="(a)"/>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9">
    <w:nsid w:val="29A73848"/>
    <w:multiLevelType w:val="multilevel"/>
    <w:tmpl w:val="DE24B57A"/>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0">
    <w:nsid w:val="2A9E29FF"/>
    <w:multiLevelType w:val="multilevel"/>
    <w:tmpl w:val="A7001524"/>
    <w:lvl w:ilvl="0">
      <w:start w:val="1"/>
      <w:numFmt w:val="bullet"/>
      <w:lvlText w:val=""/>
      <w:lvlJc w:val="left"/>
      <w:pPr>
        <w:tabs>
          <w:tab w:val="num" w:pos="360"/>
        </w:tabs>
        <w:ind w:left="36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11">
    <w:nsid w:val="2B756C48"/>
    <w:multiLevelType w:val="hybridMultilevel"/>
    <w:tmpl w:val="C234CA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Wingdings 2"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Wingdings 2"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Wingdings 2" w:hint="default"/>
      </w:rPr>
    </w:lvl>
    <w:lvl w:ilvl="8" w:tplc="1C090005" w:tentative="1">
      <w:start w:val="1"/>
      <w:numFmt w:val="bullet"/>
      <w:lvlText w:val=""/>
      <w:lvlJc w:val="left"/>
      <w:pPr>
        <w:ind w:left="6480" w:hanging="360"/>
      </w:pPr>
      <w:rPr>
        <w:rFonts w:ascii="Wingdings" w:hAnsi="Wingdings" w:hint="default"/>
      </w:rPr>
    </w:lvl>
  </w:abstractNum>
  <w:abstractNum w:abstractNumId="112">
    <w:nsid w:val="2B923CF4"/>
    <w:multiLevelType w:val="multilevel"/>
    <w:tmpl w:val="48901974"/>
    <w:lvl w:ilvl="0">
      <w:start w:val="1"/>
      <w:numFmt w:val="lowerLetter"/>
      <w:lvlText w:val="(b)(%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3">
    <w:nsid w:val="2BA460BF"/>
    <w:multiLevelType w:val="multilevel"/>
    <w:tmpl w:val="1D28CC8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14">
    <w:nsid w:val="2BC01736"/>
    <w:multiLevelType w:val="hybridMultilevel"/>
    <w:tmpl w:val="633C4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nsid w:val="2C10152E"/>
    <w:multiLevelType w:val="multilevel"/>
    <w:tmpl w:val="0C20A74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16">
    <w:nsid w:val="2C266EE6"/>
    <w:multiLevelType w:val="hybridMultilevel"/>
    <w:tmpl w:val="8E721764"/>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17">
    <w:nsid w:val="2C4F1088"/>
    <w:multiLevelType w:val="hybridMultilevel"/>
    <w:tmpl w:val="DA4888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8">
    <w:nsid w:val="2C671587"/>
    <w:multiLevelType w:val="hybridMultilevel"/>
    <w:tmpl w:val="055281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9">
    <w:nsid w:val="2D6A03C8"/>
    <w:multiLevelType w:val="multilevel"/>
    <w:tmpl w:val="CB7CD20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0">
    <w:nsid w:val="2DCB6E57"/>
    <w:multiLevelType w:val="hybridMultilevel"/>
    <w:tmpl w:val="C8EECE88"/>
    <w:lvl w:ilvl="0" w:tplc="590A27DA">
      <w:start w:val="1"/>
      <w:numFmt w:val="bullet"/>
      <w:lvlText w:val=""/>
      <w:lvlJc w:val="left"/>
      <w:pPr>
        <w:ind w:left="1437" w:hanging="927"/>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nsid w:val="2DEB5B62"/>
    <w:multiLevelType w:val="hybridMultilevel"/>
    <w:tmpl w:val="1D105BA2"/>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2">
    <w:nsid w:val="2E1804A1"/>
    <w:multiLevelType w:val="multilevel"/>
    <w:tmpl w:val="015684F2"/>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123">
    <w:nsid w:val="2E2445DC"/>
    <w:multiLevelType w:val="hybridMultilevel"/>
    <w:tmpl w:val="9A4A861E"/>
    <w:lvl w:ilvl="0" w:tplc="040C0017">
      <w:start w:val="1"/>
      <w:numFmt w:val="lowerLetter"/>
      <w:lvlText w:val="%1)"/>
      <w:lvlJc w:val="left"/>
      <w:pPr>
        <w:ind w:left="927" w:hanging="360"/>
      </w:pPr>
      <w:rPr>
        <w:rFonts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4">
    <w:nsid w:val="2E24527B"/>
    <w:multiLevelType w:val="multilevel"/>
    <w:tmpl w:val="D330738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5">
    <w:nsid w:val="2E35623F"/>
    <w:multiLevelType w:val="multilevel"/>
    <w:tmpl w:val="710412FE"/>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2F2F61FC"/>
    <w:multiLevelType w:val="hybridMultilevel"/>
    <w:tmpl w:val="AD785A92"/>
    <w:lvl w:ilvl="0" w:tplc="040C0001">
      <w:start w:val="1"/>
      <w:numFmt w:val="bullet"/>
      <w:lvlText w:val=""/>
      <w:lvlJc w:val="left"/>
      <w:pPr>
        <w:ind w:left="1644" w:hanging="360"/>
      </w:pPr>
      <w:rPr>
        <w:rFonts w:ascii="Symbol" w:hAnsi="Symbol" w:hint="default"/>
      </w:rPr>
    </w:lvl>
    <w:lvl w:ilvl="1" w:tplc="040C0003" w:tentative="1">
      <w:start w:val="1"/>
      <w:numFmt w:val="bullet"/>
      <w:lvlText w:val="o"/>
      <w:lvlJc w:val="left"/>
      <w:pPr>
        <w:ind w:left="2364" w:hanging="360"/>
      </w:pPr>
      <w:rPr>
        <w:rFonts w:ascii="Courier New" w:hAnsi="Courier New" w:cs="Courier New" w:hint="default"/>
      </w:rPr>
    </w:lvl>
    <w:lvl w:ilvl="2" w:tplc="040C0005" w:tentative="1">
      <w:start w:val="1"/>
      <w:numFmt w:val="bullet"/>
      <w:lvlText w:val=""/>
      <w:lvlJc w:val="left"/>
      <w:pPr>
        <w:ind w:left="3084" w:hanging="360"/>
      </w:pPr>
      <w:rPr>
        <w:rFonts w:ascii="Wingdings" w:hAnsi="Wingdings" w:hint="default"/>
      </w:rPr>
    </w:lvl>
    <w:lvl w:ilvl="3" w:tplc="040C0001" w:tentative="1">
      <w:start w:val="1"/>
      <w:numFmt w:val="bullet"/>
      <w:lvlText w:val=""/>
      <w:lvlJc w:val="left"/>
      <w:pPr>
        <w:ind w:left="3804" w:hanging="360"/>
      </w:pPr>
      <w:rPr>
        <w:rFonts w:ascii="Symbol" w:hAnsi="Symbol" w:hint="default"/>
      </w:rPr>
    </w:lvl>
    <w:lvl w:ilvl="4" w:tplc="040C0003" w:tentative="1">
      <w:start w:val="1"/>
      <w:numFmt w:val="bullet"/>
      <w:lvlText w:val="o"/>
      <w:lvlJc w:val="left"/>
      <w:pPr>
        <w:ind w:left="4524" w:hanging="360"/>
      </w:pPr>
      <w:rPr>
        <w:rFonts w:ascii="Courier New" w:hAnsi="Courier New" w:cs="Courier New" w:hint="default"/>
      </w:rPr>
    </w:lvl>
    <w:lvl w:ilvl="5" w:tplc="040C0005" w:tentative="1">
      <w:start w:val="1"/>
      <w:numFmt w:val="bullet"/>
      <w:lvlText w:val=""/>
      <w:lvlJc w:val="left"/>
      <w:pPr>
        <w:ind w:left="5244" w:hanging="360"/>
      </w:pPr>
      <w:rPr>
        <w:rFonts w:ascii="Wingdings" w:hAnsi="Wingdings" w:hint="default"/>
      </w:rPr>
    </w:lvl>
    <w:lvl w:ilvl="6" w:tplc="040C0001" w:tentative="1">
      <w:start w:val="1"/>
      <w:numFmt w:val="bullet"/>
      <w:lvlText w:val=""/>
      <w:lvlJc w:val="left"/>
      <w:pPr>
        <w:ind w:left="5964" w:hanging="360"/>
      </w:pPr>
      <w:rPr>
        <w:rFonts w:ascii="Symbol" w:hAnsi="Symbol" w:hint="default"/>
      </w:rPr>
    </w:lvl>
    <w:lvl w:ilvl="7" w:tplc="040C0003" w:tentative="1">
      <w:start w:val="1"/>
      <w:numFmt w:val="bullet"/>
      <w:lvlText w:val="o"/>
      <w:lvlJc w:val="left"/>
      <w:pPr>
        <w:ind w:left="6684" w:hanging="360"/>
      </w:pPr>
      <w:rPr>
        <w:rFonts w:ascii="Courier New" w:hAnsi="Courier New" w:cs="Courier New" w:hint="default"/>
      </w:rPr>
    </w:lvl>
    <w:lvl w:ilvl="8" w:tplc="040C0005" w:tentative="1">
      <w:start w:val="1"/>
      <w:numFmt w:val="bullet"/>
      <w:lvlText w:val=""/>
      <w:lvlJc w:val="left"/>
      <w:pPr>
        <w:ind w:left="7404" w:hanging="360"/>
      </w:pPr>
      <w:rPr>
        <w:rFonts w:ascii="Wingdings" w:hAnsi="Wingdings" w:hint="default"/>
      </w:rPr>
    </w:lvl>
  </w:abstractNum>
  <w:abstractNum w:abstractNumId="127">
    <w:nsid w:val="2F3A6DE6"/>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8">
    <w:nsid w:val="2F4779C3"/>
    <w:multiLevelType w:val="multilevel"/>
    <w:tmpl w:val="8D42BA2E"/>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9">
    <w:nsid w:val="2FD5397C"/>
    <w:multiLevelType w:val="hybridMultilevel"/>
    <w:tmpl w:val="07CC6CDE"/>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0">
    <w:nsid w:val="30277FC3"/>
    <w:multiLevelType w:val="hybridMultilevel"/>
    <w:tmpl w:val="3F90E138"/>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31">
    <w:nsid w:val="3059743B"/>
    <w:multiLevelType w:val="multilevel"/>
    <w:tmpl w:val="7410EC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2">
    <w:nsid w:val="306F41E0"/>
    <w:multiLevelType w:val="hybridMultilevel"/>
    <w:tmpl w:val="F5B25FBA"/>
    <w:lvl w:ilvl="0" w:tplc="08090001">
      <w:start w:val="1"/>
      <w:numFmt w:val="bullet"/>
      <w:lvlText w:val=""/>
      <w:lvlJc w:val="left"/>
      <w:pPr>
        <w:tabs>
          <w:tab w:val="num" w:pos="927"/>
        </w:tabs>
        <w:ind w:left="927" w:hanging="360"/>
      </w:pPr>
      <w:rPr>
        <w:rFonts w:ascii="Symbol" w:hAnsi="Symbol" w:hint="default"/>
      </w:rPr>
    </w:lvl>
    <w:lvl w:ilvl="1" w:tplc="1C090019">
      <w:start w:val="1"/>
      <w:numFmt w:val="bullet"/>
      <w:lvlText w:val=""/>
      <w:lvlJc w:val="left"/>
      <w:pPr>
        <w:tabs>
          <w:tab w:val="num" w:pos="1440"/>
        </w:tabs>
        <w:ind w:left="1440" w:hanging="360"/>
      </w:pPr>
      <w:rPr>
        <w:rFonts w:ascii="Wingdings 2" w:hAnsi="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33">
    <w:nsid w:val="31665B47"/>
    <w:multiLevelType w:val="hybridMultilevel"/>
    <w:tmpl w:val="EDCEC1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nsid w:val="322E4D96"/>
    <w:multiLevelType w:val="hybridMultilevel"/>
    <w:tmpl w:val="9036F7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nsid w:val="32662341"/>
    <w:multiLevelType w:val="hybridMultilevel"/>
    <w:tmpl w:val="560A0E14"/>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6">
    <w:nsid w:val="338646D9"/>
    <w:multiLevelType w:val="hybridMultilevel"/>
    <w:tmpl w:val="5E9AD20E"/>
    <w:lvl w:ilvl="0" w:tplc="08090001">
      <w:start w:val="1"/>
      <w:numFmt w:val="bullet"/>
      <w:lvlText w:val=""/>
      <w:lvlJc w:val="left"/>
      <w:pPr>
        <w:tabs>
          <w:tab w:val="num" w:pos="1287"/>
        </w:tabs>
        <w:ind w:left="128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7">
    <w:nsid w:val="33A33C9A"/>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8">
    <w:nsid w:val="33F91777"/>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9">
    <w:nsid w:val="35B93E20"/>
    <w:multiLevelType w:val="multilevel"/>
    <w:tmpl w:val="011874EE"/>
    <w:lvl w:ilvl="0">
      <w:start w:val="2"/>
      <w:numFmt w:val="none"/>
      <w:lvlText w:val="(b)"/>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35E70CBC"/>
    <w:multiLevelType w:val="hybridMultilevel"/>
    <w:tmpl w:val="EB28246E"/>
    <w:lvl w:ilvl="0" w:tplc="2ACA0304">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41">
    <w:nsid w:val="36035414"/>
    <w:multiLevelType w:val="multilevel"/>
    <w:tmpl w:val="861A0696"/>
    <w:lvl w:ilvl="0">
      <w:start w:val="1"/>
      <w:numFmt w:val="lowerRoman"/>
      <w:lvlText w:val="%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2">
    <w:nsid w:val="362605CD"/>
    <w:multiLevelType w:val="hybridMultilevel"/>
    <w:tmpl w:val="89028B96"/>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43">
    <w:nsid w:val="36BA349A"/>
    <w:multiLevelType w:val="multilevel"/>
    <w:tmpl w:val="888AC176"/>
    <w:lvl w:ilvl="0">
      <w:start w:val="1"/>
      <w:numFmt w:val="bullet"/>
      <w:lvlText w:val=""/>
      <w:lvlJc w:val="left"/>
      <w:pPr>
        <w:tabs>
          <w:tab w:val="num" w:pos="851"/>
        </w:tabs>
        <w:ind w:left="851" w:hanging="284"/>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4">
    <w:nsid w:val="36BA47B9"/>
    <w:multiLevelType w:val="multilevel"/>
    <w:tmpl w:val="893C62CC"/>
    <w:lvl w:ilvl="0">
      <w:start w:val="1"/>
      <w:numFmt w:val="bullet"/>
      <w:lvlText w:val=""/>
      <w:lvlJc w:val="left"/>
      <w:pPr>
        <w:tabs>
          <w:tab w:val="num" w:pos="1080"/>
        </w:tabs>
        <w:ind w:left="108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5">
    <w:nsid w:val="37476950"/>
    <w:multiLevelType w:val="multilevel"/>
    <w:tmpl w:val="27D8FB20"/>
    <w:lvl w:ilvl="0">
      <w:start w:val="1"/>
      <w:numFmt w:val="none"/>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37C23FEE"/>
    <w:multiLevelType w:val="hybridMultilevel"/>
    <w:tmpl w:val="A43E5236"/>
    <w:lvl w:ilvl="0" w:tplc="08090001">
      <w:start w:val="1"/>
      <w:numFmt w:val="bullet"/>
      <w:lvlText w:val=""/>
      <w:lvlJc w:val="left"/>
      <w:pPr>
        <w:tabs>
          <w:tab w:val="num" w:pos="1080"/>
        </w:tabs>
        <w:ind w:left="1080" w:hanging="360"/>
      </w:pPr>
      <w:rPr>
        <w:rFonts w:ascii="Symbol" w:hAnsi="Symbol" w:hint="default"/>
      </w:rPr>
    </w:lvl>
    <w:lvl w:ilvl="1" w:tplc="9CF04BCE">
      <w:start w:val="1"/>
      <w:numFmt w:val="decimal"/>
      <w:lvlText w:val="%2."/>
      <w:lvlJc w:val="left"/>
      <w:pPr>
        <w:tabs>
          <w:tab w:val="num" w:pos="1440"/>
        </w:tabs>
        <w:ind w:left="1440" w:hanging="360"/>
      </w:pPr>
    </w:lvl>
    <w:lvl w:ilvl="2" w:tplc="9438AD42">
      <w:start w:val="1"/>
      <w:numFmt w:val="decimal"/>
      <w:lvlText w:val="%3."/>
      <w:lvlJc w:val="left"/>
      <w:pPr>
        <w:tabs>
          <w:tab w:val="num" w:pos="2160"/>
        </w:tabs>
        <w:ind w:left="2160" w:hanging="360"/>
      </w:pPr>
    </w:lvl>
    <w:lvl w:ilvl="3" w:tplc="6444DF4E">
      <w:start w:val="1"/>
      <w:numFmt w:val="decimal"/>
      <w:lvlText w:val="%4."/>
      <w:lvlJc w:val="left"/>
      <w:pPr>
        <w:tabs>
          <w:tab w:val="num" w:pos="2880"/>
        </w:tabs>
        <w:ind w:left="2880" w:hanging="360"/>
      </w:pPr>
    </w:lvl>
    <w:lvl w:ilvl="4" w:tplc="58682508">
      <w:start w:val="1"/>
      <w:numFmt w:val="decimal"/>
      <w:lvlText w:val="%5."/>
      <w:lvlJc w:val="left"/>
      <w:pPr>
        <w:tabs>
          <w:tab w:val="num" w:pos="3600"/>
        </w:tabs>
        <w:ind w:left="3600" w:hanging="360"/>
      </w:pPr>
    </w:lvl>
    <w:lvl w:ilvl="5" w:tplc="27EAA0CA">
      <w:start w:val="1"/>
      <w:numFmt w:val="decimal"/>
      <w:lvlText w:val="%6."/>
      <w:lvlJc w:val="left"/>
      <w:pPr>
        <w:tabs>
          <w:tab w:val="num" w:pos="4320"/>
        </w:tabs>
        <w:ind w:left="4320" w:hanging="360"/>
      </w:pPr>
    </w:lvl>
    <w:lvl w:ilvl="6" w:tplc="ECFC1246">
      <w:start w:val="1"/>
      <w:numFmt w:val="decimal"/>
      <w:lvlText w:val="%7."/>
      <w:lvlJc w:val="left"/>
      <w:pPr>
        <w:tabs>
          <w:tab w:val="num" w:pos="5040"/>
        </w:tabs>
        <w:ind w:left="5040" w:hanging="360"/>
      </w:pPr>
    </w:lvl>
    <w:lvl w:ilvl="7" w:tplc="7C84471A">
      <w:start w:val="1"/>
      <w:numFmt w:val="decimal"/>
      <w:lvlText w:val="%8."/>
      <w:lvlJc w:val="left"/>
      <w:pPr>
        <w:tabs>
          <w:tab w:val="num" w:pos="5760"/>
        </w:tabs>
        <w:ind w:left="5760" w:hanging="360"/>
      </w:pPr>
    </w:lvl>
    <w:lvl w:ilvl="8" w:tplc="21423CA4">
      <w:start w:val="1"/>
      <w:numFmt w:val="decimal"/>
      <w:lvlText w:val="%9."/>
      <w:lvlJc w:val="left"/>
      <w:pPr>
        <w:tabs>
          <w:tab w:val="num" w:pos="6480"/>
        </w:tabs>
        <w:ind w:left="6480" w:hanging="360"/>
      </w:pPr>
    </w:lvl>
  </w:abstractNum>
  <w:abstractNum w:abstractNumId="147">
    <w:nsid w:val="37CD6BE7"/>
    <w:multiLevelType w:val="multilevel"/>
    <w:tmpl w:val="70B2BFC2"/>
    <w:lvl w:ilvl="0">
      <w:numFmt w:val="none"/>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48">
    <w:nsid w:val="37FA3926"/>
    <w:multiLevelType w:val="hybridMultilevel"/>
    <w:tmpl w:val="633665E8"/>
    <w:lvl w:ilvl="0" w:tplc="08090001">
      <w:start w:val="1"/>
      <w:numFmt w:val="bullet"/>
      <w:lvlText w:val=""/>
      <w:lvlJc w:val="left"/>
      <w:pPr>
        <w:tabs>
          <w:tab w:val="num" w:pos="1080"/>
        </w:tabs>
        <w:ind w:left="1080" w:hanging="360"/>
      </w:pPr>
      <w:rPr>
        <w:rFonts w:ascii="Symbol" w:hAnsi="Symbol" w:hint="default"/>
      </w:rPr>
    </w:lvl>
    <w:lvl w:ilvl="1" w:tplc="1C090019">
      <w:start w:val="1"/>
      <w:numFmt w:val="lowerLetter"/>
      <w:lvlText w:val="%2."/>
      <w:lvlJc w:val="left"/>
      <w:pPr>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49">
    <w:nsid w:val="387F0E9B"/>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50">
    <w:nsid w:val="38D21930"/>
    <w:multiLevelType w:val="hybridMultilevel"/>
    <w:tmpl w:val="7C181600"/>
    <w:lvl w:ilvl="0" w:tplc="19063A00">
      <w:start w:val="1"/>
      <w:numFmt w:val="decimal"/>
      <w:lvlText w:val="%1."/>
      <w:lvlJc w:val="left"/>
      <w:pPr>
        <w:tabs>
          <w:tab w:val="num" w:pos="907"/>
        </w:tabs>
        <w:ind w:left="907"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51">
    <w:nsid w:val="38DE4C44"/>
    <w:multiLevelType w:val="hybridMultilevel"/>
    <w:tmpl w:val="EF5AEDC2"/>
    <w:lvl w:ilvl="0" w:tplc="DF8456B6">
      <w:start w:val="1"/>
      <w:numFmt w:val="lowerLetter"/>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2">
    <w:nsid w:val="38F42049"/>
    <w:multiLevelType w:val="hybridMultilevel"/>
    <w:tmpl w:val="FD2AC522"/>
    <w:lvl w:ilvl="0" w:tplc="19063A00">
      <w:start w:val="1"/>
      <w:numFmt w:val="decimal"/>
      <w:lvlText w:val="%1."/>
      <w:lvlJc w:val="left"/>
      <w:pPr>
        <w:tabs>
          <w:tab w:val="num" w:pos="907"/>
        </w:tabs>
        <w:ind w:left="907"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53">
    <w:nsid w:val="391B7D80"/>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4">
    <w:nsid w:val="396933EC"/>
    <w:multiLevelType w:val="multilevel"/>
    <w:tmpl w:val="30DCBD30"/>
    <w:lvl w:ilvl="0">
      <w:start w:val="2"/>
      <w:numFmt w:val="none"/>
      <w:lvlText w:val="(c)"/>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3A4772EC"/>
    <w:multiLevelType w:val="multilevel"/>
    <w:tmpl w:val="97F0696A"/>
    <w:lvl w:ilvl="0">
      <w:start w:val="1"/>
      <w:numFmt w:val="decimal"/>
      <w:lvlText w:val="%1."/>
      <w:lvlJc w:val="left"/>
      <w:pPr>
        <w:ind w:left="172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56">
    <w:nsid w:val="3AC4442C"/>
    <w:multiLevelType w:val="hybridMultilevel"/>
    <w:tmpl w:val="FEE06EAC"/>
    <w:lvl w:ilvl="0" w:tplc="08090001">
      <w:start w:val="1"/>
      <w:numFmt w:val="bullet"/>
      <w:lvlText w:val=""/>
      <w:lvlJc w:val="left"/>
      <w:pPr>
        <w:tabs>
          <w:tab w:val="num" w:pos="1080"/>
        </w:tabs>
        <w:ind w:left="1080" w:hanging="360"/>
      </w:pPr>
      <w:rPr>
        <w:rFonts w:ascii="Symbol" w:hAnsi="Symbol" w:hint="default"/>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57">
    <w:nsid w:val="3AEF2E36"/>
    <w:multiLevelType w:val="hybridMultilevel"/>
    <w:tmpl w:val="6B226D56"/>
    <w:lvl w:ilvl="0" w:tplc="25581204">
      <w:start w:val="1"/>
      <w:numFmt w:val="bullet"/>
      <w:lvlText w:val=""/>
      <w:lvlJc w:val="left"/>
      <w:pPr>
        <w:tabs>
          <w:tab w:val="num" w:pos="0"/>
        </w:tabs>
        <w:ind w:left="0" w:hanging="397"/>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8">
    <w:nsid w:val="3B154674"/>
    <w:multiLevelType w:val="hybridMultilevel"/>
    <w:tmpl w:val="0C4AD6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9">
    <w:nsid w:val="3B3803FD"/>
    <w:multiLevelType w:val="multilevel"/>
    <w:tmpl w:val="65A865E6"/>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0">
    <w:nsid w:val="3B5B4175"/>
    <w:multiLevelType w:val="hybridMultilevel"/>
    <w:tmpl w:val="0D946B98"/>
    <w:lvl w:ilvl="0" w:tplc="80721CA0">
      <w:start w:val="1"/>
      <w:numFmt w:val="decimal"/>
      <w:lvlText w:val="%1"/>
      <w:lvlJc w:val="righ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61">
    <w:nsid w:val="3B5F62D0"/>
    <w:multiLevelType w:val="hybridMultilevel"/>
    <w:tmpl w:val="6316AAD6"/>
    <w:lvl w:ilvl="0" w:tplc="1C090017">
      <w:start w:val="1"/>
      <w:numFmt w:val="bullet"/>
      <w:lvlText w:val=""/>
      <w:lvlJc w:val="left"/>
      <w:pPr>
        <w:tabs>
          <w:tab w:val="num" w:pos="720"/>
        </w:tabs>
        <w:ind w:left="720" w:hanging="360"/>
      </w:pPr>
      <w:rPr>
        <w:rFonts w:ascii="Wingdings 2" w:hAnsi="Wingdings 2" w:hint="default"/>
      </w:rPr>
    </w:lvl>
    <w:lvl w:ilvl="1" w:tplc="7F568D7A">
      <w:start w:val="1"/>
      <w:numFmt w:val="bullet"/>
      <w:lvlText w:val="o"/>
      <w:lvlJc w:val="left"/>
      <w:pPr>
        <w:tabs>
          <w:tab w:val="num" w:pos="1440"/>
        </w:tabs>
        <w:ind w:left="1440" w:hanging="360"/>
      </w:pPr>
      <w:rPr>
        <w:rFonts w:ascii="Courier New" w:hAnsi="Courier New" w:cs="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62">
    <w:nsid w:val="3B8943AE"/>
    <w:multiLevelType w:val="hybridMultilevel"/>
    <w:tmpl w:val="6B924702"/>
    <w:lvl w:ilvl="0" w:tplc="7310C2A0">
      <w:start w:val="1"/>
      <w:numFmt w:val="bullet"/>
      <w:pStyle w:val="Txtchap"/>
      <w:lvlText w:val=""/>
      <w:lvlJc w:val="left"/>
      <w:pPr>
        <w:tabs>
          <w:tab w:val="num" w:pos="567"/>
        </w:tabs>
        <w:ind w:left="567" w:hanging="567"/>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3">
    <w:nsid w:val="3B9C0BA5"/>
    <w:multiLevelType w:val="multilevel"/>
    <w:tmpl w:val="21669F0A"/>
    <w:lvl w:ilvl="0">
      <w:start w:val="1"/>
      <w:numFmt w:val="decimal"/>
      <w:lvlText w:val="%1."/>
      <w:lvlJc w:val="right"/>
      <w:pPr>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64">
    <w:nsid w:val="3C1072EE"/>
    <w:multiLevelType w:val="multilevel"/>
    <w:tmpl w:val="91EEE59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5">
    <w:nsid w:val="3C3D2CF8"/>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66">
    <w:nsid w:val="3C525C21"/>
    <w:multiLevelType w:val="hybridMultilevel"/>
    <w:tmpl w:val="2DB6FEB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67">
    <w:nsid w:val="3C9F5E34"/>
    <w:multiLevelType w:val="multilevel"/>
    <w:tmpl w:val="DFEAA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8">
    <w:nsid w:val="3CE154F9"/>
    <w:multiLevelType w:val="hybridMultilevel"/>
    <w:tmpl w:val="63C62D4A"/>
    <w:lvl w:ilvl="0" w:tplc="71B0E7AC">
      <w:start w:val="1"/>
      <w:numFmt w:val="lowerLetter"/>
      <w:lvlText w:val="(%1)"/>
      <w:lvlJc w:val="left"/>
      <w:pPr>
        <w:tabs>
          <w:tab w:val="num" w:pos="1758"/>
        </w:tabs>
        <w:ind w:left="1758"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69">
    <w:nsid w:val="3D227836"/>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0">
    <w:nsid w:val="3DE94E81"/>
    <w:multiLevelType w:val="hybridMultilevel"/>
    <w:tmpl w:val="B4E65EA6"/>
    <w:lvl w:ilvl="0" w:tplc="07209A2E">
      <w:start w:val="2"/>
      <w:numFmt w:val="none"/>
      <w:lvlText w:val="(c)"/>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71">
    <w:nsid w:val="3E254249"/>
    <w:multiLevelType w:val="hybridMultilevel"/>
    <w:tmpl w:val="702CDEE8"/>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2">
    <w:nsid w:val="3E5A4588"/>
    <w:multiLevelType w:val="hybridMultilevel"/>
    <w:tmpl w:val="501CC732"/>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73">
    <w:nsid w:val="3E75575F"/>
    <w:multiLevelType w:val="multilevel"/>
    <w:tmpl w:val="E26A9DE6"/>
    <w:lvl w:ilvl="0">
      <w:start w:val="1"/>
      <w:numFmt w:val="decimal"/>
      <w:lvlText w:val="%1."/>
      <w:lvlJc w:val="left"/>
      <w:pPr>
        <w:tabs>
          <w:tab w:val="num" w:pos="907"/>
        </w:tabs>
        <w:ind w:left="907"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174">
    <w:nsid w:val="3EB42F99"/>
    <w:multiLevelType w:val="hybridMultilevel"/>
    <w:tmpl w:val="6192A7C8"/>
    <w:lvl w:ilvl="0" w:tplc="08090001">
      <w:start w:val="1"/>
      <w:numFmt w:val="bullet"/>
      <w:lvlText w:val=""/>
      <w:lvlJc w:val="left"/>
      <w:pPr>
        <w:tabs>
          <w:tab w:val="num" w:pos="360"/>
        </w:tabs>
        <w:ind w:left="3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5">
    <w:nsid w:val="3ECD6EC0"/>
    <w:multiLevelType w:val="multilevel"/>
    <w:tmpl w:val="13AE5F48"/>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76">
    <w:nsid w:val="3EEE0183"/>
    <w:multiLevelType w:val="hybridMultilevel"/>
    <w:tmpl w:val="B212E93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7">
    <w:nsid w:val="402F05A1"/>
    <w:multiLevelType w:val="hybridMultilevel"/>
    <w:tmpl w:val="39EC6838"/>
    <w:lvl w:ilvl="0" w:tplc="DB3E524A">
      <w:start w:val="2"/>
      <w:numFmt w:val="bullet"/>
      <w:lvlText w:val="-"/>
      <w:lvlJc w:val="left"/>
      <w:pPr>
        <w:ind w:left="720" w:hanging="360"/>
      </w:pPr>
      <w:rPr>
        <w:rFonts w:ascii="Myriad Pro" w:eastAsia="Times New Roman"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8">
    <w:nsid w:val="413F5CE2"/>
    <w:multiLevelType w:val="hybridMultilevel"/>
    <w:tmpl w:val="66C02ED8"/>
    <w:lvl w:ilvl="0" w:tplc="688C4F80">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79">
    <w:nsid w:val="415343F7"/>
    <w:multiLevelType w:val="hybridMultilevel"/>
    <w:tmpl w:val="E3E8FCC6"/>
    <w:lvl w:ilvl="0" w:tplc="6D9A4EAA">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0">
    <w:nsid w:val="4164531B"/>
    <w:multiLevelType w:val="hybridMultilevel"/>
    <w:tmpl w:val="0EB20000"/>
    <w:lvl w:ilvl="0" w:tplc="491C335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1">
    <w:nsid w:val="421F6910"/>
    <w:multiLevelType w:val="hybridMultilevel"/>
    <w:tmpl w:val="7F4CF834"/>
    <w:lvl w:ilvl="0" w:tplc="DA188080">
      <w:start w:val="2"/>
      <w:numFmt w:val="none"/>
      <w:lvlText w:val="(c)"/>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2">
    <w:nsid w:val="4284107C"/>
    <w:multiLevelType w:val="multilevel"/>
    <w:tmpl w:val="CA64FEA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83">
    <w:nsid w:val="432364CF"/>
    <w:multiLevelType w:val="hybridMultilevel"/>
    <w:tmpl w:val="2EA246C0"/>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4">
    <w:nsid w:val="43D16400"/>
    <w:multiLevelType w:val="hybridMultilevel"/>
    <w:tmpl w:val="E4B8F4C6"/>
    <w:lvl w:ilvl="0" w:tplc="030AF2EC">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5">
    <w:nsid w:val="444313D9"/>
    <w:multiLevelType w:val="hybridMultilevel"/>
    <w:tmpl w:val="43602A6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6">
    <w:nsid w:val="446C1BB9"/>
    <w:multiLevelType w:val="hybridMultilevel"/>
    <w:tmpl w:val="F59A94A8"/>
    <w:lvl w:ilvl="0" w:tplc="B25E4910">
      <w:start w:val="1"/>
      <w:numFmt w:val="decimal"/>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87">
    <w:nsid w:val="44C04663"/>
    <w:multiLevelType w:val="multilevel"/>
    <w:tmpl w:val="CB9E012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8">
    <w:nsid w:val="44C4535F"/>
    <w:multiLevelType w:val="hybridMultilevel"/>
    <w:tmpl w:val="581EF2AE"/>
    <w:lvl w:ilvl="0" w:tplc="08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9">
    <w:nsid w:val="44FE79A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0">
    <w:nsid w:val="45756DEB"/>
    <w:multiLevelType w:val="multilevel"/>
    <w:tmpl w:val="55FAE51E"/>
    <w:lvl w:ilvl="0">
      <w:start w:val="1"/>
      <w:numFmt w:val="bullet"/>
      <w:lvlText w:val=""/>
      <w:lvlJc w:val="left"/>
      <w:pPr>
        <w:tabs>
          <w:tab w:val="num" w:pos="1080"/>
        </w:tabs>
        <w:ind w:left="108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91">
    <w:nsid w:val="45FB63B7"/>
    <w:multiLevelType w:val="hybridMultilevel"/>
    <w:tmpl w:val="4CC6D7F8"/>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2">
    <w:nsid w:val="46880C3F"/>
    <w:multiLevelType w:val="hybridMultilevel"/>
    <w:tmpl w:val="1AB046F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3">
    <w:nsid w:val="46CA7376"/>
    <w:multiLevelType w:val="multilevel"/>
    <w:tmpl w:val="10B0A42C"/>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94">
    <w:nsid w:val="47152770"/>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95">
    <w:nsid w:val="47293425"/>
    <w:multiLevelType w:val="hybridMultilevel"/>
    <w:tmpl w:val="4E8826B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6">
    <w:nsid w:val="47693B97"/>
    <w:multiLevelType w:val="multilevel"/>
    <w:tmpl w:val="8E422644"/>
    <w:lvl w:ilvl="0">
      <w:start w:val="1"/>
      <w:numFmt w:val="decimal"/>
      <w:lvlText w:val="%1."/>
      <w:lvlJc w:val="right"/>
      <w:pPr>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97">
    <w:nsid w:val="481B6C30"/>
    <w:multiLevelType w:val="hybridMultilevel"/>
    <w:tmpl w:val="12F0C97A"/>
    <w:lvl w:ilvl="0" w:tplc="4E94D59A">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8">
    <w:nsid w:val="48622026"/>
    <w:multiLevelType w:val="hybridMultilevel"/>
    <w:tmpl w:val="BAC48774"/>
    <w:lvl w:ilvl="0" w:tplc="B5282FCC">
      <w:start w:val="2"/>
      <w:numFmt w:val="none"/>
      <w:lvlText w:val="(b)"/>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9">
    <w:nsid w:val="488564A5"/>
    <w:multiLevelType w:val="multilevel"/>
    <w:tmpl w:val="371A6E48"/>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0">
    <w:nsid w:val="48D0169D"/>
    <w:multiLevelType w:val="multilevel"/>
    <w:tmpl w:val="FCA4BB7C"/>
    <w:lvl w:ilvl="0">
      <w:start w:val="1"/>
      <w:numFmt w:val="bullet"/>
      <w:lvlText w:val=""/>
      <w:lvlJc w:val="left"/>
      <w:pPr>
        <w:tabs>
          <w:tab w:val="num" w:pos="567"/>
        </w:tabs>
        <w:ind w:left="567" w:hanging="56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1">
    <w:nsid w:val="48DA12FA"/>
    <w:multiLevelType w:val="hybridMultilevel"/>
    <w:tmpl w:val="DA5ECED2"/>
    <w:lvl w:ilvl="0" w:tplc="3CD4FD5C">
      <w:start w:val="1"/>
      <w:numFmt w:val="lowerLetter"/>
      <w:lvlText w:val="(%1)"/>
      <w:lvlJc w:val="left"/>
      <w:pPr>
        <w:ind w:left="178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2">
    <w:nsid w:val="494E03AB"/>
    <w:multiLevelType w:val="hybridMultilevel"/>
    <w:tmpl w:val="E6862614"/>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03">
    <w:nsid w:val="498536C2"/>
    <w:multiLevelType w:val="multilevel"/>
    <w:tmpl w:val="860AD898"/>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4">
    <w:nsid w:val="4A402B24"/>
    <w:multiLevelType w:val="hybridMultilevel"/>
    <w:tmpl w:val="87E6E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5">
    <w:nsid w:val="4A9445E7"/>
    <w:multiLevelType w:val="hybridMultilevel"/>
    <w:tmpl w:val="EA5EC172"/>
    <w:lvl w:ilvl="0" w:tplc="E1F2AF54">
      <w:start w:val="1"/>
      <w:numFmt w:val="decimal"/>
      <w:lvlText w:val="%1."/>
      <w:lvlJc w:val="left"/>
      <w:pPr>
        <w:tabs>
          <w:tab w:val="num" w:pos="357"/>
        </w:tabs>
        <w:ind w:left="924" w:hanging="357"/>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06">
    <w:nsid w:val="4AEA2722"/>
    <w:multiLevelType w:val="multilevel"/>
    <w:tmpl w:val="D59C7822"/>
    <w:lvl w:ilvl="0">
      <w:start w:val="2"/>
      <w:numFmt w:val="none"/>
      <w:lvlText w:val="(c)"/>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7">
    <w:nsid w:val="4BB64458"/>
    <w:multiLevelType w:val="multilevel"/>
    <w:tmpl w:val="CB7CD20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08">
    <w:nsid w:val="4C1D40F1"/>
    <w:multiLevelType w:val="hybridMultilevel"/>
    <w:tmpl w:val="7A46735C"/>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09">
    <w:nsid w:val="4C1F7CB7"/>
    <w:multiLevelType w:val="multilevel"/>
    <w:tmpl w:val="D9308CD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0">
    <w:nsid w:val="4C3C6F9D"/>
    <w:multiLevelType w:val="hybridMultilevel"/>
    <w:tmpl w:val="A8EE4EDA"/>
    <w:lvl w:ilvl="0" w:tplc="4E94D59A">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11">
    <w:nsid w:val="4C89703E"/>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2">
    <w:nsid w:val="4C8C6296"/>
    <w:multiLevelType w:val="multilevel"/>
    <w:tmpl w:val="DFBE21BC"/>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3">
    <w:nsid w:val="4CE11FF2"/>
    <w:multiLevelType w:val="hybridMultilevel"/>
    <w:tmpl w:val="5ECE5E16"/>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14">
    <w:nsid w:val="4D707DC6"/>
    <w:multiLevelType w:val="multilevel"/>
    <w:tmpl w:val="E0B4DD64"/>
    <w:lvl w:ilvl="0">
      <w:start w:val="1"/>
      <w:numFmt w:val="decimal"/>
      <w:lvlText w:val="%1."/>
      <w:lvlJc w:val="left"/>
      <w:pPr>
        <w:ind w:left="929"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5">
    <w:nsid w:val="4DF57AAD"/>
    <w:multiLevelType w:val="hybridMultilevel"/>
    <w:tmpl w:val="3990C222"/>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16">
    <w:nsid w:val="4E1C5F89"/>
    <w:multiLevelType w:val="hybridMultilevel"/>
    <w:tmpl w:val="3D62633A"/>
    <w:lvl w:ilvl="0" w:tplc="3CD4FD5C">
      <w:start w:val="1"/>
      <w:numFmt w:val="lowerLetter"/>
      <w:lvlText w:val="(%1)"/>
      <w:lvlJc w:val="left"/>
      <w:pPr>
        <w:ind w:left="93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17">
    <w:nsid w:val="4EBA6C08"/>
    <w:multiLevelType w:val="multilevel"/>
    <w:tmpl w:val="9536E620"/>
    <w:lvl w:ilvl="0">
      <w:start w:val="1"/>
      <w:numFmt w:val="decimal"/>
      <w:lvlText w:val="%1."/>
      <w:lvlJc w:val="left"/>
      <w:pPr>
        <w:tabs>
          <w:tab w:val="num" w:pos="907"/>
        </w:tabs>
        <w:ind w:left="907"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18">
    <w:nsid w:val="4ED05218"/>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9">
    <w:nsid w:val="4FE30975"/>
    <w:multiLevelType w:val="hybridMultilevel"/>
    <w:tmpl w:val="0680D89C"/>
    <w:lvl w:ilvl="0" w:tplc="08090001">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0">
    <w:nsid w:val="4FE600D3"/>
    <w:multiLevelType w:val="hybridMultilevel"/>
    <w:tmpl w:val="BD5031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1">
    <w:nsid w:val="5047741A"/>
    <w:multiLevelType w:val="multilevel"/>
    <w:tmpl w:val="6CE64FA4"/>
    <w:lvl w:ilvl="0">
      <w:start w:val="1"/>
      <w:numFmt w:val="decimal"/>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22">
    <w:nsid w:val="5059262F"/>
    <w:multiLevelType w:val="hybridMultilevel"/>
    <w:tmpl w:val="3E3AAC9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3">
    <w:nsid w:val="509D6A38"/>
    <w:multiLevelType w:val="hybridMultilevel"/>
    <w:tmpl w:val="64B02BD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4">
    <w:nsid w:val="512B1C5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5">
    <w:nsid w:val="513805AB"/>
    <w:multiLevelType w:val="hybridMultilevel"/>
    <w:tmpl w:val="4E2E8AAA"/>
    <w:lvl w:ilvl="0" w:tplc="1784671E">
      <w:start w:val="1"/>
      <w:numFmt w:val="decimal"/>
      <w:lvlText w:val="%1."/>
      <w:lvlJc w:val="left"/>
      <w:pPr>
        <w:ind w:left="1571" w:hanging="1231"/>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26">
    <w:nsid w:val="514E76E9"/>
    <w:multiLevelType w:val="multilevel"/>
    <w:tmpl w:val="4B2C6864"/>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7">
    <w:nsid w:val="517246B2"/>
    <w:multiLevelType w:val="multilevel"/>
    <w:tmpl w:val="CAC80906"/>
    <w:lvl w:ilvl="0">
      <w:start w:val="2"/>
      <w:numFmt w:val="none"/>
      <w:lvlText w:val="(a)"/>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8">
    <w:nsid w:val="51B266D5"/>
    <w:multiLevelType w:val="multilevel"/>
    <w:tmpl w:val="CFCA1CCE"/>
    <w:lvl w:ilvl="0">
      <w:start w:val="1"/>
      <w:numFmt w:val="bullet"/>
      <w:lvlText w:val=""/>
      <w:lvlJc w:val="left"/>
      <w:pPr>
        <w:ind w:left="0" w:hanging="39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9">
    <w:nsid w:val="524721BD"/>
    <w:multiLevelType w:val="multilevel"/>
    <w:tmpl w:val="9A4A861E"/>
    <w:lvl w:ilvl="0">
      <w:start w:val="1"/>
      <w:numFmt w:val="lowerLetter"/>
      <w:lvlText w:val="%1)"/>
      <w:lvlJc w:val="left"/>
      <w:pPr>
        <w:ind w:left="927"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0">
    <w:nsid w:val="52DC0FC7"/>
    <w:multiLevelType w:val="multilevel"/>
    <w:tmpl w:val="305EDA22"/>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31">
    <w:nsid w:val="53250680"/>
    <w:multiLevelType w:val="multilevel"/>
    <w:tmpl w:val="1AA2FE8A"/>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nsid w:val="53A65A0A"/>
    <w:multiLevelType w:val="hybridMultilevel"/>
    <w:tmpl w:val="05E46098"/>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33">
    <w:nsid w:val="53D31866"/>
    <w:multiLevelType w:val="multilevel"/>
    <w:tmpl w:val="FF064222"/>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4">
    <w:nsid w:val="546B4A2E"/>
    <w:multiLevelType w:val="hybridMultilevel"/>
    <w:tmpl w:val="CB7CD202"/>
    <w:lvl w:ilvl="0" w:tplc="B3D0A2CC">
      <w:start w:val="1"/>
      <w:numFmt w:val="decimal"/>
      <w:pStyle w:val="Default"/>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35">
    <w:nsid w:val="54B02F2E"/>
    <w:multiLevelType w:val="hybridMultilevel"/>
    <w:tmpl w:val="CD7CC9B6"/>
    <w:lvl w:ilvl="0" w:tplc="3E688E32">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36">
    <w:nsid w:val="555F5DB8"/>
    <w:multiLevelType w:val="multilevel"/>
    <w:tmpl w:val="F8768110"/>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7">
    <w:nsid w:val="55D81A08"/>
    <w:multiLevelType w:val="hybridMultilevel"/>
    <w:tmpl w:val="9B34B308"/>
    <w:lvl w:ilvl="0" w:tplc="08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ind w:left="1440" w:hanging="360"/>
      </w:pPr>
      <w:rPr>
        <w:rFonts w:ascii="Courier New" w:hAnsi="Courier New" w:cs="Wingdings 2"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38">
    <w:nsid w:val="56A71F8E"/>
    <w:multiLevelType w:val="hybridMultilevel"/>
    <w:tmpl w:val="A86A5E24"/>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9">
    <w:nsid w:val="56F70E69"/>
    <w:multiLevelType w:val="multilevel"/>
    <w:tmpl w:val="E3AE298C"/>
    <w:lvl w:ilvl="0">
      <w:start w:val="1"/>
      <w:numFmt w:val="lowerLetter"/>
      <w:lvlText w:val="(%1)"/>
      <w:lvlJc w:val="left"/>
      <w:pPr>
        <w:ind w:left="93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0">
    <w:nsid w:val="576037C4"/>
    <w:multiLevelType w:val="multilevel"/>
    <w:tmpl w:val="AD30775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41">
    <w:nsid w:val="577E3B1B"/>
    <w:multiLevelType w:val="hybridMultilevel"/>
    <w:tmpl w:val="B630C83C"/>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Wingdings 2"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42">
    <w:nsid w:val="57CB60AE"/>
    <w:multiLevelType w:val="hybridMultilevel"/>
    <w:tmpl w:val="A19A1756"/>
    <w:lvl w:ilvl="0" w:tplc="83A28766">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3">
    <w:nsid w:val="58A454E7"/>
    <w:multiLevelType w:val="hybridMultilevel"/>
    <w:tmpl w:val="DD8015C0"/>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44">
    <w:nsid w:val="58A800E9"/>
    <w:multiLevelType w:val="multilevel"/>
    <w:tmpl w:val="54A23626"/>
    <w:lvl w:ilvl="0">
      <w:start w:val="2"/>
      <w:numFmt w:val="none"/>
      <w:lvlText w:val="(c)"/>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5">
    <w:nsid w:val="58AD26BF"/>
    <w:multiLevelType w:val="hybridMultilevel"/>
    <w:tmpl w:val="653E8370"/>
    <w:lvl w:ilvl="0" w:tplc="D24E78FE">
      <w:start w:val="1"/>
      <w:numFmt w:val="decimal"/>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246">
    <w:nsid w:val="59236323"/>
    <w:multiLevelType w:val="hybridMultilevel"/>
    <w:tmpl w:val="E0941286"/>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47">
    <w:nsid w:val="59A559AD"/>
    <w:multiLevelType w:val="hybridMultilevel"/>
    <w:tmpl w:val="86F839A2"/>
    <w:lvl w:ilvl="0" w:tplc="E1F630DE">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8">
    <w:nsid w:val="59F66F8B"/>
    <w:multiLevelType w:val="multilevel"/>
    <w:tmpl w:val="93EE8E20"/>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49">
    <w:nsid w:val="5AA1143E"/>
    <w:multiLevelType w:val="multilevel"/>
    <w:tmpl w:val="F7C296C0"/>
    <w:lvl w:ilvl="0">
      <w:start w:val="1"/>
      <w:numFmt w:val="none"/>
      <w:lvlText w:val=""/>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50">
    <w:nsid w:val="5AAF2B17"/>
    <w:multiLevelType w:val="multilevel"/>
    <w:tmpl w:val="5830A9EE"/>
    <w:lvl w:ilvl="0">
      <w:start w:val="1"/>
      <w:numFmt w:val="bullet"/>
      <w:lvlText w:val=""/>
      <w:lvlJc w:val="left"/>
      <w:pPr>
        <w:tabs>
          <w:tab w:val="num" w:pos="907"/>
        </w:tabs>
        <w:ind w:left="907" w:hanging="56"/>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1">
    <w:nsid w:val="5AF00357"/>
    <w:multiLevelType w:val="hybridMultilevel"/>
    <w:tmpl w:val="BD90D7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2">
    <w:nsid w:val="5B4D5F78"/>
    <w:multiLevelType w:val="hybridMultilevel"/>
    <w:tmpl w:val="CBCABAC6"/>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53">
    <w:nsid w:val="5B977332"/>
    <w:multiLevelType w:val="hybridMultilevel"/>
    <w:tmpl w:val="256E4D42"/>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54">
    <w:nsid w:val="5BE64D94"/>
    <w:multiLevelType w:val="multilevel"/>
    <w:tmpl w:val="63B8E374"/>
    <w:lvl w:ilvl="0">
      <w:start w:val="1"/>
      <w:numFmt w:val="decimal"/>
      <w:lvlText w:val="%1."/>
      <w:lvlJc w:val="left"/>
      <w:pPr>
        <w:tabs>
          <w:tab w:val="num" w:pos="284"/>
        </w:tabs>
        <w:ind w:left="284" w:firstLine="283"/>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55">
    <w:nsid w:val="5C2E1AE3"/>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6">
    <w:nsid w:val="5C31074E"/>
    <w:multiLevelType w:val="multilevel"/>
    <w:tmpl w:val="9BF8E606"/>
    <w:lvl w:ilvl="0">
      <w:start w:val="1"/>
      <w:numFmt w:val="decimal"/>
      <w:lvlText w:val="%1."/>
      <w:lvlJc w:val="left"/>
      <w:pPr>
        <w:ind w:left="245" w:firstLine="775"/>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57">
    <w:nsid w:val="5C4E69CF"/>
    <w:multiLevelType w:val="hybridMultilevel"/>
    <w:tmpl w:val="0062FD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8">
    <w:nsid w:val="5C6018A0"/>
    <w:multiLevelType w:val="hybridMultilevel"/>
    <w:tmpl w:val="9BC41EDE"/>
    <w:lvl w:ilvl="0" w:tplc="08090001">
      <w:start w:val="1"/>
      <w:numFmt w:val="bullet"/>
      <w:lvlText w:val=""/>
      <w:lvlJc w:val="left"/>
      <w:pPr>
        <w:tabs>
          <w:tab w:val="num" w:pos="1287"/>
        </w:tabs>
        <w:ind w:left="1287" w:hanging="360"/>
      </w:pPr>
      <w:rPr>
        <w:rFonts w:ascii="Symbol" w:hAnsi="Symbol" w:hint="default"/>
      </w:rPr>
    </w:lvl>
    <w:lvl w:ilvl="1" w:tplc="7548AE86">
      <w:start w:val="5"/>
      <w:numFmt w:val="bullet"/>
      <w:lvlText w:val="•"/>
      <w:lvlJc w:val="left"/>
      <w:pPr>
        <w:ind w:left="2007" w:hanging="360"/>
      </w:pPr>
      <w:rPr>
        <w:rFonts w:ascii="Arial" w:eastAsia="SimSun" w:hAnsi="Arial" w:cs="Arial"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59">
    <w:nsid w:val="5C7245F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0">
    <w:nsid w:val="5CE927B2"/>
    <w:multiLevelType w:val="hybridMultilevel"/>
    <w:tmpl w:val="22D6B0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1">
    <w:nsid w:val="5D9F608E"/>
    <w:multiLevelType w:val="multilevel"/>
    <w:tmpl w:val="E0746A5C"/>
    <w:lvl w:ilvl="0">
      <w:start w:val="1"/>
      <w:numFmt w:val="decimal"/>
      <w:lvlText w:val="%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2">
    <w:nsid w:val="5DEA2FBA"/>
    <w:multiLevelType w:val="hybridMultilevel"/>
    <w:tmpl w:val="4DF2AC70"/>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63">
    <w:nsid w:val="5F127A12"/>
    <w:multiLevelType w:val="hybridMultilevel"/>
    <w:tmpl w:val="9C10BF22"/>
    <w:lvl w:ilvl="0" w:tplc="6D9ECB94">
      <w:start w:val="1"/>
      <w:numFmt w:val="decimal"/>
      <w:lvlText w:val="%1."/>
      <w:lvlJc w:val="left"/>
      <w:pPr>
        <w:ind w:left="933" w:hanging="360"/>
      </w:pPr>
      <w:rPr>
        <w:rFonts w:hint="default"/>
      </w:rPr>
    </w:lvl>
    <w:lvl w:ilvl="1" w:tplc="040C0019" w:tentative="1">
      <w:start w:val="1"/>
      <w:numFmt w:val="lowerLetter"/>
      <w:lvlText w:val="%2."/>
      <w:lvlJc w:val="left"/>
      <w:pPr>
        <w:ind w:left="1444" w:hanging="360"/>
      </w:pPr>
    </w:lvl>
    <w:lvl w:ilvl="2" w:tplc="040C001B" w:tentative="1">
      <w:start w:val="1"/>
      <w:numFmt w:val="lowerRoman"/>
      <w:lvlText w:val="%3."/>
      <w:lvlJc w:val="right"/>
      <w:pPr>
        <w:ind w:left="2164" w:hanging="180"/>
      </w:pPr>
    </w:lvl>
    <w:lvl w:ilvl="3" w:tplc="040C000F" w:tentative="1">
      <w:start w:val="1"/>
      <w:numFmt w:val="decimal"/>
      <w:lvlText w:val="%4."/>
      <w:lvlJc w:val="left"/>
      <w:pPr>
        <w:ind w:left="2884" w:hanging="360"/>
      </w:pPr>
    </w:lvl>
    <w:lvl w:ilvl="4" w:tplc="040C0019" w:tentative="1">
      <w:start w:val="1"/>
      <w:numFmt w:val="lowerLetter"/>
      <w:lvlText w:val="%5."/>
      <w:lvlJc w:val="left"/>
      <w:pPr>
        <w:ind w:left="3604" w:hanging="360"/>
      </w:pPr>
    </w:lvl>
    <w:lvl w:ilvl="5" w:tplc="040C001B" w:tentative="1">
      <w:start w:val="1"/>
      <w:numFmt w:val="lowerRoman"/>
      <w:lvlText w:val="%6."/>
      <w:lvlJc w:val="right"/>
      <w:pPr>
        <w:ind w:left="4324" w:hanging="180"/>
      </w:pPr>
    </w:lvl>
    <w:lvl w:ilvl="6" w:tplc="040C000F" w:tentative="1">
      <w:start w:val="1"/>
      <w:numFmt w:val="decimal"/>
      <w:lvlText w:val="%7."/>
      <w:lvlJc w:val="left"/>
      <w:pPr>
        <w:ind w:left="5044" w:hanging="360"/>
      </w:pPr>
    </w:lvl>
    <w:lvl w:ilvl="7" w:tplc="040C0019" w:tentative="1">
      <w:start w:val="1"/>
      <w:numFmt w:val="lowerLetter"/>
      <w:lvlText w:val="%8."/>
      <w:lvlJc w:val="left"/>
      <w:pPr>
        <w:ind w:left="5764" w:hanging="360"/>
      </w:pPr>
    </w:lvl>
    <w:lvl w:ilvl="8" w:tplc="040C001B" w:tentative="1">
      <w:start w:val="1"/>
      <w:numFmt w:val="lowerRoman"/>
      <w:lvlText w:val="%9."/>
      <w:lvlJc w:val="right"/>
      <w:pPr>
        <w:ind w:left="6484" w:hanging="180"/>
      </w:pPr>
    </w:lvl>
  </w:abstractNum>
  <w:abstractNum w:abstractNumId="264">
    <w:nsid w:val="5F4F139F"/>
    <w:multiLevelType w:val="hybridMultilevel"/>
    <w:tmpl w:val="C86EB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5">
    <w:nsid w:val="5F730F53"/>
    <w:multiLevelType w:val="multilevel"/>
    <w:tmpl w:val="317007F2"/>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6">
    <w:nsid w:val="604A3AA6"/>
    <w:multiLevelType w:val="hybridMultilevel"/>
    <w:tmpl w:val="4B44C060"/>
    <w:lvl w:ilvl="0" w:tplc="08090001">
      <w:start w:val="1"/>
      <w:numFmt w:val="bullet"/>
      <w:lvlText w:val=""/>
      <w:lvlJc w:val="left"/>
      <w:pPr>
        <w:tabs>
          <w:tab w:val="num" w:pos="1080"/>
        </w:tabs>
        <w:ind w:left="1080" w:hanging="360"/>
      </w:pPr>
      <w:rPr>
        <w:rFonts w:ascii="Symbol" w:hAnsi="Symbol" w:hint="default"/>
      </w:rPr>
    </w:lvl>
    <w:lvl w:ilvl="1" w:tplc="1C090019">
      <w:start w:val="1"/>
      <w:numFmt w:val="lowerLetter"/>
      <w:lvlText w:val="%2."/>
      <w:lvlJc w:val="left"/>
      <w:pPr>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67">
    <w:nsid w:val="60AF65BD"/>
    <w:multiLevelType w:val="hybridMultilevel"/>
    <w:tmpl w:val="6E04FA6C"/>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68">
    <w:nsid w:val="61C633E4"/>
    <w:multiLevelType w:val="multilevel"/>
    <w:tmpl w:val="76EA7616"/>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9">
    <w:nsid w:val="62615C8D"/>
    <w:multiLevelType w:val="hybridMultilevel"/>
    <w:tmpl w:val="288A9214"/>
    <w:lvl w:ilvl="0" w:tplc="6D9A4EAA">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0">
    <w:nsid w:val="62952D95"/>
    <w:multiLevelType w:val="hybridMultilevel"/>
    <w:tmpl w:val="B7D4AF40"/>
    <w:lvl w:ilvl="0" w:tplc="22AC8098">
      <w:start w:val="1"/>
      <w:numFmt w:val="decimal"/>
      <w:lvlText w:val="%1."/>
      <w:lvlJc w:val="left"/>
      <w:pPr>
        <w:ind w:left="3933"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71">
    <w:nsid w:val="629C3D75"/>
    <w:multiLevelType w:val="hybridMultilevel"/>
    <w:tmpl w:val="FA90F0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2">
    <w:nsid w:val="63994138"/>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3">
    <w:nsid w:val="63CC48AE"/>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4">
    <w:nsid w:val="63E17B28"/>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5">
    <w:nsid w:val="64554B31"/>
    <w:multiLevelType w:val="multilevel"/>
    <w:tmpl w:val="3154CD5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76">
    <w:nsid w:val="64B00489"/>
    <w:multiLevelType w:val="hybridMultilevel"/>
    <w:tmpl w:val="CFA2031C"/>
    <w:lvl w:ilvl="0" w:tplc="71B0E7A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7">
    <w:nsid w:val="650125FF"/>
    <w:multiLevelType w:val="multilevel"/>
    <w:tmpl w:val="FC166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8">
    <w:nsid w:val="65A24AB4"/>
    <w:multiLevelType w:val="hybridMultilevel"/>
    <w:tmpl w:val="40F66E5E"/>
    <w:lvl w:ilvl="0" w:tplc="9DFC5C5C">
      <w:start w:val="1"/>
      <w:numFmt w:val="decimal"/>
      <w:lvlText w:val="%1."/>
      <w:lvlJc w:val="left"/>
      <w:pPr>
        <w:ind w:left="927" w:hanging="36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279">
    <w:nsid w:val="661173B8"/>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0">
    <w:nsid w:val="66297560"/>
    <w:multiLevelType w:val="hybridMultilevel"/>
    <w:tmpl w:val="57FCBF7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81">
    <w:nsid w:val="662F6141"/>
    <w:multiLevelType w:val="hybridMultilevel"/>
    <w:tmpl w:val="A1A4A6AE"/>
    <w:lvl w:ilvl="0" w:tplc="BCD252D6">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82">
    <w:nsid w:val="667979A6"/>
    <w:multiLevelType w:val="hybridMultilevel"/>
    <w:tmpl w:val="3858F82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3">
    <w:nsid w:val="66D826C3"/>
    <w:multiLevelType w:val="hybridMultilevel"/>
    <w:tmpl w:val="9022100E"/>
    <w:lvl w:ilvl="0" w:tplc="0D50062E">
      <w:start w:val="1"/>
      <w:numFmt w:val="decimal"/>
      <w:lvlText w:val="%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4">
    <w:nsid w:val="67457F86"/>
    <w:multiLevelType w:val="hybridMultilevel"/>
    <w:tmpl w:val="3AFE8CB6"/>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85">
    <w:nsid w:val="68BB1A06"/>
    <w:multiLevelType w:val="hybridMultilevel"/>
    <w:tmpl w:val="CE7AA284"/>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86">
    <w:nsid w:val="68C46204"/>
    <w:multiLevelType w:val="hybridMultilevel"/>
    <w:tmpl w:val="EF0AE4C0"/>
    <w:lvl w:ilvl="0" w:tplc="08090001">
      <w:start w:val="1"/>
      <w:numFmt w:val="bullet"/>
      <w:lvlText w:val=""/>
      <w:lvlJc w:val="left"/>
      <w:pPr>
        <w:tabs>
          <w:tab w:val="num" w:pos="360"/>
        </w:tabs>
        <w:ind w:left="360" w:hanging="360"/>
      </w:pPr>
      <w:rPr>
        <w:rFonts w:ascii="Symbol" w:hAnsi="Symbol" w:hint="default"/>
      </w:rPr>
    </w:lvl>
    <w:lvl w:ilvl="1" w:tplc="6248F46E">
      <w:start w:val="1"/>
      <w:numFmt w:val="decimal"/>
      <w:lvlText w:val="%2."/>
      <w:lvlJc w:val="left"/>
      <w:pPr>
        <w:tabs>
          <w:tab w:val="num" w:pos="1440"/>
        </w:tabs>
        <w:ind w:left="1440" w:hanging="360"/>
      </w:pPr>
    </w:lvl>
    <w:lvl w:ilvl="2" w:tplc="A10601E4">
      <w:start w:val="1"/>
      <w:numFmt w:val="decimal"/>
      <w:lvlText w:val="%3."/>
      <w:lvlJc w:val="left"/>
      <w:pPr>
        <w:tabs>
          <w:tab w:val="num" w:pos="2160"/>
        </w:tabs>
        <w:ind w:left="2160" w:hanging="360"/>
      </w:pPr>
    </w:lvl>
    <w:lvl w:ilvl="3" w:tplc="D79C219C">
      <w:start w:val="1"/>
      <w:numFmt w:val="decimal"/>
      <w:lvlText w:val="%4."/>
      <w:lvlJc w:val="left"/>
      <w:pPr>
        <w:tabs>
          <w:tab w:val="num" w:pos="2880"/>
        </w:tabs>
        <w:ind w:left="2880" w:hanging="360"/>
      </w:pPr>
    </w:lvl>
    <w:lvl w:ilvl="4" w:tplc="D6ECD9FA">
      <w:start w:val="1"/>
      <w:numFmt w:val="decimal"/>
      <w:lvlText w:val="%5."/>
      <w:lvlJc w:val="left"/>
      <w:pPr>
        <w:tabs>
          <w:tab w:val="num" w:pos="3600"/>
        </w:tabs>
        <w:ind w:left="3600" w:hanging="360"/>
      </w:pPr>
    </w:lvl>
    <w:lvl w:ilvl="5" w:tplc="D7E05E06">
      <w:start w:val="1"/>
      <w:numFmt w:val="decimal"/>
      <w:lvlText w:val="%6."/>
      <w:lvlJc w:val="left"/>
      <w:pPr>
        <w:tabs>
          <w:tab w:val="num" w:pos="4320"/>
        </w:tabs>
        <w:ind w:left="4320" w:hanging="360"/>
      </w:pPr>
    </w:lvl>
    <w:lvl w:ilvl="6" w:tplc="6388B2F6">
      <w:start w:val="1"/>
      <w:numFmt w:val="decimal"/>
      <w:lvlText w:val="%7."/>
      <w:lvlJc w:val="left"/>
      <w:pPr>
        <w:tabs>
          <w:tab w:val="num" w:pos="5040"/>
        </w:tabs>
        <w:ind w:left="5040" w:hanging="360"/>
      </w:pPr>
    </w:lvl>
    <w:lvl w:ilvl="7" w:tplc="06DEAFD8">
      <w:start w:val="1"/>
      <w:numFmt w:val="decimal"/>
      <w:lvlText w:val="%8."/>
      <w:lvlJc w:val="left"/>
      <w:pPr>
        <w:tabs>
          <w:tab w:val="num" w:pos="5760"/>
        </w:tabs>
        <w:ind w:left="5760" w:hanging="360"/>
      </w:pPr>
    </w:lvl>
    <w:lvl w:ilvl="8" w:tplc="98E4F7A8">
      <w:start w:val="1"/>
      <w:numFmt w:val="decimal"/>
      <w:lvlText w:val="%9."/>
      <w:lvlJc w:val="left"/>
      <w:pPr>
        <w:tabs>
          <w:tab w:val="num" w:pos="6480"/>
        </w:tabs>
        <w:ind w:left="6480" w:hanging="360"/>
      </w:pPr>
    </w:lvl>
  </w:abstractNum>
  <w:abstractNum w:abstractNumId="287">
    <w:nsid w:val="691D4486"/>
    <w:multiLevelType w:val="hybridMultilevel"/>
    <w:tmpl w:val="6276B1AE"/>
    <w:lvl w:ilvl="0" w:tplc="846A55E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8">
    <w:nsid w:val="6A3427CB"/>
    <w:multiLevelType w:val="multilevel"/>
    <w:tmpl w:val="E0B4DD64"/>
    <w:lvl w:ilvl="0">
      <w:start w:val="1"/>
      <w:numFmt w:val="decimal"/>
      <w:lvlText w:val="%1."/>
      <w:lvlJc w:val="left"/>
      <w:pPr>
        <w:ind w:left="929"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9">
    <w:nsid w:val="6A436476"/>
    <w:multiLevelType w:val="hybridMultilevel"/>
    <w:tmpl w:val="C38E9F68"/>
    <w:lvl w:ilvl="0" w:tplc="08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0">
    <w:nsid w:val="6ABC0E19"/>
    <w:multiLevelType w:val="multilevel"/>
    <w:tmpl w:val="35929E14"/>
    <w:lvl w:ilvl="0">
      <w:start w:val="1"/>
      <w:numFmt w:val="bullet"/>
      <w:lvlText w:val=""/>
      <w:lvlJc w:val="left"/>
      <w:pPr>
        <w:tabs>
          <w:tab w:val="num" w:pos="0"/>
        </w:tabs>
        <w:ind w:left="0" w:hanging="39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1">
    <w:nsid w:val="6B35240A"/>
    <w:multiLevelType w:val="hybridMultilevel"/>
    <w:tmpl w:val="147C52BE"/>
    <w:lvl w:ilvl="0" w:tplc="56705B12">
      <w:start w:val="2"/>
      <w:numFmt w:val="bullet"/>
      <w:lvlText w:val="-"/>
      <w:lvlJc w:val="left"/>
      <w:pPr>
        <w:ind w:left="720" w:hanging="360"/>
      </w:pPr>
      <w:rPr>
        <w:rFonts w:ascii="Arial" w:eastAsia="SimSun" w:hAnsi="Arial" w:cs="Wingdings 2" w:hint="default"/>
      </w:rPr>
    </w:lvl>
    <w:lvl w:ilvl="1" w:tplc="040C0003">
      <w:start w:val="1"/>
      <w:numFmt w:val="bullet"/>
      <w:lvlText w:val="o"/>
      <w:lvlJc w:val="left"/>
      <w:pPr>
        <w:ind w:left="1440" w:hanging="360"/>
      </w:pPr>
      <w:rPr>
        <w:rFonts w:ascii="Courier New" w:hAnsi="Courier New" w:cs="Wingdings 2" w:hint="default"/>
      </w:rPr>
    </w:lvl>
    <w:lvl w:ilvl="2" w:tplc="040C0005">
      <w:start w:val="1"/>
      <w:numFmt w:val="bullet"/>
      <w:lvlText w:val=""/>
      <w:lvlJc w:val="left"/>
      <w:pPr>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2">
    <w:nsid w:val="6B753AF5"/>
    <w:multiLevelType w:val="multilevel"/>
    <w:tmpl w:val="6F3CBC18"/>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93">
    <w:nsid w:val="6BEA4AF9"/>
    <w:multiLevelType w:val="multilevel"/>
    <w:tmpl w:val="5A3E69A6"/>
    <w:lvl w:ilvl="0">
      <w:start w:val="2"/>
      <w:numFmt w:val="none"/>
      <w:lvlText w:val="(a)"/>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4">
    <w:nsid w:val="6C80363F"/>
    <w:multiLevelType w:val="hybridMultilevel"/>
    <w:tmpl w:val="0AC8F47A"/>
    <w:lvl w:ilvl="0" w:tplc="EE56F5F2">
      <w:start w:val="1"/>
      <w:numFmt w:val="decimal"/>
      <w:lvlText w:val="%1."/>
      <w:lvlJc w:val="left"/>
      <w:pPr>
        <w:ind w:left="8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5">
    <w:nsid w:val="6CF83A9E"/>
    <w:multiLevelType w:val="hybridMultilevel"/>
    <w:tmpl w:val="EBD6050C"/>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6">
    <w:nsid w:val="6D3F4C58"/>
    <w:multiLevelType w:val="hybridMultilevel"/>
    <w:tmpl w:val="9FDC6C2E"/>
    <w:lvl w:ilvl="0" w:tplc="CE760110">
      <w:start w:val="1"/>
      <w:numFmt w:val="decimal"/>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97">
    <w:nsid w:val="6E7E2ADD"/>
    <w:multiLevelType w:val="hybridMultilevel"/>
    <w:tmpl w:val="861A0696"/>
    <w:lvl w:ilvl="0" w:tplc="67602944">
      <w:start w:val="1"/>
      <w:numFmt w:val="lowerRoman"/>
      <w:lvlText w:val="%1"/>
      <w:lvlJc w:val="left"/>
      <w:pPr>
        <w:ind w:left="121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8">
    <w:nsid w:val="6E921A72"/>
    <w:multiLevelType w:val="hybridMultilevel"/>
    <w:tmpl w:val="9474A472"/>
    <w:lvl w:ilvl="0" w:tplc="02827BD4">
      <w:start w:val="1"/>
      <w:numFmt w:val="bullet"/>
      <w:lvlText w:val=""/>
      <w:lvlJc w:val="left"/>
      <w:pPr>
        <w:tabs>
          <w:tab w:val="num" w:pos="927"/>
        </w:tabs>
        <w:ind w:left="927" w:hanging="360"/>
      </w:pPr>
      <w:rPr>
        <w:rFonts w:ascii="Wingdings 2" w:hAnsi="Wingdings 2"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9">
    <w:nsid w:val="6EBD194B"/>
    <w:multiLevelType w:val="hybridMultilevel"/>
    <w:tmpl w:val="C240C04E"/>
    <w:lvl w:ilvl="0" w:tplc="F69A041A">
      <w:start w:val="1"/>
      <w:numFmt w:val="bullet"/>
      <w:pStyle w:val="Txtpucegras"/>
      <w:lvlText w:val=""/>
      <w:lvlJc w:val="left"/>
      <w:pPr>
        <w:tabs>
          <w:tab w:val="num" w:pos="1134"/>
        </w:tabs>
        <w:ind w:left="1134" w:hanging="283"/>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0">
    <w:nsid w:val="6ECF4E29"/>
    <w:multiLevelType w:val="hybridMultilevel"/>
    <w:tmpl w:val="DE24B57A"/>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01">
    <w:nsid w:val="6FBB1E44"/>
    <w:multiLevelType w:val="hybridMultilevel"/>
    <w:tmpl w:val="C0FAC052"/>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2">
    <w:nsid w:val="70011DE8"/>
    <w:multiLevelType w:val="hybridMultilevel"/>
    <w:tmpl w:val="07E6580C"/>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3">
    <w:nsid w:val="70204183"/>
    <w:multiLevelType w:val="hybridMultilevel"/>
    <w:tmpl w:val="14A8CFFE"/>
    <w:lvl w:ilvl="0" w:tplc="C4E8824E">
      <w:start w:val="1"/>
      <w:numFmt w:val="lowerLetter"/>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04">
    <w:nsid w:val="70263B28"/>
    <w:multiLevelType w:val="hybridMultilevel"/>
    <w:tmpl w:val="02E8FA7A"/>
    <w:lvl w:ilvl="0" w:tplc="C58662DE">
      <w:start w:val="1"/>
      <w:numFmt w:val="bullet"/>
      <w:lvlText w:val="–"/>
      <w:lvlJc w:val="left"/>
      <w:pPr>
        <w:tabs>
          <w:tab w:val="num" w:pos="1219"/>
        </w:tabs>
        <w:ind w:left="1219" w:hanging="368"/>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5">
    <w:nsid w:val="70C57F62"/>
    <w:multiLevelType w:val="hybridMultilevel"/>
    <w:tmpl w:val="F9000E08"/>
    <w:lvl w:ilvl="0" w:tplc="86DE94BC">
      <w:numFmt w:val="bullet"/>
      <w:lvlText w:val="–"/>
      <w:lvlJc w:val="left"/>
      <w:pPr>
        <w:tabs>
          <w:tab w:val="num" w:pos="1134"/>
        </w:tabs>
        <w:ind w:left="1134" w:hanging="283"/>
      </w:pPr>
      <w:rPr>
        <w:rFonts w:ascii="Arial" w:eastAsia="SimSun" w:hAnsi="Arial" w:hint="default"/>
      </w:rPr>
    </w:lvl>
    <w:lvl w:ilvl="1" w:tplc="040C0003">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06">
    <w:nsid w:val="712D1837"/>
    <w:multiLevelType w:val="multilevel"/>
    <w:tmpl w:val="2FD429C8"/>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07">
    <w:nsid w:val="71395F35"/>
    <w:multiLevelType w:val="multilevel"/>
    <w:tmpl w:val="C4B84FF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08">
    <w:nsid w:val="715E6F3F"/>
    <w:multiLevelType w:val="multilevel"/>
    <w:tmpl w:val="994CA426"/>
    <w:lvl w:ilvl="0">
      <w:start w:val="2"/>
      <w:numFmt w:val="none"/>
      <w:lvlText w:val="(b)"/>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09">
    <w:nsid w:val="718420D3"/>
    <w:multiLevelType w:val="multilevel"/>
    <w:tmpl w:val="B5A864AA"/>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0">
    <w:nsid w:val="71F51533"/>
    <w:multiLevelType w:val="hybridMultilevel"/>
    <w:tmpl w:val="DD8A7FFE"/>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311">
    <w:nsid w:val="721D185A"/>
    <w:multiLevelType w:val="hybridMultilevel"/>
    <w:tmpl w:val="E04662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2">
    <w:nsid w:val="72DA69CA"/>
    <w:multiLevelType w:val="multilevel"/>
    <w:tmpl w:val="F9F0219E"/>
    <w:lvl w:ilvl="0">
      <w:start w:val="1"/>
      <w:numFmt w:val="none"/>
      <w:lvlText w:val="1"/>
      <w:lvlJc w:val="left"/>
      <w:pPr>
        <w:ind w:left="1380"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313">
    <w:nsid w:val="734A2436"/>
    <w:multiLevelType w:val="hybridMultilevel"/>
    <w:tmpl w:val="CA662910"/>
    <w:lvl w:ilvl="0" w:tplc="08090001">
      <w:start w:val="1"/>
      <w:numFmt w:val="bullet"/>
      <w:lvlText w:val=""/>
      <w:lvlJc w:val="left"/>
      <w:pPr>
        <w:tabs>
          <w:tab w:val="num" w:pos="360"/>
        </w:tabs>
        <w:ind w:left="36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14">
    <w:nsid w:val="734C759F"/>
    <w:multiLevelType w:val="hybridMultilevel"/>
    <w:tmpl w:val="617A0BB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15">
    <w:nsid w:val="735D010B"/>
    <w:multiLevelType w:val="multilevel"/>
    <w:tmpl w:val="781C410C"/>
    <w:lvl w:ilvl="0">
      <w:start w:val="1"/>
      <w:numFmt w:val="lowerRoman"/>
      <w:lvlText w:val="(i)%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16">
    <w:nsid w:val="73C06035"/>
    <w:multiLevelType w:val="hybridMultilevel"/>
    <w:tmpl w:val="303A6BDE"/>
    <w:lvl w:ilvl="0" w:tplc="08090001">
      <w:start w:val="1"/>
      <w:numFmt w:val="bullet"/>
      <w:lvlText w:val=""/>
      <w:lvlJc w:val="left"/>
      <w:pPr>
        <w:tabs>
          <w:tab w:val="num" w:pos="720"/>
        </w:tabs>
        <w:ind w:left="720" w:hanging="360"/>
      </w:pPr>
      <w:rPr>
        <w:rFonts w:ascii="Symbol" w:hAnsi="Symbol" w:hint="default"/>
      </w:rPr>
    </w:lvl>
    <w:lvl w:ilvl="1" w:tplc="1C090019">
      <w:start w:val="1"/>
      <w:numFmt w:val="lowerLetter"/>
      <w:lvlText w:val="%2."/>
      <w:lvlJc w:val="left"/>
      <w:pPr>
        <w:ind w:left="1800" w:hanging="360"/>
      </w:pPr>
    </w:lvl>
    <w:lvl w:ilvl="2" w:tplc="D0FE2D86">
      <w:start w:val="1"/>
      <w:numFmt w:val="decimal"/>
      <w:lvlText w:val="%3)"/>
      <w:lvlJc w:val="left"/>
      <w:pPr>
        <w:ind w:left="270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317">
    <w:nsid w:val="73C63F88"/>
    <w:multiLevelType w:val="multilevel"/>
    <w:tmpl w:val="9EACCED4"/>
    <w:lvl w:ilvl="0">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18">
    <w:nsid w:val="73DC7F49"/>
    <w:multiLevelType w:val="multilevel"/>
    <w:tmpl w:val="6D42177A"/>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9">
    <w:nsid w:val="741644FD"/>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0">
    <w:nsid w:val="74D84361"/>
    <w:multiLevelType w:val="hybridMultilevel"/>
    <w:tmpl w:val="7860A158"/>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1">
    <w:nsid w:val="74F23C0B"/>
    <w:multiLevelType w:val="hybridMultilevel"/>
    <w:tmpl w:val="43A46866"/>
    <w:lvl w:ilvl="0" w:tplc="CE760110">
      <w:start w:val="1"/>
      <w:numFmt w:val="decimal"/>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322">
    <w:nsid w:val="755932CD"/>
    <w:multiLevelType w:val="hybridMultilevel"/>
    <w:tmpl w:val="44B06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3">
    <w:nsid w:val="7580111F"/>
    <w:multiLevelType w:val="multilevel"/>
    <w:tmpl w:val="5734F66E"/>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4">
    <w:nsid w:val="75B86549"/>
    <w:multiLevelType w:val="hybridMultilevel"/>
    <w:tmpl w:val="BD68F6C8"/>
    <w:lvl w:ilvl="0" w:tplc="D3C82D2A">
      <w:start w:val="1"/>
      <w:numFmt w:val="bullet"/>
      <w:lvlText w:val=""/>
      <w:lvlJc w:val="left"/>
      <w:pPr>
        <w:tabs>
          <w:tab w:val="num" w:pos="907"/>
        </w:tabs>
        <w:ind w:left="907" w:hanging="34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5">
    <w:nsid w:val="75C00D35"/>
    <w:multiLevelType w:val="hybridMultilevel"/>
    <w:tmpl w:val="2DB6EDA6"/>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6">
    <w:nsid w:val="76347086"/>
    <w:multiLevelType w:val="multilevel"/>
    <w:tmpl w:val="492EB7B6"/>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27">
    <w:nsid w:val="76AC7075"/>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28">
    <w:nsid w:val="76D34B7D"/>
    <w:multiLevelType w:val="hybridMultilevel"/>
    <w:tmpl w:val="97F0696A"/>
    <w:lvl w:ilvl="0" w:tplc="EE56F5F2">
      <w:start w:val="1"/>
      <w:numFmt w:val="decimal"/>
      <w:lvlText w:val="%1."/>
      <w:lvlJc w:val="left"/>
      <w:pPr>
        <w:ind w:left="172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29">
    <w:nsid w:val="77CF1590"/>
    <w:multiLevelType w:val="multilevel"/>
    <w:tmpl w:val="459CDE98"/>
    <w:lvl w:ilvl="0">
      <w:start w:val="1"/>
      <w:numFmt w:val="bullet"/>
      <w:lvlText w:val=""/>
      <w:lvlJc w:val="left"/>
      <w:pPr>
        <w:tabs>
          <w:tab w:val="num" w:pos="907"/>
        </w:tabs>
        <w:ind w:left="567" w:firstLine="284"/>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0">
    <w:nsid w:val="79016D5E"/>
    <w:multiLevelType w:val="multilevel"/>
    <w:tmpl w:val="948A0C22"/>
    <w:lvl w:ilvl="0">
      <w:start w:val="2"/>
      <w:numFmt w:val="none"/>
      <w:lvlText w:val="(d)"/>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1">
    <w:nsid w:val="790B7D50"/>
    <w:multiLevelType w:val="multilevel"/>
    <w:tmpl w:val="4EFEDF3C"/>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2">
    <w:nsid w:val="790C219A"/>
    <w:multiLevelType w:val="multilevel"/>
    <w:tmpl w:val="5364736C"/>
    <w:lvl w:ilvl="0">
      <w:start w:val="1"/>
      <w:numFmt w:val="lowerLetter"/>
      <w:lvlText w:val="(%1)"/>
      <w:lvlJc w:val="left"/>
      <w:pPr>
        <w:tabs>
          <w:tab w:val="num" w:pos="1758"/>
        </w:tabs>
        <w:ind w:left="1758"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3">
    <w:nsid w:val="792B3964"/>
    <w:multiLevelType w:val="hybridMultilevel"/>
    <w:tmpl w:val="DA94E548"/>
    <w:lvl w:ilvl="0" w:tplc="6D9ECB94">
      <w:start w:val="1"/>
      <w:numFmt w:val="decimal"/>
      <w:lvlText w:val="%1."/>
      <w:lvlJc w:val="left"/>
      <w:pPr>
        <w:ind w:left="930" w:hanging="360"/>
      </w:pPr>
      <w:rPr>
        <w:rFonts w:hint="default"/>
      </w:rPr>
    </w:lvl>
    <w:lvl w:ilvl="1" w:tplc="040C0019">
      <w:start w:val="1"/>
      <w:numFmt w:val="lowerLetter"/>
      <w:lvlText w:val="%2."/>
      <w:lvlJc w:val="left"/>
      <w:pPr>
        <w:ind w:left="1953" w:hanging="360"/>
      </w:pPr>
    </w:lvl>
    <w:lvl w:ilvl="2" w:tplc="040C001B" w:tentative="1">
      <w:start w:val="1"/>
      <w:numFmt w:val="lowerRoman"/>
      <w:lvlText w:val="%3."/>
      <w:lvlJc w:val="right"/>
      <w:pPr>
        <w:ind w:left="2673" w:hanging="180"/>
      </w:pPr>
    </w:lvl>
    <w:lvl w:ilvl="3" w:tplc="040C000F" w:tentative="1">
      <w:start w:val="1"/>
      <w:numFmt w:val="decimal"/>
      <w:lvlText w:val="%4."/>
      <w:lvlJc w:val="left"/>
      <w:pPr>
        <w:ind w:left="3393" w:hanging="360"/>
      </w:pPr>
    </w:lvl>
    <w:lvl w:ilvl="4" w:tplc="040C0019" w:tentative="1">
      <w:start w:val="1"/>
      <w:numFmt w:val="lowerLetter"/>
      <w:lvlText w:val="%5."/>
      <w:lvlJc w:val="left"/>
      <w:pPr>
        <w:ind w:left="4113" w:hanging="360"/>
      </w:pPr>
    </w:lvl>
    <w:lvl w:ilvl="5" w:tplc="040C001B" w:tentative="1">
      <w:start w:val="1"/>
      <w:numFmt w:val="lowerRoman"/>
      <w:lvlText w:val="%6."/>
      <w:lvlJc w:val="right"/>
      <w:pPr>
        <w:ind w:left="4833" w:hanging="180"/>
      </w:pPr>
    </w:lvl>
    <w:lvl w:ilvl="6" w:tplc="040C000F" w:tentative="1">
      <w:start w:val="1"/>
      <w:numFmt w:val="decimal"/>
      <w:lvlText w:val="%7."/>
      <w:lvlJc w:val="left"/>
      <w:pPr>
        <w:ind w:left="5553" w:hanging="360"/>
      </w:pPr>
    </w:lvl>
    <w:lvl w:ilvl="7" w:tplc="040C0019" w:tentative="1">
      <w:start w:val="1"/>
      <w:numFmt w:val="lowerLetter"/>
      <w:lvlText w:val="%8."/>
      <w:lvlJc w:val="left"/>
      <w:pPr>
        <w:ind w:left="6273" w:hanging="360"/>
      </w:pPr>
    </w:lvl>
    <w:lvl w:ilvl="8" w:tplc="040C001B" w:tentative="1">
      <w:start w:val="1"/>
      <w:numFmt w:val="lowerRoman"/>
      <w:lvlText w:val="%9."/>
      <w:lvlJc w:val="right"/>
      <w:pPr>
        <w:ind w:left="6993" w:hanging="180"/>
      </w:pPr>
    </w:lvl>
  </w:abstractNum>
  <w:abstractNum w:abstractNumId="334">
    <w:nsid w:val="798E0F67"/>
    <w:multiLevelType w:val="hybridMultilevel"/>
    <w:tmpl w:val="1786CEDE"/>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35">
    <w:nsid w:val="799C36F3"/>
    <w:multiLevelType w:val="multilevel"/>
    <w:tmpl w:val="77DE0960"/>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6">
    <w:nsid w:val="799D4FA5"/>
    <w:multiLevelType w:val="hybridMultilevel"/>
    <w:tmpl w:val="3878C3AA"/>
    <w:lvl w:ilvl="0" w:tplc="2ACA0304">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37">
    <w:nsid w:val="79BB4986"/>
    <w:multiLevelType w:val="hybridMultilevel"/>
    <w:tmpl w:val="83D27DD0"/>
    <w:lvl w:ilvl="0" w:tplc="C4E8824E">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38">
    <w:nsid w:val="7A560663"/>
    <w:multiLevelType w:val="hybridMultilevel"/>
    <w:tmpl w:val="324A9D76"/>
    <w:lvl w:ilvl="0" w:tplc="EE56F5F2">
      <w:start w:val="1"/>
      <w:numFmt w:val="decimal"/>
      <w:lvlText w:val="%1."/>
      <w:lvlJc w:val="left"/>
      <w:pPr>
        <w:ind w:left="8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9">
    <w:nsid w:val="7A5E34E1"/>
    <w:multiLevelType w:val="hybridMultilevel"/>
    <w:tmpl w:val="AFBC6BAC"/>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647"/>
        </w:tabs>
        <w:ind w:left="1647" w:hanging="360"/>
      </w:pPr>
    </w:lvl>
    <w:lvl w:ilvl="2" w:tplc="1C090005">
      <w:start w:val="1"/>
      <w:numFmt w:val="decimal"/>
      <w:lvlText w:val="%3."/>
      <w:lvlJc w:val="left"/>
      <w:pPr>
        <w:tabs>
          <w:tab w:val="num" w:pos="2367"/>
        </w:tabs>
        <w:ind w:left="2367" w:hanging="360"/>
      </w:pPr>
    </w:lvl>
    <w:lvl w:ilvl="3" w:tplc="1C090001">
      <w:start w:val="1"/>
      <w:numFmt w:val="decimal"/>
      <w:lvlText w:val="%4."/>
      <w:lvlJc w:val="left"/>
      <w:pPr>
        <w:tabs>
          <w:tab w:val="num" w:pos="3087"/>
        </w:tabs>
        <w:ind w:left="3087" w:hanging="360"/>
      </w:pPr>
    </w:lvl>
    <w:lvl w:ilvl="4" w:tplc="1C090003">
      <w:start w:val="1"/>
      <w:numFmt w:val="decimal"/>
      <w:lvlText w:val="%5."/>
      <w:lvlJc w:val="left"/>
      <w:pPr>
        <w:tabs>
          <w:tab w:val="num" w:pos="3807"/>
        </w:tabs>
        <w:ind w:left="3807" w:hanging="360"/>
      </w:pPr>
    </w:lvl>
    <w:lvl w:ilvl="5" w:tplc="1C090005">
      <w:start w:val="1"/>
      <w:numFmt w:val="decimal"/>
      <w:lvlText w:val="%6."/>
      <w:lvlJc w:val="left"/>
      <w:pPr>
        <w:tabs>
          <w:tab w:val="num" w:pos="4527"/>
        </w:tabs>
        <w:ind w:left="4527" w:hanging="360"/>
      </w:pPr>
    </w:lvl>
    <w:lvl w:ilvl="6" w:tplc="1C090001">
      <w:start w:val="1"/>
      <w:numFmt w:val="decimal"/>
      <w:lvlText w:val="%7."/>
      <w:lvlJc w:val="left"/>
      <w:pPr>
        <w:tabs>
          <w:tab w:val="num" w:pos="5247"/>
        </w:tabs>
        <w:ind w:left="5247" w:hanging="360"/>
      </w:pPr>
    </w:lvl>
    <w:lvl w:ilvl="7" w:tplc="1C090003">
      <w:start w:val="1"/>
      <w:numFmt w:val="decimal"/>
      <w:lvlText w:val="%8."/>
      <w:lvlJc w:val="left"/>
      <w:pPr>
        <w:tabs>
          <w:tab w:val="num" w:pos="5967"/>
        </w:tabs>
        <w:ind w:left="5967" w:hanging="360"/>
      </w:pPr>
    </w:lvl>
    <w:lvl w:ilvl="8" w:tplc="1C090005">
      <w:start w:val="1"/>
      <w:numFmt w:val="decimal"/>
      <w:lvlText w:val="%9."/>
      <w:lvlJc w:val="left"/>
      <w:pPr>
        <w:tabs>
          <w:tab w:val="num" w:pos="6687"/>
        </w:tabs>
        <w:ind w:left="6687" w:hanging="360"/>
      </w:pPr>
    </w:lvl>
  </w:abstractNum>
  <w:abstractNum w:abstractNumId="340">
    <w:nsid w:val="7A846041"/>
    <w:multiLevelType w:val="multilevel"/>
    <w:tmpl w:val="FCC2641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1">
    <w:nsid w:val="7AB3716C"/>
    <w:multiLevelType w:val="multilevel"/>
    <w:tmpl w:val="C9B0DDC0"/>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2">
    <w:nsid w:val="7BD27564"/>
    <w:multiLevelType w:val="multilevel"/>
    <w:tmpl w:val="9A4A861E"/>
    <w:lvl w:ilvl="0">
      <w:start w:val="1"/>
      <w:numFmt w:val="lowerLetter"/>
      <w:lvlText w:val="%1)"/>
      <w:lvlJc w:val="left"/>
      <w:pPr>
        <w:ind w:left="927"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3">
    <w:nsid w:val="7BD74204"/>
    <w:multiLevelType w:val="hybridMultilevel"/>
    <w:tmpl w:val="8FB6C784"/>
    <w:lvl w:ilvl="0" w:tplc="590A27DA">
      <w:start w:val="1"/>
      <w:numFmt w:val="bullet"/>
      <w:lvlText w:val=""/>
      <w:lvlJc w:val="left"/>
      <w:pPr>
        <w:ind w:left="927" w:hanging="927"/>
      </w:pPr>
      <w:rPr>
        <w:rFonts w:ascii="Symbol" w:hAnsi="Symbol" w:hint="default"/>
      </w:rPr>
    </w:lvl>
    <w:lvl w:ilvl="1" w:tplc="040C0003" w:tentative="1">
      <w:start w:val="1"/>
      <w:numFmt w:val="bullet"/>
      <w:lvlText w:val="o"/>
      <w:lvlJc w:val="left"/>
      <w:pPr>
        <w:ind w:left="930" w:hanging="360"/>
      </w:pPr>
      <w:rPr>
        <w:rFonts w:ascii="Courier New" w:hAnsi="Courier New" w:hint="default"/>
      </w:rPr>
    </w:lvl>
    <w:lvl w:ilvl="2" w:tplc="040C0005" w:tentative="1">
      <w:start w:val="1"/>
      <w:numFmt w:val="bullet"/>
      <w:lvlText w:val=""/>
      <w:lvlJc w:val="left"/>
      <w:pPr>
        <w:ind w:left="1650" w:hanging="360"/>
      </w:pPr>
      <w:rPr>
        <w:rFonts w:ascii="Wingdings" w:hAnsi="Wingdings" w:hint="default"/>
      </w:rPr>
    </w:lvl>
    <w:lvl w:ilvl="3" w:tplc="040C0001" w:tentative="1">
      <w:start w:val="1"/>
      <w:numFmt w:val="bullet"/>
      <w:lvlText w:val=""/>
      <w:lvlJc w:val="left"/>
      <w:pPr>
        <w:ind w:left="2370" w:hanging="360"/>
      </w:pPr>
      <w:rPr>
        <w:rFonts w:ascii="Symbol" w:hAnsi="Symbol" w:hint="default"/>
      </w:rPr>
    </w:lvl>
    <w:lvl w:ilvl="4" w:tplc="040C0003" w:tentative="1">
      <w:start w:val="1"/>
      <w:numFmt w:val="bullet"/>
      <w:lvlText w:val="o"/>
      <w:lvlJc w:val="left"/>
      <w:pPr>
        <w:ind w:left="3090" w:hanging="360"/>
      </w:pPr>
      <w:rPr>
        <w:rFonts w:ascii="Courier New" w:hAnsi="Courier New" w:hint="default"/>
      </w:rPr>
    </w:lvl>
    <w:lvl w:ilvl="5" w:tplc="040C0005" w:tentative="1">
      <w:start w:val="1"/>
      <w:numFmt w:val="bullet"/>
      <w:lvlText w:val=""/>
      <w:lvlJc w:val="left"/>
      <w:pPr>
        <w:ind w:left="3810" w:hanging="360"/>
      </w:pPr>
      <w:rPr>
        <w:rFonts w:ascii="Wingdings" w:hAnsi="Wingdings" w:hint="default"/>
      </w:rPr>
    </w:lvl>
    <w:lvl w:ilvl="6" w:tplc="040C0001" w:tentative="1">
      <w:start w:val="1"/>
      <w:numFmt w:val="bullet"/>
      <w:lvlText w:val=""/>
      <w:lvlJc w:val="left"/>
      <w:pPr>
        <w:ind w:left="4530" w:hanging="360"/>
      </w:pPr>
      <w:rPr>
        <w:rFonts w:ascii="Symbol" w:hAnsi="Symbol" w:hint="default"/>
      </w:rPr>
    </w:lvl>
    <w:lvl w:ilvl="7" w:tplc="040C0003" w:tentative="1">
      <w:start w:val="1"/>
      <w:numFmt w:val="bullet"/>
      <w:lvlText w:val="o"/>
      <w:lvlJc w:val="left"/>
      <w:pPr>
        <w:ind w:left="5250" w:hanging="360"/>
      </w:pPr>
      <w:rPr>
        <w:rFonts w:ascii="Courier New" w:hAnsi="Courier New" w:hint="default"/>
      </w:rPr>
    </w:lvl>
    <w:lvl w:ilvl="8" w:tplc="040C0005" w:tentative="1">
      <w:start w:val="1"/>
      <w:numFmt w:val="bullet"/>
      <w:lvlText w:val=""/>
      <w:lvlJc w:val="left"/>
      <w:pPr>
        <w:ind w:left="5970" w:hanging="360"/>
      </w:pPr>
      <w:rPr>
        <w:rFonts w:ascii="Wingdings" w:hAnsi="Wingdings" w:hint="default"/>
      </w:rPr>
    </w:lvl>
  </w:abstractNum>
  <w:abstractNum w:abstractNumId="344">
    <w:nsid w:val="7CB16128"/>
    <w:multiLevelType w:val="hybridMultilevel"/>
    <w:tmpl w:val="E8DC0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5">
    <w:nsid w:val="7CE77BE6"/>
    <w:multiLevelType w:val="multilevel"/>
    <w:tmpl w:val="F0C2D4F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6">
    <w:nsid w:val="7D754147"/>
    <w:multiLevelType w:val="hybridMultilevel"/>
    <w:tmpl w:val="0D887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7">
    <w:nsid w:val="7E2C3266"/>
    <w:multiLevelType w:val="hybridMultilevel"/>
    <w:tmpl w:val="E63665E0"/>
    <w:lvl w:ilvl="0" w:tplc="E3DE717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48">
    <w:nsid w:val="7EBE0F71"/>
    <w:multiLevelType w:val="hybridMultilevel"/>
    <w:tmpl w:val="940ADB0C"/>
    <w:lvl w:ilvl="0" w:tplc="71B0E7A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49">
    <w:nsid w:val="7ECE6FBD"/>
    <w:multiLevelType w:val="hybridMultilevel"/>
    <w:tmpl w:val="F8F6805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0">
    <w:nsid w:val="7ED048C2"/>
    <w:multiLevelType w:val="multilevel"/>
    <w:tmpl w:val="6F8CEFF0"/>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51">
    <w:nsid w:val="7ED741CB"/>
    <w:multiLevelType w:val="hybridMultilevel"/>
    <w:tmpl w:val="6C2646DC"/>
    <w:lvl w:ilvl="0" w:tplc="C360C63E">
      <w:start w:val="2"/>
      <w:numFmt w:val="none"/>
      <w:lvlText w:val="(a)"/>
      <w:lvlJc w:val="left"/>
      <w:pPr>
        <w:tabs>
          <w:tab w:val="num" w:pos="1418"/>
        </w:tabs>
        <w:ind w:left="1418"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2">
    <w:nsid w:val="7FAE7E15"/>
    <w:multiLevelType w:val="multilevel"/>
    <w:tmpl w:val="9D984424"/>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3">
    <w:nsid w:val="7FCB6773"/>
    <w:multiLevelType w:val="hybridMultilevel"/>
    <w:tmpl w:val="F1A60D46"/>
    <w:lvl w:ilvl="0" w:tplc="040C000F">
      <w:start w:val="1"/>
      <w:numFmt w:val="decimal"/>
      <w:lvlText w:val="%1."/>
      <w:lvlJc w:val="left"/>
      <w:pPr>
        <w:ind w:left="1740" w:hanging="360"/>
      </w:p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num w:numId="1">
    <w:abstractNumId w:val="180"/>
  </w:num>
  <w:num w:numId="2">
    <w:abstractNumId w:val="205"/>
  </w:num>
  <w:num w:numId="3">
    <w:abstractNumId w:val="270"/>
  </w:num>
  <w:num w:numId="4">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9"/>
  </w:num>
  <w:num w:numId="7">
    <w:abstractNumId w:val="280"/>
  </w:num>
  <w:num w:numId="8">
    <w:abstractNumId w:val="237"/>
  </w:num>
  <w:num w:numId="9">
    <w:abstractNumId w:val="289"/>
  </w:num>
  <w:num w:numId="10">
    <w:abstractNumId w:val="219"/>
  </w:num>
  <w:num w:numId="11">
    <w:abstractNumId w:val="223"/>
  </w:num>
  <w:num w:numId="12">
    <w:abstractNumId w:val="260"/>
  </w:num>
  <w:num w:numId="13">
    <w:abstractNumId w:val="29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1"/>
  </w:num>
  <w:num w:numId="18">
    <w:abstractNumId w:val="21"/>
  </w:num>
  <w:num w:numId="19">
    <w:abstractNumId w:val="40"/>
  </w:num>
  <w:num w:numId="20">
    <w:abstractNumId w:val="334"/>
  </w:num>
  <w:num w:numId="21">
    <w:abstractNumId w:val="75"/>
  </w:num>
  <w:num w:numId="22">
    <w:abstractNumId w:val="251"/>
  </w:num>
  <w:num w:numId="23">
    <w:abstractNumId w:val="29"/>
  </w:num>
  <w:num w:numId="24">
    <w:abstractNumId w:val="166"/>
  </w:num>
  <w:num w:numId="25">
    <w:abstractNumId w:val="232"/>
  </w:num>
  <w:num w:numId="26">
    <w:abstractNumId w:val="91"/>
  </w:num>
  <w:num w:numId="27">
    <w:abstractNumId w:val="56"/>
  </w:num>
  <w:num w:numId="28">
    <w:abstractNumId w:val="222"/>
  </w:num>
  <w:num w:numId="29">
    <w:abstractNumId w:val="65"/>
  </w:num>
  <w:num w:numId="30">
    <w:abstractNumId w:val="314"/>
  </w:num>
  <w:num w:numId="31">
    <w:abstractNumId w:val="18"/>
  </w:num>
  <w:num w:numId="32">
    <w:abstractNumId w:val="78"/>
  </w:num>
  <w:num w:numId="33">
    <w:abstractNumId w:val="188"/>
  </w:num>
  <w:num w:numId="34">
    <w:abstractNumId w:val="238"/>
  </w:num>
  <w:num w:numId="35">
    <w:abstractNumId w:val="102"/>
  </w:num>
  <w:num w:numId="36">
    <w:abstractNumId w:val="142"/>
  </w:num>
  <w:num w:numId="37">
    <w:abstractNumId w:val="339"/>
  </w:num>
  <w:num w:numId="38">
    <w:abstractNumId w:val="5"/>
  </w:num>
  <w:num w:numId="39">
    <w:abstractNumId w:val="316"/>
  </w:num>
  <w:num w:numId="40">
    <w:abstractNumId w:val="185"/>
  </w:num>
  <w:num w:numId="41">
    <w:abstractNumId w:val="213"/>
  </w:num>
  <w:num w:numId="42">
    <w:abstractNumId w:val="156"/>
  </w:num>
  <w:num w:numId="43">
    <w:abstractNumId w:val="148"/>
  </w:num>
  <w:num w:numId="44">
    <w:abstractNumId w:val="266"/>
  </w:num>
  <w:num w:numId="45">
    <w:abstractNumId w:val="146"/>
  </w:num>
  <w:num w:numId="46">
    <w:abstractNumId w:val="144"/>
  </w:num>
  <w:num w:numId="47">
    <w:abstractNumId w:val="246"/>
  </w:num>
  <w:num w:numId="48">
    <w:abstractNumId w:val="190"/>
  </w:num>
  <w:num w:numId="49">
    <w:abstractNumId w:val="135"/>
  </w:num>
  <w:num w:numId="50">
    <w:abstractNumId w:val="129"/>
  </w:num>
  <w:num w:numId="51">
    <w:abstractNumId w:val="110"/>
  </w:num>
  <w:num w:numId="52">
    <w:abstractNumId w:val="286"/>
  </w:num>
  <w:num w:numId="53">
    <w:abstractNumId w:val="301"/>
  </w:num>
  <w:num w:numId="54">
    <w:abstractNumId w:val="191"/>
  </w:num>
  <w:num w:numId="55">
    <w:abstractNumId w:val="82"/>
  </w:num>
  <w:num w:numId="56">
    <w:abstractNumId w:val="172"/>
  </w:num>
  <w:num w:numId="57">
    <w:abstractNumId w:val="132"/>
  </w:num>
  <w:num w:numId="58">
    <w:abstractNumId w:val="92"/>
  </w:num>
  <w:num w:numId="59">
    <w:abstractNumId w:val="31"/>
  </w:num>
  <w:num w:numId="60">
    <w:abstractNumId w:val="23"/>
  </w:num>
  <w:num w:numId="61">
    <w:abstractNumId w:val="284"/>
  </w:num>
  <w:num w:numId="62">
    <w:abstractNumId w:val="253"/>
  </w:num>
  <w:num w:numId="63">
    <w:abstractNumId w:val="313"/>
  </w:num>
  <w:num w:numId="64">
    <w:abstractNumId w:val="174"/>
  </w:num>
  <w:num w:numId="65">
    <w:abstractNumId w:val="32"/>
  </w:num>
  <w:num w:numId="66">
    <w:abstractNumId w:val="87"/>
  </w:num>
  <w:num w:numId="67">
    <w:abstractNumId w:val="59"/>
  </w:num>
  <w:num w:numId="68">
    <w:abstractNumId w:val="117"/>
  </w:num>
  <w:num w:numId="69">
    <w:abstractNumId w:val="258"/>
  </w:num>
  <w:num w:numId="70">
    <w:abstractNumId w:val="241"/>
  </w:num>
  <w:num w:numId="71">
    <w:abstractNumId w:val="70"/>
  </w:num>
  <w:num w:numId="72">
    <w:abstractNumId w:val="111"/>
  </w:num>
  <w:num w:numId="73">
    <w:abstractNumId w:val="291"/>
  </w:num>
  <w:num w:numId="7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6"/>
  </w:num>
  <w:num w:numId="76">
    <w:abstractNumId w:val="158"/>
  </w:num>
  <w:num w:numId="77">
    <w:abstractNumId w:val="1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8"/>
  </w:num>
  <w:num w:numId="84">
    <w:abstractNumId w:val="271"/>
  </w:num>
  <w:num w:numId="85">
    <w:abstractNumId w:val="17"/>
  </w:num>
  <w:num w:numId="86">
    <w:abstractNumId w:val="176"/>
  </w:num>
  <w:num w:numId="87">
    <w:abstractNumId w:val="126"/>
  </w:num>
  <w:num w:numId="88">
    <w:abstractNumId w:val="171"/>
  </w:num>
  <w:num w:numId="89">
    <w:abstractNumId w:val="325"/>
  </w:num>
  <w:num w:numId="90">
    <w:abstractNumId w:val="242"/>
  </w:num>
  <w:num w:numId="91">
    <w:abstractNumId w:val="14"/>
  </w:num>
  <w:num w:numId="92">
    <w:abstractNumId w:val="311"/>
  </w:num>
  <w:num w:numId="93">
    <w:abstractNumId w:val="204"/>
  </w:num>
  <w:num w:numId="94">
    <w:abstractNumId w:val="257"/>
  </w:num>
  <w:num w:numId="95">
    <w:abstractNumId w:val="344"/>
  </w:num>
  <w:num w:numId="96">
    <w:abstractNumId w:val="89"/>
  </w:num>
  <w:num w:numId="97">
    <w:abstractNumId w:val="282"/>
  </w:num>
  <w:num w:numId="98">
    <w:abstractNumId w:val="43"/>
  </w:num>
  <w:num w:numId="99">
    <w:abstractNumId w:val="322"/>
  </w:num>
  <w:num w:numId="100">
    <w:abstractNumId w:val="133"/>
  </w:num>
  <w:num w:numId="101">
    <w:abstractNumId w:val="134"/>
  </w:num>
  <w:num w:numId="102">
    <w:abstractNumId w:val="283"/>
    <w:lvlOverride w:ilvl="0">
      <w:startOverride w:val="1"/>
    </w:lvlOverride>
  </w:num>
  <w:num w:numId="103">
    <w:abstractNumId w:val="283"/>
  </w:num>
  <w:num w:numId="104">
    <w:abstractNumId w:val="114"/>
  </w:num>
  <w:num w:numId="105">
    <w:abstractNumId w:val="68"/>
  </w:num>
  <w:num w:numId="106">
    <w:abstractNumId w:val="346"/>
  </w:num>
  <w:num w:numId="107">
    <w:abstractNumId w:val="202"/>
  </w:num>
  <w:num w:numId="108">
    <w:abstractNumId w:val="0"/>
  </w:num>
  <w:num w:numId="109">
    <w:abstractNumId w:val="287"/>
  </w:num>
  <w:num w:numId="110">
    <w:abstractNumId w:val="299"/>
  </w:num>
  <w:num w:numId="111">
    <w:abstractNumId w:val="299"/>
  </w:num>
  <w:num w:numId="112">
    <w:abstractNumId w:val="299"/>
  </w:num>
  <w:num w:numId="113">
    <w:abstractNumId w:val="299"/>
  </w:num>
  <w:num w:numId="114">
    <w:abstractNumId w:val="299"/>
  </w:num>
  <w:num w:numId="115">
    <w:abstractNumId w:val="299"/>
  </w:num>
  <w:num w:numId="116">
    <w:abstractNumId w:val="299"/>
  </w:num>
  <w:num w:numId="117">
    <w:abstractNumId w:val="299"/>
  </w:num>
  <w:num w:numId="118">
    <w:abstractNumId w:val="299"/>
  </w:num>
  <w:num w:numId="119">
    <w:abstractNumId w:val="299"/>
  </w:num>
  <w:num w:numId="120">
    <w:abstractNumId w:val="299"/>
  </w:num>
  <w:num w:numId="121">
    <w:abstractNumId w:val="299"/>
  </w:num>
  <w:num w:numId="122">
    <w:abstractNumId w:val="299"/>
  </w:num>
  <w:num w:numId="123">
    <w:abstractNumId w:val="299"/>
  </w:num>
  <w:num w:numId="124">
    <w:abstractNumId w:val="299"/>
  </w:num>
  <w:num w:numId="125">
    <w:abstractNumId w:val="299"/>
  </w:num>
  <w:num w:numId="126">
    <w:abstractNumId w:val="299"/>
  </w:num>
  <w:num w:numId="127">
    <w:abstractNumId w:val="299"/>
  </w:num>
  <w:num w:numId="128">
    <w:abstractNumId w:val="299"/>
  </w:num>
  <w:num w:numId="129">
    <w:abstractNumId w:val="299"/>
  </w:num>
  <w:num w:numId="130">
    <w:abstractNumId w:val="299"/>
  </w:num>
  <w:num w:numId="131">
    <w:abstractNumId w:val="299"/>
  </w:num>
  <w:num w:numId="132">
    <w:abstractNumId w:val="299"/>
  </w:num>
  <w:num w:numId="133">
    <w:abstractNumId w:val="299"/>
  </w:num>
  <w:num w:numId="134">
    <w:abstractNumId w:val="299"/>
  </w:num>
  <w:num w:numId="135">
    <w:abstractNumId w:val="299"/>
  </w:num>
  <w:num w:numId="136">
    <w:abstractNumId w:val="299"/>
  </w:num>
  <w:num w:numId="137">
    <w:abstractNumId w:val="299"/>
  </w:num>
  <w:num w:numId="138">
    <w:abstractNumId w:val="299"/>
  </w:num>
  <w:num w:numId="139">
    <w:abstractNumId w:val="299"/>
  </w:num>
  <w:num w:numId="140">
    <w:abstractNumId w:val="297"/>
  </w:num>
  <w:num w:numId="141">
    <w:abstractNumId w:val="340"/>
  </w:num>
  <w:num w:numId="142">
    <w:abstractNumId w:val="55"/>
  </w:num>
  <w:num w:numId="143">
    <w:abstractNumId w:val="261"/>
  </w:num>
  <w:num w:numId="144">
    <w:abstractNumId w:val="224"/>
  </w:num>
  <w:num w:numId="145">
    <w:abstractNumId w:val="259"/>
  </w:num>
  <w:num w:numId="146">
    <w:abstractNumId w:val="153"/>
  </w:num>
  <w:num w:numId="147">
    <w:abstractNumId w:val="315"/>
  </w:num>
  <w:num w:numId="148">
    <w:abstractNumId w:val="141"/>
  </w:num>
  <w:num w:numId="149">
    <w:abstractNumId w:val="272"/>
  </w:num>
  <w:num w:numId="150">
    <w:abstractNumId w:val="153"/>
  </w:num>
  <w:num w:numId="151">
    <w:abstractNumId w:val="264"/>
  </w:num>
  <w:num w:numId="152">
    <w:abstractNumId w:val="220"/>
  </w:num>
  <w:num w:numId="153">
    <w:abstractNumId w:val="120"/>
  </w:num>
  <w:num w:numId="154">
    <w:abstractNumId w:val="167"/>
  </w:num>
  <w:num w:numId="155">
    <w:abstractNumId w:val="169"/>
  </w:num>
  <w:num w:numId="156">
    <w:abstractNumId w:val="343"/>
  </w:num>
  <w:num w:numId="157">
    <w:abstractNumId w:val="294"/>
  </w:num>
  <w:num w:numId="158">
    <w:abstractNumId w:val="107"/>
  </w:num>
  <w:num w:numId="159">
    <w:abstractNumId w:val="145"/>
  </w:num>
  <w:num w:numId="160">
    <w:abstractNumId w:val="294"/>
    <w:lvlOverride w:ilvl="0">
      <w:startOverride w:val="1"/>
    </w:lvlOverride>
  </w:num>
  <w:num w:numId="161">
    <w:abstractNumId w:val="35"/>
  </w:num>
  <w:num w:numId="162">
    <w:abstractNumId w:val="300"/>
  </w:num>
  <w:num w:numId="163">
    <w:abstractNumId w:val="109"/>
  </w:num>
  <w:num w:numId="164">
    <w:abstractNumId w:val="225"/>
  </w:num>
  <w:num w:numId="165">
    <w:abstractNumId w:val="10"/>
  </w:num>
  <w:num w:numId="166">
    <w:abstractNumId w:val="338"/>
  </w:num>
  <w:num w:numId="167">
    <w:abstractNumId w:val="338"/>
  </w:num>
  <w:num w:numId="168">
    <w:abstractNumId w:val="338"/>
  </w:num>
  <w:num w:numId="169">
    <w:abstractNumId w:val="338"/>
  </w:num>
  <w:num w:numId="170">
    <w:abstractNumId w:val="299"/>
  </w:num>
  <w:num w:numId="171">
    <w:abstractNumId w:val="299"/>
  </w:num>
  <w:num w:numId="172">
    <w:abstractNumId w:val="299"/>
  </w:num>
  <w:num w:numId="173">
    <w:abstractNumId w:val="299"/>
  </w:num>
  <w:num w:numId="174">
    <w:abstractNumId w:val="299"/>
  </w:num>
  <w:num w:numId="175">
    <w:abstractNumId w:val="299"/>
  </w:num>
  <w:num w:numId="176">
    <w:abstractNumId w:val="234"/>
  </w:num>
  <w:num w:numId="177">
    <w:abstractNumId w:val="328"/>
  </w:num>
  <w:num w:numId="178">
    <w:abstractNumId w:val="295"/>
  </w:num>
  <w:num w:numId="179">
    <w:abstractNumId w:val="299"/>
  </w:num>
  <w:num w:numId="180">
    <w:abstractNumId w:val="239"/>
  </w:num>
  <w:num w:numId="181">
    <w:abstractNumId w:val="216"/>
  </w:num>
  <w:num w:numId="182">
    <w:abstractNumId w:val="46"/>
  </w:num>
  <w:num w:numId="183">
    <w:abstractNumId w:val="201"/>
  </w:num>
  <w:num w:numId="184">
    <w:abstractNumId w:val="178"/>
  </w:num>
  <w:num w:numId="185">
    <w:abstractNumId w:val="201"/>
  </w:num>
  <w:num w:numId="186">
    <w:abstractNumId w:val="201"/>
  </w:num>
  <w:num w:numId="187">
    <w:abstractNumId w:val="201"/>
  </w:num>
  <w:num w:numId="188">
    <w:abstractNumId w:val="201"/>
  </w:num>
  <w:num w:numId="189">
    <w:abstractNumId w:val="326"/>
  </w:num>
  <w:num w:numId="190">
    <w:abstractNumId w:val="19"/>
  </w:num>
  <w:num w:numId="191">
    <w:abstractNumId w:val="36"/>
  </w:num>
  <w:num w:numId="192">
    <w:abstractNumId w:val="183"/>
  </w:num>
  <w:num w:numId="193">
    <w:abstractNumId w:val="331"/>
  </w:num>
  <w:num w:numId="194">
    <w:abstractNumId w:val="211"/>
  </w:num>
  <w:num w:numId="195">
    <w:abstractNumId w:val="81"/>
  </w:num>
  <w:num w:numId="196">
    <w:abstractNumId w:val="93"/>
  </w:num>
  <w:num w:numId="197">
    <w:abstractNumId w:val="86"/>
  </w:num>
  <w:num w:numId="198">
    <w:abstractNumId w:val="285"/>
  </w:num>
  <w:num w:numId="199">
    <w:abstractNumId w:val="285"/>
  </w:num>
  <w:num w:numId="200">
    <w:abstractNumId w:val="285"/>
  </w:num>
  <w:num w:numId="201">
    <w:abstractNumId w:val="285"/>
  </w:num>
  <w:num w:numId="202">
    <w:abstractNumId w:val="285"/>
  </w:num>
  <w:num w:numId="203">
    <w:abstractNumId w:val="285"/>
  </w:num>
  <w:num w:numId="204">
    <w:abstractNumId w:val="285"/>
  </w:num>
  <w:num w:numId="205">
    <w:abstractNumId w:val="268"/>
  </w:num>
  <w:num w:numId="206">
    <w:abstractNumId w:val="1"/>
  </w:num>
  <w:num w:numId="207">
    <w:abstractNumId w:val="12"/>
  </w:num>
  <w:num w:numId="208">
    <w:abstractNumId w:val="30"/>
  </w:num>
  <w:num w:numId="209">
    <w:abstractNumId w:val="63"/>
  </w:num>
  <w:num w:numId="210">
    <w:abstractNumId w:val="267"/>
  </w:num>
  <w:num w:numId="211">
    <w:abstractNumId w:val="164"/>
  </w:num>
  <w:num w:numId="212">
    <w:abstractNumId w:val="276"/>
  </w:num>
  <w:num w:numId="213">
    <w:abstractNumId w:val="292"/>
  </w:num>
  <w:num w:numId="214">
    <w:abstractNumId w:val="348"/>
  </w:num>
  <w:num w:numId="215">
    <w:abstractNumId w:val="348"/>
  </w:num>
  <w:num w:numId="216">
    <w:abstractNumId w:val="4"/>
  </w:num>
  <w:num w:numId="217">
    <w:abstractNumId w:val="348"/>
    <w:lvlOverride w:ilvl="0">
      <w:startOverride w:val="1"/>
    </w:lvlOverride>
  </w:num>
  <w:num w:numId="218">
    <w:abstractNumId w:val="168"/>
  </w:num>
  <w:num w:numId="219">
    <w:abstractNumId w:val="337"/>
  </w:num>
  <w:num w:numId="220">
    <w:abstractNumId w:val="303"/>
  </w:num>
  <w:num w:numId="221">
    <w:abstractNumId w:val="332"/>
  </w:num>
  <w:num w:numId="222">
    <w:abstractNumId w:val="179"/>
  </w:num>
  <w:num w:numId="223">
    <w:abstractNumId w:val="255"/>
  </w:num>
  <w:num w:numId="224">
    <w:abstractNumId w:val="275"/>
  </w:num>
  <w:num w:numId="225">
    <w:abstractNumId w:val="269"/>
  </w:num>
  <w:num w:numId="226">
    <w:abstractNumId w:val="77"/>
  </w:num>
  <w:num w:numId="227">
    <w:abstractNumId w:val="347"/>
  </w:num>
  <w:num w:numId="228">
    <w:abstractNumId w:val="226"/>
  </w:num>
  <w:num w:numId="229">
    <w:abstractNumId w:val="20"/>
  </w:num>
  <w:num w:numId="230">
    <w:abstractNumId w:val="299"/>
  </w:num>
  <w:num w:numId="231">
    <w:abstractNumId w:val="187"/>
  </w:num>
  <w:num w:numId="232">
    <w:abstractNumId w:val="2"/>
  </w:num>
  <w:num w:numId="233">
    <w:abstractNumId w:val="2"/>
  </w:num>
  <w:num w:numId="234">
    <w:abstractNumId w:val="112"/>
  </w:num>
  <w:num w:numId="235">
    <w:abstractNumId w:val="2"/>
    <w:lvlOverride w:ilvl="0">
      <w:startOverride w:val="2"/>
    </w:lvlOverride>
  </w:num>
  <w:num w:numId="236">
    <w:abstractNumId w:val="85"/>
  </w:num>
  <w:num w:numId="237">
    <w:abstractNumId w:val="170"/>
  </w:num>
  <w:num w:numId="238">
    <w:abstractNumId w:val="206"/>
  </w:num>
  <w:num w:numId="239">
    <w:abstractNumId w:val="28"/>
  </w:num>
  <w:num w:numId="240">
    <w:abstractNumId w:val="244"/>
  </w:num>
  <w:num w:numId="241">
    <w:abstractNumId w:val="94"/>
  </w:num>
  <w:num w:numId="242">
    <w:abstractNumId w:val="330"/>
  </w:num>
  <w:num w:numId="243">
    <w:abstractNumId w:val="9"/>
  </w:num>
  <w:num w:numId="244">
    <w:abstractNumId w:val="108"/>
  </w:num>
  <w:num w:numId="245">
    <w:abstractNumId w:val="51"/>
  </w:num>
  <w:num w:numId="246">
    <w:abstractNumId w:val="66"/>
  </w:num>
  <w:num w:numId="247">
    <w:abstractNumId w:val="104"/>
  </w:num>
  <w:num w:numId="248">
    <w:abstractNumId w:val="227"/>
  </w:num>
  <w:num w:numId="249">
    <w:abstractNumId w:val="281"/>
  </w:num>
  <w:num w:numId="250">
    <w:abstractNumId w:val="203"/>
  </w:num>
  <w:num w:numId="251">
    <w:abstractNumId w:val="265"/>
  </w:num>
  <w:num w:numId="252">
    <w:abstractNumId w:val="6"/>
  </w:num>
  <w:num w:numId="253">
    <w:abstractNumId w:val="299"/>
  </w:num>
  <w:num w:numId="254">
    <w:abstractNumId w:val="341"/>
  </w:num>
  <w:num w:numId="255">
    <w:abstractNumId w:val="6"/>
    <w:lvlOverride w:ilvl="0">
      <w:startOverride w:val="2"/>
    </w:lvlOverride>
  </w:num>
  <w:num w:numId="256">
    <w:abstractNumId w:val="199"/>
  </w:num>
  <w:num w:numId="257">
    <w:abstractNumId w:val="235"/>
  </w:num>
  <w:num w:numId="258">
    <w:abstractNumId w:val="159"/>
  </w:num>
  <w:num w:numId="259">
    <w:abstractNumId w:val="181"/>
  </w:num>
  <w:num w:numId="260">
    <w:abstractNumId w:val="308"/>
  </w:num>
  <w:num w:numId="261">
    <w:abstractNumId w:val="83"/>
  </w:num>
  <w:num w:numId="262">
    <w:abstractNumId w:val="76"/>
  </w:num>
  <w:num w:numId="263">
    <w:abstractNumId w:val="181"/>
    <w:lvlOverride w:ilvl="0">
      <w:startOverride w:val="2"/>
    </w:lvlOverride>
  </w:num>
  <w:num w:numId="264">
    <w:abstractNumId w:val="39"/>
  </w:num>
  <w:num w:numId="265">
    <w:abstractNumId w:val="138"/>
  </w:num>
  <w:num w:numId="266">
    <w:abstractNumId w:val="41"/>
  </w:num>
  <w:num w:numId="267">
    <w:abstractNumId w:val="293"/>
  </w:num>
  <w:num w:numId="268">
    <w:abstractNumId w:val="11"/>
  </w:num>
  <w:num w:numId="269">
    <w:abstractNumId w:val="139"/>
  </w:num>
  <w:num w:numId="270">
    <w:abstractNumId w:val="11"/>
    <w:lvlOverride w:ilvl="0">
      <w:startOverride w:val="2"/>
    </w:lvlOverride>
  </w:num>
  <w:num w:numId="271">
    <w:abstractNumId w:val="16"/>
  </w:num>
  <w:num w:numId="272">
    <w:abstractNumId w:val="352"/>
  </w:num>
  <w:num w:numId="273">
    <w:abstractNumId w:val="154"/>
  </w:num>
  <w:num w:numId="274">
    <w:abstractNumId w:val="48"/>
  </w:num>
  <w:num w:numId="275">
    <w:abstractNumId w:val="33"/>
  </w:num>
  <w:num w:numId="276">
    <w:abstractNumId w:val="11"/>
  </w:num>
  <w:num w:numId="277">
    <w:abstractNumId w:val="125"/>
  </w:num>
  <w:num w:numId="278">
    <w:abstractNumId w:val="231"/>
  </w:num>
  <w:num w:numId="279">
    <w:abstractNumId w:val="15"/>
  </w:num>
  <w:num w:numId="280">
    <w:abstractNumId w:val="345"/>
  </w:num>
  <w:num w:numId="281">
    <w:abstractNumId w:val="320"/>
  </w:num>
  <w:num w:numId="282">
    <w:abstractNumId w:val="67"/>
  </w:num>
  <w:num w:numId="283">
    <w:abstractNumId w:val="247"/>
  </w:num>
  <w:num w:numId="284">
    <w:abstractNumId w:val="312"/>
  </w:num>
  <w:num w:numId="285">
    <w:abstractNumId w:val="186"/>
  </w:num>
  <w:num w:numId="286">
    <w:abstractNumId w:val="353"/>
  </w:num>
  <w:num w:numId="287">
    <w:abstractNumId w:val="38"/>
  </w:num>
  <w:num w:numId="288">
    <w:abstractNumId w:val="234"/>
  </w:num>
  <w:num w:numId="289">
    <w:abstractNumId w:val="234"/>
  </w:num>
  <w:num w:numId="290">
    <w:abstractNumId w:val="234"/>
  </w:num>
  <w:num w:numId="291">
    <w:abstractNumId w:val="234"/>
  </w:num>
  <w:num w:numId="292">
    <w:abstractNumId w:val="234"/>
  </w:num>
  <w:num w:numId="293">
    <w:abstractNumId w:val="137"/>
  </w:num>
  <w:num w:numId="294">
    <w:abstractNumId w:val="123"/>
  </w:num>
  <w:num w:numId="295">
    <w:abstractNumId w:val="229"/>
  </w:num>
  <w:num w:numId="296">
    <w:abstractNumId w:val="155"/>
  </w:num>
  <w:num w:numId="297">
    <w:abstractNumId w:val="34"/>
  </w:num>
  <w:num w:numId="298">
    <w:abstractNumId w:val="233"/>
  </w:num>
  <w:num w:numId="299">
    <w:abstractNumId w:val="184"/>
  </w:num>
  <w:num w:numId="300">
    <w:abstractNumId w:val="248"/>
  </w:num>
  <w:num w:numId="301">
    <w:abstractNumId w:val="13"/>
  </w:num>
  <w:num w:numId="302">
    <w:abstractNumId w:val="323"/>
  </w:num>
  <w:num w:numId="303">
    <w:abstractNumId w:val="193"/>
  </w:num>
  <w:num w:numId="304">
    <w:abstractNumId w:val="140"/>
  </w:num>
  <w:num w:numId="305">
    <w:abstractNumId w:val="128"/>
  </w:num>
  <w:num w:numId="306">
    <w:abstractNumId w:val="336"/>
  </w:num>
  <w:num w:numId="307">
    <w:abstractNumId w:val="335"/>
  </w:num>
  <w:num w:numId="308">
    <w:abstractNumId w:val="197"/>
  </w:num>
  <w:num w:numId="309">
    <w:abstractNumId w:val="100"/>
  </w:num>
  <w:num w:numId="310">
    <w:abstractNumId w:val="210"/>
  </w:num>
  <w:num w:numId="311">
    <w:abstractNumId w:val="54"/>
  </w:num>
  <w:num w:numId="312">
    <w:abstractNumId w:val="198"/>
  </w:num>
  <w:num w:numId="313">
    <w:abstractNumId w:val="161"/>
  </w:num>
  <w:num w:numId="314">
    <w:abstractNumId w:val="161"/>
  </w:num>
  <w:num w:numId="315">
    <w:abstractNumId w:val="230"/>
  </w:num>
  <w:num w:numId="316">
    <w:abstractNumId w:val="278"/>
  </w:num>
  <w:num w:numId="317">
    <w:abstractNumId w:val="122"/>
  </w:num>
  <w:num w:numId="318">
    <w:abstractNumId w:val="152"/>
  </w:num>
  <w:num w:numId="319">
    <w:abstractNumId w:val="217"/>
  </w:num>
  <w:num w:numId="320">
    <w:abstractNumId w:val="150"/>
  </w:num>
  <w:num w:numId="321">
    <w:abstractNumId w:val="150"/>
  </w:num>
  <w:num w:numId="322">
    <w:abstractNumId w:val="173"/>
  </w:num>
  <w:num w:numId="323">
    <w:abstractNumId w:val="53"/>
  </w:num>
  <w:num w:numId="324">
    <w:abstractNumId w:val="342"/>
  </w:num>
  <w:num w:numId="325">
    <w:abstractNumId w:val="351"/>
  </w:num>
  <w:num w:numId="326">
    <w:abstractNumId w:val="256"/>
  </w:num>
  <w:num w:numId="327">
    <w:abstractNumId w:val="98"/>
  </w:num>
  <w:num w:numId="328">
    <w:abstractNumId w:val="245"/>
  </w:num>
  <w:num w:numId="329">
    <w:abstractNumId w:val="53"/>
    <w:lvlOverride w:ilvl="0">
      <w:startOverride w:val="1"/>
    </w:lvlOverride>
  </w:num>
  <w:num w:numId="330">
    <w:abstractNumId w:val="53"/>
    <w:lvlOverride w:ilvl="0">
      <w:startOverride w:val="2"/>
    </w:lvlOverride>
  </w:num>
  <w:num w:numId="331">
    <w:abstractNumId w:val="53"/>
    <w:lvlOverride w:ilvl="0">
      <w:startOverride w:val="3"/>
    </w:lvlOverride>
  </w:num>
  <w:num w:numId="332">
    <w:abstractNumId w:val="53"/>
    <w:lvlOverride w:ilvl="0">
      <w:startOverride w:val="4"/>
    </w:lvlOverride>
  </w:num>
  <w:num w:numId="333">
    <w:abstractNumId w:val="53"/>
  </w:num>
  <w:num w:numId="334">
    <w:abstractNumId w:val="25"/>
  </w:num>
  <w:num w:numId="335">
    <w:abstractNumId w:val="8"/>
  </w:num>
  <w:num w:numId="336">
    <w:abstractNumId w:val="53"/>
    <w:lvlOverride w:ilvl="0">
      <w:startOverride w:val="1"/>
    </w:lvlOverride>
  </w:num>
  <w:num w:numId="337">
    <w:abstractNumId w:val="157"/>
  </w:num>
  <w:num w:numId="338">
    <w:abstractNumId w:val="319"/>
  </w:num>
  <w:num w:numId="339">
    <w:abstractNumId w:val="290"/>
  </w:num>
  <w:num w:numId="340">
    <w:abstractNumId w:val="324"/>
  </w:num>
  <w:num w:numId="341">
    <w:abstractNumId w:val="228"/>
  </w:num>
  <w:num w:numId="342">
    <w:abstractNumId w:val="309"/>
  </w:num>
  <w:num w:numId="343">
    <w:abstractNumId w:val="79"/>
  </w:num>
  <w:num w:numId="344">
    <w:abstractNumId w:val="299"/>
  </w:num>
  <w:num w:numId="345">
    <w:abstractNumId w:val="299"/>
  </w:num>
  <w:num w:numId="346">
    <w:abstractNumId w:val="304"/>
  </w:num>
  <w:num w:numId="347">
    <w:abstractNumId w:val="162"/>
  </w:num>
  <w:num w:numId="348">
    <w:abstractNumId w:val="177"/>
  </w:num>
  <w:num w:numId="349">
    <w:abstractNumId w:val="236"/>
  </w:num>
  <w:num w:numId="350">
    <w:abstractNumId w:val="304"/>
  </w:num>
  <w:num w:numId="351">
    <w:abstractNumId w:val="45"/>
  </w:num>
  <w:num w:numId="352">
    <w:abstractNumId w:val="37"/>
  </w:num>
  <w:num w:numId="353">
    <w:abstractNumId w:val="37"/>
  </w:num>
  <w:num w:numId="354">
    <w:abstractNumId w:val="214"/>
  </w:num>
  <w:num w:numId="355">
    <w:abstractNumId w:val="333"/>
  </w:num>
  <w:num w:numId="356">
    <w:abstractNumId w:val="288"/>
  </w:num>
  <w:num w:numId="357">
    <w:abstractNumId w:val="263"/>
  </w:num>
  <w:num w:numId="358">
    <w:abstractNumId w:val="189"/>
  </w:num>
  <w:num w:numId="359">
    <w:abstractNumId w:val="254"/>
  </w:num>
  <w:num w:numId="360">
    <w:abstractNumId w:val="234"/>
    <w:lvlOverride w:ilvl="0">
      <w:startOverride w:val="1"/>
    </w:lvlOverride>
  </w:num>
  <w:num w:numId="361">
    <w:abstractNumId w:val="80"/>
  </w:num>
  <w:num w:numId="362">
    <w:abstractNumId w:val="234"/>
    <w:lvlOverride w:ilvl="0">
      <w:startOverride w:val="1"/>
    </w:lvlOverride>
  </w:num>
  <w:num w:numId="363">
    <w:abstractNumId w:val="72"/>
  </w:num>
  <w:num w:numId="364">
    <w:abstractNumId w:val="234"/>
    <w:lvlOverride w:ilvl="0">
      <w:startOverride w:val="1"/>
    </w:lvlOverride>
  </w:num>
  <w:num w:numId="365">
    <w:abstractNumId w:val="124"/>
  </w:num>
  <w:num w:numId="366">
    <w:abstractNumId w:val="234"/>
    <w:lvlOverride w:ilvl="0">
      <w:startOverride w:val="1"/>
    </w:lvlOverride>
  </w:num>
  <w:num w:numId="367">
    <w:abstractNumId w:val="99"/>
  </w:num>
  <w:num w:numId="368">
    <w:abstractNumId w:val="234"/>
    <w:lvlOverride w:ilvl="0">
      <w:startOverride w:val="1"/>
    </w:lvlOverride>
  </w:num>
  <w:num w:numId="369">
    <w:abstractNumId w:val="182"/>
  </w:num>
  <w:num w:numId="370">
    <w:abstractNumId w:val="234"/>
    <w:lvlOverride w:ilvl="0">
      <w:startOverride w:val="1"/>
    </w:lvlOverride>
  </w:num>
  <w:num w:numId="371">
    <w:abstractNumId w:val="37"/>
  </w:num>
  <w:num w:numId="372">
    <w:abstractNumId w:val="37"/>
  </w:num>
  <w:num w:numId="373">
    <w:abstractNumId w:val="37"/>
  </w:num>
  <w:num w:numId="374">
    <w:abstractNumId w:val="37"/>
  </w:num>
  <w:num w:numId="375">
    <w:abstractNumId w:val="37"/>
  </w:num>
  <w:num w:numId="376">
    <w:abstractNumId w:val="37"/>
  </w:num>
  <w:num w:numId="377">
    <w:abstractNumId w:val="113"/>
  </w:num>
  <w:num w:numId="378">
    <w:abstractNumId w:val="234"/>
    <w:lvlOverride w:ilvl="0">
      <w:startOverride w:val="1"/>
    </w:lvlOverride>
  </w:num>
  <w:num w:numId="379">
    <w:abstractNumId w:val="37"/>
  </w:num>
  <w:num w:numId="380">
    <w:abstractNumId w:val="27"/>
  </w:num>
  <w:num w:numId="381">
    <w:abstractNumId w:val="234"/>
    <w:lvlOverride w:ilvl="0">
      <w:startOverride w:val="1"/>
    </w:lvlOverride>
  </w:num>
  <w:num w:numId="382">
    <w:abstractNumId w:val="103"/>
  </w:num>
  <w:num w:numId="383">
    <w:abstractNumId w:val="61"/>
  </w:num>
  <w:num w:numId="384">
    <w:abstractNumId w:val="200"/>
  </w:num>
  <w:num w:numId="385">
    <w:abstractNumId w:val="143"/>
  </w:num>
  <w:num w:numId="386">
    <w:abstractNumId w:val="22"/>
  </w:num>
  <w:num w:numId="387">
    <w:abstractNumId w:val="329"/>
  </w:num>
  <w:num w:numId="388">
    <w:abstractNumId w:val="250"/>
  </w:num>
  <w:num w:numId="389">
    <w:abstractNumId w:val="318"/>
  </w:num>
  <w:num w:numId="390">
    <w:abstractNumId w:val="37"/>
  </w:num>
  <w:num w:numId="391">
    <w:abstractNumId w:val="37"/>
  </w:num>
  <w:num w:numId="392">
    <w:abstractNumId w:val="37"/>
  </w:num>
  <w:num w:numId="393">
    <w:abstractNumId w:val="37"/>
  </w:num>
  <w:num w:numId="394">
    <w:abstractNumId w:val="37"/>
  </w:num>
  <w:num w:numId="395">
    <w:abstractNumId w:val="37"/>
  </w:num>
  <w:num w:numId="396">
    <w:abstractNumId w:val="37"/>
  </w:num>
  <w:num w:numId="397">
    <w:abstractNumId w:val="44"/>
  </w:num>
  <w:num w:numId="398">
    <w:abstractNumId w:val="115"/>
  </w:num>
  <w:num w:numId="399">
    <w:abstractNumId w:val="234"/>
    <w:lvlOverride w:ilvl="0">
      <w:startOverride w:val="1"/>
    </w:lvlOverride>
  </w:num>
  <w:num w:numId="400">
    <w:abstractNumId w:val="234"/>
  </w:num>
  <w:num w:numId="401">
    <w:abstractNumId w:val="62"/>
  </w:num>
  <w:num w:numId="402">
    <w:abstractNumId w:val="234"/>
    <w:lvlOverride w:ilvl="0">
      <w:startOverride w:val="1"/>
    </w:lvlOverride>
  </w:num>
  <w:num w:numId="403">
    <w:abstractNumId w:val="101"/>
  </w:num>
  <w:num w:numId="404">
    <w:abstractNumId w:val="234"/>
    <w:lvlOverride w:ilvl="0">
      <w:startOverride w:val="1"/>
    </w:lvlOverride>
  </w:num>
  <w:num w:numId="405">
    <w:abstractNumId w:val="305"/>
  </w:num>
  <w:num w:numId="406">
    <w:abstractNumId w:val="7"/>
  </w:num>
  <w:num w:numId="407">
    <w:abstractNumId w:val="162"/>
  </w:num>
  <w:num w:numId="408">
    <w:abstractNumId w:val="299"/>
  </w:num>
  <w:num w:numId="409">
    <w:abstractNumId w:val="299"/>
  </w:num>
  <w:num w:numId="410">
    <w:abstractNumId w:val="299"/>
  </w:num>
  <w:num w:numId="411">
    <w:abstractNumId w:val="299"/>
  </w:num>
  <w:num w:numId="412">
    <w:abstractNumId w:val="299"/>
  </w:num>
  <w:num w:numId="413">
    <w:abstractNumId w:val="299"/>
  </w:num>
  <w:num w:numId="414">
    <w:abstractNumId w:val="299"/>
  </w:num>
  <w:num w:numId="415">
    <w:abstractNumId w:val="299"/>
  </w:num>
  <w:num w:numId="416">
    <w:abstractNumId w:val="299"/>
  </w:num>
  <w:num w:numId="417">
    <w:abstractNumId w:val="299"/>
  </w:num>
  <w:num w:numId="418">
    <w:abstractNumId w:val="299"/>
  </w:num>
  <w:num w:numId="419">
    <w:abstractNumId w:val="37"/>
  </w:num>
  <w:num w:numId="420">
    <w:abstractNumId w:val="299"/>
  </w:num>
  <w:num w:numId="421">
    <w:abstractNumId w:val="299"/>
  </w:num>
  <w:num w:numId="422">
    <w:abstractNumId w:val="299"/>
  </w:num>
  <w:num w:numId="423">
    <w:abstractNumId w:val="299"/>
  </w:num>
  <w:num w:numId="424">
    <w:abstractNumId w:val="37"/>
  </w:num>
  <w:num w:numId="425">
    <w:abstractNumId w:val="37"/>
  </w:num>
  <w:num w:numId="426">
    <w:abstractNumId w:val="37"/>
  </w:num>
  <w:num w:numId="427">
    <w:abstractNumId w:val="37"/>
  </w:num>
  <w:num w:numId="428">
    <w:abstractNumId w:val="37"/>
  </w:num>
  <w:num w:numId="429">
    <w:abstractNumId w:val="37"/>
  </w:num>
  <w:num w:numId="430">
    <w:abstractNumId w:val="71"/>
  </w:num>
  <w:num w:numId="431">
    <w:abstractNumId w:val="296"/>
  </w:num>
  <w:num w:numId="432">
    <w:abstractNumId w:val="274"/>
  </w:num>
  <w:num w:numId="433">
    <w:abstractNumId w:val="321"/>
  </w:num>
  <w:num w:numId="434">
    <w:abstractNumId w:val="165"/>
  </w:num>
  <w:num w:numId="435">
    <w:abstractNumId w:val="234"/>
    <w:lvlOverride w:ilvl="0">
      <w:startOverride w:val="1"/>
    </w:lvlOverride>
  </w:num>
  <w:num w:numId="436">
    <w:abstractNumId w:val="73"/>
  </w:num>
  <w:num w:numId="437">
    <w:abstractNumId w:val="234"/>
    <w:lvlOverride w:ilvl="0">
      <w:startOverride w:val="1"/>
    </w:lvlOverride>
  </w:num>
  <w:num w:numId="438">
    <w:abstractNumId w:val="37"/>
  </w:num>
  <w:num w:numId="439">
    <w:abstractNumId w:val="37"/>
  </w:num>
  <w:num w:numId="440">
    <w:abstractNumId w:val="277"/>
  </w:num>
  <w:num w:numId="441">
    <w:abstractNumId w:val="234"/>
    <w:lvlOverride w:ilvl="0">
      <w:startOverride w:val="1"/>
    </w:lvlOverride>
  </w:num>
  <w:num w:numId="442">
    <w:abstractNumId w:val="234"/>
  </w:num>
  <w:num w:numId="443">
    <w:abstractNumId w:val="3"/>
  </w:num>
  <w:num w:numId="444">
    <w:abstractNumId w:val="60"/>
  </w:num>
  <w:num w:numId="445">
    <w:abstractNumId w:val="234"/>
    <w:lvlOverride w:ilvl="0">
      <w:startOverride w:val="1"/>
    </w:lvlOverride>
  </w:num>
  <w:num w:numId="446">
    <w:abstractNumId w:val="307"/>
  </w:num>
  <w:num w:numId="447">
    <w:abstractNumId w:val="160"/>
  </w:num>
  <w:num w:numId="448">
    <w:abstractNumId w:val="209"/>
  </w:num>
  <w:num w:numId="449">
    <w:abstractNumId w:val="160"/>
    <w:lvlOverride w:ilvl="0">
      <w:startOverride w:val="1"/>
    </w:lvlOverride>
  </w:num>
  <w:num w:numId="450">
    <w:abstractNumId w:val="37"/>
  </w:num>
  <w:num w:numId="451">
    <w:abstractNumId w:val="240"/>
  </w:num>
  <w:num w:numId="452">
    <w:abstractNumId w:val="160"/>
    <w:lvlOverride w:ilvl="0">
      <w:startOverride w:val="1"/>
    </w:lvlOverride>
  </w:num>
  <w:num w:numId="453">
    <w:abstractNumId w:val="42"/>
  </w:num>
  <w:num w:numId="454">
    <w:abstractNumId w:val="160"/>
    <w:lvlOverride w:ilvl="0">
      <w:startOverride w:val="1"/>
    </w:lvlOverride>
  </w:num>
  <w:num w:numId="455">
    <w:abstractNumId w:val="37"/>
  </w:num>
  <w:num w:numId="456">
    <w:abstractNumId w:val="26"/>
  </w:num>
  <w:num w:numId="457">
    <w:abstractNumId w:val="160"/>
    <w:lvlOverride w:ilvl="0">
      <w:startOverride w:val="1"/>
    </w:lvlOverride>
  </w:num>
  <w:num w:numId="458">
    <w:abstractNumId w:val="207"/>
  </w:num>
  <w:num w:numId="459">
    <w:abstractNumId w:val="119"/>
  </w:num>
  <w:num w:numId="460">
    <w:abstractNumId w:val="196"/>
  </w:num>
  <w:num w:numId="461">
    <w:abstractNumId w:val="163"/>
  </w:num>
  <w:num w:numId="462">
    <w:abstractNumId w:val="95"/>
  </w:num>
  <w:num w:numId="463">
    <w:abstractNumId w:val="249"/>
  </w:num>
  <w:num w:numId="464">
    <w:abstractNumId w:val="221"/>
  </w:num>
  <w:num w:numId="465">
    <w:abstractNumId w:val="160"/>
    <w:lvlOverride w:ilvl="0">
      <w:startOverride w:val="1"/>
    </w:lvlOverride>
  </w:num>
  <w:num w:numId="466">
    <w:abstractNumId w:val="57"/>
  </w:num>
  <w:num w:numId="467">
    <w:abstractNumId w:val="252"/>
  </w:num>
  <w:num w:numId="468">
    <w:abstractNumId w:val="147"/>
  </w:num>
  <w:num w:numId="469">
    <w:abstractNumId w:val="252"/>
  </w:num>
  <w:num w:numId="470">
    <w:abstractNumId w:val="317"/>
  </w:num>
  <w:num w:numId="471">
    <w:abstractNumId w:val="252"/>
    <w:lvlOverride w:ilvl="0">
      <w:startOverride w:val="1"/>
    </w:lvlOverride>
  </w:num>
  <w:num w:numId="472">
    <w:abstractNumId w:val="127"/>
  </w:num>
  <w:num w:numId="473">
    <w:abstractNumId w:val="327"/>
  </w:num>
  <w:num w:numId="474">
    <w:abstractNumId w:val="47"/>
  </w:num>
  <w:num w:numId="475">
    <w:abstractNumId w:val="88"/>
  </w:num>
  <w:num w:numId="476">
    <w:abstractNumId w:val="262"/>
  </w:num>
  <w:num w:numId="477">
    <w:abstractNumId w:val="58"/>
  </w:num>
  <w:num w:numId="478">
    <w:abstractNumId w:val="37"/>
  </w:num>
  <w:num w:numId="479">
    <w:abstractNumId w:val="243"/>
  </w:num>
  <w:num w:numId="480">
    <w:abstractNumId w:val="90"/>
  </w:num>
  <w:num w:numId="481">
    <w:abstractNumId w:val="195"/>
  </w:num>
  <w:num w:numId="482">
    <w:abstractNumId w:val="52"/>
  </w:num>
  <w:num w:numId="483">
    <w:abstractNumId w:val="349"/>
  </w:num>
  <w:num w:numId="484">
    <w:abstractNumId w:val="96"/>
  </w:num>
  <w:num w:numId="485">
    <w:abstractNumId w:val="149"/>
  </w:num>
  <w:num w:numId="486">
    <w:abstractNumId w:val="97"/>
  </w:num>
  <w:num w:numId="487">
    <w:abstractNumId w:val="215"/>
  </w:num>
  <w:num w:numId="488">
    <w:abstractNumId w:val="279"/>
  </w:num>
  <w:num w:numId="489">
    <w:abstractNumId w:val="69"/>
  </w:num>
  <w:num w:numId="490">
    <w:abstractNumId w:val="218"/>
  </w:num>
  <w:num w:numId="491">
    <w:abstractNumId w:val="130"/>
  </w:num>
  <w:num w:numId="492">
    <w:abstractNumId w:val="194"/>
  </w:num>
  <w:num w:numId="493">
    <w:abstractNumId w:val="116"/>
  </w:num>
  <w:num w:numId="494">
    <w:abstractNumId w:val="299"/>
  </w:num>
  <w:num w:numId="495">
    <w:abstractNumId w:val="162"/>
  </w:num>
  <w:num w:numId="496">
    <w:abstractNumId w:val="273"/>
  </w:num>
  <w:num w:numId="497">
    <w:abstractNumId w:val="310"/>
  </w:num>
  <w:num w:numId="498">
    <w:abstractNumId w:val="306"/>
  </w:num>
  <w:num w:numId="499">
    <w:abstractNumId w:val="350"/>
  </w:num>
  <w:num w:numId="500">
    <w:abstractNumId w:val="49"/>
  </w:num>
  <w:num w:numId="501">
    <w:abstractNumId w:val="175"/>
  </w:num>
  <w:num w:numId="502">
    <w:abstractNumId w:val="64"/>
  </w:num>
  <w:num w:numId="503">
    <w:abstractNumId w:val="212"/>
  </w:num>
  <w:num w:numId="504">
    <w:abstractNumId w:val="64"/>
    <w:lvlOverride w:ilvl="0">
      <w:startOverride w:val="1"/>
    </w:lvlOverride>
  </w:num>
  <w:num w:numId="505">
    <w:abstractNumId w:val="105"/>
  </w:num>
  <w:num w:numId="506">
    <w:abstractNumId w:val="299"/>
  </w:num>
  <w:num w:numId="507">
    <w:abstractNumId w:val="299"/>
  </w:num>
  <w:num w:numId="508">
    <w:abstractNumId w:val="162"/>
  </w:num>
  <w:num w:numId="509">
    <w:abstractNumId w:val="162"/>
  </w:num>
  <w:num w:numId="510">
    <w:abstractNumId w:val="299"/>
  </w:num>
  <w:num w:numId="511">
    <w:abstractNumId w:val="162"/>
  </w:num>
  <w:num w:numId="512">
    <w:abstractNumId w:val="162"/>
  </w:num>
  <w:num w:numId="513">
    <w:abstractNumId w:val="162"/>
  </w:num>
  <w:num w:numId="514">
    <w:abstractNumId w:val="162"/>
  </w:num>
  <w:num w:numId="515">
    <w:abstractNumId w:val="162"/>
  </w:num>
  <w:num w:numId="516">
    <w:abstractNumId w:val="162"/>
  </w:num>
  <w:num w:numId="517">
    <w:abstractNumId w:val="162"/>
  </w:num>
  <w:num w:numId="518">
    <w:abstractNumId w:val="162"/>
  </w:num>
  <w:num w:numId="519">
    <w:abstractNumId w:val="84"/>
  </w:num>
  <w:numIdMacAtCleanup w:val="5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removePersonalInformation/>
  <w:removeDateAndTime/>
  <w:displayBackgroundShape/>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evenAndOddHeaders/>
  <w:drawingGridHorizontalSpacing w:val="357"/>
  <w:drawingGridVerticalSpacing w:val="357"/>
  <w:displayHorizontalDrawingGridEvery w:val="0"/>
  <w:displayVerticalDrawingGridEvery w:val="0"/>
  <w:doNotUseMarginsForDrawingGridOrigin/>
  <w:drawingGridHorizontalOrigin w:val="1134"/>
  <w:drawingGridVerticalOrigin w:val="1418"/>
  <w:characterSpacingControl w:val="doNotCompress"/>
  <w:hdrShapeDefaults>
    <o:shapedefaults v:ext="edit" spidmax="36865">
      <o:colormenu v:ext="edit" fillcolor="non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86683E"/>
    <w:rsid w:val="000006EA"/>
    <w:rsid w:val="00001B1A"/>
    <w:rsid w:val="00002A62"/>
    <w:rsid w:val="00004293"/>
    <w:rsid w:val="00006598"/>
    <w:rsid w:val="000070CA"/>
    <w:rsid w:val="00014873"/>
    <w:rsid w:val="00017360"/>
    <w:rsid w:val="00017D71"/>
    <w:rsid w:val="00020DDD"/>
    <w:rsid w:val="000213A8"/>
    <w:rsid w:val="0002203F"/>
    <w:rsid w:val="00022302"/>
    <w:rsid w:val="0002511C"/>
    <w:rsid w:val="00025E6B"/>
    <w:rsid w:val="00027510"/>
    <w:rsid w:val="00033E6C"/>
    <w:rsid w:val="0003412A"/>
    <w:rsid w:val="000349C0"/>
    <w:rsid w:val="00035D61"/>
    <w:rsid w:val="00036BC5"/>
    <w:rsid w:val="0003710D"/>
    <w:rsid w:val="00037FE6"/>
    <w:rsid w:val="00041EBF"/>
    <w:rsid w:val="00042018"/>
    <w:rsid w:val="00043DFF"/>
    <w:rsid w:val="00044417"/>
    <w:rsid w:val="00044E3A"/>
    <w:rsid w:val="0004504C"/>
    <w:rsid w:val="00047769"/>
    <w:rsid w:val="00051508"/>
    <w:rsid w:val="00051E75"/>
    <w:rsid w:val="0005226C"/>
    <w:rsid w:val="00053368"/>
    <w:rsid w:val="000542FD"/>
    <w:rsid w:val="0005468C"/>
    <w:rsid w:val="00060230"/>
    <w:rsid w:val="00060BBD"/>
    <w:rsid w:val="00065059"/>
    <w:rsid w:val="0007226E"/>
    <w:rsid w:val="00072B6A"/>
    <w:rsid w:val="00072F5E"/>
    <w:rsid w:val="00073E1C"/>
    <w:rsid w:val="00073E48"/>
    <w:rsid w:val="00074F29"/>
    <w:rsid w:val="00075193"/>
    <w:rsid w:val="00076221"/>
    <w:rsid w:val="00081E8B"/>
    <w:rsid w:val="000826CD"/>
    <w:rsid w:val="000838BD"/>
    <w:rsid w:val="0008417E"/>
    <w:rsid w:val="00085406"/>
    <w:rsid w:val="0008689C"/>
    <w:rsid w:val="000870DC"/>
    <w:rsid w:val="000877FD"/>
    <w:rsid w:val="00094B61"/>
    <w:rsid w:val="00094E6C"/>
    <w:rsid w:val="000A06A3"/>
    <w:rsid w:val="000A1092"/>
    <w:rsid w:val="000A137F"/>
    <w:rsid w:val="000A1E9F"/>
    <w:rsid w:val="000A7857"/>
    <w:rsid w:val="000A7DE3"/>
    <w:rsid w:val="000B3AC7"/>
    <w:rsid w:val="000B3BEF"/>
    <w:rsid w:val="000B6CC5"/>
    <w:rsid w:val="000C08B2"/>
    <w:rsid w:val="000C0E6A"/>
    <w:rsid w:val="000C2812"/>
    <w:rsid w:val="000C4C10"/>
    <w:rsid w:val="000C61DA"/>
    <w:rsid w:val="000C65CB"/>
    <w:rsid w:val="000C6BD2"/>
    <w:rsid w:val="000D5D72"/>
    <w:rsid w:val="000D647B"/>
    <w:rsid w:val="000D7317"/>
    <w:rsid w:val="000E18AA"/>
    <w:rsid w:val="000E1D9D"/>
    <w:rsid w:val="000E38A5"/>
    <w:rsid w:val="000E487A"/>
    <w:rsid w:val="000E5B15"/>
    <w:rsid w:val="000E6438"/>
    <w:rsid w:val="000E6F12"/>
    <w:rsid w:val="000F0E2D"/>
    <w:rsid w:val="000F2801"/>
    <w:rsid w:val="000F4C6A"/>
    <w:rsid w:val="000F779D"/>
    <w:rsid w:val="001002E2"/>
    <w:rsid w:val="00100F44"/>
    <w:rsid w:val="001044A2"/>
    <w:rsid w:val="00104F6B"/>
    <w:rsid w:val="00106058"/>
    <w:rsid w:val="00106526"/>
    <w:rsid w:val="00107921"/>
    <w:rsid w:val="00111A8E"/>
    <w:rsid w:val="00111BCC"/>
    <w:rsid w:val="00111CD1"/>
    <w:rsid w:val="001160AD"/>
    <w:rsid w:val="00116A2A"/>
    <w:rsid w:val="00117168"/>
    <w:rsid w:val="00117DDB"/>
    <w:rsid w:val="00124079"/>
    <w:rsid w:val="001259D8"/>
    <w:rsid w:val="00127B0C"/>
    <w:rsid w:val="001311F5"/>
    <w:rsid w:val="00132808"/>
    <w:rsid w:val="00132CAD"/>
    <w:rsid w:val="00133838"/>
    <w:rsid w:val="00136025"/>
    <w:rsid w:val="00140E07"/>
    <w:rsid w:val="00142100"/>
    <w:rsid w:val="001435BA"/>
    <w:rsid w:val="001442C7"/>
    <w:rsid w:val="00144A3A"/>
    <w:rsid w:val="00144C96"/>
    <w:rsid w:val="00146D1E"/>
    <w:rsid w:val="00146F25"/>
    <w:rsid w:val="00146FD2"/>
    <w:rsid w:val="00147C0A"/>
    <w:rsid w:val="00150A32"/>
    <w:rsid w:val="00150F56"/>
    <w:rsid w:val="001518B6"/>
    <w:rsid w:val="00151D2F"/>
    <w:rsid w:val="00152FA0"/>
    <w:rsid w:val="001533D4"/>
    <w:rsid w:val="00155FF4"/>
    <w:rsid w:val="00156881"/>
    <w:rsid w:val="00160FD6"/>
    <w:rsid w:val="001621D9"/>
    <w:rsid w:val="001631E0"/>
    <w:rsid w:val="00163DE2"/>
    <w:rsid w:val="00167480"/>
    <w:rsid w:val="001704D3"/>
    <w:rsid w:val="00170BF2"/>
    <w:rsid w:val="00170BFE"/>
    <w:rsid w:val="00172D1A"/>
    <w:rsid w:val="00173ED1"/>
    <w:rsid w:val="001757F9"/>
    <w:rsid w:val="00176F70"/>
    <w:rsid w:val="00176FD3"/>
    <w:rsid w:val="00180896"/>
    <w:rsid w:val="00184FC1"/>
    <w:rsid w:val="00185FB0"/>
    <w:rsid w:val="00186D10"/>
    <w:rsid w:val="00187734"/>
    <w:rsid w:val="00192448"/>
    <w:rsid w:val="001A2366"/>
    <w:rsid w:val="001A2A63"/>
    <w:rsid w:val="001A2B13"/>
    <w:rsid w:val="001A69CA"/>
    <w:rsid w:val="001B04F6"/>
    <w:rsid w:val="001B08A5"/>
    <w:rsid w:val="001B0F2D"/>
    <w:rsid w:val="001B3C85"/>
    <w:rsid w:val="001B3FA8"/>
    <w:rsid w:val="001B586D"/>
    <w:rsid w:val="001C10C4"/>
    <w:rsid w:val="001C3DD5"/>
    <w:rsid w:val="001C618F"/>
    <w:rsid w:val="001C7258"/>
    <w:rsid w:val="001D0283"/>
    <w:rsid w:val="001D1BDC"/>
    <w:rsid w:val="001D2F2B"/>
    <w:rsid w:val="001D3FC1"/>
    <w:rsid w:val="001D67E3"/>
    <w:rsid w:val="001D70CD"/>
    <w:rsid w:val="001E0D28"/>
    <w:rsid w:val="001E2B7D"/>
    <w:rsid w:val="001E2F9D"/>
    <w:rsid w:val="001E5B5A"/>
    <w:rsid w:val="001E6B3F"/>
    <w:rsid w:val="001E77FC"/>
    <w:rsid w:val="001F074D"/>
    <w:rsid w:val="001F0E80"/>
    <w:rsid w:val="001F40DE"/>
    <w:rsid w:val="001F4496"/>
    <w:rsid w:val="001F6E51"/>
    <w:rsid w:val="001F7B54"/>
    <w:rsid w:val="002032E2"/>
    <w:rsid w:val="002053FF"/>
    <w:rsid w:val="002057D7"/>
    <w:rsid w:val="00210630"/>
    <w:rsid w:val="00210AA6"/>
    <w:rsid w:val="00210EAC"/>
    <w:rsid w:val="002132D2"/>
    <w:rsid w:val="00216E1F"/>
    <w:rsid w:val="002207C3"/>
    <w:rsid w:val="00222A7A"/>
    <w:rsid w:val="00227E50"/>
    <w:rsid w:val="002335CF"/>
    <w:rsid w:val="00233CE4"/>
    <w:rsid w:val="002342B8"/>
    <w:rsid w:val="0023454D"/>
    <w:rsid w:val="0023521F"/>
    <w:rsid w:val="00235DC5"/>
    <w:rsid w:val="00243CC1"/>
    <w:rsid w:val="002440CE"/>
    <w:rsid w:val="00244283"/>
    <w:rsid w:val="00246192"/>
    <w:rsid w:val="00253333"/>
    <w:rsid w:val="0025444A"/>
    <w:rsid w:val="002573B2"/>
    <w:rsid w:val="00261762"/>
    <w:rsid w:val="00261A28"/>
    <w:rsid w:val="00263BAE"/>
    <w:rsid w:val="002650D4"/>
    <w:rsid w:val="002712FD"/>
    <w:rsid w:val="002727D1"/>
    <w:rsid w:val="002804CF"/>
    <w:rsid w:val="00280EE3"/>
    <w:rsid w:val="002815A7"/>
    <w:rsid w:val="002832A1"/>
    <w:rsid w:val="0028384F"/>
    <w:rsid w:val="00283A00"/>
    <w:rsid w:val="00284482"/>
    <w:rsid w:val="00284539"/>
    <w:rsid w:val="00285F80"/>
    <w:rsid w:val="002869EB"/>
    <w:rsid w:val="002907B1"/>
    <w:rsid w:val="00291E2F"/>
    <w:rsid w:val="00292581"/>
    <w:rsid w:val="00294972"/>
    <w:rsid w:val="00294FD3"/>
    <w:rsid w:val="00296F9F"/>
    <w:rsid w:val="002A0044"/>
    <w:rsid w:val="002A1F9C"/>
    <w:rsid w:val="002A228F"/>
    <w:rsid w:val="002A22C2"/>
    <w:rsid w:val="002A3A64"/>
    <w:rsid w:val="002A5E66"/>
    <w:rsid w:val="002A5F35"/>
    <w:rsid w:val="002B1ED4"/>
    <w:rsid w:val="002B33DC"/>
    <w:rsid w:val="002B5ECD"/>
    <w:rsid w:val="002B6A2C"/>
    <w:rsid w:val="002C078E"/>
    <w:rsid w:val="002C37DF"/>
    <w:rsid w:val="002C4B1C"/>
    <w:rsid w:val="002C4B32"/>
    <w:rsid w:val="002C53CE"/>
    <w:rsid w:val="002C5DD4"/>
    <w:rsid w:val="002D13BF"/>
    <w:rsid w:val="002D143A"/>
    <w:rsid w:val="002D5639"/>
    <w:rsid w:val="002E318B"/>
    <w:rsid w:val="002E5028"/>
    <w:rsid w:val="002E728A"/>
    <w:rsid w:val="002E7FAC"/>
    <w:rsid w:val="002F02A6"/>
    <w:rsid w:val="002F20F5"/>
    <w:rsid w:val="002F2B9E"/>
    <w:rsid w:val="002F54E1"/>
    <w:rsid w:val="002F739D"/>
    <w:rsid w:val="00301581"/>
    <w:rsid w:val="0030168E"/>
    <w:rsid w:val="0030186B"/>
    <w:rsid w:val="00306BB2"/>
    <w:rsid w:val="00307B4E"/>
    <w:rsid w:val="00312508"/>
    <w:rsid w:val="00312ECF"/>
    <w:rsid w:val="00313B15"/>
    <w:rsid w:val="003140E6"/>
    <w:rsid w:val="00315AB5"/>
    <w:rsid w:val="00316F9E"/>
    <w:rsid w:val="003205A3"/>
    <w:rsid w:val="00320A0E"/>
    <w:rsid w:val="00322ABA"/>
    <w:rsid w:val="00325710"/>
    <w:rsid w:val="003259DC"/>
    <w:rsid w:val="0032659F"/>
    <w:rsid w:val="00326B3E"/>
    <w:rsid w:val="00327B68"/>
    <w:rsid w:val="00330A6B"/>
    <w:rsid w:val="00332AA8"/>
    <w:rsid w:val="003339A8"/>
    <w:rsid w:val="0033606D"/>
    <w:rsid w:val="003403F4"/>
    <w:rsid w:val="00340604"/>
    <w:rsid w:val="003408F2"/>
    <w:rsid w:val="00340932"/>
    <w:rsid w:val="00340A29"/>
    <w:rsid w:val="003426FF"/>
    <w:rsid w:val="0034280C"/>
    <w:rsid w:val="00343923"/>
    <w:rsid w:val="00344B54"/>
    <w:rsid w:val="00346311"/>
    <w:rsid w:val="00346A86"/>
    <w:rsid w:val="00346CC4"/>
    <w:rsid w:val="00350705"/>
    <w:rsid w:val="00351040"/>
    <w:rsid w:val="003531BA"/>
    <w:rsid w:val="00356606"/>
    <w:rsid w:val="00361F8E"/>
    <w:rsid w:val="00367858"/>
    <w:rsid w:val="003728E8"/>
    <w:rsid w:val="00375BFE"/>
    <w:rsid w:val="00376601"/>
    <w:rsid w:val="00377CF2"/>
    <w:rsid w:val="003801E5"/>
    <w:rsid w:val="00381789"/>
    <w:rsid w:val="00387787"/>
    <w:rsid w:val="0039555D"/>
    <w:rsid w:val="00396449"/>
    <w:rsid w:val="0039678B"/>
    <w:rsid w:val="003967C2"/>
    <w:rsid w:val="0039745B"/>
    <w:rsid w:val="003A0944"/>
    <w:rsid w:val="003A1010"/>
    <w:rsid w:val="003A33AE"/>
    <w:rsid w:val="003A6CA1"/>
    <w:rsid w:val="003A75C8"/>
    <w:rsid w:val="003B0E03"/>
    <w:rsid w:val="003B2A6E"/>
    <w:rsid w:val="003B3F5C"/>
    <w:rsid w:val="003B4AA2"/>
    <w:rsid w:val="003B5330"/>
    <w:rsid w:val="003B70C7"/>
    <w:rsid w:val="003B7126"/>
    <w:rsid w:val="003B7243"/>
    <w:rsid w:val="003B7844"/>
    <w:rsid w:val="003B7D0F"/>
    <w:rsid w:val="003C0A6F"/>
    <w:rsid w:val="003C0C9F"/>
    <w:rsid w:val="003C16F8"/>
    <w:rsid w:val="003C2B71"/>
    <w:rsid w:val="003C2E1E"/>
    <w:rsid w:val="003C3419"/>
    <w:rsid w:val="003C698E"/>
    <w:rsid w:val="003C7BB6"/>
    <w:rsid w:val="003D3CA6"/>
    <w:rsid w:val="003D41AA"/>
    <w:rsid w:val="003D4B1D"/>
    <w:rsid w:val="003D5074"/>
    <w:rsid w:val="003D591B"/>
    <w:rsid w:val="003D7818"/>
    <w:rsid w:val="003E0DFA"/>
    <w:rsid w:val="003E2227"/>
    <w:rsid w:val="003E2928"/>
    <w:rsid w:val="003E3FB3"/>
    <w:rsid w:val="003E687B"/>
    <w:rsid w:val="003E697A"/>
    <w:rsid w:val="003F104E"/>
    <w:rsid w:val="003F586A"/>
    <w:rsid w:val="003F7994"/>
    <w:rsid w:val="004000C8"/>
    <w:rsid w:val="00400713"/>
    <w:rsid w:val="0040083C"/>
    <w:rsid w:val="0040286F"/>
    <w:rsid w:val="00402BBD"/>
    <w:rsid w:val="0040373D"/>
    <w:rsid w:val="00404B18"/>
    <w:rsid w:val="00406DE9"/>
    <w:rsid w:val="00410AD0"/>
    <w:rsid w:val="004117F7"/>
    <w:rsid w:val="004127A8"/>
    <w:rsid w:val="004150DA"/>
    <w:rsid w:val="0041526A"/>
    <w:rsid w:val="004172D7"/>
    <w:rsid w:val="00421D0E"/>
    <w:rsid w:val="0042312C"/>
    <w:rsid w:val="004233C1"/>
    <w:rsid w:val="004241EB"/>
    <w:rsid w:val="004272A4"/>
    <w:rsid w:val="00430B70"/>
    <w:rsid w:val="00432261"/>
    <w:rsid w:val="004338FB"/>
    <w:rsid w:val="0043553C"/>
    <w:rsid w:val="0043679B"/>
    <w:rsid w:val="0043729F"/>
    <w:rsid w:val="00441E29"/>
    <w:rsid w:val="004449EE"/>
    <w:rsid w:val="00445E2A"/>
    <w:rsid w:val="00447076"/>
    <w:rsid w:val="00450EF9"/>
    <w:rsid w:val="004524B2"/>
    <w:rsid w:val="00452B43"/>
    <w:rsid w:val="00460BA9"/>
    <w:rsid w:val="00461004"/>
    <w:rsid w:val="00466D6B"/>
    <w:rsid w:val="00467081"/>
    <w:rsid w:val="0047474E"/>
    <w:rsid w:val="00475F68"/>
    <w:rsid w:val="00476162"/>
    <w:rsid w:val="00477C3F"/>
    <w:rsid w:val="00482544"/>
    <w:rsid w:val="00482FAD"/>
    <w:rsid w:val="00483E5F"/>
    <w:rsid w:val="004873ED"/>
    <w:rsid w:val="00487F47"/>
    <w:rsid w:val="00491B67"/>
    <w:rsid w:val="00493699"/>
    <w:rsid w:val="00494083"/>
    <w:rsid w:val="00494B66"/>
    <w:rsid w:val="00495197"/>
    <w:rsid w:val="0049701D"/>
    <w:rsid w:val="00497179"/>
    <w:rsid w:val="004A37BA"/>
    <w:rsid w:val="004A4711"/>
    <w:rsid w:val="004A55D3"/>
    <w:rsid w:val="004A66F4"/>
    <w:rsid w:val="004A6AB4"/>
    <w:rsid w:val="004A6F2C"/>
    <w:rsid w:val="004A7115"/>
    <w:rsid w:val="004A736F"/>
    <w:rsid w:val="004B22CA"/>
    <w:rsid w:val="004B38FD"/>
    <w:rsid w:val="004B6845"/>
    <w:rsid w:val="004B7014"/>
    <w:rsid w:val="004C03AE"/>
    <w:rsid w:val="004C0416"/>
    <w:rsid w:val="004C2D74"/>
    <w:rsid w:val="004C4A03"/>
    <w:rsid w:val="004C796E"/>
    <w:rsid w:val="004D20C2"/>
    <w:rsid w:val="004D264D"/>
    <w:rsid w:val="004D318B"/>
    <w:rsid w:val="004D5C00"/>
    <w:rsid w:val="004D76DA"/>
    <w:rsid w:val="004D7EB9"/>
    <w:rsid w:val="004E06AF"/>
    <w:rsid w:val="004E095F"/>
    <w:rsid w:val="004E3C1B"/>
    <w:rsid w:val="004E5B44"/>
    <w:rsid w:val="004E6DAA"/>
    <w:rsid w:val="004E7D6C"/>
    <w:rsid w:val="004F37E0"/>
    <w:rsid w:val="004F3C16"/>
    <w:rsid w:val="004F46C9"/>
    <w:rsid w:val="004F653A"/>
    <w:rsid w:val="00501117"/>
    <w:rsid w:val="005011E9"/>
    <w:rsid w:val="00501845"/>
    <w:rsid w:val="005058A4"/>
    <w:rsid w:val="00505F03"/>
    <w:rsid w:val="00505FCF"/>
    <w:rsid w:val="00506791"/>
    <w:rsid w:val="00506ADE"/>
    <w:rsid w:val="00507FCB"/>
    <w:rsid w:val="0051158F"/>
    <w:rsid w:val="00513A84"/>
    <w:rsid w:val="005141D8"/>
    <w:rsid w:val="00520CB3"/>
    <w:rsid w:val="00521548"/>
    <w:rsid w:val="00521937"/>
    <w:rsid w:val="005226D5"/>
    <w:rsid w:val="00527CC5"/>
    <w:rsid w:val="00527E16"/>
    <w:rsid w:val="005322A5"/>
    <w:rsid w:val="0053533D"/>
    <w:rsid w:val="005358EF"/>
    <w:rsid w:val="00536045"/>
    <w:rsid w:val="00536A95"/>
    <w:rsid w:val="00536F8D"/>
    <w:rsid w:val="00542469"/>
    <w:rsid w:val="0054424B"/>
    <w:rsid w:val="00544344"/>
    <w:rsid w:val="00544CAE"/>
    <w:rsid w:val="00544FDE"/>
    <w:rsid w:val="00547581"/>
    <w:rsid w:val="00547CA8"/>
    <w:rsid w:val="00550074"/>
    <w:rsid w:val="00550359"/>
    <w:rsid w:val="0055120D"/>
    <w:rsid w:val="005523C8"/>
    <w:rsid w:val="00552655"/>
    <w:rsid w:val="0055393C"/>
    <w:rsid w:val="00553EF5"/>
    <w:rsid w:val="005540B8"/>
    <w:rsid w:val="00554DE9"/>
    <w:rsid w:val="00556672"/>
    <w:rsid w:val="00556CD4"/>
    <w:rsid w:val="00556D69"/>
    <w:rsid w:val="00557BA0"/>
    <w:rsid w:val="005616F5"/>
    <w:rsid w:val="00561EE9"/>
    <w:rsid w:val="00562D85"/>
    <w:rsid w:val="005630DC"/>
    <w:rsid w:val="0056329E"/>
    <w:rsid w:val="00564EBC"/>
    <w:rsid w:val="00565F12"/>
    <w:rsid w:val="0056621E"/>
    <w:rsid w:val="005666D2"/>
    <w:rsid w:val="005669EF"/>
    <w:rsid w:val="005672B3"/>
    <w:rsid w:val="005712BD"/>
    <w:rsid w:val="00573B3D"/>
    <w:rsid w:val="00573BD0"/>
    <w:rsid w:val="0057414E"/>
    <w:rsid w:val="00575DE5"/>
    <w:rsid w:val="005765F3"/>
    <w:rsid w:val="00576DB1"/>
    <w:rsid w:val="00577621"/>
    <w:rsid w:val="00580176"/>
    <w:rsid w:val="00581F97"/>
    <w:rsid w:val="005838EF"/>
    <w:rsid w:val="00583AF9"/>
    <w:rsid w:val="00584506"/>
    <w:rsid w:val="005855C9"/>
    <w:rsid w:val="0058637A"/>
    <w:rsid w:val="00587285"/>
    <w:rsid w:val="005904EF"/>
    <w:rsid w:val="00590B2E"/>
    <w:rsid w:val="00590F22"/>
    <w:rsid w:val="0059228C"/>
    <w:rsid w:val="00592FD3"/>
    <w:rsid w:val="0059367A"/>
    <w:rsid w:val="005951FB"/>
    <w:rsid w:val="00595B57"/>
    <w:rsid w:val="00595FA1"/>
    <w:rsid w:val="0059714B"/>
    <w:rsid w:val="005A0707"/>
    <w:rsid w:val="005A221B"/>
    <w:rsid w:val="005A3518"/>
    <w:rsid w:val="005A408C"/>
    <w:rsid w:val="005A68B9"/>
    <w:rsid w:val="005B0DA6"/>
    <w:rsid w:val="005B0E2C"/>
    <w:rsid w:val="005B1C14"/>
    <w:rsid w:val="005B2CAA"/>
    <w:rsid w:val="005B5922"/>
    <w:rsid w:val="005B5D26"/>
    <w:rsid w:val="005C10EB"/>
    <w:rsid w:val="005C21E7"/>
    <w:rsid w:val="005D15F4"/>
    <w:rsid w:val="005D3070"/>
    <w:rsid w:val="005D35D9"/>
    <w:rsid w:val="005D4E0C"/>
    <w:rsid w:val="005D5FA7"/>
    <w:rsid w:val="005D72AA"/>
    <w:rsid w:val="005D72E2"/>
    <w:rsid w:val="005E0090"/>
    <w:rsid w:val="005E0EFD"/>
    <w:rsid w:val="005E221C"/>
    <w:rsid w:val="005E274A"/>
    <w:rsid w:val="005E3735"/>
    <w:rsid w:val="005E39EF"/>
    <w:rsid w:val="005E45A5"/>
    <w:rsid w:val="005E4F57"/>
    <w:rsid w:val="005E6768"/>
    <w:rsid w:val="005E7014"/>
    <w:rsid w:val="005E735D"/>
    <w:rsid w:val="005F3328"/>
    <w:rsid w:val="005F3D8C"/>
    <w:rsid w:val="005F6E75"/>
    <w:rsid w:val="00600682"/>
    <w:rsid w:val="006073FB"/>
    <w:rsid w:val="00610F11"/>
    <w:rsid w:val="0061203C"/>
    <w:rsid w:val="00612E93"/>
    <w:rsid w:val="00614307"/>
    <w:rsid w:val="0061494B"/>
    <w:rsid w:val="00614CB8"/>
    <w:rsid w:val="00615968"/>
    <w:rsid w:val="00615CE8"/>
    <w:rsid w:val="00616CEB"/>
    <w:rsid w:val="00621FCA"/>
    <w:rsid w:val="00625277"/>
    <w:rsid w:val="006273B9"/>
    <w:rsid w:val="00630559"/>
    <w:rsid w:val="0063095F"/>
    <w:rsid w:val="00630C52"/>
    <w:rsid w:val="00631706"/>
    <w:rsid w:val="00633031"/>
    <w:rsid w:val="00633EDB"/>
    <w:rsid w:val="006361C2"/>
    <w:rsid w:val="00640640"/>
    <w:rsid w:val="00640A46"/>
    <w:rsid w:val="00640EB6"/>
    <w:rsid w:val="00645717"/>
    <w:rsid w:val="00645FE7"/>
    <w:rsid w:val="00646C0C"/>
    <w:rsid w:val="00646DFA"/>
    <w:rsid w:val="00653A5B"/>
    <w:rsid w:val="00653FD6"/>
    <w:rsid w:val="00657CCC"/>
    <w:rsid w:val="006606EE"/>
    <w:rsid w:val="00660730"/>
    <w:rsid w:val="00660FC7"/>
    <w:rsid w:val="006636B8"/>
    <w:rsid w:val="00663AE6"/>
    <w:rsid w:val="00663EAF"/>
    <w:rsid w:val="00665D0F"/>
    <w:rsid w:val="006673FC"/>
    <w:rsid w:val="00667BF2"/>
    <w:rsid w:val="00672ACC"/>
    <w:rsid w:val="00674354"/>
    <w:rsid w:val="006744C9"/>
    <w:rsid w:val="00674581"/>
    <w:rsid w:val="006752F3"/>
    <w:rsid w:val="006816E7"/>
    <w:rsid w:val="006825F1"/>
    <w:rsid w:val="006858F6"/>
    <w:rsid w:val="00686D57"/>
    <w:rsid w:val="00686FCC"/>
    <w:rsid w:val="0068761A"/>
    <w:rsid w:val="0068774C"/>
    <w:rsid w:val="006900E2"/>
    <w:rsid w:val="0069346B"/>
    <w:rsid w:val="006936F9"/>
    <w:rsid w:val="006944A7"/>
    <w:rsid w:val="00695434"/>
    <w:rsid w:val="0069648B"/>
    <w:rsid w:val="00696A79"/>
    <w:rsid w:val="006A2C05"/>
    <w:rsid w:val="006A34BE"/>
    <w:rsid w:val="006B0E7D"/>
    <w:rsid w:val="006B20AA"/>
    <w:rsid w:val="006B2303"/>
    <w:rsid w:val="006B4812"/>
    <w:rsid w:val="006C3379"/>
    <w:rsid w:val="006C6F2C"/>
    <w:rsid w:val="006D3839"/>
    <w:rsid w:val="006D3F50"/>
    <w:rsid w:val="006D52B1"/>
    <w:rsid w:val="006D65B3"/>
    <w:rsid w:val="006D7EAB"/>
    <w:rsid w:val="006E1465"/>
    <w:rsid w:val="006E147C"/>
    <w:rsid w:val="006E14A0"/>
    <w:rsid w:val="006E45F1"/>
    <w:rsid w:val="006E5029"/>
    <w:rsid w:val="006E528B"/>
    <w:rsid w:val="006E61DF"/>
    <w:rsid w:val="006E76BE"/>
    <w:rsid w:val="006F07A6"/>
    <w:rsid w:val="006F146C"/>
    <w:rsid w:val="006F42AA"/>
    <w:rsid w:val="006F4915"/>
    <w:rsid w:val="006F64E6"/>
    <w:rsid w:val="006F67E9"/>
    <w:rsid w:val="00701EE2"/>
    <w:rsid w:val="00703853"/>
    <w:rsid w:val="0070388C"/>
    <w:rsid w:val="00705E57"/>
    <w:rsid w:val="0070685A"/>
    <w:rsid w:val="0071007C"/>
    <w:rsid w:val="007102EC"/>
    <w:rsid w:val="00713A17"/>
    <w:rsid w:val="00714801"/>
    <w:rsid w:val="00714CFE"/>
    <w:rsid w:val="00722E3D"/>
    <w:rsid w:val="00723BF6"/>
    <w:rsid w:val="00723FDF"/>
    <w:rsid w:val="00726F77"/>
    <w:rsid w:val="007303F8"/>
    <w:rsid w:val="00730D9F"/>
    <w:rsid w:val="00731BEB"/>
    <w:rsid w:val="00732E2B"/>
    <w:rsid w:val="007342F5"/>
    <w:rsid w:val="00736F23"/>
    <w:rsid w:val="007374AE"/>
    <w:rsid w:val="00737816"/>
    <w:rsid w:val="00737894"/>
    <w:rsid w:val="00737CE6"/>
    <w:rsid w:val="00737D0D"/>
    <w:rsid w:val="00740702"/>
    <w:rsid w:val="007415EE"/>
    <w:rsid w:val="00741F8D"/>
    <w:rsid w:val="00744390"/>
    <w:rsid w:val="00747BB7"/>
    <w:rsid w:val="00747DEB"/>
    <w:rsid w:val="00751114"/>
    <w:rsid w:val="00754559"/>
    <w:rsid w:val="0075609B"/>
    <w:rsid w:val="00757DCB"/>
    <w:rsid w:val="0076010D"/>
    <w:rsid w:val="007603C9"/>
    <w:rsid w:val="0076295A"/>
    <w:rsid w:val="0076391B"/>
    <w:rsid w:val="0076686C"/>
    <w:rsid w:val="007669D0"/>
    <w:rsid w:val="00770273"/>
    <w:rsid w:val="00770324"/>
    <w:rsid w:val="007710BA"/>
    <w:rsid w:val="00772C41"/>
    <w:rsid w:val="007751E2"/>
    <w:rsid w:val="0077574D"/>
    <w:rsid w:val="00775F40"/>
    <w:rsid w:val="00775F61"/>
    <w:rsid w:val="00776A8E"/>
    <w:rsid w:val="00776B40"/>
    <w:rsid w:val="00783111"/>
    <w:rsid w:val="0078434F"/>
    <w:rsid w:val="00785A75"/>
    <w:rsid w:val="00786167"/>
    <w:rsid w:val="00786996"/>
    <w:rsid w:val="00787639"/>
    <w:rsid w:val="00790E5E"/>
    <w:rsid w:val="00793BB8"/>
    <w:rsid w:val="00795C6B"/>
    <w:rsid w:val="00795D4A"/>
    <w:rsid w:val="007964D2"/>
    <w:rsid w:val="007971CB"/>
    <w:rsid w:val="007A0E22"/>
    <w:rsid w:val="007A15E6"/>
    <w:rsid w:val="007A17E3"/>
    <w:rsid w:val="007A57E4"/>
    <w:rsid w:val="007B3D5A"/>
    <w:rsid w:val="007C222C"/>
    <w:rsid w:val="007C493D"/>
    <w:rsid w:val="007C5026"/>
    <w:rsid w:val="007C5307"/>
    <w:rsid w:val="007C70FB"/>
    <w:rsid w:val="007D0B07"/>
    <w:rsid w:val="007D120D"/>
    <w:rsid w:val="007D222B"/>
    <w:rsid w:val="007D2C44"/>
    <w:rsid w:val="007D5D4C"/>
    <w:rsid w:val="007E04EC"/>
    <w:rsid w:val="007E0DC4"/>
    <w:rsid w:val="007E60D0"/>
    <w:rsid w:val="007E61EF"/>
    <w:rsid w:val="007E68F0"/>
    <w:rsid w:val="007F1A48"/>
    <w:rsid w:val="007F6BE1"/>
    <w:rsid w:val="00800E68"/>
    <w:rsid w:val="00801545"/>
    <w:rsid w:val="00801CFC"/>
    <w:rsid w:val="00802500"/>
    <w:rsid w:val="00802D85"/>
    <w:rsid w:val="00803BA6"/>
    <w:rsid w:val="00803FB3"/>
    <w:rsid w:val="0080518F"/>
    <w:rsid w:val="0080530D"/>
    <w:rsid w:val="00806058"/>
    <w:rsid w:val="00812A5F"/>
    <w:rsid w:val="0081398D"/>
    <w:rsid w:val="00815552"/>
    <w:rsid w:val="00816623"/>
    <w:rsid w:val="00816DE1"/>
    <w:rsid w:val="008177E6"/>
    <w:rsid w:val="00817F2E"/>
    <w:rsid w:val="00823812"/>
    <w:rsid w:val="0082423F"/>
    <w:rsid w:val="00825D5D"/>
    <w:rsid w:val="00826E06"/>
    <w:rsid w:val="00827A78"/>
    <w:rsid w:val="00827B72"/>
    <w:rsid w:val="00827C34"/>
    <w:rsid w:val="00830A9C"/>
    <w:rsid w:val="008315EC"/>
    <w:rsid w:val="00832609"/>
    <w:rsid w:val="00832956"/>
    <w:rsid w:val="008364EE"/>
    <w:rsid w:val="00836EC2"/>
    <w:rsid w:val="00837BE1"/>
    <w:rsid w:val="008409D7"/>
    <w:rsid w:val="00842392"/>
    <w:rsid w:val="00843B5B"/>
    <w:rsid w:val="00844287"/>
    <w:rsid w:val="0084758C"/>
    <w:rsid w:val="00850B3B"/>
    <w:rsid w:val="00850FA9"/>
    <w:rsid w:val="00851F20"/>
    <w:rsid w:val="008524C7"/>
    <w:rsid w:val="0085252C"/>
    <w:rsid w:val="00854D3E"/>
    <w:rsid w:val="0085648E"/>
    <w:rsid w:val="00856D5D"/>
    <w:rsid w:val="0086248D"/>
    <w:rsid w:val="00862581"/>
    <w:rsid w:val="00862BBA"/>
    <w:rsid w:val="00863A8E"/>
    <w:rsid w:val="0086683E"/>
    <w:rsid w:val="00871D61"/>
    <w:rsid w:val="00872CC0"/>
    <w:rsid w:val="00874E4D"/>
    <w:rsid w:val="008750B0"/>
    <w:rsid w:val="008760FD"/>
    <w:rsid w:val="008763F7"/>
    <w:rsid w:val="00876DE9"/>
    <w:rsid w:val="00877EBE"/>
    <w:rsid w:val="00881BF7"/>
    <w:rsid w:val="008821BC"/>
    <w:rsid w:val="008824CF"/>
    <w:rsid w:val="00882ED1"/>
    <w:rsid w:val="008861A8"/>
    <w:rsid w:val="00890EEB"/>
    <w:rsid w:val="008939D5"/>
    <w:rsid w:val="008A003E"/>
    <w:rsid w:val="008A11C7"/>
    <w:rsid w:val="008A30D2"/>
    <w:rsid w:val="008A3BB7"/>
    <w:rsid w:val="008A4FAC"/>
    <w:rsid w:val="008A6E0D"/>
    <w:rsid w:val="008A7E01"/>
    <w:rsid w:val="008B06F2"/>
    <w:rsid w:val="008B0D35"/>
    <w:rsid w:val="008B14CC"/>
    <w:rsid w:val="008B1F41"/>
    <w:rsid w:val="008B4139"/>
    <w:rsid w:val="008B4C0A"/>
    <w:rsid w:val="008B6993"/>
    <w:rsid w:val="008C0857"/>
    <w:rsid w:val="008C16F2"/>
    <w:rsid w:val="008C23DE"/>
    <w:rsid w:val="008C4432"/>
    <w:rsid w:val="008C4668"/>
    <w:rsid w:val="008C473C"/>
    <w:rsid w:val="008C56D1"/>
    <w:rsid w:val="008C7B0E"/>
    <w:rsid w:val="008D1B6B"/>
    <w:rsid w:val="008D2B11"/>
    <w:rsid w:val="008D333F"/>
    <w:rsid w:val="008D72C7"/>
    <w:rsid w:val="008D7665"/>
    <w:rsid w:val="008D7E7E"/>
    <w:rsid w:val="008E1AEC"/>
    <w:rsid w:val="008E5022"/>
    <w:rsid w:val="008E5EBF"/>
    <w:rsid w:val="008F0B2A"/>
    <w:rsid w:val="008F1260"/>
    <w:rsid w:val="008F2028"/>
    <w:rsid w:val="008F36F5"/>
    <w:rsid w:val="008F50F6"/>
    <w:rsid w:val="008F5396"/>
    <w:rsid w:val="008F630C"/>
    <w:rsid w:val="008F6FDB"/>
    <w:rsid w:val="008F712A"/>
    <w:rsid w:val="008F7BC2"/>
    <w:rsid w:val="00906C0A"/>
    <w:rsid w:val="0091201E"/>
    <w:rsid w:val="00912EA5"/>
    <w:rsid w:val="00913F6A"/>
    <w:rsid w:val="00915125"/>
    <w:rsid w:val="0091635C"/>
    <w:rsid w:val="009169F6"/>
    <w:rsid w:val="009173EE"/>
    <w:rsid w:val="00917D4E"/>
    <w:rsid w:val="0092054F"/>
    <w:rsid w:val="00921118"/>
    <w:rsid w:val="00921D36"/>
    <w:rsid w:val="00924A7C"/>
    <w:rsid w:val="0092512F"/>
    <w:rsid w:val="00925DB3"/>
    <w:rsid w:val="0092630D"/>
    <w:rsid w:val="0093206D"/>
    <w:rsid w:val="0093356D"/>
    <w:rsid w:val="00933B41"/>
    <w:rsid w:val="009356B4"/>
    <w:rsid w:val="009373AE"/>
    <w:rsid w:val="009413E6"/>
    <w:rsid w:val="009431BF"/>
    <w:rsid w:val="00943418"/>
    <w:rsid w:val="0094608F"/>
    <w:rsid w:val="00946262"/>
    <w:rsid w:val="00952DBE"/>
    <w:rsid w:val="00953DB9"/>
    <w:rsid w:val="00954D9A"/>
    <w:rsid w:val="00955176"/>
    <w:rsid w:val="00961866"/>
    <w:rsid w:val="00965A02"/>
    <w:rsid w:val="009672A6"/>
    <w:rsid w:val="0097251E"/>
    <w:rsid w:val="00973CF0"/>
    <w:rsid w:val="00975132"/>
    <w:rsid w:val="00975B2D"/>
    <w:rsid w:val="0097794A"/>
    <w:rsid w:val="00977E50"/>
    <w:rsid w:val="00980A97"/>
    <w:rsid w:val="00980B32"/>
    <w:rsid w:val="00981122"/>
    <w:rsid w:val="009815DB"/>
    <w:rsid w:val="00982C3E"/>
    <w:rsid w:val="009867A4"/>
    <w:rsid w:val="009877B9"/>
    <w:rsid w:val="00987925"/>
    <w:rsid w:val="00992155"/>
    <w:rsid w:val="0099219B"/>
    <w:rsid w:val="009940E0"/>
    <w:rsid w:val="009940E4"/>
    <w:rsid w:val="009A05B3"/>
    <w:rsid w:val="009A085A"/>
    <w:rsid w:val="009A18C3"/>
    <w:rsid w:val="009A2615"/>
    <w:rsid w:val="009A3E3D"/>
    <w:rsid w:val="009A47F4"/>
    <w:rsid w:val="009A543F"/>
    <w:rsid w:val="009A5BFA"/>
    <w:rsid w:val="009A650C"/>
    <w:rsid w:val="009A6C4C"/>
    <w:rsid w:val="009B3246"/>
    <w:rsid w:val="009B3F88"/>
    <w:rsid w:val="009B4BEA"/>
    <w:rsid w:val="009C12C4"/>
    <w:rsid w:val="009C402D"/>
    <w:rsid w:val="009C6FFC"/>
    <w:rsid w:val="009D15A0"/>
    <w:rsid w:val="009D16DD"/>
    <w:rsid w:val="009D4AB5"/>
    <w:rsid w:val="009E1392"/>
    <w:rsid w:val="009E36E3"/>
    <w:rsid w:val="009E3CFB"/>
    <w:rsid w:val="009E459E"/>
    <w:rsid w:val="009E47DA"/>
    <w:rsid w:val="009E59B1"/>
    <w:rsid w:val="009F2DD8"/>
    <w:rsid w:val="009F3AAE"/>
    <w:rsid w:val="009F6803"/>
    <w:rsid w:val="00A0101C"/>
    <w:rsid w:val="00A02DF9"/>
    <w:rsid w:val="00A03231"/>
    <w:rsid w:val="00A04665"/>
    <w:rsid w:val="00A0517A"/>
    <w:rsid w:val="00A06A5A"/>
    <w:rsid w:val="00A121CB"/>
    <w:rsid w:val="00A129FC"/>
    <w:rsid w:val="00A1335D"/>
    <w:rsid w:val="00A14E17"/>
    <w:rsid w:val="00A15A6A"/>
    <w:rsid w:val="00A162F3"/>
    <w:rsid w:val="00A217A0"/>
    <w:rsid w:val="00A228F7"/>
    <w:rsid w:val="00A26548"/>
    <w:rsid w:val="00A27F81"/>
    <w:rsid w:val="00A31F35"/>
    <w:rsid w:val="00A42BCC"/>
    <w:rsid w:val="00A45068"/>
    <w:rsid w:val="00A45356"/>
    <w:rsid w:val="00A4590E"/>
    <w:rsid w:val="00A4618E"/>
    <w:rsid w:val="00A46534"/>
    <w:rsid w:val="00A47CA1"/>
    <w:rsid w:val="00A528CB"/>
    <w:rsid w:val="00A53781"/>
    <w:rsid w:val="00A53AD2"/>
    <w:rsid w:val="00A55396"/>
    <w:rsid w:val="00A5684F"/>
    <w:rsid w:val="00A60C59"/>
    <w:rsid w:val="00A60D82"/>
    <w:rsid w:val="00A60F56"/>
    <w:rsid w:val="00A62FA8"/>
    <w:rsid w:val="00A63B69"/>
    <w:rsid w:val="00A6597D"/>
    <w:rsid w:val="00A674BB"/>
    <w:rsid w:val="00A67DA7"/>
    <w:rsid w:val="00A716C2"/>
    <w:rsid w:val="00A734AC"/>
    <w:rsid w:val="00A775DA"/>
    <w:rsid w:val="00A80468"/>
    <w:rsid w:val="00A81058"/>
    <w:rsid w:val="00A81421"/>
    <w:rsid w:val="00A84586"/>
    <w:rsid w:val="00A84809"/>
    <w:rsid w:val="00A84E50"/>
    <w:rsid w:val="00A853D3"/>
    <w:rsid w:val="00A85D64"/>
    <w:rsid w:val="00A861B3"/>
    <w:rsid w:val="00A86D9A"/>
    <w:rsid w:val="00A9415D"/>
    <w:rsid w:val="00A96D79"/>
    <w:rsid w:val="00A9799B"/>
    <w:rsid w:val="00AA1129"/>
    <w:rsid w:val="00AA16C5"/>
    <w:rsid w:val="00AA6AD3"/>
    <w:rsid w:val="00AA79CB"/>
    <w:rsid w:val="00AB0D2D"/>
    <w:rsid w:val="00AB1E31"/>
    <w:rsid w:val="00AB3F98"/>
    <w:rsid w:val="00AB54CF"/>
    <w:rsid w:val="00AB74ED"/>
    <w:rsid w:val="00AB7F55"/>
    <w:rsid w:val="00AC2953"/>
    <w:rsid w:val="00AC29FC"/>
    <w:rsid w:val="00AC430B"/>
    <w:rsid w:val="00AC5D9F"/>
    <w:rsid w:val="00AC63A5"/>
    <w:rsid w:val="00AC798B"/>
    <w:rsid w:val="00AD1B89"/>
    <w:rsid w:val="00AD2211"/>
    <w:rsid w:val="00AD244C"/>
    <w:rsid w:val="00AD44CF"/>
    <w:rsid w:val="00AE3C66"/>
    <w:rsid w:val="00AE3CA5"/>
    <w:rsid w:val="00AE7A78"/>
    <w:rsid w:val="00AE7B2A"/>
    <w:rsid w:val="00AF2898"/>
    <w:rsid w:val="00AF345B"/>
    <w:rsid w:val="00AF463B"/>
    <w:rsid w:val="00AF49BA"/>
    <w:rsid w:val="00AF4EA2"/>
    <w:rsid w:val="00AF53B4"/>
    <w:rsid w:val="00AF7030"/>
    <w:rsid w:val="00B01F0F"/>
    <w:rsid w:val="00B06CFE"/>
    <w:rsid w:val="00B10189"/>
    <w:rsid w:val="00B11970"/>
    <w:rsid w:val="00B121E6"/>
    <w:rsid w:val="00B139E0"/>
    <w:rsid w:val="00B14A6D"/>
    <w:rsid w:val="00B217EE"/>
    <w:rsid w:val="00B24530"/>
    <w:rsid w:val="00B245A2"/>
    <w:rsid w:val="00B2590B"/>
    <w:rsid w:val="00B26124"/>
    <w:rsid w:val="00B31B06"/>
    <w:rsid w:val="00B31D6C"/>
    <w:rsid w:val="00B32948"/>
    <w:rsid w:val="00B43374"/>
    <w:rsid w:val="00B5184E"/>
    <w:rsid w:val="00B521DD"/>
    <w:rsid w:val="00B545FC"/>
    <w:rsid w:val="00B54BB0"/>
    <w:rsid w:val="00B554D7"/>
    <w:rsid w:val="00B55B6D"/>
    <w:rsid w:val="00B570D4"/>
    <w:rsid w:val="00B57BFE"/>
    <w:rsid w:val="00B603FA"/>
    <w:rsid w:val="00B63045"/>
    <w:rsid w:val="00B674D3"/>
    <w:rsid w:val="00B73CA7"/>
    <w:rsid w:val="00B73E0C"/>
    <w:rsid w:val="00B74223"/>
    <w:rsid w:val="00B7470A"/>
    <w:rsid w:val="00B75810"/>
    <w:rsid w:val="00B804E1"/>
    <w:rsid w:val="00B81CA0"/>
    <w:rsid w:val="00B81E78"/>
    <w:rsid w:val="00B828E6"/>
    <w:rsid w:val="00B83FCC"/>
    <w:rsid w:val="00B84DC8"/>
    <w:rsid w:val="00B85260"/>
    <w:rsid w:val="00B854EA"/>
    <w:rsid w:val="00B86393"/>
    <w:rsid w:val="00B875CC"/>
    <w:rsid w:val="00B90EB3"/>
    <w:rsid w:val="00B917AB"/>
    <w:rsid w:val="00B92B08"/>
    <w:rsid w:val="00B958DB"/>
    <w:rsid w:val="00B95949"/>
    <w:rsid w:val="00BA06FF"/>
    <w:rsid w:val="00BA449A"/>
    <w:rsid w:val="00BA6A78"/>
    <w:rsid w:val="00BA76B0"/>
    <w:rsid w:val="00BA7B83"/>
    <w:rsid w:val="00BB22B0"/>
    <w:rsid w:val="00BB2FF5"/>
    <w:rsid w:val="00BB443B"/>
    <w:rsid w:val="00BB70F2"/>
    <w:rsid w:val="00BC185B"/>
    <w:rsid w:val="00BC19B9"/>
    <w:rsid w:val="00BC1B88"/>
    <w:rsid w:val="00BC45BC"/>
    <w:rsid w:val="00BC4742"/>
    <w:rsid w:val="00BC62E3"/>
    <w:rsid w:val="00BC6862"/>
    <w:rsid w:val="00BD0C26"/>
    <w:rsid w:val="00BD485A"/>
    <w:rsid w:val="00BD4F2F"/>
    <w:rsid w:val="00BD55FF"/>
    <w:rsid w:val="00BD6B48"/>
    <w:rsid w:val="00BD7B3D"/>
    <w:rsid w:val="00BE17CC"/>
    <w:rsid w:val="00BE1A87"/>
    <w:rsid w:val="00BF300D"/>
    <w:rsid w:val="00BF4B81"/>
    <w:rsid w:val="00BF57B3"/>
    <w:rsid w:val="00C01918"/>
    <w:rsid w:val="00C02ED5"/>
    <w:rsid w:val="00C05680"/>
    <w:rsid w:val="00C05A18"/>
    <w:rsid w:val="00C06D96"/>
    <w:rsid w:val="00C07366"/>
    <w:rsid w:val="00C10A1F"/>
    <w:rsid w:val="00C16C54"/>
    <w:rsid w:val="00C17136"/>
    <w:rsid w:val="00C17F25"/>
    <w:rsid w:val="00C209BC"/>
    <w:rsid w:val="00C223B7"/>
    <w:rsid w:val="00C2455A"/>
    <w:rsid w:val="00C3056E"/>
    <w:rsid w:val="00C30C92"/>
    <w:rsid w:val="00C34622"/>
    <w:rsid w:val="00C349F9"/>
    <w:rsid w:val="00C34D22"/>
    <w:rsid w:val="00C35139"/>
    <w:rsid w:val="00C37527"/>
    <w:rsid w:val="00C42BA0"/>
    <w:rsid w:val="00C43050"/>
    <w:rsid w:val="00C430F5"/>
    <w:rsid w:val="00C44811"/>
    <w:rsid w:val="00C44BA2"/>
    <w:rsid w:val="00C4559D"/>
    <w:rsid w:val="00C457EB"/>
    <w:rsid w:val="00C45C2C"/>
    <w:rsid w:val="00C46DCC"/>
    <w:rsid w:val="00C47438"/>
    <w:rsid w:val="00C50DB8"/>
    <w:rsid w:val="00C525E8"/>
    <w:rsid w:val="00C558BD"/>
    <w:rsid w:val="00C55AA0"/>
    <w:rsid w:val="00C56D36"/>
    <w:rsid w:val="00C570A2"/>
    <w:rsid w:val="00C605CA"/>
    <w:rsid w:val="00C61BCD"/>
    <w:rsid w:val="00C63065"/>
    <w:rsid w:val="00C67642"/>
    <w:rsid w:val="00C70B5B"/>
    <w:rsid w:val="00C71F3C"/>
    <w:rsid w:val="00C7573D"/>
    <w:rsid w:val="00C75B4A"/>
    <w:rsid w:val="00C76400"/>
    <w:rsid w:val="00C77A64"/>
    <w:rsid w:val="00C77D06"/>
    <w:rsid w:val="00C82340"/>
    <w:rsid w:val="00C824DE"/>
    <w:rsid w:val="00C82715"/>
    <w:rsid w:val="00C82E38"/>
    <w:rsid w:val="00C83FC7"/>
    <w:rsid w:val="00C84051"/>
    <w:rsid w:val="00C867D7"/>
    <w:rsid w:val="00C86D17"/>
    <w:rsid w:val="00C87A61"/>
    <w:rsid w:val="00C87B34"/>
    <w:rsid w:val="00C87B4E"/>
    <w:rsid w:val="00C90A63"/>
    <w:rsid w:val="00C93A79"/>
    <w:rsid w:val="00C9615E"/>
    <w:rsid w:val="00CA05D8"/>
    <w:rsid w:val="00CA0B3D"/>
    <w:rsid w:val="00CA0D12"/>
    <w:rsid w:val="00CA1C08"/>
    <w:rsid w:val="00CA2347"/>
    <w:rsid w:val="00CA2F6A"/>
    <w:rsid w:val="00CA440F"/>
    <w:rsid w:val="00CA4EBB"/>
    <w:rsid w:val="00CA546B"/>
    <w:rsid w:val="00CA712C"/>
    <w:rsid w:val="00CA73D6"/>
    <w:rsid w:val="00CB05C9"/>
    <w:rsid w:val="00CB05ED"/>
    <w:rsid w:val="00CB0859"/>
    <w:rsid w:val="00CB1AE9"/>
    <w:rsid w:val="00CB334B"/>
    <w:rsid w:val="00CB7436"/>
    <w:rsid w:val="00CB7619"/>
    <w:rsid w:val="00CC13A0"/>
    <w:rsid w:val="00CC4285"/>
    <w:rsid w:val="00CC4980"/>
    <w:rsid w:val="00CC4C82"/>
    <w:rsid w:val="00CC5641"/>
    <w:rsid w:val="00CD1F3D"/>
    <w:rsid w:val="00CD6F55"/>
    <w:rsid w:val="00CD753F"/>
    <w:rsid w:val="00CE06CF"/>
    <w:rsid w:val="00CE1B8F"/>
    <w:rsid w:val="00CE3D17"/>
    <w:rsid w:val="00CE3E33"/>
    <w:rsid w:val="00CE4F34"/>
    <w:rsid w:val="00CE6A9D"/>
    <w:rsid w:val="00CE759F"/>
    <w:rsid w:val="00CF48DA"/>
    <w:rsid w:val="00D03555"/>
    <w:rsid w:val="00D039E8"/>
    <w:rsid w:val="00D04A6F"/>
    <w:rsid w:val="00D0503F"/>
    <w:rsid w:val="00D056C2"/>
    <w:rsid w:val="00D0595E"/>
    <w:rsid w:val="00D0772C"/>
    <w:rsid w:val="00D0782B"/>
    <w:rsid w:val="00D101F8"/>
    <w:rsid w:val="00D1074D"/>
    <w:rsid w:val="00D12399"/>
    <w:rsid w:val="00D13345"/>
    <w:rsid w:val="00D13929"/>
    <w:rsid w:val="00D162D2"/>
    <w:rsid w:val="00D178F5"/>
    <w:rsid w:val="00D2041F"/>
    <w:rsid w:val="00D20673"/>
    <w:rsid w:val="00D20766"/>
    <w:rsid w:val="00D21D73"/>
    <w:rsid w:val="00D23759"/>
    <w:rsid w:val="00D244B9"/>
    <w:rsid w:val="00D245AB"/>
    <w:rsid w:val="00D258A6"/>
    <w:rsid w:val="00D261A5"/>
    <w:rsid w:val="00D279E8"/>
    <w:rsid w:val="00D31866"/>
    <w:rsid w:val="00D31A5B"/>
    <w:rsid w:val="00D3271E"/>
    <w:rsid w:val="00D37BA5"/>
    <w:rsid w:val="00D410EC"/>
    <w:rsid w:val="00D41905"/>
    <w:rsid w:val="00D41D2C"/>
    <w:rsid w:val="00D436CA"/>
    <w:rsid w:val="00D43A58"/>
    <w:rsid w:val="00D43AB5"/>
    <w:rsid w:val="00D44CAC"/>
    <w:rsid w:val="00D45389"/>
    <w:rsid w:val="00D46566"/>
    <w:rsid w:val="00D50B0A"/>
    <w:rsid w:val="00D53DDC"/>
    <w:rsid w:val="00D54D96"/>
    <w:rsid w:val="00D552FE"/>
    <w:rsid w:val="00D55AD1"/>
    <w:rsid w:val="00D56B4E"/>
    <w:rsid w:val="00D57EC4"/>
    <w:rsid w:val="00D602CC"/>
    <w:rsid w:val="00D609C5"/>
    <w:rsid w:val="00D626D1"/>
    <w:rsid w:val="00D628CC"/>
    <w:rsid w:val="00D62D3C"/>
    <w:rsid w:val="00D66235"/>
    <w:rsid w:val="00D727EE"/>
    <w:rsid w:val="00D74536"/>
    <w:rsid w:val="00D75EE5"/>
    <w:rsid w:val="00D762C8"/>
    <w:rsid w:val="00D76C34"/>
    <w:rsid w:val="00D80429"/>
    <w:rsid w:val="00D816A5"/>
    <w:rsid w:val="00D8190A"/>
    <w:rsid w:val="00D86436"/>
    <w:rsid w:val="00D90418"/>
    <w:rsid w:val="00D90C20"/>
    <w:rsid w:val="00D915D7"/>
    <w:rsid w:val="00D926D0"/>
    <w:rsid w:val="00D93769"/>
    <w:rsid w:val="00D939B5"/>
    <w:rsid w:val="00D963DE"/>
    <w:rsid w:val="00D96C17"/>
    <w:rsid w:val="00DA27FA"/>
    <w:rsid w:val="00DA5E10"/>
    <w:rsid w:val="00DA711D"/>
    <w:rsid w:val="00DA7F60"/>
    <w:rsid w:val="00DB0108"/>
    <w:rsid w:val="00DB037E"/>
    <w:rsid w:val="00DB268B"/>
    <w:rsid w:val="00DB3411"/>
    <w:rsid w:val="00DB506E"/>
    <w:rsid w:val="00DB5E57"/>
    <w:rsid w:val="00DB7A41"/>
    <w:rsid w:val="00DC01F1"/>
    <w:rsid w:val="00DC0EC6"/>
    <w:rsid w:val="00DC2C8F"/>
    <w:rsid w:val="00DC2D07"/>
    <w:rsid w:val="00DC4622"/>
    <w:rsid w:val="00DC4E8A"/>
    <w:rsid w:val="00DC58B1"/>
    <w:rsid w:val="00DC5FF4"/>
    <w:rsid w:val="00DD01F3"/>
    <w:rsid w:val="00DD2327"/>
    <w:rsid w:val="00DD23DF"/>
    <w:rsid w:val="00DD501A"/>
    <w:rsid w:val="00DD5CE3"/>
    <w:rsid w:val="00DD675B"/>
    <w:rsid w:val="00DE087D"/>
    <w:rsid w:val="00DE27BD"/>
    <w:rsid w:val="00DE6482"/>
    <w:rsid w:val="00DE6A25"/>
    <w:rsid w:val="00DF0BCA"/>
    <w:rsid w:val="00DF5F13"/>
    <w:rsid w:val="00DF7123"/>
    <w:rsid w:val="00E0099C"/>
    <w:rsid w:val="00E03E22"/>
    <w:rsid w:val="00E07B52"/>
    <w:rsid w:val="00E122E3"/>
    <w:rsid w:val="00E13B6A"/>
    <w:rsid w:val="00E14A69"/>
    <w:rsid w:val="00E24688"/>
    <w:rsid w:val="00E251C3"/>
    <w:rsid w:val="00E25329"/>
    <w:rsid w:val="00E327C8"/>
    <w:rsid w:val="00E33654"/>
    <w:rsid w:val="00E3474D"/>
    <w:rsid w:val="00E430E1"/>
    <w:rsid w:val="00E46F9F"/>
    <w:rsid w:val="00E50FB4"/>
    <w:rsid w:val="00E525AA"/>
    <w:rsid w:val="00E53670"/>
    <w:rsid w:val="00E55131"/>
    <w:rsid w:val="00E5533D"/>
    <w:rsid w:val="00E5598C"/>
    <w:rsid w:val="00E56BF9"/>
    <w:rsid w:val="00E61B35"/>
    <w:rsid w:val="00E61C19"/>
    <w:rsid w:val="00E64463"/>
    <w:rsid w:val="00E66191"/>
    <w:rsid w:val="00E662A1"/>
    <w:rsid w:val="00E66562"/>
    <w:rsid w:val="00E70A86"/>
    <w:rsid w:val="00E7113D"/>
    <w:rsid w:val="00E72870"/>
    <w:rsid w:val="00E72D1C"/>
    <w:rsid w:val="00E72EF8"/>
    <w:rsid w:val="00E7344E"/>
    <w:rsid w:val="00E75E48"/>
    <w:rsid w:val="00E775DF"/>
    <w:rsid w:val="00E801D8"/>
    <w:rsid w:val="00E821BF"/>
    <w:rsid w:val="00E84C50"/>
    <w:rsid w:val="00E85653"/>
    <w:rsid w:val="00E86AD3"/>
    <w:rsid w:val="00E90CD6"/>
    <w:rsid w:val="00E90E89"/>
    <w:rsid w:val="00E93C20"/>
    <w:rsid w:val="00E94339"/>
    <w:rsid w:val="00E94EB3"/>
    <w:rsid w:val="00E95D91"/>
    <w:rsid w:val="00E95F86"/>
    <w:rsid w:val="00E960CF"/>
    <w:rsid w:val="00E9617F"/>
    <w:rsid w:val="00E967C7"/>
    <w:rsid w:val="00E96D01"/>
    <w:rsid w:val="00EA0E98"/>
    <w:rsid w:val="00EA1ACB"/>
    <w:rsid w:val="00EA1FE1"/>
    <w:rsid w:val="00EA282E"/>
    <w:rsid w:val="00EA3174"/>
    <w:rsid w:val="00EA3B75"/>
    <w:rsid w:val="00EA4847"/>
    <w:rsid w:val="00EA5762"/>
    <w:rsid w:val="00EB1959"/>
    <w:rsid w:val="00EB1BDE"/>
    <w:rsid w:val="00EB2F19"/>
    <w:rsid w:val="00EB4707"/>
    <w:rsid w:val="00EB4F91"/>
    <w:rsid w:val="00EB6DF4"/>
    <w:rsid w:val="00EC04BE"/>
    <w:rsid w:val="00EC0518"/>
    <w:rsid w:val="00EC0C35"/>
    <w:rsid w:val="00EC23E6"/>
    <w:rsid w:val="00EC3441"/>
    <w:rsid w:val="00EC4BF6"/>
    <w:rsid w:val="00ED03A6"/>
    <w:rsid w:val="00ED1093"/>
    <w:rsid w:val="00ED4698"/>
    <w:rsid w:val="00EE2067"/>
    <w:rsid w:val="00EE22B0"/>
    <w:rsid w:val="00EE3CAB"/>
    <w:rsid w:val="00EE5287"/>
    <w:rsid w:val="00EE52C8"/>
    <w:rsid w:val="00EE57B4"/>
    <w:rsid w:val="00EE7FB8"/>
    <w:rsid w:val="00EF0733"/>
    <w:rsid w:val="00EF1424"/>
    <w:rsid w:val="00EF5320"/>
    <w:rsid w:val="00EF5BCA"/>
    <w:rsid w:val="00EF6749"/>
    <w:rsid w:val="00EF693C"/>
    <w:rsid w:val="00EF7621"/>
    <w:rsid w:val="00F00A08"/>
    <w:rsid w:val="00F01C81"/>
    <w:rsid w:val="00F05812"/>
    <w:rsid w:val="00F107C6"/>
    <w:rsid w:val="00F11F04"/>
    <w:rsid w:val="00F13D41"/>
    <w:rsid w:val="00F13DB7"/>
    <w:rsid w:val="00F15C08"/>
    <w:rsid w:val="00F16CE1"/>
    <w:rsid w:val="00F17A82"/>
    <w:rsid w:val="00F22FFD"/>
    <w:rsid w:val="00F25609"/>
    <w:rsid w:val="00F265C9"/>
    <w:rsid w:val="00F26DF3"/>
    <w:rsid w:val="00F27518"/>
    <w:rsid w:val="00F27DEE"/>
    <w:rsid w:val="00F3091E"/>
    <w:rsid w:val="00F31468"/>
    <w:rsid w:val="00F32819"/>
    <w:rsid w:val="00F34ADD"/>
    <w:rsid w:val="00F35090"/>
    <w:rsid w:val="00F358EA"/>
    <w:rsid w:val="00F35B62"/>
    <w:rsid w:val="00F36BFC"/>
    <w:rsid w:val="00F37AAF"/>
    <w:rsid w:val="00F44180"/>
    <w:rsid w:val="00F456DC"/>
    <w:rsid w:val="00F465DC"/>
    <w:rsid w:val="00F47D20"/>
    <w:rsid w:val="00F50BB0"/>
    <w:rsid w:val="00F51B06"/>
    <w:rsid w:val="00F537D1"/>
    <w:rsid w:val="00F53DE1"/>
    <w:rsid w:val="00F54994"/>
    <w:rsid w:val="00F60D75"/>
    <w:rsid w:val="00F61A93"/>
    <w:rsid w:val="00F649DE"/>
    <w:rsid w:val="00F65397"/>
    <w:rsid w:val="00F66B71"/>
    <w:rsid w:val="00F74532"/>
    <w:rsid w:val="00F74BA1"/>
    <w:rsid w:val="00F74E20"/>
    <w:rsid w:val="00F7595D"/>
    <w:rsid w:val="00F764DC"/>
    <w:rsid w:val="00F76AC7"/>
    <w:rsid w:val="00F77FE5"/>
    <w:rsid w:val="00F8067A"/>
    <w:rsid w:val="00F838A3"/>
    <w:rsid w:val="00F847AD"/>
    <w:rsid w:val="00F857B5"/>
    <w:rsid w:val="00F8756D"/>
    <w:rsid w:val="00F90026"/>
    <w:rsid w:val="00F904CC"/>
    <w:rsid w:val="00F91721"/>
    <w:rsid w:val="00F924CC"/>
    <w:rsid w:val="00F94A0E"/>
    <w:rsid w:val="00F94BBB"/>
    <w:rsid w:val="00F95C43"/>
    <w:rsid w:val="00F97024"/>
    <w:rsid w:val="00FA0282"/>
    <w:rsid w:val="00FA0343"/>
    <w:rsid w:val="00FA1664"/>
    <w:rsid w:val="00FA3FE2"/>
    <w:rsid w:val="00FB035A"/>
    <w:rsid w:val="00FB0EDB"/>
    <w:rsid w:val="00FB255B"/>
    <w:rsid w:val="00FB26FC"/>
    <w:rsid w:val="00FB33FA"/>
    <w:rsid w:val="00FB49CB"/>
    <w:rsid w:val="00FB5CFF"/>
    <w:rsid w:val="00FB605B"/>
    <w:rsid w:val="00FB6BDC"/>
    <w:rsid w:val="00FB74EC"/>
    <w:rsid w:val="00FC1FCD"/>
    <w:rsid w:val="00FC20ED"/>
    <w:rsid w:val="00FC40CC"/>
    <w:rsid w:val="00FC5D9B"/>
    <w:rsid w:val="00FC747E"/>
    <w:rsid w:val="00FC7DDA"/>
    <w:rsid w:val="00FD1685"/>
    <w:rsid w:val="00FD17F8"/>
    <w:rsid w:val="00FD1B37"/>
    <w:rsid w:val="00FD1E95"/>
    <w:rsid w:val="00FD5A48"/>
    <w:rsid w:val="00FD7C4B"/>
    <w:rsid w:val="00FE099C"/>
    <w:rsid w:val="00FE120E"/>
    <w:rsid w:val="00FE2223"/>
    <w:rsid w:val="00FF0FCD"/>
    <w:rsid w:val="00FF1221"/>
    <w:rsid w:val="00FF2732"/>
    <w:rsid w:val="00FF2E03"/>
    <w:rsid w:val="00FF3DCE"/>
    <w:rsid w:val="00FF48A7"/>
    <w:rsid w:val="00FF4A29"/>
    <w:rsid w:val="00FF4DAA"/>
    <w:rsid w:val="00FF4E26"/>
    <w:rsid w:val="00FF7F34"/>
    <w:rsid w:val="00FF7FA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colormenu v:ext="edit" fillcolor="none"/>
    </o:shapedefaults>
    <o:shapelayout v:ext="edit">
      <o:idmap v:ext="edit" data="1"/>
    </o:shapelayout>
  </w:shapeDefaults>
  <w:decimalSymbol w:val=","/>
  <w:listSeparator w:val=";"/>
  <w14:docId w14:val="25B3E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xt"/>
    <w:rsid w:val="00DC0EC6"/>
    <w:pPr>
      <w:tabs>
        <w:tab w:val="left" w:pos="567"/>
      </w:tabs>
      <w:snapToGrid w:val="0"/>
      <w:spacing w:line="280" w:lineRule="exact"/>
      <w:ind w:left="851"/>
      <w:jc w:val="both"/>
    </w:pPr>
    <w:rPr>
      <w:rFonts w:ascii="Arial" w:hAnsi="Arial" w:cs="Arial"/>
      <w:lang w:eastAsia="zh-CN"/>
    </w:rPr>
  </w:style>
  <w:style w:type="paragraph" w:styleId="Heading1">
    <w:name w:val="heading 1"/>
    <w:basedOn w:val="Normal"/>
    <w:next w:val="Normal"/>
    <w:link w:val="Heading1Char"/>
    <w:qFormat/>
    <w:rsid w:val="00701EE2"/>
    <w:pPr>
      <w:keepLines/>
      <w:numPr>
        <w:numId w:val="14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14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146"/>
      </w:numPr>
      <w:tabs>
        <w:tab w:val="clear" w:pos="567"/>
      </w:tabs>
      <w:spacing w:before="240"/>
      <w:outlineLvl w:val="2"/>
    </w:pPr>
    <w:rPr>
      <w:b/>
      <w:bCs/>
      <w:caps/>
      <w:kern w:val="28"/>
      <w:szCs w:val="22"/>
    </w:rPr>
  </w:style>
  <w:style w:type="paragraph" w:styleId="Heading4">
    <w:name w:val="heading 4"/>
    <w:basedOn w:val="Normal"/>
    <w:next w:val="Normal"/>
    <w:link w:val="Heading4Char"/>
    <w:rsid w:val="004241EB"/>
    <w:pPr>
      <w:keepNext/>
      <w:keepLines/>
      <w:tabs>
        <w:tab w:val="clear" w:pos="567"/>
      </w:tabs>
      <w:spacing w:before="480" w:after="240" w:line="300" w:lineRule="exact"/>
      <w:ind w:left="0"/>
      <w:jc w:val="left"/>
      <w:outlineLvl w:val="3"/>
    </w:pPr>
    <w:rPr>
      <w:rFonts w:eastAsia="Times New Roman"/>
      <w:b/>
      <w:bCs/>
      <w:caps/>
      <w:szCs w:val="24"/>
      <w:lang w:eastAsia="en-US"/>
    </w:rPr>
  </w:style>
  <w:style w:type="paragraph" w:styleId="Heading5">
    <w:name w:val="heading 5"/>
    <w:basedOn w:val="Normal"/>
    <w:next w:val="Normal"/>
    <w:link w:val="Heading5Char"/>
    <w:qFormat/>
    <w:rsid w:val="00701EE2"/>
    <w:pPr>
      <w:numPr>
        <w:ilvl w:val="4"/>
        <w:numId w:val="146"/>
      </w:numPr>
      <w:outlineLvl w:val="4"/>
    </w:pPr>
    <w:rPr>
      <w:b/>
    </w:rPr>
  </w:style>
  <w:style w:type="paragraph" w:styleId="Heading6">
    <w:name w:val="heading 6"/>
    <w:basedOn w:val="Normal"/>
    <w:next w:val="Normal"/>
    <w:link w:val="Heading6Char"/>
    <w:qFormat/>
    <w:rsid w:val="00701EE2"/>
    <w:pPr>
      <w:keepLines/>
      <w:numPr>
        <w:ilvl w:val="5"/>
        <w:numId w:val="146"/>
      </w:numPr>
      <w:tabs>
        <w:tab w:val="left" w:pos="1134"/>
      </w:tabs>
      <w:spacing w:after="240"/>
      <w:outlineLvl w:val="5"/>
    </w:pPr>
    <w:rPr>
      <w:rFonts w:eastAsia="Times New Roman"/>
      <w:b/>
      <w:iCs/>
      <w:szCs w:val="22"/>
      <w:lang w:val="en-US" w:eastAsia="x-none"/>
    </w:rPr>
  </w:style>
  <w:style w:type="paragraph" w:styleId="Heading7">
    <w:name w:val="heading 7"/>
    <w:basedOn w:val="Normal"/>
    <w:next w:val="Normal"/>
    <w:link w:val="Heading7Char"/>
    <w:qFormat/>
    <w:rsid w:val="004F37E0"/>
    <w:pPr>
      <w:numPr>
        <w:ilvl w:val="6"/>
        <w:numId w:val="146"/>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link w:val="Heading4"/>
    <w:rsid w:val="004241EB"/>
    <w:rPr>
      <w:rFonts w:ascii="Arial" w:eastAsia="Times New Roman" w:hAnsi="Arial" w:cs="Arial"/>
      <w:b/>
      <w:bCs/>
      <w:caps/>
      <w:szCs w:val="24"/>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eastAsia="x-none"/>
    </w:rPr>
  </w:style>
  <w:style w:type="character" w:customStyle="1" w:styleId="Heading7Char">
    <w:name w:val="Heading 7 Char"/>
    <w:link w:val="Heading7"/>
    <w:rsid w:val="00701EE2"/>
    <w:rPr>
      <w:rFonts w:ascii="Arial" w:eastAsia="SimSun" w:hAnsi="Arial"/>
      <w:i/>
      <w:snapToGrid w:val="0"/>
      <w:lang w:val="x-none" w:eastAsia="zh-CN"/>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Texte1"/>
    <w:next w:val="Normal"/>
    <w:uiPriority w:val="39"/>
    <w:rsid w:val="00047769"/>
    <w:pPr>
      <w:spacing w:after="0"/>
      <w:ind w:left="0"/>
      <w:jc w:val="left"/>
    </w:pPr>
    <w:rPr>
      <w:rFonts w:ascii="Arial Gras" w:hAnsi="Arial Gras"/>
      <w:b/>
      <w:bCs/>
    </w:rPr>
  </w:style>
  <w:style w:type="paragraph" w:styleId="TOC2">
    <w:name w:val="toc 2"/>
    <w:basedOn w:val="Texte1"/>
    <w:next w:val="Normal"/>
    <w:uiPriority w:val="39"/>
    <w:rsid w:val="00047769"/>
    <w:pPr>
      <w:spacing w:after="0"/>
      <w:ind w:left="0"/>
      <w:jc w:val="left"/>
    </w:pPr>
  </w:style>
  <w:style w:type="paragraph" w:styleId="TOC3">
    <w:name w:val="toc 3"/>
    <w:basedOn w:val="TOC2"/>
    <w:next w:val="Normal"/>
    <w:uiPriority w:val="39"/>
    <w:rsid w:val="00047769"/>
  </w:style>
  <w:style w:type="paragraph" w:styleId="TOC4">
    <w:name w:val="toc 4"/>
    <w:basedOn w:val="TOC2"/>
    <w:next w:val="Normal"/>
    <w:uiPriority w:val="39"/>
    <w:rsid w:val="00047769"/>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EA4847"/>
    <w:rPr>
      <w:rFonts w:ascii="Arial" w:hAnsi="Arial" w:cs="Arial"/>
      <w:snapToGrid w:val="0"/>
      <w:sz w:val="16"/>
      <w:szCs w:val="16"/>
      <w:lang w:eastAsia="zh-CN"/>
    </w:rPr>
  </w:style>
  <w:style w:type="paragraph" w:styleId="FootnoteText">
    <w:name w:val="footnote text"/>
    <w:basedOn w:val="Normal"/>
    <w:link w:val="FootnoteTextChar"/>
    <w:rsid w:val="00EA4847"/>
    <w:pPr>
      <w:tabs>
        <w:tab w:val="clear" w:pos="567"/>
        <w:tab w:val="left" w:pos="340"/>
      </w:tabs>
      <w:spacing w:after="60" w:line="180" w:lineRule="exact"/>
      <w:ind w:left="340" w:hanging="340"/>
    </w:pPr>
    <w:rPr>
      <w:snapToGrid w:val="0"/>
      <w:sz w:val="16"/>
      <w:szCs w:val="16"/>
    </w:rPr>
  </w:style>
  <w:style w:type="paragraph" w:customStyle="1" w:styleId="citation">
    <w:name w:val="citation"/>
    <w:basedOn w:val="Texte1"/>
    <w:rsid w:val="005D35D9"/>
    <w:pPr>
      <w:ind w:left="1134" w:right="284"/>
    </w:pPr>
  </w:style>
  <w:style w:type="paragraph" w:customStyle="1" w:styleId="Texte1">
    <w:name w:val="Texte1"/>
    <w:basedOn w:val="Normal"/>
    <w:link w:val="Texte1Car"/>
    <w:rsid w:val="00B01F0F"/>
    <w:pPr>
      <w:tabs>
        <w:tab w:val="clear" w:pos="567"/>
      </w:tabs>
      <w:spacing w:after="60"/>
    </w:pPr>
    <w:rPr>
      <w:lang w:val="en-GB"/>
    </w:rPr>
  </w:style>
  <w:style w:type="character" w:customStyle="1" w:styleId="Texte1Car">
    <w:name w:val="Texte1 Car"/>
    <w:link w:val="Texte1"/>
    <w:rsid w:val="00B01F0F"/>
    <w:rPr>
      <w:rFonts w:ascii="Arial" w:hAnsi="Arial" w:cs="Arial"/>
      <w:lang w:val="en-GB" w:eastAsia="zh-CN"/>
    </w:rPr>
  </w:style>
  <w:style w:type="character" w:customStyle="1" w:styleId="HeaderChar">
    <w:name w:val="Header Char"/>
    <w:link w:val="Header"/>
    <w:locked/>
    <w:rsid w:val="00E14A69"/>
    <w:rPr>
      <w:rFonts w:ascii="Arial" w:hAnsi="Arial" w:cs="Arial"/>
      <w:snapToGrid w:val="0"/>
      <w:sz w:val="16"/>
      <w:lang w:val="en-US" w:eastAsia="zh-CN"/>
    </w:rPr>
  </w:style>
  <w:style w:type="paragraph" w:styleId="Header">
    <w:name w:val="header"/>
    <w:basedOn w:val="Normal"/>
    <w:link w:val="HeaderChar"/>
    <w:rsid w:val="00E14A69"/>
    <w:pPr>
      <w:tabs>
        <w:tab w:val="clear" w:pos="567"/>
        <w:tab w:val="center" w:pos="4423"/>
        <w:tab w:val="right" w:pos="8845"/>
      </w:tabs>
      <w:ind w:left="0"/>
      <w:jc w:val="left"/>
    </w:pPr>
    <w:rPr>
      <w:snapToGrid w:val="0"/>
      <w:sz w:val="16"/>
      <w:lang w:val="en-US"/>
    </w:rPr>
  </w:style>
  <w:style w:type="character" w:customStyle="1" w:styleId="FooterChar">
    <w:name w:val="Footer Char"/>
    <w:link w:val="Footer"/>
    <w:locked/>
    <w:rsid w:val="00F22FFD"/>
    <w:rPr>
      <w:rFonts w:ascii="Arial" w:eastAsia="SimSun" w:hAnsi="Arial" w:cs="Arial"/>
      <w:snapToGrid w:val="0"/>
      <w:sz w:val="16"/>
      <w:szCs w:val="18"/>
      <w:lang w:eastAsia="zh-CN"/>
    </w:rPr>
  </w:style>
  <w:style w:type="paragraph" w:styleId="Footer">
    <w:name w:val="footer"/>
    <w:basedOn w:val="Normal"/>
    <w:link w:val="FooterChar"/>
    <w:rsid w:val="00F22FFD"/>
    <w:pPr>
      <w:tabs>
        <w:tab w:val="clear" w:pos="567"/>
        <w:tab w:val="center" w:pos="4423"/>
        <w:tab w:val="right" w:pos="8845"/>
      </w:tabs>
      <w:spacing w:line="240" w:lineRule="exact"/>
      <w:ind w:left="0"/>
      <w:jc w:val="left"/>
    </w:pPr>
    <w:rPr>
      <w:snapToGrid w:val="0"/>
      <w:sz w:val="16"/>
      <w:szCs w:val="18"/>
    </w:r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eastAsia="x-none"/>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8F36F5"/>
    <w:rPr>
      <w:rFonts w:ascii="Arial" w:eastAsia="Times New Roman" w:hAnsi="Arial" w:cs="Arial"/>
      <w:b/>
      <w:caps/>
      <w:snapToGrid w:val="0"/>
      <w:color w:val="17365D"/>
      <w:sz w:val="70"/>
      <w:szCs w:val="70"/>
      <w:lang w:eastAsia="zh-CN"/>
    </w:rPr>
  </w:style>
  <w:style w:type="paragraph" w:styleId="Title">
    <w:name w:val="Title"/>
    <w:basedOn w:val="Normal"/>
    <w:next w:val="Normal"/>
    <w:link w:val="TitleChar"/>
    <w:rsid w:val="008F36F5"/>
    <w:pPr>
      <w:keepNext/>
      <w:tabs>
        <w:tab w:val="clear" w:pos="567"/>
      </w:tabs>
      <w:spacing w:before="240" w:after="480" w:line="840" w:lineRule="exact"/>
      <w:ind w:left="0"/>
      <w:jc w:val="left"/>
    </w:pPr>
    <w:rPr>
      <w:rFonts w:eastAsia="Times New Roman"/>
      <w:b/>
      <w:caps/>
      <w:snapToGrid w:val="0"/>
      <w:color w:val="17365D"/>
      <w:sz w:val="70"/>
      <w:szCs w:val="70"/>
    </w:rPr>
  </w:style>
  <w:style w:type="paragraph" w:styleId="BalloonText">
    <w:name w:val="Balloon Text"/>
    <w:basedOn w:val="Normal"/>
    <w:link w:val="BalloonTextChar"/>
    <w:rsid w:val="00816DE1"/>
    <w:pPr>
      <w:spacing w:line="240" w:lineRule="auto"/>
    </w:pPr>
    <w:rPr>
      <w:rFonts w:ascii="Lucida Grande" w:hAnsi="Lucida Grande" w:cs="Lucida Grande"/>
      <w:sz w:val="18"/>
      <w:szCs w:val="18"/>
    </w:rPr>
  </w:style>
  <w:style w:type="character" w:customStyle="1" w:styleId="BalloonTextChar">
    <w:name w:val="Balloon Text Char"/>
    <w:link w:val="BalloonText"/>
    <w:rsid w:val="00816DE1"/>
    <w:rPr>
      <w:rFonts w:ascii="Lucida Grande" w:eastAsia="SimSun" w:hAnsi="Lucida Grande" w:cs="Lucida Grande"/>
      <w:sz w:val="18"/>
      <w:szCs w:val="18"/>
      <w:lang w:eastAsia="zh-CN"/>
    </w:rPr>
  </w:style>
  <w:style w:type="paragraph" w:customStyle="1" w:styleId="Tabtxt">
    <w:name w:val="Tabtxt"/>
    <w:basedOn w:val="Normal"/>
    <w:rsid w:val="00051E75"/>
    <w:pPr>
      <w:spacing w:after="40"/>
      <w:ind w:left="0"/>
      <w:jc w:val="center"/>
    </w:pPr>
    <w:rPr>
      <w:sz w:val="18"/>
      <w:szCs w:val="18"/>
      <w:lang w:eastAsia="fr-FR"/>
    </w:rPr>
  </w:style>
  <w:style w:type="paragraph" w:customStyle="1" w:styleId="Txtannexe">
    <w:name w:val="Txtannexe"/>
    <w:basedOn w:val="Texte1"/>
    <w:link w:val="TxtannexeCar"/>
    <w:rsid w:val="00F31468"/>
    <w:pPr>
      <w:ind w:left="0"/>
    </w:pPr>
  </w:style>
  <w:style w:type="character" w:customStyle="1" w:styleId="TxtannexeCar">
    <w:name w:val="Txtannexe Car"/>
    <w:link w:val="Txtannexe"/>
    <w:rsid w:val="00F31468"/>
    <w:rPr>
      <w:rFonts w:ascii="Arial" w:eastAsia="SimSun" w:hAnsi="Arial" w:cs="Arial"/>
      <w:lang w:eastAsia="zh-CN"/>
    </w:rPr>
  </w:style>
  <w:style w:type="character" w:customStyle="1" w:styleId="DocumentMapChar">
    <w:name w:val="Document Map Char"/>
    <w:link w:val="DocumentMap"/>
    <w:locked/>
    <w:rsid w:val="0086683E"/>
    <w:rPr>
      <w:rFonts w:ascii="Tahoma" w:eastAsia="SimSun" w:hAnsi="Tahoma" w:cs="Tahoma"/>
      <w:snapToGrid w:val="0"/>
      <w:sz w:val="16"/>
      <w:szCs w:val="16"/>
      <w:lang w:val="en-US" w:eastAsia="zh-CN"/>
    </w:rPr>
  </w:style>
  <w:style w:type="paragraph" w:styleId="DocumentMap">
    <w:name w:val="Document Map"/>
    <w:basedOn w:val="Normal"/>
    <w:link w:val="DocumentMapChar"/>
    <w:rsid w:val="0086683E"/>
    <w:rPr>
      <w:rFonts w:ascii="Tahoma" w:hAnsi="Tahoma"/>
      <w:snapToGrid w:val="0"/>
      <w:sz w:val="16"/>
      <w:szCs w:val="16"/>
      <w:lang w:val="en-US"/>
    </w:rPr>
  </w:style>
  <w:style w:type="character" w:customStyle="1" w:styleId="SoustitreCar">
    <w:name w:val="Soustitre Car"/>
    <w:link w:val="Soustitre"/>
    <w:rsid w:val="007603C9"/>
    <w:rPr>
      <w:rFonts w:ascii="Arial" w:hAnsi="Arial" w:cs="Arial"/>
      <w:b/>
      <w:bCs/>
      <w:lang w:val="en-GB" w:eastAsia="zh-CN"/>
    </w:rPr>
  </w:style>
  <w:style w:type="paragraph" w:customStyle="1" w:styleId="Soustitre">
    <w:name w:val="Soustitre"/>
    <w:basedOn w:val="Texte1"/>
    <w:link w:val="SoustitreCar"/>
    <w:autoRedefine/>
    <w:rsid w:val="007603C9"/>
    <w:pPr>
      <w:keepNext/>
      <w:widowControl w:val="0"/>
      <w:spacing w:before="120" w:after="80"/>
      <w:jc w:val="left"/>
    </w:pPr>
    <w:rPr>
      <w:b/>
      <w:bCs/>
    </w:rPr>
  </w:style>
  <w:style w:type="paragraph" w:customStyle="1" w:styleId="Ref">
    <w:name w:val="Ref"/>
    <w:basedOn w:val="Txtannexe"/>
    <w:link w:val="RefCar"/>
    <w:rsid w:val="004E7D6C"/>
    <w:rPr>
      <w:i/>
      <w:color w:val="3366FF"/>
    </w:rPr>
  </w:style>
  <w:style w:type="character" w:customStyle="1" w:styleId="RefCar">
    <w:name w:val="Ref Car"/>
    <w:link w:val="Ref"/>
    <w:rsid w:val="004E7D6C"/>
    <w:rPr>
      <w:rFonts w:ascii="Arial" w:eastAsia="SimSun" w:hAnsi="Arial" w:cs="Arial"/>
      <w:i/>
      <w:color w:val="3366FF"/>
      <w:lang w:eastAsia="zh-CN"/>
    </w:rPr>
  </w:style>
  <w:style w:type="paragraph" w:customStyle="1" w:styleId="Txtchap">
    <w:name w:val="Txtchap"/>
    <w:basedOn w:val="Txtpuce"/>
    <w:link w:val="TxtchapCar"/>
    <w:autoRedefine/>
    <w:rsid w:val="00FF3DCE"/>
    <w:pPr>
      <w:numPr>
        <w:numId w:val="347"/>
      </w:numPr>
      <w:spacing w:after="120"/>
    </w:pPr>
    <w:rPr>
      <w:lang w:val="en-GB"/>
    </w:rPr>
  </w:style>
  <w:style w:type="paragraph" w:customStyle="1" w:styleId="Txtpuce">
    <w:name w:val="Txtpuce"/>
    <w:basedOn w:val="Normal"/>
    <w:link w:val="TxtpuceCar"/>
    <w:rsid w:val="009A47F4"/>
    <w:pPr>
      <w:tabs>
        <w:tab w:val="clear" w:pos="567"/>
      </w:tabs>
      <w:spacing w:line="360" w:lineRule="exact"/>
      <w:ind w:left="0"/>
    </w:pPr>
    <w:rPr>
      <w:sz w:val="24"/>
      <w:szCs w:val="24"/>
    </w:rPr>
  </w:style>
  <w:style w:type="character" w:customStyle="1" w:styleId="TxtpuceCar">
    <w:name w:val="Txtpuce Car"/>
    <w:link w:val="Txtpuce"/>
    <w:rsid w:val="00106058"/>
    <w:rPr>
      <w:rFonts w:ascii="Arial" w:eastAsia="SimSun" w:hAnsi="Arial" w:cs="Arial"/>
      <w:sz w:val="24"/>
      <w:szCs w:val="24"/>
      <w:lang w:eastAsia="zh-CN"/>
    </w:rPr>
  </w:style>
  <w:style w:type="character" w:customStyle="1" w:styleId="TxtchapCar">
    <w:name w:val="Txtchap Car"/>
    <w:basedOn w:val="TxtpuceCar"/>
    <w:link w:val="Txtchap"/>
    <w:rsid w:val="00FF3DCE"/>
    <w:rPr>
      <w:rFonts w:ascii="Arial" w:eastAsia="SimSun" w:hAnsi="Arial" w:cs="Arial"/>
      <w:sz w:val="24"/>
      <w:szCs w:val="24"/>
      <w:lang w:val="en-GB" w:eastAsia="zh-CN"/>
    </w:rPr>
  </w:style>
  <w:style w:type="character" w:styleId="FootnoteReference">
    <w:name w:val="footnote reference"/>
    <w:rsid w:val="009A47F4"/>
    <w:rPr>
      <w:rFonts w:ascii="Arial" w:eastAsia="SimSun" w:hAnsi="Arial" w:cs="Arial"/>
      <w:strike w:val="0"/>
      <w:dstrike w:val="0"/>
      <w:spacing w:val="0"/>
      <w:w w:val="100"/>
      <w:position w:val="0"/>
      <w:sz w:val="18"/>
      <w:szCs w:val="18"/>
      <w:vertAlign w:val="superscript"/>
      <w:lang w:eastAsia="zh-CN"/>
    </w:rPr>
  </w:style>
  <w:style w:type="table" w:styleId="TableGrid">
    <w:name w:val="Table Grid"/>
    <w:basedOn w:val="TableNormal"/>
    <w:rsid w:val="008668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83E"/>
    <w:pPr>
      <w:numPr>
        <w:numId w:val="176"/>
      </w:numPr>
      <w:autoSpaceDE w:val="0"/>
      <w:autoSpaceDN w:val="0"/>
      <w:adjustRightInd w:val="0"/>
    </w:pPr>
    <w:rPr>
      <w:rFonts w:ascii="Times New Roman" w:eastAsia="Times New Roman" w:hAnsi="Times New Roman"/>
      <w:color w:val="000000"/>
      <w:sz w:val="24"/>
      <w:szCs w:val="24"/>
    </w:rPr>
  </w:style>
  <w:style w:type="paragraph" w:customStyle="1" w:styleId="numrationa">
    <w:name w:val="énumération (a)"/>
    <w:basedOn w:val="Texte1"/>
    <w:rsid w:val="00AB0D2D"/>
    <w:pPr>
      <w:ind w:left="1474" w:hanging="340"/>
    </w:pPr>
    <w:rPr>
      <w:szCs w:val="22"/>
    </w:rPr>
  </w:style>
  <w:style w:type="character" w:styleId="PageNumber">
    <w:name w:val="page number"/>
    <w:rsid w:val="00117DDB"/>
    <w:rPr>
      <w:rFonts w:ascii="Arial" w:hAnsi="Arial"/>
      <w:b w:val="0"/>
      <w:i w:val="0"/>
      <w:color w:val="auto"/>
      <w:sz w:val="16"/>
    </w:rPr>
  </w:style>
  <w:style w:type="paragraph" w:customStyle="1" w:styleId="Revision1">
    <w:name w:val="Revision1"/>
    <w:hidden/>
    <w:semiHidden/>
    <w:rsid w:val="002B6A2C"/>
    <w:rPr>
      <w:rFonts w:ascii="Arial" w:hAnsi="Arial" w:cs="Arial"/>
      <w:snapToGrid w:val="0"/>
      <w:sz w:val="22"/>
      <w:szCs w:val="24"/>
      <w:lang w:val="en-US" w:eastAsia="zh-CN"/>
    </w:rPr>
  </w:style>
  <w:style w:type="paragraph" w:styleId="Revision">
    <w:name w:val="Revision"/>
    <w:hidden/>
    <w:rsid w:val="002B6A2C"/>
    <w:rPr>
      <w:rFonts w:ascii="Arial" w:hAnsi="Arial" w:cs="Arial"/>
      <w:snapToGrid w:val="0"/>
      <w:sz w:val="22"/>
      <w:szCs w:val="24"/>
      <w:lang w:val="en-US" w:eastAsia="zh-CN"/>
    </w:rPr>
  </w:style>
  <w:style w:type="paragraph" w:customStyle="1" w:styleId="Txtgras">
    <w:name w:val="Txtgras"/>
    <w:basedOn w:val="Normal"/>
    <w:rsid w:val="006944A7"/>
    <w:pPr>
      <w:spacing w:after="80" w:line="320" w:lineRule="exact"/>
      <w:ind w:left="0"/>
    </w:pPr>
    <w:rPr>
      <w:rFonts w:ascii="Arial Gras" w:hAnsi="Arial Gras"/>
      <w:b/>
      <w:bCs/>
      <w:sz w:val="24"/>
      <w:szCs w:val="24"/>
    </w:rPr>
  </w:style>
  <w:style w:type="paragraph" w:customStyle="1" w:styleId="Txtpucegras">
    <w:name w:val="Txtpucegras"/>
    <w:basedOn w:val="Texte1"/>
    <w:rsid w:val="0056621E"/>
    <w:pPr>
      <w:numPr>
        <w:numId w:val="6"/>
      </w:numPr>
      <w:ind w:left="851" w:hanging="284"/>
    </w:pPr>
  </w:style>
  <w:style w:type="paragraph" w:customStyle="1" w:styleId="Titcoul">
    <w:name w:val="Titcoul"/>
    <w:basedOn w:val="Title"/>
    <w:link w:val="TitcoulCar"/>
    <w:rsid w:val="008F36F5"/>
    <w:pPr>
      <w:widowControl w:val="0"/>
      <w:tabs>
        <w:tab w:val="left" w:pos="851"/>
      </w:tabs>
      <w:spacing w:before="720" w:after="240" w:line="320" w:lineRule="exact"/>
      <w:ind w:left="851" w:hanging="851"/>
    </w:pPr>
    <w:rPr>
      <w:rFonts w:eastAsia="SimSun"/>
      <w:bCs/>
      <w:color w:val="3366FF"/>
      <w:sz w:val="24"/>
      <w:szCs w:val="24"/>
      <w:lang w:val="en-US"/>
    </w:rPr>
  </w:style>
  <w:style w:type="character" w:customStyle="1" w:styleId="TitcoulCar">
    <w:name w:val="Titcoul Car"/>
    <w:link w:val="Titcoul"/>
    <w:rsid w:val="008F36F5"/>
    <w:rPr>
      <w:rFonts w:ascii="Arial" w:hAnsi="Arial" w:cs="Arial"/>
      <w:b/>
      <w:bCs/>
      <w:caps/>
      <w:snapToGrid w:val="0"/>
      <w:color w:val="3366FF"/>
      <w:sz w:val="24"/>
      <w:szCs w:val="24"/>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577621"/>
    <w:pPr>
      <w:numPr>
        <w:numId w:val="0"/>
      </w:numPr>
      <w:tabs>
        <w:tab w:val="num" w:pos="1440"/>
      </w:tabs>
      <w:ind w:left="1440" w:hanging="360"/>
    </w:pPr>
  </w:style>
  <w:style w:type="paragraph" w:customStyle="1" w:styleId="Tableau">
    <w:name w:val="Tableau"/>
    <w:basedOn w:val="Texte1"/>
    <w:rsid w:val="005B5D26"/>
    <w:pPr>
      <w:ind w:left="0"/>
    </w:pPr>
  </w:style>
  <w:style w:type="paragraph" w:customStyle="1" w:styleId="Informations">
    <w:name w:val="Informations"/>
    <w:basedOn w:val="Ref"/>
    <w:link w:val="InformationsCar"/>
    <w:rsid w:val="000870DC"/>
    <w:pPr>
      <w:ind w:left="851"/>
    </w:pPr>
    <w:rPr>
      <w:iCs/>
    </w:rPr>
  </w:style>
  <w:style w:type="character" w:customStyle="1" w:styleId="InformationsCar">
    <w:name w:val="Informations Car"/>
    <w:link w:val="Informations"/>
    <w:rsid w:val="000870DC"/>
    <w:rPr>
      <w:rFonts w:ascii="Arial" w:eastAsia="SimSun" w:hAnsi="Arial" w:cs="Arial"/>
      <w:i/>
      <w:iCs/>
      <w:color w:val="3366FF"/>
      <w:lang w:eastAsia="zh-CN"/>
    </w:rPr>
  </w:style>
  <w:style w:type="character" w:styleId="Hyperlink">
    <w:name w:val="Hyperlink"/>
    <w:rsid w:val="00155FF4"/>
    <w:rPr>
      <w:color w:val="0000FF"/>
      <w:u w:val="single"/>
    </w:rPr>
  </w:style>
  <w:style w:type="paragraph" w:customStyle="1" w:styleId="DO">
    <w:name w:val="DO"/>
    <w:basedOn w:val="Normal"/>
    <w:link w:val="DOCar"/>
    <w:rsid w:val="00316F9E"/>
    <w:pPr>
      <w:tabs>
        <w:tab w:val="clear" w:pos="567"/>
        <w:tab w:val="left" w:pos="2138"/>
      </w:tabs>
      <w:spacing w:after="60"/>
      <w:ind w:left="1985" w:hanging="1134"/>
    </w:pPr>
    <w:rPr>
      <w:rFonts w:eastAsia="Calibri"/>
      <w:iCs/>
      <w:szCs w:val="22"/>
      <w:lang w:eastAsia="fr-FR"/>
    </w:rPr>
  </w:style>
  <w:style w:type="character" w:customStyle="1" w:styleId="DOCar">
    <w:name w:val="DO Car"/>
    <w:link w:val="DO"/>
    <w:rsid w:val="00316F9E"/>
    <w:rPr>
      <w:rFonts w:ascii="Arial" w:eastAsia="Calibri" w:hAnsi="Arial" w:cs="Arial"/>
      <w:iCs/>
      <w:szCs w:val="22"/>
    </w:rPr>
  </w:style>
  <w:style w:type="paragraph" w:customStyle="1" w:styleId="Enutiret">
    <w:name w:val="Enutiret"/>
    <w:basedOn w:val="Texte1"/>
    <w:link w:val="EnutiretCar"/>
    <w:rsid w:val="00674581"/>
    <w:pPr>
      <w:numPr>
        <w:numId w:val="352"/>
      </w:numPr>
    </w:pPr>
  </w:style>
  <w:style w:type="character" w:customStyle="1" w:styleId="EnutiretCar">
    <w:name w:val="Enutiret Car"/>
    <w:basedOn w:val="Texte1Car"/>
    <w:link w:val="Enutiret"/>
    <w:rsid w:val="00674581"/>
    <w:rPr>
      <w:rFonts w:ascii="Arial" w:eastAsia="SimSun" w:hAnsi="Arial" w:cs="Arial"/>
      <w:lang w:val="en-GB" w:eastAsia="zh-CN"/>
    </w:rPr>
  </w:style>
  <w:style w:type="paragraph" w:customStyle="1" w:styleId="Tabltetiere">
    <w:name w:val="Tabltetiere"/>
    <w:basedOn w:val="Texte1"/>
    <w:rsid w:val="006E45F1"/>
    <w:pPr>
      <w:spacing w:before="60" w:line="200" w:lineRule="exact"/>
      <w:ind w:left="0"/>
      <w:jc w:val="center"/>
    </w:pPr>
    <w:rPr>
      <w:b/>
      <w:sz w:val="18"/>
    </w:rPr>
  </w:style>
  <w:style w:type="paragraph" w:styleId="CommentText">
    <w:name w:val="annotation text"/>
    <w:basedOn w:val="Normal"/>
    <w:link w:val="CommentTextChar"/>
    <w:uiPriority w:val="99"/>
    <w:rsid w:val="00FB33FA"/>
    <w:pPr>
      <w:tabs>
        <w:tab w:val="clear" w:pos="567"/>
      </w:tabs>
      <w:snapToGrid/>
      <w:spacing w:line="240" w:lineRule="auto"/>
      <w:ind w:left="0"/>
      <w:jc w:val="left"/>
    </w:pPr>
    <w:rPr>
      <w:rFonts w:ascii="Times New Roman" w:eastAsia="Times New Roman" w:hAnsi="Times New Roman" w:cs="Times New Roman"/>
      <w:lang w:val="en-US" w:eastAsia="en-US"/>
    </w:rPr>
  </w:style>
  <w:style w:type="character" w:customStyle="1" w:styleId="CommentTextChar">
    <w:name w:val="Comment Text Char"/>
    <w:link w:val="CommentText"/>
    <w:uiPriority w:val="99"/>
    <w:rsid w:val="00FB33FA"/>
    <w:rPr>
      <w:rFonts w:ascii="Times New Roman" w:eastAsia="Times New Roman" w:hAnsi="Times New Roman"/>
      <w:lang w:val="en-US" w:eastAsia="en-US"/>
    </w:rPr>
  </w:style>
  <w:style w:type="paragraph" w:styleId="TOCHeading">
    <w:name w:val="TOC Heading"/>
    <w:basedOn w:val="Heading1"/>
    <w:next w:val="Normal"/>
    <w:uiPriority w:val="39"/>
    <w:qFormat/>
    <w:rsid w:val="00DD01F3"/>
    <w:pPr>
      <w:keepNext/>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paragraph" w:customStyle="1" w:styleId="Chapinfo">
    <w:name w:val="Chapinfo"/>
    <w:basedOn w:val="Txtchap"/>
    <w:link w:val="ChapinfoCar"/>
    <w:rsid w:val="001F40DE"/>
    <w:pPr>
      <w:numPr>
        <w:numId w:val="0"/>
      </w:numPr>
      <w:spacing w:before="480" w:after="0" w:line="320" w:lineRule="exact"/>
      <w:ind w:left="567"/>
    </w:pPr>
    <w:rPr>
      <w:i/>
      <w:iCs/>
      <w:color w:val="3366FF"/>
    </w:rPr>
  </w:style>
  <w:style w:type="character" w:customStyle="1" w:styleId="ChapinfoCar">
    <w:name w:val="Chapinfo Car"/>
    <w:link w:val="Chapinfo"/>
    <w:rsid w:val="001F40DE"/>
    <w:rPr>
      <w:rFonts w:ascii="Arial" w:eastAsia="SimSun" w:hAnsi="Arial" w:cs="Arial"/>
      <w:i/>
      <w:iCs/>
      <w:color w:val="3366FF"/>
      <w:sz w:val="24"/>
      <w:szCs w:val="24"/>
      <w:lang w:eastAsia="zh-CN"/>
    </w:rPr>
  </w:style>
  <w:style w:type="paragraph" w:customStyle="1" w:styleId="Chapitre">
    <w:name w:val="Chapitre"/>
    <w:basedOn w:val="Title"/>
    <w:link w:val="ChapitreCar"/>
    <w:rsid w:val="008F36F5"/>
    <w:pPr>
      <w:pBdr>
        <w:bottom w:val="single" w:sz="4" w:space="14" w:color="3366FF"/>
      </w:pBdr>
      <w:spacing w:before="0" w:after="240"/>
    </w:pPr>
    <w:rPr>
      <w:bCs/>
      <w:color w:val="3366FF"/>
      <w:lang w:val="en-GB"/>
    </w:rPr>
  </w:style>
  <w:style w:type="paragraph" w:customStyle="1" w:styleId="Sschap">
    <w:name w:val="Sschap"/>
    <w:basedOn w:val="Txtgras"/>
    <w:autoRedefine/>
    <w:rsid w:val="00E967C7"/>
    <w:pPr>
      <w:keepNext/>
      <w:widowControl w:val="0"/>
      <w:tabs>
        <w:tab w:val="clear" w:pos="567"/>
      </w:tabs>
      <w:spacing w:before="1200" w:after="480" w:line="300" w:lineRule="exact"/>
    </w:pPr>
    <w:rPr>
      <w:rFonts w:ascii="Arial" w:hAnsi="Arial"/>
      <w:lang w:val="en-GB"/>
    </w:rPr>
  </w:style>
  <w:style w:type="character" w:styleId="CommentReference">
    <w:name w:val="annotation reference"/>
    <w:basedOn w:val="DefaultParagraphFont"/>
    <w:uiPriority w:val="99"/>
    <w:unhideWhenUsed/>
    <w:rsid w:val="008F1260"/>
    <w:rPr>
      <w:sz w:val="16"/>
      <w:szCs w:val="16"/>
    </w:rPr>
  </w:style>
  <w:style w:type="paragraph" w:styleId="CommentSubject">
    <w:name w:val="annotation subject"/>
    <w:basedOn w:val="CommentText"/>
    <w:next w:val="CommentText"/>
    <w:link w:val="CommentSubjectChar"/>
    <w:semiHidden/>
    <w:unhideWhenUsed/>
    <w:rsid w:val="008F1260"/>
    <w:pPr>
      <w:tabs>
        <w:tab w:val="left" w:pos="567"/>
      </w:tabs>
      <w:snapToGrid w:val="0"/>
      <w:ind w:left="851"/>
      <w:jc w:val="both"/>
    </w:pPr>
    <w:rPr>
      <w:rFonts w:ascii="Arial" w:eastAsia="SimSun" w:hAnsi="Arial" w:cs="Arial"/>
      <w:b/>
      <w:bCs/>
      <w:lang w:val="fr-FR" w:eastAsia="zh-CN"/>
    </w:rPr>
  </w:style>
  <w:style w:type="character" w:customStyle="1" w:styleId="CommentSubjectChar">
    <w:name w:val="Comment Subject Char"/>
    <w:basedOn w:val="CommentTextChar"/>
    <w:link w:val="CommentSubject"/>
    <w:semiHidden/>
    <w:rsid w:val="008F1260"/>
    <w:rPr>
      <w:rFonts w:ascii="Arial" w:eastAsia="SimSun" w:hAnsi="Arial" w:cs="Arial"/>
      <w:b/>
      <w:bCs/>
      <w:lang w:val="en-US" w:eastAsia="zh-CN"/>
    </w:rPr>
  </w:style>
  <w:style w:type="paragraph" w:customStyle="1" w:styleId="Textegras">
    <w:name w:val="Textegras"/>
    <w:basedOn w:val="Texte1"/>
    <w:link w:val="TextegrasCar"/>
    <w:autoRedefine/>
    <w:rsid w:val="00CE4F34"/>
    <w:pPr>
      <w:keepNext/>
      <w:spacing w:before="120"/>
      <w:ind w:left="284" w:hanging="284"/>
    </w:pPr>
    <w:rPr>
      <w:b/>
    </w:rPr>
  </w:style>
  <w:style w:type="character" w:customStyle="1" w:styleId="TextegrasCar">
    <w:name w:val="Textegras Car"/>
    <w:basedOn w:val="Texte1Car"/>
    <w:link w:val="Textegras"/>
    <w:rsid w:val="00CE4F34"/>
    <w:rPr>
      <w:rFonts w:ascii="Arial" w:eastAsia="SimSun" w:hAnsi="Arial" w:cs="Arial"/>
      <w:b/>
      <w:lang w:val="en-GB" w:eastAsia="zh-CN"/>
    </w:rPr>
  </w:style>
  <w:style w:type="character" w:styleId="FollowedHyperlink">
    <w:name w:val="FollowedHyperlink"/>
    <w:basedOn w:val="DefaultParagraphFont"/>
    <w:rsid w:val="003A75C8"/>
    <w:rPr>
      <w:color w:val="800080" w:themeColor="followedHyperlink"/>
      <w:u w:val="single"/>
    </w:rPr>
  </w:style>
  <w:style w:type="paragraph" w:styleId="ListParagraph">
    <w:name w:val="List Paragraph"/>
    <w:basedOn w:val="Normal"/>
    <w:uiPriority w:val="34"/>
    <w:qFormat/>
    <w:rsid w:val="00F60D75"/>
    <w:pPr>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character" w:customStyle="1" w:styleId="ChapitreCar">
    <w:name w:val="Chapitre Car"/>
    <w:link w:val="Chapitre"/>
    <w:rsid w:val="008F36F5"/>
    <w:rPr>
      <w:rFonts w:ascii="Arial" w:eastAsia="Times New Roman" w:hAnsi="Arial" w:cs="Arial"/>
      <w:b/>
      <w:bCs/>
      <w:caps/>
      <w:snapToGrid w:val="0"/>
      <w:color w:val="3366FF"/>
      <w:sz w:val="70"/>
      <w:szCs w:val="70"/>
      <w:lang w:val="en-GB" w:eastAsia="zh-CN"/>
    </w:rPr>
  </w:style>
  <w:style w:type="paragraph" w:customStyle="1" w:styleId="HO1">
    <w:name w:val="HO1"/>
    <w:basedOn w:val="Titcoul"/>
    <w:link w:val="HO1Car"/>
    <w:rsid w:val="00544FDE"/>
    <w:pPr>
      <w:keepLines/>
      <w:widowControl/>
      <w:tabs>
        <w:tab w:val="clear" w:pos="851"/>
        <w:tab w:val="left" w:pos="567"/>
      </w:tabs>
      <w:spacing w:before="480" w:after="0" w:line="480" w:lineRule="exact"/>
      <w:ind w:left="0" w:firstLine="0"/>
      <w:outlineLvl w:val="0"/>
    </w:pPr>
    <w:rPr>
      <w:rFonts w:eastAsia="Times New Roman"/>
      <w:caps w:val="0"/>
      <w:noProof/>
      <w:sz w:val="32"/>
      <w:szCs w:val="32"/>
    </w:rPr>
  </w:style>
  <w:style w:type="character" w:customStyle="1" w:styleId="HO1Car">
    <w:name w:val="HO1 Car"/>
    <w:basedOn w:val="TitcoulCar"/>
    <w:link w:val="HO1"/>
    <w:rsid w:val="00544FDE"/>
    <w:rPr>
      <w:rFonts w:ascii="Arial" w:eastAsia="Times New Roman" w:hAnsi="Arial" w:cs="Arial"/>
      <w:b/>
      <w:bCs/>
      <w:caps w:val="0"/>
      <w:noProof/>
      <w:snapToGrid w:val="0"/>
      <w:color w:val="3366FF"/>
      <w:sz w:val="32"/>
      <w:szCs w:val="32"/>
      <w:lang w:val="en-US" w:eastAsia="zh-CN"/>
    </w:rPr>
  </w:style>
  <w:style w:type="paragraph" w:customStyle="1" w:styleId="HO2">
    <w:name w:val="HO2"/>
    <w:basedOn w:val="HO1"/>
    <w:link w:val="HO2Car"/>
    <w:rsid w:val="00544FDE"/>
    <w:pPr>
      <w:spacing w:before="0" w:after="480"/>
    </w:pPr>
    <w:rPr>
      <w:caps/>
    </w:rPr>
  </w:style>
  <w:style w:type="character" w:customStyle="1" w:styleId="HO2Car">
    <w:name w:val="HO2 Car"/>
    <w:basedOn w:val="HO1Car"/>
    <w:link w:val="HO2"/>
    <w:rsid w:val="00544FDE"/>
    <w:rPr>
      <w:rFonts w:ascii="Arial" w:eastAsia="Times New Roman" w:hAnsi="Arial" w:cs="Arial"/>
      <w:b/>
      <w:bCs/>
      <w:caps/>
      <w:noProof/>
      <w:snapToGrid w:val="0"/>
      <w:color w:val="3366FF"/>
      <w:sz w:val="32"/>
      <w:szCs w:val="3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xt"/>
    <w:rsid w:val="00DC0EC6"/>
    <w:pPr>
      <w:tabs>
        <w:tab w:val="left" w:pos="567"/>
      </w:tabs>
      <w:snapToGrid w:val="0"/>
      <w:spacing w:line="280" w:lineRule="exact"/>
      <w:ind w:left="851"/>
      <w:jc w:val="both"/>
    </w:pPr>
    <w:rPr>
      <w:rFonts w:ascii="Arial" w:hAnsi="Arial" w:cs="Arial"/>
      <w:lang w:eastAsia="zh-CN"/>
    </w:rPr>
  </w:style>
  <w:style w:type="paragraph" w:styleId="Heading1">
    <w:name w:val="heading 1"/>
    <w:basedOn w:val="Normal"/>
    <w:next w:val="Normal"/>
    <w:link w:val="Heading1Char"/>
    <w:qFormat/>
    <w:rsid w:val="00701EE2"/>
    <w:pPr>
      <w:keepLines/>
      <w:numPr>
        <w:numId w:val="14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14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146"/>
      </w:numPr>
      <w:tabs>
        <w:tab w:val="clear" w:pos="567"/>
      </w:tabs>
      <w:spacing w:before="240"/>
      <w:outlineLvl w:val="2"/>
    </w:pPr>
    <w:rPr>
      <w:b/>
      <w:bCs/>
      <w:caps/>
      <w:kern w:val="28"/>
      <w:szCs w:val="22"/>
    </w:rPr>
  </w:style>
  <w:style w:type="paragraph" w:styleId="Heading4">
    <w:name w:val="heading 4"/>
    <w:basedOn w:val="Normal"/>
    <w:next w:val="Normal"/>
    <w:link w:val="Heading4Char"/>
    <w:rsid w:val="004241EB"/>
    <w:pPr>
      <w:keepNext/>
      <w:keepLines/>
      <w:tabs>
        <w:tab w:val="clear" w:pos="567"/>
      </w:tabs>
      <w:spacing w:before="480" w:after="240" w:line="300" w:lineRule="exact"/>
      <w:ind w:left="0"/>
      <w:jc w:val="left"/>
      <w:outlineLvl w:val="3"/>
    </w:pPr>
    <w:rPr>
      <w:rFonts w:eastAsia="Times New Roman"/>
      <w:b/>
      <w:bCs/>
      <w:caps/>
      <w:szCs w:val="24"/>
      <w:lang w:eastAsia="en-US"/>
    </w:rPr>
  </w:style>
  <w:style w:type="paragraph" w:styleId="Heading5">
    <w:name w:val="heading 5"/>
    <w:basedOn w:val="Normal"/>
    <w:next w:val="Normal"/>
    <w:link w:val="Heading5Char"/>
    <w:qFormat/>
    <w:rsid w:val="00701EE2"/>
    <w:pPr>
      <w:numPr>
        <w:ilvl w:val="4"/>
        <w:numId w:val="146"/>
      </w:numPr>
      <w:outlineLvl w:val="4"/>
    </w:pPr>
    <w:rPr>
      <w:b/>
    </w:rPr>
  </w:style>
  <w:style w:type="paragraph" w:styleId="Heading6">
    <w:name w:val="heading 6"/>
    <w:basedOn w:val="Normal"/>
    <w:next w:val="Normal"/>
    <w:link w:val="Heading6Char"/>
    <w:qFormat/>
    <w:rsid w:val="00701EE2"/>
    <w:pPr>
      <w:keepLines/>
      <w:numPr>
        <w:ilvl w:val="5"/>
        <w:numId w:val="146"/>
      </w:numPr>
      <w:tabs>
        <w:tab w:val="left" w:pos="1134"/>
      </w:tabs>
      <w:spacing w:after="240"/>
      <w:outlineLvl w:val="5"/>
    </w:pPr>
    <w:rPr>
      <w:rFonts w:eastAsia="Times New Roman"/>
      <w:b/>
      <w:iCs/>
      <w:szCs w:val="22"/>
      <w:lang w:val="en-US" w:eastAsia="x-none"/>
    </w:rPr>
  </w:style>
  <w:style w:type="paragraph" w:styleId="Heading7">
    <w:name w:val="heading 7"/>
    <w:basedOn w:val="Normal"/>
    <w:next w:val="Normal"/>
    <w:link w:val="Heading7Char"/>
    <w:qFormat/>
    <w:rsid w:val="004F37E0"/>
    <w:pPr>
      <w:numPr>
        <w:ilvl w:val="6"/>
        <w:numId w:val="146"/>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link w:val="Heading4"/>
    <w:rsid w:val="004241EB"/>
    <w:rPr>
      <w:rFonts w:ascii="Arial" w:eastAsia="Times New Roman" w:hAnsi="Arial" w:cs="Arial"/>
      <w:b/>
      <w:bCs/>
      <w:caps/>
      <w:szCs w:val="24"/>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eastAsia="x-none"/>
    </w:rPr>
  </w:style>
  <w:style w:type="character" w:customStyle="1" w:styleId="Heading7Char">
    <w:name w:val="Heading 7 Char"/>
    <w:link w:val="Heading7"/>
    <w:rsid w:val="00701EE2"/>
    <w:rPr>
      <w:rFonts w:ascii="Arial" w:eastAsia="SimSun" w:hAnsi="Arial"/>
      <w:i/>
      <w:snapToGrid w:val="0"/>
      <w:lang w:val="x-none" w:eastAsia="zh-CN"/>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Texte1"/>
    <w:next w:val="Normal"/>
    <w:uiPriority w:val="39"/>
    <w:rsid w:val="00047769"/>
    <w:pPr>
      <w:spacing w:after="0"/>
      <w:ind w:left="0"/>
      <w:jc w:val="left"/>
    </w:pPr>
    <w:rPr>
      <w:rFonts w:ascii="Arial Gras" w:hAnsi="Arial Gras"/>
      <w:b/>
      <w:bCs/>
    </w:rPr>
  </w:style>
  <w:style w:type="paragraph" w:styleId="TOC2">
    <w:name w:val="toc 2"/>
    <w:basedOn w:val="Texte1"/>
    <w:next w:val="Normal"/>
    <w:uiPriority w:val="39"/>
    <w:rsid w:val="00047769"/>
    <w:pPr>
      <w:spacing w:after="0"/>
      <w:ind w:left="0"/>
      <w:jc w:val="left"/>
    </w:pPr>
  </w:style>
  <w:style w:type="paragraph" w:styleId="TOC3">
    <w:name w:val="toc 3"/>
    <w:basedOn w:val="TOC2"/>
    <w:next w:val="Normal"/>
    <w:uiPriority w:val="39"/>
    <w:rsid w:val="00047769"/>
  </w:style>
  <w:style w:type="paragraph" w:styleId="TOC4">
    <w:name w:val="toc 4"/>
    <w:basedOn w:val="TOC2"/>
    <w:next w:val="Normal"/>
    <w:uiPriority w:val="39"/>
    <w:rsid w:val="00047769"/>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EA4847"/>
    <w:rPr>
      <w:rFonts w:ascii="Arial" w:hAnsi="Arial" w:cs="Arial"/>
      <w:snapToGrid w:val="0"/>
      <w:sz w:val="16"/>
      <w:szCs w:val="16"/>
      <w:lang w:eastAsia="zh-CN"/>
    </w:rPr>
  </w:style>
  <w:style w:type="paragraph" w:styleId="FootnoteText">
    <w:name w:val="footnote text"/>
    <w:basedOn w:val="Normal"/>
    <w:link w:val="FootnoteTextChar"/>
    <w:rsid w:val="00EA4847"/>
    <w:pPr>
      <w:tabs>
        <w:tab w:val="clear" w:pos="567"/>
        <w:tab w:val="left" w:pos="340"/>
      </w:tabs>
      <w:spacing w:after="60" w:line="180" w:lineRule="exact"/>
      <w:ind w:left="340" w:hanging="340"/>
    </w:pPr>
    <w:rPr>
      <w:snapToGrid w:val="0"/>
      <w:sz w:val="16"/>
      <w:szCs w:val="16"/>
    </w:rPr>
  </w:style>
  <w:style w:type="paragraph" w:customStyle="1" w:styleId="citation">
    <w:name w:val="citation"/>
    <w:basedOn w:val="Texte1"/>
    <w:rsid w:val="005D35D9"/>
    <w:pPr>
      <w:ind w:left="1134" w:right="284"/>
    </w:pPr>
  </w:style>
  <w:style w:type="paragraph" w:customStyle="1" w:styleId="Texte1">
    <w:name w:val="Texte1"/>
    <w:basedOn w:val="Normal"/>
    <w:link w:val="Texte1Car"/>
    <w:rsid w:val="00B01F0F"/>
    <w:pPr>
      <w:tabs>
        <w:tab w:val="clear" w:pos="567"/>
      </w:tabs>
      <w:spacing w:after="60"/>
    </w:pPr>
    <w:rPr>
      <w:lang w:val="en-GB"/>
    </w:rPr>
  </w:style>
  <w:style w:type="character" w:customStyle="1" w:styleId="Texte1Car">
    <w:name w:val="Texte1 Car"/>
    <w:link w:val="Texte1"/>
    <w:rsid w:val="00B01F0F"/>
    <w:rPr>
      <w:rFonts w:ascii="Arial" w:hAnsi="Arial" w:cs="Arial"/>
      <w:lang w:val="en-GB" w:eastAsia="zh-CN"/>
    </w:rPr>
  </w:style>
  <w:style w:type="character" w:customStyle="1" w:styleId="HeaderChar">
    <w:name w:val="Header Char"/>
    <w:link w:val="Header"/>
    <w:locked/>
    <w:rsid w:val="00E14A69"/>
    <w:rPr>
      <w:rFonts w:ascii="Arial" w:hAnsi="Arial" w:cs="Arial"/>
      <w:snapToGrid w:val="0"/>
      <w:sz w:val="16"/>
      <w:lang w:val="en-US" w:eastAsia="zh-CN"/>
    </w:rPr>
  </w:style>
  <w:style w:type="paragraph" w:styleId="Header">
    <w:name w:val="header"/>
    <w:basedOn w:val="Normal"/>
    <w:link w:val="HeaderChar"/>
    <w:rsid w:val="00E14A69"/>
    <w:pPr>
      <w:tabs>
        <w:tab w:val="clear" w:pos="567"/>
        <w:tab w:val="center" w:pos="4423"/>
        <w:tab w:val="right" w:pos="8845"/>
      </w:tabs>
      <w:ind w:left="0"/>
      <w:jc w:val="left"/>
    </w:pPr>
    <w:rPr>
      <w:snapToGrid w:val="0"/>
      <w:sz w:val="16"/>
      <w:lang w:val="en-US"/>
    </w:rPr>
  </w:style>
  <w:style w:type="character" w:customStyle="1" w:styleId="FooterChar">
    <w:name w:val="Footer Char"/>
    <w:link w:val="Footer"/>
    <w:locked/>
    <w:rsid w:val="00F22FFD"/>
    <w:rPr>
      <w:rFonts w:ascii="Arial" w:eastAsia="SimSun" w:hAnsi="Arial" w:cs="Arial"/>
      <w:snapToGrid w:val="0"/>
      <w:sz w:val="16"/>
      <w:szCs w:val="18"/>
      <w:lang w:eastAsia="zh-CN"/>
    </w:rPr>
  </w:style>
  <w:style w:type="paragraph" w:styleId="Footer">
    <w:name w:val="footer"/>
    <w:basedOn w:val="Normal"/>
    <w:link w:val="FooterChar"/>
    <w:rsid w:val="00F22FFD"/>
    <w:pPr>
      <w:tabs>
        <w:tab w:val="clear" w:pos="567"/>
        <w:tab w:val="center" w:pos="4423"/>
        <w:tab w:val="right" w:pos="8845"/>
      </w:tabs>
      <w:spacing w:line="240" w:lineRule="exact"/>
      <w:ind w:left="0"/>
      <w:jc w:val="left"/>
    </w:pPr>
    <w:rPr>
      <w:snapToGrid w:val="0"/>
      <w:sz w:val="16"/>
      <w:szCs w:val="18"/>
    </w:r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eastAsia="x-none"/>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8F36F5"/>
    <w:rPr>
      <w:rFonts w:ascii="Arial" w:eastAsia="Times New Roman" w:hAnsi="Arial" w:cs="Arial"/>
      <w:b/>
      <w:caps/>
      <w:snapToGrid w:val="0"/>
      <w:color w:val="17365D"/>
      <w:sz w:val="70"/>
      <w:szCs w:val="70"/>
      <w:lang w:eastAsia="zh-CN"/>
    </w:rPr>
  </w:style>
  <w:style w:type="paragraph" w:styleId="Title">
    <w:name w:val="Title"/>
    <w:basedOn w:val="Normal"/>
    <w:next w:val="Normal"/>
    <w:link w:val="TitleChar"/>
    <w:rsid w:val="008F36F5"/>
    <w:pPr>
      <w:keepNext/>
      <w:tabs>
        <w:tab w:val="clear" w:pos="567"/>
      </w:tabs>
      <w:spacing w:before="240" w:after="480" w:line="840" w:lineRule="exact"/>
      <w:ind w:left="0"/>
      <w:jc w:val="left"/>
    </w:pPr>
    <w:rPr>
      <w:rFonts w:eastAsia="Times New Roman"/>
      <w:b/>
      <w:caps/>
      <w:snapToGrid w:val="0"/>
      <w:color w:val="17365D"/>
      <w:sz w:val="70"/>
      <w:szCs w:val="70"/>
    </w:rPr>
  </w:style>
  <w:style w:type="paragraph" w:styleId="BalloonText">
    <w:name w:val="Balloon Text"/>
    <w:basedOn w:val="Normal"/>
    <w:link w:val="BalloonTextChar"/>
    <w:rsid w:val="00816DE1"/>
    <w:pPr>
      <w:spacing w:line="240" w:lineRule="auto"/>
    </w:pPr>
    <w:rPr>
      <w:rFonts w:ascii="Lucida Grande" w:hAnsi="Lucida Grande" w:cs="Lucida Grande"/>
      <w:sz w:val="18"/>
      <w:szCs w:val="18"/>
    </w:rPr>
  </w:style>
  <w:style w:type="character" w:customStyle="1" w:styleId="BalloonTextChar">
    <w:name w:val="Balloon Text Char"/>
    <w:link w:val="BalloonText"/>
    <w:rsid w:val="00816DE1"/>
    <w:rPr>
      <w:rFonts w:ascii="Lucida Grande" w:eastAsia="SimSun" w:hAnsi="Lucida Grande" w:cs="Lucida Grande"/>
      <w:sz w:val="18"/>
      <w:szCs w:val="18"/>
      <w:lang w:eastAsia="zh-CN"/>
    </w:rPr>
  </w:style>
  <w:style w:type="paragraph" w:customStyle="1" w:styleId="Tabtxt">
    <w:name w:val="Tabtxt"/>
    <w:basedOn w:val="Normal"/>
    <w:rsid w:val="00051E75"/>
    <w:pPr>
      <w:spacing w:after="40"/>
      <w:ind w:left="0"/>
      <w:jc w:val="center"/>
    </w:pPr>
    <w:rPr>
      <w:sz w:val="18"/>
      <w:szCs w:val="18"/>
      <w:lang w:eastAsia="fr-FR"/>
    </w:rPr>
  </w:style>
  <w:style w:type="paragraph" w:customStyle="1" w:styleId="Txtannexe">
    <w:name w:val="Txtannexe"/>
    <w:basedOn w:val="Texte1"/>
    <w:link w:val="TxtannexeCar"/>
    <w:rsid w:val="00F31468"/>
    <w:pPr>
      <w:ind w:left="0"/>
    </w:pPr>
  </w:style>
  <w:style w:type="character" w:customStyle="1" w:styleId="TxtannexeCar">
    <w:name w:val="Txtannexe Car"/>
    <w:link w:val="Txtannexe"/>
    <w:rsid w:val="00F31468"/>
    <w:rPr>
      <w:rFonts w:ascii="Arial" w:eastAsia="SimSun" w:hAnsi="Arial" w:cs="Arial"/>
      <w:lang w:eastAsia="zh-CN"/>
    </w:rPr>
  </w:style>
  <w:style w:type="character" w:customStyle="1" w:styleId="DocumentMapChar">
    <w:name w:val="Document Map Char"/>
    <w:link w:val="DocumentMap"/>
    <w:locked/>
    <w:rsid w:val="0086683E"/>
    <w:rPr>
      <w:rFonts w:ascii="Tahoma" w:eastAsia="SimSun" w:hAnsi="Tahoma" w:cs="Tahoma"/>
      <w:snapToGrid w:val="0"/>
      <w:sz w:val="16"/>
      <w:szCs w:val="16"/>
      <w:lang w:val="en-US" w:eastAsia="zh-CN"/>
    </w:rPr>
  </w:style>
  <w:style w:type="paragraph" w:styleId="DocumentMap">
    <w:name w:val="Document Map"/>
    <w:basedOn w:val="Normal"/>
    <w:link w:val="DocumentMapChar"/>
    <w:rsid w:val="0086683E"/>
    <w:rPr>
      <w:rFonts w:ascii="Tahoma" w:hAnsi="Tahoma"/>
      <w:snapToGrid w:val="0"/>
      <w:sz w:val="16"/>
      <w:szCs w:val="16"/>
      <w:lang w:val="en-US"/>
    </w:rPr>
  </w:style>
  <w:style w:type="character" w:customStyle="1" w:styleId="SoustitreCar">
    <w:name w:val="Soustitre Car"/>
    <w:link w:val="Soustitre"/>
    <w:rsid w:val="007603C9"/>
    <w:rPr>
      <w:rFonts w:ascii="Arial" w:hAnsi="Arial" w:cs="Arial"/>
      <w:b/>
      <w:bCs/>
      <w:lang w:val="en-GB" w:eastAsia="zh-CN"/>
    </w:rPr>
  </w:style>
  <w:style w:type="paragraph" w:customStyle="1" w:styleId="Soustitre">
    <w:name w:val="Soustitre"/>
    <w:basedOn w:val="Texte1"/>
    <w:link w:val="SoustitreCar"/>
    <w:autoRedefine/>
    <w:rsid w:val="007603C9"/>
    <w:pPr>
      <w:keepNext/>
      <w:widowControl w:val="0"/>
      <w:spacing w:before="120" w:after="80"/>
      <w:jc w:val="left"/>
    </w:pPr>
    <w:rPr>
      <w:b/>
      <w:bCs/>
    </w:rPr>
  </w:style>
  <w:style w:type="paragraph" w:customStyle="1" w:styleId="Ref">
    <w:name w:val="Ref"/>
    <w:basedOn w:val="Txtannexe"/>
    <w:link w:val="RefCar"/>
    <w:rsid w:val="004E7D6C"/>
    <w:rPr>
      <w:i/>
      <w:color w:val="3366FF"/>
    </w:rPr>
  </w:style>
  <w:style w:type="character" w:customStyle="1" w:styleId="RefCar">
    <w:name w:val="Ref Car"/>
    <w:link w:val="Ref"/>
    <w:rsid w:val="004E7D6C"/>
    <w:rPr>
      <w:rFonts w:ascii="Arial" w:eastAsia="SimSun" w:hAnsi="Arial" w:cs="Arial"/>
      <w:i/>
      <w:color w:val="3366FF"/>
      <w:lang w:eastAsia="zh-CN"/>
    </w:rPr>
  </w:style>
  <w:style w:type="paragraph" w:customStyle="1" w:styleId="Txtchap">
    <w:name w:val="Txtchap"/>
    <w:basedOn w:val="Txtpuce"/>
    <w:link w:val="TxtchapCar"/>
    <w:autoRedefine/>
    <w:rsid w:val="00FF3DCE"/>
    <w:pPr>
      <w:numPr>
        <w:numId w:val="347"/>
      </w:numPr>
      <w:spacing w:after="120"/>
    </w:pPr>
    <w:rPr>
      <w:lang w:val="en-GB"/>
    </w:rPr>
  </w:style>
  <w:style w:type="paragraph" w:customStyle="1" w:styleId="Txtpuce">
    <w:name w:val="Txtpuce"/>
    <w:basedOn w:val="Normal"/>
    <w:link w:val="TxtpuceCar"/>
    <w:rsid w:val="009A47F4"/>
    <w:pPr>
      <w:tabs>
        <w:tab w:val="clear" w:pos="567"/>
      </w:tabs>
      <w:spacing w:line="360" w:lineRule="exact"/>
      <w:ind w:left="0"/>
    </w:pPr>
    <w:rPr>
      <w:sz w:val="24"/>
      <w:szCs w:val="24"/>
    </w:rPr>
  </w:style>
  <w:style w:type="character" w:customStyle="1" w:styleId="TxtpuceCar">
    <w:name w:val="Txtpuce Car"/>
    <w:link w:val="Txtpuce"/>
    <w:rsid w:val="00106058"/>
    <w:rPr>
      <w:rFonts w:ascii="Arial" w:eastAsia="SimSun" w:hAnsi="Arial" w:cs="Arial"/>
      <w:sz w:val="24"/>
      <w:szCs w:val="24"/>
      <w:lang w:eastAsia="zh-CN"/>
    </w:rPr>
  </w:style>
  <w:style w:type="character" w:customStyle="1" w:styleId="TxtchapCar">
    <w:name w:val="Txtchap Car"/>
    <w:basedOn w:val="TxtpuceCar"/>
    <w:link w:val="Txtchap"/>
    <w:rsid w:val="00FF3DCE"/>
    <w:rPr>
      <w:rFonts w:ascii="Arial" w:eastAsia="SimSun" w:hAnsi="Arial" w:cs="Arial"/>
      <w:sz w:val="24"/>
      <w:szCs w:val="24"/>
      <w:lang w:val="en-GB" w:eastAsia="zh-CN"/>
    </w:rPr>
  </w:style>
  <w:style w:type="character" w:styleId="FootnoteReference">
    <w:name w:val="footnote reference"/>
    <w:rsid w:val="009A47F4"/>
    <w:rPr>
      <w:rFonts w:ascii="Arial" w:eastAsia="SimSun" w:hAnsi="Arial" w:cs="Arial"/>
      <w:strike w:val="0"/>
      <w:dstrike w:val="0"/>
      <w:spacing w:val="0"/>
      <w:w w:val="100"/>
      <w:position w:val="0"/>
      <w:sz w:val="18"/>
      <w:szCs w:val="18"/>
      <w:vertAlign w:val="superscript"/>
      <w:lang w:eastAsia="zh-CN"/>
    </w:rPr>
  </w:style>
  <w:style w:type="table" w:styleId="TableGrid">
    <w:name w:val="Table Grid"/>
    <w:basedOn w:val="TableNormal"/>
    <w:rsid w:val="008668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83E"/>
    <w:pPr>
      <w:numPr>
        <w:numId w:val="176"/>
      </w:numPr>
      <w:autoSpaceDE w:val="0"/>
      <w:autoSpaceDN w:val="0"/>
      <w:adjustRightInd w:val="0"/>
    </w:pPr>
    <w:rPr>
      <w:rFonts w:ascii="Times New Roman" w:eastAsia="Times New Roman" w:hAnsi="Times New Roman"/>
      <w:color w:val="000000"/>
      <w:sz w:val="24"/>
      <w:szCs w:val="24"/>
    </w:rPr>
  </w:style>
  <w:style w:type="paragraph" w:customStyle="1" w:styleId="numrationa">
    <w:name w:val="énumération (a)"/>
    <w:basedOn w:val="Texte1"/>
    <w:rsid w:val="00AB0D2D"/>
    <w:pPr>
      <w:ind w:left="1474" w:hanging="340"/>
    </w:pPr>
    <w:rPr>
      <w:szCs w:val="22"/>
    </w:rPr>
  </w:style>
  <w:style w:type="character" w:styleId="PageNumber">
    <w:name w:val="page number"/>
    <w:rsid w:val="00117DDB"/>
    <w:rPr>
      <w:rFonts w:ascii="Arial" w:hAnsi="Arial"/>
      <w:b w:val="0"/>
      <w:i w:val="0"/>
      <w:color w:val="auto"/>
      <w:sz w:val="16"/>
    </w:rPr>
  </w:style>
  <w:style w:type="paragraph" w:customStyle="1" w:styleId="Revision1">
    <w:name w:val="Revision1"/>
    <w:hidden/>
    <w:semiHidden/>
    <w:rsid w:val="002B6A2C"/>
    <w:rPr>
      <w:rFonts w:ascii="Arial" w:hAnsi="Arial" w:cs="Arial"/>
      <w:snapToGrid w:val="0"/>
      <w:sz w:val="22"/>
      <w:szCs w:val="24"/>
      <w:lang w:val="en-US" w:eastAsia="zh-CN"/>
    </w:rPr>
  </w:style>
  <w:style w:type="paragraph" w:styleId="Revision">
    <w:name w:val="Revision"/>
    <w:hidden/>
    <w:rsid w:val="002B6A2C"/>
    <w:rPr>
      <w:rFonts w:ascii="Arial" w:hAnsi="Arial" w:cs="Arial"/>
      <w:snapToGrid w:val="0"/>
      <w:sz w:val="22"/>
      <w:szCs w:val="24"/>
      <w:lang w:val="en-US" w:eastAsia="zh-CN"/>
    </w:rPr>
  </w:style>
  <w:style w:type="paragraph" w:customStyle="1" w:styleId="Txtgras">
    <w:name w:val="Txtgras"/>
    <w:basedOn w:val="Normal"/>
    <w:rsid w:val="006944A7"/>
    <w:pPr>
      <w:spacing w:after="80" w:line="320" w:lineRule="exact"/>
      <w:ind w:left="0"/>
    </w:pPr>
    <w:rPr>
      <w:rFonts w:ascii="Arial Gras" w:hAnsi="Arial Gras"/>
      <w:b/>
      <w:bCs/>
      <w:sz w:val="24"/>
      <w:szCs w:val="24"/>
    </w:rPr>
  </w:style>
  <w:style w:type="paragraph" w:customStyle="1" w:styleId="Txtpucegras">
    <w:name w:val="Txtpucegras"/>
    <w:basedOn w:val="Texte1"/>
    <w:rsid w:val="0056621E"/>
    <w:pPr>
      <w:numPr>
        <w:numId w:val="6"/>
      </w:numPr>
      <w:ind w:left="851" w:hanging="284"/>
    </w:pPr>
  </w:style>
  <w:style w:type="paragraph" w:customStyle="1" w:styleId="Titcoul">
    <w:name w:val="Titcoul"/>
    <w:basedOn w:val="Title"/>
    <w:link w:val="TitcoulCar"/>
    <w:rsid w:val="008F36F5"/>
    <w:pPr>
      <w:widowControl w:val="0"/>
      <w:tabs>
        <w:tab w:val="left" w:pos="851"/>
      </w:tabs>
      <w:spacing w:before="720" w:after="240" w:line="320" w:lineRule="exact"/>
      <w:ind w:left="851" w:hanging="851"/>
    </w:pPr>
    <w:rPr>
      <w:rFonts w:eastAsia="SimSun"/>
      <w:bCs/>
      <w:color w:val="3366FF"/>
      <w:sz w:val="24"/>
      <w:szCs w:val="24"/>
      <w:lang w:val="en-US"/>
    </w:rPr>
  </w:style>
  <w:style w:type="character" w:customStyle="1" w:styleId="TitcoulCar">
    <w:name w:val="Titcoul Car"/>
    <w:link w:val="Titcoul"/>
    <w:rsid w:val="008F36F5"/>
    <w:rPr>
      <w:rFonts w:ascii="Arial" w:hAnsi="Arial" w:cs="Arial"/>
      <w:b/>
      <w:bCs/>
      <w:caps/>
      <w:snapToGrid w:val="0"/>
      <w:color w:val="3366FF"/>
      <w:sz w:val="24"/>
      <w:szCs w:val="24"/>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577621"/>
    <w:pPr>
      <w:numPr>
        <w:numId w:val="0"/>
      </w:numPr>
      <w:tabs>
        <w:tab w:val="num" w:pos="1440"/>
      </w:tabs>
      <w:ind w:left="1440" w:hanging="360"/>
    </w:pPr>
  </w:style>
  <w:style w:type="paragraph" w:customStyle="1" w:styleId="Tableau">
    <w:name w:val="Tableau"/>
    <w:basedOn w:val="Texte1"/>
    <w:rsid w:val="005B5D26"/>
    <w:pPr>
      <w:ind w:left="0"/>
    </w:pPr>
  </w:style>
  <w:style w:type="paragraph" w:customStyle="1" w:styleId="Informations">
    <w:name w:val="Informations"/>
    <w:basedOn w:val="Ref"/>
    <w:link w:val="InformationsCar"/>
    <w:rsid w:val="000870DC"/>
    <w:pPr>
      <w:ind w:left="851"/>
    </w:pPr>
    <w:rPr>
      <w:iCs/>
    </w:rPr>
  </w:style>
  <w:style w:type="character" w:customStyle="1" w:styleId="InformationsCar">
    <w:name w:val="Informations Car"/>
    <w:link w:val="Informations"/>
    <w:rsid w:val="000870DC"/>
    <w:rPr>
      <w:rFonts w:ascii="Arial" w:eastAsia="SimSun" w:hAnsi="Arial" w:cs="Arial"/>
      <w:i/>
      <w:iCs/>
      <w:color w:val="3366FF"/>
      <w:lang w:eastAsia="zh-CN"/>
    </w:rPr>
  </w:style>
  <w:style w:type="character" w:styleId="Hyperlink">
    <w:name w:val="Hyperlink"/>
    <w:rsid w:val="00155FF4"/>
    <w:rPr>
      <w:color w:val="0000FF"/>
      <w:u w:val="single"/>
    </w:rPr>
  </w:style>
  <w:style w:type="paragraph" w:customStyle="1" w:styleId="DO">
    <w:name w:val="DO"/>
    <w:basedOn w:val="Normal"/>
    <w:link w:val="DOCar"/>
    <w:rsid w:val="00316F9E"/>
    <w:pPr>
      <w:tabs>
        <w:tab w:val="clear" w:pos="567"/>
        <w:tab w:val="left" w:pos="2138"/>
      </w:tabs>
      <w:spacing w:after="60"/>
      <w:ind w:left="1985" w:hanging="1134"/>
    </w:pPr>
    <w:rPr>
      <w:rFonts w:eastAsia="Calibri"/>
      <w:iCs/>
      <w:szCs w:val="22"/>
      <w:lang w:eastAsia="fr-FR"/>
    </w:rPr>
  </w:style>
  <w:style w:type="character" w:customStyle="1" w:styleId="DOCar">
    <w:name w:val="DO Car"/>
    <w:link w:val="DO"/>
    <w:rsid w:val="00316F9E"/>
    <w:rPr>
      <w:rFonts w:ascii="Arial" w:eastAsia="Calibri" w:hAnsi="Arial" w:cs="Arial"/>
      <w:iCs/>
      <w:szCs w:val="22"/>
    </w:rPr>
  </w:style>
  <w:style w:type="paragraph" w:customStyle="1" w:styleId="Enutiret">
    <w:name w:val="Enutiret"/>
    <w:basedOn w:val="Texte1"/>
    <w:link w:val="EnutiretCar"/>
    <w:rsid w:val="00674581"/>
    <w:pPr>
      <w:numPr>
        <w:numId w:val="352"/>
      </w:numPr>
    </w:pPr>
  </w:style>
  <w:style w:type="character" w:customStyle="1" w:styleId="EnutiretCar">
    <w:name w:val="Enutiret Car"/>
    <w:basedOn w:val="Texte1Car"/>
    <w:link w:val="Enutiret"/>
    <w:rsid w:val="00674581"/>
    <w:rPr>
      <w:rFonts w:ascii="Arial" w:eastAsia="SimSun" w:hAnsi="Arial" w:cs="Arial"/>
      <w:lang w:val="en-GB" w:eastAsia="zh-CN"/>
    </w:rPr>
  </w:style>
  <w:style w:type="paragraph" w:customStyle="1" w:styleId="Tabltetiere">
    <w:name w:val="Tabltetiere"/>
    <w:basedOn w:val="Texte1"/>
    <w:rsid w:val="006E45F1"/>
    <w:pPr>
      <w:spacing w:before="60" w:line="200" w:lineRule="exact"/>
      <w:ind w:left="0"/>
      <w:jc w:val="center"/>
    </w:pPr>
    <w:rPr>
      <w:b/>
      <w:sz w:val="18"/>
    </w:rPr>
  </w:style>
  <w:style w:type="paragraph" w:styleId="CommentText">
    <w:name w:val="annotation text"/>
    <w:basedOn w:val="Normal"/>
    <w:link w:val="CommentTextChar"/>
    <w:uiPriority w:val="99"/>
    <w:rsid w:val="00FB33FA"/>
    <w:pPr>
      <w:tabs>
        <w:tab w:val="clear" w:pos="567"/>
      </w:tabs>
      <w:snapToGrid/>
      <w:spacing w:line="240" w:lineRule="auto"/>
      <w:ind w:left="0"/>
      <w:jc w:val="left"/>
    </w:pPr>
    <w:rPr>
      <w:rFonts w:ascii="Times New Roman" w:eastAsia="Times New Roman" w:hAnsi="Times New Roman" w:cs="Times New Roman"/>
      <w:lang w:val="en-US" w:eastAsia="en-US"/>
    </w:rPr>
  </w:style>
  <w:style w:type="character" w:customStyle="1" w:styleId="CommentTextChar">
    <w:name w:val="Comment Text Char"/>
    <w:link w:val="CommentText"/>
    <w:uiPriority w:val="99"/>
    <w:rsid w:val="00FB33FA"/>
    <w:rPr>
      <w:rFonts w:ascii="Times New Roman" w:eastAsia="Times New Roman" w:hAnsi="Times New Roman"/>
      <w:lang w:val="en-US" w:eastAsia="en-US"/>
    </w:rPr>
  </w:style>
  <w:style w:type="paragraph" w:styleId="TOCHeading">
    <w:name w:val="TOC Heading"/>
    <w:basedOn w:val="Heading1"/>
    <w:next w:val="Normal"/>
    <w:uiPriority w:val="39"/>
    <w:qFormat/>
    <w:rsid w:val="00DD01F3"/>
    <w:pPr>
      <w:keepNext/>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paragraph" w:customStyle="1" w:styleId="Chapinfo">
    <w:name w:val="Chapinfo"/>
    <w:basedOn w:val="Txtchap"/>
    <w:link w:val="ChapinfoCar"/>
    <w:rsid w:val="001F40DE"/>
    <w:pPr>
      <w:numPr>
        <w:numId w:val="0"/>
      </w:numPr>
      <w:spacing w:before="480" w:after="0" w:line="320" w:lineRule="exact"/>
      <w:ind w:left="567"/>
    </w:pPr>
    <w:rPr>
      <w:i/>
      <w:iCs/>
      <w:color w:val="3366FF"/>
    </w:rPr>
  </w:style>
  <w:style w:type="character" w:customStyle="1" w:styleId="ChapinfoCar">
    <w:name w:val="Chapinfo Car"/>
    <w:link w:val="Chapinfo"/>
    <w:rsid w:val="001F40DE"/>
    <w:rPr>
      <w:rFonts w:ascii="Arial" w:eastAsia="SimSun" w:hAnsi="Arial" w:cs="Arial"/>
      <w:i/>
      <w:iCs/>
      <w:color w:val="3366FF"/>
      <w:sz w:val="24"/>
      <w:szCs w:val="24"/>
      <w:lang w:eastAsia="zh-CN"/>
    </w:rPr>
  </w:style>
  <w:style w:type="paragraph" w:customStyle="1" w:styleId="Chapitre">
    <w:name w:val="Chapitre"/>
    <w:basedOn w:val="Title"/>
    <w:link w:val="ChapitreCar"/>
    <w:rsid w:val="008F36F5"/>
    <w:pPr>
      <w:pBdr>
        <w:bottom w:val="single" w:sz="4" w:space="14" w:color="3366FF"/>
      </w:pBdr>
      <w:spacing w:before="0" w:after="240"/>
    </w:pPr>
    <w:rPr>
      <w:bCs/>
      <w:color w:val="3366FF"/>
      <w:lang w:val="en-GB"/>
    </w:rPr>
  </w:style>
  <w:style w:type="paragraph" w:customStyle="1" w:styleId="Sschap">
    <w:name w:val="Sschap"/>
    <w:basedOn w:val="Txtgras"/>
    <w:autoRedefine/>
    <w:rsid w:val="00E967C7"/>
    <w:pPr>
      <w:keepNext/>
      <w:widowControl w:val="0"/>
      <w:tabs>
        <w:tab w:val="clear" w:pos="567"/>
      </w:tabs>
      <w:spacing w:before="1200" w:after="480" w:line="300" w:lineRule="exact"/>
    </w:pPr>
    <w:rPr>
      <w:rFonts w:ascii="Arial" w:hAnsi="Arial"/>
      <w:lang w:val="en-GB"/>
    </w:rPr>
  </w:style>
  <w:style w:type="character" w:styleId="CommentReference">
    <w:name w:val="annotation reference"/>
    <w:basedOn w:val="DefaultParagraphFont"/>
    <w:uiPriority w:val="99"/>
    <w:unhideWhenUsed/>
    <w:rsid w:val="008F1260"/>
    <w:rPr>
      <w:sz w:val="16"/>
      <w:szCs w:val="16"/>
    </w:rPr>
  </w:style>
  <w:style w:type="paragraph" w:styleId="CommentSubject">
    <w:name w:val="annotation subject"/>
    <w:basedOn w:val="CommentText"/>
    <w:next w:val="CommentText"/>
    <w:link w:val="CommentSubjectChar"/>
    <w:semiHidden/>
    <w:unhideWhenUsed/>
    <w:rsid w:val="008F1260"/>
    <w:pPr>
      <w:tabs>
        <w:tab w:val="left" w:pos="567"/>
      </w:tabs>
      <w:snapToGrid w:val="0"/>
      <w:ind w:left="851"/>
      <w:jc w:val="both"/>
    </w:pPr>
    <w:rPr>
      <w:rFonts w:ascii="Arial" w:eastAsia="SimSun" w:hAnsi="Arial" w:cs="Arial"/>
      <w:b/>
      <w:bCs/>
      <w:lang w:val="fr-FR" w:eastAsia="zh-CN"/>
    </w:rPr>
  </w:style>
  <w:style w:type="character" w:customStyle="1" w:styleId="CommentSubjectChar">
    <w:name w:val="Comment Subject Char"/>
    <w:basedOn w:val="CommentTextChar"/>
    <w:link w:val="CommentSubject"/>
    <w:semiHidden/>
    <w:rsid w:val="008F1260"/>
    <w:rPr>
      <w:rFonts w:ascii="Arial" w:eastAsia="SimSun" w:hAnsi="Arial" w:cs="Arial"/>
      <w:b/>
      <w:bCs/>
      <w:lang w:val="en-US" w:eastAsia="zh-CN"/>
    </w:rPr>
  </w:style>
  <w:style w:type="paragraph" w:customStyle="1" w:styleId="Textegras">
    <w:name w:val="Textegras"/>
    <w:basedOn w:val="Texte1"/>
    <w:link w:val="TextegrasCar"/>
    <w:autoRedefine/>
    <w:rsid w:val="00CE4F34"/>
    <w:pPr>
      <w:keepNext/>
      <w:spacing w:before="120"/>
      <w:ind w:left="284" w:hanging="284"/>
    </w:pPr>
    <w:rPr>
      <w:b/>
    </w:rPr>
  </w:style>
  <w:style w:type="character" w:customStyle="1" w:styleId="TextegrasCar">
    <w:name w:val="Textegras Car"/>
    <w:basedOn w:val="Texte1Car"/>
    <w:link w:val="Textegras"/>
    <w:rsid w:val="00CE4F34"/>
    <w:rPr>
      <w:rFonts w:ascii="Arial" w:eastAsia="SimSun" w:hAnsi="Arial" w:cs="Arial"/>
      <w:b/>
      <w:lang w:val="en-GB" w:eastAsia="zh-CN"/>
    </w:rPr>
  </w:style>
  <w:style w:type="character" w:styleId="FollowedHyperlink">
    <w:name w:val="FollowedHyperlink"/>
    <w:basedOn w:val="DefaultParagraphFont"/>
    <w:rsid w:val="003A75C8"/>
    <w:rPr>
      <w:color w:val="800080" w:themeColor="followedHyperlink"/>
      <w:u w:val="single"/>
    </w:rPr>
  </w:style>
  <w:style w:type="paragraph" w:styleId="ListParagraph">
    <w:name w:val="List Paragraph"/>
    <w:basedOn w:val="Normal"/>
    <w:uiPriority w:val="34"/>
    <w:qFormat/>
    <w:rsid w:val="00F60D75"/>
    <w:pPr>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character" w:customStyle="1" w:styleId="ChapitreCar">
    <w:name w:val="Chapitre Car"/>
    <w:link w:val="Chapitre"/>
    <w:rsid w:val="008F36F5"/>
    <w:rPr>
      <w:rFonts w:ascii="Arial" w:eastAsia="Times New Roman" w:hAnsi="Arial" w:cs="Arial"/>
      <w:b/>
      <w:bCs/>
      <w:caps/>
      <w:snapToGrid w:val="0"/>
      <w:color w:val="3366FF"/>
      <w:sz w:val="70"/>
      <w:szCs w:val="70"/>
      <w:lang w:val="en-GB" w:eastAsia="zh-CN"/>
    </w:rPr>
  </w:style>
  <w:style w:type="paragraph" w:customStyle="1" w:styleId="HO1">
    <w:name w:val="HO1"/>
    <w:basedOn w:val="Titcoul"/>
    <w:link w:val="HO1Car"/>
    <w:rsid w:val="00544FDE"/>
    <w:pPr>
      <w:keepLines/>
      <w:widowControl/>
      <w:tabs>
        <w:tab w:val="clear" w:pos="851"/>
        <w:tab w:val="left" w:pos="567"/>
      </w:tabs>
      <w:spacing w:before="480" w:after="0" w:line="480" w:lineRule="exact"/>
      <w:ind w:left="0" w:firstLine="0"/>
      <w:outlineLvl w:val="0"/>
    </w:pPr>
    <w:rPr>
      <w:rFonts w:eastAsia="Times New Roman"/>
      <w:caps w:val="0"/>
      <w:noProof/>
      <w:sz w:val="32"/>
      <w:szCs w:val="32"/>
    </w:rPr>
  </w:style>
  <w:style w:type="character" w:customStyle="1" w:styleId="HO1Car">
    <w:name w:val="HO1 Car"/>
    <w:basedOn w:val="TitcoulCar"/>
    <w:link w:val="HO1"/>
    <w:rsid w:val="00544FDE"/>
    <w:rPr>
      <w:rFonts w:ascii="Arial" w:eastAsia="Times New Roman" w:hAnsi="Arial" w:cs="Arial"/>
      <w:b/>
      <w:bCs/>
      <w:caps w:val="0"/>
      <w:noProof/>
      <w:snapToGrid w:val="0"/>
      <w:color w:val="3366FF"/>
      <w:sz w:val="32"/>
      <w:szCs w:val="32"/>
      <w:lang w:val="en-US" w:eastAsia="zh-CN"/>
    </w:rPr>
  </w:style>
  <w:style w:type="paragraph" w:customStyle="1" w:styleId="HO2">
    <w:name w:val="HO2"/>
    <w:basedOn w:val="HO1"/>
    <w:link w:val="HO2Car"/>
    <w:rsid w:val="00544FDE"/>
    <w:pPr>
      <w:spacing w:before="0" w:after="480"/>
    </w:pPr>
    <w:rPr>
      <w:caps/>
    </w:rPr>
  </w:style>
  <w:style w:type="character" w:customStyle="1" w:styleId="HO2Car">
    <w:name w:val="HO2 Car"/>
    <w:basedOn w:val="HO1Car"/>
    <w:link w:val="HO2"/>
    <w:rsid w:val="00544FDE"/>
    <w:rPr>
      <w:rFonts w:ascii="Arial" w:eastAsia="Times New Roman" w:hAnsi="Arial" w:cs="Arial"/>
      <w:b/>
      <w:bCs/>
      <w:caps/>
      <w:noProof/>
      <w:snapToGrid w:val="0"/>
      <w:color w:val="3366FF"/>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028222">
      <w:bodyDiv w:val="1"/>
      <w:marLeft w:val="0"/>
      <w:marRight w:val="0"/>
      <w:marTop w:val="0"/>
      <w:marBottom w:val="0"/>
      <w:divBdr>
        <w:top w:val="none" w:sz="0" w:space="0" w:color="auto"/>
        <w:left w:val="none" w:sz="0" w:space="0" w:color="auto"/>
        <w:bottom w:val="none" w:sz="0" w:space="0" w:color="auto"/>
        <w:right w:val="none" w:sz="0" w:space="0" w:color="auto"/>
      </w:divBdr>
      <w:divsChild>
        <w:div w:id="130365583">
          <w:marLeft w:val="0"/>
          <w:marRight w:val="0"/>
          <w:marTop w:val="0"/>
          <w:marBottom w:val="0"/>
          <w:divBdr>
            <w:top w:val="none" w:sz="0" w:space="0" w:color="auto"/>
            <w:left w:val="none" w:sz="0" w:space="0" w:color="auto"/>
            <w:bottom w:val="none" w:sz="0" w:space="0" w:color="auto"/>
            <w:right w:val="none" w:sz="0" w:space="0" w:color="auto"/>
          </w:divBdr>
          <w:divsChild>
            <w:div w:id="1641954552">
              <w:marLeft w:val="0"/>
              <w:marRight w:val="0"/>
              <w:marTop w:val="0"/>
              <w:marBottom w:val="0"/>
              <w:divBdr>
                <w:top w:val="none" w:sz="0" w:space="0" w:color="auto"/>
                <w:left w:val="none" w:sz="0" w:space="0" w:color="auto"/>
                <w:bottom w:val="none" w:sz="0" w:space="0" w:color="auto"/>
                <w:right w:val="none" w:sz="0" w:space="0" w:color="auto"/>
              </w:divBdr>
              <w:divsChild>
                <w:div w:id="343635001">
                  <w:marLeft w:val="0"/>
                  <w:marRight w:val="0"/>
                  <w:marTop w:val="0"/>
                  <w:marBottom w:val="0"/>
                  <w:divBdr>
                    <w:top w:val="none" w:sz="0" w:space="0" w:color="auto"/>
                    <w:left w:val="none" w:sz="0" w:space="0" w:color="auto"/>
                    <w:bottom w:val="none" w:sz="0" w:space="0" w:color="auto"/>
                    <w:right w:val="none" w:sz="0" w:space="0" w:color="auto"/>
                  </w:divBdr>
                  <w:divsChild>
                    <w:div w:id="1315111039">
                      <w:marLeft w:val="0"/>
                      <w:marRight w:val="0"/>
                      <w:marTop w:val="0"/>
                      <w:marBottom w:val="0"/>
                      <w:divBdr>
                        <w:top w:val="none" w:sz="0" w:space="0" w:color="auto"/>
                        <w:left w:val="none" w:sz="0" w:space="0" w:color="auto"/>
                        <w:bottom w:val="none" w:sz="0" w:space="0" w:color="auto"/>
                        <w:right w:val="none" w:sz="0" w:space="0" w:color="auto"/>
                      </w:divBdr>
                      <w:divsChild>
                        <w:div w:id="470172225">
                          <w:marLeft w:val="0"/>
                          <w:marRight w:val="0"/>
                          <w:marTop w:val="0"/>
                          <w:marBottom w:val="0"/>
                          <w:divBdr>
                            <w:top w:val="none" w:sz="0" w:space="0" w:color="auto"/>
                            <w:left w:val="none" w:sz="0" w:space="0" w:color="auto"/>
                            <w:bottom w:val="none" w:sz="0" w:space="0" w:color="auto"/>
                            <w:right w:val="none" w:sz="0" w:space="0" w:color="auto"/>
                          </w:divBdr>
                          <w:divsChild>
                            <w:div w:id="1448696002">
                              <w:marLeft w:val="0"/>
                              <w:marRight w:val="0"/>
                              <w:marTop w:val="0"/>
                              <w:marBottom w:val="0"/>
                              <w:divBdr>
                                <w:top w:val="none" w:sz="0" w:space="0" w:color="auto"/>
                                <w:left w:val="none" w:sz="0" w:space="0" w:color="auto"/>
                                <w:bottom w:val="none" w:sz="0" w:space="0" w:color="auto"/>
                                <w:right w:val="none" w:sz="0" w:space="0" w:color="auto"/>
                              </w:divBdr>
                              <w:divsChild>
                                <w:div w:id="192114681">
                                  <w:marLeft w:val="0"/>
                                  <w:marRight w:val="0"/>
                                  <w:marTop w:val="0"/>
                                  <w:marBottom w:val="0"/>
                                  <w:divBdr>
                                    <w:top w:val="none" w:sz="0" w:space="0" w:color="auto"/>
                                    <w:left w:val="none" w:sz="0" w:space="0" w:color="auto"/>
                                    <w:bottom w:val="none" w:sz="0" w:space="0" w:color="auto"/>
                                    <w:right w:val="none" w:sz="0" w:space="0" w:color="auto"/>
                                  </w:divBdr>
                                  <w:divsChild>
                                    <w:div w:id="660545855">
                                      <w:marLeft w:val="0"/>
                                      <w:marRight w:val="0"/>
                                      <w:marTop w:val="0"/>
                                      <w:marBottom w:val="0"/>
                                      <w:divBdr>
                                        <w:top w:val="single" w:sz="4" w:space="0" w:color="F5F5F5"/>
                                        <w:left w:val="single" w:sz="4" w:space="0" w:color="F5F5F5"/>
                                        <w:bottom w:val="single" w:sz="4" w:space="0" w:color="F5F5F5"/>
                                        <w:right w:val="single" w:sz="4" w:space="0" w:color="F5F5F5"/>
                                      </w:divBdr>
                                      <w:divsChild>
                                        <w:div w:id="484513538">
                                          <w:marLeft w:val="0"/>
                                          <w:marRight w:val="0"/>
                                          <w:marTop w:val="0"/>
                                          <w:marBottom w:val="0"/>
                                          <w:divBdr>
                                            <w:top w:val="none" w:sz="0" w:space="0" w:color="auto"/>
                                            <w:left w:val="none" w:sz="0" w:space="0" w:color="auto"/>
                                            <w:bottom w:val="none" w:sz="0" w:space="0" w:color="auto"/>
                                            <w:right w:val="none" w:sz="0" w:space="0" w:color="auto"/>
                                          </w:divBdr>
                                          <w:divsChild>
                                            <w:div w:id="13899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9556791">
      <w:bodyDiv w:val="1"/>
      <w:marLeft w:val="0"/>
      <w:marRight w:val="0"/>
      <w:marTop w:val="0"/>
      <w:marBottom w:val="0"/>
      <w:divBdr>
        <w:top w:val="none" w:sz="0" w:space="0" w:color="auto"/>
        <w:left w:val="none" w:sz="0" w:space="0" w:color="auto"/>
        <w:bottom w:val="none" w:sz="0" w:space="0" w:color="auto"/>
        <w:right w:val="none" w:sz="0" w:space="0" w:color="auto"/>
      </w:divBdr>
      <w:divsChild>
        <w:div w:id="2072729699">
          <w:marLeft w:val="0"/>
          <w:marRight w:val="0"/>
          <w:marTop w:val="0"/>
          <w:marBottom w:val="0"/>
          <w:divBdr>
            <w:top w:val="none" w:sz="0" w:space="0" w:color="auto"/>
            <w:left w:val="none" w:sz="0" w:space="0" w:color="auto"/>
            <w:bottom w:val="none" w:sz="0" w:space="0" w:color="auto"/>
            <w:right w:val="none" w:sz="0" w:space="0" w:color="auto"/>
          </w:divBdr>
          <w:divsChild>
            <w:div w:id="3597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2.xml"/><Relationship Id="rId152" Type="http://schemas.microsoft.com/office/2011/relationships/people" Target="people.xml"/><Relationship Id="rId10" Type="http://schemas.openxmlformats.org/officeDocument/2006/relationships/image" Target="media/image2.jpg"/><Relationship Id="rId19" Type="http://schemas.openxmlformats.org/officeDocument/2006/relationships/theme" Target="theme/theme1.xml"/><Relationship Id="rId15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CF70F-2B2D-4C3B-8817-E10ADE375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3809</Words>
  <Characters>22041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25799</CharactersWithSpaces>
  <SharedDoc>false</SharedDoc>
  <HyperlinkBase/>
  <HLinks>
    <vt:vector size="156" baseType="variant">
      <vt:variant>
        <vt:i4>1507409</vt:i4>
      </vt:variant>
      <vt:variant>
        <vt:i4>78</vt:i4>
      </vt:variant>
      <vt:variant>
        <vt:i4>0</vt:i4>
      </vt:variant>
      <vt:variant>
        <vt:i4>5</vt:i4>
      </vt:variant>
      <vt:variant>
        <vt:lpwstr>http://www.nau.edu/~hcpo-p/research.html</vt:lpwstr>
      </vt:variant>
      <vt:variant>
        <vt:lpwstr/>
      </vt:variant>
      <vt:variant>
        <vt:i4>7274529</vt:i4>
      </vt:variant>
      <vt:variant>
        <vt:i4>75</vt:i4>
      </vt:variant>
      <vt:variant>
        <vt:i4>0</vt:i4>
      </vt:variant>
      <vt:variant>
        <vt:i4>5</vt:i4>
      </vt:variant>
      <vt:variant>
        <vt:lpwstr>http://www.accu.or.jp/ich/en/community/sanbaso.html</vt:lpwstr>
      </vt:variant>
      <vt:variant>
        <vt:lpwstr/>
      </vt:variant>
      <vt:variant>
        <vt:i4>1114216</vt:i4>
      </vt:variant>
      <vt:variant>
        <vt:i4>72</vt:i4>
      </vt:variant>
      <vt:variant>
        <vt:i4>0</vt:i4>
      </vt:variant>
      <vt:variant>
        <vt:i4>5</vt:i4>
      </vt:variant>
      <vt:variant>
        <vt:lpwstr>http://www.cedla.uva.nl/50_publications/pdf/revista/82RevistaEuropea/82-Ypeij&amp;Zorn-ISSN-0924-0608.pdf</vt:lpwstr>
      </vt:variant>
      <vt:variant>
        <vt:lpwstr/>
      </vt:variant>
      <vt:variant>
        <vt:i4>3342435</vt:i4>
      </vt:variant>
      <vt:variant>
        <vt:i4>69</vt:i4>
      </vt:variant>
      <vt:variant>
        <vt:i4>0</vt:i4>
      </vt:variant>
      <vt:variant>
        <vt:i4>5</vt:i4>
      </vt:variant>
      <vt:variant>
        <vt:lpwstr>http://www.unesco.org/uil/litbase/?menu=4&amp;programme=25</vt:lpwstr>
      </vt:variant>
      <vt:variant>
        <vt:lpwstr/>
      </vt:variant>
      <vt:variant>
        <vt:i4>393307</vt:i4>
      </vt:variant>
      <vt:variant>
        <vt:i4>66</vt:i4>
      </vt:variant>
      <vt:variant>
        <vt:i4>0</vt:i4>
      </vt:variant>
      <vt:variant>
        <vt:i4>5</vt:i4>
      </vt:variant>
      <vt:variant>
        <vt:lpwstr>http://www.unesco.org/culture/ich/index.php?USL=00313</vt:lpwstr>
      </vt:variant>
      <vt:variant>
        <vt:lpwstr/>
      </vt:variant>
      <vt:variant>
        <vt:i4>393307</vt:i4>
      </vt:variant>
      <vt:variant>
        <vt:i4>63</vt:i4>
      </vt:variant>
      <vt:variant>
        <vt:i4>0</vt:i4>
      </vt:variant>
      <vt:variant>
        <vt:i4>5</vt:i4>
      </vt:variant>
      <vt:variant>
        <vt:lpwstr>http://www.unesco.org/culture/ich/index.php?USL=00315</vt:lpwstr>
      </vt:variant>
      <vt:variant>
        <vt:lpwstr/>
      </vt:variant>
      <vt:variant>
        <vt:i4>1900554</vt:i4>
      </vt:variant>
      <vt:variant>
        <vt:i4>60</vt:i4>
      </vt:variant>
      <vt:variant>
        <vt:i4>0</vt:i4>
      </vt:variant>
      <vt:variant>
        <vt:i4>5</vt:i4>
      </vt:variant>
      <vt:variant>
        <vt:lpwstr>http://www.unesco.org/culture/ich/index.php?pg=00261</vt:lpwstr>
      </vt:variant>
      <vt:variant>
        <vt:lpwstr/>
      </vt:variant>
      <vt:variant>
        <vt:i4>1572956</vt:i4>
      </vt:variant>
      <vt:variant>
        <vt:i4>57</vt:i4>
      </vt:variant>
      <vt:variant>
        <vt:i4>0</vt:i4>
      </vt:variant>
      <vt:variant>
        <vt:i4>5</vt:i4>
      </vt:variant>
      <vt:variant>
        <vt:lpwstr>http://www.iphan.gov.br/</vt:lpwstr>
      </vt:variant>
      <vt:variant>
        <vt:lpwstr/>
      </vt:variant>
      <vt:variant>
        <vt:i4>1572956</vt:i4>
      </vt:variant>
      <vt:variant>
        <vt:i4>54</vt:i4>
      </vt:variant>
      <vt:variant>
        <vt:i4>0</vt:i4>
      </vt:variant>
      <vt:variant>
        <vt:i4>5</vt:i4>
      </vt:variant>
      <vt:variant>
        <vt:lpwstr>http://www.iphan.gov.br/</vt:lpwstr>
      </vt:variant>
      <vt:variant>
        <vt:lpwstr/>
      </vt:variant>
      <vt:variant>
        <vt:i4>1114189</vt:i4>
      </vt:variant>
      <vt:variant>
        <vt:i4>51</vt:i4>
      </vt:variant>
      <vt:variant>
        <vt:i4>0</vt:i4>
      </vt:variant>
      <vt:variant>
        <vt:i4>5</vt:i4>
      </vt:variant>
      <vt:variant>
        <vt:lpwstr>http://www.heritagefoundation.ca/ich.aspx</vt:lpwstr>
      </vt:variant>
      <vt:variant>
        <vt:lpwstr/>
      </vt:variant>
      <vt:variant>
        <vt:i4>1245187</vt:i4>
      </vt:variant>
      <vt:variant>
        <vt:i4>48</vt:i4>
      </vt:variant>
      <vt:variant>
        <vt:i4>0</vt:i4>
      </vt:variant>
      <vt:variant>
        <vt:i4>5</vt:i4>
      </vt:variant>
      <vt:variant>
        <vt:lpwstr>http://www.indiosonline.org.br/novo/</vt:lpwstr>
      </vt:variant>
      <vt:variant>
        <vt:lpwstr/>
      </vt:variant>
      <vt:variant>
        <vt:i4>3211372</vt:i4>
      </vt:variant>
      <vt:variant>
        <vt:i4>45</vt:i4>
      </vt:variant>
      <vt:variant>
        <vt:i4>0</vt:i4>
      </vt:variant>
      <vt:variant>
        <vt:i4>5</vt:i4>
      </vt:variant>
      <vt:variant>
        <vt:lpwstr>http://www.indiasurabhi.com/indianheritage.html</vt:lpwstr>
      </vt:variant>
      <vt:variant>
        <vt:lpwstr/>
      </vt:variant>
      <vt:variant>
        <vt:i4>4915309</vt:i4>
      </vt:variant>
      <vt:variant>
        <vt:i4>42</vt:i4>
      </vt:variant>
      <vt:variant>
        <vt:i4>0</vt:i4>
      </vt:variant>
      <vt:variant>
        <vt:i4>5</vt:i4>
      </vt:variant>
      <vt:variant>
        <vt:lpwstr>http://www.accu.or.jp/ich/en/training/curriculum/second/curriculum_7.html</vt:lpwstr>
      </vt:variant>
      <vt:variant>
        <vt:lpwstr/>
      </vt:variant>
      <vt:variant>
        <vt:i4>2818174</vt:i4>
      </vt:variant>
      <vt:variant>
        <vt:i4>39</vt:i4>
      </vt:variant>
      <vt:variant>
        <vt:i4>0</vt:i4>
      </vt:variant>
      <vt:variant>
        <vt:i4>5</vt:i4>
      </vt:variant>
      <vt:variant>
        <vt:lpwstr>http://www/</vt:lpwstr>
      </vt:variant>
      <vt:variant>
        <vt:lpwstr/>
      </vt:variant>
      <vt:variant>
        <vt:i4>7340093</vt:i4>
      </vt:variant>
      <vt:variant>
        <vt:i4>33</vt:i4>
      </vt:variant>
      <vt:variant>
        <vt:i4>0</vt:i4>
      </vt:variant>
      <vt:variant>
        <vt:i4>5</vt:i4>
      </vt:variant>
      <vt:variant>
        <vt:lpwstr>http://www.unesco.org/culture/ich/doc/src/00031-EN.pdf</vt:lpwstr>
      </vt:variant>
      <vt:variant>
        <vt:lpwstr/>
      </vt:variant>
      <vt:variant>
        <vt:i4>3342387</vt:i4>
      </vt:variant>
      <vt:variant>
        <vt:i4>30</vt:i4>
      </vt:variant>
      <vt:variant>
        <vt:i4>0</vt:i4>
      </vt:variant>
      <vt:variant>
        <vt:i4>5</vt:i4>
      </vt:variant>
      <vt:variant>
        <vt:lpwstr>http://www.unesco.org/culture/ich/index.php?lg=en&amp;pg=00009</vt:lpwstr>
      </vt:variant>
      <vt:variant>
        <vt:lpwstr/>
      </vt:variant>
      <vt:variant>
        <vt:i4>6553663</vt:i4>
      </vt:variant>
      <vt:variant>
        <vt:i4>27</vt:i4>
      </vt:variant>
      <vt:variant>
        <vt:i4>0</vt:i4>
      </vt:variant>
      <vt:variant>
        <vt:i4>5</vt:i4>
      </vt:variant>
      <vt:variant>
        <vt:lpwstr>http://www.wipo.int/freepublications/en/tk/913/wipo_pub_913.pdf</vt:lpwstr>
      </vt:variant>
      <vt:variant>
        <vt:lpwstr/>
      </vt:variant>
      <vt:variant>
        <vt:i4>5242883</vt:i4>
      </vt:variant>
      <vt:variant>
        <vt:i4>24</vt:i4>
      </vt:variant>
      <vt:variant>
        <vt:i4>0</vt:i4>
      </vt:variant>
      <vt:variant>
        <vt:i4>5</vt:i4>
      </vt:variant>
      <vt:variant>
        <vt:lpwstr>http://whc.unesco.org/en/list/stat</vt:lpwstr>
      </vt:variant>
      <vt:variant>
        <vt:lpwstr>s1</vt:lpwstr>
      </vt:variant>
      <vt:variant>
        <vt:i4>5898310</vt:i4>
      </vt:variant>
      <vt:variant>
        <vt:i4>21</vt:i4>
      </vt:variant>
      <vt:variant>
        <vt:i4>0</vt:i4>
      </vt:variant>
      <vt:variant>
        <vt:i4>5</vt:i4>
      </vt:variant>
      <vt:variant>
        <vt:lpwstr>http://www.unesco.org/culture/ich/index.php?lg=en&amp;pg=00011</vt:lpwstr>
      </vt:variant>
      <vt:variant>
        <vt:lpwstr>tab</vt:lpwstr>
      </vt:variant>
      <vt:variant>
        <vt:i4>7405677</vt:i4>
      </vt:variant>
      <vt:variant>
        <vt:i4>18</vt:i4>
      </vt:variant>
      <vt:variant>
        <vt:i4>0</vt:i4>
      </vt:variant>
      <vt:variant>
        <vt:i4>5</vt:i4>
      </vt:variant>
      <vt:variant>
        <vt:lpwstr>http://whc.unesco.org/archive/websites/venice2002/edito.htm</vt:lpwstr>
      </vt:variant>
      <vt:variant>
        <vt:lpwstr/>
      </vt:variant>
      <vt:variant>
        <vt:i4>3276924</vt:i4>
      </vt:variant>
      <vt:variant>
        <vt:i4>15</vt:i4>
      </vt:variant>
      <vt:variant>
        <vt:i4>0</vt:i4>
      </vt:variant>
      <vt:variant>
        <vt:i4>5</vt:i4>
      </vt:variant>
      <vt:variant>
        <vt:lpwstr>http://www.unesco.org/culture/ich/en/forms/</vt:lpwstr>
      </vt:variant>
      <vt:variant>
        <vt:lpwstr/>
      </vt:variant>
      <vt:variant>
        <vt:i4>3276924</vt:i4>
      </vt:variant>
      <vt:variant>
        <vt:i4>12</vt:i4>
      </vt:variant>
      <vt:variant>
        <vt:i4>0</vt:i4>
      </vt:variant>
      <vt:variant>
        <vt:i4>5</vt:i4>
      </vt:variant>
      <vt:variant>
        <vt:lpwstr>http://www.unesco.org/culture/ich/en/forms/</vt:lpwstr>
      </vt:variant>
      <vt:variant>
        <vt:lpwstr/>
      </vt:variant>
      <vt:variant>
        <vt:i4>3866674</vt:i4>
      </vt:variant>
      <vt:variant>
        <vt:i4>9</vt:i4>
      </vt:variant>
      <vt:variant>
        <vt:i4>0</vt:i4>
      </vt:variant>
      <vt:variant>
        <vt:i4>5</vt:i4>
      </vt:variant>
      <vt:variant>
        <vt:lpwstr>http://www.unesco.org/culture/ich/index.php?lg=en&amp;pg=00011</vt:lpwstr>
      </vt:variant>
      <vt:variant>
        <vt:lpwstr/>
      </vt:variant>
      <vt:variant>
        <vt:i4>3670064</vt:i4>
      </vt:variant>
      <vt:variant>
        <vt:i4>6</vt:i4>
      </vt:variant>
      <vt:variant>
        <vt:i4>0</vt:i4>
      </vt:variant>
      <vt:variant>
        <vt:i4>5</vt:i4>
      </vt:variant>
      <vt:variant>
        <vt:lpwstr>http://www.unesco.org/culture/ich/index.php?lg=en&amp;pg=00331</vt:lpwstr>
      </vt:variant>
      <vt:variant>
        <vt:lpwstr/>
      </vt:variant>
      <vt:variant>
        <vt:i4>1179667</vt:i4>
      </vt:variant>
      <vt:variant>
        <vt:i4>3</vt:i4>
      </vt:variant>
      <vt:variant>
        <vt:i4>0</vt:i4>
      </vt:variant>
      <vt:variant>
        <vt:i4>5</vt:i4>
      </vt:variant>
      <vt:variant>
        <vt:lpwstr>http://www.accu.or.jp/ich/en/</vt:lpwstr>
      </vt:variant>
      <vt:variant>
        <vt:lpwstr/>
      </vt:variant>
      <vt:variant>
        <vt:i4>2818090</vt:i4>
      </vt:variant>
      <vt:variant>
        <vt:i4>0</vt:i4>
      </vt:variant>
      <vt:variant>
        <vt:i4>0</vt:i4>
      </vt:variant>
      <vt:variant>
        <vt:i4>5</vt:i4>
      </vt:variant>
      <vt:variant>
        <vt:lpwstr>http://www.unesco.org/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2014-07-23T13:08:00Z</dcterms:created>
  <dcterms:modified xsi:type="dcterms:W3CDTF">2015-10-28T12:23:00Z</dcterms:modified>
</cp:coreProperties>
</file>