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CA4" w:rsidRPr="00DA1C48" w:rsidRDefault="00C4640B" w:rsidP="004936EF">
      <w:pPr>
        <w:pStyle w:val="Chapitre"/>
        <w:rPr>
          <w:kern w:val="0"/>
          <w:lang w:val="es-ES"/>
        </w:rPr>
      </w:pPr>
      <w:bookmarkStart w:id="0" w:name="_Toc241644729"/>
      <w:bookmarkStart w:id="1" w:name="_Toc302374692"/>
      <w:r w:rsidRPr="00DA1C48">
        <w:rPr>
          <w:kern w:val="0"/>
          <w:lang w:val="es-ES"/>
        </w:rPr>
        <w:t>Uni</w:t>
      </w:r>
      <w:r w:rsidR="00C475F6" w:rsidRPr="00DA1C48">
        <w:rPr>
          <w:kern w:val="0"/>
          <w:lang w:val="es-ES"/>
        </w:rPr>
        <w:t>dad</w:t>
      </w:r>
      <w:r w:rsidRPr="00DA1C48">
        <w:rPr>
          <w:kern w:val="0"/>
          <w:lang w:val="es-ES"/>
        </w:rPr>
        <w:t xml:space="preserve"> </w:t>
      </w:r>
      <w:r w:rsidR="008C4DF2" w:rsidRPr="00DA1C48">
        <w:rPr>
          <w:kern w:val="0"/>
          <w:lang w:val="es-ES"/>
        </w:rPr>
        <w:t>10</w:t>
      </w:r>
      <w:bookmarkEnd w:id="0"/>
      <w:r w:rsidR="000241E4" w:rsidRPr="00DA1C48">
        <w:rPr>
          <w:b w:val="0"/>
          <w:caps w:val="0"/>
          <w:sz w:val="20"/>
          <w:szCs w:val="20"/>
          <w:lang w:eastAsia="en-GB"/>
        </w:rPr>
        <w:drawing>
          <wp:anchor distT="0" distB="0" distL="114300" distR="114300" simplePos="0" relativeHeight="251675648" behindDoc="1" locked="1" layoutInCell="1" allowOverlap="0">
            <wp:simplePos x="0" y="0"/>
            <wp:positionH relativeFrom="margin">
              <wp:posOffset>431800</wp:posOffset>
            </wp:positionH>
            <wp:positionV relativeFrom="margin">
              <wp:posOffset>1980565</wp:posOffset>
            </wp:positionV>
            <wp:extent cx="4870411" cy="4498145"/>
            <wp:effectExtent l="0" t="0" r="6985" b="0"/>
            <wp:wrapNone/>
            <wp:docPr id="385" name="Imag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p>
    <w:p w:rsidR="000241E4" w:rsidRPr="00DA1C48" w:rsidRDefault="000241E4" w:rsidP="004936EF">
      <w:pPr>
        <w:pStyle w:val="UPlan"/>
        <w:rPr>
          <w:sz w:val="44"/>
          <w:szCs w:val="44"/>
          <w:lang w:val="es-ES"/>
        </w:rPr>
      </w:pPr>
      <w:bookmarkStart w:id="2" w:name="_Toc241644730"/>
      <w:r w:rsidRPr="00DA1C48">
        <w:rPr>
          <w:sz w:val="44"/>
          <w:szCs w:val="44"/>
          <w:lang w:val="es-ES"/>
        </w:rPr>
        <w:t>plan</w:t>
      </w:r>
      <w:r w:rsidR="00C475F6" w:rsidRPr="00DA1C48">
        <w:rPr>
          <w:sz w:val="44"/>
          <w:szCs w:val="44"/>
          <w:lang w:val="es-ES"/>
        </w:rPr>
        <w:t xml:space="preserve"> de la lección</w:t>
      </w:r>
    </w:p>
    <w:p w:rsidR="008C4DF2" w:rsidRPr="00DA1C48" w:rsidRDefault="008C4DF2" w:rsidP="000241E4">
      <w:pPr>
        <w:pStyle w:val="Titcoul"/>
        <w:rPr>
          <w:kern w:val="0"/>
          <w:szCs w:val="70"/>
          <w:lang w:val="es-ES"/>
        </w:rPr>
      </w:pPr>
      <w:r w:rsidRPr="00DA1C48">
        <w:rPr>
          <w:kern w:val="0"/>
          <w:szCs w:val="70"/>
          <w:lang w:val="es-ES"/>
        </w:rPr>
        <w:t>pol</w:t>
      </w:r>
      <w:r w:rsidR="00C475F6" w:rsidRPr="00DA1C48">
        <w:rPr>
          <w:kern w:val="0"/>
          <w:szCs w:val="70"/>
          <w:lang w:val="es-ES"/>
        </w:rPr>
        <w:t>ÍTICAS</w:t>
      </w:r>
      <w:r w:rsidRPr="00DA1C48">
        <w:rPr>
          <w:kern w:val="0"/>
          <w:szCs w:val="70"/>
          <w:lang w:val="es-ES"/>
        </w:rPr>
        <w:t xml:space="preserve"> </w:t>
      </w:r>
      <w:r w:rsidR="00C475F6" w:rsidRPr="00DA1C48">
        <w:rPr>
          <w:kern w:val="0"/>
          <w:szCs w:val="70"/>
          <w:lang w:val="es-ES"/>
        </w:rPr>
        <w:t>E</w:t>
      </w:r>
      <w:r w:rsidRPr="00DA1C48">
        <w:rPr>
          <w:kern w:val="0"/>
          <w:szCs w:val="70"/>
          <w:lang w:val="es-ES"/>
        </w:rPr>
        <w:t xml:space="preserve"> </w:t>
      </w:r>
      <w:bookmarkEnd w:id="1"/>
      <w:r w:rsidR="00BB4B0A" w:rsidRPr="00DA1C48">
        <w:rPr>
          <w:kern w:val="0"/>
          <w:szCs w:val="70"/>
          <w:lang w:val="es-ES"/>
        </w:rPr>
        <w:t>institu</w:t>
      </w:r>
      <w:r w:rsidR="00C475F6" w:rsidRPr="00DA1C48">
        <w:rPr>
          <w:kern w:val="0"/>
          <w:szCs w:val="70"/>
          <w:lang w:val="es-ES"/>
        </w:rPr>
        <w:t>CIONES</w:t>
      </w:r>
      <w:bookmarkEnd w:id="2"/>
      <w:r w:rsidR="00C475F6" w:rsidRPr="00DA1C48">
        <w:rPr>
          <w:kern w:val="0"/>
          <w:szCs w:val="70"/>
          <w:lang w:val="es-ES"/>
        </w:rPr>
        <w:t xml:space="preserve"> </w:t>
      </w:r>
      <w:r w:rsidR="00FD69DC" w:rsidRPr="00DA1C48">
        <w:rPr>
          <w:kern w:val="0"/>
          <w:szCs w:val="70"/>
          <w:lang w:val="es-ES"/>
        </w:rPr>
        <w:t xml:space="preserve">RELACIONADAS CON </w:t>
      </w:r>
      <w:r w:rsidR="00C475F6" w:rsidRPr="00DA1C48">
        <w:rPr>
          <w:kern w:val="0"/>
          <w:szCs w:val="70"/>
          <w:lang w:val="es-ES"/>
        </w:rPr>
        <w:t>EL PCI</w:t>
      </w:r>
      <w:r w:rsidR="00C475F6" w:rsidRPr="00DA1C48">
        <w:rPr>
          <w:rStyle w:val="FootnoteReference"/>
          <w:kern w:val="0"/>
          <w:szCs w:val="70"/>
          <w:lang w:val="es-ES"/>
        </w:rPr>
        <w:footnoteReference w:id="1"/>
      </w:r>
    </w:p>
    <w:p w:rsidR="000D3CA4" w:rsidRPr="00DA1C48" w:rsidRDefault="000D3CA4" w:rsidP="004936EF">
      <w:pPr>
        <w:pStyle w:val="UTit4"/>
        <w:rPr>
          <w:lang w:val="es-ES"/>
        </w:rPr>
      </w:pPr>
      <w:r w:rsidRPr="00DA1C48">
        <w:rPr>
          <w:lang w:val="es-ES"/>
        </w:rPr>
        <w:t>Dura</w:t>
      </w:r>
      <w:r w:rsidR="00C475F6" w:rsidRPr="00DA1C48">
        <w:rPr>
          <w:lang w:val="es-ES"/>
        </w:rPr>
        <w:t>CIÓN</w:t>
      </w:r>
      <w:r w:rsidRPr="00DA1C48">
        <w:rPr>
          <w:lang w:val="es-ES"/>
        </w:rPr>
        <w:t xml:space="preserve">: </w:t>
      </w:r>
    </w:p>
    <w:p w:rsidR="000D3CA4" w:rsidRPr="00DA1C48" w:rsidRDefault="000D3CA4" w:rsidP="000241E4">
      <w:pPr>
        <w:pStyle w:val="UTxt"/>
        <w:rPr>
          <w:lang w:val="es-ES" w:eastAsia="en-US"/>
        </w:rPr>
      </w:pPr>
      <w:r w:rsidRPr="00DA1C48">
        <w:rPr>
          <w:lang w:val="es-ES" w:eastAsia="en-US"/>
        </w:rPr>
        <w:t>2 ho</w:t>
      </w:r>
      <w:r w:rsidR="00C475F6" w:rsidRPr="00DA1C48">
        <w:rPr>
          <w:lang w:val="es-ES" w:eastAsia="en-US"/>
        </w:rPr>
        <w:t>ra</w:t>
      </w:r>
      <w:r w:rsidRPr="00DA1C48">
        <w:rPr>
          <w:lang w:val="es-ES" w:eastAsia="en-US"/>
        </w:rPr>
        <w:t>s</w:t>
      </w:r>
    </w:p>
    <w:p w:rsidR="000D3CA4" w:rsidRPr="00DA1C48" w:rsidRDefault="00C475F6" w:rsidP="004936EF">
      <w:pPr>
        <w:pStyle w:val="UTit4"/>
        <w:rPr>
          <w:lang w:val="es-ES"/>
        </w:rPr>
      </w:pPr>
      <w:r w:rsidRPr="00DA1C48">
        <w:rPr>
          <w:lang w:val="es-ES"/>
        </w:rPr>
        <w:t>Obje</w:t>
      </w:r>
      <w:r w:rsidR="000D3CA4" w:rsidRPr="00DA1C48">
        <w:rPr>
          <w:lang w:val="es-ES"/>
        </w:rPr>
        <w:t>tiv</w:t>
      </w:r>
      <w:r w:rsidRPr="00DA1C48">
        <w:rPr>
          <w:lang w:val="es-ES"/>
        </w:rPr>
        <w:t>o</w:t>
      </w:r>
      <w:r w:rsidR="000D3CA4" w:rsidRPr="00DA1C48">
        <w:rPr>
          <w:lang w:val="es-ES"/>
        </w:rPr>
        <w:t xml:space="preserve">(s): </w:t>
      </w:r>
    </w:p>
    <w:p w:rsidR="000D3CA4" w:rsidRPr="00007A41" w:rsidRDefault="00A35EE5" w:rsidP="00D87144">
      <w:pPr>
        <w:pStyle w:val="UTxt"/>
        <w:rPr>
          <w:i w:val="0"/>
          <w:lang w:val="es-ES"/>
        </w:rPr>
      </w:pPr>
      <w:r w:rsidRPr="00007A41">
        <w:rPr>
          <w:i w:val="0"/>
          <w:lang w:val="es-ES" w:eastAsia="en-US"/>
        </w:rPr>
        <w:t>Comprender las recomendaciones formuladas a los</w:t>
      </w:r>
      <w:r w:rsidR="000D3CA4" w:rsidRPr="00007A41">
        <w:rPr>
          <w:i w:val="0"/>
          <w:lang w:val="es-ES" w:eastAsia="en-US"/>
        </w:rPr>
        <w:t xml:space="preserve"> </w:t>
      </w:r>
      <w:r w:rsidR="0012502B" w:rsidRPr="00007A41">
        <w:rPr>
          <w:i w:val="0"/>
          <w:lang w:val="es-ES" w:eastAsia="en-US"/>
        </w:rPr>
        <w:t>Estados Partes</w:t>
      </w:r>
      <w:r w:rsidR="000D3CA4" w:rsidRPr="00007A41">
        <w:rPr>
          <w:i w:val="0"/>
          <w:lang w:val="es-ES" w:eastAsia="en-US"/>
        </w:rPr>
        <w:t xml:space="preserve"> </w:t>
      </w:r>
      <w:r w:rsidRPr="00007A41">
        <w:rPr>
          <w:i w:val="0"/>
          <w:lang w:val="es-ES" w:eastAsia="en-US"/>
        </w:rPr>
        <w:t>en la</w:t>
      </w:r>
      <w:r w:rsidR="000D3CA4" w:rsidRPr="00007A41">
        <w:rPr>
          <w:i w:val="0"/>
          <w:lang w:val="es-ES" w:eastAsia="en-US"/>
        </w:rPr>
        <w:t xml:space="preserve"> </w:t>
      </w:r>
      <w:r w:rsidRPr="00007A41">
        <w:rPr>
          <w:i w:val="0"/>
          <w:lang w:val="es-ES"/>
        </w:rPr>
        <w:t>Convención para la Salvaguardia del Patrimonio Cultural Inmaterial</w:t>
      </w:r>
      <w:r w:rsidRPr="00007A41">
        <w:rPr>
          <w:rStyle w:val="FootnoteReference"/>
          <w:i w:val="0"/>
          <w:lang w:val="es-ES" w:eastAsia="en-US"/>
        </w:rPr>
        <w:t xml:space="preserve"> </w:t>
      </w:r>
      <w:r w:rsidR="002162D4" w:rsidRPr="00007A41">
        <w:rPr>
          <w:rStyle w:val="FootnoteReference"/>
          <w:i w:val="0"/>
          <w:lang w:val="es-ES" w:eastAsia="en-US"/>
        </w:rPr>
        <w:footnoteReference w:id="2"/>
      </w:r>
      <w:r w:rsidR="00F848F4" w:rsidRPr="00007A41">
        <w:rPr>
          <w:i w:val="0"/>
          <w:lang w:val="es-ES" w:eastAsia="en-US"/>
        </w:rPr>
        <w:t xml:space="preserve"> </w:t>
      </w:r>
      <w:r w:rsidRPr="00007A41">
        <w:rPr>
          <w:i w:val="0"/>
          <w:lang w:val="es-ES" w:eastAsia="en-US"/>
        </w:rPr>
        <w:t>y en las</w:t>
      </w:r>
      <w:r w:rsidR="000D3CA4" w:rsidRPr="00007A41">
        <w:rPr>
          <w:i w:val="0"/>
          <w:lang w:val="es-ES" w:eastAsia="en-US"/>
        </w:rPr>
        <w:t xml:space="preserve"> </w:t>
      </w:r>
      <w:r w:rsidRPr="00007A41">
        <w:rPr>
          <w:i w:val="0"/>
          <w:lang w:val="es-ES"/>
        </w:rPr>
        <w:t>Directrices Operativas (DO)</w:t>
      </w:r>
      <w:r w:rsidR="000D3CA4" w:rsidRPr="00007A41">
        <w:rPr>
          <w:i w:val="0"/>
          <w:lang w:val="es-ES" w:eastAsia="en-US"/>
        </w:rPr>
        <w:t xml:space="preserve"> </w:t>
      </w:r>
      <w:r w:rsidRPr="00007A41">
        <w:rPr>
          <w:i w:val="0"/>
          <w:lang w:val="es-ES" w:eastAsia="en-US"/>
        </w:rPr>
        <w:t xml:space="preserve">con respecto a: </w:t>
      </w:r>
      <w:r w:rsidRPr="00007A41">
        <w:rPr>
          <w:i w:val="0"/>
          <w:lang w:val="es-ES"/>
        </w:rPr>
        <w:t>la adopción o consolidación de políticas y legislaciones</w:t>
      </w:r>
      <w:r w:rsidR="000D3CA4" w:rsidRPr="00007A41">
        <w:rPr>
          <w:i w:val="0"/>
          <w:lang w:val="es-ES"/>
        </w:rPr>
        <w:t>;</w:t>
      </w:r>
      <w:r w:rsidR="00720F3F" w:rsidRPr="00007A41">
        <w:rPr>
          <w:i w:val="0"/>
          <w:lang w:val="es-ES"/>
        </w:rPr>
        <w:t xml:space="preserve"> </w:t>
      </w:r>
      <w:r w:rsidRPr="00007A41">
        <w:rPr>
          <w:i w:val="0"/>
          <w:lang w:val="es-ES"/>
        </w:rPr>
        <w:t>el establecimiento o consolidación de marcos administrativos e instituciones para la salvaguardia del PCI</w:t>
      </w:r>
      <w:r w:rsidR="000D3CA4" w:rsidRPr="00007A41">
        <w:rPr>
          <w:i w:val="0"/>
          <w:lang w:val="es-ES"/>
        </w:rPr>
        <w:t xml:space="preserve">; </w:t>
      </w:r>
      <w:r w:rsidR="00902D8A" w:rsidRPr="00007A41">
        <w:rPr>
          <w:i w:val="0"/>
          <w:lang w:val="es-ES"/>
        </w:rPr>
        <w:t>y la creación o designación de varios tipos de redes y organizaciones en el plano institucional para encargarse de actividades como la confección de inventarios, la formación para la gestión y salvaguardia del PCI, y la realización de estudios académicos y trabajos de investigación.</w:t>
      </w:r>
    </w:p>
    <w:p w:rsidR="000D3CA4" w:rsidRPr="00DA1C48" w:rsidRDefault="000D3CA4" w:rsidP="004936EF">
      <w:pPr>
        <w:pStyle w:val="UTit4"/>
        <w:rPr>
          <w:lang w:val="es-ES"/>
        </w:rPr>
      </w:pPr>
      <w:r w:rsidRPr="00DA1C48">
        <w:rPr>
          <w:lang w:val="es-ES"/>
        </w:rPr>
        <w:t>Descrip</w:t>
      </w:r>
      <w:r w:rsidR="00C475F6" w:rsidRPr="00DA1C48">
        <w:rPr>
          <w:lang w:val="es-ES"/>
        </w:rPr>
        <w:t>ció</w:t>
      </w:r>
      <w:r w:rsidRPr="00DA1C48">
        <w:rPr>
          <w:lang w:val="es-ES"/>
        </w:rPr>
        <w:t xml:space="preserve">n: </w:t>
      </w:r>
    </w:p>
    <w:p w:rsidR="00A67C93" w:rsidRPr="00786BA9" w:rsidRDefault="00A04CE4" w:rsidP="00A67C93">
      <w:pPr>
        <w:pStyle w:val="UTxt"/>
        <w:rPr>
          <w:i w:val="0"/>
          <w:lang w:val="es-ES" w:eastAsia="en-US"/>
        </w:rPr>
      </w:pPr>
      <w:r w:rsidRPr="00786BA9">
        <w:rPr>
          <w:i w:val="0"/>
          <w:lang w:val="es-ES"/>
        </w:rPr>
        <w:t xml:space="preserve">En esta </w:t>
      </w:r>
      <w:r w:rsidR="006B47AC" w:rsidRPr="00786BA9">
        <w:rPr>
          <w:i w:val="0"/>
          <w:lang w:val="es-ES"/>
        </w:rPr>
        <w:t>unidad</w:t>
      </w:r>
      <w:r w:rsidRPr="00786BA9">
        <w:rPr>
          <w:i w:val="0"/>
          <w:lang w:val="es-ES"/>
        </w:rPr>
        <w:t xml:space="preserve"> se muestra cómo la Convención</w:t>
      </w:r>
      <w:r w:rsidR="00A35EE5" w:rsidRPr="00786BA9">
        <w:rPr>
          <w:i w:val="0"/>
          <w:lang w:val="es-ES"/>
        </w:rPr>
        <w:t xml:space="preserve"> </w:t>
      </w:r>
      <w:r w:rsidRPr="00786BA9">
        <w:rPr>
          <w:i w:val="0"/>
          <w:lang w:val="es-ES"/>
        </w:rPr>
        <w:t xml:space="preserve">y las DO indican que las medidas legislativas, técnicas y administrativas adoptadas a nivel local, nacional e internacional pueden facilitar la aplicación de la Convención en el plano nacional. Entre los temas abordados figuran los siguientes: recomendaciones de la </w:t>
      </w:r>
      <w:r w:rsidR="00A67C93" w:rsidRPr="00786BA9">
        <w:rPr>
          <w:i w:val="0"/>
          <w:lang w:val="es-ES" w:eastAsia="en-US"/>
        </w:rPr>
        <w:t>Conven</w:t>
      </w:r>
      <w:r w:rsidRPr="00786BA9">
        <w:rPr>
          <w:i w:val="0"/>
          <w:lang w:val="es-ES" w:eastAsia="en-US"/>
        </w:rPr>
        <w:t>ció</w:t>
      </w:r>
      <w:r w:rsidR="00A67C93" w:rsidRPr="00786BA9">
        <w:rPr>
          <w:i w:val="0"/>
          <w:lang w:val="es-ES" w:eastAsia="en-US"/>
        </w:rPr>
        <w:t>n</w:t>
      </w:r>
      <w:r w:rsidRPr="00786BA9">
        <w:rPr>
          <w:i w:val="0"/>
          <w:lang w:val="es-ES" w:eastAsia="en-US"/>
        </w:rPr>
        <w:t xml:space="preserve">; políticas y medidas a nivel local y nacional; marcos </w:t>
      </w:r>
      <w:r w:rsidR="00A67C93" w:rsidRPr="00786BA9">
        <w:rPr>
          <w:i w:val="0"/>
          <w:lang w:val="es-ES" w:eastAsia="en-US"/>
        </w:rPr>
        <w:t>i</w:t>
      </w:r>
      <w:r w:rsidRPr="00786BA9">
        <w:rPr>
          <w:i w:val="0"/>
          <w:lang w:val="es-ES" w:eastAsia="en-US"/>
        </w:rPr>
        <w:t>nstituc</w:t>
      </w:r>
      <w:r w:rsidR="00A67C93" w:rsidRPr="00786BA9">
        <w:rPr>
          <w:i w:val="0"/>
          <w:lang w:val="es-ES" w:eastAsia="en-US"/>
        </w:rPr>
        <w:t>ional</w:t>
      </w:r>
      <w:r w:rsidRPr="00786BA9">
        <w:rPr>
          <w:i w:val="0"/>
          <w:lang w:val="es-ES" w:eastAsia="en-US"/>
        </w:rPr>
        <w:t>e</w:t>
      </w:r>
      <w:r w:rsidR="00A67C93" w:rsidRPr="00786BA9">
        <w:rPr>
          <w:i w:val="0"/>
          <w:lang w:val="es-ES" w:eastAsia="en-US"/>
        </w:rPr>
        <w:t>s</w:t>
      </w:r>
      <w:r w:rsidRPr="00786BA9">
        <w:rPr>
          <w:i w:val="0"/>
          <w:lang w:val="es-ES" w:eastAsia="en-US"/>
        </w:rPr>
        <w:t>; y códigos de ética</w:t>
      </w:r>
      <w:r w:rsidR="00A67C93" w:rsidRPr="00786BA9">
        <w:rPr>
          <w:i w:val="0"/>
          <w:lang w:val="es-ES" w:eastAsia="en-US"/>
        </w:rPr>
        <w:t>.</w:t>
      </w:r>
    </w:p>
    <w:p w:rsidR="000D3CA4" w:rsidRPr="00DA1C48" w:rsidRDefault="00C475F6" w:rsidP="000241E4">
      <w:pPr>
        <w:pStyle w:val="UTxt"/>
        <w:rPr>
          <w:lang w:val="es-ES" w:eastAsia="en-US"/>
        </w:rPr>
      </w:pPr>
      <w:r w:rsidRPr="00DA1C48">
        <w:rPr>
          <w:lang w:val="es-ES" w:eastAsia="en-US"/>
        </w:rPr>
        <w:t>Secuenciación propuesta</w:t>
      </w:r>
      <w:r w:rsidR="00A67C93" w:rsidRPr="00DA1C48">
        <w:rPr>
          <w:lang w:val="es-ES" w:eastAsia="en-US"/>
        </w:rPr>
        <w:t>:</w:t>
      </w:r>
    </w:p>
    <w:p w:rsidR="000D3CA4" w:rsidRPr="00DA1C48" w:rsidRDefault="00D239A6" w:rsidP="004936EF">
      <w:pPr>
        <w:pStyle w:val="Upuce"/>
        <w:rPr>
          <w:lang w:val="es-ES"/>
        </w:rPr>
      </w:pPr>
      <w:r w:rsidRPr="00DA1C48">
        <w:rPr>
          <w:lang w:val="es-ES"/>
        </w:rPr>
        <w:t>¿Para qué sirven los marcos jurídicos e institucionales?</w:t>
      </w:r>
    </w:p>
    <w:p w:rsidR="000D3CA4" w:rsidRPr="00DA1C48" w:rsidRDefault="001E40EF" w:rsidP="004936EF">
      <w:pPr>
        <w:pStyle w:val="Upuce"/>
        <w:rPr>
          <w:lang w:val="es-ES"/>
        </w:rPr>
      </w:pPr>
      <w:r w:rsidRPr="00DA1C48">
        <w:rPr>
          <w:lang w:val="es-ES"/>
        </w:rPr>
        <w:t xml:space="preserve">Marcos que coadyuvan a la salvaguardia del elemento del PCI denominado “La procesión de los </w:t>
      </w:r>
      <w:proofErr w:type="spellStart"/>
      <w:r w:rsidRPr="00DA1C48">
        <w:rPr>
          <w:i/>
          <w:lang w:val="es-ES"/>
        </w:rPr>
        <w:t>yamahoko</w:t>
      </w:r>
      <w:proofErr w:type="spellEnd"/>
      <w:r w:rsidRPr="00DA1C48">
        <w:rPr>
          <w:lang w:val="es-ES"/>
        </w:rPr>
        <w:t xml:space="preserve">, carros alegóricos del Festival de </w:t>
      </w:r>
      <w:proofErr w:type="spellStart"/>
      <w:r w:rsidRPr="00DA1C48">
        <w:rPr>
          <w:lang w:val="es-ES"/>
        </w:rPr>
        <w:t>Gion</w:t>
      </w:r>
      <w:proofErr w:type="spellEnd"/>
      <w:r w:rsidRPr="00DA1C48">
        <w:rPr>
          <w:lang w:val="es-ES"/>
        </w:rPr>
        <w:t xml:space="preserve"> de la ciudad de </w:t>
      </w:r>
      <w:proofErr w:type="spellStart"/>
      <w:r w:rsidRPr="00DA1C48">
        <w:rPr>
          <w:lang w:val="es-ES"/>
        </w:rPr>
        <w:t>Kyoto</w:t>
      </w:r>
      <w:proofErr w:type="spellEnd"/>
      <w:r w:rsidRPr="00DA1C48">
        <w:rPr>
          <w:lang w:val="es-ES"/>
        </w:rPr>
        <w:t>”</w:t>
      </w:r>
      <w:r w:rsidR="000D3CA4" w:rsidRPr="00DA1C48">
        <w:rPr>
          <w:lang w:val="es-ES"/>
        </w:rPr>
        <w:t xml:space="preserve"> (Jap</w:t>
      </w:r>
      <w:r w:rsidRPr="00DA1C48">
        <w:rPr>
          <w:lang w:val="es-ES"/>
        </w:rPr>
        <w:t>ó</w:t>
      </w:r>
      <w:r w:rsidR="000D3CA4" w:rsidRPr="00DA1C48">
        <w:rPr>
          <w:lang w:val="es-ES"/>
        </w:rPr>
        <w:t>n)</w:t>
      </w:r>
      <w:r w:rsidR="004528F6" w:rsidRPr="00DA1C48">
        <w:rPr>
          <w:lang w:val="es-ES"/>
        </w:rPr>
        <w:t>.</w:t>
      </w:r>
    </w:p>
    <w:p w:rsidR="000D3CA4" w:rsidRPr="00DA1C48" w:rsidRDefault="00D239A6" w:rsidP="004936EF">
      <w:pPr>
        <w:pStyle w:val="Upuce"/>
        <w:rPr>
          <w:lang w:val="es-ES"/>
        </w:rPr>
      </w:pPr>
      <w:r w:rsidRPr="00DA1C48">
        <w:rPr>
          <w:lang w:val="es-ES"/>
        </w:rPr>
        <w:t>Marcos l</w:t>
      </w:r>
      <w:r w:rsidR="000D3CA4" w:rsidRPr="00DA1C48">
        <w:rPr>
          <w:lang w:val="es-ES"/>
        </w:rPr>
        <w:t>ocal</w:t>
      </w:r>
      <w:r w:rsidRPr="00DA1C48">
        <w:rPr>
          <w:lang w:val="es-ES"/>
        </w:rPr>
        <w:t>e</w:t>
      </w:r>
      <w:r w:rsidR="000D3CA4" w:rsidRPr="00DA1C48">
        <w:rPr>
          <w:lang w:val="es-ES"/>
        </w:rPr>
        <w:t>s (</w:t>
      </w:r>
      <w:r w:rsidRPr="00DA1C48">
        <w:rPr>
          <w:lang w:val="es-ES"/>
        </w:rPr>
        <w:t>con</w:t>
      </w:r>
      <w:r w:rsidR="000D3CA4" w:rsidRPr="00DA1C48">
        <w:rPr>
          <w:lang w:val="es-ES"/>
        </w:rPr>
        <w:t xml:space="preserve"> </w:t>
      </w:r>
      <w:r w:rsidR="00EB2323" w:rsidRPr="00DA1C48">
        <w:rPr>
          <w:lang w:val="es-ES"/>
        </w:rPr>
        <w:t>ejemplos</w:t>
      </w:r>
      <w:r w:rsidR="000D3CA4" w:rsidRPr="00DA1C48">
        <w:rPr>
          <w:lang w:val="es-ES"/>
        </w:rPr>
        <w:t>)</w:t>
      </w:r>
    </w:p>
    <w:p w:rsidR="000D3CA4" w:rsidRPr="00DA1C48" w:rsidRDefault="00D239A6" w:rsidP="004936EF">
      <w:pPr>
        <w:pStyle w:val="Upuce"/>
        <w:rPr>
          <w:lang w:val="es-ES"/>
        </w:rPr>
      </w:pPr>
      <w:r w:rsidRPr="00DA1C48">
        <w:rPr>
          <w:lang w:val="es-ES"/>
        </w:rPr>
        <w:t>Marcos nacionales (con ejemplos)</w:t>
      </w:r>
    </w:p>
    <w:p w:rsidR="000D3CA4" w:rsidRPr="00DA1C48" w:rsidRDefault="00D239A6" w:rsidP="004936EF">
      <w:pPr>
        <w:pStyle w:val="Upuce"/>
        <w:rPr>
          <w:lang w:val="es-ES"/>
        </w:rPr>
      </w:pPr>
      <w:r w:rsidRPr="00DA1C48">
        <w:rPr>
          <w:lang w:val="es-ES"/>
        </w:rPr>
        <w:t>Marcos internacionales (con ejemplos)</w:t>
      </w:r>
    </w:p>
    <w:p w:rsidR="000D3CA4" w:rsidRPr="00DA1C48" w:rsidRDefault="00D239A6" w:rsidP="004936EF">
      <w:pPr>
        <w:pStyle w:val="Upuce"/>
        <w:rPr>
          <w:lang w:val="es-ES"/>
        </w:rPr>
      </w:pPr>
      <w:r w:rsidRPr="00DA1C48">
        <w:rPr>
          <w:lang w:val="es-ES"/>
        </w:rPr>
        <w:lastRenderedPageBreak/>
        <w:t>Directrices y códigos de ética</w:t>
      </w:r>
    </w:p>
    <w:p w:rsidR="000D3CA4" w:rsidRPr="00DA1C48" w:rsidRDefault="00C475F6" w:rsidP="004936EF">
      <w:pPr>
        <w:pStyle w:val="UTit4"/>
        <w:rPr>
          <w:lang w:val="es-ES"/>
        </w:rPr>
      </w:pPr>
      <w:r w:rsidRPr="00DA1C48">
        <w:rPr>
          <w:lang w:val="es-ES"/>
        </w:rPr>
        <w:t>Documentos auxiliares</w:t>
      </w:r>
      <w:r w:rsidR="000D3CA4" w:rsidRPr="00DA1C48">
        <w:rPr>
          <w:lang w:val="es-ES"/>
        </w:rPr>
        <w:t xml:space="preserve">: </w:t>
      </w:r>
    </w:p>
    <w:p w:rsidR="000D3CA4" w:rsidRPr="00DA1C48" w:rsidRDefault="00C475F6" w:rsidP="004936EF">
      <w:pPr>
        <w:pStyle w:val="Upuce"/>
        <w:rPr>
          <w:lang w:val="es-ES"/>
        </w:rPr>
      </w:pPr>
      <w:r w:rsidRPr="00DA1C48">
        <w:rPr>
          <w:lang w:val="es-ES"/>
        </w:rPr>
        <w:t>Presentación Nº 1</w:t>
      </w:r>
      <w:r w:rsidR="00EB2323" w:rsidRPr="00DA1C48">
        <w:rPr>
          <w:lang w:val="es-ES"/>
        </w:rPr>
        <w:t>0</w:t>
      </w:r>
      <w:r w:rsidRPr="00DA1C48">
        <w:rPr>
          <w:lang w:val="es-ES"/>
        </w:rPr>
        <w:t xml:space="preserve"> APLI (PowerPoint) y las Notas para el Facilitador</w:t>
      </w:r>
    </w:p>
    <w:p w:rsidR="000D3CA4" w:rsidRPr="00DA1C48" w:rsidRDefault="00EB2323" w:rsidP="004936EF">
      <w:pPr>
        <w:pStyle w:val="Upuce"/>
        <w:rPr>
          <w:lang w:val="es-ES"/>
        </w:rPr>
      </w:pPr>
      <w:r w:rsidRPr="00DA1C48">
        <w:rPr>
          <w:lang w:val="es-ES"/>
        </w:rPr>
        <w:t>Texto para el Participante de la Unidad</w:t>
      </w:r>
      <w:r w:rsidR="009A5123" w:rsidRPr="00DA1C48">
        <w:rPr>
          <w:lang w:val="es-ES"/>
        </w:rPr>
        <w:t xml:space="preserve"> 10</w:t>
      </w:r>
    </w:p>
    <w:p w:rsidR="000D3CA4" w:rsidRPr="00DA1C48" w:rsidRDefault="00637FC6" w:rsidP="004936EF">
      <w:pPr>
        <w:pStyle w:val="Upuce"/>
        <w:rPr>
          <w:lang w:val="es-ES"/>
        </w:rPr>
      </w:pPr>
      <w:r>
        <w:rPr>
          <w:lang w:val="es-ES"/>
        </w:rPr>
        <w:t xml:space="preserve">Las secciones del </w:t>
      </w:r>
      <w:r w:rsidR="00EB2323" w:rsidRPr="00DA1C48">
        <w:rPr>
          <w:lang w:val="es-ES"/>
        </w:rPr>
        <w:t>Texto para el Participante de la Unidad</w:t>
      </w:r>
      <w:r w:rsidR="009A5123" w:rsidRPr="00DA1C48">
        <w:rPr>
          <w:lang w:val="es-ES"/>
        </w:rPr>
        <w:t xml:space="preserve"> 3</w:t>
      </w:r>
      <w:r>
        <w:rPr>
          <w:lang w:val="es-ES"/>
        </w:rPr>
        <w:t xml:space="preserve"> tituladas</w:t>
      </w:r>
      <w:r w:rsidR="000D3CA4" w:rsidRPr="00DA1C48">
        <w:rPr>
          <w:lang w:val="es-ES"/>
        </w:rPr>
        <w:t xml:space="preserve"> </w:t>
      </w:r>
      <w:r w:rsidR="00EB2323" w:rsidRPr="00DA1C48">
        <w:rPr>
          <w:lang w:val="es-ES"/>
        </w:rPr>
        <w:t>“Actividades a nivel internacional, regional, subregional y local” y “Propiedad intelectual”</w:t>
      </w:r>
      <w:r w:rsidR="00EB2323" w:rsidRPr="00DA1C48">
        <w:rPr>
          <w:spacing w:val="-4"/>
          <w:lang w:val="es-ES"/>
        </w:rPr>
        <w:t>.</w:t>
      </w:r>
    </w:p>
    <w:p w:rsidR="000D3CA4" w:rsidRPr="00DA1C48" w:rsidRDefault="006C6BCE" w:rsidP="004936EF">
      <w:pPr>
        <w:pStyle w:val="Upuce"/>
        <w:rPr>
          <w:lang w:val="es-ES"/>
        </w:rPr>
      </w:pPr>
      <w:r w:rsidRPr="00DA1C48">
        <w:rPr>
          <w:noProof/>
          <w:lang w:val="en-GB" w:eastAsia="en-GB"/>
        </w:rPr>
        <w:drawing>
          <wp:anchor distT="0" distB="0" distL="114300" distR="114300" simplePos="0" relativeHeight="251677696" behindDoc="1" locked="0" layoutInCell="1" allowOverlap="0">
            <wp:simplePos x="0" y="0"/>
            <wp:positionH relativeFrom="margin">
              <wp:posOffset>359410</wp:posOffset>
            </wp:positionH>
            <wp:positionV relativeFrom="margin">
              <wp:posOffset>765175</wp:posOffset>
            </wp:positionV>
            <wp:extent cx="4869815" cy="4497070"/>
            <wp:effectExtent l="19050" t="0" r="6985" b="0"/>
            <wp:wrapNone/>
            <wp:docPr id="1"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69815" cy="4497070"/>
                    </a:xfrm>
                    <a:prstGeom prst="rect">
                      <a:avLst/>
                    </a:prstGeom>
                  </pic:spPr>
                </pic:pic>
              </a:graphicData>
            </a:graphic>
          </wp:anchor>
        </w:drawing>
      </w:r>
      <w:r w:rsidR="00EB2323" w:rsidRPr="00DA1C48">
        <w:rPr>
          <w:lang w:val="es-ES"/>
        </w:rPr>
        <w:t>Estudios de Casos</w:t>
      </w:r>
      <w:r w:rsidR="000D3CA4" w:rsidRPr="00DA1C48">
        <w:rPr>
          <w:lang w:val="es-ES"/>
        </w:rPr>
        <w:t xml:space="preserve"> 1 </w:t>
      </w:r>
      <w:r w:rsidR="00EB2323" w:rsidRPr="00DA1C48">
        <w:rPr>
          <w:lang w:val="es-ES"/>
        </w:rPr>
        <w:t xml:space="preserve">y 28 a </w:t>
      </w:r>
      <w:r w:rsidR="000D3CA4" w:rsidRPr="00DA1C48">
        <w:rPr>
          <w:lang w:val="es-ES"/>
        </w:rPr>
        <w:t>32</w:t>
      </w:r>
    </w:p>
    <w:p w:rsidR="008C4DF2" w:rsidRPr="00DA1C48" w:rsidRDefault="008C4DF2" w:rsidP="004936EF">
      <w:pPr>
        <w:pStyle w:val="Soustitre"/>
        <w:rPr>
          <w:lang w:val="es-ES"/>
        </w:rPr>
      </w:pPr>
      <w:bookmarkStart w:id="3" w:name="_Toc238982254"/>
      <w:r w:rsidRPr="00DA1C48">
        <w:rPr>
          <w:lang w:val="es-ES"/>
        </w:rPr>
        <w:t>Not</w:t>
      </w:r>
      <w:r w:rsidR="00C475F6" w:rsidRPr="00DA1C48">
        <w:rPr>
          <w:lang w:val="es-ES"/>
        </w:rPr>
        <w:t>a</w:t>
      </w:r>
      <w:r w:rsidRPr="00DA1C48">
        <w:rPr>
          <w:lang w:val="es-ES"/>
        </w:rPr>
        <w:t xml:space="preserve">s </w:t>
      </w:r>
      <w:bookmarkEnd w:id="3"/>
      <w:r w:rsidR="00C475F6" w:rsidRPr="00DA1C48">
        <w:rPr>
          <w:lang w:val="es-ES"/>
        </w:rPr>
        <w:t>y sugerencias</w:t>
      </w:r>
    </w:p>
    <w:p w:rsidR="008C4DF2" w:rsidRPr="00DA1C48" w:rsidRDefault="00843536" w:rsidP="009909DD">
      <w:pPr>
        <w:pStyle w:val="Texte1"/>
        <w:rPr>
          <w:lang w:val="es-ES"/>
        </w:rPr>
      </w:pPr>
      <w:r w:rsidRPr="00DA1C48">
        <w:rPr>
          <w:lang w:val="es-ES"/>
        </w:rPr>
        <w:t xml:space="preserve">La presente </w:t>
      </w:r>
      <w:r w:rsidR="006B47AC">
        <w:rPr>
          <w:lang w:val="es-ES"/>
        </w:rPr>
        <w:t>unidad</w:t>
      </w:r>
      <w:r w:rsidRPr="00DA1C48">
        <w:rPr>
          <w:lang w:val="es-ES"/>
        </w:rPr>
        <w:t xml:space="preserve"> se propone ilustrar cómo las políticas e instituciones, a diferentes niveles, pueden coadyuvar a la aplicación de la Convención</w:t>
      </w:r>
      <w:r w:rsidR="008C4DF2" w:rsidRPr="00DA1C48">
        <w:rPr>
          <w:lang w:val="es-ES"/>
        </w:rPr>
        <w:t>.</w:t>
      </w:r>
    </w:p>
    <w:p w:rsidR="008C4DF2" w:rsidRPr="00DA1C48" w:rsidRDefault="00DD17B5" w:rsidP="009909DD">
      <w:pPr>
        <w:pStyle w:val="Texte1"/>
        <w:rPr>
          <w:lang w:val="es-ES"/>
        </w:rPr>
      </w:pPr>
      <w:r w:rsidRPr="00DA1C48">
        <w:rPr>
          <w:lang w:val="es-ES"/>
        </w:rPr>
        <w:t xml:space="preserve">En la presente </w:t>
      </w:r>
      <w:r w:rsidR="006B47AC">
        <w:rPr>
          <w:lang w:val="es-ES"/>
        </w:rPr>
        <w:t>unidad</w:t>
      </w:r>
      <w:r w:rsidRPr="00DA1C48">
        <w:rPr>
          <w:lang w:val="es-ES"/>
        </w:rPr>
        <w:t xml:space="preserve">, el Estudio de Caso </w:t>
      </w:r>
      <w:r w:rsidR="00B77BD7" w:rsidRPr="00DA1C48">
        <w:rPr>
          <w:lang w:val="es-ES"/>
        </w:rPr>
        <w:t>1 sobre la</w:t>
      </w:r>
      <w:r w:rsidRPr="00DA1C48">
        <w:rPr>
          <w:b/>
          <w:bCs/>
          <w:lang w:val="es-ES"/>
        </w:rPr>
        <w:t xml:space="preserve"> </w:t>
      </w:r>
      <w:r w:rsidRPr="00DA1C48">
        <w:rPr>
          <w:bCs/>
          <w:lang w:val="es-ES"/>
        </w:rPr>
        <w:t xml:space="preserve">procesión de los </w:t>
      </w:r>
      <w:proofErr w:type="spellStart"/>
      <w:r w:rsidRPr="00DA1C48">
        <w:rPr>
          <w:bCs/>
          <w:i/>
          <w:iCs/>
          <w:lang w:val="es-ES"/>
        </w:rPr>
        <w:t>yamahoko</w:t>
      </w:r>
      <w:proofErr w:type="spellEnd"/>
      <w:r w:rsidRPr="00DA1C48">
        <w:rPr>
          <w:bCs/>
          <w:lang w:val="es-ES"/>
        </w:rPr>
        <w:t xml:space="preserve"> (Japón</w:t>
      </w:r>
      <w:r w:rsidR="00B77BD7" w:rsidRPr="00DA1C48">
        <w:rPr>
          <w:bCs/>
          <w:lang w:val="es-ES"/>
        </w:rPr>
        <w:t>),</w:t>
      </w:r>
      <w:r w:rsidRPr="00DA1C48">
        <w:rPr>
          <w:lang w:val="es-ES"/>
        </w:rPr>
        <w:t xml:space="preserve"> </w:t>
      </w:r>
      <w:r w:rsidR="00B77BD7" w:rsidRPr="00DA1C48">
        <w:rPr>
          <w:lang w:val="es-ES"/>
        </w:rPr>
        <w:t>ya utilizado en la Unidad 4, constituye un elemento básico</w:t>
      </w:r>
      <w:r w:rsidRPr="00DA1C48">
        <w:rPr>
          <w:lang w:val="es-ES"/>
        </w:rPr>
        <w:t xml:space="preserve"> para mostrar la función </w:t>
      </w:r>
      <w:r w:rsidR="00B77BD7" w:rsidRPr="00DA1C48">
        <w:rPr>
          <w:lang w:val="es-ES"/>
        </w:rPr>
        <w:t xml:space="preserve">de apoyo a la salvaguardia del PCI que </w:t>
      </w:r>
      <w:r w:rsidRPr="00DA1C48">
        <w:rPr>
          <w:lang w:val="es-ES"/>
        </w:rPr>
        <w:t>desempeña</w:t>
      </w:r>
      <w:r w:rsidR="00B77BD7" w:rsidRPr="00DA1C48">
        <w:rPr>
          <w:lang w:val="es-ES"/>
        </w:rPr>
        <w:t>n</w:t>
      </w:r>
      <w:r w:rsidRPr="00DA1C48">
        <w:rPr>
          <w:lang w:val="es-ES"/>
        </w:rPr>
        <w:t xml:space="preserve"> las políticas e instituciones </w:t>
      </w:r>
      <w:r w:rsidR="00B77BD7" w:rsidRPr="00DA1C48">
        <w:rPr>
          <w:lang w:val="es-ES"/>
        </w:rPr>
        <w:t>a nivel</w:t>
      </w:r>
      <w:r w:rsidRPr="00DA1C48">
        <w:rPr>
          <w:lang w:val="es-ES"/>
        </w:rPr>
        <w:t xml:space="preserve"> local, regional e internacional</w:t>
      </w:r>
      <w:r w:rsidR="008C4DF2" w:rsidRPr="00DA1C48">
        <w:rPr>
          <w:lang w:val="es-ES"/>
        </w:rPr>
        <w:t xml:space="preserve">. </w:t>
      </w:r>
      <w:r w:rsidR="00B77BD7" w:rsidRPr="00DA1C48">
        <w:rPr>
          <w:lang w:val="es-ES"/>
        </w:rPr>
        <w:t>Se puede recurrir a otros estudios de casos, siempre y cuando contengan suficientes detalles sobre esos tres niveles de apoyo a la salvaguardia de elementos del PCI</w:t>
      </w:r>
      <w:r w:rsidR="008C4DF2" w:rsidRPr="00DA1C48">
        <w:rPr>
          <w:lang w:val="es-ES"/>
        </w:rPr>
        <w:t xml:space="preserve">. </w:t>
      </w:r>
      <w:r w:rsidR="00B77BD7" w:rsidRPr="00DA1C48">
        <w:rPr>
          <w:lang w:val="es-ES"/>
        </w:rPr>
        <w:t xml:space="preserve">En </w:t>
      </w:r>
      <w:r w:rsidR="001043CB" w:rsidRPr="00DA1C48">
        <w:rPr>
          <w:lang w:val="es-ES"/>
        </w:rPr>
        <w:t>esta</w:t>
      </w:r>
      <w:r w:rsidR="00B77BD7" w:rsidRPr="00DA1C48">
        <w:rPr>
          <w:lang w:val="es-ES"/>
        </w:rPr>
        <w:t xml:space="preserve"> </w:t>
      </w:r>
      <w:r w:rsidR="006B47AC">
        <w:rPr>
          <w:lang w:val="es-ES"/>
        </w:rPr>
        <w:t>unidad</w:t>
      </w:r>
      <w:r w:rsidR="00B77BD7" w:rsidRPr="00DA1C48">
        <w:rPr>
          <w:lang w:val="es-ES"/>
        </w:rPr>
        <w:t xml:space="preserve"> se </w:t>
      </w:r>
      <w:r w:rsidR="001043CB" w:rsidRPr="00DA1C48">
        <w:rPr>
          <w:lang w:val="es-ES"/>
        </w:rPr>
        <w:t>hace</w:t>
      </w:r>
      <w:r w:rsidR="00B77BD7" w:rsidRPr="00DA1C48">
        <w:rPr>
          <w:lang w:val="es-ES"/>
        </w:rPr>
        <w:t xml:space="preserve"> </w:t>
      </w:r>
      <w:r w:rsidR="001043CB" w:rsidRPr="00DA1C48">
        <w:rPr>
          <w:lang w:val="es-ES"/>
        </w:rPr>
        <w:t>asimismo</w:t>
      </w:r>
      <w:r w:rsidR="00B77BD7" w:rsidRPr="00DA1C48">
        <w:rPr>
          <w:lang w:val="es-ES"/>
        </w:rPr>
        <w:t xml:space="preserve"> </w:t>
      </w:r>
      <w:r w:rsidR="001043CB" w:rsidRPr="00DA1C48">
        <w:rPr>
          <w:lang w:val="es-ES"/>
        </w:rPr>
        <w:t>referencia a otros e</w:t>
      </w:r>
      <w:r w:rsidR="00B77BD7" w:rsidRPr="00DA1C48">
        <w:rPr>
          <w:lang w:val="es-ES"/>
        </w:rPr>
        <w:t xml:space="preserve">studios de casos complementarios </w:t>
      </w:r>
      <w:r w:rsidR="001043CB" w:rsidRPr="00DA1C48">
        <w:rPr>
          <w:lang w:val="es-ES"/>
        </w:rPr>
        <w:t>para ilustrar cada uno de los tres niveles mencionados (</w:t>
      </w:r>
      <w:r w:rsidR="008C4DF2" w:rsidRPr="00DA1C48">
        <w:rPr>
          <w:lang w:val="es-ES"/>
        </w:rPr>
        <w:t xml:space="preserve">local, regional </w:t>
      </w:r>
      <w:r w:rsidR="001043CB" w:rsidRPr="00DA1C48">
        <w:rPr>
          <w:lang w:val="es-ES"/>
        </w:rPr>
        <w:t>e internac</w:t>
      </w:r>
      <w:r w:rsidR="008C4DF2" w:rsidRPr="00DA1C48">
        <w:rPr>
          <w:lang w:val="es-ES"/>
        </w:rPr>
        <w:t>ional</w:t>
      </w:r>
      <w:r w:rsidR="001043CB" w:rsidRPr="00DA1C48">
        <w:rPr>
          <w:lang w:val="es-ES"/>
        </w:rPr>
        <w:t>). Esos estudios se pueden sustituir</w:t>
      </w:r>
      <w:r w:rsidR="00810A79" w:rsidRPr="00DA1C48">
        <w:rPr>
          <w:lang w:val="es-ES"/>
        </w:rPr>
        <w:t xml:space="preserve"> </w:t>
      </w:r>
      <w:r w:rsidR="001043CB" w:rsidRPr="00DA1C48">
        <w:rPr>
          <w:lang w:val="es-ES"/>
        </w:rPr>
        <w:t>también, o complementar, con otros</w:t>
      </w:r>
      <w:r w:rsidR="008C4DF2" w:rsidRPr="00DA1C48">
        <w:rPr>
          <w:lang w:val="es-ES"/>
        </w:rPr>
        <w:t xml:space="preserve"> </w:t>
      </w:r>
      <w:r w:rsidR="00EB2323" w:rsidRPr="00DA1C48">
        <w:rPr>
          <w:lang w:val="es-ES"/>
        </w:rPr>
        <w:t>ejemplos</w:t>
      </w:r>
      <w:r w:rsidR="008C4DF2" w:rsidRPr="00DA1C48">
        <w:rPr>
          <w:lang w:val="es-ES"/>
        </w:rPr>
        <w:t>.</w:t>
      </w:r>
    </w:p>
    <w:p w:rsidR="009A5123" w:rsidRPr="00DA1C48" w:rsidRDefault="001043CB" w:rsidP="009909DD">
      <w:pPr>
        <w:pStyle w:val="Texte1"/>
        <w:rPr>
          <w:lang w:val="es-ES"/>
        </w:rPr>
      </w:pPr>
      <w:r w:rsidRPr="00DA1C48">
        <w:rPr>
          <w:lang w:val="es-ES"/>
        </w:rPr>
        <w:t>Los ejercicios de diez minutos de duración correspondientes a las Diapositivas</w:t>
      </w:r>
      <w:r w:rsidR="008C4DF2" w:rsidRPr="00DA1C48">
        <w:rPr>
          <w:lang w:val="es-ES"/>
        </w:rPr>
        <w:t xml:space="preserve"> 11, 1</w:t>
      </w:r>
      <w:r w:rsidR="00933DEE" w:rsidRPr="00DA1C48">
        <w:rPr>
          <w:lang w:val="es-ES"/>
        </w:rPr>
        <w:t>8</w:t>
      </w:r>
      <w:r w:rsidR="008C4DF2" w:rsidRPr="00DA1C48">
        <w:rPr>
          <w:lang w:val="es-ES"/>
        </w:rPr>
        <w:t xml:space="preserve"> </w:t>
      </w:r>
      <w:r w:rsidRPr="00DA1C48">
        <w:rPr>
          <w:lang w:val="es-ES"/>
        </w:rPr>
        <w:t>y</w:t>
      </w:r>
      <w:r w:rsidR="008C4DF2" w:rsidRPr="00DA1C48">
        <w:rPr>
          <w:lang w:val="es-ES"/>
        </w:rPr>
        <w:t xml:space="preserve"> 2</w:t>
      </w:r>
      <w:r w:rsidR="00933DEE" w:rsidRPr="00DA1C48">
        <w:rPr>
          <w:lang w:val="es-ES"/>
        </w:rPr>
        <w:t>2</w:t>
      </w:r>
      <w:r w:rsidR="008C4DF2" w:rsidRPr="00DA1C48">
        <w:rPr>
          <w:lang w:val="es-ES"/>
        </w:rPr>
        <w:t xml:space="preserve"> </w:t>
      </w:r>
      <w:r w:rsidRPr="00DA1C48">
        <w:rPr>
          <w:lang w:val="es-ES"/>
        </w:rPr>
        <w:t>se refieren</w:t>
      </w:r>
      <w:r w:rsidR="00474568" w:rsidRPr="00DA1C48">
        <w:rPr>
          <w:lang w:val="es-ES"/>
        </w:rPr>
        <w:t xml:space="preserve"> a la manera</w:t>
      </w:r>
      <w:r w:rsidR="0038631A" w:rsidRPr="00DA1C48">
        <w:rPr>
          <w:lang w:val="es-ES"/>
        </w:rPr>
        <w:t xml:space="preserve"> en que las políticas e instituciones pueden incidir en la aplicación de la Convención y permiten a los participantes en el taller analizar cómo las políticas e instituciones locales, nacionales e internacionales pueden influir en la aplicación de la Convención en sus propios contextos</w:t>
      </w:r>
      <w:r w:rsidR="008C4DF2" w:rsidRPr="00DA1C48">
        <w:rPr>
          <w:lang w:val="es-ES"/>
        </w:rPr>
        <w:t xml:space="preserve">. </w:t>
      </w:r>
      <w:r w:rsidR="0038631A" w:rsidRPr="00DA1C48">
        <w:rPr>
          <w:lang w:val="es-ES"/>
        </w:rPr>
        <w:t xml:space="preserve">Estos ejercicios pueden ayudar a los participantes a poner en práctica en sus contextos respectivos las ideas expuestas en la </w:t>
      </w:r>
      <w:r w:rsidR="003373B2" w:rsidRPr="00DA1C48">
        <w:rPr>
          <w:lang w:val="es-ES"/>
        </w:rPr>
        <w:t xml:space="preserve">presente </w:t>
      </w:r>
      <w:r w:rsidR="006B47AC">
        <w:rPr>
          <w:lang w:val="es-ES"/>
        </w:rPr>
        <w:t>unidad</w:t>
      </w:r>
      <w:r w:rsidR="008C4DF2" w:rsidRPr="00DA1C48">
        <w:rPr>
          <w:lang w:val="es-ES"/>
        </w:rPr>
        <w:t xml:space="preserve">. </w:t>
      </w:r>
      <w:r w:rsidR="003373B2" w:rsidRPr="00DA1C48">
        <w:rPr>
          <w:lang w:val="es-ES"/>
        </w:rPr>
        <w:t>En caso de que algunos participantes no estén familiarizados con las legislaciones, políticas e instituciones pertinentes, el facilitador puede utilizar los ejercicios para presentar algunas de ellas. El tiempo dedicado a estos ejercicios depende en gran medida de las necesidades e intereses de los participantes</w:t>
      </w:r>
      <w:r w:rsidR="008C4DF2" w:rsidRPr="00DA1C48">
        <w:rPr>
          <w:lang w:val="es-ES"/>
        </w:rPr>
        <w:t xml:space="preserve">. </w:t>
      </w:r>
      <w:r w:rsidR="003373B2" w:rsidRPr="00DA1C48">
        <w:rPr>
          <w:lang w:val="es-ES"/>
        </w:rPr>
        <w:t>En los</w:t>
      </w:r>
      <w:r w:rsidR="008C4DF2" w:rsidRPr="00DA1C48">
        <w:rPr>
          <w:lang w:val="es-ES"/>
        </w:rPr>
        <w:t xml:space="preserve"> </w:t>
      </w:r>
      <w:r w:rsidR="0012502B" w:rsidRPr="00DA1C48">
        <w:rPr>
          <w:lang w:val="es-ES"/>
        </w:rPr>
        <w:t>Estados</w:t>
      </w:r>
      <w:r w:rsidR="001520E1" w:rsidRPr="00DA1C48">
        <w:rPr>
          <w:lang w:val="es-ES"/>
        </w:rPr>
        <w:t xml:space="preserve"> </w:t>
      </w:r>
      <w:r w:rsidR="003373B2" w:rsidRPr="00DA1C48">
        <w:rPr>
          <w:lang w:val="es-ES"/>
        </w:rPr>
        <w:t xml:space="preserve">donde las legislaciones, políticas e instituciones prestan un apoyo insuficiente al </w:t>
      </w:r>
      <w:r w:rsidR="00C475F6" w:rsidRPr="00DA1C48">
        <w:rPr>
          <w:lang w:val="es-ES"/>
        </w:rPr>
        <w:t>PCI</w:t>
      </w:r>
      <w:r w:rsidR="008C4DF2" w:rsidRPr="00DA1C48">
        <w:rPr>
          <w:lang w:val="es-ES"/>
        </w:rPr>
        <w:t xml:space="preserve">, </w:t>
      </w:r>
      <w:r w:rsidR="003373B2" w:rsidRPr="00DA1C48">
        <w:rPr>
          <w:lang w:val="es-ES"/>
        </w:rPr>
        <w:t>se podría contemplar la posibilidad de examinar qué ejemplos de otros contextos presentados en esta</w:t>
      </w:r>
      <w:r w:rsidR="008C4DF2" w:rsidRPr="00DA1C48">
        <w:rPr>
          <w:lang w:val="es-ES"/>
        </w:rPr>
        <w:t xml:space="preserve"> </w:t>
      </w:r>
      <w:r w:rsidR="006B47AC">
        <w:rPr>
          <w:lang w:val="es-ES"/>
        </w:rPr>
        <w:t>unidad</w:t>
      </w:r>
      <w:r w:rsidR="005223DA" w:rsidRPr="00DA1C48">
        <w:rPr>
          <w:lang w:val="es-ES"/>
        </w:rPr>
        <w:t xml:space="preserve"> </w:t>
      </w:r>
      <w:r w:rsidR="003373B2" w:rsidRPr="00DA1C48">
        <w:rPr>
          <w:lang w:val="es-ES"/>
        </w:rPr>
        <w:t>resultarían más adecuados para el contexto propio de los participantes</w:t>
      </w:r>
      <w:r w:rsidR="008C4DF2" w:rsidRPr="00DA1C48">
        <w:rPr>
          <w:lang w:val="es-ES"/>
        </w:rPr>
        <w:t xml:space="preserve">. </w:t>
      </w:r>
      <w:r w:rsidR="003373B2" w:rsidRPr="00DA1C48">
        <w:rPr>
          <w:lang w:val="es-ES"/>
        </w:rPr>
        <w:t>Esta cuestión se puede examinar con más detalle en la</w:t>
      </w:r>
      <w:r w:rsidR="002F4AF8" w:rsidRPr="00DA1C48">
        <w:rPr>
          <w:lang w:val="es-ES"/>
        </w:rPr>
        <w:t xml:space="preserve"> </w:t>
      </w:r>
      <w:r w:rsidR="00EB2323" w:rsidRPr="00DA1C48">
        <w:rPr>
          <w:lang w:val="es-ES"/>
        </w:rPr>
        <w:t>Unidad</w:t>
      </w:r>
      <w:r w:rsidR="005C22E4" w:rsidRPr="00DA1C48">
        <w:rPr>
          <w:lang w:val="es-ES"/>
        </w:rPr>
        <w:t> </w:t>
      </w:r>
      <w:r w:rsidR="00DA5C84" w:rsidRPr="00DA1C48">
        <w:rPr>
          <w:lang w:val="es-ES"/>
        </w:rPr>
        <w:t>14</w:t>
      </w:r>
      <w:r w:rsidR="008C4DF2" w:rsidRPr="00DA1C48">
        <w:rPr>
          <w:lang w:val="es-ES"/>
        </w:rPr>
        <w:t>.</w:t>
      </w:r>
    </w:p>
    <w:p w:rsidR="00F36F5D" w:rsidRPr="00DA1C48" w:rsidRDefault="00F36F5D">
      <w:pPr>
        <w:tabs>
          <w:tab w:val="clear" w:pos="567"/>
        </w:tabs>
        <w:snapToGrid/>
        <w:spacing w:before="0" w:after="0"/>
        <w:jc w:val="left"/>
        <w:rPr>
          <w:snapToGrid/>
          <w:sz w:val="20"/>
          <w:lang w:val="es-ES"/>
        </w:rPr>
      </w:pPr>
      <w:r w:rsidRPr="00DA1C48">
        <w:rPr>
          <w:lang w:val="es-ES"/>
        </w:rPr>
        <w:br w:type="page"/>
      </w:r>
    </w:p>
    <w:p w:rsidR="003C1F6D" w:rsidRPr="00DA1C48" w:rsidRDefault="00C4640B" w:rsidP="004936EF">
      <w:pPr>
        <w:pStyle w:val="Chapitre"/>
        <w:rPr>
          <w:kern w:val="0"/>
          <w:lang w:val="es-ES"/>
        </w:rPr>
      </w:pPr>
      <w:bookmarkStart w:id="4" w:name="_Toc241644731"/>
      <w:bookmarkStart w:id="5" w:name="_Toc302374693"/>
      <w:r w:rsidRPr="00DA1C48">
        <w:rPr>
          <w:kern w:val="0"/>
          <w:lang w:val="es-ES"/>
        </w:rPr>
        <w:lastRenderedPageBreak/>
        <w:t>Uni</w:t>
      </w:r>
      <w:r w:rsidR="00C475F6" w:rsidRPr="00DA1C48">
        <w:rPr>
          <w:kern w:val="0"/>
          <w:lang w:val="es-ES"/>
        </w:rPr>
        <w:t>dad</w:t>
      </w:r>
      <w:r w:rsidRPr="00DA1C48">
        <w:rPr>
          <w:kern w:val="0"/>
          <w:lang w:val="es-ES"/>
        </w:rPr>
        <w:t xml:space="preserve"> </w:t>
      </w:r>
      <w:r w:rsidR="008C4DF2" w:rsidRPr="00DA1C48">
        <w:rPr>
          <w:kern w:val="0"/>
          <w:lang w:val="es-ES"/>
        </w:rPr>
        <w:t>10</w:t>
      </w:r>
      <w:bookmarkEnd w:id="4"/>
    </w:p>
    <w:p w:rsidR="008C4DF2" w:rsidRPr="00DA1C48" w:rsidRDefault="008C4DF2" w:rsidP="004936EF">
      <w:pPr>
        <w:pStyle w:val="Titcoul"/>
        <w:rPr>
          <w:kern w:val="0"/>
          <w:szCs w:val="70"/>
          <w:lang w:val="es-ES"/>
        </w:rPr>
      </w:pPr>
      <w:bookmarkStart w:id="6" w:name="_Toc241644732"/>
      <w:r w:rsidRPr="00DA1C48">
        <w:rPr>
          <w:kern w:val="0"/>
          <w:szCs w:val="70"/>
          <w:lang w:val="es-ES"/>
        </w:rPr>
        <w:t>pol</w:t>
      </w:r>
      <w:r w:rsidR="00C475F6" w:rsidRPr="00DA1C48">
        <w:rPr>
          <w:kern w:val="0"/>
          <w:szCs w:val="70"/>
          <w:lang w:val="es-ES"/>
        </w:rPr>
        <w:t>íticas</w:t>
      </w:r>
      <w:r w:rsidRPr="00DA1C48">
        <w:rPr>
          <w:kern w:val="0"/>
          <w:szCs w:val="70"/>
          <w:lang w:val="es-ES"/>
        </w:rPr>
        <w:t xml:space="preserve"> </w:t>
      </w:r>
      <w:r w:rsidR="00C475F6" w:rsidRPr="00DA1C48">
        <w:rPr>
          <w:kern w:val="0"/>
          <w:szCs w:val="70"/>
          <w:lang w:val="es-ES"/>
        </w:rPr>
        <w:t>e</w:t>
      </w:r>
      <w:r w:rsidRPr="00DA1C48">
        <w:rPr>
          <w:kern w:val="0"/>
          <w:szCs w:val="70"/>
          <w:lang w:val="es-ES"/>
        </w:rPr>
        <w:t xml:space="preserve"> institu</w:t>
      </w:r>
      <w:r w:rsidR="00C475F6" w:rsidRPr="00DA1C48">
        <w:rPr>
          <w:kern w:val="0"/>
          <w:szCs w:val="70"/>
          <w:lang w:val="es-ES"/>
        </w:rPr>
        <w:t>cione</w:t>
      </w:r>
      <w:r w:rsidRPr="00DA1C48">
        <w:rPr>
          <w:kern w:val="0"/>
          <w:szCs w:val="70"/>
          <w:lang w:val="es-ES"/>
        </w:rPr>
        <w:t>s</w:t>
      </w:r>
      <w:bookmarkEnd w:id="5"/>
      <w:bookmarkEnd w:id="6"/>
      <w:r w:rsidR="00C475F6" w:rsidRPr="00DA1C48">
        <w:rPr>
          <w:kern w:val="0"/>
          <w:szCs w:val="70"/>
          <w:lang w:val="es-ES"/>
        </w:rPr>
        <w:t xml:space="preserve"> </w:t>
      </w:r>
      <w:r w:rsidR="00FD69DC" w:rsidRPr="00DA1C48">
        <w:rPr>
          <w:kern w:val="0"/>
          <w:szCs w:val="70"/>
          <w:lang w:val="es-ES"/>
        </w:rPr>
        <w:t xml:space="preserve">relacionadas con </w:t>
      </w:r>
      <w:r w:rsidR="00C475F6" w:rsidRPr="00DA1C48">
        <w:rPr>
          <w:kern w:val="0"/>
          <w:szCs w:val="70"/>
          <w:lang w:val="es-ES"/>
        </w:rPr>
        <w:t>el PCI</w:t>
      </w:r>
    </w:p>
    <w:p w:rsidR="003C1F6D" w:rsidRPr="00DA1C48" w:rsidRDefault="00EB2323" w:rsidP="004936EF">
      <w:pPr>
        <w:pStyle w:val="Heading6"/>
        <w:rPr>
          <w:lang w:val="es-ES"/>
        </w:rPr>
      </w:pPr>
      <w:r w:rsidRPr="00DA1C48">
        <w:rPr>
          <w:lang w:val="es-ES"/>
        </w:rPr>
        <w:t>DIAPOSITIVA</w:t>
      </w:r>
      <w:r w:rsidR="008C4DF2" w:rsidRPr="00DA1C48">
        <w:rPr>
          <w:lang w:val="es-ES"/>
        </w:rPr>
        <w:t xml:space="preserve"> 1</w:t>
      </w:r>
      <w:r w:rsidR="003C1F6D" w:rsidRPr="00DA1C48">
        <w:rPr>
          <w:lang w:val="es-ES"/>
        </w:rPr>
        <w:t>.</w:t>
      </w:r>
    </w:p>
    <w:p w:rsidR="008C4DF2" w:rsidRPr="00DA1C48" w:rsidRDefault="00FD69DC" w:rsidP="004936EF">
      <w:pPr>
        <w:pStyle w:val="diapo2"/>
        <w:rPr>
          <w:lang w:val="es-ES"/>
        </w:rPr>
      </w:pPr>
      <w:r w:rsidRPr="00DA1C48">
        <w:rPr>
          <w:bCs/>
          <w:lang w:val="es-ES"/>
        </w:rPr>
        <w:t>Políticas e instituciones relacionadas con el PCI</w:t>
      </w:r>
    </w:p>
    <w:p w:rsidR="003C1F6D" w:rsidRPr="00DA1C48" w:rsidRDefault="00EB2323" w:rsidP="004936EF">
      <w:pPr>
        <w:pStyle w:val="Heading6"/>
        <w:rPr>
          <w:lang w:val="es-ES"/>
        </w:rPr>
      </w:pPr>
      <w:r w:rsidRPr="00DA1C48">
        <w:rPr>
          <w:lang w:val="es-ES"/>
        </w:rPr>
        <w:t>DIAPOSITIVA</w:t>
      </w:r>
      <w:r w:rsidR="008C4DF2" w:rsidRPr="00DA1C48">
        <w:rPr>
          <w:lang w:val="es-ES"/>
        </w:rPr>
        <w:t xml:space="preserve"> 2</w:t>
      </w:r>
      <w:r w:rsidR="003C1F6D" w:rsidRPr="00DA1C48">
        <w:rPr>
          <w:lang w:val="es-ES"/>
        </w:rPr>
        <w:t>.</w:t>
      </w:r>
    </w:p>
    <w:p w:rsidR="008C4DF2" w:rsidRPr="00DA1C48" w:rsidRDefault="00FD69DC" w:rsidP="004936EF">
      <w:pPr>
        <w:pStyle w:val="diapo2"/>
        <w:rPr>
          <w:lang w:val="es-ES"/>
        </w:rPr>
      </w:pPr>
      <w:r w:rsidRPr="00DA1C48">
        <w:rPr>
          <w:lang w:val="es-ES"/>
        </w:rPr>
        <w:t>Esta</w:t>
      </w:r>
      <w:r w:rsidR="008C4DF2" w:rsidRPr="00DA1C48">
        <w:rPr>
          <w:lang w:val="es-ES"/>
        </w:rPr>
        <w:t xml:space="preserve"> presenta</w:t>
      </w:r>
      <w:r w:rsidRPr="00DA1C48">
        <w:rPr>
          <w:lang w:val="es-ES"/>
        </w:rPr>
        <w:t>ción se refiere a</w:t>
      </w:r>
      <w:r w:rsidR="008C4DF2" w:rsidRPr="00DA1C48">
        <w:rPr>
          <w:lang w:val="es-ES"/>
        </w:rPr>
        <w:t>…</w:t>
      </w:r>
    </w:p>
    <w:p w:rsidR="003C1F6D" w:rsidRPr="00DA1C48" w:rsidRDefault="00EB2323" w:rsidP="004936EF">
      <w:pPr>
        <w:pStyle w:val="Heading6"/>
        <w:rPr>
          <w:lang w:val="es-ES"/>
        </w:rPr>
      </w:pPr>
      <w:r w:rsidRPr="00DA1C48">
        <w:rPr>
          <w:lang w:val="es-ES"/>
        </w:rPr>
        <w:t>DIAPOSITIVA</w:t>
      </w:r>
      <w:r w:rsidR="008C4DF2" w:rsidRPr="00DA1C48">
        <w:rPr>
          <w:lang w:val="es-ES"/>
        </w:rPr>
        <w:t xml:space="preserve"> 3</w:t>
      </w:r>
      <w:r w:rsidR="003C1F6D" w:rsidRPr="00DA1C48">
        <w:rPr>
          <w:lang w:val="es-ES"/>
        </w:rPr>
        <w:t>.</w:t>
      </w:r>
    </w:p>
    <w:p w:rsidR="008C4DF2" w:rsidRPr="00DA1C48" w:rsidRDefault="00FD69DC" w:rsidP="004936EF">
      <w:pPr>
        <w:pStyle w:val="diapo2"/>
        <w:rPr>
          <w:lang w:val="es-ES"/>
        </w:rPr>
      </w:pPr>
      <w:r w:rsidRPr="00DA1C48">
        <w:rPr>
          <w:bCs/>
          <w:lang w:val="es-ES"/>
        </w:rPr>
        <w:t>Marcos jurídicos y administrativos</w:t>
      </w:r>
    </w:p>
    <w:p w:rsidR="008C4DF2" w:rsidRPr="00DA1C48" w:rsidRDefault="00EB2323" w:rsidP="009909DD">
      <w:pPr>
        <w:pStyle w:val="Texte1"/>
        <w:rPr>
          <w:lang w:val="es-ES"/>
        </w:rPr>
      </w:pPr>
      <w:r w:rsidRPr="00DA1C48">
        <w:rPr>
          <w:lang w:val="es-ES"/>
        </w:rPr>
        <w:t>En la Sección 1 del Texto para el Participante de la presente Unidad 10</w:t>
      </w:r>
      <w:r w:rsidR="00274271" w:rsidRPr="00DA1C48">
        <w:rPr>
          <w:lang w:val="es-ES"/>
        </w:rPr>
        <w:t xml:space="preserve"> </w:t>
      </w:r>
      <w:r w:rsidR="003373B2" w:rsidRPr="00DA1C48">
        <w:rPr>
          <w:lang w:val="es-ES"/>
        </w:rPr>
        <w:t>se presenta</w:t>
      </w:r>
      <w:r w:rsidR="00A718C2">
        <w:rPr>
          <w:lang w:val="es-ES"/>
        </w:rPr>
        <w:t>,</w:t>
      </w:r>
      <w:r w:rsidR="003373B2" w:rsidRPr="00DA1C48">
        <w:rPr>
          <w:lang w:val="es-ES"/>
        </w:rPr>
        <w:t xml:space="preserve"> a</w:t>
      </w:r>
      <w:r w:rsidR="00A718C2">
        <w:rPr>
          <w:lang w:val="es-ES"/>
        </w:rPr>
        <w:t xml:space="preserve"> </w:t>
      </w:r>
      <w:r w:rsidR="003373B2" w:rsidRPr="00DA1C48">
        <w:rPr>
          <w:lang w:val="es-ES"/>
        </w:rPr>
        <w:t>grandes rasgos</w:t>
      </w:r>
      <w:r w:rsidR="00A718C2">
        <w:rPr>
          <w:lang w:val="es-ES"/>
        </w:rPr>
        <w:t>,</w:t>
      </w:r>
      <w:r w:rsidR="003373B2" w:rsidRPr="00DA1C48">
        <w:rPr>
          <w:lang w:val="es-ES"/>
        </w:rPr>
        <w:t xml:space="preserve"> lo que dicen la </w:t>
      </w:r>
      <w:r w:rsidR="0012502B" w:rsidRPr="00DA1C48">
        <w:rPr>
          <w:lang w:val="es-ES"/>
        </w:rPr>
        <w:t>Convención</w:t>
      </w:r>
      <w:r w:rsidR="00274271" w:rsidRPr="00DA1C48">
        <w:rPr>
          <w:lang w:val="es-ES"/>
        </w:rPr>
        <w:t xml:space="preserve"> </w:t>
      </w:r>
      <w:r w:rsidR="002D2CDC" w:rsidRPr="00DA1C48">
        <w:rPr>
          <w:lang w:val="es-ES"/>
        </w:rPr>
        <w:t>y las</w:t>
      </w:r>
      <w:r w:rsidR="00274271" w:rsidRPr="00DA1C48">
        <w:rPr>
          <w:lang w:val="es-ES"/>
        </w:rPr>
        <w:t xml:space="preserve"> </w:t>
      </w:r>
      <w:r w:rsidR="00CE2903" w:rsidRPr="00DA1C48">
        <w:rPr>
          <w:lang w:val="es-ES"/>
        </w:rPr>
        <w:t>DO</w:t>
      </w:r>
      <w:r w:rsidR="00274271" w:rsidRPr="00DA1C48">
        <w:rPr>
          <w:lang w:val="es-ES"/>
        </w:rPr>
        <w:t xml:space="preserve"> </w:t>
      </w:r>
      <w:r w:rsidR="002D2CDC" w:rsidRPr="00DA1C48">
        <w:rPr>
          <w:lang w:val="es-ES"/>
        </w:rPr>
        <w:t>sobre las medidas jurídicas y administrativas encaminadas a la salvaguardia del P</w:t>
      </w:r>
      <w:r w:rsidR="00C475F6" w:rsidRPr="00DA1C48">
        <w:rPr>
          <w:lang w:val="es-ES"/>
        </w:rPr>
        <w:t>CI</w:t>
      </w:r>
      <w:r w:rsidR="00274271" w:rsidRPr="00DA1C48">
        <w:rPr>
          <w:lang w:val="es-ES"/>
        </w:rPr>
        <w:t>.</w:t>
      </w:r>
    </w:p>
    <w:p w:rsidR="00DF6A37" w:rsidRPr="00DA1C48" w:rsidRDefault="00EB2323" w:rsidP="009909DD">
      <w:pPr>
        <w:pStyle w:val="Texte1"/>
        <w:rPr>
          <w:lang w:val="es-ES"/>
        </w:rPr>
      </w:pPr>
      <w:r w:rsidRPr="00DA1C48">
        <w:rPr>
          <w:lang w:val="es-ES"/>
        </w:rPr>
        <w:t>En la Sección 2 del Texto para el Participante de la presente Unidad 10</w:t>
      </w:r>
      <w:r w:rsidR="00DF6A37" w:rsidRPr="00DA1C48">
        <w:rPr>
          <w:lang w:val="es-ES"/>
        </w:rPr>
        <w:t xml:space="preserve"> </w:t>
      </w:r>
      <w:r w:rsidR="002D2CDC" w:rsidRPr="00DA1C48">
        <w:rPr>
          <w:lang w:val="es-ES"/>
        </w:rPr>
        <w:t>se examinan las</w:t>
      </w:r>
      <w:r w:rsidR="00810A79" w:rsidRPr="00DA1C48">
        <w:rPr>
          <w:lang w:val="es-ES"/>
        </w:rPr>
        <w:t xml:space="preserve"> </w:t>
      </w:r>
      <w:r w:rsidR="002D2CDC" w:rsidRPr="00DA1C48">
        <w:rPr>
          <w:lang w:val="es-ES"/>
        </w:rPr>
        <w:t>medidas jurídicas y administrativas a nivel local, nac</w:t>
      </w:r>
      <w:r w:rsidR="00DF6A37" w:rsidRPr="00DA1C48">
        <w:rPr>
          <w:lang w:val="es-ES"/>
        </w:rPr>
        <w:t xml:space="preserve">ional </w:t>
      </w:r>
      <w:r w:rsidR="002D2CDC" w:rsidRPr="00DA1C48">
        <w:rPr>
          <w:lang w:val="es-ES"/>
        </w:rPr>
        <w:t>e</w:t>
      </w:r>
      <w:r w:rsidR="00DF6A37" w:rsidRPr="00DA1C48">
        <w:rPr>
          <w:lang w:val="es-ES"/>
        </w:rPr>
        <w:t xml:space="preserve"> interna</w:t>
      </w:r>
      <w:r w:rsidR="002D2CDC" w:rsidRPr="00DA1C48">
        <w:rPr>
          <w:lang w:val="es-ES"/>
        </w:rPr>
        <w:t>cional</w:t>
      </w:r>
      <w:r w:rsidR="00DF6A37" w:rsidRPr="00DA1C48">
        <w:rPr>
          <w:lang w:val="es-ES"/>
        </w:rPr>
        <w:t xml:space="preserve">. </w:t>
      </w:r>
    </w:p>
    <w:p w:rsidR="008C4DF2" w:rsidRPr="00DA1C48" w:rsidRDefault="002D2CDC" w:rsidP="009909DD">
      <w:pPr>
        <w:pStyle w:val="Texte1"/>
        <w:rPr>
          <w:lang w:val="es-ES"/>
        </w:rPr>
      </w:pPr>
      <w:r w:rsidRPr="00DA1C48">
        <w:rPr>
          <w:lang w:val="es-ES"/>
        </w:rPr>
        <w:t xml:space="preserve">En esta dispositiva se muestra cómo </w:t>
      </w:r>
      <w:r w:rsidR="00CA734E" w:rsidRPr="00DA1C48">
        <w:rPr>
          <w:lang w:val="es-ES"/>
        </w:rPr>
        <w:t xml:space="preserve">las </w:t>
      </w:r>
      <w:r w:rsidRPr="00DA1C48">
        <w:rPr>
          <w:lang w:val="es-ES"/>
        </w:rPr>
        <w:t>disposiciones, reglamentaciones e instituciones existentes en esos tres niveles pueden contribuir conjuntamente a la aplicación de la Convención</w:t>
      </w:r>
      <w:r w:rsidR="00DF6A37" w:rsidRPr="00DA1C48">
        <w:rPr>
          <w:lang w:val="es-ES"/>
        </w:rPr>
        <w:t xml:space="preserve">. </w:t>
      </w:r>
      <w:r w:rsidRPr="00DA1C48">
        <w:rPr>
          <w:lang w:val="es-ES"/>
        </w:rPr>
        <w:t>En teoría</w:t>
      </w:r>
      <w:r w:rsidR="00DF6A37" w:rsidRPr="00DA1C48">
        <w:rPr>
          <w:lang w:val="es-ES"/>
        </w:rPr>
        <w:t xml:space="preserve">, </w:t>
      </w:r>
      <w:r w:rsidRPr="00DA1C48">
        <w:rPr>
          <w:lang w:val="es-ES"/>
        </w:rPr>
        <w:t>la relación entre los diferentes</w:t>
      </w:r>
      <w:r w:rsidR="00810A79" w:rsidRPr="00DA1C48">
        <w:rPr>
          <w:lang w:val="es-ES"/>
        </w:rPr>
        <w:t xml:space="preserve"> </w:t>
      </w:r>
      <w:r w:rsidRPr="00DA1C48">
        <w:rPr>
          <w:lang w:val="es-ES"/>
        </w:rPr>
        <w:t xml:space="preserve">niveles se puede ser representar como la que </w:t>
      </w:r>
      <w:r w:rsidR="00C54FCA" w:rsidRPr="00DA1C48">
        <w:rPr>
          <w:lang w:val="es-ES"/>
        </w:rPr>
        <w:t>existe</w:t>
      </w:r>
      <w:r w:rsidRPr="00DA1C48">
        <w:rPr>
          <w:lang w:val="es-ES"/>
        </w:rPr>
        <w:t xml:space="preserve"> entre los engranajes de una máquina</w:t>
      </w:r>
      <w:r w:rsidR="008C4DF2" w:rsidRPr="00DA1C48">
        <w:rPr>
          <w:lang w:val="es-ES"/>
        </w:rPr>
        <w:t xml:space="preserve">. </w:t>
      </w:r>
      <w:r w:rsidR="00C54FCA" w:rsidRPr="00DA1C48">
        <w:rPr>
          <w:lang w:val="es-ES"/>
        </w:rPr>
        <w:t>En los marcos nacionales hay puntos de coincidencia con diversos acuerdos, convenciones y organizaciones internacionales</w:t>
      </w:r>
      <w:r w:rsidR="008C4DF2" w:rsidRPr="00DA1C48">
        <w:rPr>
          <w:lang w:val="es-ES"/>
        </w:rPr>
        <w:t xml:space="preserve">, </w:t>
      </w:r>
      <w:r w:rsidR="00C54FCA" w:rsidRPr="00DA1C48">
        <w:rPr>
          <w:lang w:val="es-ES"/>
        </w:rPr>
        <w:t xml:space="preserve">sobre todo cuando los </w:t>
      </w:r>
      <w:r w:rsidR="0012502B" w:rsidRPr="00DA1C48">
        <w:rPr>
          <w:lang w:val="es-ES"/>
        </w:rPr>
        <w:t>Estados</w:t>
      </w:r>
      <w:r w:rsidR="008C4DF2" w:rsidRPr="00DA1C48">
        <w:rPr>
          <w:lang w:val="es-ES"/>
        </w:rPr>
        <w:t xml:space="preserve"> </w:t>
      </w:r>
      <w:r w:rsidR="00C54FCA" w:rsidRPr="00DA1C48">
        <w:rPr>
          <w:lang w:val="es-ES"/>
        </w:rPr>
        <w:t>son signatarios de esos acuerdos y convenciones o miembros de esas organizaciones</w:t>
      </w:r>
      <w:r w:rsidR="008C4DF2" w:rsidRPr="00DA1C48">
        <w:rPr>
          <w:lang w:val="es-ES"/>
        </w:rPr>
        <w:t xml:space="preserve">. </w:t>
      </w:r>
      <w:r w:rsidR="00C54FCA" w:rsidRPr="00DA1C48">
        <w:rPr>
          <w:lang w:val="es-ES"/>
        </w:rPr>
        <w:t>Los marcos nacionales determinan también, en gran medida, la</w:t>
      </w:r>
      <w:r w:rsidR="008C4DF2" w:rsidRPr="00DA1C48">
        <w:rPr>
          <w:lang w:val="es-ES"/>
        </w:rPr>
        <w:t xml:space="preserve"> organiza</w:t>
      </w:r>
      <w:r w:rsidR="00C54FCA" w:rsidRPr="00DA1C48">
        <w:rPr>
          <w:lang w:val="es-ES"/>
        </w:rPr>
        <w:t>ció</w:t>
      </w:r>
      <w:r w:rsidR="008C4DF2" w:rsidRPr="00DA1C48">
        <w:rPr>
          <w:lang w:val="es-ES"/>
        </w:rPr>
        <w:t xml:space="preserve">n </w:t>
      </w:r>
      <w:r w:rsidR="001206D6" w:rsidRPr="00DA1C48">
        <w:rPr>
          <w:lang w:val="es-ES"/>
        </w:rPr>
        <w:t xml:space="preserve">y las posibles actividades </w:t>
      </w:r>
      <w:r w:rsidR="00C54FCA" w:rsidRPr="00DA1C48">
        <w:rPr>
          <w:lang w:val="es-ES"/>
        </w:rPr>
        <w:t>de los programas de salvaguardia</w:t>
      </w:r>
      <w:r w:rsidR="00810A79" w:rsidRPr="00DA1C48">
        <w:rPr>
          <w:lang w:val="es-ES"/>
        </w:rPr>
        <w:t xml:space="preserve"> </w:t>
      </w:r>
      <w:r w:rsidR="001206D6" w:rsidRPr="00DA1C48">
        <w:rPr>
          <w:lang w:val="es-ES"/>
        </w:rPr>
        <w:t>a nivel</w:t>
      </w:r>
      <w:r w:rsidR="008C4DF2" w:rsidRPr="00DA1C48">
        <w:rPr>
          <w:lang w:val="es-ES"/>
        </w:rPr>
        <w:t xml:space="preserve"> local. </w:t>
      </w:r>
      <w:r w:rsidR="001206D6" w:rsidRPr="00DA1C48">
        <w:rPr>
          <w:lang w:val="es-ES"/>
        </w:rPr>
        <w:t>En el diagrama presentado en la diapositiva</w:t>
      </w:r>
      <w:r w:rsidR="00D75FDC" w:rsidRPr="00DA1C48">
        <w:rPr>
          <w:lang w:val="es-ES"/>
        </w:rPr>
        <w:t>,</w:t>
      </w:r>
      <w:r w:rsidR="005F64F7" w:rsidRPr="00DA1C48">
        <w:rPr>
          <w:lang w:val="es-ES"/>
        </w:rPr>
        <w:t xml:space="preserve"> </w:t>
      </w:r>
      <w:r w:rsidR="001206D6" w:rsidRPr="00DA1C48">
        <w:rPr>
          <w:lang w:val="es-ES"/>
        </w:rPr>
        <w:t xml:space="preserve">el puesto ocupado por los marcos jurídicos y administrativos locales es el más importante, ya que son cruciales para la aplicación de la Convención a nivel local, </w:t>
      </w:r>
      <w:r w:rsidR="00CA734E" w:rsidRPr="00DA1C48">
        <w:rPr>
          <w:lang w:val="es-ES"/>
        </w:rPr>
        <w:t>a pesar de que</w:t>
      </w:r>
      <w:r w:rsidR="001206D6" w:rsidRPr="00DA1C48">
        <w:rPr>
          <w:lang w:val="es-ES"/>
        </w:rPr>
        <w:t xml:space="preserve"> a menudo no se les prest</w:t>
      </w:r>
      <w:r w:rsidR="00CA734E" w:rsidRPr="00DA1C48">
        <w:rPr>
          <w:lang w:val="es-ES"/>
        </w:rPr>
        <w:t>a</w:t>
      </w:r>
      <w:r w:rsidR="001206D6" w:rsidRPr="00DA1C48">
        <w:rPr>
          <w:lang w:val="es-ES"/>
        </w:rPr>
        <w:t xml:space="preserve"> suficiente atención</w:t>
      </w:r>
      <w:r w:rsidR="008C4DF2" w:rsidRPr="00DA1C48">
        <w:rPr>
          <w:lang w:val="es-ES"/>
        </w:rPr>
        <w:t>. A</w:t>
      </w:r>
      <w:r w:rsidR="00CA734E" w:rsidRPr="00DA1C48">
        <w:rPr>
          <w:lang w:val="es-ES"/>
        </w:rPr>
        <w:t>unque en los debates sobre la salvaguardia del PCI se tienda a prestar más atención al papel desempeñado por las autoridades gubernamentales nacionales, por un lado, y a las comunidades interesadas, por otro, no se debe olvidar que</w:t>
      </w:r>
      <w:r w:rsidR="00810A79" w:rsidRPr="00DA1C48">
        <w:rPr>
          <w:lang w:val="es-ES"/>
        </w:rPr>
        <w:t xml:space="preserve"> </w:t>
      </w:r>
      <w:r w:rsidR="00CA734E" w:rsidRPr="00DA1C48">
        <w:rPr>
          <w:lang w:val="es-ES"/>
        </w:rPr>
        <w:t xml:space="preserve">los marcos jurídicos y administrativos locales desempeñan </w:t>
      </w:r>
      <w:r w:rsidR="00676AD7" w:rsidRPr="00DA1C48">
        <w:rPr>
          <w:lang w:val="es-ES"/>
        </w:rPr>
        <w:t>un papel fundamental en la facilitación de las actividades de salvaguardia</w:t>
      </w:r>
      <w:r w:rsidR="008C4DF2" w:rsidRPr="00DA1C48">
        <w:rPr>
          <w:lang w:val="es-ES"/>
        </w:rPr>
        <w:t>.</w:t>
      </w:r>
    </w:p>
    <w:p w:rsidR="003C1F6D" w:rsidRPr="00DA1C48" w:rsidRDefault="0012502B" w:rsidP="009909DD">
      <w:pPr>
        <w:pStyle w:val="Texte1"/>
        <w:rPr>
          <w:lang w:val="es-ES"/>
        </w:rPr>
      </w:pPr>
      <w:r w:rsidRPr="00DA1C48">
        <w:rPr>
          <w:b/>
          <w:szCs w:val="22"/>
          <w:lang w:val="es-ES"/>
        </w:rPr>
        <w:t>Artículo</w:t>
      </w:r>
      <w:r w:rsidR="003C1F6D" w:rsidRPr="00DA1C48">
        <w:rPr>
          <w:b/>
          <w:szCs w:val="22"/>
          <w:lang w:val="es-ES"/>
        </w:rPr>
        <w:t> 13</w:t>
      </w:r>
      <w:r w:rsidR="00676AD7" w:rsidRPr="00DA1C48">
        <w:rPr>
          <w:b/>
          <w:szCs w:val="22"/>
          <w:lang w:val="es-ES"/>
        </w:rPr>
        <w:t xml:space="preserve"> de la Convención</w:t>
      </w:r>
      <w:r w:rsidR="003C1F6D" w:rsidRPr="00DA1C48">
        <w:rPr>
          <w:b/>
          <w:szCs w:val="22"/>
          <w:lang w:val="es-ES"/>
        </w:rPr>
        <w:t xml:space="preserve"> – </w:t>
      </w:r>
      <w:r w:rsidR="00FD69DC" w:rsidRPr="00DA1C48">
        <w:rPr>
          <w:b/>
          <w:lang w:val="es-ES"/>
        </w:rPr>
        <w:t>Otras medidas de salvaguardia</w:t>
      </w:r>
    </w:p>
    <w:p w:rsidR="003C1F6D" w:rsidRPr="00DA1C48" w:rsidRDefault="00A718C2" w:rsidP="009909DD">
      <w:pPr>
        <w:pStyle w:val="Texte1"/>
        <w:rPr>
          <w:lang w:val="es-ES"/>
        </w:rPr>
      </w:pPr>
      <w:r>
        <w:rPr>
          <w:rFonts w:eastAsia="Calibri"/>
          <w:lang w:val="es-ES" w:eastAsia="es-ES"/>
        </w:rPr>
        <w:t>“</w:t>
      </w:r>
      <w:r w:rsidR="00FD69DC" w:rsidRPr="00DA1C48">
        <w:rPr>
          <w:rFonts w:eastAsia="Calibri"/>
          <w:lang w:val="es-ES" w:eastAsia="es-ES"/>
        </w:rPr>
        <w:t>Para asegurar la salvaguardia, el desarrollo y la valorización del patrimonio cultural inmaterial presente en su territorio, cada Estado Parte hará todo lo posible por</w:t>
      </w:r>
      <w:r w:rsidR="003C1F6D" w:rsidRPr="00DA1C48">
        <w:rPr>
          <w:szCs w:val="22"/>
          <w:lang w:val="es-ES"/>
        </w:rPr>
        <w:t xml:space="preserve">: </w:t>
      </w:r>
    </w:p>
    <w:p w:rsidR="003C1F6D" w:rsidRPr="00DA1C48" w:rsidRDefault="003C1F6D" w:rsidP="004936EF">
      <w:pPr>
        <w:pStyle w:val="numrationa"/>
        <w:rPr>
          <w:lang w:val="es-ES"/>
        </w:rPr>
      </w:pPr>
      <w:r w:rsidRPr="00DA1C48">
        <w:rPr>
          <w:lang w:val="es-ES"/>
        </w:rPr>
        <w:lastRenderedPageBreak/>
        <w:t>a)</w:t>
      </w:r>
      <w:r w:rsidRPr="00DA1C48">
        <w:rPr>
          <w:lang w:val="es-ES"/>
        </w:rPr>
        <w:tab/>
      </w:r>
      <w:r w:rsidR="00FD69DC" w:rsidRPr="00DA1C48">
        <w:rPr>
          <w:rFonts w:eastAsia="Calibri"/>
          <w:lang w:val="es-ES" w:eastAsia="es-ES"/>
        </w:rPr>
        <w:t>adoptar una política general encaminada a realzar la función del patrimonio cultural inmaterial en la sociedad y a integrar su salvaguardia en programas de planificación</w:t>
      </w:r>
      <w:r w:rsidRPr="00DA1C48">
        <w:rPr>
          <w:lang w:val="es-ES"/>
        </w:rPr>
        <w:t xml:space="preserve">; </w:t>
      </w:r>
    </w:p>
    <w:p w:rsidR="003C1F6D" w:rsidRPr="00DA1C48" w:rsidRDefault="003C1F6D" w:rsidP="004936EF">
      <w:pPr>
        <w:pStyle w:val="numrationa"/>
        <w:rPr>
          <w:lang w:val="es-ES"/>
        </w:rPr>
      </w:pPr>
      <w:r w:rsidRPr="00DA1C48">
        <w:rPr>
          <w:lang w:val="es-ES"/>
        </w:rPr>
        <w:t>b)</w:t>
      </w:r>
      <w:r w:rsidRPr="00DA1C48">
        <w:rPr>
          <w:lang w:val="es-ES"/>
        </w:rPr>
        <w:tab/>
      </w:r>
      <w:r w:rsidR="00FD69DC" w:rsidRPr="00DA1C48">
        <w:rPr>
          <w:rFonts w:eastAsia="Calibri"/>
          <w:lang w:val="es-ES" w:eastAsia="es-ES"/>
        </w:rPr>
        <w:t>designar o crear uno o varios organismos competentes para la salvaguardia del patrimonio cultural inmaterial presente en su territorio</w:t>
      </w:r>
      <w:r w:rsidRPr="00DA1C48">
        <w:rPr>
          <w:lang w:val="es-ES"/>
        </w:rPr>
        <w:t xml:space="preserve">; </w:t>
      </w:r>
    </w:p>
    <w:p w:rsidR="003C1F6D" w:rsidRPr="00DA1C48" w:rsidRDefault="00FD69DC" w:rsidP="004936EF">
      <w:pPr>
        <w:pStyle w:val="numrationa"/>
        <w:rPr>
          <w:lang w:val="es-ES"/>
        </w:rPr>
      </w:pPr>
      <w:r w:rsidRPr="00DA1C48">
        <w:rPr>
          <w:lang w:val="es-ES"/>
        </w:rPr>
        <w:t>[</w:t>
      </w:r>
      <w:r w:rsidR="003C1F6D" w:rsidRPr="00DA1C48">
        <w:rPr>
          <w:lang w:val="es-ES"/>
        </w:rPr>
        <w:t>…</w:t>
      </w:r>
      <w:r w:rsidRPr="00DA1C48">
        <w:rPr>
          <w:lang w:val="es-ES"/>
        </w:rPr>
        <w:t>]</w:t>
      </w:r>
    </w:p>
    <w:p w:rsidR="003C1F6D" w:rsidRPr="00DA1C48" w:rsidRDefault="003C1F6D" w:rsidP="004936EF">
      <w:pPr>
        <w:pStyle w:val="numrationa"/>
        <w:rPr>
          <w:lang w:val="es-ES"/>
        </w:rPr>
      </w:pPr>
      <w:r w:rsidRPr="00DA1C48">
        <w:rPr>
          <w:lang w:val="es-ES"/>
        </w:rPr>
        <w:t>d)</w:t>
      </w:r>
      <w:r w:rsidRPr="00DA1C48">
        <w:rPr>
          <w:lang w:val="es-ES"/>
        </w:rPr>
        <w:tab/>
      </w:r>
      <w:r w:rsidR="00FD69DC" w:rsidRPr="00DA1C48">
        <w:rPr>
          <w:rFonts w:eastAsia="Calibri"/>
          <w:lang w:val="es-ES" w:eastAsia="es-ES"/>
        </w:rPr>
        <w:t>adoptar las medidas de orden jurídico, técnico, administrativo y financiero adecuadas para</w:t>
      </w:r>
      <w:r w:rsidRPr="00DA1C48">
        <w:rPr>
          <w:lang w:val="es-ES"/>
        </w:rPr>
        <w:t xml:space="preserve">: </w:t>
      </w:r>
    </w:p>
    <w:p w:rsidR="003C1F6D" w:rsidRPr="00DA1C48" w:rsidRDefault="003C1F6D" w:rsidP="004936EF">
      <w:pPr>
        <w:pStyle w:val="enui"/>
        <w:rPr>
          <w:lang w:val="es-ES"/>
        </w:rPr>
      </w:pPr>
      <w:r w:rsidRPr="00DA1C48">
        <w:rPr>
          <w:lang w:val="es-ES"/>
        </w:rPr>
        <w:t>i)</w:t>
      </w:r>
      <w:r w:rsidRPr="00DA1C48">
        <w:rPr>
          <w:lang w:val="es-ES"/>
        </w:rPr>
        <w:tab/>
      </w:r>
      <w:r w:rsidR="00FD69DC" w:rsidRPr="00DA1C48">
        <w:rPr>
          <w:rFonts w:eastAsia="Calibri"/>
          <w:lang w:val="es-ES" w:eastAsia="es-ES"/>
        </w:rPr>
        <w:t>favorecer la creación o el fortalecimiento de instituciones de formación en gestión del patrimonio cultural inmaterial</w:t>
      </w:r>
      <w:r w:rsidRPr="00DA1C48">
        <w:rPr>
          <w:lang w:val="es-ES"/>
        </w:rPr>
        <w:t xml:space="preserve"> </w:t>
      </w:r>
      <w:r w:rsidR="00FD69DC" w:rsidRPr="00DA1C48">
        <w:rPr>
          <w:lang w:val="es-ES"/>
        </w:rPr>
        <w:t>[</w:t>
      </w:r>
      <w:r w:rsidRPr="00DA1C48">
        <w:rPr>
          <w:lang w:val="es-ES"/>
        </w:rPr>
        <w:t>…</w:t>
      </w:r>
      <w:r w:rsidR="00FD69DC" w:rsidRPr="00DA1C48">
        <w:rPr>
          <w:lang w:val="es-ES"/>
        </w:rPr>
        <w:t>]</w:t>
      </w:r>
      <w:r w:rsidRPr="00DA1C48">
        <w:rPr>
          <w:lang w:val="es-ES"/>
        </w:rPr>
        <w:t xml:space="preserve">; </w:t>
      </w:r>
    </w:p>
    <w:p w:rsidR="003C1F6D" w:rsidRPr="00DA1C48" w:rsidRDefault="00FD69DC" w:rsidP="004936EF">
      <w:pPr>
        <w:pStyle w:val="enui"/>
        <w:rPr>
          <w:lang w:val="es-ES"/>
        </w:rPr>
      </w:pPr>
      <w:r w:rsidRPr="00DA1C48">
        <w:rPr>
          <w:lang w:val="es-ES"/>
        </w:rPr>
        <w:t>[…]</w:t>
      </w:r>
    </w:p>
    <w:p w:rsidR="003C1F6D" w:rsidRPr="00DA1C48" w:rsidRDefault="003C1F6D" w:rsidP="004936EF">
      <w:pPr>
        <w:pStyle w:val="enui"/>
        <w:rPr>
          <w:lang w:val="es-ES"/>
        </w:rPr>
      </w:pPr>
      <w:r w:rsidRPr="00DA1C48">
        <w:rPr>
          <w:lang w:val="es-ES"/>
        </w:rPr>
        <w:t>iii)</w:t>
      </w:r>
      <w:r w:rsidRPr="00DA1C48">
        <w:rPr>
          <w:lang w:val="es-ES"/>
        </w:rPr>
        <w:tab/>
      </w:r>
      <w:proofErr w:type="gramStart"/>
      <w:r w:rsidR="00FD69DC" w:rsidRPr="00DA1C48">
        <w:rPr>
          <w:rFonts w:eastAsia="Calibri"/>
          <w:lang w:val="es-ES" w:eastAsia="es-ES"/>
        </w:rPr>
        <w:t>crear</w:t>
      </w:r>
      <w:proofErr w:type="gramEnd"/>
      <w:r w:rsidR="00FD69DC" w:rsidRPr="00DA1C48">
        <w:rPr>
          <w:rFonts w:eastAsia="Calibri"/>
          <w:lang w:val="es-ES" w:eastAsia="es-ES"/>
        </w:rPr>
        <w:t xml:space="preserve"> instituciones de documentación sobre el patrimonio cultural inmaterial y facilitar el acceso a ellas</w:t>
      </w:r>
      <w:r w:rsidRPr="00DA1C48">
        <w:rPr>
          <w:lang w:val="es-ES"/>
        </w:rPr>
        <w:t>.</w:t>
      </w:r>
      <w:r w:rsidR="00A718C2">
        <w:rPr>
          <w:lang w:val="es-ES"/>
        </w:rPr>
        <w:t>”</w:t>
      </w:r>
      <w:r w:rsidRPr="00DA1C48">
        <w:rPr>
          <w:lang w:val="es-ES"/>
        </w:rPr>
        <w:t xml:space="preserve"> </w:t>
      </w:r>
    </w:p>
    <w:p w:rsidR="008C4DF2" w:rsidRPr="00DA1C48" w:rsidRDefault="0012502B" w:rsidP="009909DD">
      <w:pPr>
        <w:pStyle w:val="Texte1"/>
        <w:rPr>
          <w:lang w:val="es-ES"/>
        </w:rPr>
      </w:pPr>
      <w:r w:rsidRPr="00DA1C48">
        <w:rPr>
          <w:lang w:val="es-ES"/>
        </w:rPr>
        <w:t>En el</w:t>
      </w:r>
      <w:r w:rsidR="008C4DF2" w:rsidRPr="00DA1C48">
        <w:rPr>
          <w:lang w:val="es-ES"/>
        </w:rPr>
        <w:t xml:space="preserve"> </w:t>
      </w:r>
      <w:r w:rsidRPr="00DA1C48">
        <w:rPr>
          <w:lang w:val="es-ES"/>
        </w:rPr>
        <w:t>Artículo</w:t>
      </w:r>
      <w:r w:rsidR="00442E1A" w:rsidRPr="00DA1C48">
        <w:rPr>
          <w:lang w:val="es-ES"/>
        </w:rPr>
        <w:t> </w:t>
      </w:r>
      <w:r w:rsidRPr="00DA1C48">
        <w:rPr>
          <w:lang w:val="es-ES"/>
        </w:rPr>
        <w:t>35 de la</w:t>
      </w:r>
      <w:r w:rsidR="008C4DF2" w:rsidRPr="00DA1C48">
        <w:rPr>
          <w:lang w:val="es-ES"/>
        </w:rPr>
        <w:t xml:space="preserve"> </w:t>
      </w:r>
      <w:r w:rsidRPr="00DA1C48">
        <w:rPr>
          <w:lang w:val="es-ES"/>
        </w:rPr>
        <w:t>Convención</w:t>
      </w:r>
      <w:r w:rsidR="00676AD7" w:rsidRPr="00DA1C48">
        <w:rPr>
          <w:lang w:val="es-ES"/>
        </w:rPr>
        <w:t xml:space="preserve"> se reconoce la situación diferente en que se hallan</w:t>
      </w:r>
      <w:r w:rsidR="00810A79" w:rsidRPr="00DA1C48">
        <w:rPr>
          <w:lang w:val="es-ES"/>
        </w:rPr>
        <w:t xml:space="preserve"> </w:t>
      </w:r>
      <w:r w:rsidR="00676AD7" w:rsidRPr="00DA1C48">
        <w:rPr>
          <w:lang w:val="es-ES"/>
        </w:rPr>
        <w:t xml:space="preserve">los Estados </w:t>
      </w:r>
      <w:r w:rsidR="008C4DF2" w:rsidRPr="00DA1C48">
        <w:rPr>
          <w:lang w:val="es-ES"/>
        </w:rPr>
        <w:t>federa</w:t>
      </w:r>
      <w:r w:rsidR="00676AD7" w:rsidRPr="00DA1C48">
        <w:rPr>
          <w:lang w:val="es-ES"/>
        </w:rPr>
        <w:t>les</w:t>
      </w:r>
      <w:r w:rsidR="008C4DF2" w:rsidRPr="00DA1C48">
        <w:rPr>
          <w:lang w:val="es-ES"/>
        </w:rPr>
        <w:t xml:space="preserve"> </w:t>
      </w:r>
      <w:r w:rsidR="00676AD7" w:rsidRPr="00DA1C48">
        <w:rPr>
          <w:lang w:val="es-ES"/>
        </w:rPr>
        <w:t xml:space="preserve">con respecto a los demás </w:t>
      </w:r>
      <w:r w:rsidRPr="00DA1C48">
        <w:rPr>
          <w:lang w:val="es-ES"/>
        </w:rPr>
        <w:t>Estados</w:t>
      </w:r>
      <w:r w:rsidR="008C4DF2" w:rsidRPr="00DA1C48">
        <w:rPr>
          <w:lang w:val="es-ES"/>
        </w:rPr>
        <w:t xml:space="preserve">. </w:t>
      </w:r>
      <w:r w:rsidR="00676AD7" w:rsidRPr="00DA1C48">
        <w:rPr>
          <w:lang w:val="es-ES"/>
        </w:rPr>
        <w:t xml:space="preserve">Cuando se devuelven competencias a </w:t>
      </w:r>
      <w:r w:rsidR="008A79A2" w:rsidRPr="00DA1C48">
        <w:rPr>
          <w:lang w:val="es-ES"/>
        </w:rPr>
        <w:t xml:space="preserve">los estados, </w:t>
      </w:r>
      <w:r w:rsidR="00676AD7" w:rsidRPr="00DA1C48">
        <w:rPr>
          <w:lang w:val="es-ES"/>
        </w:rPr>
        <w:t>distritos, provincias y cantones</w:t>
      </w:r>
      <w:r w:rsidR="008A79A2" w:rsidRPr="00DA1C48">
        <w:rPr>
          <w:lang w:val="es-ES"/>
        </w:rPr>
        <w:t xml:space="preserve"> constituyentes, puede resultar difícil elaborar políticas federales</w:t>
      </w:r>
      <w:r w:rsidR="008C4DF2" w:rsidRPr="00DA1C48">
        <w:rPr>
          <w:lang w:val="es-ES"/>
        </w:rPr>
        <w:t xml:space="preserve">. </w:t>
      </w:r>
      <w:r w:rsidR="008A79A2" w:rsidRPr="00DA1C48">
        <w:rPr>
          <w:lang w:val="es-ES"/>
        </w:rPr>
        <w:t>En ese caso, se supone que es el gobierno central quien debe alentar a las autoridades gubernamentales de los estados constituyentes a que apliquen la Convención al nivel que les corresponde. El gobierno central puede organizar o</w:t>
      </w:r>
      <w:r w:rsidR="00810A79" w:rsidRPr="00DA1C48">
        <w:rPr>
          <w:lang w:val="es-ES"/>
        </w:rPr>
        <w:t xml:space="preserve"> </w:t>
      </w:r>
      <w:r w:rsidR="008A79A2" w:rsidRPr="00DA1C48">
        <w:rPr>
          <w:lang w:val="es-ES"/>
        </w:rPr>
        <w:t xml:space="preserve">estimular la cooperación entre los estados constituyentes, pero es a él a quien incumbe la responsabilidad de acopiar la información sobre la aplicación de la Convención en el conjunto del territorio del Estado </w:t>
      </w:r>
      <w:r w:rsidR="00621EE7" w:rsidRPr="00DA1C48">
        <w:rPr>
          <w:lang w:val="es-ES"/>
        </w:rPr>
        <w:t>para presentar el correspondiente informe sexenal al Comité Intergubernamental para la Salvaguardia del Patrimonio Cultural Inmaterial</w:t>
      </w:r>
      <w:r w:rsidR="008C4DF2" w:rsidRPr="00DA1C48">
        <w:rPr>
          <w:lang w:val="es-ES"/>
        </w:rPr>
        <w:t>.</w:t>
      </w:r>
    </w:p>
    <w:p w:rsidR="008C4DF2" w:rsidRPr="00DA1C48" w:rsidRDefault="0012502B" w:rsidP="009909DD">
      <w:pPr>
        <w:pStyle w:val="Texte1"/>
        <w:rPr>
          <w:b/>
          <w:lang w:val="es-ES"/>
        </w:rPr>
      </w:pPr>
      <w:r w:rsidRPr="00DA1C48">
        <w:rPr>
          <w:b/>
          <w:lang w:val="es-ES"/>
        </w:rPr>
        <w:t>Artículo</w:t>
      </w:r>
      <w:r w:rsidR="00442E1A" w:rsidRPr="00DA1C48">
        <w:rPr>
          <w:b/>
          <w:lang w:val="es-ES"/>
        </w:rPr>
        <w:t> </w:t>
      </w:r>
      <w:r w:rsidR="003C1F6D" w:rsidRPr="00DA1C48">
        <w:rPr>
          <w:b/>
          <w:lang w:val="es-ES"/>
        </w:rPr>
        <w:t>35</w:t>
      </w:r>
      <w:r w:rsidR="004C326C">
        <w:rPr>
          <w:b/>
          <w:lang w:val="es-ES"/>
        </w:rPr>
        <w:t xml:space="preserve"> de la Convención</w:t>
      </w:r>
      <w:r w:rsidR="003C1F6D" w:rsidRPr="00DA1C48">
        <w:rPr>
          <w:b/>
          <w:lang w:val="es-ES"/>
        </w:rPr>
        <w:t xml:space="preserve"> – </w:t>
      </w:r>
      <w:r w:rsidRPr="00DA1C48">
        <w:rPr>
          <w:b/>
          <w:lang w:val="es-ES"/>
        </w:rPr>
        <w:t>Regímenes constitucionales federales o no unitarios</w:t>
      </w:r>
    </w:p>
    <w:p w:rsidR="008C4DF2" w:rsidRPr="00DA1C48" w:rsidRDefault="004C326C" w:rsidP="009909DD">
      <w:pPr>
        <w:pStyle w:val="Texte1"/>
        <w:rPr>
          <w:lang w:val="es-ES"/>
        </w:rPr>
      </w:pPr>
      <w:r>
        <w:rPr>
          <w:lang w:val="es-ES" w:eastAsia="es-ES"/>
        </w:rPr>
        <w:t>“</w:t>
      </w:r>
      <w:r w:rsidR="0012502B" w:rsidRPr="00DA1C48">
        <w:rPr>
          <w:lang w:val="es-ES" w:eastAsia="es-ES"/>
        </w:rPr>
        <w:t>A los Estados Partes que tengan un régimen constitucional federal o no unitario les serán aplicables las disposiciones siguientes</w:t>
      </w:r>
      <w:r w:rsidR="008C4DF2" w:rsidRPr="00DA1C48">
        <w:rPr>
          <w:lang w:val="es-ES"/>
        </w:rPr>
        <w:t xml:space="preserve">: </w:t>
      </w:r>
    </w:p>
    <w:p w:rsidR="008C4DF2" w:rsidRPr="00DA1C48" w:rsidRDefault="008C4DF2" w:rsidP="004936EF">
      <w:pPr>
        <w:pStyle w:val="numrationa"/>
        <w:rPr>
          <w:lang w:val="es-ES"/>
        </w:rPr>
      </w:pPr>
      <w:r w:rsidRPr="00DA1C48">
        <w:rPr>
          <w:lang w:val="es-ES"/>
        </w:rPr>
        <w:t>a</w:t>
      </w:r>
      <w:r w:rsidR="003C1F6D" w:rsidRPr="00DA1C48">
        <w:rPr>
          <w:lang w:val="es-ES"/>
        </w:rPr>
        <w:t>)</w:t>
      </w:r>
      <w:r w:rsidR="003C1F6D" w:rsidRPr="00DA1C48">
        <w:rPr>
          <w:lang w:val="es-ES"/>
        </w:rPr>
        <w:tab/>
      </w:r>
      <w:r w:rsidR="0012502B" w:rsidRPr="00DA1C48">
        <w:rPr>
          <w:rFonts w:eastAsia="Calibri"/>
          <w:lang w:val="es-ES" w:eastAsia="es-ES"/>
        </w:rPr>
        <w:t>por lo que respecta a las disposiciones de esta Convención cuya aplicación competa al poder legislativo federal o central, las obligaciones del gobierno federal o central serán idénticas a las de los Estados Partes que no constituyan Estados federales</w:t>
      </w:r>
      <w:r w:rsidRPr="00DA1C48">
        <w:rPr>
          <w:lang w:val="es-ES"/>
        </w:rPr>
        <w:t xml:space="preserve">; </w:t>
      </w:r>
    </w:p>
    <w:p w:rsidR="008C4DF2" w:rsidRPr="00DA1C48" w:rsidRDefault="008C4DF2" w:rsidP="004936EF">
      <w:pPr>
        <w:pStyle w:val="numrationa"/>
        <w:rPr>
          <w:lang w:val="es-ES"/>
        </w:rPr>
      </w:pPr>
      <w:r w:rsidRPr="00DA1C48">
        <w:rPr>
          <w:lang w:val="es-ES"/>
        </w:rPr>
        <w:t>b</w:t>
      </w:r>
      <w:r w:rsidR="003C1F6D" w:rsidRPr="00DA1C48">
        <w:rPr>
          <w:lang w:val="es-ES"/>
        </w:rPr>
        <w:t>)</w:t>
      </w:r>
      <w:r w:rsidR="003C1F6D" w:rsidRPr="00DA1C48">
        <w:rPr>
          <w:lang w:val="es-ES"/>
        </w:rPr>
        <w:tab/>
      </w:r>
      <w:proofErr w:type="gramStart"/>
      <w:r w:rsidR="0012502B" w:rsidRPr="00DA1C48">
        <w:rPr>
          <w:rFonts w:eastAsia="Calibri"/>
          <w:lang w:val="es-ES" w:eastAsia="es-ES"/>
        </w:rPr>
        <w:t>por</w:t>
      </w:r>
      <w:proofErr w:type="gramEnd"/>
      <w:r w:rsidR="0012502B" w:rsidRPr="00DA1C48">
        <w:rPr>
          <w:rFonts w:eastAsia="Calibri"/>
          <w:lang w:val="es-ES" w:eastAsia="es-ES"/>
        </w:rPr>
        <w:t xml:space="preserve"> lo que respecta a las disposiciones de la presente Convención cuya aplicación competa a cada uno de los Estados, países, provincias o cantones constituyentes, que en virtud del régimen constitucional de la federación no estén facultados para tomar medidas legislativas, el gobierno federal comunicará esas disposiciones, con su dictamen favorable, a las autoridades competentes de los Estados, países, provincias o cantones, para que éstas las aprueben</w:t>
      </w:r>
      <w:r w:rsidRPr="00DA1C48">
        <w:rPr>
          <w:lang w:val="es-ES"/>
        </w:rPr>
        <w:t>.</w:t>
      </w:r>
      <w:r w:rsidR="004C326C">
        <w:rPr>
          <w:lang w:val="es-ES"/>
        </w:rPr>
        <w:t>”</w:t>
      </w:r>
      <w:r w:rsidRPr="00DA1C48">
        <w:rPr>
          <w:lang w:val="es-ES"/>
        </w:rPr>
        <w:t xml:space="preserve"> </w:t>
      </w:r>
    </w:p>
    <w:p w:rsidR="003C1F6D" w:rsidRPr="00DA1C48" w:rsidRDefault="00EB2323" w:rsidP="004936EF">
      <w:pPr>
        <w:pStyle w:val="Heading6"/>
        <w:rPr>
          <w:lang w:val="es-ES"/>
        </w:rPr>
      </w:pPr>
      <w:r w:rsidRPr="00DA1C48">
        <w:rPr>
          <w:lang w:val="es-ES"/>
        </w:rPr>
        <w:t>DIAPOSITIVA</w:t>
      </w:r>
      <w:r w:rsidR="008C4DF2" w:rsidRPr="00DA1C48">
        <w:rPr>
          <w:lang w:val="es-ES"/>
        </w:rPr>
        <w:t xml:space="preserve"> 4</w:t>
      </w:r>
      <w:r w:rsidR="003C1F6D" w:rsidRPr="00DA1C48">
        <w:rPr>
          <w:lang w:val="es-ES"/>
        </w:rPr>
        <w:t>.</w:t>
      </w:r>
    </w:p>
    <w:p w:rsidR="008C4DF2" w:rsidRPr="00DA1C48" w:rsidRDefault="008C4DF2" w:rsidP="004936EF">
      <w:pPr>
        <w:pStyle w:val="diapo2"/>
        <w:rPr>
          <w:lang w:val="es-ES"/>
        </w:rPr>
      </w:pPr>
      <w:r w:rsidRPr="00DA1C48">
        <w:rPr>
          <w:lang w:val="es-ES"/>
        </w:rPr>
        <w:t>F</w:t>
      </w:r>
      <w:r w:rsidR="0012502B" w:rsidRPr="00DA1C48">
        <w:rPr>
          <w:lang w:val="es-ES"/>
        </w:rPr>
        <w:t>inalidades de los marcos</w:t>
      </w:r>
      <w:r w:rsidRPr="00DA1C48">
        <w:rPr>
          <w:lang w:val="es-ES"/>
        </w:rPr>
        <w:t xml:space="preserve"> </w:t>
      </w:r>
    </w:p>
    <w:p w:rsidR="008C4DF2" w:rsidRPr="00DA1C48" w:rsidRDefault="00EB2323" w:rsidP="009909DD">
      <w:pPr>
        <w:pStyle w:val="Texte1"/>
        <w:rPr>
          <w:lang w:val="es-ES"/>
        </w:rPr>
      </w:pPr>
      <w:r w:rsidRPr="00DA1C48">
        <w:rPr>
          <w:lang w:val="es-ES"/>
        </w:rPr>
        <w:t>En la Sección 1 del Texto para el Participante de la presente Unidad 10</w:t>
      </w:r>
      <w:r w:rsidR="001C6DE7" w:rsidRPr="00DA1C48">
        <w:rPr>
          <w:lang w:val="es-ES"/>
        </w:rPr>
        <w:t xml:space="preserve"> </w:t>
      </w:r>
      <w:r w:rsidR="00621EE7" w:rsidRPr="00DA1C48">
        <w:rPr>
          <w:lang w:val="es-ES"/>
        </w:rPr>
        <w:t>se presentan a grandes rasgos algunas de las tareas cuya ejecución puede ser facilitada, coordinada o llevada a cabo gracias a los marcos jurídicos y administrativos</w:t>
      </w:r>
      <w:r w:rsidR="001C6DE7" w:rsidRPr="00DA1C48">
        <w:rPr>
          <w:lang w:val="es-ES"/>
        </w:rPr>
        <w:t>.</w:t>
      </w:r>
    </w:p>
    <w:p w:rsidR="001C6DE7" w:rsidRPr="00DA1C48" w:rsidRDefault="0012502B" w:rsidP="004936EF">
      <w:pPr>
        <w:pStyle w:val="Soustitre"/>
        <w:rPr>
          <w:caps/>
          <w:lang w:val="es-ES"/>
        </w:rPr>
      </w:pPr>
      <w:r w:rsidRPr="00DA1C48">
        <w:rPr>
          <w:lang w:val="es-ES"/>
        </w:rPr>
        <w:lastRenderedPageBreak/>
        <w:t>Nota sobre la elaboración de marcos jurídicos y administrativos que pueden coadyuvar a la salvaguardia del PCI</w:t>
      </w:r>
    </w:p>
    <w:p w:rsidR="008C4DF2" w:rsidRPr="00DA1C48" w:rsidRDefault="00621EE7" w:rsidP="009909DD">
      <w:pPr>
        <w:pStyle w:val="Texte1"/>
        <w:rPr>
          <w:lang w:val="es-ES"/>
        </w:rPr>
      </w:pPr>
      <w:r w:rsidRPr="00DA1C48">
        <w:rPr>
          <w:lang w:val="es-ES"/>
        </w:rPr>
        <w:t>Algunos</w:t>
      </w:r>
      <w:r w:rsidR="008C4DF2" w:rsidRPr="00DA1C48">
        <w:rPr>
          <w:lang w:val="es-ES"/>
        </w:rPr>
        <w:t xml:space="preserve"> </w:t>
      </w:r>
      <w:r w:rsidR="0012502B" w:rsidRPr="00DA1C48">
        <w:rPr>
          <w:lang w:val="es-ES"/>
        </w:rPr>
        <w:t>Estados</w:t>
      </w:r>
      <w:r w:rsidRPr="00DA1C48">
        <w:rPr>
          <w:lang w:val="es-ES"/>
        </w:rPr>
        <w:t xml:space="preserve"> que ahora son</w:t>
      </w:r>
      <w:r w:rsidR="0012502B" w:rsidRPr="00DA1C48">
        <w:rPr>
          <w:lang w:val="es-ES"/>
        </w:rPr>
        <w:t xml:space="preserve"> Partes</w:t>
      </w:r>
      <w:r w:rsidR="008C4DF2" w:rsidRPr="00DA1C48">
        <w:rPr>
          <w:lang w:val="es-ES"/>
        </w:rPr>
        <w:t xml:space="preserve"> </w:t>
      </w:r>
      <w:r w:rsidRPr="00DA1C48">
        <w:rPr>
          <w:lang w:val="es-ES"/>
        </w:rPr>
        <w:t xml:space="preserve">en la </w:t>
      </w:r>
      <w:r w:rsidR="0012502B" w:rsidRPr="00DA1C48">
        <w:rPr>
          <w:lang w:val="es-ES"/>
        </w:rPr>
        <w:t>Convención</w:t>
      </w:r>
      <w:r w:rsidRPr="00DA1C48">
        <w:rPr>
          <w:lang w:val="es-ES"/>
        </w:rPr>
        <w:t xml:space="preserve"> ya habían prestado, antes de adherirse a ella, una atención considerable al PCI en sus legislaciones, políticas y planes</w:t>
      </w:r>
      <w:r w:rsidR="008C4DF2" w:rsidRPr="00DA1C48">
        <w:rPr>
          <w:lang w:val="es-ES"/>
        </w:rPr>
        <w:t xml:space="preserve">. </w:t>
      </w:r>
      <w:r w:rsidR="00D42060" w:rsidRPr="00DA1C48">
        <w:rPr>
          <w:lang w:val="es-ES"/>
        </w:rPr>
        <w:t>En cambio, otros Estados, una vez que se han adherido a la Convención, tienen que replantearse sus políticas y marcos relativos al PCI para prestar la debida atención a la tarea de salvaguardarlo</w:t>
      </w:r>
      <w:r w:rsidR="008C4DF2" w:rsidRPr="00DA1C48">
        <w:rPr>
          <w:lang w:val="es-ES"/>
        </w:rPr>
        <w:t xml:space="preserve">. </w:t>
      </w:r>
      <w:r w:rsidR="00D42060" w:rsidRPr="00DA1C48">
        <w:rPr>
          <w:lang w:val="es-ES"/>
        </w:rPr>
        <w:t>Esto puede hacer necesario que, entre otras cosas, se revisen los mandatos de los ministerios y las instituciones financiadas con fondos públicos, que se creen nuevas instituciones y que se reconsideren las asignaciones presupuestarias</w:t>
      </w:r>
      <w:r w:rsidR="008C4DF2" w:rsidRPr="00DA1C48">
        <w:rPr>
          <w:lang w:val="es-ES"/>
        </w:rPr>
        <w:t xml:space="preserve">. </w:t>
      </w:r>
      <w:r w:rsidR="00D42060" w:rsidRPr="00DA1C48">
        <w:rPr>
          <w:lang w:val="es-ES"/>
        </w:rPr>
        <w:t xml:space="preserve">Si en un principio no </w:t>
      </w:r>
      <w:r w:rsidR="004962EE" w:rsidRPr="00DA1C48">
        <w:rPr>
          <w:lang w:val="es-ES"/>
        </w:rPr>
        <w:t>les resulta</w:t>
      </w:r>
      <w:r w:rsidR="00D42060" w:rsidRPr="00DA1C48">
        <w:rPr>
          <w:lang w:val="es-ES"/>
        </w:rPr>
        <w:t xml:space="preserve"> </w:t>
      </w:r>
      <w:r w:rsidR="004962EE" w:rsidRPr="00DA1C48">
        <w:rPr>
          <w:lang w:val="es-ES"/>
        </w:rPr>
        <w:t>po</w:t>
      </w:r>
      <w:r w:rsidR="00D42060" w:rsidRPr="00DA1C48">
        <w:rPr>
          <w:lang w:val="es-ES"/>
        </w:rPr>
        <w:t xml:space="preserve">sible llevar a cabo </w:t>
      </w:r>
      <w:r w:rsidR="004962EE" w:rsidRPr="00DA1C48">
        <w:rPr>
          <w:lang w:val="es-ES"/>
        </w:rPr>
        <w:t xml:space="preserve">todas </w:t>
      </w:r>
      <w:r w:rsidR="00D42060" w:rsidRPr="00DA1C48">
        <w:rPr>
          <w:lang w:val="es-ES"/>
        </w:rPr>
        <w:t>esas tareas</w:t>
      </w:r>
      <w:r w:rsidR="008C4DF2" w:rsidRPr="00DA1C48">
        <w:rPr>
          <w:lang w:val="es-ES"/>
        </w:rPr>
        <w:t xml:space="preserve">, </w:t>
      </w:r>
      <w:r w:rsidR="004962EE" w:rsidRPr="00DA1C48">
        <w:rPr>
          <w:lang w:val="es-ES"/>
        </w:rPr>
        <w:t xml:space="preserve">los </w:t>
      </w:r>
      <w:r w:rsidR="0012502B" w:rsidRPr="00DA1C48">
        <w:rPr>
          <w:lang w:val="es-ES"/>
        </w:rPr>
        <w:t>Estados Partes</w:t>
      </w:r>
      <w:r w:rsidR="008C4DF2" w:rsidRPr="00DA1C48">
        <w:rPr>
          <w:lang w:val="es-ES"/>
        </w:rPr>
        <w:t xml:space="preserve"> </w:t>
      </w:r>
      <w:r w:rsidR="004962EE" w:rsidRPr="00DA1C48">
        <w:rPr>
          <w:lang w:val="es-ES"/>
        </w:rPr>
        <w:t>sí deben</w:t>
      </w:r>
      <w:r w:rsidR="008C4DF2" w:rsidRPr="00DA1C48">
        <w:rPr>
          <w:lang w:val="es-ES"/>
        </w:rPr>
        <w:t xml:space="preserve">, </w:t>
      </w:r>
      <w:r w:rsidR="004962EE" w:rsidRPr="00DA1C48">
        <w:rPr>
          <w:lang w:val="es-ES"/>
        </w:rPr>
        <w:t>por lo menos</w:t>
      </w:r>
      <w:r w:rsidR="008C4DF2" w:rsidRPr="00DA1C48">
        <w:rPr>
          <w:lang w:val="es-ES"/>
        </w:rPr>
        <w:t xml:space="preserve">, </w:t>
      </w:r>
      <w:r w:rsidR="004962EE" w:rsidRPr="00DA1C48">
        <w:rPr>
          <w:lang w:val="es-ES"/>
        </w:rPr>
        <w:t>capacitar a funcionarios de los departamentos</w:t>
      </w:r>
      <w:r w:rsidR="00810A79" w:rsidRPr="00DA1C48">
        <w:rPr>
          <w:lang w:val="es-ES"/>
        </w:rPr>
        <w:t xml:space="preserve"> </w:t>
      </w:r>
      <w:r w:rsidR="004962EE" w:rsidRPr="00DA1C48">
        <w:rPr>
          <w:lang w:val="es-ES"/>
        </w:rPr>
        <w:t xml:space="preserve">gubernamentales ya existentes dedicados al patrimonio cultural material, a fin de que centren cada vez más su atención en la </w:t>
      </w:r>
      <w:r w:rsidR="008C4DF2" w:rsidRPr="00DA1C48">
        <w:rPr>
          <w:lang w:val="es-ES"/>
        </w:rPr>
        <w:t>sa</w:t>
      </w:r>
      <w:r w:rsidR="004962EE" w:rsidRPr="00DA1C48">
        <w:rPr>
          <w:lang w:val="es-ES"/>
        </w:rPr>
        <w:t>lvaguardia del</w:t>
      </w:r>
      <w:r w:rsidR="008C4DF2" w:rsidRPr="00DA1C48">
        <w:rPr>
          <w:lang w:val="es-ES"/>
        </w:rPr>
        <w:t xml:space="preserve"> </w:t>
      </w:r>
      <w:r w:rsidR="00C475F6" w:rsidRPr="00DA1C48">
        <w:rPr>
          <w:lang w:val="es-ES"/>
        </w:rPr>
        <w:t>PCI</w:t>
      </w:r>
      <w:r w:rsidR="008C4DF2" w:rsidRPr="00DA1C48">
        <w:rPr>
          <w:lang w:val="es-ES"/>
        </w:rPr>
        <w:t>.</w:t>
      </w:r>
    </w:p>
    <w:p w:rsidR="003C1F6D" w:rsidRPr="00DA1C48" w:rsidRDefault="00EB2323" w:rsidP="004936EF">
      <w:pPr>
        <w:pStyle w:val="Heading6"/>
        <w:rPr>
          <w:lang w:val="es-ES"/>
        </w:rPr>
      </w:pPr>
      <w:r w:rsidRPr="00DA1C48">
        <w:rPr>
          <w:lang w:val="es-ES"/>
        </w:rPr>
        <w:t>DIAPOSITIVA</w:t>
      </w:r>
      <w:r w:rsidR="008C4DF2" w:rsidRPr="00DA1C48">
        <w:rPr>
          <w:lang w:val="es-ES"/>
        </w:rPr>
        <w:t xml:space="preserve"> 5</w:t>
      </w:r>
      <w:r w:rsidR="003C1F6D" w:rsidRPr="00DA1C48">
        <w:rPr>
          <w:lang w:val="es-ES"/>
        </w:rPr>
        <w:t>.</w:t>
      </w:r>
    </w:p>
    <w:p w:rsidR="008C4DF2" w:rsidRPr="00DA1C48" w:rsidRDefault="0012502B" w:rsidP="004936EF">
      <w:pPr>
        <w:pStyle w:val="diapo2"/>
        <w:rPr>
          <w:lang w:val="es-ES"/>
        </w:rPr>
      </w:pPr>
      <w:r w:rsidRPr="00DA1C48">
        <w:rPr>
          <w:bCs/>
          <w:lang w:val="es-ES"/>
        </w:rPr>
        <w:t xml:space="preserve">La procesión de los </w:t>
      </w:r>
      <w:r w:rsidRPr="00DA1C48">
        <w:rPr>
          <w:bCs/>
          <w:i/>
          <w:lang w:val="es-ES"/>
        </w:rPr>
        <w:t>yamahoko</w:t>
      </w:r>
      <w:r w:rsidRPr="00DA1C48">
        <w:rPr>
          <w:bCs/>
          <w:lang w:val="es-ES"/>
        </w:rPr>
        <w:t>, carros alegóricos del Festival de Gion de la ciudad de Kyoto (Japón)</w:t>
      </w:r>
    </w:p>
    <w:p w:rsidR="008C4DF2" w:rsidRPr="00DA1C48" w:rsidRDefault="004962EE" w:rsidP="009909DD">
      <w:pPr>
        <w:pStyle w:val="Texte1"/>
        <w:rPr>
          <w:lang w:val="es-ES"/>
        </w:rPr>
      </w:pPr>
      <w:r w:rsidRPr="00DA1C48">
        <w:rPr>
          <w:lang w:val="es-ES"/>
        </w:rPr>
        <w:t xml:space="preserve">Los </w:t>
      </w:r>
      <w:r w:rsidR="0012502B" w:rsidRPr="00DA1C48">
        <w:rPr>
          <w:lang w:val="es-ES"/>
        </w:rPr>
        <w:t>Estados Partes</w:t>
      </w:r>
      <w:r w:rsidR="008C4DF2" w:rsidRPr="00DA1C48">
        <w:rPr>
          <w:lang w:val="es-ES"/>
        </w:rPr>
        <w:t xml:space="preserve"> </w:t>
      </w:r>
      <w:r w:rsidRPr="00DA1C48">
        <w:rPr>
          <w:lang w:val="es-ES"/>
        </w:rPr>
        <w:t>deben velar por que se lleve a cabo una labor conjunta en los diferentes niveles de los marcos jurídicos y administrativos</w:t>
      </w:r>
      <w:r w:rsidR="00AA7D37" w:rsidRPr="00DA1C48">
        <w:rPr>
          <w:lang w:val="es-ES"/>
        </w:rPr>
        <w:t xml:space="preserve">, tal como ocurre en Japón con el elemento del PCI denominado “La procesión de los </w:t>
      </w:r>
      <w:proofErr w:type="spellStart"/>
      <w:r w:rsidR="00AA7D37" w:rsidRPr="00DA1C48">
        <w:rPr>
          <w:i/>
          <w:lang w:val="es-ES"/>
        </w:rPr>
        <w:t>yamahoko</w:t>
      </w:r>
      <w:proofErr w:type="spellEnd"/>
      <w:r w:rsidR="00AA7D37" w:rsidRPr="00DA1C48">
        <w:rPr>
          <w:lang w:val="es-ES"/>
        </w:rPr>
        <w:t xml:space="preserve">, carros alegóricos del Festival de </w:t>
      </w:r>
      <w:proofErr w:type="spellStart"/>
      <w:r w:rsidR="00AA7D37" w:rsidRPr="00DA1C48">
        <w:rPr>
          <w:lang w:val="es-ES"/>
        </w:rPr>
        <w:t>Gion</w:t>
      </w:r>
      <w:proofErr w:type="spellEnd"/>
      <w:r w:rsidR="00AA7D37" w:rsidRPr="00DA1C48">
        <w:rPr>
          <w:lang w:val="es-ES"/>
        </w:rPr>
        <w:t xml:space="preserve"> de la ciudad de </w:t>
      </w:r>
      <w:proofErr w:type="spellStart"/>
      <w:r w:rsidR="00AA7D37" w:rsidRPr="00DA1C48">
        <w:rPr>
          <w:lang w:val="es-ES"/>
        </w:rPr>
        <w:t>Kyoto</w:t>
      </w:r>
      <w:proofErr w:type="spellEnd"/>
      <w:r w:rsidR="00AA7D37" w:rsidRPr="00DA1C48">
        <w:rPr>
          <w:lang w:val="es-ES"/>
        </w:rPr>
        <w:t>”</w:t>
      </w:r>
      <w:r w:rsidR="008C4DF2" w:rsidRPr="00DA1C48">
        <w:rPr>
          <w:lang w:val="es-ES"/>
        </w:rPr>
        <w:t xml:space="preserve">. </w:t>
      </w:r>
    </w:p>
    <w:p w:rsidR="007D3351" w:rsidRPr="00DA1C48" w:rsidRDefault="004962EE" w:rsidP="009909DD">
      <w:pPr>
        <w:pStyle w:val="Texte1"/>
        <w:rPr>
          <w:lang w:val="es-ES"/>
        </w:rPr>
      </w:pPr>
      <w:r w:rsidRPr="00DA1C48">
        <w:rPr>
          <w:rFonts w:eastAsia="Calibri"/>
          <w:szCs w:val="22"/>
          <w:lang w:val="es-ES" w:eastAsia="en-US"/>
        </w:rPr>
        <w:t>Véase</w:t>
      </w:r>
      <w:r w:rsidR="001A6B05" w:rsidRPr="00DA1C48">
        <w:rPr>
          <w:rFonts w:eastAsia="Calibri"/>
          <w:szCs w:val="22"/>
          <w:lang w:val="es-ES" w:eastAsia="en-US"/>
        </w:rPr>
        <w:t xml:space="preserve"> </w:t>
      </w:r>
      <w:r w:rsidR="004C326C">
        <w:rPr>
          <w:rFonts w:eastAsia="Calibri"/>
          <w:szCs w:val="22"/>
          <w:lang w:val="es-ES" w:eastAsia="en-US"/>
        </w:rPr>
        <w:t xml:space="preserve">el </w:t>
      </w:r>
      <w:r w:rsidR="00EB2323" w:rsidRPr="00DA1C48">
        <w:rPr>
          <w:rFonts w:eastAsia="Calibri"/>
          <w:szCs w:val="22"/>
          <w:lang w:val="es-ES" w:eastAsia="en-US"/>
        </w:rPr>
        <w:t>Estudio de Caso</w:t>
      </w:r>
      <w:r w:rsidR="00442E1A" w:rsidRPr="00DA1C48">
        <w:rPr>
          <w:lang w:val="es-ES"/>
        </w:rPr>
        <w:t> </w:t>
      </w:r>
      <w:r w:rsidR="007D3351" w:rsidRPr="00DA1C48">
        <w:rPr>
          <w:lang w:val="es-ES"/>
        </w:rPr>
        <w:t>1.</w:t>
      </w:r>
    </w:p>
    <w:p w:rsidR="003C1F6D" w:rsidRPr="00DA1C48" w:rsidRDefault="00EB2323" w:rsidP="004936EF">
      <w:pPr>
        <w:pStyle w:val="Heading6"/>
        <w:rPr>
          <w:lang w:val="es-ES"/>
        </w:rPr>
      </w:pPr>
      <w:r w:rsidRPr="00DA1C48">
        <w:rPr>
          <w:lang w:val="es-ES"/>
        </w:rPr>
        <w:t>DIAPOSITIVA</w:t>
      </w:r>
      <w:r w:rsidR="008C4DF2" w:rsidRPr="00DA1C48">
        <w:rPr>
          <w:lang w:val="es-ES"/>
        </w:rPr>
        <w:t xml:space="preserve"> 6</w:t>
      </w:r>
      <w:r w:rsidR="003C1F6D" w:rsidRPr="00DA1C48">
        <w:rPr>
          <w:lang w:val="es-ES"/>
        </w:rPr>
        <w:t>.</w:t>
      </w:r>
    </w:p>
    <w:p w:rsidR="008C4DF2" w:rsidRPr="00DA1C48" w:rsidRDefault="0012502B" w:rsidP="004936EF">
      <w:pPr>
        <w:pStyle w:val="diapo2"/>
        <w:rPr>
          <w:lang w:val="es-ES"/>
        </w:rPr>
      </w:pPr>
      <w:r w:rsidRPr="00DA1C48">
        <w:rPr>
          <w:bCs/>
          <w:lang w:val="es-ES"/>
        </w:rPr>
        <w:t xml:space="preserve">Marcos relacionados con </w:t>
      </w:r>
      <w:r w:rsidR="00AA7D37" w:rsidRPr="00DA1C48">
        <w:rPr>
          <w:bCs/>
          <w:lang w:val="es-ES"/>
        </w:rPr>
        <w:t xml:space="preserve">la procesión de </w:t>
      </w:r>
      <w:r w:rsidRPr="00DA1C48">
        <w:rPr>
          <w:bCs/>
          <w:lang w:val="es-ES"/>
        </w:rPr>
        <w:t xml:space="preserve">los </w:t>
      </w:r>
      <w:r w:rsidRPr="00DA1C48">
        <w:rPr>
          <w:bCs/>
          <w:i/>
          <w:lang w:val="es-ES"/>
        </w:rPr>
        <w:t>yamahoko</w:t>
      </w:r>
    </w:p>
    <w:p w:rsidR="008C4DF2" w:rsidRPr="00DA1C48" w:rsidRDefault="00032DEE" w:rsidP="009909DD">
      <w:pPr>
        <w:pStyle w:val="Texte1"/>
        <w:rPr>
          <w:lang w:val="es-ES"/>
        </w:rPr>
      </w:pPr>
      <w:r w:rsidRPr="00DA1C48">
        <w:rPr>
          <w:lang w:val="es-ES"/>
        </w:rPr>
        <w:t xml:space="preserve">En esta diapositiva se muestra la labor conjunta realizada en los diferentes marcos, a nivel local, nacional e internacional, para ayudar a la población local a que siga representando la procesión de los </w:t>
      </w:r>
      <w:proofErr w:type="spellStart"/>
      <w:r w:rsidRPr="00DA1C48">
        <w:rPr>
          <w:i/>
          <w:lang w:val="es-ES"/>
        </w:rPr>
        <w:t>yamahoko</w:t>
      </w:r>
      <w:proofErr w:type="spellEnd"/>
      <w:r w:rsidRPr="00DA1C48">
        <w:rPr>
          <w:lang w:val="es-ES"/>
        </w:rPr>
        <w:t xml:space="preserve"> y transmitiéndola a las generaciones venideras.</w:t>
      </w:r>
    </w:p>
    <w:p w:rsidR="008C4DF2" w:rsidRPr="00DA1C48" w:rsidRDefault="00F06F66" w:rsidP="009909DD">
      <w:pPr>
        <w:pStyle w:val="Texte1"/>
        <w:rPr>
          <w:lang w:val="es-ES"/>
        </w:rPr>
      </w:pPr>
      <w:r w:rsidRPr="00DA1C48">
        <w:rPr>
          <w:lang w:val="es-ES"/>
        </w:rPr>
        <w:t xml:space="preserve">Con respecto al </w:t>
      </w:r>
      <w:r w:rsidR="00A82FFE" w:rsidRPr="00DA1C48">
        <w:rPr>
          <w:lang w:val="es-ES"/>
        </w:rPr>
        <w:t>“</w:t>
      </w:r>
      <w:r w:rsidRPr="00DA1C48">
        <w:rPr>
          <w:lang w:val="es-ES"/>
        </w:rPr>
        <w:t>engranaje</w:t>
      </w:r>
      <w:r w:rsidR="00A82FFE" w:rsidRPr="00DA1C48">
        <w:rPr>
          <w:lang w:val="es-ES"/>
        </w:rPr>
        <w:t>”</w:t>
      </w:r>
      <w:r w:rsidRPr="00DA1C48">
        <w:rPr>
          <w:lang w:val="es-ES"/>
        </w:rPr>
        <w:t xml:space="preserve"> más pequeño representado en la diapositiva –que corresponde al nivel internacional– cabe decir que la procesión de los </w:t>
      </w:r>
      <w:proofErr w:type="spellStart"/>
      <w:r w:rsidRPr="00DA1C48">
        <w:rPr>
          <w:i/>
          <w:lang w:val="es-ES"/>
        </w:rPr>
        <w:t>yamahoko</w:t>
      </w:r>
      <w:proofErr w:type="spellEnd"/>
      <w:r w:rsidRPr="00DA1C48">
        <w:rPr>
          <w:lang w:val="es-ES"/>
        </w:rPr>
        <w:t xml:space="preserve"> está inscrita en la LR de la Convención. Al haber ratificado la Convención, Japón ha emprendido la tarea de salvaguardar el PCI presente en su territorio y ha asumido, en especial, la responsabilidad de salvaguardar los elementos que –como esa procesión– se han inscrito en las Listas de </w:t>
      </w:r>
      <w:proofErr w:type="spellStart"/>
      <w:r w:rsidRPr="00DA1C48">
        <w:rPr>
          <w:lang w:val="es-ES"/>
        </w:rPr>
        <w:t>de</w:t>
      </w:r>
      <w:proofErr w:type="spellEnd"/>
      <w:r w:rsidRPr="00DA1C48">
        <w:rPr>
          <w:lang w:val="es-ES"/>
        </w:rPr>
        <w:t xml:space="preserve"> la Convención.</w:t>
      </w:r>
      <w:r w:rsidR="008C4DF2" w:rsidRPr="00DA1C48">
        <w:rPr>
          <w:lang w:val="es-ES"/>
        </w:rPr>
        <w:t xml:space="preserve"> </w:t>
      </w:r>
    </w:p>
    <w:p w:rsidR="008C4DF2" w:rsidRPr="00DA1C48" w:rsidRDefault="00F06F66" w:rsidP="009909DD">
      <w:pPr>
        <w:pStyle w:val="Texte1"/>
        <w:rPr>
          <w:lang w:val="es-ES"/>
        </w:rPr>
      </w:pPr>
      <w:r w:rsidRPr="00DA1C48">
        <w:rPr>
          <w:lang w:val="es-ES"/>
        </w:rPr>
        <w:t xml:space="preserve">Las obligaciones contraídas por el Japón en virtud de la Convención están vinculadas con la labor realizada a nivel nacional en pro de la salvaguardia del PCI (segundo </w:t>
      </w:r>
      <w:r w:rsidR="00A82FFE" w:rsidRPr="00DA1C48">
        <w:rPr>
          <w:lang w:val="es-ES"/>
        </w:rPr>
        <w:t>“</w:t>
      </w:r>
      <w:r w:rsidRPr="00DA1C48">
        <w:rPr>
          <w:lang w:val="es-ES"/>
        </w:rPr>
        <w:t>engranaje</w:t>
      </w:r>
      <w:r w:rsidR="00A82FFE" w:rsidRPr="00DA1C48">
        <w:rPr>
          <w:lang w:val="es-ES"/>
        </w:rPr>
        <w:t>”</w:t>
      </w:r>
      <w:r w:rsidRPr="00DA1C48">
        <w:rPr>
          <w:lang w:val="es-ES"/>
        </w:rPr>
        <w:t xml:space="preserve"> representado en la diapositiva). El cumplimiento de esas obligaciones exige, por ejemplo, que el gobierno japonés presente cada seis años un informe sobre el elemento del PCI en cuestión, habida cuenta de que ha sido inscrito en la LR (DO 152). En virtud de la Ley </w:t>
      </w:r>
      <w:r w:rsidRPr="00DA1C48">
        <w:rPr>
          <w:lang w:val="es-ES" w:eastAsia="en-US"/>
        </w:rPr>
        <w:t xml:space="preserve">para la protección de los bienes culturales de 1950, se creó en Japón un inventario nacional de éstos. En 1979, la procesión de los </w:t>
      </w:r>
      <w:proofErr w:type="spellStart"/>
      <w:r w:rsidRPr="00DA1C48">
        <w:rPr>
          <w:i/>
          <w:lang w:val="es-ES" w:eastAsia="en-US"/>
        </w:rPr>
        <w:t>yamahoko</w:t>
      </w:r>
      <w:proofErr w:type="spellEnd"/>
      <w:r w:rsidRPr="00DA1C48">
        <w:rPr>
          <w:lang w:val="es-ES" w:eastAsia="en-US"/>
        </w:rPr>
        <w:t xml:space="preserve"> se incluyó en ese inventario como “</w:t>
      </w:r>
      <w:r w:rsidRPr="00DA1C48">
        <w:rPr>
          <w:lang w:val="es-ES"/>
        </w:rPr>
        <w:t>Bien cultural tradicional importante del PCI”</w:t>
      </w:r>
      <w:r w:rsidRPr="00DA1C48">
        <w:rPr>
          <w:lang w:val="es-ES" w:eastAsia="en-US"/>
        </w:rPr>
        <w:t xml:space="preserve">. Aquí tenemos otra vinculación entre el </w:t>
      </w:r>
      <w:r w:rsidRPr="00DA1C48">
        <w:rPr>
          <w:lang w:val="es-ES" w:eastAsia="en-US"/>
        </w:rPr>
        <w:lastRenderedPageBreak/>
        <w:t xml:space="preserve">marco nacional y el internacional: en efecto, la inclusión en un inventario es uno de los requisitos exigidos en el marco de la Convención para inscribir un elemento en la LR. En lo que respecta a la salvaguardia del PCI a nivel nacional, conviene señalar que los elementos del PCI japonés, como la procesión de los </w:t>
      </w:r>
      <w:proofErr w:type="spellStart"/>
      <w:r w:rsidRPr="00DA1C48">
        <w:rPr>
          <w:i/>
          <w:lang w:val="es-ES" w:eastAsia="en-US"/>
        </w:rPr>
        <w:t>yamahoko</w:t>
      </w:r>
      <w:proofErr w:type="spellEnd"/>
      <w:r w:rsidRPr="00DA1C48">
        <w:rPr>
          <w:lang w:val="es-ES" w:eastAsia="en-US"/>
        </w:rPr>
        <w:t>, son objeto de trabajos de investigación realizados por universidades e instituciones científicas, entre las que cabe mencionar una entidad independiente: el Instituto Nacional de Investigaciones sobre Bienes Culturales de Tokio.</w:t>
      </w:r>
      <w:r w:rsidR="008C4DF2" w:rsidRPr="00DA1C48">
        <w:rPr>
          <w:lang w:val="es-ES"/>
        </w:rPr>
        <w:t xml:space="preserve"> </w:t>
      </w:r>
    </w:p>
    <w:p w:rsidR="008C4DF2" w:rsidRPr="00DA1C48" w:rsidRDefault="00E758C7" w:rsidP="009909DD">
      <w:pPr>
        <w:pStyle w:val="Texte1"/>
        <w:rPr>
          <w:lang w:val="es-ES"/>
        </w:rPr>
      </w:pPr>
      <w:r w:rsidRPr="00DA1C48">
        <w:rPr>
          <w:lang w:val="es-ES"/>
        </w:rPr>
        <w:t xml:space="preserve">Finalmente, el tercer y más importante “engranaje” de la diapositiva es el que representa el nivel local. A este respecto, hay que señalar que la procesión figura en los inventarios provincial y municipal del PCI de la prefectura y la ciudad de </w:t>
      </w:r>
      <w:proofErr w:type="spellStart"/>
      <w:r w:rsidRPr="00DA1C48">
        <w:rPr>
          <w:lang w:val="es-ES"/>
        </w:rPr>
        <w:t>Kyoto</w:t>
      </w:r>
      <w:proofErr w:type="spellEnd"/>
      <w:r w:rsidRPr="00DA1C48">
        <w:rPr>
          <w:lang w:val="es-ES"/>
        </w:rPr>
        <w:t xml:space="preserve">, respectivamente. </w:t>
      </w:r>
      <w:r w:rsidRPr="00DA1C48">
        <w:rPr>
          <w:lang w:val="es-ES" w:eastAsia="en-US"/>
        </w:rPr>
        <w:t xml:space="preserve">En una “Ordenanza para promover la revitalización de </w:t>
      </w:r>
      <w:proofErr w:type="spellStart"/>
      <w:r w:rsidRPr="00DA1C48">
        <w:rPr>
          <w:lang w:val="es-ES" w:eastAsia="en-US"/>
        </w:rPr>
        <w:t>Kyoto</w:t>
      </w:r>
      <w:proofErr w:type="spellEnd"/>
      <w:r w:rsidRPr="00DA1C48">
        <w:rPr>
          <w:lang w:val="es-ES" w:eastAsia="en-US"/>
        </w:rPr>
        <w:t xml:space="preserve"> basada en la fuerza vivificadora de la cultura”, promulgada por la prefectura provincial, se exponen ampliamente los motivos por los que es necesario invertir para mantener la procesión de los </w:t>
      </w:r>
      <w:proofErr w:type="spellStart"/>
      <w:r w:rsidRPr="00DA1C48">
        <w:rPr>
          <w:i/>
          <w:lang w:val="es-ES" w:eastAsia="en-US"/>
        </w:rPr>
        <w:t>yamahoko</w:t>
      </w:r>
      <w:proofErr w:type="spellEnd"/>
      <w:r w:rsidRPr="00DA1C48">
        <w:rPr>
          <w:lang w:val="es-ES" w:eastAsia="en-US"/>
        </w:rPr>
        <w:t xml:space="preserve">. </w:t>
      </w:r>
      <w:r w:rsidRPr="00DA1C48">
        <w:rPr>
          <w:lang w:val="es-ES"/>
        </w:rPr>
        <w:t>De conformidad con el marco legislativo y reglamentario adoptado, las autoridades</w:t>
      </w:r>
      <w:r w:rsidRPr="00DA1C48">
        <w:rPr>
          <w:lang w:val="es-ES" w:eastAsia="en-US"/>
        </w:rPr>
        <w:t xml:space="preserve"> municipales, provinciales y nacionales aportan fondos para que este elemento del PCI perdure, y también para que se realicen trabajos de investigación sobre el mismo y se organicen sesiones de formación para quienes lo practican. El municipio de </w:t>
      </w:r>
      <w:proofErr w:type="spellStart"/>
      <w:r w:rsidRPr="00DA1C48">
        <w:rPr>
          <w:lang w:val="es-ES" w:eastAsia="en-US"/>
        </w:rPr>
        <w:t>Kyoto</w:t>
      </w:r>
      <w:proofErr w:type="spellEnd"/>
      <w:r w:rsidRPr="00DA1C48">
        <w:rPr>
          <w:lang w:val="es-ES" w:eastAsia="en-US"/>
        </w:rPr>
        <w:t xml:space="preserve"> se encarga de regular el recorrido de la procesión por la ciudad y de asegurarse, por ejemplo, de que los cables eléctricos aéreos no obstaculicen el paso de los carros alegóricos.</w:t>
      </w:r>
      <w:r w:rsidR="008C4DF2" w:rsidRPr="00DA1C48">
        <w:rPr>
          <w:lang w:val="es-ES"/>
        </w:rPr>
        <w:t xml:space="preserve"> </w:t>
      </w:r>
    </w:p>
    <w:p w:rsidR="008C4DF2" w:rsidRPr="00DA1C48" w:rsidRDefault="00E758C7" w:rsidP="009909DD">
      <w:pPr>
        <w:pStyle w:val="Texte1"/>
        <w:rPr>
          <w:lang w:val="es-ES"/>
        </w:rPr>
      </w:pPr>
      <w:r w:rsidRPr="00DA1C48">
        <w:rPr>
          <w:lang w:val="es-ES" w:eastAsia="en-US"/>
        </w:rPr>
        <w:t xml:space="preserve">Una organización comunitaria –la </w:t>
      </w:r>
      <w:r w:rsidRPr="00DA1C48">
        <w:rPr>
          <w:lang w:val="es-ES"/>
        </w:rPr>
        <w:t xml:space="preserve">Fundación para las Asociaciones de Preservación del Festival de </w:t>
      </w:r>
      <w:proofErr w:type="spellStart"/>
      <w:r w:rsidRPr="00DA1C48">
        <w:rPr>
          <w:lang w:val="es-ES"/>
        </w:rPr>
        <w:t>Gion</w:t>
      </w:r>
      <w:proofErr w:type="spellEnd"/>
      <w:r w:rsidRPr="00DA1C48">
        <w:rPr>
          <w:lang w:val="es-ES" w:eastAsia="en-US"/>
        </w:rPr>
        <w:t>– se ocupa de: impartir formación a los practicantes del elemento y los trabajadores auxiliares; coordinar a los grupos comunitarios participantes en la procesión; y velar por el mantenimiento y almacenamiento de los carros alegóricos y sus ornamentos. También lleva a cabo trabajos de investigación sobre el elemento, con ayuda de institutos de investigación y universidades</w:t>
      </w:r>
      <w:r w:rsidR="00AB3DF0" w:rsidRPr="00DA1C48">
        <w:rPr>
          <w:lang w:val="es-ES"/>
        </w:rPr>
        <w:t>.</w:t>
      </w:r>
    </w:p>
    <w:p w:rsidR="008C4DF2" w:rsidRPr="00DA1C48" w:rsidRDefault="00AB3DF0" w:rsidP="009909DD">
      <w:pPr>
        <w:pStyle w:val="Texte1"/>
        <w:rPr>
          <w:lang w:val="es-ES"/>
        </w:rPr>
      </w:pPr>
      <w:r w:rsidRPr="00DA1C48">
        <w:rPr>
          <w:lang w:val="es-ES"/>
        </w:rPr>
        <w:t xml:space="preserve">Pese a que la mayoría de todas esas infraestructuras legislativas e institucionales ya existían antes de que Japón se adhiriera a la Convención, es obvio que contribuyen a la aplicación de ésta a nivel local, nacional e internacional, ya que </w:t>
      </w:r>
      <w:r w:rsidR="00030EB6">
        <w:rPr>
          <w:lang w:val="es-ES"/>
        </w:rPr>
        <w:t xml:space="preserve">al </w:t>
      </w:r>
      <w:r w:rsidRPr="00DA1C48">
        <w:rPr>
          <w:lang w:val="es-ES"/>
        </w:rPr>
        <w:t>t</w:t>
      </w:r>
      <w:r w:rsidR="00030EB6">
        <w:rPr>
          <w:lang w:val="es-ES"/>
        </w:rPr>
        <w:t>ener</w:t>
      </w:r>
      <w:r w:rsidRPr="00DA1C48">
        <w:rPr>
          <w:lang w:val="es-ES"/>
        </w:rPr>
        <w:t xml:space="preserve"> por objeto la</w:t>
      </w:r>
      <w:r w:rsidR="00810A79" w:rsidRPr="00DA1C48">
        <w:rPr>
          <w:lang w:val="es-ES"/>
        </w:rPr>
        <w:t xml:space="preserve"> </w:t>
      </w:r>
      <w:r w:rsidRPr="00DA1C48">
        <w:rPr>
          <w:lang w:val="es-ES"/>
        </w:rPr>
        <w:t>salvaguard</w:t>
      </w:r>
      <w:r w:rsidR="00030EB6">
        <w:rPr>
          <w:lang w:val="es-ES"/>
        </w:rPr>
        <w:t>ia de</w:t>
      </w:r>
      <w:r w:rsidRPr="00DA1C48">
        <w:rPr>
          <w:lang w:val="es-ES"/>
        </w:rPr>
        <w:t xml:space="preserve">l elemento </w:t>
      </w:r>
      <w:r w:rsidR="00030EB6">
        <w:rPr>
          <w:lang w:val="es-ES"/>
        </w:rPr>
        <w:t>propician</w:t>
      </w:r>
      <w:r w:rsidRPr="00DA1C48">
        <w:rPr>
          <w:lang w:val="es-ES"/>
        </w:rPr>
        <w:t xml:space="preserve"> </w:t>
      </w:r>
      <w:r w:rsidR="00030EB6">
        <w:rPr>
          <w:lang w:val="es-ES"/>
        </w:rPr>
        <w:t>su</w:t>
      </w:r>
      <w:r w:rsidRPr="00DA1C48">
        <w:rPr>
          <w:lang w:val="es-ES"/>
        </w:rPr>
        <w:t xml:space="preserve"> aplicación </w:t>
      </w:r>
      <w:r w:rsidR="00030EB6">
        <w:rPr>
          <w:lang w:val="es-ES"/>
        </w:rPr>
        <w:t>a nivel nacional e internacional</w:t>
      </w:r>
      <w:r w:rsidRPr="00DA1C48">
        <w:rPr>
          <w:lang w:val="es-ES"/>
        </w:rPr>
        <w:t>.</w:t>
      </w:r>
    </w:p>
    <w:p w:rsidR="003C1F6D" w:rsidRPr="00DA1C48" w:rsidRDefault="00EB2323" w:rsidP="004936EF">
      <w:pPr>
        <w:pStyle w:val="Heading6"/>
        <w:rPr>
          <w:lang w:val="es-ES"/>
        </w:rPr>
      </w:pPr>
      <w:r w:rsidRPr="00DA1C48">
        <w:rPr>
          <w:lang w:val="es-ES"/>
        </w:rPr>
        <w:t>DIAPOSITIVA</w:t>
      </w:r>
      <w:r w:rsidR="008C4DF2" w:rsidRPr="00DA1C48">
        <w:rPr>
          <w:lang w:val="es-ES"/>
        </w:rPr>
        <w:t xml:space="preserve"> 7</w:t>
      </w:r>
      <w:r w:rsidR="003C1F6D" w:rsidRPr="00DA1C48">
        <w:rPr>
          <w:lang w:val="es-ES"/>
        </w:rPr>
        <w:t>.</w:t>
      </w:r>
    </w:p>
    <w:p w:rsidR="008C4DF2" w:rsidRPr="00DA1C48" w:rsidRDefault="00030EB6" w:rsidP="004936EF">
      <w:pPr>
        <w:pStyle w:val="diapo2"/>
        <w:rPr>
          <w:lang w:val="es-ES"/>
        </w:rPr>
      </w:pPr>
      <w:r w:rsidRPr="00786BA9">
        <w:rPr>
          <w:lang w:val="es-ES"/>
        </w:rPr>
        <w:t>Marcos L</w:t>
      </w:r>
      <w:r w:rsidR="0012502B" w:rsidRPr="00786BA9">
        <w:rPr>
          <w:lang w:val="es-ES"/>
        </w:rPr>
        <w:t>ocales (subtítulo)</w:t>
      </w:r>
    </w:p>
    <w:p w:rsidR="008C4DF2" w:rsidRPr="00DA1C48" w:rsidRDefault="00AB3DF0" w:rsidP="009909DD">
      <w:pPr>
        <w:pStyle w:val="Texte1"/>
        <w:rPr>
          <w:lang w:val="es-ES"/>
        </w:rPr>
      </w:pPr>
      <w:r w:rsidRPr="00DA1C48">
        <w:rPr>
          <w:lang w:val="es-ES"/>
        </w:rPr>
        <w:t xml:space="preserve">En la </w:t>
      </w:r>
      <w:r w:rsidR="00EB2323" w:rsidRPr="00DA1C48">
        <w:rPr>
          <w:lang w:val="es-ES"/>
        </w:rPr>
        <w:t>Sección 3 del Texto para el Participante de la presente Unidad 10</w:t>
      </w:r>
      <w:r w:rsidR="00AD441F" w:rsidRPr="00DA1C48">
        <w:rPr>
          <w:lang w:val="es-ES"/>
        </w:rPr>
        <w:t xml:space="preserve"> </w:t>
      </w:r>
      <w:r w:rsidRPr="00DA1C48">
        <w:rPr>
          <w:lang w:val="es-ES"/>
        </w:rPr>
        <w:t>se examina la</w:t>
      </w:r>
      <w:r w:rsidR="00810A79" w:rsidRPr="00DA1C48">
        <w:rPr>
          <w:lang w:val="es-ES"/>
        </w:rPr>
        <w:t xml:space="preserve"> </w:t>
      </w:r>
      <w:r w:rsidR="00980B03" w:rsidRPr="00DA1C48">
        <w:rPr>
          <w:lang w:val="es-ES"/>
        </w:rPr>
        <w:t xml:space="preserve">importancia de las políticas y medidas </w:t>
      </w:r>
      <w:proofErr w:type="spellStart"/>
      <w:r w:rsidR="00980B03" w:rsidRPr="00DA1C48">
        <w:rPr>
          <w:lang w:val="es-ES"/>
        </w:rPr>
        <w:t>subnacionales</w:t>
      </w:r>
      <w:proofErr w:type="spellEnd"/>
      <w:r w:rsidR="00980B03" w:rsidRPr="00DA1C48">
        <w:rPr>
          <w:lang w:val="es-ES"/>
        </w:rPr>
        <w:t xml:space="preserve"> (provinciales y locales) en la aplicación de la Convención. Se pueden mencionar diversos ejemplos a este respecto</w:t>
      </w:r>
      <w:r w:rsidR="00AD441F" w:rsidRPr="00DA1C48">
        <w:rPr>
          <w:lang w:val="es-ES"/>
        </w:rPr>
        <w:t>.</w:t>
      </w:r>
    </w:p>
    <w:p w:rsidR="003C1F6D" w:rsidRPr="00DA1C48" w:rsidRDefault="00EB2323" w:rsidP="004936EF">
      <w:pPr>
        <w:pStyle w:val="Heading6"/>
        <w:rPr>
          <w:lang w:val="es-ES"/>
        </w:rPr>
      </w:pPr>
      <w:r w:rsidRPr="00DA1C48">
        <w:rPr>
          <w:lang w:val="es-ES"/>
        </w:rPr>
        <w:t>DIAPOSITIVA</w:t>
      </w:r>
      <w:r w:rsidR="008C4DF2" w:rsidRPr="00DA1C48">
        <w:rPr>
          <w:lang w:val="es-ES"/>
        </w:rPr>
        <w:t xml:space="preserve"> 8</w:t>
      </w:r>
      <w:r w:rsidR="003C1F6D" w:rsidRPr="00DA1C48">
        <w:rPr>
          <w:lang w:val="es-ES"/>
        </w:rPr>
        <w:t>.</w:t>
      </w:r>
    </w:p>
    <w:p w:rsidR="00AD441F" w:rsidRPr="00DA1C48" w:rsidRDefault="00AE3D6F" w:rsidP="004936EF">
      <w:pPr>
        <w:pStyle w:val="diapo2"/>
        <w:rPr>
          <w:lang w:val="es-ES"/>
        </w:rPr>
      </w:pPr>
      <w:r w:rsidRPr="00786BA9">
        <w:rPr>
          <w:bCs/>
          <w:lang w:val="es-ES"/>
        </w:rPr>
        <w:t>Ejemplo – Tribunales de regantes (España)</w:t>
      </w:r>
    </w:p>
    <w:p w:rsidR="008C4DF2" w:rsidRPr="00DA1C48" w:rsidRDefault="00BE3EC1" w:rsidP="009909DD">
      <w:pPr>
        <w:pStyle w:val="Texte1"/>
        <w:rPr>
          <w:lang w:val="es-ES"/>
        </w:rPr>
      </w:pPr>
      <w:r w:rsidRPr="00786BA9">
        <w:rPr>
          <w:lang w:val="es-ES"/>
        </w:rPr>
        <w:t>En 2009 se inscribió este elemento en la LR</w:t>
      </w:r>
      <w:r w:rsidR="00063486">
        <w:rPr>
          <w:lang w:val="es-ES"/>
        </w:rPr>
        <w:t>.</w:t>
      </w:r>
      <w:r w:rsidRPr="00786BA9">
        <w:rPr>
          <w:lang w:val="es-ES"/>
        </w:rPr>
        <w:t xml:space="preserve"> </w:t>
      </w:r>
    </w:p>
    <w:p w:rsidR="008C4DF2" w:rsidRPr="00DA1C48" w:rsidRDefault="00BE3EC1" w:rsidP="009909DD">
      <w:pPr>
        <w:pStyle w:val="Texte1"/>
        <w:rPr>
          <w:lang w:val="es-ES"/>
        </w:rPr>
      </w:pPr>
      <w:r w:rsidRPr="00DA1C48">
        <w:rPr>
          <w:rFonts w:eastAsia="Times New Roman"/>
          <w:szCs w:val="22"/>
          <w:lang w:val="es-ES" w:eastAsia="es-ES"/>
        </w:rPr>
        <w:t xml:space="preserve">En España, el Consejo de </w:t>
      </w:r>
      <w:proofErr w:type="spellStart"/>
      <w:r w:rsidRPr="00DA1C48">
        <w:rPr>
          <w:rFonts w:eastAsia="Times New Roman"/>
          <w:szCs w:val="22"/>
          <w:lang w:val="es-ES" w:eastAsia="es-ES"/>
        </w:rPr>
        <w:t>de</w:t>
      </w:r>
      <w:proofErr w:type="spellEnd"/>
      <w:r w:rsidRPr="00DA1C48">
        <w:rPr>
          <w:rFonts w:eastAsia="Times New Roman"/>
          <w:szCs w:val="22"/>
          <w:lang w:val="es-ES" w:eastAsia="es-ES"/>
        </w:rPr>
        <w:t xml:space="preserve"> Murcia y el Tribunal de Valencia son órganos judiciales tradicionales que, de conformidad con normas de derecho consuetudinario transmitidas oralmente de generación en generación, zanjan los litigios que surgen entre los </w:t>
      </w:r>
      <w:r w:rsidRPr="00DA1C48">
        <w:rPr>
          <w:rFonts w:eastAsia="Times New Roman"/>
          <w:szCs w:val="22"/>
          <w:lang w:val="es-ES" w:eastAsia="es-ES"/>
        </w:rPr>
        <w:lastRenderedPageBreak/>
        <w:t>agricultores por la utilización de las aguas de riego de los ríos Segura y</w:t>
      </w:r>
      <w:r w:rsidR="00030EB6">
        <w:rPr>
          <w:rFonts w:eastAsia="Times New Roman"/>
          <w:szCs w:val="22"/>
          <w:lang w:val="es-ES" w:eastAsia="es-ES"/>
        </w:rPr>
        <w:t xml:space="preserve"> Turia</w:t>
      </w:r>
      <w:r w:rsidRPr="00DA1C48">
        <w:rPr>
          <w:rFonts w:eastAsia="Times New Roman"/>
          <w:szCs w:val="22"/>
          <w:lang w:val="es-ES" w:eastAsia="es-ES"/>
        </w:rPr>
        <w:t xml:space="preserve">. </w:t>
      </w:r>
      <w:r w:rsidRPr="00DA1C48">
        <w:rPr>
          <w:lang w:val="es-ES"/>
        </w:rPr>
        <w:t xml:space="preserve">Las autoridades municipales de Murcia apoyan al </w:t>
      </w:r>
      <w:r w:rsidRPr="00DA1C48">
        <w:rPr>
          <w:rFonts w:eastAsia="Times New Roman"/>
          <w:szCs w:val="22"/>
          <w:lang w:val="es-ES" w:eastAsia="es-ES"/>
        </w:rPr>
        <w:t xml:space="preserve">Consejo de Hombres Buenos, que comparten con los ediles de esta ciudad el privilegio exclusivo de reunirse cada semana en el edificio del ayuntamiento de la ciudad. El Tribunal de las Aguas de Valencia, por su parte, se reúne también todas las semanas en la Puerta de los Apóstoles de la catedral esta ciudad. </w:t>
      </w:r>
      <w:r w:rsidRPr="00DA1C48">
        <w:rPr>
          <w:lang w:val="es-ES"/>
        </w:rPr>
        <w:t xml:space="preserve">La autoridades de la Confederación Hidrográfica </w:t>
      </w:r>
      <w:proofErr w:type="gramStart"/>
      <w:r w:rsidRPr="00DA1C48">
        <w:rPr>
          <w:lang w:val="es-ES"/>
        </w:rPr>
        <w:t>del</w:t>
      </w:r>
      <w:proofErr w:type="gramEnd"/>
      <w:r w:rsidRPr="00DA1C48">
        <w:rPr>
          <w:lang w:val="es-ES"/>
        </w:rPr>
        <w:t xml:space="preserve"> Segura se encargan de mantener el abastecimiento en agua </w:t>
      </w:r>
      <w:r w:rsidR="00030EB6">
        <w:rPr>
          <w:lang w:val="es-ES"/>
        </w:rPr>
        <w:t>para</w:t>
      </w:r>
      <w:r w:rsidRPr="00DA1C48">
        <w:rPr>
          <w:lang w:val="es-ES"/>
        </w:rPr>
        <w:t xml:space="preserve"> alimenta</w:t>
      </w:r>
      <w:r w:rsidR="00030EB6">
        <w:rPr>
          <w:lang w:val="es-ES"/>
        </w:rPr>
        <w:t>r</w:t>
      </w:r>
      <w:r w:rsidRPr="00DA1C48">
        <w:rPr>
          <w:lang w:val="es-ES"/>
        </w:rPr>
        <w:t xml:space="preserve"> el sistema de regadío de la Huerta de Murcia. Los estatutos de autonomía de las Comunidades (órganos regionales del poder político en España) de Murcia y Valencia reconocen y apoyan oficialmente a los tribunales de regantes.</w:t>
      </w:r>
      <w:r w:rsidR="008C4DF2" w:rsidRPr="00DA1C48">
        <w:rPr>
          <w:lang w:val="es-ES"/>
        </w:rPr>
        <w:t xml:space="preserve"> </w:t>
      </w:r>
    </w:p>
    <w:p w:rsidR="008C4DF2" w:rsidRPr="00DA1C48" w:rsidRDefault="00BE3EC1" w:rsidP="009909DD">
      <w:pPr>
        <w:pStyle w:val="Texte1"/>
        <w:rPr>
          <w:lang w:val="es-ES"/>
        </w:rPr>
      </w:pPr>
      <w:r w:rsidRPr="00DA1C48">
        <w:rPr>
          <w:lang w:val="es-ES"/>
        </w:rPr>
        <w:t xml:space="preserve">El reconocimiento local de estos </w:t>
      </w:r>
      <w:r w:rsidRPr="00DA1C48">
        <w:rPr>
          <w:rFonts w:eastAsia="Times New Roman"/>
          <w:szCs w:val="22"/>
          <w:lang w:val="es-ES" w:eastAsia="es-ES"/>
        </w:rPr>
        <w:t xml:space="preserve">órganos judiciales tradicionales </w:t>
      </w:r>
      <w:r w:rsidRPr="00DA1C48">
        <w:rPr>
          <w:lang w:val="es-ES"/>
        </w:rPr>
        <w:t xml:space="preserve">y de sus procedimientos de gestión de los sistemas de regadío ha tenido eco en el plano nacional e internacional. Ambos tribunales han sido declarados “Bienes de interés cultural </w:t>
      </w:r>
      <w:r w:rsidRPr="00DA1C48">
        <w:rPr>
          <w:color w:val="2F2F2F"/>
          <w:lang w:val="es-ES"/>
        </w:rPr>
        <w:t xml:space="preserve">de carácter </w:t>
      </w:r>
      <w:r w:rsidRPr="00DA1C48">
        <w:rPr>
          <w:bCs/>
          <w:color w:val="2F2F2F"/>
          <w:lang w:val="es-ES"/>
        </w:rPr>
        <w:t>inmaterial</w:t>
      </w:r>
      <w:r w:rsidRPr="00DA1C48">
        <w:rPr>
          <w:lang w:val="es-ES"/>
        </w:rPr>
        <w:t xml:space="preserve">”, obteniendo así la máxima protección otorgada por la legislación española a los elementos del PCI. Aunque en estos tribunales los veredictos no son pronunciados por juristas profesionales, sino por los agricultores locales, eso no impide el reconocimiento oficial de su validez por parte del sistema judicial español. La legislación sobre patrimonio cultural y urbanismo permite proteger las presas, norias y otros elementos del patrimonio material que forman parte de los sistemas de regadío, </w:t>
      </w:r>
      <w:r w:rsidRPr="00786BA9">
        <w:rPr>
          <w:lang w:val="es-ES"/>
        </w:rPr>
        <w:t>así como controlar la expansión de las zonas suburbanas en las tierras cultivadas.</w:t>
      </w:r>
    </w:p>
    <w:p w:rsidR="003C1F6D" w:rsidRPr="00DA1C48" w:rsidRDefault="00EB2323" w:rsidP="004936EF">
      <w:pPr>
        <w:pStyle w:val="Heading6"/>
        <w:rPr>
          <w:lang w:val="es-ES"/>
        </w:rPr>
      </w:pPr>
      <w:r w:rsidRPr="00DA1C48">
        <w:rPr>
          <w:lang w:val="es-ES"/>
        </w:rPr>
        <w:t>DIAPOSITIVA</w:t>
      </w:r>
      <w:r w:rsidR="008C4DF2" w:rsidRPr="00DA1C48">
        <w:rPr>
          <w:lang w:val="es-ES"/>
        </w:rPr>
        <w:t xml:space="preserve"> 9</w:t>
      </w:r>
      <w:r w:rsidR="003C1F6D" w:rsidRPr="00DA1C48">
        <w:rPr>
          <w:lang w:val="es-ES"/>
        </w:rPr>
        <w:t>.</w:t>
      </w:r>
    </w:p>
    <w:p w:rsidR="008C4DF2" w:rsidRPr="00DA1C48" w:rsidRDefault="000D5A9B" w:rsidP="004936EF">
      <w:pPr>
        <w:pStyle w:val="diapo2"/>
        <w:rPr>
          <w:lang w:val="es-ES"/>
        </w:rPr>
      </w:pPr>
      <w:r w:rsidRPr="00786BA9">
        <w:rPr>
          <w:bCs/>
          <w:lang w:val="es-ES"/>
        </w:rPr>
        <w:t>Ejemplo –</w:t>
      </w:r>
      <w:r w:rsidR="008C4DF2" w:rsidRPr="00DA1C48">
        <w:rPr>
          <w:lang w:val="es-ES"/>
        </w:rPr>
        <w:t xml:space="preserve"> </w:t>
      </w:r>
      <w:r w:rsidRPr="00DA1C48">
        <w:rPr>
          <w:bCs/>
          <w:lang w:val="es-ES"/>
        </w:rPr>
        <w:t>Comités de desarrollo local (Nepal)</w:t>
      </w:r>
    </w:p>
    <w:p w:rsidR="008C4DF2" w:rsidRPr="00DA1C48" w:rsidRDefault="00EB2323" w:rsidP="009909DD">
      <w:pPr>
        <w:pStyle w:val="Texte1"/>
        <w:rPr>
          <w:lang w:val="es-ES"/>
        </w:rPr>
      </w:pPr>
      <w:r w:rsidRPr="00DA1C48">
        <w:rPr>
          <w:lang w:val="es-ES"/>
        </w:rPr>
        <w:t>Véase la</w:t>
      </w:r>
      <w:r w:rsidR="00C47C62" w:rsidRPr="00DA1C48">
        <w:rPr>
          <w:lang w:val="es-ES"/>
        </w:rPr>
        <w:t xml:space="preserve"> </w:t>
      </w:r>
      <w:r w:rsidRPr="00DA1C48">
        <w:rPr>
          <w:lang w:val="es-ES"/>
        </w:rPr>
        <w:t>Sección 3 del Texto para el Participante de la presente Unidad 10</w:t>
      </w:r>
      <w:r w:rsidR="00C47C62" w:rsidRPr="00DA1C48">
        <w:rPr>
          <w:lang w:val="es-ES"/>
        </w:rPr>
        <w:t>.</w:t>
      </w:r>
    </w:p>
    <w:p w:rsidR="008C4DF2" w:rsidRPr="00DA1C48" w:rsidRDefault="00BE3EC1" w:rsidP="002215E7">
      <w:pPr>
        <w:pStyle w:val="Texte1"/>
        <w:rPr>
          <w:lang w:val="es-ES"/>
        </w:rPr>
      </w:pPr>
      <w:r w:rsidRPr="00DA1C48">
        <w:rPr>
          <w:lang w:val="es-ES"/>
        </w:rPr>
        <w:t xml:space="preserve">En Nepal, los municipios y los Comités de Desarrollo de las Aldeas (CDA) desempeñan una función importante en la coordinación de las diferentes partes interesadas que participan en la salvaguardia del PCI. En la diapositiva </w:t>
      </w:r>
      <w:r w:rsidR="00C96BD9">
        <w:rPr>
          <w:lang w:val="es-ES"/>
        </w:rPr>
        <w:t xml:space="preserve">se </w:t>
      </w:r>
      <w:r w:rsidRPr="00DA1C48">
        <w:rPr>
          <w:lang w:val="es-ES"/>
        </w:rPr>
        <w:t>muestra una página de Facebook elaborada por uno de estos comités.</w:t>
      </w:r>
    </w:p>
    <w:p w:rsidR="00BE7A40" w:rsidRPr="00DA1C48" w:rsidRDefault="00EB2323" w:rsidP="004936EF">
      <w:pPr>
        <w:pStyle w:val="Heading6"/>
        <w:rPr>
          <w:lang w:val="es-ES"/>
        </w:rPr>
      </w:pPr>
      <w:r w:rsidRPr="00DA1C48">
        <w:rPr>
          <w:lang w:val="es-ES"/>
        </w:rPr>
        <w:t>DIAPOSITIVA</w:t>
      </w:r>
      <w:r w:rsidR="008C4DF2" w:rsidRPr="00DA1C48">
        <w:rPr>
          <w:lang w:val="es-ES"/>
        </w:rPr>
        <w:t xml:space="preserve"> 10</w:t>
      </w:r>
      <w:r w:rsidR="00BE7A40" w:rsidRPr="00DA1C48">
        <w:rPr>
          <w:lang w:val="es-ES"/>
        </w:rPr>
        <w:t>.</w:t>
      </w:r>
    </w:p>
    <w:p w:rsidR="008C4DF2" w:rsidRPr="00DA1C48" w:rsidRDefault="000D5A9B" w:rsidP="004936EF">
      <w:pPr>
        <w:pStyle w:val="diapo2"/>
        <w:rPr>
          <w:lang w:val="es-ES"/>
        </w:rPr>
      </w:pPr>
      <w:r w:rsidRPr="00786BA9">
        <w:rPr>
          <w:bCs/>
          <w:lang w:val="es-ES"/>
        </w:rPr>
        <w:t>Ejemplo –</w:t>
      </w:r>
      <w:r w:rsidR="008C4DF2" w:rsidRPr="00DA1C48">
        <w:rPr>
          <w:lang w:val="es-ES"/>
        </w:rPr>
        <w:t xml:space="preserve"> Heemkunde Vlaanderen </w:t>
      </w:r>
      <w:r w:rsidRPr="00DA1C48">
        <w:rPr>
          <w:lang w:val="es-ES"/>
        </w:rPr>
        <w:t>y FARO (Flandes /</w:t>
      </w:r>
      <w:r w:rsidR="008C4DF2" w:rsidRPr="00DA1C48">
        <w:rPr>
          <w:lang w:val="es-ES"/>
        </w:rPr>
        <w:t xml:space="preserve"> B</w:t>
      </w:r>
      <w:r w:rsidRPr="00DA1C48">
        <w:rPr>
          <w:lang w:val="es-ES"/>
        </w:rPr>
        <w:t>élgica</w:t>
      </w:r>
      <w:r w:rsidR="008C4DF2" w:rsidRPr="00DA1C48">
        <w:rPr>
          <w:lang w:val="es-ES"/>
        </w:rPr>
        <w:t>)</w:t>
      </w:r>
    </w:p>
    <w:p w:rsidR="008C4DF2" w:rsidRPr="00DA1C48" w:rsidRDefault="000D5A9B" w:rsidP="009909DD">
      <w:pPr>
        <w:pStyle w:val="Texte1"/>
        <w:rPr>
          <w:lang w:val="es-ES"/>
        </w:rPr>
      </w:pPr>
      <w:r w:rsidRPr="00DA1C48">
        <w:rPr>
          <w:lang w:val="es-ES"/>
        </w:rPr>
        <w:t xml:space="preserve">En el </w:t>
      </w:r>
      <w:r w:rsidR="00EB2323" w:rsidRPr="00DA1C48">
        <w:rPr>
          <w:lang w:val="es-ES"/>
        </w:rPr>
        <w:t>Estudio de Caso</w:t>
      </w:r>
      <w:r w:rsidR="00442E1A" w:rsidRPr="00DA1C48">
        <w:rPr>
          <w:lang w:val="es-ES"/>
        </w:rPr>
        <w:t> </w:t>
      </w:r>
      <w:r w:rsidR="005B06C4" w:rsidRPr="00DA1C48">
        <w:rPr>
          <w:lang w:val="es-ES"/>
        </w:rPr>
        <w:t>28</w:t>
      </w:r>
      <w:r w:rsidRPr="00DA1C48">
        <w:rPr>
          <w:lang w:val="es-ES"/>
        </w:rPr>
        <w:t xml:space="preserve"> sobre</w:t>
      </w:r>
      <w:r w:rsidR="005D6B63" w:rsidRPr="00DA1C48">
        <w:rPr>
          <w:lang w:val="es-ES"/>
        </w:rPr>
        <w:t xml:space="preserve"> </w:t>
      </w:r>
      <w:proofErr w:type="spellStart"/>
      <w:r w:rsidR="005D6B63" w:rsidRPr="00DA1C48">
        <w:rPr>
          <w:lang w:val="es-ES"/>
        </w:rPr>
        <w:t>Heemkund</w:t>
      </w:r>
      <w:r w:rsidR="00810A79" w:rsidRPr="00DA1C48">
        <w:rPr>
          <w:lang w:val="es-ES"/>
        </w:rPr>
        <w:t>e</w:t>
      </w:r>
      <w:proofErr w:type="spellEnd"/>
      <w:r w:rsidR="00810A79" w:rsidRPr="00DA1C48">
        <w:rPr>
          <w:lang w:val="es-ES"/>
        </w:rPr>
        <w:t xml:space="preserve"> </w:t>
      </w:r>
      <w:proofErr w:type="spellStart"/>
      <w:r w:rsidR="00810A79" w:rsidRPr="00DA1C48">
        <w:rPr>
          <w:lang w:val="es-ES"/>
        </w:rPr>
        <w:t>Vlaanderen</w:t>
      </w:r>
      <w:proofErr w:type="spellEnd"/>
      <w:r w:rsidR="00810A79" w:rsidRPr="00DA1C48">
        <w:rPr>
          <w:lang w:val="es-ES"/>
        </w:rPr>
        <w:t xml:space="preserve"> y FARO (Flande</w:t>
      </w:r>
      <w:r w:rsidRPr="00DA1C48">
        <w:rPr>
          <w:lang w:val="es-ES"/>
        </w:rPr>
        <w:t>s /</w:t>
      </w:r>
      <w:r w:rsidR="005D6B63" w:rsidRPr="00DA1C48">
        <w:rPr>
          <w:lang w:val="es-ES"/>
        </w:rPr>
        <w:t xml:space="preserve"> B</w:t>
      </w:r>
      <w:r w:rsidRPr="00DA1C48">
        <w:rPr>
          <w:lang w:val="es-ES"/>
        </w:rPr>
        <w:t>é</w:t>
      </w:r>
      <w:r w:rsidR="005D6B63" w:rsidRPr="00DA1C48">
        <w:rPr>
          <w:lang w:val="es-ES"/>
        </w:rPr>
        <w:t>lgi</w:t>
      </w:r>
      <w:r w:rsidR="00810A79" w:rsidRPr="00DA1C48">
        <w:rPr>
          <w:lang w:val="es-ES"/>
        </w:rPr>
        <w:t>ca</w:t>
      </w:r>
      <w:r w:rsidR="005D6B63" w:rsidRPr="00DA1C48">
        <w:rPr>
          <w:lang w:val="es-ES"/>
        </w:rPr>
        <w:t xml:space="preserve">) </w:t>
      </w:r>
      <w:r w:rsidRPr="00DA1C48">
        <w:rPr>
          <w:lang w:val="es-ES"/>
        </w:rPr>
        <w:t xml:space="preserve">se ilustra la importancia de las instituciones </w:t>
      </w:r>
      <w:r w:rsidR="00BE3EC1" w:rsidRPr="00DA1C48">
        <w:rPr>
          <w:lang w:val="es-ES"/>
        </w:rPr>
        <w:t xml:space="preserve">regionales y provinciales </w:t>
      </w:r>
      <w:r w:rsidRPr="00DA1C48">
        <w:rPr>
          <w:lang w:val="es-ES"/>
        </w:rPr>
        <w:t xml:space="preserve">en la tarea de coadyuvar a la aplicación de la </w:t>
      </w:r>
      <w:r w:rsidR="0012502B" w:rsidRPr="00DA1C48">
        <w:rPr>
          <w:lang w:val="es-ES"/>
        </w:rPr>
        <w:t>Convención</w:t>
      </w:r>
      <w:r w:rsidR="005D6B63" w:rsidRPr="00DA1C48">
        <w:rPr>
          <w:lang w:val="es-ES"/>
        </w:rPr>
        <w:t>.</w:t>
      </w:r>
    </w:p>
    <w:p w:rsidR="008C4DF2" w:rsidRPr="00DA1C48" w:rsidRDefault="00BE3EC1" w:rsidP="004936EF">
      <w:pPr>
        <w:pStyle w:val="diapo2"/>
        <w:rPr>
          <w:i/>
          <w:sz w:val="20"/>
          <w:szCs w:val="20"/>
          <w:lang w:val="es-ES"/>
        </w:rPr>
      </w:pPr>
      <w:r w:rsidRPr="00786BA9">
        <w:rPr>
          <w:bCs/>
          <w:i/>
          <w:sz w:val="20"/>
          <w:szCs w:val="20"/>
          <w:lang w:val="es-ES"/>
        </w:rPr>
        <w:t>Otro e</w:t>
      </w:r>
      <w:r w:rsidR="000D5A9B" w:rsidRPr="00786BA9">
        <w:rPr>
          <w:bCs/>
          <w:i/>
          <w:sz w:val="20"/>
          <w:szCs w:val="20"/>
          <w:lang w:val="es-ES"/>
        </w:rPr>
        <w:t>jemplo</w:t>
      </w:r>
      <w:r w:rsidRPr="00786BA9">
        <w:rPr>
          <w:bCs/>
          <w:i/>
          <w:sz w:val="20"/>
          <w:szCs w:val="20"/>
          <w:lang w:val="es-ES"/>
        </w:rPr>
        <w:t>:</w:t>
      </w:r>
      <w:r w:rsidR="008C4DF2" w:rsidRPr="00786BA9">
        <w:rPr>
          <w:i/>
          <w:sz w:val="20"/>
          <w:szCs w:val="20"/>
          <w:lang w:val="es-ES"/>
        </w:rPr>
        <w:t xml:space="preserve"> </w:t>
      </w:r>
      <w:r w:rsidRPr="00786BA9">
        <w:rPr>
          <w:i/>
          <w:sz w:val="20"/>
          <w:szCs w:val="20"/>
          <w:lang w:val="es-ES"/>
        </w:rPr>
        <w:t>Ley sobre sitios sagrados aborígenes</w:t>
      </w:r>
      <w:r w:rsidR="00810A79" w:rsidRPr="00786BA9">
        <w:rPr>
          <w:i/>
          <w:sz w:val="20"/>
          <w:szCs w:val="20"/>
          <w:lang w:val="es-ES"/>
        </w:rPr>
        <w:t xml:space="preserve"> </w:t>
      </w:r>
      <w:r w:rsidRPr="00786BA9">
        <w:rPr>
          <w:i/>
          <w:sz w:val="20"/>
          <w:szCs w:val="20"/>
          <w:lang w:val="es-ES"/>
        </w:rPr>
        <w:t>de los Territorios del Norte (Australia</w:t>
      </w:r>
      <w:r w:rsidR="008C4DF2" w:rsidRPr="00786BA9">
        <w:rPr>
          <w:i/>
          <w:sz w:val="20"/>
          <w:szCs w:val="20"/>
          <w:lang w:val="es-ES"/>
        </w:rPr>
        <w:t>)</w:t>
      </w:r>
    </w:p>
    <w:p w:rsidR="008C4DF2" w:rsidRPr="00DA1C48" w:rsidRDefault="00EB2323" w:rsidP="009909DD">
      <w:pPr>
        <w:pStyle w:val="Texte1"/>
        <w:rPr>
          <w:lang w:val="es-ES"/>
        </w:rPr>
      </w:pPr>
      <w:r w:rsidRPr="00DA1C48">
        <w:rPr>
          <w:lang w:val="es-ES"/>
        </w:rPr>
        <w:t>Véase la</w:t>
      </w:r>
      <w:r w:rsidR="00D3317B" w:rsidRPr="00DA1C48">
        <w:rPr>
          <w:lang w:val="es-ES"/>
        </w:rPr>
        <w:t xml:space="preserve"> </w:t>
      </w:r>
      <w:r w:rsidRPr="00DA1C48">
        <w:rPr>
          <w:lang w:val="es-ES"/>
        </w:rPr>
        <w:t>Sección 3 del Texto para el Participante de la presente Unidad 10</w:t>
      </w:r>
      <w:r w:rsidR="00D3317B" w:rsidRPr="00DA1C48">
        <w:rPr>
          <w:lang w:val="es-ES"/>
        </w:rPr>
        <w:t>.</w:t>
      </w:r>
    </w:p>
    <w:p w:rsidR="008C4DF2" w:rsidRPr="00DA1C48" w:rsidRDefault="00BE3EC1" w:rsidP="009909DD">
      <w:pPr>
        <w:pStyle w:val="Texte1"/>
        <w:rPr>
          <w:lang w:val="es-ES"/>
        </w:rPr>
      </w:pPr>
      <w:r w:rsidRPr="00DA1C48">
        <w:rPr>
          <w:szCs w:val="20"/>
          <w:lang w:val="es-ES"/>
        </w:rPr>
        <w:t>La Ley sobre sitios sagrados aborígenes de los Territorios del Norte, promulgada en A</w:t>
      </w:r>
      <w:r w:rsidR="005E16B1" w:rsidRPr="00DA1C48">
        <w:rPr>
          <w:szCs w:val="20"/>
          <w:lang w:val="es-ES"/>
        </w:rPr>
        <w:t>ustralia el año 2006, constituye un ejemplo de las medidas legislativas que se pueden adoptar para salvaguardar el PCI</w:t>
      </w:r>
      <w:r w:rsidR="005E16B1" w:rsidRPr="00DA1C48">
        <w:rPr>
          <w:lang w:val="es-ES"/>
        </w:rPr>
        <w:t xml:space="preserve">. Esa ley permite a las comunidades indígenas </w:t>
      </w:r>
      <w:r w:rsidR="00C96BD9">
        <w:rPr>
          <w:lang w:val="es-ES"/>
        </w:rPr>
        <w:t>de esos territorios</w:t>
      </w:r>
      <w:r w:rsidR="005E16B1" w:rsidRPr="00DA1C48">
        <w:rPr>
          <w:lang w:val="es-ES"/>
        </w:rPr>
        <w:t xml:space="preserve"> reservarse el control de la gestión de su PCI y de cualquier beneficio que pueda derivarse de éste</w:t>
      </w:r>
      <w:r w:rsidR="008C4DF2" w:rsidRPr="00DA1C48">
        <w:rPr>
          <w:lang w:val="es-ES"/>
        </w:rPr>
        <w:t xml:space="preserve">. </w:t>
      </w:r>
    </w:p>
    <w:p w:rsidR="002215E7" w:rsidRPr="00DA1C48" w:rsidRDefault="00EB2323" w:rsidP="004936EF">
      <w:pPr>
        <w:pStyle w:val="Heading6"/>
        <w:rPr>
          <w:lang w:val="es-ES"/>
        </w:rPr>
      </w:pPr>
      <w:r w:rsidRPr="00DA1C48">
        <w:rPr>
          <w:lang w:val="es-ES"/>
        </w:rPr>
        <w:lastRenderedPageBreak/>
        <w:t>DIAPOSITIVA</w:t>
      </w:r>
      <w:r w:rsidR="008C4DF2" w:rsidRPr="00DA1C48">
        <w:rPr>
          <w:lang w:val="es-ES"/>
        </w:rPr>
        <w:t xml:space="preserve"> 11</w:t>
      </w:r>
      <w:r w:rsidR="002215E7" w:rsidRPr="00DA1C48">
        <w:rPr>
          <w:lang w:val="es-ES"/>
        </w:rPr>
        <w:t>.</w:t>
      </w:r>
    </w:p>
    <w:p w:rsidR="008C4DF2" w:rsidRPr="00DA1C48" w:rsidRDefault="002B0010" w:rsidP="004936EF">
      <w:pPr>
        <w:pStyle w:val="diapo2"/>
        <w:rPr>
          <w:lang w:val="es-ES"/>
        </w:rPr>
      </w:pPr>
      <w:r w:rsidRPr="00DA1C48">
        <w:rPr>
          <w:lang w:val="es-ES"/>
        </w:rPr>
        <w:t>Los marcos l</w:t>
      </w:r>
      <w:r w:rsidR="008C4DF2" w:rsidRPr="00DA1C48">
        <w:rPr>
          <w:lang w:val="es-ES"/>
        </w:rPr>
        <w:t>ocal</w:t>
      </w:r>
      <w:r w:rsidRPr="00DA1C48">
        <w:rPr>
          <w:lang w:val="es-ES"/>
        </w:rPr>
        <w:t>es (municipales y provinciales)</w:t>
      </w:r>
      <w:r w:rsidR="008C4DF2" w:rsidRPr="00DA1C48">
        <w:rPr>
          <w:lang w:val="es-ES"/>
        </w:rPr>
        <w:t xml:space="preserve"> </w:t>
      </w:r>
      <w:r w:rsidRPr="00DA1C48">
        <w:rPr>
          <w:lang w:val="es-ES"/>
        </w:rPr>
        <w:t>pueden</w:t>
      </w:r>
      <w:r w:rsidR="008C4DF2" w:rsidRPr="00DA1C48">
        <w:rPr>
          <w:lang w:val="es-ES"/>
        </w:rPr>
        <w:t>…</w:t>
      </w:r>
    </w:p>
    <w:p w:rsidR="008C4DF2" w:rsidRPr="00DA1C48" w:rsidRDefault="00EB2323" w:rsidP="009909DD">
      <w:pPr>
        <w:pStyle w:val="Texte1"/>
        <w:rPr>
          <w:lang w:val="es-ES"/>
        </w:rPr>
      </w:pPr>
      <w:r w:rsidRPr="00DA1C48">
        <w:rPr>
          <w:lang w:val="es-ES"/>
        </w:rPr>
        <w:t>Véase la</w:t>
      </w:r>
      <w:r w:rsidR="00D3317B" w:rsidRPr="00DA1C48">
        <w:rPr>
          <w:lang w:val="es-ES"/>
        </w:rPr>
        <w:t xml:space="preserve"> </w:t>
      </w:r>
      <w:r w:rsidRPr="00DA1C48">
        <w:rPr>
          <w:lang w:val="es-ES"/>
        </w:rPr>
        <w:t>Sección 3 del Texto para el Participante de la presente Unidad 10</w:t>
      </w:r>
      <w:r w:rsidR="00D3317B" w:rsidRPr="00DA1C48">
        <w:rPr>
          <w:lang w:val="es-ES"/>
        </w:rPr>
        <w:t>.</w:t>
      </w:r>
    </w:p>
    <w:p w:rsidR="008C4DF2" w:rsidRPr="00DA1C48" w:rsidRDefault="00EB2323" w:rsidP="004936EF">
      <w:pPr>
        <w:pStyle w:val="diapo2"/>
        <w:rPr>
          <w:i/>
          <w:lang w:val="es-ES"/>
        </w:rPr>
      </w:pPr>
      <w:r w:rsidRPr="00C96BD9">
        <w:rPr>
          <w:i/>
          <w:lang w:val="es-ES"/>
        </w:rPr>
        <w:t>Ejercicio</w:t>
      </w:r>
      <w:r w:rsidR="008C4DF2" w:rsidRPr="00C96BD9">
        <w:rPr>
          <w:i/>
          <w:lang w:val="es-ES"/>
        </w:rPr>
        <w:t xml:space="preserve"> (10 </w:t>
      </w:r>
      <w:r w:rsidRPr="00C96BD9">
        <w:rPr>
          <w:i/>
          <w:lang w:val="es-ES"/>
        </w:rPr>
        <w:t>minutos</w:t>
      </w:r>
      <w:r w:rsidR="005E16B1" w:rsidRPr="00C96BD9">
        <w:rPr>
          <w:i/>
          <w:lang w:val="es-ES"/>
        </w:rPr>
        <w:t>)</w:t>
      </w:r>
      <w:r w:rsidR="00972065" w:rsidRPr="00C96BD9">
        <w:rPr>
          <w:i/>
          <w:lang w:val="es-ES"/>
        </w:rPr>
        <w:t xml:space="preserve"> </w:t>
      </w:r>
      <w:r w:rsidR="001C2208" w:rsidRPr="00C96BD9">
        <w:rPr>
          <w:i/>
          <w:lang w:val="es-ES"/>
        </w:rPr>
        <w:t>–</w:t>
      </w:r>
      <w:r w:rsidR="00972065" w:rsidRPr="00C96BD9">
        <w:rPr>
          <w:i/>
          <w:lang w:val="es-ES"/>
        </w:rPr>
        <w:t xml:space="preserve"> </w:t>
      </w:r>
      <w:r w:rsidR="005E16B1" w:rsidRPr="00C96BD9">
        <w:rPr>
          <w:i/>
          <w:lang w:val="es-ES"/>
        </w:rPr>
        <w:t>Cómo</w:t>
      </w:r>
      <w:r w:rsidR="00972065" w:rsidRPr="00C96BD9">
        <w:rPr>
          <w:i/>
          <w:lang w:val="es-ES"/>
        </w:rPr>
        <w:t xml:space="preserve"> inciden las políticas e instituciones locales en la aplicación de la Convención</w:t>
      </w:r>
    </w:p>
    <w:p w:rsidR="008C4DF2" w:rsidRPr="00DA1C48" w:rsidRDefault="00972065" w:rsidP="009909DD">
      <w:pPr>
        <w:pStyle w:val="Texte1"/>
        <w:rPr>
          <w:lang w:val="es-ES"/>
        </w:rPr>
      </w:pPr>
      <w:r w:rsidRPr="00DA1C48">
        <w:rPr>
          <w:lang w:val="es-ES"/>
        </w:rPr>
        <w:t xml:space="preserve">Se puede pedir a los participantes en el taller que mencionen </w:t>
      </w:r>
      <w:r w:rsidR="00686926">
        <w:rPr>
          <w:lang w:val="es-ES"/>
        </w:rPr>
        <w:t xml:space="preserve">las </w:t>
      </w:r>
      <w:r w:rsidRPr="00DA1C48">
        <w:rPr>
          <w:lang w:val="es-ES"/>
        </w:rPr>
        <w:t>políticas, reglamentaciones jurídicas o instituciones existentes a nivel local en su</w:t>
      </w:r>
      <w:r w:rsidR="00465DE9">
        <w:rPr>
          <w:lang w:val="es-ES"/>
        </w:rPr>
        <w:t>(</w:t>
      </w:r>
      <w:r w:rsidRPr="00DA1C48">
        <w:rPr>
          <w:lang w:val="es-ES"/>
        </w:rPr>
        <w:t>s</w:t>
      </w:r>
      <w:r w:rsidR="00465DE9">
        <w:rPr>
          <w:lang w:val="es-ES"/>
        </w:rPr>
        <w:t>)</w:t>
      </w:r>
      <w:r w:rsidRPr="00DA1C48">
        <w:rPr>
          <w:lang w:val="es-ES"/>
        </w:rPr>
        <w:t xml:space="preserve"> país</w:t>
      </w:r>
      <w:r w:rsidR="00465DE9">
        <w:rPr>
          <w:lang w:val="es-ES"/>
        </w:rPr>
        <w:t>(</w:t>
      </w:r>
      <w:r w:rsidRPr="00DA1C48">
        <w:rPr>
          <w:lang w:val="es-ES"/>
        </w:rPr>
        <w:t>es</w:t>
      </w:r>
      <w:r w:rsidR="00465DE9">
        <w:rPr>
          <w:lang w:val="es-ES"/>
        </w:rPr>
        <w:t>)</w:t>
      </w:r>
      <w:r w:rsidRPr="00DA1C48">
        <w:rPr>
          <w:lang w:val="es-ES"/>
        </w:rPr>
        <w:t xml:space="preserve">, </w:t>
      </w:r>
      <w:r w:rsidR="00686926">
        <w:rPr>
          <w:lang w:val="es-ES"/>
        </w:rPr>
        <w:t xml:space="preserve">que son </w:t>
      </w:r>
      <w:r w:rsidRPr="00DA1C48">
        <w:rPr>
          <w:lang w:val="es-ES"/>
        </w:rPr>
        <w:t>susceptibles de incidir en la aplicación de la Convención en su</w:t>
      </w:r>
      <w:r w:rsidR="00465DE9">
        <w:rPr>
          <w:lang w:val="es-ES"/>
        </w:rPr>
        <w:t>(</w:t>
      </w:r>
      <w:r w:rsidRPr="00DA1C48">
        <w:rPr>
          <w:lang w:val="es-ES"/>
        </w:rPr>
        <w:t>s</w:t>
      </w:r>
      <w:r w:rsidR="00465DE9">
        <w:rPr>
          <w:lang w:val="es-ES"/>
        </w:rPr>
        <w:t>)</w:t>
      </w:r>
      <w:r w:rsidRPr="00DA1C48">
        <w:rPr>
          <w:lang w:val="es-ES"/>
        </w:rPr>
        <w:t xml:space="preserve"> Estado</w:t>
      </w:r>
      <w:r w:rsidR="00465DE9">
        <w:rPr>
          <w:lang w:val="es-ES"/>
        </w:rPr>
        <w:t>(</w:t>
      </w:r>
      <w:r w:rsidRPr="00DA1C48">
        <w:rPr>
          <w:lang w:val="es-ES"/>
        </w:rPr>
        <w:t>s</w:t>
      </w:r>
      <w:r w:rsidR="00465DE9">
        <w:rPr>
          <w:lang w:val="es-ES"/>
        </w:rPr>
        <w:t>)</w:t>
      </w:r>
      <w:r w:rsidR="008C4DF2" w:rsidRPr="00DA1C48">
        <w:rPr>
          <w:lang w:val="es-ES"/>
        </w:rPr>
        <w:t>.</w:t>
      </w:r>
    </w:p>
    <w:p w:rsidR="008C4DF2" w:rsidRPr="00DA1C48" w:rsidRDefault="00972065" w:rsidP="009909DD">
      <w:pPr>
        <w:pStyle w:val="Texte1"/>
        <w:rPr>
          <w:lang w:val="es-ES"/>
        </w:rPr>
      </w:pPr>
      <w:r w:rsidRPr="00DA1C48">
        <w:rPr>
          <w:lang w:val="es-ES"/>
        </w:rPr>
        <w:t>Luego se les puede pedir que indiquen de qué manera(s) esas políticas, reglamentaciones jurídicas o instituciones existentes a nivel local podrían coadyuvar a la aplicación de la Convención en su</w:t>
      </w:r>
      <w:r w:rsidR="00851B74">
        <w:rPr>
          <w:lang w:val="es-ES"/>
        </w:rPr>
        <w:t>(</w:t>
      </w:r>
      <w:r w:rsidRPr="00DA1C48">
        <w:rPr>
          <w:lang w:val="es-ES"/>
        </w:rPr>
        <w:t>s</w:t>
      </w:r>
      <w:r w:rsidR="00851B74">
        <w:rPr>
          <w:lang w:val="es-ES"/>
        </w:rPr>
        <w:t>)</w:t>
      </w:r>
      <w:r w:rsidRPr="00DA1C48">
        <w:rPr>
          <w:lang w:val="es-ES"/>
        </w:rPr>
        <w:t xml:space="preserve"> Estado</w:t>
      </w:r>
      <w:r w:rsidR="00851B74">
        <w:rPr>
          <w:lang w:val="es-ES"/>
        </w:rPr>
        <w:t>(</w:t>
      </w:r>
      <w:r w:rsidRPr="00DA1C48">
        <w:rPr>
          <w:lang w:val="es-ES"/>
        </w:rPr>
        <w:t>s</w:t>
      </w:r>
      <w:r w:rsidR="00851B74">
        <w:rPr>
          <w:lang w:val="es-ES"/>
        </w:rPr>
        <w:t>)</w:t>
      </w:r>
      <w:r w:rsidR="008C4DF2" w:rsidRPr="00DA1C48">
        <w:rPr>
          <w:lang w:val="es-ES"/>
        </w:rPr>
        <w:t>.</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12</w:t>
      </w:r>
      <w:r w:rsidR="002215E7" w:rsidRPr="00DA1C48">
        <w:rPr>
          <w:lang w:val="es-ES"/>
        </w:rPr>
        <w:t>.</w:t>
      </w:r>
    </w:p>
    <w:p w:rsidR="008C4DF2" w:rsidRPr="00DA1C48" w:rsidRDefault="002B0010" w:rsidP="004936EF">
      <w:pPr>
        <w:pStyle w:val="diapo2"/>
        <w:rPr>
          <w:lang w:val="es-ES"/>
        </w:rPr>
      </w:pPr>
      <w:r w:rsidRPr="00786BA9">
        <w:rPr>
          <w:lang w:val="es-ES"/>
        </w:rPr>
        <w:t xml:space="preserve">Marcos </w:t>
      </w:r>
      <w:r w:rsidR="00C96BD9" w:rsidRPr="00786BA9">
        <w:rPr>
          <w:lang w:val="es-ES"/>
        </w:rPr>
        <w:t>N</w:t>
      </w:r>
      <w:r w:rsidRPr="00786BA9">
        <w:rPr>
          <w:lang w:val="es-ES"/>
        </w:rPr>
        <w:t>acionales (subtítulo)</w:t>
      </w:r>
    </w:p>
    <w:p w:rsidR="008C4DF2" w:rsidRPr="00DA1C48" w:rsidRDefault="00EB2323" w:rsidP="009909DD">
      <w:pPr>
        <w:pStyle w:val="Texte1"/>
        <w:rPr>
          <w:lang w:val="es-ES"/>
        </w:rPr>
      </w:pPr>
      <w:r w:rsidRPr="00DA1C48">
        <w:rPr>
          <w:lang w:val="es-ES"/>
        </w:rPr>
        <w:t>Véase la</w:t>
      </w:r>
      <w:r w:rsidR="003D33C9" w:rsidRPr="00DA1C48">
        <w:rPr>
          <w:lang w:val="es-ES"/>
        </w:rPr>
        <w:t xml:space="preserve"> </w:t>
      </w:r>
      <w:r w:rsidRPr="00DA1C48">
        <w:rPr>
          <w:lang w:val="es-ES"/>
        </w:rPr>
        <w:t>Sección 4 del Texto para el Participante de la presente Unidad 10</w:t>
      </w:r>
      <w:r w:rsidR="003D33C9" w:rsidRPr="00DA1C48">
        <w:rPr>
          <w:lang w:val="es-ES"/>
        </w:rPr>
        <w:t>.</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13</w:t>
      </w:r>
      <w:r w:rsidR="002215E7" w:rsidRPr="00DA1C48">
        <w:rPr>
          <w:lang w:val="es-ES"/>
        </w:rPr>
        <w:t>.</w:t>
      </w:r>
    </w:p>
    <w:p w:rsidR="008C4DF2" w:rsidRPr="00DA1C48" w:rsidRDefault="00127E8B" w:rsidP="004936EF">
      <w:pPr>
        <w:pStyle w:val="diapo2"/>
        <w:rPr>
          <w:lang w:val="es-ES"/>
        </w:rPr>
      </w:pPr>
      <w:r w:rsidRPr="00786BA9">
        <w:rPr>
          <w:lang w:val="es-ES"/>
        </w:rPr>
        <w:t>Ejemplo – Procesión con danzas de</w:t>
      </w:r>
      <w:r w:rsidR="008C4DF2" w:rsidRPr="00786BA9">
        <w:rPr>
          <w:lang w:val="es-ES"/>
        </w:rPr>
        <w:t xml:space="preserve"> Echternach </w:t>
      </w:r>
      <w:r w:rsidR="00C448DF" w:rsidRPr="00786BA9">
        <w:rPr>
          <w:lang w:val="es-ES"/>
        </w:rPr>
        <w:t>(</w:t>
      </w:r>
      <w:r w:rsidRPr="00786BA9">
        <w:rPr>
          <w:lang w:val="es-ES"/>
        </w:rPr>
        <w:t>Luxemb</w:t>
      </w:r>
      <w:r w:rsidR="008C4DF2" w:rsidRPr="00786BA9">
        <w:rPr>
          <w:lang w:val="es-ES"/>
        </w:rPr>
        <w:t>urg</w:t>
      </w:r>
      <w:r w:rsidRPr="00786BA9">
        <w:rPr>
          <w:lang w:val="es-ES"/>
        </w:rPr>
        <w:t>o</w:t>
      </w:r>
      <w:r w:rsidR="00C448DF" w:rsidRPr="00786BA9">
        <w:rPr>
          <w:lang w:val="es-ES"/>
        </w:rPr>
        <w:t>)</w:t>
      </w:r>
    </w:p>
    <w:p w:rsidR="008C4DF2" w:rsidRPr="00DA1C48" w:rsidRDefault="002F1806" w:rsidP="009909DD">
      <w:pPr>
        <w:pStyle w:val="Texte1"/>
        <w:rPr>
          <w:lang w:val="es-ES"/>
        </w:rPr>
      </w:pPr>
      <w:r w:rsidRPr="00DA1C48">
        <w:rPr>
          <w:lang w:val="es-ES"/>
        </w:rPr>
        <w:t xml:space="preserve">La procesión con danzas de </w:t>
      </w:r>
      <w:proofErr w:type="spellStart"/>
      <w:r w:rsidRPr="00DA1C48">
        <w:rPr>
          <w:lang w:val="es-ES"/>
        </w:rPr>
        <w:t>Echternach</w:t>
      </w:r>
      <w:proofErr w:type="spellEnd"/>
      <w:r w:rsidRPr="00DA1C48">
        <w:rPr>
          <w:lang w:val="es-ES"/>
        </w:rPr>
        <w:t xml:space="preserve"> (Luxemburgo), inscrita en la LR en 2010, constituye un ejemplo de la función desempeñada por los marcos jurídicos nacionales en el apoyo al PCI. Esta procesión tiene lugar tradicionalmente el martes siguiente a la </w:t>
      </w:r>
      <w:r w:rsidR="00686926">
        <w:rPr>
          <w:lang w:val="es-ES"/>
        </w:rPr>
        <w:t xml:space="preserve">fiesta </w:t>
      </w:r>
      <w:r w:rsidRPr="00DA1C48">
        <w:rPr>
          <w:lang w:val="es-ES"/>
        </w:rPr>
        <w:t xml:space="preserve"> religiosa cristiana de Pentecostés, proclamad</w:t>
      </w:r>
      <w:r w:rsidR="00686926">
        <w:rPr>
          <w:lang w:val="es-ES"/>
        </w:rPr>
        <w:t>o</w:t>
      </w:r>
      <w:r w:rsidRPr="00DA1C48">
        <w:rPr>
          <w:lang w:val="es-ES"/>
        </w:rPr>
        <w:t xml:space="preserve"> </w:t>
      </w:r>
      <w:r w:rsidR="00686926">
        <w:rPr>
          <w:lang w:val="es-ES"/>
        </w:rPr>
        <w:t>oficialmente día festivo</w:t>
      </w:r>
      <w:r w:rsidRPr="00DA1C48">
        <w:rPr>
          <w:lang w:val="es-ES"/>
        </w:rPr>
        <w:t xml:space="preserve"> en </w:t>
      </w:r>
      <w:r w:rsidR="00686926">
        <w:rPr>
          <w:lang w:val="es-ES"/>
        </w:rPr>
        <w:t xml:space="preserve">todo </w:t>
      </w:r>
      <w:r w:rsidRPr="00DA1C48">
        <w:rPr>
          <w:lang w:val="es-ES"/>
        </w:rPr>
        <w:t xml:space="preserve">el país. La presentación de la candidatura de este elemento del PCI para su inscripción en la LR constituyó no sólo una muestra del renombre alcanzado a nivel nacional por este acontecimiento local, sino también una garantía de que el martes de Pentecostés seguiría siendo un día festivo oficial. Así, los ciudadanos de todo el Estado gozan de un día de asueto y pueden unirse a los vecinos de </w:t>
      </w:r>
      <w:proofErr w:type="spellStart"/>
      <w:r w:rsidRPr="00DA1C48">
        <w:rPr>
          <w:lang w:val="es-ES"/>
        </w:rPr>
        <w:t>Echternach</w:t>
      </w:r>
      <w:proofErr w:type="spellEnd"/>
      <w:r w:rsidRPr="00DA1C48">
        <w:rPr>
          <w:lang w:val="es-ES"/>
        </w:rPr>
        <w:t xml:space="preserve"> para acudir a la procesión, junto con otros grupos de peregrinos procedentes de pueblos situados a uno y otro lado de la frontera luxemburguesa. Aunque la población de </w:t>
      </w:r>
      <w:proofErr w:type="spellStart"/>
      <w:r w:rsidRPr="00DA1C48">
        <w:rPr>
          <w:lang w:val="es-ES"/>
        </w:rPr>
        <w:t>Echternach</w:t>
      </w:r>
      <w:proofErr w:type="spellEnd"/>
      <w:r w:rsidRPr="00DA1C48">
        <w:rPr>
          <w:lang w:val="es-ES"/>
        </w:rPr>
        <w:t xml:space="preserve"> no sobrepasa los 5.000 habitantes, en la procesión participan unas 14.000 personas.</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14</w:t>
      </w:r>
      <w:r w:rsidR="002215E7" w:rsidRPr="00DA1C48">
        <w:rPr>
          <w:lang w:val="es-ES"/>
        </w:rPr>
        <w:t>.</w:t>
      </w:r>
    </w:p>
    <w:p w:rsidR="008C4DF2" w:rsidRPr="00DA1C48" w:rsidRDefault="00127E8B" w:rsidP="004936EF">
      <w:pPr>
        <w:pStyle w:val="diapo2"/>
        <w:rPr>
          <w:lang w:val="es-ES"/>
        </w:rPr>
      </w:pPr>
      <w:r w:rsidRPr="00786BA9">
        <w:rPr>
          <w:lang w:val="es-ES"/>
        </w:rPr>
        <w:t>Marcos jurídicos y administrativos n</w:t>
      </w:r>
      <w:r w:rsidR="008C4DF2" w:rsidRPr="00786BA9">
        <w:rPr>
          <w:lang w:val="es-ES"/>
        </w:rPr>
        <w:t>a</w:t>
      </w:r>
      <w:r w:rsidRPr="00786BA9">
        <w:rPr>
          <w:lang w:val="es-ES"/>
        </w:rPr>
        <w:t>cionale</w:t>
      </w:r>
      <w:r w:rsidR="008C4DF2" w:rsidRPr="00786BA9">
        <w:rPr>
          <w:lang w:val="es-ES"/>
        </w:rPr>
        <w:t>s</w:t>
      </w:r>
      <w:r w:rsidR="008C4DF2" w:rsidRPr="00DA1C48">
        <w:rPr>
          <w:lang w:val="es-ES"/>
        </w:rPr>
        <w:t xml:space="preserve"> </w:t>
      </w:r>
    </w:p>
    <w:p w:rsidR="008C4DF2" w:rsidRPr="00DA1C48" w:rsidRDefault="00127E8B" w:rsidP="009909DD">
      <w:pPr>
        <w:pStyle w:val="Texte1"/>
        <w:rPr>
          <w:lang w:val="es-ES"/>
        </w:rPr>
      </w:pPr>
      <w:r w:rsidRPr="00DA1C48">
        <w:rPr>
          <w:lang w:val="es-ES"/>
        </w:rPr>
        <w:t xml:space="preserve">En las Secciones 4 y 5 del </w:t>
      </w:r>
      <w:r w:rsidR="00EB2323" w:rsidRPr="00DA1C48">
        <w:rPr>
          <w:lang w:val="es-ES"/>
        </w:rPr>
        <w:t>Texto para el Participante</w:t>
      </w:r>
      <w:r w:rsidR="002A3923" w:rsidRPr="00DA1C48">
        <w:rPr>
          <w:lang w:val="es-ES"/>
        </w:rPr>
        <w:t xml:space="preserve"> </w:t>
      </w:r>
      <w:r w:rsidRPr="00DA1C48">
        <w:rPr>
          <w:lang w:val="es-ES"/>
        </w:rPr>
        <w:t xml:space="preserve">de la presente Unidad 10, se examina la índole del apoyo jurídico e institucional prestado al PCI en el plano </w:t>
      </w:r>
      <w:r w:rsidR="00810A79" w:rsidRPr="00DA1C48">
        <w:rPr>
          <w:lang w:val="es-ES"/>
        </w:rPr>
        <w:t>nacional</w:t>
      </w:r>
      <w:r w:rsidR="00B2788A" w:rsidRPr="00DA1C48">
        <w:rPr>
          <w:lang w:val="es-ES"/>
        </w:rPr>
        <w:t>.</w:t>
      </w:r>
    </w:p>
    <w:p w:rsidR="00A30552" w:rsidRPr="00DA1C48" w:rsidRDefault="00A30552" w:rsidP="004936EF">
      <w:pPr>
        <w:pStyle w:val="Soustitre"/>
        <w:rPr>
          <w:caps/>
          <w:lang w:val="es-ES"/>
        </w:rPr>
      </w:pPr>
      <w:bookmarkStart w:id="7" w:name="_Toc238982256"/>
      <w:r w:rsidRPr="00DA1C48">
        <w:rPr>
          <w:lang w:val="es-ES"/>
        </w:rPr>
        <w:t>Not</w:t>
      </w:r>
      <w:r w:rsidR="00127E8B" w:rsidRPr="00DA1C48">
        <w:rPr>
          <w:lang w:val="es-ES"/>
        </w:rPr>
        <w:t>a sobre las iniciativas institucionales</w:t>
      </w:r>
      <w:r w:rsidRPr="00DA1C48">
        <w:rPr>
          <w:lang w:val="es-ES"/>
        </w:rPr>
        <w:t xml:space="preserve"> exist</w:t>
      </w:r>
      <w:r w:rsidR="00127E8B" w:rsidRPr="00DA1C48">
        <w:rPr>
          <w:lang w:val="es-ES"/>
        </w:rPr>
        <w:t>ent</w:t>
      </w:r>
      <w:r w:rsidRPr="00DA1C48">
        <w:rPr>
          <w:lang w:val="es-ES"/>
        </w:rPr>
        <w:t>es</w:t>
      </w:r>
      <w:bookmarkEnd w:id="7"/>
    </w:p>
    <w:p w:rsidR="008C4DF2" w:rsidRPr="00DA1C48" w:rsidRDefault="009B5E44" w:rsidP="009909DD">
      <w:pPr>
        <w:pStyle w:val="Texte1"/>
        <w:rPr>
          <w:lang w:val="es-ES"/>
        </w:rPr>
      </w:pPr>
      <w:r w:rsidRPr="00DA1C48">
        <w:rPr>
          <w:lang w:val="es-ES"/>
        </w:rPr>
        <w:t xml:space="preserve">Cuando sea necesario, se puede pedir a las instituciones existentes que desempeñen nuevas funciones en lo que respecta a la aplicación de la Convención. Allí donde haya instituciones, ONG, organizaciones comunitarias, o redes de éstas, que ya hayan </w:t>
      </w:r>
      <w:r w:rsidRPr="00DA1C48">
        <w:rPr>
          <w:lang w:val="es-ES"/>
        </w:rPr>
        <w:lastRenderedPageBreak/>
        <w:t>asumido tareas de este tipo por su propia iniciativa, lo ideal sería que el Estado las hiciera participar en su labor</w:t>
      </w:r>
      <w:r w:rsidR="008C4DF2" w:rsidRPr="00DA1C48">
        <w:rPr>
          <w:lang w:val="es-ES"/>
        </w:rPr>
        <w:t>.</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15</w:t>
      </w:r>
      <w:r w:rsidR="002215E7" w:rsidRPr="00DA1C48">
        <w:rPr>
          <w:lang w:val="es-ES"/>
        </w:rPr>
        <w:t>.</w:t>
      </w:r>
    </w:p>
    <w:p w:rsidR="008C4DF2" w:rsidRPr="00DA1C48" w:rsidRDefault="00EB2323" w:rsidP="004936EF">
      <w:pPr>
        <w:pStyle w:val="diapo2"/>
        <w:rPr>
          <w:lang w:val="es-ES"/>
        </w:rPr>
      </w:pPr>
      <w:r w:rsidRPr="00786BA9">
        <w:rPr>
          <w:lang w:val="es-ES"/>
        </w:rPr>
        <w:t>Estudio de Caso</w:t>
      </w:r>
      <w:r w:rsidR="00FE5A99" w:rsidRPr="00786BA9">
        <w:rPr>
          <w:lang w:val="es-ES"/>
        </w:rPr>
        <w:t xml:space="preserve"> –</w:t>
      </w:r>
      <w:r w:rsidR="00786BA9">
        <w:rPr>
          <w:lang w:val="es-ES"/>
        </w:rPr>
        <w:t xml:space="preserve"> </w:t>
      </w:r>
      <w:r w:rsidR="00FE5A99" w:rsidRPr="00786BA9">
        <w:rPr>
          <w:lang w:val="es-ES"/>
        </w:rPr>
        <w:t xml:space="preserve">Sudáfrica </w:t>
      </w:r>
    </w:p>
    <w:p w:rsidR="008C4DF2" w:rsidRPr="00DA1C48" w:rsidRDefault="00FE5A99" w:rsidP="009909DD">
      <w:pPr>
        <w:pStyle w:val="Texte1"/>
        <w:rPr>
          <w:lang w:val="es-ES"/>
        </w:rPr>
      </w:pPr>
      <w:r w:rsidRPr="00DA1C48">
        <w:rPr>
          <w:lang w:val="es-ES"/>
        </w:rPr>
        <w:t xml:space="preserve">En el </w:t>
      </w:r>
      <w:r w:rsidR="00EB2323" w:rsidRPr="00DA1C48">
        <w:rPr>
          <w:lang w:val="es-ES"/>
        </w:rPr>
        <w:t>Estudio de Caso</w:t>
      </w:r>
      <w:r w:rsidR="00442E1A" w:rsidRPr="00DA1C48">
        <w:rPr>
          <w:lang w:val="es-ES"/>
        </w:rPr>
        <w:t> </w:t>
      </w:r>
      <w:r w:rsidR="005B06C4" w:rsidRPr="00DA1C48">
        <w:rPr>
          <w:lang w:val="es-ES"/>
        </w:rPr>
        <w:t>29</w:t>
      </w:r>
      <w:r w:rsidRPr="00DA1C48">
        <w:rPr>
          <w:lang w:val="es-ES"/>
        </w:rPr>
        <w:t xml:space="preserve"> se examinan los diferentes marcos jurídicos y administrativos existentes en Sudáfrica a nivel nacional </w:t>
      </w:r>
      <w:r w:rsidR="00CE2903" w:rsidRPr="00DA1C48">
        <w:rPr>
          <w:lang w:val="es-ES"/>
        </w:rPr>
        <w:t>para</w:t>
      </w:r>
      <w:r w:rsidRPr="00DA1C48">
        <w:rPr>
          <w:lang w:val="es-ES"/>
        </w:rPr>
        <w:t xml:space="preserve"> la salvaguardia del</w:t>
      </w:r>
      <w:r w:rsidR="009367A4" w:rsidRPr="00DA1C48">
        <w:rPr>
          <w:lang w:val="es-ES"/>
        </w:rPr>
        <w:t xml:space="preserve"> </w:t>
      </w:r>
      <w:r w:rsidR="00C475F6" w:rsidRPr="00DA1C48">
        <w:rPr>
          <w:lang w:val="es-ES"/>
        </w:rPr>
        <w:t>PCI</w:t>
      </w:r>
      <w:r w:rsidR="008C4DF2" w:rsidRPr="00DA1C48">
        <w:rPr>
          <w:lang w:val="es-ES"/>
        </w:rPr>
        <w:t>.</w:t>
      </w:r>
    </w:p>
    <w:p w:rsidR="002C7A44" w:rsidRPr="00DA1C48" w:rsidRDefault="009B5E44" w:rsidP="00B1753C">
      <w:pPr>
        <w:pStyle w:val="Soustitre"/>
        <w:rPr>
          <w:lang w:val="es-ES"/>
        </w:rPr>
      </w:pPr>
      <w:bookmarkStart w:id="8" w:name="_Toc238982257"/>
      <w:r w:rsidRPr="00786BA9">
        <w:rPr>
          <w:bCs w:val="0"/>
          <w:lang w:val="es-ES"/>
        </w:rPr>
        <w:t>Otro e</w:t>
      </w:r>
      <w:r w:rsidRPr="00786BA9">
        <w:rPr>
          <w:lang w:val="es-ES"/>
        </w:rPr>
        <w:t>jemplo</w:t>
      </w:r>
      <w:r w:rsidR="002C7A44" w:rsidRPr="00786BA9">
        <w:rPr>
          <w:lang w:val="es-ES"/>
        </w:rPr>
        <w:t>: M</w:t>
      </w:r>
      <w:r w:rsidR="00FE5A99" w:rsidRPr="00786BA9">
        <w:rPr>
          <w:lang w:val="es-ES"/>
        </w:rPr>
        <w:t>arco jurídico nacional de M</w:t>
      </w:r>
      <w:r w:rsidR="002C7A44" w:rsidRPr="00786BA9">
        <w:rPr>
          <w:lang w:val="es-ES"/>
        </w:rPr>
        <w:t>ongolia</w:t>
      </w:r>
      <w:r w:rsidR="00FE5A99" w:rsidRPr="00786BA9">
        <w:rPr>
          <w:lang w:val="es-ES"/>
        </w:rPr>
        <w:t xml:space="preserve"> para el</w:t>
      </w:r>
      <w:r w:rsidR="002C7A44" w:rsidRPr="00786BA9">
        <w:rPr>
          <w:lang w:val="es-ES"/>
        </w:rPr>
        <w:t xml:space="preserve"> </w:t>
      </w:r>
      <w:r w:rsidR="00C475F6" w:rsidRPr="00786BA9">
        <w:rPr>
          <w:lang w:val="es-ES"/>
        </w:rPr>
        <w:t>PCI</w:t>
      </w:r>
      <w:bookmarkEnd w:id="8"/>
    </w:p>
    <w:p w:rsidR="008B3E94" w:rsidRPr="00DA1C48" w:rsidRDefault="00320814" w:rsidP="009909DD">
      <w:pPr>
        <w:pStyle w:val="Texte1"/>
        <w:rPr>
          <w:lang w:val="es-ES"/>
        </w:rPr>
      </w:pPr>
      <w:r w:rsidRPr="00DA1C48">
        <w:rPr>
          <w:lang w:val="es-ES"/>
        </w:rPr>
        <w:t xml:space="preserve">El gobierno de Mongolia se ha mostrado bastante activo a la hora de proteger y salvaguardar el patrimonio cultural estatal y de aprovechar las posibilidades que ofrece la Convención en el plano internacional. Mongolia cuenta </w:t>
      </w:r>
      <w:r w:rsidRPr="00786BA9">
        <w:rPr>
          <w:lang w:val="es-ES"/>
        </w:rPr>
        <w:t>con seis elementos</w:t>
      </w:r>
      <w:r w:rsidRPr="00DA1C48">
        <w:rPr>
          <w:lang w:val="es-ES"/>
        </w:rPr>
        <w:t xml:space="preserve"> </w:t>
      </w:r>
      <w:r w:rsidR="00686926">
        <w:rPr>
          <w:lang w:val="es-ES"/>
        </w:rPr>
        <w:t xml:space="preserve">de </w:t>
      </w:r>
      <w:r w:rsidRPr="00DA1C48">
        <w:rPr>
          <w:lang w:val="es-ES"/>
        </w:rPr>
        <w:t xml:space="preserve">su PCI inscritos en la LR (dos de ellos forman parte del patrimonio cultural compartido con China) </w:t>
      </w:r>
      <w:r w:rsidRPr="00786BA9">
        <w:rPr>
          <w:lang w:val="es-ES"/>
        </w:rPr>
        <w:t>y cinco en</w:t>
      </w:r>
      <w:r w:rsidRPr="00DA1C48">
        <w:rPr>
          <w:lang w:val="es-ES"/>
        </w:rPr>
        <w:t xml:space="preserve"> la LSU. En 1996, este país promulgó la Ley sobre Cultura y Política Cultural y, en 2001, la Ley sobre Protección del Patrimonio Cultural. Cada una de estas leyes dedica una sección especial a la protección del PCI. Además, se han creado instituciones para confeccionar el inventario de este tipo de patrimonio. En 1998, un grupo de artistas fundó el Centro Nacional del Patrimonio Cultural Inmaterial y, desde entonces, se ha creado una base nacional de datos sobre el PCI. En 1999, el gobierno puso en marcha un Programa Nacional de Apoyo a las Artes Folclóricas Tradicionales para el periodo 1999-2006. Asimismo</w:t>
      </w:r>
      <w:r w:rsidR="00686926">
        <w:rPr>
          <w:lang w:val="es-ES"/>
        </w:rPr>
        <w:t>,</w:t>
      </w:r>
      <w:r w:rsidRPr="00DA1C48">
        <w:rPr>
          <w:lang w:val="es-ES"/>
        </w:rPr>
        <w:t xml:space="preserve"> se han creado varios festivales nacionales para promover diversos elementos del PCI. El gobierno tiene previsto cre</w:t>
      </w:r>
      <w:r w:rsidR="00686926">
        <w:rPr>
          <w:lang w:val="es-ES"/>
        </w:rPr>
        <w:t>ar un Consejo Nacional para la Identificación del PCI y sus D</w:t>
      </w:r>
      <w:r w:rsidRPr="00DA1C48">
        <w:rPr>
          <w:lang w:val="es-ES"/>
        </w:rPr>
        <w:t>epositarios, poner en práctica el Plan de Acción Nacional de Mongolia para el Patrimonio Cultural Inmaterial y crear un Programa de Tesoros Vivos</w:t>
      </w:r>
      <w:r w:rsidR="008B3E94" w:rsidRPr="00DA1C48">
        <w:rPr>
          <w:lang w:val="es-ES"/>
        </w:rPr>
        <w:t>.</w:t>
      </w:r>
      <w:r w:rsidR="00ED7265" w:rsidRPr="00DA1C48">
        <w:rPr>
          <w:rStyle w:val="FootnoteReference"/>
          <w:lang w:val="es-ES"/>
        </w:rPr>
        <w:footnoteReference w:id="3"/>
      </w:r>
    </w:p>
    <w:p w:rsidR="002215E7" w:rsidRPr="00DA1C48" w:rsidRDefault="00EB2323" w:rsidP="004936EF">
      <w:pPr>
        <w:pStyle w:val="Heading6"/>
        <w:rPr>
          <w:lang w:val="es-ES"/>
        </w:rPr>
      </w:pPr>
      <w:r w:rsidRPr="00DA1C48">
        <w:rPr>
          <w:lang w:val="es-ES"/>
        </w:rPr>
        <w:t>DIAPOSITIVA</w:t>
      </w:r>
      <w:r w:rsidR="008C4DF2" w:rsidRPr="00DA1C48">
        <w:rPr>
          <w:lang w:val="es-ES"/>
        </w:rPr>
        <w:t xml:space="preserve"> 1</w:t>
      </w:r>
      <w:r w:rsidR="00933DEE" w:rsidRPr="00DA1C48">
        <w:rPr>
          <w:lang w:val="es-ES"/>
        </w:rPr>
        <w:t>6</w:t>
      </w:r>
      <w:r w:rsidR="002215E7" w:rsidRPr="00DA1C48">
        <w:rPr>
          <w:lang w:val="es-ES"/>
        </w:rPr>
        <w:t>.</w:t>
      </w:r>
    </w:p>
    <w:p w:rsidR="008C4DF2" w:rsidRPr="00DA1C48" w:rsidRDefault="00FE5A99" w:rsidP="004936EF">
      <w:pPr>
        <w:pStyle w:val="diapo2"/>
        <w:rPr>
          <w:lang w:val="es-ES"/>
        </w:rPr>
      </w:pPr>
      <w:r w:rsidRPr="00DA1C48">
        <w:rPr>
          <w:lang w:val="es-ES"/>
        </w:rPr>
        <w:t>Derechos de propiedad intelectual</w:t>
      </w:r>
      <w:r w:rsidR="0086107D" w:rsidRPr="00DA1C48">
        <w:rPr>
          <w:lang w:val="es-ES"/>
        </w:rPr>
        <w:t xml:space="preserve"> (DPI)</w:t>
      </w:r>
    </w:p>
    <w:p w:rsidR="007C3401" w:rsidRPr="00DA1C48" w:rsidRDefault="00EB2323" w:rsidP="009909DD">
      <w:pPr>
        <w:pStyle w:val="Texte1"/>
        <w:rPr>
          <w:lang w:val="es-ES"/>
        </w:rPr>
      </w:pPr>
      <w:r w:rsidRPr="00DA1C48">
        <w:rPr>
          <w:lang w:val="es-ES"/>
        </w:rPr>
        <w:t>En la Sección 6 del Texto para el Participante de la presente Unidad 10</w:t>
      </w:r>
      <w:r w:rsidR="007C3401" w:rsidRPr="00DA1C48">
        <w:rPr>
          <w:lang w:val="es-ES"/>
        </w:rPr>
        <w:t xml:space="preserve"> </w:t>
      </w:r>
      <w:r w:rsidR="0086107D" w:rsidRPr="00DA1C48">
        <w:rPr>
          <w:lang w:val="es-ES"/>
        </w:rPr>
        <w:t xml:space="preserve">se examina el tema de la protección de los </w:t>
      </w:r>
      <w:r w:rsidR="00686926">
        <w:rPr>
          <w:lang w:val="es-ES"/>
        </w:rPr>
        <w:t>d</w:t>
      </w:r>
      <w:r w:rsidR="00686926" w:rsidRPr="00DA1C48">
        <w:rPr>
          <w:lang w:val="es-ES"/>
        </w:rPr>
        <w:t xml:space="preserve">erechos de propiedad intelectual </w:t>
      </w:r>
      <w:r w:rsidR="00686926">
        <w:rPr>
          <w:lang w:val="es-ES"/>
        </w:rPr>
        <w:t>(</w:t>
      </w:r>
      <w:r w:rsidR="00903865" w:rsidRPr="00DA1C48">
        <w:rPr>
          <w:lang w:val="es-ES"/>
        </w:rPr>
        <w:t>DPI</w:t>
      </w:r>
      <w:r w:rsidR="00686926">
        <w:rPr>
          <w:lang w:val="es-ES"/>
        </w:rPr>
        <w:t>)</w:t>
      </w:r>
      <w:r w:rsidR="007C3401" w:rsidRPr="00DA1C48">
        <w:rPr>
          <w:lang w:val="es-ES"/>
        </w:rPr>
        <w:t xml:space="preserve"> </w:t>
      </w:r>
      <w:r w:rsidR="0086107D" w:rsidRPr="00DA1C48">
        <w:rPr>
          <w:lang w:val="es-ES"/>
        </w:rPr>
        <w:t>de las comunidades en el plano nacional</w:t>
      </w:r>
      <w:r w:rsidR="007C3401" w:rsidRPr="00DA1C48">
        <w:rPr>
          <w:lang w:val="es-ES"/>
        </w:rPr>
        <w:t>.</w:t>
      </w:r>
    </w:p>
    <w:p w:rsidR="002215E7" w:rsidRPr="00DA1C48" w:rsidRDefault="00CE2903" w:rsidP="004936EF">
      <w:pPr>
        <w:pStyle w:val="DO"/>
        <w:rPr>
          <w:lang w:val="es-ES"/>
        </w:rPr>
      </w:pPr>
      <w:r w:rsidRPr="00DA1C48">
        <w:rPr>
          <w:lang w:val="es-ES"/>
        </w:rPr>
        <w:t>DO</w:t>
      </w:r>
      <w:r w:rsidR="002215E7" w:rsidRPr="00DA1C48">
        <w:rPr>
          <w:lang w:val="es-ES"/>
        </w:rPr>
        <w:t xml:space="preserve"> 104</w:t>
      </w:r>
      <w:r w:rsidR="002215E7" w:rsidRPr="00DA1C48">
        <w:rPr>
          <w:lang w:val="es-ES"/>
        </w:rPr>
        <w:tab/>
      </w:r>
      <w:r w:rsidR="00686926">
        <w:rPr>
          <w:lang w:val="es-ES"/>
        </w:rPr>
        <w:t>“</w:t>
      </w:r>
      <w:r w:rsidRPr="00DA1C48">
        <w:rPr>
          <w:lang w:val="es-ES" w:eastAsia="es-ES"/>
        </w:rPr>
        <w:t>Los Estados Partes se esforzarán, en particular mediante la aplicación de los derechos de propiedad intelectual, el derecho al respeto de la vida privada y cualquier otra forma apropiada de protección jurídica, para que los derechos de las comunidades, los grupos y los individuos que crean, detentan y transmiten su patrimonio cultural inmaterial estén debidamente protegidos cuando realizan actividades de sensibilización a ese patrimonio o emprenden actividades comerciales</w:t>
      </w:r>
      <w:r w:rsidR="002215E7" w:rsidRPr="00DA1C48">
        <w:rPr>
          <w:lang w:val="es-ES"/>
        </w:rPr>
        <w:t>.</w:t>
      </w:r>
      <w:r w:rsidR="00686926">
        <w:rPr>
          <w:lang w:val="es-ES"/>
        </w:rPr>
        <w:t>”</w:t>
      </w:r>
    </w:p>
    <w:p w:rsidR="002215E7" w:rsidRPr="00DA1C48" w:rsidRDefault="00320814" w:rsidP="009909DD">
      <w:pPr>
        <w:pStyle w:val="Texte1"/>
        <w:rPr>
          <w:lang w:val="es-ES"/>
        </w:rPr>
      </w:pPr>
      <w:r w:rsidRPr="00DA1C48">
        <w:rPr>
          <w:lang w:val="es-ES"/>
        </w:rPr>
        <w:t xml:space="preserve">Un número muy considerable de Estados han elaborado ya –a menudo con asistencia de la OMPI– legislaciones que permiten a las comunidades proteger sus </w:t>
      </w:r>
      <w:r w:rsidR="00903865" w:rsidRPr="00DA1C48">
        <w:rPr>
          <w:lang w:val="es-ES"/>
        </w:rPr>
        <w:t>DPI</w:t>
      </w:r>
      <w:r w:rsidRPr="00DA1C48">
        <w:rPr>
          <w:lang w:val="es-ES"/>
        </w:rPr>
        <w:t xml:space="preserve"> sobre el PCI</w:t>
      </w:r>
      <w:r w:rsidR="00DE6098" w:rsidRPr="00DA1C48">
        <w:rPr>
          <w:lang w:val="es-ES"/>
        </w:rPr>
        <w:t>.</w:t>
      </w:r>
      <w:r w:rsidR="008C4DF2" w:rsidRPr="00DA1C48">
        <w:rPr>
          <w:lang w:val="es-ES"/>
        </w:rPr>
        <w:t xml:space="preserve"> </w:t>
      </w:r>
    </w:p>
    <w:p w:rsidR="008C4DF2" w:rsidRPr="00DA1C48" w:rsidRDefault="003A291A" w:rsidP="004936EF">
      <w:pPr>
        <w:pStyle w:val="Informations0"/>
        <w:rPr>
          <w:lang w:val="es-ES"/>
        </w:rPr>
      </w:pPr>
      <w:r w:rsidRPr="00DA1C48">
        <w:rPr>
          <w:lang w:val="es-ES"/>
        </w:rPr>
        <w:lastRenderedPageBreak/>
        <w:t>U</w:t>
      </w:r>
      <w:r w:rsidR="00320814" w:rsidRPr="00DA1C48">
        <w:rPr>
          <w:lang w:val="es-ES"/>
        </w:rPr>
        <w:t>na publicación útil de la O</w:t>
      </w:r>
      <w:r w:rsidR="00903865" w:rsidRPr="00DA1C48">
        <w:rPr>
          <w:lang w:val="es-ES"/>
        </w:rPr>
        <w:t xml:space="preserve">rganización </w:t>
      </w:r>
      <w:r w:rsidR="00320814" w:rsidRPr="00DA1C48">
        <w:rPr>
          <w:lang w:val="es-ES"/>
        </w:rPr>
        <w:t>M</w:t>
      </w:r>
      <w:r w:rsidR="00903865" w:rsidRPr="00DA1C48">
        <w:rPr>
          <w:lang w:val="es-ES"/>
        </w:rPr>
        <w:t xml:space="preserve">undial de la </w:t>
      </w:r>
      <w:r w:rsidR="00320814" w:rsidRPr="00DA1C48">
        <w:rPr>
          <w:lang w:val="es-ES"/>
        </w:rPr>
        <w:t>P</w:t>
      </w:r>
      <w:r w:rsidR="00903865" w:rsidRPr="00DA1C48">
        <w:rPr>
          <w:lang w:val="es-ES"/>
        </w:rPr>
        <w:t>ropiedad Intelectual (OMPI)</w:t>
      </w:r>
      <w:r w:rsidR="00320814" w:rsidRPr="00DA1C48">
        <w:rPr>
          <w:lang w:val="es-ES"/>
        </w:rPr>
        <w:t xml:space="preserve"> sobre los DPI relacionados con el patrimonio cultural inmaterial </w:t>
      </w:r>
      <w:r w:rsidRPr="00DA1C48">
        <w:rPr>
          <w:lang w:val="es-ES"/>
        </w:rPr>
        <w:t xml:space="preserve">se puede consultar </w:t>
      </w:r>
      <w:r w:rsidR="00320814" w:rsidRPr="00DA1C48">
        <w:rPr>
          <w:lang w:val="es-ES"/>
        </w:rPr>
        <w:t>en</w:t>
      </w:r>
      <w:r w:rsidR="008C4DF2" w:rsidRPr="00DA1C48">
        <w:rPr>
          <w:lang w:val="es-ES"/>
        </w:rPr>
        <w:t>:</w:t>
      </w:r>
      <w:r w:rsidR="00D732A9" w:rsidRPr="00DA1C48">
        <w:rPr>
          <w:lang w:val="es-ES"/>
        </w:rPr>
        <w:tab/>
      </w:r>
      <w:r w:rsidR="00D732A9" w:rsidRPr="00DA1C48">
        <w:rPr>
          <w:lang w:val="es-ES"/>
        </w:rPr>
        <w:br/>
      </w:r>
      <w:r w:rsidR="009A5123" w:rsidRPr="00016F0E">
        <w:rPr>
          <w:noProof/>
          <w:lang w:val="en-GB" w:eastAsia="en-GB"/>
        </w:rPr>
        <w:drawing>
          <wp:anchor distT="0" distB="0" distL="114300" distR="114300" simplePos="0" relativeHeight="251660288"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335" name="Imag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hyperlink r:id="rId13" w:history="1">
        <w:r w:rsidR="00320814" w:rsidRPr="00016F0E">
          <w:rPr>
            <w:rStyle w:val="Hyperlink"/>
            <w:lang w:val="es-ES"/>
          </w:rPr>
          <w:t>http://www.wipo.int/freepublications/es/tk/913/wipo_pub_913.pdf</w:t>
        </w:r>
      </w:hyperlink>
      <w:r w:rsidR="008C4DF2" w:rsidRPr="00DA1C48">
        <w:rPr>
          <w:lang w:val="es-ES"/>
        </w:rPr>
        <w:t xml:space="preserve"> </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1</w:t>
      </w:r>
      <w:r w:rsidR="00933DEE" w:rsidRPr="00DA1C48">
        <w:rPr>
          <w:lang w:val="es-ES"/>
        </w:rPr>
        <w:t>7</w:t>
      </w:r>
      <w:r w:rsidR="002215E7" w:rsidRPr="00DA1C48">
        <w:rPr>
          <w:lang w:val="es-ES"/>
        </w:rPr>
        <w:t>.</w:t>
      </w:r>
    </w:p>
    <w:p w:rsidR="008C4DF2" w:rsidRPr="00DA1C48" w:rsidRDefault="00EB2323" w:rsidP="004936EF">
      <w:pPr>
        <w:pStyle w:val="diapo2"/>
        <w:rPr>
          <w:lang w:val="es-ES"/>
        </w:rPr>
      </w:pPr>
      <w:r w:rsidRPr="00786BA9">
        <w:rPr>
          <w:lang w:val="es-ES"/>
        </w:rPr>
        <w:t>Estudio de Caso</w:t>
      </w:r>
      <w:r w:rsidR="00CE2903" w:rsidRPr="00786BA9">
        <w:rPr>
          <w:lang w:val="es-ES"/>
        </w:rPr>
        <w:t xml:space="preserve"> – Las marcas comerciales </w:t>
      </w:r>
      <w:r w:rsidR="00465DE9" w:rsidRPr="00786BA9">
        <w:rPr>
          <w:lang w:val="es-ES"/>
        </w:rPr>
        <w:t>“</w:t>
      </w:r>
      <w:r w:rsidR="00CE2903" w:rsidRPr="00786BA9">
        <w:rPr>
          <w:lang w:val="es-ES"/>
        </w:rPr>
        <w:t>Toi Iho</w:t>
      </w:r>
      <w:r w:rsidR="00465DE9" w:rsidRPr="00786BA9">
        <w:rPr>
          <w:lang w:val="es-ES"/>
        </w:rPr>
        <w:t>”</w:t>
      </w:r>
      <w:r w:rsidR="00CE2903" w:rsidRPr="00786BA9">
        <w:rPr>
          <w:lang w:val="es-ES"/>
        </w:rPr>
        <w:t xml:space="preserve"> </w:t>
      </w:r>
      <w:r w:rsidR="007C3401" w:rsidRPr="00786BA9">
        <w:rPr>
          <w:lang w:val="es-ES"/>
        </w:rPr>
        <w:t>(N</w:t>
      </w:r>
      <w:r w:rsidR="00CE2903" w:rsidRPr="00786BA9">
        <w:rPr>
          <w:lang w:val="es-ES"/>
        </w:rPr>
        <w:t>ueva</w:t>
      </w:r>
      <w:r w:rsidR="007C3401" w:rsidRPr="00786BA9">
        <w:rPr>
          <w:lang w:val="es-ES"/>
        </w:rPr>
        <w:t xml:space="preserve"> Ze</w:t>
      </w:r>
      <w:r w:rsidR="00CE2903" w:rsidRPr="00786BA9">
        <w:rPr>
          <w:lang w:val="es-ES"/>
        </w:rPr>
        <w:t>landia</w:t>
      </w:r>
      <w:r w:rsidR="007C3401" w:rsidRPr="00786BA9">
        <w:rPr>
          <w:lang w:val="es-ES"/>
        </w:rPr>
        <w:t>)</w:t>
      </w:r>
    </w:p>
    <w:p w:rsidR="007C3401" w:rsidRPr="00DA1C48" w:rsidRDefault="00161849" w:rsidP="009909DD">
      <w:pPr>
        <w:pStyle w:val="Texte1"/>
        <w:rPr>
          <w:lang w:val="es-ES"/>
        </w:rPr>
      </w:pPr>
      <w:r w:rsidRPr="00DA1C48">
        <w:rPr>
          <w:lang w:val="es-ES"/>
        </w:rPr>
        <w:t>En la diapositiva se muestran logotipos de marcas registradas con símbolos y nombres tradicionales de los maoríes de Nueva Zelandia para proteger los derechos de los artesanos indígenas. En Australia, la Asociación Nacional de Defensa de las Arte</w:t>
      </w:r>
      <w:r w:rsidR="00465DE9">
        <w:rPr>
          <w:lang w:val="es-ES"/>
        </w:rPr>
        <w:t>s Autóctonas (NIAAA) también ha</w:t>
      </w:r>
      <w:r w:rsidRPr="00DA1C48">
        <w:rPr>
          <w:lang w:val="es-ES"/>
        </w:rPr>
        <w:t xml:space="preserve"> registrado marcas de certificación, como la “Etiqueta de autenticidad”, para los productos aborígenes. En Canadá, las llamadas “</w:t>
      </w:r>
      <w:r w:rsidR="00465DE9" w:rsidRPr="00DA1C48">
        <w:rPr>
          <w:lang w:val="es-ES"/>
        </w:rPr>
        <w:t>primeras naciones</w:t>
      </w:r>
      <w:r w:rsidRPr="00DA1C48">
        <w:rPr>
          <w:lang w:val="es-ES"/>
        </w:rPr>
        <w:t>” (esto es, los pueblos indígenas) utilizan marcas comerciales, incluida la certificación “Auténticamente aborigen”, para identificar la amplia gama de bienes y servicios que producen (artesanías, obras artísticas, productos culinarios, ropa y servicios turísticos), así como las empresas que dirigen.</w:t>
      </w:r>
      <w:r w:rsidR="007C3401" w:rsidRPr="00DA1C48">
        <w:rPr>
          <w:vertAlign w:val="superscript"/>
          <w:lang w:val="es-ES"/>
        </w:rPr>
        <w:footnoteReference w:id="4"/>
      </w:r>
      <w:r w:rsidR="007C3401" w:rsidRPr="00DA1C48">
        <w:rPr>
          <w:lang w:val="es-ES"/>
        </w:rPr>
        <w:t xml:space="preserve"> </w:t>
      </w:r>
    </w:p>
    <w:p w:rsidR="00980F4C" w:rsidRPr="00DA1C48" w:rsidRDefault="004D71E2" w:rsidP="009909DD">
      <w:pPr>
        <w:pStyle w:val="Texte1"/>
        <w:rPr>
          <w:lang w:val="es-ES"/>
        </w:rPr>
      </w:pPr>
      <w:r w:rsidRPr="00DA1C48">
        <w:rPr>
          <w:lang w:val="es-ES"/>
        </w:rPr>
        <w:t>Es interesante observar aquí el uso de la noción de</w:t>
      </w:r>
      <w:r w:rsidR="00810A79" w:rsidRPr="00DA1C48">
        <w:rPr>
          <w:lang w:val="es-ES"/>
        </w:rPr>
        <w:t xml:space="preserve"> </w:t>
      </w:r>
      <w:r w:rsidR="00465DE9">
        <w:rPr>
          <w:lang w:val="es-ES"/>
        </w:rPr>
        <w:t>“autenticidad”</w:t>
      </w:r>
      <w:r w:rsidRPr="00DA1C48">
        <w:rPr>
          <w:lang w:val="es-ES"/>
        </w:rPr>
        <w:t xml:space="preserve"> que la Convención evita mencionar </w:t>
      </w:r>
      <w:r w:rsidR="00980F4C" w:rsidRPr="00DA1C48">
        <w:rPr>
          <w:lang w:val="es-ES"/>
        </w:rPr>
        <w:t>(</w:t>
      </w:r>
      <w:r w:rsidR="00EB2323" w:rsidRPr="00DA1C48">
        <w:rPr>
          <w:lang w:val="es-ES"/>
        </w:rPr>
        <w:t xml:space="preserve">véase </w:t>
      </w:r>
      <w:r w:rsidRPr="00DA1C48">
        <w:rPr>
          <w:lang w:val="es-ES"/>
        </w:rPr>
        <w:t xml:space="preserve">a este respecto </w:t>
      </w:r>
      <w:r w:rsidR="00465DE9">
        <w:rPr>
          <w:lang w:val="es-ES"/>
        </w:rPr>
        <w:t>la sección</w:t>
      </w:r>
      <w:r w:rsidRPr="00DA1C48">
        <w:rPr>
          <w:lang w:val="es-ES"/>
        </w:rPr>
        <w:t xml:space="preserve"> “Autenticidad” en </w:t>
      </w:r>
      <w:r w:rsidR="00EB2323" w:rsidRPr="00DA1C48">
        <w:rPr>
          <w:lang w:val="es-ES"/>
        </w:rPr>
        <w:t>el</w:t>
      </w:r>
      <w:r w:rsidR="00980F4C" w:rsidRPr="00DA1C48">
        <w:rPr>
          <w:lang w:val="es-ES"/>
        </w:rPr>
        <w:t xml:space="preserve"> </w:t>
      </w:r>
      <w:r w:rsidR="00EB2323" w:rsidRPr="00DA1C48">
        <w:rPr>
          <w:lang w:val="es-ES"/>
        </w:rPr>
        <w:t>Texto para el Participante de la Unidad</w:t>
      </w:r>
      <w:r w:rsidR="009A5123" w:rsidRPr="00DA1C48">
        <w:rPr>
          <w:lang w:val="es-ES"/>
        </w:rPr>
        <w:t xml:space="preserve"> 3</w:t>
      </w:r>
      <w:r w:rsidR="00980F4C" w:rsidRPr="00DA1C48">
        <w:rPr>
          <w:lang w:val="es-ES"/>
        </w:rPr>
        <w:t xml:space="preserve">). </w:t>
      </w:r>
      <w:r w:rsidR="003A291A" w:rsidRPr="00DA1C48">
        <w:rPr>
          <w:lang w:val="es-ES"/>
        </w:rPr>
        <w:t>No obstante, en el contexto de las marcas comerciales y de certificación, el certificado de la autenticidad no se suele basar en una prueba de que el PCI ha</w:t>
      </w:r>
      <w:r w:rsidR="00465DE9">
        <w:rPr>
          <w:lang w:val="es-ES"/>
        </w:rPr>
        <w:t>ya</w:t>
      </w:r>
      <w:r w:rsidR="003A291A" w:rsidRPr="00DA1C48">
        <w:rPr>
          <w:lang w:val="es-ES"/>
        </w:rPr>
        <w:t xml:space="preserve"> permanecido inalterable, sino en la prueba de que la relación de éste con la comunidad interesada se ha mantenido intacta (según estima la propia comunidad). Esta última noción de la autenticidad no va en contra de los principios y el espíritu de la Convención, ya que en ésta se enuncia claramente cuán importante es establecer y mantener el vínculo entre los elementos del PCI y las comunidades interesadas.</w:t>
      </w:r>
      <w:r w:rsidR="00980F4C" w:rsidRPr="00DA1C48">
        <w:rPr>
          <w:lang w:val="es-ES"/>
        </w:rPr>
        <w:t xml:space="preserve"> </w:t>
      </w:r>
    </w:p>
    <w:p w:rsidR="00980F4C" w:rsidRPr="00DA1C48" w:rsidRDefault="004D71E2" w:rsidP="009909DD">
      <w:pPr>
        <w:pStyle w:val="Texte1"/>
        <w:rPr>
          <w:lang w:val="es-ES"/>
        </w:rPr>
      </w:pPr>
      <w:r w:rsidRPr="00DA1C48">
        <w:rPr>
          <w:lang w:val="es-ES"/>
        </w:rPr>
        <w:t xml:space="preserve">Véase el </w:t>
      </w:r>
      <w:r w:rsidR="00EB2323" w:rsidRPr="00DA1C48">
        <w:rPr>
          <w:lang w:val="es-ES"/>
        </w:rPr>
        <w:t>Estudio de Caso</w:t>
      </w:r>
      <w:r w:rsidR="00442E1A" w:rsidRPr="00DA1C48">
        <w:rPr>
          <w:lang w:val="es-ES"/>
        </w:rPr>
        <w:t> </w:t>
      </w:r>
      <w:r w:rsidR="005B06C4" w:rsidRPr="00DA1C48">
        <w:rPr>
          <w:lang w:val="es-ES"/>
        </w:rPr>
        <w:t>30</w:t>
      </w:r>
      <w:r w:rsidRPr="00DA1C48">
        <w:rPr>
          <w:lang w:val="es-ES"/>
        </w:rPr>
        <w:t xml:space="preserve"> sobre las marcas registradas maoríes que se muestran en la diapositiva</w:t>
      </w:r>
      <w:r w:rsidR="00980F4C" w:rsidRPr="00DA1C48">
        <w:rPr>
          <w:lang w:val="es-ES"/>
        </w:rPr>
        <w:t>.</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1</w:t>
      </w:r>
      <w:r w:rsidR="00933DEE" w:rsidRPr="00DA1C48">
        <w:rPr>
          <w:lang w:val="es-ES"/>
        </w:rPr>
        <w:t>8</w:t>
      </w:r>
      <w:r w:rsidR="002215E7" w:rsidRPr="00DA1C48">
        <w:rPr>
          <w:lang w:val="es-ES"/>
        </w:rPr>
        <w:t>.</w:t>
      </w:r>
    </w:p>
    <w:p w:rsidR="008C4DF2" w:rsidRPr="00DA1C48" w:rsidRDefault="00C6127C" w:rsidP="004936EF">
      <w:pPr>
        <w:pStyle w:val="diapo2"/>
        <w:rPr>
          <w:lang w:val="es-ES"/>
        </w:rPr>
      </w:pPr>
      <w:r w:rsidRPr="00786BA9">
        <w:rPr>
          <w:lang w:val="es-ES"/>
        </w:rPr>
        <w:t>Los marcos institucionales permiten…</w:t>
      </w:r>
    </w:p>
    <w:p w:rsidR="008C4DF2" w:rsidRPr="00DA1C48" w:rsidRDefault="00EB2323" w:rsidP="009909DD">
      <w:pPr>
        <w:pStyle w:val="Texte1"/>
        <w:rPr>
          <w:lang w:val="es-ES"/>
        </w:rPr>
      </w:pPr>
      <w:r w:rsidRPr="00DA1C48">
        <w:rPr>
          <w:lang w:val="es-ES"/>
        </w:rPr>
        <w:t>En la Sección 5 del Texto para el Participante de la presente Unidad 10</w:t>
      </w:r>
      <w:r w:rsidR="00132644" w:rsidRPr="00DA1C48">
        <w:rPr>
          <w:lang w:val="es-ES"/>
        </w:rPr>
        <w:t xml:space="preserve"> </w:t>
      </w:r>
      <w:r w:rsidR="004D71E2" w:rsidRPr="00DA1C48">
        <w:rPr>
          <w:lang w:val="es-ES"/>
        </w:rPr>
        <w:t>se examina el papel desempeñado por las instituciones en la aplicación de la</w:t>
      </w:r>
      <w:r w:rsidR="00132644" w:rsidRPr="00DA1C48">
        <w:rPr>
          <w:lang w:val="es-ES"/>
        </w:rPr>
        <w:t xml:space="preserve"> </w:t>
      </w:r>
      <w:r w:rsidR="0012502B" w:rsidRPr="00DA1C48">
        <w:rPr>
          <w:lang w:val="es-ES"/>
        </w:rPr>
        <w:t>Convención</w:t>
      </w:r>
      <w:r w:rsidR="00132644" w:rsidRPr="00DA1C48">
        <w:rPr>
          <w:lang w:val="es-ES"/>
        </w:rPr>
        <w:t xml:space="preserve"> </w:t>
      </w:r>
      <w:r w:rsidR="004D71E2" w:rsidRPr="00DA1C48">
        <w:rPr>
          <w:lang w:val="es-ES"/>
        </w:rPr>
        <w:t>en el plano nacional</w:t>
      </w:r>
      <w:r w:rsidR="00132644" w:rsidRPr="00DA1C48">
        <w:rPr>
          <w:lang w:val="es-ES"/>
        </w:rPr>
        <w:t>.</w:t>
      </w:r>
    </w:p>
    <w:p w:rsidR="008C4DF2" w:rsidRPr="00DA1C48" w:rsidRDefault="003A291A" w:rsidP="004936EF">
      <w:pPr>
        <w:pStyle w:val="diapo2"/>
        <w:rPr>
          <w:lang w:val="es-ES"/>
        </w:rPr>
      </w:pPr>
      <w:r w:rsidRPr="00786BA9">
        <w:rPr>
          <w:i/>
          <w:lang w:val="es-ES"/>
        </w:rPr>
        <w:t xml:space="preserve">Ejercicio (10 minutos) </w:t>
      </w:r>
      <w:r w:rsidR="001C2208" w:rsidRPr="00786BA9">
        <w:rPr>
          <w:i/>
          <w:lang w:val="es-ES"/>
        </w:rPr>
        <w:t>–</w:t>
      </w:r>
      <w:r w:rsidRPr="00786BA9">
        <w:rPr>
          <w:i/>
          <w:lang w:val="es-ES"/>
        </w:rPr>
        <w:t xml:space="preserve"> Cómo inciden las políticas e instituciones nacionales en la aplicación de la Convención</w:t>
      </w:r>
    </w:p>
    <w:p w:rsidR="003A291A" w:rsidRPr="00DA1C48" w:rsidRDefault="003A291A" w:rsidP="003A291A">
      <w:pPr>
        <w:pStyle w:val="Texte1"/>
        <w:rPr>
          <w:lang w:val="es-ES"/>
        </w:rPr>
      </w:pPr>
      <w:r w:rsidRPr="00DA1C48">
        <w:rPr>
          <w:lang w:val="es-ES"/>
        </w:rPr>
        <w:t xml:space="preserve">Se puede pedir a los participantes en el taller que mencionen </w:t>
      </w:r>
      <w:r w:rsidR="00465DE9">
        <w:rPr>
          <w:lang w:val="es-ES"/>
        </w:rPr>
        <w:t xml:space="preserve">las </w:t>
      </w:r>
      <w:r w:rsidRPr="00DA1C48">
        <w:rPr>
          <w:lang w:val="es-ES"/>
        </w:rPr>
        <w:t xml:space="preserve">políticas, reglamentaciones jurídicas o instituciones existentes a nivel nacional en su(s) país(es), </w:t>
      </w:r>
      <w:r w:rsidR="00465DE9">
        <w:rPr>
          <w:lang w:val="es-ES"/>
        </w:rPr>
        <w:t xml:space="preserve">que son </w:t>
      </w:r>
      <w:r w:rsidRPr="00DA1C48">
        <w:rPr>
          <w:lang w:val="es-ES"/>
        </w:rPr>
        <w:t>susceptibles de incidir en la aplicación de la Convención en su</w:t>
      </w:r>
      <w:r w:rsidR="00465DE9">
        <w:rPr>
          <w:lang w:val="es-ES"/>
        </w:rPr>
        <w:t>(</w:t>
      </w:r>
      <w:r w:rsidRPr="00DA1C48">
        <w:rPr>
          <w:lang w:val="es-ES"/>
        </w:rPr>
        <w:t>s</w:t>
      </w:r>
      <w:r w:rsidR="00465DE9">
        <w:rPr>
          <w:lang w:val="es-ES"/>
        </w:rPr>
        <w:t>)</w:t>
      </w:r>
      <w:r w:rsidRPr="00DA1C48">
        <w:rPr>
          <w:lang w:val="es-ES"/>
        </w:rPr>
        <w:t xml:space="preserve"> Estado(s).</w:t>
      </w:r>
    </w:p>
    <w:p w:rsidR="003A291A" w:rsidRPr="00DA1C48" w:rsidRDefault="003A291A" w:rsidP="003A291A">
      <w:pPr>
        <w:pStyle w:val="Texte1"/>
        <w:rPr>
          <w:lang w:val="es-ES"/>
        </w:rPr>
      </w:pPr>
      <w:r w:rsidRPr="00DA1C48">
        <w:rPr>
          <w:lang w:val="es-ES"/>
        </w:rPr>
        <w:lastRenderedPageBreak/>
        <w:t>Luego se les puede pedir que indiquen de qué manera(s) esas políticas, reglamentaciones jurídicas o instituciones existentes a nivel local podrían coadyuvar a la aplicación de la Convención en su</w:t>
      </w:r>
      <w:r w:rsidR="00851B74">
        <w:rPr>
          <w:lang w:val="es-ES"/>
        </w:rPr>
        <w:t>(</w:t>
      </w:r>
      <w:r w:rsidRPr="00DA1C48">
        <w:rPr>
          <w:lang w:val="es-ES"/>
        </w:rPr>
        <w:t>s</w:t>
      </w:r>
      <w:r w:rsidR="00851B74">
        <w:rPr>
          <w:lang w:val="es-ES"/>
        </w:rPr>
        <w:t>)</w:t>
      </w:r>
      <w:r w:rsidRPr="00DA1C48">
        <w:rPr>
          <w:lang w:val="es-ES"/>
        </w:rPr>
        <w:t xml:space="preserve"> Estado</w:t>
      </w:r>
      <w:r w:rsidR="00851B74">
        <w:rPr>
          <w:lang w:val="es-ES"/>
        </w:rPr>
        <w:t>(</w:t>
      </w:r>
      <w:r w:rsidRPr="00DA1C48">
        <w:rPr>
          <w:lang w:val="es-ES"/>
        </w:rPr>
        <w:t>s</w:t>
      </w:r>
      <w:r w:rsidR="00851B74">
        <w:rPr>
          <w:lang w:val="es-ES"/>
        </w:rPr>
        <w:t>)</w:t>
      </w:r>
      <w:r w:rsidRPr="00DA1C48">
        <w:rPr>
          <w:lang w:val="es-ES"/>
        </w:rPr>
        <w:t>.</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w:t>
      </w:r>
      <w:r w:rsidR="00933DEE" w:rsidRPr="00DA1C48">
        <w:rPr>
          <w:lang w:val="es-ES"/>
        </w:rPr>
        <w:t>19</w:t>
      </w:r>
      <w:r w:rsidR="002215E7" w:rsidRPr="00DA1C48">
        <w:rPr>
          <w:lang w:val="es-ES"/>
        </w:rPr>
        <w:t>.</w:t>
      </w:r>
    </w:p>
    <w:p w:rsidR="008C4DF2" w:rsidRPr="00DA1C48" w:rsidRDefault="00851B74" w:rsidP="004936EF">
      <w:pPr>
        <w:pStyle w:val="diapo2"/>
        <w:rPr>
          <w:lang w:val="es-ES"/>
        </w:rPr>
      </w:pPr>
      <w:r w:rsidRPr="00786BA9">
        <w:rPr>
          <w:bCs/>
          <w:lang w:val="es-ES"/>
        </w:rPr>
        <w:t>Marcos L</w:t>
      </w:r>
      <w:r w:rsidR="00C6127C" w:rsidRPr="00786BA9">
        <w:rPr>
          <w:bCs/>
          <w:lang w:val="es-ES"/>
        </w:rPr>
        <w:t xml:space="preserve">egislativos y </w:t>
      </w:r>
      <w:r w:rsidRPr="00786BA9">
        <w:rPr>
          <w:bCs/>
          <w:lang w:val="es-ES"/>
        </w:rPr>
        <w:t xml:space="preserve">Administrativos Internacionales </w:t>
      </w:r>
      <w:r w:rsidR="00C6127C" w:rsidRPr="00786BA9">
        <w:rPr>
          <w:bCs/>
          <w:lang w:val="es-ES"/>
        </w:rPr>
        <w:t>(subtítulo)</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2</w:t>
      </w:r>
      <w:r w:rsidR="00933DEE" w:rsidRPr="00DA1C48">
        <w:rPr>
          <w:lang w:val="es-ES"/>
        </w:rPr>
        <w:t>0</w:t>
      </w:r>
      <w:r w:rsidR="002215E7" w:rsidRPr="00DA1C48">
        <w:rPr>
          <w:lang w:val="es-ES"/>
        </w:rPr>
        <w:t>.</w:t>
      </w:r>
    </w:p>
    <w:p w:rsidR="008C4DF2" w:rsidRPr="00DA1C48" w:rsidRDefault="00C6127C" w:rsidP="004936EF">
      <w:pPr>
        <w:pStyle w:val="diapo2"/>
        <w:rPr>
          <w:lang w:val="es-ES"/>
        </w:rPr>
      </w:pPr>
      <w:r w:rsidRPr="00DA1C48">
        <w:rPr>
          <w:lang w:val="es-ES"/>
        </w:rPr>
        <w:t>M</w:t>
      </w:r>
      <w:r w:rsidR="00716F8B" w:rsidRPr="00DA1C48">
        <w:rPr>
          <w:lang w:val="es-ES"/>
        </w:rPr>
        <w:t>ar</w:t>
      </w:r>
      <w:r w:rsidRPr="00DA1C48">
        <w:rPr>
          <w:lang w:val="es-ES"/>
        </w:rPr>
        <w:t>cos internac</w:t>
      </w:r>
      <w:r w:rsidR="008C4DF2" w:rsidRPr="00DA1C48">
        <w:rPr>
          <w:lang w:val="es-ES"/>
        </w:rPr>
        <w:t>ional</w:t>
      </w:r>
      <w:r w:rsidRPr="00DA1C48">
        <w:rPr>
          <w:lang w:val="es-ES"/>
        </w:rPr>
        <w:t>e</w:t>
      </w:r>
      <w:r w:rsidR="00851B74">
        <w:rPr>
          <w:lang w:val="es-ES"/>
        </w:rPr>
        <w:t>s</w:t>
      </w:r>
    </w:p>
    <w:p w:rsidR="008C4DF2" w:rsidRPr="00DA1C48" w:rsidRDefault="00EB2323" w:rsidP="009909DD">
      <w:pPr>
        <w:pStyle w:val="Texte1"/>
        <w:rPr>
          <w:lang w:val="es-ES"/>
        </w:rPr>
      </w:pPr>
      <w:r w:rsidRPr="00DA1C48">
        <w:rPr>
          <w:lang w:val="es-ES"/>
        </w:rPr>
        <w:t>En la Sección 7 del Texto para el Participante de la presente Unidad 10</w:t>
      </w:r>
      <w:r w:rsidR="0082674B" w:rsidRPr="00DA1C48">
        <w:rPr>
          <w:lang w:val="es-ES"/>
        </w:rPr>
        <w:t xml:space="preserve"> </w:t>
      </w:r>
      <w:r w:rsidR="00716F8B" w:rsidRPr="00DA1C48">
        <w:rPr>
          <w:lang w:val="es-ES"/>
        </w:rPr>
        <w:t>se examinan diferentes marcos jurídicos e institucionales existentes en el plano internacional, que pueden tener repercusiones en la aplicación de la</w:t>
      </w:r>
      <w:r w:rsidR="0082674B" w:rsidRPr="00DA1C48">
        <w:rPr>
          <w:lang w:val="es-ES"/>
        </w:rPr>
        <w:t xml:space="preserve"> </w:t>
      </w:r>
      <w:r w:rsidR="0012502B" w:rsidRPr="00DA1C48">
        <w:rPr>
          <w:lang w:val="es-ES"/>
        </w:rPr>
        <w:t>Convención</w:t>
      </w:r>
      <w:r w:rsidR="0082674B" w:rsidRPr="00DA1C48">
        <w:rPr>
          <w:lang w:val="es-ES"/>
        </w:rPr>
        <w:t xml:space="preserve"> </w:t>
      </w:r>
      <w:r w:rsidR="00716F8B" w:rsidRPr="00DA1C48">
        <w:rPr>
          <w:lang w:val="es-ES"/>
        </w:rPr>
        <w:t>a nivel nacional</w:t>
      </w:r>
      <w:r w:rsidR="0082674B" w:rsidRPr="00DA1C48">
        <w:rPr>
          <w:lang w:val="es-ES"/>
        </w:rPr>
        <w:t>.</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2</w:t>
      </w:r>
      <w:r w:rsidR="00933DEE" w:rsidRPr="00DA1C48">
        <w:rPr>
          <w:lang w:val="es-ES"/>
        </w:rPr>
        <w:t>1</w:t>
      </w:r>
      <w:r w:rsidR="002215E7" w:rsidRPr="00DA1C48">
        <w:rPr>
          <w:lang w:val="es-ES"/>
        </w:rPr>
        <w:t>.</w:t>
      </w:r>
    </w:p>
    <w:p w:rsidR="008C4DF2" w:rsidRPr="00DA1C48" w:rsidRDefault="00851B74" w:rsidP="004936EF">
      <w:pPr>
        <w:pStyle w:val="diapo2"/>
        <w:rPr>
          <w:lang w:val="es-ES"/>
        </w:rPr>
      </w:pPr>
      <w:r>
        <w:rPr>
          <w:lang w:val="es-ES"/>
        </w:rPr>
        <w:t>I</w:t>
      </w:r>
      <w:r w:rsidRPr="00DA1C48">
        <w:rPr>
          <w:lang w:val="es-ES"/>
        </w:rPr>
        <w:t>nstrument</w:t>
      </w:r>
      <w:r>
        <w:rPr>
          <w:lang w:val="es-ES"/>
        </w:rPr>
        <w:t>o</w:t>
      </w:r>
      <w:r w:rsidRPr="00DA1C48">
        <w:rPr>
          <w:lang w:val="es-ES"/>
        </w:rPr>
        <w:t xml:space="preserve">s </w:t>
      </w:r>
      <w:r>
        <w:rPr>
          <w:lang w:val="es-ES"/>
        </w:rPr>
        <w:t>jurídicos i</w:t>
      </w:r>
      <w:r w:rsidR="008C4DF2" w:rsidRPr="00DA1C48">
        <w:rPr>
          <w:lang w:val="es-ES"/>
        </w:rPr>
        <w:t>nterna</w:t>
      </w:r>
      <w:r>
        <w:rPr>
          <w:lang w:val="es-ES"/>
        </w:rPr>
        <w:t>cionales</w:t>
      </w:r>
      <w:r w:rsidR="008C4DF2" w:rsidRPr="00DA1C48">
        <w:rPr>
          <w:lang w:val="es-ES"/>
        </w:rPr>
        <w:t xml:space="preserve"> </w:t>
      </w:r>
    </w:p>
    <w:p w:rsidR="008C4DF2" w:rsidRPr="00DA1C48" w:rsidRDefault="00716F8B" w:rsidP="009909DD">
      <w:pPr>
        <w:pStyle w:val="Texte1"/>
        <w:rPr>
          <w:lang w:val="es-ES"/>
        </w:rPr>
      </w:pPr>
      <w:r w:rsidRPr="00DA1C48">
        <w:rPr>
          <w:lang w:val="es-ES"/>
        </w:rPr>
        <w:t>Véanse las Secciones 8 a 10 del</w:t>
      </w:r>
      <w:r w:rsidR="006C696E" w:rsidRPr="00DA1C48">
        <w:rPr>
          <w:lang w:val="es-ES"/>
        </w:rPr>
        <w:t xml:space="preserve"> </w:t>
      </w:r>
      <w:r w:rsidR="00EB2323" w:rsidRPr="00DA1C48">
        <w:rPr>
          <w:lang w:val="es-ES"/>
        </w:rPr>
        <w:t>Texto para el Participante</w:t>
      </w:r>
      <w:r w:rsidR="002A3923" w:rsidRPr="00DA1C48">
        <w:rPr>
          <w:lang w:val="es-ES"/>
        </w:rPr>
        <w:t xml:space="preserve"> </w:t>
      </w:r>
      <w:r w:rsidRPr="00DA1C48">
        <w:rPr>
          <w:lang w:val="es-ES"/>
        </w:rPr>
        <w:t>de la presente Unidad 10</w:t>
      </w:r>
      <w:r w:rsidR="006C696E" w:rsidRPr="00DA1C48">
        <w:rPr>
          <w:lang w:val="es-ES"/>
        </w:rPr>
        <w:t>.</w:t>
      </w:r>
    </w:p>
    <w:p w:rsidR="0082674B" w:rsidRPr="00DA1C48" w:rsidRDefault="00DC0BE4" w:rsidP="009909DD">
      <w:pPr>
        <w:pStyle w:val="Texte1"/>
        <w:rPr>
          <w:lang w:val="es-ES"/>
        </w:rPr>
      </w:pPr>
      <w:r w:rsidRPr="00DA1C48">
        <w:rPr>
          <w:lang w:val="es-ES"/>
        </w:rPr>
        <w:t>Los instrumentos jurídicos internacionales</w:t>
      </w:r>
      <w:r w:rsidR="0082674B" w:rsidRPr="00DA1C48">
        <w:rPr>
          <w:lang w:val="es-ES"/>
        </w:rPr>
        <w:t xml:space="preserve">, </w:t>
      </w:r>
      <w:r w:rsidRPr="00DA1C48">
        <w:rPr>
          <w:lang w:val="es-ES"/>
        </w:rPr>
        <w:t xml:space="preserve">ya sean los mencionados en la </w:t>
      </w:r>
      <w:r w:rsidR="0012502B" w:rsidRPr="00DA1C48">
        <w:rPr>
          <w:lang w:val="es-ES"/>
        </w:rPr>
        <w:t>Convención</w:t>
      </w:r>
      <w:r w:rsidR="0082674B" w:rsidRPr="00DA1C48">
        <w:rPr>
          <w:lang w:val="es-ES"/>
        </w:rPr>
        <w:t xml:space="preserve"> </w:t>
      </w:r>
      <w:r w:rsidRPr="00DA1C48">
        <w:rPr>
          <w:lang w:val="es-ES"/>
        </w:rPr>
        <w:t>u</w:t>
      </w:r>
      <w:r w:rsidR="0082674B" w:rsidRPr="00DA1C48">
        <w:rPr>
          <w:lang w:val="es-ES"/>
        </w:rPr>
        <w:t xml:space="preserve"> </w:t>
      </w:r>
      <w:r w:rsidRPr="00DA1C48">
        <w:rPr>
          <w:lang w:val="es-ES"/>
        </w:rPr>
        <w:t>otros</w:t>
      </w:r>
      <w:r w:rsidR="00851B74">
        <w:rPr>
          <w:lang w:val="es-ES"/>
        </w:rPr>
        <w:t>,</w:t>
      </w:r>
      <w:r w:rsidRPr="00DA1C48">
        <w:rPr>
          <w:lang w:val="es-ES"/>
        </w:rPr>
        <w:t xml:space="preserve"> pueden tener una incidencia en la manera en que los</w:t>
      </w:r>
      <w:r w:rsidR="0082674B" w:rsidRPr="00DA1C48">
        <w:rPr>
          <w:lang w:val="es-ES"/>
        </w:rPr>
        <w:t xml:space="preserve"> </w:t>
      </w:r>
      <w:r w:rsidR="0012502B" w:rsidRPr="00DA1C48">
        <w:rPr>
          <w:lang w:val="es-ES"/>
        </w:rPr>
        <w:t>Estados Partes</w:t>
      </w:r>
      <w:r w:rsidR="0082674B" w:rsidRPr="00DA1C48">
        <w:rPr>
          <w:lang w:val="es-ES"/>
        </w:rPr>
        <w:t xml:space="preserve"> </w:t>
      </w:r>
      <w:r w:rsidRPr="00DA1C48">
        <w:rPr>
          <w:lang w:val="es-ES"/>
        </w:rPr>
        <w:t>opt</w:t>
      </w:r>
      <w:r w:rsidR="00851B74">
        <w:rPr>
          <w:lang w:val="es-ES"/>
        </w:rPr>
        <w:t>e</w:t>
      </w:r>
      <w:r w:rsidRPr="00DA1C48">
        <w:rPr>
          <w:lang w:val="es-ES"/>
        </w:rPr>
        <w:t xml:space="preserve">n por aplicar la </w:t>
      </w:r>
      <w:r w:rsidR="0012502B" w:rsidRPr="00DA1C48">
        <w:rPr>
          <w:lang w:val="es-ES"/>
        </w:rPr>
        <w:t>Convención</w:t>
      </w:r>
      <w:r w:rsidR="0082674B" w:rsidRPr="00DA1C48">
        <w:rPr>
          <w:lang w:val="es-ES"/>
        </w:rPr>
        <w:t xml:space="preserve">. </w:t>
      </w:r>
      <w:r w:rsidRPr="00DA1C48">
        <w:rPr>
          <w:lang w:val="es-ES"/>
        </w:rPr>
        <w:t xml:space="preserve">Esos instrumentos se pueden examinar en la presente </w:t>
      </w:r>
      <w:r w:rsidR="006B47AC">
        <w:rPr>
          <w:lang w:val="es-ES"/>
        </w:rPr>
        <w:t>unidad</w:t>
      </w:r>
      <w:r w:rsidRPr="00DA1C48">
        <w:rPr>
          <w:lang w:val="es-ES"/>
        </w:rPr>
        <w:t xml:space="preserve">, especialmente si los participantes en el taller son nacionales de </w:t>
      </w:r>
      <w:r w:rsidR="0012502B" w:rsidRPr="00DA1C48">
        <w:rPr>
          <w:lang w:val="es-ES"/>
        </w:rPr>
        <w:t>Estados</w:t>
      </w:r>
      <w:r w:rsidR="0082674B" w:rsidRPr="00DA1C48">
        <w:rPr>
          <w:lang w:val="es-ES"/>
        </w:rPr>
        <w:t xml:space="preserve"> </w:t>
      </w:r>
      <w:r w:rsidRPr="00DA1C48">
        <w:rPr>
          <w:lang w:val="es-ES"/>
        </w:rPr>
        <w:t>que los han ratificado</w:t>
      </w:r>
      <w:r w:rsidR="0082674B" w:rsidRPr="00DA1C48">
        <w:rPr>
          <w:lang w:val="es-ES"/>
        </w:rPr>
        <w:t>.</w:t>
      </w:r>
    </w:p>
    <w:p w:rsidR="008C4DF2" w:rsidRPr="00DA1C48" w:rsidRDefault="0082674B" w:rsidP="00FE4E52">
      <w:pPr>
        <w:pStyle w:val="Soustitre"/>
        <w:rPr>
          <w:lang w:val="es-ES"/>
        </w:rPr>
      </w:pPr>
      <w:bookmarkStart w:id="9" w:name="_Toc238982258"/>
      <w:r w:rsidRPr="00DA1C48">
        <w:rPr>
          <w:lang w:val="es-ES"/>
        </w:rPr>
        <w:t>Not</w:t>
      </w:r>
      <w:r w:rsidR="00716F8B" w:rsidRPr="00DA1C48">
        <w:rPr>
          <w:lang w:val="es-ES"/>
        </w:rPr>
        <w:t>a acerca del Convenio sobre la Diversidad Biológica</w:t>
      </w:r>
      <w:r w:rsidR="008C4DF2" w:rsidRPr="00DA1C48">
        <w:rPr>
          <w:lang w:val="es-ES"/>
        </w:rPr>
        <w:t xml:space="preserve"> (CBD)</w:t>
      </w:r>
      <w:bookmarkEnd w:id="9"/>
    </w:p>
    <w:p w:rsidR="0082674B" w:rsidRPr="00DA1C48" w:rsidRDefault="00EB2323" w:rsidP="009909DD">
      <w:pPr>
        <w:pStyle w:val="Texte1"/>
        <w:rPr>
          <w:lang w:val="es-ES" w:eastAsia="en-US"/>
        </w:rPr>
      </w:pPr>
      <w:r w:rsidRPr="00DA1C48">
        <w:rPr>
          <w:lang w:val="es-ES" w:eastAsia="en-US"/>
        </w:rPr>
        <w:t>En la Sección 10 del Texto para el Participante de la presente Unidad 10</w:t>
      </w:r>
      <w:r w:rsidR="0082674B" w:rsidRPr="00DA1C48">
        <w:rPr>
          <w:lang w:val="es-ES" w:eastAsia="en-US"/>
        </w:rPr>
        <w:t xml:space="preserve"> </w:t>
      </w:r>
      <w:r w:rsidR="00716F8B" w:rsidRPr="00DA1C48">
        <w:rPr>
          <w:lang w:val="es-ES" w:eastAsia="en-US"/>
        </w:rPr>
        <w:t xml:space="preserve">se examina este </w:t>
      </w:r>
      <w:r w:rsidR="0012502B" w:rsidRPr="00DA1C48">
        <w:rPr>
          <w:lang w:val="es-ES" w:eastAsia="en-US"/>
        </w:rPr>
        <w:t>Conven</w:t>
      </w:r>
      <w:r w:rsidR="00716F8B" w:rsidRPr="00DA1C48">
        <w:rPr>
          <w:lang w:val="es-ES" w:eastAsia="en-US"/>
        </w:rPr>
        <w:t>io</w:t>
      </w:r>
      <w:r w:rsidR="0082674B" w:rsidRPr="00DA1C48">
        <w:rPr>
          <w:lang w:val="es-ES" w:eastAsia="en-US"/>
        </w:rPr>
        <w:t>.</w:t>
      </w:r>
    </w:p>
    <w:p w:rsidR="007F1BE9" w:rsidRPr="00DA1C48" w:rsidRDefault="00EB7F60" w:rsidP="009909DD">
      <w:pPr>
        <w:pStyle w:val="Texte1"/>
        <w:rPr>
          <w:lang w:val="es-ES"/>
        </w:rPr>
      </w:pPr>
      <w:r w:rsidRPr="00DA1C48">
        <w:rPr>
          <w:lang w:val="es-ES"/>
        </w:rPr>
        <w:t>Algunos instrumentos jurídicos internacionales, como el Convenio sobre la Diversidad Biológica (CDB) o las directrices en materia de p</w:t>
      </w:r>
      <w:r w:rsidR="00851B74">
        <w:rPr>
          <w:lang w:val="es-ES"/>
        </w:rPr>
        <w:t>ropiedad intelectual de la OMPI</w:t>
      </w:r>
      <w:r w:rsidR="00903865" w:rsidRPr="00DA1C48">
        <w:rPr>
          <w:lang w:val="es-ES"/>
        </w:rPr>
        <w:t>,</w:t>
      </w:r>
      <w:r w:rsidRPr="00DA1C48">
        <w:rPr>
          <w:lang w:val="es-ES"/>
        </w:rPr>
        <w:t xml:space="preserve"> pueden ser útiles para la salvaguardia del PCI en los Estados que hayan ratificado tanto el CDB como la Convención.</w:t>
      </w:r>
    </w:p>
    <w:p w:rsidR="008C4DF2" w:rsidRPr="00DA1C48" w:rsidRDefault="0012502B" w:rsidP="009909DD">
      <w:pPr>
        <w:pStyle w:val="Texte1"/>
        <w:rPr>
          <w:lang w:val="es-ES"/>
        </w:rPr>
      </w:pPr>
      <w:r w:rsidRPr="00DA1C48">
        <w:rPr>
          <w:b/>
          <w:lang w:val="es-ES"/>
        </w:rPr>
        <w:t>A</w:t>
      </w:r>
      <w:r w:rsidR="00C656C9" w:rsidRPr="00DA1C48">
        <w:rPr>
          <w:b/>
          <w:lang w:val="es-ES"/>
        </w:rPr>
        <w:t>partado j) del A</w:t>
      </w:r>
      <w:r w:rsidRPr="00DA1C48">
        <w:rPr>
          <w:b/>
          <w:lang w:val="es-ES"/>
        </w:rPr>
        <w:t>rtículo</w:t>
      </w:r>
      <w:r w:rsidR="00442E1A" w:rsidRPr="00DA1C48">
        <w:rPr>
          <w:b/>
          <w:lang w:val="es-ES"/>
        </w:rPr>
        <w:t> </w:t>
      </w:r>
      <w:r w:rsidR="00716F8B" w:rsidRPr="00DA1C48">
        <w:rPr>
          <w:b/>
          <w:lang w:val="es-ES"/>
        </w:rPr>
        <w:t>8 del CBD</w:t>
      </w:r>
      <w:r w:rsidR="008C4DF2" w:rsidRPr="00DA1C48">
        <w:rPr>
          <w:b/>
          <w:lang w:val="es-ES"/>
        </w:rPr>
        <w:t>:</w:t>
      </w:r>
      <w:r w:rsidR="008C4DF2" w:rsidRPr="00DA1C48">
        <w:rPr>
          <w:b/>
          <w:bCs/>
          <w:lang w:val="es-ES"/>
        </w:rPr>
        <w:t xml:space="preserve"> </w:t>
      </w:r>
      <w:r w:rsidR="00C656C9" w:rsidRPr="00DA1C48">
        <w:rPr>
          <w:bCs/>
          <w:lang w:val="es-ES"/>
        </w:rPr>
        <w:t>“[Cada Parte Contratante…]</w:t>
      </w:r>
      <w:r w:rsidR="00C656C9" w:rsidRPr="00DA1C48">
        <w:rPr>
          <w:b/>
          <w:bCs/>
          <w:lang w:val="es-ES"/>
        </w:rPr>
        <w:t xml:space="preserve"> </w:t>
      </w:r>
      <w:r w:rsidR="00C656C9" w:rsidRPr="00DA1C48">
        <w:rPr>
          <w:lang w:val="es-ES"/>
        </w:rPr>
        <w:t>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w:t>
      </w:r>
    </w:p>
    <w:p w:rsidR="008C4DF2" w:rsidRPr="00DA1C48" w:rsidRDefault="0012502B" w:rsidP="009909DD">
      <w:pPr>
        <w:pStyle w:val="Texte1"/>
        <w:rPr>
          <w:lang w:val="es-ES"/>
        </w:rPr>
      </w:pPr>
      <w:r w:rsidRPr="00DA1C48">
        <w:rPr>
          <w:b/>
          <w:lang w:val="es-ES"/>
        </w:rPr>
        <w:t>Artículo</w:t>
      </w:r>
      <w:r w:rsidR="00442E1A" w:rsidRPr="00DA1C48">
        <w:rPr>
          <w:b/>
          <w:lang w:val="es-ES"/>
        </w:rPr>
        <w:t> </w:t>
      </w:r>
      <w:r w:rsidR="008C4DF2" w:rsidRPr="00DA1C48">
        <w:rPr>
          <w:b/>
          <w:lang w:val="es-ES"/>
        </w:rPr>
        <w:t>18</w:t>
      </w:r>
      <w:r w:rsidR="000F1500" w:rsidRPr="00DA1C48">
        <w:rPr>
          <w:b/>
          <w:lang w:val="es-ES"/>
        </w:rPr>
        <w:t>.4</w:t>
      </w:r>
      <w:r w:rsidR="00C656C9" w:rsidRPr="00DA1C48">
        <w:rPr>
          <w:b/>
          <w:lang w:val="es-ES"/>
        </w:rPr>
        <w:t xml:space="preserve"> del CBD</w:t>
      </w:r>
      <w:r w:rsidR="008C4DF2" w:rsidRPr="00DA1C48">
        <w:rPr>
          <w:b/>
          <w:lang w:val="es-ES"/>
        </w:rPr>
        <w:t>:</w:t>
      </w:r>
      <w:r w:rsidR="008C4DF2" w:rsidRPr="00DA1C48">
        <w:rPr>
          <w:lang w:val="es-ES"/>
        </w:rPr>
        <w:t xml:space="preserve"> </w:t>
      </w:r>
      <w:r w:rsidR="0086107D" w:rsidRPr="00DA1C48">
        <w:rPr>
          <w:lang w:val="es-ES"/>
        </w:rPr>
        <w:t>“[…] De conformidad con la legislación y las políticas nacionales, las Partes Contratantes fomentarán y desarrollarán métodos de cooperación para el desarrollo y utilización de tecnologías, incluidas las tecnologías autóctonas y tradicionales”.</w:t>
      </w:r>
    </w:p>
    <w:p w:rsidR="008C4DF2" w:rsidRPr="00DA1C48" w:rsidRDefault="008C4DF2" w:rsidP="003424D6">
      <w:pPr>
        <w:pStyle w:val="Soustitre"/>
        <w:rPr>
          <w:lang w:val="es-ES"/>
        </w:rPr>
      </w:pPr>
      <w:bookmarkStart w:id="10" w:name="_Toc238982259"/>
      <w:r w:rsidRPr="00DA1C48">
        <w:rPr>
          <w:lang w:val="es-ES"/>
        </w:rPr>
        <w:lastRenderedPageBreak/>
        <w:t>E</w:t>
      </w:r>
      <w:r w:rsidR="0086107D" w:rsidRPr="00DA1C48">
        <w:rPr>
          <w:lang w:val="es-ES"/>
        </w:rPr>
        <w:t xml:space="preserve">jemplos de protección de los DPI relacionados con el PCI, en el plano </w:t>
      </w:r>
      <w:r w:rsidRPr="00DA1C48">
        <w:rPr>
          <w:lang w:val="es-ES"/>
        </w:rPr>
        <w:t>regional</w:t>
      </w:r>
      <w:bookmarkEnd w:id="10"/>
    </w:p>
    <w:p w:rsidR="0082674B" w:rsidRPr="00DA1C48" w:rsidRDefault="00EB2323" w:rsidP="009909DD">
      <w:pPr>
        <w:pStyle w:val="Texte1"/>
        <w:rPr>
          <w:lang w:val="es-ES" w:eastAsia="en-US"/>
        </w:rPr>
      </w:pPr>
      <w:r w:rsidRPr="00DA1C48">
        <w:rPr>
          <w:lang w:val="es-ES" w:eastAsia="en-US"/>
        </w:rPr>
        <w:t>En la Sección 10 del Texto para el Participante de la presente Unidad 10</w:t>
      </w:r>
      <w:r w:rsidR="0082674B" w:rsidRPr="00DA1C48">
        <w:rPr>
          <w:lang w:val="es-ES" w:eastAsia="en-US"/>
        </w:rPr>
        <w:t xml:space="preserve"> </w:t>
      </w:r>
      <w:r w:rsidR="00DF21C3" w:rsidRPr="00DA1C48">
        <w:rPr>
          <w:lang w:val="es-ES" w:eastAsia="en-US"/>
        </w:rPr>
        <w:t>se</w:t>
      </w:r>
      <w:r w:rsidRPr="00DA1C48">
        <w:rPr>
          <w:lang w:val="es-ES" w:eastAsia="en-US"/>
        </w:rPr>
        <w:t xml:space="preserve"> examina la función de la OMPI</w:t>
      </w:r>
      <w:r w:rsidR="004073A9" w:rsidRPr="00DA1C48">
        <w:rPr>
          <w:lang w:val="es-ES" w:eastAsia="en-US"/>
        </w:rPr>
        <w:t>.</w:t>
      </w:r>
    </w:p>
    <w:p w:rsidR="00287162" w:rsidRPr="00DA1C48" w:rsidRDefault="00903865" w:rsidP="009909DD">
      <w:pPr>
        <w:pStyle w:val="Texte1"/>
        <w:rPr>
          <w:lang w:val="es-ES"/>
        </w:rPr>
      </w:pPr>
      <w:r w:rsidRPr="00DA1C48">
        <w:rPr>
          <w:lang w:val="es-ES"/>
        </w:rPr>
        <w:t>La elaboración de reg</w:t>
      </w:r>
      <w:r w:rsidR="00341496" w:rsidRPr="00DA1C48">
        <w:rPr>
          <w:lang w:val="es-ES"/>
        </w:rPr>
        <w:t>í</w:t>
      </w:r>
      <w:r w:rsidRPr="00DA1C48">
        <w:rPr>
          <w:lang w:val="es-ES"/>
        </w:rPr>
        <w:t xml:space="preserve">menes de DPI sobre el </w:t>
      </w:r>
      <w:r w:rsidR="00C475F6" w:rsidRPr="00DA1C48">
        <w:rPr>
          <w:lang w:val="es-ES"/>
        </w:rPr>
        <w:t>PCI</w:t>
      </w:r>
      <w:r w:rsidR="006467C6" w:rsidRPr="00DA1C48">
        <w:rPr>
          <w:lang w:val="es-ES"/>
        </w:rPr>
        <w:t xml:space="preserve"> </w:t>
      </w:r>
      <w:r w:rsidRPr="00DA1C48">
        <w:rPr>
          <w:lang w:val="es-ES"/>
        </w:rPr>
        <w:t>y expresiones conexas se puede efectuar a nivel regional y nac</w:t>
      </w:r>
      <w:r w:rsidR="00287162" w:rsidRPr="00DA1C48">
        <w:rPr>
          <w:lang w:val="es-ES"/>
        </w:rPr>
        <w:t>ional</w:t>
      </w:r>
      <w:r w:rsidRPr="00DA1C48">
        <w:rPr>
          <w:lang w:val="es-ES"/>
        </w:rPr>
        <w:t>. La</w:t>
      </w:r>
      <w:r w:rsidR="006467C6" w:rsidRPr="00DA1C48">
        <w:rPr>
          <w:lang w:val="es-ES"/>
        </w:rPr>
        <w:t xml:space="preserve"> </w:t>
      </w:r>
      <w:r w:rsidR="00716F8B" w:rsidRPr="00DA1C48">
        <w:rPr>
          <w:lang w:val="es-ES"/>
        </w:rPr>
        <w:t>OMPI</w:t>
      </w:r>
      <w:r w:rsidR="006467C6" w:rsidRPr="00DA1C48">
        <w:rPr>
          <w:lang w:val="es-ES"/>
        </w:rPr>
        <w:t xml:space="preserve"> </w:t>
      </w:r>
      <w:r w:rsidRPr="00DA1C48">
        <w:rPr>
          <w:lang w:val="es-ES"/>
        </w:rPr>
        <w:t>ha progresado considerablemente en la realización de esta tarea en el plano internacional</w:t>
      </w:r>
      <w:r w:rsidR="00287162" w:rsidRPr="00DA1C48">
        <w:rPr>
          <w:lang w:val="es-ES"/>
        </w:rPr>
        <w:t xml:space="preserve">. </w:t>
      </w:r>
      <w:r w:rsidR="003F443B" w:rsidRPr="00DA1C48">
        <w:rPr>
          <w:lang w:val="es-ES"/>
        </w:rPr>
        <w:t>En diciembre de 2009, el Foro de las Islas del Pacífico (PIF), que agrupa a 16 Estados Miembros de esta región del mundo, puso en marcha un Plan de Acción sobre los Conocimientos Tradicionales para facilitar la protección de la propiedad intelectual relacionada con esos conocimientos. Ese Plan de Acción apoya los esfuerzos realizados a nivel nacional y regional para “proteger los DPI y la comercialización y utilización eficaces de los conocimientos tradicionales”. Su principal propósito es “crear un entorno propicio para que las industrias culturales crezcan y contribuyan al desarrollo económico y la mejora de los medios de subsistencia en toda la región”, a fin de erradicar la pobreza en ésta.</w:t>
      </w:r>
      <w:r w:rsidR="003F443B" w:rsidRPr="00DA1C48">
        <w:rPr>
          <w:vertAlign w:val="superscript"/>
          <w:lang w:val="es-ES"/>
        </w:rPr>
        <w:footnoteReference w:id="5"/>
      </w:r>
      <w:r w:rsidR="003F443B" w:rsidRPr="00DA1C48">
        <w:rPr>
          <w:lang w:val="es-ES"/>
        </w:rPr>
        <w:t xml:space="preserve"> En el </w:t>
      </w:r>
      <w:r w:rsidR="0096197E">
        <w:rPr>
          <w:lang w:val="es-ES"/>
        </w:rPr>
        <w:t>marco</w:t>
      </w:r>
      <w:r w:rsidR="003F443B" w:rsidRPr="00DA1C48">
        <w:rPr>
          <w:lang w:val="es-ES"/>
        </w:rPr>
        <w:t xml:space="preserve"> del Plan de Acción, los parlamentos de seis países (</w:t>
      </w:r>
      <w:proofErr w:type="spellStart"/>
      <w:r w:rsidR="0096197E" w:rsidRPr="00DA1C48">
        <w:rPr>
          <w:lang w:val="es-ES"/>
        </w:rPr>
        <w:t>Fiji</w:t>
      </w:r>
      <w:proofErr w:type="spellEnd"/>
      <w:r w:rsidR="0096197E" w:rsidRPr="00DA1C48">
        <w:rPr>
          <w:lang w:val="es-ES"/>
        </w:rPr>
        <w:t xml:space="preserve">, </w:t>
      </w:r>
      <w:r w:rsidR="003F443B" w:rsidRPr="00DA1C48">
        <w:rPr>
          <w:lang w:val="es-ES"/>
        </w:rPr>
        <w:t xml:space="preserve">Islas Cook, Kiribati, </w:t>
      </w:r>
      <w:proofErr w:type="spellStart"/>
      <w:r w:rsidR="003F443B" w:rsidRPr="00DA1C48">
        <w:rPr>
          <w:lang w:val="es-ES"/>
        </w:rPr>
        <w:t>Palau</w:t>
      </w:r>
      <w:proofErr w:type="spellEnd"/>
      <w:r w:rsidR="0096197E">
        <w:rPr>
          <w:lang w:val="es-ES"/>
        </w:rPr>
        <w:t>,</w:t>
      </w:r>
      <w:r w:rsidR="003F443B" w:rsidRPr="00DA1C48">
        <w:rPr>
          <w:lang w:val="es-ES"/>
        </w:rPr>
        <w:t xml:space="preserve"> </w:t>
      </w:r>
      <w:proofErr w:type="spellStart"/>
      <w:r w:rsidR="0096197E">
        <w:rPr>
          <w:lang w:val="es-ES"/>
        </w:rPr>
        <w:t>Papua</w:t>
      </w:r>
      <w:proofErr w:type="spellEnd"/>
      <w:r w:rsidR="0096197E">
        <w:rPr>
          <w:lang w:val="es-ES"/>
        </w:rPr>
        <w:t xml:space="preserve"> Nueva Guinea</w:t>
      </w:r>
      <w:r w:rsidR="0096197E" w:rsidRPr="00DA1C48">
        <w:rPr>
          <w:lang w:val="es-ES"/>
        </w:rPr>
        <w:t xml:space="preserve"> </w:t>
      </w:r>
      <w:r w:rsidR="003F443B" w:rsidRPr="00DA1C48">
        <w:rPr>
          <w:lang w:val="es-ES"/>
        </w:rPr>
        <w:t>y Vanuatu) se propusieron aprobar legislaciones basadas en la Ley modelo para la protección de los conocimientos tradicionales y expresiones culturales, elaborada en 2002 en el contexto del Marco Regional del PIF para Proteger los Conocimientos Tradicionales y Expresiones Culturales. En el Plan de Acción se propuso también la elaboración de un proyecto de acuerdo regional que debía entrar en vigor en un plazo de dos años</w:t>
      </w:r>
      <w:r w:rsidR="00287162" w:rsidRPr="00DA1C48">
        <w:rPr>
          <w:lang w:val="es-ES"/>
        </w:rPr>
        <w:t>.</w:t>
      </w:r>
      <w:r w:rsidR="00287162" w:rsidRPr="00DA1C48">
        <w:rPr>
          <w:rStyle w:val="FootnoteReference"/>
          <w:lang w:val="es-ES"/>
        </w:rPr>
        <w:footnoteReference w:id="6"/>
      </w:r>
    </w:p>
    <w:p w:rsidR="008C4DF2" w:rsidRPr="00DA1C48" w:rsidRDefault="00EB7F60" w:rsidP="009909DD">
      <w:pPr>
        <w:pStyle w:val="Texte1"/>
        <w:rPr>
          <w:szCs w:val="20"/>
          <w:lang w:val="es-ES"/>
        </w:rPr>
      </w:pPr>
      <w:r w:rsidRPr="00DA1C48">
        <w:rPr>
          <w:szCs w:val="20"/>
          <w:lang w:val="es-ES"/>
        </w:rPr>
        <w:t xml:space="preserve">La Organización Regional Africana de la Propiedad Intelectual </w:t>
      </w:r>
      <w:r w:rsidR="008C4DF2" w:rsidRPr="00DA1C48">
        <w:rPr>
          <w:szCs w:val="20"/>
          <w:lang w:val="es-ES"/>
        </w:rPr>
        <w:t xml:space="preserve">(ARIPO) </w:t>
      </w:r>
      <w:r w:rsidR="00054AC6" w:rsidRPr="00DA1C48">
        <w:rPr>
          <w:szCs w:val="20"/>
          <w:lang w:val="es-ES"/>
        </w:rPr>
        <w:t>elaboró</w:t>
      </w:r>
      <w:r w:rsidR="00DF21C3" w:rsidRPr="00DA1C48">
        <w:rPr>
          <w:szCs w:val="20"/>
          <w:lang w:val="es-ES"/>
        </w:rPr>
        <w:t xml:space="preserve"> </w:t>
      </w:r>
      <w:r w:rsidR="00763926" w:rsidRPr="00DA1C48">
        <w:rPr>
          <w:szCs w:val="20"/>
          <w:lang w:val="es-ES"/>
        </w:rPr>
        <w:t xml:space="preserve">en 2007 un </w:t>
      </w:r>
      <w:r w:rsidR="008C4DF2" w:rsidRPr="00DA1C48">
        <w:rPr>
          <w:szCs w:val="20"/>
          <w:lang w:val="es-ES"/>
        </w:rPr>
        <w:t>Instrument</w:t>
      </w:r>
      <w:r w:rsidR="00DF21C3" w:rsidRPr="00DA1C48">
        <w:rPr>
          <w:szCs w:val="20"/>
          <w:lang w:val="es-ES"/>
        </w:rPr>
        <w:t>o jurídico para la protección de conocimientos tra</w:t>
      </w:r>
      <w:r w:rsidR="00763926" w:rsidRPr="00DA1C48">
        <w:rPr>
          <w:szCs w:val="20"/>
          <w:lang w:val="es-ES"/>
        </w:rPr>
        <w:t>dicionales</w:t>
      </w:r>
      <w:r w:rsidR="00810A79" w:rsidRPr="00DA1C48">
        <w:rPr>
          <w:szCs w:val="20"/>
          <w:lang w:val="es-ES"/>
        </w:rPr>
        <w:t xml:space="preserve"> </w:t>
      </w:r>
      <w:r w:rsidR="00DF21C3" w:rsidRPr="00DA1C48">
        <w:rPr>
          <w:szCs w:val="20"/>
          <w:lang w:val="es-ES"/>
        </w:rPr>
        <w:t xml:space="preserve">y expresiones </w:t>
      </w:r>
      <w:r w:rsidR="00763926" w:rsidRPr="00DA1C48">
        <w:rPr>
          <w:szCs w:val="20"/>
          <w:lang w:val="es-ES"/>
        </w:rPr>
        <w:t>del folklore,</w:t>
      </w:r>
      <w:r w:rsidR="00D135E3" w:rsidRPr="00DA1C48">
        <w:rPr>
          <w:szCs w:val="20"/>
          <w:lang w:val="es-ES"/>
        </w:rPr>
        <w:t xml:space="preserve"> y en 201</w:t>
      </w:r>
      <w:r w:rsidR="00763926" w:rsidRPr="00DA1C48">
        <w:rPr>
          <w:szCs w:val="20"/>
          <w:lang w:val="es-ES"/>
        </w:rPr>
        <w:t>0</w:t>
      </w:r>
      <w:r w:rsidR="00810A79" w:rsidRPr="00DA1C48">
        <w:rPr>
          <w:szCs w:val="20"/>
          <w:lang w:val="es-ES"/>
        </w:rPr>
        <w:t xml:space="preserve"> </w:t>
      </w:r>
      <w:r w:rsidR="00054AC6" w:rsidRPr="00DA1C48">
        <w:rPr>
          <w:szCs w:val="20"/>
          <w:lang w:val="es-ES"/>
        </w:rPr>
        <w:t>adopt</w:t>
      </w:r>
      <w:r w:rsidR="00D135E3" w:rsidRPr="00DA1C48">
        <w:rPr>
          <w:szCs w:val="20"/>
          <w:lang w:val="es-ES"/>
        </w:rPr>
        <w:t xml:space="preserve">ó </w:t>
      </w:r>
      <w:r w:rsidR="00054AC6" w:rsidRPr="00DA1C48">
        <w:rPr>
          <w:szCs w:val="20"/>
          <w:lang w:val="es-ES"/>
        </w:rPr>
        <w:t xml:space="preserve">con este mismo objetivo </w:t>
      </w:r>
      <w:r w:rsidR="00D135E3" w:rsidRPr="00DA1C48">
        <w:rPr>
          <w:szCs w:val="20"/>
          <w:lang w:val="es-ES"/>
        </w:rPr>
        <w:t xml:space="preserve">el Protocolo de </w:t>
      </w:r>
      <w:proofErr w:type="spellStart"/>
      <w:r w:rsidR="008C4DF2" w:rsidRPr="00DA1C48">
        <w:rPr>
          <w:szCs w:val="20"/>
          <w:lang w:val="es-ES"/>
        </w:rPr>
        <w:t>Swakopmund</w:t>
      </w:r>
      <w:proofErr w:type="spellEnd"/>
      <w:r w:rsidR="00D135E3" w:rsidRPr="00DA1C48">
        <w:rPr>
          <w:szCs w:val="20"/>
          <w:lang w:val="es-ES"/>
        </w:rPr>
        <w:t xml:space="preserve">, que entrará en vigor una vez que haya sido ratificado por seis Estados miembros de esta organización. La finalidad de este </w:t>
      </w:r>
      <w:r w:rsidR="008C4DF2" w:rsidRPr="00DA1C48">
        <w:rPr>
          <w:szCs w:val="20"/>
          <w:lang w:val="es-ES"/>
        </w:rPr>
        <w:t>Protocol</w:t>
      </w:r>
      <w:r w:rsidR="00D135E3" w:rsidRPr="00DA1C48">
        <w:rPr>
          <w:szCs w:val="20"/>
          <w:lang w:val="es-ES"/>
        </w:rPr>
        <w:t xml:space="preserve">o, enunciada en su </w:t>
      </w:r>
      <w:r w:rsidR="0012502B" w:rsidRPr="00DA1C48">
        <w:rPr>
          <w:szCs w:val="20"/>
          <w:lang w:val="es-ES"/>
        </w:rPr>
        <w:t>Artículo</w:t>
      </w:r>
      <w:r w:rsidR="00442E1A" w:rsidRPr="00DA1C48">
        <w:rPr>
          <w:szCs w:val="20"/>
          <w:lang w:val="es-ES"/>
        </w:rPr>
        <w:t> </w:t>
      </w:r>
      <w:r w:rsidR="00D135E3" w:rsidRPr="00DA1C48">
        <w:rPr>
          <w:szCs w:val="20"/>
          <w:lang w:val="es-ES"/>
        </w:rPr>
        <w:t>1.1, es la siguiente</w:t>
      </w:r>
      <w:r w:rsidR="008C4DF2" w:rsidRPr="00DA1C48">
        <w:rPr>
          <w:szCs w:val="20"/>
          <w:lang w:val="es-ES"/>
        </w:rPr>
        <w:t>:</w:t>
      </w:r>
    </w:p>
    <w:p w:rsidR="000727CB" w:rsidRPr="00DA1C48" w:rsidRDefault="000727CB" w:rsidP="0063074F">
      <w:pPr>
        <w:tabs>
          <w:tab w:val="clear" w:pos="567"/>
          <w:tab w:val="left" w:pos="1701"/>
        </w:tabs>
        <w:ind w:left="1701" w:right="49" w:hanging="850"/>
        <w:rPr>
          <w:sz w:val="20"/>
          <w:szCs w:val="20"/>
          <w:lang w:val="es-ES"/>
        </w:rPr>
      </w:pPr>
      <w:r w:rsidRPr="00DA1C48">
        <w:rPr>
          <w:sz w:val="20"/>
          <w:szCs w:val="20"/>
          <w:lang w:val="es-ES"/>
        </w:rPr>
        <w:t>“[…</w:t>
      </w:r>
      <w:r w:rsidR="003F443B" w:rsidRPr="00DA1C48">
        <w:rPr>
          <w:sz w:val="20"/>
          <w:szCs w:val="20"/>
          <w:lang w:val="es-ES"/>
        </w:rPr>
        <w:t>]</w:t>
      </w:r>
    </w:p>
    <w:p w:rsidR="003F443B" w:rsidRPr="00DA1C48" w:rsidRDefault="003F443B" w:rsidP="003F443B">
      <w:pPr>
        <w:pStyle w:val="numrationa"/>
        <w:rPr>
          <w:lang w:val="es-ES"/>
        </w:rPr>
      </w:pPr>
      <w:r w:rsidRPr="00DA1C48">
        <w:rPr>
          <w:lang w:val="es-ES"/>
        </w:rPr>
        <w:t>a)</w:t>
      </w:r>
      <w:r w:rsidRPr="00DA1C48">
        <w:rPr>
          <w:lang w:val="es-ES"/>
        </w:rPr>
        <w:tab/>
      </w:r>
      <w:r w:rsidRPr="00DA1C48">
        <w:rPr>
          <w:szCs w:val="20"/>
          <w:lang w:val="es-ES"/>
        </w:rPr>
        <w:t>proteger a los depositarios de los conocimientos tradicionales contra la violación de sus derechos, tal como se reconocen en el presente Protocolo; y</w:t>
      </w:r>
      <w:r w:rsidRPr="00DA1C48">
        <w:rPr>
          <w:rFonts w:eastAsia="Calibri"/>
          <w:lang w:val="es-ES" w:eastAsia="es-ES"/>
        </w:rPr>
        <w:t xml:space="preserve"> </w:t>
      </w:r>
    </w:p>
    <w:p w:rsidR="003F443B" w:rsidRPr="00DA1C48" w:rsidRDefault="003F443B" w:rsidP="003F443B">
      <w:pPr>
        <w:pStyle w:val="numrationa"/>
        <w:rPr>
          <w:lang w:val="es-ES"/>
        </w:rPr>
      </w:pPr>
      <w:r w:rsidRPr="00DA1C48">
        <w:rPr>
          <w:lang w:val="es-ES"/>
        </w:rPr>
        <w:t>b)</w:t>
      </w:r>
      <w:r w:rsidRPr="00DA1C48">
        <w:rPr>
          <w:lang w:val="es-ES"/>
        </w:rPr>
        <w:tab/>
      </w:r>
      <w:proofErr w:type="gramStart"/>
      <w:r w:rsidRPr="00DA1C48">
        <w:rPr>
          <w:szCs w:val="20"/>
          <w:lang w:val="es-ES"/>
        </w:rPr>
        <w:t>proteger</w:t>
      </w:r>
      <w:proofErr w:type="gramEnd"/>
      <w:r w:rsidRPr="00DA1C48">
        <w:rPr>
          <w:szCs w:val="20"/>
          <w:lang w:val="es-ES"/>
        </w:rPr>
        <w:t xml:space="preserve"> las expresiones del folklore contra su apropiación y uso indebidos, así como contra su explotación ilícita fuera de sus contextos tradicionales.”</w:t>
      </w:r>
    </w:p>
    <w:p w:rsidR="008C4DF2" w:rsidRPr="00DA1C48" w:rsidRDefault="0063074F" w:rsidP="009909DD">
      <w:pPr>
        <w:pStyle w:val="Texte1"/>
        <w:rPr>
          <w:lang w:val="es-ES"/>
        </w:rPr>
      </w:pPr>
      <w:r w:rsidRPr="00DA1C48">
        <w:rPr>
          <w:lang w:val="es-ES"/>
        </w:rPr>
        <w:t xml:space="preserve">El Protocolo </w:t>
      </w:r>
      <w:r w:rsidR="0096197E">
        <w:rPr>
          <w:lang w:val="es-ES"/>
        </w:rPr>
        <w:t>persigue un triple objetivo:</w:t>
      </w:r>
      <w:r w:rsidRPr="00DA1C48">
        <w:rPr>
          <w:lang w:val="es-ES"/>
        </w:rPr>
        <w:t xml:space="preserve"> habilitar a los custodios y depositarios de conocimientos tradicionales y expresiones del folklore para que utilicen sus competencias en favor del desarrollo socioecon</w:t>
      </w:r>
      <w:r w:rsidR="0096197E">
        <w:rPr>
          <w:lang w:val="es-ES"/>
        </w:rPr>
        <w:t>ómico y la creación de riquezas;</w:t>
      </w:r>
      <w:r w:rsidRPr="00DA1C48">
        <w:rPr>
          <w:lang w:val="es-ES"/>
        </w:rPr>
        <w:t xml:space="preserve"> restringir la piratería biológica</w:t>
      </w:r>
      <w:r w:rsidR="0096197E">
        <w:rPr>
          <w:lang w:val="es-ES"/>
        </w:rPr>
        <w:t>;</w:t>
      </w:r>
      <w:r w:rsidRPr="00DA1C48">
        <w:rPr>
          <w:lang w:val="es-ES"/>
        </w:rPr>
        <w:t xml:space="preserve"> y permitir que la Oficina de </w:t>
      </w:r>
      <w:r w:rsidR="0096197E">
        <w:rPr>
          <w:lang w:val="es-ES"/>
        </w:rPr>
        <w:t xml:space="preserve">la </w:t>
      </w:r>
      <w:r w:rsidRPr="00DA1C48">
        <w:rPr>
          <w:lang w:val="es-ES"/>
        </w:rPr>
        <w:t>ARIPO registre los conocimientos tradicionales y las expresiones del folklore que son de carácter transfronterizo y multicultural</w:t>
      </w:r>
      <w:r w:rsidR="008C4DF2" w:rsidRPr="00DA1C48">
        <w:rPr>
          <w:lang w:val="es-ES"/>
        </w:rPr>
        <w:t>.</w:t>
      </w:r>
      <w:r w:rsidR="008C4DF2" w:rsidRPr="00DA1C48">
        <w:rPr>
          <w:vertAlign w:val="superscript"/>
          <w:lang w:val="es-ES"/>
        </w:rPr>
        <w:footnoteReference w:id="7"/>
      </w:r>
      <w:r w:rsidR="008C4DF2" w:rsidRPr="00DA1C48">
        <w:rPr>
          <w:lang w:val="es-ES"/>
        </w:rPr>
        <w:t xml:space="preserve"> </w:t>
      </w:r>
    </w:p>
    <w:p w:rsidR="00EA0C41" w:rsidRPr="00DA1C48" w:rsidRDefault="008F01E1" w:rsidP="009909DD">
      <w:pPr>
        <w:pStyle w:val="Texte1"/>
        <w:rPr>
          <w:szCs w:val="20"/>
          <w:lang w:val="es-ES"/>
        </w:rPr>
      </w:pPr>
      <w:r w:rsidRPr="00DA1C48">
        <w:rPr>
          <w:szCs w:val="20"/>
          <w:lang w:val="es-ES"/>
        </w:rPr>
        <w:t xml:space="preserve">Otras regiones también han tratado de proteger los derechos </w:t>
      </w:r>
      <w:r w:rsidR="00941488" w:rsidRPr="00DA1C48">
        <w:rPr>
          <w:szCs w:val="20"/>
          <w:lang w:val="es-ES"/>
        </w:rPr>
        <w:t>de las comunidades sobre su PCI.</w:t>
      </w:r>
      <w:r w:rsidR="008C4DF2" w:rsidRPr="00DA1C48">
        <w:rPr>
          <w:szCs w:val="20"/>
          <w:lang w:val="es-ES"/>
        </w:rPr>
        <w:t xml:space="preserve"> </w:t>
      </w:r>
      <w:r w:rsidRPr="00DA1C48">
        <w:rPr>
          <w:szCs w:val="20"/>
          <w:lang w:val="es-ES"/>
        </w:rPr>
        <w:t>En</w:t>
      </w:r>
      <w:r w:rsidR="008C4DF2" w:rsidRPr="00DA1C48">
        <w:rPr>
          <w:szCs w:val="20"/>
          <w:lang w:val="es-ES"/>
        </w:rPr>
        <w:t xml:space="preserve"> 2000</w:t>
      </w:r>
      <w:r w:rsidRPr="00DA1C48">
        <w:rPr>
          <w:szCs w:val="20"/>
          <w:lang w:val="es-ES"/>
        </w:rPr>
        <w:t xml:space="preserve">, </w:t>
      </w:r>
      <w:r w:rsidRPr="00786BA9">
        <w:rPr>
          <w:szCs w:val="20"/>
          <w:lang w:val="es-ES"/>
        </w:rPr>
        <w:t xml:space="preserve">la Comisión de los </w:t>
      </w:r>
      <w:r w:rsidR="00911FD8" w:rsidRPr="00786BA9">
        <w:rPr>
          <w:szCs w:val="20"/>
          <w:lang w:val="es-ES"/>
        </w:rPr>
        <w:t>Países</w:t>
      </w:r>
      <w:r w:rsidRPr="00786BA9">
        <w:rPr>
          <w:szCs w:val="20"/>
          <w:lang w:val="es-ES"/>
        </w:rPr>
        <w:t xml:space="preserve"> Miembros de la Comunidad Andina</w:t>
      </w:r>
      <w:r w:rsidR="00810A79" w:rsidRPr="00786BA9">
        <w:rPr>
          <w:szCs w:val="20"/>
          <w:lang w:val="es-ES"/>
        </w:rPr>
        <w:t xml:space="preserve"> adoptó la siguiente decisión</w:t>
      </w:r>
      <w:r w:rsidR="00214AD7" w:rsidRPr="00786BA9">
        <w:rPr>
          <w:szCs w:val="20"/>
          <w:lang w:val="es-ES"/>
        </w:rPr>
        <w:t>:</w:t>
      </w:r>
    </w:p>
    <w:p w:rsidR="0082556A" w:rsidRPr="00DA1C48" w:rsidRDefault="00B55029" w:rsidP="00810A79">
      <w:pPr>
        <w:pStyle w:val="Texte1"/>
        <w:tabs>
          <w:tab w:val="clear" w:pos="567"/>
        </w:tabs>
        <w:ind w:left="1701" w:hanging="850"/>
        <w:rPr>
          <w:szCs w:val="20"/>
          <w:lang w:val="es-ES"/>
        </w:rPr>
      </w:pPr>
      <w:r w:rsidRPr="00DA1C48">
        <w:rPr>
          <w:szCs w:val="20"/>
          <w:lang w:val="es-ES"/>
        </w:rPr>
        <w:lastRenderedPageBreak/>
        <w:t>“[…]</w:t>
      </w:r>
    </w:p>
    <w:p w:rsidR="0082556A" w:rsidRPr="00DA1C48" w:rsidRDefault="0082556A" w:rsidP="0082556A">
      <w:pPr>
        <w:pStyle w:val="numrationa"/>
        <w:rPr>
          <w:szCs w:val="20"/>
          <w:lang w:val="es-ES"/>
        </w:rPr>
      </w:pPr>
      <w:r w:rsidRPr="00DA1C48">
        <w:rPr>
          <w:b/>
          <w:szCs w:val="20"/>
          <w:lang w:val="es-ES"/>
        </w:rPr>
        <w:t>Artículo 136</w:t>
      </w:r>
      <w:r w:rsidRPr="00DA1C48">
        <w:rPr>
          <w:szCs w:val="20"/>
          <w:lang w:val="es-ES"/>
        </w:rPr>
        <w:t>.- No podrán registrarse como marcas aquellos signos cuyo uso en el comercio afecte indebidamente un derecho de tercero, en particular cuando</w:t>
      </w:r>
    </w:p>
    <w:p w:rsidR="0082556A" w:rsidRPr="00DA1C48" w:rsidRDefault="0082556A" w:rsidP="0082556A">
      <w:pPr>
        <w:pStyle w:val="numrationa"/>
        <w:rPr>
          <w:lang w:val="es-ES"/>
        </w:rPr>
      </w:pPr>
      <w:r w:rsidRPr="00DA1C48">
        <w:rPr>
          <w:szCs w:val="20"/>
          <w:lang w:val="es-ES"/>
        </w:rPr>
        <w:t>[…]</w:t>
      </w:r>
    </w:p>
    <w:p w:rsidR="0082556A" w:rsidRPr="00DA1C48" w:rsidRDefault="0082556A" w:rsidP="0082556A">
      <w:pPr>
        <w:pStyle w:val="numrationa"/>
        <w:rPr>
          <w:lang w:val="es-ES"/>
        </w:rPr>
      </w:pPr>
      <w:r w:rsidRPr="00DA1C48">
        <w:rPr>
          <w:lang w:val="es-ES"/>
        </w:rPr>
        <w:t>g)</w:t>
      </w:r>
      <w:r w:rsidRPr="00DA1C48">
        <w:rPr>
          <w:lang w:val="es-ES"/>
        </w:rPr>
        <w:tab/>
      </w:r>
      <w:r w:rsidRPr="00DA1C48">
        <w:rPr>
          <w:szCs w:val="20"/>
          <w:lang w:val="es-ES"/>
        </w:rPr>
        <w:t xml:space="preserve"> </w:t>
      </w:r>
      <w:proofErr w:type="gramStart"/>
      <w:r w:rsidRPr="00DA1C48">
        <w:rPr>
          <w:szCs w:val="20"/>
          <w:lang w:val="es-ES"/>
        </w:rPr>
        <w:t>consistan</w:t>
      </w:r>
      <w:proofErr w:type="gramEnd"/>
      <w:r w:rsidRPr="00DA1C48">
        <w:rPr>
          <w:szCs w:val="20"/>
          <w:lang w:val="es-ES"/>
        </w:rPr>
        <w:t xml:space="preserve"> en el nombre de las comunidades indígenas, afroamericanas o locales, o en las denominaciones, palabras, letras, caracteres o signos utilizados para distinguir sus productos, servicios o la forma de procesarlos, o que constituyan la expresión de su cultura o práctica, salvo que la solicitud sea presentada por la propia comunidad o con su consentimiento expreso</w:t>
      </w:r>
      <w:r w:rsidRPr="00786BA9">
        <w:rPr>
          <w:szCs w:val="20"/>
          <w:lang w:val="es-ES"/>
        </w:rPr>
        <w:t>”.</w:t>
      </w:r>
      <w:r w:rsidRPr="00786BA9">
        <w:rPr>
          <w:vertAlign w:val="superscript"/>
          <w:lang w:val="es-ES"/>
        </w:rPr>
        <w:t xml:space="preserve"> </w:t>
      </w:r>
      <w:r w:rsidRPr="00786BA9">
        <w:rPr>
          <w:vertAlign w:val="superscript"/>
          <w:lang w:val="es-ES"/>
        </w:rPr>
        <w:footnoteReference w:id="8"/>
      </w:r>
    </w:p>
    <w:p w:rsidR="003C1ABF" w:rsidRPr="00DA1C48" w:rsidRDefault="00810A79" w:rsidP="00D33722">
      <w:pPr>
        <w:pStyle w:val="Texte1"/>
        <w:rPr>
          <w:rFonts w:cs="Times New Roman"/>
          <w:b/>
          <w:bCs/>
          <w:caps/>
          <w:color w:val="008000"/>
          <w:sz w:val="24"/>
          <w:szCs w:val="22"/>
          <w:lang w:val="es-ES" w:eastAsia="en-US"/>
        </w:rPr>
      </w:pPr>
      <w:r w:rsidRPr="00DA1C48">
        <w:rPr>
          <w:lang w:val="es-ES"/>
        </w:rPr>
        <w:t>Esta decisión fue aplicada por el gobierno de Colombia en un caso, aunque la comunidad interesada no había presentado objeción alguna en este sentido</w:t>
      </w:r>
      <w:r w:rsidR="008C4DF2" w:rsidRPr="00DA1C48">
        <w:rPr>
          <w:lang w:val="es-ES"/>
        </w:rPr>
        <w:t>.</w:t>
      </w:r>
    </w:p>
    <w:p w:rsidR="002215E7" w:rsidRPr="00DA1C48" w:rsidRDefault="00EB2323" w:rsidP="004936EF">
      <w:pPr>
        <w:pStyle w:val="Heading6"/>
        <w:rPr>
          <w:lang w:val="es-ES"/>
        </w:rPr>
      </w:pPr>
      <w:r w:rsidRPr="00DA1C48">
        <w:rPr>
          <w:lang w:val="es-ES"/>
        </w:rPr>
        <w:t>DIAPOSITIVA</w:t>
      </w:r>
      <w:r w:rsidR="008C4DF2" w:rsidRPr="00DA1C48">
        <w:rPr>
          <w:lang w:val="es-ES"/>
        </w:rPr>
        <w:t xml:space="preserve"> 2</w:t>
      </w:r>
      <w:r w:rsidR="00933DEE" w:rsidRPr="00DA1C48">
        <w:rPr>
          <w:lang w:val="es-ES"/>
        </w:rPr>
        <w:t>2</w:t>
      </w:r>
      <w:r w:rsidR="002215E7" w:rsidRPr="00DA1C48">
        <w:rPr>
          <w:lang w:val="es-ES"/>
        </w:rPr>
        <w:t>.</w:t>
      </w:r>
    </w:p>
    <w:p w:rsidR="008C4DF2" w:rsidRPr="00DA1C48" w:rsidRDefault="000F1500" w:rsidP="004936EF">
      <w:pPr>
        <w:pStyle w:val="diapo2"/>
        <w:rPr>
          <w:lang w:val="es-ES"/>
        </w:rPr>
      </w:pPr>
      <w:r w:rsidRPr="00786BA9">
        <w:rPr>
          <w:lang w:val="es-ES"/>
        </w:rPr>
        <w:t>Directric</w:t>
      </w:r>
      <w:r w:rsidR="008C4DF2" w:rsidRPr="00786BA9">
        <w:rPr>
          <w:lang w:val="es-ES"/>
        </w:rPr>
        <w:t xml:space="preserve">es </w:t>
      </w:r>
      <w:r w:rsidRPr="00786BA9">
        <w:rPr>
          <w:lang w:val="es-ES"/>
        </w:rPr>
        <w:t>y códigos de ética</w:t>
      </w:r>
    </w:p>
    <w:p w:rsidR="008C4DF2" w:rsidRPr="00DA1C48" w:rsidRDefault="00EB2323" w:rsidP="009909DD">
      <w:pPr>
        <w:pStyle w:val="Texte1"/>
        <w:rPr>
          <w:lang w:val="es-ES"/>
        </w:rPr>
      </w:pPr>
      <w:r w:rsidRPr="00DA1C48">
        <w:rPr>
          <w:lang w:val="es-ES"/>
        </w:rPr>
        <w:t>Véase la</w:t>
      </w:r>
      <w:r w:rsidR="00646051" w:rsidRPr="00DA1C48">
        <w:rPr>
          <w:lang w:val="es-ES"/>
        </w:rPr>
        <w:t xml:space="preserve"> </w:t>
      </w:r>
      <w:r w:rsidRPr="00DA1C48">
        <w:rPr>
          <w:lang w:val="es-ES"/>
        </w:rPr>
        <w:t>Sección 11 del Texto para el Participante de la presente Unidad 10</w:t>
      </w:r>
      <w:r w:rsidR="00646051" w:rsidRPr="00DA1C48">
        <w:rPr>
          <w:lang w:val="es-ES"/>
        </w:rPr>
        <w:t>.</w:t>
      </w:r>
    </w:p>
    <w:p w:rsidR="002215E7" w:rsidRPr="00DA1C48" w:rsidRDefault="00941488" w:rsidP="009909DD">
      <w:pPr>
        <w:pStyle w:val="Texte1"/>
        <w:rPr>
          <w:lang w:val="es-ES"/>
        </w:rPr>
      </w:pPr>
      <w:r w:rsidRPr="00DA1C48">
        <w:rPr>
          <w:lang w:val="es-ES"/>
        </w:rPr>
        <w:t>En esta diapositiva se muestra un ejemplar del protocolo relativo a los trabajos de investigación sobre el PCI de las comunidades aborígenes australianas, titulado</w:t>
      </w:r>
      <w:r w:rsidR="005904F7" w:rsidRPr="00DA1C48">
        <w:rPr>
          <w:lang w:val="es-ES"/>
        </w:rPr>
        <w:t xml:space="preserve"> </w:t>
      </w:r>
      <w:r w:rsidRPr="00DA1C48">
        <w:rPr>
          <w:i/>
          <w:iCs/>
          <w:lang w:val="es-ES"/>
        </w:rPr>
        <w:t xml:space="preserve">Ask </w:t>
      </w:r>
      <w:proofErr w:type="spellStart"/>
      <w:r w:rsidRPr="00DA1C48">
        <w:rPr>
          <w:i/>
          <w:iCs/>
          <w:lang w:val="es-ES"/>
        </w:rPr>
        <w:t>First</w:t>
      </w:r>
      <w:proofErr w:type="spellEnd"/>
      <w:r w:rsidRPr="00DA1C48">
        <w:rPr>
          <w:i/>
          <w:iCs/>
          <w:lang w:val="es-ES"/>
        </w:rPr>
        <w:t xml:space="preserve">: a </w:t>
      </w:r>
      <w:proofErr w:type="spellStart"/>
      <w:r w:rsidRPr="00DA1C48">
        <w:rPr>
          <w:i/>
          <w:lang w:val="es-ES"/>
        </w:rPr>
        <w:t>guide</w:t>
      </w:r>
      <w:proofErr w:type="spellEnd"/>
      <w:r w:rsidRPr="00DA1C48">
        <w:rPr>
          <w:i/>
          <w:lang w:val="es-ES"/>
        </w:rPr>
        <w:t xml:space="preserve"> to </w:t>
      </w:r>
      <w:proofErr w:type="spellStart"/>
      <w:r w:rsidRPr="00DA1C48">
        <w:rPr>
          <w:i/>
          <w:lang w:val="es-ES"/>
        </w:rPr>
        <w:t>respecting</w:t>
      </w:r>
      <w:proofErr w:type="spellEnd"/>
      <w:r w:rsidRPr="00DA1C48">
        <w:rPr>
          <w:i/>
          <w:lang w:val="es-ES"/>
        </w:rPr>
        <w:t xml:space="preserve"> </w:t>
      </w:r>
      <w:proofErr w:type="spellStart"/>
      <w:r w:rsidRPr="00DA1C48">
        <w:rPr>
          <w:i/>
          <w:lang w:val="es-ES"/>
        </w:rPr>
        <w:t>Indigenous</w:t>
      </w:r>
      <w:proofErr w:type="spellEnd"/>
      <w:r w:rsidRPr="00DA1C48">
        <w:rPr>
          <w:i/>
          <w:lang w:val="es-ES"/>
        </w:rPr>
        <w:t xml:space="preserve"> </w:t>
      </w:r>
      <w:proofErr w:type="spellStart"/>
      <w:r w:rsidRPr="00DA1C48">
        <w:rPr>
          <w:i/>
          <w:lang w:val="es-ES"/>
        </w:rPr>
        <w:t>heritage</w:t>
      </w:r>
      <w:proofErr w:type="spellEnd"/>
      <w:r w:rsidRPr="00DA1C48">
        <w:rPr>
          <w:i/>
          <w:lang w:val="es-ES"/>
        </w:rPr>
        <w:t xml:space="preserve"> places and </w:t>
      </w:r>
      <w:proofErr w:type="spellStart"/>
      <w:r w:rsidRPr="00DA1C48">
        <w:rPr>
          <w:i/>
          <w:lang w:val="es-ES"/>
        </w:rPr>
        <w:t>values</w:t>
      </w:r>
      <w:proofErr w:type="spellEnd"/>
      <w:r w:rsidRPr="00DA1C48">
        <w:rPr>
          <w:i/>
          <w:lang w:val="es-ES"/>
        </w:rPr>
        <w:t xml:space="preserve"> in Australia</w:t>
      </w:r>
      <w:r w:rsidRPr="00DA1C48">
        <w:rPr>
          <w:lang w:val="es-ES"/>
        </w:rPr>
        <w:t xml:space="preserve"> [Preguntar primero – Guía para respetar los sitios y valores culturales indígenas en Australia]</w:t>
      </w:r>
      <w:r w:rsidR="004073A9" w:rsidRPr="00DA1C48">
        <w:rPr>
          <w:lang w:val="es-ES"/>
        </w:rPr>
        <w:t xml:space="preserve">. </w:t>
      </w:r>
      <w:r w:rsidRPr="00DA1C48">
        <w:rPr>
          <w:lang w:val="es-ES"/>
        </w:rPr>
        <w:t xml:space="preserve">En esta guía, editada en 2002 por la Comisión del Patrimonio Cultural Australiano, se proporcionan directrices </w:t>
      </w:r>
      <w:r w:rsidR="00307031" w:rsidRPr="00DA1C48">
        <w:rPr>
          <w:lang w:val="es-ES"/>
        </w:rPr>
        <w:t>sobre la identificación de los sitios y valores del PCI de las comunidades indígenas, así como sobre la participación de éstas en los asuntos relacionados con este tipo de patrimonio cultural.</w:t>
      </w:r>
      <w:r w:rsidRPr="00DA1C48">
        <w:rPr>
          <w:lang w:val="es-ES"/>
        </w:rPr>
        <w:t xml:space="preserve"> </w:t>
      </w:r>
    </w:p>
    <w:p w:rsidR="008C4DF2" w:rsidRPr="00DA1C48" w:rsidRDefault="000D5A9B" w:rsidP="003424D6">
      <w:pPr>
        <w:pStyle w:val="Soustitre"/>
        <w:rPr>
          <w:lang w:val="es-ES"/>
        </w:rPr>
      </w:pPr>
      <w:bookmarkStart w:id="11" w:name="_Toc238982260"/>
      <w:r w:rsidRPr="00DA1C48">
        <w:rPr>
          <w:lang w:val="es-ES"/>
        </w:rPr>
        <w:t>Ejemplo</w:t>
      </w:r>
      <w:r w:rsidR="000F1500" w:rsidRPr="00DA1C48">
        <w:rPr>
          <w:lang w:val="es-ES"/>
        </w:rPr>
        <w:t xml:space="preserve"> – Ética de los trabajos de investi</w:t>
      </w:r>
      <w:r w:rsidR="001F5BB9">
        <w:rPr>
          <w:lang w:val="es-ES"/>
        </w:rPr>
        <w:t>gaci</w:t>
      </w:r>
      <w:r w:rsidR="000F1500" w:rsidRPr="00DA1C48">
        <w:rPr>
          <w:lang w:val="es-ES"/>
        </w:rPr>
        <w:t>ón en Bras</w:t>
      </w:r>
      <w:r w:rsidR="008C4DF2" w:rsidRPr="00DA1C48">
        <w:rPr>
          <w:lang w:val="es-ES"/>
        </w:rPr>
        <w:t>il</w:t>
      </w:r>
      <w:bookmarkEnd w:id="11"/>
    </w:p>
    <w:p w:rsidR="008C4DF2" w:rsidRPr="00DA1C48" w:rsidRDefault="00EB2323" w:rsidP="009909DD">
      <w:pPr>
        <w:pStyle w:val="Texte1"/>
        <w:rPr>
          <w:lang w:val="es-ES" w:eastAsia="en-US"/>
        </w:rPr>
      </w:pPr>
      <w:r w:rsidRPr="00DA1C48">
        <w:rPr>
          <w:lang w:val="es-ES" w:eastAsia="en-US"/>
        </w:rPr>
        <w:t>E</w:t>
      </w:r>
      <w:r w:rsidR="00112E3D" w:rsidRPr="00DA1C48">
        <w:rPr>
          <w:lang w:val="es-ES" w:eastAsia="en-US"/>
        </w:rPr>
        <w:t>n el E</w:t>
      </w:r>
      <w:r w:rsidRPr="00DA1C48">
        <w:rPr>
          <w:lang w:val="es-ES" w:eastAsia="en-US"/>
        </w:rPr>
        <w:t>studio de Caso</w:t>
      </w:r>
      <w:r w:rsidR="00442E1A" w:rsidRPr="00DA1C48">
        <w:rPr>
          <w:lang w:val="es-ES" w:eastAsia="en-US"/>
        </w:rPr>
        <w:t> </w:t>
      </w:r>
      <w:r w:rsidR="005B06C4" w:rsidRPr="00DA1C48">
        <w:rPr>
          <w:lang w:val="es-ES" w:eastAsia="en-US"/>
        </w:rPr>
        <w:t>31</w:t>
      </w:r>
      <w:r w:rsidR="004073A9" w:rsidRPr="00DA1C48">
        <w:rPr>
          <w:lang w:val="es-ES" w:eastAsia="en-US"/>
        </w:rPr>
        <w:t xml:space="preserve"> </w:t>
      </w:r>
      <w:r w:rsidR="00112E3D" w:rsidRPr="00DA1C48">
        <w:rPr>
          <w:lang w:val="es-ES" w:eastAsia="en-US"/>
        </w:rPr>
        <w:t>se examina el sistema aplicado en Brasil para autorizar la realización de trabajos de investigación en el seno de los grupos indígenas</w:t>
      </w:r>
      <w:r w:rsidR="008C4DF2" w:rsidRPr="00DA1C48">
        <w:rPr>
          <w:lang w:val="es-ES" w:eastAsia="en-US"/>
        </w:rPr>
        <w:t>.</w:t>
      </w:r>
    </w:p>
    <w:p w:rsidR="008C4DF2" w:rsidRPr="00DA1C48" w:rsidRDefault="000D5A9B" w:rsidP="000F1500">
      <w:pPr>
        <w:pStyle w:val="Soustitre"/>
        <w:ind w:left="851" w:hanging="851"/>
        <w:rPr>
          <w:lang w:val="es-ES"/>
        </w:rPr>
      </w:pPr>
      <w:bookmarkStart w:id="12" w:name="_Toc238982261"/>
      <w:r w:rsidRPr="00DA1C48">
        <w:rPr>
          <w:lang w:val="es-ES"/>
        </w:rPr>
        <w:t>Ejemplo</w:t>
      </w:r>
      <w:r w:rsidR="000F1500" w:rsidRPr="00DA1C48">
        <w:rPr>
          <w:lang w:val="es-ES"/>
        </w:rPr>
        <w:t xml:space="preserve"> – E</w:t>
      </w:r>
      <w:r w:rsidR="00112E3D" w:rsidRPr="00DA1C48">
        <w:rPr>
          <w:lang w:val="es-ES"/>
        </w:rPr>
        <w:t>l</w:t>
      </w:r>
      <w:r w:rsidR="008C4DF2" w:rsidRPr="00DA1C48">
        <w:rPr>
          <w:lang w:val="es-ES"/>
        </w:rPr>
        <w:t xml:space="preserve"> </w:t>
      </w:r>
      <w:r w:rsidR="002448C2" w:rsidRPr="00DA1C48">
        <w:rPr>
          <w:lang w:val="es-ES"/>
        </w:rPr>
        <w:t>P</w:t>
      </w:r>
      <w:r w:rsidR="008C4DF2" w:rsidRPr="00DA1C48">
        <w:rPr>
          <w:lang w:val="es-ES"/>
        </w:rPr>
        <w:t>rotocol</w:t>
      </w:r>
      <w:r w:rsidR="00112E3D" w:rsidRPr="00DA1C48">
        <w:rPr>
          <w:lang w:val="es-ES"/>
        </w:rPr>
        <w:t xml:space="preserve">o </w:t>
      </w:r>
      <w:bookmarkEnd w:id="12"/>
      <w:r w:rsidR="000F1500" w:rsidRPr="00DA1C48">
        <w:rPr>
          <w:lang w:val="es-ES"/>
        </w:rPr>
        <w:t>relativo a los trabajos de investigación, publicaciones y grabaciones sobre el PCI de los hopi</w:t>
      </w:r>
      <w:r w:rsidR="001F5BB9">
        <w:rPr>
          <w:lang w:val="es-ES"/>
        </w:rPr>
        <w:t xml:space="preserve"> (EE.UU.)</w:t>
      </w:r>
    </w:p>
    <w:p w:rsidR="008C4DF2" w:rsidRPr="00DA1C48" w:rsidRDefault="008F01E1" w:rsidP="009909DD">
      <w:pPr>
        <w:pStyle w:val="Texte1"/>
        <w:rPr>
          <w:lang w:val="es-ES" w:eastAsia="en-US"/>
        </w:rPr>
      </w:pPr>
      <w:r w:rsidRPr="00DA1C48">
        <w:rPr>
          <w:lang w:val="es-ES" w:eastAsia="en-US"/>
        </w:rPr>
        <w:t xml:space="preserve">En el </w:t>
      </w:r>
      <w:r w:rsidR="00EB2323" w:rsidRPr="00DA1C48">
        <w:rPr>
          <w:lang w:val="es-ES" w:eastAsia="en-US"/>
        </w:rPr>
        <w:t>Estudio de Caso</w:t>
      </w:r>
      <w:r w:rsidR="00442E1A" w:rsidRPr="00DA1C48">
        <w:rPr>
          <w:lang w:val="es-ES" w:eastAsia="en-US"/>
        </w:rPr>
        <w:t> </w:t>
      </w:r>
      <w:r w:rsidR="005B06C4" w:rsidRPr="00DA1C48">
        <w:rPr>
          <w:lang w:val="es-ES" w:eastAsia="en-US"/>
        </w:rPr>
        <w:t>32</w:t>
      </w:r>
      <w:r w:rsidR="004073A9" w:rsidRPr="00DA1C48">
        <w:rPr>
          <w:lang w:val="es-ES" w:eastAsia="en-US"/>
        </w:rPr>
        <w:t xml:space="preserve"> </w:t>
      </w:r>
      <w:r w:rsidR="00112E3D" w:rsidRPr="00DA1C48">
        <w:rPr>
          <w:lang w:val="es-ES" w:eastAsia="en-US"/>
        </w:rPr>
        <w:t xml:space="preserve">se presenta el </w:t>
      </w:r>
      <w:r w:rsidR="000F1500" w:rsidRPr="00DA1C48">
        <w:rPr>
          <w:lang w:val="es-ES" w:eastAsia="en-US"/>
        </w:rPr>
        <w:t>P</w:t>
      </w:r>
      <w:r w:rsidR="00112E3D" w:rsidRPr="00DA1C48">
        <w:rPr>
          <w:lang w:val="es-ES" w:eastAsia="en-US"/>
        </w:rPr>
        <w:t xml:space="preserve">rotocolo de los </w:t>
      </w:r>
      <w:proofErr w:type="spellStart"/>
      <w:r w:rsidR="00112E3D" w:rsidRPr="00DA1C48">
        <w:rPr>
          <w:lang w:val="es-ES" w:eastAsia="en-US"/>
        </w:rPr>
        <w:t>hopi</w:t>
      </w:r>
      <w:proofErr w:type="spellEnd"/>
      <w:r w:rsidR="00112E3D" w:rsidRPr="00DA1C48">
        <w:rPr>
          <w:lang w:val="es-ES" w:eastAsia="en-US"/>
        </w:rPr>
        <w:t xml:space="preserve"> </w:t>
      </w:r>
      <w:r w:rsidR="000F1500" w:rsidRPr="00DA1C48">
        <w:rPr>
          <w:lang w:val="es-ES" w:eastAsia="en-US"/>
        </w:rPr>
        <w:t>relativo a los trabajos de investigación, en el que se establece de qué manera este pueblo indígena desea que se utilicen sus recursos intelectuales y expresiones culturales tradicionales por parte de t</w:t>
      </w:r>
      <w:r w:rsidR="00941488" w:rsidRPr="00DA1C48">
        <w:rPr>
          <w:lang w:val="es-ES" w:eastAsia="en-US"/>
        </w:rPr>
        <w:t>er</w:t>
      </w:r>
      <w:r w:rsidR="000F1500" w:rsidRPr="00DA1C48">
        <w:rPr>
          <w:lang w:val="es-ES" w:eastAsia="en-US"/>
        </w:rPr>
        <w:t>ceros</w:t>
      </w:r>
      <w:r w:rsidR="008C4DF2" w:rsidRPr="00DA1C48">
        <w:rPr>
          <w:lang w:val="es-ES" w:eastAsia="en-US"/>
        </w:rPr>
        <w:t>.</w:t>
      </w:r>
    </w:p>
    <w:p w:rsidR="008C4DF2" w:rsidRPr="00DA1C48" w:rsidRDefault="001C2208" w:rsidP="004936EF">
      <w:pPr>
        <w:pStyle w:val="diapo2"/>
        <w:rPr>
          <w:i/>
          <w:lang w:val="es-ES"/>
        </w:rPr>
      </w:pPr>
      <w:r w:rsidRPr="001F5BB9">
        <w:rPr>
          <w:i/>
          <w:lang w:val="es-ES"/>
        </w:rPr>
        <w:lastRenderedPageBreak/>
        <w:t>Ejercicio (10 minutos) – Cómo inciden las políticas e instituciones internacionales en la aplicación de la Convención</w:t>
      </w:r>
      <w:bookmarkStart w:id="13" w:name="_GoBack"/>
      <w:bookmarkEnd w:id="13"/>
    </w:p>
    <w:p w:rsidR="008C4DF2" w:rsidRPr="00DA1C48" w:rsidRDefault="00AE7346" w:rsidP="009909DD">
      <w:pPr>
        <w:pStyle w:val="Texte1"/>
        <w:rPr>
          <w:lang w:val="es-ES"/>
        </w:rPr>
      </w:pPr>
      <w:r w:rsidRPr="00DA1C48">
        <w:rPr>
          <w:lang w:val="es-ES"/>
        </w:rPr>
        <w:t>Se debe pedir a los participantes en el taller que mencionen instrumentos jurídicos, políticas comunes o instituciones existentes a nivel regional o internacional que influyen, o podrían influir, en la aplicación de la Convención en su(s) Estado(s).</w:t>
      </w:r>
    </w:p>
    <w:p w:rsidR="00832A32" w:rsidRPr="00DA1C48" w:rsidRDefault="00AE7346" w:rsidP="0082556A">
      <w:pPr>
        <w:pStyle w:val="Texte1"/>
        <w:rPr>
          <w:lang w:val="es-ES"/>
        </w:rPr>
      </w:pPr>
      <w:r w:rsidRPr="00DA1C48">
        <w:rPr>
          <w:lang w:val="es-ES"/>
        </w:rPr>
        <w:t>Luego</w:t>
      </w:r>
      <w:r w:rsidR="00DC0BE4" w:rsidRPr="00DA1C48">
        <w:rPr>
          <w:lang w:val="es-ES"/>
        </w:rPr>
        <w:t>,</w:t>
      </w:r>
      <w:r w:rsidRPr="00DA1C48">
        <w:rPr>
          <w:lang w:val="es-ES"/>
        </w:rPr>
        <w:t xml:space="preserve"> se les debe pedir que indiquen de qué manera(s) esos instrumentos jurídicos, políticas o instituciones existentes a nivel regional o internacional han influido, o podrían influir, en la aplicación de la Convención en su(s) Estado(s).</w:t>
      </w:r>
    </w:p>
    <w:sectPr w:rsidR="00832A32" w:rsidRPr="00DA1C48" w:rsidSect="009B3A94">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51C" w:rsidRDefault="001E651C" w:rsidP="000A699C">
      <w:pPr>
        <w:spacing w:before="0" w:after="0"/>
      </w:pPr>
      <w:r>
        <w:separator/>
      </w:r>
    </w:p>
  </w:endnote>
  <w:endnote w:type="continuationSeparator" w:id="0">
    <w:p w:rsidR="001E651C" w:rsidRDefault="001E651C"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14" w:rsidRDefault="00426902" w:rsidP="004936EF">
    <w:pPr>
      <w:pStyle w:val="Footer"/>
    </w:pPr>
    <w:r>
      <w:rPr>
        <w:noProof/>
        <w:lang w:val="en-GB" w:eastAsia="en-GB"/>
      </w:rPr>
      <w:drawing>
        <wp:anchor distT="0" distB="0" distL="114300" distR="114300" simplePos="0" relativeHeight="251780096" behindDoc="0" locked="0" layoutInCell="1" allowOverlap="1" wp14:anchorId="70B205E0" wp14:editId="78985E3B">
          <wp:simplePos x="0" y="0"/>
          <wp:positionH relativeFrom="column">
            <wp:posOffset>-45246</wp:posOffset>
          </wp:positionH>
          <wp:positionV relativeFrom="paragraph">
            <wp:posOffset>-208906</wp:posOffset>
          </wp:positionV>
          <wp:extent cx="827477"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14:sizeRelH relativeFrom="page">
            <wp14:pctWidth>0</wp14:pctWidth>
          </wp14:sizeRelH>
          <wp14:sizeRelV relativeFrom="page">
            <wp14:pctHeight>0</wp14:pctHeight>
          </wp14:sizeRelV>
        </wp:anchor>
      </w:drawing>
    </w:r>
    <w:r w:rsidR="00320814">
      <w:tab/>
    </w:r>
    <w:r w:rsidR="00320814" w:rsidRPr="00F57697">
      <w:rPr>
        <w:lang w:val="es-ES_tradnl"/>
      </w:rPr>
      <w:t>© UNESCO • No se debe reproducir sin permiso</w:t>
    </w:r>
    <w:r w:rsidR="00320814">
      <w:tab/>
    </w:r>
    <w:r w:rsidR="00320814" w:rsidRPr="00A83452">
      <w:t xml:space="preserve"> </w:t>
    </w:r>
    <w:r w:rsidR="00320814">
      <w:t>U010-v1.0-FN-ES</w:t>
    </w:r>
  </w:p>
  <w:p w:rsidR="00320814" w:rsidRDefault="003208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14" w:rsidRPr="007D60D5" w:rsidRDefault="00426902">
    <w:pPr>
      <w:pStyle w:val="Footer"/>
    </w:pPr>
    <w:r>
      <w:rPr>
        <w:noProof/>
        <w:lang w:val="en-GB" w:eastAsia="en-GB"/>
      </w:rPr>
      <w:drawing>
        <wp:anchor distT="0" distB="0" distL="114300" distR="114300" simplePos="0" relativeHeight="251782144" behindDoc="0" locked="0" layoutInCell="1" allowOverlap="1" wp14:anchorId="0CCE2BBC" wp14:editId="5C708331">
          <wp:simplePos x="0" y="0"/>
          <wp:positionH relativeFrom="column">
            <wp:posOffset>4965091</wp:posOffset>
          </wp:positionH>
          <wp:positionV relativeFrom="paragraph">
            <wp:posOffset>-349250</wp:posOffset>
          </wp:positionV>
          <wp:extent cx="827405" cy="6000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320814">
      <w:t>U010-v1.</w:t>
    </w:r>
    <w:proofErr w:type="gramStart"/>
    <w:r w:rsidR="00320814">
      <w:t>0-FN-ES</w:t>
    </w:r>
    <w:proofErr w:type="gramEnd"/>
    <w:r w:rsidR="00320814">
      <w:tab/>
    </w:r>
    <w:r w:rsidR="00320814" w:rsidRPr="00F57697">
      <w:rPr>
        <w:lang w:val="es-ES_tradnl"/>
      </w:rPr>
      <w:t>© UNESCO • No se debe reproducir sin permiso</w:t>
    </w:r>
    <w:r w:rsidR="00320814">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14" w:rsidRPr="00832A32" w:rsidRDefault="00796240" w:rsidP="00832A32">
    <w:pPr>
      <w:pStyle w:val="Footer"/>
    </w:pPr>
    <w:r>
      <w:rPr>
        <w:noProof/>
        <w:lang w:val="en-GB" w:eastAsia="en-GB"/>
      </w:rPr>
      <w:drawing>
        <wp:anchor distT="0" distB="0" distL="114300" distR="114300" simplePos="0" relativeHeight="251778048" behindDoc="0" locked="0" layoutInCell="1" allowOverlap="1" wp14:anchorId="0855662B" wp14:editId="4F3D3FB0">
          <wp:simplePos x="0" y="0"/>
          <wp:positionH relativeFrom="column">
            <wp:posOffset>4822190</wp:posOffset>
          </wp:positionH>
          <wp:positionV relativeFrom="paragraph">
            <wp:posOffset>-321200</wp:posOffset>
          </wp:positionV>
          <wp:extent cx="827405" cy="6000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320814">
      <w:t>U010-v1.</w:t>
    </w:r>
    <w:proofErr w:type="gramStart"/>
    <w:r w:rsidR="00320814">
      <w:t>0-FN-ES</w:t>
    </w:r>
    <w:proofErr w:type="gramEnd"/>
    <w:r w:rsidR="00320814">
      <w:tab/>
    </w:r>
    <w:r w:rsidR="00320814" w:rsidRPr="00F57697">
      <w:rPr>
        <w:lang w:val="es-ES_tradnl"/>
      </w:rPr>
      <w:t>© UNESCO • No se debe reproducir sin permiso</w:t>
    </w:r>
    <w:r w:rsidR="0032081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51C" w:rsidRDefault="001E651C" w:rsidP="000A699C">
      <w:pPr>
        <w:spacing w:before="0" w:after="0"/>
      </w:pPr>
      <w:r>
        <w:separator/>
      </w:r>
    </w:p>
  </w:footnote>
  <w:footnote w:type="continuationSeparator" w:id="0">
    <w:p w:rsidR="001E651C" w:rsidRDefault="001E651C" w:rsidP="000A699C">
      <w:pPr>
        <w:spacing w:before="0" w:after="0"/>
      </w:pPr>
      <w:r>
        <w:continuationSeparator/>
      </w:r>
    </w:p>
  </w:footnote>
  <w:footnote w:id="1">
    <w:p w:rsidR="00320814" w:rsidRPr="00DA1C48" w:rsidRDefault="00320814" w:rsidP="00C475F6">
      <w:pPr>
        <w:pStyle w:val="FootnoteText"/>
        <w:rPr>
          <w:lang w:val="es-ES"/>
        </w:rPr>
      </w:pPr>
      <w:r w:rsidRPr="00DA1C48">
        <w:rPr>
          <w:rStyle w:val="FootnoteReference"/>
          <w:szCs w:val="16"/>
          <w:lang w:val="es-ES"/>
        </w:rPr>
        <w:footnoteRef/>
      </w:r>
      <w:r w:rsidRPr="00DA1C48">
        <w:rPr>
          <w:szCs w:val="16"/>
          <w:vertAlign w:val="superscript"/>
          <w:lang w:val="es-ES"/>
        </w:rPr>
        <w:t>.</w:t>
      </w:r>
      <w:r w:rsidRPr="00DA1C48">
        <w:rPr>
          <w:lang w:val="es-ES"/>
        </w:rPr>
        <w:tab/>
      </w:r>
      <w:r w:rsidRPr="006B47AC">
        <w:rPr>
          <w:lang w:val="es-ES"/>
        </w:rPr>
        <w:t>La sigla PCI es una abreviatura de la expresión “patrimonio cultural inmaterial”.</w:t>
      </w:r>
    </w:p>
  </w:footnote>
  <w:footnote w:id="2">
    <w:p w:rsidR="00320814" w:rsidRPr="00DA1C48" w:rsidRDefault="00320814">
      <w:pPr>
        <w:pStyle w:val="FootnoteText"/>
        <w:rPr>
          <w:lang w:val="es-ES"/>
        </w:rPr>
      </w:pPr>
      <w:r w:rsidRPr="00DA1C48">
        <w:rPr>
          <w:rStyle w:val="FootnoteReference"/>
          <w:szCs w:val="16"/>
          <w:lang w:val="es-ES"/>
        </w:rPr>
        <w:footnoteRef/>
      </w:r>
      <w:r w:rsidRPr="00DA1C48">
        <w:rPr>
          <w:szCs w:val="16"/>
          <w:vertAlign w:val="superscript"/>
          <w:lang w:val="es-ES"/>
        </w:rPr>
        <w:t>.</w:t>
      </w:r>
      <w:r w:rsidRPr="00DA1C48">
        <w:rPr>
          <w:lang w:val="es-ES"/>
        </w:rPr>
        <w:tab/>
        <w:t xml:space="preserve">Frecuentemente denominada Convención del Patrimonio Inmaterial y, a los efectos de esta </w:t>
      </w:r>
      <w:r w:rsidR="006B47AC">
        <w:rPr>
          <w:lang w:val="es-ES"/>
        </w:rPr>
        <w:t>unidad</w:t>
      </w:r>
      <w:r w:rsidRPr="00DA1C48">
        <w:rPr>
          <w:lang w:val="es-ES"/>
        </w:rPr>
        <w:t>, simplemente Convención.</w:t>
      </w:r>
    </w:p>
  </w:footnote>
  <w:footnote w:id="3">
    <w:p w:rsidR="00320814" w:rsidRPr="00DA1C48" w:rsidRDefault="00320814">
      <w:pPr>
        <w:pStyle w:val="FootnoteText"/>
        <w:rPr>
          <w:szCs w:val="16"/>
          <w:lang w:val="es-ES"/>
        </w:rPr>
      </w:pPr>
      <w:r w:rsidRPr="00DA1C48">
        <w:rPr>
          <w:rStyle w:val="FootnoteReference"/>
          <w:szCs w:val="16"/>
          <w:lang w:val="es-ES"/>
        </w:rPr>
        <w:footnoteRef/>
      </w:r>
      <w:r w:rsidRPr="00DA1C48">
        <w:rPr>
          <w:szCs w:val="16"/>
          <w:vertAlign w:val="superscript"/>
          <w:lang w:val="es-ES"/>
        </w:rPr>
        <w:t>.</w:t>
      </w:r>
      <w:r w:rsidRPr="00DA1C48">
        <w:rPr>
          <w:szCs w:val="16"/>
          <w:lang w:val="es-ES"/>
        </w:rPr>
        <w:tab/>
      </w:r>
      <w:r w:rsidRPr="00DA1C48">
        <w:rPr>
          <w:lang w:val="es-ES"/>
        </w:rPr>
        <w:t xml:space="preserve">L. </w:t>
      </w:r>
      <w:proofErr w:type="spellStart"/>
      <w:r w:rsidRPr="00DA1C48">
        <w:rPr>
          <w:lang w:val="es-ES"/>
        </w:rPr>
        <w:t>Lowthorp</w:t>
      </w:r>
      <w:proofErr w:type="spellEnd"/>
      <w:r w:rsidRPr="00DA1C48">
        <w:rPr>
          <w:lang w:val="es-ES"/>
        </w:rPr>
        <w:t xml:space="preserve">, 2010, </w:t>
      </w:r>
      <w:proofErr w:type="spellStart"/>
      <w:r w:rsidRPr="00DA1C48">
        <w:rPr>
          <w:i/>
          <w:lang w:val="es-ES"/>
        </w:rPr>
        <w:t>National</w:t>
      </w:r>
      <w:proofErr w:type="spellEnd"/>
      <w:r w:rsidRPr="00DA1C48">
        <w:rPr>
          <w:i/>
          <w:lang w:val="es-ES"/>
        </w:rPr>
        <w:t xml:space="preserve"> Intangible Cultural </w:t>
      </w:r>
      <w:proofErr w:type="spellStart"/>
      <w:r w:rsidRPr="00DA1C48">
        <w:rPr>
          <w:i/>
          <w:lang w:val="es-ES"/>
        </w:rPr>
        <w:t>Heritage</w:t>
      </w:r>
      <w:proofErr w:type="spellEnd"/>
      <w:r w:rsidRPr="00DA1C48">
        <w:rPr>
          <w:i/>
          <w:lang w:val="es-ES"/>
        </w:rPr>
        <w:t xml:space="preserve"> (ICH) </w:t>
      </w:r>
      <w:proofErr w:type="spellStart"/>
      <w:r w:rsidRPr="00DA1C48">
        <w:rPr>
          <w:i/>
          <w:lang w:val="es-ES"/>
        </w:rPr>
        <w:t>Legislation</w:t>
      </w:r>
      <w:proofErr w:type="spellEnd"/>
      <w:r w:rsidRPr="00DA1C48">
        <w:rPr>
          <w:i/>
          <w:lang w:val="es-ES"/>
        </w:rPr>
        <w:t xml:space="preserve"> and </w:t>
      </w:r>
      <w:proofErr w:type="spellStart"/>
      <w:r w:rsidRPr="00DA1C48">
        <w:rPr>
          <w:i/>
          <w:lang w:val="es-ES"/>
        </w:rPr>
        <w:t>Initiatives</w:t>
      </w:r>
      <w:proofErr w:type="spellEnd"/>
      <w:r w:rsidRPr="00DA1C48">
        <w:rPr>
          <w:lang w:val="es-ES"/>
        </w:rPr>
        <w:t xml:space="preserve"> [El patrimonio cultural inmaterial (PCI) en el plano nacional – Legislación e iniciativas], Oficina de la UNESCO en Nueva Delhi</w:t>
      </w:r>
      <w:r w:rsidRPr="00DA1C48">
        <w:rPr>
          <w:szCs w:val="16"/>
          <w:lang w:val="es-ES"/>
        </w:rPr>
        <w:t>, págs. 23 y 24.</w:t>
      </w:r>
    </w:p>
  </w:footnote>
  <w:footnote w:id="4">
    <w:p w:rsidR="00320814" w:rsidRPr="00DA1C48" w:rsidRDefault="00320814" w:rsidP="004936EF">
      <w:pPr>
        <w:pStyle w:val="FootnoteText"/>
        <w:rPr>
          <w:rFonts w:eastAsia="Calibri" w:cs="Times New Roman"/>
          <w:lang w:val="es-ES"/>
        </w:rPr>
      </w:pPr>
      <w:r w:rsidRPr="00DA1C48">
        <w:rPr>
          <w:rStyle w:val="FootnoteReference"/>
          <w:szCs w:val="16"/>
          <w:lang w:val="es-ES"/>
        </w:rPr>
        <w:footnoteRef/>
      </w:r>
      <w:r w:rsidRPr="00DA1C48">
        <w:rPr>
          <w:rFonts w:eastAsia="Calibri" w:cs="Times New Roman"/>
          <w:szCs w:val="16"/>
          <w:vertAlign w:val="superscript"/>
          <w:lang w:val="es-ES"/>
        </w:rPr>
        <w:t>..</w:t>
      </w:r>
      <w:r w:rsidR="003A291A" w:rsidRPr="00DA1C48">
        <w:rPr>
          <w:rFonts w:eastAsia="Calibri" w:cs="Times New Roman"/>
          <w:lang w:val="es-ES"/>
        </w:rPr>
        <w:tab/>
        <w:t xml:space="preserve">W. B. </w:t>
      </w:r>
      <w:proofErr w:type="spellStart"/>
      <w:r w:rsidR="003A291A" w:rsidRPr="00DA1C48">
        <w:rPr>
          <w:rFonts w:eastAsia="Calibri" w:cs="Times New Roman"/>
          <w:lang w:val="es-ES"/>
        </w:rPr>
        <w:t>Wendland</w:t>
      </w:r>
      <w:proofErr w:type="spellEnd"/>
      <w:r w:rsidR="003A291A" w:rsidRPr="00DA1C48">
        <w:rPr>
          <w:rFonts w:eastAsia="Calibri" w:cs="Times New Roman"/>
          <w:lang w:val="es-ES"/>
        </w:rPr>
        <w:t>, 2006, “</w:t>
      </w:r>
      <w:proofErr w:type="spellStart"/>
      <w:r w:rsidRPr="00DA1C48">
        <w:rPr>
          <w:rFonts w:eastAsia="Calibri" w:cs="Times New Roman"/>
          <w:lang w:val="es-ES"/>
        </w:rPr>
        <w:t>Intellectual</w:t>
      </w:r>
      <w:proofErr w:type="spellEnd"/>
      <w:r w:rsidRPr="00DA1C48">
        <w:rPr>
          <w:rFonts w:eastAsia="Calibri" w:cs="Times New Roman"/>
          <w:lang w:val="es-ES"/>
        </w:rPr>
        <w:t xml:space="preserve"> </w:t>
      </w:r>
      <w:proofErr w:type="spellStart"/>
      <w:r w:rsidRPr="00DA1C48">
        <w:rPr>
          <w:rFonts w:eastAsia="Calibri" w:cs="Times New Roman"/>
          <w:lang w:val="es-ES"/>
        </w:rPr>
        <w:t>Property</w:t>
      </w:r>
      <w:proofErr w:type="spellEnd"/>
      <w:r w:rsidRPr="00DA1C48">
        <w:rPr>
          <w:rFonts w:eastAsia="Calibri" w:cs="Times New Roman"/>
          <w:lang w:val="es-ES"/>
        </w:rPr>
        <w:t xml:space="preserve"> and </w:t>
      </w:r>
      <w:proofErr w:type="spellStart"/>
      <w:r w:rsidRPr="00DA1C48">
        <w:rPr>
          <w:rFonts w:eastAsia="Calibri" w:cs="Times New Roman"/>
          <w:lang w:val="es-ES"/>
        </w:rPr>
        <w:t>the</w:t>
      </w:r>
      <w:proofErr w:type="spellEnd"/>
      <w:r w:rsidRPr="00DA1C48">
        <w:rPr>
          <w:rFonts w:eastAsia="Calibri" w:cs="Times New Roman"/>
          <w:lang w:val="es-ES"/>
        </w:rPr>
        <w:t xml:space="preserve"> </w:t>
      </w:r>
      <w:proofErr w:type="spellStart"/>
      <w:r w:rsidRPr="00DA1C48">
        <w:rPr>
          <w:rFonts w:eastAsia="Calibri" w:cs="Times New Roman"/>
          <w:lang w:val="es-ES"/>
        </w:rPr>
        <w:t>Protection</w:t>
      </w:r>
      <w:proofErr w:type="spellEnd"/>
      <w:r w:rsidRPr="00DA1C48">
        <w:rPr>
          <w:rFonts w:eastAsia="Calibri" w:cs="Times New Roman"/>
          <w:lang w:val="es-ES"/>
        </w:rPr>
        <w:t xml:space="preserve"> of </w:t>
      </w:r>
      <w:proofErr w:type="spellStart"/>
      <w:r w:rsidRPr="00DA1C48">
        <w:rPr>
          <w:rFonts w:eastAsia="Calibri" w:cs="Times New Roman"/>
          <w:lang w:val="es-ES"/>
        </w:rPr>
        <w:t>Traditional</w:t>
      </w:r>
      <w:proofErr w:type="spellEnd"/>
      <w:r w:rsidRPr="00DA1C48">
        <w:rPr>
          <w:rFonts w:eastAsia="Calibri" w:cs="Times New Roman"/>
          <w:lang w:val="es-ES"/>
        </w:rPr>
        <w:t xml:space="preserve"> </w:t>
      </w:r>
      <w:proofErr w:type="spellStart"/>
      <w:r w:rsidRPr="00DA1C48">
        <w:rPr>
          <w:rFonts w:eastAsia="Calibri" w:cs="Times New Roman"/>
          <w:lang w:val="es-ES"/>
        </w:rPr>
        <w:t>Knowledge</w:t>
      </w:r>
      <w:proofErr w:type="spellEnd"/>
      <w:r w:rsidRPr="00DA1C48">
        <w:rPr>
          <w:rFonts w:eastAsia="Calibri" w:cs="Times New Roman"/>
          <w:lang w:val="es-ES"/>
        </w:rPr>
        <w:t xml:space="preserve"> and Cultural </w:t>
      </w:r>
      <w:proofErr w:type="spellStart"/>
      <w:r w:rsidRPr="00DA1C48">
        <w:rPr>
          <w:rFonts w:eastAsia="Calibri" w:cs="Times New Roman"/>
          <w:lang w:val="es-ES"/>
        </w:rPr>
        <w:t>Expressions</w:t>
      </w:r>
      <w:proofErr w:type="spellEnd"/>
      <w:r w:rsidR="003A291A" w:rsidRPr="00DA1C48">
        <w:rPr>
          <w:rFonts w:eastAsia="Calibri" w:cs="Times New Roman"/>
          <w:lang w:val="es-ES"/>
        </w:rPr>
        <w:t>” [Propiedad intelectual y protección de los conocimientos tradicionales y expresiones culturales], e</w:t>
      </w:r>
      <w:r w:rsidRPr="00DA1C48">
        <w:rPr>
          <w:rFonts w:eastAsia="Calibri" w:cs="Times New Roman"/>
          <w:lang w:val="es-ES"/>
        </w:rPr>
        <w:t>n B. T. Hoffman (</w:t>
      </w:r>
      <w:r w:rsidR="003A291A" w:rsidRPr="00DA1C48">
        <w:rPr>
          <w:rFonts w:eastAsia="Calibri" w:cs="Times New Roman"/>
          <w:lang w:val="es-ES"/>
        </w:rPr>
        <w:t>compilador</w:t>
      </w:r>
      <w:r w:rsidRPr="00DA1C48">
        <w:rPr>
          <w:rFonts w:eastAsia="Calibri" w:cs="Times New Roman"/>
          <w:lang w:val="es-ES"/>
        </w:rPr>
        <w:t xml:space="preserve">), </w:t>
      </w:r>
      <w:r w:rsidRPr="00DA1C48">
        <w:rPr>
          <w:rFonts w:eastAsia="Calibri" w:cs="Times New Roman"/>
          <w:i/>
          <w:lang w:val="es-ES"/>
        </w:rPr>
        <w:t xml:space="preserve">Art and Cultural </w:t>
      </w:r>
      <w:proofErr w:type="spellStart"/>
      <w:r w:rsidRPr="00DA1C48">
        <w:rPr>
          <w:rFonts w:eastAsia="Calibri" w:cs="Times New Roman"/>
          <w:i/>
          <w:lang w:val="es-ES"/>
        </w:rPr>
        <w:t>Heritage</w:t>
      </w:r>
      <w:proofErr w:type="spellEnd"/>
      <w:r w:rsidRPr="00DA1C48">
        <w:rPr>
          <w:rFonts w:eastAsia="Calibri" w:cs="Times New Roman"/>
          <w:i/>
          <w:lang w:val="es-ES"/>
        </w:rPr>
        <w:t xml:space="preserve">: </w:t>
      </w:r>
      <w:proofErr w:type="spellStart"/>
      <w:r w:rsidRPr="00DA1C48">
        <w:rPr>
          <w:rFonts w:eastAsia="Calibri" w:cs="Times New Roman"/>
          <w:i/>
          <w:lang w:val="es-ES"/>
        </w:rPr>
        <w:t>Law</w:t>
      </w:r>
      <w:proofErr w:type="spellEnd"/>
      <w:r w:rsidRPr="00DA1C48">
        <w:rPr>
          <w:rFonts w:eastAsia="Calibri" w:cs="Times New Roman"/>
          <w:i/>
          <w:lang w:val="es-ES"/>
        </w:rPr>
        <w:t xml:space="preserve">, </w:t>
      </w:r>
      <w:proofErr w:type="spellStart"/>
      <w:r w:rsidRPr="00DA1C48">
        <w:rPr>
          <w:rFonts w:eastAsia="Calibri" w:cs="Times New Roman"/>
          <w:i/>
          <w:lang w:val="es-ES"/>
        </w:rPr>
        <w:t>Policy</w:t>
      </w:r>
      <w:proofErr w:type="spellEnd"/>
      <w:r w:rsidRPr="00DA1C48">
        <w:rPr>
          <w:rFonts w:eastAsia="Calibri" w:cs="Times New Roman"/>
          <w:i/>
          <w:lang w:val="es-ES"/>
        </w:rPr>
        <w:t xml:space="preserve">, and </w:t>
      </w:r>
      <w:proofErr w:type="spellStart"/>
      <w:r w:rsidRPr="00DA1C48">
        <w:rPr>
          <w:rFonts w:eastAsia="Calibri" w:cs="Times New Roman"/>
          <w:i/>
          <w:lang w:val="es-ES"/>
        </w:rPr>
        <w:t>Practice</w:t>
      </w:r>
      <w:proofErr w:type="spellEnd"/>
      <w:r w:rsidRPr="00DA1C48">
        <w:rPr>
          <w:rFonts w:eastAsia="Calibri" w:cs="Times New Roman"/>
          <w:lang w:val="es-ES"/>
        </w:rPr>
        <w:t>,</w:t>
      </w:r>
      <w:r w:rsidR="001D22F0" w:rsidRPr="00DA1C48">
        <w:rPr>
          <w:rFonts w:eastAsia="Calibri" w:cs="Times New Roman"/>
          <w:lang w:val="es-ES"/>
        </w:rPr>
        <w:t xml:space="preserve"> </w:t>
      </w:r>
      <w:r w:rsidRPr="00DA1C48">
        <w:rPr>
          <w:rStyle w:val="st1"/>
          <w:rFonts w:eastAsia="Calibri" w:cs="Times New Roman"/>
          <w:color w:val="222222"/>
          <w:lang w:val="es-ES"/>
        </w:rPr>
        <w:t xml:space="preserve">Cambridge, </w:t>
      </w:r>
      <w:r w:rsidR="00903865" w:rsidRPr="00DA1C48">
        <w:rPr>
          <w:rStyle w:val="st1"/>
          <w:rFonts w:eastAsia="Calibri" w:cs="Times New Roman"/>
          <w:color w:val="222222"/>
          <w:lang w:val="es-ES"/>
        </w:rPr>
        <w:t xml:space="preserve">Universidad de </w:t>
      </w:r>
      <w:r w:rsidRPr="00DA1C48">
        <w:rPr>
          <w:rStyle w:val="st1"/>
          <w:rFonts w:eastAsia="Calibri" w:cs="Times New Roman"/>
          <w:color w:val="222222"/>
          <w:lang w:val="es-ES"/>
        </w:rPr>
        <w:t>Cambridge,</w:t>
      </w:r>
      <w:r w:rsidRPr="00DA1C48">
        <w:rPr>
          <w:rFonts w:eastAsia="Calibri" w:cs="Times New Roman"/>
          <w:lang w:val="es-ES"/>
        </w:rPr>
        <w:t xml:space="preserve"> p</w:t>
      </w:r>
      <w:r w:rsidR="003A291A" w:rsidRPr="00DA1C48">
        <w:rPr>
          <w:rFonts w:eastAsia="Calibri" w:cs="Times New Roman"/>
          <w:lang w:val="es-ES"/>
        </w:rPr>
        <w:t>ág</w:t>
      </w:r>
      <w:r w:rsidRPr="00DA1C48">
        <w:rPr>
          <w:rFonts w:eastAsia="Calibri" w:cs="Times New Roman"/>
          <w:lang w:val="es-ES"/>
        </w:rPr>
        <w:t xml:space="preserve">. 333. </w:t>
      </w:r>
    </w:p>
  </w:footnote>
  <w:footnote w:id="5">
    <w:p w:rsidR="003F443B" w:rsidRPr="0096197E" w:rsidRDefault="003F443B" w:rsidP="003F443B">
      <w:pPr>
        <w:pStyle w:val="FootnoteText"/>
        <w:spacing w:before="60"/>
        <w:rPr>
          <w:lang w:val="es-ES_tradnl"/>
        </w:rPr>
      </w:pPr>
      <w:r w:rsidRPr="00DA1C48">
        <w:rPr>
          <w:rStyle w:val="FootnoteReference"/>
          <w:lang w:val="es-ES"/>
        </w:rPr>
        <w:footnoteRef/>
      </w:r>
      <w:r w:rsidRPr="0096197E">
        <w:rPr>
          <w:lang w:val="es-ES_tradnl"/>
        </w:rPr>
        <w:t xml:space="preserve"> </w:t>
      </w:r>
      <w:r w:rsidR="00107999" w:rsidRPr="0096197E">
        <w:rPr>
          <w:lang w:val="es-ES_tradnl"/>
        </w:rPr>
        <w:tab/>
      </w:r>
      <w:r w:rsidR="0096197E" w:rsidRPr="00DA1C48">
        <w:rPr>
          <w:lang w:val="es-ES"/>
        </w:rPr>
        <w:t xml:space="preserve">L. </w:t>
      </w:r>
      <w:proofErr w:type="spellStart"/>
      <w:r w:rsidR="0096197E" w:rsidRPr="00DA1C48">
        <w:rPr>
          <w:lang w:val="es-ES"/>
        </w:rPr>
        <w:t>Lowthorp</w:t>
      </w:r>
      <w:proofErr w:type="spellEnd"/>
      <w:r w:rsidR="0096197E" w:rsidRPr="00DA1C48">
        <w:rPr>
          <w:lang w:val="es-ES"/>
        </w:rPr>
        <w:t xml:space="preserve">, 2010, </w:t>
      </w:r>
      <w:proofErr w:type="spellStart"/>
      <w:r w:rsidR="0096197E" w:rsidRPr="00DA1C48">
        <w:rPr>
          <w:i/>
          <w:lang w:val="es-ES"/>
        </w:rPr>
        <w:t>National</w:t>
      </w:r>
      <w:proofErr w:type="spellEnd"/>
      <w:r w:rsidR="0096197E" w:rsidRPr="00DA1C48">
        <w:rPr>
          <w:i/>
          <w:lang w:val="es-ES"/>
        </w:rPr>
        <w:t xml:space="preserve"> Intangible Cultural </w:t>
      </w:r>
      <w:proofErr w:type="spellStart"/>
      <w:r w:rsidR="0096197E" w:rsidRPr="00DA1C48">
        <w:rPr>
          <w:i/>
          <w:lang w:val="es-ES"/>
        </w:rPr>
        <w:t>Heritage</w:t>
      </w:r>
      <w:proofErr w:type="spellEnd"/>
      <w:r w:rsidR="0096197E" w:rsidRPr="00DA1C48">
        <w:rPr>
          <w:i/>
          <w:lang w:val="es-ES"/>
        </w:rPr>
        <w:t xml:space="preserve"> (ICH) </w:t>
      </w:r>
      <w:proofErr w:type="spellStart"/>
      <w:r w:rsidR="0096197E" w:rsidRPr="00DA1C48">
        <w:rPr>
          <w:i/>
          <w:lang w:val="es-ES"/>
        </w:rPr>
        <w:t>Legislation</w:t>
      </w:r>
      <w:proofErr w:type="spellEnd"/>
      <w:r w:rsidR="0096197E" w:rsidRPr="00DA1C48">
        <w:rPr>
          <w:i/>
          <w:lang w:val="es-ES"/>
        </w:rPr>
        <w:t xml:space="preserve"> and </w:t>
      </w:r>
      <w:proofErr w:type="spellStart"/>
      <w:r w:rsidR="0096197E" w:rsidRPr="00DA1C48">
        <w:rPr>
          <w:i/>
          <w:lang w:val="es-ES"/>
        </w:rPr>
        <w:t>Initiatives</w:t>
      </w:r>
      <w:proofErr w:type="spellEnd"/>
      <w:r w:rsidR="0096197E" w:rsidRPr="00DA1C48">
        <w:rPr>
          <w:lang w:val="es-ES"/>
        </w:rPr>
        <w:t xml:space="preserve"> [El patrimonio cultural inmaterial (PCI) en el plano nacional – Legislación e iniciativas], Oficina de la UNESCO en Nueva Delhi</w:t>
      </w:r>
      <w:r w:rsidR="0096197E">
        <w:rPr>
          <w:szCs w:val="16"/>
          <w:lang w:val="es-ES"/>
        </w:rPr>
        <w:t>, pág</w:t>
      </w:r>
      <w:r w:rsidR="0096197E" w:rsidRPr="00DA1C48">
        <w:rPr>
          <w:szCs w:val="16"/>
          <w:lang w:val="es-ES"/>
        </w:rPr>
        <w:t xml:space="preserve">. </w:t>
      </w:r>
      <w:r w:rsidR="0096197E">
        <w:rPr>
          <w:szCs w:val="16"/>
          <w:lang w:val="es-ES"/>
        </w:rPr>
        <w:t>11</w:t>
      </w:r>
      <w:r w:rsidR="0096197E" w:rsidRPr="00DA1C48">
        <w:rPr>
          <w:szCs w:val="16"/>
          <w:lang w:val="es-ES"/>
        </w:rPr>
        <w:t>.</w:t>
      </w:r>
    </w:p>
  </w:footnote>
  <w:footnote w:id="6">
    <w:p w:rsidR="00320814" w:rsidRPr="006B47AC" w:rsidRDefault="00320814" w:rsidP="00287162">
      <w:pPr>
        <w:pStyle w:val="FootnoteText"/>
      </w:pPr>
      <w:r w:rsidRPr="00DA1C48">
        <w:rPr>
          <w:rStyle w:val="FootnoteReference"/>
          <w:szCs w:val="16"/>
          <w:lang w:val="es-ES"/>
        </w:rPr>
        <w:footnoteRef/>
      </w:r>
      <w:r w:rsidRPr="006B47AC">
        <w:rPr>
          <w:szCs w:val="16"/>
          <w:vertAlign w:val="superscript"/>
        </w:rPr>
        <w:t>.</w:t>
      </w:r>
      <w:r w:rsidRPr="006B47AC">
        <w:rPr>
          <w:szCs w:val="16"/>
          <w:vertAlign w:val="superscript"/>
        </w:rPr>
        <w:tab/>
      </w:r>
      <w:r w:rsidRPr="006B47AC">
        <w:t>R. Burchill</w:t>
      </w:r>
      <w:r w:rsidR="00E13633" w:rsidRPr="006B47AC">
        <w:t>, “Pacific Islands Forum (PIF)</w:t>
      </w:r>
      <w:r w:rsidR="00DA1C48" w:rsidRPr="006B47AC">
        <w:t>” [</w:t>
      </w:r>
      <w:proofErr w:type="spellStart"/>
      <w:r w:rsidR="00DA1C48" w:rsidRPr="006B47AC">
        <w:t>Foro</w:t>
      </w:r>
      <w:proofErr w:type="spellEnd"/>
      <w:r w:rsidR="00DA1C48" w:rsidRPr="006B47AC">
        <w:t xml:space="preserve"> de </w:t>
      </w:r>
      <w:proofErr w:type="spellStart"/>
      <w:r w:rsidR="00DA1C48" w:rsidRPr="006B47AC">
        <w:t>las</w:t>
      </w:r>
      <w:proofErr w:type="spellEnd"/>
      <w:r w:rsidR="00DA1C48" w:rsidRPr="006B47AC">
        <w:t xml:space="preserve"> I</w:t>
      </w:r>
      <w:r w:rsidR="00E13633" w:rsidRPr="006B47AC">
        <w:t xml:space="preserve">slas </w:t>
      </w:r>
      <w:proofErr w:type="gramStart"/>
      <w:r w:rsidR="00E13633" w:rsidRPr="006B47AC">
        <w:t>del</w:t>
      </w:r>
      <w:proofErr w:type="gramEnd"/>
      <w:r w:rsidR="00E13633" w:rsidRPr="006B47AC">
        <w:t xml:space="preserve"> </w:t>
      </w:r>
      <w:proofErr w:type="spellStart"/>
      <w:r w:rsidR="00E13633" w:rsidRPr="006B47AC">
        <w:t>Pacífico</w:t>
      </w:r>
      <w:proofErr w:type="spellEnd"/>
      <w:r w:rsidR="00903865" w:rsidRPr="006B47AC">
        <w:t xml:space="preserve"> (PIF)</w:t>
      </w:r>
      <w:r w:rsidR="00E13633" w:rsidRPr="006B47AC">
        <w:t xml:space="preserve">], </w:t>
      </w:r>
      <w:proofErr w:type="spellStart"/>
      <w:r w:rsidR="00E13633" w:rsidRPr="006B47AC">
        <w:t>en</w:t>
      </w:r>
      <w:proofErr w:type="spellEnd"/>
      <w:r w:rsidRPr="006B47AC">
        <w:t xml:space="preserve"> </w:t>
      </w:r>
      <w:r w:rsidR="00E13633" w:rsidRPr="006B47AC">
        <w:rPr>
          <w:i/>
        </w:rPr>
        <w:t>Reports on international organizations</w:t>
      </w:r>
      <w:r w:rsidR="00E13633" w:rsidRPr="006B47AC">
        <w:t>, American Society of International Law</w:t>
      </w:r>
      <w:r w:rsidRPr="006B47AC">
        <w:t>.</w:t>
      </w:r>
    </w:p>
  </w:footnote>
  <w:footnote w:id="7">
    <w:p w:rsidR="00320814" w:rsidRPr="00DA1C48" w:rsidRDefault="00320814" w:rsidP="004936EF">
      <w:pPr>
        <w:pStyle w:val="FootnoteText"/>
        <w:rPr>
          <w:lang w:val="es-ES"/>
        </w:rPr>
      </w:pPr>
      <w:r w:rsidRPr="00DA1C48">
        <w:rPr>
          <w:rStyle w:val="FootnoteReference"/>
          <w:szCs w:val="16"/>
          <w:lang w:val="es-ES"/>
        </w:rPr>
        <w:footnoteRef/>
      </w:r>
      <w:r w:rsidRPr="00DA1C48">
        <w:rPr>
          <w:szCs w:val="16"/>
          <w:vertAlign w:val="superscript"/>
          <w:lang w:val="es-ES"/>
        </w:rPr>
        <w:t>.</w:t>
      </w:r>
      <w:r w:rsidRPr="00DA1C48">
        <w:rPr>
          <w:szCs w:val="16"/>
          <w:vertAlign w:val="superscript"/>
          <w:lang w:val="es-ES"/>
        </w:rPr>
        <w:tab/>
      </w:r>
      <w:r w:rsidR="00E13633" w:rsidRPr="00DA1C48">
        <w:rPr>
          <w:szCs w:val="16"/>
          <w:vertAlign w:val="superscript"/>
          <w:lang w:val="es-ES"/>
        </w:rPr>
        <w:t>“</w:t>
      </w:r>
      <w:proofErr w:type="spellStart"/>
      <w:r w:rsidRPr="00DA1C48">
        <w:rPr>
          <w:lang w:val="es-ES"/>
        </w:rPr>
        <w:t>Swakopmund</w:t>
      </w:r>
      <w:proofErr w:type="spellEnd"/>
      <w:r w:rsidRPr="00DA1C48">
        <w:rPr>
          <w:lang w:val="es-ES"/>
        </w:rPr>
        <w:t xml:space="preserve"> </w:t>
      </w:r>
      <w:proofErr w:type="spellStart"/>
      <w:r w:rsidR="00E13633" w:rsidRPr="00DA1C48">
        <w:rPr>
          <w:lang w:val="es-ES"/>
        </w:rPr>
        <w:t>Protocol</w:t>
      </w:r>
      <w:proofErr w:type="spellEnd"/>
      <w:r w:rsidR="00E13633" w:rsidRPr="00DA1C48">
        <w:rPr>
          <w:lang w:val="es-ES"/>
        </w:rPr>
        <w:t xml:space="preserve"> </w:t>
      </w:r>
      <w:proofErr w:type="spellStart"/>
      <w:r w:rsidR="00E13633" w:rsidRPr="00DA1C48">
        <w:rPr>
          <w:lang w:val="es-ES"/>
        </w:rPr>
        <w:t>on</w:t>
      </w:r>
      <w:proofErr w:type="spellEnd"/>
      <w:r w:rsidR="00E13633" w:rsidRPr="00DA1C48">
        <w:rPr>
          <w:lang w:val="es-ES"/>
        </w:rPr>
        <w:t xml:space="preserve"> TK </w:t>
      </w:r>
      <w:proofErr w:type="spellStart"/>
      <w:r w:rsidR="00E13633" w:rsidRPr="00016F0E">
        <w:rPr>
          <w:u w:val="single"/>
          <w:lang w:val="es-ES"/>
        </w:rPr>
        <w:t>available</w:t>
      </w:r>
      <w:proofErr w:type="spellEnd"/>
      <w:r w:rsidR="00E13633" w:rsidRPr="00016F0E">
        <w:rPr>
          <w:u w:val="single"/>
          <w:lang w:val="es-ES"/>
        </w:rPr>
        <w:t xml:space="preserve"> online” [El Protocolo de </w:t>
      </w:r>
      <w:proofErr w:type="spellStart"/>
      <w:r w:rsidR="00E13633" w:rsidRPr="00016F0E">
        <w:rPr>
          <w:u w:val="single"/>
          <w:lang w:val="es-ES"/>
        </w:rPr>
        <w:t>Swakopmund</w:t>
      </w:r>
      <w:proofErr w:type="spellEnd"/>
      <w:r w:rsidR="00E13633" w:rsidRPr="00016F0E">
        <w:rPr>
          <w:u w:val="single"/>
          <w:lang w:val="es-ES"/>
        </w:rPr>
        <w:t xml:space="preserve"> sobre conocimientos tradicionales disponible en línea]</w:t>
      </w:r>
      <w:r w:rsidRPr="00016F0E">
        <w:rPr>
          <w:u w:val="single"/>
          <w:lang w:val="es-ES"/>
        </w:rPr>
        <w:t xml:space="preserve">, </w:t>
      </w:r>
      <w:r w:rsidR="00E13633" w:rsidRPr="00016F0E">
        <w:rPr>
          <w:u w:val="single"/>
          <w:lang w:val="es-ES"/>
        </w:rPr>
        <w:t xml:space="preserve">en </w:t>
      </w:r>
      <w:r w:rsidRPr="00016F0E">
        <w:rPr>
          <w:i/>
          <w:u w:val="single"/>
          <w:lang w:val="es-ES"/>
        </w:rPr>
        <w:t xml:space="preserve">TK </w:t>
      </w:r>
      <w:proofErr w:type="spellStart"/>
      <w:r w:rsidRPr="00016F0E">
        <w:rPr>
          <w:i/>
          <w:u w:val="single"/>
          <w:lang w:val="es-ES"/>
        </w:rPr>
        <w:t>Bulletin</w:t>
      </w:r>
      <w:proofErr w:type="spellEnd"/>
      <w:r w:rsidRPr="00016F0E">
        <w:rPr>
          <w:u w:val="single"/>
          <w:lang w:val="es-ES"/>
        </w:rPr>
        <w:t xml:space="preserve">: </w:t>
      </w:r>
      <w:r w:rsidR="00027FE1">
        <w:fldChar w:fldCharType="begin"/>
      </w:r>
      <w:r w:rsidR="00027FE1" w:rsidRPr="00027FE1">
        <w:rPr>
          <w:lang w:val="fr-FR"/>
        </w:rPr>
        <w:instrText xml:space="preserve"> HYPERLINK "http://tkbulletin.wordpress.com/2010/09/15/this-week-in-review-%E2%80%A6-swakopmund-protocol-on-tk-available-online/" </w:instrText>
      </w:r>
      <w:r w:rsidR="00027FE1">
        <w:fldChar w:fldCharType="separate"/>
      </w:r>
      <w:r w:rsidR="00E13633" w:rsidRPr="00016F0E">
        <w:rPr>
          <w:rStyle w:val="Hyperlink"/>
          <w:lang w:val="es-ES"/>
        </w:rPr>
        <w:t>http://tkbulletin.wordpress.com/2010/09/15/this-week-in-review-%E2%80%A6-swakopmund-protocol-on-tk-available-online/</w:t>
      </w:r>
      <w:r w:rsidR="00027FE1">
        <w:rPr>
          <w:rStyle w:val="Hyperlink"/>
          <w:lang w:val="es-ES"/>
        </w:rPr>
        <w:fldChar w:fldCharType="end"/>
      </w:r>
    </w:p>
    <w:p w:rsidR="00E13633" w:rsidRPr="00DA1C48" w:rsidRDefault="00E13633" w:rsidP="004936EF">
      <w:pPr>
        <w:pStyle w:val="FootnoteText"/>
        <w:rPr>
          <w:b/>
          <w:bCs/>
          <w:lang w:val="es-ES"/>
        </w:rPr>
      </w:pPr>
    </w:p>
  </w:footnote>
  <w:footnote w:id="8">
    <w:p w:rsidR="0082556A" w:rsidRPr="00786BA9" w:rsidRDefault="0082556A" w:rsidP="0082556A">
      <w:pPr>
        <w:pStyle w:val="NoSpacing1"/>
        <w:spacing w:before="0" w:after="0"/>
        <w:ind w:left="284" w:hanging="284"/>
        <w:jc w:val="both"/>
        <w:rPr>
          <w:rFonts w:cs="Arial"/>
          <w:sz w:val="16"/>
          <w:szCs w:val="16"/>
          <w:lang w:val="es-ES"/>
        </w:rPr>
      </w:pPr>
      <w:r w:rsidRPr="00DA1C48">
        <w:rPr>
          <w:rStyle w:val="FootnoteReference"/>
          <w:sz w:val="16"/>
          <w:szCs w:val="16"/>
          <w:lang w:val="es-ES"/>
        </w:rPr>
        <w:footnoteRef/>
      </w:r>
      <w:r w:rsidRPr="00DA1C48">
        <w:rPr>
          <w:sz w:val="16"/>
          <w:szCs w:val="16"/>
          <w:vertAlign w:val="superscript"/>
          <w:lang w:val="es-ES"/>
        </w:rPr>
        <w:t>.</w:t>
      </w:r>
      <w:r w:rsidRPr="00DA1C48">
        <w:rPr>
          <w:sz w:val="16"/>
          <w:szCs w:val="16"/>
          <w:vertAlign w:val="superscript"/>
          <w:lang w:val="es-ES"/>
        </w:rPr>
        <w:tab/>
      </w:r>
      <w:r w:rsidRPr="00786BA9">
        <w:rPr>
          <w:rFonts w:cs="Arial"/>
          <w:sz w:val="16"/>
          <w:szCs w:val="16"/>
          <w:lang w:val="es-ES"/>
        </w:rPr>
        <w:t>Comisión de la Comunidad Andina, Artículo 136.g</w:t>
      </w:r>
      <w:r w:rsidRPr="00786BA9">
        <w:rPr>
          <w:rFonts w:cs="Arial"/>
          <w:i/>
          <w:sz w:val="16"/>
          <w:szCs w:val="16"/>
          <w:lang w:val="es-ES"/>
        </w:rPr>
        <w:t xml:space="preserve"> </w:t>
      </w:r>
      <w:r w:rsidRPr="00786BA9">
        <w:rPr>
          <w:rFonts w:cs="Arial"/>
          <w:sz w:val="16"/>
          <w:szCs w:val="16"/>
          <w:lang w:val="es-ES"/>
        </w:rPr>
        <w:t>de la</w:t>
      </w:r>
      <w:r w:rsidRPr="00786BA9">
        <w:rPr>
          <w:rFonts w:cs="Arial"/>
          <w:i/>
          <w:sz w:val="16"/>
          <w:szCs w:val="16"/>
          <w:lang w:val="es-ES"/>
        </w:rPr>
        <w:t xml:space="preserve"> Decisión 486 relativa al Régimen Común sobre Propiedad Industrial</w:t>
      </w:r>
      <w:r w:rsidRPr="00786BA9">
        <w:rPr>
          <w:rFonts w:cs="Arial"/>
          <w:sz w:val="16"/>
          <w:szCs w:val="16"/>
          <w:lang w:val="es-ES"/>
        </w:rPr>
        <w:t>, adoptada el 14 de septiembre de 2000 en Lima (Perú):</w:t>
      </w:r>
    </w:p>
    <w:p w:rsidR="0082556A" w:rsidRPr="00786BA9" w:rsidRDefault="00027FE1" w:rsidP="0082556A">
      <w:pPr>
        <w:pStyle w:val="NoSpacing1"/>
        <w:spacing w:before="0" w:after="0"/>
        <w:ind w:firstLine="284"/>
        <w:jc w:val="both"/>
        <w:rPr>
          <w:rFonts w:cs="Arial"/>
          <w:sz w:val="16"/>
          <w:szCs w:val="16"/>
          <w:lang w:val="es-ES"/>
        </w:rPr>
      </w:pPr>
      <w:r>
        <w:fldChar w:fldCharType="begin"/>
      </w:r>
      <w:r w:rsidRPr="00027FE1">
        <w:rPr>
          <w:lang w:val="es-ES"/>
        </w:rPr>
        <w:instrText xml:space="preserve"> HYPERLINK "http://www.wipo.int/edocs/lexdocs/laws/es/can/can012es.pdf" </w:instrText>
      </w:r>
      <w:r>
        <w:fldChar w:fldCharType="separate"/>
      </w:r>
      <w:r w:rsidR="0082556A" w:rsidRPr="00786BA9">
        <w:rPr>
          <w:rStyle w:val="Hyperlink"/>
          <w:rFonts w:cs="Arial"/>
          <w:color w:val="auto"/>
          <w:sz w:val="16"/>
          <w:szCs w:val="16"/>
          <w:lang w:val="es-ES"/>
        </w:rPr>
        <w:t>http://www.wipo.int/edocs/lexdocs/laws/es/can/can012es.pdf</w:t>
      </w:r>
      <w:r>
        <w:rPr>
          <w:rStyle w:val="Hyperlink"/>
          <w:rFonts w:cs="Arial"/>
          <w:color w:val="auto"/>
          <w:sz w:val="16"/>
          <w:szCs w:val="16"/>
          <w:lang w:val="es-ES"/>
        </w:rPr>
        <w:fldChar w:fldCharType="end"/>
      </w:r>
    </w:p>
    <w:p w:rsidR="0082556A" w:rsidRPr="00DA1C48" w:rsidRDefault="0082556A" w:rsidP="0082556A">
      <w:pPr>
        <w:pStyle w:val="FootnoteText"/>
        <w:spacing w:after="0" w:line="240" w:lineRule="auto"/>
        <w:ind w:firstLine="0"/>
        <w:rPr>
          <w:szCs w:val="16"/>
          <w:lang w:val="es-ES"/>
        </w:rPr>
      </w:pPr>
      <w:r w:rsidRPr="00786BA9">
        <w:rPr>
          <w:szCs w:val="16"/>
          <w:lang w:val="es-ES"/>
        </w:rPr>
        <w:t xml:space="preserve">Este </w:t>
      </w:r>
      <w:r w:rsidR="00016F0E" w:rsidRPr="00786BA9">
        <w:rPr>
          <w:szCs w:val="16"/>
          <w:lang w:val="es-ES"/>
        </w:rPr>
        <w:t>A</w:t>
      </w:r>
      <w:r w:rsidRPr="00786BA9">
        <w:rPr>
          <w:szCs w:val="16"/>
          <w:lang w:val="es-ES"/>
        </w:rPr>
        <w:t xml:space="preserve">rtículo fue reproducido en el documento titulado “Información sobre las experiencias nacionales en materia de protección de la propiedad intelectual sobre los conocimientos tradicionales” (págs. 5-7), que el Comité Intergubernamental de la OMPI </w:t>
      </w:r>
      <w:r w:rsidRPr="00786BA9">
        <w:rPr>
          <w:rStyle w:val="st1"/>
          <w:szCs w:val="16"/>
          <w:lang w:val="es-ES"/>
        </w:rPr>
        <w:t xml:space="preserve">sobre </w:t>
      </w:r>
      <w:r w:rsidRPr="00786BA9">
        <w:rPr>
          <w:rStyle w:val="Emphasis"/>
          <w:i w:val="0"/>
          <w:szCs w:val="16"/>
          <w:lang w:val="es-ES"/>
        </w:rPr>
        <w:t>Propiedad Intelectual</w:t>
      </w:r>
      <w:r w:rsidRPr="00786BA9">
        <w:rPr>
          <w:rStyle w:val="st1"/>
          <w:i/>
          <w:szCs w:val="16"/>
          <w:lang w:val="es-ES"/>
        </w:rPr>
        <w:t xml:space="preserve"> y </w:t>
      </w:r>
      <w:r w:rsidRPr="00786BA9">
        <w:rPr>
          <w:rStyle w:val="Emphasis"/>
          <w:i w:val="0"/>
          <w:szCs w:val="16"/>
          <w:lang w:val="es-ES"/>
        </w:rPr>
        <w:t>Recursos Genéticos</w:t>
      </w:r>
      <w:r w:rsidRPr="00786BA9">
        <w:rPr>
          <w:rStyle w:val="st1"/>
          <w:szCs w:val="16"/>
          <w:lang w:val="es-ES"/>
        </w:rPr>
        <w:t xml:space="preserve">, Conocimientos </w:t>
      </w:r>
      <w:r w:rsidRPr="00786BA9">
        <w:rPr>
          <w:rStyle w:val="Emphasis"/>
          <w:i w:val="0"/>
          <w:szCs w:val="16"/>
          <w:lang w:val="es-ES"/>
        </w:rPr>
        <w:t>Tradicionales</w:t>
      </w:r>
      <w:r w:rsidRPr="00786BA9">
        <w:rPr>
          <w:rStyle w:val="st1"/>
          <w:b/>
          <w:szCs w:val="16"/>
          <w:lang w:val="es-ES"/>
        </w:rPr>
        <w:t xml:space="preserve"> </w:t>
      </w:r>
      <w:r w:rsidRPr="00786BA9">
        <w:rPr>
          <w:rStyle w:val="st1"/>
          <w:szCs w:val="16"/>
          <w:lang w:val="es-ES"/>
        </w:rPr>
        <w:t xml:space="preserve">y </w:t>
      </w:r>
      <w:r w:rsidRPr="00786BA9">
        <w:rPr>
          <w:rStyle w:val="Emphasis"/>
          <w:i w:val="0"/>
          <w:szCs w:val="16"/>
          <w:lang w:val="es-ES"/>
        </w:rPr>
        <w:t>Folclore</w:t>
      </w:r>
      <w:r w:rsidRPr="00786BA9">
        <w:rPr>
          <w:szCs w:val="16"/>
          <w:lang w:val="es-ES"/>
        </w:rPr>
        <w:t xml:space="preserve"> presentó en su Quinta Reunión (Ginebra, 7-15 de julio de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14" w:rsidRPr="00A83452" w:rsidRDefault="00A92E86" w:rsidP="00A83452">
    <w:pPr>
      <w:pStyle w:val="Header"/>
    </w:pPr>
    <w:r>
      <w:rPr>
        <w:rStyle w:val="PageNumber"/>
      </w:rPr>
      <w:fldChar w:fldCharType="begin"/>
    </w:r>
    <w:r w:rsidR="00320814">
      <w:rPr>
        <w:rStyle w:val="PageNumber"/>
      </w:rPr>
      <w:instrText xml:space="preserve">PAGE  </w:instrText>
    </w:r>
    <w:r>
      <w:rPr>
        <w:rStyle w:val="PageNumber"/>
      </w:rPr>
      <w:fldChar w:fldCharType="separate"/>
    </w:r>
    <w:r w:rsidR="00027FE1">
      <w:rPr>
        <w:rStyle w:val="PageNumber"/>
        <w:noProof/>
      </w:rPr>
      <w:t>14</w:t>
    </w:r>
    <w:r>
      <w:rPr>
        <w:rStyle w:val="PageNumber"/>
      </w:rPr>
      <w:fldChar w:fldCharType="end"/>
    </w:r>
    <w:r w:rsidR="00320814">
      <w:rPr>
        <w:rStyle w:val="PageNumber"/>
      </w:rPr>
      <w:tab/>
    </w:r>
    <w:r w:rsidR="00320814" w:rsidRPr="00034B82">
      <w:rPr>
        <w:szCs w:val="16"/>
        <w:lang w:val="es-ES_tradnl"/>
      </w:rPr>
      <w:t>Unidad</w:t>
    </w:r>
    <w:r w:rsidR="00320814">
      <w:rPr>
        <w:szCs w:val="16"/>
        <w:lang w:val="es-ES_tradnl"/>
      </w:rPr>
      <w:t xml:space="preserve"> 10: Políticas e instituciones relacionadas con </w:t>
    </w:r>
    <w:r w:rsidR="00320814" w:rsidRPr="00034B82">
      <w:rPr>
        <w:szCs w:val="16"/>
        <w:lang w:val="es-ES_tradnl"/>
      </w:rPr>
      <w:t xml:space="preserve">el </w:t>
    </w:r>
    <w:r w:rsidR="00320814">
      <w:rPr>
        <w:szCs w:val="16"/>
        <w:lang w:val="es-ES_tradnl"/>
      </w:rPr>
      <w:t>PCI</w:t>
    </w:r>
    <w:r w:rsidR="00320814">
      <w:rPr>
        <w:rStyle w:val="PageNumber"/>
      </w:rPr>
      <w:tab/>
    </w:r>
    <w:proofErr w:type="spellStart"/>
    <w:r w:rsidR="00320814">
      <w:t>Notas</w:t>
    </w:r>
    <w:proofErr w:type="spellEnd"/>
    <w:r w:rsidR="00320814">
      <w:t xml:space="preserve"> para </w:t>
    </w:r>
    <w:proofErr w:type="spellStart"/>
    <w:r w:rsidR="00320814">
      <w:t>el</w:t>
    </w:r>
    <w:proofErr w:type="spellEnd"/>
    <w:r w:rsidR="00320814">
      <w:t xml:space="preserve"> </w:t>
    </w:r>
    <w:proofErr w:type="spellStart"/>
    <w:r w:rsidR="00320814">
      <w:t>Facilitador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14" w:rsidRPr="00A83452" w:rsidRDefault="00320814" w:rsidP="00A83452">
    <w:pPr>
      <w:pStyle w:val="Header"/>
    </w:pPr>
    <w:proofErr w:type="spellStart"/>
    <w:r>
      <w:t>Notas</w:t>
    </w:r>
    <w:proofErr w:type="spellEnd"/>
    <w:r>
      <w:t xml:space="preserve"> para </w:t>
    </w:r>
    <w:proofErr w:type="spellStart"/>
    <w:r>
      <w:t>el</w:t>
    </w:r>
    <w:proofErr w:type="spellEnd"/>
    <w:r>
      <w:t xml:space="preserve"> </w:t>
    </w:r>
    <w:proofErr w:type="spellStart"/>
    <w:r>
      <w:t>Facilitador</w:t>
    </w:r>
    <w:proofErr w:type="spellEnd"/>
    <w:r>
      <w:tab/>
    </w:r>
    <w:r w:rsidRPr="00034B82">
      <w:rPr>
        <w:szCs w:val="16"/>
        <w:lang w:val="es-ES_tradnl"/>
      </w:rPr>
      <w:t>Unidad</w:t>
    </w:r>
    <w:r>
      <w:rPr>
        <w:szCs w:val="16"/>
        <w:lang w:val="es-ES_tradnl"/>
      </w:rPr>
      <w:t xml:space="preserve"> 10: Políticas e instituciones relacionadas con </w:t>
    </w:r>
    <w:r w:rsidRPr="00034B82">
      <w:rPr>
        <w:szCs w:val="16"/>
        <w:lang w:val="es-ES_tradnl"/>
      </w:rPr>
      <w:t xml:space="preserve">el </w:t>
    </w:r>
    <w:r>
      <w:rPr>
        <w:szCs w:val="16"/>
        <w:lang w:val="es-ES_tradnl"/>
      </w:rPr>
      <w:t>PCI</w:t>
    </w:r>
    <w:r>
      <w:tab/>
    </w:r>
    <w:r w:rsidR="00A92E86">
      <w:rPr>
        <w:rStyle w:val="PageNumber"/>
      </w:rPr>
      <w:fldChar w:fldCharType="begin"/>
    </w:r>
    <w:r>
      <w:rPr>
        <w:rStyle w:val="PageNumber"/>
      </w:rPr>
      <w:instrText xml:space="preserve"> PAGE </w:instrText>
    </w:r>
    <w:r w:rsidR="00A92E86">
      <w:rPr>
        <w:rStyle w:val="PageNumber"/>
      </w:rPr>
      <w:fldChar w:fldCharType="separate"/>
    </w:r>
    <w:r w:rsidR="00027FE1">
      <w:rPr>
        <w:rStyle w:val="PageNumber"/>
        <w:noProof/>
      </w:rPr>
      <w:t>13</w:t>
    </w:r>
    <w:r w:rsidR="00A92E86">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14" w:rsidRPr="00832A32" w:rsidRDefault="00320814" w:rsidP="00832A32">
    <w:pPr>
      <w:pStyle w:val="Header"/>
    </w:pPr>
    <w:r>
      <w:tab/>
    </w:r>
    <w:proofErr w:type="spellStart"/>
    <w:r>
      <w:t>Notas</w:t>
    </w:r>
    <w:proofErr w:type="spellEnd"/>
    <w:r>
      <w:t xml:space="preserve"> para </w:t>
    </w:r>
    <w:proofErr w:type="spellStart"/>
    <w:r>
      <w:t>el</w:t>
    </w:r>
    <w:proofErr w:type="spellEnd"/>
    <w:r>
      <w:t xml:space="preserve"> </w:t>
    </w:r>
    <w:proofErr w:type="spellStart"/>
    <w:r>
      <w:t>Facilitador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mirrorMargins/>
  <w:proofState w:spelling="clean" w:grammar="clean"/>
  <w:revisionView w:markup="0"/>
  <w:defaultTabStop w:val="340"/>
  <w:hyphenationZone w:val="425"/>
  <w:evenAndOddHeaders/>
  <w:drawingGridHorizontalSpacing w:val="110"/>
  <w:displayHorizontalDrawingGridEvery w:val="2"/>
  <w:characterSpacingControl w:val="doNotCompress"/>
  <w:hdrShapeDefaults>
    <o:shapedefaults v:ext="edit" spidmax="614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A41"/>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8E0"/>
    <w:rsid w:val="00014975"/>
    <w:rsid w:val="00014E00"/>
    <w:rsid w:val="000152DC"/>
    <w:rsid w:val="00015376"/>
    <w:rsid w:val="00015A9F"/>
    <w:rsid w:val="00015FA6"/>
    <w:rsid w:val="000160A3"/>
    <w:rsid w:val="00016662"/>
    <w:rsid w:val="000169B3"/>
    <w:rsid w:val="00016F0E"/>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5B2"/>
    <w:rsid w:val="0002785F"/>
    <w:rsid w:val="00027BAF"/>
    <w:rsid w:val="00027FE1"/>
    <w:rsid w:val="0003027D"/>
    <w:rsid w:val="0003041E"/>
    <w:rsid w:val="000304E0"/>
    <w:rsid w:val="000306AD"/>
    <w:rsid w:val="000308AF"/>
    <w:rsid w:val="0003090D"/>
    <w:rsid w:val="00030E26"/>
    <w:rsid w:val="00030EB6"/>
    <w:rsid w:val="000310CD"/>
    <w:rsid w:val="00031259"/>
    <w:rsid w:val="0003141C"/>
    <w:rsid w:val="000318F5"/>
    <w:rsid w:val="00031AFA"/>
    <w:rsid w:val="00031C83"/>
    <w:rsid w:val="000320CC"/>
    <w:rsid w:val="00032A4D"/>
    <w:rsid w:val="00032CD4"/>
    <w:rsid w:val="00032DEE"/>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AC6"/>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86"/>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1D9"/>
    <w:rsid w:val="000713B6"/>
    <w:rsid w:val="0007153C"/>
    <w:rsid w:val="000725C7"/>
    <w:rsid w:val="000727CB"/>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6CB"/>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8E1"/>
    <w:rsid w:val="000D4A9B"/>
    <w:rsid w:val="000D59C1"/>
    <w:rsid w:val="000D5A9B"/>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39"/>
    <w:rsid w:val="000E78BD"/>
    <w:rsid w:val="000E7B5C"/>
    <w:rsid w:val="000E7EE8"/>
    <w:rsid w:val="000F0036"/>
    <w:rsid w:val="000F03BD"/>
    <w:rsid w:val="000F0600"/>
    <w:rsid w:val="000F0D22"/>
    <w:rsid w:val="000F0E18"/>
    <w:rsid w:val="000F13C2"/>
    <w:rsid w:val="000F1500"/>
    <w:rsid w:val="000F1743"/>
    <w:rsid w:val="000F181B"/>
    <w:rsid w:val="000F1B12"/>
    <w:rsid w:val="000F2BC3"/>
    <w:rsid w:val="000F2DEC"/>
    <w:rsid w:val="000F3322"/>
    <w:rsid w:val="000F338B"/>
    <w:rsid w:val="000F33CD"/>
    <w:rsid w:val="000F3932"/>
    <w:rsid w:val="000F398F"/>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3CB"/>
    <w:rsid w:val="00104BB3"/>
    <w:rsid w:val="00105882"/>
    <w:rsid w:val="00105B9A"/>
    <w:rsid w:val="00105BAD"/>
    <w:rsid w:val="00105F81"/>
    <w:rsid w:val="001062AB"/>
    <w:rsid w:val="001069CA"/>
    <w:rsid w:val="00106BA4"/>
    <w:rsid w:val="00106CC0"/>
    <w:rsid w:val="00106D54"/>
    <w:rsid w:val="00106E34"/>
    <w:rsid w:val="0010742F"/>
    <w:rsid w:val="001077DB"/>
    <w:rsid w:val="00107999"/>
    <w:rsid w:val="001107CB"/>
    <w:rsid w:val="00110A3B"/>
    <w:rsid w:val="00110C6F"/>
    <w:rsid w:val="00111533"/>
    <w:rsid w:val="00111737"/>
    <w:rsid w:val="001119AD"/>
    <w:rsid w:val="00111DF4"/>
    <w:rsid w:val="001120FE"/>
    <w:rsid w:val="001123AF"/>
    <w:rsid w:val="001125B6"/>
    <w:rsid w:val="00112E3D"/>
    <w:rsid w:val="001137D2"/>
    <w:rsid w:val="001137F7"/>
    <w:rsid w:val="00113BF5"/>
    <w:rsid w:val="00113EFD"/>
    <w:rsid w:val="00113F4F"/>
    <w:rsid w:val="00113FC0"/>
    <w:rsid w:val="00114835"/>
    <w:rsid w:val="00114C3C"/>
    <w:rsid w:val="00115A9A"/>
    <w:rsid w:val="001165B3"/>
    <w:rsid w:val="00116D0F"/>
    <w:rsid w:val="00116D14"/>
    <w:rsid w:val="00116F65"/>
    <w:rsid w:val="00117B05"/>
    <w:rsid w:val="00117ED6"/>
    <w:rsid w:val="00120085"/>
    <w:rsid w:val="001204CE"/>
    <w:rsid w:val="001204D9"/>
    <w:rsid w:val="001206D6"/>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2B"/>
    <w:rsid w:val="00125066"/>
    <w:rsid w:val="001254EB"/>
    <w:rsid w:val="001256B9"/>
    <w:rsid w:val="001265D7"/>
    <w:rsid w:val="00126629"/>
    <w:rsid w:val="00126899"/>
    <w:rsid w:val="00126B33"/>
    <w:rsid w:val="00127030"/>
    <w:rsid w:val="00127518"/>
    <w:rsid w:val="001275D2"/>
    <w:rsid w:val="00127E8B"/>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49"/>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9A8"/>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BAB"/>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20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2F0"/>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0EF"/>
    <w:rsid w:val="001E43F8"/>
    <w:rsid w:val="001E49CB"/>
    <w:rsid w:val="001E4FE9"/>
    <w:rsid w:val="001E5315"/>
    <w:rsid w:val="001E532D"/>
    <w:rsid w:val="001E563B"/>
    <w:rsid w:val="001E61A7"/>
    <w:rsid w:val="001E641F"/>
    <w:rsid w:val="001E651C"/>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BB9"/>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6BAA"/>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10"/>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201"/>
    <w:rsid w:val="002D098C"/>
    <w:rsid w:val="002D0B1E"/>
    <w:rsid w:val="002D11C3"/>
    <w:rsid w:val="002D1580"/>
    <w:rsid w:val="002D1915"/>
    <w:rsid w:val="002D1D90"/>
    <w:rsid w:val="002D24F6"/>
    <w:rsid w:val="002D279A"/>
    <w:rsid w:val="002D2CDC"/>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0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031"/>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14"/>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3B2"/>
    <w:rsid w:val="00337483"/>
    <w:rsid w:val="0033777A"/>
    <w:rsid w:val="00337E6C"/>
    <w:rsid w:val="00340246"/>
    <w:rsid w:val="003404DB"/>
    <w:rsid w:val="003409FE"/>
    <w:rsid w:val="00340A44"/>
    <w:rsid w:val="00341496"/>
    <w:rsid w:val="003414C7"/>
    <w:rsid w:val="00341727"/>
    <w:rsid w:val="003419E7"/>
    <w:rsid w:val="003419FE"/>
    <w:rsid w:val="00341CC2"/>
    <w:rsid w:val="003422AB"/>
    <w:rsid w:val="003422FA"/>
    <w:rsid w:val="003424D6"/>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1EE"/>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C99"/>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31A"/>
    <w:rsid w:val="0038650F"/>
    <w:rsid w:val="0038657D"/>
    <w:rsid w:val="00386A6E"/>
    <w:rsid w:val="0038708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91A"/>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C04"/>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43B"/>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902"/>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28F6"/>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5DE9"/>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68"/>
    <w:rsid w:val="004745A0"/>
    <w:rsid w:val="00474AD7"/>
    <w:rsid w:val="00474E23"/>
    <w:rsid w:val="00474E40"/>
    <w:rsid w:val="00475127"/>
    <w:rsid w:val="00475E9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AB9"/>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2EE"/>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79F"/>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26C"/>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1E2"/>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3DF"/>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6B1"/>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7"/>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74F"/>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37FC6"/>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AD7"/>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6926"/>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81"/>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1DEE"/>
    <w:rsid w:val="006B2417"/>
    <w:rsid w:val="006B25B5"/>
    <w:rsid w:val="006B2D87"/>
    <w:rsid w:val="006B3688"/>
    <w:rsid w:val="006B36E5"/>
    <w:rsid w:val="006B3817"/>
    <w:rsid w:val="006B3CFD"/>
    <w:rsid w:val="006B3F1B"/>
    <w:rsid w:val="006B428E"/>
    <w:rsid w:val="006B4335"/>
    <w:rsid w:val="006B47AC"/>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BC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629"/>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E55"/>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8B"/>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6772"/>
    <w:rsid w:val="00747072"/>
    <w:rsid w:val="00747116"/>
    <w:rsid w:val="00747146"/>
    <w:rsid w:val="00747833"/>
    <w:rsid w:val="00747B57"/>
    <w:rsid w:val="00750211"/>
    <w:rsid w:val="00750378"/>
    <w:rsid w:val="00750458"/>
    <w:rsid w:val="00750DF3"/>
    <w:rsid w:val="0075101B"/>
    <w:rsid w:val="00752385"/>
    <w:rsid w:val="007524FA"/>
    <w:rsid w:val="00752973"/>
    <w:rsid w:val="00752D76"/>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926"/>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6BA9"/>
    <w:rsid w:val="007871C3"/>
    <w:rsid w:val="007878F8"/>
    <w:rsid w:val="00787C1A"/>
    <w:rsid w:val="00787C83"/>
    <w:rsid w:val="00790418"/>
    <w:rsid w:val="0079063A"/>
    <w:rsid w:val="007906B9"/>
    <w:rsid w:val="00790E0D"/>
    <w:rsid w:val="00790E4E"/>
    <w:rsid w:val="00791506"/>
    <w:rsid w:val="007917B1"/>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240"/>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BDF"/>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A7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7D7"/>
    <w:rsid w:val="00824A71"/>
    <w:rsid w:val="00824AAF"/>
    <w:rsid w:val="008250BD"/>
    <w:rsid w:val="00825151"/>
    <w:rsid w:val="00825159"/>
    <w:rsid w:val="0082556A"/>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3B5"/>
    <w:rsid w:val="00831FBB"/>
    <w:rsid w:val="008324A3"/>
    <w:rsid w:val="00832A32"/>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36"/>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B74"/>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07D"/>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AA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0C"/>
    <w:rsid w:val="008A4089"/>
    <w:rsid w:val="008A4402"/>
    <w:rsid w:val="008A4A0E"/>
    <w:rsid w:val="008A4CA0"/>
    <w:rsid w:val="008A5099"/>
    <w:rsid w:val="008A5413"/>
    <w:rsid w:val="008A56B0"/>
    <w:rsid w:val="008A5D74"/>
    <w:rsid w:val="008A5F4E"/>
    <w:rsid w:val="008A6279"/>
    <w:rsid w:val="008A6321"/>
    <w:rsid w:val="008A6343"/>
    <w:rsid w:val="008A67F5"/>
    <w:rsid w:val="008A79A2"/>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29C"/>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1E1"/>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2D8A"/>
    <w:rsid w:val="00903027"/>
    <w:rsid w:val="009033AB"/>
    <w:rsid w:val="00903642"/>
    <w:rsid w:val="00903865"/>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1FD8"/>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488"/>
    <w:rsid w:val="009419C9"/>
    <w:rsid w:val="0094205E"/>
    <w:rsid w:val="0094219B"/>
    <w:rsid w:val="00942AAD"/>
    <w:rsid w:val="00942EF0"/>
    <w:rsid w:val="0094320A"/>
    <w:rsid w:val="0094339A"/>
    <w:rsid w:val="00943B59"/>
    <w:rsid w:val="00943C02"/>
    <w:rsid w:val="00943DBD"/>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97E"/>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065"/>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B0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B6A"/>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5E44"/>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4CE4"/>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5EE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C9B"/>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0FB3"/>
    <w:rsid w:val="00A716BA"/>
    <w:rsid w:val="00A71731"/>
    <w:rsid w:val="00A718C2"/>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2FFE"/>
    <w:rsid w:val="00A83452"/>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2E86"/>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37"/>
    <w:rsid w:val="00AA7DE3"/>
    <w:rsid w:val="00AB0A71"/>
    <w:rsid w:val="00AB1423"/>
    <w:rsid w:val="00AB146F"/>
    <w:rsid w:val="00AB1708"/>
    <w:rsid w:val="00AB1DB5"/>
    <w:rsid w:val="00AB2033"/>
    <w:rsid w:val="00AB2273"/>
    <w:rsid w:val="00AB2619"/>
    <w:rsid w:val="00AB3247"/>
    <w:rsid w:val="00AB3C97"/>
    <w:rsid w:val="00AB3DF0"/>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3D6F"/>
    <w:rsid w:val="00AE4331"/>
    <w:rsid w:val="00AE438A"/>
    <w:rsid w:val="00AE47D7"/>
    <w:rsid w:val="00AE58FB"/>
    <w:rsid w:val="00AE5F3F"/>
    <w:rsid w:val="00AE5FF7"/>
    <w:rsid w:val="00AE671E"/>
    <w:rsid w:val="00AE6729"/>
    <w:rsid w:val="00AE690D"/>
    <w:rsid w:val="00AE6C2E"/>
    <w:rsid w:val="00AE700C"/>
    <w:rsid w:val="00AE70D8"/>
    <w:rsid w:val="00AE7200"/>
    <w:rsid w:val="00AE7346"/>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A55"/>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181"/>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029"/>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524"/>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67D48"/>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BD7"/>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3EC1"/>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6DD"/>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5F6"/>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4FCA"/>
    <w:rsid w:val="00C5561D"/>
    <w:rsid w:val="00C55DDE"/>
    <w:rsid w:val="00C55F6C"/>
    <w:rsid w:val="00C568B4"/>
    <w:rsid w:val="00C575BF"/>
    <w:rsid w:val="00C57696"/>
    <w:rsid w:val="00C57730"/>
    <w:rsid w:val="00C5792F"/>
    <w:rsid w:val="00C60241"/>
    <w:rsid w:val="00C60655"/>
    <w:rsid w:val="00C60829"/>
    <w:rsid w:val="00C61038"/>
    <w:rsid w:val="00C61058"/>
    <w:rsid w:val="00C6127C"/>
    <w:rsid w:val="00C613FE"/>
    <w:rsid w:val="00C61536"/>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6C9"/>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6BD9"/>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34E"/>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2903"/>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84E"/>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5E3"/>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9A6"/>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3722"/>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060"/>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CBD"/>
    <w:rsid w:val="00D97FE4"/>
    <w:rsid w:val="00DA0145"/>
    <w:rsid w:val="00DA0A59"/>
    <w:rsid w:val="00DA0D1E"/>
    <w:rsid w:val="00DA0D24"/>
    <w:rsid w:val="00DA1208"/>
    <w:rsid w:val="00DA155D"/>
    <w:rsid w:val="00DA174B"/>
    <w:rsid w:val="00DA192E"/>
    <w:rsid w:val="00DA1A0D"/>
    <w:rsid w:val="00DA1BCC"/>
    <w:rsid w:val="00DA1C48"/>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BE4"/>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17B5"/>
    <w:rsid w:val="00DD21BD"/>
    <w:rsid w:val="00DD225E"/>
    <w:rsid w:val="00DD23B8"/>
    <w:rsid w:val="00DD25D7"/>
    <w:rsid w:val="00DD2B17"/>
    <w:rsid w:val="00DD2B4D"/>
    <w:rsid w:val="00DD2B62"/>
    <w:rsid w:val="00DD38F4"/>
    <w:rsid w:val="00DD39A2"/>
    <w:rsid w:val="00DD3D6E"/>
    <w:rsid w:val="00DD3DC3"/>
    <w:rsid w:val="00DD40EC"/>
    <w:rsid w:val="00DD420B"/>
    <w:rsid w:val="00DD4727"/>
    <w:rsid w:val="00DD49D6"/>
    <w:rsid w:val="00DD4EC5"/>
    <w:rsid w:val="00DD4F9A"/>
    <w:rsid w:val="00DD50E2"/>
    <w:rsid w:val="00DD5B76"/>
    <w:rsid w:val="00DD671C"/>
    <w:rsid w:val="00DD6865"/>
    <w:rsid w:val="00DD6DB5"/>
    <w:rsid w:val="00DD6EFF"/>
    <w:rsid w:val="00DD7323"/>
    <w:rsid w:val="00DD7515"/>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CB4"/>
    <w:rsid w:val="00DF1D11"/>
    <w:rsid w:val="00DF1F2F"/>
    <w:rsid w:val="00DF1FE0"/>
    <w:rsid w:val="00DF2111"/>
    <w:rsid w:val="00DF21C3"/>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633"/>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BBB"/>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58C7"/>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323"/>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6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3D13"/>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BBA"/>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66"/>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3F2"/>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DC0"/>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5DCD"/>
    <w:rsid w:val="00FD69A2"/>
    <w:rsid w:val="00FD69DC"/>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70C"/>
    <w:rsid w:val="00FE5A99"/>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uiPriority w:val="1"/>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uiPriority w:val="99"/>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uiPriority w:val="20"/>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uiPriority w:val="1"/>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uiPriority w:val="99"/>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uiPriority w:val="20"/>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po.int/freepublications/es/tk/913/wipo_pub_913.pdf" TargetMode="External"/><Relationship Id="rId18" Type="http://schemas.openxmlformats.org/officeDocument/2006/relationships/header" Target="header3.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CC28-1A6C-423B-BD18-4789CF10584A}">
  <ds:schemaRefs>
    <ds:schemaRef ds:uri="http://schemas.openxmlformats.org/officeDocument/2006/bibliography"/>
  </ds:schemaRefs>
</ds:datastoreItem>
</file>

<file path=customXml/itemProps2.xml><?xml version="1.0" encoding="utf-8"?>
<ds:datastoreItem xmlns:ds="http://schemas.openxmlformats.org/officeDocument/2006/customXml" ds:itemID="{736EF0E3-DC61-43FE-B843-7355ABB5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5019</Words>
  <Characters>28611</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33563</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2015-04-29T10:49:00Z</dcterms:created>
  <dcterms:modified xsi:type="dcterms:W3CDTF">2015-05-04T08:10:00Z</dcterms:modified>
</cp:coreProperties>
</file>