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C24D11" w14:textId="77777777" w:rsidR="00B9709E" w:rsidRPr="00617049" w:rsidRDefault="00C976FF" w:rsidP="00406030">
      <w:pPr>
        <w:pStyle w:val="Chapitre"/>
      </w:pPr>
      <w:bookmarkStart w:id="0" w:name="_Toc301443375"/>
      <w:bookmarkStart w:id="1" w:name="_Toc321407018"/>
      <w:bookmarkStart w:id="2" w:name="_Toc354486642"/>
      <w:bookmarkStart w:id="3" w:name="_Toc354486948"/>
      <w:bookmarkStart w:id="4" w:name="_Toc247360233"/>
      <w:r w:rsidRPr="00617049">
        <w:t xml:space="preserve">UnitÉ </w:t>
      </w:r>
      <w:r w:rsidR="009A2E34" w:rsidRPr="00617049">
        <w:t>9</w:t>
      </w:r>
    </w:p>
    <w:p w14:paraId="2E137319" w14:textId="77777777" w:rsidR="00D02048" w:rsidRPr="005151FE" w:rsidRDefault="00D02048" w:rsidP="00ED75D0">
      <w:pPr>
        <w:pStyle w:val="UPlan"/>
        <w:rPr>
          <w:lang w:val="fr-FR"/>
        </w:rPr>
      </w:pPr>
      <w:bookmarkStart w:id="5" w:name="_Toc238963262"/>
      <w:bookmarkStart w:id="6" w:name="_Toc241065148"/>
      <w:r w:rsidRPr="005151FE">
        <w:rPr>
          <w:lang w:val="fr-FR"/>
        </w:rPr>
        <w:t>Sauvegarde</w:t>
      </w:r>
    </w:p>
    <w:p w14:paraId="3B334B8B" w14:textId="77777777" w:rsidR="00D02048" w:rsidRPr="00617049" w:rsidRDefault="00D02048" w:rsidP="00ED75D0">
      <w:pPr>
        <w:pStyle w:val="Titcoul"/>
      </w:pPr>
      <w:r w:rsidRPr="00617049">
        <w:t>texte du participant</w:t>
      </w:r>
    </w:p>
    <w:bookmarkEnd w:id="0"/>
    <w:bookmarkEnd w:id="1"/>
    <w:bookmarkEnd w:id="2"/>
    <w:bookmarkEnd w:id="3"/>
    <w:bookmarkEnd w:id="4"/>
    <w:bookmarkEnd w:id="5"/>
    <w:bookmarkEnd w:id="6"/>
    <w:p w14:paraId="39E5D595" w14:textId="77777777" w:rsidR="004325DC" w:rsidRPr="00617049" w:rsidRDefault="00D65E8C" w:rsidP="00ED75D0">
      <w:pPr>
        <w:pStyle w:val="Sschap"/>
      </w:pPr>
      <w:r w:rsidRPr="00617049">
        <w:rPr>
          <w:rFonts w:hint="eastAsia"/>
        </w:rPr>
        <w:t xml:space="preserve">La </w:t>
      </w:r>
      <w:r w:rsidR="00D32C21" w:rsidRPr="00617049">
        <w:rPr>
          <w:rFonts w:hint="eastAsia"/>
        </w:rPr>
        <w:t>pr</w:t>
      </w:r>
      <w:r w:rsidR="00D32C21" w:rsidRPr="00617049">
        <w:t>é</w:t>
      </w:r>
      <w:r w:rsidRPr="00617049">
        <w:rPr>
          <w:rFonts w:hint="eastAsia"/>
        </w:rPr>
        <w:t>sente unit</w:t>
      </w:r>
      <w:r w:rsidR="00D32C21" w:rsidRPr="00617049">
        <w:t>é</w:t>
      </w:r>
      <w:r w:rsidR="00C10A1F" w:rsidRPr="00617049">
        <w:rPr>
          <w:rFonts w:hint="eastAsia"/>
        </w:rPr>
        <w:t xml:space="preserve"> traite de la sauvegarde des </w:t>
      </w:r>
      <w:r w:rsidR="00D32C21" w:rsidRPr="00617049">
        <w:t>élé</w:t>
      </w:r>
      <w:r w:rsidR="00C10A1F" w:rsidRPr="00617049">
        <w:rPr>
          <w:rFonts w:hint="eastAsia"/>
        </w:rPr>
        <w:t xml:space="preserve">ments du </w:t>
      </w:r>
      <w:r w:rsidR="00A85270" w:rsidRPr="00617049">
        <w:t xml:space="preserve">patrimoine culturel immatériel (PCI) </w:t>
      </w:r>
      <w:r w:rsidR="00D32C21" w:rsidRPr="00617049">
        <w:t>à l</w:t>
      </w:r>
      <w:r w:rsidR="00A61E6D" w:rsidRPr="00617049">
        <w:t>’</w:t>
      </w:r>
      <w:r w:rsidR="00D32C21" w:rsidRPr="00617049">
        <w:t>échelon</w:t>
      </w:r>
      <w:r w:rsidR="00C10A1F" w:rsidRPr="00617049">
        <w:rPr>
          <w:rFonts w:hint="eastAsia"/>
        </w:rPr>
        <w:t xml:space="preserve"> national, en </w:t>
      </w:r>
      <w:r w:rsidR="00EE38F4">
        <w:t xml:space="preserve">incluant </w:t>
      </w:r>
      <w:r w:rsidR="00C10A1F" w:rsidRPr="00617049">
        <w:rPr>
          <w:rFonts w:hint="eastAsia"/>
        </w:rPr>
        <w:t>d</w:t>
      </w:r>
      <w:r w:rsidR="00A61E6D" w:rsidRPr="00617049">
        <w:t>’</w:t>
      </w:r>
      <w:r w:rsidR="00C10A1F" w:rsidRPr="00617049">
        <w:rPr>
          <w:rFonts w:hint="eastAsia"/>
        </w:rPr>
        <w:t xml:space="preserve">une part les mesures </w:t>
      </w:r>
      <w:r w:rsidR="00D32C21" w:rsidRPr="00617049">
        <w:rPr>
          <w:rFonts w:hint="eastAsia"/>
        </w:rPr>
        <w:t>g</w:t>
      </w:r>
      <w:r w:rsidR="00D32C21" w:rsidRPr="00617049">
        <w:t>éné</w:t>
      </w:r>
      <w:r w:rsidR="00D32C21" w:rsidRPr="00617049">
        <w:rPr>
          <w:rFonts w:hint="eastAsia"/>
        </w:rPr>
        <w:t xml:space="preserve">rales </w:t>
      </w:r>
      <w:r w:rsidR="00C10A1F" w:rsidRPr="00617049">
        <w:rPr>
          <w:rFonts w:hint="eastAsia"/>
        </w:rPr>
        <w:t xml:space="preserve">de sauvegarde et, </w:t>
      </w:r>
      <w:r w:rsidR="00D32C21" w:rsidRPr="00617049">
        <w:t>d</w:t>
      </w:r>
      <w:r w:rsidR="00A61E6D" w:rsidRPr="00617049">
        <w:t>’</w:t>
      </w:r>
      <w:r w:rsidR="00C10A1F" w:rsidRPr="00617049">
        <w:rPr>
          <w:rFonts w:hint="eastAsia"/>
        </w:rPr>
        <w:t xml:space="preserve">autre part, les </w:t>
      </w:r>
      <w:r w:rsidR="00D32C21" w:rsidRPr="00617049">
        <w:rPr>
          <w:rFonts w:hint="eastAsia"/>
        </w:rPr>
        <w:t>activit</w:t>
      </w:r>
      <w:r w:rsidR="00D32C21" w:rsidRPr="00617049">
        <w:t>é</w:t>
      </w:r>
      <w:r w:rsidR="00D32C21" w:rsidRPr="00617049">
        <w:rPr>
          <w:rFonts w:hint="eastAsia"/>
        </w:rPr>
        <w:t xml:space="preserve">s </w:t>
      </w:r>
      <w:r w:rsidR="00C10A1F" w:rsidRPr="00617049">
        <w:rPr>
          <w:rFonts w:hint="eastAsia"/>
        </w:rPr>
        <w:t xml:space="preserve">de sauvegarde relatives </w:t>
      </w:r>
      <w:r w:rsidR="00D32C21" w:rsidRPr="00617049">
        <w:t>à</w:t>
      </w:r>
      <w:r w:rsidR="00D32C21" w:rsidRPr="00617049">
        <w:rPr>
          <w:rFonts w:hint="eastAsia"/>
        </w:rPr>
        <w:t xml:space="preserve"> </w:t>
      </w:r>
      <w:r w:rsidR="00C10A1F" w:rsidRPr="00617049">
        <w:rPr>
          <w:rFonts w:hint="eastAsia"/>
        </w:rPr>
        <w:t xml:space="preserve">un/des </w:t>
      </w:r>
      <w:r w:rsidR="00D32C21" w:rsidRPr="00617049">
        <w:t>élé</w:t>
      </w:r>
      <w:r w:rsidR="00C10A1F" w:rsidRPr="00617049">
        <w:rPr>
          <w:rFonts w:hint="eastAsia"/>
        </w:rPr>
        <w:t xml:space="preserve">ment(s) </w:t>
      </w:r>
      <w:r w:rsidR="00D32C21" w:rsidRPr="00617049">
        <w:t>spécifique</w:t>
      </w:r>
      <w:r w:rsidR="00C10A1F" w:rsidRPr="00617049">
        <w:rPr>
          <w:rFonts w:hint="eastAsia"/>
        </w:rPr>
        <w:t xml:space="preserve">(s) du PCI. </w:t>
      </w:r>
      <w:r w:rsidR="00D02048" w:rsidRPr="00617049">
        <w:t>Elle couvre</w:t>
      </w:r>
      <w:r w:rsidR="00C10A1F" w:rsidRPr="00617049">
        <w:t xml:space="preserve"> les sujets suivants</w:t>
      </w:r>
      <w:r w:rsidR="00EA1FE1" w:rsidRPr="00617049">
        <w:t> :</w:t>
      </w:r>
    </w:p>
    <w:p w14:paraId="413F96E9" w14:textId="77777777" w:rsidR="004325DC" w:rsidRPr="00617049" w:rsidRDefault="00EE38F4" w:rsidP="00150FFB">
      <w:pPr>
        <w:pStyle w:val="Txtchap"/>
      </w:pPr>
      <w:r>
        <w:t>l</w:t>
      </w:r>
      <w:r w:rsidR="00C10A1F" w:rsidRPr="00617049">
        <w:t xml:space="preserve">a sauvegarde aux fins de la </w:t>
      </w:r>
      <w:r w:rsidR="00A85270" w:rsidRPr="00617049">
        <w:t>Convention pour la sauvegarde du patrimoine culturel immatériel</w:t>
      </w:r>
      <w:r w:rsidR="00A85270" w:rsidRPr="00617049">
        <w:rPr>
          <w:rStyle w:val="FootnoteReference"/>
          <w:sz w:val="24"/>
          <w:szCs w:val="24"/>
        </w:rPr>
        <w:footnoteReference w:id="1"/>
      </w:r>
      <w:r w:rsidR="00997113">
        <w:t>.</w:t>
      </w:r>
      <w:r w:rsidR="009A2E34" w:rsidRPr="00617049">
        <w:rPr>
          <w:noProof/>
          <w:lang w:eastAsia="zh-TW"/>
        </w:rPr>
        <w:drawing>
          <wp:anchor distT="0" distB="0" distL="114300" distR="114300" simplePos="0" relativeHeight="251885056" behindDoc="1" locked="1" layoutInCell="1" allowOverlap="0" wp14:anchorId="59F679A4" wp14:editId="5FA55ED2">
            <wp:simplePos x="0" y="0"/>
            <wp:positionH relativeFrom="margin">
              <wp:posOffset>360045</wp:posOffset>
            </wp:positionH>
            <wp:positionV relativeFrom="margin">
              <wp:posOffset>1800225</wp:posOffset>
            </wp:positionV>
            <wp:extent cx="4870411" cy="4498145"/>
            <wp:effectExtent l="0" t="0" r="6985" b="0"/>
            <wp:wrapNone/>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CH.jpg"/>
                    <pic:cNvPicPr/>
                  </pic:nvPicPr>
                  <pic:blipFill>
                    <a:blip r:embed="rId8">
                      <a:alphaModFix amt="13000"/>
                      <a:extLst>
                        <a:ext uri="{28A0092B-C50C-407E-A947-70E740481C1C}">
                          <a14:useLocalDpi xmlns:a14="http://schemas.microsoft.com/office/drawing/2010/main" val="0"/>
                        </a:ext>
                      </a:extLst>
                    </a:blip>
                    <a:stretch>
                      <a:fillRect/>
                    </a:stretch>
                  </pic:blipFill>
                  <pic:spPr>
                    <a:xfrm>
                      <a:off x="0" y="0"/>
                      <a:ext cx="4870411" cy="4498145"/>
                    </a:xfrm>
                    <a:prstGeom prst="rect">
                      <a:avLst/>
                    </a:prstGeom>
                  </pic:spPr>
                </pic:pic>
              </a:graphicData>
            </a:graphic>
          </wp:anchor>
        </w:drawing>
      </w:r>
    </w:p>
    <w:p w14:paraId="3F8D440F" w14:textId="77777777" w:rsidR="004325DC" w:rsidRPr="00617049" w:rsidRDefault="00EE38F4" w:rsidP="00150FFB">
      <w:pPr>
        <w:pStyle w:val="Txtchap"/>
      </w:pPr>
      <w:r>
        <w:t>l</w:t>
      </w:r>
      <w:r w:rsidR="00C10A1F" w:rsidRPr="00617049">
        <w:t>es mesures de sauvegarde générales et spécifiques</w:t>
      </w:r>
      <w:r w:rsidR="00997113">
        <w:t>.</w:t>
      </w:r>
    </w:p>
    <w:p w14:paraId="2978BE01" w14:textId="77777777" w:rsidR="004325DC" w:rsidRPr="00617049" w:rsidRDefault="00EE38F4" w:rsidP="00150FFB">
      <w:pPr>
        <w:pStyle w:val="Txtchap"/>
      </w:pPr>
      <w:r>
        <w:t>l</w:t>
      </w:r>
      <w:r w:rsidR="00C10A1F" w:rsidRPr="00617049">
        <w:t>e traitement des menaces et des risques qui pèsent sur la viabilité</w:t>
      </w:r>
      <w:r w:rsidR="00997113">
        <w:t>.</w:t>
      </w:r>
    </w:p>
    <w:p w14:paraId="181DFBF1" w14:textId="77777777" w:rsidR="004325DC" w:rsidRPr="00617049" w:rsidRDefault="00EE38F4" w:rsidP="00150FFB">
      <w:pPr>
        <w:pStyle w:val="Txtchap"/>
      </w:pPr>
      <w:r>
        <w:t>l</w:t>
      </w:r>
      <w:r w:rsidR="00C10A1F" w:rsidRPr="00617049">
        <w:t>es mesures et les plans de sauvegarde.</w:t>
      </w:r>
    </w:p>
    <w:p w14:paraId="5156FC48" w14:textId="77777777" w:rsidR="004325DC" w:rsidRPr="00617049" w:rsidRDefault="00C10A1F" w:rsidP="00150FFB">
      <w:pPr>
        <w:pStyle w:val="Chapinfo"/>
      </w:pPr>
      <w:r w:rsidRPr="00617049">
        <w:t xml:space="preserve">Rubriques pertinentes </w:t>
      </w:r>
      <w:r w:rsidR="009A2E34" w:rsidRPr="00617049">
        <w:t xml:space="preserve">du </w:t>
      </w:r>
      <w:r w:rsidR="00646D3D" w:rsidRPr="00617049">
        <w:t>Texte du participant</w:t>
      </w:r>
      <w:r w:rsidR="009A2E34" w:rsidRPr="00617049">
        <w:t xml:space="preserve"> </w:t>
      </w:r>
      <w:r w:rsidR="00F9570F" w:rsidRPr="00617049">
        <w:t>de l’</w:t>
      </w:r>
      <w:r w:rsidR="009A2E34" w:rsidRPr="00617049">
        <w:t>Unité 3 </w:t>
      </w:r>
      <w:r w:rsidR="00EA1FE1" w:rsidRPr="00617049">
        <w:t>:</w:t>
      </w:r>
      <w:r w:rsidR="00043DFF" w:rsidRPr="00617049">
        <w:t xml:space="preserve"> « </w:t>
      </w:r>
      <w:r w:rsidRPr="00617049">
        <w:t>Domaines du PCI</w:t>
      </w:r>
      <w:r w:rsidR="00461004" w:rsidRPr="00617049">
        <w:t xml:space="preserve"> », </w:t>
      </w:r>
      <w:r w:rsidR="00043DFF" w:rsidRPr="00617049">
        <w:t>« </w:t>
      </w:r>
      <w:r w:rsidRPr="00617049">
        <w:t>Éléments du PCI</w:t>
      </w:r>
      <w:r w:rsidR="00461004" w:rsidRPr="00617049">
        <w:t xml:space="preserve"> », </w:t>
      </w:r>
      <w:r w:rsidR="00135C11">
        <w:t xml:space="preserve">« Ethique », </w:t>
      </w:r>
      <w:r w:rsidR="00043DFF" w:rsidRPr="00617049">
        <w:t>« </w:t>
      </w:r>
      <w:r w:rsidR="004325DC" w:rsidRPr="00617049">
        <w:rPr>
          <w:bCs/>
        </w:rPr>
        <w:t>Identification et définition », « </w:t>
      </w:r>
      <w:r w:rsidRPr="00617049">
        <w:t>Inventaire</w:t>
      </w:r>
      <w:r w:rsidR="00D02048" w:rsidRPr="00617049">
        <w:t>s</w:t>
      </w:r>
      <w:r w:rsidR="00461004" w:rsidRPr="00617049">
        <w:t xml:space="preserve"> », </w:t>
      </w:r>
      <w:r w:rsidR="00D02048" w:rsidRPr="00617049">
        <w:t xml:space="preserve">« Menaces et risques », </w:t>
      </w:r>
      <w:r w:rsidR="00043DFF" w:rsidRPr="00617049">
        <w:t>« </w:t>
      </w:r>
      <w:r w:rsidR="004325DC" w:rsidRPr="00617049">
        <w:rPr>
          <w:bCs/>
        </w:rPr>
        <w:t xml:space="preserve">Préservation et protection », « Promotion et mise en valeur », </w:t>
      </w:r>
      <w:r w:rsidR="00043DFF" w:rsidRPr="00617049">
        <w:t>« </w:t>
      </w:r>
      <w:r w:rsidR="004325DC" w:rsidRPr="00617049">
        <w:rPr>
          <w:bCs/>
        </w:rPr>
        <w:t xml:space="preserve">Respect », </w:t>
      </w:r>
      <w:r w:rsidR="00043DFF" w:rsidRPr="00617049">
        <w:t>« </w:t>
      </w:r>
      <w:r w:rsidRPr="00617049">
        <w:t>Revitalisation</w:t>
      </w:r>
      <w:r w:rsidR="00461004" w:rsidRPr="00617049">
        <w:t xml:space="preserve"> », </w:t>
      </w:r>
      <w:r w:rsidR="00043DFF" w:rsidRPr="00617049">
        <w:t>« </w:t>
      </w:r>
      <w:r w:rsidRPr="00617049">
        <w:t>Sauvegarde et mesures de sauvegarde</w:t>
      </w:r>
      <w:r w:rsidR="00461004" w:rsidRPr="00617049">
        <w:t xml:space="preserve"> », </w:t>
      </w:r>
      <w:r w:rsidR="00D02048" w:rsidRPr="00617049">
        <w:t xml:space="preserve">« Sensibilisation » </w:t>
      </w:r>
      <w:r w:rsidR="00043DFF" w:rsidRPr="00617049">
        <w:t xml:space="preserve"> </w:t>
      </w:r>
      <w:r w:rsidRPr="00617049">
        <w:t>et</w:t>
      </w:r>
      <w:r w:rsidR="00043DFF" w:rsidRPr="00617049">
        <w:t xml:space="preserve"> « </w:t>
      </w:r>
      <w:r w:rsidRPr="00617049">
        <w:t>Viabilité</w:t>
      </w:r>
      <w:r w:rsidR="00461004" w:rsidRPr="00617049">
        <w:t> ».</w:t>
      </w:r>
    </w:p>
    <w:p w14:paraId="111924AF" w14:textId="77777777" w:rsidR="00DC1DA8" w:rsidRPr="00617049" w:rsidRDefault="00C10A1F" w:rsidP="00150FFB">
      <w:pPr>
        <w:pStyle w:val="Chapinfo"/>
      </w:pPr>
      <w:r w:rsidRPr="00617049">
        <w:t xml:space="preserve">On trouvera des exemples qui illustrent </w:t>
      </w:r>
      <w:r w:rsidR="008D5B4A" w:rsidRPr="00617049">
        <w:t>cette unité</w:t>
      </w:r>
      <w:r w:rsidRPr="00617049">
        <w:t xml:space="preserve"> </w:t>
      </w:r>
      <w:r w:rsidR="00D65E8C" w:rsidRPr="00617049">
        <w:t xml:space="preserve">dans </w:t>
      </w:r>
      <w:r w:rsidR="009A2E34" w:rsidRPr="00617049">
        <w:t>les</w:t>
      </w:r>
      <w:r w:rsidRPr="00617049">
        <w:t xml:space="preserve"> </w:t>
      </w:r>
      <w:r w:rsidR="00D65E8C" w:rsidRPr="00617049">
        <w:t xml:space="preserve">Études </w:t>
      </w:r>
      <w:r w:rsidRPr="00617049">
        <w:t>de cas</w:t>
      </w:r>
      <w:r w:rsidR="00C34622" w:rsidRPr="00617049">
        <w:t> </w:t>
      </w:r>
      <w:r w:rsidRPr="00617049">
        <w:t>21</w:t>
      </w:r>
      <w:r w:rsidR="00D02048" w:rsidRPr="00617049">
        <w:t>-</w:t>
      </w:r>
      <w:r w:rsidRPr="00617049">
        <w:t>27.</w:t>
      </w:r>
    </w:p>
    <w:p w14:paraId="3CD018EA" w14:textId="10E9331E" w:rsidR="009E06A6" w:rsidRDefault="00DC1DA8" w:rsidP="009E06A6">
      <w:pPr>
        <w:keepNext w:val="0"/>
        <w:tabs>
          <w:tab w:val="clear" w:pos="567"/>
        </w:tabs>
        <w:snapToGrid/>
        <w:spacing w:line="240" w:lineRule="auto"/>
        <w:ind w:left="0"/>
        <w:jc w:val="left"/>
      </w:pPr>
      <w:r w:rsidRPr="00617049">
        <w:br w:type="page"/>
      </w:r>
      <w:bookmarkStart w:id="7" w:name="_Toc238963263"/>
      <w:bookmarkStart w:id="8" w:name="_Toc241065149"/>
      <w:bookmarkStart w:id="9" w:name="_Toc301443376"/>
      <w:bookmarkStart w:id="10" w:name="_Toc321407019"/>
      <w:bookmarkStart w:id="11" w:name="_Toc354486643"/>
      <w:bookmarkStart w:id="12" w:name="_Toc354486949"/>
      <w:bookmarkStart w:id="13" w:name="_Toc247360234"/>
    </w:p>
    <w:p w14:paraId="4C6C871C" w14:textId="77777777" w:rsidR="009E06A6" w:rsidRDefault="009E06A6" w:rsidP="009E06A6">
      <w:pPr>
        <w:tabs>
          <w:tab w:val="clear" w:pos="567"/>
        </w:tabs>
        <w:snapToGrid/>
        <w:spacing w:before="480" w:line="240" w:lineRule="auto"/>
        <w:ind w:left="0"/>
        <w:jc w:val="left"/>
        <w:rPr>
          <w:rFonts w:eastAsia="Times New Roman"/>
          <w:sz w:val="22"/>
          <w:szCs w:val="22"/>
          <w:lang w:eastAsia="pt-BR"/>
        </w:rPr>
      </w:pPr>
    </w:p>
    <w:p w14:paraId="7A435613" w14:textId="10A611DD" w:rsidR="009E06A6" w:rsidRPr="0052319F" w:rsidRDefault="009E06A6" w:rsidP="009E06A6">
      <w:pPr>
        <w:tabs>
          <w:tab w:val="clear" w:pos="567"/>
        </w:tabs>
        <w:snapToGrid/>
        <w:spacing w:before="480" w:line="240" w:lineRule="auto"/>
        <w:ind w:left="0"/>
        <w:jc w:val="left"/>
        <w:rPr>
          <w:rFonts w:eastAsia="Times New Roman"/>
          <w:sz w:val="22"/>
          <w:szCs w:val="22"/>
          <w:lang w:eastAsia="pt-BR"/>
        </w:rPr>
      </w:pPr>
      <w:bookmarkStart w:id="14" w:name="_GoBack"/>
      <w:r w:rsidRPr="0052319F">
        <w:rPr>
          <w:rFonts w:eastAsia="Times New Roman"/>
          <w:sz w:val="22"/>
          <w:szCs w:val="22"/>
          <w:lang w:eastAsia="pt-BR"/>
        </w:rPr>
        <w:t xml:space="preserve">Publié en </w:t>
      </w:r>
      <w:r w:rsidR="00701455">
        <w:rPr>
          <w:rFonts w:eastAsia="Times New Roman"/>
          <w:sz w:val="22"/>
          <w:szCs w:val="22"/>
          <w:lang w:eastAsia="pt-BR"/>
        </w:rPr>
        <w:t>2016</w:t>
      </w:r>
      <w:r w:rsidRPr="0052319F">
        <w:rPr>
          <w:rFonts w:eastAsia="Times New Roman"/>
          <w:sz w:val="22"/>
          <w:szCs w:val="22"/>
          <w:lang w:eastAsia="pt-BR"/>
        </w:rPr>
        <w:t xml:space="preserve"> par l’Organisation des Nations Unies pour l’éducation, la science et la culture </w:t>
      </w:r>
    </w:p>
    <w:p w14:paraId="044A17B5" w14:textId="77777777" w:rsidR="009E06A6" w:rsidRDefault="009E06A6" w:rsidP="009E06A6">
      <w:pPr>
        <w:autoSpaceDE w:val="0"/>
        <w:autoSpaceDN w:val="0"/>
        <w:adjustRightInd w:val="0"/>
        <w:spacing w:before="120" w:line="240" w:lineRule="auto"/>
        <w:ind w:left="0"/>
        <w:rPr>
          <w:snapToGrid w:val="0"/>
          <w:sz w:val="22"/>
          <w:szCs w:val="22"/>
        </w:rPr>
      </w:pPr>
      <w:r w:rsidRPr="0052319F">
        <w:rPr>
          <w:snapToGrid w:val="0"/>
          <w:sz w:val="22"/>
          <w:szCs w:val="22"/>
        </w:rPr>
        <w:t>7, place de Fontenoy, 75352 Paris 07 SP, France</w:t>
      </w:r>
    </w:p>
    <w:p w14:paraId="297C3786" w14:textId="77777777" w:rsidR="009E06A6" w:rsidRPr="0052319F" w:rsidRDefault="009E06A6" w:rsidP="009E06A6">
      <w:pPr>
        <w:autoSpaceDE w:val="0"/>
        <w:autoSpaceDN w:val="0"/>
        <w:adjustRightInd w:val="0"/>
        <w:spacing w:before="120" w:line="240" w:lineRule="auto"/>
        <w:rPr>
          <w:snapToGrid w:val="0"/>
          <w:sz w:val="22"/>
          <w:szCs w:val="22"/>
        </w:rPr>
      </w:pPr>
    </w:p>
    <w:p w14:paraId="1D6ACF12" w14:textId="25188141" w:rsidR="009E06A6" w:rsidRPr="0052319F" w:rsidRDefault="009E06A6" w:rsidP="009E06A6">
      <w:pPr>
        <w:autoSpaceDE w:val="0"/>
        <w:autoSpaceDN w:val="0"/>
        <w:adjustRightInd w:val="0"/>
        <w:spacing w:before="120" w:line="240" w:lineRule="auto"/>
        <w:ind w:left="0"/>
        <w:rPr>
          <w:snapToGrid w:val="0"/>
          <w:sz w:val="22"/>
          <w:szCs w:val="22"/>
        </w:rPr>
      </w:pPr>
      <w:r w:rsidRPr="0052319F">
        <w:rPr>
          <w:snapToGrid w:val="0"/>
          <w:sz w:val="22"/>
          <w:szCs w:val="22"/>
        </w:rPr>
        <w:t xml:space="preserve">© UNESCO </w:t>
      </w:r>
      <w:r w:rsidR="00701455">
        <w:rPr>
          <w:snapToGrid w:val="0"/>
          <w:sz w:val="22"/>
          <w:szCs w:val="22"/>
        </w:rPr>
        <w:t>2016</w:t>
      </w:r>
    </w:p>
    <w:p w14:paraId="2596B2A4" w14:textId="77777777" w:rsidR="009E06A6" w:rsidRPr="0052319F" w:rsidRDefault="009E06A6" w:rsidP="009E06A6">
      <w:pPr>
        <w:autoSpaceDE w:val="0"/>
        <w:autoSpaceDN w:val="0"/>
        <w:adjustRightInd w:val="0"/>
        <w:spacing w:before="120" w:line="240" w:lineRule="auto"/>
        <w:rPr>
          <w:snapToGrid w:val="0"/>
          <w:sz w:val="22"/>
          <w:szCs w:val="22"/>
        </w:rPr>
      </w:pPr>
      <w:r w:rsidRPr="0052319F">
        <w:rPr>
          <w:noProof/>
          <w:snapToGrid w:val="0"/>
          <w:sz w:val="22"/>
          <w:szCs w:val="22"/>
          <w:lang w:eastAsia="zh-TW"/>
        </w:rPr>
        <w:drawing>
          <wp:anchor distT="0" distB="0" distL="114300" distR="114300" simplePos="0" relativeHeight="252160512" behindDoc="0" locked="0" layoutInCell="1" allowOverlap="1" wp14:anchorId="03E114EB" wp14:editId="6CEC391C">
            <wp:simplePos x="0" y="0"/>
            <wp:positionH relativeFrom="column">
              <wp:posOffset>-635</wp:posOffset>
            </wp:positionH>
            <wp:positionV relativeFrom="paragraph">
              <wp:posOffset>153035</wp:posOffset>
            </wp:positionV>
            <wp:extent cx="756285" cy="265430"/>
            <wp:effectExtent l="0" t="0" r="5715" b="127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6285" cy="265430"/>
                    </a:xfrm>
                    <a:prstGeom prst="rect">
                      <a:avLst/>
                    </a:prstGeom>
                  </pic:spPr>
                </pic:pic>
              </a:graphicData>
            </a:graphic>
            <wp14:sizeRelH relativeFrom="page">
              <wp14:pctWidth>0</wp14:pctWidth>
            </wp14:sizeRelH>
            <wp14:sizeRelV relativeFrom="page">
              <wp14:pctHeight>0</wp14:pctHeight>
            </wp14:sizeRelV>
          </wp:anchor>
        </w:drawing>
      </w:r>
    </w:p>
    <w:p w14:paraId="215013E6" w14:textId="77777777" w:rsidR="009E06A6" w:rsidRDefault="009E06A6" w:rsidP="009E06A6">
      <w:pPr>
        <w:autoSpaceDE w:val="0"/>
        <w:autoSpaceDN w:val="0"/>
        <w:adjustRightInd w:val="0"/>
        <w:spacing w:before="120" w:line="240" w:lineRule="auto"/>
        <w:rPr>
          <w:snapToGrid w:val="0"/>
          <w:sz w:val="22"/>
          <w:szCs w:val="22"/>
        </w:rPr>
      </w:pPr>
    </w:p>
    <w:p w14:paraId="18181BA0" w14:textId="77777777" w:rsidR="009E06A6" w:rsidRPr="0052319F" w:rsidRDefault="009E06A6" w:rsidP="009E06A6">
      <w:pPr>
        <w:autoSpaceDE w:val="0"/>
        <w:autoSpaceDN w:val="0"/>
        <w:adjustRightInd w:val="0"/>
        <w:spacing w:before="120" w:line="240" w:lineRule="auto"/>
        <w:ind w:left="0"/>
        <w:rPr>
          <w:snapToGrid w:val="0"/>
          <w:sz w:val="22"/>
          <w:szCs w:val="22"/>
        </w:rPr>
      </w:pPr>
      <w:r w:rsidRPr="0052319F">
        <w:rPr>
          <w:snapToGrid w:val="0"/>
          <w:sz w:val="22"/>
          <w:szCs w:val="22"/>
        </w:rPr>
        <w:t>Œuvre publiée en libre accès sous la licence Attribution-ShareAlike 3.0 IGO (CC-BY-SA 3.0 IGO) (</w:t>
      </w:r>
      <w:hyperlink r:id="rId10" w:history="1">
        <w:r w:rsidRPr="0052319F">
          <w:rPr>
            <w:snapToGrid w:val="0"/>
            <w:sz w:val="22"/>
            <w:szCs w:val="22"/>
          </w:rPr>
          <w:t>http://creativecommons.org/licenses/by-sa/3.0/igo/</w:t>
        </w:r>
      </w:hyperlink>
      <w:r w:rsidRPr="0052319F">
        <w:rPr>
          <w:snapToGrid w:val="0"/>
          <w:sz w:val="22"/>
          <w:szCs w:val="22"/>
        </w:rPr>
        <w:t>). Les utilisateurs du contenu de la présente publication acceptent les termes d’utilisation de l’Archive ouverte de libre accès UNESCO (</w:t>
      </w:r>
      <w:hyperlink r:id="rId11" w:history="1">
        <w:r w:rsidRPr="0052319F">
          <w:rPr>
            <w:snapToGrid w:val="0"/>
            <w:sz w:val="22"/>
          </w:rPr>
          <w:t>www.unesco.org/open-access/terms-use-ccbysa-fr</w:t>
        </w:r>
      </w:hyperlink>
      <w:r w:rsidRPr="0052319F">
        <w:rPr>
          <w:snapToGrid w:val="0"/>
          <w:sz w:val="22"/>
          <w:szCs w:val="22"/>
        </w:rPr>
        <w:t>).</w:t>
      </w:r>
    </w:p>
    <w:p w14:paraId="6FE87E06" w14:textId="77777777" w:rsidR="009E06A6" w:rsidRPr="0052319F" w:rsidRDefault="009E06A6" w:rsidP="009E06A6">
      <w:pPr>
        <w:autoSpaceDE w:val="0"/>
        <w:autoSpaceDN w:val="0"/>
        <w:adjustRightInd w:val="0"/>
        <w:spacing w:before="120" w:line="240" w:lineRule="auto"/>
        <w:ind w:left="0"/>
        <w:rPr>
          <w:snapToGrid w:val="0"/>
          <w:sz w:val="22"/>
          <w:szCs w:val="22"/>
        </w:rPr>
      </w:pPr>
      <w:r w:rsidRPr="0052319F">
        <w:rPr>
          <w:snapToGrid w:val="0"/>
          <w:sz w:val="22"/>
          <w:szCs w:val="22"/>
        </w:rPr>
        <w:t xml:space="preserve">Les images dans cette publication ne sont pas couvertes par la licence CC-BY-SA et ne peuvent en aucune façon être commercialisées ou reproduites sans l’autorisation expresse des détenteurs des droits de reproduction. </w:t>
      </w:r>
    </w:p>
    <w:p w14:paraId="45378F29" w14:textId="77777777" w:rsidR="009E06A6" w:rsidRPr="0052319F" w:rsidRDefault="009E06A6" w:rsidP="009E06A6">
      <w:pPr>
        <w:autoSpaceDE w:val="0"/>
        <w:autoSpaceDN w:val="0"/>
        <w:adjustRightInd w:val="0"/>
        <w:spacing w:before="120" w:line="240" w:lineRule="auto"/>
        <w:rPr>
          <w:snapToGrid w:val="0"/>
          <w:sz w:val="22"/>
          <w:szCs w:val="22"/>
        </w:rPr>
      </w:pPr>
    </w:p>
    <w:p w14:paraId="7F7BEFC8" w14:textId="77777777" w:rsidR="009E06A6" w:rsidRPr="009E06A6" w:rsidRDefault="009E06A6" w:rsidP="009E06A6">
      <w:pPr>
        <w:autoSpaceDE w:val="0"/>
        <w:autoSpaceDN w:val="0"/>
        <w:adjustRightInd w:val="0"/>
        <w:spacing w:before="120" w:line="240" w:lineRule="auto"/>
        <w:ind w:left="0"/>
        <w:rPr>
          <w:snapToGrid w:val="0"/>
          <w:sz w:val="22"/>
          <w:szCs w:val="22"/>
        </w:rPr>
      </w:pPr>
      <w:r w:rsidRPr="009E06A6">
        <w:rPr>
          <w:snapToGrid w:val="0"/>
          <w:sz w:val="22"/>
          <w:szCs w:val="22"/>
        </w:rPr>
        <w:t>Titre original : Safeguarding</w:t>
      </w:r>
    </w:p>
    <w:p w14:paraId="50AACE55" w14:textId="3F438556" w:rsidR="009E06A6" w:rsidRPr="0052319F" w:rsidRDefault="009E06A6" w:rsidP="009E06A6">
      <w:pPr>
        <w:autoSpaceDE w:val="0"/>
        <w:autoSpaceDN w:val="0"/>
        <w:adjustRightInd w:val="0"/>
        <w:spacing w:before="120" w:line="240" w:lineRule="auto"/>
        <w:ind w:left="0"/>
        <w:rPr>
          <w:snapToGrid w:val="0"/>
          <w:sz w:val="22"/>
          <w:szCs w:val="22"/>
        </w:rPr>
      </w:pPr>
      <w:r w:rsidRPr="0052319F">
        <w:rPr>
          <w:snapToGrid w:val="0"/>
          <w:sz w:val="22"/>
          <w:szCs w:val="22"/>
        </w:rPr>
        <w:t xml:space="preserve">Publié en </w:t>
      </w:r>
      <w:r w:rsidR="00701455">
        <w:rPr>
          <w:snapToGrid w:val="0"/>
          <w:sz w:val="22"/>
          <w:szCs w:val="22"/>
        </w:rPr>
        <w:t>2016</w:t>
      </w:r>
      <w:r w:rsidRPr="0052319F">
        <w:rPr>
          <w:snapToGrid w:val="0"/>
          <w:sz w:val="22"/>
          <w:szCs w:val="22"/>
        </w:rPr>
        <w:t xml:space="preserve"> par l’Organisation des Nations Unies pour l’éducation, la science et la culture </w:t>
      </w:r>
    </w:p>
    <w:p w14:paraId="43BA6453" w14:textId="77777777" w:rsidR="009E06A6" w:rsidRPr="0052319F" w:rsidRDefault="009E06A6" w:rsidP="009E06A6">
      <w:pPr>
        <w:autoSpaceDE w:val="0"/>
        <w:autoSpaceDN w:val="0"/>
        <w:adjustRightInd w:val="0"/>
        <w:spacing w:before="120" w:line="240" w:lineRule="auto"/>
        <w:rPr>
          <w:snapToGrid w:val="0"/>
          <w:sz w:val="22"/>
          <w:szCs w:val="22"/>
        </w:rPr>
      </w:pPr>
    </w:p>
    <w:p w14:paraId="60A7AF00" w14:textId="77777777" w:rsidR="009E06A6" w:rsidRPr="0052319F" w:rsidRDefault="009E06A6" w:rsidP="009E06A6">
      <w:pPr>
        <w:autoSpaceDE w:val="0"/>
        <w:autoSpaceDN w:val="0"/>
        <w:adjustRightInd w:val="0"/>
        <w:spacing w:before="120" w:line="240" w:lineRule="auto"/>
        <w:ind w:left="0"/>
        <w:rPr>
          <w:snapToGrid w:val="0"/>
          <w:sz w:val="22"/>
          <w:szCs w:val="22"/>
        </w:rPr>
      </w:pPr>
      <w:r w:rsidRPr="0052319F">
        <w:rPr>
          <w:snapToGrid w:val="0"/>
          <w:sz w:val="22"/>
          <w:szCs w:val="22"/>
        </w:rPr>
        <w:t>Les désignations employées dans cette publication et la présentation des données qui y figurent n’impliquent de la part de l’UNESCO aucune prise de position quant au statut juridique des pays, territoires, villes ou zones, ou de leurs autorités, ni quant au tracé de leurs frontières ou limites.</w:t>
      </w:r>
    </w:p>
    <w:p w14:paraId="1BF16D97" w14:textId="77777777" w:rsidR="009E06A6" w:rsidRPr="0052319F" w:rsidRDefault="009E06A6" w:rsidP="009E06A6">
      <w:pPr>
        <w:autoSpaceDE w:val="0"/>
        <w:autoSpaceDN w:val="0"/>
        <w:adjustRightInd w:val="0"/>
        <w:spacing w:before="120" w:line="240" w:lineRule="auto"/>
        <w:rPr>
          <w:snapToGrid w:val="0"/>
          <w:sz w:val="22"/>
          <w:szCs w:val="22"/>
        </w:rPr>
      </w:pPr>
    </w:p>
    <w:p w14:paraId="1806047D" w14:textId="77777777" w:rsidR="009E06A6" w:rsidRPr="0052319F" w:rsidRDefault="009E06A6" w:rsidP="009E06A6">
      <w:pPr>
        <w:autoSpaceDE w:val="0"/>
        <w:autoSpaceDN w:val="0"/>
        <w:adjustRightInd w:val="0"/>
        <w:spacing w:before="120" w:line="240" w:lineRule="auto"/>
        <w:ind w:left="0"/>
        <w:rPr>
          <w:snapToGrid w:val="0"/>
          <w:sz w:val="22"/>
          <w:szCs w:val="22"/>
        </w:rPr>
      </w:pPr>
      <w:r w:rsidRPr="0052319F">
        <w:rPr>
          <w:snapToGrid w:val="0"/>
          <w:sz w:val="22"/>
          <w:szCs w:val="22"/>
        </w:rPr>
        <w:t>Les idées et les opinions exprimées dans cette publication sont celles des auteurs ; elles ne reflètent pas nécessairement les points de vue de l’UNESCO et n’engagent en aucune façon l’Organisation.</w:t>
      </w:r>
    </w:p>
    <w:bookmarkEnd w:id="14"/>
    <w:p w14:paraId="39E6DF97" w14:textId="77777777" w:rsidR="009E06A6" w:rsidRDefault="009E06A6" w:rsidP="009E06A6">
      <w:pPr>
        <w:tabs>
          <w:tab w:val="clear" w:pos="567"/>
        </w:tabs>
        <w:snapToGrid/>
        <w:spacing w:line="240" w:lineRule="auto"/>
        <w:ind w:left="0"/>
        <w:jc w:val="left"/>
      </w:pPr>
    </w:p>
    <w:p w14:paraId="5D5ABEEB" w14:textId="43E95525" w:rsidR="009E06A6" w:rsidRPr="009E06A6" w:rsidRDefault="009E06A6" w:rsidP="009E06A6">
      <w:pPr>
        <w:tabs>
          <w:tab w:val="clear" w:pos="567"/>
        </w:tabs>
        <w:snapToGrid/>
        <w:spacing w:line="240" w:lineRule="auto"/>
        <w:ind w:left="0"/>
        <w:jc w:val="left"/>
        <w:rPr>
          <w:i/>
          <w:iCs/>
          <w:color w:val="3366FF"/>
        </w:rPr>
      </w:pPr>
      <w:r>
        <w:br w:type="page"/>
      </w:r>
    </w:p>
    <w:p w14:paraId="19C3099A" w14:textId="7D3D897A" w:rsidR="004325DC" w:rsidRPr="00617049" w:rsidRDefault="009A2E34" w:rsidP="00150FFB">
      <w:pPr>
        <w:pStyle w:val="Titcoul"/>
        <w:spacing w:before="0"/>
        <w:ind w:left="0" w:firstLine="0"/>
      </w:pPr>
      <w:r w:rsidRPr="00617049">
        <w:lastRenderedPageBreak/>
        <w:t>9</w:t>
      </w:r>
      <w:r w:rsidR="00C10A1F" w:rsidRPr="00617049">
        <w:t>.1</w:t>
      </w:r>
      <w:bookmarkEnd w:id="7"/>
      <w:bookmarkEnd w:id="8"/>
      <w:r w:rsidR="0022235D" w:rsidRPr="00617049">
        <w:tab/>
      </w:r>
      <w:bookmarkStart w:id="15" w:name="_Toc238963264"/>
      <w:bookmarkStart w:id="16" w:name="_Toc241065150"/>
      <w:r w:rsidR="00C10A1F" w:rsidRPr="00617049">
        <w:t xml:space="preserve">La Convention et </w:t>
      </w:r>
      <w:r w:rsidR="00C34622" w:rsidRPr="00617049">
        <w:t xml:space="preserve">la </w:t>
      </w:r>
      <w:r w:rsidR="00C10A1F" w:rsidRPr="00617049">
        <w:t>sauvegarde</w:t>
      </w:r>
      <w:bookmarkEnd w:id="9"/>
      <w:bookmarkEnd w:id="10"/>
      <w:bookmarkEnd w:id="11"/>
      <w:bookmarkEnd w:id="12"/>
      <w:bookmarkEnd w:id="13"/>
      <w:bookmarkEnd w:id="15"/>
      <w:bookmarkEnd w:id="16"/>
    </w:p>
    <w:p w14:paraId="6A5414F6" w14:textId="77777777" w:rsidR="002D41E4" w:rsidRPr="00617049" w:rsidRDefault="00C10A1F" w:rsidP="00914287">
      <w:pPr>
        <w:pStyle w:val="Texte1"/>
      </w:pPr>
      <w:r w:rsidRPr="00617049">
        <w:t>L</w:t>
      </w:r>
      <w:r w:rsidR="00A61E6D" w:rsidRPr="00617049">
        <w:t>’</w:t>
      </w:r>
      <w:r w:rsidR="00043DFF" w:rsidRPr="00617049">
        <w:t>article </w:t>
      </w:r>
      <w:r w:rsidRPr="00617049">
        <w:t xml:space="preserve">2.3 de la Convention définit la sauvegarde comme </w:t>
      </w:r>
      <w:r w:rsidR="00E067A0" w:rsidRPr="00617049">
        <w:t xml:space="preserve">une </w:t>
      </w:r>
      <w:r w:rsidRPr="00617049">
        <w:t>mesure</w:t>
      </w:r>
      <w:r w:rsidR="00043DFF" w:rsidRPr="00617049">
        <w:t xml:space="preserve"> « </w:t>
      </w:r>
      <w:r w:rsidRPr="00617049">
        <w:t>visant à assurer la viabilité du patrimoine culturel immatériel</w:t>
      </w:r>
      <w:r w:rsidR="00461004" w:rsidRPr="00617049">
        <w:t xml:space="preserve"> », </w:t>
      </w:r>
      <w:r w:rsidRPr="00617049">
        <w:rPr>
          <w:bCs/>
        </w:rPr>
        <w:t xml:space="preserve">(voir </w:t>
      </w:r>
      <w:r w:rsidR="00646D3D" w:rsidRPr="00617049">
        <w:rPr>
          <w:bCs/>
        </w:rPr>
        <w:t>Texte du participant</w:t>
      </w:r>
      <w:r w:rsidR="00F9570F" w:rsidRPr="00617049">
        <w:rPr>
          <w:bCs/>
        </w:rPr>
        <w:t xml:space="preserve"> de l’</w:t>
      </w:r>
      <w:r w:rsidR="002D41E4" w:rsidRPr="00617049">
        <w:rPr>
          <w:bCs/>
        </w:rPr>
        <w:t>Unité 3</w:t>
      </w:r>
      <w:r w:rsidR="00EA1FE1" w:rsidRPr="00617049">
        <w:rPr>
          <w:bCs/>
        </w:rPr>
        <w:t> :</w:t>
      </w:r>
      <w:r w:rsidR="00043DFF" w:rsidRPr="00617049">
        <w:rPr>
          <w:bCs/>
        </w:rPr>
        <w:t xml:space="preserve"> « </w:t>
      </w:r>
      <w:r w:rsidRPr="00617049">
        <w:rPr>
          <w:bCs/>
        </w:rPr>
        <w:t>Sauvegarde et mesures de sauvegarde)</w:t>
      </w:r>
      <w:r w:rsidR="00387062">
        <w:t>.</w:t>
      </w:r>
    </w:p>
    <w:p w14:paraId="36B50E2A" w14:textId="77777777" w:rsidR="004325DC" w:rsidRPr="00617049" w:rsidRDefault="00C10A1F" w:rsidP="00914287">
      <w:pPr>
        <w:pStyle w:val="Texte1"/>
      </w:pPr>
      <w:r w:rsidRPr="00617049">
        <w:t>Dans son approche sur le maintien de la viabilité d</w:t>
      </w:r>
      <w:r w:rsidR="00A61E6D" w:rsidRPr="00617049">
        <w:t>’</w:t>
      </w:r>
      <w:r w:rsidRPr="00617049">
        <w:t xml:space="preserve">une pratique ou </w:t>
      </w:r>
      <w:r w:rsidR="002D41E4" w:rsidRPr="00617049">
        <w:rPr>
          <w:noProof/>
          <w:lang w:eastAsia="zh-TW"/>
        </w:rPr>
        <w:drawing>
          <wp:anchor distT="0" distB="0" distL="114300" distR="114300" simplePos="0" relativeHeight="251889152" behindDoc="0" locked="1" layoutInCell="1" allowOverlap="0" wp14:anchorId="66337AC0" wp14:editId="5FF8F722">
            <wp:simplePos x="0" y="0"/>
            <wp:positionH relativeFrom="column">
              <wp:posOffset>-635</wp:posOffset>
            </wp:positionH>
            <wp:positionV relativeFrom="paragraph">
              <wp:posOffset>-454025</wp:posOffset>
            </wp:positionV>
            <wp:extent cx="283210" cy="358775"/>
            <wp:effectExtent l="0" t="0" r="2540" b="3175"/>
            <wp:wrapThrough wrapText="bothSides">
              <wp:wrapPolygon edited="0">
                <wp:start x="0" y="0"/>
                <wp:lineTo x="0" y="20644"/>
                <wp:lineTo x="20341" y="20644"/>
                <wp:lineTo x="20341" y="0"/>
                <wp:lineTo x="0" y="0"/>
              </wp:wrapPolygon>
            </wp:wrapThrough>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anchor>
        </w:drawing>
      </w:r>
      <w:r w:rsidRPr="00617049">
        <w:t>d</w:t>
      </w:r>
      <w:r w:rsidR="00A61E6D" w:rsidRPr="00617049">
        <w:t>’</w:t>
      </w:r>
      <w:r w:rsidRPr="00617049">
        <w:t xml:space="preserve">expressions, la sauvegarde du </w:t>
      </w:r>
      <w:r w:rsidR="006D3956" w:rsidRPr="00617049">
        <w:t>patrimoine</w:t>
      </w:r>
      <w:r w:rsidR="00BB2FF5" w:rsidRPr="00617049">
        <w:t xml:space="preserve"> immatériel</w:t>
      </w:r>
      <w:r w:rsidRPr="00617049">
        <w:t xml:space="preserve"> est tout à fait différente de la conservation du patrimoine matériel et des sites</w:t>
      </w:r>
      <w:r w:rsidR="005B61E5">
        <w:t>.</w:t>
      </w:r>
    </w:p>
    <w:p w14:paraId="5AED3134" w14:textId="77777777" w:rsidR="00C10A1F" w:rsidRPr="00617049" w:rsidRDefault="00C10A1F">
      <w:pPr>
        <w:pStyle w:val="Heading4"/>
      </w:pPr>
      <w:bookmarkStart w:id="17" w:name="_Toc247360235"/>
      <w:r w:rsidRPr="00617049">
        <w:t>La sauvegarde est l</w:t>
      </w:r>
      <w:r w:rsidR="00A61E6D" w:rsidRPr="00617049">
        <w:t>’</w:t>
      </w:r>
      <w:r w:rsidRPr="00617049">
        <w:t>objectif principal de la Convention</w:t>
      </w:r>
      <w:bookmarkEnd w:id="17"/>
    </w:p>
    <w:p w14:paraId="588590D3" w14:textId="77777777" w:rsidR="004325DC" w:rsidRPr="00617049" w:rsidRDefault="00C10A1F" w:rsidP="00914287">
      <w:pPr>
        <w:pStyle w:val="Texte1"/>
      </w:pPr>
      <w:r w:rsidRPr="00617049">
        <w:t>Sauvegarder le PCI est l</w:t>
      </w:r>
      <w:r w:rsidR="00A61E6D" w:rsidRPr="00617049">
        <w:t>’</w:t>
      </w:r>
      <w:r w:rsidRPr="00617049">
        <w:t>objectif principal de la Convention, comme l</w:t>
      </w:r>
      <w:r w:rsidR="00A61E6D" w:rsidRPr="00617049">
        <w:t>’</w:t>
      </w:r>
      <w:r w:rsidRPr="00617049">
        <w:t>indique son titre complet de</w:t>
      </w:r>
      <w:r w:rsidR="00043DFF" w:rsidRPr="00617049">
        <w:t xml:space="preserve"> « </w:t>
      </w:r>
      <w:r w:rsidRPr="00617049">
        <w:t>Convention pour la sauvegarde du patrimoine culturel immatériel</w:t>
      </w:r>
      <w:r w:rsidR="00461004" w:rsidRPr="00617049">
        <w:t xml:space="preserve"> ». </w:t>
      </w:r>
      <w:r w:rsidRPr="00617049">
        <w:t>Plusieurs dispositions de la Convention et des Directives opérationnelles (DO) corroborent cette idée</w:t>
      </w:r>
      <w:r w:rsidR="00EA1FE1" w:rsidRPr="00617049">
        <w:t> :</w:t>
      </w:r>
    </w:p>
    <w:p w14:paraId="1711CEF0" w14:textId="77777777" w:rsidR="004325DC" w:rsidRPr="00617049" w:rsidRDefault="00C10A1F" w:rsidP="00E357E9">
      <w:pPr>
        <w:pStyle w:val="Txtpucegras"/>
        <w:rPr>
          <w:bCs/>
        </w:rPr>
      </w:pPr>
      <w:r w:rsidRPr="00617049">
        <w:t>Les États parties sont priés de</w:t>
      </w:r>
      <w:r w:rsidR="00043DFF" w:rsidRPr="00617049">
        <w:t xml:space="preserve"> « </w:t>
      </w:r>
      <w:r w:rsidRPr="00617049">
        <w:t>prendre les mesures nécessaires</w:t>
      </w:r>
      <w:r w:rsidR="00043DFF" w:rsidRPr="00617049">
        <w:t xml:space="preserve"> » </w:t>
      </w:r>
      <w:r w:rsidRPr="00617049">
        <w:t>pour sauvegarder le PCI présent sur leur territoire (</w:t>
      </w:r>
      <w:r w:rsidR="00043DFF" w:rsidRPr="00617049">
        <w:t>article </w:t>
      </w:r>
      <w:r w:rsidR="00387062">
        <w:t>11(a)).</w:t>
      </w:r>
    </w:p>
    <w:p w14:paraId="213C9053" w14:textId="77777777" w:rsidR="004325DC" w:rsidRPr="00617049" w:rsidRDefault="00C10A1F" w:rsidP="00E357E9">
      <w:pPr>
        <w:pStyle w:val="Txtpucegras"/>
        <w:rPr>
          <w:bCs/>
        </w:rPr>
      </w:pPr>
      <w:r w:rsidRPr="00617049">
        <w:t>Les États parties sont encouragés à soutenir et venir en aide aux communautés vivant sur leur territoire qui désirent sauvegarder des éléments spécifiques de leur PCI.</w:t>
      </w:r>
    </w:p>
    <w:p w14:paraId="2B799067" w14:textId="77777777" w:rsidR="004325DC" w:rsidRPr="00617049" w:rsidRDefault="00C10A1F" w:rsidP="00E357E9">
      <w:pPr>
        <w:pStyle w:val="Txtpucegras"/>
        <w:rPr>
          <w:bCs/>
        </w:rPr>
      </w:pPr>
      <w:r w:rsidRPr="00617049">
        <w:t xml:space="preserve">Les </w:t>
      </w:r>
      <w:r w:rsidR="00461004" w:rsidRPr="00617049">
        <w:t>DO </w:t>
      </w:r>
      <w:r w:rsidR="009F7917" w:rsidRPr="00617049">
        <w:t>suggèrent l</w:t>
      </w:r>
      <w:r w:rsidR="00E03B15" w:rsidRPr="00617049">
        <w:t>es</w:t>
      </w:r>
      <w:r w:rsidRPr="00617049">
        <w:t xml:space="preserve"> moyens di</w:t>
      </w:r>
      <w:r w:rsidR="00E03B15" w:rsidRPr="00617049">
        <w:t>vers et variés</w:t>
      </w:r>
      <w:r w:rsidRPr="00617049">
        <w:t xml:space="preserve"> </w:t>
      </w:r>
      <w:r w:rsidR="00E03B15" w:rsidRPr="00617049">
        <w:t>dont</w:t>
      </w:r>
      <w:r w:rsidRPr="00617049">
        <w:t xml:space="preserve"> dispos</w:t>
      </w:r>
      <w:r w:rsidR="00E03B15" w:rsidRPr="00617049">
        <w:t>ent l</w:t>
      </w:r>
      <w:r w:rsidRPr="00617049">
        <w:t xml:space="preserve">es États </w:t>
      </w:r>
      <w:r w:rsidR="00E03B15" w:rsidRPr="00617049">
        <w:t xml:space="preserve">pour </w:t>
      </w:r>
      <w:r w:rsidRPr="00617049">
        <w:t xml:space="preserve">les aider à sauvegarder le PCI et à soutenir les communautés dans cette tâche (cf. </w:t>
      </w:r>
      <w:r w:rsidR="00461004" w:rsidRPr="00617049">
        <w:t>DO </w:t>
      </w:r>
      <w:r w:rsidRPr="00617049">
        <w:t>80</w:t>
      </w:r>
      <w:r w:rsidR="00D762C8" w:rsidRPr="00617049">
        <w:t>-</w:t>
      </w:r>
      <w:r w:rsidRPr="00617049">
        <w:t>82 et 85</w:t>
      </w:r>
      <w:r w:rsidR="00D762C8" w:rsidRPr="00617049">
        <w:t>-</w:t>
      </w:r>
      <w:r w:rsidRPr="00617049">
        <w:t>86).</w:t>
      </w:r>
    </w:p>
    <w:p w14:paraId="71A5877F" w14:textId="77777777" w:rsidR="004325DC" w:rsidRPr="00617049" w:rsidRDefault="00C10A1F" w:rsidP="00E357E9">
      <w:pPr>
        <w:pStyle w:val="Txtpucegras"/>
      </w:pPr>
      <w:r w:rsidRPr="00617049">
        <w:t>La Convention établit une Liste spéciale du PCI nécessitant une sauvegarde urgente (</w:t>
      </w:r>
      <w:r w:rsidR="00043DFF" w:rsidRPr="00617049">
        <w:t>article </w:t>
      </w:r>
      <w:r w:rsidRPr="00617049">
        <w:t>17</w:t>
      </w:r>
      <w:r w:rsidR="00EA1FE1" w:rsidRPr="00617049">
        <w:t> ;</w:t>
      </w:r>
      <w:r w:rsidRPr="00617049">
        <w:t xml:space="preserve"> </w:t>
      </w:r>
      <w:r w:rsidR="00461004" w:rsidRPr="00617049">
        <w:t>DO </w:t>
      </w:r>
      <w:r w:rsidRPr="00617049">
        <w:t>1) et prend des dispositions particulières concernant les éléments qui nécessitent une sauvegarde à traiter en extrême urgence (</w:t>
      </w:r>
      <w:r w:rsidR="00461004" w:rsidRPr="00617049">
        <w:t>DO </w:t>
      </w:r>
      <w:r w:rsidRPr="00617049">
        <w:t>33</w:t>
      </w:r>
      <w:r w:rsidR="00D762C8" w:rsidRPr="00617049">
        <w:t>-</w:t>
      </w:r>
      <w:r w:rsidRPr="00617049">
        <w:t>34).</w:t>
      </w:r>
    </w:p>
    <w:p w14:paraId="764C094C" w14:textId="77777777" w:rsidR="004325DC" w:rsidRPr="00617049" w:rsidRDefault="00C10A1F" w:rsidP="00E357E9">
      <w:pPr>
        <w:pStyle w:val="Txtpucegras"/>
      </w:pPr>
      <w:r w:rsidRPr="00617049">
        <w:t>L</w:t>
      </w:r>
      <w:r w:rsidR="00A61E6D" w:rsidRPr="00617049">
        <w:t>’</w:t>
      </w:r>
      <w:r w:rsidR="00043DFF" w:rsidRPr="00617049">
        <w:t>article </w:t>
      </w:r>
      <w:r w:rsidRPr="00617049">
        <w:t>18 de la Convention préconise la proposition d</w:t>
      </w:r>
      <w:r w:rsidR="00A61E6D" w:rsidRPr="00617049">
        <w:t>’</w:t>
      </w:r>
      <w:r w:rsidRPr="00617049">
        <w:t>inscription, la sélection et la diffusion de ce qu</w:t>
      </w:r>
      <w:r w:rsidR="00A61E6D" w:rsidRPr="00617049">
        <w:t>’</w:t>
      </w:r>
      <w:r w:rsidRPr="00617049">
        <w:t xml:space="preserve">on </w:t>
      </w:r>
      <w:r w:rsidR="00D7682F" w:rsidRPr="00617049">
        <w:t xml:space="preserve">a coutume d’appeler </w:t>
      </w:r>
      <w:r w:rsidRPr="00617049">
        <w:t xml:space="preserve">les </w:t>
      </w:r>
      <w:r w:rsidR="002310B2">
        <w:t>bonnes</w:t>
      </w:r>
      <w:r w:rsidRPr="00617049">
        <w:t xml:space="preserve"> pratiques de sauvegarde (</w:t>
      </w:r>
      <w:r w:rsidR="00461004" w:rsidRPr="00617049">
        <w:t>DO </w:t>
      </w:r>
      <w:r w:rsidRPr="00617049">
        <w:t>42</w:t>
      </w:r>
      <w:r w:rsidR="00D762C8" w:rsidRPr="00617049">
        <w:t>-</w:t>
      </w:r>
      <w:r w:rsidRPr="00617049">
        <w:t>46).</w:t>
      </w:r>
    </w:p>
    <w:p w14:paraId="5E0D93AE" w14:textId="77777777" w:rsidR="004325DC" w:rsidRPr="00617049" w:rsidRDefault="00C10A1F" w:rsidP="00E357E9">
      <w:pPr>
        <w:pStyle w:val="Txtpucegras"/>
      </w:pPr>
      <w:r w:rsidRPr="00617049">
        <w:t>L</w:t>
      </w:r>
      <w:r w:rsidR="00983A66">
        <w:t xml:space="preserve">’un des </w:t>
      </w:r>
      <w:r w:rsidRPr="00617049">
        <w:t>objectif</w:t>
      </w:r>
      <w:r w:rsidR="00983A66">
        <w:t>s</w:t>
      </w:r>
      <w:r w:rsidRPr="00617049">
        <w:t xml:space="preserve"> de l</w:t>
      </w:r>
      <w:r w:rsidR="00A61E6D" w:rsidRPr="00617049">
        <w:t>’</w:t>
      </w:r>
      <w:r w:rsidRPr="00617049">
        <w:t xml:space="preserve">assistance internationale énoncé </w:t>
      </w:r>
      <w:r w:rsidR="00D7682F" w:rsidRPr="00617049">
        <w:t>à</w:t>
      </w:r>
      <w:r w:rsidRPr="00617049">
        <w:t xml:space="preserve"> l</w:t>
      </w:r>
      <w:r w:rsidR="00A61E6D" w:rsidRPr="00617049">
        <w:t>’</w:t>
      </w:r>
      <w:r w:rsidR="00043DFF" w:rsidRPr="00617049">
        <w:t>article </w:t>
      </w:r>
      <w:r w:rsidRPr="00617049">
        <w:t xml:space="preserve">20 de la Convention est la sauvegarde du patrimoine inscrit sur la Liste </w:t>
      </w:r>
      <w:r w:rsidR="00984293">
        <w:t>du patrim</w:t>
      </w:r>
      <w:r w:rsidR="00686CA9">
        <w:t>oine immatériel nécessitant une</w:t>
      </w:r>
      <w:r w:rsidRPr="00617049">
        <w:t xml:space="preserve"> sauvegarde urgente (</w:t>
      </w:r>
      <w:r w:rsidR="00461004" w:rsidRPr="00617049">
        <w:t>DO </w:t>
      </w:r>
      <w:r w:rsidRPr="00617049">
        <w:t>9(a)).</w:t>
      </w:r>
    </w:p>
    <w:p w14:paraId="49E769C7" w14:textId="26648E16" w:rsidR="00C10A1F" w:rsidRPr="00E357E9" w:rsidRDefault="00C10A1F" w:rsidP="000542FD">
      <w:pPr>
        <w:pStyle w:val="Heading4"/>
      </w:pPr>
      <w:bookmarkStart w:id="18" w:name="_Toc247360236"/>
      <w:r w:rsidRPr="00617049">
        <w:t xml:space="preserve">Mesures de sauvegarde </w:t>
      </w:r>
      <w:r w:rsidR="005D01EF" w:rsidRPr="00617049">
        <w:t xml:space="preserve">gÉnÉrales </w:t>
      </w:r>
      <w:r w:rsidRPr="00617049">
        <w:t>et particulières</w:t>
      </w:r>
      <w:bookmarkEnd w:id="18"/>
    </w:p>
    <w:p w14:paraId="4DD1E2E4" w14:textId="59AE7E07" w:rsidR="004325DC" w:rsidRPr="00E357E9" w:rsidRDefault="00C10A1F" w:rsidP="001825BA">
      <w:pPr>
        <w:pStyle w:val="Texte1"/>
      </w:pPr>
      <w:r w:rsidRPr="00E357E9">
        <w:t xml:space="preserve">Les mesures de sauvegarde peuvent </w:t>
      </w:r>
      <w:r w:rsidR="009B3F4F" w:rsidRPr="00E357E9">
        <w:t>viser à</w:t>
      </w:r>
      <w:r w:rsidRPr="00E357E9">
        <w:t xml:space="preserve"> cré</w:t>
      </w:r>
      <w:r w:rsidR="00DD16FF" w:rsidRPr="00E357E9">
        <w:t>er d</w:t>
      </w:r>
      <w:r w:rsidRPr="00E357E9">
        <w:t>e</w:t>
      </w:r>
      <w:r w:rsidR="009B3F4F" w:rsidRPr="00E357E9">
        <w:t>s</w:t>
      </w:r>
      <w:r w:rsidRPr="00E357E9">
        <w:t xml:space="preserve"> conditions générales favorables </w:t>
      </w:r>
      <w:r w:rsidR="00AB1A85" w:rsidRPr="00E357E9">
        <w:t xml:space="preserve">à </w:t>
      </w:r>
      <w:r w:rsidR="009B3F4F" w:rsidRPr="00E357E9">
        <w:t xml:space="preserve">l’épanouissement du PCI présent </w:t>
      </w:r>
      <w:r w:rsidR="000524DD" w:rsidRPr="00E357E9">
        <w:t>sur</w:t>
      </w:r>
      <w:r w:rsidR="009B3F4F" w:rsidRPr="00E357E9">
        <w:t xml:space="preserve"> </w:t>
      </w:r>
      <w:r w:rsidR="005C3535" w:rsidRPr="00E357E9">
        <w:t>le</w:t>
      </w:r>
      <w:r w:rsidR="009B3F4F" w:rsidRPr="00E357E9">
        <w:t xml:space="preserve"> </w:t>
      </w:r>
      <w:r w:rsidR="000524DD" w:rsidRPr="00E357E9">
        <w:t>territoire</w:t>
      </w:r>
      <w:r w:rsidR="009B3F4F" w:rsidRPr="00E357E9">
        <w:t>,</w:t>
      </w:r>
      <w:r w:rsidRPr="00E357E9">
        <w:t xml:space="preserve"> </w:t>
      </w:r>
      <w:r w:rsidR="00432D7B" w:rsidRPr="00E357E9">
        <w:t>qu</w:t>
      </w:r>
      <w:r w:rsidR="00DD16FF" w:rsidRPr="00E357E9">
        <w:t>’elles soient adoptées sous forme</w:t>
      </w:r>
      <w:r w:rsidR="00432D7B" w:rsidRPr="00E357E9">
        <w:t xml:space="preserve"> de</w:t>
      </w:r>
      <w:r w:rsidRPr="00E357E9">
        <w:t xml:space="preserve"> </w:t>
      </w:r>
      <w:r w:rsidR="00E067A0" w:rsidRPr="00E357E9">
        <w:t xml:space="preserve">dispositions </w:t>
      </w:r>
      <w:r w:rsidRPr="00E357E9">
        <w:t xml:space="preserve">législatives, administratives, financières </w:t>
      </w:r>
      <w:r w:rsidR="00432D7B" w:rsidRPr="00E357E9">
        <w:t>ou d’</w:t>
      </w:r>
      <w:r w:rsidR="009B3F4F" w:rsidRPr="00E357E9">
        <w:t>actions de sensibilisation</w:t>
      </w:r>
      <w:r w:rsidRPr="00E357E9">
        <w:t xml:space="preserve">. Les mesures de sauvegarde peuvent aussi cibler des éléments </w:t>
      </w:r>
      <w:r w:rsidR="00432D7B" w:rsidRPr="00E357E9">
        <w:t>spécifiques</w:t>
      </w:r>
      <w:r w:rsidRPr="00E357E9">
        <w:t xml:space="preserve"> du PCI ou des groupes d</w:t>
      </w:r>
      <w:r w:rsidR="00A61E6D" w:rsidRPr="00E357E9">
        <w:t>’</w:t>
      </w:r>
      <w:r w:rsidR="00DD16FF" w:rsidRPr="00E357E9">
        <w:t>éléments</w:t>
      </w:r>
      <w:r w:rsidRPr="00E357E9">
        <w:t xml:space="preserve"> confrontés à des menaces ou des risques pour leur viabilité continue.</w:t>
      </w:r>
      <w:r w:rsidR="001825BA" w:rsidRPr="00E357E9">
        <w:t xml:space="preserve"> La conception et la mise en œuvre de toute mesure de sauvegarde doi</w:t>
      </w:r>
      <w:r w:rsidR="00C57E8F" w:rsidRPr="00E357E9">
        <w:t>ven</w:t>
      </w:r>
      <w:r w:rsidR="001825BA" w:rsidRPr="00E357E9">
        <w:t>t refléter l’implication des communautés dans la sauvegarde de leur propre PCI et le</w:t>
      </w:r>
      <w:r w:rsidR="00811A62" w:rsidRPr="00E357E9">
        <w:t>ur</w:t>
      </w:r>
      <w:r w:rsidR="001825BA" w:rsidRPr="00E357E9">
        <w:t xml:space="preserve"> rôle significatif </w:t>
      </w:r>
      <w:r w:rsidR="003E4BF2" w:rsidRPr="00E357E9">
        <w:t>en vue de</w:t>
      </w:r>
      <w:r w:rsidR="001825BA" w:rsidRPr="00E357E9">
        <w:t xml:space="preserve"> déterminer ce qui constitue des menaces pour leur PCI. Cette conception et cette mise en œuvre doivent également refléter les moyens de prévenir et d’atténuer ces menaces et souligner l’importance de la diversité culturelle, de l’égalité </w:t>
      </w:r>
      <w:r w:rsidR="00440055" w:rsidRPr="00E357E9">
        <w:lastRenderedPageBreak/>
        <w:t xml:space="preserve">entre les sexes, </w:t>
      </w:r>
      <w:r w:rsidR="001825BA" w:rsidRPr="00E357E9">
        <w:t xml:space="preserve">de </w:t>
      </w:r>
      <w:r w:rsidR="00722B30" w:rsidRPr="00E357E9">
        <w:t xml:space="preserve">l’implication </w:t>
      </w:r>
      <w:r w:rsidR="001825BA" w:rsidRPr="00E357E9">
        <w:t xml:space="preserve">des </w:t>
      </w:r>
      <w:r w:rsidR="001825BA" w:rsidRPr="00E357E9">
        <w:rPr>
          <w:bCs/>
        </w:rPr>
        <w:t>jeunes</w:t>
      </w:r>
      <w:r w:rsidR="001825BA" w:rsidRPr="00E357E9">
        <w:t xml:space="preserve"> et du respect des identités ethniques (voir les principes éthiques).</w:t>
      </w:r>
    </w:p>
    <w:p w14:paraId="07FA1860" w14:textId="77777777" w:rsidR="004325DC" w:rsidRPr="00617049" w:rsidRDefault="002D41E4" w:rsidP="00E82F06">
      <w:pPr>
        <w:pStyle w:val="Titcoul"/>
      </w:pPr>
      <w:bookmarkStart w:id="19" w:name="_Toc238963265"/>
      <w:bookmarkStart w:id="20" w:name="_Toc241065151"/>
      <w:bookmarkStart w:id="21" w:name="_Toc301443377"/>
      <w:bookmarkStart w:id="22" w:name="_Toc321407020"/>
      <w:bookmarkStart w:id="23" w:name="_Toc354486644"/>
      <w:bookmarkStart w:id="24" w:name="_Toc354486950"/>
      <w:bookmarkStart w:id="25" w:name="_Toc247360237"/>
      <w:r w:rsidRPr="00617049">
        <w:t>9</w:t>
      </w:r>
      <w:r w:rsidR="00C10A1F" w:rsidRPr="00617049">
        <w:t>.2</w:t>
      </w:r>
      <w:bookmarkEnd w:id="19"/>
      <w:bookmarkEnd w:id="20"/>
      <w:r w:rsidR="0022235D" w:rsidRPr="00617049">
        <w:tab/>
      </w:r>
      <w:bookmarkStart w:id="26" w:name="_Toc238963266"/>
      <w:bookmarkStart w:id="27" w:name="_Toc241065152"/>
      <w:r w:rsidR="00C10A1F" w:rsidRPr="00617049">
        <w:t xml:space="preserve">Mesures </w:t>
      </w:r>
      <w:r w:rsidR="0059104E" w:rsidRPr="00617049">
        <w:t>de</w:t>
      </w:r>
      <w:r w:rsidR="00C10A1F" w:rsidRPr="00617049">
        <w:t xml:space="preserve"> sauvegarde du PCI en </w:t>
      </w:r>
      <w:bookmarkEnd w:id="21"/>
      <w:bookmarkEnd w:id="22"/>
      <w:bookmarkEnd w:id="23"/>
      <w:bookmarkEnd w:id="24"/>
      <w:bookmarkEnd w:id="25"/>
      <w:bookmarkEnd w:id="26"/>
      <w:bookmarkEnd w:id="27"/>
      <w:r w:rsidR="005D01EF" w:rsidRPr="00617049">
        <w:t>gÉnÉral</w:t>
      </w:r>
    </w:p>
    <w:p w14:paraId="2085E2A9" w14:textId="77777777" w:rsidR="004325DC" w:rsidRPr="00617049" w:rsidRDefault="00C10A1F" w:rsidP="00914287">
      <w:pPr>
        <w:pStyle w:val="Texte1"/>
      </w:pPr>
      <w:r w:rsidRPr="00617049">
        <w:t xml:space="preserve">Les </w:t>
      </w:r>
      <w:r w:rsidR="00043DFF" w:rsidRPr="00617049">
        <w:t>articles </w:t>
      </w:r>
      <w:r w:rsidRPr="00617049">
        <w:t>11(b)</w:t>
      </w:r>
      <w:r w:rsidR="00D762C8" w:rsidRPr="00617049">
        <w:t>-</w:t>
      </w:r>
      <w:r w:rsidRPr="00617049">
        <w:t>15 de la Convention donnent des indications claires sur la manière dont un État partie peut remplir son obligation de</w:t>
      </w:r>
      <w:r w:rsidR="00043DFF" w:rsidRPr="00617049">
        <w:t xml:space="preserve"> « </w:t>
      </w:r>
      <w:r w:rsidRPr="00617049">
        <w:t>prendre les mesures nécessaires</w:t>
      </w:r>
      <w:r w:rsidR="00043DFF" w:rsidRPr="00617049">
        <w:t xml:space="preserve"> » </w:t>
      </w:r>
      <w:r w:rsidRPr="00617049">
        <w:t>pour assurer la sauvegarde du PCI présent sur son territoire (</w:t>
      </w:r>
      <w:r w:rsidR="00043DFF" w:rsidRPr="00617049">
        <w:t>article </w:t>
      </w:r>
      <w:r w:rsidRPr="00617049">
        <w:t xml:space="preserve">11(a)). Les dispositions de ces </w:t>
      </w:r>
      <w:r w:rsidR="00043DFF" w:rsidRPr="00617049">
        <w:t>articles </w:t>
      </w:r>
      <w:r w:rsidRPr="00617049">
        <w:t xml:space="preserve">peuvent </w:t>
      </w:r>
      <w:r w:rsidR="0059104E" w:rsidRPr="00617049">
        <w:t>se</w:t>
      </w:r>
      <w:r w:rsidRPr="00617049">
        <w:t xml:space="preserve"> résum</w:t>
      </w:r>
      <w:r w:rsidR="0059104E" w:rsidRPr="00617049">
        <w:t>er</w:t>
      </w:r>
      <w:r w:rsidRPr="00617049">
        <w:t xml:space="preserve"> comme suit (pour le texte intégral, </w:t>
      </w:r>
      <w:r w:rsidR="0059104E" w:rsidRPr="00617049">
        <w:t xml:space="preserve">voir </w:t>
      </w:r>
      <w:r w:rsidRPr="00617049">
        <w:t>la Convention)</w:t>
      </w:r>
      <w:r w:rsidR="00EA1FE1" w:rsidRPr="00617049">
        <w:t> :</w:t>
      </w:r>
    </w:p>
    <w:p w14:paraId="4B552152" w14:textId="77777777" w:rsidR="004325DC" w:rsidRPr="00617049" w:rsidRDefault="00C10A1F">
      <w:pPr>
        <w:pStyle w:val="Soustitre"/>
      </w:pPr>
      <w:r w:rsidRPr="00617049">
        <w:t>Il appartient à chaque État partie</w:t>
      </w:r>
      <w:r w:rsidR="00EA1FE1" w:rsidRPr="00617049">
        <w:t> :</w:t>
      </w:r>
    </w:p>
    <w:p w14:paraId="1BEC1BE9" w14:textId="77777777" w:rsidR="004325DC" w:rsidRPr="00617049" w:rsidRDefault="00983A66" w:rsidP="00E357E9">
      <w:pPr>
        <w:pStyle w:val="Txtpucegras"/>
      </w:pPr>
      <w:r>
        <w:t>d</w:t>
      </w:r>
      <w:r w:rsidR="00A61E6D" w:rsidRPr="00617049">
        <w:t>’</w:t>
      </w:r>
      <w:r w:rsidR="00E82F06" w:rsidRPr="00617049">
        <w:t xml:space="preserve">identifier </w:t>
      </w:r>
      <w:r w:rsidR="00C10A1F" w:rsidRPr="00617049">
        <w:t>et de définir le PCI présent sur son territoire (</w:t>
      </w:r>
      <w:r w:rsidR="00043DFF" w:rsidRPr="00617049">
        <w:t>article </w:t>
      </w:r>
      <w:r w:rsidR="00C10A1F" w:rsidRPr="00617049">
        <w:t>11(b))</w:t>
      </w:r>
      <w:r>
        <w:t> ;</w:t>
      </w:r>
    </w:p>
    <w:p w14:paraId="4BF77A4F" w14:textId="77777777" w:rsidR="004325DC" w:rsidRPr="00617049" w:rsidRDefault="00983A66" w:rsidP="00E357E9">
      <w:pPr>
        <w:pStyle w:val="Txtpucegras"/>
      </w:pPr>
      <w:r>
        <w:t>d</w:t>
      </w:r>
      <w:r w:rsidR="00E82F06" w:rsidRPr="00617049">
        <w:t xml:space="preserve">e </w:t>
      </w:r>
      <w:r w:rsidR="00C10A1F" w:rsidRPr="00617049">
        <w:t>dresser un ou plusieurs inventaires du PCI présent sur son territoire (</w:t>
      </w:r>
      <w:r w:rsidR="00043DFF" w:rsidRPr="00617049">
        <w:t>article </w:t>
      </w:r>
      <w:r w:rsidR="00C10A1F" w:rsidRPr="00617049">
        <w:t>12).</w:t>
      </w:r>
    </w:p>
    <w:p w14:paraId="701BF92B" w14:textId="77777777" w:rsidR="004325DC" w:rsidRPr="00617049" w:rsidRDefault="00C10A1F">
      <w:pPr>
        <w:pStyle w:val="Soustitre"/>
      </w:pPr>
      <w:r w:rsidRPr="00617049">
        <w:t>Chaque État partie s</w:t>
      </w:r>
      <w:r w:rsidR="00A61E6D" w:rsidRPr="00617049">
        <w:t>’</w:t>
      </w:r>
      <w:r w:rsidRPr="00617049">
        <w:t>efforce</w:t>
      </w:r>
      <w:r w:rsidR="00EA1FE1" w:rsidRPr="00617049">
        <w:t> :</w:t>
      </w:r>
    </w:p>
    <w:p w14:paraId="7C32E9F8" w14:textId="77777777" w:rsidR="004325DC" w:rsidRPr="00617049" w:rsidRDefault="00983A66" w:rsidP="00E357E9">
      <w:pPr>
        <w:pStyle w:val="Txtpucegras"/>
      </w:pPr>
      <w:r>
        <w:t>d</w:t>
      </w:r>
      <w:r w:rsidR="00A61E6D" w:rsidRPr="00617049">
        <w:t>’</w:t>
      </w:r>
      <w:r w:rsidR="00E82F06" w:rsidRPr="00617049">
        <w:t xml:space="preserve">adopter </w:t>
      </w:r>
      <w:r w:rsidR="00C10A1F" w:rsidRPr="00617049">
        <w:t>une politique générale</w:t>
      </w:r>
      <w:r w:rsidR="00EA1FE1" w:rsidRPr="00617049">
        <w:t> ;</w:t>
      </w:r>
      <w:r w:rsidR="00C10A1F" w:rsidRPr="00617049">
        <w:t xml:space="preserve"> de désigner ou établir un ou plusieurs organismes compétents pour la sauvegarde du PCI</w:t>
      </w:r>
      <w:r w:rsidR="00EA1FE1" w:rsidRPr="00617049">
        <w:t> ;</w:t>
      </w:r>
      <w:r w:rsidR="00C10A1F" w:rsidRPr="00617049">
        <w:t xml:space="preserve"> d</w:t>
      </w:r>
      <w:r w:rsidR="00A61E6D" w:rsidRPr="00617049">
        <w:t>’</w:t>
      </w:r>
      <w:r w:rsidR="00C10A1F" w:rsidRPr="00617049">
        <w:t xml:space="preserve">encourager des études </w:t>
      </w:r>
      <w:r w:rsidR="00D762C8" w:rsidRPr="00617049">
        <w:t>(« </w:t>
      </w:r>
      <w:r w:rsidR="00C10A1F" w:rsidRPr="00617049">
        <w:t xml:space="preserve">pour une sauvegarde efficace du patrimoine culturel </w:t>
      </w:r>
      <w:r w:rsidR="00D762C8" w:rsidRPr="00617049">
        <w:t>immatériel »</w:t>
      </w:r>
      <w:r w:rsidR="00C10A1F" w:rsidRPr="00617049">
        <w:t>)</w:t>
      </w:r>
      <w:r w:rsidR="00EA1FE1" w:rsidRPr="00617049">
        <w:t> ;</w:t>
      </w:r>
      <w:r w:rsidR="00C10A1F" w:rsidRPr="00617049">
        <w:t xml:space="preserve"> et d</w:t>
      </w:r>
      <w:r w:rsidR="00A61E6D" w:rsidRPr="00617049">
        <w:t>’</w:t>
      </w:r>
      <w:r w:rsidR="00C10A1F" w:rsidRPr="00617049">
        <w:t>adopter les mesures juridiques, techniques, administratives et financières appropriées (</w:t>
      </w:r>
      <w:r w:rsidR="00043DFF" w:rsidRPr="00617049">
        <w:t>article </w:t>
      </w:r>
      <w:r w:rsidR="00C10A1F" w:rsidRPr="00617049">
        <w:t>13)</w:t>
      </w:r>
      <w:r>
        <w:t> ;</w:t>
      </w:r>
    </w:p>
    <w:p w14:paraId="4846B8F8" w14:textId="77777777" w:rsidR="004325DC" w:rsidRPr="00617049" w:rsidRDefault="00983A66" w:rsidP="00E357E9">
      <w:pPr>
        <w:pStyle w:val="Txtpucegras"/>
      </w:pPr>
      <w:r>
        <w:t>d</w:t>
      </w:r>
      <w:r w:rsidR="00A61E6D" w:rsidRPr="00617049">
        <w:t>’</w:t>
      </w:r>
      <w:r w:rsidR="00E82F06" w:rsidRPr="00617049">
        <w:t xml:space="preserve">assurer </w:t>
      </w:r>
      <w:r w:rsidR="00C10A1F" w:rsidRPr="00617049">
        <w:t>la reconnaissance, le respect et la mise en valeur du PCI dans la société (</w:t>
      </w:r>
      <w:r w:rsidR="00043DFF" w:rsidRPr="00617049">
        <w:t>article </w:t>
      </w:r>
      <w:r w:rsidR="00C10A1F" w:rsidRPr="00617049">
        <w:t>14)</w:t>
      </w:r>
      <w:r>
        <w:t> ;</w:t>
      </w:r>
    </w:p>
    <w:p w14:paraId="5C32CEE5" w14:textId="77777777" w:rsidR="004325DC" w:rsidRPr="00617049" w:rsidRDefault="00983A66" w:rsidP="00E357E9">
      <w:pPr>
        <w:pStyle w:val="Txtpucegras"/>
      </w:pPr>
      <w:r>
        <w:t>d</w:t>
      </w:r>
      <w:r w:rsidR="00A61E6D" w:rsidRPr="00617049">
        <w:t>’</w:t>
      </w:r>
      <w:r w:rsidR="00E82F06" w:rsidRPr="00617049">
        <w:t xml:space="preserve">assurer </w:t>
      </w:r>
      <w:r w:rsidR="00C10A1F" w:rsidRPr="00617049">
        <w:t>la participation des communautés à ses activités de sauvegarde et de les impliquer dans la gestion de leur PCI (</w:t>
      </w:r>
      <w:r w:rsidR="00043DFF" w:rsidRPr="00617049">
        <w:t>articles </w:t>
      </w:r>
      <w:r w:rsidR="00C10A1F" w:rsidRPr="00617049">
        <w:t>11(b), 15).</w:t>
      </w:r>
    </w:p>
    <w:p w14:paraId="24380800" w14:textId="77777777" w:rsidR="004325DC" w:rsidRPr="00617049" w:rsidRDefault="00C10A1F" w:rsidP="00ED75D0">
      <w:pPr>
        <w:pStyle w:val="Texte1"/>
        <w:ind w:left="1134"/>
      </w:pPr>
      <w:r w:rsidRPr="00617049">
        <w:t>Ces dispositions visent à atteindre les buts suivants de la Convention à l</w:t>
      </w:r>
      <w:r w:rsidR="00A61E6D" w:rsidRPr="00617049">
        <w:t>’</w:t>
      </w:r>
      <w:r w:rsidRPr="00617049">
        <w:t>échelon national (</w:t>
      </w:r>
      <w:r w:rsidR="00043DFF" w:rsidRPr="00617049">
        <w:t>article </w:t>
      </w:r>
      <w:r w:rsidRPr="00617049">
        <w:t>1)</w:t>
      </w:r>
      <w:r w:rsidR="00EA1FE1" w:rsidRPr="00617049">
        <w:t> :</w:t>
      </w:r>
      <w:r w:rsidRPr="00617049">
        <w:t xml:space="preserve"> (a) la sauvegarde du PCI</w:t>
      </w:r>
      <w:r w:rsidR="00EA1FE1" w:rsidRPr="00617049">
        <w:t> ;</w:t>
      </w:r>
      <w:r w:rsidRPr="00617049">
        <w:t xml:space="preserve"> (b) le respect du PCI</w:t>
      </w:r>
      <w:r w:rsidR="00EA1FE1" w:rsidRPr="00617049">
        <w:t> ;</w:t>
      </w:r>
      <w:r w:rsidRPr="00617049">
        <w:t xml:space="preserve"> et (c) la sensibilisation à l</w:t>
      </w:r>
      <w:r w:rsidR="00A61E6D" w:rsidRPr="00617049">
        <w:t>’</w:t>
      </w:r>
      <w:r w:rsidRPr="00617049">
        <w:t>importance du PCI en général et l</w:t>
      </w:r>
      <w:r w:rsidR="00A61E6D" w:rsidRPr="00617049">
        <w:t>’</w:t>
      </w:r>
      <w:r w:rsidRPr="00617049">
        <w:t>appréciation mutuelle du PCI entre et au sein des différentes communautés.</w:t>
      </w:r>
    </w:p>
    <w:p w14:paraId="1497B58E" w14:textId="77777777" w:rsidR="004325DC" w:rsidRPr="00617049" w:rsidRDefault="00C10A1F">
      <w:pPr>
        <w:pStyle w:val="Soustitre"/>
      </w:pPr>
      <w:r w:rsidRPr="00617049">
        <w:t>Les Directives opérationnelles donnent plus de précisions sur ces mesures générales</w:t>
      </w:r>
      <w:r w:rsidR="00EA1FE1" w:rsidRPr="00617049">
        <w:t> :</w:t>
      </w:r>
    </w:p>
    <w:p w14:paraId="1B1CBBFD" w14:textId="77777777" w:rsidR="004325DC" w:rsidRPr="00617049" w:rsidRDefault="00295A20" w:rsidP="00E357E9">
      <w:pPr>
        <w:pStyle w:val="Txtpucegras"/>
      </w:pPr>
      <w:r>
        <w:t>a</w:t>
      </w:r>
      <w:r w:rsidR="0022235D" w:rsidRPr="00617049">
        <w:t xml:space="preserve">ssurer </w:t>
      </w:r>
      <w:r w:rsidR="00C10A1F" w:rsidRPr="00617049">
        <w:t>la participation et le consentement des communautés à la sauvegarde (</w:t>
      </w:r>
      <w:r w:rsidR="00461004" w:rsidRPr="00617049">
        <w:t>DO </w:t>
      </w:r>
      <w:r w:rsidR="00C10A1F" w:rsidRPr="00617049">
        <w:t>1, 2, 7, 12, 79</w:t>
      </w:r>
      <w:r w:rsidR="00BB70F2" w:rsidRPr="00617049">
        <w:t>-</w:t>
      </w:r>
      <w:r w:rsidR="00C10A1F" w:rsidRPr="00617049">
        <w:t>80, 88, 101, 157 et 162)</w:t>
      </w:r>
      <w:r>
        <w:t> ;</w:t>
      </w:r>
    </w:p>
    <w:p w14:paraId="3864A39D" w14:textId="77777777" w:rsidR="004325DC" w:rsidRPr="00617049" w:rsidRDefault="00295A20" w:rsidP="00E357E9">
      <w:pPr>
        <w:pStyle w:val="Txtpucegras"/>
      </w:pPr>
      <w:r>
        <w:t>a</w:t>
      </w:r>
      <w:r w:rsidR="00E82F06" w:rsidRPr="00617049">
        <w:t xml:space="preserve">ssurer </w:t>
      </w:r>
      <w:r w:rsidR="004325DC" w:rsidRPr="00617049">
        <w:t>le renforcement des capacités</w:t>
      </w:r>
      <w:r w:rsidR="00C10A1F" w:rsidRPr="00617049">
        <w:t xml:space="preserve"> pour la sauvegarde (</w:t>
      </w:r>
      <w:r w:rsidR="00461004" w:rsidRPr="00617049">
        <w:t>DO </w:t>
      </w:r>
      <w:r w:rsidR="00C10A1F" w:rsidRPr="00617049">
        <w:t>82, 107 et 155)</w:t>
      </w:r>
      <w:r>
        <w:t> ;</w:t>
      </w:r>
    </w:p>
    <w:p w14:paraId="07E59B8D" w14:textId="77777777" w:rsidR="004325DC" w:rsidRPr="00617049" w:rsidRDefault="00295A20" w:rsidP="00E357E9">
      <w:pPr>
        <w:pStyle w:val="Txtpucegras"/>
      </w:pPr>
      <w:r>
        <w:t>a</w:t>
      </w:r>
      <w:r w:rsidR="00E82F06" w:rsidRPr="00617049">
        <w:t xml:space="preserve">ssurer </w:t>
      </w:r>
      <w:r w:rsidR="004325DC" w:rsidRPr="00617049">
        <w:t>l</w:t>
      </w:r>
      <w:r w:rsidR="00A61E6D" w:rsidRPr="00617049">
        <w:t>’</w:t>
      </w:r>
      <w:r w:rsidR="004325DC" w:rsidRPr="00617049">
        <w:t>existence de cadres législatifs et de codes d</w:t>
      </w:r>
      <w:r w:rsidR="00A61E6D" w:rsidRPr="00617049">
        <w:t>’</w:t>
      </w:r>
      <w:r w:rsidR="004325DC" w:rsidRPr="00617049">
        <w:t xml:space="preserve">éthique appropriés </w:t>
      </w:r>
      <w:r w:rsidR="00C10A1F" w:rsidRPr="00617049">
        <w:t>pour la sauvegarde du PCI et la sensibilisation (</w:t>
      </w:r>
      <w:r w:rsidR="00461004" w:rsidRPr="00617049">
        <w:t>DO </w:t>
      </w:r>
      <w:r w:rsidR="00C10A1F" w:rsidRPr="00617049">
        <w:t>103, 105 et 107), y compris</w:t>
      </w:r>
      <w:r w:rsidR="00043DFF" w:rsidRPr="00617049">
        <w:t xml:space="preserve"> « </w:t>
      </w:r>
      <w:r w:rsidR="00C10A1F" w:rsidRPr="00617049">
        <w:t>s</w:t>
      </w:r>
      <w:r w:rsidR="00A61E6D" w:rsidRPr="00617049">
        <w:t>’</w:t>
      </w:r>
      <w:r w:rsidR="00C10A1F" w:rsidRPr="00617049">
        <w:t>attacher à faire en sorte que les droits des communautés, des groupes et des individus concernés sont dûment protégés lorsqu</w:t>
      </w:r>
      <w:r w:rsidR="00A61E6D" w:rsidRPr="00617049">
        <w:t>’</w:t>
      </w:r>
      <w:r w:rsidR="00C10A1F" w:rsidRPr="00617049">
        <w:t>ils sensibilisent à ce patrimoine ou entreprennent des activités commerciales</w:t>
      </w:r>
      <w:r w:rsidR="00043DFF" w:rsidRPr="00617049">
        <w:t xml:space="preserve"> » </w:t>
      </w:r>
      <w:r w:rsidR="00C10A1F" w:rsidRPr="00617049">
        <w:t>(</w:t>
      </w:r>
      <w:r w:rsidR="00461004" w:rsidRPr="00617049">
        <w:t>DO </w:t>
      </w:r>
      <w:r w:rsidR="00C10A1F" w:rsidRPr="00617049">
        <w:t>104)</w:t>
      </w:r>
      <w:r>
        <w:t> ;</w:t>
      </w:r>
    </w:p>
    <w:p w14:paraId="0E8D17B7" w14:textId="77777777" w:rsidR="004325DC" w:rsidRPr="00617049" w:rsidRDefault="00295A20" w:rsidP="00E357E9">
      <w:pPr>
        <w:pStyle w:val="Txtpucegras"/>
      </w:pPr>
      <w:r>
        <w:t>s</w:t>
      </w:r>
      <w:r w:rsidR="00E82F06" w:rsidRPr="00617049">
        <w:t xml:space="preserve">ensibiliser </w:t>
      </w:r>
      <w:r w:rsidR="00C10A1F" w:rsidRPr="00617049">
        <w:t>(</w:t>
      </w:r>
      <w:r w:rsidR="00461004" w:rsidRPr="00617049">
        <w:t>DO </w:t>
      </w:r>
      <w:r w:rsidR="00C10A1F" w:rsidRPr="00617049">
        <w:t>100</w:t>
      </w:r>
      <w:r w:rsidR="00BB70F2" w:rsidRPr="00617049">
        <w:t>-</w:t>
      </w:r>
      <w:r w:rsidR="00C10A1F" w:rsidRPr="00617049">
        <w:t>123)</w:t>
      </w:r>
      <w:r>
        <w:t> ;</w:t>
      </w:r>
    </w:p>
    <w:p w14:paraId="55D37064" w14:textId="77777777" w:rsidR="004325DC" w:rsidRPr="00617049" w:rsidRDefault="00295A20" w:rsidP="00E357E9">
      <w:pPr>
        <w:pStyle w:val="Txtpucegras"/>
      </w:pPr>
      <w:r>
        <w:t>e</w:t>
      </w:r>
      <w:r w:rsidR="00E82F06" w:rsidRPr="00617049">
        <w:t xml:space="preserve">ntreprendre </w:t>
      </w:r>
      <w:r w:rsidR="00C10A1F" w:rsidRPr="00617049">
        <w:t>une évaluation des risques, un suivi et une estimation des menaces qui pèsent sur le PCI (</w:t>
      </w:r>
      <w:r w:rsidR="00461004" w:rsidRPr="00617049">
        <w:t>DO </w:t>
      </w:r>
      <w:r w:rsidR="00C10A1F" w:rsidRPr="00617049">
        <w:t>116)</w:t>
      </w:r>
      <w:r>
        <w:t> ;</w:t>
      </w:r>
    </w:p>
    <w:p w14:paraId="2B8B8CEA" w14:textId="595772F5" w:rsidR="004325DC" w:rsidRDefault="00295A20" w:rsidP="00E357E9">
      <w:pPr>
        <w:pStyle w:val="Txtpucegras"/>
      </w:pPr>
      <w:r>
        <w:t>a</w:t>
      </w:r>
      <w:r w:rsidR="00E82F06" w:rsidRPr="00617049">
        <w:t xml:space="preserve">ssurer </w:t>
      </w:r>
      <w:r w:rsidR="004325DC" w:rsidRPr="00617049">
        <w:t>l</w:t>
      </w:r>
      <w:r w:rsidR="00A61E6D" w:rsidRPr="00617049">
        <w:t>’</w:t>
      </w:r>
      <w:r w:rsidR="004325DC" w:rsidRPr="00617049">
        <w:t>existence de structures administratives afin de promouvoir la consultation</w:t>
      </w:r>
      <w:r w:rsidR="00C10A1F" w:rsidRPr="00617049">
        <w:t xml:space="preserve"> entre les communautés, les </w:t>
      </w:r>
      <w:r>
        <w:t>organisations non gouvernementales (</w:t>
      </w:r>
      <w:r w:rsidR="00C10A1F" w:rsidRPr="00617049">
        <w:t>ONG</w:t>
      </w:r>
      <w:r>
        <w:t>)</w:t>
      </w:r>
      <w:r w:rsidR="00C10A1F" w:rsidRPr="00617049">
        <w:t>, les experts et les centres d</w:t>
      </w:r>
      <w:r w:rsidR="00A61E6D" w:rsidRPr="00617049">
        <w:t>’</w:t>
      </w:r>
      <w:r w:rsidR="00C10A1F" w:rsidRPr="00617049">
        <w:t>expertise</w:t>
      </w:r>
      <w:r w:rsidR="00764FBE" w:rsidRPr="00617049">
        <w:t>,</w:t>
      </w:r>
      <w:r w:rsidR="00C10A1F" w:rsidRPr="00617049">
        <w:t xml:space="preserve"> et autres (</w:t>
      </w:r>
      <w:r w:rsidR="00461004" w:rsidRPr="00617049">
        <w:t>DO </w:t>
      </w:r>
      <w:r w:rsidR="007B5718">
        <w:t>80) ;</w:t>
      </w:r>
    </w:p>
    <w:p w14:paraId="4875A6FB" w14:textId="6EEAB710" w:rsidR="00641806" w:rsidRPr="00E357E9" w:rsidRDefault="00660D7E" w:rsidP="00E357E9">
      <w:pPr>
        <w:pStyle w:val="Txtpucegras"/>
      </w:pPr>
      <w:r w:rsidRPr="00E357E9">
        <w:lastRenderedPageBreak/>
        <w:t>favoriser</w:t>
      </w:r>
      <w:r w:rsidR="002B26D0" w:rsidRPr="00E357E9">
        <w:t xml:space="preserve"> les contributions du PCI et de sa sauvegarde à une plus grande égalité </w:t>
      </w:r>
      <w:r w:rsidRPr="00E357E9">
        <w:t>des genres</w:t>
      </w:r>
      <w:r w:rsidR="005F465A" w:rsidRPr="00E357E9">
        <w:t xml:space="preserve"> </w:t>
      </w:r>
      <w:r w:rsidR="002B26D0" w:rsidRPr="00E357E9">
        <w:t>et à l’élimination des discriminations fondées sur le genre (DO 181).</w:t>
      </w:r>
    </w:p>
    <w:p w14:paraId="23A9A5A8" w14:textId="10279D8C" w:rsidR="004325DC" w:rsidRPr="00617049" w:rsidRDefault="002D41E4" w:rsidP="00E82F06">
      <w:pPr>
        <w:pStyle w:val="Titcoul"/>
      </w:pPr>
      <w:bookmarkStart w:id="28" w:name="_Toc238963267"/>
      <w:bookmarkStart w:id="29" w:name="_Toc301443378"/>
      <w:bookmarkStart w:id="30" w:name="_Toc241065153"/>
      <w:bookmarkStart w:id="31" w:name="_Toc321407021"/>
      <w:bookmarkStart w:id="32" w:name="_Toc354486645"/>
      <w:bookmarkStart w:id="33" w:name="_Toc354486951"/>
      <w:bookmarkStart w:id="34" w:name="_Toc247360238"/>
      <w:r w:rsidRPr="00617049">
        <w:t>9</w:t>
      </w:r>
      <w:r w:rsidR="00C10A1F" w:rsidRPr="00617049">
        <w:t>.3</w:t>
      </w:r>
      <w:bookmarkEnd w:id="28"/>
      <w:bookmarkEnd w:id="29"/>
      <w:bookmarkEnd w:id="30"/>
      <w:r w:rsidR="0022235D" w:rsidRPr="00617049">
        <w:tab/>
      </w:r>
      <w:bookmarkStart w:id="35" w:name="_Toc238963268"/>
      <w:bookmarkStart w:id="36" w:name="_Toc241065154"/>
      <w:r w:rsidR="00C10A1F" w:rsidRPr="00617049">
        <w:t xml:space="preserve">Exemples de mesures de sauvegarde </w:t>
      </w:r>
      <w:bookmarkEnd w:id="31"/>
      <w:bookmarkEnd w:id="32"/>
      <w:bookmarkEnd w:id="33"/>
      <w:bookmarkEnd w:id="34"/>
      <w:bookmarkEnd w:id="35"/>
      <w:bookmarkEnd w:id="36"/>
      <w:r w:rsidR="005D01EF" w:rsidRPr="00617049">
        <w:t>gÉnÉrales</w:t>
      </w:r>
    </w:p>
    <w:p w14:paraId="3E44DDCC" w14:textId="77777777" w:rsidR="004325DC" w:rsidRPr="00617049" w:rsidRDefault="00C10A1F" w:rsidP="00914287">
      <w:pPr>
        <w:pStyle w:val="Texte1"/>
      </w:pPr>
      <w:r w:rsidRPr="00617049">
        <w:t>Il y a un certain nombre de mesures appliquées à la sauvegarde du PCI en général</w:t>
      </w:r>
      <w:r w:rsidR="00EA1FE1" w:rsidRPr="00617049">
        <w:t> :</w:t>
      </w:r>
    </w:p>
    <w:p w14:paraId="72FDA4B0" w14:textId="77777777" w:rsidR="006C3387" w:rsidRPr="00617049" w:rsidRDefault="002640FF" w:rsidP="00150FFB">
      <w:pPr>
        <w:pStyle w:val="Enutiret"/>
      </w:pPr>
      <w:r w:rsidRPr="00617049">
        <w:t>l</w:t>
      </w:r>
      <w:r w:rsidR="00C10A1F" w:rsidRPr="00617049">
        <w:t>a sensibilisation à la valeur du PCI (</w:t>
      </w:r>
      <w:r w:rsidR="00606449" w:rsidRPr="00617049">
        <w:t>examin</w:t>
      </w:r>
      <w:r w:rsidR="00C10A1F" w:rsidRPr="00617049">
        <w:t xml:space="preserve">ée en détail dans </w:t>
      </w:r>
      <w:r w:rsidR="002D41E4" w:rsidRPr="00617049">
        <w:t xml:space="preserve">le </w:t>
      </w:r>
      <w:r w:rsidR="00646D3D" w:rsidRPr="00617049">
        <w:t>Texte du participant</w:t>
      </w:r>
      <w:r w:rsidR="002D41E4" w:rsidRPr="00617049">
        <w:t xml:space="preserve"> </w:t>
      </w:r>
      <w:r w:rsidR="00F9570F" w:rsidRPr="00617049">
        <w:t>de l’</w:t>
      </w:r>
      <w:r w:rsidR="002D41E4" w:rsidRPr="00617049">
        <w:t>Unité 5</w:t>
      </w:r>
      <w:r w:rsidR="00C10A1F" w:rsidRPr="00617049">
        <w:t>)</w:t>
      </w:r>
      <w:r w:rsidR="00EA1FE1" w:rsidRPr="00617049">
        <w:t> ;</w:t>
      </w:r>
    </w:p>
    <w:p w14:paraId="07A3DC04" w14:textId="77777777" w:rsidR="004325DC" w:rsidRPr="00617049" w:rsidRDefault="00C10A1F" w:rsidP="00150FFB">
      <w:pPr>
        <w:pStyle w:val="Enutiret"/>
      </w:pPr>
      <w:r w:rsidRPr="00617049">
        <w:t>l</w:t>
      </w:r>
      <w:r w:rsidR="00A61E6D" w:rsidRPr="00617049">
        <w:t>’</w:t>
      </w:r>
      <w:r w:rsidRPr="00617049">
        <w:t>identification et l</w:t>
      </w:r>
      <w:r w:rsidR="00606449" w:rsidRPr="00617049">
        <w:t xml:space="preserve">es </w:t>
      </w:r>
      <w:r w:rsidRPr="00617049">
        <w:t>inventaire</w:t>
      </w:r>
      <w:r w:rsidR="00606449" w:rsidRPr="00617049">
        <w:t>s</w:t>
      </w:r>
      <w:r w:rsidRPr="00617049">
        <w:t xml:space="preserve"> du PCI (</w:t>
      </w:r>
      <w:r w:rsidR="00606449" w:rsidRPr="00617049">
        <w:t>examin</w:t>
      </w:r>
      <w:r w:rsidRPr="00617049">
        <w:t>ée dans</w:t>
      </w:r>
      <w:r w:rsidR="002D41E4" w:rsidRPr="00617049">
        <w:t xml:space="preserve"> le </w:t>
      </w:r>
      <w:r w:rsidR="00646D3D" w:rsidRPr="00617049">
        <w:t>Texte du participant</w:t>
      </w:r>
      <w:r w:rsidR="00F9570F" w:rsidRPr="00617049">
        <w:t xml:space="preserve"> de l’</w:t>
      </w:r>
      <w:r w:rsidR="002D41E4" w:rsidRPr="00617049">
        <w:t>Unité 6</w:t>
      </w:r>
      <w:r w:rsidRPr="00617049">
        <w:t>)</w:t>
      </w:r>
      <w:r w:rsidR="00EA1FE1" w:rsidRPr="00617049">
        <w:t> ;</w:t>
      </w:r>
      <w:r w:rsidRPr="00617049">
        <w:t xml:space="preserve"> et</w:t>
      </w:r>
    </w:p>
    <w:p w14:paraId="343C4478" w14:textId="77777777" w:rsidR="006C3387" w:rsidRPr="00617049" w:rsidRDefault="00C10A1F" w:rsidP="00150FFB">
      <w:pPr>
        <w:pStyle w:val="Enutiret"/>
      </w:pPr>
      <w:r w:rsidRPr="00617049">
        <w:t>la création d</w:t>
      </w:r>
      <w:r w:rsidR="00A61E6D" w:rsidRPr="00617049">
        <w:t>’</w:t>
      </w:r>
      <w:r w:rsidRPr="00617049">
        <w:t xml:space="preserve">un cadre légal et administratif propice à la sauvegarde (discutée dans </w:t>
      </w:r>
      <w:r w:rsidR="002D41E4" w:rsidRPr="00617049">
        <w:t xml:space="preserve">le </w:t>
      </w:r>
      <w:r w:rsidR="00646D3D" w:rsidRPr="00617049">
        <w:t>Texte du participant</w:t>
      </w:r>
      <w:r w:rsidR="00606449" w:rsidRPr="00617049">
        <w:t xml:space="preserve"> de</w:t>
      </w:r>
      <w:r w:rsidR="002D41E4" w:rsidRPr="00617049">
        <w:t xml:space="preserve"> </w:t>
      </w:r>
      <w:r w:rsidR="00606449" w:rsidRPr="00617049">
        <w:t>l’</w:t>
      </w:r>
      <w:r w:rsidR="002D41E4" w:rsidRPr="00617049">
        <w:t>Unité 9</w:t>
      </w:r>
      <w:r w:rsidRPr="00617049">
        <w:t>).</w:t>
      </w:r>
    </w:p>
    <w:p w14:paraId="071B8038" w14:textId="77777777" w:rsidR="004325DC" w:rsidRPr="00617049" w:rsidRDefault="0006508A" w:rsidP="00914287">
      <w:pPr>
        <w:pStyle w:val="Informations"/>
      </w:pPr>
      <w:r w:rsidRPr="00686CA9">
        <w:rPr>
          <w:i w:val="0"/>
        </w:rPr>
        <w:t>Voir l</w:t>
      </w:r>
      <w:r w:rsidR="00606449" w:rsidRPr="00686CA9">
        <w:rPr>
          <w:i w:val="0"/>
        </w:rPr>
        <w:t>es Études de cas 3, 6, 28 et 29</w:t>
      </w:r>
      <w:r w:rsidR="002D41E4" w:rsidRPr="00686CA9">
        <w:rPr>
          <w:i w:val="0"/>
          <w:noProof/>
          <w:lang w:eastAsia="zh-TW"/>
        </w:rPr>
        <w:drawing>
          <wp:anchor distT="0" distB="0" distL="114300" distR="114300" simplePos="0" relativeHeight="251891200" behindDoc="0" locked="1" layoutInCell="1" allowOverlap="0" wp14:anchorId="6D2DB5F4" wp14:editId="0DAA5358">
            <wp:simplePos x="0" y="0"/>
            <wp:positionH relativeFrom="column">
              <wp:posOffset>85725</wp:posOffset>
            </wp:positionH>
            <wp:positionV relativeFrom="paragraph">
              <wp:posOffset>-71755</wp:posOffset>
            </wp:positionV>
            <wp:extent cx="283210" cy="358775"/>
            <wp:effectExtent l="0" t="0" r="2540" b="3175"/>
            <wp:wrapThrough wrapText="bothSides">
              <wp:wrapPolygon edited="0">
                <wp:start x="0" y="0"/>
                <wp:lineTo x="0" y="20644"/>
                <wp:lineTo x="20341" y="20644"/>
                <wp:lineTo x="20341" y="0"/>
                <wp:lineTo x="0" y="0"/>
              </wp:wrapPolygon>
            </wp:wrapThrough>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anchor>
        </w:drawing>
      </w:r>
      <w:r w:rsidRPr="00686CA9">
        <w:rPr>
          <w:i w:val="0"/>
        </w:rPr>
        <w:t>.</w:t>
      </w:r>
      <w:r w:rsidR="00606449" w:rsidRPr="00617049">
        <w:t xml:space="preserve"> </w:t>
      </w:r>
    </w:p>
    <w:p w14:paraId="4512A8E7" w14:textId="77777777" w:rsidR="00C102EA" w:rsidRPr="00617049" w:rsidRDefault="00C10A1F" w:rsidP="00914287">
      <w:pPr>
        <w:pStyle w:val="Texte1"/>
      </w:pPr>
      <w:r w:rsidRPr="00617049">
        <w:t>Lorsqu</w:t>
      </w:r>
      <w:r w:rsidR="00A61E6D" w:rsidRPr="00617049">
        <w:t>’</w:t>
      </w:r>
      <w:r w:rsidR="00C102EA" w:rsidRPr="00617049">
        <w:t>ils prennent</w:t>
      </w:r>
      <w:r w:rsidRPr="00617049">
        <w:t xml:space="preserve"> des mesures générales, les États parties n</w:t>
      </w:r>
      <w:r w:rsidR="00A61E6D" w:rsidRPr="00617049">
        <w:t>’</w:t>
      </w:r>
      <w:r w:rsidRPr="00617049">
        <w:t>ont pas l</w:t>
      </w:r>
      <w:r w:rsidR="00A61E6D" w:rsidRPr="00617049">
        <w:t>’</w:t>
      </w:r>
      <w:r w:rsidRPr="00617049">
        <w:t>habitude de repartir à zéro </w:t>
      </w:r>
      <w:r w:rsidR="00EA1FE1" w:rsidRPr="00617049">
        <w:t>:</w:t>
      </w:r>
      <w:r w:rsidRPr="00617049">
        <w:t xml:space="preserve"> ils ont la possibilité de faire usage des institutions, des réseaux et des programmes existants</w:t>
      </w:r>
      <w:r w:rsidR="00737E49" w:rsidRPr="00617049">
        <w:t xml:space="preserve"> qu’ils vont </w:t>
      </w:r>
      <w:r w:rsidRPr="00617049">
        <w:t>développ</w:t>
      </w:r>
      <w:r w:rsidR="00737E49" w:rsidRPr="00617049">
        <w:t>er</w:t>
      </w:r>
      <w:r w:rsidRPr="00617049">
        <w:t xml:space="preserve"> et renfor</w:t>
      </w:r>
      <w:r w:rsidR="00737E49" w:rsidRPr="00617049">
        <w:t>cer si besoin est</w:t>
      </w:r>
      <w:r w:rsidRPr="00617049">
        <w:t>.</w:t>
      </w:r>
    </w:p>
    <w:p w14:paraId="068356BD" w14:textId="77A34389" w:rsidR="00866259" w:rsidRDefault="00C10A1F" w:rsidP="00866259">
      <w:pPr>
        <w:pStyle w:val="Texte1"/>
      </w:pPr>
      <w:r w:rsidRPr="00617049">
        <w:t xml:space="preserve">Avant de ratifier la Convention, certains États </w:t>
      </w:r>
      <w:r w:rsidR="000C62E5" w:rsidRPr="00617049">
        <w:t>revoient</w:t>
      </w:r>
      <w:r w:rsidRPr="00617049">
        <w:t xml:space="preserve"> la règlementation, la légi</w:t>
      </w:r>
      <w:r w:rsidR="000C62E5" w:rsidRPr="00617049">
        <w:t>slation et la politique</w:t>
      </w:r>
      <w:r w:rsidRPr="00617049">
        <w:t xml:space="preserve"> </w:t>
      </w:r>
      <w:r w:rsidR="000C62E5" w:rsidRPr="00617049">
        <w:t>relatives au</w:t>
      </w:r>
      <w:r w:rsidRPr="00617049">
        <w:t xml:space="preserve"> PCI présent sur l</w:t>
      </w:r>
      <w:r w:rsidR="000C62E5" w:rsidRPr="00617049">
        <w:t>eur territoire, en recueillant d</w:t>
      </w:r>
      <w:r w:rsidRPr="00617049">
        <w:t xml:space="preserve">es informations sur les programmes et les réseaux, </w:t>
      </w:r>
      <w:r w:rsidR="000C62E5" w:rsidRPr="00617049">
        <w:t xml:space="preserve">les </w:t>
      </w:r>
      <w:r w:rsidRPr="00617049">
        <w:t xml:space="preserve">instituts et </w:t>
      </w:r>
      <w:r w:rsidR="000C62E5" w:rsidRPr="00617049">
        <w:t xml:space="preserve">les </w:t>
      </w:r>
      <w:r w:rsidRPr="00617049">
        <w:t>organismes pertinents, ainsi que sur les activ</w:t>
      </w:r>
      <w:r w:rsidR="000C62E5" w:rsidRPr="00617049">
        <w:t>ités préalables et en cours</w:t>
      </w:r>
      <w:r w:rsidR="00FF2E50" w:rsidRPr="00617049">
        <w:t xml:space="preserve"> liées à l’identification, la promotion et</w:t>
      </w:r>
      <w:r w:rsidRPr="00617049">
        <w:t xml:space="preserve"> </w:t>
      </w:r>
      <w:r w:rsidR="00FF2E50" w:rsidRPr="00617049">
        <w:t xml:space="preserve">la </w:t>
      </w:r>
      <w:r w:rsidRPr="00617049">
        <w:t>sauvegarde du PCI.</w:t>
      </w:r>
    </w:p>
    <w:p w14:paraId="301DBC42" w14:textId="031CFD68" w:rsidR="0060774C" w:rsidRPr="00E357E9" w:rsidRDefault="0060774C" w:rsidP="0060774C">
      <w:pPr>
        <w:pStyle w:val="Heading4"/>
      </w:pPr>
      <w:r w:rsidRPr="00E357E9">
        <w:t>GENRE ET MESURES DE SAUVEGARDE</w:t>
      </w:r>
    </w:p>
    <w:p w14:paraId="131D0E5A" w14:textId="1F024819" w:rsidR="009860C3" w:rsidRPr="00E357E9" w:rsidRDefault="00866259" w:rsidP="009860C3">
      <w:pPr>
        <w:pStyle w:val="Texte1"/>
      </w:pPr>
      <w:r w:rsidRPr="00E357E9">
        <w:t>Parce que la notion de genre joue un rôle majeur dans la création et le maintien du PCI</w:t>
      </w:r>
      <w:r w:rsidR="00262A8C" w:rsidRPr="00E357E9">
        <w:t>,</w:t>
      </w:r>
      <w:r w:rsidR="00C63053" w:rsidRPr="00E357E9">
        <w:t xml:space="preserve"> et que</w:t>
      </w:r>
      <w:r w:rsidRPr="00E357E9">
        <w:t xml:space="preserve">, dans le même temps, le PCI peut offrir un moyen d’expression </w:t>
      </w:r>
      <w:r w:rsidR="00831E7B" w:rsidRPr="00E357E9">
        <w:t xml:space="preserve">essentiel </w:t>
      </w:r>
      <w:r w:rsidRPr="00E357E9">
        <w:t xml:space="preserve">aux rôles </w:t>
      </w:r>
      <w:r w:rsidR="00262A8C" w:rsidRPr="00E357E9">
        <w:t>occupés par les hommes et les femmes</w:t>
      </w:r>
      <w:r w:rsidRPr="00E357E9">
        <w:t xml:space="preserve">, il est extrêmement important de </w:t>
      </w:r>
      <w:r w:rsidR="003233D5" w:rsidRPr="00E357E9">
        <w:t>fonder</w:t>
      </w:r>
      <w:r w:rsidRPr="00E357E9">
        <w:t xml:space="preserve"> les activités de sauvegarde sur une sensibilisation</w:t>
      </w:r>
      <w:r w:rsidR="009860C3" w:rsidRPr="00E357E9">
        <w:t xml:space="preserve"> </w:t>
      </w:r>
      <w:r w:rsidR="005B1E5E" w:rsidRPr="00E357E9">
        <w:t>à</w:t>
      </w:r>
      <w:r w:rsidR="00831E7B" w:rsidRPr="00E357E9">
        <w:t xml:space="preserve"> l’impact potentiel </w:t>
      </w:r>
      <w:r w:rsidR="005B1E5E" w:rsidRPr="00E357E9">
        <w:t>pouvant</w:t>
      </w:r>
      <w:r w:rsidR="00C63053" w:rsidRPr="00E357E9">
        <w:t xml:space="preserve"> s’exercer sur</w:t>
      </w:r>
      <w:r w:rsidR="009860C3" w:rsidRPr="00E357E9">
        <w:t xml:space="preserve"> </w:t>
      </w:r>
      <w:r w:rsidR="00831E7B" w:rsidRPr="00E357E9">
        <w:t>le PCI et les</w:t>
      </w:r>
      <w:r w:rsidR="009860C3" w:rsidRPr="00E357E9">
        <w:t xml:space="preserve"> rôles </w:t>
      </w:r>
      <w:r w:rsidR="00F32546" w:rsidRPr="00E357E9">
        <w:t>masculins et féminins</w:t>
      </w:r>
      <w:r w:rsidR="009860C3" w:rsidRPr="00E357E9">
        <w:t>. La DO 181(e) encourage les États parties à « assurer l’égalité des genres dans la planification, la gestion et la mise en œuvre des mesures de sauvegarde, à tous les niveaux et dans tous les contextes, afin de tirer pleinement parti des différents points de vue de tous les membres de la société. »</w:t>
      </w:r>
    </w:p>
    <w:p w14:paraId="290E9959" w14:textId="4E569A61" w:rsidR="0060774C" w:rsidRPr="00E357E9" w:rsidRDefault="00BA223E" w:rsidP="00914287">
      <w:pPr>
        <w:pStyle w:val="Texte1"/>
      </w:pPr>
      <w:r w:rsidRPr="00E357E9">
        <w:t xml:space="preserve">Dès lors qu’un </w:t>
      </w:r>
      <w:r w:rsidR="000667E1" w:rsidRPr="00E357E9">
        <w:t>degré</w:t>
      </w:r>
      <w:r w:rsidRPr="00E357E9">
        <w:t xml:space="preserve"> suffisant de sensibilisation à la notion de genre a été atteint, les éléments à </w:t>
      </w:r>
      <w:r w:rsidR="00CB2622" w:rsidRPr="00E357E9">
        <w:t>examiner</w:t>
      </w:r>
      <w:r w:rsidR="002A559B" w:rsidRPr="00E357E9">
        <w:t xml:space="preserve"> </w:t>
      </w:r>
      <w:r w:rsidR="00E45A06" w:rsidRPr="00E357E9">
        <w:t xml:space="preserve">ensuite </w:t>
      </w:r>
      <w:r w:rsidR="002A559B" w:rsidRPr="00E357E9">
        <w:t xml:space="preserve">sont </w:t>
      </w:r>
      <w:r w:rsidR="00E45A06" w:rsidRPr="00E357E9">
        <w:t xml:space="preserve">les suivants </w:t>
      </w:r>
      <w:r w:rsidRPr="00E357E9">
        <w:t>: quels types de stratégies, de mesures et d</w:t>
      </w:r>
      <w:r w:rsidR="002206A8" w:rsidRPr="00E357E9">
        <w:t>’app</w:t>
      </w:r>
      <w:r w:rsidR="0076552D" w:rsidRPr="00E357E9">
        <w:t>roches sont-il</w:t>
      </w:r>
      <w:r w:rsidR="003A13D7" w:rsidRPr="00E357E9">
        <w:t xml:space="preserve">s </w:t>
      </w:r>
      <w:r w:rsidRPr="00E357E9">
        <w:t>nécessaires</w:t>
      </w:r>
      <w:r w:rsidR="003A13D7" w:rsidRPr="00E357E9">
        <w:t xml:space="preserve"> </w:t>
      </w:r>
      <w:r w:rsidR="003C289C" w:rsidRPr="00E357E9">
        <w:t>afin</w:t>
      </w:r>
      <w:r w:rsidR="00880F4D" w:rsidRPr="00E357E9">
        <w:t xml:space="preserve"> de garantir que d</w:t>
      </w:r>
      <w:r w:rsidR="003A13D7" w:rsidRPr="00E357E9">
        <w:t xml:space="preserve">es mesures de sauvegarde </w:t>
      </w:r>
      <w:r w:rsidR="008551B0" w:rsidRPr="00E357E9">
        <w:t xml:space="preserve">prennent en compte les </w:t>
      </w:r>
      <w:r w:rsidR="003A13D7" w:rsidRPr="00E357E9">
        <w:t>spécificités </w:t>
      </w:r>
      <w:r w:rsidR="008551B0" w:rsidRPr="00E357E9">
        <w:t xml:space="preserve">liées au genre </w:t>
      </w:r>
      <w:r w:rsidR="003A13D7" w:rsidRPr="00E357E9">
        <w:t xml:space="preserve">? Une analyse de la notion de genre nous renseigne sur la manière dont les rôles et les relations entre les sexes peuvent avoir un impact et/ou être impactés par des plans de sauvegarde. Une telle analyse permet également d’identifier si les différences de rôles en termes de genre – en interaction avec d’autres rôles </w:t>
      </w:r>
      <w:r w:rsidR="00001A9D" w:rsidRPr="00E357E9">
        <w:t xml:space="preserve">socialement </w:t>
      </w:r>
      <w:r w:rsidR="003A13D7" w:rsidRPr="00E357E9">
        <w:t xml:space="preserve">déterminés (par exemple l’origine ethnique, le handicap, l’âge, etc…) – peuvent ou non </w:t>
      </w:r>
      <w:r w:rsidR="009D27DB" w:rsidRPr="00E357E9">
        <w:t>faire naître</w:t>
      </w:r>
      <w:r w:rsidR="003A13D7" w:rsidRPr="00E357E9">
        <w:t xml:space="preserve"> </w:t>
      </w:r>
      <w:r w:rsidR="00CC063E" w:rsidRPr="00E357E9">
        <w:t>un</w:t>
      </w:r>
      <w:r w:rsidR="003A13D7" w:rsidRPr="00E357E9">
        <w:t xml:space="preserve"> pouvoir de dominer et d’</w:t>
      </w:r>
      <w:r w:rsidR="002C2A6B" w:rsidRPr="00E357E9">
        <w:t>humilier</w:t>
      </w:r>
      <w:r w:rsidR="00EF5C96" w:rsidRPr="00E357E9">
        <w:t>,</w:t>
      </w:r>
      <w:r w:rsidR="002C2A6B" w:rsidRPr="00E357E9">
        <w:t xml:space="preserve"> et </w:t>
      </w:r>
      <w:r w:rsidR="00EF5C96" w:rsidRPr="00E357E9">
        <w:t xml:space="preserve">ensuite, </w:t>
      </w:r>
      <w:r w:rsidR="00D11DDB" w:rsidRPr="00E357E9">
        <w:t xml:space="preserve">de </w:t>
      </w:r>
      <w:r w:rsidR="00001A9D" w:rsidRPr="00E357E9">
        <w:t>réagir</w:t>
      </w:r>
      <w:r w:rsidR="002C2A6B" w:rsidRPr="00E357E9">
        <w:t xml:space="preserve"> en conséquence.</w:t>
      </w:r>
      <w:r w:rsidR="003A13D7" w:rsidRPr="00E357E9">
        <w:t xml:space="preserve"> </w:t>
      </w:r>
      <w:r w:rsidR="0021785F" w:rsidRPr="00E357E9">
        <w:t xml:space="preserve">Une </w:t>
      </w:r>
      <w:r w:rsidR="00A748DD" w:rsidRPr="00E357E9">
        <w:t xml:space="preserve">incapacité à conduire </w:t>
      </w:r>
      <w:r w:rsidR="00E309BE" w:rsidRPr="00E357E9">
        <w:t>cette</w:t>
      </w:r>
      <w:r w:rsidR="00A748DD" w:rsidRPr="00E357E9">
        <w:t xml:space="preserve"> analyse peut vouloir dire que des hypothèses </w:t>
      </w:r>
      <w:r w:rsidR="00912CBA" w:rsidRPr="00E357E9">
        <w:t>majeures</w:t>
      </w:r>
      <w:r w:rsidR="00A748DD" w:rsidRPr="00E357E9">
        <w:t xml:space="preserve"> </w:t>
      </w:r>
      <w:r w:rsidR="00D225C2" w:rsidRPr="00E357E9">
        <w:t>ont été</w:t>
      </w:r>
      <w:r w:rsidR="00A748DD" w:rsidRPr="00E357E9">
        <w:t xml:space="preserve"> négligées et que des plans de sauvegarde peuvent être </w:t>
      </w:r>
      <w:r w:rsidR="00A748DD" w:rsidRPr="00E357E9">
        <w:lastRenderedPageBreak/>
        <w:t>compromis, ou en effet, qu’un préjudice involontaire peut être causé à une communauté, aux membres d’un groupe ou aux dynamiques de genre de leur PCI.</w:t>
      </w:r>
    </w:p>
    <w:p w14:paraId="3B3868C2" w14:textId="01E010EE" w:rsidR="00FA3A23" w:rsidRPr="00E357E9" w:rsidRDefault="00FA3A23" w:rsidP="00914287">
      <w:pPr>
        <w:pStyle w:val="Texte1"/>
      </w:pPr>
      <w:r w:rsidRPr="00E357E9">
        <w:t xml:space="preserve">L’Unité 6 aborde </w:t>
      </w:r>
      <w:r w:rsidR="00C37125" w:rsidRPr="00E357E9">
        <w:t xml:space="preserve">la notion de genre </w:t>
      </w:r>
      <w:r w:rsidRPr="00E357E9">
        <w:t xml:space="preserve">et </w:t>
      </w:r>
      <w:r w:rsidR="00C37125" w:rsidRPr="00E357E9">
        <w:t xml:space="preserve">s’y réfère spécifiquement </w:t>
      </w:r>
      <w:r w:rsidRPr="00E357E9">
        <w:t xml:space="preserve">dans l’identification et l’inventaire ; </w:t>
      </w:r>
      <w:r w:rsidR="005874F9" w:rsidRPr="00E357E9">
        <w:t>pour ce qui a trait au</w:t>
      </w:r>
      <w:r w:rsidRPr="00E357E9">
        <w:t xml:space="preserve"> genre dans des mesures particulières de sauvegarde, </w:t>
      </w:r>
      <w:r w:rsidR="00D75D46" w:rsidRPr="00E357E9">
        <w:t xml:space="preserve">un examen plus approfondi </w:t>
      </w:r>
      <w:r w:rsidR="000B11C6" w:rsidRPr="00E357E9">
        <w:t>est</w:t>
      </w:r>
      <w:r w:rsidR="002D36BE" w:rsidRPr="00E357E9">
        <w:t xml:space="preserve"> mené</w:t>
      </w:r>
      <w:r w:rsidR="00D75D46" w:rsidRPr="00E357E9">
        <w:t xml:space="preserve"> </w:t>
      </w:r>
      <w:r w:rsidRPr="00E357E9">
        <w:t>ci-dessous.</w:t>
      </w:r>
    </w:p>
    <w:p w14:paraId="1FF14EAA" w14:textId="66736E13" w:rsidR="00EC4033" w:rsidRPr="00E357E9" w:rsidRDefault="00234847" w:rsidP="00914287">
      <w:pPr>
        <w:pStyle w:val="Texte1"/>
      </w:pPr>
      <w:r w:rsidRPr="00E357E9">
        <w:t>Voir les Unités 48 et 49 p</w:t>
      </w:r>
      <w:r w:rsidR="00EC4033" w:rsidRPr="00E357E9">
        <w:t xml:space="preserve">our plus de détails sur le genre et le PCI et sur les approches prenant en compte les sexospécificités </w:t>
      </w:r>
      <w:r w:rsidRPr="00E357E9">
        <w:t xml:space="preserve">en matière de sauvegarde du PCI </w:t>
      </w:r>
      <w:r w:rsidR="00EC4033" w:rsidRPr="00E357E9">
        <w:t>; voir également « Genre et PCI » dans l’Unité 3 du Texte du participant</w:t>
      </w:r>
      <w:r w:rsidR="00D92AEE" w:rsidRPr="00E357E9">
        <w:t>,</w:t>
      </w:r>
      <w:r w:rsidR="00EC4033" w:rsidRPr="00E357E9">
        <w:t xml:space="preserve"> </w:t>
      </w:r>
      <w:r w:rsidR="007846B6" w:rsidRPr="00E357E9">
        <w:t>ainsi que</w:t>
      </w:r>
      <w:r w:rsidR="00EC4033" w:rsidRPr="00E357E9">
        <w:t xml:space="preserve"> </w:t>
      </w:r>
      <w:r w:rsidR="00F23D18" w:rsidRPr="00E357E9">
        <w:t>la</w:t>
      </w:r>
      <w:r w:rsidR="00EC4033" w:rsidRPr="00E357E9">
        <w:t xml:space="preserve"> </w:t>
      </w:r>
      <w:r w:rsidR="007846B6" w:rsidRPr="00E357E9">
        <w:br/>
      </w:r>
      <w:r w:rsidR="00EC4033" w:rsidRPr="00E357E9">
        <w:t>DO 181(a-e).</w:t>
      </w:r>
    </w:p>
    <w:p w14:paraId="61E819D3" w14:textId="77777777" w:rsidR="004325DC" w:rsidRPr="00617049" w:rsidRDefault="002D41E4" w:rsidP="00E82F06">
      <w:pPr>
        <w:pStyle w:val="Titcoul"/>
      </w:pPr>
      <w:bookmarkStart w:id="37" w:name="_Toc238963269"/>
      <w:bookmarkStart w:id="38" w:name="_Toc241065155"/>
      <w:bookmarkStart w:id="39" w:name="_Toc301443379"/>
      <w:bookmarkStart w:id="40" w:name="_Toc321407022"/>
      <w:bookmarkStart w:id="41" w:name="_Toc354486646"/>
      <w:bookmarkStart w:id="42" w:name="_Toc354486952"/>
      <w:bookmarkStart w:id="43" w:name="_Toc247360239"/>
      <w:r w:rsidRPr="00617049">
        <w:t>9</w:t>
      </w:r>
      <w:r w:rsidR="00C10A1F" w:rsidRPr="00617049">
        <w:t>.4</w:t>
      </w:r>
      <w:bookmarkEnd w:id="37"/>
      <w:bookmarkEnd w:id="38"/>
      <w:r w:rsidR="0022235D" w:rsidRPr="00617049">
        <w:tab/>
      </w:r>
      <w:bookmarkStart w:id="44" w:name="_Toc238963270"/>
      <w:bookmarkStart w:id="45" w:name="_Toc241065156"/>
      <w:r w:rsidR="00C10A1F" w:rsidRPr="00617049">
        <w:t xml:space="preserve">Mesures </w:t>
      </w:r>
      <w:r w:rsidR="00FF2E50" w:rsidRPr="00617049">
        <w:t>de</w:t>
      </w:r>
      <w:r w:rsidR="00C10A1F" w:rsidRPr="00617049">
        <w:t xml:space="preserve"> sauvegarde d</w:t>
      </w:r>
      <w:r w:rsidR="00A61E6D" w:rsidRPr="00617049">
        <w:t>’</w:t>
      </w:r>
      <w:r w:rsidR="005D01EF" w:rsidRPr="00617049">
        <w:t>É</w:t>
      </w:r>
      <w:r w:rsidR="00C10A1F" w:rsidRPr="00617049">
        <w:t>l</w:t>
      </w:r>
      <w:r w:rsidR="005D01EF" w:rsidRPr="00617049">
        <w:t>É</w:t>
      </w:r>
      <w:r w:rsidR="00C10A1F" w:rsidRPr="00617049">
        <w:t>ments sp</w:t>
      </w:r>
      <w:r w:rsidR="005D01EF" w:rsidRPr="00617049">
        <w:t>É</w:t>
      </w:r>
      <w:r w:rsidR="00C10A1F" w:rsidRPr="00617049">
        <w:t>cifiques du PCI</w:t>
      </w:r>
      <w:bookmarkEnd w:id="39"/>
      <w:bookmarkEnd w:id="40"/>
      <w:bookmarkEnd w:id="41"/>
      <w:bookmarkEnd w:id="42"/>
      <w:bookmarkEnd w:id="43"/>
      <w:bookmarkEnd w:id="44"/>
      <w:bookmarkEnd w:id="45"/>
    </w:p>
    <w:p w14:paraId="2033B102" w14:textId="77777777" w:rsidR="004325DC" w:rsidRPr="00617049" w:rsidRDefault="00C10A1F" w:rsidP="00914287">
      <w:pPr>
        <w:pStyle w:val="Texte1"/>
      </w:pPr>
      <w:r w:rsidRPr="00617049">
        <w:t>Les mesures particulières de sauvegarde cherchent à assurer la viabilité permanente d</w:t>
      </w:r>
      <w:r w:rsidR="00A61E6D" w:rsidRPr="00617049">
        <w:t>’</w:t>
      </w:r>
      <w:r w:rsidRPr="00617049">
        <w:t>un élément spécifique du PCI ou d</w:t>
      </w:r>
      <w:r w:rsidR="00A61E6D" w:rsidRPr="00617049">
        <w:t>’</w:t>
      </w:r>
      <w:r w:rsidRPr="00617049">
        <w:t>un groupe spécifique d</w:t>
      </w:r>
      <w:r w:rsidR="00A61E6D" w:rsidRPr="00617049">
        <w:t>’</w:t>
      </w:r>
      <w:r w:rsidRPr="00617049">
        <w:t>éléments, lorsque l</w:t>
      </w:r>
      <w:r w:rsidR="00491D64">
        <w:t>a</w:t>
      </w:r>
      <w:r w:rsidRPr="00617049">
        <w:t xml:space="preserve"> pratique et </w:t>
      </w:r>
      <w:r w:rsidR="008537BD">
        <w:t xml:space="preserve">la </w:t>
      </w:r>
      <w:r w:rsidRPr="00617049">
        <w:t>transmi</w:t>
      </w:r>
      <w:r w:rsidR="00540CDB" w:rsidRPr="00617049">
        <w:t xml:space="preserve">ssion </w:t>
      </w:r>
      <w:r w:rsidR="008537BD">
        <w:t xml:space="preserve">du ou des éléments </w:t>
      </w:r>
      <w:r w:rsidR="00540CDB" w:rsidRPr="00617049">
        <w:t>se trouvent</w:t>
      </w:r>
      <w:r w:rsidRPr="00617049">
        <w:t xml:space="preserve"> mises en péril d</w:t>
      </w:r>
      <w:r w:rsidR="00A61E6D" w:rsidRPr="00617049">
        <w:t>’</w:t>
      </w:r>
      <w:r w:rsidRPr="00617049">
        <w:t xml:space="preserve">une manière </w:t>
      </w:r>
      <w:r w:rsidR="00540CDB" w:rsidRPr="00617049">
        <w:t>quelconque</w:t>
      </w:r>
      <w:r w:rsidRPr="00617049">
        <w:t>.</w:t>
      </w:r>
    </w:p>
    <w:p w14:paraId="7A1A6F24" w14:textId="77777777" w:rsidR="004325DC" w:rsidRPr="00617049" w:rsidRDefault="00C10A1F" w:rsidP="00914287">
      <w:pPr>
        <w:pStyle w:val="Texte1"/>
      </w:pPr>
      <w:r w:rsidRPr="00617049">
        <w:t>Les mesures particulières de sauvegarde ne s</w:t>
      </w:r>
      <w:r w:rsidR="00540CDB" w:rsidRPr="00617049">
        <w:t>’imposent</w:t>
      </w:r>
      <w:r w:rsidRPr="00617049">
        <w:t xml:space="preserve"> pas quand la pratique et la transmission normales soutiennent un élément du PCI au fil du temps. Dans ces conditions, le PCI n</w:t>
      </w:r>
      <w:r w:rsidR="00A61E6D" w:rsidRPr="00617049">
        <w:t>’</w:t>
      </w:r>
      <w:r w:rsidRPr="00617049">
        <w:t>est confronté à aucun péril ou risque particulier pour sa viabilité</w:t>
      </w:r>
      <w:r w:rsidR="00EA1FE1" w:rsidRPr="00617049">
        <w:t> ;</w:t>
      </w:r>
      <w:r w:rsidRPr="00617049">
        <w:t xml:space="preserve"> aucune intervention extérieure n</w:t>
      </w:r>
      <w:r w:rsidR="00A61E6D" w:rsidRPr="00617049">
        <w:t>’</w:t>
      </w:r>
      <w:r w:rsidRPr="00617049">
        <w:t>est requise et les mesures générales de sauvegarde (comme l</w:t>
      </w:r>
      <w:r w:rsidR="00A61E6D" w:rsidRPr="00617049">
        <w:t>’</w:t>
      </w:r>
      <w:r w:rsidRPr="00617049">
        <w:t>action de sensibilisation) sont plus appropriées que les mesures particulières.</w:t>
      </w:r>
    </w:p>
    <w:p w14:paraId="6326BAFA" w14:textId="77777777" w:rsidR="00C10A1F" w:rsidRPr="00617049" w:rsidRDefault="00D762C8">
      <w:pPr>
        <w:pStyle w:val="Heading4"/>
      </w:pPr>
      <w:bookmarkStart w:id="46" w:name="_Toc247360240"/>
      <w:r w:rsidRPr="00617049">
        <w:t>Faire face aux</w:t>
      </w:r>
      <w:r w:rsidR="00C10A1F" w:rsidRPr="00617049">
        <w:t xml:space="preserve"> menaces et</w:t>
      </w:r>
      <w:r w:rsidR="00461004" w:rsidRPr="00617049">
        <w:t xml:space="preserve"> </w:t>
      </w:r>
      <w:r w:rsidRPr="00617049">
        <w:t xml:space="preserve">aux </w:t>
      </w:r>
      <w:r w:rsidR="00C10A1F" w:rsidRPr="00617049">
        <w:t>risques</w:t>
      </w:r>
      <w:bookmarkEnd w:id="46"/>
    </w:p>
    <w:p w14:paraId="5FDFEF3F" w14:textId="77777777" w:rsidR="004325DC" w:rsidRPr="00617049" w:rsidRDefault="00C10A1F" w:rsidP="00914287">
      <w:pPr>
        <w:pStyle w:val="Texte1"/>
      </w:pPr>
      <w:r w:rsidRPr="00617049">
        <w:t>L</w:t>
      </w:r>
      <w:r w:rsidR="00A61E6D" w:rsidRPr="00617049">
        <w:t>’</w:t>
      </w:r>
      <w:r w:rsidRPr="00617049">
        <w:t>identification et l</w:t>
      </w:r>
      <w:r w:rsidR="00A61E6D" w:rsidRPr="00617049">
        <w:t>’</w:t>
      </w:r>
      <w:r w:rsidRPr="00617049">
        <w:t>analyse des menaces et des risques s</w:t>
      </w:r>
      <w:r w:rsidR="00A61E6D" w:rsidRPr="00617049">
        <w:t>’</w:t>
      </w:r>
      <w:r w:rsidRPr="00617049">
        <w:t>imposent avant de pouvoir mettre au point des mesures de sauvegarde. Les problèmes sont parfois relativement simples, mais en général ce n</w:t>
      </w:r>
      <w:r w:rsidR="00A61E6D" w:rsidRPr="00617049">
        <w:t>’</w:t>
      </w:r>
      <w:r w:rsidRPr="00617049">
        <w:t xml:space="preserve">est pas le cas. Les mesures de sauvegarde proposent souvent des changements dans la pratique ou la transmission du PCI dans un effort visant à </w:t>
      </w:r>
      <w:r w:rsidR="00E067A0" w:rsidRPr="00617049">
        <w:t>ajuster les</w:t>
      </w:r>
      <w:r w:rsidRPr="00617049">
        <w:t xml:space="preserve"> conditions de vie en rapide mutation des communautés concernées</w:t>
      </w:r>
      <w:r w:rsidR="00EA1FE1" w:rsidRPr="00617049">
        <w:t> ;</w:t>
      </w:r>
      <w:r w:rsidRPr="00617049">
        <w:t xml:space="preserve"> des adaptations semblables se produisent couramment dans la pratique des éléments</w:t>
      </w:r>
      <w:r w:rsidR="000E0B24" w:rsidRPr="00617049">
        <w:t xml:space="preserve"> du PCI ayant gardé </w:t>
      </w:r>
      <w:r w:rsidRPr="00617049">
        <w:t>leur vitalité.</w:t>
      </w:r>
    </w:p>
    <w:p w14:paraId="2CEA2957" w14:textId="77777777" w:rsidR="004325DC" w:rsidRPr="00617049" w:rsidRDefault="000E0B24" w:rsidP="00914287">
      <w:pPr>
        <w:pStyle w:val="Texte1"/>
      </w:pPr>
      <w:r w:rsidRPr="00617049">
        <w:t>Faute d’enrayer</w:t>
      </w:r>
      <w:r w:rsidR="00C10A1F" w:rsidRPr="00617049">
        <w:t xml:space="preserve"> les menaces qui pèsent sur la viabilité du PCI, </w:t>
      </w:r>
      <w:r w:rsidRPr="00617049">
        <w:t>celui-ci</w:t>
      </w:r>
      <w:r w:rsidR="00C10A1F" w:rsidRPr="00617049">
        <w:t xml:space="preserve"> pourrait cesser d</w:t>
      </w:r>
      <w:r w:rsidR="00A61E6D" w:rsidRPr="00617049">
        <w:t>’</w:t>
      </w:r>
      <w:r w:rsidR="00C10A1F" w:rsidRPr="00617049">
        <w:t>être pratiqué comme un patrimoine vivant bien que les spectacles ou les produits continuent parfois d</w:t>
      </w:r>
      <w:r w:rsidR="00A61E6D" w:rsidRPr="00617049">
        <w:t>’</w:t>
      </w:r>
      <w:r w:rsidR="00C10A1F" w:rsidRPr="00617049">
        <w:t xml:space="preserve">être </w:t>
      </w:r>
      <w:r w:rsidRPr="00617049">
        <w:t>conçus</w:t>
      </w:r>
      <w:r w:rsidR="00C10A1F" w:rsidRPr="00617049">
        <w:t xml:space="preserve"> pour les touristes ou d</w:t>
      </w:r>
      <w:r w:rsidR="00A61E6D" w:rsidRPr="00617049">
        <w:t>’</w:t>
      </w:r>
      <w:r w:rsidR="00C10A1F" w:rsidRPr="00617049">
        <w:t xml:space="preserve">autres populations extérieures pour des raisons </w:t>
      </w:r>
      <w:r w:rsidRPr="00617049">
        <w:t xml:space="preserve">purement </w:t>
      </w:r>
      <w:r w:rsidR="00C10A1F" w:rsidRPr="00617049">
        <w:t>commerciales. Tout le PCI n</w:t>
      </w:r>
      <w:r w:rsidR="00A61E6D" w:rsidRPr="00617049">
        <w:t>’</w:t>
      </w:r>
      <w:r w:rsidR="00C10A1F" w:rsidRPr="00617049">
        <w:t xml:space="preserve">est pas à sauvegarder ou </w:t>
      </w:r>
      <w:r w:rsidR="00055F54" w:rsidRPr="00617049">
        <w:t xml:space="preserve">à </w:t>
      </w:r>
      <w:r w:rsidR="00C10A1F" w:rsidRPr="00617049">
        <w:t xml:space="preserve">revitaliser </w:t>
      </w:r>
      <w:r w:rsidR="00BB70F2" w:rsidRPr="00617049">
        <w:t>– </w:t>
      </w:r>
      <w:r w:rsidR="00C10A1F" w:rsidRPr="00617049">
        <w:t xml:space="preserve">ou ne peut </w:t>
      </w:r>
      <w:r w:rsidR="00055F54" w:rsidRPr="00617049">
        <w:t xml:space="preserve">effectivement </w:t>
      </w:r>
      <w:r w:rsidR="00C10A1F" w:rsidRPr="00617049">
        <w:t>pas l</w:t>
      </w:r>
      <w:r w:rsidR="00A61E6D" w:rsidRPr="00617049">
        <w:t>’</w:t>
      </w:r>
      <w:r w:rsidR="00C10A1F" w:rsidRPr="00617049">
        <w:t>être. Si la communauté ou le groupe concerné ne considère plus certains éléments du PCI comme étant in</w:t>
      </w:r>
      <w:r w:rsidR="00E26C13" w:rsidRPr="00617049">
        <w:t>téressants ou significatifs, leur</w:t>
      </w:r>
      <w:r w:rsidR="00C10A1F" w:rsidRPr="00617049">
        <w:t xml:space="preserve"> </w:t>
      </w:r>
      <w:r w:rsidR="00E26C13" w:rsidRPr="00617049">
        <w:t xml:space="preserve">sauvegarde devient d’autant plus </w:t>
      </w:r>
      <w:r w:rsidR="00C10A1F" w:rsidRPr="00617049">
        <w:t>d</w:t>
      </w:r>
      <w:r w:rsidR="00E26C13" w:rsidRPr="00617049">
        <w:t>ifficile</w:t>
      </w:r>
      <w:r w:rsidR="00C10A1F" w:rsidRPr="00617049">
        <w:t xml:space="preserve"> </w:t>
      </w:r>
      <w:r w:rsidR="007A1F97" w:rsidRPr="00617049">
        <w:t>au</w:t>
      </w:r>
      <w:r w:rsidR="00C10A1F" w:rsidRPr="00617049">
        <w:t xml:space="preserve"> sens où l</w:t>
      </w:r>
      <w:r w:rsidR="00A61E6D" w:rsidRPr="00617049">
        <w:t>’</w:t>
      </w:r>
      <w:r w:rsidR="00C10A1F" w:rsidRPr="00617049">
        <w:t xml:space="preserve">entend la Convention. Dans ces cas-là, </w:t>
      </w:r>
      <w:r w:rsidR="00E26C13" w:rsidRPr="00617049">
        <w:t>ils</w:t>
      </w:r>
      <w:r w:rsidR="00C10A1F" w:rsidRPr="00617049">
        <w:t xml:space="preserve"> peuvent simplement être </w:t>
      </w:r>
      <w:r w:rsidR="00E26C13" w:rsidRPr="00617049">
        <w:t>répertori</w:t>
      </w:r>
      <w:r w:rsidR="00C10A1F" w:rsidRPr="00617049">
        <w:t>és avant de cesser une fois pour toutes d</w:t>
      </w:r>
      <w:r w:rsidR="00A61E6D" w:rsidRPr="00617049">
        <w:t>’</w:t>
      </w:r>
      <w:r w:rsidR="00C10A1F" w:rsidRPr="00617049">
        <w:t>être représentés.</w:t>
      </w:r>
    </w:p>
    <w:p w14:paraId="2E40C633" w14:textId="77777777" w:rsidR="00C10A1F" w:rsidRPr="00617049" w:rsidRDefault="00C10A1F">
      <w:pPr>
        <w:pStyle w:val="Heading4"/>
      </w:pPr>
      <w:bookmarkStart w:id="47" w:name="_Toc247360241"/>
      <w:r w:rsidRPr="00617049">
        <w:t>Types de mesures de sauvegarde</w:t>
      </w:r>
      <w:bookmarkEnd w:id="47"/>
    </w:p>
    <w:p w14:paraId="060052F8" w14:textId="77777777" w:rsidR="004325DC" w:rsidRPr="00617049" w:rsidRDefault="00C10A1F" w:rsidP="00914287">
      <w:pPr>
        <w:pStyle w:val="Texte1"/>
      </w:pPr>
      <w:r w:rsidRPr="00617049">
        <w:t>Les mesures de sauvegarde peuvent être des activités aussi simples que le renforcement d</w:t>
      </w:r>
      <w:r w:rsidR="00A61E6D" w:rsidRPr="00617049">
        <w:t>’</w:t>
      </w:r>
      <w:r w:rsidRPr="00617049">
        <w:t>un comité d</w:t>
      </w:r>
      <w:r w:rsidR="00A61E6D" w:rsidRPr="00617049">
        <w:t>’</w:t>
      </w:r>
      <w:r w:rsidRPr="00617049">
        <w:t>organisat</w:t>
      </w:r>
      <w:r w:rsidR="00ED2B25" w:rsidRPr="00617049">
        <w:t>ion ou la plantation d’</w:t>
      </w:r>
      <w:r w:rsidRPr="00617049">
        <w:t xml:space="preserve">arbres nécessaires à la fabrication </w:t>
      </w:r>
      <w:r w:rsidRPr="00617049">
        <w:lastRenderedPageBreak/>
        <w:t>d</w:t>
      </w:r>
      <w:r w:rsidR="00A61E6D" w:rsidRPr="00617049">
        <w:t>’</w:t>
      </w:r>
      <w:r w:rsidRPr="00617049">
        <w:t>instruments de musique, la collecte de fonds au sein de la communauté ou l</w:t>
      </w:r>
      <w:r w:rsidR="00A61E6D" w:rsidRPr="00617049">
        <w:t>’</w:t>
      </w:r>
      <w:r w:rsidRPr="00617049">
        <w:t>instauration d</w:t>
      </w:r>
      <w:r w:rsidR="00ED2B25" w:rsidRPr="00617049">
        <w:t>e stages de formation informels</w:t>
      </w:r>
      <w:r w:rsidRPr="00617049">
        <w:t xml:space="preserve"> pour la transmission d</w:t>
      </w:r>
      <w:r w:rsidR="00ED2B25" w:rsidRPr="00617049">
        <w:t>e</w:t>
      </w:r>
      <w:r w:rsidRPr="00617049">
        <w:t xml:space="preserve"> savoir-faire. Les mesures de sauvegarde peuvent aussi inclure des activités plus complexes, regroupées en un plan cohérent</w:t>
      </w:r>
      <w:r w:rsidR="00EA1FE1" w:rsidRPr="00617049">
        <w:t> :</w:t>
      </w:r>
      <w:r w:rsidRPr="00617049">
        <w:t xml:space="preserve"> des stratégies </w:t>
      </w:r>
      <w:r w:rsidR="00ED2B25" w:rsidRPr="00617049">
        <w:t xml:space="preserve">diversifiées </w:t>
      </w:r>
      <w:r w:rsidRPr="00617049">
        <w:t>de sauvegarde à moyen terme, par exemple, où interviennent de nombreux acteurs</w:t>
      </w:r>
      <w:r w:rsidR="00B52C3B" w:rsidRPr="00617049">
        <w:t xml:space="preserve"> et dont la coordination pourrait être assurée </w:t>
      </w:r>
      <w:r w:rsidRPr="00617049">
        <w:t xml:space="preserve">par un organisme </w:t>
      </w:r>
      <w:r w:rsidR="009867A4" w:rsidRPr="00617049">
        <w:t>communaut</w:t>
      </w:r>
      <w:r w:rsidR="00ED2B25" w:rsidRPr="00617049">
        <w:t>aire</w:t>
      </w:r>
      <w:r w:rsidRPr="00617049">
        <w:t xml:space="preserve"> avec l</w:t>
      </w:r>
      <w:r w:rsidR="00A61E6D" w:rsidRPr="00617049">
        <w:t>’</w:t>
      </w:r>
      <w:r w:rsidRPr="00617049">
        <w:t>aide d</w:t>
      </w:r>
      <w:r w:rsidR="00ED2B25" w:rsidRPr="00617049">
        <w:t xml:space="preserve">es </w:t>
      </w:r>
      <w:r w:rsidRPr="00617049">
        <w:t>ONG, d</w:t>
      </w:r>
      <w:r w:rsidR="00ED2B25" w:rsidRPr="00617049">
        <w:t>es auto</w:t>
      </w:r>
      <w:r w:rsidRPr="00617049">
        <w:t>rités locales, d</w:t>
      </w:r>
      <w:r w:rsidR="00A61E6D" w:rsidRPr="00617049">
        <w:t>’</w:t>
      </w:r>
      <w:r w:rsidRPr="00617049">
        <w:t>institutions spécialisées, etc</w:t>
      </w:r>
      <w:r w:rsidR="001E0E86">
        <w:t>.</w:t>
      </w:r>
    </w:p>
    <w:p w14:paraId="557BAFA9" w14:textId="77777777" w:rsidR="004325DC" w:rsidRPr="00617049" w:rsidRDefault="000B6287" w:rsidP="00914287">
      <w:pPr>
        <w:pStyle w:val="Texte1"/>
      </w:pPr>
      <w:r>
        <w:t xml:space="preserve">Les </w:t>
      </w:r>
      <w:r w:rsidR="00C10A1F" w:rsidRPr="00617049">
        <w:t xml:space="preserve">mesures de sauvegarde </w:t>
      </w:r>
      <w:r w:rsidR="00B52C3B" w:rsidRPr="00617049">
        <w:t>a</w:t>
      </w:r>
      <w:r w:rsidR="00C10A1F" w:rsidRPr="00617049">
        <w:t>ppli</w:t>
      </w:r>
      <w:r w:rsidR="00B52C3B" w:rsidRPr="00617049">
        <w:t>cables</w:t>
      </w:r>
      <w:r w:rsidR="00C10A1F" w:rsidRPr="00617049">
        <w:t xml:space="preserve"> à des éléments spécifiques sont mentionné</w:t>
      </w:r>
      <w:r w:rsidR="001E0E86">
        <w:t>e</w:t>
      </w:r>
      <w:r w:rsidR="00C10A1F" w:rsidRPr="00617049">
        <w:t xml:space="preserve">s </w:t>
      </w:r>
      <w:r w:rsidR="00B52C3B" w:rsidRPr="00617049">
        <w:t>à</w:t>
      </w:r>
      <w:r w:rsidR="00C10A1F" w:rsidRPr="00617049">
        <w:t xml:space="preserve"> l</w:t>
      </w:r>
      <w:r w:rsidR="00A61E6D" w:rsidRPr="00617049">
        <w:t>’</w:t>
      </w:r>
      <w:r w:rsidR="00043DFF" w:rsidRPr="00617049">
        <w:t>article </w:t>
      </w:r>
      <w:r w:rsidR="00C10A1F" w:rsidRPr="00617049">
        <w:t>2.3 </w:t>
      </w:r>
      <w:r w:rsidR="00EA1FE1" w:rsidRPr="00617049">
        <w:t>:</w:t>
      </w:r>
      <w:r w:rsidR="00043DFF" w:rsidRPr="00617049">
        <w:t xml:space="preserve"> « </w:t>
      </w:r>
      <w:r w:rsidR="00C10A1F" w:rsidRPr="00617049">
        <w:t>l</w:t>
      </w:r>
      <w:r w:rsidR="00A61E6D" w:rsidRPr="00617049">
        <w:t>’</w:t>
      </w:r>
      <w:r w:rsidR="00C10A1F" w:rsidRPr="00617049">
        <w:t>identification, la documentation, la recherche, la préservation, la protection, la promotion, la mise en valeur, la transmission, essentiellement par l</w:t>
      </w:r>
      <w:r w:rsidR="00A61E6D" w:rsidRPr="00617049">
        <w:t>’</w:t>
      </w:r>
      <w:r w:rsidR="00C10A1F" w:rsidRPr="00617049">
        <w:t>éducation formelle et non formelle [et] la revitalisation</w:t>
      </w:r>
      <w:r w:rsidR="00B52C3B" w:rsidRPr="00617049">
        <w:t> ».</w:t>
      </w:r>
      <w:r w:rsidR="00461004" w:rsidRPr="00617049">
        <w:t xml:space="preserve"> </w:t>
      </w:r>
      <w:r w:rsidR="00D65E8C" w:rsidRPr="00617049">
        <w:t>L</w:t>
      </w:r>
      <w:r w:rsidR="00A61E6D" w:rsidRPr="00617049">
        <w:t>’</w:t>
      </w:r>
      <w:r w:rsidR="00D65E8C" w:rsidRPr="00617049">
        <w:t xml:space="preserve">Unité 3 </w:t>
      </w:r>
      <w:r w:rsidR="002D41E4" w:rsidRPr="00617049">
        <w:t xml:space="preserve">du </w:t>
      </w:r>
      <w:r w:rsidR="002D41E4" w:rsidRPr="00617049">
        <w:rPr>
          <w:noProof/>
          <w:lang w:eastAsia="zh-TW"/>
        </w:rPr>
        <w:drawing>
          <wp:anchor distT="0" distB="0" distL="114300" distR="114300" simplePos="0" relativeHeight="251895296" behindDoc="0" locked="1" layoutInCell="1" allowOverlap="0" wp14:anchorId="5A4C1AA1" wp14:editId="34A66D27">
            <wp:simplePos x="0" y="0"/>
            <wp:positionH relativeFrom="column">
              <wp:posOffset>0</wp:posOffset>
            </wp:positionH>
            <wp:positionV relativeFrom="paragraph">
              <wp:posOffset>626110</wp:posOffset>
            </wp:positionV>
            <wp:extent cx="283210" cy="358775"/>
            <wp:effectExtent l="0" t="0" r="0" b="0"/>
            <wp:wrapThrough wrapText="bothSides">
              <wp:wrapPolygon edited="0">
                <wp:start x="0" y="0"/>
                <wp:lineTo x="0" y="19880"/>
                <wp:lineTo x="19372" y="19880"/>
                <wp:lineTo x="19372" y="0"/>
                <wp:lineTo x="0" y="0"/>
              </wp:wrapPolygon>
            </wp:wrapThrough>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anchor>
        </w:drawing>
      </w:r>
      <w:r w:rsidR="00646D3D" w:rsidRPr="00617049">
        <w:t>Texte du participant</w:t>
      </w:r>
      <w:r w:rsidR="00C10A1F" w:rsidRPr="00617049">
        <w:t xml:space="preserve"> </w:t>
      </w:r>
      <w:r w:rsidR="00B52C3B" w:rsidRPr="00617049">
        <w:t>offre aussi</w:t>
      </w:r>
      <w:r w:rsidR="00C10A1F" w:rsidRPr="00617049">
        <w:t xml:space="preserve"> un</w:t>
      </w:r>
      <w:r w:rsidR="00B52C3B" w:rsidRPr="00617049">
        <w:t xml:space="preserve"> examen détaillé</w:t>
      </w:r>
      <w:r w:rsidR="00C95361" w:rsidRPr="00617049">
        <w:t xml:space="preserve"> de ces termes</w:t>
      </w:r>
      <w:r w:rsidR="00B52C3B" w:rsidRPr="00617049">
        <w:t>.</w:t>
      </w:r>
      <w:r w:rsidR="00C10A1F" w:rsidRPr="00617049">
        <w:t xml:space="preserve"> Cette liste de mesures de sauvegarde n</w:t>
      </w:r>
      <w:r w:rsidR="00A61E6D" w:rsidRPr="00617049">
        <w:t>’</w:t>
      </w:r>
      <w:r w:rsidR="00C10A1F" w:rsidRPr="00617049">
        <w:t xml:space="preserve">est pas exhaustive et les activités de sauvegarde peuvent </w:t>
      </w:r>
      <w:r w:rsidR="0064397F" w:rsidRPr="00617049">
        <w:t>entrer</w:t>
      </w:r>
      <w:r w:rsidR="00C10A1F" w:rsidRPr="00617049">
        <w:t xml:space="preserve"> </w:t>
      </w:r>
      <w:r w:rsidR="0064397F" w:rsidRPr="00617049">
        <w:t>dans</w:t>
      </w:r>
      <w:r w:rsidR="00C10A1F" w:rsidRPr="00617049">
        <w:t xml:space="preserve"> plusieurs catégories de mesures </w:t>
      </w:r>
      <w:r w:rsidR="0056236A" w:rsidRPr="00617049">
        <w:t>à la fois</w:t>
      </w:r>
      <w:r w:rsidR="00C10A1F" w:rsidRPr="00617049">
        <w:t>. Dans le contexte de la sauvegarde au titre de la Convention, cependant, la classification des mesures particulières (</w:t>
      </w:r>
      <w:r w:rsidR="00395D21" w:rsidRPr="00617049">
        <w:t xml:space="preserve">dans la catégorie </w:t>
      </w:r>
      <w:r w:rsidR="00043DFF" w:rsidRPr="00617049">
        <w:t>« </w:t>
      </w:r>
      <w:r w:rsidR="00C10A1F" w:rsidRPr="00617049">
        <w:t>recherche</w:t>
      </w:r>
      <w:r w:rsidR="00461004" w:rsidRPr="00617049">
        <w:t xml:space="preserve"> », </w:t>
      </w:r>
      <w:r w:rsidR="00043DFF" w:rsidRPr="00617049">
        <w:t>« </w:t>
      </w:r>
      <w:r w:rsidR="00C10A1F" w:rsidRPr="00617049">
        <w:t>documentation</w:t>
      </w:r>
      <w:r w:rsidR="00461004" w:rsidRPr="00617049">
        <w:t xml:space="preserve"> », </w:t>
      </w:r>
      <w:r w:rsidR="00043DFF" w:rsidRPr="00617049">
        <w:t>« </w:t>
      </w:r>
      <w:r w:rsidR="00C10A1F" w:rsidRPr="00617049">
        <w:t>revitalisation</w:t>
      </w:r>
      <w:r w:rsidR="00043DFF" w:rsidRPr="00617049">
        <w:t xml:space="preserve"> » </w:t>
      </w:r>
      <w:r w:rsidR="00C10A1F" w:rsidRPr="00617049">
        <w:t xml:space="preserve">et autres) est moins importante que </w:t>
      </w:r>
      <w:r w:rsidR="00395D21" w:rsidRPr="00617049">
        <w:t>d</w:t>
      </w:r>
      <w:r w:rsidR="00A61E6D" w:rsidRPr="00617049">
        <w:t>’</w:t>
      </w:r>
      <w:r w:rsidR="00C10A1F" w:rsidRPr="00617049">
        <w:t>adapt</w:t>
      </w:r>
      <w:r w:rsidR="00395D21" w:rsidRPr="00617049">
        <w:t>er</w:t>
      </w:r>
      <w:r w:rsidR="00C10A1F" w:rsidRPr="00617049">
        <w:t xml:space="preserve"> ces activités pour juguler les menaces qui pèsent sur la viabilité des éléments concernés.</w:t>
      </w:r>
    </w:p>
    <w:p w14:paraId="050ECFBF" w14:textId="77777777" w:rsidR="004325DC" w:rsidRPr="00617049" w:rsidRDefault="002D41E4" w:rsidP="00E82F06">
      <w:pPr>
        <w:pStyle w:val="Titcoul"/>
      </w:pPr>
      <w:bookmarkStart w:id="48" w:name="_Toc238963271"/>
      <w:bookmarkStart w:id="49" w:name="_Toc241065157"/>
      <w:bookmarkStart w:id="50" w:name="_Toc301443380"/>
      <w:bookmarkStart w:id="51" w:name="_Toc321407023"/>
      <w:bookmarkStart w:id="52" w:name="_Toc354486647"/>
      <w:bookmarkStart w:id="53" w:name="_Toc354486953"/>
      <w:bookmarkStart w:id="54" w:name="_Toc247360242"/>
      <w:r w:rsidRPr="00617049">
        <w:t>9</w:t>
      </w:r>
      <w:r w:rsidR="00C10A1F" w:rsidRPr="00617049">
        <w:t>.5</w:t>
      </w:r>
      <w:bookmarkEnd w:id="48"/>
      <w:bookmarkEnd w:id="49"/>
      <w:r w:rsidR="0022235D" w:rsidRPr="00617049">
        <w:tab/>
      </w:r>
      <w:bookmarkStart w:id="55" w:name="_Toc238963272"/>
      <w:bookmarkStart w:id="56" w:name="_Toc241065158"/>
      <w:r w:rsidR="00C10A1F" w:rsidRPr="00617049">
        <w:t xml:space="preserve">Exemples </w:t>
      </w:r>
      <w:r w:rsidR="008A7E01" w:rsidRPr="00617049">
        <w:t>de</w:t>
      </w:r>
      <w:r w:rsidR="00C10A1F" w:rsidRPr="00617049">
        <w:t xml:space="preserve"> mesures </w:t>
      </w:r>
      <w:r w:rsidR="00395D21" w:rsidRPr="00617049">
        <w:t xml:space="preserve">particuliÈres </w:t>
      </w:r>
      <w:r w:rsidR="00C10A1F" w:rsidRPr="00617049">
        <w:t>de sauvegarde</w:t>
      </w:r>
      <w:bookmarkEnd w:id="50"/>
      <w:r w:rsidR="00C10A1F" w:rsidRPr="00617049">
        <w:t xml:space="preserve"> </w:t>
      </w:r>
      <w:bookmarkEnd w:id="51"/>
      <w:bookmarkEnd w:id="52"/>
      <w:bookmarkEnd w:id="53"/>
      <w:bookmarkEnd w:id="54"/>
      <w:bookmarkEnd w:id="55"/>
      <w:bookmarkEnd w:id="56"/>
    </w:p>
    <w:p w14:paraId="244494B3" w14:textId="77777777" w:rsidR="004325DC" w:rsidRPr="00617049" w:rsidRDefault="00C10A1F" w:rsidP="00914287">
      <w:pPr>
        <w:pStyle w:val="Texte1"/>
      </w:pPr>
      <w:r w:rsidRPr="00617049">
        <w:t>Des exemples de mesures qui pourraient trouver une application dans des projets de sauvegarde sont listés ci-dessous. Toute mesure de sauvegarde choisie pour juguler des menaces spécifiques pesant sur un élément du PCI né</w:t>
      </w:r>
      <w:r w:rsidR="00F3796C" w:rsidRPr="00617049">
        <w:t>cessite</w:t>
      </w:r>
      <w:r w:rsidRPr="00617049">
        <w:t xml:space="preserve"> d</w:t>
      </w:r>
      <w:r w:rsidR="00A61E6D" w:rsidRPr="00617049">
        <w:t>’</w:t>
      </w:r>
      <w:r w:rsidRPr="00617049">
        <w:t>être adaptée aux c</w:t>
      </w:r>
      <w:r w:rsidR="00F3796C" w:rsidRPr="00617049">
        <w:t>onditions</w:t>
      </w:r>
      <w:r w:rsidRPr="00617049">
        <w:t xml:space="preserve"> propres à cette situation.</w:t>
      </w:r>
    </w:p>
    <w:p w14:paraId="76096759" w14:textId="77777777" w:rsidR="004325DC" w:rsidRPr="00617049" w:rsidRDefault="00C10A1F" w:rsidP="00914287">
      <w:pPr>
        <w:pStyle w:val="Texte1"/>
      </w:pPr>
      <w:r w:rsidRPr="00617049">
        <w:t>En établissant les mesures de sauvegarde, l</w:t>
      </w:r>
      <w:r w:rsidR="00A61E6D" w:rsidRPr="00617049">
        <w:t>’</w:t>
      </w:r>
      <w:r w:rsidRPr="00617049">
        <w:t>inspiration peut être puisée dans les expériences d</w:t>
      </w:r>
      <w:r w:rsidR="00A61E6D" w:rsidRPr="00617049">
        <w:t>’</w:t>
      </w:r>
      <w:r w:rsidRPr="00617049">
        <w:t>autres États parties. On trouve des exemples d</w:t>
      </w:r>
      <w:r w:rsidR="00A61E6D" w:rsidRPr="00617049">
        <w:t>’</w:t>
      </w:r>
      <w:r w:rsidRPr="00617049">
        <w:t>activités de sauvegarde dans le Registre de</w:t>
      </w:r>
      <w:r w:rsidR="007A3E8F" w:rsidRPr="00617049">
        <w:t>s</w:t>
      </w:r>
      <w:r w:rsidRPr="00617049">
        <w:t xml:space="preserve"> </w:t>
      </w:r>
      <w:r w:rsidR="006856B1">
        <w:t>bonnes</w:t>
      </w:r>
      <w:r w:rsidR="00461004" w:rsidRPr="00617049">
        <w:t xml:space="preserve"> pratiques de sauvegarde</w:t>
      </w:r>
      <w:r w:rsidRPr="00617049">
        <w:t xml:space="preserve"> et des mesures de sauvegarde </w:t>
      </w:r>
      <w:r w:rsidR="007A3E8F" w:rsidRPr="00617049">
        <w:t xml:space="preserve">figurent </w:t>
      </w:r>
      <w:r w:rsidRPr="00617049">
        <w:t>dans tous les dossiers de candidature présentés pour inscription sur la Liste de sauvegarde urgente. Tous les dossiers de candidature sont consultables sur le site Web d</w:t>
      </w:r>
      <w:r w:rsidR="007A3E8F" w:rsidRPr="00617049">
        <w:t>u PCI</w:t>
      </w:r>
      <w:r w:rsidR="006F7CB1">
        <w:t xml:space="preserve"> (</w:t>
      </w:r>
      <w:r w:rsidR="006F7CB1" w:rsidRPr="006F7CB1">
        <w:t>http://www.unesco.org/culture/ich/fr/accueil</w:t>
      </w:r>
      <w:r w:rsidR="006F7CB1">
        <w:t>).</w:t>
      </w:r>
    </w:p>
    <w:p w14:paraId="61CEB6BE" w14:textId="77777777" w:rsidR="00C10A1F" w:rsidRPr="00617049" w:rsidRDefault="00C10A1F">
      <w:pPr>
        <w:pStyle w:val="Heading4"/>
      </w:pPr>
      <w:bookmarkStart w:id="57" w:name="_Toc247360243"/>
      <w:r w:rsidRPr="00617049">
        <w:t>Recherche et documentation</w:t>
      </w:r>
      <w:bookmarkEnd w:id="57"/>
    </w:p>
    <w:p w14:paraId="52458923" w14:textId="5AA592B8" w:rsidR="004325DC" w:rsidRPr="008803DD" w:rsidRDefault="00C10A1F" w:rsidP="008803DD">
      <w:pPr>
        <w:pStyle w:val="Texte1"/>
        <w:rPr>
          <w:color w:val="00B050"/>
        </w:rPr>
      </w:pPr>
      <w:r w:rsidRPr="00617049">
        <w:t xml:space="preserve">La recherche et la documentation du PCI </w:t>
      </w:r>
      <w:r w:rsidR="00467877" w:rsidRPr="00617049">
        <w:t>étaie</w:t>
      </w:r>
      <w:r w:rsidRPr="00617049">
        <w:t xml:space="preserve">nt </w:t>
      </w:r>
      <w:r w:rsidR="00467877" w:rsidRPr="00617049">
        <w:t xml:space="preserve">le plus souvent </w:t>
      </w:r>
      <w:r w:rsidRPr="00617049">
        <w:t>effectuées par des experts, des centres d</w:t>
      </w:r>
      <w:r w:rsidR="00A61E6D" w:rsidRPr="00617049">
        <w:t>’</w:t>
      </w:r>
      <w:r w:rsidRPr="00617049">
        <w:t>expertise, des instituts de recherche et des agences g</w:t>
      </w:r>
      <w:r w:rsidR="00CC7E16" w:rsidRPr="00617049">
        <w:t xml:space="preserve">ouvernementales ou des ONG qui engageaient seulement </w:t>
      </w:r>
      <w:r w:rsidRPr="00617049">
        <w:t xml:space="preserve">les communautés concernées en </w:t>
      </w:r>
      <w:r w:rsidR="00CC7E16" w:rsidRPr="00617049">
        <w:t>qualité</w:t>
      </w:r>
      <w:r w:rsidRPr="00617049">
        <w:t xml:space="preserve"> </w:t>
      </w:r>
      <w:r w:rsidR="00CC7E16" w:rsidRPr="00617049">
        <w:t>d</w:t>
      </w:r>
      <w:r w:rsidR="00A61E6D" w:rsidRPr="00617049">
        <w:t>’</w:t>
      </w:r>
      <w:r w:rsidRPr="00617049">
        <w:t xml:space="preserve">informateurs. </w:t>
      </w:r>
      <w:r w:rsidR="005C6882" w:rsidRPr="00617049">
        <w:t>Cependant, en vertu de la Convention,</w:t>
      </w:r>
      <w:r w:rsidRPr="00617049">
        <w:t xml:space="preserve"> </w:t>
      </w:r>
      <w:r w:rsidR="005C6882" w:rsidRPr="00617049">
        <w:t xml:space="preserve">il convient de mener </w:t>
      </w:r>
      <w:r w:rsidRPr="00617049">
        <w:t>ces activités avec l</w:t>
      </w:r>
      <w:r w:rsidR="005C6882" w:rsidRPr="00617049">
        <w:t>a</w:t>
      </w:r>
      <w:r w:rsidRPr="00617049">
        <w:t xml:space="preserve"> participation et le consentement </w:t>
      </w:r>
      <w:r w:rsidR="005C6882" w:rsidRPr="00617049">
        <w:t>d</w:t>
      </w:r>
      <w:r w:rsidRPr="00617049">
        <w:t xml:space="preserve">e la </w:t>
      </w:r>
      <w:r w:rsidRPr="00E357E9">
        <w:t xml:space="preserve">communauté. </w:t>
      </w:r>
      <w:r w:rsidR="003C0EE0" w:rsidRPr="00E357E9">
        <w:t xml:space="preserve">Le PE 4 précise que ces </w:t>
      </w:r>
      <w:r w:rsidR="00E10655" w:rsidRPr="00E357E9">
        <w:t>interactions</w:t>
      </w:r>
      <w:r w:rsidR="003C0EE0" w:rsidRPr="00E357E9">
        <w:t xml:space="preserve"> doivent se caractériser par une collaboration </w:t>
      </w:r>
      <w:r w:rsidR="003C0EE0" w:rsidRPr="00E357E9">
        <w:rPr>
          <w:bCs/>
        </w:rPr>
        <w:t>transparente</w:t>
      </w:r>
      <w:r w:rsidR="003C0EE0" w:rsidRPr="00E357E9">
        <w:t>, le dialogue, la négociation et la consu</w:t>
      </w:r>
      <w:r w:rsidR="00FB6517" w:rsidRPr="00E357E9">
        <w:t xml:space="preserve">ltation, et sont subordonnées au </w:t>
      </w:r>
      <w:r w:rsidR="003C0EE0" w:rsidRPr="00E357E9">
        <w:rPr>
          <w:bCs/>
        </w:rPr>
        <w:t>consentement libre, préalable, durable et éclairé</w:t>
      </w:r>
      <w:r w:rsidR="00FB6517" w:rsidRPr="00E357E9">
        <w:rPr>
          <w:bCs/>
        </w:rPr>
        <w:t xml:space="preserve"> de la communauté</w:t>
      </w:r>
      <w:r w:rsidR="003C0EE0" w:rsidRPr="00E357E9">
        <w:t xml:space="preserve">. </w:t>
      </w:r>
      <w:r w:rsidR="00870B9B" w:rsidRPr="00E357E9">
        <w:t>Il importe également que l</w:t>
      </w:r>
      <w:r w:rsidR="00F34CD5" w:rsidRPr="00E357E9">
        <w:t xml:space="preserve">es personnes impliquées dans l’étude </w:t>
      </w:r>
      <w:r w:rsidR="00870B9B" w:rsidRPr="00E357E9">
        <w:t xml:space="preserve">du PCI soient conscientes </w:t>
      </w:r>
      <w:r w:rsidR="005F76CD" w:rsidRPr="00E357E9">
        <w:t>que des</w:t>
      </w:r>
      <w:r w:rsidR="00870B9B" w:rsidRPr="00E357E9">
        <w:t xml:space="preserve"> préjugés liés au genre </w:t>
      </w:r>
      <w:r w:rsidR="005F76CD" w:rsidRPr="00E357E9">
        <w:t>peuvent</w:t>
      </w:r>
      <w:r w:rsidR="00870B9B" w:rsidRPr="00E357E9">
        <w:t xml:space="preserve"> potentiellement </w:t>
      </w:r>
      <w:r w:rsidR="0058261F" w:rsidRPr="00E357E9">
        <w:t>émerger</w:t>
      </w:r>
      <w:r w:rsidR="00870B9B" w:rsidRPr="00E357E9">
        <w:t xml:space="preserve"> </w:t>
      </w:r>
      <w:r w:rsidR="00AC362C" w:rsidRPr="00E357E9">
        <w:t>lors</w:t>
      </w:r>
      <w:r w:rsidR="00FB5153" w:rsidRPr="00E357E9">
        <w:t xml:space="preserve"> de</w:t>
      </w:r>
      <w:r w:rsidR="00870B9B" w:rsidRPr="00E357E9">
        <w:t xml:space="preserve"> la conception de leur </w:t>
      </w:r>
      <w:r w:rsidR="005F76CD" w:rsidRPr="00E357E9">
        <w:t>étude</w:t>
      </w:r>
      <w:r w:rsidR="00870B9B" w:rsidRPr="00E357E9">
        <w:t xml:space="preserve">, notamment dans les activités des chercheurs issus </w:t>
      </w:r>
      <w:r w:rsidR="00634275" w:rsidRPr="00E357E9">
        <w:t>de la communauté</w:t>
      </w:r>
      <w:r w:rsidR="00870B9B" w:rsidRPr="00E357E9">
        <w:t xml:space="preserve"> ou au sein de la communauté </w:t>
      </w:r>
      <w:r w:rsidR="00212611" w:rsidRPr="00E357E9">
        <w:t>sur laquelle porte l’étude</w:t>
      </w:r>
      <w:r w:rsidR="00870B9B" w:rsidRPr="00E357E9">
        <w:t xml:space="preserve">. </w:t>
      </w:r>
      <w:r w:rsidRPr="00E357E9">
        <w:t>La documentation d</w:t>
      </w:r>
      <w:r w:rsidR="00A61E6D" w:rsidRPr="00E357E9">
        <w:t>’</w:t>
      </w:r>
      <w:r w:rsidRPr="00E357E9">
        <w:t>un élément dans le c</w:t>
      </w:r>
      <w:r w:rsidRPr="00617049">
        <w:t xml:space="preserve">adre de la mise en œuvre de la </w:t>
      </w:r>
      <w:r w:rsidRPr="00617049">
        <w:lastRenderedPageBreak/>
        <w:t>Convention doit tenir compte des variations de s</w:t>
      </w:r>
      <w:r w:rsidR="009F03EA">
        <w:t>a</w:t>
      </w:r>
      <w:r w:rsidRPr="00617049">
        <w:t xml:space="preserve"> forme et </w:t>
      </w:r>
      <w:r w:rsidR="004328F9" w:rsidRPr="00617049">
        <w:t xml:space="preserve">de </w:t>
      </w:r>
      <w:r w:rsidRPr="00617049">
        <w:t>s</w:t>
      </w:r>
      <w:r w:rsidR="009F03EA">
        <w:t>a</w:t>
      </w:r>
      <w:r w:rsidRPr="00617049">
        <w:t xml:space="preserve"> fonction. Les activités possibles consistent à </w:t>
      </w:r>
      <w:r w:rsidR="00EA1FE1" w:rsidRPr="00617049">
        <w:t>:</w:t>
      </w:r>
    </w:p>
    <w:p w14:paraId="50AAF60E" w14:textId="77777777" w:rsidR="004325DC" w:rsidRPr="00617049" w:rsidRDefault="009F03EA" w:rsidP="00E357E9">
      <w:pPr>
        <w:pStyle w:val="Txtpucegras"/>
      </w:pPr>
      <w:r>
        <w:t>r</w:t>
      </w:r>
      <w:r w:rsidR="00E82F06" w:rsidRPr="00617049">
        <w:t xml:space="preserve">assembler </w:t>
      </w:r>
      <w:r w:rsidR="00C10A1F" w:rsidRPr="00617049">
        <w:t>des données sur les éléments du PCI (avec la participation de</w:t>
      </w:r>
      <w:r w:rsidR="00A454AE" w:rsidRPr="00617049">
        <w:t xml:space="preserve"> la communauté</w:t>
      </w:r>
      <w:r w:rsidR="00C10A1F" w:rsidRPr="00617049">
        <w:t>) en vue de sauvegarder, sensibiliser et renforcer les capacités au sein de la communauté</w:t>
      </w:r>
      <w:r w:rsidR="00E70BF2">
        <w:t> ;</w:t>
      </w:r>
    </w:p>
    <w:p w14:paraId="49AE57F8" w14:textId="77777777" w:rsidR="004325DC" w:rsidRPr="00617049" w:rsidRDefault="009F03EA" w:rsidP="00E357E9">
      <w:pPr>
        <w:pStyle w:val="Txtpucegras"/>
      </w:pPr>
      <w:r>
        <w:t>a</w:t>
      </w:r>
      <w:r w:rsidR="00E82F06" w:rsidRPr="00617049">
        <w:t xml:space="preserve">ider </w:t>
      </w:r>
      <w:r w:rsidR="00C10A1F" w:rsidRPr="00617049">
        <w:t>les communautés concernées à gérer l</w:t>
      </w:r>
      <w:r w:rsidR="00A61E6D" w:rsidRPr="00617049">
        <w:t>’</w:t>
      </w:r>
      <w:r w:rsidR="00C10A1F" w:rsidRPr="00617049">
        <w:t>archivage d</w:t>
      </w:r>
      <w:r w:rsidR="00A61E6D" w:rsidRPr="00617049">
        <w:t>’</w:t>
      </w:r>
      <w:r w:rsidR="00C10A1F" w:rsidRPr="00617049">
        <w:t>informations sur leur PCI</w:t>
      </w:r>
      <w:r w:rsidR="00E70BF2">
        <w:t> ;</w:t>
      </w:r>
    </w:p>
    <w:p w14:paraId="4071999D" w14:textId="77777777" w:rsidR="004325DC" w:rsidRPr="00617049" w:rsidRDefault="009F03EA" w:rsidP="00E357E9">
      <w:pPr>
        <w:pStyle w:val="Txtpucegras"/>
      </w:pPr>
      <w:r>
        <w:t>e</w:t>
      </w:r>
      <w:r w:rsidR="00E82F06" w:rsidRPr="00617049">
        <w:t xml:space="preserve">ncourager </w:t>
      </w:r>
      <w:r w:rsidR="00C10A1F" w:rsidRPr="00617049">
        <w:t xml:space="preserve">les gens à rassembler des données sur les </w:t>
      </w:r>
      <w:r w:rsidR="00A454AE" w:rsidRPr="00617049">
        <w:t>éléments du PCI associés à leur communauté</w:t>
      </w:r>
      <w:r w:rsidR="00C10A1F" w:rsidRPr="00617049">
        <w:t>, par exemple en inter</w:t>
      </w:r>
      <w:r w:rsidR="00A454AE" w:rsidRPr="00617049">
        <w:t>roge</w:t>
      </w:r>
      <w:r w:rsidR="00C10A1F" w:rsidRPr="00617049">
        <w:t>ant des praticiens et des détenteurs de traditions</w:t>
      </w:r>
      <w:r w:rsidR="00A454AE" w:rsidRPr="00617049">
        <w:t>,</w:t>
      </w:r>
      <w:r w:rsidR="00C10A1F" w:rsidRPr="00617049">
        <w:t xml:space="preserve"> et </w:t>
      </w:r>
      <w:r w:rsidR="00A454AE" w:rsidRPr="00617049">
        <w:t xml:space="preserve">à </w:t>
      </w:r>
      <w:r w:rsidR="00C10A1F" w:rsidRPr="00617049">
        <w:t xml:space="preserve">diffuser les informations </w:t>
      </w:r>
      <w:r w:rsidR="00450C13" w:rsidRPr="00617049">
        <w:t>recueillies</w:t>
      </w:r>
      <w:r w:rsidR="00E70BF2">
        <w:t> ;</w:t>
      </w:r>
    </w:p>
    <w:p w14:paraId="611EF1AD" w14:textId="77777777" w:rsidR="004325DC" w:rsidRPr="00617049" w:rsidRDefault="009F03EA" w:rsidP="00E357E9">
      <w:pPr>
        <w:pStyle w:val="Txtpucegras"/>
      </w:pPr>
      <w:r>
        <w:t>r</w:t>
      </w:r>
      <w:r w:rsidR="00E82F06" w:rsidRPr="00617049">
        <w:t xml:space="preserve">enforcer </w:t>
      </w:r>
      <w:r w:rsidR="00C10A1F" w:rsidRPr="00617049">
        <w:t>les capacités des membres de la communauté à soutenir le processus de documentation</w:t>
      </w:r>
      <w:r w:rsidR="00E70BF2">
        <w:t> ;</w:t>
      </w:r>
    </w:p>
    <w:p w14:paraId="7B2A6B49" w14:textId="77777777" w:rsidR="004325DC" w:rsidRPr="00617049" w:rsidRDefault="009F03EA" w:rsidP="00E357E9">
      <w:pPr>
        <w:pStyle w:val="Txtpucegras"/>
      </w:pPr>
      <w:r>
        <w:t>m</w:t>
      </w:r>
      <w:r w:rsidR="00E82F06" w:rsidRPr="00617049">
        <w:t xml:space="preserve">obiliser </w:t>
      </w:r>
      <w:r w:rsidR="00C10A1F" w:rsidRPr="00617049">
        <w:t>la documentation existante et les enregistrements audiovisuels pour des projets de revitalisation</w:t>
      </w:r>
      <w:r w:rsidR="00E70BF2">
        <w:t> ;</w:t>
      </w:r>
    </w:p>
    <w:p w14:paraId="2562CFE0" w14:textId="21DE0BF0" w:rsidR="004325DC" w:rsidRDefault="009F03EA" w:rsidP="00E357E9">
      <w:pPr>
        <w:pStyle w:val="Txtpucegras"/>
      </w:pPr>
      <w:r>
        <w:t>a</w:t>
      </w:r>
      <w:r w:rsidR="00E82F06" w:rsidRPr="00617049">
        <w:t xml:space="preserve">ider </w:t>
      </w:r>
      <w:r w:rsidR="00C10A1F" w:rsidRPr="00617049">
        <w:t xml:space="preserve">les communautés concernées à avoir accès </w:t>
      </w:r>
      <w:r w:rsidR="00450C13" w:rsidRPr="00617049">
        <w:t>à l’information archivée</w:t>
      </w:r>
      <w:r w:rsidR="00C10A1F" w:rsidRPr="00617049">
        <w:t xml:space="preserve"> sur leur PCI, qui </w:t>
      </w:r>
      <w:r w:rsidR="00450C13" w:rsidRPr="00617049">
        <w:t>a été compilée</w:t>
      </w:r>
      <w:r w:rsidR="00C10A1F" w:rsidRPr="00617049">
        <w:t xml:space="preserve"> par d</w:t>
      </w:r>
      <w:r w:rsidR="00A61E6D" w:rsidRPr="00617049">
        <w:t>’</w:t>
      </w:r>
      <w:r w:rsidR="0056108E">
        <w:t>autres ;</w:t>
      </w:r>
    </w:p>
    <w:p w14:paraId="6324D10B" w14:textId="116C5F77" w:rsidR="00F31D36" w:rsidRPr="00F31D36" w:rsidRDefault="00FB442E" w:rsidP="00E357E9">
      <w:pPr>
        <w:pStyle w:val="Txtpucegras"/>
      </w:pPr>
      <w:r>
        <w:t>l</w:t>
      </w:r>
      <w:r w:rsidRPr="00FB442E">
        <w:t xml:space="preserve">es différences </w:t>
      </w:r>
      <w:r w:rsidR="00F31D36">
        <w:t xml:space="preserve">entre </w:t>
      </w:r>
      <w:r w:rsidRPr="00FB442E">
        <w:t xml:space="preserve">rôles </w:t>
      </w:r>
      <w:r w:rsidR="00C83C4D">
        <w:t>de genre</w:t>
      </w:r>
      <w:r w:rsidRPr="00FB442E">
        <w:t xml:space="preserve"> vis-à-vis du PCI</w:t>
      </w:r>
      <w:r w:rsidR="00F31D36">
        <w:t xml:space="preserve"> constituent </w:t>
      </w:r>
      <w:r w:rsidR="00F91D9B">
        <w:t>également</w:t>
      </w:r>
      <w:r w:rsidR="00D64ED5">
        <w:t xml:space="preserve"> un important domaine d’étude </w:t>
      </w:r>
      <w:r w:rsidR="00F31D36">
        <w:t xml:space="preserve">en soi. La DO 181(d) encourage particulièrement </w:t>
      </w:r>
      <w:r w:rsidR="0049497F">
        <w:t xml:space="preserve">à </w:t>
      </w:r>
      <w:r w:rsidR="00F31D36" w:rsidRPr="00F31D36">
        <w:t>favoriser les études scientifiques et les méthodologies de recherche, y</w:t>
      </w:r>
      <w:r w:rsidR="00F31D36">
        <w:t xml:space="preserve"> </w:t>
      </w:r>
      <w:r w:rsidR="00F31D36" w:rsidRPr="00F31D36">
        <w:t xml:space="preserve">compris celles </w:t>
      </w:r>
      <w:r w:rsidR="00D64ED5">
        <w:t xml:space="preserve">qui sont </w:t>
      </w:r>
      <w:r w:rsidR="00F31D36" w:rsidRPr="00F31D36">
        <w:t>menées par les communautés et les groupes eux-mêmes,</w:t>
      </w:r>
      <w:r w:rsidR="00F31D36">
        <w:t xml:space="preserve"> </w:t>
      </w:r>
      <w:r w:rsidR="00F31D36" w:rsidRPr="00F31D36">
        <w:t>visant à comprendre la diversité des rôles de genre au sein de certaines</w:t>
      </w:r>
      <w:r w:rsidR="00F31D36">
        <w:t xml:space="preserve"> </w:t>
      </w:r>
      <w:r w:rsidR="00F31D36" w:rsidRPr="00F31D36">
        <w:t xml:space="preserve">expressions du </w:t>
      </w:r>
      <w:r w:rsidR="0056108E">
        <w:t>PCI ;</w:t>
      </w:r>
    </w:p>
    <w:p w14:paraId="67C390B7" w14:textId="3558892F" w:rsidR="00FB442E" w:rsidRPr="00FC4BFE" w:rsidRDefault="00FC4BFE" w:rsidP="00E357E9">
      <w:pPr>
        <w:pStyle w:val="Txtpucegras"/>
      </w:pPr>
      <w:r>
        <w:t>Le PE 7 précise que les « </w:t>
      </w:r>
      <w:r w:rsidRPr="00FC4BFE">
        <w:t xml:space="preserve">communautés, groupes et individus qui créent le </w:t>
      </w:r>
      <w:r w:rsidR="00816A3D">
        <w:t>PCI</w:t>
      </w:r>
      <w:r w:rsidRPr="00FC4BFE">
        <w:t xml:space="preserve"> doivent </w:t>
      </w:r>
      <w:r w:rsidRPr="00816A3D">
        <w:rPr>
          <w:bCs/>
        </w:rPr>
        <w:t>bénéficier de la protection</w:t>
      </w:r>
      <w:r w:rsidRPr="00FC4BFE">
        <w:t xml:space="preserve"> des intérêts moraux et matériels découlant de ce patrimoine, en particulier de son utilisation, de son étude, de sa documentation, de sa promotion ou de son adaptation par des membres des communautés ou d’autres personnes.</w:t>
      </w:r>
      <w:r w:rsidR="00816A3D">
        <w:t> »</w:t>
      </w:r>
      <w:r w:rsidRPr="00FC4BFE">
        <w:t xml:space="preserve"> </w:t>
      </w:r>
    </w:p>
    <w:p w14:paraId="26F9B40D" w14:textId="77777777" w:rsidR="00F31D36" w:rsidRPr="00FB442E" w:rsidRDefault="00F31D36" w:rsidP="00E357E9">
      <w:pPr>
        <w:pStyle w:val="Txtpucegras"/>
        <w:numPr>
          <w:ilvl w:val="0"/>
          <w:numId w:val="0"/>
        </w:numPr>
        <w:ind w:left="1134"/>
      </w:pPr>
    </w:p>
    <w:p w14:paraId="5ACD7DB2" w14:textId="77777777" w:rsidR="000E6D5B" w:rsidRPr="00617049" w:rsidRDefault="000E6D5B" w:rsidP="0077457D">
      <w:pPr>
        <w:keepNext w:val="0"/>
        <w:tabs>
          <w:tab w:val="clear" w:pos="567"/>
        </w:tabs>
        <w:snapToGrid/>
        <w:spacing w:after="60"/>
        <w:jc w:val="left"/>
        <w:rPr>
          <w:b/>
        </w:rPr>
      </w:pPr>
      <w:r w:rsidRPr="00617049">
        <w:rPr>
          <w:b/>
        </w:rPr>
        <w:t>Exemple : Enregistrement de musique, de contes et de matériel linguistique en Papouasie-Nouvelle-Guinée</w:t>
      </w:r>
    </w:p>
    <w:p w14:paraId="185BEDC8" w14:textId="77777777" w:rsidR="004325DC" w:rsidRPr="00617049" w:rsidRDefault="00C10A1F" w:rsidP="0077457D">
      <w:pPr>
        <w:pStyle w:val="Texte1"/>
      </w:pPr>
      <w:r w:rsidRPr="00617049">
        <w:t>À la fin des années 1990, l</w:t>
      </w:r>
      <w:r w:rsidR="00A61E6D" w:rsidRPr="00617049">
        <w:t>’</w:t>
      </w:r>
      <w:r w:rsidRPr="00617049">
        <w:t>Académie autrichienne des Sciences, à Vienne, a collaboré avec l</w:t>
      </w:r>
      <w:r w:rsidR="00A61E6D" w:rsidRPr="00617049">
        <w:t>’</w:t>
      </w:r>
      <w:r w:rsidRPr="00617049">
        <w:t>Institut d</w:t>
      </w:r>
      <w:r w:rsidR="00A61E6D" w:rsidRPr="00617049">
        <w:t>’</w:t>
      </w:r>
      <w:r w:rsidRPr="00617049">
        <w:t>Études de Papouasie-Nouvelle-Guinée en vue de mettre</w:t>
      </w:r>
      <w:r w:rsidR="00461004" w:rsidRPr="00617049">
        <w:t xml:space="preserve"> </w:t>
      </w:r>
      <w:r w:rsidR="00F05DCE" w:rsidRPr="00617049">
        <w:t xml:space="preserve">à la disposition des instituts et des centres culturels contemporains de Papouasie-Nouvelle-Guinée </w:t>
      </w:r>
      <w:r w:rsidRPr="00617049">
        <w:t>la musique, les contes et autres matériels linguistiques enregistrés en Papouasie-Nouvelle-Guinée au début des années 1900. L</w:t>
      </w:r>
      <w:r w:rsidR="00A61E6D" w:rsidRPr="00617049">
        <w:t>’</w:t>
      </w:r>
      <w:r w:rsidRPr="00617049">
        <w:t xml:space="preserve">information du public </w:t>
      </w:r>
      <w:r w:rsidR="00F05DCE" w:rsidRPr="00617049">
        <w:t>relative</w:t>
      </w:r>
      <w:r w:rsidRPr="00617049">
        <w:t xml:space="preserve"> à la mise à disposition du matériel a été promue par l</w:t>
      </w:r>
      <w:r w:rsidR="00A61E6D" w:rsidRPr="00617049">
        <w:t>’</w:t>
      </w:r>
      <w:r w:rsidRPr="00617049">
        <w:t>intermédiaire des stations de radio et de la presse locale. Certa</w:t>
      </w:r>
      <w:r w:rsidR="00F05DCE" w:rsidRPr="00617049">
        <w:t>ins des enregistrements reprennent l</w:t>
      </w:r>
      <w:r w:rsidRPr="00617049">
        <w:t xml:space="preserve">es chants de cérémonies qui ont disparu </w:t>
      </w:r>
      <w:r w:rsidR="00BB70F2" w:rsidRPr="00617049">
        <w:t>– </w:t>
      </w:r>
      <w:r w:rsidRPr="00617049">
        <w:t>soit qu</w:t>
      </w:r>
      <w:r w:rsidR="00A61E6D" w:rsidRPr="00617049">
        <w:t>’</w:t>
      </w:r>
      <w:r w:rsidRPr="00617049">
        <w:t xml:space="preserve">ils </w:t>
      </w:r>
      <w:r w:rsidR="00F27E3A" w:rsidRPr="00617049">
        <w:t>aient</w:t>
      </w:r>
      <w:r w:rsidRPr="00617049">
        <w:t xml:space="preserve"> été interdits par les missionnaires, soit remplacés par </w:t>
      </w:r>
      <w:r w:rsidR="00F05DCE" w:rsidRPr="00617049">
        <w:t>les cérémonies</w:t>
      </w:r>
      <w:r w:rsidRPr="00617049">
        <w:t xml:space="preserve"> de groupes voisins. Ces traditions ne rest</w:t>
      </w:r>
      <w:r w:rsidR="00962F28" w:rsidRPr="00617049">
        <w:t>ent aujourd’hui</w:t>
      </w:r>
      <w:r w:rsidRPr="00617049">
        <w:t xml:space="preserve"> dans la mémoire collective que sous une forme très fragmentaire. Les groupes d</w:t>
      </w:r>
      <w:r w:rsidR="00A61E6D" w:rsidRPr="00617049">
        <w:t>’</w:t>
      </w:r>
      <w:r w:rsidRPr="00617049">
        <w:t xml:space="preserve">interprètes locaux utilisent </w:t>
      </w:r>
      <w:r w:rsidR="00962F28" w:rsidRPr="00617049">
        <w:t>ainsi</w:t>
      </w:r>
      <w:r w:rsidRPr="00617049">
        <w:t xml:space="preserve"> les enregistrements pour inciter les anciens du village à se remémorer les pratiques d</w:t>
      </w:r>
      <w:r w:rsidR="00A61E6D" w:rsidRPr="00617049">
        <w:t>’</w:t>
      </w:r>
      <w:r w:rsidRPr="00617049">
        <w:t>interprétation de leur jeunesse qui peuvent ensuite être transmises aux jeunes générations. S</w:t>
      </w:r>
      <w:r w:rsidR="00A61E6D" w:rsidRPr="00617049">
        <w:t>’</w:t>
      </w:r>
      <w:r w:rsidRPr="00617049">
        <w:t>il n</w:t>
      </w:r>
      <w:r w:rsidR="00A61E6D" w:rsidRPr="00617049">
        <w:t>’</w:t>
      </w:r>
      <w:r w:rsidRPr="00617049">
        <w:t>y avait pas eu ces exemples enregistrés comme point de départ, de tels efforts de revitalisation n</w:t>
      </w:r>
      <w:r w:rsidR="00A61E6D" w:rsidRPr="00617049">
        <w:t>’</w:t>
      </w:r>
      <w:r w:rsidRPr="00617049">
        <w:t>auraient pas été possibles</w:t>
      </w:r>
      <w:r w:rsidR="00F0629B" w:rsidRPr="00617049">
        <w:rPr>
          <w:rStyle w:val="FootnoteReference"/>
          <w:sz w:val="20"/>
        </w:rPr>
        <w:footnoteReference w:id="2"/>
      </w:r>
      <w:r w:rsidRPr="00617049">
        <w:t>.</w:t>
      </w:r>
    </w:p>
    <w:p w14:paraId="19BDDC83" w14:textId="77777777" w:rsidR="00C10A1F" w:rsidRPr="00617049" w:rsidRDefault="00C10A1F" w:rsidP="000542FD">
      <w:pPr>
        <w:pStyle w:val="Heading4"/>
      </w:pPr>
      <w:bookmarkStart w:id="58" w:name="_Toc247360244"/>
      <w:r w:rsidRPr="00617049">
        <w:lastRenderedPageBreak/>
        <w:t>Revitaliser la pratique et la transmission du PCI</w:t>
      </w:r>
      <w:bookmarkEnd w:id="58"/>
    </w:p>
    <w:p w14:paraId="23C152AD" w14:textId="77777777" w:rsidR="004325DC" w:rsidRPr="00617049" w:rsidRDefault="00C10A1F" w:rsidP="00914287">
      <w:pPr>
        <w:pStyle w:val="Texte1"/>
      </w:pPr>
      <w:r w:rsidRPr="00617049">
        <w:t>Les communautés concernées peuvent être assistées dans cette tâche par les agences gouvernementales, les ONG, les experts, les centres d</w:t>
      </w:r>
      <w:r w:rsidR="00A61E6D" w:rsidRPr="00617049">
        <w:t>’</w:t>
      </w:r>
      <w:r w:rsidRPr="00617049">
        <w:t>expertise et les instituts de recherche. Les activités possibles consistent à</w:t>
      </w:r>
      <w:r w:rsidR="00EA1FE1" w:rsidRPr="00617049">
        <w:t> :</w:t>
      </w:r>
    </w:p>
    <w:p w14:paraId="4A8D7C75" w14:textId="77777777" w:rsidR="004325DC" w:rsidRPr="00617049" w:rsidRDefault="00DC15D7" w:rsidP="00E357E9">
      <w:pPr>
        <w:pStyle w:val="Txtpucegras"/>
      </w:pPr>
      <w:r>
        <w:t>s</w:t>
      </w:r>
      <w:r w:rsidR="00E82F06" w:rsidRPr="00617049">
        <w:t xml:space="preserve">ensibiliser </w:t>
      </w:r>
      <w:r w:rsidR="00C10A1F" w:rsidRPr="00617049">
        <w:t>la communauté concernée à la valeur des éléments spécifiques du PCI</w:t>
      </w:r>
      <w:r>
        <w:t> ;</w:t>
      </w:r>
    </w:p>
    <w:p w14:paraId="30EC6487" w14:textId="77777777" w:rsidR="004325DC" w:rsidRPr="00617049" w:rsidRDefault="00DC15D7" w:rsidP="00E357E9">
      <w:pPr>
        <w:pStyle w:val="Txtpucegras"/>
      </w:pPr>
      <w:r>
        <w:t>e</w:t>
      </w:r>
      <w:r w:rsidR="00E82F06" w:rsidRPr="00617049">
        <w:t xml:space="preserve">ncourager </w:t>
      </w:r>
      <w:r w:rsidR="00C10A1F" w:rsidRPr="00617049">
        <w:t>la création d</w:t>
      </w:r>
      <w:r w:rsidR="00A61E6D" w:rsidRPr="00617049">
        <w:t>’</w:t>
      </w:r>
      <w:r w:rsidR="00C10A1F" w:rsidRPr="00617049">
        <w:t xml:space="preserve">associations </w:t>
      </w:r>
      <w:r w:rsidR="007D3B57" w:rsidRPr="00617049">
        <w:t>communautaire</w:t>
      </w:r>
      <w:r w:rsidR="00D762C8" w:rsidRPr="00617049">
        <w:t>s</w:t>
      </w:r>
      <w:r w:rsidR="00C10A1F" w:rsidRPr="00617049">
        <w:t xml:space="preserve"> qui sauront promouvoir la sauvegarde de leur PCI et prendre des mesures pour le sauvegarder</w:t>
      </w:r>
      <w:r>
        <w:t> ;</w:t>
      </w:r>
    </w:p>
    <w:p w14:paraId="77D96894" w14:textId="4BBE9E93" w:rsidR="004325DC" w:rsidRPr="00E357E9" w:rsidRDefault="00DC15D7" w:rsidP="00E357E9">
      <w:pPr>
        <w:pStyle w:val="Txtpucegras"/>
      </w:pPr>
      <w:r>
        <w:t>a</w:t>
      </w:r>
      <w:r w:rsidR="00E82F06" w:rsidRPr="00617049">
        <w:t xml:space="preserve">nalyser </w:t>
      </w:r>
      <w:r w:rsidR="00C10A1F" w:rsidRPr="00617049">
        <w:t xml:space="preserve">(par ou avec les communautés concernées) les menaces pour la viabilité de leurs éléments du PCI, si besoin </w:t>
      </w:r>
      <w:r w:rsidR="00C10A1F" w:rsidRPr="00E357E9">
        <w:t>est</w:t>
      </w:r>
      <w:r w:rsidRPr="00E357E9">
        <w:t> </w:t>
      </w:r>
      <w:r w:rsidR="00495302" w:rsidRPr="00E357E9">
        <w:t xml:space="preserve">(voir également le PE 10) </w:t>
      </w:r>
      <w:r w:rsidRPr="00E357E9">
        <w:t>;</w:t>
      </w:r>
    </w:p>
    <w:p w14:paraId="6A8DF84A" w14:textId="77777777" w:rsidR="004325DC" w:rsidRPr="00E357E9" w:rsidRDefault="00DC15D7" w:rsidP="00E357E9">
      <w:pPr>
        <w:pStyle w:val="Txtpucegras"/>
      </w:pPr>
      <w:r w:rsidRPr="00E357E9">
        <w:t>a</w:t>
      </w:r>
      <w:r w:rsidR="00E82F06" w:rsidRPr="00E357E9">
        <w:t xml:space="preserve">pporter </w:t>
      </w:r>
      <w:r w:rsidR="00C10A1F" w:rsidRPr="00E357E9">
        <w:t>un soutien aux praticiens expérimentés afin de transmettre les connaissances, les savoir-faire et les valeurs nécessaires à la pratique et l</w:t>
      </w:r>
      <w:r w:rsidR="00A61E6D" w:rsidRPr="00E357E9">
        <w:t>’</w:t>
      </w:r>
      <w:r w:rsidR="00C10A1F" w:rsidRPr="00E357E9">
        <w:t>appréciation des éléments du PCI par autrui dans la communauté concernée</w:t>
      </w:r>
      <w:r w:rsidRPr="00E357E9">
        <w:t> ;</w:t>
      </w:r>
    </w:p>
    <w:p w14:paraId="637B18E8" w14:textId="25DAEA6A" w:rsidR="004325DC" w:rsidRPr="00E357E9" w:rsidRDefault="00DC15D7" w:rsidP="00E357E9">
      <w:pPr>
        <w:pStyle w:val="Txtpucegras"/>
      </w:pPr>
      <w:r w:rsidRPr="00E357E9">
        <w:t>d</w:t>
      </w:r>
      <w:r w:rsidR="00E82F06" w:rsidRPr="00E357E9">
        <w:t xml:space="preserve">ispenser </w:t>
      </w:r>
      <w:r w:rsidR="00C10A1F" w:rsidRPr="00E357E9">
        <w:t>un enseignement et une formation aux jeunes</w:t>
      </w:r>
      <w:r w:rsidR="0020087D" w:rsidRPr="00E357E9">
        <w:t xml:space="preserve"> membres de la communauté pour </w:t>
      </w:r>
      <w:r w:rsidR="00C10A1F" w:rsidRPr="00E357E9">
        <w:t xml:space="preserve">assurer </w:t>
      </w:r>
      <w:r w:rsidR="0020087D" w:rsidRPr="00E357E9">
        <w:t xml:space="preserve">la mise en place des savoir-faire </w:t>
      </w:r>
      <w:r w:rsidR="00C10A1F" w:rsidRPr="00E357E9">
        <w:t xml:space="preserve">afin de poursuivre la pratique des éléments du PCI </w:t>
      </w:r>
      <w:r w:rsidR="0020087D" w:rsidRPr="00E357E9">
        <w:t>là</w:t>
      </w:r>
      <w:r w:rsidR="00C10A1F" w:rsidRPr="00E357E9">
        <w:t xml:space="preserve"> où les méthodes de transmission traditionnelles ne sont plus viables</w:t>
      </w:r>
      <w:r w:rsidR="001E2588" w:rsidRPr="00E357E9">
        <w:t xml:space="preserve"> (voir </w:t>
      </w:r>
      <w:r w:rsidR="000F6A4F" w:rsidRPr="00E357E9">
        <w:t>aussi</w:t>
      </w:r>
      <w:r w:rsidR="001E2588" w:rsidRPr="00E357E9">
        <w:t xml:space="preserve"> le PE 11)</w:t>
      </w:r>
      <w:r w:rsidRPr="00E357E9">
        <w:t> ;</w:t>
      </w:r>
    </w:p>
    <w:p w14:paraId="5397CA22" w14:textId="7A20728D" w:rsidR="009E0606" w:rsidRPr="00E357E9" w:rsidRDefault="009E0606" w:rsidP="00E357E9">
      <w:pPr>
        <w:pStyle w:val="Txtpucegras"/>
      </w:pPr>
      <w:r w:rsidRPr="00E357E9">
        <w:t>dans les cas où les mode</w:t>
      </w:r>
      <w:r w:rsidR="0038718F" w:rsidRPr="00E357E9">
        <w:t>s de transmission traditionnel</w:t>
      </w:r>
      <w:r w:rsidRPr="00E357E9">
        <w:t xml:space="preserve">s sont fragiles, examiner si des comportements fondés sur le genre contribuent aux problèmes de transmission. </w:t>
      </w:r>
      <w:r w:rsidR="0077385B" w:rsidRPr="00E357E9">
        <w:br/>
        <w:t>Cela</w:t>
      </w:r>
      <w:r w:rsidRPr="00E357E9">
        <w:t xml:space="preserve"> pourrait consister en partie à se demander comment les aspects </w:t>
      </w:r>
      <w:r w:rsidR="0087463E" w:rsidRPr="00E357E9">
        <w:t xml:space="preserve">sexospécifiques </w:t>
      </w:r>
      <w:r w:rsidR="00017F7C" w:rsidRPr="00E357E9">
        <w:t>ont émergé</w:t>
      </w:r>
      <w:r w:rsidRPr="00E357E9">
        <w:t xml:space="preserve"> (par exemple de père en fils, de mère en fille, etc…) et, le cas échéant, comment ils ont évolué au </w:t>
      </w:r>
      <w:r w:rsidR="00017F7C" w:rsidRPr="00E357E9">
        <w:t>fil</w:t>
      </w:r>
      <w:r w:rsidRPr="00E357E9">
        <w:t xml:space="preserve"> du temps et </w:t>
      </w:r>
      <w:r w:rsidR="00017F7C" w:rsidRPr="00E357E9">
        <w:t>pourquoi</w:t>
      </w:r>
      <w:r w:rsidR="0083174C" w:rsidRPr="00E357E9">
        <w:t> ;</w:t>
      </w:r>
    </w:p>
    <w:p w14:paraId="047756F3" w14:textId="77777777" w:rsidR="004325DC" w:rsidRPr="00E357E9" w:rsidRDefault="00DC15D7" w:rsidP="00E357E9">
      <w:pPr>
        <w:pStyle w:val="Txtpucegras"/>
      </w:pPr>
      <w:r w:rsidRPr="00E357E9">
        <w:t>e</w:t>
      </w:r>
      <w:r w:rsidR="00E82F06" w:rsidRPr="00E357E9">
        <w:t xml:space="preserve">ncourager </w:t>
      </w:r>
      <w:r w:rsidR="00C10A1F" w:rsidRPr="00E357E9">
        <w:t>les joutes et les concours traditionnels, en particulier là où ils servaient jadis de vecteurs à la représentation et à la transmission de l</w:t>
      </w:r>
      <w:r w:rsidR="00A61E6D" w:rsidRPr="00E357E9">
        <w:t>’</w:t>
      </w:r>
      <w:r w:rsidR="00C10A1F" w:rsidRPr="00E357E9">
        <w:t>élément</w:t>
      </w:r>
      <w:r w:rsidRPr="00E357E9">
        <w:t> ;</w:t>
      </w:r>
    </w:p>
    <w:p w14:paraId="714F5382" w14:textId="23478E56" w:rsidR="004325DC" w:rsidRPr="00E357E9" w:rsidRDefault="00DC15D7" w:rsidP="00E357E9">
      <w:pPr>
        <w:pStyle w:val="Txtpucegras"/>
      </w:pPr>
      <w:r w:rsidRPr="00E357E9">
        <w:t>v</w:t>
      </w:r>
      <w:r w:rsidR="00E82F06" w:rsidRPr="00E357E9">
        <w:t xml:space="preserve">eiller </w:t>
      </w:r>
      <w:r w:rsidR="00C10A1F" w:rsidRPr="00E357E9">
        <w:t xml:space="preserve">à ce que les conditions matérielles soient réunies </w:t>
      </w:r>
      <w:r w:rsidR="003644C6" w:rsidRPr="00E357E9">
        <w:t>pour maintenir</w:t>
      </w:r>
      <w:r w:rsidR="00C10A1F" w:rsidRPr="00E357E9">
        <w:t xml:space="preserve"> la pratique et la transmission de l</w:t>
      </w:r>
      <w:r w:rsidR="00A61E6D" w:rsidRPr="00E357E9">
        <w:t>’</w:t>
      </w:r>
      <w:r w:rsidR="00C10A1F" w:rsidRPr="00E357E9">
        <w:t xml:space="preserve">élément, grâce à la disponibilité </w:t>
      </w:r>
      <w:r w:rsidR="003644C6" w:rsidRPr="00E357E9">
        <w:t>permanent</w:t>
      </w:r>
      <w:r w:rsidR="00C10A1F" w:rsidRPr="00E357E9">
        <w:t>e de matières premières en quantité suffisante, de lieux de représentation ou d</w:t>
      </w:r>
      <w:r w:rsidR="00A61E6D" w:rsidRPr="00E357E9">
        <w:t>’</w:t>
      </w:r>
      <w:r w:rsidR="00C10A1F" w:rsidRPr="00E357E9">
        <w:t>outils</w:t>
      </w:r>
      <w:r w:rsidRPr="00E357E9">
        <w:t> </w:t>
      </w:r>
      <w:r w:rsidR="009E0606" w:rsidRPr="00E357E9">
        <w:t xml:space="preserve">(voir </w:t>
      </w:r>
      <w:r w:rsidR="000F6A4F" w:rsidRPr="00E357E9">
        <w:t>également</w:t>
      </w:r>
      <w:r w:rsidR="009E0606" w:rsidRPr="00E357E9">
        <w:t xml:space="preserve"> le PE 5) </w:t>
      </w:r>
      <w:r w:rsidRPr="00E357E9">
        <w:t>;</w:t>
      </w:r>
    </w:p>
    <w:p w14:paraId="0B439B04" w14:textId="77777777" w:rsidR="004325DC" w:rsidRPr="00E357E9" w:rsidRDefault="00DC15D7" w:rsidP="00E357E9">
      <w:pPr>
        <w:pStyle w:val="Txtpucegras"/>
      </w:pPr>
      <w:r w:rsidRPr="00E357E9">
        <w:t>a</w:t>
      </w:r>
      <w:r w:rsidR="00E82F06" w:rsidRPr="00E357E9">
        <w:t xml:space="preserve">ssurer </w:t>
      </w:r>
      <w:r w:rsidR="00C10A1F" w:rsidRPr="00E357E9">
        <w:t>le financement des projets de sauvegarde</w:t>
      </w:r>
      <w:r w:rsidRPr="00E357E9">
        <w:t> ;</w:t>
      </w:r>
    </w:p>
    <w:p w14:paraId="3B9E9470" w14:textId="341FD2DE" w:rsidR="004325DC" w:rsidRPr="00E357E9" w:rsidRDefault="00DC15D7" w:rsidP="00E357E9">
      <w:pPr>
        <w:pStyle w:val="Txtpucegras"/>
      </w:pPr>
      <w:r w:rsidRPr="00E357E9">
        <w:t>s</w:t>
      </w:r>
      <w:r w:rsidR="007937CE" w:rsidRPr="00E357E9">
        <w:t>uivre</w:t>
      </w:r>
      <w:r w:rsidR="00E82F06" w:rsidRPr="00E357E9">
        <w:t xml:space="preserve"> </w:t>
      </w:r>
      <w:r w:rsidR="00C10A1F" w:rsidRPr="00E357E9">
        <w:t>les effets des mesures de sauvegarde et des activités de développement sur la viabilité des éléments et prendre des mesures correctives si de nouvelles menaces pèsent sur la viabilité de l</w:t>
      </w:r>
      <w:r w:rsidR="00A61E6D" w:rsidRPr="00E357E9">
        <w:t>’</w:t>
      </w:r>
      <w:r w:rsidR="00C10A1F" w:rsidRPr="00E357E9">
        <w:t>élément</w:t>
      </w:r>
      <w:r w:rsidR="009E0606" w:rsidRPr="00E357E9">
        <w:t xml:space="preserve"> (voir aussi le PE 9)</w:t>
      </w:r>
      <w:r w:rsidR="00C10A1F" w:rsidRPr="00E357E9">
        <w:t>.</w:t>
      </w:r>
    </w:p>
    <w:p w14:paraId="4DB15811" w14:textId="77777777" w:rsidR="00541585" w:rsidRPr="00617049" w:rsidRDefault="00541585" w:rsidP="00914287">
      <w:pPr>
        <w:pStyle w:val="Texte1"/>
        <w:rPr>
          <w:b/>
        </w:rPr>
      </w:pPr>
      <w:r w:rsidRPr="00617049">
        <w:rPr>
          <w:b/>
        </w:rPr>
        <w:t xml:space="preserve">Exemple : </w:t>
      </w:r>
      <w:r w:rsidR="001142E7" w:rsidRPr="00617049">
        <w:rPr>
          <w:b/>
        </w:rPr>
        <w:t>L</w:t>
      </w:r>
      <w:r w:rsidRPr="00617049">
        <w:rPr>
          <w:b/>
        </w:rPr>
        <w:t xml:space="preserve">a </w:t>
      </w:r>
      <w:r w:rsidR="007E3A4F" w:rsidRPr="00617049">
        <w:rPr>
          <w:b/>
        </w:rPr>
        <w:t>teinture du batik en Indonésie</w:t>
      </w:r>
    </w:p>
    <w:p w14:paraId="278C53AD" w14:textId="77777777" w:rsidR="004325DC" w:rsidRPr="00617049" w:rsidRDefault="00B90787" w:rsidP="00914287">
      <w:pPr>
        <w:pStyle w:val="Texte1"/>
      </w:pPr>
      <w:r>
        <w:t>‘</w:t>
      </w:r>
      <w:r w:rsidR="00C10A1F" w:rsidRPr="00617049">
        <w:t>Le batik est une méthode de teinture de textile courante en Indonésie</w:t>
      </w:r>
      <w:r w:rsidR="00EA1FE1" w:rsidRPr="00617049">
        <w:t> ;</w:t>
      </w:r>
      <w:r w:rsidR="00C10A1F" w:rsidRPr="00617049">
        <w:t xml:space="preserve"> </w:t>
      </w:r>
      <w:r>
        <w:t>[</w:t>
      </w:r>
      <w:r w:rsidR="00C10A1F" w:rsidRPr="00617049">
        <w:t>il a été</w:t>
      </w:r>
      <w:r>
        <w:t>]</w:t>
      </w:r>
      <w:r w:rsidR="00C10A1F" w:rsidRPr="00617049">
        <w:t xml:space="preserve"> inscrit sur la Liste représentative </w:t>
      </w:r>
      <w:r w:rsidR="00E9191B">
        <w:t xml:space="preserve">du patrimoine culturel immatériel de l’humanité </w:t>
      </w:r>
      <w:r w:rsidR="00C10A1F" w:rsidRPr="00617049">
        <w:t xml:space="preserve">en 2009. En faisant le batik, les artisans dessinent des motifs sur le tissu en traçant des points et des lignes avec de la cire chaude qui résiste à la teinture végétale et </w:t>
      </w:r>
      <w:r w:rsidR="00CB7056" w:rsidRPr="00617049">
        <w:t xml:space="preserve">aux </w:t>
      </w:r>
      <w:r w:rsidR="00C10A1F" w:rsidRPr="00617049">
        <w:t>autre</w:t>
      </w:r>
      <w:r w:rsidR="00CB7056" w:rsidRPr="00617049">
        <w:t>s teintures</w:t>
      </w:r>
      <w:r w:rsidR="00C10A1F" w:rsidRPr="00617049">
        <w:t>, ce qui permet de choisir les différentes couleurs de l</w:t>
      </w:r>
      <w:r w:rsidR="00A61E6D" w:rsidRPr="00617049">
        <w:t>’</w:t>
      </w:r>
      <w:r w:rsidR="00C10A1F" w:rsidRPr="00617049">
        <w:t>étoffe. Les individus qualifiés dans la fabrication du batik ont été identifiés afin d</w:t>
      </w:r>
      <w:r w:rsidR="00A61E6D" w:rsidRPr="00617049">
        <w:t>’</w:t>
      </w:r>
      <w:r w:rsidR="00C10A1F" w:rsidRPr="00617049">
        <w:t>être déclarés Trésors Nationaux. C</w:t>
      </w:r>
      <w:r w:rsidR="00A61E6D" w:rsidRPr="00617049">
        <w:t>’</w:t>
      </w:r>
      <w:r w:rsidR="00C10A1F" w:rsidRPr="00617049">
        <w:t>est en 2008 qu</w:t>
      </w:r>
      <w:r w:rsidR="00A61E6D" w:rsidRPr="00617049">
        <w:t>’</w:t>
      </w:r>
      <w:r w:rsidR="00C10A1F" w:rsidRPr="00617049">
        <w:t xml:space="preserve">a été créé le Forum </w:t>
      </w:r>
      <w:r w:rsidR="009867A4" w:rsidRPr="00617049">
        <w:t>des communautés</w:t>
      </w:r>
      <w:r w:rsidR="00C10A1F" w:rsidRPr="00617049">
        <w:t xml:space="preserve"> sur le batik indonésien pour faciliter la communication et la collaboration entre les membres de la communauté du batik pour sa sauvegarde</w:t>
      </w:r>
      <w:r w:rsidR="00A67D96">
        <w:t>’</w:t>
      </w:r>
      <w:r w:rsidR="008D4319" w:rsidRPr="00617049">
        <w:rPr>
          <w:vertAlign w:val="superscript"/>
        </w:rPr>
        <w:footnoteReference w:id="3"/>
      </w:r>
      <w:r w:rsidR="00C10A1F" w:rsidRPr="00617049">
        <w:t>.</w:t>
      </w:r>
    </w:p>
    <w:p w14:paraId="4D72E2F9" w14:textId="77777777" w:rsidR="004325DC" w:rsidRPr="00617049" w:rsidRDefault="00C10A1F" w:rsidP="00914287">
      <w:pPr>
        <w:pStyle w:val="Texte1"/>
      </w:pPr>
      <w:r w:rsidRPr="00617049">
        <w:lastRenderedPageBreak/>
        <w:t>Les membres ont mis au point plusieurs mesures de sauvegarde</w:t>
      </w:r>
      <w:r w:rsidR="00EA1FE1" w:rsidRPr="00617049">
        <w:t> :</w:t>
      </w:r>
      <w:r w:rsidRPr="00617049">
        <w:t xml:space="preserve"> l</w:t>
      </w:r>
      <w:r w:rsidR="00A61E6D" w:rsidRPr="00617049">
        <w:t>’</w:t>
      </w:r>
      <w:r w:rsidRPr="00617049">
        <w:t>une d</w:t>
      </w:r>
      <w:r w:rsidR="00A61E6D" w:rsidRPr="00617049">
        <w:t>’</w:t>
      </w:r>
      <w:r w:rsidRPr="00617049">
        <w:t xml:space="preserve">elles a consisté à faire en sorte de disposer de stylets, </w:t>
      </w:r>
      <w:r w:rsidRPr="00686CA9">
        <w:t>canthing tulis</w:t>
      </w:r>
      <w:r w:rsidRPr="00617049">
        <w:rPr>
          <w:i/>
        </w:rPr>
        <w:t xml:space="preserve">, </w:t>
      </w:r>
      <w:r w:rsidRPr="00617049">
        <w:t>et de tampons spéciaux,</w:t>
      </w:r>
      <w:r w:rsidRPr="00617049">
        <w:rPr>
          <w:i/>
        </w:rPr>
        <w:t xml:space="preserve"> </w:t>
      </w:r>
      <w:r w:rsidRPr="00686CA9">
        <w:t>canthing cap</w:t>
      </w:r>
      <w:r w:rsidRPr="00617049">
        <w:rPr>
          <w:i/>
        </w:rPr>
        <w:t xml:space="preserve">, </w:t>
      </w:r>
      <w:r w:rsidRPr="00617049">
        <w:t>pour exécuter le batik, car les connaissances nécessaires à la fabrication de ces stylets et ces tampons sont aujourd</w:t>
      </w:r>
      <w:r w:rsidR="00A61E6D" w:rsidRPr="00617049">
        <w:t>’</w:t>
      </w:r>
      <w:r w:rsidRPr="00617049">
        <w:t>hui menacées de disparaître. L</w:t>
      </w:r>
      <w:r w:rsidR="00A61E6D" w:rsidRPr="00617049">
        <w:t>’</w:t>
      </w:r>
      <w:r w:rsidRPr="00617049">
        <w:t>Institut du Musée du Batik a prévu de dispenser un programme d</w:t>
      </w:r>
      <w:r w:rsidR="00A61E6D" w:rsidRPr="00617049">
        <w:t>’</w:t>
      </w:r>
      <w:r w:rsidRPr="00617049">
        <w:t>apprentissage pour enseigner la fabrication de ces outils.</w:t>
      </w:r>
      <w:r w:rsidR="00B90787">
        <w:t xml:space="preserve"> Pour plus d’informations sur la sauvegarde du batik, dont une courte vidéo, rendez-vous sur : </w:t>
      </w:r>
      <w:r w:rsidR="00B90787" w:rsidRPr="00B90787">
        <w:t>http://www.unesco.org/culture/ich/fr/registre</w:t>
      </w:r>
      <w:r w:rsidR="00B90787">
        <w:t>.</w:t>
      </w:r>
    </w:p>
    <w:p w14:paraId="4B7A3D1A" w14:textId="77777777" w:rsidR="004325DC" w:rsidRPr="00617049" w:rsidRDefault="00E6591E" w:rsidP="00E82F06">
      <w:pPr>
        <w:pStyle w:val="Titcoul"/>
      </w:pPr>
      <w:bookmarkStart w:id="59" w:name="_Toc238963273"/>
      <w:bookmarkStart w:id="60" w:name="_Toc241065159"/>
      <w:bookmarkStart w:id="61" w:name="_Toc301443381"/>
      <w:bookmarkStart w:id="62" w:name="_Toc321407024"/>
      <w:bookmarkStart w:id="63" w:name="_Toc354486648"/>
      <w:bookmarkStart w:id="64" w:name="_Toc354486954"/>
      <w:bookmarkStart w:id="65" w:name="_Toc247360245"/>
      <w:r w:rsidRPr="00617049">
        <w:t>9</w:t>
      </w:r>
      <w:r w:rsidR="00C10A1F" w:rsidRPr="00617049">
        <w:t>.6</w:t>
      </w:r>
      <w:bookmarkEnd w:id="59"/>
      <w:bookmarkEnd w:id="60"/>
      <w:r w:rsidR="0022235D" w:rsidRPr="00617049">
        <w:tab/>
      </w:r>
      <w:bookmarkStart w:id="66" w:name="_Toc238963274"/>
      <w:bookmarkStart w:id="67" w:name="_Toc241065160"/>
      <w:r w:rsidR="00C10A1F" w:rsidRPr="00617049">
        <w:t>Mobiliser les communaut</w:t>
      </w:r>
      <w:r w:rsidR="00A0403A" w:rsidRPr="00617049">
        <w:t>É</w:t>
      </w:r>
      <w:r w:rsidR="00C10A1F" w:rsidRPr="00617049">
        <w:t xml:space="preserve">s </w:t>
      </w:r>
      <w:r w:rsidR="00A0403A" w:rsidRPr="00617049">
        <w:t xml:space="preserve">concernÉes </w:t>
      </w:r>
      <w:r w:rsidR="00C10A1F" w:rsidRPr="00617049">
        <w:t>en faveur de la sauvegarde</w:t>
      </w:r>
      <w:bookmarkEnd w:id="61"/>
      <w:bookmarkEnd w:id="62"/>
      <w:bookmarkEnd w:id="63"/>
      <w:bookmarkEnd w:id="64"/>
      <w:bookmarkEnd w:id="65"/>
      <w:bookmarkEnd w:id="66"/>
      <w:bookmarkEnd w:id="67"/>
    </w:p>
    <w:p w14:paraId="2B86F5B3" w14:textId="77777777" w:rsidR="004325DC" w:rsidRPr="00387062" w:rsidRDefault="00C10A1F" w:rsidP="00150FFB">
      <w:pPr>
        <w:pStyle w:val="Informations"/>
        <w:rPr>
          <w:i w:val="0"/>
          <w:color w:val="auto"/>
        </w:rPr>
      </w:pPr>
      <w:r w:rsidRPr="00387062">
        <w:rPr>
          <w:i w:val="0"/>
          <w:color w:val="auto"/>
        </w:rPr>
        <w:t xml:space="preserve">Cette question </w:t>
      </w:r>
      <w:r w:rsidR="00DB5F0C" w:rsidRPr="00387062">
        <w:rPr>
          <w:i w:val="0"/>
          <w:color w:val="auto"/>
        </w:rPr>
        <w:t>de l’implication des communautés concernées est</w:t>
      </w:r>
      <w:r w:rsidRPr="00387062">
        <w:rPr>
          <w:i w:val="0"/>
          <w:color w:val="auto"/>
        </w:rPr>
        <w:t xml:space="preserve"> également abordée dans</w:t>
      </w:r>
      <w:r w:rsidR="00E6591E" w:rsidRPr="00387062">
        <w:rPr>
          <w:i w:val="0"/>
          <w:color w:val="auto"/>
        </w:rPr>
        <w:t xml:space="preserve"> le </w:t>
      </w:r>
      <w:r w:rsidR="00646D3D" w:rsidRPr="00387062">
        <w:rPr>
          <w:i w:val="0"/>
          <w:color w:val="auto"/>
        </w:rPr>
        <w:t>Texte du participant</w:t>
      </w:r>
      <w:r w:rsidR="00F9570F" w:rsidRPr="00387062">
        <w:rPr>
          <w:i w:val="0"/>
          <w:color w:val="auto"/>
        </w:rPr>
        <w:t xml:space="preserve"> de l’</w:t>
      </w:r>
      <w:r w:rsidR="00E6591E" w:rsidRPr="00387062">
        <w:rPr>
          <w:i w:val="0"/>
          <w:color w:val="auto"/>
        </w:rPr>
        <w:t>Unité 7</w:t>
      </w:r>
      <w:r w:rsidRPr="00387062">
        <w:rPr>
          <w:i w:val="0"/>
          <w:color w:val="auto"/>
        </w:rPr>
        <w:t>.</w:t>
      </w:r>
    </w:p>
    <w:p w14:paraId="738C930A" w14:textId="720C9ECB" w:rsidR="004325DC" w:rsidRPr="00617049" w:rsidRDefault="00C10A1F" w:rsidP="00914287">
      <w:pPr>
        <w:pStyle w:val="Texte1"/>
      </w:pPr>
      <w:r w:rsidRPr="00387062">
        <w:t>L</w:t>
      </w:r>
      <w:r w:rsidR="00A61E6D" w:rsidRPr="00387062">
        <w:t>’</w:t>
      </w:r>
      <w:r w:rsidR="00043DFF" w:rsidRPr="00387062">
        <w:t>article </w:t>
      </w:r>
      <w:r w:rsidRPr="00387062">
        <w:t>15</w:t>
      </w:r>
      <w:r w:rsidRPr="00617049">
        <w:t xml:space="preserve"> de la Convention </w:t>
      </w:r>
      <w:r w:rsidR="00E357E9">
        <w:t>est très clair</w:t>
      </w:r>
      <w:r w:rsidR="00553ED8">
        <w:t xml:space="preserve"> : </w:t>
      </w:r>
    </w:p>
    <w:p w14:paraId="72F1DD9E" w14:textId="77777777" w:rsidR="004325DC" w:rsidRDefault="00C10A1F" w:rsidP="00150FFB">
      <w:pPr>
        <w:pStyle w:val="citation"/>
      </w:pPr>
      <w:r w:rsidRPr="00617049">
        <w:t>Dans le cadre de ses activités de sauvegarde du patrimoine culturel immatériel, chaque État partie s</w:t>
      </w:r>
      <w:r w:rsidR="00A61E6D" w:rsidRPr="00617049">
        <w:t>’</w:t>
      </w:r>
      <w:r w:rsidRPr="00617049">
        <w:t>efforce d</w:t>
      </w:r>
      <w:r w:rsidR="00A61E6D" w:rsidRPr="00617049">
        <w:t>’</w:t>
      </w:r>
      <w:r w:rsidRPr="00617049">
        <w:t xml:space="preserve">assurer la </w:t>
      </w:r>
      <w:r w:rsidRPr="00617049">
        <w:rPr>
          <w:i/>
        </w:rPr>
        <w:t>plus large participation possible des communautés</w:t>
      </w:r>
      <w:r w:rsidRPr="00617049">
        <w:t xml:space="preserve">, </w:t>
      </w:r>
      <w:r w:rsidRPr="00617049">
        <w:rPr>
          <w:i/>
        </w:rPr>
        <w:t>des groupes et, le cas échéant, des individus</w:t>
      </w:r>
      <w:r w:rsidRPr="00617049">
        <w:t xml:space="preserve"> qui créent, entretiennent et transmettent ce patrimoine, et </w:t>
      </w:r>
      <w:r w:rsidRPr="00617049">
        <w:rPr>
          <w:i/>
        </w:rPr>
        <w:t xml:space="preserve">de les impliquer activement dans sa gestion. </w:t>
      </w:r>
      <w:r w:rsidRPr="00617049">
        <w:t>(</w:t>
      </w:r>
      <w:r w:rsidR="00DB5F0C" w:rsidRPr="00617049">
        <w:t>I</w:t>
      </w:r>
      <w:r w:rsidR="00803BA6" w:rsidRPr="00617049">
        <w:t xml:space="preserve">talique </w:t>
      </w:r>
      <w:r w:rsidRPr="00617049">
        <w:t>ajouté.)</w:t>
      </w:r>
    </w:p>
    <w:p w14:paraId="2A3FB60B" w14:textId="4DF247E1" w:rsidR="007803DF" w:rsidRPr="00E357E9" w:rsidRDefault="007803DF" w:rsidP="00875A81">
      <w:pPr>
        <w:pStyle w:val="citation"/>
        <w:ind w:left="851" w:right="49"/>
      </w:pPr>
      <w:r w:rsidRPr="00E357E9">
        <w:t xml:space="preserve">En particulier, </w:t>
      </w:r>
      <w:r w:rsidR="00AB5DF3" w:rsidRPr="00E357E9">
        <w:t>la</w:t>
      </w:r>
      <w:r w:rsidRPr="00E357E9">
        <w:t xml:space="preserve"> voix de groupes d’âges et de genres différents </w:t>
      </w:r>
      <w:r w:rsidR="00AB5DF3" w:rsidRPr="00E357E9">
        <w:t>doit</w:t>
      </w:r>
      <w:r w:rsidRPr="00E357E9">
        <w:t xml:space="preserve"> être pris</w:t>
      </w:r>
      <w:r w:rsidR="00AB5DF3" w:rsidRPr="00E357E9">
        <w:t>e</w:t>
      </w:r>
      <w:r w:rsidRPr="00E357E9">
        <w:t xml:space="preserve"> en compte.</w:t>
      </w:r>
      <w:r w:rsidR="00443A55" w:rsidRPr="00E357E9">
        <w:t xml:space="preserve"> Il </w:t>
      </w:r>
      <w:r w:rsidR="00220774" w:rsidRPr="00E357E9">
        <w:t>convient de</w:t>
      </w:r>
      <w:r w:rsidR="00443A55" w:rsidRPr="00E357E9">
        <w:t xml:space="preserve"> prendre en considération la manière dont des rôles </w:t>
      </w:r>
      <w:r w:rsidR="008468CF" w:rsidRPr="00E357E9">
        <w:t>de genre</w:t>
      </w:r>
      <w:r w:rsidR="00443A55" w:rsidRPr="00E357E9">
        <w:t xml:space="preserve"> identifiés vont affecter à la fois les négociations entre diverses parties prenantes et la conception et la mise en œuvre de plans de sauvegarde réussis</w:t>
      </w:r>
      <w:r w:rsidR="00220774" w:rsidRPr="00E357E9">
        <w:t xml:space="preserve"> </w:t>
      </w:r>
      <w:r w:rsidR="00443A55" w:rsidRPr="00E357E9">
        <w:t>à différents niveaux (local, national et international).</w:t>
      </w:r>
    </w:p>
    <w:p w14:paraId="43CFE152" w14:textId="77777777" w:rsidR="004325DC" w:rsidRPr="00617049" w:rsidRDefault="007A1860" w:rsidP="00914287">
      <w:pPr>
        <w:pStyle w:val="Texte1"/>
      </w:pPr>
      <w:r w:rsidRPr="00617049">
        <w:rPr>
          <w:noProof/>
          <w:lang w:eastAsia="zh-TW"/>
        </w:rPr>
        <w:drawing>
          <wp:anchor distT="0" distB="0" distL="114300" distR="114300" simplePos="0" relativeHeight="252048896" behindDoc="0" locked="1" layoutInCell="1" allowOverlap="0" wp14:anchorId="6FB642C3" wp14:editId="3E2C2BA0">
            <wp:simplePos x="0" y="0"/>
            <wp:positionH relativeFrom="margin">
              <wp:posOffset>28575</wp:posOffset>
            </wp:positionH>
            <wp:positionV relativeFrom="paragraph">
              <wp:posOffset>949325</wp:posOffset>
            </wp:positionV>
            <wp:extent cx="283210" cy="358775"/>
            <wp:effectExtent l="0" t="0" r="2540" b="3175"/>
            <wp:wrapThrough wrapText="bothSides">
              <wp:wrapPolygon edited="0">
                <wp:start x="0" y="0"/>
                <wp:lineTo x="0" y="20644"/>
                <wp:lineTo x="20341" y="20644"/>
                <wp:lineTo x="20341"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anchor>
        </w:drawing>
      </w:r>
      <w:r w:rsidR="00C10A1F" w:rsidRPr="00617049">
        <w:t>Les activités de sauvegarde les plus prometteuses sont entamées au niveau de la communauté par des individus qui se d</w:t>
      </w:r>
      <w:r w:rsidR="00DB5F0C" w:rsidRPr="00617049">
        <w:t>is</w:t>
      </w:r>
      <w:r w:rsidR="00C10A1F" w:rsidRPr="00617049">
        <w:t>ent préoccupés par les menaces pour la viabilité d</w:t>
      </w:r>
      <w:r w:rsidR="00A61E6D" w:rsidRPr="00617049">
        <w:t>’</w:t>
      </w:r>
      <w:r w:rsidR="00C10A1F" w:rsidRPr="00617049">
        <w:t>un ou de plusieurs éléments de leur PCI et qui se mobilisent avec d</w:t>
      </w:r>
      <w:r w:rsidR="00A61E6D" w:rsidRPr="00617049">
        <w:t>’</w:t>
      </w:r>
      <w:r w:rsidR="00C10A1F" w:rsidRPr="00617049">
        <w:t>autres, souvent sans aucun</w:t>
      </w:r>
      <w:r w:rsidR="00D74BB4" w:rsidRPr="00617049">
        <w:t xml:space="preserve"> appui extérieur</w:t>
      </w:r>
      <w:r w:rsidR="00C10A1F" w:rsidRPr="00617049">
        <w:t>. Les documents du Centre culturel Asie/Pacifique pour l</w:t>
      </w:r>
      <w:r w:rsidR="00A61E6D" w:rsidRPr="00617049">
        <w:t>’</w:t>
      </w:r>
      <w:r w:rsidR="00C10A1F" w:rsidRPr="00617049">
        <w:t>UNESCO (ACCU), organisation japonaise sans but lucratif, offrent quelques bons exemples d</w:t>
      </w:r>
      <w:r w:rsidR="00A61E6D" w:rsidRPr="00617049">
        <w:t>’</w:t>
      </w:r>
      <w:r w:rsidR="00C10A1F" w:rsidRPr="00617049">
        <w:t xml:space="preserve">activités de sauvegarde </w:t>
      </w:r>
      <w:r w:rsidR="00D74BB4" w:rsidRPr="00617049">
        <w:t xml:space="preserve">au niveau </w:t>
      </w:r>
      <w:r w:rsidR="009867A4" w:rsidRPr="00617049">
        <w:t>de</w:t>
      </w:r>
      <w:r w:rsidR="00D74BB4" w:rsidRPr="00617049">
        <w:t xml:space="preserve"> la</w:t>
      </w:r>
      <w:r w:rsidR="009867A4" w:rsidRPr="00617049">
        <w:t xml:space="preserve"> </w:t>
      </w:r>
      <w:r w:rsidR="00D74BB4" w:rsidRPr="00617049">
        <w:t>communauté</w:t>
      </w:r>
      <w:r w:rsidR="00C10A1F" w:rsidRPr="00617049">
        <w:t xml:space="preserve"> (voir, par exemple, </w:t>
      </w:r>
      <w:r w:rsidR="007B2C2D" w:rsidRPr="00617049">
        <w:t>http://www.accu.or.jp/ich/en/pdf/2ndworkshop.pdf</w:t>
      </w:r>
      <w:r w:rsidR="00C10A1F" w:rsidRPr="00617049">
        <w:t>).</w:t>
      </w:r>
    </w:p>
    <w:p w14:paraId="1903E86C" w14:textId="77777777" w:rsidR="004325DC" w:rsidRDefault="00C10A1F" w:rsidP="00914287">
      <w:pPr>
        <w:pStyle w:val="Informations"/>
        <w:rPr>
          <w:i w:val="0"/>
          <w:color w:val="auto"/>
        </w:rPr>
      </w:pPr>
      <w:r w:rsidRPr="00686CA9">
        <w:rPr>
          <w:i w:val="0"/>
          <w:color w:val="auto"/>
        </w:rPr>
        <w:t>L</w:t>
      </w:r>
      <w:r w:rsidR="00A61E6D" w:rsidRPr="00686CA9">
        <w:rPr>
          <w:i w:val="0"/>
          <w:color w:val="auto"/>
        </w:rPr>
        <w:t>’</w:t>
      </w:r>
      <w:r w:rsidR="003F5CA8" w:rsidRPr="00686CA9">
        <w:rPr>
          <w:i w:val="0"/>
          <w:color w:val="auto"/>
        </w:rPr>
        <w:t>Étude de cas</w:t>
      </w:r>
      <w:r w:rsidRPr="00686CA9">
        <w:rPr>
          <w:i w:val="0"/>
          <w:color w:val="auto"/>
        </w:rPr>
        <w:t xml:space="preserve"> 25 décrit la revitalisation et l</w:t>
      </w:r>
      <w:r w:rsidR="00A61E6D" w:rsidRPr="00686CA9">
        <w:rPr>
          <w:i w:val="0"/>
          <w:color w:val="auto"/>
        </w:rPr>
        <w:t>’</w:t>
      </w:r>
      <w:r w:rsidRPr="00686CA9">
        <w:rPr>
          <w:i w:val="0"/>
          <w:color w:val="auto"/>
        </w:rPr>
        <w:t>appréciation renouvelée d</w:t>
      </w:r>
      <w:r w:rsidR="00A61E6D" w:rsidRPr="00686CA9">
        <w:rPr>
          <w:i w:val="0"/>
          <w:color w:val="auto"/>
        </w:rPr>
        <w:t>’</w:t>
      </w:r>
      <w:r w:rsidRPr="00686CA9">
        <w:rPr>
          <w:i w:val="0"/>
          <w:color w:val="auto"/>
        </w:rPr>
        <w:t xml:space="preserve">une pratique </w:t>
      </w:r>
      <w:r w:rsidR="00E6591E" w:rsidRPr="00686CA9">
        <w:rPr>
          <w:i w:val="0"/>
          <w:noProof/>
          <w:color w:val="auto"/>
          <w:lang w:eastAsia="zh-TW"/>
        </w:rPr>
        <w:drawing>
          <wp:anchor distT="0" distB="0" distL="114300" distR="114300" simplePos="0" relativeHeight="251899392" behindDoc="0" locked="1" layoutInCell="1" allowOverlap="0" wp14:anchorId="3F926B79" wp14:editId="6F31CC55">
            <wp:simplePos x="0" y="0"/>
            <wp:positionH relativeFrom="margin">
              <wp:posOffset>76200</wp:posOffset>
            </wp:positionH>
            <wp:positionV relativeFrom="paragraph">
              <wp:posOffset>502285</wp:posOffset>
            </wp:positionV>
            <wp:extent cx="283210" cy="358775"/>
            <wp:effectExtent l="0" t="0" r="2540" b="3175"/>
            <wp:wrapThrough wrapText="bothSides">
              <wp:wrapPolygon edited="0">
                <wp:start x="0" y="0"/>
                <wp:lineTo x="0" y="20644"/>
                <wp:lineTo x="20341" y="20644"/>
                <wp:lineTo x="20341" y="0"/>
                <wp:lineTo x="0" y="0"/>
              </wp:wrapPolygon>
            </wp:wrapThrough>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anchor>
        </w:drawing>
      </w:r>
      <w:r w:rsidRPr="00686CA9">
        <w:rPr>
          <w:i w:val="0"/>
          <w:color w:val="auto"/>
        </w:rPr>
        <w:t xml:space="preserve">traditionnelle, le </w:t>
      </w:r>
      <w:r w:rsidRPr="00686CA9">
        <w:rPr>
          <w:color w:val="auto"/>
        </w:rPr>
        <w:t>Sanbasomawashi</w:t>
      </w:r>
      <w:r w:rsidRPr="00686CA9">
        <w:rPr>
          <w:i w:val="0"/>
          <w:color w:val="auto"/>
        </w:rPr>
        <w:t xml:space="preserve"> (spectacle du Nouvel An) au Japon, grâce à la participation </w:t>
      </w:r>
      <w:r w:rsidR="009867A4" w:rsidRPr="00686CA9">
        <w:rPr>
          <w:i w:val="0"/>
          <w:color w:val="auto"/>
        </w:rPr>
        <w:t>des communautés</w:t>
      </w:r>
      <w:r w:rsidRPr="00686CA9">
        <w:rPr>
          <w:i w:val="0"/>
          <w:color w:val="auto"/>
        </w:rPr>
        <w:t>.</w:t>
      </w:r>
    </w:p>
    <w:p w14:paraId="45F844B6" w14:textId="77777777" w:rsidR="00A67D96" w:rsidRPr="00686CA9" w:rsidRDefault="00A67D96" w:rsidP="00914287">
      <w:pPr>
        <w:pStyle w:val="Informations"/>
        <w:rPr>
          <w:i w:val="0"/>
        </w:rPr>
      </w:pPr>
      <w:r w:rsidRPr="00686CA9">
        <w:rPr>
          <w:i w:val="0"/>
        </w:rPr>
        <w:t>Se référer au Texte du participant de l’Unité 7 et à l’Étude de cas 25.</w:t>
      </w:r>
    </w:p>
    <w:p w14:paraId="6070CCE9" w14:textId="77777777" w:rsidR="004325DC" w:rsidRPr="00617049" w:rsidRDefault="00E6591E" w:rsidP="00EE1902">
      <w:pPr>
        <w:pStyle w:val="Titcoul"/>
      </w:pPr>
      <w:bookmarkStart w:id="68" w:name="_Toc238963275"/>
      <w:bookmarkStart w:id="69" w:name="_Toc241065161"/>
      <w:bookmarkStart w:id="70" w:name="_Toc301443382"/>
      <w:bookmarkStart w:id="71" w:name="_Toc321407025"/>
      <w:bookmarkStart w:id="72" w:name="_Toc354486649"/>
      <w:bookmarkStart w:id="73" w:name="_Toc354486955"/>
      <w:bookmarkStart w:id="74" w:name="_Toc247360246"/>
      <w:r w:rsidRPr="00617049">
        <w:t>9</w:t>
      </w:r>
      <w:r w:rsidR="00C10A1F" w:rsidRPr="00617049">
        <w:t>.7</w:t>
      </w:r>
      <w:bookmarkEnd w:id="68"/>
      <w:bookmarkEnd w:id="69"/>
      <w:r w:rsidR="0022235D" w:rsidRPr="00617049">
        <w:tab/>
      </w:r>
      <w:bookmarkStart w:id="75" w:name="_Toc238963276"/>
      <w:bookmarkStart w:id="76" w:name="_Toc241065162"/>
      <w:r w:rsidR="00C10A1F" w:rsidRPr="00617049">
        <w:t>Mesures et plans de sauvegarde</w:t>
      </w:r>
      <w:bookmarkEnd w:id="70"/>
      <w:bookmarkEnd w:id="71"/>
      <w:bookmarkEnd w:id="72"/>
      <w:bookmarkEnd w:id="73"/>
      <w:bookmarkEnd w:id="74"/>
      <w:bookmarkEnd w:id="75"/>
      <w:bookmarkEnd w:id="76"/>
    </w:p>
    <w:p w14:paraId="6271FBD5" w14:textId="77777777" w:rsidR="004325DC" w:rsidRPr="00617049" w:rsidRDefault="00C10A1F" w:rsidP="00914287">
      <w:pPr>
        <w:pStyle w:val="Texte1"/>
      </w:pPr>
      <w:r w:rsidRPr="00617049">
        <w:t>Des mesures de sauvegarde peuvent être élaborées pour tou</w:t>
      </w:r>
      <w:r w:rsidR="00D74BB4" w:rsidRPr="00617049">
        <w:t>t élément du PCI confronté à d</w:t>
      </w:r>
      <w:r w:rsidRPr="00617049">
        <w:t xml:space="preserve">es menaces ou des risques pour </w:t>
      </w:r>
      <w:r w:rsidR="00D74BB4" w:rsidRPr="00617049">
        <w:t>sa</w:t>
      </w:r>
      <w:r w:rsidRPr="00617049">
        <w:t xml:space="preserve"> viabilité, mais leur </w:t>
      </w:r>
      <w:r w:rsidR="00D74BB4" w:rsidRPr="00617049">
        <w:t>mise en place</w:t>
      </w:r>
      <w:r w:rsidRPr="00617049">
        <w:t xml:space="preserve"> est obligatoire pour les éléments dont l</w:t>
      </w:r>
      <w:r w:rsidR="00A61E6D" w:rsidRPr="00617049">
        <w:t>’</w:t>
      </w:r>
      <w:r w:rsidRPr="00617049">
        <w:t xml:space="preserve">inscription est proposée sur les Listes de la Convention (voir </w:t>
      </w:r>
      <w:r w:rsidR="00461004" w:rsidRPr="00617049">
        <w:t>DO </w:t>
      </w:r>
      <w:r w:rsidRPr="00617049">
        <w:t xml:space="preserve">1 et 2). Les mesures de sauvegarde doivent, si possible, être présentées comme un </w:t>
      </w:r>
      <w:r w:rsidRPr="00617049">
        <w:lastRenderedPageBreak/>
        <w:t>ensemble cohérent (</w:t>
      </w:r>
      <w:r w:rsidR="002A7F27" w:rsidRPr="00617049">
        <w:t>autrement dit comme un p</w:t>
      </w:r>
      <w:r w:rsidRPr="00617049">
        <w:t>lan</w:t>
      </w:r>
      <w:r w:rsidR="002A7F27" w:rsidRPr="00617049">
        <w:t xml:space="preserve"> de sauvegarde</w:t>
      </w:r>
      <w:r w:rsidRPr="00617049">
        <w:t xml:space="preserve">). Cependant, il </w:t>
      </w:r>
      <w:r w:rsidR="002A7F27" w:rsidRPr="00617049">
        <w:t>arrive</w:t>
      </w:r>
      <w:r w:rsidRPr="00617049">
        <w:t xml:space="preserve"> qu</w:t>
      </w:r>
      <w:r w:rsidR="00A61E6D" w:rsidRPr="00617049">
        <w:t>’</w:t>
      </w:r>
      <w:r w:rsidR="002A7F27" w:rsidRPr="00617049">
        <w:t xml:space="preserve">une </w:t>
      </w:r>
      <w:r w:rsidRPr="00617049">
        <w:t>simple mesure fasse des merveilles.</w:t>
      </w:r>
    </w:p>
    <w:p w14:paraId="49D6F784" w14:textId="77777777" w:rsidR="004325DC" w:rsidRPr="00617049" w:rsidRDefault="00C10A1F" w:rsidP="00914287">
      <w:pPr>
        <w:pStyle w:val="Texte1"/>
      </w:pPr>
      <w:r w:rsidRPr="00617049">
        <w:t xml:space="preserve">Là où plusieurs mesures de sauvegarde sont proposées, il peut être nécessaire de les classer par ordre </w:t>
      </w:r>
      <w:r w:rsidR="0015316B" w:rsidRPr="00617049">
        <w:t>de priorité car, en général, le budget en matière de</w:t>
      </w:r>
      <w:r w:rsidRPr="00617049">
        <w:t xml:space="preserve"> sauvegarde </w:t>
      </w:r>
      <w:r w:rsidR="0015316B" w:rsidRPr="00617049">
        <w:t>est</w:t>
      </w:r>
      <w:r w:rsidRPr="00617049">
        <w:t xml:space="preserve"> p</w:t>
      </w:r>
      <w:r w:rsidR="0015316B" w:rsidRPr="00617049">
        <w:t>lutôt limité</w:t>
      </w:r>
      <w:r w:rsidRPr="00617049">
        <w:t xml:space="preserve">. </w:t>
      </w:r>
      <w:r w:rsidR="0015316B" w:rsidRPr="00617049">
        <w:t>Ceci dit, l</w:t>
      </w:r>
      <w:r w:rsidRPr="00617049">
        <w:t>es mesures de sauvegarde n</w:t>
      </w:r>
      <w:r w:rsidR="001C5BFB" w:rsidRPr="00617049">
        <w:t>e coûtent</w:t>
      </w:r>
      <w:r w:rsidR="0015316B" w:rsidRPr="00617049">
        <w:t xml:space="preserve"> pas tou</w:t>
      </w:r>
      <w:r w:rsidRPr="00617049">
        <w:t>jours</w:t>
      </w:r>
      <w:r w:rsidR="001C5BFB" w:rsidRPr="00617049">
        <w:t xml:space="preserve"> très cher</w:t>
      </w:r>
      <w:r w:rsidRPr="00617049">
        <w:t>. Si des fonds sont requis pour le</w:t>
      </w:r>
      <w:r w:rsidR="001C5BFB" w:rsidRPr="00617049">
        <w:t>ur mise</w:t>
      </w:r>
      <w:r w:rsidRPr="00617049">
        <w:t xml:space="preserve"> en œuvre, </w:t>
      </w:r>
      <w:r w:rsidR="007554C3" w:rsidRPr="00617049">
        <w:t xml:space="preserve">s’agissant </w:t>
      </w:r>
      <w:r w:rsidRPr="00617049">
        <w:t xml:space="preserve">surtout </w:t>
      </w:r>
      <w:r w:rsidR="007554C3" w:rsidRPr="00617049">
        <w:t>d</w:t>
      </w:r>
      <w:r w:rsidRPr="00617049">
        <w:t xml:space="preserve">es éléments </w:t>
      </w:r>
      <w:r w:rsidR="001C5BFB" w:rsidRPr="00617049">
        <w:t>(</w:t>
      </w:r>
      <w:r w:rsidRPr="00617049">
        <w:t>en cours d</w:t>
      </w:r>
      <w:r w:rsidR="00A61E6D" w:rsidRPr="00617049">
        <w:t>’</w:t>
      </w:r>
      <w:r w:rsidRPr="00617049">
        <w:t>inscription</w:t>
      </w:r>
      <w:r w:rsidR="001C5BFB" w:rsidRPr="00617049">
        <w:t>)</w:t>
      </w:r>
      <w:r w:rsidRPr="00617049">
        <w:t xml:space="preserve"> sur la</w:t>
      </w:r>
      <w:r w:rsidR="00BA66A7">
        <w:t xml:space="preserve"> Liste de sauvegarde urgente</w:t>
      </w:r>
      <w:r w:rsidRPr="00617049">
        <w:t>, les États parties peuvent solliciter l</w:t>
      </w:r>
      <w:r w:rsidR="00A61E6D" w:rsidRPr="00617049">
        <w:t>’</w:t>
      </w:r>
      <w:r w:rsidRPr="00617049">
        <w:t xml:space="preserve">assistance internationale au titre de la Convention (point traité </w:t>
      </w:r>
      <w:r w:rsidR="001C5BFB" w:rsidRPr="00617049">
        <w:t xml:space="preserve">plus avant </w:t>
      </w:r>
      <w:r w:rsidRPr="00617049">
        <w:t xml:space="preserve">dans </w:t>
      </w:r>
      <w:r w:rsidR="00E6591E" w:rsidRPr="00617049">
        <w:t xml:space="preserve">le </w:t>
      </w:r>
      <w:r w:rsidR="00646D3D" w:rsidRPr="00617049">
        <w:t>Texte du participant</w:t>
      </w:r>
      <w:r w:rsidR="00F9570F" w:rsidRPr="00617049">
        <w:t xml:space="preserve"> de l’</w:t>
      </w:r>
      <w:r w:rsidR="00E6591E" w:rsidRPr="00617049">
        <w:t>Unité 12</w:t>
      </w:r>
      <w:r w:rsidRPr="00617049">
        <w:t xml:space="preserve">). </w:t>
      </w:r>
      <w:r w:rsidR="007554C3" w:rsidRPr="00617049">
        <w:t xml:space="preserve">Ils </w:t>
      </w:r>
      <w:r w:rsidRPr="00617049">
        <w:t>peuvent aussi se tourner vers d</w:t>
      </w:r>
      <w:r w:rsidR="00A61E6D" w:rsidRPr="00617049">
        <w:t>’</w:t>
      </w:r>
      <w:r w:rsidRPr="00617049">
        <w:t xml:space="preserve">autres États parties </w:t>
      </w:r>
      <w:r w:rsidR="007554C3" w:rsidRPr="00617049">
        <w:t>dans le but d’</w:t>
      </w:r>
      <w:r w:rsidRPr="00617049">
        <w:t xml:space="preserve">une coopération, par exemple en ce qui concerne le PCI </w:t>
      </w:r>
      <w:r w:rsidR="007554C3" w:rsidRPr="00617049">
        <w:t>qu’ils ont en commun</w:t>
      </w:r>
      <w:r w:rsidRPr="00617049">
        <w:t xml:space="preserve"> ou d</w:t>
      </w:r>
      <w:r w:rsidR="00A61E6D" w:rsidRPr="00617049">
        <w:t>’</w:t>
      </w:r>
      <w:r w:rsidRPr="00617049">
        <w:t>autres formes d</w:t>
      </w:r>
      <w:r w:rsidR="00A61E6D" w:rsidRPr="00617049">
        <w:t>’</w:t>
      </w:r>
      <w:r w:rsidRPr="00617049">
        <w:t>assistance, comme la documentation ou le</w:t>
      </w:r>
      <w:r w:rsidR="007554C3" w:rsidRPr="00617049">
        <w:t>s</w:t>
      </w:r>
      <w:r w:rsidRPr="00617049">
        <w:t xml:space="preserve"> conseil</w:t>
      </w:r>
      <w:r w:rsidR="007554C3" w:rsidRPr="00617049">
        <w:t>s</w:t>
      </w:r>
      <w:r w:rsidRPr="00617049">
        <w:t>.</w:t>
      </w:r>
    </w:p>
    <w:p w14:paraId="56E25453" w14:textId="77777777" w:rsidR="004325DC" w:rsidRPr="00617049" w:rsidRDefault="00C10A1F" w:rsidP="00914287">
      <w:pPr>
        <w:pStyle w:val="Texte1"/>
      </w:pPr>
      <w:r w:rsidRPr="00617049">
        <w:t xml:space="preserve">La faisabilité des plans de sauvegarde </w:t>
      </w:r>
      <w:r w:rsidR="007554C3" w:rsidRPr="00617049">
        <w:t>nécessite d’</w:t>
      </w:r>
      <w:r w:rsidRPr="00617049">
        <w:t>être évaluée. Il est rarement possible d</w:t>
      </w:r>
      <w:r w:rsidR="00A61E6D" w:rsidRPr="00617049">
        <w:t>’</w:t>
      </w:r>
      <w:r w:rsidRPr="00617049">
        <w:t>anticiper tous les effets positifs et négatifs des interventions de sauvegarde. C</w:t>
      </w:r>
      <w:r w:rsidR="00A61E6D" w:rsidRPr="00617049">
        <w:t>’</w:t>
      </w:r>
      <w:r w:rsidRPr="00617049">
        <w:t xml:space="preserve">est </w:t>
      </w:r>
      <w:r w:rsidR="007554C3" w:rsidRPr="00617049">
        <w:t>pourquoi</w:t>
      </w:r>
      <w:r w:rsidRPr="00617049">
        <w:t xml:space="preserve"> les mesures de sauvegarde doivent être régulièrement passées en revue, évaluées et, le cas échéant, adaptées</w:t>
      </w:r>
      <w:r w:rsidR="00F65B4E">
        <w:t xml:space="preserve"> en prenant en considération la variété des contextes et des menaces.</w:t>
      </w:r>
    </w:p>
    <w:p w14:paraId="43C9D808" w14:textId="77777777" w:rsidR="004325DC" w:rsidRDefault="00F0629B" w:rsidP="00914287">
      <w:pPr>
        <w:pStyle w:val="Informations"/>
        <w:rPr>
          <w:i w:val="0"/>
          <w:color w:val="auto"/>
        </w:rPr>
      </w:pPr>
      <w:r w:rsidRPr="00686CA9">
        <w:rPr>
          <w:i w:val="0"/>
          <w:noProof/>
          <w:color w:val="auto"/>
          <w:lang w:eastAsia="zh-TW"/>
        </w:rPr>
        <w:drawing>
          <wp:anchor distT="0" distB="0" distL="114300" distR="114300" simplePos="0" relativeHeight="252158464" behindDoc="0" locked="1" layoutInCell="1" allowOverlap="0" wp14:anchorId="6478CEBD" wp14:editId="09A01E3A">
            <wp:simplePos x="0" y="0"/>
            <wp:positionH relativeFrom="column">
              <wp:posOffset>0</wp:posOffset>
            </wp:positionH>
            <wp:positionV relativeFrom="paragraph">
              <wp:posOffset>0</wp:posOffset>
            </wp:positionV>
            <wp:extent cx="283210" cy="358775"/>
            <wp:effectExtent l="0" t="0" r="0" b="0"/>
            <wp:wrapThrough wrapText="bothSides">
              <wp:wrapPolygon edited="0">
                <wp:start x="0" y="0"/>
                <wp:lineTo x="0" y="19880"/>
                <wp:lineTo x="19372" y="19880"/>
                <wp:lineTo x="19372" y="0"/>
                <wp:lineTo x="0" y="0"/>
              </wp:wrapPolygon>
            </wp:wrapThrough>
            <wp:docPr id="304" name="Imag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anchor>
        </w:drawing>
      </w:r>
      <w:r w:rsidR="00C10A1F" w:rsidRPr="00686CA9">
        <w:rPr>
          <w:i w:val="0"/>
          <w:color w:val="auto"/>
        </w:rPr>
        <w:t>L</w:t>
      </w:r>
      <w:r w:rsidR="00A61E6D" w:rsidRPr="00686CA9">
        <w:rPr>
          <w:i w:val="0"/>
          <w:color w:val="auto"/>
        </w:rPr>
        <w:t>’</w:t>
      </w:r>
      <w:r w:rsidR="003F5CA8" w:rsidRPr="00686CA9">
        <w:rPr>
          <w:i w:val="0"/>
          <w:color w:val="auto"/>
        </w:rPr>
        <w:t>Étude de cas</w:t>
      </w:r>
      <w:r w:rsidR="00803BA6" w:rsidRPr="00686CA9">
        <w:rPr>
          <w:i w:val="0"/>
          <w:color w:val="auto"/>
        </w:rPr>
        <w:t> </w:t>
      </w:r>
      <w:r w:rsidR="00C10A1F" w:rsidRPr="00686CA9">
        <w:rPr>
          <w:i w:val="0"/>
          <w:color w:val="auto"/>
        </w:rPr>
        <w:t xml:space="preserve">22 </w:t>
      </w:r>
      <w:r w:rsidR="00AB431E" w:rsidRPr="00686CA9">
        <w:rPr>
          <w:i w:val="0"/>
          <w:color w:val="auto"/>
        </w:rPr>
        <w:t>porte sur l</w:t>
      </w:r>
      <w:r w:rsidR="00C10A1F" w:rsidRPr="00686CA9">
        <w:rPr>
          <w:i w:val="0"/>
          <w:color w:val="auto"/>
        </w:rPr>
        <w:t>es mesures de sauvegarde élaborées pour</w:t>
      </w:r>
      <w:r w:rsidR="00AB431E" w:rsidRPr="00686CA9">
        <w:rPr>
          <w:i w:val="0"/>
          <w:color w:val="auto"/>
        </w:rPr>
        <w:t xml:space="preserve"> juguler les menaces qui pèsent sur la viabilité de la C</w:t>
      </w:r>
      <w:r w:rsidR="00C10A1F" w:rsidRPr="00686CA9">
        <w:rPr>
          <w:i w:val="0"/>
          <w:color w:val="auto"/>
        </w:rPr>
        <w:t>érémonie rituelle des Voladores (</w:t>
      </w:r>
      <w:r w:rsidR="008A7E01" w:rsidRPr="00686CA9">
        <w:rPr>
          <w:i w:val="0"/>
          <w:color w:val="auto"/>
        </w:rPr>
        <w:t>« </w:t>
      </w:r>
      <w:r w:rsidR="00C10A1F" w:rsidRPr="00686CA9">
        <w:rPr>
          <w:i w:val="0"/>
          <w:color w:val="auto"/>
        </w:rPr>
        <w:t xml:space="preserve">hommes </w:t>
      </w:r>
      <w:r w:rsidR="008A7E01" w:rsidRPr="00686CA9">
        <w:rPr>
          <w:i w:val="0"/>
          <w:color w:val="auto"/>
        </w:rPr>
        <w:t xml:space="preserve">volants ») </w:t>
      </w:r>
      <w:r w:rsidR="00C10A1F" w:rsidRPr="00686CA9">
        <w:rPr>
          <w:i w:val="0"/>
          <w:color w:val="auto"/>
        </w:rPr>
        <w:t>au Mexique.</w:t>
      </w:r>
    </w:p>
    <w:p w14:paraId="1AFC3366" w14:textId="1C409030" w:rsidR="00935A69" w:rsidRPr="00E357E9" w:rsidRDefault="00935A69" w:rsidP="00914287">
      <w:pPr>
        <w:pStyle w:val="Informations"/>
        <w:rPr>
          <w:i w:val="0"/>
          <w:color w:val="auto"/>
        </w:rPr>
      </w:pPr>
      <w:r w:rsidRPr="00E357E9">
        <w:rPr>
          <w:i w:val="0"/>
          <w:color w:val="auto"/>
        </w:rPr>
        <w:t xml:space="preserve">Note sur des mesures et des plans de sauvegarde attentifs à </w:t>
      </w:r>
      <w:r w:rsidR="00C05C80" w:rsidRPr="00E357E9">
        <w:rPr>
          <w:i w:val="0"/>
          <w:color w:val="auto"/>
        </w:rPr>
        <w:t>la dimension hommes-femmes</w:t>
      </w:r>
      <w:r w:rsidRPr="00E357E9">
        <w:rPr>
          <w:i w:val="0"/>
          <w:color w:val="auto"/>
        </w:rPr>
        <w:t>.</w:t>
      </w:r>
    </w:p>
    <w:p w14:paraId="36855AE1" w14:textId="3249BDC7" w:rsidR="00935A69" w:rsidRPr="00E357E9" w:rsidRDefault="00B926F2" w:rsidP="00EE5CB6">
      <w:pPr>
        <w:pStyle w:val="Informations"/>
        <w:rPr>
          <w:i w:val="0"/>
          <w:color w:val="auto"/>
        </w:rPr>
      </w:pPr>
      <w:r w:rsidRPr="00E357E9">
        <w:rPr>
          <w:i w:val="0"/>
          <w:color w:val="auto"/>
        </w:rPr>
        <w:t>À</w:t>
      </w:r>
      <w:r w:rsidR="00935A69" w:rsidRPr="00E357E9">
        <w:rPr>
          <w:i w:val="0"/>
          <w:color w:val="auto"/>
        </w:rPr>
        <w:t xml:space="preserve"> ce stade, </w:t>
      </w:r>
      <w:r w:rsidR="00352D70" w:rsidRPr="00E357E9">
        <w:rPr>
          <w:i w:val="0"/>
          <w:color w:val="auto"/>
        </w:rPr>
        <w:t>il convient</w:t>
      </w:r>
      <w:r w:rsidR="00935A69" w:rsidRPr="00E357E9">
        <w:rPr>
          <w:i w:val="0"/>
          <w:color w:val="auto"/>
        </w:rPr>
        <w:t xml:space="preserve"> de </w:t>
      </w:r>
      <w:r w:rsidR="00352D70" w:rsidRPr="00E357E9">
        <w:rPr>
          <w:i w:val="0"/>
          <w:color w:val="auto"/>
        </w:rPr>
        <w:t>mettre en lumière</w:t>
      </w:r>
      <w:r w:rsidR="00935A69" w:rsidRPr="00E357E9">
        <w:rPr>
          <w:i w:val="0"/>
          <w:color w:val="auto"/>
        </w:rPr>
        <w:t xml:space="preserve"> certains </w:t>
      </w:r>
      <w:r w:rsidR="00352D70" w:rsidRPr="00E357E9">
        <w:rPr>
          <w:i w:val="0"/>
          <w:color w:val="auto"/>
        </w:rPr>
        <w:t xml:space="preserve">des principaux </w:t>
      </w:r>
      <w:r w:rsidR="00935A69" w:rsidRPr="00E357E9">
        <w:rPr>
          <w:i w:val="0"/>
          <w:color w:val="auto"/>
        </w:rPr>
        <w:t xml:space="preserve">objectifs d’un plan de sauvegarde attentif </w:t>
      </w:r>
      <w:r w:rsidR="00EE5CB6" w:rsidRPr="00E357E9">
        <w:rPr>
          <w:i w:val="0"/>
          <w:color w:val="auto"/>
        </w:rPr>
        <w:t xml:space="preserve">à la dimension hommes-femmes </w:t>
      </w:r>
      <w:r w:rsidR="00935A69" w:rsidRPr="00E357E9">
        <w:rPr>
          <w:i w:val="0"/>
          <w:color w:val="auto"/>
        </w:rPr>
        <w:t xml:space="preserve">: </w:t>
      </w:r>
      <w:r w:rsidR="005111EB" w:rsidRPr="00E357E9">
        <w:rPr>
          <w:i w:val="0"/>
          <w:color w:val="auto"/>
        </w:rPr>
        <w:t>mieux sensibiliser aux</w:t>
      </w:r>
      <w:r w:rsidR="00935A69" w:rsidRPr="00E357E9">
        <w:rPr>
          <w:i w:val="0"/>
          <w:color w:val="auto"/>
        </w:rPr>
        <w:t xml:space="preserve"> </w:t>
      </w:r>
      <w:r w:rsidR="004066F0" w:rsidRPr="00E357E9">
        <w:rPr>
          <w:i w:val="0"/>
          <w:color w:val="auto"/>
        </w:rPr>
        <w:t>enjeux liés au</w:t>
      </w:r>
      <w:r w:rsidR="00771AE9" w:rsidRPr="00E357E9">
        <w:rPr>
          <w:i w:val="0"/>
          <w:color w:val="auto"/>
        </w:rPr>
        <w:t xml:space="preserve"> genre parmi les </w:t>
      </w:r>
      <w:r w:rsidR="00BC4E35" w:rsidRPr="00E357E9">
        <w:rPr>
          <w:i w:val="0"/>
          <w:color w:val="auto"/>
        </w:rPr>
        <w:t>organismes publics</w:t>
      </w:r>
      <w:r w:rsidR="006A3832" w:rsidRPr="00E357E9">
        <w:rPr>
          <w:i w:val="0"/>
          <w:color w:val="auto"/>
        </w:rPr>
        <w:t xml:space="preserve">, </w:t>
      </w:r>
      <w:r w:rsidR="00771AE9" w:rsidRPr="00E357E9">
        <w:rPr>
          <w:i w:val="0"/>
          <w:color w:val="auto"/>
        </w:rPr>
        <w:t xml:space="preserve">les experts et au sein des communautés ; maximiser le potentiel du PCI </w:t>
      </w:r>
      <w:r w:rsidR="005111EB" w:rsidRPr="00E357E9">
        <w:rPr>
          <w:i w:val="0"/>
          <w:color w:val="auto"/>
        </w:rPr>
        <w:t xml:space="preserve">pour </w:t>
      </w:r>
      <w:r w:rsidR="0098772C" w:rsidRPr="00E357E9">
        <w:rPr>
          <w:i w:val="0"/>
          <w:color w:val="auto"/>
        </w:rPr>
        <w:t>accroître</w:t>
      </w:r>
      <w:r w:rsidR="00771AE9" w:rsidRPr="00E357E9">
        <w:rPr>
          <w:i w:val="0"/>
          <w:color w:val="auto"/>
        </w:rPr>
        <w:t xml:space="preserve"> </w:t>
      </w:r>
      <w:r w:rsidR="0098772C" w:rsidRPr="00E357E9">
        <w:rPr>
          <w:i w:val="0"/>
          <w:color w:val="auto"/>
        </w:rPr>
        <w:t>la</w:t>
      </w:r>
      <w:r w:rsidR="005111EB" w:rsidRPr="00E357E9">
        <w:rPr>
          <w:i w:val="0"/>
          <w:color w:val="auto"/>
        </w:rPr>
        <w:t xml:space="preserve"> valeur</w:t>
      </w:r>
      <w:r w:rsidR="00771AE9" w:rsidRPr="00E357E9">
        <w:rPr>
          <w:i w:val="0"/>
          <w:color w:val="auto"/>
        </w:rPr>
        <w:t xml:space="preserve"> </w:t>
      </w:r>
      <w:r w:rsidR="00B859BE" w:rsidRPr="00E357E9">
        <w:rPr>
          <w:i w:val="0"/>
          <w:color w:val="auto"/>
        </w:rPr>
        <w:t xml:space="preserve">sociale, culturelle et économique </w:t>
      </w:r>
      <w:r w:rsidR="00771AE9" w:rsidRPr="00E357E9">
        <w:rPr>
          <w:i w:val="0"/>
          <w:color w:val="auto"/>
        </w:rPr>
        <w:t xml:space="preserve">des compétences et du savoir-faire des groupes marginalisés ; garantir que les mesures de sauvegarde respectent l’égalité </w:t>
      </w:r>
      <w:r w:rsidR="008173FE" w:rsidRPr="00E357E9">
        <w:rPr>
          <w:i w:val="0"/>
          <w:color w:val="auto"/>
        </w:rPr>
        <w:t>des</w:t>
      </w:r>
      <w:r w:rsidR="00771AE9" w:rsidRPr="00E357E9">
        <w:rPr>
          <w:i w:val="0"/>
          <w:color w:val="auto"/>
        </w:rPr>
        <w:t xml:space="preserve"> genres.</w:t>
      </w:r>
    </w:p>
    <w:p w14:paraId="3171899E" w14:textId="77777777" w:rsidR="004325DC" w:rsidRPr="00617049" w:rsidRDefault="00E6591E" w:rsidP="00EE1902">
      <w:pPr>
        <w:pStyle w:val="Titcoul"/>
      </w:pPr>
      <w:bookmarkStart w:id="77" w:name="_Toc238963277"/>
      <w:bookmarkStart w:id="78" w:name="_Toc241065163"/>
      <w:bookmarkStart w:id="79" w:name="_Toc301443383"/>
      <w:bookmarkStart w:id="80" w:name="_Toc321407026"/>
      <w:bookmarkStart w:id="81" w:name="_Toc354486650"/>
      <w:bookmarkStart w:id="82" w:name="_Toc354486956"/>
      <w:bookmarkStart w:id="83" w:name="_Toc247360247"/>
      <w:r w:rsidRPr="00617049">
        <w:t>9</w:t>
      </w:r>
      <w:r w:rsidR="00C10A1F" w:rsidRPr="00617049">
        <w:t>.8</w:t>
      </w:r>
      <w:bookmarkEnd w:id="77"/>
      <w:bookmarkEnd w:id="78"/>
      <w:r w:rsidR="0022235D" w:rsidRPr="00617049">
        <w:tab/>
      </w:r>
      <w:bookmarkStart w:id="84" w:name="_Toc238963278"/>
      <w:bookmarkStart w:id="85" w:name="_Toc241065164"/>
      <w:r w:rsidR="00861557" w:rsidRPr="00617049">
        <w:t xml:space="preserve">DÉvelopper </w:t>
      </w:r>
      <w:r w:rsidR="00C10A1F" w:rsidRPr="00617049">
        <w:t>des mesures de sauvegarde</w:t>
      </w:r>
      <w:bookmarkEnd w:id="79"/>
      <w:bookmarkEnd w:id="80"/>
      <w:bookmarkEnd w:id="81"/>
      <w:bookmarkEnd w:id="82"/>
      <w:bookmarkEnd w:id="83"/>
      <w:bookmarkEnd w:id="84"/>
      <w:bookmarkEnd w:id="85"/>
    </w:p>
    <w:p w14:paraId="6BB93CA6" w14:textId="77777777" w:rsidR="004325DC" w:rsidRPr="00617049" w:rsidRDefault="00C10A1F" w:rsidP="00914287">
      <w:pPr>
        <w:pStyle w:val="Texte1"/>
      </w:pPr>
      <w:r w:rsidRPr="00617049">
        <w:t>L</w:t>
      </w:r>
      <w:r w:rsidR="00A61E6D" w:rsidRPr="00617049">
        <w:t>’</w:t>
      </w:r>
      <w:r w:rsidRPr="00617049">
        <w:t xml:space="preserve">identification, la préparation et la mise en application de mesures de sauvegarde efficaces pour des éléments individuels pourraient couvrir </w:t>
      </w:r>
      <w:r w:rsidR="00350E28" w:rsidRPr="00617049">
        <w:t>la plupart, sinon la totalité d</w:t>
      </w:r>
      <w:r w:rsidRPr="00617049">
        <w:t xml:space="preserve">es actions suivantes, pas </w:t>
      </w:r>
      <w:r w:rsidR="008114BE" w:rsidRPr="00617049">
        <w:t>forcé</w:t>
      </w:r>
      <w:r w:rsidRPr="00617049">
        <w:t>ment dans l</w:t>
      </w:r>
      <w:r w:rsidR="00A61E6D" w:rsidRPr="00617049">
        <w:t>’</w:t>
      </w:r>
      <w:r w:rsidRPr="00617049">
        <w:t>ordre qui suit</w:t>
      </w:r>
      <w:r w:rsidR="00EA1FE1" w:rsidRPr="00617049">
        <w:t> :</w:t>
      </w:r>
    </w:p>
    <w:p w14:paraId="3C58ACBB" w14:textId="77777777" w:rsidR="004325DC" w:rsidRPr="00617049" w:rsidRDefault="00C10A1F" w:rsidP="00E357E9">
      <w:pPr>
        <w:pStyle w:val="Txtpucegras"/>
      </w:pPr>
      <w:r w:rsidRPr="00617049">
        <w:t>Définir qui va travailler ensemble et dresser un plan de travail initial. Si l</w:t>
      </w:r>
      <w:r w:rsidR="00A61E6D" w:rsidRPr="00617049">
        <w:t>’</w:t>
      </w:r>
      <w:r w:rsidRPr="00617049">
        <w:t>initiative ne</w:t>
      </w:r>
      <w:r w:rsidR="00545A2E" w:rsidRPr="00617049">
        <w:t xml:space="preserve"> vient pas</w:t>
      </w:r>
      <w:r w:rsidRPr="00617049">
        <w:t xml:space="preserve"> de la communauté</w:t>
      </w:r>
      <w:r w:rsidR="00545A2E" w:rsidRPr="00617049">
        <w:t xml:space="preserve"> même</w:t>
      </w:r>
      <w:r w:rsidRPr="00617049">
        <w:t>, engager dès le départ des représentants locaux et veiller à ce qu</w:t>
      </w:r>
      <w:r w:rsidR="00A61E6D" w:rsidRPr="00617049">
        <w:t>’</w:t>
      </w:r>
      <w:r w:rsidRPr="00617049">
        <w:t xml:space="preserve">ils agissent effectivement </w:t>
      </w:r>
      <w:r w:rsidR="00545A2E" w:rsidRPr="00617049">
        <w:t>en son</w:t>
      </w:r>
      <w:r w:rsidRPr="00617049">
        <w:t xml:space="preserve"> nom.</w:t>
      </w:r>
    </w:p>
    <w:p w14:paraId="30E768A9" w14:textId="77777777" w:rsidR="004325DC" w:rsidRPr="00617049" w:rsidRDefault="00C10A1F" w:rsidP="00E357E9">
      <w:pPr>
        <w:pStyle w:val="Txtpucegras"/>
      </w:pPr>
      <w:r w:rsidRPr="00617049">
        <w:t>Déterminer la viabilité actuelle de l</w:t>
      </w:r>
      <w:r w:rsidR="00A61E6D" w:rsidRPr="00617049">
        <w:t>’</w:t>
      </w:r>
      <w:r w:rsidRPr="00617049">
        <w:t>élément.</w:t>
      </w:r>
    </w:p>
    <w:p w14:paraId="38A6F65C" w14:textId="4AF958CF" w:rsidR="004325DC" w:rsidRPr="00E357E9" w:rsidRDefault="00C10A1F" w:rsidP="00E357E9">
      <w:pPr>
        <w:pStyle w:val="Txtpucegras"/>
      </w:pPr>
      <w:r w:rsidRPr="00617049">
        <w:t xml:space="preserve">Identifier toute menace </w:t>
      </w:r>
      <w:r w:rsidR="00545A2E" w:rsidRPr="00617049">
        <w:t>pesant sur</w:t>
      </w:r>
      <w:r w:rsidRPr="00617049">
        <w:t xml:space="preserve"> la viabilité de </w:t>
      </w:r>
      <w:r w:rsidRPr="00E357E9">
        <w:t>l</w:t>
      </w:r>
      <w:r w:rsidR="00A61E6D" w:rsidRPr="00E357E9">
        <w:t>’</w:t>
      </w:r>
      <w:r w:rsidRPr="00E357E9">
        <w:t>élément</w:t>
      </w:r>
      <w:r w:rsidR="00460B29" w:rsidRPr="00E357E9">
        <w:t xml:space="preserve"> (voir également le PE 10)</w:t>
      </w:r>
      <w:r w:rsidRPr="00E357E9">
        <w:t>.</w:t>
      </w:r>
    </w:p>
    <w:p w14:paraId="7845EE87" w14:textId="11007A4A" w:rsidR="004325DC" w:rsidRPr="00E357E9" w:rsidRDefault="00C10A1F" w:rsidP="00E357E9">
      <w:pPr>
        <w:pStyle w:val="Txtpucegras"/>
      </w:pPr>
      <w:r w:rsidRPr="00E357E9">
        <w:t>Identifier tout risque futur pour la viabilité de l</w:t>
      </w:r>
      <w:r w:rsidR="00A61E6D" w:rsidRPr="00E357E9">
        <w:t>’</w:t>
      </w:r>
      <w:r w:rsidRPr="00E357E9">
        <w:t>élément</w:t>
      </w:r>
      <w:r w:rsidR="001E335F" w:rsidRPr="00E357E9">
        <w:t xml:space="preserve"> (voir également le PE 9)</w:t>
      </w:r>
      <w:r w:rsidRPr="00E357E9">
        <w:t>.</w:t>
      </w:r>
    </w:p>
    <w:p w14:paraId="2DDC9958" w14:textId="77777777" w:rsidR="004325DC" w:rsidRDefault="00C10A1F" w:rsidP="00E357E9">
      <w:pPr>
        <w:pStyle w:val="Txtpucegras"/>
      </w:pPr>
      <w:r w:rsidRPr="00617049">
        <w:t xml:space="preserve">Identifier et évaluer les mesures de sauvegarde </w:t>
      </w:r>
      <w:r w:rsidR="00545A2E" w:rsidRPr="00617049">
        <w:t>précédent</w:t>
      </w:r>
      <w:r w:rsidRPr="00617049">
        <w:t xml:space="preserve">es et </w:t>
      </w:r>
      <w:r w:rsidR="00545A2E" w:rsidRPr="00617049">
        <w:t>en cour</w:t>
      </w:r>
      <w:r w:rsidRPr="00617049">
        <w:t>s (</w:t>
      </w:r>
      <w:r w:rsidR="00545A2E" w:rsidRPr="00617049">
        <w:t>s’il y a lieu</w:t>
      </w:r>
      <w:r w:rsidRPr="00617049">
        <w:t>).</w:t>
      </w:r>
    </w:p>
    <w:p w14:paraId="7855C17D" w14:textId="38B46F06" w:rsidR="00827C93" w:rsidRPr="00827C93" w:rsidRDefault="00827C93" w:rsidP="00E357E9">
      <w:pPr>
        <w:pStyle w:val="Txtpucegras"/>
      </w:pPr>
      <w:r w:rsidRPr="00827C93">
        <w:t>Adopter une approche prenant en compte les sexospécificités en matière de mesures de sauvegarde.</w:t>
      </w:r>
    </w:p>
    <w:p w14:paraId="02F398D1" w14:textId="77777777" w:rsidR="004325DC" w:rsidRPr="00617049" w:rsidRDefault="00C10A1F" w:rsidP="00E357E9">
      <w:pPr>
        <w:pStyle w:val="Txtpucegras"/>
      </w:pPr>
      <w:r w:rsidRPr="00617049">
        <w:lastRenderedPageBreak/>
        <w:t>I</w:t>
      </w:r>
      <w:r w:rsidR="00545A2E" w:rsidRPr="00617049">
        <w:t>nformer la communauté concernée</w:t>
      </w:r>
      <w:r w:rsidRPr="00617049">
        <w:t xml:space="preserve"> en </w:t>
      </w:r>
      <w:r w:rsidR="00545A2E" w:rsidRPr="00617049">
        <w:t>utilisant</w:t>
      </w:r>
      <w:r w:rsidRPr="00617049">
        <w:t xml:space="preserve"> des moyens qui sont adaptés à la situation. Le cas échéant, informer les autres communautés.</w:t>
      </w:r>
    </w:p>
    <w:p w14:paraId="563A4737" w14:textId="77777777" w:rsidR="004325DC" w:rsidRPr="00617049" w:rsidRDefault="00C10A1F" w:rsidP="00E357E9">
      <w:pPr>
        <w:pStyle w:val="Txtpucegras"/>
      </w:pPr>
      <w:r w:rsidRPr="00617049">
        <w:t xml:space="preserve">Déterminer la mobilisation au sein de la communauté concernée </w:t>
      </w:r>
      <w:r w:rsidR="000401DB" w:rsidRPr="00617049">
        <w:t>comme</w:t>
      </w:r>
      <w:r w:rsidRPr="00617049">
        <w:t xml:space="preserve"> à l</w:t>
      </w:r>
      <w:r w:rsidR="00A61E6D" w:rsidRPr="00617049">
        <w:t>’</w:t>
      </w:r>
      <w:r w:rsidRPr="00617049">
        <w:t>extérieur</w:t>
      </w:r>
      <w:r w:rsidR="000401DB" w:rsidRPr="00617049">
        <w:t>,</w:t>
      </w:r>
      <w:r w:rsidRPr="00617049">
        <w:t xml:space="preserve"> en faveur de la sauvegarde de l</w:t>
      </w:r>
      <w:r w:rsidR="00A61E6D" w:rsidRPr="00617049">
        <w:t>’</w:t>
      </w:r>
      <w:r w:rsidRPr="00617049">
        <w:t>élément.</w:t>
      </w:r>
    </w:p>
    <w:p w14:paraId="14CAF927" w14:textId="77777777" w:rsidR="004325DC" w:rsidRPr="00617049" w:rsidRDefault="00C10A1F" w:rsidP="00E357E9">
      <w:pPr>
        <w:pStyle w:val="Txtpucegras"/>
      </w:pPr>
      <w:r w:rsidRPr="00617049">
        <w:t xml:space="preserve">Le cas échéant, identifier ou créer une structure qui coordonnera la mise en œuvre des mesures </w:t>
      </w:r>
      <w:r w:rsidR="00BB70F2" w:rsidRPr="00617049">
        <w:t>– </w:t>
      </w:r>
      <w:r w:rsidRPr="00617049">
        <w:t>avec l</w:t>
      </w:r>
      <w:r w:rsidR="000401DB" w:rsidRPr="00617049">
        <w:t>a participation</w:t>
      </w:r>
      <w:r w:rsidRPr="00617049">
        <w:t xml:space="preserve"> de membres de la communauté.</w:t>
      </w:r>
    </w:p>
    <w:p w14:paraId="49C5146D" w14:textId="77777777" w:rsidR="004325DC" w:rsidRPr="00617049" w:rsidRDefault="00C10A1F" w:rsidP="00E357E9">
      <w:pPr>
        <w:pStyle w:val="Txtpucegras"/>
      </w:pPr>
      <w:r w:rsidRPr="00617049">
        <w:t>Classer les mesures de sauvegarde par ordre de priorité et de coût.</w:t>
      </w:r>
    </w:p>
    <w:p w14:paraId="28AD6979" w14:textId="44ADB12C" w:rsidR="004325DC" w:rsidRPr="00E357E9" w:rsidRDefault="00C10A1F" w:rsidP="00E357E9">
      <w:pPr>
        <w:pStyle w:val="Txtpucegras"/>
      </w:pPr>
      <w:r w:rsidRPr="00617049">
        <w:t xml:space="preserve">Obtenir le </w:t>
      </w:r>
      <w:r w:rsidRPr="00E357E9">
        <w:t>consentement</w:t>
      </w:r>
      <w:r w:rsidR="00333AA4" w:rsidRPr="00E357E9">
        <w:t xml:space="preserve"> </w:t>
      </w:r>
      <w:r w:rsidR="00333AA4" w:rsidRPr="00E357E9">
        <w:rPr>
          <w:bCs/>
        </w:rPr>
        <w:t>libre, préalable et éclairé et, le cas échéant, durable,</w:t>
      </w:r>
      <w:r w:rsidR="00333AA4" w:rsidRPr="00E357E9">
        <w:t xml:space="preserve"> </w:t>
      </w:r>
      <w:r w:rsidRPr="00E357E9">
        <w:t>de la communauté à la mise en œuvre des mesures de sauvegarde</w:t>
      </w:r>
      <w:r w:rsidR="00333AA4" w:rsidRPr="00E357E9">
        <w:t xml:space="preserve"> (voir le PE 4)</w:t>
      </w:r>
      <w:r w:rsidRPr="00E357E9">
        <w:t>.</w:t>
      </w:r>
    </w:p>
    <w:p w14:paraId="1FB41290" w14:textId="77777777" w:rsidR="004325DC" w:rsidRPr="00E357E9" w:rsidRDefault="00C10A1F" w:rsidP="00E357E9">
      <w:pPr>
        <w:pStyle w:val="Txtpucegras"/>
      </w:pPr>
      <w:r w:rsidRPr="00E357E9">
        <w:t>Trouver des ressources (humaines et matérielles) pour mettre en œuvre les mesures de sauvegarde.</w:t>
      </w:r>
    </w:p>
    <w:p w14:paraId="5A38DC5A" w14:textId="77777777" w:rsidR="004325DC" w:rsidRPr="00E357E9" w:rsidRDefault="00C10A1F" w:rsidP="00E357E9">
      <w:pPr>
        <w:pStyle w:val="Txtpucegras"/>
      </w:pPr>
      <w:r w:rsidRPr="00E357E9">
        <w:t>Mettre en œuvre les mesures de sauvegarde.</w:t>
      </w:r>
    </w:p>
    <w:p w14:paraId="526A51D2" w14:textId="77777777" w:rsidR="004325DC" w:rsidRPr="00E357E9" w:rsidRDefault="00C10A1F" w:rsidP="00E357E9">
      <w:pPr>
        <w:pStyle w:val="Txtpucegras"/>
      </w:pPr>
      <w:r w:rsidRPr="00E357E9">
        <w:t>Surveiller et évaluer l</w:t>
      </w:r>
      <w:r w:rsidR="00A61E6D" w:rsidRPr="00E357E9">
        <w:t>’</w:t>
      </w:r>
      <w:r w:rsidRPr="00E357E9">
        <w:t>impact des mesures de sauvegarde.</w:t>
      </w:r>
    </w:p>
    <w:p w14:paraId="53D1B90F" w14:textId="1E8794E2" w:rsidR="004325DC" w:rsidRPr="00E357E9" w:rsidRDefault="00C10A1F" w:rsidP="00E357E9">
      <w:pPr>
        <w:pStyle w:val="Txtpucegras"/>
      </w:pPr>
      <w:r w:rsidRPr="00E357E9">
        <w:t>Le cas échéant, ajuster les mesures de sauvegarde</w:t>
      </w:r>
      <w:r w:rsidR="001647AA" w:rsidRPr="00E357E9">
        <w:t xml:space="preserve"> (voir le PE 4)</w:t>
      </w:r>
      <w:r w:rsidRPr="00E357E9">
        <w:t>.</w:t>
      </w:r>
    </w:p>
    <w:p w14:paraId="2FB55123" w14:textId="77777777" w:rsidR="004325DC" w:rsidRPr="00686CA9" w:rsidRDefault="00E6591E" w:rsidP="00914287">
      <w:pPr>
        <w:pStyle w:val="Informations"/>
        <w:rPr>
          <w:i w:val="0"/>
          <w:color w:val="auto"/>
        </w:rPr>
      </w:pPr>
      <w:r w:rsidRPr="00686CA9">
        <w:rPr>
          <w:i w:val="0"/>
          <w:color w:val="auto"/>
        </w:rPr>
        <w:t xml:space="preserve">Les </w:t>
      </w:r>
      <w:r w:rsidR="00D65E8C" w:rsidRPr="00686CA9">
        <w:rPr>
          <w:i w:val="0"/>
          <w:color w:val="auto"/>
        </w:rPr>
        <w:t xml:space="preserve">Études </w:t>
      </w:r>
      <w:r w:rsidR="00C10A1F" w:rsidRPr="00686CA9">
        <w:rPr>
          <w:i w:val="0"/>
          <w:color w:val="auto"/>
        </w:rPr>
        <w:t>de cas 22</w:t>
      </w:r>
      <w:r w:rsidR="00D20837" w:rsidRPr="00686CA9">
        <w:rPr>
          <w:i w:val="0"/>
          <w:color w:val="auto"/>
        </w:rPr>
        <w:t>-</w:t>
      </w:r>
      <w:r w:rsidR="00AB413E" w:rsidRPr="00686CA9">
        <w:rPr>
          <w:i w:val="0"/>
          <w:color w:val="auto"/>
        </w:rPr>
        <w:t>27</w:t>
      </w:r>
      <w:r w:rsidR="00C10A1F" w:rsidRPr="00686CA9">
        <w:rPr>
          <w:i w:val="0"/>
          <w:color w:val="auto"/>
        </w:rPr>
        <w:t xml:space="preserve"> </w:t>
      </w:r>
      <w:r w:rsidR="00D20837" w:rsidRPr="00686CA9">
        <w:rPr>
          <w:i w:val="0"/>
          <w:color w:val="auto"/>
        </w:rPr>
        <w:t>donnent des</w:t>
      </w:r>
      <w:r w:rsidR="00C10A1F" w:rsidRPr="00686CA9">
        <w:rPr>
          <w:i w:val="0"/>
          <w:color w:val="auto"/>
        </w:rPr>
        <w:t xml:space="preserve"> exemples </w:t>
      </w:r>
      <w:r w:rsidR="00D20837" w:rsidRPr="00686CA9">
        <w:rPr>
          <w:i w:val="0"/>
          <w:color w:val="auto"/>
        </w:rPr>
        <w:t xml:space="preserve">variés </w:t>
      </w:r>
      <w:r w:rsidR="00C10A1F" w:rsidRPr="00686CA9">
        <w:rPr>
          <w:i w:val="0"/>
          <w:color w:val="auto"/>
        </w:rPr>
        <w:t xml:space="preserve">de mesures de sauvegarde </w:t>
      </w:r>
      <w:r w:rsidR="00D20837" w:rsidRPr="00686CA9">
        <w:rPr>
          <w:i w:val="0"/>
          <w:color w:val="auto"/>
        </w:rPr>
        <w:t>élabor</w:t>
      </w:r>
      <w:r w:rsidR="00C10A1F" w:rsidRPr="00686CA9">
        <w:rPr>
          <w:i w:val="0"/>
          <w:color w:val="auto"/>
        </w:rPr>
        <w:t>ées et/ou mises en œuvre pour des éléments du PCI</w:t>
      </w:r>
      <w:r w:rsidR="00EA1FE1" w:rsidRPr="00686CA9">
        <w:rPr>
          <w:i w:val="0"/>
          <w:color w:val="auto"/>
        </w:rPr>
        <w:t> ;</w:t>
      </w:r>
      <w:r w:rsidR="00C10A1F" w:rsidRPr="00686CA9">
        <w:rPr>
          <w:i w:val="0"/>
          <w:color w:val="auto"/>
        </w:rPr>
        <w:t xml:space="preserve"> tout ou partie de ces éléments sont inscrits sur une Liste de la Convention.</w:t>
      </w:r>
    </w:p>
    <w:sectPr w:rsidR="004325DC" w:rsidRPr="00686CA9" w:rsidSect="00A41931">
      <w:headerReference w:type="even" r:id="rId14"/>
      <w:headerReference w:type="default" r:id="rId15"/>
      <w:footerReference w:type="even" r:id="rId16"/>
      <w:footerReference w:type="default" r:id="rId17"/>
      <w:headerReference w:type="first" r:id="rId18"/>
      <w:footerReference w:type="first" r:id="rId19"/>
      <w:footnotePr>
        <w:numRestart w:val="eachSect"/>
      </w:footnotePr>
      <w:type w:val="oddPage"/>
      <w:pgSz w:w="11900" w:h="16840"/>
      <w:pgMar w:top="1701" w:right="1531" w:bottom="1701" w:left="1531"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D19683" w14:textId="77777777" w:rsidR="00AC654C" w:rsidRDefault="00AC654C" w:rsidP="000F4C6A">
      <w:r>
        <w:separator/>
      </w:r>
    </w:p>
    <w:p w14:paraId="1487FFA7" w14:textId="77777777" w:rsidR="00AC654C" w:rsidRDefault="00AC654C"/>
    <w:p w14:paraId="406757E6" w14:textId="77777777" w:rsidR="00AC654C" w:rsidRDefault="00AC654C"/>
  </w:endnote>
  <w:endnote w:type="continuationSeparator" w:id="0">
    <w:p w14:paraId="471B0B94" w14:textId="77777777" w:rsidR="00AC654C" w:rsidRDefault="00AC654C" w:rsidP="000F4C6A">
      <w:r>
        <w:continuationSeparator/>
      </w:r>
    </w:p>
    <w:p w14:paraId="73980720" w14:textId="77777777" w:rsidR="00AC654C" w:rsidRDefault="00AC654C"/>
    <w:p w14:paraId="2A565914" w14:textId="77777777" w:rsidR="00AC654C" w:rsidRDefault="00AC65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Courier New"/>
    <w:charset w:val="00"/>
    <w:family w:val="auto"/>
    <w:pitch w:val="variable"/>
    <w:sig w:usb0="00000000" w:usb1="5000A1FF" w:usb2="00000000" w:usb3="00000000" w:csb0="000001BF" w:csb1="00000000"/>
  </w:font>
  <w:font w:name="Arial Gras">
    <w:altName w:val="Arial"/>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DCD4D" w14:textId="6671786F" w:rsidR="008B2015" w:rsidRDefault="009E06A6" w:rsidP="00A31863">
    <w:pPr>
      <w:pStyle w:val="Footer"/>
    </w:pPr>
    <w:r>
      <w:rPr>
        <w:noProof/>
        <w:lang w:eastAsia="zh-TW"/>
      </w:rPr>
      <w:drawing>
        <wp:anchor distT="0" distB="0" distL="114300" distR="114300" simplePos="0" relativeHeight="252011520" behindDoc="0" locked="0" layoutInCell="1" allowOverlap="1" wp14:anchorId="2A261C2F" wp14:editId="3387FB93">
          <wp:simplePos x="0" y="0"/>
          <wp:positionH relativeFrom="column">
            <wp:posOffset>2533650</wp:posOffset>
          </wp:positionH>
          <wp:positionV relativeFrom="paragraph">
            <wp:posOffset>9525</wp:posOffset>
          </wp:positionV>
          <wp:extent cx="542925" cy="190500"/>
          <wp:effectExtent l="0" t="0" r="9525" b="0"/>
          <wp:wrapTopAndBottom/>
          <wp:docPr id="7" name="Picture 7"/>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1D6712">
      <w:rPr>
        <w:noProof/>
        <w:snapToGrid/>
        <w:lang w:eastAsia="zh-TW"/>
      </w:rPr>
      <w:drawing>
        <wp:anchor distT="0" distB="0" distL="114300" distR="114300" simplePos="0" relativeHeight="251999232" behindDoc="0" locked="0" layoutInCell="1" allowOverlap="1" wp14:anchorId="3188E305" wp14:editId="2C012B48">
          <wp:simplePos x="0" y="0"/>
          <wp:positionH relativeFrom="margin">
            <wp:align>left</wp:align>
          </wp:positionH>
          <wp:positionV relativeFrom="paragraph">
            <wp:posOffset>-288925</wp:posOffset>
          </wp:positionV>
          <wp:extent cx="839478" cy="63024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f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39478" cy="630244"/>
                  </a:xfrm>
                  <a:prstGeom prst="rect">
                    <a:avLst/>
                  </a:prstGeom>
                </pic:spPr>
              </pic:pic>
            </a:graphicData>
          </a:graphic>
          <wp14:sizeRelH relativeFrom="page">
            <wp14:pctWidth>0</wp14:pctWidth>
          </wp14:sizeRelH>
          <wp14:sizeRelV relativeFrom="page">
            <wp14:pctHeight>0</wp14:pctHeight>
          </wp14:sizeRelV>
        </wp:anchor>
      </w:drawing>
    </w:r>
    <w:r w:rsidR="008B2015">
      <w:tab/>
    </w:r>
    <w:r w:rsidR="00ED75D0">
      <w:tab/>
      <w:t>U009-v1.</w:t>
    </w:r>
    <w:r w:rsidR="00DF4B8C">
      <w:t>2</w:t>
    </w:r>
    <w:r w:rsidR="008B2015">
      <w:t>-PT-FR</w:t>
    </w:r>
    <w:r w:rsidR="008B2015" w:rsidRPr="00BA76B0" w:rsidDel="00D80F71">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956F6" w14:textId="6CA308B6" w:rsidR="008B2015" w:rsidRPr="00A21469" w:rsidRDefault="009E06A6" w:rsidP="00A21469">
    <w:pPr>
      <w:pStyle w:val="Footer"/>
      <w:tabs>
        <w:tab w:val="left" w:pos="2600"/>
      </w:tabs>
      <w:rPr>
        <w:sz w:val="20"/>
      </w:rPr>
    </w:pPr>
    <w:r>
      <w:rPr>
        <w:noProof/>
        <w:lang w:eastAsia="zh-TW"/>
      </w:rPr>
      <w:drawing>
        <wp:anchor distT="0" distB="0" distL="114300" distR="114300" simplePos="0" relativeHeight="252013568" behindDoc="0" locked="0" layoutInCell="1" allowOverlap="1" wp14:anchorId="45922A20" wp14:editId="34AB53F1">
          <wp:simplePos x="0" y="0"/>
          <wp:positionH relativeFrom="column">
            <wp:posOffset>2533650</wp:posOffset>
          </wp:positionH>
          <wp:positionV relativeFrom="paragraph">
            <wp:posOffset>9525</wp:posOffset>
          </wp:positionV>
          <wp:extent cx="542925" cy="190500"/>
          <wp:effectExtent l="0" t="0" r="9525" b="0"/>
          <wp:wrapTopAndBottom/>
          <wp:docPr id="8" name="Picture 8"/>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1D6712">
      <w:rPr>
        <w:noProof/>
        <w:snapToGrid/>
        <w:lang w:eastAsia="zh-TW"/>
      </w:rPr>
      <w:drawing>
        <wp:anchor distT="0" distB="0" distL="114300" distR="114300" simplePos="0" relativeHeight="252001280" behindDoc="0" locked="0" layoutInCell="1" allowOverlap="1" wp14:anchorId="4428B6DA" wp14:editId="7DF9BF0F">
          <wp:simplePos x="0" y="0"/>
          <wp:positionH relativeFrom="margin">
            <wp:posOffset>4928870</wp:posOffset>
          </wp:positionH>
          <wp:positionV relativeFrom="paragraph">
            <wp:posOffset>-288925</wp:posOffset>
          </wp:positionV>
          <wp:extent cx="839470" cy="6299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f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39470" cy="629920"/>
                  </a:xfrm>
                  <a:prstGeom prst="rect">
                    <a:avLst/>
                  </a:prstGeom>
                </pic:spPr>
              </pic:pic>
            </a:graphicData>
          </a:graphic>
          <wp14:sizeRelH relativeFrom="page">
            <wp14:pctWidth>0</wp14:pctWidth>
          </wp14:sizeRelH>
          <wp14:sizeRelV relativeFrom="page">
            <wp14:pctHeight>0</wp14:pctHeight>
          </wp14:sizeRelV>
        </wp:anchor>
      </w:drawing>
    </w:r>
    <w:r w:rsidR="00ED75D0">
      <w:t>U009-v1.</w:t>
    </w:r>
    <w:r w:rsidR="00DF4B8C">
      <w:t>2</w:t>
    </w:r>
    <w:r w:rsidR="008B2015">
      <w:t>-PT-FR</w:t>
    </w:r>
    <w:r w:rsidR="008B2015">
      <w:tab/>
    </w:r>
    <w:r w:rsidR="002856D1">
      <w:tab/>
    </w:r>
    <w:r w:rsidR="008B2015">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40B3B" w14:textId="50179E36" w:rsidR="008B2015" w:rsidRPr="00150FFB" w:rsidRDefault="009E06A6" w:rsidP="009633A3">
    <w:pPr>
      <w:pStyle w:val="Footer"/>
      <w:tabs>
        <w:tab w:val="left" w:pos="2600"/>
      </w:tabs>
      <w:rPr>
        <w:sz w:val="20"/>
      </w:rPr>
    </w:pPr>
    <w:r>
      <w:rPr>
        <w:noProof/>
        <w:lang w:eastAsia="zh-TW"/>
      </w:rPr>
      <w:drawing>
        <wp:anchor distT="0" distB="0" distL="114300" distR="114300" simplePos="0" relativeHeight="252009472" behindDoc="0" locked="0" layoutInCell="1" allowOverlap="1" wp14:anchorId="351D53C9" wp14:editId="29E1201A">
          <wp:simplePos x="0" y="0"/>
          <wp:positionH relativeFrom="column">
            <wp:posOffset>2533650</wp:posOffset>
          </wp:positionH>
          <wp:positionV relativeFrom="paragraph">
            <wp:posOffset>9525</wp:posOffset>
          </wp:positionV>
          <wp:extent cx="542925" cy="190500"/>
          <wp:effectExtent l="0" t="0" r="9525" b="0"/>
          <wp:wrapTopAndBottom/>
          <wp:docPr id="17" name="Picture 17"/>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1D6712">
      <w:rPr>
        <w:noProof/>
        <w:snapToGrid/>
        <w:lang w:eastAsia="zh-TW"/>
      </w:rPr>
      <w:drawing>
        <wp:anchor distT="0" distB="0" distL="114300" distR="114300" simplePos="0" relativeHeight="251997184" behindDoc="0" locked="0" layoutInCell="1" allowOverlap="1" wp14:anchorId="1745F1FB" wp14:editId="770690C6">
          <wp:simplePos x="0" y="0"/>
          <wp:positionH relativeFrom="margin">
            <wp:align>right</wp:align>
          </wp:positionH>
          <wp:positionV relativeFrom="paragraph">
            <wp:posOffset>-288925</wp:posOffset>
          </wp:positionV>
          <wp:extent cx="839470" cy="6299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f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39470" cy="629920"/>
                  </a:xfrm>
                  <a:prstGeom prst="rect">
                    <a:avLst/>
                  </a:prstGeom>
                </pic:spPr>
              </pic:pic>
            </a:graphicData>
          </a:graphic>
          <wp14:sizeRelH relativeFrom="page">
            <wp14:pctWidth>0</wp14:pctWidth>
          </wp14:sizeRelH>
          <wp14:sizeRelV relativeFrom="page">
            <wp14:pctHeight>0</wp14:pctHeight>
          </wp14:sizeRelV>
        </wp:anchor>
      </w:drawing>
    </w:r>
    <w:r w:rsidR="00ED75D0">
      <w:t>U009-v1.</w:t>
    </w:r>
    <w:r w:rsidR="00DF4B8C">
      <w:t>2</w:t>
    </w:r>
    <w:r w:rsidR="008B2015">
      <w:t>-PT-FR</w:t>
    </w:r>
    <w:r w:rsidR="008B2015">
      <w:tab/>
    </w:r>
    <w:r w:rsidR="002856D1">
      <w:tab/>
    </w:r>
    <w:r w:rsidR="008B2015">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C90C8B" w14:textId="77777777" w:rsidR="00AC654C" w:rsidRDefault="00AC654C" w:rsidP="00150FFB">
      <w:pPr>
        <w:spacing w:after="60"/>
        <w:ind w:left="0"/>
      </w:pPr>
      <w:r>
        <w:separator/>
      </w:r>
    </w:p>
  </w:footnote>
  <w:footnote w:type="continuationSeparator" w:id="0">
    <w:p w14:paraId="10BD2A6E" w14:textId="77777777" w:rsidR="00AC654C" w:rsidRDefault="00AC654C" w:rsidP="000F4C6A">
      <w:r>
        <w:continuationSeparator/>
      </w:r>
    </w:p>
    <w:p w14:paraId="441172C9" w14:textId="77777777" w:rsidR="00AC654C" w:rsidRDefault="00AC654C"/>
    <w:p w14:paraId="6C6D6507" w14:textId="77777777" w:rsidR="00AC654C" w:rsidRDefault="00AC654C"/>
  </w:footnote>
  <w:footnote w:id="1">
    <w:p w14:paraId="2DEA99A2" w14:textId="77777777" w:rsidR="008B2015" w:rsidRDefault="008B2015">
      <w:pPr>
        <w:pStyle w:val="FootnoteText"/>
      </w:pPr>
      <w:r w:rsidRPr="00E067A0">
        <w:rPr>
          <w:rStyle w:val="FootnoteReference"/>
          <w:sz w:val="16"/>
          <w:szCs w:val="16"/>
          <w:vertAlign w:val="baseline"/>
        </w:rPr>
        <w:footnoteRef/>
      </w:r>
      <w:r>
        <w:rPr>
          <w:szCs w:val="16"/>
        </w:rPr>
        <w:t>.</w:t>
      </w:r>
      <w:r>
        <w:rPr>
          <w:szCs w:val="16"/>
        </w:rPr>
        <w:tab/>
        <w:t>Fréquemment ap</w:t>
      </w:r>
      <w:r>
        <w:rPr>
          <w:rStyle w:val="hps"/>
        </w:rPr>
        <w:t>pelée « Convention du patrimoine</w:t>
      </w:r>
      <w:r>
        <w:t xml:space="preserve"> culturel </w:t>
      </w:r>
      <w:r>
        <w:rPr>
          <w:rStyle w:val="hps"/>
        </w:rPr>
        <w:t>immatériel », « Convention de 2003 » et</w:t>
      </w:r>
      <w:r>
        <w:t xml:space="preserve">, aux fins </w:t>
      </w:r>
      <w:r>
        <w:rPr>
          <w:rStyle w:val="hps"/>
        </w:rPr>
        <w:t>de la présente unité</w:t>
      </w:r>
      <w:r>
        <w:t>, dite</w:t>
      </w:r>
      <w:r>
        <w:rPr>
          <w:rStyle w:val="hps"/>
        </w:rPr>
        <w:t xml:space="preserve"> simplement « la Convention »</w:t>
      </w:r>
      <w:r>
        <w:t>.</w:t>
      </w:r>
    </w:p>
  </w:footnote>
  <w:footnote w:id="2">
    <w:p w14:paraId="1C14B64B" w14:textId="77777777" w:rsidR="008B2015" w:rsidRDefault="008B2015">
      <w:pPr>
        <w:pStyle w:val="FootnoteText"/>
      </w:pPr>
      <w:r w:rsidRPr="00641762">
        <w:rPr>
          <w:rStyle w:val="FootnoteReference"/>
          <w:sz w:val="16"/>
          <w:szCs w:val="16"/>
          <w:vertAlign w:val="baseline"/>
        </w:rPr>
        <w:footnoteRef/>
      </w:r>
      <w:r>
        <w:rPr>
          <w:szCs w:val="16"/>
        </w:rPr>
        <w:t>.</w:t>
      </w:r>
      <w:r>
        <w:rPr>
          <w:szCs w:val="16"/>
        </w:rPr>
        <w:tab/>
      </w:r>
      <w:r w:rsidRPr="008A7E01">
        <w:rPr>
          <w:i/>
        </w:rPr>
        <w:t>Intangible Heritage Messenger</w:t>
      </w:r>
      <w:r w:rsidR="005151FE">
        <w:t>, 2007, No. 6</w:t>
      </w:r>
      <w:r w:rsidRPr="008A7E01">
        <w:t xml:space="preserve">, mai. </w:t>
      </w:r>
      <w:r>
        <w:t>Disponible à</w:t>
      </w:r>
      <w:r w:rsidRPr="008A7E01">
        <w:t> :</w:t>
      </w:r>
      <w:r>
        <w:tab/>
      </w:r>
      <w:r>
        <w:br/>
      </w:r>
      <w:hyperlink r:id="rId1" w:history="1">
        <w:r w:rsidRPr="003B2E5B">
          <w:rPr>
            <w:rStyle w:val="Hyperlink"/>
          </w:rPr>
          <w:t>http://unesdoc.unesco.org/images/0015/001506/150671f.pdf</w:t>
        </w:r>
      </w:hyperlink>
    </w:p>
  </w:footnote>
  <w:footnote w:id="3">
    <w:p w14:paraId="61A217F0" w14:textId="77777777" w:rsidR="008B2015" w:rsidRPr="00D07828" w:rsidRDefault="008B2015" w:rsidP="008D4319">
      <w:pPr>
        <w:pStyle w:val="FootnoteText"/>
      </w:pPr>
      <w:r w:rsidRPr="00D57EC4">
        <w:rPr>
          <w:szCs w:val="14"/>
        </w:rPr>
        <w:footnoteRef/>
      </w:r>
      <w:r>
        <w:rPr>
          <w:szCs w:val="14"/>
        </w:rPr>
        <w:t>.</w:t>
      </w:r>
      <w:r>
        <w:rPr>
          <w:szCs w:val="14"/>
        </w:rPr>
        <w:tab/>
      </w:r>
      <w:r w:rsidRPr="00FC15EB">
        <w:t xml:space="preserve">Dossier de candidature du </w:t>
      </w:r>
      <w:r w:rsidRPr="009D7B2E">
        <w:rPr>
          <w:noProof/>
        </w:rPr>
        <w:t xml:space="preserve">Batik, site Web </w:t>
      </w:r>
      <w:r w:rsidR="00EA46CA">
        <w:rPr>
          <w:noProof/>
        </w:rPr>
        <w:t>du PCI</w:t>
      </w:r>
      <w:r w:rsidRPr="009D7B2E">
        <w:rPr>
          <w:noProof/>
        </w:rPr>
        <w:t xml:space="preserve">. Voir aussi L. Lowthorp, 2010, </w:t>
      </w:r>
      <w:r w:rsidRPr="009D7B2E">
        <w:rPr>
          <w:i/>
          <w:noProof/>
        </w:rPr>
        <w:t>National Intangible Cultural Heritage (ICH) Legislation and Initiatives</w:t>
      </w:r>
      <w:r w:rsidRPr="009D7B2E">
        <w:rPr>
          <w:noProof/>
        </w:rPr>
        <w:t>, Bureau de l’UNESCO à New Delhi, p. 20</w:t>
      </w:r>
      <w:r w:rsidRPr="00D07828">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B4382" w14:textId="14F25B2D" w:rsidR="008B2015" w:rsidRPr="00603A8C" w:rsidRDefault="00FE2226" w:rsidP="00150FFB">
    <w:pPr>
      <w:pStyle w:val="Header"/>
      <w:rPr>
        <w:lang w:val="fr-FR"/>
      </w:rPr>
    </w:pPr>
    <w:r>
      <w:rPr>
        <w:rStyle w:val="PageNumber"/>
      </w:rPr>
      <w:fldChar w:fldCharType="begin"/>
    </w:r>
    <w:r w:rsidR="008B2015" w:rsidRPr="00603A8C">
      <w:rPr>
        <w:rStyle w:val="PageNumber"/>
        <w:lang w:val="fr-FR"/>
      </w:rPr>
      <w:instrText xml:space="preserve"> PAGE </w:instrText>
    </w:r>
    <w:r>
      <w:rPr>
        <w:rStyle w:val="PageNumber"/>
      </w:rPr>
      <w:fldChar w:fldCharType="separate"/>
    </w:r>
    <w:r w:rsidR="00701455">
      <w:rPr>
        <w:rStyle w:val="PageNumber"/>
        <w:noProof/>
        <w:lang w:val="fr-FR"/>
      </w:rPr>
      <w:t>2</w:t>
    </w:r>
    <w:r>
      <w:rPr>
        <w:rStyle w:val="PageNumber"/>
      </w:rPr>
      <w:fldChar w:fldCharType="end"/>
    </w:r>
    <w:r w:rsidR="008B2015" w:rsidRPr="00603A8C">
      <w:rPr>
        <w:lang w:val="fr-FR"/>
      </w:rPr>
      <w:tab/>
    </w:r>
    <w:r w:rsidR="008B2015">
      <w:t>Unité 9 : Sauvegarde</w:t>
    </w:r>
    <w:r w:rsidR="008B2015">
      <w:rPr>
        <w:lang w:val="fr-FR"/>
      </w:rPr>
      <w:tab/>
    </w:r>
    <w:r w:rsidR="008B2015" w:rsidRPr="00603A8C">
      <w:rPr>
        <w:lang w:val="fr-FR"/>
      </w:rPr>
      <w:t>Texte du participant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57B88" w14:textId="6BA1EAE2" w:rsidR="008B2015" w:rsidRPr="00603A8C" w:rsidRDefault="008B2015" w:rsidP="00150FFB">
    <w:pPr>
      <w:pStyle w:val="Header"/>
      <w:rPr>
        <w:lang w:val="fr-FR"/>
      </w:rPr>
    </w:pPr>
    <w:r w:rsidRPr="00603A8C">
      <w:rPr>
        <w:lang w:val="fr-FR"/>
      </w:rPr>
      <w:t>Texte du participant</w:t>
    </w:r>
    <w:r w:rsidRPr="00603A8C">
      <w:rPr>
        <w:lang w:val="fr-FR"/>
      </w:rPr>
      <w:tab/>
    </w:r>
    <w:r>
      <w:t>Unité 9 : Sauvegarde</w:t>
    </w:r>
    <w:r w:rsidRPr="00603A8C">
      <w:rPr>
        <w:lang w:val="fr-FR"/>
      </w:rPr>
      <w:tab/>
    </w:r>
    <w:r w:rsidR="00FE2226">
      <w:rPr>
        <w:rStyle w:val="PageNumber"/>
      </w:rPr>
      <w:fldChar w:fldCharType="begin"/>
    </w:r>
    <w:r w:rsidRPr="00603A8C">
      <w:rPr>
        <w:rStyle w:val="PageNumber"/>
        <w:lang w:val="fr-FR"/>
      </w:rPr>
      <w:instrText xml:space="preserve"> PAGE </w:instrText>
    </w:r>
    <w:r w:rsidR="00FE2226">
      <w:rPr>
        <w:rStyle w:val="PageNumber"/>
      </w:rPr>
      <w:fldChar w:fldCharType="separate"/>
    </w:r>
    <w:r w:rsidR="00701455">
      <w:rPr>
        <w:rStyle w:val="PageNumber"/>
        <w:noProof/>
        <w:lang w:val="fr-FR"/>
      </w:rPr>
      <w:t>3</w:t>
    </w:r>
    <w:r w:rsidR="00FE2226">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8D8CE" w14:textId="77777777" w:rsidR="008B2015" w:rsidRPr="00603A8C" w:rsidRDefault="008B2015" w:rsidP="00A41931">
    <w:pPr>
      <w:pStyle w:val="Header"/>
      <w:ind w:right="360"/>
      <w:rPr>
        <w:lang w:val="fr-FR"/>
      </w:rPr>
    </w:pPr>
    <w:r>
      <w:rPr>
        <w:rStyle w:val="PageNumber"/>
      </w:rPr>
      <w:tab/>
      <w:t>Texte du participant</w:t>
    </w:r>
    <w:r>
      <w:rPr>
        <w:rStyle w:val="PageNumber"/>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70708"/>
    <w:multiLevelType w:val="hybridMultilevel"/>
    <w:tmpl w:val="6850582E"/>
    <w:lvl w:ilvl="0" w:tplc="4978CE52">
      <w:start w:val="1"/>
      <w:numFmt w:val="bullet"/>
      <w:pStyle w:val="Upuce"/>
      <w:lvlText w:val=""/>
      <w:lvlJc w:val="left"/>
      <w:pPr>
        <w:ind w:left="927"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40947F6"/>
    <w:multiLevelType w:val="hybridMultilevel"/>
    <w:tmpl w:val="31FE440C"/>
    <w:lvl w:ilvl="0" w:tplc="083C3858">
      <w:start w:val="1"/>
      <w:numFmt w:val="decimal"/>
      <w:pStyle w:val="Enumrotation"/>
      <w:lvlText w:val="%1."/>
      <w:lvlJc w:val="left"/>
      <w:pPr>
        <w:tabs>
          <w:tab w:val="num" w:pos="1191"/>
        </w:tabs>
        <w:ind w:left="1191" w:hanging="340"/>
      </w:pPr>
      <w:rPr>
        <w:rFonts w:ascii="Arial" w:eastAsia="SimSun" w:hAnsi="Arial" w:cs="Arial"/>
      </w:rPr>
    </w:lvl>
    <w:lvl w:ilvl="1" w:tplc="040C0019">
      <w:start w:val="1"/>
      <w:numFmt w:val="lowerLetter"/>
      <w:lvlText w:val="%2."/>
      <w:lvlJc w:val="left"/>
      <w:pPr>
        <w:ind w:left="2234" w:hanging="360"/>
      </w:pPr>
    </w:lvl>
    <w:lvl w:ilvl="2" w:tplc="040C001B" w:tentative="1">
      <w:start w:val="1"/>
      <w:numFmt w:val="lowerRoman"/>
      <w:lvlText w:val="%3."/>
      <w:lvlJc w:val="right"/>
      <w:pPr>
        <w:ind w:left="2954" w:hanging="180"/>
      </w:pPr>
    </w:lvl>
    <w:lvl w:ilvl="3" w:tplc="040C000F" w:tentative="1">
      <w:start w:val="1"/>
      <w:numFmt w:val="decimal"/>
      <w:lvlText w:val="%4."/>
      <w:lvlJc w:val="left"/>
      <w:pPr>
        <w:ind w:left="3674" w:hanging="360"/>
      </w:pPr>
    </w:lvl>
    <w:lvl w:ilvl="4" w:tplc="040C0019" w:tentative="1">
      <w:start w:val="1"/>
      <w:numFmt w:val="lowerLetter"/>
      <w:lvlText w:val="%5."/>
      <w:lvlJc w:val="left"/>
      <w:pPr>
        <w:ind w:left="4394" w:hanging="360"/>
      </w:pPr>
    </w:lvl>
    <w:lvl w:ilvl="5" w:tplc="040C001B" w:tentative="1">
      <w:start w:val="1"/>
      <w:numFmt w:val="lowerRoman"/>
      <w:lvlText w:val="%6."/>
      <w:lvlJc w:val="right"/>
      <w:pPr>
        <w:ind w:left="5114" w:hanging="180"/>
      </w:pPr>
    </w:lvl>
    <w:lvl w:ilvl="6" w:tplc="040C000F" w:tentative="1">
      <w:start w:val="1"/>
      <w:numFmt w:val="decimal"/>
      <w:lvlText w:val="%7."/>
      <w:lvlJc w:val="left"/>
      <w:pPr>
        <w:ind w:left="5834" w:hanging="360"/>
      </w:pPr>
    </w:lvl>
    <w:lvl w:ilvl="7" w:tplc="040C0019" w:tentative="1">
      <w:start w:val="1"/>
      <w:numFmt w:val="lowerLetter"/>
      <w:lvlText w:val="%8."/>
      <w:lvlJc w:val="left"/>
      <w:pPr>
        <w:ind w:left="6554" w:hanging="360"/>
      </w:pPr>
    </w:lvl>
    <w:lvl w:ilvl="8" w:tplc="040C001B" w:tentative="1">
      <w:start w:val="1"/>
      <w:numFmt w:val="lowerRoman"/>
      <w:lvlText w:val="%9."/>
      <w:lvlJc w:val="right"/>
      <w:pPr>
        <w:ind w:left="7274" w:hanging="180"/>
      </w:pPr>
    </w:lvl>
  </w:abstractNum>
  <w:abstractNum w:abstractNumId="2" w15:restartNumberingAfterBreak="0">
    <w:nsid w:val="1A211498"/>
    <w:multiLevelType w:val="hybridMultilevel"/>
    <w:tmpl w:val="4BF2EDA2"/>
    <w:lvl w:ilvl="0" w:tplc="040C0001">
      <w:start w:val="1"/>
      <w:numFmt w:val="bullet"/>
      <w:lvlText w:val=""/>
      <w:lvlJc w:val="left"/>
      <w:pPr>
        <w:ind w:left="1571" w:hanging="360"/>
      </w:pPr>
      <w:rPr>
        <w:rFonts w:ascii="Symbol" w:hAnsi="Symbol" w:hint="default"/>
      </w:rPr>
    </w:lvl>
    <w:lvl w:ilvl="1" w:tplc="436E5EE2">
      <w:numFmt w:val="bullet"/>
      <w:lvlText w:val="-"/>
      <w:lvlJc w:val="left"/>
      <w:pPr>
        <w:ind w:left="3142" w:hanging="1211"/>
      </w:pPr>
      <w:rPr>
        <w:rFonts w:ascii="Arial" w:eastAsia="SimSun" w:hAnsi="Arial" w:cs="Arial"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3" w15:restartNumberingAfterBreak="0">
    <w:nsid w:val="1C233066"/>
    <w:multiLevelType w:val="multilevel"/>
    <w:tmpl w:val="A0E60D08"/>
    <w:lvl w:ilvl="0">
      <w:start w:val="1"/>
      <w:numFmt w:val="bullet"/>
      <w:lvlText w:val=""/>
      <w:lvlJc w:val="left"/>
      <w:pPr>
        <w:tabs>
          <w:tab w:val="num" w:pos="567"/>
        </w:tabs>
        <w:ind w:left="567" w:hanging="567"/>
      </w:pPr>
      <w:rPr>
        <w:rFonts w:ascii="Wingdings 2" w:hAnsi="Wingdings 2"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91B7D80"/>
    <w:multiLevelType w:val="multilevel"/>
    <w:tmpl w:val="040C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3B5F62D0"/>
    <w:multiLevelType w:val="hybridMultilevel"/>
    <w:tmpl w:val="6316AAD6"/>
    <w:lvl w:ilvl="0" w:tplc="1C090017">
      <w:start w:val="1"/>
      <w:numFmt w:val="bullet"/>
      <w:lvlText w:val=""/>
      <w:lvlJc w:val="left"/>
      <w:pPr>
        <w:tabs>
          <w:tab w:val="num" w:pos="720"/>
        </w:tabs>
        <w:ind w:left="720" w:hanging="360"/>
      </w:pPr>
      <w:rPr>
        <w:rFonts w:ascii="Wingdings 2" w:hAnsi="Wingdings 2" w:hint="default"/>
      </w:rPr>
    </w:lvl>
    <w:lvl w:ilvl="1" w:tplc="7F568D7A">
      <w:start w:val="1"/>
      <w:numFmt w:val="bullet"/>
      <w:pStyle w:val="Txtpucemaitre"/>
      <w:lvlText w:val="o"/>
      <w:lvlJc w:val="left"/>
      <w:pPr>
        <w:tabs>
          <w:tab w:val="num" w:pos="1440"/>
        </w:tabs>
        <w:ind w:left="1440" w:hanging="360"/>
      </w:pPr>
      <w:rPr>
        <w:rFonts w:ascii="Courier New" w:hAnsi="Courier New" w:cs="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6" w15:restartNumberingAfterBreak="0">
    <w:nsid w:val="3B8943AE"/>
    <w:multiLevelType w:val="hybridMultilevel"/>
    <w:tmpl w:val="A0E60D08"/>
    <w:lvl w:ilvl="0" w:tplc="DE1C8388">
      <w:start w:val="1"/>
      <w:numFmt w:val="bullet"/>
      <w:lvlText w:val=""/>
      <w:lvlJc w:val="left"/>
      <w:pPr>
        <w:tabs>
          <w:tab w:val="num" w:pos="567"/>
        </w:tabs>
        <w:ind w:left="567" w:hanging="567"/>
      </w:pPr>
      <w:rPr>
        <w:rFonts w:ascii="Wingdings 2" w:hAnsi="Wingdings 2"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21D672D"/>
    <w:multiLevelType w:val="multilevel"/>
    <w:tmpl w:val="E284A1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58AD26BF"/>
    <w:multiLevelType w:val="hybridMultilevel"/>
    <w:tmpl w:val="653E8370"/>
    <w:lvl w:ilvl="0" w:tplc="D24E78FE">
      <w:start w:val="1"/>
      <w:numFmt w:val="decimal"/>
      <w:pStyle w:val="Enu1"/>
      <w:lvlText w:val="%1."/>
      <w:lvlJc w:val="left"/>
      <w:pPr>
        <w:tabs>
          <w:tab w:val="num" w:pos="1191"/>
        </w:tabs>
        <w:ind w:left="1191"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9" w15:restartNumberingAfterBreak="0">
    <w:nsid w:val="5B587C39"/>
    <w:multiLevelType w:val="hybridMultilevel"/>
    <w:tmpl w:val="ACAA8AD0"/>
    <w:lvl w:ilvl="0" w:tplc="D4A2D562">
      <w:start w:val="1"/>
      <w:numFmt w:val="bullet"/>
      <w:pStyle w:val="Txtchap"/>
      <w:lvlText w:val=""/>
      <w:lvlJc w:val="left"/>
      <w:pPr>
        <w:tabs>
          <w:tab w:val="num" w:pos="567"/>
        </w:tabs>
        <w:ind w:left="567" w:hanging="567"/>
      </w:pPr>
      <w:rPr>
        <w:rFonts w:ascii="Wingdings 2" w:hAnsi="Wingdings 2"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9C7E9B"/>
    <w:multiLevelType w:val="hybridMultilevel"/>
    <w:tmpl w:val="AD5E7E1C"/>
    <w:lvl w:ilvl="0" w:tplc="95A6A61A">
      <w:start w:val="1"/>
      <w:numFmt w:val="bullet"/>
      <w:lvlText w:val="–"/>
      <w:lvlJc w:val="left"/>
      <w:pPr>
        <w:tabs>
          <w:tab w:val="num" w:pos="851"/>
        </w:tabs>
        <w:ind w:left="851" w:hanging="284"/>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EBD194B"/>
    <w:multiLevelType w:val="hybridMultilevel"/>
    <w:tmpl w:val="0862FAFA"/>
    <w:lvl w:ilvl="0" w:tplc="D53ABD6C">
      <w:start w:val="1"/>
      <w:numFmt w:val="bullet"/>
      <w:pStyle w:val="Txtpucegras"/>
      <w:lvlText w:val=""/>
      <w:lvlJc w:val="left"/>
      <w:pPr>
        <w:tabs>
          <w:tab w:val="num" w:pos="1134"/>
        </w:tabs>
        <w:ind w:left="1134" w:hanging="283"/>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2" w15:restartNumberingAfterBreak="0">
    <w:nsid w:val="70C57F62"/>
    <w:multiLevelType w:val="hybridMultilevel"/>
    <w:tmpl w:val="F9000E08"/>
    <w:lvl w:ilvl="0" w:tplc="86DE94BC">
      <w:numFmt w:val="bullet"/>
      <w:pStyle w:val="Enutiret"/>
      <w:lvlText w:val="–"/>
      <w:lvlJc w:val="left"/>
      <w:pPr>
        <w:tabs>
          <w:tab w:val="num" w:pos="1134"/>
        </w:tabs>
        <w:ind w:left="1134" w:hanging="283"/>
      </w:pPr>
      <w:rPr>
        <w:rFonts w:ascii="Arial" w:eastAsia="SimSun" w:hAnsi="Arial" w:hint="default"/>
      </w:rPr>
    </w:lvl>
    <w:lvl w:ilvl="1" w:tplc="040C0003">
      <w:start w:val="1"/>
      <w:numFmt w:val="bullet"/>
      <w:lvlText w:val="o"/>
      <w:lvlJc w:val="left"/>
      <w:pPr>
        <w:ind w:left="1931" w:hanging="360"/>
      </w:pPr>
      <w:rPr>
        <w:rFonts w:ascii="Courier New" w:hAnsi="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3" w15:restartNumberingAfterBreak="0">
    <w:nsid w:val="75674636"/>
    <w:multiLevelType w:val="multilevel"/>
    <w:tmpl w:val="811215F8"/>
    <w:lvl w:ilvl="0">
      <w:start w:val="1"/>
      <w:numFmt w:val="bullet"/>
      <w:lvlText w:val=""/>
      <w:lvlJc w:val="left"/>
      <w:pPr>
        <w:tabs>
          <w:tab w:val="num" w:pos="1003"/>
        </w:tabs>
        <w:ind w:left="1003" w:hanging="283"/>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7BD74204"/>
    <w:multiLevelType w:val="hybridMultilevel"/>
    <w:tmpl w:val="8FB6C784"/>
    <w:lvl w:ilvl="0" w:tplc="590A27DA">
      <w:start w:val="1"/>
      <w:numFmt w:val="bullet"/>
      <w:pStyle w:val="Puceannexe"/>
      <w:lvlText w:val=""/>
      <w:lvlJc w:val="left"/>
      <w:pPr>
        <w:ind w:left="927" w:hanging="927"/>
      </w:pPr>
      <w:rPr>
        <w:rFonts w:ascii="Symbol" w:hAnsi="Symbol" w:hint="default"/>
      </w:rPr>
    </w:lvl>
    <w:lvl w:ilvl="1" w:tplc="040C0003" w:tentative="1">
      <w:start w:val="1"/>
      <w:numFmt w:val="bullet"/>
      <w:lvlText w:val="o"/>
      <w:lvlJc w:val="left"/>
      <w:pPr>
        <w:ind w:left="930" w:hanging="360"/>
      </w:pPr>
      <w:rPr>
        <w:rFonts w:ascii="Courier New" w:hAnsi="Courier New" w:hint="default"/>
      </w:rPr>
    </w:lvl>
    <w:lvl w:ilvl="2" w:tplc="040C0005" w:tentative="1">
      <w:start w:val="1"/>
      <w:numFmt w:val="bullet"/>
      <w:lvlText w:val=""/>
      <w:lvlJc w:val="left"/>
      <w:pPr>
        <w:ind w:left="1650" w:hanging="360"/>
      </w:pPr>
      <w:rPr>
        <w:rFonts w:ascii="Wingdings" w:hAnsi="Wingdings" w:hint="default"/>
      </w:rPr>
    </w:lvl>
    <w:lvl w:ilvl="3" w:tplc="040C0001" w:tentative="1">
      <w:start w:val="1"/>
      <w:numFmt w:val="bullet"/>
      <w:lvlText w:val=""/>
      <w:lvlJc w:val="left"/>
      <w:pPr>
        <w:ind w:left="2370" w:hanging="360"/>
      </w:pPr>
      <w:rPr>
        <w:rFonts w:ascii="Symbol" w:hAnsi="Symbol" w:hint="default"/>
      </w:rPr>
    </w:lvl>
    <w:lvl w:ilvl="4" w:tplc="040C0003" w:tentative="1">
      <w:start w:val="1"/>
      <w:numFmt w:val="bullet"/>
      <w:lvlText w:val="o"/>
      <w:lvlJc w:val="left"/>
      <w:pPr>
        <w:ind w:left="3090" w:hanging="360"/>
      </w:pPr>
      <w:rPr>
        <w:rFonts w:ascii="Courier New" w:hAnsi="Courier New" w:hint="default"/>
      </w:rPr>
    </w:lvl>
    <w:lvl w:ilvl="5" w:tplc="040C0005" w:tentative="1">
      <w:start w:val="1"/>
      <w:numFmt w:val="bullet"/>
      <w:lvlText w:val=""/>
      <w:lvlJc w:val="left"/>
      <w:pPr>
        <w:ind w:left="3810" w:hanging="360"/>
      </w:pPr>
      <w:rPr>
        <w:rFonts w:ascii="Wingdings" w:hAnsi="Wingdings" w:hint="default"/>
      </w:rPr>
    </w:lvl>
    <w:lvl w:ilvl="6" w:tplc="040C0001" w:tentative="1">
      <w:start w:val="1"/>
      <w:numFmt w:val="bullet"/>
      <w:lvlText w:val=""/>
      <w:lvlJc w:val="left"/>
      <w:pPr>
        <w:ind w:left="4530" w:hanging="360"/>
      </w:pPr>
      <w:rPr>
        <w:rFonts w:ascii="Symbol" w:hAnsi="Symbol" w:hint="default"/>
      </w:rPr>
    </w:lvl>
    <w:lvl w:ilvl="7" w:tplc="040C0003" w:tentative="1">
      <w:start w:val="1"/>
      <w:numFmt w:val="bullet"/>
      <w:lvlText w:val="o"/>
      <w:lvlJc w:val="left"/>
      <w:pPr>
        <w:ind w:left="5250" w:hanging="360"/>
      </w:pPr>
      <w:rPr>
        <w:rFonts w:ascii="Courier New" w:hAnsi="Courier New" w:hint="default"/>
      </w:rPr>
    </w:lvl>
    <w:lvl w:ilvl="8" w:tplc="040C0005" w:tentative="1">
      <w:start w:val="1"/>
      <w:numFmt w:val="bullet"/>
      <w:lvlText w:val=""/>
      <w:lvlJc w:val="left"/>
      <w:pPr>
        <w:ind w:left="5970" w:hanging="360"/>
      </w:pPr>
      <w:rPr>
        <w:rFonts w:ascii="Wingdings" w:hAnsi="Wingdings" w:hint="default"/>
      </w:rPr>
    </w:lvl>
  </w:abstractNum>
  <w:abstractNum w:abstractNumId="15" w15:restartNumberingAfterBreak="0">
    <w:nsid w:val="7ED741CB"/>
    <w:multiLevelType w:val="hybridMultilevel"/>
    <w:tmpl w:val="6C2646DC"/>
    <w:lvl w:ilvl="0" w:tplc="C360C63E">
      <w:start w:val="2"/>
      <w:numFmt w:val="none"/>
      <w:pStyle w:val="citationa"/>
      <w:lvlText w:val="(a)"/>
      <w:lvlJc w:val="left"/>
      <w:pPr>
        <w:tabs>
          <w:tab w:val="num" w:pos="1418"/>
        </w:tabs>
        <w:ind w:left="1418" w:hanging="284"/>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FCB6773"/>
    <w:multiLevelType w:val="hybridMultilevel"/>
    <w:tmpl w:val="F1A60D46"/>
    <w:lvl w:ilvl="0" w:tplc="040C000F">
      <w:start w:val="1"/>
      <w:numFmt w:val="decimal"/>
      <w:lvlText w:val="%1."/>
      <w:lvlJc w:val="left"/>
      <w:pPr>
        <w:ind w:left="1740" w:hanging="360"/>
      </w:pPr>
    </w:lvl>
    <w:lvl w:ilvl="1" w:tplc="040C0019" w:tentative="1">
      <w:start w:val="1"/>
      <w:numFmt w:val="lowerLetter"/>
      <w:lvlText w:val="%2."/>
      <w:lvlJc w:val="left"/>
      <w:pPr>
        <w:ind w:left="2460" w:hanging="360"/>
      </w:pPr>
    </w:lvl>
    <w:lvl w:ilvl="2" w:tplc="040C001B" w:tentative="1">
      <w:start w:val="1"/>
      <w:numFmt w:val="lowerRoman"/>
      <w:lvlText w:val="%3."/>
      <w:lvlJc w:val="right"/>
      <w:pPr>
        <w:ind w:left="3180" w:hanging="180"/>
      </w:pPr>
    </w:lvl>
    <w:lvl w:ilvl="3" w:tplc="040C000F" w:tentative="1">
      <w:start w:val="1"/>
      <w:numFmt w:val="decimal"/>
      <w:lvlText w:val="%4."/>
      <w:lvlJc w:val="left"/>
      <w:pPr>
        <w:ind w:left="3900" w:hanging="360"/>
      </w:pPr>
    </w:lvl>
    <w:lvl w:ilvl="4" w:tplc="040C0019" w:tentative="1">
      <w:start w:val="1"/>
      <w:numFmt w:val="lowerLetter"/>
      <w:lvlText w:val="%5."/>
      <w:lvlJc w:val="left"/>
      <w:pPr>
        <w:ind w:left="4620" w:hanging="360"/>
      </w:pPr>
    </w:lvl>
    <w:lvl w:ilvl="5" w:tplc="040C001B" w:tentative="1">
      <w:start w:val="1"/>
      <w:numFmt w:val="lowerRoman"/>
      <w:lvlText w:val="%6."/>
      <w:lvlJc w:val="right"/>
      <w:pPr>
        <w:ind w:left="5340" w:hanging="180"/>
      </w:pPr>
    </w:lvl>
    <w:lvl w:ilvl="6" w:tplc="040C000F" w:tentative="1">
      <w:start w:val="1"/>
      <w:numFmt w:val="decimal"/>
      <w:lvlText w:val="%7."/>
      <w:lvlJc w:val="left"/>
      <w:pPr>
        <w:ind w:left="6060" w:hanging="360"/>
      </w:pPr>
    </w:lvl>
    <w:lvl w:ilvl="7" w:tplc="040C0019" w:tentative="1">
      <w:start w:val="1"/>
      <w:numFmt w:val="lowerLetter"/>
      <w:lvlText w:val="%8."/>
      <w:lvlJc w:val="left"/>
      <w:pPr>
        <w:ind w:left="6780" w:hanging="360"/>
      </w:pPr>
    </w:lvl>
    <w:lvl w:ilvl="8" w:tplc="040C001B" w:tentative="1">
      <w:start w:val="1"/>
      <w:numFmt w:val="lowerRoman"/>
      <w:lvlText w:val="%9."/>
      <w:lvlJc w:val="right"/>
      <w:pPr>
        <w:ind w:left="7500" w:hanging="180"/>
      </w:pPr>
    </w:lvl>
  </w:abstractNum>
  <w:num w:numId="1">
    <w:abstractNumId w:val="11"/>
  </w:num>
  <w:num w:numId="2">
    <w:abstractNumId w:val="5"/>
  </w:num>
  <w:num w:numId="3">
    <w:abstractNumId w:val="4"/>
  </w:num>
  <w:num w:numId="4">
    <w:abstractNumId w:val="14"/>
  </w:num>
  <w:num w:numId="5">
    <w:abstractNumId w:val="16"/>
  </w:num>
  <w:num w:numId="6">
    <w:abstractNumId w:val="15"/>
  </w:num>
  <w:num w:numId="7">
    <w:abstractNumId w:val="8"/>
  </w:num>
  <w:num w:numId="8">
    <w:abstractNumId w:val="1"/>
  </w:num>
  <w:num w:numId="9">
    <w:abstractNumId w:val="1"/>
    <w:lvlOverride w:ilvl="0">
      <w:startOverride w:val="1"/>
    </w:lvlOverride>
  </w:num>
  <w:num w:numId="10">
    <w:abstractNumId w:val="12"/>
  </w:num>
  <w:num w:numId="11">
    <w:abstractNumId w:val="1"/>
    <w:lvlOverride w:ilvl="0">
      <w:startOverride w:val="1"/>
    </w:lvlOverride>
  </w:num>
  <w:num w:numId="12">
    <w:abstractNumId w:val="2"/>
  </w:num>
  <w:num w:numId="13">
    <w:abstractNumId w:val="9"/>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12"/>
  </w:num>
  <w:num w:numId="21">
    <w:abstractNumId w:val="13"/>
  </w:num>
  <w:num w:numId="22">
    <w:abstractNumId w:val="7"/>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6"/>
  </w:num>
  <w:num w:numId="28">
    <w:abstractNumId w:val="9"/>
  </w:num>
  <w:num w:numId="29">
    <w:abstractNumId w:val="9"/>
  </w:num>
  <w:num w:numId="30">
    <w:abstractNumId w:val="9"/>
  </w:num>
  <w:num w:numId="31">
    <w:abstractNumId w:val="3"/>
  </w:num>
  <w:num w:numId="32">
    <w:abstractNumId w:val="11"/>
  </w:num>
  <w:num w:numId="33">
    <w:abstractNumId w:val="11"/>
  </w:num>
  <w:num w:numId="34">
    <w:abstractNumId w:val="11"/>
  </w:num>
  <w:num w:numId="35">
    <w:abstractNumId w:val="11"/>
  </w:num>
  <w:num w:numId="36">
    <w:abstractNumId w:val="11"/>
  </w:num>
  <w:num w:numId="37">
    <w:abstractNumId w:val="11"/>
  </w:num>
  <w:num w:numId="38">
    <w:abstractNumId w:val="11"/>
  </w:num>
  <w:num w:numId="39">
    <w:abstractNumId w:val="12"/>
  </w:num>
  <w:num w:numId="40">
    <w:abstractNumId w:val="12"/>
  </w:num>
  <w:num w:numId="41">
    <w:abstractNumId w:val="11"/>
  </w:num>
  <w:num w:numId="42">
    <w:abstractNumId w:val="11"/>
  </w:num>
  <w:num w:numId="43">
    <w:abstractNumId w:val="10"/>
  </w:num>
  <w:num w:numId="44">
    <w:abstractNumId w:val="11"/>
  </w:num>
  <w:num w:numId="45">
    <w:abstractNumId w:val="11"/>
  </w:num>
  <w:num w:numId="46">
    <w:abstractNumId w:val="9"/>
  </w:num>
  <w:num w:numId="47">
    <w:abstractNumId w:val="9"/>
  </w:num>
  <w:num w:numId="48">
    <w:abstractNumId w:val="12"/>
  </w:num>
  <w:num w:numId="49">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40"/>
  <w:hyphenationZone w:val="425"/>
  <w:evenAndOddHeaders/>
  <w:drawingGridHorizontalSpacing w:val="360"/>
  <w:drawingGridVerticalSpacing w:val="360"/>
  <w:displayHorizontalDrawingGridEvery w:val="0"/>
  <w:displayVerticalDrawingGridEvery w:val="0"/>
  <w:characterSpacingControl w:val="doNotCompress"/>
  <w:hdrShapeDefaults>
    <o:shapedefaults v:ext="edit" spidmax="1228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83E"/>
    <w:rsid w:val="000006EA"/>
    <w:rsid w:val="00000D1F"/>
    <w:rsid w:val="00000DB8"/>
    <w:rsid w:val="00001A9D"/>
    <w:rsid w:val="00014873"/>
    <w:rsid w:val="0001493B"/>
    <w:rsid w:val="000151E5"/>
    <w:rsid w:val="0001741F"/>
    <w:rsid w:val="00017D71"/>
    <w:rsid w:val="00017F7C"/>
    <w:rsid w:val="000213A8"/>
    <w:rsid w:val="00022302"/>
    <w:rsid w:val="0002511C"/>
    <w:rsid w:val="00026DC2"/>
    <w:rsid w:val="00027DD9"/>
    <w:rsid w:val="000349C0"/>
    <w:rsid w:val="00040131"/>
    <w:rsid w:val="000401DB"/>
    <w:rsid w:val="00041EBF"/>
    <w:rsid w:val="000424D8"/>
    <w:rsid w:val="00043DFF"/>
    <w:rsid w:val="00044417"/>
    <w:rsid w:val="00047780"/>
    <w:rsid w:val="000524DD"/>
    <w:rsid w:val="00053368"/>
    <w:rsid w:val="00054243"/>
    <w:rsid w:val="000542FD"/>
    <w:rsid w:val="00054EE0"/>
    <w:rsid w:val="00055F54"/>
    <w:rsid w:val="00062885"/>
    <w:rsid w:val="0006508A"/>
    <w:rsid w:val="000651E6"/>
    <w:rsid w:val="0006616D"/>
    <w:rsid w:val="000667E1"/>
    <w:rsid w:val="00066E72"/>
    <w:rsid w:val="0007094A"/>
    <w:rsid w:val="00073751"/>
    <w:rsid w:val="00074FFC"/>
    <w:rsid w:val="00075D7D"/>
    <w:rsid w:val="00076221"/>
    <w:rsid w:val="000800C0"/>
    <w:rsid w:val="00080DAF"/>
    <w:rsid w:val="000819F8"/>
    <w:rsid w:val="000826E1"/>
    <w:rsid w:val="0008417E"/>
    <w:rsid w:val="00085406"/>
    <w:rsid w:val="0008620C"/>
    <w:rsid w:val="00086C3C"/>
    <w:rsid w:val="00094E6C"/>
    <w:rsid w:val="000A137F"/>
    <w:rsid w:val="000A13AA"/>
    <w:rsid w:val="000A7857"/>
    <w:rsid w:val="000B0472"/>
    <w:rsid w:val="000B11C6"/>
    <w:rsid w:val="000B1EB7"/>
    <w:rsid w:val="000B2122"/>
    <w:rsid w:val="000B3E37"/>
    <w:rsid w:val="000B6287"/>
    <w:rsid w:val="000B710C"/>
    <w:rsid w:val="000C0E6A"/>
    <w:rsid w:val="000C41FA"/>
    <w:rsid w:val="000C62E5"/>
    <w:rsid w:val="000C7105"/>
    <w:rsid w:val="000D0602"/>
    <w:rsid w:val="000D176D"/>
    <w:rsid w:val="000D6D71"/>
    <w:rsid w:val="000D7317"/>
    <w:rsid w:val="000D7964"/>
    <w:rsid w:val="000D7D1F"/>
    <w:rsid w:val="000E0530"/>
    <w:rsid w:val="000E0562"/>
    <w:rsid w:val="000E0B24"/>
    <w:rsid w:val="000E4179"/>
    <w:rsid w:val="000E6D5B"/>
    <w:rsid w:val="000F4C6A"/>
    <w:rsid w:val="000F6A4F"/>
    <w:rsid w:val="00103657"/>
    <w:rsid w:val="00105D53"/>
    <w:rsid w:val="001060CE"/>
    <w:rsid w:val="00107DB1"/>
    <w:rsid w:val="001142E7"/>
    <w:rsid w:val="00117B78"/>
    <w:rsid w:val="00123B89"/>
    <w:rsid w:val="00132CAD"/>
    <w:rsid w:val="00133E1B"/>
    <w:rsid w:val="00135C11"/>
    <w:rsid w:val="0014251F"/>
    <w:rsid w:val="00145A5C"/>
    <w:rsid w:val="00146D1E"/>
    <w:rsid w:val="00147F5C"/>
    <w:rsid w:val="00150FFB"/>
    <w:rsid w:val="00152FA0"/>
    <w:rsid w:val="0015316B"/>
    <w:rsid w:val="001533D4"/>
    <w:rsid w:val="0015366F"/>
    <w:rsid w:val="00154EA2"/>
    <w:rsid w:val="001647AA"/>
    <w:rsid w:val="00164F5F"/>
    <w:rsid w:val="00166843"/>
    <w:rsid w:val="00167480"/>
    <w:rsid w:val="0017028D"/>
    <w:rsid w:val="00170BFE"/>
    <w:rsid w:val="001757F9"/>
    <w:rsid w:val="00180896"/>
    <w:rsid w:val="001825BA"/>
    <w:rsid w:val="001843B4"/>
    <w:rsid w:val="00186060"/>
    <w:rsid w:val="00186D10"/>
    <w:rsid w:val="0018741A"/>
    <w:rsid w:val="00187C35"/>
    <w:rsid w:val="00187C60"/>
    <w:rsid w:val="00191322"/>
    <w:rsid w:val="00191B71"/>
    <w:rsid w:val="0019481E"/>
    <w:rsid w:val="0019585B"/>
    <w:rsid w:val="00195959"/>
    <w:rsid w:val="001A171D"/>
    <w:rsid w:val="001A242D"/>
    <w:rsid w:val="001A2B13"/>
    <w:rsid w:val="001A5977"/>
    <w:rsid w:val="001A69CA"/>
    <w:rsid w:val="001B04F6"/>
    <w:rsid w:val="001B0F2D"/>
    <w:rsid w:val="001B3C85"/>
    <w:rsid w:val="001B586D"/>
    <w:rsid w:val="001C2F9D"/>
    <w:rsid w:val="001C5BFB"/>
    <w:rsid w:val="001C5D26"/>
    <w:rsid w:val="001C6E68"/>
    <w:rsid w:val="001D13FF"/>
    <w:rsid w:val="001D39F7"/>
    <w:rsid w:val="001D5A7D"/>
    <w:rsid w:val="001D6712"/>
    <w:rsid w:val="001D70CD"/>
    <w:rsid w:val="001D739A"/>
    <w:rsid w:val="001D7A57"/>
    <w:rsid w:val="001E0C39"/>
    <w:rsid w:val="001E0E86"/>
    <w:rsid w:val="001E1505"/>
    <w:rsid w:val="001E2588"/>
    <w:rsid w:val="001E335F"/>
    <w:rsid w:val="001E4B93"/>
    <w:rsid w:val="001E517D"/>
    <w:rsid w:val="001E7E3A"/>
    <w:rsid w:val="001F0907"/>
    <w:rsid w:val="001F43D8"/>
    <w:rsid w:val="001F506C"/>
    <w:rsid w:val="001F5D28"/>
    <w:rsid w:val="0020087D"/>
    <w:rsid w:val="002032E2"/>
    <w:rsid w:val="002067B2"/>
    <w:rsid w:val="00206C1F"/>
    <w:rsid w:val="00210D69"/>
    <w:rsid w:val="00212611"/>
    <w:rsid w:val="002132D2"/>
    <w:rsid w:val="00216A23"/>
    <w:rsid w:val="002171D7"/>
    <w:rsid w:val="0021785F"/>
    <w:rsid w:val="002206A8"/>
    <w:rsid w:val="00220774"/>
    <w:rsid w:val="002207C3"/>
    <w:rsid w:val="00221195"/>
    <w:rsid w:val="002216BA"/>
    <w:rsid w:val="00221F26"/>
    <w:rsid w:val="0022235D"/>
    <w:rsid w:val="0022656C"/>
    <w:rsid w:val="00227E50"/>
    <w:rsid w:val="00231010"/>
    <w:rsid w:val="002310B2"/>
    <w:rsid w:val="00231A87"/>
    <w:rsid w:val="00233749"/>
    <w:rsid w:val="0023454D"/>
    <w:rsid w:val="00234847"/>
    <w:rsid w:val="00234B2D"/>
    <w:rsid w:val="00235024"/>
    <w:rsid w:val="0023521F"/>
    <w:rsid w:val="00236B5B"/>
    <w:rsid w:val="0023733F"/>
    <w:rsid w:val="00242B77"/>
    <w:rsid w:val="00242EE4"/>
    <w:rsid w:val="00243F4E"/>
    <w:rsid w:val="002440CE"/>
    <w:rsid w:val="0024481B"/>
    <w:rsid w:val="0024620F"/>
    <w:rsid w:val="00246AAF"/>
    <w:rsid w:val="00250D42"/>
    <w:rsid w:val="00251A4E"/>
    <w:rsid w:val="00255220"/>
    <w:rsid w:val="0025578B"/>
    <w:rsid w:val="00255A53"/>
    <w:rsid w:val="00257542"/>
    <w:rsid w:val="00257BD7"/>
    <w:rsid w:val="00260AF8"/>
    <w:rsid w:val="00262A8C"/>
    <w:rsid w:val="002640FF"/>
    <w:rsid w:val="00265203"/>
    <w:rsid w:val="002712FD"/>
    <w:rsid w:val="00275601"/>
    <w:rsid w:val="002758DA"/>
    <w:rsid w:val="00277EB4"/>
    <w:rsid w:val="002800D8"/>
    <w:rsid w:val="002832A1"/>
    <w:rsid w:val="00284539"/>
    <w:rsid w:val="002856D1"/>
    <w:rsid w:val="00285F80"/>
    <w:rsid w:val="002869EB"/>
    <w:rsid w:val="00290880"/>
    <w:rsid w:val="00291B48"/>
    <w:rsid w:val="00291E2F"/>
    <w:rsid w:val="002934E6"/>
    <w:rsid w:val="00294972"/>
    <w:rsid w:val="00294FD3"/>
    <w:rsid w:val="00295A20"/>
    <w:rsid w:val="00296070"/>
    <w:rsid w:val="002A025C"/>
    <w:rsid w:val="002A2F7A"/>
    <w:rsid w:val="002A447B"/>
    <w:rsid w:val="002A4ED4"/>
    <w:rsid w:val="002A559B"/>
    <w:rsid w:val="002A5E66"/>
    <w:rsid w:val="002A6D5B"/>
    <w:rsid w:val="002A7352"/>
    <w:rsid w:val="002A7F27"/>
    <w:rsid w:val="002B1505"/>
    <w:rsid w:val="002B26D0"/>
    <w:rsid w:val="002B2F9E"/>
    <w:rsid w:val="002B33DC"/>
    <w:rsid w:val="002B3D30"/>
    <w:rsid w:val="002B6A2C"/>
    <w:rsid w:val="002C0C94"/>
    <w:rsid w:val="002C1D8C"/>
    <w:rsid w:val="002C2A6B"/>
    <w:rsid w:val="002C3A25"/>
    <w:rsid w:val="002C3A7E"/>
    <w:rsid w:val="002C7ABF"/>
    <w:rsid w:val="002D200B"/>
    <w:rsid w:val="002D2B81"/>
    <w:rsid w:val="002D36BE"/>
    <w:rsid w:val="002D41E4"/>
    <w:rsid w:val="002D6696"/>
    <w:rsid w:val="002D6CF6"/>
    <w:rsid w:val="002E0878"/>
    <w:rsid w:val="002E1E8D"/>
    <w:rsid w:val="002E5028"/>
    <w:rsid w:val="002E55CB"/>
    <w:rsid w:val="002E5AC2"/>
    <w:rsid w:val="002E71FB"/>
    <w:rsid w:val="002F2551"/>
    <w:rsid w:val="002F67A4"/>
    <w:rsid w:val="002F739D"/>
    <w:rsid w:val="0030120B"/>
    <w:rsid w:val="0030168E"/>
    <w:rsid w:val="00307D34"/>
    <w:rsid w:val="00310CD0"/>
    <w:rsid w:val="00312970"/>
    <w:rsid w:val="00316B5B"/>
    <w:rsid w:val="003233D5"/>
    <w:rsid w:val="003238D3"/>
    <w:rsid w:val="003259DC"/>
    <w:rsid w:val="0032659F"/>
    <w:rsid w:val="00330A6B"/>
    <w:rsid w:val="00330E2D"/>
    <w:rsid w:val="00333AA4"/>
    <w:rsid w:val="003356E3"/>
    <w:rsid w:val="00337071"/>
    <w:rsid w:val="003370CB"/>
    <w:rsid w:val="003372C9"/>
    <w:rsid w:val="00340932"/>
    <w:rsid w:val="003422E3"/>
    <w:rsid w:val="00344D75"/>
    <w:rsid w:val="00347851"/>
    <w:rsid w:val="00350E28"/>
    <w:rsid w:val="00352D70"/>
    <w:rsid w:val="00354854"/>
    <w:rsid w:val="00356218"/>
    <w:rsid w:val="00360416"/>
    <w:rsid w:val="003644C6"/>
    <w:rsid w:val="003677D8"/>
    <w:rsid w:val="00370391"/>
    <w:rsid w:val="00370EBE"/>
    <w:rsid w:val="00374529"/>
    <w:rsid w:val="00374E95"/>
    <w:rsid w:val="00375BFE"/>
    <w:rsid w:val="00377639"/>
    <w:rsid w:val="00384E33"/>
    <w:rsid w:val="00387062"/>
    <w:rsid w:val="0038718F"/>
    <w:rsid w:val="00387787"/>
    <w:rsid w:val="0039446A"/>
    <w:rsid w:val="00394CDC"/>
    <w:rsid w:val="00395D21"/>
    <w:rsid w:val="00396190"/>
    <w:rsid w:val="00396571"/>
    <w:rsid w:val="0039745B"/>
    <w:rsid w:val="003A1010"/>
    <w:rsid w:val="003A13D7"/>
    <w:rsid w:val="003A524E"/>
    <w:rsid w:val="003B09E7"/>
    <w:rsid w:val="003B1901"/>
    <w:rsid w:val="003B2A6E"/>
    <w:rsid w:val="003B2E5B"/>
    <w:rsid w:val="003B4704"/>
    <w:rsid w:val="003B5874"/>
    <w:rsid w:val="003B6B98"/>
    <w:rsid w:val="003B70C7"/>
    <w:rsid w:val="003B711B"/>
    <w:rsid w:val="003B7DFC"/>
    <w:rsid w:val="003B7F45"/>
    <w:rsid w:val="003C0EE0"/>
    <w:rsid w:val="003C16F8"/>
    <w:rsid w:val="003C289C"/>
    <w:rsid w:val="003C4F1D"/>
    <w:rsid w:val="003C76B1"/>
    <w:rsid w:val="003C7BEB"/>
    <w:rsid w:val="003D020C"/>
    <w:rsid w:val="003D2709"/>
    <w:rsid w:val="003E15E2"/>
    <w:rsid w:val="003E4BF2"/>
    <w:rsid w:val="003E5E70"/>
    <w:rsid w:val="003E61E0"/>
    <w:rsid w:val="003F104E"/>
    <w:rsid w:val="003F1597"/>
    <w:rsid w:val="003F3288"/>
    <w:rsid w:val="003F50EC"/>
    <w:rsid w:val="003F5CA8"/>
    <w:rsid w:val="003F6B5C"/>
    <w:rsid w:val="00401A05"/>
    <w:rsid w:val="00402839"/>
    <w:rsid w:val="0040373D"/>
    <w:rsid w:val="00403A1B"/>
    <w:rsid w:val="00404EAE"/>
    <w:rsid w:val="004059FD"/>
    <w:rsid w:val="00406030"/>
    <w:rsid w:val="004066F0"/>
    <w:rsid w:val="00411833"/>
    <w:rsid w:val="004120B8"/>
    <w:rsid w:val="004124FE"/>
    <w:rsid w:val="00412910"/>
    <w:rsid w:val="004139B2"/>
    <w:rsid w:val="0042393B"/>
    <w:rsid w:val="004272A4"/>
    <w:rsid w:val="00430B70"/>
    <w:rsid w:val="004315D8"/>
    <w:rsid w:val="004325DC"/>
    <w:rsid w:val="004328F9"/>
    <w:rsid w:val="00432D7B"/>
    <w:rsid w:val="00433FAD"/>
    <w:rsid w:val="00434788"/>
    <w:rsid w:val="00434BA5"/>
    <w:rsid w:val="00434CAC"/>
    <w:rsid w:val="00434EFE"/>
    <w:rsid w:val="00436ECC"/>
    <w:rsid w:val="0043725F"/>
    <w:rsid w:val="00440055"/>
    <w:rsid w:val="004406B6"/>
    <w:rsid w:val="0044256B"/>
    <w:rsid w:val="00443A55"/>
    <w:rsid w:val="004449EE"/>
    <w:rsid w:val="004468CE"/>
    <w:rsid w:val="00447076"/>
    <w:rsid w:val="00447861"/>
    <w:rsid w:val="00447F1C"/>
    <w:rsid w:val="00450C13"/>
    <w:rsid w:val="00450EF9"/>
    <w:rsid w:val="00455CF9"/>
    <w:rsid w:val="00460771"/>
    <w:rsid w:val="00460B29"/>
    <w:rsid w:val="00461004"/>
    <w:rsid w:val="00461C5C"/>
    <w:rsid w:val="00464E9D"/>
    <w:rsid w:val="00465E68"/>
    <w:rsid w:val="00467877"/>
    <w:rsid w:val="00472E0F"/>
    <w:rsid w:val="00475B87"/>
    <w:rsid w:val="00477C3F"/>
    <w:rsid w:val="0048121B"/>
    <w:rsid w:val="00481229"/>
    <w:rsid w:val="00483825"/>
    <w:rsid w:val="00483E5F"/>
    <w:rsid w:val="00485AA9"/>
    <w:rsid w:val="00490881"/>
    <w:rsid w:val="00491061"/>
    <w:rsid w:val="00491D64"/>
    <w:rsid w:val="0049210B"/>
    <w:rsid w:val="0049497F"/>
    <w:rsid w:val="00495197"/>
    <w:rsid w:val="00495302"/>
    <w:rsid w:val="00496C7F"/>
    <w:rsid w:val="004A3569"/>
    <w:rsid w:val="004A3A76"/>
    <w:rsid w:val="004A4557"/>
    <w:rsid w:val="004A60E9"/>
    <w:rsid w:val="004A66F4"/>
    <w:rsid w:val="004A6AB4"/>
    <w:rsid w:val="004A7115"/>
    <w:rsid w:val="004A78E2"/>
    <w:rsid w:val="004A7ED8"/>
    <w:rsid w:val="004B1D4C"/>
    <w:rsid w:val="004B45C3"/>
    <w:rsid w:val="004C0123"/>
    <w:rsid w:val="004C0416"/>
    <w:rsid w:val="004C5C50"/>
    <w:rsid w:val="004D37AA"/>
    <w:rsid w:val="004D5579"/>
    <w:rsid w:val="004D571E"/>
    <w:rsid w:val="004D57C8"/>
    <w:rsid w:val="004D5C00"/>
    <w:rsid w:val="004D5F7F"/>
    <w:rsid w:val="004D6197"/>
    <w:rsid w:val="004D6B01"/>
    <w:rsid w:val="004E095F"/>
    <w:rsid w:val="004E49F5"/>
    <w:rsid w:val="004E5B44"/>
    <w:rsid w:val="004E7D6C"/>
    <w:rsid w:val="004F008E"/>
    <w:rsid w:val="004F369E"/>
    <w:rsid w:val="004F3C16"/>
    <w:rsid w:val="004F46C9"/>
    <w:rsid w:val="004F5CF8"/>
    <w:rsid w:val="004F6ED7"/>
    <w:rsid w:val="004F6F32"/>
    <w:rsid w:val="004F7122"/>
    <w:rsid w:val="00501117"/>
    <w:rsid w:val="005027DA"/>
    <w:rsid w:val="00502E0B"/>
    <w:rsid w:val="005058A4"/>
    <w:rsid w:val="00505F03"/>
    <w:rsid w:val="00506791"/>
    <w:rsid w:val="005068B2"/>
    <w:rsid w:val="005111EB"/>
    <w:rsid w:val="005151FE"/>
    <w:rsid w:val="00517B96"/>
    <w:rsid w:val="00520241"/>
    <w:rsid w:val="005203EA"/>
    <w:rsid w:val="00520CB3"/>
    <w:rsid w:val="00521245"/>
    <w:rsid w:val="00526259"/>
    <w:rsid w:val="0052680E"/>
    <w:rsid w:val="00527E16"/>
    <w:rsid w:val="00531E23"/>
    <w:rsid w:val="005322A5"/>
    <w:rsid w:val="00534931"/>
    <w:rsid w:val="0053768F"/>
    <w:rsid w:val="00540CDB"/>
    <w:rsid w:val="00541585"/>
    <w:rsid w:val="00545A2E"/>
    <w:rsid w:val="00547581"/>
    <w:rsid w:val="00550074"/>
    <w:rsid w:val="0055379C"/>
    <w:rsid w:val="00553B8C"/>
    <w:rsid w:val="00553ED8"/>
    <w:rsid w:val="00554DE9"/>
    <w:rsid w:val="00555900"/>
    <w:rsid w:val="00556D69"/>
    <w:rsid w:val="0056051F"/>
    <w:rsid w:val="0056108E"/>
    <w:rsid w:val="0056138E"/>
    <w:rsid w:val="0056236A"/>
    <w:rsid w:val="0056329E"/>
    <w:rsid w:val="00565F12"/>
    <w:rsid w:val="005666D2"/>
    <w:rsid w:val="00567F81"/>
    <w:rsid w:val="00573B3D"/>
    <w:rsid w:val="0057532F"/>
    <w:rsid w:val="00575BF8"/>
    <w:rsid w:val="00577621"/>
    <w:rsid w:val="00581F97"/>
    <w:rsid w:val="0058261F"/>
    <w:rsid w:val="00584506"/>
    <w:rsid w:val="0058559B"/>
    <w:rsid w:val="005874F9"/>
    <w:rsid w:val="00590B2E"/>
    <w:rsid w:val="0059104E"/>
    <w:rsid w:val="0059447C"/>
    <w:rsid w:val="0059714B"/>
    <w:rsid w:val="005A0707"/>
    <w:rsid w:val="005A0AB6"/>
    <w:rsid w:val="005A207D"/>
    <w:rsid w:val="005A69B3"/>
    <w:rsid w:val="005B0792"/>
    <w:rsid w:val="005B0DA6"/>
    <w:rsid w:val="005B1C14"/>
    <w:rsid w:val="005B1E5E"/>
    <w:rsid w:val="005B5D26"/>
    <w:rsid w:val="005B5EC6"/>
    <w:rsid w:val="005B61E5"/>
    <w:rsid w:val="005B703B"/>
    <w:rsid w:val="005B79DB"/>
    <w:rsid w:val="005C10EB"/>
    <w:rsid w:val="005C21E7"/>
    <w:rsid w:val="005C3535"/>
    <w:rsid w:val="005C6882"/>
    <w:rsid w:val="005C7ACF"/>
    <w:rsid w:val="005D01EF"/>
    <w:rsid w:val="005D1F45"/>
    <w:rsid w:val="005D5337"/>
    <w:rsid w:val="005D65C8"/>
    <w:rsid w:val="005D6A14"/>
    <w:rsid w:val="005D72E2"/>
    <w:rsid w:val="005E17CB"/>
    <w:rsid w:val="005E221C"/>
    <w:rsid w:val="005E39EF"/>
    <w:rsid w:val="005E4961"/>
    <w:rsid w:val="005E4F57"/>
    <w:rsid w:val="005E68C3"/>
    <w:rsid w:val="005E7EEB"/>
    <w:rsid w:val="005F2FEC"/>
    <w:rsid w:val="005F3D8C"/>
    <w:rsid w:val="005F465A"/>
    <w:rsid w:val="005F5631"/>
    <w:rsid w:val="005F76CD"/>
    <w:rsid w:val="005F7BB1"/>
    <w:rsid w:val="006004EC"/>
    <w:rsid w:val="00600B60"/>
    <w:rsid w:val="00603A8C"/>
    <w:rsid w:val="0060489A"/>
    <w:rsid w:val="00606449"/>
    <w:rsid w:val="006073FB"/>
    <w:rsid w:val="0060774C"/>
    <w:rsid w:val="0061203C"/>
    <w:rsid w:val="00617049"/>
    <w:rsid w:val="006173A9"/>
    <w:rsid w:val="006206CE"/>
    <w:rsid w:val="00625277"/>
    <w:rsid w:val="0062637E"/>
    <w:rsid w:val="00630AC3"/>
    <w:rsid w:val="00631706"/>
    <w:rsid w:val="0063398A"/>
    <w:rsid w:val="00634275"/>
    <w:rsid w:val="006346F4"/>
    <w:rsid w:val="006358F9"/>
    <w:rsid w:val="00640A46"/>
    <w:rsid w:val="00641762"/>
    <w:rsid w:val="00641806"/>
    <w:rsid w:val="00641FC4"/>
    <w:rsid w:val="0064362E"/>
    <w:rsid w:val="0064397F"/>
    <w:rsid w:val="00644082"/>
    <w:rsid w:val="00645717"/>
    <w:rsid w:val="00645EA9"/>
    <w:rsid w:val="00646C0C"/>
    <w:rsid w:val="00646D3D"/>
    <w:rsid w:val="0065068A"/>
    <w:rsid w:val="00651766"/>
    <w:rsid w:val="00652F82"/>
    <w:rsid w:val="00653FD6"/>
    <w:rsid w:val="00657072"/>
    <w:rsid w:val="00660D7E"/>
    <w:rsid w:val="00660FC7"/>
    <w:rsid w:val="0066356D"/>
    <w:rsid w:val="00664974"/>
    <w:rsid w:val="00665D0F"/>
    <w:rsid w:val="0067217E"/>
    <w:rsid w:val="006733E3"/>
    <w:rsid w:val="00674799"/>
    <w:rsid w:val="006757EA"/>
    <w:rsid w:val="00682587"/>
    <w:rsid w:val="00682B52"/>
    <w:rsid w:val="00684202"/>
    <w:rsid w:val="00685454"/>
    <w:rsid w:val="006856B1"/>
    <w:rsid w:val="006858F6"/>
    <w:rsid w:val="00686CA9"/>
    <w:rsid w:val="0069047E"/>
    <w:rsid w:val="0069346B"/>
    <w:rsid w:val="006A3832"/>
    <w:rsid w:val="006B1B3A"/>
    <w:rsid w:val="006C20E9"/>
    <w:rsid w:val="006C3387"/>
    <w:rsid w:val="006C362F"/>
    <w:rsid w:val="006C6F2C"/>
    <w:rsid w:val="006D283B"/>
    <w:rsid w:val="006D313C"/>
    <w:rsid w:val="006D3956"/>
    <w:rsid w:val="006E0048"/>
    <w:rsid w:val="006E147C"/>
    <w:rsid w:val="006E38CC"/>
    <w:rsid w:val="006E4984"/>
    <w:rsid w:val="006E6DDC"/>
    <w:rsid w:val="006F2551"/>
    <w:rsid w:val="006F42AA"/>
    <w:rsid w:val="006F42B3"/>
    <w:rsid w:val="006F4396"/>
    <w:rsid w:val="006F61A0"/>
    <w:rsid w:val="006F64E6"/>
    <w:rsid w:val="006F7CB1"/>
    <w:rsid w:val="00700755"/>
    <w:rsid w:val="00701455"/>
    <w:rsid w:val="00701EE2"/>
    <w:rsid w:val="00702EB3"/>
    <w:rsid w:val="007102EC"/>
    <w:rsid w:val="00712B1C"/>
    <w:rsid w:val="00713917"/>
    <w:rsid w:val="0071398C"/>
    <w:rsid w:val="00713A6D"/>
    <w:rsid w:val="0071539A"/>
    <w:rsid w:val="00722302"/>
    <w:rsid w:val="00722B30"/>
    <w:rsid w:val="00726F77"/>
    <w:rsid w:val="007278A8"/>
    <w:rsid w:val="007342F5"/>
    <w:rsid w:val="00734A13"/>
    <w:rsid w:val="00737E49"/>
    <w:rsid w:val="00740702"/>
    <w:rsid w:val="00744425"/>
    <w:rsid w:val="00745874"/>
    <w:rsid w:val="00746321"/>
    <w:rsid w:val="00750512"/>
    <w:rsid w:val="00751114"/>
    <w:rsid w:val="007521EC"/>
    <w:rsid w:val="00752A0F"/>
    <w:rsid w:val="007554C3"/>
    <w:rsid w:val="0075609B"/>
    <w:rsid w:val="00756390"/>
    <w:rsid w:val="0075652A"/>
    <w:rsid w:val="00757DCB"/>
    <w:rsid w:val="00761C46"/>
    <w:rsid w:val="00764FBE"/>
    <w:rsid w:val="0076552D"/>
    <w:rsid w:val="00765959"/>
    <w:rsid w:val="00765B7E"/>
    <w:rsid w:val="00771AE9"/>
    <w:rsid w:val="0077206E"/>
    <w:rsid w:val="00772169"/>
    <w:rsid w:val="007728F8"/>
    <w:rsid w:val="007729B5"/>
    <w:rsid w:val="00772D1E"/>
    <w:rsid w:val="0077306F"/>
    <w:rsid w:val="00773186"/>
    <w:rsid w:val="0077385B"/>
    <w:rsid w:val="0077457D"/>
    <w:rsid w:val="00775F40"/>
    <w:rsid w:val="007800DA"/>
    <w:rsid w:val="007803DF"/>
    <w:rsid w:val="007808BE"/>
    <w:rsid w:val="007814F9"/>
    <w:rsid w:val="007846B6"/>
    <w:rsid w:val="00785367"/>
    <w:rsid w:val="007937CE"/>
    <w:rsid w:val="00795C6B"/>
    <w:rsid w:val="00795D4A"/>
    <w:rsid w:val="00795D56"/>
    <w:rsid w:val="00795FF0"/>
    <w:rsid w:val="00797896"/>
    <w:rsid w:val="00797C96"/>
    <w:rsid w:val="00797EB9"/>
    <w:rsid w:val="007A1531"/>
    <w:rsid w:val="007A1860"/>
    <w:rsid w:val="007A1F97"/>
    <w:rsid w:val="007A3314"/>
    <w:rsid w:val="007A3E8F"/>
    <w:rsid w:val="007A5C03"/>
    <w:rsid w:val="007A7CB3"/>
    <w:rsid w:val="007B1EE5"/>
    <w:rsid w:val="007B2C2D"/>
    <w:rsid w:val="007B5718"/>
    <w:rsid w:val="007B69C9"/>
    <w:rsid w:val="007C119C"/>
    <w:rsid w:val="007C5C15"/>
    <w:rsid w:val="007C70FB"/>
    <w:rsid w:val="007D1DA1"/>
    <w:rsid w:val="007D222B"/>
    <w:rsid w:val="007D3B57"/>
    <w:rsid w:val="007E03FC"/>
    <w:rsid w:val="007E04EC"/>
    <w:rsid w:val="007E0DC4"/>
    <w:rsid w:val="007E3A4F"/>
    <w:rsid w:val="007E60D0"/>
    <w:rsid w:val="007E6695"/>
    <w:rsid w:val="007E6806"/>
    <w:rsid w:val="007F3170"/>
    <w:rsid w:val="007F577A"/>
    <w:rsid w:val="00801003"/>
    <w:rsid w:val="0080154D"/>
    <w:rsid w:val="00801CFC"/>
    <w:rsid w:val="00803BA6"/>
    <w:rsid w:val="008043B8"/>
    <w:rsid w:val="0080530D"/>
    <w:rsid w:val="00807F0C"/>
    <w:rsid w:val="008114BE"/>
    <w:rsid w:val="00811A62"/>
    <w:rsid w:val="008130C5"/>
    <w:rsid w:val="0081317D"/>
    <w:rsid w:val="00813717"/>
    <w:rsid w:val="00816623"/>
    <w:rsid w:val="00816A3D"/>
    <w:rsid w:val="00816DE1"/>
    <w:rsid w:val="008173FE"/>
    <w:rsid w:val="008177E6"/>
    <w:rsid w:val="00817F26"/>
    <w:rsid w:val="0082004C"/>
    <w:rsid w:val="008207E0"/>
    <w:rsid w:val="00823AA8"/>
    <w:rsid w:val="0082423F"/>
    <w:rsid w:val="008250BF"/>
    <w:rsid w:val="00826E06"/>
    <w:rsid w:val="00827C34"/>
    <w:rsid w:val="00827C93"/>
    <w:rsid w:val="0083174C"/>
    <w:rsid w:val="00831E7B"/>
    <w:rsid w:val="00833165"/>
    <w:rsid w:val="00836155"/>
    <w:rsid w:val="00841563"/>
    <w:rsid w:val="00843B5B"/>
    <w:rsid w:val="008468CF"/>
    <w:rsid w:val="00851BFE"/>
    <w:rsid w:val="008537BD"/>
    <w:rsid w:val="00854D3E"/>
    <w:rsid w:val="008551B0"/>
    <w:rsid w:val="00855427"/>
    <w:rsid w:val="008613FA"/>
    <w:rsid w:val="00861557"/>
    <w:rsid w:val="00862BBA"/>
    <w:rsid w:val="00866259"/>
    <w:rsid w:val="0086683E"/>
    <w:rsid w:val="00870B9B"/>
    <w:rsid w:val="00870EC7"/>
    <w:rsid w:val="0087463E"/>
    <w:rsid w:val="00875A81"/>
    <w:rsid w:val="008763F7"/>
    <w:rsid w:val="008772A2"/>
    <w:rsid w:val="008803DD"/>
    <w:rsid w:val="00880F4D"/>
    <w:rsid w:val="008821BC"/>
    <w:rsid w:val="00882ED1"/>
    <w:rsid w:val="00883EB9"/>
    <w:rsid w:val="008A7E01"/>
    <w:rsid w:val="008B0D35"/>
    <w:rsid w:val="008B14CC"/>
    <w:rsid w:val="008B2015"/>
    <w:rsid w:val="008B3C12"/>
    <w:rsid w:val="008B4150"/>
    <w:rsid w:val="008B6993"/>
    <w:rsid w:val="008B6C89"/>
    <w:rsid w:val="008C739C"/>
    <w:rsid w:val="008C7B0E"/>
    <w:rsid w:val="008D0008"/>
    <w:rsid w:val="008D07D5"/>
    <w:rsid w:val="008D07E3"/>
    <w:rsid w:val="008D4319"/>
    <w:rsid w:val="008D59A2"/>
    <w:rsid w:val="008D5B4A"/>
    <w:rsid w:val="008D60AA"/>
    <w:rsid w:val="008D7E7E"/>
    <w:rsid w:val="008E0ADF"/>
    <w:rsid w:val="008E4FD6"/>
    <w:rsid w:val="008E5022"/>
    <w:rsid w:val="008E790A"/>
    <w:rsid w:val="008F1F90"/>
    <w:rsid w:val="008F50F6"/>
    <w:rsid w:val="008F5CBB"/>
    <w:rsid w:val="008F6F29"/>
    <w:rsid w:val="008F743C"/>
    <w:rsid w:val="008F7BC2"/>
    <w:rsid w:val="00901A6A"/>
    <w:rsid w:val="00903EAE"/>
    <w:rsid w:val="00906C0A"/>
    <w:rsid w:val="0091201E"/>
    <w:rsid w:val="00912CBA"/>
    <w:rsid w:val="00913546"/>
    <w:rsid w:val="00913F6A"/>
    <w:rsid w:val="00914287"/>
    <w:rsid w:val="00914EC0"/>
    <w:rsid w:val="0091635C"/>
    <w:rsid w:val="009169F6"/>
    <w:rsid w:val="00916B13"/>
    <w:rsid w:val="00924A7C"/>
    <w:rsid w:val="009270A5"/>
    <w:rsid w:val="0093206D"/>
    <w:rsid w:val="00934283"/>
    <w:rsid w:val="009356A2"/>
    <w:rsid w:val="00935A69"/>
    <w:rsid w:val="009373AE"/>
    <w:rsid w:val="00946729"/>
    <w:rsid w:val="00953DB9"/>
    <w:rsid w:val="00954D9A"/>
    <w:rsid w:val="00957A73"/>
    <w:rsid w:val="00960EC7"/>
    <w:rsid w:val="00962F28"/>
    <w:rsid w:val="009633A3"/>
    <w:rsid w:val="00965850"/>
    <w:rsid w:val="0096685C"/>
    <w:rsid w:val="0097251E"/>
    <w:rsid w:val="00972FD9"/>
    <w:rsid w:val="00975132"/>
    <w:rsid w:val="009760C0"/>
    <w:rsid w:val="0098041F"/>
    <w:rsid w:val="00980A8F"/>
    <w:rsid w:val="009815DB"/>
    <w:rsid w:val="00983A66"/>
    <w:rsid w:val="00983C57"/>
    <w:rsid w:val="00984293"/>
    <w:rsid w:val="009860C3"/>
    <w:rsid w:val="009867A4"/>
    <w:rsid w:val="0098772C"/>
    <w:rsid w:val="009877B9"/>
    <w:rsid w:val="00990912"/>
    <w:rsid w:val="00991578"/>
    <w:rsid w:val="00992155"/>
    <w:rsid w:val="00992359"/>
    <w:rsid w:val="00993722"/>
    <w:rsid w:val="009940E0"/>
    <w:rsid w:val="0099702B"/>
    <w:rsid w:val="00997113"/>
    <w:rsid w:val="009A05B3"/>
    <w:rsid w:val="009A1ED4"/>
    <w:rsid w:val="009A2E34"/>
    <w:rsid w:val="009A36C2"/>
    <w:rsid w:val="009A45EE"/>
    <w:rsid w:val="009B1865"/>
    <w:rsid w:val="009B1DF3"/>
    <w:rsid w:val="009B3F4F"/>
    <w:rsid w:val="009B3F88"/>
    <w:rsid w:val="009C4536"/>
    <w:rsid w:val="009C7D5E"/>
    <w:rsid w:val="009D1A95"/>
    <w:rsid w:val="009D27DB"/>
    <w:rsid w:val="009D7E32"/>
    <w:rsid w:val="009E0606"/>
    <w:rsid w:val="009E06A4"/>
    <w:rsid w:val="009E06A6"/>
    <w:rsid w:val="009E080E"/>
    <w:rsid w:val="009E3ADA"/>
    <w:rsid w:val="009E3CFB"/>
    <w:rsid w:val="009E47DA"/>
    <w:rsid w:val="009E59B1"/>
    <w:rsid w:val="009E788F"/>
    <w:rsid w:val="009F03EA"/>
    <w:rsid w:val="009F3192"/>
    <w:rsid w:val="009F3A1F"/>
    <w:rsid w:val="009F5434"/>
    <w:rsid w:val="009F6C90"/>
    <w:rsid w:val="009F7917"/>
    <w:rsid w:val="009F7A02"/>
    <w:rsid w:val="00A03989"/>
    <w:rsid w:val="00A0403A"/>
    <w:rsid w:val="00A0517A"/>
    <w:rsid w:val="00A129FC"/>
    <w:rsid w:val="00A1335D"/>
    <w:rsid w:val="00A13D46"/>
    <w:rsid w:val="00A14BBE"/>
    <w:rsid w:val="00A14E17"/>
    <w:rsid w:val="00A1544C"/>
    <w:rsid w:val="00A16235"/>
    <w:rsid w:val="00A162F3"/>
    <w:rsid w:val="00A16ADB"/>
    <w:rsid w:val="00A201D9"/>
    <w:rsid w:val="00A202A2"/>
    <w:rsid w:val="00A21469"/>
    <w:rsid w:val="00A228F7"/>
    <w:rsid w:val="00A27F81"/>
    <w:rsid w:val="00A31863"/>
    <w:rsid w:val="00A326D2"/>
    <w:rsid w:val="00A3457B"/>
    <w:rsid w:val="00A36C3F"/>
    <w:rsid w:val="00A371A3"/>
    <w:rsid w:val="00A41931"/>
    <w:rsid w:val="00A454AE"/>
    <w:rsid w:val="00A45603"/>
    <w:rsid w:val="00A4618E"/>
    <w:rsid w:val="00A507FB"/>
    <w:rsid w:val="00A516C3"/>
    <w:rsid w:val="00A556BF"/>
    <w:rsid w:val="00A5684F"/>
    <w:rsid w:val="00A56F37"/>
    <w:rsid w:val="00A570C0"/>
    <w:rsid w:val="00A60D82"/>
    <w:rsid w:val="00A61E6D"/>
    <w:rsid w:val="00A65008"/>
    <w:rsid w:val="00A656ED"/>
    <w:rsid w:val="00A6597D"/>
    <w:rsid w:val="00A667F7"/>
    <w:rsid w:val="00A67D96"/>
    <w:rsid w:val="00A73131"/>
    <w:rsid w:val="00A734AC"/>
    <w:rsid w:val="00A7443E"/>
    <w:rsid w:val="00A748DD"/>
    <w:rsid w:val="00A75027"/>
    <w:rsid w:val="00A753E3"/>
    <w:rsid w:val="00A76CE7"/>
    <w:rsid w:val="00A76D04"/>
    <w:rsid w:val="00A80468"/>
    <w:rsid w:val="00A81058"/>
    <w:rsid w:val="00A81184"/>
    <w:rsid w:val="00A84586"/>
    <w:rsid w:val="00A84F89"/>
    <w:rsid w:val="00A85270"/>
    <w:rsid w:val="00A85E99"/>
    <w:rsid w:val="00A9799B"/>
    <w:rsid w:val="00AA0D95"/>
    <w:rsid w:val="00AA43B4"/>
    <w:rsid w:val="00AA4E70"/>
    <w:rsid w:val="00AA6AD3"/>
    <w:rsid w:val="00AA72B4"/>
    <w:rsid w:val="00AB1A85"/>
    <w:rsid w:val="00AB28D2"/>
    <w:rsid w:val="00AB3F98"/>
    <w:rsid w:val="00AB413E"/>
    <w:rsid w:val="00AB431E"/>
    <w:rsid w:val="00AB434F"/>
    <w:rsid w:val="00AB54CF"/>
    <w:rsid w:val="00AB5DF3"/>
    <w:rsid w:val="00AC0706"/>
    <w:rsid w:val="00AC0DEE"/>
    <w:rsid w:val="00AC1382"/>
    <w:rsid w:val="00AC2953"/>
    <w:rsid w:val="00AC362C"/>
    <w:rsid w:val="00AC47B8"/>
    <w:rsid w:val="00AC4CF8"/>
    <w:rsid w:val="00AC63A5"/>
    <w:rsid w:val="00AC654C"/>
    <w:rsid w:val="00AC69F4"/>
    <w:rsid w:val="00AC733B"/>
    <w:rsid w:val="00AC798B"/>
    <w:rsid w:val="00AD1B89"/>
    <w:rsid w:val="00AE0451"/>
    <w:rsid w:val="00AE129F"/>
    <w:rsid w:val="00AE399F"/>
    <w:rsid w:val="00AE6111"/>
    <w:rsid w:val="00AE6787"/>
    <w:rsid w:val="00AF6358"/>
    <w:rsid w:val="00AF6608"/>
    <w:rsid w:val="00AF7C55"/>
    <w:rsid w:val="00B001B1"/>
    <w:rsid w:val="00B0030C"/>
    <w:rsid w:val="00B01BD4"/>
    <w:rsid w:val="00B01E6B"/>
    <w:rsid w:val="00B02977"/>
    <w:rsid w:val="00B042E9"/>
    <w:rsid w:val="00B0489C"/>
    <w:rsid w:val="00B11970"/>
    <w:rsid w:val="00B121E6"/>
    <w:rsid w:val="00B139E0"/>
    <w:rsid w:val="00B16DDE"/>
    <w:rsid w:val="00B24530"/>
    <w:rsid w:val="00B26124"/>
    <w:rsid w:val="00B305BD"/>
    <w:rsid w:val="00B32948"/>
    <w:rsid w:val="00B3365B"/>
    <w:rsid w:val="00B36CC3"/>
    <w:rsid w:val="00B40199"/>
    <w:rsid w:val="00B407F2"/>
    <w:rsid w:val="00B4292D"/>
    <w:rsid w:val="00B42F77"/>
    <w:rsid w:val="00B52C3B"/>
    <w:rsid w:val="00B53DDB"/>
    <w:rsid w:val="00B545FC"/>
    <w:rsid w:val="00B54D98"/>
    <w:rsid w:val="00B554D7"/>
    <w:rsid w:val="00B55B6D"/>
    <w:rsid w:val="00B64FC0"/>
    <w:rsid w:val="00B6608C"/>
    <w:rsid w:val="00B67F54"/>
    <w:rsid w:val="00B7011E"/>
    <w:rsid w:val="00B72F39"/>
    <w:rsid w:val="00B7470A"/>
    <w:rsid w:val="00B76F43"/>
    <w:rsid w:val="00B7724F"/>
    <w:rsid w:val="00B804E1"/>
    <w:rsid w:val="00B81E78"/>
    <w:rsid w:val="00B81F8F"/>
    <w:rsid w:val="00B82578"/>
    <w:rsid w:val="00B828E6"/>
    <w:rsid w:val="00B854EA"/>
    <w:rsid w:val="00B859BE"/>
    <w:rsid w:val="00B90787"/>
    <w:rsid w:val="00B91342"/>
    <w:rsid w:val="00B926F2"/>
    <w:rsid w:val="00B928D8"/>
    <w:rsid w:val="00B948BC"/>
    <w:rsid w:val="00B958DB"/>
    <w:rsid w:val="00B96532"/>
    <w:rsid w:val="00B9689C"/>
    <w:rsid w:val="00B9709E"/>
    <w:rsid w:val="00B977B7"/>
    <w:rsid w:val="00BA06FF"/>
    <w:rsid w:val="00BA223E"/>
    <w:rsid w:val="00BA66A7"/>
    <w:rsid w:val="00BA6A78"/>
    <w:rsid w:val="00BA76B0"/>
    <w:rsid w:val="00BB2FF5"/>
    <w:rsid w:val="00BB3178"/>
    <w:rsid w:val="00BB443B"/>
    <w:rsid w:val="00BB5DD6"/>
    <w:rsid w:val="00BB5F18"/>
    <w:rsid w:val="00BB680F"/>
    <w:rsid w:val="00BB70F2"/>
    <w:rsid w:val="00BC0558"/>
    <w:rsid w:val="00BC1988"/>
    <w:rsid w:val="00BC19B9"/>
    <w:rsid w:val="00BC3A82"/>
    <w:rsid w:val="00BC3B18"/>
    <w:rsid w:val="00BC4742"/>
    <w:rsid w:val="00BC4E35"/>
    <w:rsid w:val="00BD2FEA"/>
    <w:rsid w:val="00BD3762"/>
    <w:rsid w:val="00BD56B6"/>
    <w:rsid w:val="00BE17CC"/>
    <w:rsid w:val="00BE6789"/>
    <w:rsid w:val="00BF2A19"/>
    <w:rsid w:val="00BF2BD1"/>
    <w:rsid w:val="00BF300D"/>
    <w:rsid w:val="00BF4B81"/>
    <w:rsid w:val="00BF4F33"/>
    <w:rsid w:val="00C02EE8"/>
    <w:rsid w:val="00C049EB"/>
    <w:rsid w:val="00C05A18"/>
    <w:rsid w:val="00C05C80"/>
    <w:rsid w:val="00C06182"/>
    <w:rsid w:val="00C1027D"/>
    <w:rsid w:val="00C102EA"/>
    <w:rsid w:val="00C10A1F"/>
    <w:rsid w:val="00C1515E"/>
    <w:rsid w:val="00C153F4"/>
    <w:rsid w:val="00C16C54"/>
    <w:rsid w:val="00C17136"/>
    <w:rsid w:val="00C1743B"/>
    <w:rsid w:val="00C17588"/>
    <w:rsid w:val="00C209BC"/>
    <w:rsid w:val="00C22D41"/>
    <w:rsid w:val="00C243AB"/>
    <w:rsid w:val="00C24C96"/>
    <w:rsid w:val="00C26AEB"/>
    <w:rsid w:val="00C312F9"/>
    <w:rsid w:val="00C31DD4"/>
    <w:rsid w:val="00C31E6E"/>
    <w:rsid w:val="00C334A4"/>
    <w:rsid w:val="00C34622"/>
    <w:rsid w:val="00C349F9"/>
    <w:rsid w:val="00C35139"/>
    <w:rsid w:val="00C35191"/>
    <w:rsid w:val="00C37125"/>
    <w:rsid w:val="00C40C54"/>
    <w:rsid w:val="00C4116A"/>
    <w:rsid w:val="00C420E9"/>
    <w:rsid w:val="00C430F5"/>
    <w:rsid w:val="00C44811"/>
    <w:rsid w:val="00C457EB"/>
    <w:rsid w:val="00C476D5"/>
    <w:rsid w:val="00C50F42"/>
    <w:rsid w:val="00C525E8"/>
    <w:rsid w:val="00C52844"/>
    <w:rsid w:val="00C558BD"/>
    <w:rsid w:val="00C55AA0"/>
    <w:rsid w:val="00C57E8F"/>
    <w:rsid w:val="00C63053"/>
    <w:rsid w:val="00C654E8"/>
    <w:rsid w:val="00C6634A"/>
    <w:rsid w:val="00C66927"/>
    <w:rsid w:val="00C736DB"/>
    <w:rsid w:val="00C748C9"/>
    <w:rsid w:val="00C74BC2"/>
    <w:rsid w:val="00C752EC"/>
    <w:rsid w:val="00C7655A"/>
    <w:rsid w:val="00C77B75"/>
    <w:rsid w:val="00C83ADA"/>
    <w:rsid w:val="00C83C4D"/>
    <w:rsid w:val="00C867D7"/>
    <w:rsid w:val="00C86D17"/>
    <w:rsid w:val="00C95361"/>
    <w:rsid w:val="00C97669"/>
    <w:rsid w:val="00C976FF"/>
    <w:rsid w:val="00CA12A3"/>
    <w:rsid w:val="00CA1C08"/>
    <w:rsid w:val="00CA4EBB"/>
    <w:rsid w:val="00CA73D6"/>
    <w:rsid w:val="00CB2622"/>
    <w:rsid w:val="00CB61D9"/>
    <w:rsid w:val="00CB7056"/>
    <w:rsid w:val="00CB743E"/>
    <w:rsid w:val="00CC063E"/>
    <w:rsid w:val="00CC2817"/>
    <w:rsid w:val="00CC5381"/>
    <w:rsid w:val="00CC6610"/>
    <w:rsid w:val="00CC7911"/>
    <w:rsid w:val="00CC7E16"/>
    <w:rsid w:val="00CD1F3D"/>
    <w:rsid w:val="00CE1DB2"/>
    <w:rsid w:val="00CF2C59"/>
    <w:rsid w:val="00CF307D"/>
    <w:rsid w:val="00CF36AB"/>
    <w:rsid w:val="00CF51AF"/>
    <w:rsid w:val="00CF6884"/>
    <w:rsid w:val="00D003D1"/>
    <w:rsid w:val="00D02048"/>
    <w:rsid w:val="00D02AFE"/>
    <w:rsid w:val="00D03555"/>
    <w:rsid w:val="00D056C2"/>
    <w:rsid w:val="00D0612E"/>
    <w:rsid w:val="00D07828"/>
    <w:rsid w:val="00D10237"/>
    <w:rsid w:val="00D103B9"/>
    <w:rsid w:val="00D11A58"/>
    <w:rsid w:val="00D11DDB"/>
    <w:rsid w:val="00D14D4A"/>
    <w:rsid w:val="00D20673"/>
    <w:rsid w:val="00D20766"/>
    <w:rsid w:val="00D20837"/>
    <w:rsid w:val="00D21B61"/>
    <w:rsid w:val="00D225C2"/>
    <w:rsid w:val="00D22ADD"/>
    <w:rsid w:val="00D23759"/>
    <w:rsid w:val="00D2523A"/>
    <w:rsid w:val="00D261A5"/>
    <w:rsid w:val="00D279E8"/>
    <w:rsid w:val="00D314A0"/>
    <w:rsid w:val="00D31866"/>
    <w:rsid w:val="00D32C21"/>
    <w:rsid w:val="00D371C9"/>
    <w:rsid w:val="00D40709"/>
    <w:rsid w:val="00D43E06"/>
    <w:rsid w:val="00D53AD7"/>
    <w:rsid w:val="00D55935"/>
    <w:rsid w:val="00D56549"/>
    <w:rsid w:val="00D57EC4"/>
    <w:rsid w:val="00D6399E"/>
    <w:rsid w:val="00D639A1"/>
    <w:rsid w:val="00D64ED5"/>
    <w:rsid w:val="00D65E8C"/>
    <w:rsid w:val="00D66C2C"/>
    <w:rsid w:val="00D7049C"/>
    <w:rsid w:val="00D727EE"/>
    <w:rsid w:val="00D74536"/>
    <w:rsid w:val="00D74BB4"/>
    <w:rsid w:val="00D758ED"/>
    <w:rsid w:val="00D75D46"/>
    <w:rsid w:val="00D762C8"/>
    <w:rsid w:val="00D7682F"/>
    <w:rsid w:val="00D8057F"/>
    <w:rsid w:val="00D80F71"/>
    <w:rsid w:val="00D816A5"/>
    <w:rsid w:val="00D84651"/>
    <w:rsid w:val="00D85449"/>
    <w:rsid w:val="00D85658"/>
    <w:rsid w:val="00D857B6"/>
    <w:rsid w:val="00D906B5"/>
    <w:rsid w:val="00D90C20"/>
    <w:rsid w:val="00D915D7"/>
    <w:rsid w:val="00D91F3A"/>
    <w:rsid w:val="00D926D0"/>
    <w:rsid w:val="00D92AEE"/>
    <w:rsid w:val="00D93B77"/>
    <w:rsid w:val="00D9524B"/>
    <w:rsid w:val="00DA27FA"/>
    <w:rsid w:val="00DA3996"/>
    <w:rsid w:val="00DA5D47"/>
    <w:rsid w:val="00DA5E10"/>
    <w:rsid w:val="00DA65C2"/>
    <w:rsid w:val="00DB037E"/>
    <w:rsid w:val="00DB2C83"/>
    <w:rsid w:val="00DB401E"/>
    <w:rsid w:val="00DB5E57"/>
    <w:rsid w:val="00DB5F0C"/>
    <w:rsid w:val="00DB6DE5"/>
    <w:rsid w:val="00DC15D7"/>
    <w:rsid w:val="00DC1DA8"/>
    <w:rsid w:val="00DC2C8F"/>
    <w:rsid w:val="00DC4B45"/>
    <w:rsid w:val="00DC58B1"/>
    <w:rsid w:val="00DC5FF4"/>
    <w:rsid w:val="00DD16FF"/>
    <w:rsid w:val="00DD24F5"/>
    <w:rsid w:val="00DD2F61"/>
    <w:rsid w:val="00DD501A"/>
    <w:rsid w:val="00DD5438"/>
    <w:rsid w:val="00DD675B"/>
    <w:rsid w:val="00DD78E7"/>
    <w:rsid w:val="00DE1867"/>
    <w:rsid w:val="00DE36C4"/>
    <w:rsid w:val="00DE4E32"/>
    <w:rsid w:val="00DE57EC"/>
    <w:rsid w:val="00DF23DD"/>
    <w:rsid w:val="00DF35DF"/>
    <w:rsid w:val="00DF4B8C"/>
    <w:rsid w:val="00DF5F13"/>
    <w:rsid w:val="00DF7123"/>
    <w:rsid w:val="00E00393"/>
    <w:rsid w:val="00E00DAC"/>
    <w:rsid w:val="00E03B15"/>
    <w:rsid w:val="00E03E22"/>
    <w:rsid w:val="00E05D49"/>
    <w:rsid w:val="00E067A0"/>
    <w:rsid w:val="00E07B52"/>
    <w:rsid w:val="00E10650"/>
    <w:rsid w:val="00E10655"/>
    <w:rsid w:val="00E122E3"/>
    <w:rsid w:val="00E157D0"/>
    <w:rsid w:val="00E16472"/>
    <w:rsid w:val="00E24688"/>
    <w:rsid w:val="00E251C3"/>
    <w:rsid w:val="00E25329"/>
    <w:rsid w:val="00E26C13"/>
    <w:rsid w:val="00E302F4"/>
    <w:rsid w:val="00E309BE"/>
    <w:rsid w:val="00E33B74"/>
    <w:rsid w:val="00E3474D"/>
    <w:rsid w:val="00E357E9"/>
    <w:rsid w:val="00E363FB"/>
    <w:rsid w:val="00E41C39"/>
    <w:rsid w:val="00E45A06"/>
    <w:rsid w:val="00E45A7D"/>
    <w:rsid w:val="00E52727"/>
    <w:rsid w:val="00E5533D"/>
    <w:rsid w:val="00E60684"/>
    <w:rsid w:val="00E61FAB"/>
    <w:rsid w:val="00E62F35"/>
    <w:rsid w:val="00E6591E"/>
    <w:rsid w:val="00E66191"/>
    <w:rsid w:val="00E70A86"/>
    <w:rsid w:val="00E70BF2"/>
    <w:rsid w:val="00E71272"/>
    <w:rsid w:val="00E720C2"/>
    <w:rsid w:val="00E821BF"/>
    <w:rsid w:val="00E82F06"/>
    <w:rsid w:val="00E82FF1"/>
    <w:rsid w:val="00E86257"/>
    <w:rsid w:val="00E90CD6"/>
    <w:rsid w:val="00E9191B"/>
    <w:rsid w:val="00E91BF9"/>
    <w:rsid w:val="00E92B87"/>
    <w:rsid w:val="00E9441D"/>
    <w:rsid w:val="00E94B5D"/>
    <w:rsid w:val="00E969E6"/>
    <w:rsid w:val="00E9723C"/>
    <w:rsid w:val="00EA0AC0"/>
    <w:rsid w:val="00EA1FE1"/>
    <w:rsid w:val="00EA316C"/>
    <w:rsid w:val="00EA331F"/>
    <w:rsid w:val="00EA3B75"/>
    <w:rsid w:val="00EA46CA"/>
    <w:rsid w:val="00EB2F19"/>
    <w:rsid w:val="00EB4F91"/>
    <w:rsid w:val="00EB66C5"/>
    <w:rsid w:val="00EB6DF4"/>
    <w:rsid w:val="00EC0567"/>
    <w:rsid w:val="00EC358A"/>
    <w:rsid w:val="00EC4033"/>
    <w:rsid w:val="00ED1093"/>
    <w:rsid w:val="00ED27F2"/>
    <w:rsid w:val="00ED2B25"/>
    <w:rsid w:val="00ED4698"/>
    <w:rsid w:val="00ED4CF5"/>
    <w:rsid w:val="00ED5080"/>
    <w:rsid w:val="00ED75D0"/>
    <w:rsid w:val="00EE0085"/>
    <w:rsid w:val="00EE00FD"/>
    <w:rsid w:val="00EE0760"/>
    <w:rsid w:val="00EE1902"/>
    <w:rsid w:val="00EE26DE"/>
    <w:rsid w:val="00EE38F4"/>
    <w:rsid w:val="00EE53FB"/>
    <w:rsid w:val="00EE5CB6"/>
    <w:rsid w:val="00EF5C96"/>
    <w:rsid w:val="00EF6DBD"/>
    <w:rsid w:val="00EF7621"/>
    <w:rsid w:val="00F01719"/>
    <w:rsid w:val="00F02484"/>
    <w:rsid w:val="00F05DCE"/>
    <w:rsid w:val="00F0629B"/>
    <w:rsid w:val="00F062B5"/>
    <w:rsid w:val="00F07409"/>
    <w:rsid w:val="00F07B6D"/>
    <w:rsid w:val="00F10FF2"/>
    <w:rsid w:val="00F114B4"/>
    <w:rsid w:val="00F11BEC"/>
    <w:rsid w:val="00F12863"/>
    <w:rsid w:val="00F13199"/>
    <w:rsid w:val="00F13D41"/>
    <w:rsid w:val="00F15C08"/>
    <w:rsid w:val="00F16CE1"/>
    <w:rsid w:val="00F17A82"/>
    <w:rsid w:val="00F20F29"/>
    <w:rsid w:val="00F22996"/>
    <w:rsid w:val="00F23D18"/>
    <w:rsid w:val="00F265C9"/>
    <w:rsid w:val="00F26DCC"/>
    <w:rsid w:val="00F27E3A"/>
    <w:rsid w:val="00F31468"/>
    <w:rsid w:val="00F317CF"/>
    <w:rsid w:val="00F31D36"/>
    <w:rsid w:val="00F32546"/>
    <w:rsid w:val="00F32FEC"/>
    <w:rsid w:val="00F34CD5"/>
    <w:rsid w:val="00F35B62"/>
    <w:rsid w:val="00F3796C"/>
    <w:rsid w:val="00F37F65"/>
    <w:rsid w:val="00F47762"/>
    <w:rsid w:val="00F545F0"/>
    <w:rsid w:val="00F549E5"/>
    <w:rsid w:val="00F5757A"/>
    <w:rsid w:val="00F576A3"/>
    <w:rsid w:val="00F61C8F"/>
    <w:rsid w:val="00F63D1D"/>
    <w:rsid w:val="00F64D90"/>
    <w:rsid w:val="00F65B4E"/>
    <w:rsid w:val="00F67023"/>
    <w:rsid w:val="00F70AFB"/>
    <w:rsid w:val="00F74B2E"/>
    <w:rsid w:val="00F75E79"/>
    <w:rsid w:val="00F764DC"/>
    <w:rsid w:val="00F76AC7"/>
    <w:rsid w:val="00F8143B"/>
    <w:rsid w:val="00F847AD"/>
    <w:rsid w:val="00F904CC"/>
    <w:rsid w:val="00F91D9B"/>
    <w:rsid w:val="00F93546"/>
    <w:rsid w:val="00F948EA"/>
    <w:rsid w:val="00F94A0E"/>
    <w:rsid w:val="00F94F36"/>
    <w:rsid w:val="00F9570F"/>
    <w:rsid w:val="00F973C7"/>
    <w:rsid w:val="00FA2700"/>
    <w:rsid w:val="00FA3329"/>
    <w:rsid w:val="00FA3A23"/>
    <w:rsid w:val="00FA45E4"/>
    <w:rsid w:val="00FA6F2B"/>
    <w:rsid w:val="00FB11E9"/>
    <w:rsid w:val="00FB1DF7"/>
    <w:rsid w:val="00FB255B"/>
    <w:rsid w:val="00FB3B65"/>
    <w:rsid w:val="00FB442E"/>
    <w:rsid w:val="00FB5153"/>
    <w:rsid w:val="00FB5823"/>
    <w:rsid w:val="00FB605B"/>
    <w:rsid w:val="00FB6517"/>
    <w:rsid w:val="00FB659C"/>
    <w:rsid w:val="00FC01AC"/>
    <w:rsid w:val="00FC0627"/>
    <w:rsid w:val="00FC4BFE"/>
    <w:rsid w:val="00FC7191"/>
    <w:rsid w:val="00FD2A81"/>
    <w:rsid w:val="00FD2BBC"/>
    <w:rsid w:val="00FE03AA"/>
    <w:rsid w:val="00FE099C"/>
    <w:rsid w:val="00FE120E"/>
    <w:rsid w:val="00FE2223"/>
    <w:rsid w:val="00FE2226"/>
    <w:rsid w:val="00FE54BF"/>
    <w:rsid w:val="00FE65D5"/>
    <w:rsid w:val="00FF2E03"/>
    <w:rsid w:val="00FF2E50"/>
    <w:rsid w:val="00FF4245"/>
    <w:rsid w:val="00FF48A7"/>
    <w:rsid w:val="00FF4DAA"/>
    <w:rsid w:val="00FF7F34"/>
  </w:rsids>
  <m:mathPr>
    <m:mathFont m:val="Cambria Math"/>
    <m:brkBin m:val="before"/>
    <m:brkBinSub m:val="--"/>
    <m:smallFrac/>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DFD9627"/>
  <w15:docId w15:val="{9A5D1779-2E59-4CDC-A4AE-8831A8CFD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fr-FR" w:eastAsia="fr-FR"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4251F"/>
    <w:pPr>
      <w:keepNext/>
      <w:tabs>
        <w:tab w:val="left" w:pos="567"/>
      </w:tabs>
      <w:snapToGrid w:val="0"/>
      <w:spacing w:line="280" w:lineRule="exact"/>
      <w:ind w:left="851"/>
      <w:jc w:val="both"/>
    </w:pPr>
    <w:rPr>
      <w:rFonts w:ascii="Arial" w:eastAsia="SimSun" w:hAnsi="Arial" w:cs="Arial"/>
      <w:lang w:eastAsia="zh-CN"/>
    </w:rPr>
  </w:style>
  <w:style w:type="paragraph" w:styleId="Heading1">
    <w:name w:val="heading 1"/>
    <w:basedOn w:val="Normal"/>
    <w:next w:val="Normal"/>
    <w:link w:val="Heading1Char"/>
    <w:qFormat/>
    <w:rsid w:val="00701EE2"/>
    <w:pPr>
      <w:keepLines/>
      <w:numPr>
        <w:numId w:val="3"/>
      </w:numPr>
      <w:pBdr>
        <w:bottom w:val="single" w:sz="4" w:space="1" w:color="auto"/>
      </w:pBdr>
      <w:spacing w:before="480" w:after="240"/>
      <w:jc w:val="left"/>
      <w:outlineLvl w:val="0"/>
    </w:pPr>
    <w:rPr>
      <w:rFonts w:eastAsia="Times New Roman"/>
      <w:bCs/>
      <w:kern w:val="28"/>
      <w:sz w:val="52"/>
      <w:szCs w:val="52"/>
    </w:rPr>
  </w:style>
  <w:style w:type="paragraph" w:styleId="Heading2">
    <w:name w:val="heading 2"/>
    <w:basedOn w:val="Normal"/>
    <w:next w:val="Normal"/>
    <w:link w:val="Heading2Char"/>
    <w:qFormat/>
    <w:rsid w:val="00701EE2"/>
    <w:pPr>
      <w:keepLines/>
      <w:numPr>
        <w:ilvl w:val="1"/>
        <w:numId w:val="3"/>
      </w:numPr>
      <w:spacing w:before="480" w:after="240"/>
      <w:outlineLvl w:val="1"/>
    </w:pPr>
    <w:rPr>
      <w:rFonts w:eastAsia="Times New Roman"/>
      <w:b/>
      <w:bCs/>
      <w:caps/>
      <w:kern w:val="28"/>
      <w:sz w:val="28"/>
      <w:szCs w:val="28"/>
      <w:lang w:val="en-US"/>
    </w:rPr>
  </w:style>
  <w:style w:type="paragraph" w:styleId="Heading3">
    <w:name w:val="heading 3"/>
    <w:basedOn w:val="Normal"/>
    <w:next w:val="Normal"/>
    <w:link w:val="Heading3Char"/>
    <w:qFormat/>
    <w:rsid w:val="00701EE2"/>
    <w:pPr>
      <w:keepLines/>
      <w:numPr>
        <w:ilvl w:val="2"/>
        <w:numId w:val="3"/>
      </w:numPr>
      <w:tabs>
        <w:tab w:val="clear" w:pos="567"/>
      </w:tabs>
      <w:spacing w:before="240"/>
      <w:outlineLvl w:val="2"/>
    </w:pPr>
    <w:rPr>
      <w:b/>
      <w:bCs/>
      <w:caps/>
      <w:kern w:val="28"/>
      <w:szCs w:val="22"/>
    </w:rPr>
  </w:style>
  <w:style w:type="paragraph" w:styleId="Heading4">
    <w:name w:val="heading 4"/>
    <w:basedOn w:val="Normal"/>
    <w:next w:val="Normal"/>
    <w:link w:val="Heading4Char"/>
    <w:rsid w:val="000651E6"/>
    <w:pPr>
      <w:tabs>
        <w:tab w:val="clear" w:pos="567"/>
      </w:tabs>
      <w:spacing w:before="480" w:after="240" w:line="300" w:lineRule="exact"/>
      <w:ind w:left="0"/>
      <w:jc w:val="left"/>
      <w:outlineLvl w:val="3"/>
    </w:pPr>
    <w:rPr>
      <w:rFonts w:eastAsia="Times New Roman"/>
      <w:b/>
      <w:bCs/>
      <w:caps/>
      <w:lang w:eastAsia="en-US"/>
    </w:rPr>
  </w:style>
  <w:style w:type="paragraph" w:styleId="Heading5">
    <w:name w:val="heading 5"/>
    <w:basedOn w:val="Normal"/>
    <w:next w:val="Normal"/>
    <w:link w:val="Heading5Char"/>
    <w:qFormat/>
    <w:rsid w:val="00701EE2"/>
    <w:pPr>
      <w:numPr>
        <w:ilvl w:val="4"/>
        <w:numId w:val="3"/>
      </w:numPr>
      <w:outlineLvl w:val="4"/>
    </w:pPr>
    <w:rPr>
      <w:b/>
    </w:rPr>
  </w:style>
  <w:style w:type="paragraph" w:styleId="Heading6">
    <w:name w:val="heading 6"/>
    <w:basedOn w:val="Normal"/>
    <w:next w:val="Normal"/>
    <w:link w:val="Heading6Char"/>
    <w:qFormat/>
    <w:rsid w:val="00701EE2"/>
    <w:pPr>
      <w:keepLines/>
      <w:numPr>
        <w:ilvl w:val="5"/>
        <w:numId w:val="3"/>
      </w:numPr>
      <w:tabs>
        <w:tab w:val="left" w:pos="1134"/>
      </w:tabs>
      <w:spacing w:after="240"/>
      <w:outlineLvl w:val="5"/>
    </w:pPr>
    <w:rPr>
      <w:rFonts w:eastAsia="Times New Roman"/>
      <w:b/>
      <w:iCs/>
      <w:szCs w:val="22"/>
      <w:lang w:val="en-US" w:eastAsia="x-none"/>
    </w:rPr>
  </w:style>
  <w:style w:type="paragraph" w:styleId="Heading7">
    <w:name w:val="heading 7"/>
    <w:basedOn w:val="Normal"/>
    <w:next w:val="Normal"/>
    <w:link w:val="Heading7Char"/>
    <w:qFormat/>
    <w:rsid w:val="00CB61D9"/>
    <w:pPr>
      <w:numPr>
        <w:ilvl w:val="6"/>
        <w:numId w:val="3"/>
      </w:numPr>
      <w:adjustRightInd w:val="0"/>
      <w:spacing w:after="240"/>
      <w:outlineLvl w:val="6"/>
    </w:pPr>
    <w:rPr>
      <w:rFonts w:cs="Times New Roman"/>
      <w:i/>
      <w:snapToGrid w:val="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1EE2"/>
    <w:rPr>
      <w:rFonts w:ascii="Arial" w:hAnsi="Arial" w:cs="Arial"/>
      <w:bCs/>
      <w:kern w:val="28"/>
      <w:sz w:val="52"/>
      <w:szCs w:val="52"/>
      <w:lang w:val="fr-FR" w:eastAsia="zh-CN" w:bidi="ar-SA"/>
    </w:rPr>
  </w:style>
  <w:style w:type="character" w:customStyle="1" w:styleId="Heading2Char">
    <w:name w:val="Heading 2 Char"/>
    <w:link w:val="Heading2"/>
    <w:rsid w:val="00701EE2"/>
    <w:rPr>
      <w:rFonts w:ascii="Arial" w:hAnsi="Arial" w:cs="Arial"/>
      <w:b/>
      <w:bCs/>
      <w:caps/>
      <w:kern w:val="28"/>
      <w:sz w:val="28"/>
      <w:szCs w:val="28"/>
      <w:lang w:val="en-US" w:eastAsia="zh-CN" w:bidi="ar-SA"/>
    </w:rPr>
  </w:style>
  <w:style w:type="character" w:customStyle="1" w:styleId="Heading3Char">
    <w:name w:val="Heading 3 Char"/>
    <w:link w:val="Heading3"/>
    <w:rsid w:val="00701EE2"/>
    <w:rPr>
      <w:rFonts w:ascii="Arial" w:eastAsia="SimSun" w:hAnsi="Arial" w:cs="Arial"/>
      <w:b/>
      <w:bCs/>
      <w:caps/>
      <w:kern w:val="28"/>
      <w:szCs w:val="22"/>
      <w:lang w:val="fr-FR" w:eastAsia="zh-CN" w:bidi="ar-SA"/>
    </w:rPr>
  </w:style>
  <w:style w:type="character" w:customStyle="1" w:styleId="Heading4Char">
    <w:name w:val="Heading 4 Char"/>
    <w:link w:val="Heading4"/>
    <w:rsid w:val="000651E6"/>
    <w:rPr>
      <w:rFonts w:ascii="Arial" w:eastAsia="Times New Roman" w:hAnsi="Arial" w:cs="Arial"/>
      <w:b/>
      <w:bCs/>
      <w:caps/>
      <w:lang w:eastAsia="en-US"/>
    </w:rPr>
  </w:style>
  <w:style w:type="character" w:customStyle="1" w:styleId="Heading5Char">
    <w:name w:val="Heading 5 Char"/>
    <w:link w:val="Heading5"/>
    <w:rsid w:val="00701EE2"/>
    <w:rPr>
      <w:rFonts w:ascii="Arial" w:eastAsia="SimSun" w:hAnsi="Arial" w:cs="Arial"/>
      <w:b/>
      <w:lang w:val="fr-FR" w:eastAsia="zh-CN" w:bidi="ar-SA"/>
    </w:rPr>
  </w:style>
  <w:style w:type="character" w:customStyle="1" w:styleId="Heading6Char">
    <w:name w:val="Heading 6 Char"/>
    <w:link w:val="Heading6"/>
    <w:rsid w:val="00701EE2"/>
    <w:rPr>
      <w:rFonts w:ascii="Arial" w:hAnsi="Arial" w:cs="Arial"/>
      <w:b/>
      <w:iCs/>
      <w:szCs w:val="22"/>
      <w:lang w:val="en-US" w:eastAsia="x-none" w:bidi="ar-SA"/>
    </w:rPr>
  </w:style>
  <w:style w:type="paragraph" w:styleId="BalloonText">
    <w:name w:val="Balloon Text"/>
    <w:basedOn w:val="Normal"/>
    <w:link w:val="BalloonTextChar"/>
    <w:rsid w:val="00CB61D9"/>
    <w:pPr>
      <w:spacing w:line="240" w:lineRule="auto"/>
    </w:pPr>
    <w:rPr>
      <w:rFonts w:ascii="Lucida Grande" w:hAnsi="Lucida Grande" w:cs="Lucida Grande"/>
      <w:sz w:val="18"/>
      <w:szCs w:val="18"/>
    </w:rPr>
  </w:style>
  <w:style w:type="character" w:customStyle="1" w:styleId="BalloonTextChar">
    <w:name w:val="Balloon Text Char"/>
    <w:link w:val="BalloonText"/>
    <w:rsid w:val="00CB61D9"/>
    <w:rPr>
      <w:rFonts w:ascii="Lucida Grande" w:eastAsia="SimSun" w:hAnsi="Lucida Grande" w:cs="Lucida Grande"/>
      <w:sz w:val="18"/>
      <w:szCs w:val="18"/>
      <w:lang w:eastAsia="zh-CN"/>
    </w:rPr>
  </w:style>
  <w:style w:type="character" w:styleId="Hyperlink">
    <w:name w:val="Hyperlink"/>
    <w:uiPriority w:val="99"/>
    <w:rsid w:val="0086683E"/>
    <w:rPr>
      <w:color w:val="0000FF"/>
      <w:u w:val="single"/>
    </w:rPr>
  </w:style>
  <w:style w:type="paragraph" w:styleId="NormalWeb">
    <w:name w:val="Normal (Web)"/>
    <w:basedOn w:val="Normal"/>
    <w:rsid w:val="0086683E"/>
    <w:pPr>
      <w:spacing w:before="100" w:beforeAutospacing="1" w:after="100" w:afterAutospacing="1"/>
    </w:pPr>
    <w:rPr>
      <w:rFonts w:ascii="Times New Roman" w:eastAsia="Times New Roman" w:hAnsi="Times New Roman" w:cs="Times New Roman"/>
      <w:lang w:eastAsia="fr-FR"/>
    </w:rPr>
  </w:style>
  <w:style w:type="paragraph" w:styleId="TOC1">
    <w:name w:val="toc 1"/>
    <w:basedOn w:val="Normal"/>
    <w:next w:val="Normal"/>
    <w:autoRedefine/>
    <w:uiPriority w:val="39"/>
    <w:rsid w:val="00A73131"/>
    <w:pPr>
      <w:tabs>
        <w:tab w:val="clear" w:pos="567"/>
      </w:tabs>
      <w:spacing w:before="240" w:after="120"/>
      <w:ind w:left="0"/>
      <w:jc w:val="left"/>
    </w:pPr>
    <w:rPr>
      <w:rFonts w:asciiTheme="minorHAnsi" w:hAnsiTheme="minorHAnsi"/>
      <w:b/>
      <w:caps/>
      <w:sz w:val="22"/>
      <w:szCs w:val="22"/>
      <w:u w:val="single"/>
    </w:rPr>
  </w:style>
  <w:style w:type="paragraph" w:styleId="TOC2">
    <w:name w:val="toc 2"/>
    <w:basedOn w:val="TOC1"/>
    <w:next w:val="Normal"/>
    <w:autoRedefine/>
    <w:uiPriority w:val="39"/>
    <w:rsid w:val="00A73131"/>
    <w:pPr>
      <w:spacing w:before="0" w:after="0"/>
    </w:pPr>
    <w:rPr>
      <w:caps w:val="0"/>
      <w:smallCaps/>
      <w:u w:val="none"/>
    </w:rPr>
  </w:style>
  <w:style w:type="paragraph" w:styleId="TOC3">
    <w:name w:val="toc 3"/>
    <w:basedOn w:val="TOC1"/>
    <w:next w:val="Normal"/>
    <w:autoRedefine/>
    <w:uiPriority w:val="39"/>
    <w:rsid w:val="00A73131"/>
    <w:pPr>
      <w:spacing w:before="0" w:after="0"/>
    </w:pPr>
    <w:rPr>
      <w:b w:val="0"/>
      <w:caps w:val="0"/>
      <w:smallCaps/>
      <w:u w:val="none"/>
    </w:rPr>
  </w:style>
  <w:style w:type="paragraph" w:styleId="TOC4">
    <w:name w:val="toc 4"/>
    <w:basedOn w:val="Normal"/>
    <w:next w:val="Normal"/>
    <w:autoRedefine/>
    <w:uiPriority w:val="39"/>
    <w:rsid w:val="00A73131"/>
    <w:pPr>
      <w:tabs>
        <w:tab w:val="clear" w:pos="567"/>
      </w:tabs>
      <w:ind w:left="0"/>
      <w:jc w:val="left"/>
    </w:pPr>
    <w:rPr>
      <w:rFonts w:asciiTheme="minorHAnsi" w:hAnsiTheme="minorHAnsi"/>
      <w:sz w:val="22"/>
      <w:szCs w:val="22"/>
    </w:rPr>
  </w:style>
  <w:style w:type="paragraph" w:styleId="TOC5">
    <w:name w:val="toc 5"/>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6">
    <w:name w:val="toc 6"/>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7">
    <w:name w:val="toc 7"/>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8">
    <w:name w:val="toc 8"/>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9">
    <w:name w:val="toc 9"/>
    <w:basedOn w:val="Normal"/>
    <w:next w:val="Normal"/>
    <w:autoRedefine/>
    <w:uiPriority w:val="39"/>
    <w:rsid w:val="0086683E"/>
    <w:pPr>
      <w:tabs>
        <w:tab w:val="clear" w:pos="567"/>
      </w:tabs>
      <w:ind w:left="0"/>
      <w:jc w:val="left"/>
    </w:pPr>
    <w:rPr>
      <w:rFonts w:asciiTheme="minorHAnsi" w:hAnsiTheme="minorHAnsi"/>
      <w:sz w:val="22"/>
      <w:szCs w:val="22"/>
    </w:rPr>
  </w:style>
  <w:style w:type="character" w:customStyle="1" w:styleId="FootnoteTextChar">
    <w:name w:val="Footnote Text Char"/>
    <w:link w:val="FootnoteText"/>
    <w:locked/>
    <w:rsid w:val="003238D3"/>
    <w:rPr>
      <w:rFonts w:ascii="Arial" w:eastAsia="SimSun" w:hAnsi="Arial" w:cs="Arial"/>
      <w:snapToGrid w:val="0"/>
      <w:sz w:val="16"/>
      <w:lang w:eastAsia="zh-CN"/>
    </w:rPr>
  </w:style>
  <w:style w:type="paragraph" w:styleId="FootnoteText">
    <w:name w:val="footnote text"/>
    <w:basedOn w:val="Normal"/>
    <w:link w:val="FootnoteTextChar"/>
    <w:rsid w:val="003238D3"/>
    <w:pPr>
      <w:tabs>
        <w:tab w:val="clear" w:pos="567"/>
      </w:tabs>
      <w:spacing w:after="60" w:line="180" w:lineRule="exact"/>
      <w:ind w:left="284" w:hanging="284"/>
    </w:pPr>
    <w:rPr>
      <w:snapToGrid w:val="0"/>
      <w:sz w:val="16"/>
    </w:rPr>
  </w:style>
  <w:style w:type="paragraph" w:customStyle="1" w:styleId="citation">
    <w:name w:val="citation"/>
    <w:basedOn w:val="Texte1"/>
    <w:rsid w:val="00FB5823"/>
    <w:pPr>
      <w:ind w:left="1134" w:right="284"/>
    </w:pPr>
  </w:style>
  <w:style w:type="paragraph" w:customStyle="1" w:styleId="nui">
    <w:name w:val="énu(i)"/>
    <w:basedOn w:val="Texte1"/>
    <w:rsid w:val="00F74B2E"/>
    <w:pPr>
      <w:tabs>
        <w:tab w:val="clear" w:pos="567"/>
      </w:tabs>
      <w:ind w:left="1928" w:hanging="397"/>
    </w:pPr>
  </w:style>
  <w:style w:type="paragraph" w:customStyle="1" w:styleId="infochapitre">
    <w:name w:val="infochapitre"/>
    <w:basedOn w:val="Informations"/>
    <w:link w:val="infochapitreCar"/>
    <w:rsid w:val="003B5874"/>
    <w:pPr>
      <w:spacing w:before="60"/>
      <w:ind w:left="0"/>
    </w:pPr>
  </w:style>
  <w:style w:type="character" w:customStyle="1" w:styleId="HeaderChar">
    <w:name w:val="Header Char"/>
    <w:link w:val="Header"/>
    <w:locked/>
    <w:rsid w:val="00210D69"/>
    <w:rPr>
      <w:rFonts w:ascii="Arial" w:eastAsia="SimSun" w:hAnsi="Arial" w:cs="Arial"/>
      <w:snapToGrid w:val="0"/>
      <w:sz w:val="16"/>
      <w:lang w:val="en-US" w:eastAsia="zh-CN"/>
    </w:rPr>
  </w:style>
  <w:style w:type="paragraph" w:styleId="Header">
    <w:name w:val="header"/>
    <w:basedOn w:val="Normal"/>
    <w:link w:val="HeaderChar"/>
    <w:rsid w:val="00210D69"/>
    <w:pPr>
      <w:tabs>
        <w:tab w:val="clear" w:pos="567"/>
        <w:tab w:val="center" w:pos="4423"/>
        <w:tab w:val="right" w:pos="8845"/>
      </w:tabs>
      <w:ind w:left="0"/>
      <w:jc w:val="left"/>
    </w:pPr>
    <w:rPr>
      <w:snapToGrid w:val="0"/>
      <w:sz w:val="16"/>
      <w:lang w:val="en-US"/>
    </w:rPr>
  </w:style>
  <w:style w:type="character" w:customStyle="1" w:styleId="infochapitreCar">
    <w:name w:val="infochapitre Car"/>
    <w:link w:val="infochapitre"/>
    <w:rsid w:val="003B5874"/>
    <w:rPr>
      <w:rFonts w:ascii="Arial" w:eastAsia="SimSun" w:hAnsi="Arial" w:cs="Arial"/>
      <w:i/>
      <w:color w:val="3366FF"/>
      <w:lang w:eastAsia="zh-CN"/>
    </w:rPr>
  </w:style>
  <w:style w:type="character" w:customStyle="1" w:styleId="FooterChar">
    <w:name w:val="Footer Char"/>
    <w:link w:val="Footer"/>
    <w:locked/>
    <w:rsid w:val="00EE53FB"/>
    <w:rPr>
      <w:rFonts w:ascii="Arial" w:eastAsia="SimSun" w:hAnsi="Arial" w:cs="Arial"/>
      <w:snapToGrid w:val="0"/>
      <w:sz w:val="16"/>
      <w:szCs w:val="18"/>
      <w:lang w:eastAsia="zh-CN"/>
    </w:rPr>
  </w:style>
  <w:style w:type="paragraph" w:styleId="Footer">
    <w:name w:val="footer"/>
    <w:basedOn w:val="Normal"/>
    <w:link w:val="FooterChar"/>
    <w:rsid w:val="00EE53FB"/>
    <w:pPr>
      <w:tabs>
        <w:tab w:val="clear" w:pos="567"/>
        <w:tab w:val="center" w:pos="4423"/>
        <w:tab w:val="right" w:pos="8845"/>
      </w:tabs>
      <w:ind w:left="0"/>
      <w:jc w:val="left"/>
    </w:pPr>
    <w:rPr>
      <w:snapToGrid w:val="0"/>
      <w:sz w:val="16"/>
      <w:szCs w:val="18"/>
    </w:rPr>
  </w:style>
  <w:style w:type="paragraph" w:customStyle="1" w:styleId="Enutiret">
    <w:name w:val="Enutiret"/>
    <w:basedOn w:val="Texte1"/>
    <w:link w:val="EnutiretCarCar"/>
    <w:rsid w:val="00713A6D"/>
    <w:pPr>
      <w:numPr>
        <w:numId w:val="10"/>
      </w:numPr>
    </w:pPr>
  </w:style>
  <w:style w:type="character" w:customStyle="1" w:styleId="EndnoteTextChar">
    <w:name w:val="Endnote Text Char"/>
    <w:link w:val="EndnoteText"/>
    <w:locked/>
    <w:rsid w:val="0086683E"/>
    <w:rPr>
      <w:lang w:val="en-GB"/>
    </w:rPr>
  </w:style>
  <w:style w:type="paragraph" w:styleId="EndnoteText">
    <w:name w:val="endnote text"/>
    <w:basedOn w:val="Normal"/>
    <w:link w:val="EndnoteTextChar"/>
    <w:rsid w:val="0086683E"/>
    <w:rPr>
      <w:lang w:val="en-GB" w:eastAsia="x-none"/>
    </w:rPr>
  </w:style>
  <w:style w:type="paragraph" w:customStyle="1" w:styleId="Tabtit">
    <w:name w:val="Tabtit"/>
    <w:basedOn w:val="Texte1"/>
    <w:rsid w:val="00BE17CC"/>
    <w:pPr>
      <w:spacing w:before="240" w:after="120"/>
      <w:ind w:left="0"/>
    </w:pPr>
    <w:rPr>
      <w:b/>
      <w:lang w:eastAsia="fr-FR"/>
    </w:rPr>
  </w:style>
  <w:style w:type="character" w:customStyle="1" w:styleId="TitleChar">
    <w:name w:val="Title Char"/>
    <w:link w:val="Title"/>
    <w:locked/>
    <w:rsid w:val="00B82578"/>
    <w:rPr>
      <w:rFonts w:ascii="Arial Gras" w:eastAsia="Times New Roman" w:hAnsi="Arial Gras" w:cs="Arial"/>
      <w:b/>
      <w:caps/>
      <w:snapToGrid w:val="0"/>
      <w:color w:val="17365D"/>
      <w:sz w:val="70"/>
      <w:szCs w:val="70"/>
      <w:lang w:eastAsia="zh-CN"/>
    </w:rPr>
  </w:style>
  <w:style w:type="paragraph" w:styleId="Title">
    <w:name w:val="Title"/>
    <w:basedOn w:val="Normal"/>
    <w:next w:val="Normal"/>
    <w:link w:val="TitleChar"/>
    <w:qFormat/>
    <w:rsid w:val="00B82578"/>
    <w:pPr>
      <w:tabs>
        <w:tab w:val="clear" w:pos="567"/>
      </w:tabs>
      <w:spacing w:before="240" w:after="480" w:line="840" w:lineRule="exact"/>
      <w:ind w:left="0"/>
      <w:jc w:val="left"/>
    </w:pPr>
    <w:rPr>
      <w:rFonts w:ascii="Arial Gras" w:eastAsia="Times New Roman" w:hAnsi="Arial Gras"/>
      <w:b/>
      <w:caps/>
      <w:snapToGrid w:val="0"/>
      <w:color w:val="17365D"/>
      <w:sz w:val="70"/>
      <w:szCs w:val="70"/>
    </w:rPr>
  </w:style>
  <w:style w:type="character" w:customStyle="1" w:styleId="EnutiretCarCar">
    <w:name w:val="Enutiret Car Car"/>
    <w:link w:val="Enutiret"/>
    <w:rsid w:val="00713A6D"/>
    <w:rPr>
      <w:rFonts w:ascii="Arial" w:eastAsia="SimSun" w:hAnsi="Arial" w:cs="Arial"/>
      <w:lang w:eastAsia="zh-CN"/>
    </w:rPr>
  </w:style>
  <w:style w:type="paragraph" w:customStyle="1" w:styleId="Tabtxt">
    <w:name w:val="Tabtxt"/>
    <w:basedOn w:val="Normal"/>
    <w:rsid w:val="00B9689C"/>
    <w:pPr>
      <w:spacing w:before="60" w:after="60"/>
      <w:ind w:left="0"/>
      <w:jc w:val="center"/>
    </w:pPr>
    <w:rPr>
      <w:sz w:val="18"/>
      <w:szCs w:val="18"/>
      <w:lang w:eastAsia="fr-FR"/>
    </w:rPr>
  </w:style>
  <w:style w:type="paragraph" w:customStyle="1" w:styleId="Txtannexe">
    <w:name w:val="Txtannexe"/>
    <w:basedOn w:val="Texte1"/>
    <w:link w:val="TxtannexeCar"/>
    <w:rsid w:val="00F31468"/>
    <w:pPr>
      <w:ind w:left="0"/>
    </w:pPr>
  </w:style>
  <w:style w:type="paragraph" w:customStyle="1" w:styleId="DO">
    <w:name w:val="DO"/>
    <w:basedOn w:val="Texte1"/>
    <w:rsid w:val="00B36CC3"/>
    <w:pPr>
      <w:tabs>
        <w:tab w:val="clear" w:pos="567"/>
        <w:tab w:val="left" w:pos="747"/>
        <w:tab w:val="left" w:pos="2183"/>
      </w:tabs>
      <w:ind w:left="1985" w:hanging="1134"/>
    </w:pPr>
  </w:style>
  <w:style w:type="character" w:customStyle="1" w:styleId="Texte1Car">
    <w:name w:val="Texte1 Car"/>
    <w:link w:val="Texte1"/>
    <w:rsid w:val="00DB5E57"/>
    <w:rPr>
      <w:rFonts w:ascii="Arial" w:eastAsia="SimSun" w:hAnsi="Arial" w:cs="Arial"/>
      <w:lang w:eastAsia="zh-CN"/>
    </w:rPr>
  </w:style>
  <w:style w:type="character" w:customStyle="1" w:styleId="TxtannexeCar">
    <w:name w:val="Txtannexe Car"/>
    <w:link w:val="Txtannexe"/>
    <w:rsid w:val="00F31468"/>
    <w:rPr>
      <w:rFonts w:ascii="Arial" w:eastAsia="SimSun" w:hAnsi="Arial" w:cs="Arial"/>
      <w:lang w:eastAsia="zh-CN"/>
    </w:rPr>
  </w:style>
  <w:style w:type="character" w:customStyle="1" w:styleId="SoustitreCar">
    <w:name w:val="Soustitre Car"/>
    <w:link w:val="Soustitre"/>
    <w:rsid w:val="00B9689C"/>
    <w:rPr>
      <w:rFonts w:ascii="Arial" w:eastAsia="SimSun" w:hAnsi="Arial" w:cs="Arial"/>
      <w:b/>
      <w:lang w:eastAsia="zh-CN"/>
    </w:rPr>
  </w:style>
  <w:style w:type="paragraph" w:customStyle="1" w:styleId="Puceannexe">
    <w:name w:val="Puceannexe"/>
    <w:basedOn w:val="Txtannexe"/>
    <w:link w:val="PuceannexeCar"/>
    <w:rsid w:val="004E7D6C"/>
    <w:pPr>
      <w:numPr>
        <w:numId w:val="4"/>
      </w:numPr>
    </w:pPr>
  </w:style>
  <w:style w:type="character" w:customStyle="1" w:styleId="PuceannexeCar">
    <w:name w:val="Puceannexe Car"/>
    <w:link w:val="Puceannexe"/>
    <w:rsid w:val="004E7D6C"/>
    <w:rPr>
      <w:rFonts w:ascii="Arial" w:eastAsia="SimSun" w:hAnsi="Arial" w:cs="Arial"/>
      <w:lang w:val="fr-FR" w:eastAsia="zh-CN" w:bidi="ar-SA"/>
    </w:rPr>
  </w:style>
  <w:style w:type="paragraph" w:customStyle="1" w:styleId="Ref">
    <w:name w:val="Ref"/>
    <w:basedOn w:val="Txtannexe"/>
    <w:link w:val="RefCar"/>
    <w:rsid w:val="004E7D6C"/>
    <w:rPr>
      <w:i/>
      <w:color w:val="3366FF"/>
    </w:rPr>
  </w:style>
  <w:style w:type="paragraph" w:customStyle="1" w:styleId="Questionnaire">
    <w:name w:val="Questionnaire"/>
    <w:basedOn w:val="Tabtxt"/>
    <w:rsid w:val="00BB443B"/>
    <w:pPr>
      <w:spacing w:before="80" w:after="80"/>
      <w:ind w:left="340" w:hanging="340"/>
      <w:jc w:val="left"/>
    </w:pPr>
    <w:rPr>
      <w:snapToGrid w:val="0"/>
    </w:rPr>
  </w:style>
  <w:style w:type="character" w:styleId="FootnoteReference">
    <w:name w:val="footnote reference"/>
    <w:rsid w:val="009E59B1"/>
    <w:rPr>
      <w:rFonts w:ascii="Arial" w:hAnsi="Arial"/>
      <w:sz w:val="14"/>
      <w:vertAlign w:val="superscript"/>
    </w:rPr>
  </w:style>
  <w:style w:type="character" w:styleId="FollowedHyperlink">
    <w:name w:val="FollowedHyperlink"/>
    <w:rsid w:val="0086683E"/>
    <w:rPr>
      <w:color w:val="800080"/>
      <w:u w:val="single"/>
    </w:rPr>
  </w:style>
  <w:style w:type="character" w:customStyle="1" w:styleId="RefCar">
    <w:name w:val="Ref Car"/>
    <w:link w:val="Ref"/>
    <w:rsid w:val="004E7D6C"/>
    <w:rPr>
      <w:rFonts w:ascii="Arial" w:eastAsia="SimSun" w:hAnsi="Arial" w:cs="Arial"/>
      <w:i/>
      <w:color w:val="3366FF"/>
      <w:lang w:eastAsia="zh-CN"/>
    </w:rPr>
  </w:style>
  <w:style w:type="paragraph" w:customStyle="1" w:styleId="Default">
    <w:name w:val="Default"/>
    <w:rsid w:val="0086683E"/>
    <w:pPr>
      <w:autoSpaceDE w:val="0"/>
      <w:autoSpaceDN w:val="0"/>
      <w:adjustRightInd w:val="0"/>
    </w:pPr>
    <w:rPr>
      <w:rFonts w:ascii="Times New Roman" w:eastAsia="Times New Roman" w:hAnsi="Times New Roman"/>
      <w:color w:val="000000"/>
      <w:sz w:val="24"/>
      <w:szCs w:val="24"/>
    </w:rPr>
  </w:style>
  <w:style w:type="character" w:customStyle="1" w:styleId="Heading7Char">
    <w:name w:val="Heading 7 Char"/>
    <w:link w:val="Heading7"/>
    <w:rsid w:val="00701EE2"/>
    <w:rPr>
      <w:rFonts w:ascii="Arial" w:eastAsia="SimSun" w:hAnsi="Arial"/>
      <w:i/>
      <w:snapToGrid w:val="0"/>
      <w:lang w:val="x-none" w:eastAsia="zh-CN" w:bidi="ar-SA"/>
    </w:rPr>
  </w:style>
  <w:style w:type="paragraph" w:customStyle="1" w:styleId="Annexenote">
    <w:name w:val="Annexenote"/>
    <w:basedOn w:val="FootnoteText"/>
    <w:link w:val="AnnexenoteCar"/>
    <w:rsid w:val="002F739D"/>
    <w:rPr>
      <w:szCs w:val="14"/>
    </w:rPr>
  </w:style>
  <w:style w:type="paragraph" w:customStyle="1" w:styleId="numrationa">
    <w:name w:val="énumération (a)"/>
    <w:basedOn w:val="Texte1"/>
    <w:rsid w:val="00290880"/>
    <w:pPr>
      <w:tabs>
        <w:tab w:val="clear" w:pos="567"/>
        <w:tab w:val="left" w:pos="340"/>
      </w:tabs>
      <w:spacing w:after="80"/>
      <w:ind w:left="1474" w:hanging="340"/>
    </w:pPr>
    <w:rPr>
      <w:szCs w:val="22"/>
    </w:rPr>
  </w:style>
  <w:style w:type="character" w:customStyle="1" w:styleId="AnnexenoteCar">
    <w:name w:val="Annexenote Car"/>
    <w:link w:val="Annexenote"/>
    <w:rsid w:val="002F739D"/>
    <w:rPr>
      <w:rFonts w:ascii="Arial" w:eastAsia="SimSun" w:hAnsi="Arial" w:cs="Arial"/>
      <w:snapToGrid w:val="0"/>
      <w:sz w:val="14"/>
      <w:szCs w:val="14"/>
      <w:lang w:eastAsia="zh-CN"/>
    </w:rPr>
  </w:style>
  <w:style w:type="paragraph" w:styleId="ListBullet">
    <w:name w:val="List Bullet"/>
    <w:basedOn w:val="Normal"/>
    <w:rsid w:val="002B6A2C"/>
    <w:pPr>
      <w:tabs>
        <w:tab w:val="num" w:pos="360"/>
      </w:tabs>
      <w:ind w:left="360" w:hanging="360"/>
      <w:contextualSpacing/>
    </w:pPr>
    <w:rPr>
      <w:snapToGrid w:val="0"/>
      <w:lang w:val="en-US"/>
    </w:rPr>
  </w:style>
  <w:style w:type="paragraph" w:customStyle="1" w:styleId="Enumrotation">
    <w:name w:val="Enumérotation"/>
    <w:basedOn w:val="numrationa"/>
    <w:rsid w:val="00DA5E10"/>
    <w:pPr>
      <w:numPr>
        <w:numId w:val="8"/>
      </w:numPr>
      <w:spacing w:after="60"/>
    </w:pPr>
  </w:style>
  <w:style w:type="character" w:styleId="PageNumber">
    <w:name w:val="page number"/>
    <w:rsid w:val="002B6A2C"/>
  </w:style>
  <w:style w:type="paragraph" w:customStyle="1" w:styleId="Revision1">
    <w:name w:val="Revision1"/>
    <w:hidden/>
    <w:semiHidden/>
    <w:rsid w:val="002B6A2C"/>
    <w:rPr>
      <w:rFonts w:ascii="Arial" w:eastAsia="SimSun" w:hAnsi="Arial" w:cs="Arial"/>
      <w:snapToGrid w:val="0"/>
      <w:sz w:val="22"/>
      <w:szCs w:val="24"/>
      <w:lang w:val="en-US" w:eastAsia="zh-CN"/>
    </w:rPr>
  </w:style>
  <w:style w:type="paragraph" w:styleId="Revision">
    <w:name w:val="Revision"/>
    <w:hidden/>
    <w:rsid w:val="002B6A2C"/>
    <w:rPr>
      <w:rFonts w:ascii="Arial" w:eastAsia="SimSun" w:hAnsi="Arial" w:cs="Arial"/>
      <w:snapToGrid w:val="0"/>
      <w:sz w:val="22"/>
      <w:szCs w:val="24"/>
      <w:lang w:val="en-US" w:eastAsia="zh-CN"/>
    </w:rPr>
  </w:style>
  <w:style w:type="paragraph" w:customStyle="1" w:styleId="Txtgras">
    <w:name w:val="Txtgras"/>
    <w:basedOn w:val="Normal"/>
    <w:autoRedefine/>
    <w:rsid w:val="00E157D0"/>
    <w:pPr>
      <w:spacing w:before="480" w:after="240" w:line="300" w:lineRule="exact"/>
      <w:ind w:left="0"/>
    </w:pPr>
    <w:rPr>
      <w:rFonts w:ascii="Arial Gras" w:hAnsi="Arial Gras"/>
      <w:b/>
      <w:bCs/>
      <w:smallCaps/>
      <w:sz w:val="24"/>
      <w:szCs w:val="24"/>
    </w:rPr>
  </w:style>
  <w:style w:type="paragraph" w:customStyle="1" w:styleId="Txtpuce">
    <w:name w:val="Txtpuce"/>
    <w:basedOn w:val="Normal"/>
    <w:rsid w:val="00D727EE"/>
    <w:pPr>
      <w:tabs>
        <w:tab w:val="clear" w:pos="567"/>
        <w:tab w:val="left" w:pos="397"/>
      </w:tabs>
      <w:spacing w:line="360" w:lineRule="exact"/>
      <w:ind w:left="0" w:hanging="397"/>
    </w:pPr>
    <w:rPr>
      <w:sz w:val="24"/>
    </w:rPr>
  </w:style>
  <w:style w:type="paragraph" w:customStyle="1" w:styleId="Txtpucegras">
    <w:name w:val="Txtpucegras"/>
    <w:basedOn w:val="Texte1"/>
    <w:autoRedefine/>
    <w:rsid w:val="00E357E9"/>
    <w:pPr>
      <w:numPr>
        <w:numId w:val="1"/>
      </w:numPr>
      <w:tabs>
        <w:tab w:val="clear" w:pos="567"/>
      </w:tabs>
      <w:ind w:left="851" w:hanging="284"/>
    </w:pPr>
    <w:rPr>
      <w:lang w:eastAsia="fr-FR"/>
    </w:rPr>
  </w:style>
  <w:style w:type="paragraph" w:customStyle="1" w:styleId="Titcoul">
    <w:name w:val="Titcoul"/>
    <w:basedOn w:val="Title"/>
    <w:link w:val="TitcoulCar"/>
    <w:rsid w:val="000651E6"/>
    <w:pPr>
      <w:widowControl w:val="0"/>
      <w:tabs>
        <w:tab w:val="left" w:pos="851"/>
      </w:tabs>
      <w:spacing w:before="720" w:after="240" w:line="320" w:lineRule="exact"/>
      <w:ind w:left="851" w:hanging="851"/>
    </w:pPr>
    <w:rPr>
      <w:rFonts w:ascii="Arial" w:hAnsi="Arial"/>
      <w:color w:val="3366FF"/>
      <w:sz w:val="24"/>
      <w:szCs w:val="24"/>
    </w:rPr>
  </w:style>
  <w:style w:type="character" w:customStyle="1" w:styleId="TitcoulCar">
    <w:name w:val="Titcoul Car"/>
    <w:link w:val="Titcoul"/>
    <w:rsid w:val="000651E6"/>
    <w:rPr>
      <w:rFonts w:ascii="Arial" w:eastAsia="Times New Roman" w:hAnsi="Arial" w:cs="Arial"/>
      <w:b/>
      <w:caps/>
      <w:snapToGrid w:val="0"/>
      <w:color w:val="3366FF"/>
      <w:sz w:val="24"/>
      <w:szCs w:val="24"/>
      <w:lang w:eastAsia="zh-CN"/>
    </w:rPr>
  </w:style>
  <w:style w:type="paragraph" w:customStyle="1" w:styleId="Txtmaigre">
    <w:name w:val="Txtmaigre"/>
    <w:basedOn w:val="Txtgras"/>
    <w:rsid w:val="00577621"/>
  </w:style>
  <w:style w:type="paragraph" w:customStyle="1" w:styleId="Txtpucemaitre">
    <w:name w:val="Txtpucemaitre"/>
    <w:basedOn w:val="Txtpucegras"/>
    <w:rsid w:val="003B5874"/>
    <w:pPr>
      <w:numPr>
        <w:ilvl w:val="1"/>
        <w:numId w:val="2"/>
      </w:numPr>
      <w:tabs>
        <w:tab w:val="clear" w:pos="1440"/>
      </w:tabs>
      <w:ind w:left="1474" w:hanging="340"/>
    </w:pPr>
  </w:style>
  <w:style w:type="paragraph" w:customStyle="1" w:styleId="Texte1">
    <w:name w:val="Texte1"/>
    <w:basedOn w:val="Normal"/>
    <w:link w:val="Texte1Car"/>
    <w:rsid w:val="00DB5E57"/>
    <w:pPr>
      <w:keepNext w:val="0"/>
      <w:spacing w:after="60"/>
    </w:pPr>
  </w:style>
  <w:style w:type="paragraph" w:customStyle="1" w:styleId="Tabltetiere">
    <w:name w:val="Tabltetiere"/>
    <w:basedOn w:val="Texte1"/>
    <w:rsid w:val="00A202A2"/>
    <w:pPr>
      <w:keepNext/>
      <w:spacing w:before="60" w:line="200" w:lineRule="exact"/>
      <w:ind w:left="0"/>
      <w:jc w:val="center"/>
    </w:pPr>
    <w:rPr>
      <w:b/>
      <w:sz w:val="18"/>
    </w:rPr>
  </w:style>
  <w:style w:type="paragraph" w:customStyle="1" w:styleId="Soustitre">
    <w:name w:val="Soustitre"/>
    <w:basedOn w:val="Texte1"/>
    <w:link w:val="SoustitreCar"/>
    <w:rsid w:val="00B9689C"/>
    <w:pPr>
      <w:widowControl w:val="0"/>
      <w:spacing w:before="120" w:after="80"/>
    </w:pPr>
    <w:rPr>
      <w:b/>
    </w:rPr>
  </w:style>
  <w:style w:type="paragraph" w:customStyle="1" w:styleId="SsTit">
    <w:name w:val="SsTit"/>
    <w:basedOn w:val="Normal"/>
    <w:rsid w:val="004D5F7F"/>
    <w:pPr>
      <w:spacing w:before="440" w:line="440" w:lineRule="exact"/>
      <w:ind w:left="0"/>
      <w:jc w:val="left"/>
    </w:pPr>
    <w:rPr>
      <w:b/>
      <w:caps/>
      <w:snapToGrid w:val="0"/>
      <w:sz w:val="36"/>
      <w:szCs w:val="36"/>
    </w:rPr>
  </w:style>
  <w:style w:type="paragraph" w:customStyle="1" w:styleId="citationa">
    <w:name w:val="citation(a)"/>
    <w:basedOn w:val="Txtpucegras"/>
    <w:rsid w:val="00D90C20"/>
    <w:pPr>
      <w:numPr>
        <w:numId w:val="6"/>
      </w:numPr>
    </w:pPr>
  </w:style>
  <w:style w:type="paragraph" w:customStyle="1" w:styleId="Informations">
    <w:name w:val="Informations"/>
    <w:basedOn w:val="Ref"/>
    <w:link w:val="InformationsCar"/>
    <w:rsid w:val="003259DC"/>
    <w:pPr>
      <w:ind w:left="851"/>
    </w:pPr>
  </w:style>
  <w:style w:type="character" w:customStyle="1" w:styleId="InformationsCar">
    <w:name w:val="Informations Car"/>
    <w:link w:val="Informations"/>
    <w:rsid w:val="003259DC"/>
    <w:rPr>
      <w:rFonts w:ascii="Arial" w:eastAsia="SimSun" w:hAnsi="Arial" w:cs="Arial"/>
      <w:i/>
      <w:color w:val="3366FF"/>
      <w:lang w:eastAsia="zh-CN"/>
    </w:rPr>
  </w:style>
  <w:style w:type="paragraph" w:customStyle="1" w:styleId="Enu1">
    <w:name w:val="Enu1"/>
    <w:basedOn w:val="Normal"/>
    <w:rsid w:val="0097251E"/>
    <w:pPr>
      <w:numPr>
        <w:numId w:val="7"/>
      </w:numPr>
      <w:spacing w:after="60"/>
    </w:pPr>
  </w:style>
  <w:style w:type="table" w:styleId="TableGrid">
    <w:name w:val="Table Grid"/>
    <w:basedOn w:val="TableNormal"/>
    <w:rsid w:val="00485A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qFormat/>
    <w:rsid w:val="0048121B"/>
    <w:pPr>
      <w:numPr>
        <w:numId w:val="0"/>
      </w:numPr>
      <w:pBdr>
        <w:bottom w:val="none" w:sz="0" w:space="0" w:color="auto"/>
      </w:pBdr>
      <w:tabs>
        <w:tab w:val="clear" w:pos="567"/>
      </w:tabs>
      <w:snapToGrid/>
      <w:spacing w:after="0" w:line="276" w:lineRule="auto"/>
      <w:outlineLvl w:val="9"/>
    </w:pPr>
    <w:rPr>
      <w:rFonts w:ascii="Calibri" w:eastAsia="MS Gothic" w:hAnsi="Calibri" w:cs="Times New Roman"/>
      <w:b/>
      <w:color w:val="365F91"/>
      <w:kern w:val="0"/>
      <w:sz w:val="28"/>
      <w:szCs w:val="28"/>
      <w:lang w:eastAsia="fr-FR"/>
    </w:rPr>
  </w:style>
  <w:style w:type="character" w:customStyle="1" w:styleId="hps">
    <w:name w:val="hps"/>
    <w:basedOn w:val="DefaultParagraphFont"/>
    <w:rsid w:val="00D07828"/>
  </w:style>
  <w:style w:type="paragraph" w:styleId="ListParagraph">
    <w:name w:val="List Paragraph"/>
    <w:basedOn w:val="Normal"/>
    <w:uiPriority w:val="34"/>
    <w:qFormat/>
    <w:rsid w:val="00D07828"/>
    <w:pPr>
      <w:keepNext w:val="0"/>
      <w:tabs>
        <w:tab w:val="clear" w:pos="567"/>
      </w:tabs>
      <w:snapToGrid/>
      <w:spacing w:line="240" w:lineRule="auto"/>
      <w:ind w:left="720"/>
      <w:contextualSpacing/>
      <w:jc w:val="left"/>
    </w:pPr>
    <w:rPr>
      <w:rFonts w:ascii="Times New Roman" w:eastAsia="Times New Roman" w:hAnsi="Times New Roman" w:cs="Times New Roman"/>
      <w:sz w:val="24"/>
      <w:szCs w:val="24"/>
      <w:lang w:eastAsia="fr-FR"/>
    </w:rPr>
  </w:style>
  <w:style w:type="paragraph" w:customStyle="1" w:styleId="Marge">
    <w:name w:val="Marge"/>
    <w:basedOn w:val="Normal"/>
    <w:rsid w:val="00F37F65"/>
    <w:pPr>
      <w:keepNext w:val="0"/>
      <w:spacing w:after="240" w:line="240" w:lineRule="auto"/>
      <w:ind w:left="0"/>
    </w:pPr>
    <w:rPr>
      <w:rFonts w:eastAsia="Times New Roman" w:cs="Times New Roman"/>
      <w:snapToGrid w:val="0"/>
      <w:sz w:val="22"/>
      <w:szCs w:val="24"/>
      <w:lang w:eastAsia="en-US"/>
    </w:rPr>
  </w:style>
  <w:style w:type="character" w:styleId="CommentReference">
    <w:name w:val="annotation reference"/>
    <w:uiPriority w:val="99"/>
    <w:unhideWhenUsed/>
    <w:rsid w:val="00B01BD4"/>
    <w:rPr>
      <w:sz w:val="16"/>
      <w:szCs w:val="16"/>
    </w:rPr>
  </w:style>
  <w:style w:type="paragraph" w:styleId="CommentText">
    <w:name w:val="annotation text"/>
    <w:basedOn w:val="Normal"/>
    <w:link w:val="CommentTextChar"/>
    <w:uiPriority w:val="99"/>
    <w:unhideWhenUsed/>
    <w:rsid w:val="00B01BD4"/>
    <w:pPr>
      <w:spacing w:line="240" w:lineRule="auto"/>
    </w:pPr>
  </w:style>
  <w:style w:type="character" w:customStyle="1" w:styleId="CommentTextChar">
    <w:name w:val="Comment Text Char"/>
    <w:link w:val="CommentText"/>
    <w:uiPriority w:val="99"/>
    <w:rsid w:val="00B01BD4"/>
    <w:rPr>
      <w:rFonts w:ascii="Arial" w:eastAsia="SimSun" w:hAnsi="Arial" w:cs="Arial"/>
      <w:lang w:eastAsia="zh-CN"/>
    </w:rPr>
  </w:style>
  <w:style w:type="paragraph" w:styleId="CommentSubject">
    <w:name w:val="annotation subject"/>
    <w:basedOn w:val="CommentText"/>
    <w:next w:val="CommentText"/>
    <w:link w:val="CommentSubjectChar"/>
    <w:semiHidden/>
    <w:unhideWhenUsed/>
    <w:rsid w:val="00B01BD4"/>
    <w:rPr>
      <w:b/>
      <w:bCs/>
    </w:rPr>
  </w:style>
  <w:style w:type="character" w:customStyle="1" w:styleId="CommentSubjectChar">
    <w:name w:val="Comment Subject Char"/>
    <w:link w:val="CommentSubject"/>
    <w:semiHidden/>
    <w:rsid w:val="00B01BD4"/>
    <w:rPr>
      <w:rFonts w:ascii="Arial" w:eastAsia="SimSun" w:hAnsi="Arial" w:cs="Arial"/>
      <w:b/>
      <w:bCs/>
      <w:lang w:eastAsia="zh-CN"/>
    </w:rPr>
  </w:style>
  <w:style w:type="paragraph" w:customStyle="1" w:styleId="Chapitre">
    <w:name w:val="Chapitre"/>
    <w:basedOn w:val="Titcoul"/>
    <w:link w:val="ChapitreCar"/>
    <w:rsid w:val="005A0AB6"/>
    <w:pPr>
      <w:pBdr>
        <w:bottom w:val="single" w:sz="4" w:space="14" w:color="3366FF"/>
      </w:pBdr>
      <w:spacing w:before="240" w:line="840" w:lineRule="exact"/>
      <w:ind w:left="0" w:firstLine="0"/>
    </w:pPr>
    <w:rPr>
      <w:sz w:val="70"/>
      <w:szCs w:val="70"/>
    </w:rPr>
  </w:style>
  <w:style w:type="paragraph" w:customStyle="1" w:styleId="Sschapitre">
    <w:name w:val="Sschapitre"/>
    <w:basedOn w:val="Txtgras"/>
    <w:autoRedefine/>
    <w:rsid w:val="00B0489C"/>
  </w:style>
  <w:style w:type="paragraph" w:customStyle="1" w:styleId="Txtchap">
    <w:name w:val="Txtchap"/>
    <w:basedOn w:val="Normal"/>
    <w:link w:val="TxtchapCar"/>
    <w:rsid w:val="00DA5D47"/>
    <w:pPr>
      <w:numPr>
        <w:numId w:val="13"/>
      </w:numPr>
      <w:spacing w:after="120" w:line="360" w:lineRule="exact"/>
    </w:pPr>
    <w:rPr>
      <w:sz w:val="24"/>
    </w:rPr>
  </w:style>
  <w:style w:type="paragraph" w:customStyle="1" w:styleId="Chapinfo">
    <w:name w:val="Chapinfo"/>
    <w:basedOn w:val="Txtchap"/>
    <w:link w:val="ChapinfoCar"/>
    <w:rsid w:val="00795FF0"/>
    <w:pPr>
      <w:keepNext w:val="0"/>
      <w:numPr>
        <w:numId w:val="0"/>
      </w:numPr>
      <w:spacing w:before="480" w:after="0" w:line="320" w:lineRule="exact"/>
      <w:ind w:left="567"/>
    </w:pPr>
    <w:rPr>
      <w:i/>
      <w:iCs/>
      <w:color w:val="3366FF"/>
      <w:szCs w:val="24"/>
    </w:rPr>
  </w:style>
  <w:style w:type="character" w:customStyle="1" w:styleId="ChapinfoCar">
    <w:name w:val="Chapinfo Car"/>
    <w:link w:val="Chapinfo"/>
    <w:rsid w:val="00795FF0"/>
    <w:rPr>
      <w:rFonts w:ascii="Arial" w:eastAsia="SimSun" w:hAnsi="Arial" w:cs="Arial"/>
      <w:i/>
      <w:iCs/>
      <w:color w:val="3366FF"/>
      <w:sz w:val="24"/>
      <w:szCs w:val="24"/>
      <w:lang w:eastAsia="zh-CN"/>
    </w:rPr>
  </w:style>
  <w:style w:type="paragraph" w:customStyle="1" w:styleId="Enutiret2">
    <w:name w:val="Enutiret2"/>
    <w:basedOn w:val="Enutiret"/>
    <w:rsid w:val="000D6D71"/>
    <w:pPr>
      <w:ind w:left="1701"/>
    </w:pPr>
  </w:style>
  <w:style w:type="paragraph" w:customStyle="1" w:styleId="Cas">
    <w:name w:val="Cas"/>
    <w:basedOn w:val="Heading4"/>
    <w:rsid w:val="00BC3B18"/>
    <w:pPr>
      <w:spacing w:before="0" w:line="360" w:lineRule="exact"/>
    </w:pPr>
    <w:rPr>
      <w:caps w:val="0"/>
      <w:color w:val="3366FF"/>
      <w:sz w:val="28"/>
      <w:szCs w:val="28"/>
    </w:rPr>
  </w:style>
  <w:style w:type="paragraph" w:customStyle="1" w:styleId="Caschap">
    <w:name w:val="Caschap"/>
    <w:basedOn w:val="Chapitre"/>
    <w:rsid w:val="00BC3B18"/>
    <w:pPr>
      <w:pBdr>
        <w:bottom w:val="none" w:sz="0" w:space="0" w:color="auto"/>
      </w:pBdr>
      <w:spacing w:before="0" w:after="120" w:line="480" w:lineRule="exact"/>
    </w:pPr>
    <w:rPr>
      <w:color w:val="auto"/>
      <w:sz w:val="36"/>
      <w:szCs w:val="48"/>
    </w:rPr>
  </w:style>
  <w:style w:type="paragraph" w:customStyle="1" w:styleId="Sschap">
    <w:name w:val="Sschap"/>
    <w:basedOn w:val="Txtgras"/>
    <w:autoRedefine/>
    <w:rsid w:val="00ED75D0"/>
    <w:pPr>
      <w:widowControl w:val="0"/>
      <w:spacing w:before="1200" w:after="480"/>
    </w:pPr>
    <w:rPr>
      <w:rFonts w:ascii="Arial" w:hAnsi="Arial"/>
      <w:smallCaps w:val="0"/>
    </w:rPr>
  </w:style>
  <w:style w:type="character" w:customStyle="1" w:styleId="TxtchapCar">
    <w:name w:val="Txtchap Car"/>
    <w:basedOn w:val="DefaultParagraphFont"/>
    <w:link w:val="Txtchap"/>
    <w:rsid w:val="00DA5D47"/>
    <w:rPr>
      <w:rFonts w:ascii="Arial" w:eastAsia="SimSun" w:hAnsi="Arial" w:cs="Arial"/>
      <w:sz w:val="24"/>
      <w:lang w:eastAsia="zh-CN"/>
    </w:rPr>
  </w:style>
  <w:style w:type="paragraph" w:customStyle="1" w:styleId="Key">
    <w:name w:val="Key"/>
    <w:basedOn w:val="Titcoul"/>
    <w:link w:val="KeyCar"/>
    <w:qFormat/>
    <w:rsid w:val="00DA5D47"/>
    <w:rPr>
      <w:rFonts w:eastAsia="SimSun"/>
      <w:lang w:val="en-US"/>
    </w:rPr>
  </w:style>
  <w:style w:type="character" w:customStyle="1" w:styleId="KeyCar">
    <w:name w:val="Key Car"/>
    <w:basedOn w:val="TitcoulCar"/>
    <w:link w:val="Key"/>
    <w:rsid w:val="00DA5D47"/>
    <w:rPr>
      <w:rFonts w:ascii="Arial Gras" w:eastAsia="SimSun" w:hAnsi="Arial Gras" w:cs="Arial"/>
      <w:b/>
      <w:bCs w:val="0"/>
      <w:caps/>
      <w:snapToGrid w:val="0"/>
      <w:color w:val="3366FF"/>
      <w:sz w:val="24"/>
      <w:szCs w:val="24"/>
      <w:lang w:val="en-US" w:eastAsia="zh-CN"/>
    </w:rPr>
  </w:style>
  <w:style w:type="paragraph" w:customStyle="1" w:styleId="Textegras">
    <w:name w:val="Textegras"/>
    <w:basedOn w:val="Texte1"/>
    <w:link w:val="TextegrasCar"/>
    <w:rsid w:val="0057532F"/>
    <w:pPr>
      <w:keepNext/>
      <w:spacing w:before="120"/>
      <w:ind w:left="284" w:hanging="284"/>
      <w:jc w:val="left"/>
    </w:pPr>
    <w:rPr>
      <w:b/>
      <w:w w:val="95"/>
      <w:lang w:val="en-GB"/>
    </w:rPr>
  </w:style>
  <w:style w:type="character" w:customStyle="1" w:styleId="TextegrasCar">
    <w:name w:val="Textegras Car"/>
    <w:basedOn w:val="Texte1Car"/>
    <w:link w:val="Textegras"/>
    <w:rsid w:val="0057532F"/>
    <w:rPr>
      <w:rFonts w:ascii="Arial" w:eastAsia="SimSun" w:hAnsi="Arial" w:cs="Arial"/>
      <w:b/>
      <w:w w:val="95"/>
      <w:lang w:val="en-GB" w:eastAsia="zh-CN"/>
    </w:rPr>
  </w:style>
  <w:style w:type="character" w:customStyle="1" w:styleId="EnutiretCar">
    <w:name w:val="Enutiret Car"/>
    <w:basedOn w:val="DefaultParagraphFont"/>
    <w:rsid w:val="00073751"/>
    <w:rPr>
      <w:rFonts w:ascii="Arial" w:hAnsi="Arial" w:cs="Arial"/>
      <w:noProof/>
      <w:snapToGrid w:val="0"/>
      <w:sz w:val="20"/>
      <w:szCs w:val="20"/>
      <w:lang w:eastAsia="en-US"/>
    </w:rPr>
  </w:style>
  <w:style w:type="paragraph" w:customStyle="1" w:styleId="Info03">
    <w:name w:val="Info03"/>
    <w:basedOn w:val="Normal"/>
    <w:rsid w:val="00F61C8F"/>
    <w:pPr>
      <w:tabs>
        <w:tab w:val="left" w:pos="1134"/>
        <w:tab w:val="left" w:pos="1701"/>
        <w:tab w:val="left" w:pos="2268"/>
      </w:tabs>
      <w:snapToGrid/>
      <w:spacing w:after="120" w:line="220" w:lineRule="exact"/>
      <w:ind w:left="113" w:right="113"/>
    </w:pPr>
    <w:rPr>
      <w:rFonts w:eastAsia="Times New Roman"/>
      <w:i/>
      <w:iCs/>
      <w:szCs w:val="22"/>
      <w:lang w:val="en-US" w:eastAsia="fr-FR"/>
    </w:rPr>
  </w:style>
  <w:style w:type="character" w:customStyle="1" w:styleId="ChapitreCar">
    <w:name w:val="Chapitre Car"/>
    <w:link w:val="Chapitre"/>
    <w:locked/>
    <w:rsid w:val="005A0AB6"/>
    <w:rPr>
      <w:rFonts w:ascii="Arial" w:eastAsia="Times New Roman" w:hAnsi="Arial" w:cs="Arial"/>
      <w:b/>
      <w:caps/>
      <w:snapToGrid w:val="0"/>
      <w:color w:val="3366FF"/>
      <w:sz w:val="70"/>
      <w:szCs w:val="70"/>
      <w:lang w:eastAsia="zh-CN"/>
    </w:rPr>
  </w:style>
  <w:style w:type="paragraph" w:customStyle="1" w:styleId="HO1">
    <w:name w:val="HO1"/>
    <w:basedOn w:val="Normal"/>
    <w:link w:val="HO1Car"/>
    <w:rsid w:val="005A0AB6"/>
    <w:pPr>
      <w:keepLines/>
      <w:spacing w:before="480" w:line="480" w:lineRule="exact"/>
      <w:ind w:left="0"/>
      <w:jc w:val="left"/>
      <w:outlineLvl w:val="0"/>
    </w:pPr>
    <w:rPr>
      <w:rFonts w:eastAsia="Times New Roman"/>
      <w:b/>
      <w:bCs/>
      <w:noProof/>
      <w:snapToGrid w:val="0"/>
      <w:color w:val="3366FF"/>
      <w:sz w:val="32"/>
      <w:szCs w:val="32"/>
      <w:lang w:val="en-US"/>
    </w:rPr>
  </w:style>
  <w:style w:type="character" w:customStyle="1" w:styleId="HO1Car">
    <w:name w:val="HO1 Car"/>
    <w:basedOn w:val="DefaultParagraphFont"/>
    <w:link w:val="HO1"/>
    <w:rsid w:val="005A0AB6"/>
    <w:rPr>
      <w:rFonts w:ascii="Arial" w:eastAsia="Times New Roman" w:hAnsi="Arial" w:cs="Arial"/>
      <w:b/>
      <w:bCs/>
      <w:noProof/>
      <w:snapToGrid w:val="0"/>
      <w:color w:val="3366FF"/>
      <w:sz w:val="32"/>
      <w:szCs w:val="32"/>
      <w:lang w:val="en-US" w:eastAsia="zh-CN"/>
    </w:rPr>
  </w:style>
  <w:style w:type="paragraph" w:customStyle="1" w:styleId="HO2">
    <w:name w:val="HO2"/>
    <w:basedOn w:val="HO1"/>
    <w:link w:val="HO2Car"/>
    <w:rsid w:val="005A0AB6"/>
    <w:pPr>
      <w:spacing w:before="0" w:after="480"/>
    </w:pPr>
    <w:rPr>
      <w:caps/>
    </w:rPr>
  </w:style>
  <w:style w:type="character" w:customStyle="1" w:styleId="HO2Car">
    <w:name w:val="HO2 Car"/>
    <w:basedOn w:val="HO1Car"/>
    <w:link w:val="HO2"/>
    <w:rsid w:val="005A0AB6"/>
    <w:rPr>
      <w:rFonts w:ascii="Arial" w:eastAsia="Times New Roman" w:hAnsi="Arial" w:cs="Arial"/>
      <w:b/>
      <w:bCs/>
      <w:caps/>
      <w:noProof/>
      <w:snapToGrid w:val="0"/>
      <w:color w:val="3366FF"/>
      <w:sz w:val="32"/>
      <w:szCs w:val="32"/>
      <w:lang w:val="en-US" w:eastAsia="zh-CN"/>
    </w:rPr>
  </w:style>
  <w:style w:type="character" w:styleId="Emphasis">
    <w:name w:val="Emphasis"/>
    <w:basedOn w:val="DefaultParagraphFont"/>
    <w:qFormat/>
    <w:rsid w:val="0024620F"/>
    <w:rPr>
      <w:i/>
      <w:iCs/>
    </w:rPr>
  </w:style>
  <w:style w:type="paragraph" w:styleId="DocumentMap">
    <w:name w:val="Document Map"/>
    <w:basedOn w:val="Normal"/>
    <w:link w:val="DocumentMapChar"/>
    <w:semiHidden/>
    <w:unhideWhenUsed/>
    <w:rsid w:val="00F973C7"/>
    <w:pPr>
      <w:spacing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semiHidden/>
    <w:rsid w:val="00F973C7"/>
    <w:rPr>
      <w:rFonts w:ascii="Lucida Grande" w:eastAsia="SimSun" w:hAnsi="Lucida Grande" w:cs="Lucida Grande"/>
      <w:sz w:val="24"/>
      <w:szCs w:val="24"/>
      <w:lang w:eastAsia="zh-CN"/>
    </w:rPr>
  </w:style>
  <w:style w:type="paragraph" w:customStyle="1" w:styleId="Upuce">
    <w:name w:val="Upuce"/>
    <w:basedOn w:val="Normal"/>
    <w:rsid w:val="00ED75D0"/>
    <w:pPr>
      <w:keepNext w:val="0"/>
      <w:widowControl w:val="0"/>
      <w:numPr>
        <w:numId w:val="49"/>
      </w:numPr>
      <w:pBdr>
        <w:top w:val="single" w:sz="12" w:space="6" w:color="auto" w:shadow="1"/>
        <w:left w:val="single" w:sz="12" w:space="4" w:color="auto" w:shadow="1"/>
        <w:bottom w:val="single" w:sz="12" w:space="6" w:color="auto" w:shadow="1"/>
        <w:right w:val="single" w:sz="12" w:space="4" w:color="auto" w:shadow="1"/>
      </w:pBdr>
      <w:spacing w:after="60"/>
      <w:ind w:right="113"/>
    </w:pPr>
    <w:rPr>
      <w:szCs w:val="24"/>
    </w:rPr>
  </w:style>
  <w:style w:type="paragraph" w:customStyle="1" w:styleId="UPlan">
    <w:name w:val="UPlan"/>
    <w:basedOn w:val="Titcoul"/>
    <w:link w:val="UPlanCar"/>
    <w:rsid w:val="00ED75D0"/>
    <w:pPr>
      <w:keepLines/>
      <w:widowControl/>
      <w:tabs>
        <w:tab w:val="clear" w:pos="851"/>
        <w:tab w:val="left" w:pos="567"/>
      </w:tabs>
      <w:spacing w:before="480" w:after="0" w:line="480" w:lineRule="exact"/>
      <w:ind w:left="0" w:firstLine="0"/>
      <w:outlineLvl w:val="0"/>
    </w:pPr>
    <w:rPr>
      <w:bCs/>
      <w:noProof/>
      <w:kern w:val="28"/>
      <w:sz w:val="48"/>
      <w:szCs w:val="48"/>
      <w:lang w:val="en-GB"/>
    </w:rPr>
  </w:style>
  <w:style w:type="character" w:customStyle="1" w:styleId="UPlanCar">
    <w:name w:val="UPlan Car"/>
    <w:basedOn w:val="TitcoulCar"/>
    <w:link w:val="UPlan"/>
    <w:rsid w:val="00ED75D0"/>
    <w:rPr>
      <w:rFonts w:ascii="Arial" w:eastAsia="Times New Roman" w:hAnsi="Arial" w:cs="Arial"/>
      <w:b/>
      <w:bCs/>
      <w:caps/>
      <w:noProof/>
      <w:snapToGrid w:val="0"/>
      <w:color w:val="3366FF"/>
      <w:kern w:val="28"/>
      <w:sz w:val="48"/>
      <w:szCs w:val="48"/>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34381">
      <w:bodyDiv w:val="1"/>
      <w:marLeft w:val="0"/>
      <w:marRight w:val="0"/>
      <w:marTop w:val="0"/>
      <w:marBottom w:val="0"/>
      <w:divBdr>
        <w:top w:val="none" w:sz="0" w:space="0" w:color="auto"/>
        <w:left w:val="none" w:sz="0" w:space="0" w:color="auto"/>
        <w:bottom w:val="none" w:sz="0" w:space="0" w:color="auto"/>
        <w:right w:val="none" w:sz="0" w:space="0" w:color="auto"/>
      </w:divBdr>
    </w:div>
    <w:div w:id="104662192">
      <w:bodyDiv w:val="1"/>
      <w:marLeft w:val="0"/>
      <w:marRight w:val="0"/>
      <w:marTop w:val="0"/>
      <w:marBottom w:val="0"/>
      <w:divBdr>
        <w:top w:val="none" w:sz="0" w:space="0" w:color="auto"/>
        <w:left w:val="none" w:sz="0" w:space="0" w:color="auto"/>
        <w:bottom w:val="none" w:sz="0" w:space="0" w:color="auto"/>
        <w:right w:val="none" w:sz="0" w:space="0" w:color="auto"/>
      </w:divBdr>
    </w:div>
    <w:div w:id="107241549">
      <w:bodyDiv w:val="1"/>
      <w:marLeft w:val="0"/>
      <w:marRight w:val="0"/>
      <w:marTop w:val="0"/>
      <w:marBottom w:val="0"/>
      <w:divBdr>
        <w:top w:val="none" w:sz="0" w:space="0" w:color="auto"/>
        <w:left w:val="none" w:sz="0" w:space="0" w:color="auto"/>
        <w:bottom w:val="none" w:sz="0" w:space="0" w:color="auto"/>
        <w:right w:val="none" w:sz="0" w:space="0" w:color="auto"/>
      </w:divBdr>
    </w:div>
    <w:div w:id="113601826">
      <w:bodyDiv w:val="1"/>
      <w:marLeft w:val="0"/>
      <w:marRight w:val="0"/>
      <w:marTop w:val="0"/>
      <w:marBottom w:val="0"/>
      <w:divBdr>
        <w:top w:val="none" w:sz="0" w:space="0" w:color="auto"/>
        <w:left w:val="none" w:sz="0" w:space="0" w:color="auto"/>
        <w:bottom w:val="none" w:sz="0" w:space="0" w:color="auto"/>
        <w:right w:val="none" w:sz="0" w:space="0" w:color="auto"/>
      </w:divBdr>
    </w:div>
    <w:div w:id="119229464">
      <w:bodyDiv w:val="1"/>
      <w:marLeft w:val="0"/>
      <w:marRight w:val="0"/>
      <w:marTop w:val="0"/>
      <w:marBottom w:val="0"/>
      <w:divBdr>
        <w:top w:val="none" w:sz="0" w:space="0" w:color="auto"/>
        <w:left w:val="none" w:sz="0" w:space="0" w:color="auto"/>
        <w:bottom w:val="none" w:sz="0" w:space="0" w:color="auto"/>
        <w:right w:val="none" w:sz="0" w:space="0" w:color="auto"/>
      </w:divBdr>
    </w:div>
    <w:div w:id="164706405">
      <w:bodyDiv w:val="1"/>
      <w:marLeft w:val="0"/>
      <w:marRight w:val="0"/>
      <w:marTop w:val="0"/>
      <w:marBottom w:val="0"/>
      <w:divBdr>
        <w:top w:val="none" w:sz="0" w:space="0" w:color="auto"/>
        <w:left w:val="none" w:sz="0" w:space="0" w:color="auto"/>
        <w:bottom w:val="none" w:sz="0" w:space="0" w:color="auto"/>
        <w:right w:val="none" w:sz="0" w:space="0" w:color="auto"/>
      </w:divBdr>
    </w:div>
    <w:div w:id="179782040">
      <w:bodyDiv w:val="1"/>
      <w:marLeft w:val="0"/>
      <w:marRight w:val="0"/>
      <w:marTop w:val="0"/>
      <w:marBottom w:val="0"/>
      <w:divBdr>
        <w:top w:val="none" w:sz="0" w:space="0" w:color="auto"/>
        <w:left w:val="none" w:sz="0" w:space="0" w:color="auto"/>
        <w:bottom w:val="none" w:sz="0" w:space="0" w:color="auto"/>
        <w:right w:val="none" w:sz="0" w:space="0" w:color="auto"/>
      </w:divBdr>
      <w:divsChild>
        <w:div w:id="70666870">
          <w:marLeft w:val="0"/>
          <w:marRight w:val="0"/>
          <w:marTop w:val="0"/>
          <w:marBottom w:val="0"/>
          <w:divBdr>
            <w:top w:val="none" w:sz="0" w:space="0" w:color="auto"/>
            <w:left w:val="none" w:sz="0" w:space="0" w:color="auto"/>
            <w:bottom w:val="none" w:sz="0" w:space="0" w:color="auto"/>
            <w:right w:val="none" w:sz="0" w:space="0" w:color="auto"/>
          </w:divBdr>
        </w:div>
        <w:div w:id="490875065">
          <w:marLeft w:val="0"/>
          <w:marRight w:val="0"/>
          <w:marTop w:val="0"/>
          <w:marBottom w:val="0"/>
          <w:divBdr>
            <w:top w:val="none" w:sz="0" w:space="0" w:color="auto"/>
            <w:left w:val="none" w:sz="0" w:space="0" w:color="auto"/>
            <w:bottom w:val="none" w:sz="0" w:space="0" w:color="auto"/>
            <w:right w:val="none" w:sz="0" w:space="0" w:color="auto"/>
          </w:divBdr>
        </w:div>
        <w:div w:id="1420561365">
          <w:marLeft w:val="0"/>
          <w:marRight w:val="0"/>
          <w:marTop w:val="0"/>
          <w:marBottom w:val="0"/>
          <w:divBdr>
            <w:top w:val="none" w:sz="0" w:space="0" w:color="auto"/>
            <w:left w:val="none" w:sz="0" w:space="0" w:color="auto"/>
            <w:bottom w:val="none" w:sz="0" w:space="0" w:color="auto"/>
            <w:right w:val="none" w:sz="0" w:space="0" w:color="auto"/>
          </w:divBdr>
        </w:div>
        <w:div w:id="1931424655">
          <w:marLeft w:val="0"/>
          <w:marRight w:val="0"/>
          <w:marTop w:val="0"/>
          <w:marBottom w:val="0"/>
          <w:divBdr>
            <w:top w:val="none" w:sz="0" w:space="0" w:color="auto"/>
            <w:left w:val="none" w:sz="0" w:space="0" w:color="auto"/>
            <w:bottom w:val="none" w:sz="0" w:space="0" w:color="auto"/>
            <w:right w:val="none" w:sz="0" w:space="0" w:color="auto"/>
          </w:divBdr>
        </w:div>
      </w:divsChild>
    </w:div>
    <w:div w:id="189075339">
      <w:bodyDiv w:val="1"/>
      <w:marLeft w:val="0"/>
      <w:marRight w:val="0"/>
      <w:marTop w:val="0"/>
      <w:marBottom w:val="0"/>
      <w:divBdr>
        <w:top w:val="none" w:sz="0" w:space="0" w:color="auto"/>
        <w:left w:val="none" w:sz="0" w:space="0" w:color="auto"/>
        <w:bottom w:val="none" w:sz="0" w:space="0" w:color="auto"/>
        <w:right w:val="none" w:sz="0" w:space="0" w:color="auto"/>
      </w:divBdr>
      <w:divsChild>
        <w:div w:id="23482348">
          <w:marLeft w:val="0"/>
          <w:marRight w:val="0"/>
          <w:marTop w:val="0"/>
          <w:marBottom w:val="0"/>
          <w:divBdr>
            <w:top w:val="none" w:sz="0" w:space="0" w:color="auto"/>
            <w:left w:val="none" w:sz="0" w:space="0" w:color="auto"/>
            <w:bottom w:val="none" w:sz="0" w:space="0" w:color="auto"/>
            <w:right w:val="none" w:sz="0" w:space="0" w:color="auto"/>
          </w:divBdr>
        </w:div>
        <w:div w:id="553079526">
          <w:marLeft w:val="0"/>
          <w:marRight w:val="0"/>
          <w:marTop w:val="0"/>
          <w:marBottom w:val="0"/>
          <w:divBdr>
            <w:top w:val="none" w:sz="0" w:space="0" w:color="auto"/>
            <w:left w:val="none" w:sz="0" w:space="0" w:color="auto"/>
            <w:bottom w:val="none" w:sz="0" w:space="0" w:color="auto"/>
            <w:right w:val="none" w:sz="0" w:space="0" w:color="auto"/>
          </w:divBdr>
        </w:div>
        <w:div w:id="1559783822">
          <w:marLeft w:val="0"/>
          <w:marRight w:val="0"/>
          <w:marTop w:val="0"/>
          <w:marBottom w:val="0"/>
          <w:divBdr>
            <w:top w:val="none" w:sz="0" w:space="0" w:color="auto"/>
            <w:left w:val="none" w:sz="0" w:space="0" w:color="auto"/>
            <w:bottom w:val="none" w:sz="0" w:space="0" w:color="auto"/>
            <w:right w:val="none" w:sz="0" w:space="0" w:color="auto"/>
          </w:divBdr>
        </w:div>
        <w:div w:id="84612885">
          <w:marLeft w:val="0"/>
          <w:marRight w:val="0"/>
          <w:marTop w:val="0"/>
          <w:marBottom w:val="0"/>
          <w:divBdr>
            <w:top w:val="none" w:sz="0" w:space="0" w:color="auto"/>
            <w:left w:val="none" w:sz="0" w:space="0" w:color="auto"/>
            <w:bottom w:val="none" w:sz="0" w:space="0" w:color="auto"/>
            <w:right w:val="none" w:sz="0" w:space="0" w:color="auto"/>
          </w:divBdr>
        </w:div>
      </w:divsChild>
    </w:div>
    <w:div w:id="282462822">
      <w:bodyDiv w:val="1"/>
      <w:marLeft w:val="0"/>
      <w:marRight w:val="0"/>
      <w:marTop w:val="0"/>
      <w:marBottom w:val="0"/>
      <w:divBdr>
        <w:top w:val="none" w:sz="0" w:space="0" w:color="auto"/>
        <w:left w:val="none" w:sz="0" w:space="0" w:color="auto"/>
        <w:bottom w:val="none" w:sz="0" w:space="0" w:color="auto"/>
        <w:right w:val="none" w:sz="0" w:space="0" w:color="auto"/>
      </w:divBdr>
    </w:div>
    <w:div w:id="349768224">
      <w:bodyDiv w:val="1"/>
      <w:marLeft w:val="0"/>
      <w:marRight w:val="0"/>
      <w:marTop w:val="0"/>
      <w:marBottom w:val="0"/>
      <w:divBdr>
        <w:top w:val="none" w:sz="0" w:space="0" w:color="auto"/>
        <w:left w:val="none" w:sz="0" w:space="0" w:color="auto"/>
        <w:bottom w:val="none" w:sz="0" w:space="0" w:color="auto"/>
        <w:right w:val="none" w:sz="0" w:space="0" w:color="auto"/>
      </w:divBdr>
    </w:div>
    <w:div w:id="365061685">
      <w:bodyDiv w:val="1"/>
      <w:marLeft w:val="0"/>
      <w:marRight w:val="0"/>
      <w:marTop w:val="0"/>
      <w:marBottom w:val="0"/>
      <w:divBdr>
        <w:top w:val="none" w:sz="0" w:space="0" w:color="auto"/>
        <w:left w:val="none" w:sz="0" w:space="0" w:color="auto"/>
        <w:bottom w:val="none" w:sz="0" w:space="0" w:color="auto"/>
        <w:right w:val="none" w:sz="0" w:space="0" w:color="auto"/>
      </w:divBdr>
      <w:divsChild>
        <w:div w:id="1162038950">
          <w:marLeft w:val="0"/>
          <w:marRight w:val="0"/>
          <w:marTop w:val="0"/>
          <w:marBottom w:val="0"/>
          <w:divBdr>
            <w:top w:val="none" w:sz="0" w:space="0" w:color="auto"/>
            <w:left w:val="none" w:sz="0" w:space="0" w:color="auto"/>
            <w:bottom w:val="none" w:sz="0" w:space="0" w:color="auto"/>
            <w:right w:val="none" w:sz="0" w:space="0" w:color="auto"/>
          </w:divBdr>
        </w:div>
        <w:div w:id="1620986325">
          <w:marLeft w:val="0"/>
          <w:marRight w:val="0"/>
          <w:marTop w:val="0"/>
          <w:marBottom w:val="0"/>
          <w:divBdr>
            <w:top w:val="none" w:sz="0" w:space="0" w:color="auto"/>
            <w:left w:val="none" w:sz="0" w:space="0" w:color="auto"/>
            <w:bottom w:val="none" w:sz="0" w:space="0" w:color="auto"/>
            <w:right w:val="none" w:sz="0" w:space="0" w:color="auto"/>
          </w:divBdr>
        </w:div>
        <w:div w:id="286477368">
          <w:marLeft w:val="0"/>
          <w:marRight w:val="0"/>
          <w:marTop w:val="0"/>
          <w:marBottom w:val="0"/>
          <w:divBdr>
            <w:top w:val="none" w:sz="0" w:space="0" w:color="auto"/>
            <w:left w:val="none" w:sz="0" w:space="0" w:color="auto"/>
            <w:bottom w:val="none" w:sz="0" w:space="0" w:color="auto"/>
            <w:right w:val="none" w:sz="0" w:space="0" w:color="auto"/>
          </w:divBdr>
        </w:div>
      </w:divsChild>
    </w:div>
    <w:div w:id="575550825">
      <w:bodyDiv w:val="1"/>
      <w:marLeft w:val="0"/>
      <w:marRight w:val="0"/>
      <w:marTop w:val="0"/>
      <w:marBottom w:val="0"/>
      <w:divBdr>
        <w:top w:val="none" w:sz="0" w:space="0" w:color="auto"/>
        <w:left w:val="none" w:sz="0" w:space="0" w:color="auto"/>
        <w:bottom w:val="none" w:sz="0" w:space="0" w:color="auto"/>
        <w:right w:val="none" w:sz="0" w:space="0" w:color="auto"/>
      </w:divBdr>
    </w:div>
    <w:div w:id="699015470">
      <w:bodyDiv w:val="1"/>
      <w:marLeft w:val="0"/>
      <w:marRight w:val="0"/>
      <w:marTop w:val="0"/>
      <w:marBottom w:val="0"/>
      <w:divBdr>
        <w:top w:val="none" w:sz="0" w:space="0" w:color="auto"/>
        <w:left w:val="none" w:sz="0" w:space="0" w:color="auto"/>
        <w:bottom w:val="none" w:sz="0" w:space="0" w:color="auto"/>
        <w:right w:val="none" w:sz="0" w:space="0" w:color="auto"/>
      </w:divBdr>
      <w:divsChild>
        <w:div w:id="612439898">
          <w:marLeft w:val="0"/>
          <w:marRight w:val="0"/>
          <w:marTop w:val="0"/>
          <w:marBottom w:val="0"/>
          <w:divBdr>
            <w:top w:val="none" w:sz="0" w:space="0" w:color="auto"/>
            <w:left w:val="none" w:sz="0" w:space="0" w:color="auto"/>
            <w:bottom w:val="none" w:sz="0" w:space="0" w:color="auto"/>
            <w:right w:val="none" w:sz="0" w:space="0" w:color="auto"/>
          </w:divBdr>
        </w:div>
        <w:div w:id="1530994918">
          <w:marLeft w:val="0"/>
          <w:marRight w:val="0"/>
          <w:marTop w:val="0"/>
          <w:marBottom w:val="0"/>
          <w:divBdr>
            <w:top w:val="none" w:sz="0" w:space="0" w:color="auto"/>
            <w:left w:val="none" w:sz="0" w:space="0" w:color="auto"/>
            <w:bottom w:val="none" w:sz="0" w:space="0" w:color="auto"/>
            <w:right w:val="none" w:sz="0" w:space="0" w:color="auto"/>
          </w:divBdr>
        </w:div>
        <w:div w:id="638999573">
          <w:marLeft w:val="0"/>
          <w:marRight w:val="0"/>
          <w:marTop w:val="0"/>
          <w:marBottom w:val="0"/>
          <w:divBdr>
            <w:top w:val="none" w:sz="0" w:space="0" w:color="auto"/>
            <w:left w:val="none" w:sz="0" w:space="0" w:color="auto"/>
            <w:bottom w:val="none" w:sz="0" w:space="0" w:color="auto"/>
            <w:right w:val="none" w:sz="0" w:space="0" w:color="auto"/>
          </w:divBdr>
        </w:div>
      </w:divsChild>
    </w:div>
    <w:div w:id="714740110">
      <w:bodyDiv w:val="1"/>
      <w:marLeft w:val="0"/>
      <w:marRight w:val="0"/>
      <w:marTop w:val="0"/>
      <w:marBottom w:val="0"/>
      <w:divBdr>
        <w:top w:val="none" w:sz="0" w:space="0" w:color="auto"/>
        <w:left w:val="none" w:sz="0" w:space="0" w:color="auto"/>
        <w:bottom w:val="none" w:sz="0" w:space="0" w:color="auto"/>
        <w:right w:val="none" w:sz="0" w:space="0" w:color="auto"/>
      </w:divBdr>
    </w:div>
    <w:div w:id="772746003">
      <w:bodyDiv w:val="1"/>
      <w:marLeft w:val="0"/>
      <w:marRight w:val="0"/>
      <w:marTop w:val="0"/>
      <w:marBottom w:val="0"/>
      <w:divBdr>
        <w:top w:val="none" w:sz="0" w:space="0" w:color="auto"/>
        <w:left w:val="none" w:sz="0" w:space="0" w:color="auto"/>
        <w:bottom w:val="none" w:sz="0" w:space="0" w:color="auto"/>
        <w:right w:val="none" w:sz="0" w:space="0" w:color="auto"/>
      </w:divBdr>
    </w:div>
    <w:div w:id="982154285">
      <w:bodyDiv w:val="1"/>
      <w:marLeft w:val="0"/>
      <w:marRight w:val="0"/>
      <w:marTop w:val="0"/>
      <w:marBottom w:val="0"/>
      <w:divBdr>
        <w:top w:val="none" w:sz="0" w:space="0" w:color="auto"/>
        <w:left w:val="none" w:sz="0" w:space="0" w:color="auto"/>
        <w:bottom w:val="none" w:sz="0" w:space="0" w:color="auto"/>
        <w:right w:val="none" w:sz="0" w:space="0" w:color="auto"/>
      </w:divBdr>
    </w:div>
    <w:div w:id="1019551235">
      <w:bodyDiv w:val="1"/>
      <w:marLeft w:val="0"/>
      <w:marRight w:val="0"/>
      <w:marTop w:val="0"/>
      <w:marBottom w:val="0"/>
      <w:divBdr>
        <w:top w:val="none" w:sz="0" w:space="0" w:color="auto"/>
        <w:left w:val="none" w:sz="0" w:space="0" w:color="auto"/>
        <w:bottom w:val="none" w:sz="0" w:space="0" w:color="auto"/>
        <w:right w:val="none" w:sz="0" w:space="0" w:color="auto"/>
      </w:divBdr>
    </w:div>
    <w:div w:id="1023243080">
      <w:bodyDiv w:val="1"/>
      <w:marLeft w:val="0"/>
      <w:marRight w:val="0"/>
      <w:marTop w:val="0"/>
      <w:marBottom w:val="0"/>
      <w:divBdr>
        <w:top w:val="none" w:sz="0" w:space="0" w:color="auto"/>
        <w:left w:val="none" w:sz="0" w:space="0" w:color="auto"/>
        <w:bottom w:val="none" w:sz="0" w:space="0" w:color="auto"/>
        <w:right w:val="none" w:sz="0" w:space="0" w:color="auto"/>
      </w:divBdr>
      <w:divsChild>
        <w:div w:id="134833961">
          <w:marLeft w:val="0"/>
          <w:marRight w:val="0"/>
          <w:marTop w:val="0"/>
          <w:marBottom w:val="0"/>
          <w:divBdr>
            <w:top w:val="none" w:sz="0" w:space="0" w:color="auto"/>
            <w:left w:val="none" w:sz="0" w:space="0" w:color="auto"/>
            <w:bottom w:val="none" w:sz="0" w:space="0" w:color="auto"/>
            <w:right w:val="none" w:sz="0" w:space="0" w:color="auto"/>
          </w:divBdr>
        </w:div>
        <w:div w:id="1032729220">
          <w:marLeft w:val="0"/>
          <w:marRight w:val="0"/>
          <w:marTop w:val="0"/>
          <w:marBottom w:val="0"/>
          <w:divBdr>
            <w:top w:val="none" w:sz="0" w:space="0" w:color="auto"/>
            <w:left w:val="none" w:sz="0" w:space="0" w:color="auto"/>
            <w:bottom w:val="none" w:sz="0" w:space="0" w:color="auto"/>
            <w:right w:val="none" w:sz="0" w:space="0" w:color="auto"/>
          </w:divBdr>
        </w:div>
        <w:div w:id="360983364">
          <w:marLeft w:val="0"/>
          <w:marRight w:val="0"/>
          <w:marTop w:val="0"/>
          <w:marBottom w:val="0"/>
          <w:divBdr>
            <w:top w:val="none" w:sz="0" w:space="0" w:color="auto"/>
            <w:left w:val="none" w:sz="0" w:space="0" w:color="auto"/>
            <w:bottom w:val="none" w:sz="0" w:space="0" w:color="auto"/>
            <w:right w:val="none" w:sz="0" w:space="0" w:color="auto"/>
          </w:divBdr>
        </w:div>
        <w:div w:id="1567455065">
          <w:marLeft w:val="0"/>
          <w:marRight w:val="0"/>
          <w:marTop w:val="0"/>
          <w:marBottom w:val="0"/>
          <w:divBdr>
            <w:top w:val="none" w:sz="0" w:space="0" w:color="auto"/>
            <w:left w:val="none" w:sz="0" w:space="0" w:color="auto"/>
            <w:bottom w:val="none" w:sz="0" w:space="0" w:color="auto"/>
            <w:right w:val="none" w:sz="0" w:space="0" w:color="auto"/>
          </w:divBdr>
        </w:div>
      </w:divsChild>
    </w:div>
    <w:div w:id="1024215093">
      <w:bodyDiv w:val="1"/>
      <w:marLeft w:val="0"/>
      <w:marRight w:val="0"/>
      <w:marTop w:val="0"/>
      <w:marBottom w:val="0"/>
      <w:divBdr>
        <w:top w:val="none" w:sz="0" w:space="0" w:color="auto"/>
        <w:left w:val="none" w:sz="0" w:space="0" w:color="auto"/>
        <w:bottom w:val="none" w:sz="0" w:space="0" w:color="auto"/>
        <w:right w:val="none" w:sz="0" w:space="0" w:color="auto"/>
      </w:divBdr>
    </w:div>
    <w:div w:id="1169442940">
      <w:bodyDiv w:val="1"/>
      <w:marLeft w:val="0"/>
      <w:marRight w:val="0"/>
      <w:marTop w:val="0"/>
      <w:marBottom w:val="0"/>
      <w:divBdr>
        <w:top w:val="none" w:sz="0" w:space="0" w:color="auto"/>
        <w:left w:val="none" w:sz="0" w:space="0" w:color="auto"/>
        <w:bottom w:val="none" w:sz="0" w:space="0" w:color="auto"/>
        <w:right w:val="none" w:sz="0" w:space="0" w:color="auto"/>
      </w:divBdr>
    </w:div>
    <w:div w:id="1366252977">
      <w:bodyDiv w:val="1"/>
      <w:marLeft w:val="0"/>
      <w:marRight w:val="0"/>
      <w:marTop w:val="0"/>
      <w:marBottom w:val="0"/>
      <w:divBdr>
        <w:top w:val="none" w:sz="0" w:space="0" w:color="auto"/>
        <w:left w:val="none" w:sz="0" w:space="0" w:color="auto"/>
        <w:bottom w:val="none" w:sz="0" w:space="0" w:color="auto"/>
        <w:right w:val="none" w:sz="0" w:space="0" w:color="auto"/>
      </w:divBdr>
    </w:div>
    <w:div w:id="1495028222">
      <w:bodyDiv w:val="1"/>
      <w:marLeft w:val="0"/>
      <w:marRight w:val="0"/>
      <w:marTop w:val="0"/>
      <w:marBottom w:val="0"/>
      <w:divBdr>
        <w:top w:val="none" w:sz="0" w:space="0" w:color="auto"/>
        <w:left w:val="none" w:sz="0" w:space="0" w:color="auto"/>
        <w:bottom w:val="none" w:sz="0" w:space="0" w:color="auto"/>
        <w:right w:val="none" w:sz="0" w:space="0" w:color="auto"/>
      </w:divBdr>
      <w:divsChild>
        <w:div w:id="130365583">
          <w:marLeft w:val="0"/>
          <w:marRight w:val="0"/>
          <w:marTop w:val="0"/>
          <w:marBottom w:val="0"/>
          <w:divBdr>
            <w:top w:val="none" w:sz="0" w:space="0" w:color="auto"/>
            <w:left w:val="none" w:sz="0" w:space="0" w:color="auto"/>
            <w:bottom w:val="none" w:sz="0" w:space="0" w:color="auto"/>
            <w:right w:val="none" w:sz="0" w:space="0" w:color="auto"/>
          </w:divBdr>
          <w:divsChild>
            <w:div w:id="1641954552">
              <w:marLeft w:val="0"/>
              <w:marRight w:val="0"/>
              <w:marTop w:val="0"/>
              <w:marBottom w:val="0"/>
              <w:divBdr>
                <w:top w:val="none" w:sz="0" w:space="0" w:color="auto"/>
                <w:left w:val="none" w:sz="0" w:space="0" w:color="auto"/>
                <w:bottom w:val="none" w:sz="0" w:space="0" w:color="auto"/>
                <w:right w:val="none" w:sz="0" w:space="0" w:color="auto"/>
              </w:divBdr>
              <w:divsChild>
                <w:div w:id="343635001">
                  <w:marLeft w:val="0"/>
                  <w:marRight w:val="0"/>
                  <w:marTop w:val="0"/>
                  <w:marBottom w:val="0"/>
                  <w:divBdr>
                    <w:top w:val="none" w:sz="0" w:space="0" w:color="auto"/>
                    <w:left w:val="none" w:sz="0" w:space="0" w:color="auto"/>
                    <w:bottom w:val="none" w:sz="0" w:space="0" w:color="auto"/>
                    <w:right w:val="none" w:sz="0" w:space="0" w:color="auto"/>
                  </w:divBdr>
                  <w:divsChild>
                    <w:div w:id="1315111039">
                      <w:marLeft w:val="0"/>
                      <w:marRight w:val="0"/>
                      <w:marTop w:val="0"/>
                      <w:marBottom w:val="0"/>
                      <w:divBdr>
                        <w:top w:val="none" w:sz="0" w:space="0" w:color="auto"/>
                        <w:left w:val="none" w:sz="0" w:space="0" w:color="auto"/>
                        <w:bottom w:val="none" w:sz="0" w:space="0" w:color="auto"/>
                        <w:right w:val="none" w:sz="0" w:space="0" w:color="auto"/>
                      </w:divBdr>
                      <w:divsChild>
                        <w:div w:id="470172225">
                          <w:marLeft w:val="0"/>
                          <w:marRight w:val="0"/>
                          <w:marTop w:val="0"/>
                          <w:marBottom w:val="0"/>
                          <w:divBdr>
                            <w:top w:val="none" w:sz="0" w:space="0" w:color="auto"/>
                            <w:left w:val="none" w:sz="0" w:space="0" w:color="auto"/>
                            <w:bottom w:val="none" w:sz="0" w:space="0" w:color="auto"/>
                            <w:right w:val="none" w:sz="0" w:space="0" w:color="auto"/>
                          </w:divBdr>
                          <w:divsChild>
                            <w:div w:id="1448696002">
                              <w:marLeft w:val="0"/>
                              <w:marRight w:val="0"/>
                              <w:marTop w:val="0"/>
                              <w:marBottom w:val="0"/>
                              <w:divBdr>
                                <w:top w:val="none" w:sz="0" w:space="0" w:color="auto"/>
                                <w:left w:val="none" w:sz="0" w:space="0" w:color="auto"/>
                                <w:bottom w:val="none" w:sz="0" w:space="0" w:color="auto"/>
                                <w:right w:val="none" w:sz="0" w:space="0" w:color="auto"/>
                              </w:divBdr>
                              <w:divsChild>
                                <w:div w:id="192114681">
                                  <w:marLeft w:val="0"/>
                                  <w:marRight w:val="0"/>
                                  <w:marTop w:val="0"/>
                                  <w:marBottom w:val="0"/>
                                  <w:divBdr>
                                    <w:top w:val="none" w:sz="0" w:space="0" w:color="auto"/>
                                    <w:left w:val="none" w:sz="0" w:space="0" w:color="auto"/>
                                    <w:bottom w:val="none" w:sz="0" w:space="0" w:color="auto"/>
                                    <w:right w:val="none" w:sz="0" w:space="0" w:color="auto"/>
                                  </w:divBdr>
                                  <w:divsChild>
                                    <w:div w:id="660545855">
                                      <w:marLeft w:val="0"/>
                                      <w:marRight w:val="0"/>
                                      <w:marTop w:val="0"/>
                                      <w:marBottom w:val="0"/>
                                      <w:divBdr>
                                        <w:top w:val="single" w:sz="4" w:space="0" w:color="F5F5F5"/>
                                        <w:left w:val="single" w:sz="4" w:space="0" w:color="F5F5F5"/>
                                        <w:bottom w:val="single" w:sz="4" w:space="0" w:color="F5F5F5"/>
                                        <w:right w:val="single" w:sz="4" w:space="0" w:color="F5F5F5"/>
                                      </w:divBdr>
                                      <w:divsChild>
                                        <w:div w:id="484513538">
                                          <w:marLeft w:val="0"/>
                                          <w:marRight w:val="0"/>
                                          <w:marTop w:val="0"/>
                                          <w:marBottom w:val="0"/>
                                          <w:divBdr>
                                            <w:top w:val="none" w:sz="0" w:space="0" w:color="auto"/>
                                            <w:left w:val="none" w:sz="0" w:space="0" w:color="auto"/>
                                            <w:bottom w:val="none" w:sz="0" w:space="0" w:color="auto"/>
                                            <w:right w:val="none" w:sz="0" w:space="0" w:color="auto"/>
                                          </w:divBdr>
                                          <w:divsChild>
                                            <w:div w:id="13899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9556791">
      <w:bodyDiv w:val="1"/>
      <w:marLeft w:val="0"/>
      <w:marRight w:val="0"/>
      <w:marTop w:val="0"/>
      <w:marBottom w:val="0"/>
      <w:divBdr>
        <w:top w:val="none" w:sz="0" w:space="0" w:color="auto"/>
        <w:left w:val="none" w:sz="0" w:space="0" w:color="auto"/>
        <w:bottom w:val="none" w:sz="0" w:space="0" w:color="auto"/>
        <w:right w:val="none" w:sz="0" w:space="0" w:color="auto"/>
      </w:divBdr>
      <w:divsChild>
        <w:div w:id="2072729699">
          <w:marLeft w:val="0"/>
          <w:marRight w:val="0"/>
          <w:marTop w:val="0"/>
          <w:marBottom w:val="0"/>
          <w:divBdr>
            <w:top w:val="none" w:sz="0" w:space="0" w:color="auto"/>
            <w:left w:val="none" w:sz="0" w:space="0" w:color="auto"/>
            <w:bottom w:val="none" w:sz="0" w:space="0" w:color="auto"/>
            <w:right w:val="none" w:sz="0" w:space="0" w:color="auto"/>
          </w:divBdr>
          <w:divsChild>
            <w:div w:id="35973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662535">
      <w:bodyDiv w:val="1"/>
      <w:marLeft w:val="0"/>
      <w:marRight w:val="0"/>
      <w:marTop w:val="0"/>
      <w:marBottom w:val="0"/>
      <w:divBdr>
        <w:top w:val="none" w:sz="0" w:space="0" w:color="auto"/>
        <w:left w:val="none" w:sz="0" w:space="0" w:color="auto"/>
        <w:bottom w:val="none" w:sz="0" w:space="0" w:color="auto"/>
        <w:right w:val="none" w:sz="0" w:space="0" w:color="auto"/>
      </w:divBdr>
    </w:div>
    <w:div w:id="1706253258">
      <w:bodyDiv w:val="1"/>
      <w:marLeft w:val="0"/>
      <w:marRight w:val="0"/>
      <w:marTop w:val="0"/>
      <w:marBottom w:val="0"/>
      <w:divBdr>
        <w:top w:val="none" w:sz="0" w:space="0" w:color="auto"/>
        <w:left w:val="none" w:sz="0" w:space="0" w:color="auto"/>
        <w:bottom w:val="none" w:sz="0" w:space="0" w:color="auto"/>
        <w:right w:val="none" w:sz="0" w:space="0" w:color="auto"/>
      </w:divBdr>
    </w:div>
    <w:div w:id="1743871822">
      <w:bodyDiv w:val="1"/>
      <w:marLeft w:val="0"/>
      <w:marRight w:val="0"/>
      <w:marTop w:val="0"/>
      <w:marBottom w:val="0"/>
      <w:divBdr>
        <w:top w:val="none" w:sz="0" w:space="0" w:color="auto"/>
        <w:left w:val="none" w:sz="0" w:space="0" w:color="auto"/>
        <w:bottom w:val="none" w:sz="0" w:space="0" w:color="auto"/>
        <w:right w:val="none" w:sz="0" w:space="0" w:color="auto"/>
      </w:divBdr>
    </w:div>
    <w:div w:id="1764718303">
      <w:bodyDiv w:val="1"/>
      <w:marLeft w:val="0"/>
      <w:marRight w:val="0"/>
      <w:marTop w:val="0"/>
      <w:marBottom w:val="0"/>
      <w:divBdr>
        <w:top w:val="none" w:sz="0" w:space="0" w:color="auto"/>
        <w:left w:val="none" w:sz="0" w:space="0" w:color="auto"/>
        <w:bottom w:val="none" w:sz="0" w:space="0" w:color="auto"/>
        <w:right w:val="none" w:sz="0" w:space="0" w:color="auto"/>
      </w:divBdr>
    </w:div>
    <w:div w:id="1807971403">
      <w:bodyDiv w:val="1"/>
      <w:marLeft w:val="0"/>
      <w:marRight w:val="0"/>
      <w:marTop w:val="0"/>
      <w:marBottom w:val="0"/>
      <w:divBdr>
        <w:top w:val="none" w:sz="0" w:space="0" w:color="auto"/>
        <w:left w:val="none" w:sz="0" w:space="0" w:color="auto"/>
        <w:bottom w:val="none" w:sz="0" w:space="0" w:color="auto"/>
        <w:right w:val="none" w:sz="0" w:space="0" w:color="auto"/>
      </w:divBdr>
    </w:div>
    <w:div w:id="1818836663">
      <w:bodyDiv w:val="1"/>
      <w:marLeft w:val="0"/>
      <w:marRight w:val="0"/>
      <w:marTop w:val="0"/>
      <w:marBottom w:val="0"/>
      <w:divBdr>
        <w:top w:val="none" w:sz="0" w:space="0" w:color="auto"/>
        <w:left w:val="none" w:sz="0" w:space="0" w:color="auto"/>
        <w:bottom w:val="none" w:sz="0" w:space="0" w:color="auto"/>
        <w:right w:val="none" w:sz="0" w:space="0" w:color="auto"/>
      </w:divBdr>
    </w:div>
    <w:div w:id="1899439127">
      <w:bodyDiv w:val="1"/>
      <w:marLeft w:val="0"/>
      <w:marRight w:val="0"/>
      <w:marTop w:val="0"/>
      <w:marBottom w:val="0"/>
      <w:divBdr>
        <w:top w:val="none" w:sz="0" w:space="0" w:color="auto"/>
        <w:left w:val="none" w:sz="0" w:space="0" w:color="auto"/>
        <w:bottom w:val="none" w:sz="0" w:space="0" w:color="auto"/>
        <w:right w:val="none" w:sz="0" w:space="0" w:color="auto"/>
      </w:divBdr>
    </w:div>
    <w:div w:id="1934430243">
      <w:bodyDiv w:val="1"/>
      <w:marLeft w:val="0"/>
      <w:marRight w:val="0"/>
      <w:marTop w:val="0"/>
      <w:marBottom w:val="0"/>
      <w:divBdr>
        <w:top w:val="none" w:sz="0" w:space="0" w:color="auto"/>
        <w:left w:val="none" w:sz="0" w:space="0" w:color="auto"/>
        <w:bottom w:val="none" w:sz="0" w:space="0" w:color="auto"/>
        <w:right w:val="none" w:sz="0" w:space="0" w:color="auto"/>
      </w:divBdr>
    </w:div>
    <w:div w:id="2041392241">
      <w:bodyDiv w:val="1"/>
      <w:marLeft w:val="0"/>
      <w:marRight w:val="0"/>
      <w:marTop w:val="0"/>
      <w:marBottom w:val="0"/>
      <w:divBdr>
        <w:top w:val="none" w:sz="0" w:space="0" w:color="auto"/>
        <w:left w:val="none" w:sz="0" w:space="0" w:color="auto"/>
        <w:bottom w:val="none" w:sz="0" w:space="0" w:color="auto"/>
        <w:right w:val="none" w:sz="0" w:space="0" w:color="auto"/>
      </w:divBdr>
      <w:divsChild>
        <w:div w:id="1211380765">
          <w:marLeft w:val="0"/>
          <w:marRight w:val="0"/>
          <w:marTop w:val="0"/>
          <w:marBottom w:val="0"/>
          <w:divBdr>
            <w:top w:val="none" w:sz="0" w:space="0" w:color="auto"/>
            <w:left w:val="none" w:sz="0" w:space="0" w:color="auto"/>
            <w:bottom w:val="none" w:sz="0" w:space="0" w:color="auto"/>
            <w:right w:val="none" w:sz="0" w:space="0" w:color="auto"/>
          </w:divBdr>
        </w:div>
        <w:div w:id="1629703110">
          <w:marLeft w:val="0"/>
          <w:marRight w:val="0"/>
          <w:marTop w:val="0"/>
          <w:marBottom w:val="0"/>
          <w:divBdr>
            <w:top w:val="none" w:sz="0" w:space="0" w:color="auto"/>
            <w:left w:val="none" w:sz="0" w:space="0" w:color="auto"/>
            <w:bottom w:val="none" w:sz="0" w:space="0" w:color="auto"/>
            <w:right w:val="none" w:sz="0" w:space="0" w:color="auto"/>
          </w:divBdr>
        </w:div>
        <w:div w:id="48500247">
          <w:marLeft w:val="0"/>
          <w:marRight w:val="0"/>
          <w:marTop w:val="0"/>
          <w:marBottom w:val="0"/>
          <w:divBdr>
            <w:top w:val="none" w:sz="0" w:space="0" w:color="auto"/>
            <w:left w:val="none" w:sz="0" w:space="0" w:color="auto"/>
            <w:bottom w:val="none" w:sz="0" w:space="0" w:color="auto"/>
            <w:right w:val="none" w:sz="0" w:space="0" w:color="auto"/>
          </w:divBdr>
        </w:div>
        <w:div w:id="42396425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esco.org/open-access/terms-use-ccbysa-f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creativecommons.org/licenses/by-sa/3.0/igo/"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unesdoc.unesco.org/images/0015/001506/150671f.pdf"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8F3A1-B24B-4419-8382-FBD5E0465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12</Pages>
  <Words>4598</Words>
  <Characters>25289</Characters>
  <Application>Microsoft Office Word</Application>
  <DocSecurity>0</DocSecurity>
  <Lines>210</Lines>
  <Paragraphs>59</Paragraphs>
  <ScaleCrop>false</ScaleCrop>
  <HeadingPairs>
    <vt:vector size="2" baseType="variant">
      <vt:variant>
        <vt:lpstr>Titre</vt:lpstr>
      </vt:variant>
      <vt:variant>
        <vt:i4>1</vt:i4>
      </vt:variant>
    </vt:vector>
  </HeadingPairs>
  <TitlesOfParts>
    <vt:vector size="1" baseType="lpstr">
      <vt:lpstr>U009-v1.0-PT-FRA.docx</vt:lpstr>
    </vt:vector>
  </TitlesOfParts>
  <Company/>
  <LinksUpToDate>false</LinksUpToDate>
  <CharactersWithSpaces>29828</CharactersWithSpaces>
  <SharedDoc>false</SharedDoc>
  <HyperlinkBase/>
  <HLinks>
    <vt:vector size="732" baseType="variant">
      <vt:variant>
        <vt:i4>6291556</vt:i4>
      </vt:variant>
      <vt:variant>
        <vt:i4>1182</vt:i4>
      </vt:variant>
      <vt:variant>
        <vt:i4>0</vt:i4>
      </vt:variant>
      <vt:variant>
        <vt:i4>5</vt:i4>
      </vt:variant>
      <vt:variant>
        <vt:lpwstr>http://whc.unesco.org/fr/list/722/</vt:lpwstr>
      </vt:variant>
      <vt:variant>
        <vt:lpwstr/>
      </vt:variant>
      <vt:variant>
        <vt:i4>7733348</vt:i4>
      </vt:variant>
      <vt:variant>
        <vt:i4>1179</vt:i4>
      </vt:variant>
      <vt:variant>
        <vt:i4>0</vt:i4>
      </vt:variant>
      <vt:variant>
        <vt:i4>5</vt:i4>
      </vt:variant>
      <vt:variant>
        <vt:lpwstr>http://www.unesco.org/culture/ich/index.php?lg=fr&amp;pg=00011&amp;RL=00015</vt:lpwstr>
      </vt:variant>
      <vt:variant>
        <vt:lpwstr/>
      </vt:variant>
      <vt:variant>
        <vt:i4>1507409</vt:i4>
      </vt:variant>
      <vt:variant>
        <vt:i4>1176</vt:i4>
      </vt:variant>
      <vt:variant>
        <vt:i4>0</vt:i4>
      </vt:variant>
      <vt:variant>
        <vt:i4>5</vt:i4>
      </vt:variant>
      <vt:variant>
        <vt:lpwstr>http://www.nau.edu/~hcpo-p/research.html</vt:lpwstr>
      </vt:variant>
      <vt:variant>
        <vt:lpwstr/>
      </vt:variant>
      <vt:variant>
        <vt:i4>1703964</vt:i4>
      </vt:variant>
      <vt:variant>
        <vt:i4>1173</vt:i4>
      </vt:variant>
      <vt:variant>
        <vt:i4>0</vt:i4>
      </vt:variant>
      <vt:variant>
        <vt:i4>5</vt:i4>
      </vt:variant>
      <vt:variant>
        <vt:lpwstr>http://www.faronet.be/fr/faro-interface-flamande-pour-le-patrimoine-culturel-asbl</vt:lpwstr>
      </vt:variant>
      <vt:variant>
        <vt:lpwstr/>
      </vt:variant>
      <vt:variant>
        <vt:i4>7602291</vt:i4>
      </vt:variant>
      <vt:variant>
        <vt:i4>1170</vt:i4>
      </vt:variant>
      <vt:variant>
        <vt:i4>0</vt:i4>
      </vt:variant>
      <vt:variant>
        <vt:i4>5</vt:i4>
      </vt:variant>
      <vt:variant>
        <vt:lpwstr>http://www.heemkunde-vlaanderen.be/</vt:lpwstr>
      </vt:variant>
      <vt:variant>
        <vt:lpwstr/>
      </vt:variant>
      <vt:variant>
        <vt:i4>1507398</vt:i4>
      </vt:variant>
      <vt:variant>
        <vt:i4>1167</vt:i4>
      </vt:variant>
      <vt:variant>
        <vt:i4>0</vt:i4>
      </vt:variant>
      <vt:variant>
        <vt:i4>5</vt:i4>
      </vt:variant>
      <vt:variant>
        <vt:lpwstr>http://www.unesco.org/culture/ich/index.php?lg=fr&amp;pg=00011&amp;USL=00305</vt:lpwstr>
      </vt:variant>
      <vt:variant>
        <vt:lpwstr/>
      </vt:variant>
      <vt:variant>
        <vt:i4>589914</vt:i4>
      </vt:variant>
      <vt:variant>
        <vt:i4>1164</vt:i4>
      </vt:variant>
      <vt:variant>
        <vt:i4>0</vt:i4>
      </vt:variant>
      <vt:variant>
        <vt:i4>5</vt:i4>
      </vt:variant>
      <vt:variant>
        <vt:lpwstr>http://www.accu.or.jp/ich/en/community/index.html</vt:lpwstr>
      </vt:variant>
      <vt:variant>
        <vt:lpwstr/>
      </vt:variant>
      <vt:variant>
        <vt:i4>7274529</vt:i4>
      </vt:variant>
      <vt:variant>
        <vt:i4>1161</vt:i4>
      </vt:variant>
      <vt:variant>
        <vt:i4>0</vt:i4>
      </vt:variant>
      <vt:variant>
        <vt:i4>5</vt:i4>
      </vt:variant>
      <vt:variant>
        <vt:lpwstr>http://www.accu.or.jp/ich/en/community/sanbaso.html</vt:lpwstr>
      </vt:variant>
      <vt:variant>
        <vt:lpwstr/>
      </vt:variant>
      <vt:variant>
        <vt:i4>5963803</vt:i4>
      </vt:variant>
      <vt:variant>
        <vt:i4>1158</vt:i4>
      </vt:variant>
      <vt:variant>
        <vt:i4>0</vt:i4>
      </vt:variant>
      <vt:variant>
        <vt:i4>5</vt:i4>
      </vt:variant>
      <vt:variant>
        <vt:lpwstr>http://www.unesco.org/culture/ich/index.php?pg=00311&amp;cp=PH&amp;topic=lht</vt:lpwstr>
      </vt:variant>
      <vt:variant>
        <vt:lpwstr>a-acronym-titleliving-human-treasurelhtacronym-system</vt:lpwstr>
      </vt:variant>
      <vt:variant>
        <vt:i4>7733307</vt:i4>
      </vt:variant>
      <vt:variant>
        <vt:i4>1155</vt:i4>
      </vt:variant>
      <vt:variant>
        <vt:i4>0</vt:i4>
      </vt:variant>
      <vt:variant>
        <vt:i4>5</vt:i4>
      </vt:variant>
      <vt:variant>
        <vt:lpwstr>http://www.unesco.org/culture/ich/doc/src/00057-EN.pdf</vt:lpwstr>
      </vt:variant>
      <vt:variant>
        <vt:lpwstr/>
      </vt:variant>
      <vt:variant>
        <vt:i4>5308443</vt:i4>
      </vt:variant>
      <vt:variant>
        <vt:i4>1152</vt:i4>
      </vt:variant>
      <vt:variant>
        <vt:i4>0</vt:i4>
      </vt:variant>
      <vt:variant>
        <vt:i4>5</vt:i4>
      </vt:variant>
      <vt:variant>
        <vt:lpwstr>http://www.ncca.gov.ph/about-ncca/org-awards/org-awards-gamaba-guidelines.php</vt:lpwstr>
      </vt:variant>
      <vt:variant>
        <vt:lpwstr/>
      </vt:variant>
      <vt:variant>
        <vt:i4>1638631</vt:i4>
      </vt:variant>
      <vt:variant>
        <vt:i4>1149</vt:i4>
      </vt:variant>
      <vt:variant>
        <vt:i4>0</vt:i4>
      </vt:variant>
      <vt:variant>
        <vt:i4>5</vt:i4>
      </vt:variant>
      <vt:variant>
        <vt:lpwstr>http://en.wikipilipinas.org/index.php?title=Category :GAMABA_Awardees</vt:lpwstr>
      </vt:variant>
      <vt:variant>
        <vt:lpwstr/>
      </vt:variant>
      <vt:variant>
        <vt:i4>720930</vt:i4>
      </vt:variant>
      <vt:variant>
        <vt:i4>1146</vt:i4>
      </vt:variant>
      <vt:variant>
        <vt:i4>0</vt:i4>
      </vt:variant>
      <vt:variant>
        <vt:i4>5</vt:i4>
      </vt:variant>
      <vt:variant>
        <vt:lpwstr>http://www.watatu.se/information.php?info_id=34</vt:lpwstr>
      </vt:variant>
      <vt:variant>
        <vt:lpwstr/>
      </vt:variant>
      <vt:variant>
        <vt:i4>4587555</vt:i4>
      </vt:variant>
      <vt:variant>
        <vt:i4>1143</vt:i4>
      </vt:variant>
      <vt:variant>
        <vt:i4>0</vt:i4>
      </vt:variant>
      <vt:variant>
        <vt:i4>5</vt:i4>
      </vt:variant>
      <vt:variant>
        <vt:lpwstr>http://www.unesco-uganda.ug/index.php?option=com_docman&amp;Itemid=73</vt:lpwstr>
      </vt:variant>
      <vt:variant>
        <vt:lpwstr/>
      </vt:variant>
      <vt:variant>
        <vt:i4>7143511</vt:i4>
      </vt:variant>
      <vt:variant>
        <vt:i4>1140</vt:i4>
      </vt:variant>
      <vt:variant>
        <vt:i4>0</vt:i4>
      </vt:variant>
      <vt:variant>
        <vt:i4>5</vt:i4>
      </vt:variant>
      <vt:variant>
        <vt:lpwstr>http://www.unesco.org/archives/multimedia/index.php?s=films_details&amp;id_page=33&amp;id_film=641</vt:lpwstr>
      </vt:variant>
      <vt:variant>
        <vt:lpwstr/>
      </vt:variant>
      <vt:variant>
        <vt:i4>5767190</vt:i4>
      </vt:variant>
      <vt:variant>
        <vt:i4>1137</vt:i4>
      </vt:variant>
      <vt:variant>
        <vt:i4>0</vt:i4>
      </vt:variant>
      <vt:variant>
        <vt:i4>5</vt:i4>
      </vt:variant>
      <vt:variant>
        <vt:lpwstr>http://www.cartierwomensinitiative.com/site/modulefinaliste/detail/Sara-Katebalirwe/128.html</vt:lpwstr>
      </vt:variant>
      <vt:variant>
        <vt:lpwstr/>
      </vt:variant>
      <vt:variant>
        <vt:i4>4194318</vt:i4>
      </vt:variant>
      <vt:variant>
        <vt:i4>1134</vt:i4>
      </vt:variant>
      <vt:variant>
        <vt:i4>0</vt:i4>
      </vt:variant>
      <vt:variant>
        <vt:i4>5</vt:i4>
      </vt:variant>
      <vt:variant>
        <vt:lpwstr>http://unorcac.nativeweb.org/</vt:lpwstr>
      </vt:variant>
      <vt:variant>
        <vt:lpwstr/>
      </vt:variant>
      <vt:variant>
        <vt:i4>3080247</vt:i4>
      </vt:variant>
      <vt:variant>
        <vt:i4>1131</vt:i4>
      </vt:variant>
      <vt:variant>
        <vt:i4>0</vt:i4>
      </vt:variant>
      <vt:variant>
        <vt:i4>5</vt:i4>
      </vt:variant>
      <vt:variant>
        <vt:lpwstr>http://www.runatupari.com/</vt:lpwstr>
      </vt:variant>
      <vt:variant>
        <vt:lpwstr/>
      </vt:variant>
      <vt:variant>
        <vt:i4>1704001</vt:i4>
      </vt:variant>
      <vt:variant>
        <vt:i4>1128</vt:i4>
      </vt:variant>
      <vt:variant>
        <vt:i4>0</vt:i4>
      </vt:variant>
      <vt:variant>
        <vt:i4>5</vt:i4>
      </vt:variant>
      <vt:variant>
        <vt:lpwstr>http://www.agriterra.org/assets/uploads/15068/solutions_agriterra_en.pdf</vt:lpwstr>
      </vt:variant>
      <vt:variant>
        <vt:lpwstr/>
      </vt:variant>
      <vt:variant>
        <vt:i4>131156</vt:i4>
      </vt:variant>
      <vt:variant>
        <vt:i4>1125</vt:i4>
      </vt:variant>
      <vt:variant>
        <vt:i4>0</vt:i4>
      </vt:variant>
      <vt:variant>
        <vt:i4>5</vt:i4>
      </vt:variant>
      <vt:variant>
        <vt:lpwstr>http://www.agriterra.org/en/text/about-agriterra</vt:lpwstr>
      </vt:variant>
      <vt:variant>
        <vt:lpwstr/>
      </vt:variant>
      <vt:variant>
        <vt:i4>917584</vt:i4>
      </vt:variant>
      <vt:variant>
        <vt:i4>1122</vt:i4>
      </vt:variant>
      <vt:variant>
        <vt:i4>0</vt:i4>
      </vt:variant>
      <vt:variant>
        <vt:i4>5</vt:i4>
      </vt:variant>
      <vt:variant>
        <vt:lpwstr>http://www.wipo.int/export/sites/www/academy/en/ipacademies/educational_materials/cs1_hoodia.pdf</vt:lpwstr>
      </vt:variant>
      <vt:variant>
        <vt:lpwstr/>
      </vt:variant>
      <vt:variant>
        <vt:i4>6160454</vt:i4>
      </vt:variant>
      <vt:variant>
        <vt:i4>1119</vt:i4>
      </vt:variant>
      <vt:variant>
        <vt:i4>0</vt:i4>
      </vt:variant>
      <vt:variant>
        <vt:i4>5</vt:i4>
      </vt:variant>
      <vt:variant>
        <vt:lpwstr>http://www.cbd.int/doc/publications/cbd-ts-38-en.pdf</vt:lpwstr>
      </vt:variant>
      <vt:variant>
        <vt:lpwstr/>
      </vt:variant>
      <vt:variant>
        <vt:i4>4718680</vt:i4>
      </vt:variant>
      <vt:variant>
        <vt:i4>1116</vt:i4>
      </vt:variant>
      <vt:variant>
        <vt:i4>0</vt:i4>
      </vt:variant>
      <vt:variant>
        <vt:i4>5</vt:i4>
      </vt:variant>
      <vt:variant>
        <vt:lpwstr>http://www.unesco.org/culture/ich/index.php?pg=00011&amp;LR=00166</vt:lpwstr>
      </vt:variant>
      <vt:variant>
        <vt:lpwstr/>
      </vt:variant>
      <vt:variant>
        <vt:i4>1114216</vt:i4>
      </vt:variant>
      <vt:variant>
        <vt:i4>1113</vt:i4>
      </vt:variant>
      <vt:variant>
        <vt:i4>0</vt:i4>
      </vt:variant>
      <vt:variant>
        <vt:i4>5</vt:i4>
      </vt:variant>
      <vt:variant>
        <vt:lpwstr>http://www.cedla.uva.nl/50_publications/pdf/revista/82RevistaEuropea/82-Ypeij&amp;Zorn-ISSN-0924-0608.pdf</vt:lpwstr>
      </vt:variant>
      <vt:variant>
        <vt:lpwstr/>
      </vt:variant>
      <vt:variant>
        <vt:i4>3342435</vt:i4>
      </vt:variant>
      <vt:variant>
        <vt:i4>1110</vt:i4>
      </vt:variant>
      <vt:variant>
        <vt:i4>0</vt:i4>
      </vt:variant>
      <vt:variant>
        <vt:i4>5</vt:i4>
      </vt:variant>
      <vt:variant>
        <vt:lpwstr>http://www.unesco.org/uil/litbase/?menu=4&amp;programme=25</vt:lpwstr>
      </vt:variant>
      <vt:variant>
        <vt:lpwstr/>
      </vt:variant>
      <vt:variant>
        <vt:i4>7143527</vt:i4>
      </vt:variant>
      <vt:variant>
        <vt:i4>1107</vt:i4>
      </vt:variant>
      <vt:variant>
        <vt:i4>0</vt:i4>
      </vt:variant>
      <vt:variant>
        <vt:i4>5</vt:i4>
      </vt:variant>
      <vt:variant>
        <vt:lpwstr>http://www.unesco.org/culture/ich/index.php?lg=en&amp;pg=00011&amp;LR=00174</vt:lpwstr>
      </vt:variant>
      <vt:variant>
        <vt:lpwstr/>
      </vt:variant>
      <vt:variant>
        <vt:i4>393307</vt:i4>
      </vt:variant>
      <vt:variant>
        <vt:i4>1104</vt:i4>
      </vt:variant>
      <vt:variant>
        <vt:i4>0</vt:i4>
      </vt:variant>
      <vt:variant>
        <vt:i4>5</vt:i4>
      </vt:variant>
      <vt:variant>
        <vt:lpwstr>http://www.unesco.org/culture/ich/index.php?LSU=00313</vt:lpwstr>
      </vt:variant>
      <vt:variant>
        <vt:lpwstr/>
      </vt:variant>
      <vt:variant>
        <vt:i4>393307</vt:i4>
      </vt:variant>
      <vt:variant>
        <vt:i4>1101</vt:i4>
      </vt:variant>
      <vt:variant>
        <vt:i4>0</vt:i4>
      </vt:variant>
      <vt:variant>
        <vt:i4>5</vt:i4>
      </vt:variant>
      <vt:variant>
        <vt:lpwstr>http://www.unesco.org/culture/ich/index.php?LSU=00315</vt:lpwstr>
      </vt:variant>
      <vt:variant>
        <vt:lpwstr/>
      </vt:variant>
      <vt:variant>
        <vt:i4>74</vt:i4>
      </vt:variant>
      <vt:variant>
        <vt:i4>1098</vt:i4>
      </vt:variant>
      <vt:variant>
        <vt:i4>0</vt:i4>
      </vt:variant>
      <vt:variant>
        <vt:i4>5</vt:i4>
      </vt:variant>
      <vt:variant>
        <vt:lpwstr>http://www.ifad.org/english/indigenous/pub/documents/Indigeknowledge.pdf</vt:lpwstr>
      </vt:variant>
      <vt:variant>
        <vt:lpwstr/>
      </vt:variant>
      <vt:variant>
        <vt:i4>1900554</vt:i4>
      </vt:variant>
      <vt:variant>
        <vt:i4>1095</vt:i4>
      </vt:variant>
      <vt:variant>
        <vt:i4>0</vt:i4>
      </vt:variant>
      <vt:variant>
        <vt:i4>5</vt:i4>
      </vt:variant>
      <vt:variant>
        <vt:lpwstr>http://www.unesco.org/culture/ich/index.php?pg=00261</vt:lpwstr>
      </vt:variant>
      <vt:variant>
        <vt:lpwstr/>
      </vt:variant>
      <vt:variant>
        <vt:i4>655428</vt:i4>
      </vt:variant>
      <vt:variant>
        <vt:i4>1092</vt:i4>
      </vt:variant>
      <vt:variant>
        <vt:i4>0</vt:i4>
      </vt:variant>
      <vt:variant>
        <vt:i4>5</vt:i4>
      </vt:variant>
      <vt:variant>
        <vt:lpwstr>http://www.wipo.int/export/sites/www/tk/en/culturalheritage/casestudies/arantes_report_vol1.pdf</vt:lpwstr>
      </vt:variant>
      <vt:variant>
        <vt:lpwstr/>
      </vt:variant>
      <vt:variant>
        <vt:i4>5374028</vt:i4>
      </vt:variant>
      <vt:variant>
        <vt:i4>1089</vt:i4>
      </vt:variant>
      <vt:variant>
        <vt:i4>0</vt:i4>
      </vt:variant>
      <vt:variant>
        <vt:i4>5</vt:i4>
      </vt:variant>
      <vt:variant>
        <vt:lpwstr>http://www.iphan.gov.br/bcrE/pages/indexE.jsf</vt:lpwstr>
      </vt:variant>
      <vt:variant>
        <vt:lpwstr/>
      </vt:variant>
      <vt:variant>
        <vt:i4>1572956</vt:i4>
      </vt:variant>
      <vt:variant>
        <vt:i4>1086</vt:i4>
      </vt:variant>
      <vt:variant>
        <vt:i4>0</vt:i4>
      </vt:variant>
      <vt:variant>
        <vt:i4>5</vt:i4>
      </vt:variant>
      <vt:variant>
        <vt:lpwstr>http://www.iphan.gov.br/</vt:lpwstr>
      </vt:variant>
      <vt:variant>
        <vt:lpwstr/>
      </vt:variant>
      <vt:variant>
        <vt:i4>6815778</vt:i4>
      </vt:variant>
      <vt:variant>
        <vt:i4>1083</vt:i4>
      </vt:variant>
      <vt:variant>
        <vt:i4>0</vt:i4>
      </vt:variant>
      <vt:variant>
        <vt:i4>5</vt:i4>
      </vt:variant>
      <vt:variant>
        <vt:lpwstr>http://www.unesco.org/culture/ich/index.php?pg=00015&amp;categ=2010</vt:lpwstr>
      </vt:variant>
      <vt:variant>
        <vt:lpwstr/>
      </vt:variant>
      <vt:variant>
        <vt:i4>2228334</vt:i4>
      </vt:variant>
      <vt:variant>
        <vt:i4>1080</vt:i4>
      </vt:variant>
      <vt:variant>
        <vt:i4>0</vt:i4>
      </vt:variant>
      <vt:variant>
        <vt:i4>5</vt:i4>
      </vt:variant>
      <vt:variant>
        <vt:lpwstr>http://www.mun.ca/ich/home/</vt:lpwstr>
      </vt:variant>
      <vt:variant>
        <vt:lpwstr/>
      </vt:variant>
      <vt:variant>
        <vt:i4>2818175</vt:i4>
      </vt:variant>
      <vt:variant>
        <vt:i4>1077</vt:i4>
      </vt:variant>
      <vt:variant>
        <vt:i4>0</vt:i4>
      </vt:variant>
      <vt:variant>
        <vt:i4>5</vt:i4>
      </vt:variant>
      <vt:variant>
        <vt:lpwstr>http://collections.mun.ca/index.php</vt:lpwstr>
      </vt:variant>
      <vt:variant>
        <vt:lpwstr/>
      </vt:variant>
      <vt:variant>
        <vt:i4>1114189</vt:i4>
      </vt:variant>
      <vt:variant>
        <vt:i4>1074</vt:i4>
      </vt:variant>
      <vt:variant>
        <vt:i4>0</vt:i4>
      </vt:variant>
      <vt:variant>
        <vt:i4>5</vt:i4>
      </vt:variant>
      <vt:variant>
        <vt:lpwstr>http://www.heritagefoundation.ca/ich.aspx</vt:lpwstr>
      </vt:variant>
      <vt:variant>
        <vt:lpwstr/>
      </vt:variant>
      <vt:variant>
        <vt:i4>1703951</vt:i4>
      </vt:variant>
      <vt:variant>
        <vt:i4>1071</vt:i4>
      </vt:variant>
      <vt:variant>
        <vt:i4>0</vt:i4>
      </vt:variant>
      <vt:variant>
        <vt:i4>5</vt:i4>
      </vt:variant>
      <vt:variant>
        <vt:lpwstr>http://www.mun.ca/ich/resources/</vt:lpwstr>
      </vt:variant>
      <vt:variant>
        <vt:lpwstr/>
      </vt:variant>
      <vt:variant>
        <vt:i4>917581</vt:i4>
      </vt:variant>
      <vt:variant>
        <vt:i4>1068</vt:i4>
      </vt:variant>
      <vt:variant>
        <vt:i4>0</vt:i4>
      </vt:variant>
      <vt:variant>
        <vt:i4>5</vt:i4>
      </vt:variant>
      <vt:variant>
        <vt:lpwstr>http://www.mun.ca/ich/inventory/ICHtopic.php</vt:lpwstr>
      </vt:variant>
      <vt:variant>
        <vt:lpwstr/>
      </vt:variant>
      <vt:variant>
        <vt:i4>65625</vt:i4>
      </vt:variant>
      <vt:variant>
        <vt:i4>1065</vt:i4>
      </vt:variant>
      <vt:variant>
        <vt:i4>0</vt:i4>
      </vt:variant>
      <vt:variant>
        <vt:i4>5</vt:i4>
      </vt:variant>
      <vt:variant>
        <vt:lpwstr>http://www.mun.ca/ich/inventory/profiles.php</vt:lpwstr>
      </vt:variant>
      <vt:variant>
        <vt:lpwstr/>
      </vt:variant>
      <vt:variant>
        <vt:i4>6684794</vt:i4>
      </vt:variant>
      <vt:variant>
        <vt:i4>1062</vt:i4>
      </vt:variant>
      <vt:variant>
        <vt:i4>0</vt:i4>
      </vt:variant>
      <vt:variant>
        <vt:i4>5</vt:i4>
      </vt:variant>
      <vt:variant>
        <vt:lpwstr>http://collections.mun.ca/</vt:lpwstr>
      </vt:variant>
      <vt:variant>
        <vt:lpwstr/>
      </vt:variant>
      <vt:variant>
        <vt:i4>983051</vt:i4>
      </vt:variant>
      <vt:variant>
        <vt:i4>1059</vt:i4>
      </vt:variant>
      <vt:variant>
        <vt:i4>0</vt:i4>
      </vt:variant>
      <vt:variant>
        <vt:i4>5</vt:i4>
      </vt:variant>
      <vt:variant>
        <vt:lpwstr>http://www.mun.ca/ich/advisorycommittee/</vt:lpwstr>
      </vt:variant>
      <vt:variant>
        <vt:lpwstr/>
      </vt:variant>
      <vt:variant>
        <vt:i4>65628</vt:i4>
      </vt:variant>
      <vt:variant>
        <vt:i4>1056</vt:i4>
      </vt:variant>
      <vt:variant>
        <vt:i4>0</vt:i4>
      </vt:variant>
      <vt:variant>
        <vt:i4>5</vt:i4>
      </vt:variant>
      <vt:variant>
        <vt:lpwstr>http://www.heritagefoundation.ca/</vt:lpwstr>
      </vt:variant>
      <vt:variant>
        <vt:lpwstr/>
      </vt:variant>
      <vt:variant>
        <vt:i4>4128879</vt:i4>
      </vt:variant>
      <vt:variant>
        <vt:i4>1053</vt:i4>
      </vt:variant>
      <vt:variant>
        <vt:i4>0</vt:i4>
      </vt:variant>
      <vt:variant>
        <vt:i4>5</vt:i4>
      </vt:variant>
      <vt:variant>
        <vt:lpwstr>http://www.ethnologie.chaire.ulaval.ca/</vt:lpwstr>
      </vt:variant>
      <vt:variant>
        <vt:lpwstr/>
      </vt:variant>
      <vt:variant>
        <vt:i4>7602238</vt:i4>
      </vt:variant>
      <vt:variant>
        <vt:i4>1050</vt:i4>
      </vt:variant>
      <vt:variant>
        <vt:i4>0</vt:i4>
      </vt:variant>
      <vt:variant>
        <vt:i4>5</vt:i4>
      </vt:variant>
      <vt:variant>
        <vt:lpwstr>http://www.aiatsis.gov.au/</vt:lpwstr>
      </vt:variant>
      <vt:variant>
        <vt:lpwstr/>
      </vt:variant>
      <vt:variant>
        <vt:i4>1245187</vt:i4>
      </vt:variant>
      <vt:variant>
        <vt:i4>1047</vt:i4>
      </vt:variant>
      <vt:variant>
        <vt:i4>0</vt:i4>
      </vt:variant>
      <vt:variant>
        <vt:i4>5</vt:i4>
      </vt:variant>
      <vt:variant>
        <vt:lpwstr>http://www.indiosonline.org.br/novo/</vt:lpwstr>
      </vt:variant>
      <vt:variant>
        <vt:lpwstr/>
      </vt:variant>
      <vt:variant>
        <vt:i4>3211372</vt:i4>
      </vt:variant>
      <vt:variant>
        <vt:i4>1044</vt:i4>
      </vt:variant>
      <vt:variant>
        <vt:i4>0</vt:i4>
      </vt:variant>
      <vt:variant>
        <vt:i4>5</vt:i4>
      </vt:variant>
      <vt:variant>
        <vt:lpwstr>http://www.indiasurabhi.com/indianheritage.html</vt:lpwstr>
      </vt:variant>
      <vt:variant>
        <vt:lpwstr/>
      </vt:variant>
      <vt:variant>
        <vt:i4>5963815</vt:i4>
      </vt:variant>
      <vt:variant>
        <vt:i4>1041</vt:i4>
      </vt:variant>
      <vt:variant>
        <vt:i4>0</vt:i4>
      </vt:variant>
      <vt:variant>
        <vt:i4>5</vt:i4>
      </vt:variant>
      <vt:variant>
        <vt:lpwstr>http://www.accu.ou.jp/ich/en/training/curriculum/curriculum_9.html</vt:lpwstr>
      </vt:variant>
      <vt:variant>
        <vt:lpwstr/>
      </vt:variant>
      <vt:variant>
        <vt:i4>1638451</vt:i4>
      </vt:variant>
      <vt:variant>
        <vt:i4>1038</vt:i4>
      </vt:variant>
      <vt:variant>
        <vt:i4>0</vt:i4>
      </vt:variant>
      <vt:variant>
        <vt:i4>5</vt:i4>
      </vt:variant>
      <vt:variant>
        <vt:lpwstr>http://www.accu.ou.jp/ich/en/training/curriculum/curriculum_7.html</vt:lpwstr>
      </vt:variant>
      <vt:variant>
        <vt:lpwstr>/point4/</vt:lpwstr>
      </vt:variant>
      <vt:variant>
        <vt:i4>4980845</vt:i4>
      </vt:variant>
      <vt:variant>
        <vt:i4>1035</vt:i4>
      </vt:variant>
      <vt:variant>
        <vt:i4>0</vt:i4>
      </vt:variant>
      <vt:variant>
        <vt:i4>5</vt:i4>
      </vt:variant>
      <vt:variant>
        <vt:lpwstr>http://www.accu.ou.jp/ich/en/training/curriculum/second/curriculum_7.html</vt:lpwstr>
      </vt:variant>
      <vt:variant>
        <vt:lpwstr/>
      </vt:variant>
      <vt:variant>
        <vt:i4>3866677</vt:i4>
      </vt:variant>
      <vt:variant>
        <vt:i4>1032</vt:i4>
      </vt:variant>
      <vt:variant>
        <vt:i4>0</vt:i4>
      </vt:variant>
      <vt:variant>
        <vt:i4>5</vt:i4>
      </vt:variant>
      <vt:variant>
        <vt:lpwstr>http://www.unesco.org/culture/ich/index.php?lg=en&amp;pg=00061</vt:lpwstr>
      </vt:variant>
      <vt:variant>
        <vt:lpwstr/>
      </vt:variant>
      <vt:variant>
        <vt:i4>7340093</vt:i4>
      </vt:variant>
      <vt:variant>
        <vt:i4>1029</vt:i4>
      </vt:variant>
      <vt:variant>
        <vt:i4>0</vt:i4>
      </vt:variant>
      <vt:variant>
        <vt:i4>5</vt:i4>
      </vt:variant>
      <vt:variant>
        <vt:lpwstr>http://www.unesco.org/culture/ich/doc/src/00031-EN.pdf</vt:lpwstr>
      </vt:variant>
      <vt:variant>
        <vt:lpwstr/>
      </vt:variant>
      <vt:variant>
        <vt:i4>8192038</vt:i4>
      </vt:variant>
      <vt:variant>
        <vt:i4>1026</vt:i4>
      </vt:variant>
      <vt:variant>
        <vt:i4>0</vt:i4>
      </vt:variant>
      <vt:variant>
        <vt:i4>5</vt:i4>
      </vt:variant>
      <vt:variant>
        <vt:lpwstr>http://portal.unesco.org/en/ev.php-URL_ID=13141&amp;URL_DO=DO_TOPIC&amp;URL_SECTION=201.html</vt:lpwstr>
      </vt:variant>
      <vt:variant>
        <vt:lpwstr/>
      </vt:variant>
      <vt:variant>
        <vt:i4>8126503</vt:i4>
      </vt:variant>
      <vt:variant>
        <vt:i4>1023</vt:i4>
      </vt:variant>
      <vt:variant>
        <vt:i4>0</vt:i4>
      </vt:variant>
      <vt:variant>
        <vt:i4>5</vt:i4>
      </vt:variant>
      <vt:variant>
        <vt:lpwstr>http://portal.unesco.org/en/ev.php-URL_ID=17716&amp;URL_DO=DO_TOPIC&amp;URL_SECTION=201.html</vt:lpwstr>
      </vt:variant>
      <vt:variant>
        <vt:lpwstr/>
      </vt:variant>
      <vt:variant>
        <vt:i4>6553663</vt:i4>
      </vt:variant>
      <vt:variant>
        <vt:i4>1020</vt:i4>
      </vt:variant>
      <vt:variant>
        <vt:i4>0</vt:i4>
      </vt:variant>
      <vt:variant>
        <vt:i4>5</vt:i4>
      </vt:variant>
      <vt:variant>
        <vt:lpwstr>http://www.wipo.int/freepublications/en/tk/913/wipo_pub_913.pdf</vt:lpwstr>
      </vt:variant>
      <vt:variant>
        <vt:lpwstr/>
      </vt:variant>
      <vt:variant>
        <vt:i4>5374017</vt:i4>
      </vt:variant>
      <vt:variant>
        <vt:i4>1017</vt:i4>
      </vt:variant>
      <vt:variant>
        <vt:i4>0</vt:i4>
      </vt:variant>
      <vt:variant>
        <vt:i4>5</vt:i4>
      </vt:variant>
      <vt:variant>
        <vt:lpwstr>http://www.wipo.int/tk/en/laws/folklore.html</vt:lpwstr>
      </vt:variant>
      <vt:variant>
        <vt:lpwstr/>
      </vt:variant>
      <vt:variant>
        <vt:i4>3932209</vt:i4>
      </vt:variant>
      <vt:variant>
        <vt:i4>1014</vt:i4>
      </vt:variant>
      <vt:variant>
        <vt:i4>0</vt:i4>
      </vt:variant>
      <vt:variant>
        <vt:i4>5</vt:i4>
      </vt:variant>
      <vt:variant>
        <vt:lpwstr>http://www.unesco.org/culture/ich/index.php?lg=en&amp;pg=00026</vt:lpwstr>
      </vt:variant>
      <vt:variant>
        <vt:lpwstr/>
      </vt:variant>
      <vt:variant>
        <vt:i4>1114181</vt:i4>
      </vt:variant>
      <vt:variant>
        <vt:i4>1011</vt:i4>
      </vt:variant>
      <vt:variant>
        <vt:i4>0</vt:i4>
      </vt:variant>
      <vt:variant>
        <vt:i4>5</vt:i4>
      </vt:variant>
      <vt:variant>
        <vt:lpwstr>http://www.unesco.org/culture/ich/index.php?lg=enHYPERLINK%20</vt:lpwstr>
      </vt:variant>
      <vt:variant>
        <vt:lpwstr/>
      </vt:variant>
      <vt:variant>
        <vt:i4>3276849</vt:i4>
      </vt:variant>
      <vt:variant>
        <vt:i4>1008</vt:i4>
      </vt:variant>
      <vt:variant>
        <vt:i4>0</vt:i4>
      </vt:variant>
      <vt:variant>
        <vt:i4>5</vt:i4>
      </vt:variant>
      <vt:variant>
        <vt:lpwstr>http://www.unesco.org/culture/ich/index.php?lg=en&amp;pg=00028</vt:lpwstr>
      </vt:variant>
      <vt:variant>
        <vt:lpwstr/>
      </vt:variant>
      <vt:variant>
        <vt:i4>3276851</vt:i4>
      </vt:variant>
      <vt:variant>
        <vt:i4>1005</vt:i4>
      </vt:variant>
      <vt:variant>
        <vt:i4>0</vt:i4>
      </vt:variant>
      <vt:variant>
        <vt:i4>5</vt:i4>
      </vt:variant>
      <vt:variant>
        <vt:lpwstr>http://www.unesco.org/culture/ich/index.php?lg=en&amp;pg=00008</vt:lpwstr>
      </vt:variant>
      <vt:variant>
        <vt:lpwstr/>
      </vt:variant>
      <vt:variant>
        <vt:i4>720987</vt:i4>
      </vt:variant>
      <vt:variant>
        <vt:i4>1002</vt:i4>
      </vt:variant>
      <vt:variant>
        <vt:i4>0</vt:i4>
      </vt:variant>
      <vt:variant>
        <vt:i4>5</vt:i4>
      </vt:variant>
      <vt:variant>
        <vt:lpwstr>http://whc.unesco.org/fr/list/?action=stat&amp;</vt:lpwstr>
      </vt:variant>
      <vt:variant>
        <vt:lpwstr>s1</vt:lpwstr>
      </vt:variant>
      <vt:variant>
        <vt:i4>1835027</vt:i4>
      </vt:variant>
      <vt:variant>
        <vt:i4>999</vt:i4>
      </vt:variant>
      <vt:variant>
        <vt:i4>0</vt:i4>
      </vt:variant>
      <vt:variant>
        <vt:i4>5</vt:i4>
      </vt:variant>
      <vt:variant>
        <vt:lpwstr>http://www.unesco.org/culture/ich/fr/listes/</vt:lpwstr>
      </vt:variant>
      <vt:variant>
        <vt:lpwstr/>
      </vt:variant>
      <vt:variant>
        <vt:i4>3080241</vt:i4>
      </vt:variant>
      <vt:variant>
        <vt:i4>996</vt:i4>
      </vt:variant>
      <vt:variant>
        <vt:i4>0</vt:i4>
      </vt:variant>
      <vt:variant>
        <vt:i4>5</vt:i4>
      </vt:variant>
      <vt:variant>
        <vt:lpwstr>http://whc.unesco.org/archive/global94.htm</vt:lpwstr>
      </vt:variant>
      <vt:variant>
        <vt:lpwstr/>
      </vt:variant>
      <vt:variant>
        <vt:i4>4653078</vt:i4>
      </vt:variant>
      <vt:variant>
        <vt:i4>993</vt:i4>
      </vt:variant>
      <vt:variant>
        <vt:i4>0</vt:i4>
      </vt:variant>
      <vt:variant>
        <vt:i4>5</vt:i4>
      </vt:variant>
      <vt:variant>
        <vt:lpwstr>http://whc.unesco.org/archive/site Webs/venice2002/edito.htm</vt:lpwstr>
      </vt:variant>
      <vt:variant>
        <vt:lpwstr/>
      </vt:variant>
      <vt:variant>
        <vt:i4>4063356</vt:i4>
      </vt:variant>
      <vt:variant>
        <vt:i4>990</vt:i4>
      </vt:variant>
      <vt:variant>
        <vt:i4>0</vt:i4>
      </vt:variant>
      <vt:variant>
        <vt:i4>5</vt:i4>
      </vt:variant>
      <vt:variant>
        <vt:lpwstr>http://whc.unesco.org/en/statesparties/</vt:lpwstr>
      </vt:variant>
      <vt:variant>
        <vt:lpwstr/>
      </vt:variant>
      <vt:variant>
        <vt:i4>3342387</vt:i4>
      </vt:variant>
      <vt:variant>
        <vt:i4>987</vt:i4>
      </vt:variant>
      <vt:variant>
        <vt:i4>0</vt:i4>
      </vt:variant>
      <vt:variant>
        <vt:i4>5</vt:i4>
      </vt:variant>
      <vt:variant>
        <vt:lpwstr>http://www.unesco.org/culture/ich/index.php?lg=en&amp;pg=00009</vt:lpwstr>
      </vt:variant>
      <vt:variant>
        <vt:lpwstr/>
      </vt:variant>
      <vt:variant>
        <vt:i4>4718623</vt:i4>
      </vt:variant>
      <vt:variant>
        <vt:i4>984</vt:i4>
      </vt:variant>
      <vt:variant>
        <vt:i4>0</vt:i4>
      </vt:variant>
      <vt:variant>
        <vt:i4>5</vt:i4>
      </vt:variant>
      <vt:variant>
        <vt:lpwstr>http://www.unesco.org/culture/ich/fr/formulaires/</vt:lpwstr>
      </vt:variant>
      <vt:variant>
        <vt:lpwstr/>
      </vt:variant>
      <vt:variant>
        <vt:i4>4718623</vt:i4>
      </vt:variant>
      <vt:variant>
        <vt:i4>981</vt:i4>
      </vt:variant>
      <vt:variant>
        <vt:i4>0</vt:i4>
      </vt:variant>
      <vt:variant>
        <vt:i4>5</vt:i4>
      </vt:variant>
      <vt:variant>
        <vt:lpwstr>http://www.unesco.org/culture/ich/fr/formulaires/</vt:lpwstr>
      </vt:variant>
      <vt:variant>
        <vt:lpwstr/>
      </vt:variant>
      <vt:variant>
        <vt:i4>3866674</vt:i4>
      </vt:variant>
      <vt:variant>
        <vt:i4>978</vt:i4>
      </vt:variant>
      <vt:variant>
        <vt:i4>0</vt:i4>
      </vt:variant>
      <vt:variant>
        <vt:i4>5</vt:i4>
      </vt:variant>
      <vt:variant>
        <vt:lpwstr>http://www.unesco.org/culture/ich/index.php?lg=en&amp;pg=00011</vt:lpwstr>
      </vt:variant>
      <vt:variant>
        <vt:lpwstr/>
      </vt:variant>
      <vt:variant>
        <vt:i4>6750307</vt:i4>
      </vt:variant>
      <vt:variant>
        <vt:i4>975</vt:i4>
      </vt:variant>
      <vt:variant>
        <vt:i4>0</vt:i4>
      </vt:variant>
      <vt:variant>
        <vt:i4>5</vt:i4>
      </vt:variant>
      <vt:variant>
        <vt:lpwstr>http://www.wipo.int/tk/en/culturalheritage/surveys.html</vt:lpwstr>
      </vt:variant>
      <vt:variant>
        <vt:lpwstr/>
      </vt:variant>
      <vt:variant>
        <vt:i4>655363</vt:i4>
      </vt:variant>
      <vt:variant>
        <vt:i4>972</vt:i4>
      </vt:variant>
      <vt:variant>
        <vt:i4>0</vt:i4>
      </vt:variant>
      <vt:variant>
        <vt:i4>5</vt:i4>
      </vt:variant>
      <vt:variant>
        <vt:lpwstr>http://www.unesco.org/culture/ich/index.php?lg=en&amp;pg=0006</vt:lpwstr>
      </vt:variant>
      <vt:variant>
        <vt:lpwstr/>
      </vt:variant>
      <vt:variant>
        <vt:i4>6225994</vt:i4>
      </vt:variant>
      <vt:variant>
        <vt:i4>969</vt:i4>
      </vt:variant>
      <vt:variant>
        <vt:i4>0</vt:i4>
      </vt:variant>
      <vt:variant>
        <vt:i4>5</vt:i4>
      </vt:variant>
      <vt:variant>
        <vt:lpwstr>http://www.accu.ou.jp/ich/en/pdf/2ndworkshop.pdf</vt:lpwstr>
      </vt:variant>
      <vt:variant>
        <vt:lpwstr/>
      </vt:variant>
      <vt:variant>
        <vt:i4>1376265</vt:i4>
      </vt:variant>
      <vt:variant>
        <vt:i4>966</vt:i4>
      </vt:variant>
      <vt:variant>
        <vt:i4>0</vt:i4>
      </vt:variant>
      <vt:variant>
        <vt:i4>5</vt:i4>
      </vt:variant>
      <vt:variant>
        <vt:lpwstr>http://www.unesco.org/culture/ich/index.php?RL=00171</vt:lpwstr>
      </vt:variant>
      <vt:variant>
        <vt:lpwstr/>
      </vt:variant>
      <vt:variant>
        <vt:i4>3670064</vt:i4>
      </vt:variant>
      <vt:variant>
        <vt:i4>963</vt:i4>
      </vt:variant>
      <vt:variant>
        <vt:i4>0</vt:i4>
      </vt:variant>
      <vt:variant>
        <vt:i4>5</vt:i4>
      </vt:variant>
      <vt:variant>
        <vt:lpwstr>http://www.unesco.org/culture/ich/index.php?lg=en&amp;pg=00331</vt:lpwstr>
      </vt:variant>
      <vt:variant>
        <vt:lpwstr/>
      </vt:variant>
      <vt:variant>
        <vt:i4>3932209</vt:i4>
      </vt:variant>
      <vt:variant>
        <vt:i4>960</vt:i4>
      </vt:variant>
      <vt:variant>
        <vt:i4>0</vt:i4>
      </vt:variant>
      <vt:variant>
        <vt:i4>5</vt:i4>
      </vt:variant>
      <vt:variant>
        <vt:lpwstr>http://www.unesco.org/culture/ich/index.php?lg=en&amp;pg=00026</vt:lpwstr>
      </vt:variant>
      <vt:variant>
        <vt:lpwstr/>
      </vt:variant>
      <vt:variant>
        <vt:i4>3276849</vt:i4>
      </vt:variant>
      <vt:variant>
        <vt:i4>957</vt:i4>
      </vt:variant>
      <vt:variant>
        <vt:i4>0</vt:i4>
      </vt:variant>
      <vt:variant>
        <vt:i4>5</vt:i4>
      </vt:variant>
      <vt:variant>
        <vt:lpwstr>http://www.unesco.org/culture/ich/index.php?lg=en&amp;pg=00028</vt:lpwstr>
      </vt:variant>
      <vt:variant>
        <vt:lpwstr/>
      </vt:variant>
      <vt:variant>
        <vt:i4>4128818</vt:i4>
      </vt:variant>
      <vt:variant>
        <vt:i4>954</vt:i4>
      </vt:variant>
      <vt:variant>
        <vt:i4>0</vt:i4>
      </vt:variant>
      <vt:variant>
        <vt:i4>5</vt:i4>
      </vt:variant>
      <vt:variant>
        <vt:lpwstr>http://www.unesco.org/culture/ich/index.php?lg=en&amp;pg=00015</vt:lpwstr>
      </vt:variant>
      <vt:variant>
        <vt:lpwstr/>
      </vt:variant>
      <vt:variant>
        <vt:i4>8061039</vt:i4>
      </vt:variant>
      <vt:variant>
        <vt:i4>951</vt:i4>
      </vt:variant>
      <vt:variant>
        <vt:i4>0</vt:i4>
      </vt:variant>
      <vt:variant>
        <vt:i4>5</vt:i4>
      </vt:variant>
      <vt:variant>
        <vt:lpwstr>http://portal.unesco.org/en/ev.php-URL_ID=13649&amp;URL_DO=DO_TOPIC&amp;URL_SECTION=-471.html</vt:lpwstr>
      </vt:variant>
      <vt:variant>
        <vt:lpwstr/>
      </vt:variant>
      <vt:variant>
        <vt:i4>1376275</vt:i4>
      </vt:variant>
      <vt:variant>
        <vt:i4>948</vt:i4>
      </vt:variant>
      <vt:variant>
        <vt:i4>0</vt:i4>
      </vt:variant>
      <vt:variant>
        <vt:i4>5</vt:i4>
      </vt:variant>
      <vt:variant>
        <vt:lpwstr>http://www.accu.ou.jp/ich/en/</vt:lpwstr>
      </vt:variant>
      <vt:variant>
        <vt:lpwstr/>
      </vt:variant>
      <vt:variant>
        <vt:i4>2556025</vt:i4>
      </vt:variant>
      <vt:variant>
        <vt:i4>945</vt:i4>
      </vt:variant>
      <vt:variant>
        <vt:i4>0</vt:i4>
      </vt:variant>
      <vt:variant>
        <vt:i4>5</vt:i4>
      </vt:variant>
      <vt:variant>
        <vt:lpwstr>http://www.ichcap.org/en/ichcap/ich.jsp</vt:lpwstr>
      </vt:variant>
      <vt:variant>
        <vt:lpwstr/>
      </vt:variant>
      <vt:variant>
        <vt:i4>8323177</vt:i4>
      </vt:variant>
      <vt:variant>
        <vt:i4>942</vt:i4>
      </vt:variant>
      <vt:variant>
        <vt:i4>0</vt:i4>
      </vt:variant>
      <vt:variant>
        <vt:i4>5</vt:i4>
      </vt:variant>
      <vt:variant>
        <vt:lpwstr>http://www.wipo.int/tk/en/resources</vt:lpwstr>
      </vt:variant>
      <vt:variant>
        <vt:lpwstr/>
      </vt:variant>
      <vt:variant>
        <vt:i4>1769476</vt:i4>
      </vt:variant>
      <vt:variant>
        <vt:i4>939</vt:i4>
      </vt:variant>
      <vt:variant>
        <vt:i4>0</vt:i4>
      </vt:variant>
      <vt:variant>
        <vt:i4>5</vt:i4>
      </vt:variant>
      <vt:variant>
        <vt:lpwstr>http://www.unesco.org/culture/ich/index.php?pg=00184</vt:lpwstr>
      </vt:variant>
      <vt:variant>
        <vt:lpwstr/>
      </vt:variant>
      <vt:variant>
        <vt:i4>3866674</vt:i4>
      </vt:variant>
      <vt:variant>
        <vt:i4>936</vt:i4>
      </vt:variant>
      <vt:variant>
        <vt:i4>0</vt:i4>
      </vt:variant>
      <vt:variant>
        <vt:i4>5</vt:i4>
      </vt:variant>
      <vt:variant>
        <vt:lpwstr>http://www.unesco.org/culture/ich/index.php?lg=en&amp;pg=00011</vt:lpwstr>
      </vt:variant>
      <vt:variant>
        <vt:lpwstr/>
      </vt:variant>
      <vt:variant>
        <vt:i4>3276850</vt:i4>
      </vt:variant>
      <vt:variant>
        <vt:i4>933</vt:i4>
      </vt:variant>
      <vt:variant>
        <vt:i4>0</vt:i4>
      </vt:variant>
      <vt:variant>
        <vt:i4>5</vt:i4>
      </vt:variant>
      <vt:variant>
        <vt:lpwstr>http://www.unesco.org/culture/ich/index.php?lg=en&amp;pg=00018</vt:lpwstr>
      </vt:variant>
      <vt:variant>
        <vt:lpwstr/>
      </vt:variant>
      <vt:variant>
        <vt:i4>524288</vt:i4>
      </vt:variant>
      <vt:variant>
        <vt:i4>930</vt:i4>
      </vt:variant>
      <vt:variant>
        <vt:i4>0</vt:i4>
      </vt:variant>
      <vt:variant>
        <vt:i4>5</vt:i4>
      </vt:variant>
      <vt:variant>
        <vt:lpwstr>http://www.unesco.org/culture/ich/index.php?lg=en&amp;pg=331</vt:lpwstr>
      </vt:variant>
      <vt:variant>
        <vt:lpwstr/>
      </vt:variant>
      <vt:variant>
        <vt:i4>4128818</vt:i4>
      </vt:variant>
      <vt:variant>
        <vt:i4>927</vt:i4>
      </vt:variant>
      <vt:variant>
        <vt:i4>0</vt:i4>
      </vt:variant>
      <vt:variant>
        <vt:i4>5</vt:i4>
      </vt:variant>
      <vt:variant>
        <vt:lpwstr>http://www.unesco.org/culture/ich/index.php?lg=en&amp;pg=00015</vt:lpwstr>
      </vt:variant>
      <vt:variant>
        <vt:lpwstr/>
      </vt:variant>
      <vt:variant>
        <vt:i4>3735603</vt:i4>
      </vt:variant>
      <vt:variant>
        <vt:i4>924</vt:i4>
      </vt:variant>
      <vt:variant>
        <vt:i4>0</vt:i4>
      </vt:variant>
      <vt:variant>
        <vt:i4>5</vt:i4>
      </vt:variant>
      <vt:variant>
        <vt:lpwstr>http://www.unesco.org/culture/ich/index.php?lg=en&amp;pg=00102</vt:lpwstr>
      </vt:variant>
      <vt:variant>
        <vt:lpwstr/>
      </vt:variant>
      <vt:variant>
        <vt:i4>7733297</vt:i4>
      </vt:variant>
      <vt:variant>
        <vt:i4>921</vt:i4>
      </vt:variant>
      <vt:variant>
        <vt:i4>0</vt:i4>
      </vt:variant>
      <vt:variant>
        <vt:i4>5</vt:i4>
      </vt:variant>
      <vt:variant>
        <vt:lpwstr>http://www.unesco.org/culture/ich/index.php</vt:lpwstr>
      </vt:variant>
      <vt:variant>
        <vt:lpwstr/>
      </vt:variant>
      <vt:variant>
        <vt:i4>2556014</vt:i4>
      </vt:variant>
      <vt:variant>
        <vt:i4>99</vt:i4>
      </vt:variant>
      <vt:variant>
        <vt:i4>0</vt:i4>
      </vt:variant>
      <vt:variant>
        <vt:i4>5</vt:i4>
      </vt:variant>
      <vt:variant>
        <vt:lpwstr>http://whc.unesco.org/archive/2011/whc11-35com-20f.pdf</vt:lpwstr>
      </vt:variant>
      <vt:variant>
        <vt:lpwstr/>
      </vt:variant>
      <vt:variant>
        <vt:i4>5963884</vt:i4>
      </vt:variant>
      <vt:variant>
        <vt:i4>96</vt:i4>
      </vt:variant>
      <vt:variant>
        <vt:i4>0</vt:i4>
      </vt:variant>
      <vt:variant>
        <vt:i4>5</vt:i4>
      </vt:variant>
      <vt:variant>
        <vt:lpwstr>http://whc.unesco.org/fr/decisions/?id_decision=1784&amp;</vt:lpwstr>
      </vt:variant>
      <vt:variant>
        <vt:lpwstr/>
      </vt:variant>
      <vt:variant>
        <vt:i4>5963885</vt:i4>
      </vt:variant>
      <vt:variant>
        <vt:i4>93</vt:i4>
      </vt:variant>
      <vt:variant>
        <vt:i4>0</vt:i4>
      </vt:variant>
      <vt:variant>
        <vt:i4>5</vt:i4>
      </vt:variant>
      <vt:variant>
        <vt:lpwstr>http://whc.unesco.org/fr/decisions/?id_decision=1596&amp;</vt:lpwstr>
      </vt:variant>
      <vt:variant>
        <vt:lpwstr/>
      </vt:variant>
      <vt:variant>
        <vt:i4>2621487</vt:i4>
      </vt:variant>
      <vt:variant>
        <vt:i4>90</vt:i4>
      </vt:variant>
      <vt:variant>
        <vt:i4>0</vt:i4>
      </vt:variant>
      <vt:variant>
        <vt:i4>5</vt:i4>
      </vt:variant>
      <vt:variant>
        <vt:lpwstr>http://whc.unesco.org/archive/repcom01.htm</vt:lpwstr>
      </vt:variant>
      <vt:variant>
        <vt:lpwstr>riceterraces</vt:lpwstr>
      </vt:variant>
      <vt:variant>
        <vt:i4>5177430</vt:i4>
      </vt:variant>
      <vt:variant>
        <vt:i4>87</vt:i4>
      </vt:variant>
      <vt:variant>
        <vt:i4>0</vt:i4>
      </vt:variant>
      <vt:variant>
        <vt:i4>5</vt:i4>
      </vt:variant>
      <vt:variant>
        <vt:lpwstr>http://whc.unesco.org/fr/list/722</vt:lpwstr>
      </vt:variant>
      <vt:variant>
        <vt:lpwstr/>
      </vt:variant>
      <vt:variant>
        <vt:i4>8257606</vt:i4>
      </vt:variant>
      <vt:variant>
        <vt:i4>84</vt:i4>
      </vt:variant>
      <vt:variant>
        <vt:i4>0</vt:i4>
      </vt:variant>
      <vt:variant>
        <vt:i4>5</vt:i4>
      </vt:variant>
      <vt:variant>
        <vt:lpwstr>http://www.wipo.int/export/sites/www/tk/en/culturalheritage/casestudies/hopi_protocols.pdf</vt:lpwstr>
      </vt:variant>
      <vt:variant>
        <vt:lpwstr/>
      </vt:variant>
      <vt:variant>
        <vt:i4>655428</vt:i4>
      </vt:variant>
      <vt:variant>
        <vt:i4>81</vt:i4>
      </vt:variant>
      <vt:variant>
        <vt:i4>0</vt:i4>
      </vt:variant>
      <vt:variant>
        <vt:i4>5</vt:i4>
      </vt:variant>
      <vt:variant>
        <vt:lpwstr>http://www.wipo.int/export/sites/www/tk/en/culturalheritage/casestudies/arantes_report_vol1.pdf</vt:lpwstr>
      </vt:variant>
      <vt:variant>
        <vt:lpwstr/>
      </vt:variant>
      <vt:variant>
        <vt:i4>8061052</vt:i4>
      </vt:variant>
      <vt:variant>
        <vt:i4>78</vt:i4>
      </vt:variant>
      <vt:variant>
        <vt:i4>0</vt:i4>
      </vt:variant>
      <vt:variant>
        <vt:i4>5</vt:i4>
      </vt:variant>
      <vt:variant>
        <vt:lpwstr>http://news.tangatawhenua.com/archives/5166</vt:lpwstr>
      </vt:variant>
      <vt:variant>
        <vt:lpwstr/>
      </vt:variant>
      <vt:variant>
        <vt:i4>24248333</vt:i4>
      </vt:variant>
      <vt:variant>
        <vt:i4>75</vt:i4>
      </vt:variant>
      <vt:variant>
        <vt:i4>0</vt:i4>
      </vt:variant>
      <vt:variant>
        <vt:i4>5</vt:i4>
      </vt:variant>
      <vt:variant>
        <vt:lpwstr>http://www.newswire.co.nz/2010/02/Māori-save/</vt:lpwstr>
      </vt:variant>
      <vt:variant>
        <vt:lpwstr/>
      </vt:variant>
      <vt:variant>
        <vt:i4>3145783</vt:i4>
      </vt:variant>
      <vt:variant>
        <vt:i4>72</vt:i4>
      </vt:variant>
      <vt:variant>
        <vt:i4>0</vt:i4>
      </vt:variant>
      <vt:variant>
        <vt:i4>5</vt:i4>
      </vt:variant>
      <vt:variant>
        <vt:lpwstr>http://www.toiiho.com/</vt:lpwstr>
      </vt:variant>
      <vt:variant>
        <vt:lpwstr/>
      </vt:variant>
      <vt:variant>
        <vt:i4>24248333</vt:i4>
      </vt:variant>
      <vt:variant>
        <vt:i4>69</vt:i4>
      </vt:variant>
      <vt:variant>
        <vt:i4>0</vt:i4>
      </vt:variant>
      <vt:variant>
        <vt:i4>5</vt:i4>
      </vt:variant>
      <vt:variant>
        <vt:lpwstr>http://www.newswire.co.nz/2010/02/Māori-save/</vt:lpwstr>
      </vt:variant>
      <vt:variant>
        <vt:lpwstr/>
      </vt:variant>
      <vt:variant>
        <vt:i4>24248333</vt:i4>
      </vt:variant>
      <vt:variant>
        <vt:i4>66</vt:i4>
      </vt:variant>
      <vt:variant>
        <vt:i4>0</vt:i4>
      </vt:variant>
      <vt:variant>
        <vt:i4>5</vt:i4>
      </vt:variant>
      <vt:variant>
        <vt:lpwstr>http://www.newswire.co.nz/2010/02/Māori-save/</vt:lpwstr>
      </vt:variant>
      <vt:variant>
        <vt:lpwstr/>
      </vt:variant>
      <vt:variant>
        <vt:i4>2818103</vt:i4>
      </vt:variant>
      <vt:variant>
        <vt:i4>63</vt:i4>
      </vt:variant>
      <vt:variant>
        <vt:i4>0</vt:i4>
      </vt:variant>
      <vt:variant>
        <vt:i4>5</vt:i4>
      </vt:variant>
      <vt:variant>
        <vt:lpwstr>http://faolex.fao.org/docs/pdf/saf85909.pdf</vt:lpwstr>
      </vt:variant>
      <vt:variant>
        <vt:lpwstr/>
      </vt:variant>
      <vt:variant>
        <vt:i4>7667816</vt:i4>
      </vt:variant>
      <vt:variant>
        <vt:i4>60</vt:i4>
      </vt:variant>
      <vt:variant>
        <vt:i4>0</vt:i4>
      </vt:variant>
      <vt:variant>
        <vt:i4>5</vt:i4>
      </vt:variant>
      <vt:variant>
        <vt:lpwstr>http://www.ipo.org.za/IPO_docs/archive_2010/Intellectual Property Laws Amendment Bill.pdf</vt:lpwstr>
      </vt:variant>
      <vt:variant>
        <vt:lpwstr/>
      </vt:variant>
      <vt:variant>
        <vt:i4>3145760</vt:i4>
      </vt:variant>
      <vt:variant>
        <vt:i4>57</vt:i4>
      </vt:variant>
      <vt:variant>
        <vt:i4>0</vt:i4>
      </vt:variant>
      <vt:variant>
        <vt:i4>5</vt:i4>
      </vt:variant>
      <vt:variant>
        <vt:lpwstr>http://www.dti.gov.za/ccrd/ip/bill.pdf</vt:lpwstr>
      </vt:variant>
      <vt:variant>
        <vt:lpwstr/>
      </vt:variant>
      <vt:variant>
        <vt:i4>1114121</vt:i4>
      </vt:variant>
      <vt:variant>
        <vt:i4>54</vt:i4>
      </vt:variant>
      <vt:variant>
        <vt:i4>0</vt:i4>
      </vt:variant>
      <vt:variant>
        <vt:i4>5</vt:i4>
      </vt:variant>
      <vt:variant>
        <vt:lpwstr>http://www.unesco.org/culture/ich/index.php?RL=00175</vt:lpwstr>
      </vt:variant>
      <vt:variant>
        <vt:lpwstr/>
      </vt:variant>
      <vt:variant>
        <vt:i4>7078007</vt:i4>
      </vt:variant>
      <vt:variant>
        <vt:i4>51</vt:i4>
      </vt:variant>
      <vt:variant>
        <vt:i4>0</vt:i4>
      </vt:variant>
      <vt:variant>
        <vt:i4>5</vt:i4>
      </vt:variant>
      <vt:variant>
        <vt:lpwstr>http://tradecomacpeu.com/resources/files/42/bark-cloth-from-uganda.pdf</vt:lpwstr>
      </vt:variant>
      <vt:variant>
        <vt:lpwstr/>
      </vt:variant>
      <vt:variant>
        <vt:i4>2097234</vt:i4>
      </vt:variant>
      <vt:variant>
        <vt:i4>48</vt:i4>
      </vt:variant>
      <vt:variant>
        <vt:i4>0</vt:i4>
      </vt:variant>
      <vt:variant>
        <vt:i4>5</vt:i4>
      </vt:variant>
      <vt:variant>
        <vt:lpwstr>http://www.equatorinitiative.org/index.php?option=com_content&amp;view=article&amp;id=543%3Aunorcac&amp;catid=107%3Aequator-prize-winners-2008&amp;Itemid=546&amp;lang=en</vt:lpwstr>
      </vt:variant>
      <vt:variant>
        <vt:lpwstr/>
      </vt:variant>
      <vt:variant>
        <vt:i4>3735665</vt:i4>
      </vt:variant>
      <vt:variant>
        <vt:i4>45</vt:i4>
      </vt:variant>
      <vt:variant>
        <vt:i4>0</vt:i4>
      </vt:variant>
      <vt:variant>
        <vt:i4>5</vt:i4>
      </vt:variant>
      <vt:variant>
        <vt:lpwstr>http://www.unorcac.org/</vt:lpwstr>
      </vt:variant>
      <vt:variant>
        <vt:lpwstr/>
      </vt:variant>
      <vt:variant>
        <vt:i4>131156</vt:i4>
      </vt:variant>
      <vt:variant>
        <vt:i4>42</vt:i4>
      </vt:variant>
      <vt:variant>
        <vt:i4>0</vt:i4>
      </vt:variant>
      <vt:variant>
        <vt:i4>5</vt:i4>
      </vt:variant>
      <vt:variant>
        <vt:lpwstr>http://www.agriterra.org/en/text/about-agriterra</vt:lpwstr>
      </vt:variant>
      <vt:variant>
        <vt:lpwstr/>
      </vt:variant>
      <vt:variant>
        <vt:i4>3080247</vt:i4>
      </vt:variant>
      <vt:variant>
        <vt:i4>39</vt:i4>
      </vt:variant>
      <vt:variant>
        <vt:i4>0</vt:i4>
      </vt:variant>
      <vt:variant>
        <vt:i4>5</vt:i4>
      </vt:variant>
      <vt:variant>
        <vt:lpwstr>http://www.runatupari.com/</vt:lpwstr>
      </vt:variant>
      <vt:variant>
        <vt:lpwstr/>
      </vt:variant>
      <vt:variant>
        <vt:i4>2228235</vt:i4>
      </vt:variant>
      <vt:variant>
        <vt:i4>36</vt:i4>
      </vt:variant>
      <vt:variant>
        <vt:i4>0</vt:i4>
      </vt:variant>
      <vt:variant>
        <vt:i4>5</vt:i4>
      </vt:variant>
      <vt:variant>
        <vt:lpwstr>http://www.uclan.ac.uk/schools/school_d_nursing/research_projects/files/health_cpe_genbenefit_hoodia_stakeholders.pdf</vt:lpwstr>
      </vt:variant>
      <vt:variant>
        <vt:lpwstr/>
      </vt:variant>
      <vt:variant>
        <vt:i4>6160441</vt:i4>
      </vt:variant>
      <vt:variant>
        <vt:i4>33</vt:i4>
      </vt:variant>
      <vt:variant>
        <vt:i4>0</vt:i4>
      </vt:variant>
      <vt:variant>
        <vt:i4>5</vt:i4>
      </vt:variant>
      <vt:variant>
        <vt:lpwstr>http://ntww1.csir.co.za/plsql/ptl0002/PTL0002_PGE157_MEDIA_REL?MEDIA_RELEASE_NO=7083643</vt:lpwstr>
      </vt:variant>
      <vt:variant>
        <vt:lpwstr/>
      </vt:variant>
      <vt:variant>
        <vt:i4>6029343</vt:i4>
      </vt:variant>
      <vt:variant>
        <vt:i4>30</vt:i4>
      </vt:variant>
      <vt:variant>
        <vt:i4>0</vt:i4>
      </vt:variant>
      <vt:variant>
        <vt:i4>5</vt:i4>
      </vt:variant>
      <vt:variant>
        <vt:lpwstr>http://travel.kompas.com/read/2010/06/25/19553630/Festival.Ujungberung.Dibuka</vt:lpwstr>
      </vt:variant>
      <vt:variant>
        <vt:lpwstr/>
      </vt:variant>
      <vt:variant>
        <vt:i4>65</vt:i4>
      </vt:variant>
      <vt:variant>
        <vt:i4>27</vt:i4>
      </vt:variant>
      <vt:variant>
        <vt:i4>0</vt:i4>
      </vt:variant>
      <vt:variant>
        <vt:i4>5</vt:i4>
      </vt:variant>
      <vt:variant>
        <vt:lpwstr>http://www.klik-galamedia.com/indexedisi.php?id=20100625&amp;wartakode=20100625034442</vt:lpwstr>
      </vt:variant>
      <vt:variant>
        <vt:lpwstr/>
      </vt:variant>
      <vt:variant>
        <vt:i4>7798844</vt:i4>
      </vt:variant>
      <vt:variant>
        <vt:i4>24</vt:i4>
      </vt:variant>
      <vt:variant>
        <vt:i4>0</vt:i4>
      </vt:variant>
      <vt:variant>
        <vt:i4>5</vt:i4>
      </vt:variant>
      <vt:variant>
        <vt:lpwstr>http://www.unesco.org/culture/ich/doc/src/01858-EN.pdf</vt:lpwstr>
      </vt:variant>
      <vt:variant>
        <vt:lpwstr/>
      </vt:variant>
      <vt:variant>
        <vt:i4>5505104</vt:i4>
      </vt:variant>
      <vt:variant>
        <vt:i4>21</vt:i4>
      </vt:variant>
      <vt:variant>
        <vt:i4>0</vt:i4>
      </vt:variant>
      <vt:variant>
        <vt:i4>5</vt:i4>
      </vt:variant>
      <vt:variant>
        <vt:lpwstr>http://www.unesco.org/culture/ich/doc</vt:lpwstr>
      </vt:variant>
      <vt:variant>
        <vt:lpwstr/>
      </vt:variant>
      <vt:variant>
        <vt:i4>720987</vt:i4>
      </vt:variant>
      <vt:variant>
        <vt:i4>18</vt:i4>
      </vt:variant>
      <vt:variant>
        <vt:i4>0</vt:i4>
      </vt:variant>
      <vt:variant>
        <vt:i4>5</vt:i4>
      </vt:variant>
      <vt:variant>
        <vt:lpwstr>http://whc.unesco.org/fr/list/?action=stat&amp;</vt:lpwstr>
      </vt:variant>
      <vt:variant>
        <vt:lpwstr>s1</vt:lpwstr>
      </vt:variant>
      <vt:variant>
        <vt:i4>1835027</vt:i4>
      </vt:variant>
      <vt:variant>
        <vt:i4>15</vt:i4>
      </vt:variant>
      <vt:variant>
        <vt:i4>0</vt:i4>
      </vt:variant>
      <vt:variant>
        <vt:i4>5</vt:i4>
      </vt:variant>
      <vt:variant>
        <vt:lpwstr>http://www.unesco.org/culture/ich/fr/listes/</vt:lpwstr>
      </vt:variant>
      <vt:variant>
        <vt:lpwstr/>
      </vt:variant>
      <vt:variant>
        <vt:i4>1704004</vt:i4>
      </vt:variant>
      <vt:variant>
        <vt:i4>12</vt:i4>
      </vt:variant>
      <vt:variant>
        <vt:i4>0</vt:i4>
      </vt:variant>
      <vt:variant>
        <vt:i4>5</vt:i4>
      </vt:variant>
      <vt:variant>
        <vt:lpwstr>http://www.un.org/esa/socdev/unpfii/en/drip.html</vt:lpwstr>
      </vt:variant>
      <vt:variant>
        <vt:lpwstr/>
      </vt:variant>
      <vt:variant>
        <vt:i4>5439565</vt:i4>
      </vt:variant>
      <vt:variant>
        <vt:i4>9</vt:i4>
      </vt:variant>
      <vt:variant>
        <vt:i4>0</vt:i4>
      </vt:variant>
      <vt:variant>
        <vt:i4>5</vt:i4>
      </vt:variant>
      <vt:variant>
        <vt:lpwstr>http://www.aapant.org.au/</vt:lpwstr>
      </vt:variant>
      <vt:variant>
        <vt:lpwstr/>
      </vt:variant>
      <vt:variant>
        <vt:i4>1900558</vt:i4>
      </vt:variant>
      <vt:variant>
        <vt:i4>6</vt:i4>
      </vt:variant>
      <vt:variant>
        <vt:i4>0</vt:i4>
      </vt:variant>
      <vt:variant>
        <vt:i4>5</vt:i4>
      </vt:variant>
      <vt:variant>
        <vt:lpwstr>http://unesdoc.unesco.org/images/0015/001506/150671e.pdf</vt:lpwstr>
      </vt:variant>
      <vt:variant>
        <vt:lpwstr/>
      </vt:variant>
      <vt:variant>
        <vt:i4>7798844</vt:i4>
      </vt:variant>
      <vt:variant>
        <vt:i4>3</vt:i4>
      </vt:variant>
      <vt:variant>
        <vt:i4>0</vt:i4>
      </vt:variant>
      <vt:variant>
        <vt:i4>5</vt:i4>
      </vt:variant>
      <vt:variant>
        <vt:lpwstr>http://www.unesco.org/culture/ich/doc/src/01858-EN.pdf</vt:lpwstr>
      </vt:variant>
      <vt:variant>
        <vt:lpwstr/>
      </vt:variant>
      <vt:variant>
        <vt:i4>1114199</vt:i4>
      </vt:variant>
      <vt:variant>
        <vt:i4>0</vt:i4>
      </vt:variant>
      <vt:variant>
        <vt:i4>0</vt:i4>
      </vt:variant>
      <vt:variant>
        <vt:i4>5</vt:i4>
      </vt:variant>
      <vt:variant>
        <vt:lpwstr>http://documents-dds-ny.un.org/doc/UNDOC/GEN/N87/184/67/img/N8718467.pdf?OpenElement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U009-v1.0-PT-FRA.docx</dc:title>
  <dc:creator>FLUFFY</dc:creator>
  <cp:lastModifiedBy>Kim, Dain</cp:lastModifiedBy>
  <cp:revision>241</cp:revision>
  <cp:lastPrinted>2014-06-28T12:23:00Z</cp:lastPrinted>
  <dcterms:created xsi:type="dcterms:W3CDTF">2015-09-23T14:20:00Z</dcterms:created>
  <dcterms:modified xsi:type="dcterms:W3CDTF">2018-04-20T13:59:00Z</dcterms:modified>
</cp:coreProperties>
</file>