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09E" w:rsidRPr="00617049" w:rsidRDefault="00C976FF" w:rsidP="00406030">
      <w:pPr>
        <w:pStyle w:val="Chapitre"/>
      </w:pPr>
      <w:bookmarkStart w:id="0" w:name="_Toc301443375"/>
      <w:bookmarkStart w:id="1" w:name="_Toc321407018"/>
      <w:bookmarkStart w:id="2" w:name="_Toc354486642"/>
      <w:bookmarkStart w:id="3" w:name="_Toc354486948"/>
      <w:bookmarkStart w:id="4" w:name="_Toc247360233"/>
      <w:r w:rsidRPr="00617049">
        <w:t xml:space="preserve">UnitÉ </w:t>
      </w:r>
      <w:r w:rsidR="009A2E34" w:rsidRPr="00617049">
        <w:t>9</w:t>
      </w:r>
    </w:p>
    <w:p w:rsidR="00D02048" w:rsidRPr="005151FE" w:rsidRDefault="00D02048" w:rsidP="00ED75D0">
      <w:pPr>
        <w:pStyle w:val="UPlan"/>
        <w:rPr>
          <w:lang w:val="fr-FR"/>
        </w:rPr>
      </w:pPr>
      <w:bookmarkStart w:id="5" w:name="_Toc238963262"/>
      <w:bookmarkStart w:id="6" w:name="_Toc241065148"/>
      <w:r w:rsidRPr="005151FE">
        <w:rPr>
          <w:lang w:val="fr-FR"/>
        </w:rPr>
        <w:t>Sauvegarde</w:t>
      </w:r>
    </w:p>
    <w:p w:rsidR="00D02048" w:rsidRPr="00617049" w:rsidRDefault="00D02048" w:rsidP="00ED75D0">
      <w:pPr>
        <w:pStyle w:val="Titcoul"/>
      </w:pPr>
      <w:r w:rsidRPr="00617049">
        <w:t>texte du participant</w:t>
      </w:r>
    </w:p>
    <w:bookmarkEnd w:id="0"/>
    <w:bookmarkEnd w:id="1"/>
    <w:bookmarkEnd w:id="2"/>
    <w:bookmarkEnd w:id="3"/>
    <w:bookmarkEnd w:id="4"/>
    <w:bookmarkEnd w:id="5"/>
    <w:bookmarkEnd w:id="6"/>
    <w:p w:rsidR="004325DC" w:rsidRPr="00617049" w:rsidRDefault="00D65E8C" w:rsidP="00ED75D0">
      <w:pPr>
        <w:pStyle w:val="Sschap"/>
      </w:pPr>
      <w:r w:rsidRPr="00617049">
        <w:rPr>
          <w:rFonts w:hint="eastAsia"/>
        </w:rPr>
        <w:t xml:space="preserve">La </w:t>
      </w:r>
      <w:r w:rsidR="00D32C21" w:rsidRPr="00617049">
        <w:rPr>
          <w:rFonts w:hint="eastAsia"/>
        </w:rPr>
        <w:t>pr</w:t>
      </w:r>
      <w:r w:rsidR="00D32C21" w:rsidRPr="00617049">
        <w:t>é</w:t>
      </w:r>
      <w:r w:rsidRPr="00617049">
        <w:rPr>
          <w:rFonts w:hint="eastAsia"/>
        </w:rPr>
        <w:t>sente unit</w:t>
      </w:r>
      <w:r w:rsidR="00D32C21" w:rsidRPr="00617049">
        <w:t>é</w:t>
      </w:r>
      <w:r w:rsidR="00C10A1F" w:rsidRPr="00617049">
        <w:rPr>
          <w:rFonts w:hint="eastAsia"/>
        </w:rPr>
        <w:t xml:space="preserve"> traite de la sauvegarde des </w:t>
      </w:r>
      <w:r w:rsidR="00D32C21" w:rsidRPr="00617049">
        <w:t>élé</w:t>
      </w:r>
      <w:r w:rsidR="00C10A1F" w:rsidRPr="00617049">
        <w:rPr>
          <w:rFonts w:hint="eastAsia"/>
        </w:rPr>
        <w:t xml:space="preserve">ments du </w:t>
      </w:r>
      <w:r w:rsidR="00A85270" w:rsidRPr="00617049">
        <w:t xml:space="preserve">patrimoine culturel immatériel (PCI) </w:t>
      </w:r>
      <w:r w:rsidR="00D32C21" w:rsidRPr="00617049">
        <w:t>à l</w:t>
      </w:r>
      <w:r w:rsidR="00A61E6D" w:rsidRPr="00617049">
        <w:t>’</w:t>
      </w:r>
      <w:r w:rsidR="00D32C21" w:rsidRPr="00617049">
        <w:t>échelon</w:t>
      </w:r>
      <w:r w:rsidR="00C10A1F" w:rsidRPr="00617049">
        <w:rPr>
          <w:rFonts w:hint="eastAsia"/>
        </w:rPr>
        <w:t xml:space="preserve"> national, en couvrant d</w:t>
      </w:r>
      <w:r w:rsidR="00A61E6D" w:rsidRPr="00617049">
        <w:t>’</w:t>
      </w:r>
      <w:r w:rsidR="00C10A1F" w:rsidRPr="00617049">
        <w:rPr>
          <w:rFonts w:hint="eastAsia"/>
        </w:rPr>
        <w:t xml:space="preserve">une part les mesures </w:t>
      </w:r>
      <w:r w:rsidR="00D32C21" w:rsidRPr="00617049">
        <w:rPr>
          <w:rFonts w:hint="eastAsia"/>
        </w:rPr>
        <w:t>g</w:t>
      </w:r>
      <w:r w:rsidR="00D32C21" w:rsidRPr="00617049">
        <w:t>éné</w:t>
      </w:r>
      <w:r w:rsidR="00D32C21" w:rsidRPr="00617049">
        <w:rPr>
          <w:rFonts w:hint="eastAsia"/>
        </w:rPr>
        <w:t xml:space="preserve">rales </w:t>
      </w:r>
      <w:r w:rsidR="00C10A1F" w:rsidRPr="00617049">
        <w:rPr>
          <w:rFonts w:hint="eastAsia"/>
        </w:rPr>
        <w:t xml:space="preserve">de sauvegarde et, </w:t>
      </w:r>
      <w:r w:rsidR="00D32C21" w:rsidRPr="00617049">
        <w:t>d</w:t>
      </w:r>
      <w:r w:rsidR="00A61E6D" w:rsidRPr="00617049">
        <w:t>’</w:t>
      </w:r>
      <w:r w:rsidR="00C10A1F" w:rsidRPr="00617049">
        <w:rPr>
          <w:rFonts w:hint="eastAsia"/>
        </w:rPr>
        <w:t xml:space="preserve">autre part, les </w:t>
      </w:r>
      <w:r w:rsidR="00D32C21" w:rsidRPr="00617049">
        <w:rPr>
          <w:rFonts w:hint="eastAsia"/>
        </w:rPr>
        <w:t>activit</w:t>
      </w:r>
      <w:r w:rsidR="00D32C21" w:rsidRPr="00617049">
        <w:t>é</w:t>
      </w:r>
      <w:r w:rsidR="00D32C21" w:rsidRPr="00617049">
        <w:rPr>
          <w:rFonts w:hint="eastAsia"/>
        </w:rPr>
        <w:t xml:space="preserve">s </w:t>
      </w:r>
      <w:r w:rsidR="00C10A1F" w:rsidRPr="00617049">
        <w:rPr>
          <w:rFonts w:hint="eastAsia"/>
        </w:rPr>
        <w:t xml:space="preserve">de sauvegarde relatives </w:t>
      </w:r>
      <w:r w:rsidR="00D32C21" w:rsidRPr="00617049">
        <w:t>à</w:t>
      </w:r>
      <w:r w:rsidR="00D32C21" w:rsidRPr="00617049">
        <w:rPr>
          <w:rFonts w:hint="eastAsia"/>
        </w:rPr>
        <w:t xml:space="preserve"> </w:t>
      </w:r>
      <w:r w:rsidR="00C10A1F" w:rsidRPr="00617049">
        <w:rPr>
          <w:rFonts w:hint="eastAsia"/>
        </w:rPr>
        <w:t xml:space="preserve">un/des </w:t>
      </w:r>
      <w:r w:rsidR="00D32C21" w:rsidRPr="00617049">
        <w:t>élé</w:t>
      </w:r>
      <w:r w:rsidR="00C10A1F" w:rsidRPr="00617049">
        <w:rPr>
          <w:rFonts w:hint="eastAsia"/>
        </w:rPr>
        <w:t xml:space="preserve">ment(s) </w:t>
      </w:r>
      <w:r w:rsidR="00D32C21" w:rsidRPr="00617049">
        <w:t>spécifique</w:t>
      </w:r>
      <w:r w:rsidR="00C10A1F" w:rsidRPr="00617049">
        <w:rPr>
          <w:rFonts w:hint="eastAsia"/>
        </w:rPr>
        <w:t xml:space="preserve">(s) du PCI. </w:t>
      </w:r>
      <w:r w:rsidR="00D02048" w:rsidRPr="00617049">
        <w:t>Elle couvre</w:t>
      </w:r>
      <w:r w:rsidR="00C10A1F" w:rsidRPr="00617049">
        <w:t xml:space="preserve"> les sujets suivants</w:t>
      </w:r>
      <w:r w:rsidR="00EA1FE1" w:rsidRPr="00617049">
        <w:t> :</w:t>
      </w:r>
    </w:p>
    <w:p w:rsidR="004325DC" w:rsidRPr="00617049" w:rsidRDefault="00A36C3F" w:rsidP="00150FFB">
      <w:pPr>
        <w:pStyle w:val="Txtchap"/>
      </w:pPr>
      <w:r w:rsidRPr="00617049">
        <w:t>L</w:t>
      </w:r>
      <w:r w:rsidR="00C10A1F" w:rsidRPr="00617049">
        <w:t xml:space="preserve">a sauvegarde aux fins de la </w:t>
      </w:r>
      <w:r w:rsidR="00A85270" w:rsidRPr="00617049">
        <w:t>Convention pour la sauvegarde du patrimoine culturel immatériel</w:t>
      </w:r>
      <w:r w:rsidR="00A85270" w:rsidRPr="00617049">
        <w:rPr>
          <w:rStyle w:val="FootnoteReference"/>
          <w:sz w:val="24"/>
          <w:szCs w:val="24"/>
        </w:rPr>
        <w:footnoteReference w:id="1"/>
      </w:r>
      <w:r w:rsidRPr="00617049">
        <w:t>.</w:t>
      </w:r>
      <w:r w:rsidR="009A2E34" w:rsidRPr="00617049">
        <w:rPr>
          <w:noProof/>
          <w:lang w:val="es-ES_tradnl" w:eastAsia="es-ES_tradnl"/>
        </w:rPr>
        <w:drawing>
          <wp:anchor distT="0" distB="0" distL="114300" distR="114300" simplePos="0" relativeHeight="251885056" behindDoc="1" locked="1" layoutInCell="1" allowOverlap="0" wp14:anchorId="17CC8494" wp14:editId="1C06E0EF">
            <wp:simplePos x="0" y="0"/>
            <wp:positionH relativeFrom="margin">
              <wp:posOffset>360045</wp:posOffset>
            </wp:positionH>
            <wp:positionV relativeFrom="margin">
              <wp:posOffset>1800225</wp:posOffset>
            </wp:positionV>
            <wp:extent cx="4870411" cy="4498145"/>
            <wp:effectExtent l="0" t="0" r="6985"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p>
    <w:p w:rsidR="004325DC" w:rsidRPr="00617049" w:rsidRDefault="00A36C3F" w:rsidP="00150FFB">
      <w:pPr>
        <w:pStyle w:val="Txtchap"/>
      </w:pPr>
      <w:r w:rsidRPr="00617049">
        <w:t>L</w:t>
      </w:r>
      <w:r w:rsidR="00C10A1F" w:rsidRPr="00617049">
        <w:t>es mesures de sauvegarde générales et spécifiques</w:t>
      </w:r>
      <w:r w:rsidRPr="00617049">
        <w:t>.</w:t>
      </w:r>
    </w:p>
    <w:p w:rsidR="004325DC" w:rsidRPr="00617049" w:rsidRDefault="00A36C3F" w:rsidP="00150FFB">
      <w:pPr>
        <w:pStyle w:val="Txtchap"/>
      </w:pPr>
      <w:r w:rsidRPr="00617049">
        <w:t>L</w:t>
      </w:r>
      <w:r w:rsidR="00C10A1F" w:rsidRPr="00617049">
        <w:t>e traitement des menaces et des risques qui pèsent sur la viabilité</w:t>
      </w:r>
      <w:r w:rsidRPr="00617049">
        <w:t>.</w:t>
      </w:r>
    </w:p>
    <w:p w:rsidR="004325DC" w:rsidRPr="00617049" w:rsidRDefault="00A36C3F" w:rsidP="00150FFB">
      <w:pPr>
        <w:pStyle w:val="Txtchap"/>
      </w:pPr>
      <w:r w:rsidRPr="00617049">
        <w:t>L</w:t>
      </w:r>
      <w:r w:rsidR="00C10A1F" w:rsidRPr="00617049">
        <w:t>es mesures et les plans de sauvegarde.</w:t>
      </w:r>
    </w:p>
    <w:p w:rsidR="004325DC" w:rsidRPr="00617049" w:rsidRDefault="00C10A1F" w:rsidP="00150FFB">
      <w:pPr>
        <w:pStyle w:val="Chapinfo"/>
      </w:pPr>
      <w:r w:rsidRPr="00617049">
        <w:t xml:space="preserve">Rubriques pertinentes </w:t>
      </w:r>
      <w:r w:rsidR="009A2E34" w:rsidRPr="00617049">
        <w:t xml:space="preserve">du </w:t>
      </w:r>
      <w:r w:rsidR="00646D3D" w:rsidRPr="00617049">
        <w:t>Texte du participant</w:t>
      </w:r>
      <w:r w:rsidR="009A2E34" w:rsidRPr="00617049">
        <w:t xml:space="preserve"> </w:t>
      </w:r>
      <w:r w:rsidR="00F9570F" w:rsidRPr="00617049">
        <w:t>de l’</w:t>
      </w:r>
      <w:r w:rsidR="009A2E34" w:rsidRPr="00617049">
        <w:t>Unité 3 </w:t>
      </w:r>
      <w:r w:rsidR="00EA1FE1" w:rsidRPr="00617049">
        <w:t>:</w:t>
      </w:r>
      <w:r w:rsidR="00043DFF" w:rsidRPr="00617049">
        <w:t xml:space="preserve"> « </w:t>
      </w:r>
      <w:r w:rsidRPr="00617049">
        <w:t>Domaines du PCI</w:t>
      </w:r>
      <w:r w:rsidR="00461004" w:rsidRPr="00617049">
        <w:t xml:space="preserve"> », </w:t>
      </w:r>
      <w:r w:rsidR="00043DFF" w:rsidRPr="00617049">
        <w:t>« </w:t>
      </w:r>
      <w:r w:rsidRPr="00617049">
        <w:t>Éléments du PCI</w:t>
      </w:r>
      <w:r w:rsidR="00461004" w:rsidRPr="00617049">
        <w:t xml:space="preserve"> », </w:t>
      </w:r>
      <w:r w:rsidR="00043DFF" w:rsidRPr="00617049">
        <w:t>« </w:t>
      </w:r>
      <w:r w:rsidR="004325DC" w:rsidRPr="00617049">
        <w:rPr>
          <w:bCs/>
        </w:rPr>
        <w:t>Identification et définition », « </w:t>
      </w:r>
      <w:r w:rsidRPr="00617049">
        <w:t>Inventaire</w:t>
      </w:r>
      <w:r w:rsidR="00D02048" w:rsidRPr="00617049">
        <w:t>s</w:t>
      </w:r>
      <w:r w:rsidR="00461004" w:rsidRPr="00617049">
        <w:t xml:space="preserve"> », </w:t>
      </w:r>
      <w:r w:rsidR="00D02048" w:rsidRPr="00617049">
        <w:t xml:space="preserve">« Menaces et risques », </w:t>
      </w:r>
      <w:r w:rsidR="00043DFF" w:rsidRPr="00617049">
        <w:t>« </w:t>
      </w:r>
      <w:r w:rsidR="004325DC" w:rsidRPr="00617049">
        <w:rPr>
          <w:bCs/>
        </w:rPr>
        <w:t xml:space="preserve">Préservation et protection », « Promotion et mise en valeur », </w:t>
      </w:r>
      <w:r w:rsidR="00043DFF" w:rsidRPr="00617049">
        <w:t>« </w:t>
      </w:r>
      <w:r w:rsidR="004325DC" w:rsidRPr="00617049">
        <w:rPr>
          <w:bCs/>
        </w:rPr>
        <w:t xml:space="preserve">Respect », </w:t>
      </w:r>
      <w:r w:rsidR="00043DFF" w:rsidRPr="00617049">
        <w:t>« </w:t>
      </w:r>
      <w:r w:rsidRPr="00617049">
        <w:t>Revitalisation</w:t>
      </w:r>
      <w:r w:rsidR="00461004" w:rsidRPr="00617049">
        <w:t xml:space="preserve"> », </w:t>
      </w:r>
      <w:r w:rsidR="00043DFF" w:rsidRPr="00617049">
        <w:t>« </w:t>
      </w:r>
      <w:r w:rsidRPr="00617049">
        <w:t>Sauvegarde et mesures de sauvegarde</w:t>
      </w:r>
      <w:r w:rsidR="00461004" w:rsidRPr="00617049">
        <w:t xml:space="preserve"> », </w:t>
      </w:r>
      <w:r w:rsidR="00D02048" w:rsidRPr="00617049">
        <w:t xml:space="preserve">« Sensibilisation » </w:t>
      </w:r>
      <w:r w:rsidR="00043DFF" w:rsidRPr="00617049">
        <w:t xml:space="preserve"> </w:t>
      </w:r>
      <w:r w:rsidRPr="00617049">
        <w:t>et</w:t>
      </w:r>
      <w:r w:rsidR="00043DFF" w:rsidRPr="00617049">
        <w:t xml:space="preserve"> « </w:t>
      </w:r>
      <w:r w:rsidRPr="00617049">
        <w:t>Viabilité</w:t>
      </w:r>
      <w:r w:rsidR="00461004" w:rsidRPr="00617049">
        <w:t> ».</w:t>
      </w:r>
    </w:p>
    <w:p w:rsidR="00DC1DA8" w:rsidRPr="00617049" w:rsidRDefault="00C10A1F" w:rsidP="00150FFB">
      <w:pPr>
        <w:pStyle w:val="Chapinfo"/>
      </w:pPr>
      <w:r w:rsidRPr="00617049">
        <w:t xml:space="preserve">On trouvera des exemples qui illustrent </w:t>
      </w:r>
      <w:r w:rsidR="008D5B4A" w:rsidRPr="00617049">
        <w:t>cette unité</w:t>
      </w:r>
      <w:r w:rsidRPr="00617049">
        <w:t xml:space="preserve"> </w:t>
      </w:r>
      <w:r w:rsidR="00D65E8C" w:rsidRPr="00617049">
        <w:t xml:space="preserve">dans </w:t>
      </w:r>
      <w:r w:rsidR="009A2E34" w:rsidRPr="00617049">
        <w:t>les</w:t>
      </w:r>
      <w:r w:rsidRPr="00617049">
        <w:t xml:space="preserve"> </w:t>
      </w:r>
      <w:r w:rsidR="00D65E8C" w:rsidRPr="00617049">
        <w:t xml:space="preserve">Études </w:t>
      </w:r>
      <w:r w:rsidRPr="00617049">
        <w:t>de cas</w:t>
      </w:r>
      <w:r w:rsidR="00C34622" w:rsidRPr="00617049">
        <w:t> </w:t>
      </w:r>
      <w:r w:rsidRPr="00617049">
        <w:t>21</w:t>
      </w:r>
      <w:r w:rsidR="00D02048" w:rsidRPr="00617049">
        <w:t>-</w:t>
      </w:r>
      <w:r w:rsidRPr="00617049">
        <w:t>27.</w:t>
      </w:r>
    </w:p>
    <w:p w:rsidR="00DC1DA8" w:rsidRPr="00617049" w:rsidRDefault="00DC1DA8">
      <w:pPr>
        <w:keepNext w:val="0"/>
        <w:tabs>
          <w:tab w:val="clear" w:pos="567"/>
        </w:tabs>
        <w:snapToGrid/>
        <w:spacing w:line="240" w:lineRule="auto"/>
        <w:ind w:left="0"/>
        <w:jc w:val="left"/>
        <w:rPr>
          <w:i/>
          <w:iCs/>
          <w:color w:val="3366FF"/>
          <w:sz w:val="24"/>
          <w:szCs w:val="24"/>
        </w:rPr>
      </w:pPr>
      <w:r w:rsidRPr="00617049">
        <w:br w:type="page"/>
      </w:r>
    </w:p>
    <w:p w:rsidR="004325DC" w:rsidRPr="00617049" w:rsidRDefault="009A2E34" w:rsidP="00150FFB">
      <w:pPr>
        <w:pStyle w:val="Titcoul"/>
        <w:spacing w:before="0"/>
        <w:ind w:left="0" w:firstLine="0"/>
      </w:pPr>
      <w:bookmarkStart w:id="7" w:name="_Toc238963263"/>
      <w:bookmarkStart w:id="8" w:name="_Toc241065149"/>
      <w:bookmarkStart w:id="9" w:name="_Toc301443376"/>
      <w:bookmarkStart w:id="10" w:name="_Toc321407019"/>
      <w:bookmarkStart w:id="11" w:name="_Toc354486643"/>
      <w:bookmarkStart w:id="12" w:name="_Toc354486949"/>
      <w:bookmarkStart w:id="13" w:name="_Toc247360234"/>
      <w:r w:rsidRPr="00617049">
        <w:lastRenderedPageBreak/>
        <w:t>9</w:t>
      </w:r>
      <w:r w:rsidR="00C10A1F" w:rsidRPr="00617049">
        <w:t>.1</w:t>
      </w:r>
      <w:bookmarkEnd w:id="7"/>
      <w:bookmarkEnd w:id="8"/>
      <w:r w:rsidR="0022235D" w:rsidRPr="00617049">
        <w:tab/>
      </w:r>
      <w:bookmarkStart w:id="14" w:name="_Toc238963264"/>
      <w:bookmarkStart w:id="15" w:name="_Toc241065150"/>
      <w:r w:rsidR="00C10A1F" w:rsidRPr="00617049">
        <w:t xml:space="preserve">La Convention et </w:t>
      </w:r>
      <w:r w:rsidR="00C34622" w:rsidRPr="00617049">
        <w:t xml:space="preserve">la </w:t>
      </w:r>
      <w:r w:rsidR="00C10A1F" w:rsidRPr="00617049">
        <w:t>sauvegarde</w:t>
      </w:r>
      <w:bookmarkEnd w:id="9"/>
      <w:bookmarkEnd w:id="10"/>
      <w:bookmarkEnd w:id="11"/>
      <w:bookmarkEnd w:id="12"/>
      <w:bookmarkEnd w:id="13"/>
      <w:bookmarkEnd w:id="14"/>
      <w:bookmarkEnd w:id="15"/>
    </w:p>
    <w:p w:rsidR="002D41E4" w:rsidRPr="00617049" w:rsidRDefault="00C10A1F" w:rsidP="00914287">
      <w:pPr>
        <w:pStyle w:val="Texte1"/>
      </w:pPr>
      <w:r w:rsidRPr="00617049">
        <w:t>L</w:t>
      </w:r>
      <w:r w:rsidR="00A61E6D" w:rsidRPr="00617049">
        <w:t>’</w:t>
      </w:r>
      <w:r w:rsidR="00043DFF" w:rsidRPr="00617049">
        <w:t>article </w:t>
      </w:r>
      <w:r w:rsidRPr="00617049">
        <w:t xml:space="preserve">2.3 de la Convention définit la sauvegarde comme </w:t>
      </w:r>
      <w:r w:rsidR="00E067A0" w:rsidRPr="00617049">
        <w:t xml:space="preserve">une </w:t>
      </w:r>
      <w:r w:rsidRPr="00617049">
        <w:t>mesure</w:t>
      </w:r>
      <w:r w:rsidR="00043DFF" w:rsidRPr="00617049">
        <w:t xml:space="preserve"> « </w:t>
      </w:r>
      <w:r w:rsidRPr="00617049">
        <w:t>visant à assurer la viabilité du patrimoine culturel immatériel</w:t>
      </w:r>
      <w:r w:rsidR="00461004" w:rsidRPr="00617049">
        <w:t xml:space="preserve"> », </w:t>
      </w:r>
      <w:r w:rsidRPr="00617049">
        <w:t xml:space="preserve">autrement dit à garantir la représentation et la transmission continues du PCI tout en préservant sa valeur et sa fonction pour la population concernée </w:t>
      </w:r>
      <w:r w:rsidRPr="00617049">
        <w:rPr>
          <w:bCs/>
        </w:rPr>
        <w:t xml:space="preserve">(voir </w:t>
      </w:r>
      <w:r w:rsidR="00646D3D" w:rsidRPr="00617049">
        <w:rPr>
          <w:bCs/>
        </w:rPr>
        <w:t>Texte du participant</w:t>
      </w:r>
      <w:r w:rsidR="00F9570F" w:rsidRPr="00617049">
        <w:rPr>
          <w:bCs/>
        </w:rPr>
        <w:t xml:space="preserve"> de l’</w:t>
      </w:r>
      <w:r w:rsidR="002D41E4" w:rsidRPr="00617049">
        <w:rPr>
          <w:bCs/>
        </w:rPr>
        <w:t>Unité 3</w:t>
      </w:r>
      <w:r w:rsidR="00EA1FE1" w:rsidRPr="00617049">
        <w:rPr>
          <w:bCs/>
        </w:rPr>
        <w:t> :</w:t>
      </w:r>
      <w:r w:rsidR="00043DFF" w:rsidRPr="00617049">
        <w:rPr>
          <w:bCs/>
        </w:rPr>
        <w:t xml:space="preserve"> « </w:t>
      </w:r>
      <w:r w:rsidRPr="00617049">
        <w:rPr>
          <w:bCs/>
        </w:rPr>
        <w:t>Sauvegarde et mesures de sauvegarde)</w:t>
      </w:r>
      <w:r w:rsidR="00387062">
        <w:t>.</w:t>
      </w:r>
    </w:p>
    <w:p w:rsidR="004325DC" w:rsidRPr="00617049" w:rsidRDefault="00C10A1F" w:rsidP="00914287">
      <w:pPr>
        <w:pStyle w:val="Texte1"/>
      </w:pPr>
      <w:r w:rsidRPr="00617049">
        <w:t>Dans son approche sur le maintien de la viabilité d</w:t>
      </w:r>
      <w:r w:rsidR="00A61E6D" w:rsidRPr="00617049">
        <w:t>’</w:t>
      </w:r>
      <w:r w:rsidRPr="00617049">
        <w:t xml:space="preserve">une pratique ou </w:t>
      </w:r>
      <w:r w:rsidR="002D41E4" w:rsidRPr="00617049">
        <w:rPr>
          <w:noProof/>
          <w:lang w:val="es-ES_tradnl" w:eastAsia="es-ES_tradnl"/>
        </w:rPr>
        <w:drawing>
          <wp:anchor distT="0" distB="0" distL="114300" distR="114300" simplePos="0" relativeHeight="251889152" behindDoc="0" locked="1" layoutInCell="1" allowOverlap="0">
            <wp:simplePos x="0" y="0"/>
            <wp:positionH relativeFrom="column">
              <wp:posOffset>-635</wp:posOffset>
            </wp:positionH>
            <wp:positionV relativeFrom="paragraph">
              <wp:posOffset>-377825</wp:posOffset>
            </wp:positionV>
            <wp:extent cx="283210" cy="358775"/>
            <wp:effectExtent l="0" t="0" r="0" b="0"/>
            <wp:wrapThrough wrapText="bothSides">
              <wp:wrapPolygon edited="0">
                <wp:start x="0" y="0"/>
                <wp:lineTo x="0" y="19880"/>
                <wp:lineTo x="19372" y="19880"/>
                <wp:lineTo x="19372" y="0"/>
                <wp:lineTo x="0" y="0"/>
              </wp:wrapPolygon>
            </wp:wrapThrough>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2D41E4" w:rsidRPr="00617049">
        <w:rPr>
          <w:noProof/>
          <w:lang w:val="es-ES_tradnl" w:eastAsia="es-ES_tradnl"/>
        </w:rPr>
        <w:drawing>
          <wp:anchor distT="0" distB="0" distL="114300" distR="114300" simplePos="0" relativeHeight="251887104" behindDoc="0" locked="1" layoutInCell="1" allowOverlap="0">
            <wp:simplePos x="0" y="0"/>
            <wp:positionH relativeFrom="column">
              <wp:posOffset>0</wp:posOffset>
            </wp:positionH>
            <wp:positionV relativeFrom="paragraph">
              <wp:posOffset>330200</wp:posOffset>
            </wp:positionV>
            <wp:extent cx="283210" cy="358775"/>
            <wp:effectExtent l="0" t="0" r="0" b="0"/>
            <wp:wrapThrough wrapText="bothSides">
              <wp:wrapPolygon edited="0">
                <wp:start x="0" y="0"/>
                <wp:lineTo x="0" y="19880"/>
                <wp:lineTo x="19372" y="19880"/>
                <wp:lineTo x="19372" y="0"/>
                <wp:lineTo x="0" y="0"/>
              </wp:wrapPolygon>
            </wp:wrapThrough>
            <wp:docPr id="130" name="Imag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617049">
        <w:t>d</w:t>
      </w:r>
      <w:r w:rsidR="00A61E6D" w:rsidRPr="00617049">
        <w:t>’</w:t>
      </w:r>
      <w:r w:rsidRPr="00617049">
        <w:t xml:space="preserve">expressions, la sauvegarde du </w:t>
      </w:r>
      <w:r w:rsidR="006D3956" w:rsidRPr="00617049">
        <w:t>patrimoine</w:t>
      </w:r>
      <w:r w:rsidR="00BB2FF5" w:rsidRPr="00617049">
        <w:t xml:space="preserve"> immatériel</w:t>
      </w:r>
      <w:r w:rsidRPr="00617049">
        <w:t xml:space="preserve"> est tout à fait différente de la conservation du patrimoine matériel et des sites (voir </w:t>
      </w:r>
      <w:r w:rsidR="003F5CA8" w:rsidRPr="00617049">
        <w:t>Étude de cas</w:t>
      </w:r>
      <w:r w:rsidRPr="00617049">
        <w:t xml:space="preserve"> 21 sur le rapatriement des masques </w:t>
      </w:r>
      <w:proofErr w:type="spellStart"/>
      <w:r w:rsidRPr="00617049">
        <w:t>Ahayu</w:t>
      </w:r>
      <w:r w:rsidR="00EA1FE1" w:rsidRPr="00617049">
        <w:t>:</w:t>
      </w:r>
      <w:r w:rsidRPr="00617049">
        <w:t>da</w:t>
      </w:r>
      <w:proofErr w:type="spellEnd"/>
      <w:r w:rsidRPr="00617049">
        <w:t xml:space="preserve"> conservés dans les musées aux États-Unis).</w:t>
      </w:r>
    </w:p>
    <w:p w:rsidR="00C10A1F" w:rsidRPr="00617049" w:rsidRDefault="00C10A1F">
      <w:pPr>
        <w:pStyle w:val="Heading4"/>
      </w:pPr>
      <w:bookmarkStart w:id="16" w:name="_Toc247360235"/>
      <w:r w:rsidRPr="00617049">
        <w:t>La sauvegarde est l</w:t>
      </w:r>
      <w:r w:rsidR="00A61E6D" w:rsidRPr="00617049">
        <w:t>’</w:t>
      </w:r>
      <w:r w:rsidRPr="00617049">
        <w:t>objectif principal de la Convention</w:t>
      </w:r>
      <w:bookmarkEnd w:id="16"/>
    </w:p>
    <w:p w:rsidR="004325DC" w:rsidRPr="00617049" w:rsidRDefault="00C10A1F" w:rsidP="00914287">
      <w:pPr>
        <w:pStyle w:val="Texte1"/>
      </w:pPr>
      <w:r w:rsidRPr="00617049">
        <w:t>Sauvegarder le PCI est l</w:t>
      </w:r>
      <w:r w:rsidR="00A61E6D" w:rsidRPr="00617049">
        <w:t>’</w:t>
      </w:r>
      <w:r w:rsidRPr="00617049">
        <w:t>objectif principal de la Convention, comme l</w:t>
      </w:r>
      <w:r w:rsidR="00A61E6D" w:rsidRPr="00617049">
        <w:t>’</w:t>
      </w:r>
      <w:r w:rsidRPr="00617049">
        <w:t>indique son titre complet de</w:t>
      </w:r>
      <w:r w:rsidR="00043DFF" w:rsidRPr="00617049">
        <w:t xml:space="preserve"> « </w:t>
      </w:r>
      <w:r w:rsidRPr="00617049">
        <w:t>Convention pour la sauvegarde du patrimoine culturel immatériel</w:t>
      </w:r>
      <w:r w:rsidR="00461004" w:rsidRPr="00617049">
        <w:t xml:space="preserve"> ». </w:t>
      </w:r>
      <w:r w:rsidRPr="00617049">
        <w:t>Plusieurs dispositions de la Convention et des Directives opérationnelles (DO) corroborent cette idée</w:t>
      </w:r>
      <w:r w:rsidR="00EA1FE1" w:rsidRPr="00617049">
        <w:t> :</w:t>
      </w:r>
    </w:p>
    <w:p w:rsidR="004325DC" w:rsidRPr="00617049" w:rsidRDefault="00C10A1F" w:rsidP="00ED75D0">
      <w:pPr>
        <w:pStyle w:val="Txtpucegras"/>
        <w:ind w:left="1134"/>
        <w:rPr>
          <w:bCs/>
        </w:rPr>
      </w:pPr>
      <w:r w:rsidRPr="00617049">
        <w:t>Les États parties sont priés de</w:t>
      </w:r>
      <w:r w:rsidR="00043DFF" w:rsidRPr="00617049">
        <w:t xml:space="preserve"> « </w:t>
      </w:r>
      <w:r w:rsidRPr="00617049">
        <w:t>prendre les mesures nécessaires</w:t>
      </w:r>
      <w:r w:rsidR="00043DFF" w:rsidRPr="00617049">
        <w:t xml:space="preserve"> » </w:t>
      </w:r>
      <w:r w:rsidRPr="00617049">
        <w:t>pour sauvegarder le PCI présent sur leur territoire (</w:t>
      </w:r>
      <w:r w:rsidR="00043DFF" w:rsidRPr="00617049">
        <w:t>article </w:t>
      </w:r>
      <w:r w:rsidR="00387062">
        <w:t>11(a)).</w:t>
      </w:r>
    </w:p>
    <w:p w:rsidR="004325DC" w:rsidRPr="00617049" w:rsidRDefault="00C10A1F" w:rsidP="00ED75D0">
      <w:pPr>
        <w:pStyle w:val="Txtpucegras"/>
        <w:ind w:left="1134"/>
        <w:rPr>
          <w:bCs/>
        </w:rPr>
      </w:pPr>
      <w:r w:rsidRPr="00617049">
        <w:t>Les États parties sont encouragés à soutenir et venir en aide aux communautés vivant sur leur territoire qui désirent sauvegarder des éléments spécifiques de leur PCI.</w:t>
      </w:r>
    </w:p>
    <w:p w:rsidR="004325DC" w:rsidRPr="00617049" w:rsidRDefault="00C10A1F" w:rsidP="00ED75D0">
      <w:pPr>
        <w:pStyle w:val="Txtpucegras"/>
        <w:ind w:left="1134"/>
        <w:rPr>
          <w:bCs/>
        </w:rPr>
      </w:pPr>
      <w:r w:rsidRPr="00617049">
        <w:t xml:space="preserve">Les </w:t>
      </w:r>
      <w:r w:rsidR="00461004" w:rsidRPr="00617049">
        <w:t>DO </w:t>
      </w:r>
      <w:r w:rsidR="009F7917" w:rsidRPr="00617049">
        <w:t>suggèrent l</w:t>
      </w:r>
      <w:r w:rsidR="00E03B15" w:rsidRPr="00617049">
        <w:t>es</w:t>
      </w:r>
      <w:r w:rsidRPr="00617049">
        <w:t xml:space="preserve"> moyens di</w:t>
      </w:r>
      <w:r w:rsidR="00E03B15" w:rsidRPr="00617049">
        <w:t>vers et variés</w:t>
      </w:r>
      <w:r w:rsidRPr="00617049">
        <w:t xml:space="preserve"> </w:t>
      </w:r>
      <w:r w:rsidR="00E03B15" w:rsidRPr="00617049">
        <w:t>dont</w:t>
      </w:r>
      <w:r w:rsidRPr="00617049">
        <w:t xml:space="preserve"> dispos</w:t>
      </w:r>
      <w:r w:rsidR="00E03B15" w:rsidRPr="00617049">
        <w:t>ent l</w:t>
      </w:r>
      <w:r w:rsidRPr="00617049">
        <w:t xml:space="preserve">es États </w:t>
      </w:r>
      <w:r w:rsidR="00E03B15" w:rsidRPr="00617049">
        <w:t xml:space="preserve">pour </w:t>
      </w:r>
      <w:r w:rsidRPr="00617049">
        <w:t xml:space="preserve">les aider à sauvegarder le PCI et à soutenir les communautés dans cette tâche (cf. </w:t>
      </w:r>
      <w:r w:rsidR="00461004" w:rsidRPr="00617049">
        <w:t>DO </w:t>
      </w:r>
      <w:r w:rsidRPr="00617049">
        <w:t>80</w:t>
      </w:r>
      <w:r w:rsidR="00D762C8" w:rsidRPr="00617049">
        <w:t>-</w:t>
      </w:r>
      <w:r w:rsidRPr="00617049">
        <w:t>82 et 85</w:t>
      </w:r>
      <w:r w:rsidR="00D762C8" w:rsidRPr="00617049">
        <w:t>-</w:t>
      </w:r>
      <w:r w:rsidRPr="00617049">
        <w:t>86).</w:t>
      </w:r>
    </w:p>
    <w:p w:rsidR="004325DC" w:rsidRPr="00617049" w:rsidRDefault="00C10A1F" w:rsidP="00ED75D0">
      <w:pPr>
        <w:pStyle w:val="Txtpucegras"/>
        <w:ind w:left="1134"/>
      </w:pPr>
      <w:r w:rsidRPr="00617049">
        <w:t>La Convention établit une Liste spéciale du PCI nécessitant une sauvegarde urgente (</w:t>
      </w:r>
      <w:r w:rsidR="00043DFF" w:rsidRPr="00617049">
        <w:t>article </w:t>
      </w:r>
      <w:r w:rsidRPr="00617049">
        <w:t>17</w:t>
      </w:r>
      <w:r w:rsidR="00EA1FE1" w:rsidRPr="00617049">
        <w:t> ;</w:t>
      </w:r>
      <w:r w:rsidRPr="00617049">
        <w:t xml:space="preserve"> </w:t>
      </w:r>
      <w:r w:rsidR="00461004" w:rsidRPr="00617049">
        <w:t>DO </w:t>
      </w:r>
      <w:r w:rsidRPr="00617049">
        <w:t>1) et prend des dispositions particulières concernant les éléments qui nécessitent une sauvegarde à traiter en extrême urgence (</w:t>
      </w:r>
      <w:r w:rsidR="00461004" w:rsidRPr="00617049">
        <w:t>DO </w:t>
      </w:r>
      <w:r w:rsidRPr="00617049">
        <w:t>33</w:t>
      </w:r>
      <w:r w:rsidR="00D762C8" w:rsidRPr="00617049">
        <w:t>-</w:t>
      </w:r>
      <w:r w:rsidRPr="00617049">
        <w:t>34).</w:t>
      </w:r>
    </w:p>
    <w:p w:rsidR="004325DC" w:rsidRPr="00617049" w:rsidRDefault="00C10A1F" w:rsidP="00ED75D0">
      <w:pPr>
        <w:pStyle w:val="Txtpucegras"/>
        <w:ind w:left="1134"/>
      </w:pPr>
      <w:r w:rsidRPr="00617049">
        <w:t>L</w:t>
      </w:r>
      <w:r w:rsidR="00A61E6D" w:rsidRPr="00617049">
        <w:t>’</w:t>
      </w:r>
      <w:r w:rsidR="00043DFF" w:rsidRPr="00617049">
        <w:t>article </w:t>
      </w:r>
      <w:r w:rsidRPr="00617049">
        <w:t>18 de la Convention préconise la proposition d</w:t>
      </w:r>
      <w:r w:rsidR="00A61E6D" w:rsidRPr="00617049">
        <w:t>’</w:t>
      </w:r>
      <w:r w:rsidRPr="00617049">
        <w:t>inscription, la sélection et la diffusion de ce qu</w:t>
      </w:r>
      <w:r w:rsidR="00A61E6D" w:rsidRPr="00617049">
        <w:t>’</w:t>
      </w:r>
      <w:r w:rsidRPr="00617049">
        <w:t xml:space="preserve">on </w:t>
      </w:r>
      <w:r w:rsidR="00D7682F" w:rsidRPr="00617049">
        <w:t xml:space="preserve">a coutume d’appeler </w:t>
      </w:r>
      <w:r w:rsidRPr="00617049">
        <w:t>les meilleures pratiques de sauvegarde (</w:t>
      </w:r>
      <w:r w:rsidR="00461004" w:rsidRPr="00617049">
        <w:t>DO </w:t>
      </w:r>
      <w:r w:rsidRPr="00617049">
        <w:t>42</w:t>
      </w:r>
      <w:r w:rsidR="00D762C8" w:rsidRPr="00617049">
        <w:t>-</w:t>
      </w:r>
      <w:r w:rsidRPr="00617049">
        <w:t>46).</w:t>
      </w:r>
    </w:p>
    <w:p w:rsidR="004325DC" w:rsidRPr="00617049" w:rsidRDefault="00C10A1F" w:rsidP="00ED75D0">
      <w:pPr>
        <w:pStyle w:val="Txtpucegras"/>
        <w:ind w:left="1134"/>
      </w:pPr>
      <w:r w:rsidRPr="00617049">
        <w:t>Le premier objectif de l</w:t>
      </w:r>
      <w:r w:rsidR="00A61E6D" w:rsidRPr="00617049">
        <w:t>’</w:t>
      </w:r>
      <w:r w:rsidRPr="00617049">
        <w:t xml:space="preserve">assistance internationale énoncé </w:t>
      </w:r>
      <w:r w:rsidR="00D7682F" w:rsidRPr="00617049">
        <w:t>à</w:t>
      </w:r>
      <w:r w:rsidRPr="00617049">
        <w:t xml:space="preserve"> l</w:t>
      </w:r>
      <w:r w:rsidR="00A61E6D" w:rsidRPr="00617049">
        <w:t>’</w:t>
      </w:r>
      <w:r w:rsidR="00043DFF" w:rsidRPr="00617049">
        <w:t>article </w:t>
      </w:r>
      <w:r w:rsidRPr="00617049">
        <w:t>20 de la Convention est la sauvegarde du patrimoine inscrit sur la Liste de sauvegarde urgente (</w:t>
      </w:r>
      <w:r w:rsidR="00461004" w:rsidRPr="00617049">
        <w:t>DO </w:t>
      </w:r>
      <w:r w:rsidRPr="00617049">
        <w:t>9(a)).</w:t>
      </w:r>
    </w:p>
    <w:p w:rsidR="00C10A1F" w:rsidRPr="00617049" w:rsidRDefault="00C10A1F" w:rsidP="000542FD">
      <w:pPr>
        <w:pStyle w:val="Heading4"/>
      </w:pPr>
      <w:bookmarkStart w:id="17" w:name="_Toc247360236"/>
      <w:r w:rsidRPr="00617049">
        <w:t xml:space="preserve">Mesures de sauvegarde </w:t>
      </w:r>
      <w:r w:rsidR="005D01EF" w:rsidRPr="00617049">
        <w:t xml:space="preserve">gÉnÉrales </w:t>
      </w:r>
      <w:r w:rsidRPr="00617049">
        <w:t>et particulières</w:t>
      </w:r>
      <w:bookmarkEnd w:id="17"/>
    </w:p>
    <w:p w:rsidR="004325DC" w:rsidRPr="00617049" w:rsidRDefault="00C10A1F" w:rsidP="00914287">
      <w:pPr>
        <w:pStyle w:val="Texte1"/>
      </w:pPr>
      <w:r w:rsidRPr="00617049">
        <w:t xml:space="preserve">Les mesures de sauvegarde peuvent </w:t>
      </w:r>
      <w:r w:rsidR="009B3F4F" w:rsidRPr="00617049">
        <w:t>viser à</w:t>
      </w:r>
      <w:r w:rsidRPr="00617049">
        <w:t xml:space="preserve"> cré</w:t>
      </w:r>
      <w:r w:rsidR="00DD16FF" w:rsidRPr="00617049">
        <w:t>er d</w:t>
      </w:r>
      <w:r w:rsidRPr="00617049">
        <w:t>e</w:t>
      </w:r>
      <w:r w:rsidR="009B3F4F" w:rsidRPr="00617049">
        <w:t>s</w:t>
      </w:r>
      <w:r w:rsidRPr="00617049">
        <w:t xml:space="preserve"> conditions générales favorables </w:t>
      </w:r>
      <w:r w:rsidR="009B3F4F" w:rsidRPr="00617049">
        <w:t>l’épanouissement du PCI présent dans un pays,</w:t>
      </w:r>
      <w:r w:rsidRPr="00617049">
        <w:t xml:space="preserve"> </w:t>
      </w:r>
      <w:r w:rsidR="00432D7B" w:rsidRPr="00617049">
        <w:t>qu</w:t>
      </w:r>
      <w:r w:rsidR="00DD16FF" w:rsidRPr="00617049">
        <w:t>’elles soient adoptées sous forme</w:t>
      </w:r>
      <w:r w:rsidR="00432D7B" w:rsidRPr="00617049">
        <w:t xml:space="preserve"> de</w:t>
      </w:r>
      <w:r w:rsidRPr="00617049">
        <w:t xml:space="preserve"> </w:t>
      </w:r>
      <w:r w:rsidR="00E067A0" w:rsidRPr="00617049">
        <w:t xml:space="preserve">dispositions </w:t>
      </w:r>
      <w:r w:rsidRPr="00617049">
        <w:t xml:space="preserve">législatives, administratives, financières </w:t>
      </w:r>
      <w:r w:rsidR="00432D7B" w:rsidRPr="00617049">
        <w:t>ou d’</w:t>
      </w:r>
      <w:r w:rsidR="009B3F4F" w:rsidRPr="00617049">
        <w:t>actions de sensibilisation</w:t>
      </w:r>
      <w:r w:rsidRPr="00617049">
        <w:t xml:space="preserve">. Les mesures de sauvegarde peuvent aussi cibler des éléments </w:t>
      </w:r>
      <w:r w:rsidR="00432D7B" w:rsidRPr="00617049">
        <w:t>spécifiques</w:t>
      </w:r>
      <w:r w:rsidRPr="00617049">
        <w:t xml:space="preserve"> du PCI ou des groupes d</w:t>
      </w:r>
      <w:r w:rsidR="00A61E6D" w:rsidRPr="00617049">
        <w:t>’</w:t>
      </w:r>
      <w:r w:rsidR="00DD16FF" w:rsidRPr="00617049">
        <w:t>éléments</w:t>
      </w:r>
      <w:r w:rsidRPr="00617049">
        <w:t xml:space="preserve"> confrontés à des menaces ou des risques pour leur viabilité continue.</w:t>
      </w:r>
    </w:p>
    <w:p w:rsidR="004325DC" w:rsidRPr="00617049" w:rsidRDefault="002D41E4" w:rsidP="00E82F06">
      <w:pPr>
        <w:pStyle w:val="Titcoul"/>
      </w:pPr>
      <w:bookmarkStart w:id="18" w:name="_Toc238963265"/>
      <w:bookmarkStart w:id="19" w:name="_Toc241065151"/>
      <w:bookmarkStart w:id="20" w:name="_Toc301443377"/>
      <w:bookmarkStart w:id="21" w:name="_Toc321407020"/>
      <w:bookmarkStart w:id="22" w:name="_Toc354486644"/>
      <w:bookmarkStart w:id="23" w:name="_Toc354486950"/>
      <w:bookmarkStart w:id="24" w:name="_Toc247360237"/>
      <w:r w:rsidRPr="00617049">
        <w:lastRenderedPageBreak/>
        <w:t>9</w:t>
      </w:r>
      <w:r w:rsidR="00C10A1F" w:rsidRPr="00617049">
        <w:t>.2</w:t>
      </w:r>
      <w:bookmarkEnd w:id="18"/>
      <w:bookmarkEnd w:id="19"/>
      <w:r w:rsidR="0022235D" w:rsidRPr="00617049">
        <w:tab/>
      </w:r>
      <w:bookmarkStart w:id="25" w:name="_Toc238963266"/>
      <w:bookmarkStart w:id="26" w:name="_Toc241065152"/>
      <w:r w:rsidR="00C10A1F" w:rsidRPr="00617049">
        <w:t xml:space="preserve">Mesures </w:t>
      </w:r>
      <w:r w:rsidR="0059104E" w:rsidRPr="00617049">
        <w:t>de</w:t>
      </w:r>
      <w:r w:rsidR="00C10A1F" w:rsidRPr="00617049">
        <w:t xml:space="preserve"> sauvegarde du PCI en </w:t>
      </w:r>
      <w:bookmarkEnd w:id="20"/>
      <w:bookmarkEnd w:id="21"/>
      <w:bookmarkEnd w:id="22"/>
      <w:bookmarkEnd w:id="23"/>
      <w:bookmarkEnd w:id="24"/>
      <w:bookmarkEnd w:id="25"/>
      <w:bookmarkEnd w:id="26"/>
      <w:r w:rsidR="005D01EF" w:rsidRPr="00617049">
        <w:t>gÉnÉral</w:t>
      </w:r>
    </w:p>
    <w:p w:rsidR="004325DC" w:rsidRPr="00617049" w:rsidRDefault="00C10A1F" w:rsidP="00914287">
      <w:pPr>
        <w:pStyle w:val="Texte1"/>
      </w:pPr>
      <w:r w:rsidRPr="00617049">
        <w:t xml:space="preserve">Les </w:t>
      </w:r>
      <w:r w:rsidR="00043DFF" w:rsidRPr="00617049">
        <w:t>articles </w:t>
      </w:r>
      <w:r w:rsidRPr="00617049">
        <w:t>11(b)</w:t>
      </w:r>
      <w:r w:rsidR="00D762C8" w:rsidRPr="00617049">
        <w:t>-</w:t>
      </w:r>
      <w:r w:rsidRPr="00617049">
        <w:t>15 de la Convention donnent des indications claires sur la manière dont un État partie peut remplir son obligation de</w:t>
      </w:r>
      <w:r w:rsidR="00043DFF" w:rsidRPr="00617049">
        <w:t xml:space="preserve"> « </w:t>
      </w:r>
      <w:r w:rsidRPr="00617049">
        <w:t>prendre les mesures nécessaires</w:t>
      </w:r>
      <w:r w:rsidR="00043DFF" w:rsidRPr="00617049">
        <w:t xml:space="preserve"> » </w:t>
      </w:r>
      <w:r w:rsidRPr="00617049">
        <w:t>pour assurer la sauvegarde du PCI présent sur son territoire (</w:t>
      </w:r>
      <w:r w:rsidR="00043DFF" w:rsidRPr="00617049">
        <w:t>article </w:t>
      </w:r>
      <w:r w:rsidRPr="00617049">
        <w:t xml:space="preserve">11(a)). Les dispositions de ces </w:t>
      </w:r>
      <w:r w:rsidR="00043DFF" w:rsidRPr="00617049">
        <w:t>articles </w:t>
      </w:r>
      <w:r w:rsidRPr="00617049">
        <w:t xml:space="preserve">peuvent </w:t>
      </w:r>
      <w:r w:rsidR="0059104E" w:rsidRPr="00617049">
        <w:t>se</w:t>
      </w:r>
      <w:r w:rsidRPr="00617049">
        <w:t xml:space="preserve"> résum</w:t>
      </w:r>
      <w:r w:rsidR="0059104E" w:rsidRPr="00617049">
        <w:t>er</w:t>
      </w:r>
      <w:r w:rsidRPr="00617049">
        <w:t xml:space="preserve"> comme suit (pour le texte intégral, </w:t>
      </w:r>
      <w:r w:rsidR="0059104E" w:rsidRPr="00617049">
        <w:t xml:space="preserve">voir </w:t>
      </w:r>
      <w:r w:rsidRPr="00617049">
        <w:t>la Convention)</w:t>
      </w:r>
      <w:r w:rsidR="00EA1FE1" w:rsidRPr="00617049">
        <w:t> :</w:t>
      </w:r>
    </w:p>
    <w:p w:rsidR="004325DC" w:rsidRPr="00617049" w:rsidRDefault="00C10A1F">
      <w:pPr>
        <w:pStyle w:val="Soustitre"/>
      </w:pPr>
      <w:r w:rsidRPr="00617049">
        <w:t>Il appartient à chaque État partie</w:t>
      </w:r>
      <w:r w:rsidR="00EA1FE1" w:rsidRPr="00617049">
        <w:t> :</w:t>
      </w:r>
    </w:p>
    <w:p w:rsidR="004325DC" w:rsidRPr="00617049" w:rsidRDefault="0059104E" w:rsidP="00ED75D0">
      <w:pPr>
        <w:pStyle w:val="Txtpucegras"/>
        <w:ind w:left="1134"/>
      </w:pPr>
      <w:r w:rsidRPr="00617049">
        <w:t>D</w:t>
      </w:r>
      <w:r w:rsidR="00A61E6D" w:rsidRPr="00617049">
        <w:t>’</w:t>
      </w:r>
      <w:r w:rsidR="00E82F06" w:rsidRPr="00617049">
        <w:t xml:space="preserve">identifier </w:t>
      </w:r>
      <w:r w:rsidR="00C10A1F" w:rsidRPr="00617049">
        <w:t>et de définir le PCI présent sur son territoire (</w:t>
      </w:r>
      <w:r w:rsidR="00043DFF" w:rsidRPr="00617049">
        <w:t>article </w:t>
      </w:r>
      <w:r w:rsidR="00C10A1F" w:rsidRPr="00617049">
        <w:t>11(b))</w:t>
      </w:r>
      <w:r w:rsidR="00E82F06" w:rsidRPr="00617049">
        <w:t>.</w:t>
      </w:r>
    </w:p>
    <w:p w:rsidR="004325DC" w:rsidRPr="00617049" w:rsidRDefault="0059104E" w:rsidP="00ED75D0">
      <w:pPr>
        <w:pStyle w:val="Txtpucegras"/>
        <w:ind w:left="1134"/>
      </w:pPr>
      <w:r w:rsidRPr="00617049">
        <w:t>D</w:t>
      </w:r>
      <w:r w:rsidR="00E82F06" w:rsidRPr="00617049">
        <w:t xml:space="preserve">e </w:t>
      </w:r>
      <w:r w:rsidR="00C10A1F" w:rsidRPr="00617049">
        <w:t>dresser un ou plusieurs inventaires du PCI présent sur son territoire (</w:t>
      </w:r>
      <w:r w:rsidR="00043DFF" w:rsidRPr="00617049">
        <w:t>article </w:t>
      </w:r>
      <w:r w:rsidR="00C10A1F" w:rsidRPr="00617049">
        <w:t>12).</w:t>
      </w:r>
    </w:p>
    <w:p w:rsidR="004325DC" w:rsidRPr="00617049" w:rsidRDefault="00C10A1F">
      <w:pPr>
        <w:pStyle w:val="Soustitre"/>
      </w:pPr>
      <w:r w:rsidRPr="00617049">
        <w:t>Chaque État partie s</w:t>
      </w:r>
      <w:r w:rsidR="00A61E6D" w:rsidRPr="00617049">
        <w:t>’</w:t>
      </w:r>
      <w:r w:rsidRPr="00617049">
        <w:t>efforce</w:t>
      </w:r>
      <w:r w:rsidR="00EA1FE1" w:rsidRPr="00617049">
        <w:t> :</w:t>
      </w:r>
    </w:p>
    <w:p w:rsidR="004325DC" w:rsidRPr="00617049" w:rsidRDefault="00E82F06" w:rsidP="00ED75D0">
      <w:pPr>
        <w:pStyle w:val="Txtpucegras"/>
        <w:ind w:left="1134"/>
      </w:pPr>
      <w:r w:rsidRPr="00617049">
        <w:t>D</w:t>
      </w:r>
      <w:r w:rsidR="00A61E6D" w:rsidRPr="00617049">
        <w:t>’</w:t>
      </w:r>
      <w:r w:rsidRPr="00617049">
        <w:t xml:space="preserve">adopter </w:t>
      </w:r>
      <w:r w:rsidR="00C10A1F" w:rsidRPr="00617049">
        <w:t>une politique générale</w:t>
      </w:r>
      <w:r w:rsidR="00EA1FE1" w:rsidRPr="00617049">
        <w:t> ;</w:t>
      </w:r>
      <w:r w:rsidR="00C10A1F" w:rsidRPr="00617049">
        <w:t xml:space="preserve"> de désigner ou établir un ou plusieurs organismes compétents pour la sauvegarde du PCI</w:t>
      </w:r>
      <w:r w:rsidR="00EA1FE1" w:rsidRPr="00617049">
        <w:t> ;</w:t>
      </w:r>
      <w:r w:rsidR="00C10A1F" w:rsidRPr="00617049">
        <w:t xml:space="preserve"> d</w:t>
      </w:r>
      <w:r w:rsidR="00A61E6D" w:rsidRPr="00617049">
        <w:t>’</w:t>
      </w:r>
      <w:r w:rsidR="00C10A1F" w:rsidRPr="00617049">
        <w:t xml:space="preserve">encourager des études </w:t>
      </w:r>
      <w:r w:rsidR="00D762C8" w:rsidRPr="00617049">
        <w:t>(« </w:t>
      </w:r>
      <w:r w:rsidR="00C10A1F" w:rsidRPr="00617049">
        <w:t xml:space="preserve">pour une sauvegarde efficace du patrimoine culturel </w:t>
      </w:r>
      <w:r w:rsidR="00D762C8" w:rsidRPr="00617049">
        <w:t>immatériel »</w:t>
      </w:r>
      <w:r w:rsidR="00C10A1F" w:rsidRPr="00617049">
        <w:t>)</w:t>
      </w:r>
      <w:r w:rsidR="00EA1FE1" w:rsidRPr="00617049">
        <w:t> ;</w:t>
      </w:r>
      <w:r w:rsidR="00C10A1F" w:rsidRPr="00617049">
        <w:t xml:space="preserve"> et d</w:t>
      </w:r>
      <w:r w:rsidR="00A61E6D" w:rsidRPr="00617049">
        <w:t>’</w:t>
      </w:r>
      <w:r w:rsidR="00C10A1F" w:rsidRPr="00617049">
        <w:t>adopter les mesures juridiques, techniques, administratives et financières appropriées (</w:t>
      </w:r>
      <w:r w:rsidR="00043DFF" w:rsidRPr="00617049">
        <w:t>article </w:t>
      </w:r>
      <w:r w:rsidR="00C10A1F" w:rsidRPr="00617049">
        <w:t>13)</w:t>
      </w:r>
      <w:r w:rsidRPr="00617049">
        <w:t>.</w:t>
      </w:r>
    </w:p>
    <w:p w:rsidR="004325DC" w:rsidRPr="00617049" w:rsidRDefault="00E82F06" w:rsidP="00ED75D0">
      <w:pPr>
        <w:pStyle w:val="Txtpucegras"/>
        <w:ind w:left="1134"/>
      </w:pPr>
      <w:r w:rsidRPr="00617049">
        <w:t>D</w:t>
      </w:r>
      <w:r w:rsidR="00A61E6D" w:rsidRPr="00617049">
        <w:t>’</w:t>
      </w:r>
      <w:r w:rsidRPr="00617049">
        <w:t xml:space="preserve">assurer </w:t>
      </w:r>
      <w:r w:rsidR="00C10A1F" w:rsidRPr="00617049">
        <w:t>la reconnaissance, le respect et la mise en valeur du PCI dans la société (</w:t>
      </w:r>
      <w:r w:rsidR="00043DFF" w:rsidRPr="00617049">
        <w:t>article </w:t>
      </w:r>
      <w:r w:rsidR="00C10A1F" w:rsidRPr="00617049">
        <w:t>14)</w:t>
      </w:r>
      <w:r w:rsidRPr="00617049">
        <w:t>.</w:t>
      </w:r>
    </w:p>
    <w:p w:rsidR="004325DC" w:rsidRPr="00617049" w:rsidRDefault="00E82F06" w:rsidP="00ED75D0">
      <w:pPr>
        <w:pStyle w:val="Txtpucegras"/>
        <w:ind w:left="1134"/>
      </w:pPr>
      <w:r w:rsidRPr="00617049">
        <w:t>D</w:t>
      </w:r>
      <w:r w:rsidR="00A61E6D" w:rsidRPr="00617049">
        <w:t>’</w:t>
      </w:r>
      <w:r w:rsidRPr="00617049">
        <w:t xml:space="preserve">assurer </w:t>
      </w:r>
      <w:r w:rsidR="00C10A1F" w:rsidRPr="00617049">
        <w:t>la participation des communautés à ses activités de sauvegarde et de les impliquer dans la gestion de leur PCI (</w:t>
      </w:r>
      <w:r w:rsidR="00043DFF" w:rsidRPr="00617049">
        <w:t>articles </w:t>
      </w:r>
      <w:r w:rsidR="00C10A1F" w:rsidRPr="00617049">
        <w:t>11(b), 15).</w:t>
      </w:r>
    </w:p>
    <w:p w:rsidR="004325DC" w:rsidRPr="00617049" w:rsidRDefault="00C10A1F" w:rsidP="00ED75D0">
      <w:pPr>
        <w:pStyle w:val="Texte1"/>
        <w:ind w:left="1134"/>
      </w:pPr>
      <w:r w:rsidRPr="00617049">
        <w:t>Ces dispositions visent à atteindre les buts suivants de la Convention à l</w:t>
      </w:r>
      <w:r w:rsidR="00A61E6D" w:rsidRPr="00617049">
        <w:t>’</w:t>
      </w:r>
      <w:r w:rsidRPr="00617049">
        <w:t>échelon national (</w:t>
      </w:r>
      <w:r w:rsidR="00043DFF" w:rsidRPr="00617049">
        <w:t>article </w:t>
      </w:r>
      <w:r w:rsidRPr="00617049">
        <w:t>1)</w:t>
      </w:r>
      <w:r w:rsidR="00EA1FE1" w:rsidRPr="00617049">
        <w:t> :</w:t>
      </w:r>
      <w:r w:rsidRPr="00617049">
        <w:t xml:space="preserve"> (a) la sauvegarde du PCI</w:t>
      </w:r>
      <w:r w:rsidR="00EA1FE1" w:rsidRPr="00617049">
        <w:t> ;</w:t>
      </w:r>
      <w:r w:rsidRPr="00617049">
        <w:t xml:space="preserve"> (b) le respect du PCI</w:t>
      </w:r>
      <w:r w:rsidR="00EA1FE1" w:rsidRPr="00617049">
        <w:t> ;</w:t>
      </w:r>
      <w:r w:rsidRPr="00617049">
        <w:t xml:space="preserve"> et (c) la sensibilisation à l</w:t>
      </w:r>
      <w:r w:rsidR="00A61E6D" w:rsidRPr="00617049">
        <w:t>’</w:t>
      </w:r>
      <w:r w:rsidRPr="00617049">
        <w:t>importance du PCI en général et l</w:t>
      </w:r>
      <w:r w:rsidR="00A61E6D" w:rsidRPr="00617049">
        <w:t>’</w:t>
      </w:r>
      <w:r w:rsidRPr="00617049">
        <w:t>appréciation mutuelle du PCI entre et au sein des différentes communautés.</w:t>
      </w:r>
    </w:p>
    <w:p w:rsidR="004325DC" w:rsidRPr="00617049" w:rsidRDefault="00C10A1F">
      <w:pPr>
        <w:pStyle w:val="Soustitre"/>
      </w:pPr>
      <w:r w:rsidRPr="00617049">
        <w:t>Les Directives opérationnelles donnent plus de précisions sur ces mesures générales</w:t>
      </w:r>
      <w:r w:rsidR="00EA1FE1" w:rsidRPr="00617049">
        <w:t> :</w:t>
      </w:r>
    </w:p>
    <w:p w:rsidR="004325DC" w:rsidRPr="00617049" w:rsidRDefault="0022235D" w:rsidP="00ED75D0">
      <w:pPr>
        <w:pStyle w:val="Txtpucegras"/>
        <w:ind w:left="1134"/>
      </w:pPr>
      <w:r w:rsidRPr="00617049">
        <w:t xml:space="preserve">Assurer </w:t>
      </w:r>
      <w:r w:rsidR="00C10A1F" w:rsidRPr="00617049">
        <w:t>la participation et le consentement des communautés à la sauvegarde (</w:t>
      </w:r>
      <w:r w:rsidR="00461004" w:rsidRPr="00617049">
        <w:t>DO </w:t>
      </w:r>
      <w:r w:rsidR="00C10A1F" w:rsidRPr="00617049">
        <w:t>1, 2, 7, 12, 79</w:t>
      </w:r>
      <w:r w:rsidR="00BB70F2" w:rsidRPr="00617049">
        <w:t>-</w:t>
      </w:r>
      <w:r w:rsidR="00C10A1F" w:rsidRPr="00617049">
        <w:t>80, 88, 101, 157 et 162)</w:t>
      </w:r>
      <w:r w:rsidRPr="00617049">
        <w:t>.</w:t>
      </w:r>
    </w:p>
    <w:p w:rsidR="004325DC" w:rsidRPr="00617049" w:rsidRDefault="00E82F06" w:rsidP="00ED75D0">
      <w:pPr>
        <w:pStyle w:val="Txtpucegras"/>
        <w:ind w:left="1134"/>
      </w:pPr>
      <w:r w:rsidRPr="00617049">
        <w:t xml:space="preserve">Assurer </w:t>
      </w:r>
      <w:r w:rsidR="004325DC" w:rsidRPr="00617049">
        <w:t>le renforcement des capacités</w:t>
      </w:r>
      <w:r w:rsidR="00C10A1F" w:rsidRPr="00617049">
        <w:t xml:space="preserve"> pour la sauvegarde (</w:t>
      </w:r>
      <w:r w:rsidR="00461004" w:rsidRPr="00617049">
        <w:t>DO </w:t>
      </w:r>
      <w:r w:rsidR="00C10A1F" w:rsidRPr="00617049">
        <w:t>82, 107 et 155)</w:t>
      </w:r>
      <w:r w:rsidRPr="00617049">
        <w:t>.</w:t>
      </w:r>
    </w:p>
    <w:p w:rsidR="004325DC" w:rsidRPr="00617049" w:rsidRDefault="00E82F06" w:rsidP="00ED75D0">
      <w:pPr>
        <w:pStyle w:val="Txtpucegras"/>
        <w:ind w:left="1134"/>
      </w:pPr>
      <w:r w:rsidRPr="00617049">
        <w:t xml:space="preserve">Assurer </w:t>
      </w:r>
      <w:r w:rsidR="004325DC" w:rsidRPr="00617049">
        <w:t>l</w:t>
      </w:r>
      <w:r w:rsidR="00A61E6D" w:rsidRPr="00617049">
        <w:t>’</w:t>
      </w:r>
      <w:r w:rsidR="004325DC" w:rsidRPr="00617049">
        <w:t>existence de cadres législatifs et de codes d</w:t>
      </w:r>
      <w:r w:rsidR="00A61E6D" w:rsidRPr="00617049">
        <w:t>’</w:t>
      </w:r>
      <w:r w:rsidR="004325DC" w:rsidRPr="00617049">
        <w:t xml:space="preserve">éthique appropriés </w:t>
      </w:r>
      <w:r w:rsidR="00C10A1F" w:rsidRPr="00617049">
        <w:t>pour la sauvegarde du PCI et la sensibilisation (</w:t>
      </w:r>
      <w:r w:rsidR="00461004" w:rsidRPr="00617049">
        <w:t>DO </w:t>
      </w:r>
      <w:r w:rsidR="00C10A1F" w:rsidRPr="00617049">
        <w:t>103, 105 et 107), y compris</w:t>
      </w:r>
      <w:r w:rsidR="00043DFF" w:rsidRPr="00617049">
        <w:t xml:space="preserve"> « </w:t>
      </w:r>
      <w:r w:rsidR="00C10A1F" w:rsidRPr="00617049">
        <w:t>s</w:t>
      </w:r>
      <w:r w:rsidR="00A61E6D" w:rsidRPr="00617049">
        <w:t>’</w:t>
      </w:r>
      <w:r w:rsidR="00C10A1F" w:rsidRPr="00617049">
        <w:t>attacher à faire en sorte que les droits des communautés, des groupes et des individus concernés sont dûment protégés lorsqu</w:t>
      </w:r>
      <w:r w:rsidR="00A61E6D" w:rsidRPr="00617049">
        <w:t>’</w:t>
      </w:r>
      <w:r w:rsidR="00C10A1F" w:rsidRPr="00617049">
        <w:t>ils sensibilisent à ce patrimoine ou entreprennent des activités commerciales</w:t>
      </w:r>
      <w:r w:rsidR="00043DFF" w:rsidRPr="00617049">
        <w:t xml:space="preserve"> » </w:t>
      </w:r>
      <w:r w:rsidR="00C10A1F" w:rsidRPr="00617049">
        <w:t>(</w:t>
      </w:r>
      <w:r w:rsidR="00461004" w:rsidRPr="00617049">
        <w:t>DO </w:t>
      </w:r>
      <w:r w:rsidR="00C10A1F" w:rsidRPr="00617049">
        <w:t>104)</w:t>
      </w:r>
      <w:r w:rsidRPr="00617049">
        <w:t>.</w:t>
      </w:r>
    </w:p>
    <w:p w:rsidR="004325DC" w:rsidRPr="00617049" w:rsidRDefault="00E82F06" w:rsidP="00ED75D0">
      <w:pPr>
        <w:pStyle w:val="Txtpucegras"/>
        <w:ind w:left="1134"/>
      </w:pPr>
      <w:r w:rsidRPr="00617049">
        <w:t xml:space="preserve">Sensibiliser </w:t>
      </w:r>
      <w:r w:rsidR="00C10A1F" w:rsidRPr="00617049">
        <w:t>(</w:t>
      </w:r>
      <w:r w:rsidR="00461004" w:rsidRPr="00617049">
        <w:t>DO </w:t>
      </w:r>
      <w:r w:rsidR="00C10A1F" w:rsidRPr="00617049">
        <w:t>100</w:t>
      </w:r>
      <w:r w:rsidR="00BB70F2" w:rsidRPr="00617049">
        <w:t>-</w:t>
      </w:r>
      <w:r w:rsidR="00C10A1F" w:rsidRPr="00617049">
        <w:t>123)</w:t>
      </w:r>
      <w:r w:rsidRPr="00617049">
        <w:t>.</w:t>
      </w:r>
    </w:p>
    <w:p w:rsidR="004325DC" w:rsidRPr="00617049" w:rsidRDefault="00E82F06" w:rsidP="00ED75D0">
      <w:pPr>
        <w:pStyle w:val="Txtpucegras"/>
        <w:ind w:left="1134"/>
      </w:pPr>
      <w:r w:rsidRPr="00617049">
        <w:t xml:space="preserve">Entreprendre </w:t>
      </w:r>
      <w:r w:rsidR="00C10A1F" w:rsidRPr="00617049">
        <w:t>une évaluation des risques, un suivi et une estimation des menaces qui pèsent sur le PCI (</w:t>
      </w:r>
      <w:r w:rsidR="00461004" w:rsidRPr="00617049">
        <w:t>DO </w:t>
      </w:r>
      <w:r w:rsidR="00C10A1F" w:rsidRPr="00617049">
        <w:t>116)</w:t>
      </w:r>
      <w:r w:rsidRPr="00617049">
        <w:t>.</w:t>
      </w:r>
    </w:p>
    <w:p w:rsidR="004325DC" w:rsidRPr="00617049" w:rsidRDefault="00E82F06" w:rsidP="00ED75D0">
      <w:pPr>
        <w:pStyle w:val="Txtpucegras"/>
        <w:ind w:left="1134"/>
      </w:pPr>
      <w:r w:rsidRPr="00617049">
        <w:t xml:space="preserve">Assurer </w:t>
      </w:r>
      <w:r w:rsidR="004325DC" w:rsidRPr="00617049">
        <w:t>l</w:t>
      </w:r>
      <w:r w:rsidR="00A61E6D" w:rsidRPr="00617049">
        <w:t>’</w:t>
      </w:r>
      <w:r w:rsidR="004325DC" w:rsidRPr="00617049">
        <w:t>existence de structures administratives afin de promouvoir la consultation</w:t>
      </w:r>
      <w:r w:rsidR="00C10A1F" w:rsidRPr="00617049">
        <w:t xml:space="preserve"> entre les communautés, les ONG, les experts et les centres d</w:t>
      </w:r>
      <w:r w:rsidR="00A61E6D" w:rsidRPr="00617049">
        <w:t>’</w:t>
      </w:r>
      <w:r w:rsidR="00C10A1F" w:rsidRPr="00617049">
        <w:t>expertise</w:t>
      </w:r>
      <w:r w:rsidR="00764FBE" w:rsidRPr="00617049">
        <w:t>,</w:t>
      </w:r>
      <w:r w:rsidR="00C10A1F" w:rsidRPr="00617049">
        <w:t xml:space="preserve"> et autres (</w:t>
      </w:r>
      <w:r w:rsidR="00461004" w:rsidRPr="00617049">
        <w:t>DO </w:t>
      </w:r>
      <w:r w:rsidR="00C10A1F" w:rsidRPr="00617049">
        <w:t>80).</w:t>
      </w:r>
    </w:p>
    <w:p w:rsidR="004325DC" w:rsidRPr="00617049" w:rsidRDefault="002D41E4" w:rsidP="00E82F06">
      <w:pPr>
        <w:pStyle w:val="Titcoul"/>
      </w:pPr>
      <w:bookmarkStart w:id="27" w:name="_Toc238963267"/>
      <w:bookmarkStart w:id="28" w:name="_Toc301443378"/>
      <w:bookmarkStart w:id="29" w:name="_Toc241065153"/>
      <w:bookmarkStart w:id="30" w:name="_Toc321407021"/>
      <w:bookmarkStart w:id="31" w:name="_Toc354486645"/>
      <w:bookmarkStart w:id="32" w:name="_Toc354486951"/>
      <w:bookmarkStart w:id="33" w:name="_Toc247360238"/>
      <w:r w:rsidRPr="00617049">
        <w:t>9</w:t>
      </w:r>
      <w:r w:rsidR="00C10A1F" w:rsidRPr="00617049">
        <w:t>.3</w:t>
      </w:r>
      <w:bookmarkEnd w:id="27"/>
      <w:bookmarkEnd w:id="28"/>
      <w:bookmarkEnd w:id="29"/>
      <w:r w:rsidR="0022235D" w:rsidRPr="00617049">
        <w:tab/>
      </w:r>
      <w:bookmarkStart w:id="34" w:name="_Toc238963268"/>
      <w:bookmarkStart w:id="35" w:name="_Toc241065154"/>
      <w:r w:rsidR="00C10A1F" w:rsidRPr="00617049">
        <w:t xml:space="preserve">Exemples de mesures de sauvegarde </w:t>
      </w:r>
      <w:bookmarkEnd w:id="30"/>
      <w:bookmarkEnd w:id="31"/>
      <w:bookmarkEnd w:id="32"/>
      <w:bookmarkEnd w:id="33"/>
      <w:bookmarkEnd w:id="34"/>
      <w:bookmarkEnd w:id="35"/>
      <w:r w:rsidR="005D01EF" w:rsidRPr="00617049">
        <w:t>gÉnÉrales</w:t>
      </w:r>
    </w:p>
    <w:p w:rsidR="004325DC" w:rsidRPr="00617049" w:rsidRDefault="00C10A1F" w:rsidP="00914287">
      <w:pPr>
        <w:pStyle w:val="Texte1"/>
      </w:pPr>
      <w:r w:rsidRPr="00617049">
        <w:t>Il y a un certain nombre de mesures appliquées à la sauvegarde du PCI en général</w:t>
      </w:r>
      <w:r w:rsidR="00EA1FE1" w:rsidRPr="00617049">
        <w:t> :</w:t>
      </w:r>
    </w:p>
    <w:p w:rsidR="006C3387" w:rsidRPr="00617049" w:rsidRDefault="002640FF" w:rsidP="00150FFB">
      <w:pPr>
        <w:pStyle w:val="Enutiret"/>
      </w:pPr>
      <w:r w:rsidRPr="00617049">
        <w:lastRenderedPageBreak/>
        <w:t>l</w:t>
      </w:r>
      <w:r w:rsidR="00C10A1F" w:rsidRPr="00617049">
        <w:t>a sensibilisation à la valeur du PCI (</w:t>
      </w:r>
      <w:r w:rsidR="00606449" w:rsidRPr="00617049">
        <w:t>examin</w:t>
      </w:r>
      <w:r w:rsidR="00C10A1F" w:rsidRPr="00617049">
        <w:t xml:space="preserve">ée en détail dans </w:t>
      </w:r>
      <w:r w:rsidR="002D41E4" w:rsidRPr="00617049">
        <w:t xml:space="preserve">le </w:t>
      </w:r>
      <w:r w:rsidR="00646D3D" w:rsidRPr="00617049">
        <w:t>Texte du participant</w:t>
      </w:r>
      <w:r w:rsidR="002D41E4" w:rsidRPr="00617049">
        <w:t xml:space="preserve"> </w:t>
      </w:r>
      <w:r w:rsidR="00F9570F" w:rsidRPr="00617049">
        <w:t>de l’</w:t>
      </w:r>
      <w:r w:rsidR="002D41E4" w:rsidRPr="00617049">
        <w:t>Unité 5</w:t>
      </w:r>
      <w:r w:rsidR="00C10A1F" w:rsidRPr="00617049">
        <w:t>)</w:t>
      </w:r>
      <w:r w:rsidR="00EA1FE1" w:rsidRPr="00617049">
        <w:t> ;</w:t>
      </w:r>
    </w:p>
    <w:p w:rsidR="004325DC" w:rsidRPr="00617049" w:rsidRDefault="00C10A1F" w:rsidP="00150FFB">
      <w:pPr>
        <w:pStyle w:val="Enutiret"/>
      </w:pPr>
      <w:r w:rsidRPr="00617049">
        <w:t>l</w:t>
      </w:r>
      <w:r w:rsidR="00A61E6D" w:rsidRPr="00617049">
        <w:t>’</w:t>
      </w:r>
      <w:r w:rsidRPr="00617049">
        <w:t>identification et l</w:t>
      </w:r>
      <w:r w:rsidR="00606449" w:rsidRPr="00617049">
        <w:t xml:space="preserve">es </w:t>
      </w:r>
      <w:r w:rsidRPr="00617049">
        <w:t>inventaire</w:t>
      </w:r>
      <w:r w:rsidR="00606449" w:rsidRPr="00617049">
        <w:t>s</w:t>
      </w:r>
      <w:r w:rsidRPr="00617049">
        <w:t xml:space="preserve"> du PCI (</w:t>
      </w:r>
      <w:r w:rsidR="00606449" w:rsidRPr="00617049">
        <w:t>examin</w:t>
      </w:r>
      <w:r w:rsidRPr="00617049">
        <w:t>ée dans</w:t>
      </w:r>
      <w:r w:rsidR="002D41E4" w:rsidRPr="00617049">
        <w:t xml:space="preserve"> le </w:t>
      </w:r>
      <w:r w:rsidR="00646D3D" w:rsidRPr="00617049">
        <w:t>Texte du participant</w:t>
      </w:r>
      <w:r w:rsidR="00F9570F" w:rsidRPr="00617049">
        <w:t xml:space="preserve"> de l’</w:t>
      </w:r>
      <w:r w:rsidR="002D41E4" w:rsidRPr="00617049">
        <w:t>Unité 6</w:t>
      </w:r>
      <w:r w:rsidRPr="00617049">
        <w:t>)</w:t>
      </w:r>
      <w:r w:rsidR="00EA1FE1" w:rsidRPr="00617049">
        <w:t> ;</w:t>
      </w:r>
      <w:r w:rsidRPr="00617049">
        <w:t xml:space="preserve"> et</w:t>
      </w:r>
    </w:p>
    <w:p w:rsidR="006C3387" w:rsidRPr="00617049" w:rsidRDefault="00C10A1F" w:rsidP="00150FFB">
      <w:pPr>
        <w:pStyle w:val="Enutiret"/>
      </w:pPr>
      <w:r w:rsidRPr="00617049">
        <w:t>la création d</w:t>
      </w:r>
      <w:r w:rsidR="00A61E6D" w:rsidRPr="00617049">
        <w:t>’</w:t>
      </w:r>
      <w:r w:rsidRPr="00617049">
        <w:t xml:space="preserve">un cadre légal et administratif propice à la sauvegarde (discutée dans </w:t>
      </w:r>
      <w:r w:rsidR="002D41E4" w:rsidRPr="00617049">
        <w:t xml:space="preserve">le </w:t>
      </w:r>
      <w:r w:rsidR="00646D3D" w:rsidRPr="00617049">
        <w:t>Texte du participant</w:t>
      </w:r>
      <w:r w:rsidR="00606449" w:rsidRPr="00617049">
        <w:t xml:space="preserve"> de</w:t>
      </w:r>
      <w:r w:rsidR="002D41E4" w:rsidRPr="00617049">
        <w:t xml:space="preserve"> </w:t>
      </w:r>
      <w:r w:rsidR="00606449" w:rsidRPr="00617049">
        <w:t>l’</w:t>
      </w:r>
      <w:r w:rsidR="002D41E4" w:rsidRPr="00617049">
        <w:t>Unité 9</w:t>
      </w:r>
      <w:r w:rsidRPr="00617049">
        <w:t>).</w:t>
      </w:r>
    </w:p>
    <w:p w:rsidR="004325DC" w:rsidRPr="00617049" w:rsidRDefault="00606449" w:rsidP="00914287">
      <w:pPr>
        <w:pStyle w:val="Informations"/>
      </w:pPr>
      <w:r w:rsidRPr="00617049">
        <w:t>Les Études de cas 3, 6, 28 et 29</w:t>
      </w:r>
      <w:r w:rsidR="002D41E4" w:rsidRPr="00617049">
        <w:rPr>
          <w:noProof/>
          <w:lang w:val="es-ES_tradnl" w:eastAsia="es-ES_tradnl"/>
        </w:rPr>
        <w:drawing>
          <wp:anchor distT="0" distB="0" distL="114300" distR="114300" simplePos="0" relativeHeight="251891200" behindDoc="0" locked="1" layoutInCell="1" allowOverlap="0">
            <wp:simplePos x="0" y="0"/>
            <wp:positionH relativeFrom="column">
              <wp:posOffset>0</wp:posOffset>
            </wp:positionH>
            <wp:positionV relativeFrom="paragraph">
              <wp:posOffset>-71755</wp:posOffset>
            </wp:positionV>
            <wp:extent cx="283210" cy="358775"/>
            <wp:effectExtent l="0" t="0" r="0" b="0"/>
            <wp:wrapThrough wrapText="bothSides">
              <wp:wrapPolygon edited="0">
                <wp:start x="0" y="0"/>
                <wp:lineTo x="0" y="19880"/>
                <wp:lineTo x="19372" y="19880"/>
                <wp:lineTo x="19372" y="0"/>
                <wp:lineTo x="0" y="0"/>
              </wp:wrapPolygon>
            </wp:wrapThrough>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617049">
        <w:t xml:space="preserve"> illustre</w:t>
      </w:r>
      <w:r w:rsidR="00C10A1F" w:rsidRPr="00617049">
        <w:t>nt</w:t>
      </w:r>
      <w:r w:rsidRPr="00617049">
        <w:t xml:space="preserve"> le propos sur</w:t>
      </w:r>
      <w:r w:rsidR="00C10A1F" w:rsidRPr="00617049">
        <w:t xml:space="preserve"> les mesures générales de sauvegarde.</w:t>
      </w:r>
    </w:p>
    <w:p w:rsidR="00C102EA" w:rsidRPr="00617049" w:rsidRDefault="00C10A1F" w:rsidP="00914287">
      <w:pPr>
        <w:pStyle w:val="Texte1"/>
      </w:pPr>
      <w:r w:rsidRPr="00617049">
        <w:t>Lorsqu</w:t>
      </w:r>
      <w:r w:rsidR="00A61E6D" w:rsidRPr="00617049">
        <w:t>’</w:t>
      </w:r>
      <w:r w:rsidR="00C102EA" w:rsidRPr="00617049">
        <w:t>ils prennent</w:t>
      </w:r>
      <w:r w:rsidRPr="00617049">
        <w:t xml:space="preserve"> des mesures générales, les États parties n</w:t>
      </w:r>
      <w:r w:rsidR="00A61E6D" w:rsidRPr="00617049">
        <w:t>’</w:t>
      </w:r>
      <w:r w:rsidRPr="00617049">
        <w:t>ont pas l</w:t>
      </w:r>
      <w:r w:rsidR="00A61E6D" w:rsidRPr="00617049">
        <w:t>’</w:t>
      </w:r>
      <w:r w:rsidRPr="00617049">
        <w:t>habitude de repartir à zéro </w:t>
      </w:r>
      <w:r w:rsidR="00EA1FE1" w:rsidRPr="00617049">
        <w:t>:</w:t>
      </w:r>
      <w:r w:rsidRPr="00617049">
        <w:t xml:space="preserve"> ils ont la possibilité de faire usage des institutions, des réseaux et des programmes existants</w:t>
      </w:r>
      <w:r w:rsidR="00737E49" w:rsidRPr="00617049">
        <w:t xml:space="preserve"> qu’ils vont </w:t>
      </w:r>
      <w:r w:rsidRPr="00617049">
        <w:t>développ</w:t>
      </w:r>
      <w:r w:rsidR="00737E49" w:rsidRPr="00617049">
        <w:t>er</w:t>
      </w:r>
      <w:r w:rsidRPr="00617049">
        <w:t xml:space="preserve"> et renfor</w:t>
      </w:r>
      <w:r w:rsidR="00737E49" w:rsidRPr="00617049">
        <w:t>cer si besoin est</w:t>
      </w:r>
      <w:r w:rsidRPr="00617049">
        <w:t>.</w:t>
      </w:r>
    </w:p>
    <w:p w:rsidR="004325DC" w:rsidRPr="00617049" w:rsidRDefault="00C10A1F" w:rsidP="00914287">
      <w:pPr>
        <w:pStyle w:val="Texte1"/>
      </w:pPr>
      <w:r w:rsidRPr="00617049">
        <w:t xml:space="preserve">Avant de ratifier la Convention, certains États </w:t>
      </w:r>
      <w:r w:rsidR="000C62E5" w:rsidRPr="00617049">
        <w:t>revoient</w:t>
      </w:r>
      <w:r w:rsidRPr="00617049">
        <w:t xml:space="preserve"> la règlementation, la légi</w:t>
      </w:r>
      <w:r w:rsidR="000C62E5" w:rsidRPr="00617049">
        <w:t>slation et la politique</w:t>
      </w:r>
      <w:r w:rsidRPr="00617049">
        <w:t xml:space="preserve"> </w:t>
      </w:r>
      <w:r w:rsidR="000C62E5" w:rsidRPr="00617049">
        <w:t>relatives au</w:t>
      </w:r>
      <w:r w:rsidRPr="00617049">
        <w:t xml:space="preserve"> PCI présent sur l</w:t>
      </w:r>
      <w:r w:rsidR="000C62E5" w:rsidRPr="00617049">
        <w:t>eur territoire, en recueillant d</w:t>
      </w:r>
      <w:r w:rsidRPr="00617049">
        <w:t xml:space="preserve">es informations sur les programmes et les réseaux, </w:t>
      </w:r>
      <w:r w:rsidR="000C62E5" w:rsidRPr="00617049">
        <w:t xml:space="preserve">les </w:t>
      </w:r>
      <w:r w:rsidRPr="00617049">
        <w:t xml:space="preserve">instituts et </w:t>
      </w:r>
      <w:r w:rsidR="000C62E5" w:rsidRPr="00617049">
        <w:t xml:space="preserve">les </w:t>
      </w:r>
      <w:r w:rsidRPr="00617049">
        <w:t>organismes pertinents, ainsi que sur les activ</w:t>
      </w:r>
      <w:r w:rsidR="000C62E5" w:rsidRPr="00617049">
        <w:t>ités préalables et en cours</w:t>
      </w:r>
      <w:r w:rsidR="00FF2E50" w:rsidRPr="00617049">
        <w:t xml:space="preserve"> liées à l’identification, la promotion et</w:t>
      </w:r>
      <w:r w:rsidRPr="00617049">
        <w:t xml:space="preserve"> </w:t>
      </w:r>
      <w:r w:rsidR="00FF2E50" w:rsidRPr="00617049">
        <w:t xml:space="preserve">la </w:t>
      </w:r>
      <w:r w:rsidRPr="00617049">
        <w:t>sauvegarde du PCI.</w:t>
      </w:r>
    </w:p>
    <w:p w:rsidR="004325DC" w:rsidRPr="00617049" w:rsidRDefault="002D41E4" w:rsidP="00E82F06">
      <w:pPr>
        <w:pStyle w:val="Titcoul"/>
      </w:pPr>
      <w:bookmarkStart w:id="36" w:name="_Toc238963269"/>
      <w:bookmarkStart w:id="37" w:name="_Toc241065155"/>
      <w:bookmarkStart w:id="38" w:name="_Toc301443379"/>
      <w:bookmarkStart w:id="39" w:name="_Toc321407022"/>
      <w:bookmarkStart w:id="40" w:name="_Toc354486646"/>
      <w:bookmarkStart w:id="41" w:name="_Toc354486952"/>
      <w:bookmarkStart w:id="42" w:name="_Toc247360239"/>
      <w:r w:rsidRPr="00617049">
        <w:t>9</w:t>
      </w:r>
      <w:r w:rsidRPr="00617049">
        <w:rPr>
          <w:b w:val="0"/>
          <w:caps w:val="0"/>
          <w:noProof/>
          <w:lang w:val="es-ES_tradnl" w:eastAsia="es-ES_tradnl"/>
        </w:rPr>
        <w:drawing>
          <wp:anchor distT="0" distB="0" distL="114300" distR="114300" simplePos="0" relativeHeight="251893248" behindDoc="0" locked="1" layoutInCell="1" allowOverlap="0">
            <wp:simplePos x="0" y="0"/>
            <wp:positionH relativeFrom="column">
              <wp:posOffset>0</wp:posOffset>
            </wp:positionH>
            <wp:positionV relativeFrom="paragraph">
              <wp:posOffset>1053465</wp:posOffset>
            </wp:positionV>
            <wp:extent cx="283210" cy="358775"/>
            <wp:effectExtent l="0" t="0" r="0" b="0"/>
            <wp:wrapThrough wrapText="bothSides">
              <wp:wrapPolygon edited="0">
                <wp:start x="0" y="0"/>
                <wp:lineTo x="0" y="19880"/>
                <wp:lineTo x="19372" y="19880"/>
                <wp:lineTo x="19372" y="0"/>
                <wp:lineTo x="0" y="0"/>
              </wp:wrapPolygon>
            </wp:wrapThrough>
            <wp:docPr id="11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0A1F" w:rsidRPr="00617049">
        <w:t>.4</w:t>
      </w:r>
      <w:bookmarkEnd w:id="36"/>
      <w:bookmarkEnd w:id="37"/>
      <w:r w:rsidR="0022235D" w:rsidRPr="00617049">
        <w:tab/>
      </w:r>
      <w:bookmarkStart w:id="43" w:name="_Toc238963270"/>
      <w:bookmarkStart w:id="44" w:name="_Toc241065156"/>
      <w:r w:rsidR="00C10A1F" w:rsidRPr="00617049">
        <w:t xml:space="preserve">Mesures </w:t>
      </w:r>
      <w:r w:rsidR="00FF2E50" w:rsidRPr="00617049">
        <w:t>de</w:t>
      </w:r>
      <w:r w:rsidR="00C10A1F" w:rsidRPr="00617049">
        <w:t xml:space="preserve"> sauvegarde d</w:t>
      </w:r>
      <w:r w:rsidR="00A61E6D" w:rsidRPr="00617049">
        <w:t>’</w:t>
      </w:r>
      <w:r w:rsidR="005D01EF" w:rsidRPr="00617049">
        <w:t>É</w:t>
      </w:r>
      <w:r w:rsidR="00C10A1F" w:rsidRPr="00617049">
        <w:t>l</w:t>
      </w:r>
      <w:r w:rsidR="005D01EF" w:rsidRPr="00617049">
        <w:t>É</w:t>
      </w:r>
      <w:r w:rsidR="00C10A1F" w:rsidRPr="00617049">
        <w:t>ments sp</w:t>
      </w:r>
      <w:r w:rsidR="005D01EF" w:rsidRPr="00617049">
        <w:t>É</w:t>
      </w:r>
      <w:r w:rsidR="00C10A1F" w:rsidRPr="00617049">
        <w:t>cifiques du PCI</w:t>
      </w:r>
      <w:bookmarkEnd w:id="38"/>
      <w:bookmarkEnd w:id="39"/>
      <w:bookmarkEnd w:id="40"/>
      <w:bookmarkEnd w:id="41"/>
      <w:bookmarkEnd w:id="42"/>
      <w:bookmarkEnd w:id="43"/>
      <w:bookmarkEnd w:id="44"/>
    </w:p>
    <w:p w:rsidR="004325DC" w:rsidRPr="00617049" w:rsidRDefault="00C10A1F" w:rsidP="00914287">
      <w:pPr>
        <w:pStyle w:val="Texte1"/>
      </w:pPr>
      <w:r w:rsidRPr="00617049">
        <w:t>Les mesures particulières de sauvegarde cherchent à assurer la viabilité permanente d</w:t>
      </w:r>
      <w:r w:rsidR="00A61E6D" w:rsidRPr="00617049">
        <w:t>’</w:t>
      </w:r>
      <w:r w:rsidRPr="00617049">
        <w:t>un élément spécifique du PCI ou d</w:t>
      </w:r>
      <w:r w:rsidR="00A61E6D" w:rsidRPr="00617049">
        <w:t>’</w:t>
      </w:r>
      <w:r w:rsidRPr="00617049">
        <w:t>un groupe spécifique d</w:t>
      </w:r>
      <w:r w:rsidR="00A61E6D" w:rsidRPr="00617049">
        <w:t>’</w:t>
      </w:r>
      <w:r w:rsidRPr="00617049">
        <w:t>éléments, lorsque leur pratique et</w:t>
      </w:r>
      <w:r w:rsidR="00540CDB" w:rsidRPr="00617049">
        <w:t>,</w:t>
      </w:r>
      <w:r w:rsidRPr="00617049">
        <w:t xml:space="preserve"> </w:t>
      </w:r>
      <w:r w:rsidR="00540CDB" w:rsidRPr="00617049">
        <w:t xml:space="preserve">par voie de conséquence, </w:t>
      </w:r>
      <w:r w:rsidRPr="00617049">
        <w:t>leur transmi</w:t>
      </w:r>
      <w:r w:rsidR="00540CDB" w:rsidRPr="00617049">
        <w:t>ssion se trouvent</w:t>
      </w:r>
      <w:r w:rsidRPr="00617049">
        <w:t xml:space="preserve"> mises en péril d</w:t>
      </w:r>
      <w:r w:rsidR="00A61E6D" w:rsidRPr="00617049">
        <w:t>’</w:t>
      </w:r>
      <w:r w:rsidRPr="00617049">
        <w:t xml:space="preserve">une manière </w:t>
      </w:r>
      <w:r w:rsidR="00540CDB" w:rsidRPr="00617049">
        <w:t>quelconque</w:t>
      </w:r>
      <w:r w:rsidRPr="00617049">
        <w:t>.</w:t>
      </w:r>
    </w:p>
    <w:p w:rsidR="004325DC" w:rsidRPr="00617049" w:rsidRDefault="00C10A1F" w:rsidP="00914287">
      <w:pPr>
        <w:pStyle w:val="Texte1"/>
      </w:pPr>
      <w:r w:rsidRPr="00617049">
        <w:t>Les mesures particulières de sauvegarde ne s</w:t>
      </w:r>
      <w:r w:rsidR="00540CDB" w:rsidRPr="00617049">
        <w:t>’imposent</w:t>
      </w:r>
      <w:r w:rsidRPr="00617049">
        <w:t xml:space="preserve"> pas quand la pratique et la transmission normales soutiennent un élément du PCI au fil du temps. Dans ces conditions, le PCI n</w:t>
      </w:r>
      <w:r w:rsidR="00A61E6D" w:rsidRPr="00617049">
        <w:t>’</w:t>
      </w:r>
      <w:r w:rsidRPr="00617049">
        <w:t>est confronté à aucun péril ou risque particulier pour sa viabilité</w:t>
      </w:r>
      <w:r w:rsidR="00EA1FE1" w:rsidRPr="00617049">
        <w:t> ;</w:t>
      </w:r>
      <w:r w:rsidRPr="00617049">
        <w:t xml:space="preserve"> aucune intervention extérieure n</w:t>
      </w:r>
      <w:r w:rsidR="00A61E6D" w:rsidRPr="00617049">
        <w:t>’</w:t>
      </w:r>
      <w:r w:rsidRPr="00617049">
        <w:t>est requise et les mesures générales de sauvegarde (comme l</w:t>
      </w:r>
      <w:r w:rsidR="00A61E6D" w:rsidRPr="00617049">
        <w:t>’</w:t>
      </w:r>
      <w:r w:rsidRPr="00617049">
        <w:t>action de sensibilisation) sont plus appropriées que les mesures particulières.</w:t>
      </w:r>
    </w:p>
    <w:p w:rsidR="00C10A1F" w:rsidRPr="00617049" w:rsidRDefault="00D762C8">
      <w:pPr>
        <w:pStyle w:val="Heading4"/>
      </w:pPr>
      <w:bookmarkStart w:id="45" w:name="_Toc247360240"/>
      <w:r w:rsidRPr="00617049">
        <w:t>Faire face aux</w:t>
      </w:r>
      <w:r w:rsidR="00C10A1F" w:rsidRPr="00617049">
        <w:t xml:space="preserve"> menaces et</w:t>
      </w:r>
      <w:r w:rsidR="00461004" w:rsidRPr="00617049">
        <w:t xml:space="preserve"> </w:t>
      </w:r>
      <w:r w:rsidRPr="00617049">
        <w:t xml:space="preserve">aux </w:t>
      </w:r>
      <w:r w:rsidR="00C10A1F" w:rsidRPr="00617049">
        <w:t>risques</w:t>
      </w:r>
      <w:bookmarkEnd w:id="45"/>
    </w:p>
    <w:p w:rsidR="004325DC" w:rsidRPr="00617049" w:rsidRDefault="00C10A1F" w:rsidP="00914287">
      <w:pPr>
        <w:pStyle w:val="Texte1"/>
      </w:pPr>
      <w:r w:rsidRPr="00617049">
        <w:t>L</w:t>
      </w:r>
      <w:r w:rsidR="00A61E6D" w:rsidRPr="00617049">
        <w:t>’</w:t>
      </w:r>
      <w:r w:rsidRPr="00617049">
        <w:t>identification et l</w:t>
      </w:r>
      <w:r w:rsidR="00A61E6D" w:rsidRPr="00617049">
        <w:t>’</w:t>
      </w:r>
      <w:r w:rsidRPr="00617049">
        <w:t>analyse des menaces et des risques s</w:t>
      </w:r>
      <w:r w:rsidR="00A61E6D" w:rsidRPr="00617049">
        <w:t>’</w:t>
      </w:r>
      <w:r w:rsidRPr="00617049">
        <w:t>imposent avant de pouvoir mettre au point des mesures de sauvegarde. Les problèmes sont parfois relativement simples, mais en général ce n</w:t>
      </w:r>
      <w:r w:rsidR="00A61E6D" w:rsidRPr="00617049">
        <w:t>’</w:t>
      </w:r>
      <w:r w:rsidRPr="00617049">
        <w:t xml:space="preserve">est pas le cas. Les mesures de sauvegarde proposent souvent des changements dans la pratique ou la transmission du PCI dans un effort visant à </w:t>
      </w:r>
      <w:r w:rsidR="00E067A0" w:rsidRPr="00617049">
        <w:t>ajuster les</w:t>
      </w:r>
      <w:r w:rsidRPr="00617049">
        <w:t xml:space="preserve"> conditions de vie en rapide mutation des communautés concernées</w:t>
      </w:r>
      <w:r w:rsidR="00EA1FE1" w:rsidRPr="00617049">
        <w:t> ;</w:t>
      </w:r>
      <w:r w:rsidRPr="00617049">
        <w:t xml:space="preserve"> des adaptations semblables se produisent couramment dans la pratique des éléments</w:t>
      </w:r>
      <w:r w:rsidR="000E0B24" w:rsidRPr="00617049">
        <w:t xml:space="preserve"> du PCI ayant gardé </w:t>
      </w:r>
      <w:r w:rsidRPr="00617049">
        <w:t>leur vitalité.</w:t>
      </w:r>
    </w:p>
    <w:p w:rsidR="004325DC" w:rsidRPr="00617049" w:rsidRDefault="000E0B24" w:rsidP="00914287">
      <w:pPr>
        <w:pStyle w:val="Texte1"/>
      </w:pPr>
      <w:r w:rsidRPr="00617049">
        <w:t>Faute d’enrayer</w:t>
      </w:r>
      <w:r w:rsidR="00C10A1F" w:rsidRPr="00617049">
        <w:t xml:space="preserve"> les menaces qui pèsent sur la viabilité du PCI, </w:t>
      </w:r>
      <w:r w:rsidRPr="00617049">
        <w:t>celui-ci</w:t>
      </w:r>
      <w:r w:rsidR="00C10A1F" w:rsidRPr="00617049">
        <w:t xml:space="preserve"> pourrait cesser d</w:t>
      </w:r>
      <w:r w:rsidR="00A61E6D" w:rsidRPr="00617049">
        <w:t>’</w:t>
      </w:r>
      <w:r w:rsidR="00C10A1F" w:rsidRPr="00617049">
        <w:t>être pratiqué comme un patrimoine vivant bien que les spectacles ou les produits continuent parfois d</w:t>
      </w:r>
      <w:r w:rsidR="00A61E6D" w:rsidRPr="00617049">
        <w:t>’</w:t>
      </w:r>
      <w:r w:rsidR="00C10A1F" w:rsidRPr="00617049">
        <w:t xml:space="preserve">être </w:t>
      </w:r>
      <w:r w:rsidRPr="00617049">
        <w:t>conçus</w:t>
      </w:r>
      <w:r w:rsidR="00C10A1F" w:rsidRPr="00617049">
        <w:t xml:space="preserve"> pour les touristes ou d</w:t>
      </w:r>
      <w:r w:rsidR="00A61E6D" w:rsidRPr="00617049">
        <w:t>’</w:t>
      </w:r>
      <w:r w:rsidR="00C10A1F" w:rsidRPr="00617049">
        <w:t xml:space="preserve">autres populations extérieures pour des raisons </w:t>
      </w:r>
      <w:r w:rsidRPr="00617049">
        <w:t xml:space="preserve">purement </w:t>
      </w:r>
      <w:r w:rsidR="00C10A1F" w:rsidRPr="00617049">
        <w:t>commerciales. Tout le PCI n</w:t>
      </w:r>
      <w:r w:rsidR="00A61E6D" w:rsidRPr="00617049">
        <w:t>’</w:t>
      </w:r>
      <w:r w:rsidR="00C10A1F" w:rsidRPr="00617049">
        <w:t xml:space="preserve">est pas à sauvegarder ou </w:t>
      </w:r>
      <w:r w:rsidR="00055F54" w:rsidRPr="00617049">
        <w:t xml:space="preserve">à </w:t>
      </w:r>
      <w:r w:rsidR="00C10A1F" w:rsidRPr="00617049">
        <w:t xml:space="preserve">revitaliser </w:t>
      </w:r>
      <w:r w:rsidR="00BB70F2" w:rsidRPr="00617049">
        <w:t>– </w:t>
      </w:r>
      <w:r w:rsidR="00C10A1F" w:rsidRPr="00617049">
        <w:t xml:space="preserve">ou ne peut </w:t>
      </w:r>
      <w:r w:rsidR="00055F54" w:rsidRPr="00617049">
        <w:t xml:space="preserve">effectivement </w:t>
      </w:r>
      <w:r w:rsidR="00C10A1F" w:rsidRPr="00617049">
        <w:t>pas l</w:t>
      </w:r>
      <w:r w:rsidR="00A61E6D" w:rsidRPr="00617049">
        <w:t>’</w:t>
      </w:r>
      <w:r w:rsidR="00C10A1F" w:rsidRPr="00617049">
        <w:t>être. Si la communauté ou le groupe concerné ne considère plus certains éléments du PCI comme étant in</w:t>
      </w:r>
      <w:r w:rsidR="00E26C13" w:rsidRPr="00617049">
        <w:t>téressants ou significatifs, leur</w:t>
      </w:r>
      <w:r w:rsidR="00C10A1F" w:rsidRPr="00617049">
        <w:t xml:space="preserve"> </w:t>
      </w:r>
      <w:r w:rsidR="00E26C13" w:rsidRPr="00617049">
        <w:lastRenderedPageBreak/>
        <w:t xml:space="preserve">sauvegarde devient d’autant plus </w:t>
      </w:r>
      <w:r w:rsidR="00C10A1F" w:rsidRPr="00617049">
        <w:t>d</w:t>
      </w:r>
      <w:r w:rsidR="00E26C13" w:rsidRPr="00617049">
        <w:t>ifficile</w:t>
      </w:r>
      <w:r w:rsidR="00C10A1F" w:rsidRPr="00617049">
        <w:t xml:space="preserve"> </w:t>
      </w:r>
      <w:r w:rsidR="007A1F97" w:rsidRPr="00617049">
        <w:t>au</w:t>
      </w:r>
      <w:r w:rsidR="00C10A1F" w:rsidRPr="00617049">
        <w:t xml:space="preserve"> sens où l</w:t>
      </w:r>
      <w:r w:rsidR="00A61E6D" w:rsidRPr="00617049">
        <w:t>’</w:t>
      </w:r>
      <w:r w:rsidR="00C10A1F" w:rsidRPr="00617049">
        <w:t xml:space="preserve">entend la Convention. Dans ces cas-là, </w:t>
      </w:r>
      <w:r w:rsidR="00E26C13" w:rsidRPr="00617049">
        <w:t>ils</w:t>
      </w:r>
      <w:r w:rsidR="00C10A1F" w:rsidRPr="00617049">
        <w:t xml:space="preserve"> peuvent simplement être </w:t>
      </w:r>
      <w:r w:rsidR="00E26C13" w:rsidRPr="00617049">
        <w:t>répertori</w:t>
      </w:r>
      <w:r w:rsidR="00C10A1F" w:rsidRPr="00617049">
        <w:t>és avant de cesser une fois pour toutes d</w:t>
      </w:r>
      <w:r w:rsidR="00A61E6D" w:rsidRPr="00617049">
        <w:t>’</w:t>
      </w:r>
      <w:r w:rsidR="00C10A1F" w:rsidRPr="00617049">
        <w:t>être représentés.</w:t>
      </w:r>
    </w:p>
    <w:p w:rsidR="00C10A1F" w:rsidRPr="00617049" w:rsidRDefault="00C10A1F">
      <w:pPr>
        <w:pStyle w:val="Heading4"/>
      </w:pPr>
      <w:bookmarkStart w:id="46" w:name="_Toc247360241"/>
      <w:r w:rsidRPr="00617049">
        <w:t>Types de mesures de sauvegarde</w:t>
      </w:r>
      <w:bookmarkEnd w:id="46"/>
    </w:p>
    <w:p w:rsidR="004325DC" w:rsidRPr="00617049" w:rsidRDefault="00C10A1F" w:rsidP="00914287">
      <w:pPr>
        <w:pStyle w:val="Texte1"/>
      </w:pPr>
      <w:r w:rsidRPr="00617049">
        <w:t>Les mesures de sauvegarde peuvent être des activités aussi simples que le renforcement d</w:t>
      </w:r>
      <w:r w:rsidR="00A61E6D" w:rsidRPr="00617049">
        <w:t>’</w:t>
      </w:r>
      <w:r w:rsidRPr="00617049">
        <w:t>un comité d</w:t>
      </w:r>
      <w:r w:rsidR="00A61E6D" w:rsidRPr="00617049">
        <w:t>’</w:t>
      </w:r>
      <w:r w:rsidRPr="00617049">
        <w:t>organisat</w:t>
      </w:r>
      <w:r w:rsidR="00ED2B25" w:rsidRPr="00617049">
        <w:t>ion ou la plantation d’</w:t>
      </w:r>
      <w:r w:rsidRPr="00617049">
        <w:t>arbres nécessaires à la fabrication d</w:t>
      </w:r>
      <w:r w:rsidR="00A61E6D" w:rsidRPr="00617049">
        <w:t>’</w:t>
      </w:r>
      <w:r w:rsidRPr="00617049">
        <w:t>instruments de musique, la collecte de fonds au sein de la communauté ou l</w:t>
      </w:r>
      <w:r w:rsidR="00A61E6D" w:rsidRPr="00617049">
        <w:t>’</w:t>
      </w:r>
      <w:r w:rsidRPr="00617049">
        <w:t>instauration d</w:t>
      </w:r>
      <w:r w:rsidR="00ED2B25" w:rsidRPr="00617049">
        <w:t>e stages de formation informels</w:t>
      </w:r>
      <w:r w:rsidRPr="00617049">
        <w:t xml:space="preserve"> pour la transmission d</w:t>
      </w:r>
      <w:r w:rsidR="00ED2B25" w:rsidRPr="00617049">
        <w:t>e</w:t>
      </w:r>
      <w:r w:rsidRPr="00617049">
        <w:t xml:space="preserve"> savoir-faire. Les mesures de sauvegarde peuvent aussi inclure des activités plus complexes, regroupées en un plan cohérent</w:t>
      </w:r>
      <w:r w:rsidR="00EA1FE1" w:rsidRPr="00617049">
        <w:t> :</w:t>
      </w:r>
      <w:r w:rsidRPr="00617049">
        <w:t xml:space="preserve"> des stratégies </w:t>
      </w:r>
      <w:r w:rsidR="00ED2B25" w:rsidRPr="00617049">
        <w:t xml:space="preserve">diversifiées </w:t>
      </w:r>
      <w:r w:rsidRPr="00617049">
        <w:t>de sauvegarde à moyen terme, par exemple, où interviennent de nombreux acteurs</w:t>
      </w:r>
      <w:r w:rsidR="00B52C3B" w:rsidRPr="00617049">
        <w:t xml:space="preserve"> et dont la coordination pourrait être assurée </w:t>
      </w:r>
      <w:r w:rsidRPr="00617049">
        <w:t xml:space="preserve">par un organisme </w:t>
      </w:r>
      <w:r w:rsidR="009867A4" w:rsidRPr="00617049">
        <w:t>communaut</w:t>
      </w:r>
      <w:r w:rsidR="00ED2B25" w:rsidRPr="00617049">
        <w:t>aire</w:t>
      </w:r>
      <w:r w:rsidRPr="00617049">
        <w:t xml:space="preserve"> avec l</w:t>
      </w:r>
      <w:r w:rsidR="00A61E6D" w:rsidRPr="00617049">
        <w:t>’</w:t>
      </w:r>
      <w:r w:rsidRPr="00617049">
        <w:t>aide d</w:t>
      </w:r>
      <w:r w:rsidR="00ED2B25" w:rsidRPr="00617049">
        <w:t xml:space="preserve">es </w:t>
      </w:r>
      <w:r w:rsidRPr="00617049">
        <w:t>ONG, d</w:t>
      </w:r>
      <w:r w:rsidR="00ED2B25" w:rsidRPr="00617049">
        <w:t>es auto</w:t>
      </w:r>
      <w:r w:rsidRPr="00617049">
        <w:t>rités locales, d</w:t>
      </w:r>
      <w:r w:rsidR="00A61E6D" w:rsidRPr="00617049">
        <w:t>’</w:t>
      </w:r>
      <w:r w:rsidRPr="00617049">
        <w:t>institutions spécialisées, etc</w:t>
      </w:r>
      <w:proofErr w:type="gramStart"/>
      <w:r w:rsidRPr="00617049">
        <w:t>.</w:t>
      </w:r>
      <w:r w:rsidR="00ED2B25" w:rsidRPr="00617049">
        <w:t>.</w:t>
      </w:r>
      <w:proofErr w:type="gramEnd"/>
    </w:p>
    <w:p w:rsidR="004325DC" w:rsidRPr="00617049" w:rsidRDefault="00C10A1F" w:rsidP="00914287">
      <w:pPr>
        <w:pStyle w:val="Texte1"/>
      </w:pPr>
      <w:r w:rsidRPr="00617049">
        <w:t xml:space="preserve">Quelques types de mesures de sauvegarde </w:t>
      </w:r>
      <w:r w:rsidR="00B52C3B" w:rsidRPr="00617049">
        <w:t>a</w:t>
      </w:r>
      <w:r w:rsidRPr="00617049">
        <w:t>ppli</w:t>
      </w:r>
      <w:r w:rsidR="00B52C3B" w:rsidRPr="00617049">
        <w:t>cables</w:t>
      </w:r>
      <w:r w:rsidRPr="00617049">
        <w:t xml:space="preserve"> à des éléments spécifiques sont mentionnés </w:t>
      </w:r>
      <w:r w:rsidR="00B52C3B" w:rsidRPr="00617049">
        <w:t>à</w:t>
      </w:r>
      <w:r w:rsidRPr="00617049">
        <w:t xml:space="preserve"> l</w:t>
      </w:r>
      <w:r w:rsidR="00A61E6D" w:rsidRPr="00617049">
        <w:t>’</w:t>
      </w:r>
      <w:r w:rsidR="00043DFF" w:rsidRPr="00617049">
        <w:t>article </w:t>
      </w:r>
      <w:r w:rsidRPr="00617049">
        <w:t>2.3 </w:t>
      </w:r>
      <w:r w:rsidR="00EA1FE1" w:rsidRPr="00617049">
        <w:t>:</w:t>
      </w:r>
      <w:r w:rsidR="00043DFF" w:rsidRPr="00617049">
        <w:t xml:space="preserve"> « </w:t>
      </w:r>
      <w:r w:rsidRPr="00617049">
        <w:t>l</w:t>
      </w:r>
      <w:r w:rsidR="00A61E6D" w:rsidRPr="00617049">
        <w:t>’</w:t>
      </w:r>
      <w:r w:rsidRPr="00617049">
        <w:t>identification, la documentation, la recherche, la préservation, la protection, la promotion, la mise en valeur, la transmission, essentiellement par l</w:t>
      </w:r>
      <w:r w:rsidR="00A61E6D" w:rsidRPr="00617049">
        <w:t>’</w:t>
      </w:r>
      <w:r w:rsidRPr="00617049">
        <w:t>éducation formelle et non formelle [et] la revitalisation</w:t>
      </w:r>
      <w:r w:rsidR="00B52C3B" w:rsidRPr="00617049">
        <w:t> ».</w:t>
      </w:r>
      <w:r w:rsidR="00461004" w:rsidRPr="00617049">
        <w:t xml:space="preserve"> </w:t>
      </w:r>
      <w:r w:rsidR="00D65E8C" w:rsidRPr="00617049">
        <w:t>L</w:t>
      </w:r>
      <w:r w:rsidR="00A61E6D" w:rsidRPr="00617049">
        <w:t>’</w:t>
      </w:r>
      <w:r w:rsidR="00D65E8C" w:rsidRPr="00617049">
        <w:t xml:space="preserve">Unité 3 </w:t>
      </w:r>
      <w:r w:rsidR="002D41E4" w:rsidRPr="00617049">
        <w:t xml:space="preserve">du </w:t>
      </w:r>
      <w:r w:rsidR="002D41E4" w:rsidRPr="00617049">
        <w:rPr>
          <w:noProof/>
          <w:lang w:val="es-ES_tradnl" w:eastAsia="es-ES_tradnl"/>
        </w:rPr>
        <w:drawing>
          <wp:anchor distT="0" distB="0" distL="114300" distR="114300" simplePos="0" relativeHeight="251895296" behindDoc="0" locked="1" layoutInCell="1" allowOverlap="0">
            <wp:simplePos x="0" y="0"/>
            <wp:positionH relativeFrom="column">
              <wp:posOffset>0</wp:posOffset>
            </wp:positionH>
            <wp:positionV relativeFrom="paragraph">
              <wp:posOffset>626110</wp:posOffset>
            </wp:positionV>
            <wp:extent cx="283210" cy="358775"/>
            <wp:effectExtent l="0" t="0" r="0" b="0"/>
            <wp:wrapThrough wrapText="bothSides">
              <wp:wrapPolygon edited="0">
                <wp:start x="0" y="0"/>
                <wp:lineTo x="0" y="19880"/>
                <wp:lineTo x="19372" y="19880"/>
                <wp:lineTo x="19372" y="0"/>
                <wp:lineTo x="0" y="0"/>
              </wp:wrapPolygon>
            </wp:wrapThrough>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646D3D" w:rsidRPr="00617049">
        <w:t>Texte du participant</w:t>
      </w:r>
      <w:r w:rsidRPr="00617049">
        <w:t xml:space="preserve"> </w:t>
      </w:r>
      <w:r w:rsidR="00B52C3B" w:rsidRPr="00617049">
        <w:t>offre aussi</w:t>
      </w:r>
      <w:r w:rsidRPr="00617049">
        <w:t xml:space="preserve"> un</w:t>
      </w:r>
      <w:r w:rsidR="00B52C3B" w:rsidRPr="00617049">
        <w:t xml:space="preserve"> examen détaillé</w:t>
      </w:r>
      <w:r w:rsidR="00C95361" w:rsidRPr="00617049">
        <w:t xml:space="preserve"> de ces termes</w:t>
      </w:r>
      <w:r w:rsidR="00B52C3B" w:rsidRPr="00617049">
        <w:t>.</w:t>
      </w:r>
      <w:r w:rsidRPr="00617049">
        <w:t xml:space="preserve"> Cette liste de mesures de sauvegarde n</w:t>
      </w:r>
      <w:r w:rsidR="00A61E6D" w:rsidRPr="00617049">
        <w:t>’</w:t>
      </w:r>
      <w:r w:rsidRPr="00617049">
        <w:t xml:space="preserve">est pas exhaustive et les activités de sauvegarde peuvent </w:t>
      </w:r>
      <w:r w:rsidR="0064397F" w:rsidRPr="00617049">
        <w:t>entrer</w:t>
      </w:r>
      <w:r w:rsidRPr="00617049">
        <w:t xml:space="preserve"> </w:t>
      </w:r>
      <w:r w:rsidR="0064397F" w:rsidRPr="00617049">
        <w:t>dans</w:t>
      </w:r>
      <w:r w:rsidRPr="00617049">
        <w:t xml:space="preserve"> plusieurs catégories de mesures </w:t>
      </w:r>
      <w:r w:rsidR="0056236A" w:rsidRPr="00617049">
        <w:t>à la fois</w:t>
      </w:r>
      <w:r w:rsidRPr="00617049">
        <w:t>. Dans le contexte de la sauvegarde au titre de la Convention, cependant, la classification des mesures particulières (</w:t>
      </w:r>
      <w:r w:rsidR="00395D21" w:rsidRPr="00617049">
        <w:t xml:space="preserve">dans la catégorie </w:t>
      </w:r>
      <w:r w:rsidR="00043DFF" w:rsidRPr="00617049">
        <w:t>« </w:t>
      </w:r>
      <w:r w:rsidRPr="00617049">
        <w:t>recherche</w:t>
      </w:r>
      <w:r w:rsidR="00461004" w:rsidRPr="00617049">
        <w:t xml:space="preserve"> », </w:t>
      </w:r>
      <w:r w:rsidR="00043DFF" w:rsidRPr="00617049">
        <w:t>« </w:t>
      </w:r>
      <w:r w:rsidRPr="00617049">
        <w:t>documentation</w:t>
      </w:r>
      <w:r w:rsidR="00461004" w:rsidRPr="00617049">
        <w:t xml:space="preserve"> », </w:t>
      </w:r>
      <w:r w:rsidR="00043DFF" w:rsidRPr="00617049">
        <w:t>« </w:t>
      </w:r>
      <w:r w:rsidRPr="00617049">
        <w:t>revitalisation</w:t>
      </w:r>
      <w:r w:rsidR="00043DFF" w:rsidRPr="00617049">
        <w:t xml:space="preserve"> » </w:t>
      </w:r>
      <w:r w:rsidRPr="00617049">
        <w:t xml:space="preserve">et autres) est moins importante que </w:t>
      </w:r>
      <w:r w:rsidR="00395D21" w:rsidRPr="00617049">
        <w:t>d</w:t>
      </w:r>
      <w:r w:rsidR="00A61E6D" w:rsidRPr="00617049">
        <w:t>’</w:t>
      </w:r>
      <w:r w:rsidRPr="00617049">
        <w:t>adapt</w:t>
      </w:r>
      <w:r w:rsidR="00395D21" w:rsidRPr="00617049">
        <w:t>er</w:t>
      </w:r>
      <w:r w:rsidRPr="00617049">
        <w:t xml:space="preserve"> ces activités pour juguler les menaces qui pèsent sur la viabilité des éléments concernés.</w:t>
      </w:r>
    </w:p>
    <w:p w:rsidR="004325DC" w:rsidRPr="00617049" w:rsidRDefault="002D41E4" w:rsidP="00E82F06">
      <w:pPr>
        <w:pStyle w:val="Titcoul"/>
      </w:pPr>
      <w:bookmarkStart w:id="47" w:name="_Toc238963271"/>
      <w:bookmarkStart w:id="48" w:name="_Toc241065157"/>
      <w:bookmarkStart w:id="49" w:name="_Toc301443380"/>
      <w:bookmarkStart w:id="50" w:name="_Toc321407023"/>
      <w:bookmarkStart w:id="51" w:name="_Toc354486647"/>
      <w:bookmarkStart w:id="52" w:name="_Toc354486953"/>
      <w:bookmarkStart w:id="53" w:name="_Toc247360242"/>
      <w:r w:rsidRPr="00617049">
        <w:t>9</w:t>
      </w:r>
      <w:r w:rsidR="00C10A1F" w:rsidRPr="00617049">
        <w:t>.5</w:t>
      </w:r>
      <w:bookmarkEnd w:id="47"/>
      <w:bookmarkEnd w:id="48"/>
      <w:r w:rsidR="0022235D" w:rsidRPr="00617049">
        <w:tab/>
      </w:r>
      <w:bookmarkStart w:id="54" w:name="_Toc238963272"/>
      <w:bookmarkStart w:id="55" w:name="_Toc241065158"/>
      <w:r w:rsidR="00C10A1F" w:rsidRPr="00617049">
        <w:t xml:space="preserve">Exemples </w:t>
      </w:r>
      <w:r w:rsidR="008A7E01" w:rsidRPr="00617049">
        <w:t>de</w:t>
      </w:r>
      <w:r w:rsidR="00C10A1F" w:rsidRPr="00617049">
        <w:t xml:space="preserve"> mesures </w:t>
      </w:r>
      <w:r w:rsidR="00395D21" w:rsidRPr="00617049">
        <w:t xml:space="preserve">particuliÈres </w:t>
      </w:r>
      <w:r w:rsidR="00C10A1F" w:rsidRPr="00617049">
        <w:t>de sauvegarde</w:t>
      </w:r>
      <w:bookmarkEnd w:id="49"/>
      <w:r w:rsidR="00C10A1F" w:rsidRPr="00617049">
        <w:t xml:space="preserve"> </w:t>
      </w:r>
      <w:bookmarkEnd w:id="50"/>
      <w:bookmarkEnd w:id="51"/>
      <w:bookmarkEnd w:id="52"/>
      <w:bookmarkEnd w:id="53"/>
      <w:bookmarkEnd w:id="54"/>
      <w:bookmarkEnd w:id="55"/>
    </w:p>
    <w:p w:rsidR="004325DC" w:rsidRPr="00617049" w:rsidRDefault="00C10A1F" w:rsidP="00914287">
      <w:pPr>
        <w:pStyle w:val="Texte1"/>
      </w:pPr>
      <w:r w:rsidRPr="00617049">
        <w:t>Des exemples de mesures qui pourraient trouver une application dans des projets de sauvegarde sont listés ci-dessous. Toute mesure de sauvegarde choisie pour juguler des menaces spécifiques pesant sur un élément du PCI né</w:t>
      </w:r>
      <w:r w:rsidR="00F3796C" w:rsidRPr="00617049">
        <w:t>cessite</w:t>
      </w:r>
      <w:r w:rsidRPr="00617049">
        <w:t xml:space="preserve"> d</w:t>
      </w:r>
      <w:r w:rsidR="00A61E6D" w:rsidRPr="00617049">
        <w:t>’</w:t>
      </w:r>
      <w:r w:rsidRPr="00617049">
        <w:t>être adaptée aux c</w:t>
      </w:r>
      <w:r w:rsidR="00F3796C" w:rsidRPr="00617049">
        <w:t>onditions</w:t>
      </w:r>
      <w:r w:rsidRPr="00617049">
        <w:t xml:space="preserve"> propres à cette situation.</w:t>
      </w:r>
    </w:p>
    <w:p w:rsidR="004325DC" w:rsidRPr="00617049" w:rsidRDefault="00C10A1F" w:rsidP="00914287">
      <w:pPr>
        <w:pStyle w:val="Texte1"/>
      </w:pPr>
      <w:r w:rsidRPr="00617049">
        <w:t>En établissant les mesures de sauvegarde, l</w:t>
      </w:r>
      <w:r w:rsidR="00A61E6D" w:rsidRPr="00617049">
        <w:t>’</w:t>
      </w:r>
      <w:r w:rsidRPr="00617049">
        <w:t>inspiration peut être puisée dans les expériences d</w:t>
      </w:r>
      <w:r w:rsidR="00A61E6D" w:rsidRPr="00617049">
        <w:t>’</w:t>
      </w:r>
      <w:r w:rsidRPr="00617049">
        <w:t>autres États parties. On trouve des exemples d</w:t>
      </w:r>
      <w:r w:rsidR="00A61E6D" w:rsidRPr="00617049">
        <w:t>’</w:t>
      </w:r>
      <w:r w:rsidRPr="00617049">
        <w:t>activités de sauvegarde dans le Registre de</w:t>
      </w:r>
      <w:r w:rsidR="007A3E8F" w:rsidRPr="00617049">
        <w:t>s</w:t>
      </w:r>
      <w:r w:rsidRPr="00617049">
        <w:t xml:space="preserve"> </w:t>
      </w:r>
      <w:r w:rsidR="00461004" w:rsidRPr="00617049">
        <w:t>meilleures pratiques de sauvegarde</w:t>
      </w:r>
      <w:r w:rsidRPr="00617049">
        <w:t xml:space="preserve"> et des mesures de sauvegarde </w:t>
      </w:r>
      <w:r w:rsidR="007A3E8F" w:rsidRPr="00617049">
        <w:t xml:space="preserve">figurent </w:t>
      </w:r>
      <w:r w:rsidRPr="00617049">
        <w:t>dans tous les dossiers de candidature présentés pour inscription sur la Liste de sauvegarde urgente (LSU). Tous les dossiers de candidature sont consultables sur le site Web d</w:t>
      </w:r>
      <w:r w:rsidR="007A3E8F" w:rsidRPr="00617049">
        <w:t>u PCI</w:t>
      </w:r>
      <w:r w:rsidRPr="00617049">
        <w:t>.</w:t>
      </w:r>
    </w:p>
    <w:p w:rsidR="00C10A1F" w:rsidRPr="00617049" w:rsidRDefault="00C10A1F">
      <w:pPr>
        <w:pStyle w:val="Heading4"/>
      </w:pPr>
      <w:bookmarkStart w:id="56" w:name="_Toc247360243"/>
      <w:r w:rsidRPr="00617049">
        <w:t>Recherche et documentation</w:t>
      </w:r>
      <w:bookmarkEnd w:id="56"/>
    </w:p>
    <w:p w:rsidR="004325DC" w:rsidRPr="00617049" w:rsidRDefault="00C10A1F" w:rsidP="00914287">
      <w:pPr>
        <w:pStyle w:val="Texte1"/>
      </w:pPr>
      <w:r w:rsidRPr="00617049">
        <w:t xml:space="preserve">La recherche et la documentation du PCI </w:t>
      </w:r>
      <w:r w:rsidR="00467877" w:rsidRPr="00617049">
        <w:t>étaie</w:t>
      </w:r>
      <w:r w:rsidRPr="00617049">
        <w:t xml:space="preserve">nt </w:t>
      </w:r>
      <w:r w:rsidR="00467877" w:rsidRPr="00617049">
        <w:t xml:space="preserve">le plus souvent </w:t>
      </w:r>
      <w:r w:rsidRPr="00617049">
        <w:t>effectuées par des experts, des centres d</w:t>
      </w:r>
      <w:r w:rsidR="00A61E6D" w:rsidRPr="00617049">
        <w:t>’</w:t>
      </w:r>
      <w:r w:rsidRPr="00617049">
        <w:t xml:space="preserve">expertise, des instituts de recherche et des agences </w:t>
      </w:r>
      <w:r w:rsidRPr="00617049">
        <w:lastRenderedPageBreak/>
        <w:t>g</w:t>
      </w:r>
      <w:r w:rsidR="00CC7E16" w:rsidRPr="00617049">
        <w:t xml:space="preserve">ouvernementales ou des ONG qui engageaient seulement </w:t>
      </w:r>
      <w:r w:rsidRPr="00617049">
        <w:t xml:space="preserve">les communautés concernées en </w:t>
      </w:r>
      <w:r w:rsidR="00CC7E16" w:rsidRPr="00617049">
        <w:t>qualité</w:t>
      </w:r>
      <w:r w:rsidRPr="00617049">
        <w:t xml:space="preserve"> </w:t>
      </w:r>
      <w:r w:rsidR="00CC7E16" w:rsidRPr="00617049">
        <w:t>d</w:t>
      </w:r>
      <w:r w:rsidR="00A61E6D" w:rsidRPr="00617049">
        <w:t>’</w:t>
      </w:r>
      <w:r w:rsidRPr="00617049">
        <w:t xml:space="preserve">informateurs. </w:t>
      </w:r>
      <w:r w:rsidR="005C6882" w:rsidRPr="00617049">
        <w:t>Cependant, en vertu de la Convention,</w:t>
      </w:r>
      <w:r w:rsidRPr="00617049">
        <w:t xml:space="preserve"> </w:t>
      </w:r>
      <w:r w:rsidR="005C6882" w:rsidRPr="00617049">
        <w:t xml:space="preserve">il convient de mener </w:t>
      </w:r>
      <w:r w:rsidRPr="00617049">
        <w:t>ces activités avec l</w:t>
      </w:r>
      <w:r w:rsidR="005C6882" w:rsidRPr="00617049">
        <w:t>a</w:t>
      </w:r>
      <w:r w:rsidRPr="00617049">
        <w:t xml:space="preserve"> participation et le consentement de </w:t>
      </w:r>
      <w:r w:rsidR="005C6882" w:rsidRPr="00617049">
        <w:t>l’ensemble d</w:t>
      </w:r>
      <w:r w:rsidRPr="00617049">
        <w:t>e la communauté. La documentation d</w:t>
      </w:r>
      <w:r w:rsidR="00A61E6D" w:rsidRPr="00617049">
        <w:t>’</w:t>
      </w:r>
      <w:r w:rsidRPr="00617049">
        <w:t xml:space="preserve">un élément dans le cadre de la mise en œuvre de la Convention doit tenir compte des variations de ses formes et </w:t>
      </w:r>
      <w:r w:rsidR="004328F9" w:rsidRPr="00617049">
        <w:t xml:space="preserve">de </w:t>
      </w:r>
      <w:r w:rsidRPr="00617049">
        <w:t>ses fonctions. Les activités possibles consistent à </w:t>
      </w:r>
      <w:r w:rsidR="00EA1FE1" w:rsidRPr="00617049">
        <w:t>:</w:t>
      </w:r>
    </w:p>
    <w:p w:rsidR="004325DC" w:rsidRPr="00617049" w:rsidRDefault="00E82F06" w:rsidP="00ED75D0">
      <w:pPr>
        <w:pStyle w:val="Txtpucegras"/>
        <w:ind w:left="1134"/>
      </w:pPr>
      <w:r w:rsidRPr="00617049">
        <w:t xml:space="preserve">Rassembler </w:t>
      </w:r>
      <w:r w:rsidR="00C10A1F" w:rsidRPr="00617049">
        <w:t>des données sur les éléments du PCI (avec la participation de</w:t>
      </w:r>
      <w:r w:rsidR="00A454AE" w:rsidRPr="00617049">
        <w:t xml:space="preserve"> la communauté</w:t>
      </w:r>
      <w:r w:rsidR="00C10A1F" w:rsidRPr="00617049">
        <w:t>) en vue de sauvegarder, sensibiliser et renforcer les capacités au sein de la communauté</w:t>
      </w:r>
      <w:r w:rsidRPr="00617049">
        <w:t>.</w:t>
      </w:r>
    </w:p>
    <w:p w:rsidR="004325DC" w:rsidRPr="00617049" w:rsidRDefault="00E82F06" w:rsidP="00ED75D0">
      <w:pPr>
        <w:pStyle w:val="Txtpucegras"/>
        <w:ind w:left="1134"/>
      </w:pPr>
      <w:r w:rsidRPr="00617049">
        <w:t xml:space="preserve">Aider </w:t>
      </w:r>
      <w:r w:rsidR="00C10A1F" w:rsidRPr="00617049">
        <w:t>les communautés concernées à gérer l</w:t>
      </w:r>
      <w:r w:rsidR="00A61E6D" w:rsidRPr="00617049">
        <w:t>’</w:t>
      </w:r>
      <w:r w:rsidR="00C10A1F" w:rsidRPr="00617049">
        <w:t>archivage d</w:t>
      </w:r>
      <w:r w:rsidR="00A61E6D" w:rsidRPr="00617049">
        <w:t>’</w:t>
      </w:r>
      <w:r w:rsidR="00C10A1F" w:rsidRPr="00617049">
        <w:t>informations sur leur PCI</w:t>
      </w:r>
      <w:r w:rsidRPr="00617049">
        <w:t>.</w:t>
      </w:r>
    </w:p>
    <w:p w:rsidR="004325DC" w:rsidRPr="00617049" w:rsidRDefault="00E82F06" w:rsidP="00ED75D0">
      <w:pPr>
        <w:pStyle w:val="Txtpucegras"/>
        <w:ind w:left="1134"/>
      </w:pPr>
      <w:r w:rsidRPr="00617049">
        <w:t xml:space="preserve">Encourager </w:t>
      </w:r>
      <w:r w:rsidR="00C10A1F" w:rsidRPr="00617049">
        <w:t xml:space="preserve">les gens à rassembler des données sur les </w:t>
      </w:r>
      <w:r w:rsidR="00A454AE" w:rsidRPr="00617049">
        <w:t>éléments du PCI associés à leur communauté</w:t>
      </w:r>
      <w:r w:rsidR="00C10A1F" w:rsidRPr="00617049">
        <w:t>, par exemple en inter</w:t>
      </w:r>
      <w:r w:rsidR="00A454AE" w:rsidRPr="00617049">
        <w:t>roge</w:t>
      </w:r>
      <w:r w:rsidR="00C10A1F" w:rsidRPr="00617049">
        <w:t>ant des praticiens et des détenteurs de traditions</w:t>
      </w:r>
      <w:r w:rsidR="00A454AE" w:rsidRPr="00617049">
        <w:t>,</w:t>
      </w:r>
      <w:r w:rsidR="00C10A1F" w:rsidRPr="00617049">
        <w:t xml:space="preserve"> et </w:t>
      </w:r>
      <w:r w:rsidR="00A454AE" w:rsidRPr="00617049">
        <w:t xml:space="preserve">à </w:t>
      </w:r>
      <w:r w:rsidR="00C10A1F" w:rsidRPr="00617049">
        <w:t xml:space="preserve">diffuser les informations </w:t>
      </w:r>
      <w:r w:rsidR="00450C13" w:rsidRPr="00617049">
        <w:t>recueillies</w:t>
      </w:r>
      <w:r w:rsidRPr="00617049">
        <w:t>.</w:t>
      </w:r>
    </w:p>
    <w:p w:rsidR="004325DC" w:rsidRPr="00617049" w:rsidRDefault="00E82F06" w:rsidP="00ED75D0">
      <w:pPr>
        <w:pStyle w:val="Txtpucegras"/>
        <w:ind w:left="1134"/>
      </w:pPr>
      <w:r w:rsidRPr="00617049">
        <w:t xml:space="preserve">Renforcer </w:t>
      </w:r>
      <w:r w:rsidR="00C10A1F" w:rsidRPr="00617049">
        <w:t>les capacités des membres de la communauté à soutenir le processus de documentation</w:t>
      </w:r>
      <w:r w:rsidRPr="00617049">
        <w:t>.</w:t>
      </w:r>
    </w:p>
    <w:p w:rsidR="004325DC" w:rsidRPr="00617049" w:rsidRDefault="00E82F06" w:rsidP="00ED75D0">
      <w:pPr>
        <w:pStyle w:val="Txtpucegras"/>
        <w:ind w:left="1134"/>
      </w:pPr>
      <w:r w:rsidRPr="00617049">
        <w:t xml:space="preserve">Mobiliser </w:t>
      </w:r>
      <w:r w:rsidR="00C10A1F" w:rsidRPr="00617049">
        <w:t>la documentation existante et les enregistrements audiovisuels pour des projets de revitalisation</w:t>
      </w:r>
      <w:r w:rsidRPr="00617049">
        <w:t>.</w:t>
      </w:r>
    </w:p>
    <w:p w:rsidR="004325DC" w:rsidRPr="00617049" w:rsidRDefault="00E82F06" w:rsidP="00ED75D0">
      <w:pPr>
        <w:pStyle w:val="Txtpucegras"/>
        <w:ind w:left="1134"/>
      </w:pPr>
      <w:r w:rsidRPr="00617049">
        <w:t xml:space="preserve">Aider </w:t>
      </w:r>
      <w:r w:rsidR="00C10A1F" w:rsidRPr="00617049">
        <w:t xml:space="preserve">les communautés concernées à avoir accès </w:t>
      </w:r>
      <w:r w:rsidR="00450C13" w:rsidRPr="00617049">
        <w:t>à l’information archivée</w:t>
      </w:r>
      <w:r w:rsidR="00C10A1F" w:rsidRPr="00617049">
        <w:t xml:space="preserve"> sur leur PCI, qui </w:t>
      </w:r>
      <w:r w:rsidR="00450C13" w:rsidRPr="00617049">
        <w:t>a été compilée</w:t>
      </w:r>
      <w:r w:rsidR="00C10A1F" w:rsidRPr="00617049">
        <w:t xml:space="preserve"> par d</w:t>
      </w:r>
      <w:r w:rsidR="00A61E6D" w:rsidRPr="00617049">
        <w:t>’</w:t>
      </w:r>
      <w:r w:rsidR="00C10A1F" w:rsidRPr="00617049">
        <w:t>autres.</w:t>
      </w:r>
    </w:p>
    <w:p w:rsidR="000E6D5B" w:rsidRPr="00617049" w:rsidRDefault="000E6D5B" w:rsidP="0077457D">
      <w:pPr>
        <w:keepNext w:val="0"/>
        <w:tabs>
          <w:tab w:val="clear" w:pos="567"/>
        </w:tabs>
        <w:snapToGrid/>
        <w:spacing w:after="60"/>
        <w:jc w:val="left"/>
        <w:rPr>
          <w:b/>
        </w:rPr>
      </w:pPr>
      <w:r w:rsidRPr="00617049">
        <w:rPr>
          <w:b/>
        </w:rPr>
        <w:t>Exemple : Enregistrement de musique, de contes et de matériel linguistique en Papouasie-Nouvelle-Guinée</w:t>
      </w:r>
    </w:p>
    <w:p w:rsidR="004325DC" w:rsidRPr="00617049" w:rsidRDefault="00C10A1F" w:rsidP="0077457D">
      <w:pPr>
        <w:pStyle w:val="Texte1"/>
      </w:pPr>
      <w:r w:rsidRPr="00617049">
        <w:t>À la fin des années 1990, l</w:t>
      </w:r>
      <w:r w:rsidR="00A61E6D" w:rsidRPr="00617049">
        <w:t>’</w:t>
      </w:r>
      <w:r w:rsidRPr="00617049">
        <w:t>Académie autrichienne des Sciences, à Vienne, a collaboré avec l</w:t>
      </w:r>
      <w:r w:rsidR="00A61E6D" w:rsidRPr="00617049">
        <w:t>’</w:t>
      </w:r>
      <w:r w:rsidRPr="00617049">
        <w:t>Institut d</w:t>
      </w:r>
      <w:r w:rsidR="00A61E6D" w:rsidRPr="00617049">
        <w:t>’</w:t>
      </w:r>
      <w:r w:rsidRPr="00617049">
        <w:t>Études de Papouasie-Nouvelle-Guinée en vue de mettre</w:t>
      </w:r>
      <w:r w:rsidR="00461004" w:rsidRPr="00617049">
        <w:t xml:space="preserve"> </w:t>
      </w:r>
      <w:r w:rsidR="00F05DCE" w:rsidRPr="00617049">
        <w:t xml:space="preserve">à la disposition des instituts et des centres culturels contemporains de Papouasie-Nouvelle-Guinée </w:t>
      </w:r>
      <w:r w:rsidRPr="00617049">
        <w:t>la musique, les contes et autres matériels linguistiques enregistrés en Papouasie-Nouvelle-Guinée au début des années 1900. L</w:t>
      </w:r>
      <w:r w:rsidR="00A61E6D" w:rsidRPr="00617049">
        <w:t>’</w:t>
      </w:r>
      <w:r w:rsidRPr="00617049">
        <w:t xml:space="preserve">information du public </w:t>
      </w:r>
      <w:r w:rsidR="00F05DCE" w:rsidRPr="00617049">
        <w:t>relative</w:t>
      </w:r>
      <w:r w:rsidRPr="00617049">
        <w:t xml:space="preserve"> à la mise à disposition du matériel a été promue par l</w:t>
      </w:r>
      <w:r w:rsidR="00A61E6D" w:rsidRPr="00617049">
        <w:t>’</w:t>
      </w:r>
      <w:r w:rsidRPr="00617049">
        <w:t>intermédiaire des stations de radio et de la presse locale. Certa</w:t>
      </w:r>
      <w:r w:rsidR="00F05DCE" w:rsidRPr="00617049">
        <w:t>ins des enregistrements reprennent l</w:t>
      </w:r>
      <w:r w:rsidRPr="00617049">
        <w:t xml:space="preserve">es chants de cérémonies qui ont disparu </w:t>
      </w:r>
      <w:r w:rsidR="00BB70F2" w:rsidRPr="00617049">
        <w:t>– </w:t>
      </w:r>
      <w:r w:rsidRPr="00617049">
        <w:t>soit qu</w:t>
      </w:r>
      <w:r w:rsidR="00A61E6D" w:rsidRPr="00617049">
        <w:t>’</w:t>
      </w:r>
      <w:r w:rsidRPr="00617049">
        <w:t xml:space="preserve">ils </w:t>
      </w:r>
      <w:r w:rsidR="00F27E3A" w:rsidRPr="00617049">
        <w:t>aient</w:t>
      </w:r>
      <w:r w:rsidRPr="00617049">
        <w:t xml:space="preserve"> été interdits par les missionnaires, soit remplacés par </w:t>
      </w:r>
      <w:r w:rsidR="00F05DCE" w:rsidRPr="00617049">
        <w:t>les cérémonies</w:t>
      </w:r>
      <w:r w:rsidRPr="00617049">
        <w:t xml:space="preserve"> de groupes voisins. Ces traditions ne rest</w:t>
      </w:r>
      <w:r w:rsidR="00962F28" w:rsidRPr="00617049">
        <w:t>ent aujourd’hui</w:t>
      </w:r>
      <w:r w:rsidRPr="00617049">
        <w:t xml:space="preserve"> dans la mémoire collective que sous une forme très fragmentaire. Les groupes d</w:t>
      </w:r>
      <w:r w:rsidR="00A61E6D" w:rsidRPr="00617049">
        <w:t>’</w:t>
      </w:r>
      <w:r w:rsidRPr="00617049">
        <w:t xml:space="preserve">interprètes locaux utilisent </w:t>
      </w:r>
      <w:r w:rsidR="00962F28" w:rsidRPr="00617049">
        <w:t>ainsi</w:t>
      </w:r>
      <w:r w:rsidRPr="00617049">
        <w:t xml:space="preserve"> les enregistrements pour inciter les anciens du village à se remémorer les pratiques d</w:t>
      </w:r>
      <w:r w:rsidR="00A61E6D" w:rsidRPr="00617049">
        <w:t>’</w:t>
      </w:r>
      <w:r w:rsidRPr="00617049">
        <w:t>interprétation de leur jeunesse qui peuvent ensuite être transmises aux jeunes générations. S</w:t>
      </w:r>
      <w:r w:rsidR="00A61E6D" w:rsidRPr="00617049">
        <w:t>’</w:t>
      </w:r>
      <w:r w:rsidRPr="00617049">
        <w:t>il n</w:t>
      </w:r>
      <w:r w:rsidR="00A61E6D" w:rsidRPr="00617049">
        <w:t>’</w:t>
      </w:r>
      <w:r w:rsidRPr="00617049">
        <w:t>y avait pas eu ces exemples enregistrés comme point de départ, de tels efforts de revitalisation n</w:t>
      </w:r>
      <w:r w:rsidR="00A61E6D" w:rsidRPr="00617049">
        <w:t>’</w:t>
      </w:r>
      <w:r w:rsidRPr="00617049">
        <w:t>auraient pas été possibles</w:t>
      </w:r>
      <w:r w:rsidR="00F0629B" w:rsidRPr="00617049">
        <w:rPr>
          <w:rStyle w:val="FootnoteReference"/>
          <w:sz w:val="20"/>
        </w:rPr>
        <w:footnoteReference w:id="2"/>
      </w:r>
      <w:r w:rsidRPr="00617049">
        <w:t>.</w:t>
      </w:r>
    </w:p>
    <w:p w:rsidR="00C10A1F" w:rsidRPr="00617049" w:rsidRDefault="00C10A1F" w:rsidP="000542FD">
      <w:pPr>
        <w:pStyle w:val="Heading4"/>
      </w:pPr>
      <w:bookmarkStart w:id="57" w:name="_Toc247360244"/>
      <w:r w:rsidRPr="00617049">
        <w:t>Revitaliser la pratique et la transmission du PCI</w:t>
      </w:r>
      <w:bookmarkEnd w:id="57"/>
    </w:p>
    <w:p w:rsidR="004325DC" w:rsidRPr="00617049" w:rsidRDefault="00C10A1F" w:rsidP="00914287">
      <w:pPr>
        <w:pStyle w:val="Texte1"/>
      </w:pPr>
      <w:r w:rsidRPr="00617049">
        <w:t>Les communautés concernées peuvent être assistées dans cette tâche par les agences gouvernementales, les ONG, les experts, les centres d</w:t>
      </w:r>
      <w:r w:rsidR="00A61E6D" w:rsidRPr="00617049">
        <w:t>’</w:t>
      </w:r>
      <w:r w:rsidRPr="00617049">
        <w:t>expertise et les instituts de recherche. Les activités possibles consistent à</w:t>
      </w:r>
      <w:r w:rsidR="00EA1FE1" w:rsidRPr="00617049">
        <w:t> :</w:t>
      </w:r>
    </w:p>
    <w:p w:rsidR="004325DC" w:rsidRPr="00617049" w:rsidRDefault="00E82F06" w:rsidP="00ED75D0">
      <w:pPr>
        <w:pStyle w:val="Txtpucegras"/>
        <w:ind w:left="1134"/>
      </w:pPr>
      <w:r w:rsidRPr="00617049">
        <w:t xml:space="preserve">Sensibiliser </w:t>
      </w:r>
      <w:r w:rsidR="00C10A1F" w:rsidRPr="00617049">
        <w:t>la communauté concernée à la valeur des éléments spécifiques du PCI</w:t>
      </w:r>
      <w:r w:rsidRPr="00617049">
        <w:t>.</w:t>
      </w:r>
    </w:p>
    <w:p w:rsidR="004325DC" w:rsidRPr="00617049" w:rsidRDefault="00E82F06" w:rsidP="00ED75D0">
      <w:pPr>
        <w:pStyle w:val="Txtpucegras"/>
        <w:ind w:left="1134"/>
      </w:pPr>
      <w:r w:rsidRPr="00617049">
        <w:lastRenderedPageBreak/>
        <w:t xml:space="preserve">Encourager </w:t>
      </w:r>
      <w:r w:rsidR="00C10A1F" w:rsidRPr="00617049">
        <w:t>la création d</w:t>
      </w:r>
      <w:r w:rsidR="00A61E6D" w:rsidRPr="00617049">
        <w:t>’</w:t>
      </w:r>
      <w:r w:rsidR="00C10A1F" w:rsidRPr="00617049">
        <w:t xml:space="preserve">associations </w:t>
      </w:r>
      <w:r w:rsidR="007D3B57" w:rsidRPr="00617049">
        <w:t>communautaire</w:t>
      </w:r>
      <w:r w:rsidR="00D762C8" w:rsidRPr="00617049">
        <w:t>s</w:t>
      </w:r>
      <w:r w:rsidR="00C10A1F" w:rsidRPr="00617049">
        <w:t xml:space="preserve"> qui sauront promouvoir la sauvegarde de leur PCI et prendre des mesures pour le sauvegarder</w:t>
      </w:r>
      <w:r w:rsidRPr="00617049">
        <w:t>.</w:t>
      </w:r>
    </w:p>
    <w:p w:rsidR="004325DC" w:rsidRPr="00617049" w:rsidRDefault="00E82F06" w:rsidP="00ED75D0">
      <w:pPr>
        <w:pStyle w:val="Txtpucegras"/>
        <w:ind w:left="1134"/>
      </w:pPr>
      <w:r w:rsidRPr="00617049">
        <w:t xml:space="preserve">Analyser </w:t>
      </w:r>
      <w:r w:rsidR="00C10A1F" w:rsidRPr="00617049">
        <w:t>(par ou avec les communautés concernées) les menaces pour la viabilité de leurs éléments du PCI, si besoin est</w:t>
      </w:r>
      <w:r w:rsidRPr="00617049">
        <w:t>.</w:t>
      </w:r>
    </w:p>
    <w:p w:rsidR="004325DC" w:rsidRPr="00617049" w:rsidRDefault="00E82F06" w:rsidP="00ED75D0">
      <w:pPr>
        <w:pStyle w:val="Txtpucegras"/>
        <w:ind w:left="1134"/>
      </w:pPr>
      <w:r w:rsidRPr="00617049">
        <w:t xml:space="preserve">Apporter </w:t>
      </w:r>
      <w:r w:rsidR="00C10A1F" w:rsidRPr="00617049">
        <w:t>un soutien aux praticiens expérimentés afin de transmettre les connaissances, les savoir-faire et les valeurs nécessaires à la pratique et l</w:t>
      </w:r>
      <w:r w:rsidR="00A61E6D" w:rsidRPr="00617049">
        <w:t>’</w:t>
      </w:r>
      <w:r w:rsidR="00C10A1F" w:rsidRPr="00617049">
        <w:t>appréciation des éléments du PCI par autrui dans la communauté concernée</w:t>
      </w:r>
      <w:r w:rsidRPr="00617049">
        <w:t>.</w:t>
      </w:r>
    </w:p>
    <w:p w:rsidR="004325DC" w:rsidRPr="00617049" w:rsidRDefault="00E82F06" w:rsidP="00ED75D0">
      <w:pPr>
        <w:pStyle w:val="Txtpucegras"/>
        <w:ind w:left="1134"/>
      </w:pPr>
      <w:r w:rsidRPr="00617049">
        <w:t xml:space="preserve">Dispenser </w:t>
      </w:r>
      <w:r w:rsidR="00C10A1F" w:rsidRPr="00617049">
        <w:t>un enseignement et une formation aux jeunes</w:t>
      </w:r>
      <w:r w:rsidR="0020087D" w:rsidRPr="00617049">
        <w:t xml:space="preserve"> membres de la communauté pour </w:t>
      </w:r>
      <w:r w:rsidR="00C10A1F" w:rsidRPr="00617049">
        <w:t xml:space="preserve">assurer </w:t>
      </w:r>
      <w:r w:rsidR="0020087D" w:rsidRPr="00617049">
        <w:t xml:space="preserve">la mise en place des savoir-faire </w:t>
      </w:r>
      <w:r w:rsidR="00C10A1F" w:rsidRPr="00617049">
        <w:t xml:space="preserve">afin de poursuivre la pratique des éléments du PCI </w:t>
      </w:r>
      <w:r w:rsidR="0020087D" w:rsidRPr="00617049">
        <w:t>là</w:t>
      </w:r>
      <w:r w:rsidR="00C10A1F" w:rsidRPr="00617049">
        <w:t xml:space="preserve"> où les méthodes de transmission traditionnelles ne sont plus viables</w:t>
      </w:r>
      <w:r w:rsidRPr="00617049">
        <w:t>.</w:t>
      </w:r>
    </w:p>
    <w:p w:rsidR="004325DC" w:rsidRPr="00617049" w:rsidRDefault="00E82F06" w:rsidP="00ED75D0">
      <w:pPr>
        <w:pStyle w:val="Txtpucegras"/>
        <w:ind w:left="1134"/>
      </w:pPr>
      <w:r w:rsidRPr="00617049">
        <w:t xml:space="preserve">Encourager </w:t>
      </w:r>
      <w:r w:rsidR="00C10A1F" w:rsidRPr="00617049">
        <w:t>les joutes et les concours traditionnels, en particulier là où ils servaient jadis de vecteurs à la représentation et à la transmission de l</w:t>
      </w:r>
      <w:r w:rsidR="00A61E6D" w:rsidRPr="00617049">
        <w:t>’</w:t>
      </w:r>
      <w:r w:rsidR="00C10A1F" w:rsidRPr="00617049">
        <w:t>élément</w:t>
      </w:r>
      <w:r w:rsidRPr="00617049">
        <w:t>.</w:t>
      </w:r>
    </w:p>
    <w:p w:rsidR="004325DC" w:rsidRPr="00617049" w:rsidRDefault="00E82F06" w:rsidP="00ED75D0">
      <w:pPr>
        <w:pStyle w:val="Txtpucegras"/>
        <w:ind w:left="1134"/>
      </w:pPr>
      <w:r w:rsidRPr="00617049">
        <w:t xml:space="preserve">Veiller </w:t>
      </w:r>
      <w:r w:rsidR="00C10A1F" w:rsidRPr="00617049">
        <w:t xml:space="preserve">à ce que les conditions matérielles soient réunies </w:t>
      </w:r>
      <w:r w:rsidR="003644C6" w:rsidRPr="00617049">
        <w:t>pour maintenir</w:t>
      </w:r>
      <w:r w:rsidR="00C10A1F" w:rsidRPr="00617049">
        <w:t xml:space="preserve"> la pratique et la transmission de l</w:t>
      </w:r>
      <w:r w:rsidR="00A61E6D" w:rsidRPr="00617049">
        <w:t>’</w:t>
      </w:r>
      <w:r w:rsidR="00C10A1F" w:rsidRPr="00617049">
        <w:t xml:space="preserve">élément, grâce à la disponibilité </w:t>
      </w:r>
      <w:r w:rsidR="003644C6" w:rsidRPr="00617049">
        <w:t>permanent</w:t>
      </w:r>
      <w:r w:rsidR="00C10A1F" w:rsidRPr="00617049">
        <w:t>e de matières premières en quantité suffisante, de lieux de représentation ou d</w:t>
      </w:r>
      <w:r w:rsidR="00A61E6D" w:rsidRPr="00617049">
        <w:t>’</w:t>
      </w:r>
      <w:r w:rsidR="00C10A1F" w:rsidRPr="00617049">
        <w:t>outils</w:t>
      </w:r>
      <w:r w:rsidRPr="00617049">
        <w:t>.</w:t>
      </w:r>
    </w:p>
    <w:p w:rsidR="004325DC" w:rsidRPr="00617049" w:rsidRDefault="00E82F06" w:rsidP="00ED75D0">
      <w:pPr>
        <w:pStyle w:val="Txtpucegras"/>
        <w:ind w:left="1134"/>
      </w:pPr>
      <w:r w:rsidRPr="00617049">
        <w:t xml:space="preserve">Assurer </w:t>
      </w:r>
      <w:r w:rsidR="00C10A1F" w:rsidRPr="00617049">
        <w:t>le financement des projets de sauvegarde</w:t>
      </w:r>
      <w:r w:rsidRPr="00617049">
        <w:t>.</w:t>
      </w:r>
    </w:p>
    <w:p w:rsidR="004325DC" w:rsidRPr="00617049" w:rsidRDefault="007937CE" w:rsidP="00ED75D0">
      <w:pPr>
        <w:pStyle w:val="Txtpucegras"/>
        <w:ind w:left="1134"/>
      </w:pPr>
      <w:r w:rsidRPr="00617049">
        <w:t>Suivre</w:t>
      </w:r>
      <w:r w:rsidR="00E82F06" w:rsidRPr="00617049">
        <w:t xml:space="preserve"> </w:t>
      </w:r>
      <w:r w:rsidR="00C10A1F" w:rsidRPr="00617049">
        <w:t>les effets des mesures de sauvegarde et des activités de développement sur la viabilité des éléments et prendre des mesures correctives si de nouvelles menaces pèsent sur la viabilité de l</w:t>
      </w:r>
      <w:r w:rsidR="00A61E6D" w:rsidRPr="00617049">
        <w:t>’</w:t>
      </w:r>
      <w:r w:rsidR="00C10A1F" w:rsidRPr="00617049">
        <w:t>élément.</w:t>
      </w:r>
    </w:p>
    <w:p w:rsidR="00541585" w:rsidRPr="00617049" w:rsidRDefault="00541585" w:rsidP="00914287">
      <w:pPr>
        <w:pStyle w:val="Texte1"/>
        <w:rPr>
          <w:b/>
        </w:rPr>
      </w:pPr>
      <w:r w:rsidRPr="00617049">
        <w:rPr>
          <w:b/>
        </w:rPr>
        <w:t xml:space="preserve">Exemple : </w:t>
      </w:r>
      <w:r w:rsidR="001142E7" w:rsidRPr="00617049">
        <w:rPr>
          <w:b/>
        </w:rPr>
        <w:t>L</w:t>
      </w:r>
      <w:r w:rsidRPr="00617049">
        <w:rPr>
          <w:b/>
        </w:rPr>
        <w:t xml:space="preserve">a </w:t>
      </w:r>
      <w:r w:rsidR="007E3A4F" w:rsidRPr="00617049">
        <w:rPr>
          <w:b/>
        </w:rPr>
        <w:t>teinture du batik en Indonésie</w:t>
      </w:r>
    </w:p>
    <w:p w:rsidR="004325DC" w:rsidRPr="00617049" w:rsidRDefault="00C10A1F" w:rsidP="00914287">
      <w:pPr>
        <w:pStyle w:val="Texte1"/>
      </w:pPr>
      <w:r w:rsidRPr="00617049">
        <w:t>Le batik est une méthode de teinture de textile courante en Indonésie</w:t>
      </w:r>
      <w:r w:rsidR="00EA1FE1" w:rsidRPr="00617049">
        <w:t> ;</w:t>
      </w:r>
      <w:r w:rsidRPr="00617049">
        <w:t xml:space="preserve"> il a été inscrit sur la Liste représentative en 2009. En faisant le batik, les artisans dessinent des motifs sur le tissu en traçant des points et des lignes avec de la cire chaude qui résiste à la teinture végétale et </w:t>
      </w:r>
      <w:r w:rsidR="00CB7056" w:rsidRPr="00617049">
        <w:t xml:space="preserve">aux </w:t>
      </w:r>
      <w:r w:rsidRPr="00617049">
        <w:t>autre</w:t>
      </w:r>
      <w:r w:rsidR="00CB7056" w:rsidRPr="00617049">
        <w:t>s teintures</w:t>
      </w:r>
      <w:r w:rsidRPr="00617049">
        <w:t>, ce qui permet de choisir les différentes couleurs de l</w:t>
      </w:r>
      <w:r w:rsidR="00A61E6D" w:rsidRPr="00617049">
        <w:t>’</w:t>
      </w:r>
      <w:r w:rsidRPr="00617049">
        <w:t>étoffe. Les individus qualifiés dans la fabrication du batik ont été identifiés afin d</w:t>
      </w:r>
      <w:r w:rsidR="00A61E6D" w:rsidRPr="00617049">
        <w:t>’</w:t>
      </w:r>
      <w:r w:rsidRPr="00617049">
        <w:t>être déclarés Trésors Nationaux. C</w:t>
      </w:r>
      <w:r w:rsidR="00A61E6D" w:rsidRPr="00617049">
        <w:t>’</w:t>
      </w:r>
      <w:r w:rsidRPr="00617049">
        <w:t>est en 2008 qu</w:t>
      </w:r>
      <w:r w:rsidR="00A61E6D" w:rsidRPr="00617049">
        <w:t>’</w:t>
      </w:r>
      <w:r w:rsidRPr="00617049">
        <w:t xml:space="preserve">a été créé le Forum </w:t>
      </w:r>
      <w:r w:rsidR="009867A4" w:rsidRPr="00617049">
        <w:t>des communautés</w:t>
      </w:r>
      <w:r w:rsidRPr="00617049">
        <w:t xml:space="preserve"> sur le batik indonésien pour faciliter la communication et la collaboration entre les membres de la communauté du batik pour sa sauvegarde</w:t>
      </w:r>
      <w:r w:rsidR="008D4319" w:rsidRPr="00617049">
        <w:rPr>
          <w:vertAlign w:val="superscript"/>
        </w:rPr>
        <w:footnoteReference w:id="3"/>
      </w:r>
      <w:r w:rsidRPr="00617049">
        <w:t>.</w:t>
      </w:r>
    </w:p>
    <w:p w:rsidR="004325DC" w:rsidRPr="00617049" w:rsidRDefault="00C10A1F" w:rsidP="00914287">
      <w:pPr>
        <w:pStyle w:val="Texte1"/>
      </w:pPr>
      <w:r w:rsidRPr="00617049">
        <w:t>Les membres ont mis au point plusieurs mesures de sauvegarde</w:t>
      </w:r>
      <w:r w:rsidR="00EA1FE1" w:rsidRPr="00617049">
        <w:t> :</w:t>
      </w:r>
      <w:r w:rsidRPr="00617049">
        <w:t xml:space="preserve"> l</w:t>
      </w:r>
      <w:r w:rsidR="00A61E6D" w:rsidRPr="00617049">
        <w:t>’</w:t>
      </w:r>
      <w:r w:rsidRPr="00617049">
        <w:t>une d</w:t>
      </w:r>
      <w:r w:rsidR="00A61E6D" w:rsidRPr="00617049">
        <w:t>’</w:t>
      </w:r>
      <w:r w:rsidRPr="00617049">
        <w:t xml:space="preserve">elles a consisté à faire en sorte de disposer de stylets, </w:t>
      </w:r>
      <w:proofErr w:type="spellStart"/>
      <w:r w:rsidRPr="00617049">
        <w:rPr>
          <w:i/>
        </w:rPr>
        <w:t>canthing</w:t>
      </w:r>
      <w:proofErr w:type="spellEnd"/>
      <w:r w:rsidRPr="00617049">
        <w:rPr>
          <w:i/>
        </w:rPr>
        <w:t xml:space="preserve"> </w:t>
      </w:r>
      <w:proofErr w:type="spellStart"/>
      <w:r w:rsidRPr="00617049">
        <w:rPr>
          <w:i/>
        </w:rPr>
        <w:t>tulis</w:t>
      </w:r>
      <w:proofErr w:type="spellEnd"/>
      <w:r w:rsidRPr="00617049">
        <w:rPr>
          <w:i/>
        </w:rPr>
        <w:t xml:space="preserve">, </w:t>
      </w:r>
      <w:r w:rsidRPr="00617049">
        <w:t>et de tampons spéciaux,</w:t>
      </w:r>
      <w:r w:rsidRPr="00617049">
        <w:rPr>
          <w:i/>
        </w:rPr>
        <w:t xml:space="preserve"> </w:t>
      </w:r>
      <w:proofErr w:type="spellStart"/>
      <w:r w:rsidRPr="00617049">
        <w:rPr>
          <w:i/>
        </w:rPr>
        <w:t>canthing</w:t>
      </w:r>
      <w:proofErr w:type="spellEnd"/>
      <w:r w:rsidRPr="00617049">
        <w:rPr>
          <w:i/>
        </w:rPr>
        <w:t xml:space="preserve"> cap, </w:t>
      </w:r>
      <w:r w:rsidRPr="00617049">
        <w:t>pour exécuter le batik, car les connaissances nécessaires à la fabrication de ces stylets et ces tampons sont aujourd</w:t>
      </w:r>
      <w:r w:rsidR="00A61E6D" w:rsidRPr="00617049">
        <w:t>’</w:t>
      </w:r>
      <w:r w:rsidRPr="00617049">
        <w:t>hui menacées de disparaître. L</w:t>
      </w:r>
      <w:r w:rsidR="00A61E6D" w:rsidRPr="00617049">
        <w:t>’</w:t>
      </w:r>
      <w:r w:rsidRPr="00617049">
        <w:t>Institut du Musée du Batik a prévu de dispenser un programme d</w:t>
      </w:r>
      <w:r w:rsidR="00A61E6D" w:rsidRPr="00617049">
        <w:t>’</w:t>
      </w:r>
      <w:r w:rsidRPr="00617049">
        <w:t>apprentissage pour enseigner la fabrication de ces outils.</w:t>
      </w:r>
    </w:p>
    <w:p w:rsidR="004325DC" w:rsidRPr="00617049" w:rsidRDefault="00E6591E" w:rsidP="00E82F06">
      <w:pPr>
        <w:pStyle w:val="Titcoul"/>
      </w:pPr>
      <w:bookmarkStart w:id="58" w:name="_Toc238963273"/>
      <w:bookmarkStart w:id="59" w:name="_Toc241065159"/>
      <w:bookmarkStart w:id="60" w:name="_Toc301443381"/>
      <w:bookmarkStart w:id="61" w:name="_Toc321407024"/>
      <w:bookmarkStart w:id="62" w:name="_Toc354486648"/>
      <w:bookmarkStart w:id="63" w:name="_Toc354486954"/>
      <w:bookmarkStart w:id="64" w:name="_Toc247360245"/>
      <w:r w:rsidRPr="00617049">
        <w:t>9</w:t>
      </w:r>
      <w:r w:rsidR="00C10A1F" w:rsidRPr="00617049">
        <w:t>.6</w:t>
      </w:r>
      <w:bookmarkEnd w:id="58"/>
      <w:bookmarkEnd w:id="59"/>
      <w:r w:rsidR="0022235D" w:rsidRPr="00617049">
        <w:tab/>
      </w:r>
      <w:bookmarkStart w:id="65" w:name="_Toc238963274"/>
      <w:bookmarkStart w:id="66" w:name="_Toc241065160"/>
      <w:r w:rsidR="00C10A1F" w:rsidRPr="00617049">
        <w:t>Mobiliser les communaut</w:t>
      </w:r>
      <w:r w:rsidR="00A0403A" w:rsidRPr="00617049">
        <w:t>É</w:t>
      </w:r>
      <w:r w:rsidR="00C10A1F" w:rsidRPr="00617049">
        <w:t xml:space="preserve">s </w:t>
      </w:r>
      <w:r w:rsidR="00A0403A" w:rsidRPr="00617049">
        <w:t xml:space="preserve">concernÉes </w:t>
      </w:r>
      <w:r w:rsidR="00C10A1F" w:rsidRPr="00617049">
        <w:t>en faveur de la sauvegarde</w:t>
      </w:r>
      <w:bookmarkEnd w:id="60"/>
      <w:bookmarkEnd w:id="61"/>
      <w:bookmarkEnd w:id="62"/>
      <w:bookmarkEnd w:id="63"/>
      <w:bookmarkEnd w:id="64"/>
      <w:bookmarkEnd w:id="65"/>
      <w:bookmarkEnd w:id="66"/>
    </w:p>
    <w:p w:rsidR="004325DC" w:rsidRPr="00387062" w:rsidRDefault="00C10A1F" w:rsidP="00150FFB">
      <w:pPr>
        <w:pStyle w:val="Informations"/>
        <w:rPr>
          <w:i w:val="0"/>
          <w:color w:val="auto"/>
        </w:rPr>
      </w:pPr>
      <w:r w:rsidRPr="00387062">
        <w:rPr>
          <w:i w:val="0"/>
          <w:color w:val="auto"/>
        </w:rPr>
        <w:t xml:space="preserve">Cette question </w:t>
      </w:r>
      <w:r w:rsidR="00DB5F0C" w:rsidRPr="00387062">
        <w:rPr>
          <w:i w:val="0"/>
          <w:color w:val="auto"/>
        </w:rPr>
        <w:t>de l’implication des communautés concernées est</w:t>
      </w:r>
      <w:r w:rsidRPr="00387062">
        <w:rPr>
          <w:i w:val="0"/>
          <w:color w:val="auto"/>
        </w:rPr>
        <w:t xml:space="preserve"> également abordée dans</w:t>
      </w:r>
      <w:r w:rsidR="00E6591E" w:rsidRPr="00387062">
        <w:rPr>
          <w:i w:val="0"/>
          <w:color w:val="auto"/>
        </w:rPr>
        <w:t xml:space="preserve"> le </w:t>
      </w:r>
      <w:r w:rsidR="00646D3D" w:rsidRPr="00387062">
        <w:rPr>
          <w:i w:val="0"/>
          <w:color w:val="auto"/>
        </w:rPr>
        <w:t>Texte du participant</w:t>
      </w:r>
      <w:r w:rsidR="00F9570F" w:rsidRPr="00387062">
        <w:rPr>
          <w:i w:val="0"/>
          <w:color w:val="auto"/>
        </w:rPr>
        <w:t xml:space="preserve"> de l’</w:t>
      </w:r>
      <w:r w:rsidR="00E6591E" w:rsidRPr="00387062">
        <w:rPr>
          <w:i w:val="0"/>
          <w:color w:val="auto"/>
        </w:rPr>
        <w:t>Unité 7</w:t>
      </w:r>
      <w:r w:rsidRPr="00387062">
        <w:rPr>
          <w:i w:val="0"/>
          <w:color w:val="auto"/>
        </w:rPr>
        <w:t>.</w:t>
      </w:r>
    </w:p>
    <w:p w:rsidR="004325DC" w:rsidRPr="00617049" w:rsidRDefault="00E6591E" w:rsidP="00914287">
      <w:pPr>
        <w:pStyle w:val="Texte1"/>
      </w:pPr>
      <w:r w:rsidRPr="00387062">
        <w:rPr>
          <w:noProof/>
          <w:lang w:val="es-ES_tradnl" w:eastAsia="es-ES_tradnl"/>
        </w:rPr>
        <w:lastRenderedPageBreak/>
        <w:drawing>
          <wp:anchor distT="0" distB="0" distL="114300" distR="114300" simplePos="0" relativeHeight="251897344" behindDoc="0" locked="1" layoutInCell="1" allowOverlap="0" wp14:anchorId="4349B4FA" wp14:editId="7DB0C36B">
            <wp:simplePos x="0" y="0"/>
            <wp:positionH relativeFrom="column">
              <wp:posOffset>0</wp:posOffset>
            </wp:positionH>
            <wp:positionV relativeFrom="paragraph">
              <wp:posOffset>-252095</wp:posOffset>
            </wp:positionV>
            <wp:extent cx="283210" cy="358775"/>
            <wp:effectExtent l="0" t="0" r="0" b="0"/>
            <wp:wrapThrough wrapText="bothSides">
              <wp:wrapPolygon edited="0">
                <wp:start x="0" y="0"/>
                <wp:lineTo x="0" y="19880"/>
                <wp:lineTo x="19372" y="19880"/>
                <wp:lineTo x="19372" y="0"/>
                <wp:lineTo x="0" y="0"/>
              </wp:wrapPolygon>
            </wp:wrapThrough>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0A1F" w:rsidRPr="00387062">
        <w:t>L</w:t>
      </w:r>
      <w:r w:rsidR="00A61E6D" w:rsidRPr="00387062">
        <w:t>’</w:t>
      </w:r>
      <w:r w:rsidR="00043DFF" w:rsidRPr="00387062">
        <w:t>article </w:t>
      </w:r>
      <w:r w:rsidR="00C10A1F" w:rsidRPr="00387062">
        <w:t>15</w:t>
      </w:r>
      <w:r w:rsidR="00C10A1F" w:rsidRPr="00617049">
        <w:t xml:space="preserve"> de la Convention demande aux États parties d</w:t>
      </w:r>
      <w:r w:rsidR="00A61E6D" w:rsidRPr="00617049">
        <w:t>’</w:t>
      </w:r>
      <w:r w:rsidR="00C10A1F" w:rsidRPr="00617049">
        <w:t>essayer de faire en sorte que les communautés concernées se mobilisent pleinement dans la sauvegarde de leur PCI</w:t>
      </w:r>
      <w:r w:rsidR="00DB5F0C" w:rsidRPr="00617049">
        <w:t>.</w:t>
      </w:r>
    </w:p>
    <w:p w:rsidR="004325DC" w:rsidRPr="00617049" w:rsidRDefault="00C10A1F" w:rsidP="00150FFB">
      <w:pPr>
        <w:pStyle w:val="citation"/>
      </w:pPr>
      <w:r w:rsidRPr="00617049">
        <w:t>Dans le cadre de ses activités de sauvegarde du patrimoine culturel immatériel, chaque État partie s</w:t>
      </w:r>
      <w:r w:rsidR="00A61E6D" w:rsidRPr="00617049">
        <w:t>’</w:t>
      </w:r>
      <w:r w:rsidRPr="00617049">
        <w:t>efforce d</w:t>
      </w:r>
      <w:r w:rsidR="00A61E6D" w:rsidRPr="00617049">
        <w:t>’</w:t>
      </w:r>
      <w:r w:rsidRPr="00617049">
        <w:t xml:space="preserve">assurer la </w:t>
      </w:r>
      <w:r w:rsidRPr="00617049">
        <w:rPr>
          <w:i/>
        </w:rPr>
        <w:t>plus large participation possible des communautés</w:t>
      </w:r>
      <w:r w:rsidRPr="00617049">
        <w:t xml:space="preserve">, </w:t>
      </w:r>
      <w:r w:rsidRPr="00617049">
        <w:rPr>
          <w:i/>
        </w:rPr>
        <w:t>des groupes et, le cas échéant, des individus</w:t>
      </w:r>
      <w:r w:rsidRPr="00617049">
        <w:t xml:space="preserve"> qui créent, entretiennent et transmettent ce patrimoine, et </w:t>
      </w:r>
      <w:r w:rsidRPr="00617049">
        <w:rPr>
          <w:i/>
        </w:rPr>
        <w:t xml:space="preserve">de les impliquer activement dans sa gestion. </w:t>
      </w:r>
      <w:r w:rsidRPr="00617049">
        <w:t>(</w:t>
      </w:r>
      <w:r w:rsidR="00DB5F0C" w:rsidRPr="00617049">
        <w:t>I</w:t>
      </w:r>
      <w:r w:rsidR="00803BA6" w:rsidRPr="00617049">
        <w:t xml:space="preserve">talique </w:t>
      </w:r>
      <w:r w:rsidRPr="00617049">
        <w:t>ajouté.)</w:t>
      </w:r>
    </w:p>
    <w:p w:rsidR="004325DC" w:rsidRPr="00617049" w:rsidRDefault="007A1860" w:rsidP="00914287">
      <w:pPr>
        <w:pStyle w:val="Texte1"/>
      </w:pPr>
      <w:r w:rsidRPr="00617049">
        <w:rPr>
          <w:noProof/>
          <w:lang w:val="es-ES_tradnl" w:eastAsia="es-ES_tradnl"/>
        </w:rPr>
        <w:drawing>
          <wp:anchor distT="0" distB="0" distL="114300" distR="114300" simplePos="0" relativeHeight="252048896" behindDoc="0" locked="1" layoutInCell="1" allowOverlap="0">
            <wp:simplePos x="0" y="0"/>
            <wp:positionH relativeFrom="margin">
              <wp:align>left</wp:align>
            </wp:positionH>
            <wp:positionV relativeFrom="paragraph">
              <wp:posOffset>749300</wp:posOffset>
            </wp:positionV>
            <wp:extent cx="283210" cy="358775"/>
            <wp:effectExtent l="0" t="0" r="2540" b="3175"/>
            <wp:wrapThrough wrapText="bothSides">
              <wp:wrapPolygon edited="0">
                <wp:start x="0" y="0"/>
                <wp:lineTo x="0" y="20644"/>
                <wp:lineTo x="20341" y="20644"/>
                <wp:lineTo x="20341"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0A1F" w:rsidRPr="00617049">
        <w:t>Les activités de sauvegarde les plus prometteuses sont entamées au niveau de la communauté par des individus qui se d</w:t>
      </w:r>
      <w:r w:rsidR="00DB5F0C" w:rsidRPr="00617049">
        <w:t>is</w:t>
      </w:r>
      <w:r w:rsidR="00C10A1F" w:rsidRPr="00617049">
        <w:t>ent préoccupés par les menaces pour la viabilité d</w:t>
      </w:r>
      <w:r w:rsidR="00A61E6D" w:rsidRPr="00617049">
        <w:t>’</w:t>
      </w:r>
      <w:r w:rsidR="00C10A1F" w:rsidRPr="00617049">
        <w:t>un ou de plusieurs éléments de leur PCI et qui se mobilisent avec d</w:t>
      </w:r>
      <w:r w:rsidR="00A61E6D" w:rsidRPr="00617049">
        <w:t>’</w:t>
      </w:r>
      <w:r w:rsidR="00C10A1F" w:rsidRPr="00617049">
        <w:t>autres, souvent sans aucun</w:t>
      </w:r>
      <w:r w:rsidR="00D74BB4" w:rsidRPr="00617049">
        <w:t xml:space="preserve"> appui extérieur</w:t>
      </w:r>
      <w:r w:rsidR="00C10A1F" w:rsidRPr="00617049">
        <w:t>. Les documents du Centre culturel Asie/Pacifique pour l</w:t>
      </w:r>
      <w:r w:rsidR="00A61E6D" w:rsidRPr="00617049">
        <w:t>’</w:t>
      </w:r>
      <w:r w:rsidR="00C10A1F" w:rsidRPr="00617049">
        <w:t>UNESCO (ACCU), organisation japonaise sans but lucratif, offrent quelques bons exemples d</w:t>
      </w:r>
      <w:r w:rsidR="00A61E6D" w:rsidRPr="00617049">
        <w:t>’</w:t>
      </w:r>
      <w:r w:rsidR="00C10A1F" w:rsidRPr="00617049">
        <w:t xml:space="preserve">activités de sauvegarde </w:t>
      </w:r>
      <w:r w:rsidR="00D74BB4" w:rsidRPr="00617049">
        <w:t xml:space="preserve">au niveau </w:t>
      </w:r>
      <w:r w:rsidR="009867A4" w:rsidRPr="00617049">
        <w:t>de</w:t>
      </w:r>
      <w:r w:rsidR="00D74BB4" w:rsidRPr="00617049">
        <w:t xml:space="preserve"> la</w:t>
      </w:r>
      <w:r w:rsidR="009867A4" w:rsidRPr="00617049">
        <w:t xml:space="preserve"> </w:t>
      </w:r>
      <w:r w:rsidR="00D74BB4" w:rsidRPr="00617049">
        <w:t>communauté</w:t>
      </w:r>
      <w:r w:rsidR="00C10A1F" w:rsidRPr="00617049">
        <w:t xml:space="preserve"> (voir, par exemple, </w:t>
      </w:r>
      <w:r w:rsidR="007B2C2D" w:rsidRPr="00617049">
        <w:t>http://www.accu.or.jp/ich/en/pdf/2ndworkshop.pdf</w:t>
      </w:r>
      <w:r w:rsidR="00C10A1F" w:rsidRPr="00617049">
        <w:t>).</w:t>
      </w:r>
    </w:p>
    <w:p w:rsidR="004325DC" w:rsidRPr="00617049" w:rsidRDefault="00C10A1F" w:rsidP="00914287">
      <w:pPr>
        <w:pStyle w:val="Informations"/>
      </w:pPr>
      <w:r w:rsidRPr="00617049">
        <w:t>L</w:t>
      </w:r>
      <w:r w:rsidR="00A61E6D" w:rsidRPr="00617049">
        <w:t>’</w:t>
      </w:r>
      <w:r w:rsidR="003F5CA8" w:rsidRPr="00617049">
        <w:t>Étude de cas</w:t>
      </w:r>
      <w:r w:rsidRPr="00617049">
        <w:t xml:space="preserve"> 25 décrit la revitalisation et l</w:t>
      </w:r>
      <w:r w:rsidR="00A61E6D" w:rsidRPr="00617049">
        <w:t>’</w:t>
      </w:r>
      <w:r w:rsidRPr="00617049">
        <w:t>appréciation renouvelée d</w:t>
      </w:r>
      <w:r w:rsidR="00A61E6D" w:rsidRPr="00617049">
        <w:t>’</w:t>
      </w:r>
      <w:r w:rsidRPr="00617049">
        <w:t xml:space="preserve">une pratique </w:t>
      </w:r>
      <w:r w:rsidR="00E6591E" w:rsidRPr="00617049">
        <w:rPr>
          <w:noProof/>
          <w:lang w:val="es-ES_tradnl" w:eastAsia="es-ES_tradnl"/>
        </w:rPr>
        <w:drawing>
          <wp:anchor distT="0" distB="0" distL="114300" distR="114300" simplePos="0" relativeHeight="251899392" behindDoc="0" locked="1" layoutInCell="1" allowOverlap="0">
            <wp:simplePos x="0" y="0"/>
            <wp:positionH relativeFrom="margin">
              <wp:align>left</wp:align>
            </wp:positionH>
            <wp:positionV relativeFrom="paragraph">
              <wp:posOffset>168910</wp:posOffset>
            </wp:positionV>
            <wp:extent cx="283210" cy="358775"/>
            <wp:effectExtent l="0" t="0" r="2540" b="3175"/>
            <wp:wrapThrough wrapText="bothSides">
              <wp:wrapPolygon edited="0">
                <wp:start x="0" y="0"/>
                <wp:lineTo x="0" y="20644"/>
                <wp:lineTo x="20341" y="20644"/>
                <wp:lineTo x="20341" y="0"/>
                <wp:lineTo x="0" y="0"/>
              </wp:wrapPolygon>
            </wp:wrapThrough>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617049">
        <w:t xml:space="preserve">traditionnelle, le </w:t>
      </w:r>
      <w:proofErr w:type="spellStart"/>
      <w:r w:rsidRPr="00617049">
        <w:t>Sanbasomawashi</w:t>
      </w:r>
      <w:proofErr w:type="spellEnd"/>
      <w:r w:rsidRPr="00617049">
        <w:t xml:space="preserve"> (spectacle du Nouvel An) au Japon, grâce à la participation </w:t>
      </w:r>
      <w:r w:rsidR="009867A4" w:rsidRPr="00617049">
        <w:t>des communautés</w:t>
      </w:r>
      <w:r w:rsidRPr="00617049">
        <w:t>.</w:t>
      </w:r>
    </w:p>
    <w:p w:rsidR="004325DC" w:rsidRPr="00617049" w:rsidRDefault="00E6591E" w:rsidP="00EE1902">
      <w:pPr>
        <w:pStyle w:val="Titcoul"/>
      </w:pPr>
      <w:bookmarkStart w:id="67" w:name="_Toc238963275"/>
      <w:bookmarkStart w:id="68" w:name="_Toc241065161"/>
      <w:bookmarkStart w:id="69" w:name="_Toc301443382"/>
      <w:bookmarkStart w:id="70" w:name="_Toc321407025"/>
      <w:bookmarkStart w:id="71" w:name="_Toc354486649"/>
      <w:bookmarkStart w:id="72" w:name="_Toc354486955"/>
      <w:bookmarkStart w:id="73" w:name="_Toc247360246"/>
      <w:r w:rsidRPr="00617049">
        <w:t>9</w:t>
      </w:r>
      <w:r w:rsidR="00C10A1F" w:rsidRPr="00617049">
        <w:t>.7</w:t>
      </w:r>
      <w:bookmarkEnd w:id="67"/>
      <w:bookmarkEnd w:id="68"/>
      <w:r w:rsidR="0022235D" w:rsidRPr="00617049">
        <w:tab/>
      </w:r>
      <w:bookmarkStart w:id="74" w:name="_Toc238963276"/>
      <w:bookmarkStart w:id="75" w:name="_Toc241065162"/>
      <w:r w:rsidR="00C10A1F" w:rsidRPr="00617049">
        <w:t>Mesures et plans de sauvegarde</w:t>
      </w:r>
      <w:bookmarkEnd w:id="69"/>
      <w:bookmarkEnd w:id="70"/>
      <w:bookmarkEnd w:id="71"/>
      <w:bookmarkEnd w:id="72"/>
      <w:bookmarkEnd w:id="73"/>
      <w:bookmarkEnd w:id="74"/>
      <w:bookmarkEnd w:id="75"/>
    </w:p>
    <w:p w:rsidR="004325DC" w:rsidRPr="00617049" w:rsidRDefault="00C10A1F" w:rsidP="00914287">
      <w:pPr>
        <w:pStyle w:val="Texte1"/>
      </w:pPr>
      <w:r w:rsidRPr="00617049">
        <w:t>Des mesures de sauvegarde peuvent être élaborées pour tou</w:t>
      </w:r>
      <w:r w:rsidR="00D74BB4" w:rsidRPr="00617049">
        <w:t>t élément du PCI confronté à d</w:t>
      </w:r>
      <w:r w:rsidRPr="00617049">
        <w:t xml:space="preserve">es menaces ou des risques pour </w:t>
      </w:r>
      <w:r w:rsidR="00D74BB4" w:rsidRPr="00617049">
        <w:t>sa</w:t>
      </w:r>
      <w:r w:rsidRPr="00617049">
        <w:t xml:space="preserve"> viabilité, mais leur </w:t>
      </w:r>
      <w:r w:rsidR="00D74BB4" w:rsidRPr="00617049">
        <w:t>mise en place</w:t>
      </w:r>
      <w:r w:rsidRPr="00617049">
        <w:t xml:space="preserve"> est obligatoire pour les éléments dont l</w:t>
      </w:r>
      <w:r w:rsidR="00A61E6D" w:rsidRPr="00617049">
        <w:t>’</w:t>
      </w:r>
      <w:r w:rsidRPr="00617049">
        <w:t xml:space="preserve">inscription est proposée sur les Listes de la Convention (voir </w:t>
      </w:r>
      <w:r w:rsidR="00461004" w:rsidRPr="00617049">
        <w:t>DO </w:t>
      </w:r>
      <w:r w:rsidRPr="00617049">
        <w:t>1 et 2). Les mesures de sauvegarde doivent, si possible, être présentées comme un ensemble cohérent (</w:t>
      </w:r>
      <w:r w:rsidR="002A7F27" w:rsidRPr="00617049">
        <w:t>autrement dit comme un p</w:t>
      </w:r>
      <w:r w:rsidRPr="00617049">
        <w:t>lan</w:t>
      </w:r>
      <w:r w:rsidR="002A7F27" w:rsidRPr="00617049">
        <w:t xml:space="preserve"> de sauvegarde</w:t>
      </w:r>
      <w:r w:rsidRPr="00617049">
        <w:t xml:space="preserve">). Cependant, il </w:t>
      </w:r>
      <w:r w:rsidR="002A7F27" w:rsidRPr="00617049">
        <w:t>arrive</w:t>
      </w:r>
      <w:r w:rsidRPr="00617049">
        <w:t xml:space="preserve"> qu</w:t>
      </w:r>
      <w:r w:rsidR="00A61E6D" w:rsidRPr="00617049">
        <w:t>’</w:t>
      </w:r>
      <w:r w:rsidR="002A7F27" w:rsidRPr="00617049">
        <w:t xml:space="preserve">une </w:t>
      </w:r>
      <w:r w:rsidRPr="00617049">
        <w:t>simple mesure fasse des merveilles.</w:t>
      </w:r>
    </w:p>
    <w:p w:rsidR="004325DC" w:rsidRPr="00617049" w:rsidRDefault="00C10A1F" w:rsidP="00914287">
      <w:pPr>
        <w:pStyle w:val="Texte1"/>
      </w:pPr>
      <w:r w:rsidRPr="00617049">
        <w:t xml:space="preserve">Là où plusieurs mesures de sauvegarde sont proposées, il peut être nécessaire de les classer par ordre </w:t>
      </w:r>
      <w:r w:rsidR="0015316B" w:rsidRPr="00617049">
        <w:t>de priorité car, en général, le budget en matière de</w:t>
      </w:r>
      <w:r w:rsidRPr="00617049">
        <w:t xml:space="preserve"> sauvegarde </w:t>
      </w:r>
      <w:r w:rsidR="0015316B" w:rsidRPr="00617049">
        <w:t>est</w:t>
      </w:r>
      <w:r w:rsidRPr="00617049">
        <w:t xml:space="preserve"> p</w:t>
      </w:r>
      <w:r w:rsidR="0015316B" w:rsidRPr="00617049">
        <w:t>lutôt limité</w:t>
      </w:r>
      <w:r w:rsidRPr="00617049">
        <w:t xml:space="preserve">. </w:t>
      </w:r>
      <w:r w:rsidR="0015316B" w:rsidRPr="00617049">
        <w:t>Ceci dit, l</w:t>
      </w:r>
      <w:r w:rsidRPr="00617049">
        <w:t>es mesures de sauvegarde n</w:t>
      </w:r>
      <w:r w:rsidR="001C5BFB" w:rsidRPr="00617049">
        <w:t>e coûtent</w:t>
      </w:r>
      <w:r w:rsidR="0015316B" w:rsidRPr="00617049">
        <w:t xml:space="preserve"> pas tou</w:t>
      </w:r>
      <w:r w:rsidRPr="00617049">
        <w:t>jours</w:t>
      </w:r>
      <w:r w:rsidR="001C5BFB" w:rsidRPr="00617049">
        <w:t xml:space="preserve"> très cher</w:t>
      </w:r>
      <w:r w:rsidRPr="00617049">
        <w:t>. Si des fonds sont requis pour le</w:t>
      </w:r>
      <w:r w:rsidR="001C5BFB" w:rsidRPr="00617049">
        <w:t>ur mise</w:t>
      </w:r>
      <w:r w:rsidRPr="00617049">
        <w:t xml:space="preserve"> en œuvre, </w:t>
      </w:r>
      <w:r w:rsidR="007554C3" w:rsidRPr="00617049">
        <w:t xml:space="preserve">s’agissant </w:t>
      </w:r>
      <w:r w:rsidRPr="00617049">
        <w:t xml:space="preserve">surtout </w:t>
      </w:r>
      <w:r w:rsidR="007554C3" w:rsidRPr="00617049">
        <w:t>d</w:t>
      </w:r>
      <w:r w:rsidRPr="00617049">
        <w:t xml:space="preserve">es éléments </w:t>
      </w:r>
      <w:r w:rsidR="001C5BFB" w:rsidRPr="00617049">
        <w:t>(</w:t>
      </w:r>
      <w:r w:rsidRPr="00617049">
        <w:t>en cours d</w:t>
      </w:r>
      <w:r w:rsidR="00A61E6D" w:rsidRPr="00617049">
        <w:t>’</w:t>
      </w:r>
      <w:r w:rsidRPr="00617049">
        <w:t>inscription</w:t>
      </w:r>
      <w:r w:rsidR="001C5BFB" w:rsidRPr="00617049">
        <w:t>)</w:t>
      </w:r>
      <w:r w:rsidRPr="00617049">
        <w:t xml:space="preserve"> sur la </w:t>
      </w:r>
      <w:r w:rsidR="00CC5381" w:rsidRPr="00617049">
        <w:t>L</w:t>
      </w:r>
      <w:r w:rsidR="001C5BFB" w:rsidRPr="00617049">
        <w:t>SU</w:t>
      </w:r>
      <w:r w:rsidRPr="00617049">
        <w:t>, les États parties peuvent solliciter l</w:t>
      </w:r>
      <w:r w:rsidR="00A61E6D" w:rsidRPr="00617049">
        <w:t>’</w:t>
      </w:r>
      <w:r w:rsidRPr="00617049">
        <w:t xml:space="preserve">assistance internationale au titre de la Convention (point traité </w:t>
      </w:r>
      <w:r w:rsidR="001C5BFB" w:rsidRPr="00617049">
        <w:t xml:space="preserve">plus avant </w:t>
      </w:r>
      <w:r w:rsidRPr="00617049">
        <w:t xml:space="preserve">dans </w:t>
      </w:r>
      <w:r w:rsidR="00E6591E" w:rsidRPr="00617049">
        <w:t xml:space="preserve">le </w:t>
      </w:r>
      <w:r w:rsidR="00646D3D" w:rsidRPr="00617049">
        <w:t>Texte du participant</w:t>
      </w:r>
      <w:r w:rsidR="00F9570F" w:rsidRPr="00617049">
        <w:t xml:space="preserve"> de l’</w:t>
      </w:r>
      <w:r w:rsidR="00E6591E" w:rsidRPr="00617049">
        <w:t>Unité 12</w:t>
      </w:r>
      <w:r w:rsidRPr="00617049">
        <w:t xml:space="preserve">). </w:t>
      </w:r>
      <w:r w:rsidR="007554C3" w:rsidRPr="00617049">
        <w:t xml:space="preserve">Ils </w:t>
      </w:r>
      <w:r w:rsidRPr="00617049">
        <w:t>peuvent aussi se tourner vers d</w:t>
      </w:r>
      <w:r w:rsidR="00A61E6D" w:rsidRPr="00617049">
        <w:t>’</w:t>
      </w:r>
      <w:r w:rsidRPr="00617049">
        <w:t xml:space="preserve">autres États parties </w:t>
      </w:r>
      <w:r w:rsidR="007554C3" w:rsidRPr="00617049">
        <w:t>dans le but d’</w:t>
      </w:r>
      <w:r w:rsidRPr="00617049">
        <w:t xml:space="preserve">une coopération, par exemple en ce qui concerne le PCI </w:t>
      </w:r>
      <w:r w:rsidR="007554C3" w:rsidRPr="00617049">
        <w:t>qu’ils ont en commun</w:t>
      </w:r>
      <w:r w:rsidRPr="00617049">
        <w:t xml:space="preserve"> ou d</w:t>
      </w:r>
      <w:r w:rsidR="00A61E6D" w:rsidRPr="00617049">
        <w:t>’</w:t>
      </w:r>
      <w:r w:rsidRPr="00617049">
        <w:t>autres formes d</w:t>
      </w:r>
      <w:r w:rsidR="00A61E6D" w:rsidRPr="00617049">
        <w:t>’</w:t>
      </w:r>
      <w:r w:rsidRPr="00617049">
        <w:t>assistance, comme la documentation ou le</w:t>
      </w:r>
      <w:r w:rsidR="007554C3" w:rsidRPr="00617049">
        <w:t>s</w:t>
      </w:r>
      <w:r w:rsidRPr="00617049">
        <w:t xml:space="preserve"> conseil</w:t>
      </w:r>
      <w:r w:rsidR="007554C3" w:rsidRPr="00617049">
        <w:t>s</w:t>
      </w:r>
      <w:r w:rsidRPr="00617049">
        <w:t>.</w:t>
      </w:r>
    </w:p>
    <w:p w:rsidR="004325DC" w:rsidRPr="00617049" w:rsidRDefault="00C10A1F" w:rsidP="00914287">
      <w:pPr>
        <w:pStyle w:val="Texte1"/>
      </w:pPr>
      <w:r w:rsidRPr="00617049">
        <w:t xml:space="preserve">La faisabilité des plans de sauvegarde </w:t>
      </w:r>
      <w:r w:rsidR="007554C3" w:rsidRPr="00617049">
        <w:t>nécessite d’</w:t>
      </w:r>
      <w:r w:rsidRPr="00617049">
        <w:t>être évaluée. Il est rarement possible d</w:t>
      </w:r>
      <w:r w:rsidR="00A61E6D" w:rsidRPr="00617049">
        <w:t>’</w:t>
      </w:r>
      <w:r w:rsidRPr="00617049">
        <w:t>anticiper tous les effets positifs et négatifs des interventions de sauvegarde. C</w:t>
      </w:r>
      <w:r w:rsidR="00A61E6D" w:rsidRPr="00617049">
        <w:t>’</w:t>
      </w:r>
      <w:r w:rsidRPr="00617049">
        <w:t xml:space="preserve">est </w:t>
      </w:r>
      <w:r w:rsidR="007554C3" w:rsidRPr="00617049">
        <w:t>pourquoi</w:t>
      </w:r>
      <w:r w:rsidRPr="00617049">
        <w:t xml:space="preserve"> les mesures de sauvegarde doivent être régulièrement passées en revue, évaluées et, le cas échéant, adaptées.</w:t>
      </w:r>
    </w:p>
    <w:p w:rsidR="004325DC" w:rsidRPr="00617049" w:rsidRDefault="00F0629B" w:rsidP="00914287">
      <w:pPr>
        <w:pStyle w:val="Informations"/>
      </w:pPr>
      <w:r w:rsidRPr="00617049">
        <w:rPr>
          <w:noProof/>
          <w:lang w:val="es-ES_tradnl" w:eastAsia="es-ES_tradnl"/>
        </w:rPr>
        <w:drawing>
          <wp:anchor distT="0" distB="0" distL="114300" distR="114300" simplePos="0" relativeHeight="252158464"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304" name="Imag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0A1F" w:rsidRPr="00617049">
        <w:t>L</w:t>
      </w:r>
      <w:r w:rsidR="00A61E6D" w:rsidRPr="00617049">
        <w:t>’</w:t>
      </w:r>
      <w:r w:rsidR="003F5CA8" w:rsidRPr="00617049">
        <w:t>Étude de cas</w:t>
      </w:r>
      <w:r w:rsidR="00803BA6" w:rsidRPr="00617049">
        <w:t> </w:t>
      </w:r>
      <w:r w:rsidR="00C10A1F" w:rsidRPr="00617049">
        <w:t xml:space="preserve">22 </w:t>
      </w:r>
      <w:r w:rsidR="00AB431E" w:rsidRPr="00617049">
        <w:t>porte sur l</w:t>
      </w:r>
      <w:r w:rsidR="00C10A1F" w:rsidRPr="00617049">
        <w:t>es mesures de sauvegarde élaborées pour</w:t>
      </w:r>
      <w:r w:rsidR="00AB431E" w:rsidRPr="00617049">
        <w:t xml:space="preserve"> juguler les menaces qui pèsent sur la viabilité de la C</w:t>
      </w:r>
      <w:r w:rsidR="00C10A1F" w:rsidRPr="00617049">
        <w:t xml:space="preserve">érémonie rituelle des </w:t>
      </w:r>
      <w:proofErr w:type="spellStart"/>
      <w:r w:rsidR="00C10A1F" w:rsidRPr="00617049">
        <w:t>Voladores</w:t>
      </w:r>
      <w:proofErr w:type="spellEnd"/>
      <w:r w:rsidR="00C10A1F" w:rsidRPr="00617049">
        <w:t xml:space="preserve"> (</w:t>
      </w:r>
      <w:r w:rsidR="008A7E01" w:rsidRPr="00617049">
        <w:t>« </w:t>
      </w:r>
      <w:r w:rsidR="00C10A1F" w:rsidRPr="00617049">
        <w:t xml:space="preserve">hommes </w:t>
      </w:r>
      <w:r w:rsidR="008A7E01" w:rsidRPr="00617049">
        <w:t xml:space="preserve">volants ») </w:t>
      </w:r>
      <w:r w:rsidR="00C10A1F" w:rsidRPr="00617049">
        <w:t>au Mexique.</w:t>
      </w:r>
    </w:p>
    <w:p w:rsidR="004325DC" w:rsidRPr="00617049" w:rsidRDefault="00E6591E" w:rsidP="00EE1902">
      <w:pPr>
        <w:pStyle w:val="Titcoul"/>
      </w:pPr>
      <w:bookmarkStart w:id="76" w:name="_Toc238963277"/>
      <w:bookmarkStart w:id="77" w:name="_Toc241065163"/>
      <w:bookmarkStart w:id="78" w:name="_Toc301443383"/>
      <w:bookmarkStart w:id="79" w:name="_Toc321407026"/>
      <w:bookmarkStart w:id="80" w:name="_Toc354486650"/>
      <w:bookmarkStart w:id="81" w:name="_Toc354486956"/>
      <w:bookmarkStart w:id="82" w:name="_Toc247360247"/>
      <w:r w:rsidRPr="00617049">
        <w:lastRenderedPageBreak/>
        <w:t>9</w:t>
      </w:r>
      <w:r w:rsidR="00C10A1F" w:rsidRPr="00617049">
        <w:t>.8</w:t>
      </w:r>
      <w:bookmarkEnd w:id="76"/>
      <w:bookmarkEnd w:id="77"/>
      <w:r w:rsidR="0022235D" w:rsidRPr="00617049">
        <w:tab/>
      </w:r>
      <w:bookmarkStart w:id="83" w:name="_Toc238963278"/>
      <w:bookmarkStart w:id="84" w:name="_Toc241065164"/>
      <w:r w:rsidR="00861557" w:rsidRPr="00617049">
        <w:t xml:space="preserve">DÉvelopper </w:t>
      </w:r>
      <w:r w:rsidR="00C10A1F" w:rsidRPr="00617049">
        <w:t>des mesures de sauvegarde</w:t>
      </w:r>
      <w:bookmarkEnd w:id="78"/>
      <w:bookmarkEnd w:id="79"/>
      <w:bookmarkEnd w:id="80"/>
      <w:bookmarkEnd w:id="81"/>
      <w:bookmarkEnd w:id="82"/>
      <w:bookmarkEnd w:id="83"/>
      <w:bookmarkEnd w:id="84"/>
    </w:p>
    <w:p w:rsidR="004325DC" w:rsidRPr="00617049" w:rsidRDefault="00C10A1F" w:rsidP="00914287">
      <w:pPr>
        <w:pStyle w:val="Texte1"/>
      </w:pPr>
      <w:r w:rsidRPr="00617049">
        <w:t>L</w:t>
      </w:r>
      <w:r w:rsidR="00A61E6D" w:rsidRPr="00617049">
        <w:t>’</w:t>
      </w:r>
      <w:r w:rsidRPr="00617049">
        <w:t xml:space="preserve">identification, la préparation et la mise en application de mesures de sauvegarde efficaces pour des éléments individuels pourraient couvrir </w:t>
      </w:r>
      <w:r w:rsidR="00350E28" w:rsidRPr="00617049">
        <w:t>la plupart, sinon la totalité d</w:t>
      </w:r>
      <w:r w:rsidRPr="00617049">
        <w:t xml:space="preserve">es actions suivantes, pas </w:t>
      </w:r>
      <w:r w:rsidR="008114BE" w:rsidRPr="00617049">
        <w:t>forcé</w:t>
      </w:r>
      <w:r w:rsidRPr="00617049">
        <w:t>ment dans l</w:t>
      </w:r>
      <w:r w:rsidR="00A61E6D" w:rsidRPr="00617049">
        <w:t>’</w:t>
      </w:r>
      <w:r w:rsidRPr="00617049">
        <w:t>ordre qui suit</w:t>
      </w:r>
      <w:r w:rsidR="00EA1FE1" w:rsidRPr="00617049">
        <w:t> :</w:t>
      </w:r>
    </w:p>
    <w:p w:rsidR="004325DC" w:rsidRPr="00617049" w:rsidRDefault="00C10A1F" w:rsidP="00387062">
      <w:pPr>
        <w:pStyle w:val="Txtpucegras"/>
        <w:ind w:left="1134"/>
      </w:pPr>
      <w:r w:rsidRPr="00617049">
        <w:t>Définir qui va travailler ensemble et dresser un plan de travail initial. Si l</w:t>
      </w:r>
      <w:r w:rsidR="00A61E6D" w:rsidRPr="00617049">
        <w:t>’</w:t>
      </w:r>
      <w:r w:rsidRPr="00617049">
        <w:t>initiative ne</w:t>
      </w:r>
      <w:r w:rsidR="00545A2E" w:rsidRPr="00617049">
        <w:t xml:space="preserve"> vient pas</w:t>
      </w:r>
      <w:r w:rsidRPr="00617049">
        <w:t xml:space="preserve"> de la communauté</w:t>
      </w:r>
      <w:r w:rsidR="00545A2E" w:rsidRPr="00617049">
        <w:t xml:space="preserve"> même</w:t>
      </w:r>
      <w:r w:rsidRPr="00617049">
        <w:t>, engager dès le départ des représentants locaux et veiller à ce qu</w:t>
      </w:r>
      <w:r w:rsidR="00A61E6D" w:rsidRPr="00617049">
        <w:t>’</w:t>
      </w:r>
      <w:r w:rsidRPr="00617049">
        <w:t xml:space="preserve">ils agissent effectivement </w:t>
      </w:r>
      <w:r w:rsidR="00545A2E" w:rsidRPr="00617049">
        <w:t>en son</w:t>
      </w:r>
      <w:r w:rsidRPr="00617049">
        <w:t xml:space="preserve"> nom.</w:t>
      </w:r>
    </w:p>
    <w:p w:rsidR="004325DC" w:rsidRPr="00617049" w:rsidRDefault="00C10A1F" w:rsidP="00387062">
      <w:pPr>
        <w:pStyle w:val="Txtpucegras"/>
        <w:ind w:left="1134"/>
      </w:pPr>
      <w:r w:rsidRPr="00617049">
        <w:t>Déterminer la viabilité actuelle de l</w:t>
      </w:r>
      <w:r w:rsidR="00A61E6D" w:rsidRPr="00617049">
        <w:t>’</w:t>
      </w:r>
      <w:r w:rsidRPr="00617049">
        <w:t>élément.</w:t>
      </w:r>
    </w:p>
    <w:p w:rsidR="004325DC" w:rsidRPr="00617049" w:rsidRDefault="00C10A1F" w:rsidP="00387062">
      <w:pPr>
        <w:pStyle w:val="Txtpucegras"/>
        <w:ind w:left="1134"/>
      </w:pPr>
      <w:r w:rsidRPr="00617049">
        <w:t xml:space="preserve">Identifier toute menace </w:t>
      </w:r>
      <w:r w:rsidR="00545A2E" w:rsidRPr="00617049">
        <w:t>pesant sur</w:t>
      </w:r>
      <w:r w:rsidRPr="00617049">
        <w:t xml:space="preserve"> la viabilité de l</w:t>
      </w:r>
      <w:r w:rsidR="00A61E6D" w:rsidRPr="00617049">
        <w:t>’</w:t>
      </w:r>
      <w:r w:rsidRPr="00617049">
        <w:t>élément.</w:t>
      </w:r>
    </w:p>
    <w:p w:rsidR="004325DC" w:rsidRPr="00617049" w:rsidRDefault="00C10A1F" w:rsidP="00387062">
      <w:pPr>
        <w:pStyle w:val="Txtpucegras"/>
        <w:ind w:left="1134"/>
      </w:pPr>
      <w:r w:rsidRPr="00617049">
        <w:t>Identifier tout risque futur pour la viabilité de l</w:t>
      </w:r>
      <w:r w:rsidR="00A61E6D" w:rsidRPr="00617049">
        <w:t>’</w:t>
      </w:r>
      <w:r w:rsidRPr="00617049">
        <w:t>élément.</w:t>
      </w:r>
    </w:p>
    <w:p w:rsidR="004325DC" w:rsidRPr="00617049" w:rsidRDefault="00C10A1F" w:rsidP="00387062">
      <w:pPr>
        <w:pStyle w:val="Txtpucegras"/>
        <w:ind w:left="1134"/>
      </w:pPr>
      <w:r w:rsidRPr="00617049">
        <w:t xml:space="preserve">Identifier et évaluer les mesures de sauvegarde </w:t>
      </w:r>
      <w:r w:rsidR="00545A2E" w:rsidRPr="00617049">
        <w:t>précédent</w:t>
      </w:r>
      <w:r w:rsidRPr="00617049">
        <w:t xml:space="preserve">es et </w:t>
      </w:r>
      <w:r w:rsidR="00545A2E" w:rsidRPr="00617049">
        <w:t>en cour</w:t>
      </w:r>
      <w:r w:rsidRPr="00617049">
        <w:t>s (</w:t>
      </w:r>
      <w:r w:rsidR="00545A2E" w:rsidRPr="00617049">
        <w:t>s’il y a lieu</w:t>
      </w:r>
      <w:r w:rsidRPr="00617049">
        <w:t>).</w:t>
      </w:r>
    </w:p>
    <w:p w:rsidR="004325DC" w:rsidRPr="00617049" w:rsidRDefault="00C10A1F" w:rsidP="00387062">
      <w:pPr>
        <w:pStyle w:val="Txtpucegras"/>
        <w:ind w:left="1134"/>
      </w:pPr>
      <w:r w:rsidRPr="00617049">
        <w:t>I</w:t>
      </w:r>
      <w:r w:rsidR="00545A2E" w:rsidRPr="00617049">
        <w:t>nformer la communauté concernée</w:t>
      </w:r>
      <w:r w:rsidRPr="00617049">
        <w:t xml:space="preserve"> en </w:t>
      </w:r>
      <w:r w:rsidR="00545A2E" w:rsidRPr="00617049">
        <w:t>utilisant</w:t>
      </w:r>
      <w:r w:rsidRPr="00617049">
        <w:t xml:space="preserve"> des moyens qui sont adaptés à la situation. Le cas échéant, informer les autres communautés.</w:t>
      </w:r>
    </w:p>
    <w:p w:rsidR="004325DC" w:rsidRPr="00617049" w:rsidRDefault="00C10A1F" w:rsidP="00387062">
      <w:pPr>
        <w:pStyle w:val="Txtpucegras"/>
        <w:ind w:left="1134"/>
      </w:pPr>
      <w:r w:rsidRPr="00617049">
        <w:t xml:space="preserve">Déterminer la mobilisation au sein de la communauté concernée </w:t>
      </w:r>
      <w:r w:rsidR="000401DB" w:rsidRPr="00617049">
        <w:t>comme</w:t>
      </w:r>
      <w:r w:rsidRPr="00617049">
        <w:t xml:space="preserve"> à l</w:t>
      </w:r>
      <w:r w:rsidR="00A61E6D" w:rsidRPr="00617049">
        <w:t>’</w:t>
      </w:r>
      <w:r w:rsidRPr="00617049">
        <w:t>extérieur</w:t>
      </w:r>
      <w:r w:rsidR="000401DB" w:rsidRPr="00617049">
        <w:t>,</w:t>
      </w:r>
      <w:r w:rsidRPr="00617049">
        <w:t xml:space="preserve"> en faveur de la sauvegarde de l</w:t>
      </w:r>
      <w:r w:rsidR="00A61E6D" w:rsidRPr="00617049">
        <w:t>’</w:t>
      </w:r>
      <w:r w:rsidRPr="00617049">
        <w:t>élément.</w:t>
      </w:r>
    </w:p>
    <w:p w:rsidR="004325DC" w:rsidRPr="00617049" w:rsidRDefault="00C10A1F" w:rsidP="00387062">
      <w:pPr>
        <w:pStyle w:val="Txtpucegras"/>
        <w:ind w:left="1134"/>
      </w:pPr>
      <w:r w:rsidRPr="00617049">
        <w:t xml:space="preserve">Le cas échéant, identifier ou créer une structure qui coordonnera la mise en œuvre des mesures </w:t>
      </w:r>
      <w:r w:rsidR="00BB70F2" w:rsidRPr="00617049">
        <w:t>– </w:t>
      </w:r>
      <w:r w:rsidRPr="00617049">
        <w:t>avec l</w:t>
      </w:r>
      <w:r w:rsidR="000401DB" w:rsidRPr="00617049">
        <w:t>a participation</w:t>
      </w:r>
      <w:r w:rsidRPr="00617049">
        <w:t xml:space="preserve"> de membres de la communauté.</w:t>
      </w:r>
    </w:p>
    <w:p w:rsidR="004325DC" w:rsidRPr="00617049" w:rsidRDefault="00C10A1F" w:rsidP="00387062">
      <w:pPr>
        <w:pStyle w:val="Txtpucegras"/>
        <w:ind w:left="1134"/>
      </w:pPr>
      <w:r w:rsidRPr="00617049">
        <w:t>Classer les mesures de sauvegarde par ordre de priorité et de coût.</w:t>
      </w:r>
    </w:p>
    <w:p w:rsidR="004325DC" w:rsidRPr="00617049" w:rsidRDefault="00C10A1F" w:rsidP="00387062">
      <w:pPr>
        <w:pStyle w:val="Txtpucegras"/>
        <w:ind w:left="1134"/>
      </w:pPr>
      <w:r w:rsidRPr="00617049">
        <w:t>Obtenir le consentement de la communauté à la mise en œuvre des mesures de sauvegarde.</w:t>
      </w:r>
    </w:p>
    <w:p w:rsidR="004325DC" w:rsidRPr="00617049" w:rsidRDefault="00C10A1F" w:rsidP="00387062">
      <w:pPr>
        <w:pStyle w:val="Txtpucegras"/>
        <w:ind w:left="1134"/>
      </w:pPr>
      <w:r w:rsidRPr="00617049">
        <w:t>Trouver des ressources (humaines et matérielles) pour mettre en œuvre les mesures de sauvegarde.</w:t>
      </w:r>
    </w:p>
    <w:p w:rsidR="004325DC" w:rsidRPr="00617049" w:rsidRDefault="00C10A1F" w:rsidP="00387062">
      <w:pPr>
        <w:pStyle w:val="Txtpucegras"/>
        <w:ind w:left="1134"/>
      </w:pPr>
      <w:r w:rsidRPr="00617049">
        <w:t>Mettre en œuvre les mesures de sauvegarde.</w:t>
      </w:r>
    </w:p>
    <w:p w:rsidR="004325DC" w:rsidRPr="00617049" w:rsidRDefault="00C10A1F" w:rsidP="00387062">
      <w:pPr>
        <w:pStyle w:val="Txtpucegras"/>
        <w:ind w:left="1134"/>
      </w:pPr>
      <w:r w:rsidRPr="00617049">
        <w:t>Surveiller et évaluer l</w:t>
      </w:r>
      <w:r w:rsidR="00A61E6D" w:rsidRPr="00617049">
        <w:t>’</w:t>
      </w:r>
      <w:r w:rsidRPr="00617049">
        <w:t>impact des mesures de sauvegarde.</w:t>
      </w:r>
    </w:p>
    <w:p w:rsidR="004325DC" w:rsidRPr="00617049" w:rsidRDefault="00C10A1F" w:rsidP="00387062">
      <w:pPr>
        <w:pStyle w:val="Txtpucegras"/>
        <w:ind w:left="1134"/>
      </w:pPr>
      <w:r w:rsidRPr="00617049">
        <w:t>Le cas échéant, ajuster les mesures de sauvegarde.</w:t>
      </w:r>
    </w:p>
    <w:p w:rsidR="004325DC" w:rsidRPr="00617049" w:rsidRDefault="00E6591E" w:rsidP="00914287">
      <w:pPr>
        <w:pStyle w:val="Informations"/>
      </w:pPr>
      <w:r w:rsidRPr="00617049">
        <w:t xml:space="preserve">Les </w:t>
      </w:r>
      <w:r w:rsidR="00D65E8C" w:rsidRPr="00617049">
        <w:t xml:space="preserve">Études </w:t>
      </w:r>
      <w:r w:rsidR="00C10A1F" w:rsidRPr="00617049">
        <w:t>de cas 22</w:t>
      </w:r>
      <w:r w:rsidR="00D20837" w:rsidRPr="00617049">
        <w:t>-</w:t>
      </w:r>
      <w:r w:rsidR="00AB413E" w:rsidRPr="00617049">
        <w:t>27</w:t>
      </w:r>
      <w:r w:rsidR="00C10A1F" w:rsidRPr="00617049">
        <w:t xml:space="preserve"> </w:t>
      </w:r>
      <w:r w:rsidR="00D20837" w:rsidRPr="00617049">
        <w:t>donnent des</w:t>
      </w:r>
      <w:r w:rsidR="00C10A1F" w:rsidRPr="00617049">
        <w:t xml:space="preserve"> exemples </w:t>
      </w:r>
      <w:r w:rsidR="00D20837" w:rsidRPr="00617049">
        <w:t xml:space="preserve">variés </w:t>
      </w:r>
      <w:r w:rsidR="00C10A1F" w:rsidRPr="00617049">
        <w:t xml:space="preserve">de mesures de sauvegarde </w:t>
      </w:r>
      <w:r w:rsidRPr="00617049">
        <w:rPr>
          <w:noProof/>
          <w:lang w:val="es-ES_tradnl" w:eastAsia="es-ES_tradnl"/>
        </w:rPr>
        <w:drawing>
          <wp:anchor distT="0" distB="0" distL="114300" distR="114300" simplePos="0" relativeHeight="251905536" behindDoc="0" locked="1" layoutInCell="1" allowOverlap="0">
            <wp:simplePos x="0" y="0"/>
            <wp:positionH relativeFrom="column">
              <wp:posOffset>0</wp:posOffset>
            </wp:positionH>
            <wp:positionV relativeFrom="paragraph">
              <wp:posOffset>54610</wp:posOffset>
            </wp:positionV>
            <wp:extent cx="283210" cy="358775"/>
            <wp:effectExtent l="0" t="0" r="0" b="0"/>
            <wp:wrapThrough wrapText="bothSides">
              <wp:wrapPolygon edited="0">
                <wp:start x="0" y="0"/>
                <wp:lineTo x="0" y="19880"/>
                <wp:lineTo x="19372" y="19880"/>
                <wp:lineTo x="19372" y="0"/>
                <wp:lineTo x="0" y="0"/>
              </wp:wrapPolygon>
            </wp:wrapThrough>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D20837" w:rsidRPr="00617049">
        <w:t>élabor</w:t>
      </w:r>
      <w:r w:rsidR="00C10A1F" w:rsidRPr="00617049">
        <w:t>ées et/ou mises en œuvre pour des éléments du PCI</w:t>
      </w:r>
      <w:r w:rsidR="00EA1FE1" w:rsidRPr="00617049">
        <w:t> ;</w:t>
      </w:r>
      <w:r w:rsidR="00C10A1F" w:rsidRPr="00617049">
        <w:t xml:space="preserve"> tout ou partie de ces éléments sont inscrits sur une Liste de la Convention.</w:t>
      </w:r>
    </w:p>
    <w:sectPr w:rsidR="004325DC" w:rsidRPr="00617049" w:rsidSect="00A4193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oddPage"/>
      <w:pgSz w:w="11900" w:h="16840"/>
      <w:pgMar w:top="1701" w:right="1531" w:bottom="1701" w:left="1531" w:header="720" w:footer="720"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409BCF" w15:done="0"/>
  <w15:commentEx w15:paraId="311725F1" w15:done="0"/>
  <w15:commentEx w15:paraId="59BC89B0" w15:done="0"/>
  <w15:commentEx w15:paraId="6A3519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015" w:rsidRDefault="008B2015" w:rsidP="000F4C6A">
      <w:r>
        <w:separator/>
      </w:r>
    </w:p>
    <w:p w:rsidR="008B2015" w:rsidRDefault="008B2015"/>
    <w:p w:rsidR="008B2015" w:rsidRDefault="008B2015"/>
  </w:endnote>
  <w:endnote w:type="continuationSeparator" w:id="0">
    <w:p w:rsidR="008B2015" w:rsidRDefault="008B2015" w:rsidP="000F4C6A">
      <w:r>
        <w:continuationSeparator/>
      </w:r>
    </w:p>
    <w:p w:rsidR="008B2015" w:rsidRDefault="008B2015"/>
    <w:p w:rsidR="008B2015" w:rsidRDefault="008B2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Gras">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15" w:rsidRDefault="001D6712" w:rsidP="00A31863">
    <w:pPr>
      <w:pStyle w:val="Footer"/>
    </w:pPr>
    <w:r>
      <w:rPr>
        <w:noProof/>
        <w:snapToGrid/>
        <w:lang w:val="es-ES_tradnl" w:eastAsia="es-ES_tradnl"/>
      </w:rPr>
      <w:drawing>
        <wp:anchor distT="0" distB="0" distL="114300" distR="114300" simplePos="0" relativeHeight="251999232" behindDoc="0" locked="0" layoutInCell="1" allowOverlap="1" wp14:anchorId="4FAF809B" wp14:editId="1AE58D7B">
          <wp:simplePos x="0" y="0"/>
          <wp:positionH relativeFrom="margin">
            <wp:align>left</wp:align>
          </wp:positionH>
          <wp:positionV relativeFrom="paragraph">
            <wp:posOffset>-288925</wp:posOffset>
          </wp:positionV>
          <wp:extent cx="839478" cy="6302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8" cy="630244"/>
                  </a:xfrm>
                  <a:prstGeom prst="rect">
                    <a:avLst/>
                  </a:prstGeom>
                </pic:spPr>
              </pic:pic>
            </a:graphicData>
          </a:graphic>
          <wp14:sizeRelH relativeFrom="page">
            <wp14:pctWidth>0</wp14:pctWidth>
          </wp14:sizeRelH>
          <wp14:sizeRelV relativeFrom="page">
            <wp14:pctHeight>0</wp14:pctHeight>
          </wp14:sizeRelV>
        </wp:anchor>
      </w:drawing>
    </w:r>
    <w:r w:rsidR="008B2015">
      <w:tab/>
      <w:t>© UNESCO • Ne pas reprod</w:t>
    </w:r>
    <w:r w:rsidR="00ED75D0">
      <w:t>uire sans autorisation</w:t>
    </w:r>
    <w:r w:rsidR="00ED75D0">
      <w:tab/>
      <w:t>U009-v1.1</w:t>
    </w:r>
    <w:r w:rsidR="008B2015">
      <w:t>-PT-FR</w:t>
    </w:r>
    <w:r w:rsidR="008B2015" w:rsidRPr="00BA76B0" w:rsidDel="00D80F71">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15" w:rsidRPr="00A21469" w:rsidRDefault="001D6712" w:rsidP="00A21469">
    <w:pPr>
      <w:pStyle w:val="Footer"/>
      <w:tabs>
        <w:tab w:val="left" w:pos="2600"/>
      </w:tabs>
      <w:rPr>
        <w:sz w:val="20"/>
      </w:rPr>
    </w:pPr>
    <w:r>
      <w:rPr>
        <w:noProof/>
        <w:snapToGrid/>
        <w:lang w:val="es-ES_tradnl" w:eastAsia="es-ES_tradnl"/>
      </w:rPr>
      <w:drawing>
        <wp:anchor distT="0" distB="0" distL="114300" distR="114300" simplePos="0" relativeHeight="252001280" behindDoc="0" locked="0" layoutInCell="1" allowOverlap="1" wp14:anchorId="01D19E97" wp14:editId="61BDAD84">
          <wp:simplePos x="0" y="0"/>
          <wp:positionH relativeFrom="margin">
            <wp:posOffset>4928870</wp:posOffset>
          </wp:positionH>
          <wp:positionV relativeFrom="paragraph">
            <wp:posOffset>-288925</wp:posOffset>
          </wp:positionV>
          <wp:extent cx="839470" cy="6299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ED75D0">
      <w:t>U009-v1.1</w:t>
    </w:r>
    <w:r w:rsidR="008B2015">
      <w:t>-PT-FR</w:t>
    </w:r>
    <w:r w:rsidR="008B2015">
      <w:tab/>
      <w:t>© UNESCO • Ne pas reproduire sans autorisation</w:t>
    </w:r>
    <w:bookmarkStart w:id="85" w:name="_GoBack"/>
    <w:bookmarkEnd w:id="85"/>
    <w:r w:rsidR="008B201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15" w:rsidRPr="00150FFB" w:rsidRDefault="001D6712" w:rsidP="009633A3">
    <w:pPr>
      <w:pStyle w:val="Footer"/>
      <w:tabs>
        <w:tab w:val="left" w:pos="2600"/>
      </w:tabs>
      <w:rPr>
        <w:sz w:val="20"/>
      </w:rPr>
    </w:pPr>
    <w:r>
      <w:rPr>
        <w:noProof/>
        <w:snapToGrid/>
        <w:lang w:val="es-ES_tradnl" w:eastAsia="es-ES_tradnl"/>
      </w:rPr>
      <w:drawing>
        <wp:anchor distT="0" distB="0" distL="114300" distR="114300" simplePos="0" relativeHeight="251997184" behindDoc="0" locked="0" layoutInCell="1" allowOverlap="1" wp14:anchorId="3FE4FBF3" wp14:editId="4EA26135">
          <wp:simplePos x="0" y="0"/>
          <wp:positionH relativeFrom="margin">
            <wp:align>right</wp:align>
          </wp:positionH>
          <wp:positionV relativeFrom="paragraph">
            <wp:posOffset>-288925</wp:posOffset>
          </wp:positionV>
          <wp:extent cx="839470" cy="629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ED75D0">
      <w:t>U009-v1.1</w:t>
    </w:r>
    <w:r w:rsidR="008B2015">
      <w:t>-PT-FR</w:t>
    </w:r>
    <w:r w:rsidR="008B2015">
      <w:tab/>
      <w:t>© UNESCO • Ne pas reproduire sans autorisation</w:t>
    </w:r>
    <w:r w:rsidR="008B201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015" w:rsidRDefault="008B2015" w:rsidP="00150FFB">
      <w:pPr>
        <w:spacing w:after="60"/>
        <w:ind w:left="0"/>
      </w:pPr>
      <w:r>
        <w:separator/>
      </w:r>
    </w:p>
  </w:footnote>
  <w:footnote w:type="continuationSeparator" w:id="0">
    <w:p w:rsidR="008B2015" w:rsidRDefault="008B2015" w:rsidP="000F4C6A">
      <w:r>
        <w:continuationSeparator/>
      </w:r>
    </w:p>
    <w:p w:rsidR="008B2015" w:rsidRDefault="008B2015"/>
    <w:p w:rsidR="008B2015" w:rsidRDefault="008B2015"/>
  </w:footnote>
  <w:footnote w:id="1">
    <w:p w:rsidR="008B2015" w:rsidRDefault="008B2015">
      <w:pPr>
        <w:pStyle w:val="FootnoteText"/>
      </w:pPr>
      <w:r w:rsidRPr="00E067A0">
        <w:rPr>
          <w:rStyle w:val="FootnoteReference"/>
          <w:sz w:val="16"/>
          <w:szCs w:val="16"/>
          <w:vertAlign w:val="baseline"/>
        </w:rPr>
        <w:footnoteRef/>
      </w:r>
      <w:r>
        <w:rPr>
          <w:szCs w:val="16"/>
        </w:rPr>
        <w:t>.</w:t>
      </w:r>
      <w:r>
        <w:rPr>
          <w:szCs w:val="16"/>
        </w:rPr>
        <w:tab/>
        <w:t>Fréquemment ap</w:t>
      </w:r>
      <w:r>
        <w:rPr>
          <w:rStyle w:val="hps"/>
        </w:rPr>
        <w:t>pelée « Convention du patrimoine</w:t>
      </w:r>
      <w:r>
        <w:t xml:space="preserve"> culturel </w:t>
      </w:r>
      <w:r>
        <w:rPr>
          <w:rStyle w:val="hps"/>
        </w:rPr>
        <w:t>immatériel », « Convention de 2003 » et</w:t>
      </w:r>
      <w:r>
        <w:t xml:space="preserve">, aux fins </w:t>
      </w:r>
      <w:r>
        <w:rPr>
          <w:rStyle w:val="hps"/>
        </w:rPr>
        <w:t>de la présente unité</w:t>
      </w:r>
      <w:r>
        <w:t>, dite</w:t>
      </w:r>
      <w:r>
        <w:rPr>
          <w:rStyle w:val="hps"/>
        </w:rPr>
        <w:t xml:space="preserve"> simplement « la Convention »</w:t>
      </w:r>
      <w:r>
        <w:t>.</w:t>
      </w:r>
    </w:p>
  </w:footnote>
  <w:footnote w:id="2">
    <w:p w:rsidR="008B2015" w:rsidRDefault="008B2015">
      <w:pPr>
        <w:pStyle w:val="FootnoteText"/>
      </w:pPr>
      <w:r w:rsidRPr="00641762">
        <w:rPr>
          <w:rStyle w:val="FootnoteReference"/>
          <w:sz w:val="16"/>
          <w:szCs w:val="16"/>
          <w:vertAlign w:val="baseline"/>
        </w:rPr>
        <w:footnoteRef/>
      </w:r>
      <w:r>
        <w:rPr>
          <w:szCs w:val="16"/>
        </w:rPr>
        <w:t>.</w:t>
      </w:r>
      <w:r>
        <w:rPr>
          <w:szCs w:val="16"/>
        </w:rPr>
        <w:tab/>
      </w:r>
      <w:r w:rsidRPr="008A7E01">
        <w:rPr>
          <w:i/>
        </w:rPr>
        <w:t xml:space="preserve">Intangible </w:t>
      </w:r>
      <w:proofErr w:type="spellStart"/>
      <w:r w:rsidRPr="008A7E01">
        <w:rPr>
          <w:i/>
        </w:rPr>
        <w:t>Heritage</w:t>
      </w:r>
      <w:proofErr w:type="spellEnd"/>
      <w:r w:rsidRPr="008A7E01">
        <w:rPr>
          <w:i/>
        </w:rPr>
        <w:t xml:space="preserve"> Messenger</w:t>
      </w:r>
      <w:r w:rsidR="005151FE">
        <w:t>, 2007, No. 6</w:t>
      </w:r>
      <w:r w:rsidRPr="008A7E01">
        <w:t xml:space="preserve">, mai. </w:t>
      </w:r>
      <w:r>
        <w:t>Disponible à</w:t>
      </w:r>
      <w:r w:rsidRPr="008A7E01">
        <w:t> :</w:t>
      </w:r>
      <w:r>
        <w:tab/>
      </w:r>
      <w:r>
        <w:br/>
      </w:r>
      <w:hyperlink r:id="rId1" w:history="1">
        <w:r w:rsidRPr="003B2E5B">
          <w:rPr>
            <w:rStyle w:val="Hyperlink"/>
          </w:rPr>
          <w:t>http://unesdoc.unesco.org/images/0015/001506/150671f.pdf</w:t>
        </w:r>
      </w:hyperlink>
    </w:p>
  </w:footnote>
  <w:footnote w:id="3">
    <w:p w:rsidR="008B2015" w:rsidRPr="00D07828" w:rsidRDefault="008B2015" w:rsidP="008D4319">
      <w:pPr>
        <w:pStyle w:val="FootnoteText"/>
      </w:pPr>
      <w:r w:rsidRPr="00D57EC4">
        <w:rPr>
          <w:szCs w:val="14"/>
        </w:rPr>
        <w:footnoteRef/>
      </w:r>
      <w:r>
        <w:rPr>
          <w:szCs w:val="14"/>
        </w:rPr>
        <w:t>.</w:t>
      </w:r>
      <w:r>
        <w:rPr>
          <w:szCs w:val="14"/>
        </w:rPr>
        <w:tab/>
      </w:r>
      <w:r w:rsidRPr="00FC15EB">
        <w:t xml:space="preserve">Dossier de candidature du </w:t>
      </w:r>
      <w:r w:rsidRPr="009D7B2E">
        <w:rPr>
          <w:noProof/>
        </w:rPr>
        <w:t xml:space="preserve">Batik, site Web </w:t>
      </w:r>
      <w:r w:rsidR="00EA46CA">
        <w:rPr>
          <w:noProof/>
        </w:rPr>
        <w:t>du PCI</w:t>
      </w:r>
      <w:r w:rsidRPr="009D7B2E">
        <w:rPr>
          <w:noProof/>
        </w:rPr>
        <w:t xml:space="preserve">. Voir aussi L. Lowthorp, 2010, </w:t>
      </w:r>
      <w:r w:rsidRPr="009D7B2E">
        <w:rPr>
          <w:i/>
          <w:noProof/>
        </w:rPr>
        <w:t>National Intangible Cultural Heritage (ICH) Legislation and Initiatives</w:t>
      </w:r>
      <w:r w:rsidRPr="009D7B2E">
        <w:rPr>
          <w:noProof/>
        </w:rPr>
        <w:t>, Bureau de l’UNESCO à New Delhi, p. 20</w:t>
      </w:r>
      <w:r w:rsidRPr="00D0782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15" w:rsidRPr="00603A8C" w:rsidRDefault="00FE2226" w:rsidP="00150FFB">
    <w:pPr>
      <w:pStyle w:val="Header"/>
      <w:rPr>
        <w:lang w:val="fr-FR"/>
      </w:rPr>
    </w:pPr>
    <w:r>
      <w:rPr>
        <w:rStyle w:val="PageNumber"/>
      </w:rPr>
      <w:fldChar w:fldCharType="begin"/>
    </w:r>
    <w:r w:rsidR="008B2015" w:rsidRPr="00603A8C">
      <w:rPr>
        <w:rStyle w:val="PageNumber"/>
        <w:lang w:val="fr-FR"/>
      </w:rPr>
      <w:instrText xml:space="preserve"> PAGE </w:instrText>
    </w:r>
    <w:r>
      <w:rPr>
        <w:rStyle w:val="PageNumber"/>
      </w:rPr>
      <w:fldChar w:fldCharType="separate"/>
    </w:r>
    <w:r w:rsidR="001D6712">
      <w:rPr>
        <w:rStyle w:val="PageNumber"/>
        <w:noProof/>
        <w:lang w:val="fr-FR"/>
      </w:rPr>
      <w:t>8</w:t>
    </w:r>
    <w:r>
      <w:rPr>
        <w:rStyle w:val="PageNumber"/>
      </w:rPr>
      <w:fldChar w:fldCharType="end"/>
    </w:r>
    <w:r w:rsidR="008B2015" w:rsidRPr="00603A8C">
      <w:rPr>
        <w:lang w:val="fr-FR"/>
      </w:rPr>
      <w:tab/>
    </w:r>
    <w:proofErr w:type="spellStart"/>
    <w:r w:rsidR="008B2015">
      <w:t>Unité</w:t>
    </w:r>
    <w:proofErr w:type="spellEnd"/>
    <w:r w:rsidR="008B2015">
      <w:t xml:space="preserve"> 9 : </w:t>
    </w:r>
    <w:proofErr w:type="spellStart"/>
    <w:r w:rsidR="008B2015">
      <w:t>Sauvegarde</w:t>
    </w:r>
    <w:proofErr w:type="spellEnd"/>
    <w:r w:rsidR="008B2015">
      <w:rPr>
        <w:lang w:val="fr-FR"/>
      </w:rPr>
      <w:tab/>
    </w:r>
    <w:r w:rsidR="008B2015" w:rsidRPr="00603A8C">
      <w:rPr>
        <w:lang w:val="fr-FR"/>
      </w:rPr>
      <w:t>Texte du participant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15" w:rsidRPr="00603A8C" w:rsidRDefault="008B2015" w:rsidP="00150FFB">
    <w:pPr>
      <w:pStyle w:val="Header"/>
      <w:rPr>
        <w:lang w:val="fr-FR"/>
      </w:rPr>
    </w:pPr>
    <w:r w:rsidRPr="00603A8C">
      <w:rPr>
        <w:lang w:val="fr-FR"/>
      </w:rPr>
      <w:t>Texte du participant</w:t>
    </w:r>
    <w:r w:rsidRPr="00603A8C">
      <w:rPr>
        <w:lang w:val="fr-FR"/>
      </w:rPr>
      <w:tab/>
    </w:r>
    <w:proofErr w:type="spellStart"/>
    <w:r>
      <w:t>Unité</w:t>
    </w:r>
    <w:proofErr w:type="spellEnd"/>
    <w:r>
      <w:t xml:space="preserve"> 9 : </w:t>
    </w:r>
    <w:proofErr w:type="spellStart"/>
    <w:r>
      <w:t>Sauvegarde</w:t>
    </w:r>
    <w:proofErr w:type="spellEnd"/>
    <w:r w:rsidRPr="00603A8C">
      <w:rPr>
        <w:lang w:val="fr-FR"/>
      </w:rPr>
      <w:tab/>
    </w:r>
    <w:r w:rsidR="00FE2226">
      <w:rPr>
        <w:rStyle w:val="PageNumber"/>
      </w:rPr>
      <w:fldChar w:fldCharType="begin"/>
    </w:r>
    <w:r w:rsidRPr="00603A8C">
      <w:rPr>
        <w:rStyle w:val="PageNumber"/>
        <w:lang w:val="fr-FR"/>
      </w:rPr>
      <w:instrText xml:space="preserve"> PAGE </w:instrText>
    </w:r>
    <w:r w:rsidR="00FE2226">
      <w:rPr>
        <w:rStyle w:val="PageNumber"/>
      </w:rPr>
      <w:fldChar w:fldCharType="separate"/>
    </w:r>
    <w:r w:rsidR="001D6712">
      <w:rPr>
        <w:rStyle w:val="PageNumber"/>
        <w:noProof/>
        <w:lang w:val="fr-FR"/>
      </w:rPr>
      <w:t>3</w:t>
    </w:r>
    <w:r w:rsidR="00FE2226">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15" w:rsidRPr="00603A8C" w:rsidRDefault="008B2015" w:rsidP="00A41931">
    <w:pPr>
      <w:pStyle w:val="Header"/>
      <w:ind w:right="360"/>
      <w:rPr>
        <w:lang w:val="fr-FR"/>
      </w:rPr>
    </w:pPr>
    <w:r>
      <w:rPr>
        <w:rStyle w:val="PageNumber"/>
      </w:rPr>
      <w:tab/>
    </w:r>
    <w:proofErr w:type="spellStart"/>
    <w:r>
      <w:rPr>
        <w:rStyle w:val="PageNumber"/>
      </w:rPr>
      <w:t>Texte</w:t>
    </w:r>
    <w:proofErr w:type="spellEnd"/>
    <w:r>
      <w:rPr>
        <w:rStyle w:val="PageNumber"/>
      </w:rPr>
      <w:t xml:space="preserve"> du participant</w: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0947F6"/>
    <w:multiLevelType w:val="hybridMultilevel"/>
    <w:tmpl w:val="31FE440C"/>
    <w:lvl w:ilvl="0" w:tplc="083C3858">
      <w:start w:val="1"/>
      <w:numFmt w:val="decimal"/>
      <w:pStyle w:val="Enumrotation"/>
      <w:lvlText w:val="%1."/>
      <w:lvlJc w:val="left"/>
      <w:pPr>
        <w:tabs>
          <w:tab w:val="num" w:pos="1191"/>
        </w:tabs>
        <w:ind w:left="1191" w:hanging="340"/>
      </w:pPr>
      <w:rPr>
        <w:rFonts w:ascii="Arial" w:eastAsia="SimSun" w:hAnsi="Arial" w:cs="Arial"/>
      </w:rPr>
    </w:lvl>
    <w:lvl w:ilvl="1" w:tplc="040C0019">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2">
    <w:nsid w:val="1A211498"/>
    <w:multiLevelType w:val="hybridMultilevel"/>
    <w:tmpl w:val="4BF2EDA2"/>
    <w:lvl w:ilvl="0" w:tplc="040C0001">
      <w:start w:val="1"/>
      <w:numFmt w:val="bullet"/>
      <w:lvlText w:val=""/>
      <w:lvlJc w:val="left"/>
      <w:pPr>
        <w:ind w:left="1571" w:hanging="360"/>
      </w:pPr>
      <w:rPr>
        <w:rFonts w:ascii="Symbol" w:hAnsi="Symbol" w:hint="default"/>
      </w:rPr>
    </w:lvl>
    <w:lvl w:ilvl="1" w:tplc="436E5EE2">
      <w:numFmt w:val="bullet"/>
      <w:lvlText w:val="-"/>
      <w:lvlJc w:val="left"/>
      <w:pPr>
        <w:ind w:left="3142" w:hanging="1211"/>
      </w:pPr>
      <w:rPr>
        <w:rFonts w:ascii="Arial" w:eastAsia="SimSun" w:hAnsi="Arial" w:cs="Aria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nsid w:val="1C233066"/>
    <w:multiLevelType w:val="multilevel"/>
    <w:tmpl w:val="A0E60D08"/>
    <w:lvl w:ilvl="0">
      <w:start w:val="1"/>
      <w:numFmt w:val="bullet"/>
      <w:lvlText w:val=""/>
      <w:lvlJc w:val="left"/>
      <w:pPr>
        <w:tabs>
          <w:tab w:val="num" w:pos="567"/>
        </w:tabs>
        <w:ind w:left="567" w:hanging="567"/>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pStyle w:val="Txtpucemaitre"/>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6">
    <w:nsid w:val="3B8943AE"/>
    <w:multiLevelType w:val="hybridMultilevel"/>
    <w:tmpl w:val="A0E60D08"/>
    <w:lvl w:ilvl="0" w:tplc="DE1C8388">
      <w:start w:val="1"/>
      <w:numFmt w:val="bullet"/>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1D672D"/>
    <w:multiLevelType w:val="multilevel"/>
    <w:tmpl w:val="E284A1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8AD26BF"/>
    <w:multiLevelType w:val="hybridMultilevel"/>
    <w:tmpl w:val="653E8370"/>
    <w:lvl w:ilvl="0" w:tplc="D24E78FE">
      <w:start w:val="1"/>
      <w:numFmt w:val="decimal"/>
      <w:pStyle w:val="Enu1"/>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9">
    <w:nsid w:val="5B587C39"/>
    <w:multiLevelType w:val="hybridMultilevel"/>
    <w:tmpl w:val="ACAA8AD0"/>
    <w:lvl w:ilvl="0" w:tplc="D4A2D562">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C9C7E9B"/>
    <w:multiLevelType w:val="hybridMultilevel"/>
    <w:tmpl w:val="AD5E7E1C"/>
    <w:lvl w:ilvl="0" w:tplc="95A6A61A">
      <w:start w:val="1"/>
      <w:numFmt w:val="bull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EBD194B"/>
    <w:multiLevelType w:val="hybridMultilevel"/>
    <w:tmpl w:val="4B349D9E"/>
    <w:lvl w:ilvl="0" w:tplc="B04E0E06">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nsid w:val="70C57F62"/>
    <w:multiLevelType w:val="hybridMultilevel"/>
    <w:tmpl w:val="F9000E08"/>
    <w:lvl w:ilvl="0" w:tplc="86DE94BC">
      <w:numFmt w:val="bullet"/>
      <w:pStyle w:val="Enutir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nsid w:val="75674636"/>
    <w:multiLevelType w:val="multilevel"/>
    <w:tmpl w:val="811215F8"/>
    <w:lvl w:ilvl="0">
      <w:start w:val="1"/>
      <w:numFmt w:val="bullet"/>
      <w:lvlText w:val=""/>
      <w:lvlJc w:val="left"/>
      <w:pPr>
        <w:tabs>
          <w:tab w:val="num" w:pos="1003"/>
        </w:tabs>
        <w:ind w:left="1003"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BD74204"/>
    <w:multiLevelType w:val="hybridMultilevel"/>
    <w:tmpl w:val="8FB6C784"/>
    <w:lvl w:ilvl="0" w:tplc="590A27DA">
      <w:start w:val="1"/>
      <w:numFmt w:val="bullet"/>
      <w:pStyle w:val="Puceannexe"/>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15">
    <w:nsid w:val="7ED741CB"/>
    <w:multiLevelType w:val="hybridMultilevel"/>
    <w:tmpl w:val="6C2646DC"/>
    <w:lvl w:ilvl="0" w:tplc="C360C63E">
      <w:start w:val="2"/>
      <w:numFmt w:val="none"/>
      <w:pStyle w:val="citationa"/>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1"/>
  </w:num>
  <w:num w:numId="2">
    <w:abstractNumId w:val="5"/>
  </w:num>
  <w:num w:numId="3">
    <w:abstractNumId w:val="4"/>
  </w:num>
  <w:num w:numId="4">
    <w:abstractNumId w:val="14"/>
  </w:num>
  <w:num w:numId="5">
    <w:abstractNumId w:val="16"/>
  </w:num>
  <w:num w:numId="6">
    <w:abstractNumId w:val="15"/>
  </w:num>
  <w:num w:numId="7">
    <w:abstractNumId w:val="8"/>
  </w:num>
  <w:num w:numId="8">
    <w:abstractNumId w:val="1"/>
  </w:num>
  <w:num w:numId="9">
    <w:abstractNumId w:val="1"/>
    <w:lvlOverride w:ilvl="0">
      <w:startOverride w:val="1"/>
    </w:lvlOverride>
  </w:num>
  <w:num w:numId="10">
    <w:abstractNumId w:val="12"/>
  </w:num>
  <w:num w:numId="11">
    <w:abstractNumId w:val="1"/>
    <w:lvlOverride w:ilvl="0">
      <w:startOverride w:val="1"/>
    </w:lvlOverride>
  </w:num>
  <w:num w:numId="12">
    <w:abstractNumId w:val="2"/>
  </w:num>
  <w:num w:numId="13">
    <w:abstractNumId w:val="9"/>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3"/>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6"/>
  </w:num>
  <w:num w:numId="28">
    <w:abstractNumId w:val="9"/>
  </w:num>
  <w:num w:numId="29">
    <w:abstractNumId w:val="9"/>
  </w:num>
  <w:num w:numId="30">
    <w:abstractNumId w:val="9"/>
  </w:num>
  <w:num w:numId="31">
    <w:abstractNumId w:val="3"/>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2"/>
  </w:num>
  <w:num w:numId="40">
    <w:abstractNumId w:val="12"/>
  </w:num>
  <w:num w:numId="41">
    <w:abstractNumId w:val="11"/>
  </w:num>
  <w:num w:numId="42">
    <w:abstractNumId w:val="11"/>
  </w:num>
  <w:num w:numId="43">
    <w:abstractNumId w:val="10"/>
  </w:num>
  <w:num w:numId="44">
    <w:abstractNumId w:val="11"/>
  </w:num>
  <w:num w:numId="45">
    <w:abstractNumId w:val="11"/>
  </w:num>
  <w:num w:numId="46">
    <w:abstractNumId w:val="9"/>
  </w:num>
  <w:num w:numId="47">
    <w:abstractNumId w:val="9"/>
  </w:num>
  <w:num w:numId="48">
    <w:abstractNumId w:val="12"/>
  </w:num>
  <w:num w:numId="49">
    <w:abstractNumId w:val="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4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3E"/>
    <w:rsid w:val="000006EA"/>
    <w:rsid w:val="00000D1F"/>
    <w:rsid w:val="00000DB8"/>
    <w:rsid w:val="00014873"/>
    <w:rsid w:val="0001493B"/>
    <w:rsid w:val="000151E5"/>
    <w:rsid w:val="0001741F"/>
    <w:rsid w:val="00017D71"/>
    <w:rsid w:val="000213A8"/>
    <w:rsid w:val="00022302"/>
    <w:rsid w:val="0002511C"/>
    <w:rsid w:val="00026DC2"/>
    <w:rsid w:val="00027DD9"/>
    <w:rsid w:val="000349C0"/>
    <w:rsid w:val="00040131"/>
    <w:rsid w:val="000401DB"/>
    <w:rsid w:val="00041EBF"/>
    <w:rsid w:val="000424D8"/>
    <w:rsid w:val="00043DFF"/>
    <w:rsid w:val="00044417"/>
    <w:rsid w:val="00047780"/>
    <w:rsid w:val="00053368"/>
    <w:rsid w:val="00054243"/>
    <w:rsid w:val="000542FD"/>
    <w:rsid w:val="00054EE0"/>
    <w:rsid w:val="00055F54"/>
    <w:rsid w:val="00062885"/>
    <w:rsid w:val="000651E6"/>
    <w:rsid w:val="00066E72"/>
    <w:rsid w:val="0007094A"/>
    <w:rsid w:val="00073751"/>
    <w:rsid w:val="00074FFC"/>
    <w:rsid w:val="00075D7D"/>
    <w:rsid w:val="00076221"/>
    <w:rsid w:val="000800C0"/>
    <w:rsid w:val="00080DAF"/>
    <w:rsid w:val="000819F8"/>
    <w:rsid w:val="000826E1"/>
    <w:rsid w:val="0008417E"/>
    <w:rsid w:val="00085406"/>
    <w:rsid w:val="0008620C"/>
    <w:rsid w:val="00086C3C"/>
    <w:rsid w:val="00094E6C"/>
    <w:rsid w:val="000A137F"/>
    <w:rsid w:val="000A13AA"/>
    <w:rsid w:val="000A7857"/>
    <w:rsid w:val="000B0472"/>
    <w:rsid w:val="000B1EB7"/>
    <w:rsid w:val="000B2122"/>
    <w:rsid w:val="000B3E37"/>
    <w:rsid w:val="000B710C"/>
    <w:rsid w:val="000C0E6A"/>
    <w:rsid w:val="000C41FA"/>
    <w:rsid w:val="000C62E5"/>
    <w:rsid w:val="000C7105"/>
    <w:rsid w:val="000D0602"/>
    <w:rsid w:val="000D176D"/>
    <w:rsid w:val="000D6D71"/>
    <w:rsid w:val="000D7317"/>
    <w:rsid w:val="000D7964"/>
    <w:rsid w:val="000E0530"/>
    <w:rsid w:val="000E0B24"/>
    <w:rsid w:val="000E4179"/>
    <w:rsid w:val="000E6D5B"/>
    <w:rsid w:val="000F4C6A"/>
    <w:rsid w:val="00103657"/>
    <w:rsid w:val="00105D53"/>
    <w:rsid w:val="001060CE"/>
    <w:rsid w:val="00107DB1"/>
    <w:rsid w:val="001142E7"/>
    <w:rsid w:val="00117B78"/>
    <w:rsid w:val="00123B89"/>
    <w:rsid w:val="00132CAD"/>
    <w:rsid w:val="00133E1B"/>
    <w:rsid w:val="0014251F"/>
    <w:rsid w:val="00145A5C"/>
    <w:rsid w:val="00146D1E"/>
    <w:rsid w:val="00147F5C"/>
    <w:rsid w:val="00150FFB"/>
    <w:rsid w:val="00152FA0"/>
    <w:rsid w:val="0015316B"/>
    <w:rsid w:val="001533D4"/>
    <w:rsid w:val="0015366F"/>
    <w:rsid w:val="00154EA2"/>
    <w:rsid w:val="00164F5F"/>
    <w:rsid w:val="00166843"/>
    <w:rsid w:val="00167480"/>
    <w:rsid w:val="0017028D"/>
    <w:rsid w:val="00170BFE"/>
    <w:rsid w:val="001757F9"/>
    <w:rsid w:val="00180896"/>
    <w:rsid w:val="001843B4"/>
    <w:rsid w:val="00186060"/>
    <w:rsid w:val="00186D10"/>
    <w:rsid w:val="0018741A"/>
    <w:rsid w:val="00187C35"/>
    <w:rsid w:val="00187C60"/>
    <w:rsid w:val="00191322"/>
    <w:rsid w:val="00191B71"/>
    <w:rsid w:val="0019481E"/>
    <w:rsid w:val="0019585B"/>
    <w:rsid w:val="00195959"/>
    <w:rsid w:val="001A171D"/>
    <w:rsid w:val="001A242D"/>
    <w:rsid w:val="001A2B13"/>
    <w:rsid w:val="001A5977"/>
    <w:rsid w:val="001A69CA"/>
    <w:rsid w:val="001B04F6"/>
    <w:rsid w:val="001B0F2D"/>
    <w:rsid w:val="001B3C85"/>
    <w:rsid w:val="001B586D"/>
    <w:rsid w:val="001C2F9D"/>
    <w:rsid w:val="001C5BFB"/>
    <w:rsid w:val="001C5D26"/>
    <w:rsid w:val="001D13FF"/>
    <w:rsid w:val="001D39F7"/>
    <w:rsid w:val="001D5A7D"/>
    <w:rsid w:val="001D6712"/>
    <w:rsid w:val="001D70CD"/>
    <w:rsid w:val="001D739A"/>
    <w:rsid w:val="001D7A57"/>
    <w:rsid w:val="001E0C39"/>
    <w:rsid w:val="001E1505"/>
    <w:rsid w:val="001E4B93"/>
    <w:rsid w:val="001E517D"/>
    <w:rsid w:val="001E7E3A"/>
    <w:rsid w:val="001F43D8"/>
    <w:rsid w:val="001F506C"/>
    <w:rsid w:val="001F5D28"/>
    <w:rsid w:val="0020087D"/>
    <w:rsid w:val="002032E2"/>
    <w:rsid w:val="00206C1F"/>
    <w:rsid w:val="00210D69"/>
    <w:rsid w:val="002132D2"/>
    <w:rsid w:val="00216A23"/>
    <w:rsid w:val="002171D7"/>
    <w:rsid w:val="002207C3"/>
    <w:rsid w:val="00221195"/>
    <w:rsid w:val="002216BA"/>
    <w:rsid w:val="00221F26"/>
    <w:rsid w:val="0022235D"/>
    <w:rsid w:val="0022656C"/>
    <w:rsid w:val="00227E50"/>
    <w:rsid w:val="00231010"/>
    <w:rsid w:val="00231A87"/>
    <w:rsid w:val="00233749"/>
    <w:rsid w:val="0023454D"/>
    <w:rsid w:val="00234B2D"/>
    <w:rsid w:val="00235024"/>
    <w:rsid w:val="0023521F"/>
    <w:rsid w:val="00236B5B"/>
    <w:rsid w:val="0023733F"/>
    <w:rsid w:val="00242B77"/>
    <w:rsid w:val="00242EE4"/>
    <w:rsid w:val="00243F4E"/>
    <w:rsid w:val="002440CE"/>
    <w:rsid w:val="0024481B"/>
    <w:rsid w:val="0024620F"/>
    <w:rsid w:val="00246AAF"/>
    <w:rsid w:val="00250D42"/>
    <w:rsid w:val="00251A4E"/>
    <w:rsid w:val="00255220"/>
    <w:rsid w:val="0025578B"/>
    <w:rsid w:val="00255A53"/>
    <w:rsid w:val="00257542"/>
    <w:rsid w:val="00257BD7"/>
    <w:rsid w:val="00260AF8"/>
    <w:rsid w:val="002640FF"/>
    <w:rsid w:val="00265203"/>
    <w:rsid w:val="002712FD"/>
    <w:rsid w:val="00275601"/>
    <w:rsid w:val="002758DA"/>
    <w:rsid w:val="00277EB4"/>
    <w:rsid w:val="002800D8"/>
    <w:rsid w:val="002832A1"/>
    <w:rsid w:val="00284539"/>
    <w:rsid w:val="00285F80"/>
    <w:rsid w:val="002869EB"/>
    <w:rsid w:val="00290880"/>
    <w:rsid w:val="00291E2F"/>
    <w:rsid w:val="002934E6"/>
    <w:rsid w:val="00294972"/>
    <w:rsid w:val="00294FD3"/>
    <w:rsid w:val="00296070"/>
    <w:rsid w:val="002A025C"/>
    <w:rsid w:val="002A2F7A"/>
    <w:rsid w:val="002A447B"/>
    <w:rsid w:val="002A4ED4"/>
    <w:rsid w:val="002A5E66"/>
    <w:rsid w:val="002A6D5B"/>
    <w:rsid w:val="002A7352"/>
    <w:rsid w:val="002A7F27"/>
    <w:rsid w:val="002B1505"/>
    <w:rsid w:val="002B2F9E"/>
    <w:rsid w:val="002B33DC"/>
    <w:rsid w:val="002B3D30"/>
    <w:rsid w:val="002B6A2C"/>
    <w:rsid w:val="002C0C94"/>
    <w:rsid w:val="002C1D8C"/>
    <w:rsid w:val="002C3A25"/>
    <w:rsid w:val="002C3A7E"/>
    <w:rsid w:val="002C7ABF"/>
    <w:rsid w:val="002D200B"/>
    <w:rsid w:val="002D2B81"/>
    <w:rsid w:val="002D41E4"/>
    <w:rsid w:val="002D6696"/>
    <w:rsid w:val="002D6CF6"/>
    <w:rsid w:val="002E0878"/>
    <w:rsid w:val="002E1E8D"/>
    <w:rsid w:val="002E5028"/>
    <w:rsid w:val="002E55CB"/>
    <w:rsid w:val="002E5AC2"/>
    <w:rsid w:val="002E71FB"/>
    <w:rsid w:val="002F2551"/>
    <w:rsid w:val="002F67A4"/>
    <w:rsid w:val="002F739D"/>
    <w:rsid w:val="0030120B"/>
    <w:rsid w:val="0030168E"/>
    <w:rsid w:val="00307D34"/>
    <w:rsid w:val="00310CD0"/>
    <w:rsid w:val="00312970"/>
    <w:rsid w:val="00316B5B"/>
    <w:rsid w:val="003238D3"/>
    <w:rsid w:val="003259DC"/>
    <w:rsid w:val="0032659F"/>
    <w:rsid w:val="00330A6B"/>
    <w:rsid w:val="00330E2D"/>
    <w:rsid w:val="003356E3"/>
    <w:rsid w:val="00337071"/>
    <w:rsid w:val="003370CB"/>
    <w:rsid w:val="003372C9"/>
    <w:rsid w:val="00340932"/>
    <w:rsid w:val="003422E3"/>
    <w:rsid w:val="00344D75"/>
    <w:rsid w:val="00347851"/>
    <w:rsid w:val="00350E28"/>
    <w:rsid w:val="00354854"/>
    <w:rsid w:val="00356218"/>
    <w:rsid w:val="00360416"/>
    <w:rsid w:val="003644C6"/>
    <w:rsid w:val="003677D8"/>
    <w:rsid w:val="00370391"/>
    <w:rsid w:val="00370EBE"/>
    <w:rsid w:val="00374529"/>
    <w:rsid w:val="00374E95"/>
    <w:rsid w:val="00375BFE"/>
    <w:rsid w:val="00377639"/>
    <w:rsid w:val="00384E33"/>
    <w:rsid w:val="00387062"/>
    <w:rsid w:val="00387787"/>
    <w:rsid w:val="0039446A"/>
    <w:rsid w:val="00394CDC"/>
    <w:rsid w:val="00395D21"/>
    <w:rsid w:val="00396190"/>
    <w:rsid w:val="00396571"/>
    <w:rsid w:val="0039745B"/>
    <w:rsid w:val="003A1010"/>
    <w:rsid w:val="003A524E"/>
    <w:rsid w:val="003B09E7"/>
    <w:rsid w:val="003B1901"/>
    <w:rsid w:val="003B2A6E"/>
    <w:rsid w:val="003B2E5B"/>
    <w:rsid w:val="003B4704"/>
    <w:rsid w:val="003B5874"/>
    <w:rsid w:val="003B6B98"/>
    <w:rsid w:val="003B70C7"/>
    <w:rsid w:val="003B711B"/>
    <w:rsid w:val="003B7DFC"/>
    <w:rsid w:val="003B7F45"/>
    <w:rsid w:val="003C16F8"/>
    <w:rsid w:val="003C4F1D"/>
    <w:rsid w:val="003C76B1"/>
    <w:rsid w:val="003C7BEB"/>
    <w:rsid w:val="003D020C"/>
    <w:rsid w:val="003D2709"/>
    <w:rsid w:val="003E15E2"/>
    <w:rsid w:val="003E5E70"/>
    <w:rsid w:val="003F104E"/>
    <w:rsid w:val="003F1597"/>
    <w:rsid w:val="003F3288"/>
    <w:rsid w:val="003F50EC"/>
    <w:rsid w:val="003F5CA8"/>
    <w:rsid w:val="003F6B5C"/>
    <w:rsid w:val="00402839"/>
    <w:rsid w:val="0040373D"/>
    <w:rsid w:val="00403A1B"/>
    <w:rsid w:val="00404EAE"/>
    <w:rsid w:val="00406030"/>
    <w:rsid w:val="00411833"/>
    <w:rsid w:val="004120B8"/>
    <w:rsid w:val="004124FE"/>
    <w:rsid w:val="00412910"/>
    <w:rsid w:val="004139B2"/>
    <w:rsid w:val="0042393B"/>
    <w:rsid w:val="004272A4"/>
    <w:rsid w:val="00430B70"/>
    <w:rsid w:val="004315D8"/>
    <w:rsid w:val="004325DC"/>
    <w:rsid w:val="004328F9"/>
    <w:rsid w:val="00432D7B"/>
    <w:rsid w:val="00433FAD"/>
    <w:rsid w:val="00434788"/>
    <w:rsid w:val="00434BA5"/>
    <w:rsid w:val="00434CAC"/>
    <w:rsid w:val="00434EFE"/>
    <w:rsid w:val="00436ECC"/>
    <w:rsid w:val="0043725F"/>
    <w:rsid w:val="004406B6"/>
    <w:rsid w:val="004449EE"/>
    <w:rsid w:val="004468CE"/>
    <w:rsid w:val="00447076"/>
    <w:rsid w:val="00447861"/>
    <w:rsid w:val="00447F1C"/>
    <w:rsid w:val="00450C13"/>
    <w:rsid w:val="00450EF9"/>
    <w:rsid w:val="00455CF9"/>
    <w:rsid w:val="00460771"/>
    <w:rsid w:val="00461004"/>
    <w:rsid w:val="00461C5C"/>
    <w:rsid w:val="00464E9D"/>
    <w:rsid w:val="00467877"/>
    <w:rsid w:val="00472E0F"/>
    <w:rsid w:val="00475B87"/>
    <w:rsid w:val="00477C3F"/>
    <w:rsid w:val="0048121B"/>
    <w:rsid w:val="00481229"/>
    <w:rsid w:val="00483E5F"/>
    <w:rsid w:val="00485AA9"/>
    <w:rsid w:val="00490881"/>
    <w:rsid w:val="0049210B"/>
    <w:rsid w:val="00495197"/>
    <w:rsid w:val="00496C7F"/>
    <w:rsid w:val="004A3569"/>
    <w:rsid w:val="004A3A76"/>
    <w:rsid w:val="004A4557"/>
    <w:rsid w:val="004A60E9"/>
    <w:rsid w:val="004A66F4"/>
    <w:rsid w:val="004A6AB4"/>
    <w:rsid w:val="004A7115"/>
    <w:rsid w:val="004A78E2"/>
    <w:rsid w:val="004A7ED8"/>
    <w:rsid w:val="004B1D4C"/>
    <w:rsid w:val="004B45C3"/>
    <w:rsid w:val="004C0123"/>
    <w:rsid w:val="004C0416"/>
    <w:rsid w:val="004C5C50"/>
    <w:rsid w:val="004D37AA"/>
    <w:rsid w:val="004D5579"/>
    <w:rsid w:val="004D571E"/>
    <w:rsid w:val="004D57C8"/>
    <w:rsid w:val="004D5C00"/>
    <w:rsid w:val="004D5F7F"/>
    <w:rsid w:val="004D6197"/>
    <w:rsid w:val="004D6B01"/>
    <w:rsid w:val="004E095F"/>
    <w:rsid w:val="004E49F5"/>
    <w:rsid w:val="004E5B44"/>
    <w:rsid w:val="004E7D6C"/>
    <w:rsid w:val="004F008E"/>
    <w:rsid w:val="004F369E"/>
    <w:rsid w:val="004F3C16"/>
    <w:rsid w:val="004F46C9"/>
    <w:rsid w:val="004F5CF8"/>
    <w:rsid w:val="004F6ED7"/>
    <w:rsid w:val="004F6F32"/>
    <w:rsid w:val="004F7122"/>
    <w:rsid w:val="00501117"/>
    <w:rsid w:val="005027DA"/>
    <w:rsid w:val="00502E0B"/>
    <w:rsid w:val="005058A4"/>
    <w:rsid w:val="00505F03"/>
    <w:rsid w:val="00506791"/>
    <w:rsid w:val="005068B2"/>
    <w:rsid w:val="005151FE"/>
    <w:rsid w:val="00517B96"/>
    <w:rsid w:val="00520241"/>
    <w:rsid w:val="005203EA"/>
    <w:rsid w:val="00520CB3"/>
    <w:rsid w:val="00521245"/>
    <w:rsid w:val="00526259"/>
    <w:rsid w:val="0052680E"/>
    <w:rsid w:val="00527E16"/>
    <w:rsid w:val="00531E23"/>
    <w:rsid w:val="005322A5"/>
    <w:rsid w:val="00534931"/>
    <w:rsid w:val="0053768F"/>
    <w:rsid w:val="00540CDB"/>
    <w:rsid w:val="00541585"/>
    <w:rsid w:val="00545A2E"/>
    <w:rsid w:val="00547581"/>
    <w:rsid w:val="00550074"/>
    <w:rsid w:val="0055379C"/>
    <w:rsid w:val="00554DE9"/>
    <w:rsid w:val="00555900"/>
    <w:rsid w:val="00556D69"/>
    <w:rsid w:val="0056051F"/>
    <w:rsid w:val="0056138E"/>
    <w:rsid w:val="0056236A"/>
    <w:rsid w:val="0056329E"/>
    <w:rsid w:val="00565F12"/>
    <w:rsid w:val="005666D2"/>
    <w:rsid w:val="00567F81"/>
    <w:rsid w:val="00573B3D"/>
    <w:rsid w:val="0057532F"/>
    <w:rsid w:val="00575BF8"/>
    <w:rsid w:val="00577621"/>
    <w:rsid w:val="00581F97"/>
    <w:rsid w:val="00584506"/>
    <w:rsid w:val="00590B2E"/>
    <w:rsid w:val="0059104E"/>
    <w:rsid w:val="0059714B"/>
    <w:rsid w:val="005A0707"/>
    <w:rsid w:val="005A0AB6"/>
    <w:rsid w:val="005A207D"/>
    <w:rsid w:val="005A69B3"/>
    <w:rsid w:val="005B0DA6"/>
    <w:rsid w:val="005B1C14"/>
    <w:rsid w:val="005B5D26"/>
    <w:rsid w:val="005B5EC6"/>
    <w:rsid w:val="005B703B"/>
    <w:rsid w:val="005B79DB"/>
    <w:rsid w:val="005C10EB"/>
    <w:rsid w:val="005C21E7"/>
    <w:rsid w:val="005C6882"/>
    <w:rsid w:val="005C7ACF"/>
    <w:rsid w:val="005D01EF"/>
    <w:rsid w:val="005D1F45"/>
    <w:rsid w:val="005D5337"/>
    <w:rsid w:val="005D65C8"/>
    <w:rsid w:val="005D6A14"/>
    <w:rsid w:val="005D72E2"/>
    <w:rsid w:val="005E17CB"/>
    <w:rsid w:val="005E221C"/>
    <w:rsid w:val="005E39EF"/>
    <w:rsid w:val="005E4961"/>
    <w:rsid w:val="005E4F57"/>
    <w:rsid w:val="005E7EEB"/>
    <w:rsid w:val="005F2FEC"/>
    <w:rsid w:val="005F3D8C"/>
    <w:rsid w:val="005F5631"/>
    <w:rsid w:val="005F7BB1"/>
    <w:rsid w:val="006004EC"/>
    <w:rsid w:val="00600B60"/>
    <w:rsid w:val="00603A8C"/>
    <w:rsid w:val="0060489A"/>
    <w:rsid w:val="00606449"/>
    <w:rsid w:val="006073FB"/>
    <w:rsid w:val="0061203C"/>
    <w:rsid w:val="00617049"/>
    <w:rsid w:val="006173A9"/>
    <w:rsid w:val="006206CE"/>
    <w:rsid w:val="00625277"/>
    <w:rsid w:val="0062637E"/>
    <w:rsid w:val="00630AC3"/>
    <w:rsid w:val="00631706"/>
    <w:rsid w:val="006346F4"/>
    <w:rsid w:val="006358F9"/>
    <w:rsid w:val="00640A46"/>
    <w:rsid w:val="00641762"/>
    <w:rsid w:val="00641FC4"/>
    <w:rsid w:val="0064362E"/>
    <w:rsid w:val="0064397F"/>
    <w:rsid w:val="00644082"/>
    <w:rsid w:val="00645717"/>
    <w:rsid w:val="00645EA9"/>
    <w:rsid w:val="00646C0C"/>
    <w:rsid w:val="00646D3D"/>
    <w:rsid w:val="0065068A"/>
    <w:rsid w:val="00651766"/>
    <w:rsid w:val="00652F82"/>
    <w:rsid w:val="00653FD6"/>
    <w:rsid w:val="00657072"/>
    <w:rsid w:val="00660FC7"/>
    <w:rsid w:val="0066356D"/>
    <w:rsid w:val="00664974"/>
    <w:rsid w:val="00665D0F"/>
    <w:rsid w:val="0067217E"/>
    <w:rsid w:val="006733E3"/>
    <w:rsid w:val="00674799"/>
    <w:rsid w:val="006757EA"/>
    <w:rsid w:val="00682587"/>
    <w:rsid w:val="00682B52"/>
    <w:rsid w:val="00684202"/>
    <w:rsid w:val="00685454"/>
    <w:rsid w:val="006858F6"/>
    <w:rsid w:val="0069346B"/>
    <w:rsid w:val="006B1B3A"/>
    <w:rsid w:val="006C20E9"/>
    <w:rsid w:val="006C3387"/>
    <w:rsid w:val="006C362F"/>
    <w:rsid w:val="006C6F2C"/>
    <w:rsid w:val="006D283B"/>
    <w:rsid w:val="006D313C"/>
    <w:rsid w:val="006D3956"/>
    <w:rsid w:val="006E0048"/>
    <w:rsid w:val="006E147C"/>
    <w:rsid w:val="006E38CC"/>
    <w:rsid w:val="006E4984"/>
    <w:rsid w:val="006E6DDC"/>
    <w:rsid w:val="006F2551"/>
    <w:rsid w:val="006F42AA"/>
    <w:rsid w:val="006F42B3"/>
    <w:rsid w:val="006F4396"/>
    <w:rsid w:val="006F61A0"/>
    <w:rsid w:val="006F64E6"/>
    <w:rsid w:val="00700755"/>
    <w:rsid w:val="00701EE2"/>
    <w:rsid w:val="00702EB3"/>
    <w:rsid w:val="007102EC"/>
    <w:rsid w:val="00712B1C"/>
    <w:rsid w:val="00713917"/>
    <w:rsid w:val="00713A6D"/>
    <w:rsid w:val="0071539A"/>
    <w:rsid w:val="00722302"/>
    <w:rsid w:val="00726F77"/>
    <w:rsid w:val="007278A8"/>
    <w:rsid w:val="007342F5"/>
    <w:rsid w:val="00734A13"/>
    <w:rsid w:val="00737E49"/>
    <w:rsid w:val="00740702"/>
    <w:rsid w:val="00744425"/>
    <w:rsid w:val="00746321"/>
    <w:rsid w:val="00750512"/>
    <w:rsid w:val="00751114"/>
    <w:rsid w:val="007521EC"/>
    <w:rsid w:val="00752A0F"/>
    <w:rsid w:val="007554C3"/>
    <w:rsid w:val="0075609B"/>
    <w:rsid w:val="00756390"/>
    <w:rsid w:val="0075652A"/>
    <w:rsid w:val="00757DCB"/>
    <w:rsid w:val="00761C46"/>
    <w:rsid w:val="00764FBE"/>
    <w:rsid w:val="00765959"/>
    <w:rsid w:val="00765B7E"/>
    <w:rsid w:val="0077206E"/>
    <w:rsid w:val="00772169"/>
    <w:rsid w:val="007728F8"/>
    <w:rsid w:val="007729B5"/>
    <w:rsid w:val="00772D1E"/>
    <w:rsid w:val="00773186"/>
    <w:rsid w:val="0077457D"/>
    <w:rsid w:val="00775F40"/>
    <w:rsid w:val="007800DA"/>
    <w:rsid w:val="007808BE"/>
    <w:rsid w:val="007814F9"/>
    <w:rsid w:val="00785367"/>
    <w:rsid w:val="007937CE"/>
    <w:rsid w:val="00795C6B"/>
    <w:rsid w:val="00795D4A"/>
    <w:rsid w:val="00795D56"/>
    <w:rsid w:val="00795FF0"/>
    <w:rsid w:val="00797896"/>
    <w:rsid w:val="00797C96"/>
    <w:rsid w:val="00797EB9"/>
    <w:rsid w:val="007A1531"/>
    <w:rsid w:val="007A1860"/>
    <w:rsid w:val="007A1F97"/>
    <w:rsid w:val="007A3E8F"/>
    <w:rsid w:val="007A5C03"/>
    <w:rsid w:val="007A7CB3"/>
    <w:rsid w:val="007B1EE5"/>
    <w:rsid w:val="007B2C2D"/>
    <w:rsid w:val="007B69C9"/>
    <w:rsid w:val="007C119C"/>
    <w:rsid w:val="007C5C15"/>
    <w:rsid w:val="007C70FB"/>
    <w:rsid w:val="007D1DA1"/>
    <w:rsid w:val="007D222B"/>
    <w:rsid w:val="007D3B57"/>
    <w:rsid w:val="007E03FC"/>
    <w:rsid w:val="007E04EC"/>
    <w:rsid w:val="007E0DC4"/>
    <w:rsid w:val="007E3A4F"/>
    <w:rsid w:val="007E60D0"/>
    <w:rsid w:val="007E6695"/>
    <w:rsid w:val="007E6806"/>
    <w:rsid w:val="007F3170"/>
    <w:rsid w:val="007F577A"/>
    <w:rsid w:val="00801003"/>
    <w:rsid w:val="0080154D"/>
    <w:rsid w:val="00801CFC"/>
    <w:rsid w:val="00803BA6"/>
    <w:rsid w:val="008043B8"/>
    <w:rsid w:val="0080530D"/>
    <w:rsid w:val="00807F0C"/>
    <w:rsid w:val="008114BE"/>
    <w:rsid w:val="008130C5"/>
    <w:rsid w:val="0081317D"/>
    <w:rsid w:val="00813717"/>
    <w:rsid w:val="00816623"/>
    <w:rsid w:val="00816DE1"/>
    <w:rsid w:val="008177E6"/>
    <w:rsid w:val="00817F26"/>
    <w:rsid w:val="0082004C"/>
    <w:rsid w:val="008207E0"/>
    <w:rsid w:val="0082423F"/>
    <w:rsid w:val="008250BF"/>
    <w:rsid w:val="00826E06"/>
    <w:rsid w:val="00827C34"/>
    <w:rsid w:val="00833165"/>
    <w:rsid w:val="00836155"/>
    <w:rsid w:val="00841563"/>
    <w:rsid w:val="00843B5B"/>
    <w:rsid w:val="00851BFE"/>
    <w:rsid w:val="00854D3E"/>
    <w:rsid w:val="00855427"/>
    <w:rsid w:val="008613FA"/>
    <w:rsid w:val="00861557"/>
    <w:rsid w:val="00862BBA"/>
    <w:rsid w:val="0086683E"/>
    <w:rsid w:val="00870EC7"/>
    <w:rsid w:val="008763F7"/>
    <w:rsid w:val="008772A2"/>
    <w:rsid w:val="008821BC"/>
    <w:rsid w:val="00882ED1"/>
    <w:rsid w:val="00883EB9"/>
    <w:rsid w:val="008A7E01"/>
    <w:rsid w:val="008B0D35"/>
    <w:rsid w:val="008B14CC"/>
    <w:rsid w:val="008B2015"/>
    <w:rsid w:val="008B3C12"/>
    <w:rsid w:val="008B4150"/>
    <w:rsid w:val="008B6993"/>
    <w:rsid w:val="008B6C89"/>
    <w:rsid w:val="008C739C"/>
    <w:rsid w:val="008C7B0E"/>
    <w:rsid w:val="008D0008"/>
    <w:rsid w:val="008D07D5"/>
    <w:rsid w:val="008D07E3"/>
    <w:rsid w:val="008D4319"/>
    <w:rsid w:val="008D59A2"/>
    <w:rsid w:val="008D5B4A"/>
    <w:rsid w:val="008D60AA"/>
    <w:rsid w:val="008D7E7E"/>
    <w:rsid w:val="008E0ADF"/>
    <w:rsid w:val="008E5022"/>
    <w:rsid w:val="008E790A"/>
    <w:rsid w:val="008F1F90"/>
    <w:rsid w:val="008F50F6"/>
    <w:rsid w:val="008F5CBB"/>
    <w:rsid w:val="008F6F29"/>
    <w:rsid w:val="008F743C"/>
    <w:rsid w:val="008F7BC2"/>
    <w:rsid w:val="00901A6A"/>
    <w:rsid w:val="00903EAE"/>
    <w:rsid w:val="00906C0A"/>
    <w:rsid w:val="0091201E"/>
    <w:rsid w:val="00913F6A"/>
    <w:rsid w:val="00914287"/>
    <w:rsid w:val="0091635C"/>
    <w:rsid w:val="009169F6"/>
    <w:rsid w:val="00916B13"/>
    <w:rsid w:val="00924A7C"/>
    <w:rsid w:val="009270A5"/>
    <w:rsid w:val="0093206D"/>
    <w:rsid w:val="00934283"/>
    <w:rsid w:val="009373AE"/>
    <w:rsid w:val="00946729"/>
    <w:rsid w:val="00953DB9"/>
    <w:rsid w:val="00954D9A"/>
    <w:rsid w:val="00957A73"/>
    <w:rsid w:val="00960EC7"/>
    <w:rsid w:val="00962F28"/>
    <w:rsid w:val="009633A3"/>
    <w:rsid w:val="00965850"/>
    <w:rsid w:val="0096685C"/>
    <w:rsid w:val="0097251E"/>
    <w:rsid w:val="00972FD9"/>
    <w:rsid w:val="00975132"/>
    <w:rsid w:val="009760C0"/>
    <w:rsid w:val="0098041F"/>
    <w:rsid w:val="00980A8F"/>
    <w:rsid w:val="009815DB"/>
    <w:rsid w:val="00983C57"/>
    <w:rsid w:val="009867A4"/>
    <w:rsid w:val="009877B9"/>
    <w:rsid w:val="00990912"/>
    <w:rsid w:val="00991578"/>
    <w:rsid w:val="00992155"/>
    <w:rsid w:val="00992359"/>
    <w:rsid w:val="00993722"/>
    <w:rsid w:val="009940E0"/>
    <w:rsid w:val="0099702B"/>
    <w:rsid w:val="009A05B3"/>
    <w:rsid w:val="009A1ED4"/>
    <w:rsid w:val="009A2E34"/>
    <w:rsid w:val="009A36C2"/>
    <w:rsid w:val="009A45EE"/>
    <w:rsid w:val="009B1865"/>
    <w:rsid w:val="009B1DF3"/>
    <w:rsid w:val="009B3F4F"/>
    <w:rsid w:val="009B3F88"/>
    <w:rsid w:val="009C4536"/>
    <w:rsid w:val="009C7D5E"/>
    <w:rsid w:val="009D1A95"/>
    <w:rsid w:val="009D7E32"/>
    <w:rsid w:val="009E080E"/>
    <w:rsid w:val="009E3ADA"/>
    <w:rsid w:val="009E3CFB"/>
    <w:rsid w:val="009E47DA"/>
    <w:rsid w:val="009E59B1"/>
    <w:rsid w:val="009E788F"/>
    <w:rsid w:val="009F3192"/>
    <w:rsid w:val="009F3A1F"/>
    <w:rsid w:val="009F5434"/>
    <w:rsid w:val="009F6C90"/>
    <w:rsid w:val="009F7917"/>
    <w:rsid w:val="009F7A02"/>
    <w:rsid w:val="00A03989"/>
    <w:rsid w:val="00A0403A"/>
    <w:rsid w:val="00A0517A"/>
    <w:rsid w:val="00A129FC"/>
    <w:rsid w:val="00A1335D"/>
    <w:rsid w:val="00A14BBE"/>
    <w:rsid w:val="00A14E17"/>
    <w:rsid w:val="00A1544C"/>
    <w:rsid w:val="00A16235"/>
    <w:rsid w:val="00A162F3"/>
    <w:rsid w:val="00A16ADB"/>
    <w:rsid w:val="00A201D9"/>
    <w:rsid w:val="00A202A2"/>
    <w:rsid w:val="00A21469"/>
    <w:rsid w:val="00A228F7"/>
    <w:rsid w:val="00A27F81"/>
    <w:rsid w:val="00A31863"/>
    <w:rsid w:val="00A326D2"/>
    <w:rsid w:val="00A3457B"/>
    <w:rsid w:val="00A36C3F"/>
    <w:rsid w:val="00A371A3"/>
    <w:rsid w:val="00A41931"/>
    <w:rsid w:val="00A454AE"/>
    <w:rsid w:val="00A45603"/>
    <w:rsid w:val="00A4618E"/>
    <w:rsid w:val="00A507FB"/>
    <w:rsid w:val="00A516C3"/>
    <w:rsid w:val="00A556BF"/>
    <w:rsid w:val="00A5684F"/>
    <w:rsid w:val="00A56F37"/>
    <w:rsid w:val="00A570C0"/>
    <w:rsid w:val="00A60D82"/>
    <w:rsid w:val="00A61E6D"/>
    <w:rsid w:val="00A65008"/>
    <w:rsid w:val="00A656ED"/>
    <w:rsid w:val="00A6597D"/>
    <w:rsid w:val="00A667F7"/>
    <w:rsid w:val="00A73131"/>
    <w:rsid w:val="00A734AC"/>
    <w:rsid w:val="00A7443E"/>
    <w:rsid w:val="00A75027"/>
    <w:rsid w:val="00A753E3"/>
    <w:rsid w:val="00A76CE7"/>
    <w:rsid w:val="00A76D04"/>
    <w:rsid w:val="00A80468"/>
    <w:rsid w:val="00A81058"/>
    <w:rsid w:val="00A81184"/>
    <w:rsid w:val="00A84586"/>
    <w:rsid w:val="00A84F89"/>
    <w:rsid w:val="00A85270"/>
    <w:rsid w:val="00A85E99"/>
    <w:rsid w:val="00A9799B"/>
    <w:rsid w:val="00AA0D95"/>
    <w:rsid w:val="00AA43B4"/>
    <w:rsid w:val="00AA6AD3"/>
    <w:rsid w:val="00AA72B4"/>
    <w:rsid w:val="00AB28D2"/>
    <w:rsid w:val="00AB3F98"/>
    <w:rsid w:val="00AB413E"/>
    <w:rsid w:val="00AB431E"/>
    <w:rsid w:val="00AB434F"/>
    <w:rsid w:val="00AB54CF"/>
    <w:rsid w:val="00AC0706"/>
    <w:rsid w:val="00AC0DEE"/>
    <w:rsid w:val="00AC1382"/>
    <w:rsid w:val="00AC2953"/>
    <w:rsid w:val="00AC47B8"/>
    <w:rsid w:val="00AC4CF8"/>
    <w:rsid w:val="00AC63A5"/>
    <w:rsid w:val="00AC69F4"/>
    <w:rsid w:val="00AC733B"/>
    <w:rsid w:val="00AC798B"/>
    <w:rsid w:val="00AD1B89"/>
    <w:rsid w:val="00AE0451"/>
    <w:rsid w:val="00AE129F"/>
    <w:rsid w:val="00AE399F"/>
    <w:rsid w:val="00AE6111"/>
    <w:rsid w:val="00AE6787"/>
    <w:rsid w:val="00AF6358"/>
    <w:rsid w:val="00AF6608"/>
    <w:rsid w:val="00AF7C55"/>
    <w:rsid w:val="00B001B1"/>
    <w:rsid w:val="00B0030C"/>
    <w:rsid w:val="00B01BD4"/>
    <w:rsid w:val="00B01E6B"/>
    <w:rsid w:val="00B02977"/>
    <w:rsid w:val="00B042E9"/>
    <w:rsid w:val="00B0489C"/>
    <w:rsid w:val="00B11970"/>
    <w:rsid w:val="00B121E6"/>
    <w:rsid w:val="00B139E0"/>
    <w:rsid w:val="00B16DDE"/>
    <w:rsid w:val="00B24530"/>
    <w:rsid w:val="00B26124"/>
    <w:rsid w:val="00B305BD"/>
    <w:rsid w:val="00B32948"/>
    <w:rsid w:val="00B3365B"/>
    <w:rsid w:val="00B36CC3"/>
    <w:rsid w:val="00B407F2"/>
    <w:rsid w:val="00B4292D"/>
    <w:rsid w:val="00B42F77"/>
    <w:rsid w:val="00B52C3B"/>
    <w:rsid w:val="00B53DDB"/>
    <w:rsid w:val="00B545FC"/>
    <w:rsid w:val="00B54D98"/>
    <w:rsid w:val="00B554D7"/>
    <w:rsid w:val="00B55B6D"/>
    <w:rsid w:val="00B64FC0"/>
    <w:rsid w:val="00B6608C"/>
    <w:rsid w:val="00B67F54"/>
    <w:rsid w:val="00B7011E"/>
    <w:rsid w:val="00B72F39"/>
    <w:rsid w:val="00B7470A"/>
    <w:rsid w:val="00B76F43"/>
    <w:rsid w:val="00B7724F"/>
    <w:rsid w:val="00B804E1"/>
    <w:rsid w:val="00B81E78"/>
    <w:rsid w:val="00B81F8F"/>
    <w:rsid w:val="00B82578"/>
    <w:rsid w:val="00B828E6"/>
    <w:rsid w:val="00B854EA"/>
    <w:rsid w:val="00B91342"/>
    <w:rsid w:val="00B928D8"/>
    <w:rsid w:val="00B948BC"/>
    <w:rsid w:val="00B958DB"/>
    <w:rsid w:val="00B96532"/>
    <w:rsid w:val="00B9689C"/>
    <w:rsid w:val="00B9709E"/>
    <w:rsid w:val="00B977B7"/>
    <w:rsid w:val="00BA06FF"/>
    <w:rsid w:val="00BA6A78"/>
    <w:rsid w:val="00BA76B0"/>
    <w:rsid w:val="00BB2FF5"/>
    <w:rsid w:val="00BB3178"/>
    <w:rsid w:val="00BB443B"/>
    <w:rsid w:val="00BB5F18"/>
    <w:rsid w:val="00BB680F"/>
    <w:rsid w:val="00BB70F2"/>
    <w:rsid w:val="00BC0558"/>
    <w:rsid w:val="00BC1988"/>
    <w:rsid w:val="00BC19B9"/>
    <w:rsid w:val="00BC3A82"/>
    <w:rsid w:val="00BC3B18"/>
    <w:rsid w:val="00BC4742"/>
    <w:rsid w:val="00BD2FEA"/>
    <w:rsid w:val="00BD3762"/>
    <w:rsid w:val="00BD56B6"/>
    <w:rsid w:val="00BE17CC"/>
    <w:rsid w:val="00BE6789"/>
    <w:rsid w:val="00BF2A19"/>
    <w:rsid w:val="00BF2BD1"/>
    <w:rsid w:val="00BF300D"/>
    <w:rsid w:val="00BF4B81"/>
    <w:rsid w:val="00BF4F33"/>
    <w:rsid w:val="00C02EE8"/>
    <w:rsid w:val="00C049EB"/>
    <w:rsid w:val="00C05A18"/>
    <w:rsid w:val="00C06182"/>
    <w:rsid w:val="00C1027D"/>
    <w:rsid w:val="00C102EA"/>
    <w:rsid w:val="00C10A1F"/>
    <w:rsid w:val="00C1515E"/>
    <w:rsid w:val="00C153F4"/>
    <w:rsid w:val="00C16C54"/>
    <w:rsid w:val="00C17136"/>
    <w:rsid w:val="00C1743B"/>
    <w:rsid w:val="00C17588"/>
    <w:rsid w:val="00C209BC"/>
    <w:rsid w:val="00C22D41"/>
    <w:rsid w:val="00C243AB"/>
    <w:rsid w:val="00C24C96"/>
    <w:rsid w:val="00C26AEB"/>
    <w:rsid w:val="00C312F9"/>
    <w:rsid w:val="00C31DD4"/>
    <w:rsid w:val="00C31E6E"/>
    <w:rsid w:val="00C334A4"/>
    <w:rsid w:val="00C34622"/>
    <w:rsid w:val="00C349F9"/>
    <w:rsid w:val="00C35139"/>
    <w:rsid w:val="00C35191"/>
    <w:rsid w:val="00C40C54"/>
    <w:rsid w:val="00C4116A"/>
    <w:rsid w:val="00C420E9"/>
    <w:rsid w:val="00C430F5"/>
    <w:rsid w:val="00C44811"/>
    <w:rsid w:val="00C457EB"/>
    <w:rsid w:val="00C476D5"/>
    <w:rsid w:val="00C50F42"/>
    <w:rsid w:val="00C525E8"/>
    <w:rsid w:val="00C52844"/>
    <w:rsid w:val="00C558BD"/>
    <w:rsid w:val="00C55AA0"/>
    <w:rsid w:val="00C654E8"/>
    <w:rsid w:val="00C6634A"/>
    <w:rsid w:val="00C66927"/>
    <w:rsid w:val="00C736DB"/>
    <w:rsid w:val="00C748C9"/>
    <w:rsid w:val="00C74BC2"/>
    <w:rsid w:val="00C752EC"/>
    <w:rsid w:val="00C7655A"/>
    <w:rsid w:val="00C77B75"/>
    <w:rsid w:val="00C83ADA"/>
    <w:rsid w:val="00C867D7"/>
    <w:rsid w:val="00C86D17"/>
    <w:rsid w:val="00C95361"/>
    <w:rsid w:val="00C976FF"/>
    <w:rsid w:val="00CA12A3"/>
    <w:rsid w:val="00CA1C08"/>
    <w:rsid w:val="00CA4EBB"/>
    <w:rsid w:val="00CA73D6"/>
    <w:rsid w:val="00CB61D9"/>
    <w:rsid w:val="00CB7056"/>
    <w:rsid w:val="00CB743E"/>
    <w:rsid w:val="00CC2817"/>
    <w:rsid w:val="00CC5381"/>
    <w:rsid w:val="00CC6610"/>
    <w:rsid w:val="00CC7911"/>
    <w:rsid w:val="00CC7E16"/>
    <w:rsid w:val="00CD1F3D"/>
    <w:rsid w:val="00CE1DB2"/>
    <w:rsid w:val="00CF2C59"/>
    <w:rsid w:val="00CF307D"/>
    <w:rsid w:val="00CF36AB"/>
    <w:rsid w:val="00CF51AF"/>
    <w:rsid w:val="00CF6884"/>
    <w:rsid w:val="00D003D1"/>
    <w:rsid w:val="00D02048"/>
    <w:rsid w:val="00D02AFE"/>
    <w:rsid w:val="00D03555"/>
    <w:rsid w:val="00D056C2"/>
    <w:rsid w:val="00D0612E"/>
    <w:rsid w:val="00D07828"/>
    <w:rsid w:val="00D10237"/>
    <w:rsid w:val="00D103B9"/>
    <w:rsid w:val="00D11A58"/>
    <w:rsid w:val="00D14D4A"/>
    <w:rsid w:val="00D20673"/>
    <w:rsid w:val="00D20766"/>
    <w:rsid w:val="00D20837"/>
    <w:rsid w:val="00D22ADD"/>
    <w:rsid w:val="00D23759"/>
    <w:rsid w:val="00D2523A"/>
    <w:rsid w:val="00D261A5"/>
    <w:rsid w:val="00D279E8"/>
    <w:rsid w:val="00D314A0"/>
    <w:rsid w:val="00D31866"/>
    <w:rsid w:val="00D32C21"/>
    <w:rsid w:val="00D371C9"/>
    <w:rsid w:val="00D40709"/>
    <w:rsid w:val="00D43E06"/>
    <w:rsid w:val="00D53AD7"/>
    <w:rsid w:val="00D55935"/>
    <w:rsid w:val="00D56549"/>
    <w:rsid w:val="00D57EC4"/>
    <w:rsid w:val="00D6399E"/>
    <w:rsid w:val="00D639A1"/>
    <w:rsid w:val="00D65E8C"/>
    <w:rsid w:val="00D66C2C"/>
    <w:rsid w:val="00D7049C"/>
    <w:rsid w:val="00D727EE"/>
    <w:rsid w:val="00D74536"/>
    <w:rsid w:val="00D74BB4"/>
    <w:rsid w:val="00D758ED"/>
    <w:rsid w:val="00D762C8"/>
    <w:rsid w:val="00D7682F"/>
    <w:rsid w:val="00D8057F"/>
    <w:rsid w:val="00D80F71"/>
    <w:rsid w:val="00D816A5"/>
    <w:rsid w:val="00D84651"/>
    <w:rsid w:val="00D85449"/>
    <w:rsid w:val="00D85658"/>
    <w:rsid w:val="00D857B6"/>
    <w:rsid w:val="00D906B5"/>
    <w:rsid w:val="00D90C20"/>
    <w:rsid w:val="00D915D7"/>
    <w:rsid w:val="00D91F3A"/>
    <w:rsid w:val="00D926D0"/>
    <w:rsid w:val="00D93B77"/>
    <w:rsid w:val="00D9524B"/>
    <w:rsid w:val="00DA27FA"/>
    <w:rsid w:val="00DA3996"/>
    <w:rsid w:val="00DA5D47"/>
    <w:rsid w:val="00DA5E10"/>
    <w:rsid w:val="00DA65C2"/>
    <w:rsid w:val="00DB037E"/>
    <w:rsid w:val="00DB2C83"/>
    <w:rsid w:val="00DB401E"/>
    <w:rsid w:val="00DB5E57"/>
    <w:rsid w:val="00DB5F0C"/>
    <w:rsid w:val="00DB6DE5"/>
    <w:rsid w:val="00DC1DA8"/>
    <w:rsid w:val="00DC2C8F"/>
    <w:rsid w:val="00DC4B45"/>
    <w:rsid w:val="00DC58B1"/>
    <w:rsid w:val="00DC5FF4"/>
    <w:rsid w:val="00DD16FF"/>
    <w:rsid w:val="00DD24F5"/>
    <w:rsid w:val="00DD2F61"/>
    <w:rsid w:val="00DD501A"/>
    <w:rsid w:val="00DD5438"/>
    <w:rsid w:val="00DD675B"/>
    <w:rsid w:val="00DD78E7"/>
    <w:rsid w:val="00DE1867"/>
    <w:rsid w:val="00DE36C4"/>
    <w:rsid w:val="00DE4E32"/>
    <w:rsid w:val="00DE57EC"/>
    <w:rsid w:val="00DF23DD"/>
    <w:rsid w:val="00DF35DF"/>
    <w:rsid w:val="00DF5F13"/>
    <w:rsid w:val="00DF7123"/>
    <w:rsid w:val="00E00393"/>
    <w:rsid w:val="00E00DAC"/>
    <w:rsid w:val="00E03B15"/>
    <w:rsid w:val="00E03E22"/>
    <w:rsid w:val="00E05D49"/>
    <w:rsid w:val="00E067A0"/>
    <w:rsid w:val="00E07B52"/>
    <w:rsid w:val="00E10650"/>
    <w:rsid w:val="00E122E3"/>
    <w:rsid w:val="00E157D0"/>
    <w:rsid w:val="00E16472"/>
    <w:rsid w:val="00E24688"/>
    <w:rsid w:val="00E251C3"/>
    <w:rsid w:val="00E25329"/>
    <w:rsid w:val="00E26C13"/>
    <w:rsid w:val="00E302F4"/>
    <w:rsid w:val="00E33B74"/>
    <w:rsid w:val="00E3474D"/>
    <w:rsid w:val="00E363FB"/>
    <w:rsid w:val="00E41C39"/>
    <w:rsid w:val="00E45A7D"/>
    <w:rsid w:val="00E52727"/>
    <w:rsid w:val="00E5533D"/>
    <w:rsid w:val="00E60684"/>
    <w:rsid w:val="00E61FAB"/>
    <w:rsid w:val="00E62F35"/>
    <w:rsid w:val="00E6591E"/>
    <w:rsid w:val="00E66191"/>
    <w:rsid w:val="00E70A86"/>
    <w:rsid w:val="00E71272"/>
    <w:rsid w:val="00E720C2"/>
    <w:rsid w:val="00E821BF"/>
    <w:rsid w:val="00E82F06"/>
    <w:rsid w:val="00E82FF1"/>
    <w:rsid w:val="00E86257"/>
    <w:rsid w:val="00E90CD6"/>
    <w:rsid w:val="00E91BF9"/>
    <w:rsid w:val="00E92B87"/>
    <w:rsid w:val="00E9441D"/>
    <w:rsid w:val="00E94B5D"/>
    <w:rsid w:val="00E969E6"/>
    <w:rsid w:val="00E9723C"/>
    <w:rsid w:val="00EA0AC0"/>
    <w:rsid w:val="00EA1FE1"/>
    <w:rsid w:val="00EA316C"/>
    <w:rsid w:val="00EA331F"/>
    <w:rsid w:val="00EA3B75"/>
    <w:rsid w:val="00EA46CA"/>
    <w:rsid w:val="00EB2F19"/>
    <w:rsid w:val="00EB4F91"/>
    <w:rsid w:val="00EB66C5"/>
    <w:rsid w:val="00EB6DF4"/>
    <w:rsid w:val="00EC358A"/>
    <w:rsid w:val="00ED1093"/>
    <w:rsid w:val="00ED27F2"/>
    <w:rsid w:val="00ED2B25"/>
    <w:rsid w:val="00ED4698"/>
    <w:rsid w:val="00ED5080"/>
    <w:rsid w:val="00ED75D0"/>
    <w:rsid w:val="00EE0085"/>
    <w:rsid w:val="00EE00FD"/>
    <w:rsid w:val="00EE0760"/>
    <w:rsid w:val="00EE1902"/>
    <w:rsid w:val="00EE26DE"/>
    <w:rsid w:val="00EE53FB"/>
    <w:rsid w:val="00EF6DBD"/>
    <w:rsid w:val="00EF7621"/>
    <w:rsid w:val="00F01719"/>
    <w:rsid w:val="00F02484"/>
    <w:rsid w:val="00F05DCE"/>
    <w:rsid w:val="00F0629B"/>
    <w:rsid w:val="00F062B5"/>
    <w:rsid w:val="00F07409"/>
    <w:rsid w:val="00F07B6D"/>
    <w:rsid w:val="00F10FF2"/>
    <w:rsid w:val="00F114B4"/>
    <w:rsid w:val="00F11BEC"/>
    <w:rsid w:val="00F12863"/>
    <w:rsid w:val="00F13199"/>
    <w:rsid w:val="00F13D41"/>
    <w:rsid w:val="00F15C08"/>
    <w:rsid w:val="00F16CE1"/>
    <w:rsid w:val="00F17A82"/>
    <w:rsid w:val="00F22996"/>
    <w:rsid w:val="00F265C9"/>
    <w:rsid w:val="00F26DCC"/>
    <w:rsid w:val="00F27E3A"/>
    <w:rsid w:val="00F31468"/>
    <w:rsid w:val="00F317CF"/>
    <w:rsid w:val="00F32FEC"/>
    <w:rsid w:val="00F35B62"/>
    <w:rsid w:val="00F3796C"/>
    <w:rsid w:val="00F37F65"/>
    <w:rsid w:val="00F47762"/>
    <w:rsid w:val="00F545F0"/>
    <w:rsid w:val="00F549E5"/>
    <w:rsid w:val="00F5757A"/>
    <w:rsid w:val="00F61C8F"/>
    <w:rsid w:val="00F64D90"/>
    <w:rsid w:val="00F67023"/>
    <w:rsid w:val="00F70AFB"/>
    <w:rsid w:val="00F74B2E"/>
    <w:rsid w:val="00F75E79"/>
    <w:rsid w:val="00F764DC"/>
    <w:rsid w:val="00F76AC7"/>
    <w:rsid w:val="00F8143B"/>
    <w:rsid w:val="00F847AD"/>
    <w:rsid w:val="00F904CC"/>
    <w:rsid w:val="00F93546"/>
    <w:rsid w:val="00F948EA"/>
    <w:rsid w:val="00F94A0E"/>
    <w:rsid w:val="00F94F36"/>
    <w:rsid w:val="00F9570F"/>
    <w:rsid w:val="00F973C7"/>
    <w:rsid w:val="00FA2700"/>
    <w:rsid w:val="00FA45E4"/>
    <w:rsid w:val="00FA6F2B"/>
    <w:rsid w:val="00FB11E9"/>
    <w:rsid w:val="00FB1DF7"/>
    <w:rsid w:val="00FB255B"/>
    <w:rsid w:val="00FB3B65"/>
    <w:rsid w:val="00FB5823"/>
    <w:rsid w:val="00FB605B"/>
    <w:rsid w:val="00FB659C"/>
    <w:rsid w:val="00FC01AC"/>
    <w:rsid w:val="00FC0627"/>
    <w:rsid w:val="00FC7191"/>
    <w:rsid w:val="00FD2A81"/>
    <w:rsid w:val="00FD2BBC"/>
    <w:rsid w:val="00FE03AA"/>
    <w:rsid w:val="00FE099C"/>
    <w:rsid w:val="00FE120E"/>
    <w:rsid w:val="00FE2223"/>
    <w:rsid w:val="00FE2226"/>
    <w:rsid w:val="00FE65D5"/>
    <w:rsid w:val="00FF2E03"/>
    <w:rsid w:val="00FF2E50"/>
    <w:rsid w:val="00FF4245"/>
    <w:rsid w:val="00FF48A7"/>
    <w:rsid w:val="00FF4DAA"/>
    <w:rsid w:val="00FF7F34"/>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hAnsi="Arial" w:cs="Arial"/>
      <w:bCs/>
      <w:kern w:val="28"/>
      <w:sz w:val="52"/>
      <w:szCs w:val="52"/>
      <w:lang w:val="fr-FR" w:eastAsia="zh-CN" w:bidi="ar-SA"/>
    </w:rPr>
  </w:style>
  <w:style w:type="character" w:customStyle="1" w:styleId="Heading2Char">
    <w:name w:val="Heading 2 Char"/>
    <w:link w:val="Heading2"/>
    <w:rsid w:val="00701EE2"/>
    <w:rPr>
      <w:rFonts w:ascii="Arial" w:hAnsi="Arial" w:cs="Arial"/>
      <w:b/>
      <w:bCs/>
      <w:caps/>
      <w:kern w:val="28"/>
      <w:sz w:val="28"/>
      <w:szCs w:val="28"/>
      <w:lang w:val="en-US" w:eastAsia="zh-CN" w:bidi="ar-SA"/>
    </w:rPr>
  </w:style>
  <w:style w:type="character" w:customStyle="1" w:styleId="Heading3Char">
    <w:name w:val="Heading 3 Char"/>
    <w:link w:val="Heading3"/>
    <w:rsid w:val="00701EE2"/>
    <w:rPr>
      <w:rFonts w:ascii="Arial" w:eastAsia="SimSun" w:hAnsi="Arial" w:cs="Arial"/>
      <w:b/>
      <w:bCs/>
      <w:caps/>
      <w:kern w:val="28"/>
      <w:szCs w:val="22"/>
      <w:lang w:val="fr-FR" w:eastAsia="zh-CN" w:bidi="ar-SA"/>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val="fr-FR" w:eastAsia="zh-CN" w:bidi="ar-SA"/>
    </w:rPr>
  </w:style>
  <w:style w:type="character" w:customStyle="1" w:styleId="Heading6Char">
    <w:name w:val="Heading 6 Char"/>
    <w:link w:val="Heading6"/>
    <w:rsid w:val="00701EE2"/>
    <w:rPr>
      <w:rFonts w:ascii="Arial" w:hAnsi="Arial" w:cs="Arial"/>
      <w:b/>
      <w:iCs/>
      <w:szCs w:val="22"/>
      <w:lang w:val="en-US" w:eastAsia="x-none" w:bidi="ar-SA"/>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10"/>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val="fr-FR" w:eastAsia="zh-CN" w:bidi="ar-SA"/>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val="x-none" w:eastAsia="zh-CN" w:bidi="ar-SA"/>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8"/>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autoRedefine/>
    <w:rsid w:val="00B9689C"/>
    <w:pPr>
      <w:numPr>
        <w:numId w:val="1"/>
      </w:numPr>
      <w:tabs>
        <w:tab w:val="clear" w:pos="567"/>
      </w:tabs>
      <w:ind w:left="851" w:hanging="284"/>
    </w:pPr>
  </w:style>
  <w:style w:type="paragraph" w:customStyle="1" w:styleId="Titcoul">
    <w:name w:val="Titcoul"/>
    <w:basedOn w:val="Title"/>
    <w:link w:val="TitcoulCar"/>
    <w:rsid w:val="000651E6"/>
    <w:pPr>
      <w:widowControl w:val="0"/>
      <w:tabs>
        <w:tab w:val="left" w:pos="851"/>
      </w:tabs>
      <w:spacing w:before="720" w:after="240" w:line="320" w:lineRule="exact"/>
      <w:ind w:left="851" w:hanging="851"/>
    </w:pPr>
    <w:rPr>
      <w:rFonts w:ascii="Arial" w:hAnsi="Arial"/>
      <w:color w:val="3366FF"/>
      <w:sz w:val="24"/>
      <w:szCs w:val="24"/>
    </w:rPr>
  </w:style>
  <w:style w:type="character" w:customStyle="1" w:styleId="TitcoulCar">
    <w:name w:val="Titcoul Car"/>
    <w:link w:val="Titcoul"/>
    <w:rsid w:val="000651E6"/>
    <w:rPr>
      <w:rFonts w:ascii="Arial" w:eastAsia="Times New Roman" w:hAnsi="Arial" w:cs="Arial"/>
      <w:b/>
      <w:caps/>
      <w:snapToGrid w:val="0"/>
      <w:color w:val="3366FF"/>
      <w:sz w:val="24"/>
      <w:szCs w:val="24"/>
      <w:lang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6"/>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7"/>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link w:val="ChapitreCar"/>
    <w:rsid w:val="005A0AB6"/>
    <w:pPr>
      <w:pBdr>
        <w:bottom w:val="single" w:sz="4" w:space="14" w:color="3366FF"/>
      </w:pBdr>
      <w:spacing w:before="240" w:line="840" w:lineRule="exact"/>
      <w:ind w:left="0" w:firstLine="0"/>
    </w:pPr>
    <w:rPr>
      <w:sz w:val="70"/>
      <w:szCs w:val="70"/>
    </w:rPr>
  </w:style>
  <w:style w:type="paragraph" w:customStyle="1" w:styleId="Sschapitre">
    <w:name w:val="Sschapitre"/>
    <w:basedOn w:val="Txtgras"/>
    <w:autoRedefine/>
    <w:rsid w:val="00B0489C"/>
  </w:style>
  <w:style w:type="paragraph" w:customStyle="1" w:styleId="Txtchap">
    <w:name w:val="Txtchap"/>
    <w:basedOn w:val="Normal"/>
    <w:link w:val="TxtchapCar"/>
    <w:rsid w:val="00DA5D47"/>
    <w:pPr>
      <w:numPr>
        <w:numId w:val="13"/>
      </w:numPr>
      <w:spacing w:after="120" w:line="360" w:lineRule="exact"/>
    </w:pPr>
    <w:rPr>
      <w:sz w:val="24"/>
    </w:rPr>
  </w:style>
  <w:style w:type="paragraph" w:customStyle="1" w:styleId="Chapinfo">
    <w:name w:val="Chapinfo"/>
    <w:basedOn w:val="Txtchap"/>
    <w:link w:val="ChapinfoCar"/>
    <w:rsid w:val="00795FF0"/>
    <w:pPr>
      <w:keepNext w:val="0"/>
      <w:numPr>
        <w:numId w:val="0"/>
      </w:numPr>
      <w:spacing w:before="480" w:after="0" w:line="320" w:lineRule="exact"/>
      <w:ind w:left="567"/>
    </w:pPr>
    <w:rPr>
      <w:i/>
      <w:iCs/>
      <w:color w:val="3366FF"/>
      <w:szCs w:val="24"/>
    </w:rPr>
  </w:style>
  <w:style w:type="character" w:customStyle="1" w:styleId="ChapinfoCar">
    <w:name w:val="Chapinfo Car"/>
    <w:link w:val="Chapinfo"/>
    <w:rsid w:val="00795FF0"/>
    <w:rPr>
      <w:rFonts w:ascii="Arial" w:eastAsia="SimSun" w:hAnsi="Arial" w:cs="Arial"/>
      <w:i/>
      <w:iCs/>
      <w:color w:val="3366FF"/>
      <w:sz w:val="24"/>
      <w:szCs w:val="24"/>
      <w:lang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ED75D0"/>
    <w:pPr>
      <w:widowControl w:val="0"/>
      <w:spacing w:before="1200" w:after="480"/>
    </w:pPr>
    <w:rPr>
      <w:rFonts w:ascii="Arial" w:hAnsi="Arial"/>
      <w:smallCaps w:val="0"/>
    </w:rPr>
  </w:style>
  <w:style w:type="character" w:customStyle="1" w:styleId="TxtchapCar">
    <w:name w:val="Txtchap Car"/>
    <w:basedOn w:val="DefaultParagraphFont"/>
    <w:link w:val="Txtchap"/>
    <w:rsid w:val="00DA5D47"/>
    <w:rPr>
      <w:rFonts w:ascii="Arial" w:eastAsia="SimSun" w:hAnsi="Arial" w:cs="Arial"/>
      <w:sz w:val="24"/>
      <w:lang w:eastAsia="zh-CN"/>
    </w:rPr>
  </w:style>
  <w:style w:type="paragraph" w:customStyle="1" w:styleId="Key">
    <w:name w:val="Key"/>
    <w:basedOn w:val="Titcoul"/>
    <w:link w:val="KeyCar"/>
    <w:qFormat/>
    <w:rsid w:val="00DA5D47"/>
    <w:rPr>
      <w:rFonts w:eastAsia="SimSun"/>
      <w:lang w:val="en-US"/>
    </w:rPr>
  </w:style>
  <w:style w:type="character" w:customStyle="1" w:styleId="KeyCar">
    <w:name w:val="Key Car"/>
    <w:basedOn w:val="TitcoulCar"/>
    <w:link w:val="Key"/>
    <w:rsid w:val="00DA5D47"/>
    <w:rPr>
      <w:rFonts w:ascii="Arial Gras" w:eastAsia="SimSun" w:hAnsi="Arial Gras" w:cs="Arial"/>
      <w:b/>
      <w:bCs w:val="0"/>
      <w:caps/>
      <w:snapToGrid w:val="0"/>
      <w:color w:val="3366FF"/>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DefaultParagraphFont"/>
    <w:rsid w:val="00073751"/>
    <w:rPr>
      <w:rFonts w:ascii="Arial" w:hAnsi="Arial" w:cs="Arial"/>
      <w:noProof/>
      <w:snapToGrid w:val="0"/>
      <w:sz w:val="20"/>
      <w:szCs w:val="20"/>
      <w:lang w:eastAsia="en-US"/>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5A0AB6"/>
    <w:rPr>
      <w:rFonts w:ascii="Arial" w:eastAsia="Times New Roman" w:hAnsi="Arial" w:cs="Arial"/>
      <w:b/>
      <w:caps/>
      <w:snapToGrid w:val="0"/>
      <w:color w:val="3366FF"/>
      <w:sz w:val="70"/>
      <w:szCs w:val="70"/>
      <w:lang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 w:type="paragraph" w:styleId="DocumentMap">
    <w:name w:val="Document Map"/>
    <w:basedOn w:val="Normal"/>
    <w:link w:val="DocumentMapChar"/>
    <w:semiHidden/>
    <w:unhideWhenUsed/>
    <w:rsid w:val="00F973C7"/>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F973C7"/>
    <w:rPr>
      <w:rFonts w:ascii="Lucida Grande" w:eastAsia="SimSun" w:hAnsi="Lucida Grande" w:cs="Lucida Grande"/>
      <w:sz w:val="24"/>
      <w:szCs w:val="24"/>
      <w:lang w:eastAsia="zh-CN"/>
    </w:rPr>
  </w:style>
  <w:style w:type="paragraph" w:customStyle="1" w:styleId="Upuce">
    <w:name w:val="Upuce"/>
    <w:basedOn w:val="Normal"/>
    <w:rsid w:val="00ED75D0"/>
    <w:pPr>
      <w:keepNext w:val="0"/>
      <w:widowControl w:val="0"/>
      <w:numPr>
        <w:numId w:val="49"/>
      </w:numPr>
      <w:pBdr>
        <w:top w:val="single" w:sz="12" w:space="6" w:color="auto" w:shadow="1"/>
        <w:left w:val="single" w:sz="12" w:space="4" w:color="auto" w:shadow="1"/>
        <w:bottom w:val="single" w:sz="12" w:space="6" w:color="auto" w:shadow="1"/>
        <w:right w:val="single" w:sz="12" w:space="4" w:color="auto" w:shadow="1"/>
      </w:pBdr>
      <w:spacing w:after="60"/>
      <w:ind w:right="113"/>
    </w:pPr>
    <w:rPr>
      <w:szCs w:val="24"/>
    </w:rPr>
  </w:style>
  <w:style w:type="paragraph" w:customStyle="1" w:styleId="UPlan">
    <w:name w:val="UPlan"/>
    <w:basedOn w:val="Titcoul"/>
    <w:link w:val="UPlanCar"/>
    <w:rsid w:val="00ED75D0"/>
    <w:pPr>
      <w:keepLines/>
      <w:widowControl/>
      <w:tabs>
        <w:tab w:val="clear" w:pos="851"/>
        <w:tab w:val="left" w:pos="567"/>
      </w:tabs>
      <w:spacing w:before="480" w:after="0" w:line="480" w:lineRule="exact"/>
      <w:ind w:left="0" w:firstLine="0"/>
      <w:outlineLvl w:val="0"/>
    </w:pPr>
    <w:rPr>
      <w:bCs/>
      <w:noProof/>
      <w:kern w:val="28"/>
      <w:sz w:val="48"/>
      <w:szCs w:val="48"/>
      <w:lang w:val="en-GB"/>
    </w:rPr>
  </w:style>
  <w:style w:type="character" w:customStyle="1" w:styleId="UPlanCar">
    <w:name w:val="UPlan Car"/>
    <w:basedOn w:val="TitcoulCar"/>
    <w:link w:val="UPlan"/>
    <w:rsid w:val="00ED75D0"/>
    <w:rPr>
      <w:rFonts w:ascii="Arial" w:eastAsia="Times New Roman" w:hAnsi="Arial" w:cs="Arial"/>
      <w:b/>
      <w:bCs/>
      <w:caps/>
      <w:noProof/>
      <w:snapToGrid w:val="0"/>
      <w:color w:val="3366FF"/>
      <w:kern w:val="28"/>
      <w:sz w:val="48"/>
      <w:szCs w:val="4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hAnsi="Arial" w:cs="Arial"/>
      <w:bCs/>
      <w:kern w:val="28"/>
      <w:sz w:val="52"/>
      <w:szCs w:val="52"/>
      <w:lang w:val="fr-FR" w:eastAsia="zh-CN" w:bidi="ar-SA"/>
    </w:rPr>
  </w:style>
  <w:style w:type="character" w:customStyle="1" w:styleId="Heading2Char">
    <w:name w:val="Heading 2 Char"/>
    <w:link w:val="Heading2"/>
    <w:rsid w:val="00701EE2"/>
    <w:rPr>
      <w:rFonts w:ascii="Arial" w:hAnsi="Arial" w:cs="Arial"/>
      <w:b/>
      <w:bCs/>
      <w:caps/>
      <w:kern w:val="28"/>
      <w:sz w:val="28"/>
      <w:szCs w:val="28"/>
      <w:lang w:val="en-US" w:eastAsia="zh-CN" w:bidi="ar-SA"/>
    </w:rPr>
  </w:style>
  <w:style w:type="character" w:customStyle="1" w:styleId="Heading3Char">
    <w:name w:val="Heading 3 Char"/>
    <w:link w:val="Heading3"/>
    <w:rsid w:val="00701EE2"/>
    <w:rPr>
      <w:rFonts w:ascii="Arial" w:eastAsia="SimSun" w:hAnsi="Arial" w:cs="Arial"/>
      <w:b/>
      <w:bCs/>
      <w:caps/>
      <w:kern w:val="28"/>
      <w:szCs w:val="22"/>
      <w:lang w:val="fr-FR" w:eastAsia="zh-CN" w:bidi="ar-SA"/>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val="fr-FR" w:eastAsia="zh-CN" w:bidi="ar-SA"/>
    </w:rPr>
  </w:style>
  <w:style w:type="character" w:customStyle="1" w:styleId="Heading6Char">
    <w:name w:val="Heading 6 Char"/>
    <w:link w:val="Heading6"/>
    <w:rsid w:val="00701EE2"/>
    <w:rPr>
      <w:rFonts w:ascii="Arial" w:hAnsi="Arial" w:cs="Arial"/>
      <w:b/>
      <w:iCs/>
      <w:szCs w:val="22"/>
      <w:lang w:val="en-US" w:eastAsia="x-none" w:bidi="ar-SA"/>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10"/>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val="fr-FR" w:eastAsia="zh-CN" w:bidi="ar-SA"/>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val="x-none" w:eastAsia="zh-CN" w:bidi="ar-SA"/>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8"/>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autoRedefine/>
    <w:rsid w:val="00B9689C"/>
    <w:pPr>
      <w:numPr>
        <w:numId w:val="1"/>
      </w:numPr>
      <w:tabs>
        <w:tab w:val="clear" w:pos="567"/>
      </w:tabs>
      <w:ind w:left="851" w:hanging="284"/>
    </w:pPr>
  </w:style>
  <w:style w:type="paragraph" w:customStyle="1" w:styleId="Titcoul">
    <w:name w:val="Titcoul"/>
    <w:basedOn w:val="Title"/>
    <w:link w:val="TitcoulCar"/>
    <w:rsid w:val="000651E6"/>
    <w:pPr>
      <w:widowControl w:val="0"/>
      <w:tabs>
        <w:tab w:val="left" w:pos="851"/>
      </w:tabs>
      <w:spacing w:before="720" w:after="240" w:line="320" w:lineRule="exact"/>
      <w:ind w:left="851" w:hanging="851"/>
    </w:pPr>
    <w:rPr>
      <w:rFonts w:ascii="Arial" w:hAnsi="Arial"/>
      <w:color w:val="3366FF"/>
      <w:sz w:val="24"/>
      <w:szCs w:val="24"/>
    </w:rPr>
  </w:style>
  <w:style w:type="character" w:customStyle="1" w:styleId="TitcoulCar">
    <w:name w:val="Titcoul Car"/>
    <w:link w:val="Titcoul"/>
    <w:rsid w:val="000651E6"/>
    <w:rPr>
      <w:rFonts w:ascii="Arial" w:eastAsia="Times New Roman" w:hAnsi="Arial" w:cs="Arial"/>
      <w:b/>
      <w:caps/>
      <w:snapToGrid w:val="0"/>
      <w:color w:val="3366FF"/>
      <w:sz w:val="24"/>
      <w:szCs w:val="24"/>
      <w:lang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6"/>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7"/>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link w:val="ChapitreCar"/>
    <w:rsid w:val="005A0AB6"/>
    <w:pPr>
      <w:pBdr>
        <w:bottom w:val="single" w:sz="4" w:space="14" w:color="3366FF"/>
      </w:pBdr>
      <w:spacing w:before="240" w:line="840" w:lineRule="exact"/>
      <w:ind w:left="0" w:firstLine="0"/>
    </w:pPr>
    <w:rPr>
      <w:sz w:val="70"/>
      <w:szCs w:val="70"/>
    </w:rPr>
  </w:style>
  <w:style w:type="paragraph" w:customStyle="1" w:styleId="Sschapitre">
    <w:name w:val="Sschapitre"/>
    <w:basedOn w:val="Txtgras"/>
    <w:autoRedefine/>
    <w:rsid w:val="00B0489C"/>
  </w:style>
  <w:style w:type="paragraph" w:customStyle="1" w:styleId="Txtchap">
    <w:name w:val="Txtchap"/>
    <w:basedOn w:val="Normal"/>
    <w:link w:val="TxtchapCar"/>
    <w:rsid w:val="00DA5D47"/>
    <w:pPr>
      <w:numPr>
        <w:numId w:val="13"/>
      </w:numPr>
      <w:spacing w:after="120" w:line="360" w:lineRule="exact"/>
    </w:pPr>
    <w:rPr>
      <w:sz w:val="24"/>
    </w:rPr>
  </w:style>
  <w:style w:type="paragraph" w:customStyle="1" w:styleId="Chapinfo">
    <w:name w:val="Chapinfo"/>
    <w:basedOn w:val="Txtchap"/>
    <w:link w:val="ChapinfoCar"/>
    <w:rsid w:val="00795FF0"/>
    <w:pPr>
      <w:keepNext w:val="0"/>
      <w:numPr>
        <w:numId w:val="0"/>
      </w:numPr>
      <w:spacing w:before="480" w:after="0" w:line="320" w:lineRule="exact"/>
      <w:ind w:left="567"/>
    </w:pPr>
    <w:rPr>
      <w:i/>
      <w:iCs/>
      <w:color w:val="3366FF"/>
      <w:szCs w:val="24"/>
    </w:rPr>
  </w:style>
  <w:style w:type="character" w:customStyle="1" w:styleId="ChapinfoCar">
    <w:name w:val="Chapinfo Car"/>
    <w:link w:val="Chapinfo"/>
    <w:rsid w:val="00795FF0"/>
    <w:rPr>
      <w:rFonts w:ascii="Arial" w:eastAsia="SimSun" w:hAnsi="Arial" w:cs="Arial"/>
      <w:i/>
      <w:iCs/>
      <w:color w:val="3366FF"/>
      <w:sz w:val="24"/>
      <w:szCs w:val="24"/>
      <w:lang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ED75D0"/>
    <w:pPr>
      <w:widowControl w:val="0"/>
      <w:spacing w:before="1200" w:after="480"/>
    </w:pPr>
    <w:rPr>
      <w:rFonts w:ascii="Arial" w:hAnsi="Arial"/>
      <w:smallCaps w:val="0"/>
    </w:rPr>
  </w:style>
  <w:style w:type="character" w:customStyle="1" w:styleId="TxtchapCar">
    <w:name w:val="Txtchap Car"/>
    <w:basedOn w:val="DefaultParagraphFont"/>
    <w:link w:val="Txtchap"/>
    <w:rsid w:val="00DA5D47"/>
    <w:rPr>
      <w:rFonts w:ascii="Arial" w:eastAsia="SimSun" w:hAnsi="Arial" w:cs="Arial"/>
      <w:sz w:val="24"/>
      <w:lang w:eastAsia="zh-CN"/>
    </w:rPr>
  </w:style>
  <w:style w:type="paragraph" w:customStyle="1" w:styleId="Key">
    <w:name w:val="Key"/>
    <w:basedOn w:val="Titcoul"/>
    <w:link w:val="KeyCar"/>
    <w:qFormat/>
    <w:rsid w:val="00DA5D47"/>
    <w:rPr>
      <w:rFonts w:eastAsia="SimSun"/>
      <w:lang w:val="en-US"/>
    </w:rPr>
  </w:style>
  <w:style w:type="character" w:customStyle="1" w:styleId="KeyCar">
    <w:name w:val="Key Car"/>
    <w:basedOn w:val="TitcoulCar"/>
    <w:link w:val="Key"/>
    <w:rsid w:val="00DA5D47"/>
    <w:rPr>
      <w:rFonts w:ascii="Arial Gras" w:eastAsia="SimSun" w:hAnsi="Arial Gras" w:cs="Arial"/>
      <w:b/>
      <w:bCs w:val="0"/>
      <w:caps/>
      <w:snapToGrid w:val="0"/>
      <w:color w:val="3366FF"/>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DefaultParagraphFont"/>
    <w:rsid w:val="00073751"/>
    <w:rPr>
      <w:rFonts w:ascii="Arial" w:hAnsi="Arial" w:cs="Arial"/>
      <w:noProof/>
      <w:snapToGrid w:val="0"/>
      <w:sz w:val="20"/>
      <w:szCs w:val="20"/>
      <w:lang w:eastAsia="en-US"/>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5A0AB6"/>
    <w:rPr>
      <w:rFonts w:ascii="Arial" w:eastAsia="Times New Roman" w:hAnsi="Arial" w:cs="Arial"/>
      <w:b/>
      <w:caps/>
      <w:snapToGrid w:val="0"/>
      <w:color w:val="3366FF"/>
      <w:sz w:val="70"/>
      <w:szCs w:val="70"/>
      <w:lang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 w:type="paragraph" w:styleId="DocumentMap">
    <w:name w:val="Document Map"/>
    <w:basedOn w:val="Normal"/>
    <w:link w:val="DocumentMapChar"/>
    <w:semiHidden/>
    <w:unhideWhenUsed/>
    <w:rsid w:val="00F973C7"/>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F973C7"/>
    <w:rPr>
      <w:rFonts w:ascii="Lucida Grande" w:eastAsia="SimSun" w:hAnsi="Lucida Grande" w:cs="Lucida Grande"/>
      <w:sz w:val="24"/>
      <w:szCs w:val="24"/>
      <w:lang w:eastAsia="zh-CN"/>
    </w:rPr>
  </w:style>
  <w:style w:type="paragraph" w:customStyle="1" w:styleId="Upuce">
    <w:name w:val="Upuce"/>
    <w:basedOn w:val="Normal"/>
    <w:rsid w:val="00ED75D0"/>
    <w:pPr>
      <w:keepNext w:val="0"/>
      <w:widowControl w:val="0"/>
      <w:numPr>
        <w:numId w:val="49"/>
      </w:numPr>
      <w:pBdr>
        <w:top w:val="single" w:sz="12" w:space="6" w:color="auto" w:shadow="1"/>
        <w:left w:val="single" w:sz="12" w:space="4" w:color="auto" w:shadow="1"/>
        <w:bottom w:val="single" w:sz="12" w:space="6" w:color="auto" w:shadow="1"/>
        <w:right w:val="single" w:sz="12" w:space="4" w:color="auto" w:shadow="1"/>
      </w:pBdr>
      <w:spacing w:after="60"/>
      <w:ind w:right="113"/>
    </w:pPr>
    <w:rPr>
      <w:szCs w:val="24"/>
    </w:rPr>
  </w:style>
  <w:style w:type="paragraph" w:customStyle="1" w:styleId="UPlan">
    <w:name w:val="UPlan"/>
    <w:basedOn w:val="Titcoul"/>
    <w:link w:val="UPlanCar"/>
    <w:rsid w:val="00ED75D0"/>
    <w:pPr>
      <w:keepLines/>
      <w:widowControl/>
      <w:tabs>
        <w:tab w:val="clear" w:pos="851"/>
        <w:tab w:val="left" w:pos="567"/>
      </w:tabs>
      <w:spacing w:before="480" w:after="0" w:line="480" w:lineRule="exact"/>
      <w:ind w:left="0" w:firstLine="0"/>
      <w:outlineLvl w:val="0"/>
    </w:pPr>
    <w:rPr>
      <w:bCs/>
      <w:noProof/>
      <w:kern w:val="28"/>
      <w:sz w:val="48"/>
      <w:szCs w:val="48"/>
      <w:lang w:val="en-GB"/>
    </w:rPr>
  </w:style>
  <w:style w:type="character" w:customStyle="1" w:styleId="UPlanCar">
    <w:name w:val="UPlan Car"/>
    <w:basedOn w:val="TitcoulCar"/>
    <w:link w:val="UPlan"/>
    <w:rsid w:val="00ED75D0"/>
    <w:rPr>
      <w:rFonts w:ascii="Arial" w:eastAsia="Times New Roman" w:hAnsi="Arial" w:cs="Arial"/>
      <w:b/>
      <w:bCs/>
      <w:caps/>
      <w:noProof/>
      <w:snapToGrid w:val="0"/>
      <w:color w:val="3366FF"/>
      <w:kern w:val="28"/>
      <w:sz w:val="48"/>
      <w:szCs w:val="4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381">
      <w:bodyDiv w:val="1"/>
      <w:marLeft w:val="0"/>
      <w:marRight w:val="0"/>
      <w:marTop w:val="0"/>
      <w:marBottom w:val="0"/>
      <w:divBdr>
        <w:top w:val="none" w:sz="0" w:space="0" w:color="auto"/>
        <w:left w:val="none" w:sz="0" w:space="0" w:color="auto"/>
        <w:bottom w:val="none" w:sz="0" w:space="0" w:color="auto"/>
        <w:right w:val="none" w:sz="0" w:space="0" w:color="auto"/>
      </w:divBdr>
    </w:div>
    <w:div w:id="113601826">
      <w:bodyDiv w:val="1"/>
      <w:marLeft w:val="0"/>
      <w:marRight w:val="0"/>
      <w:marTop w:val="0"/>
      <w:marBottom w:val="0"/>
      <w:divBdr>
        <w:top w:val="none" w:sz="0" w:space="0" w:color="auto"/>
        <w:left w:val="none" w:sz="0" w:space="0" w:color="auto"/>
        <w:bottom w:val="none" w:sz="0" w:space="0" w:color="auto"/>
        <w:right w:val="none" w:sz="0" w:space="0" w:color="auto"/>
      </w:divBdr>
    </w:div>
    <w:div w:id="282462822">
      <w:bodyDiv w:val="1"/>
      <w:marLeft w:val="0"/>
      <w:marRight w:val="0"/>
      <w:marTop w:val="0"/>
      <w:marBottom w:val="0"/>
      <w:divBdr>
        <w:top w:val="none" w:sz="0" w:space="0" w:color="auto"/>
        <w:left w:val="none" w:sz="0" w:space="0" w:color="auto"/>
        <w:bottom w:val="none" w:sz="0" w:space="0" w:color="auto"/>
        <w:right w:val="none" w:sz="0" w:space="0" w:color="auto"/>
      </w:divBdr>
    </w:div>
    <w:div w:id="714740110">
      <w:bodyDiv w:val="1"/>
      <w:marLeft w:val="0"/>
      <w:marRight w:val="0"/>
      <w:marTop w:val="0"/>
      <w:marBottom w:val="0"/>
      <w:divBdr>
        <w:top w:val="none" w:sz="0" w:space="0" w:color="auto"/>
        <w:left w:val="none" w:sz="0" w:space="0" w:color="auto"/>
        <w:bottom w:val="none" w:sz="0" w:space="0" w:color="auto"/>
        <w:right w:val="none" w:sz="0" w:space="0" w:color="auto"/>
      </w:divBdr>
    </w:div>
    <w:div w:id="772746003">
      <w:bodyDiv w:val="1"/>
      <w:marLeft w:val="0"/>
      <w:marRight w:val="0"/>
      <w:marTop w:val="0"/>
      <w:marBottom w:val="0"/>
      <w:divBdr>
        <w:top w:val="none" w:sz="0" w:space="0" w:color="auto"/>
        <w:left w:val="none" w:sz="0" w:space="0" w:color="auto"/>
        <w:bottom w:val="none" w:sz="0" w:space="0" w:color="auto"/>
        <w:right w:val="none" w:sz="0" w:space="0" w:color="auto"/>
      </w:divBdr>
    </w:div>
    <w:div w:id="1169442940">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2535">
      <w:bodyDiv w:val="1"/>
      <w:marLeft w:val="0"/>
      <w:marRight w:val="0"/>
      <w:marTop w:val="0"/>
      <w:marBottom w:val="0"/>
      <w:divBdr>
        <w:top w:val="none" w:sz="0" w:space="0" w:color="auto"/>
        <w:left w:val="none" w:sz="0" w:space="0" w:color="auto"/>
        <w:bottom w:val="none" w:sz="0" w:space="0" w:color="auto"/>
        <w:right w:val="none" w:sz="0" w:space="0" w:color="auto"/>
      </w:divBdr>
    </w:div>
    <w:div w:id="1706253258">
      <w:bodyDiv w:val="1"/>
      <w:marLeft w:val="0"/>
      <w:marRight w:val="0"/>
      <w:marTop w:val="0"/>
      <w:marBottom w:val="0"/>
      <w:divBdr>
        <w:top w:val="none" w:sz="0" w:space="0" w:color="auto"/>
        <w:left w:val="none" w:sz="0" w:space="0" w:color="auto"/>
        <w:bottom w:val="none" w:sz="0" w:space="0" w:color="auto"/>
        <w:right w:val="none" w:sz="0" w:space="0" w:color="auto"/>
      </w:divBdr>
    </w:div>
    <w:div w:id="1743871822">
      <w:bodyDiv w:val="1"/>
      <w:marLeft w:val="0"/>
      <w:marRight w:val="0"/>
      <w:marTop w:val="0"/>
      <w:marBottom w:val="0"/>
      <w:divBdr>
        <w:top w:val="none" w:sz="0" w:space="0" w:color="auto"/>
        <w:left w:val="none" w:sz="0" w:space="0" w:color="auto"/>
        <w:bottom w:val="none" w:sz="0" w:space="0" w:color="auto"/>
        <w:right w:val="none" w:sz="0" w:space="0" w:color="auto"/>
      </w:divBdr>
    </w:div>
    <w:div w:id="1899439127">
      <w:bodyDiv w:val="1"/>
      <w:marLeft w:val="0"/>
      <w:marRight w:val="0"/>
      <w:marTop w:val="0"/>
      <w:marBottom w:val="0"/>
      <w:divBdr>
        <w:top w:val="none" w:sz="0" w:space="0" w:color="auto"/>
        <w:left w:val="none" w:sz="0" w:space="0" w:color="auto"/>
        <w:bottom w:val="none" w:sz="0" w:space="0" w:color="auto"/>
        <w:right w:val="none" w:sz="0" w:space="0" w:color="auto"/>
      </w:divBdr>
    </w:div>
    <w:div w:id="1934430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124"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12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unesdoc.unesco.org/images/0015/001506/150671f.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5602B-CA70-4F93-8ABD-892A64ED2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3447</Words>
  <Characters>18961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U009-v1.0-PT-FRA.docx</vt:lpstr>
    </vt:vector>
  </TitlesOfParts>
  <Company/>
  <LinksUpToDate>false</LinksUpToDate>
  <CharactersWithSpaces>22364</CharactersWithSpaces>
  <SharedDoc>false</SharedDoc>
  <HyperlinkBase/>
  <HLinks>
    <vt:vector size="732" baseType="variant">
      <vt:variant>
        <vt:i4>6291556</vt:i4>
      </vt:variant>
      <vt:variant>
        <vt:i4>1182</vt:i4>
      </vt:variant>
      <vt:variant>
        <vt:i4>0</vt:i4>
      </vt:variant>
      <vt:variant>
        <vt:i4>5</vt:i4>
      </vt:variant>
      <vt:variant>
        <vt:lpwstr>http://whc.unesco.org/fr/list/722/</vt:lpwstr>
      </vt:variant>
      <vt:variant>
        <vt:lpwstr/>
      </vt:variant>
      <vt:variant>
        <vt:i4>7733348</vt:i4>
      </vt:variant>
      <vt:variant>
        <vt:i4>1179</vt:i4>
      </vt:variant>
      <vt:variant>
        <vt:i4>0</vt:i4>
      </vt:variant>
      <vt:variant>
        <vt:i4>5</vt:i4>
      </vt:variant>
      <vt:variant>
        <vt:lpwstr>http://www.unesco.org/culture/ich/index.php?lg=fr&amp;pg=00011&amp;RL=00015</vt:lpwstr>
      </vt:variant>
      <vt:variant>
        <vt:lpwstr/>
      </vt:variant>
      <vt:variant>
        <vt:i4>1507409</vt:i4>
      </vt:variant>
      <vt:variant>
        <vt:i4>1176</vt:i4>
      </vt:variant>
      <vt:variant>
        <vt:i4>0</vt:i4>
      </vt:variant>
      <vt:variant>
        <vt:i4>5</vt:i4>
      </vt:variant>
      <vt:variant>
        <vt:lpwstr>http://www.nau.edu/~hcpo-p/research.html</vt:lpwstr>
      </vt:variant>
      <vt:variant>
        <vt:lpwstr/>
      </vt:variant>
      <vt:variant>
        <vt:i4>1703964</vt:i4>
      </vt:variant>
      <vt:variant>
        <vt:i4>1173</vt:i4>
      </vt:variant>
      <vt:variant>
        <vt:i4>0</vt:i4>
      </vt:variant>
      <vt:variant>
        <vt:i4>5</vt:i4>
      </vt:variant>
      <vt:variant>
        <vt:lpwstr>http://www.faronet.be/fr/faro-interface-flamande-pour-le-patrimoine-culturel-asbl</vt:lpwstr>
      </vt:variant>
      <vt:variant>
        <vt:lpwstr/>
      </vt:variant>
      <vt:variant>
        <vt:i4>7602291</vt:i4>
      </vt:variant>
      <vt:variant>
        <vt:i4>1170</vt:i4>
      </vt:variant>
      <vt:variant>
        <vt:i4>0</vt:i4>
      </vt:variant>
      <vt:variant>
        <vt:i4>5</vt:i4>
      </vt:variant>
      <vt:variant>
        <vt:lpwstr>http://www.heemkunde-vlaanderen.be/</vt:lpwstr>
      </vt:variant>
      <vt:variant>
        <vt:lpwstr/>
      </vt:variant>
      <vt:variant>
        <vt:i4>1507398</vt:i4>
      </vt:variant>
      <vt:variant>
        <vt:i4>1167</vt:i4>
      </vt:variant>
      <vt:variant>
        <vt:i4>0</vt:i4>
      </vt:variant>
      <vt:variant>
        <vt:i4>5</vt:i4>
      </vt:variant>
      <vt:variant>
        <vt:lpwstr>http://www.unesco.org/culture/ich/index.php?lg=fr&amp;pg=00011&amp;USL=00305</vt:lpwstr>
      </vt:variant>
      <vt:variant>
        <vt:lpwstr/>
      </vt:variant>
      <vt:variant>
        <vt:i4>589914</vt:i4>
      </vt:variant>
      <vt:variant>
        <vt:i4>1164</vt:i4>
      </vt:variant>
      <vt:variant>
        <vt:i4>0</vt:i4>
      </vt:variant>
      <vt:variant>
        <vt:i4>5</vt:i4>
      </vt:variant>
      <vt:variant>
        <vt:lpwstr>http://www.accu.or.jp/ich/en/community/index.html</vt:lpwstr>
      </vt:variant>
      <vt:variant>
        <vt:lpwstr/>
      </vt:variant>
      <vt:variant>
        <vt:i4>7274529</vt:i4>
      </vt:variant>
      <vt:variant>
        <vt:i4>1161</vt:i4>
      </vt:variant>
      <vt:variant>
        <vt:i4>0</vt:i4>
      </vt:variant>
      <vt:variant>
        <vt:i4>5</vt:i4>
      </vt:variant>
      <vt:variant>
        <vt:lpwstr>http://www.accu.or.jp/ich/en/community/sanbaso.html</vt:lpwstr>
      </vt:variant>
      <vt:variant>
        <vt:lpwstr/>
      </vt:variant>
      <vt:variant>
        <vt:i4>5963803</vt:i4>
      </vt:variant>
      <vt:variant>
        <vt:i4>1158</vt:i4>
      </vt:variant>
      <vt:variant>
        <vt:i4>0</vt:i4>
      </vt:variant>
      <vt:variant>
        <vt:i4>5</vt:i4>
      </vt:variant>
      <vt:variant>
        <vt:lpwstr>http://www.unesco.org/culture/ich/index.php?pg=00311&amp;cp=PH&amp;topic=lht</vt:lpwstr>
      </vt:variant>
      <vt:variant>
        <vt:lpwstr>a-acronym-titleliving-human-treasurelhtacronym-system</vt:lpwstr>
      </vt:variant>
      <vt:variant>
        <vt:i4>7733307</vt:i4>
      </vt:variant>
      <vt:variant>
        <vt:i4>1155</vt:i4>
      </vt:variant>
      <vt:variant>
        <vt:i4>0</vt:i4>
      </vt:variant>
      <vt:variant>
        <vt:i4>5</vt:i4>
      </vt:variant>
      <vt:variant>
        <vt:lpwstr>http://www.unesco.org/culture/ich/doc/src/00057-EN.pdf</vt:lpwstr>
      </vt:variant>
      <vt:variant>
        <vt:lpwstr/>
      </vt:variant>
      <vt:variant>
        <vt:i4>5308443</vt:i4>
      </vt:variant>
      <vt:variant>
        <vt:i4>1152</vt:i4>
      </vt:variant>
      <vt:variant>
        <vt:i4>0</vt:i4>
      </vt:variant>
      <vt:variant>
        <vt:i4>5</vt:i4>
      </vt:variant>
      <vt:variant>
        <vt:lpwstr>http://www.ncca.gov.ph/about-ncca/org-awards/org-awards-gamaba-guidelines.php</vt:lpwstr>
      </vt:variant>
      <vt:variant>
        <vt:lpwstr/>
      </vt:variant>
      <vt:variant>
        <vt:i4>1638631</vt:i4>
      </vt:variant>
      <vt:variant>
        <vt:i4>1149</vt:i4>
      </vt:variant>
      <vt:variant>
        <vt:i4>0</vt:i4>
      </vt:variant>
      <vt:variant>
        <vt:i4>5</vt:i4>
      </vt:variant>
      <vt:variant>
        <vt:lpwstr>http://en.wikipilipinas.org/index.php?title=Category :GAMABA_Awardees</vt:lpwstr>
      </vt:variant>
      <vt:variant>
        <vt:lpwstr/>
      </vt:variant>
      <vt:variant>
        <vt:i4>720930</vt:i4>
      </vt:variant>
      <vt:variant>
        <vt:i4>1146</vt:i4>
      </vt:variant>
      <vt:variant>
        <vt:i4>0</vt:i4>
      </vt:variant>
      <vt:variant>
        <vt:i4>5</vt:i4>
      </vt:variant>
      <vt:variant>
        <vt:lpwstr>http://www.watatu.se/information.php?info_id=34</vt:lpwstr>
      </vt:variant>
      <vt:variant>
        <vt:lpwstr/>
      </vt:variant>
      <vt:variant>
        <vt:i4>4587555</vt:i4>
      </vt:variant>
      <vt:variant>
        <vt:i4>1143</vt:i4>
      </vt:variant>
      <vt:variant>
        <vt:i4>0</vt:i4>
      </vt:variant>
      <vt:variant>
        <vt:i4>5</vt:i4>
      </vt:variant>
      <vt:variant>
        <vt:lpwstr>http://www.unesco-uganda.ug/index.php?option=com_docman&amp;Itemid=73</vt:lpwstr>
      </vt:variant>
      <vt:variant>
        <vt:lpwstr/>
      </vt:variant>
      <vt:variant>
        <vt:i4>7143511</vt:i4>
      </vt:variant>
      <vt:variant>
        <vt:i4>1140</vt:i4>
      </vt:variant>
      <vt:variant>
        <vt:i4>0</vt:i4>
      </vt:variant>
      <vt:variant>
        <vt:i4>5</vt:i4>
      </vt:variant>
      <vt:variant>
        <vt:lpwstr>http://www.unesco.org/archives/multimedia/index.php?s=films_details&amp;id_page=33&amp;id_film=641</vt:lpwstr>
      </vt:variant>
      <vt:variant>
        <vt:lpwstr/>
      </vt:variant>
      <vt:variant>
        <vt:i4>5767190</vt:i4>
      </vt:variant>
      <vt:variant>
        <vt:i4>1137</vt:i4>
      </vt:variant>
      <vt:variant>
        <vt:i4>0</vt:i4>
      </vt:variant>
      <vt:variant>
        <vt:i4>5</vt:i4>
      </vt:variant>
      <vt:variant>
        <vt:lpwstr>http://www.cartierwomensinitiative.com/site/modulefinaliste/detail/Sara-Katebalirwe/128.html</vt:lpwstr>
      </vt:variant>
      <vt:variant>
        <vt:lpwstr/>
      </vt:variant>
      <vt:variant>
        <vt:i4>4194318</vt:i4>
      </vt:variant>
      <vt:variant>
        <vt:i4>1134</vt:i4>
      </vt:variant>
      <vt:variant>
        <vt:i4>0</vt:i4>
      </vt:variant>
      <vt:variant>
        <vt:i4>5</vt:i4>
      </vt:variant>
      <vt:variant>
        <vt:lpwstr>http://unorcac.nativeweb.org/</vt:lpwstr>
      </vt:variant>
      <vt:variant>
        <vt:lpwstr/>
      </vt:variant>
      <vt:variant>
        <vt:i4>3080247</vt:i4>
      </vt:variant>
      <vt:variant>
        <vt:i4>1131</vt:i4>
      </vt:variant>
      <vt:variant>
        <vt:i4>0</vt:i4>
      </vt:variant>
      <vt:variant>
        <vt:i4>5</vt:i4>
      </vt:variant>
      <vt:variant>
        <vt:lpwstr>http://www.runatupari.com/</vt:lpwstr>
      </vt:variant>
      <vt:variant>
        <vt:lpwstr/>
      </vt:variant>
      <vt:variant>
        <vt:i4>1704001</vt:i4>
      </vt:variant>
      <vt:variant>
        <vt:i4>1128</vt:i4>
      </vt:variant>
      <vt:variant>
        <vt:i4>0</vt:i4>
      </vt:variant>
      <vt:variant>
        <vt:i4>5</vt:i4>
      </vt:variant>
      <vt:variant>
        <vt:lpwstr>http://www.agriterra.org/assets/uploads/15068/solutions_agriterra_en.pdf</vt:lpwstr>
      </vt:variant>
      <vt:variant>
        <vt:lpwstr/>
      </vt:variant>
      <vt:variant>
        <vt:i4>131156</vt:i4>
      </vt:variant>
      <vt:variant>
        <vt:i4>1125</vt:i4>
      </vt:variant>
      <vt:variant>
        <vt:i4>0</vt:i4>
      </vt:variant>
      <vt:variant>
        <vt:i4>5</vt:i4>
      </vt:variant>
      <vt:variant>
        <vt:lpwstr>http://www.agriterra.org/en/text/about-agriterra</vt:lpwstr>
      </vt:variant>
      <vt:variant>
        <vt:lpwstr/>
      </vt:variant>
      <vt:variant>
        <vt:i4>917584</vt:i4>
      </vt:variant>
      <vt:variant>
        <vt:i4>1122</vt:i4>
      </vt:variant>
      <vt:variant>
        <vt:i4>0</vt:i4>
      </vt:variant>
      <vt:variant>
        <vt:i4>5</vt:i4>
      </vt:variant>
      <vt:variant>
        <vt:lpwstr>http://www.wipo.int/export/sites/www/academy/en/ipacademies/educational_materials/cs1_hoodia.pdf</vt:lpwstr>
      </vt:variant>
      <vt:variant>
        <vt:lpwstr/>
      </vt:variant>
      <vt:variant>
        <vt:i4>6160454</vt:i4>
      </vt:variant>
      <vt:variant>
        <vt:i4>1119</vt:i4>
      </vt:variant>
      <vt:variant>
        <vt:i4>0</vt:i4>
      </vt:variant>
      <vt:variant>
        <vt:i4>5</vt:i4>
      </vt:variant>
      <vt:variant>
        <vt:lpwstr>http://www.cbd.int/doc/publications/cbd-ts-38-en.pdf</vt:lpwstr>
      </vt:variant>
      <vt:variant>
        <vt:lpwstr/>
      </vt:variant>
      <vt:variant>
        <vt:i4>4718680</vt:i4>
      </vt:variant>
      <vt:variant>
        <vt:i4>1116</vt:i4>
      </vt:variant>
      <vt:variant>
        <vt:i4>0</vt:i4>
      </vt:variant>
      <vt:variant>
        <vt:i4>5</vt:i4>
      </vt:variant>
      <vt:variant>
        <vt:lpwstr>http://www.unesco.org/culture/ich/index.php?pg=00011&amp;LR=00166</vt:lpwstr>
      </vt:variant>
      <vt:variant>
        <vt:lpwstr/>
      </vt:variant>
      <vt:variant>
        <vt:i4>1114216</vt:i4>
      </vt:variant>
      <vt:variant>
        <vt:i4>1113</vt:i4>
      </vt:variant>
      <vt:variant>
        <vt:i4>0</vt:i4>
      </vt:variant>
      <vt:variant>
        <vt:i4>5</vt:i4>
      </vt:variant>
      <vt:variant>
        <vt:lpwstr>http://www.cedla.uva.nl/50_publications/pdf/revista/82RevistaEuropea/82-Ypeij&amp;Zorn-ISSN-0924-0608.pdf</vt:lpwstr>
      </vt:variant>
      <vt:variant>
        <vt:lpwstr/>
      </vt:variant>
      <vt:variant>
        <vt:i4>3342435</vt:i4>
      </vt:variant>
      <vt:variant>
        <vt:i4>1110</vt:i4>
      </vt:variant>
      <vt:variant>
        <vt:i4>0</vt:i4>
      </vt:variant>
      <vt:variant>
        <vt:i4>5</vt:i4>
      </vt:variant>
      <vt:variant>
        <vt:lpwstr>http://www.unesco.org/uil/litbase/?menu=4&amp;programme=25</vt:lpwstr>
      </vt:variant>
      <vt:variant>
        <vt:lpwstr/>
      </vt:variant>
      <vt:variant>
        <vt:i4>7143527</vt:i4>
      </vt:variant>
      <vt:variant>
        <vt:i4>1107</vt:i4>
      </vt:variant>
      <vt:variant>
        <vt:i4>0</vt:i4>
      </vt:variant>
      <vt:variant>
        <vt:i4>5</vt:i4>
      </vt:variant>
      <vt:variant>
        <vt:lpwstr>http://www.unesco.org/culture/ich/index.php?lg=en&amp;pg=00011&amp;LR=00174</vt:lpwstr>
      </vt:variant>
      <vt:variant>
        <vt:lpwstr/>
      </vt:variant>
      <vt:variant>
        <vt:i4>393307</vt:i4>
      </vt:variant>
      <vt:variant>
        <vt:i4>1104</vt:i4>
      </vt:variant>
      <vt:variant>
        <vt:i4>0</vt:i4>
      </vt:variant>
      <vt:variant>
        <vt:i4>5</vt:i4>
      </vt:variant>
      <vt:variant>
        <vt:lpwstr>http://www.unesco.org/culture/ich/index.php?LSU=00313</vt:lpwstr>
      </vt:variant>
      <vt:variant>
        <vt:lpwstr/>
      </vt:variant>
      <vt:variant>
        <vt:i4>393307</vt:i4>
      </vt:variant>
      <vt:variant>
        <vt:i4>1101</vt:i4>
      </vt:variant>
      <vt:variant>
        <vt:i4>0</vt:i4>
      </vt:variant>
      <vt:variant>
        <vt:i4>5</vt:i4>
      </vt:variant>
      <vt:variant>
        <vt:lpwstr>http://www.unesco.org/culture/ich/index.php?LSU=00315</vt:lpwstr>
      </vt:variant>
      <vt:variant>
        <vt:lpwstr/>
      </vt:variant>
      <vt:variant>
        <vt:i4>74</vt:i4>
      </vt:variant>
      <vt:variant>
        <vt:i4>1098</vt:i4>
      </vt:variant>
      <vt:variant>
        <vt:i4>0</vt:i4>
      </vt:variant>
      <vt:variant>
        <vt:i4>5</vt:i4>
      </vt:variant>
      <vt:variant>
        <vt:lpwstr>http://www.ifad.org/english/indigenous/pub/documents/Indigeknowledge.pdf</vt:lpwstr>
      </vt:variant>
      <vt:variant>
        <vt:lpwstr/>
      </vt:variant>
      <vt:variant>
        <vt:i4>1900554</vt:i4>
      </vt:variant>
      <vt:variant>
        <vt:i4>1095</vt:i4>
      </vt:variant>
      <vt:variant>
        <vt:i4>0</vt:i4>
      </vt:variant>
      <vt:variant>
        <vt:i4>5</vt:i4>
      </vt:variant>
      <vt:variant>
        <vt:lpwstr>http://www.unesco.org/culture/ich/index.php?pg=00261</vt:lpwstr>
      </vt:variant>
      <vt:variant>
        <vt:lpwstr/>
      </vt:variant>
      <vt:variant>
        <vt:i4>655428</vt:i4>
      </vt:variant>
      <vt:variant>
        <vt:i4>1092</vt:i4>
      </vt:variant>
      <vt:variant>
        <vt:i4>0</vt:i4>
      </vt:variant>
      <vt:variant>
        <vt:i4>5</vt:i4>
      </vt:variant>
      <vt:variant>
        <vt:lpwstr>http://www.wipo.int/export/sites/www/tk/en/culturalheritage/casestudies/arantes_report_vol1.pdf</vt:lpwstr>
      </vt:variant>
      <vt:variant>
        <vt:lpwstr/>
      </vt:variant>
      <vt:variant>
        <vt:i4>5374028</vt:i4>
      </vt:variant>
      <vt:variant>
        <vt:i4>1089</vt:i4>
      </vt:variant>
      <vt:variant>
        <vt:i4>0</vt:i4>
      </vt:variant>
      <vt:variant>
        <vt:i4>5</vt:i4>
      </vt:variant>
      <vt:variant>
        <vt:lpwstr>http://www.iphan.gov.br/bcrE/pages/indexE.jsf</vt:lpwstr>
      </vt:variant>
      <vt:variant>
        <vt:lpwstr/>
      </vt:variant>
      <vt:variant>
        <vt:i4>1572956</vt:i4>
      </vt:variant>
      <vt:variant>
        <vt:i4>1086</vt:i4>
      </vt:variant>
      <vt:variant>
        <vt:i4>0</vt:i4>
      </vt:variant>
      <vt:variant>
        <vt:i4>5</vt:i4>
      </vt:variant>
      <vt:variant>
        <vt:lpwstr>http://www.iphan.gov.br/</vt:lpwstr>
      </vt:variant>
      <vt:variant>
        <vt:lpwstr/>
      </vt:variant>
      <vt:variant>
        <vt:i4>6815778</vt:i4>
      </vt:variant>
      <vt:variant>
        <vt:i4>1083</vt:i4>
      </vt:variant>
      <vt:variant>
        <vt:i4>0</vt:i4>
      </vt:variant>
      <vt:variant>
        <vt:i4>5</vt:i4>
      </vt:variant>
      <vt:variant>
        <vt:lpwstr>http://www.unesco.org/culture/ich/index.php?pg=00015&amp;categ=2010</vt:lpwstr>
      </vt:variant>
      <vt:variant>
        <vt:lpwstr/>
      </vt:variant>
      <vt:variant>
        <vt:i4>2228334</vt:i4>
      </vt:variant>
      <vt:variant>
        <vt:i4>1080</vt:i4>
      </vt:variant>
      <vt:variant>
        <vt:i4>0</vt:i4>
      </vt:variant>
      <vt:variant>
        <vt:i4>5</vt:i4>
      </vt:variant>
      <vt:variant>
        <vt:lpwstr>http://www.mun.ca/ich/home/</vt:lpwstr>
      </vt:variant>
      <vt:variant>
        <vt:lpwstr/>
      </vt:variant>
      <vt:variant>
        <vt:i4>2818175</vt:i4>
      </vt:variant>
      <vt:variant>
        <vt:i4>1077</vt:i4>
      </vt:variant>
      <vt:variant>
        <vt:i4>0</vt:i4>
      </vt:variant>
      <vt:variant>
        <vt:i4>5</vt:i4>
      </vt:variant>
      <vt:variant>
        <vt:lpwstr>http://collections.mun.ca/index.php</vt:lpwstr>
      </vt:variant>
      <vt:variant>
        <vt:lpwstr/>
      </vt:variant>
      <vt:variant>
        <vt:i4>1114189</vt:i4>
      </vt:variant>
      <vt:variant>
        <vt:i4>1074</vt:i4>
      </vt:variant>
      <vt:variant>
        <vt:i4>0</vt:i4>
      </vt:variant>
      <vt:variant>
        <vt:i4>5</vt:i4>
      </vt:variant>
      <vt:variant>
        <vt:lpwstr>http://www.heritagefoundation.ca/ich.aspx</vt:lpwstr>
      </vt:variant>
      <vt:variant>
        <vt:lpwstr/>
      </vt:variant>
      <vt:variant>
        <vt:i4>1703951</vt:i4>
      </vt:variant>
      <vt:variant>
        <vt:i4>1071</vt:i4>
      </vt:variant>
      <vt:variant>
        <vt:i4>0</vt:i4>
      </vt:variant>
      <vt:variant>
        <vt:i4>5</vt:i4>
      </vt:variant>
      <vt:variant>
        <vt:lpwstr>http://www.mun.ca/ich/resources/</vt:lpwstr>
      </vt:variant>
      <vt:variant>
        <vt:lpwstr/>
      </vt:variant>
      <vt:variant>
        <vt:i4>917581</vt:i4>
      </vt:variant>
      <vt:variant>
        <vt:i4>1068</vt:i4>
      </vt:variant>
      <vt:variant>
        <vt:i4>0</vt:i4>
      </vt:variant>
      <vt:variant>
        <vt:i4>5</vt:i4>
      </vt:variant>
      <vt:variant>
        <vt:lpwstr>http://www.mun.ca/ich/inventory/ICHtopic.php</vt:lpwstr>
      </vt:variant>
      <vt:variant>
        <vt:lpwstr/>
      </vt:variant>
      <vt:variant>
        <vt:i4>65625</vt:i4>
      </vt:variant>
      <vt:variant>
        <vt:i4>1065</vt:i4>
      </vt:variant>
      <vt:variant>
        <vt:i4>0</vt:i4>
      </vt:variant>
      <vt:variant>
        <vt:i4>5</vt:i4>
      </vt:variant>
      <vt:variant>
        <vt:lpwstr>http://www.mun.ca/ich/inventory/profiles.php</vt:lpwstr>
      </vt:variant>
      <vt:variant>
        <vt:lpwstr/>
      </vt:variant>
      <vt:variant>
        <vt:i4>6684794</vt:i4>
      </vt:variant>
      <vt:variant>
        <vt:i4>1062</vt:i4>
      </vt:variant>
      <vt:variant>
        <vt:i4>0</vt:i4>
      </vt:variant>
      <vt:variant>
        <vt:i4>5</vt:i4>
      </vt:variant>
      <vt:variant>
        <vt:lpwstr>http://collections.mun.ca/</vt:lpwstr>
      </vt:variant>
      <vt:variant>
        <vt:lpwstr/>
      </vt:variant>
      <vt:variant>
        <vt:i4>983051</vt:i4>
      </vt:variant>
      <vt:variant>
        <vt:i4>1059</vt:i4>
      </vt:variant>
      <vt:variant>
        <vt:i4>0</vt:i4>
      </vt:variant>
      <vt:variant>
        <vt:i4>5</vt:i4>
      </vt:variant>
      <vt:variant>
        <vt:lpwstr>http://www.mun.ca/ich/advisorycommittee/</vt:lpwstr>
      </vt:variant>
      <vt:variant>
        <vt:lpwstr/>
      </vt:variant>
      <vt:variant>
        <vt:i4>65628</vt:i4>
      </vt:variant>
      <vt:variant>
        <vt:i4>1056</vt:i4>
      </vt:variant>
      <vt:variant>
        <vt:i4>0</vt:i4>
      </vt:variant>
      <vt:variant>
        <vt:i4>5</vt:i4>
      </vt:variant>
      <vt:variant>
        <vt:lpwstr>http://www.heritagefoundation.ca/</vt:lpwstr>
      </vt:variant>
      <vt:variant>
        <vt:lpwstr/>
      </vt:variant>
      <vt:variant>
        <vt:i4>4128879</vt:i4>
      </vt:variant>
      <vt:variant>
        <vt:i4>1053</vt:i4>
      </vt:variant>
      <vt:variant>
        <vt:i4>0</vt:i4>
      </vt:variant>
      <vt:variant>
        <vt:i4>5</vt:i4>
      </vt:variant>
      <vt:variant>
        <vt:lpwstr>http://www.ethnologie.chaire.ulaval.ca/</vt:lpwstr>
      </vt:variant>
      <vt:variant>
        <vt:lpwstr/>
      </vt:variant>
      <vt:variant>
        <vt:i4>7602238</vt:i4>
      </vt:variant>
      <vt:variant>
        <vt:i4>1050</vt:i4>
      </vt:variant>
      <vt:variant>
        <vt:i4>0</vt:i4>
      </vt:variant>
      <vt:variant>
        <vt:i4>5</vt:i4>
      </vt:variant>
      <vt:variant>
        <vt:lpwstr>http://www.aiatsis.gov.au/</vt:lpwstr>
      </vt:variant>
      <vt:variant>
        <vt:lpwstr/>
      </vt:variant>
      <vt:variant>
        <vt:i4>1245187</vt:i4>
      </vt:variant>
      <vt:variant>
        <vt:i4>1047</vt:i4>
      </vt:variant>
      <vt:variant>
        <vt:i4>0</vt:i4>
      </vt:variant>
      <vt:variant>
        <vt:i4>5</vt:i4>
      </vt:variant>
      <vt:variant>
        <vt:lpwstr>http://www.indiosonline.org.br/novo/</vt:lpwstr>
      </vt:variant>
      <vt:variant>
        <vt:lpwstr/>
      </vt:variant>
      <vt:variant>
        <vt:i4>3211372</vt:i4>
      </vt:variant>
      <vt:variant>
        <vt:i4>1044</vt:i4>
      </vt:variant>
      <vt:variant>
        <vt:i4>0</vt:i4>
      </vt:variant>
      <vt:variant>
        <vt:i4>5</vt:i4>
      </vt:variant>
      <vt:variant>
        <vt:lpwstr>http://www.indiasurabhi.com/indianheritage.html</vt:lpwstr>
      </vt:variant>
      <vt:variant>
        <vt:lpwstr/>
      </vt:variant>
      <vt:variant>
        <vt:i4>5963815</vt:i4>
      </vt:variant>
      <vt:variant>
        <vt:i4>1041</vt:i4>
      </vt:variant>
      <vt:variant>
        <vt:i4>0</vt:i4>
      </vt:variant>
      <vt:variant>
        <vt:i4>5</vt:i4>
      </vt:variant>
      <vt:variant>
        <vt:lpwstr>http://www.accu.ou.jp/ich/en/training/curriculum/curriculum_9.html</vt:lpwstr>
      </vt:variant>
      <vt:variant>
        <vt:lpwstr/>
      </vt:variant>
      <vt:variant>
        <vt:i4>1638451</vt:i4>
      </vt:variant>
      <vt:variant>
        <vt:i4>1038</vt:i4>
      </vt:variant>
      <vt:variant>
        <vt:i4>0</vt:i4>
      </vt:variant>
      <vt:variant>
        <vt:i4>5</vt:i4>
      </vt:variant>
      <vt:variant>
        <vt:lpwstr>http://www.accu.ou.jp/ich/en/training/curriculum/curriculum_7.html</vt:lpwstr>
      </vt:variant>
      <vt:variant>
        <vt:lpwstr>/point4/</vt:lpwstr>
      </vt:variant>
      <vt:variant>
        <vt:i4>4980845</vt:i4>
      </vt:variant>
      <vt:variant>
        <vt:i4>1035</vt:i4>
      </vt:variant>
      <vt:variant>
        <vt:i4>0</vt:i4>
      </vt:variant>
      <vt:variant>
        <vt:i4>5</vt:i4>
      </vt:variant>
      <vt:variant>
        <vt:lpwstr>http://www.accu.ou.jp/ich/en/training/curriculum/second/curriculum_7.html</vt:lpwstr>
      </vt:variant>
      <vt:variant>
        <vt:lpwstr/>
      </vt:variant>
      <vt:variant>
        <vt:i4>3866677</vt:i4>
      </vt:variant>
      <vt:variant>
        <vt:i4>1032</vt:i4>
      </vt:variant>
      <vt:variant>
        <vt:i4>0</vt:i4>
      </vt:variant>
      <vt:variant>
        <vt:i4>5</vt:i4>
      </vt:variant>
      <vt:variant>
        <vt:lpwstr>http://www.unesco.org/culture/ich/index.php?lg=en&amp;pg=00061</vt:lpwstr>
      </vt:variant>
      <vt:variant>
        <vt:lpwstr/>
      </vt:variant>
      <vt:variant>
        <vt:i4>7340093</vt:i4>
      </vt:variant>
      <vt:variant>
        <vt:i4>1029</vt:i4>
      </vt:variant>
      <vt:variant>
        <vt:i4>0</vt:i4>
      </vt:variant>
      <vt:variant>
        <vt:i4>5</vt:i4>
      </vt:variant>
      <vt:variant>
        <vt:lpwstr>http://www.unesco.org/culture/ich/doc/src/00031-EN.pdf</vt:lpwstr>
      </vt:variant>
      <vt:variant>
        <vt:lpwstr/>
      </vt:variant>
      <vt:variant>
        <vt:i4>8192038</vt:i4>
      </vt:variant>
      <vt:variant>
        <vt:i4>1026</vt:i4>
      </vt:variant>
      <vt:variant>
        <vt:i4>0</vt:i4>
      </vt:variant>
      <vt:variant>
        <vt:i4>5</vt:i4>
      </vt:variant>
      <vt:variant>
        <vt:lpwstr>http://portal.unesco.org/en/ev.php-URL_ID=13141&amp;URL_DO=DO_TOPIC&amp;URL_SECTION=201.html</vt:lpwstr>
      </vt:variant>
      <vt:variant>
        <vt:lpwstr/>
      </vt:variant>
      <vt:variant>
        <vt:i4>8126503</vt:i4>
      </vt:variant>
      <vt:variant>
        <vt:i4>1023</vt:i4>
      </vt:variant>
      <vt:variant>
        <vt:i4>0</vt:i4>
      </vt:variant>
      <vt:variant>
        <vt:i4>5</vt:i4>
      </vt:variant>
      <vt:variant>
        <vt:lpwstr>http://portal.unesco.org/en/ev.php-URL_ID=17716&amp;URL_DO=DO_TOPIC&amp;URL_SECTION=201.html</vt:lpwstr>
      </vt:variant>
      <vt:variant>
        <vt:lpwstr/>
      </vt:variant>
      <vt:variant>
        <vt:i4>6553663</vt:i4>
      </vt:variant>
      <vt:variant>
        <vt:i4>1020</vt:i4>
      </vt:variant>
      <vt:variant>
        <vt:i4>0</vt:i4>
      </vt:variant>
      <vt:variant>
        <vt:i4>5</vt:i4>
      </vt:variant>
      <vt:variant>
        <vt:lpwstr>http://www.wipo.int/freepublications/en/tk/913/wipo_pub_913.pdf</vt:lpwstr>
      </vt:variant>
      <vt:variant>
        <vt:lpwstr/>
      </vt:variant>
      <vt:variant>
        <vt:i4>5374017</vt:i4>
      </vt:variant>
      <vt:variant>
        <vt:i4>1017</vt:i4>
      </vt:variant>
      <vt:variant>
        <vt:i4>0</vt:i4>
      </vt:variant>
      <vt:variant>
        <vt:i4>5</vt:i4>
      </vt:variant>
      <vt:variant>
        <vt:lpwstr>http://www.wipo.int/tk/en/laws/folklore.html</vt:lpwstr>
      </vt:variant>
      <vt:variant>
        <vt:lpwstr/>
      </vt:variant>
      <vt:variant>
        <vt:i4>3932209</vt:i4>
      </vt:variant>
      <vt:variant>
        <vt:i4>1014</vt:i4>
      </vt:variant>
      <vt:variant>
        <vt:i4>0</vt:i4>
      </vt:variant>
      <vt:variant>
        <vt:i4>5</vt:i4>
      </vt:variant>
      <vt:variant>
        <vt:lpwstr>http://www.unesco.org/culture/ich/index.php?lg=en&amp;pg=00026</vt:lpwstr>
      </vt:variant>
      <vt:variant>
        <vt:lpwstr/>
      </vt:variant>
      <vt:variant>
        <vt:i4>1114181</vt:i4>
      </vt:variant>
      <vt:variant>
        <vt:i4>1011</vt:i4>
      </vt:variant>
      <vt:variant>
        <vt:i4>0</vt:i4>
      </vt:variant>
      <vt:variant>
        <vt:i4>5</vt:i4>
      </vt:variant>
      <vt:variant>
        <vt:lpwstr>http://www.unesco.org/culture/ich/index.php?lg=enHYPERLINK%20</vt:lpwstr>
      </vt:variant>
      <vt:variant>
        <vt:lpwstr/>
      </vt:variant>
      <vt:variant>
        <vt:i4>3276849</vt:i4>
      </vt:variant>
      <vt:variant>
        <vt:i4>1008</vt:i4>
      </vt:variant>
      <vt:variant>
        <vt:i4>0</vt:i4>
      </vt:variant>
      <vt:variant>
        <vt:i4>5</vt:i4>
      </vt:variant>
      <vt:variant>
        <vt:lpwstr>http://www.unesco.org/culture/ich/index.php?lg=en&amp;pg=00028</vt:lpwstr>
      </vt:variant>
      <vt:variant>
        <vt:lpwstr/>
      </vt:variant>
      <vt:variant>
        <vt:i4>3276851</vt:i4>
      </vt:variant>
      <vt:variant>
        <vt:i4>1005</vt:i4>
      </vt:variant>
      <vt:variant>
        <vt:i4>0</vt:i4>
      </vt:variant>
      <vt:variant>
        <vt:i4>5</vt:i4>
      </vt:variant>
      <vt:variant>
        <vt:lpwstr>http://www.unesco.org/culture/ich/index.php?lg=en&amp;pg=00008</vt:lpwstr>
      </vt:variant>
      <vt:variant>
        <vt:lpwstr/>
      </vt:variant>
      <vt:variant>
        <vt:i4>720987</vt:i4>
      </vt:variant>
      <vt:variant>
        <vt:i4>1002</vt:i4>
      </vt:variant>
      <vt:variant>
        <vt:i4>0</vt:i4>
      </vt:variant>
      <vt:variant>
        <vt:i4>5</vt:i4>
      </vt:variant>
      <vt:variant>
        <vt:lpwstr>http://whc.unesco.org/fr/list/?action=stat&amp;</vt:lpwstr>
      </vt:variant>
      <vt:variant>
        <vt:lpwstr>s1</vt:lpwstr>
      </vt:variant>
      <vt:variant>
        <vt:i4>1835027</vt:i4>
      </vt:variant>
      <vt:variant>
        <vt:i4>999</vt:i4>
      </vt:variant>
      <vt:variant>
        <vt:i4>0</vt:i4>
      </vt:variant>
      <vt:variant>
        <vt:i4>5</vt:i4>
      </vt:variant>
      <vt:variant>
        <vt:lpwstr>http://www.unesco.org/culture/ich/fr/listes/</vt:lpwstr>
      </vt:variant>
      <vt:variant>
        <vt:lpwstr/>
      </vt:variant>
      <vt:variant>
        <vt:i4>3080241</vt:i4>
      </vt:variant>
      <vt:variant>
        <vt:i4>996</vt:i4>
      </vt:variant>
      <vt:variant>
        <vt:i4>0</vt:i4>
      </vt:variant>
      <vt:variant>
        <vt:i4>5</vt:i4>
      </vt:variant>
      <vt:variant>
        <vt:lpwstr>http://whc.unesco.org/archive/global94.htm</vt:lpwstr>
      </vt:variant>
      <vt:variant>
        <vt:lpwstr/>
      </vt:variant>
      <vt:variant>
        <vt:i4>4653078</vt:i4>
      </vt:variant>
      <vt:variant>
        <vt:i4>993</vt:i4>
      </vt:variant>
      <vt:variant>
        <vt:i4>0</vt:i4>
      </vt:variant>
      <vt:variant>
        <vt:i4>5</vt:i4>
      </vt:variant>
      <vt:variant>
        <vt:lpwstr>http://whc.unesco.org/archive/site Webs/venice2002/edito.htm</vt:lpwstr>
      </vt:variant>
      <vt:variant>
        <vt:lpwstr/>
      </vt:variant>
      <vt:variant>
        <vt:i4>4063356</vt:i4>
      </vt:variant>
      <vt:variant>
        <vt:i4>990</vt:i4>
      </vt:variant>
      <vt:variant>
        <vt:i4>0</vt:i4>
      </vt:variant>
      <vt:variant>
        <vt:i4>5</vt:i4>
      </vt:variant>
      <vt:variant>
        <vt:lpwstr>http://whc.unesco.org/en/statesparties/</vt:lpwstr>
      </vt:variant>
      <vt:variant>
        <vt:lpwstr/>
      </vt:variant>
      <vt:variant>
        <vt:i4>3342387</vt:i4>
      </vt:variant>
      <vt:variant>
        <vt:i4>987</vt:i4>
      </vt:variant>
      <vt:variant>
        <vt:i4>0</vt:i4>
      </vt:variant>
      <vt:variant>
        <vt:i4>5</vt:i4>
      </vt:variant>
      <vt:variant>
        <vt:lpwstr>http://www.unesco.org/culture/ich/index.php?lg=en&amp;pg=00009</vt:lpwstr>
      </vt:variant>
      <vt:variant>
        <vt:lpwstr/>
      </vt:variant>
      <vt:variant>
        <vt:i4>4718623</vt:i4>
      </vt:variant>
      <vt:variant>
        <vt:i4>984</vt:i4>
      </vt:variant>
      <vt:variant>
        <vt:i4>0</vt:i4>
      </vt:variant>
      <vt:variant>
        <vt:i4>5</vt:i4>
      </vt:variant>
      <vt:variant>
        <vt:lpwstr>http://www.unesco.org/culture/ich/fr/formulaires/</vt:lpwstr>
      </vt:variant>
      <vt:variant>
        <vt:lpwstr/>
      </vt:variant>
      <vt:variant>
        <vt:i4>4718623</vt:i4>
      </vt:variant>
      <vt:variant>
        <vt:i4>981</vt:i4>
      </vt:variant>
      <vt:variant>
        <vt:i4>0</vt:i4>
      </vt:variant>
      <vt:variant>
        <vt:i4>5</vt:i4>
      </vt:variant>
      <vt:variant>
        <vt:lpwstr>http://www.unesco.org/culture/ich/fr/formulaires/</vt:lpwstr>
      </vt:variant>
      <vt:variant>
        <vt:lpwstr/>
      </vt:variant>
      <vt:variant>
        <vt:i4>3866674</vt:i4>
      </vt:variant>
      <vt:variant>
        <vt:i4>978</vt:i4>
      </vt:variant>
      <vt:variant>
        <vt:i4>0</vt:i4>
      </vt:variant>
      <vt:variant>
        <vt:i4>5</vt:i4>
      </vt:variant>
      <vt:variant>
        <vt:lpwstr>http://www.unesco.org/culture/ich/index.php?lg=en&amp;pg=00011</vt:lpwstr>
      </vt:variant>
      <vt:variant>
        <vt:lpwstr/>
      </vt:variant>
      <vt:variant>
        <vt:i4>6750307</vt:i4>
      </vt:variant>
      <vt:variant>
        <vt:i4>975</vt:i4>
      </vt:variant>
      <vt:variant>
        <vt:i4>0</vt:i4>
      </vt:variant>
      <vt:variant>
        <vt:i4>5</vt:i4>
      </vt:variant>
      <vt:variant>
        <vt:lpwstr>http://www.wipo.int/tk/en/culturalheritage/surveys.html</vt:lpwstr>
      </vt:variant>
      <vt:variant>
        <vt:lpwstr/>
      </vt:variant>
      <vt:variant>
        <vt:i4>655363</vt:i4>
      </vt:variant>
      <vt:variant>
        <vt:i4>972</vt:i4>
      </vt:variant>
      <vt:variant>
        <vt:i4>0</vt:i4>
      </vt:variant>
      <vt:variant>
        <vt:i4>5</vt:i4>
      </vt:variant>
      <vt:variant>
        <vt:lpwstr>http://www.unesco.org/culture/ich/index.php?lg=en&amp;pg=0006</vt:lpwstr>
      </vt:variant>
      <vt:variant>
        <vt:lpwstr/>
      </vt:variant>
      <vt:variant>
        <vt:i4>6225994</vt:i4>
      </vt:variant>
      <vt:variant>
        <vt:i4>969</vt:i4>
      </vt:variant>
      <vt:variant>
        <vt:i4>0</vt:i4>
      </vt:variant>
      <vt:variant>
        <vt:i4>5</vt:i4>
      </vt:variant>
      <vt:variant>
        <vt:lpwstr>http://www.accu.ou.jp/ich/en/pdf/2ndworkshop.pdf</vt:lpwstr>
      </vt:variant>
      <vt:variant>
        <vt:lpwstr/>
      </vt:variant>
      <vt:variant>
        <vt:i4>1376265</vt:i4>
      </vt:variant>
      <vt:variant>
        <vt:i4>966</vt:i4>
      </vt:variant>
      <vt:variant>
        <vt:i4>0</vt:i4>
      </vt:variant>
      <vt:variant>
        <vt:i4>5</vt:i4>
      </vt:variant>
      <vt:variant>
        <vt:lpwstr>http://www.unesco.org/culture/ich/index.php?RL=00171</vt:lpwstr>
      </vt:variant>
      <vt:variant>
        <vt:lpwstr/>
      </vt:variant>
      <vt:variant>
        <vt:i4>3670064</vt:i4>
      </vt:variant>
      <vt:variant>
        <vt:i4>963</vt:i4>
      </vt:variant>
      <vt:variant>
        <vt:i4>0</vt:i4>
      </vt:variant>
      <vt:variant>
        <vt:i4>5</vt:i4>
      </vt:variant>
      <vt:variant>
        <vt:lpwstr>http://www.unesco.org/culture/ich/index.php?lg=en&amp;pg=00331</vt:lpwstr>
      </vt:variant>
      <vt:variant>
        <vt:lpwstr/>
      </vt:variant>
      <vt:variant>
        <vt:i4>3932209</vt:i4>
      </vt:variant>
      <vt:variant>
        <vt:i4>960</vt:i4>
      </vt:variant>
      <vt:variant>
        <vt:i4>0</vt:i4>
      </vt:variant>
      <vt:variant>
        <vt:i4>5</vt:i4>
      </vt:variant>
      <vt:variant>
        <vt:lpwstr>http://www.unesco.org/culture/ich/index.php?lg=en&amp;pg=00026</vt:lpwstr>
      </vt:variant>
      <vt:variant>
        <vt:lpwstr/>
      </vt:variant>
      <vt:variant>
        <vt:i4>3276849</vt:i4>
      </vt:variant>
      <vt:variant>
        <vt:i4>957</vt:i4>
      </vt:variant>
      <vt:variant>
        <vt:i4>0</vt:i4>
      </vt:variant>
      <vt:variant>
        <vt:i4>5</vt:i4>
      </vt:variant>
      <vt:variant>
        <vt:lpwstr>http://www.unesco.org/culture/ich/index.php?lg=en&amp;pg=00028</vt:lpwstr>
      </vt:variant>
      <vt:variant>
        <vt:lpwstr/>
      </vt:variant>
      <vt:variant>
        <vt:i4>4128818</vt:i4>
      </vt:variant>
      <vt:variant>
        <vt:i4>954</vt:i4>
      </vt:variant>
      <vt:variant>
        <vt:i4>0</vt:i4>
      </vt:variant>
      <vt:variant>
        <vt:i4>5</vt:i4>
      </vt:variant>
      <vt:variant>
        <vt:lpwstr>http://www.unesco.org/culture/ich/index.php?lg=en&amp;pg=00015</vt:lpwstr>
      </vt:variant>
      <vt:variant>
        <vt:lpwstr/>
      </vt:variant>
      <vt:variant>
        <vt:i4>8061039</vt:i4>
      </vt:variant>
      <vt:variant>
        <vt:i4>951</vt:i4>
      </vt:variant>
      <vt:variant>
        <vt:i4>0</vt:i4>
      </vt:variant>
      <vt:variant>
        <vt:i4>5</vt:i4>
      </vt:variant>
      <vt:variant>
        <vt:lpwstr>http://portal.unesco.org/en/ev.php-URL_ID=13649&amp;URL_DO=DO_TOPIC&amp;URL_SECTION=-471.html</vt:lpwstr>
      </vt:variant>
      <vt:variant>
        <vt:lpwstr/>
      </vt:variant>
      <vt:variant>
        <vt:i4>1376275</vt:i4>
      </vt:variant>
      <vt:variant>
        <vt:i4>948</vt:i4>
      </vt:variant>
      <vt:variant>
        <vt:i4>0</vt:i4>
      </vt:variant>
      <vt:variant>
        <vt:i4>5</vt:i4>
      </vt:variant>
      <vt:variant>
        <vt:lpwstr>http://www.accu.ou.jp/ich/en/</vt:lpwstr>
      </vt:variant>
      <vt:variant>
        <vt:lpwstr/>
      </vt:variant>
      <vt:variant>
        <vt:i4>2556025</vt:i4>
      </vt:variant>
      <vt:variant>
        <vt:i4>945</vt:i4>
      </vt:variant>
      <vt:variant>
        <vt:i4>0</vt:i4>
      </vt:variant>
      <vt:variant>
        <vt:i4>5</vt:i4>
      </vt:variant>
      <vt:variant>
        <vt:lpwstr>http://www.ichcap.org/en/ichcap/ich.jsp</vt:lpwstr>
      </vt:variant>
      <vt:variant>
        <vt:lpwstr/>
      </vt:variant>
      <vt:variant>
        <vt:i4>8323177</vt:i4>
      </vt:variant>
      <vt:variant>
        <vt:i4>942</vt:i4>
      </vt:variant>
      <vt:variant>
        <vt:i4>0</vt:i4>
      </vt:variant>
      <vt:variant>
        <vt:i4>5</vt:i4>
      </vt:variant>
      <vt:variant>
        <vt:lpwstr>http://www.wipo.int/tk/en/resources</vt:lpwstr>
      </vt:variant>
      <vt:variant>
        <vt:lpwstr/>
      </vt:variant>
      <vt:variant>
        <vt:i4>1769476</vt:i4>
      </vt:variant>
      <vt:variant>
        <vt:i4>939</vt:i4>
      </vt:variant>
      <vt:variant>
        <vt:i4>0</vt:i4>
      </vt:variant>
      <vt:variant>
        <vt:i4>5</vt:i4>
      </vt:variant>
      <vt:variant>
        <vt:lpwstr>http://www.unesco.org/culture/ich/index.php?pg=00184</vt:lpwstr>
      </vt:variant>
      <vt:variant>
        <vt:lpwstr/>
      </vt:variant>
      <vt:variant>
        <vt:i4>3866674</vt:i4>
      </vt:variant>
      <vt:variant>
        <vt:i4>936</vt:i4>
      </vt:variant>
      <vt:variant>
        <vt:i4>0</vt:i4>
      </vt:variant>
      <vt:variant>
        <vt:i4>5</vt:i4>
      </vt:variant>
      <vt:variant>
        <vt:lpwstr>http://www.unesco.org/culture/ich/index.php?lg=en&amp;pg=00011</vt:lpwstr>
      </vt:variant>
      <vt:variant>
        <vt:lpwstr/>
      </vt:variant>
      <vt:variant>
        <vt:i4>3276850</vt:i4>
      </vt:variant>
      <vt:variant>
        <vt:i4>933</vt:i4>
      </vt:variant>
      <vt:variant>
        <vt:i4>0</vt:i4>
      </vt:variant>
      <vt:variant>
        <vt:i4>5</vt:i4>
      </vt:variant>
      <vt:variant>
        <vt:lpwstr>http://www.unesco.org/culture/ich/index.php?lg=en&amp;pg=00018</vt:lpwstr>
      </vt:variant>
      <vt:variant>
        <vt:lpwstr/>
      </vt:variant>
      <vt:variant>
        <vt:i4>524288</vt:i4>
      </vt:variant>
      <vt:variant>
        <vt:i4>930</vt:i4>
      </vt:variant>
      <vt:variant>
        <vt:i4>0</vt:i4>
      </vt:variant>
      <vt:variant>
        <vt:i4>5</vt:i4>
      </vt:variant>
      <vt:variant>
        <vt:lpwstr>http://www.unesco.org/culture/ich/index.php?lg=en&amp;pg=331</vt:lpwstr>
      </vt:variant>
      <vt:variant>
        <vt:lpwstr/>
      </vt:variant>
      <vt:variant>
        <vt:i4>4128818</vt:i4>
      </vt:variant>
      <vt:variant>
        <vt:i4>927</vt:i4>
      </vt:variant>
      <vt:variant>
        <vt:i4>0</vt:i4>
      </vt:variant>
      <vt:variant>
        <vt:i4>5</vt:i4>
      </vt:variant>
      <vt:variant>
        <vt:lpwstr>http://www.unesco.org/culture/ich/index.php?lg=en&amp;pg=00015</vt:lpwstr>
      </vt:variant>
      <vt:variant>
        <vt:lpwstr/>
      </vt:variant>
      <vt:variant>
        <vt:i4>3735603</vt:i4>
      </vt:variant>
      <vt:variant>
        <vt:i4>924</vt:i4>
      </vt:variant>
      <vt:variant>
        <vt:i4>0</vt:i4>
      </vt:variant>
      <vt:variant>
        <vt:i4>5</vt:i4>
      </vt:variant>
      <vt:variant>
        <vt:lpwstr>http://www.unesco.org/culture/ich/index.php?lg=en&amp;pg=00102</vt:lpwstr>
      </vt:variant>
      <vt:variant>
        <vt:lpwstr/>
      </vt:variant>
      <vt:variant>
        <vt:i4>7733297</vt:i4>
      </vt:variant>
      <vt:variant>
        <vt:i4>921</vt:i4>
      </vt:variant>
      <vt:variant>
        <vt:i4>0</vt:i4>
      </vt:variant>
      <vt:variant>
        <vt:i4>5</vt:i4>
      </vt:variant>
      <vt:variant>
        <vt:lpwstr>http://www.unesco.org/culture/ich/index.php</vt:lpwstr>
      </vt:variant>
      <vt:variant>
        <vt:lpwstr/>
      </vt:variant>
      <vt:variant>
        <vt:i4>2556014</vt:i4>
      </vt:variant>
      <vt:variant>
        <vt:i4>99</vt:i4>
      </vt:variant>
      <vt:variant>
        <vt:i4>0</vt:i4>
      </vt:variant>
      <vt:variant>
        <vt:i4>5</vt:i4>
      </vt:variant>
      <vt:variant>
        <vt:lpwstr>http://whc.unesco.org/archive/2011/whc11-35com-20f.pdf</vt:lpwstr>
      </vt:variant>
      <vt:variant>
        <vt:lpwstr/>
      </vt:variant>
      <vt:variant>
        <vt:i4>5963884</vt:i4>
      </vt:variant>
      <vt:variant>
        <vt:i4>96</vt:i4>
      </vt:variant>
      <vt:variant>
        <vt:i4>0</vt:i4>
      </vt:variant>
      <vt:variant>
        <vt:i4>5</vt:i4>
      </vt:variant>
      <vt:variant>
        <vt:lpwstr>http://whc.unesco.org/fr/decisions/?id_decision=1784&amp;</vt:lpwstr>
      </vt:variant>
      <vt:variant>
        <vt:lpwstr/>
      </vt:variant>
      <vt:variant>
        <vt:i4>5963885</vt:i4>
      </vt:variant>
      <vt:variant>
        <vt:i4>93</vt:i4>
      </vt:variant>
      <vt:variant>
        <vt:i4>0</vt:i4>
      </vt:variant>
      <vt:variant>
        <vt:i4>5</vt:i4>
      </vt:variant>
      <vt:variant>
        <vt:lpwstr>http://whc.unesco.org/fr/decisions/?id_decision=1596&amp;</vt:lpwstr>
      </vt:variant>
      <vt:variant>
        <vt:lpwstr/>
      </vt:variant>
      <vt:variant>
        <vt:i4>2621487</vt:i4>
      </vt:variant>
      <vt:variant>
        <vt:i4>90</vt:i4>
      </vt:variant>
      <vt:variant>
        <vt:i4>0</vt:i4>
      </vt:variant>
      <vt:variant>
        <vt:i4>5</vt:i4>
      </vt:variant>
      <vt:variant>
        <vt:lpwstr>http://whc.unesco.org/archive/repcom01.htm</vt:lpwstr>
      </vt:variant>
      <vt:variant>
        <vt:lpwstr>riceterraces</vt:lpwstr>
      </vt:variant>
      <vt:variant>
        <vt:i4>5177430</vt:i4>
      </vt:variant>
      <vt:variant>
        <vt:i4>87</vt:i4>
      </vt:variant>
      <vt:variant>
        <vt:i4>0</vt:i4>
      </vt:variant>
      <vt:variant>
        <vt:i4>5</vt:i4>
      </vt:variant>
      <vt:variant>
        <vt:lpwstr>http://whc.unesco.org/fr/list/722</vt:lpwstr>
      </vt:variant>
      <vt:variant>
        <vt:lpwstr/>
      </vt:variant>
      <vt:variant>
        <vt:i4>8257606</vt:i4>
      </vt:variant>
      <vt:variant>
        <vt:i4>84</vt:i4>
      </vt:variant>
      <vt:variant>
        <vt:i4>0</vt:i4>
      </vt:variant>
      <vt:variant>
        <vt:i4>5</vt:i4>
      </vt:variant>
      <vt:variant>
        <vt:lpwstr>http://www.wipo.int/export/sites/www/tk/en/culturalheritage/casestudies/hopi_protocols.pdf</vt:lpwstr>
      </vt:variant>
      <vt:variant>
        <vt:lpwstr/>
      </vt:variant>
      <vt:variant>
        <vt:i4>655428</vt:i4>
      </vt:variant>
      <vt:variant>
        <vt:i4>81</vt:i4>
      </vt:variant>
      <vt:variant>
        <vt:i4>0</vt:i4>
      </vt:variant>
      <vt:variant>
        <vt:i4>5</vt:i4>
      </vt:variant>
      <vt:variant>
        <vt:lpwstr>http://www.wipo.int/export/sites/www/tk/en/culturalheritage/casestudies/arantes_report_vol1.pdf</vt:lpwstr>
      </vt:variant>
      <vt:variant>
        <vt:lpwstr/>
      </vt:variant>
      <vt:variant>
        <vt:i4>8061052</vt:i4>
      </vt:variant>
      <vt:variant>
        <vt:i4>78</vt:i4>
      </vt:variant>
      <vt:variant>
        <vt:i4>0</vt:i4>
      </vt:variant>
      <vt:variant>
        <vt:i4>5</vt:i4>
      </vt:variant>
      <vt:variant>
        <vt:lpwstr>http://news.tangatawhenua.com/archives/5166</vt:lpwstr>
      </vt:variant>
      <vt:variant>
        <vt:lpwstr/>
      </vt:variant>
      <vt:variant>
        <vt:i4>24248333</vt:i4>
      </vt:variant>
      <vt:variant>
        <vt:i4>75</vt:i4>
      </vt:variant>
      <vt:variant>
        <vt:i4>0</vt:i4>
      </vt:variant>
      <vt:variant>
        <vt:i4>5</vt:i4>
      </vt:variant>
      <vt:variant>
        <vt:lpwstr>http://www.newswire.co.nz/2010/02/Māori-save/</vt:lpwstr>
      </vt:variant>
      <vt:variant>
        <vt:lpwstr/>
      </vt:variant>
      <vt:variant>
        <vt:i4>3145783</vt:i4>
      </vt:variant>
      <vt:variant>
        <vt:i4>72</vt:i4>
      </vt:variant>
      <vt:variant>
        <vt:i4>0</vt:i4>
      </vt:variant>
      <vt:variant>
        <vt:i4>5</vt:i4>
      </vt:variant>
      <vt:variant>
        <vt:lpwstr>http://www.toiiho.com/</vt:lpwstr>
      </vt:variant>
      <vt:variant>
        <vt:lpwstr/>
      </vt:variant>
      <vt:variant>
        <vt:i4>24248333</vt:i4>
      </vt:variant>
      <vt:variant>
        <vt:i4>69</vt:i4>
      </vt:variant>
      <vt:variant>
        <vt:i4>0</vt:i4>
      </vt:variant>
      <vt:variant>
        <vt:i4>5</vt:i4>
      </vt:variant>
      <vt:variant>
        <vt:lpwstr>http://www.newswire.co.nz/2010/02/Māori-save/</vt:lpwstr>
      </vt:variant>
      <vt:variant>
        <vt:lpwstr/>
      </vt:variant>
      <vt:variant>
        <vt:i4>24248333</vt:i4>
      </vt:variant>
      <vt:variant>
        <vt:i4>66</vt:i4>
      </vt:variant>
      <vt:variant>
        <vt:i4>0</vt:i4>
      </vt:variant>
      <vt:variant>
        <vt:i4>5</vt:i4>
      </vt:variant>
      <vt:variant>
        <vt:lpwstr>http://www.newswire.co.nz/2010/02/Māori-save/</vt:lpwstr>
      </vt:variant>
      <vt:variant>
        <vt:lpwstr/>
      </vt:variant>
      <vt:variant>
        <vt:i4>2818103</vt:i4>
      </vt:variant>
      <vt:variant>
        <vt:i4>63</vt:i4>
      </vt:variant>
      <vt:variant>
        <vt:i4>0</vt:i4>
      </vt:variant>
      <vt:variant>
        <vt:i4>5</vt:i4>
      </vt:variant>
      <vt:variant>
        <vt:lpwstr>http://faolex.fao.org/docs/pdf/saf85909.pdf</vt:lpwstr>
      </vt:variant>
      <vt:variant>
        <vt:lpwstr/>
      </vt:variant>
      <vt:variant>
        <vt:i4>7667816</vt:i4>
      </vt:variant>
      <vt:variant>
        <vt:i4>60</vt:i4>
      </vt:variant>
      <vt:variant>
        <vt:i4>0</vt:i4>
      </vt:variant>
      <vt:variant>
        <vt:i4>5</vt:i4>
      </vt:variant>
      <vt:variant>
        <vt:lpwstr>http://www.ipo.org.za/IPO_docs/archive_2010/Intellectual Property Laws Amendment Bill.pdf</vt:lpwstr>
      </vt:variant>
      <vt:variant>
        <vt:lpwstr/>
      </vt:variant>
      <vt:variant>
        <vt:i4>3145760</vt:i4>
      </vt:variant>
      <vt:variant>
        <vt:i4>57</vt:i4>
      </vt:variant>
      <vt:variant>
        <vt:i4>0</vt:i4>
      </vt:variant>
      <vt:variant>
        <vt:i4>5</vt:i4>
      </vt:variant>
      <vt:variant>
        <vt:lpwstr>http://www.dti.gov.za/ccrd/ip/bill.pdf</vt:lpwstr>
      </vt:variant>
      <vt:variant>
        <vt:lpwstr/>
      </vt:variant>
      <vt:variant>
        <vt:i4>1114121</vt:i4>
      </vt:variant>
      <vt:variant>
        <vt:i4>54</vt:i4>
      </vt:variant>
      <vt:variant>
        <vt:i4>0</vt:i4>
      </vt:variant>
      <vt:variant>
        <vt:i4>5</vt:i4>
      </vt:variant>
      <vt:variant>
        <vt:lpwstr>http://www.unesco.org/culture/ich/index.php?RL=00175</vt:lpwstr>
      </vt:variant>
      <vt:variant>
        <vt:lpwstr/>
      </vt:variant>
      <vt:variant>
        <vt:i4>7078007</vt:i4>
      </vt:variant>
      <vt:variant>
        <vt:i4>51</vt:i4>
      </vt:variant>
      <vt:variant>
        <vt:i4>0</vt:i4>
      </vt:variant>
      <vt:variant>
        <vt:i4>5</vt:i4>
      </vt:variant>
      <vt:variant>
        <vt:lpwstr>http://tradecomacpeu.com/resources/files/42/bark-cloth-from-uganda.pdf</vt:lpwstr>
      </vt:variant>
      <vt:variant>
        <vt:lpwstr/>
      </vt:variant>
      <vt:variant>
        <vt:i4>2097234</vt:i4>
      </vt:variant>
      <vt:variant>
        <vt:i4>48</vt:i4>
      </vt:variant>
      <vt:variant>
        <vt:i4>0</vt:i4>
      </vt:variant>
      <vt:variant>
        <vt:i4>5</vt:i4>
      </vt:variant>
      <vt:variant>
        <vt:lpwstr>http://www.equatorinitiative.org/index.php?option=com_content&amp;view=article&amp;id=543%3Aunorcac&amp;catid=107%3Aequator-prize-winners-2008&amp;Itemid=546&amp;lang=en</vt:lpwstr>
      </vt:variant>
      <vt:variant>
        <vt:lpwstr/>
      </vt:variant>
      <vt:variant>
        <vt:i4>3735665</vt:i4>
      </vt:variant>
      <vt:variant>
        <vt:i4>45</vt:i4>
      </vt:variant>
      <vt:variant>
        <vt:i4>0</vt:i4>
      </vt:variant>
      <vt:variant>
        <vt:i4>5</vt:i4>
      </vt:variant>
      <vt:variant>
        <vt:lpwstr>http://www.unorcac.org/</vt:lpwstr>
      </vt:variant>
      <vt:variant>
        <vt:lpwstr/>
      </vt:variant>
      <vt:variant>
        <vt:i4>131156</vt:i4>
      </vt:variant>
      <vt:variant>
        <vt:i4>42</vt:i4>
      </vt:variant>
      <vt:variant>
        <vt:i4>0</vt:i4>
      </vt:variant>
      <vt:variant>
        <vt:i4>5</vt:i4>
      </vt:variant>
      <vt:variant>
        <vt:lpwstr>http://www.agriterra.org/en/text/about-agriterra</vt:lpwstr>
      </vt:variant>
      <vt:variant>
        <vt:lpwstr/>
      </vt:variant>
      <vt:variant>
        <vt:i4>3080247</vt:i4>
      </vt:variant>
      <vt:variant>
        <vt:i4>39</vt:i4>
      </vt:variant>
      <vt:variant>
        <vt:i4>0</vt:i4>
      </vt:variant>
      <vt:variant>
        <vt:i4>5</vt:i4>
      </vt:variant>
      <vt:variant>
        <vt:lpwstr>http://www.runatupari.com/</vt:lpwstr>
      </vt:variant>
      <vt:variant>
        <vt:lpwstr/>
      </vt:variant>
      <vt:variant>
        <vt:i4>2228235</vt:i4>
      </vt:variant>
      <vt:variant>
        <vt:i4>36</vt:i4>
      </vt:variant>
      <vt:variant>
        <vt:i4>0</vt:i4>
      </vt:variant>
      <vt:variant>
        <vt:i4>5</vt:i4>
      </vt:variant>
      <vt:variant>
        <vt:lpwstr>http://www.uclan.ac.uk/schools/school_d_nursing/research_projects/files/health_cpe_genbenefit_hoodia_stakeholders.pdf</vt:lpwstr>
      </vt:variant>
      <vt:variant>
        <vt:lpwstr/>
      </vt:variant>
      <vt:variant>
        <vt:i4>6160441</vt:i4>
      </vt:variant>
      <vt:variant>
        <vt:i4>33</vt:i4>
      </vt:variant>
      <vt:variant>
        <vt:i4>0</vt:i4>
      </vt:variant>
      <vt:variant>
        <vt:i4>5</vt:i4>
      </vt:variant>
      <vt:variant>
        <vt:lpwstr>http://ntww1.csir.co.za/plsql/ptl0002/PTL0002_PGE157_MEDIA_REL?MEDIA_RELEASE_NO=7083643</vt:lpwstr>
      </vt:variant>
      <vt:variant>
        <vt:lpwstr/>
      </vt:variant>
      <vt:variant>
        <vt:i4>6029343</vt:i4>
      </vt:variant>
      <vt:variant>
        <vt:i4>30</vt:i4>
      </vt:variant>
      <vt:variant>
        <vt:i4>0</vt:i4>
      </vt:variant>
      <vt:variant>
        <vt:i4>5</vt:i4>
      </vt:variant>
      <vt:variant>
        <vt:lpwstr>http://travel.kompas.com/read/2010/06/25/19553630/Festival.Ujungberung.Dibuka</vt:lpwstr>
      </vt:variant>
      <vt:variant>
        <vt:lpwstr/>
      </vt:variant>
      <vt:variant>
        <vt:i4>65</vt:i4>
      </vt:variant>
      <vt:variant>
        <vt:i4>27</vt:i4>
      </vt:variant>
      <vt:variant>
        <vt:i4>0</vt:i4>
      </vt:variant>
      <vt:variant>
        <vt:i4>5</vt:i4>
      </vt:variant>
      <vt:variant>
        <vt:lpwstr>http://www.klik-galamedia.com/indexedisi.php?id=20100625&amp;wartakode=20100625034442</vt:lpwstr>
      </vt:variant>
      <vt:variant>
        <vt:lpwstr/>
      </vt:variant>
      <vt:variant>
        <vt:i4>7798844</vt:i4>
      </vt:variant>
      <vt:variant>
        <vt:i4>24</vt:i4>
      </vt:variant>
      <vt:variant>
        <vt:i4>0</vt:i4>
      </vt:variant>
      <vt:variant>
        <vt:i4>5</vt:i4>
      </vt:variant>
      <vt:variant>
        <vt:lpwstr>http://www.unesco.org/culture/ich/doc/src/01858-EN.pdf</vt:lpwstr>
      </vt:variant>
      <vt:variant>
        <vt:lpwstr/>
      </vt:variant>
      <vt:variant>
        <vt:i4>5505104</vt:i4>
      </vt:variant>
      <vt:variant>
        <vt:i4>21</vt:i4>
      </vt:variant>
      <vt:variant>
        <vt:i4>0</vt:i4>
      </vt:variant>
      <vt:variant>
        <vt:i4>5</vt:i4>
      </vt:variant>
      <vt:variant>
        <vt:lpwstr>http://www.unesco.org/culture/ich/doc</vt:lpwstr>
      </vt:variant>
      <vt:variant>
        <vt:lpwstr/>
      </vt:variant>
      <vt:variant>
        <vt:i4>720987</vt:i4>
      </vt:variant>
      <vt:variant>
        <vt:i4>18</vt:i4>
      </vt:variant>
      <vt:variant>
        <vt:i4>0</vt:i4>
      </vt:variant>
      <vt:variant>
        <vt:i4>5</vt:i4>
      </vt:variant>
      <vt:variant>
        <vt:lpwstr>http://whc.unesco.org/fr/list/?action=stat&amp;</vt:lpwstr>
      </vt:variant>
      <vt:variant>
        <vt:lpwstr>s1</vt:lpwstr>
      </vt:variant>
      <vt:variant>
        <vt:i4>1835027</vt:i4>
      </vt:variant>
      <vt:variant>
        <vt:i4>15</vt:i4>
      </vt:variant>
      <vt:variant>
        <vt:i4>0</vt:i4>
      </vt:variant>
      <vt:variant>
        <vt:i4>5</vt:i4>
      </vt:variant>
      <vt:variant>
        <vt:lpwstr>http://www.unesco.org/culture/ich/fr/listes/</vt:lpwstr>
      </vt:variant>
      <vt:variant>
        <vt:lpwstr/>
      </vt:variant>
      <vt:variant>
        <vt:i4>1704004</vt:i4>
      </vt:variant>
      <vt:variant>
        <vt:i4>12</vt:i4>
      </vt:variant>
      <vt:variant>
        <vt:i4>0</vt:i4>
      </vt:variant>
      <vt:variant>
        <vt:i4>5</vt:i4>
      </vt:variant>
      <vt:variant>
        <vt:lpwstr>http://www.un.org/esa/socdev/unpfii/en/drip.html</vt:lpwstr>
      </vt:variant>
      <vt:variant>
        <vt:lpwstr/>
      </vt:variant>
      <vt:variant>
        <vt:i4>5439565</vt:i4>
      </vt:variant>
      <vt:variant>
        <vt:i4>9</vt:i4>
      </vt:variant>
      <vt:variant>
        <vt:i4>0</vt:i4>
      </vt:variant>
      <vt:variant>
        <vt:i4>5</vt:i4>
      </vt:variant>
      <vt:variant>
        <vt:lpwstr>http://www.aapant.org.au/</vt:lpwstr>
      </vt:variant>
      <vt:variant>
        <vt:lpwstr/>
      </vt:variant>
      <vt:variant>
        <vt:i4>1900558</vt:i4>
      </vt:variant>
      <vt:variant>
        <vt:i4>6</vt:i4>
      </vt:variant>
      <vt:variant>
        <vt:i4>0</vt:i4>
      </vt:variant>
      <vt:variant>
        <vt:i4>5</vt:i4>
      </vt:variant>
      <vt:variant>
        <vt:lpwstr>http://unesdoc.unesco.org/images/0015/001506/150671e.pdf</vt:lpwstr>
      </vt:variant>
      <vt:variant>
        <vt:lpwstr/>
      </vt:variant>
      <vt:variant>
        <vt:i4>7798844</vt:i4>
      </vt:variant>
      <vt:variant>
        <vt:i4>3</vt:i4>
      </vt:variant>
      <vt:variant>
        <vt:i4>0</vt:i4>
      </vt:variant>
      <vt:variant>
        <vt:i4>5</vt:i4>
      </vt:variant>
      <vt:variant>
        <vt:lpwstr>http://www.unesco.org/culture/ich/doc/src/01858-EN.pdf</vt:lpwstr>
      </vt:variant>
      <vt:variant>
        <vt:lpwstr/>
      </vt:variant>
      <vt:variant>
        <vt:i4>1114199</vt:i4>
      </vt:variant>
      <vt:variant>
        <vt:i4>0</vt:i4>
      </vt:variant>
      <vt:variant>
        <vt:i4>0</vt:i4>
      </vt:variant>
      <vt:variant>
        <vt:i4>5</vt:i4>
      </vt:variant>
      <vt:variant>
        <vt:lpwstr>http://documents-dds-ny.un.org/doc/UNDOC/GEN/N87/184/67/img/N8718467.pdf?OpenElement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U009-v1.0-PT-FRA.docx</dc:title>
  <dc:creator>FLUFFY</dc:creator>
  <cp:lastModifiedBy>A. Cunningham</cp:lastModifiedBy>
  <cp:revision>9</cp:revision>
  <cp:lastPrinted>2014-06-28T12:23:00Z</cp:lastPrinted>
  <dcterms:created xsi:type="dcterms:W3CDTF">2015-09-23T14:20:00Z</dcterms:created>
  <dcterms:modified xsi:type="dcterms:W3CDTF">2015-09-28T09:02:00Z</dcterms:modified>
</cp:coreProperties>
</file>