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E7" w:rsidRPr="008240F8" w:rsidRDefault="00005CEA" w:rsidP="00C41D44">
      <w:pPr>
        <w:pStyle w:val="Chapitre"/>
      </w:pPr>
      <w:bookmarkStart w:id="0" w:name="_Toc241553728"/>
      <w:bookmarkStart w:id="1" w:name="_Toc302374689"/>
      <w:bookmarkStart w:id="2" w:name="_Toc319060166"/>
      <w:r w:rsidRPr="008240F8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82304" behindDoc="1" locked="1" layoutInCell="1" allowOverlap="0" wp14:anchorId="718DE43E" wp14:editId="6B7A2458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9" name="Imag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40F8">
        <w:t>Unit</w:t>
      </w:r>
      <w:r w:rsidRPr="008240F8">
        <w:rPr>
          <w:rFonts w:hint="eastAsia"/>
        </w:rPr>
        <w:t>É</w:t>
      </w:r>
      <w:r w:rsidRPr="008240F8">
        <w:t xml:space="preserve"> </w:t>
      </w:r>
      <w:r w:rsidR="00C171E7" w:rsidRPr="008240F8">
        <w:t>9</w:t>
      </w:r>
      <w:bookmarkEnd w:id="0"/>
    </w:p>
    <w:p w:rsidR="000D589D" w:rsidRPr="00785860" w:rsidRDefault="001B1DBF" w:rsidP="00054067">
      <w:pPr>
        <w:pStyle w:val="UPlan"/>
        <w:rPr>
          <w:lang w:val="fr-FR"/>
        </w:rPr>
      </w:pPr>
      <w:r w:rsidRPr="00785860">
        <w:rPr>
          <w:lang w:val="fr-FR"/>
        </w:rPr>
        <w:t>Sauvegarde</w:t>
      </w:r>
    </w:p>
    <w:p w:rsidR="00C171E7" w:rsidRPr="00054067" w:rsidRDefault="001B1DBF" w:rsidP="00054067">
      <w:pPr>
        <w:pStyle w:val="Titcoul"/>
      </w:pPr>
      <w:bookmarkStart w:id="3" w:name="_Toc241553729"/>
      <w:r w:rsidRPr="00054067">
        <w:t>Plan de cours</w:t>
      </w:r>
      <w:bookmarkEnd w:id="1"/>
      <w:bookmarkEnd w:id="2"/>
      <w:bookmarkEnd w:id="3"/>
    </w:p>
    <w:p w:rsidR="00C171E7" w:rsidRPr="008240F8" w:rsidRDefault="00C171E7" w:rsidP="00C41D44">
      <w:pPr>
        <w:pStyle w:val="UTit4"/>
        <w:rPr>
          <w:lang w:val="fr-FR"/>
        </w:rPr>
      </w:pPr>
      <w:r w:rsidRPr="008240F8">
        <w:rPr>
          <w:lang w:val="fr-FR"/>
        </w:rPr>
        <w:t>Durée</w:t>
      </w:r>
      <w:r w:rsidR="0068272C" w:rsidRPr="008240F8">
        <w:rPr>
          <w:lang w:val="fr-FR"/>
        </w:rPr>
        <w:t> :</w:t>
      </w:r>
    </w:p>
    <w:p w:rsidR="00C171E7" w:rsidRPr="008240F8" w:rsidRDefault="00C171E7" w:rsidP="00C41D44">
      <w:pPr>
        <w:pStyle w:val="UTxt"/>
        <w:rPr>
          <w:i w:val="0"/>
        </w:rPr>
      </w:pPr>
      <w:r w:rsidRPr="008240F8">
        <w:rPr>
          <w:i w:val="0"/>
        </w:rPr>
        <w:t>3 heures</w:t>
      </w:r>
    </w:p>
    <w:p w:rsidR="00C171E7" w:rsidRPr="008240F8" w:rsidRDefault="00C171E7" w:rsidP="00C41D44">
      <w:pPr>
        <w:pStyle w:val="UTit4"/>
        <w:rPr>
          <w:lang w:val="fr-FR"/>
        </w:rPr>
      </w:pPr>
      <w:r w:rsidRPr="008240F8">
        <w:rPr>
          <w:lang w:val="fr-FR"/>
        </w:rPr>
        <w:t>Objectif(s)</w:t>
      </w:r>
      <w:r w:rsidR="0068272C" w:rsidRPr="008240F8">
        <w:rPr>
          <w:lang w:val="fr-FR"/>
        </w:rPr>
        <w:t> :</w:t>
      </w:r>
    </w:p>
    <w:p w:rsidR="00C171E7" w:rsidRPr="008240F8" w:rsidRDefault="00C171E7" w:rsidP="009C1472">
      <w:pPr>
        <w:pStyle w:val="UTxt"/>
        <w:rPr>
          <w:i w:val="0"/>
          <w:lang w:bidi="en-US"/>
        </w:rPr>
      </w:pPr>
      <w:r w:rsidRPr="008240F8">
        <w:rPr>
          <w:i w:val="0"/>
        </w:rPr>
        <w:t xml:space="preserve">Expliquer la sauvegarde telle que définie par la </w:t>
      </w:r>
      <w:r w:rsidR="005019E1" w:rsidRPr="008240F8">
        <w:rPr>
          <w:i w:val="0"/>
        </w:rPr>
        <w:t>Convention pour la sauvegarde du patrimoine culturel immatériel</w:t>
      </w:r>
      <w:r w:rsidR="005019E1" w:rsidRPr="008240F8">
        <w:rPr>
          <w:rStyle w:val="FootnoteReference"/>
          <w:i w:val="0"/>
          <w:sz w:val="20"/>
          <w:szCs w:val="20"/>
        </w:rPr>
        <w:footnoteReference w:id="2"/>
      </w:r>
      <w:r w:rsidR="005019E1" w:rsidRPr="008240F8" w:rsidDel="005019E1">
        <w:rPr>
          <w:i w:val="0"/>
        </w:rPr>
        <w:t xml:space="preserve"> </w:t>
      </w:r>
      <w:r w:rsidR="00B10F81" w:rsidRPr="008240F8">
        <w:rPr>
          <w:i w:val="0"/>
        </w:rPr>
        <w:t>et i</w:t>
      </w:r>
      <w:r w:rsidRPr="008240F8">
        <w:rPr>
          <w:i w:val="0"/>
        </w:rPr>
        <w:t>llustrer (</w:t>
      </w:r>
      <w:r w:rsidR="00167C51" w:rsidRPr="008240F8">
        <w:rPr>
          <w:i w:val="0"/>
        </w:rPr>
        <w:t xml:space="preserve">par des </w:t>
      </w:r>
      <w:r w:rsidRPr="008240F8">
        <w:rPr>
          <w:i w:val="0"/>
        </w:rPr>
        <w:t xml:space="preserve">études de cas) ce qui caractérise les bonnes pratiques </w:t>
      </w:r>
      <w:r w:rsidR="00167C51" w:rsidRPr="008240F8">
        <w:rPr>
          <w:i w:val="0"/>
        </w:rPr>
        <w:t>de</w:t>
      </w:r>
      <w:r w:rsidRPr="008240F8">
        <w:rPr>
          <w:i w:val="0"/>
        </w:rPr>
        <w:t xml:space="preserve"> sauvegarde.</w:t>
      </w:r>
    </w:p>
    <w:p w:rsidR="00C171E7" w:rsidRPr="008240F8" w:rsidRDefault="00C171E7" w:rsidP="00C41D44">
      <w:pPr>
        <w:pStyle w:val="UTit4"/>
        <w:rPr>
          <w:lang w:val="fr-FR"/>
        </w:rPr>
      </w:pPr>
      <w:r w:rsidRPr="008240F8">
        <w:rPr>
          <w:lang w:val="fr-FR"/>
        </w:rPr>
        <w:t>Description</w:t>
      </w:r>
      <w:r w:rsidR="00167C51" w:rsidRPr="008240F8">
        <w:rPr>
          <w:lang w:val="fr-FR"/>
        </w:rPr>
        <w:t> :</w:t>
      </w:r>
    </w:p>
    <w:p w:rsidR="00B10F81" w:rsidRPr="008240F8" w:rsidRDefault="00167C51" w:rsidP="007B3EEE">
      <w:pPr>
        <w:pStyle w:val="UTxt"/>
        <w:rPr>
          <w:i w:val="0"/>
        </w:rPr>
      </w:pPr>
      <w:r w:rsidRPr="008240F8">
        <w:rPr>
          <w:i w:val="0"/>
        </w:rPr>
        <w:t xml:space="preserve">La présente unité qui a pour thème </w:t>
      </w:r>
      <w:r w:rsidR="00B10F81" w:rsidRPr="008240F8">
        <w:rPr>
          <w:i w:val="0"/>
        </w:rPr>
        <w:t xml:space="preserve">la sauvegarde du patrimoine culturel </w:t>
      </w:r>
      <w:r w:rsidR="00002460" w:rsidRPr="008240F8">
        <w:rPr>
          <w:i w:val="0"/>
        </w:rPr>
        <w:t>immatériel</w:t>
      </w:r>
      <w:r w:rsidRPr="008240F8">
        <w:rPr>
          <w:i w:val="0"/>
        </w:rPr>
        <w:t xml:space="preserve"> (PCI) à l’échelon national,</w:t>
      </w:r>
      <w:r w:rsidR="00B10F81" w:rsidRPr="008240F8">
        <w:rPr>
          <w:i w:val="0"/>
        </w:rPr>
        <w:t xml:space="preserve"> </w:t>
      </w:r>
      <w:r w:rsidR="00B713BD" w:rsidRPr="008240F8">
        <w:rPr>
          <w:i w:val="0"/>
        </w:rPr>
        <w:t>est</w:t>
      </w:r>
      <w:r w:rsidRPr="008240F8">
        <w:rPr>
          <w:i w:val="0"/>
        </w:rPr>
        <w:t xml:space="preserve"> </w:t>
      </w:r>
      <w:r w:rsidR="00B713BD" w:rsidRPr="008240F8">
        <w:rPr>
          <w:i w:val="0"/>
        </w:rPr>
        <w:t xml:space="preserve">à la fois </w:t>
      </w:r>
      <w:r w:rsidR="00B136A5" w:rsidRPr="008240F8">
        <w:rPr>
          <w:i w:val="0"/>
        </w:rPr>
        <w:t>une introduction aux m</w:t>
      </w:r>
      <w:r w:rsidR="00B10F81" w:rsidRPr="008240F8">
        <w:rPr>
          <w:i w:val="0"/>
        </w:rPr>
        <w:t>esures générales de</w:t>
      </w:r>
      <w:r w:rsidRPr="008240F8">
        <w:rPr>
          <w:i w:val="0"/>
        </w:rPr>
        <w:t xml:space="preserve"> sauvegarde et</w:t>
      </w:r>
      <w:r w:rsidR="00B10F81" w:rsidRPr="008240F8">
        <w:rPr>
          <w:i w:val="0"/>
        </w:rPr>
        <w:t xml:space="preserve"> </w:t>
      </w:r>
      <w:r w:rsidRPr="008240F8">
        <w:rPr>
          <w:i w:val="0"/>
        </w:rPr>
        <w:t>aux</w:t>
      </w:r>
      <w:r w:rsidR="00B10F81" w:rsidRPr="008240F8">
        <w:rPr>
          <w:i w:val="0"/>
        </w:rPr>
        <w:t xml:space="preserve"> activités de sauvegarde </w:t>
      </w:r>
      <w:r w:rsidR="00B713BD" w:rsidRPr="008240F8">
        <w:rPr>
          <w:i w:val="0"/>
        </w:rPr>
        <w:t>d’éléments spécifiques</w:t>
      </w:r>
      <w:r w:rsidR="00B10F81" w:rsidRPr="008240F8">
        <w:rPr>
          <w:i w:val="0"/>
        </w:rPr>
        <w:t xml:space="preserve"> du PCI. </w:t>
      </w:r>
      <w:r w:rsidR="00B713BD" w:rsidRPr="008240F8">
        <w:rPr>
          <w:i w:val="0"/>
        </w:rPr>
        <w:t>Elle couvre</w:t>
      </w:r>
      <w:r w:rsidR="00B10F81" w:rsidRPr="008240F8">
        <w:rPr>
          <w:i w:val="0"/>
        </w:rPr>
        <w:t xml:space="preserve"> les sujets suivants :</w:t>
      </w:r>
      <w:r w:rsidR="00B136A5" w:rsidRPr="008240F8">
        <w:rPr>
          <w:i w:val="0"/>
        </w:rPr>
        <w:t xml:space="preserve"> l</w:t>
      </w:r>
      <w:r w:rsidR="00B10F81" w:rsidRPr="008240F8">
        <w:rPr>
          <w:i w:val="0"/>
        </w:rPr>
        <w:t>a sauve</w:t>
      </w:r>
      <w:r w:rsidR="00B136A5" w:rsidRPr="008240F8">
        <w:rPr>
          <w:i w:val="0"/>
        </w:rPr>
        <w:t>garde aux fins de la Convention, l</w:t>
      </w:r>
      <w:r w:rsidR="00B713BD" w:rsidRPr="008240F8">
        <w:rPr>
          <w:i w:val="0"/>
        </w:rPr>
        <w:t>es différents types de mesures de sauvegarde</w:t>
      </w:r>
      <w:r w:rsidR="00B136A5" w:rsidRPr="008240F8">
        <w:rPr>
          <w:i w:val="0"/>
        </w:rPr>
        <w:t xml:space="preserve">, les </w:t>
      </w:r>
      <w:r w:rsidR="00B10F81" w:rsidRPr="008240F8">
        <w:rPr>
          <w:i w:val="0"/>
        </w:rPr>
        <w:t xml:space="preserve">menaces et </w:t>
      </w:r>
      <w:r w:rsidR="00B136A5" w:rsidRPr="008240F8">
        <w:rPr>
          <w:i w:val="0"/>
        </w:rPr>
        <w:t>l</w:t>
      </w:r>
      <w:r w:rsidR="00B10F81" w:rsidRPr="008240F8">
        <w:rPr>
          <w:i w:val="0"/>
        </w:rPr>
        <w:t xml:space="preserve">es risques </w:t>
      </w:r>
      <w:r w:rsidR="00B713BD" w:rsidRPr="008240F8">
        <w:rPr>
          <w:i w:val="0"/>
        </w:rPr>
        <w:t>pour</w:t>
      </w:r>
      <w:r w:rsidR="00B10F81" w:rsidRPr="008240F8">
        <w:rPr>
          <w:i w:val="0"/>
        </w:rPr>
        <w:t xml:space="preserve"> l</w:t>
      </w:r>
      <w:r w:rsidR="00B136A5" w:rsidRPr="008240F8">
        <w:rPr>
          <w:i w:val="0"/>
        </w:rPr>
        <w:t xml:space="preserve">a viabilité et l’élaboration de </w:t>
      </w:r>
      <w:r w:rsidR="00B10F81" w:rsidRPr="008240F8">
        <w:rPr>
          <w:i w:val="0"/>
        </w:rPr>
        <w:t>plans de sauvegarde.</w:t>
      </w:r>
    </w:p>
    <w:p w:rsidR="00C171E7" w:rsidRPr="008240F8" w:rsidRDefault="00B10F81" w:rsidP="00C41D44">
      <w:pPr>
        <w:pStyle w:val="UTxt"/>
      </w:pPr>
      <w:r w:rsidRPr="008240F8">
        <w:t>Séquence proposée :</w:t>
      </w:r>
    </w:p>
    <w:p w:rsidR="00C171E7" w:rsidRPr="008240F8" w:rsidRDefault="00C171E7" w:rsidP="00146650">
      <w:pPr>
        <w:pStyle w:val="Upuce"/>
        <w:rPr>
          <w:noProof w:val="0"/>
        </w:rPr>
      </w:pPr>
      <w:r w:rsidRPr="008240F8">
        <w:rPr>
          <w:noProof w:val="0"/>
        </w:rPr>
        <w:t>Définition et ana</w:t>
      </w:r>
      <w:r w:rsidR="008E0170" w:rsidRPr="008240F8">
        <w:rPr>
          <w:noProof w:val="0"/>
        </w:rPr>
        <w:t>lyse de la sauvegarde</w:t>
      </w:r>
    </w:p>
    <w:p w:rsidR="00C171E7" w:rsidRPr="008240F8" w:rsidRDefault="00AE4C65" w:rsidP="00146650">
      <w:pPr>
        <w:pStyle w:val="Upuce"/>
        <w:rPr>
          <w:noProof w:val="0"/>
        </w:rPr>
      </w:pPr>
      <w:r w:rsidRPr="008240F8">
        <w:rPr>
          <w:noProof w:val="0"/>
        </w:rPr>
        <w:t>T</w:t>
      </w:r>
      <w:r w:rsidR="00C171E7" w:rsidRPr="008240F8">
        <w:rPr>
          <w:noProof w:val="0"/>
        </w:rPr>
        <w:t>ypes de mesures de sauvegarde</w:t>
      </w:r>
    </w:p>
    <w:p w:rsidR="00C171E7" w:rsidRPr="008240F8" w:rsidRDefault="00AE4C65" w:rsidP="00146650">
      <w:pPr>
        <w:pStyle w:val="Upuce"/>
        <w:rPr>
          <w:noProof w:val="0"/>
        </w:rPr>
      </w:pPr>
      <w:r w:rsidRPr="008240F8">
        <w:rPr>
          <w:noProof w:val="0"/>
        </w:rPr>
        <w:t>Menaces et</w:t>
      </w:r>
      <w:r w:rsidR="008E0170" w:rsidRPr="008240F8">
        <w:rPr>
          <w:noProof w:val="0"/>
        </w:rPr>
        <w:t xml:space="preserve"> risques pour la viabilité</w:t>
      </w:r>
    </w:p>
    <w:p w:rsidR="00C171E7" w:rsidRPr="008240F8" w:rsidRDefault="00AE4C65" w:rsidP="00146650">
      <w:pPr>
        <w:pStyle w:val="Upuce"/>
        <w:rPr>
          <w:noProof w:val="0"/>
        </w:rPr>
      </w:pPr>
      <w:r w:rsidRPr="008240F8">
        <w:rPr>
          <w:noProof w:val="0"/>
        </w:rPr>
        <w:t>P</w:t>
      </w:r>
      <w:r w:rsidR="00C171E7" w:rsidRPr="008240F8">
        <w:rPr>
          <w:noProof w:val="0"/>
        </w:rPr>
        <w:t>lans de sauvegarde</w:t>
      </w:r>
    </w:p>
    <w:p w:rsidR="00DF4992" w:rsidRPr="008240F8" w:rsidRDefault="00DF4992">
      <w:pPr>
        <w:widowControl/>
        <w:tabs>
          <w:tab w:val="clear" w:pos="567"/>
        </w:tabs>
        <w:snapToGrid/>
        <w:spacing w:after="0" w:line="240" w:lineRule="auto"/>
        <w:jc w:val="left"/>
        <w:rPr>
          <w:b/>
          <w:bCs/>
          <w:caps/>
          <w:szCs w:val="24"/>
          <w:lang w:eastAsia="en-US"/>
        </w:rPr>
      </w:pPr>
      <w:r w:rsidRPr="008240F8">
        <w:br w:type="page"/>
      </w:r>
    </w:p>
    <w:p w:rsidR="00C171E7" w:rsidRPr="008240F8" w:rsidRDefault="00C171E7" w:rsidP="00C41D44">
      <w:pPr>
        <w:pStyle w:val="UTit4"/>
        <w:rPr>
          <w:lang w:val="fr-FR"/>
        </w:rPr>
      </w:pPr>
      <w:r w:rsidRPr="008240F8">
        <w:rPr>
          <w:lang w:val="fr-FR"/>
        </w:rPr>
        <w:lastRenderedPageBreak/>
        <w:t>Documents de référence</w:t>
      </w:r>
      <w:r w:rsidR="00D63E87" w:rsidRPr="008240F8">
        <w:rPr>
          <w:lang w:val="fr-FR"/>
        </w:rPr>
        <w:t> :</w:t>
      </w:r>
    </w:p>
    <w:p w:rsidR="00D63E87" w:rsidRPr="008240F8" w:rsidRDefault="00D63E87" w:rsidP="00146650">
      <w:pPr>
        <w:pStyle w:val="Upuce"/>
        <w:rPr>
          <w:noProof w:val="0"/>
        </w:rPr>
      </w:pPr>
      <w:r w:rsidRPr="008240F8">
        <w:rPr>
          <w:noProof w:val="0"/>
        </w:rPr>
        <w:t>Exposé du facilitateur de l’Unité 9</w:t>
      </w:r>
    </w:p>
    <w:p w:rsidR="00C171E7" w:rsidRPr="008240F8" w:rsidRDefault="00C171E7" w:rsidP="00146650">
      <w:pPr>
        <w:pStyle w:val="Upuce"/>
        <w:rPr>
          <w:noProof w:val="0"/>
        </w:rPr>
      </w:pPr>
      <w:r w:rsidRPr="008240F8">
        <w:rPr>
          <w:noProof w:val="0"/>
        </w:rPr>
        <w:t xml:space="preserve">Présentation PowerPoint </w:t>
      </w:r>
      <w:r w:rsidR="005B79AF" w:rsidRPr="008240F8">
        <w:rPr>
          <w:noProof w:val="0"/>
        </w:rPr>
        <w:t>de l’Unité 9</w:t>
      </w:r>
    </w:p>
    <w:p w:rsidR="008D3E7E" w:rsidRPr="008240F8" w:rsidRDefault="00850916" w:rsidP="00146650">
      <w:pPr>
        <w:pStyle w:val="Upuce"/>
        <w:rPr>
          <w:noProof w:val="0"/>
        </w:rPr>
      </w:pPr>
      <w:r w:rsidRPr="008240F8">
        <w:rPr>
          <w:noProof w:val="0"/>
        </w:rPr>
        <w:t xml:space="preserve">Texte du participant </w:t>
      </w:r>
      <w:r w:rsidR="005B79AF" w:rsidRPr="008240F8">
        <w:rPr>
          <w:noProof w:val="0"/>
        </w:rPr>
        <w:t>de l’</w:t>
      </w:r>
      <w:r w:rsidRPr="008240F8">
        <w:rPr>
          <w:noProof w:val="0"/>
        </w:rPr>
        <w:t xml:space="preserve">Unité 9 </w:t>
      </w:r>
    </w:p>
    <w:p w:rsidR="00C171E7" w:rsidRPr="008240F8" w:rsidRDefault="008D3E7E" w:rsidP="00146650">
      <w:pPr>
        <w:pStyle w:val="Upuce"/>
        <w:rPr>
          <w:noProof w:val="0"/>
        </w:rPr>
      </w:pPr>
      <w:r w:rsidRPr="008240F8">
        <w:rPr>
          <w:noProof w:val="0"/>
        </w:rPr>
        <w:t xml:space="preserve">Texte du participant </w:t>
      </w:r>
      <w:r w:rsidR="005B79AF" w:rsidRPr="008240F8">
        <w:rPr>
          <w:noProof w:val="0"/>
        </w:rPr>
        <w:t>de l’</w:t>
      </w:r>
      <w:r w:rsidR="00850916" w:rsidRPr="008240F8">
        <w:rPr>
          <w:noProof w:val="0"/>
        </w:rPr>
        <w:t>Unité 3</w:t>
      </w:r>
      <w:r w:rsidR="00C44A95" w:rsidRPr="008240F8">
        <w:rPr>
          <w:noProof w:val="0"/>
        </w:rPr>
        <w:t> :</w:t>
      </w:r>
      <w:r w:rsidR="00820341" w:rsidRPr="008240F8">
        <w:rPr>
          <w:noProof w:val="0"/>
        </w:rPr>
        <w:t xml:space="preserve"> </w:t>
      </w:r>
      <w:r w:rsidR="00C171E7" w:rsidRPr="008240F8">
        <w:rPr>
          <w:noProof w:val="0"/>
        </w:rPr>
        <w:t>« Action de sensibilisation », « Domaines du PCI », « Éléments du PCI », « Identification et définition », « Inventaire</w:t>
      </w:r>
      <w:r w:rsidR="005C7A4B" w:rsidRPr="008240F8">
        <w:rPr>
          <w:noProof w:val="0"/>
        </w:rPr>
        <w:t>s</w:t>
      </w:r>
      <w:r w:rsidR="00C171E7" w:rsidRPr="008240F8">
        <w:rPr>
          <w:noProof w:val="0"/>
        </w:rPr>
        <w:t> »,</w:t>
      </w:r>
      <w:r w:rsidR="00EA1B83" w:rsidRPr="008240F8">
        <w:rPr>
          <w:noProof w:val="0"/>
        </w:rPr>
        <w:t xml:space="preserve"> « Menaces et risques » </w:t>
      </w:r>
      <w:r w:rsidR="00C171E7" w:rsidRPr="008240F8">
        <w:rPr>
          <w:noProof w:val="0"/>
        </w:rPr>
        <w:t xml:space="preserve"> « Préservation et protection », « Promotion et mise en valeur », « Respect », « Revitalisation », « Sauveg</w:t>
      </w:r>
      <w:r w:rsidR="00EA1B83" w:rsidRPr="008240F8">
        <w:rPr>
          <w:noProof w:val="0"/>
        </w:rPr>
        <w:t>arde et mesures de sauvegarde »</w:t>
      </w:r>
      <w:r w:rsidR="00C171E7" w:rsidRPr="008240F8">
        <w:rPr>
          <w:noProof w:val="0"/>
        </w:rPr>
        <w:t xml:space="preserve"> et « Viabilité ».</w:t>
      </w:r>
    </w:p>
    <w:p w:rsidR="00D63E87" w:rsidRPr="008240F8" w:rsidRDefault="00850916" w:rsidP="00146650">
      <w:pPr>
        <w:pStyle w:val="Upuce"/>
        <w:rPr>
          <w:noProof w:val="0"/>
        </w:rPr>
      </w:pPr>
      <w:r w:rsidRPr="008240F8">
        <w:rPr>
          <w:noProof w:val="0"/>
        </w:rPr>
        <w:t>É</w:t>
      </w:r>
      <w:r w:rsidR="00D63E87" w:rsidRPr="008240F8">
        <w:rPr>
          <w:noProof w:val="0"/>
        </w:rPr>
        <w:t>tudes de cas 21-</w:t>
      </w:r>
      <w:r w:rsidR="00C171E7" w:rsidRPr="008240F8">
        <w:rPr>
          <w:noProof w:val="0"/>
        </w:rPr>
        <w:t>27</w:t>
      </w:r>
    </w:p>
    <w:p w:rsidR="005C7A4B" w:rsidRPr="008240F8" w:rsidRDefault="00D63E87" w:rsidP="00146650">
      <w:pPr>
        <w:pStyle w:val="Upuce"/>
        <w:rPr>
          <w:noProof w:val="0"/>
        </w:rPr>
      </w:pPr>
      <w:r w:rsidRPr="008240F8">
        <w:rPr>
          <w:noProof w:val="0"/>
        </w:rPr>
        <w:t>Imprimé 3.a de l’Unité 42 :</w:t>
      </w:r>
      <w:r w:rsidR="005C7A4B" w:rsidRPr="008240F8">
        <w:rPr>
          <w:noProof w:val="0"/>
        </w:rPr>
        <w:t xml:space="preserve"> simula</w:t>
      </w:r>
      <w:r w:rsidR="00A72EC5" w:rsidRPr="008240F8">
        <w:rPr>
          <w:noProof w:val="0"/>
        </w:rPr>
        <w:t>tion de la candidature finale de l’art du</w:t>
      </w:r>
      <w:r w:rsidR="005C7A4B" w:rsidRPr="008240F8">
        <w:rPr>
          <w:noProof w:val="0"/>
        </w:rPr>
        <w:t xml:space="preserve"> </w:t>
      </w:r>
      <w:proofErr w:type="spellStart"/>
      <w:r w:rsidR="005C7A4B" w:rsidRPr="008240F8">
        <w:rPr>
          <w:i/>
          <w:noProof w:val="0"/>
        </w:rPr>
        <w:t>Fonabal</w:t>
      </w:r>
      <w:proofErr w:type="spellEnd"/>
      <w:r w:rsidR="005C7A4B" w:rsidRPr="008240F8">
        <w:rPr>
          <w:noProof w:val="0"/>
        </w:rPr>
        <w:t xml:space="preserve"> </w:t>
      </w:r>
    </w:p>
    <w:p w:rsidR="00C171E7" w:rsidRPr="008240F8" w:rsidRDefault="005C7A4B" w:rsidP="00146650">
      <w:pPr>
        <w:pStyle w:val="Upuce"/>
        <w:rPr>
          <w:noProof w:val="0"/>
        </w:rPr>
      </w:pPr>
      <w:r w:rsidRPr="008240F8">
        <w:rPr>
          <w:i/>
          <w:noProof w:val="0"/>
        </w:rPr>
        <w:t>Textes fondamentaux de la Convention de 2003 pour la sauvegarde du patrimoine culturel immatériel</w:t>
      </w:r>
      <w:r w:rsidRPr="008240F8">
        <w:rPr>
          <w:rStyle w:val="FootnoteReference"/>
          <w:noProof w:val="0"/>
          <w:sz w:val="20"/>
        </w:rPr>
        <w:footnoteReference w:id="3"/>
      </w:r>
    </w:p>
    <w:p w:rsidR="00C171E7" w:rsidRPr="008240F8" w:rsidRDefault="00C171E7" w:rsidP="00BB176D">
      <w:pPr>
        <w:pStyle w:val="Soustitre"/>
      </w:pPr>
      <w:r w:rsidRPr="008240F8">
        <w:t>Remarques et suggestions</w:t>
      </w:r>
    </w:p>
    <w:p w:rsidR="005D4395" w:rsidRPr="008240F8" w:rsidRDefault="0034757D">
      <w:pPr>
        <w:pStyle w:val="Texte1"/>
      </w:pPr>
      <w:r w:rsidRPr="008240F8">
        <w:t>L</w:t>
      </w:r>
      <w:r w:rsidR="001F7A0A" w:rsidRPr="008240F8">
        <w:t>’</w:t>
      </w:r>
      <w:r w:rsidR="00C171E7" w:rsidRPr="008240F8">
        <w:t xml:space="preserve">exemple des </w:t>
      </w:r>
      <w:proofErr w:type="spellStart"/>
      <w:r w:rsidR="00C171E7" w:rsidRPr="008240F8">
        <w:rPr>
          <w:i/>
        </w:rPr>
        <w:t>Voladores</w:t>
      </w:r>
      <w:proofErr w:type="spellEnd"/>
      <w:r w:rsidR="00C171E7" w:rsidRPr="008240F8">
        <w:t xml:space="preserve"> (</w:t>
      </w:r>
      <w:r w:rsidR="00850916" w:rsidRPr="008240F8">
        <w:t>É</w:t>
      </w:r>
      <w:r w:rsidR="00C171E7" w:rsidRPr="008240F8">
        <w:t xml:space="preserve">tude de cas 22) </w:t>
      </w:r>
      <w:r w:rsidR="00385F08" w:rsidRPr="008240F8">
        <w:t>sert</w:t>
      </w:r>
      <w:r w:rsidR="00C171E7" w:rsidRPr="008240F8">
        <w:t xml:space="preserve"> </w:t>
      </w:r>
      <w:r w:rsidR="00385F08" w:rsidRPr="008240F8">
        <w:t>ici</w:t>
      </w:r>
      <w:r w:rsidRPr="008240F8">
        <w:t xml:space="preserve"> </w:t>
      </w:r>
      <w:r w:rsidR="00385F08" w:rsidRPr="008240F8">
        <w:t xml:space="preserve">de </w:t>
      </w:r>
      <w:r w:rsidR="00011B76" w:rsidRPr="008240F8">
        <w:t xml:space="preserve">référence pour </w:t>
      </w:r>
      <w:r w:rsidR="00C171E7" w:rsidRPr="008240F8">
        <w:t>illustr</w:t>
      </w:r>
      <w:r w:rsidR="00011B76" w:rsidRPr="008240F8">
        <w:t>er</w:t>
      </w:r>
      <w:r w:rsidR="00C171E7" w:rsidRPr="008240F8">
        <w:t xml:space="preserve"> la notion de mesures de sauvegarde </w:t>
      </w:r>
      <w:r w:rsidR="00FC7E87" w:rsidRPr="008240F8">
        <w:t xml:space="preserve">qui </w:t>
      </w:r>
      <w:r w:rsidR="00011B76" w:rsidRPr="008240F8">
        <w:t>atténu</w:t>
      </w:r>
      <w:r w:rsidR="00FC7E87" w:rsidRPr="008240F8">
        <w:t xml:space="preserve">ent les </w:t>
      </w:r>
      <w:r w:rsidR="00C171E7" w:rsidRPr="008240F8">
        <w:t>risques. Le facilitateur peut aussi choisir d</w:t>
      </w:r>
      <w:r w:rsidR="001F7A0A" w:rsidRPr="008240F8">
        <w:t>’</w:t>
      </w:r>
      <w:r w:rsidR="00C171E7" w:rsidRPr="008240F8">
        <w:t>au</w:t>
      </w:r>
      <w:r w:rsidR="00263518" w:rsidRPr="008240F8">
        <w:t>tres études de cas parmi celles</w:t>
      </w:r>
      <w:r w:rsidR="00011B76" w:rsidRPr="008240F8">
        <w:t xml:space="preserve"> </w:t>
      </w:r>
      <w:r w:rsidR="00263518" w:rsidRPr="008240F8">
        <w:t>proposé</w:t>
      </w:r>
      <w:r w:rsidR="00850916" w:rsidRPr="008240F8">
        <w:t>es ou donner</w:t>
      </w:r>
      <w:r w:rsidR="00C171E7" w:rsidRPr="008240F8">
        <w:t xml:space="preserve"> d</w:t>
      </w:r>
      <w:r w:rsidR="00263518" w:rsidRPr="008240F8">
        <w:t>’autr</w:t>
      </w:r>
      <w:r w:rsidR="00C171E7" w:rsidRPr="008240F8">
        <w:t>es exemples illustr</w:t>
      </w:r>
      <w:r w:rsidR="00011B76" w:rsidRPr="008240F8">
        <w:t>atifs d</w:t>
      </w:r>
      <w:r w:rsidR="00C171E7" w:rsidRPr="008240F8">
        <w:t xml:space="preserve">es principaux points soulevés </w:t>
      </w:r>
      <w:r w:rsidR="00263518" w:rsidRPr="008240F8">
        <w:t>ci-dessous</w:t>
      </w:r>
      <w:r w:rsidR="00C171E7" w:rsidRPr="008240F8">
        <w:t xml:space="preserve">. </w:t>
      </w:r>
      <w:r w:rsidR="00385F08" w:rsidRPr="008240F8">
        <w:t>Il</w:t>
      </w:r>
      <w:r w:rsidR="00C171E7" w:rsidRPr="008240F8">
        <w:t xml:space="preserve"> pourrait</w:t>
      </w:r>
      <w:r w:rsidR="00385F08" w:rsidRPr="008240F8">
        <w:t xml:space="preserve"> ainsi être</w:t>
      </w:r>
      <w:r w:rsidR="00C171E7" w:rsidRPr="008240F8">
        <w:t xml:space="preserve"> </w:t>
      </w:r>
      <w:r w:rsidR="00385F08" w:rsidRPr="008240F8">
        <w:t>demandé</w:t>
      </w:r>
      <w:r w:rsidR="00C171E7" w:rsidRPr="008240F8">
        <w:t xml:space="preserve"> aux participants d</w:t>
      </w:r>
      <w:r w:rsidR="00385F08" w:rsidRPr="008240F8">
        <w:t>e rédiger</w:t>
      </w:r>
      <w:r w:rsidR="00C171E7" w:rsidRPr="008240F8">
        <w:t xml:space="preserve"> un plan de sauvegarde pour une étude de cas locale, en </w:t>
      </w:r>
      <w:r w:rsidR="00912CC2" w:rsidRPr="008240F8">
        <w:t>s</w:t>
      </w:r>
      <w:r w:rsidR="0030582E" w:rsidRPr="008240F8">
        <w:t>’appuy</w:t>
      </w:r>
      <w:r w:rsidR="00C171E7" w:rsidRPr="008240F8">
        <w:t xml:space="preserve">ant </w:t>
      </w:r>
      <w:r w:rsidR="00912CC2" w:rsidRPr="008240F8">
        <w:t>sur le</w:t>
      </w:r>
      <w:r w:rsidR="0030582E" w:rsidRPr="008240F8">
        <w:t xml:space="preserve"> modèle de tableau proposé dans</w:t>
      </w:r>
      <w:r w:rsidR="00C171E7" w:rsidRPr="008240F8">
        <w:t xml:space="preserve"> l</w:t>
      </w:r>
      <w:r w:rsidR="0030582E" w:rsidRPr="008240F8">
        <w:t xml:space="preserve">a simulation de </w:t>
      </w:r>
      <w:r w:rsidR="007647BF" w:rsidRPr="008240F8">
        <w:t xml:space="preserve">candidature finale </w:t>
      </w:r>
      <w:r w:rsidR="00912CC2" w:rsidRPr="008240F8">
        <w:t>du</w:t>
      </w:r>
      <w:r w:rsidR="00C171E7" w:rsidRPr="008240F8">
        <w:t xml:space="preserve"> </w:t>
      </w:r>
      <w:proofErr w:type="spellStart"/>
      <w:r w:rsidR="007647BF" w:rsidRPr="008240F8">
        <w:rPr>
          <w:i/>
        </w:rPr>
        <w:t>F</w:t>
      </w:r>
      <w:r w:rsidR="00C171E7" w:rsidRPr="008240F8">
        <w:rPr>
          <w:i/>
        </w:rPr>
        <w:t>onabal</w:t>
      </w:r>
      <w:proofErr w:type="spellEnd"/>
      <w:r w:rsidR="007647BF" w:rsidRPr="008240F8">
        <w:rPr>
          <w:i/>
        </w:rPr>
        <w:t xml:space="preserve"> </w:t>
      </w:r>
      <w:r w:rsidR="009079D8">
        <w:t>à la diapositive 17 de l’exposé du facilitateur ci-dessous</w:t>
      </w:r>
      <w:r w:rsidR="00C171E7" w:rsidRPr="008240F8">
        <w:t>. Des qu</w:t>
      </w:r>
      <w:r w:rsidR="007647BF" w:rsidRPr="008240F8">
        <w:t>estions</w:t>
      </w:r>
      <w:r w:rsidR="00432860" w:rsidRPr="008240F8">
        <w:t xml:space="preserve"> types</w:t>
      </w:r>
      <w:r w:rsidR="007647BF" w:rsidRPr="008240F8">
        <w:t xml:space="preserve"> </w:t>
      </w:r>
      <w:r w:rsidR="009079D8">
        <w:t>relatives à</w:t>
      </w:r>
      <w:r w:rsidR="007647BF" w:rsidRPr="008240F8">
        <w:t xml:space="preserve"> l’</w:t>
      </w:r>
      <w:r w:rsidR="0091219D" w:rsidRPr="008240F8">
        <w:t>Étude</w:t>
      </w:r>
      <w:r w:rsidR="00C171E7" w:rsidRPr="008240F8">
        <w:t xml:space="preserve"> de cas </w:t>
      </w:r>
      <w:r w:rsidR="00AC25B2" w:rsidRPr="008240F8">
        <w:t>26 « </w:t>
      </w:r>
      <w:r w:rsidR="00C171E7" w:rsidRPr="008240F8">
        <w:t>Festival du Nouvel An des Qiang (Chine)</w:t>
      </w:r>
      <w:r w:rsidR="00AC25B2" w:rsidRPr="008240F8">
        <w:t> »</w:t>
      </w:r>
      <w:r w:rsidR="00C171E7" w:rsidRPr="008240F8">
        <w:t xml:space="preserve"> et </w:t>
      </w:r>
      <w:r w:rsidR="009079D8">
        <w:t xml:space="preserve">à </w:t>
      </w:r>
      <w:r w:rsidR="00C171E7" w:rsidRPr="008240F8">
        <w:t>l</w:t>
      </w:r>
      <w:r w:rsidR="00AC25B2" w:rsidRPr="008240F8">
        <w:t>’</w:t>
      </w:r>
      <w:r w:rsidR="0091219D" w:rsidRPr="008240F8">
        <w:t>Étude</w:t>
      </w:r>
      <w:r w:rsidR="00AC25B2" w:rsidRPr="008240F8">
        <w:t xml:space="preserve"> de cas 27</w:t>
      </w:r>
      <w:r w:rsidR="00C171E7" w:rsidRPr="008240F8">
        <w:t xml:space="preserve"> </w:t>
      </w:r>
      <w:r w:rsidR="00AC25B2" w:rsidRPr="008240F8">
        <w:t>« </w:t>
      </w:r>
      <w:r w:rsidR="009B7A88" w:rsidRPr="008240F8">
        <w:t xml:space="preserve">Le </w:t>
      </w:r>
      <w:proofErr w:type="spellStart"/>
      <w:r w:rsidR="00C171E7" w:rsidRPr="008240F8">
        <w:t>Biyelgee</w:t>
      </w:r>
      <w:proofErr w:type="spellEnd"/>
      <w:r w:rsidR="00C171E7" w:rsidRPr="008240F8">
        <w:t xml:space="preserve"> mongol (Mongolie)</w:t>
      </w:r>
      <w:r w:rsidR="00AC25B2" w:rsidRPr="008240F8">
        <w:t> »</w:t>
      </w:r>
      <w:r w:rsidR="00685790" w:rsidRPr="008240F8">
        <w:t xml:space="preserve"> </w:t>
      </w:r>
      <w:r w:rsidR="009079D8" w:rsidRPr="008240F8">
        <w:t>ont été incluses</w:t>
      </w:r>
      <w:r w:rsidR="009079D8">
        <w:t xml:space="preserve"> dans les textes correspondant aux diapositives 21 et 22</w:t>
      </w:r>
      <w:r w:rsidR="009079D8" w:rsidRPr="008240F8">
        <w:t xml:space="preserve"> </w:t>
      </w:r>
      <w:r w:rsidR="00685790" w:rsidRPr="008240F8">
        <w:t>pour permettre d’orienter le débat.</w:t>
      </w:r>
    </w:p>
    <w:p w:rsidR="005D4395" w:rsidRPr="008240F8" w:rsidRDefault="005D4395">
      <w:pPr>
        <w:widowControl/>
        <w:tabs>
          <w:tab w:val="clear" w:pos="567"/>
        </w:tabs>
        <w:snapToGrid/>
        <w:spacing w:after="0" w:line="240" w:lineRule="auto"/>
        <w:jc w:val="left"/>
      </w:pPr>
      <w:r w:rsidRPr="008240F8">
        <w:br w:type="page"/>
      </w:r>
    </w:p>
    <w:p w:rsidR="00C171E7" w:rsidRPr="008240F8" w:rsidRDefault="00A37A37" w:rsidP="00C41D44">
      <w:pPr>
        <w:pStyle w:val="Chapitre"/>
      </w:pPr>
      <w:bookmarkStart w:id="4" w:name="_Toc241553730"/>
      <w:bookmarkStart w:id="5" w:name="_Toc302374690"/>
      <w:bookmarkStart w:id="6" w:name="_Toc319060167"/>
      <w:r w:rsidRPr="008240F8">
        <w:lastRenderedPageBreak/>
        <w:t xml:space="preserve">UnitÉ </w:t>
      </w:r>
      <w:r w:rsidR="00C171E7" w:rsidRPr="008240F8">
        <w:t>9</w:t>
      </w:r>
      <w:bookmarkEnd w:id="4"/>
    </w:p>
    <w:p w:rsidR="00CA2171" w:rsidRPr="00785860" w:rsidRDefault="00CA2171" w:rsidP="00054067">
      <w:pPr>
        <w:pStyle w:val="UPlan"/>
        <w:rPr>
          <w:rFonts w:eastAsia="Arial Unicode MS"/>
          <w:lang w:val="fr-FR"/>
        </w:rPr>
      </w:pPr>
      <w:bookmarkStart w:id="7" w:name="_Toc241553731"/>
      <w:r w:rsidRPr="00785860">
        <w:rPr>
          <w:rFonts w:eastAsia="Arial Unicode MS"/>
          <w:lang w:val="fr-FR"/>
        </w:rPr>
        <w:t>Sauvegarde</w:t>
      </w:r>
    </w:p>
    <w:bookmarkEnd w:id="5"/>
    <w:bookmarkEnd w:id="6"/>
    <w:p w:rsidR="002707A1" w:rsidRPr="00054067" w:rsidRDefault="00CA2171" w:rsidP="00054067">
      <w:pPr>
        <w:pStyle w:val="Titcoul"/>
      </w:pPr>
      <w:r w:rsidRPr="00054067">
        <w:t>exposé du facilitateur</w:t>
      </w:r>
    </w:p>
    <w:bookmarkEnd w:id="7"/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1</w:t>
      </w:r>
      <w:r w:rsidR="00CA2171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rFonts w:eastAsia="Arial Unicode MS"/>
          <w:lang w:val="fr-FR"/>
        </w:rPr>
        <w:t>Sauvegarde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2</w:t>
      </w:r>
      <w:r w:rsidR="00CA2171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bCs w:val="0"/>
          <w:lang w:val="fr-FR"/>
        </w:rPr>
        <w:t>Dans cette présentation</w:t>
      </w:r>
      <w:r w:rsidR="00CA2171" w:rsidRPr="008240F8">
        <w:rPr>
          <w:bCs w:val="0"/>
          <w:lang w:val="fr-FR"/>
        </w:rPr>
        <w:t xml:space="preserve"> </w:t>
      </w:r>
      <w:r w:rsidRPr="008240F8">
        <w:rPr>
          <w:bCs w:val="0"/>
          <w:lang w:val="fr-FR"/>
        </w:rPr>
        <w:t>…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3</w:t>
      </w:r>
      <w:r w:rsidR="00CA2171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>Définir la sauvegarde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>Unité 9.1 du Texte du participant</w:t>
      </w:r>
      <w:r w:rsidR="00B75ADF" w:rsidRPr="008240F8">
        <w:t xml:space="preserve"> présente</w:t>
      </w:r>
      <w:r w:rsidR="00C171E7" w:rsidRPr="008240F8">
        <w:t xml:space="preserve"> la définition </w:t>
      </w:r>
      <w:r w:rsidR="00785860">
        <w:t>de la sauvegarde</w:t>
      </w:r>
      <w:r w:rsidR="00C171E7" w:rsidRPr="008240F8">
        <w:t xml:space="preserve"> </w:t>
      </w:r>
      <w:r w:rsidR="00B75ADF" w:rsidRPr="008240F8">
        <w:t xml:space="preserve">dans </w:t>
      </w:r>
      <w:r w:rsidR="00C171E7" w:rsidRPr="008240F8">
        <w:t>la Convention.</w:t>
      </w:r>
    </w:p>
    <w:p w:rsidR="00C171E7" w:rsidRPr="008240F8" w:rsidRDefault="00C171E7" w:rsidP="00C41D44">
      <w:pPr>
        <w:pStyle w:val="Texte1"/>
      </w:pPr>
      <w:r w:rsidRPr="008240F8">
        <w:t>Voir</w:t>
      </w:r>
      <w:r w:rsidR="00850916" w:rsidRPr="008240F8">
        <w:t xml:space="preserve"> le Texte du participant </w:t>
      </w:r>
      <w:r w:rsidR="005B79AF" w:rsidRPr="008240F8">
        <w:t>de l’</w:t>
      </w:r>
      <w:r w:rsidR="00850916" w:rsidRPr="008240F8">
        <w:t>Unité 3</w:t>
      </w:r>
      <w:r w:rsidRPr="008240F8">
        <w:t> : « Sauvegarde et mesures de sauvegarde ».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4</w:t>
      </w:r>
      <w:r w:rsidR="00B75ADF" w:rsidRPr="008240F8">
        <w:rPr>
          <w:lang w:val="fr-FR"/>
        </w:rPr>
        <w:t>.</w:t>
      </w:r>
    </w:p>
    <w:p w:rsidR="00C171E7" w:rsidRPr="008240F8" w:rsidRDefault="00B75ADF" w:rsidP="00C41D44">
      <w:pPr>
        <w:pStyle w:val="diapo2"/>
        <w:rPr>
          <w:lang w:val="fr-FR"/>
        </w:rPr>
      </w:pPr>
      <w:r w:rsidRPr="008240F8">
        <w:rPr>
          <w:lang w:val="fr-FR"/>
        </w:rPr>
        <w:t>Étude de cas : les dieux de la guerre</w:t>
      </w:r>
      <w:r w:rsidR="000E68C4" w:rsidRPr="008240F8">
        <w:rPr>
          <w:lang w:val="fr-FR"/>
        </w:rPr>
        <w:t xml:space="preserve"> </w:t>
      </w:r>
      <w:proofErr w:type="spellStart"/>
      <w:r w:rsidR="000E68C4" w:rsidRPr="008240F8">
        <w:rPr>
          <w:lang w:val="fr-FR"/>
        </w:rPr>
        <w:t>Ahayu:da</w:t>
      </w:r>
      <w:proofErr w:type="spellEnd"/>
      <w:r w:rsidR="000E68C4" w:rsidRPr="008240F8">
        <w:rPr>
          <w:lang w:val="fr-FR"/>
        </w:rPr>
        <w:t xml:space="preserve"> (États-Unis</w:t>
      </w:r>
      <w:r w:rsidRPr="008240F8">
        <w:rPr>
          <w:lang w:val="fr-FR"/>
        </w:rPr>
        <w:t xml:space="preserve">) – </w:t>
      </w:r>
      <w:r w:rsidR="00C171E7" w:rsidRPr="008240F8">
        <w:rPr>
          <w:lang w:val="fr-FR"/>
        </w:rPr>
        <w:t>oppos</w:t>
      </w:r>
      <w:r w:rsidRPr="008240F8">
        <w:rPr>
          <w:lang w:val="fr-FR"/>
        </w:rPr>
        <w:t>ition sauvegarde/conservation</w:t>
      </w:r>
    </w:p>
    <w:p w:rsidR="00C171E7" w:rsidRPr="008240F8" w:rsidRDefault="00C171E7" w:rsidP="00C41D44">
      <w:pPr>
        <w:pStyle w:val="Texte1"/>
      </w:pPr>
      <w:r w:rsidRPr="008240F8">
        <w:t>S</w:t>
      </w:r>
      <w:r w:rsidR="001F7A0A" w:rsidRPr="008240F8">
        <w:t>’</w:t>
      </w:r>
      <w:r w:rsidRPr="008240F8">
        <w:t xml:space="preserve">il est nécessaire de </w:t>
      </w:r>
      <w:r w:rsidR="000E68C4" w:rsidRPr="008240F8">
        <w:t>clarifie</w:t>
      </w:r>
      <w:r w:rsidRPr="008240F8">
        <w:t xml:space="preserve">r </w:t>
      </w:r>
      <w:r w:rsidR="000E68C4" w:rsidRPr="008240F8">
        <w:t xml:space="preserve">encore </w:t>
      </w:r>
      <w:r w:rsidRPr="008240F8">
        <w:t xml:space="preserve">davantage le </w:t>
      </w:r>
      <w:r w:rsidR="000E68C4" w:rsidRPr="008240F8">
        <w:t>rapport</w:t>
      </w:r>
      <w:r w:rsidRPr="008240F8">
        <w:t xml:space="preserve"> entre la conservation du patrimoine matériel (par exemple des objets) et la sauvegarde du PCI, </w:t>
      </w:r>
      <w:r w:rsidR="00850916" w:rsidRPr="008240F8">
        <w:t>l</w:t>
      </w:r>
      <w:r w:rsidR="001F7A0A" w:rsidRPr="008240F8">
        <w:t>’</w:t>
      </w:r>
      <w:r w:rsidR="00850916" w:rsidRPr="008240F8">
        <w:t xml:space="preserve">Étude </w:t>
      </w:r>
      <w:r w:rsidRPr="008240F8">
        <w:t xml:space="preserve">de cas 21 </w:t>
      </w:r>
      <w:r w:rsidR="00125046" w:rsidRPr="008240F8">
        <w:t>sur les</w:t>
      </w:r>
      <w:r w:rsidRPr="008240F8">
        <w:t xml:space="preserve"> dieux de la guerre </w:t>
      </w:r>
      <w:proofErr w:type="spellStart"/>
      <w:r w:rsidRPr="008240F8">
        <w:rPr>
          <w:iCs/>
        </w:rPr>
        <w:t>Ahayu:da</w:t>
      </w:r>
      <w:proofErr w:type="spellEnd"/>
      <w:r w:rsidRPr="008240F8">
        <w:rPr>
          <w:iCs/>
        </w:rPr>
        <w:t xml:space="preserve"> des</w:t>
      </w:r>
      <w:r w:rsidR="00CD73F6" w:rsidRPr="008240F8">
        <w:t xml:space="preserve"> Zuni (États-Unis</w:t>
      </w:r>
      <w:r w:rsidRPr="008240F8">
        <w:t>) constitue un</w:t>
      </w:r>
      <w:r w:rsidR="00CD73F6" w:rsidRPr="008240F8">
        <w:t>e</w:t>
      </w:r>
      <w:r w:rsidRPr="008240F8">
        <w:t xml:space="preserve"> bon</w:t>
      </w:r>
      <w:r w:rsidR="00CD73F6" w:rsidRPr="008240F8">
        <w:t>ne base de</w:t>
      </w:r>
      <w:r w:rsidRPr="008240F8">
        <w:t xml:space="preserve"> discussion.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5</w:t>
      </w:r>
      <w:r w:rsidR="00125046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>La Convention et la sauvegarde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>Unité 9.1 du Texte du participant</w:t>
      </w:r>
      <w:r w:rsidRPr="008240F8" w:rsidDel="00850916">
        <w:t xml:space="preserve"> </w:t>
      </w:r>
      <w:r w:rsidR="00816262" w:rsidRPr="008240F8">
        <w:t>montre</w:t>
      </w:r>
      <w:r w:rsidR="00C171E7" w:rsidRPr="008240F8">
        <w:t xml:space="preserve"> l</w:t>
      </w:r>
      <w:r w:rsidR="00816262" w:rsidRPr="008240F8">
        <w:t>a place centrale</w:t>
      </w:r>
      <w:r w:rsidR="00C171E7" w:rsidRPr="008240F8">
        <w:t xml:space="preserve"> </w:t>
      </w:r>
      <w:r w:rsidR="00816262" w:rsidRPr="008240F8">
        <w:t>de</w:t>
      </w:r>
      <w:r w:rsidR="00C171E7" w:rsidRPr="008240F8">
        <w:t xml:space="preserve"> la sauvegarde dans la Convention.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lastRenderedPageBreak/>
        <w:t>Diapositive 6</w:t>
      </w:r>
      <w:r w:rsidR="00816262" w:rsidRPr="008240F8">
        <w:rPr>
          <w:lang w:val="fr-FR"/>
        </w:rPr>
        <w:t>.</w:t>
      </w:r>
    </w:p>
    <w:p w:rsidR="00C171E7" w:rsidRPr="008240F8" w:rsidRDefault="00C171E7" w:rsidP="00CD73F6">
      <w:pPr>
        <w:pStyle w:val="diapo2"/>
        <w:spacing w:line="240" w:lineRule="auto"/>
        <w:rPr>
          <w:lang w:val="fr-FR"/>
        </w:rPr>
      </w:pPr>
      <w:r w:rsidRPr="008240F8">
        <w:rPr>
          <w:lang w:val="fr-FR"/>
        </w:rPr>
        <w:t>« Les mesures nécessaires » :</w:t>
      </w:r>
      <w:r w:rsidR="00CD73F6" w:rsidRPr="008240F8">
        <w:rPr>
          <w:lang w:val="fr-FR"/>
        </w:rPr>
        <w:tab/>
      </w:r>
      <w:r w:rsidRPr="008240F8">
        <w:rPr>
          <w:lang w:val="fr-FR"/>
        </w:rPr>
        <w:t xml:space="preserve">les États </w:t>
      </w:r>
      <w:r w:rsidR="0002664D" w:rsidRPr="008240F8">
        <w:rPr>
          <w:lang w:val="fr-FR"/>
        </w:rPr>
        <w:t>on</w:t>
      </w:r>
      <w:r w:rsidRPr="008240F8">
        <w:rPr>
          <w:lang w:val="fr-FR"/>
        </w:rPr>
        <w:t xml:space="preserve">t-ils </w:t>
      </w:r>
      <w:r w:rsidR="0002664D" w:rsidRPr="008240F8">
        <w:rPr>
          <w:lang w:val="fr-FR"/>
        </w:rPr>
        <w:t xml:space="preserve">la nécessité de </w:t>
      </w:r>
      <w:r w:rsidRPr="008240F8">
        <w:rPr>
          <w:lang w:val="fr-FR"/>
        </w:rPr>
        <w:t>sauvegarder tous les éléments menacés du PCI ?</w:t>
      </w:r>
    </w:p>
    <w:p w:rsidR="00C171E7" w:rsidRPr="008240F8" w:rsidRDefault="00C171E7" w:rsidP="00C41D44">
      <w:pPr>
        <w:pStyle w:val="Texte1"/>
      </w:pPr>
      <w:r w:rsidRPr="008240F8">
        <w:t>La plupart des États possèden</w:t>
      </w:r>
      <w:r w:rsidR="0002664D" w:rsidRPr="008240F8">
        <w:t>t un PCI abondant et très varié</w:t>
      </w:r>
      <w:r w:rsidRPr="008240F8">
        <w:t xml:space="preserve"> don</w:t>
      </w:r>
      <w:r w:rsidR="0002664D" w:rsidRPr="008240F8">
        <w:t>t la majeure partie</w:t>
      </w:r>
      <w:r w:rsidRPr="008240F8">
        <w:t xml:space="preserve"> est probablement menacée. </w:t>
      </w:r>
      <w:r w:rsidR="004C5792" w:rsidRPr="008240F8">
        <w:t>L</w:t>
      </w:r>
      <w:r w:rsidRPr="008240F8">
        <w:t>es éléments du PC</w:t>
      </w:r>
      <w:r w:rsidR="0002664D" w:rsidRPr="008240F8">
        <w:t>I ne doivent pas –ou</w:t>
      </w:r>
      <w:r w:rsidRPr="008240F8">
        <w:t xml:space="preserve"> ne peuvent</w:t>
      </w:r>
      <w:r w:rsidR="0002664D" w:rsidRPr="008240F8">
        <w:t xml:space="preserve"> v</w:t>
      </w:r>
      <w:r w:rsidR="004C5792" w:rsidRPr="008240F8">
        <w:t>éritable</w:t>
      </w:r>
      <w:r w:rsidR="0002664D" w:rsidRPr="008240F8">
        <w:t>ment pas</w:t>
      </w:r>
      <w:r w:rsidRPr="008240F8">
        <w:t xml:space="preserve">– </w:t>
      </w:r>
      <w:r w:rsidR="004C5792" w:rsidRPr="008240F8">
        <w:t xml:space="preserve">tous </w:t>
      </w:r>
      <w:r w:rsidRPr="008240F8">
        <w:t>être sauvegardés ou revitalisés. Sans une motivation et une volonté à toute épreuve de la part des pra</w:t>
      </w:r>
      <w:r w:rsidR="00446E29" w:rsidRPr="008240F8">
        <w:t>ticiens et autres détenteurs de</w:t>
      </w:r>
      <w:r w:rsidRPr="008240F8">
        <w:t xml:space="preserve"> traditions, les mesures de sauvegarde </w:t>
      </w:r>
      <w:r w:rsidR="004C5792" w:rsidRPr="008240F8">
        <w:t>sont vouées à l’</w:t>
      </w:r>
      <w:r w:rsidRPr="008240F8">
        <w:t>éch</w:t>
      </w:r>
      <w:r w:rsidR="004C5792" w:rsidRPr="008240F8">
        <w:t>ec</w:t>
      </w:r>
      <w:r w:rsidRPr="008240F8">
        <w:t xml:space="preserve">. Et </w:t>
      </w:r>
      <w:r w:rsidR="004C5792" w:rsidRPr="008240F8">
        <w:t>quand</w:t>
      </w:r>
      <w:r w:rsidRPr="008240F8">
        <w:t xml:space="preserve"> les </w:t>
      </w:r>
      <w:r w:rsidR="00446E29" w:rsidRPr="008240F8">
        <w:t>ressource</w:t>
      </w:r>
      <w:r w:rsidRPr="008240F8">
        <w:t>s sont limité</w:t>
      </w:r>
      <w:r w:rsidR="00446E29" w:rsidRPr="008240F8">
        <w:t>e</w:t>
      </w:r>
      <w:r w:rsidRPr="008240F8">
        <w:t>s, il faut faire des choix.</w:t>
      </w:r>
    </w:p>
    <w:p w:rsidR="00C171E7" w:rsidRPr="008240F8" w:rsidRDefault="00C171E7" w:rsidP="00C41D44">
      <w:pPr>
        <w:pStyle w:val="Texte1"/>
      </w:pPr>
      <w:r w:rsidRPr="008240F8">
        <w:t>Même s</w:t>
      </w:r>
      <w:r w:rsidR="00E86CF7" w:rsidRPr="008240F8">
        <w:t>’il appartient aux</w:t>
      </w:r>
      <w:r w:rsidRPr="008240F8">
        <w:t xml:space="preserve"> États parties d</w:t>
      </w:r>
      <w:r w:rsidR="00E86CF7" w:rsidRPr="008240F8">
        <w:t>e</w:t>
      </w:r>
      <w:r w:rsidRPr="008240F8">
        <w:t xml:space="preserve"> « prendre les mesures nécessaires pour assurer la sauvegarde du patrimoine culturel immatériel présent sur [leur] territoire », cela ne </w:t>
      </w:r>
      <w:r w:rsidR="00E86CF7" w:rsidRPr="008240F8">
        <w:t>veut pas dire pour autant</w:t>
      </w:r>
      <w:r w:rsidRPr="008240F8">
        <w:t xml:space="preserve"> qu</w:t>
      </w:r>
      <w:r w:rsidR="001F7A0A" w:rsidRPr="008240F8">
        <w:t>’</w:t>
      </w:r>
      <w:r w:rsidRPr="008240F8">
        <w:t>ils sont tenus de contribuer à l</w:t>
      </w:r>
      <w:r w:rsidR="001F7A0A" w:rsidRPr="008240F8">
        <w:t>’</w:t>
      </w:r>
      <w:r w:rsidRPr="008240F8">
        <w:t>élaboration et à l</w:t>
      </w:r>
      <w:r w:rsidR="001F7A0A" w:rsidRPr="008240F8">
        <w:t>’</w:t>
      </w:r>
      <w:r w:rsidRPr="008240F8">
        <w:t xml:space="preserve">exécution de plans de sauvegarde pour </w:t>
      </w:r>
      <w:r w:rsidRPr="008240F8">
        <w:rPr>
          <w:i/>
        </w:rPr>
        <w:t>tous</w:t>
      </w:r>
      <w:r w:rsidRPr="008240F8">
        <w:t xml:space="preserve"> les éléments menacés du PCI présent sur leur territoire. Les États parties sont </w:t>
      </w:r>
      <w:r w:rsidR="00A755C5" w:rsidRPr="008240F8">
        <w:t>censés en premier lieu</w:t>
      </w:r>
      <w:r w:rsidRPr="008240F8">
        <w:t xml:space="preserve"> prendre des mesures plus générales (</w:t>
      </w:r>
      <w:r w:rsidR="00A93C56" w:rsidRPr="008240F8">
        <w:t>énonc</w:t>
      </w:r>
      <w:r w:rsidR="00446E29" w:rsidRPr="008240F8">
        <w:t xml:space="preserve">ées </w:t>
      </w:r>
      <w:r w:rsidR="00A93C56" w:rsidRPr="008240F8">
        <w:t>aux</w:t>
      </w:r>
      <w:r w:rsidR="00446E29" w:rsidRPr="008240F8">
        <w:t xml:space="preserve"> articles 12-</w:t>
      </w:r>
      <w:r w:rsidRPr="008240F8">
        <w:t>15) q</w:t>
      </w:r>
      <w:r w:rsidR="00A755C5" w:rsidRPr="008240F8">
        <w:t>ui aident à créer ou à renforcer l</w:t>
      </w:r>
      <w:r w:rsidRPr="008240F8">
        <w:t>es conditions propices à la sauvegarde du PCI présent sur leur territoire.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7</w:t>
      </w:r>
      <w:r w:rsidR="00A93C56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>Mesures générales de sauvegarde du PCI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>Unité 9.2 du Texte du participant</w:t>
      </w:r>
      <w:r w:rsidR="00C171E7" w:rsidRPr="008240F8">
        <w:t xml:space="preserve"> explique quand la Convention et les D</w:t>
      </w:r>
      <w:r w:rsidR="00BD2CD1" w:rsidRPr="008240F8">
        <w:t>O</w:t>
      </w:r>
      <w:r w:rsidR="00C171E7" w:rsidRPr="008240F8">
        <w:t xml:space="preserve"> demandent </w:t>
      </w:r>
      <w:r w:rsidR="00BD2CD1" w:rsidRPr="008240F8">
        <w:t xml:space="preserve">ou imposent </w:t>
      </w:r>
      <w:r w:rsidR="00C171E7" w:rsidRPr="008240F8">
        <w:t>aux États</w:t>
      </w:r>
      <w:r w:rsidR="00BD2CD1" w:rsidRPr="008240F8">
        <w:t xml:space="preserve"> </w:t>
      </w:r>
      <w:r w:rsidR="00A755C5" w:rsidRPr="008240F8">
        <w:t>la mise en place de</w:t>
      </w:r>
      <w:r w:rsidR="00C171E7" w:rsidRPr="008240F8">
        <w:t xml:space="preserve"> mesures de sauvegarde générales.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>Unité 9.3 du Texte du participant</w:t>
      </w:r>
      <w:r w:rsidR="00C171E7" w:rsidRPr="008240F8">
        <w:t xml:space="preserve"> </w:t>
      </w:r>
      <w:r w:rsidR="00A755C5" w:rsidRPr="008240F8">
        <w:t>énonce</w:t>
      </w:r>
      <w:r w:rsidR="00C171E7" w:rsidRPr="008240F8">
        <w:t xml:space="preserve"> quelques mesures </w:t>
      </w:r>
      <w:r w:rsidR="00A2642A" w:rsidRPr="008240F8">
        <w:t xml:space="preserve">d’ordre général </w:t>
      </w:r>
      <w:r w:rsidR="00C171E7" w:rsidRPr="008240F8">
        <w:t>utilisées pou</w:t>
      </w:r>
      <w:r w:rsidR="00A2642A" w:rsidRPr="008240F8">
        <w:t>r la sauvegarde du PCI</w:t>
      </w:r>
      <w:r w:rsidR="00C171E7" w:rsidRPr="008240F8">
        <w:t xml:space="preserve">. </w:t>
      </w:r>
      <w:r w:rsidR="00BD2CD1" w:rsidRPr="008240F8">
        <w:t>Bon n</w:t>
      </w:r>
      <w:r w:rsidR="00C171E7" w:rsidRPr="008240F8">
        <w:t>ombre d</w:t>
      </w:r>
      <w:r w:rsidR="00A755C5" w:rsidRPr="008240F8">
        <w:t>’entre elles</w:t>
      </w:r>
      <w:r w:rsidR="00BD2CD1" w:rsidRPr="008240F8">
        <w:t xml:space="preserve"> </w:t>
      </w:r>
      <w:r w:rsidR="00C171E7" w:rsidRPr="008240F8">
        <w:t xml:space="preserve">sont examinées </w:t>
      </w:r>
      <w:r w:rsidR="00BD2CD1" w:rsidRPr="008240F8">
        <w:t>dans d’a</w:t>
      </w:r>
      <w:r w:rsidR="00C171E7" w:rsidRPr="008240F8">
        <w:t>utre</w:t>
      </w:r>
      <w:r w:rsidR="00BD2CD1" w:rsidRPr="008240F8">
        <w:t>s</w:t>
      </w:r>
      <w:r w:rsidR="00C171E7" w:rsidRPr="008240F8">
        <w:t xml:space="preserve"> </w:t>
      </w:r>
      <w:r w:rsidR="00BD2CD1" w:rsidRPr="008240F8">
        <w:t>unités</w:t>
      </w:r>
      <w:r w:rsidR="00C171E7" w:rsidRPr="008240F8">
        <w:t xml:space="preserve">. </w:t>
      </w:r>
      <w:r w:rsidR="00A2642A" w:rsidRPr="008240F8">
        <w:t>La présente unité</w:t>
      </w:r>
      <w:r w:rsidR="00C171E7" w:rsidRPr="008240F8">
        <w:t xml:space="preserve"> portera </w:t>
      </w:r>
      <w:r w:rsidR="00A2642A" w:rsidRPr="008240F8">
        <w:t>donc essentiel</w:t>
      </w:r>
      <w:r w:rsidR="00C171E7" w:rsidRPr="008240F8">
        <w:t>lement sur les mesures spécifiques de sauvegarde des éléments du PCI.</w:t>
      </w:r>
    </w:p>
    <w:p w:rsidR="00C171E7" w:rsidRPr="008240F8" w:rsidRDefault="00C171E7" w:rsidP="00C41D44">
      <w:pPr>
        <w:pStyle w:val="Texte1"/>
      </w:pPr>
      <w:r w:rsidRPr="008240F8">
        <w:t xml:space="preserve">Voir les </w:t>
      </w:r>
      <w:r w:rsidR="00850916" w:rsidRPr="008240F8">
        <w:t xml:space="preserve">Études </w:t>
      </w:r>
      <w:r w:rsidRPr="008240F8">
        <w:t xml:space="preserve">de cas 3, 6, 26 et 27 pour </w:t>
      </w:r>
      <w:r w:rsidR="00A2642A" w:rsidRPr="008240F8">
        <w:t xml:space="preserve">avoir </w:t>
      </w:r>
      <w:r w:rsidRPr="008240F8">
        <w:t>des exemples de mesures générales.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8</w:t>
      </w:r>
      <w:r w:rsidR="00BD2CD1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>Mesures de sauvegarde d</w:t>
      </w:r>
      <w:r w:rsidR="001F7A0A" w:rsidRPr="008240F8">
        <w:rPr>
          <w:lang w:val="fr-FR"/>
        </w:rPr>
        <w:t>’</w:t>
      </w:r>
      <w:r w:rsidRPr="008240F8">
        <w:rPr>
          <w:lang w:val="fr-FR"/>
        </w:rPr>
        <w:t>éléments spécifiques du PCI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>Unité 9.4 du Texte du participant</w:t>
      </w:r>
      <w:r w:rsidR="00C171E7" w:rsidRPr="008240F8">
        <w:t xml:space="preserve"> indique quels types de mesures pourraient être utilisés pour sauvegarder des éléments spécifiques du PCI.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>Unité 3 du Texte du participant</w:t>
      </w:r>
      <w:r w:rsidRPr="008240F8" w:rsidDel="00850916">
        <w:t xml:space="preserve"> </w:t>
      </w:r>
      <w:r w:rsidR="00C171E7" w:rsidRPr="008240F8">
        <w:t>co</w:t>
      </w:r>
      <w:r w:rsidR="004171C0" w:rsidRPr="008240F8">
        <w:t>ntient</w:t>
      </w:r>
      <w:r w:rsidR="00C171E7" w:rsidRPr="008240F8">
        <w:t xml:space="preserve"> des </w:t>
      </w:r>
      <w:r w:rsidR="004171C0" w:rsidRPr="008240F8">
        <w:t>entrées pertinentes sur l</w:t>
      </w:r>
      <w:r w:rsidR="00C171E7" w:rsidRPr="008240F8">
        <w:t xml:space="preserve">es mesures de sauvegarde </w:t>
      </w:r>
      <w:r w:rsidR="004171C0" w:rsidRPr="008240F8">
        <w:t>étudi</w:t>
      </w:r>
      <w:r w:rsidR="00C171E7" w:rsidRPr="008240F8">
        <w:t xml:space="preserve">ées dans </w:t>
      </w:r>
      <w:r w:rsidR="004171C0" w:rsidRPr="008240F8">
        <w:t>cette</w:t>
      </w:r>
      <w:r w:rsidR="00C171E7" w:rsidRPr="008240F8">
        <w:t xml:space="preserve"> section.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>Unité 9.5 du Texte du participant</w:t>
      </w:r>
      <w:r w:rsidR="00C171E7" w:rsidRPr="008240F8">
        <w:t xml:space="preserve"> donne des exemples de mesures de sauvegarde, comme la recherche</w:t>
      </w:r>
      <w:r w:rsidR="00BD2CD1" w:rsidRPr="008240F8">
        <w:t>, la documentation et la revitalisation</w:t>
      </w:r>
      <w:r w:rsidR="00C171E7" w:rsidRPr="008240F8">
        <w:t>.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>Unité 9.6 du Texte du participant</w:t>
      </w:r>
      <w:r w:rsidR="00C171E7" w:rsidRPr="008240F8">
        <w:t xml:space="preserve"> </w:t>
      </w:r>
      <w:r w:rsidR="004171C0" w:rsidRPr="008240F8">
        <w:t>rappelle</w:t>
      </w:r>
      <w:r w:rsidR="00C171E7" w:rsidRPr="008240F8">
        <w:t xml:space="preserve"> l</w:t>
      </w:r>
      <w:r w:rsidR="001F7A0A" w:rsidRPr="008240F8">
        <w:t>’</w:t>
      </w:r>
      <w:r w:rsidR="00C171E7" w:rsidRPr="008240F8">
        <w:t>importance d</w:t>
      </w:r>
      <w:r w:rsidR="001F7A0A" w:rsidRPr="008240F8">
        <w:t>’</w:t>
      </w:r>
      <w:r w:rsidR="00C171E7" w:rsidRPr="008240F8">
        <w:t>impliquer les communautés concernées dans la sauvegarde.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lastRenderedPageBreak/>
        <w:t>Diapositive 9</w:t>
      </w:r>
      <w:r w:rsidR="00BD2CD1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>La sauvegarde d</w:t>
      </w:r>
      <w:r w:rsidR="001F7A0A" w:rsidRPr="008240F8">
        <w:rPr>
          <w:lang w:val="fr-FR"/>
        </w:rPr>
        <w:t>’</w:t>
      </w:r>
      <w:r w:rsidRPr="008240F8">
        <w:rPr>
          <w:lang w:val="fr-FR"/>
        </w:rPr>
        <w:t>éléments viables du PCI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="002739D5">
        <w:t>Unité 9.4</w:t>
      </w:r>
      <w:bookmarkStart w:id="8" w:name="_GoBack"/>
      <w:bookmarkEnd w:id="8"/>
      <w:r w:rsidRPr="008240F8">
        <w:t xml:space="preserve"> du Texte du participant</w:t>
      </w:r>
      <w:r w:rsidR="00C171E7" w:rsidRPr="008240F8">
        <w:t xml:space="preserve"> évoque la sauvegarde d</w:t>
      </w:r>
      <w:r w:rsidR="001F7A0A" w:rsidRPr="008240F8">
        <w:t>’</w:t>
      </w:r>
      <w:r w:rsidR="00C171E7" w:rsidRPr="008240F8">
        <w:t xml:space="preserve">éléments </w:t>
      </w:r>
      <w:r w:rsidR="00442435" w:rsidRPr="008240F8">
        <w:t xml:space="preserve">viables </w:t>
      </w:r>
      <w:r w:rsidR="00C171E7" w:rsidRPr="008240F8">
        <w:t>du PCI.</w:t>
      </w:r>
    </w:p>
    <w:p w:rsidR="00C171E7" w:rsidRPr="008240F8" w:rsidRDefault="00C171E7" w:rsidP="00C41D44">
      <w:pPr>
        <w:pStyle w:val="Soustitre"/>
      </w:pPr>
      <w:r w:rsidRPr="008240F8">
        <w:t xml:space="preserve">Remarque sur les mesures générales </w:t>
      </w:r>
      <w:r w:rsidR="00E2498E" w:rsidRPr="008240F8">
        <w:t>capab</w:t>
      </w:r>
      <w:r w:rsidRPr="008240F8">
        <w:t>les de soutenir des éléments viables du PCI</w:t>
      </w:r>
    </w:p>
    <w:p w:rsidR="00C171E7" w:rsidRPr="008240F8" w:rsidRDefault="00C171E7" w:rsidP="00C41D44">
      <w:pPr>
        <w:pStyle w:val="Texte1"/>
      </w:pPr>
      <w:r w:rsidRPr="008240F8">
        <w:t>Il n</w:t>
      </w:r>
      <w:r w:rsidR="001F7A0A" w:rsidRPr="008240F8">
        <w:t>’</w:t>
      </w:r>
      <w:r w:rsidR="00E2498E" w:rsidRPr="008240F8">
        <w:t xml:space="preserve">y a </w:t>
      </w:r>
      <w:r w:rsidR="00DE302B" w:rsidRPr="008240F8">
        <w:t>nul</w:t>
      </w:r>
      <w:r w:rsidRPr="008240F8">
        <w:t xml:space="preserve"> </w:t>
      </w:r>
      <w:r w:rsidR="00E2498E" w:rsidRPr="008240F8">
        <w:t>besoin</w:t>
      </w:r>
      <w:r w:rsidR="00DE302B" w:rsidRPr="008240F8">
        <w:t xml:space="preserve"> de prendre des</w:t>
      </w:r>
      <w:r w:rsidRPr="008240F8">
        <w:t xml:space="preserve"> mesures </w:t>
      </w:r>
      <w:r w:rsidR="00E2498E" w:rsidRPr="008240F8">
        <w:t xml:space="preserve">de sauvegarde </w:t>
      </w:r>
      <w:r w:rsidRPr="008240F8">
        <w:t>spécifiques lorsque la pratiqu</w:t>
      </w:r>
      <w:r w:rsidR="001D1D9F" w:rsidRPr="008240F8">
        <w:t>e et la transmission</w:t>
      </w:r>
      <w:r w:rsidRPr="008240F8">
        <w:t xml:space="preserve"> </w:t>
      </w:r>
      <w:r w:rsidR="00E2498E" w:rsidRPr="008240F8">
        <w:t>assurent la pérennité d’un élément du PCI :</w:t>
      </w:r>
      <w:r w:rsidRPr="008240F8">
        <w:t xml:space="preserve"> des mesures générales de sauvegarde peuvent </w:t>
      </w:r>
      <w:r w:rsidR="00DE302B" w:rsidRPr="008240F8">
        <w:t>offrir un soutien</w:t>
      </w:r>
      <w:r w:rsidRPr="008240F8">
        <w:t xml:space="preserve"> dans ce</w:t>
      </w:r>
      <w:r w:rsidR="00DE302B" w:rsidRPr="008240F8">
        <w:t>s cas-là</w:t>
      </w:r>
      <w:r w:rsidR="001D1D9F" w:rsidRPr="008240F8">
        <w:t xml:space="preserve"> </w:t>
      </w:r>
      <w:r w:rsidR="00E2498E" w:rsidRPr="008240F8">
        <w:t>bien qu’</w:t>
      </w:r>
      <w:r w:rsidRPr="008240F8">
        <w:t xml:space="preserve">elles favorisent </w:t>
      </w:r>
      <w:r w:rsidR="00DE302B" w:rsidRPr="008240F8">
        <w:t>essentielle</w:t>
      </w:r>
      <w:r w:rsidRPr="008240F8">
        <w:t>ment la sauvegarde du PCI dont la viabilité est menacée. Les mesures générales peuvent inclure la mise en place d</w:t>
      </w:r>
      <w:r w:rsidR="001F7A0A" w:rsidRPr="008240F8">
        <w:t>’</w:t>
      </w:r>
      <w:r w:rsidRPr="008240F8">
        <w:t xml:space="preserve">un cadre législatif et administratif </w:t>
      </w:r>
      <w:r w:rsidR="00DE302B" w:rsidRPr="008240F8">
        <w:t>approprié</w:t>
      </w:r>
      <w:r w:rsidRPr="008240F8">
        <w:t xml:space="preserve"> (voir </w:t>
      </w:r>
      <w:r w:rsidR="003A077A" w:rsidRPr="008240F8">
        <w:t>Unité </w:t>
      </w:r>
      <w:r w:rsidRPr="008240F8">
        <w:t xml:space="preserve">10), le renforcement des capacités des communautés </w:t>
      </w:r>
      <w:r w:rsidR="001D1D9F" w:rsidRPr="008240F8">
        <w:t xml:space="preserve">à </w:t>
      </w:r>
      <w:r w:rsidR="00DE302B" w:rsidRPr="008240F8">
        <w:t>gérer</w:t>
      </w:r>
      <w:r w:rsidRPr="008240F8">
        <w:t xml:space="preserve"> leur PCI (si elles le souhaitent) et la sensibilisation à un élément dynamique (voir </w:t>
      </w:r>
      <w:r w:rsidR="003A077A" w:rsidRPr="008240F8">
        <w:t>Unité </w:t>
      </w:r>
      <w:r w:rsidRPr="008240F8">
        <w:t>5).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10</w:t>
      </w:r>
      <w:r w:rsidR="001D1D9F" w:rsidRPr="008240F8">
        <w:rPr>
          <w:lang w:val="fr-FR"/>
        </w:rPr>
        <w:t>.</w:t>
      </w:r>
    </w:p>
    <w:p w:rsidR="00C171E7" w:rsidRPr="008240F8" w:rsidRDefault="00E254DA" w:rsidP="00C41D44">
      <w:pPr>
        <w:pStyle w:val="diapo2"/>
        <w:rPr>
          <w:lang w:val="fr-FR"/>
        </w:rPr>
      </w:pPr>
      <w:r w:rsidRPr="008240F8">
        <w:rPr>
          <w:lang w:val="fr-FR"/>
        </w:rPr>
        <w:t>Réduire les</w:t>
      </w:r>
      <w:r w:rsidR="00C171E7" w:rsidRPr="008240F8">
        <w:rPr>
          <w:lang w:val="fr-FR"/>
        </w:rPr>
        <w:t xml:space="preserve"> menaces et </w:t>
      </w:r>
      <w:r w:rsidRPr="008240F8">
        <w:rPr>
          <w:lang w:val="fr-FR"/>
        </w:rPr>
        <w:t>les</w:t>
      </w:r>
      <w:r w:rsidR="00C171E7" w:rsidRPr="008240F8">
        <w:rPr>
          <w:lang w:val="fr-FR"/>
        </w:rPr>
        <w:t xml:space="preserve"> risques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>Unité 9.4 du Texte du participant</w:t>
      </w:r>
      <w:r w:rsidR="00C171E7" w:rsidRPr="008240F8">
        <w:t xml:space="preserve"> présente des mesures de sauvegarde spécifiques pour lutter contre les menaces ou </w:t>
      </w:r>
      <w:r w:rsidR="001D1D9F" w:rsidRPr="008240F8">
        <w:t xml:space="preserve">les </w:t>
      </w:r>
      <w:r w:rsidR="00C171E7" w:rsidRPr="008240F8">
        <w:t>risques qui pèsent sur la viabilité des éléments du PCI.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>Unité 9.7 du Texte du participant</w:t>
      </w:r>
      <w:r w:rsidR="00C171E7" w:rsidRPr="008240F8">
        <w:t xml:space="preserve"> explique comment élaborer des mesures de sauvegarde.</w:t>
      </w:r>
    </w:p>
    <w:p w:rsidR="00C171E7" w:rsidRPr="008240F8" w:rsidRDefault="00C171E7" w:rsidP="00C41D44">
      <w:pPr>
        <w:pStyle w:val="Soustitre"/>
      </w:pPr>
      <w:r w:rsidRPr="008240F8">
        <w:t>Remarque sur la nature des menaces et des risques qui pèsent sur la viabilité du PCI</w:t>
      </w:r>
    </w:p>
    <w:p w:rsidR="00C171E7" w:rsidRPr="008240F8" w:rsidRDefault="00E254DA" w:rsidP="00C41D44">
      <w:pPr>
        <w:pStyle w:val="Texte1"/>
      </w:pPr>
      <w:r w:rsidRPr="008240F8">
        <w:t xml:space="preserve">Plusieurs types de </w:t>
      </w:r>
      <w:r w:rsidR="00C171E7" w:rsidRPr="008240F8">
        <w:t xml:space="preserve">menaces et </w:t>
      </w:r>
      <w:r w:rsidRPr="008240F8">
        <w:t xml:space="preserve">de risques </w:t>
      </w:r>
      <w:r w:rsidR="00C171E7" w:rsidRPr="008240F8">
        <w:t xml:space="preserve">peuvent compromettre la viabilité </w:t>
      </w:r>
      <w:r w:rsidRPr="008240F8">
        <w:t>du PCI, tels que</w:t>
      </w:r>
      <w:r w:rsidR="00C171E7" w:rsidRPr="008240F8">
        <w:t> :</w:t>
      </w:r>
    </w:p>
    <w:p w:rsidR="00C171E7" w:rsidRPr="008240F8" w:rsidRDefault="00E254DA" w:rsidP="008E22B6">
      <w:pPr>
        <w:pStyle w:val="nutiret"/>
        <w:numPr>
          <w:ilvl w:val="0"/>
          <w:numId w:val="16"/>
        </w:numPr>
      </w:pPr>
      <w:r w:rsidRPr="008240F8">
        <w:t>les</w:t>
      </w:r>
      <w:r w:rsidR="00C171E7" w:rsidRPr="008240F8">
        <w:t xml:space="preserve"> menaces pesant sur les systèmes traditionnels de transmission (</w:t>
      </w:r>
      <w:r w:rsidRPr="008240F8">
        <w:t>évolution des modes de vie ;</w:t>
      </w:r>
      <w:r w:rsidR="00C171E7" w:rsidRPr="008240F8">
        <w:t xml:space="preserve"> désintérêt des jeunes pour l</w:t>
      </w:r>
      <w:r w:rsidR="001F7A0A" w:rsidRPr="008240F8">
        <w:t>’</w:t>
      </w:r>
      <w:r w:rsidR="00C171E7" w:rsidRPr="008240F8">
        <w:t>appr</w:t>
      </w:r>
      <w:r w:rsidRPr="008240F8">
        <w:t>entissage ou la pratique du PCI ;</w:t>
      </w:r>
      <w:r w:rsidR="00C171E7" w:rsidRPr="008240F8">
        <w:t xml:space="preserve"> demande insuffisante </w:t>
      </w:r>
      <w:r w:rsidRPr="008240F8">
        <w:t>d</w:t>
      </w:r>
      <w:r w:rsidR="00C171E7" w:rsidRPr="008240F8">
        <w:t>es produits issus de la pratique du PCI) ;</w:t>
      </w:r>
    </w:p>
    <w:p w:rsidR="00C171E7" w:rsidRPr="008240F8" w:rsidRDefault="00E254DA" w:rsidP="008E22B6">
      <w:pPr>
        <w:pStyle w:val="nutiret"/>
        <w:numPr>
          <w:ilvl w:val="0"/>
          <w:numId w:val="16"/>
        </w:numPr>
      </w:pPr>
      <w:r w:rsidRPr="008240F8">
        <w:t xml:space="preserve">les </w:t>
      </w:r>
      <w:r w:rsidR="00C171E7" w:rsidRPr="008240F8">
        <w:t>attitudes négatives (intolérance, mauvaise co</w:t>
      </w:r>
      <w:r w:rsidR="0060757A" w:rsidRPr="008240F8">
        <w:t>nnaissance</w:t>
      </w:r>
      <w:r w:rsidR="00C171E7" w:rsidRPr="008240F8">
        <w:t xml:space="preserve">) </w:t>
      </w:r>
      <w:r w:rsidR="0060757A" w:rsidRPr="008240F8">
        <w:t>vis-</w:t>
      </w:r>
      <w:r w:rsidR="00C171E7" w:rsidRPr="008240F8">
        <w:t>à</w:t>
      </w:r>
      <w:r w:rsidR="0060757A" w:rsidRPr="008240F8">
        <w:t>-vis</w:t>
      </w:r>
      <w:r w:rsidR="00C171E7" w:rsidRPr="008240F8">
        <w:t xml:space="preserve"> du PCI d</w:t>
      </w:r>
      <w:r w:rsidR="001F7A0A" w:rsidRPr="008240F8">
        <w:t>’</w:t>
      </w:r>
      <w:r w:rsidR="00C171E7" w:rsidRPr="008240F8">
        <w:t>une communauté, ou d</w:t>
      </w:r>
      <w:r w:rsidR="001F7A0A" w:rsidRPr="008240F8">
        <w:t>’</w:t>
      </w:r>
      <w:r w:rsidR="00C171E7" w:rsidRPr="008240F8">
        <w:t>un ou plusieurs de</w:t>
      </w:r>
      <w:r w:rsidR="00D24607" w:rsidRPr="008240F8">
        <w:t xml:space="preserve"> ses éléments</w:t>
      </w:r>
      <w:r w:rsidR="00C171E7" w:rsidRPr="008240F8">
        <w:t xml:space="preserve"> de la part des autorités, du grand public, d</w:t>
      </w:r>
      <w:r w:rsidR="001F7A0A" w:rsidRPr="008240F8">
        <w:t>’</w:t>
      </w:r>
      <w:r w:rsidR="00C171E7" w:rsidRPr="008240F8">
        <w:t>a</w:t>
      </w:r>
      <w:r w:rsidR="0060757A" w:rsidRPr="008240F8">
        <w:t xml:space="preserve">utres communautés ou </w:t>
      </w:r>
      <w:r w:rsidR="00C171E7" w:rsidRPr="008240F8">
        <w:t>de la communauté concernée ;</w:t>
      </w:r>
    </w:p>
    <w:p w:rsidR="00C171E7" w:rsidRPr="008240F8" w:rsidRDefault="0060757A" w:rsidP="008E22B6">
      <w:pPr>
        <w:pStyle w:val="nutiret"/>
        <w:numPr>
          <w:ilvl w:val="0"/>
          <w:numId w:val="16"/>
        </w:numPr>
      </w:pPr>
      <w:r w:rsidRPr="008240F8">
        <w:t>les</w:t>
      </w:r>
      <w:r w:rsidR="00C171E7" w:rsidRPr="008240F8">
        <w:t xml:space="preserve"> menaces </w:t>
      </w:r>
      <w:r w:rsidRPr="008240F8">
        <w:t>qui pèse</w:t>
      </w:r>
      <w:r w:rsidR="00C171E7" w:rsidRPr="008240F8">
        <w:t>nt sur le caractère vivant du PCI (mise en sc</w:t>
      </w:r>
      <w:r w:rsidRPr="008240F8">
        <w:t>ène des événements, « gel</w:t>
      </w:r>
      <w:r w:rsidR="00C171E7" w:rsidRPr="008240F8">
        <w:t> », commercialisation excessive) ;</w:t>
      </w:r>
      <w:r w:rsidR="00D24607" w:rsidRPr="008240F8">
        <w:t xml:space="preserve"> et</w:t>
      </w:r>
    </w:p>
    <w:p w:rsidR="00C171E7" w:rsidRPr="008240F8" w:rsidRDefault="00366CAB" w:rsidP="008E22B6">
      <w:pPr>
        <w:pStyle w:val="nutiret"/>
        <w:numPr>
          <w:ilvl w:val="0"/>
          <w:numId w:val="16"/>
        </w:numPr>
      </w:pPr>
      <w:r w:rsidRPr="008240F8">
        <w:t xml:space="preserve">l’indisponibilité </w:t>
      </w:r>
      <w:r w:rsidR="00C171E7" w:rsidRPr="008240F8">
        <w:t>de matéri</w:t>
      </w:r>
      <w:r w:rsidR="00FB5F57" w:rsidRPr="008240F8">
        <w:t>els spécifiques</w:t>
      </w:r>
      <w:r w:rsidR="00C171E7" w:rsidRPr="008240F8">
        <w:t>, d</w:t>
      </w:r>
      <w:r w:rsidR="00FB5F57" w:rsidRPr="008240F8">
        <w:t>e lieux</w:t>
      </w:r>
      <w:r w:rsidR="00C171E7" w:rsidRPr="008240F8">
        <w:t xml:space="preserve"> ou d</w:t>
      </w:r>
      <w:r w:rsidR="001F7A0A" w:rsidRPr="008240F8">
        <w:t>’</w:t>
      </w:r>
      <w:r w:rsidR="00C171E7" w:rsidRPr="008240F8">
        <w:t xml:space="preserve">occasions nécessaires à la pratique du PCI (déforestation, migration, </w:t>
      </w:r>
      <w:r w:rsidR="003A5E85" w:rsidRPr="008240F8">
        <w:t>évolution sociale</w:t>
      </w:r>
      <w:r w:rsidR="00C171E7" w:rsidRPr="008240F8">
        <w:t>, répression).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11</w:t>
      </w:r>
      <w:r w:rsidR="00FB5F57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 xml:space="preserve">La cérémonie des </w:t>
      </w:r>
      <w:proofErr w:type="spellStart"/>
      <w:r w:rsidRPr="008240F8">
        <w:rPr>
          <w:i/>
          <w:lang w:val="fr-FR"/>
        </w:rPr>
        <w:t>Voladores</w:t>
      </w:r>
      <w:proofErr w:type="spellEnd"/>
      <w:r w:rsidR="005B79AF" w:rsidRPr="008240F8">
        <w:rPr>
          <w:lang w:val="fr-FR"/>
        </w:rPr>
        <w:t xml:space="preserve"> (Mexique)</w:t>
      </w:r>
    </w:p>
    <w:p w:rsidR="00C171E7" w:rsidRPr="008240F8" w:rsidRDefault="00850916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 xml:space="preserve">Étude </w:t>
      </w:r>
      <w:r w:rsidR="00C171E7" w:rsidRPr="008240F8">
        <w:t xml:space="preserve">de cas 22 </w:t>
      </w:r>
      <w:r w:rsidR="00FB5F57" w:rsidRPr="008240F8">
        <w:t>porte sur</w:t>
      </w:r>
      <w:r w:rsidR="00C171E7" w:rsidRPr="008240F8">
        <w:t xml:space="preserve"> les mesures de sauvegarde </w:t>
      </w:r>
      <w:r w:rsidR="00174C41" w:rsidRPr="008240F8">
        <w:t>élaborées</w:t>
      </w:r>
      <w:r w:rsidR="00C171E7" w:rsidRPr="008240F8">
        <w:t xml:space="preserve"> pour </w:t>
      </w:r>
      <w:r w:rsidR="00174C41" w:rsidRPr="008240F8">
        <w:t>atténuer les</w:t>
      </w:r>
      <w:r w:rsidR="00C171E7" w:rsidRPr="008240F8">
        <w:t xml:space="preserve"> menaces </w:t>
      </w:r>
      <w:r w:rsidR="00174C41" w:rsidRPr="008240F8">
        <w:t xml:space="preserve">qui </w:t>
      </w:r>
      <w:r w:rsidR="00C171E7" w:rsidRPr="008240F8">
        <w:t>p</w:t>
      </w:r>
      <w:r w:rsidR="00174C41" w:rsidRPr="008240F8">
        <w:t>èsent sur la viabilité de la C</w:t>
      </w:r>
      <w:r w:rsidR="00C171E7" w:rsidRPr="008240F8">
        <w:t xml:space="preserve">érémonie rituelle des </w:t>
      </w:r>
      <w:proofErr w:type="spellStart"/>
      <w:r w:rsidR="00C171E7" w:rsidRPr="008240F8">
        <w:rPr>
          <w:i/>
        </w:rPr>
        <w:t>Voladores</w:t>
      </w:r>
      <w:proofErr w:type="spellEnd"/>
      <w:r w:rsidR="00C171E7" w:rsidRPr="008240F8">
        <w:t xml:space="preserve"> (« hommes volants ») au Mexique.</w:t>
      </w:r>
    </w:p>
    <w:p w:rsidR="00C171E7" w:rsidRPr="008240F8" w:rsidRDefault="00C171E7" w:rsidP="00C41D44">
      <w:pPr>
        <w:pStyle w:val="Soustitre"/>
      </w:pPr>
      <w:r w:rsidRPr="008240F8">
        <w:lastRenderedPageBreak/>
        <w:t xml:space="preserve">Points clés à </w:t>
      </w:r>
      <w:r w:rsidR="00E2459D" w:rsidRPr="008240F8">
        <w:t>note</w:t>
      </w:r>
      <w:r w:rsidRPr="008240F8">
        <w:t>r</w:t>
      </w:r>
    </w:p>
    <w:p w:rsidR="00C171E7" w:rsidRPr="008240F8" w:rsidRDefault="00070431" w:rsidP="00C41D44">
      <w:pPr>
        <w:pStyle w:val="Texte1"/>
      </w:pPr>
      <w:r w:rsidRPr="008240F8">
        <w:t>Malgré son caractère</w:t>
      </w:r>
      <w:r w:rsidR="00C171E7" w:rsidRPr="008240F8">
        <w:t xml:space="preserve"> plutôt dynamique, l</w:t>
      </w:r>
      <w:r w:rsidR="001F7A0A" w:rsidRPr="008240F8">
        <w:t>’</w:t>
      </w:r>
      <w:r w:rsidR="00C171E7" w:rsidRPr="008240F8">
        <w:t xml:space="preserve">élément </w:t>
      </w:r>
      <w:r w:rsidRPr="008240F8">
        <w:t>est en proi</w:t>
      </w:r>
      <w:r w:rsidR="00C171E7" w:rsidRPr="008240F8">
        <w:t>e</w:t>
      </w:r>
      <w:r w:rsidRPr="008240F8">
        <w:t xml:space="preserve"> à diverses menaces</w:t>
      </w:r>
      <w:r w:rsidR="00C171E7" w:rsidRPr="008240F8">
        <w:t>,</w:t>
      </w:r>
      <w:r w:rsidRPr="008240F8">
        <w:t xml:space="preserve"> </w:t>
      </w:r>
      <w:r w:rsidR="00C52657" w:rsidRPr="008240F8">
        <w:t xml:space="preserve">tout comme </w:t>
      </w:r>
      <w:r w:rsidRPr="008240F8">
        <w:t>une grande partie du PCI</w:t>
      </w:r>
      <w:r w:rsidR="00C171E7" w:rsidRPr="008240F8">
        <w:t xml:space="preserve">. </w:t>
      </w:r>
      <w:r w:rsidR="00C52657" w:rsidRPr="008240F8">
        <w:t>Les menaces</w:t>
      </w:r>
      <w:r w:rsidR="00C171E7" w:rsidRPr="008240F8">
        <w:t xml:space="preserve"> </w:t>
      </w:r>
      <w:r w:rsidR="00C52657" w:rsidRPr="008240F8">
        <w:t>auxquelles il est</w:t>
      </w:r>
      <w:r w:rsidR="00C171E7" w:rsidRPr="008240F8">
        <w:t xml:space="preserve"> </w:t>
      </w:r>
      <w:r w:rsidR="00C52657" w:rsidRPr="008240F8">
        <w:t>particulièrement confronté</w:t>
      </w:r>
      <w:r w:rsidRPr="008240F8">
        <w:t xml:space="preserve"> </w:t>
      </w:r>
      <w:r w:rsidR="00C52657" w:rsidRPr="008240F8">
        <w:t xml:space="preserve">aujourd’hui </w:t>
      </w:r>
      <w:r w:rsidRPr="008240F8">
        <w:t>sont</w:t>
      </w:r>
      <w:r w:rsidR="00C171E7" w:rsidRPr="008240F8">
        <w:t> :</w:t>
      </w:r>
    </w:p>
    <w:p w:rsidR="00C171E7" w:rsidRPr="008240F8" w:rsidRDefault="00C171E7" w:rsidP="00C41D44">
      <w:pPr>
        <w:pStyle w:val="nutiret"/>
      </w:pPr>
      <w:r w:rsidRPr="008240F8">
        <w:t>l</w:t>
      </w:r>
      <w:r w:rsidR="001F7A0A" w:rsidRPr="008240F8">
        <w:t>’</w:t>
      </w:r>
      <w:r w:rsidRPr="008240F8">
        <w:t>exécution d</w:t>
      </w:r>
      <w:r w:rsidR="001F7A0A" w:rsidRPr="008240F8">
        <w:t>’</w:t>
      </w:r>
      <w:r w:rsidRPr="008240F8">
        <w:t>une pa</w:t>
      </w:r>
      <w:r w:rsidR="00FB5F57" w:rsidRPr="008240F8">
        <w:t>rtie seulement de la cérémonie pour les touristes</w:t>
      </w:r>
      <w:r w:rsidRPr="008240F8">
        <w:t> ;</w:t>
      </w:r>
    </w:p>
    <w:p w:rsidR="00C171E7" w:rsidRPr="008240F8" w:rsidRDefault="00C171E7" w:rsidP="00C41D44">
      <w:pPr>
        <w:pStyle w:val="nutiret"/>
      </w:pPr>
      <w:r w:rsidRPr="008240F8">
        <w:t xml:space="preserve">la raréfaction </w:t>
      </w:r>
      <w:r w:rsidR="00CC74CC" w:rsidRPr="008240F8">
        <w:t>des arbres pour faire d</w:t>
      </w:r>
      <w:r w:rsidRPr="008240F8">
        <w:t>es poteaux</w:t>
      </w:r>
      <w:r w:rsidR="00CC74CC" w:rsidRPr="008240F8">
        <w:t xml:space="preserve"> en bois</w:t>
      </w:r>
      <w:r w:rsidRPr="008240F8">
        <w:t> ;</w:t>
      </w:r>
      <w:r w:rsidR="00FB5F57" w:rsidRPr="008240F8">
        <w:t xml:space="preserve"> et</w:t>
      </w:r>
    </w:p>
    <w:p w:rsidR="00C171E7" w:rsidRPr="008240F8" w:rsidRDefault="00C171E7" w:rsidP="00C41D44">
      <w:pPr>
        <w:pStyle w:val="nutiret"/>
      </w:pPr>
      <w:r w:rsidRPr="008240F8">
        <w:t xml:space="preserve">la </w:t>
      </w:r>
      <w:r w:rsidR="00CC74CC" w:rsidRPr="008240F8">
        <w:t>perte</w:t>
      </w:r>
      <w:r w:rsidRPr="008240F8">
        <w:t xml:space="preserve"> des dimensions rituelle</w:t>
      </w:r>
      <w:r w:rsidR="00CC74CC" w:rsidRPr="008240F8">
        <w:t>s</w:t>
      </w:r>
      <w:r w:rsidRPr="008240F8">
        <w:t xml:space="preserve"> et spirituelle</w:t>
      </w:r>
      <w:r w:rsidR="00CC74CC" w:rsidRPr="008240F8">
        <w:t>s</w:t>
      </w:r>
      <w:r w:rsidRPr="008240F8">
        <w:t xml:space="preserve"> de la cérémonie.</w:t>
      </w:r>
    </w:p>
    <w:p w:rsidR="00C171E7" w:rsidRPr="008240F8" w:rsidRDefault="00C171E7" w:rsidP="00C41D44">
      <w:pPr>
        <w:pStyle w:val="Texte1"/>
      </w:pPr>
      <w:r w:rsidRPr="008240F8">
        <w:t xml:space="preserve">Des mesures de sauvegarde ont été élaborées pour </w:t>
      </w:r>
      <w:r w:rsidR="00CC74CC" w:rsidRPr="008240F8">
        <w:t>atténuer</w:t>
      </w:r>
      <w:r w:rsidR="005F0586">
        <w:t xml:space="preserve"> ces menaces.</w:t>
      </w:r>
    </w:p>
    <w:p w:rsidR="00C171E7" w:rsidRPr="00054067" w:rsidRDefault="00FB5F57" w:rsidP="00054067">
      <w:pPr>
        <w:pStyle w:val="Informations"/>
      </w:pPr>
      <w:r w:rsidRPr="00054067">
        <w:t xml:space="preserve">Pour </w:t>
      </w:r>
      <w:r w:rsidR="00CC74CC" w:rsidRPr="00054067">
        <w:t xml:space="preserve">en savoir </w:t>
      </w:r>
      <w:r w:rsidRPr="00054067">
        <w:t>plus</w:t>
      </w:r>
      <w:r w:rsidR="00C171E7" w:rsidRPr="00054067">
        <w:t xml:space="preserve"> sur l</w:t>
      </w:r>
      <w:r w:rsidR="001F7A0A" w:rsidRPr="00054067">
        <w:t>’</w:t>
      </w:r>
      <w:r w:rsidR="00C171E7" w:rsidRPr="00054067">
        <w:t>élément</w:t>
      </w:r>
      <w:r w:rsidRPr="00054067">
        <w:t xml:space="preserve">, </w:t>
      </w:r>
      <w:r w:rsidR="00CC74CC" w:rsidRPr="00054067">
        <w:t>voir</w:t>
      </w:r>
      <w:r w:rsidR="00C171E7" w:rsidRPr="00054067">
        <w:t xml:space="preserve"> </w:t>
      </w:r>
      <w:r w:rsidR="00850916" w:rsidRPr="00054067">
        <w:t>l</w:t>
      </w:r>
      <w:r w:rsidR="001F7A0A" w:rsidRPr="00054067">
        <w:t>’</w:t>
      </w:r>
      <w:r w:rsidR="00850916" w:rsidRPr="00054067">
        <w:t xml:space="preserve">Étude </w:t>
      </w:r>
      <w:r w:rsidR="00C171E7" w:rsidRPr="00054067">
        <w:t>de cas 22</w:t>
      </w:r>
      <w:r w:rsidR="00850916" w:rsidRPr="00054067">
        <w:t xml:space="preserve"> </w:t>
      </w:r>
      <w:r w:rsidRPr="00054067">
        <w:t>et</w:t>
      </w:r>
      <w:r w:rsidR="00C171E7" w:rsidRPr="00054067">
        <w:t xml:space="preserve"> le dossier de candidature</w:t>
      </w:r>
      <w:r w:rsidRPr="00054067">
        <w:t> </w:t>
      </w:r>
      <w:r w:rsidR="00C171E7" w:rsidRPr="00054067">
        <w:t>:</w:t>
      </w:r>
      <w:r w:rsidR="002707A1" w:rsidRPr="00054067">
        <w:t xml:space="preserve"> </w:t>
      </w:r>
      <w:r w:rsidR="00054067" w:rsidRPr="00054067">
        <w:rPr>
          <w:noProof/>
          <w:lang w:eastAsia="fr-FR"/>
        </w:rPr>
        <w:drawing>
          <wp:anchor distT="0" distB="0" distL="114300" distR="114300" simplePos="0" relativeHeight="251684352" behindDoc="0" locked="1" layoutInCell="1" allowOverlap="0" wp14:anchorId="653C84EB" wp14:editId="5DC41A1D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73685" cy="34671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7A" w:rsidRPr="00054067">
        <w:t>http://www.unesco.org/culture/ich/fr/RL/00175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12</w:t>
      </w:r>
      <w:r w:rsidR="005876B5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>Menaces pour la viabilité (1)</w:t>
      </w:r>
    </w:p>
    <w:p w:rsidR="00C171E7" w:rsidRPr="008240F8" w:rsidRDefault="00C171E7" w:rsidP="00C41D44">
      <w:pPr>
        <w:pStyle w:val="Texte1"/>
      </w:pPr>
      <w:r w:rsidRPr="008240F8">
        <w:t xml:space="preserve">Le vol des </w:t>
      </w:r>
      <w:proofErr w:type="spellStart"/>
      <w:r w:rsidRPr="008240F8">
        <w:rPr>
          <w:i/>
        </w:rPr>
        <w:t>Voladores</w:t>
      </w:r>
      <w:proofErr w:type="spellEnd"/>
      <w:r w:rsidRPr="008240F8">
        <w:t xml:space="preserve"> autour du poteau est le temps fort de la cérémonie. </w:t>
      </w:r>
      <w:r w:rsidR="00FE0AFC" w:rsidRPr="008240F8">
        <w:t>Mais dans l</w:t>
      </w:r>
      <w:r w:rsidRPr="008240F8">
        <w:t xml:space="preserve">es représentations </w:t>
      </w:r>
      <w:r w:rsidR="00FE0AFC" w:rsidRPr="008240F8">
        <w:t>propos</w:t>
      </w:r>
      <w:r w:rsidRPr="008240F8">
        <w:t xml:space="preserve">ées aux touristes, seule cette partie de la cérémonie est </w:t>
      </w:r>
      <w:r w:rsidR="00D5636A" w:rsidRPr="008240F8">
        <w:t>mise en scène</w:t>
      </w:r>
      <w:r w:rsidRPr="008240F8">
        <w:t xml:space="preserve">, </w:t>
      </w:r>
      <w:r w:rsidR="00FE0AFC" w:rsidRPr="008240F8">
        <w:t>comme un</w:t>
      </w:r>
      <w:r w:rsidRPr="008240F8">
        <w:t xml:space="preserve"> spectacle </w:t>
      </w:r>
      <w:r w:rsidR="00FE0AFC" w:rsidRPr="008240F8">
        <w:t>d’</w:t>
      </w:r>
      <w:r w:rsidRPr="008240F8">
        <w:t>acrobatie.</w:t>
      </w:r>
      <w:r w:rsidR="00D5636A" w:rsidRPr="008240F8">
        <w:t xml:space="preserve"> Désormais, la cérémonie</w:t>
      </w:r>
      <w:r w:rsidR="00DF3F39" w:rsidRPr="008240F8">
        <w:t xml:space="preserve"> s’en trouve </w:t>
      </w:r>
      <w:r w:rsidRPr="008240F8">
        <w:t>souvent écourtée et présentée en dehors du contexte et du calendrier traditionnels de la communauté.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13</w:t>
      </w:r>
      <w:r w:rsidR="005876B5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>Menaces pour la viabilité (2)</w:t>
      </w:r>
    </w:p>
    <w:p w:rsidR="00C171E7" w:rsidRPr="008240F8" w:rsidRDefault="00BE1383" w:rsidP="00C41D44">
      <w:pPr>
        <w:pStyle w:val="Texte1"/>
      </w:pPr>
      <w:r w:rsidRPr="008240F8">
        <w:t>Dans</w:t>
      </w:r>
      <w:r w:rsidR="00C171E7" w:rsidRPr="008240F8">
        <w:t xml:space="preserve"> la cérémonie </w:t>
      </w:r>
      <w:r w:rsidRPr="008240F8">
        <w:t>complète</w:t>
      </w:r>
      <w:r w:rsidR="00C171E7" w:rsidRPr="008240F8">
        <w:t xml:space="preserve">, </w:t>
      </w:r>
      <w:r w:rsidR="00961E9E" w:rsidRPr="008240F8">
        <w:t xml:space="preserve">il faut aller </w:t>
      </w:r>
      <w:r w:rsidR="00C171E7" w:rsidRPr="008240F8">
        <w:t>coup</w:t>
      </w:r>
      <w:r w:rsidR="00961E9E" w:rsidRPr="008240F8">
        <w:t>er des troncs d’arbre</w:t>
      </w:r>
      <w:r w:rsidR="00C171E7" w:rsidRPr="008240F8">
        <w:t>s dans la forêt</w:t>
      </w:r>
      <w:r w:rsidR="00E03F1C" w:rsidRPr="008240F8">
        <w:t xml:space="preserve"> pour </w:t>
      </w:r>
      <w:r w:rsidR="003C4DD4" w:rsidRPr="008240F8">
        <w:t>avoir</w:t>
      </w:r>
      <w:r w:rsidR="00E03F1C" w:rsidRPr="008240F8">
        <w:t xml:space="preserve"> les poteaux</w:t>
      </w:r>
      <w:r w:rsidR="00961E9E" w:rsidRPr="008240F8">
        <w:t xml:space="preserve"> </w:t>
      </w:r>
      <w:r w:rsidR="003C4DD4" w:rsidRPr="008240F8">
        <w:t xml:space="preserve">qui vont être </w:t>
      </w:r>
      <w:r w:rsidR="00961E9E" w:rsidRPr="008240F8">
        <w:t>prépar</w:t>
      </w:r>
      <w:r w:rsidR="003C4DD4" w:rsidRPr="008240F8">
        <w:t>és</w:t>
      </w:r>
      <w:r w:rsidR="00961E9E" w:rsidRPr="008240F8">
        <w:t xml:space="preserve"> </w:t>
      </w:r>
      <w:r w:rsidR="00C54C1C" w:rsidRPr="008240F8">
        <w:t>et</w:t>
      </w:r>
      <w:r w:rsidR="00E03F1C" w:rsidRPr="008240F8">
        <w:t xml:space="preserve"> </w:t>
      </w:r>
      <w:r w:rsidR="003C4DD4" w:rsidRPr="008240F8">
        <w:t>érigés</w:t>
      </w:r>
      <w:r w:rsidR="00C54C1C" w:rsidRPr="008240F8">
        <w:t xml:space="preserve"> </w:t>
      </w:r>
      <w:r w:rsidR="00961E9E" w:rsidRPr="008240F8">
        <w:t>selon les rites</w:t>
      </w:r>
      <w:r w:rsidR="00C54C1C" w:rsidRPr="008240F8">
        <w:t xml:space="preserve"> </w:t>
      </w:r>
      <w:r w:rsidR="00E03F1C" w:rsidRPr="008240F8">
        <w:t>afin d’</w:t>
      </w:r>
      <w:r w:rsidR="00C171E7" w:rsidRPr="008240F8">
        <w:t xml:space="preserve">établir </w:t>
      </w:r>
      <w:r w:rsidR="00E03F1C" w:rsidRPr="008240F8">
        <w:t>la</w:t>
      </w:r>
      <w:r w:rsidR="00C171E7" w:rsidRPr="008240F8">
        <w:t xml:space="preserve"> c</w:t>
      </w:r>
      <w:r w:rsidR="00E03F1C" w:rsidRPr="008240F8">
        <w:t>ommun</w:t>
      </w:r>
      <w:r w:rsidR="00C54C1C" w:rsidRPr="008240F8">
        <w:t xml:space="preserve">ion avec les dieux et </w:t>
      </w:r>
      <w:r w:rsidR="00C171E7" w:rsidRPr="008240F8">
        <w:t xml:space="preserve">assurer la fertilité de la terre. Malheureusement, </w:t>
      </w:r>
      <w:r w:rsidR="00C54C1C" w:rsidRPr="008240F8">
        <w:t>suite à</w:t>
      </w:r>
      <w:r w:rsidR="00C171E7" w:rsidRPr="008240F8">
        <w:t xml:space="preserve"> la déforestation, l</w:t>
      </w:r>
      <w:r w:rsidR="001F7A0A" w:rsidRPr="008240F8">
        <w:t>’</w:t>
      </w:r>
      <w:r w:rsidR="00C171E7" w:rsidRPr="008240F8">
        <w:t>es</w:t>
      </w:r>
      <w:r w:rsidR="00C54C1C" w:rsidRPr="008240F8">
        <w:t>pèc</w:t>
      </w:r>
      <w:r w:rsidR="00C171E7" w:rsidRPr="008240F8">
        <w:t>e d</w:t>
      </w:r>
      <w:r w:rsidR="001F7A0A" w:rsidRPr="008240F8">
        <w:t>’</w:t>
      </w:r>
      <w:r w:rsidR="00C171E7" w:rsidRPr="008240F8">
        <w:t xml:space="preserve">arbre </w:t>
      </w:r>
      <w:r w:rsidR="008C21E8" w:rsidRPr="008240F8">
        <w:t xml:space="preserve">auparavant très </w:t>
      </w:r>
      <w:r w:rsidR="00E03F1C" w:rsidRPr="008240F8">
        <w:t>recherch</w:t>
      </w:r>
      <w:r w:rsidR="008C21E8" w:rsidRPr="008240F8">
        <w:t>ée pour</w:t>
      </w:r>
      <w:r w:rsidR="00C54C1C" w:rsidRPr="008240F8">
        <w:t xml:space="preserve"> </w:t>
      </w:r>
      <w:r w:rsidR="008C21E8" w:rsidRPr="008240F8">
        <w:t>cet usage</w:t>
      </w:r>
      <w:r w:rsidR="00C54C1C" w:rsidRPr="008240F8">
        <w:t xml:space="preserve"> </w:t>
      </w:r>
      <w:r w:rsidR="00C171E7" w:rsidRPr="008240F8">
        <w:t>s</w:t>
      </w:r>
      <w:r w:rsidR="001F7A0A" w:rsidRPr="008240F8">
        <w:t>’</w:t>
      </w:r>
      <w:r w:rsidR="00C171E7" w:rsidRPr="008240F8">
        <w:t xml:space="preserve">est raréfiée </w:t>
      </w:r>
      <w:r w:rsidR="008C21E8" w:rsidRPr="008240F8">
        <w:t xml:space="preserve">à tel point qu’on </w:t>
      </w:r>
      <w:r w:rsidR="003C4DD4" w:rsidRPr="008240F8">
        <w:t>a installé</w:t>
      </w:r>
      <w:r w:rsidR="008C21E8" w:rsidRPr="008240F8">
        <w:t xml:space="preserve"> à la place </w:t>
      </w:r>
      <w:r w:rsidR="00C171E7" w:rsidRPr="008240F8">
        <w:t>des poteaux métalliques fixes. Cela fait perdre</w:t>
      </w:r>
      <w:r w:rsidR="008C21E8" w:rsidRPr="008240F8">
        <w:t xml:space="preserve"> à la cérémonie une partie de ses</w:t>
      </w:r>
      <w:r w:rsidR="00C171E7" w:rsidRPr="008240F8">
        <w:t xml:space="preserve"> dimension</w:t>
      </w:r>
      <w:r w:rsidR="008C21E8" w:rsidRPr="008240F8">
        <w:t>s</w:t>
      </w:r>
      <w:r w:rsidR="00C171E7" w:rsidRPr="008240F8">
        <w:t xml:space="preserve"> rituelle</w:t>
      </w:r>
      <w:r w:rsidR="008C21E8" w:rsidRPr="008240F8">
        <w:t>s</w:t>
      </w:r>
      <w:r w:rsidR="00C171E7" w:rsidRPr="008240F8">
        <w:t xml:space="preserve"> et </w:t>
      </w:r>
      <w:r w:rsidR="00990B9A" w:rsidRPr="008240F8">
        <w:t>en altère l</w:t>
      </w:r>
      <w:r w:rsidR="00C171E7" w:rsidRPr="008240F8">
        <w:t>a signification pour la communauté locale.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14</w:t>
      </w:r>
      <w:r w:rsidR="005876B5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>Menaces pour la viabilité (3)</w:t>
      </w:r>
    </w:p>
    <w:p w:rsidR="00C171E7" w:rsidRPr="008240F8" w:rsidRDefault="00C171E7" w:rsidP="00C41D44">
      <w:pPr>
        <w:pStyle w:val="Texte1"/>
      </w:pPr>
      <w:r w:rsidRPr="008240F8">
        <w:t>Les préparatifs rituels exécutés a</w:t>
      </w:r>
      <w:r w:rsidR="005C0F54" w:rsidRPr="008240F8">
        <w:t>vant la cérémonie garantissent s</w:t>
      </w:r>
      <w:r w:rsidRPr="008240F8">
        <w:t xml:space="preserve">es </w:t>
      </w:r>
      <w:r w:rsidR="005C0F54" w:rsidRPr="008240F8">
        <w:t>association</w:t>
      </w:r>
      <w:r w:rsidRPr="008240F8">
        <w:t>s spirituel</w:t>
      </w:r>
      <w:r w:rsidR="005C0F54" w:rsidRPr="008240F8">
        <w:t>le</w:t>
      </w:r>
      <w:r w:rsidRPr="008240F8">
        <w:t>s plus profond</w:t>
      </w:r>
      <w:r w:rsidR="005C0F54" w:rsidRPr="008240F8">
        <w:t>e</w:t>
      </w:r>
      <w:r w:rsidRPr="008240F8">
        <w:t xml:space="preserve">s pour la communauté concernée, </w:t>
      </w:r>
      <w:r w:rsidR="002401D3" w:rsidRPr="008240F8">
        <w:t xml:space="preserve">en </w:t>
      </w:r>
      <w:r w:rsidR="005C0F54" w:rsidRPr="008240F8">
        <w:t>créant des liens entre le monde naturel et</w:t>
      </w:r>
      <w:r w:rsidRPr="008240F8">
        <w:t xml:space="preserve"> surnaturel. En raison de la commercialisation de la cérémonie, l</w:t>
      </w:r>
      <w:r w:rsidR="001F7A0A" w:rsidRPr="008240F8">
        <w:t>’</w:t>
      </w:r>
      <w:r w:rsidRPr="008240F8">
        <w:t>observation de ces rituels disparaît peu à peu, notamment parmi les groupes « d</w:t>
      </w:r>
      <w:r w:rsidR="001F7A0A" w:rsidRPr="008240F8">
        <w:t>’</w:t>
      </w:r>
      <w:r w:rsidRPr="008240F8">
        <w:t>hommes volants » professionnels qui n</w:t>
      </w:r>
      <w:r w:rsidR="001F7A0A" w:rsidRPr="008240F8">
        <w:t>’</w:t>
      </w:r>
      <w:r w:rsidRPr="008240F8">
        <w:t xml:space="preserve">ont pas suivi la véritable formation des </w:t>
      </w:r>
      <w:proofErr w:type="spellStart"/>
      <w:r w:rsidRPr="008240F8">
        <w:rPr>
          <w:i/>
        </w:rPr>
        <w:t>Voladores</w:t>
      </w:r>
      <w:proofErr w:type="spellEnd"/>
      <w:r w:rsidRPr="008240F8">
        <w:t>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lastRenderedPageBreak/>
        <w:t>Diapositive 15</w:t>
      </w:r>
      <w:r w:rsidR="00751A76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 xml:space="preserve">Mesures de sauvegarde des </w:t>
      </w:r>
      <w:proofErr w:type="spellStart"/>
      <w:r w:rsidRPr="008240F8">
        <w:rPr>
          <w:i/>
          <w:lang w:val="fr-FR"/>
        </w:rPr>
        <w:t>Voladores</w:t>
      </w:r>
      <w:proofErr w:type="spellEnd"/>
    </w:p>
    <w:p w:rsidR="00C171E7" w:rsidRPr="008240F8" w:rsidRDefault="00C171E7" w:rsidP="00C41D44">
      <w:pPr>
        <w:pStyle w:val="Texte1"/>
      </w:pPr>
      <w:r w:rsidRPr="008240F8">
        <w:t>Comme dans toute</w:t>
      </w:r>
      <w:r w:rsidR="005C0F54" w:rsidRPr="008240F8">
        <w:t xml:space="preserve"> bonne stratégie de sauvegarde</w:t>
      </w:r>
      <w:r w:rsidRPr="008240F8">
        <w:t xml:space="preserve">, les communautés </w:t>
      </w:r>
      <w:proofErr w:type="spellStart"/>
      <w:r w:rsidRPr="008240F8">
        <w:t>totonaques</w:t>
      </w:r>
      <w:proofErr w:type="spellEnd"/>
      <w:r w:rsidRPr="008240F8">
        <w:t xml:space="preserve"> et les groupes de </w:t>
      </w:r>
      <w:proofErr w:type="spellStart"/>
      <w:r w:rsidRPr="008240F8">
        <w:rPr>
          <w:i/>
        </w:rPr>
        <w:t>Voladores</w:t>
      </w:r>
      <w:proofErr w:type="spellEnd"/>
      <w:r w:rsidRPr="008240F8">
        <w:t xml:space="preserve"> concernés </w:t>
      </w:r>
      <w:r w:rsidR="005C0F54" w:rsidRPr="008240F8">
        <w:t>jouent</w:t>
      </w:r>
      <w:r w:rsidRPr="008240F8">
        <w:t xml:space="preserve"> un rôle important </w:t>
      </w:r>
      <w:r w:rsidR="001C3DE5" w:rsidRPr="008240F8">
        <w:t>dans l’</w:t>
      </w:r>
      <w:r w:rsidRPr="008240F8">
        <w:t>élabora</w:t>
      </w:r>
      <w:r w:rsidR="001C3DE5" w:rsidRPr="008240F8">
        <w:t>tion</w:t>
      </w:r>
      <w:r w:rsidRPr="008240F8">
        <w:t xml:space="preserve"> et </w:t>
      </w:r>
      <w:r w:rsidR="001C3DE5" w:rsidRPr="008240F8">
        <w:t xml:space="preserve">la </w:t>
      </w:r>
      <w:r w:rsidRPr="008240F8">
        <w:t>m</w:t>
      </w:r>
      <w:r w:rsidR="001C3DE5" w:rsidRPr="008240F8">
        <w:t>ise</w:t>
      </w:r>
      <w:r w:rsidR="00D005AB" w:rsidRPr="008240F8">
        <w:t xml:space="preserve"> en œuvre de</w:t>
      </w:r>
      <w:r w:rsidRPr="008240F8">
        <w:t xml:space="preserve"> mesures de sauveg</w:t>
      </w:r>
      <w:r w:rsidR="00751A76" w:rsidRPr="008240F8">
        <w:t xml:space="preserve">arde </w:t>
      </w:r>
      <w:r w:rsidR="00D005AB" w:rsidRPr="008240F8">
        <w:t>visant à</w:t>
      </w:r>
      <w:r w:rsidR="001C3DE5" w:rsidRPr="008240F8">
        <w:t xml:space="preserve"> réduire</w:t>
      </w:r>
      <w:r w:rsidR="00751A76" w:rsidRPr="008240F8">
        <w:t xml:space="preserve"> l</w:t>
      </w:r>
      <w:r w:rsidRPr="008240F8">
        <w:t>es menaces. Des r</w:t>
      </w:r>
      <w:r w:rsidR="001C3DE5" w:rsidRPr="008240F8">
        <w:t>éunion</w:t>
      </w:r>
      <w:r w:rsidRPr="008240F8">
        <w:t xml:space="preserve">s de </w:t>
      </w:r>
      <w:proofErr w:type="spellStart"/>
      <w:r w:rsidRPr="008240F8">
        <w:rPr>
          <w:i/>
        </w:rPr>
        <w:t>Voladores</w:t>
      </w:r>
      <w:proofErr w:type="spellEnd"/>
      <w:r w:rsidRPr="008240F8">
        <w:t xml:space="preserve"> ont été organisées avec l</w:t>
      </w:r>
      <w:r w:rsidR="001F7A0A" w:rsidRPr="008240F8">
        <w:t>’</w:t>
      </w:r>
      <w:r w:rsidRPr="008240F8">
        <w:t>aide des autorités locales et d</w:t>
      </w:r>
      <w:r w:rsidR="001C3DE5" w:rsidRPr="008240F8">
        <w:t xml:space="preserve">es </w:t>
      </w:r>
      <w:r w:rsidRPr="008240F8">
        <w:t xml:space="preserve">ONG </w:t>
      </w:r>
      <w:r w:rsidR="001C3DE5" w:rsidRPr="008240F8">
        <w:t xml:space="preserve">afin </w:t>
      </w:r>
      <w:r w:rsidRPr="008240F8">
        <w:t>qu</w:t>
      </w:r>
      <w:r w:rsidR="001F7A0A" w:rsidRPr="008240F8">
        <w:t>’</w:t>
      </w:r>
      <w:r w:rsidR="00751A76" w:rsidRPr="008240F8">
        <w:t>ils puissent discuter de</w:t>
      </w:r>
      <w:r w:rsidRPr="008240F8">
        <w:t xml:space="preserve">s problèmes et formuler des stratégies durables pour y remédier. Les groupes de </w:t>
      </w:r>
      <w:proofErr w:type="spellStart"/>
      <w:r w:rsidRPr="008240F8">
        <w:rPr>
          <w:i/>
        </w:rPr>
        <w:t>Voladores</w:t>
      </w:r>
      <w:proofErr w:type="spellEnd"/>
      <w:r w:rsidRPr="008240F8">
        <w:t xml:space="preserve"> étaient parfaitement conscients de la nécessité de créer davantage d</w:t>
      </w:r>
      <w:r w:rsidR="001F7A0A" w:rsidRPr="008240F8">
        <w:t>’</w:t>
      </w:r>
      <w:r w:rsidRPr="008240F8">
        <w:t>occasions d</w:t>
      </w:r>
      <w:r w:rsidR="001F7A0A" w:rsidRPr="008240F8">
        <w:t>’</w:t>
      </w:r>
      <w:r w:rsidRPr="008240F8">
        <w:t xml:space="preserve">exécuter la cérémonie en entier, </w:t>
      </w:r>
      <w:r w:rsidR="001F1323" w:rsidRPr="008240F8">
        <w:t>sans oublier</w:t>
      </w:r>
      <w:r w:rsidRPr="008240F8">
        <w:t xml:space="preserve"> les préparatifs rituels nécessaires. Des écoles </w:t>
      </w:r>
      <w:r w:rsidR="001F1323" w:rsidRPr="008240F8">
        <w:t xml:space="preserve">ont été créées </w:t>
      </w:r>
      <w:r w:rsidRPr="008240F8">
        <w:t>pour</w:t>
      </w:r>
      <w:r w:rsidR="003D6C88" w:rsidRPr="008240F8">
        <w:t xml:space="preserve"> les</w:t>
      </w:r>
      <w:r w:rsidRPr="008240F8">
        <w:t xml:space="preserve"> enfant</w:t>
      </w:r>
      <w:r w:rsidR="00751A76" w:rsidRPr="008240F8">
        <w:t>s</w:t>
      </w:r>
      <w:r w:rsidR="002401D3" w:rsidRPr="008240F8">
        <w:t xml:space="preserve"> </w:t>
      </w:r>
      <w:proofErr w:type="spellStart"/>
      <w:r w:rsidR="00751A76" w:rsidRPr="008240F8">
        <w:rPr>
          <w:i/>
        </w:rPr>
        <w:t>V</w:t>
      </w:r>
      <w:r w:rsidR="003D6C88" w:rsidRPr="008240F8">
        <w:rPr>
          <w:i/>
        </w:rPr>
        <w:t>olador</w:t>
      </w:r>
      <w:r w:rsidR="001F1323" w:rsidRPr="008240F8">
        <w:rPr>
          <w:i/>
        </w:rPr>
        <w:t>es</w:t>
      </w:r>
      <w:proofErr w:type="spellEnd"/>
      <w:r w:rsidRPr="008240F8">
        <w:t xml:space="preserve"> pour enseigner toute la signification du rituel et promouvoir la transmission du savoir au sein des groupes de </w:t>
      </w:r>
      <w:proofErr w:type="spellStart"/>
      <w:r w:rsidRPr="008240F8">
        <w:rPr>
          <w:i/>
        </w:rPr>
        <w:t>Voladores</w:t>
      </w:r>
      <w:proofErr w:type="spellEnd"/>
      <w:r w:rsidRPr="008240F8">
        <w:t xml:space="preserve">. Pour </w:t>
      </w:r>
      <w:r w:rsidR="002A73C0" w:rsidRPr="008240F8">
        <w:t>assurer</w:t>
      </w:r>
      <w:r w:rsidRPr="008240F8">
        <w:t xml:space="preserve"> la disponibilité de poteaux en bois, le gouve</w:t>
      </w:r>
      <w:r w:rsidR="002A73C0" w:rsidRPr="008240F8">
        <w:t>rnement, en collaboration avec l</w:t>
      </w:r>
      <w:r w:rsidRPr="008240F8">
        <w:t xml:space="preserve">es communautés </w:t>
      </w:r>
      <w:r w:rsidR="002A73C0" w:rsidRPr="008240F8">
        <w:t xml:space="preserve">locales </w:t>
      </w:r>
      <w:r w:rsidRPr="008240F8">
        <w:t xml:space="preserve">de </w:t>
      </w:r>
      <w:proofErr w:type="spellStart"/>
      <w:r w:rsidRPr="008240F8">
        <w:rPr>
          <w:i/>
        </w:rPr>
        <w:t>Voladores</w:t>
      </w:r>
      <w:proofErr w:type="spellEnd"/>
      <w:r w:rsidRPr="008240F8">
        <w:t xml:space="preserve">, a </w:t>
      </w:r>
      <w:r w:rsidR="002A73C0" w:rsidRPr="008240F8">
        <w:t>établi</w:t>
      </w:r>
      <w:r w:rsidRPr="008240F8">
        <w:t xml:space="preserve"> des programmes de reforestation et a </w:t>
      </w:r>
      <w:r w:rsidR="002A73C0" w:rsidRPr="008240F8">
        <w:t>constitué</w:t>
      </w:r>
      <w:r w:rsidRPr="008240F8">
        <w:t xml:space="preserve"> de</w:t>
      </w:r>
      <w:r w:rsidR="002A73C0" w:rsidRPr="008240F8">
        <w:t>s</w:t>
      </w:r>
      <w:r w:rsidRPr="008240F8">
        <w:t xml:space="preserve"> réserves forestières dans certaines zones. Le projet de sauvegarde a bénéficié d</w:t>
      </w:r>
      <w:r w:rsidR="001F7A0A" w:rsidRPr="008240F8">
        <w:t>’</w:t>
      </w:r>
      <w:r w:rsidR="002A73C0" w:rsidRPr="008240F8">
        <w:t xml:space="preserve">un vigoureux soutien </w:t>
      </w:r>
      <w:r w:rsidRPr="008240F8">
        <w:t>des pouvoirs publics et d</w:t>
      </w:r>
      <w:r w:rsidR="002A73C0" w:rsidRPr="008240F8">
        <w:t xml:space="preserve">es </w:t>
      </w:r>
      <w:r w:rsidRPr="008240F8">
        <w:t>ONG.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16</w:t>
      </w:r>
      <w:r w:rsidR="00751A76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>Sauvegarde avec les communautés concernées</w:t>
      </w:r>
    </w:p>
    <w:p w:rsidR="00C171E7" w:rsidRPr="008240F8" w:rsidRDefault="00EE1A66" w:rsidP="00C41D44">
      <w:pPr>
        <w:pStyle w:val="Texte1"/>
      </w:pPr>
      <w:r w:rsidRPr="008240F8">
        <w:t>Le thème de la participation communautaire</w:t>
      </w:r>
      <w:r w:rsidR="00C171E7" w:rsidRPr="008240F8">
        <w:t xml:space="preserve"> </w:t>
      </w:r>
      <w:r w:rsidR="002A73C0" w:rsidRPr="008240F8">
        <w:t>est</w:t>
      </w:r>
      <w:r w:rsidR="00C171E7" w:rsidRPr="008240F8">
        <w:t xml:space="preserve"> </w:t>
      </w:r>
      <w:r w:rsidRPr="008240F8">
        <w:t>abord</w:t>
      </w:r>
      <w:r w:rsidR="00C171E7" w:rsidRPr="008240F8">
        <w:t xml:space="preserve">é dans </w:t>
      </w:r>
      <w:r w:rsidR="004B6278" w:rsidRPr="008240F8">
        <w:t>l</w:t>
      </w:r>
      <w:r w:rsidR="001F7A0A" w:rsidRPr="008240F8">
        <w:t>’</w:t>
      </w:r>
      <w:r w:rsidR="004B6278" w:rsidRPr="008240F8">
        <w:t>Unité 9.6 du Texte du participant</w:t>
      </w:r>
      <w:r w:rsidR="00C171E7" w:rsidRPr="008240F8">
        <w:t xml:space="preserve">, mais </w:t>
      </w:r>
      <w:r w:rsidRPr="008240F8">
        <w:t>la présent</w:t>
      </w:r>
      <w:r w:rsidR="00C171E7" w:rsidRPr="008240F8">
        <w:t>e diapositive in</w:t>
      </w:r>
      <w:r w:rsidRPr="008240F8">
        <w:t>tègre</w:t>
      </w:r>
      <w:r w:rsidR="00C171E7" w:rsidRPr="008240F8">
        <w:t xml:space="preserve"> l</w:t>
      </w:r>
      <w:r w:rsidR="001F7A0A" w:rsidRPr="008240F8">
        <w:t>’</w:t>
      </w:r>
      <w:r w:rsidR="00C171E7" w:rsidRPr="008240F8">
        <w:t>idée d</w:t>
      </w:r>
      <w:r w:rsidRPr="008240F8">
        <w:t>’</w:t>
      </w:r>
      <w:r w:rsidR="00C171E7" w:rsidRPr="008240F8">
        <w:t>impli</w:t>
      </w:r>
      <w:r w:rsidRPr="008240F8">
        <w:t>cation d</w:t>
      </w:r>
      <w:r w:rsidR="00C171E7" w:rsidRPr="008240F8">
        <w:t>e</w:t>
      </w:r>
      <w:r w:rsidRPr="008240F8">
        <w:t xml:space="preserve"> la communauté</w:t>
      </w:r>
      <w:r w:rsidR="00C171E7" w:rsidRPr="008240F8">
        <w:t xml:space="preserve"> dans le processus d</w:t>
      </w:r>
      <w:r w:rsidR="001F7A0A" w:rsidRPr="008240F8">
        <w:t>’</w:t>
      </w:r>
      <w:r w:rsidR="00C171E7" w:rsidRPr="008240F8">
        <w:t>élaboration de</w:t>
      </w:r>
      <w:r w:rsidRPr="008240F8">
        <w:t>s</w:t>
      </w:r>
      <w:r w:rsidR="00C171E7" w:rsidRPr="008240F8">
        <w:t xml:space="preserve"> mesures de sauvegarde</w:t>
      </w:r>
      <w:r w:rsidRPr="008240F8">
        <w:t>,</w:t>
      </w:r>
      <w:r w:rsidR="00C171E7" w:rsidRPr="008240F8">
        <w:t xml:space="preserve"> </w:t>
      </w:r>
      <w:r w:rsidR="00751A76" w:rsidRPr="008240F8">
        <w:t>c</w:t>
      </w:r>
      <w:r w:rsidRPr="008240F8">
        <w:t xml:space="preserve">e dont il est question </w:t>
      </w:r>
      <w:r w:rsidR="00C171E7" w:rsidRPr="008240F8">
        <w:t xml:space="preserve">dans </w:t>
      </w:r>
      <w:r w:rsidR="004B6278" w:rsidRPr="008240F8">
        <w:t>l</w:t>
      </w:r>
      <w:r w:rsidR="001F7A0A" w:rsidRPr="008240F8">
        <w:t>’</w:t>
      </w:r>
      <w:r w:rsidR="004B6278" w:rsidRPr="008240F8">
        <w:t>Unité 9.8 du Texte du participant</w:t>
      </w:r>
      <w:r w:rsidR="007F4369" w:rsidRPr="008240F8">
        <w:t>.</w:t>
      </w:r>
    </w:p>
    <w:p w:rsidR="00C171E7" w:rsidRPr="008240F8" w:rsidRDefault="00C171E7" w:rsidP="00C41D44">
      <w:pPr>
        <w:pStyle w:val="Soustitre"/>
      </w:pPr>
      <w:r w:rsidRPr="008240F8">
        <w:t>Remarque sur le lien entre identification, inventaire et sauvegarde</w:t>
      </w:r>
    </w:p>
    <w:p w:rsidR="00C171E7" w:rsidRPr="008240F8" w:rsidRDefault="00C171E7" w:rsidP="00C41D44">
      <w:pPr>
        <w:pStyle w:val="Texte1"/>
      </w:pPr>
      <w:r w:rsidRPr="008240F8">
        <w:t xml:space="preserve">Des mesures spécifiques, </w:t>
      </w:r>
      <w:r w:rsidR="00D52B8E" w:rsidRPr="008240F8">
        <w:t>prépar</w:t>
      </w:r>
      <w:r w:rsidRPr="008240F8">
        <w:t>ées avec une intervention extérieure dans le cadre de la mise en œuvre de la Convention, peuvent commencer par l</w:t>
      </w:r>
      <w:r w:rsidR="001F7A0A" w:rsidRPr="008240F8">
        <w:t>’</w:t>
      </w:r>
      <w:r w:rsidRPr="008240F8">
        <w:t>identification et la définition de l</w:t>
      </w:r>
      <w:r w:rsidR="001F7A0A" w:rsidRPr="008240F8">
        <w:t>’</w:t>
      </w:r>
      <w:r w:rsidRPr="008240F8">
        <w:t>élément ou des éléments concernés</w:t>
      </w:r>
      <w:r w:rsidR="00D52B8E" w:rsidRPr="008240F8">
        <w:t>. C</w:t>
      </w:r>
      <w:r w:rsidRPr="008240F8">
        <w:t>e</w:t>
      </w:r>
      <w:r w:rsidR="00D52B8E" w:rsidRPr="008240F8">
        <w:t>la</w:t>
      </w:r>
      <w:r w:rsidRPr="008240F8">
        <w:t xml:space="preserve"> doit </w:t>
      </w:r>
      <w:r w:rsidR="00D52B8E" w:rsidRPr="008240F8">
        <w:t>se faire</w:t>
      </w:r>
      <w:r w:rsidRPr="008240F8">
        <w:t xml:space="preserve"> dans le respect de l</w:t>
      </w:r>
      <w:r w:rsidR="001F7A0A" w:rsidRPr="008240F8">
        <w:t>’</w:t>
      </w:r>
      <w:r w:rsidRPr="008240F8">
        <w:t>article 11 (b) de la Convention, c</w:t>
      </w:r>
      <w:r w:rsidR="001F7A0A" w:rsidRPr="008240F8">
        <w:t>’</w:t>
      </w:r>
      <w:r w:rsidRPr="008240F8">
        <w:t>est-à-dire avec la participation de</w:t>
      </w:r>
      <w:r w:rsidR="00D52B8E" w:rsidRPr="008240F8">
        <w:t xml:space="preserve"> la communauté concernée</w:t>
      </w:r>
      <w:r w:rsidRPr="008240F8">
        <w:t xml:space="preserve">. </w:t>
      </w:r>
      <w:r w:rsidR="00D52B8E" w:rsidRPr="008240F8">
        <w:t>L</w:t>
      </w:r>
      <w:r w:rsidRPr="008240F8">
        <w:t>es informations recueillies peuvent être utilisées</w:t>
      </w:r>
      <w:r w:rsidR="00D52B8E" w:rsidRPr="008240F8">
        <w:t xml:space="preserve"> en partie</w:t>
      </w:r>
      <w:r w:rsidRPr="008240F8">
        <w:t xml:space="preserve"> pour rédiger ou mettre à jour une entrée dans un inventaire du PCI.</w:t>
      </w:r>
    </w:p>
    <w:p w:rsidR="00C171E7" w:rsidRPr="008240F8" w:rsidRDefault="00C171E7" w:rsidP="003D2106">
      <w:pPr>
        <w:pStyle w:val="Heading6"/>
        <w:rPr>
          <w:lang w:val="fr-FR"/>
        </w:rPr>
      </w:pPr>
      <w:r w:rsidRPr="008240F8">
        <w:rPr>
          <w:lang w:val="fr-FR"/>
        </w:rPr>
        <w:t>Diapositive 17</w:t>
      </w:r>
      <w:r w:rsidR="00751A76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 xml:space="preserve"> Plans de sauvegarde</w:t>
      </w:r>
    </w:p>
    <w:p w:rsidR="00C171E7" w:rsidRPr="008240F8" w:rsidRDefault="00C171E7" w:rsidP="00C41D44">
      <w:pPr>
        <w:pStyle w:val="Texte1"/>
      </w:pPr>
      <w:r w:rsidRPr="008240F8">
        <w:t xml:space="preserve">Le lien entre mesures et plans de sauvegarde est examiné dans </w:t>
      </w:r>
      <w:r w:rsidR="007F4369" w:rsidRPr="008240F8">
        <w:t>l</w:t>
      </w:r>
      <w:r w:rsidR="001F7A0A" w:rsidRPr="008240F8">
        <w:t>’</w:t>
      </w:r>
      <w:r w:rsidR="007F4369" w:rsidRPr="008240F8">
        <w:t>Unité 9.7 du Texte du participant.</w:t>
      </w:r>
    </w:p>
    <w:p w:rsidR="00C171E7" w:rsidRPr="008240F8" w:rsidRDefault="00A32F0F" w:rsidP="00C41D44">
      <w:pPr>
        <w:pStyle w:val="Texte1"/>
      </w:pPr>
      <w:r w:rsidRPr="008240F8">
        <w:t xml:space="preserve">Pour trouver un </w:t>
      </w:r>
      <w:r w:rsidR="00C171E7" w:rsidRPr="008240F8">
        <w:t xml:space="preserve">exemple de plan concret, les participants peuvent </w:t>
      </w:r>
      <w:r w:rsidRPr="008240F8">
        <w:t>se référer</w:t>
      </w:r>
      <w:r w:rsidR="00C171E7" w:rsidRPr="008240F8">
        <w:t xml:space="preserve"> au plan de sauvegarde fictif du </w:t>
      </w:r>
      <w:proofErr w:type="spellStart"/>
      <w:r w:rsidR="00A805C0" w:rsidRPr="008240F8">
        <w:rPr>
          <w:i/>
        </w:rPr>
        <w:t>f</w:t>
      </w:r>
      <w:r w:rsidR="00C171E7" w:rsidRPr="008240F8">
        <w:rPr>
          <w:i/>
        </w:rPr>
        <w:t>onabal</w:t>
      </w:r>
      <w:proofErr w:type="spellEnd"/>
      <w:r w:rsidR="00C171E7" w:rsidRPr="008240F8">
        <w:t xml:space="preserve"> qui</w:t>
      </w:r>
      <w:r w:rsidRPr="008240F8">
        <w:t xml:space="preserve"> figure dans la simulation de</w:t>
      </w:r>
      <w:r w:rsidR="0068476D" w:rsidRPr="008240F8">
        <w:t xml:space="preserve"> candidature</w:t>
      </w:r>
      <w:r w:rsidR="00C171E7" w:rsidRPr="008240F8">
        <w:t xml:space="preserve"> finale du </w:t>
      </w:r>
      <w:proofErr w:type="spellStart"/>
      <w:r w:rsidR="00A805C0" w:rsidRPr="008240F8">
        <w:rPr>
          <w:i/>
        </w:rPr>
        <w:t>f</w:t>
      </w:r>
      <w:r w:rsidR="00C171E7" w:rsidRPr="008240F8">
        <w:rPr>
          <w:i/>
        </w:rPr>
        <w:t>onabal</w:t>
      </w:r>
      <w:proofErr w:type="spellEnd"/>
      <w:r w:rsidR="00C171E7" w:rsidRPr="008240F8">
        <w:t xml:space="preserve"> utilisée </w:t>
      </w:r>
      <w:r w:rsidRPr="008240F8">
        <w:t>en</w:t>
      </w:r>
      <w:r w:rsidR="00C171E7" w:rsidRPr="008240F8">
        <w:t xml:space="preserve"> exemple</w:t>
      </w:r>
      <w:r w:rsidR="0068476D" w:rsidRPr="008240F8">
        <w:t xml:space="preserve"> dans l’Unité 42</w:t>
      </w:r>
      <w:r w:rsidR="00C171E7" w:rsidRPr="008240F8">
        <w:t xml:space="preserve">. </w:t>
      </w:r>
      <w:r w:rsidRPr="008240F8">
        <w:t>U</w:t>
      </w:r>
      <w:r w:rsidR="00C171E7" w:rsidRPr="008240F8">
        <w:t>ne brève description de l</w:t>
      </w:r>
      <w:r w:rsidR="001F7A0A" w:rsidRPr="008240F8">
        <w:t>’</w:t>
      </w:r>
      <w:r w:rsidR="0068476D" w:rsidRPr="008240F8">
        <w:t>élément</w:t>
      </w:r>
      <w:r w:rsidRPr="008240F8">
        <w:rPr>
          <w:color w:val="000000" w:themeColor="text1"/>
        </w:rPr>
        <w:t xml:space="preserve"> </w:t>
      </w:r>
      <w:r w:rsidR="00B23BD3" w:rsidRPr="008240F8">
        <w:rPr>
          <w:color w:val="000000" w:themeColor="text1"/>
        </w:rPr>
        <w:t xml:space="preserve">est présentée </w:t>
      </w:r>
      <w:r w:rsidRPr="008240F8">
        <w:rPr>
          <w:color w:val="000000" w:themeColor="text1"/>
        </w:rPr>
        <w:t>ci-dessous</w:t>
      </w:r>
      <w:r w:rsidR="0068476D" w:rsidRPr="008240F8">
        <w:t>, suivie du T</w:t>
      </w:r>
      <w:r w:rsidR="00B23BD3" w:rsidRPr="008240F8">
        <w:t>ableau 1</w:t>
      </w:r>
      <w:r w:rsidR="00C171E7" w:rsidRPr="008240F8">
        <w:t xml:space="preserve"> qui montre des parties du plan de sauvegarde :</w:t>
      </w:r>
    </w:p>
    <w:p w:rsidR="0085764F" w:rsidRPr="008240F8" w:rsidRDefault="00C171E7" w:rsidP="00283DB3">
      <w:pPr>
        <w:pStyle w:val="citation"/>
        <w:ind w:left="851" w:right="0"/>
      </w:pPr>
      <w:r w:rsidRPr="008240F8">
        <w:t xml:space="preserve">La musique du </w:t>
      </w:r>
      <w:proofErr w:type="spellStart"/>
      <w:r w:rsidRPr="008240F8">
        <w:rPr>
          <w:i/>
        </w:rPr>
        <w:t>fonabal</w:t>
      </w:r>
      <w:proofErr w:type="spellEnd"/>
      <w:r w:rsidRPr="008240F8">
        <w:t xml:space="preserve"> (xylopho</w:t>
      </w:r>
      <w:r w:rsidR="00A805C0" w:rsidRPr="008240F8">
        <w:t>ne) accompagne les chants et</w:t>
      </w:r>
      <w:r w:rsidRPr="008240F8">
        <w:t xml:space="preserve"> </w:t>
      </w:r>
      <w:r w:rsidR="00A805C0" w:rsidRPr="008240F8">
        <w:t xml:space="preserve">les </w:t>
      </w:r>
      <w:r w:rsidRPr="008240F8">
        <w:t>danses de plusieurs rituels et fêtes de la</w:t>
      </w:r>
      <w:r w:rsidR="00A805C0" w:rsidRPr="008240F8">
        <w:t xml:space="preserve"> population afro-hispanique des</w:t>
      </w:r>
      <w:r w:rsidRPr="008240F8">
        <w:t xml:space="preserve"> côt</w:t>
      </w:r>
      <w:r w:rsidR="00A805C0" w:rsidRPr="008240F8">
        <w:t>es</w:t>
      </w:r>
      <w:r w:rsidRPr="008240F8">
        <w:t xml:space="preserve"> méridionale</w:t>
      </w:r>
      <w:r w:rsidR="00A805C0" w:rsidRPr="008240F8">
        <w:t>s</w:t>
      </w:r>
      <w:r w:rsidRPr="008240F8">
        <w:t xml:space="preserve"> du </w:t>
      </w:r>
      <w:r w:rsidR="00A805C0" w:rsidRPr="008240F8">
        <w:t>P</w:t>
      </w:r>
      <w:r w:rsidR="00BB176D" w:rsidRPr="008240F8">
        <w:t>ays </w:t>
      </w:r>
      <w:r w:rsidRPr="008240F8">
        <w:t xml:space="preserve">F. Les chants mêlent des paroles en espagnol à des complaintes africaines, souvenir de </w:t>
      </w:r>
      <w:r w:rsidRPr="008240F8">
        <w:lastRenderedPageBreak/>
        <w:t>l</w:t>
      </w:r>
      <w:r w:rsidR="001F7A0A" w:rsidRPr="008240F8">
        <w:t>’</w:t>
      </w:r>
      <w:r w:rsidR="00A805C0" w:rsidRPr="008240F8">
        <w:t xml:space="preserve">ascendance de la </w:t>
      </w:r>
      <w:r w:rsidRPr="008240F8">
        <w:t>communauté</w:t>
      </w:r>
      <w:r w:rsidR="00A805C0" w:rsidRPr="008240F8">
        <w:t xml:space="preserve"> afro-hispanique issue de l’esclavage</w:t>
      </w:r>
      <w:r w:rsidRPr="008240F8">
        <w:t xml:space="preserve">. La musique et les chants </w:t>
      </w:r>
      <w:proofErr w:type="spellStart"/>
      <w:r w:rsidRPr="008240F8">
        <w:rPr>
          <w:i/>
        </w:rPr>
        <w:t>fonabal</w:t>
      </w:r>
      <w:proofErr w:type="spellEnd"/>
      <w:r w:rsidRPr="008240F8">
        <w:t xml:space="preserve"> sont interprétés dans quatre grand</w:t>
      </w:r>
      <w:r w:rsidR="00A805C0" w:rsidRPr="008240F8">
        <w:t>s contextes traditionnels : le Culte des Saints, la D</w:t>
      </w:r>
      <w:r w:rsidRPr="008240F8">
        <w:t xml:space="preserve">anse </w:t>
      </w:r>
      <w:proofErr w:type="spellStart"/>
      <w:r w:rsidR="00A805C0" w:rsidRPr="008240F8">
        <w:rPr>
          <w:i/>
        </w:rPr>
        <w:t>F</w:t>
      </w:r>
      <w:r w:rsidRPr="008240F8">
        <w:rPr>
          <w:i/>
        </w:rPr>
        <w:t>onabal</w:t>
      </w:r>
      <w:proofErr w:type="spellEnd"/>
      <w:r w:rsidR="00A805C0" w:rsidRPr="008240F8">
        <w:t>, la V</w:t>
      </w:r>
      <w:r w:rsidRPr="008240F8">
        <w:t>eillée funèbre d</w:t>
      </w:r>
      <w:r w:rsidR="001F7A0A" w:rsidRPr="008240F8">
        <w:t>’</w:t>
      </w:r>
      <w:r w:rsidR="00A805C0" w:rsidRPr="008240F8">
        <w:t>un enfant et la V</w:t>
      </w:r>
      <w:r w:rsidRPr="008240F8">
        <w:t>eillée funèbre d</w:t>
      </w:r>
      <w:r w:rsidR="001F7A0A" w:rsidRPr="008240F8">
        <w:t>’</w:t>
      </w:r>
      <w:r w:rsidRPr="008240F8">
        <w:t>un adulte (</w:t>
      </w:r>
      <w:r w:rsidR="007C62C5" w:rsidRPr="008240F8">
        <w:t>obsèque</w:t>
      </w:r>
      <w:r w:rsidRPr="008240F8">
        <w:t xml:space="preserve">s). Chacun de ces contextes est associé à des expressions musicales spécifiques. La musique est jouée sur des </w:t>
      </w:r>
      <w:proofErr w:type="spellStart"/>
      <w:r w:rsidRPr="008240F8">
        <w:rPr>
          <w:i/>
        </w:rPr>
        <w:t>fonabals</w:t>
      </w:r>
      <w:proofErr w:type="spellEnd"/>
      <w:r w:rsidRPr="008240F8">
        <w:t xml:space="preserve">, ses rythmes sont </w:t>
      </w:r>
      <w:r w:rsidR="00A805C0" w:rsidRPr="008240F8">
        <w:t>accentués par des claquements de mains, des tambours et d</w:t>
      </w:r>
      <w:r w:rsidRPr="008240F8">
        <w:t xml:space="preserve">es crécelles africaines. </w:t>
      </w:r>
      <w:r w:rsidR="00A805C0" w:rsidRPr="008240F8">
        <w:t xml:space="preserve">Aujourd’hui, </w:t>
      </w:r>
      <w:r w:rsidR="002E725D" w:rsidRPr="008240F8">
        <w:t>bon nombre de</w:t>
      </w:r>
      <w:r w:rsidR="00A805C0" w:rsidRPr="008240F8">
        <w:t xml:space="preserve"> jeunes afro-hispaniques migrent</w:t>
      </w:r>
      <w:r w:rsidRPr="008240F8">
        <w:t xml:space="preserve"> vers les villes pour </w:t>
      </w:r>
      <w:r w:rsidR="007C62C5" w:rsidRPr="008240F8">
        <w:t xml:space="preserve">y </w:t>
      </w:r>
      <w:r w:rsidR="002E725D" w:rsidRPr="008240F8">
        <w:t xml:space="preserve">faire des </w:t>
      </w:r>
      <w:r w:rsidRPr="008240F8">
        <w:t>étud</w:t>
      </w:r>
      <w:r w:rsidR="002E725D" w:rsidRPr="008240F8">
        <w:t>es et travailler</w:t>
      </w:r>
      <w:r w:rsidR="000330AD" w:rsidRPr="008240F8">
        <w:t xml:space="preserve"> ou </w:t>
      </w:r>
      <w:r w:rsidR="002E725D" w:rsidRPr="008240F8">
        <w:t>échapper aux</w:t>
      </w:r>
      <w:r w:rsidRPr="008240F8">
        <w:t xml:space="preserve"> conflits dans les </w:t>
      </w:r>
      <w:r w:rsidR="002E725D" w:rsidRPr="008240F8">
        <w:t>zone</w:t>
      </w:r>
      <w:r w:rsidRPr="008240F8">
        <w:t>s rurales, rompant ainsi souvent les liens étroits qu</w:t>
      </w:r>
      <w:r w:rsidR="001F7A0A" w:rsidRPr="008240F8">
        <w:t>’</w:t>
      </w:r>
      <w:r w:rsidRPr="008240F8">
        <w:t xml:space="preserve">ils </w:t>
      </w:r>
      <w:r w:rsidR="000330AD" w:rsidRPr="008240F8">
        <w:t>entretena</w:t>
      </w:r>
      <w:r w:rsidRPr="008240F8">
        <w:t xml:space="preserve">ient avec leur famille et leurs traditions. La plupart des </w:t>
      </w:r>
      <w:r w:rsidRPr="008240F8">
        <w:rPr>
          <w:i/>
        </w:rPr>
        <w:t>maestros</w:t>
      </w:r>
      <w:r w:rsidRPr="008240F8">
        <w:t xml:space="preserve"> qui menaient les chants et les danses lors des rituels et des fêtes sont restés dans les </w:t>
      </w:r>
      <w:r w:rsidR="0085764F" w:rsidRPr="008240F8">
        <w:t>zone</w:t>
      </w:r>
      <w:r w:rsidRPr="008240F8">
        <w:t xml:space="preserve">s rurales. </w:t>
      </w:r>
      <w:r w:rsidR="0085764F" w:rsidRPr="008240F8">
        <w:t>Ainsi donc, l</w:t>
      </w:r>
      <w:r w:rsidRPr="008240F8">
        <w:t xml:space="preserve">a musique et les rituels associés au </w:t>
      </w:r>
      <w:proofErr w:type="spellStart"/>
      <w:r w:rsidRPr="008240F8">
        <w:rPr>
          <w:i/>
        </w:rPr>
        <w:t>fonabal</w:t>
      </w:r>
      <w:proofErr w:type="spellEnd"/>
      <w:r w:rsidRPr="008240F8">
        <w:t xml:space="preserve"> </w:t>
      </w:r>
      <w:r w:rsidR="0085764F" w:rsidRPr="008240F8">
        <w:t>sont</w:t>
      </w:r>
      <w:r w:rsidRPr="008240F8">
        <w:t xml:space="preserve"> moins souvent pratiqués dans les villes</w:t>
      </w:r>
      <w:r w:rsidR="0085764F" w:rsidRPr="008240F8">
        <w:t xml:space="preserve"> si bien que l’</w:t>
      </w:r>
      <w:r w:rsidRPr="008240F8">
        <w:t>élément nécessite une sauvegarde urgente.</w:t>
      </w:r>
    </w:p>
    <w:p w:rsidR="00F66A10" w:rsidRPr="008240F8" w:rsidRDefault="0085764F" w:rsidP="000D53BD">
      <w:pPr>
        <w:widowControl/>
        <w:tabs>
          <w:tab w:val="clear" w:pos="567"/>
        </w:tabs>
        <w:snapToGrid/>
        <w:spacing w:after="0" w:line="240" w:lineRule="auto"/>
        <w:jc w:val="left"/>
      </w:pPr>
      <w:r w:rsidRPr="008240F8">
        <w:br w:type="page"/>
      </w:r>
    </w:p>
    <w:p w:rsidR="00C171E7" w:rsidRPr="008240F8" w:rsidRDefault="00C171E7" w:rsidP="00C41D44">
      <w:pPr>
        <w:pStyle w:val="Soustitre"/>
      </w:pPr>
      <w:bookmarkStart w:id="9" w:name="_Toc319060168"/>
      <w:r w:rsidRPr="008240F8">
        <w:lastRenderedPageBreak/>
        <w:t xml:space="preserve">Tableau 1. Plan de sauvegarde fictif </w:t>
      </w:r>
      <w:r w:rsidR="000D53BD" w:rsidRPr="008240F8">
        <w:t>de</w:t>
      </w:r>
      <w:r w:rsidRPr="008240F8">
        <w:t xml:space="preserve"> la musique </w:t>
      </w:r>
      <w:proofErr w:type="spellStart"/>
      <w:r w:rsidRPr="008240F8">
        <w:rPr>
          <w:i w:val="0"/>
        </w:rPr>
        <w:t>fonabal</w:t>
      </w:r>
      <w:bookmarkEnd w:id="9"/>
      <w:proofErr w:type="spellEnd"/>
    </w:p>
    <w:tbl>
      <w:tblPr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701"/>
        <w:gridCol w:w="1134"/>
        <w:gridCol w:w="1814"/>
        <w:gridCol w:w="2268"/>
      </w:tblGrid>
      <w:tr w:rsidR="00C171E7" w:rsidRPr="008240F8">
        <w:trPr>
          <w:cantSplit/>
          <w:tblHeader/>
        </w:trPr>
        <w:tc>
          <w:tcPr>
            <w:tcW w:w="1928" w:type="dxa"/>
            <w:tcBorders>
              <w:bottom w:val="single" w:sz="4" w:space="0" w:color="000000"/>
            </w:tcBorders>
            <w:shd w:val="clear" w:color="auto" w:fill="BAD0EE"/>
            <w:vAlign w:val="center"/>
          </w:tcPr>
          <w:p w:rsidR="00C171E7" w:rsidRPr="008240F8" w:rsidRDefault="00C171E7" w:rsidP="00A8141C">
            <w:pPr>
              <w:pStyle w:val="Tetierejourne"/>
              <w:rPr>
                <w:rFonts w:hint="eastAsia"/>
                <w:caps/>
                <w:snapToGrid w:val="0"/>
                <w:color w:val="17365D"/>
              </w:rPr>
            </w:pPr>
            <w:r w:rsidRPr="008240F8">
              <w:rPr>
                <w:sz w:val="18"/>
                <w:szCs w:val="18"/>
              </w:rPr>
              <w:t>Activité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BAD0EE"/>
            <w:vAlign w:val="center"/>
          </w:tcPr>
          <w:p w:rsidR="00C171E7" w:rsidRPr="008240F8" w:rsidRDefault="00C171E7" w:rsidP="00A8141C">
            <w:pPr>
              <w:pStyle w:val="Tetierejourne"/>
              <w:rPr>
                <w:rFonts w:hint="eastAsia"/>
                <w:caps/>
                <w:snapToGrid w:val="0"/>
                <w:color w:val="17365D"/>
              </w:rPr>
            </w:pPr>
            <w:r w:rsidRPr="008240F8">
              <w:rPr>
                <w:sz w:val="18"/>
                <w:szCs w:val="18"/>
              </w:rPr>
              <w:t>Parties prenantes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BAD0EE"/>
            <w:vAlign w:val="center"/>
          </w:tcPr>
          <w:p w:rsidR="00C171E7" w:rsidRPr="008240F8" w:rsidRDefault="00C171E7" w:rsidP="00A8141C">
            <w:pPr>
              <w:pStyle w:val="Tetierejourne"/>
              <w:rPr>
                <w:rFonts w:hint="eastAsia"/>
                <w:caps/>
                <w:snapToGrid w:val="0"/>
                <w:color w:val="17365D"/>
              </w:rPr>
            </w:pPr>
            <w:r w:rsidRPr="008240F8">
              <w:rPr>
                <w:sz w:val="18"/>
                <w:szCs w:val="18"/>
              </w:rPr>
              <w:t>Calendrier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BAD0EE"/>
            <w:vAlign w:val="center"/>
          </w:tcPr>
          <w:p w:rsidR="00C171E7" w:rsidRPr="008240F8" w:rsidRDefault="00C171E7" w:rsidP="00F73397">
            <w:pPr>
              <w:pStyle w:val="Tetierejourne"/>
              <w:rPr>
                <w:rFonts w:hint="eastAsia"/>
                <w:caps/>
                <w:snapToGrid w:val="0"/>
                <w:color w:val="17365D"/>
              </w:rPr>
            </w:pPr>
            <w:r w:rsidRPr="008240F8">
              <w:rPr>
                <w:sz w:val="18"/>
                <w:szCs w:val="18"/>
              </w:rPr>
              <w:t>Coûts/</w:t>
            </w:r>
            <w:r w:rsidR="00E102E0" w:rsidRPr="008240F8">
              <w:rPr>
                <w:sz w:val="18"/>
                <w:szCs w:val="18"/>
              </w:rPr>
              <w:t>besoins</w:t>
            </w:r>
            <w:r w:rsidR="00E102E0" w:rsidRPr="008240F8">
              <w:rPr>
                <w:sz w:val="18"/>
                <w:szCs w:val="18"/>
              </w:rPr>
              <w:br/>
            </w:r>
            <w:r w:rsidRPr="008240F8">
              <w:rPr>
                <w:sz w:val="18"/>
                <w:szCs w:val="18"/>
              </w:rPr>
              <w:t xml:space="preserve">(en dollars </w:t>
            </w:r>
            <w:r w:rsidR="00F73397" w:rsidRPr="008240F8">
              <w:rPr>
                <w:sz w:val="18"/>
                <w:szCs w:val="18"/>
              </w:rPr>
              <w:t>EU</w:t>
            </w:r>
            <w:r w:rsidRPr="008240F8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BAD0EE"/>
            <w:vAlign w:val="center"/>
          </w:tcPr>
          <w:p w:rsidR="00C171E7" w:rsidRPr="008240F8" w:rsidRDefault="00C171E7" w:rsidP="00A8141C">
            <w:pPr>
              <w:pStyle w:val="Tetierejourne"/>
              <w:rPr>
                <w:rFonts w:hint="eastAsia"/>
                <w:caps/>
                <w:snapToGrid w:val="0"/>
                <w:color w:val="17365D"/>
              </w:rPr>
            </w:pPr>
            <w:r w:rsidRPr="008240F8">
              <w:rPr>
                <w:sz w:val="18"/>
                <w:szCs w:val="18"/>
              </w:rPr>
              <w:t>Résultats escomptés</w:t>
            </w:r>
          </w:p>
        </w:tc>
      </w:tr>
      <w:tr w:rsidR="00C171E7" w:rsidRPr="008240F8">
        <w:trPr>
          <w:cantSplit/>
        </w:trPr>
        <w:tc>
          <w:tcPr>
            <w:tcW w:w="1928" w:type="dxa"/>
            <w:tcBorders>
              <w:bottom w:val="single" w:sz="4" w:space="0" w:color="000000"/>
            </w:tcBorders>
          </w:tcPr>
          <w:p w:rsidR="00C171E7" w:rsidRPr="008240F8" w:rsidRDefault="00C171E7" w:rsidP="00C41D44">
            <w:pPr>
              <w:pStyle w:val="Txtjourne"/>
            </w:pPr>
            <w:r w:rsidRPr="008240F8">
              <w:t xml:space="preserve">1. Coordination entre les parties prenantes </w:t>
            </w:r>
            <w:r w:rsidR="000D53BD" w:rsidRPr="008240F8">
              <w:t>afin de</w:t>
            </w:r>
            <w:r w:rsidRPr="008240F8">
              <w:t xml:space="preserve"> promouvoir l</w:t>
            </w:r>
            <w:r w:rsidR="001F7A0A" w:rsidRPr="008240F8">
              <w:t>’</w:t>
            </w:r>
            <w:r w:rsidRPr="008240F8">
              <w:t xml:space="preserve">élément et </w:t>
            </w:r>
            <w:r w:rsidR="000D53BD" w:rsidRPr="008240F8">
              <w:t>d’élever son statut</w:t>
            </w:r>
            <w:r w:rsidRPr="008240F8">
              <w:t xml:space="preserve"> </w:t>
            </w:r>
            <w:r w:rsidR="000D53BD" w:rsidRPr="008240F8">
              <w:t>aux niveaux</w:t>
            </w:r>
            <w:r w:rsidRPr="008240F8">
              <w:t xml:space="preserve"> local, national</w:t>
            </w:r>
            <w:r w:rsidR="003C0167" w:rsidRPr="008240F8">
              <w:t xml:space="preserve"> </w:t>
            </w:r>
            <w:r w:rsidRPr="008240F8">
              <w:t xml:space="preserve"> et international</w:t>
            </w:r>
          </w:p>
          <w:p w:rsidR="00C171E7" w:rsidRPr="008240F8" w:rsidRDefault="007C62C5" w:rsidP="007C62C5">
            <w:pPr>
              <w:pStyle w:val="Txtjourne"/>
            </w:pPr>
            <w:r w:rsidRPr="008240F8">
              <w:t>2. Autoriser l</w:t>
            </w:r>
            <w:r w:rsidR="0049788C" w:rsidRPr="008240F8">
              <w:t>a tenue de</w:t>
            </w:r>
            <w:r w:rsidR="00C171E7" w:rsidRPr="008240F8">
              <w:t xml:space="preserve"> cérémonies </w:t>
            </w:r>
            <w:proofErr w:type="spellStart"/>
            <w:r w:rsidR="00C171E7" w:rsidRPr="008240F8">
              <w:rPr>
                <w:i/>
              </w:rPr>
              <w:t>fonabal</w:t>
            </w:r>
            <w:proofErr w:type="spellEnd"/>
            <w:r w:rsidR="00C171E7" w:rsidRPr="008240F8">
              <w:t xml:space="preserve"> </w:t>
            </w:r>
            <w:r w:rsidRPr="008240F8">
              <w:t xml:space="preserve">aux </w:t>
            </w:r>
            <w:r w:rsidR="00C171E7" w:rsidRPr="008240F8">
              <w:t>côté</w:t>
            </w:r>
            <w:r w:rsidRPr="008240F8">
              <w:t>s</w:t>
            </w:r>
            <w:r w:rsidR="00C171E7" w:rsidRPr="008240F8">
              <w:t xml:space="preserve"> des installations funéraires publiques pour l</w:t>
            </w:r>
            <w:r w:rsidRPr="008240F8">
              <w:t>a population a</w:t>
            </w:r>
            <w:r w:rsidR="00C171E7" w:rsidRPr="008240F8">
              <w:t>fro-hispanique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171E7" w:rsidRPr="008240F8" w:rsidRDefault="00C171E7" w:rsidP="00C41D44">
            <w:pPr>
              <w:pStyle w:val="Txtjourne"/>
            </w:pPr>
            <w:proofErr w:type="spellStart"/>
            <w:r w:rsidRPr="008240F8">
              <w:rPr>
                <w:i/>
              </w:rPr>
              <w:t>Fonabal</w:t>
            </w:r>
            <w:proofErr w:type="spellEnd"/>
            <w:r w:rsidRPr="008240F8">
              <w:t xml:space="preserve"> </w:t>
            </w:r>
            <w:r w:rsidRPr="008240F8">
              <w:rPr>
                <w:i/>
              </w:rPr>
              <w:t>First</w:t>
            </w:r>
            <w:r w:rsidR="000D53BD" w:rsidRPr="008240F8">
              <w:t xml:space="preserve"> (</w:t>
            </w:r>
            <w:r w:rsidRPr="008240F8">
              <w:t>ONG locale)</w:t>
            </w:r>
          </w:p>
          <w:p w:rsidR="00C171E7" w:rsidRPr="008240F8" w:rsidRDefault="00C171E7" w:rsidP="00C41D44">
            <w:pPr>
              <w:pStyle w:val="Txtjourne"/>
            </w:pPr>
            <w:r w:rsidRPr="008240F8">
              <w:t>Musiciens, chanteurs, communautés, chercheurs et gouvernement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171E7" w:rsidRPr="008240F8" w:rsidRDefault="00C171E7" w:rsidP="00C41D44">
            <w:pPr>
              <w:pStyle w:val="Txtjourne"/>
            </w:pPr>
            <w:r w:rsidRPr="008240F8">
              <w:t>2011-2014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</w:tcPr>
          <w:p w:rsidR="00C171E7" w:rsidRPr="008240F8" w:rsidRDefault="000D53BD" w:rsidP="000D53BD">
            <w:pPr>
              <w:pStyle w:val="Txtjourne"/>
            </w:pPr>
            <w:r w:rsidRPr="008240F8">
              <w:t>30 000 $</w:t>
            </w:r>
            <w:r w:rsidR="00C171E7" w:rsidRPr="008240F8">
              <w:t xml:space="preserve"> par an (subvention</w:t>
            </w:r>
            <w:r w:rsidRPr="008240F8">
              <w:t xml:space="preserve"> gouvernementale</w:t>
            </w:r>
            <w:r w:rsidR="00C171E7" w:rsidRPr="008240F8">
              <w:t>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171E7" w:rsidRPr="008240F8" w:rsidRDefault="00666AA5" w:rsidP="00C41D44">
            <w:pPr>
              <w:pStyle w:val="Txtjourne"/>
            </w:pPr>
            <w:r w:rsidRPr="008240F8">
              <w:t>L’élément est r</w:t>
            </w:r>
            <w:r w:rsidR="00C171E7" w:rsidRPr="008240F8">
              <w:t>econn</w:t>
            </w:r>
            <w:r w:rsidRPr="008240F8">
              <w:t>u</w:t>
            </w:r>
            <w:r w:rsidR="00C171E7" w:rsidRPr="008240F8">
              <w:t xml:space="preserve"> comme la principale ressource culturelle de la région</w:t>
            </w:r>
            <w:r w:rsidR="000D53BD" w:rsidRPr="008240F8">
              <w:t>,</w:t>
            </w:r>
            <w:r w:rsidR="00C171E7" w:rsidRPr="008240F8">
              <w:t xml:space="preserve"> avec l</w:t>
            </w:r>
            <w:r w:rsidR="001F7A0A" w:rsidRPr="008240F8">
              <w:t>’</w:t>
            </w:r>
            <w:r w:rsidR="00C171E7" w:rsidRPr="008240F8">
              <w:t>appui des réseaux d</w:t>
            </w:r>
            <w:r w:rsidR="001F7A0A" w:rsidRPr="008240F8">
              <w:t>’</w:t>
            </w:r>
            <w:r w:rsidR="00C171E7" w:rsidRPr="008240F8">
              <w:t>interprètes, d</w:t>
            </w:r>
            <w:r w:rsidR="001F7A0A" w:rsidRPr="008240F8">
              <w:t>’</w:t>
            </w:r>
            <w:r w:rsidR="00C171E7" w:rsidRPr="008240F8">
              <w:t xml:space="preserve">enseignants et de </w:t>
            </w:r>
            <w:r w:rsidR="000D53BD" w:rsidRPr="008240F8">
              <w:t>promot</w:t>
            </w:r>
            <w:r w:rsidR="00C171E7" w:rsidRPr="008240F8">
              <w:t>eurs</w:t>
            </w:r>
          </w:p>
          <w:p w:rsidR="00C171E7" w:rsidRPr="008240F8" w:rsidRDefault="00666AA5" w:rsidP="0063623B">
            <w:pPr>
              <w:pStyle w:val="Txtjourne"/>
            </w:pPr>
            <w:r w:rsidRPr="008240F8">
              <w:t>L</w:t>
            </w:r>
            <w:r w:rsidR="00C171E7" w:rsidRPr="008240F8">
              <w:t xml:space="preserve">es jeunes de la communauté afro-hispanique des villes et des zones rurales </w:t>
            </w:r>
            <w:r w:rsidRPr="008240F8">
              <w:t>sont plus intéressés à</w:t>
            </w:r>
            <w:r w:rsidR="00C171E7" w:rsidRPr="008240F8">
              <w:t xml:space="preserve"> p</w:t>
            </w:r>
            <w:r w:rsidR="0063623B" w:rsidRPr="008240F8">
              <w:t>rendre p</w:t>
            </w:r>
            <w:r w:rsidR="00C171E7" w:rsidRPr="008240F8">
              <w:t>art</w:t>
            </w:r>
            <w:r w:rsidRPr="008240F8">
              <w:t xml:space="preserve"> </w:t>
            </w:r>
            <w:r w:rsidR="0063623B" w:rsidRPr="008240F8">
              <w:t>aux</w:t>
            </w:r>
            <w:r w:rsidR="00C171E7" w:rsidRPr="008240F8">
              <w:t xml:space="preserve"> cérémonies </w:t>
            </w:r>
            <w:proofErr w:type="spellStart"/>
            <w:r w:rsidR="00C171E7" w:rsidRPr="008240F8">
              <w:rPr>
                <w:i/>
              </w:rPr>
              <w:t>fonabal</w:t>
            </w:r>
            <w:proofErr w:type="spellEnd"/>
          </w:p>
        </w:tc>
      </w:tr>
      <w:tr w:rsidR="00C171E7" w:rsidRPr="008240F8">
        <w:trPr>
          <w:cantSplit/>
        </w:trPr>
        <w:tc>
          <w:tcPr>
            <w:tcW w:w="1928" w:type="dxa"/>
            <w:tcBorders>
              <w:top w:val="single" w:sz="4" w:space="0" w:color="000000"/>
              <w:bottom w:val="nil"/>
            </w:tcBorders>
          </w:tcPr>
          <w:p w:rsidR="00C171E7" w:rsidRPr="008240F8" w:rsidRDefault="00C171E7" w:rsidP="00C41D44">
            <w:pPr>
              <w:pStyle w:val="Txtjourne"/>
            </w:pPr>
            <w:r w:rsidRPr="008240F8">
              <w:t xml:space="preserve">3. Inclure le </w:t>
            </w:r>
            <w:proofErr w:type="spellStart"/>
            <w:r w:rsidRPr="008240F8">
              <w:rPr>
                <w:i/>
              </w:rPr>
              <w:t>fonabal</w:t>
            </w:r>
            <w:proofErr w:type="spellEnd"/>
            <w:r w:rsidRPr="008240F8">
              <w:t xml:space="preserve"> dans le programme de musique </w:t>
            </w:r>
            <w:r w:rsidR="0049788C" w:rsidRPr="008240F8">
              <w:t xml:space="preserve">officiel </w:t>
            </w:r>
            <w:r w:rsidRPr="008240F8">
              <w:t>des universités et des écoles publiques</w:t>
            </w:r>
          </w:p>
          <w:p w:rsidR="00C171E7" w:rsidRPr="008240F8" w:rsidRDefault="00C171E7" w:rsidP="008F04F8">
            <w:pPr>
              <w:pStyle w:val="Txtjourne"/>
            </w:pPr>
            <w:r w:rsidRPr="008240F8">
              <w:t xml:space="preserve">4. </w:t>
            </w:r>
            <w:r w:rsidR="008F04F8" w:rsidRPr="008240F8">
              <w:t>Soutien</w:t>
            </w:r>
            <w:r w:rsidRPr="008240F8">
              <w:t xml:space="preserve"> à l</w:t>
            </w:r>
            <w:r w:rsidR="001F7A0A" w:rsidRPr="008240F8">
              <w:t>’</w:t>
            </w:r>
            <w:r w:rsidRPr="008240F8">
              <w:t xml:space="preserve">enseignement </w:t>
            </w:r>
            <w:r w:rsidR="008F04F8" w:rsidRPr="008240F8">
              <w:t xml:space="preserve">formel et informel </w:t>
            </w:r>
            <w:r w:rsidRPr="008240F8">
              <w:t xml:space="preserve">des chants, </w:t>
            </w:r>
            <w:r w:rsidR="008F04F8" w:rsidRPr="008240F8">
              <w:t xml:space="preserve">des danses et </w:t>
            </w:r>
            <w:r w:rsidRPr="008240F8">
              <w:t xml:space="preserve">de la musique </w:t>
            </w:r>
            <w:proofErr w:type="spellStart"/>
            <w:r w:rsidRPr="008240F8">
              <w:rPr>
                <w:i/>
              </w:rPr>
              <w:t>fonabal</w:t>
            </w:r>
            <w:proofErr w:type="spellEnd"/>
            <w:r w:rsidRPr="008240F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:rsidR="00C171E7" w:rsidRPr="008240F8" w:rsidRDefault="00C171E7" w:rsidP="00C41D44">
            <w:pPr>
              <w:pStyle w:val="Txtjourne"/>
              <w:rPr>
                <w:i/>
              </w:rPr>
            </w:pPr>
            <w:proofErr w:type="spellStart"/>
            <w:r w:rsidRPr="008240F8">
              <w:rPr>
                <w:i/>
              </w:rPr>
              <w:t>Fonabal</w:t>
            </w:r>
            <w:proofErr w:type="spellEnd"/>
            <w:r w:rsidRPr="008240F8">
              <w:rPr>
                <w:i/>
              </w:rPr>
              <w:t xml:space="preserve"> First</w:t>
            </w:r>
          </w:p>
          <w:p w:rsidR="00C171E7" w:rsidRPr="008240F8" w:rsidRDefault="00C171E7" w:rsidP="00C41D44">
            <w:pPr>
              <w:pStyle w:val="Txtjourne"/>
            </w:pPr>
            <w:r w:rsidRPr="008240F8">
              <w:t>Musiciens et chanteurs</w:t>
            </w:r>
          </w:p>
          <w:p w:rsidR="00C171E7" w:rsidRPr="008240F8" w:rsidRDefault="00C171E7" w:rsidP="00C41D44">
            <w:pPr>
              <w:pStyle w:val="Txtjourne"/>
            </w:pPr>
            <w:r w:rsidRPr="008240F8">
              <w:t>Écoles de musique et de danse traditionnelles</w:t>
            </w:r>
          </w:p>
          <w:p w:rsidR="00C171E7" w:rsidRPr="008240F8" w:rsidRDefault="00C171E7" w:rsidP="00C41D44">
            <w:pPr>
              <w:pStyle w:val="Txtjourne"/>
            </w:pPr>
            <w:r w:rsidRPr="008240F8">
              <w:t>Universités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C171E7" w:rsidRPr="008240F8" w:rsidRDefault="00C171E7" w:rsidP="00C41D44">
            <w:pPr>
              <w:pStyle w:val="Txtjourne"/>
            </w:pPr>
            <w:r w:rsidRPr="008240F8">
              <w:t>2011-2014</w:t>
            </w:r>
          </w:p>
        </w:tc>
        <w:tc>
          <w:tcPr>
            <w:tcW w:w="1814" w:type="dxa"/>
            <w:tcBorders>
              <w:top w:val="single" w:sz="4" w:space="0" w:color="000000"/>
              <w:bottom w:val="nil"/>
            </w:tcBorders>
          </w:tcPr>
          <w:p w:rsidR="00C171E7" w:rsidRPr="008240F8" w:rsidRDefault="00C171E7" w:rsidP="0049788C">
            <w:pPr>
              <w:pStyle w:val="Txtjourne"/>
            </w:pPr>
            <w:r w:rsidRPr="008240F8">
              <w:t>40 000</w:t>
            </w:r>
            <w:r w:rsidR="0049788C" w:rsidRPr="008240F8">
              <w:t> $</w:t>
            </w:r>
            <w:r w:rsidRPr="008240F8">
              <w:rPr>
                <w:iCs/>
              </w:rPr>
              <w:t xml:space="preserve"> par an</w:t>
            </w:r>
            <w:r w:rsidRPr="008240F8">
              <w:t xml:space="preserve"> (subventions municipales)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</w:tcPr>
          <w:p w:rsidR="00C171E7" w:rsidRPr="008240F8" w:rsidRDefault="00C171E7" w:rsidP="00C41D44">
            <w:pPr>
              <w:pStyle w:val="Txtjourne"/>
            </w:pPr>
            <w:r w:rsidRPr="008240F8">
              <w:t>Davantage de jeunes formés en tant que chanteurs et musiciens</w:t>
            </w:r>
            <w:r w:rsidR="0049788C" w:rsidRPr="008240F8">
              <w:t xml:space="preserve"> de </w:t>
            </w:r>
            <w:proofErr w:type="spellStart"/>
            <w:r w:rsidR="0049788C" w:rsidRPr="008240F8">
              <w:rPr>
                <w:i/>
              </w:rPr>
              <w:t>fonabal</w:t>
            </w:r>
            <w:proofErr w:type="spellEnd"/>
          </w:p>
        </w:tc>
      </w:tr>
      <w:tr w:rsidR="00C171E7" w:rsidRPr="008240F8">
        <w:trPr>
          <w:cantSplit/>
        </w:trPr>
        <w:tc>
          <w:tcPr>
            <w:tcW w:w="1928" w:type="dxa"/>
            <w:tcBorders>
              <w:top w:val="nil"/>
            </w:tcBorders>
          </w:tcPr>
          <w:p w:rsidR="00C171E7" w:rsidRPr="008240F8" w:rsidRDefault="00C171E7" w:rsidP="008F04F8">
            <w:pPr>
              <w:pStyle w:val="Txtjourne"/>
            </w:pPr>
            <w:r w:rsidRPr="008240F8">
              <w:t>5. Recherche sur l</w:t>
            </w:r>
            <w:r w:rsidR="001F7A0A" w:rsidRPr="008240F8">
              <w:t>’</w:t>
            </w:r>
            <w:r w:rsidRPr="008240F8">
              <w:t xml:space="preserve">interprétation </w:t>
            </w:r>
            <w:r w:rsidR="008F04F8" w:rsidRPr="008240F8">
              <w:t xml:space="preserve">des chants et </w:t>
            </w:r>
            <w:r w:rsidRPr="008240F8">
              <w:t xml:space="preserve">de la musique </w:t>
            </w:r>
            <w:proofErr w:type="spellStart"/>
            <w:r w:rsidRPr="008240F8">
              <w:rPr>
                <w:i/>
              </w:rPr>
              <w:t>fonabal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:rsidR="00C171E7" w:rsidRPr="008240F8" w:rsidRDefault="00C171E7" w:rsidP="00C41D44">
            <w:pPr>
              <w:pStyle w:val="Txtjourne"/>
            </w:pPr>
            <w:r w:rsidRPr="008240F8">
              <w:t>Universités locales</w:t>
            </w:r>
          </w:p>
          <w:p w:rsidR="00C171E7" w:rsidRPr="008240F8" w:rsidRDefault="008F04F8" w:rsidP="00C41D44">
            <w:pPr>
              <w:pStyle w:val="Txtjourne"/>
            </w:pPr>
            <w:r w:rsidRPr="008240F8">
              <w:t>Groupes de jeunes a</w:t>
            </w:r>
            <w:r w:rsidR="00C171E7" w:rsidRPr="008240F8">
              <w:t>fro-hispaniques</w:t>
            </w:r>
          </w:p>
        </w:tc>
        <w:tc>
          <w:tcPr>
            <w:tcW w:w="1134" w:type="dxa"/>
            <w:tcBorders>
              <w:top w:val="nil"/>
            </w:tcBorders>
          </w:tcPr>
          <w:p w:rsidR="00C171E7" w:rsidRPr="008240F8" w:rsidRDefault="00C171E7" w:rsidP="00C41D44">
            <w:pPr>
              <w:pStyle w:val="Txtjourne"/>
            </w:pPr>
            <w:r w:rsidRPr="008240F8">
              <w:t>2011-2012</w:t>
            </w:r>
          </w:p>
        </w:tc>
        <w:tc>
          <w:tcPr>
            <w:tcW w:w="1814" w:type="dxa"/>
            <w:tcBorders>
              <w:top w:val="nil"/>
            </w:tcBorders>
          </w:tcPr>
          <w:p w:rsidR="00C171E7" w:rsidRPr="008240F8" w:rsidRDefault="00C171E7" w:rsidP="00C41D44">
            <w:pPr>
              <w:pStyle w:val="Txtjourne"/>
              <w:rPr>
                <w:iCs/>
              </w:rPr>
            </w:pPr>
            <w:r w:rsidRPr="008240F8">
              <w:t>30 000</w:t>
            </w:r>
            <w:r w:rsidR="008F04F8" w:rsidRPr="008240F8">
              <w:t> </w:t>
            </w:r>
            <w:r w:rsidR="008F04F8" w:rsidRPr="008240F8">
              <w:rPr>
                <w:iCs/>
              </w:rPr>
              <w:t>$</w:t>
            </w:r>
            <w:r w:rsidRPr="008240F8">
              <w:rPr>
                <w:iCs/>
              </w:rPr>
              <w:t xml:space="preserve"> par an (fonds universitaires)</w:t>
            </w:r>
          </w:p>
          <w:p w:rsidR="00C171E7" w:rsidRPr="008240F8" w:rsidRDefault="00C171E7" w:rsidP="00C41D44">
            <w:pPr>
              <w:pStyle w:val="Txtjourne"/>
            </w:pPr>
          </w:p>
        </w:tc>
        <w:tc>
          <w:tcPr>
            <w:tcW w:w="2268" w:type="dxa"/>
            <w:tcBorders>
              <w:top w:val="nil"/>
            </w:tcBorders>
          </w:tcPr>
          <w:p w:rsidR="00C171E7" w:rsidRPr="008240F8" w:rsidRDefault="00C171E7" w:rsidP="009679C8">
            <w:pPr>
              <w:pStyle w:val="Txtjourne"/>
            </w:pPr>
            <w:r w:rsidRPr="008240F8">
              <w:t>Meilleure connaissance de l</w:t>
            </w:r>
            <w:r w:rsidR="001F7A0A" w:rsidRPr="008240F8">
              <w:t>’</w:t>
            </w:r>
            <w:r w:rsidR="008F04F8" w:rsidRPr="008240F8">
              <w:t>éventail et de la diversité de</w:t>
            </w:r>
            <w:r w:rsidRPr="008240F8">
              <w:t xml:space="preserve"> chansons, cha</w:t>
            </w:r>
            <w:r w:rsidR="009679C8" w:rsidRPr="008240F8">
              <w:t>nts et contextes dans lesquels on joue du</w:t>
            </w:r>
            <w:r w:rsidRPr="008240F8">
              <w:t xml:space="preserve"> </w:t>
            </w:r>
            <w:proofErr w:type="spellStart"/>
            <w:r w:rsidRPr="008240F8">
              <w:rPr>
                <w:i/>
              </w:rPr>
              <w:t>fonabal</w:t>
            </w:r>
            <w:proofErr w:type="spellEnd"/>
            <w:r w:rsidR="00F73397" w:rsidRPr="008240F8">
              <w:rPr>
                <w:i/>
              </w:rPr>
              <w:t> </w:t>
            </w:r>
            <w:r w:rsidR="00F73397" w:rsidRPr="008240F8">
              <w:t>;</w:t>
            </w:r>
            <w:r w:rsidRPr="008240F8">
              <w:t xml:space="preserve"> publication d</w:t>
            </w:r>
            <w:r w:rsidR="001F7A0A" w:rsidRPr="008240F8">
              <w:t>’</w:t>
            </w:r>
            <w:r w:rsidRPr="008240F8">
              <w:t xml:space="preserve">informations à ce sujet </w:t>
            </w:r>
            <w:r w:rsidR="009679C8" w:rsidRPr="008240F8">
              <w:t>à l’usage</w:t>
            </w:r>
            <w:r w:rsidRPr="008240F8">
              <w:t xml:space="preserve"> des écoles</w:t>
            </w:r>
          </w:p>
        </w:tc>
      </w:tr>
      <w:tr w:rsidR="00C171E7" w:rsidRPr="008240F8">
        <w:trPr>
          <w:cantSplit/>
        </w:trPr>
        <w:tc>
          <w:tcPr>
            <w:tcW w:w="1928" w:type="dxa"/>
          </w:tcPr>
          <w:p w:rsidR="00C171E7" w:rsidRPr="008240F8" w:rsidRDefault="00C171E7" w:rsidP="00C41D44">
            <w:pPr>
              <w:pStyle w:val="Txtjourne"/>
            </w:pPr>
            <w:r w:rsidRPr="008240F8">
              <w:lastRenderedPageBreak/>
              <w:t>6. Organisation de festivals de musique traditionnelle</w:t>
            </w:r>
          </w:p>
        </w:tc>
        <w:tc>
          <w:tcPr>
            <w:tcW w:w="1701" w:type="dxa"/>
          </w:tcPr>
          <w:p w:rsidR="00C171E7" w:rsidRPr="008240F8" w:rsidRDefault="009679C8" w:rsidP="00C41D44">
            <w:pPr>
              <w:pStyle w:val="Txtjourne"/>
            </w:pPr>
            <w:r w:rsidRPr="008240F8">
              <w:t>Groupes de jeunes a</w:t>
            </w:r>
            <w:r w:rsidR="00C171E7" w:rsidRPr="008240F8">
              <w:t>fro-hispaniques</w:t>
            </w:r>
          </w:p>
          <w:p w:rsidR="00C171E7" w:rsidRPr="008240F8" w:rsidRDefault="00C171E7" w:rsidP="00C41D44">
            <w:pPr>
              <w:pStyle w:val="Txtjourne"/>
              <w:rPr>
                <w:i/>
              </w:rPr>
            </w:pPr>
            <w:proofErr w:type="spellStart"/>
            <w:r w:rsidRPr="008240F8">
              <w:rPr>
                <w:i/>
              </w:rPr>
              <w:t>Fonabal</w:t>
            </w:r>
            <w:proofErr w:type="spellEnd"/>
            <w:r w:rsidRPr="008240F8">
              <w:rPr>
                <w:i/>
              </w:rPr>
              <w:t xml:space="preserve"> First</w:t>
            </w:r>
          </w:p>
        </w:tc>
        <w:tc>
          <w:tcPr>
            <w:tcW w:w="1134" w:type="dxa"/>
          </w:tcPr>
          <w:p w:rsidR="00C171E7" w:rsidRPr="008240F8" w:rsidRDefault="00C171E7" w:rsidP="00C41D44">
            <w:pPr>
              <w:pStyle w:val="Txtjourne"/>
            </w:pPr>
            <w:r w:rsidRPr="008240F8">
              <w:t>2011-</w:t>
            </w:r>
          </w:p>
        </w:tc>
        <w:tc>
          <w:tcPr>
            <w:tcW w:w="1814" w:type="dxa"/>
          </w:tcPr>
          <w:p w:rsidR="00C171E7" w:rsidRPr="008240F8" w:rsidRDefault="009679C8" w:rsidP="009679C8">
            <w:pPr>
              <w:pStyle w:val="Txtjourne"/>
            </w:pPr>
            <w:r w:rsidRPr="008240F8">
              <w:t>40 000 $ par an (</w:t>
            </w:r>
            <w:r w:rsidR="00C171E7" w:rsidRPr="008240F8">
              <w:t>ONG et fonds publics)</w:t>
            </w:r>
          </w:p>
        </w:tc>
        <w:tc>
          <w:tcPr>
            <w:tcW w:w="2268" w:type="dxa"/>
          </w:tcPr>
          <w:p w:rsidR="00C171E7" w:rsidRPr="008240F8" w:rsidRDefault="00C171E7" w:rsidP="00C41D44">
            <w:pPr>
              <w:pStyle w:val="Txtjourne"/>
              <w:rPr>
                <w:iCs/>
                <w:szCs w:val="22"/>
              </w:rPr>
            </w:pPr>
            <w:r w:rsidRPr="008240F8">
              <w:t>Meilleure connaissance de l</w:t>
            </w:r>
            <w:r w:rsidR="001F7A0A" w:rsidRPr="008240F8">
              <w:t>’</w:t>
            </w:r>
            <w:r w:rsidR="009679C8" w:rsidRPr="008240F8">
              <w:t>élément chez les jeunes a</w:t>
            </w:r>
            <w:r w:rsidRPr="008240F8">
              <w:t>fro-hispaniques d</w:t>
            </w:r>
            <w:r w:rsidR="009679C8" w:rsidRPr="008240F8">
              <w:t>ans l</w:t>
            </w:r>
            <w:r w:rsidRPr="008240F8">
              <w:t>es milieux urbains</w:t>
            </w:r>
          </w:p>
          <w:p w:rsidR="00C171E7" w:rsidRPr="008240F8" w:rsidRDefault="0028472C" w:rsidP="00C41D44">
            <w:pPr>
              <w:pStyle w:val="Txtjourne"/>
            </w:pPr>
            <w:r w:rsidRPr="008240F8">
              <w:t>Élévation du statut</w:t>
            </w:r>
            <w:r w:rsidR="00C171E7" w:rsidRPr="008240F8">
              <w:t xml:space="preserve"> asso</w:t>
            </w:r>
            <w:r w:rsidRPr="008240F8">
              <w:t>cié</w:t>
            </w:r>
            <w:r w:rsidR="00C171E7" w:rsidRPr="008240F8">
              <w:t xml:space="preserve"> à l</w:t>
            </w:r>
            <w:r w:rsidR="001F7A0A" w:rsidRPr="008240F8">
              <w:t>’</w:t>
            </w:r>
            <w:r w:rsidR="00C171E7" w:rsidRPr="008240F8">
              <w:t>élément</w:t>
            </w:r>
          </w:p>
          <w:p w:rsidR="00C171E7" w:rsidRPr="008240F8" w:rsidRDefault="0043661E" w:rsidP="0043661E">
            <w:pPr>
              <w:pStyle w:val="Txtjourne"/>
            </w:pPr>
            <w:r w:rsidRPr="008240F8">
              <w:t>Davantage</w:t>
            </w:r>
            <w:r w:rsidR="00C171E7" w:rsidRPr="008240F8">
              <w:t xml:space="preserve"> d</w:t>
            </w:r>
            <w:r w:rsidRPr="008240F8">
              <w:t>’</w:t>
            </w:r>
            <w:r w:rsidR="00C171E7" w:rsidRPr="008240F8">
              <w:t>occasions d</w:t>
            </w:r>
            <w:r w:rsidRPr="008240F8">
              <w:t>e produire des spectacles de danse et de</w:t>
            </w:r>
            <w:r w:rsidR="00C171E7" w:rsidRPr="008240F8">
              <w:t xml:space="preserve"> </w:t>
            </w:r>
            <w:r w:rsidRPr="008240F8">
              <w:t xml:space="preserve">musique </w:t>
            </w:r>
            <w:proofErr w:type="spellStart"/>
            <w:r w:rsidR="00C171E7" w:rsidRPr="008240F8">
              <w:rPr>
                <w:i/>
              </w:rPr>
              <w:t>fonabal</w:t>
            </w:r>
            <w:proofErr w:type="spellEnd"/>
            <w:r w:rsidRPr="008240F8">
              <w:t xml:space="preserve"> dans d</w:t>
            </w:r>
            <w:r w:rsidR="00C171E7" w:rsidRPr="008240F8">
              <w:t>es contextes urbains</w:t>
            </w:r>
          </w:p>
        </w:tc>
      </w:tr>
    </w:tbl>
    <w:p w:rsidR="00C171E7" w:rsidRPr="008240F8" w:rsidRDefault="00C171E7" w:rsidP="00036A54">
      <w:pPr>
        <w:pStyle w:val="Heading6"/>
        <w:rPr>
          <w:lang w:val="fr-FR"/>
        </w:rPr>
      </w:pPr>
      <w:r w:rsidRPr="008240F8">
        <w:rPr>
          <w:lang w:val="fr-FR"/>
        </w:rPr>
        <w:t>Diapositive 18</w:t>
      </w:r>
      <w:r w:rsidR="00F73397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 xml:space="preserve">Étude de cas : </w:t>
      </w:r>
      <w:r w:rsidR="0003373B" w:rsidRPr="008240F8">
        <w:rPr>
          <w:lang w:val="fr-FR"/>
        </w:rPr>
        <w:t xml:space="preserve">le </w:t>
      </w:r>
      <w:r w:rsidRPr="008240F8">
        <w:rPr>
          <w:lang w:val="fr-FR"/>
        </w:rPr>
        <w:t>centre d</w:t>
      </w:r>
      <w:r w:rsidR="001F7A0A" w:rsidRPr="008240F8">
        <w:rPr>
          <w:lang w:val="fr-FR"/>
        </w:rPr>
        <w:t>’</w:t>
      </w:r>
      <w:r w:rsidRPr="008240F8">
        <w:rPr>
          <w:lang w:val="fr-FR"/>
        </w:rPr>
        <w:t>art traditionnel d</w:t>
      </w:r>
      <w:r w:rsidR="001F7A0A" w:rsidRPr="008240F8">
        <w:rPr>
          <w:lang w:val="fr-FR"/>
        </w:rPr>
        <w:t>’</w:t>
      </w:r>
      <w:r w:rsidRPr="008240F8">
        <w:rPr>
          <w:lang w:val="fr-FR"/>
        </w:rPr>
        <w:t xml:space="preserve">Anu </w:t>
      </w:r>
      <w:proofErr w:type="spellStart"/>
      <w:r w:rsidRPr="008240F8">
        <w:rPr>
          <w:lang w:val="fr-FR"/>
        </w:rPr>
        <w:t>Raud</w:t>
      </w:r>
      <w:proofErr w:type="spellEnd"/>
      <w:r w:rsidRPr="008240F8">
        <w:rPr>
          <w:lang w:val="fr-FR"/>
        </w:rPr>
        <w:t xml:space="preserve"> (Estonie)</w:t>
      </w:r>
    </w:p>
    <w:p w:rsidR="00C171E7" w:rsidRPr="008240F8" w:rsidRDefault="007F4369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 xml:space="preserve">Étude </w:t>
      </w:r>
      <w:r w:rsidR="00C171E7" w:rsidRPr="008240F8">
        <w:t xml:space="preserve">de cas 23 </w:t>
      </w:r>
      <w:r w:rsidR="00610149" w:rsidRPr="008240F8">
        <w:t>porte sur</w:t>
      </w:r>
      <w:r w:rsidR="00C171E7" w:rsidRPr="008240F8">
        <w:t xml:space="preserve"> le</w:t>
      </w:r>
      <w:r w:rsidR="00610149" w:rsidRPr="008240F8">
        <w:t>s</w:t>
      </w:r>
      <w:r w:rsidR="00C171E7" w:rsidRPr="008240F8">
        <w:t xml:space="preserve"> trava</w:t>
      </w:r>
      <w:r w:rsidR="00610149" w:rsidRPr="008240F8">
        <w:t>ux</w:t>
      </w:r>
      <w:r w:rsidR="00C171E7" w:rsidRPr="008240F8">
        <w:t xml:space="preserve"> d</w:t>
      </w:r>
      <w:r w:rsidR="001F7A0A" w:rsidRPr="008240F8">
        <w:t>’</w:t>
      </w:r>
      <w:r w:rsidR="00C171E7" w:rsidRPr="008240F8">
        <w:t xml:space="preserve">une école de design </w:t>
      </w:r>
      <w:r w:rsidR="00CC331F" w:rsidRPr="008240F8">
        <w:t>en E</w:t>
      </w:r>
      <w:r w:rsidR="00F73397" w:rsidRPr="008240F8">
        <w:t xml:space="preserve">stonie </w:t>
      </w:r>
      <w:r w:rsidR="00C171E7" w:rsidRPr="008240F8">
        <w:t xml:space="preserve">qui </w:t>
      </w:r>
      <w:r w:rsidR="00610149" w:rsidRPr="008240F8">
        <w:t xml:space="preserve">recherche et utilise </w:t>
      </w:r>
      <w:r w:rsidR="00C171E7" w:rsidRPr="008240F8">
        <w:t xml:space="preserve">les motifs traditionnels </w:t>
      </w:r>
      <w:r w:rsidR="00610149" w:rsidRPr="008240F8">
        <w:t>de tricot et de tissage</w:t>
      </w:r>
      <w:r w:rsidR="00C171E7" w:rsidRPr="008240F8">
        <w:t>. On peut demander aux participants d</w:t>
      </w:r>
      <w:r w:rsidR="001F7A0A" w:rsidRPr="008240F8">
        <w:t>’</w:t>
      </w:r>
      <w:r w:rsidR="00C171E7" w:rsidRPr="008240F8">
        <w:t xml:space="preserve">identifier les mesures de sauvegarde </w:t>
      </w:r>
      <w:r w:rsidR="00FC74A9" w:rsidRPr="008240F8">
        <w:t>du tricot et d</w:t>
      </w:r>
      <w:r w:rsidR="00C171E7" w:rsidRPr="008240F8">
        <w:t>u tissage traditionnels dans cette étude de cas.</w:t>
      </w:r>
    </w:p>
    <w:p w:rsidR="00C171E7" w:rsidRPr="008240F8" w:rsidRDefault="00C171E7" w:rsidP="00C70570">
      <w:pPr>
        <w:pStyle w:val="Heading6"/>
        <w:rPr>
          <w:lang w:val="fr-FR"/>
        </w:rPr>
      </w:pPr>
      <w:r w:rsidRPr="008240F8">
        <w:rPr>
          <w:lang w:val="fr-FR"/>
        </w:rPr>
        <w:t>Diapositive 19</w:t>
      </w:r>
      <w:r w:rsidR="00CC331F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 xml:space="preserve">Étude de cas : le système </w:t>
      </w:r>
      <w:proofErr w:type="spellStart"/>
      <w:r w:rsidRPr="008240F8">
        <w:rPr>
          <w:lang w:val="fr-FR"/>
        </w:rPr>
        <w:t>Gawad</w:t>
      </w:r>
      <w:proofErr w:type="spellEnd"/>
      <w:r w:rsidRPr="008240F8">
        <w:rPr>
          <w:lang w:val="fr-FR"/>
        </w:rPr>
        <w:t xml:space="preserve"> sa </w:t>
      </w:r>
      <w:proofErr w:type="spellStart"/>
      <w:r w:rsidRPr="008240F8">
        <w:rPr>
          <w:lang w:val="fr-FR"/>
        </w:rPr>
        <w:t>Manlilikha</w:t>
      </w:r>
      <w:proofErr w:type="spellEnd"/>
      <w:r w:rsidRPr="008240F8">
        <w:rPr>
          <w:lang w:val="fr-FR"/>
        </w:rPr>
        <w:t xml:space="preserve"> </w:t>
      </w:r>
      <w:proofErr w:type="spellStart"/>
      <w:r w:rsidRPr="008240F8">
        <w:rPr>
          <w:lang w:val="fr-FR"/>
        </w:rPr>
        <w:t>ng</w:t>
      </w:r>
      <w:proofErr w:type="spellEnd"/>
      <w:r w:rsidRPr="008240F8">
        <w:rPr>
          <w:lang w:val="fr-FR"/>
        </w:rPr>
        <w:t xml:space="preserve"> </w:t>
      </w:r>
      <w:proofErr w:type="spellStart"/>
      <w:r w:rsidRPr="008240F8">
        <w:rPr>
          <w:lang w:val="fr-FR"/>
        </w:rPr>
        <w:t>Bayan</w:t>
      </w:r>
      <w:proofErr w:type="spellEnd"/>
      <w:r w:rsidRPr="008240F8">
        <w:rPr>
          <w:lang w:val="fr-FR"/>
        </w:rPr>
        <w:t xml:space="preserve"> (GAMABA) (Philippines)</w:t>
      </w:r>
    </w:p>
    <w:p w:rsidR="00C171E7" w:rsidRPr="008240F8" w:rsidRDefault="007F4369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 xml:space="preserve">Étude </w:t>
      </w:r>
      <w:r w:rsidR="00C171E7" w:rsidRPr="008240F8">
        <w:t xml:space="preserve">de cas 24 </w:t>
      </w:r>
      <w:r w:rsidR="00FC74A9" w:rsidRPr="008240F8">
        <w:t>donne</w:t>
      </w:r>
      <w:r w:rsidR="00C171E7" w:rsidRPr="008240F8">
        <w:t xml:space="preserve"> </w:t>
      </w:r>
      <w:r w:rsidR="00FC74A9" w:rsidRPr="008240F8">
        <w:t>l’</w:t>
      </w:r>
      <w:r w:rsidR="00C171E7" w:rsidRPr="008240F8">
        <w:t>exemple d</w:t>
      </w:r>
      <w:r w:rsidR="00FC74A9" w:rsidRPr="008240F8">
        <w:t>’un système de T</w:t>
      </w:r>
      <w:r w:rsidR="00C171E7" w:rsidRPr="008240F8">
        <w:t>résors humains vivants aux Philippines.</w:t>
      </w:r>
    </w:p>
    <w:p w:rsidR="00C171E7" w:rsidRPr="008240F8" w:rsidRDefault="00C171E7" w:rsidP="00C70570">
      <w:pPr>
        <w:pStyle w:val="Heading6"/>
        <w:rPr>
          <w:lang w:val="fr-FR"/>
        </w:rPr>
      </w:pPr>
      <w:r w:rsidRPr="008240F8">
        <w:rPr>
          <w:lang w:val="fr-FR"/>
        </w:rPr>
        <w:t>Diapositive 20</w:t>
      </w:r>
      <w:r w:rsidR="00CC331F" w:rsidRPr="008240F8">
        <w:rPr>
          <w:lang w:val="fr-FR"/>
        </w:rPr>
        <w:t>.</w:t>
      </w:r>
    </w:p>
    <w:p w:rsidR="00C171E7" w:rsidRPr="008240F8" w:rsidRDefault="00C171E7" w:rsidP="00C41D44">
      <w:pPr>
        <w:pStyle w:val="diapo2"/>
        <w:rPr>
          <w:lang w:val="fr-FR"/>
        </w:rPr>
      </w:pPr>
      <w:r w:rsidRPr="008240F8">
        <w:rPr>
          <w:lang w:val="fr-FR"/>
        </w:rPr>
        <w:t xml:space="preserve">Étude </w:t>
      </w:r>
      <w:r w:rsidR="00CC331F" w:rsidRPr="008240F8">
        <w:rPr>
          <w:lang w:val="fr-FR"/>
        </w:rPr>
        <w:t>de cas</w:t>
      </w:r>
      <w:r w:rsidRPr="008240F8">
        <w:rPr>
          <w:lang w:val="fr-FR"/>
        </w:rPr>
        <w:t> :</w:t>
      </w:r>
      <w:r w:rsidRPr="008240F8">
        <w:rPr>
          <w:rFonts w:eastAsia="+mj-ea"/>
          <w:lang w:val="fr-FR"/>
        </w:rPr>
        <w:t xml:space="preserve"> le rituel du </w:t>
      </w:r>
      <w:proofErr w:type="spellStart"/>
      <w:r w:rsidRPr="008240F8">
        <w:rPr>
          <w:lang w:val="fr-FR"/>
        </w:rPr>
        <w:t>Sanbasomawashi</w:t>
      </w:r>
      <w:proofErr w:type="spellEnd"/>
      <w:r w:rsidRPr="008240F8">
        <w:rPr>
          <w:lang w:val="fr-FR"/>
        </w:rPr>
        <w:t xml:space="preserve"> (Japon)</w:t>
      </w:r>
    </w:p>
    <w:p w:rsidR="00C171E7" w:rsidRPr="008240F8" w:rsidRDefault="007F4369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 xml:space="preserve">Étude </w:t>
      </w:r>
      <w:r w:rsidR="00C171E7" w:rsidRPr="008240F8">
        <w:t xml:space="preserve">de cas 25 traite de la revitalisation </w:t>
      </w:r>
      <w:r w:rsidR="00D41F22" w:rsidRPr="008240F8">
        <w:t xml:space="preserve">et du regain d’intérêt </w:t>
      </w:r>
      <w:r w:rsidR="00F00C65" w:rsidRPr="008240F8">
        <w:t>que suscite la</w:t>
      </w:r>
      <w:r w:rsidR="00C171E7" w:rsidRPr="008240F8">
        <w:t xml:space="preserve"> pratique traditionnelle</w:t>
      </w:r>
      <w:r w:rsidR="00F00C65" w:rsidRPr="008240F8">
        <w:t xml:space="preserve"> du</w:t>
      </w:r>
      <w:r w:rsidR="00C171E7" w:rsidRPr="008240F8">
        <w:t xml:space="preserve"> </w:t>
      </w:r>
      <w:proofErr w:type="spellStart"/>
      <w:r w:rsidR="00C171E7" w:rsidRPr="008240F8">
        <w:t>Sanbasom</w:t>
      </w:r>
      <w:r w:rsidR="00CC331F" w:rsidRPr="008240F8">
        <w:t>awashi</w:t>
      </w:r>
      <w:proofErr w:type="spellEnd"/>
      <w:r w:rsidR="00CC331F" w:rsidRPr="008240F8">
        <w:t xml:space="preserve"> (spectacle du Nouvel An)</w:t>
      </w:r>
      <w:r w:rsidR="00F00C65" w:rsidRPr="008240F8">
        <w:t xml:space="preserve"> au Japon.</w:t>
      </w:r>
    </w:p>
    <w:p w:rsidR="00C171E7" w:rsidRPr="008240F8" w:rsidRDefault="00C171E7" w:rsidP="0042652C">
      <w:pPr>
        <w:pStyle w:val="Heading6"/>
        <w:rPr>
          <w:lang w:val="fr-FR"/>
        </w:rPr>
      </w:pPr>
      <w:r w:rsidRPr="008240F8">
        <w:rPr>
          <w:lang w:val="fr-FR"/>
        </w:rPr>
        <w:t>Diapositive 21</w:t>
      </w:r>
      <w:r w:rsidR="00CC331F" w:rsidRPr="008240F8">
        <w:rPr>
          <w:lang w:val="fr-FR"/>
        </w:rPr>
        <w:t>.</w:t>
      </w:r>
    </w:p>
    <w:p w:rsidR="00C171E7" w:rsidRPr="008240F8" w:rsidRDefault="00774932" w:rsidP="00C41D44">
      <w:pPr>
        <w:pStyle w:val="diapo2"/>
        <w:rPr>
          <w:lang w:val="fr-FR"/>
        </w:rPr>
      </w:pPr>
      <w:r w:rsidRPr="008240F8">
        <w:rPr>
          <w:lang w:val="fr-FR"/>
        </w:rPr>
        <w:t>Étude de cas : le f</w:t>
      </w:r>
      <w:r w:rsidR="00C171E7" w:rsidRPr="008240F8">
        <w:rPr>
          <w:lang w:val="fr-FR"/>
        </w:rPr>
        <w:t>estival du Nouvel An des Qiang (Chine)</w:t>
      </w:r>
    </w:p>
    <w:p w:rsidR="00C171E7" w:rsidRPr="008240F8" w:rsidRDefault="007F4369" w:rsidP="00C41D44">
      <w:pPr>
        <w:pStyle w:val="Texte1"/>
      </w:pPr>
      <w:r w:rsidRPr="008240F8">
        <w:t>L</w:t>
      </w:r>
      <w:r w:rsidR="001F7A0A" w:rsidRPr="008240F8">
        <w:t>’</w:t>
      </w:r>
      <w:r w:rsidRPr="008240F8">
        <w:t xml:space="preserve">Étude </w:t>
      </w:r>
      <w:r w:rsidR="00C171E7" w:rsidRPr="008240F8">
        <w:t xml:space="preserve">de cas 26 </w:t>
      </w:r>
      <w:r w:rsidR="00774932" w:rsidRPr="008240F8">
        <w:t>décrit</w:t>
      </w:r>
      <w:r w:rsidR="00C171E7" w:rsidRPr="008240F8">
        <w:t xml:space="preserve"> les mesures de sauvegarde é</w:t>
      </w:r>
      <w:r w:rsidR="00774932" w:rsidRPr="008240F8">
        <w:t>laborées pour le f</w:t>
      </w:r>
      <w:r w:rsidR="00C171E7" w:rsidRPr="008240F8">
        <w:t xml:space="preserve">estival du Nouvel </w:t>
      </w:r>
      <w:r w:rsidR="00CC331F" w:rsidRPr="008240F8">
        <w:t xml:space="preserve">An des Qiang (Chine), </w:t>
      </w:r>
      <w:r w:rsidR="00C171E7" w:rsidRPr="008240F8">
        <w:t xml:space="preserve">inscrit sur la </w:t>
      </w:r>
      <w:r w:rsidR="00394043" w:rsidRPr="008240F8">
        <w:t>L</w:t>
      </w:r>
      <w:r w:rsidR="00CC331F" w:rsidRPr="008240F8">
        <w:t>SU</w:t>
      </w:r>
      <w:r w:rsidR="005837F3" w:rsidRPr="008240F8">
        <w:t xml:space="preserve"> </w:t>
      </w:r>
      <w:r w:rsidR="00C171E7" w:rsidRPr="008240F8">
        <w:t>en 2009.</w:t>
      </w:r>
    </w:p>
    <w:p w:rsidR="00C171E7" w:rsidRPr="008240F8" w:rsidRDefault="00C171E7" w:rsidP="00C41D44">
      <w:pPr>
        <w:pStyle w:val="Texte1"/>
      </w:pPr>
      <w:r w:rsidRPr="008240F8">
        <w:lastRenderedPageBreak/>
        <w:t xml:space="preserve">Le facilitateur peut </w:t>
      </w:r>
      <w:r w:rsidR="00902C34" w:rsidRPr="008240F8">
        <w:t>suggér</w:t>
      </w:r>
      <w:r w:rsidRPr="008240F8">
        <w:t>er aux participants de commencer par lire l</w:t>
      </w:r>
      <w:r w:rsidR="001F7A0A" w:rsidRPr="008240F8">
        <w:t>’</w:t>
      </w:r>
      <w:r w:rsidRPr="008240F8">
        <w:t>étude de cas, puis d</w:t>
      </w:r>
      <w:r w:rsidR="00902C34" w:rsidRPr="008240F8">
        <w:t>e discut</w:t>
      </w:r>
      <w:r w:rsidRPr="008240F8">
        <w:t xml:space="preserve">er (en petits groupes) </w:t>
      </w:r>
      <w:r w:rsidR="00902C34" w:rsidRPr="008240F8">
        <w:t xml:space="preserve">de </w:t>
      </w:r>
      <w:r w:rsidRPr="008240F8">
        <w:t>quelques-unes des questions ci-après. S</w:t>
      </w:r>
      <w:r w:rsidR="00774932" w:rsidRPr="008240F8">
        <w:t>elon le temps disponible</w:t>
      </w:r>
      <w:r w:rsidRPr="008240F8">
        <w:t xml:space="preserve">, </w:t>
      </w:r>
      <w:r w:rsidR="00774932" w:rsidRPr="008240F8">
        <w:t xml:space="preserve">il y aura ensuite la possibilité de présenter </w:t>
      </w:r>
      <w:r w:rsidRPr="008240F8">
        <w:t>les conclusions et</w:t>
      </w:r>
      <w:r w:rsidR="00774932" w:rsidRPr="008240F8">
        <w:t xml:space="preserve"> d’élargir le débat en plénière</w:t>
      </w:r>
      <w:r w:rsidRPr="008240F8">
        <w:t>.</w:t>
      </w:r>
    </w:p>
    <w:p w:rsidR="00C171E7" w:rsidRPr="008240F8" w:rsidRDefault="00C171E7" w:rsidP="00C41D44">
      <w:pPr>
        <w:pStyle w:val="Soustitre"/>
      </w:pPr>
      <w:r w:rsidRPr="008240F8">
        <w:t xml:space="preserve">Questions à </w:t>
      </w:r>
      <w:r w:rsidR="004D7697" w:rsidRPr="008240F8">
        <w:t>pos</w:t>
      </w:r>
      <w:r w:rsidRPr="008240F8">
        <w:t xml:space="preserve">er </w:t>
      </w:r>
      <w:r w:rsidR="004D7697" w:rsidRPr="008240F8">
        <w:t>au regard</w:t>
      </w:r>
      <w:r w:rsidRPr="008240F8">
        <w:t xml:space="preserve"> de cette étude de cas :</w:t>
      </w:r>
    </w:p>
    <w:p w:rsidR="00C171E7" w:rsidRPr="008240F8" w:rsidRDefault="00C171E7" w:rsidP="00C0167F">
      <w:pPr>
        <w:pStyle w:val="Txtpucegras"/>
        <w:ind w:left="1134"/>
      </w:pPr>
      <w:r w:rsidRPr="008240F8">
        <w:t xml:space="preserve">Quelle est </w:t>
      </w:r>
      <w:r w:rsidR="004D7697" w:rsidRPr="008240F8">
        <w:t>la communauté concernée par le f</w:t>
      </w:r>
      <w:r w:rsidRPr="008240F8">
        <w:t>estival du Nouvel An des Qiang ?</w:t>
      </w:r>
    </w:p>
    <w:p w:rsidR="00C171E7" w:rsidRPr="008240F8" w:rsidRDefault="00C171E7" w:rsidP="00C0167F">
      <w:pPr>
        <w:pStyle w:val="Txtpucegras"/>
        <w:ind w:left="1134"/>
      </w:pPr>
      <w:r w:rsidRPr="008240F8">
        <w:t>Quelles menaces pèsent sur la viabilité du festival ?</w:t>
      </w:r>
    </w:p>
    <w:p w:rsidR="00C171E7" w:rsidRPr="008240F8" w:rsidRDefault="00C171E7" w:rsidP="00C0167F">
      <w:pPr>
        <w:pStyle w:val="Txtpucegras"/>
        <w:ind w:left="1134"/>
      </w:pPr>
      <w:r w:rsidRPr="008240F8">
        <w:t xml:space="preserve">Les mesures de sauvegarde (proposées et prises) </w:t>
      </w:r>
      <w:r w:rsidR="004D7697" w:rsidRPr="008240F8">
        <w:t>jugulent-elles</w:t>
      </w:r>
      <w:r w:rsidRPr="008240F8">
        <w:t xml:space="preserve"> toutes ces menaces ?</w:t>
      </w:r>
    </w:p>
    <w:p w:rsidR="00C171E7" w:rsidRPr="008240F8" w:rsidRDefault="00C171E7" w:rsidP="00C0167F">
      <w:pPr>
        <w:pStyle w:val="Txtpucegras"/>
        <w:ind w:left="1134"/>
      </w:pPr>
      <w:r w:rsidRPr="008240F8">
        <w:t>Comment les mesures de sauvegarde impliquent-elles la communauté concernée ?</w:t>
      </w:r>
    </w:p>
    <w:p w:rsidR="00C171E7" w:rsidRPr="008240F8" w:rsidRDefault="00C171E7" w:rsidP="00C0167F">
      <w:pPr>
        <w:pStyle w:val="Txtpucegras"/>
        <w:ind w:left="1134"/>
      </w:pPr>
      <w:r w:rsidRPr="008240F8">
        <w:t xml:space="preserve">Pouvez-vous </w:t>
      </w:r>
      <w:r w:rsidR="004D7697" w:rsidRPr="008240F8">
        <w:t>suggér</w:t>
      </w:r>
      <w:r w:rsidRPr="008240F8">
        <w:t>er d</w:t>
      </w:r>
      <w:r w:rsidR="001F7A0A" w:rsidRPr="008240F8">
        <w:t>’</w:t>
      </w:r>
      <w:r w:rsidRPr="008240F8">
        <w:t>autres mesures de sauvegarde pour cet élément ?</w:t>
      </w:r>
    </w:p>
    <w:p w:rsidR="00C171E7" w:rsidRPr="008240F8" w:rsidRDefault="00C171E7" w:rsidP="00C0167F">
      <w:pPr>
        <w:pStyle w:val="Txtpucegras"/>
        <w:ind w:left="1134"/>
      </w:pPr>
      <w:r w:rsidRPr="008240F8">
        <w:t xml:space="preserve">Comment </w:t>
      </w:r>
      <w:r w:rsidR="004D7697" w:rsidRPr="008240F8">
        <w:t xml:space="preserve">rendre </w:t>
      </w:r>
      <w:r w:rsidRPr="008240F8">
        <w:t>les documents de recherche sur le festival plus accessibles aux communautés concernées de manière à contribuer à la viabilité de l</w:t>
      </w:r>
      <w:r w:rsidR="001F7A0A" w:rsidRPr="008240F8">
        <w:t>’</w:t>
      </w:r>
      <w:r w:rsidRPr="008240F8">
        <w:t>élément ?</w:t>
      </w:r>
    </w:p>
    <w:p w:rsidR="00C171E7" w:rsidRPr="008240F8" w:rsidRDefault="00C171E7" w:rsidP="00C0167F">
      <w:pPr>
        <w:pStyle w:val="Txtpucegras"/>
        <w:ind w:left="1134"/>
      </w:pPr>
      <w:r w:rsidRPr="008240F8">
        <w:t xml:space="preserve">Si des articles nécessaires à la célébration du festival sont </w:t>
      </w:r>
      <w:r w:rsidR="00F6479C" w:rsidRPr="008240F8">
        <w:t>recueillis en vue d’</w:t>
      </w:r>
      <w:r w:rsidRPr="008240F8">
        <w:t>une exposition dans un musée, la viabilité de l</w:t>
      </w:r>
      <w:r w:rsidR="001F7A0A" w:rsidRPr="008240F8">
        <w:t>’</w:t>
      </w:r>
      <w:r w:rsidRPr="008240F8">
        <w:t>élément en sera-t-elle menacée ou renforcée ?</w:t>
      </w:r>
    </w:p>
    <w:p w:rsidR="00C171E7" w:rsidRPr="008240F8" w:rsidRDefault="00C171E7" w:rsidP="00C0167F">
      <w:pPr>
        <w:pStyle w:val="Txtpucegras"/>
        <w:ind w:left="1134"/>
      </w:pPr>
      <w:r w:rsidRPr="008240F8">
        <w:t>Accorderiez-vous un</w:t>
      </w:r>
      <w:r w:rsidR="00F6479C" w:rsidRPr="008240F8">
        <w:t>e</w:t>
      </w:r>
      <w:r w:rsidRPr="008240F8">
        <w:t xml:space="preserve"> </w:t>
      </w:r>
      <w:r w:rsidR="0053552B" w:rsidRPr="008240F8">
        <w:t>haut</w:t>
      </w:r>
      <w:r w:rsidR="00F6479C" w:rsidRPr="008240F8">
        <w:t>e</w:t>
      </w:r>
      <w:r w:rsidRPr="008240F8">
        <w:t xml:space="preserve"> priorité</w:t>
      </w:r>
      <w:r w:rsidR="0053552B" w:rsidRPr="008240F8">
        <w:t xml:space="preserve"> </w:t>
      </w:r>
      <w:r w:rsidRPr="008240F8">
        <w:t>à l</w:t>
      </w:r>
      <w:r w:rsidR="001F7A0A" w:rsidRPr="008240F8">
        <w:t>’</w:t>
      </w:r>
      <w:r w:rsidRPr="008240F8">
        <w:t>organisation de démonstrations du festival dans un musée ?</w:t>
      </w:r>
    </w:p>
    <w:p w:rsidR="00C171E7" w:rsidRPr="008240F8" w:rsidRDefault="00A7388F" w:rsidP="00C0167F">
      <w:pPr>
        <w:pStyle w:val="Txtpucegras"/>
        <w:ind w:left="1134"/>
      </w:pPr>
      <w:r w:rsidRPr="008240F8">
        <w:t>Sur q</w:t>
      </w:r>
      <w:r w:rsidR="00C171E7" w:rsidRPr="008240F8">
        <w:t xml:space="preserve">uelles approches </w:t>
      </w:r>
      <w:r w:rsidRPr="008240F8">
        <w:t>se fonder</w:t>
      </w:r>
      <w:r w:rsidR="00C171E7" w:rsidRPr="008240F8">
        <w:t xml:space="preserve"> pour garantir que les communautés concernées participent activement à toutes les mesures de sauvegarde proposées ?</w:t>
      </w:r>
    </w:p>
    <w:p w:rsidR="00C171E7" w:rsidRPr="008240F8" w:rsidRDefault="00C171E7" w:rsidP="00516EBD">
      <w:pPr>
        <w:pStyle w:val="Heading6"/>
        <w:rPr>
          <w:lang w:val="fr-FR"/>
        </w:rPr>
      </w:pPr>
      <w:r w:rsidRPr="008240F8">
        <w:rPr>
          <w:lang w:val="fr-FR"/>
        </w:rPr>
        <w:t>Diapositive 22</w:t>
      </w:r>
      <w:r w:rsidR="0053552B" w:rsidRPr="008240F8">
        <w:rPr>
          <w:lang w:val="fr-FR"/>
        </w:rPr>
        <w:t>.</w:t>
      </w:r>
    </w:p>
    <w:p w:rsidR="00C171E7" w:rsidRPr="008240F8" w:rsidRDefault="0053552B" w:rsidP="002F0F65">
      <w:pPr>
        <w:pStyle w:val="diapo2"/>
        <w:jc w:val="left"/>
        <w:rPr>
          <w:lang w:val="fr-FR"/>
        </w:rPr>
      </w:pPr>
      <w:r w:rsidRPr="008240F8">
        <w:rPr>
          <w:lang w:val="fr-FR"/>
        </w:rPr>
        <w:t>Étude de cas</w:t>
      </w:r>
      <w:r w:rsidR="00D223F2" w:rsidRPr="008240F8">
        <w:rPr>
          <w:lang w:val="fr-FR"/>
        </w:rPr>
        <w:t> :</w:t>
      </w:r>
      <w:r w:rsidR="005B79AF" w:rsidRPr="008240F8">
        <w:rPr>
          <w:lang w:val="fr-FR"/>
        </w:rPr>
        <w:t xml:space="preserve"> </w:t>
      </w:r>
      <w:r w:rsidRPr="008240F8">
        <w:rPr>
          <w:lang w:val="fr-FR"/>
        </w:rPr>
        <w:t xml:space="preserve">le </w:t>
      </w:r>
      <w:proofErr w:type="spellStart"/>
      <w:r w:rsidRPr="008240F8">
        <w:rPr>
          <w:lang w:val="fr-FR"/>
        </w:rPr>
        <w:t>Biyelgee</w:t>
      </w:r>
      <w:proofErr w:type="spellEnd"/>
      <w:r w:rsidRPr="008240F8">
        <w:rPr>
          <w:lang w:val="fr-FR"/>
        </w:rPr>
        <w:t xml:space="preserve"> mongol (M</w:t>
      </w:r>
      <w:r w:rsidR="00C171E7" w:rsidRPr="008240F8">
        <w:rPr>
          <w:lang w:val="fr-FR"/>
        </w:rPr>
        <w:t>ongol</w:t>
      </w:r>
      <w:r w:rsidRPr="008240F8">
        <w:rPr>
          <w:lang w:val="fr-FR"/>
        </w:rPr>
        <w:t>i</w:t>
      </w:r>
      <w:r w:rsidR="00C171E7" w:rsidRPr="008240F8">
        <w:rPr>
          <w:lang w:val="fr-FR"/>
        </w:rPr>
        <w:t>e</w:t>
      </w:r>
      <w:r w:rsidRPr="008240F8">
        <w:rPr>
          <w:lang w:val="fr-FR"/>
        </w:rPr>
        <w:t>)</w:t>
      </w:r>
    </w:p>
    <w:p w:rsidR="00C171E7" w:rsidRPr="008240F8" w:rsidRDefault="00C171E7" w:rsidP="00C41D44">
      <w:pPr>
        <w:pStyle w:val="Texte1"/>
      </w:pPr>
      <w:r w:rsidRPr="008240F8">
        <w:t>L</w:t>
      </w:r>
      <w:r w:rsidR="001F7A0A" w:rsidRPr="008240F8">
        <w:t>’</w:t>
      </w:r>
      <w:r w:rsidR="0091219D" w:rsidRPr="008240F8">
        <w:t>Étude</w:t>
      </w:r>
      <w:r w:rsidRPr="008240F8">
        <w:t xml:space="preserve"> de cas 27 </w:t>
      </w:r>
      <w:r w:rsidR="00A7388F" w:rsidRPr="008240F8">
        <w:t>montre</w:t>
      </w:r>
      <w:r w:rsidRPr="008240F8">
        <w:t xml:space="preserve"> les mesure</w:t>
      </w:r>
      <w:r w:rsidR="001371F7" w:rsidRPr="008240F8">
        <w:t xml:space="preserve">s de sauvegarde </w:t>
      </w:r>
      <w:r w:rsidR="00A7388F" w:rsidRPr="008240F8">
        <w:t>mises en place</w:t>
      </w:r>
      <w:r w:rsidR="001371F7" w:rsidRPr="008240F8">
        <w:t xml:space="preserve"> pour </w:t>
      </w:r>
      <w:r w:rsidRPr="008240F8">
        <w:t xml:space="preserve">« Le </w:t>
      </w:r>
      <w:proofErr w:type="spellStart"/>
      <w:r w:rsidRPr="008240F8">
        <w:t>Biyelgee</w:t>
      </w:r>
      <w:proofErr w:type="spellEnd"/>
      <w:r w:rsidRPr="008240F8">
        <w:t xml:space="preserve"> mongol : danse populair</w:t>
      </w:r>
      <w:r w:rsidR="00A7388F" w:rsidRPr="008240F8">
        <w:t>e traditionnelle mongole »,</w:t>
      </w:r>
      <w:r w:rsidRPr="008240F8">
        <w:t xml:space="preserve"> inscrit sur la </w:t>
      </w:r>
      <w:r w:rsidR="00394043" w:rsidRPr="008240F8">
        <w:t>L</w:t>
      </w:r>
      <w:r w:rsidR="001371F7" w:rsidRPr="008240F8">
        <w:t>SU</w:t>
      </w:r>
      <w:r w:rsidR="005E3EAD" w:rsidRPr="008240F8">
        <w:t xml:space="preserve"> </w:t>
      </w:r>
      <w:r w:rsidRPr="008240F8">
        <w:t>en 2009.</w:t>
      </w:r>
    </w:p>
    <w:p w:rsidR="00C171E7" w:rsidRPr="008240F8" w:rsidRDefault="00C171E7" w:rsidP="00C41D44">
      <w:pPr>
        <w:pStyle w:val="Texte1"/>
      </w:pPr>
      <w:r w:rsidRPr="008240F8">
        <w:t>Le facilitateur peut proposer aux participants de commencer par lire l</w:t>
      </w:r>
      <w:r w:rsidR="001F7A0A" w:rsidRPr="008240F8">
        <w:t>’</w:t>
      </w:r>
      <w:r w:rsidRPr="008240F8">
        <w:t>étude de cas</w:t>
      </w:r>
      <w:r w:rsidR="00A7388F" w:rsidRPr="008240F8">
        <w:t>,</w:t>
      </w:r>
      <w:r w:rsidRPr="008240F8">
        <w:t xml:space="preserve"> puis d</w:t>
      </w:r>
      <w:r w:rsidR="002E35C8" w:rsidRPr="008240F8">
        <w:t>e discuter</w:t>
      </w:r>
      <w:r w:rsidRPr="008240F8">
        <w:t xml:space="preserve"> (en petits groupes) </w:t>
      </w:r>
      <w:r w:rsidR="002E35C8" w:rsidRPr="008240F8">
        <w:t xml:space="preserve">de </w:t>
      </w:r>
      <w:r w:rsidR="00A7388F" w:rsidRPr="008240F8">
        <w:t>plusieurs</w:t>
      </w:r>
      <w:r w:rsidRPr="008240F8">
        <w:t xml:space="preserve"> des questions </w:t>
      </w:r>
      <w:r w:rsidR="00A7388F" w:rsidRPr="008240F8">
        <w:t>suivante</w:t>
      </w:r>
      <w:r w:rsidRPr="008240F8">
        <w:t xml:space="preserve">s. </w:t>
      </w:r>
      <w:r w:rsidR="00A7388F" w:rsidRPr="008240F8">
        <w:t>Selon le temps disponible, il y aura ensuite la possibilité de présenter les conclusions et d’élargir le débat en plénière</w:t>
      </w:r>
      <w:r w:rsidRPr="008240F8">
        <w:t>.</w:t>
      </w:r>
    </w:p>
    <w:p w:rsidR="00C171E7" w:rsidRPr="008240F8" w:rsidRDefault="00C171E7" w:rsidP="00C41D44">
      <w:pPr>
        <w:pStyle w:val="Soustitre"/>
      </w:pPr>
      <w:r w:rsidRPr="008240F8">
        <w:t xml:space="preserve">Questions à </w:t>
      </w:r>
      <w:r w:rsidR="00A7388F" w:rsidRPr="008240F8">
        <w:t xml:space="preserve">poser au regard </w:t>
      </w:r>
      <w:r w:rsidRPr="008240F8">
        <w:t>de cette étude de cas :</w:t>
      </w:r>
    </w:p>
    <w:p w:rsidR="00C171E7" w:rsidRPr="008240F8" w:rsidRDefault="00C171E7" w:rsidP="00C0167F">
      <w:pPr>
        <w:pStyle w:val="Txtpucegras"/>
        <w:ind w:left="1134"/>
      </w:pPr>
      <w:r w:rsidRPr="008240F8">
        <w:t xml:space="preserve">Quelles sont les </w:t>
      </w:r>
      <w:r w:rsidR="00A7388F" w:rsidRPr="008240F8">
        <w:t xml:space="preserve">principales menaces </w:t>
      </w:r>
      <w:r w:rsidRPr="008240F8">
        <w:t xml:space="preserve">qui pèsent sur la viabilité de la danse populaire </w:t>
      </w:r>
      <w:proofErr w:type="spellStart"/>
      <w:r w:rsidRPr="008240F8">
        <w:t>Biyelgee</w:t>
      </w:r>
      <w:proofErr w:type="spellEnd"/>
      <w:r w:rsidRPr="008240F8">
        <w:t> ?</w:t>
      </w:r>
    </w:p>
    <w:p w:rsidR="00C171E7" w:rsidRPr="008240F8" w:rsidRDefault="00C171E7" w:rsidP="00C0167F">
      <w:pPr>
        <w:pStyle w:val="Txtpucegras"/>
        <w:ind w:left="1134"/>
      </w:pPr>
      <w:r w:rsidRPr="008240F8">
        <w:t>Comment les mesures de sauvegarde tentent-elles de contrer ces menaces ?</w:t>
      </w:r>
    </w:p>
    <w:p w:rsidR="00C171E7" w:rsidRPr="008240F8" w:rsidRDefault="00C171E7" w:rsidP="00C0167F">
      <w:pPr>
        <w:pStyle w:val="Txtpucegras"/>
        <w:ind w:left="1134"/>
      </w:pPr>
      <w:r w:rsidRPr="008240F8">
        <w:t>Pouvez-vous trouver d</w:t>
      </w:r>
      <w:r w:rsidR="001F7A0A" w:rsidRPr="008240F8">
        <w:t>’</w:t>
      </w:r>
      <w:r w:rsidRPr="008240F8">
        <w:t>autres mesures de sauvegarde qui seraient appropriées ?</w:t>
      </w:r>
    </w:p>
    <w:p w:rsidR="00C171E7" w:rsidRPr="008240F8" w:rsidRDefault="00A7388F" w:rsidP="00C0167F">
      <w:pPr>
        <w:pStyle w:val="Txtpucegras"/>
        <w:ind w:left="1134"/>
      </w:pPr>
      <w:r w:rsidRPr="008240F8">
        <w:t>Serait-il</w:t>
      </w:r>
      <w:r w:rsidR="00C171E7" w:rsidRPr="008240F8">
        <w:t xml:space="preserve"> bénéfique ou </w:t>
      </w:r>
      <w:r w:rsidRPr="008240F8">
        <w:t>néfaste pour</w:t>
      </w:r>
      <w:r w:rsidR="00C171E7" w:rsidRPr="008240F8">
        <w:t xml:space="preserve"> la sauvegarde de la danse populaire </w:t>
      </w:r>
      <w:proofErr w:type="spellStart"/>
      <w:r w:rsidR="00C171E7" w:rsidRPr="008240F8">
        <w:t>Biyelgee</w:t>
      </w:r>
      <w:proofErr w:type="spellEnd"/>
      <w:r w:rsidR="00C171E7" w:rsidRPr="008240F8">
        <w:t xml:space="preserve"> de </w:t>
      </w:r>
      <w:r w:rsidRPr="008240F8">
        <w:t>prescrire la manière dont elle devrai</w:t>
      </w:r>
      <w:r w:rsidR="00C171E7" w:rsidRPr="008240F8">
        <w:t>t être exécutée ?</w:t>
      </w:r>
    </w:p>
    <w:p w:rsidR="00C171E7" w:rsidRPr="008240F8" w:rsidRDefault="00C171E7" w:rsidP="00C0167F">
      <w:pPr>
        <w:pStyle w:val="Txtpucegras"/>
        <w:ind w:left="1134"/>
      </w:pPr>
      <w:r w:rsidRPr="008240F8">
        <w:t xml:space="preserve">Comment des documents de recherche sur la danse populaire </w:t>
      </w:r>
      <w:proofErr w:type="spellStart"/>
      <w:r w:rsidRPr="008240F8">
        <w:t>Biyelgee</w:t>
      </w:r>
      <w:proofErr w:type="spellEnd"/>
      <w:r w:rsidRPr="008240F8">
        <w:t xml:space="preserve"> peuvent-ils être </w:t>
      </w:r>
      <w:r w:rsidR="00A7388F" w:rsidRPr="008240F8">
        <w:t>rendus accessibles aux</w:t>
      </w:r>
      <w:r w:rsidRPr="008240F8">
        <w:t xml:space="preserve"> communautés concernées ?</w:t>
      </w:r>
    </w:p>
    <w:p w:rsidR="00C171E7" w:rsidRPr="008240F8" w:rsidRDefault="00C171E7" w:rsidP="00C0167F">
      <w:pPr>
        <w:pStyle w:val="Txtpucegras"/>
        <w:ind w:left="1134"/>
      </w:pPr>
      <w:r w:rsidRPr="008240F8">
        <w:t xml:space="preserve">Comment </w:t>
      </w:r>
      <w:r w:rsidR="00A7388F" w:rsidRPr="008240F8">
        <w:t>faire en sorte que les</w:t>
      </w:r>
      <w:r w:rsidRPr="008240F8">
        <w:t xml:space="preserve"> communautés concernées </w:t>
      </w:r>
      <w:r w:rsidR="00A7388F" w:rsidRPr="008240F8">
        <w:t xml:space="preserve">occupent une place prépondérante </w:t>
      </w:r>
      <w:r w:rsidRPr="008240F8">
        <w:t>dans l</w:t>
      </w:r>
      <w:r w:rsidR="001F7A0A" w:rsidRPr="008240F8">
        <w:t>’</w:t>
      </w:r>
      <w:r w:rsidRPr="008240F8">
        <w:t>exécution des plans de sauvegarde ?</w:t>
      </w:r>
    </w:p>
    <w:p w:rsidR="005D4395" w:rsidRPr="008240F8" w:rsidRDefault="00C171E7" w:rsidP="00C0167F">
      <w:pPr>
        <w:pStyle w:val="Txtpucegras"/>
        <w:ind w:left="1134"/>
      </w:pPr>
      <w:r w:rsidRPr="008240F8">
        <w:lastRenderedPageBreak/>
        <w:t xml:space="preserve">La danse populaire </w:t>
      </w:r>
      <w:proofErr w:type="spellStart"/>
      <w:r w:rsidRPr="008240F8">
        <w:t>Biyelgee</w:t>
      </w:r>
      <w:proofErr w:type="spellEnd"/>
      <w:r w:rsidRPr="008240F8">
        <w:t xml:space="preserve"> incarne un mode de vie nomade qui disparaît rapidement avec la migration des populations vers </w:t>
      </w:r>
      <w:r w:rsidR="004351EB" w:rsidRPr="008240F8">
        <w:t>les villes. Selon vous, quelles interventions en matière de sauvegarde faudrait-il envisager</w:t>
      </w:r>
      <w:r w:rsidRPr="008240F8">
        <w:t xml:space="preserve"> pour les zones urbaines ?</w:t>
      </w:r>
    </w:p>
    <w:p w:rsidR="005D4395" w:rsidRPr="008240F8" w:rsidRDefault="005D4395">
      <w:pPr>
        <w:widowControl/>
        <w:tabs>
          <w:tab w:val="clear" w:pos="567"/>
        </w:tabs>
        <w:snapToGrid/>
        <w:spacing w:after="0" w:line="240" w:lineRule="auto"/>
        <w:jc w:val="left"/>
      </w:pPr>
      <w:r w:rsidRPr="008240F8">
        <w:br w:type="page"/>
      </w:r>
    </w:p>
    <w:p w:rsidR="00C171E7" w:rsidRPr="008240F8" w:rsidRDefault="000D46CA" w:rsidP="00C41D44">
      <w:pPr>
        <w:pStyle w:val="Chapitre"/>
      </w:pPr>
      <w:bookmarkStart w:id="10" w:name="_Toc241553732"/>
      <w:bookmarkStart w:id="11" w:name="_Toc302374691"/>
      <w:bookmarkStart w:id="12" w:name="_Toc319060169"/>
      <w:r w:rsidRPr="008240F8">
        <w:lastRenderedPageBreak/>
        <w:t xml:space="preserve">UnitÉ </w:t>
      </w:r>
      <w:r w:rsidR="00C171E7" w:rsidRPr="008240F8">
        <w:t>9</w:t>
      </w:r>
      <w:bookmarkEnd w:id="10"/>
    </w:p>
    <w:p w:rsidR="00C171E7" w:rsidRPr="008240F8" w:rsidRDefault="00D93211" w:rsidP="00C41D44">
      <w:pPr>
        <w:pStyle w:val="Titcoul"/>
      </w:pPr>
      <w:bookmarkStart w:id="13" w:name="_Toc241553733"/>
      <w:r w:rsidRPr="008240F8">
        <w:t xml:space="preserve">Visite </w:t>
      </w:r>
      <w:r w:rsidR="00C171E7" w:rsidRPr="008240F8">
        <w:t>d</w:t>
      </w:r>
      <w:r w:rsidR="001F7A0A" w:rsidRPr="008240F8">
        <w:t>’</w:t>
      </w:r>
      <w:r w:rsidR="00C171E7" w:rsidRPr="008240F8">
        <w:t>un projet</w:t>
      </w:r>
      <w:r w:rsidRPr="008240F8">
        <w:t xml:space="preserve"> </w:t>
      </w:r>
      <w:r w:rsidR="00C171E7" w:rsidRPr="008240F8">
        <w:t>de sauvegarde</w:t>
      </w:r>
      <w:bookmarkEnd w:id="11"/>
      <w:bookmarkEnd w:id="12"/>
      <w:bookmarkEnd w:id="13"/>
    </w:p>
    <w:p w:rsidR="00C171E7" w:rsidRPr="008240F8" w:rsidRDefault="00C171E7" w:rsidP="00C41D44">
      <w:pPr>
        <w:pStyle w:val="Texte1"/>
      </w:pPr>
      <w:r w:rsidRPr="008240F8">
        <w:t xml:space="preserve">Il peut </w:t>
      </w:r>
      <w:r w:rsidR="00DD31E3" w:rsidRPr="008240F8">
        <w:t>être</w:t>
      </w:r>
      <w:r w:rsidR="009F7F9B" w:rsidRPr="008240F8">
        <w:t xml:space="preserve"> utile</w:t>
      </w:r>
      <w:r w:rsidRPr="008240F8">
        <w:t xml:space="preserve"> pour les participants d</w:t>
      </w:r>
      <w:r w:rsidR="009F7F9B" w:rsidRPr="008240F8">
        <w:t>’aller visiter</w:t>
      </w:r>
      <w:r w:rsidRPr="008240F8">
        <w:t xml:space="preserve"> un </w:t>
      </w:r>
      <w:r w:rsidR="00CB48F8" w:rsidRPr="008240F8">
        <w:t>endroit</w:t>
      </w:r>
      <w:r w:rsidRPr="008240F8">
        <w:t xml:space="preserve"> où </w:t>
      </w:r>
      <w:r w:rsidR="005365E6" w:rsidRPr="008240F8">
        <w:t>se déroule</w:t>
      </w:r>
      <w:r w:rsidR="00863208" w:rsidRPr="008240F8">
        <w:t xml:space="preserve"> </w:t>
      </w:r>
      <w:r w:rsidR="00527090" w:rsidRPr="008240F8">
        <w:t xml:space="preserve">un projet de sauvegarde </w:t>
      </w:r>
      <w:r w:rsidR="00CB48F8" w:rsidRPr="008240F8">
        <w:t xml:space="preserve">au niveau </w:t>
      </w:r>
      <w:r w:rsidR="00863208" w:rsidRPr="008240F8">
        <w:t>local</w:t>
      </w:r>
      <w:r w:rsidR="005365E6" w:rsidRPr="008240F8">
        <w:t xml:space="preserve"> afin d’</w:t>
      </w:r>
      <w:r w:rsidR="00863208" w:rsidRPr="008240F8">
        <w:t>appréhender</w:t>
      </w:r>
      <w:r w:rsidRPr="008240F8">
        <w:t xml:space="preserve"> les difficultés pratiques </w:t>
      </w:r>
      <w:r w:rsidR="00863208" w:rsidRPr="008240F8">
        <w:t>que pose</w:t>
      </w:r>
      <w:r w:rsidRPr="008240F8">
        <w:t xml:space="preserve"> la sauvegarde d</w:t>
      </w:r>
      <w:r w:rsidR="001F7A0A" w:rsidRPr="008240F8">
        <w:t>’</w:t>
      </w:r>
      <w:r w:rsidR="00863208" w:rsidRPr="008240F8">
        <w:t>un élément</w:t>
      </w:r>
      <w:r w:rsidRPr="008240F8">
        <w:t xml:space="preserve"> et les </w:t>
      </w:r>
      <w:r w:rsidR="00863208" w:rsidRPr="008240F8">
        <w:t xml:space="preserve">bonnes </w:t>
      </w:r>
      <w:r w:rsidRPr="008240F8">
        <w:t xml:space="preserve">stratégies élaborées pour </w:t>
      </w:r>
      <w:r w:rsidR="00CB48F8" w:rsidRPr="008240F8">
        <w:t>relever ces défis</w:t>
      </w:r>
      <w:r w:rsidRPr="008240F8">
        <w:t xml:space="preserve">. </w:t>
      </w:r>
      <w:r w:rsidR="00DD31E3" w:rsidRPr="008240F8">
        <w:t>Une autre possibilité serait d’inviter</w:t>
      </w:r>
      <w:r w:rsidRPr="008240F8">
        <w:t xml:space="preserve"> les </w:t>
      </w:r>
      <w:r w:rsidR="00DD31E3" w:rsidRPr="008240F8">
        <w:t xml:space="preserve">membres du </w:t>
      </w:r>
      <w:r w:rsidRPr="008240F8">
        <w:t>projet à se rendre sur le</w:t>
      </w:r>
      <w:r w:rsidR="00CB48F8" w:rsidRPr="008240F8">
        <w:t>s</w:t>
      </w:r>
      <w:r w:rsidRPr="008240F8">
        <w:t xml:space="preserve"> lieu</w:t>
      </w:r>
      <w:r w:rsidR="00CB48F8" w:rsidRPr="008240F8">
        <w:t>x d</w:t>
      </w:r>
      <w:r w:rsidRPr="008240F8">
        <w:t>e l</w:t>
      </w:r>
      <w:r w:rsidR="001F7A0A" w:rsidRPr="008240F8">
        <w:t>’</w:t>
      </w:r>
      <w:r w:rsidRPr="008240F8">
        <w:t xml:space="preserve">atelier </w:t>
      </w:r>
      <w:r w:rsidR="00CB48F8" w:rsidRPr="008240F8">
        <w:t>et</w:t>
      </w:r>
      <w:r w:rsidRPr="008240F8">
        <w:t xml:space="preserve"> </w:t>
      </w:r>
      <w:r w:rsidR="00CB48F8" w:rsidRPr="008240F8">
        <w:t>à livr</w:t>
      </w:r>
      <w:r w:rsidRPr="008240F8">
        <w:t xml:space="preserve">er un bref exposé aux participants sur les stratégies et les processus qui ont </w:t>
      </w:r>
      <w:r w:rsidR="005365E6" w:rsidRPr="008240F8">
        <w:t>abouti</w:t>
      </w:r>
      <w:r w:rsidR="00CB48F8" w:rsidRPr="008240F8">
        <w:t xml:space="preserve"> </w:t>
      </w:r>
      <w:r w:rsidRPr="008240F8">
        <w:t xml:space="preserve">à </w:t>
      </w:r>
      <w:r w:rsidR="00CB48F8" w:rsidRPr="008240F8">
        <w:t xml:space="preserve">la </w:t>
      </w:r>
      <w:r w:rsidRPr="008240F8">
        <w:t>sauvegarde</w:t>
      </w:r>
      <w:r w:rsidR="00CB48F8" w:rsidRPr="008240F8">
        <w:t xml:space="preserve"> d’</w:t>
      </w:r>
      <w:r w:rsidRPr="008240F8">
        <w:t xml:space="preserve">un élément du PCI, </w:t>
      </w:r>
      <w:r w:rsidR="00CB48F8" w:rsidRPr="008240F8">
        <w:t>et</w:t>
      </w:r>
      <w:r w:rsidRPr="008240F8">
        <w:t xml:space="preserve"> sur </w:t>
      </w:r>
      <w:r w:rsidR="005365E6" w:rsidRPr="008240F8">
        <w:t>les opérations moins</w:t>
      </w:r>
      <w:r w:rsidR="00CB48F8" w:rsidRPr="008240F8">
        <w:t xml:space="preserve"> </w:t>
      </w:r>
      <w:r w:rsidR="005365E6" w:rsidRPr="008240F8">
        <w:t>réussies</w:t>
      </w:r>
      <w:r w:rsidR="006B17B2" w:rsidRPr="008240F8">
        <w:t>. Il faudrait prévoir un</w:t>
      </w:r>
      <w:r w:rsidRPr="008240F8">
        <w:t xml:space="preserve"> temps </w:t>
      </w:r>
      <w:r w:rsidR="006B17B2" w:rsidRPr="008240F8">
        <w:t xml:space="preserve">de parole autour des questions des  </w:t>
      </w:r>
      <w:r w:rsidRPr="008240F8">
        <w:t>participants.</w:t>
      </w:r>
    </w:p>
    <w:p w:rsidR="00C171E7" w:rsidRPr="008240F8" w:rsidRDefault="00C171E7" w:rsidP="00C41D44">
      <w:pPr>
        <w:pStyle w:val="Texte1"/>
      </w:pPr>
      <w:r w:rsidRPr="008240F8">
        <w:t xml:space="preserve">Si une telle visite </w:t>
      </w:r>
      <w:r w:rsidR="005365E6" w:rsidRPr="008240F8">
        <w:t>est organisée</w:t>
      </w:r>
      <w:r w:rsidRPr="008240F8">
        <w:t xml:space="preserve">, </w:t>
      </w:r>
      <w:r w:rsidR="005365E6" w:rsidRPr="008240F8">
        <w:t>il appartient au</w:t>
      </w:r>
      <w:r w:rsidRPr="008240F8">
        <w:t xml:space="preserve"> facilitateur d</w:t>
      </w:r>
      <w:r w:rsidR="005365E6" w:rsidRPr="008240F8">
        <w:t>’</w:t>
      </w:r>
      <w:r w:rsidRPr="008240F8">
        <w:t>aider les participants à structurer les raisonneme</w:t>
      </w:r>
      <w:r w:rsidR="005365E6" w:rsidRPr="008240F8">
        <w:t>nts possibles et à réfléchir à</w:t>
      </w:r>
      <w:r w:rsidRPr="008240F8">
        <w:t xml:space="preserve"> leur expérience de la visite. </w:t>
      </w:r>
      <w:r w:rsidR="005365E6" w:rsidRPr="008240F8">
        <w:t xml:space="preserve">Par exemple, il pourrait préparer </w:t>
      </w:r>
      <w:r w:rsidRPr="008240F8">
        <w:t>un</w:t>
      </w:r>
      <w:r w:rsidR="005365E6" w:rsidRPr="008240F8">
        <w:t>e fiche</w:t>
      </w:r>
      <w:r w:rsidRPr="008240F8">
        <w:t xml:space="preserve"> demandant aux participants de </w:t>
      </w:r>
      <w:r w:rsidR="005365E6" w:rsidRPr="008240F8">
        <w:t xml:space="preserve">formuler </w:t>
      </w:r>
      <w:r w:rsidRPr="008240F8">
        <w:t xml:space="preserve">des questions précises </w:t>
      </w:r>
      <w:r w:rsidR="005365E6" w:rsidRPr="008240F8">
        <w:t>à poser lors de</w:t>
      </w:r>
      <w:r w:rsidRPr="008240F8">
        <w:t xml:space="preserve"> la visite (ces questions ne s</w:t>
      </w:r>
      <w:r w:rsidR="001F7A0A" w:rsidRPr="008240F8">
        <w:t>’</w:t>
      </w:r>
      <w:r w:rsidRPr="008240F8">
        <w:t xml:space="preserve">adresseraient pas nécessairement </w:t>
      </w:r>
      <w:r w:rsidR="005365E6" w:rsidRPr="008240F8">
        <w:t xml:space="preserve">et </w:t>
      </w:r>
      <w:r w:rsidRPr="008240F8">
        <w:t>directement aux membres du projet). Le facilitateur pourrait demander aux participants d</w:t>
      </w:r>
      <w:r w:rsidR="001F7A0A" w:rsidRPr="008240F8">
        <w:t>’</w:t>
      </w:r>
      <w:r w:rsidRPr="008240F8">
        <w:t>en rendre compte brièvement le lendemain. Il est important de prévoir un moment dans l</w:t>
      </w:r>
      <w:r w:rsidR="001F7A0A" w:rsidRPr="008240F8">
        <w:t>’</w:t>
      </w:r>
      <w:r w:rsidRPr="008240F8">
        <w:t xml:space="preserve">emploi du temps </w:t>
      </w:r>
      <w:r w:rsidR="005365E6" w:rsidRPr="008240F8">
        <w:t>qui permette aux</w:t>
      </w:r>
      <w:r w:rsidRPr="008240F8">
        <w:t xml:space="preserve"> participants </w:t>
      </w:r>
      <w:r w:rsidR="005365E6" w:rsidRPr="008240F8">
        <w:t>de</w:t>
      </w:r>
      <w:r w:rsidRPr="008240F8">
        <w:t xml:space="preserve"> réfléchir aux enseignem</w:t>
      </w:r>
      <w:r w:rsidR="005365E6" w:rsidRPr="008240F8">
        <w:t xml:space="preserve">ents </w:t>
      </w:r>
      <w:r w:rsidRPr="008240F8">
        <w:t>de la visite.</w:t>
      </w:r>
    </w:p>
    <w:p w:rsidR="00C171E7" w:rsidRPr="008240F8" w:rsidRDefault="00C171E7" w:rsidP="00C41D44">
      <w:pPr>
        <w:pStyle w:val="Texte1"/>
      </w:pPr>
      <w:r w:rsidRPr="008240F8">
        <w:t>S</w:t>
      </w:r>
      <w:r w:rsidR="006025B1" w:rsidRPr="008240F8">
        <w:t xml:space="preserve">i une telle visite </w:t>
      </w:r>
      <w:r w:rsidRPr="008240F8">
        <w:t>n</w:t>
      </w:r>
      <w:r w:rsidR="001F7A0A" w:rsidRPr="008240F8">
        <w:t>’</w:t>
      </w:r>
      <w:r w:rsidR="006025B1" w:rsidRPr="008240F8">
        <w:t>est pas possible ni</w:t>
      </w:r>
      <w:r w:rsidRPr="008240F8">
        <w:t xml:space="preserve"> </w:t>
      </w:r>
      <w:r w:rsidR="006025B1" w:rsidRPr="008240F8">
        <w:t>appropriée</w:t>
      </w:r>
      <w:r w:rsidRPr="008240F8">
        <w:t xml:space="preserve">, </w:t>
      </w:r>
      <w:r w:rsidR="009E5501" w:rsidRPr="008240F8">
        <w:t xml:space="preserve">on peut envisager comme alternative </w:t>
      </w:r>
      <w:r w:rsidRPr="008240F8">
        <w:t xml:space="preserve">une </w:t>
      </w:r>
      <w:r w:rsidR="00F4469D" w:rsidRPr="008240F8">
        <w:t>discussion autour</w:t>
      </w:r>
      <w:r w:rsidRPr="008240F8">
        <w:t xml:space="preserve"> de </w:t>
      </w:r>
      <w:r w:rsidR="009E5501" w:rsidRPr="008240F8">
        <w:t>matériel</w:t>
      </w:r>
      <w:r w:rsidRPr="008240F8">
        <w:t xml:space="preserve"> vidéo sur la sauvegarde et la participation des communaut</w:t>
      </w:r>
      <w:r w:rsidR="009E5501" w:rsidRPr="008240F8">
        <w:t>és. Le facilitateur devra sélectionner l</w:t>
      </w:r>
      <w:r w:rsidR="00F4469D" w:rsidRPr="008240F8">
        <w:t>es v</w:t>
      </w:r>
      <w:r w:rsidRPr="008240F8">
        <w:t>idéos adéq</w:t>
      </w:r>
      <w:r w:rsidR="00F4469D" w:rsidRPr="008240F8">
        <w:t>uates. Les participants pourraie</w:t>
      </w:r>
      <w:r w:rsidRPr="008240F8">
        <w:t xml:space="preserve">nt être encouragés à </w:t>
      </w:r>
      <w:r w:rsidR="00F4469D" w:rsidRPr="008240F8">
        <w:t>identifier</w:t>
      </w:r>
      <w:r w:rsidRPr="008240F8">
        <w:t xml:space="preserve"> les menaces et les risques </w:t>
      </w:r>
      <w:r w:rsidR="00F4469D" w:rsidRPr="008240F8">
        <w:t>qui pèsent sur</w:t>
      </w:r>
      <w:r w:rsidRPr="008240F8">
        <w:t xml:space="preserve"> l</w:t>
      </w:r>
      <w:r w:rsidR="001F7A0A" w:rsidRPr="008240F8">
        <w:t>’</w:t>
      </w:r>
      <w:r w:rsidR="00F4469D" w:rsidRPr="008240F8">
        <w:t>élément, l</w:t>
      </w:r>
      <w:r w:rsidRPr="008240F8">
        <w:t xml:space="preserve">es mesures de sauvegarde pour </w:t>
      </w:r>
      <w:r w:rsidR="00F4469D" w:rsidRPr="008240F8">
        <w:t>les juguler,</w:t>
      </w:r>
      <w:r w:rsidRPr="008240F8">
        <w:t xml:space="preserve"> et à examiner comment les communautés concernées ont été associées à la promotion de la viabilité du PCI. </w:t>
      </w:r>
      <w:r w:rsidR="00F4469D" w:rsidRPr="008240F8">
        <w:t>On p</w:t>
      </w:r>
      <w:r w:rsidR="00A66EDF" w:rsidRPr="008240F8">
        <w:t xml:space="preserve">ourrait prendre </w:t>
      </w:r>
      <w:r w:rsidR="00F4469D" w:rsidRPr="008240F8">
        <w:t>d</w:t>
      </w:r>
      <w:r w:rsidRPr="008240F8">
        <w:t xml:space="preserve">es exemples locaux, mais le </w:t>
      </w:r>
      <w:r w:rsidR="00F4469D" w:rsidRPr="008240F8">
        <w:t xml:space="preserve">fait de </w:t>
      </w:r>
      <w:r w:rsidR="00A66EDF" w:rsidRPr="008240F8">
        <w:t>citer</w:t>
      </w:r>
      <w:r w:rsidR="00F4469D" w:rsidRPr="008240F8">
        <w:t xml:space="preserve"> </w:t>
      </w:r>
      <w:r w:rsidR="00A66EDF" w:rsidRPr="008240F8">
        <w:t>de temps à autre un nouvel exemple provenant</w:t>
      </w:r>
      <w:r w:rsidR="00F4469D" w:rsidRPr="008240F8">
        <w:t xml:space="preserve"> </w:t>
      </w:r>
      <w:r w:rsidRPr="008240F8">
        <w:t>d</w:t>
      </w:r>
      <w:r w:rsidR="001F7A0A" w:rsidRPr="008240F8">
        <w:t>’</w:t>
      </w:r>
      <w:r w:rsidRPr="008240F8">
        <w:t>une autre région incite</w:t>
      </w:r>
      <w:r w:rsidR="00F4469D" w:rsidRPr="008240F8">
        <w:t>ra</w:t>
      </w:r>
      <w:r w:rsidRPr="008240F8">
        <w:t xml:space="preserve"> </w:t>
      </w:r>
      <w:r w:rsidR="00A66EDF" w:rsidRPr="008240F8">
        <w:t xml:space="preserve">les participants </w:t>
      </w:r>
      <w:r w:rsidRPr="008240F8">
        <w:t>à développer un</w:t>
      </w:r>
      <w:r w:rsidR="00F4469D" w:rsidRPr="008240F8">
        <w:t xml:space="preserve"> esprit </w:t>
      </w:r>
      <w:r w:rsidRPr="008240F8">
        <w:t>critique</w:t>
      </w:r>
      <w:r w:rsidR="00A66EDF" w:rsidRPr="008240F8">
        <w:t xml:space="preserve"> sur les sujets à l’étude</w:t>
      </w:r>
      <w:r w:rsidRPr="008240F8">
        <w:t>.</w:t>
      </w:r>
    </w:p>
    <w:p w:rsidR="00C171E7" w:rsidRPr="008240F8" w:rsidRDefault="00A66EDF" w:rsidP="00F66A10">
      <w:pPr>
        <w:pStyle w:val="Texte1"/>
      </w:pPr>
      <w:r w:rsidRPr="008240F8">
        <w:t>L</w:t>
      </w:r>
      <w:r w:rsidR="00C171E7" w:rsidRPr="008240F8">
        <w:t>es participants pourraient examiner</w:t>
      </w:r>
      <w:r w:rsidRPr="008240F8">
        <w:t xml:space="preserve">, par exemple, </w:t>
      </w:r>
      <w:r w:rsidR="00C171E7" w:rsidRPr="008240F8">
        <w:t>la vidéo de</w:t>
      </w:r>
      <w:r w:rsidRPr="008240F8">
        <w:t xml:space="preserve"> la</w:t>
      </w:r>
      <w:r w:rsidR="00C171E7" w:rsidRPr="008240F8">
        <w:t xml:space="preserve"> candidature de </w:t>
      </w:r>
      <w:r w:rsidR="00C171E7" w:rsidRPr="00C0167F">
        <w:t>« L</w:t>
      </w:r>
      <w:r w:rsidR="001F7A0A" w:rsidRPr="00C0167F">
        <w:t>’</w:t>
      </w:r>
      <w:r w:rsidR="00C171E7" w:rsidRPr="00C0167F">
        <w:t xml:space="preserve">imprimerie chinoise </w:t>
      </w:r>
      <w:r w:rsidR="00C171E7" w:rsidRPr="008240F8">
        <w:t>à caractères mobiles en bois » :</w:t>
      </w:r>
    </w:p>
    <w:p w:rsidR="00A66EDF" w:rsidRPr="005F0586" w:rsidRDefault="00C0167F" w:rsidP="005F0586">
      <w:pPr>
        <w:pStyle w:val="Informations"/>
      </w:pPr>
      <w:r w:rsidRPr="005F0586">
        <w:rPr>
          <w:noProof/>
          <w:lang w:eastAsia="fr-FR"/>
        </w:rPr>
        <w:drawing>
          <wp:anchor distT="0" distB="0" distL="114300" distR="114300" simplePos="0" relativeHeight="251686400" behindDoc="0" locked="1" layoutInCell="1" allowOverlap="0" wp14:anchorId="720BEC4D" wp14:editId="4E752F52">
            <wp:simplePos x="0" y="0"/>
            <wp:positionH relativeFrom="margin">
              <wp:align>left</wp:align>
            </wp:positionH>
            <wp:positionV relativeFrom="paragraph">
              <wp:posOffset>-57785</wp:posOffset>
            </wp:positionV>
            <wp:extent cx="273685" cy="3467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A66EDF" w:rsidRPr="005F0586">
          <w:rPr>
            <w:rStyle w:val="Hyperlink"/>
            <w:color w:val="3366FF"/>
            <w:u w:val="none"/>
          </w:rPr>
          <w:t>http://www.unesco.org/culture/ich/fr/USL/00322</w:t>
        </w:r>
      </w:hyperlink>
    </w:p>
    <w:sectPr w:rsidR="00A66EDF" w:rsidRPr="005F0586" w:rsidSect="00302A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oddPage"/>
      <w:pgSz w:w="11906" w:h="16838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9B72E8" w15:done="0"/>
  <w15:commentEx w15:paraId="463332A8" w15:done="0"/>
  <w15:commentEx w15:paraId="738FFD14" w15:done="0"/>
  <w15:commentEx w15:paraId="5D282511" w15:done="0"/>
  <w15:commentEx w15:paraId="7BA5029A" w15:done="0"/>
  <w15:commentEx w15:paraId="7131BC27" w15:done="0"/>
  <w15:commentEx w15:paraId="489D0733" w15:done="0"/>
  <w15:commentEx w15:paraId="3F7962E8" w15:done="0"/>
  <w15:commentEx w15:paraId="6467F4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9D" w:rsidRDefault="00F4469D">
      <w:r>
        <w:separator/>
      </w:r>
    </w:p>
    <w:p w:rsidR="00F4469D" w:rsidRDefault="00F4469D"/>
    <w:p w:rsidR="00F4469D" w:rsidRDefault="00F4469D"/>
    <w:p w:rsidR="00F4469D" w:rsidRDefault="00F4469D"/>
  </w:endnote>
  <w:endnote w:type="continuationSeparator" w:id="0">
    <w:p w:rsidR="00F4469D" w:rsidRDefault="00F4469D">
      <w:r>
        <w:continuationSeparator/>
      </w:r>
    </w:p>
    <w:p w:rsidR="00F4469D" w:rsidRDefault="00F4469D"/>
    <w:p w:rsidR="00F4469D" w:rsidRDefault="00F4469D"/>
    <w:p w:rsidR="00F4469D" w:rsidRDefault="00F44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69D" w:rsidRPr="00D53593" w:rsidRDefault="0062003F" w:rsidP="00283F94">
    <w:pPr>
      <w:pStyle w:val="Footer"/>
      <w:ind w:right="360" w:firstLine="360"/>
    </w:pPr>
    <w:r>
      <w:rPr>
        <w:noProof/>
        <w:snapToGrid/>
        <w:lang w:eastAsia="fr-FR"/>
      </w:rPr>
      <w:drawing>
        <wp:anchor distT="0" distB="0" distL="114300" distR="114300" simplePos="0" relativeHeight="251926528" behindDoc="0" locked="0" layoutInCell="1" allowOverlap="1" wp14:anchorId="4FAF809B" wp14:editId="1AE58D7B">
          <wp:simplePos x="0" y="0"/>
          <wp:positionH relativeFrom="margin">
            <wp:align>left</wp:align>
          </wp:positionH>
          <wp:positionV relativeFrom="paragraph">
            <wp:posOffset>-239395</wp:posOffset>
          </wp:positionV>
          <wp:extent cx="839478" cy="63024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8" cy="630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69D" w:rsidRPr="00D53593">
      <w:tab/>
      <w:t>© UNESCO • Ne pas reprodu</w:t>
    </w:r>
    <w:r w:rsidR="00F4469D">
      <w:t>ire sans autorisation</w:t>
    </w:r>
    <w:r w:rsidR="00F4469D">
      <w:tab/>
      <w:t>U009</w:t>
    </w:r>
    <w:r w:rsidR="00054067">
      <w:t>-v1.1</w:t>
    </w:r>
    <w:r w:rsidR="00F4469D" w:rsidRPr="00D53593">
      <w:t>-</w:t>
    </w:r>
    <w:r w:rsidR="00F4469D">
      <w:t>FN</w:t>
    </w:r>
    <w:r w:rsidR="00F4469D" w:rsidRPr="00D53593">
      <w:t>-FR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69D" w:rsidRPr="00D53593" w:rsidRDefault="0062003F" w:rsidP="00283F94">
    <w:pPr>
      <w:pStyle w:val="Footer"/>
    </w:pPr>
    <w:r>
      <w:rPr>
        <w:noProof/>
        <w:snapToGrid/>
        <w:lang w:eastAsia="fr-FR"/>
      </w:rPr>
      <w:drawing>
        <wp:anchor distT="0" distB="0" distL="114300" distR="114300" simplePos="0" relativeHeight="251928576" behindDoc="0" locked="0" layoutInCell="1" allowOverlap="1" wp14:anchorId="6A9D79B0" wp14:editId="36524661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839470" cy="6299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69D" w:rsidRPr="00D53593">
      <w:t>U0</w:t>
    </w:r>
    <w:r w:rsidR="00F4469D">
      <w:t>09</w:t>
    </w:r>
    <w:r w:rsidR="00054067">
      <w:t>-v1.1</w:t>
    </w:r>
    <w:r w:rsidR="00F4469D" w:rsidRPr="00D53593">
      <w:t>-</w:t>
    </w:r>
    <w:r w:rsidR="00F4469D">
      <w:t>FN</w:t>
    </w:r>
    <w:r w:rsidR="00F4469D" w:rsidRPr="00D53593">
      <w:t xml:space="preserve">-FR </w:t>
    </w:r>
    <w:r w:rsidR="00F4469D" w:rsidRPr="00D53593">
      <w:tab/>
      <w:t>© UNESCO • Ne pas reproduire sans autorisation</w:t>
    </w:r>
    <w:r w:rsidR="00F4469D" w:rsidRPr="00D5359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69D" w:rsidRPr="00D53593" w:rsidRDefault="0062003F">
    <w:pPr>
      <w:pStyle w:val="Footer"/>
    </w:pPr>
    <w:r>
      <w:rPr>
        <w:noProof/>
        <w:snapToGrid/>
        <w:lang w:eastAsia="fr-FR"/>
      </w:rPr>
      <w:drawing>
        <wp:anchor distT="0" distB="0" distL="114300" distR="114300" simplePos="0" relativeHeight="251924480" behindDoc="0" locked="0" layoutInCell="1" allowOverlap="1" wp14:anchorId="1C976AF0" wp14:editId="77EE4CF4">
          <wp:simplePos x="0" y="0"/>
          <wp:positionH relativeFrom="margin">
            <wp:posOffset>4929927</wp:posOffset>
          </wp:positionH>
          <wp:positionV relativeFrom="paragraph">
            <wp:posOffset>-300355</wp:posOffset>
          </wp:positionV>
          <wp:extent cx="839470" cy="6299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69D" w:rsidRPr="00D53593">
      <w:t>U0</w:t>
    </w:r>
    <w:r w:rsidR="00F4469D">
      <w:t>09</w:t>
    </w:r>
    <w:r w:rsidR="00054067">
      <w:t>-v1.1</w:t>
    </w:r>
    <w:r w:rsidR="00F4469D" w:rsidRPr="00D53593">
      <w:t>-</w:t>
    </w:r>
    <w:r w:rsidR="00F4469D">
      <w:t>FN</w:t>
    </w:r>
    <w:r w:rsidR="00F4469D" w:rsidRPr="00D53593">
      <w:t xml:space="preserve">-FR </w:t>
    </w:r>
    <w:r w:rsidR="00F4469D" w:rsidRPr="00D53593">
      <w:tab/>
      <w:t>© UNESCO • Ne pas reproduire sans autorisation</w:t>
    </w:r>
    <w:r w:rsidR="00F4469D" w:rsidRPr="00D5359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9D" w:rsidRDefault="00F4469D" w:rsidP="00A3720C">
      <w:pPr>
        <w:spacing w:after="60"/>
      </w:pPr>
      <w:r>
        <w:separator/>
      </w:r>
    </w:p>
  </w:footnote>
  <w:footnote w:type="continuationSeparator" w:id="0">
    <w:p w:rsidR="00F4469D" w:rsidRDefault="00F4469D">
      <w:r>
        <w:continuationSeparator/>
      </w:r>
    </w:p>
    <w:p w:rsidR="00F4469D" w:rsidRDefault="00F4469D"/>
    <w:p w:rsidR="00F4469D" w:rsidRDefault="00F4469D"/>
    <w:p w:rsidR="00F4469D" w:rsidRDefault="00F4469D"/>
  </w:footnote>
  <w:footnote w:type="continuationNotice" w:id="1">
    <w:p w:rsidR="00F4469D" w:rsidRDefault="00F4469D">
      <w:pPr>
        <w:spacing w:after="0" w:line="240" w:lineRule="auto"/>
      </w:pPr>
    </w:p>
    <w:p w:rsidR="00F4469D" w:rsidRDefault="00F4469D"/>
  </w:footnote>
  <w:footnote w:id="2">
    <w:p w:rsidR="00F4469D" w:rsidRDefault="00F4469D">
      <w:pPr>
        <w:pStyle w:val="FootnoteText"/>
      </w:pPr>
      <w:r w:rsidRPr="007B3EEE">
        <w:rPr>
          <w:rStyle w:val="FootnoteReference"/>
          <w:sz w:val="16"/>
          <w:szCs w:val="16"/>
          <w:vertAlign w:val="baseline"/>
        </w:rPr>
        <w:footnoteRef/>
      </w:r>
      <w:r>
        <w:rPr>
          <w:rStyle w:val="hps"/>
        </w:rPr>
        <w:t>.</w:t>
      </w:r>
      <w:r>
        <w:rPr>
          <w:rStyle w:val="hps"/>
        </w:rPr>
        <w:tab/>
        <w:t>Fréquemment appelée « Convention du patrimoine</w:t>
      </w:r>
      <w:r>
        <w:t xml:space="preserve"> </w:t>
      </w:r>
      <w:r>
        <w:rPr>
          <w:rStyle w:val="hps"/>
        </w:rPr>
        <w:t>immatériel », « Convention de 2003 » et</w:t>
      </w:r>
      <w:r>
        <w:t>, aux fins de la présente</w:t>
      </w:r>
      <w:r>
        <w:rPr>
          <w:rStyle w:val="hps"/>
        </w:rPr>
        <w:t xml:space="preserve"> unité</w:t>
      </w:r>
      <w:r>
        <w:t>, dite</w:t>
      </w:r>
      <w:r>
        <w:rPr>
          <w:rStyle w:val="hps"/>
        </w:rPr>
        <w:t xml:space="preserve"> simplement</w:t>
      </w:r>
      <w:r>
        <w:t xml:space="preserve"> « </w:t>
      </w:r>
      <w:r>
        <w:rPr>
          <w:rStyle w:val="hps"/>
        </w:rPr>
        <w:t>la Convention »</w:t>
      </w:r>
      <w:r>
        <w:t>.</w:t>
      </w:r>
    </w:p>
  </w:footnote>
  <w:footnote w:id="3">
    <w:p w:rsidR="00F4469D" w:rsidRPr="00054067" w:rsidRDefault="00F4469D" w:rsidP="00054067">
      <w:pPr>
        <w:pStyle w:val="FootnoteText"/>
      </w:pPr>
      <w:r w:rsidRPr="00054067">
        <w:rPr>
          <w:rStyle w:val="FootnoteReference"/>
          <w:sz w:val="16"/>
          <w:szCs w:val="16"/>
          <w:vertAlign w:val="baseline"/>
        </w:rPr>
        <w:footnoteRef/>
      </w:r>
      <w:r w:rsidRPr="00054067">
        <w:t>.</w:t>
      </w:r>
      <w:r w:rsidRPr="00054067">
        <w:tab/>
        <w:t xml:space="preserve">UNESCO. Textes fondamentaux de la Convention de 2003 pour la sauvegarde du patrimoine culturel immatériel (dénommé ci-après ‘Textes fondamentaux’). Paris, UNESCO. Disponible à l’adresse </w:t>
      </w:r>
      <w:hyperlink r:id="rId1" w:history="1">
        <w:r w:rsidRPr="00054067">
          <w:rPr>
            <w:rStyle w:val="Hyperlink"/>
          </w:rPr>
          <w:t>http://www.unesco.org/culture/ich/index.php?lg=fr&amp;pg=00503</w:t>
        </w:r>
      </w:hyperlink>
      <w:r w:rsidRPr="00054067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69D" w:rsidRDefault="00AC4819">
    <w:pPr>
      <w:pStyle w:val="Header"/>
    </w:pPr>
    <w:r>
      <w:rPr>
        <w:rStyle w:val="PageNumber"/>
      </w:rPr>
      <w:fldChar w:fldCharType="begin"/>
    </w:r>
    <w:r w:rsidR="00F4469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39D5">
      <w:rPr>
        <w:rStyle w:val="PageNumber"/>
        <w:noProof/>
      </w:rPr>
      <w:t>4</w:t>
    </w:r>
    <w:r>
      <w:rPr>
        <w:rStyle w:val="PageNumber"/>
      </w:rPr>
      <w:fldChar w:fldCharType="end"/>
    </w:r>
    <w:r w:rsidR="00F4469D">
      <w:rPr>
        <w:rStyle w:val="PageNumber"/>
      </w:rPr>
      <w:tab/>
      <w:t>Unité 9 : Sauvegarde</w:t>
    </w:r>
    <w:r w:rsidR="00F4469D">
      <w:rPr>
        <w:rStyle w:val="PageNumber"/>
      </w:rPr>
      <w:tab/>
      <w:t>Notes du facilitateur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69D" w:rsidRDefault="00AC4819" w:rsidP="00EA54BD">
    <w:pPr>
      <w:pStyle w:val="Header"/>
      <w:framePr w:wrap="around" w:vAnchor="text" w:hAnchor="margin" w:xAlign="outside" w:y="1"/>
      <w:rPr>
        <w:rStyle w:val="PageNumber"/>
        <w:sz w:val="20"/>
      </w:rPr>
    </w:pPr>
    <w:r>
      <w:rPr>
        <w:rStyle w:val="PageNumber"/>
      </w:rPr>
      <w:fldChar w:fldCharType="begin"/>
    </w:r>
    <w:r w:rsidR="00F4469D"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2739D5">
      <w:rPr>
        <w:rStyle w:val="PageNumber"/>
        <w:noProof/>
      </w:rPr>
      <w:t>5</w:t>
    </w:r>
    <w:r>
      <w:rPr>
        <w:rStyle w:val="PageNumber"/>
      </w:rPr>
      <w:fldChar w:fldCharType="end"/>
    </w:r>
  </w:p>
  <w:p w:rsidR="00F4469D" w:rsidRDefault="00F4469D" w:rsidP="00283F94">
    <w:pPr>
      <w:pStyle w:val="Header"/>
    </w:pPr>
    <w:r>
      <w:rPr>
        <w:rStyle w:val="PageNumber"/>
      </w:rPr>
      <w:t>Notes du facilitateur</w:t>
    </w:r>
    <w:r>
      <w:tab/>
    </w:r>
    <w:r>
      <w:rPr>
        <w:rStyle w:val="PageNumber"/>
      </w:rPr>
      <w:t>Unité 9 : Sauvegarde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69D" w:rsidRPr="006943FD" w:rsidRDefault="00F4469D" w:rsidP="006943FD">
    <w:pPr>
      <w:pStyle w:val="Header"/>
    </w:pPr>
    <w:r>
      <w:tab/>
      <w:t>Notes du facilitateur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34C7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5C662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5082482"/>
    <w:multiLevelType w:val="hybridMultilevel"/>
    <w:tmpl w:val="3CE48470"/>
    <w:lvl w:ilvl="0" w:tplc="16449D88">
      <w:start w:val="1"/>
      <w:numFmt w:val="none"/>
      <w:pStyle w:val="nua"/>
      <w:lvlText w:val="(a)"/>
      <w:lvlJc w:val="left"/>
      <w:pPr>
        <w:tabs>
          <w:tab w:val="num" w:pos="851"/>
        </w:tabs>
        <w:ind w:left="113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D3DAF"/>
    <w:multiLevelType w:val="hybridMultilevel"/>
    <w:tmpl w:val="401242BA"/>
    <w:lvl w:ilvl="0" w:tplc="3A12127A">
      <w:start w:val="1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51A77"/>
    <w:multiLevelType w:val="hybridMultilevel"/>
    <w:tmpl w:val="2E746634"/>
    <w:lvl w:ilvl="0" w:tplc="59325000">
      <w:start w:val="1"/>
      <w:numFmt w:val="decimal"/>
      <w:pStyle w:val="Enumrotation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14D83"/>
    <w:multiLevelType w:val="singleLevel"/>
    <w:tmpl w:val="DF463D80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7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432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>
    <w:nsid w:val="3E78512A"/>
    <w:multiLevelType w:val="hybridMultilevel"/>
    <w:tmpl w:val="E7B6C4D4"/>
    <w:lvl w:ilvl="0" w:tplc="25E2CD48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C3572"/>
    <w:multiLevelType w:val="hybridMultilevel"/>
    <w:tmpl w:val="1B1EA6F6"/>
    <w:lvl w:ilvl="0" w:tplc="B546B976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445E7"/>
    <w:multiLevelType w:val="hybridMultilevel"/>
    <w:tmpl w:val="EA5EC172"/>
    <w:lvl w:ilvl="0" w:tplc="2904EF7C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D35D1D"/>
    <w:multiLevelType w:val="hybridMultilevel"/>
    <w:tmpl w:val="1B1EA6F6"/>
    <w:lvl w:ilvl="0" w:tplc="B546B976">
      <w:start w:val="1"/>
      <w:numFmt w:val="bullet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52D95"/>
    <w:multiLevelType w:val="hybridMultilevel"/>
    <w:tmpl w:val="B7D4AF40"/>
    <w:lvl w:ilvl="0" w:tplc="AEA0B5E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3">
    <w:nsid w:val="641F3B87"/>
    <w:multiLevelType w:val="hybridMultilevel"/>
    <w:tmpl w:val="2C785CEC"/>
    <w:lvl w:ilvl="0" w:tplc="AEF68A60">
      <w:start w:val="1"/>
      <w:numFmt w:val="bullet"/>
      <w:pStyle w:val="Upuce"/>
      <w:lvlText w:val="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51FFA"/>
    <w:multiLevelType w:val="hybridMultilevel"/>
    <w:tmpl w:val="F056931A"/>
    <w:lvl w:ilvl="0" w:tplc="04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57F62"/>
    <w:multiLevelType w:val="hybridMultilevel"/>
    <w:tmpl w:val="F9000E08"/>
    <w:lvl w:ilvl="0" w:tplc="86DE94BC"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B5D7D38"/>
    <w:multiLevelType w:val="hybridMultilevel"/>
    <w:tmpl w:val="9B022086"/>
    <w:lvl w:ilvl="0" w:tplc="9A52B6C8">
      <w:start w:val="1"/>
      <w:numFmt w:val="bullet"/>
      <w:pStyle w:val="Pucesance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D6733D5"/>
    <w:multiLevelType w:val="hybridMultilevel"/>
    <w:tmpl w:val="1764A91E"/>
    <w:lvl w:ilvl="0" w:tplc="7CAE821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2"/>
  </w:num>
  <w:num w:numId="6">
    <w:abstractNumId w:val="7"/>
  </w:num>
  <w:num w:numId="7">
    <w:abstractNumId w:val="15"/>
  </w:num>
  <w:num w:numId="8">
    <w:abstractNumId w:val="8"/>
  </w:num>
  <w:num w:numId="9">
    <w:abstractNumId w:val="17"/>
  </w:num>
  <w:num w:numId="10">
    <w:abstractNumId w:val="9"/>
  </w:num>
  <w:num w:numId="11">
    <w:abstractNumId w:val="2"/>
  </w:num>
  <w:num w:numId="12">
    <w:abstractNumId w:val="4"/>
  </w:num>
  <w:num w:numId="13">
    <w:abstractNumId w:val="16"/>
  </w:num>
  <w:num w:numId="14">
    <w:abstractNumId w:val="5"/>
  </w:num>
  <w:num w:numId="15">
    <w:abstractNumId w:val="13"/>
  </w:num>
  <w:num w:numId="16">
    <w:abstractNumId w:val="11"/>
  </w:num>
  <w:num w:numId="17">
    <w:abstractNumId w:val="14"/>
  </w:num>
  <w:num w:numId="18">
    <w:abstractNumId w:val="1"/>
  </w:num>
  <w:num w:numId="19">
    <w:abstractNumId w:val="0"/>
  </w:num>
  <w:numIdMacAtCleanup w:val="39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it-IT" w:vendorID="3" w:dllVersion="517" w:checkStyle="1"/>
  <w:proofState w:spelling="clean" w:grammar="clean"/>
  <w:defaultTabStop w:val="340"/>
  <w:hyphenationZone w:val="425"/>
  <w:evenAndOddHeaders/>
  <w:drawingGridHorizontalSpacing w:val="108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CD"/>
    <w:rsid w:val="00002460"/>
    <w:rsid w:val="000024FC"/>
    <w:rsid w:val="00002D5B"/>
    <w:rsid w:val="000034C9"/>
    <w:rsid w:val="000036C8"/>
    <w:rsid w:val="00003CD3"/>
    <w:rsid w:val="00003E6A"/>
    <w:rsid w:val="0000482E"/>
    <w:rsid w:val="00005116"/>
    <w:rsid w:val="000052FC"/>
    <w:rsid w:val="000055A9"/>
    <w:rsid w:val="00005CEA"/>
    <w:rsid w:val="00005DEA"/>
    <w:rsid w:val="0000736E"/>
    <w:rsid w:val="000076A3"/>
    <w:rsid w:val="00007D53"/>
    <w:rsid w:val="00010EB2"/>
    <w:rsid w:val="00011866"/>
    <w:rsid w:val="00011B76"/>
    <w:rsid w:val="000150A5"/>
    <w:rsid w:val="0001525C"/>
    <w:rsid w:val="0001596E"/>
    <w:rsid w:val="000160B4"/>
    <w:rsid w:val="000167B1"/>
    <w:rsid w:val="00017135"/>
    <w:rsid w:val="00017307"/>
    <w:rsid w:val="0001777D"/>
    <w:rsid w:val="00017873"/>
    <w:rsid w:val="0002032C"/>
    <w:rsid w:val="000210BD"/>
    <w:rsid w:val="000211B1"/>
    <w:rsid w:val="00021C24"/>
    <w:rsid w:val="000236B7"/>
    <w:rsid w:val="00023A22"/>
    <w:rsid w:val="00023AC0"/>
    <w:rsid w:val="00024632"/>
    <w:rsid w:val="000251D7"/>
    <w:rsid w:val="0002664D"/>
    <w:rsid w:val="00027384"/>
    <w:rsid w:val="000277B9"/>
    <w:rsid w:val="00030C9D"/>
    <w:rsid w:val="00031B87"/>
    <w:rsid w:val="000327CA"/>
    <w:rsid w:val="0003287B"/>
    <w:rsid w:val="000330AD"/>
    <w:rsid w:val="000334F5"/>
    <w:rsid w:val="0003373B"/>
    <w:rsid w:val="00034D2F"/>
    <w:rsid w:val="00035B78"/>
    <w:rsid w:val="00035EB7"/>
    <w:rsid w:val="000362CC"/>
    <w:rsid w:val="00036A54"/>
    <w:rsid w:val="00037326"/>
    <w:rsid w:val="0004227B"/>
    <w:rsid w:val="0004303A"/>
    <w:rsid w:val="00043F18"/>
    <w:rsid w:val="00043FBF"/>
    <w:rsid w:val="0004416F"/>
    <w:rsid w:val="00044BF5"/>
    <w:rsid w:val="00046690"/>
    <w:rsid w:val="00050FD8"/>
    <w:rsid w:val="0005107A"/>
    <w:rsid w:val="00051AEE"/>
    <w:rsid w:val="00052117"/>
    <w:rsid w:val="000530B0"/>
    <w:rsid w:val="0005336F"/>
    <w:rsid w:val="00053543"/>
    <w:rsid w:val="00053C05"/>
    <w:rsid w:val="00054067"/>
    <w:rsid w:val="00054AD3"/>
    <w:rsid w:val="000552C3"/>
    <w:rsid w:val="00055506"/>
    <w:rsid w:val="000558AE"/>
    <w:rsid w:val="00055A0F"/>
    <w:rsid w:val="00060951"/>
    <w:rsid w:val="00060B6A"/>
    <w:rsid w:val="000617C3"/>
    <w:rsid w:val="0006366C"/>
    <w:rsid w:val="000641E9"/>
    <w:rsid w:val="00064AFB"/>
    <w:rsid w:val="00064D3A"/>
    <w:rsid w:val="000661C3"/>
    <w:rsid w:val="0006631A"/>
    <w:rsid w:val="000666CF"/>
    <w:rsid w:val="00070431"/>
    <w:rsid w:val="00072024"/>
    <w:rsid w:val="000724F7"/>
    <w:rsid w:val="00072FA4"/>
    <w:rsid w:val="00073C22"/>
    <w:rsid w:val="0007448D"/>
    <w:rsid w:val="00075789"/>
    <w:rsid w:val="00075908"/>
    <w:rsid w:val="00076110"/>
    <w:rsid w:val="000775AC"/>
    <w:rsid w:val="0008028E"/>
    <w:rsid w:val="00080CA2"/>
    <w:rsid w:val="00081190"/>
    <w:rsid w:val="00081804"/>
    <w:rsid w:val="00084552"/>
    <w:rsid w:val="00084D78"/>
    <w:rsid w:val="0008559F"/>
    <w:rsid w:val="00085AF1"/>
    <w:rsid w:val="00087661"/>
    <w:rsid w:val="00090451"/>
    <w:rsid w:val="000907E8"/>
    <w:rsid w:val="00090F69"/>
    <w:rsid w:val="000912CE"/>
    <w:rsid w:val="000918C8"/>
    <w:rsid w:val="000919BF"/>
    <w:rsid w:val="000922C7"/>
    <w:rsid w:val="0009281E"/>
    <w:rsid w:val="00093876"/>
    <w:rsid w:val="000940E7"/>
    <w:rsid w:val="00094D48"/>
    <w:rsid w:val="0009567F"/>
    <w:rsid w:val="000960B5"/>
    <w:rsid w:val="000A0053"/>
    <w:rsid w:val="000A035D"/>
    <w:rsid w:val="000A0892"/>
    <w:rsid w:val="000A123B"/>
    <w:rsid w:val="000A51D8"/>
    <w:rsid w:val="000A5824"/>
    <w:rsid w:val="000A5BBB"/>
    <w:rsid w:val="000B1473"/>
    <w:rsid w:val="000B152F"/>
    <w:rsid w:val="000B1FFA"/>
    <w:rsid w:val="000B22D4"/>
    <w:rsid w:val="000B306E"/>
    <w:rsid w:val="000B31CA"/>
    <w:rsid w:val="000B57A3"/>
    <w:rsid w:val="000C0783"/>
    <w:rsid w:val="000C0E4A"/>
    <w:rsid w:val="000C0E50"/>
    <w:rsid w:val="000C1C3B"/>
    <w:rsid w:val="000C3162"/>
    <w:rsid w:val="000C352B"/>
    <w:rsid w:val="000C39F3"/>
    <w:rsid w:val="000C4ABF"/>
    <w:rsid w:val="000C4DC2"/>
    <w:rsid w:val="000C5AF8"/>
    <w:rsid w:val="000D10C8"/>
    <w:rsid w:val="000D1315"/>
    <w:rsid w:val="000D141A"/>
    <w:rsid w:val="000D243E"/>
    <w:rsid w:val="000D3555"/>
    <w:rsid w:val="000D44A5"/>
    <w:rsid w:val="000D46CA"/>
    <w:rsid w:val="000D4E8B"/>
    <w:rsid w:val="000D515B"/>
    <w:rsid w:val="000D53BD"/>
    <w:rsid w:val="000D53CA"/>
    <w:rsid w:val="000D545E"/>
    <w:rsid w:val="000D589D"/>
    <w:rsid w:val="000D58BA"/>
    <w:rsid w:val="000D5B62"/>
    <w:rsid w:val="000D649B"/>
    <w:rsid w:val="000D66CB"/>
    <w:rsid w:val="000D6EF9"/>
    <w:rsid w:val="000E0109"/>
    <w:rsid w:val="000E225B"/>
    <w:rsid w:val="000E2729"/>
    <w:rsid w:val="000E2AC0"/>
    <w:rsid w:val="000E2BD9"/>
    <w:rsid w:val="000E2D46"/>
    <w:rsid w:val="000E4B83"/>
    <w:rsid w:val="000E4BD3"/>
    <w:rsid w:val="000E5274"/>
    <w:rsid w:val="000E68C4"/>
    <w:rsid w:val="000F17C1"/>
    <w:rsid w:val="000F2EA1"/>
    <w:rsid w:val="000F2FE1"/>
    <w:rsid w:val="000F4164"/>
    <w:rsid w:val="000F43C8"/>
    <w:rsid w:val="000F4C49"/>
    <w:rsid w:val="000F5573"/>
    <w:rsid w:val="000F6F72"/>
    <w:rsid w:val="000F7064"/>
    <w:rsid w:val="0010162C"/>
    <w:rsid w:val="001016C7"/>
    <w:rsid w:val="00101AF8"/>
    <w:rsid w:val="001022C4"/>
    <w:rsid w:val="0010231F"/>
    <w:rsid w:val="00102795"/>
    <w:rsid w:val="00102A51"/>
    <w:rsid w:val="00102D34"/>
    <w:rsid w:val="00103009"/>
    <w:rsid w:val="00103753"/>
    <w:rsid w:val="00103C45"/>
    <w:rsid w:val="00103EB6"/>
    <w:rsid w:val="0010611F"/>
    <w:rsid w:val="001065A7"/>
    <w:rsid w:val="00106CB9"/>
    <w:rsid w:val="001072F1"/>
    <w:rsid w:val="00107B38"/>
    <w:rsid w:val="001106DA"/>
    <w:rsid w:val="00111F7F"/>
    <w:rsid w:val="001121C7"/>
    <w:rsid w:val="001127C4"/>
    <w:rsid w:val="00112F76"/>
    <w:rsid w:val="00114778"/>
    <w:rsid w:val="00114FD8"/>
    <w:rsid w:val="00115472"/>
    <w:rsid w:val="001165B7"/>
    <w:rsid w:val="00116DA0"/>
    <w:rsid w:val="00116E5C"/>
    <w:rsid w:val="00121521"/>
    <w:rsid w:val="00122B95"/>
    <w:rsid w:val="00122B98"/>
    <w:rsid w:val="00123415"/>
    <w:rsid w:val="00123633"/>
    <w:rsid w:val="00123ADF"/>
    <w:rsid w:val="00123CD8"/>
    <w:rsid w:val="001247F9"/>
    <w:rsid w:val="00124A47"/>
    <w:rsid w:val="00125046"/>
    <w:rsid w:val="00125E22"/>
    <w:rsid w:val="0012672E"/>
    <w:rsid w:val="00126962"/>
    <w:rsid w:val="001270C1"/>
    <w:rsid w:val="001274A4"/>
    <w:rsid w:val="001276F3"/>
    <w:rsid w:val="00127E2F"/>
    <w:rsid w:val="00130A97"/>
    <w:rsid w:val="00131625"/>
    <w:rsid w:val="00131FFC"/>
    <w:rsid w:val="00132A0E"/>
    <w:rsid w:val="00132DB8"/>
    <w:rsid w:val="0013395E"/>
    <w:rsid w:val="00134982"/>
    <w:rsid w:val="001349C0"/>
    <w:rsid w:val="001350E8"/>
    <w:rsid w:val="00135289"/>
    <w:rsid w:val="001353F1"/>
    <w:rsid w:val="0013558D"/>
    <w:rsid w:val="0013608A"/>
    <w:rsid w:val="00136593"/>
    <w:rsid w:val="00136AAD"/>
    <w:rsid w:val="00136EE1"/>
    <w:rsid w:val="001371F7"/>
    <w:rsid w:val="00137E4D"/>
    <w:rsid w:val="00140249"/>
    <w:rsid w:val="00140749"/>
    <w:rsid w:val="00140E2F"/>
    <w:rsid w:val="00141B53"/>
    <w:rsid w:val="00141EBD"/>
    <w:rsid w:val="00142BEC"/>
    <w:rsid w:val="00144785"/>
    <w:rsid w:val="0014520A"/>
    <w:rsid w:val="00146650"/>
    <w:rsid w:val="001467B2"/>
    <w:rsid w:val="0014731A"/>
    <w:rsid w:val="0014743C"/>
    <w:rsid w:val="00150C21"/>
    <w:rsid w:val="00152636"/>
    <w:rsid w:val="00152E76"/>
    <w:rsid w:val="0015391C"/>
    <w:rsid w:val="00153E56"/>
    <w:rsid w:val="00154919"/>
    <w:rsid w:val="00154E49"/>
    <w:rsid w:val="00155107"/>
    <w:rsid w:val="00155857"/>
    <w:rsid w:val="0015649B"/>
    <w:rsid w:val="00156ECC"/>
    <w:rsid w:val="00157371"/>
    <w:rsid w:val="00157892"/>
    <w:rsid w:val="00160A8B"/>
    <w:rsid w:val="00161833"/>
    <w:rsid w:val="001626B4"/>
    <w:rsid w:val="001629D3"/>
    <w:rsid w:val="00162FAA"/>
    <w:rsid w:val="00165C70"/>
    <w:rsid w:val="00166561"/>
    <w:rsid w:val="00166562"/>
    <w:rsid w:val="00166579"/>
    <w:rsid w:val="001669BD"/>
    <w:rsid w:val="00166A98"/>
    <w:rsid w:val="00166F53"/>
    <w:rsid w:val="0016715F"/>
    <w:rsid w:val="00167570"/>
    <w:rsid w:val="00167ACF"/>
    <w:rsid w:val="00167C51"/>
    <w:rsid w:val="0017184D"/>
    <w:rsid w:val="00172A8D"/>
    <w:rsid w:val="00173437"/>
    <w:rsid w:val="00173701"/>
    <w:rsid w:val="00174300"/>
    <w:rsid w:val="001745AE"/>
    <w:rsid w:val="0017470A"/>
    <w:rsid w:val="00174C41"/>
    <w:rsid w:val="00175067"/>
    <w:rsid w:val="00176FA1"/>
    <w:rsid w:val="00177F9C"/>
    <w:rsid w:val="00180802"/>
    <w:rsid w:val="001820F4"/>
    <w:rsid w:val="00182BA8"/>
    <w:rsid w:val="00183123"/>
    <w:rsid w:val="0018339E"/>
    <w:rsid w:val="00183F01"/>
    <w:rsid w:val="0018580E"/>
    <w:rsid w:val="0018587F"/>
    <w:rsid w:val="00185F58"/>
    <w:rsid w:val="00186E76"/>
    <w:rsid w:val="00187507"/>
    <w:rsid w:val="00187674"/>
    <w:rsid w:val="00187C11"/>
    <w:rsid w:val="001903A7"/>
    <w:rsid w:val="0019156E"/>
    <w:rsid w:val="00193009"/>
    <w:rsid w:val="00193DAC"/>
    <w:rsid w:val="00195C6E"/>
    <w:rsid w:val="00196B75"/>
    <w:rsid w:val="00197FC4"/>
    <w:rsid w:val="001A14FD"/>
    <w:rsid w:val="001A198F"/>
    <w:rsid w:val="001A1F57"/>
    <w:rsid w:val="001A276E"/>
    <w:rsid w:val="001A29DB"/>
    <w:rsid w:val="001A3767"/>
    <w:rsid w:val="001A4168"/>
    <w:rsid w:val="001A4E37"/>
    <w:rsid w:val="001A4F7F"/>
    <w:rsid w:val="001A5039"/>
    <w:rsid w:val="001A5FAB"/>
    <w:rsid w:val="001A60A5"/>
    <w:rsid w:val="001A650E"/>
    <w:rsid w:val="001A7412"/>
    <w:rsid w:val="001B12BA"/>
    <w:rsid w:val="001B1DBF"/>
    <w:rsid w:val="001B211E"/>
    <w:rsid w:val="001B2BCF"/>
    <w:rsid w:val="001B5BAD"/>
    <w:rsid w:val="001B5D9A"/>
    <w:rsid w:val="001B6053"/>
    <w:rsid w:val="001B7837"/>
    <w:rsid w:val="001B7DB8"/>
    <w:rsid w:val="001C0002"/>
    <w:rsid w:val="001C1066"/>
    <w:rsid w:val="001C1AB6"/>
    <w:rsid w:val="001C20D5"/>
    <w:rsid w:val="001C280A"/>
    <w:rsid w:val="001C3DE5"/>
    <w:rsid w:val="001C563B"/>
    <w:rsid w:val="001C765E"/>
    <w:rsid w:val="001D0B1A"/>
    <w:rsid w:val="001D1053"/>
    <w:rsid w:val="001D10E4"/>
    <w:rsid w:val="001D119F"/>
    <w:rsid w:val="001D1A11"/>
    <w:rsid w:val="001D1D87"/>
    <w:rsid w:val="001D1D9F"/>
    <w:rsid w:val="001D31FB"/>
    <w:rsid w:val="001D386F"/>
    <w:rsid w:val="001D5735"/>
    <w:rsid w:val="001E0534"/>
    <w:rsid w:val="001E0F6D"/>
    <w:rsid w:val="001E1B15"/>
    <w:rsid w:val="001E2E53"/>
    <w:rsid w:val="001E3C3D"/>
    <w:rsid w:val="001E42AF"/>
    <w:rsid w:val="001E5D64"/>
    <w:rsid w:val="001E71E8"/>
    <w:rsid w:val="001E7BE5"/>
    <w:rsid w:val="001F030A"/>
    <w:rsid w:val="001F0887"/>
    <w:rsid w:val="001F1323"/>
    <w:rsid w:val="001F2479"/>
    <w:rsid w:val="001F28BE"/>
    <w:rsid w:val="001F3A2D"/>
    <w:rsid w:val="001F4A2B"/>
    <w:rsid w:val="001F52D4"/>
    <w:rsid w:val="001F69EA"/>
    <w:rsid w:val="001F6BC3"/>
    <w:rsid w:val="001F778A"/>
    <w:rsid w:val="001F77F9"/>
    <w:rsid w:val="001F7A0A"/>
    <w:rsid w:val="001F7BEB"/>
    <w:rsid w:val="00200AEF"/>
    <w:rsid w:val="0020179C"/>
    <w:rsid w:val="00202220"/>
    <w:rsid w:val="0020231A"/>
    <w:rsid w:val="00202579"/>
    <w:rsid w:val="002063EC"/>
    <w:rsid w:val="0020660F"/>
    <w:rsid w:val="00206A2B"/>
    <w:rsid w:val="00206E74"/>
    <w:rsid w:val="00211492"/>
    <w:rsid w:val="002121AF"/>
    <w:rsid w:val="002127C1"/>
    <w:rsid w:val="00213000"/>
    <w:rsid w:val="00214198"/>
    <w:rsid w:val="00214560"/>
    <w:rsid w:val="00214A16"/>
    <w:rsid w:val="00215F96"/>
    <w:rsid w:val="00217965"/>
    <w:rsid w:val="00220D60"/>
    <w:rsid w:val="00221809"/>
    <w:rsid w:val="002226F2"/>
    <w:rsid w:val="002241C2"/>
    <w:rsid w:val="00224AD9"/>
    <w:rsid w:val="00224BD4"/>
    <w:rsid w:val="00225583"/>
    <w:rsid w:val="0022573B"/>
    <w:rsid w:val="00226179"/>
    <w:rsid w:val="00226CD7"/>
    <w:rsid w:val="00227867"/>
    <w:rsid w:val="00230657"/>
    <w:rsid w:val="00230BF2"/>
    <w:rsid w:val="00230F4B"/>
    <w:rsid w:val="00231A98"/>
    <w:rsid w:val="00232DFE"/>
    <w:rsid w:val="002331B7"/>
    <w:rsid w:val="00233208"/>
    <w:rsid w:val="00234207"/>
    <w:rsid w:val="002357BC"/>
    <w:rsid w:val="00235AA3"/>
    <w:rsid w:val="00235D7C"/>
    <w:rsid w:val="00236002"/>
    <w:rsid w:val="00237E97"/>
    <w:rsid w:val="0024007C"/>
    <w:rsid w:val="002401D3"/>
    <w:rsid w:val="00241BE2"/>
    <w:rsid w:val="00241C01"/>
    <w:rsid w:val="0024204F"/>
    <w:rsid w:val="00243A2E"/>
    <w:rsid w:val="002441FE"/>
    <w:rsid w:val="002453B1"/>
    <w:rsid w:val="0024622C"/>
    <w:rsid w:val="002467E2"/>
    <w:rsid w:val="00247E4F"/>
    <w:rsid w:val="00250CC2"/>
    <w:rsid w:val="00250F77"/>
    <w:rsid w:val="002512C7"/>
    <w:rsid w:val="002517A0"/>
    <w:rsid w:val="002517D6"/>
    <w:rsid w:val="002524B5"/>
    <w:rsid w:val="00253558"/>
    <w:rsid w:val="00254FEB"/>
    <w:rsid w:val="0025672C"/>
    <w:rsid w:val="00256AA7"/>
    <w:rsid w:val="00257F3B"/>
    <w:rsid w:val="0026074D"/>
    <w:rsid w:val="002608C6"/>
    <w:rsid w:val="00260C53"/>
    <w:rsid w:val="002612B4"/>
    <w:rsid w:val="002623C8"/>
    <w:rsid w:val="00263518"/>
    <w:rsid w:val="00263AC6"/>
    <w:rsid w:val="00264B7C"/>
    <w:rsid w:val="00264C28"/>
    <w:rsid w:val="00264FC8"/>
    <w:rsid w:val="00265E40"/>
    <w:rsid w:val="00265F48"/>
    <w:rsid w:val="0026676B"/>
    <w:rsid w:val="00266987"/>
    <w:rsid w:val="00266C99"/>
    <w:rsid w:val="002671F5"/>
    <w:rsid w:val="00267A99"/>
    <w:rsid w:val="00267E7D"/>
    <w:rsid w:val="00267F5D"/>
    <w:rsid w:val="0027032B"/>
    <w:rsid w:val="00270455"/>
    <w:rsid w:val="002707A1"/>
    <w:rsid w:val="00270E88"/>
    <w:rsid w:val="002710CE"/>
    <w:rsid w:val="00272784"/>
    <w:rsid w:val="00273685"/>
    <w:rsid w:val="002739D5"/>
    <w:rsid w:val="002739D9"/>
    <w:rsid w:val="00273A4E"/>
    <w:rsid w:val="00273EB9"/>
    <w:rsid w:val="002756B3"/>
    <w:rsid w:val="00275DD8"/>
    <w:rsid w:val="00277990"/>
    <w:rsid w:val="002803BA"/>
    <w:rsid w:val="002815E0"/>
    <w:rsid w:val="00281E9E"/>
    <w:rsid w:val="00283DB3"/>
    <w:rsid w:val="00283F94"/>
    <w:rsid w:val="0028472C"/>
    <w:rsid w:val="00286021"/>
    <w:rsid w:val="00286600"/>
    <w:rsid w:val="00286769"/>
    <w:rsid w:val="00286DC5"/>
    <w:rsid w:val="00287297"/>
    <w:rsid w:val="00287B37"/>
    <w:rsid w:val="0029042B"/>
    <w:rsid w:val="0029133B"/>
    <w:rsid w:val="0029160C"/>
    <w:rsid w:val="002923E7"/>
    <w:rsid w:val="0029544A"/>
    <w:rsid w:val="002956A6"/>
    <w:rsid w:val="00297A9E"/>
    <w:rsid w:val="002A06A2"/>
    <w:rsid w:val="002A152B"/>
    <w:rsid w:val="002A25BF"/>
    <w:rsid w:val="002A3811"/>
    <w:rsid w:val="002A3883"/>
    <w:rsid w:val="002A4DB5"/>
    <w:rsid w:val="002A4E28"/>
    <w:rsid w:val="002A5A4B"/>
    <w:rsid w:val="002A5C93"/>
    <w:rsid w:val="002A6628"/>
    <w:rsid w:val="002A6E5D"/>
    <w:rsid w:val="002A73C0"/>
    <w:rsid w:val="002A7674"/>
    <w:rsid w:val="002A784E"/>
    <w:rsid w:val="002A790F"/>
    <w:rsid w:val="002B0F86"/>
    <w:rsid w:val="002B190C"/>
    <w:rsid w:val="002B1BB4"/>
    <w:rsid w:val="002B1F94"/>
    <w:rsid w:val="002B22E8"/>
    <w:rsid w:val="002B317A"/>
    <w:rsid w:val="002B36AD"/>
    <w:rsid w:val="002B37EF"/>
    <w:rsid w:val="002B3AFD"/>
    <w:rsid w:val="002B4262"/>
    <w:rsid w:val="002B4404"/>
    <w:rsid w:val="002B4A10"/>
    <w:rsid w:val="002B4F29"/>
    <w:rsid w:val="002B522D"/>
    <w:rsid w:val="002B654D"/>
    <w:rsid w:val="002C015D"/>
    <w:rsid w:val="002C039C"/>
    <w:rsid w:val="002C2D09"/>
    <w:rsid w:val="002C3CB3"/>
    <w:rsid w:val="002C500A"/>
    <w:rsid w:val="002C5AEE"/>
    <w:rsid w:val="002C5D6C"/>
    <w:rsid w:val="002D0CB7"/>
    <w:rsid w:val="002D21FE"/>
    <w:rsid w:val="002D2D71"/>
    <w:rsid w:val="002D37F4"/>
    <w:rsid w:val="002D552C"/>
    <w:rsid w:val="002D612F"/>
    <w:rsid w:val="002D71C2"/>
    <w:rsid w:val="002D7618"/>
    <w:rsid w:val="002E02AF"/>
    <w:rsid w:val="002E1379"/>
    <w:rsid w:val="002E17E4"/>
    <w:rsid w:val="002E28C4"/>
    <w:rsid w:val="002E2A2F"/>
    <w:rsid w:val="002E2F88"/>
    <w:rsid w:val="002E3503"/>
    <w:rsid w:val="002E35C8"/>
    <w:rsid w:val="002E3AEA"/>
    <w:rsid w:val="002E3C53"/>
    <w:rsid w:val="002E40D3"/>
    <w:rsid w:val="002E45D2"/>
    <w:rsid w:val="002E4707"/>
    <w:rsid w:val="002E4904"/>
    <w:rsid w:val="002E501C"/>
    <w:rsid w:val="002E665C"/>
    <w:rsid w:val="002E6B9B"/>
    <w:rsid w:val="002E6F03"/>
    <w:rsid w:val="002E725D"/>
    <w:rsid w:val="002E736F"/>
    <w:rsid w:val="002E7E46"/>
    <w:rsid w:val="002F0F65"/>
    <w:rsid w:val="002F202B"/>
    <w:rsid w:val="002F239A"/>
    <w:rsid w:val="002F36AB"/>
    <w:rsid w:val="002F39DB"/>
    <w:rsid w:val="002F42F6"/>
    <w:rsid w:val="002F4AD1"/>
    <w:rsid w:val="002F51AA"/>
    <w:rsid w:val="002F5CE0"/>
    <w:rsid w:val="002F5E05"/>
    <w:rsid w:val="002F725E"/>
    <w:rsid w:val="002F7A67"/>
    <w:rsid w:val="002F7BF3"/>
    <w:rsid w:val="00300A9A"/>
    <w:rsid w:val="00300D14"/>
    <w:rsid w:val="0030107D"/>
    <w:rsid w:val="003020D6"/>
    <w:rsid w:val="00302609"/>
    <w:rsid w:val="00302AE0"/>
    <w:rsid w:val="00302CD2"/>
    <w:rsid w:val="00302DC4"/>
    <w:rsid w:val="00303924"/>
    <w:rsid w:val="00303DBB"/>
    <w:rsid w:val="00304707"/>
    <w:rsid w:val="00304F24"/>
    <w:rsid w:val="00305185"/>
    <w:rsid w:val="003051FE"/>
    <w:rsid w:val="0030582E"/>
    <w:rsid w:val="00305C00"/>
    <w:rsid w:val="003075FD"/>
    <w:rsid w:val="003076C4"/>
    <w:rsid w:val="0031039E"/>
    <w:rsid w:val="003107E2"/>
    <w:rsid w:val="00310B46"/>
    <w:rsid w:val="00311445"/>
    <w:rsid w:val="00312F62"/>
    <w:rsid w:val="0031317F"/>
    <w:rsid w:val="003132AB"/>
    <w:rsid w:val="00314EBC"/>
    <w:rsid w:val="00315C72"/>
    <w:rsid w:val="00316009"/>
    <w:rsid w:val="00316EF3"/>
    <w:rsid w:val="003174D3"/>
    <w:rsid w:val="00317930"/>
    <w:rsid w:val="003220F7"/>
    <w:rsid w:val="003221D3"/>
    <w:rsid w:val="0032229E"/>
    <w:rsid w:val="00322AF5"/>
    <w:rsid w:val="0032334C"/>
    <w:rsid w:val="00324011"/>
    <w:rsid w:val="003254C5"/>
    <w:rsid w:val="0032570F"/>
    <w:rsid w:val="003262B6"/>
    <w:rsid w:val="00326474"/>
    <w:rsid w:val="00326AA2"/>
    <w:rsid w:val="00326CAA"/>
    <w:rsid w:val="003278C2"/>
    <w:rsid w:val="00327CD8"/>
    <w:rsid w:val="00332914"/>
    <w:rsid w:val="00332E47"/>
    <w:rsid w:val="003334AC"/>
    <w:rsid w:val="003339EC"/>
    <w:rsid w:val="003342FF"/>
    <w:rsid w:val="00334513"/>
    <w:rsid w:val="0033547B"/>
    <w:rsid w:val="003363C0"/>
    <w:rsid w:val="00336EAA"/>
    <w:rsid w:val="00337B7E"/>
    <w:rsid w:val="0034070F"/>
    <w:rsid w:val="00340983"/>
    <w:rsid w:val="003409E5"/>
    <w:rsid w:val="003414FB"/>
    <w:rsid w:val="003419A4"/>
    <w:rsid w:val="00342569"/>
    <w:rsid w:val="00342D2F"/>
    <w:rsid w:val="00342F18"/>
    <w:rsid w:val="00343771"/>
    <w:rsid w:val="0034439E"/>
    <w:rsid w:val="0034683D"/>
    <w:rsid w:val="00346D18"/>
    <w:rsid w:val="0034757D"/>
    <w:rsid w:val="00351B2E"/>
    <w:rsid w:val="0035207A"/>
    <w:rsid w:val="003521C3"/>
    <w:rsid w:val="003523CB"/>
    <w:rsid w:val="003536F3"/>
    <w:rsid w:val="00354F1B"/>
    <w:rsid w:val="00355D8F"/>
    <w:rsid w:val="0035671C"/>
    <w:rsid w:val="00357999"/>
    <w:rsid w:val="0036046E"/>
    <w:rsid w:val="00361BC5"/>
    <w:rsid w:val="00363690"/>
    <w:rsid w:val="00365CCA"/>
    <w:rsid w:val="00366AD0"/>
    <w:rsid w:val="00366CAB"/>
    <w:rsid w:val="00367C7D"/>
    <w:rsid w:val="00371D94"/>
    <w:rsid w:val="00372479"/>
    <w:rsid w:val="00372803"/>
    <w:rsid w:val="00372B55"/>
    <w:rsid w:val="00372BF7"/>
    <w:rsid w:val="00373084"/>
    <w:rsid w:val="00375218"/>
    <w:rsid w:val="00375B85"/>
    <w:rsid w:val="00376583"/>
    <w:rsid w:val="00376A94"/>
    <w:rsid w:val="00376F4F"/>
    <w:rsid w:val="00376F69"/>
    <w:rsid w:val="00377843"/>
    <w:rsid w:val="00377AB4"/>
    <w:rsid w:val="00377B1E"/>
    <w:rsid w:val="00380F5D"/>
    <w:rsid w:val="0038107E"/>
    <w:rsid w:val="00381315"/>
    <w:rsid w:val="00381C59"/>
    <w:rsid w:val="00382E16"/>
    <w:rsid w:val="00383514"/>
    <w:rsid w:val="00383DC7"/>
    <w:rsid w:val="00383EC4"/>
    <w:rsid w:val="00384EB3"/>
    <w:rsid w:val="00384FD7"/>
    <w:rsid w:val="003858DE"/>
    <w:rsid w:val="00385D5F"/>
    <w:rsid w:val="00385F08"/>
    <w:rsid w:val="00386478"/>
    <w:rsid w:val="003867D8"/>
    <w:rsid w:val="00386A0C"/>
    <w:rsid w:val="00387158"/>
    <w:rsid w:val="0038736E"/>
    <w:rsid w:val="0039161E"/>
    <w:rsid w:val="00391658"/>
    <w:rsid w:val="00391EF4"/>
    <w:rsid w:val="003920FB"/>
    <w:rsid w:val="00392875"/>
    <w:rsid w:val="00393452"/>
    <w:rsid w:val="00393B87"/>
    <w:rsid w:val="00394043"/>
    <w:rsid w:val="003944BC"/>
    <w:rsid w:val="00395388"/>
    <w:rsid w:val="003954AD"/>
    <w:rsid w:val="003967C2"/>
    <w:rsid w:val="00396B12"/>
    <w:rsid w:val="003A01E3"/>
    <w:rsid w:val="003A077A"/>
    <w:rsid w:val="003A4241"/>
    <w:rsid w:val="003A440F"/>
    <w:rsid w:val="003A473B"/>
    <w:rsid w:val="003A5E85"/>
    <w:rsid w:val="003A5FE8"/>
    <w:rsid w:val="003A6131"/>
    <w:rsid w:val="003A6CE5"/>
    <w:rsid w:val="003A7621"/>
    <w:rsid w:val="003B05AB"/>
    <w:rsid w:val="003B088A"/>
    <w:rsid w:val="003B0C17"/>
    <w:rsid w:val="003B0F05"/>
    <w:rsid w:val="003B15D0"/>
    <w:rsid w:val="003B1AD0"/>
    <w:rsid w:val="003B1FD3"/>
    <w:rsid w:val="003B38C1"/>
    <w:rsid w:val="003B4ACE"/>
    <w:rsid w:val="003B4E91"/>
    <w:rsid w:val="003B5806"/>
    <w:rsid w:val="003B58C7"/>
    <w:rsid w:val="003B6AFD"/>
    <w:rsid w:val="003B70D6"/>
    <w:rsid w:val="003B735A"/>
    <w:rsid w:val="003B7543"/>
    <w:rsid w:val="003B7927"/>
    <w:rsid w:val="003B7FCE"/>
    <w:rsid w:val="003C0167"/>
    <w:rsid w:val="003C0A7D"/>
    <w:rsid w:val="003C2263"/>
    <w:rsid w:val="003C28BB"/>
    <w:rsid w:val="003C4DD4"/>
    <w:rsid w:val="003C567D"/>
    <w:rsid w:val="003C7B76"/>
    <w:rsid w:val="003D105B"/>
    <w:rsid w:val="003D1AF8"/>
    <w:rsid w:val="003D2106"/>
    <w:rsid w:val="003D35F9"/>
    <w:rsid w:val="003D38D6"/>
    <w:rsid w:val="003D55FC"/>
    <w:rsid w:val="003D5B77"/>
    <w:rsid w:val="003D655F"/>
    <w:rsid w:val="003D6C74"/>
    <w:rsid w:val="003D6C88"/>
    <w:rsid w:val="003E015D"/>
    <w:rsid w:val="003E044E"/>
    <w:rsid w:val="003E1093"/>
    <w:rsid w:val="003E3481"/>
    <w:rsid w:val="003E3E97"/>
    <w:rsid w:val="003E3E9D"/>
    <w:rsid w:val="003E480A"/>
    <w:rsid w:val="003E4829"/>
    <w:rsid w:val="003E5A0A"/>
    <w:rsid w:val="003E5C05"/>
    <w:rsid w:val="003E652F"/>
    <w:rsid w:val="003E7107"/>
    <w:rsid w:val="003E7182"/>
    <w:rsid w:val="003E776A"/>
    <w:rsid w:val="003F0682"/>
    <w:rsid w:val="003F1FAF"/>
    <w:rsid w:val="003F32CA"/>
    <w:rsid w:val="003F47BF"/>
    <w:rsid w:val="003F4D15"/>
    <w:rsid w:val="003F4D9B"/>
    <w:rsid w:val="003F654C"/>
    <w:rsid w:val="003F6F77"/>
    <w:rsid w:val="003F704E"/>
    <w:rsid w:val="003F7134"/>
    <w:rsid w:val="003F7C90"/>
    <w:rsid w:val="004000B9"/>
    <w:rsid w:val="00400354"/>
    <w:rsid w:val="00400C97"/>
    <w:rsid w:val="00400EC2"/>
    <w:rsid w:val="0040131F"/>
    <w:rsid w:val="00401F21"/>
    <w:rsid w:val="0040394A"/>
    <w:rsid w:val="00403B78"/>
    <w:rsid w:val="00403BFF"/>
    <w:rsid w:val="00403DC2"/>
    <w:rsid w:val="0040526F"/>
    <w:rsid w:val="00406375"/>
    <w:rsid w:val="004075AE"/>
    <w:rsid w:val="00411218"/>
    <w:rsid w:val="00411E19"/>
    <w:rsid w:val="00411F9A"/>
    <w:rsid w:val="00412A6F"/>
    <w:rsid w:val="00412BB9"/>
    <w:rsid w:val="00412E08"/>
    <w:rsid w:val="00413CF5"/>
    <w:rsid w:val="004159FB"/>
    <w:rsid w:val="004171C0"/>
    <w:rsid w:val="0041751F"/>
    <w:rsid w:val="00417E5F"/>
    <w:rsid w:val="00417FB5"/>
    <w:rsid w:val="0042110A"/>
    <w:rsid w:val="004228E1"/>
    <w:rsid w:val="00423687"/>
    <w:rsid w:val="00424B00"/>
    <w:rsid w:val="004253B8"/>
    <w:rsid w:val="0042652C"/>
    <w:rsid w:val="00426700"/>
    <w:rsid w:val="00430BCF"/>
    <w:rsid w:val="00432332"/>
    <w:rsid w:val="00432860"/>
    <w:rsid w:val="00432F9B"/>
    <w:rsid w:val="004330C7"/>
    <w:rsid w:val="004351EB"/>
    <w:rsid w:val="00435363"/>
    <w:rsid w:val="00435587"/>
    <w:rsid w:val="0043661E"/>
    <w:rsid w:val="004371F8"/>
    <w:rsid w:val="004373F6"/>
    <w:rsid w:val="004379AA"/>
    <w:rsid w:val="00437D04"/>
    <w:rsid w:val="004408E1"/>
    <w:rsid w:val="00440A52"/>
    <w:rsid w:val="004410F1"/>
    <w:rsid w:val="00441F07"/>
    <w:rsid w:val="00441F81"/>
    <w:rsid w:val="00442435"/>
    <w:rsid w:val="00442B74"/>
    <w:rsid w:val="00444BE4"/>
    <w:rsid w:val="00444C2D"/>
    <w:rsid w:val="00444F90"/>
    <w:rsid w:val="00446E29"/>
    <w:rsid w:val="004470BE"/>
    <w:rsid w:val="0045207B"/>
    <w:rsid w:val="00453D13"/>
    <w:rsid w:val="00454496"/>
    <w:rsid w:val="004550A2"/>
    <w:rsid w:val="00455559"/>
    <w:rsid w:val="004557C4"/>
    <w:rsid w:val="00456976"/>
    <w:rsid w:val="00457AC8"/>
    <w:rsid w:val="004603E3"/>
    <w:rsid w:val="004614CB"/>
    <w:rsid w:val="00461892"/>
    <w:rsid w:val="00461BC3"/>
    <w:rsid w:val="00462438"/>
    <w:rsid w:val="004631E5"/>
    <w:rsid w:val="004649E1"/>
    <w:rsid w:val="0046588B"/>
    <w:rsid w:val="00465B39"/>
    <w:rsid w:val="00466668"/>
    <w:rsid w:val="00466851"/>
    <w:rsid w:val="00467B78"/>
    <w:rsid w:val="00470BFD"/>
    <w:rsid w:val="00471A69"/>
    <w:rsid w:val="004727D8"/>
    <w:rsid w:val="004729F3"/>
    <w:rsid w:val="0047416E"/>
    <w:rsid w:val="00476411"/>
    <w:rsid w:val="00476679"/>
    <w:rsid w:val="004772CD"/>
    <w:rsid w:val="00477506"/>
    <w:rsid w:val="00477669"/>
    <w:rsid w:val="0048034C"/>
    <w:rsid w:val="00480FF5"/>
    <w:rsid w:val="00481088"/>
    <w:rsid w:val="00482B1E"/>
    <w:rsid w:val="00483155"/>
    <w:rsid w:val="004837FA"/>
    <w:rsid w:val="00483AD0"/>
    <w:rsid w:val="004842BC"/>
    <w:rsid w:val="0048457E"/>
    <w:rsid w:val="00485902"/>
    <w:rsid w:val="00485A52"/>
    <w:rsid w:val="00485E51"/>
    <w:rsid w:val="004864A9"/>
    <w:rsid w:val="00486F27"/>
    <w:rsid w:val="004871CF"/>
    <w:rsid w:val="0048780B"/>
    <w:rsid w:val="004879E6"/>
    <w:rsid w:val="00487D9A"/>
    <w:rsid w:val="004905AF"/>
    <w:rsid w:val="00490B3B"/>
    <w:rsid w:val="004919CD"/>
    <w:rsid w:val="00491A05"/>
    <w:rsid w:val="00491A08"/>
    <w:rsid w:val="00491FD6"/>
    <w:rsid w:val="00492C3B"/>
    <w:rsid w:val="00493BAA"/>
    <w:rsid w:val="0049450A"/>
    <w:rsid w:val="00494DFB"/>
    <w:rsid w:val="00495C34"/>
    <w:rsid w:val="00496479"/>
    <w:rsid w:val="00496AAD"/>
    <w:rsid w:val="00496ADA"/>
    <w:rsid w:val="00496BF7"/>
    <w:rsid w:val="00496C62"/>
    <w:rsid w:val="0049788C"/>
    <w:rsid w:val="00497C50"/>
    <w:rsid w:val="00497FB4"/>
    <w:rsid w:val="004A09D4"/>
    <w:rsid w:val="004A0C12"/>
    <w:rsid w:val="004A1245"/>
    <w:rsid w:val="004A149F"/>
    <w:rsid w:val="004A1C6A"/>
    <w:rsid w:val="004A26E2"/>
    <w:rsid w:val="004A2A75"/>
    <w:rsid w:val="004A4A99"/>
    <w:rsid w:val="004A57D6"/>
    <w:rsid w:val="004A610E"/>
    <w:rsid w:val="004A666F"/>
    <w:rsid w:val="004B0411"/>
    <w:rsid w:val="004B099F"/>
    <w:rsid w:val="004B171C"/>
    <w:rsid w:val="004B4E2A"/>
    <w:rsid w:val="004B6278"/>
    <w:rsid w:val="004B6DE3"/>
    <w:rsid w:val="004B6EEC"/>
    <w:rsid w:val="004B6FBB"/>
    <w:rsid w:val="004B7797"/>
    <w:rsid w:val="004B7969"/>
    <w:rsid w:val="004C05BC"/>
    <w:rsid w:val="004C16E8"/>
    <w:rsid w:val="004C1BEE"/>
    <w:rsid w:val="004C1D3F"/>
    <w:rsid w:val="004C21F1"/>
    <w:rsid w:val="004C27D4"/>
    <w:rsid w:val="004C2E94"/>
    <w:rsid w:val="004C3607"/>
    <w:rsid w:val="004C47EF"/>
    <w:rsid w:val="004C4959"/>
    <w:rsid w:val="004C4B45"/>
    <w:rsid w:val="004C4EC5"/>
    <w:rsid w:val="004C5244"/>
    <w:rsid w:val="004C5792"/>
    <w:rsid w:val="004C5E86"/>
    <w:rsid w:val="004C6EF6"/>
    <w:rsid w:val="004D03D0"/>
    <w:rsid w:val="004D7697"/>
    <w:rsid w:val="004D7918"/>
    <w:rsid w:val="004E0173"/>
    <w:rsid w:val="004E02D9"/>
    <w:rsid w:val="004E09A7"/>
    <w:rsid w:val="004E0DF0"/>
    <w:rsid w:val="004E115E"/>
    <w:rsid w:val="004E15BE"/>
    <w:rsid w:val="004E1CA8"/>
    <w:rsid w:val="004E1E84"/>
    <w:rsid w:val="004E28D8"/>
    <w:rsid w:val="004E29FE"/>
    <w:rsid w:val="004E2F77"/>
    <w:rsid w:val="004E34EC"/>
    <w:rsid w:val="004E4A4D"/>
    <w:rsid w:val="004E5AFD"/>
    <w:rsid w:val="004E5EB7"/>
    <w:rsid w:val="004E6291"/>
    <w:rsid w:val="004E7598"/>
    <w:rsid w:val="004F0C40"/>
    <w:rsid w:val="004F0C81"/>
    <w:rsid w:val="004F301F"/>
    <w:rsid w:val="004F3E08"/>
    <w:rsid w:val="004F40AE"/>
    <w:rsid w:val="004F481B"/>
    <w:rsid w:val="004F50FD"/>
    <w:rsid w:val="004F5715"/>
    <w:rsid w:val="004F68E3"/>
    <w:rsid w:val="004F6E25"/>
    <w:rsid w:val="004F75DD"/>
    <w:rsid w:val="00500F87"/>
    <w:rsid w:val="005019E1"/>
    <w:rsid w:val="0050271B"/>
    <w:rsid w:val="005037DC"/>
    <w:rsid w:val="00504113"/>
    <w:rsid w:val="005048E3"/>
    <w:rsid w:val="00504D62"/>
    <w:rsid w:val="00510274"/>
    <w:rsid w:val="005102D0"/>
    <w:rsid w:val="00510DC3"/>
    <w:rsid w:val="00510DDD"/>
    <w:rsid w:val="0051148C"/>
    <w:rsid w:val="00511981"/>
    <w:rsid w:val="00511DED"/>
    <w:rsid w:val="00512F0E"/>
    <w:rsid w:val="00513843"/>
    <w:rsid w:val="00513BC1"/>
    <w:rsid w:val="00514A09"/>
    <w:rsid w:val="00515A00"/>
    <w:rsid w:val="0051698D"/>
    <w:rsid w:val="00516EBD"/>
    <w:rsid w:val="00517CE4"/>
    <w:rsid w:val="005201FE"/>
    <w:rsid w:val="00520577"/>
    <w:rsid w:val="00520D9A"/>
    <w:rsid w:val="00520EF4"/>
    <w:rsid w:val="00521A38"/>
    <w:rsid w:val="00522209"/>
    <w:rsid w:val="00522D55"/>
    <w:rsid w:val="00522DD6"/>
    <w:rsid w:val="00523927"/>
    <w:rsid w:val="00523C19"/>
    <w:rsid w:val="00524163"/>
    <w:rsid w:val="00524434"/>
    <w:rsid w:val="00526279"/>
    <w:rsid w:val="00526436"/>
    <w:rsid w:val="005269B1"/>
    <w:rsid w:val="00526FA3"/>
    <w:rsid w:val="00527090"/>
    <w:rsid w:val="00527354"/>
    <w:rsid w:val="0053052B"/>
    <w:rsid w:val="00530857"/>
    <w:rsid w:val="00532959"/>
    <w:rsid w:val="00532FB9"/>
    <w:rsid w:val="005337AF"/>
    <w:rsid w:val="005337E0"/>
    <w:rsid w:val="005344AF"/>
    <w:rsid w:val="00535074"/>
    <w:rsid w:val="0053552B"/>
    <w:rsid w:val="005364DF"/>
    <w:rsid w:val="005365E6"/>
    <w:rsid w:val="005374C7"/>
    <w:rsid w:val="00540A57"/>
    <w:rsid w:val="00540BC6"/>
    <w:rsid w:val="0054127D"/>
    <w:rsid w:val="00541BFB"/>
    <w:rsid w:val="00543767"/>
    <w:rsid w:val="005445EB"/>
    <w:rsid w:val="005448E8"/>
    <w:rsid w:val="00544A01"/>
    <w:rsid w:val="00551830"/>
    <w:rsid w:val="0055224E"/>
    <w:rsid w:val="00552B06"/>
    <w:rsid w:val="0055300A"/>
    <w:rsid w:val="0055352C"/>
    <w:rsid w:val="005537F7"/>
    <w:rsid w:val="00553D7D"/>
    <w:rsid w:val="005554DC"/>
    <w:rsid w:val="0055651B"/>
    <w:rsid w:val="00556732"/>
    <w:rsid w:val="005570C9"/>
    <w:rsid w:val="00557690"/>
    <w:rsid w:val="00561133"/>
    <w:rsid w:val="005614AC"/>
    <w:rsid w:val="005618FF"/>
    <w:rsid w:val="00563487"/>
    <w:rsid w:val="00564181"/>
    <w:rsid w:val="005641D2"/>
    <w:rsid w:val="00564AB7"/>
    <w:rsid w:val="005654CB"/>
    <w:rsid w:val="005656CF"/>
    <w:rsid w:val="00565DB4"/>
    <w:rsid w:val="00567164"/>
    <w:rsid w:val="00567BEA"/>
    <w:rsid w:val="005703D9"/>
    <w:rsid w:val="00570CE0"/>
    <w:rsid w:val="00570E35"/>
    <w:rsid w:val="00572C5F"/>
    <w:rsid w:val="00572E8A"/>
    <w:rsid w:val="005738EE"/>
    <w:rsid w:val="005742C2"/>
    <w:rsid w:val="005746C4"/>
    <w:rsid w:val="00575908"/>
    <w:rsid w:val="00575E80"/>
    <w:rsid w:val="00576119"/>
    <w:rsid w:val="005762C4"/>
    <w:rsid w:val="00576455"/>
    <w:rsid w:val="00576A1A"/>
    <w:rsid w:val="00576EB0"/>
    <w:rsid w:val="005773A3"/>
    <w:rsid w:val="00577BA2"/>
    <w:rsid w:val="00580365"/>
    <w:rsid w:val="0058064F"/>
    <w:rsid w:val="00580915"/>
    <w:rsid w:val="00580CF2"/>
    <w:rsid w:val="0058133E"/>
    <w:rsid w:val="005816D7"/>
    <w:rsid w:val="00581EF4"/>
    <w:rsid w:val="0058311D"/>
    <w:rsid w:val="005831F2"/>
    <w:rsid w:val="00583390"/>
    <w:rsid w:val="005837F3"/>
    <w:rsid w:val="00583CE7"/>
    <w:rsid w:val="005862BA"/>
    <w:rsid w:val="005870A6"/>
    <w:rsid w:val="005876B5"/>
    <w:rsid w:val="0058775A"/>
    <w:rsid w:val="005877D0"/>
    <w:rsid w:val="00587E02"/>
    <w:rsid w:val="00587FBF"/>
    <w:rsid w:val="0059008C"/>
    <w:rsid w:val="005904C0"/>
    <w:rsid w:val="00590E7F"/>
    <w:rsid w:val="005923BE"/>
    <w:rsid w:val="00592AD7"/>
    <w:rsid w:val="00592FE5"/>
    <w:rsid w:val="00593A20"/>
    <w:rsid w:val="00593F1C"/>
    <w:rsid w:val="00594DEB"/>
    <w:rsid w:val="005979F1"/>
    <w:rsid w:val="005A3CA5"/>
    <w:rsid w:val="005A3D43"/>
    <w:rsid w:val="005A4412"/>
    <w:rsid w:val="005A4543"/>
    <w:rsid w:val="005A4F75"/>
    <w:rsid w:val="005A4FD1"/>
    <w:rsid w:val="005A6791"/>
    <w:rsid w:val="005A745A"/>
    <w:rsid w:val="005A7B07"/>
    <w:rsid w:val="005A7D38"/>
    <w:rsid w:val="005B0607"/>
    <w:rsid w:val="005B1021"/>
    <w:rsid w:val="005B1EC7"/>
    <w:rsid w:val="005B3EE2"/>
    <w:rsid w:val="005B4F0D"/>
    <w:rsid w:val="005B4F13"/>
    <w:rsid w:val="005B4F39"/>
    <w:rsid w:val="005B68A5"/>
    <w:rsid w:val="005B6CAE"/>
    <w:rsid w:val="005B757C"/>
    <w:rsid w:val="005B79AF"/>
    <w:rsid w:val="005C0F54"/>
    <w:rsid w:val="005C1406"/>
    <w:rsid w:val="005C2BE6"/>
    <w:rsid w:val="005C4E63"/>
    <w:rsid w:val="005C5387"/>
    <w:rsid w:val="005C6CAA"/>
    <w:rsid w:val="005C7A4B"/>
    <w:rsid w:val="005C7CAE"/>
    <w:rsid w:val="005D0C17"/>
    <w:rsid w:val="005D28A9"/>
    <w:rsid w:val="005D2958"/>
    <w:rsid w:val="005D2D7C"/>
    <w:rsid w:val="005D3228"/>
    <w:rsid w:val="005D4395"/>
    <w:rsid w:val="005D46F5"/>
    <w:rsid w:val="005D4D19"/>
    <w:rsid w:val="005D4DD2"/>
    <w:rsid w:val="005D50C3"/>
    <w:rsid w:val="005D5799"/>
    <w:rsid w:val="005D5935"/>
    <w:rsid w:val="005D5F28"/>
    <w:rsid w:val="005D742A"/>
    <w:rsid w:val="005E0306"/>
    <w:rsid w:val="005E0342"/>
    <w:rsid w:val="005E0C24"/>
    <w:rsid w:val="005E0D55"/>
    <w:rsid w:val="005E1FD0"/>
    <w:rsid w:val="005E2387"/>
    <w:rsid w:val="005E3628"/>
    <w:rsid w:val="005E3EAD"/>
    <w:rsid w:val="005E4BE4"/>
    <w:rsid w:val="005E6FF6"/>
    <w:rsid w:val="005E79E3"/>
    <w:rsid w:val="005E7BAF"/>
    <w:rsid w:val="005F03AE"/>
    <w:rsid w:val="005F0586"/>
    <w:rsid w:val="005F0F57"/>
    <w:rsid w:val="005F1149"/>
    <w:rsid w:val="005F207C"/>
    <w:rsid w:val="005F228B"/>
    <w:rsid w:val="005F365B"/>
    <w:rsid w:val="005F3C04"/>
    <w:rsid w:val="005F41EF"/>
    <w:rsid w:val="005F4A1C"/>
    <w:rsid w:val="005F4E3C"/>
    <w:rsid w:val="005F51E8"/>
    <w:rsid w:val="005F5A4B"/>
    <w:rsid w:val="005F6493"/>
    <w:rsid w:val="005F66BA"/>
    <w:rsid w:val="005F6722"/>
    <w:rsid w:val="005F7004"/>
    <w:rsid w:val="005F72CD"/>
    <w:rsid w:val="005F72F8"/>
    <w:rsid w:val="005F7485"/>
    <w:rsid w:val="005F7885"/>
    <w:rsid w:val="005F7C5C"/>
    <w:rsid w:val="00600AEA"/>
    <w:rsid w:val="00600D38"/>
    <w:rsid w:val="00601799"/>
    <w:rsid w:val="00601901"/>
    <w:rsid w:val="00601DD2"/>
    <w:rsid w:val="006025B1"/>
    <w:rsid w:val="00605FBF"/>
    <w:rsid w:val="00607036"/>
    <w:rsid w:val="0060757A"/>
    <w:rsid w:val="00610149"/>
    <w:rsid w:val="00610609"/>
    <w:rsid w:val="00610894"/>
    <w:rsid w:val="00610A29"/>
    <w:rsid w:val="00610B0B"/>
    <w:rsid w:val="00610B26"/>
    <w:rsid w:val="00610B57"/>
    <w:rsid w:val="006116B2"/>
    <w:rsid w:val="00612238"/>
    <w:rsid w:val="00613042"/>
    <w:rsid w:val="0061322C"/>
    <w:rsid w:val="006138F0"/>
    <w:rsid w:val="006153AE"/>
    <w:rsid w:val="0061578E"/>
    <w:rsid w:val="00615890"/>
    <w:rsid w:val="006161A2"/>
    <w:rsid w:val="00616AEB"/>
    <w:rsid w:val="0062003F"/>
    <w:rsid w:val="00620234"/>
    <w:rsid w:val="006211F5"/>
    <w:rsid w:val="006216BB"/>
    <w:rsid w:val="00621C7B"/>
    <w:rsid w:val="00622112"/>
    <w:rsid w:val="00622238"/>
    <w:rsid w:val="00622EE9"/>
    <w:rsid w:val="0062313E"/>
    <w:rsid w:val="00623B67"/>
    <w:rsid w:val="00623C65"/>
    <w:rsid w:val="0062487D"/>
    <w:rsid w:val="00624CD1"/>
    <w:rsid w:val="00625A36"/>
    <w:rsid w:val="00626243"/>
    <w:rsid w:val="00626639"/>
    <w:rsid w:val="006268DE"/>
    <w:rsid w:val="00626FFF"/>
    <w:rsid w:val="006306C3"/>
    <w:rsid w:val="00630BB0"/>
    <w:rsid w:val="00631B8B"/>
    <w:rsid w:val="00634C2E"/>
    <w:rsid w:val="006355D6"/>
    <w:rsid w:val="00635E41"/>
    <w:rsid w:val="0063608D"/>
    <w:rsid w:val="0063613E"/>
    <w:rsid w:val="0063623B"/>
    <w:rsid w:val="00636DC3"/>
    <w:rsid w:val="00637EF6"/>
    <w:rsid w:val="0064054D"/>
    <w:rsid w:val="00640EF4"/>
    <w:rsid w:val="006417E2"/>
    <w:rsid w:val="00641D82"/>
    <w:rsid w:val="00642051"/>
    <w:rsid w:val="00642FD3"/>
    <w:rsid w:val="00643054"/>
    <w:rsid w:val="00643A32"/>
    <w:rsid w:val="0064469B"/>
    <w:rsid w:val="00644E17"/>
    <w:rsid w:val="006450DF"/>
    <w:rsid w:val="00645198"/>
    <w:rsid w:val="0064645A"/>
    <w:rsid w:val="006471CC"/>
    <w:rsid w:val="00647926"/>
    <w:rsid w:val="00647F7C"/>
    <w:rsid w:val="00651347"/>
    <w:rsid w:val="00651C14"/>
    <w:rsid w:val="0065392D"/>
    <w:rsid w:val="00655358"/>
    <w:rsid w:val="00657358"/>
    <w:rsid w:val="0065777F"/>
    <w:rsid w:val="006602A0"/>
    <w:rsid w:val="00661512"/>
    <w:rsid w:val="00661843"/>
    <w:rsid w:val="0066190B"/>
    <w:rsid w:val="006626D0"/>
    <w:rsid w:val="006644D8"/>
    <w:rsid w:val="00664E6A"/>
    <w:rsid w:val="00666AA5"/>
    <w:rsid w:val="0066735E"/>
    <w:rsid w:val="00667C10"/>
    <w:rsid w:val="00670B25"/>
    <w:rsid w:val="00670EAA"/>
    <w:rsid w:val="00671599"/>
    <w:rsid w:val="006725A2"/>
    <w:rsid w:val="00673089"/>
    <w:rsid w:val="00673497"/>
    <w:rsid w:val="00674E45"/>
    <w:rsid w:val="00675448"/>
    <w:rsid w:val="006764F5"/>
    <w:rsid w:val="0067683E"/>
    <w:rsid w:val="00677288"/>
    <w:rsid w:val="00680365"/>
    <w:rsid w:val="00681023"/>
    <w:rsid w:val="006810F1"/>
    <w:rsid w:val="00682716"/>
    <w:rsid w:val="0068272C"/>
    <w:rsid w:val="00682D16"/>
    <w:rsid w:val="0068390D"/>
    <w:rsid w:val="0068476D"/>
    <w:rsid w:val="00685790"/>
    <w:rsid w:val="006866D7"/>
    <w:rsid w:val="006867E0"/>
    <w:rsid w:val="00687171"/>
    <w:rsid w:val="00687888"/>
    <w:rsid w:val="00687D81"/>
    <w:rsid w:val="0069041B"/>
    <w:rsid w:val="00690731"/>
    <w:rsid w:val="0069254C"/>
    <w:rsid w:val="00693296"/>
    <w:rsid w:val="006943FD"/>
    <w:rsid w:val="00694DBF"/>
    <w:rsid w:val="00695A91"/>
    <w:rsid w:val="00697D90"/>
    <w:rsid w:val="006A0AB8"/>
    <w:rsid w:val="006A0ADA"/>
    <w:rsid w:val="006A0BD1"/>
    <w:rsid w:val="006A13CA"/>
    <w:rsid w:val="006A144F"/>
    <w:rsid w:val="006A296C"/>
    <w:rsid w:val="006A2B73"/>
    <w:rsid w:val="006A3104"/>
    <w:rsid w:val="006A3479"/>
    <w:rsid w:val="006A370A"/>
    <w:rsid w:val="006A4383"/>
    <w:rsid w:val="006A461D"/>
    <w:rsid w:val="006A549D"/>
    <w:rsid w:val="006A60C3"/>
    <w:rsid w:val="006A678E"/>
    <w:rsid w:val="006A6884"/>
    <w:rsid w:val="006A7145"/>
    <w:rsid w:val="006A71AC"/>
    <w:rsid w:val="006A78D2"/>
    <w:rsid w:val="006B1138"/>
    <w:rsid w:val="006B17B2"/>
    <w:rsid w:val="006B3CF0"/>
    <w:rsid w:val="006B47BA"/>
    <w:rsid w:val="006B52D9"/>
    <w:rsid w:val="006B62F9"/>
    <w:rsid w:val="006B64A1"/>
    <w:rsid w:val="006B7BE4"/>
    <w:rsid w:val="006C014C"/>
    <w:rsid w:val="006C0D91"/>
    <w:rsid w:val="006C0DEE"/>
    <w:rsid w:val="006C1708"/>
    <w:rsid w:val="006C1B07"/>
    <w:rsid w:val="006C210E"/>
    <w:rsid w:val="006C2DA7"/>
    <w:rsid w:val="006C2FD6"/>
    <w:rsid w:val="006C3D34"/>
    <w:rsid w:val="006C43D4"/>
    <w:rsid w:val="006C51C1"/>
    <w:rsid w:val="006C529D"/>
    <w:rsid w:val="006C6B61"/>
    <w:rsid w:val="006D00FC"/>
    <w:rsid w:val="006D02C3"/>
    <w:rsid w:val="006D0824"/>
    <w:rsid w:val="006D11C9"/>
    <w:rsid w:val="006D1CB3"/>
    <w:rsid w:val="006D2329"/>
    <w:rsid w:val="006D2D0E"/>
    <w:rsid w:val="006D3626"/>
    <w:rsid w:val="006D3A79"/>
    <w:rsid w:val="006D549D"/>
    <w:rsid w:val="006D5B41"/>
    <w:rsid w:val="006D63E3"/>
    <w:rsid w:val="006D7937"/>
    <w:rsid w:val="006D7A86"/>
    <w:rsid w:val="006E0C76"/>
    <w:rsid w:val="006E1B7D"/>
    <w:rsid w:val="006E3319"/>
    <w:rsid w:val="006E400E"/>
    <w:rsid w:val="006E4B2A"/>
    <w:rsid w:val="006E5A72"/>
    <w:rsid w:val="006F022F"/>
    <w:rsid w:val="006F0380"/>
    <w:rsid w:val="006F0A45"/>
    <w:rsid w:val="006F22E7"/>
    <w:rsid w:val="006F403D"/>
    <w:rsid w:val="006F5B1E"/>
    <w:rsid w:val="007001BE"/>
    <w:rsid w:val="0070047E"/>
    <w:rsid w:val="0070188E"/>
    <w:rsid w:val="0070277D"/>
    <w:rsid w:val="00702799"/>
    <w:rsid w:val="00702978"/>
    <w:rsid w:val="00703579"/>
    <w:rsid w:val="0070393F"/>
    <w:rsid w:val="007040DF"/>
    <w:rsid w:val="007043E2"/>
    <w:rsid w:val="0070461D"/>
    <w:rsid w:val="00704BFD"/>
    <w:rsid w:val="00704CA4"/>
    <w:rsid w:val="007056B8"/>
    <w:rsid w:val="007061C7"/>
    <w:rsid w:val="007072AD"/>
    <w:rsid w:val="0070788E"/>
    <w:rsid w:val="007103B3"/>
    <w:rsid w:val="0071087D"/>
    <w:rsid w:val="0071245A"/>
    <w:rsid w:val="00712AEB"/>
    <w:rsid w:val="00712FE8"/>
    <w:rsid w:val="00713840"/>
    <w:rsid w:val="0071385A"/>
    <w:rsid w:val="0071483B"/>
    <w:rsid w:val="00715346"/>
    <w:rsid w:val="00716898"/>
    <w:rsid w:val="00716BFA"/>
    <w:rsid w:val="00717521"/>
    <w:rsid w:val="00717AC0"/>
    <w:rsid w:val="00720BBB"/>
    <w:rsid w:val="00720F2F"/>
    <w:rsid w:val="00720FA4"/>
    <w:rsid w:val="00720FCE"/>
    <w:rsid w:val="0072148D"/>
    <w:rsid w:val="007231CC"/>
    <w:rsid w:val="007240D5"/>
    <w:rsid w:val="00725E55"/>
    <w:rsid w:val="00725E6B"/>
    <w:rsid w:val="007265B3"/>
    <w:rsid w:val="007267F7"/>
    <w:rsid w:val="007275BD"/>
    <w:rsid w:val="00727A46"/>
    <w:rsid w:val="00727CED"/>
    <w:rsid w:val="00730006"/>
    <w:rsid w:val="0073070A"/>
    <w:rsid w:val="00730819"/>
    <w:rsid w:val="00730F66"/>
    <w:rsid w:val="0073126C"/>
    <w:rsid w:val="00731C9A"/>
    <w:rsid w:val="007328EB"/>
    <w:rsid w:val="00732C08"/>
    <w:rsid w:val="00734349"/>
    <w:rsid w:val="00734CF8"/>
    <w:rsid w:val="0073750A"/>
    <w:rsid w:val="007401F1"/>
    <w:rsid w:val="00740AEE"/>
    <w:rsid w:val="00740E9E"/>
    <w:rsid w:val="007422FA"/>
    <w:rsid w:val="00742441"/>
    <w:rsid w:val="00744627"/>
    <w:rsid w:val="007465A1"/>
    <w:rsid w:val="0074695F"/>
    <w:rsid w:val="00751A76"/>
    <w:rsid w:val="0075292C"/>
    <w:rsid w:val="00752C63"/>
    <w:rsid w:val="00752E05"/>
    <w:rsid w:val="007535ED"/>
    <w:rsid w:val="0075575C"/>
    <w:rsid w:val="00755777"/>
    <w:rsid w:val="007557F3"/>
    <w:rsid w:val="00755AB0"/>
    <w:rsid w:val="00756BC1"/>
    <w:rsid w:val="00756CCA"/>
    <w:rsid w:val="00756F2A"/>
    <w:rsid w:val="00757294"/>
    <w:rsid w:val="00757839"/>
    <w:rsid w:val="00757A21"/>
    <w:rsid w:val="00760319"/>
    <w:rsid w:val="007606E1"/>
    <w:rsid w:val="00762669"/>
    <w:rsid w:val="00763288"/>
    <w:rsid w:val="0076359B"/>
    <w:rsid w:val="007647BF"/>
    <w:rsid w:val="00764B11"/>
    <w:rsid w:val="00765C63"/>
    <w:rsid w:val="00766015"/>
    <w:rsid w:val="0076642B"/>
    <w:rsid w:val="00766497"/>
    <w:rsid w:val="00766B69"/>
    <w:rsid w:val="00767316"/>
    <w:rsid w:val="00767942"/>
    <w:rsid w:val="00767C00"/>
    <w:rsid w:val="00770AE2"/>
    <w:rsid w:val="007711CE"/>
    <w:rsid w:val="00773565"/>
    <w:rsid w:val="00773916"/>
    <w:rsid w:val="00774932"/>
    <w:rsid w:val="00774BE4"/>
    <w:rsid w:val="00776F69"/>
    <w:rsid w:val="00777803"/>
    <w:rsid w:val="00777AF8"/>
    <w:rsid w:val="00780D30"/>
    <w:rsid w:val="007818F4"/>
    <w:rsid w:val="00782519"/>
    <w:rsid w:val="00783C9B"/>
    <w:rsid w:val="0078431B"/>
    <w:rsid w:val="007847B0"/>
    <w:rsid w:val="00784AF1"/>
    <w:rsid w:val="00784F01"/>
    <w:rsid w:val="007850F2"/>
    <w:rsid w:val="007853B1"/>
    <w:rsid w:val="00785860"/>
    <w:rsid w:val="00785C34"/>
    <w:rsid w:val="007865C8"/>
    <w:rsid w:val="0078670E"/>
    <w:rsid w:val="00790037"/>
    <w:rsid w:val="00790CE9"/>
    <w:rsid w:val="00790FDF"/>
    <w:rsid w:val="007911E1"/>
    <w:rsid w:val="007913E3"/>
    <w:rsid w:val="00792622"/>
    <w:rsid w:val="00792F7C"/>
    <w:rsid w:val="00793CFA"/>
    <w:rsid w:val="00794198"/>
    <w:rsid w:val="00794234"/>
    <w:rsid w:val="007955E1"/>
    <w:rsid w:val="00795D4B"/>
    <w:rsid w:val="00795F10"/>
    <w:rsid w:val="00796113"/>
    <w:rsid w:val="007969FB"/>
    <w:rsid w:val="00796E5A"/>
    <w:rsid w:val="00796F08"/>
    <w:rsid w:val="007A052A"/>
    <w:rsid w:val="007A2118"/>
    <w:rsid w:val="007A24A7"/>
    <w:rsid w:val="007A27C2"/>
    <w:rsid w:val="007A3C36"/>
    <w:rsid w:val="007A4179"/>
    <w:rsid w:val="007A420A"/>
    <w:rsid w:val="007A5BDC"/>
    <w:rsid w:val="007A6333"/>
    <w:rsid w:val="007A6385"/>
    <w:rsid w:val="007A6CBC"/>
    <w:rsid w:val="007A71AE"/>
    <w:rsid w:val="007B040B"/>
    <w:rsid w:val="007B0E84"/>
    <w:rsid w:val="007B0F48"/>
    <w:rsid w:val="007B13DA"/>
    <w:rsid w:val="007B22F2"/>
    <w:rsid w:val="007B3EEE"/>
    <w:rsid w:val="007B46E8"/>
    <w:rsid w:val="007B589F"/>
    <w:rsid w:val="007B5B1C"/>
    <w:rsid w:val="007B6034"/>
    <w:rsid w:val="007B61EB"/>
    <w:rsid w:val="007B6AE0"/>
    <w:rsid w:val="007B714D"/>
    <w:rsid w:val="007C02A2"/>
    <w:rsid w:val="007C150E"/>
    <w:rsid w:val="007C1A42"/>
    <w:rsid w:val="007C2500"/>
    <w:rsid w:val="007C277D"/>
    <w:rsid w:val="007C33A9"/>
    <w:rsid w:val="007C3608"/>
    <w:rsid w:val="007C3650"/>
    <w:rsid w:val="007C399C"/>
    <w:rsid w:val="007C558F"/>
    <w:rsid w:val="007C62C5"/>
    <w:rsid w:val="007C740A"/>
    <w:rsid w:val="007C78F7"/>
    <w:rsid w:val="007C7F12"/>
    <w:rsid w:val="007D24D9"/>
    <w:rsid w:val="007D3284"/>
    <w:rsid w:val="007D4899"/>
    <w:rsid w:val="007D4C2D"/>
    <w:rsid w:val="007D4F1B"/>
    <w:rsid w:val="007D5444"/>
    <w:rsid w:val="007D5A0A"/>
    <w:rsid w:val="007D5CD7"/>
    <w:rsid w:val="007D60D5"/>
    <w:rsid w:val="007D61AB"/>
    <w:rsid w:val="007D6560"/>
    <w:rsid w:val="007D67A2"/>
    <w:rsid w:val="007D6996"/>
    <w:rsid w:val="007D6B72"/>
    <w:rsid w:val="007D79FF"/>
    <w:rsid w:val="007E00F2"/>
    <w:rsid w:val="007E15BB"/>
    <w:rsid w:val="007E2320"/>
    <w:rsid w:val="007E2355"/>
    <w:rsid w:val="007E2AC9"/>
    <w:rsid w:val="007E42E4"/>
    <w:rsid w:val="007E58ED"/>
    <w:rsid w:val="007E5BBF"/>
    <w:rsid w:val="007E69FF"/>
    <w:rsid w:val="007F1EE9"/>
    <w:rsid w:val="007F25D1"/>
    <w:rsid w:val="007F27BA"/>
    <w:rsid w:val="007F2D32"/>
    <w:rsid w:val="007F3E86"/>
    <w:rsid w:val="007F41B4"/>
    <w:rsid w:val="007F4369"/>
    <w:rsid w:val="007F5344"/>
    <w:rsid w:val="007F5BCD"/>
    <w:rsid w:val="007F5DEE"/>
    <w:rsid w:val="007F5F75"/>
    <w:rsid w:val="007F6FE2"/>
    <w:rsid w:val="007F77A1"/>
    <w:rsid w:val="00800267"/>
    <w:rsid w:val="00800665"/>
    <w:rsid w:val="008014FD"/>
    <w:rsid w:val="00801946"/>
    <w:rsid w:val="00801EBE"/>
    <w:rsid w:val="00801F32"/>
    <w:rsid w:val="00802889"/>
    <w:rsid w:val="00803252"/>
    <w:rsid w:val="00803E2B"/>
    <w:rsid w:val="008040C6"/>
    <w:rsid w:val="0080485F"/>
    <w:rsid w:val="00804878"/>
    <w:rsid w:val="00804EB6"/>
    <w:rsid w:val="008054F6"/>
    <w:rsid w:val="008064D1"/>
    <w:rsid w:val="00807B11"/>
    <w:rsid w:val="00811308"/>
    <w:rsid w:val="0081176B"/>
    <w:rsid w:val="008121C4"/>
    <w:rsid w:val="008133D2"/>
    <w:rsid w:val="00814D99"/>
    <w:rsid w:val="00816262"/>
    <w:rsid w:val="00816384"/>
    <w:rsid w:val="00817E5C"/>
    <w:rsid w:val="00820341"/>
    <w:rsid w:val="00820471"/>
    <w:rsid w:val="008205D2"/>
    <w:rsid w:val="00820F16"/>
    <w:rsid w:val="0082140A"/>
    <w:rsid w:val="008214BD"/>
    <w:rsid w:val="008219D0"/>
    <w:rsid w:val="00821EF8"/>
    <w:rsid w:val="00823824"/>
    <w:rsid w:val="008240F8"/>
    <w:rsid w:val="008242DA"/>
    <w:rsid w:val="0082610A"/>
    <w:rsid w:val="0082685E"/>
    <w:rsid w:val="00826A76"/>
    <w:rsid w:val="008272FE"/>
    <w:rsid w:val="00827AFB"/>
    <w:rsid w:val="00830EC6"/>
    <w:rsid w:val="00831087"/>
    <w:rsid w:val="0083119D"/>
    <w:rsid w:val="00831CA6"/>
    <w:rsid w:val="008322AD"/>
    <w:rsid w:val="00832733"/>
    <w:rsid w:val="00833178"/>
    <w:rsid w:val="00834598"/>
    <w:rsid w:val="0083679E"/>
    <w:rsid w:val="00836AB0"/>
    <w:rsid w:val="008376DE"/>
    <w:rsid w:val="008376F6"/>
    <w:rsid w:val="00837941"/>
    <w:rsid w:val="00837D67"/>
    <w:rsid w:val="00837F39"/>
    <w:rsid w:val="00840504"/>
    <w:rsid w:val="0084092D"/>
    <w:rsid w:val="008417D9"/>
    <w:rsid w:val="00841D7B"/>
    <w:rsid w:val="008443D2"/>
    <w:rsid w:val="008458CE"/>
    <w:rsid w:val="0084641C"/>
    <w:rsid w:val="00846459"/>
    <w:rsid w:val="00850916"/>
    <w:rsid w:val="00850957"/>
    <w:rsid w:val="00850E77"/>
    <w:rsid w:val="008510A3"/>
    <w:rsid w:val="00851905"/>
    <w:rsid w:val="00851C3D"/>
    <w:rsid w:val="008537D5"/>
    <w:rsid w:val="00853B33"/>
    <w:rsid w:val="00853F0A"/>
    <w:rsid w:val="00854DDB"/>
    <w:rsid w:val="00855403"/>
    <w:rsid w:val="008554DC"/>
    <w:rsid w:val="0085643E"/>
    <w:rsid w:val="00856887"/>
    <w:rsid w:val="00856D2A"/>
    <w:rsid w:val="00856FB6"/>
    <w:rsid w:val="00857350"/>
    <w:rsid w:val="0085764F"/>
    <w:rsid w:val="00857AA9"/>
    <w:rsid w:val="00857CD6"/>
    <w:rsid w:val="00861691"/>
    <w:rsid w:val="00861B8C"/>
    <w:rsid w:val="00862288"/>
    <w:rsid w:val="00862345"/>
    <w:rsid w:val="00862A82"/>
    <w:rsid w:val="00862E91"/>
    <w:rsid w:val="00863202"/>
    <w:rsid w:val="00863208"/>
    <w:rsid w:val="008637C7"/>
    <w:rsid w:val="00863E7C"/>
    <w:rsid w:val="008642F3"/>
    <w:rsid w:val="00865888"/>
    <w:rsid w:val="00866D5D"/>
    <w:rsid w:val="008678EE"/>
    <w:rsid w:val="00867C9A"/>
    <w:rsid w:val="008713B9"/>
    <w:rsid w:val="00872E8B"/>
    <w:rsid w:val="0087344A"/>
    <w:rsid w:val="00874A57"/>
    <w:rsid w:val="00874FD6"/>
    <w:rsid w:val="0087682C"/>
    <w:rsid w:val="00876FE5"/>
    <w:rsid w:val="0087767D"/>
    <w:rsid w:val="00877BF0"/>
    <w:rsid w:val="00882C62"/>
    <w:rsid w:val="0088335F"/>
    <w:rsid w:val="0088416B"/>
    <w:rsid w:val="00885F96"/>
    <w:rsid w:val="0088650C"/>
    <w:rsid w:val="00890516"/>
    <w:rsid w:val="00891C87"/>
    <w:rsid w:val="00891EA8"/>
    <w:rsid w:val="00892FE9"/>
    <w:rsid w:val="0089382E"/>
    <w:rsid w:val="00895A76"/>
    <w:rsid w:val="00895D3C"/>
    <w:rsid w:val="00895DE5"/>
    <w:rsid w:val="00896BFC"/>
    <w:rsid w:val="00896EB9"/>
    <w:rsid w:val="00897208"/>
    <w:rsid w:val="00897468"/>
    <w:rsid w:val="008978FE"/>
    <w:rsid w:val="008A0790"/>
    <w:rsid w:val="008A130F"/>
    <w:rsid w:val="008A231D"/>
    <w:rsid w:val="008A3766"/>
    <w:rsid w:val="008A38F0"/>
    <w:rsid w:val="008A654D"/>
    <w:rsid w:val="008A6BD7"/>
    <w:rsid w:val="008A7024"/>
    <w:rsid w:val="008A777C"/>
    <w:rsid w:val="008A78D7"/>
    <w:rsid w:val="008A7A4D"/>
    <w:rsid w:val="008B0B0D"/>
    <w:rsid w:val="008B1786"/>
    <w:rsid w:val="008B1EB6"/>
    <w:rsid w:val="008B2060"/>
    <w:rsid w:val="008B2EE5"/>
    <w:rsid w:val="008B3547"/>
    <w:rsid w:val="008B46CD"/>
    <w:rsid w:val="008B4BFE"/>
    <w:rsid w:val="008B5261"/>
    <w:rsid w:val="008B528F"/>
    <w:rsid w:val="008B5321"/>
    <w:rsid w:val="008B6F2E"/>
    <w:rsid w:val="008C0553"/>
    <w:rsid w:val="008C0EF2"/>
    <w:rsid w:val="008C190D"/>
    <w:rsid w:val="008C21E8"/>
    <w:rsid w:val="008C24C6"/>
    <w:rsid w:val="008C3C84"/>
    <w:rsid w:val="008C4B6B"/>
    <w:rsid w:val="008C4D1E"/>
    <w:rsid w:val="008C571A"/>
    <w:rsid w:val="008C60A6"/>
    <w:rsid w:val="008C6282"/>
    <w:rsid w:val="008C6946"/>
    <w:rsid w:val="008C74F0"/>
    <w:rsid w:val="008C7A3B"/>
    <w:rsid w:val="008D00A9"/>
    <w:rsid w:val="008D2504"/>
    <w:rsid w:val="008D3DBC"/>
    <w:rsid w:val="008D3E7E"/>
    <w:rsid w:val="008D3EF4"/>
    <w:rsid w:val="008D567B"/>
    <w:rsid w:val="008D5787"/>
    <w:rsid w:val="008D776C"/>
    <w:rsid w:val="008E0170"/>
    <w:rsid w:val="008E1808"/>
    <w:rsid w:val="008E22B6"/>
    <w:rsid w:val="008E22E5"/>
    <w:rsid w:val="008E34AE"/>
    <w:rsid w:val="008E3ECB"/>
    <w:rsid w:val="008E423C"/>
    <w:rsid w:val="008E4C2E"/>
    <w:rsid w:val="008E51DA"/>
    <w:rsid w:val="008E52B7"/>
    <w:rsid w:val="008E53DF"/>
    <w:rsid w:val="008E59E9"/>
    <w:rsid w:val="008E65BD"/>
    <w:rsid w:val="008F030F"/>
    <w:rsid w:val="008F04F8"/>
    <w:rsid w:val="008F0766"/>
    <w:rsid w:val="008F1C72"/>
    <w:rsid w:val="008F2869"/>
    <w:rsid w:val="008F4329"/>
    <w:rsid w:val="008F4652"/>
    <w:rsid w:val="008F4936"/>
    <w:rsid w:val="008F4D68"/>
    <w:rsid w:val="008F5751"/>
    <w:rsid w:val="008F5DAC"/>
    <w:rsid w:val="008F6C53"/>
    <w:rsid w:val="008F6E41"/>
    <w:rsid w:val="008F746C"/>
    <w:rsid w:val="00901C33"/>
    <w:rsid w:val="00901CF9"/>
    <w:rsid w:val="009028BF"/>
    <w:rsid w:val="00902ACF"/>
    <w:rsid w:val="00902B22"/>
    <w:rsid w:val="00902C34"/>
    <w:rsid w:val="009033AA"/>
    <w:rsid w:val="00903EAC"/>
    <w:rsid w:val="00903F33"/>
    <w:rsid w:val="00903F45"/>
    <w:rsid w:val="00903F4F"/>
    <w:rsid w:val="0090531D"/>
    <w:rsid w:val="00905603"/>
    <w:rsid w:val="00906875"/>
    <w:rsid w:val="0090755C"/>
    <w:rsid w:val="00907999"/>
    <w:rsid w:val="009079D8"/>
    <w:rsid w:val="00907D39"/>
    <w:rsid w:val="00910C5B"/>
    <w:rsid w:val="00910F8F"/>
    <w:rsid w:val="0091170F"/>
    <w:rsid w:val="00911B0A"/>
    <w:rsid w:val="00912152"/>
    <w:rsid w:val="0091219D"/>
    <w:rsid w:val="00912CC2"/>
    <w:rsid w:val="00913343"/>
    <w:rsid w:val="00914C9C"/>
    <w:rsid w:val="00915DFF"/>
    <w:rsid w:val="009160C9"/>
    <w:rsid w:val="00916CE1"/>
    <w:rsid w:val="00917932"/>
    <w:rsid w:val="00917BFF"/>
    <w:rsid w:val="00922378"/>
    <w:rsid w:val="00923B15"/>
    <w:rsid w:val="0092503E"/>
    <w:rsid w:val="00930051"/>
    <w:rsid w:val="00930916"/>
    <w:rsid w:val="009309AB"/>
    <w:rsid w:val="009330E6"/>
    <w:rsid w:val="00933215"/>
    <w:rsid w:val="0093341A"/>
    <w:rsid w:val="009336BE"/>
    <w:rsid w:val="00933884"/>
    <w:rsid w:val="009339E2"/>
    <w:rsid w:val="00934AD2"/>
    <w:rsid w:val="00934F1F"/>
    <w:rsid w:val="0093508F"/>
    <w:rsid w:val="009373BB"/>
    <w:rsid w:val="00937AD7"/>
    <w:rsid w:val="009411C0"/>
    <w:rsid w:val="00941BDF"/>
    <w:rsid w:val="0094465C"/>
    <w:rsid w:val="009446EF"/>
    <w:rsid w:val="0094556D"/>
    <w:rsid w:val="00945C05"/>
    <w:rsid w:val="00945D6B"/>
    <w:rsid w:val="00946335"/>
    <w:rsid w:val="00946474"/>
    <w:rsid w:val="00947E84"/>
    <w:rsid w:val="00952FCC"/>
    <w:rsid w:val="00953464"/>
    <w:rsid w:val="009536D0"/>
    <w:rsid w:val="00954314"/>
    <w:rsid w:val="00954A8F"/>
    <w:rsid w:val="009569FC"/>
    <w:rsid w:val="00957889"/>
    <w:rsid w:val="00960596"/>
    <w:rsid w:val="00960AB9"/>
    <w:rsid w:val="00961B4E"/>
    <w:rsid w:val="00961E9E"/>
    <w:rsid w:val="00962791"/>
    <w:rsid w:val="00965368"/>
    <w:rsid w:val="009671FD"/>
    <w:rsid w:val="00967850"/>
    <w:rsid w:val="009679C8"/>
    <w:rsid w:val="00972B3A"/>
    <w:rsid w:val="00975A9A"/>
    <w:rsid w:val="00976816"/>
    <w:rsid w:val="00980569"/>
    <w:rsid w:val="00980673"/>
    <w:rsid w:val="00980B44"/>
    <w:rsid w:val="00981432"/>
    <w:rsid w:val="009821F9"/>
    <w:rsid w:val="009828B1"/>
    <w:rsid w:val="00983BAF"/>
    <w:rsid w:val="00985DD3"/>
    <w:rsid w:val="00987291"/>
    <w:rsid w:val="0098755E"/>
    <w:rsid w:val="00990B9A"/>
    <w:rsid w:val="00990D55"/>
    <w:rsid w:val="00991B7D"/>
    <w:rsid w:val="009927E6"/>
    <w:rsid w:val="0099465D"/>
    <w:rsid w:val="00994CDC"/>
    <w:rsid w:val="0099554B"/>
    <w:rsid w:val="00996D35"/>
    <w:rsid w:val="00997418"/>
    <w:rsid w:val="009976D2"/>
    <w:rsid w:val="00997769"/>
    <w:rsid w:val="009A0B86"/>
    <w:rsid w:val="009A0F1E"/>
    <w:rsid w:val="009A0FE9"/>
    <w:rsid w:val="009A2018"/>
    <w:rsid w:val="009A29A3"/>
    <w:rsid w:val="009A404F"/>
    <w:rsid w:val="009A468E"/>
    <w:rsid w:val="009A46B5"/>
    <w:rsid w:val="009A48C7"/>
    <w:rsid w:val="009A4C31"/>
    <w:rsid w:val="009A510A"/>
    <w:rsid w:val="009A62E6"/>
    <w:rsid w:val="009A6609"/>
    <w:rsid w:val="009A6D12"/>
    <w:rsid w:val="009A72C2"/>
    <w:rsid w:val="009B0B76"/>
    <w:rsid w:val="009B1B23"/>
    <w:rsid w:val="009B24BE"/>
    <w:rsid w:val="009B283A"/>
    <w:rsid w:val="009B2A7A"/>
    <w:rsid w:val="009B3197"/>
    <w:rsid w:val="009B33FB"/>
    <w:rsid w:val="009B3709"/>
    <w:rsid w:val="009B3728"/>
    <w:rsid w:val="009B41BF"/>
    <w:rsid w:val="009B4422"/>
    <w:rsid w:val="009B463A"/>
    <w:rsid w:val="009B4D52"/>
    <w:rsid w:val="009B5C2E"/>
    <w:rsid w:val="009B6D4A"/>
    <w:rsid w:val="009B7351"/>
    <w:rsid w:val="009B7981"/>
    <w:rsid w:val="009B7A88"/>
    <w:rsid w:val="009C1472"/>
    <w:rsid w:val="009C1582"/>
    <w:rsid w:val="009C1F5D"/>
    <w:rsid w:val="009C2A6C"/>
    <w:rsid w:val="009C3561"/>
    <w:rsid w:val="009C36D4"/>
    <w:rsid w:val="009C3957"/>
    <w:rsid w:val="009C475C"/>
    <w:rsid w:val="009C4B6F"/>
    <w:rsid w:val="009C53C2"/>
    <w:rsid w:val="009C55FD"/>
    <w:rsid w:val="009C5BDB"/>
    <w:rsid w:val="009C5D6A"/>
    <w:rsid w:val="009C5D93"/>
    <w:rsid w:val="009C5F71"/>
    <w:rsid w:val="009C6223"/>
    <w:rsid w:val="009C6380"/>
    <w:rsid w:val="009C6870"/>
    <w:rsid w:val="009C6C63"/>
    <w:rsid w:val="009C6F86"/>
    <w:rsid w:val="009D0712"/>
    <w:rsid w:val="009D0DD0"/>
    <w:rsid w:val="009D2ED7"/>
    <w:rsid w:val="009D3325"/>
    <w:rsid w:val="009D552E"/>
    <w:rsid w:val="009D6B09"/>
    <w:rsid w:val="009D6BA9"/>
    <w:rsid w:val="009D72BD"/>
    <w:rsid w:val="009E0FB2"/>
    <w:rsid w:val="009E149C"/>
    <w:rsid w:val="009E3C7B"/>
    <w:rsid w:val="009E40CF"/>
    <w:rsid w:val="009E4C95"/>
    <w:rsid w:val="009E5075"/>
    <w:rsid w:val="009E5369"/>
    <w:rsid w:val="009E5501"/>
    <w:rsid w:val="009E5940"/>
    <w:rsid w:val="009E5985"/>
    <w:rsid w:val="009E79FB"/>
    <w:rsid w:val="009E7E64"/>
    <w:rsid w:val="009F0FD9"/>
    <w:rsid w:val="009F18A2"/>
    <w:rsid w:val="009F2D61"/>
    <w:rsid w:val="009F314A"/>
    <w:rsid w:val="009F3CA7"/>
    <w:rsid w:val="009F5A55"/>
    <w:rsid w:val="009F5BCF"/>
    <w:rsid w:val="009F749A"/>
    <w:rsid w:val="009F76B1"/>
    <w:rsid w:val="009F7730"/>
    <w:rsid w:val="009F7D35"/>
    <w:rsid w:val="009F7ECB"/>
    <w:rsid w:val="009F7F9B"/>
    <w:rsid w:val="00A00130"/>
    <w:rsid w:val="00A00227"/>
    <w:rsid w:val="00A00358"/>
    <w:rsid w:val="00A01BA4"/>
    <w:rsid w:val="00A020D0"/>
    <w:rsid w:val="00A02367"/>
    <w:rsid w:val="00A056B8"/>
    <w:rsid w:val="00A06059"/>
    <w:rsid w:val="00A06957"/>
    <w:rsid w:val="00A10319"/>
    <w:rsid w:val="00A110CD"/>
    <w:rsid w:val="00A136BD"/>
    <w:rsid w:val="00A1534A"/>
    <w:rsid w:val="00A15382"/>
    <w:rsid w:val="00A17EDC"/>
    <w:rsid w:val="00A2090E"/>
    <w:rsid w:val="00A20D10"/>
    <w:rsid w:val="00A21CD6"/>
    <w:rsid w:val="00A221FD"/>
    <w:rsid w:val="00A2230B"/>
    <w:rsid w:val="00A225D2"/>
    <w:rsid w:val="00A2369E"/>
    <w:rsid w:val="00A2457E"/>
    <w:rsid w:val="00A2642A"/>
    <w:rsid w:val="00A265B1"/>
    <w:rsid w:val="00A2677D"/>
    <w:rsid w:val="00A26F6E"/>
    <w:rsid w:val="00A275FF"/>
    <w:rsid w:val="00A2766E"/>
    <w:rsid w:val="00A32F0F"/>
    <w:rsid w:val="00A344CE"/>
    <w:rsid w:val="00A34FC3"/>
    <w:rsid w:val="00A35082"/>
    <w:rsid w:val="00A354FA"/>
    <w:rsid w:val="00A354FE"/>
    <w:rsid w:val="00A35CC6"/>
    <w:rsid w:val="00A371E0"/>
    <w:rsid w:val="00A3720C"/>
    <w:rsid w:val="00A3733B"/>
    <w:rsid w:val="00A37A37"/>
    <w:rsid w:val="00A41612"/>
    <w:rsid w:val="00A41BA8"/>
    <w:rsid w:val="00A42261"/>
    <w:rsid w:val="00A42327"/>
    <w:rsid w:val="00A42FFC"/>
    <w:rsid w:val="00A43378"/>
    <w:rsid w:val="00A43A54"/>
    <w:rsid w:val="00A45057"/>
    <w:rsid w:val="00A451BA"/>
    <w:rsid w:val="00A460C8"/>
    <w:rsid w:val="00A46CAE"/>
    <w:rsid w:val="00A46F32"/>
    <w:rsid w:val="00A50777"/>
    <w:rsid w:val="00A507A3"/>
    <w:rsid w:val="00A51A13"/>
    <w:rsid w:val="00A521DC"/>
    <w:rsid w:val="00A5244B"/>
    <w:rsid w:val="00A5353A"/>
    <w:rsid w:val="00A53647"/>
    <w:rsid w:val="00A54E71"/>
    <w:rsid w:val="00A55354"/>
    <w:rsid w:val="00A60D00"/>
    <w:rsid w:val="00A61128"/>
    <w:rsid w:val="00A613AD"/>
    <w:rsid w:val="00A629AD"/>
    <w:rsid w:val="00A62A07"/>
    <w:rsid w:val="00A62C31"/>
    <w:rsid w:val="00A62C8D"/>
    <w:rsid w:val="00A63205"/>
    <w:rsid w:val="00A638B4"/>
    <w:rsid w:val="00A63C2A"/>
    <w:rsid w:val="00A66864"/>
    <w:rsid w:val="00A668F2"/>
    <w:rsid w:val="00A66EDF"/>
    <w:rsid w:val="00A67151"/>
    <w:rsid w:val="00A6768A"/>
    <w:rsid w:val="00A6785D"/>
    <w:rsid w:val="00A67977"/>
    <w:rsid w:val="00A67F74"/>
    <w:rsid w:val="00A70314"/>
    <w:rsid w:val="00A72EC5"/>
    <w:rsid w:val="00A7388F"/>
    <w:rsid w:val="00A73DD5"/>
    <w:rsid w:val="00A73F4D"/>
    <w:rsid w:val="00A742E1"/>
    <w:rsid w:val="00A74342"/>
    <w:rsid w:val="00A74A07"/>
    <w:rsid w:val="00A74C91"/>
    <w:rsid w:val="00A74EAD"/>
    <w:rsid w:val="00A75211"/>
    <w:rsid w:val="00A755C5"/>
    <w:rsid w:val="00A7633A"/>
    <w:rsid w:val="00A77B62"/>
    <w:rsid w:val="00A805C0"/>
    <w:rsid w:val="00A812AD"/>
    <w:rsid w:val="00A8141C"/>
    <w:rsid w:val="00A81D83"/>
    <w:rsid w:val="00A823B8"/>
    <w:rsid w:val="00A82C37"/>
    <w:rsid w:val="00A8307F"/>
    <w:rsid w:val="00A8395B"/>
    <w:rsid w:val="00A85852"/>
    <w:rsid w:val="00A86DCD"/>
    <w:rsid w:val="00A87A94"/>
    <w:rsid w:val="00A90063"/>
    <w:rsid w:val="00A90CB6"/>
    <w:rsid w:val="00A910CB"/>
    <w:rsid w:val="00A912FC"/>
    <w:rsid w:val="00A93C56"/>
    <w:rsid w:val="00A93F91"/>
    <w:rsid w:val="00A945B5"/>
    <w:rsid w:val="00A95235"/>
    <w:rsid w:val="00A95782"/>
    <w:rsid w:val="00A96615"/>
    <w:rsid w:val="00AA0FC9"/>
    <w:rsid w:val="00AA1279"/>
    <w:rsid w:val="00AA1EAC"/>
    <w:rsid w:val="00AA33F3"/>
    <w:rsid w:val="00AA498B"/>
    <w:rsid w:val="00AA4BC3"/>
    <w:rsid w:val="00AA52C8"/>
    <w:rsid w:val="00AA7362"/>
    <w:rsid w:val="00AA7D97"/>
    <w:rsid w:val="00AB04E3"/>
    <w:rsid w:val="00AB0C12"/>
    <w:rsid w:val="00AB0CD2"/>
    <w:rsid w:val="00AB0F7E"/>
    <w:rsid w:val="00AB1406"/>
    <w:rsid w:val="00AB1905"/>
    <w:rsid w:val="00AB1B4B"/>
    <w:rsid w:val="00AB1C51"/>
    <w:rsid w:val="00AB2A27"/>
    <w:rsid w:val="00AB2C07"/>
    <w:rsid w:val="00AB353B"/>
    <w:rsid w:val="00AB3D35"/>
    <w:rsid w:val="00AB3D50"/>
    <w:rsid w:val="00AB42BC"/>
    <w:rsid w:val="00AB5088"/>
    <w:rsid w:val="00AB57A8"/>
    <w:rsid w:val="00AB5946"/>
    <w:rsid w:val="00AB6072"/>
    <w:rsid w:val="00AC0076"/>
    <w:rsid w:val="00AC0418"/>
    <w:rsid w:val="00AC0E45"/>
    <w:rsid w:val="00AC100F"/>
    <w:rsid w:val="00AC1B50"/>
    <w:rsid w:val="00AC25B2"/>
    <w:rsid w:val="00AC285C"/>
    <w:rsid w:val="00AC2FA0"/>
    <w:rsid w:val="00AC32E7"/>
    <w:rsid w:val="00AC4819"/>
    <w:rsid w:val="00AC4F32"/>
    <w:rsid w:val="00AC53CB"/>
    <w:rsid w:val="00AC5441"/>
    <w:rsid w:val="00AC61D0"/>
    <w:rsid w:val="00AC6809"/>
    <w:rsid w:val="00AC7ACA"/>
    <w:rsid w:val="00AC7FC6"/>
    <w:rsid w:val="00AD0780"/>
    <w:rsid w:val="00AD0E27"/>
    <w:rsid w:val="00AD17A0"/>
    <w:rsid w:val="00AD2692"/>
    <w:rsid w:val="00AD2CB9"/>
    <w:rsid w:val="00AD3968"/>
    <w:rsid w:val="00AD4534"/>
    <w:rsid w:val="00AD4996"/>
    <w:rsid w:val="00AD5581"/>
    <w:rsid w:val="00AD5AAC"/>
    <w:rsid w:val="00AD67C2"/>
    <w:rsid w:val="00AD733B"/>
    <w:rsid w:val="00AE06D8"/>
    <w:rsid w:val="00AE104F"/>
    <w:rsid w:val="00AE1063"/>
    <w:rsid w:val="00AE1952"/>
    <w:rsid w:val="00AE2536"/>
    <w:rsid w:val="00AE26DF"/>
    <w:rsid w:val="00AE27F7"/>
    <w:rsid w:val="00AE3146"/>
    <w:rsid w:val="00AE37BA"/>
    <w:rsid w:val="00AE45FB"/>
    <w:rsid w:val="00AE4C65"/>
    <w:rsid w:val="00AE5E02"/>
    <w:rsid w:val="00AE6856"/>
    <w:rsid w:val="00AF0E51"/>
    <w:rsid w:val="00AF2279"/>
    <w:rsid w:val="00AF2569"/>
    <w:rsid w:val="00AF2C25"/>
    <w:rsid w:val="00AF38C1"/>
    <w:rsid w:val="00AF3EC7"/>
    <w:rsid w:val="00AF3F36"/>
    <w:rsid w:val="00AF3F98"/>
    <w:rsid w:val="00AF501A"/>
    <w:rsid w:val="00AF6001"/>
    <w:rsid w:val="00AF67D6"/>
    <w:rsid w:val="00AF6A03"/>
    <w:rsid w:val="00AF6ED0"/>
    <w:rsid w:val="00B00383"/>
    <w:rsid w:val="00B00BD1"/>
    <w:rsid w:val="00B0196D"/>
    <w:rsid w:val="00B01B62"/>
    <w:rsid w:val="00B02AB6"/>
    <w:rsid w:val="00B03CD1"/>
    <w:rsid w:val="00B048AF"/>
    <w:rsid w:val="00B04A82"/>
    <w:rsid w:val="00B064BB"/>
    <w:rsid w:val="00B067F3"/>
    <w:rsid w:val="00B07207"/>
    <w:rsid w:val="00B07469"/>
    <w:rsid w:val="00B10182"/>
    <w:rsid w:val="00B10B4D"/>
    <w:rsid w:val="00B10F81"/>
    <w:rsid w:val="00B12252"/>
    <w:rsid w:val="00B13363"/>
    <w:rsid w:val="00B136A5"/>
    <w:rsid w:val="00B148F7"/>
    <w:rsid w:val="00B14CDC"/>
    <w:rsid w:val="00B15462"/>
    <w:rsid w:val="00B17C77"/>
    <w:rsid w:val="00B20ADB"/>
    <w:rsid w:val="00B21837"/>
    <w:rsid w:val="00B22068"/>
    <w:rsid w:val="00B23A08"/>
    <w:rsid w:val="00B23BD3"/>
    <w:rsid w:val="00B23D8B"/>
    <w:rsid w:val="00B241D0"/>
    <w:rsid w:val="00B27E93"/>
    <w:rsid w:val="00B30B33"/>
    <w:rsid w:val="00B30CCB"/>
    <w:rsid w:val="00B312ED"/>
    <w:rsid w:val="00B31AE3"/>
    <w:rsid w:val="00B31D54"/>
    <w:rsid w:val="00B322E1"/>
    <w:rsid w:val="00B32CF9"/>
    <w:rsid w:val="00B34217"/>
    <w:rsid w:val="00B3432B"/>
    <w:rsid w:val="00B3593C"/>
    <w:rsid w:val="00B35B95"/>
    <w:rsid w:val="00B35C57"/>
    <w:rsid w:val="00B374AB"/>
    <w:rsid w:val="00B37555"/>
    <w:rsid w:val="00B403AC"/>
    <w:rsid w:val="00B417FB"/>
    <w:rsid w:val="00B41823"/>
    <w:rsid w:val="00B42BD9"/>
    <w:rsid w:val="00B43357"/>
    <w:rsid w:val="00B4359C"/>
    <w:rsid w:val="00B43672"/>
    <w:rsid w:val="00B43807"/>
    <w:rsid w:val="00B47263"/>
    <w:rsid w:val="00B53176"/>
    <w:rsid w:val="00B54587"/>
    <w:rsid w:val="00B54C14"/>
    <w:rsid w:val="00B551F1"/>
    <w:rsid w:val="00B552DE"/>
    <w:rsid w:val="00B55992"/>
    <w:rsid w:val="00B55A5C"/>
    <w:rsid w:val="00B60C8E"/>
    <w:rsid w:val="00B6188E"/>
    <w:rsid w:val="00B61C88"/>
    <w:rsid w:val="00B6261B"/>
    <w:rsid w:val="00B638C5"/>
    <w:rsid w:val="00B649A1"/>
    <w:rsid w:val="00B654C3"/>
    <w:rsid w:val="00B6607B"/>
    <w:rsid w:val="00B6763E"/>
    <w:rsid w:val="00B7097B"/>
    <w:rsid w:val="00B709C4"/>
    <w:rsid w:val="00B70C74"/>
    <w:rsid w:val="00B713BD"/>
    <w:rsid w:val="00B72209"/>
    <w:rsid w:val="00B7356A"/>
    <w:rsid w:val="00B75ADF"/>
    <w:rsid w:val="00B75D7C"/>
    <w:rsid w:val="00B7608F"/>
    <w:rsid w:val="00B7680A"/>
    <w:rsid w:val="00B7731A"/>
    <w:rsid w:val="00B7746B"/>
    <w:rsid w:val="00B775A9"/>
    <w:rsid w:val="00B77B57"/>
    <w:rsid w:val="00B80706"/>
    <w:rsid w:val="00B8273B"/>
    <w:rsid w:val="00B82AEF"/>
    <w:rsid w:val="00B83395"/>
    <w:rsid w:val="00B851E3"/>
    <w:rsid w:val="00B87B7C"/>
    <w:rsid w:val="00B916EC"/>
    <w:rsid w:val="00B91A82"/>
    <w:rsid w:val="00B91A86"/>
    <w:rsid w:val="00B91BAF"/>
    <w:rsid w:val="00B950E5"/>
    <w:rsid w:val="00B954D7"/>
    <w:rsid w:val="00B95A4A"/>
    <w:rsid w:val="00B965FC"/>
    <w:rsid w:val="00B97158"/>
    <w:rsid w:val="00B977BF"/>
    <w:rsid w:val="00BA095E"/>
    <w:rsid w:val="00BA15BE"/>
    <w:rsid w:val="00BA3C87"/>
    <w:rsid w:val="00BA46DF"/>
    <w:rsid w:val="00BA5E22"/>
    <w:rsid w:val="00BA632B"/>
    <w:rsid w:val="00BA6BB1"/>
    <w:rsid w:val="00BA728E"/>
    <w:rsid w:val="00BA7426"/>
    <w:rsid w:val="00BA7C73"/>
    <w:rsid w:val="00BB1188"/>
    <w:rsid w:val="00BB129A"/>
    <w:rsid w:val="00BB138C"/>
    <w:rsid w:val="00BB176D"/>
    <w:rsid w:val="00BB22B4"/>
    <w:rsid w:val="00BB27B3"/>
    <w:rsid w:val="00BB2A9B"/>
    <w:rsid w:val="00BB329C"/>
    <w:rsid w:val="00BB49EF"/>
    <w:rsid w:val="00BB5511"/>
    <w:rsid w:val="00BB5F75"/>
    <w:rsid w:val="00BB5FC2"/>
    <w:rsid w:val="00BB682B"/>
    <w:rsid w:val="00BB6EA7"/>
    <w:rsid w:val="00BB7346"/>
    <w:rsid w:val="00BB749B"/>
    <w:rsid w:val="00BB7646"/>
    <w:rsid w:val="00BC007A"/>
    <w:rsid w:val="00BC1666"/>
    <w:rsid w:val="00BC17F5"/>
    <w:rsid w:val="00BC1FD2"/>
    <w:rsid w:val="00BC20FC"/>
    <w:rsid w:val="00BC3BE8"/>
    <w:rsid w:val="00BC412E"/>
    <w:rsid w:val="00BC533A"/>
    <w:rsid w:val="00BC6A31"/>
    <w:rsid w:val="00BC7307"/>
    <w:rsid w:val="00BC734F"/>
    <w:rsid w:val="00BC78CC"/>
    <w:rsid w:val="00BD0610"/>
    <w:rsid w:val="00BD081D"/>
    <w:rsid w:val="00BD0B3F"/>
    <w:rsid w:val="00BD1277"/>
    <w:rsid w:val="00BD13D3"/>
    <w:rsid w:val="00BD1643"/>
    <w:rsid w:val="00BD25F3"/>
    <w:rsid w:val="00BD2644"/>
    <w:rsid w:val="00BD2CD1"/>
    <w:rsid w:val="00BD37E5"/>
    <w:rsid w:val="00BD5276"/>
    <w:rsid w:val="00BD565A"/>
    <w:rsid w:val="00BD683A"/>
    <w:rsid w:val="00BE1383"/>
    <w:rsid w:val="00BE1526"/>
    <w:rsid w:val="00BE158C"/>
    <w:rsid w:val="00BE168D"/>
    <w:rsid w:val="00BE25D0"/>
    <w:rsid w:val="00BE27CE"/>
    <w:rsid w:val="00BE2B02"/>
    <w:rsid w:val="00BE2B07"/>
    <w:rsid w:val="00BE4859"/>
    <w:rsid w:val="00BE56E8"/>
    <w:rsid w:val="00BE57E8"/>
    <w:rsid w:val="00BE5D39"/>
    <w:rsid w:val="00BE6CC5"/>
    <w:rsid w:val="00BE723C"/>
    <w:rsid w:val="00BE79AD"/>
    <w:rsid w:val="00BF1176"/>
    <w:rsid w:val="00BF176C"/>
    <w:rsid w:val="00BF2AA6"/>
    <w:rsid w:val="00BF2E59"/>
    <w:rsid w:val="00BF3DAC"/>
    <w:rsid w:val="00BF4F8D"/>
    <w:rsid w:val="00BF70D9"/>
    <w:rsid w:val="00BF7611"/>
    <w:rsid w:val="00BF7C86"/>
    <w:rsid w:val="00C00C1B"/>
    <w:rsid w:val="00C012C5"/>
    <w:rsid w:val="00C0167F"/>
    <w:rsid w:val="00C01FD7"/>
    <w:rsid w:val="00C023B7"/>
    <w:rsid w:val="00C0462A"/>
    <w:rsid w:val="00C0476B"/>
    <w:rsid w:val="00C04BE4"/>
    <w:rsid w:val="00C055E1"/>
    <w:rsid w:val="00C06071"/>
    <w:rsid w:val="00C06EC9"/>
    <w:rsid w:val="00C06F3E"/>
    <w:rsid w:val="00C07521"/>
    <w:rsid w:val="00C07A7A"/>
    <w:rsid w:val="00C07AA0"/>
    <w:rsid w:val="00C1029A"/>
    <w:rsid w:val="00C102B1"/>
    <w:rsid w:val="00C102B4"/>
    <w:rsid w:val="00C104EE"/>
    <w:rsid w:val="00C10545"/>
    <w:rsid w:val="00C12E86"/>
    <w:rsid w:val="00C13570"/>
    <w:rsid w:val="00C13DC6"/>
    <w:rsid w:val="00C14659"/>
    <w:rsid w:val="00C148A2"/>
    <w:rsid w:val="00C14B75"/>
    <w:rsid w:val="00C15620"/>
    <w:rsid w:val="00C15665"/>
    <w:rsid w:val="00C16DC7"/>
    <w:rsid w:val="00C171E7"/>
    <w:rsid w:val="00C176E8"/>
    <w:rsid w:val="00C20089"/>
    <w:rsid w:val="00C200BB"/>
    <w:rsid w:val="00C20E85"/>
    <w:rsid w:val="00C21471"/>
    <w:rsid w:val="00C219C6"/>
    <w:rsid w:val="00C22025"/>
    <w:rsid w:val="00C226BA"/>
    <w:rsid w:val="00C23DBC"/>
    <w:rsid w:val="00C24A83"/>
    <w:rsid w:val="00C250B7"/>
    <w:rsid w:val="00C25E71"/>
    <w:rsid w:val="00C2602C"/>
    <w:rsid w:val="00C275C6"/>
    <w:rsid w:val="00C27665"/>
    <w:rsid w:val="00C300AA"/>
    <w:rsid w:val="00C30639"/>
    <w:rsid w:val="00C30749"/>
    <w:rsid w:val="00C313F5"/>
    <w:rsid w:val="00C3229A"/>
    <w:rsid w:val="00C32BF5"/>
    <w:rsid w:val="00C348FE"/>
    <w:rsid w:val="00C34BC6"/>
    <w:rsid w:val="00C34C01"/>
    <w:rsid w:val="00C353C6"/>
    <w:rsid w:val="00C36160"/>
    <w:rsid w:val="00C36A81"/>
    <w:rsid w:val="00C36AF0"/>
    <w:rsid w:val="00C376B0"/>
    <w:rsid w:val="00C37AB9"/>
    <w:rsid w:val="00C37F3E"/>
    <w:rsid w:val="00C37FE5"/>
    <w:rsid w:val="00C408A8"/>
    <w:rsid w:val="00C40DFC"/>
    <w:rsid w:val="00C41723"/>
    <w:rsid w:val="00C41D44"/>
    <w:rsid w:val="00C41FBB"/>
    <w:rsid w:val="00C42C1C"/>
    <w:rsid w:val="00C42DF6"/>
    <w:rsid w:val="00C43DE4"/>
    <w:rsid w:val="00C44A95"/>
    <w:rsid w:val="00C44D52"/>
    <w:rsid w:val="00C460C3"/>
    <w:rsid w:val="00C465D5"/>
    <w:rsid w:val="00C508E3"/>
    <w:rsid w:val="00C510B6"/>
    <w:rsid w:val="00C51220"/>
    <w:rsid w:val="00C512DB"/>
    <w:rsid w:val="00C5149E"/>
    <w:rsid w:val="00C524B5"/>
    <w:rsid w:val="00C52657"/>
    <w:rsid w:val="00C52933"/>
    <w:rsid w:val="00C52DB6"/>
    <w:rsid w:val="00C52EC5"/>
    <w:rsid w:val="00C52F06"/>
    <w:rsid w:val="00C53885"/>
    <w:rsid w:val="00C54589"/>
    <w:rsid w:val="00C54AF7"/>
    <w:rsid w:val="00C54C1C"/>
    <w:rsid w:val="00C576AC"/>
    <w:rsid w:val="00C57810"/>
    <w:rsid w:val="00C604AF"/>
    <w:rsid w:val="00C61E27"/>
    <w:rsid w:val="00C61E9D"/>
    <w:rsid w:val="00C649FB"/>
    <w:rsid w:val="00C651D3"/>
    <w:rsid w:val="00C673B1"/>
    <w:rsid w:val="00C676ED"/>
    <w:rsid w:val="00C702E2"/>
    <w:rsid w:val="00C70570"/>
    <w:rsid w:val="00C707B6"/>
    <w:rsid w:val="00C708A9"/>
    <w:rsid w:val="00C70EAF"/>
    <w:rsid w:val="00C716E7"/>
    <w:rsid w:val="00C71B55"/>
    <w:rsid w:val="00C72CB1"/>
    <w:rsid w:val="00C73F57"/>
    <w:rsid w:val="00C740F4"/>
    <w:rsid w:val="00C74920"/>
    <w:rsid w:val="00C758E2"/>
    <w:rsid w:val="00C76ABE"/>
    <w:rsid w:val="00C7719A"/>
    <w:rsid w:val="00C8016C"/>
    <w:rsid w:val="00C8053B"/>
    <w:rsid w:val="00C8151F"/>
    <w:rsid w:val="00C81D42"/>
    <w:rsid w:val="00C82A1A"/>
    <w:rsid w:val="00C83546"/>
    <w:rsid w:val="00C83B27"/>
    <w:rsid w:val="00C840B0"/>
    <w:rsid w:val="00C84942"/>
    <w:rsid w:val="00C85096"/>
    <w:rsid w:val="00C85255"/>
    <w:rsid w:val="00C85C90"/>
    <w:rsid w:val="00C873F9"/>
    <w:rsid w:val="00C8771A"/>
    <w:rsid w:val="00C87D3F"/>
    <w:rsid w:val="00C90143"/>
    <w:rsid w:val="00C90331"/>
    <w:rsid w:val="00C90532"/>
    <w:rsid w:val="00C90F6B"/>
    <w:rsid w:val="00C92B38"/>
    <w:rsid w:val="00C93526"/>
    <w:rsid w:val="00C9411B"/>
    <w:rsid w:val="00C95943"/>
    <w:rsid w:val="00C95CF1"/>
    <w:rsid w:val="00C9769A"/>
    <w:rsid w:val="00C97E13"/>
    <w:rsid w:val="00CA0028"/>
    <w:rsid w:val="00CA2171"/>
    <w:rsid w:val="00CA2E54"/>
    <w:rsid w:val="00CA2FE6"/>
    <w:rsid w:val="00CA393C"/>
    <w:rsid w:val="00CA6093"/>
    <w:rsid w:val="00CA7023"/>
    <w:rsid w:val="00CA7510"/>
    <w:rsid w:val="00CA7F6F"/>
    <w:rsid w:val="00CB02BA"/>
    <w:rsid w:val="00CB0D94"/>
    <w:rsid w:val="00CB1BFA"/>
    <w:rsid w:val="00CB331A"/>
    <w:rsid w:val="00CB48F8"/>
    <w:rsid w:val="00CB4D39"/>
    <w:rsid w:val="00CB5C2A"/>
    <w:rsid w:val="00CB61AD"/>
    <w:rsid w:val="00CB645C"/>
    <w:rsid w:val="00CB69C4"/>
    <w:rsid w:val="00CB6C97"/>
    <w:rsid w:val="00CB700F"/>
    <w:rsid w:val="00CC096D"/>
    <w:rsid w:val="00CC11C2"/>
    <w:rsid w:val="00CC13AD"/>
    <w:rsid w:val="00CC20FA"/>
    <w:rsid w:val="00CC3272"/>
    <w:rsid w:val="00CC331F"/>
    <w:rsid w:val="00CC3A09"/>
    <w:rsid w:val="00CC582A"/>
    <w:rsid w:val="00CC585D"/>
    <w:rsid w:val="00CC5E3C"/>
    <w:rsid w:val="00CC61D2"/>
    <w:rsid w:val="00CC74CC"/>
    <w:rsid w:val="00CC7E4E"/>
    <w:rsid w:val="00CD0913"/>
    <w:rsid w:val="00CD0AA7"/>
    <w:rsid w:val="00CD22F3"/>
    <w:rsid w:val="00CD2553"/>
    <w:rsid w:val="00CD4B70"/>
    <w:rsid w:val="00CD4CDD"/>
    <w:rsid w:val="00CD532E"/>
    <w:rsid w:val="00CD55EC"/>
    <w:rsid w:val="00CD57A7"/>
    <w:rsid w:val="00CD5879"/>
    <w:rsid w:val="00CD63F4"/>
    <w:rsid w:val="00CD6792"/>
    <w:rsid w:val="00CD73F6"/>
    <w:rsid w:val="00CD7466"/>
    <w:rsid w:val="00CD76FB"/>
    <w:rsid w:val="00CE19D3"/>
    <w:rsid w:val="00CE1D07"/>
    <w:rsid w:val="00CE230D"/>
    <w:rsid w:val="00CE26BB"/>
    <w:rsid w:val="00CE2B5B"/>
    <w:rsid w:val="00CE30C4"/>
    <w:rsid w:val="00CE3571"/>
    <w:rsid w:val="00CE3BC7"/>
    <w:rsid w:val="00CE5CB9"/>
    <w:rsid w:val="00CE5DB2"/>
    <w:rsid w:val="00CE7401"/>
    <w:rsid w:val="00CE74C1"/>
    <w:rsid w:val="00CE7DF9"/>
    <w:rsid w:val="00CF0A26"/>
    <w:rsid w:val="00CF1746"/>
    <w:rsid w:val="00CF20EC"/>
    <w:rsid w:val="00CF24A8"/>
    <w:rsid w:val="00CF291F"/>
    <w:rsid w:val="00CF4471"/>
    <w:rsid w:val="00CF5000"/>
    <w:rsid w:val="00CF5F98"/>
    <w:rsid w:val="00D005AB"/>
    <w:rsid w:val="00D02814"/>
    <w:rsid w:val="00D040DB"/>
    <w:rsid w:val="00D043C5"/>
    <w:rsid w:val="00D04AC0"/>
    <w:rsid w:val="00D05DFE"/>
    <w:rsid w:val="00D07034"/>
    <w:rsid w:val="00D07302"/>
    <w:rsid w:val="00D0758D"/>
    <w:rsid w:val="00D11892"/>
    <w:rsid w:val="00D11CD6"/>
    <w:rsid w:val="00D11E9C"/>
    <w:rsid w:val="00D124E9"/>
    <w:rsid w:val="00D12D38"/>
    <w:rsid w:val="00D133CD"/>
    <w:rsid w:val="00D1533C"/>
    <w:rsid w:val="00D15AE6"/>
    <w:rsid w:val="00D163BD"/>
    <w:rsid w:val="00D16BD4"/>
    <w:rsid w:val="00D17589"/>
    <w:rsid w:val="00D17B80"/>
    <w:rsid w:val="00D17D06"/>
    <w:rsid w:val="00D20980"/>
    <w:rsid w:val="00D223F2"/>
    <w:rsid w:val="00D23132"/>
    <w:rsid w:val="00D24607"/>
    <w:rsid w:val="00D256CD"/>
    <w:rsid w:val="00D25B95"/>
    <w:rsid w:val="00D26985"/>
    <w:rsid w:val="00D30341"/>
    <w:rsid w:val="00D3154F"/>
    <w:rsid w:val="00D33C4E"/>
    <w:rsid w:val="00D34487"/>
    <w:rsid w:val="00D34504"/>
    <w:rsid w:val="00D349C0"/>
    <w:rsid w:val="00D34C28"/>
    <w:rsid w:val="00D34C9F"/>
    <w:rsid w:val="00D35FD6"/>
    <w:rsid w:val="00D37944"/>
    <w:rsid w:val="00D37992"/>
    <w:rsid w:val="00D404B7"/>
    <w:rsid w:val="00D41369"/>
    <w:rsid w:val="00D41F22"/>
    <w:rsid w:val="00D4307B"/>
    <w:rsid w:val="00D43628"/>
    <w:rsid w:val="00D43A24"/>
    <w:rsid w:val="00D44443"/>
    <w:rsid w:val="00D4596D"/>
    <w:rsid w:val="00D45B7B"/>
    <w:rsid w:val="00D4607E"/>
    <w:rsid w:val="00D4614E"/>
    <w:rsid w:val="00D464EE"/>
    <w:rsid w:val="00D478E1"/>
    <w:rsid w:val="00D50962"/>
    <w:rsid w:val="00D50B0E"/>
    <w:rsid w:val="00D519E1"/>
    <w:rsid w:val="00D52994"/>
    <w:rsid w:val="00D52B8E"/>
    <w:rsid w:val="00D52E36"/>
    <w:rsid w:val="00D53593"/>
    <w:rsid w:val="00D55031"/>
    <w:rsid w:val="00D55C87"/>
    <w:rsid w:val="00D5636A"/>
    <w:rsid w:val="00D56520"/>
    <w:rsid w:val="00D604C2"/>
    <w:rsid w:val="00D60E21"/>
    <w:rsid w:val="00D6129E"/>
    <w:rsid w:val="00D62138"/>
    <w:rsid w:val="00D63A09"/>
    <w:rsid w:val="00D63AC3"/>
    <w:rsid w:val="00D63E87"/>
    <w:rsid w:val="00D64475"/>
    <w:rsid w:val="00D65C37"/>
    <w:rsid w:val="00D65F4F"/>
    <w:rsid w:val="00D66415"/>
    <w:rsid w:val="00D66D7F"/>
    <w:rsid w:val="00D67686"/>
    <w:rsid w:val="00D71518"/>
    <w:rsid w:val="00D717C2"/>
    <w:rsid w:val="00D72941"/>
    <w:rsid w:val="00D7427E"/>
    <w:rsid w:val="00D74FDB"/>
    <w:rsid w:val="00D75F75"/>
    <w:rsid w:val="00D762DA"/>
    <w:rsid w:val="00D764F5"/>
    <w:rsid w:val="00D770F7"/>
    <w:rsid w:val="00D7782B"/>
    <w:rsid w:val="00D778CB"/>
    <w:rsid w:val="00D80567"/>
    <w:rsid w:val="00D806FC"/>
    <w:rsid w:val="00D814D4"/>
    <w:rsid w:val="00D82446"/>
    <w:rsid w:val="00D83163"/>
    <w:rsid w:val="00D851E6"/>
    <w:rsid w:val="00D85F06"/>
    <w:rsid w:val="00D86D8C"/>
    <w:rsid w:val="00D907C3"/>
    <w:rsid w:val="00D93211"/>
    <w:rsid w:val="00D93ADA"/>
    <w:rsid w:val="00D94312"/>
    <w:rsid w:val="00D95F25"/>
    <w:rsid w:val="00D9780C"/>
    <w:rsid w:val="00D97AD0"/>
    <w:rsid w:val="00D97D57"/>
    <w:rsid w:val="00DA0D57"/>
    <w:rsid w:val="00DA23D5"/>
    <w:rsid w:val="00DA2FF4"/>
    <w:rsid w:val="00DA5659"/>
    <w:rsid w:val="00DA6C17"/>
    <w:rsid w:val="00DA706A"/>
    <w:rsid w:val="00DA7540"/>
    <w:rsid w:val="00DB1CC5"/>
    <w:rsid w:val="00DB20A4"/>
    <w:rsid w:val="00DB2F6B"/>
    <w:rsid w:val="00DB31F9"/>
    <w:rsid w:val="00DB45D0"/>
    <w:rsid w:val="00DB4ED8"/>
    <w:rsid w:val="00DB56CF"/>
    <w:rsid w:val="00DB5F9A"/>
    <w:rsid w:val="00DB60D9"/>
    <w:rsid w:val="00DB69E0"/>
    <w:rsid w:val="00DB6C33"/>
    <w:rsid w:val="00DB6E5A"/>
    <w:rsid w:val="00DB7AE7"/>
    <w:rsid w:val="00DC00FA"/>
    <w:rsid w:val="00DC05AB"/>
    <w:rsid w:val="00DC0E29"/>
    <w:rsid w:val="00DC1947"/>
    <w:rsid w:val="00DC35ED"/>
    <w:rsid w:val="00DC4B1D"/>
    <w:rsid w:val="00DC4C5B"/>
    <w:rsid w:val="00DC4C7E"/>
    <w:rsid w:val="00DC4FD3"/>
    <w:rsid w:val="00DC602D"/>
    <w:rsid w:val="00DC682D"/>
    <w:rsid w:val="00DC6DF7"/>
    <w:rsid w:val="00DC73C0"/>
    <w:rsid w:val="00DC747D"/>
    <w:rsid w:val="00DC7636"/>
    <w:rsid w:val="00DD06E8"/>
    <w:rsid w:val="00DD1732"/>
    <w:rsid w:val="00DD31E3"/>
    <w:rsid w:val="00DD36D4"/>
    <w:rsid w:val="00DD38F3"/>
    <w:rsid w:val="00DD3FCC"/>
    <w:rsid w:val="00DD4B65"/>
    <w:rsid w:val="00DD572E"/>
    <w:rsid w:val="00DD672F"/>
    <w:rsid w:val="00DD6778"/>
    <w:rsid w:val="00DD6DEA"/>
    <w:rsid w:val="00DD7680"/>
    <w:rsid w:val="00DD7AE0"/>
    <w:rsid w:val="00DE0738"/>
    <w:rsid w:val="00DE0CDC"/>
    <w:rsid w:val="00DE16B1"/>
    <w:rsid w:val="00DE255F"/>
    <w:rsid w:val="00DE2E61"/>
    <w:rsid w:val="00DE302B"/>
    <w:rsid w:val="00DE359D"/>
    <w:rsid w:val="00DE3A97"/>
    <w:rsid w:val="00DE52CE"/>
    <w:rsid w:val="00DE61E6"/>
    <w:rsid w:val="00DE62C6"/>
    <w:rsid w:val="00DE6478"/>
    <w:rsid w:val="00DE68AE"/>
    <w:rsid w:val="00DE6F13"/>
    <w:rsid w:val="00DE7B70"/>
    <w:rsid w:val="00DF0899"/>
    <w:rsid w:val="00DF0FE9"/>
    <w:rsid w:val="00DF14EE"/>
    <w:rsid w:val="00DF150A"/>
    <w:rsid w:val="00DF209B"/>
    <w:rsid w:val="00DF37DE"/>
    <w:rsid w:val="00DF3F39"/>
    <w:rsid w:val="00DF4649"/>
    <w:rsid w:val="00DF4992"/>
    <w:rsid w:val="00DF4A21"/>
    <w:rsid w:val="00DF55FA"/>
    <w:rsid w:val="00DF5C64"/>
    <w:rsid w:val="00DF6384"/>
    <w:rsid w:val="00DF638D"/>
    <w:rsid w:val="00DF6795"/>
    <w:rsid w:val="00DF760D"/>
    <w:rsid w:val="00E0073E"/>
    <w:rsid w:val="00E014E7"/>
    <w:rsid w:val="00E016C3"/>
    <w:rsid w:val="00E01991"/>
    <w:rsid w:val="00E019DB"/>
    <w:rsid w:val="00E01F59"/>
    <w:rsid w:val="00E02F13"/>
    <w:rsid w:val="00E03C42"/>
    <w:rsid w:val="00E03F1C"/>
    <w:rsid w:val="00E062CD"/>
    <w:rsid w:val="00E06547"/>
    <w:rsid w:val="00E070C5"/>
    <w:rsid w:val="00E077FA"/>
    <w:rsid w:val="00E102E0"/>
    <w:rsid w:val="00E104D5"/>
    <w:rsid w:val="00E10A22"/>
    <w:rsid w:val="00E11AFF"/>
    <w:rsid w:val="00E11E53"/>
    <w:rsid w:val="00E12F55"/>
    <w:rsid w:val="00E1684E"/>
    <w:rsid w:val="00E16DA2"/>
    <w:rsid w:val="00E2040D"/>
    <w:rsid w:val="00E20F59"/>
    <w:rsid w:val="00E210A0"/>
    <w:rsid w:val="00E21332"/>
    <w:rsid w:val="00E215A1"/>
    <w:rsid w:val="00E2168B"/>
    <w:rsid w:val="00E22254"/>
    <w:rsid w:val="00E24292"/>
    <w:rsid w:val="00E2459D"/>
    <w:rsid w:val="00E247C4"/>
    <w:rsid w:val="00E2498E"/>
    <w:rsid w:val="00E254DA"/>
    <w:rsid w:val="00E26672"/>
    <w:rsid w:val="00E277FC"/>
    <w:rsid w:val="00E309AA"/>
    <w:rsid w:val="00E31C80"/>
    <w:rsid w:val="00E323EF"/>
    <w:rsid w:val="00E33382"/>
    <w:rsid w:val="00E342D1"/>
    <w:rsid w:val="00E35266"/>
    <w:rsid w:val="00E354B8"/>
    <w:rsid w:val="00E35F65"/>
    <w:rsid w:val="00E37762"/>
    <w:rsid w:val="00E4118B"/>
    <w:rsid w:val="00E417F0"/>
    <w:rsid w:val="00E4205D"/>
    <w:rsid w:val="00E426A7"/>
    <w:rsid w:val="00E42956"/>
    <w:rsid w:val="00E42F99"/>
    <w:rsid w:val="00E43B3F"/>
    <w:rsid w:val="00E4458F"/>
    <w:rsid w:val="00E44B72"/>
    <w:rsid w:val="00E44DC5"/>
    <w:rsid w:val="00E476F9"/>
    <w:rsid w:val="00E50774"/>
    <w:rsid w:val="00E52EEC"/>
    <w:rsid w:val="00E538EC"/>
    <w:rsid w:val="00E54621"/>
    <w:rsid w:val="00E5465A"/>
    <w:rsid w:val="00E55477"/>
    <w:rsid w:val="00E55B7A"/>
    <w:rsid w:val="00E56B04"/>
    <w:rsid w:val="00E60376"/>
    <w:rsid w:val="00E60DFA"/>
    <w:rsid w:val="00E61B72"/>
    <w:rsid w:val="00E62018"/>
    <w:rsid w:val="00E6277A"/>
    <w:rsid w:val="00E62928"/>
    <w:rsid w:val="00E6375F"/>
    <w:rsid w:val="00E64DA6"/>
    <w:rsid w:val="00E64E0A"/>
    <w:rsid w:val="00E6595B"/>
    <w:rsid w:val="00E6641E"/>
    <w:rsid w:val="00E66F4C"/>
    <w:rsid w:val="00E67318"/>
    <w:rsid w:val="00E675BA"/>
    <w:rsid w:val="00E70DEC"/>
    <w:rsid w:val="00E71031"/>
    <w:rsid w:val="00E710ED"/>
    <w:rsid w:val="00E72A88"/>
    <w:rsid w:val="00E73809"/>
    <w:rsid w:val="00E73935"/>
    <w:rsid w:val="00E73973"/>
    <w:rsid w:val="00E73DB8"/>
    <w:rsid w:val="00E75FC3"/>
    <w:rsid w:val="00E766F6"/>
    <w:rsid w:val="00E768BC"/>
    <w:rsid w:val="00E772BD"/>
    <w:rsid w:val="00E7762B"/>
    <w:rsid w:val="00E77BC0"/>
    <w:rsid w:val="00E82C49"/>
    <w:rsid w:val="00E833EA"/>
    <w:rsid w:val="00E84DE8"/>
    <w:rsid w:val="00E867CE"/>
    <w:rsid w:val="00E867D2"/>
    <w:rsid w:val="00E86963"/>
    <w:rsid w:val="00E869D1"/>
    <w:rsid w:val="00E86CF7"/>
    <w:rsid w:val="00E9004E"/>
    <w:rsid w:val="00E91FD9"/>
    <w:rsid w:val="00E936B2"/>
    <w:rsid w:val="00E9405B"/>
    <w:rsid w:val="00E94FDA"/>
    <w:rsid w:val="00E9586C"/>
    <w:rsid w:val="00E95A99"/>
    <w:rsid w:val="00E96215"/>
    <w:rsid w:val="00E96600"/>
    <w:rsid w:val="00E96A48"/>
    <w:rsid w:val="00E97CE3"/>
    <w:rsid w:val="00EA0374"/>
    <w:rsid w:val="00EA03DE"/>
    <w:rsid w:val="00EA078D"/>
    <w:rsid w:val="00EA0B9B"/>
    <w:rsid w:val="00EA0F4D"/>
    <w:rsid w:val="00EA169A"/>
    <w:rsid w:val="00EA1B83"/>
    <w:rsid w:val="00EA1C60"/>
    <w:rsid w:val="00EA288D"/>
    <w:rsid w:val="00EA54BD"/>
    <w:rsid w:val="00EA6DD3"/>
    <w:rsid w:val="00EA7BA5"/>
    <w:rsid w:val="00EB08BA"/>
    <w:rsid w:val="00EB13C2"/>
    <w:rsid w:val="00EB1D88"/>
    <w:rsid w:val="00EB2138"/>
    <w:rsid w:val="00EB231B"/>
    <w:rsid w:val="00EB3443"/>
    <w:rsid w:val="00EB3898"/>
    <w:rsid w:val="00EB4697"/>
    <w:rsid w:val="00EB4E46"/>
    <w:rsid w:val="00EB5D26"/>
    <w:rsid w:val="00EB5DD8"/>
    <w:rsid w:val="00EB6534"/>
    <w:rsid w:val="00EB70B0"/>
    <w:rsid w:val="00EB74FA"/>
    <w:rsid w:val="00EB79D1"/>
    <w:rsid w:val="00EB79E9"/>
    <w:rsid w:val="00EC0732"/>
    <w:rsid w:val="00EC0A1A"/>
    <w:rsid w:val="00EC0F15"/>
    <w:rsid w:val="00EC1439"/>
    <w:rsid w:val="00EC15BE"/>
    <w:rsid w:val="00EC1CE0"/>
    <w:rsid w:val="00EC24F9"/>
    <w:rsid w:val="00EC29B8"/>
    <w:rsid w:val="00EC3C98"/>
    <w:rsid w:val="00EC4072"/>
    <w:rsid w:val="00EC5E54"/>
    <w:rsid w:val="00EC622B"/>
    <w:rsid w:val="00EC6904"/>
    <w:rsid w:val="00EC6EF0"/>
    <w:rsid w:val="00EC744E"/>
    <w:rsid w:val="00ED37D4"/>
    <w:rsid w:val="00ED50D6"/>
    <w:rsid w:val="00ED54DA"/>
    <w:rsid w:val="00ED55AB"/>
    <w:rsid w:val="00ED6052"/>
    <w:rsid w:val="00ED6F3E"/>
    <w:rsid w:val="00ED71BC"/>
    <w:rsid w:val="00EE1267"/>
    <w:rsid w:val="00EE153D"/>
    <w:rsid w:val="00EE1692"/>
    <w:rsid w:val="00EE1A66"/>
    <w:rsid w:val="00EE213A"/>
    <w:rsid w:val="00EE2451"/>
    <w:rsid w:val="00EE2ADD"/>
    <w:rsid w:val="00EE3350"/>
    <w:rsid w:val="00EE37E1"/>
    <w:rsid w:val="00EE4A62"/>
    <w:rsid w:val="00EE59A3"/>
    <w:rsid w:val="00EE5DD3"/>
    <w:rsid w:val="00EF0048"/>
    <w:rsid w:val="00EF2411"/>
    <w:rsid w:val="00EF2B89"/>
    <w:rsid w:val="00EF3000"/>
    <w:rsid w:val="00EF35C6"/>
    <w:rsid w:val="00EF3AE9"/>
    <w:rsid w:val="00EF57A5"/>
    <w:rsid w:val="00EF63CB"/>
    <w:rsid w:val="00EF67E0"/>
    <w:rsid w:val="00EF706D"/>
    <w:rsid w:val="00EF7FB4"/>
    <w:rsid w:val="00F0053A"/>
    <w:rsid w:val="00F00C65"/>
    <w:rsid w:val="00F00F89"/>
    <w:rsid w:val="00F01919"/>
    <w:rsid w:val="00F030F4"/>
    <w:rsid w:val="00F034EC"/>
    <w:rsid w:val="00F0390F"/>
    <w:rsid w:val="00F04312"/>
    <w:rsid w:val="00F04393"/>
    <w:rsid w:val="00F04F64"/>
    <w:rsid w:val="00F05191"/>
    <w:rsid w:val="00F060F3"/>
    <w:rsid w:val="00F07556"/>
    <w:rsid w:val="00F10320"/>
    <w:rsid w:val="00F11119"/>
    <w:rsid w:val="00F112D7"/>
    <w:rsid w:val="00F117A2"/>
    <w:rsid w:val="00F1206A"/>
    <w:rsid w:val="00F133B3"/>
    <w:rsid w:val="00F15621"/>
    <w:rsid w:val="00F166C3"/>
    <w:rsid w:val="00F167FB"/>
    <w:rsid w:val="00F16995"/>
    <w:rsid w:val="00F16D0A"/>
    <w:rsid w:val="00F1710A"/>
    <w:rsid w:val="00F205C0"/>
    <w:rsid w:val="00F21ED2"/>
    <w:rsid w:val="00F23BCD"/>
    <w:rsid w:val="00F23D6A"/>
    <w:rsid w:val="00F23F35"/>
    <w:rsid w:val="00F25257"/>
    <w:rsid w:val="00F25A6A"/>
    <w:rsid w:val="00F26F40"/>
    <w:rsid w:val="00F27417"/>
    <w:rsid w:val="00F27574"/>
    <w:rsid w:val="00F30F70"/>
    <w:rsid w:val="00F31116"/>
    <w:rsid w:val="00F31121"/>
    <w:rsid w:val="00F3149B"/>
    <w:rsid w:val="00F31F71"/>
    <w:rsid w:val="00F32373"/>
    <w:rsid w:val="00F33D74"/>
    <w:rsid w:val="00F34452"/>
    <w:rsid w:val="00F34D6C"/>
    <w:rsid w:val="00F355E0"/>
    <w:rsid w:val="00F3564C"/>
    <w:rsid w:val="00F4037E"/>
    <w:rsid w:val="00F407F8"/>
    <w:rsid w:val="00F409B6"/>
    <w:rsid w:val="00F434B1"/>
    <w:rsid w:val="00F4469D"/>
    <w:rsid w:val="00F44EF9"/>
    <w:rsid w:val="00F46185"/>
    <w:rsid w:val="00F467F9"/>
    <w:rsid w:val="00F46897"/>
    <w:rsid w:val="00F4708C"/>
    <w:rsid w:val="00F50AAB"/>
    <w:rsid w:val="00F50BCD"/>
    <w:rsid w:val="00F50CE6"/>
    <w:rsid w:val="00F510FE"/>
    <w:rsid w:val="00F52124"/>
    <w:rsid w:val="00F527F4"/>
    <w:rsid w:val="00F53196"/>
    <w:rsid w:val="00F53B70"/>
    <w:rsid w:val="00F54848"/>
    <w:rsid w:val="00F54D8E"/>
    <w:rsid w:val="00F552E4"/>
    <w:rsid w:val="00F566D8"/>
    <w:rsid w:val="00F56E79"/>
    <w:rsid w:val="00F5747B"/>
    <w:rsid w:val="00F578ED"/>
    <w:rsid w:val="00F57D8D"/>
    <w:rsid w:val="00F57DFB"/>
    <w:rsid w:val="00F57F5B"/>
    <w:rsid w:val="00F60FF3"/>
    <w:rsid w:val="00F61395"/>
    <w:rsid w:val="00F61552"/>
    <w:rsid w:val="00F61D9D"/>
    <w:rsid w:val="00F63118"/>
    <w:rsid w:val="00F646C0"/>
    <w:rsid w:val="00F6479C"/>
    <w:rsid w:val="00F648E8"/>
    <w:rsid w:val="00F64E4E"/>
    <w:rsid w:val="00F6521A"/>
    <w:rsid w:val="00F66929"/>
    <w:rsid w:val="00F66A10"/>
    <w:rsid w:val="00F67711"/>
    <w:rsid w:val="00F67CB9"/>
    <w:rsid w:val="00F67F10"/>
    <w:rsid w:val="00F7242F"/>
    <w:rsid w:val="00F73397"/>
    <w:rsid w:val="00F7352B"/>
    <w:rsid w:val="00F7373E"/>
    <w:rsid w:val="00F73D3E"/>
    <w:rsid w:val="00F74871"/>
    <w:rsid w:val="00F75788"/>
    <w:rsid w:val="00F75D45"/>
    <w:rsid w:val="00F7698F"/>
    <w:rsid w:val="00F77795"/>
    <w:rsid w:val="00F80B43"/>
    <w:rsid w:val="00F80ECA"/>
    <w:rsid w:val="00F81006"/>
    <w:rsid w:val="00F8104F"/>
    <w:rsid w:val="00F81A05"/>
    <w:rsid w:val="00F81C7D"/>
    <w:rsid w:val="00F82228"/>
    <w:rsid w:val="00F82590"/>
    <w:rsid w:val="00F82A8D"/>
    <w:rsid w:val="00F830CF"/>
    <w:rsid w:val="00F8436C"/>
    <w:rsid w:val="00F8545F"/>
    <w:rsid w:val="00F8612E"/>
    <w:rsid w:val="00F86325"/>
    <w:rsid w:val="00F86A3F"/>
    <w:rsid w:val="00F86CD3"/>
    <w:rsid w:val="00F87EE3"/>
    <w:rsid w:val="00F906E1"/>
    <w:rsid w:val="00F90781"/>
    <w:rsid w:val="00F90D7C"/>
    <w:rsid w:val="00F919DF"/>
    <w:rsid w:val="00F949F5"/>
    <w:rsid w:val="00F94A49"/>
    <w:rsid w:val="00F951F3"/>
    <w:rsid w:val="00F95693"/>
    <w:rsid w:val="00F9684E"/>
    <w:rsid w:val="00F970E7"/>
    <w:rsid w:val="00F976D0"/>
    <w:rsid w:val="00FA0BC8"/>
    <w:rsid w:val="00FA0DCF"/>
    <w:rsid w:val="00FA3956"/>
    <w:rsid w:val="00FA3D7C"/>
    <w:rsid w:val="00FA4142"/>
    <w:rsid w:val="00FA5165"/>
    <w:rsid w:val="00FA537B"/>
    <w:rsid w:val="00FA69A7"/>
    <w:rsid w:val="00FA7083"/>
    <w:rsid w:val="00FA7C4A"/>
    <w:rsid w:val="00FB0071"/>
    <w:rsid w:val="00FB0E83"/>
    <w:rsid w:val="00FB156E"/>
    <w:rsid w:val="00FB1B95"/>
    <w:rsid w:val="00FB1D65"/>
    <w:rsid w:val="00FB326E"/>
    <w:rsid w:val="00FB35A5"/>
    <w:rsid w:val="00FB35F0"/>
    <w:rsid w:val="00FB48C7"/>
    <w:rsid w:val="00FB523A"/>
    <w:rsid w:val="00FB5F57"/>
    <w:rsid w:val="00FB7C53"/>
    <w:rsid w:val="00FC0184"/>
    <w:rsid w:val="00FC0382"/>
    <w:rsid w:val="00FC17F1"/>
    <w:rsid w:val="00FC1D9E"/>
    <w:rsid w:val="00FC2851"/>
    <w:rsid w:val="00FC35E6"/>
    <w:rsid w:val="00FC4159"/>
    <w:rsid w:val="00FC52A1"/>
    <w:rsid w:val="00FC5EE6"/>
    <w:rsid w:val="00FC6FBD"/>
    <w:rsid w:val="00FC74A9"/>
    <w:rsid w:val="00FC78F0"/>
    <w:rsid w:val="00FC7E87"/>
    <w:rsid w:val="00FD07CA"/>
    <w:rsid w:val="00FD2EE9"/>
    <w:rsid w:val="00FD3527"/>
    <w:rsid w:val="00FD4BE9"/>
    <w:rsid w:val="00FD5413"/>
    <w:rsid w:val="00FD551E"/>
    <w:rsid w:val="00FD556A"/>
    <w:rsid w:val="00FD5669"/>
    <w:rsid w:val="00FD63D9"/>
    <w:rsid w:val="00FD643B"/>
    <w:rsid w:val="00FD73E8"/>
    <w:rsid w:val="00FD78B4"/>
    <w:rsid w:val="00FD7D8D"/>
    <w:rsid w:val="00FE08EF"/>
    <w:rsid w:val="00FE0AFC"/>
    <w:rsid w:val="00FE2CC4"/>
    <w:rsid w:val="00FE315D"/>
    <w:rsid w:val="00FE40ED"/>
    <w:rsid w:val="00FE513E"/>
    <w:rsid w:val="00FE5713"/>
    <w:rsid w:val="00FE6767"/>
    <w:rsid w:val="00FE7025"/>
    <w:rsid w:val="00FF0271"/>
    <w:rsid w:val="00FF1295"/>
    <w:rsid w:val="00FF1554"/>
    <w:rsid w:val="00FF2981"/>
    <w:rsid w:val="00FF459B"/>
    <w:rsid w:val="00FF4BE4"/>
    <w:rsid w:val="00FF500E"/>
    <w:rsid w:val="00FF6104"/>
    <w:rsid w:val="00FF69FB"/>
    <w:rsid w:val="00FF6A0E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7D9A"/>
    <w:pPr>
      <w:widowControl w:val="0"/>
      <w:tabs>
        <w:tab w:val="left" w:pos="567"/>
      </w:tabs>
      <w:snapToGrid w:val="0"/>
      <w:spacing w:after="120" w:line="280" w:lineRule="exact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93A20"/>
    <w:pPr>
      <w:keepLines/>
      <w:numPr>
        <w:numId w:val="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593A20"/>
    <w:pPr>
      <w:keepLines/>
      <w:numPr>
        <w:ilvl w:val="1"/>
        <w:numId w:val="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rsid w:val="008678EE"/>
    <w:pPr>
      <w:keepNext/>
      <w:tabs>
        <w:tab w:val="clear" w:pos="567"/>
      </w:tabs>
      <w:spacing w:before="240"/>
      <w:ind w:left="851" w:hanging="851"/>
      <w:jc w:val="left"/>
      <w:outlineLvl w:val="2"/>
    </w:pPr>
    <w:rPr>
      <w:b/>
      <w:bCs/>
      <w:caps/>
      <w:kern w:val="28"/>
      <w:sz w:val="18"/>
      <w:szCs w:val="22"/>
    </w:rPr>
  </w:style>
  <w:style w:type="paragraph" w:styleId="Heading4">
    <w:name w:val="heading 4"/>
    <w:basedOn w:val="Normal"/>
    <w:next w:val="Normal"/>
    <w:link w:val="Heading4Char"/>
    <w:rsid w:val="007F6FE2"/>
    <w:pPr>
      <w:keepNext/>
      <w:tabs>
        <w:tab w:val="clear" w:pos="567"/>
      </w:tabs>
      <w:spacing w:before="360" w:line="300" w:lineRule="exact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93A20"/>
    <w:pPr>
      <w:numPr>
        <w:ilvl w:val="4"/>
        <w:numId w:val="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C012C5"/>
    <w:pPr>
      <w:keepNext/>
      <w:keepLines/>
      <w:tabs>
        <w:tab w:val="left" w:pos="1134"/>
      </w:tabs>
      <w:spacing w:before="480" w:after="60" w:line="300" w:lineRule="exact"/>
      <w:jc w:val="left"/>
      <w:outlineLvl w:val="5"/>
    </w:pPr>
    <w:rPr>
      <w:rFonts w:eastAsia="Times New Roman"/>
      <w:b/>
      <w:bCs/>
      <w:caps/>
      <w:color w:val="008000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593A20"/>
    <w:pPr>
      <w:numPr>
        <w:ilvl w:val="6"/>
        <w:numId w:val="6"/>
      </w:numPr>
      <w:adjustRightInd w:val="0"/>
      <w:spacing w:after="240"/>
      <w:outlineLvl w:val="6"/>
    </w:pPr>
    <w:rPr>
      <w:rFonts w:cs="Times New Roman"/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ar"/>
    <w:rsid w:val="00FF4BE4"/>
    <w:pPr>
      <w:spacing w:after="0"/>
      <w:ind w:left="851" w:firstLine="0"/>
    </w:pPr>
  </w:style>
  <w:style w:type="paragraph" w:customStyle="1" w:styleId="Par">
    <w:name w:val="Par"/>
    <w:basedOn w:val="Normal"/>
    <w:link w:val="ParCar"/>
    <w:rsid w:val="001D1A11"/>
    <w:pPr>
      <w:spacing w:after="240"/>
      <w:ind w:firstLine="567"/>
    </w:pPr>
    <w:rPr>
      <w:rFonts w:eastAsia="Times New Roman"/>
      <w:lang w:eastAsia="en-US"/>
    </w:rPr>
  </w:style>
  <w:style w:type="character" w:customStyle="1" w:styleId="ParCar">
    <w:name w:val="Par Car"/>
    <w:link w:val="Par"/>
    <w:rsid w:val="008C190D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MargeCar">
    <w:name w:val="Marge Car"/>
    <w:link w:val="Marge"/>
    <w:rsid w:val="00FF4BE4"/>
    <w:rPr>
      <w:rFonts w:ascii="Arial" w:hAnsi="Arial" w:cs="Arial"/>
      <w:lang w:eastAsia="en-US"/>
    </w:rPr>
  </w:style>
  <w:style w:type="character" w:customStyle="1" w:styleId="Heading1Char">
    <w:name w:val="Heading 1 Char"/>
    <w:link w:val="Heading1"/>
    <w:rsid w:val="00593A20"/>
    <w:rPr>
      <w:rFonts w:ascii="Arial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593A20"/>
    <w:rPr>
      <w:rFonts w:ascii="Arial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8678EE"/>
    <w:rPr>
      <w:rFonts w:ascii="Arial" w:eastAsia="SimSun" w:hAnsi="Arial" w:cs="Arial"/>
      <w:b/>
      <w:bCs/>
      <w:caps/>
      <w:kern w:val="28"/>
      <w:sz w:val="18"/>
      <w:szCs w:val="22"/>
      <w:lang w:eastAsia="zh-CN"/>
    </w:rPr>
  </w:style>
  <w:style w:type="character" w:customStyle="1" w:styleId="Heading4Char">
    <w:name w:val="Heading 4 Char"/>
    <w:link w:val="Heading4"/>
    <w:rsid w:val="007F6FE2"/>
    <w:rPr>
      <w:rFonts w:ascii="Arial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593A20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C012C5"/>
    <w:rPr>
      <w:rFonts w:ascii="Arial" w:hAnsi="Arial" w:cs="Arial"/>
      <w:b/>
      <w:bCs/>
      <w:caps/>
      <w:color w:val="008000"/>
      <w:sz w:val="24"/>
      <w:szCs w:val="24"/>
      <w:lang w:val="en-US"/>
    </w:rPr>
  </w:style>
  <w:style w:type="paragraph" w:customStyle="1" w:styleId="TIRETbul1cm">
    <w:name w:val="TIRET bul 1cm"/>
    <w:basedOn w:val="Normal"/>
    <w:rsid w:val="001D1A11"/>
    <w:pPr>
      <w:numPr>
        <w:numId w:val="1"/>
      </w:numPr>
      <w:tabs>
        <w:tab w:val="clear" w:pos="567"/>
      </w:tabs>
      <w:adjustRightInd w:val="0"/>
      <w:spacing w:after="240"/>
    </w:pPr>
  </w:style>
  <w:style w:type="paragraph" w:customStyle="1" w:styleId="a">
    <w:name w:val="(a)"/>
    <w:basedOn w:val="Normal"/>
    <w:link w:val="aCar"/>
    <w:rsid w:val="001D1A11"/>
    <w:pPr>
      <w:tabs>
        <w:tab w:val="left" w:pos="-737"/>
      </w:tabs>
      <w:spacing w:after="240"/>
      <w:ind w:left="567" w:hanging="567"/>
    </w:pPr>
    <w:rPr>
      <w:rFonts w:eastAsia="Times New Roman"/>
      <w:lang w:eastAsia="en-US"/>
    </w:rPr>
  </w:style>
  <w:style w:type="paragraph" w:customStyle="1" w:styleId="b">
    <w:name w:val="(b)"/>
    <w:basedOn w:val="a"/>
    <w:link w:val="bCar"/>
    <w:rsid w:val="001D1A11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1D1A11"/>
    <w:pPr>
      <w:tabs>
        <w:tab w:val="clear" w:pos="567"/>
        <w:tab w:val="left" w:pos="1701"/>
      </w:tabs>
      <w:spacing w:after="240"/>
      <w:ind w:left="1701" w:hanging="567"/>
    </w:pPr>
  </w:style>
  <w:style w:type="paragraph" w:customStyle="1" w:styleId="alina">
    <w:name w:val="alinéa"/>
    <w:basedOn w:val="Normal"/>
    <w:rsid w:val="001D1A11"/>
    <w:pPr>
      <w:snapToGrid/>
      <w:spacing w:after="240"/>
      <w:ind w:left="567"/>
    </w:pPr>
    <w:rPr>
      <w:rFonts w:eastAsia="Times New Roman"/>
      <w:lang w:eastAsia="en-US"/>
    </w:rPr>
  </w:style>
  <w:style w:type="character" w:styleId="FootnoteReference">
    <w:name w:val="footnote reference"/>
    <w:rsid w:val="004C16E8"/>
    <w:rPr>
      <w:rFonts w:ascii="Arial" w:hAnsi="Arial"/>
      <w:sz w:val="14"/>
      <w:szCs w:val="14"/>
      <w:vertAlign w:val="superscript"/>
    </w:rPr>
  </w:style>
  <w:style w:type="paragraph" w:styleId="Header">
    <w:name w:val="header"/>
    <w:basedOn w:val="Normal"/>
    <w:link w:val="HeaderChar"/>
    <w:rsid w:val="00AD17A0"/>
    <w:pPr>
      <w:keepNext/>
      <w:tabs>
        <w:tab w:val="clear" w:pos="567"/>
        <w:tab w:val="center" w:pos="4423"/>
        <w:tab w:val="right" w:pos="8845"/>
      </w:tabs>
      <w:spacing w:after="0"/>
      <w:jc w:val="left"/>
    </w:pPr>
    <w:rPr>
      <w:sz w:val="16"/>
    </w:rPr>
  </w:style>
  <w:style w:type="character" w:customStyle="1" w:styleId="HeaderChar">
    <w:name w:val="Header Char"/>
    <w:link w:val="Header"/>
    <w:rsid w:val="00AD17A0"/>
    <w:rPr>
      <w:rFonts w:ascii="Arial" w:eastAsia="SimSun" w:hAnsi="Arial" w:cs="Arial"/>
      <w:sz w:val="16"/>
      <w:lang w:eastAsia="zh-CN"/>
    </w:rPr>
  </w:style>
  <w:style w:type="paragraph" w:styleId="FootnoteText">
    <w:name w:val="footnote text"/>
    <w:basedOn w:val="Normal"/>
    <w:link w:val="FootnoteTextChar"/>
    <w:rsid w:val="00CC3A09"/>
    <w:pPr>
      <w:tabs>
        <w:tab w:val="clear" w:pos="567"/>
      </w:tabs>
      <w:spacing w:after="60" w:line="180" w:lineRule="exact"/>
      <w:ind w:left="340" w:hanging="340"/>
      <w:contextualSpacing/>
    </w:pPr>
    <w:rPr>
      <w:snapToGrid w:val="0"/>
      <w:sz w:val="16"/>
      <w:szCs w:val="16"/>
    </w:rPr>
  </w:style>
  <w:style w:type="character" w:customStyle="1" w:styleId="FootnoteTextChar">
    <w:name w:val="Footnote Text Char"/>
    <w:link w:val="FootnoteText"/>
    <w:rsid w:val="00CC3A09"/>
    <w:rPr>
      <w:rFonts w:ascii="Arial" w:eastAsia="SimSun" w:hAnsi="Arial" w:cs="Arial"/>
      <w:snapToGrid w:val="0"/>
      <w:sz w:val="16"/>
      <w:szCs w:val="16"/>
      <w:lang w:eastAsia="zh-CN"/>
    </w:rPr>
  </w:style>
  <w:style w:type="paragraph" w:styleId="Footer">
    <w:name w:val="footer"/>
    <w:basedOn w:val="Normal"/>
    <w:link w:val="FooterChar"/>
    <w:rsid w:val="00C012C5"/>
    <w:pPr>
      <w:tabs>
        <w:tab w:val="clear" w:pos="567"/>
        <w:tab w:val="center" w:pos="4423"/>
        <w:tab w:val="right" w:pos="8845"/>
      </w:tabs>
      <w:spacing w:after="0"/>
    </w:pPr>
    <w:rPr>
      <w:snapToGrid w:val="0"/>
      <w:sz w:val="16"/>
      <w:szCs w:val="18"/>
    </w:rPr>
  </w:style>
  <w:style w:type="character" w:customStyle="1" w:styleId="FooterChar">
    <w:name w:val="Footer Char"/>
    <w:link w:val="Footer"/>
    <w:rsid w:val="00C012C5"/>
    <w:rPr>
      <w:rFonts w:ascii="Arial" w:eastAsia="SimSun" w:hAnsi="Arial" w:cs="Arial"/>
      <w:snapToGrid w:val="0"/>
      <w:sz w:val="16"/>
      <w:szCs w:val="18"/>
      <w:lang w:eastAsia="zh-CN"/>
    </w:rPr>
  </w:style>
  <w:style w:type="character" w:customStyle="1" w:styleId="citationCar">
    <w:name w:val="citation Car"/>
    <w:link w:val="citation"/>
    <w:rsid w:val="003536F3"/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qFormat/>
    <w:rsid w:val="00393B87"/>
    <w:pPr>
      <w:tabs>
        <w:tab w:val="clear" w:pos="567"/>
      </w:tabs>
      <w:spacing w:after="0"/>
      <w:jc w:val="left"/>
    </w:pPr>
    <w:rPr>
      <w:sz w:val="22"/>
      <w:szCs w:val="22"/>
    </w:rPr>
  </w:style>
  <w:style w:type="paragraph" w:styleId="TOC2">
    <w:name w:val="toc 2"/>
    <w:basedOn w:val="TOC1"/>
    <w:next w:val="Normal"/>
    <w:autoRedefine/>
    <w:uiPriority w:val="39"/>
    <w:rsid w:val="00393B87"/>
  </w:style>
  <w:style w:type="paragraph" w:styleId="Title">
    <w:name w:val="Title"/>
    <w:basedOn w:val="Normal"/>
    <w:next w:val="Normal"/>
    <w:link w:val="TitleChar"/>
    <w:rsid w:val="00911B0A"/>
    <w:pPr>
      <w:tabs>
        <w:tab w:val="clear" w:pos="567"/>
      </w:tabs>
      <w:spacing w:after="480" w:line="840" w:lineRule="exact"/>
      <w:jc w:val="left"/>
    </w:pPr>
    <w:rPr>
      <w:rFonts w:ascii="Arial Gras" w:eastAsia="Times New Roman" w:hAnsi="Arial Gras"/>
      <w:b/>
      <w:bCs/>
      <w:caps/>
      <w:snapToGrid w:val="0"/>
      <w:color w:val="17365D"/>
      <w:sz w:val="70"/>
      <w:szCs w:val="70"/>
    </w:rPr>
  </w:style>
  <w:style w:type="character" w:customStyle="1" w:styleId="TitleChar">
    <w:name w:val="Title Char"/>
    <w:link w:val="Title"/>
    <w:rsid w:val="00911B0A"/>
    <w:rPr>
      <w:rFonts w:ascii="Arial Gras" w:hAnsi="Arial Gras" w:cs="Arial"/>
      <w:b/>
      <w:bCs/>
      <w:caps/>
      <w:snapToGrid w:val="0"/>
      <w:color w:val="17365D"/>
      <w:sz w:val="70"/>
      <w:szCs w:val="70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7F5BC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lang w:val="en-GB"/>
    </w:rPr>
  </w:style>
  <w:style w:type="character" w:customStyle="1" w:styleId="SubtitleChar">
    <w:name w:val="Subtitle Char"/>
    <w:link w:val="Subtitle"/>
    <w:rsid w:val="007F5BCD"/>
    <w:rPr>
      <w:rFonts w:ascii="Cambria" w:hAnsi="Cambria"/>
      <w:i/>
      <w:iCs/>
      <w:color w:val="4F81BD"/>
      <w:spacing w:val="15"/>
      <w:sz w:val="24"/>
      <w:szCs w:val="24"/>
      <w:lang w:val="en-GB" w:bidi="ar-SA"/>
    </w:rPr>
  </w:style>
  <w:style w:type="character" w:styleId="Strong">
    <w:name w:val="Strong"/>
    <w:uiPriority w:val="22"/>
    <w:qFormat/>
    <w:rsid w:val="007F5BCD"/>
    <w:rPr>
      <w:b/>
      <w:color w:val="C0504D"/>
    </w:rPr>
  </w:style>
  <w:style w:type="paragraph" w:customStyle="1" w:styleId="NoSpacing1">
    <w:name w:val="No Spacing1"/>
    <w:link w:val="NoSpacingChar"/>
    <w:qFormat/>
    <w:rsid w:val="007F5BCD"/>
    <w:pPr>
      <w:spacing w:before="120" w:after="120"/>
    </w:pPr>
    <w:rPr>
      <w:rFonts w:ascii="Arial" w:eastAsia="Calibri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rsid w:val="007F5BCD"/>
    <w:rPr>
      <w:rFonts w:ascii="Arial" w:eastAsia="Calibri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7F5BCD"/>
    <w:pPr>
      <w:numPr>
        <w:numId w:val="4"/>
      </w:numPr>
      <w:tabs>
        <w:tab w:val="clear" w:pos="567"/>
        <w:tab w:val="left" w:pos="709"/>
      </w:tabs>
    </w:pPr>
    <w:rPr>
      <w:lang w:val="en-GB" w:eastAsia="en-US"/>
    </w:rPr>
  </w:style>
  <w:style w:type="paragraph" w:customStyle="1" w:styleId="TOCHeading1">
    <w:name w:val="TOC Heading1"/>
    <w:basedOn w:val="Heading1"/>
    <w:next w:val="Normal"/>
    <w:semiHidden/>
    <w:unhideWhenUsed/>
    <w:qFormat/>
    <w:rsid w:val="007F5BCD"/>
    <w:pPr>
      <w:tabs>
        <w:tab w:val="clear" w:pos="567"/>
      </w:tabs>
      <w:snapToGrid/>
      <w:spacing w:after="0" w:line="276" w:lineRule="auto"/>
      <w:outlineLvl w:val="9"/>
    </w:pPr>
    <w:rPr>
      <w:b/>
      <w:color w:val="365F91"/>
      <w:kern w:val="0"/>
      <w:sz w:val="28"/>
      <w:szCs w:val="28"/>
      <w:lang w:val="en-GB"/>
    </w:rPr>
  </w:style>
  <w:style w:type="paragraph" w:customStyle="1" w:styleId="nutiret">
    <w:name w:val="Énutiret"/>
    <w:basedOn w:val="Texte1"/>
    <w:link w:val="nutiretCar"/>
    <w:rsid w:val="00A945B5"/>
    <w:pPr>
      <w:numPr>
        <w:numId w:val="10"/>
      </w:numPr>
      <w:tabs>
        <w:tab w:val="clear" w:pos="567"/>
      </w:tabs>
    </w:pPr>
  </w:style>
  <w:style w:type="paragraph" w:customStyle="1" w:styleId="Dcision01premierpara">
    <w:name w:val="Décision 01 premier para"/>
    <w:basedOn w:val="Normal"/>
    <w:qFormat/>
    <w:rsid w:val="007F5BCD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7F5BCD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rsid w:val="00593A20"/>
    <w:pPr>
      <w:keepNext/>
      <w:spacing w:after="0"/>
      <w:ind w:left="851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93A20"/>
    <w:rPr>
      <w:rFonts w:ascii="Tahoma" w:eastAsia="SimSun" w:hAnsi="Tahoma" w:cs="Arial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7F5BCD"/>
    <w:pPr>
      <w:keepNext/>
      <w:keepLines/>
      <w:numPr>
        <w:numId w:val="3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</w:rPr>
  </w:style>
  <w:style w:type="character" w:styleId="Hyperlink">
    <w:name w:val="Hyperlink"/>
    <w:uiPriority w:val="99"/>
    <w:unhideWhenUsed/>
    <w:rsid w:val="007F5BCD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7F5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BCD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7F5BCD"/>
    <w:rPr>
      <w:rFonts w:ascii="Arial" w:eastAsia="SimSun" w:hAnsi="Arial"/>
      <w:snapToGrid w:val="0"/>
      <w:lang w:val="en-US" w:eastAsia="zh-CN" w:bidi="ar-SA"/>
    </w:rPr>
  </w:style>
  <w:style w:type="paragraph" w:styleId="BalloonText">
    <w:name w:val="Balloon Text"/>
    <w:basedOn w:val="Normal"/>
    <w:link w:val="BalloonTextChar"/>
    <w:rsid w:val="00593A2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93A20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numrationa">
    <w:name w:val="énumération (a)"/>
    <w:basedOn w:val="Normal"/>
    <w:rsid w:val="00BE25D0"/>
    <w:pPr>
      <w:widowControl/>
      <w:tabs>
        <w:tab w:val="clear" w:pos="567"/>
      </w:tabs>
      <w:spacing w:after="60"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7F5BCD"/>
  </w:style>
  <w:style w:type="paragraph" w:customStyle="1" w:styleId="wiki-text">
    <w:name w:val="wiki-text"/>
    <w:basedOn w:val="Normal"/>
    <w:rsid w:val="007F5BC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lang w:val="en-GB" w:eastAsia="en-US"/>
    </w:rPr>
  </w:style>
  <w:style w:type="paragraph" w:styleId="NormalWeb">
    <w:name w:val="Normal (Web)"/>
    <w:basedOn w:val="Normal"/>
    <w:rsid w:val="00593A20"/>
    <w:pPr>
      <w:keepNext/>
      <w:spacing w:before="100" w:beforeAutospacing="1" w:after="100" w:afterAutospacing="1"/>
      <w:ind w:left="851"/>
    </w:pPr>
    <w:rPr>
      <w:rFonts w:ascii="Times New Roman" w:eastAsia="Times New Roman" w:hAnsi="Times New Roman" w:cs="Times New Roman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BCD"/>
    <w:rPr>
      <w:b/>
      <w:bCs/>
    </w:rPr>
  </w:style>
  <w:style w:type="character" w:customStyle="1" w:styleId="CommentSubjectChar">
    <w:name w:val="Comment Subject Char"/>
    <w:link w:val="CommentSubject"/>
    <w:semiHidden/>
    <w:rsid w:val="007F5BCD"/>
    <w:rPr>
      <w:rFonts w:ascii="Arial" w:eastAsia="SimSun" w:hAnsi="Arial"/>
      <w:b/>
      <w:bCs/>
      <w:snapToGrid w:val="0"/>
      <w:lang w:val="en-US" w:eastAsia="zh-CN" w:bidi="ar-SA"/>
    </w:rPr>
  </w:style>
  <w:style w:type="paragraph" w:styleId="ListBullet">
    <w:name w:val="List Bullet"/>
    <w:basedOn w:val="Normal"/>
    <w:rsid w:val="007F5BCD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593A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utiretCar">
    <w:name w:val="Énutiret Car"/>
    <w:basedOn w:val="Texte1Car"/>
    <w:link w:val="nutiret"/>
    <w:rsid w:val="00A945B5"/>
    <w:rPr>
      <w:rFonts w:ascii="Arial" w:eastAsia="SimSun" w:hAnsi="Arial" w:cs="Arial"/>
      <w:lang w:eastAsia="zh-CN"/>
    </w:rPr>
  </w:style>
  <w:style w:type="paragraph" w:customStyle="1" w:styleId="Textecandidature6aprs">
    <w:name w:val="Texte candidature + 6 après"/>
    <w:basedOn w:val="Normal"/>
    <w:qFormat/>
    <w:rsid w:val="007F5BCD"/>
    <w:pPr>
      <w:tabs>
        <w:tab w:val="clear" w:pos="567"/>
      </w:tabs>
      <w:snapToGrid/>
    </w:pPr>
    <w:rPr>
      <w:rFonts w:eastAsia="MS Mincho"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7F5BCD"/>
    <w:pPr>
      <w:keepNext/>
      <w:keepLines/>
      <w:numPr>
        <w:numId w:val="5"/>
      </w:numPr>
      <w:tabs>
        <w:tab w:val="clear" w:pos="567"/>
      </w:tabs>
      <w:snapToGrid/>
      <w:ind w:left="357" w:hanging="357"/>
    </w:pPr>
    <w:rPr>
      <w:rFonts w:eastAsia="MS Mincho"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qFormat/>
    <w:rsid w:val="00593A20"/>
    <w:pPr>
      <w:keepNext/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rsid w:val="00593A20"/>
    <w:rPr>
      <w:rFonts w:ascii="Arial" w:eastAsia="SimSun" w:hAnsi="Arial" w:cs="Arial"/>
      <w:b/>
      <w:bCs/>
      <w:i/>
      <w:iCs/>
      <w:snapToGrid w:val="0"/>
      <w:color w:val="4F81BD"/>
      <w:lang w:val="en-US" w:eastAsia="zh-CN"/>
    </w:rPr>
  </w:style>
  <w:style w:type="character" w:customStyle="1" w:styleId="IntenseEmphasis1">
    <w:name w:val="Intense Emphasis1"/>
    <w:qFormat/>
    <w:rsid w:val="007F5BCD"/>
    <w:rPr>
      <w:b/>
      <w:bCs/>
      <w:i/>
      <w:iCs/>
      <w:color w:val="4F81BD"/>
    </w:rPr>
  </w:style>
  <w:style w:type="character" w:styleId="Emphasis">
    <w:name w:val="Emphasis"/>
    <w:qFormat/>
    <w:rsid w:val="007F5BCD"/>
    <w:rPr>
      <w:i/>
      <w:iCs/>
    </w:rPr>
  </w:style>
  <w:style w:type="character" w:customStyle="1" w:styleId="st1">
    <w:name w:val="st1"/>
    <w:basedOn w:val="DefaultParagraphFont"/>
    <w:rsid w:val="007F5BCD"/>
  </w:style>
  <w:style w:type="paragraph" w:customStyle="1" w:styleId="Paragraphedeliste1">
    <w:name w:val="Paragraphe de liste1"/>
    <w:basedOn w:val="Normal"/>
    <w:qFormat/>
    <w:rsid w:val="007F5BCD"/>
    <w:pPr>
      <w:ind w:left="720"/>
    </w:pPr>
    <w:rPr>
      <w:szCs w:val="22"/>
    </w:rPr>
  </w:style>
  <w:style w:type="character" w:customStyle="1" w:styleId="longdesc1">
    <w:name w:val="long_desc1"/>
    <w:rsid w:val="007F5BCD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t">
    <w:name w:val="st"/>
    <w:rsid w:val="007F5BCD"/>
  </w:style>
  <w:style w:type="character" w:styleId="PageNumber">
    <w:name w:val="page number"/>
    <w:rsid w:val="00593A20"/>
  </w:style>
  <w:style w:type="table" w:styleId="TableGrid">
    <w:name w:val="Table Grid"/>
    <w:basedOn w:val="TableNormal"/>
    <w:rsid w:val="00593A2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TOC1"/>
    <w:next w:val="Normal"/>
    <w:autoRedefine/>
    <w:uiPriority w:val="39"/>
    <w:qFormat/>
    <w:rsid w:val="00593A20"/>
    <w:rPr>
      <w:b/>
      <w:caps/>
      <w:smallCaps/>
    </w:rPr>
  </w:style>
  <w:style w:type="table" w:customStyle="1" w:styleId="TableGrid1">
    <w:name w:val="Table Grid1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803E2B"/>
    <w:rPr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Dcision01premierparanonnumrot">
    <w:name w:val="Décision 01 premier para non numéroté"/>
    <w:basedOn w:val="Marge"/>
    <w:rsid w:val="00803E2B"/>
    <w:pPr>
      <w:keepNext/>
      <w:ind w:left="567"/>
    </w:pPr>
    <w:rPr>
      <w:bCs/>
      <w:szCs w:val="22"/>
    </w:rPr>
  </w:style>
  <w:style w:type="paragraph" w:customStyle="1" w:styleId="Dcision01paranumrot">
    <w:name w:val="Décision 01 para numéroté"/>
    <w:basedOn w:val="Normal"/>
    <w:rsid w:val="00803E2B"/>
    <w:pPr>
      <w:tabs>
        <w:tab w:val="clear" w:pos="567"/>
      </w:tabs>
      <w:snapToGrid/>
      <w:spacing w:before="240" w:after="0"/>
      <w:ind w:left="924" w:hanging="357"/>
    </w:pPr>
    <w:rPr>
      <w:rFonts w:eastAsia="Times New Roman"/>
      <w:bCs/>
      <w:szCs w:val="22"/>
      <w:lang w:eastAsia="fr-FR"/>
    </w:rPr>
  </w:style>
  <w:style w:type="character" w:customStyle="1" w:styleId="CarCar15">
    <w:name w:val="Car Car15"/>
    <w:rsid w:val="00DF55FA"/>
    <w:rPr>
      <w:rFonts w:ascii="Arial" w:eastAsia="Times New Roman" w:hAnsi="Arial" w:cs="Arial"/>
      <w:bCs/>
      <w:kern w:val="28"/>
      <w:sz w:val="52"/>
      <w:szCs w:val="52"/>
      <w:lang w:val="en-GB" w:eastAsia="zh-CN"/>
    </w:rPr>
  </w:style>
  <w:style w:type="character" w:customStyle="1" w:styleId="EndnoteTextChar">
    <w:name w:val="Endnote Text Char"/>
    <w:link w:val="EndnoteText"/>
    <w:rsid w:val="00593A20"/>
    <w:rPr>
      <w:rFonts w:ascii="Arial" w:eastAsia="SimSun" w:hAnsi="Arial" w:cs="Arial"/>
      <w:lang w:val="en-GB"/>
    </w:rPr>
  </w:style>
  <w:style w:type="paragraph" w:styleId="EndnoteText">
    <w:name w:val="endnote text"/>
    <w:basedOn w:val="Normal"/>
    <w:link w:val="EndnoteTextChar"/>
    <w:rsid w:val="00593A20"/>
    <w:rPr>
      <w:lang w:val="en-GB"/>
    </w:rPr>
  </w:style>
  <w:style w:type="character" w:customStyle="1" w:styleId="TitreCar1">
    <w:name w:val="Titre Car1"/>
    <w:rsid w:val="00DF55F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zh-CN"/>
    </w:rPr>
  </w:style>
  <w:style w:type="character" w:customStyle="1" w:styleId="Sous-titreCar1">
    <w:name w:val="Sous-titre Car1"/>
    <w:rsid w:val="00DF55F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/>
    </w:rPr>
  </w:style>
  <w:style w:type="character" w:styleId="FollowedHyperlink">
    <w:name w:val="FollowedHyperlink"/>
    <w:rsid w:val="00DF55FA"/>
    <w:rPr>
      <w:color w:val="800080"/>
      <w:u w:val="single"/>
    </w:rPr>
  </w:style>
  <w:style w:type="paragraph" w:customStyle="1" w:styleId="Paragraphedeliste2">
    <w:name w:val="Paragraphe de liste2"/>
    <w:basedOn w:val="Normal"/>
    <w:qFormat/>
    <w:rsid w:val="00DF55FA"/>
    <w:pPr>
      <w:ind w:left="720"/>
    </w:pPr>
  </w:style>
  <w:style w:type="paragraph" w:customStyle="1" w:styleId="Txtcdturetitreinter">
    <w:name w:val="Txt cdture titre inter"/>
    <w:qFormat/>
    <w:rsid w:val="00DF55FA"/>
    <w:pPr>
      <w:keepNext/>
      <w:keepLines/>
      <w:spacing w:before="240" w:after="120"/>
    </w:pPr>
    <w:rPr>
      <w:rFonts w:ascii="Arial" w:eastAsia="MS Mincho" w:hAnsi="Arial" w:cs="Arial"/>
      <w:b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DF55FA"/>
  </w:style>
  <w:style w:type="character" w:customStyle="1" w:styleId="aCar">
    <w:name w:val="(a) Car"/>
    <w:link w:val="a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bCar">
    <w:name w:val="(b) Car"/>
    <w:basedOn w:val="aCar"/>
    <w:link w:val="b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hps">
    <w:name w:val="hps"/>
    <w:basedOn w:val="DefaultParagraphFont"/>
    <w:rsid w:val="00F3149B"/>
  </w:style>
  <w:style w:type="paragraph" w:customStyle="1" w:styleId="citation">
    <w:name w:val="citation"/>
    <w:basedOn w:val="Normal"/>
    <w:link w:val="citationCar"/>
    <w:rsid w:val="003536F3"/>
    <w:pPr>
      <w:spacing w:after="60"/>
      <w:ind w:left="1134" w:right="284"/>
    </w:pPr>
  </w:style>
  <w:style w:type="paragraph" w:customStyle="1" w:styleId="citationa">
    <w:name w:val="citation(a)"/>
    <w:basedOn w:val="Normal"/>
    <w:rsid w:val="00593A20"/>
    <w:pPr>
      <w:tabs>
        <w:tab w:val="clear" w:pos="567"/>
      </w:tabs>
      <w:spacing w:after="60"/>
    </w:pPr>
  </w:style>
  <w:style w:type="paragraph" w:customStyle="1" w:styleId="nui">
    <w:name w:val="énu(i)"/>
    <w:basedOn w:val="Normal"/>
    <w:rsid w:val="00820F16"/>
    <w:pPr>
      <w:tabs>
        <w:tab w:val="clear" w:pos="567"/>
      </w:tabs>
      <w:spacing w:after="60"/>
      <w:ind w:left="1474" w:hanging="340"/>
    </w:pPr>
  </w:style>
  <w:style w:type="paragraph" w:customStyle="1" w:styleId="Enu1">
    <w:name w:val="Enu1"/>
    <w:basedOn w:val="Normal"/>
    <w:rsid w:val="00396B12"/>
    <w:pPr>
      <w:spacing w:after="60"/>
      <w:ind w:left="851" w:hanging="284"/>
    </w:pPr>
  </w:style>
  <w:style w:type="paragraph" w:customStyle="1" w:styleId="numrationa1">
    <w:name w:val="énumération (a)1"/>
    <w:basedOn w:val="numrationa"/>
    <w:rsid w:val="001127C4"/>
    <w:pPr>
      <w:ind w:left="851" w:hanging="284"/>
    </w:pPr>
  </w:style>
  <w:style w:type="paragraph" w:customStyle="1" w:styleId="Ref">
    <w:name w:val="Ref"/>
    <w:basedOn w:val="Normal"/>
    <w:link w:val="RefCar"/>
    <w:rsid w:val="00593A20"/>
    <w:pPr>
      <w:spacing w:after="60"/>
    </w:pPr>
    <w:rPr>
      <w:i/>
      <w:color w:val="3366FF"/>
    </w:rPr>
  </w:style>
  <w:style w:type="character" w:customStyle="1" w:styleId="RefCar">
    <w:name w:val="Ref Car"/>
    <w:link w:val="Ref"/>
    <w:rsid w:val="00593A20"/>
    <w:rPr>
      <w:rFonts w:ascii="Arial" w:eastAsia="SimSun" w:hAnsi="Arial" w:cs="Arial"/>
      <w:i/>
      <w:color w:val="3366FF"/>
      <w:lang w:eastAsia="zh-CN"/>
    </w:rPr>
  </w:style>
  <w:style w:type="paragraph" w:customStyle="1" w:styleId="Informations">
    <w:name w:val="Informations"/>
    <w:basedOn w:val="Ref"/>
    <w:link w:val="InformationsCar"/>
    <w:rsid w:val="00C95CF1"/>
    <w:pPr>
      <w:spacing w:before="120" w:after="120"/>
      <w:ind w:left="851"/>
      <w:jc w:val="left"/>
    </w:pPr>
  </w:style>
  <w:style w:type="character" w:customStyle="1" w:styleId="InformationsCar">
    <w:name w:val="Informations Car"/>
    <w:link w:val="Informations"/>
    <w:rsid w:val="00C95CF1"/>
    <w:rPr>
      <w:rFonts w:ascii="Arial" w:eastAsia="SimSun" w:hAnsi="Arial" w:cs="Arial"/>
      <w:i/>
      <w:color w:val="3366FF"/>
      <w:lang w:eastAsia="zh-CN"/>
    </w:rPr>
  </w:style>
  <w:style w:type="paragraph" w:customStyle="1" w:styleId="Questionnaire">
    <w:name w:val="Questionnaire"/>
    <w:basedOn w:val="Normal"/>
    <w:rsid w:val="00593A20"/>
    <w:pPr>
      <w:spacing w:before="80" w:after="80"/>
      <w:ind w:left="340" w:hanging="340"/>
      <w:jc w:val="left"/>
    </w:pPr>
    <w:rPr>
      <w:snapToGrid w:val="0"/>
      <w:sz w:val="18"/>
      <w:szCs w:val="18"/>
      <w:lang w:eastAsia="fr-FR"/>
    </w:rPr>
  </w:style>
  <w:style w:type="paragraph" w:customStyle="1" w:styleId="Soustitre">
    <w:name w:val="Soustitre"/>
    <w:basedOn w:val="Normal"/>
    <w:link w:val="SoustitreCar"/>
    <w:qFormat/>
    <w:rsid w:val="00941BDF"/>
    <w:pPr>
      <w:keepNext/>
      <w:spacing w:before="200" w:after="60"/>
      <w:jc w:val="left"/>
    </w:pPr>
    <w:rPr>
      <w:b/>
      <w:i/>
      <w:iCs/>
    </w:rPr>
  </w:style>
  <w:style w:type="character" w:customStyle="1" w:styleId="SoustitreCar">
    <w:name w:val="Soustitre Car"/>
    <w:link w:val="Soustitre"/>
    <w:rsid w:val="00941BDF"/>
    <w:rPr>
      <w:rFonts w:ascii="Arial" w:eastAsia="SimSun" w:hAnsi="Arial" w:cs="Arial"/>
      <w:b/>
      <w:i/>
      <w:iCs/>
      <w:lang w:eastAsia="zh-CN"/>
    </w:rPr>
  </w:style>
  <w:style w:type="paragraph" w:customStyle="1" w:styleId="SsTit">
    <w:name w:val="SsTit"/>
    <w:basedOn w:val="Normal"/>
    <w:rsid w:val="00892FE9"/>
    <w:pPr>
      <w:spacing w:after="480" w:line="440" w:lineRule="exact"/>
      <w:jc w:val="left"/>
    </w:pPr>
    <w:rPr>
      <w:b/>
      <w:caps/>
      <w:snapToGrid w:val="0"/>
      <w:sz w:val="36"/>
      <w:szCs w:val="36"/>
    </w:rPr>
  </w:style>
  <w:style w:type="paragraph" w:customStyle="1" w:styleId="Tableau">
    <w:name w:val="Tableau"/>
    <w:basedOn w:val="Normal"/>
    <w:rsid w:val="00593A20"/>
    <w:pPr>
      <w:spacing w:before="80" w:after="80"/>
    </w:pPr>
  </w:style>
  <w:style w:type="paragraph" w:customStyle="1" w:styleId="Texte1">
    <w:name w:val="Texte1"/>
    <w:basedOn w:val="Normal"/>
    <w:link w:val="Texte1Car"/>
    <w:rsid w:val="00A354FE"/>
    <w:pPr>
      <w:widowControl/>
      <w:spacing w:after="60"/>
      <w:ind w:left="851"/>
    </w:pPr>
  </w:style>
  <w:style w:type="character" w:customStyle="1" w:styleId="Texte1Car">
    <w:name w:val="Texte1 Car"/>
    <w:link w:val="Texte1"/>
    <w:rsid w:val="00A354FE"/>
    <w:rPr>
      <w:rFonts w:ascii="Arial" w:eastAsia="SimSun" w:hAnsi="Arial" w:cs="Arial"/>
      <w:lang w:eastAsia="zh-CN"/>
    </w:rPr>
  </w:style>
  <w:style w:type="paragraph" w:customStyle="1" w:styleId="Tabtit">
    <w:name w:val="Tabtit"/>
    <w:basedOn w:val="Texte1"/>
    <w:rsid w:val="001E2E53"/>
    <w:pPr>
      <w:keepNext/>
      <w:spacing w:before="240" w:after="120"/>
      <w:ind w:left="0"/>
    </w:pPr>
    <w:rPr>
      <w:b/>
      <w:lang w:eastAsia="fr-FR"/>
    </w:rPr>
  </w:style>
  <w:style w:type="paragraph" w:customStyle="1" w:styleId="Tabtxt">
    <w:name w:val="Tabtxt"/>
    <w:basedOn w:val="Normal"/>
    <w:rsid w:val="00593A20"/>
    <w:pPr>
      <w:jc w:val="center"/>
    </w:pPr>
    <w:rPr>
      <w:sz w:val="18"/>
      <w:szCs w:val="18"/>
      <w:lang w:eastAsia="fr-FR"/>
    </w:rPr>
  </w:style>
  <w:style w:type="paragraph" w:customStyle="1" w:styleId="Titcoul">
    <w:name w:val="Titcoul"/>
    <w:basedOn w:val="Title"/>
    <w:link w:val="TitcoulCar"/>
    <w:rsid w:val="00C95CF1"/>
    <w:pPr>
      <w:keepNext/>
      <w:spacing w:before="480" w:line="480" w:lineRule="exact"/>
      <w:outlineLvl w:val="1"/>
    </w:pPr>
    <w:rPr>
      <w:rFonts w:ascii="Arial" w:hAnsi="Arial"/>
      <w:bCs w:val="0"/>
      <w:color w:val="3366FF"/>
      <w:sz w:val="32"/>
    </w:rPr>
  </w:style>
  <w:style w:type="character" w:customStyle="1" w:styleId="TitcoulCar">
    <w:name w:val="Titcoul Car"/>
    <w:link w:val="Titcoul"/>
    <w:rsid w:val="00C95CF1"/>
    <w:rPr>
      <w:rFonts w:ascii="Arial" w:hAnsi="Arial" w:cs="Arial"/>
      <w:b/>
      <w:caps/>
      <w:snapToGrid w:val="0"/>
      <w:color w:val="3366FF"/>
      <w:sz w:val="32"/>
      <w:szCs w:val="70"/>
      <w:lang w:eastAsia="zh-CN"/>
    </w:rPr>
  </w:style>
  <w:style w:type="character" w:customStyle="1" w:styleId="Heading7Char">
    <w:name w:val="Heading 7 Char"/>
    <w:link w:val="Heading7"/>
    <w:rsid w:val="00593A20"/>
    <w:rPr>
      <w:rFonts w:ascii="Arial" w:eastAsia="SimSun" w:hAnsi="Arial"/>
      <w:i/>
      <w:snapToGrid w:val="0"/>
      <w:lang w:eastAsia="zh-CN"/>
    </w:rPr>
  </w:style>
  <w:style w:type="paragraph" w:styleId="TOC4">
    <w:name w:val="toc 4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Txtannexe">
    <w:name w:val="Txtannexe"/>
    <w:basedOn w:val="Texte1"/>
    <w:link w:val="TxtannexeCar"/>
    <w:rsid w:val="00593A20"/>
    <w:pPr>
      <w:ind w:left="0"/>
    </w:pPr>
  </w:style>
  <w:style w:type="character" w:customStyle="1" w:styleId="TxtannexeCar">
    <w:name w:val="Txtannexe Car"/>
    <w:link w:val="Txtannexe"/>
    <w:rsid w:val="00593A20"/>
    <w:rPr>
      <w:rFonts w:ascii="Arial" w:eastAsia="SimSun" w:hAnsi="Arial" w:cs="Arial"/>
      <w:lang w:eastAsia="zh-CN"/>
    </w:rPr>
  </w:style>
  <w:style w:type="paragraph" w:customStyle="1" w:styleId="Txtgras">
    <w:name w:val="Txtgras"/>
    <w:basedOn w:val="Normal"/>
    <w:rsid w:val="00593A20"/>
    <w:pPr>
      <w:spacing w:line="320" w:lineRule="exact"/>
    </w:pPr>
    <w:rPr>
      <w:rFonts w:ascii="Arial Gras" w:hAnsi="Arial Gras"/>
      <w:b/>
      <w:bCs/>
      <w:sz w:val="24"/>
    </w:rPr>
  </w:style>
  <w:style w:type="paragraph" w:customStyle="1" w:styleId="Txtmaigre">
    <w:name w:val="Txtmaigre"/>
    <w:basedOn w:val="Texte1"/>
    <w:rsid w:val="005F03AE"/>
    <w:pPr>
      <w:ind w:left="0"/>
    </w:pPr>
  </w:style>
  <w:style w:type="paragraph" w:customStyle="1" w:styleId="Txtpuce">
    <w:name w:val="Txtpuce"/>
    <w:basedOn w:val="Normal"/>
    <w:rsid w:val="00593A20"/>
    <w:pPr>
      <w:tabs>
        <w:tab w:val="clear" w:pos="567"/>
        <w:tab w:val="left" w:pos="397"/>
      </w:tabs>
      <w:spacing w:line="360" w:lineRule="exact"/>
    </w:pPr>
    <w:rPr>
      <w:sz w:val="24"/>
    </w:rPr>
  </w:style>
  <w:style w:type="paragraph" w:customStyle="1" w:styleId="Txtpucegras">
    <w:name w:val="Txtpucegras"/>
    <w:basedOn w:val="Texte1"/>
    <w:rsid w:val="00702799"/>
    <w:pPr>
      <w:numPr>
        <w:numId w:val="8"/>
      </w:numPr>
      <w:tabs>
        <w:tab w:val="clear" w:pos="567"/>
        <w:tab w:val="left" w:pos="340"/>
      </w:tabs>
    </w:pPr>
  </w:style>
  <w:style w:type="paragraph" w:customStyle="1" w:styleId="Txtpucemaitre">
    <w:name w:val="Txtpucemaitre"/>
    <w:basedOn w:val="Txtpucegras"/>
    <w:rsid w:val="00471A69"/>
    <w:pPr>
      <w:numPr>
        <w:numId w:val="7"/>
      </w:numPr>
    </w:pPr>
  </w:style>
  <w:style w:type="paragraph" w:customStyle="1" w:styleId="Enumrotation">
    <w:name w:val="Enumérotation"/>
    <w:basedOn w:val="Pucesance"/>
    <w:rsid w:val="00C90143"/>
    <w:pPr>
      <w:numPr>
        <w:numId w:val="14"/>
      </w:numPr>
      <w:spacing w:before="0" w:after="60"/>
    </w:pPr>
  </w:style>
  <w:style w:type="paragraph" w:customStyle="1" w:styleId="diapo2">
    <w:name w:val="diapo2"/>
    <w:basedOn w:val="Heading6"/>
    <w:link w:val="diapo2Car"/>
    <w:rsid w:val="00941BDF"/>
    <w:pPr>
      <w:widowControl/>
      <w:spacing w:before="200" w:after="120" w:line="280" w:lineRule="exact"/>
      <w:jc w:val="both"/>
    </w:pPr>
    <w:rPr>
      <w:caps w:val="0"/>
      <w:color w:val="auto"/>
      <w:szCs w:val="20"/>
    </w:rPr>
  </w:style>
  <w:style w:type="character" w:customStyle="1" w:styleId="diapo2Car">
    <w:name w:val="diapo2 Car"/>
    <w:basedOn w:val="Heading6Char"/>
    <w:link w:val="diapo2"/>
    <w:rsid w:val="00941BDF"/>
    <w:rPr>
      <w:rFonts w:ascii="Arial" w:hAnsi="Arial" w:cs="Arial"/>
      <w:b/>
      <w:bCs/>
      <w:caps w:val="0"/>
      <w:color w:val="008000"/>
      <w:sz w:val="24"/>
      <w:szCs w:val="24"/>
      <w:lang w:val="en-US"/>
    </w:rPr>
  </w:style>
  <w:style w:type="paragraph" w:customStyle="1" w:styleId="DO">
    <w:name w:val="DO"/>
    <w:basedOn w:val="Texte1"/>
    <w:link w:val="DOCar"/>
    <w:rsid w:val="00396B12"/>
    <w:pPr>
      <w:tabs>
        <w:tab w:val="clear" w:pos="567"/>
        <w:tab w:val="left" w:pos="2138"/>
      </w:tabs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96B12"/>
    <w:rPr>
      <w:rFonts w:ascii="Arial" w:eastAsia="Calibri" w:hAnsi="Arial" w:cs="Arial"/>
      <w:iCs/>
      <w:szCs w:val="22"/>
    </w:rPr>
  </w:style>
  <w:style w:type="paragraph" w:customStyle="1" w:styleId="Pucesance">
    <w:name w:val="Puceséance"/>
    <w:basedOn w:val="Numrosance"/>
    <w:rsid w:val="00624CD1"/>
    <w:pPr>
      <w:numPr>
        <w:numId w:val="9"/>
      </w:numPr>
      <w:tabs>
        <w:tab w:val="clear" w:pos="567"/>
      </w:tabs>
    </w:pPr>
  </w:style>
  <w:style w:type="paragraph" w:customStyle="1" w:styleId="nua">
    <w:name w:val="énu(a)"/>
    <w:basedOn w:val="numrationa"/>
    <w:rsid w:val="00980569"/>
    <w:pPr>
      <w:numPr>
        <w:numId w:val="11"/>
      </w:numPr>
    </w:pPr>
  </w:style>
  <w:style w:type="paragraph" w:customStyle="1" w:styleId="Encadr">
    <w:name w:val="Encadré"/>
    <w:basedOn w:val="Texte1"/>
    <w:link w:val="EncadrCar"/>
    <w:rsid w:val="006138F0"/>
    <w:pPr>
      <w:pBdr>
        <w:top w:val="single" w:sz="2" w:space="3" w:color="auto"/>
        <w:left w:val="single" w:sz="2" w:space="3" w:color="auto"/>
        <w:bottom w:val="single" w:sz="2" w:space="3" w:color="auto"/>
        <w:right w:val="single" w:sz="2" w:space="3" w:color="auto"/>
      </w:pBdr>
      <w:shd w:val="clear" w:color="auto" w:fill="F2F2F2"/>
      <w:spacing w:before="120"/>
      <w:ind w:left="113" w:right="113"/>
    </w:pPr>
  </w:style>
  <w:style w:type="character" w:customStyle="1" w:styleId="EncadrCar">
    <w:name w:val="Encadré Car"/>
    <w:basedOn w:val="Texte1Car"/>
    <w:link w:val="Encadr"/>
    <w:rsid w:val="006138F0"/>
    <w:rPr>
      <w:rFonts w:ascii="Arial" w:eastAsia="SimSun" w:hAnsi="Arial" w:cs="Arial"/>
      <w:shd w:val="clear" w:color="auto" w:fill="F2F2F2"/>
      <w:lang w:eastAsia="zh-CN"/>
    </w:rPr>
  </w:style>
  <w:style w:type="paragraph" w:customStyle="1" w:styleId="Txtjourne">
    <w:name w:val="Txtjournée"/>
    <w:basedOn w:val="Texte1"/>
    <w:rsid w:val="008D567B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15DFF"/>
    <w:pPr>
      <w:ind w:left="0"/>
      <w:jc w:val="center"/>
    </w:pPr>
    <w:rPr>
      <w:rFonts w:ascii="Arial Gras" w:hAnsi="Arial Gras"/>
      <w:b/>
      <w:bCs/>
    </w:rPr>
  </w:style>
  <w:style w:type="paragraph" w:customStyle="1" w:styleId="Numrosance">
    <w:name w:val="Numéroséance"/>
    <w:basedOn w:val="Texte1"/>
    <w:next w:val="Rponses"/>
    <w:autoRedefine/>
    <w:rsid w:val="00901CF9"/>
    <w:pPr>
      <w:numPr>
        <w:numId w:val="12"/>
      </w:numPr>
      <w:spacing w:before="120" w:after="0"/>
    </w:pPr>
  </w:style>
  <w:style w:type="paragraph" w:customStyle="1" w:styleId="numrotation2">
    <w:name w:val="Énumérotation2"/>
    <w:basedOn w:val="Enumrotation"/>
    <w:rsid w:val="00F23BCD"/>
    <w:pPr>
      <w:ind w:hanging="567"/>
    </w:pPr>
  </w:style>
  <w:style w:type="paragraph" w:customStyle="1" w:styleId="DOa">
    <w:name w:val="DO(a)"/>
    <w:basedOn w:val="Texte1"/>
    <w:link w:val="DOaCar"/>
    <w:rsid w:val="00303DBB"/>
    <w:pPr>
      <w:ind w:left="2325" w:hanging="340"/>
    </w:pPr>
  </w:style>
  <w:style w:type="character" w:customStyle="1" w:styleId="DOaCar">
    <w:name w:val="DO(a) Car"/>
    <w:basedOn w:val="Texte1Car"/>
    <w:link w:val="DOa"/>
    <w:rsid w:val="00303DBB"/>
    <w:rPr>
      <w:rFonts w:ascii="Arial" w:eastAsia="SimSun" w:hAnsi="Arial" w:cs="Arial"/>
      <w:lang w:eastAsia="zh-CN"/>
    </w:rPr>
  </w:style>
  <w:style w:type="paragraph" w:customStyle="1" w:styleId="DOi">
    <w:name w:val="DO(i)"/>
    <w:basedOn w:val="DOa"/>
    <w:rsid w:val="00820F16"/>
    <w:pPr>
      <w:ind w:left="2608"/>
    </w:pPr>
  </w:style>
  <w:style w:type="paragraph" w:customStyle="1" w:styleId="Evaluation">
    <w:name w:val="Evaluation"/>
    <w:basedOn w:val="Texte1"/>
    <w:link w:val="EvaluationCar"/>
    <w:rsid w:val="005E0306"/>
    <w:pPr>
      <w:tabs>
        <w:tab w:val="clear" w:pos="567"/>
        <w:tab w:val="right" w:pos="8845"/>
      </w:tabs>
    </w:pPr>
  </w:style>
  <w:style w:type="paragraph" w:customStyle="1" w:styleId="Rponses">
    <w:name w:val="Réponses"/>
    <w:basedOn w:val="Numrosance"/>
    <w:rsid w:val="00F16D0A"/>
    <w:pPr>
      <w:numPr>
        <w:numId w:val="0"/>
      </w:numPr>
      <w:spacing w:before="60" w:after="360"/>
      <w:ind w:left="851"/>
    </w:pPr>
    <w:rPr>
      <w:i/>
    </w:rPr>
  </w:style>
  <w:style w:type="character" w:customStyle="1" w:styleId="EvaluationCar">
    <w:name w:val="Evaluation Car"/>
    <w:link w:val="Evaluation"/>
    <w:rsid w:val="005E0306"/>
    <w:rPr>
      <w:rFonts w:ascii="Arial" w:eastAsia="SimSun" w:hAnsi="Arial" w:cs="Arial"/>
      <w:lang w:eastAsia="zh-CN"/>
    </w:rPr>
  </w:style>
  <w:style w:type="paragraph" w:customStyle="1" w:styleId="Enutiret">
    <w:name w:val="Enutiret"/>
    <w:basedOn w:val="Texte1"/>
    <w:link w:val="EnutiretCarCar"/>
    <w:rsid w:val="00F16D0A"/>
    <w:pPr>
      <w:numPr>
        <w:numId w:val="13"/>
      </w:numPr>
    </w:pPr>
  </w:style>
  <w:style w:type="character" w:customStyle="1" w:styleId="EnutiretCarCar">
    <w:name w:val="Enutiret Car Car"/>
    <w:link w:val="Enutiret"/>
    <w:rsid w:val="00F16D0A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Titcoul"/>
    <w:link w:val="ChapitreCar"/>
    <w:rsid w:val="00600AEA"/>
    <w:pPr>
      <w:pBdr>
        <w:bottom w:val="single" w:sz="4" w:space="14" w:color="3366FF"/>
      </w:pBdr>
      <w:spacing w:before="240" w:line="840" w:lineRule="exact"/>
      <w:contextualSpacing/>
    </w:pPr>
    <w:rPr>
      <w:rFonts w:ascii="Arial Gras" w:hAnsi="Arial Gras"/>
      <w:bCs/>
      <w:sz w:val="70"/>
    </w:rPr>
  </w:style>
  <w:style w:type="paragraph" w:styleId="TOCHeading">
    <w:name w:val="TOC Heading"/>
    <w:basedOn w:val="Header"/>
    <w:next w:val="Normal"/>
    <w:uiPriority w:val="39"/>
    <w:unhideWhenUsed/>
    <w:rsid w:val="00FE7025"/>
    <w:pPr>
      <w:widowControl/>
      <w:snapToGrid/>
    </w:pPr>
    <w:rPr>
      <w:rFonts w:eastAsiaTheme="majorEastAsia" w:cstheme="majorBidi"/>
      <w:b/>
      <w:color w:val="365F91" w:themeColor="accent1" w:themeShade="BF"/>
      <w:szCs w:val="28"/>
      <w:lang w:eastAsia="fr-FR"/>
    </w:rPr>
  </w:style>
  <w:style w:type="character" w:styleId="EndnoteReference">
    <w:name w:val="endnote reference"/>
    <w:basedOn w:val="DefaultParagraphFont"/>
    <w:rsid w:val="00C171E7"/>
    <w:rPr>
      <w:vertAlign w:val="superscript"/>
    </w:rPr>
  </w:style>
  <w:style w:type="paragraph" w:customStyle="1" w:styleId="UEnu">
    <w:name w:val="UEnu"/>
    <w:basedOn w:val="Normal"/>
    <w:autoRedefine/>
    <w:rsid w:val="00716BFA"/>
    <w:pPr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tabs>
        <w:tab w:val="clear" w:pos="567"/>
      </w:tabs>
      <w:snapToGrid/>
      <w:spacing w:after="60"/>
      <w:ind w:left="142" w:right="113"/>
    </w:pPr>
    <w:rPr>
      <w:rFonts w:eastAsia="Calibri"/>
      <w:noProof/>
      <w:lang w:eastAsia="en-US"/>
    </w:rPr>
  </w:style>
  <w:style w:type="paragraph" w:customStyle="1" w:styleId="UPlan">
    <w:name w:val="UPlan"/>
    <w:basedOn w:val="Titcoul"/>
    <w:link w:val="UPlanCar"/>
    <w:rsid w:val="00E73DB8"/>
    <w:pPr>
      <w:keepLines/>
      <w:widowControl/>
      <w:tabs>
        <w:tab w:val="left" w:pos="567"/>
      </w:tabs>
      <w:spacing w:after="0"/>
      <w:outlineLvl w:val="0"/>
    </w:pPr>
    <w:rPr>
      <w:rFonts w:ascii="Arial Gras" w:hAnsi="Arial Gras"/>
      <w:bCs/>
      <w:noProof/>
      <w:kern w:val="28"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E73DB8"/>
    <w:rPr>
      <w:rFonts w:ascii="Arial Gras" w:hAnsi="Arial Gras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B17C77"/>
    <w:pPr>
      <w:numPr>
        <w:numId w:val="15"/>
      </w:numPr>
      <w:snapToGrid/>
    </w:pPr>
    <w:rPr>
      <w:rFonts w:eastAsia="Calibri"/>
      <w:i w:val="0"/>
      <w:iCs/>
      <w:noProof/>
      <w:szCs w:val="20"/>
      <w:lang w:eastAsia="en-US"/>
    </w:rPr>
  </w:style>
  <w:style w:type="paragraph" w:customStyle="1" w:styleId="UTit4">
    <w:name w:val="UTit4"/>
    <w:basedOn w:val="Heading4"/>
    <w:link w:val="UTit4Car"/>
    <w:rsid w:val="00E73DB8"/>
    <w:pPr>
      <w:keepLines/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snapToGrid/>
      <w:ind w:left="113" w:right="113"/>
    </w:pPr>
    <w:rPr>
      <w:rFonts w:eastAsia="SimSun"/>
      <w:lang w:val="it-IT"/>
    </w:rPr>
  </w:style>
  <w:style w:type="character" w:customStyle="1" w:styleId="UTit4Car">
    <w:name w:val="UTit4 Car"/>
    <w:basedOn w:val="Heading4Char"/>
    <w:link w:val="UTit4"/>
    <w:rsid w:val="00E73DB8"/>
    <w:rPr>
      <w:rFonts w:ascii="Arial" w:eastAsia="SimSun" w:hAnsi="Arial" w:cs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E73DB8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  <w:szCs w:val="24"/>
    </w:rPr>
  </w:style>
  <w:style w:type="character" w:customStyle="1" w:styleId="UTxtCar">
    <w:name w:val="UTxt Car"/>
    <w:basedOn w:val="Texte1Car"/>
    <w:link w:val="UTxt"/>
    <w:rsid w:val="00E73DB8"/>
    <w:rPr>
      <w:rFonts w:ascii="Arial" w:eastAsia="SimSun" w:hAnsi="Arial" w:cs="Arial"/>
      <w:i/>
      <w:szCs w:val="24"/>
      <w:lang w:eastAsia="zh-CN"/>
    </w:rPr>
  </w:style>
  <w:style w:type="paragraph" w:styleId="ListParagraph">
    <w:name w:val="List Paragraph"/>
    <w:basedOn w:val="Normal"/>
    <w:uiPriority w:val="72"/>
    <w:rsid w:val="00EA7BA5"/>
    <w:pPr>
      <w:ind w:left="720"/>
      <w:contextualSpacing/>
    </w:pPr>
  </w:style>
  <w:style w:type="paragraph" w:customStyle="1" w:styleId="UTiret">
    <w:name w:val="UTiret"/>
    <w:basedOn w:val="UTxt"/>
    <w:rsid w:val="004C16E8"/>
    <w:pPr>
      <w:tabs>
        <w:tab w:val="clear" w:pos="567"/>
        <w:tab w:val="left" w:pos="454"/>
      </w:tabs>
      <w:ind w:left="470" w:hanging="357"/>
      <w:jc w:val="left"/>
    </w:pPr>
    <w:rPr>
      <w:i w:val="0"/>
    </w:rPr>
  </w:style>
  <w:style w:type="paragraph" w:customStyle="1" w:styleId="Slideheading">
    <w:name w:val="Slide heading"/>
    <w:basedOn w:val="Heading2"/>
    <w:link w:val="SlideheadingChar"/>
    <w:qFormat/>
    <w:rsid w:val="009E5369"/>
    <w:pPr>
      <w:keepNext/>
      <w:widowControl/>
      <w:numPr>
        <w:ilvl w:val="0"/>
        <w:numId w:val="0"/>
      </w:numPr>
      <w:spacing w:before="200" w:after="0" w:line="240" w:lineRule="auto"/>
    </w:pPr>
    <w:rPr>
      <w:rFonts w:cs="Times New Roman"/>
      <w:caps w:val="0"/>
      <w:snapToGrid w:val="0"/>
      <w:color w:val="000000"/>
      <w:kern w:val="0"/>
      <w:sz w:val="24"/>
      <w:szCs w:val="26"/>
      <w:lang w:val="en-GB"/>
    </w:rPr>
  </w:style>
  <w:style w:type="character" w:customStyle="1" w:styleId="SlideheadingChar">
    <w:name w:val="Slide heading Char"/>
    <w:link w:val="Slideheading"/>
    <w:rsid w:val="009E5369"/>
    <w:rPr>
      <w:rFonts w:ascii="Arial" w:hAnsi="Arial"/>
      <w:b/>
      <w:bCs/>
      <w:snapToGrid w:val="0"/>
      <w:color w:val="000000"/>
      <w:sz w:val="24"/>
      <w:szCs w:val="26"/>
      <w:lang w:val="en-GB" w:eastAsia="zh-CN"/>
    </w:rPr>
  </w:style>
  <w:style w:type="character" w:customStyle="1" w:styleId="ChapitreCar">
    <w:name w:val="Chapitre Car"/>
    <w:link w:val="Chapitre"/>
    <w:rsid w:val="00600AEA"/>
    <w:rPr>
      <w:rFonts w:ascii="Arial Gras" w:hAnsi="Arial Gras" w:cs="Arial"/>
      <w:b/>
      <w:bCs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Titcoul"/>
    <w:link w:val="HO1Car"/>
    <w:rsid w:val="000D44A5"/>
    <w:pPr>
      <w:keepLines/>
      <w:widowControl/>
      <w:tabs>
        <w:tab w:val="left" w:pos="567"/>
      </w:tabs>
      <w:spacing w:after="0"/>
      <w:outlineLvl w:val="0"/>
    </w:pPr>
    <w:rPr>
      <w:bCs/>
      <w:caps w:val="0"/>
      <w:noProof/>
      <w:kern w:val="28"/>
      <w:szCs w:val="32"/>
      <w:lang w:val="en-US"/>
    </w:rPr>
  </w:style>
  <w:style w:type="character" w:customStyle="1" w:styleId="HO1Car">
    <w:name w:val="HO1 Car"/>
    <w:basedOn w:val="TitcoulCar"/>
    <w:link w:val="HO1"/>
    <w:rsid w:val="000D44A5"/>
    <w:rPr>
      <w:rFonts w:ascii="Arial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0D44A5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0D44A5"/>
    <w:rPr>
      <w:rFonts w:ascii="Arial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Utiret0">
    <w:name w:val="Utiret"/>
    <w:basedOn w:val="UTxt"/>
    <w:link w:val="UtiretCar"/>
    <w:rsid w:val="004C16E8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0"/>
    <w:rsid w:val="004C16E8"/>
    <w:rPr>
      <w:rFonts w:ascii="Arial" w:eastAsia="SimSun" w:hAnsi="Arial" w:cs="Arial"/>
      <w:i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7D9A"/>
    <w:pPr>
      <w:widowControl w:val="0"/>
      <w:tabs>
        <w:tab w:val="left" w:pos="567"/>
      </w:tabs>
      <w:snapToGrid w:val="0"/>
      <w:spacing w:after="120" w:line="280" w:lineRule="exact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93A20"/>
    <w:pPr>
      <w:keepLines/>
      <w:numPr>
        <w:numId w:val="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593A20"/>
    <w:pPr>
      <w:keepLines/>
      <w:numPr>
        <w:ilvl w:val="1"/>
        <w:numId w:val="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rsid w:val="008678EE"/>
    <w:pPr>
      <w:keepNext/>
      <w:tabs>
        <w:tab w:val="clear" w:pos="567"/>
      </w:tabs>
      <w:spacing w:before="240"/>
      <w:ind w:left="851" w:hanging="851"/>
      <w:jc w:val="left"/>
      <w:outlineLvl w:val="2"/>
    </w:pPr>
    <w:rPr>
      <w:b/>
      <w:bCs/>
      <w:caps/>
      <w:kern w:val="28"/>
      <w:sz w:val="18"/>
      <w:szCs w:val="22"/>
    </w:rPr>
  </w:style>
  <w:style w:type="paragraph" w:styleId="Heading4">
    <w:name w:val="heading 4"/>
    <w:basedOn w:val="Normal"/>
    <w:next w:val="Normal"/>
    <w:link w:val="Heading4Char"/>
    <w:rsid w:val="007F6FE2"/>
    <w:pPr>
      <w:keepNext/>
      <w:tabs>
        <w:tab w:val="clear" w:pos="567"/>
      </w:tabs>
      <w:spacing w:before="360" w:line="300" w:lineRule="exact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93A20"/>
    <w:pPr>
      <w:numPr>
        <w:ilvl w:val="4"/>
        <w:numId w:val="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C012C5"/>
    <w:pPr>
      <w:keepNext/>
      <w:keepLines/>
      <w:tabs>
        <w:tab w:val="left" w:pos="1134"/>
      </w:tabs>
      <w:spacing w:before="480" w:after="60" w:line="300" w:lineRule="exact"/>
      <w:jc w:val="left"/>
      <w:outlineLvl w:val="5"/>
    </w:pPr>
    <w:rPr>
      <w:rFonts w:eastAsia="Times New Roman"/>
      <w:b/>
      <w:bCs/>
      <w:caps/>
      <w:color w:val="008000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593A20"/>
    <w:pPr>
      <w:numPr>
        <w:ilvl w:val="6"/>
        <w:numId w:val="6"/>
      </w:numPr>
      <w:adjustRightInd w:val="0"/>
      <w:spacing w:after="240"/>
      <w:outlineLvl w:val="6"/>
    </w:pPr>
    <w:rPr>
      <w:rFonts w:cs="Times New Roman"/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ar"/>
    <w:rsid w:val="00FF4BE4"/>
    <w:pPr>
      <w:spacing w:after="0"/>
      <w:ind w:left="851" w:firstLine="0"/>
    </w:pPr>
  </w:style>
  <w:style w:type="paragraph" w:customStyle="1" w:styleId="Par">
    <w:name w:val="Par"/>
    <w:basedOn w:val="Normal"/>
    <w:link w:val="ParCar"/>
    <w:rsid w:val="001D1A11"/>
    <w:pPr>
      <w:spacing w:after="240"/>
      <w:ind w:firstLine="567"/>
    </w:pPr>
    <w:rPr>
      <w:rFonts w:eastAsia="Times New Roman"/>
      <w:lang w:eastAsia="en-US"/>
    </w:rPr>
  </w:style>
  <w:style w:type="character" w:customStyle="1" w:styleId="ParCar">
    <w:name w:val="Par Car"/>
    <w:link w:val="Par"/>
    <w:rsid w:val="008C190D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MargeCar">
    <w:name w:val="Marge Car"/>
    <w:link w:val="Marge"/>
    <w:rsid w:val="00FF4BE4"/>
    <w:rPr>
      <w:rFonts w:ascii="Arial" w:hAnsi="Arial" w:cs="Arial"/>
      <w:lang w:eastAsia="en-US"/>
    </w:rPr>
  </w:style>
  <w:style w:type="character" w:customStyle="1" w:styleId="Heading1Char">
    <w:name w:val="Heading 1 Char"/>
    <w:link w:val="Heading1"/>
    <w:rsid w:val="00593A20"/>
    <w:rPr>
      <w:rFonts w:ascii="Arial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593A20"/>
    <w:rPr>
      <w:rFonts w:ascii="Arial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8678EE"/>
    <w:rPr>
      <w:rFonts w:ascii="Arial" w:eastAsia="SimSun" w:hAnsi="Arial" w:cs="Arial"/>
      <w:b/>
      <w:bCs/>
      <w:caps/>
      <w:kern w:val="28"/>
      <w:sz w:val="18"/>
      <w:szCs w:val="22"/>
      <w:lang w:eastAsia="zh-CN"/>
    </w:rPr>
  </w:style>
  <w:style w:type="character" w:customStyle="1" w:styleId="Heading4Char">
    <w:name w:val="Heading 4 Char"/>
    <w:link w:val="Heading4"/>
    <w:rsid w:val="007F6FE2"/>
    <w:rPr>
      <w:rFonts w:ascii="Arial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593A20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C012C5"/>
    <w:rPr>
      <w:rFonts w:ascii="Arial" w:hAnsi="Arial" w:cs="Arial"/>
      <w:b/>
      <w:bCs/>
      <w:caps/>
      <w:color w:val="008000"/>
      <w:sz w:val="24"/>
      <w:szCs w:val="24"/>
      <w:lang w:val="en-US"/>
    </w:rPr>
  </w:style>
  <w:style w:type="paragraph" w:customStyle="1" w:styleId="TIRETbul1cm">
    <w:name w:val="TIRET bul 1cm"/>
    <w:basedOn w:val="Normal"/>
    <w:rsid w:val="001D1A11"/>
    <w:pPr>
      <w:numPr>
        <w:numId w:val="1"/>
      </w:numPr>
      <w:tabs>
        <w:tab w:val="clear" w:pos="567"/>
      </w:tabs>
      <w:adjustRightInd w:val="0"/>
      <w:spacing w:after="240"/>
    </w:pPr>
  </w:style>
  <w:style w:type="paragraph" w:customStyle="1" w:styleId="a">
    <w:name w:val="(a)"/>
    <w:basedOn w:val="Normal"/>
    <w:link w:val="aCar"/>
    <w:rsid w:val="001D1A11"/>
    <w:pPr>
      <w:tabs>
        <w:tab w:val="left" w:pos="-737"/>
      </w:tabs>
      <w:spacing w:after="240"/>
      <w:ind w:left="567" w:hanging="567"/>
    </w:pPr>
    <w:rPr>
      <w:rFonts w:eastAsia="Times New Roman"/>
      <w:lang w:eastAsia="en-US"/>
    </w:rPr>
  </w:style>
  <w:style w:type="paragraph" w:customStyle="1" w:styleId="b">
    <w:name w:val="(b)"/>
    <w:basedOn w:val="a"/>
    <w:link w:val="bCar"/>
    <w:rsid w:val="001D1A11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1D1A11"/>
    <w:pPr>
      <w:tabs>
        <w:tab w:val="clear" w:pos="567"/>
        <w:tab w:val="left" w:pos="1701"/>
      </w:tabs>
      <w:spacing w:after="240"/>
      <w:ind w:left="1701" w:hanging="567"/>
    </w:pPr>
  </w:style>
  <w:style w:type="paragraph" w:customStyle="1" w:styleId="alina">
    <w:name w:val="alinéa"/>
    <w:basedOn w:val="Normal"/>
    <w:rsid w:val="001D1A11"/>
    <w:pPr>
      <w:snapToGrid/>
      <w:spacing w:after="240"/>
      <w:ind w:left="567"/>
    </w:pPr>
    <w:rPr>
      <w:rFonts w:eastAsia="Times New Roman"/>
      <w:lang w:eastAsia="en-US"/>
    </w:rPr>
  </w:style>
  <w:style w:type="character" w:styleId="FootnoteReference">
    <w:name w:val="footnote reference"/>
    <w:rsid w:val="004C16E8"/>
    <w:rPr>
      <w:rFonts w:ascii="Arial" w:hAnsi="Arial"/>
      <w:sz w:val="14"/>
      <w:szCs w:val="14"/>
      <w:vertAlign w:val="superscript"/>
    </w:rPr>
  </w:style>
  <w:style w:type="paragraph" w:styleId="Header">
    <w:name w:val="header"/>
    <w:basedOn w:val="Normal"/>
    <w:link w:val="HeaderChar"/>
    <w:rsid w:val="00AD17A0"/>
    <w:pPr>
      <w:keepNext/>
      <w:tabs>
        <w:tab w:val="clear" w:pos="567"/>
        <w:tab w:val="center" w:pos="4423"/>
        <w:tab w:val="right" w:pos="8845"/>
      </w:tabs>
      <w:spacing w:after="0"/>
      <w:jc w:val="left"/>
    </w:pPr>
    <w:rPr>
      <w:sz w:val="16"/>
    </w:rPr>
  </w:style>
  <w:style w:type="character" w:customStyle="1" w:styleId="HeaderChar">
    <w:name w:val="Header Char"/>
    <w:link w:val="Header"/>
    <w:rsid w:val="00AD17A0"/>
    <w:rPr>
      <w:rFonts w:ascii="Arial" w:eastAsia="SimSun" w:hAnsi="Arial" w:cs="Arial"/>
      <w:sz w:val="16"/>
      <w:lang w:eastAsia="zh-CN"/>
    </w:rPr>
  </w:style>
  <w:style w:type="paragraph" w:styleId="FootnoteText">
    <w:name w:val="footnote text"/>
    <w:basedOn w:val="Normal"/>
    <w:link w:val="FootnoteTextChar"/>
    <w:rsid w:val="00CC3A09"/>
    <w:pPr>
      <w:tabs>
        <w:tab w:val="clear" w:pos="567"/>
      </w:tabs>
      <w:spacing w:after="60" w:line="180" w:lineRule="exact"/>
      <w:ind w:left="340" w:hanging="340"/>
      <w:contextualSpacing/>
    </w:pPr>
    <w:rPr>
      <w:snapToGrid w:val="0"/>
      <w:sz w:val="16"/>
      <w:szCs w:val="16"/>
    </w:rPr>
  </w:style>
  <w:style w:type="character" w:customStyle="1" w:styleId="FootnoteTextChar">
    <w:name w:val="Footnote Text Char"/>
    <w:link w:val="FootnoteText"/>
    <w:rsid w:val="00CC3A09"/>
    <w:rPr>
      <w:rFonts w:ascii="Arial" w:eastAsia="SimSun" w:hAnsi="Arial" w:cs="Arial"/>
      <w:snapToGrid w:val="0"/>
      <w:sz w:val="16"/>
      <w:szCs w:val="16"/>
      <w:lang w:eastAsia="zh-CN"/>
    </w:rPr>
  </w:style>
  <w:style w:type="paragraph" w:styleId="Footer">
    <w:name w:val="footer"/>
    <w:basedOn w:val="Normal"/>
    <w:link w:val="FooterChar"/>
    <w:rsid w:val="00C012C5"/>
    <w:pPr>
      <w:tabs>
        <w:tab w:val="clear" w:pos="567"/>
        <w:tab w:val="center" w:pos="4423"/>
        <w:tab w:val="right" w:pos="8845"/>
      </w:tabs>
      <w:spacing w:after="0"/>
    </w:pPr>
    <w:rPr>
      <w:snapToGrid w:val="0"/>
      <w:sz w:val="16"/>
      <w:szCs w:val="18"/>
    </w:rPr>
  </w:style>
  <w:style w:type="character" w:customStyle="1" w:styleId="FooterChar">
    <w:name w:val="Footer Char"/>
    <w:link w:val="Footer"/>
    <w:rsid w:val="00C012C5"/>
    <w:rPr>
      <w:rFonts w:ascii="Arial" w:eastAsia="SimSun" w:hAnsi="Arial" w:cs="Arial"/>
      <w:snapToGrid w:val="0"/>
      <w:sz w:val="16"/>
      <w:szCs w:val="18"/>
      <w:lang w:eastAsia="zh-CN"/>
    </w:rPr>
  </w:style>
  <w:style w:type="character" w:customStyle="1" w:styleId="citationCar">
    <w:name w:val="citation Car"/>
    <w:link w:val="citation"/>
    <w:rsid w:val="003536F3"/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qFormat/>
    <w:rsid w:val="00393B87"/>
    <w:pPr>
      <w:tabs>
        <w:tab w:val="clear" w:pos="567"/>
      </w:tabs>
      <w:spacing w:after="0"/>
      <w:jc w:val="left"/>
    </w:pPr>
    <w:rPr>
      <w:sz w:val="22"/>
      <w:szCs w:val="22"/>
    </w:rPr>
  </w:style>
  <w:style w:type="paragraph" w:styleId="TOC2">
    <w:name w:val="toc 2"/>
    <w:basedOn w:val="TOC1"/>
    <w:next w:val="Normal"/>
    <w:autoRedefine/>
    <w:uiPriority w:val="39"/>
    <w:rsid w:val="00393B87"/>
  </w:style>
  <w:style w:type="paragraph" w:styleId="Title">
    <w:name w:val="Title"/>
    <w:basedOn w:val="Normal"/>
    <w:next w:val="Normal"/>
    <w:link w:val="TitleChar"/>
    <w:rsid w:val="00911B0A"/>
    <w:pPr>
      <w:tabs>
        <w:tab w:val="clear" w:pos="567"/>
      </w:tabs>
      <w:spacing w:after="480" w:line="840" w:lineRule="exact"/>
      <w:jc w:val="left"/>
    </w:pPr>
    <w:rPr>
      <w:rFonts w:ascii="Arial Gras" w:eastAsia="Times New Roman" w:hAnsi="Arial Gras"/>
      <w:b/>
      <w:bCs/>
      <w:caps/>
      <w:snapToGrid w:val="0"/>
      <w:color w:val="17365D"/>
      <w:sz w:val="70"/>
      <w:szCs w:val="70"/>
    </w:rPr>
  </w:style>
  <w:style w:type="character" w:customStyle="1" w:styleId="TitleChar">
    <w:name w:val="Title Char"/>
    <w:link w:val="Title"/>
    <w:rsid w:val="00911B0A"/>
    <w:rPr>
      <w:rFonts w:ascii="Arial Gras" w:hAnsi="Arial Gras" w:cs="Arial"/>
      <w:b/>
      <w:bCs/>
      <w:caps/>
      <w:snapToGrid w:val="0"/>
      <w:color w:val="17365D"/>
      <w:sz w:val="70"/>
      <w:szCs w:val="70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7F5BC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lang w:val="en-GB"/>
    </w:rPr>
  </w:style>
  <w:style w:type="character" w:customStyle="1" w:styleId="SubtitleChar">
    <w:name w:val="Subtitle Char"/>
    <w:link w:val="Subtitle"/>
    <w:rsid w:val="007F5BCD"/>
    <w:rPr>
      <w:rFonts w:ascii="Cambria" w:hAnsi="Cambria"/>
      <w:i/>
      <w:iCs/>
      <w:color w:val="4F81BD"/>
      <w:spacing w:val="15"/>
      <w:sz w:val="24"/>
      <w:szCs w:val="24"/>
      <w:lang w:val="en-GB" w:bidi="ar-SA"/>
    </w:rPr>
  </w:style>
  <w:style w:type="character" w:styleId="Strong">
    <w:name w:val="Strong"/>
    <w:uiPriority w:val="22"/>
    <w:qFormat/>
    <w:rsid w:val="007F5BCD"/>
    <w:rPr>
      <w:b/>
      <w:color w:val="C0504D"/>
    </w:rPr>
  </w:style>
  <w:style w:type="paragraph" w:customStyle="1" w:styleId="NoSpacing1">
    <w:name w:val="No Spacing1"/>
    <w:link w:val="NoSpacingChar"/>
    <w:qFormat/>
    <w:rsid w:val="007F5BCD"/>
    <w:pPr>
      <w:spacing w:before="120" w:after="120"/>
    </w:pPr>
    <w:rPr>
      <w:rFonts w:ascii="Arial" w:eastAsia="Calibri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rsid w:val="007F5BCD"/>
    <w:rPr>
      <w:rFonts w:ascii="Arial" w:eastAsia="Calibri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7F5BCD"/>
    <w:pPr>
      <w:numPr>
        <w:numId w:val="4"/>
      </w:numPr>
      <w:tabs>
        <w:tab w:val="clear" w:pos="567"/>
        <w:tab w:val="left" w:pos="709"/>
      </w:tabs>
    </w:pPr>
    <w:rPr>
      <w:lang w:val="en-GB" w:eastAsia="en-US"/>
    </w:rPr>
  </w:style>
  <w:style w:type="paragraph" w:customStyle="1" w:styleId="TOCHeading1">
    <w:name w:val="TOC Heading1"/>
    <w:basedOn w:val="Heading1"/>
    <w:next w:val="Normal"/>
    <w:semiHidden/>
    <w:unhideWhenUsed/>
    <w:qFormat/>
    <w:rsid w:val="007F5BCD"/>
    <w:pPr>
      <w:tabs>
        <w:tab w:val="clear" w:pos="567"/>
      </w:tabs>
      <w:snapToGrid/>
      <w:spacing w:after="0" w:line="276" w:lineRule="auto"/>
      <w:outlineLvl w:val="9"/>
    </w:pPr>
    <w:rPr>
      <w:b/>
      <w:color w:val="365F91"/>
      <w:kern w:val="0"/>
      <w:sz w:val="28"/>
      <w:szCs w:val="28"/>
      <w:lang w:val="en-GB"/>
    </w:rPr>
  </w:style>
  <w:style w:type="paragraph" w:customStyle="1" w:styleId="nutiret">
    <w:name w:val="Énutiret"/>
    <w:basedOn w:val="Texte1"/>
    <w:link w:val="nutiretCar"/>
    <w:rsid w:val="00A945B5"/>
    <w:pPr>
      <w:numPr>
        <w:numId w:val="10"/>
      </w:numPr>
      <w:tabs>
        <w:tab w:val="clear" w:pos="567"/>
      </w:tabs>
    </w:pPr>
  </w:style>
  <w:style w:type="paragraph" w:customStyle="1" w:styleId="Dcision01premierpara">
    <w:name w:val="Décision 01 premier para"/>
    <w:basedOn w:val="Normal"/>
    <w:qFormat/>
    <w:rsid w:val="007F5BCD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7F5BCD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rsid w:val="00593A20"/>
    <w:pPr>
      <w:keepNext/>
      <w:spacing w:after="0"/>
      <w:ind w:left="851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93A20"/>
    <w:rPr>
      <w:rFonts w:ascii="Tahoma" w:eastAsia="SimSun" w:hAnsi="Tahoma" w:cs="Arial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7F5BCD"/>
    <w:pPr>
      <w:keepNext/>
      <w:keepLines/>
      <w:numPr>
        <w:numId w:val="3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</w:rPr>
  </w:style>
  <w:style w:type="character" w:styleId="Hyperlink">
    <w:name w:val="Hyperlink"/>
    <w:uiPriority w:val="99"/>
    <w:unhideWhenUsed/>
    <w:rsid w:val="007F5BCD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7F5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BCD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7F5BCD"/>
    <w:rPr>
      <w:rFonts w:ascii="Arial" w:eastAsia="SimSun" w:hAnsi="Arial"/>
      <w:snapToGrid w:val="0"/>
      <w:lang w:val="en-US" w:eastAsia="zh-CN" w:bidi="ar-SA"/>
    </w:rPr>
  </w:style>
  <w:style w:type="paragraph" w:styleId="BalloonText">
    <w:name w:val="Balloon Text"/>
    <w:basedOn w:val="Normal"/>
    <w:link w:val="BalloonTextChar"/>
    <w:rsid w:val="00593A2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93A20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numrationa">
    <w:name w:val="énumération (a)"/>
    <w:basedOn w:val="Normal"/>
    <w:rsid w:val="00BE25D0"/>
    <w:pPr>
      <w:widowControl/>
      <w:tabs>
        <w:tab w:val="clear" w:pos="567"/>
      </w:tabs>
      <w:spacing w:after="60"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7F5BCD"/>
  </w:style>
  <w:style w:type="paragraph" w:customStyle="1" w:styleId="wiki-text">
    <w:name w:val="wiki-text"/>
    <w:basedOn w:val="Normal"/>
    <w:rsid w:val="007F5BC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lang w:val="en-GB" w:eastAsia="en-US"/>
    </w:rPr>
  </w:style>
  <w:style w:type="paragraph" w:styleId="NormalWeb">
    <w:name w:val="Normal (Web)"/>
    <w:basedOn w:val="Normal"/>
    <w:rsid w:val="00593A20"/>
    <w:pPr>
      <w:keepNext/>
      <w:spacing w:before="100" w:beforeAutospacing="1" w:after="100" w:afterAutospacing="1"/>
      <w:ind w:left="851"/>
    </w:pPr>
    <w:rPr>
      <w:rFonts w:ascii="Times New Roman" w:eastAsia="Times New Roman" w:hAnsi="Times New Roman" w:cs="Times New Roman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BCD"/>
    <w:rPr>
      <w:b/>
      <w:bCs/>
    </w:rPr>
  </w:style>
  <w:style w:type="character" w:customStyle="1" w:styleId="CommentSubjectChar">
    <w:name w:val="Comment Subject Char"/>
    <w:link w:val="CommentSubject"/>
    <w:semiHidden/>
    <w:rsid w:val="007F5BCD"/>
    <w:rPr>
      <w:rFonts w:ascii="Arial" w:eastAsia="SimSun" w:hAnsi="Arial"/>
      <w:b/>
      <w:bCs/>
      <w:snapToGrid w:val="0"/>
      <w:lang w:val="en-US" w:eastAsia="zh-CN" w:bidi="ar-SA"/>
    </w:rPr>
  </w:style>
  <w:style w:type="paragraph" w:styleId="ListBullet">
    <w:name w:val="List Bullet"/>
    <w:basedOn w:val="Normal"/>
    <w:rsid w:val="007F5BCD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593A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utiretCar">
    <w:name w:val="Énutiret Car"/>
    <w:basedOn w:val="Texte1Car"/>
    <w:link w:val="nutiret"/>
    <w:rsid w:val="00A945B5"/>
    <w:rPr>
      <w:rFonts w:ascii="Arial" w:eastAsia="SimSun" w:hAnsi="Arial" w:cs="Arial"/>
      <w:lang w:eastAsia="zh-CN"/>
    </w:rPr>
  </w:style>
  <w:style w:type="paragraph" w:customStyle="1" w:styleId="Textecandidature6aprs">
    <w:name w:val="Texte candidature + 6 après"/>
    <w:basedOn w:val="Normal"/>
    <w:qFormat/>
    <w:rsid w:val="007F5BCD"/>
    <w:pPr>
      <w:tabs>
        <w:tab w:val="clear" w:pos="567"/>
      </w:tabs>
      <w:snapToGrid/>
    </w:pPr>
    <w:rPr>
      <w:rFonts w:eastAsia="MS Mincho"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7F5BCD"/>
    <w:pPr>
      <w:keepNext/>
      <w:keepLines/>
      <w:numPr>
        <w:numId w:val="5"/>
      </w:numPr>
      <w:tabs>
        <w:tab w:val="clear" w:pos="567"/>
      </w:tabs>
      <w:snapToGrid/>
      <w:ind w:left="357" w:hanging="357"/>
    </w:pPr>
    <w:rPr>
      <w:rFonts w:eastAsia="MS Mincho"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qFormat/>
    <w:rsid w:val="00593A20"/>
    <w:pPr>
      <w:keepNext/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rsid w:val="00593A20"/>
    <w:rPr>
      <w:rFonts w:ascii="Arial" w:eastAsia="SimSun" w:hAnsi="Arial" w:cs="Arial"/>
      <w:b/>
      <w:bCs/>
      <w:i/>
      <w:iCs/>
      <w:snapToGrid w:val="0"/>
      <w:color w:val="4F81BD"/>
      <w:lang w:val="en-US" w:eastAsia="zh-CN"/>
    </w:rPr>
  </w:style>
  <w:style w:type="character" w:customStyle="1" w:styleId="IntenseEmphasis1">
    <w:name w:val="Intense Emphasis1"/>
    <w:qFormat/>
    <w:rsid w:val="007F5BCD"/>
    <w:rPr>
      <w:b/>
      <w:bCs/>
      <w:i/>
      <w:iCs/>
      <w:color w:val="4F81BD"/>
    </w:rPr>
  </w:style>
  <w:style w:type="character" w:styleId="Emphasis">
    <w:name w:val="Emphasis"/>
    <w:qFormat/>
    <w:rsid w:val="007F5BCD"/>
    <w:rPr>
      <w:i/>
      <w:iCs/>
    </w:rPr>
  </w:style>
  <w:style w:type="character" w:customStyle="1" w:styleId="st1">
    <w:name w:val="st1"/>
    <w:basedOn w:val="DefaultParagraphFont"/>
    <w:rsid w:val="007F5BCD"/>
  </w:style>
  <w:style w:type="paragraph" w:customStyle="1" w:styleId="Paragraphedeliste1">
    <w:name w:val="Paragraphe de liste1"/>
    <w:basedOn w:val="Normal"/>
    <w:qFormat/>
    <w:rsid w:val="007F5BCD"/>
    <w:pPr>
      <w:ind w:left="720"/>
    </w:pPr>
    <w:rPr>
      <w:szCs w:val="22"/>
    </w:rPr>
  </w:style>
  <w:style w:type="character" w:customStyle="1" w:styleId="longdesc1">
    <w:name w:val="long_desc1"/>
    <w:rsid w:val="007F5BCD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t">
    <w:name w:val="st"/>
    <w:rsid w:val="007F5BCD"/>
  </w:style>
  <w:style w:type="character" w:styleId="PageNumber">
    <w:name w:val="page number"/>
    <w:rsid w:val="00593A20"/>
  </w:style>
  <w:style w:type="table" w:styleId="TableGrid">
    <w:name w:val="Table Grid"/>
    <w:basedOn w:val="TableNormal"/>
    <w:rsid w:val="00593A2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TOC1"/>
    <w:next w:val="Normal"/>
    <w:autoRedefine/>
    <w:uiPriority w:val="39"/>
    <w:qFormat/>
    <w:rsid w:val="00593A20"/>
    <w:rPr>
      <w:b/>
      <w:caps/>
      <w:smallCaps/>
    </w:rPr>
  </w:style>
  <w:style w:type="table" w:customStyle="1" w:styleId="TableGrid1">
    <w:name w:val="Table Grid1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803E2B"/>
    <w:rPr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Dcision01premierparanonnumrot">
    <w:name w:val="Décision 01 premier para non numéroté"/>
    <w:basedOn w:val="Marge"/>
    <w:rsid w:val="00803E2B"/>
    <w:pPr>
      <w:keepNext/>
      <w:ind w:left="567"/>
    </w:pPr>
    <w:rPr>
      <w:bCs/>
      <w:szCs w:val="22"/>
    </w:rPr>
  </w:style>
  <w:style w:type="paragraph" w:customStyle="1" w:styleId="Dcision01paranumrot">
    <w:name w:val="Décision 01 para numéroté"/>
    <w:basedOn w:val="Normal"/>
    <w:rsid w:val="00803E2B"/>
    <w:pPr>
      <w:tabs>
        <w:tab w:val="clear" w:pos="567"/>
      </w:tabs>
      <w:snapToGrid/>
      <w:spacing w:before="240" w:after="0"/>
      <w:ind w:left="924" w:hanging="357"/>
    </w:pPr>
    <w:rPr>
      <w:rFonts w:eastAsia="Times New Roman"/>
      <w:bCs/>
      <w:szCs w:val="22"/>
      <w:lang w:eastAsia="fr-FR"/>
    </w:rPr>
  </w:style>
  <w:style w:type="character" w:customStyle="1" w:styleId="CarCar15">
    <w:name w:val="Car Car15"/>
    <w:rsid w:val="00DF55FA"/>
    <w:rPr>
      <w:rFonts w:ascii="Arial" w:eastAsia="Times New Roman" w:hAnsi="Arial" w:cs="Arial"/>
      <w:bCs/>
      <w:kern w:val="28"/>
      <w:sz w:val="52"/>
      <w:szCs w:val="52"/>
      <w:lang w:val="en-GB" w:eastAsia="zh-CN"/>
    </w:rPr>
  </w:style>
  <w:style w:type="character" w:customStyle="1" w:styleId="EndnoteTextChar">
    <w:name w:val="Endnote Text Char"/>
    <w:link w:val="EndnoteText"/>
    <w:rsid w:val="00593A20"/>
    <w:rPr>
      <w:rFonts w:ascii="Arial" w:eastAsia="SimSun" w:hAnsi="Arial" w:cs="Arial"/>
      <w:lang w:val="en-GB"/>
    </w:rPr>
  </w:style>
  <w:style w:type="paragraph" w:styleId="EndnoteText">
    <w:name w:val="endnote text"/>
    <w:basedOn w:val="Normal"/>
    <w:link w:val="EndnoteTextChar"/>
    <w:rsid w:val="00593A20"/>
    <w:rPr>
      <w:lang w:val="en-GB"/>
    </w:rPr>
  </w:style>
  <w:style w:type="character" w:customStyle="1" w:styleId="TitreCar1">
    <w:name w:val="Titre Car1"/>
    <w:rsid w:val="00DF55F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zh-CN"/>
    </w:rPr>
  </w:style>
  <w:style w:type="character" w:customStyle="1" w:styleId="Sous-titreCar1">
    <w:name w:val="Sous-titre Car1"/>
    <w:rsid w:val="00DF55F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/>
    </w:rPr>
  </w:style>
  <w:style w:type="character" w:styleId="FollowedHyperlink">
    <w:name w:val="FollowedHyperlink"/>
    <w:rsid w:val="00DF55FA"/>
    <w:rPr>
      <w:color w:val="800080"/>
      <w:u w:val="single"/>
    </w:rPr>
  </w:style>
  <w:style w:type="paragraph" w:customStyle="1" w:styleId="Paragraphedeliste2">
    <w:name w:val="Paragraphe de liste2"/>
    <w:basedOn w:val="Normal"/>
    <w:qFormat/>
    <w:rsid w:val="00DF55FA"/>
    <w:pPr>
      <w:ind w:left="720"/>
    </w:pPr>
  </w:style>
  <w:style w:type="paragraph" w:customStyle="1" w:styleId="Txtcdturetitreinter">
    <w:name w:val="Txt cdture titre inter"/>
    <w:qFormat/>
    <w:rsid w:val="00DF55FA"/>
    <w:pPr>
      <w:keepNext/>
      <w:keepLines/>
      <w:spacing w:before="240" w:after="120"/>
    </w:pPr>
    <w:rPr>
      <w:rFonts w:ascii="Arial" w:eastAsia="MS Mincho" w:hAnsi="Arial" w:cs="Arial"/>
      <w:b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DF55FA"/>
  </w:style>
  <w:style w:type="character" w:customStyle="1" w:styleId="aCar">
    <w:name w:val="(a) Car"/>
    <w:link w:val="a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bCar">
    <w:name w:val="(b) Car"/>
    <w:basedOn w:val="aCar"/>
    <w:link w:val="b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hps">
    <w:name w:val="hps"/>
    <w:basedOn w:val="DefaultParagraphFont"/>
    <w:rsid w:val="00F3149B"/>
  </w:style>
  <w:style w:type="paragraph" w:customStyle="1" w:styleId="citation">
    <w:name w:val="citation"/>
    <w:basedOn w:val="Normal"/>
    <w:link w:val="citationCar"/>
    <w:rsid w:val="003536F3"/>
    <w:pPr>
      <w:spacing w:after="60"/>
      <w:ind w:left="1134" w:right="284"/>
    </w:pPr>
  </w:style>
  <w:style w:type="paragraph" w:customStyle="1" w:styleId="citationa">
    <w:name w:val="citation(a)"/>
    <w:basedOn w:val="Normal"/>
    <w:rsid w:val="00593A20"/>
    <w:pPr>
      <w:tabs>
        <w:tab w:val="clear" w:pos="567"/>
      </w:tabs>
      <w:spacing w:after="60"/>
    </w:pPr>
  </w:style>
  <w:style w:type="paragraph" w:customStyle="1" w:styleId="nui">
    <w:name w:val="énu(i)"/>
    <w:basedOn w:val="Normal"/>
    <w:rsid w:val="00820F16"/>
    <w:pPr>
      <w:tabs>
        <w:tab w:val="clear" w:pos="567"/>
      </w:tabs>
      <w:spacing w:after="60"/>
      <w:ind w:left="1474" w:hanging="340"/>
    </w:pPr>
  </w:style>
  <w:style w:type="paragraph" w:customStyle="1" w:styleId="Enu1">
    <w:name w:val="Enu1"/>
    <w:basedOn w:val="Normal"/>
    <w:rsid w:val="00396B12"/>
    <w:pPr>
      <w:spacing w:after="60"/>
      <w:ind w:left="851" w:hanging="284"/>
    </w:pPr>
  </w:style>
  <w:style w:type="paragraph" w:customStyle="1" w:styleId="numrationa1">
    <w:name w:val="énumération (a)1"/>
    <w:basedOn w:val="numrationa"/>
    <w:rsid w:val="001127C4"/>
    <w:pPr>
      <w:ind w:left="851" w:hanging="284"/>
    </w:pPr>
  </w:style>
  <w:style w:type="paragraph" w:customStyle="1" w:styleId="Ref">
    <w:name w:val="Ref"/>
    <w:basedOn w:val="Normal"/>
    <w:link w:val="RefCar"/>
    <w:rsid w:val="00593A20"/>
    <w:pPr>
      <w:spacing w:after="60"/>
    </w:pPr>
    <w:rPr>
      <w:i/>
      <w:color w:val="3366FF"/>
    </w:rPr>
  </w:style>
  <w:style w:type="character" w:customStyle="1" w:styleId="RefCar">
    <w:name w:val="Ref Car"/>
    <w:link w:val="Ref"/>
    <w:rsid w:val="00593A20"/>
    <w:rPr>
      <w:rFonts w:ascii="Arial" w:eastAsia="SimSun" w:hAnsi="Arial" w:cs="Arial"/>
      <w:i/>
      <w:color w:val="3366FF"/>
      <w:lang w:eastAsia="zh-CN"/>
    </w:rPr>
  </w:style>
  <w:style w:type="paragraph" w:customStyle="1" w:styleId="Informations">
    <w:name w:val="Informations"/>
    <w:basedOn w:val="Ref"/>
    <w:link w:val="InformationsCar"/>
    <w:rsid w:val="00C95CF1"/>
    <w:pPr>
      <w:spacing w:before="120" w:after="120"/>
      <w:ind w:left="851"/>
      <w:jc w:val="left"/>
    </w:pPr>
  </w:style>
  <w:style w:type="character" w:customStyle="1" w:styleId="InformationsCar">
    <w:name w:val="Informations Car"/>
    <w:link w:val="Informations"/>
    <w:rsid w:val="00C95CF1"/>
    <w:rPr>
      <w:rFonts w:ascii="Arial" w:eastAsia="SimSun" w:hAnsi="Arial" w:cs="Arial"/>
      <w:i/>
      <w:color w:val="3366FF"/>
      <w:lang w:eastAsia="zh-CN"/>
    </w:rPr>
  </w:style>
  <w:style w:type="paragraph" w:customStyle="1" w:styleId="Questionnaire">
    <w:name w:val="Questionnaire"/>
    <w:basedOn w:val="Normal"/>
    <w:rsid w:val="00593A20"/>
    <w:pPr>
      <w:spacing w:before="80" w:after="80"/>
      <w:ind w:left="340" w:hanging="340"/>
      <w:jc w:val="left"/>
    </w:pPr>
    <w:rPr>
      <w:snapToGrid w:val="0"/>
      <w:sz w:val="18"/>
      <w:szCs w:val="18"/>
      <w:lang w:eastAsia="fr-FR"/>
    </w:rPr>
  </w:style>
  <w:style w:type="paragraph" w:customStyle="1" w:styleId="Soustitre">
    <w:name w:val="Soustitre"/>
    <w:basedOn w:val="Normal"/>
    <w:link w:val="SoustitreCar"/>
    <w:qFormat/>
    <w:rsid w:val="00941BDF"/>
    <w:pPr>
      <w:keepNext/>
      <w:spacing w:before="200" w:after="60"/>
      <w:jc w:val="left"/>
    </w:pPr>
    <w:rPr>
      <w:b/>
      <w:i/>
      <w:iCs/>
    </w:rPr>
  </w:style>
  <w:style w:type="character" w:customStyle="1" w:styleId="SoustitreCar">
    <w:name w:val="Soustitre Car"/>
    <w:link w:val="Soustitre"/>
    <w:rsid w:val="00941BDF"/>
    <w:rPr>
      <w:rFonts w:ascii="Arial" w:eastAsia="SimSun" w:hAnsi="Arial" w:cs="Arial"/>
      <w:b/>
      <w:i/>
      <w:iCs/>
      <w:lang w:eastAsia="zh-CN"/>
    </w:rPr>
  </w:style>
  <w:style w:type="paragraph" w:customStyle="1" w:styleId="SsTit">
    <w:name w:val="SsTit"/>
    <w:basedOn w:val="Normal"/>
    <w:rsid w:val="00892FE9"/>
    <w:pPr>
      <w:spacing w:after="480" w:line="440" w:lineRule="exact"/>
      <w:jc w:val="left"/>
    </w:pPr>
    <w:rPr>
      <w:b/>
      <w:caps/>
      <w:snapToGrid w:val="0"/>
      <w:sz w:val="36"/>
      <w:szCs w:val="36"/>
    </w:rPr>
  </w:style>
  <w:style w:type="paragraph" w:customStyle="1" w:styleId="Tableau">
    <w:name w:val="Tableau"/>
    <w:basedOn w:val="Normal"/>
    <w:rsid w:val="00593A20"/>
    <w:pPr>
      <w:spacing w:before="80" w:after="80"/>
    </w:pPr>
  </w:style>
  <w:style w:type="paragraph" w:customStyle="1" w:styleId="Texte1">
    <w:name w:val="Texte1"/>
    <w:basedOn w:val="Normal"/>
    <w:link w:val="Texte1Car"/>
    <w:rsid w:val="00A354FE"/>
    <w:pPr>
      <w:widowControl/>
      <w:spacing w:after="60"/>
      <w:ind w:left="851"/>
    </w:pPr>
  </w:style>
  <w:style w:type="character" w:customStyle="1" w:styleId="Texte1Car">
    <w:name w:val="Texte1 Car"/>
    <w:link w:val="Texte1"/>
    <w:rsid w:val="00A354FE"/>
    <w:rPr>
      <w:rFonts w:ascii="Arial" w:eastAsia="SimSun" w:hAnsi="Arial" w:cs="Arial"/>
      <w:lang w:eastAsia="zh-CN"/>
    </w:rPr>
  </w:style>
  <w:style w:type="paragraph" w:customStyle="1" w:styleId="Tabtit">
    <w:name w:val="Tabtit"/>
    <w:basedOn w:val="Texte1"/>
    <w:rsid w:val="001E2E53"/>
    <w:pPr>
      <w:keepNext/>
      <w:spacing w:before="240" w:after="120"/>
      <w:ind w:left="0"/>
    </w:pPr>
    <w:rPr>
      <w:b/>
      <w:lang w:eastAsia="fr-FR"/>
    </w:rPr>
  </w:style>
  <w:style w:type="paragraph" w:customStyle="1" w:styleId="Tabtxt">
    <w:name w:val="Tabtxt"/>
    <w:basedOn w:val="Normal"/>
    <w:rsid w:val="00593A20"/>
    <w:pPr>
      <w:jc w:val="center"/>
    </w:pPr>
    <w:rPr>
      <w:sz w:val="18"/>
      <w:szCs w:val="18"/>
      <w:lang w:eastAsia="fr-FR"/>
    </w:rPr>
  </w:style>
  <w:style w:type="paragraph" w:customStyle="1" w:styleId="Titcoul">
    <w:name w:val="Titcoul"/>
    <w:basedOn w:val="Title"/>
    <w:link w:val="TitcoulCar"/>
    <w:rsid w:val="00C95CF1"/>
    <w:pPr>
      <w:keepNext/>
      <w:spacing w:before="480" w:line="480" w:lineRule="exact"/>
      <w:outlineLvl w:val="1"/>
    </w:pPr>
    <w:rPr>
      <w:rFonts w:ascii="Arial" w:hAnsi="Arial"/>
      <w:bCs w:val="0"/>
      <w:color w:val="3366FF"/>
      <w:sz w:val="32"/>
    </w:rPr>
  </w:style>
  <w:style w:type="character" w:customStyle="1" w:styleId="TitcoulCar">
    <w:name w:val="Titcoul Car"/>
    <w:link w:val="Titcoul"/>
    <w:rsid w:val="00C95CF1"/>
    <w:rPr>
      <w:rFonts w:ascii="Arial" w:hAnsi="Arial" w:cs="Arial"/>
      <w:b/>
      <w:caps/>
      <w:snapToGrid w:val="0"/>
      <w:color w:val="3366FF"/>
      <w:sz w:val="32"/>
      <w:szCs w:val="70"/>
      <w:lang w:eastAsia="zh-CN"/>
    </w:rPr>
  </w:style>
  <w:style w:type="character" w:customStyle="1" w:styleId="Heading7Char">
    <w:name w:val="Heading 7 Char"/>
    <w:link w:val="Heading7"/>
    <w:rsid w:val="00593A20"/>
    <w:rPr>
      <w:rFonts w:ascii="Arial" w:eastAsia="SimSun" w:hAnsi="Arial"/>
      <w:i/>
      <w:snapToGrid w:val="0"/>
      <w:lang w:eastAsia="zh-CN"/>
    </w:rPr>
  </w:style>
  <w:style w:type="paragraph" w:styleId="TOC4">
    <w:name w:val="toc 4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Txtannexe">
    <w:name w:val="Txtannexe"/>
    <w:basedOn w:val="Texte1"/>
    <w:link w:val="TxtannexeCar"/>
    <w:rsid w:val="00593A20"/>
    <w:pPr>
      <w:ind w:left="0"/>
    </w:pPr>
  </w:style>
  <w:style w:type="character" w:customStyle="1" w:styleId="TxtannexeCar">
    <w:name w:val="Txtannexe Car"/>
    <w:link w:val="Txtannexe"/>
    <w:rsid w:val="00593A20"/>
    <w:rPr>
      <w:rFonts w:ascii="Arial" w:eastAsia="SimSun" w:hAnsi="Arial" w:cs="Arial"/>
      <w:lang w:eastAsia="zh-CN"/>
    </w:rPr>
  </w:style>
  <w:style w:type="paragraph" w:customStyle="1" w:styleId="Txtgras">
    <w:name w:val="Txtgras"/>
    <w:basedOn w:val="Normal"/>
    <w:rsid w:val="00593A20"/>
    <w:pPr>
      <w:spacing w:line="320" w:lineRule="exact"/>
    </w:pPr>
    <w:rPr>
      <w:rFonts w:ascii="Arial Gras" w:hAnsi="Arial Gras"/>
      <w:b/>
      <w:bCs/>
      <w:sz w:val="24"/>
    </w:rPr>
  </w:style>
  <w:style w:type="paragraph" w:customStyle="1" w:styleId="Txtmaigre">
    <w:name w:val="Txtmaigre"/>
    <w:basedOn w:val="Texte1"/>
    <w:rsid w:val="005F03AE"/>
    <w:pPr>
      <w:ind w:left="0"/>
    </w:pPr>
  </w:style>
  <w:style w:type="paragraph" w:customStyle="1" w:styleId="Txtpuce">
    <w:name w:val="Txtpuce"/>
    <w:basedOn w:val="Normal"/>
    <w:rsid w:val="00593A20"/>
    <w:pPr>
      <w:tabs>
        <w:tab w:val="clear" w:pos="567"/>
        <w:tab w:val="left" w:pos="397"/>
      </w:tabs>
      <w:spacing w:line="360" w:lineRule="exact"/>
    </w:pPr>
    <w:rPr>
      <w:sz w:val="24"/>
    </w:rPr>
  </w:style>
  <w:style w:type="paragraph" w:customStyle="1" w:styleId="Txtpucegras">
    <w:name w:val="Txtpucegras"/>
    <w:basedOn w:val="Texte1"/>
    <w:rsid w:val="00702799"/>
    <w:pPr>
      <w:numPr>
        <w:numId w:val="8"/>
      </w:numPr>
      <w:tabs>
        <w:tab w:val="clear" w:pos="567"/>
        <w:tab w:val="left" w:pos="340"/>
      </w:tabs>
    </w:pPr>
  </w:style>
  <w:style w:type="paragraph" w:customStyle="1" w:styleId="Txtpucemaitre">
    <w:name w:val="Txtpucemaitre"/>
    <w:basedOn w:val="Txtpucegras"/>
    <w:rsid w:val="00471A69"/>
    <w:pPr>
      <w:numPr>
        <w:numId w:val="7"/>
      </w:numPr>
    </w:pPr>
  </w:style>
  <w:style w:type="paragraph" w:customStyle="1" w:styleId="Enumrotation">
    <w:name w:val="Enumérotation"/>
    <w:basedOn w:val="Pucesance"/>
    <w:rsid w:val="00C90143"/>
    <w:pPr>
      <w:numPr>
        <w:numId w:val="14"/>
      </w:numPr>
      <w:spacing w:before="0" w:after="60"/>
    </w:pPr>
  </w:style>
  <w:style w:type="paragraph" w:customStyle="1" w:styleId="diapo2">
    <w:name w:val="diapo2"/>
    <w:basedOn w:val="Heading6"/>
    <w:link w:val="diapo2Car"/>
    <w:rsid w:val="00941BDF"/>
    <w:pPr>
      <w:widowControl/>
      <w:spacing w:before="200" w:after="120" w:line="280" w:lineRule="exact"/>
      <w:jc w:val="both"/>
    </w:pPr>
    <w:rPr>
      <w:caps w:val="0"/>
      <w:color w:val="auto"/>
      <w:szCs w:val="20"/>
    </w:rPr>
  </w:style>
  <w:style w:type="character" w:customStyle="1" w:styleId="diapo2Car">
    <w:name w:val="diapo2 Car"/>
    <w:basedOn w:val="Heading6Char"/>
    <w:link w:val="diapo2"/>
    <w:rsid w:val="00941BDF"/>
    <w:rPr>
      <w:rFonts w:ascii="Arial" w:hAnsi="Arial" w:cs="Arial"/>
      <w:b/>
      <w:bCs/>
      <w:caps w:val="0"/>
      <w:color w:val="008000"/>
      <w:sz w:val="24"/>
      <w:szCs w:val="24"/>
      <w:lang w:val="en-US"/>
    </w:rPr>
  </w:style>
  <w:style w:type="paragraph" w:customStyle="1" w:styleId="DO">
    <w:name w:val="DO"/>
    <w:basedOn w:val="Texte1"/>
    <w:link w:val="DOCar"/>
    <w:rsid w:val="00396B12"/>
    <w:pPr>
      <w:tabs>
        <w:tab w:val="clear" w:pos="567"/>
        <w:tab w:val="left" w:pos="2138"/>
      </w:tabs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96B12"/>
    <w:rPr>
      <w:rFonts w:ascii="Arial" w:eastAsia="Calibri" w:hAnsi="Arial" w:cs="Arial"/>
      <w:iCs/>
      <w:szCs w:val="22"/>
    </w:rPr>
  </w:style>
  <w:style w:type="paragraph" w:customStyle="1" w:styleId="Pucesance">
    <w:name w:val="Puceséance"/>
    <w:basedOn w:val="Numrosance"/>
    <w:rsid w:val="00624CD1"/>
    <w:pPr>
      <w:numPr>
        <w:numId w:val="9"/>
      </w:numPr>
      <w:tabs>
        <w:tab w:val="clear" w:pos="567"/>
      </w:tabs>
    </w:pPr>
  </w:style>
  <w:style w:type="paragraph" w:customStyle="1" w:styleId="nua">
    <w:name w:val="énu(a)"/>
    <w:basedOn w:val="numrationa"/>
    <w:rsid w:val="00980569"/>
    <w:pPr>
      <w:numPr>
        <w:numId w:val="11"/>
      </w:numPr>
    </w:pPr>
  </w:style>
  <w:style w:type="paragraph" w:customStyle="1" w:styleId="Encadr">
    <w:name w:val="Encadré"/>
    <w:basedOn w:val="Texte1"/>
    <w:link w:val="EncadrCar"/>
    <w:rsid w:val="006138F0"/>
    <w:pPr>
      <w:pBdr>
        <w:top w:val="single" w:sz="2" w:space="3" w:color="auto"/>
        <w:left w:val="single" w:sz="2" w:space="3" w:color="auto"/>
        <w:bottom w:val="single" w:sz="2" w:space="3" w:color="auto"/>
        <w:right w:val="single" w:sz="2" w:space="3" w:color="auto"/>
      </w:pBdr>
      <w:shd w:val="clear" w:color="auto" w:fill="F2F2F2"/>
      <w:spacing w:before="120"/>
      <w:ind w:left="113" w:right="113"/>
    </w:pPr>
  </w:style>
  <w:style w:type="character" w:customStyle="1" w:styleId="EncadrCar">
    <w:name w:val="Encadré Car"/>
    <w:basedOn w:val="Texte1Car"/>
    <w:link w:val="Encadr"/>
    <w:rsid w:val="006138F0"/>
    <w:rPr>
      <w:rFonts w:ascii="Arial" w:eastAsia="SimSun" w:hAnsi="Arial" w:cs="Arial"/>
      <w:shd w:val="clear" w:color="auto" w:fill="F2F2F2"/>
      <w:lang w:eastAsia="zh-CN"/>
    </w:rPr>
  </w:style>
  <w:style w:type="paragraph" w:customStyle="1" w:styleId="Txtjourne">
    <w:name w:val="Txtjournée"/>
    <w:basedOn w:val="Texte1"/>
    <w:rsid w:val="008D567B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15DFF"/>
    <w:pPr>
      <w:ind w:left="0"/>
      <w:jc w:val="center"/>
    </w:pPr>
    <w:rPr>
      <w:rFonts w:ascii="Arial Gras" w:hAnsi="Arial Gras"/>
      <w:b/>
      <w:bCs/>
    </w:rPr>
  </w:style>
  <w:style w:type="paragraph" w:customStyle="1" w:styleId="Numrosance">
    <w:name w:val="Numéroséance"/>
    <w:basedOn w:val="Texte1"/>
    <w:next w:val="Rponses"/>
    <w:autoRedefine/>
    <w:rsid w:val="00901CF9"/>
    <w:pPr>
      <w:numPr>
        <w:numId w:val="12"/>
      </w:numPr>
      <w:spacing w:before="120" w:after="0"/>
    </w:pPr>
  </w:style>
  <w:style w:type="paragraph" w:customStyle="1" w:styleId="numrotation2">
    <w:name w:val="Énumérotation2"/>
    <w:basedOn w:val="Enumrotation"/>
    <w:rsid w:val="00F23BCD"/>
    <w:pPr>
      <w:ind w:hanging="567"/>
    </w:pPr>
  </w:style>
  <w:style w:type="paragraph" w:customStyle="1" w:styleId="DOa">
    <w:name w:val="DO(a)"/>
    <w:basedOn w:val="Texte1"/>
    <w:link w:val="DOaCar"/>
    <w:rsid w:val="00303DBB"/>
    <w:pPr>
      <w:ind w:left="2325" w:hanging="340"/>
    </w:pPr>
  </w:style>
  <w:style w:type="character" w:customStyle="1" w:styleId="DOaCar">
    <w:name w:val="DO(a) Car"/>
    <w:basedOn w:val="Texte1Car"/>
    <w:link w:val="DOa"/>
    <w:rsid w:val="00303DBB"/>
    <w:rPr>
      <w:rFonts w:ascii="Arial" w:eastAsia="SimSun" w:hAnsi="Arial" w:cs="Arial"/>
      <w:lang w:eastAsia="zh-CN"/>
    </w:rPr>
  </w:style>
  <w:style w:type="paragraph" w:customStyle="1" w:styleId="DOi">
    <w:name w:val="DO(i)"/>
    <w:basedOn w:val="DOa"/>
    <w:rsid w:val="00820F16"/>
    <w:pPr>
      <w:ind w:left="2608"/>
    </w:pPr>
  </w:style>
  <w:style w:type="paragraph" w:customStyle="1" w:styleId="Evaluation">
    <w:name w:val="Evaluation"/>
    <w:basedOn w:val="Texte1"/>
    <w:link w:val="EvaluationCar"/>
    <w:rsid w:val="005E0306"/>
    <w:pPr>
      <w:tabs>
        <w:tab w:val="clear" w:pos="567"/>
        <w:tab w:val="right" w:pos="8845"/>
      </w:tabs>
    </w:pPr>
  </w:style>
  <w:style w:type="paragraph" w:customStyle="1" w:styleId="Rponses">
    <w:name w:val="Réponses"/>
    <w:basedOn w:val="Numrosance"/>
    <w:rsid w:val="00F16D0A"/>
    <w:pPr>
      <w:numPr>
        <w:numId w:val="0"/>
      </w:numPr>
      <w:spacing w:before="60" w:after="360"/>
      <w:ind w:left="851"/>
    </w:pPr>
    <w:rPr>
      <w:i/>
    </w:rPr>
  </w:style>
  <w:style w:type="character" w:customStyle="1" w:styleId="EvaluationCar">
    <w:name w:val="Evaluation Car"/>
    <w:link w:val="Evaluation"/>
    <w:rsid w:val="005E0306"/>
    <w:rPr>
      <w:rFonts w:ascii="Arial" w:eastAsia="SimSun" w:hAnsi="Arial" w:cs="Arial"/>
      <w:lang w:eastAsia="zh-CN"/>
    </w:rPr>
  </w:style>
  <w:style w:type="paragraph" w:customStyle="1" w:styleId="Enutiret">
    <w:name w:val="Enutiret"/>
    <w:basedOn w:val="Texte1"/>
    <w:link w:val="EnutiretCarCar"/>
    <w:rsid w:val="00F16D0A"/>
    <w:pPr>
      <w:numPr>
        <w:numId w:val="13"/>
      </w:numPr>
    </w:pPr>
  </w:style>
  <w:style w:type="character" w:customStyle="1" w:styleId="EnutiretCarCar">
    <w:name w:val="Enutiret Car Car"/>
    <w:link w:val="Enutiret"/>
    <w:rsid w:val="00F16D0A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Titcoul"/>
    <w:link w:val="ChapitreCar"/>
    <w:rsid w:val="00600AEA"/>
    <w:pPr>
      <w:pBdr>
        <w:bottom w:val="single" w:sz="4" w:space="14" w:color="3366FF"/>
      </w:pBdr>
      <w:spacing w:before="240" w:line="840" w:lineRule="exact"/>
      <w:contextualSpacing/>
    </w:pPr>
    <w:rPr>
      <w:rFonts w:ascii="Arial Gras" w:hAnsi="Arial Gras"/>
      <w:bCs/>
      <w:sz w:val="70"/>
    </w:rPr>
  </w:style>
  <w:style w:type="paragraph" w:styleId="TOCHeading">
    <w:name w:val="TOC Heading"/>
    <w:basedOn w:val="Header"/>
    <w:next w:val="Normal"/>
    <w:uiPriority w:val="39"/>
    <w:unhideWhenUsed/>
    <w:rsid w:val="00FE7025"/>
    <w:pPr>
      <w:widowControl/>
      <w:snapToGrid/>
    </w:pPr>
    <w:rPr>
      <w:rFonts w:eastAsiaTheme="majorEastAsia" w:cstheme="majorBidi"/>
      <w:b/>
      <w:color w:val="365F91" w:themeColor="accent1" w:themeShade="BF"/>
      <w:szCs w:val="28"/>
      <w:lang w:eastAsia="fr-FR"/>
    </w:rPr>
  </w:style>
  <w:style w:type="character" w:styleId="EndnoteReference">
    <w:name w:val="endnote reference"/>
    <w:basedOn w:val="DefaultParagraphFont"/>
    <w:rsid w:val="00C171E7"/>
    <w:rPr>
      <w:vertAlign w:val="superscript"/>
    </w:rPr>
  </w:style>
  <w:style w:type="paragraph" w:customStyle="1" w:styleId="UEnu">
    <w:name w:val="UEnu"/>
    <w:basedOn w:val="Normal"/>
    <w:autoRedefine/>
    <w:rsid w:val="00716BFA"/>
    <w:pPr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tabs>
        <w:tab w:val="clear" w:pos="567"/>
      </w:tabs>
      <w:snapToGrid/>
      <w:spacing w:after="60"/>
      <w:ind w:left="142" w:right="113"/>
    </w:pPr>
    <w:rPr>
      <w:rFonts w:eastAsia="Calibri"/>
      <w:noProof/>
      <w:lang w:eastAsia="en-US"/>
    </w:rPr>
  </w:style>
  <w:style w:type="paragraph" w:customStyle="1" w:styleId="UPlan">
    <w:name w:val="UPlan"/>
    <w:basedOn w:val="Titcoul"/>
    <w:link w:val="UPlanCar"/>
    <w:rsid w:val="00E73DB8"/>
    <w:pPr>
      <w:keepLines/>
      <w:widowControl/>
      <w:tabs>
        <w:tab w:val="left" w:pos="567"/>
      </w:tabs>
      <w:spacing w:after="0"/>
      <w:outlineLvl w:val="0"/>
    </w:pPr>
    <w:rPr>
      <w:rFonts w:ascii="Arial Gras" w:hAnsi="Arial Gras"/>
      <w:bCs/>
      <w:noProof/>
      <w:kern w:val="28"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E73DB8"/>
    <w:rPr>
      <w:rFonts w:ascii="Arial Gras" w:hAnsi="Arial Gras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B17C77"/>
    <w:pPr>
      <w:numPr>
        <w:numId w:val="15"/>
      </w:numPr>
      <w:snapToGrid/>
    </w:pPr>
    <w:rPr>
      <w:rFonts w:eastAsia="Calibri"/>
      <w:i w:val="0"/>
      <w:iCs/>
      <w:noProof/>
      <w:szCs w:val="20"/>
      <w:lang w:eastAsia="en-US"/>
    </w:rPr>
  </w:style>
  <w:style w:type="paragraph" w:customStyle="1" w:styleId="UTit4">
    <w:name w:val="UTit4"/>
    <w:basedOn w:val="Heading4"/>
    <w:link w:val="UTit4Car"/>
    <w:rsid w:val="00E73DB8"/>
    <w:pPr>
      <w:keepLines/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snapToGrid/>
      <w:ind w:left="113" w:right="113"/>
    </w:pPr>
    <w:rPr>
      <w:rFonts w:eastAsia="SimSun"/>
      <w:lang w:val="it-IT"/>
    </w:rPr>
  </w:style>
  <w:style w:type="character" w:customStyle="1" w:styleId="UTit4Car">
    <w:name w:val="UTit4 Car"/>
    <w:basedOn w:val="Heading4Char"/>
    <w:link w:val="UTit4"/>
    <w:rsid w:val="00E73DB8"/>
    <w:rPr>
      <w:rFonts w:ascii="Arial" w:eastAsia="SimSun" w:hAnsi="Arial" w:cs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E73DB8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  <w:szCs w:val="24"/>
    </w:rPr>
  </w:style>
  <w:style w:type="character" w:customStyle="1" w:styleId="UTxtCar">
    <w:name w:val="UTxt Car"/>
    <w:basedOn w:val="Texte1Car"/>
    <w:link w:val="UTxt"/>
    <w:rsid w:val="00E73DB8"/>
    <w:rPr>
      <w:rFonts w:ascii="Arial" w:eastAsia="SimSun" w:hAnsi="Arial" w:cs="Arial"/>
      <w:i/>
      <w:szCs w:val="24"/>
      <w:lang w:eastAsia="zh-CN"/>
    </w:rPr>
  </w:style>
  <w:style w:type="paragraph" w:styleId="ListParagraph">
    <w:name w:val="List Paragraph"/>
    <w:basedOn w:val="Normal"/>
    <w:uiPriority w:val="72"/>
    <w:rsid w:val="00EA7BA5"/>
    <w:pPr>
      <w:ind w:left="720"/>
      <w:contextualSpacing/>
    </w:pPr>
  </w:style>
  <w:style w:type="paragraph" w:customStyle="1" w:styleId="UTiret">
    <w:name w:val="UTiret"/>
    <w:basedOn w:val="UTxt"/>
    <w:rsid w:val="004C16E8"/>
    <w:pPr>
      <w:tabs>
        <w:tab w:val="clear" w:pos="567"/>
        <w:tab w:val="left" w:pos="454"/>
      </w:tabs>
      <w:ind w:left="470" w:hanging="357"/>
      <w:jc w:val="left"/>
    </w:pPr>
    <w:rPr>
      <w:i w:val="0"/>
    </w:rPr>
  </w:style>
  <w:style w:type="paragraph" w:customStyle="1" w:styleId="Slideheading">
    <w:name w:val="Slide heading"/>
    <w:basedOn w:val="Heading2"/>
    <w:link w:val="SlideheadingChar"/>
    <w:qFormat/>
    <w:rsid w:val="009E5369"/>
    <w:pPr>
      <w:keepNext/>
      <w:widowControl/>
      <w:numPr>
        <w:ilvl w:val="0"/>
        <w:numId w:val="0"/>
      </w:numPr>
      <w:spacing w:before="200" w:after="0" w:line="240" w:lineRule="auto"/>
    </w:pPr>
    <w:rPr>
      <w:rFonts w:cs="Times New Roman"/>
      <w:caps w:val="0"/>
      <w:snapToGrid w:val="0"/>
      <w:color w:val="000000"/>
      <w:kern w:val="0"/>
      <w:sz w:val="24"/>
      <w:szCs w:val="26"/>
      <w:lang w:val="en-GB"/>
    </w:rPr>
  </w:style>
  <w:style w:type="character" w:customStyle="1" w:styleId="SlideheadingChar">
    <w:name w:val="Slide heading Char"/>
    <w:link w:val="Slideheading"/>
    <w:rsid w:val="009E5369"/>
    <w:rPr>
      <w:rFonts w:ascii="Arial" w:hAnsi="Arial"/>
      <w:b/>
      <w:bCs/>
      <w:snapToGrid w:val="0"/>
      <w:color w:val="000000"/>
      <w:sz w:val="24"/>
      <w:szCs w:val="26"/>
      <w:lang w:val="en-GB" w:eastAsia="zh-CN"/>
    </w:rPr>
  </w:style>
  <w:style w:type="character" w:customStyle="1" w:styleId="ChapitreCar">
    <w:name w:val="Chapitre Car"/>
    <w:link w:val="Chapitre"/>
    <w:rsid w:val="00600AEA"/>
    <w:rPr>
      <w:rFonts w:ascii="Arial Gras" w:hAnsi="Arial Gras" w:cs="Arial"/>
      <w:b/>
      <w:bCs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Titcoul"/>
    <w:link w:val="HO1Car"/>
    <w:rsid w:val="000D44A5"/>
    <w:pPr>
      <w:keepLines/>
      <w:widowControl/>
      <w:tabs>
        <w:tab w:val="left" w:pos="567"/>
      </w:tabs>
      <w:spacing w:after="0"/>
      <w:outlineLvl w:val="0"/>
    </w:pPr>
    <w:rPr>
      <w:bCs/>
      <w:caps w:val="0"/>
      <w:noProof/>
      <w:kern w:val="28"/>
      <w:szCs w:val="32"/>
      <w:lang w:val="en-US"/>
    </w:rPr>
  </w:style>
  <w:style w:type="character" w:customStyle="1" w:styleId="HO1Car">
    <w:name w:val="HO1 Car"/>
    <w:basedOn w:val="TitcoulCar"/>
    <w:link w:val="HO1"/>
    <w:rsid w:val="000D44A5"/>
    <w:rPr>
      <w:rFonts w:ascii="Arial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0D44A5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0D44A5"/>
    <w:rPr>
      <w:rFonts w:ascii="Arial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Utiret0">
    <w:name w:val="Utiret"/>
    <w:basedOn w:val="UTxt"/>
    <w:link w:val="UtiretCar"/>
    <w:rsid w:val="004C16E8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0"/>
    <w:rsid w:val="004C16E8"/>
    <w:rPr>
      <w:rFonts w:ascii="Arial" w:eastAsia="SimSun" w:hAnsi="Arial" w:cs="Arial"/>
      <w:i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4417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7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87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esco.org/culture/ich/fr/USL/0032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185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index.php?lg=fr&amp;pg=00503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6CAB-BC7D-4D69-9D2C-B02E61F6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3355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U009-v1.0-FN-FRA.docx</vt:lpstr>
    </vt:vector>
  </TitlesOfParts>
  <Company>UNESCO</Company>
  <LinksUpToDate>false</LinksUpToDate>
  <CharactersWithSpaces>21765</CharactersWithSpaces>
  <SharedDoc>false</SharedDoc>
  <HyperlinkBase/>
  <HLinks>
    <vt:vector size="522" baseType="variant">
      <vt:variant>
        <vt:i4>4063281</vt:i4>
      </vt:variant>
      <vt:variant>
        <vt:i4>357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2949219</vt:i4>
      </vt:variant>
      <vt:variant>
        <vt:i4>354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351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348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345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342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339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336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333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330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327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324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321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318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315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312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309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306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7012401</vt:i4>
      </vt:variant>
      <vt:variant>
        <vt:i4>303</vt:i4>
      </vt:variant>
      <vt:variant>
        <vt:i4>0</vt:i4>
      </vt:variant>
      <vt:variant>
        <vt:i4>5</vt:i4>
      </vt:variant>
      <vt:variant>
        <vt:lpwstr>http://www.unesco.org/culture/ich/doc/src/01856-FR.pdf</vt:lpwstr>
      </vt:variant>
      <vt:variant>
        <vt:lpwstr/>
      </vt:variant>
      <vt:variant>
        <vt:i4>393299</vt:i4>
      </vt:variant>
      <vt:variant>
        <vt:i4>300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297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3670063</vt:i4>
      </vt:variant>
      <vt:variant>
        <vt:i4>294</vt:i4>
      </vt:variant>
      <vt:variant>
        <vt:i4>0</vt:i4>
      </vt:variant>
      <vt:variant>
        <vt:i4>5</vt:i4>
      </vt:variant>
      <vt:variant>
        <vt:lpwstr>http://www.unesco.org/culture/ich/index.php?lg=fr&amp;pg=00001</vt:lpwstr>
      </vt:variant>
      <vt:variant>
        <vt:lpwstr/>
      </vt:variant>
      <vt:variant>
        <vt:i4>2949200</vt:i4>
      </vt:variant>
      <vt:variant>
        <vt:i4>291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288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7340119</vt:i4>
      </vt:variant>
      <vt:variant>
        <vt:i4>285</vt:i4>
      </vt:variant>
      <vt:variant>
        <vt:i4>0</vt:i4>
      </vt:variant>
      <vt:variant>
        <vt:i4>5</vt:i4>
      </vt:variant>
      <vt:variant>
        <vt:lpwstr>http://www.unesco.org/culture/ich/index.php?lg=fr&amp;pg=00011&amp;RL=00073</vt:lpwstr>
      </vt:variant>
      <vt:variant>
        <vt:lpwstr/>
      </vt:variant>
      <vt:variant>
        <vt:i4>7733329</vt:i4>
      </vt:variant>
      <vt:variant>
        <vt:i4>282</vt:i4>
      </vt:variant>
      <vt:variant>
        <vt:i4>0</vt:i4>
      </vt:variant>
      <vt:variant>
        <vt:i4>5</vt:i4>
      </vt:variant>
      <vt:variant>
        <vt:lpwstr>http://www.unesco.org/culture/ich/index.php?lg=fr&amp;pg=00011&amp;RL=00015</vt:lpwstr>
      </vt:variant>
      <vt:variant>
        <vt:lpwstr/>
      </vt:variant>
      <vt:variant>
        <vt:i4>3276914</vt:i4>
      </vt:variant>
      <vt:variant>
        <vt:i4>279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2097270</vt:i4>
      </vt:variant>
      <vt:variant>
        <vt:i4>276</vt:i4>
      </vt:variant>
      <vt:variant>
        <vt:i4>0</vt:i4>
      </vt:variant>
      <vt:variant>
        <vt:i4>5</vt:i4>
      </vt:variant>
      <vt:variant>
        <vt:lpwstr>http://www.unesco.org/culture/ich/index.php?lg=fr&amp;pg=00011&amp;Art18=00306</vt:lpwstr>
      </vt:variant>
      <vt:variant>
        <vt:lpwstr/>
      </vt:variant>
      <vt:variant>
        <vt:i4>3080285</vt:i4>
      </vt:variant>
      <vt:variant>
        <vt:i4>273</vt:i4>
      </vt:variant>
      <vt:variant>
        <vt:i4>0</vt:i4>
      </vt:variant>
      <vt:variant>
        <vt:i4>5</vt:i4>
      </vt:variant>
      <vt:variant>
        <vt:lpwstr>http://www.unesco.org/culture/languages-atlas/index.php</vt:lpwstr>
      </vt:variant>
      <vt:variant>
        <vt:lpwstr/>
      </vt:variant>
      <vt:variant>
        <vt:i4>393320</vt:i4>
      </vt:variant>
      <vt:variant>
        <vt:i4>270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3801135</vt:i4>
      </vt:variant>
      <vt:variant>
        <vt:i4>267</vt:i4>
      </vt:variant>
      <vt:variant>
        <vt:i4>0</vt:i4>
      </vt:variant>
      <vt:variant>
        <vt:i4>5</vt:i4>
      </vt:variant>
      <vt:variant>
        <vt:lpwstr>http://www.unesco.org/culture/ich/index.php?lg=fr&amp;pg=00102</vt:lpwstr>
      </vt:variant>
      <vt:variant>
        <vt:lpwstr/>
      </vt:variant>
      <vt:variant>
        <vt:i4>8323131</vt:i4>
      </vt:variant>
      <vt:variant>
        <vt:i4>264</vt:i4>
      </vt:variant>
      <vt:variant>
        <vt:i4>0</vt:i4>
      </vt:variant>
      <vt:variant>
        <vt:i4>5</vt:i4>
      </vt:variant>
      <vt:variant>
        <vt:lpwstr>http://portal.unesco.org/fr/ev.php-URL_ID=17716&amp;URL_DO=DO_TOPIC&amp;URL_SECTION=201.html</vt:lpwstr>
      </vt:variant>
      <vt:variant>
        <vt:lpwstr/>
      </vt:variant>
      <vt:variant>
        <vt:i4>3276849</vt:i4>
      </vt:variant>
      <vt:variant>
        <vt:i4>261</vt:i4>
      </vt:variant>
      <vt:variant>
        <vt:i4>0</vt:i4>
      </vt:variant>
      <vt:variant>
        <vt:i4>5</vt:i4>
      </vt:variant>
      <vt:variant>
        <vt:lpwstr>http://www.unesco.org/culture/ich/index.php?lg=en&amp;pg=00028</vt:lpwstr>
      </vt:variant>
      <vt:variant>
        <vt:lpwstr/>
      </vt:variant>
      <vt:variant>
        <vt:i4>2097270</vt:i4>
      </vt:variant>
      <vt:variant>
        <vt:i4>258</vt:i4>
      </vt:variant>
      <vt:variant>
        <vt:i4>0</vt:i4>
      </vt:variant>
      <vt:variant>
        <vt:i4>5</vt:i4>
      </vt:variant>
      <vt:variant>
        <vt:lpwstr>http://www.unesco.org/culture/ich/index.php?lg=fr&amp;pg=00011&amp;Art18=00306</vt:lpwstr>
      </vt:variant>
      <vt:variant>
        <vt:lpwstr/>
      </vt:variant>
      <vt:variant>
        <vt:i4>7471198</vt:i4>
      </vt:variant>
      <vt:variant>
        <vt:i4>255</vt:i4>
      </vt:variant>
      <vt:variant>
        <vt:i4>0</vt:i4>
      </vt:variant>
      <vt:variant>
        <vt:i4>5</vt:i4>
      </vt:variant>
      <vt:variant>
        <vt:lpwstr>http://www.unesco.org/culture/ich/index.php?lg=fr&amp;pg=00011&amp;RL=00258</vt:lpwstr>
      </vt:variant>
      <vt:variant>
        <vt:lpwstr/>
      </vt:variant>
      <vt:variant>
        <vt:i4>1704014</vt:i4>
      </vt:variant>
      <vt:variant>
        <vt:i4>252</vt:i4>
      </vt:variant>
      <vt:variant>
        <vt:i4>0</vt:i4>
      </vt:variant>
      <vt:variant>
        <vt:i4>5</vt:i4>
      </vt:variant>
      <vt:variant>
        <vt:lpwstr>http://www.unesco.org/culture/ich/index.php?lg=fr&amp;pg=00011&amp;USL=00289</vt:lpwstr>
      </vt:variant>
      <vt:variant>
        <vt:lpwstr/>
      </vt:variant>
      <vt:variant>
        <vt:i4>8126523</vt:i4>
      </vt:variant>
      <vt:variant>
        <vt:i4>249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246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3801135</vt:i4>
      </vt:variant>
      <vt:variant>
        <vt:i4>243</vt:i4>
      </vt:variant>
      <vt:variant>
        <vt:i4>0</vt:i4>
      </vt:variant>
      <vt:variant>
        <vt:i4>5</vt:i4>
      </vt:variant>
      <vt:variant>
        <vt:lpwstr>http://www.unesco.org/culture/ich/index.php?lg=fr&amp;pg=00102</vt:lpwstr>
      </vt:variant>
      <vt:variant>
        <vt:lpwstr/>
      </vt:variant>
      <vt:variant>
        <vt:i4>4128815</vt:i4>
      </vt:variant>
      <vt:variant>
        <vt:i4>240</vt:i4>
      </vt:variant>
      <vt:variant>
        <vt:i4>0</vt:i4>
      </vt:variant>
      <vt:variant>
        <vt:i4>5</vt:i4>
      </vt:variant>
      <vt:variant>
        <vt:lpwstr>http://www.unesco.org/culture/ich/index.php?lg=fr&amp;pg=00006</vt:lpwstr>
      </vt:variant>
      <vt:variant>
        <vt:lpwstr/>
      </vt:variant>
      <vt:variant>
        <vt:i4>1769484</vt:i4>
      </vt:variant>
      <vt:variant>
        <vt:i4>237</vt:i4>
      </vt:variant>
      <vt:variant>
        <vt:i4>0</vt:i4>
      </vt:variant>
      <vt:variant>
        <vt:i4>5</vt:i4>
      </vt:variant>
      <vt:variant>
        <vt:lpwstr>http://unesdoc.unesco.org/images/0013/001376/137634f.pdf</vt:lpwstr>
      </vt:variant>
      <vt:variant>
        <vt:lpwstr/>
      </vt:variant>
      <vt:variant>
        <vt:i4>8192050</vt:i4>
      </vt:variant>
      <vt:variant>
        <vt:i4>234</vt:i4>
      </vt:variant>
      <vt:variant>
        <vt:i4>0</vt:i4>
      </vt:variant>
      <vt:variant>
        <vt:i4>5</vt:i4>
      </vt:variant>
      <vt:variant>
        <vt:lpwstr>http://portal.unesco.org/fr/ev.php-URL_ID=13179&amp;URL_DO=DO_TOPIC&amp;URL_SECTION=201.html</vt:lpwstr>
      </vt:variant>
      <vt:variant>
        <vt:lpwstr/>
      </vt:variant>
      <vt:variant>
        <vt:i4>7077946</vt:i4>
      </vt:variant>
      <vt:variant>
        <vt:i4>231</vt:i4>
      </vt:variant>
      <vt:variant>
        <vt:i4>0</vt:i4>
      </vt:variant>
      <vt:variant>
        <vt:i4>5</vt:i4>
      </vt:variant>
      <vt:variant>
        <vt:lpwstr>http://portal.unesco.org/la/convention.asp?language=F&amp;KO=17116</vt:lpwstr>
      </vt:variant>
      <vt:variant>
        <vt:lpwstr/>
      </vt:variant>
      <vt:variant>
        <vt:i4>1114112</vt:i4>
      </vt:variant>
      <vt:variant>
        <vt:i4>228</vt:i4>
      </vt:variant>
      <vt:variant>
        <vt:i4>0</vt:i4>
      </vt:variant>
      <vt:variant>
        <vt:i4>5</vt:i4>
      </vt:variant>
      <vt:variant>
        <vt:lpwstr>http://unesdoc.unesco.org/images/0012/001290/129000f.pdf</vt:lpwstr>
      </vt:variant>
      <vt:variant>
        <vt:lpwstr/>
      </vt:variant>
      <vt:variant>
        <vt:i4>7864351</vt:i4>
      </vt:variant>
      <vt:variant>
        <vt:i4>225</vt:i4>
      </vt:variant>
      <vt:variant>
        <vt:i4>0</vt:i4>
      </vt:variant>
      <vt:variant>
        <vt:i4>5</vt:i4>
      </vt:variant>
      <vt:variant>
        <vt:lpwstr>http://portal.unesco.org/fr/ev.php-URL_ID=13649&amp;URL_DO=DO_TOPIC&amp;URL_SECTION=-471.html</vt:lpwstr>
      </vt:variant>
      <vt:variant>
        <vt:lpwstr/>
      </vt:variant>
      <vt:variant>
        <vt:i4>1966088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_Toc319060185</vt:lpwstr>
      </vt:variant>
      <vt:variant>
        <vt:i4>1966089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_Toc319060184</vt:lpwstr>
      </vt:variant>
      <vt:variant>
        <vt:i4>1966094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_Toc319060183</vt:lpwstr>
      </vt:variant>
      <vt:variant>
        <vt:i4>1966095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_Toc319060182</vt:lpwstr>
      </vt:variant>
      <vt:variant>
        <vt:i4>1966093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_Toc319060180</vt:lpwstr>
      </vt:variant>
      <vt:variant>
        <vt:i4>1114117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_Toc319060178</vt:lpwstr>
      </vt:variant>
      <vt:variant>
        <vt:i4>1114122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_Toc319060177</vt:lpwstr>
      </vt:variant>
      <vt:variant>
        <vt:i4>1114123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_Toc319060176</vt:lpwstr>
      </vt:variant>
      <vt:variant>
        <vt:i4>1114120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_Toc319060175</vt:lpwstr>
      </vt:variant>
      <vt:variant>
        <vt:i4>1114121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_Toc319060174</vt:lpwstr>
      </vt:variant>
      <vt:variant>
        <vt:i4>1114126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_Toc319060173</vt:lpwstr>
      </vt:variant>
      <vt:variant>
        <vt:i4>1114127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_Toc319060172</vt:lpwstr>
      </vt:variant>
      <vt:variant>
        <vt:i4>1114124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_Toc319060171</vt:lpwstr>
      </vt:variant>
      <vt:variant>
        <vt:i4>1114125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_Toc319060170</vt:lpwstr>
      </vt:variant>
      <vt:variant>
        <vt:i4>1048580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_Toc319060169</vt:lpwstr>
      </vt:variant>
      <vt:variant>
        <vt:i4>1048581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_Toc319060168</vt:lpwstr>
      </vt:variant>
      <vt:variant>
        <vt:i4>1048586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_Toc319060167</vt:lpwstr>
      </vt:variant>
      <vt:variant>
        <vt:i4>1048587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_Toc319060166</vt:lpwstr>
      </vt:variant>
      <vt:variant>
        <vt:i4>1048584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_Toc319060165</vt:lpwstr>
      </vt:variant>
      <vt:variant>
        <vt:i4>1048585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_Toc319060164</vt:lpwstr>
      </vt:variant>
      <vt:variant>
        <vt:i4>1048590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_Toc319060163</vt:lpwstr>
      </vt:variant>
      <vt:variant>
        <vt:i4>1048591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_Toc319060162</vt:lpwstr>
      </vt:variant>
      <vt:variant>
        <vt:i4>1048588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_Toc319060161</vt:lpwstr>
      </vt:variant>
      <vt:variant>
        <vt:i4>1048589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_Toc319060160</vt:lpwstr>
      </vt:variant>
      <vt:variant>
        <vt:i4>1245188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_Toc319060159</vt:lpwstr>
      </vt:variant>
      <vt:variant>
        <vt:i4>1245189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_Toc319060158</vt:lpwstr>
      </vt:variant>
      <vt:variant>
        <vt:i4>1245194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_Toc319060157</vt:lpwstr>
      </vt:variant>
      <vt:variant>
        <vt:i4>1245195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_Toc319060156</vt:lpwstr>
      </vt:variant>
      <vt:variant>
        <vt:i4>1245192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_Toc319060155</vt:lpwstr>
      </vt:variant>
      <vt:variant>
        <vt:i4>1245193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_Toc319060154</vt:lpwstr>
      </vt:variant>
      <vt:variant>
        <vt:i4>1245198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_Toc319060153</vt:lpwstr>
      </vt:variant>
      <vt:variant>
        <vt:i4>1245199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_Toc319060152</vt:lpwstr>
      </vt:variant>
      <vt:variant>
        <vt:i4>1245196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_Toc319060151</vt:lpwstr>
      </vt:variant>
      <vt:variant>
        <vt:i4>1245197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_Toc319060150</vt:lpwstr>
      </vt:variant>
      <vt:variant>
        <vt:i4>1179652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_Toc319060149</vt:lpwstr>
      </vt:variant>
      <vt:variant>
        <vt:i4>1179653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_Toc319060148</vt:lpwstr>
      </vt:variant>
      <vt:variant>
        <vt:i4>1179658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_Toc319060147</vt:lpwstr>
      </vt:variant>
      <vt:variant>
        <vt:i4>5505075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http://www.unesco.org/culture/ich/doc</vt:lpwstr>
      </vt:variant>
      <vt:variant>
        <vt:lpwstr/>
      </vt:variant>
      <vt:variant>
        <vt:i4>2818091</vt:i4>
      </vt:variant>
      <vt:variant>
        <vt:i4>9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6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  <vt:variant>
        <vt:i4>6553621</vt:i4>
      </vt:variant>
      <vt:variant>
        <vt:i4>3</vt:i4>
      </vt:variant>
      <vt:variant>
        <vt:i4>0</vt:i4>
      </vt:variant>
      <vt:variant>
        <vt:i4>5</vt:i4>
      </vt:variant>
      <vt:variant>
        <vt:lpwstr>http://www.telegraph.co.uk/culture/</vt:lpwstr>
      </vt:variant>
      <vt:variant>
        <vt:lpwstr/>
      </vt:variant>
      <vt:variant>
        <vt:i4>3932209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http://www.unesco.org/culture/ich/index.php?lg=en&amp;pg=00026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U009-v1.0-FN-FRA.docx</dc:title>
  <dc:creator>CLD</dc:creator>
  <cp:keywords>3959.11F</cp:keywords>
  <cp:lastModifiedBy>UNESCO</cp:lastModifiedBy>
  <cp:revision>11</cp:revision>
  <cp:lastPrinted>2014-07-03T10:05:00Z</cp:lastPrinted>
  <dcterms:created xsi:type="dcterms:W3CDTF">2015-09-23T14:19:00Z</dcterms:created>
  <dcterms:modified xsi:type="dcterms:W3CDTF">2015-10-30T14:40:00Z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69761</vt:i4>
  </property>
  <property fmtid="{D5CDD505-2E9C-101B-9397-08002B2CF9AE}" pid="3" name="Language">
    <vt:lpwstr>F</vt:lpwstr>
  </property>
</Properties>
</file>