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463" w:rsidRPr="00D40E5C" w:rsidRDefault="003F3D9A" w:rsidP="004936EF">
      <w:pPr>
        <w:pStyle w:val="Chapitre"/>
        <w:rPr>
          <w:kern w:val="0"/>
          <w:lang w:val="es-ES_tradnl"/>
        </w:rPr>
      </w:pPr>
      <w:bookmarkStart w:id="0" w:name="_Toc241644723"/>
      <w:bookmarkStart w:id="1" w:name="_Toc302374689"/>
      <w:r w:rsidRPr="00D40E5C">
        <w:rPr>
          <w:kern w:val="0"/>
          <w:lang w:val="es-ES_tradnl"/>
        </w:rPr>
        <w:t>Unidad</w:t>
      </w:r>
      <w:r w:rsidR="00C4640B" w:rsidRPr="00D40E5C">
        <w:rPr>
          <w:kern w:val="0"/>
          <w:lang w:val="es-ES_tradnl"/>
        </w:rPr>
        <w:t xml:space="preserve"> </w:t>
      </w:r>
      <w:r w:rsidR="00F77FBA" w:rsidRPr="00D40E5C">
        <w:rPr>
          <w:kern w:val="0"/>
          <w:lang w:val="es-ES_tradnl"/>
        </w:rPr>
        <w:t>9</w:t>
      </w:r>
      <w:bookmarkEnd w:id="0"/>
      <w:r w:rsidR="00D87FC2" w:rsidRPr="00D40E5C">
        <w:rPr>
          <w:b w:val="0"/>
          <w:caps w:val="0"/>
          <w:sz w:val="20"/>
          <w:szCs w:val="20"/>
          <w:lang w:val="es-ES_tradnl" w:eastAsia="es-ES_tradnl"/>
        </w:rPr>
        <w:drawing>
          <wp:anchor distT="0" distB="0" distL="114300" distR="114300" simplePos="0" relativeHeight="251674624" behindDoc="1" locked="1" layoutInCell="1" allowOverlap="0" wp14:anchorId="4E84F8E9" wp14:editId="5E4DD165">
            <wp:simplePos x="0" y="0"/>
            <wp:positionH relativeFrom="margin">
              <wp:posOffset>431800</wp:posOffset>
            </wp:positionH>
            <wp:positionV relativeFrom="margin">
              <wp:posOffset>1980565</wp:posOffset>
            </wp:positionV>
            <wp:extent cx="4870411" cy="4498145"/>
            <wp:effectExtent l="0" t="0" r="6985" b="0"/>
            <wp:wrapNone/>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F13BF6" w:rsidRPr="00D40E5C" w:rsidRDefault="00F13BF6" w:rsidP="004936EF">
      <w:pPr>
        <w:pStyle w:val="UPlan"/>
        <w:rPr>
          <w:sz w:val="44"/>
          <w:szCs w:val="44"/>
          <w:lang w:val="es-ES_tradnl"/>
        </w:rPr>
      </w:pPr>
      <w:bookmarkStart w:id="2" w:name="_Toc241644724"/>
      <w:r w:rsidRPr="00D40E5C">
        <w:rPr>
          <w:kern w:val="0"/>
          <w:sz w:val="44"/>
          <w:szCs w:val="44"/>
          <w:lang w:val="es-ES_tradnl"/>
        </w:rPr>
        <w:t>Salvaguardia</w:t>
      </w:r>
    </w:p>
    <w:p w:rsidR="00D87FC2" w:rsidRPr="00D40E5C" w:rsidRDefault="003F3D9A" w:rsidP="004936EF">
      <w:pPr>
        <w:pStyle w:val="UPlan"/>
        <w:rPr>
          <w:sz w:val="32"/>
          <w:szCs w:val="32"/>
          <w:lang w:val="es-ES_tradnl"/>
        </w:rPr>
      </w:pPr>
      <w:r w:rsidRPr="00D40E5C">
        <w:rPr>
          <w:sz w:val="32"/>
          <w:szCs w:val="32"/>
          <w:lang w:val="es-ES_tradnl"/>
        </w:rPr>
        <w:t>PLAN DE LA LECCIÓN</w:t>
      </w:r>
    </w:p>
    <w:bookmarkEnd w:id="1"/>
    <w:bookmarkEnd w:id="2"/>
    <w:p w:rsidR="00D80463" w:rsidRPr="00D40E5C" w:rsidRDefault="00D80463" w:rsidP="004936EF">
      <w:pPr>
        <w:pStyle w:val="UTit4"/>
        <w:rPr>
          <w:lang w:val="es-ES_tradnl"/>
        </w:rPr>
      </w:pPr>
      <w:r w:rsidRPr="00D40E5C">
        <w:rPr>
          <w:lang w:val="es-ES_tradnl"/>
        </w:rPr>
        <w:t>Dura</w:t>
      </w:r>
      <w:r w:rsidR="003F3D9A" w:rsidRPr="00D40E5C">
        <w:rPr>
          <w:lang w:val="es-ES_tradnl"/>
        </w:rPr>
        <w:t>ció</w:t>
      </w:r>
      <w:r w:rsidRPr="00D40E5C">
        <w:rPr>
          <w:lang w:val="es-ES_tradnl"/>
        </w:rPr>
        <w:t>n:</w:t>
      </w:r>
    </w:p>
    <w:p w:rsidR="00D80463" w:rsidRPr="00D40E5C" w:rsidRDefault="00D80463" w:rsidP="00D87FC2">
      <w:pPr>
        <w:pStyle w:val="UTxt"/>
        <w:rPr>
          <w:lang w:val="es-ES_tradnl" w:eastAsia="en-US"/>
        </w:rPr>
      </w:pPr>
      <w:r w:rsidRPr="00D40E5C">
        <w:rPr>
          <w:lang w:val="es-ES_tradnl" w:eastAsia="en-US"/>
        </w:rPr>
        <w:t>3 ho</w:t>
      </w:r>
      <w:r w:rsidR="003F3D9A" w:rsidRPr="00D40E5C">
        <w:rPr>
          <w:lang w:val="es-ES_tradnl" w:eastAsia="en-US"/>
        </w:rPr>
        <w:t>ra</w:t>
      </w:r>
      <w:r w:rsidRPr="00D40E5C">
        <w:rPr>
          <w:lang w:val="es-ES_tradnl" w:eastAsia="en-US"/>
        </w:rPr>
        <w:t>s</w:t>
      </w:r>
    </w:p>
    <w:p w:rsidR="00D80463" w:rsidRPr="00D40E5C" w:rsidRDefault="003F3D9A" w:rsidP="004936EF">
      <w:pPr>
        <w:pStyle w:val="UTit4"/>
        <w:rPr>
          <w:lang w:val="es-ES_tradnl"/>
        </w:rPr>
      </w:pPr>
      <w:r w:rsidRPr="00D40E5C">
        <w:rPr>
          <w:lang w:val="es-ES_tradnl"/>
        </w:rPr>
        <w:t>Objetivo</w:t>
      </w:r>
      <w:r w:rsidR="00740377">
        <w:rPr>
          <w:lang w:val="es-ES_tradnl"/>
        </w:rPr>
        <w:t>(s):</w:t>
      </w:r>
    </w:p>
    <w:p w:rsidR="00D80463" w:rsidRPr="00D40E5C" w:rsidRDefault="00D80463" w:rsidP="00D87144">
      <w:pPr>
        <w:pStyle w:val="UTxt"/>
        <w:rPr>
          <w:i w:val="0"/>
          <w:lang w:val="es-ES_tradnl"/>
        </w:rPr>
      </w:pPr>
      <w:r w:rsidRPr="00D40E5C">
        <w:rPr>
          <w:i w:val="0"/>
          <w:lang w:val="es-ES_tradnl" w:eastAsia="en-US"/>
        </w:rPr>
        <w:t>Expl</w:t>
      </w:r>
      <w:r w:rsidR="000C590C" w:rsidRPr="00D40E5C">
        <w:rPr>
          <w:i w:val="0"/>
          <w:lang w:val="es-ES_tradnl" w:eastAsia="en-US"/>
        </w:rPr>
        <w:t>icar el concepto de</w:t>
      </w:r>
      <w:r w:rsidRPr="00D40E5C">
        <w:rPr>
          <w:i w:val="0"/>
          <w:lang w:val="es-ES_tradnl" w:eastAsia="en-US"/>
        </w:rPr>
        <w:t xml:space="preserve"> </w:t>
      </w:r>
      <w:r w:rsidR="00A25B8C" w:rsidRPr="00D40E5C">
        <w:rPr>
          <w:i w:val="0"/>
          <w:lang w:val="es-ES_tradnl" w:eastAsia="en-US"/>
        </w:rPr>
        <w:t>salvaguardia</w:t>
      </w:r>
      <w:r w:rsidR="000C590C" w:rsidRPr="00D40E5C">
        <w:rPr>
          <w:i w:val="0"/>
          <w:lang w:val="es-ES_tradnl" w:eastAsia="en-US"/>
        </w:rPr>
        <w:t xml:space="preserve">, tal como se entiende en la </w:t>
      </w:r>
      <w:r w:rsidR="00297B46" w:rsidRPr="00D40E5C">
        <w:rPr>
          <w:i w:val="0"/>
          <w:lang w:val="es-ES_tradnl" w:eastAsia="en-US"/>
        </w:rPr>
        <w:t>Convención</w:t>
      </w:r>
      <w:r w:rsidR="002664E8" w:rsidRPr="00D40E5C">
        <w:rPr>
          <w:i w:val="0"/>
          <w:lang w:val="es-ES_tradnl" w:eastAsia="en-US"/>
        </w:rPr>
        <w:t xml:space="preserve"> </w:t>
      </w:r>
      <w:r w:rsidR="000C590C" w:rsidRPr="00D40E5C">
        <w:rPr>
          <w:i w:val="0"/>
          <w:lang w:val="es-ES_tradnl" w:eastAsia="en-US"/>
        </w:rPr>
        <w:t>para</w:t>
      </w:r>
      <w:r w:rsidR="00F848F4" w:rsidRPr="00D40E5C">
        <w:rPr>
          <w:i w:val="0"/>
          <w:lang w:val="es-ES_tradnl" w:eastAsia="en-US"/>
        </w:rPr>
        <w:t xml:space="preserve"> </w:t>
      </w:r>
      <w:r w:rsidR="00A25B8C" w:rsidRPr="00D40E5C">
        <w:rPr>
          <w:i w:val="0"/>
          <w:lang w:val="es-ES_tradnl" w:eastAsia="en-US"/>
        </w:rPr>
        <w:t>Salvaguardia</w:t>
      </w:r>
      <w:r w:rsidR="00F848F4" w:rsidRPr="00D40E5C">
        <w:rPr>
          <w:i w:val="0"/>
          <w:lang w:val="es-ES_tradnl" w:eastAsia="en-US"/>
        </w:rPr>
        <w:t xml:space="preserve"> </w:t>
      </w:r>
      <w:r w:rsidR="000C590C" w:rsidRPr="00D40E5C">
        <w:rPr>
          <w:i w:val="0"/>
          <w:lang w:val="es-ES_tradnl" w:eastAsia="en-US"/>
        </w:rPr>
        <w:t xml:space="preserve">del Patrimonio </w:t>
      </w:r>
      <w:r w:rsidR="00F848F4" w:rsidRPr="00D40E5C">
        <w:rPr>
          <w:i w:val="0"/>
          <w:lang w:val="es-ES_tradnl" w:eastAsia="en-US"/>
        </w:rPr>
        <w:t xml:space="preserve">Cultural </w:t>
      </w:r>
      <w:r w:rsidR="000C590C" w:rsidRPr="00D40E5C">
        <w:rPr>
          <w:i w:val="0"/>
          <w:lang w:val="es-ES_tradnl" w:eastAsia="en-US"/>
        </w:rPr>
        <w:t>Inmaterial,</w:t>
      </w:r>
      <w:r w:rsidR="00D87144" w:rsidRPr="00D40E5C">
        <w:rPr>
          <w:rStyle w:val="FootnoteReference"/>
          <w:i w:val="0"/>
          <w:lang w:val="es-ES_tradnl" w:eastAsia="en-US"/>
        </w:rPr>
        <w:footnoteReference w:id="1"/>
      </w:r>
      <w:r w:rsidR="00F848F4" w:rsidRPr="00D40E5C">
        <w:rPr>
          <w:i w:val="0"/>
          <w:lang w:val="es-ES_tradnl" w:eastAsia="en-US"/>
        </w:rPr>
        <w:t xml:space="preserve"> </w:t>
      </w:r>
      <w:r w:rsidR="000C590C" w:rsidRPr="00D40E5C">
        <w:rPr>
          <w:i w:val="0"/>
          <w:lang w:val="es-ES_tradnl" w:eastAsia="en-US"/>
        </w:rPr>
        <w:t>e ilustrar con los Estudios de Casos propuestos</w:t>
      </w:r>
      <w:r w:rsidR="00FA04E6" w:rsidRPr="00D40E5C">
        <w:rPr>
          <w:i w:val="0"/>
          <w:lang w:val="es-ES_tradnl" w:eastAsia="en-US"/>
        </w:rPr>
        <w:t xml:space="preserve"> </w:t>
      </w:r>
      <w:r w:rsidR="004F6BDD" w:rsidRPr="00D40E5C">
        <w:rPr>
          <w:i w:val="0"/>
          <w:lang w:val="es-ES_tradnl" w:eastAsia="en-US"/>
        </w:rPr>
        <w:t>cuá</w:t>
      </w:r>
      <w:r w:rsidR="000C590C" w:rsidRPr="00D40E5C">
        <w:rPr>
          <w:i w:val="0"/>
          <w:lang w:val="es-ES_tradnl" w:eastAsia="en-US"/>
        </w:rPr>
        <w:t xml:space="preserve">les son las características de las buenas prácticas de </w:t>
      </w:r>
      <w:r w:rsidR="00A25B8C" w:rsidRPr="00D40E5C">
        <w:rPr>
          <w:i w:val="0"/>
          <w:lang w:val="es-ES_tradnl" w:eastAsia="en-US"/>
        </w:rPr>
        <w:t>salvaguardia</w:t>
      </w:r>
      <w:r w:rsidRPr="00D40E5C">
        <w:rPr>
          <w:i w:val="0"/>
          <w:lang w:val="es-ES_tradnl" w:eastAsia="en-US"/>
        </w:rPr>
        <w:t xml:space="preserve">. </w:t>
      </w:r>
    </w:p>
    <w:p w:rsidR="00D80463" w:rsidRPr="00D40E5C" w:rsidRDefault="00D80463" w:rsidP="004936EF">
      <w:pPr>
        <w:pStyle w:val="UTit4"/>
        <w:rPr>
          <w:lang w:val="es-ES_tradnl"/>
        </w:rPr>
      </w:pPr>
      <w:r w:rsidRPr="00D40E5C">
        <w:rPr>
          <w:lang w:val="es-ES_tradnl"/>
        </w:rPr>
        <w:t>Descrip</w:t>
      </w:r>
      <w:r w:rsidR="003F3D9A" w:rsidRPr="00D40E5C">
        <w:rPr>
          <w:lang w:val="es-ES_tradnl"/>
        </w:rPr>
        <w:t>ció</w:t>
      </w:r>
      <w:r w:rsidR="00740377">
        <w:rPr>
          <w:lang w:val="es-ES_tradnl"/>
        </w:rPr>
        <w:t>n:</w:t>
      </w:r>
    </w:p>
    <w:p w:rsidR="00720F3F" w:rsidRPr="00D40E5C" w:rsidRDefault="000C590C" w:rsidP="00E304A1">
      <w:pPr>
        <w:pStyle w:val="UTxt"/>
        <w:rPr>
          <w:i w:val="0"/>
          <w:lang w:val="es-ES_tradnl"/>
        </w:rPr>
      </w:pPr>
      <w:r w:rsidRPr="00D40E5C">
        <w:rPr>
          <w:i w:val="0"/>
          <w:lang w:val="es-ES_tradnl" w:eastAsia="en-US"/>
        </w:rPr>
        <w:t xml:space="preserve">En esta </w:t>
      </w:r>
      <w:r w:rsidR="00EC66E7" w:rsidRPr="00D40E5C">
        <w:rPr>
          <w:i w:val="0"/>
          <w:lang w:val="es-ES_tradnl" w:eastAsia="en-US"/>
        </w:rPr>
        <w:t>u</w:t>
      </w:r>
      <w:r w:rsidR="004F6BDD" w:rsidRPr="00D40E5C">
        <w:rPr>
          <w:i w:val="0"/>
          <w:lang w:val="es-ES_tradnl" w:eastAsia="en-US"/>
        </w:rPr>
        <w:t>n</w:t>
      </w:r>
      <w:r w:rsidRPr="00D40E5C">
        <w:rPr>
          <w:i w:val="0"/>
          <w:lang w:val="es-ES_tradnl" w:eastAsia="en-US"/>
        </w:rPr>
        <w:t xml:space="preserve">idad se aborda el tema de la </w:t>
      </w:r>
      <w:r w:rsidR="00A25B8C" w:rsidRPr="00D40E5C">
        <w:rPr>
          <w:i w:val="0"/>
          <w:lang w:val="es-ES_tradnl" w:eastAsia="en-US"/>
        </w:rPr>
        <w:t>salvaguardia</w:t>
      </w:r>
      <w:r w:rsidR="004A3B6C" w:rsidRPr="00D40E5C">
        <w:rPr>
          <w:i w:val="0"/>
          <w:lang w:val="es-ES_tradnl" w:eastAsia="en-US"/>
        </w:rPr>
        <w:t xml:space="preserve"> </w:t>
      </w:r>
      <w:r w:rsidRPr="00D40E5C">
        <w:rPr>
          <w:i w:val="0"/>
          <w:lang w:val="es-ES_tradnl" w:eastAsia="en-US"/>
        </w:rPr>
        <w:t>del Patrimonio Cultural Inmaterial</w:t>
      </w:r>
      <w:r w:rsidR="00747833" w:rsidRPr="00D40E5C">
        <w:rPr>
          <w:i w:val="0"/>
          <w:lang w:val="es-ES_tradnl" w:eastAsia="en-US"/>
        </w:rPr>
        <w:t xml:space="preserve"> (</w:t>
      </w:r>
      <w:r w:rsidR="00A25B8C" w:rsidRPr="00D40E5C">
        <w:rPr>
          <w:i w:val="0"/>
          <w:lang w:val="es-ES_tradnl" w:eastAsia="en-US"/>
        </w:rPr>
        <w:t>PCI</w:t>
      </w:r>
      <w:r w:rsidR="00747833" w:rsidRPr="00D40E5C">
        <w:rPr>
          <w:i w:val="0"/>
          <w:lang w:val="es-ES_tradnl" w:eastAsia="en-US"/>
        </w:rPr>
        <w:t>)</w:t>
      </w:r>
      <w:r w:rsidR="004A3B6C" w:rsidRPr="00D40E5C">
        <w:rPr>
          <w:i w:val="0"/>
          <w:lang w:val="es-ES_tradnl" w:eastAsia="en-US"/>
        </w:rPr>
        <w:t xml:space="preserve"> </w:t>
      </w:r>
      <w:r w:rsidRPr="00D40E5C">
        <w:rPr>
          <w:i w:val="0"/>
          <w:lang w:val="es-ES_tradnl"/>
        </w:rPr>
        <w:t xml:space="preserve">en el plano nacional, abarcando tanto las medidas generales de salvaguardia como las actividades </w:t>
      </w:r>
      <w:r w:rsidR="00EC66E7" w:rsidRPr="00D40E5C">
        <w:rPr>
          <w:i w:val="0"/>
          <w:lang w:val="es-ES_tradnl"/>
        </w:rPr>
        <w:t>destinadas a</w:t>
      </w:r>
      <w:r w:rsidRPr="00D40E5C">
        <w:rPr>
          <w:i w:val="0"/>
          <w:lang w:val="es-ES_tradnl"/>
        </w:rPr>
        <w:t xml:space="preserve"> salvaguard</w:t>
      </w:r>
      <w:r w:rsidR="00EC66E7" w:rsidRPr="00D40E5C">
        <w:rPr>
          <w:i w:val="0"/>
          <w:lang w:val="es-ES_tradnl"/>
        </w:rPr>
        <w:t>ar</w:t>
      </w:r>
      <w:r w:rsidRPr="00D40E5C">
        <w:rPr>
          <w:i w:val="0"/>
          <w:lang w:val="es-ES_tradnl"/>
        </w:rPr>
        <w:t xml:space="preserve"> elementos específicos de dicho patrimonio. Los temas tratados son los siguientes</w:t>
      </w:r>
      <w:r w:rsidRPr="00D40E5C">
        <w:rPr>
          <w:i w:val="0"/>
          <w:lang w:val="es-ES_tradnl" w:eastAsia="en-US"/>
        </w:rPr>
        <w:t>:</w:t>
      </w:r>
      <w:r w:rsidR="004A3B6C" w:rsidRPr="00D40E5C">
        <w:rPr>
          <w:i w:val="0"/>
          <w:lang w:val="es-ES_tradnl" w:eastAsia="en-US"/>
        </w:rPr>
        <w:t xml:space="preserve"> </w:t>
      </w:r>
      <w:r w:rsidRPr="00D40E5C">
        <w:rPr>
          <w:i w:val="0"/>
          <w:lang w:val="es-ES_tradnl" w:eastAsia="en-US"/>
        </w:rPr>
        <w:t xml:space="preserve">la </w:t>
      </w:r>
      <w:r w:rsidRPr="00D40E5C">
        <w:rPr>
          <w:i w:val="0"/>
          <w:lang w:val="es-ES_tradnl"/>
        </w:rPr>
        <w:t>salvaguardia según la Convención</w:t>
      </w:r>
      <w:r w:rsidR="00A67C93" w:rsidRPr="00D40E5C">
        <w:rPr>
          <w:i w:val="0"/>
          <w:lang w:val="es-ES_tradnl" w:eastAsia="en-US"/>
        </w:rPr>
        <w:t xml:space="preserve">, </w:t>
      </w:r>
      <w:r w:rsidRPr="00D40E5C">
        <w:rPr>
          <w:i w:val="0"/>
          <w:lang w:val="es-ES_tradnl" w:eastAsia="en-US"/>
        </w:rPr>
        <w:t>los diferentes tipos de</w:t>
      </w:r>
      <w:r w:rsidR="004A3B6C" w:rsidRPr="00D40E5C">
        <w:rPr>
          <w:i w:val="0"/>
          <w:lang w:val="es-ES_tradnl" w:eastAsia="en-US"/>
        </w:rPr>
        <w:t xml:space="preserve"> </w:t>
      </w:r>
      <w:r w:rsidR="00A25B8C" w:rsidRPr="00D40E5C">
        <w:rPr>
          <w:i w:val="0"/>
          <w:lang w:val="es-ES_tradnl" w:eastAsia="en-US"/>
        </w:rPr>
        <w:t>medidas de salvaguardia</w:t>
      </w:r>
      <w:r w:rsidR="00A67C93" w:rsidRPr="00D40E5C">
        <w:rPr>
          <w:i w:val="0"/>
          <w:lang w:val="es-ES_tradnl" w:eastAsia="en-US"/>
        </w:rPr>
        <w:t xml:space="preserve">, </w:t>
      </w:r>
      <w:r w:rsidR="004F6BDD" w:rsidRPr="00D40E5C">
        <w:rPr>
          <w:i w:val="0"/>
          <w:lang w:val="es-ES_tradnl"/>
        </w:rPr>
        <w:t>las amenazas y riesgos que ponen en peligro la viabilidad de los elementos del PCI</w:t>
      </w:r>
      <w:r w:rsidR="00A67C93" w:rsidRPr="00D40E5C">
        <w:rPr>
          <w:i w:val="0"/>
          <w:lang w:val="es-ES_tradnl" w:eastAsia="en-US"/>
        </w:rPr>
        <w:t xml:space="preserve"> </w:t>
      </w:r>
      <w:r w:rsidR="004F6BDD" w:rsidRPr="00D40E5C">
        <w:rPr>
          <w:i w:val="0"/>
          <w:lang w:val="es-ES_tradnl" w:eastAsia="en-US"/>
        </w:rPr>
        <w:t>y la elaboración de</w:t>
      </w:r>
      <w:r w:rsidR="00720F3F" w:rsidRPr="00D40E5C">
        <w:rPr>
          <w:i w:val="0"/>
          <w:lang w:val="es-ES_tradnl" w:eastAsia="en-US"/>
        </w:rPr>
        <w:t xml:space="preserve"> </w:t>
      </w:r>
      <w:r w:rsidR="00A25B8C" w:rsidRPr="00D40E5C">
        <w:rPr>
          <w:i w:val="0"/>
          <w:lang w:val="es-ES_tradnl" w:eastAsia="en-US"/>
        </w:rPr>
        <w:t>planes de salvaguardia</w:t>
      </w:r>
      <w:r w:rsidR="004A3B6C" w:rsidRPr="00D40E5C">
        <w:rPr>
          <w:i w:val="0"/>
          <w:lang w:val="es-ES_tradnl" w:eastAsia="en-US"/>
        </w:rPr>
        <w:t>.</w:t>
      </w:r>
    </w:p>
    <w:p w:rsidR="00D80463" w:rsidRPr="00D40E5C" w:rsidRDefault="003F3D9A" w:rsidP="00D87FC2">
      <w:pPr>
        <w:pStyle w:val="UTxt"/>
        <w:rPr>
          <w:lang w:val="es-ES_tradnl" w:eastAsia="en-US"/>
        </w:rPr>
      </w:pPr>
      <w:r w:rsidRPr="00D40E5C">
        <w:rPr>
          <w:lang w:val="es-ES_tradnl" w:eastAsia="en-US"/>
        </w:rPr>
        <w:t>Secuenciación propuesta</w:t>
      </w:r>
      <w:r w:rsidR="00A67C93" w:rsidRPr="00D40E5C">
        <w:rPr>
          <w:lang w:val="es-ES_tradnl" w:eastAsia="en-US"/>
        </w:rPr>
        <w:t>:</w:t>
      </w:r>
    </w:p>
    <w:p w:rsidR="00D80463" w:rsidRPr="00D40E5C" w:rsidRDefault="000C590C" w:rsidP="004936EF">
      <w:pPr>
        <w:pStyle w:val="Upuce"/>
        <w:rPr>
          <w:lang w:val="es-ES_tradnl"/>
        </w:rPr>
      </w:pPr>
      <w:r w:rsidRPr="00D40E5C">
        <w:rPr>
          <w:lang w:val="es-ES_tradnl"/>
        </w:rPr>
        <w:t>Definición y examen del concepto de s</w:t>
      </w:r>
      <w:r w:rsidR="00A25B8C" w:rsidRPr="00D40E5C">
        <w:rPr>
          <w:lang w:val="es-ES_tradnl"/>
        </w:rPr>
        <w:t>alvaguardia</w:t>
      </w:r>
      <w:r w:rsidR="00EC66E7" w:rsidRPr="00D40E5C">
        <w:rPr>
          <w:lang w:val="es-ES_tradnl"/>
        </w:rPr>
        <w:t>.</w:t>
      </w:r>
    </w:p>
    <w:p w:rsidR="00D80463" w:rsidRPr="00D40E5C" w:rsidRDefault="000C590C" w:rsidP="004936EF">
      <w:pPr>
        <w:pStyle w:val="Upuce"/>
        <w:rPr>
          <w:lang w:val="es-ES_tradnl"/>
        </w:rPr>
      </w:pPr>
      <w:r w:rsidRPr="00D40E5C">
        <w:rPr>
          <w:lang w:val="es-ES_tradnl"/>
        </w:rPr>
        <w:t>Tipos de</w:t>
      </w:r>
      <w:r w:rsidR="00D80463" w:rsidRPr="00D40E5C">
        <w:rPr>
          <w:lang w:val="es-ES_tradnl"/>
        </w:rPr>
        <w:t xml:space="preserve"> </w:t>
      </w:r>
      <w:r w:rsidR="00A25B8C" w:rsidRPr="00D40E5C">
        <w:rPr>
          <w:lang w:val="es-ES_tradnl"/>
        </w:rPr>
        <w:t>medidas de salvaguardia</w:t>
      </w:r>
      <w:r w:rsidR="00EC66E7" w:rsidRPr="00D40E5C">
        <w:rPr>
          <w:lang w:val="es-ES_tradnl"/>
        </w:rPr>
        <w:t>.</w:t>
      </w:r>
    </w:p>
    <w:p w:rsidR="00D80463" w:rsidRPr="00D40E5C" w:rsidRDefault="00EB663D" w:rsidP="004936EF">
      <w:pPr>
        <w:pStyle w:val="Upuce"/>
        <w:rPr>
          <w:lang w:val="es-ES_tradnl"/>
        </w:rPr>
      </w:pPr>
      <w:r w:rsidRPr="00D40E5C">
        <w:rPr>
          <w:lang w:val="es-ES_tradnl"/>
        </w:rPr>
        <w:t>Afrontar</w:t>
      </w:r>
      <w:r w:rsidR="000C590C" w:rsidRPr="00D40E5C">
        <w:rPr>
          <w:lang w:val="es-ES_tradnl"/>
        </w:rPr>
        <w:t xml:space="preserve"> las amenazas </w:t>
      </w:r>
      <w:r w:rsidR="00ED13EE" w:rsidRPr="00D40E5C">
        <w:rPr>
          <w:lang w:val="es-ES_tradnl"/>
        </w:rPr>
        <w:t xml:space="preserve">y </w:t>
      </w:r>
      <w:r w:rsidRPr="00D40E5C">
        <w:rPr>
          <w:lang w:val="es-ES_tradnl"/>
        </w:rPr>
        <w:t xml:space="preserve">los </w:t>
      </w:r>
      <w:r w:rsidR="00ED13EE" w:rsidRPr="00D40E5C">
        <w:rPr>
          <w:lang w:val="es-ES_tradnl"/>
        </w:rPr>
        <w:t xml:space="preserve">riesgos </w:t>
      </w:r>
      <w:r w:rsidRPr="00D40E5C">
        <w:rPr>
          <w:lang w:val="es-ES_tradnl"/>
        </w:rPr>
        <w:t>para</w:t>
      </w:r>
      <w:r w:rsidR="00ED13EE" w:rsidRPr="00D40E5C">
        <w:rPr>
          <w:lang w:val="es-ES_tradnl"/>
        </w:rPr>
        <w:t xml:space="preserve"> la viabilidad</w:t>
      </w:r>
      <w:r w:rsidR="000C590C" w:rsidRPr="00D40E5C">
        <w:rPr>
          <w:lang w:val="es-ES_tradnl"/>
        </w:rPr>
        <w:t xml:space="preserve"> del PCI</w:t>
      </w:r>
      <w:r w:rsidR="00EC66E7" w:rsidRPr="00D40E5C">
        <w:rPr>
          <w:lang w:val="es-ES_tradnl"/>
        </w:rPr>
        <w:t>.</w:t>
      </w:r>
    </w:p>
    <w:p w:rsidR="00D80463" w:rsidRPr="00D40E5C" w:rsidRDefault="00A25B8C" w:rsidP="004936EF">
      <w:pPr>
        <w:pStyle w:val="Upuce"/>
        <w:rPr>
          <w:lang w:val="es-ES_tradnl"/>
        </w:rPr>
      </w:pPr>
      <w:r w:rsidRPr="00D40E5C">
        <w:rPr>
          <w:lang w:val="es-ES_tradnl"/>
        </w:rPr>
        <w:t>Planes de salvaguardia</w:t>
      </w:r>
      <w:r w:rsidR="00EC66E7" w:rsidRPr="00D40E5C">
        <w:rPr>
          <w:lang w:val="es-ES_tradnl"/>
        </w:rPr>
        <w:t>.</w:t>
      </w:r>
    </w:p>
    <w:p w:rsidR="00FB3F97" w:rsidRPr="00D40E5C" w:rsidRDefault="00FB3F97">
      <w:pPr>
        <w:tabs>
          <w:tab w:val="clear" w:pos="567"/>
        </w:tabs>
        <w:snapToGrid/>
        <w:spacing w:before="0" w:after="0"/>
        <w:jc w:val="left"/>
        <w:rPr>
          <w:rFonts w:cs="Times New Roman"/>
          <w:b/>
          <w:bCs/>
          <w:caps/>
          <w:snapToGrid/>
          <w:sz w:val="20"/>
          <w:lang w:val="es-ES_tradnl" w:eastAsia="en-US"/>
        </w:rPr>
      </w:pPr>
      <w:r w:rsidRPr="00D40E5C">
        <w:rPr>
          <w:lang w:val="es-ES_tradnl"/>
        </w:rPr>
        <w:br w:type="page"/>
      </w:r>
    </w:p>
    <w:p w:rsidR="00D80463" w:rsidRPr="00D40E5C" w:rsidRDefault="008904CA" w:rsidP="004936EF">
      <w:pPr>
        <w:pStyle w:val="UTit4"/>
        <w:rPr>
          <w:lang w:val="es-ES_tradnl"/>
        </w:rPr>
      </w:pPr>
      <w:r w:rsidRPr="00D40E5C">
        <w:rPr>
          <w:rFonts w:cs="Arial"/>
          <w:lang w:val="es-ES_tradnl"/>
        </w:rPr>
        <w:lastRenderedPageBreak/>
        <w:t>Documentos auxiliares</w:t>
      </w:r>
      <w:r w:rsidR="00D80463" w:rsidRPr="00D40E5C">
        <w:rPr>
          <w:lang w:val="es-ES_tradnl"/>
        </w:rPr>
        <w:t xml:space="preserve">: </w:t>
      </w:r>
    </w:p>
    <w:p w:rsidR="00ED13EE" w:rsidRPr="00D40E5C" w:rsidRDefault="00ED13EE" w:rsidP="004936EF">
      <w:pPr>
        <w:pStyle w:val="Upuce"/>
        <w:rPr>
          <w:lang w:val="es-ES_tradnl"/>
        </w:rPr>
      </w:pPr>
      <w:r w:rsidRPr="00D40E5C">
        <w:rPr>
          <w:lang w:val="es-ES_tradnl"/>
        </w:rPr>
        <w:t>Guión para el Facilitador de la Unidad 9.</w:t>
      </w:r>
    </w:p>
    <w:p w:rsidR="00D80463" w:rsidRPr="00D40E5C" w:rsidRDefault="008904CA" w:rsidP="004936EF">
      <w:pPr>
        <w:pStyle w:val="Upuce"/>
        <w:rPr>
          <w:lang w:val="es-ES_tradnl"/>
        </w:rPr>
      </w:pPr>
      <w:r w:rsidRPr="00D40E5C">
        <w:rPr>
          <w:lang w:val="es-ES_tradnl"/>
        </w:rPr>
        <w:t xml:space="preserve">Presentación </w:t>
      </w:r>
      <w:r w:rsidR="00ED13EE" w:rsidRPr="00D40E5C">
        <w:rPr>
          <w:lang w:val="es-ES_tradnl"/>
        </w:rPr>
        <w:t>PowerPoint de la Unidad 9</w:t>
      </w:r>
      <w:r w:rsidR="00EC66E7" w:rsidRPr="00D40E5C">
        <w:rPr>
          <w:lang w:val="es-ES_tradnl"/>
        </w:rPr>
        <w:t>.</w:t>
      </w:r>
    </w:p>
    <w:p w:rsidR="00D80463" w:rsidRPr="00D40E5C" w:rsidRDefault="008904CA" w:rsidP="004936EF">
      <w:pPr>
        <w:pStyle w:val="Upuce"/>
        <w:rPr>
          <w:lang w:val="es-ES_tradnl"/>
        </w:rPr>
      </w:pPr>
      <w:r w:rsidRPr="00D40E5C">
        <w:rPr>
          <w:lang w:val="es-ES_tradnl"/>
        </w:rPr>
        <w:t xml:space="preserve">Texto para el Participante de la Unidad </w:t>
      </w:r>
      <w:r w:rsidR="006E239C" w:rsidRPr="00D40E5C">
        <w:rPr>
          <w:lang w:val="es-ES_tradnl"/>
        </w:rPr>
        <w:t>9</w:t>
      </w:r>
      <w:r w:rsidR="00EC66E7" w:rsidRPr="00D40E5C">
        <w:rPr>
          <w:lang w:val="es-ES_tradnl"/>
        </w:rPr>
        <w:t>.</w:t>
      </w:r>
    </w:p>
    <w:p w:rsidR="00D80463" w:rsidRPr="00D40E5C" w:rsidRDefault="008904CA" w:rsidP="004936EF">
      <w:pPr>
        <w:pStyle w:val="Upuce"/>
        <w:rPr>
          <w:lang w:val="es-ES_tradnl"/>
        </w:rPr>
      </w:pPr>
      <w:r w:rsidRPr="00D40E5C">
        <w:rPr>
          <w:lang w:val="es-ES_tradnl"/>
        </w:rPr>
        <w:t>Secciones pertinentes del Texto para el Participante de la Unidad 3</w:t>
      </w:r>
      <w:r w:rsidR="00A76FE8" w:rsidRPr="00D40E5C">
        <w:rPr>
          <w:lang w:val="es-ES_tradnl"/>
        </w:rPr>
        <w:t>, a saber</w:t>
      </w:r>
      <w:r w:rsidR="00D80463" w:rsidRPr="00D40E5C">
        <w:rPr>
          <w:lang w:val="es-ES_tradnl"/>
        </w:rPr>
        <w:t xml:space="preserve">: </w:t>
      </w:r>
      <w:r w:rsidRPr="00D40E5C">
        <w:rPr>
          <w:lang w:val="es-ES_tradnl"/>
        </w:rPr>
        <w:t>“Ámbitos del PCI”</w:t>
      </w:r>
      <w:r w:rsidR="00D80463" w:rsidRPr="00D40E5C">
        <w:rPr>
          <w:lang w:val="es-ES_tradnl"/>
        </w:rPr>
        <w:t xml:space="preserve">, </w:t>
      </w:r>
      <w:r w:rsidR="00FF4A9D" w:rsidRPr="00D40E5C">
        <w:rPr>
          <w:lang w:val="es-ES_tradnl"/>
        </w:rPr>
        <w:t xml:space="preserve">“Amenazas y riesgos”, “Confección de inventarios”, </w:t>
      </w:r>
      <w:r w:rsidRPr="00D40E5C">
        <w:rPr>
          <w:lang w:val="es-ES_tradnl"/>
        </w:rPr>
        <w:t>“</w:t>
      </w:r>
      <w:r w:rsidR="00D80463" w:rsidRPr="00D40E5C">
        <w:rPr>
          <w:lang w:val="es-ES_tradnl"/>
        </w:rPr>
        <w:t>Element</w:t>
      </w:r>
      <w:r w:rsidRPr="00D40E5C">
        <w:rPr>
          <w:lang w:val="es-ES_tradnl"/>
        </w:rPr>
        <w:t>o</w:t>
      </w:r>
      <w:r w:rsidR="00D80463" w:rsidRPr="00D40E5C">
        <w:rPr>
          <w:lang w:val="es-ES_tradnl"/>
        </w:rPr>
        <w:t xml:space="preserve">s </w:t>
      </w:r>
      <w:r w:rsidRPr="00D40E5C">
        <w:rPr>
          <w:lang w:val="es-ES_tradnl"/>
        </w:rPr>
        <w:t>del PCI”</w:t>
      </w:r>
      <w:r w:rsidR="00D80463" w:rsidRPr="00D40E5C">
        <w:rPr>
          <w:lang w:val="es-ES_tradnl"/>
        </w:rPr>
        <w:t xml:space="preserve">, </w:t>
      </w:r>
      <w:r w:rsidRPr="00D40E5C">
        <w:rPr>
          <w:lang w:val="es-ES_tradnl"/>
        </w:rPr>
        <w:t>“</w:t>
      </w:r>
      <w:r w:rsidR="00D80463" w:rsidRPr="00D40E5C">
        <w:rPr>
          <w:lang w:val="es-ES_tradnl"/>
        </w:rPr>
        <w:t>Identifica</w:t>
      </w:r>
      <w:r w:rsidRPr="00D40E5C">
        <w:rPr>
          <w:lang w:val="es-ES_tradnl"/>
        </w:rPr>
        <w:t>ción</w:t>
      </w:r>
      <w:r w:rsidR="00D80463" w:rsidRPr="00D40E5C">
        <w:rPr>
          <w:lang w:val="es-ES_tradnl"/>
        </w:rPr>
        <w:t xml:space="preserve"> </w:t>
      </w:r>
      <w:r w:rsidRPr="00D40E5C">
        <w:rPr>
          <w:lang w:val="es-ES_tradnl"/>
        </w:rPr>
        <w:t>y definición”</w:t>
      </w:r>
      <w:r w:rsidR="006D0F52" w:rsidRPr="00D40E5C">
        <w:rPr>
          <w:lang w:val="es-ES_tradnl"/>
        </w:rPr>
        <w:t xml:space="preserve">, “Preservación y protección”, </w:t>
      </w:r>
      <w:r w:rsidRPr="00D40E5C">
        <w:rPr>
          <w:lang w:val="es-ES_tradnl"/>
        </w:rPr>
        <w:t>“</w:t>
      </w:r>
      <w:r w:rsidR="00D80463" w:rsidRPr="00D40E5C">
        <w:rPr>
          <w:lang w:val="es-ES_tradnl"/>
        </w:rPr>
        <w:t>Promo</w:t>
      </w:r>
      <w:r w:rsidRPr="00D40E5C">
        <w:rPr>
          <w:lang w:val="es-ES_tradnl"/>
        </w:rPr>
        <w:t>ción</w:t>
      </w:r>
      <w:r w:rsidR="00D80463" w:rsidRPr="00D40E5C">
        <w:rPr>
          <w:lang w:val="es-ES_tradnl"/>
        </w:rPr>
        <w:t xml:space="preserve"> </w:t>
      </w:r>
      <w:r w:rsidRPr="00D40E5C">
        <w:rPr>
          <w:lang w:val="es-ES_tradnl"/>
        </w:rPr>
        <w:t xml:space="preserve">y </w:t>
      </w:r>
      <w:r w:rsidR="006D0F52" w:rsidRPr="00D40E5C">
        <w:rPr>
          <w:lang w:val="es-ES_tradnl"/>
        </w:rPr>
        <w:t>valorización</w:t>
      </w:r>
      <w:r w:rsidRPr="00D40E5C">
        <w:rPr>
          <w:lang w:val="es-ES_tradnl"/>
        </w:rPr>
        <w:t>”</w:t>
      </w:r>
      <w:r w:rsidR="00D80463" w:rsidRPr="00D40E5C">
        <w:rPr>
          <w:lang w:val="es-ES_tradnl"/>
        </w:rPr>
        <w:t xml:space="preserve">, </w:t>
      </w:r>
      <w:r w:rsidRPr="00D40E5C">
        <w:rPr>
          <w:lang w:val="es-ES_tradnl"/>
        </w:rPr>
        <w:t>“Respe</w:t>
      </w:r>
      <w:r w:rsidR="00D80463" w:rsidRPr="00D40E5C">
        <w:rPr>
          <w:lang w:val="es-ES_tradnl"/>
        </w:rPr>
        <w:t>t</w:t>
      </w:r>
      <w:r w:rsidRPr="00D40E5C">
        <w:rPr>
          <w:lang w:val="es-ES_tradnl"/>
        </w:rPr>
        <w:t>o”</w:t>
      </w:r>
      <w:r w:rsidR="00D80463" w:rsidRPr="00D40E5C">
        <w:rPr>
          <w:lang w:val="es-ES_tradnl"/>
        </w:rPr>
        <w:t xml:space="preserve">, </w:t>
      </w:r>
      <w:r w:rsidRPr="00D40E5C">
        <w:rPr>
          <w:lang w:val="es-ES_tradnl"/>
        </w:rPr>
        <w:t>“</w:t>
      </w:r>
      <w:r w:rsidR="00D80463" w:rsidRPr="00D40E5C">
        <w:rPr>
          <w:lang w:val="es-ES_tradnl"/>
        </w:rPr>
        <w:t>Revitaliza</w:t>
      </w:r>
      <w:r w:rsidRPr="00D40E5C">
        <w:rPr>
          <w:lang w:val="es-ES_tradnl"/>
        </w:rPr>
        <w:t>ción”</w:t>
      </w:r>
      <w:r w:rsidR="00D80463" w:rsidRPr="00D40E5C">
        <w:rPr>
          <w:lang w:val="es-ES_tradnl"/>
        </w:rPr>
        <w:t xml:space="preserve">, </w:t>
      </w:r>
      <w:r w:rsidRPr="00D40E5C">
        <w:rPr>
          <w:lang w:val="es-ES_tradnl"/>
        </w:rPr>
        <w:t>“</w:t>
      </w:r>
      <w:r w:rsidR="00D80463" w:rsidRPr="00D40E5C">
        <w:rPr>
          <w:lang w:val="es-ES_tradnl"/>
        </w:rPr>
        <w:t>Sa</w:t>
      </w:r>
      <w:r w:rsidRPr="00D40E5C">
        <w:rPr>
          <w:lang w:val="es-ES_tradnl"/>
        </w:rPr>
        <w:t>lvaguardia y medidas de salvaguardia”</w:t>
      </w:r>
      <w:r w:rsidR="00D80463" w:rsidRPr="00D40E5C">
        <w:rPr>
          <w:lang w:val="es-ES_tradnl"/>
        </w:rPr>
        <w:t xml:space="preserve">, </w:t>
      </w:r>
      <w:r w:rsidR="00FF4A9D" w:rsidRPr="00D40E5C">
        <w:rPr>
          <w:lang w:val="es-ES_tradnl"/>
        </w:rPr>
        <w:t xml:space="preserve">“Sensibilización” </w:t>
      </w:r>
      <w:r w:rsidRPr="00D40E5C">
        <w:rPr>
          <w:lang w:val="es-ES_tradnl"/>
        </w:rPr>
        <w:t>y</w:t>
      </w:r>
      <w:r w:rsidR="00D80463" w:rsidRPr="00D40E5C">
        <w:rPr>
          <w:lang w:val="es-ES_tradnl"/>
        </w:rPr>
        <w:t xml:space="preserve"> </w:t>
      </w:r>
      <w:r w:rsidRPr="00D40E5C">
        <w:rPr>
          <w:lang w:val="es-ES_tradnl"/>
        </w:rPr>
        <w:t>“</w:t>
      </w:r>
      <w:r w:rsidR="00D80463" w:rsidRPr="00D40E5C">
        <w:rPr>
          <w:lang w:val="es-ES_tradnl"/>
        </w:rPr>
        <w:t>Viabil</w:t>
      </w:r>
      <w:r w:rsidRPr="00D40E5C">
        <w:rPr>
          <w:lang w:val="es-ES_tradnl"/>
        </w:rPr>
        <w:t>idad</w:t>
      </w:r>
      <w:r w:rsidR="00B41515" w:rsidRPr="00D40E5C">
        <w:rPr>
          <w:lang w:val="es-ES_tradnl"/>
        </w:rPr>
        <w:t>”</w:t>
      </w:r>
      <w:r w:rsidR="00EC66E7" w:rsidRPr="00D40E5C">
        <w:rPr>
          <w:lang w:val="es-ES_tradnl"/>
        </w:rPr>
        <w:t>.</w:t>
      </w:r>
    </w:p>
    <w:p w:rsidR="00D80463" w:rsidRPr="00D40E5C" w:rsidRDefault="008904CA" w:rsidP="004936EF">
      <w:pPr>
        <w:pStyle w:val="Upuce"/>
        <w:rPr>
          <w:lang w:val="es-ES_tradnl"/>
        </w:rPr>
      </w:pPr>
      <w:r w:rsidRPr="00D40E5C">
        <w:rPr>
          <w:lang w:val="es-ES_tradnl"/>
        </w:rPr>
        <w:t xml:space="preserve">Estudios de Casos </w:t>
      </w:r>
      <w:r w:rsidR="00D80463" w:rsidRPr="00D40E5C">
        <w:rPr>
          <w:lang w:val="es-ES_tradnl"/>
        </w:rPr>
        <w:t>21</w:t>
      </w:r>
      <w:r w:rsidR="00353472" w:rsidRPr="00D40E5C">
        <w:rPr>
          <w:lang w:val="es-ES_tradnl"/>
        </w:rPr>
        <w:t xml:space="preserve"> a </w:t>
      </w:r>
      <w:r w:rsidR="00D80463" w:rsidRPr="00D40E5C">
        <w:rPr>
          <w:lang w:val="es-ES_tradnl"/>
        </w:rPr>
        <w:t>27</w:t>
      </w:r>
      <w:r w:rsidR="00ED13EE" w:rsidRPr="00D40E5C">
        <w:rPr>
          <w:lang w:val="es-ES_tradnl"/>
        </w:rPr>
        <w:t>.</w:t>
      </w:r>
    </w:p>
    <w:p w:rsidR="008652EA" w:rsidRPr="00D40E5C" w:rsidRDefault="00ED13EE" w:rsidP="004936EF">
      <w:pPr>
        <w:pStyle w:val="Upuce"/>
        <w:rPr>
          <w:lang w:val="es-ES_tradnl"/>
        </w:rPr>
      </w:pPr>
      <w:r w:rsidRPr="00D40E5C">
        <w:rPr>
          <w:lang w:val="es-ES_tradnl"/>
        </w:rPr>
        <w:t>Folleto 3.a de la Unidad 42</w:t>
      </w:r>
      <w:r w:rsidR="00152916" w:rsidRPr="00D40E5C">
        <w:rPr>
          <w:lang w:val="es-ES_tradnl"/>
        </w:rPr>
        <w:t>, relativo al modelo de simulación de candidatura</w:t>
      </w:r>
      <w:r w:rsidR="00D40E5C" w:rsidRPr="00D40E5C">
        <w:rPr>
          <w:lang w:val="es-ES_tradnl"/>
        </w:rPr>
        <w:t xml:space="preserve"> </w:t>
      </w:r>
      <w:r w:rsidR="00152916" w:rsidRPr="00D40E5C">
        <w:rPr>
          <w:lang w:val="es-ES_tradnl"/>
        </w:rPr>
        <w:t>final</w:t>
      </w:r>
      <w:r w:rsidR="00D40E5C" w:rsidRPr="00D40E5C">
        <w:rPr>
          <w:lang w:val="es-ES_tradnl"/>
        </w:rPr>
        <w:t xml:space="preserve"> </w:t>
      </w:r>
      <w:r w:rsidR="00152916" w:rsidRPr="00D40E5C">
        <w:rPr>
          <w:lang w:val="es-ES_tradnl"/>
        </w:rPr>
        <w:t>del elemento “Música y canto fonabal”</w:t>
      </w:r>
      <w:r w:rsidR="00D5454C" w:rsidRPr="00D40E5C">
        <w:rPr>
          <w:lang w:val="es-ES_tradnl"/>
        </w:rPr>
        <w:t>.</w:t>
      </w:r>
    </w:p>
    <w:p w:rsidR="00ED13EE" w:rsidRPr="00D40E5C" w:rsidRDefault="008652EA" w:rsidP="004936EF">
      <w:pPr>
        <w:pStyle w:val="Upuce"/>
        <w:rPr>
          <w:lang w:val="es-ES_tradnl"/>
        </w:rPr>
      </w:pPr>
      <w:r w:rsidRPr="00D40E5C">
        <w:rPr>
          <w:lang w:val="es-ES_tradnl"/>
        </w:rPr>
        <w:t>Textos fundamentales de la Convención para la Salvaguardia del Patrimonio Cultural Inmaterial de 2003.</w:t>
      </w:r>
      <w:r w:rsidRPr="00D40E5C">
        <w:rPr>
          <w:rStyle w:val="FootnoteReference"/>
          <w:lang w:val="es-ES_tradnl"/>
        </w:rPr>
        <w:footnoteReference w:id="2"/>
      </w:r>
    </w:p>
    <w:p w:rsidR="00335B73" w:rsidRPr="00D40E5C" w:rsidRDefault="008904CA" w:rsidP="004936EF">
      <w:pPr>
        <w:pStyle w:val="Soustitre"/>
        <w:rPr>
          <w:lang w:val="es-ES_tradnl"/>
        </w:rPr>
      </w:pPr>
      <w:bookmarkStart w:id="3" w:name="_Toc238982240"/>
      <w:r w:rsidRPr="00D40E5C">
        <w:rPr>
          <w:lang w:val="es-ES_tradnl"/>
        </w:rPr>
        <w:t xml:space="preserve">Notas </w:t>
      </w:r>
      <w:bookmarkEnd w:id="3"/>
      <w:r w:rsidRPr="00D40E5C">
        <w:rPr>
          <w:lang w:val="es-ES_tradnl"/>
        </w:rPr>
        <w:t>y sugerencias</w:t>
      </w:r>
    </w:p>
    <w:p w:rsidR="00F65945" w:rsidRPr="00D40E5C" w:rsidRDefault="004F6BDD" w:rsidP="00CB657A">
      <w:pPr>
        <w:pStyle w:val="Texte1"/>
        <w:rPr>
          <w:lang w:val="es-ES_tradnl"/>
        </w:rPr>
      </w:pPr>
      <w:r w:rsidRPr="00D40E5C">
        <w:rPr>
          <w:lang w:val="es-ES_tradnl"/>
        </w:rPr>
        <w:t xml:space="preserve">En esta </w:t>
      </w:r>
      <w:r w:rsidR="00EC66E7" w:rsidRPr="00D40E5C">
        <w:rPr>
          <w:lang w:val="es-ES_tradnl"/>
        </w:rPr>
        <w:t>Unidad</w:t>
      </w:r>
      <w:r w:rsidRPr="00D40E5C">
        <w:rPr>
          <w:lang w:val="es-ES_tradnl"/>
        </w:rPr>
        <w:t xml:space="preserve"> se utiliza el ejemplo de la ceremonia ritual mexicana de los Voladores</w:t>
      </w:r>
      <w:r w:rsidR="006F341D" w:rsidRPr="00D40E5C">
        <w:rPr>
          <w:lang w:val="es-ES_tradnl"/>
        </w:rPr>
        <w:t xml:space="preserve"> </w:t>
      </w:r>
      <w:r w:rsidR="005A2AAF" w:rsidRPr="00D40E5C">
        <w:rPr>
          <w:lang w:val="es-ES_tradnl"/>
        </w:rPr>
        <w:t>(</w:t>
      </w:r>
      <w:r w:rsidR="00353472" w:rsidRPr="00D40E5C">
        <w:rPr>
          <w:lang w:val="es-ES_tradnl"/>
        </w:rPr>
        <w:t>Estudio de Caso</w:t>
      </w:r>
      <w:r w:rsidR="00442E1A" w:rsidRPr="00D40E5C">
        <w:rPr>
          <w:lang w:val="es-ES_tradnl"/>
        </w:rPr>
        <w:t> </w:t>
      </w:r>
      <w:r w:rsidR="00B577F8" w:rsidRPr="00D40E5C">
        <w:rPr>
          <w:lang w:val="es-ES_tradnl"/>
        </w:rPr>
        <w:t>22</w:t>
      </w:r>
      <w:r w:rsidR="005A2AAF" w:rsidRPr="00D40E5C">
        <w:rPr>
          <w:lang w:val="es-ES_tradnl"/>
        </w:rPr>
        <w:t xml:space="preserve">) </w:t>
      </w:r>
      <w:r w:rsidRPr="00D40E5C">
        <w:rPr>
          <w:lang w:val="es-ES_tradnl"/>
        </w:rPr>
        <w:t xml:space="preserve">como elemento de base para ilustrar el concepto de medidas de salvaguardia </w:t>
      </w:r>
      <w:r w:rsidR="00EC66E7" w:rsidRPr="00D40E5C">
        <w:rPr>
          <w:lang w:val="es-ES_tradnl"/>
        </w:rPr>
        <w:t>destinadas a</w:t>
      </w:r>
      <w:r w:rsidRPr="00D40E5C">
        <w:rPr>
          <w:lang w:val="es-ES_tradnl"/>
        </w:rPr>
        <w:t xml:space="preserve"> afronta</w:t>
      </w:r>
      <w:r w:rsidR="00EC66E7" w:rsidRPr="00D40E5C">
        <w:rPr>
          <w:lang w:val="es-ES_tradnl"/>
        </w:rPr>
        <w:t>r</w:t>
      </w:r>
      <w:r w:rsidRPr="00D40E5C">
        <w:rPr>
          <w:lang w:val="es-ES_tradnl"/>
        </w:rPr>
        <w:t xml:space="preserve"> los riesgos</w:t>
      </w:r>
      <w:r w:rsidR="006F341D" w:rsidRPr="00D40E5C">
        <w:rPr>
          <w:lang w:val="es-ES_tradnl"/>
        </w:rPr>
        <w:t xml:space="preserve"> </w:t>
      </w:r>
      <w:r w:rsidRPr="00D40E5C">
        <w:rPr>
          <w:lang w:val="es-ES_tradnl"/>
        </w:rPr>
        <w:t>que pueden correr los elementos del PCI</w:t>
      </w:r>
      <w:r w:rsidR="006F341D" w:rsidRPr="00D40E5C">
        <w:rPr>
          <w:lang w:val="es-ES_tradnl"/>
        </w:rPr>
        <w:t xml:space="preserve">. </w:t>
      </w:r>
      <w:r w:rsidRPr="00D40E5C">
        <w:rPr>
          <w:lang w:val="es-ES_tradnl"/>
        </w:rPr>
        <w:t>El facilitador puede seleccionar otros estudios de casos</w:t>
      </w:r>
      <w:r w:rsidR="00EC66E7" w:rsidRPr="00D40E5C">
        <w:rPr>
          <w:lang w:val="es-ES_tradnl"/>
        </w:rPr>
        <w:t>,</w:t>
      </w:r>
      <w:r w:rsidRPr="00D40E5C">
        <w:rPr>
          <w:lang w:val="es-ES_tradnl"/>
        </w:rPr>
        <w:t xml:space="preserve"> o proporcionar otros ejemplos susceptibles de ilustrar los temas esenciales tratados en la presente</w:t>
      </w:r>
      <w:r w:rsidR="005A2AAF" w:rsidRPr="00D40E5C">
        <w:rPr>
          <w:lang w:val="es-ES_tradnl"/>
        </w:rPr>
        <w:t xml:space="preserve"> </w:t>
      </w:r>
      <w:r w:rsidR="00EC66E7" w:rsidRPr="00D40E5C">
        <w:rPr>
          <w:lang w:val="es-ES_tradnl"/>
        </w:rPr>
        <w:t>unidad</w:t>
      </w:r>
      <w:r w:rsidR="00251B25" w:rsidRPr="00D40E5C">
        <w:rPr>
          <w:lang w:val="es-ES_tradnl"/>
        </w:rPr>
        <w:t xml:space="preserve">. </w:t>
      </w:r>
      <w:r w:rsidRPr="00D40E5C">
        <w:rPr>
          <w:lang w:val="es-ES_tradnl"/>
        </w:rPr>
        <w:t>Se puede pedir a los participantes, por ejemplo, que elaboren por escrito un plan de salvaguardia para un estudio</w:t>
      </w:r>
      <w:r w:rsidR="00F6697F" w:rsidRPr="00D40E5C">
        <w:rPr>
          <w:lang w:val="es-ES_tradnl"/>
        </w:rPr>
        <w:t xml:space="preserve"> </w:t>
      </w:r>
      <w:r w:rsidRPr="00D40E5C">
        <w:rPr>
          <w:lang w:val="es-ES_tradnl"/>
        </w:rPr>
        <w:t>de caso</w:t>
      </w:r>
      <w:r w:rsidR="00AD4013" w:rsidRPr="00D40E5C">
        <w:rPr>
          <w:lang w:val="es-ES_tradnl"/>
        </w:rPr>
        <w:t xml:space="preserve"> local</w:t>
      </w:r>
      <w:r w:rsidR="00545B7B" w:rsidRPr="00D40E5C">
        <w:rPr>
          <w:lang w:val="es-ES_tradnl"/>
        </w:rPr>
        <w:t>,</w:t>
      </w:r>
      <w:r w:rsidR="00F6697F" w:rsidRPr="00D40E5C">
        <w:rPr>
          <w:lang w:val="es-ES_tradnl"/>
        </w:rPr>
        <w:t xml:space="preserve"> </w:t>
      </w:r>
      <w:r w:rsidRPr="00D40E5C">
        <w:rPr>
          <w:lang w:val="es-ES_tradnl"/>
        </w:rPr>
        <w:t xml:space="preserve">recurriendo al </w:t>
      </w:r>
      <w:r w:rsidR="00152916" w:rsidRPr="00D40E5C">
        <w:rPr>
          <w:lang w:val="es-ES_tradnl"/>
        </w:rPr>
        <w:t>cuadro de</w:t>
      </w:r>
      <w:r w:rsidR="00545B7B" w:rsidRPr="00D40E5C">
        <w:rPr>
          <w:lang w:val="es-ES_tradnl"/>
        </w:rPr>
        <w:t xml:space="preserve"> plan </w:t>
      </w:r>
      <w:r w:rsidR="0003387C" w:rsidRPr="00D40E5C">
        <w:rPr>
          <w:lang w:val="es-ES_tradnl"/>
        </w:rPr>
        <w:t xml:space="preserve">de salvaguardia </w:t>
      </w:r>
      <w:r w:rsidR="00FB3A55" w:rsidRPr="00D40E5C">
        <w:rPr>
          <w:lang w:val="es-ES_tradnl"/>
        </w:rPr>
        <w:t>que figura</w:t>
      </w:r>
      <w:r w:rsidR="0004751E" w:rsidRPr="00D40E5C">
        <w:rPr>
          <w:lang w:val="es-ES_tradnl"/>
        </w:rPr>
        <w:t xml:space="preserve"> en la sección del presente documento dedicada a la Diapositiva 17 y que se </w:t>
      </w:r>
      <w:r w:rsidR="00FB3A55" w:rsidRPr="00D40E5C">
        <w:rPr>
          <w:lang w:val="es-ES_tradnl"/>
        </w:rPr>
        <w:t>ha extraído</w:t>
      </w:r>
      <w:r w:rsidR="006F665E" w:rsidRPr="00D40E5C">
        <w:rPr>
          <w:lang w:val="es-ES_tradnl"/>
        </w:rPr>
        <w:t xml:space="preserve"> </w:t>
      </w:r>
      <w:r w:rsidR="00FB3A55" w:rsidRPr="00D40E5C">
        <w:rPr>
          <w:lang w:val="es-ES_tradnl"/>
        </w:rPr>
        <w:t>d</w:t>
      </w:r>
      <w:r w:rsidR="006F665E" w:rsidRPr="00D40E5C">
        <w:rPr>
          <w:lang w:val="es-ES_tradnl"/>
        </w:rPr>
        <w:t>el Folleto 3.a de la Unidad 42</w:t>
      </w:r>
      <w:r w:rsidR="00FB3A55" w:rsidRPr="00D40E5C">
        <w:rPr>
          <w:lang w:val="es-ES_tradnl"/>
        </w:rPr>
        <w:t xml:space="preserve"> relativo </w:t>
      </w:r>
      <w:r w:rsidR="0003387C" w:rsidRPr="00D40E5C">
        <w:rPr>
          <w:lang w:val="es-ES_tradnl"/>
        </w:rPr>
        <w:t>al modelo de simulación de candidatura</w:t>
      </w:r>
      <w:r w:rsidR="00D40E5C" w:rsidRPr="00D40E5C">
        <w:rPr>
          <w:lang w:val="es-ES_tradnl"/>
        </w:rPr>
        <w:t xml:space="preserve"> </w:t>
      </w:r>
      <w:r w:rsidR="0003387C" w:rsidRPr="00D40E5C">
        <w:rPr>
          <w:lang w:val="es-ES_tradnl"/>
        </w:rPr>
        <w:t>final</w:t>
      </w:r>
      <w:r w:rsidR="00D40E5C" w:rsidRPr="00D40E5C">
        <w:rPr>
          <w:lang w:val="es-ES_tradnl"/>
        </w:rPr>
        <w:t xml:space="preserve"> </w:t>
      </w:r>
      <w:r w:rsidR="0003387C" w:rsidRPr="00D40E5C">
        <w:rPr>
          <w:lang w:val="es-ES_tradnl"/>
        </w:rPr>
        <w:t xml:space="preserve">del elemento “Música y canto fonabal”. </w:t>
      </w:r>
      <w:r w:rsidR="00CB657A" w:rsidRPr="00D40E5C">
        <w:rPr>
          <w:rFonts w:eastAsia="Times New Roman"/>
          <w:lang w:val="es-ES_tradnl"/>
        </w:rPr>
        <w:t>Para orientar los debates del taller también se han incluido algunas preguntas modelo en las secciones dedicadas a la</w:t>
      </w:r>
      <w:r w:rsidR="0003387C" w:rsidRPr="00D40E5C">
        <w:rPr>
          <w:rFonts w:eastAsia="Times New Roman"/>
          <w:lang w:val="es-ES_tradnl"/>
        </w:rPr>
        <w:t>s</w:t>
      </w:r>
      <w:r w:rsidR="00CB657A" w:rsidRPr="00D40E5C">
        <w:rPr>
          <w:rFonts w:eastAsia="Times New Roman"/>
          <w:lang w:val="es-ES_tradnl"/>
        </w:rPr>
        <w:t xml:space="preserve"> Diapositiva</w:t>
      </w:r>
      <w:r w:rsidR="007E3550" w:rsidRPr="00D40E5C">
        <w:rPr>
          <w:rFonts w:eastAsia="Times New Roman"/>
          <w:lang w:val="es-ES_tradnl"/>
        </w:rPr>
        <w:t>s 21 y 22, que se refieren, respectivamente, a los Estudios de Casos 26 y 27 sobre “La f</w:t>
      </w:r>
      <w:r w:rsidR="00CB657A" w:rsidRPr="00D40E5C">
        <w:rPr>
          <w:rFonts w:eastAsia="Times New Roman"/>
          <w:lang w:val="es-ES_tradnl"/>
        </w:rPr>
        <w:t xml:space="preserve">iesta de Año Nuevo de los </w:t>
      </w:r>
      <w:r w:rsidR="00CB657A" w:rsidRPr="00D40E5C">
        <w:rPr>
          <w:lang w:val="es-ES_tradnl"/>
        </w:rPr>
        <w:t>qiang</w:t>
      </w:r>
      <w:r w:rsidR="007E3550" w:rsidRPr="00D40E5C">
        <w:rPr>
          <w:lang w:val="es-ES_tradnl"/>
        </w:rPr>
        <w:t>”</w:t>
      </w:r>
      <w:r w:rsidR="00CB657A" w:rsidRPr="00D40E5C">
        <w:rPr>
          <w:lang w:val="es-ES_tradnl"/>
        </w:rPr>
        <w:t xml:space="preserve"> </w:t>
      </w:r>
      <w:r w:rsidR="007E3550" w:rsidRPr="00D40E5C">
        <w:rPr>
          <w:lang w:val="es-ES_tradnl"/>
        </w:rPr>
        <w:t xml:space="preserve">(China) </w:t>
      </w:r>
      <w:r w:rsidR="00CB657A" w:rsidRPr="00D40E5C">
        <w:rPr>
          <w:lang w:val="es-ES_tradnl"/>
        </w:rPr>
        <w:t xml:space="preserve">y </w:t>
      </w:r>
      <w:r w:rsidR="007E3550" w:rsidRPr="00D40E5C">
        <w:rPr>
          <w:lang w:val="es-ES_tradnl"/>
        </w:rPr>
        <w:t>“</w:t>
      </w:r>
      <w:r w:rsidR="00CB657A" w:rsidRPr="00D40E5C">
        <w:rPr>
          <w:lang w:val="es-ES_tradnl"/>
        </w:rPr>
        <w:t xml:space="preserve">El </w:t>
      </w:r>
      <w:r w:rsidR="00CB657A" w:rsidRPr="00D40E5C">
        <w:rPr>
          <w:i/>
          <w:lang w:val="es-ES_tradnl"/>
        </w:rPr>
        <w:t>b</w:t>
      </w:r>
      <w:r w:rsidR="0007153C" w:rsidRPr="00D40E5C">
        <w:rPr>
          <w:i/>
          <w:lang w:val="es-ES_tradnl"/>
        </w:rPr>
        <w:t>iyelgee</w:t>
      </w:r>
      <w:r w:rsidR="007E3550" w:rsidRPr="00D40E5C">
        <w:rPr>
          <w:lang w:val="es-ES_tradnl"/>
        </w:rPr>
        <w:t>, danza popular</w:t>
      </w:r>
      <w:r w:rsidR="0007153C" w:rsidRPr="00D40E5C">
        <w:rPr>
          <w:lang w:val="es-ES_tradnl"/>
        </w:rPr>
        <w:t xml:space="preserve"> </w:t>
      </w:r>
      <w:r w:rsidR="007E3550" w:rsidRPr="00D40E5C">
        <w:rPr>
          <w:lang w:val="es-ES_tradnl"/>
        </w:rPr>
        <w:t>tradicional</w:t>
      </w:r>
      <w:r w:rsidR="00A76FE8" w:rsidRPr="00D40E5C">
        <w:rPr>
          <w:lang w:val="es-ES_tradnl"/>
        </w:rPr>
        <w:t>”</w:t>
      </w:r>
      <w:r w:rsidR="007E3550" w:rsidRPr="00D40E5C">
        <w:rPr>
          <w:lang w:val="es-ES_tradnl"/>
        </w:rPr>
        <w:t xml:space="preserve"> (</w:t>
      </w:r>
      <w:r w:rsidR="0007153C" w:rsidRPr="00D40E5C">
        <w:rPr>
          <w:lang w:val="es-ES_tradnl"/>
        </w:rPr>
        <w:t>Mongolia)</w:t>
      </w:r>
      <w:r w:rsidR="00D87FC2" w:rsidRPr="00D40E5C">
        <w:rPr>
          <w:lang w:val="es-ES_tradnl"/>
        </w:rPr>
        <w:t>.</w:t>
      </w:r>
      <w:r w:rsidR="00F65945" w:rsidRPr="00D40E5C">
        <w:rPr>
          <w:lang w:val="es-ES_tradnl"/>
        </w:rPr>
        <w:br w:type="page"/>
      </w:r>
    </w:p>
    <w:p w:rsidR="00B43D05" w:rsidRPr="00D40E5C" w:rsidRDefault="00C4640B" w:rsidP="004936EF">
      <w:pPr>
        <w:pStyle w:val="Chapitre"/>
        <w:rPr>
          <w:kern w:val="0"/>
          <w:lang w:val="es-ES_tradnl"/>
        </w:rPr>
      </w:pPr>
      <w:bookmarkStart w:id="4" w:name="_Toc241644725"/>
      <w:bookmarkStart w:id="5" w:name="_Toc302374690"/>
      <w:r w:rsidRPr="00D40E5C">
        <w:rPr>
          <w:kern w:val="0"/>
          <w:lang w:val="es-ES_tradnl"/>
        </w:rPr>
        <w:lastRenderedPageBreak/>
        <w:t>Uni</w:t>
      </w:r>
      <w:r w:rsidR="008904CA" w:rsidRPr="00D40E5C">
        <w:rPr>
          <w:kern w:val="0"/>
          <w:lang w:val="es-ES_tradnl"/>
        </w:rPr>
        <w:t>dad</w:t>
      </w:r>
      <w:r w:rsidRPr="00D40E5C">
        <w:rPr>
          <w:kern w:val="0"/>
          <w:lang w:val="es-ES_tradnl"/>
        </w:rPr>
        <w:t xml:space="preserve"> </w:t>
      </w:r>
      <w:r w:rsidR="00F77FBA" w:rsidRPr="00D40E5C">
        <w:rPr>
          <w:kern w:val="0"/>
          <w:lang w:val="es-ES_tradnl"/>
        </w:rPr>
        <w:t>9</w:t>
      </w:r>
      <w:bookmarkEnd w:id="4"/>
    </w:p>
    <w:p w:rsidR="00EB663D" w:rsidRPr="00D40E5C" w:rsidRDefault="00C81DA5" w:rsidP="00D87FC2">
      <w:pPr>
        <w:pStyle w:val="Titcoul"/>
        <w:rPr>
          <w:rFonts w:eastAsia="Arial Unicode MS"/>
          <w:kern w:val="0"/>
          <w:sz w:val="44"/>
          <w:szCs w:val="44"/>
          <w:lang w:val="es-ES_tradnl"/>
        </w:rPr>
      </w:pPr>
      <w:bookmarkStart w:id="6" w:name="_Toc241644726"/>
      <w:r w:rsidRPr="00D40E5C">
        <w:rPr>
          <w:rFonts w:eastAsia="Arial Unicode MS"/>
          <w:kern w:val="0"/>
          <w:sz w:val="44"/>
          <w:szCs w:val="44"/>
          <w:lang w:val="es-ES_tradnl"/>
        </w:rPr>
        <w:t>S</w:t>
      </w:r>
      <w:r w:rsidR="00604675" w:rsidRPr="00D40E5C">
        <w:rPr>
          <w:rFonts w:eastAsia="Arial Unicode MS"/>
          <w:kern w:val="0"/>
          <w:sz w:val="44"/>
          <w:szCs w:val="44"/>
          <w:lang w:val="es-ES_tradnl"/>
        </w:rPr>
        <w:t>a</w:t>
      </w:r>
      <w:bookmarkEnd w:id="5"/>
      <w:r w:rsidR="008904CA" w:rsidRPr="00D40E5C">
        <w:rPr>
          <w:rFonts w:eastAsia="Arial Unicode MS"/>
          <w:kern w:val="0"/>
          <w:sz w:val="44"/>
          <w:szCs w:val="44"/>
          <w:lang w:val="es-ES_tradnl"/>
        </w:rPr>
        <w:t>lvaguardia</w:t>
      </w:r>
    </w:p>
    <w:p w:rsidR="00F65945" w:rsidRPr="00D40E5C" w:rsidRDefault="00EB663D" w:rsidP="00D87FC2">
      <w:pPr>
        <w:pStyle w:val="Titcoul"/>
        <w:rPr>
          <w:kern w:val="0"/>
          <w:szCs w:val="70"/>
          <w:lang w:val="es-ES_tradnl"/>
        </w:rPr>
      </w:pPr>
      <w:r w:rsidRPr="00D40E5C">
        <w:rPr>
          <w:kern w:val="0"/>
          <w:szCs w:val="70"/>
          <w:lang w:val="es-ES_tradnl"/>
        </w:rPr>
        <w:t>guión para el facilitador</w:t>
      </w:r>
    </w:p>
    <w:bookmarkEnd w:id="6"/>
    <w:p w:rsidR="00B43D05" w:rsidRPr="00D40E5C" w:rsidRDefault="00353472" w:rsidP="004936EF">
      <w:pPr>
        <w:pStyle w:val="Heading6"/>
        <w:rPr>
          <w:lang w:val="es-ES_tradnl"/>
        </w:rPr>
      </w:pPr>
      <w:r w:rsidRPr="00D40E5C">
        <w:rPr>
          <w:lang w:val="es-ES_tradnl"/>
        </w:rPr>
        <w:t>DIAPOSITIVA</w:t>
      </w:r>
      <w:r w:rsidR="004C284A" w:rsidRPr="00D40E5C">
        <w:rPr>
          <w:lang w:val="es-ES_tradnl"/>
        </w:rPr>
        <w:t xml:space="preserve"> 1</w:t>
      </w:r>
      <w:r w:rsidR="00B43D05" w:rsidRPr="00D40E5C">
        <w:rPr>
          <w:lang w:val="es-ES_tradnl"/>
        </w:rPr>
        <w:t>.</w:t>
      </w:r>
    </w:p>
    <w:p w:rsidR="004C284A" w:rsidRPr="00D40E5C" w:rsidRDefault="004F1859" w:rsidP="004936EF">
      <w:pPr>
        <w:pStyle w:val="diapo2"/>
        <w:rPr>
          <w:lang w:val="es-ES_tradnl"/>
        </w:rPr>
      </w:pPr>
      <w:r w:rsidRPr="00D40E5C">
        <w:rPr>
          <w:rFonts w:eastAsia="Arial Unicode MS"/>
          <w:lang w:val="es-ES_tradnl"/>
        </w:rPr>
        <w:t>Sa</w:t>
      </w:r>
      <w:r w:rsidR="001D393C" w:rsidRPr="00D40E5C">
        <w:rPr>
          <w:rFonts w:eastAsia="Arial Unicode MS"/>
          <w:lang w:val="es-ES_tradnl"/>
        </w:rPr>
        <w:t>lvaguardia</w:t>
      </w:r>
    </w:p>
    <w:p w:rsidR="00B43D05" w:rsidRPr="00D40E5C" w:rsidRDefault="00353472" w:rsidP="004936EF">
      <w:pPr>
        <w:pStyle w:val="Heading6"/>
        <w:rPr>
          <w:lang w:val="es-ES_tradnl"/>
        </w:rPr>
      </w:pPr>
      <w:r w:rsidRPr="00D40E5C">
        <w:rPr>
          <w:lang w:val="es-ES_tradnl"/>
        </w:rPr>
        <w:t>DIAPOSITIVA</w:t>
      </w:r>
      <w:r w:rsidR="004C284A" w:rsidRPr="00D40E5C">
        <w:rPr>
          <w:lang w:val="es-ES_tradnl"/>
        </w:rPr>
        <w:t xml:space="preserve"> 2</w:t>
      </w:r>
      <w:r w:rsidR="00B43D05" w:rsidRPr="00D40E5C">
        <w:rPr>
          <w:lang w:val="es-ES_tradnl"/>
        </w:rPr>
        <w:t>.</w:t>
      </w:r>
    </w:p>
    <w:p w:rsidR="004C284A" w:rsidRPr="00D40E5C" w:rsidRDefault="001D393C" w:rsidP="004936EF">
      <w:pPr>
        <w:pStyle w:val="diapo2"/>
        <w:rPr>
          <w:lang w:val="es-ES_tradnl"/>
        </w:rPr>
      </w:pPr>
      <w:r w:rsidRPr="00D40E5C">
        <w:rPr>
          <w:lang w:val="es-ES_tradnl"/>
        </w:rPr>
        <w:t>Esta presentación se refiere a</w:t>
      </w:r>
      <w:r w:rsidR="00046DE1" w:rsidRPr="00D40E5C">
        <w:rPr>
          <w:lang w:val="es-ES_tradnl"/>
        </w:rPr>
        <w:t>…</w:t>
      </w:r>
      <w:r w:rsidR="004C284A" w:rsidRPr="00D40E5C">
        <w:rPr>
          <w:lang w:val="es-ES_tradnl"/>
        </w:rPr>
        <w:t xml:space="preserve"> </w:t>
      </w:r>
    </w:p>
    <w:p w:rsidR="00B43D05" w:rsidRPr="00D40E5C" w:rsidRDefault="00353472" w:rsidP="004936EF">
      <w:pPr>
        <w:pStyle w:val="Heading6"/>
        <w:rPr>
          <w:lang w:val="es-ES_tradnl"/>
        </w:rPr>
      </w:pPr>
      <w:r w:rsidRPr="00D40E5C">
        <w:rPr>
          <w:lang w:val="es-ES_tradnl"/>
        </w:rPr>
        <w:t>DIAPOSITIVA</w:t>
      </w:r>
      <w:r w:rsidR="00BD084A" w:rsidRPr="00D40E5C">
        <w:rPr>
          <w:lang w:val="es-ES_tradnl"/>
        </w:rPr>
        <w:t xml:space="preserve"> 3</w:t>
      </w:r>
      <w:r w:rsidR="00B43D05" w:rsidRPr="00D40E5C">
        <w:rPr>
          <w:lang w:val="es-ES_tradnl"/>
        </w:rPr>
        <w:t>.</w:t>
      </w:r>
    </w:p>
    <w:p w:rsidR="00BD084A" w:rsidRPr="00D40E5C" w:rsidRDefault="001D393C" w:rsidP="004936EF">
      <w:pPr>
        <w:pStyle w:val="diapo2"/>
        <w:rPr>
          <w:lang w:val="es-ES_tradnl"/>
        </w:rPr>
      </w:pPr>
      <w:r w:rsidRPr="00D40E5C">
        <w:rPr>
          <w:bCs/>
          <w:lang w:val="es-ES_tradnl"/>
        </w:rPr>
        <w:t>Definición de salvaguardia</w:t>
      </w:r>
    </w:p>
    <w:p w:rsidR="00BD084A" w:rsidRPr="00D40E5C" w:rsidRDefault="00353472" w:rsidP="009909DD">
      <w:pPr>
        <w:pStyle w:val="Texte1"/>
        <w:rPr>
          <w:lang w:val="es-ES_tradnl"/>
        </w:rPr>
      </w:pPr>
      <w:r w:rsidRPr="00D40E5C">
        <w:rPr>
          <w:lang w:val="es-ES_tradnl"/>
        </w:rPr>
        <w:t>En la Sección 1 del Texto para el Participante de la presente Unidad 9</w:t>
      </w:r>
      <w:r w:rsidR="007E3550" w:rsidRPr="00D40E5C">
        <w:rPr>
          <w:lang w:val="es-ES_tradnl"/>
        </w:rPr>
        <w:t xml:space="preserve">, se expone a grandes rasgos la definición de salvaguardia </w:t>
      </w:r>
      <w:r w:rsidR="00886575" w:rsidRPr="00D40E5C">
        <w:rPr>
          <w:lang w:val="es-ES_tradnl"/>
        </w:rPr>
        <w:t>que da</w:t>
      </w:r>
      <w:r w:rsidR="007E3550" w:rsidRPr="00D40E5C">
        <w:rPr>
          <w:lang w:val="es-ES_tradnl"/>
        </w:rPr>
        <w:t xml:space="preserve"> la Convención</w:t>
      </w:r>
      <w:r w:rsidR="00BD084A" w:rsidRPr="00D40E5C">
        <w:rPr>
          <w:lang w:val="es-ES_tradnl"/>
        </w:rPr>
        <w:t>.</w:t>
      </w:r>
    </w:p>
    <w:p w:rsidR="00BD084A" w:rsidRPr="00D40E5C" w:rsidRDefault="00353472" w:rsidP="009909DD">
      <w:pPr>
        <w:pStyle w:val="Texte1"/>
        <w:rPr>
          <w:lang w:val="es-ES_tradnl"/>
        </w:rPr>
      </w:pPr>
      <w:r w:rsidRPr="00D40E5C">
        <w:rPr>
          <w:lang w:val="es-ES_tradnl"/>
        </w:rPr>
        <w:t xml:space="preserve">Véase </w:t>
      </w:r>
      <w:r w:rsidR="00886575" w:rsidRPr="00D40E5C">
        <w:rPr>
          <w:lang w:val="es-ES_tradnl"/>
        </w:rPr>
        <w:t xml:space="preserve">también </w:t>
      </w:r>
      <w:r w:rsidR="00A76FE8" w:rsidRPr="00D40E5C">
        <w:rPr>
          <w:lang w:val="es-ES_tradnl"/>
        </w:rPr>
        <w:t>la sección d</w:t>
      </w:r>
      <w:r w:rsidRPr="00D40E5C">
        <w:rPr>
          <w:lang w:val="es-ES_tradnl"/>
        </w:rPr>
        <w:t>el</w:t>
      </w:r>
      <w:r w:rsidR="00BD084A" w:rsidRPr="00D40E5C">
        <w:rPr>
          <w:lang w:val="es-ES_tradnl"/>
        </w:rPr>
        <w:t xml:space="preserve"> </w:t>
      </w:r>
      <w:r w:rsidRPr="00D40E5C">
        <w:rPr>
          <w:lang w:val="es-ES_tradnl"/>
        </w:rPr>
        <w:t>Texto para el Participante de la</w:t>
      </w:r>
      <w:r w:rsidR="002A3923" w:rsidRPr="00D40E5C">
        <w:rPr>
          <w:lang w:val="es-ES_tradnl"/>
        </w:rPr>
        <w:t xml:space="preserve"> </w:t>
      </w:r>
      <w:r w:rsidR="00096F21" w:rsidRPr="00D40E5C">
        <w:rPr>
          <w:lang w:val="es-ES_tradnl"/>
        </w:rPr>
        <w:t>Uni</w:t>
      </w:r>
      <w:r w:rsidRPr="00D40E5C">
        <w:rPr>
          <w:lang w:val="es-ES_tradnl"/>
        </w:rPr>
        <w:t>dad</w:t>
      </w:r>
      <w:r w:rsidR="00096F21" w:rsidRPr="00D40E5C">
        <w:rPr>
          <w:lang w:val="es-ES_tradnl"/>
        </w:rPr>
        <w:t xml:space="preserve"> 3</w:t>
      </w:r>
      <w:r w:rsidR="00A76FE8" w:rsidRPr="00D40E5C">
        <w:rPr>
          <w:lang w:val="es-ES_tradnl"/>
        </w:rPr>
        <w:t xml:space="preserve"> titulada</w:t>
      </w:r>
      <w:r w:rsidR="00714D73" w:rsidRPr="00D40E5C">
        <w:rPr>
          <w:lang w:val="es-ES_tradnl"/>
        </w:rPr>
        <w:t xml:space="preserve"> </w:t>
      </w:r>
      <w:r w:rsidRPr="00D40E5C">
        <w:rPr>
          <w:lang w:val="es-ES_tradnl"/>
        </w:rPr>
        <w:t>“</w:t>
      </w:r>
      <w:r w:rsidR="00714D73" w:rsidRPr="00D40E5C">
        <w:rPr>
          <w:lang w:val="es-ES_tradnl"/>
        </w:rPr>
        <w:t>S</w:t>
      </w:r>
      <w:r w:rsidR="00BD084A" w:rsidRPr="00D40E5C">
        <w:rPr>
          <w:lang w:val="es-ES_tradnl"/>
        </w:rPr>
        <w:t>a</w:t>
      </w:r>
      <w:r w:rsidRPr="00D40E5C">
        <w:rPr>
          <w:lang w:val="es-ES_tradnl"/>
        </w:rPr>
        <w:t>lvaguardia y medidas de salvaguardia”</w:t>
      </w:r>
      <w:r w:rsidR="00BD084A" w:rsidRPr="00D40E5C">
        <w:rPr>
          <w:lang w:val="es-ES_tradnl"/>
        </w:rPr>
        <w:t>.</w:t>
      </w:r>
    </w:p>
    <w:p w:rsidR="00B43D05" w:rsidRPr="00D40E5C" w:rsidRDefault="00353472" w:rsidP="004936EF">
      <w:pPr>
        <w:pStyle w:val="Heading6"/>
        <w:rPr>
          <w:lang w:val="es-ES_tradnl"/>
        </w:rPr>
      </w:pPr>
      <w:r w:rsidRPr="00D40E5C">
        <w:rPr>
          <w:lang w:val="es-ES_tradnl"/>
        </w:rPr>
        <w:t>DIAPOSITIVA</w:t>
      </w:r>
      <w:r w:rsidR="00DF4753" w:rsidRPr="00D40E5C">
        <w:rPr>
          <w:lang w:val="es-ES_tradnl"/>
        </w:rPr>
        <w:t xml:space="preserve"> </w:t>
      </w:r>
      <w:r w:rsidR="0061655A" w:rsidRPr="00D40E5C">
        <w:rPr>
          <w:lang w:val="es-ES_tradnl"/>
        </w:rPr>
        <w:t>4</w:t>
      </w:r>
      <w:r w:rsidR="00B43D05" w:rsidRPr="00D40E5C">
        <w:rPr>
          <w:lang w:val="es-ES_tradnl"/>
        </w:rPr>
        <w:t>:</w:t>
      </w:r>
    </w:p>
    <w:p w:rsidR="00DF4753" w:rsidRPr="00D40E5C" w:rsidRDefault="00D71953" w:rsidP="004936EF">
      <w:pPr>
        <w:pStyle w:val="diapo2"/>
        <w:rPr>
          <w:lang w:val="es-ES_tradnl"/>
        </w:rPr>
      </w:pPr>
      <w:r w:rsidRPr="00D40E5C">
        <w:rPr>
          <w:bCs/>
          <w:lang w:val="es-ES_tradnl"/>
        </w:rPr>
        <w:t xml:space="preserve">Estudio de caso – </w:t>
      </w:r>
      <w:r w:rsidR="008C5D66" w:rsidRPr="00D40E5C">
        <w:rPr>
          <w:bCs/>
          <w:lang w:val="es-ES_tradnl"/>
        </w:rPr>
        <w:t xml:space="preserve">Los Ahayu:da, dioses de la guerra del pueblo zuñi </w:t>
      </w:r>
      <w:r w:rsidRPr="00D40E5C">
        <w:rPr>
          <w:bCs/>
          <w:lang w:val="es-ES_tradnl"/>
        </w:rPr>
        <w:t xml:space="preserve">(EE.UU.) </w:t>
      </w:r>
      <w:r w:rsidR="008C5D66" w:rsidRPr="00D40E5C">
        <w:rPr>
          <w:bCs/>
          <w:lang w:val="es-ES_tradnl"/>
        </w:rPr>
        <w:t>– Un conflicto entre salvaguardia y conservación</w:t>
      </w:r>
      <w:r w:rsidR="00886575" w:rsidRPr="00D40E5C">
        <w:rPr>
          <w:bCs/>
          <w:lang w:val="es-ES_tradnl"/>
        </w:rPr>
        <w:t xml:space="preserve"> </w:t>
      </w:r>
    </w:p>
    <w:p w:rsidR="0061655A" w:rsidRPr="00D40E5C" w:rsidRDefault="00886575" w:rsidP="009909DD">
      <w:pPr>
        <w:pStyle w:val="Texte1"/>
        <w:rPr>
          <w:lang w:val="es-ES_tradnl"/>
        </w:rPr>
      </w:pPr>
      <w:r w:rsidRPr="00D40E5C">
        <w:rPr>
          <w:lang w:val="es-ES_tradnl"/>
        </w:rPr>
        <w:t xml:space="preserve">En caso de que se precisen más aclaraciones sobre la relación existente entre la conservación de elementos del patrimonio cultural material (objetos, por ejemplo) y la salvaguardia de elementos del PCI, el </w:t>
      </w:r>
      <w:r w:rsidR="00353472" w:rsidRPr="00D40E5C">
        <w:rPr>
          <w:lang w:val="es-ES_tradnl"/>
        </w:rPr>
        <w:t>Estudio de Caso</w:t>
      </w:r>
      <w:r w:rsidR="00442E1A" w:rsidRPr="00D40E5C">
        <w:rPr>
          <w:lang w:val="es-ES_tradnl"/>
        </w:rPr>
        <w:t> </w:t>
      </w:r>
      <w:r w:rsidR="00B577F8" w:rsidRPr="00D40E5C">
        <w:rPr>
          <w:lang w:val="es-ES_tradnl"/>
        </w:rPr>
        <w:t>21</w:t>
      </w:r>
      <w:r w:rsidRPr="00D40E5C">
        <w:rPr>
          <w:lang w:val="es-ES_tradnl"/>
        </w:rPr>
        <w:t xml:space="preserve"> sobre </w:t>
      </w:r>
      <w:r w:rsidR="00A76FE8" w:rsidRPr="00D40E5C">
        <w:rPr>
          <w:lang w:val="es-ES_tradnl"/>
        </w:rPr>
        <w:t>l</w:t>
      </w:r>
      <w:r w:rsidRPr="00D40E5C">
        <w:rPr>
          <w:lang w:val="es-ES_tradnl"/>
        </w:rPr>
        <w:t xml:space="preserve">os </w:t>
      </w:r>
      <w:r w:rsidRPr="00D40E5C">
        <w:rPr>
          <w:bCs/>
          <w:lang w:val="es-ES_tradnl"/>
        </w:rPr>
        <w:t xml:space="preserve">Ahayu:da, dioses de </w:t>
      </w:r>
      <w:r w:rsidR="00A76FE8" w:rsidRPr="00D40E5C">
        <w:rPr>
          <w:bCs/>
          <w:lang w:val="es-ES_tradnl"/>
        </w:rPr>
        <w:t>la guerra del pueblo zuñi</w:t>
      </w:r>
      <w:r w:rsidR="0061655A" w:rsidRPr="00D40E5C">
        <w:rPr>
          <w:lang w:val="es-ES_tradnl"/>
        </w:rPr>
        <w:t xml:space="preserve"> (</w:t>
      </w:r>
      <w:r w:rsidRPr="00D40E5C">
        <w:rPr>
          <w:lang w:val="es-ES_tradnl"/>
        </w:rPr>
        <w:t>EE.UU.</w:t>
      </w:r>
      <w:r w:rsidR="0061655A" w:rsidRPr="00D40E5C">
        <w:rPr>
          <w:lang w:val="es-ES_tradnl"/>
        </w:rPr>
        <w:t>)</w:t>
      </w:r>
      <w:r w:rsidR="00A76FE8" w:rsidRPr="00D40E5C">
        <w:rPr>
          <w:lang w:val="es-ES_tradnl"/>
        </w:rPr>
        <w:t>,</w:t>
      </w:r>
      <w:r w:rsidR="0061655A" w:rsidRPr="00D40E5C">
        <w:rPr>
          <w:lang w:val="es-ES_tradnl"/>
        </w:rPr>
        <w:t xml:space="preserve"> </w:t>
      </w:r>
      <w:r w:rsidRPr="00D40E5C">
        <w:rPr>
          <w:lang w:val="es-ES_tradnl"/>
        </w:rPr>
        <w:t xml:space="preserve">puede ofrecer una buena base de </w:t>
      </w:r>
      <w:r w:rsidR="00D74211" w:rsidRPr="00D40E5C">
        <w:rPr>
          <w:lang w:val="es-ES_tradnl"/>
        </w:rPr>
        <w:t>discusión</w:t>
      </w:r>
      <w:r w:rsidR="0061655A" w:rsidRPr="00D40E5C">
        <w:rPr>
          <w:lang w:val="es-ES_tradnl"/>
        </w:rPr>
        <w:t>.</w:t>
      </w:r>
    </w:p>
    <w:p w:rsidR="00B43D05" w:rsidRPr="00D40E5C" w:rsidRDefault="00353472" w:rsidP="004936EF">
      <w:pPr>
        <w:pStyle w:val="Heading6"/>
        <w:rPr>
          <w:lang w:val="es-ES_tradnl"/>
        </w:rPr>
      </w:pPr>
      <w:r w:rsidRPr="00D40E5C">
        <w:rPr>
          <w:lang w:val="es-ES_tradnl"/>
        </w:rPr>
        <w:t>DIAPOSITIVA</w:t>
      </w:r>
      <w:r w:rsidR="00BD084A" w:rsidRPr="00D40E5C">
        <w:rPr>
          <w:lang w:val="es-ES_tradnl"/>
        </w:rPr>
        <w:t xml:space="preserve"> </w:t>
      </w:r>
      <w:r w:rsidR="0061655A" w:rsidRPr="00D40E5C">
        <w:rPr>
          <w:lang w:val="es-ES_tradnl"/>
        </w:rPr>
        <w:t>5</w:t>
      </w:r>
      <w:r w:rsidR="00B43D05" w:rsidRPr="00D40E5C">
        <w:rPr>
          <w:lang w:val="es-ES_tradnl"/>
        </w:rPr>
        <w:t>.</w:t>
      </w:r>
    </w:p>
    <w:p w:rsidR="00CB21E9" w:rsidRPr="00D40E5C" w:rsidRDefault="008C5D66" w:rsidP="004936EF">
      <w:pPr>
        <w:pStyle w:val="diapo2"/>
        <w:rPr>
          <w:lang w:val="es-ES_tradnl"/>
        </w:rPr>
      </w:pPr>
      <w:r w:rsidRPr="00D40E5C">
        <w:rPr>
          <w:lang w:val="es-ES_tradnl"/>
        </w:rPr>
        <w:t xml:space="preserve">La Convención </w:t>
      </w:r>
      <w:r w:rsidR="00D71953" w:rsidRPr="00D40E5C">
        <w:rPr>
          <w:lang w:val="es-ES_tradnl"/>
        </w:rPr>
        <w:t>y</w:t>
      </w:r>
      <w:r w:rsidRPr="00D40E5C">
        <w:rPr>
          <w:lang w:val="es-ES_tradnl"/>
        </w:rPr>
        <w:t xml:space="preserve"> la </w:t>
      </w:r>
      <w:r w:rsidR="00D71953" w:rsidRPr="00D40E5C">
        <w:rPr>
          <w:lang w:val="es-ES_tradnl"/>
        </w:rPr>
        <w:t>s</w:t>
      </w:r>
      <w:r w:rsidRPr="00D40E5C">
        <w:rPr>
          <w:lang w:val="es-ES_tradnl"/>
        </w:rPr>
        <w:t xml:space="preserve">alvaguardia </w:t>
      </w:r>
    </w:p>
    <w:p w:rsidR="00CB21E9" w:rsidRPr="00D40E5C" w:rsidRDefault="00353472" w:rsidP="009909DD">
      <w:pPr>
        <w:pStyle w:val="Texte1"/>
        <w:rPr>
          <w:lang w:val="es-ES_tradnl"/>
        </w:rPr>
      </w:pPr>
      <w:r w:rsidRPr="00D40E5C">
        <w:rPr>
          <w:lang w:val="es-ES_tradnl"/>
        </w:rPr>
        <w:t>En la Sección 1 del Texto para el Participante de la presente Unidad 9</w:t>
      </w:r>
      <w:r w:rsidR="00810B86" w:rsidRPr="00D40E5C">
        <w:rPr>
          <w:lang w:val="es-ES_tradnl"/>
        </w:rPr>
        <w:t xml:space="preserve"> </w:t>
      </w:r>
      <w:r w:rsidR="00D74211" w:rsidRPr="00D40E5C">
        <w:rPr>
          <w:lang w:val="es-ES_tradnl"/>
        </w:rPr>
        <w:t xml:space="preserve">se expone a grandes rasgos la </w:t>
      </w:r>
      <w:r w:rsidR="00A76FE8" w:rsidRPr="00D40E5C">
        <w:rPr>
          <w:lang w:val="es-ES_tradnl"/>
        </w:rPr>
        <w:t>gran</w:t>
      </w:r>
      <w:r w:rsidR="00D74211" w:rsidRPr="00D40E5C">
        <w:rPr>
          <w:lang w:val="es-ES_tradnl"/>
        </w:rPr>
        <w:t xml:space="preserve"> atención que </w:t>
      </w:r>
      <w:r w:rsidR="00A76FE8" w:rsidRPr="00D40E5C">
        <w:rPr>
          <w:lang w:val="es-ES_tradnl"/>
        </w:rPr>
        <w:t>presta</w:t>
      </w:r>
      <w:r w:rsidR="00D74211" w:rsidRPr="00D40E5C">
        <w:rPr>
          <w:lang w:val="es-ES_tradnl"/>
        </w:rPr>
        <w:t xml:space="preserve"> la Convención a la salvaguardia</w:t>
      </w:r>
      <w:r w:rsidR="00810B86" w:rsidRPr="00D40E5C">
        <w:rPr>
          <w:lang w:val="es-ES_tradnl"/>
        </w:rPr>
        <w:t>.</w:t>
      </w:r>
    </w:p>
    <w:p w:rsidR="00B43D05" w:rsidRPr="00D40E5C" w:rsidRDefault="00353472" w:rsidP="004936EF">
      <w:pPr>
        <w:pStyle w:val="Heading6"/>
        <w:rPr>
          <w:lang w:val="es-ES_tradnl"/>
        </w:rPr>
      </w:pPr>
      <w:r w:rsidRPr="00D40E5C">
        <w:rPr>
          <w:lang w:val="es-ES_tradnl"/>
        </w:rPr>
        <w:lastRenderedPageBreak/>
        <w:t>DIAPOSITIVA</w:t>
      </w:r>
      <w:r w:rsidR="00547E0E" w:rsidRPr="00D40E5C">
        <w:rPr>
          <w:lang w:val="es-ES_tradnl"/>
        </w:rPr>
        <w:t xml:space="preserve"> </w:t>
      </w:r>
      <w:r w:rsidR="0061655A" w:rsidRPr="00D40E5C">
        <w:rPr>
          <w:lang w:val="es-ES_tradnl"/>
        </w:rPr>
        <w:t>6</w:t>
      </w:r>
      <w:r w:rsidR="00B43D05" w:rsidRPr="00D40E5C">
        <w:rPr>
          <w:lang w:val="es-ES_tradnl"/>
        </w:rPr>
        <w:t>.</w:t>
      </w:r>
    </w:p>
    <w:p w:rsidR="00CB21E9" w:rsidRPr="00D40E5C" w:rsidRDefault="0087188C" w:rsidP="004936EF">
      <w:pPr>
        <w:pStyle w:val="diapo2"/>
        <w:rPr>
          <w:lang w:val="es-ES_tradnl"/>
        </w:rPr>
      </w:pPr>
      <w:r w:rsidRPr="00D40E5C">
        <w:rPr>
          <w:lang w:val="es-ES_tradnl"/>
        </w:rPr>
        <w:t xml:space="preserve">Las </w:t>
      </w:r>
      <w:r w:rsidR="00093133">
        <w:rPr>
          <w:lang w:val="es-ES_tradnl"/>
        </w:rPr>
        <w:t>“</w:t>
      </w:r>
      <w:r w:rsidRPr="00D40E5C">
        <w:rPr>
          <w:lang w:val="es-ES_tradnl"/>
        </w:rPr>
        <w:t xml:space="preserve">medidas necesarias” – ¿Tienen que salvaguardar los Estados todos los elementos del </w:t>
      </w:r>
      <w:r w:rsidR="00A25B8C" w:rsidRPr="00D40E5C">
        <w:rPr>
          <w:lang w:val="es-ES_tradnl"/>
        </w:rPr>
        <w:t>PCI</w:t>
      </w:r>
      <w:r w:rsidR="00EB663D" w:rsidRPr="00D40E5C">
        <w:rPr>
          <w:lang w:val="es-ES_tradnl"/>
        </w:rPr>
        <w:t xml:space="preserve"> en peligro</w:t>
      </w:r>
      <w:r w:rsidR="00CB21E9" w:rsidRPr="00D40E5C">
        <w:rPr>
          <w:lang w:val="es-ES_tradnl"/>
        </w:rPr>
        <w:t xml:space="preserve">? </w:t>
      </w:r>
    </w:p>
    <w:p w:rsidR="00CB21E9" w:rsidRPr="00D40E5C" w:rsidRDefault="00D74211" w:rsidP="009909DD">
      <w:pPr>
        <w:pStyle w:val="Texte1"/>
        <w:rPr>
          <w:lang w:val="es-ES_tradnl"/>
        </w:rPr>
      </w:pPr>
      <w:r w:rsidRPr="00D40E5C">
        <w:rPr>
          <w:lang w:val="es-ES_tradnl"/>
        </w:rPr>
        <w:t xml:space="preserve">La mayoría de los Estados poseen una cantidad y variedad </w:t>
      </w:r>
      <w:r w:rsidR="00A76FE8" w:rsidRPr="00D40E5C">
        <w:rPr>
          <w:lang w:val="es-ES_tradnl"/>
        </w:rPr>
        <w:t xml:space="preserve">considerables </w:t>
      </w:r>
      <w:r w:rsidRPr="00D40E5C">
        <w:rPr>
          <w:lang w:val="es-ES_tradnl"/>
        </w:rPr>
        <w:t>de elementos del PCI, y una gran parte de ellos puede hallarse en peligro.</w:t>
      </w:r>
      <w:r w:rsidR="00CB21E9" w:rsidRPr="00D40E5C">
        <w:rPr>
          <w:lang w:val="es-ES_tradnl"/>
        </w:rPr>
        <w:t xml:space="preserve"> </w:t>
      </w:r>
      <w:r w:rsidRPr="00D40E5C">
        <w:rPr>
          <w:lang w:val="es-ES_tradnl"/>
        </w:rPr>
        <w:t xml:space="preserve">Sin embargo, no todo el patrimonio cultural inmaterial debe –o, de hecho, puede– ser salvaguardado o revitalizado. Las acciones de salvaguardia pueden fracasar cuando no existe una fuerte motivación y un enérgico compromiso de los practicantes del PCI y otros depositarios de la tradición. </w:t>
      </w:r>
      <w:r w:rsidR="00C8605E" w:rsidRPr="00D40E5C">
        <w:rPr>
          <w:lang w:val="es-ES_tradnl"/>
        </w:rPr>
        <w:t>A</w:t>
      </w:r>
      <w:r w:rsidR="00EB663D" w:rsidRPr="00D40E5C">
        <w:rPr>
          <w:lang w:val="es-ES_tradnl"/>
        </w:rPr>
        <w:t>demás, cuando los recursos</w:t>
      </w:r>
      <w:r w:rsidRPr="00D40E5C">
        <w:rPr>
          <w:lang w:val="es-ES_tradnl"/>
        </w:rPr>
        <w:t xml:space="preserve"> son limitados</w:t>
      </w:r>
      <w:r w:rsidR="00C8605E" w:rsidRPr="00D40E5C">
        <w:rPr>
          <w:lang w:val="es-ES_tradnl"/>
        </w:rPr>
        <w:t xml:space="preserve">, </w:t>
      </w:r>
      <w:r w:rsidR="00CF11DE" w:rsidRPr="00D40E5C">
        <w:rPr>
          <w:lang w:val="es-ES_tradnl"/>
        </w:rPr>
        <w:t xml:space="preserve">es </w:t>
      </w:r>
      <w:r w:rsidR="00A76FE8" w:rsidRPr="00D40E5C">
        <w:rPr>
          <w:lang w:val="es-ES_tradnl"/>
        </w:rPr>
        <w:t>forzoso</w:t>
      </w:r>
      <w:r w:rsidR="00CF11DE" w:rsidRPr="00D40E5C">
        <w:rPr>
          <w:lang w:val="es-ES_tradnl"/>
        </w:rPr>
        <w:t xml:space="preserve"> elegir</w:t>
      </w:r>
      <w:r w:rsidR="00C8605E" w:rsidRPr="00D40E5C">
        <w:rPr>
          <w:lang w:val="es-ES_tradnl"/>
        </w:rPr>
        <w:t>.</w:t>
      </w:r>
    </w:p>
    <w:p w:rsidR="00383676" w:rsidRPr="00D40E5C" w:rsidRDefault="00B70458" w:rsidP="009909DD">
      <w:pPr>
        <w:pStyle w:val="Texte1"/>
        <w:rPr>
          <w:lang w:val="es-ES_tradnl"/>
        </w:rPr>
      </w:pPr>
      <w:r w:rsidRPr="00D40E5C">
        <w:rPr>
          <w:lang w:val="es-ES_tradnl"/>
        </w:rPr>
        <w:t xml:space="preserve">Aunque incumbe a los Estados Partes </w:t>
      </w:r>
      <w:r w:rsidRPr="00D40E5C">
        <w:rPr>
          <w:rFonts w:eastAsia="Calibri"/>
          <w:szCs w:val="22"/>
          <w:lang w:val="es-ES_tradnl" w:eastAsia="es-ES"/>
        </w:rPr>
        <w:t xml:space="preserve">adoptar “las medidas necesarias para garantizar la salvaguardia del patrimonio cultural inmaterial presente en su territorio” (Artículo 11.a de la Convención), esto no quiere decir que deban contribuir a la elaboración y ejecución de planes de salvaguardia de </w:t>
      </w:r>
      <w:r w:rsidRPr="00D40E5C">
        <w:rPr>
          <w:rFonts w:eastAsia="Calibri"/>
          <w:szCs w:val="22"/>
          <w:u w:val="single"/>
          <w:lang w:val="es-ES_tradnl" w:eastAsia="es-ES"/>
        </w:rPr>
        <w:t>la totalidad</w:t>
      </w:r>
      <w:r w:rsidRPr="00D40E5C">
        <w:rPr>
          <w:rFonts w:eastAsia="Calibri"/>
          <w:szCs w:val="22"/>
          <w:lang w:val="es-ES_tradnl" w:eastAsia="es-ES"/>
        </w:rPr>
        <w:t xml:space="preserve"> de los elementos del PCI </w:t>
      </w:r>
      <w:r w:rsidR="00A76FE8" w:rsidRPr="00D40E5C">
        <w:rPr>
          <w:rFonts w:eastAsia="Calibri"/>
          <w:szCs w:val="22"/>
          <w:lang w:val="es-ES_tradnl" w:eastAsia="es-ES"/>
        </w:rPr>
        <w:t xml:space="preserve">en peligro </w:t>
      </w:r>
      <w:r w:rsidRPr="00D40E5C">
        <w:rPr>
          <w:rFonts w:eastAsia="Calibri"/>
          <w:szCs w:val="22"/>
          <w:lang w:val="es-ES_tradnl" w:eastAsia="es-ES"/>
        </w:rPr>
        <w:t>presentes en su territorio. Lo que se espera de los Estados Partes, ante todo, es que adopten medidas de índole general (como las señaladas en los Artículos 12 a 15) susceptibles de contribuir a la creación o consolidación de condiciones adecuadas que permitan salvaguardar el PCI presente en sus territorios respectivos.</w:t>
      </w:r>
    </w:p>
    <w:p w:rsidR="00B43D05" w:rsidRPr="00D40E5C" w:rsidRDefault="00353472" w:rsidP="004936EF">
      <w:pPr>
        <w:pStyle w:val="Heading6"/>
        <w:rPr>
          <w:lang w:val="es-ES_tradnl"/>
        </w:rPr>
      </w:pPr>
      <w:r w:rsidRPr="00D40E5C">
        <w:rPr>
          <w:lang w:val="es-ES_tradnl"/>
        </w:rPr>
        <w:t>DIAPOSITIVA</w:t>
      </w:r>
      <w:r w:rsidR="0091120D" w:rsidRPr="00D40E5C">
        <w:rPr>
          <w:lang w:val="es-ES_tradnl"/>
        </w:rPr>
        <w:t xml:space="preserve"> </w:t>
      </w:r>
      <w:r w:rsidR="0061655A" w:rsidRPr="00D40E5C">
        <w:rPr>
          <w:lang w:val="es-ES_tradnl"/>
        </w:rPr>
        <w:t>7</w:t>
      </w:r>
      <w:r w:rsidR="00B43D05" w:rsidRPr="00D40E5C">
        <w:rPr>
          <w:lang w:val="es-ES_tradnl"/>
        </w:rPr>
        <w:t>.</w:t>
      </w:r>
    </w:p>
    <w:p w:rsidR="00CB21E9" w:rsidRPr="00D40E5C" w:rsidRDefault="0087188C" w:rsidP="004936EF">
      <w:pPr>
        <w:pStyle w:val="diapo2"/>
        <w:rPr>
          <w:lang w:val="es-ES_tradnl"/>
        </w:rPr>
      </w:pPr>
      <w:r w:rsidRPr="00D40E5C">
        <w:rPr>
          <w:lang w:val="es-ES_tradnl"/>
        </w:rPr>
        <w:t xml:space="preserve">Medidas generales </w:t>
      </w:r>
      <w:r w:rsidR="002E3235" w:rsidRPr="00D40E5C">
        <w:rPr>
          <w:lang w:val="es-ES_tradnl"/>
        </w:rPr>
        <w:t>para</w:t>
      </w:r>
      <w:r w:rsidRPr="00D40E5C">
        <w:rPr>
          <w:lang w:val="es-ES_tradnl"/>
        </w:rPr>
        <w:t xml:space="preserve"> </w:t>
      </w:r>
      <w:r w:rsidR="00A25B8C" w:rsidRPr="00D40E5C">
        <w:rPr>
          <w:lang w:val="es-ES_tradnl"/>
        </w:rPr>
        <w:t>salvaguard</w:t>
      </w:r>
      <w:r w:rsidR="002E3235" w:rsidRPr="00D40E5C">
        <w:rPr>
          <w:lang w:val="es-ES_tradnl"/>
        </w:rPr>
        <w:t>ar</w:t>
      </w:r>
      <w:r w:rsidR="00B04D23" w:rsidRPr="00D40E5C">
        <w:rPr>
          <w:lang w:val="es-ES_tradnl"/>
        </w:rPr>
        <w:t xml:space="preserve"> </w:t>
      </w:r>
      <w:r w:rsidRPr="00D40E5C">
        <w:rPr>
          <w:lang w:val="es-ES_tradnl"/>
        </w:rPr>
        <w:t xml:space="preserve">el </w:t>
      </w:r>
      <w:r w:rsidR="00A25B8C" w:rsidRPr="00D40E5C">
        <w:rPr>
          <w:lang w:val="es-ES_tradnl"/>
        </w:rPr>
        <w:t>PCI</w:t>
      </w:r>
      <w:r w:rsidR="00CB21E9" w:rsidRPr="00D40E5C">
        <w:rPr>
          <w:lang w:val="es-ES_tradnl"/>
        </w:rPr>
        <w:t xml:space="preserve"> </w:t>
      </w:r>
    </w:p>
    <w:p w:rsidR="000A36AA" w:rsidRPr="00D40E5C" w:rsidRDefault="00353472" w:rsidP="009909DD">
      <w:pPr>
        <w:pStyle w:val="Texte1"/>
        <w:rPr>
          <w:lang w:val="es-ES_tradnl"/>
        </w:rPr>
      </w:pPr>
      <w:r w:rsidRPr="00D40E5C">
        <w:rPr>
          <w:lang w:val="es-ES_tradnl"/>
        </w:rPr>
        <w:t>En la Sección 2 del Texto para el Participante de la presente Unidad 9</w:t>
      </w:r>
      <w:r w:rsidR="00F45318" w:rsidRPr="00D40E5C">
        <w:rPr>
          <w:lang w:val="es-ES_tradnl"/>
        </w:rPr>
        <w:t xml:space="preserve"> </w:t>
      </w:r>
      <w:r w:rsidR="00C871CF" w:rsidRPr="00D40E5C">
        <w:rPr>
          <w:lang w:val="es-ES_tradnl"/>
        </w:rPr>
        <w:t xml:space="preserve">se explica cuándo la </w:t>
      </w:r>
      <w:r w:rsidR="00297B46" w:rsidRPr="00D40E5C">
        <w:rPr>
          <w:lang w:val="es-ES_tradnl"/>
        </w:rPr>
        <w:t>Convención</w:t>
      </w:r>
      <w:r w:rsidR="00F45318" w:rsidRPr="00D40E5C">
        <w:rPr>
          <w:lang w:val="es-ES_tradnl"/>
        </w:rPr>
        <w:t xml:space="preserve"> </w:t>
      </w:r>
      <w:r w:rsidR="00FA04E6" w:rsidRPr="00D40E5C">
        <w:rPr>
          <w:lang w:val="es-ES_tradnl"/>
        </w:rPr>
        <w:t xml:space="preserve">y las </w:t>
      </w:r>
      <w:r w:rsidR="00297B46" w:rsidRPr="00D40E5C">
        <w:rPr>
          <w:lang w:val="es-ES_tradnl"/>
        </w:rPr>
        <w:t>DO</w:t>
      </w:r>
      <w:r w:rsidR="00F45318" w:rsidRPr="00D40E5C">
        <w:rPr>
          <w:lang w:val="es-ES_tradnl"/>
        </w:rPr>
        <w:t xml:space="preserve"> </w:t>
      </w:r>
      <w:r w:rsidR="00C871CF" w:rsidRPr="00D40E5C">
        <w:rPr>
          <w:lang w:val="es-ES_tradnl"/>
        </w:rPr>
        <w:t xml:space="preserve">solicitan </w:t>
      </w:r>
      <w:r w:rsidR="00FA04E6" w:rsidRPr="00D40E5C">
        <w:rPr>
          <w:lang w:val="es-ES_tradnl"/>
        </w:rPr>
        <w:t>o exigen</w:t>
      </w:r>
      <w:r w:rsidR="00C871CF" w:rsidRPr="00D40E5C">
        <w:rPr>
          <w:lang w:val="es-ES_tradnl"/>
        </w:rPr>
        <w:t xml:space="preserve"> a los Estados que apliquen </w:t>
      </w:r>
      <w:r w:rsidR="00A25B8C" w:rsidRPr="00D40E5C">
        <w:rPr>
          <w:lang w:val="es-ES_tradnl"/>
        </w:rPr>
        <w:t xml:space="preserve">medidas </w:t>
      </w:r>
      <w:r w:rsidR="00C871CF" w:rsidRPr="00D40E5C">
        <w:rPr>
          <w:lang w:val="es-ES_tradnl"/>
        </w:rPr>
        <w:t xml:space="preserve">generales </w:t>
      </w:r>
      <w:r w:rsidR="00A25B8C" w:rsidRPr="00D40E5C">
        <w:rPr>
          <w:lang w:val="es-ES_tradnl"/>
        </w:rPr>
        <w:t>de salvaguardia</w:t>
      </w:r>
      <w:r w:rsidR="00F45318" w:rsidRPr="00D40E5C">
        <w:rPr>
          <w:lang w:val="es-ES_tradnl"/>
        </w:rPr>
        <w:t>.</w:t>
      </w:r>
    </w:p>
    <w:p w:rsidR="0016527A" w:rsidRPr="00D40E5C" w:rsidRDefault="00353472" w:rsidP="009909DD">
      <w:pPr>
        <w:pStyle w:val="Texte1"/>
        <w:rPr>
          <w:lang w:val="es-ES_tradnl"/>
        </w:rPr>
      </w:pPr>
      <w:r w:rsidRPr="00D40E5C">
        <w:rPr>
          <w:lang w:val="es-ES_tradnl"/>
        </w:rPr>
        <w:t xml:space="preserve">En la Sección 3 del Texto para el Participante de la presente Unidad 9 </w:t>
      </w:r>
      <w:r w:rsidR="00C871CF" w:rsidRPr="00D40E5C">
        <w:rPr>
          <w:lang w:val="es-ES_tradnl"/>
        </w:rPr>
        <w:t xml:space="preserve">se describen algunas medidas aplicadas para la salvaguardia del PCI en general, muchas de las cuales se examinan en otras unidades. La presente </w:t>
      </w:r>
      <w:r w:rsidR="00EE0D75" w:rsidRPr="00D40E5C">
        <w:rPr>
          <w:lang w:val="es-ES_tradnl"/>
        </w:rPr>
        <w:t>u</w:t>
      </w:r>
      <w:r w:rsidR="00EC66E7" w:rsidRPr="00D40E5C">
        <w:rPr>
          <w:lang w:val="es-ES_tradnl"/>
        </w:rPr>
        <w:t>nidad</w:t>
      </w:r>
      <w:r w:rsidR="00C871CF" w:rsidRPr="00D40E5C">
        <w:rPr>
          <w:lang w:val="es-ES_tradnl"/>
        </w:rPr>
        <w:t xml:space="preserve"> se centra sobre todo en las medidas de salvaguardia de elementos </w:t>
      </w:r>
      <w:r w:rsidR="00EE0D75" w:rsidRPr="00D40E5C">
        <w:rPr>
          <w:lang w:val="es-ES_tradnl"/>
        </w:rPr>
        <w:t xml:space="preserve">específicos </w:t>
      </w:r>
      <w:r w:rsidR="00C871CF" w:rsidRPr="00D40E5C">
        <w:rPr>
          <w:lang w:val="es-ES_tradnl"/>
        </w:rPr>
        <w:t>del PCI.</w:t>
      </w:r>
    </w:p>
    <w:p w:rsidR="00DF4753" w:rsidRPr="00D40E5C" w:rsidRDefault="008C5D66">
      <w:pPr>
        <w:pStyle w:val="Texte1"/>
        <w:rPr>
          <w:lang w:val="es-ES_tradnl"/>
        </w:rPr>
      </w:pPr>
      <w:r w:rsidRPr="00D40E5C">
        <w:rPr>
          <w:lang w:val="es-ES_tradnl"/>
        </w:rPr>
        <w:t>Para ejemplos de medidas generales de salvaguardia, véanse los</w:t>
      </w:r>
      <w:r w:rsidR="00096F21" w:rsidRPr="00D40E5C">
        <w:rPr>
          <w:lang w:val="es-ES_tradnl"/>
        </w:rPr>
        <w:t xml:space="preserve"> </w:t>
      </w:r>
      <w:r w:rsidRPr="00D40E5C">
        <w:rPr>
          <w:lang w:val="es-ES_tradnl"/>
        </w:rPr>
        <w:t>Estudios de Casos</w:t>
      </w:r>
      <w:r w:rsidR="00DF4753" w:rsidRPr="00D40E5C">
        <w:rPr>
          <w:lang w:val="es-ES_tradnl"/>
        </w:rPr>
        <w:t xml:space="preserve"> 3, 6, </w:t>
      </w:r>
      <w:r w:rsidR="00B577F8" w:rsidRPr="00D40E5C">
        <w:rPr>
          <w:lang w:val="es-ES_tradnl"/>
        </w:rPr>
        <w:t>2</w:t>
      </w:r>
      <w:r w:rsidR="006A52ED" w:rsidRPr="00D40E5C">
        <w:rPr>
          <w:lang w:val="es-ES_tradnl"/>
        </w:rPr>
        <w:t>6</w:t>
      </w:r>
      <w:r w:rsidR="00DF4753" w:rsidRPr="00D40E5C">
        <w:rPr>
          <w:lang w:val="es-ES_tradnl"/>
        </w:rPr>
        <w:t xml:space="preserve"> </w:t>
      </w:r>
      <w:r w:rsidRPr="00D40E5C">
        <w:rPr>
          <w:lang w:val="es-ES_tradnl"/>
        </w:rPr>
        <w:t>y</w:t>
      </w:r>
      <w:r w:rsidR="00DF4753" w:rsidRPr="00D40E5C">
        <w:rPr>
          <w:lang w:val="es-ES_tradnl"/>
        </w:rPr>
        <w:t xml:space="preserve"> </w:t>
      </w:r>
      <w:r w:rsidR="00B577F8" w:rsidRPr="00D40E5C">
        <w:rPr>
          <w:lang w:val="es-ES_tradnl"/>
        </w:rPr>
        <w:t>2</w:t>
      </w:r>
      <w:r w:rsidR="006A52ED" w:rsidRPr="00D40E5C">
        <w:rPr>
          <w:lang w:val="es-ES_tradnl"/>
        </w:rPr>
        <w:t>7</w:t>
      </w:r>
      <w:r w:rsidR="00DF4753" w:rsidRPr="00D40E5C">
        <w:rPr>
          <w:lang w:val="es-ES_tradnl"/>
        </w:rPr>
        <w:t>.</w:t>
      </w:r>
    </w:p>
    <w:p w:rsidR="00B43D05" w:rsidRPr="00D40E5C" w:rsidRDefault="00353472" w:rsidP="004936EF">
      <w:pPr>
        <w:pStyle w:val="Heading6"/>
        <w:rPr>
          <w:lang w:val="es-ES_tradnl"/>
        </w:rPr>
      </w:pPr>
      <w:r w:rsidRPr="00D40E5C">
        <w:rPr>
          <w:lang w:val="es-ES_tradnl"/>
        </w:rPr>
        <w:t>DIAPOSITIVA</w:t>
      </w:r>
      <w:r w:rsidR="00F75F76" w:rsidRPr="00D40E5C">
        <w:rPr>
          <w:lang w:val="es-ES_tradnl"/>
        </w:rPr>
        <w:t xml:space="preserve"> </w:t>
      </w:r>
      <w:r w:rsidR="0061655A" w:rsidRPr="00D40E5C">
        <w:rPr>
          <w:lang w:val="es-ES_tradnl"/>
        </w:rPr>
        <w:t>8</w:t>
      </w:r>
      <w:r w:rsidR="00B43D05" w:rsidRPr="00D40E5C">
        <w:rPr>
          <w:lang w:val="es-ES_tradnl"/>
        </w:rPr>
        <w:t>.</w:t>
      </w:r>
    </w:p>
    <w:p w:rsidR="00CB21E9" w:rsidRPr="00D40E5C" w:rsidRDefault="0087188C" w:rsidP="004936EF">
      <w:pPr>
        <w:pStyle w:val="diapo2"/>
        <w:rPr>
          <w:lang w:val="es-ES_tradnl"/>
        </w:rPr>
      </w:pPr>
      <w:r w:rsidRPr="00D40E5C">
        <w:rPr>
          <w:bCs/>
          <w:lang w:val="es-ES_tradnl"/>
        </w:rPr>
        <w:t>Medidas para salvaguardar elementos específicos del PCI</w:t>
      </w:r>
    </w:p>
    <w:p w:rsidR="00FF5C3F" w:rsidRPr="00D40E5C" w:rsidRDefault="00353472" w:rsidP="009909DD">
      <w:pPr>
        <w:pStyle w:val="Texte1"/>
        <w:rPr>
          <w:lang w:val="es-ES_tradnl"/>
        </w:rPr>
      </w:pPr>
      <w:r w:rsidRPr="00D40E5C">
        <w:rPr>
          <w:lang w:val="es-ES_tradnl"/>
        </w:rPr>
        <w:t>En la Sección 4 del Texto para el Participante de la presente Unidad 9</w:t>
      </w:r>
      <w:r w:rsidR="00087357" w:rsidRPr="00D40E5C">
        <w:rPr>
          <w:lang w:val="es-ES_tradnl"/>
        </w:rPr>
        <w:t xml:space="preserve"> </w:t>
      </w:r>
      <w:r w:rsidR="00C871CF" w:rsidRPr="00D40E5C">
        <w:rPr>
          <w:lang w:val="es-ES_tradnl"/>
        </w:rPr>
        <w:t>se describen qué tipos de medidas se pueden aplicar para salvaguardar elementos específicos del PCI</w:t>
      </w:r>
      <w:r w:rsidR="00087357" w:rsidRPr="00D40E5C">
        <w:rPr>
          <w:lang w:val="es-ES_tradnl"/>
        </w:rPr>
        <w:t>.</w:t>
      </w:r>
    </w:p>
    <w:p w:rsidR="00292EAA" w:rsidRPr="00D40E5C" w:rsidRDefault="00353472" w:rsidP="009909DD">
      <w:pPr>
        <w:pStyle w:val="Texte1"/>
        <w:rPr>
          <w:lang w:val="es-ES_tradnl"/>
        </w:rPr>
      </w:pPr>
      <w:r w:rsidRPr="00D40E5C">
        <w:rPr>
          <w:lang w:val="es-ES_tradnl"/>
        </w:rPr>
        <w:t>E</w:t>
      </w:r>
      <w:r w:rsidR="00C871CF" w:rsidRPr="00D40E5C">
        <w:rPr>
          <w:lang w:val="es-ES_tradnl"/>
        </w:rPr>
        <w:t>n e</w:t>
      </w:r>
      <w:r w:rsidRPr="00D40E5C">
        <w:rPr>
          <w:lang w:val="es-ES_tradnl"/>
        </w:rPr>
        <w:t>l Texto para el Participante de la</w:t>
      </w:r>
      <w:r w:rsidR="002A3923" w:rsidRPr="00D40E5C">
        <w:rPr>
          <w:lang w:val="es-ES_tradnl"/>
        </w:rPr>
        <w:t xml:space="preserve"> </w:t>
      </w:r>
      <w:r w:rsidR="00096F21" w:rsidRPr="00D40E5C">
        <w:rPr>
          <w:lang w:val="es-ES_tradnl"/>
        </w:rPr>
        <w:t>Uni</w:t>
      </w:r>
      <w:r w:rsidRPr="00D40E5C">
        <w:rPr>
          <w:lang w:val="es-ES_tradnl"/>
        </w:rPr>
        <w:t>dad</w:t>
      </w:r>
      <w:r w:rsidR="00096F21" w:rsidRPr="00D40E5C">
        <w:rPr>
          <w:lang w:val="es-ES_tradnl"/>
        </w:rPr>
        <w:t xml:space="preserve"> 3</w:t>
      </w:r>
      <w:r w:rsidR="00292EAA" w:rsidRPr="00D40E5C">
        <w:rPr>
          <w:lang w:val="es-ES_tradnl"/>
        </w:rPr>
        <w:t xml:space="preserve"> </w:t>
      </w:r>
      <w:r w:rsidR="00C871CF" w:rsidRPr="00D40E5C">
        <w:rPr>
          <w:lang w:val="es-ES_tradnl"/>
        </w:rPr>
        <w:t xml:space="preserve">figuran </w:t>
      </w:r>
      <w:r w:rsidR="00FB3A55" w:rsidRPr="00D40E5C">
        <w:rPr>
          <w:lang w:val="es-ES_tradnl"/>
        </w:rPr>
        <w:t>secciones</w:t>
      </w:r>
      <w:r w:rsidR="00C871CF" w:rsidRPr="00D40E5C">
        <w:rPr>
          <w:lang w:val="es-ES_tradnl"/>
        </w:rPr>
        <w:t xml:space="preserve"> </w:t>
      </w:r>
      <w:r w:rsidR="0070195C" w:rsidRPr="00D40E5C">
        <w:rPr>
          <w:lang w:val="es-ES_tradnl"/>
        </w:rPr>
        <w:t xml:space="preserve">dedicadas a </w:t>
      </w:r>
      <w:r w:rsidR="00C871CF" w:rsidRPr="00D40E5C">
        <w:rPr>
          <w:lang w:val="es-ES_tradnl"/>
        </w:rPr>
        <w:t xml:space="preserve">las </w:t>
      </w:r>
      <w:r w:rsidR="00A25B8C" w:rsidRPr="00D40E5C">
        <w:rPr>
          <w:lang w:val="es-ES_tradnl"/>
        </w:rPr>
        <w:t>medidas de salvaguardia</w:t>
      </w:r>
      <w:r w:rsidR="00292EAA" w:rsidRPr="00D40E5C">
        <w:rPr>
          <w:lang w:val="es-ES_tradnl"/>
        </w:rPr>
        <w:t xml:space="preserve"> </w:t>
      </w:r>
      <w:r w:rsidR="00EE0D75" w:rsidRPr="00D40E5C">
        <w:rPr>
          <w:lang w:val="es-ES_tradnl"/>
        </w:rPr>
        <w:t>descritas</w:t>
      </w:r>
      <w:r w:rsidR="008E7233" w:rsidRPr="00D40E5C">
        <w:rPr>
          <w:lang w:val="es-ES_tradnl"/>
        </w:rPr>
        <w:t xml:space="preserve"> </w:t>
      </w:r>
      <w:r w:rsidR="0070195C" w:rsidRPr="00D40E5C">
        <w:rPr>
          <w:lang w:val="es-ES_tradnl"/>
        </w:rPr>
        <w:t>aquí</w:t>
      </w:r>
      <w:r w:rsidR="00292EAA" w:rsidRPr="00D40E5C">
        <w:rPr>
          <w:lang w:val="es-ES_tradnl"/>
        </w:rPr>
        <w:t>.</w:t>
      </w:r>
    </w:p>
    <w:p w:rsidR="002C28CA" w:rsidRPr="00D40E5C" w:rsidRDefault="00353472" w:rsidP="009909DD">
      <w:pPr>
        <w:pStyle w:val="Texte1"/>
        <w:rPr>
          <w:lang w:val="es-ES_tradnl" w:eastAsia="en-US"/>
        </w:rPr>
      </w:pPr>
      <w:r w:rsidRPr="00D40E5C">
        <w:rPr>
          <w:lang w:val="es-ES_tradnl" w:eastAsia="en-US"/>
        </w:rPr>
        <w:t>En la Sección 5 del Texto para el Participante de la presente Unidad 9</w:t>
      </w:r>
      <w:r w:rsidRPr="00D40E5C">
        <w:rPr>
          <w:lang w:val="es-ES_tradnl"/>
        </w:rPr>
        <w:t xml:space="preserve"> </w:t>
      </w:r>
      <w:r w:rsidR="008E7233" w:rsidRPr="00D40E5C">
        <w:rPr>
          <w:lang w:val="es-ES_tradnl"/>
        </w:rPr>
        <w:t>se dan ejemplos de algunas medidas de salvag</w:t>
      </w:r>
      <w:r w:rsidR="0070195C" w:rsidRPr="00D40E5C">
        <w:rPr>
          <w:lang w:val="es-ES_tradnl"/>
        </w:rPr>
        <w:t xml:space="preserve">uardia, como la investigación, la </w:t>
      </w:r>
      <w:r w:rsidR="008E7233" w:rsidRPr="00D40E5C">
        <w:rPr>
          <w:lang w:val="es-ES_tradnl"/>
        </w:rPr>
        <w:t>documentación y la revitalización</w:t>
      </w:r>
      <w:r w:rsidR="002C28CA" w:rsidRPr="00D40E5C">
        <w:rPr>
          <w:lang w:val="es-ES_tradnl" w:eastAsia="en-US"/>
        </w:rPr>
        <w:t>.</w:t>
      </w:r>
    </w:p>
    <w:p w:rsidR="003076CD" w:rsidRPr="00D40E5C" w:rsidRDefault="00353472" w:rsidP="009909DD">
      <w:pPr>
        <w:pStyle w:val="Texte1"/>
        <w:rPr>
          <w:lang w:val="es-ES_tradnl" w:eastAsia="en-US"/>
        </w:rPr>
      </w:pPr>
      <w:r w:rsidRPr="00D40E5C">
        <w:rPr>
          <w:lang w:val="es-ES_tradnl" w:eastAsia="en-US"/>
        </w:rPr>
        <w:t>La Sección 6 del Texto para el Participante de la presente Unidad 9</w:t>
      </w:r>
      <w:r w:rsidR="003076CD" w:rsidRPr="00D40E5C">
        <w:rPr>
          <w:lang w:val="es-ES_tradnl" w:eastAsia="en-US"/>
        </w:rPr>
        <w:t xml:space="preserve"> </w:t>
      </w:r>
      <w:r w:rsidRPr="00D40E5C">
        <w:rPr>
          <w:lang w:val="es-ES_tradnl" w:eastAsia="en-US"/>
        </w:rPr>
        <w:t>se refiere</w:t>
      </w:r>
      <w:r w:rsidR="008E7233" w:rsidRPr="00D40E5C">
        <w:rPr>
          <w:lang w:val="es-ES_tradnl" w:eastAsia="en-US"/>
        </w:rPr>
        <w:t xml:space="preserve"> a</w:t>
      </w:r>
      <w:r w:rsidRPr="00D40E5C">
        <w:rPr>
          <w:lang w:val="es-ES_tradnl" w:eastAsia="en-US"/>
        </w:rPr>
        <w:t xml:space="preserve"> </w:t>
      </w:r>
      <w:r w:rsidR="008E7233" w:rsidRPr="00D40E5C">
        <w:rPr>
          <w:lang w:val="es-ES_tradnl"/>
        </w:rPr>
        <w:t xml:space="preserve">la importancia </w:t>
      </w:r>
      <w:r w:rsidR="00EE0D75" w:rsidRPr="00D40E5C">
        <w:rPr>
          <w:lang w:val="es-ES_tradnl"/>
        </w:rPr>
        <w:t>que tiene</w:t>
      </w:r>
      <w:r w:rsidR="008E7233" w:rsidRPr="00D40E5C">
        <w:rPr>
          <w:lang w:val="es-ES_tradnl"/>
        </w:rPr>
        <w:t xml:space="preserve"> </w:t>
      </w:r>
      <w:r w:rsidR="0070195C" w:rsidRPr="00D40E5C">
        <w:rPr>
          <w:lang w:val="es-ES_tradnl"/>
        </w:rPr>
        <w:t xml:space="preserve">el hecho de </w:t>
      </w:r>
      <w:r w:rsidR="008E7233" w:rsidRPr="00D40E5C">
        <w:rPr>
          <w:lang w:val="es-ES_tradnl"/>
        </w:rPr>
        <w:t>hacer participar a las comunidades interesadas en la salvaguardia</w:t>
      </w:r>
      <w:r w:rsidR="003076CD" w:rsidRPr="00D40E5C">
        <w:rPr>
          <w:lang w:val="es-ES_tradnl" w:eastAsia="en-US"/>
        </w:rPr>
        <w:t>.</w:t>
      </w:r>
    </w:p>
    <w:p w:rsidR="00B43D05" w:rsidRPr="00D40E5C" w:rsidRDefault="00353472" w:rsidP="004936EF">
      <w:pPr>
        <w:pStyle w:val="Heading6"/>
        <w:rPr>
          <w:lang w:val="es-ES_tradnl"/>
        </w:rPr>
      </w:pPr>
      <w:r w:rsidRPr="00D40E5C">
        <w:rPr>
          <w:lang w:val="es-ES_tradnl"/>
        </w:rPr>
        <w:lastRenderedPageBreak/>
        <w:t>DIAPOSITIVA</w:t>
      </w:r>
      <w:r w:rsidR="00DD14FB" w:rsidRPr="00D40E5C">
        <w:rPr>
          <w:lang w:val="es-ES_tradnl"/>
        </w:rPr>
        <w:t xml:space="preserve"> </w:t>
      </w:r>
      <w:r w:rsidR="00181C92" w:rsidRPr="00D40E5C">
        <w:rPr>
          <w:lang w:val="es-ES_tradnl"/>
        </w:rPr>
        <w:t>9</w:t>
      </w:r>
      <w:r w:rsidR="00B43D05" w:rsidRPr="00D40E5C">
        <w:rPr>
          <w:lang w:val="es-ES_tradnl"/>
        </w:rPr>
        <w:t>.</w:t>
      </w:r>
    </w:p>
    <w:p w:rsidR="00B53D90" w:rsidRPr="00D40E5C" w:rsidRDefault="0087188C" w:rsidP="004936EF">
      <w:pPr>
        <w:pStyle w:val="diapo2"/>
        <w:rPr>
          <w:lang w:val="es-ES_tradnl"/>
        </w:rPr>
      </w:pPr>
      <w:r w:rsidRPr="00D40E5C">
        <w:rPr>
          <w:bCs/>
          <w:lang w:val="es-ES_tradnl"/>
        </w:rPr>
        <w:t>Salvaguardia de elementos viables del PCI</w:t>
      </w:r>
    </w:p>
    <w:p w:rsidR="00285738" w:rsidRPr="00D40E5C" w:rsidRDefault="00353472" w:rsidP="009909DD">
      <w:pPr>
        <w:pStyle w:val="Texte1"/>
        <w:rPr>
          <w:lang w:val="es-ES_tradnl"/>
        </w:rPr>
      </w:pPr>
      <w:r w:rsidRPr="00D40E5C">
        <w:rPr>
          <w:lang w:val="es-ES_tradnl"/>
        </w:rPr>
        <w:t>En la Sección 5 del Texto para el Participante de la presente Unidad 9</w:t>
      </w:r>
      <w:r w:rsidR="00096F21" w:rsidRPr="00D40E5C">
        <w:rPr>
          <w:lang w:val="es-ES_tradnl"/>
        </w:rPr>
        <w:t xml:space="preserve"> </w:t>
      </w:r>
      <w:r w:rsidR="008E7233" w:rsidRPr="00D40E5C">
        <w:rPr>
          <w:lang w:val="es-ES_tradnl"/>
        </w:rPr>
        <w:t>se hace referencia a la salvaguardia de elementos viables del PCI</w:t>
      </w:r>
      <w:r w:rsidR="00285738" w:rsidRPr="00D40E5C">
        <w:rPr>
          <w:lang w:val="es-ES_tradnl"/>
        </w:rPr>
        <w:t>.</w:t>
      </w:r>
    </w:p>
    <w:p w:rsidR="00EE094D" w:rsidRPr="00D40E5C" w:rsidRDefault="0087188C" w:rsidP="004936EF">
      <w:pPr>
        <w:pStyle w:val="Soustitre"/>
        <w:rPr>
          <w:caps/>
          <w:lang w:val="es-ES_tradnl"/>
        </w:rPr>
      </w:pPr>
      <w:bookmarkStart w:id="7" w:name="_Toc238982250"/>
      <w:r w:rsidRPr="00D40E5C">
        <w:rPr>
          <w:lang w:val="es-ES_tradnl"/>
        </w:rPr>
        <w:t>Nota sobre</w:t>
      </w:r>
      <w:r w:rsidR="00EE094D" w:rsidRPr="00D40E5C">
        <w:rPr>
          <w:lang w:val="es-ES_tradnl"/>
        </w:rPr>
        <w:t xml:space="preserve"> </w:t>
      </w:r>
      <w:r w:rsidR="001B75A9" w:rsidRPr="00D40E5C">
        <w:rPr>
          <w:lang w:val="es-ES_tradnl"/>
        </w:rPr>
        <w:t xml:space="preserve">las medidas de carácter general que pueden apoyar la práctica y transmisión de elementos viables del </w:t>
      </w:r>
      <w:r w:rsidR="00A25B8C" w:rsidRPr="00D40E5C">
        <w:rPr>
          <w:lang w:val="es-ES_tradnl"/>
        </w:rPr>
        <w:t>PCI</w:t>
      </w:r>
      <w:bookmarkEnd w:id="7"/>
    </w:p>
    <w:p w:rsidR="00084F96" w:rsidRPr="00D40E5C" w:rsidRDefault="00011316" w:rsidP="009909DD">
      <w:pPr>
        <w:pStyle w:val="Texte1"/>
        <w:rPr>
          <w:lang w:val="es-ES_tradnl"/>
        </w:rPr>
      </w:pPr>
      <w:r w:rsidRPr="00D40E5C">
        <w:rPr>
          <w:lang w:val="es-ES_tradnl"/>
        </w:rPr>
        <w:t xml:space="preserve">Cuando la práctica y la transmisión de un elemento del PCI hacen que </w:t>
      </w:r>
      <w:r w:rsidR="00EE0D75" w:rsidRPr="00D40E5C">
        <w:rPr>
          <w:lang w:val="es-ES_tradnl"/>
        </w:rPr>
        <w:t xml:space="preserve">éste </w:t>
      </w:r>
      <w:r w:rsidRPr="00D40E5C">
        <w:rPr>
          <w:lang w:val="es-ES_tradnl"/>
        </w:rPr>
        <w:t>perdure en el transcurso del tiempo, no es necesario aplicar medidas específicas de salvaguardia. En este caso, puede coadyuvar a la perdurabilidad del elemento la aplicación de medidas generales de salvaguardia, pero éstas</w:t>
      </w:r>
      <w:r w:rsidR="00FA04E6" w:rsidRPr="00D40E5C">
        <w:rPr>
          <w:lang w:val="es-ES_tradnl"/>
        </w:rPr>
        <w:t xml:space="preserve"> </w:t>
      </w:r>
      <w:r w:rsidRPr="00D40E5C">
        <w:rPr>
          <w:lang w:val="es-ES_tradnl"/>
        </w:rPr>
        <w:t xml:space="preserve">deben </w:t>
      </w:r>
      <w:r w:rsidR="00EE0D75" w:rsidRPr="00D40E5C">
        <w:rPr>
          <w:lang w:val="es-ES_tradnl"/>
        </w:rPr>
        <w:t>propiciar</w:t>
      </w:r>
      <w:r w:rsidRPr="00D40E5C">
        <w:rPr>
          <w:lang w:val="es-ES_tradnl"/>
        </w:rPr>
        <w:t xml:space="preserve"> sobre todo la salvaguardia de los elementos del PCI cuya viabilidad se ve amenazada. Las medidas generales pueden comprender la creación de un contexto legislativo y administrativo </w:t>
      </w:r>
      <w:r w:rsidR="00EE0D75" w:rsidRPr="00D40E5C">
        <w:rPr>
          <w:lang w:val="es-ES_tradnl"/>
        </w:rPr>
        <w:t>favorable</w:t>
      </w:r>
      <w:r w:rsidRPr="00D40E5C">
        <w:rPr>
          <w:lang w:val="es-ES_tradnl"/>
        </w:rPr>
        <w:t xml:space="preserve"> (véase la Unidad 10), el fortalecimiento de las capacidades de las comunidades para </w:t>
      </w:r>
      <w:r w:rsidR="00EE0D75" w:rsidRPr="00D40E5C">
        <w:rPr>
          <w:lang w:val="es-ES_tradnl"/>
        </w:rPr>
        <w:t>asumir</w:t>
      </w:r>
      <w:r w:rsidRPr="00D40E5C">
        <w:rPr>
          <w:lang w:val="es-ES_tradnl"/>
        </w:rPr>
        <w:t xml:space="preserve"> la gestión de su </w:t>
      </w:r>
      <w:r w:rsidR="00F40F6E" w:rsidRPr="00D40E5C">
        <w:rPr>
          <w:lang w:val="es-ES_tradnl"/>
        </w:rPr>
        <w:t>PCI</w:t>
      </w:r>
      <w:r w:rsidRPr="00D40E5C">
        <w:rPr>
          <w:lang w:val="es-ES_tradnl"/>
        </w:rPr>
        <w:t>, si así lo desean, y la sensibilización a</w:t>
      </w:r>
      <w:r w:rsidR="00F40F6E" w:rsidRPr="00D40E5C">
        <w:rPr>
          <w:lang w:val="es-ES_tradnl"/>
        </w:rPr>
        <w:t>l valor e importancia de</w:t>
      </w:r>
      <w:r w:rsidRPr="00D40E5C">
        <w:rPr>
          <w:lang w:val="es-ES_tradnl"/>
        </w:rPr>
        <w:t xml:space="preserve"> elemento</w:t>
      </w:r>
      <w:r w:rsidR="00F40F6E" w:rsidRPr="00D40E5C">
        <w:rPr>
          <w:lang w:val="es-ES_tradnl"/>
        </w:rPr>
        <w:t>s</w:t>
      </w:r>
      <w:r w:rsidRPr="00D40E5C">
        <w:rPr>
          <w:lang w:val="es-ES_tradnl"/>
        </w:rPr>
        <w:t xml:space="preserve"> pujante</w:t>
      </w:r>
      <w:r w:rsidR="00F40F6E" w:rsidRPr="00D40E5C">
        <w:rPr>
          <w:lang w:val="es-ES_tradnl"/>
        </w:rPr>
        <w:t>s del PCI</w:t>
      </w:r>
      <w:r w:rsidRPr="00D40E5C">
        <w:rPr>
          <w:lang w:val="es-ES_tradnl"/>
        </w:rPr>
        <w:t xml:space="preserve"> (véase la Unidad 5).</w:t>
      </w:r>
    </w:p>
    <w:p w:rsidR="00B43D05" w:rsidRPr="00D40E5C" w:rsidRDefault="00353472" w:rsidP="004936EF">
      <w:pPr>
        <w:pStyle w:val="Heading6"/>
        <w:rPr>
          <w:lang w:val="es-ES_tradnl"/>
        </w:rPr>
      </w:pPr>
      <w:r w:rsidRPr="00D40E5C">
        <w:rPr>
          <w:lang w:val="es-ES_tradnl"/>
        </w:rPr>
        <w:t>DIAPOSITIVA</w:t>
      </w:r>
      <w:r w:rsidR="004C284A" w:rsidRPr="00D40E5C">
        <w:rPr>
          <w:lang w:val="es-ES_tradnl"/>
        </w:rPr>
        <w:t xml:space="preserve"> </w:t>
      </w:r>
      <w:r w:rsidR="00251BAC" w:rsidRPr="00D40E5C">
        <w:rPr>
          <w:lang w:val="es-ES_tradnl"/>
        </w:rPr>
        <w:t>1</w:t>
      </w:r>
      <w:r w:rsidR="00181C92" w:rsidRPr="00D40E5C">
        <w:rPr>
          <w:lang w:val="es-ES_tradnl"/>
        </w:rPr>
        <w:t>0</w:t>
      </w:r>
      <w:r w:rsidR="00B43D05" w:rsidRPr="00D40E5C">
        <w:rPr>
          <w:lang w:val="es-ES_tradnl"/>
        </w:rPr>
        <w:t>.</w:t>
      </w:r>
    </w:p>
    <w:p w:rsidR="004C284A" w:rsidRPr="00D40E5C" w:rsidRDefault="00F7111C" w:rsidP="004936EF">
      <w:pPr>
        <w:pStyle w:val="diapo2"/>
        <w:rPr>
          <w:lang w:val="es-ES_tradnl"/>
        </w:rPr>
      </w:pPr>
      <w:r w:rsidRPr="00D40E5C">
        <w:rPr>
          <w:bCs/>
          <w:lang w:val="es-ES_tradnl"/>
        </w:rPr>
        <w:t>A</w:t>
      </w:r>
      <w:r w:rsidR="0087188C" w:rsidRPr="00D40E5C">
        <w:rPr>
          <w:bCs/>
          <w:lang w:val="es-ES_tradnl"/>
        </w:rPr>
        <w:t>frontar las amenazas y los riesgos</w:t>
      </w:r>
    </w:p>
    <w:p w:rsidR="00632D66" w:rsidRPr="00D40E5C" w:rsidRDefault="00353472" w:rsidP="009909DD">
      <w:pPr>
        <w:pStyle w:val="Texte1"/>
        <w:rPr>
          <w:lang w:val="es-ES_tradnl"/>
        </w:rPr>
      </w:pPr>
      <w:r w:rsidRPr="00D40E5C">
        <w:rPr>
          <w:lang w:val="es-ES_tradnl"/>
        </w:rPr>
        <w:t>En la Sección 4 del Texto para el Participante de la presente Unidad 9</w:t>
      </w:r>
      <w:r w:rsidR="00096F21" w:rsidRPr="00D40E5C">
        <w:rPr>
          <w:lang w:val="es-ES_tradnl"/>
        </w:rPr>
        <w:t xml:space="preserve"> </w:t>
      </w:r>
      <w:r w:rsidR="00011316" w:rsidRPr="00D40E5C">
        <w:rPr>
          <w:lang w:val="es-ES_tradnl"/>
        </w:rPr>
        <w:t xml:space="preserve">se presentan medidas específicas de salvaguardia con vistas a afrontar </w:t>
      </w:r>
      <w:r w:rsidR="00F55B66" w:rsidRPr="00D40E5C">
        <w:rPr>
          <w:lang w:val="es-ES_tradnl"/>
        </w:rPr>
        <w:t xml:space="preserve">las </w:t>
      </w:r>
      <w:r w:rsidR="00011316" w:rsidRPr="00D40E5C">
        <w:rPr>
          <w:lang w:val="es-ES_tradnl"/>
        </w:rPr>
        <w:t xml:space="preserve">amenazas y </w:t>
      </w:r>
      <w:r w:rsidR="00F55B66" w:rsidRPr="00D40E5C">
        <w:rPr>
          <w:lang w:val="es-ES_tradnl"/>
        </w:rPr>
        <w:t xml:space="preserve">los </w:t>
      </w:r>
      <w:r w:rsidR="00011316" w:rsidRPr="00D40E5C">
        <w:rPr>
          <w:lang w:val="es-ES_tradnl"/>
        </w:rPr>
        <w:t>riesgos para la viabilidad de elementos del PCI</w:t>
      </w:r>
      <w:r w:rsidR="00632D66" w:rsidRPr="00D40E5C">
        <w:rPr>
          <w:lang w:val="es-ES_tradnl"/>
        </w:rPr>
        <w:t>.</w:t>
      </w:r>
    </w:p>
    <w:p w:rsidR="00632D66" w:rsidRPr="00D40E5C" w:rsidRDefault="00353472" w:rsidP="009909DD">
      <w:pPr>
        <w:pStyle w:val="Texte1"/>
        <w:rPr>
          <w:lang w:val="es-ES_tradnl"/>
        </w:rPr>
      </w:pPr>
      <w:r w:rsidRPr="00D40E5C">
        <w:rPr>
          <w:lang w:val="es-ES_tradnl"/>
        </w:rPr>
        <w:t>En la Sección 7 del Texto para el Participante de la presente Unidad 9</w:t>
      </w:r>
      <w:r w:rsidR="00011316" w:rsidRPr="00D40E5C">
        <w:rPr>
          <w:lang w:val="es-ES_tradnl"/>
        </w:rPr>
        <w:t xml:space="preserve"> se examina cómo se elaboran las </w:t>
      </w:r>
      <w:r w:rsidR="00A25B8C" w:rsidRPr="00D40E5C">
        <w:rPr>
          <w:lang w:val="es-ES_tradnl"/>
        </w:rPr>
        <w:t>medidas de salvaguardia</w:t>
      </w:r>
      <w:r w:rsidR="00632D66" w:rsidRPr="00D40E5C">
        <w:rPr>
          <w:lang w:val="es-ES_tradnl"/>
        </w:rPr>
        <w:t>.</w:t>
      </w:r>
    </w:p>
    <w:p w:rsidR="00632D66" w:rsidRPr="00D40E5C" w:rsidRDefault="0087188C" w:rsidP="004936EF">
      <w:pPr>
        <w:pStyle w:val="Soustitre"/>
        <w:rPr>
          <w:caps/>
          <w:lang w:val="es-ES_tradnl"/>
        </w:rPr>
      </w:pPr>
      <w:bookmarkStart w:id="8" w:name="_Toc238982251"/>
      <w:r w:rsidRPr="00D40E5C">
        <w:rPr>
          <w:lang w:val="es-ES_tradnl"/>
        </w:rPr>
        <w:t>Nota sobre</w:t>
      </w:r>
      <w:r w:rsidR="00632D66" w:rsidRPr="00D40E5C">
        <w:rPr>
          <w:lang w:val="es-ES_tradnl"/>
        </w:rPr>
        <w:t xml:space="preserve"> </w:t>
      </w:r>
      <w:r w:rsidR="001B75A9" w:rsidRPr="00D40E5C">
        <w:rPr>
          <w:lang w:val="es-ES_tradnl"/>
        </w:rPr>
        <w:t>los tipos de amenazas y riesgos que pueden poner en peligro la</w:t>
      </w:r>
      <w:r w:rsidR="00632D66" w:rsidRPr="00D40E5C">
        <w:rPr>
          <w:lang w:val="es-ES_tradnl"/>
        </w:rPr>
        <w:t xml:space="preserve"> viabili</w:t>
      </w:r>
      <w:r w:rsidR="001B75A9" w:rsidRPr="00D40E5C">
        <w:rPr>
          <w:lang w:val="es-ES_tradnl"/>
        </w:rPr>
        <w:t>dad</w:t>
      </w:r>
      <w:r w:rsidR="00632D66" w:rsidRPr="00D40E5C">
        <w:rPr>
          <w:lang w:val="es-ES_tradnl"/>
        </w:rPr>
        <w:t xml:space="preserve"> </w:t>
      </w:r>
      <w:r w:rsidR="001B75A9" w:rsidRPr="00D40E5C">
        <w:rPr>
          <w:lang w:val="es-ES_tradnl"/>
        </w:rPr>
        <w:t>del</w:t>
      </w:r>
      <w:r w:rsidR="00632D66" w:rsidRPr="00D40E5C">
        <w:rPr>
          <w:lang w:val="es-ES_tradnl"/>
        </w:rPr>
        <w:t xml:space="preserve"> </w:t>
      </w:r>
      <w:r w:rsidR="00A25B8C" w:rsidRPr="00D40E5C">
        <w:rPr>
          <w:lang w:val="es-ES_tradnl"/>
        </w:rPr>
        <w:t>PCI</w:t>
      </w:r>
      <w:bookmarkEnd w:id="8"/>
    </w:p>
    <w:p w:rsidR="0080286F" w:rsidRPr="00D40E5C" w:rsidRDefault="00F40F6E" w:rsidP="009909DD">
      <w:pPr>
        <w:pStyle w:val="Texte1"/>
        <w:rPr>
          <w:lang w:val="es-ES_tradnl"/>
        </w:rPr>
      </w:pPr>
      <w:r w:rsidRPr="00D40E5C">
        <w:rPr>
          <w:lang w:val="es-ES_tradnl"/>
        </w:rPr>
        <w:t>La</w:t>
      </w:r>
      <w:r w:rsidR="00011316" w:rsidRPr="00D40E5C">
        <w:rPr>
          <w:lang w:val="es-ES_tradnl"/>
        </w:rPr>
        <w:t xml:space="preserve"> viabilidad del PCI puede peligrar a causa de </w:t>
      </w:r>
      <w:r w:rsidR="00B70458" w:rsidRPr="00D40E5C">
        <w:rPr>
          <w:lang w:val="es-ES_tradnl"/>
        </w:rPr>
        <w:t>amenazas y riesgos</w:t>
      </w:r>
      <w:r w:rsidR="00011316" w:rsidRPr="00D40E5C">
        <w:rPr>
          <w:lang w:val="es-ES_tradnl"/>
        </w:rPr>
        <w:t xml:space="preserve"> de diverso tipo, por ejemplo</w:t>
      </w:r>
      <w:r w:rsidR="0080286F" w:rsidRPr="00D40E5C">
        <w:rPr>
          <w:lang w:val="es-ES_tradnl"/>
        </w:rPr>
        <w:t>:</w:t>
      </w:r>
    </w:p>
    <w:p w:rsidR="00794FED" w:rsidRPr="00D40E5C" w:rsidRDefault="00823D8E" w:rsidP="0070195C">
      <w:pPr>
        <w:pStyle w:val="nutiret"/>
        <w:numPr>
          <w:ilvl w:val="0"/>
          <w:numId w:val="159"/>
        </w:numPr>
        <w:rPr>
          <w:szCs w:val="20"/>
          <w:lang w:val="es-ES_tradnl"/>
        </w:rPr>
      </w:pPr>
      <w:r w:rsidRPr="00D40E5C">
        <w:rPr>
          <w:lang w:val="es-ES_tradnl"/>
        </w:rPr>
        <w:t>amenazas para los sistem</w:t>
      </w:r>
      <w:r w:rsidR="00F40F6E" w:rsidRPr="00D40E5C">
        <w:rPr>
          <w:lang w:val="es-ES_tradnl"/>
        </w:rPr>
        <w:t>as de transmisión tradicionales: cambio de los modos de vida,</w:t>
      </w:r>
      <w:r w:rsidRPr="00D40E5C">
        <w:rPr>
          <w:lang w:val="es-ES_tradnl"/>
        </w:rPr>
        <w:t xml:space="preserve"> pérdida de interés de los jóvenes por el aprendizaje o la pr</w:t>
      </w:r>
      <w:r w:rsidR="00F40F6E" w:rsidRPr="00D40E5C">
        <w:rPr>
          <w:lang w:val="es-ES_tradnl"/>
        </w:rPr>
        <w:t>áctica de los elementos del PCI y</w:t>
      </w:r>
      <w:r w:rsidRPr="00D40E5C">
        <w:rPr>
          <w:lang w:val="es-ES_tradnl"/>
        </w:rPr>
        <w:t xml:space="preserve"> escasa demanda de los productos fabricados con técnicas tradicionales;</w:t>
      </w:r>
    </w:p>
    <w:p w:rsidR="00794FED" w:rsidRPr="00D40E5C" w:rsidRDefault="00823D8E" w:rsidP="0070195C">
      <w:pPr>
        <w:pStyle w:val="nutiret"/>
        <w:numPr>
          <w:ilvl w:val="0"/>
          <w:numId w:val="159"/>
        </w:numPr>
        <w:rPr>
          <w:szCs w:val="20"/>
          <w:lang w:val="es-ES_tradnl"/>
        </w:rPr>
      </w:pPr>
      <w:r w:rsidRPr="00D40E5C">
        <w:rPr>
          <w:lang w:val="es-ES_tradnl"/>
        </w:rPr>
        <w:t xml:space="preserve">actitudes negativas, como intolerancia e incomprensión con respecto al PCI de una comunidad, o con respeto a </w:t>
      </w:r>
      <w:r w:rsidR="0070195C" w:rsidRPr="00D40E5C">
        <w:rPr>
          <w:lang w:val="es-ES_tradnl"/>
        </w:rPr>
        <w:t>uno o varios</w:t>
      </w:r>
      <w:r w:rsidRPr="00D40E5C">
        <w:rPr>
          <w:lang w:val="es-ES_tradnl"/>
        </w:rPr>
        <w:t xml:space="preserve"> componente</w:t>
      </w:r>
      <w:r w:rsidR="0070195C" w:rsidRPr="00D40E5C">
        <w:rPr>
          <w:lang w:val="es-ES_tradnl"/>
        </w:rPr>
        <w:t>s</w:t>
      </w:r>
      <w:r w:rsidRPr="00D40E5C">
        <w:rPr>
          <w:lang w:val="es-ES_tradnl"/>
        </w:rPr>
        <w:t xml:space="preserve"> de éste, ya sea por parte de las autoridades, del público en general, de los miembros de otras comunidades, o de individuos y grupos de la propia comunidad interesada;</w:t>
      </w:r>
    </w:p>
    <w:p w:rsidR="00794FED" w:rsidRPr="00D40E5C" w:rsidRDefault="00823D8E" w:rsidP="0070195C">
      <w:pPr>
        <w:pStyle w:val="nutiret"/>
        <w:numPr>
          <w:ilvl w:val="0"/>
          <w:numId w:val="159"/>
        </w:numPr>
        <w:rPr>
          <w:szCs w:val="20"/>
          <w:lang w:val="es-ES_tradnl"/>
        </w:rPr>
      </w:pPr>
      <w:r w:rsidRPr="00D40E5C">
        <w:rPr>
          <w:lang w:val="es-ES_tradnl"/>
        </w:rPr>
        <w:t>amenazas al carácter vivo del PCI</w:t>
      </w:r>
      <w:r w:rsidR="00F40F6E" w:rsidRPr="00D40E5C">
        <w:rPr>
          <w:lang w:val="es-ES_tradnl"/>
        </w:rPr>
        <w:t>,</w:t>
      </w:r>
      <w:r w:rsidRPr="00D40E5C">
        <w:rPr>
          <w:lang w:val="es-ES_tradnl"/>
        </w:rPr>
        <w:t xml:space="preserve"> entrañadas por la organización de eventos, la “fosilización” </w:t>
      </w:r>
      <w:r w:rsidR="00F40F6E" w:rsidRPr="00D40E5C">
        <w:rPr>
          <w:lang w:val="es-ES_tradnl"/>
        </w:rPr>
        <w:t xml:space="preserve">de los elementos </w:t>
      </w:r>
      <w:r w:rsidRPr="00D40E5C">
        <w:rPr>
          <w:lang w:val="es-ES_tradnl"/>
        </w:rPr>
        <w:t xml:space="preserve">y </w:t>
      </w:r>
      <w:r w:rsidR="00F40F6E" w:rsidRPr="00D40E5C">
        <w:rPr>
          <w:lang w:val="es-ES_tradnl"/>
        </w:rPr>
        <w:t>su</w:t>
      </w:r>
      <w:r w:rsidRPr="00D40E5C">
        <w:rPr>
          <w:lang w:val="es-ES_tradnl"/>
        </w:rPr>
        <w:t xml:space="preserve"> comercialización excesiva; </w:t>
      </w:r>
      <w:r w:rsidR="00F40F6E" w:rsidRPr="00D40E5C">
        <w:rPr>
          <w:lang w:val="es-ES_tradnl"/>
        </w:rPr>
        <w:t>e</w:t>
      </w:r>
    </w:p>
    <w:p w:rsidR="0080286F" w:rsidRPr="00D40E5C" w:rsidRDefault="00823D8E" w:rsidP="0070195C">
      <w:pPr>
        <w:pStyle w:val="nutiret"/>
        <w:numPr>
          <w:ilvl w:val="0"/>
          <w:numId w:val="159"/>
        </w:numPr>
        <w:rPr>
          <w:szCs w:val="20"/>
          <w:lang w:val="es-ES_tradnl"/>
        </w:rPr>
      </w:pPr>
      <w:r w:rsidRPr="00D40E5C">
        <w:rPr>
          <w:lang w:val="es-ES_tradnl"/>
        </w:rPr>
        <w:t xml:space="preserve">indisponibilidad de los materiales específicos, espacios y oportunidades que se necesitan para la práctica del PCI, </w:t>
      </w:r>
      <w:r w:rsidR="00F40F6E" w:rsidRPr="00D40E5C">
        <w:rPr>
          <w:lang w:val="es-ES_tradnl"/>
        </w:rPr>
        <w:t>ocasionada por</w:t>
      </w:r>
      <w:r w:rsidRPr="00D40E5C">
        <w:rPr>
          <w:lang w:val="es-ES_tradnl"/>
        </w:rPr>
        <w:t xml:space="preserve"> fenómenos como deforestaciones, migraciones, cambios sociales y represiones</w:t>
      </w:r>
      <w:r w:rsidR="00794FED" w:rsidRPr="00D40E5C">
        <w:rPr>
          <w:szCs w:val="20"/>
          <w:lang w:val="es-ES_tradnl"/>
        </w:rPr>
        <w:t>.</w:t>
      </w:r>
    </w:p>
    <w:p w:rsidR="00B43D05" w:rsidRPr="00D40E5C" w:rsidRDefault="00353472" w:rsidP="004936EF">
      <w:pPr>
        <w:pStyle w:val="Heading6"/>
        <w:rPr>
          <w:lang w:val="es-ES_tradnl"/>
        </w:rPr>
      </w:pPr>
      <w:r w:rsidRPr="00D40E5C">
        <w:rPr>
          <w:lang w:val="es-ES_tradnl"/>
        </w:rPr>
        <w:lastRenderedPageBreak/>
        <w:t>DIAPOSITIVA</w:t>
      </w:r>
      <w:r w:rsidR="001C27DF" w:rsidRPr="00D40E5C">
        <w:rPr>
          <w:lang w:val="es-ES_tradnl"/>
        </w:rPr>
        <w:t xml:space="preserve"> </w:t>
      </w:r>
      <w:r w:rsidR="00251BAC" w:rsidRPr="00D40E5C">
        <w:rPr>
          <w:lang w:val="es-ES_tradnl"/>
        </w:rPr>
        <w:t>1</w:t>
      </w:r>
      <w:r w:rsidR="00181C92" w:rsidRPr="00D40E5C">
        <w:rPr>
          <w:lang w:val="es-ES_tradnl"/>
        </w:rPr>
        <w:t>1</w:t>
      </w:r>
      <w:r w:rsidR="00B43D05" w:rsidRPr="00D40E5C">
        <w:rPr>
          <w:lang w:val="es-ES_tradnl"/>
        </w:rPr>
        <w:t>.</w:t>
      </w:r>
    </w:p>
    <w:p w:rsidR="001C27DF" w:rsidRPr="00D40E5C" w:rsidRDefault="00F55B66" w:rsidP="004936EF">
      <w:pPr>
        <w:pStyle w:val="diapo2"/>
        <w:rPr>
          <w:lang w:val="es-ES_tradnl"/>
        </w:rPr>
      </w:pPr>
      <w:r w:rsidRPr="00D40E5C">
        <w:rPr>
          <w:lang w:val="es-ES_tradnl"/>
        </w:rPr>
        <w:t>La c</w:t>
      </w:r>
      <w:r w:rsidR="00ED5D2E" w:rsidRPr="00D40E5C">
        <w:rPr>
          <w:lang w:val="es-ES_tradnl"/>
        </w:rPr>
        <w:t>er</w:t>
      </w:r>
      <w:r w:rsidR="001B75A9" w:rsidRPr="00D40E5C">
        <w:rPr>
          <w:lang w:val="es-ES_tradnl"/>
        </w:rPr>
        <w:t>emoni</w:t>
      </w:r>
      <w:r w:rsidR="00ED5D2E" w:rsidRPr="00D40E5C">
        <w:rPr>
          <w:lang w:val="es-ES_tradnl"/>
        </w:rPr>
        <w:t>a ritual de los Voladores (México)</w:t>
      </w:r>
    </w:p>
    <w:p w:rsidR="00BF4CFB" w:rsidRPr="00D40E5C" w:rsidRDefault="00353472" w:rsidP="009909DD">
      <w:pPr>
        <w:pStyle w:val="Texte1"/>
        <w:rPr>
          <w:lang w:val="es-ES_tradnl"/>
        </w:rPr>
      </w:pPr>
      <w:r w:rsidRPr="00D40E5C">
        <w:rPr>
          <w:lang w:val="es-ES_tradnl"/>
        </w:rPr>
        <w:t>E</w:t>
      </w:r>
      <w:r w:rsidR="00823D8E" w:rsidRPr="00D40E5C">
        <w:rPr>
          <w:lang w:val="es-ES_tradnl"/>
        </w:rPr>
        <w:t>n el E</w:t>
      </w:r>
      <w:r w:rsidRPr="00D40E5C">
        <w:rPr>
          <w:lang w:val="es-ES_tradnl"/>
        </w:rPr>
        <w:t>studio de Caso</w:t>
      </w:r>
      <w:r w:rsidR="00442E1A" w:rsidRPr="00D40E5C">
        <w:rPr>
          <w:lang w:val="es-ES_tradnl"/>
        </w:rPr>
        <w:t> </w:t>
      </w:r>
      <w:r w:rsidR="00B577F8" w:rsidRPr="00D40E5C">
        <w:rPr>
          <w:lang w:val="es-ES_tradnl"/>
        </w:rPr>
        <w:t>22</w:t>
      </w:r>
      <w:r w:rsidR="00641AE2" w:rsidRPr="00D40E5C">
        <w:rPr>
          <w:lang w:val="es-ES_tradnl"/>
        </w:rPr>
        <w:t xml:space="preserve"> </w:t>
      </w:r>
      <w:r w:rsidR="00823D8E" w:rsidRPr="00D40E5C">
        <w:rPr>
          <w:lang w:val="es-ES_tradnl"/>
        </w:rPr>
        <w:t>se examinan las</w:t>
      </w:r>
      <w:r w:rsidR="00641AE2" w:rsidRPr="00D40E5C">
        <w:rPr>
          <w:lang w:val="es-ES_tradnl"/>
        </w:rPr>
        <w:t xml:space="preserve"> </w:t>
      </w:r>
      <w:r w:rsidR="00A25B8C" w:rsidRPr="00D40E5C">
        <w:rPr>
          <w:lang w:val="es-ES_tradnl"/>
        </w:rPr>
        <w:t>medidas de salvaguardia</w:t>
      </w:r>
      <w:r w:rsidR="00641AE2" w:rsidRPr="00D40E5C">
        <w:rPr>
          <w:lang w:val="es-ES_tradnl"/>
        </w:rPr>
        <w:t xml:space="preserve"> </w:t>
      </w:r>
      <w:r w:rsidR="00823D8E" w:rsidRPr="00D40E5C">
        <w:rPr>
          <w:lang w:val="es-ES_tradnl"/>
        </w:rPr>
        <w:t xml:space="preserve">elaboradas para afrontar las amenazas que pesan sobre la viabilidad de </w:t>
      </w:r>
      <w:r w:rsidR="005C7838" w:rsidRPr="00D40E5C">
        <w:rPr>
          <w:lang w:val="es-ES_tradnl"/>
        </w:rPr>
        <w:t xml:space="preserve">“La ceremonia </w:t>
      </w:r>
      <w:r w:rsidR="00823D8E" w:rsidRPr="00D40E5C">
        <w:rPr>
          <w:lang w:val="es-ES_tradnl"/>
        </w:rPr>
        <w:t>ritual de los Voladores</w:t>
      </w:r>
      <w:r w:rsidR="005C7838" w:rsidRPr="00D40E5C">
        <w:rPr>
          <w:lang w:val="es-ES_tradnl"/>
        </w:rPr>
        <w:t>”</w:t>
      </w:r>
      <w:r w:rsidR="00823D8E" w:rsidRPr="00D40E5C">
        <w:rPr>
          <w:lang w:val="es-ES_tradnl"/>
        </w:rPr>
        <w:t xml:space="preserve"> en México</w:t>
      </w:r>
      <w:r w:rsidR="00641AE2" w:rsidRPr="00D40E5C">
        <w:rPr>
          <w:lang w:val="es-ES_tradnl"/>
        </w:rPr>
        <w:t>.</w:t>
      </w:r>
    </w:p>
    <w:p w:rsidR="002B31F4" w:rsidRPr="00D40E5C" w:rsidRDefault="001932F0" w:rsidP="00DA2CDD">
      <w:pPr>
        <w:pStyle w:val="Soustitre"/>
        <w:rPr>
          <w:lang w:val="es-ES_tradnl"/>
        </w:rPr>
      </w:pPr>
      <w:bookmarkStart w:id="9" w:name="_Toc238982252"/>
      <w:r w:rsidRPr="00D40E5C">
        <w:rPr>
          <w:lang w:val="es-ES_tradnl"/>
        </w:rPr>
        <w:t xml:space="preserve">Cuestiones importantes que se deben </w:t>
      </w:r>
      <w:bookmarkEnd w:id="9"/>
      <w:r w:rsidRPr="00D40E5C">
        <w:rPr>
          <w:lang w:val="es-ES_tradnl"/>
        </w:rPr>
        <w:t>tener en cuenta</w:t>
      </w:r>
    </w:p>
    <w:p w:rsidR="001C27DF" w:rsidRPr="00D40E5C" w:rsidRDefault="005C7838" w:rsidP="009909DD">
      <w:pPr>
        <w:pStyle w:val="Texte1"/>
        <w:rPr>
          <w:lang w:val="es-ES_tradnl"/>
        </w:rPr>
      </w:pPr>
      <w:r w:rsidRPr="00D40E5C">
        <w:rPr>
          <w:lang w:val="es-ES_tradnl"/>
        </w:rPr>
        <w:t xml:space="preserve">La vitalidad de “La ceremonia ritual de los Voladores” es suficiente, pero al igual que muchos otros </w:t>
      </w:r>
      <w:r w:rsidR="001C27DF" w:rsidRPr="00D40E5C">
        <w:rPr>
          <w:lang w:val="es-ES_tradnl"/>
        </w:rPr>
        <w:t>element</w:t>
      </w:r>
      <w:r w:rsidRPr="00D40E5C">
        <w:rPr>
          <w:lang w:val="es-ES_tradnl"/>
        </w:rPr>
        <w:t>os del PCI tiene que afrontar actualmente una serie de amenazas, a saber:</w:t>
      </w:r>
    </w:p>
    <w:p w:rsidR="001C27DF" w:rsidRPr="00D40E5C" w:rsidRDefault="005C7838" w:rsidP="004936EF">
      <w:pPr>
        <w:pStyle w:val="nutiret"/>
        <w:rPr>
          <w:szCs w:val="20"/>
          <w:lang w:val="es-ES_tradnl"/>
        </w:rPr>
      </w:pPr>
      <w:r w:rsidRPr="00D40E5C">
        <w:rPr>
          <w:szCs w:val="20"/>
          <w:lang w:val="es-ES_tradnl"/>
        </w:rPr>
        <w:t>solamente se suele representar una parte de la ceremonia</w:t>
      </w:r>
      <w:r w:rsidR="00DF54ED" w:rsidRPr="00D40E5C">
        <w:rPr>
          <w:szCs w:val="20"/>
          <w:lang w:val="es-ES_tradnl"/>
        </w:rPr>
        <w:t xml:space="preserve"> </w:t>
      </w:r>
      <w:r w:rsidR="00EC0E3A" w:rsidRPr="00D40E5C">
        <w:rPr>
          <w:szCs w:val="20"/>
          <w:lang w:val="es-ES_tradnl"/>
        </w:rPr>
        <w:t xml:space="preserve">ritual </w:t>
      </w:r>
      <w:r w:rsidRPr="00D40E5C">
        <w:rPr>
          <w:szCs w:val="20"/>
          <w:lang w:val="es-ES_tradnl"/>
        </w:rPr>
        <w:t>para los turistas</w:t>
      </w:r>
      <w:r w:rsidR="00DF54ED" w:rsidRPr="00D40E5C">
        <w:rPr>
          <w:szCs w:val="20"/>
          <w:lang w:val="es-ES_tradnl"/>
        </w:rPr>
        <w:t>;</w:t>
      </w:r>
      <w:r w:rsidR="001C27DF" w:rsidRPr="00D40E5C">
        <w:rPr>
          <w:szCs w:val="20"/>
          <w:lang w:val="es-ES_tradnl"/>
        </w:rPr>
        <w:t xml:space="preserve"> </w:t>
      </w:r>
    </w:p>
    <w:p w:rsidR="001C27DF" w:rsidRPr="00D40E5C" w:rsidRDefault="005C7838" w:rsidP="004936EF">
      <w:pPr>
        <w:pStyle w:val="nutiret"/>
        <w:rPr>
          <w:szCs w:val="20"/>
          <w:lang w:val="es-ES_tradnl"/>
        </w:rPr>
      </w:pPr>
      <w:r w:rsidRPr="00D40E5C">
        <w:rPr>
          <w:szCs w:val="20"/>
          <w:lang w:val="es-ES_tradnl"/>
        </w:rPr>
        <w:t xml:space="preserve">cada vez escasean más los árboles con que se fabrican los mástiles de madera necesarios para </w:t>
      </w:r>
      <w:r w:rsidR="00EC0E3A" w:rsidRPr="00D40E5C">
        <w:rPr>
          <w:szCs w:val="20"/>
          <w:lang w:val="es-ES_tradnl"/>
        </w:rPr>
        <w:t>la ceremonia</w:t>
      </w:r>
      <w:r w:rsidR="00DF54ED" w:rsidRPr="00D40E5C">
        <w:rPr>
          <w:szCs w:val="20"/>
          <w:lang w:val="es-ES_tradnl"/>
        </w:rPr>
        <w:t>;</w:t>
      </w:r>
      <w:r w:rsidR="001C27DF" w:rsidRPr="00D40E5C">
        <w:rPr>
          <w:szCs w:val="20"/>
          <w:lang w:val="es-ES_tradnl"/>
        </w:rPr>
        <w:t xml:space="preserve"> </w:t>
      </w:r>
      <w:r w:rsidRPr="00D40E5C">
        <w:rPr>
          <w:szCs w:val="20"/>
          <w:lang w:val="es-ES_tradnl"/>
        </w:rPr>
        <w:t>y</w:t>
      </w:r>
    </w:p>
    <w:p w:rsidR="001C27DF" w:rsidRPr="00D40E5C" w:rsidRDefault="005C7838" w:rsidP="004936EF">
      <w:pPr>
        <w:pStyle w:val="nutiret"/>
        <w:rPr>
          <w:szCs w:val="20"/>
          <w:lang w:val="es-ES_tradnl"/>
        </w:rPr>
      </w:pPr>
      <w:r w:rsidRPr="00D40E5C">
        <w:rPr>
          <w:szCs w:val="20"/>
          <w:lang w:val="es-ES_tradnl"/>
        </w:rPr>
        <w:t xml:space="preserve">se están perdiendo los aspectos </w:t>
      </w:r>
      <w:r w:rsidR="001C27DF" w:rsidRPr="00D40E5C">
        <w:rPr>
          <w:szCs w:val="20"/>
          <w:lang w:val="es-ES_tradnl"/>
        </w:rPr>
        <w:t>ritual</w:t>
      </w:r>
      <w:r w:rsidRPr="00D40E5C">
        <w:rPr>
          <w:szCs w:val="20"/>
          <w:lang w:val="es-ES_tradnl"/>
        </w:rPr>
        <w:t>es</w:t>
      </w:r>
      <w:r w:rsidR="001C27DF" w:rsidRPr="00D40E5C">
        <w:rPr>
          <w:szCs w:val="20"/>
          <w:lang w:val="es-ES_tradnl"/>
        </w:rPr>
        <w:t xml:space="preserve"> </w:t>
      </w:r>
      <w:r w:rsidR="00EC0E3A" w:rsidRPr="00D40E5C">
        <w:rPr>
          <w:szCs w:val="20"/>
          <w:lang w:val="es-ES_tradnl"/>
        </w:rPr>
        <w:t>y</w:t>
      </w:r>
      <w:r w:rsidR="001C27DF" w:rsidRPr="00D40E5C">
        <w:rPr>
          <w:szCs w:val="20"/>
          <w:lang w:val="es-ES_tradnl"/>
        </w:rPr>
        <w:t xml:space="preserve"> </w:t>
      </w:r>
      <w:r w:rsidRPr="00D40E5C">
        <w:rPr>
          <w:szCs w:val="20"/>
          <w:lang w:val="es-ES_tradnl"/>
        </w:rPr>
        <w:t>espirituales</w:t>
      </w:r>
      <w:r w:rsidR="00EC0E3A" w:rsidRPr="00D40E5C">
        <w:rPr>
          <w:szCs w:val="20"/>
          <w:lang w:val="es-ES_tradnl"/>
        </w:rPr>
        <w:t xml:space="preserve"> </w:t>
      </w:r>
      <w:r w:rsidRPr="00D40E5C">
        <w:rPr>
          <w:szCs w:val="20"/>
          <w:lang w:val="es-ES_tradnl"/>
        </w:rPr>
        <w:t>del elemento</w:t>
      </w:r>
      <w:r w:rsidR="00DF54ED" w:rsidRPr="00D40E5C">
        <w:rPr>
          <w:szCs w:val="20"/>
          <w:lang w:val="es-ES_tradnl"/>
        </w:rPr>
        <w:t>.</w:t>
      </w:r>
    </w:p>
    <w:p w:rsidR="00B43D05" w:rsidRPr="00D40E5C" w:rsidRDefault="00EC0E3A" w:rsidP="009909DD">
      <w:pPr>
        <w:pStyle w:val="Texte1"/>
        <w:rPr>
          <w:lang w:val="es-ES_tradnl"/>
        </w:rPr>
      </w:pPr>
      <w:r w:rsidRPr="00D40E5C">
        <w:rPr>
          <w:lang w:val="es-ES_tradnl"/>
        </w:rPr>
        <w:t>Se han elaborado medidas de salvaguardia para hacer frente a estas amenazas</w:t>
      </w:r>
      <w:r w:rsidR="002B31F4" w:rsidRPr="00D40E5C">
        <w:rPr>
          <w:lang w:val="es-ES_tradnl"/>
        </w:rPr>
        <w:t xml:space="preserve">. </w:t>
      </w:r>
    </w:p>
    <w:p w:rsidR="00126899" w:rsidRPr="00D40E5C" w:rsidRDefault="00BD1E82" w:rsidP="004936EF">
      <w:pPr>
        <w:pStyle w:val="Informations0"/>
        <w:rPr>
          <w:lang w:val="es-ES_tradnl"/>
        </w:rPr>
      </w:pPr>
      <w:r>
        <w:rPr>
          <w:noProof/>
          <w:lang w:val="es-ES_tradnl" w:eastAsia="es-ES_tradnl"/>
        </w:rPr>
        <w:drawing>
          <wp:anchor distT="0" distB="0" distL="114300" distR="114300" simplePos="0" relativeHeight="251678720" behindDoc="0" locked="1" layoutInCell="1" allowOverlap="0" wp14:anchorId="7403E82D" wp14:editId="54EF0546">
            <wp:simplePos x="0" y="0"/>
            <wp:positionH relativeFrom="column">
              <wp:posOffset>117475</wp:posOffset>
            </wp:positionH>
            <wp:positionV relativeFrom="paragraph">
              <wp:posOffset>-33655</wp:posOffset>
            </wp:positionV>
            <wp:extent cx="274320" cy="350520"/>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74320" cy="350520"/>
                    </a:xfrm>
                    <a:prstGeom prst="rect">
                      <a:avLst/>
                    </a:prstGeom>
                  </pic:spPr>
                </pic:pic>
              </a:graphicData>
            </a:graphic>
          </wp:anchor>
        </w:drawing>
      </w:r>
      <w:r w:rsidR="001B75A9" w:rsidRPr="00D40E5C">
        <w:rPr>
          <w:noProof/>
          <w:lang w:val="es-ES_tradnl" w:eastAsia="fr-FR"/>
        </w:rPr>
        <w:t xml:space="preserve">Más información sobre este elemento en el </w:t>
      </w:r>
      <w:r w:rsidR="00353472" w:rsidRPr="00D40E5C">
        <w:rPr>
          <w:lang w:val="es-ES_tradnl"/>
        </w:rPr>
        <w:t>Estudio de Caso</w:t>
      </w:r>
      <w:r w:rsidR="00442E1A" w:rsidRPr="00D40E5C">
        <w:rPr>
          <w:lang w:val="es-ES_tradnl"/>
        </w:rPr>
        <w:t> </w:t>
      </w:r>
      <w:r w:rsidR="00B577F8" w:rsidRPr="00D40E5C">
        <w:rPr>
          <w:lang w:val="es-ES_tradnl"/>
        </w:rPr>
        <w:t>22</w:t>
      </w:r>
      <w:r w:rsidR="001B75A9" w:rsidRPr="00D40E5C">
        <w:rPr>
          <w:lang w:val="es-ES_tradnl"/>
        </w:rPr>
        <w:t xml:space="preserve"> y en su expediente de candidatura, que se puede consultar en:</w:t>
      </w:r>
      <w:r w:rsidR="0091255A" w:rsidRPr="00D40E5C" w:rsidDel="0091255A">
        <w:rPr>
          <w:lang w:val="es-ES_tradnl"/>
        </w:rPr>
        <w:t xml:space="preserve"> </w:t>
      </w:r>
      <w:r w:rsidR="00555D14" w:rsidRPr="00D40E5C">
        <w:rPr>
          <w:lang w:val="es-ES_tradnl"/>
        </w:rPr>
        <w:br/>
      </w:r>
      <w:hyperlink r:id="rId13" w:history="1">
        <w:r w:rsidR="001B75A9" w:rsidRPr="00D40E5C">
          <w:rPr>
            <w:rStyle w:val="Hyperlink"/>
            <w:u w:val="none"/>
            <w:lang w:val="es-ES_tradnl"/>
          </w:rPr>
          <w:t>http://www.unesco.org/culture/ich/en/RL/00175</w:t>
        </w:r>
      </w:hyperlink>
    </w:p>
    <w:p w:rsidR="00B43D05" w:rsidRPr="00D40E5C" w:rsidRDefault="00353472" w:rsidP="004936EF">
      <w:pPr>
        <w:pStyle w:val="Heading6"/>
        <w:rPr>
          <w:lang w:val="es-ES_tradnl"/>
        </w:rPr>
      </w:pPr>
      <w:r w:rsidRPr="00D40E5C">
        <w:rPr>
          <w:lang w:val="es-ES_tradnl"/>
        </w:rPr>
        <w:t>DIAPOSITIVA</w:t>
      </w:r>
      <w:r w:rsidR="001C27DF" w:rsidRPr="00D40E5C">
        <w:rPr>
          <w:lang w:val="es-ES_tradnl"/>
        </w:rPr>
        <w:t xml:space="preserve"> </w:t>
      </w:r>
      <w:r w:rsidR="00251BAC" w:rsidRPr="00D40E5C">
        <w:rPr>
          <w:lang w:val="es-ES_tradnl"/>
        </w:rPr>
        <w:t>1</w:t>
      </w:r>
      <w:r w:rsidR="00181C92" w:rsidRPr="00D40E5C">
        <w:rPr>
          <w:lang w:val="es-ES_tradnl"/>
        </w:rPr>
        <w:t>2</w:t>
      </w:r>
      <w:r w:rsidR="00B43D05" w:rsidRPr="00D40E5C">
        <w:rPr>
          <w:lang w:val="es-ES_tradnl"/>
        </w:rPr>
        <w:t>.</w:t>
      </w:r>
    </w:p>
    <w:p w:rsidR="001C27DF" w:rsidRPr="00D40E5C" w:rsidRDefault="00ED5D2E" w:rsidP="004936EF">
      <w:pPr>
        <w:pStyle w:val="diapo2"/>
        <w:rPr>
          <w:lang w:val="es-ES_tradnl"/>
        </w:rPr>
      </w:pPr>
      <w:r w:rsidRPr="00D40E5C">
        <w:rPr>
          <w:bCs/>
          <w:lang w:val="es-ES_tradnl"/>
        </w:rPr>
        <w:t xml:space="preserve">Amenazas </w:t>
      </w:r>
      <w:r w:rsidR="00180AD6" w:rsidRPr="00D40E5C">
        <w:rPr>
          <w:bCs/>
          <w:lang w:val="es-ES_tradnl"/>
        </w:rPr>
        <w:t>para</w:t>
      </w:r>
      <w:r w:rsidR="00711CC4" w:rsidRPr="00D40E5C">
        <w:rPr>
          <w:bCs/>
          <w:lang w:val="es-ES_tradnl"/>
        </w:rPr>
        <w:t xml:space="preserve"> la</w:t>
      </w:r>
      <w:r w:rsidRPr="00D40E5C">
        <w:rPr>
          <w:bCs/>
          <w:lang w:val="es-ES_tradnl"/>
        </w:rPr>
        <w:t xml:space="preserve"> viabilidad</w:t>
      </w:r>
      <w:r w:rsidR="001C27DF" w:rsidRPr="00D40E5C">
        <w:rPr>
          <w:lang w:val="es-ES_tradnl"/>
        </w:rPr>
        <w:t xml:space="preserve"> </w:t>
      </w:r>
      <w:r w:rsidR="00196271" w:rsidRPr="00D40E5C">
        <w:rPr>
          <w:lang w:val="es-ES_tradnl"/>
        </w:rPr>
        <w:t>(</w:t>
      </w:r>
      <w:r w:rsidR="001C27DF" w:rsidRPr="00D40E5C">
        <w:rPr>
          <w:lang w:val="es-ES_tradnl"/>
        </w:rPr>
        <w:t>1</w:t>
      </w:r>
      <w:r w:rsidR="00196271" w:rsidRPr="00D40E5C">
        <w:rPr>
          <w:lang w:val="es-ES_tradnl"/>
        </w:rPr>
        <w:t>)</w:t>
      </w:r>
    </w:p>
    <w:p w:rsidR="001C27DF" w:rsidRPr="00D40E5C" w:rsidRDefault="0064261B" w:rsidP="009909DD">
      <w:pPr>
        <w:pStyle w:val="Texte1"/>
        <w:rPr>
          <w:lang w:val="es-ES_tradnl"/>
        </w:rPr>
      </w:pPr>
      <w:r w:rsidRPr="00D40E5C">
        <w:rPr>
          <w:lang w:val="es-ES_tradnl"/>
        </w:rPr>
        <w:t xml:space="preserve">La escena del vuelo en torno al mástil constituye el momento culminante de “La ceremonia ritual de los Voladores”. Las representaciones de este elemento del PCI destinadas a los turistas sólo comprenden esta parte de la ceremonia, </w:t>
      </w:r>
      <w:r w:rsidR="00557DB4" w:rsidRPr="00D40E5C">
        <w:rPr>
          <w:lang w:val="es-ES_tradnl"/>
        </w:rPr>
        <w:t xml:space="preserve">reducida así a un mero </w:t>
      </w:r>
      <w:r w:rsidRPr="00D40E5C">
        <w:rPr>
          <w:lang w:val="es-ES_tradnl"/>
        </w:rPr>
        <w:t xml:space="preserve">espectáculo acrobático. </w:t>
      </w:r>
      <w:r w:rsidR="00557DB4" w:rsidRPr="00D40E5C">
        <w:rPr>
          <w:lang w:val="es-ES_tradnl"/>
        </w:rPr>
        <w:t xml:space="preserve">La frecuencia cada vez mayor de esas representaciones truncadas hace que cada vez más </w:t>
      </w:r>
      <w:r w:rsidR="00813C19" w:rsidRPr="00D40E5C">
        <w:rPr>
          <w:lang w:val="es-ES_tradnl"/>
        </w:rPr>
        <w:t>sea más frecuente el acortamiento del ritual y que éste tenga lugar</w:t>
      </w:r>
      <w:r w:rsidRPr="00D40E5C">
        <w:rPr>
          <w:lang w:val="es-ES_tradnl"/>
        </w:rPr>
        <w:t xml:space="preserve"> </w:t>
      </w:r>
      <w:r w:rsidR="00557DB4" w:rsidRPr="00D40E5C">
        <w:rPr>
          <w:lang w:val="es-ES_tradnl"/>
        </w:rPr>
        <w:t xml:space="preserve">fuera del contexto de las comunidades indígenas y de las épocas </w:t>
      </w:r>
      <w:r w:rsidRPr="00D40E5C">
        <w:rPr>
          <w:lang w:val="es-ES_tradnl"/>
        </w:rPr>
        <w:t>tradicionales</w:t>
      </w:r>
      <w:r w:rsidR="00813C19" w:rsidRPr="00D40E5C">
        <w:rPr>
          <w:lang w:val="es-ES_tradnl"/>
        </w:rPr>
        <w:t xml:space="preserve"> de su celebración.</w:t>
      </w:r>
    </w:p>
    <w:p w:rsidR="00B43D05" w:rsidRPr="00D40E5C" w:rsidRDefault="00353472" w:rsidP="004936EF">
      <w:pPr>
        <w:pStyle w:val="Heading6"/>
        <w:rPr>
          <w:lang w:val="es-ES_tradnl"/>
        </w:rPr>
      </w:pPr>
      <w:r w:rsidRPr="00D40E5C">
        <w:rPr>
          <w:lang w:val="es-ES_tradnl"/>
        </w:rPr>
        <w:t>DIAPOSITIVA</w:t>
      </w:r>
      <w:r w:rsidR="001C27DF" w:rsidRPr="00D40E5C">
        <w:rPr>
          <w:lang w:val="es-ES_tradnl"/>
        </w:rPr>
        <w:t xml:space="preserve"> </w:t>
      </w:r>
      <w:r w:rsidR="00EA16C7" w:rsidRPr="00D40E5C">
        <w:rPr>
          <w:lang w:val="es-ES_tradnl"/>
        </w:rPr>
        <w:t>1</w:t>
      </w:r>
      <w:r w:rsidR="00181C92" w:rsidRPr="00D40E5C">
        <w:rPr>
          <w:lang w:val="es-ES_tradnl"/>
        </w:rPr>
        <w:t>3</w:t>
      </w:r>
      <w:r w:rsidR="00B43D05" w:rsidRPr="00D40E5C">
        <w:rPr>
          <w:lang w:val="es-ES_tradnl"/>
        </w:rPr>
        <w:t>.</w:t>
      </w:r>
    </w:p>
    <w:p w:rsidR="001C27DF" w:rsidRPr="00D40E5C" w:rsidRDefault="003122A7" w:rsidP="004936EF">
      <w:pPr>
        <w:pStyle w:val="diapo2"/>
        <w:rPr>
          <w:lang w:val="es-ES_tradnl"/>
        </w:rPr>
      </w:pPr>
      <w:r w:rsidRPr="00D40E5C">
        <w:rPr>
          <w:bCs/>
          <w:lang w:val="es-ES_tradnl"/>
        </w:rPr>
        <w:t xml:space="preserve">Amenazas </w:t>
      </w:r>
      <w:r w:rsidR="00180AD6" w:rsidRPr="00D40E5C">
        <w:rPr>
          <w:bCs/>
          <w:lang w:val="es-ES_tradnl"/>
        </w:rPr>
        <w:t>para</w:t>
      </w:r>
      <w:r w:rsidR="00711CC4" w:rsidRPr="00D40E5C">
        <w:rPr>
          <w:bCs/>
          <w:lang w:val="es-ES_tradnl"/>
        </w:rPr>
        <w:t xml:space="preserve"> la</w:t>
      </w:r>
      <w:r w:rsidRPr="00D40E5C">
        <w:rPr>
          <w:bCs/>
          <w:lang w:val="es-ES_tradnl"/>
        </w:rPr>
        <w:t xml:space="preserve"> viabilidad</w:t>
      </w:r>
      <w:r w:rsidRPr="00D40E5C">
        <w:rPr>
          <w:lang w:val="es-ES_tradnl"/>
        </w:rPr>
        <w:t xml:space="preserve"> </w:t>
      </w:r>
      <w:r w:rsidR="00196271" w:rsidRPr="00D40E5C">
        <w:rPr>
          <w:lang w:val="es-ES_tradnl"/>
        </w:rPr>
        <w:t>(</w:t>
      </w:r>
      <w:r w:rsidR="001C27DF" w:rsidRPr="00D40E5C">
        <w:rPr>
          <w:lang w:val="es-ES_tradnl"/>
        </w:rPr>
        <w:t>2</w:t>
      </w:r>
      <w:r w:rsidR="00196271" w:rsidRPr="00D40E5C">
        <w:rPr>
          <w:lang w:val="es-ES_tradnl"/>
        </w:rPr>
        <w:t>)</w:t>
      </w:r>
    </w:p>
    <w:p w:rsidR="001C27DF" w:rsidRPr="00D40E5C" w:rsidRDefault="001302C8" w:rsidP="009909DD">
      <w:pPr>
        <w:pStyle w:val="Texte1"/>
        <w:rPr>
          <w:lang w:val="es-ES_tradnl"/>
        </w:rPr>
      </w:pPr>
      <w:r w:rsidRPr="00D40E5C">
        <w:rPr>
          <w:lang w:val="es-ES_tradnl"/>
        </w:rPr>
        <w:t>La celebración completa de la ceremonia exige que se talen en los bosques los árboles que van a servir de mástiles y que, una vez talados, se preparen y se icen ritualmente para establecer la comunión requerida con los dioses y garantizar así la fertilidad de las tierras y cultivos. Lamentablemente, la especie de árbol utilizada antaño para fabricar los mástiles ya no es fácil de encontrar a causa de la deforestación y, en su lugar, se están utilizando mástiles metálicos. Esto hace que se est</w:t>
      </w:r>
      <w:r w:rsidR="00F144D5" w:rsidRPr="00D40E5C">
        <w:rPr>
          <w:lang w:val="es-ES_tradnl"/>
        </w:rPr>
        <w:t>é</w:t>
      </w:r>
      <w:r w:rsidRPr="00D40E5C">
        <w:rPr>
          <w:lang w:val="es-ES_tradnl"/>
        </w:rPr>
        <w:t>n perdiendo algunos de los aspectos rituales de la ceremonia, lo cual afecta al significado que ésta tiene para las comunidades locales.</w:t>
      </w:r>
    </w:p>
    <w:p w:rsidR="00B43D05" w:rsidRPr="00D40E5C" w:rsidRDefault="00353472" w:rsidP="004936EF">
      <w:pPr>
        <w:pStyle w:val="Heading6"/>
        <w:rPr>
          <w:lang w:val="es-ES_tradnl"/>
        </w:rPr>
      </w:pPr>
      <w:r w:rsidRPr="00D40E5C">
        <w:rPr>
          <w:lang w:val="es-ES_tradnl"/>
        </w:rPr>
        <w:lastRenderedPageBreak/>
        <w:t>DIAPOSITIVA</w:t>
      </w:r>
      <w:r w:rsidR="001C27DF" w:rsidRPr="00D40E5C">
        <w:rPr>
          <w:lang w:val="es-ES_tradnl"/>
        </w:rPr>
        <w:t xml:space="preserve"> </w:t>
      </w:r>
      <w:r w:rsidR="00EA16C7" w:rsidRPr="00D40E5C">
        <w:rPr>
          <w:lang w:val="es-ES_tradnl"/>
        </w:rPr>
        <w:t>1</w:t>
      </w:r>
      <w:r w:rsidR="00181C92" w:rsidRPr="00D40E5C">
        <w:rPr>
          <w:lang w:val="es-ES_tradnl"/>
        </w:rPr>
        <w:t>4</w:t>
      </w:r>
      <w:r w:rsidR="00B43D05" w:rsidRPr="00D40E5C">
        <w:rPr>
          <w:lang w:val="es-ES_tradnl"/>
        </w:rPr>
        <w:t>.</w:t>
      </w:r>
    </w:p>
    <w:p w:rsidR="001C27DF" w:rsidRPr="00D40E5C" w:rsidRDefault="003122A7" w:rsidP="004936EF">
      <w:pPr>
        <w:pStyle w:val="diapo2"/>
        <w:rPr>
          <w:lang w:val="es-ES_tradnl"/>
        </w:rPr>
      </w:pPr>
      <w:r w:rsidRPr="00D40E5C">
        <w:rPr>
          <w:bCs/>
          <w:lang w:val="es-ES_tradnl"/>
        </w:rPr>
        <w:t xml:space="preserve">Amenazas </w:t>
      </w:r>
      <w:r w:rsidR="00180AD6" w:rsidRPr="00D40E5C">
        <w:rPr>
          <w:bCs/>
          <w:lang w:val="es-ES_tradnl"/>
        </w:rPr>
        <w:t>para</w:t>
      </w:r>
      <w:r w:rsidR="00711CC4" w:rsidRPr="00D40E5C">
        <w:rPr>
          <w:bCs/>
          <w:lang w:val="es-ES_tradnl"/>
        </w:rPr>
        <w:t xml:space="preserve"> la</w:t>
      </w:r>
      <w:r w:rsidRPr="00D40E5C">
        <w:rPr>
          <w:bCs/>
          <w:lang w:val="es-ES_tradnl"/>
        </w:rPr>
        <w:t xml:space="preserve"> viabilidad</w:t>
      </w:r>
      <w:r w:rsidRPr="00D40E5C">
        <w:rPr>
          <w:lang w:val="es-ES_tradnl"/>
        </w:rPr>
        <w:t xml:space="preserve"> </w:t>
      </w:r>
      <w:r w:rsidR="00196271" w:rsidRPr="00D40E5C">
        <w:rPr>
          <w:lang w:val="es-ES_tradnl"/>
        </w:rPr>
        <w:t>(</w:t>
      </w:r>
      <w:r w:rsidR="001C27DF" w:rsidRPr="00D40E5C">
        <w:rPr>
          <w:lang w:val="es-ES_tradnl"/>
        </w:rPr>
        <w:t>3</w:t>
      </w:r>
      <w:r w:rsidR="00196271" w:rsidRPr="00D40E5C">
        <w:rPr>
          <w:lang w:val="es-ES_tradnl"/>
        </w:rPr>
        <w:t>)</w:t>
      </w:r>
    </w:p>
    <w:p w:rsidR="001C27DF" w:rsidRPr="00D40E5C" w:rsidRDefault="002B1F06" w:rsidP="009909DD">
      <w:pPr>
        <w:pStyle w:val="Texte1"/>
        <w:rPr>
          <w:lang w:val="es-ES_tradnl"/>
        </w:rPr>
      </w:pPr>
      <w:r w:rsidRPr="00D40E5C">
        <w:rPr>
          <w:lang w:val="es-ES_tradnl"/>
        </w:rPr>
        <w:t>Los preparativos rituales de la ceremonia son los que crean profundas asociaciones espirituales en la comunidad interesada, estableciendo la conexión buscada entre el mundo natural y sobrenatural. Debido a la comercialización de la ceremonia, la observancia de los rituales está decayendo, especialmente entre los grupos de acróbatas profesionales que no han recibido una formación cultural y espiritual adecuada como voladores</w:t>
      </w:r>
      <w:r w:rsidR="001C27DF" w:rsidRPr="00D40E5C">
        <w:rPr>
          <w:lang w:val="es-ES_tradnl"/>
        </w:rPr>
        <w:t>.</w:t>
      </w:r>
    </w:p>
    <w:p w:rsidR="00B43D05" w:rsidRPr="00D40E5C" w:rsidRDefault="00353472" w:rsidP="004936EF">
      <w:pPr>
        <w:pStyle w:val="Heading6"/>
        <w:rPr>
          <w:lang w:val="es-ES_tradnl"/>
        </w:rPr>
      </w:pPr>
      <w:r w:rsidRPr="00D40E5C">
        <w:rPr>
          <w:lang w:val="es-ES_tradnl"/>
        </w:rPr>
        <w:t>DIAPOSITIVA</w:t>
      </w:r>
      <w:r w:rsidR="001C27DF" w:rsidRPr="00D40E5C">
        <w:rPr>
          <w:lang w:val="es-ES_tradnl"/>
        </w:rPr>
        <w:t xml:space="preserve"> 1</w:t>
      </w:r>
      <w:r w:rsidR="00181C92" w:rsidRPr="00D40E5C">
        <w:rPr>
          <w:lang w:val="es-ES_tradnl"/>
        </w:rPr>
        <w:t>5</w:t>
      </w:r>
      <w:r w:rsidR="00B43D05" w:rsidRPr="00D40E5C">
        <w:rPr>
          <w:lang w:val="es-ES_tradnl"/>
        </w:rPr>
        <w:t>.</w:t>
      </w:r>
    </w:p>
    <w:p w:rsidR="001C27DF" w:rsidRPr="00D40E5C" w:rsidRDefault="00ED5D2E" w:rsidP="004936EF">
      <w:pPr>
        <w:pStyle w:val="diapo2"/>
        <w:rPr>
          <w:lang w:val="es-ES_tradnl"/>
        </w:rPr>
      </w:pPr>
      <w:r w:rsidRPr="00D40E5C">
        <w:rPr>
          <w:bCs/>
          <w:lang w:val="es-ES_tradnl"/>
        </w:rPr>
        <w:t xml:space="preserve">Medidas para salvaguardar “La ceremonia ritual de los Voladores” </w:t>
      </w:r>
    </w:p>
    <w:p w:rsidR="001C27DF" w:rsidRPr="00D40E5C" w:rsidRDefault="002B1F06" w:rsidP="009909DD">
      <w:pPr>
        <w:pStyle w:val="Texte1"/>
        <w:rPr>
          <w:lang w:val="es-ES_tradnl"/>
        </w:rPr>
      </w:pPr>
      <w:r w:rsidRPr="00D40E5C">
        <w:rPr>
          <w:lang w:val="es-ES_tradnl"/>
        </w:rPr>
        <w:t>Tal y como debe suceder en toda estrategia de salvaguardia adecuada, las comunidades totonacas y los grupos de voladores interesados desempeñaron un papel importante en la formulación y aplicación de medidas de salvaguardia para afrontar las amenazas</w:t>
      </w:r>
      <w:r w:rsidR="001C27DF" w:rsidRPr="00D40E5C">
        <w:rPr>
          <w:lang w:val="es-ES_tradnl"/>
        </w:rPr>
        <w:t xml:space="preserve">. </w:t>
      </w:r>
      <w:r w:rsidRPr="00D40E5C">
        <w:rPr>
          <w:lang w:val="es-ES_tradnl"/>
        </w:rPr>
        <w:t>Con ayuda de las autoridades y ONG locales</w:t>
      </w:r>
      <w:r w:rsidR="00F2199B" w:rsidRPr="00D40E5C">
        <w:rPr>
          <w:lang w:val="es-ES_tradnl"/>
        </w:rPr>
        <w:t>, se celebraron reuniones de voladores para que éstos pudieran examinar los problemas planteados</w:t>
      </w:r>
      <w:r w:rsidR="001C27DF" w:rsidRPr="00D40E5C">
        <w:rPr>
          <w:lang w:val="es-ES_tradnl"/>
        </w:rPr>
        <w:t xml:space="preserve"> </w:t>
      </w:r>
      <w:r w:rsidR="00F2199B" w:rsidRPr="00D40E5C">
        <w:rPr>
          <w:lang w:val="es-ES_tradnl"/>
        </w:rPr>
        <w:t>y elaborar estrategias para resolverlos</w:t>
      </w:r>
      <w:r w:rsidR="001C27DF" w:rsidRPr="00D40E5C">
        <w:rPr>
          <w:lang w:val="es-ES_tradnl"/>
        </w:rPr>
        <w:t xml:space="preserve">. </w:t>
      </w:r>
      <w:r w:rsidR="00F2199B" w:rsidRPr="00D40E5C">
        <w:rPr>
          <w:lang w:val="es-ES_tradnl"/>
        </w:rPr>
        <w:t>Los grupos de voladores declararon sin ambigüedad que era necesario crear nuevas oportunidades para representar la ceremonia íntegramente, esto es, con sus preparativos rituales imprescindibles</w:t>
      </w:r>
      <w:r w:rsidR="001C27DF" w:rsidRPr="00D40E5C">
        <w:rPr>
          <w:lang w:val="es-ES_tradnl"/>
        </w:rPr>
        <w:t xml:space="preserve">. </w:t>
      </w:r>
      <w:r w:rsidR="00F2199B" w:rsidRPr="00D40E5C">
        <w:rPr>
          <w:lang w:val="es-ES_tradnl"/>
        </w:rPr>
        <w:t>Se crearon Escuelas de Niños Voladores para enseñarles</w:t>
      </w:r>
      <w:r w:rsidR="001C27DF" w:rsidRPr="00D40E5C">
        <w:rPr>
          <w:lang w:val="es-ES_tradnl"/>
        </w:rPr>
        <w:t xml:space="preserve"> </w:t>
      </w:r>
      <w:r w:rsidR="00F2199B" w:rsidRPr="00D40E5C">
        <w:rPr>
          <w:lang w:val="es-ES_tradnl"/>
        </w:rPr>
        <w:t>el verdadero significado de la ceremonia ritual y promover la transmisión de los conocimientos tradicionales sobre este elemento del PCI entre los grupos de voladores</w:t>
      </w:r>
      <w:r w:rsidR="00D27D54" w:rsidRPr="00D40E5C">
        <w:rPr>
          <w:lang w:val="es-ES_tradnl"/>
        </w:rPr>
        <w:t>. A fin de</w:t>
      </w:r>
      <w:r w:rsidR="00F2199B" w:rsidRPr="00D40E5C">
        <w:rPr>
          <w:lang w:val="es-ES_tradnl"/>
        </w:rPr>
        <w:t xml:space="preserve"> garantizar el abastecimiento en mástiles de madera, las autoridades y las comunidades de voladores locales colaboraron </w:t>
      </w:r>
      <w:r w:rsidR="00D27D54" w:rsidRPr="00D40E5C">
        <w:rPr>
          <w:lang w:val="es-ES_tradnl"/>
        </w:rPr>
        <w:t>para</w:t>
      </w:r>
      <w:r w:rsidR="00F2199B" w:rsidRPr="00D40E5C">
        <w:rPr>
          <w:lang w:val="es-ES_tradnl"/>
        </w:rPr>
        <w:t xml:space="preserve"> </w:t>
      </w:r>
      <w:r w:rsidR="00D27D54" w:rsidRPr="00D40E5C">
        <w:rPr>
          <w:lang w:val="es-ES_tradnl"/>
        </w:rPr>
        <w:t xml:space="preserve">poner en marcha </w:t>
      </w:r>
      <w:r w:rsidR="00F2199B" w:rsidRPr="00D40E5C">
        <w:rPr>
          <w:lang w:val="es-ES_tradnl"/>
        </w:rPr>
        <w:t>pro</w:t>
      </w:r>
      <w:r w:rsidR="00D27D54" w:rsidRPr="00D40E5C">
        <w:rPr>
          <w:lang w:val="es-ES_tradnl"/>
        </w:rPr>
        <w:t>yecto</w:t>
      </w:r>
      <w:r w:rsidR="00F2199B" w:rsidRPr="00D40E5C">
        <w:rPr>
          <w:lang w:val="es-ES_tradnl"/>
        </w:rPr>
        <w:t>s de re</w:t>
      </w:r>
      <w:r w:rsidR="00D27D54" w:rsidRPr="00D40E5C">
        <w:rPr>
          <w:lang w:val="es-ES_tradnl"/>
        </w:rPr>
        <w:t xml:space="preserve">población </w:t>
      </w:r>
      <w:r w:rsidR="00F2199B" w:rsidRPr="00D40E5C">
        <w:rPr>
          <w:lang w:val="es-ES_tradnl"/>
        </w:rPr>
        <w:t>foresta</w:t>
      </w:r>
      <w:r w:rsidR="00D27D54" w:rsidRPr="00D40E5C">
        <w:rPr>
          <w:lang w:val="es-ES_tradnl"/>
        </w:rPr>
        <w:t>l</w:t>
      </w:r>
      <w:r w:rsidR="00F2199B" w:rsidRPr="00D40E5C">
        <w:rPr>
          <w:lang w:val="es-ES_tradnl"/>
        </w:rPr>
        <w:t xml:space="preserve"> y </w:t>
      </w:r>
      <w:r w:rsidR="00D27D54" w:rsidRPr="00D40E5C">
        <w:rPr>
          <w:lang w:val="es-ES_tradnl"/>
        </w:rPr>
        <w:t xml:space="preserve">establecer reservas </w:t>
      </w:r>
      <w:r w:rsidR="00F144D5" w:rsidRPr="00D40E5C">
        <w:rPr>
          <w:lang w:val="es-ES_tradnl"/>
        </w:rPr>
        <w:t>de bosques</w:t>
      </w:r>
      <w:r w:rsidR="00D27D54" w:rsidRPr="00D40E5C">
        <w:rPr>
          <w:lang w:val="es-ES_tradnl"/>
        </w:rPr>
        <w:t xml:space="preserve"> en</w:t>
      </w:r>
      <w:r w:rsidR="00F2199B" w:rsidRPr="00D40E5C">
        <w:rPr>
          <w:lang w:val="es-ES_tradnl"/>
        </w:rPr>
        <w:t xml:space="preserve"> determinadas </w:t>
      </w:r>
      <w:r w:rsidR="00D27D54" w:rsidRPr="00D40E5C">
        <w:rPr>
          <w:lang w:val="es-ES_tradnl"/>
        </w:rPr>
        <w:t>zonas</w:t>
      </w:r>
      <w:r w:rsidR="00F2199B" w:rsidRPr="00D40E5C">
        <w:rPr>
          <w:lang w:val="es-ES_tradnl"/>
        </w:rPr>
        <w:t xml:space="preserve">. El </w:t>
      </w:r>
      <w:r w:rsidR="00D27D54" w:rsidRPr="00D40E5C">
        <w:rPr>
          <w:lang w:val="es-ES_tradnl"/>
        </w:rPr>
        <w:t>plan</w:t>
      </w:r>
      <w:r w:rsidR="00F2199B" w:rsidRPr="00D40E5C">
        <w:rPr>
          <w:lang w:val="es-ES_tradnl"/>
        </w:rPr>
        <w:t xml:space="preserve"> de salvaguardia </w:t>
      </w:r>
      <w:r w:rsidR="00D27D54" w:rsidRPr="00D40E5C">
        <w:rPr>
          <w:lang w:val="es-ES_tradnl"/>
        </w:rPr>
        <w:t>se benefició</w:t>
      </w:r>
      <w:r w:rsidR="00F2199B" w:rsidRPr="00D40E5C">
        <w:rPr>
          <w:lang w:val="es-ES_tradnl"/>
        </w:rPr>
        <w:t xml:space="preserve"> </w:t>
      </w:r>
      <w:r w:rsidR="00D27D54" w:rsidRPr="00D40E5C">
        <w:rPr>
          <w:lang w:val="es-ES_tradnl"/>
        </w:rPr>
        <w:t>d</w:t>
      </w:r>
      <w:r w:rsidR="00F2199B" w:rsidRPr="00D40E5C">
        <w:rPr>
          <w:lang w:val="es-ES_tradnl"/>
        </w:rPr>
        <w:t>e</w:t>
      </w:r>
      <w:r w:rsidR="00D27D54" w:rsidRPr="00D40E5C">
        <w:rPr>
          <w:lang w:val="es-ES_tradnl"/>
        </w:rPr>
        <w:t xml:space="preserve"> un</w:t>
      </w:r>
      <w:r w:rsidR="00F2199B" w:rsidRPr="00D40E5C">
        <w:rPr>
          <w:lang w:val="es-ES_tradnl"/>
        </w:rPr>
        <w:t xml:space="preserve"> firme apoyo del Estado y de las ONG.</w:t>
      </w:r>
    </w:p>
    <w:p w:rsidR="00B43D05" w:rsidRPr="00D40E5C" w:rsidRDefault="00353472" w:rsidP="004936EF">
      <w:pPr>
        <w:pStyle w:val="Heading6"/>
        <w:rPr>
          <w:lang w:val="es-ES_tradnl"/>
        </w:rPr>
      </w:pPr>
      <w:r w:rsidRPr="00D40E5C">
        <w:rPr>
          <w:lang w:val="es-ES_tradnl"/>
        </w:rPr>
        <w:t>DIAPOSITIVA</w:t>
      </w:r>
      <w:r w:rsidR="00181C92" w:rsidRPr="00D40E5C">
        <w:rPr>
          <w:lang w:val="es-ES_tradnl"/>
        </w:rPr>
        <w:t xml:space="preserve"> 16</w:t>
      </w:r>
      <w:r w:rsidR="00B43D05" w:rsidRPr="00D40E5C">
        <w:rPr>
          <w:lang w:val="es-ES_tradnl"/>
        </w:rPr>
        <w:t>.</w:t>
      </w:r>
    </w:p>
    <w:p w:rsidR="00181C92" w:rsidRPr="00D40E5C" w:rsidRDefault="000C3C99" w:rsidP="004936EF">
      <w:pPr>
        <w:pStyle w:val="diapo2"/>
        <w:rPr>
          <w:lang w:val="es-ES_tradnl"/>
        </w:rPr>
      </w:pPr>
      <w:r w:rsidRPr="00D40E5C">
        <w:rPr>
          <w:bCs/>
          <w:lang w:val="es-ES_tradnl"/>
        </w:rPr>
        <w:t xml:space="preserve"> Salvaguardar </w:t>
      </w:r>
      <w:r w:rsidR="001F26B1">
        <w:rPr>
          <w:bCs/>
          <w:lang w:val="es-ES_tradnl"/>
        </w:rPr>
        <w:t xml:space="preserve">el PCI </w:t>
      </w:r>
      <w:r w:rsidRPr="00D40E5C">
        <w:rPr>
          <w:bCs/>
          <w:lang w:val="es-ES_tradnl"/>
        </w:rPr>
        <w:t>con la participación de las comunidades</w:t>
      </w:r>
      <w:r w:rsidR="00180AD6" w:rsidRPr="00D40E5C">
        <w:rPr>
          <w:bCs/>
          <w:lang w:val="es-ES_tradnl"/>
        </w:rPr>
        <w:t xml:space="preserve"> interesadas</w:t>
      </w:r>
    </w:p>
    <w:p w:rsidR="000B1972" w:rsidRPr="00D40E5C" w:rsidRDefault="00353472" w:rsidP="009909DD">
      <w:pPr>
        <w:pStyle w:val="Texte1"/>
        <w:rPr>
          <w:lang w:val="es-ES_tradnl"/>
        </w:rPr>
      </w:pPr>
      <w:r w:rsidRPr="00D40E5C">
        <w:rPr>
          <w:lang w:val="es-ES_tradnl"/>
        </w:rPr>
        <w:t>En la Sección 6 del Texto para el Participante de la presente Unidad 9</w:t>
      </w:r>
      <w:r w:rsidR="000B1972" w:rsidRPr="00D40E5C">
        <w:rPr>
          <w:lang w:val="es-ES_tradnl"/>
        </w:rPr>
        <w:t xml:space="preserve"> </w:t>
      </w:r>
      <w:r w:rsidR="00D27D54" w:rsidRPr="00D40E5C">
        <w:rPr>
          <w:lang w:val="es-ES_tradnl"/>
        </w:rPr>
        <w:t>se examina la cuestión de la participación de las comunidades, pero en esta diapositiva</w:t>
      </w:r>
      <w:r w:rsidR="008769E9" w:rsidRPr="00D40E5C">
        <w:rPr>
          <w:lang w:val="es-ES_tradnl"/>
        </w:rPr>
        <w:t xml:space="preserve"> se precisa que éstas deben participar también en el proceso de elaboración </w:t>
      </w:r>
      <w:r w:rsidR="00F144D5" w:rsidRPr="00D40E5C">
        <w:rPr>
          <w:lang w:val="es-ES_tradnl"/>
        </w:rPr>
        <w:t xml:space="preserve">de </w:t>
      </w:r>
      <w:r w:rsidR="008769E9" w:rsidRPr="00D40E5C">
        <w:rPr>
          <w:lang w:val="es-ES_tradnl"/>
        </w:rPr>
        <w:t xml:space="preserve">las </w:t>
      </w:r>
      <w:r w:rsidR="00A25B8C" w:rsidRPr="00D40E5C">
        <w:rPr>
          <w:lang w:val="es-ES_tradnl"/>
        </w:rPr>
        <w:t>medidas de salvaguardia</w:t>
      </w:r>
      <w:r w:rsidR="008769E9" w:rsidRPr="00D40E5C">
        <w:rPr>
          <w:lang w:val="es-ES_tradnl"/>
        </w:rPr>
        <w:t>. Est</w:t>
      </w:r>
      <w:r w:rsidR="00F144D5" w:rsidRPr="00D40E5C">
        <w:rPr>
          <w:lang w:val="es-ES_tradnl"/>
        </w:rPr>
        <w:t>o</w:t>
      </w:r>
      <w:r w:rsidR="008769E9" w:rsidRPr="00D40E5C">
        <w:rPr>
          <w:lang w:val="es-ES_tradnl"/>
        </w:rPr>
        <w:t xml:space="preserve"> se aborda </w:t>
      </w:r>
      <w:r w:rsidR="00EB0394" w:rsidRPr="00D40E5C">
        <w:rPr>
          <w:lang w:val="es-ES_tradnl"/>
        </w:rPr>
        <w:t xml:space="preserve">con más detalle </w:t>
      </w:r>
      <w:r w:rsidR="008769E9" w:rsidRPr="00D40E5C">
        <w:rPr>
          <w:lang w:val="es-ES_tradnl"/>
        </w:rPr>
        <w:t xml:space="preserve">en </w:t>
      </w:r>
      <w:r w:rsidRPr="00D40E5C">
        <w:rPr>
          <w:lang w:val="es-ES_tradnl"/>
        </w:rPr>
        <w:t>la Sección 8 del Texto para el Participante de la presente Unidad 9</w:t>
      </w:r>
      <w:r w:rsidR="000B1972" w:rsidRPr="00D40E5C">
        <w:rPr>
          <w:lang w:val="es-ES_tradnl"/>
        </w:rPr>
        <w:t>.</w:t>
      </w:r>
    </w:p>
    <w:p w:rsidR="000B1972" w:rsidRPr="00D40E5C" w:rsidRDefault="0087188C" w:rsidP="004936EF">
      <w:pPr>
        <w:pStyle w:val="Soustitre"/>
        <w:rPr>
          <w:caps/>
          <w:lang w:val="es-ES_tradnl"/>
        </w:rPr>
      </w:pPr>
      <w:bookmarkStart w:id="10" w:name="_Toc238982253"/>
      <w:r w:rsidRPr="00D40E5C">
        <w:rPr>
          <w:lang w:val="es-ES_tradnl"/>
        </w:rPr>
        <w:t>Nota sobre</w:t>
      </w:r>
      <w:r w:rsidR="000B1972" w:rsidRPr="00D40E5C">
        <w:rPr>
          <w:lang w:val="es-ES_tradnl"/>
        </w:rPr>
        <w:t xml:space="preserve"> </w:t>
      </w:r>
      <w:r w:rsidR="001932F0" w:rsidRPr="00D40E5C">
        <w:rPr>
          <w:lang w:val="es-ES_tradnl"/>
        </w:rPr>
        <w:t>la relación entre</w:t>
      </w:r>
      <w:r w:rsidR="000B1972" w:rsidRPr="00D40E5C">
        <w:rPr>
          <w:lang w:val="es-ES_tradnl"/>
        </w:rPr>
        <w:t xml:space="preserve"> identifica</w:t>
      </w:r>
      <w:r w:rsidR="001932F0" w:rsidRPr="00D40E5C">
        <w:rPr>
          <w:lang w:val="es-ES_tradnl"/>
        </w:rPr>
        <w:t>ció</w:t>
      </w:r>
      <w:r w:rsidR="000B1972" w:rsidRPr="00D40E5C">
        <w:rPr>
          <w:lang w:val="es-ES_tradnl"/>
        </w:rPr>
        <w:t xml:space="preserve">n, </w:t>
      </w:r>
      <w:r w:rsidR="001932F0" w:rsidRPr="00D40E5C">
        <w:rPr>
          <w:lang w:val="es-ES_tradnl"/>
        </w:rPr>
        <w:t>confección de inventarios y</w:t>
      </w:r>
      <w:r w:rsidR="000B1972" w:rsidRPr="00D40E5C">
        <w:rPr>
          <w:lang w:val="es-ES_tradnl"/>
        </w:rPr>
        <w:t xml:space="preserve"> </w:t>
      </w:r>
      <w:r w:rsidR="00A25B8C" w:rsidRPr="00D40E5C">
        <w:rPr>
          <w:lang w:val="es-ES_tradnl"/>
        </w:rPr>
        <w:t>salvaguardia</w:t>
      </w:r>
      <w:bookmarkEnd w:id="10"/>
    </w:p>
    <w:p w:rsidR="00181C92" w:rsidRPr="00D40E5C" w:rsidRDefault="00EB0394" w:rsidP="009909DD">
      <w:pPr>
        <w:pStyle w:val="Texte1"/>
        <w:rPr>
          <w:lang w:val="es-ES_tradnl"/>
        </w:rPr>
      </w:pPr>
      <w:r w:rsidRPr="00D40E5C">
        <w:rPr>
          <w:lang w:val="es-ES_tradnl"/>
        </w:rPr>
        <w:t xml:space="preserve">La </w:t>
      </w:r>
      <w:r w:rsidR="00F144D5" w:rsidRPr="00D40E5C">
        <w:rPr>
          <w:lang w:val="es-ES_tradnl"/>
        </w:rPr>
        <w:t>preparación</w:t>
      </w:r>
      <w:r w:rsidRPr="00D40E5C">
        <w:rPr>
          <w:lang w:val="es-ES_tradnl"/>
        </w:rPr>
        <w:t xml:space="preserve"> de medidas de salvaguardia específicas –elaboradas en el marco de la aplicación de la Convención con la intervención de personas y/o instituciones no pertenecientes a las comunidades– puede comenzar con la identifica</w:t>
      </w:r>
      <w:r w:rsidR="00F144D5" w:rsidRPr="00D40E5C">
        <w:rPr>
          <w:lang w:val="es-ES_tradnl"/>
        </w:rPr>
        <w:t>ción y definición del elemento</w:t>
      </w:r>
      <w:r w:rsidR="0079385F" w:rsidRPr="00D40E5C">
        <w:rPr>
          <w:lang w:val="es-ES_tradnl"/>
        </w:rPr>
        <w:t xml:space="preserve">, </w:t>
      </w:r>
      <w:r w:rsidR="00F144D5" w:rsidRPr="00D40E5C">
        <w:rPr>
          <w:lang w:val="es-ES_tradnl"/>
        </w:rPr>
        <w:t xml:space="preserve">o </w:t>
      </w:r>
      <w:r w:rsidRPr="00D40E5C">
        <w:rPr>
          <w:lang w:val="es-ES_tradnl"/>
        </w:rPr>
        <w:t>de los elementos</w:t>
      </w:r>
      <w:r w:rsidR="0079385F" w:rsidRPr="00D40E5C">
        <w:rPr>
          <w:lang w:val="es-ES_tradnl"/>
        </w:rPr>
        <w:t>,</w:t>
      </w:r>
      <w:r w:rsidRPr="00D40E5C">
        <w:rPr>
          <w:lang w:val="es-ES_tradnl"/>
        </w:rPr>
        <w:t xml:space="preserve"> del PCI de que se trate. Esta tarea se debe realizar de conformidad con el Artículo 11.b de la Convención, esto es, con la participación de las comunidades interesadas. Parte de la información acopiada se puede utilizar para redactar o actualizar una ficha de inventario del elemento, o de los elementos, del PCI </w:t>
      </w:r>
      <w:r w:rsidR="0079385F" w:rsidRPr="00D40E5C">
        <w:rPr>
          <w:lang w:val="es-ES_tradnl"/>
        </w:rPr>
        <w:t>que se hayan identificado y definido</w:t>
      </w:r>
      <w:r w:rsidRPr="00D40E5C">
        <w:rPr>
          <w:lang w:val="es-ES_tradnl"/>
        </w:rPr>
        <w:t>.</w:t>
      </w:r>
      <w:r w:rsidR="00181C92" w:rsidRPr="00D40E5C">
        <w:rPr>
          <w:lang w:val="es-ES_tradnl"/>
        </w:rPr>
        <w:t xml:space="preserve"> </w:t>
      </w:r>
    </w:p>
    <w:p w:rsidR="00B43D05" w:rsidRPr="00D40E5C" w:rsidRDefault="00353472" w:rsidP="004936EF">
      <w:pPr>
        <w:pStyle w:val="Heading6"/>
        <w:rPr>
          <w:lang w:val="es-ES_tradnl"/>
        </w:rPr>
      </w:pPr>
      <w:r w:rsidRPr="00D40E5C">
        <w:rPr>
          <w:lang w:val="es-ES_tradnl"/>
        </w:rPr>
        <w:lastRenderedPageBreak/>
        <w:t>DIAPOSITIVA</w:t>
      </w:r>
      <w:r w:rsidR="000E53EB" w:rsidRPr="00D40E5C">
        <w:rPr>
          <w:lang w:val="es-ES_tradnl"/>
        </w:rPr>
        <w:t xml:space="preserve"> 1</w:t>
      </w:r>
      <w:r w:rsidR="00251BAC" w:rsidRPr="00D40E5C">
        <w:rPr>
          <w:lang w:val="es-ES_tradnl"/>
        </w:rPr>
        <w:t>7</w:t>
      </w:r>
      <w:r w:rsidR="00B43D05" w:rsidRPr="00D40E5C">
        <w:rPr>
          <w:lang w:val="es-ES_tradnl"/>
        </w:rPr>
        <w:t>.</w:t>
      </w:r>
    </w:p>
    <w:p w:rsidR="000E53EB" w:rsidRPr="00D40E5C" w:rsidRDefault="00A25B8C" w:rsidP="004936EF">
      <w:pPr>
        <w:pStyle w:val="diapo2"/>
        <w:rPr>
          <w:lang w:val="es-ES_tradnl"/>
        </w:rPr>
      </w:pPr>
      <w:r w:rsidRPr="00D40E5C">
        <w:rPr>
          <w:lang w:val="es-ES_tradnl"/>
        </w:rPr>
        <w:t>Planes de salvaguardia</w:t>
      </w:r>
    </w:p>
    <w:p w:rsidR="003F7A1B" w:rsidRPr="00D40E5C" w:rsidRDefault="00F83A56" w:rsidP="009909DD">
      <w:pPr>
        <w:pStyle w:val="Texte1"/>
        <w:rPr>
          <w:lang w:val="es-ES_tradnl"/>
        </w:rPr>
      </w:pPr>
      <w:r w:rsidRPr="00D40E5C">
        <w:rPr>
          <w:lang w:val="es-ES_tradnl"/>
        </w:rPr>
        <w:t>La relación existente entre los planes de salvaguardia y las medidas de salvaguardia se examina en</w:t>
      </w:r>
      <w:r w:rsidR="00353472" w:rsidRPr="00D40E5C">
        <w:rPr>
          <w:lang w:val="es-ES_tradnl"/>
        </w:rPr>
        <w:t xml:space="preserve"> la Sección 7 del Texto para el Participante de la presente Unidad 9</w:t>
      </w:r>
      <w:r w:rsidR="003F7A1B" w:rsidRPr="00D40E5C">
        <w:rPr>
          <w:lang w:val="es-ES_tradnl"/>
        </w:rPr>
        <w:t>.</w:t>
      </w:r>
    </w:p>
    <w:p w:rsidR="000E53EB" w:rsidRPr="00D40E5C" w:rsidRDefault="00D02896" w:rsidP="009909DD">
      <w:pPr>
        <w:pStyle w:val="Texte1"/>
        <w:rPr>
          <w:lang w:val="es-ES_tradnl"/>
        </w:rPr>
      </w:pPr>
      <w:r w:rsidRPr="00D40E5C">
        <w:rPr>
          <w:lang w:val="es-ES_tradnl"/>
        </w:rPr>
        <w:t>Para dar un</w:t>
      </w:r>
      <w:r w:rsidR="00F83A56" w:rsidRPr="00D40E5C">
        <w:rPr>
          <w:lang w:val="es-ES_tradnl"/>
        </w:rPr>
        <w:t xml:space="preserve"> ejemplo concreto</w:t>
      </w:r>
      <w:r w:rsidR="006D37D7" w:rsidRPr="00D40E5C">
        <w:rPr>
          <w:lang w:val="es-ES_tradnl"/>
        </w:rPr>
        <w:t xml:space="preserve"> de plan de salvaguardia</w:t>
      </w:r>
      <w:r w:rsidR="00F83A56" w:rsidRPr="00D40E5C">
        <w:rPr>
          <w:lang w:val="es-ES_tradnl"/>
        </w:rPr>
        <w:t xml:space="preserve">, se puede </w:t>
      </w:r>
      <w:r w:rsidR="0079385F" w:rsidRPr="00D40E5C">
        <w:rPr>
          <w:lang w:val="es-ES_tradnl"/>
        </w:rPr>
        <w:t>invitar</w:t>
      </w:r>
      <w:r w:rsidR="00F83A56" w:rsidRPr="00D40E5C">
        <w:rPr>
          <w:lang w:val="es-ES_tradnl"/>
        </w:rPr>
        <w:t xml:space="preserve"> a los participantes en el taller a que examinen el </w:t>
      </w:r>
      <w:r w:rsidRPr="00D40E5C">
        <w:rPr>
          <w:lang w:val="es-ES_tradnl"/>
        </w:rPr>
        <w:t>pre</w:t>
      </w:r>
      <w:r w:rsidR="006D37D7" w:rsidRPr="00D40E5C">
        <w:rPr>
          <w:lang w:val="es-ES_tradnl"/>
        </w:rPr>
        <w:t>sentado</w:t>
      </w:r>
      <w:r w:rsidR="0079385F" w:rsidRPr="00D40E5C">
        <w:rPr>
          <w:lang w:val="es-ES_tradnl"/>
        </w:rPr>
        <w:t xml:space="preserve"> </w:t>
      </w:r>
      <w:r w:rsidR="006D37D7" w:rsidRPr="00D40E5C">
        <w:rPr>
          <w:lang w:val="es-ES_tradnl"/>
        </w:rPr>
        <w:t xml:space="preserve">en </w:t>
      </w:r>
      <w:r w:rsidR="00F83A56" w:rsidRPr="00D40E5C">
        <w:rPr>
          <w:lang w:val="es-ES_tradnl"/>
        </w:rPr>
        <w:t xml:space="preserve">el </w:t>
      </w:r>
      <w:r w:rsidR="006D37D7" w:rsidRPr="00D40E5C">
        <w:rPr>
          <w:lang w:val="es-ES_tradnl"/>
        </w:rPr>
        <w:t>modelo de simulación de candidatura</w:t>
      </w:r>
      <w:r w:rsidR="00D40E5C" w:rsidRPr="00D40E5C">
        <w:rPr>
          <w:lang w:val="es-ES_tradnl"/>
        </w:rPr>
        <w:t xml:space="preserve"> </w:t>
      </w:r>
      <w:r w:rsidR="006D37D7" w:rsidRPr="00D40E5C">
        <w:rPr>
          <w:lang w:val="es-ES_tradnl"/>
        </w:rPr>
        <w:t>final</w:t>
      </w:r>
      <w:r w:rsidR="00D40E5C" w:rsidRPr="00D40E5C">
        <w:rPr>
          <w:lang w:val="es-ES_tradnl"/>
        </w:rPr>
        <w:t xml:space="preserve"> </w:t>
      </w:r>
      <w:r w:rsidR="006D37D7" w:rsidRPr="00D40E5C">
        <w:rPr>
          <w:lang w:val="es-ES_tradnl"/>
        </w:rPr>
        <w:t xml:space="preserve">del elemento “Música y canto fonabal” </w:t>
      </w:r>
      <w:r w:rsidRPr="00D40E5C">
        <w:rPr>
          <w:lang w:val="es-ES_tradnl"/>
        </w:rPr>
        <w:t>(Folleto 3.a de la Unidad 42)</w:t>
      </w:r>
      <w:r w:rsidR="00F83A56" w:rsidRPr="00D40E5C">
        <w:rPr>
          <w:lang w:val="es-ES_tradnl"/>
        </w:rPr>
        <w:t xml:space="preserve">. A continuación se proporciona una </w:t>
      </w:r>
      <w:r w:rsidR="0079385F" w:rsidRPr="00D40E5C">
        <w:rPr>
          <w:lang w:val="es-ES_tradnl"/>
        </w:rPr>
        <w:t xml:space="preserve">breve </w:t>
      </w:r>
      <w:r w:rsidR="00F83A56" w:rsidRPr="00D40E5C">
        <w:rPr>
          <w:lang w:val="es-ES_tradnl"/>
        </w:rPr>
        <w:t>descripción de ese elemento</w:t>
      </w:r>
      <w:r w:rsidR="0079385F" w:rsidRPr="00D40E5C">
        <w:rPr>
          <w:lang w:val="es-ES_tradnl"/>
        </w:rPr>
        <w:t xml:space="preserve"> a título informativo, seguida de </w:t>
      </w:r>
      <w:r w:rsidR="006D37D7" w:rsidRPr="00D40E5C">
        <w:rPr>
          <w:lang w:val="es-ES_tradnl"/>
        </w:rPr>
        <w:t>l</w:t>
      </w:r>
      <w:r w:rsidR="0079385F" w:rsidRPr="00D40E5C">
        <w:rPr>
          <w:lang w:val="es-ES_tradnl"/>
        </w:rPr>
        <w:t xml:space="preserve">a presentación de </w:t>
      </w:r>
      <w:r w:rsidR="006D37D7" w:rsidRPr="00D40E5C">
        <w:rPr>
          <w:lang w:val="es-ES_tradnl"/>
        </w:rPr>
        <w:t>l</w:t>
      </w:r>
      <w:r w:rsidR="0079385F" w:rsidRPr="00D40E5C">
        <w:rPr>
          <w:lang w:val="es-ES_tradnl"/>
        </w:rPr>
        <w:t xml:space="preserve">as </w:t>
      </w:r>
      <w:r w:rsidR="006D37D7" w:rsidRPr="00D40E5C">
        <w:rPr>
          <w:lang w:val="es-ES_tradnl"/>
        </w:rPr>
        <w:t xml:space="preserve">diferentes </w:t>
      </w:r>
      <w:r w:rsidR="0079385F" w:rsidRPr="00D40E5C">
        <w:rPr>
          <w:lang w:val="es-ES_tradnl"/>
        </w:rPr>
        <w:t>partes de su plan de salvaguardia (</w:t>
      </w:r>
      <w:r w:rsidR="00F83A56" w:rsidRPr="00D40E5C">
        <w:rPr>
          <w:lang w:val="es-ES_tradnl"/>
        </w:rPr>
        <w:t>Cuadro 1</w:t>
      </w:r>
      <w:r w:rsidR="0079385F" w:rsidRPr="00D40E5C">
        <w:rPr>
          <w:lang w:val="es-ES_tradnl"/>
        </w:rPr>
        <w:t xml:space="preserve"> </w:t>
      </w:r>
      <w:r w:rsidR="0079385F" w:rsidRPr="00D40E5C">
        <w:rPr>
          <w:i/>
          <w:lang w:val="es-ES_tradnl"/>
        </w:rPr>
        <w:t>infra</w:t>
      </w:r>
      <w:r w:rsidR="0079385F" w:rsidRPr="00D40E5C">
        <w:rPr>
          <w:lang w:val="es-ES_tradnl"/>
        </w:rPr>
        <w:t>)</w:t>
      </w:r>
      <w:r w:rsidR="00F83A56" w:rsidRPr="00D40E5C">
        <w:rPr>
          <w:lang w:val="es-ES_tradnl"/>
        </w:rPr>
        <w:t>.</w:t>
      </w:r>
    </w:p>
    <w:p w:rsidR="00BB4B0A" w:rsidRPr="00740377" w:rsidRDefault="005E575D" w:rsidP="00740377">
      <w:pPr>
        <w:pStyle w:val="Texte1"/>
        <w:rPr>
          <w:lang w:val="es-ES_tradnl"/>
        </w:rPr>
      </w:pPr>
      <w:r w:rsidRPr="00D40E5C">
        <w:rPr>
          <w:rFonts w:eastAsia="Times New Roman"/>
          <w:szCs w:val="20"/>
          <w:lang w:val="es-ES_tradnl" w:eastAsia="es-ES"/>
        </w:rPr>
        <w:t>La música, el canto y las danzas con fonabal (xilófono) son parte fundamental de una serie de rituales y fe</w:t>
      </w:r>
      <w:r w:rsidR="00DF423D" w:rsidRPr="00D40E5C">
        <w:rPr>
          <w:rFonts w:eastAsia="Times New Roman"/>
          <w:szCs w:val="20"/>
          <w:lang w:val="es-ES_tradnl" w:eastAsia="es-ES"/>
        </w:rPr>
        <w:t>stividades de la comunidad afro</w:t>
      </w:r>
      <w:r w:rsidRPr="00D40E5C">
        <w:rPr>
          <w:rFonts w:eastAsia="Times New Roman"/>
          <w:szCs w:val="20"/>
          <w:lang w:val="es-ES_tradnl" w:eastAsia="es-ES"/>
        </w:rPr>
        <w:t>hispánica de la costa meridional del país F. Los cantos fonabal combinan letras en español con lamentos africanos, que son una reminiscencia de los ancestros esclavos de dicha comunidad. El elemento se suele manifestar en cuatro eventos principalmente: la adoración de santos, el baile con fonabal, el velorio de adultos y el velorio de niños pequeños o “angelitos”. Cada uno de esos eventos conlleva expresiones musicales específicas. La música se ejecuta con fonabales y su ritmo se acompaña con palmadas y sonidos de tambores y maracas. Hoy en día, muc</w:t>
      </w:r>
      <w:r w:rsidR="00DF423D" w:rsidRPr="00D40E5C">
        <w:rPr>
          <w:rFonts w:eastAsia="Times New Roman"/>
          <w:szCs w:val="20"/>
          <w:lang w:val="es-ES_tradnl" w:eastAsia="es-ES"/>
        </w:rPr>
        <w:t>hos jóvenes afro</w:t>
      </w:r>
      <w:r w:rsidRPr="00D40E5C">
        <w:rPr>
          <w:rFonts w:eastAsia="Times New Roman"/>
          <w:szCs w:val="20"/>
          <w:lang w:val="es-ES_tradnl" w:eastAsia="es-ES"/>
        </w:rPr>
        <w:t xml:space="preserve">hispánicos han emigrado a la capital provincial para estudiar y trabajar, o para escapar de los conflictos de las zonas rurales, rompiendo así a menudo las relaciones estrechas que les unían a sus familias y tradiciones. La mayoría de los maestros que organizan y dirigen las representaciones de cantos y bailes en rituales y festejos han permanecido en las comarcas rurales. Debido a todos estos factores, las músicas y los rituales vinculados al fonabal se practican cada vez menos en las zonas urbanas, </w:t>
      </w:r>
      <w:r w:rsidRPr="00D40E5C">
        <w:rPr>
          <w:szCs w:val="20"/>
          <w:lang w:val="es-ES_tradnl"/>
        </w:rPr>
        <w:t xml:space="preserve">por lo que el elemento requiere </w:t>
      </w:r>
      <w:r w:rsidR="00DF423D" w:rsidRPr="00D40E5C">
        <w:rPr>
          <w:szCs w:val="20"/>
          <w:lang w:val="es-ES_tradnl"/>
        </w:rPr>
        <w:t xml:space="preserve">la </w:t>
      </w:r>
      <w:r w:rsidRPr="00D40E5C">
        <w:rPr>
          <w:szCs w:val="20"/>
          <w:lang w:val="es-ES_tradnl"/>
        </w:rPr>
        <w:t>adopción de medidas urgentes de salvaguardia.</w:t>
      </w:r>
    </w:p>
    <w:p w:rsidR="00D71953" w:rsidRPr="00D40E5C" w:rsidRDefault="00D71953">
      <w:pPr>
        <w:tabs>
          <w:tab w:val="clear" w:pos="567"/>
        </w:tabs>
        <w:snapToGrid/>
        <w:spacing w:before="0" w:after="0"/>
        <w:jc w:val="left"/>
        <w:rPr>
          <w:b/>
          <w:bCs/>
          <w:i/>
          <w:noProof/>
          <w:snapToGrid/>
          <w:sz w:val="20"/>
          <w:szCs w:val="20"/>
          <w:lang w:val="es-ES_tradnl" w:eastAsia="en-US"/>
        </w:rPr>
      </w:pPr>
      <w:r w:rsidRPr="00D40E5C">
        <w:rPr>
          <w:lang w:val="es-ES_tradnl"/>
        </w:rPr>
        <w:br w:type="page"/>
      </w:r>
    </w:p>
    <w:p w:rsidR="000E53EB" w:rsidRPr="00D40E5C" w:rsidRDefault="00545B7B" w:rsidP="004936EF">
      <w:pPr>
        <w:pStyle w:val="Soustitre"/>
        <w:rPr>
          <w:lang w:val="es-ES_tradnl"/>
        </w:rPr>
      </w:pPr>
      <w:r w:rsidRPr="00D40E5C">
        <w:rPr>
          <w:lang w:val="es-ES_tradnl"/>
        </w:rPr>
        <w:lastRenderedPageBreak/>
        <w:t>Cua</w:t>
      </w:r>
      <w:r w:rsidR="009D373C" w:rsidRPr="00D40E5C">
        <w:rPr>
          <w:lang w:val="es-ES_tradnl"/>
        </w:rPr>
        <w:t>dro</w:t>
      </w:r>
      <w:r w:rsidR="005473B5" w:rsidRPr="00D40E5C">
        <w:rPr>
          <w:lang w:val="es-ES_tradnl"/>
        </w:rPr>
        <w:t xml:space="preserve"> </w:t>
      </w:r>
      <w:r w:rsidR="00BB4B0A" w:rsidRPr="00D40E5C">
        <w:rPr>
          <w:lang w:val="es-ES_tradnl"/>
        </w:rPr>
        <w:t>1</w:t>
      </w:r>
      <w:r w:rsidR="00CC3174" w:rsidRPr="00D40E5C">
        <w:rPr>
          <w:lang w:val="es-ES_tradnl"/>
        </w:rPr>
        <w:t xml:space="preserve">. </w:t>
      </w:r>
      <w:r w:rsidR="009D373C" w:rsidRPr="00D40E5C">
        <w:rPr>
          <w:lang w:val="es-ES_tradnl"/>
        </w:rPr>
        <w:t xml:space="preserve">Modelo de plan de </w:t>
      </w:r>
      <w:r w:rsidR="00A25B8C" w:rsidRPr="00D40E5C">
        <w:rPr>
          <w:lang w:val="es-ES_tradnl"/>
        </w:rPr>
        <w:t>salvaguardia</w:t>
      </w:r>
      <w:r w:rsidR="000E53EB" w:rsidRPr="00D40E5C">
        <w:rPr>
          <w:lang w:val="es-ES_tradnl"/>
        </w:rPr>
        <w:t xml:space="preserve"> </w:t>
      </w:r>
      <w:r w:rsidR="00604C12" w:rsidRPr="00D40E5C">
        <w:rPr>
          <w:lang w:val="es-ES_tradnl"/>
        </w:rPr>
        <w:t>para la</w:t>
      </w:r>
      <w:r w:rsidR="00F5421B" w:rsidRPr="00D40E5C">
        <w:rPr>
          <w:lang w:val="es-ES_tradnl"/>
        </w:rPr>
        <w:t xml:space="preserve"> </w:t>
      </w:r>
      <w:r w:rsidR="00604C12" w:rsidRPr="00D40E5C">
        <w:rPr>
          <w:lang w:val="es-ES_tradnl"/>
        </w:rPr>
        <w:t>m</w:t>
      </w:r>
      <w:r w:rsidR="009D373C" w:rsidRPr="00D40E5C">
        <w:rPr>
          <w:lang w:val="es-ES_tradnl"/>
        </w:rPr>
        <w:t>úsica fonabal</w:t>
      </w:r>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28"/>
        <w:gridCol w:w="1701"/>
        <w:gridCol w:w="1134"/>
        <w:gridCol w:w="1905"/>
        <w:gridCol w:w="2177"/>
      </w:tblGrid>
      <w:tr w:rsidR="000E53EB" w:rsidRPr="00D40E5C" w:rsidTr="009D373C">
        <w:trPr>
          <w:cantSplit/>
          <w:tblHeader/>
        </w:trPr>
        <w:tc>
          <w:tcPr>
            <w:tcW w:w="1928" w:type="dxa"/>
            <w:shd w:val="clear" w:color="auto" w:fill="BAD0EE"/>
          </w:tcPr>
          <w:p w:rsidR="000E53EB" w:rsidRPr="00D40E5C" w:rsidRDefault="000E53EB" w:rsidP="009D373C">
            <w:pPr>
              <w:pStyle w:val="Tetierejourne"/>
              <w:jc w:val="center"/>
              <w:rPr>
                <w:sz w:val="18"/>
                <w:szCs w:val="18"/>
                <w:lang w:val="es-ES_tradnl"/>
              </w:rPr>
            </w:pPr>
            <w:r w:rsidRPr="00D40E5C">
              <w:rPr>
                <w:sz w:val="18"/>
                <w:szCs w:val="18"/>
                <w:lang w:val="es-ES_tradnl"/>
              </w:rPr>
              <w:t>Activi</w:t>
            </w:r>
            <w:r w:rsidR="009D373C" w:rsidRPr="00D40E5C">
              <w:rPr>
                <w:sz w:val="18"/>
                <w:szCs w:val="18"/>
                <w:lang w:val="es-ES_tradnl"/>
              </w:rPr>
              <w:t>dad</w:t>
            </w:r>
            <w:r w:rsidR="001F26B1">
              <w:rPr>
                <w:sz w:val="18"/>
                <w:szCs w:val="18"/>
                <w:lang w:val="es-ES_tradnl"/>
              </w:rPr>
              <w:t>es</w:t>
            </w:r>
          </w:p>
        </w:tc>
        <w:tc>
          <w:tcPr>
            <w:tcW w:w="1701" w:type="dxa"/>
            <w:shd w:val="clear" w:color="auto" w:fill="BAD0EE"/>
          </w:tcPr>
          <w:p w:rsidR="001F26B1" w:rsidRPr="00D40E5C" w:rsidRDefault="009D373C" w:rsidP="001F26B1">
            <w:pPr>
              <w:pStyle w:val="Tetierejourne"/>
              <w:jc w:val="center"/>
              <w:rPr>
                <w:sz w:val="18"/>
                <w:szCs w:val="18"/>
                <w:lang w:val="es-ES_tradnl"/>
              </w:rPr>
            </w:pPr>
            <w:r w:rsidRPr="00D40E5C">
              <w:rPr>
                <w:sz w:val="18"/>
                <w:szCs w:val="18"/>
                <w:lang w:val="es-ES_tradnl"/>
              </w:rPr>
              <w:t>Partes interesadas</w:t>
            </w:r>
            <w:r w:rsidR="001F26B1">
              <w:rPr>
                <w:sz w:val="18"/>
                <w:szCs w:val="18"/>
                <w:lang w:val="es-ES_tradnl"/>
              </w:rPr>
              <w:t xml:space="preserve"> responsables</w:t>
            </w:r>
          </w:p>
        </w:tc>
        <w:tc>
          <w:tcPr>
            <w:tcW w:w="1134" w:type="dxa"/>
            <w:shd w:val="clear" w:color="auto" w:fill="BAD0EE"/>
          </w:tcPr>
          <w:p w:rsidR="000E53EB" w:rsidRPr="00D40E5C" w:rsidRDefault="009D373C" w:rsidP="009D373C">
            <w:pPr>
              <w:pStyle w:val="Tetierejourne"/>
              <w:jc w:val="center"/>
              <w:rPr>
                <w:sz w:val="18"/>
                <w:szCs w:val="18"/>
                <w:lang w:val="es-ES_tradnl"/>
              </w:rPr>
            </w:pPr>
            <w:r w:rsidRPr="00D40E5C">
              <w:rPr>
                <w:sz w:val="18"/>
                <w:szCs w:val="18"/>
                <w:lang w:val="es-ES_tradnl"/>
              </w:rPr>
              <w:t>Calendario</w:t>
            </w:r>
          </w:p>
        </w:tc>
        <w:tc>
          <w:tcPr>
            <w:tcW w:w="1905" w:type="dxa"/>
            <w:shd w:val="clear" w:color="auto" w:fill="BAD0EE"/>
          </w:tcPr>
          <w:p w:rsidR="000E53EB" w:rsidRPr="00D40E5C" w:rsidRDefault="000E53EB" w:rsidP="009D373C">
            <w:pPr>
              <w:pStyle w:val="Tetierejourne"/>
              <w:jc w:val="center"/>
              <w:rPr>
                <w:sz w:val="18"/>
                <w:szCs w:val="18"/>
                <w:lang w:val="es-ES_tradnl"/>
              </w:rPr>
            </w:pPr>
            <w:r w:rsidRPr="00D40E5C">
              <w:rPr>
                <w:sz w:val="18"/>
                <w:szCs w:val="18"/>
                <w:lang w:val="es-ES_tradnl"/>
              </w:rPr>
              <w:t>Cost</w:t>
            </w:r>
            <w:r w:rsidR="009D373C" w:rsidRPr="00D40E5C">
              <w:rPr>
                <w:sz w:val="18"/>
                <w:szCs w:val="18"/>
                <w:lang w:val="es-ES_tradnl"/>
              </w:rPr>
              <w:t>os</w:t>
            </w:r>
            <w:r w:rsidR="001F26B1">
              <w:rPr>
                <w:sz w:val="18"/>
                <w:szCs w:val="18"/>
                <w:lang w:val="es-ES_tradnl"/>
              </w:rPr>
              <w:t xml:space="preserve"> </w:t>
            </w:r>
            <w:r w:rsidR="00BF6DA7" w:rsidRPr="00D40E5C">
              <w:rPr>
                <w:sz w:val="18"/>
                <w:szCs w:val="18"/>
                <w:lang w:val="es-ES_tradnl"/>
              </w:rPr>
              <w:t>/</w:t>
            </w:r>
            <w:r w:rsidR="001F26B1">
              <w:rPr>
                <w:sz w:val="18"/>
                <w:szCs w:val="18"/>
                <w:lang w:val="es-ES_tradnl"/>
              </w:rPr>
              <w:t xml:space="preserve"> </w:t>
            </w:r>
            <w:r w:rsidR="009D373C" w:rsidRPr="00D40E5C">
              <w:rPr>
                <w:sz w:val="18"/>
                <w:szCs w:val="18"/>
                <w:lang w:val="es-ES_tradnl"/>
              </w:rPr>
              <w:t>Necesidades</w:t>
            </w:r>
            <w:r w:rsidR="009D373C" w:rsidRPr="00D40E5C">
              <w:rPr>
                <w:sz w:val="18"/>
                <w:szCs w:val="18"/>
                <w:lang w:val="es-ES_tradnl"/>
              </w:rPr>
              <w:br/>
            </w:r>
            <w:r w:rsidRPr="00D40E5C">
              <w:rPr>
                <w:sz w:val="18"/>
                <w:szCs w:val="18"/>
                <w:lang w:val="es-ES_tradnl"/>
              </w:rPr>
              <w:t>(</w:t>
            </w:r>
            <w:r w:rsidR="009D373C" w:rsidRPr="00D40E5C">
              <w:rPr>
                <w:sz w:val="18"/>
                <w:szCs w:val="18"/>
                <w:lang w:val="es-ES_tradnl"/>
              </w:rPr>
              <w:t>en dólares</w:t>
            </w:r>
            <w:r w:rsidRPr="00D40E5C">
              <w:rPr>
                <w:sz w:val="18"/>
                <w:szCs w:val="18"/>
                <w:lang w:val="es-ES_tradnl"/>
              </w:rPr>
              <w:t>)</w:t>
            </w:r>
          </w:p>
        </w:tc>
        <w:tc>
          <w:tcPr>
            <w:tcW w:w="2177" w:type="dxa"/>
            <w:shd w:val="clear" w:color="auto" w:fill="BAD0EE"/>
          </w:tcPr>
          <w:p w:rsidR="000E53EB" w:rsidRPr="00D40E5C" w:rsidRDefault="009D373C" w:rsidP="009D373C">
            <w:pPr>
              <w:pStyle w:val="Tetierejourne"/>
              <w:jc w:val="center"/>
              <w:rPr>
                <w:sz w:val="18"/>
                <w:szCs w:val="18"/>
                <w:lang w:val="es-ES_tradnl"/>
              </w:rPr>
            </w:pPr>
            <w:r w:rsidRPr="00D40E5C">
              <w:rPr>
                <w:sz w:val="18"/>
                <w:szCs w:val="18"/>
                <w:lang w:val="es-ES_tradnl"/>
              </w:rPr>
              <w:t>Resultados</w:t>
            </w:r>
            <w:r w:rsidRPr="00D40E5C">
              <w:rPr>
                <w:sz w:val="18"/>
                <w:szCs w:val="18"/>
                <w:lang w:val="es-ES_tradnl"/>
              </w:rPr>
              <w:br/>
              <w:t>esperados</w:t>
            </w:r>
          </w:p>
        </w:tc>
      </w:tr>
      <w:tr w:rsidR="000E53EB" w:rsidRPr="00740377" w:rsidTr="009D373C">
        <w:trPr>
          <w:cantSplit/>
        </w:trPr>
        <w:tc>
          <w:tcPr>
            <w:tcW w:w="1928" w:type="dxa"/>
          </w:tcPr>
          <w:p w:rsidR="000E53EB" w:rsidRPr="00D40E5C" w:rsidRDefault="000E53EB" w:rsidP="004936EF">
            <w:pPr>
              <w:pStyle w:val="Txtjourne"/>
              <w:rPr>
                <w:snapToGrid w:val="0"/>
                <w:lang w:val="es-ES_tradnl"/>
              </w:rPr>
            </w:pPr>
            <w:r w:rsidRPr="00D40E5C">
              <w:rPr>
                <w:lang w:val="es-ES_tradnl"/>
              </w:rPr>
              <w:t>1. Coordina</w:t>
            </w:r>
            <w:r w:rsidR="00180583" w:rsidRPr="00D40E5C">
              <w:rPr>
                <w:lang w:val="es-ES_tradnl"/>
              </w:rPr>
              <w:t>ción entre las partes inter</w:t>
            </w:r>
            <w:r w:rsidR="00881CF3" w:rsidRPr="00D40E5C">
              <w:rPr>
                <w:lang w:val="es-ES_tradnl"/>
              </w:rPr>
              <w:t>e</w:t>
            </w:r>
            <w:r w:rsidR="00180583" w:rsidRPr="00D40E5C">
              <w:rPr>
                <w:lang w:val="es-ES_tradnl"/>
              </w:rPr>
              <w:t xml:space="preserve">sadas </w:t>
            </w:r>
            <w:r w:rsidR="00881CF3" w:rsidRPr="00D40E5C">
              <w:rPr>
                <w:lang w:val="es-ES_tradnl"/>
              </w:rPr>
              <w:t>con vistas a</w:t>
            </w:r>
            <w:r w:rsidR="00180583" w:rsidRPr="00D40E5C">
              <w:rPr>
                <w:lang w:val="es-ES_tradnl"/>
              </w:rPr>
              <w:t xml:space="preserve"> promover este elemento del PCI</w:t>
            </w:r>
            <w:r w:rsidR="00FA04E6" w:rsidRPr="00D40E5C">
              <w:rPr>
                <w:lang w:val="es-ES_tradnl"/>
              </w:rPr>
              <w:t xml:space="preserve"> </w:t>
            </w:r>
            <w:r w:rsidR="00180583" w:rsidRPr="00D40E5C">
              <w:rPr>
                <w:lang w:val="es-ES_tradnl"/>
              </w:rPr>
              <w:t>para que adquiera mayor relevancia</w:t>
            </w:r>
            <w:r w:rsidR="00FA04E6" w:rsidRPr="00D40E5C">
              <w:rPr>
                <w:lang w:val="es-ES_tradnl"/>
              </w:rPr>
              <w:t xml:space="preserve"> </w:t>
            </w:r>
            <w:r w:rsidR="00180583" w:rsidRPr="00D40E5C">
              <w:rPr>
                <w:lang w:val="es-ES_tradnl"/>
              </w:rPr>
              <w:t>en el plano local, nacional e internacional</w:t>
            </w:r>
          </w:p>
          <w:p w:rsidR="000E53EB" w:rsidRPr="00D40E5C" w:rsidRDefault="000E53EB" w:rsidP="0033005A">
            <w:pPr>
              <w:pStyle w:val="Txtjourne"/>
              <w:rPr>
                <w:szCs w:val="20"/>
                <w:lang w:val="es-ES_tradnl"/>
              </w:rPr>
            </w:pPr>
            <w:r w:rsidRPr="00D40E5C">
              <w:rPr>
                <w:szCs w:val="20"/>
                <w:lang w:val="es-ES_tradnl"/>
              </w:rPr>
              <w:t xml:space="preserve">2. </w:t>
            </w:r>
            <w:r w:rsidR="00180583" w:rsidRPr="00D40E5C">
              <w:rPr>
                <w:szCs w:val="20"/>
                <w:lang w:val="es-ES_tradnl"/>
              </w:rPr>
              <w:t xml:space="preserve">Permitir </w:t>
            </w:r>
            <w:r w:rsidR="00881CF3" w:rsidRPr="00D40E5C">
              <w:rPr>
                <w:szCs w:val="20"/>
                <w:lang w:val="es-ES_tradnl"/>
              </w:rPr>
              <w:t>que la población afrohispánica celebre</w:t>
            </w:r>
            <w:r w:rsidR="00180583" w:rsidRPr="00D40E5C">
              <w:rPr>
                <w:szCs w:val="20"/>
                <w:lang w:val="es-ES_tradnl"/>
              </w:rPr>
              <w:t xml:space="preserve"> ceremonias con acompañamiento </w:t>
            </w:r>
            <w:r w:rsidR="00881CF3" w:rsidRPr="00D40E5C">
              <w:rPr>
                <w:szCs w:val="20"/>
                <w:lang w:val="es-ES_tradnl"/>
              </w:rPr>
              <w:t>de</w:t>
            </w:r>
            <w:r w:rsidR="00180583" w:rsidRPr="00D40E5C">
              <w:rPr>
                <w:szCs w:val="20"/>
                <w:lang w:val="es-ES_tradnl"/>
              </w:rPr>
              <w:t xml:space="preserve"> mús</w:t>
            </w:r>
            <w:r w:rsidR="00881CF3" w:rsidRPr="00D40E5C">
              <w:rPr>
                <w:szCs w:val="20"/>
                <w:lang w:val="es-ES_tradnl"/>
              </w:rPr>
              <w:t xml:space="preserve">icas y cantos fonabal </w:t>
            </w:r>
            <w:r w:rsidR="0033005A" w:rsidRPr="00D40E5C">
              <w:rPr>
                <w:szCs w:val="20"/>
                <w:lang w:val="es-ES_tradnl"/>
              </w:rPr>
              <w:t xml:space="preserve">en los locales oficiales de servicios funerarios </w:t>
            </w:r>
          </w:p>
        </w:tc>
        <w:tc>
          <w:tcPr>
            <w:tcW w:w="1701" w:type="dxa"/>
          </w:tcPr>
          <w:p w:rsidR="000E53EB" w:rsidRPr="00D40E5C" w:rsidRDefault="00253532" w:rsidP="004936EF">
            <w:pPr>
              <w:pStyle w:val="Txtjourne"/>
              <w:rPr>
                <w:snapToGrid w:val="0"/>
                <w:lang w:val="es-ES_tradnl"/>
              </w:rPr>
            </w:pPr>
            <w:r w:rsidRPr="00D40E5C">
              <w:rPr>
                <w:lang w:val="es-ES_tradnl"/>
              </w:rPr>
              <w:t>ONG local “Fonabal Ante Todo”</w:t>
            </w:r>
          </w:p>
          <w:p w:rsidR="000E53EB" w:rsidRPr="00D40E5C" w:rsidRDefault="00326BF2" w:rsidP="00253532">
            <w:pPr>
              <w:pStyle w:val="Txtjourne"/>
              <w:rPr>
                <w:iCs/>
                <w:lang w:val="es-ES_tradnl"/>
              </w:rPr>
            </w:pPr>
            <w:r w:rsidRPr="00D40E5C">
              <w:rPr>
                <w:lang w:val="es-ES_tradnl"/>
              </w:rPr>
              <w:t>M</w:t>
            </w:r>
            <w:r w:rsidR="00253532" w:rsidRPr="00D40E5C">
              <w:rPr>
                <w:lang w:val="es-ES_tradnl"/>
              </w:rPr>
              <w:t>úsicos</w:t>
            </w:r>
            <w:r w:rsidR="000E53EB" w:rsidRPr="00D40E5C">
              <w:rPr>
                <w:lang w:val="es-ES_tradnl"/>
              </w:rPr>
              <w:t xml:space="preserve">, </w:t>
            </w:r>
            <w:r w:rsidR="00253532" w:rsidRPr="00D40E5C">
              <w:rPr>
                <w:lang w:val="es-ES_tradnl"/>
              </w:rPr>
              <w:t>cantantes</w:t>
            </w:r>
            <w:r w:rsidR="000E53EB" w:rsidRPr="00D40E5C">
              <w:rPr>
                <w:lang w:val="es-ES_tradnl"/>
              </w:rPr>
              <w:t>, com</w:t>
            </w:r>
            <w:r w:rsidR="00253532" w:rsidRPr="00D40E5C">
              <w:rPr>
                <w:lang w:val="es-ES_tradnl"/>
              </w:rPr>
              <w:t>unidades</w:t>
            </w:r>
            <w:r w:rsidR="000E53EB" w:rsidRPr="00D40E5C">
              <w:rPr>
                <w:lang w:val="es-ES_tradnl"/>
              </w:rPr>
              <w:t xml:space="preserve">, </w:t>
            </w:r>
            <w:r w:rsidR="00253532" w:rsidRPr="00D40E5C">
              <w:rPr>
                <w:lang w:val="es-ES_tradnl"/>
              </w:rPr>
              <w:t>investigadores y autoridades gubernamentales</w:t>
            </w:r>
          </w:p>
        </w:tc>
        <w:tc>
          <w:tcPr>
            <w:tcW w:w="1134" w:type="dxa"/>
          </w:tcPr>
          <w:p w:rsidR="000E53EB" w:rsidRPr="00D40E5C" w:rsidRDefault="000E53EB" w:rsidP="004936EF">
            <w:pPr>
              <w:pStyle w:val="Txtjourne"/>
              <w:rPr>
                <w:snapToGrid w:val="0"/>
                <w:color w:val="404040" w:themeColor="text1" w:themeTint="BF"/>
                <w:lang w:val="es-ES_tradnl"/>
              </w:rPr>
            </w:pPr>
            <w:r w:rsidRPr="00D40E5C">
              <w:rPr>
                <w:lang w:val="es-ES_tradnl"/>
              </w:rPr>
              <w:t>2011</w:t>
            </w:r>
            <w:r w:rsidR="00326BF2" w:rsidRPr="00D40E5C">
              <w:rPr>
                <w:lang w:val="es-ES_tradnl"/>
              </w:rPr>
              <w:t>–</w:t>
            </w:r>
            <w:r w:rsidRPr="00D40E5C">
              <w:rPr>
                <w:lang w:val="es-ES_tradnl"/>
              </w:rPr>
              <w:t>14</w:t>
            </w:r>
          </w:p>
        </w:tc>
        <w:tc>
          <w:tcPr>
            <w:tcW w:w="1905" w:type="dxa"/>
          </w:tcPr>
          <w:p w:rsidR="000E53EB" w:rsidRPr="00D40E5C" w:rsidRDefault="00253532" w:rsidP="00881CF3">
            <w:pPr>
              <w:pStyle w:val="Txtjourne"/>
              <w:rPr>
                <w:snapToGrid w:val="0"/>
                <w:color w:val="404040" w:themeColor="text1" w:themeTint="BF"/>
                <w:lang w:val="es-ES_tradnl"/>
              </w:rPr>
            </w:pPr>
            <w:r w:rsidRPr="00D40E5C">
              <w:rPr>
                <w:lang w:val="es-ES_tradnl"/>
              </w:rPr>
              <w:t>30.</w:t>
            </w:r>
            <w:r w:rsidR="000E53EB" w:rsidRPr="00D40E5C">
              <w:rPr>
                <w:lang w:val="es-ES_tradnl"/>
              </w:rPr>
              <w:t>000</w:t>
            </w:r>
            <w:r w:rsidR="00AA1E74" w:rsidRPr="00D40E5C">
              <w:rPr>
                <w:lang w:val="es-ES_tradnl"/>
              </w:rPr>
              <w:t xml:space="preserve"> </w:t>
            </w:r>
            <w:r w:rsidRPr="00D40E5C">
              <w:rPr>
                <w:lang w:val="es-ES_tradnl"/>
              </w:rPr>
              <w:t>dólares anuales</w:t>
            </w:r>
            <w:r w:rsidR="00044BAB" w:rsidRPr="00D40E5C">
              <w:rPr>
                <w:lang w:val="es-ES_tradnl"/>
              </w:rPr>
              <w:t xml:space="preserve"> </w:t>
            </w:r>
            <w:r w:rsidR="00AA1E74" w:rsidRPr="00D40E5C">
              <w:rPr>
                <w:lang w:val="es-ES_tradnl"/>
              </w:rPr>
              <w:t>(sub</w:t>
            </w:r>
            <w:r w:rsidR="00881CF3" w:rsidRPr="00D40E5C">
              <w:rPr>
                <w:lang w:val="es-ES_tradnl"/>
              </w:rPr>
              <w:t xml:space="preserve">vención </w:t>
            </w:r>
            <w:r w:rsidRPr="00D40E5C">
              <w:rPr>
                <w:lang w:val="es-ES_tradnl"/>
              </w:rPr>
              <w:t>gubernamental</w:t>
            </w:r>
            <w:r w:rsidR="00AA1E74" w:rsidRPr="00D40E5C">
              <w:rPr>
                <w:lang w:val="es-ES_tradnl"/>
              </w:rPr>
              <w:t>)</w:t>
            </w:r>
          </w:p>
        </w:tc>
        <w:tc>
          <w:tcPr>
            <w:tcW w:w="2177" w:type="dxa"/>
          </w:tcPr>
          <w:p w:rsidR="000E53EB" w:rsidRPr="00D40E5C" w:rsidRDefault="00881CF3" w:rsidP="004936EF">
            <w:pPr>
              <w:pStyle w:val="Txtjourne"/>
              <w:rPr>
                <w:lang w:val="es-ES_tradnl"/>
              </w:rPr>
            </w:pPr>
            <w:r w:rsidRPr="00D40E5C">
              <w:rPr>
                <w:lang w:val="es-ES_tradnl"/>
              </w:rPr>
              <w:t>Lograr que</w:t>
            </w:r>
            <w:r w:rsidR="00FA04E6" w:rsidRPr="00D40E5C">
              <w:rPr>
                <w:lang w:val="es-ES_tradnl"/>
              </w:rPr>
              <w:t xml:space="preserve"> </w:t>
            </w:r>
            <w:r w:rsidRPr="00D40E5C">
              <w:rPr>
                <w:lang w:val="es-ES_tradnl"/>
              </w:rPr>
              <w:t xml:space="preserve">este elemento del PCI se reconozca como el </w:t>
            </w:r>
            <w:r w:rsidR="00450133" w:rsidRPr="00D40E5C">
              <w:rPr>
                <w:lang w:val="es-ES_tradnl"/>
              </w:rPr>
              <w:t>principal recurso</w:t>
            </w:r>
            <w:r w:rsidRPr="00D40E5C">
              <w:rPr>
                <w:lang w:val="es-ES_tradnl"/>
              </w:rPr>
              <w:t xml:space="preserve"> cultural</w:t>
            </w:r>
            <w:r w:rsidR="00450133" w:rsidRPr="00D40E5C">
              <w:rPr>
                <w:lang w:val="es-ES_tradnl"/>
              </w:rPr>
              <w:t xml:space="preserve"> de la región, y que cuente con el apoyo de redes de intérpretes, docentes y promotores</w:t>
            </w:r>
            <w:r w:rsidR="000E53EB" w:rsidRPr="00D40E5C">
              <w:rPr>
                <w:lang w:val="es-ES_tradnl"/>
              </w:rPr>
              <w:t xml:space="preserve"> </w:t>
            </w:r>
          </w:p>
          <w:p w:rsidR="00450133" w:rsidRPr="00D40E5C" w:rsidRDefault="00450133" w:rsidP="00881CF3">
            <w:pPr>
              <w:pStyle w:val="Txtjourne"/>
              <w:rPr>
                <w:lang w:val="es-ES_tradnl"/>
              </w:rPr>
            </w:pPr>
          </w:p>
          <w:p w:rsidR="000E53EB" w:rsidRPr="00D40E5C" w:rsidRDefault="00881CF3" w:rsidP="00881CF3">
            <w:pPr>
              <w:pStyle w:val="Txtjourne"/>
              <w:rPr>
                <w:lang w:val="es-ES_tradnl"/>
              </w:rPr>
            </w:pPr>
            <w:r w:rsidRPr="00D40E5C">
              <w:rPr>
                <w:lang w:val="es-ES_tradnl"/>
              </w:rPr>
              <w:t>Lograr que entre los jóvenes de zonas rurales y urbanas pertenecientes a comunidades afrohispáricas aumente el interés por la participación en las ceremonias con cantos y músicas</w:t>
            </w:r>
            <w:r w:rsidR="00FA04E6" w:rsidRPr="00D40E5C">
              <w:rPr>
                <w:lang w:val="es-ES_tradnl"/>
              </w:rPr>
              <w:t xml:space="preserve"> </w:t>
            </w:r>
            <w:r w:rsidR="000E53EB" w:rsidRPr="00D40E5C">
              <w:rPr>
                <w:lang w:val="es-ES_tradnl"/>
              </w:rPr>
              <w:t>fonabal</w:t>
            </w:r>
          </w:p>
        </w:tc>
      </w:tr>
      <w:tr w:rsidR="000E53EB" w:rsidRPr="00740377" w:rsidTr="009D373C">
        <w:trPr>
          <w:cantSplit/>
        </w:trPr>
        <w:tc>
          <w:tcPr>
            <w:tcW w:w="1928" w:type="dxa"/>
          </w:tcPr>
          <w:p w:rsidR="00AA1E74" w:rsidRPr="00D40E5C" w:rsidRDefault="00AA1E74" w:rsidP="004936EF">
            <w:pPr>
              <w:pStyle w:val="Txtjourne"/>
              <w:rPr>
                <w:lang w:val="es-ES_tradnl"/>
              </w:rPr>
            </w:pPr>
            <w:r w:rsidRPr="00D40E5C">
              <w:rPr>
                <w:lang w:val="es-ES_tradnl"/>
              </w:rPr>
              <w:t>3. Inclu</w:t>
            </w:r>
            <w:r w:rsidR="00180583" w:rsidRPr="00D40E5C">
              <w:rPr>
                <w:lang w:val="es-ES_tradnl"/>
              </w:rPr>
              <w:t>ir la</w:t>
            </w:r>
            <w:r w:rsidR="00FA04E6" w:rsidRPr="00D40E5C">
              <w:rPr>
                <w:lang w:val="es-ES_tradnl"/>
              </w:rPr>
              <w:t xml:space="preserve"> </w:t>
            </w:r>
            <w:r w:rsidR="00180583" w:rsidRPr="00D40E5C">
              <w:rPr>
                <w:lang w:val="es-ES_tradnl"/>
              </w:rPr>
              <w:t>música fonabal en el currículo musical oficial de las universidades y de las escuelas estatales</w:t>
            </w:r>
            <w:r w:rsidRPr="00D40E5C">
              <w:rPr>
                <w:lang w:val="es-ES_tradnl"/>
              </w:rPr>
              <w:t xml:space="preserve"> </w:t>
            </w:r>
          </w:p>
          <w:p w:rsidR="000E53EB" w:rsidRPr="00D40E5C" w:rsidRDefault="000E53EB" w:rsidP="00180583">
            <w:pPr>
              <w:pStyle w:val="Txtjourne"/>
              <w:rPr>
                <w:lang w:val="es-ES_tradnl"/>
              </w:rPr>
            </w:pPr>
            <w:r w:rsidRPr="00D40E5C">
              <w:rPr>
                <w:lang w:val="es-ES_tradnl"/>
              </w:rPr>
              <w:t xml:space="preserve">4. </w:t>
            </w:r>
            <w:r w:rsidR="00180583" w:rsidRPr="00D40E5C">
              <w:rPr>
                <w:lang w:val="es-ES_tradnl"/>
              </w:rPr>
              <w:t>Apoyar oficial y extraoficialmente la</w:t>
            </w:r>
            <w:r w:rsidR="00FA04E6" w:rsidRPr="00D40E5C">
              <w:rPr>
                <w:lang w:val="es-ES_tradnl"/>
              </w:rPr>
              <w:t xml:space="preserve"> </w:t>
            </w:r>
            <w:r w:rsidR="00180583" w:rsidRPr="00D40E5C">
              <w:rPr>
                <w:lang w:val="es-ES_tradnl"/>
              </w:rPr>
              <w:t>enseñanza del canto, la música y la danza</w:t>
            </w:r>
            <w:r w:rsidRPr="00D40E5C">
              <w:rPr>
                <w:lang w:val="es-ES_tradnl"/>
              </w:rPr>
              <w:t xml:space="preserve"> fonabal</w:t>
            </w:r>
          </w:p>
        </w:tc>
        <w:tc>
          <w:tcPr>
            <w:tcW w:w="1701" w:type="dxa"/>
          </w:tcPr>
          <w:p w:rsidR="000E53EB" w:rsidRPr="00D40E5C" w:rsidRDefault="00180583" w:rsidP="004936EF">
            <w:pPr>
              <w:pStyle w:val="Txtjourne"/>
              <w:rPr>
                <w:lang w:val="es-ES_tradnl"/>
              </w:rPr>
            </w:pPr>
            <w:r w:rsidRPr="00D40E5C">
              <w:rPr>
                <w:lang w:val="es-ES_tradnl"/>
              </w:rPr>
              <w:t>ONG local “Fonabal Ante Todo”</w:t>
            </w:r>
            <w:r w:rsidR="000E53EB" w:rsidRPr="00D40E5C">
              <w:rPr>
                <w:lang w:val="es-ES_tradnl"/>
              </w:rPr>
              <w:t xml:space="preserve"> </w:t>
            </w:r>
          </w:p>
          <w:p w:rsidR="000E53EB" w:rsidRPr="00D40E5C" w:rsidRDefault="00253532" w:rsidP="004936EF">
            <w:pPr>
              <w:pStyle w:val="Txtjourne"/>
              <w:rPr>
                <w:lang w:val="es-ES_tradnl"/>
              </w:rPr>
            </w:pPr>
            <w:r w:rsidRPr="00D40E5C">
              <w:rPr>
                <w:lang w:val="es-ES_tradnl"/>
              </w:rPr>
              <w:t>Músicos y cantantes</w:t>
            </w:r>
          </w:p>
          <w:p w:rsidR="000E53EB" w:rsidRPr="00D40E5C" w:rsidRDefault="00253532" w:rsidP="004936EF">
            <w:pPr>
              <w:pStyle w:val="Txtjourne"/>
              <w:rPr>
                <w:lang w:val="es-ES_tradnl"/>
              </w:rPr>
            </w:pPr>
            <w:r w:rsidRPr="00D40E5C">
              <w:rPr>
                <w:lang w:val="es-ES_tradnl"/>
              </w:rPr>
              <w:t>Conservatorios de música y danza tradicionales</w:t>
            </w:r>
          </w:p>
          <w:p w:rsidR="000E53EB" w:rsidRPr="00D40E5C" w:rsidRDefault="000E53EB" w:rsidP="00253532">
            <w:pPr>
              <w:pStyle w:val="Txtjourne"/>
              <w:rPr>
                <w:iCs/>
                <w:snapToGrid w:val="0"/>
                <w:color w:val="404040" w:themeColor="text1" w:themeTint="BF"/>
                <w:lang w:val="es-ES_tradnl"/>
              </w:rPr>
            </w:pPr>
            <w:r w:rsidRPr="00D40E5C">
              <w:rPr>
                <w:lang w:val="es-ES_tradnl"/>
              </w:rPr>
              <w:t>Universi</w:t>
            </w:r>
            <w:r w:rsidR="00253532" w:rsidRPr="00D40E5C">
              <w:rPr>
                <w:lang w:val="es-ES_tradnl"/>
              </w:rPr>
              <w:t>dades</w:t>
            </w:r>
          </w:p>
        </w:tc>
        <w:tc>
          <w:tcPr>
            <w:tcW w:w="1134" w:type="dxa"/>
          </w:tcPr>
          <w:p w:rsidR="000E53EB" w:rsidRPr="00D40E5C" w:rsidRDefault="00326BF2" w:rsidP="004936EF">
            <w:pPr>
              <w:pStyle w:val="Txtjourne"/>
              <w:rPr>
                <w:snapToGrid w:val="0"/>
                <w:color w:val="404040" w:themeColor="text1" w:themeTint="BF"/>
                <w:lang w:val="es-ES_tradnl"/>
              </w:rPr>
            </w:pPr>
            <w:r w:rsidRPr="00D40E5C">
              <w:rPr>
                <w:lang w:val="es-ES_tradnl"/>
              </w:rPr>
              <w:t>2011–14</w:t>
            </w:r>
          </w:p>
        </w:tc>
        <w:tc>
          <w:tcPr>
            <w:tcW w:w="1905" w:type="dxa"/>
          </w:tcPr>
          <w:p w:rsidR="000E53EB" w:rsidRPr="00D40E5C" w:rsidRDefault="00253532" w:rsidP="00253532">
            <w:pPr>
              <w:pStyle w:val="Txtjourne"/>
              <w:rPr>
                <w:snapToGrid w:val="0"/>
                <w:color w:val="404040" w:themeColor="text1" w:themeTint="BF"/>
                <w:lang w:val="es-ES_tradnl"/>
              </w:rPr>
            </w:pPr>
            <w:r w:rsidRPr="00D40E5C">
              <w:rPr>
                <w:lang w:val="es-ES_tradnl"/>
              </w:rPr>
              <w:t>40.</w:t>
            </w:r>
            <w:r w:rsidR="000E53EB" w:rsidRPr="00D40E5C">
              <w:rPr>
                <w:lang w:val="es-ES_tradnl"/>
              </w:rPr>
              <w:t>000</w:t>
            </w:r>
            <w:r w:rsidR="000E53EB" w:rsidRPr="00D40E5C">
              <w:rPr>
                <w:iCs/>
                <w:lang w:val="es-ES_tradnl"/>
              </w:rPr>
              <w:t xml:space="preserve"> </w:t>
            </w:r>
            <w:r w:rsidRPr="00D40E5C">
              <w:rPr>
                <w:iCs/>
                <w:lang w:val="es-ES_tradnl"/>
              </w:rPr>
              <w:t>dólares anuales</w:t>
            </w:r>
            <w:r w:rsidR="00326BF2" w:rsidRPr="00D40E5C">
              <w:rPr>
                <w:lang w:val="es-ES_tradnl"/>
              </w:rPr>
              <w:t xml:space="preserve"> </w:t>
            </w:r>
            <w:r w:rsidR="000E53EB" w:rsidRPr="00D40E5C">
              <w:rPr>
                <w:lang w:val="es-ES_tradnl"/>
              </w:rPr>
              <w:t>(</w:t>
            </w:r>
            <w:r w:rsidRPr="00D40E5C">
              <w:rPr>
                <w:lang w:val="es-ES_tradnl"/>
              </w:rPr>
              <w:t>subvenciones municipales</w:t>
            </w:r>
            <w:r w:rsidR="000E53EB" w:rsidRPr="00D40E5C">
              <w:rPr>
                <w:lang w:val="es-ES_tradnl"/>
              </w:rPr>
              <w:t>)</w:t>
            </w:r>
          </w:p>
        </w:tc>
        <w:tc>
          <w:tcPr>
            <w:tcW w:w="2177" w:type="dxa"/>
          </w:tcPr>
          <w:p w:rsidR="000E53EB" w:rsidRPr="00D40E5C" w:rsidRDefault="00450133" w:rsidP="00D02896">
            <w:pPr>
              <w:pStyle w:val="Txtjourne"/>
              <w:rPr>
                <w:lang w:val="es-ES_tradnl"/>
              </w:rPr>
            </w:pPr>
            <w:r w:rsidRPr="00D40E5C">
              <w:rPr>
                <w:lang w:val="es-ES_tradnl"/>
              </w:rPr>
              <w:t xml:space="preserve">Lograr que un mayor número de jóvenes </w:t>
            </w:r>
            <w:r w:rsidR="0033005A" w:rsidRPr="00D40E5C">
              <w:rPr>
                <w:lang w:val="es-ES_tradnl"/>
              </w:rPr>
              <w:t xml:space="preserve">adquieran la formación necesaria </w:t>
            </w:r>
            <w:r w:rsidRPr="00D40E5C">
              <w:rPr>
                <w:lang w:val="es-ES_tradnl"/>
              </w:rPr>
              <w:t xml:space="preserve">para ser </w:t>
            </w:r>
            <w:r w:rsidR="00D02896" w:rsidRPr="00D40E5C">
              <w:rPr>
                <w:lang w:val="es-ES_tradnl"/>
              </w:rPr>
              <w:t>intérpretes de los cantos y músicas fonabal</w:t>
            </w:r>
          </w:p>
        </w:tc>
      </w:tr>
      <w:tr w:rsidR="000E53EB" w:rsidRPr="00740377" w:rsidTr="009D373C">
        <w:trPr>
          <w:cantSplit/>
        </w:trPr>
        <w:tc>
          <w:tcPr>
            <w:tcW w:w="1928" w:type="dxa"/>
          </w:tcPr>
          <w:p w:rsidR="000E53EB" w:rsidRPr="00D40E5C" w:rsidRDefault="000E53EB" w:rsidP="00253532">
            <w:pPr>
              <w:pStyle w:val="Txtjourne"/>
              <w:rPr>
                <w:lang w:val="es-ES_tradnl"/>
              </w:rPr>
            </w:pPr>
            <w:r w:rsidRPr="00D40E5C">
              <w:rPr>
                <w:lang w:val="es-ES_tradnl"/>
              </w:rPr>
              <w:lastRenderedPageBreak/>
              <w:t xml:space="preserve">5. </w:t>
            </w:r>
            <w:r w:rsidR="00253532" w:rsidRPr="00D40E5C">
              <w:rPr>
                <w:lang w:val="es-ES_tradnl"/>
              </w:rPr>
              <w:t>Realizar trabajos de investigación sobre las representaciones de música y canto fonabal</w:t>
            </w:r>
          </w:p>
        </w:tc>
        <w:tc>
          <w:tcPr>
            <w:tcW w:w="1701" w:type="dxa"/>
          </w:tcPr>
          <w:p w:rsidR="000E53EB" w:rsidRPr="00D40E5C" w:rsidRDefault="00253532" w:rsidP="004936EF">
            <w:pPr>
              <w:pStyle w:val="Txtjourne"/>
              <w:rPr>
                <w:lang w:val="es-ES_tradnl"/>
              </w:rPr>
            </w:pPr>
            <w:r w:rsidRPr="00D40E5C">
              <w:rPr>
                <w:lang w:val="es-ES_tradnl"/>
              </w:rPr>
              <w:t>Universidades locales</w:t>
            </w:r>
            <w:r w:rsidR="000E53EB" w:rsidRPr="00D40E5C">
              <w:rPr>
                <w:lang w:val="es-ES_tradnl"/>
              </w:rPr>
              <w:t xml:space="preserve"> </w:t>
            </w:r>
          </w:p>
          <w:p w:rsidR="000E53EB" w:rsidRPr="00D40E5C" w:rsidRDefault="00253532" w:rsidP="004936EF">
            <w:pPr>
              <w:pStyle w:val="Txtjourne"/>
              <w:rPr>
                <w:snapToGrid w:val="0"/>
                <w:lang w:val="es-ES_tradnl"/>
              </w:rPr>
            </w:pPr>
            <w:r w:rsidRPr="00D40E5C">
              <w:rPr>
                <w:lang w:val="es-ES_tradnl"/>
              </w:rPr>
              <w:t>Grupos juveniles afrohispánicos</w:t>
            </w:r>
          </w:p>
        </w:tc>
        <w:tc>
          <w:tcPr>
            <w:tcW w:w="1134" w:type="dxa"/>
          </w:tcPr>
          <w:p w:rsidR="000E53EB" w:rsidRPr="00D40E5C" w:rsidRDefault="00326BF2" w:rsidP="004936EF">
            <w:pPr>
              <w:pStyle w:val="Txtjourne"/>
              <w:rPr>
                <w:snapToGrid w:val="0"/>
                <w:color w:val="404040" w:themeColor="text1" w:themeTint="BF"/>
                <w:lang w:val="es-ES_tradnl"/>
              </w:rPr>
            </w:pPr>
            <w:r w:rsidRPr="00D40E5C">
              <w:rPr>
                <w:lang w:val="es-ES_tradnl"/>
              </w:rPr>
              <w:t>2011–12</w:t>
            </w:r>
          </w:p>
        </w:tc>
        <w:tc>
          <w:tcPr>
            <w:tcW w:w="1905" w:type="dxa"/>
          </w:tcPr>
          <w:p w:rsidR="000E53EB" w:rsidRPr="00D40E5C" w:rsidRDefault="00253532" w:rsidP="004936EF">
            <w:pPr>
              <w:pStyle w:val="Txtjourne"/>
              <w:rPr>
                <w:snapToGrid w:val="0"/>
                <w:color w:val="404040" w:themeColor="text1" w:themeTint="BF"/>
                <w:lang w:val="es-ES_tradnl"/>
              </w:rPr>
            </w:pPr>
            <w:r w:rsidRPr="00D40E5C">
              <w:rPr>
                <w:lang w:val="es-ES_tradnl"/>
              </w:rPr>
              <w:t>30.</w:t>
            </w:r>
            <w:r w:rsidR="000E53EB" w:rsidRPr="00D40E5C">
              <w:rPr>
                <w:lang w:val="es-ES_tradnl"/>
              </w:rPr>
              <w:t>000</w:t>
            </w:r>
            <w:r w:rsidR="000E53EB" w:rsidRPr="00D40E5C">
              <w:rPr>
                <w:iCs/>
                <w:lang w:val="es-ES_tradnl"/>
              </w:rPr>
              <w:t xml:space="preserve"> </w:t>
            </w:r>
            <w:r w:rsidRPr="00D40E5C">
              <w:rPr>
                <w:iCs/>
                <w:lang w:val="es-ES_tradnl"/>
              </w:rPr>
              <w:t>dólares anuales</w:t>
            </w:r>
            <w:r w:rsidR="00044BAB" w:rsidRPr="00D40E5C">
              <w:rPr>
                <w:iCs/>
                <w:lang w:val="es-ES_tradnl"/>
              </w:rPr>
              <w:t xml:space="preserve"> </w:t>
            </w:r>
            <w:r w:rsidR="00AA1E74" w:rsidRPr="00D40E5C">
              <w:rPr>
                <w:iCs/>
                <w:lang w:val="es-ES_tradnl"/>
              </w:rPr>
              <w:t>(</w:t>
            </w:r>
            <w:r w:rsidRPr="00D40E5C">
              <w:rPr>
                <w:iCs/>
                <w:lang w:val="es-ES_tradnl"/>
              </w:rPr>
              <w:t>fondos de universidades</w:t>
            </w:r>
            <w:r w:rsidR="00AA1E74" w:rsidRPr="00D40E5C">
              <w:rPr>
                <w:iCs/>
                <w:lang w:val="es-ES_tradnl"/>
              </w:rPr>
              <w:t>)</w:t>
            </w:r>
          </w:p>
          <w:p w:rsidR="000E53EB" w:rsidRPr="00D40E5C" w:rsidRDefault="000E53EB" w:rsidP="004936EF">
            <w:pPr>
              <w:pStyle w:val="Txtjourne"/>
              <w:rPr>
                <w:lang w:val="es-ES_tradnl"/>
              </w:rPr>
            </w:pPr>
          </w:p>
        </w:tc>
        <w:tc>
          <w:tcPr>
            <w:tcW w:w="2177" w:type="dxa"/>
          </w:tcPr>
          <w:p w:rsidR="000E53EB" w:rsidRPr="00D40E5C" w:rsidRDefault="0033005A" w:rsidP="000D69A1">
            <w:pPr>
              <w:pStyle w:val="Txtjourne"/>
              <w:rPr>
                <w:snapToGrid w:val="0"/>
                <w:lang w:val="es-ES_tradnl"/>
              </w:rPr>
            </w:pPr>
            <w:r w:rsidRPr="00D40E5C">
              <w:rPr>
                <w:lang w:val="es-ES_tradnl"/>
              </w:rPr>
              <w:t>Lograr un mejor conocimiento de la cantidad y diversidad de músicas y can</w:t>
            </w:r>
            <w:r w:rsidR="000D69A1" w:rsidRPr="00D40E5C">
              <w:rPr>
                <w:lang w:val="es-ES_tradnl"/>
              </w:rPr>
              <w:t>to</w:t>
            </w:r>
            <w:r w:rsidRPr="00D40E5C">
              <w:rPr>
                <w:lang w:val="es-ES_tradnl"/>
              </w:rPr>
              <w:t>s fonabal, así como de los contextos en que se interpretan</w:t>
            </w:r>
            <w:r w:rsidR="006B294C" w:rsidRPr="00D40E5C">
              <w:rPr>
                <w:lang w:val="es-ES_tradnl"/>
              </w:rPr>
              <w:t>, y publicar información sobre este género musical</w:t>
            </w:r>
            <w:r w:rsidR="00FA04E6" w:rsidRPr="00D40E5C">
              <w:rPr>
                <w:lang w:val="es-ES_tradnl"/>
              </w:rPr>
              <w:t xml:space="preserve"> </w:t>
            </w:r>
            <w:r w:rsidR="006B294C" w:rsidRPr="00D40E5C">
              <w:rPr>
                <w:lang w:val="es-ES_tradnl"/>
              </w:rPr>
              <w:t>para que se utilice en los centros escolares</w:t>
            </w:r>
          </w:p>
        </w:tc>
      </w:tr>
      <w:tr w:rsidR="000E53EB" w:rsidRPr="00740377" w:rsidTr="009D373C">
        <w:trPr>
          <w:cantSplit/>
        </w:trPr>
        <w:tc>
          <w:tcPr>
            <w:tcW w:w="1928" w:type="dxa"/>
          </w:tcPr>
          <w:p w:rsidR="000E53EB" w:rsidRPr="00D40E5C" w:rsidRDefault="000E53EB" w:rsidP="00180583">
            <w:pPr>
              <w:pStyle w:val="Txtjourne"/>
              <w:rPr>
                <w:snapToGrid w:val="0"/>
                <w:color w:val="404040" w:themeColor="text1" w:themeTint="BF"/>
                <w:lang w:val="es-ES_tradnl"/>
              </w:rPr>
            </w:pPr>
            <w:r w:rsidRPr="00D40E5C">
              <w:rPr>
                <w:lang w:val="es-ES_tradnl"/>
              </w:rPr>
              <w:t xml:space="preserve">6. </w:t>
            </w:r>
            <w:r w:rsidR="00D95DBB" w:rsidRPr="00D40E5C">
              <w:rPr>
                <w:lang w:val="es-ES_tradnl"/>
              </w:rPr>
              <w:t>Organiz</w:t>
            </w:r>
            <w:r w:rsidR="00180583" w:rsidRPr="00D40E5C">
              <w:rPr>
                <w:lang w:val="es-ES_tradnl"/>
              </w:rPr>
              <w:t>ar</w:t>
            </w:r>
            <w:r w:rsidR="00D95DBB" w:rsidRPr="00D40E5C">
              <w:rPr>
                <w:lang w:val="es-ES_tradnl"/>
              </w:rPr>
              <w:t xml:space="preserve"> </w:t>
            </w:r>
            <w:r w:rsidR="00180583" w:rsidRPr="00D40E5C">
              <w:rPr>
                <w:lang w:val="es-ES_tradnl"/>
              </w:rPr>
              <w:t>festivales de música tradicional</w:t>
            </w:r>
          </w:p>
        </w:tc>
        <w:tc>
          <w:tcPr>
            <w:tcW w:w="1701" w:type="dxa"/>
          </w:tcPr>
          <w:p w:rsidR="000E53EB" w:rsidRPr="00D40E5C" w:rsidRDefault="00253532" w:rsidP="004936EF">
            <w:pPr>
              <w:pStyle w:val="Txtjourne"/>
              <w:rPr>
                <w:lang w:val="es-ES_tradnl"/>
              </w:rPr>
            </w:pPr>
            <w:r w:rsidRPr="00D40E5C">
              <w:rPr>
                <w:lang w:val="es-ES_tradnl"/>
              </w:rPr>
              <w:t>Grupos juveniles afrohispánicos</w:t>
            </w:r>
          </w:p>
          <w:p w:rsidR="000E53EB" w:rsidRPr="00D40E5C" w:rsidRDefault="00180583" w:rsidP="004936EF">
            <w:pPr>
              <w:pStyle w:val="Txtjourne"/>
              <w:rPr>
                <w:lang w:val="es-ES_tradnl"/>
              </w:rPr>
            </w:pPr>
            <w:r w:rsidRPr="00D40E5C">
              <w:rPr>
                <w:lang w:val="es-ES_tradnl"/>
              </w:rPr>
              <w:t>ONG local “Fonabal Ante Todo”</w:t>
            </w:r>
          </w:p>
        </w:tc>
        <w:tc>
          <w:tcPr>
            <w:tcW w:w="1134" w:type="dxa"/>
          </w:tcPr>
          <w:p w:rsidR="000E53EB" w:rsidRPr="00D40E5C" w:rsidRDefault="000E53EB" w:rsidP="004936EF">
            <w:pPr>
              <w:pStyle w:val="Txtjourne"/>
              <w:rPr>
                <w:snapToGrid w:val="0"/>
                <w:color w:val="404040" w:themeColor="text1" w:themeTint="BF"/>
                <w:lang w:val="es-ES_tradnl"/>
              </w:rPr>
            </w:pPr>
            <w:r w:rsidRPr="00D40E5C">
              <w:rPr>
                <w:lang w:val="es-ES_tradnl"/>
              </w:rPr>
              <w:t>2011</w:t>
            </w:r>
            <w:r w:rsidR="00E61DD0" w:rsidRPr="00D40E5C">
              <w:rPr>
                <w:lang w:val="es-ES_tradnl"/>
              </w:rPr>
              <w:t>–</w:t>
            </w:r>
          </w:p>
        </w:tc>
        <w:tc>
          <w:tcPr>
            <w:tcW w:w="1905" w:type="dxa"/>
          </w:tcPr>
          <w:p w:rsidR="000E53EB" w:rsidRPr="00D40E5C" w:rsidRDefault="00253532" w:rsidP="00253532">
            <w:pPr>
              <w:pStyle w:val="Txtjourne"/>
              <w:rPr>
                <w:lang w:val="es-ES_tradnl"/>
              </w:rPr>
            </w:pPr>
            <w:r w:rsidRPr="00D40E5C">
              <w:rPr>
                <w:lang w:val="es-ES_tradnl"/>
              </w:rPr>
              <w:t>40.</w:t>
            </w:r>
            <w:r w:rsidR="000E53EB" w:rsidRPr="00D40E5C">
              <w:rPr>
                <w:lang w:val="es-ES_tradnl"/>
              </w:rPr>
              <w:t>000</w:t>
            </w:r>
            <w:r w:rsidR="00AA1E74" w:rsidRPr="00D40E5C">
              <w:rPr>
                <w:lang w:val="es-ES_tradnl"/>
              </w:rPr>
              <w:t xml:space="preserve"> </w:t>
            </w:r>
            <w:r w:rsidRPr="00D40E5C">
              <w:rPr>
                <w:lang w:val="es-ES_tradnl"/>
              </w:rPr>
              <w:t>dólares anuales</w:t>
            </w:r>
            <w:r w:rsidR="00044BAB" w:rsidRPr="00D40E5C">
              <w:rPr>
                <w:lang w:val="es-ES_tradnl"/>
              </w:rPr>
              <w:t xml:space="preserve"> </w:t>
            </w:r>
            <w:r w:rsidR="00AA1E74" w:rsidRPr="00D40E5C">
              <w:rPr>
                <w:lang w:val="es-ES_tradnl"/>
              </w:rPr>
              <w:t>(</w:t>
            </w:r>
            <w:r w:rsidRPr="00D40E5C">
              <w:rPr>
                <w:lang w:val="es-ES_tradnl"/>
              </w:rPr>
              <w:t>ONG y fondos gubernamentales</w:t>
            </w:r>
            <w:r w:rsidR="00AA1E74" w:rsidRPr="00D40E5C">
              <w:rPr>
                <w:lang w:val="es-ES_tradnl"/>
              </w:rPr>
              <w:t>)</w:t>
            </w:r>
          </w:p>
        </w:tc>
        <w:tc>
          <w:tcPr>
            <w:tcW w:w="2177" w:type="dxa"/>
          </w:tcPr>
          <w:p w:rsidR="000E53EB" w:rsidRPr="00D40E5C" w:rsidRDefault="006B294C" w:rsidP="004936EF">
            <w:pPr>
              <w:pStyle w:val="Txtjourne"/>
              <w:rPr>
                <w:lang w:val="es-ES_tradnl"/>
              </w:rPr>
            </w:pPr>
            <w:r w:rsidRPr="00D40E5C">
              <w:rPr>
                <w:lang w:val="es-ES_tradnl"/>
              </w:rPr>
              <w:t>Incrementar entre los jóvenes afrohispánicos de las zonas urbanas la sensibilización al valor e importancia de este elemento del PCI</w:t>
            </w:r>
            <w:r w:rsidR="000E53EB" w:rsidRPr="00D40E5C">
              <w:rPr>
                <w:lang w:val="es-ES_tradnl"/>
              </w:rPr>
              <w:t xml:space="preserve"> </w:t>
            </w:r>
          </w:p>
          <w:p w:rsidR="000E53EB" w:rsidRPr="00D40E5C" w:rsidRDefault="000E53EB" w:rsidP="004936EF">
            <w:pPr>
              <w:pStyle w:val="Txtjourne"/>
              <w:rPr>
                <w:lang w:val="es-ES_tradnl"/>
              </w:rPr>
            </w:pPr>
            <w:r w:rsidRPr="00D40E5C">
              <w:rPr>
                <w:lang w:val="es-ES_tradnl"/>
              </w:rPr>
              <w:t>Incre</w:t>
            </w:r>
            <w:r w:rsidR="006B294C" w:rsidRPr="00D40E5C">
              <w:rPr>
                <w:lang w:val="es-ES_tradnl"/>
              </w:rPr>
              <w:t>mentar la consideración social</w:t>
            </w:r>
            <w:r w:rsidR="00C16C18" w:rsidRPr="00D40E5C">
              <w:rPr>
                <w:lang w:val="es-ES_tradnl"/>
              </w:rPr>
              <w:t xml:space="preserve"> de la práctica del elemento</w:t>
            </w:r>
          </w:p>
          <w:p w:rsidR="000E53EB" w:rsidRPr="00D40E5C" w:rsidRDefault="006B294C" w:rsidP="006B294C">
            <w:pPr>
              <w:pStyle w:val="Txtjourne"/>
              <w:rPr>
                <w:lang w:val="es-ES_tradnl"/>
              </w:rPr>
            </w:pPr>
            <w:r w:rsidRPr="00D40E5C">
              <w:rPr>
                <w:lang w:val="es-ES_tradnl"/>
              </w:rPr>
              <w:t>Ofrecer más oportunidades</w:t>
            </w:r>
            <w:r w:rsidR="000E53EB" w:rsidRPr="00D40E5C">
              <w:rPr>
                <w:lang w:val="es-ES_tradnl"/>
              </w:rPr>
              <w:t xml:space="preserve"> </w:t>
            </w:r>
            <w:r w:rsidRPr="00D40E5C">
              <w:rPr>
                <w:lang w:val="es-ES_tradnl"/>
              </w:rPr>
              <w:t>para organizar representaciones de música y danza fonabal en contextos urbanos</w:t>
            </w:r>
          </w:p>
        </w:tc>
      </w:tr>
    </w:tbl>
    <w:p w:rsidR="009D3A87" w:rsidRPr="00D40E5C" w:rsidRDefault="00353472" w:rsidP="004936EF">
      <w:pPr>
        <w:pStyle w:val="Heading6"/>
        <w:rPr>
          <w:lang w:val="es-ES_tradnl"/>
        </w:rPr>
      </w:pPr>
      <w:r w:rsidRPr="00D40E5C">
        <w:rPr>
          <w:lang w:val="es-ES_tradnl"/>
        </w:rPr>
        <w:t>DIAPOSITIVA</w:t>
      </w:r>
      <w:r w:rsidR="00251B25" w:rsidRPr="00D40E5C">
        <w:rPr>
          <w:lang w:val="es-ES_tradnl"/>
        </w:rPr>
        <w:t xml:space="preserve"> </w:t>
      </w:r>
      <w:r w:rsidR="00251BAC" w:rsidRPr="00D40E5C">
        <w:rPr>
          <w:lang w:val="es-ES_tradnl"/>
        </w:rPr>
        <w:t>1</w:t>
      </w:r>
      <w:r w:rsidR="00B577F8" w:rsidRPr="00D40E5C">
        <w:rPr>
          <w:lang w:val="es-ES_tradnl"/>
        </w:rPr>
        <w:t>8</w:t>
      </w:r>
      <w:r w:rsidR="009D3A87" w:rsidRPr="00D40E5C">
        <w:rPr>
          <w:lang w:val="es-ES_tradnl"/>
        </w:rPr>
        <w:t>.</w:t>
      </w:r>
    </w:p>
    <w:p w:rsidR="00251B25" w:rsidRPr="00D40E5C" w:rsidRDefault="000863F6" w:rsidP="004936EF">
      <w:pPr>
        <w:pStyle w:val="diapo2"/>
        <w:rPr>
          <w:lang w:val="es-ES_tradnl"/>
        </w:rPr>
      </w:pPr>
      <w:r w:rsidRPr="00D40E5C">
        <w:rPr>
          <w:lang w:val="es-ES_tradnl"/>
        </w:rPr>
        <w:t xml:space="preserve">Estudio </w:t>
      </w:r>
      <w:r w:rsidR="00180AD6" w:rsidRPr="00D40E5C">
        <w:rPr>
          <w:lang w:val="es-ES_tradnl"/>
        </w:rPr>
        <w:t xml:space="preserve">de </w:t>
      </w:r>
      <w:r w:rsidRPr="00D40E5C">
        <w:rPr>
          <w:lang w:val="es-ES_tradnl"/>
        </w:rPr>
        <w:t>caso</w:t>
      </w:r>
      <w:r w:rsidR="00180AD6" w:rsidRPr="00D40E5C">
        <w:rPr>
          <w:lang w:val="es-ES_tradnl"/>
        </w:rPr>
        <w:t xml:space="preserve"> </w:t>
      </w:r>
      <w:r w:rsidR="009D373C" w:rsidRPr="00D40E5C">
        <w:rPr>
          <w:lang w:val="es-ES_tradnl"/>
        </w:rPr>
        <w:t xml:space="preserve">– </w:t>
      </w:r>
      <w:r w:rsidR="00E4613E" w:rsidRPr="00D40E5C">
        <w:rPr>
          <w:lang w:val="es-ES_tradnl"/>
        </w:rPr>
        <w:t xml:space="preserve">Centro de </w:t>
      </w:r>
      <w:r w:rsidR="00D40E5C" w:rsidRPr="00D40E5C">
        <w:rPr>
          <w:lang w:val="es-ES_tradnl"/>
        </w:rPr>
        <w:t xml:space="preserve">artes populares </w:t>
      </w:r>
      <w:r w:rsidR="00E4613E" w:rsidRPr="00D40E5C">
        <w:rPr>
          <w:lang w:val="es-ES_tradnl"/>
        </w:rPr>
        <w:t xml:space="preserve">de </w:t>
      </w:r>
      <w:r w:rsidR="00251B25" w:rsidRPr="00D40E5C">
        <w:rPr>
          <w:lang w:val="es-ES_tradnl"/>
        </w:rPr>
        <w:t>Anu Raud</w:t>
      </w:r>
      <w:r w:rsidR="00805BB0" w:rsidRPr="00D40E5C">
        <w:rPr>
          <w:lang w:val="es-ES_tradnl"/>
        </w:rPr>
        <w:t xml:space="preserve"> </w:t>
      </w:r>
      <w:r w:rsidR="00251B25" w:rsidRPr="00D40E5C">
        <w:rPr>
          <w:lang w:val="es-ES_tradnl"/>
        </w:rPr>
        <w:t>(Estonia)</w:t>
      </w:r>
    </w:p>
    <w:p w:rsidR="00251B25" w:rsidRPr="00D40E5C" w:rsidRDefault="00353472" w:rsidP="009909DD">
      <w:pPr>
        <w:pStyle w:val="Texte1"/>
        <w:rPr>
          <w:lang w:val="es-ES_tradnl"/>
        </w:rPr>
      </w:pPr>
      <w:r w:rsidRPr="00D40E5C">
        <w:rPr>
          <w:lang w:val="es-ES_tradnl"/>
        </w:rPr>
        <w:t>E</w:t>
      </w:r>
      <w:r w:rsidR="005E575D" w:rsidRPr="00D40E5C">
        <w:rPr>
          <w:lang w:val="es-ES_tradnl"/>
        </w:rPr>
        <w:t>n el E</w:t>
      </w:r>
      <w:r w:rsidRPr="00D40E5C">
        <w:rPr>
          <w:lang w:val="es-ES_tradnl"/>
        </w:rPr>
        <w:t>studio de Caso</w:t>
      </w:r>
      <w:r w:rsidR="00442E1A" w:rsidRPr="00D40E5C">
        <w:rPr>
          <w:lang w:val="es-ES_tradnl"/>
        </w:rPr>
        <w:t> </w:t>
      </w:r>
      <w:r w:rsidR="005B06C4" w:rsidRPr="00D40E5C">
        <w:rPr>
          <w:lang w:val="es-ES_tradnl"/>
        </w:rPr>
        <w:t>23</w:t>
      </w:r>
      <w:r w:rsidR="00503B22" w:rsidRPr="00D40E5C">
        <w:rPr>
          <w:lang w:val="es-ES_tradnl"/>
        </w:rPr>
        <w:t xml:space="preserve"> se examina la labor realizada en Es</w:t>
      </w:r>
      <w:r w:rsidR="000D69A1" w:rsidRPr="00D40E5C">
        <w:rPr>
          <w:lang w:val="es-ES_tradnl"/>
        </w:rPr>
        <w:t>tonia por una escuela de diseño</w:t>
      </w:r>
      <w:r w:rsidR="00503B22" w:rsidRPr="00D40E5C">
        <w:rPr>
          <w:lang w:val="es-ES_tradnl"/>
        </w:rPr>
        <w:t xml:space="preserve"> en la que se llevan a cabo trabajos de investigación sobre las técnicas tradicionales de tejido de punto a mano y en telar, y </w:t>
      </w:r>
      <w:r w:rsidR="000D69A1" w:rsidRPr="00D40E5C">
        <w:rPr>
          <w:lang w:val="es-ES_tradnl"/>
        </w:rPr>
        <w:t>en la que</w:t>
      </w:r>
      <w:r w:rsidR="00503B22" w:rsidRPr="00D40E5C">
        <w:rPr>
          <w:lang w:val="es-ES_tradnl"/>
        </w:rPr>
        <w:t xml:space="preserve"> se utilizan motivos y patrones tradicionales para estas dos actividades. Se puede pedir a los participantes que definan qué medidas se podrí</w:t>
      </w:r>
      <w:r w:rsidR="000D69A1" w:rsidRPr="00D40E5C">
        <w:rPr>
          <w:lang w:val="es-ES_tradnl"/>
        </w:rPr>
        <w:t>an adoptar para salvaguardar es</w:t>
      </w:r>
      <w:r w:rsidR="00503B22" w:rsidRPr="00D40E5C">
        <w:rPr>
          <w:lang w:val="es-ES_tradnl"/>
        </w:rPr>
        <w:t>as técnicas</w:t>
      </w:r>
      <w:r w:rsidR="00251B25" w:rsidRPr="00D40E5C">
        <w:rPr>
          <w:lang w:val="es-ES_tradnl"/>
        </w:rPr>
        <w:t>.</w:t>
      </w:r>
    </w:p>
    <w:p w:rsidR="009D3A87" w:rsidRPr="00D40E5C" w:rsidRDefault="00353472" w:rsidP="004936EF">
      <w:pPr>
        <w:pStyle w:val="Heading6"/>
        <w:rPr>
          <w:lang w:val="es-ES_tradnl"/>
        </w:rPr>
      </w:pPr>
      <w:r w:rsidRPr="00D40E5C">
        <w:rPr>
          <w:lang w:val="es-ES_tradnl"/>
        </w:rPr>
        <w:lastRenderedPageBreak/>
        <w:t>DIAPOSITIVA</w:t>
      </w:r>
      <w:r w:rsidR="00251B25" w:rsidRPr="00D40E5C">
        <w:rPr>
          <w:lang w:val="es-ES_tradnl"/>
        </w:rPr>
        <w:t xml:space="preserve"> </w:t>
      </w:r>
      <w:r w:rsidR="00B577F8" w:rsidRPr="00D40E5C">
        <w:rPr>
          <w:lang w:val="es-ES_tradnl"/>
        </w:rPr>
        <w:t>19</w:t>
      </w:r>
      <w:r w:rsidR="009D3A87" w:rsidRPr="00D40E5C">
        <w:rPr>
          <w:lang w:val="es-ES_tradnl"/>
        </w:rPr>
        <w:t>.</w:t>
      </w:r>
    </w:p>
    <w:p w:rsidR="00251B25" w:rsidRPr="00D40E5C" w:rsidRDefault="000863F6" w:rsidP="004936EF">
      <w:pPr>
        <w:pStyle w:val="diapo2"/>
        <w:rPr>
          <w:lang w:val="es-ES_tradnl"/>
        </w:rPr>
      </w:pPr>
      <w:r w:rsidRPr="00D40E5C">
        <w:rPr>
          <w:lang w:val="es-ES_tradnl"/>
        </w:rPr>
        <w:t>Estudio de</w:t>
      </w:r>
      <w:r w:rsidR="004F7C67" w:rsidRPr="00D40E5C">
        <w:rPr>
          <w:lang w:val="es-ES_tradnl"/>
        </w:rPr>
        <w:t xml:space="preserve"> </w:t>
      </w:r>
      <w:r w:rsidRPr="00D40E5C">
        <w:rPr>
          <w:lang w:val="es-ES_tradnl"/>
        </w:rPr>
        <w:t>caso</w:t>
      </w:r>
      <w:r w:rsidR="00A20408" w:rsidRPr="00D40E5C">
        <w:rPr>
          <w:lang w:val="es-ES_tradnl"/>
        </w:rPr>
        <w:t xml:space="preserve"> </w:t>
      </w:r>
      <w:r w:rsidR="009D373C" w:rsidRPr="00D40E5C">
        <w:rPr>
          <w:lang w:val="es-ES_tradnl"/>
        </w:rPr>
        <w:t xml:space="preserve">– </w:t>
      </w:r>
      <w:r w:rsidR="00D40E5C" w:rsidRPr="00D40E5C">
        <w:rPr>
          <w:bCs/>
          <w:lang w:val="es-ES_tradnl"/>
        </w:rPr>
        <w:t>Sistema de tesoros humanos vivos “Gawad sa Manlilikha ng Bayan” (GAMABA) (Filipinas)</w:t>
      </w:r>
    </w:p>
    <w:p w:rsidR="00135DCC" w:rsidRPr="00D40E5C" w:rsidRDefault="00353472" w:rsidP="009909DD">
      <w:pPr>
        <w:pStyle w:val="Texte1"/>
        <w:rPr>
          <w:lang w:val="es-ES_tradnl"/>
        </w:rPr>
      </w:pPr>
      <w:r w:rsidRPr="00D40E5C">
        <w:rPr>
          <w:lang w:val="es-ES_tradnl"/>
        </w:rPr>
        <w:t>E</w:t>
      </w:r>
      <w:r w:rsidR="00503B22" w:rsidRPr="00D40E5C">
        <w:rPr>
          <w:lang w:val="es-ES_tradnl"/>
        </w:rPr>
        <w:t>n el E</w:t>
      </w:r>
      <w:r w:rsidRPr="00D40E5C">
        <w:rPr>
          <w:lang w:val="es-ES_tradnl"/>
        </w:rPr>
        <w:t>studio de Caso</w:t>
      </w:r>
      <w:r w:rsidR="00442E1A" w:rsidRPr="00D40E5C">
        <w:rPr>
          <w:lang w:val="es-ES_tradnl"/>
        </w:rPr>
        <w:t> </w:t>
      </w:r>
      <w:r w:rsidR="005B06C4" w:rsidRPr="00D40E5C">
        <w:rPr>
          <w:lang w:val="es-ES_tradnl"/>
        </w:rPr>
        <w:t>24</w:t>
      </w:r>
      <w:r w:rsidR="00503B22" w:rsidRPr="00D40E5C">
        <w:rPr>
          <w:lang w:val="es-ES_tradnl"/>
        </w:rPr>
        <w:t xml:space="preserve"> se presenta el ejemplo de un sistema de Tesoros Humanos Vivos en Filipinas</w:t>
      </w:r>
      <w:r w:rsidR="00135DCC" w:rsidRPr="00D40E5C">
        <w:rPr>
          <w:lang w:val="es-ES_tradnl"/>
        </w:rPr>
        <w:t>.</w:t>
      </w:r>
    </w:p>
    <w:p w:rsidR="009D3A87" w:rsidRPr="00D40E5C" w:rsidRDefault="00353472" w:rsidP="004936EF">
      <w:pPr>
        <w:pStyle w:val="Heading6"/>
        <w:rPr>
          <w:lang w:val="es-ES_tradnl"/>
        </w:rPr>
      </w:pPr>
      <w:r w:rsidRPr="00D40E5C">
        <w:rPr>
          <w:lang w:val="es-ES_tradnl"/>
        </w:rPr>
        <w:t>DIAPOSITIVA</w:t>
      </w:r>
      <w:r w:rsidR="00FA51FB" w:rsidRPr="00D40E5C">
        <w:rPr>
          <w:lang w:val="es-ES_tradnl"/>
        </w:rPr>
        <w:t xml:space="preserve"> 2</w:t>
      </w:r>
      <w:r w:rsidR="00B577F8" w:rsidRPr="00D40E5C">
        <w:rPr>
          <w:lang w:val="es-ES_tradnl"/>
        </w:rPr>
        <w:t>0</w:t>
      </w:r>
      <w:r w:rsidR="009D3A87" w:rsidRPr="00D40E5C">
        <w:rPr>
          <w:lang w:val="es-ES_tradnl"/>
        </w:rPr>
        <w:t>.</w:t>
      </w:r>
    </w:p>
    <w:p w:rsidR="00FA51FB" w:rsidRPr="00D40E5C" w:rsidRDefault="000863F6" w:rsidP="004936EF">
      <w:pPr>
        <w:pStyle w:val="diapo2"/>
        <w:rPr>
          <w:lang w:val="es-ES_tradnl"/>
        </w:rPr>
      </w:pPr>
      <w:r w:rsidRPr="00D40E5C">
        <w:rPr>
          <w:lang w:val="es-ES_tradnl"/>
        </w:rPr>
        <w:t>Estudio de caso</w:t>
      </w:r>
      <w:r w:rsidR="009D373C" w:rsidRPr="00D40E5C">
        <w:rPr>
          <w:lang w:val="es-ES_tradnl"/>
        </w:rPr>
        <w:t xml:space="preserve">– </w:t>
      </w:r>
      <w:r w:rsidR="001932F0" w:rsidRPr="00D40E5C">
        <w:rPr>
          <w:lang w:val="es-ES_tradnl"/>
        </w:rPr>
        <w:t xml:space="preserve">El ritual </w:t>
      </w:r>
      <w:r w:rsidR="00C508C1" w:rsidRPr="00D40E5C">
        <w:rPr>
          <w:lang w:val="es-ES_tradnl"/>
        </w:rPr>
        <w:t>Sanbasomawashi</w:t>
      </w:r>
      <w:r w:rsidR="00FA51FB" w:rsidRPr="00D40E5C">
        <w:rPr>
          <w:lang w:val="es-ES_tradnl"/>
        </w:rPr>
        <w:t xml:space="preserve"> (Jap</w:t>
      </w:r>
      <w:r w:rsidR="001932F0" w:rsidRPr="00D40E5C">
        <w:rPr>
          <w:lang w:val="es-ES_tradnl"/>
        </w:rPr>
        <w:t>ó</w:t>
      </w:r>
      <w:r w:rsidR="00FA51FB" w:rsidRPr="00D40E5C">
        <w:rPr>
          <w:lang w:val="es-ES_tradnl"/>
        </w:rPr>
        <w:t>n)</w:t>
      </w:r>
    </w:p>
    <w:p w:rsidR="00F62E88" w:rsidRPr="00D40E5C" w:rsidRDefault="00353472" w:rsidP="009909DD">
      <w:pPr>
        <w:pStyle w:val="Texte1"/>
        <w:rPr>
          <w:lang w:val="es-ES_tradnl"/>
        </w:rPr>
      </w:pPr>
      <w:r w:rsidRPr="00D40E5C">
        <w:rPr>
          <w:lang w:val="es-ES_tradnl"/>
        </w:rPr>
        <w:t>E</w:t>
      </w:r>
      <w:r w:rsidR="00503B22" w:rsidRPr="00D40E5C">
        <w:rPr>
          <w:lang w:val="es-ES_tradnl"/>
        </w:rPr>
        <w:t>n el E</w:t>
      </w:r>
      <w:r w:rsidRPr="00D40E5C">
        <w:rPr>
          <w:lang w:val="es-ES_tradnl"/>
        </w:rPr>
        <w:t>studio de Caso</w:t>
      </w:r>
      <w:r w:rsidR="00442E1A" w:rsidRPr="00D40E5C">
        <w:rPr>
          <w:lang w:val="es-ES_tradnl"/>
        </w:rPr>
        <w:t> </w:t>
      </w:r>
      <w:r w:rsidR="005B06C4" w:rsidRPr="00D40E5C">
        <w:rPr>
          <w:lang w:val="es-ES_tradnl"/>
        </w:rPr>
        <w:t>25</w:t>
      </w:r>
      <w:r w:rsidR="00503B22" w:rsidRPr="00D40E5C">
        <w:rPr>
          <w:lang w:val="es-ES_tradnl"/>
        </w:rPr>
        <w:t xml:space="preserve"> se presenta cómo se ha </w:t>
      </w:r>
      <w:r w:rsidR="00F62E88" w:rsidRPr="00D40E5C">
        <w:rPr>
          <w:lang w:val="es-ES_tradnl"/>
        </w:rPr>
        <w:t>revitaliza</w:t>
      </w:r>
      <w:r w:rsidR="00503B22" w:rsidRPr="00D40E5C">
        <w:rPr>
          <w:lang w:val="es-ES_tradnl"/>
        </w:rPr>
        <w:t>do</w:t>
      </w:r>
      <w:r w:rsidR="00F62E88" w:rsidRPr="00D40E5C">
        <w:rPr>
          <w:lang w:val="es-ES_tradnl"/>
        </w:rPr>
        <w:t xml:space="preserve"> </w:t>
      </w:r>
      <w:r w:rsidR="00503B22" w:rsidRPr="00D40E5C">
        <w:rPr>
          <w:lang w:val="es-ES_tradnl"/>
        </w:rPr>
        <w:t>y revalorizado en Japón</w:t>
      </w:r>
      <w:r w:rsidR="00E74BE0" w:rsidRPr="00D40E5C">
        <w:rPr>
          <w:lang w:val="es-ES_tradnl"/>
        </w:rPr>
        <w:t xml:space="preserve"> </w:t>
      </w:r>
      <w:r w:rsidR="00503B22" w:rsidRPr="00D40E5C">
        <w:rPr>
          <w:lang w:val="es-ES_tradnl"/>
        </w:rPr>
        <w:t xml:space="preserve">la práctica tradicional del artístico ritual votivo denominado </w:t>
      </w:r>
      <w:r w:rsidR="00F62E88" w:rsidRPr="00D40E5C">
        <w:rPr>
          <w:lang w:val="es-ES_tradnl"/>
        </w:rPr>
        <w:t>Sanbasomawashi (</w:t>
      </w:r>
      <w:r w:rsidR="00503B22" w:rsidRPr="00D40E5C">
        <w:rPr>
          <w:lang w:val="es-ES_tradnl"/>
        </w:rPr>
        <w:t>Representación del Año Nuevo</w:t>
      </w:r>
      <w:r w:rsidR="00F62E88" w:rsidRPr="00D40E5C">
        <w:rPr>
          <w:lang w:val="es-ES_tradnl"/>
        </w:rPr>
        <w:t>).</w:t>
      </w:r>
    </w:p>
    <w:p w:rsidR="009D3A87" w:rsidRPr="00D40E5C" w:rsidRDefault="00353472" w:rsidP="004936EF">
      <w:pPr>
        <w:pStyle w:val="Heading6"/>
        <w:rPr>
          <w:lang w:val="es-ES_tradnl"/>
        </w:rPr>
      </w:pPr>
      <w:r w:rsidRPr="00D40E5C">
        <w:rPr>
          <w:lang w:val="es-ES_tradnl"/>
        </w:rPr>
        <w:t>DIAPOSITIVA</w:t>
      </w:r>
      <w:r w:rsidR="005A5080" w:rsidRPr="00D40E5C">
        <w:rPr>
          <w:lang w:val="es-ES_tradnl"/>
        </w:rPr>
        <w:t xml:space="preserve"> 2</w:t>
      </w:r>
      <w:r w:rsidR="00B577F8" w:rsidRPr="00D40E5C">
        <w:rPr>
          <w:lang w:val="es-ES_tradnl"/>
        </w:rPr>
        <w:t>1</w:t>
      </w:r>
      <w:r w:rsidR="009D3A87" w:rsidRPr="00D40E5C">
        <w:rPr>
          <w:lang w:val="es-ES_tradnl"/>
        </w:rPr>
        <w:t>.</w:t>
      </w:r>
    </w:p>
    <w:p w:rsidR="00E8420A" w:rsidRPr="00D40E5C" w:rsidRDefault="000863F6" w:rsidP="004936EF">
      <w:pPr>
        <w:pStyle w:val="diapo2"/>
        <w:rPr>
          <w:lang w:val="es-ES_tradnl"/>
        </w:rPr>
      </w:pPr>
      <w:r w:rsidRPr="00D40E5C">
        <w:rPr>
          <w:lang w:val="es-ES_tradnl"/>
        </w:rPr>
        <w:t>Estudio de</w:t>
      </w:r>
      <w:r w:rsidR="006D4778" w:rsidRPr="00D40E5C">
        <w:rPr>
          <w:lang w:val="es-ES_tradnl"/>
        </w:rPr>
        <w:t xml:space="preserve"> </w:t>
      </w:r>
      <w:r w:rsidRPr="00D40E5C">
        <w:rPr>
          <w:lang w:val="es-ES_tradnl"/>
        </w:rPr>
        <w:t>caso</w:t>
      </w:r>
      <w:r w:rsidR="009D373C" w:rsidRPr="00D40E5C">
        <w:rPr>
          <w:lang w:val="es-ES_tradnl"/>
        </w:rPr>
        <w:t>–</w:t>
      </w:r>
      <w:r w:rsidR="00E8420A" w:rsidRPr="00D40E5C">
        <w:rPr>
          <w:lang w:val="es-ES_tradnl"/>
        </w:rPr>
        <w:t xml:space="preserve"> </w:t>
      </w:r>
      <w:r w:rsidR="001932F0" w:rsidRPr="00D40E5C">
        <w:rPr>
          <w:bCs/>
          <w:lang w:val="es-ES_tradnl"/>
        </w:rPr>
        <w:t>La fiesta de Año Nuevo de los qiang (China)</w:t>
      </w:r>
    </w:p>
    <w:p w:rsidR="00135DCC" w:rsidRPr="00D40E5C" w:rsidRDefault="00353472" w:rsidP="009909DD">
      <w:pPr>
        <w:pStyle w:val="Texte1"/>
        <w:rPr>
          <w:lang w:val="es-ES_tradnl"/>
        </w:rPr>
      </w:pPr>
      <w:r w:rsidRPr="00D40E5C">
        <w:rPr>
          <w:lang w:val="es-ES_tradnl"/>
        </w:rPr>
        <w:t>E</w:t>
      </w:r>
      <w:r w:rsidR="006A3C45" w:rsidRPr="00D40E5C">
        <w:rPr>
          <w:lang w:val="es-ES_tradnl"/>
        </w:rPr>
        <w:t>n el E</w:t>
      </w:r>
      <w:r w:rsidRPr="00D40E5C">
        <w:rPr>
          <w:lang w:val="es-ES_tradnl"/>
        </w:rPr>
        <w:t>studio de Caso</w:t>
      </w:r>
      <w:r w:rsidR="00442E1A" w:rsidRPr="00D40E5C">
        <w:rPr>
          <w:lang w:val="es-ES_tradnl"/>
        </w:rPr>
        <w:t> </w:t>
      </w:r>
      <w:r w:rsidR="005B06C4" w:rsidRPr="00D40E5C">
        <w:rPr>
          <w:lang w:val="es-ES_tradnl"/>
        </w:rPr>
        <w:t>26</w:t>
      </w:r>
      <w:r w:rsidR="006A3C45" w:rsidRPr="00D40E5C">
        <w:rPr>
          <w:lang w:val="es-ES_tradnl"/>
        </w:rPr>
        <w:t xml:space="preserve"> se presentan a grandes rasgos las</w:t>
      </w:r>
      <w:r w:rsidR="00F61405" w:rsidRPr="00D40E5C">
        <w:rPr>
          <w:lang w:val="es-ES_tradnl"/>
        </w:rPr>
        <w:t xml:space="preserve"> </w:t>
      </w:r>
      <w:r w:rsidR="00A25B8C" w:rsidRPr="00D40E5C">
        <w:rPr>
          <w:lang w:val="es-ES_tradnl"/>
        </w:rPr>
        <w:t xml:space="preserve">medidas </w:t>
      </w:r>
      <w:r w:rsidR="006A3C45" w:rsidRPr="00D40E5C">
        <w:rPr>
          <w:lang w:val="es-ES_tradnl"/>
        </w:rPr>
        <w:t xml:space="preserve">elaboradas en China para </w:t>
      </w:r>
      <w:r w:rsidR="00A25B8C" w:rsidRPr="00D40E5C">
        <w:rPr>
          <w:lang w:val="es-ES_tradnl"/>
        </w:rPr>
        <w:t>salvaguard</w:t>
      </w:r>
      <w:r w:rsidR="006A3C45" w:rsidRPr="00D40E5C">
        <w:rPr>
          <w:lang w:val="es-ES_tradnl"/>
        </w:rPr>
        <w:t>ar el elemento del PCI denominado “La fiesta de Año Nuevo de los qiang”, que se inscribi</w:t>
      </w:r>
      <w:r w:rsidR="00EA37EF" w:rsidRPr="00D40E5C">
        <w:rPr>
          <w:lang w:val="es-ES_tradnl"/>
        </w:rPr>
        <w:t>ó</w:t>
      </w:r>
      <w:r w:rsidR="006A3C45" w:rsidRPr="00D40E5C">
        <w:rPr>
          <w:lang w:val="es-ES_tradnl"/>
        </w:rPr>
        <w:t xml:space="preserve"> en la LSU el año</w:t>
      </w:r>
      <w:r w:rsidR="00950A87" w:rsidRPr="00D40E5C">
        <w:rPr>
          <w:lang w:val="es-ES_tradnl"/>
        </w:rPr>
        <w:t xml:space="preserve"> 2009</w:t>
      </w:r>
      <w:r w:rsidR="00135DCC" w:rsidRPr="00D40E5C">
        <w:rPr>
          <w:lang w:val="es-ES_tradnl"/>
        </w:rPr>
        <w:t>.</w:t>
      </w:r>
    </w:p>
    <w:p w:rsidR="00044BAB" w:rsidRPr="00D40E5C" w:rsidRDefault="00EA37EF" w:rsidP="009909DD">
      <w:pPr>
        <w:pStyle w:val="Texte1"/>
        <w:rPr>
          <w:lang w:val="es-ES_tradnl"/>
        </w:rPr>
      </w:pPr>
      <w:r w:rsidRPr="00D40E5C">
        <w:rPr>
          <w:lang w:val="es-ES_tradnl"/>
        </w:rPr>
        <w:t xml:space="preserve">El facilitador puede </w:t>
      </w:r>
      <w:r w:rsidR="003C7CDA" w:rsidRPr="00D40E5C">
        <w:rPr>
          <w:lang w:val="es-ES_tradnl"/>
        </w:rPr>
        <w:t>proponer</w:t>
      </w:r>
      <w:r w:rsidRPr="00D40E5C">
        <w:rPr>
          <w:lang w:val="es-ES_tradnl"/>
        </w:rPr>
        <w:t xml:space="preserve"> a los participantes en el taller que lean primero el estudio de caso, para luego examinar en pequeños grupos las respuestas que darían a las preguntas formuladas </w:t>
      </w:r>
      <w:r w:rsidRPr="00D40E5C">
        <w:rPr>
          <w:i/>
          <w:lang w:val="es-ES_tradnl"/>
        </w:rPr>
        <w:t>infra</w:t>
      </w:r>
      <w:r w:rsidRPr="00D40E5C">
        <w:rPr>
          <w:lang w:val="es-ES_tradnl"/>
        </w:rPr>
        <w:t>. Si el tiempo de que se dispone lo permite, se puede organizar una presentación de los informes de cada grupo</w:t>
      </w:r>
      <w:r w:rsidR="003C7CDA" w:rsidRPr="00D40E5C">
        <w:rPr>
          <w:lang w:val="es-ES_tradnl"/>
        </w:rPr>
        <w:t>, así como</w:t>
      </w:r>
      <w:r w:rsidRPr="00D40E5C">
        <w:rPr>
          <w:lang w:val="es-ES_tradnl"/>
        </w:rPr>
        <w:t xml:space="preserve"> un debate más amplio sobre el tema</w:t>
      </w:r>
      <w:r w:rsidR="000D69A1" w:rsidRPr="00D40E5C">
        <w:rPr>
          <w:lang w:val="es-ES_tradnl"/>
        </w:rPr>
        <w:t>,</w:t>
      </w:r>
      <w:r w:rsidRPr="00D40E5C">
        <w:rPr>
          <w:lang w:val="es-ES_tradnl"/>
        </w:rPr>
        <w:t xml:space="preserve"> en sesión plenaria</w:t>
      </w:r>
      <w:r w:rsidR="00044BAB" w:rsidRPr="00D40E5C">
        <w:rPr>
          <w:lang w:val="es-ES_tradnl"/>
        </w:rPr>
        <w:t>.</w:t>
      </w:r>
      <w:r w:rsidR="00126899" w:rsidRPr="00D40E5C">
        <w:rPr>
          <w:lang w:val="es-ES_tradnl"/>
        </w:rPr>
        <w:t xml:space="preserve"> </w:t>
      </w:r>
    </w:p>
    <w:p w:rsidR="00E8420A" w:rsidRPr="00D40E5C" w:rsidRDefault="00EA37EF" w:rsidP="004936EF">
      <w:pPr>
        <w:pStyle w:val="Soustitre"/>
        <w:rPr>
          <w:lang w:val="es-ES_tradnl"/>
        </w:rPr>
      </w:pPr>
      <w:r w:rsidRPr="00D40E5C">
        <w:rPr>
          <w:lang w:val="es-ES_tradnl"/>
        </w:rPr>
        <w:t>Preguntas</w:t>
      </w:r>
      <w:r w:rsidR="001932F0" w:rsidRPr="00D40E5C">
        <w:rPr>
          <w:lang w:val="es-ES_tradnl"/>
        </w:rPr>
        <w:t xml:space="preserve"> que se pueden </w:t>
      </w:r>
      <w:r w:rsidRPr="00D40E5C">
        <w:rPr>
          <w:lang w:val="es-ES_tradnl"/>
        </w:rPr>
        <w:t>formular</w:t>
      </w:r>
      <w:r w:rsidR="001932F0" w:rsidRPr="00D40E5C">
        <w:rPr>
          <w:lang w:val="es-ES_tradnl"/>
        </w:rPr>
        <w:t xml:space="preserve"> con respecto a este estudio de caso</w:t>
      </w:r>
    </w:p>
    <w:p w:rsidR="00E8420A"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En el elemento del PCI denominado “La fiesta de Año Nuevo de los qiang”, ¿quiénes son los que integran la comunidad interesada?</w:t>
      </w:r>
    </w:p>
    <w:p w:rsidR="00E8420A"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¿Qué amenazas se ciernen sobre la viabilidad de la fiesta?</w:t>
      </w:r>
    </w:p>
    <w:p w:rsidR="00E8420A"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¿Las medidas de salvaguardia propuestas o puestas en marcha permiten hacer frente a todas las amenazas?</w:t>
      </w:r>
    </w:p>
    <w:p w:rsidR="00E8420A"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¿Cómo participa la comunidad interesada en la adopción y aplicación de las medidas de salvaguardia?</w:t>
      </w:r>
      <w:r w:rsidR="004D2CB7" w:rsidRPr="00D40E5C">
        <w:rPr>
          <w:szCs w:val="20"/>
          <w:lang w:val="es-ES_tradnl"/>
        </w:rPr>
        <w:t xml:space="preserve"> </w:t>
      </w:r>
    </w:p>
    <w:p w:rsidR="00E8420A"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¿Se pueden</w:t>
      </w:r>
      <w:r w:rsidR="00E74BE0" w:rsidRPr="00D40E5C">
        <w:rPr>
          <w:szCs w:val="20"/>
          <w:lang w:val="es-ES_tradnl"/>
        </w:rPr>
        <w:t xml:space="preserve"> </w:t>
      </w:r>
      <w:r w:rsidRPr="00D40E5C">
        <w:rPr>
          <w:szCs w:val="20"/>
          <w:lang w:val="es-ES_tradnl"/>
        </w:rPr>
        <w:t>proponer otras medidas para salvaguardar este elemento del PCI?</w:t>
      </w:r>
    </w:p>
    <w:p w:rsidR="00E8420A"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¿Cómo se puede facilitar a la comunidad interesada un mayor y mejor acceso al material de investigación sobre la fiesta para que pueda contribuir a la viabilidad de ésta?</w:t>
      </w:r>
    </w:p>
    <w:p w:rsidR="00E8420A"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En caso de que el material necesario para la representación de la fiesta se acopiara para exponerlo en un museo, ¿supondría esto una amenaza para la viabilidad del elemento o lo valorizaría?</w:t>
      </w:r>
    </w:p>
    <w:p w:rsidR="009706F6"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t xml:space="preserve">¿Habría que dar prioridad a la organización de representaciones en </w:t>
      </w:r>
      <w:r w:rsidR="000D69A1" w:rsidRPr="00D40E5C">
        <w:rPr>
          <w:szCs w:val="20"/>
          <w:lang w:val="es-ES_tradnl"/>
        </w:rPr>
        <w:t>directo</w:t>
      </w:r>
      <w:r w:rsidRPr="00D40E5C">
        <w:rPr>
          <w:szCs w:val="20"/>
          <w:lang w:val="es-ES_tradnl"/>
        </w:rPr>
        <w:t xml:space="preserve"> de la fiesta en un museo?</w:t>
      </w:r>
    </w:p>
    <w:p w:rsidR="009706F6" w:rsidRPr="00D40E5C" w:rsidRDefault="00093AA1" w:rsidP="00F955F7">
      <w:pPr>
        <w:pStyle w:val="Txtpucegras"/>
        <w:tabs>
          <w:tab w:val="clear" w:pos="851"/>
          <w:tab w:val="num" w:pos="1276"/>
        </w:tabs>
        <w:ind w:left="1276" w:hanging="425"/>
        <w:rPr>
          <w:szCs w:val="20"/>
          <w:lang w:val="es-ES_tradnl"/>
        </w:rPr>
      </w:pPr>
      <w:r w:rsidRPr="00D40E5C">
        <w:rPr>
          <w:szCs w:val="20"/>
          <w:lang w:val="es-ES_tradnl"/>
        </w:rPr>
        <w:lastRenderedPageBreak/>
        <w:t>¿Qué métodos se podrían utilizar para garantizar que la comunidad interesada participe activamente en la aplicación de todas las medidas de salvaguardia propuestas?</w:t>
      </w:r>
    </w:p>
    <w:p w:rsidR="000D3CA4" w:rsidRPr="00D40E5C" w:rsidRDefault="00353472" w:rsidP="004936EF">
      <w:pPr>
        <w:pStyle w:val="Heading6"/>
        <w:rPr>
          <w:lang w:val="es-ES_tradnl"/>
        </w:rPr>
      </w:pPr>
      <w:r w:rsidRPr="00D40E5C">
        <w:rPr>
          <w:lang w:val="es-ES_tradnl"/>
        </w:rPr>
        <w:t>DIAPOSITIVA</w:t>
      </w:r>
      <w:r w:rsidR="005A5080" w:rsidRPr="00D40E5C">
        <w:rPr>
          <w:lang w:val="es-ES_tradnl"/>
        </w:rPr>
        <w:t xml:space="preserve"> 2</w:t>
      </w:r>
      <w:r w:rsidR="00B577F8" w:rsidRPr="00D40E5C">
        <w:rPr>
          <w:lang w:val="es-ES_tradnl"/>
        </w:rPr>
        <w:t>2</w:t>
      </w:r>
      <w:r w:rsidR="000D3CA4" w:rsidRPr="00D40E5C">
        <w:rPr>
          <w:lang w:val="es-ES_tradnl"/>
        </w:rPr>
        <w:t>.</w:t>
      </w:r>
    </w:p>
    <w:p w:rsidR="00E8420A" w:rsidRPr="00D40E5C" w:rsidRDefault="0020648F" w:rsidP="004936EF">
      <w:pPr>
        <w:pStyle w:val="diapo2"/>
        <w:rPr>
          <w:rFonts w:eastAsia="MS Mincho"/>
          <w:lang w:val="es-ES_tradnl"/>
        </w:rPr>
      </w:pPr>
      <w:r w:rsidRPr="00D40E5C">
        <w:rPr>
          <w:lang w:val="es-ES_tradnl"/>
        </w:rPr>
        <w:t>Estudio de caso</w:t>
      </w:r>
      <w:r w:rsidR="0029516A" w:rsidRPr="00D40E5C">
        <w:rPr>
          <w:lang w:val="es-ES_tradnl"/>
        </w:rPr>
        <w:t xml:space="preserve"> </w:t>
      </w:r>
      <w:r w:rsidRPr="00D40E5C">
        <w:rPr>
          <w:lang w:val="es-ES_tradnl"/>
        </w:rPr>
        <w:t xml:space="preserve">– </w:t>
      </w:r>
      <w:r w:rsidR="00A20408" w:rsidRPr="00D40E5C">
        <w:rPr>
          <w:rFonts w:eastAsia="MS Mincho"/>
          <w:bCs/>
          <w:lang w:val="es-ES_tradnl"/>
        </w:rPr>
        <w:t xml:space="preserve">El “biyelgee” </w:t>
      </w:r>
      <w:r w:rsidR="001932F0" w:rsidRPr="00D40E5C">
        <w:rPr>
          <w:rFonts w:eastAsia="MS Mincho"/>
          <w:bCs/>
          <w:lang w:val="es-ES_tradnl"/>
        </w:rPr>
        <w:t>(Mongolia)</w:t>
      </w:r>
    </w:p>
    <w:p w:rsidR="00135DCC" w:rsidRPr="00D40E5C" w:rsidRDefault="00353472" w:rsidP="009909DD">
      <w:pPr>
        <w:pStyle w:val="Texte1"/>
        <w:rPr>
          <w:lang w:val="es-ES_tradnl"/>
        </w:rPr>
      </w:pPr>
      <w:r w:rsidRPr="00D40E5C">
        <w:rPr>
          <w:lang w:val="es-ES_tradnl"/>
        </w:rPr>
        <w:t>E</w:t>
      </w:r>
      <w:r w:rsidR="000D69A1" w:rsidRPr="00D40E5C">
        <w:rPr>
          <w:lang w:val="es-ES_tradnl"/>
        </w:rPr>
        <w:t>n el E</w:t>
      </w:r>
      <w:r w:rsidRPr="00D40E5C">
        <w:rPr>
          <w:lang w:val="es-ES_tradnl"/>
        </w:rPr>
        <w:t>studio de Caso</w:t>
      </w:r>
      <w:r w:rsidR="00442E1A" w:rsidRPr="00D40E5C">
        <w:rPr>
          <w:lang w:val="es-ES_tradnl"/>
        </w:rPr>
        <w:t> </w:t>
      </w:r>
      <w:r w:rsidR="005B06C4" w:rsidRPr="00D40E5C">
        <w:rPr>
          <w:lang w:val="es-ES_tradnl"/>
        </w:rPr>
        <w:t>27</w:t>
      </w:r>
      <w:r w:rsidR="003C7CDA" w:rsidRPr="00D40E5C">
        <w:rPr>
          <w:lang w:val="es-ES_tradnl"/>
        </w:rPr>
        <w:t xml:space="preserve"> se presentan a grandes rasgos las medidas adoptadas para salvaguardar el elemento del PCI denominado “El </w:t>
      </w:r>
      <w:r w:rsidR="003C7CDA" w:rsidRPr="00D40E5C">
        <w:rPr>
          <w:i/>
          <w:lang w:val="es-ES_tradnl"/>
        </w:rPr>
        <w:t>biyelgee</w:t>
      </w:r>
      <w:r w:rsidR="003C7CDA" w:rsidRPr="00D40E5C">
        <w:rPr>
          <w:lang w:val="es-ES_tradnl"/>
        </w:rPr>
        <w:t>, danza popular tradicional mongola”, que se inscribió en la LSU el año 2009.</w:t>
      </w:r>
    </w:p>
    <w:p w:rsidR="00044BAB" w:rsidRPr="00D40E5C" w:rsidRDefault="003C7CDA" w:rsidP="009909DD">
      <w:pPr>
        <w:pStyle w:val="Texte1"/>
        <w:rPr>
          <w:lang w:val="es-ES_tradnl"/>
        </w:rPr>
      </w:pPr>
      <w:r w:rsidRPr="00D40E5C">
        <w:rPr>
          <w:lang w:val="es-ES_tradnl"/>
        </w:rPr>
        <w:t xml:space="preserve">El facilitador puede proponer a los participantes en el taller que lean primero el estudio de caso, para luego examinar en pequeños grupos las respuestas que darían a las preguntas formuladas </w:t>
      </w:r>
      <w:r w:rsidRPr="00D40E5C">
        <w:rPr>
          <w:i/>
          <w:lang w:val="es-ES_tradnl"/>
        </w:rPr>
        <w:t>infra</w:t>
      </w:r>
      <w:r w:rsidRPr="00D40E5C">
        <w:rPr>
          <w:lang w:val="es-ES_tradnl"/>
        </w:rPr>
        <w:t>. Si el tiempo de que se dispone lo permite, se puede organizar una presentación de los informes de cada grupo, así como un debate más amplio sobre el tema, en sesión plenaria.</w:t>
      </w:r>
      <w:r w:rsidR="007805A2" w:rsidRPr="00D40E5C">
        <w:rPr>
          <w:lang w:val="es-ES_tradnl"/>
        </w:rPr>
        <w:t xml:space="preserve"> </w:t>
      </w:r>
    </w:p>
    <w:p w:rsidR="00E8420A" w:rsidRPr="00D40E5C" w:rsidRDefault="003C7CDA" w:rsidP="004936EF">
      <w:pPr>
        <w:pStyle w:val="Soustitre"/>
        <w:rPr>
          <w:lang w:val="es-ES_tradnl"/>
        </w:rPr>
      </w:pPr>
      <w:r w:rsidRPr="00D40E5C">
        <w:rPr>
          <w:lang w:val="es-ES_tradnl"/>
        </w:rPr>
        <w:t>Preguntas que se pueden formular con respecto a este estudio de caso</w:t>
      </w:r>
    </w:p>
    <w:p w:rsidR="00E8420A" w:rsidRPr="00D40E5C" w:rsidRDefault="00942611" w:rsidP="00F955F7">
      <w:pPr>
        <w:pStyle w:val="Txtpucegras"/>
        <w:tabs>
          <w:tab w:val="clear" w:pos="851"/>
          <w:tab w:val="num" w:pos="1276"/>
        </w:tabs>
        <w:ind w:left="1276" w:hanging="425"/>
        <w:rPr>
          <w:szCs w:val="20"/>
          <w:lang w:val="es-ES_tradnl"/>
        </w:rPr>
      </w:pPr>
      <w:r w:rsidRPr="00D40E5C">
        <w:rPr>
          <w:szCs w:val="20"/>
          <w:lang w:val="es-ES_tradnl"/>
        </w:rPr>
        <w:t>¿Cuáles son las principales amenazas que se ciernen sobre la viabilidad del biyelgee?</w:t>
      </w:r>
    </w:p>
    <w:p w:rsidR="00E8420A" w:rsidRPr="00D40E5C" w:rsidRDefault="00942611" w:rsidP="00F955F7">
      <w:pPr>
        <w:pStyle w:val="Txtpucegras"/>
        <w:tabs>
          <w:tab w:val="clear" w:pos="851"/>
          <w:tab w:val="num" w:pos="1276"/>
        </w:tabs>
        <w:ind w:left="1276" w:hanging="425"/>
        <w:rPr>
          <w:szCs w:val="20"/>
          <w:lang w:val="es-ES_tradnl"/>
        </w:rPr>
      </w:pPr>
      <w:r w:rsidRPr="00D40E5C">
        <w:rPr>
          <w:szCs w:val="20"/>
          <w:lang w:val="es-ES_tradnl"/>
        </w:rPr>
        <w:t>¿Cómo tratan de hacer frente a esas amenazas las medidas de salvaguardia?</w:t>
      </w:r>
    </w:p>
    <w:p w:rsidR="00E8420A" w:rsidRPr="00D40E5C" w:rsidRDefault="00942611" w:rsidP="00F955F7">
      <w:pPr>
        <w:pStyle w:val="Txtpucegras"/>
        <w:tabs>
          <w:tab w:val="clear" w:pos="851"/>
          <w:tab w:val="num" w:pos="1276"/>
        </w:tabs>
        <w:ind w:left="1276" w:hanging="425"/>
        <w:rPr>
          <w:szCs w:val="20"/>
          <w:lang w:val="es-ES_tradnl"/>
        </w:rPr>
      </w:pPr>
      <w:r w:rsidRPr="00D40E5C">
        <w:rPr>
          <w:szCs w:val="20"/>
          <w:lang w:val="es-ES_tradnl"/>
        </w:rPr>
        <w:t>¿Se pueden imaginar otras medidas de salvaguardia adecuadas?</w:t>
      </w:r>
    </w:p>
    <w:p w:rsidR="00E8420A" w:rsidRPr="00D40E5C" w:rsidRDefault="00942611" w:rsidP="00F955F7">
      <w:pPr>
        <w:pStyle w:val="Txtpucegras"/>
        <w:tabs>
          <w:tab w:val="clear" w:pos="851"/>
          <w:tab w:val="num" w:pos="1276"/>
        </w:tabs>
        <w:ind w:left="1276" w:hanging="425"/>
        <w:rPr>
          <w:szCs w:val="20"/>
          <w:lang w:val="es-ES_tradnl"/>
        </w:rPr>
      </w:pPr>
      <w:r w:rsidRPr="00D40E5C">
        <w:rPr>
          <w:szCs w:val="20"/>
          <w:lang w:val="es-ES_tradnl"/>
        </w:rPr>
        <w:t xml:space="preserve">¿Sería positivo o negativo para la salvaguardia del </w:t>
      </w:r>
      <w:r w:rsidRPr="00D40E5C">
        <w:rPr>
          <w:i/>
          <w:szCs w:val="20"/>
          <w:lang w:val="es-ES_tradnl"/>
        </w:rPr>
        <w:t>biyelgee</w:t>
      </w:r>
      <w:r w:rsidRPr="00D40E5C">
        <w:rPr>
          <w:szCs w:val="20"/>
          <w:lang w:val="es-ES_tradnl"/>
        </w:rPr>
        <w:t xml:space="preserve"> establecer de qué manera se debe interpretar?</w:t>
      </w:r>
    </w:p>
    <w:p w:rsidR="00E8420A" w:rsidRPr="00D40E5C" w:rsidRDefault="00942611" w:rsidP="00F955F7">
      <w:pPr>
        <w:pStyle w:val="Txtpucegras"/>
        <w:tabs>
          <w:tab w:val="clear" w:pos="851"/>
          <w:tab w:val="num" w:pos="1276"/>
        </w:tabs>
        <w:ind w:left="1276" w:hanging="425"/>
        <w:rPr>
          <w:szCs w:val="20"/>
          <w:lang w:val="es-ES_tradnl"/>
        </w:rPr>
      </w:pPr>
      <w:r w:rsidRPr="00D40E5C">
        <w:rPr>
          <w:szCs w:val="20"/>
          <w:lang w:val="es-ES_tradnl"/>
        </w:rPr>
        <w:t xml:space="preserve">¿Cómo se puede facilitar a las comunidades interesadas un mayor y mejor acceso al material de investigación sobre el </w:t>
      </w:r>
      <w:r w:rsidRPr="00D40E5C">
        <w:rPr>
          <w:i/>
          <w:szCs w:val="20"/>
          <w:lang w:val="es-ES_tradnl"/>
        </w:rPr>
        <w:t>biyelgee</w:t>
      </w:r>
      <w:r w:rsidRPr="00D40E5C">
        <w:rPr>
          <w:szCs w:val="20"/>
          <w:lang w:val="es-ES_tradnl"/>
        </w:rPr>
        <w:t>?</w:t>
      </w:r>
    </w:p>
    <w:p w:rsidR="00934FD1" w:rsidRPr="00D40E5C" w:rsidRDefault="00942611" w:rsidP="00F955F7">
      <w:pPr>
        <w:pStyle w:val="Txtpucegras"/>
        <w:tabs>
          <w:tab w:val="clear" w:pos="851"/>
          <w:tab w:val="num" w:pos="1276"/>
        </w:tabs>
        <w:ind w:left="1276" w:hanging="425"/>
        <w:rPr>
          <w:szCs w:val="20"/>
          <w:lang w:val="es-ES_tradnl"/>
        </w:rPr>
      </w:pPr>
      <w:r w:rsidRPr="00D40E5C">
        <w:rPr>
          <w:szCs w:val="20"/>
          <w:lang w:val="es-ES_tradnl"/>
        </w:rPr>
        <w:t>¿Cómo se puede lograr que las comunidades interesadas ocupen un puesto destacado en la ejecución de los planes de salvaguardia?</w:t>
      </w:r>
    </w:p>
    <w:p w:rsidR="005A62CA" w:rsidRPr="00D40E5C" w:rsidRDefault="00942611" w:rsidP="00F955F7">
      <w:pPr>
        <w:pStyle w:val="Txtpucegras"/>
        <w:tabs>
          <w:tab w:val="clear" w:pos="851"/>
          <w:tab w:val="num" w:pos="1276"/>
        </w:tabs>
        <w:ind w:left="1276" w:hanging="425"/>
        <w:rPr>
          <w:szCs w:val="20"/>
          <w:lang w:val="es-ES_tradnl"/>
        </w:rPr>
      </w:pPr>
      <w:r w:rsidRPr="00D40E5C">
        <w:rPr>
          <w:szCs w:val="20"/>
          <w:lang w:val="es-ES_tradnl"/>
        </w:rPr>
        <w:t xml:space="preserve">El </w:t>
      </w:r>
      <w:r w:rsidRPr="00D40E5C">
        <w:rPr>
          <w:i/>
          <w:szCs w:val="20"/>
          <w:lang w:val="es-ES_tradnl"/>
        </w:rPr>
        <w:t>biyelgee</w:t>
      </w:r>
      <w:r w:rsidRPr="00D40E5C">
        <w:rPr>
          <w:szCs w:val="20"/>
          <w:lang w:val="es-ES_tradnl"/>
        </w:rPr>
        <w:t xml:space="preserve"> es la encarnación de un modo de vida propio de las poblaciones nómadas, que está desapareciendo rápidamente con la emigración de éstas a las ciudades. ¿Qué tipo de medidas se podrían adoptar para salvaguardar esta danza popular tradicional en las zonas urbanas?</w:t>
      </w:r>
    </w:p>
    <w:p w:rsidR="00BB4B0A" w:rsidRPr="00D40E5C" w:rsidRDefault="00BB4B0A">
      <w:pPr>
        <w:pStyle w:val="Txtpucegras"/>
        <w:rPr>
          <w:lang w:val="es-ES_tradnl"/>
        </w:rPr>
        <w:sectPr w:rsidR="00BB4B0A" w:rsidRPr="00D40E5C" w:rsidSect="00D87144">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0" w:h="16820" w:code="9"/>
          <w:pgMar w:top="1701" w:right="1531" w:bottom="1701" w:left="1531" w:header="720" w:footer="720" w:gutter="0"/>
          <w:pgNumType w:start="1"/>
          <w:cols w:space="708"/>
          <w:titlePg/>
          <w:docGrid w:linePitch="360"/>
        </w:sectPr>
      </w:pPr>
    </w:p>
    <w:p w:rsidR="000D3CA4" w:rsidRPr="00D40E5C" w:rsidRDefault="00C4640B" w:rsidP="004936EF">
      <w:pPr>
        <w:pStyle w:val="Chapitre"/>
        <w:rPr>
          <w:kern w:val="0"/>
          <w:lang w:val="es-ES_tradnl"/>
        </w:rPr>
      </w:pPr>
      <w:bookmarkStart w:id="11" w:name="_Toc241644727"/>
      <w:bookmarkStart w:id="12" w:name="_Toc302374691"/>
      <w:r w:rsidRPr="00D40E5C">
        <w:rPr>
          <w:kern w:val="0"/>
          <w:lang w:val="es-ES_tradnl"/>
        </w:rPr>
        <w:lastRenderedPageBreak/>
        <w:t>Uni</w:t>
      </w:r>
      <w:r w:rsidR="0020648F" w:rsidRPr="00D40E5C">
        <w:rPr>
          <w:kern w:val="0"/>
          <w:lang w:val="es-ES_tradnl"/>
        </w:rPr>
        <w:t>dad</w:t>
      </w:r>
      <w:r w:rsidRPr="00D40E5C">
        <w:rPr>
          <w:kern w:val="0"/>
          <w:lang w:val="es-ES_tradnl"/>
        </w:rPr>
        <w:t xml:space="preserve"> </w:t>
      </w:r>
      <w:r w:rsidR="00A7216D" w:rsidRPr="00D40E5C">
        <w:rPr>
          <w:kern w:val="0"/>
          <w:lang w:val="es-ES_tradnl"/>
        </w:rPr>
        <w:t>9</w:t>
      </w:r>
      <w:bookmarkEnd w:id="11"/>
    </w:p>
    <w:p w:rsidR="00E276B7" w:rsidRPr="00D40E5C" w:rsidRDefault="00E276B7" w:rsidP="004936EF">
      <w:pPr>
        <w:pStyle w:val="Titcoul"/>
        <w:rPr>
          <w:kern w:val="0"/>
          <w:szCs w:val="70"/>
          <w:lang w:val="es-ES_tradnl"/>
        </w:rPr>
      </w:pPr>
      <w:bookmarkStart w:id="13" w:name="_Toc241644728"/>
      <w:r w:rsidRPr="00D40E5C">
        <w:rPr>
          <w:kern w:val="0"/>
          <w:szCs w:val="70"/>
          <w:lang w:val="es-ES_tradnl"/>
        </w:rPr>
        <w:t>Visit</w:t>
      </w:r>
      <w:r w:rsidR="0020648F" w:rsidRPr="00D40E5C">
        <w:rPr>
          <w:kern w:val="0"/>
          <w:szCs w:val="70"/>
          <w:lang w:val="es-ES_tradnl"/>
        </w:rPr>
        <w:t xml:space="preserve">A a un sitio </w:t>
      </w:r>
      <w:r w:rsidR="00A20408" w:rsidRPr="00D40E5C">
        <w:rPr>
          <w:kern w:val="0"/>
          <w:szCs w:val="70"/>
          <w:lang w:val="es-ES_tradnl"/>
        </w:rPr>
        <w:t>de realización</w:t>
      </w:r>
      <w:r w:rsidR="00A20408" w:rsidRPr="00D40E5C">
        <w:rPr>
          <w:kern w:val="0"/>
          <w:szCs w:val="70"/>
          <w:lang w:val="es-ES_tradnl"/>
        </w:rPr>
        <w:br/>
      </w:r>
      <w:r w:rsidR="001861AB" w:rsidRPr="00D40E5C">
        <w:rPr>
          <w:kern w:val="0"/>
          <w:szCs w:val="70"/>
          <w:lang w:val="es-ES_tradnl"/>
        </w:rPr>
        <w:t>de</w:t>
      </w:r>
      <w:r w:rsidR="0020648F" w:rsidRPr="00D40E5C">
        <w:rPr>
          <w:kern w:val="0"/>
          <w:szCs w:val="70"/>
          <w:lang w:val="es-ES_tradnl"/>
        </w:rPr>
        <w:t xml:space="preserve"> un proyecto de </w:t>
      </w:r>
      <w:r w:rsidR="00A25B8C" w:rsidRPr="00D40E5C">
        <w:rPr>
          <w:kern w:val="0"/>
          <w:szCs w:val="70"/>
          <w:lang w:val="es-ES_tradnl"/>
        </w:rPr>
        <w:t>salvaguardia</w:t>
      </w:r>
      <w:bookmarkEnd w:id="12"/>
      <w:bookmarkEnd w:id="13"/>
    </w:p>
    <w:p w:rsidR="00FE058A" w:rsidRPr="00D40E5C" w:rsidRDefault="00064123" w:rsidP="009909DD">
      <w:pPr>
        <w:pStyle w:val="Texte1"/>
        <w:rPr>
          <w:lang w:val="es-ES_tradnl"/>
        </w:rPr>
      </w:pPr>
      <w:r w:rsidRPr="00D40E5C">
        <w:rPr>
          <w:lang w:val="es-ES_tradnl"/>
        </w:rPr>
        <w:t xml:space="preserve">Puede ser provechoso que los participantes en el taller visiten un sitio donde se haya llevado a cabo un proyecto </w:t>
      </w:r>
      <w:r w:rsidR="00A20408" w:rsidRPr="00D40E5C">
        <w:rPr>
          <w:lang w:val="es-ES_tradnl"/>
        </w:rPr>
        <w:t xml:space="preserve">local </w:t>
      </w:r>
      <w:r w:rsidRPr="00D40E5C">
        <w:rPr>
          <w:lang w:val="es-ES_tradnl"/>
        </w:rPr>
        <w:t>de sal</w:t>
      </w:r>
      <w:r w:rsidR="00A20408" w:rsidRPr="00D40E5C">
        <w:rPr>
          <w:lang w:val="es-ES_tradnl"/>
        </w:rPr>
        <w:t>vaguardia de un elemento del PCI</w:t>
      </w:r>
      <w:r w:rsidRPr="00D40E5C">
        <w:rPr>
          <w:lang w:val="es-ES_tradnl"/>
        </w:rPr>
        <w:t xml:space="preserve">. </w:t>
      </w:r>
      <w:r w:rsidR="000D69A1" w:rsidRPr="00D40E5C">
        <w:rPr>
          <w:lang w:val="es-ES_tradnl"/>
        </w:rPr>
        <w:t>De esta manera</w:t>
      </w:r>
      <w:r w:rsidRPr="00D40E5C">
        <w:rPr>
          <w:lang w:val="es-ES_tradnl"/>
        </w:rPr>
        <w:t xml:space="preserve"> pueden adquirir un conocimiento de los problemas prácticos con que tropieza </w:t>
      </w:r>
      <w:r w:rsidR="00AE4687" w:rsidRPr="00D40E5C">
        <w:rPr>
          <w:lang w:val="es-ES_tradnl"/>
        </w:rPr>
        <w:t>la</w:t>
      </w:r>
      <w:r w:rsidRPr="00D40E5C">
        <w:rPr>
          <w:lang w:val="es-ES_tradnl"/>
        </w:rPr>
        <w:t xml:space="preserve"> salvaguard</w:t>
      </w:r>
      <w:r w:rsidR="00AE4687" w:rsidRPr="00D40E5C">
        <w:rPr>
          <w:lang w:val="es-ES_tradnl"/>
        </w:rPr>
        <w:t>ia</w:t>
      </w:r>
      <w:r w:rsidRPr="00D40E5C">
        <w:rPr>
          <w:lang w:val="es-ES_tradnl"/>
        </w:rPr>
        <w:t xml:space="preserve"> </w:t>
      </w:r>
      <w:r w:rsidR="00A20408" w:rsidRPr="00D40E5C">
        <w:rPr>
          <w:lang w:val="es-ES_tradnl"/>
        </w:rPr>
        <w:t xml:space="preserve">de </w:t>
      </w:r>
      <w:r w:rsidRPr="00D40E5C">
        <w:rPr>
          <w:lang w:val="es-ES_tradnl"/>
        </w:rPr>
        <w:t xml:space="preserve">un elemento, así como </w:t>
      </w:r>
      <w:r w:rsidR="00AE4687" w:rsidRPr="00D40E5C">
        <w:rPr>
          <w:lang w:val="es-ES_tradnl"/>
        </w:rPr>
        <w:t xml:space="preserve">de </w:t>
      </w:r>
      <w:r w:rsidRPr="00D40E5C">
        <w:rPr>
          <w:lang w:val="es-ES_tradnl"/>
        </w:rPr>
        <w:t xml:space="preserve">las estrategias elaboradas para superarlos con éxito. También cabe la posibilidad de </w:t>
      </w:r>
      <w:r w:rsidR="00AE4687" w:rsidRPr="00D40E5C">
        <w:rPr>
          <w:lang w:val="es-ES_tradnl"/>
        </w:rPr>
        <w:t>invitar a</w:t>
      </w:r>
      <w:r w:rsidRPr="00D40E5C">
        <w:rPr>
          <w:lang w:val="es-ES_tradnl"/>
        </w:rPr>
        <w:t xml:space="preserve"> personas que hayan ejecutado un proyecto de salvaguardia del PCI para que acudan al lugar de celebración del taller, a fin de dar una breve charla a los participantes sobre las estrategias y procedimientos que han dado buenos resultados y sobre aquellos que han fracasado. Para esta charla se debe prever un tiempo suficiente, a fin de que los participantes puedan formular preguntas.</w:t>
      </w:r>
    </w:p>
    <w:p w:rsidR="00C65A17" w:rsidRPr="00D40E5C" w:rsidRDefault="00A27781" w:rsidP="009909DD">
      <w:pPr>
        <w:pStyle w:val="Texte1"/>
        <w:rPr>
          <w:lang w:val="es-ES_tradnl"/>
        </w:rPr>
      </w:pPr>
      <w:r w:rsidRPr="00D40E5C">
        <w:rPr>
          <w:lang w:val="es-ES_tradnl"/>
        </w:rPr>
        <w:t xml:space="preserve">Si la organización de la visita es posible, el facilitador debe ayudar a los participantes a estructurar sus eventuales ideas sobre </w:t>
      </w:r>
      <w:r w:rsidR="00AE4687" w:rsidRPr="00D40E5C">
        <w:rPr>
          <w:lang w:val="es-ES_tradnl"/>
        </w:rPr>
        <w:t>dicha</w:t>
      </w:r>
      <w:r w:rsidRPr="00D40E5C">
        <w:rPr>
          <w:lang w:val="es-ES_tradnl"/>
        </w:rPr>
        <w:t xml:space="preserve"> visita, así como a reflexionar sobre las experiencias que hayan sacado de la misma, una vez </w:t>
      </w:r>
      <w:r w:rsidR="00AE4687" w:rsidRPr="00D40E5C">
        <w:rPr>
          <w:lang w:val="es-ES_tradnl"/>
        </w:rPr>
        <w:t>que se haya efectuado</w:t>
      </w:r>
      <w:r w:rsidRPr="00D40E5C">
        <w:rPr>
          <w:lang w:val="es-ES_tradnl"/>
        </w:rPr>
        <w:t xml:space="preserve">. El facilitador puede, por ejemplo, preparar un documento para que los participantes reflexionen sobre </w:t>
      </w:r>
      <w:r w:rsidR="00AE4687" w:rsidRPr="00D40E5C">
        <w:rPr>
          <w:lang w:val="es-ES_tradnl"/>
        </w:rPr>
        <w:t xml:space="preserve">la formulación de preguntas concretas </w:t>
      </w:r>
      <w:r w:rsidRPr="00D40E5C">
        <w:rPr>
          <w:lang w:val="es-ES_tradnl"/>
        </w:rPr>
        <w:t xml:space="preserve">durante la visita (esas preguntas no tienen por qué plantearse forzosamente a los miembros del proyecto de forma directa). El facilitador puede pedir también a los participantes en el taller que presenten un breve informe de la visita en la sesión del </w:t>
      </w:r>
      <w:r w:rsidR="00AE4687" w:rsidRPr="00D40E5C">
        <w:rPr>
          <w:lang w:val="es-ES_tradnl"/>
        </w:rPr>
        <w:t xml:space="preserve">taller del </w:t>
      </w:r>
      <w:r w:rsidRPr="00D40E5C">
        <w:rPr>
          <w:lang w:val="es-ES_tradnl"/>
        </w:rPr>
        <w:t xml:space="preserve">día siguiente. Es importante prever un lapso de tiempo en el programa del taller, a fin de que los participantes </w:t>
      </w:r>
      <w:r w:rsidR="00AE4687" w:rsidRPr="00D40E5C">
        <w:rPr>
          <w:lang w:val="es-ES_tradnl"/>
        </w:rPr>
        <w:t xml:space="preserve">puedan </w:t>
      </w:r>
      <w:r w:rsidRPr="00D40E5C">
        <w:rPr>
          <w:lang w:val="es-ES_tradnl"/>
        </w:rPr>
        <w:t>reflexion</w:t>
      </w:r>
      <w:r w:rsidR="00AE4687" w:rsidRPr="00D40E5C">
        <w:rPr>
          <w:lang w:val="es-ES_tradnl"/>
        </w:rPr>
        <w:t>ar</w:t>
      </w:r>
      <w:r w:rsidRPr="00D40E5C">
        <w:rPr>
          <w:lang w:val="es-ES_tradnl"/>
        </w:rPr>
        <w:t xml:space="preserve"> sobre las lecciones aprendidas durante la visita.</w:t>
      </w:r>
    </w:p>
    <w:p w:rsidR="00954FDB" w:rsidRPr="00D40E5C" w:rsidRDefault="00A27781" w:rsidP="009909DD">
      <w:pPr>
        <w:pStyle w:val="Texte1"/>
        <w:rPr>
          <w:lang w:val="es-ES_tradnl"/>
        </w:rPr>
      </w:pPr>
      <w:r w:rsidRPr="00D40E5C">
        <w:rPr>
          <w:lang w:val="es-ES_tradnl"/>
        </w:rPr>
        <w:t xml:space="preserve">Si resulta que la visita en cuestión no es posible u oportuna, se podría organizar para sustituirla una proyección de vídeos sobre medidas de salvaguardia y participación de las comunidades. El facilitador tiene que seleccionar el material adecuado. Los participantes deben identificar y definir las amenazas y riesgos que se ciernen sobre los elementos del PCI, así como las medidas para afrontarlos. También deben analizar cómo se logró hacer participar a las comunidades interesadas en la tarea de promover la viabilidad del PCI. Se pueden utilizar ejemplos que ilustren situaciones existentes en el plano local, aunque a veces el recurso a ejemplos de otras regiones puede suscitar entre los participantes una reflexión crítica sobre las situaciones que </w:t>
      </w:r>
      <w:r w:rsidR="00AE4687" w:rsidRPr="00D40E5C">
        <w:rPr>
          <w:lang w:val="es-ES_tradnl"/>
        </w:rPr>
        <w:t xml:space="preserve">ellos mismos </w:t>
      </w:r>
      <w:r w:rsidRPr="00D40E5C">
        <w:rPr>
          <w:lang w:val="es-ES_tradnl"/>
        </w:rPr>
        <w:t>deben afrontar en su práctica inmediata.</w:t>
      </w:r>
    </w:p>
    <w:p w:rsidR="0020648F" w:rsidRPr="00D40E5C" w:rsidRDefault="0020648F" w:rsidP="0029516A">
      <w:pPr>
        <w:pStyle w:val="Texte1"/>
        <w:spacing w:after="0"/>
        <w:rPr>
          <w:szCs w:val="20"/>
          <w:lang w:val="es-ES_tradnl"/>
        </w:rPr>
      </w:pPr>
      <w:r w:rsidRPr="00D40E5C">
        <w:rPr>
          <w:szCs w:val="20"/>
          <w:lang w:val="es-ES_tradnl"/>
        </w:rPr>
        <w:t xml:space="preserve">Los participantes en el taller pueden, por ejemplo, llevar a cabo un debate sobre el vídeo presentado con el expediente de candidatura del elemento </w:t>
      </w:r>
      <w:r w:rsidR="00AE4687" w:rsidRPr="00D40E5C">
        <w:rPr>
          <w:szCs w:val="20"/>
          <w:lang w:val="es-ES_tradnl"/>
        </w:rPr>
        <w:t xml:space="preserve">denominado </w:t>
      </w:r>
      <w:r w:rsidRPr="00D40E5C">
        <w:rPr>
          <w:szCs w:val="20"/>
          <w:lang w:val="es-ES_tradnl"/>
        </w:rPr>
        <w:t>“</w:t>
      </w:r>
      <w:r w:rsidRPr="00D40E5C">
        <w:rPr>
          <w:bCs/>
          <w:szCs w:val="20"/>
          <w:lang w:val="es-ES_tradnl"/>
        </w:rPr>
        <w:t>La imprenta china de caracteres amovibles de madera</w:t>
      </w:r>
      <w:r w:rsidR="00B30A90" w:rsidRPr="00D40E5C">
        <w:rPr>
          <w:bCs/>
          <w:szCs w:val="20"/>
          <w:lang w:val="es-ES_tradnl"/>
        </w:rPr>
        <w:t>”</w:t>
      </w:r>
      <w:r w:rsidR="0029516A" w:rsidRPr="00D40E5C">
        <w:rPr>
          <w:szCs w:val="20"/>
          <w:lang w:val="es-ES_tradnl"/>
        </w:rPr>
        <w:t>:</w:t>
      </w:r>
    </w:p>
    <w:p w:rsidR="00590484" w:rsidRPr="00D40E5C" w:rsidRDefault="00BD1E82" w:rsidP="00740377">
      <w:pPr>
        <w:pStyle w:val="Texte1"/>
        <w:rPr>
          <w:lang w:val="es-ES_tradnl"/>
        </w:rPr>
      </w:pPr>
      <w:r>
        <w:rPr>
          <w:noProof/>
          <w:szCs w:val="20"/>
          <w:lang w:val="es-ES_tradnl" w:eastAsia="es-ES_tradnl"/>
        </w:rPr>
        <w:drawing>
          <wp:anchor distT="0" distB="0" distL="114300" distR="114300" simplePos="0" relativeHeight="251676672" behindDoc="0" locked="1" layoutInCell="1" allowOverlap="0" wp14:anchorId="5CE4B07E" wp14:editId="4C53AE3C">
            <wp:simplePos x="0" y="0"/>
            <wp:positionH relativeFrom="column">
              <wp:posOffset>174625</wp:posOffset>
            </wp:positionH>
            <wp:positionV relativeFrom="paragraph">
              <wp:posOffset>-95885</wp:posOffset>
            </wp:positionV>
            <wp:extent cx="278130" cy="350520"/>
            <wp:effectExtent l="19050" t="0" r="762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78130" cy="350520"/>
                    </a:xfrm>
                    <a:prstGeom prst="rect">
                      <a:avLst/>
                    </a:prstGeom>
                  </pic:spPr>
                </pic:pic>
              </a:graphicData>
            </a:graphic>
          </wp:anchor>
        </w:drawing>
      </w:r>
      <w:hyperlink r:id="rId20" w:history="1">
        <w:r w:rsidR="0020648F" w:rsidRPr="00D40E5C">
          <w:rPr>
            <w:rStyle w:val="Hyperlink"/>
            <w:u w:val="none"/>
            <w:lang w:val="es-ES_tradnl"/>
          </w:rPr>
          <w:t>http://www.unesco.org/culture/ich/index.php?lg=es&amp;pg=00011&amp;USL=00322</w:t>
        </w:r>
      </w:hyperlink>
    </w:p>
    <w:sectPr w:rsidR="00590484" w:rsidRPr="00D40E5C" w:rsidSect="006F52D2">
      <w:headerReference w:type="even" r:id="rId21"/>
      <w:headerReference w:type="default" r:id="rId22"/>
      <w:footerReference w:type="even" r:id="rId23"/>
      <w:footerReference w:type="default" r:id="rId24"/>
      <w:headerReference w:type="first" r:id="rId25"/>
      <w:footerReference w:type="first" r:id="rId26"/>
      <w:footnotePr>
        <w:numStart w:val="2"/>
      </w:footnotePr>
      <w:type w:val="oddPage"/>
      <w:pgSz w:w="11900" w:h="16820" w:code="9"/>
      <w:pgMar w:top="1701" w:right="1531" w:bottom="1701" w:left="1531" w:header="720" w:footer="72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E82" w:rsidRDefault="00BD1E82" w:rsidP="000A699C">
      <w:pPr>
        <w:spacing w:before="0" w:after="0"/>
      </w:pPr>
      <w:r>
        <w:separator/>
      </w:r>
    </w:p>
  </w:endnote>
  <w:endnote w:type="continuationSeparator" w:id="0">
    <w:p w:rsidR="00BD1E82" w:rsidRDefault="00BD1E82"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Default="0051358D" w:rsidP="00740377">
    <w:pPr>
      <w:pStyle w:val="Footer"/>
      <w:ind w:right="360" w:firstLine="360"/>
    </w:pPr>
    <w:r>
      <w:rPr>
        <w:noProof/>
        <w:lang w:val="es-ES_tradnl" w:eastAsia="es-ES_tradnl"/>
      </w:rPr>
      <w:drawing>
        <wp:anchor distT="0" distB="0" distL="114300" distR="114300" simplePos="0" relativeHeight="251837440" behindDoc="0" locked="0" layoutInCell="1" allowOverlap="1" wp14:anchorId="4A921E66" wp14:editId="62A50FC9">
          <wp:simplePos x="0" y="0"/>
          <wp:positionH relativeFrom="column">
            <wp:posOffset>-68661</wp:posOffset>
          </wp:positionH>
          <wp:positionV relativeFrom="paragraph">
            <wp:posOffset>-200660</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EA37EF">
      <w:tab/>
      <w:t>© UNESCO • No se debe r</w:t>
    </w:r>
    <w:r w:rsidR="00740377">
      <w:t xml:space="preserve">eproducir sin </w:t>
    </w:r>
    <w:proofErr w:type="spellStart"/>
    <w:proofErr w:type="gramStart"/>
    <w:r w:rsidR="00740377">
      <w:t>permiso</w:t>
    </w:r>
    <w:proofErr w:type="spellEnd"/>
    <w:proofErr w:type="gramEnd"/>
    <w:r w:rsidR="00D40E5C">
      <w:tab/>
      <w:t>U009-v1.</w:t>
    </w:r>
    <w:proofErr w:type="gramStart"/>
    <w:r w:rsidR="00D40E5C">
      <w:t>1</w:t>
    </w:r>
    <w:r w:rsidR="00EA37EF">
      <w:t>-FN-ES</w:t>
    </w:r>
    <w:proofErr w:type="gramEnd"/>
    <w:r w:rsidR="00EA37EF"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Pr="007D60D5" w:rsidRDefault="00EA37EF">
    <w:pPr>
      <w:pStyle w:val="Footer"/>
    </w:pPr>
    <w:r>
      <w:t>U009-v1.</w:t>
    </w:r>
    <w:r w:rsidR="00D40E5C">
      <w:t>1</w:t>
    </w:r>
    <w:r>
      <w:t>-FN-ES</w:t>
    </w:r>
    <w:r>
      <w:tab/>
      <w:t>© UNESCO • No se debe reproducir sin permiso</w:t>
    </w:r>
    <w:r>
      <w:tab/>
    </w:r>
    <w:r w:rsidR="0051358D">
      <w:rPr>
        <w:noProof/>
        <w:lang w:val="es-ES_tradnl" w:eastAsia="es-ES_tradnl"/>
      </w:rPr>
      <w:drawing>
        <wp:anchor distT="0" distB="0" distL="114300" distR="114300" simplePos="0" relativeHeight="251839488" behindDoc="0" locked="0" layoutInCell="1" allowOverlap="1" wp14:anchorId="7EC2EA69" wp14:editId="16A7BB47">
          <wp:simplePos x="0" y="0"/>
          <wp:positionH relativeFrom="column">
            <wp:posOffset>4947920</wp:posOffset>
          </wp:positionH>
          <wp:positionV relativeFrom="paragraph">
            <wp:posOffset>-288925</wp:posOffset>
          </wp:positionV>
          <wp:extent cx="827477"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Pr="00D035E5" w:rsidRDefault="0051358D" w:rsidP="00E304A1">
    <w:pPr>
      <w:pStyle w:val="Footer"/>
      <w:tabs>
        <w:tab w:val="left" w:pos="2093"/>
      </w:tabs>
    </w:pPr>
    <w:r>
      <w:rPr>
        <w:noProof/>
        <w:lang w:val="es-ES_tradnl" w:eastAsia="es-ES_tradnl"/>
      </w:rPr>
      <w:drawing>
        <wp:anchor distT="0" distB="0" distL="114300" distR="114300" simplePos="0" relativeHeight="251835392" behindDoc="0" locked="0" layoutInCell="1" allowOverlap="1" wp14:anchorId="3BC85375" wp14:editId="0F367FFB">
          <wp:simplePos x="0" y="0"/>
          <wp:positionH relativeFrom="column">
            <wp:posOffset>4829175</wp:posOffset>
          </wp:positionH>
          <wp:positionV relativeFrom="paragraph">
            <wp:posOffset>-334535</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D40E5C">
      <w:t>U009-v1.1</w:t>
    </w:r>
    <w:r w:rsidR="00EA37EF">
      <w:t>-FN-ES</w:t>
    </w:r>
    <w:r w:rsidR="00EA37EF">
      <w:tab/>
      <w:t>© UNESCO • No se debe reproducir sin permiso</w:t>
    </w:r>
    <w:r w:rsidR="00EA37EF">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Default="00EA37EF" w:rsidP="004936EF">
    <w:pPr>
      <w:pStyle w:val="Footer"/>
    </w:pPr>
    <w:r w:rsidRPr="002A3923">
      <w:rPr>
        <w:noProof/>
        <w:lang w:val="es-ES_tradnl" w:eastAsia="es-ES_tradnl"/>
      </w:rPr>
      <w:drawing>
        <wp:anchor distT="0" distB="0" distL="114300" distR="114300" simplePos="0" relativeHeight="251759616" behindDoc="0" locked="1" layoutInCell="1" allowOverlap="0">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anchor>
      </w:drawing>
    </w:r>
    <w:r>
      <w:tab/>
      <w:t>© UNESCO • Not to be reproduced without permission</w:t>
    </w:r>
    <w:r>
      <w:tab/>
      <w:t>U015-v1.0-HO-EN</w:t>
    </w:r>
    <w:r w:rsidDel="00F22FFD">
      <w:rPr>
        <w:rStyle w:val="PageNumber"/>
      </w:rPr>
      <w:t xml:space="preserve"> </w:t>
    </w:r>
  </w:p>
  <w:p w:rsidR="00EA37EF" w:rsidRDefault="00EA37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Pr="007D60D5" w:rsidRDefault="00EA37EF">
    <w:pPr>
      <w:pStyle w:val="Footer"/>
    </w:pPr>
    <w:r>
      <w:t>U015-v1.0-HO-EN</w:t>
    </w:r>
    <w:r>
      <w:tab/>
      <w:t>© UNESCO • Not to be reproduced without permission</w:t>
    </w:r>
    <w:r>
      <w:tab/>
    </w:r>
    <w:r w:rsidRPr="005B7AFC">
      <w:rPr>
        <w:noProof/>
        <w:lang w:val="es-ES_tradnl" w:eastAsia="es-ES_tradnl"/>
      </w:rPr>
      <w:drawing>
        <wp:anchor distT="0" distB="0" distL="114300" distR="114300" simplePos="0" relativeHeight="251773952" behindDoc="0" locked="1" layoutInCell="1" allowOverlap="0">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Default="00EA37EF">
    <w:pPr>
      <w:pStyle w:val="Footer"/>
    </w:pPr>
    <w:r>
      <w:t>U0</w:t>
    </w:r>
    <w:r w:rsidR="00740377">
      <w:t>09-v1.</w:t>
    </w:r>
    <w:proofErr w:type="gramStart"/>
    <w:r w:rsidR="00740377">
      <w:t>1</w:t>
    </w:r>
    <w:bookmarkStart w:id="14" w:name="_GoBack"/>
    <w:bookmarkEnd w:id="14"/>
    <w:r>
      <w:t>-FN-EN</w:t>
    </w:r>
    <w:proofErr w:type="gramEnd"/>
    <w:r>
      <w:tab/>
      <w:t>© UNESCO • Not to be reproduced without permission</w:t>
    </w:r>
    <w:r>
      <w:tab/>
    </w:r>
    <w:r w:rsidRPr="00473E47">
      <w:rPr>
        <w:noProof/>
        <w:szCs w:val="20"/>
        <w:lang w:val="es-ES_tradnl" w:eastAsia="es-ES_tradnl"/>
      </w:rPr>
      <w:drawing>
        <wp:anchor distT="0" distB="0" distL="114300" distR="114300" simplePos="0" relativeHeight="251788288" behindDoc="0" locked="1" layoutInCell="1" allowOverlap="0">
          <wp:simplePos x="0" y="0"/>
          <wp:positionH relativeFrom="margin">
            <wp:posOffset>4681855</wp:posOffset>
          </wp:positionH>
          <wp:positionV relativeFrom="margin">
            <wp:posOffset>8641080</wp:posOffset>
          </wp:positionV>
          <wp:extent cx="942975" cy="538480"/>
          <wp:effectExtent l="0" t="0" r="0" b="0"/>
          <wp:wrapSquare wrapText="bothSides"/>
          <wp:docPr id="377" name="Imag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E82" w:rsidRDefault="00BD1E82" w:rsidP="000A699C">
      <w:pPr>
        <w:spacing w:before="0" w:after="0"/>
      </w:pPr>
      <w:r>
        <w:separator/>
      </w:r>
    </w:p>
  </w:footnote>
  <w:footnote w:type="continuationSeparator" w:id="0">
    <w:p w:rsidR="00BD1E82" w:rsidRDefault="00BD1E82" w:rsidP="000A699C">
      <w:pPr>
        <w:spacing w:before="0" w:after="0"/>
      </w:pPr>
      <w:r>
        <w:continuationSeparator/>
      </w:r>
    </w:p>
  </w:footnote>
  <w:footnote w:id="1">
    <w:p w:rsidR="00EA37EF" w:rsidRPr="008904CA" w:rsidRDefault="00EA37EF">
      <w:pPr>
        <w:pStyle w:val="FootnoteText"/>
        <w:rPr>
          <w:lang w:val="es-ES_tradnl"/>
        </w:rPr>
      </w:pPr>
      <w:r w:rsidRPr="008652EA">
        <w:rPr>
          <w:rStyle w:val="FootnoteReference"/>
          <w:szCs w:val="16"/>
          <w:vertAlign w:val="baseline"/>
        </w:rPr>
        <w:footnoteRef/>
      </w:r>
      <w:r w:rsidRPr="008652EA">
        <w:rPr>
          <w:szCs w:val="16"/>
          <w:lang w:val="es-ES_tradnl"/>
        </w:rPr>
        <w:t>.</w:t>
      </w:r>
      <w:r w:rsidRPr="008652EA">
        <w:rPr>
          <w:lang w:val="es-ES_tradnl"/>
        </w:rPr>
        <w:tab/>
      </w:r>
      <w:r w:rsidR="008652EA" w:rsidRPr="00126B28">
        <w:rPr>
          <w:lang w:val="es-ES"/>
        </w:rPr>
        <w:t>Frecuentemente denominada “Convención del Patrimonio Inmaterial” o “Convención de 2003” y, a los efectos de esta unidad, simplemente “Convención”.</w:t>
      </w:r>
    </w:p>
  </w:footnote>
  <w:footnote w:id="2">
    <w:p w:rsidR="008652EA" w:rsidRPr="00D5454C" w:rsidRDefault="008652EA" w:rsidP="00740377">
      <w:pPr>
        <w:pStyle w:val="FootnoteText"/>
        <w:rPr>
          <w:lang w:val="es-ES"/>
        </w:rPr>
      </w:pPr>
      <w:r w:rsidRPr="008652EA">
        <w:rPr>
          <w:rStyle w:val="FootnoteReference"/>
          <w:vertAlign w:val="baseline"/>
        </w:rPr>
        <w:footnoteRef/>
      </w:r>
      <w:r w:rsidRPr="006F665E">
        <w:rPr>
          <w:lang w:val="es-ES_tradnl"/>
        </w:rPr>
        <w:t>.</w:t>
      </w:r>
      <w:r w:rsidR="00D5454C" w:rsidRPr="006F665E">
        <w:rPr>
          <w:lang w:val="es-ES_tradnl"/>
        </w:rPr>
        <w:tab/>
      </w:r>
      <w:r w:rsidR="00D5454C" w:rsidRPr="00126B28">
        <w:rPr>
          <w:lang w:val="es-ES_tradnl"/>
        </w:rPr>
        <w:t xml:space="preserve">UNESCO, </w:t>
      </w:r>
      <w:r w:rsidR="00D5454C" w:rsidRPr="00126B28">
        <w:rPr>
          <w:i/>
          <w:lang w:val="es-ES"/>
        </w:rPr>
        <w:t>Textos fundamentales de la Convención para la Salvaguardia del Patrimonio Cultural Inmaterial de 2003</w:t>
      </w:r>
      <w:r w:rsidR="00D5454C" w:rsidRPr="00757964">
        <w:rPr>
          <w:i/>
          <w:lang w:val="es-ES"/>
        </w:rPr>
        <w:t xml:space="preserve"> </w:t>
      </w:r>
      <w:r w:rsidR="00D5454C" w:rsidRPr="00757964">
        <w:rPr>
          <w:lang w:val="es-ES"/>
        </w:rPr>
        <w:t xml:space="preserve">(denominados abreviadamente “Textos Fundamentales” en la presente </w:t>
      </w:r>
      <w:r w:rsidR="00D5454C">
        <w:rPr>
          <w:lang w:val="es-ES"/>
        </w:rPr>
        <w:t>u</w:t>
      </w:r>
      <w:r w:rsidR="00D5454C" w:rsidRPr="00757964">
        <w:rPr>
          <w:lang w:val="es-ES"/>
        </w:rPr>
        <w:t xml:space="preserve">nidad), París, UNESCO. Se pueden consultar en: </w:t>
      </w:r>
      <w:hyperlink r:id="rId1" w:history="1">
        <w:r w:rsidR="00D5454C" w:rsidRPr="00757964">
          <w:rPr>
            <w:rStyle w:val="Hyperlink"/>
            <w:color w:val="auto"/>
            <w:u w:val="none"/>
            <w:lang w:val="es-ES"/>
          </w:rPr>
          <w:t>http://www.unesco.org/culture/ich/index.php?lg=es&amp;pg=00503</w:t>
        </w:r>
      </w:hyperlink>
      <w:r w:rsidR="00D5454C" w:rsidRPr="00757964">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Default="001224E1" w:rsidP="007D36FD">
    <w:pPr>
      <w:pStyle w:val="Header"/>
    </w:pPr>
    <w:r>
      <w:rPr>
        <w:rStyle w:val="PageNumber"/>
      </w:rPr>
      <w:fldChar w:fldCharType="begin"/>
    </w:r>
    <w:r w:rsidR="00EA37EF">
      <w:rPr>
        <w:rStyle w:val="PageNumber"/>
      </w:rPr>
      <w:instrText xml:space="preserve">PAGE  </w:instrText>
    </w:r>
    <w:r>
      <w:rPr>
        <w:rStyle w:val="PageNumber"/>
      </w:rPr>
      <w:fldChar w:fldCharType="separate"/>
    </w:r>
    <w:r w:rsidR="00740377">
      <w:rPr>
        <w:rStyle w:val="PageNumber"/>
        <w:noProof/>
      </w:rPr>
      <w:t>2</w:t>
    </w:r>
    <w:r>
      <w:rPr>
        <w:rStyle w:val="PageNumber"/>
      </w:rPr>
      <w:fldChar w:fldCharType="end"/>
    </w:r>
    <w:r w:rsidR="00EA37EF">
      <w:rPr>
        <w:rStyle w:val="PageNumber"/>
      </w:rPr>
      <w:tab/>
    </w:r>
    <w:r w:rsidR="00EA37EF">
      <w:t>Unidad 9: Salvaguardia</w:t>
    </w:r>
    <w:r w:rsidR="00EA37EF">
      <w:rPr>
        <w:rStyle w:val="PageNumber"/>
      </w:rPr>
      <w:tab/>
    </w:r>
    <w:r w:rsidR="00EA37EF">
      <w:t>Notas para el Facilitador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Pr="004A4AD6" w:rsidRDefault="00EA37EF">
    <w:pPr>
      <w:pStyle w:val="Header"/>
    </w:pPr>
    <w:r>
      <w:t>Notas para el Facilitador</w:t>
    </w:r>
    <w:r>
      <w:tab/>
      <w:t>Unidad 9: Salvaguardia</w:t>
    </w:r>
    <w:r>
      <w:tab/>
    </w:r>
    <w:r w:rsidR="001224E1">
      <w:rPr>
        <w:rStyle w:val="PageNumber"/>
      </w:rPr>
      <w:fldChar w:fldCharType="begin"/>
    </w:r>
    <w:r>
      <w:rPr>
        <w:rStyle w:val="PageNumber"/>
      </w:rPr>
      <w:instrText xml:space="preserve"> PAGE </w:instrText>
    </w:r>
    <w:r w:rsidR="001224E1">
      <w:rPr>
        <w:rStyle w:val="PageNumber"/>
      </w:rPr>
      <w:fldChar w:fldCharType="separate"/>
    </w:r>
    <w:r w:rsidR="00740377">
      <w:rPr>
        <w:rStyle w:val="PageNumber"/>
        <w:noProof/>
      </w:rPr>
      <w:t>3</w:t>
    </w:r>
    <w:r w:rsidR="001224E1">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Pr="00FF459B" w:rsidRDefault="00EA37EF" w:rsidP="00E304A1">
    <w:pPr>
      <w:pStyle w:val="Header"/>
      <w:ind w:right="360"/>
    </w:pPr>
    <w:r>
      <w:rPr>
        <w:rStyle w:val="PageNumber"/>
      </w:rPr>
      <w:tab/>
    </w:r>
    <w:r>
      <w:t>Notas para el Facilitador</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Default="001224E1">
    <w:pPr>
      <w:pStyle w:val="Header"/>
    </w:pPr>
    <w:r>
      <w:rPr>
        <w:rStyle w:val="PageNumber"/>
      </w:rPr>
      <w:fldChar w:fldCharType="begin"/>
    </w:r>
    <w:r w:rsidR="00EA37EF">
      <w:rPr>
        <w:rStyle w:val="PageNumber"/>
      </w:rPr>
      <w:instrText xml:space="preserve"> PAGE </w:instrText>
    </w:r>
    <w:r>
      <w:rPr>
        <w:rStyle w:val="PageNumber"/>
      </w:rPr>
      <w:fldChar w:fldCharType="separate"/>
    </w:r>
    <w:r w:rsidR="00A27781">
      <w:rPr>
        <w:rStyle w:val="PageNumber"/>
        <w:noProof/>
      </w:rPr>
      <w:t>14</w:t>
    </w:r>
    <w:r>
      <w:rPr>
        <w:rStyle w:val="PageNumber"/>
      </w:rPr>
      <w:fldChar w:fldCharType="end"/>
    </w:r>
    <w:r w:rsidR="00EA37EF">
      <w:rPr>
        <w:rStyle w:val="PageNumber"/>
      </w:rPr>
      <w:tab/>
    </w:r>
    <w:r w:rsidR="00EA37EF">
      <w:t>Unit 15: Evaluation</w:t>
    </w:r>
    <w:r w:rsidR="00EA37EF">
      <w:tab/>
      <w:t>Hand-out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Pr="004A4AD6" w:rsidRDefault="00EA37EF" w:rsidP="00D25BBB">
    <w:pPr>
      <w:pStyle w:val="Header"/>
    </w:pPr>
    <w:r>
      <w:t>Hand-out</w:t>
    </w:r>
    <w:r>
      <w:tab/>
      <w:t>Unit 15: Evaluation</w:t>
    </w:r>
    <w:r w:rsidDel="006831F2">
      <w:rPr>
        <w:rStyle w:val="PageNumber"/>
      </w:rPr>
      <w:t xml:space="preserve"> </w:t>
    </w:r>
    <w:r>
      <w:tab/>
    </w:r>
    <w:r w:rsidR="001224E1">
      <w:rPr>
        <w:rStyle w:val="PageNumber"/>
      </w:rPr>
      <w:fldChar w:fldCharType="begin"/>
    </w:r>
    <w:r>
      <w:rPr>
        <w:rStyle w:val="PageNumber"/>
      </w:rPr>
      <w:instrText xml:space="preserve"> PAGE </w:instrText>
    </w:r>
    <w:r w:rsidR="001224E1">
      <w:rPr>
        <w:rStyle w:val="PageNumber"/>
      </w:rPr>
      <w:fldChar w:fldCharType="separate"/>
    </w:r>
    <w:r>
      <w:rPr>
        <w:rStyle w:val="PageNumber"/>
        <w:noProof/>
      </w:rPr>
      <w:t>3</w:t>
    </w:r>
    <w:r w:rsidR="001224E1">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EF" w:rsidRPr="005E2EF0" w:rsidRDefault="00EA37EF">
    <w:pPr>
      <w:pStyle w:val="Header"/>
    </w:pPr>
    <w:r>
      <w:t>Facilitator’s notes</w:t>
    </w:r>
    <w:r>
      <w:tab/>
      <w:t>Unit 9: Salvaguardia</w:t>
    </w:r>
    <w:r>
      <w:tab/>
    </w:r>
    <w:r w:rsidR="001224E1">
      <w:rPr>
        <w:rStyle w:val="PageNumber"/>
      </w:rPr>
      <w:fldChar w:fldCharType="begin"/>
    </w:r>
    <w:r>
      <w:rPr>
        <w:rStyle w:val="PageNumber"/>
      </w:rPr>
      <w:instrText xml:space="preserve"> PAGE </w:instrText>
    </w:r>
    <w:r w:rsidR="001224E1">
      <w:rPr>
        <w:rStyle w:val="PageNumber"/>
      </w:rPr>
      <w:fldChar w:fldCharType="separate"/>
    </w:r>
    <w:r w:rsidR="00740377">
      <w:rPr>
        <w:rStyle w:val="PageNumber"/>
        <w:noProof/>
      </w:rPr>
      <w:t>13</w:t>
    </w:r>
    <w:r w:rsidR="001224E1">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D471F2A"/>
    <w:multiLevelType w:val="hybridMultilevel"/>
    <w:tmpl w:val="956855B6"/>
    <w:lvl w:ilvl="0" w:tplc="BB54046A">
      <w:start w:val="15"/>
      <w:numFmt w:val="bullet"/>
      <w:lvlText w:val="•"/>
      <w:lvlJc w:val="left"/>
      <w:pPr>
        <w:tabs>
          <w:tab w:val="num" w:pos="1135"/>
        </w:tabs>
        <w:ind w:left="1135" w:hanging="284"/>
      </w:pPr>
      <w:rPr>
        <w:rFonts w:ascii="Arial" w:eastAsia="SimSu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8">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6">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8">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1">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1">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2">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3">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5">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6">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8">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2">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0">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2">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3">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5">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7">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0">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1">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47"/>
  </w:num>
  <w:num w:numId="3">
    <w:abstractNumId w:val="23"/>
  </w:num>
  <w:num w:numId="4">
    <w:abstractNumId w:val="80"/>
  </w:num>
  <w:num w:numId="5">
    <w:abstractNumId w:val="12"/>
  </w:num>
  <w:num w:numId="6">
    <w:abstractNumId w:val="58"/>
  </w:num>
  <w:num w:numId="7">
    <w:abstractNumId w:val="57"/>
  </w:num>
  <w:num w:numId="8">
    <w:abstractNumId w:val="9"/>
  </w:num>
  <w:num w:numId="9">
    <w:abstractNumId w:val="29"/>
  </w:num>
  <w:num w:numId="10">
    <w:abstractNumId w:val="8"/>
  </w:num>
  <w:num w:numId="11">
    <w:abstractNumId w:val="14"/>
  </w:num>
  <w:num w:numId="12">
    <w:abstractNumId w:val="67"/>
  </w:num>
  <w:num w:numId="13">
    <w:abstractNumId w:val="77"/>
  </w:num>
  <w:num w:numId="14">
    <w:abstractNumId w:val="31"/>
  </w:num>
  <w:num w:numId="15">
    <w:abstractNumId w:val="70"/>
  </w:num>
  <w:num w:numId="16">
    <w:abstractNumId w:val="18"/>
  </w:num>
  <w:num w:numId="17">
    <w:abstractNumId w:val="44"/>
  </w:num>
  <w:num w:numId="18">
    <w:abstractNumId w:val="39"/>
  </w:num>
  <w:num w:numId="19">
    <w:abstractNumId w:val="68"/>
  </w:num>
  <w:num w:numId="20">
    <w:abstractNumId w:val="50"/>
  </w:num>
  <w:num w:numId="21">
    <w:abstractNumId w:val="11"/>
  </w:num>
  <w:num w:numId="22">
    <w:abstractNumId w:val="5"/>
  </w:num>
  <w:num w:numId="23">
    <w:abstractNumId w:val="62"/>
  </w:num>
  <w:num w:numId="24">
    <w:abstractNumId w:val="41"/>
  </w:num>
  <w:num w:numId="25">
    <w:abstractNumId w:val="48"/>
  </w:num>
  <w:num w:numId="26">
    <w:abstractNumId w:val="22"/>
  </w:num>
  <w:num w:numId="27">
    <w:abstractNumId w:val="25"/>
  </w:num>
  <w:num w:numId="28">
    <w:abstractNumId w:val="40"/>
  </w:num>
  <w:num w:numId="29">
    <w:abstractNumId w:val="42"/>
  </w:num>
  <w:num w:numId="30">
    <w:abstractNumId w:val="54"/>
  </w:num>
  <w:num w:numId="31">
    <w:abstractNumId w:val="69"/>
  </w:num>
  <w:num w:numId="32">
    <w:abstractNumId w:val="72"/>
  </w:num>
  <w:num w:numId="33">
    <w:abstractNumId w:val="20"/>
  </w:num>
  <w:num w:numId="34">
    <w:abstractNumId w:val="0"/>
  </w:num>
  <w:num w:numId="35">
    <w:abstractNumId w:val="76"/>
  </w:num>
  <w:num w:numId="36">
    <w:abstractNumId w:val="28"/>
  </w:num>
  <w:num w:numId="37">
    <w:abstractNumId w:val="65"/>
  </w:num>
  <w:num w:numId="38">
    <w:abstractNumId w:val="76"/>
  </w:num>
  <w:num w:numId="39">
    <w:abstractNumId w:val="2"/>
  </w:num>
  <w:num w:numId="40">
    <w:abstractNumId w:val="60"/>
  </w:num>
  <w:num w:numId="41">
    <w:abstractNumId w:val="28"/>
    <w:lvlOverride w:ilvl="0">
      <w:startOverride w:val="1"/>
    </w:lvlOverride>
  </w:num>
  <w:num w:numId="42">
    <w:abstractNumId w:val="15"/>
  </w:num>
  <w:num w:numId="43">
    <w:abstractNumId w:val="43"/>
  </w:num>
  <w:num w:numId="44">
    <w:abstractNumId w:val="75"/>
  </w:num>
  <w:num w:numId="45">
    <w:abstractNumId w:val="32"/>
  </w:num>
  <w:num w:numId="46">
    <w:abstractNumId w:val="64"/>
  </w:num>
  <w:num w:numId="47">
    <w:abstractNumId w:val="32"/>
    <w:lvlOverride w:ilvl="0">
      <w:startOverride w:val="1"/>
    </w:lvlOverride>
  </w:num>
  <w:num w:numId="48">
    <w:abstractNumId w:val="42"/>
  </w:num>
  <w:num w:numId="49">
    <w:abstractNumId w:val="73"/>
  </w:num>
  <w:num w:numId="50">
    <w:abstractNumId w:val="32"/>
    <w:lvlOverride w:ilvl="0">
      <w:startOverride w:val="1"/>
    </w:lvlOverride>
  </w:num>
  <w:num w:numId="51">
    <w:abstractNumId w:val="26"/>
  </w:num>
  <w:num w:numId="52">
    <w:abstractNumId w:val="32"/>
    <w:lvlOverride w:ilvl="0">
      <w:startOverride w:val="1"/>
    </w:lvlOverride>
  </w:num>
  <w:num w:numId="53">
    <w:abstractNumId w:val="76"/>
  </w:num>
  <w:num w:numId="54">
    <w:abstractNumId w:val="76"/>
  </w:num>
  <w:num w:numId="55">
    <w:abstractNumId w:val="76"/>
  </w:num>
  <w:num w:numId="56">
    <w:abstractNumId w:val="76"/>
  </w:num>
  <w:num w:numId="57">
    <w:abstractNumId w:val="76"/>
  </w:num>
  <w:num w:numId="58">
    <w:abstractNumId w:val="81"/>
  </w:num>
  <w:num w:numId="59">
    <w:abstractNumId w:val="45"/>
  </w:num>
  <w:num w:numId="60">
    <w:abstractNumId w:val="4"/>
  </w:num>
  <w:num w:numId="61">
    <w:abstractNumId w:val="45"/>
    <w:lvlOverride w:ilvl="0">
      <w:startOverride w:val="1"/>
    </w:lvlOverride>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6"/>
  </w:num>
  <w:num w:numId="69">
    <w:abstractNumId w:val="45"/>
    <w:lvlOverride w:ilvl="0">
      <w:startOverride w:val="1"/>
    </w:lvlOverride>
  </w:num>
  <w:num w:numId="70">
    <w:abstractNumId w:val="45"/>
  </w:num>
  <w:num w:numId="71">
    <w:abstractNumId w:val="45"/>
  </w:num>
  <w:num w:numId="72">
    <w:abstractNumId w:val="45"/>
  </w:num>
  <w:num w:numId="73">
    <w:abstractNumId w:val="45"/>
  </w:num>
  <w:num w:numId="74">
    <w:abstractNumId w:val="45"/>
  </w:num>
  <w:num w:numId="75">
    <w:abstractNumId w:val="45"/>
  </w:num>
  <w:num w:numId="76">
    <w:abstractNumId w:val="45"/>
  </w:num>
  <w:num w:numId="77">
    <w:abstractNumId w:val="45"/>
  </w:num>
  <w:num w:numId="78">
    <w:abstractNumId w:val="30"/>
  </w:num>
  <w:num w:numId="79">
    <w:abstractNumId w:val="19"/>
  </w:num>
  <w:num w:numId="80">
    <w:abstractNumId w:val="45"/>
    <w:lvlOverride w:ilvl="0">
      <w:startOverride w:val="1"/>
    </w:lvlOverride>
  </w:num>
  <w:num w:numId="81">
    <w:abstractNumId w:val="59"/>
  </w:num>
  <w:num w:numId="82">
    <w:abstractNumId w:val="34"/>
  </w:num>
  <w:num w:numId="83">
    <w:abstractNumId w:val="38"/>
  </w:num>
  <w:num w:numId="84">
    <w:abstractNumId w:val="17"/>
  </w:num>
  <w:num w:numId="85">
    <w:abstractNumId w:val="45"/>
    <w:lvlOverride w:ilvl="0">
      <w:startOverride w:val="1"/>
    </w:lvlOverride>
  </w:num>
  <w:num w:numId="86">
    <w:abstractNumId w:val="3"/>
  </w:num>
  <w:num w:numId="87">
    <w:abstractNumId w:val="13"/>
  </w:num>
  <w:num w:numId="88">
    <w:abstractNumId w:val="45"/>
    <w:lvlOverride w:ilvl="0">
      <w:startOverride w:val="1"/>
    </w:lvlOverride>
  </w:num>
  <w:num w:numId="89">
    <w:abstractNumId w:val="33"/>
  </w:num>
  <w:num w:numId="90">
    <w:abstractNumId w:val="45"/>
    <w:lvlOverride w:ilvl="0">
      <w:startOverride w:val="1"/>
    </w:lvlOverride>
  </w:num>
  <w:num w:numId="91">
    <w:abstractNumId w:val="6"/>
  </w:num>
  <w:num w:numId="92">
    <w:abstractNumId w:val="49"/>
  </w:num>
  <w:num w:numId="93">
    <w:abstractNumId w:val="56"/>
  </w:num>
  <w:num w:numId="94">
    <w:abstractNumId w:val="53"/>
  </w:num>
  <w:num w:numId="95">
    <w:abstractNumId w:val="45"/>
    <w:lvlOverride w:ilvl="0">
      <w:startOverride w:val="2"/>
    </w:lvlOverride>
  </w:num>
  <w:num w:numId="96">
    <w:abstractNumId w:val="51"/>
  </w:num>
  <w:num w:numId="97">
    <w:abstractNumId w:val="66"/>
  </w:num>
  <w:num w:numId="98">
    <w:abstractNumId w:val="63"/>
  </w:num>
  <w:num w:numId="99">
    <w:abstractNumId w:val="36"/>
  </w:num>
  <w:num w:numId="100">
    <w:abstractNumId w:val="35"/>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7"/>
  </w:num>
  <w:num w:numId="109">
    <w:abstractNumId w:val="35"/>
    <w:lvlOverride w:ilvl="0">
      <w:startOverride w:val="1"/>
    </w:lvlOverride>
  </w:num>
  <w:num w:numId="110">
    <w:abstractNumId w:val="35"/>
  </w:num>
  <w:num w:numId="111">
    <w:abstractNumId w:val="35"/>
  </w:num>
  <w:num w:numId="112">
    <w:abstractNumId w:val="74"/>
  </w:num>
  <w:num w:numId="113">
    <w:abstractNumId w:val="79"/>
  </w:num>
  <w:num w:numId="114">
    <w:abstractNumId w:val="71"/>
  </w:num>
  <w:num w:numId="115">
    <w:abstractNumId w:val="35"/>
    <w:lvlOverride w:ilvl="0">
      <w:startOverride w:val="1"/>
    </w:lvlOverride>
  </w:num>
  <w:num w:numId="116">
    <w:abstractNumId w:val="52"/>
  </w:num>
  <w:num w:numId="117">
    <w:abstractNumId w:val="35"/>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7"/>
  </w:num>
  <w:num w:numId="124">
    <w:abstractNumId w:val="35"/>
    <w:lvlOverride w:ilvl="0">
      <w:startOverride w:val="1"/>
    </w:lvlOverride>
  </w:num>
  <w:num w:numId="125">
    <w:abstractNumId w:val="7"/>
  </w:num>
  <w:num w:numId="126">
    <w:abstractNumId w:val="7"/>
  </w:num>
  <w:num w:numId="127">
    <w:abstractNumId w:val="78"/>
  </w:num>
  <w:num w:numId="128">
    <w:abstractNumId w:val="35"/>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1"/>
  </w:num>
  <w:num w:numId="141">
    <w:abstractNumId w:val="35"/>
    <w:lvlOverride w:ilvl="0">
      <w:startOverride w:val="1"/>
    </w:lvlOverride>
  </w:num>
  <w:num w:numId="142">
    <w:abstractNumId w:val="63"/>
  </w:num>
  <w:num w:numId="143">
    <w:abstractNumId w:val="40"/>
  </w:num>
  <w:num w:numId="144">
    <w:abstractNumId w:val="24"/>
  </w:num>
  <w:num w:numId="145">
    <w:abstractNumId w:val="16"/>
  </w:num>
  <w:num w:numId="146">
    <w:abstractNumId w:val="35"/>
  </w:num>
  <w:num w:numId="147">
    <w:abstractNumId w:val="55"/>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10"/>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552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8D5"/>
    <w:rsid w:val="00010E39"/>
    <w:rsid w:val="000110B4"/>
    <w:rsid w:val="00011316"/>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2EE8"/>
    <w:rsid w:val="000331D1"/>
    <w:rsid w:val="00033278"/>
    <w:rsid w:val="0003387C"/>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51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23"/>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3F6"/>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33"/>
    <w:rsid w:val="00093197"/>
    <w:rsid w:val="00093309"/>
    <w:rsid w:val="0009355F"/>
    <w:rsid w:val="000935C4"/>
    <w:rsid w:val="00093AA1"/>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3C99"/>
    <w:rsid w:val="000C4148"/>
    <w:rsid w:val="000C4609"/>
    <w:rsid w:val="000C4648"/>
    <w:rsid w:val="000C47AA"/>
    <w:rsid w:val="000C4B48"/>
    <w:rsid w:val="000C4BFE"/>
    <w:rsid w:val="000C5312"/>
    <w:rsid w:val="000C53AF"/>
    <w:rsid w:val="000C5704"/>
    <w:rsid w:val="000C5802"/>
    <w:rsid w:val="000C590C"/>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69A1"/>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394"/>
    <w:rsid w:val="00117B05"/>
    <w:rsid w:val="00117ED6"/>
    <w:rsid w:val="00120085"/>
    <w:rsid w:val="001204CE"/>
    <w:rsid w:val="001204D9"/>
    <w:rsid w:val="0012088A"/>
    <w:rsid w:val="00120DE3"/>
    <w:rsid w:val="00121451"/>
    <w:rsid w:val="0012161C"/>
    <w:rsid w:val="00122172"/>
    <w:rsid w:val="001224E1"/>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2C8"/>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2F5"/>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916"/>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583"/>
    <w:rsid w:val="00180709"/>
    <w:rsid w:val="001808F7"/>
    <w:rsid w:val="00180AD6"/>
    <w:rsid w:val="00180B9B"/>
    <w:rsid w:val="00180C00"/>
    <w:rsid w:val="001817B8"/>
    <w:rsid w:val="00181C92"/>
    <w:rsid w:val="001823E6"/>
    <w:rsid w:val="001827F0"/>
    <w:rsid w:val="00182A77"/>
    <w:rsid w:val="00182AA1"/>
    <w:rsid w:val="001832A4"/>
    <w:rsid w:val="00183E32"/>
    <w:rsid w:val="00183E70"/>
    <w:rsid w:val="001842A4"/>
    <w:rsid w:val="00184352"/>
    <w:rsid w:val="00184B70"/>
    <w:rsid w:val="00184D25"/>
    <w:rsid w:val="00185005"/>
    <w:rsid w:val="001850CA"/>
    <w:rsid w:val="00185EDA"/>
    <w:rsid w:val="00185F71"/>
    <w:rsid w:val="001861AB"/>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2F0"/>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5A9"/>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93C"/>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6B1"/>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648F"/>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532"/>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6A"/>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B46"/>
    <w:rsid w:val="00297CA1"/>
    <w:rsid w:val="00297CC8"/>
    <w:rsid w:val="002A0CDC"/>
    <w:rsid w:val="002A162D"/>
    <w:rsid w:val="002A1EAE"/>
    <w:rsid w:val="002A1F59"/>
    <w:rsid w:val="002A21F4"/>
    <w:rsid w:val="002A2231"/>
    <w:rsid w:val="002A24FE"/>
    <w:rsid w:val="002A2767"/>
    <w:rsid w:val="002A278B"/>
    <w:rsid w:val="002A2A99"/>
    <w:rsid w:val="002A2D8F"/>
    <w:rsid w:val="002A2DAD"/>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1F06"/>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4C2"/>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235"/>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205"/>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22A7"/>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05A"/>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60A"/>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472"/>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CDA"/>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3D9A"/>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5F5"/>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133"/>
    <w:rsid w:val="00450280"/>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215"/>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662"/>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8E2"/>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BDD"/>
    <w:rsid w:val="004F6E69"/>
    <w:rsid w:val="004F6E9E"/>
    <w:rsid w:val="004F7673"/>
    <w:rsid w:val="004F7B39"/>
    <w:rsid w:val="004F7C67"/>
    <w:rsid w:val="0050074B"/>
    <w:rsid w:val="00500CED"/>
    <w:rsid w:val="00500F6D"/>
    <w:rsid w:val="005015B1"/>
    <w:rsid w:val="00501B76"/>
    <w:rsid w:val="00502658"/>
    <w:rsid w:val="005027AC"/>
    <w:rsid w:val="00502B21"/>
    <w:rsid w:val="00502B4B"/>
    <w:rsid w:val="00502CE5"/>
    <w:rsid w:val="00503160"/>
    <w:rsid w:val="00503B0A"/>
    <w:rsid w:val="00503B22"/>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58D"/>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5B7B"/>
    <w:rsid w:val="005462A4"/>
    <w:rsid w:val="00546AE0"/>
    <w:rsid w:val="00546C0A"/>
    <w:rsid w:val="00546D84"/>
    <w:rsid w:val="005470F4"/>
    <w:rsid w:val="00547191"/>
    <w:rsid w:val="00547393"/>
    <w:rsid w:val="005473B5"/>
    <w:rsid w:val="00547454"/>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57DB4"/>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CD"/>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838"/>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EF0"/>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75D"/>
    <w:rsid w:val="005E5807"/>
    <w:rsid w:val="005E58F0"/>
    <w:rsid w:val="005E5925"/>
    <w:rsid w:val="005E69C5"/>
    <w:rsid w:val="005E6E28"/>
    <w:rsid w:val="005E6F94"/>
    <w:rsid w:val="005E6FEB"/>
    <w:rsid w:val="005E700E"/>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C12"/>
    <w:rsid w:val="00604E4F"/>
    <w:rsid w:val="00604E6F"/>
    <w:rsid w:val="00605796"/>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27D2B"/>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61B"/>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850"/>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3C45"/>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94C"/>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0F52"/>
    <w:rsid w:val="006D1BE3"/>
    <w:rsid w:val="006D1FB9"/>
    <w:rsid w:val="006D35B7"/>
    <w:rsid w:val="006D37D7"/>
    <w:rsid w:val="006D395E"/>
    <w:rsid w:val="006D39D4"/>
    <w:rsid w:val="006D3A70"/>
    <w:rsid w:val="006D3D6B"/>
    <w:rsid w:val="006D44BE"/>
    <w:rsid w:val="006D4727"/>
    <w:rsid w:val="006D4778"/>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2CE2"/>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2D2"/>
    <w:rsid w:val="006F5649"/>
    <w:rsid w:val="006F6090"/>
    <w:rsid w:val="006F665E"/>
    <w:rsid w:val="006F6BF9"/>
    <w:rsid w:val="006F6C8E"/>
    <w:rsid w:val="006F6F12"/>
    <w:rsid w:val="006F75E6"/>
    <w:rsid w:val="006F776D"/>
    <w:rsid w:val="006F78A7"/>
    <w:rsid w:val="0070069E"/>
    <w:rsid w:val="007006FF"/>
    <w:rsid w:val="00700CE8"/>
    <w:rsid w:val="00700F11"/>
    <w:rsid w:val="0070150F"/>
    <w:rsid w:val="007017FC"/>
    <w:rsid w:val="00701890"/>
    <w:rsid w:val="0070195C"/>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CC4"/>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B5"/>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77"/>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0924"/>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5C3B"/>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85F"/>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47B"/>
    <w:rsid w:val="007A48EC"/>
    <w:rsid w:val="007A4A9F"/>
    <w:rsid w:val="007A4BEF"/>
    <w:rsid w:val="007A5CD3"/>
    <w:rsid w:val="007A5CD7"/>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4E4"/>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550"/>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454"/>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C1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3D8E"/>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9BD"/>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160"/>
    <w:rsid w:val="0086281C"/>
    <w:rsid w:val="00862BAE"/>
    <w:rsid w:val="00862C25"/>
    <w:rsid w:val="00862CC0"/>
    <w:rsid w:val="0086319C"/>
    <w:rsid w:val="008631E5"/>
    <w:rsid w:val="0086350E"/>
    <w:rsid w:val="00863A44"/>
    <w:rsid w:val="00863BA9"/>
    <w:rsid w:val="00863E83"/>
    <w:rsid w:val="00864139"/>
    <w:rsid w:val="008641E9"/>
    <w:rsid w:val="00864723"/>
    <w:rsid w:val="008652EA"/>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88C"/>
    <w:rsid w:val="00871A9E"/>
    <w:rsid w:val="00871C69"/>
    <w:rsid w:val="00871E9C"/>
    <w:rsid w:val="00872099"/>
    <w:rsid w:val="008726E9"/>
    <w:rsid w:val="0087303B"/>
    <w:rsid w:val="008734E8"/>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9E9"/>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1CF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575"/>
    <w:rsid w:val="00886A15"/>
    <w:rsid w:val="00887C66"/>
    <w:rsid w:val="00887D11"/>
    <w:rsid w:val="0089005C"/>
    <w:rsid w:val="008904CA"/>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5D66"/>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233"/>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241"/>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6B35"/>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17CDD"/>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611"/>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73C"/>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45F0"/>
    <w:rsid w:val="00A1569F"/>
    <w:rsid w:val="00A15889"/>
    <w:rsid w:val="00A15B3E"/>
    <w:rsid w:val="00A160E5"/>
    <w:rsid w:val="00A162F8"/>
    <w:rsid w:val="00A164F8"/>
    <w:rsid w:val="00A16789"/>
    <w:rsid w:val="00A16B47"/>
    <w:rsid w:val="00A173A9"/>
    <w:rsid w:val="00A2002F"/>
    <w:rsid w:val="00A201D1"/>
    <w:rsid w:val="00A20408"/>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5B8C"/>
    <w:rsid w:val="00A26176"/>
    <w:rsid w:val="00A267D3"/>
    <w:rsid w:val="00A26F22"/>
    <w:rsid w:val="00A27145"/>
    <w:rsid w:val="00A2722F"/>
    <w:rsid w:val="00A272EF"/>
    <w:rsid w:val="00A274A4"/>
    <w:rsid w:val="00A27781"/>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16"/>
    <w:rsid w:val="00A36765"/>
    <w:rsid w:val="00A36A11"/>
    <w:rsid w:val="00A36FC3"/>
    <w:rsid w:val="00A371DD"/>
    <w:rsid w:val="00A373B6"/>
    <w:rsid w:val="00A37406"/>
    <w:rsid w:val="00A4012C"/>
    <w:rsid w:val="00A405E4"/>
    <w:rsid w:val="00A40648"/>
    <w:rsid w:val="00A40844"/>
    <w:rsid w:val="00A40919"/>
    <w:rsid w:val="00A4134C"/>
    <w:rsid w:val="00A415E4"/>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6FE8"/>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687"/>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4D23"/>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387"/>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A90"/>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15"/>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045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324"/>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1E8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D7FF6"/>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C18"/>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072"/>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45CC"/>
    <w:rsid w:val="00C852D5"/>
    <w:rsid w:val="00C85822"/>
    <w:rsid w:val="00C85930"/>
    <w:rsid w:val="00C85A52"/>
    <w:rsid w:val="00C85B1A"/>
    <w:rsid w:val="00C8605E"/>
    <w:rsid w:val="00C860F7"/>
    <w:rsid w:val="00C8651C"/>
    <w:rsid w:val="00C8715E"/>
    <w:rsid w:val="00C871CF"/>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2E3E"/>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7A"/>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5512"/>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DE"/>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78"/>
    <w:rsid w:val="00D00B94"/>
    <w:rsid w:val="00D00EF5"/>
    <w:rsid w:val="00D01FA7"/>
    <w:rsid w:val="00D02545"/>
    <w:rsid w:val="00D0276D"/>
    <w:rsid w:val="00D02896"/>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D54"/>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0E5C"/>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54C"/>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1953"/>
    <w:rsid w:val="00D721D6"/>
    <w:rsid w:val="00D72859"/>
    <w:rsid w:val="00D72911"/>
    <w:rsid w:val="00D72DBE"/>
    <w:rsid w:val="00D72F0A"/>
    <w:rsid w:val="00D730E1"/>
    <w:rsid w:val="00D732A9"/>
    <w:rsid w:val="00D73436"/>
    <w:rsid w:val="00D73A21"/>
    <w:rsid w:val="00D73BD3"/>
    <w:rsid w:val="00D740F0"/>
    <w:rsid w:val="00D74211"/>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527"/>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8BD"/>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23D"/>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18D6"/>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4A1"/>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3E"/>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BE0"/>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0D8"/>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7EF"/>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394"/>
    <w:rsid w:val="00EB0634"/>
    <w:rsid w:val="00EB0667"/>
    <w:rsid w:val="00EB08DC"/>
    <w:rsid w:val="00EB0CA5"/>
    <w:rsid w:val="00EB1648"/>
    <w:rsid w:val="00EB1683"/>
    <w:rsid w:val="00EB16B6"/>
    <w:rsid w:val="00EB1BFE"/>
    <w:rsid w:val="00EB1FCC"/>
    <w:rsid w:val="00EB2722"/>
    <w:rsid w:val="00EB2881"/>
    <w:rsid w:val="00EB31E1"/>
    <w:rsid w:val="00EB399B"/>
    <w:rsid w:val="00EB3E28"/>
    <w:rsid w:val="00EB3F85"/>
    <w:rsid w:val="00EB424C"/>
    <w:rsid w:val="00EB4924"/>
    <w:rsid w:val="00EB4A9F"/>
    <w:rsid w:val="00EB5261"/>
    <w:rsid w:val="00EB5271"/>
    <w:rsid w:val="00EB535D"/>
    <w:rsid w:val="00EB565A"/>
    <w:rsid w:val="00EB5B69"/>
    <w:rsid w:val="00EB5ECE"/>
    <w:rsid w:val="00EB615E"/>
    <w:rsid w:val="00EB6245"/>
    <w:rsid w:val="00EB663D"/>
    <w:rsid w:val="00EB6B70"/>
    <w:rsid w:val="00EB7FF6"/>
    <w:rsid w:val="00EC032B"/>
    <w:rsid w:val="00EC094A"/>
    <w:rsid w:val="00EC0A05"/>
    <w:rsid w:val="00EC0B8A"/>
    <w:rsid w:val="00EC0E3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E7"/>
    <w:rsid w:val="00EC66F3"/>
    <w:rsid w:val="00EC70A6"/>
    <w:rsid w:val="00EC74B2"/>
    <w:rsid w:val="00EC7C3E"/>
    <w:rsid w:val="00ED0107"/>
    <w:rsid w:val="00ED13EE"/>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D2E"/>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D75"/>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AB9"/>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BF6"/>
    <w:rsid w:val="00F13D41"/>
    <w:rsid w:val="00F144D5"/>
    <w:rsid w:val="00F152FB"/>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99B"/>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AB"/>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0F6E"/>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21B"/>
    <w:rsid w:val="00F5431B"/>
    <w:rsid w:val="00F5436B"/>
    <w:rsid w:val="00F54480"/>
    <w:rsid w:val="00F54AE7"/>
    <w:rsid w:val="00F54B8D"/>
    <w:rsid w:val="00F54E26"/>
    <w:rsid w:val="00F555E9"/>
    <w:rsid w:val="00F5590B"/>
    <w:rsid w:val="00F55B66"/>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11C"/>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A56"/>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55F7"/>
    <w:rsid w:val="00F96450"/>
    <w:rsid w:val="00F964B6"/>
    <w:rsid w:val="00F96548"/>
    <w:rsid w:val="00F9686A"/>
    <w:rsid w:val="00F96DD1"/>
    <w:rsid w:val="00F9705B"/>
    <w:rsid w:val="00F971D6"/>
    <w:rsid w:val="00F97549"/>
    <w:rsid w:val="00F97BB0"/>
    <w:rsid w:val="00F97FF1"/>
    <w:rsid w:val="00FA0202"/>
    <w:rsid w:val="00FA028E"/>
    <w:rsid w:val="00FA04E6"/>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A55"/>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6CD"/>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4A9D"/>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uiPriority w:val="10"/>
    <w:qFormat/>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uiPriority w:val="10"/>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BodyText">
    <w:name w:val="Body Text"/>
    <w:basedOn w:val="Normal"/>
    <w:link w:val="BodyTextChar"/>
    <w:uiPriority w:val="99"/>
    <w:rsid w:val="00CB657A"/>
    <w:rPr>
      <w:rFonts w:cs="Times New Roman"/>
      <w:sz w:val="20"/>
      <w:szCs w:val="20"/>
      <w:lang w:val="en-ZA"/>
    </w:rPr>
  </w:style>
  <w:style w:type="character" w:customStyle="1" w:styleId="BodyTextChar">
    <w:name w:val="Body Text Char"/>
    <w:basedOn w:val="DefaultParagraphFont"/>
    <w:link w:val="BodyText"/>
    <w:uiPriority w:val="99"/>
    <w:rsid w:val="00CB657A"/>
    <w:rPr>
      <w:rFonts w:ascii="Arial" w:eastAsia="SimSun" w:hAnsi="Arial"/>
      <w:snapToGrid w:val="0"/>
      <w:lang w:val="en-Z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uiPriority w:val="10"/>
    <w:qFormat/>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uiPriority w:val="10"/>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BodyText">
    <w:name w:val="Body Text"/>
    <w:basedOn w:val="Normal"/>
    <w:link w:val="BodyTextChar"/>
    <w:uiPriority w:val="99"/>
    <w:rsid w:val="00CB657A"/>
    <w:rPr>
      <w:rFonts w:cs="Times New Roman"/>
      <w:sz w:val="20"/>
      <w:szCs w:val="20"/>
      <w:lang w:val="en-ZA"/>
    </w:rPr>
  </w:style>
  <w:style w:type="character" w:customStyle="1" w:styleId="BodyTextChar">
    <w:name w:val="Body Text Char"/>
    <w:basedOn w:val="DefaultParagraphFont"/>
    <w:link w:val="BodyText"/>
    <w:uiPriority w:val="99"/>
    <w:rsid w:val="00CB657A"/>
    <w:rPr>
      <w:rFonts w:ascii="Arial" w:eastAsia="SimSun" w:hAnsi="Arial"/>
      <w:snapToGrid w:val="0"/>
      <w:lang w:val="en-Z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19921845">
      <w:bodyDiv w:val="1"/>
      <w:marLeft w:val="0"/>
      <w:marRight w:val="0"/>
      <w:marTop w:val="0"/>
      <w:marBottom w:val="0"/>
      <w:divBdr>
        <w:top w:val="none" w:sz="0" w:space="0" w:color="auto"/>
        <w:left w:val="none" w:sz="0" w:space="0" w:color="auto"/>
        <w:bottom w:val="none" w:sz="0" w:space="0" w:color="auto"/>
        <w:right w:val="none" w:sz="0" w:space="0" w:color="auto"/>
      </w:divBdr>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62282193">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sco.org/culture/ich/en/RL/00175" TargetMode="External"/><Relationship Id="rId18" Type="http://schemas.openxmlformats.org/officeDocument/2006/relationships/header" Target="header3.xml"/><Relationship Id="rId26" Type="http://schemas.openxmlformats.org/officeDocument/2006/relationships/footer" Target="footer6.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6.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yperlink" Target="http://www.unesco.org/culture/ich/index.php?lg=es&amp;pg=00011&amp;USL=00322" TargetMode="Externa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s&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9CBC8-0129-49CD-AA14-D42DDEF92BC8}">
  <ds:schemaRefs>
    <ds:schemaRef ds:uri="http://schemas.openxmlformats.org/officeDocument/2006/bibliography"/>
  </ds:schemaRefs>
</ds:datastoreItem>
</file>

<file path=customXml/itemProps2.xml><?xml version="1.0" encoding="utf-8"?>
<ds:datastoreItem xmlns:ds="http://schemas.openxmlformats.org/officeDocument/2006/customXml" ds:itemID="{489D60CC-E085-43C1-AF02-BC634109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4021</Words>
  <Characters>22118</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26087</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2015-09-18T13:11:00Z</dcterms:created>
  <dcterms:modified xsi:type="dcterms:W3CDTF">2015-09-28T09:50:00Z</dcterms:modified>
</cp:coreProperties>
</file>