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0DD66" w14:textId="77777777" w:rsidR="007074E3" w:rsidRPr="00FC10F2" w:rsidRDefault="00F90193" w:rsidP="004936EF">
      <w:pPr>
        <w:pStyle w:val="Chapitre"/>
        <w:rPr>
          <w:kern w:val="0"/>
          <w:lang w:val="es-ES"/>
        </w:rPr>
      </w:pPr>
      <w:r w:rsidRPr="00FC10F2">
        <w:rPr>
          <w:b w:val="0"/>
          <w:caps w:val="0"/>
          <w:sz w:val="20"/>
          <w:szCs w:val="20"/>
          <w:lang w:val="fr-FR" w:eastAsia="zh-TW"/>
        </w:rPr>
        <w:drawing>
          <wp:anchor distT="0" distB="0" distL="114300" distR="114300" simplePos="0" relativeHeight="251672576" behindDoc="1" locked="1" layoutInCell="1" allowOverlap="0" wp14:anchorId="4721077C" wp14:editId="5928FE01">
            <wp:simplePos x="0" y="0"/>
            <wp:positionH relativeFrom="margin">
              <wp:posOffset>426085</wp:posOffset>
            </wp:positionH>
            <wp:positionV relativeFrom="margin">
              <wp:posOffset>2120265</wp:posOffset>
            </wp:positionV>
            <wp:extent cx="4865370" cy="4297680"/>
            <wp:effectExtent l="1905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5370" cy="4297680"/>
                    </a:xfrm>
                    <a:prstGeom prst="rect">
                      <a:avLst/>
                    </a:prstGeom>
                  </pic:spPr>
                </pic:pic>
              </a:graphicData>
            </a:graphic>
          </wp:anchor>
        </w:drawing>
      </w:r>
      <w:bookmarkStart w:id="0" w:name="_Toc241644715"/>
      <w:bookmarkStart w:id="1" w:name="_Toc302374685"/>
      <w:r w:rsidR="00C4640B" w:rsidRPr="00FC10F2">
        <w:rPr>
          <w:kern w:val="0"/>
          <w:lang w:val="es-ES"/>
        </w:rPr>
        <w:t>Uni</w:t>
      </w:r>
      <w:r w:rsidR="001F081A" w:rsidRPr="00FC10F2">
        <w:rPr>
          <w:kern w:val="0"/>
          <w:lang w:val="es-ES"/>
        </w:rPr>
        <w:t>dad</w:t>
      </w:r>
      <w:r w:rsidR="00C4640B" w:rsidRPr="00FC10F2">
        <w:rPr>
          <w:kern w:val="0"/>
          <w:lang w:val="es-ES"/>
        </w:rPr>
        <w:t xml:space="preserve"> </w:t>
      </w:r>
      <w:r w:rsidR="00B808E4" w:rsidRPr="00FC10F2">
        <w:rPr>
          <w:kern w:val="0"/>
          <w:lang w:val="es-ES"/>
        </w:rPr>
        <w:t>7</w:t>
      </w:r>
      <w:bookmarkEnd w:id="0"/>
    </w:p>
    <w:p w14:paraId="0A8A54D2" w14:textId="4FF13EFE" w:rsidR="00F90193" w:rsidRDefault="007C037F" w:rsidP="007C037F">
      <w:pPr>
        <w:pStyle w:val="UPlan"/>
        <w:spacing w:before="520"/>
        <w:rPr>
          <w:rFonts w:eastAsia="Calibri"/>
          <w:kern w:val="0"/>
          <w:sz w:val="44"/>
          <w:szCs w:val="44"/>
          <w:lang w:val="es-ES"/>
        </w:rPr>
      </w:pPr>
      <w:bookmarkStart w:id="2" w:name="_Toc241644716"/>
      <w:r w:rsidRPr="00FC10F2">
        <w:rPr>
          <w:rFonts w:eastAsia="Calibri"/>
          <w:kern w:val="0"/>
          <w:sz w:val="44"/>
          <w:szCs w:val="44"/>
          <w:lang w:val="es-ES"/>
        </w:rPr>
        <w:t>participación de las</w:t>
      </w:r>
      <w:r w:rsidRPr="00FC10F2">
        <w:rPr>
          <w:rFonts w:eastAsia="Calibri"/>
          <w:kern w:val="0"/>
          <w:sz w:val="44"/>
          <w:szCs w:val="44"/>
          <w:lang w:val="es-ES"/>
        </w:rPr>
        <w:br/>
        <w:t>comunidades interesadas</w:t>
      </w:r>
    </w:p>
    <w:p w14:paraId="382345BD" w14:textId="3B5C65ED" w:rsidR="00026030" w:rsidRPr="008F47CC" w:rsidRDefault="00026030" w:rsidP="00026030">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587691">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14:paraId="3C373B54" w14:textId="77777777" w:rsidR="00026030" w:rsidRPr="008F47CC" w:rsidRDefault="00026030" w:rsidP="00026030">
      <w:pPr>
        <w:pStyle w:val="BodyText"/>
        <w:jc w:val="left"/>
        <w:rPr>
          <w:rFonts w:ascii="Arial" w:hAnsi="Arial" w:cs="Arial"/>
          <w:sz w:val="22"/>
          <w:szCs w:val="22"/>
          <w:lang w:val="es-ES_tradnl"/>
        </w:rPr>
      </w:pPr>
    </w:p>
    <w:p w14:paraId="2DEBCCEC" w14:textId="55037200" w:rsidR="00026030" w:rsidRPr="001C0C8C" w:rsidRDefault="00026030" w:rsidP="00026030">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587691">
        <w:rPr>
          <w:rFonts w:ascii="Arial" w:hAnsi="Arial" w:cs="Arial"/>
          <w:sz w:val="22"/>
          <w:szCs w:val="22"/>
          <w:lang w:val="es-ES_tradnl"/>
        </w:rPr>
        <w:t>2016</w:t>
      </w:r>
    </w:p>
    <w:p w14:paraId="4A21578B" w14:textId="77777777" w:rsidR="00026030" w:rsidRPr="001C0C8C" w:rsidRDefault="00026030" w:rsidP="00026030">
      <w:pPr>
        <w:autoSpaceDE w:val="0"/>
        <w:autoSpaceDN w:val="0"/>
        <w:adjustRightInd w:val="0"/>
        <w:rPr>
          <w:szCs w:val="22"/>
          <w:lang w:val="es-ES_tradnl"/>
        </w:rPr>
      </w:pPr>
    </w:p>
    <w:p w14:paraId="7C285937" w14:textId="77777777" w:rsidR="00026030" w:rsidRPr="001C0C8C" w:rsidRDefault="00026030" w:rsidP="00026030">
      <w:pPr>
        <w:autoSpaceDE w:val="0"/>
        <w:autoSpaceDN w:val="0"/>
        <w:adjustRightInd w:val="0"/>
        <w:rPr>
          <w:szCs w:val="22"/>
          <w:lang w:val="es-ES_tradnl"/>
        </w:rPr>
      </w:pPr>
      <w:r w:rsidRPr="001C0C8C">
        <w:rPr>
          <w:noProof/>
          <w:szCs w:val="22"/>
          <w:lang w:val="fr-FR" w:eastAsia="zh-TW"/>
        </w:rPr>
        <w:drawing>
          <wp:inline distT="0" distB="0" distL="0" distR="0" wp14:anchorId="350A0626" wp14:editId="5C9AAB8E">
            <wp:extent cx="756527" cy="266031"/>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2F39E80" w14:textId="77777777" w:rsidR="00026030" w:rsidRPr="001C0C8C" w:rsidRDefault="00026030" w:rsidP="00026030">
      <w:pPr>
        <w:autoSpaceDE w:val="0"/>
        <w:autoSpaceDN w:val="0"/>
        <w:adjustRightInd w:val="0"/>
        <w:rPr>
          <w:szCs w:val="22"/>
          <w:lang w:val="es-ES_tradnl"/>
        </w:rPr>
      </w:pPr>
    </w:p>
    <w:p w14:paraId="4714505E" w14:textId="77777777" w:rsidR="00026030" w:rsidRPr="001C0C8C" w:rsidRDefault="00026030" w:rsidP="00026030">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2"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3"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14:paraId="715C0501" w14:textId="77777777" w:rsidR="00026030" w:rsidRDefault="00026030" w:rsidP="00026030">
      <w:pPr>
        <w:autoSpaceDE w:val="0"/>
        <w:autoSpaceDN w:val="0"/>
        <w:adjustRightInd w:val="0"/>
        <w:rPr>
          <w:szCs w:val="22"/>
          <w:lang w:val="es-ES_tradnl"/>
        </w:rPr>
      </w:pPr>
    </w:p>
    <w:p w14:paraId="7238F5EA" w14:textId="77777777" w:rsidR="00026030" w:rsidRPr="001C0C8C" w:rsidRDefault="00026030" w:rsidP="00026030">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0E3F0A45" w14:textId="77777777" w:rsidR="00026030" w:rsidRPr="001C0C8C" w:rsidRDefault="00026030" w:rsidP="00026030">
      <w:pPr>
        <w:pStyle w:val="BodyText"/>
        <w:jc w:val="left"/>
        <w:rPr>
          <w:rFonts w:ascii="Arial" w:hAnsi="Arial" w:cs="Arial"/>
          <w:bCs/>
          <w:iCs/>
          <w:sz w:val="22"/>
          <w:szCs w:val="22"/>
          <w:lang w:val="es-ES_tradnl"/>
        </w:rPr>
      </w:pPr>
    </w:p>
    <w:p w14:paraId="2379C113" w14:textId="513F5D05" w:rsidR="00026030" w:rsidRPr="008F47CC" w:rsidRDefault="00026030" w:rsidP="00026030">
      <w:pPr>
        <w:autoSpaceDE w:val="0"/>
        <w:autoSpaceDN w:val="0"/>
        <w:adjustRightInd w:val="0"/>
        <w:rPr>
          <w:szCs w:val="22"/>
          <w:lang w:val="es-ES_tradnl"/>
        </w:rPr>
      </w:pPr>
      <w:r w:rsidRPr="008F47CC">
        <w:rPr>
          <w:szCs w:val="22"/>
          <w:lang w:val="es-ES_tradnl"/>
        </w:rPr>
        <w:t xml:space="preserve">Título original: </w:t>
      </w:r>
      <w:r w:rsidRPr="00ED6FD6">
        <w:rPr>
          <w:szCs w:val="22"/>
        </w:rPr>
        <w:t>Involving the communities concerned</w:t>
      </w:r>
    </w:p>
    <w:p w14:paraId="10F0BEBC" w14:textId="2F45A848" w:rsidR="00026030" w:rsidRPr="008F47CC" w:rsidRDefault="00026030" w:rsidP="00026030">
      <w:pPr>
        <w:autoSpaceDE w:val="0"/>
        <w:autoSpaceDN w:val="0"/>
        <w:adjustRightInd w:val="0"/>
        <w:rPr>
          <w:szCs w:val="22"/>
          <w:lang w:val="es-ES_tradnl"/>
        </w:rPr>
      </w:pPr>
      <w:r w:rsidRPr="008F47CC">
        <w:rPr>
          <w:szCs w:val="22"/>
          <w:lang w:val="es-ES_tradnl"/>
        </w:rPr>
        <w:t xml:space="preserve">Publicado en </w:t>
      </w:r>
      <w:r w:rsidR="00587691">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14:paraId="7ED1FB0C" w14:textId="77777777" w:rsidR="00026030" w:rsidRPr="008F47CC" w:rsidRDefault="00026030" w:rsidP="00026030">
      <w:pPr>
        <w:autoSpaceDE w:val="0"/>
        <w:autoSpaceDN w:val="0"/>
        <w:adjustRightInd w:val="0"/>
        <w:rPr>
          <w:szCs w:val="22"/>
          <w:lang w:val="es-ES_tradnl"/>
        </w:rPr>
      </w:pPr>
    </w:p>
    <w:p w14:paraId="589909DF" w14:textId="77777777" w:rsidR="00026030" w:rsidRPr="001C0C8C" w:rsidRDefault="00026030" w:rsidP="00026030">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021C9C70" w14:textId="77777777" w:rsidR="00026030" w:rsidRPr="001C0C8C" w:rsidRDefault="00026030" w:rsidP="00026030">
      <w:pPr>
        <w:pStyle w:val="BodyText"/>
        <w:jc w:val="left"/>
        <w:rPr>
          <w:rFonts w:ascii="Arial" w:hAnsi="Arial" w:cs="Arial"/>
          <w:bCs/>
          <w:iCs/>
          <w:sz w:val="22"/>
          <w:szCs w:val="22"/>
          <w:lang w:val="es-ES_tradnl"/>
        </w:rPr>
      </w:pPr>
    </w:p>
    <w:p w14:paraId="1EAA21CC" w14:textId="77777777" w:rsidR="00026030" w:rsidRDefault="00026030" w:rsidP="00026030">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7FDF4FEC" w14:textId="77777777" w:rsidR="00026030" w:rsidRDefault="00026030" w:rsidP="00026030">
      <w:pPr>
        <w:rPr>
          <w:bCs/>
          <w:iCs/>
          <w:szCs w:val="22"/>
          <w:lang w:val="es-ES_tradnl"/>
        </w:rPr>
      </w:pPr>
      <w:r>
        <w:rPr>
          <w:bCs/>
          <w:iCs/>
          <w:szCs w:val="22"/>
          <w:lang w:val="es-ES_tradnl"/>
        </w:rPr>
        <w:br w:type="page"/>
      </w:r>
    </w:p>
    <w:bookmarkEnd w:id="1"/>
    <w:p w14:paraId="77E4A9B2" w14:textId="77777777" w:rsidR="00F90193" w:rsidRPr="00FC10F2" w:rsidRDefault="007C037F" w:rsidP="004936EF">
      <w:pPr>
        <w:pStyle w:val="Titcoul"/>
        <w:rPr>
          <w:lang w:val="es-ES"/>
        </w:rPr>
      </w:pPr>
      <w:r w:rsidRPr="00FC10F2">
        <w:rPr>
          <w:lang w:val="es-ES"/>
        </w:rPr>
        <w:lastRenderedPageBreak/>
        <w:t>plan de la lección</w:t>
      </w:r>
    </w:p>
    <w:bookmarkEnd w:id="2"/>
    <w:p w14:paraId="1A4F0559" w14:textId="77777777" w:rsidR="0033097C" w:rsidRPr="00FC10F2" w:rsidRDefault="007074E3" w:rsidP="00F90193">
      <w:pPr>
        <w:pStyle w:val="UTit4"/>
        <w:rPr>
          <w:lang w:val="es-ES"/>
        </w:rPr>
      </w:pPr>
      <w:r w:rsidRPr="00FC10F2">
        <w:rPr>
          <w:lang w:val="es-ES"/>
        </w:rPr>
        <w:t>Dura</w:t>
      </w:r>
      <w:r w:rsidR="001F081A" w:rsidRPr="00FC10F2">
        <w:rPr>
          <w:lang w:val="es-ES"/>
        </w:rPr>
        <w:t>ció</w:t>
      </w:r>
      <w:r w:rsidRPr="00FC10F2">
        <w:rPr>
          <w:lang w:val="es-ES"/>
        </w:rPr>
        <w:t xml:space="preserve">n: </w:t>
      </w:r>
    </w:p>
    <w:p w14:paraId="648CDD0E" w14:textId="77777777" w:rsidR="007074E3" w:rsidRPr="00FC10F2" w:rsidRDefault="007074E3" w:rsidP="0063677A">
      <w:pPr>
        <w:pStyle w:val="UTxt"/>
        <w:rPr>
          <w:i w:val="0"/>
          <w:lang w:val="es-ES"/>
        </w:rPr>
      </w:pPr>
      <w:r w:rsidRPr="00FC10F2">
        <w:rPr>
          <w:i w:val="0"/>
          <w:lang w:val="es-ES"/>
        </w:rPr>
        <w:t>2 h</w:t>
      </w:r>
      <w:r w:rsidR="001F081A" w:rsidRPr="00FC10F2">
        <w:rPr>
          <w:i w:val="0"/>
          <w:lang w:val="es-ES"/>
        </w:rPr>
        <w:t>oras</w:t>
      </w:r>
      <w:r w:rsidRPr="00FC10F2">
        <w:rPr>
          <w:i w:val="0"/>
          <w:lang w:val="es-ES"/>
        </w:rPr>
        <w:t xml:space="preserve"> (</w:t>
      </w:r>
      <w:r w:rsidR="00063F83" w:rsidRPr="00FC10F2">
        <w:rPr>
          <w:i w:val="0"/>
          <w:lang w:val="es-ES"/>
        </w:rPr>
        <w:t xml:space="preserve">a las que </w:t>
      </w:r>
      <w:r w:rsidR="007C037F" w:rsidRPr="00FC10F2">
        <w:rPr>
          <w:i w:val="0"/>
          <w:lang w:val="es-ES"/>
        </w:rPr>
        <w:t>será necesario</w:t>
      </w:r>
      <w:r w:rsidR="00063F83" w:rsidRPr="00FC10F2">
        <w:rPr>
          <w:i w:val="0"/>
          <w:lang w:val="es-ES"/>
        </w:rPr>
        <w:t xml:space="preserve"> añadir</w:t>
      </w:r>
      <w:r w:rsidR="00350EE3" w:rsidRPr="00FC10F2">
        <w:rPr>
          <w:i w:val="0"/>
          <w:lang w:val="es-ES"/>
        </w:rPr>
        <w:t xml:space="preserve"> </w:t>
      </w:r>
      <w:r w:rsidR="007C037F" w:rsidRPr="00FC10F2">
        <w:rPr>
          <w:i w:val="0"/>
          <w:lang w:val="es-ES"/>
        </w:rPr>
        <w:t xml:space="preserve">tiempo suplementario </w:t>
      </w:r>
      <w:r w:rsidR="00877EA3" w:rsidRPr="00FC10F2">
        <w:rPr>
          <w:i w:val="0"/>
          <w:lang w:val="es-ES"/>
        </w:rPr>
        <w:t>si se</w:t>
      </w:r>
      <w:r w:rsidR="007C037F" w:rsidRPr="00FC10F2">
        <w:rPr>
          <w:i w:val="0"/>
          <w:lang w:val="es-ES"/>
        </w:rPr>
        <w:t xml:space="preserve"> realiza</w:t>
      </w:r>
      <w:r w:rsidR="00877EA3" w:rsidRPr="00FC10F2">
        <w:rPr>
          <w:i w:val="0"/>
          <w:lang w:val="es-ES"/>
        </w:rPr>
        <w:t xml:space="preserve">n </w:t>
      </w:r>
      <w:r w:rsidR="00063F83" w:rsidRPr="00FC10F2">
        <w:rPr>
          <w:i w:val="0"/>
          <w:lang w:val="es-ES"/>
        </w:rPr>
        <w:t>los</w:t>
      </w:r>
      <w:r w:rsidR="00350EE3" w:rsidRPr="00FC10F2">
        <w:rPr>
          <w:i w:val="0"/>
          <w:lang w:val="es-ES"/>
        </w:rPr>
        <w:t xml:space="preserve"> ejercicio</w:t>
      </w:r>
      <w:r w:rsidR="00063F83" w:rsidRPr="00FC10F2">
        <w:rPr>
          <w:i w:val="0"/>
          <w:lang w:val="es-ES"/>
        </w:rPr>
        <w:t>s</w:t>
      </w:r>
      <w:r w:rsidR="00350EE3" w:rsidRPr="00FC10F2">
        <w:rPr>
          <w:i w:val="0"/>
          <w:lang w:val="es-ES"/>
        </w:rPr>
        <w:t xml:space="preserve"> optativo</w:t>
      </w:r>
      <w:r w:rsidR="00063F83" w:rsidRPr="00FC10F2">
        <w:rPr>
          <w:i w:val="0"/>
          <w:lang w:val="es-ES"/>
        </w:rPr>
        <w:t>s</w:t>
      </w:r>
      <w:r w:rsidR="00350EE3" w:rsidRPr="00FC10F2">
        <w:rPr>
          <w:i w:val="0"/>
          <w:lang w:val="es-ES"/>
        </w:rPr>
        <w:t xml:space="preserve"> </w:t>
      </w:r>
      <w:r w:rsidR="003A5458" w:rsidRPr="00FC10F2">
        <w:rPr>
          <w:i w:val="0"/>
          <w:lang w:val="es-ES"/>
        </w:rPr>
        <w:t>presentados a</w:t>
      </w:r>
      <w:r w:rsidR="00350EE3" w:rsidRPr="00FC10F2">
        <w:rPr>
          <w:i w:val="0"/>
          <w:lang w:val="es-ES"/>
        </w:rPr>
        <w:t>l final</w:t>
      </w:r>
      <w:r w:rsidR="00063F83" w:rsidRPr="00FC10F2">
        <w:rPr>
          <w:i w:val="0"/>
          <w:lang w:val="es-ES"/>
        </w:rPr>
        <w:t xml:space="preserve"> de </w:t>
      </w:r>
      <w:r w:rsidR="001746FD">
        <w:rPr>
          <w:i w:val="0"/>
          <w:lang w:val="es-ES"/>
        </w:rPr>
        <w:t>esta</w:t>
      </w:r>
      <w:r w:rsidR="007C037F" w:rsidRPr="00FC10F2">
        <w:rPr>
          <w:i w:val="0"/>
          <w:lang w:val="es-ES"/>
        </w:rPr>
        <w:t xml:space="preserve"> </w:t>
      </w:r>
      <w:r w:rsidR="000B3493" w:rsidRPr="00FC10F2">
        <w:rPr>
          <w:i w:val="0"/>
          <w:lang w:val="es-ES"/>
        </w:rPr>
        <w:t>unidad</w:t>
      </w:r>
      <w:r w:rsidR="00350EE3" w:rsidRPr="00FC10F2">
        <w:rPr>
          <w:i w:val="0"/>
          <w:lang w:val="es-ES"/>
        </w:rPr>
        <w:t>)</w:t>
      </w:r>
      <w:r w:rsidR="0063677A" w:rsidRPr="00FC10F2">
        <w:rPr>
          <w:i w:val="0"/>
          <w:lang w:val="es-ES"/>
        </w:rPr>
        <w:t>.</w:t>
      </w:r>
    </w:p>
    <w:p w14:paraId="0B0944FF" w14:textId="77777777" w:rsidR="007074E3" w:rsidRPr="00FC10F2" w:rsidRDefault="007074E3" w:rsidP="00877EA3">
      <w:pPr>
        <w:pStyle w:val="UTit4"/>
        <w:tabs>
          <w:tab w:val="center" w:pos="4419"/>
        </w:tabs>
        <w:rPr>
          <w:szCs w:val="70"/>
          <w:lang w:val="es-ES"/>
        </w:rPr>
      </w:pPr>
      <w:r w:rsidRPr="00FC10F2">
        <w:rPr>
          <w:rFonts w:cs="Arial"/>
          <w:szCs w:val="70"/>
          <w:lang w:val="es-ES"/>
        </w:rPr>
        <w:t>Obje</w:t>
      </w:r>
      <w:r w:rsidR="001F081A" w:rsidRPr="00FC10F2">
        <w:rPr>
          <w:rFonts w:cs="Arial"/>
          <w:szCs w:val="70"/>
          <w:lang w:val="es-ES"/>
        </w:rPr>
        <w:t>tivo</w:t>
      </w:r>
      <w:r w:rsidRPr="00FC10F2">
        <w:rPr>
          <w:rFonts w:cs="Arial"/>
          <w:szCs w:val="70"/>
          <w:lang w:val="es-ES"/>
        </w:rPr>
        <w:t>(s):</w:t>
      </w:r>
    </w:p>
    <w:p w14:paraId="7DA8951E" w14:textId="77777777" w:rsidR="007074E3" w:rsidRPr="00FC10F2" w:rsidRDefault="00350EE3" w:rsidP="0063677A">
      <w:pPr>
        <w:pStyle w:val="UTxt"/>
        <w:rPr>
          <w:i w:val="0"/>
          <w:lang w:val="es-ES"/>
        </w:rPr>
      </w:pPr>
      <w:r w:rsidRPr="00FC10F2">
        <w:rPr>
          <w:i w:val="0"/>
          <w:lang w:val="es-ES"/>
        </w:rPr>
        <w:t>Mediante debates y pres</w:t>
      </w:r>
      <w:r w:rsidR="00590202" w:rsidRPr="00FC10F2">
        <w:rPr>
          <w:i w:val="0"/>
          <w:lang w:val="es-ES"/>
        </w:rPr>
        <w:t>entaciones de estudios de casos</w:t>
      </w:r>
      <w:r w:rsidR="001746FD">
        <w:rPr>
          <w:i w:val="0"/>
          <w:lang w:val="es-ES"/>
        </w:rPr>
        <w:t>,</w:t>
      </w:r>
      <w:r w:rsidRPr="00FC10F2">
        <w:rPr>
          <w:i w:val="0"/>
          <w:lang w:val="es-ES"/>
        </w:rPr>
        <w:t xml:space="preserve"> i</w:t>
      </w:r>
      <w:r w:rsidR="007074E3" w:rsidRPr="00FC10F2">
        <w:rPr>
          <w:i w:val="0"/>
          <w:lang w:val="es-ES"/>
        </w:rPr>
        <w:t>denti</w:t>
      </w:r>
      <w:r w:rsidRPr="00FC10F2">
        <w:rPr>
          <w:i w:val="0"/>
          <w:lang w:val="es-ES"/>
        </w:rPr>
        <w:t>ficar</w:t>
      </w:r>
      <w:r w:rsidR="007074E3" w:rsidRPr="00FC10F2">
        <w:rPr>
          <w:i w:val="0"/>
          <w:lang w:val="es-ES"/>
        </w:rPr>
        <w:t xml:space="preserve"> </w:t>
      </w:r>
      <w:r w:rsidRPr="00FC10F2">
        <w:rPr>
          <w:i w:val="0"/>
          <w:lang w:val="es-ES"/>
        </w:rPr>
        <w:t>las diferentes maneras en que las comunidades, grupos e individuos pueden participar, con la mayor amplitud posible, en la salvaguardia de su PCI y en otros aspectos de la aplicación de la Convención para la Salvaguardia del Patrimonio Cultural Inmaterial</w:t>
      </w:r>
      <w:r w:rsidR="00F848F4" w:rsidRPr="00FC10F2">
        <w:rPr>
          <w:rStyle w:val="FootnoteReference"/>
          <w:i w:val="0"/>
          <w:lang w:val="es-ES"/>
        </w:rPr>
        <w:footnoteReference w:id="1"/>
      </w:r>
      <w:r w:rsidR="007074E3" w:rsidRPr="00FC10F2">
        <w:rPr>
          <w:i w:val="0"/>
          <w:lang w:val="es-ES"/>
        </w:rPr>
        <w:t>.</w:t>
      </w:r>
    </w:p>
    <w:p w14:paraId="476D9FBA" w14:textId="77777777" w:rsidR="007074E3" w:rsidRPr="00FC10F2" w:rsidRDefault="007074E3" w:rsidP="004936EF">
      <w:pPr>
        <w:pStyle w:val="UTit4"/>
        <w:rPr>
          <w:rFonts w:cs="Arial"/>
          <w:szCs w:val="70"/>
          <w:lang w:val="es-ES"/>
        </w:rPr>
      </w:pPr>
      <w:r w:rsidRPr="00FC10F2">
        <w:rPr>
          <w:rFonts w:cs="Arial"/>
          <w:szCs w:val="70"/>
          <w:lang w:val="es-ES"/>
        </w:rPr>
        <w:t>Descrip</w:t>
      </w:r>
      <w:r w:rsidR="001F081A" w:rsidRPr="00FC10F2">
        <w:rPr>
          <w:rFonts w:cs="Arial"/>
          <w:szCs w:val="70"/>
          <w:lang w:val="es-ES"/>
        </w:rPr>
        <w:t>ció</w:t>
      </w:r>
      <w:r w:rsidRPr="00FC10F2">
        <w:rPr>
          <w:rFonts w:cs="Arial"/>
          <w:szCs w:val="70"/>
          <w:lang w:val="es-ES"/>
        </w:rPr>
        <w:t xml:space="preserve">n: </w:t>
      </w:r>
    </w:p>
    <w:p w14:paraId="539577EA" w14:textId="77777777" w:rsidR="004A3B6C" w:rsidRPr="00FC10F2" w:rsidRDefault="00F713F5" w:rsidP="009A3933">
      <w:pPr>
        <w:pStyle w:val="UTxt"/>
        <w:rPr>
          <w:i w:val="0"/>
          <w:lang w:val="es-ES"/>
        </w:rPr>
      </w:pPr>
      <w:r w:rsidRPr="00FC10F2">
        <w:rPr>
          <w:i w:val="0"/>
          <w:lang w:val="es-ES"/>
        </w:rPr>
        <w:t xml:space="preserve">Esta </w:t>
      </w:r>
      <w:r w:rsidR="000B3493" w:rsidRPr="00FC10F2">
        <w:rPr>
          <w:i w:val="0"/>
          <w:lang w:val="es-ES"/>
        </w:rPr>
        <w:t>unidad</w:t>
      </w:r>
      <w:r w:rsidRPr="00FC10F2">
        <w:rPr>
          <w:i w:val="0"/>
          <w:lang w:val="es-ES"/>
        </w:rPr>
        <w:t xml:space="preserve"> trata de la participación de las comunidades en la aplicación de la Convención y abarca los siguientes temas</w:t>
      </w:r>
      <w:r w:rsidR="004A3B6C" w:rsidRPr="00FC10F2">
        <w:rPr>
          <w:i w:val="0"/>
          <w:lang w:val="es-ES"/>
        </w:rPr>
        <w:t xml:space="preserve">: </w:t>
      </w:r>
      <w:r w:rsidRPr="00FC10F2">
        <w:rPr>
          <w:i w:val="0"/>
          <w:lang w:val="es-ES"/>
        </w:rPr>
        <w:t>l</w:t>
      </w:r>
      <w:r w:rsidRPr="00FC10F2">
        <w:rPr>
          <w:bCs/>
          <w:i w:val="0"/>
          <w:lang w:val="es-ES"/>
        </w:rPr>
        <w:t>o que nos dicen la Convención y las Directrices Operativas (DO) sobre la participación de las comunidades</w:t>
      </w:r>
      <w:r w:rsidRPr="00FC10F2">
        <w:rPr>
          <w:i w:val="0"/>
          <w:lang w:val="es-ES"/>
        </w:rPr>
        <w:t>; por qué y cuándo se necesita contar con la participación y el consentimiento de las comunidades;</w:t>
      </w:r>
      <w:r w:rsidR="00A26870" w:rsidRPr="00FC10F2">
        <w:rPr>
          <w:i w:val="0"/>
          <w:lang w:val="es-ES"/>
        </w:rPr>
        <w:t xml:space="preserve"> </w:t>
      </w:r>
      <w:r w:rsidRPr="00FC10F2">
        <w:rPr>
          <w:i w:val="0"/>
          <w:lang w:val="es-ES"/>
        </w:rPr>
        <w:t xml:space="preserve">la participación de </w:t>
      </w:r>
      <w:r w:rsidR="001746FD">
        <w:rPr>
          <w:i w:val="0"/>
          <w:lang w:val="es-ES"/>
        </w:rPr>
        <w:t>e</w:t>
      </w:r>
      <w:r w:rsidR="00C94124" w:rsidRPr="00FC10F2">
        <w:rPr>
          <w:i w:val="0"/>
          <w:lang w:val="es-ES"/>
        </w:rPr>
        <w:t>stas</w:t>
      </w:r>
      <w:r w:rsidRPr="00FC10F2">
        <w:rPr>
          <w:i w:val="0"/>
          <w:lang w:val="es-ES"/>
        </w:rPr>
        <w:t xml:space="preserve"> en diferentes actividades de salvaguardia (confección de inventarios, sensibilización a</w:t>
      </w:r>
      <w:r w:rsidR="00C94124" w:rsidRPr="00FC10F2">
        <w:rPr>
          <w:i w:val="0"/>
          <w:lang w:val="es-ES"/>
        </w:rPr>
        <w:t xml:space="preserve">l valor e importancia del PCI, </w:t>
      </w:r>
      <w:r w:rsidRPr="00FC10F2">
        <w:rPr>
          <w:i w:val="0"/>
          <w:lang w:val="es-ES"/>
        </w:rPr>
        <w:t>preparación de expedientes de candidatura y solicitudes de asistencia internacional</w:t>
      </w:r>
      <w:r w:rsidR="00C94124" w:rsidRPr="00FC10F2">
        <w:rPr>
          <w:i w:val="0"/>
          <w:lang w:val="es-ES"/>
        </w:rPr>
        <w:t>, etc.</w:t>
      </w:r>
      <w:r w:rsidR="004A3B6C" w:rsidRPr="00FC10F2">
        <w:rPr>
          <w:i w:val="0"/>
          <w:lang w:val="es-ES"/>
        </w:rPr>
        <w:t>)</w:t>
      </w:r>
      <w:r w:rsidRPr="00FC10F2">
        <w:rPr>
          <w:i w:val="0"/>
          <w:lang w:val="es-ES"/>
        </w:rPr>
        <w:t xml:space="preserve">; la identificación de las comunidades y de sus </w:t>
      </w:r>
      <w:r w:rsidR="00C94124" w:rsidRPr="00FC10F2">
        <w:rPr>
          <w:i w:val="0"/>
          <w:lang w:val="es-ES"/>
        </w:rPr>
        <w:t>representantes; la obtención de su</w:t>
      </w:r>
      <w:r w:rsidRPr="00FC10F2">
        <w:rPr>
          <w:i w:val="0"/>
          <w:lang w:val="es-ES"/>
        </w:rPr>
        <w:t xml:space="preserve"> consentimiento libre, previo e informado; la protección de </w:t>
      </w:r>
      <w:r w:rsidR="00C94124" w:rsidRPr="00FC10F2">
        <w:rPr>
          <w:i w:val="0"/>
          <w:lang w:val="es-ES"/>
        </w:rPr>
        <w:t>su</w:t>
      </w:r>
      <w:r w:rsidRPr="00FC10F2">
        <w:rPr>
          <w:i w:val="0"/>
          <w:lang w:val="es-ES"/>
        </w:rPr>
        <w:t xml:space="preserve">s derechos; y </w:t>
      </w:r>
      <w:r w:rsidR="00C94124" w:rsidRPr="00FC10F2">
        <w:rPr>
          <w:i w:val="0"/>
          <w:lang w:val="es-ES"/>
        </w:rPr>
        <w:t>la manera de</w:t>
      </w:r>
      <w:r w:rsidR="002C69F0" w:rsidRPr="00FC10F2">
        <w:rPr>
          <w:i w:val="0"/>
          <w:lang w:val="es-ES"/>
        </w:rPr>
        <w:t xml:space="preserve"> garantizar que</w:t>
      </w:r>
      <w:r w:rsidR="00A26870" w:rsidRPr="00FC10F2">
        <w:rPr>
          <w:i w:val="0"/>
          <w:lang w:val="es-ES"/>
        </w:rPr>
        <w:t xml:space="preserve"> </w:t>
      </w:r>
      <w:r w:rsidR="002C69F0" w:rsidRPr="00FC10F2">
        <w:rPr>
          <w:i w:val="0"/>
          <w:lang w:val="es-ES"/>
        </w:rPr>
        <w:t>se beneficien de la aplicación de la Convención</w:t>
      </w:r>
      <w:r w:rsidR="004A3B6C" w:rsidRPr="00FC10F2">
        <w:rPr>
          <w:i w:val="0"/>
          <w:lang w:val="es-ES"/>
        </w:rPr>
        <w:t>.</w:t>
      </w:r>
    </w:p>
    <w:p w14:paraId="28262194" w14:textId="77777777" w:rsidR="007074E3" w:rsidRPr="00FC10F2" w:rsidRDefault="00350EE3" w:rsidP="004936EF">
      <w:pPr>
        <w:pStyle w:val="UTxt"/>
        <w:rPr>
          <w:lang w:val="es-ES"/>
        </w:rPr>
      </w:pPr>
      <w:r w:rsidRPr="00FC10F2">
        <w:rPr>
          <w:lang w:val="es-ES"/>
        </w:rPr>
        <w:t>Secuenciación propuesta</w:t>
      </w:r>
      <w:r w:rsidR="004A3B6C" w:rsidRPr="00FC10F2">
        <w:rPr>
          <w:lang w:val="es-ES"/>
        </w:rPr>
        <w:t>:</w:t>
      </w:r>
    </w:p>
    <w:p w14:paraId="59E2EEE0" w14:textId="77777777" w:rsidR="007074E3" w:rsidRPr="00FC10F2" w:rsidRDefault="00A46530" w:rsidP="004936EF">
      <w:pPr>
        <w:pStyle w:val="Upuce"/>
        <w:rPr>
          <w:lang w:val="es-ES"/>
        </w:rPr>
      </w:pPr>
      <w:r w:rsidRPr="00FC10F2">
        <w:rPr>
          <w:lang w:val="es-ES"/>
        </w:rPr>
        <w:t>Lo que puede llevar al fracaso</w:t>
      </w:r>
      <w:r w:rsidR="002E5AB2" w:rsidRPr="00FC10F2">
        <w:rPr>
          <w:lang w:val="es-ES"/>
        </w:rPr>
        <w:t>.</w:t>
      </w:r>
    </w:p>
    <w:p w14:paraId="71F2E57B" w14:textId="77777777" w:rsidR="007074E3" w:rsidRPr="00FC10F2" w:rsidRDefault="002E5AB2" w:rsidP="004936EF">
      <w:pPr>
        <w:pStyle w:val="Upuce"/>
        <w:rPr>
          <w:lang w:val="es-ES"/>
        </w:rPr>
      </w:pPr>
      <w:r w:rsidRPr="00FC10F2">
        <w:rPr>
          <w:bCs/>
          <w:lang w:val="es-ES"/>
        </w:rPr>
        <w:t>¿Por qué es necesaria la participación de las comunidades?</w:t>
      </w:r>
    </w:p>
    <w:p w14:paraId="0E5AA549" w14:textId="77777777" w:rsidR="007074E3" w:rsidRPr="00FC10F2" w:rsidRDefault="00817988" w:rsidP="004936EF">
      <w:pPr>
        <w:pStyle w:val="Upuce"/>
        <w:rPr>
          <w:lang w:val="es-ES"/>
        </w:rPr>
      </w:pPr>
      <w:r w:rsidRPr="00FC10F2">
        <w:rPr>
          <w:bCs/>
          <w:lang w:val="es-ES"/>
        </w:rPr>
        <w:t>Lo que dicen –y no dicen– la Convención y las Directrices Operativas (DO) sobre la participación de las comunidades</w:t>
      </w:r>
      <w:r w:rsidR="002E5AB2" w:rsidRPr="00FC10F2">
        <w:rPr>
          <w:bCs/>
          <w:lang w:val="es-ES"/>
        </w:rPr>
        <w:t>.</w:t>
      </w:r>
    </w:p>
    <w:p w14:paraId="46838FE6" w14:textId="77777777" w:rsidR="007074E3" w:rsidRPr="00FC10F2" w:rsidRDefault="00817988" w:rsidP="004936EF">
      <w:pPr>
        <w:pStyle w:val="Upuce"/>
        <w:rPr>
          <w:lang w:val="es-ES"/>
        </w:rPr>
      </w:pPr>
      <w:r w:rsidRPr="00FC10F2">
        <w:rPr>
          <w:bCs/>
          <w:lang w:val="es-ES"/>
        </w:rPr>
        <w:t>Funciones de los Estados y derechos de las comunidades</w:t>
      </w:r>
      <w:r w:rsidR="002E5AB2" w:rsidRPr="00FC10F2">
        <w:rPr>
          <w:bCs/>
          <w:lang w:val="es-ES"/>
        </w:rPr>
        <w:t>.</w:t>
      </w:r>
    </w:p>
    <w:p w14:paraId="4034551A" w14:textId="77777777" w:rsidR="007074E3" w:rsidRPr="00FC10F2" w:rsidRDefault="002E5AB2" w:rsidP="004936EF">
      <w:pPr>
        <w:pStyle w:val="Upuce"/>
        <w:rPr>
          <w:lang w:val="es-ES"/>
        </w:rPr>
      </w:pPr>
      <w:r w:rsidRPr="00FC10F2">
        <w:rPr>
          <w:bCs/>
          <w:lang w:val="es-ES"/>
        </w:rPr>
        <w:t xml:space="preserve">Actividades en las que deben participar las comunidades en general: </w:t>
      </w:r>
      <w:r w:rsidRPr="00FC10F2">
        <w:rPr>
          <w:lang w:val="es-ES"/>
        </w:rPr>
        <w:t>identificación, confección de inventarios y</w:t>
      </w:r>
      <w:r w:rsidR="007074E3" w:rsidRPr="00FC10F2">
        <w:rPr>
          <w:lang w:val="es-ES"/>
        </w:rPr>
        <w:t xml:space="preserve"> sa</w:t>
      </w:r>
      <w:r w:rsidRPr="00FC10F2">
        <w:rPr>
          <w:lang w:val="es-ES"/>
        </w:rPr>
        <w:t>lvaguardia.</w:t>
      </w:r>
    </w:p>
    <w:p w14:paraId="32B1AB86" w14:textId="77777777" w:rsidR="007074E3" w:rsidRPr="00FC10F2" w:rsidRDefault="002E5AB2" w:rsidP="004936EF">
      <w:pPr>
        <w:pStyle w:val="Upuce"/>
        <w:rPr>
          <w:lang w:val="es-ES"/>
        </w:rPr>
      </w:pPr>
      <w:r w:rsidRPr="00FC10F2">
        <w:rPr>
          <w:bCs/>
          <w:lang w:val="es-ES"/>
        </w:rPr>
        <w:t>Participación de las comunidades en la confección de inventarios de su PCI.</w:t>
      </w:r>
    </w:p>
    <w:p w14:paraId="650E0ECA" w14:textId="77777777" w:rsidR="007074E3" w:rsidRPr="00FC10F2" w:rsidRDefault="002E5AB2" w:rsidP="004936EF">
      <w:pPr>
        <w:pStyle w:val="Upuce"/>
        <w:rPr>
          <w:lang w:val="es-ES"/>
        </w:rPr>
      </w:pPr>
      <w:r w:rsidRPr="00FC10F2">
        <w:rPr>
          <w:bCs/>
          <w:lang w:val="es-ES"/>
        </w:rPr>
        <w:t>Participación de las comunidades en</w:t>
      </w:r>
      <w:r w:rsidR="0009236D" w:rsidRPr="00FC10F2">
        <w:rPr>
          <w:bCs/>
          <w:lang w:val="es-ES"/>
        </w:rPr>
        <w:t xml:space="preserve"> la sensibilización al valor de su</w:t>
      </w:r>
      <w:r w:rsidRPr="00FC10F2">
        <w:rPr>
          <w:bCs/>
          <w:lang w:val="es-ES"/>
        </w:rPr>
        <w:t xml:space="preserve"> PCI</w:t>
      </w:r>
      <w:r w:rsidRPr="00FC10F2">
        <w:rPr>
          <w:lang w:val="es-ES"/>
        </w:rPr>
        <w:t>.</w:t>
      </w:r>
    </w:p>
    <w:p w14:paraId="675A56CA" w14:textId="77777777" w:rsidR="007074E3" w:rsidRPr="00FC10F2" w:rsidRDefault="00817988" w:rsidP="004936EF">
      <w:pPr>
        <w:pStyle w:val="Upuce"/>
        <w:rPr>
          <w:lang w:val="es-ES"/>
        </w:rPr>
      </w:pPr>
      <w:r w:rsidRPr="00FC10F2">
        <w:rPr>
          <w:bCs/>
          <w:lang w:val="es-ES"/>
        </w:rPr>
        <w:t>Participación de las comunidades en la preparación de expedientes de candidatura y solicitudes de asistencia internacional</w:t>
      </w:r>
      <w:r w:rsidR="002E5AB2" w:rsidRPr="00FC10F2">
        <w:rPr>
          <w:bCs/>
          <w:lang w:val="es-ES"/>
        </w:rPr>
        <w:t>.</w:t>
      </w:r>
    </w:p>
    <w:p w14:paraId="0FC06372" w14:textId="77777777" w:rsidR="007074E3" w:rsidRPr="00FC10F2" w:rsidRDefault="002E5AB2" w:rsidP="004936EF">
      <w:pPr>
        <w:pStyle w:val="Upuce"/>
        <w:rPr>
          <w:lang w:val="es-ES"/>
        </w:rPr>
      </w:pPr>
      <w:r w:rsidRPr="00FC10F2">
        <w:rPr>
          <w:bCs/>
          <w:lang w:val="es-ES"/>
        </w:rPr>
        <w:t>Garantizar la participación y el consentimiento de las comunidades</w:t>
      </w:r>
      <w:r w:rsidRPr="00FC10F2">
        <w:rPr>
          <w:lang w:val="es-ES"/>
        </w:rPr>
        <w:t>.</w:t>
      </w:r>
    </w:p>
    <w:p w14:paraId="62B3BAA5" w14:textId="77777777" w:rsidR="007074E3" w:rsidRPr="00FC10F2" w:rsidRDefault="007074E3" w:rsidP="004936EF">
      <w:pPr>
        <w:pStyle w:val="UTit4"/>
        <w:rPr>
          <w:szCs w:val="70"/>
          <w:lang w:val="es-ES"/>
        </w:rPr>
      </w:pPr>
      <w:r w:rsidRPr="00FC10F2">
        <w:rPr>
          <w:rFonts w:cs="Arial"/>
          <w:szCs w:val="70"/>
          <w:lang w:val="es-ES"/>
        </w:rPr>
        <w:lastRenderedPageBreak/>
        <w:t>document</w:t>
      </w:r>
      <w:r w:rsidR="001F081A" w:rsidRPr="00FC10F2">
        <w:rPr>
          <w:rFonts w:cs="Arial"/>
          <w:szCs w:val="70"/>
          <w:lang w:val="es-ES"/>
        </w:rPr>
        <w:t>o</w:t>
      </w:r>
      <w:r w:rsidRPr="00FC10F2">
        <w:rPr>
          <w:rFonts w:cs="Arial"/>
          <w:szCs w:val="70"/>
          <w:lang w:val="es-ES"/>
        </w:rPr>
        <w:t>s</w:t>
      </w:r>
      <w:r w:rsidR="001F081A" w:rsidRPr="00FC10F2">
        <w:rPr>
          <w:rFonts w:cs="Arial"/>
          <w:szCs w:val="70"/>
          <w:lang w:val="es-ES"/>
        </w:rPr>
        <w:t xml:space="preserve"> auxiliares</w:t>
      </w:r>
      <w:r w:rsidRPr="00FC10F2">
        <w:rPr>
          <w:rFonts w:cs="Arial"/>
          <w:szCs w:val="70"/>
          <w:lang w:val="es-ES"/>
        </w:rPr>
        <w:t>:</w:t>
      </w:r>
    </w:p>
    <w:p w14:paraId="240C288E" w14:textId="77777777" w:rsidR="00C94124" w:rsidRPr="00FC10F2" w:rsidRDefault="00C94124" w:rsidP="004936EF">
      <w:pPr>
        <w:pStyle w:val="Upuce"/>
        <w:rPr>
          <w:lang w:val="es-ES"/>
        </w:rPr>
      </w:pPr>
      <w:r w:rsidRPr="00FC10F2">
        <w:rPr>
          <w:lang w:val="es-ES"/>
        </w:rPr>
        <w:t>Gui</w:t>
      </w:r>
      <w:r w:rsidR="001746FD">
        <w:rPr>
          <w:lang w:val="es-ES"/>
        </w:rPr>
        <w:t>o</w:t>
      </w:r>
      <w:r w:rsidRPr="00FC10F2">
        <w:rPr>
          <w:lang w:val="es-ES"/>
        </w:rPr>
        <w:t>n para el Facilitador</w:t>
      </w:r>
      <w:r w:rsidR="001746FD">
        <w:rPr>
          <w:lang w:val="es-ES"/>
        </w:rPr>
        <w:t>.</w:t>
      </w:r>
    </w:p>
    <w:p w14:paraId="017C968C" w14:textId="77777777" w:rsidR="007074E3" w:rsidRPr="00FC10F2" w:rsidRDefault="00C67509" w:rsidP="004936EF">
      <w:pPr>
        <w:pStyle w:val="Upuce"/>
        <w:rPr>
          <w:lang w:val="es-ES"/>
        </w:rPr>
      </w:pPr>
      <w:r w:rsidRPr="00FC10F2">
        <w:rPr>
          <w:lang w:val="es-ES"/>
        </w:rPr>
        <w:t xml:space="preserve">Presentación </w:t>
      </w:r>
      <w:r w:rsidR="00C94124" w:rsidRPr="00FC10F2">
        <w:rPr>
          <w:lang w:val="es-ES"/>
        </w:rPr>
        <w:t>PowerPoint de la presente Unidad 7.</w:t>
      </w:r>
    </w:p>
    <w:p w14:paraId="23A82CDD" w14:textId="77777777" w:rsidR="007074E3" w:rsidRPr="00FC10F2" w:rsidRDefault="00350EE3" w:rsidP="004936EF">
      <w:pPr>
        <w:pStyle w:val="Upuce"/>
        <w:rPr>
          <w:lang w:val="es-ES"/>
        </w:rPr>
      </w:pPr>
      <w:r w:rsidRPr="00FC10F2">
        <w:rPr>
          <w:lang w:val="es-ES"/>
        </w:rPr>
        <w:t xml:space="preserve">Texto para el Participante </w:t>
      </w:r>
      <w:r w:rsidR="00C94124" w:rsidRPr="00FC10F2">
        <w:rPr>
          <w:lang w:val="es-ES"/>
        </w:rPr>
        <w:t>PowerPoint de la presente Unidad 7.</w:t>
      </w:r>
    </w:p>
    <w:p w14:paraId="05CDD004" w14:textId="77777777" w:rsidR="007074E3" w:rsidRPr="00FC10F2" w:rsidRDefault="0009236D" w:rsidP="004936EF">
      <w:pPr>
        <w:pStyle w:val="Upuce"/>
        <w:rPr>
          <w:lang w:val="es-ES"/>
        </w:rPr>
      </w:pPr>
      <w:r w:rsidRPr="00FC10F2">
        <w:rPr>
          <w:lang w:val="es-ES"/>
        </w:rPr>
        <w:t xml:space="preserve">Las secciones del </w:t>
      </w:r>
      <w:r w:rsidR="00350EE3" w:rsidRPr="00FC10F2">
        <w:rPr>
          <w:lang w:val="es-ES"/>
        </w:rPr>
        <w:t>Texto para el Participante de la Unidad</w:t>
      </w:r>
      <w:r w:rsidR="005B7AFC" w:rsidRPr="00FC10F2">
        <w:rPr>
          <w:lang w:val="es-ES"/>
        </w:rPr>
        <w:t xml:space="preserve"> 3</w:t>
      </w:r>
      <w:r w:rsidRPr="00FC10F2">
        <w:rPr>
          <w:lang w:val="es-ES"/>
        </w:rPr>
        <w:t xml:space="preserve"> titulada</w:t>
      </w:r>
      <w:r w:rsidR="00C67509" w:rsidRPr="00FC10F2">
        <w:rPr>
          <w:spacing w:val="-3"/>
          <w:lang w:val="es-ES"/>
        </w:rPr>
        <w:t xml:space="preserve">s </w:t>
      </w:r>
      <w:r w:rsidR="001746FD">
        <w:rPr>
          <w:spacing w:val="-3"/>
          <w:lang w:val="es-ES"/>
        </w:rPr>
        <w:t xml:space="preserve">“Comunidades, grupos e individuos”, “Comunidades indígenas”, </w:t>
      </w:r>
      <w:r w:rsidR="001746FD">
        <w:rPr>
          <w:lang w:val="es-ES"/>
        </w:rPr>
        <w:t>“Consentimiento libre, previo e informado” y “Propiedad intelectual”.</w:t>
      </w:r>
    </w:p>
    <w:p w14:paraId="43B1CB22" w14:textId="77777777" w:rsidR="007074E3" w:rsidRPr="00FC10F2" w:rsidRDefault="00C67509" w:rsidP="004936EF">
      <w:pPr>
        <w:pStyle w:val="Upuce"/>
        <w:rPr>
          <w:lang w:val="es-ES"/>
        </w:rPr>
      </w:pPr>
      <w:r w:rsidRPr="00FC10F2">
        <w:rPr>
          <w:lang w:val="es-ES"/>
        </w:rPr>
        <w:t xml:space="preserve">Estudios </w:t>
      </w:r>
      <w:r w:rsidR="002E5AB2" w:rsidRPr="00FC10F2">
        <w:rPr>
          <w:lang w:val="es-ES"/>
        </w:rPr>
        <w:t>de C</w:t>
      </w:r>
      <w:r w:rsidRPr="00FC10F2">
        <w:rPr>
          <w:lang w:val="es-ES"/>
        </w:rPr>
        <w:t xml:space="preserve">asos 9 a </w:t>
      </w:r>
      <w:r w:rsidR="007074E3" w:rsidRPr="00FC10F2">
        <w:rPr>
          <w:lang w:val="es-ES"/>
        </w:rPr>
        <w:t>13</w:t>
      </w:r>
      <w:r w:rsidR="00C94124" w:rsidRPr="00FC10F2">
        <w:rPr>
          <w:lang w:val="es-ES"/>
        </w:rPr>
        <w:t>.</w:t>
      </w:r>
    </w:p>
    <w:p w14:paraId="16CAB6DA" w14:textId="77777777" w:rsidR="00C94124" w:rsidRPr="00FC10F2" w:rsidRDefault="00C94124" w:rsidP="004936EF">
      <w:pPr>
        <w:pStyle w:val="Upuce"/>
        <w:rPr>
          <w:lang w:val="es-ES"/>
        </w:rPr>
      </w:pPr>
      <w:r w:rsidRPr="00FC10F2">
        <w:rPr>
          <w:lang w:val="es-ES"/>
        </w:rPr>
        <w:t>Textos fundamentales de la Convención para la Salvaguardia del Patrimonio Cultural Inmaterial de 2003.</w:t>
      </w:r>
      <w:r w:rsidRPr="00FC10F2">
        <w:rPr>
          <w:rStyle w:val="FootnoteReference"/>
          <w:lang w:val="es-ES"/>
        </w:rPr>
        <w:footnoteReference w:id="2"/>
      </w:r>
    </w:p>
    <w:p w14:paraId="79D57CBE" w14:textId="77777777" w:rsidR="001B03FB" w:rsidRPr="00FC10F2" w:rsidRDefault="00B42711" w:rsidP="004936EF">
      <w:pPr>
        <w:pStyle w:val="Soustitre"/>
        <w:rPr>
          <w:lang w:val="es-ES"/>
        </w:rPr>
      </w:pPr>
      <w:bookmarkStart w:id="3" w:name="_Toc238982229"/>
      <w:r w:rsidRPr="00FC10F2">
        <w:rPr>
          <w:lang w:val="es-ES"/>
        </w:rPr>
        <w:t>Not</w:t>
      </w:r>
      <w:r w:rsidR="001F081A" w:rsidRPr="00FC10F2">
        <w:rPr>
          <w:lang w:val="es-ES"/>
        </w:rPr>
        <w:t>a</w:t>
      </w:r>
      <w:r w:rsidRPr="00FC10F2">
        <w:rPr>
          <w:lang w:val="es-ES"/>
        </w:rPr>
        <w:t xml:space="preserve">s </w:t>
      </w:r>
      <w:r w:rsidR="001F081A" w:rsidRPr="00FC10F2">
        <w:rPr>
          <w:lang w:val="es-ES"/>
        </w:rPr>
        <w:t xml:space="preserve">y </w:t>
      </w:r>
      <w:r w:rsidRPr="00FC10F2">
        <w:rPr>
          <w:lang w:val="es-ES"/>
        </w:rPr>
        <w:t>sug</w:t>
      </w:r>
      <w:r w:rsidR="002E5AB2" w:rsidRPr="00FC10F2">
        <w:rPr>
          <w:lang w:val="es-ES"/>
        </w:rPr>
        <w:t>e</w:t>
      </w:r>
      <w:r w:rsidR="001F081A" w:rsidRPr="00FC10F2">
        <w:rPr>
          <w:lang w:val="es-ES"/>
        </w:rPr>
        <w:t>rencia</w:t>
      </w:r>
      <w:r w:rsidRPr="00FC10F2">
        <w:rPr>
          <w:lang w:val="es-ES"/>
        </w:rPr>
        <w:t>s</w:t>
      </w:r>
      <w:bookmarkEnd w:id="3"/>
    </w:p>
    <w:p w14:paraId="0E1F8408" w14:textId="77777777" w:rsidR="00EA12F8" w:rsidRPr="00FC10F2" w:rsidRDefault="002C69F0" w:rsidP="009909DD">
      <w:pPr>
        <w:pStyle w:val="Texte1"/>
        <w:rPr>
          <w:lang w:val="es-ES"/>
        </w:rPr>
      </w:pPr>
      <w:r w:rsidRPr="00FC10F2">
        <w:rPr>
          <w:lang w:val="es-ES"/>
        </w:rPr>
        <w:t>Se puede presentar y debatir con detalle el estudio de caso relativo al Proyecto Maya</w:t>
      </w:r>
      <w:r w:rsidR="00BF424E">
        <w:rPr>
          <w:lang w:val="es-ES"/>
        </w:rPr>
        <w:t xml:space="preserve"> </w:t>
      </w:r>
      <w:r w:rsidRPr="00FC10F2">
        <w:rPr>
          <w:lang w:val="es-ES"/>
        </w:rPr>
        <w:t>-</w:t>
      </w:r>
      <w:r w:rsidR="004B2BFE" w:rsidRPr="00FC10F2">
        <w:rPr>
          <w:lang w:val="es-ES"/>
        </w:rPr>
        <w:t xml:space="preserve">de los Grupos de Cooperación Internacional en pro de la Diversidad Biológica (ICBG), que se incluye como ejemplo </w:t>
      </w:r>
      <w:r w:rsidR="00CE7A34">
        <w:rPr>
          <w:lang w:val="es-ES"/>
        </w:rPr>
        <w:t xml:space="preserve">en </w:t>
      </w:r>
      <w:r w:rsidR="004B2BFE" w:rsidRPr="00FC10F2">
        <w:rPr>
          <w:lang w:val="es-ES"/>
        </w:rPr>
        <w:t>el Gui</w:t>
      </w:r>
      <w:r w:rsidR="00CE7A34">
        <w:rPr>
          <w:lang w:val="es-ES"/>
        </w:rPr>
        <w:t>o</w:t>
      </w:r>
      <w:r w:rsidR="004B2BFE" w:rsidRPr="00FC10F2">
        <w:rPr>
          <w:lang w:val="es-ES"/>
        </w:rPr>
        <w:t>n para el Facilitador exclusivamente. También se puede presentar</w:t>
      </w:r>
      <w:r w:rsidRPr="00FC10F2">
        <w:rPr>
          <w:lang w:val="es-ES"/>
        </w:rPr>
        <w:t xml:space="preserve"> un ejemplo local análogo de un proyecto en el que la participación de la com</w:t>
      </w:r>
      <w:r w:rsidR="004B2BFE" w:rsidRPr="00FC10F2">
        <w:rPr>
          <w:lang w:val="es-ES"/>
        </w:rPr>
        <w:t xml:space="preserve">unidad se haya convertido en </w:t>
      </w:r>
      <w:r w:rsidRPr="00FC10F2">
        <w:rPr>
          <w:lang w:val="es-ES"/>
        </w:rPr>
        <w:t xml:space="preserve">tema </w:t>
      </w:r>
      <w:r w:rsidR="004B2BFE" w:rsidRPr="00FC10F2">
        <w:rPr>
          <w:lang w:val="es-ES"/>
        </w:rPr>
        <w:t>litigioso</w:t>
      </w:r>
      <w:r w:rsidR="00B04692" w:rsidRPr="00FC10F2">
        <w:rPr>
          <w:lang w:val="es-ES"/>
        </w:rPr>
        <w:t xml:space="preserve">. </w:t>
      </w:r>
      <w:r w:rsidRPr="00FC10F2">
        <w:rPr>
          <w:lang w:val="es-ES"/>
        </w:rPr>
        <w:t xml:space="preserve">Los demás estudios de casos </w:t>
      </w:r>
      <w:r w:rsidR="004B2BFE" w:rsidRPr="00FC10F2">
        <w:rPr>
          <w:lang w:val="es-ES"/>
        </w:rPr>
        <w:t xml:space="preserve">de la presente unidad </w:t>
      </w:r>
      <w:r w:rsidRPr="00FC10F2">
        <w:rPr>
          <w:lang w:val="es-ES"/>
        </w:rPr>
        <w:t>tienen un carácter ilustrativo</w:t>
      </w:r>
      <w:r w:rsidR="00B04692" w:rsidRPr="00FC10F2">
        <w:rPr>
          <w:lang w:val="es-ES"/>
        </w:rPr>
        <w:t xml:space="preserve">. </w:t>
      </w:r>
      <w:r w:rsidRPr="00FC10F2">
        <w:rPr>
          <w:lang w:val="es-ES"/>
        </w:rPr>
        <w:t xml:space="preserve">Se pueden seleccionar y debatir otros estudios de casos para mostrar los problemas locales específicos con los que puedan tropezar los participantes en el taller. A este respecto, es conveniente dar ejemplos de comunidades tanto urbanas como rurales. En el examen de los estudios de casos, se debe prestar especial atención al tema de la legitimidad y autoridad de los representantes de las comunidades, que está muy bien ilustrado en el estudio de caso relativo a “La Patum de Berga” (incluido solamente en </w:t>
      </w:r>
      <w:r w:rsidR="004B2BFE" w:rsidRPr="00FC10F2">
        <w:rPr>
          <w:lang w:val="es-ES"/>
        </w:rPr>
        <w:t>el Gui</w:t>
      </w:r>
      <w:r w:rsidR="007851B4">
        <w:rPr>
          <w:lang w:val="es-ES"/>
        </w:rPr>
        <w:t>o</w:t>
      </w:r>
      <w:r w:rsidR="004B2BFE" w:rsidRPr="00FC10F2">
        <w:rPr>
          <w:lang w:val="es-ES"/>
        </w:rPr>
        <w:t>n</w:t>
      </w:r>
      <w:r w:rsidRPr="00FC10F2">
        <w:rPr>
          <w:lang w:val="es-ES"/>
        </w:rPr>
        <w:t xml:space="preserve"> para el Facilitador). Se puede señalar que es adecuado adoptar distintas estrategias de participación y representación de las comunidades, en función de los distintos tipos de </w:t>
      </w:r>
      <w:r w:rsidR="007851B4">
        <w:rPr>
          <w:lang w:val="es-ES"/>
        </w:rPr>
        <w:t>e</w:t>
      </w:r>
      <w:r w:rsidRPr="00FC10F2">
        <w:rPr>
          <w:lang w:val="es-ES"/>
        </w:rPr>
        <w:t>stas y de la importancia de su población y territorio.</w:t>
      </w:r>
      <w:r w:rsidR="009C2B0F" w:rsidRPr="00FC10F2">
        <w:rPr>
          <w:lang w:val="es-ES"/>
        </w:rPr>
        <w:t xml:space="preserve"> </w:t>
      </w:r>
    </w:p>
    <w:p w14:paraId="6A18D5E2" w14:textId="77777777" w:rsidR="00EA12F8" w:rsidRPr="00FC10F2" w:rsidRDefault="00205490" w:rsidP="009909DD">
      <w:pPr>
        <w:pStyle w:val="Texte1"/>
        <w:rPr>
          <w:lang w:val="es-ES"/>
        </w:rPr>
      </w:pPr>
      <w:r w:rsidRPr="00FC10F2">
        <w:rPr>
          <w:lang w:val="es-ES"/>
        </w:rPr>
        <w:t xml:space="preserve">En las Notas para el Facilitador figuran varios ejercicios. </w:t>
      </w:r>
    </w:p>
    <w:p w14:paraId="55D23B08" w14:textId="77777777" w:rsidR="00DC49A3" w:rsidRPr="00FC10F2" w:rsidRDefault="00C66E46" w:rsidP="00DC49A3">
      <w:pPr>
        <w:pStyle w:val="Texte1"/>
        <w:rPr>
          <w:lang w:val="es-ES"/>
        </w:rPr>
      </w:pPr>
      <w:r w:rsidRPr="00FC10F2">
        <w:rPr>
          <w:lang w:val="es-ES"/>
        </w:rPr>
        <w:t xml:space="preserve">Los dos ejercicios optativos del final de la </w:t>
      </w:r>
      <w:r w:rsidR="000B3493" w:rsidRPr="00FC10F2">
        <w:rPr>
          <w:lang w:val="es-ES"/>
        </w:rPr>
        <w:t>unidad</w:t>
      </w:r>
      <w:r w:rsidRPr="00FC10F2">
        <w:rPr>
          <w:lang w:val="es-ES"/>
        </w:rPr>
        <w:t xml:space="preserve"> son ejercicios de simulación, que permiten a los participantes examinar algunos de los</w:t>
      </w:r>
      <w:r w:rsidRPr="00FC10F2">
        <w:rPr>
          <w:rFonts w:eastAsia="MS Gothic"/>
          <w:bCs/>
          <w:i/>
          <w:kern w:val="28"/>
          <w:szCs w:val="22"/>
          <w:lang w:val="es-ES"/>
        </w:rPr>
        <w:t> </w:t>
      </w:r>
      <w:r w:rsidRPr="00FC10F2">
        <w:rPr>
          <w:lang w:val="es-ES"/>
        </w:rPr>
        <w:t>problemas más difíciles que pueden surgir en la elaboración de una</w:t>
      </w:r>
      <w:r w:rsidRPr="00FC10F2">
        <w:rPr>
          <w:rFonts w:eastAsia="MS Gothic"/>
          <w:bCs/>
          <w:i/>
          <w:kern w:val="28"/>
          <w:szCs w:val="22"/>
          <w:lang w:val="es-ES"/>
        </w:rPr>
        <w:t> </w:t>
      </w:r>
      <w:r w:rsidRPr="00FC10F2">
        <w:rPr>
          <w:lang w:val="es-ES"/>
        </w:rPr>
        <w:t>estrategia de participaci</w:t>
      </w:r>
      <w:r w:rsidRPr="00FC10F2">
        <w:rPr>
          <w:rFonts w:eastAsia="MS Gothic"/>
          <w:bCs/>
          <w:kern w:val="28"/>
          <w:szCs w:val="22"/>
          <w:lang w:val="es-ES"/>
        </w:rPr>
        <w:t>ón</w:t>
      </w:r>
      <w:r w:rsidRPr="00FC10F2">
        <w:rPr>
          <w:rFonts w:eastAsia="MS Gothic"/>
          <w:bCs/>
          <w:i/>
          <w:kern w:val="28"/>
          <w:szCs w:val="22"/>
          <w:lang w:val="es-ES"/>
        </w:rPr>
        <w:t> </w:t>
      </w:r>
      <w:r w:rsidRPr="00FC10F2">
        <w:rPr>
          <w:rFonts w:eastAsia="MS Gothic"/>
          <w:bCs/>
          <w:kern w:val="28"/>
          <w:szCs w:val="22"/>
          <w:lang w:val="es-ES"/>
        </w:rPr>
        <w:t>de las comunidades</w:t>
      </w:r>
      <w:r w:rsidRPr="00FC10F2">
        <w:rPr>
          <w:rFonts w:eastAsia="MS Gothic"/>
          <w:bCs/>
          <w:i/>
          <w:kern w:val="28"/>
          <w:szCs w:val="22"/>
          <w:lang w:val="es-ES"/>
        </w:rPr>
        <w:t>.</w:t>
      </w:r>
      <w:r w:rsidRPr="00FC10F2">
        <w:rPr>
          <w:lang w:val="es-ES"/>
        </w:rPr>
        <w:t xml:space="preserve"> </w:t>
      </w:r>
      <w:r w:rsidRPr="00FC10F2">
        <w:rPr>
          <w:rFonts w:eastAsia="MS Gothic"/>
          <w:bCs/>
          <w:kern w:val="28"/>
          <w:szCs w:val="22"/>
          <w:lang w:val="es-ES"/>
        </w:rPr>
        <w:t>La realización de esos ejercicios de simulación requiere bastante tiempo (</w:t>
      </w:r>
      <w:r w:rsidR="001A68CC" w:rsidRPr="00FC10F2">
        <w:rPr>
          <w:rFonts w:eastAsia="MS Gothic"/>
          <w:bCs/>
          <w:kern w:val="28"/>
          <w:szCs w:val="22"/>
          <w:lang w:val="es-ES"/>
        </w:rPr>
        <w:t>una</w:t>
      </w:r>
      <w:r w:rsidRPr="00FC10F2">
        <w:rPr>
          <w:rFonts w:eastAsia="MS Gothic"/>
          <w:bCs/>
          <w:kern w:val="28"/>
          <w:szCs w:val="22"/>
          <w:lang w:val="es-ES"/>
        </w:rPr>
        <w:t xml:space="preserve"> hora </w:t>
      </w:r>
      <w:r w:rsidR="001A68CC" w:rsidRPr="00FC10F2">
        <w:rPr>
          <w:rFonts w:eastAsia="MS Gothic"/>
          <w:bCs/>
          <w:kern w:val="28"/>
          <w:szCs w:val="22"/>
          <w:lang w:val="es-ES"/>
        </w:rPr>
        <w:t xml:space="preserve">y media, </w:t>
      </w:r>
      <w:r w:rsidRPr="00FC10F2">
        <w:rPr>
          <w:rFonts w:eastAsia="MS Gothic"/>
          <w:bCs/>
          <w:kern w:val="28"/>
          <w:szCs w:val="22"/>
          <w:lang w:val="es-ES"/>
        </w:rPr>
        <w:t>como m</w:t>
      </w:r>
      <w:r w:rsidRPr="00FC10F2">
        <w:rPr>
          <w:lang w:val="es-ES"/>
        </w:rPr>
        <w:t>ínimo</w:t>
      </w:r>
      <w:r w:rsidR="001A68CC" w:rsidRPr="00FC10F2">
        <w:rPr>
          <w:lang w:val="es-ES"/>
        </w:rPr>
        <w:t>,</w:t>
      </w:r>
      <w:r w:rsidRPr="00FC10F2">
        <w:rPr>
          <w:lang w:val="es-ES"/>
        </w:rPr>
        <w:t xml:space="preserve"> para cada uno de ellos) El facilitador puede optar por realizar solamente uno de los dos ejercicios propuestos y s</w:t>
      </w:r>
      <w:r w:rsidR="0098125D">
        <w:rPr>
          <w:lang w:val="es-ES"/>
        </w:rPr>
        <w:t>o</w:t>
      </w:r>
      <w:r w:rsidRPr="00FC10F2">
        <w:rPr>
          <w:lang w:val="es-ES"/>
        </w:rPr>
        <w:t>lo debe incluirlo en el programa del taller si se dispone de tiempo suficiente.</w:t>
      </w:r>
    </w:p>
    <w:p w14:paraId="7D2F8C60" w14:textId="77777777" w:rsidR="00DC49A3" w:rsidRPr="00FC10F2" w:rsidRDefault="00DC49A3">
      <w:pPr>
        <w:tabs>
          <w:tab w:val="clear" w:pos="567"/>
        </w:tabs>
        <w:snapToGrid/>
        <w:spacing w:before="0" w:after="0"/>
        <w:jc w:val="left"/>
        <w:rPr>
          <w:snapToGrid/>
          <w:sz w:val="20"/>
          <w:lang w:val="es-ES"/>
        </w:rPr>
      </w:pPr>
      <w:r w:rsidRPr="00FC10F2">
        <w:rPr>
          <w:lang w:val="es-ES"/>
        </w:rPr>
        <w:br w:type="page"/>
      </w:r>
    </w:p>
    <w:p w14:paraId="2429435A" w14:textId="77777777" w:rsidR="00555D14" w:rsidRPr="00FC10F2" w:rsidRDefault="00C4640B" w:rsidP="001A68CC">
      <w:pPr>
        <w:pStyle w:val="Chapitre"/>
        <w:spacing w:after="520"/>
        <w:rPr>
          <w:lang w:val="es-ES"/>
        </w:rPr>
      </w:pPr>
      <w:bookmarkStart w:id="4" w:name="_Toc241644717"/>
      <w:bookmarkStart w:id="5" w:name="_Toc302374686"/>
      <w:r w:rsidRPr="00FC10F2">
        <w:rPr>
          <w:lang w:val="es-ES"/>
        </w:rPr>
        <w:lastRenderedPageBreak/>
        <w:t>Uni</w:t>
      </w:r>
      <w:r w:rsidR="001F081A" w:rsidRPr="00FC10F2">
        <w:rPr>
          <w:lang w:val="es-ES"/>
        </w:rPr>
        <w:t>dad</w:t>
      </w:r>
      <w:r w:rsidRPr="00FC10F2">
        <w:rPr>
          <w:lang w:val="es-ES"/>
        </w:rPr>
        <w:t xml:space="preserve"> </w:t>
      </w:r>
      <w:r w:rsidR="00555D14" w:rsidRPr="00FC10F2">
        <w:rPr>
          <w:lang w:val="es-ES"/>
        </w:rPr>
        <w:t>7</w:t>
      </w:r>
      <w:bookmarkEnd w:id="4"/>
    </w:p>
    <w:p w14:paraId="5E098C90" w14:textId="77777777" w:rsidR="001A68CC" w:rsidRPr="00FC10F2" w:rsidRDefault="001F081A" w:rsidP="001A68CC">
      <w:pPr>
        <w:pStyle w:val="Titcoul"/>
        <w:rPr>
          <w:rFonts w:eastAsia="Calibri"/>
          <w:kern w:val="0"/>
          <w:sz w:val="44"/>
          <w:szCs w:val="44"/>
          <w:lang w:val="es-ES"/>
        </w:rPr>
      </w:pPr>
      <w:bookmarkStart w:id="6" w:name="_Toc241644718"/>
      <w:bookmarkEnd w:id="5"/>
      <w:r w:rsidRPr="00FC10F2">
        <w:rPr>
          <w:rFonts w:eastAsia="Calibri"/>
          <w:kern w:val="0"/>
          <w:sz w:val="44"/>
          <w:szCs w:val="44"/>
          <w:lang w:val="es-ES"/>
        </w:rPr>
        <w:t>participación de las comunidades interesadas</w:t>
      </w:r>
    </w:p>
    <w:p w14:paraId="2F626B59" w14:textId="77777777" w:rsidR="00E10508" w:rsidRPr="00FC10F2" w:rsidRDefault="001A68CC" w:rsidP="001A68CC">
      <w:pPr>
        <w:pStyle w:val="Titcoul"/>
        <w:rPr>
          <w:rFonts w:eastAsia="SimSun" w:cs="Times New Roman"/>
          <w:noProof w:val="0"/>
          <w:snapToGrid/>
          <w:kern w:val="0"/>
          <w:lang w:val="es-ES" w:eastAsia="en-US"/>
        </w:rPr>
      </w:pPr>
      <w:r w:rsidRPr="00FC10F2">
        <w:rPr>
          <w:rFonts w:eastAsia="SimSun" w:cs="Times New Roman"/>
          <w:noProof w:val="0"/>
          <w:snapToGrid/>
          <w:kern w:val="0"/>
          <w:lang w:val="es-ES" w:eastAsia="en-US"/>
        </w:rPr>
        <w:t>GUI</w:t>
      </w:r>
      <w:r w:rsidR="0098125D">
        <w:rPr>
          <w:rFonts w:eastAsia="SimSun" w:cs="Times New Roman"/>
          <w:noProof w:val="0"/>
          <w:snapToGrid/>
          <w:kern w:val="0"/>
          <w:lang w:val="es-ES" w:eastAsia="en-US"/>
        </w:rPr>
        <w:t>O</w:t>
      </w:r>
      <w:r w:rsidRPr="00FC10F2">
        <w:rPr>
          <w:rFonts w:eastAsia="SimSun" w:cs="Times New Roman"/>
          <w:noProof w:val="0"/>
          <w:snapToGrid/>
          <w:kern w:val="0"/>
          <w:lang w:val="es-ES" w:eastAsia="en-US"/>
        </w:rPr>
        <w:t>N PARA EL FACILITADOR</w:t>
      </w:r>
    </w:p>
    <w:bookmarkEnd w:id="6"/>
    <w:p w14:paraId="6DBCF28C" w14:textId="77777777" w:rsidR="0033097C" w:rsidRPr="00FC10F2" w:rsidRDefault="001F081A" w:rsidP="004936EF">
      <w:pPr>
        <w:pStyle w:val="Heading6"/>
        <w:rPr>
          <w:lang w:val="es-ES"/>
        </w:rPr>
      </w:pPr>
      <w:r w:rsidRPr="00FC10F2">
        <w:rPr>
          <w:lang w:val="es-ES"/>
        </w:rPr>
        <w:t>Diapositiva</w:t>
      </w:r>
      <w:r w:rsidR="00F452BB" w:rsidRPr="00FC10F2">
        <w:rPr>
          <w:lang w:val="es-ES"/>
        </w:rPr>
        <w:t xml:space="preserve"> 1</w:t>
      </w:r>
      <w:r w:rsidR="0033097C" w:rsidRPr="00FC10F2">
        <w:rPr>
          <w:lang w:val="es-ES"/>
        </w:rPr>
        <w:t>.</w:t>
      </w:r>
    </w:p>
    <w:p w14:paraId="04B1CE10" w14:textId="77777777" w:rsidR="00F452BB" w:rsidRPr="00FC10F2" w:rsidRDefault="00C67509" w:rsidP="004936EF">
      <w:pPr>
        <w:pStyle w:val="diapo2"/>
        <w:rPr>
          <w:lang w:val="es-ES"/>
        </w:rPr>
      </w:pPr>
      <w:r w:rsidRPr="00FC10F2">
        <w:rPr>
          <w:lang w:val="es-ES"/>
        </w:rPr>
        <w:t>Participación de las comunidades interesadas</w:t>
      </w:r>
    </w:p>
    <w:p w14:paraId="343AF030" w14:textId="77777777" w:rsidR="0033097C" w:rsidRPr="00FC10F2" w:rsidRDefault="001F081A" w:rsidP="004936EF">
      <w:pPr>
        <w:pStyle w:val="Heading6"/>
        <w:rPr>
          <w:lang w:val="es-ES"/>
        </w:rPr>
      </w:pPr>
      <w:r w:rsidRPr="00FC10F2">
        <w:rPr>
          <w:lang w:val="es-ES"/>
        </w:rPr>
        <w:t>Diapositiva</w:t>
      </w:r>
      <w:r w:rsidR="00F452BB" w:rsidRPr="00FC10F2">
        <w:rPr>
          <w:lang w:val="es-ES"/>
        </w:rPr>
        <w:t xml:space="preserve"> 2</w:t>
      </w:r>
      <w:r w:rsidR="0033097C" w:rsidRPr="00FC10F2">
        <w:rPr>
          <w:lang w:val="es-ES"/>
        </w:rPr>
        <w:t>.</w:t>
      </w:r>
    </w:p>
    <w:p w14:paraId="541D3A00" w14:textId="77777777" w:rsidR="00F452BB" w:rsidRPr="00FC10F2" w:rsidRDefault="00C67509" w:rsidP="004936EF">
      <w:pPr>
        <w:pStyle w:val="diapo2"/>
        <w:rPr>
          <w:lang w:val="es-ES"/>
        </w:rPr>
      </w:pPr>
      <w:r w:rsidRPr="00FC10F2">
        <w:rPr>
          <w:lang w:val="es-ES"/>
        </w:rPr>
        <w:t>Esta presentación se refiere a</w:t>
      </w:r>
      <w:r w:rsidR="002B7169" w:rsidRPr="00FC10F2">
        <w:rPr>
          <w:lang w:val="es-ES"/>
        </w:rPr>
        <w:t xml:space="preserve"> …</w:t>
      </w:r>
    </w:p>
    <w:p w14:paraId="004706AB" w14:textId="77777777" w:rsidR="0033097C" w:rsidRPr="00FC10F2" w:rsidRDefault="001F081A" w:rsidP="004936EF">
      <w:pPr>
        <w:pStyle w:val="Heading6"/>
        <w:rPr>
          <w:lang w:val="es-ES"/>
        </w:rPr>
      </w:pPr>
      <w:r w:rsidRPr="00FC10F2">
        <w:rPr>
          <w:lang w:val="es-ES"/>
        </w:rPr>
        <w:t>Diapositiva</w:t>
      </w:r>
      <w:r w:rsidR="007F2269" w:rsidRPr="00FC10F2">
        <w:rPr>
          <w:lang w:val="es-ES"/>
        </w:rPr>
        <w:t xml:space="preserve"> </w:t>
      </w:r>
      <w:r w:rsidR="0098125D">
        <w:rPr>
          <w:lang w:val="es-ES"/>
        </w:rPr>
        <w:t>3</w:t>
      </w:r>
      <w:r w:rsidR="0033097C" w:rsidRPr="00FC10F2">
        <w:rPr>
          <w:lang w:val="es-ES"/>
        </w:rPr>
        <w:t>.</w:t>
      </w:r>
    </w:p>
    <w:p w14:paraId="3FD77A7B" w14:textId="77777777" w:rsidR="007F2269" w:rsidRPr="00FC10F2" w:rsidRDefault="00AC54F1" w:rsidP="004936EF">
      <w:pPr>
        <w:pStyle w:val="diapo2"/>
        <w:rPr>
          <w:lang w:val="es-ES"/>
        </w:rPr>
      </w:pPr>
      <w:r w:rsidRPr="00FC10F2">
        <w:rPr>
          <w:bCs/>
          <w:lang w:val="es-ES"/>
        </w:rPr>
        <w:t>Lo que dicen –y no dicen– la Convención y</w:t>
      </w:r>
      <w:r w:rsidR="00910A64" w:rsidRPr="00FC10F2">
        <w:rPr>
          <w:bCs/>
          <w:lang w:val="es-ES"/>
        </w:rPr>
        <w:t xml:space="preserve"> las Directrices Operativas</w:t>
      </w:r>
    </w:p>
    <w:p w14:paraId="4882888B" w14:textId="77777777" w:rsidR="0098125D" w:rsidRPr="0082121A" w:rsidRDefault="00F07C5F" w:rsidP="009909DD">
      <w:pPr>
        <w:pStyle w:val="Texte1"/>
        <w:rPr>
          <w:color w:val="3366FF"/>
          <w:lang w:val="es-ES"/>
        </w:rPr>
      </w:pPr>
      <w:r w:rsidRPr="0082121A">
        <w:rPr>
          <w:iCs/>
          <w:noProof/>
          <w:color w:val="3366FF"/>
          <w:szCs w:val="20"/>
          <w:lang w:eastAsia="zh-TW"/>
        </w:rPr>
        <w:drawing>
          <wp:anchor distT="0" distB="0" distL="114300" distR="114300" simplePos="0" relativeHeight="251684864" behindDoc="0" locked="1" layoutInCell="1" allowOverlap="0" wp14:anchorId="14A56407" wp14:editId="27FB1718">
            <wp:simplePos x="0" y="0"/>
            <wp:positionH relativeFrom="column">
              <wp:posOffset>88900</wp:posOffset>
            </wp:positionH>
            <wp:positionV relativeFrom="paragraph">
              <wp:posOffset>-77470</wp:posOffset>
            </wp:positionV>
            <wp:extent cx="282575" cy="357505"/>
            <wp:effectExtent l="0" t="0" r="3175" b="4445"/>
            <wp:wrapNone/>
            <wp:docPr id="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98125D" w:rsidRPr="0082121A">
        <w:rPr>
          <w:color w:val="3366FF"/>
          <w:lang w:val="es-ES"/>
        </w:rPr>
        <w:t xml:space="preserve">Remítase a </w:t>
      </w:r>
      <w:r w:rsidR="00350EE3" w:rsidRPr="0082121A">
        <w:rPr>
          <w:color w:val="3366FF"/>
          <w:lang w:val="es-ES"/>
        </w:rPr>
        <w:t>la sección 7.1 del Texto para el Parti</w:t>
      </w:r>
      <w:r w:rsidR="00184D6B" w:rsidRPr="0082121A">
        <w:rPr>
          <w:color w:val="3366FF"/>
          <w:lang w:val="es-ES"/>
        </w:rPr>
        <w:t>cipante de la presente Unidad 7</w:t>
      </w:r>
      <w:r w:rsidR="0098125D" w:rsidRPr="0082121A">
        <w:rPr>
          <w:color w:val="3366FF"/>
          <w:lang w:val="es-ES"/>
        </w:rPr>
        <w:t>.</w:t>
      </w:r>
    </w:p>
    <w:p w14:paraId="52BD05C6" w14:textId="77777777" w:rsidR="007F2269" w:rsidRPr="00FC10F2" w:rsidRDefault="0098125D" w:rsidP="009909DD">
      <w:pPr>
        <w:pStyle w:val="Texte1"/>
        <w:rPr>
          <w:lang w:val="es-ES"/>
        </w:rPr>
      </w:pPr>
      <w:r>
        <w:rPr>
          <w:lang w:val="es-ES"/>
        </w:rPr>
        <w:t>A</w:t>
      </w:r>
      <w:r w:rsidR="00184D6B" w:rsidRPr="00FC10F2">
        <w:rPr>
          <w:lang w:val="es-ES"/>
        </w:rPr>
        <w:t xml:space="preserve"> pesar de que la Convención y las DO proporcionan algunas directrices, ambos textos dejan un amplio margen de libertad a los Estados Partes en muchas cuestiones. Por ejemplo, no definen la noción de “comunidades”</w:t>
      </w:r>
      <w:r w:rsidR="00C1047D" w:rsidRPr="00FC10F2">
        <w:rPr>
          <w:lang w:val="es-ES"/>
        </w:rPr>
        <w:t>.</w:t>
      </w:r>
    </w:p>
    <w:p w14:paraId="38936F7F" w14:textId="77777777" w:rsidR="0033097C" w:rsidRPr="00FC10F2" w:rsidRDefault="001F081A" w:rsidP="004936EF">
      <w:pPr>
        <w:pStyle w:val="Heading6"/>
        <w:rPr>
          <w:lang w:val="es-ES"/>
        </w:rPr>
      </w:pPr>
      <w:r w:rsidRPr="00FC10F2">
        <w:rPr>
          <w:lang w:val="es-ES"/>
        </w:rPr>
        <w:t>Diapositiva</w:t>
      </w:r>
      <w:r w:rsidR="003C640B" w:rsidRPr="00FC10F2">
        <w:rPr>
          <w:lang w:val="es-ES"/>
        </w:rPr>
        <w:t xml:space="preserve"> </w:t>
      </w:r>
      <w:r w:rsidR="007D786C">
        <w:rPr>
          <w:lang w:val="es-ES"/>
        </w:rPr>
        <w:t>4</w:t>
      </w:r>
      <w:r w:rsidR="0033097C" w:rsidRPr="00FC10F2">
        <w:rPr>
          <w:lang w:val="es-ES"/>
        </w:rPr>
        <w:t>.</w:t>
      </w:r>
    </w:p>
    <w:p w14:paraId="0B292A90" w14:textId="77777777" w:rsidR="004534DA" w:rsidRPr="00FC10F2" w:rsidRDefault="00AC54F1" w:rsidP="004936EF">
      <w:pPr>
        <w:pStyle w:val="diapo2"/>
        <w:rPr>
          <w:lang w:val="es-ES"/>
        </w:rPr>
      </w:pPr>
      <w:r w:rsidRPr="00FC10F2">
        <w:rPr>
          <w:bCs/>
          <w:lang w:val="es-ES"/>
        </w:rPr>
        <w:t>¿Por qué es necesaria la participación de las comunidades?</w:t>
      </w:r>
    </w:p>
    <w:p w14:paraId="45529E78" w14:textId="77777777" w:rsidR="00585C1C" w:rsidRPr="00FC10F2" w:rsidRDefault="00195BC3" w:rsidP="009909DD">
      <w:pPr>
        <w:pStyle w:val="Texte1"/>
        <w:rPr>
          <w:lang w:val="es-ES"/>
        </w:rPr>
      </w:pPr>
      <w:r w:rsidRPr="0082121A">
        <w:rPr>
          <w:iCs/>
          <w:noProof/>
          <w:color w:val="3366FF"/>
          <w:szCs w:val="20"/>
          <w:lang w:eastAsia="zh-TW"/>
        </w:rPr>
        <w:drawing>
          <wp:anchor distT="0" distB="0" distL="114300" distR="114300" simplePos="0" relativeHeight="251707392" behindDoc="0" locked="1" layoutInCell="1" allowOverlap="0" wp14:anchorId="66B1B02F" wp14:editId="49C0EB51">
            <wp:simplePos x="0" y="0"/>
            <wp:positionH relativeFrom="column">
              <wp:posOffset>100965</wp:posOffset>
            </wp:positionH>
            <wp:positionV relativeFrom="paragraph">
              <wp:posOffset>-73660</wp:posOffset>
            </wp:positionV>
            <wp:extent cx="282575" cy="357505"/>
            <wp:effectExtent l="0" t="0" r="3175" b="4445"/>
            <wp:wrapNone/>
            <wp:docPr id="5"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7D786C" w:rsidRPr="00031E65">
        <w:rPr>
          <w:iCs/>
          <w:noProof/>
          <w:color w:val="3366FF"/>
          <w:szCs w:val="20"/>
          <w:lang w:eastAsia="zh-TW"/>
        </w:rPr>
        <w:drawing>
          <wp:anchor distT="0" distB="0" distL="114300" distR="114300" simplePos="0" relativeHeight="251686912" behindDoc="0" locked="1" layoutInCell="1" allowOverlap="0" wp14:anchorId="09106004" wp14:editId="544027E8">
            <wp:simplePos x="0" y="0"/>
            <wp:positionH relativeFrom="column">
              <wp:posOffset>106680</wp:posOffset>
            </wp:positionH>
            <wp:positionV relativeFrom="paragraph">
              <wp:posOffset>982980</wp:posOffset>
            </wp:positionV>
            <wp:extent cx="282575" cy="357505"/>
            <wp:effectExtent l="0" t="0" r="3175" b="4445"/>
            <wp:wrapNone/>
            <wp:docPr id="8"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82121A">
        <w:rPr>
          <w:color w:val="3366FF"/>
          <w:lang w:val="es-ES"/>
        </w:rPr>
        <w:t xml:space="preserve">Remítase a </w:t>
      </w:r>
      <w:r w:rsidR="00350EE3" w:rsidRPr="00031E65">
        <w:rPr>
          <w:color w:val="3366FF"/>
          <w:lang w:val="es-ES"/>
        </w:rPr>
        <w:t>la sección 7.2 del Texto para el Participante de la presente Unidad 7</w:t>
      </w:r>
      <w:r w:rsidR="0082121A">
        <w:rPr>
          <w:color w:val="3366FF"/>
          <w:lang w:val="es-ES"/>
        </w:rPr>
        <w:t>.</w:t>
      </w:r>
    </w:p>
    <w:p w14:paraId="0D96385D" w14:textId="77777777" w:rsidR="0033097C" w:rsidRPr="00FC10F2" w:rsidRDefault="001F081A" w:rsidP="004936EF">
      <w:pPr>
        <w:pStyle w:val="Heading6"/>
        <w:rPr>
          <w:rFonts w:cs="Arial"/>
          <w:sz w:val="20"/>
          <w:lang w:val="es-ES"/>
        </w:rPr>
      </w:pPr>
      <w:r w:rsidRPr="00FC10F2">
        <w:rPr>
          <w:lang w:val="es-ES"/>
        </w:rPr>
        <w:t>Diapositiva</w:t>
      </w:r>
      <w:r w:rsidR="003C640B" w:rsidRPr="00FC10F2">
        <w:rPr>
          <w:lang w:val="es-ES"/>
        </w:rPr>
        <w:t xml:space="preserve"> </w:t>
      </w:r>
      <w:r w:rsidR="007D786C">
        <w:rPr>
          <w:lang w:val="es-ES"/>
        </w:rPr>
        <w:t>5</w:t>
      </w:r>
      <w:r w:rsidR="0033097C" w:rsidRPr="00FC10F2">
        <w:rPr>
          <w:lang w:val="es-ES"/>
        </w:rPr>
        <w:t>.</w:t>
      </w:r>
    </w:p>
    <w:p w14:paraId="56FD084C" w14:textId="77777777" w:rsidR="004534DA" w:rsidRPr="00FC10F2" w:rsidRDefault="00AC54F1" w:rsidP="004936EF">
      <w:pPr>
        <w:pStyle w:val="diapo2"/>
        <w:rPr>
          <w:lang w:val="es-ES"/>
        </w:rPr>
      </w:pPr>
      <w:r w:rsidRPr="00FC10F2">
        <w:rPr>
          <w:bCs/>
          <w:lang w:val="es-ES"/>
        </w:rPr>
        <w:t>Funciones de los Estados y derechos de las comunidades</w:t>
      </w:r>
    </w:p>
    <w:p w14:paraId="44343482" w14:textId="77777777" w:rsidR="00AB770E" w:rsidRPr="00FC10F2" w:rsidRDefault="00AC54F1" w:rsidP="009909DD">
      <w:pPr>
        <w:pStyle w:val="Texte1"/>
        <w:rPr>
          <w:lang w:val="es-ES"/>
        </w:rPr>
      </w:pPr>
      <w:r w:rsidRPr="00031E65">
        <w:rPr>
          <w:color w:val="3366FF"/>
          <w:lang w:val="es-ES"/>
        </w:rPr>
        <w:t>Véase</w:t>
      </w:r>
      <w:r w:rsidR="00350EE3" w:rsidRPr="00031E65">
        <w:rPr>
          <w:color w:val="3366FF"/>
          <w:lang w:val="es-ES"/>
        </w:rPr>
        <w:t xml:space="preserve"> la sección 7.2 del Texto para el Parti</w:t>
      </w:r>
      <w:r w:rsidRPr="00031E65">
        <w:rPr>
          <w:color w:val="3366FF"/>
          <w:lang w:val="es-ES"/>
        </w:rPr>
        <w:t>cipante de la presente Unidad 7.</w:t>
      </w:r>
    </w:p>
    <w:p w14:paraId="21CF4475" w14:textId="00774945" w:rsidR="00BA7689" w:rsidRPr="00026030" w:rsidRDefault="00AC54F1" w:rsidP="00DE3F6D">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snapToGrid/>
          <w:color w:val="3366FF"/>
          <w:sz w:val="24"/>
          <w:lang w:val="fr-FR" w:eastAsia="en-US"/>
        </w:rPr>
      </w:pPr>
      <w:r w:rsidRPr="00026030">
        <w:rPr>
          <w:rFonts w:asciiTheme="minorBidi" w:hAnsiTheme="minorBidi" w:cstheme="minorBidi"/>
          <w:b/>
          <w:bCs/>
          <w:snapToGrid/>
          <w:color w:val="3366FF"/>
          <w:sz w:val="24"/>
          <w:lang w:val="fr-FR" w:eastAsia="en-US"/>
        </w:rPr>
        <w:lastRenderedPageBreak/>
        <w:t>Ejercicio</w:t>
      </w:r>
      <w:r w:rsidR="00DE3F6D" w:rsidRPr="00026030">
        <w:rPr>
          <w:rFonts w:asciiTheme="minorBidi" w:hAnsiTheme="minorBidi" w:cstheme="minorBidi"/>
          <w:b/>
          <w:bCs/>
          <w:snapToGrid/>
          <w:color w:val="3366FF"/>
          <w:sz w:val="24"/>
          <w:lang w:val="fr-FR" w:eastAsia="en-US"/>
        </w:rPr>
        <w:t xml:space="preserve"> </w:t>
      </w:r>
      <w:r w:rsidRPr="00026030">
        <w:rPr>
          <w:rFonts w:asciiTheme="minorBidi" w:hAnsiTheme="minorBidi" w:cstheme="minorBidi"/>
          <w:b/>
          <w:bCs/>
          <w:snapToGrid/>
          <w:color w:val="3366FF"/>
          <w:sz w:val="24"/>
          <w:lang w:val="fr-FR" w:eastAsia="en-US"/>
        </w:rPr>
        <w:t>– Funci</w:t>
      </w:r>
      <w:r w:rsidR="0000699B" w:rsidRPr="00026030">
        <w:rPr>
          <w:rFonts w:asciiTheme="minorBidi" w:hAnsiTheme="minorBidi" w:cstheme="minorBidi"/>
          <w:b/>
          <w:bCs/>
          <w:snapToGrid/>
          <w:color w:val="3366FF"/>
          <w:sz w:val="24"/>
          <w:lang w:val="fr-FR" w:eastAsia="en-US"/>
        </w:rPr>
        <w:t>ones</w:t>
      </w:r>
      <w:r w:rsidRPr="00026030">
        <w:rPr>
          <w:rFonts w:asciiTheme="minorBidi" w:hAnsiTheme="minorBidi" w:cstheme="minorBidi"/>
          <w:b/>
          <w:bCs/>
          <w:snapToGrid/>
          <w:color w:val="3366FF"/>
          <w:sz w:val="24"/>
          <w:lang w:val="fr-FR" w:eastAsia="en-US"/>
        </w:rPr>
        <w:t xml:space="preserve"> de las partes interesadas</w:t>
      </w:r>
    </w:p>
    <w:p w14:paraId="7B428D97" w14:textId="28960535" w:rsidR="00DE3F6D" w:rsidRPr="00026030" w:rsidRDefault="00DE3F6D" w:rsidP="00DE3F6D">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fr-FR" w:eastAsia="en-US"/>
        </w:rPr>
      </w:pPr>
      <w:r w:rsidRPr="00026030">
        <w:rPr>
          <w:rFonts w:asciiTheme="minorBidi" w:hAnsiTheme="minorBidi" w:cstheme="minorBidi"/>
          <w:b/>
          <w:bCs/>
          <w:snapToGrid/>
          <w:sz w:val="24"/>
          <w:lang w:val="fr-FR" w:eastAsia="en-US"/>
        </w:rPr>
        <w:t>20 minutos</w:t>
      </w:r>
    </w:p>
    <w:p w14:paraId="2781FF31" w14:textId="77777777" w:rsidR="00BA7689" w:rsidRPr="00026030" w:rsidRDefault="00350EE3" w:rsidP="00DE3F6D">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026030">
        <w:rPr>
          <w:snapToGrid/>
          <w:sz w:val="20"/>
          <w:lang w:val="fr-FR"/>
        </w:rPr>
        <w:t>En el Texto para el Participante de la Unidad</w:t>
      </w:r>
      <w:r w:rsidR="005B7AFC" w:rsidRPr="00026030">
        <w:rPr>
          <w:snapToGrid/>
          <w:sz w:val="20"/>
          <w:lang w:val="fr-FR"/>
        </w:rPr>
        <w:t xml:space="preserve"> 4</w:t>
      </w:r>
      <w:r w:rsidR="00184D6B" w:rsidRPr="00026030">
        <w:rPr>
          <w:snapToGrid/>
          <w:sz w:val="20"/>
          <w:lang w:val="fr-FR"/>
        </w:rPr>
        <w:t>, se dan ejemplos de las distintas funciones que pueden cumplir en la aplicación de la Convención los Estados Partes, las ONG, los expertos y otras partes</w:t>
      </w:r>
      <w:r w:rsidR="00A46530" w:rsidRPr="00026030">
        <w:rPr>
          <w:snapToGrid/>
          <w:sz w:val="20"/>
          <w:lang w:val="fr-FR"/>
        </w:rPr>
        <w:t xml:space="preserve"> </w:t>
      </w:r>
      <w:r w:rsidR="00184D6B" w:rsidRPr="00026030">
        <w:rPr>
          <w:snapToGrid/>
          <w:sz w:val="20"/>
          <w:lang w:val="fr-FR"/>
        </w:rPr>
        <w:t xml:space="preserve">interesadas, junto con las comunidades y los </w:t>
      </w:r>
      <w:r w:rsidR="00A46530" w:rsidRPr="00026030">
        <w:rPr>
          <w:snapToGrid/>
          <w:sz w:val="20"/>
          <w:lang w:val="fr-FR"/>
        </w:rPr>
        <w:t>grupos</w:t>
      </w:r>
      <w:r w:rsidR="00184D6B" w:rsidRPr="00026030">
        <w:rPr>
          <w:snapToGrid/>
          <w:sz w:val="20"/>
          <w:lang w:val="fr-FR"/>
        </w:rPr>
        <w:t xml:space="preserve"> de que se trate</w:t>
      </w:r>
      <w:r w:rsidR="00BA7689" w:rsidRPr="00026030">
        <w:rPr>
          <w:snapToGrid/>
          <w:sz w:val="20"/>
          <w:lang w:val="fr-FR"/>
        </w:rPr>
        <w:t>.</w:t>
      </w:r>
    </w:p>
    <w:p w14:paraId="4127C79A" w14:textId="77777777" w:rsidR="00BA7689" w:rsidRPr="00026030" w:rsidRDefault="00184D6B" w:rsidP="00DE3F6D">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026030">
        <w:rPr>
          <w:snapToGrid/>
          <w:sz w:val="20"/>
          <w:lang w:val="fr-FR"/>
        </w:rPr>
        <w:t>El facilitad</w:t>
      </w:r>
      <w:r w:rsidR="00EF5270" w:rsidRPr="00026030">
        <w:rPr>
          <w:snapToGrid/>
          <w:sz w:val="20"/>
          <w:lang w:val="fr-FR"/>
        </w:rPr>
        <w:t xml:space="preserve">or </w:t>
      </w:r>
      <w:r w:rsidRPr="00026030">
        <w:rPr>
          <w:snapToGrid/>
          <w:sz w:val="20"/>
          <w:lang w:val="fr-FR"/>
        </w:rPr>
        <w:t xml:space="preserve">puede pedir a los participantes que expliquen cómo las comunidades han participado hasta ahora en diferentes funciones relacionadas con la aplicación de la Convención, y a continuación puede animar un debate sobre </w:t>
      </w:r>
      <w:r w:rsidR="007D786C" w:rsidRPr="00026030">
        <w:rPr>
          <w:snapToGrid/>
          <w:sz w:val="20"/>
          <w:lang w:val="fr-FR"/>
        </w:rPr>
        <w:t xml:space="preserve">los problemas y aciertos </w:t>
      </w:r>
      <w:r w:rsidR="00603B17" w:rsidRPr="00026030">
        <w:rPr>
          <w:snapToGrid/>
          <w:sz w:val="20"/>
          <w:lang w:val="fr-FR"/>
        </w:rPr>
        <w:t>que hayan encontrado a lo largo de su propia experiencia</w:t>
      </w:r>
      <w:r w:rsidR="00BA7689" w:rsidRPr="00026030">
        <w:rPr>
          <w:snapToGrid/>
          <w:sz w:val="20"/>
          <w:lang w:val="fr-FR"/>
        </w:rPr>
        <w:t>.</w:t>
      </w:r>
    </w:p>
    <w:p w14:paraId="2E213FC1" w14:textId="77777777" w:rsidR="0033097C" w:rsidRPr="00FC10F2" w:rsidRDefault="001F081A" w:rsidP="004936EF">
      <w:pPr>
        <w:pStyle w:val="Heading6"/>
        <w:rPr>
          <w:lang w:val="es-ES"/>
        </w:rPr>
      </w:pPr>
      <w:r w:rsidRPr="00FC10F2">
        <w:rPr>
          <w:lang w:val="es-ES"/>
        </w:rPr>
        <w:t>Diapositiva</w:t>
      </w:r>
      <w:r w:rsidR="003C640B" w:rsidRPr="00FC10F2">
        <w:rPr>
          <w:lang w:val="es-ES"/>
        </w:rPr>
        <w:t xml:space="preserve"> </w:t>
      </w:r>
      <w:r w:rsidR="00603B17">
        <w:rPr>
          <w:lang w:val="es-ES"/>
        </w:rPr>
        <w:t>6</w:t>
      </w:r>
      <w:r w:rsidR="0033097C" w:rsidRPr="00FC10F2">
        <w:rPr>
          <w:lang w:val="es-ES"/>
        </w:rPr>
        <w:t>.</w:t>
      </w:r>
    </w:p>
    <w:p w14:paraId="4C979CAA" w14:textId="77777777" w:rsidR="004534DA" w:rsidRPr="00FC10F2" w:rsidRDefault="00AC54F1" w:rsidP="004936EF">
      <w:pPr>
        <w:pStyle w:val="diapo2"/>
        <w:rPr>
          <w:lang w:val="es-ES"/>
        </w:rPr>
      </w:pPr>
      <w:r w:rsidRPr="00FC10F2">
        <w:rPr>
          <w:bCs/>
          <w:lang w:val="es-ES"/>
        </w:rPr>
        <w:t>Actividades en las que deben participar las comunidades</w:t>
      </w:r>
      <w:r w:rsidR="004534DA" w:rsidRPr="00FC10F2">
        <w:rPr>
          <w:lang w:val="es-ES"/>
        </w:rPr>
        <w:t xml:space="preserve"> </w:t>
      </w:r>
    </w:p>
    <w:p w14:paraId="6F61FF85" w14:textId="77777777" w:rsidR="00294CF8" w:rsidRPr="00FC10F2" w:rsidRDefault="00603B17" w:rsidP="009909DD">
      <w:pPr>
        <w:pStyle w:val="Texte1"/>
        <w:rPr>
          <w:lang w:val="es-ES"/>
        </w:rPr>
      </w:pPr>
      <w:r w:rsidRPr="0016787E">
        <w:rPr>
          <w:iCs/>
          <w:noProof/>
          <w:color w:val="3366FF"/>
          <w:szCs w:val="20"/>
          <w:lang w:eastAsia="zh-TW"/>
        </w:rPr>
        <w:drawing>
          <wp:anchor distT="0" distB="0" distL="114300" distR="114300" simplePos="0" relativeHeight="251688960" behindDoc="0" locked="1" layoutInCell="1" allowOverlap="0" wp14:anchorId="3C47E0CC" wp14:editId="2C87D311">
            <wp:simplePos x="0" y="0"/>
            <wp:positionH relativeFrom="column">
              <wp:posOffset>64770</wp:posOffset>
            </wp:positionH>
            <wp:positionV relativeFrom="paragraph">
              <wp:posOffset>1905</wp:posOffset>
            </wp:positionV>
            <wp:extent cx="282575" cy="357505"/>
            <wp:effectExtent l="0" t="0" r="3175" b="4445"/>
            <wp:wrapNone/>
            <wp:docPr id="11"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031E65">
        <w:rPr>
          <w:color w:val="3366FF"/>
          <w:lang w:val="es-ES"/>
        </w:rPr>
        <w:t xml:space="preserve">Remítase a </w:t>
      </w:r>
      <w:r w:rsidR="00350EE3" w:rsidRPr="0016787E">
        <w:rPr>
          <w:color w:val="3366FF"/>
          <w:lang w:val="es-ES"/>
        </w:rPr>
        <w:t>la sección 7.3 del Texto para el Participante de la presente Unidad 7</w:t>
      </w:r>
      <w:r w:rsidR="007B3266" w:rsidRPr="0016787E">
        <w:rPr>
          <w:color w:val="3366FF"/>
          <w:lang w:val="es-ES"/>
        </w:rPr>
        <w:t>.</w:t>
      </w:r>
    </w:p>
    <w:p w14:paraId="1D948263" w14:textId="77777777" w:rsidR="00172C95" w:rsidRPr="00FC10F2" w:rsidRDefault="00172C95" w:rsidP="004936EF">
      <w:pPr>
        <w:pStyle w:val="Soustitre"/>
        <w:rPr>
          <w:caps/>
          <w:lang w:val="es-ES"/>
        </w:rPr>
      </w:pPr>
      <w:bookmarkStart w:id="7" w:name="_Toc238982231"/>
      <w:r w:rsidRPr="00FC10F2">
        <w:rPr>
          <w:lang w:val="es-ES"/>
        </w:rPr>
        <w:t>Not</w:t>
      </w:r>
      <w:r w:rsidR="0007316C" w:rsidRPr="00FC10F2">
        <w:rPr>
          <w:lang w:val="es-ES"/>
        </w:rPr>
        <w:t>a</w:t>
      </w:r>
      <w:r w:rsidRPr="00FC10F2">
        <w:rPr>
          <w:lang w:val="es-ES"/>
        </w:rPr>
        <w:t xml:space="preserve"> </w:t>
      </w:r>
      <w:r w:rsidR="0007316C" w:rsidRPr="00FC10F2">
        <w:rPr>
          <w:lang w:val="es-ES"/>
        </w:rPr>
        <w:t xml:space="preserve">sobre las </w:t>
      </w:r>
      <w:r w:rsidR="00603B17">
        <w:rPr>
          <w:lang w:val="es-ES"/>
        </w:rPr>
        <w:t>buenas</w:t>
      </w:r>
      <w:r w:rsidR="00603B17" w:rsidRPr="00FC10F2">
        <w:rPr>
          <w:lang w:val="es-ES"/>
        </w:rPr>
        <w:t xml:space="preserve"> </w:t>
      </w:r>
      <w:r w:rsidR="0007316C" w:rsidRPr="00FC10F2">
        <w:rPr>
          <w:lang w:val="es-ES"/>
        </w:rPr>
        <w:t>prácticas en materia de participación de las comunidades en la salvaguardia</w:t>
      </w:r>
      <w:bookmarkEnd w:id="7"/>
    </w:p>
    <w:p w14:paraId="655AC72F" w14:textId="77777777" w:rsidR="0092683A" w:rsidRPr="00FC10F2" w:rsidRDefault="0007316C" w:rsidP="009909DD">
      <w:pPr>
        <w:pStyle w:val="Texte1"/>
        <w:rPr>
          <w:lang w:val="es-ES"/>
        </w:rPr>
      </w:pPr>
      <w:r w:rsidRPr="00FC10F2">
        <w:rPr>
          <w:lang w:val="es-ES"/>
        </w:rPr>
        <w:t>Es importante disponer de buenos ejemplos sobre la participación de las comunidades en la aplicación de la Convención</w:t>
      </w:r>
      <w:r w:rsidR="00FC4DFB" w:rsidRPr="00FC10F2">
        <w:rPr>
          <w:lang w:val="es-ES"/>
        </w:rPr>
        <w:t xml:space="preserve">. </w:t>
      </w:r>
      <w:r w:rsidRPr="00FC10F2">
        <w:rPr>
          <w:lang w:val="es-ES"/>
        </w:rPr>
        <w:t xml:space="preserve">Desde 2009, el Comité Intergubernamental ha venido seleccionado varios ejemplos de </w:t>
      </w:r>
      <w:r w:rsidR="002B74B7">
        <w:rPr>
          <w:lang w:val="es-ES"/>
        </w:rPr>
        <w:t>buenas</w:t>
      </w:r>
      <w:r w:rsidR="002B74B7" w:rsidRPr="00FC10F2">
        <w:rPr>
          <w:lang w:val="es-ES"/>
        </w:rPr>
        <w:t xml:space="preserve"> </w:t>
      </w:r>
      <w:r w:rsidRPr="00FC10F2">
        <w:rPr>
          <w:lang w:val="es-ES"/>
        </w:rPr>
        <w:t>prácticas en este ámbito y las ha difundido ampliamente</w:t>
      </w:r>
      <w:r w:rsidR="00630A25">
        <w:rPr>
          <w:lang w:val="es-ES"/>
        </w:rPr>
        <w:t>.</w:t>
      </w:r>
    </w:p>
    <w:p w14:paraId="66985141" w14:textId="77777777" w:rsidR="008F429F" w:rsidRPr="00FC10F2" w:rsidRDefault="00B57BF0" w:rsidP="008F429F">
      <w:pPr>
        <w:pStyle w:val="Informations0"/>
        <w:rPr>
          <w:lang w:val="es-ES"/>
        </w:rPr>
      </w:pPr>
      <w:r w:rsidRPr="00FC10F2">
        <w:rPr>
          <w:noProof/>
          <w:lang w:eastAsia="zh-TW"/>
        </w:rPr>
        <w:drawing>
          <wp:anchor distT="0" distB="0" distL="114300" distR="114300" simplePos="0" relativeHeight="251674624" behindDoc="0" locked="1" layoutInCell="1" allowOverlap="0" wp14:anchorId="71B90EA9" wp14:editId="63746147">
            <wp:simplePos x="0" y="0"/>
            <wp:positionH relativeFrom="column">
              <wp:posOffset>104775</wp:posOffset>
            </wp:positionH>
            <wp:positionV relativeFrom="paragraph">
              <wp:posOffset>-38735</wp:posOffset>
            </wp:positionV>
            <wp:extent cx="279400" cy="354965"/>
            <wp:effectExtent l="19050" t="0" r="6350" b="0"/>
            <wp:wrapThrough wrapText="bothSides">
              <wp:wrapPolygon edited="0">
                <wp:start x="-1473" y="0"/>
                <wp:lineTo x="-1473" y="20866"/>
                <wp:lineTo x="22091" y="20866"/>
                <wp:lineTo x="22091" y="0"/>
                <wp:lineTo x="-1473" y="0"/>
              </wp:wrapPolygon>
            </wp:wrapThrough>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9400" cy="354965"/>
                    </a:xfrm>
                    <a:prstGeom prst="rect">
                      <a:avLst/>
                    </a:prstGeom>
                  </pic:spPr>
                </pic:pic>
              </a:graphicData>
            </a:graphic>
          </wp:anchor>
        </w:drawing>
      </w:r>
      <w:r w:rsidR="0007316C" w:rsidRPr="00FC10F2">
        <w:rPr>
          <w:lang w:val="es-ES"/>
        </w:rPr>
        <w:t xml:space="preserve">La lista de programas seleccionados para </w:t>
      </w:r>
      <w:r w:rsidR="00A46530" w:rsidRPr="00FC10F2">
        <w:rPr>
          <w:lang w:val="es-ES"/>
        </w:rPr>
        <w:t>figurar</w:t>
      </w:r>
      <w:r w:rsidR="0007316C" w:rsidRPr="00FC10F2">
        <w:rPr>
          <w:lang w:val="es-ES"/>
        </w:rPr>
        <w:t xml:space="preserve"> en el Registro de </w:t>
      </w:r>
      <w:r w:rsidR="002B74B7">
        <w:rPr>
          <w:lang w:val="es-ES"/>
        </w:rPr>
        <w:t>Buenas</w:t>
      </w:r>
      <w:r w:rsidR="002B74B7" w:rsidRPr="00FC10F2">
        <w:rPr>
          <w:lang w:val="es-ES"/>
        </w:rPr>
        <w:t xml:space="preserve"> </w:t>
      </w:r>
      <w:r w:rsidR="0007316C" w:rsidRPr="00FC10F2">
        <w:rPr>
          <w:lang w:val="es-ES"/>
        </w:rPr>
        <w:t>Prácticas se puede consultar en</w:t>
      </w:r>
      <w:r w:rsidR="0092683A" w:rsidRPr="00FC10F2">
        <w:rPr>
          <w:lang w:val="es-ES"/>
        </w:rPr>
        <w:t>:</w:t>
      </w:r>
      <w:r w:rsidR="0007316C" w:rsidRPr="00FC10F2">
        <w:rPr>
          <w:lang w:val="es-ES"/>
        </w:rPr>
        <w:t xml:space="preserve"> </w:t>
      </w:r>
      <w:hyperlink r:id="rId16" w:history="1">
        <w:r w:rsidR="00641E5C" w:rsidRPr="00FC10F2">
          <w:rPr>
            <w:rStyle w:val="Hyperlink"/>
            <w:lang w:val="es-ES"/>
          </w:rPr>
          <w:t>http://www.unesco.org/culture/ich/index.php?lg=es&amp;pg=00675</w:t>
        </w:r>
      </w:hyperlink>
    </w:p>
    <w:p w14:paraId="7C721C20" w14:textId="5B9C468A" w:rsidR="00E52BE4" w:rsidRPr="00FC10F2" w:rsidRDefault="00294CF8" w:rsidP="004936EF">
      <w:pPr>
        <w:pStyle w:val="Soustitre"/>
        <w:rPr>
          <w:caps/>
          <w:lang w:val="es-ES"/>
        </w:rPr>
      </w:pPr>
      <w:bookmarkStart w:id="8" w:name="_Toc238982232"/>
      <w:r w:rsidRPr="00FC10F2">
        <w:rPr>
          <w:lang w:val="es-ES"/>
        </w:rPr>
        <w:t>Not</w:t>
      </w:r>
      <w:r w:rsidR="0007316C" w:rsidRPr="00FC10F2">
        <w:rPr>
          <w:lang w:val="es-ES"/>
        </w:rPr>
        <w:t>a</w:t>
      </w:r>
      <w:r w:rsidR="00E52BE4" w:rsidRPr="00FC10F2">
        <w:rPr>
          <w:lang w:val="es-ES"/>
        </w:rPr>
        <w:t xml:space="preserve"> </w:t>
      </w:r>
      <w:r w:rsidR="0007316C" w:rsidRPr="00FC10F2">
        <w:rPr>
          <w:lang w:val="es-ES"/>
        </w:rPr>
        <w:t>sobre la participaci</w:t>
      </w:r>
      <w:r w:rsidR="008F429F" w:rsidRPr="00FC10F2">
        <w:rPr>
          <w:lang w:val="es-ES"/>
        </w:rPr>
        <w:t>ó</w:t>
      </w:r>
      <w:r w:rsidR="0007316C" w:rsidRPr="00FC10F2">
        <w:rPr>
          <w:lang w:val="es-ES"/>
        </w:rPr>
        <w:t>n de las comunidades</w:t>
      </w:r>
      <w:r w:rsidR="00DE3F6D">
        <w:rPr>
          <w:lang w:val="es-ES"/>
        </w:rPr>
        <w:t xml:space="preserve"> en la gestión del patrimonio </w:t>
      </w:r>
      <w:r w:rsidR="0007316C" w:rsidRPr="00FC10F2">
        <w:rPr>
          <w:lang w:val="es-ES"/>
        </w:rPr>
        <w:t>material</w:t>
      </w:r>
      <w:bookmarkEnd w:id="8"/>
      <w:r w:rsidRPr="00FC10F2">
        <w:rPr>
          <w:lang w:val="es-ES"/>
        </w:rPr>
        <w:t xml:space="preserve"> </w:t>
      </w:r>
    </w:p>
    <w:p w14:paraId="40ADFEF2" w14:textId="69557C73" w:rsidR="00294CF8" w:rsidRPr="00FC10F2" w:rsidRDefault="008F429F" w:rsidP="009909DD">
      <w:pPr>
        <w:pStyle w:val="Texte1"/>
        <w:rPr>
          <w:lang w:val="es-ES"/>
        </w:rPr>
      </w:pPr>
      <w:r w:rsidRPr="00FC10F2">
        <w:rPr>
          <w:lang w:val="es-ES"/>
        </w:rPr>
        <w:t xml:space="preserve">La participación de las comunidades en la gestión del patrimonio </w:t>
      </w:r>
      <w:r w:rsidRPr="0016787E">
        <w:rPr>
          <w:lang w:val="es-ES"/>
        </w:rPr>
        <w:t>material</w:t>
      </w:r>
      <w:r w:rsidRPr="00FC10F2">
        <w:rPr>
          <w:lang w:val="es-ES"/>
        </w:rPr>
        <w:t xml:space="preserve"> se ha convertido en un principio de suma importancia, especialmente en la medida en que el valor público o social atribuido a los </w:t>
      </w:r>
      <w:r w:rsidRPr="00DE3F6D">
        <w:rPr>
          <w:lang w:val="es-ES"/>
        </w:rPr>
        <w:t xml:space="preserve">lugares y objetos relacionados con el patrimonio cultural inmaterial ha ido cobrando más importancia en lo que respecta a la determinación de </w:t>
      </w:r>
      <w:r w:rsidR="00FF0A2C" w:rsidRPr="00DE3F6D">
        <w:rPr>
          <w:lang w:val="es-ES"/>
        </w:rPr>
        <w:t>su</w:t>
      </w:r>
      <w:r w:rsidRPr="00DE3F6D">
        <w:rPr>
          <w:lang w:val="es-ES"/>
        </w:rPr>
        <w:t xml:space="preserve"> relevancia</w:t>
      </w:r>
      <w:r w:rsidR="00294CF8" w:rsidRPr="00DE3F6D">
        <w:rPr>
          <w:lang w:val="es-ES"/>
        </w:rPr>
        <w:t xml:space="preserve">. </w:t>
      </w:r>
      <w:r w:rsidRPr="00DE3F6D">
        <w:rPr>
          <w:lang w:val="es-ES"/>
        </w:rPr>
        <w:t xml:space="preserve">Han surgido nuevos ámbitos de investigación y práctica sobre </w:t>
      </w:r>
      <w:r w:rsidR="00FF0A2C" w:rsidRPr="00DE3F6D">
        <w:rPr>
          <w:lang w:val="es-ES"/>
        </w:rPr>
        <w:t>esos lugares y objetos</w:t>
      </w:r>
      <w:r w:rsidRPr="00DE3F6D">
        <w:rPr>
          <w:lang w:val="es-ES"/>
        </w:rPr>
        <w:t>,</w:t>
      </w:r>
      <w:r w:rsidRPr="00FC10F2">
        <w:rPr>
          <w:lang w:val="es-ES"/>
        </w:rPr>
        <w:t xml:space="preserve"> por ejemplo la arqueología comunitaria o la pública</w:t>
      </w:r>
      <w:r w:rsidR="00294CF8" w:rsidRPr="00FC10F2">
        <w:rPr>
          <w:lang w:val="es-ES"/>
        </w:rPr>
        <w:t xml:space="preserve">. </w:t>
      </w:r>
    </w:p>
    <w:p w14:paraId="6E1A658D" w14:textId="77777777" w:rsidR="0033097C" w:rsidRPr="00FC10F2" w:rsidRDefault="001F081A" w:rsidP="004936EF">
      <w:pPr>
        <w:pStyle w:val="Heading6"/>
        <w:rPr>
          <w:lang w:val="es-ES"/>
        </w:rPr>
      </w:pPr>
      <w:r w:rsidRPr="00FC10F2">
        <w:rPr>
          <w:lang w:val="es-ES"/>
        </w:rPr>
        <w:t>Diapositiva</w:t>
      </w:r>
      <w:r w:rsidR="00E248EB" w:rsidRPr="00FC10F2">
        <w:rPr>
          <w:lang w:val="es-ES"/>
        </w:rPr>
        <w:t xml:space="preserve"> </w:t>
      </w:r>
      <w:r w:rsidR="00B07543">
        <w:rPr>
          <w:lang w:val="es-ES"/>
        </w:rPr>
        <w:t>7</w:t>
      </w:r>
      <w:r w:rsidR="0033097C" w:rsidRPr="00FC10F2">
        <w:rPr>
          <w:lang w:val="es-ES"/>
        </w:rPr>
        <w:t>.</w:t>
      </w:r>
    </w:p>
    <w:p w14:paraId="05B6B1AF" w14:textId="77777777" w:rsidR="004534DA" w:rsidRPr="00FC10F2" w:rsidRDefault="00AC54F1" w:rsidP="004936EF">
      <w:pPr>
        <w:pStyle w:val="diapo2"/>
        <w:rPr>
          <w:lang w:val="es-ES"/>
        </w:rPr>
      </w:pPr>
      <w:r w:rsidRPr="00FC10F2">
        <w:rPr>
          <w:bCs/>
          <w:lang w:val="es-ES"/>
        </w:rPr>
        <w:t>Participación de las comunidades en la confección de inventarios de su PCI</w:t>
      </w:r>
    </w:p>
    <w:p w14:paraId="4CCB49EF" w14:textId="77777777" w:rsidR="00135FF1" w:rsidRPr="00FC10F2" w:rsidRDefault="00350EE3" w:rsidP="009909DD">
      <w:pPr>
        <w:pStyle w:val="Texte1"/>
        <w:rPr>
          <w:lang w:val="es-ES" w:eastAsia="en-US"/>
        </w:rPr>
      </w:pPr>
      <w:r w:rsidRPr="0016787E">
        <w:rPr>
          <w:color w:val="3366FF"/>
          <w:lang w:val="es-ES" w:eastAsia="en-US"/>
        </w:rPr>
        <w:t xml:space="preserve">En la sección 7.4 del Texto para el Participante de la presente Unidad 7, </w:t>
      </w:r>
      <w:r w:rsidR="00D61677" w:rsidRPr="0016787E">
        <w:rPr>
          <w:color w:val="3366FF"/>
          <w:lang w:val="es-ES" w:eastAsia="en-US"/>
        </w:rPr>
        <w:t xml:space="preserve">se examina la </w:t>
      </w:r>
      <w:r w:rsidR="00B07543" w:rsidRPr="007F57F8">
        <w:rPr>
          <w:iCs/>
          <w:noProof/>
          <w:color w:val="3366FF"/>
          <w:szCs w:val="20"/>
          <w:lang w:eastAsia="zh-TW"/>
        </w:rPr>
        <w:drawing>
          <wp:anchor distT="0" distB="0" distL="114300" distR="114300" simplePos="0" relativeHeight="251691008" behindDoc="0" locked="1" layoutInCell="1" allowOverlap="0" wp14:anchorId="02C4D29D" wp14:editId="53D08123">
            <wp:simplePos x="0" y="0"/>
            <wp:positionH relativeFrom="column">
              <wp:posOffset>38100</wp:posOffset>
            </wp:positionH>
            <wp:positionV relativeFrom="paragraph">
              <wp:posOffset>80010</wp:posOffset>
            </wp:positionV>
            <wp:extent cx="282575" cy="357505"/>
            <wp:effectExtent l="0" t="0" r="3175" b="4445"/>
            <wp:wrapNone/>
            <wp:docPr id="1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D61677" w:rsidRPr="0016787E">
        <w:rPr>
          <w:color w:val="3366FF"/>
          <w:lang w:val="es-ES" w:eastAsia="en-US"/>
        </w:rPr>
        <w:t>importancia que tiene la participación de las comunidades en la confección de inventarios de su PCI</w:t>
      </w:r>
      <w:r w:rsidR="00C439BB" w:rsidRPr="0016787E">
        <w:rPr>
          <w:color w:val="3366FF"/>
          <w:lang w:val="es-ES" w:eastAsia="en-US"/>
        </w:rPr>
        <w:t>.</w:t>
      </w:r>
    </w:p>
    <w:p w14:paraId="2DE03AFB" w14:textId="77777777" w:rsidR="004534DA" w:rsidRPr="00FC10F2" w:rsidRDefault="00D61677" w:rsidP="009909DD">
      <w:pPr>
        <w:pStyle w:val="Texte1"/>
        <w:rPr>
          <w:szCs w:val="20"/>
          <w:lang w:val="es-ES"/>
        </w:rPr>
      </w:pPr>
      <w:r w:rsidRPr="00FC10F2">
        <w:rPr>
          <w:szCs w:val="20"/>
          <w:lang w:val="es-ES"/>
        </w:rPr>
        <w:t xml:space="preserve">En </w:t>
      </w:r>
      <w:r w:rsidR="005E49B7" w:rsidRPr="00FC10F2">
        <w:rPr>
          <w:szCs w:val="20"/>
          <w:lang w:val="es-ES"/>
        </w:rPr>
        <w:t>la</w:t>
      </w:r>
      <w:r w:rsidRPr="00FC10F2">
        <w:rPr>
          <w:szCs w:val="20"/>
          <w:lang w:val="es-ES"/>
        </w:rPr>
        <w:t xml:space="preserve"> diapositiva se muestra </w:t>
      </w:r>
      <w:r w:rsidR="005E49B7" w:rsidRPr="00FC10F2">
        <w:rPr>
          <w:szCs w:val="20"/>
          <w:lang w:val="es-ES"/>
        </w:rPr>
        <w:t>un extracto de lo que opina a este respecto</w:t>
      </w:r>
      <w:r w:rsidRPr="00FC10F2">
        <w:rPr>
          <w:szCs w:val="20"/>
          <w:lang w:val="es-ES"/>
        </w:rPr>
        <w:t xml:space="preserve"> </w:t>
      </w:r>
      <w:r w:rsidR="005E49B7" w:rsidRPr="00FC10F2">
        <w:rPr>
          <w:szCs w:val="20"/>
          <w:lang w:val="es-ES"/>
        </w:rPr>
        <w:t>la Dra. Maria Cecília Londres Fonseca, miembro del Instituto del Patrimonio Histórico y Artístico Nacional (IPHAN) de Brasil, la institución oficial más importante de este país en materia de patrimonio</w:t>
      </w:r>
      <w:r w:rsidR="00C439BB" w:rsidRPr="00FC10F2">
        <w:rPr>
          <w:szCs w:val="20"/>
          <w:lang w:val="es-ES"/>
        </w:rPr>
        <w:t xml:space="preserve"> </w:t>
      </w:r>
      <w:r w:rsidR="005E49B7" w:rsidRPr="00FC10F2">
        <w:rPr>
          <w:szCs w:val="20"/>
          <w:lang w:val="es-ES"/>
        </w:rPr>
        <w:t>cultural</w:t>
      </w:r>
      <w:r w:rsidR="004534DA" w:rsidRPr="00FC10F2">
        <w:rPr>
          <w:szCs w:val="20"/>
          <w:lang w:val="es-ES"/>
        </w:rPr>
        <w:t>:</w:t>
      </w:r>
    </w:p>
    <w:p w14:paraId="0E436AE8" w14:textId="77777777" w:rsidR="004534DA" w:rsidRPr="00FC10F2" w:rsidRDefault="00F37DD2" w:rsidP="004936EF">
      <w:pPr>
        <w:pStyle w:val="citation"/>
        <w:rPr>
          <w:lang w:val="es-ES"/>
        </w:rPr>
      </w:pPr>
      <w:r w:rsidRPr="00FC10F2">
        <w:rPr>
          <w:lang w:val="es-ES"/>
        </w:rPr>
        <w:lastRenderedPageBreak/>
        <w:t>“En mi opinión, lo que realmente se necesita es que la comunidad participe en el proceso [de confección de inventarios] porque, de lo contrario, nuestra visión se alejará demasiado de lo que realmente sucede y no nos percataremos de que el nombre y la categoría del elemento no son lo único que importa. Lo que importa, por encima de todo, es su significado, los valores que se le atribuyen y la forma en que las personas lo practican, lo cual es algo que varía enormemente […]. Por supuesto, la opinión de un antropólogo resulta muy útil, pero me pregunto si es suficiente. Indiscutiblemente, el antropólogo es muy útil porque conoce la metodología, pero el problema no es sólo la descripción del elemento, porque para nosotros el inventario es el primer paso hacia la salvaguardia. Cuando la población participa en la realización del inventario, cuando se involucra en el proceso, se convierte en copartícipe del mismo.</w:t>
      </w:r>
      <w:r w:rsidRPr="00FC10F2">
        <w:rPr>
          <w:rFonts w:ascii="Calibri" w:eastAsia="+mn-ea" w:hAnsi="Calibri" w:cs="+mn-cs"/>
          <w:color w:val="000000"/>
          <w:kern w:val="24"/>
          <w:sz w:val="56"/>
          <w:szCs w:val="56"/>
          <w:lang w:val="es-ES"/>
        </w:rPr>
        <w:t xml:space="preserve"> </w:t>
      </w:r>
      <w:r w:rsidRPr="00FC10F2">
        <w:rPr>
          <w:lang w:val="es-ES"/>
        </w:rPr>
        <w:t>Si la inscripción [en un inventario] se efectúa sin haber mantenido un diálogo con la comunidad, aun cuando se trate de un gesto formal en ese sentido, me extrañaría mucho que ésta participase de algún modo en la salvaguardia o que esa participación se lograra después. No es imposible, pero creo que es mejor lograrla antes, si es posible. Sin embargo, soy consciente de que generalizar esto es un tanto complicado y considero que cada país debe encontrar sus propias respuestas”</w:t>
      </w:r>
      <w:r w:rsidR="00B07543">
        <w:rPr>
          <w:lang w:val="es-ES"/>
        </w:rPr>
        <w:t>.</w:t>
      </w:r>
    </w:p>
    <w:p w14:paraId="4B68F0D7" w14:textId="77777777" w:rsidR="0033097C" w:rsidRPr="00FC10F2" w:rsidRDefault="001F081A" w:rsidP="004936EF">
      <w:pPr>
        <w:pStyle w:val="Heading6"/>
        <w:rPr>
          <w:lang w:val="es-ES"/>
        </w:rPr>
      </w:pPr>
      <w:r w:rsidRPr="00FC10F2">
        <w:rPr>
          <w:lang w:val="es-ES"/>
        </w:rPr>
        <w:t>Diapositiva</w:t>
      </w:r>
      <w:r w:rsidR="00E248EB" w:rsidRPr="00FC10F2">
        <w:rPr>
          <w:lang w:val="es-ES"/>
        </w:rPr>
        <w:t xml:space="preserve"> </w:t>
      </w:r>
      <w:r w:rsidR="004A61E5">
        <w:rPr>
          <w:lang w:val="es-ES"/>
        </w:rPr>
        <w:t>8</w:t>
      </w:r>
      <w:r w:rsidR="0033097C" w:rsidRPr="00FC10F2">
        <w:rPr>
          <w:lang w:val="es-ES"/>
        </w:rPr>
        <w:t>.</w:t>
      </w:r>
    </w:p>
    <w:p w14:paraId="13EC488B" w14:textId="77777777" w:rsidR="004534DA" w:rsidRPr="00FC10F2" w:rsidRDefault="00A525C1">
      <w:pPr>
        <w:pStyle w:val="diapo2"/>
        <w:rPr>
          <w:lang w:val="es-ES"/>
        </w:rPr>
      </w:pPr>
      <w:r w:rsidRPr="00FC10F2">
        <w:rPr>
          <w:bCs/>
          <w:lang w:val="es-ES"/>
        </w:rPr>
        <w:t>Estudio de caso</w:t>
      </w:r>
      <w:r w:rsidR="001B5150" w:rsidRPr="00FC10F2">
        <w:rPr>
          <w:bCs/>
          <w:lang w:val="es-ES"/>
        </w:rPr>
        <w:t xml:space="preserve"> – </w:t>
      </w:r>
      <w:r w:rsidR="00D76BE3" w:rsidRPr="00FC10F2">
        <w:rPr>
          <w:bCs/>
          <w:lang w:val="es-ES"/>
        </w:rPr>
        <w:t>Documentación de los conocimientos de la comunidad indígena subanen (Filipinas)</w:t>
      </w:r>
    </w:p>
    <w:p w14:paraId="6AA7A734" w14:textId="77777777" w:rsidR="00C439BB" w:rsidRPr="00FC10F2" w:rsidRDefault="003D3C66" w:rsidP="009909DD">
      <w:pPr>
        <w:pStyle w:val="Texte1"/>
        <w:rPr>
          <w:lang w:val="es-ES"/>
        </w:rPr>
      </w:pPr>
      <w:r w:rsidRPr="00FC10F2">
        <w:rPr>
          <w:lang w:val="es-ES"/>
        </w:rPr>
        <w:t xml:space="preserve">El ejemplo presentado en esta dispositiva es un resumen del Estudio de Caso </w:t>
      </w:r>
      <w:r w:rsidR="00B577F8" w:rsidRPr="00FC10F2">
        <w:rPr>
          <w:lang w:val="es-ES"/>
        </w:rPr>
        <w:t>9</w:t>
      </w:r>
      <w:r w:rsidR="00C439BB" w:rsidRPr="00FC10F2">
        <w:rPr>
          <w:lang w:val="es-ES"/>
        </w:rPr>
        <w:t xml:space="preserve">. </w:t>
      </w:r>
    </w:p>
    <w:p w14:paraId="3CC66443" w14:textId="77777777" w:rsidR="00525C68" w:rsidRPr="00FC10F2" w:rsidRDefault="00641E5C" w:rsidP="009909DD">
      <w:pPr>
        <w:pStyle w:val="Texte1"/>
        <w:rPr>
          <w:lang w:val="es-ES"/>
        </w:rPr>
      </w:pPr>
      <w:r w:rsidRPr="00FC10F2">
        <w:rPr>
          <w:lang w:val="es-ES"/>
        </w:rPr>
        <w:t>En el periodo</w:t>
      </w:r>
      <w:r w:rsidR="004534DA" w:rsidRPr="00FC10F2">
        <w:rPr>
          <w:lang w:val="es-ES"/>
        </w:rPr>
        <w:t xml:space="preserve"> 2003</w:t>
      </w:r>
      <w:r w:rsidRPr="00FC10F2">
        <w:rPr>
          <w:lang w:val="es-ES"/>
        </w:rPr>
        <w:t>-</w:t>
      </w:r>
      <w:r w:rsidR="004534DA" w:rsidRPr="00FC10F2">
        <w:rPr>
          <w:lang w:val="es-ES"/>
        </w:rPr>
        <w:t>2004</w:t>
      </w:r>
      <w:r w:rsidRPr="00FC10F2">
        <w:rPr>
          <w:lang w:val="es-ES"/>
        </w:rPr>
        <w:t>, la comunidad s</w:t>
      </w:r>
      <w:r w:rsidR="004534DA" w:rsidRPr="00FC10F2">
        <w:rPr>
          <w:lang w:val="es-ES"/>
        </w:rPr>
        <w:t xml:space="preserve">ubanen </w:t>
      </w:r>
      <w:r w:rsidRPr="00FC10F2">
        <w:rPr>
          <w:lang w:val="es-ES"/>
        </w:rPr>
        <w:t xml:space="preserve">de la península filipina de Zamboanga, situada </w:t>
      </w:r>
      <w:r w:rsidR="004A61E5">
        <w:rPr>
          <w:lang w:val="es-ES"/>
        </w:rPr>
        <w:t>en el</w:t>
      </w:r>
      <w:r w:rsidR="004A61E5" w:rsidRPr="00FC10F2">
        <w:rPr>
          <w:lang w:val="es-ES"/>
        </w:rPr>
        <w:t xml:space="preserve"> </w:t>
      </w:r>
      <w:r w:rsidRPr="00FC10F2">
        <w:rPr>
          <w:lang w:val="es-ES"/>
        </w:rPr>
        <w:t>oeste de la isla de Mindanao, documentó y catalogó los conocimientos botánicos de este pueblo indígena sobre la flora local</w:t>
      </w:r>
      <w:r w:rsidR="004534DA" w:rsidRPr="00FC10F2">
        <w:rPr>
          <w:lang w:val="es-ES"/>
        </w:rPr>
        <w:t xml:space="preserve">. </w:t>
      </w:r>
      <w:r w:rsidRPr="00FC10F2">
        <w:rPr>
          <w:lang w:val="es-ES"/>
        </w:rPr>
        <w:t xml:space="preserve">Cabe señalar que, si bien este trabajo no fue posteriormente objeto de inscripción alguna en las Listas o el Registro de </w:t>
      </w:r>
      <w:r w:rsidR="004A61E5">
        <w:rPr>
          <w:lang w:val="es-ES"/>
        </w:rPr>
        <w:t>Buenas</w:t>
      </w:r>
      <w:r w:rsidR="004A61E5" w:rsidRPr="00FC10F2">
        <w:rPr>
          <w:lang w:val="es-ES"/>
        </w:rPr>
        <w:t xml:space="preserve"> </w:t>
      </w:r>
      <w:r w:rsidRPr="00FC10F2">
        <w:rPr>
          <w:lang w:val="es-ES"/>
        </w:rPr>
        <w:t xml:space="preserve">Prácticas de la </w:t>
      </w:r>
      <w:r w:rsidR="0007316C" w:rsidRPr="00FC10F2">
        <w:rPr>
          <w:lang w:val="es-ES"/>
        </w:rPr>
        <w:t>Convención</w:t>
      </w:r>
      <w:r w:rsidRPr="00FC10F2">
        <w:rPr>
          <w:lang w:val="es-ES"/>
        </w:rPr>
        <w:t xml:space="preserve">, no por ello deja de ser un ejemplo excelente de participación </w:t>
      </w:r>
      <w:r w:rsidR="007C0D12" w:rsidRPr="00FC10F2">
        <w:rPr>
          <w:lang w:val="es-ES"/>
        </w:rPr>
        <w:t>comunitaria en una actividad de documentación del patrimonio cultural inmaterial</w:t>
      </w:r>
      <w:r w:rsidR="00C439BB" w:rsidRPr="00FC10F2">
        <w:rPr>
          <w:lang w:val="es-ES"/>
        </w:rPr>
        <w:t>.</w:t>
      </w:r>
    </w:p>
    <w:p w14:paraId="2201272C" w14:textId="77777777" w:rsidR="004534DA" w:rsidRPr="00FC10F2" w:rsidRDefault="007C0D12" w:rsidP="009909DD">
      <w:pPr>
        <w:pStyle w:val="Texte1"/>
        <w:rPr>
          <w:lang w:val="es-ES"/>
        </w:rPr>
      </w:pPr>
      <w:r w:rsidRPr="00FC10F2">
        <w:rPr>
          <w:lang w:val="es-ES"/>
        </w:rPr>
        <w:t xml:space="preserve">Los elementos esenciales de esa </w:t>
      </w:r>
      <w:r w:rsidR="00AF6F6B" w:rsidRPr="00FC10F2">
        <w:rPr>
          <w:lang w:val="es-ES"/>
        </w:rPr>
        <w:t>l</w:t>
      </w:r>
      <w:r w:rsidRPr="00FC10F2">
        <w:rPr>
          <w:lang w:val="es-ES"/>
        </w:rPr>
        <w:t>abor</w:t>
      </w:r>
      <w:r w:rsidR="00AF6F6B" w:rsidRPr="00FC10F2">
        <w:rPr>
          <w:lang w:val="es-ES"/>
        </w:rPr>
        <w:t xml:space="preserve"> </w:t>
      </w:r>
      <w:r w:rsidRPr="00FC10F2">
        <w:rPr>
          <w:lang w:val="es-ES"/>
        </w:rPr>
        <w:t>de salvaguardia fueron</w:t>
      </w:r>
      <w:r w:rsidR="004534DA" w:rsidRPr="00FC10F2">
        <w:rPr>
          <w:lang w:val="es-ES"/>
        </w:rPr>
        <w:t>:</w:t>
      </w:r>
    </w:p>
    <w:p w14:paraId="21488BBE" w14:textId="77777777" w:rsidR="004534DA" w:rsidRPr="00FC10F2" w:rsidRDefault="007C0D12" w:rsidP="000F5748">
      <w:pPr>
        <w:pStyle w:val="Txtpucegras"/>
        <w:tabs>
          <w:tab w:val="clear" w:pos="851"/>
          <w:tab w:val="num" w:pos="1276"/>
        </w:tabs>
        <w:ind w:left="1276" w:hanging="425"/>
        <w:rPr>
          <w:lang w:val="es-ES"/>
        </w:rPr>
      </w:pPr>
      <w:r w:rsidRPr="00FC10F2">
        <w:rPr>
          <w:lang w:val="es-ES"/>
        </w:rPr>
        <w:t>La conciencia cobrada por los miembros más ancianos de la comunidad subanen de que sus conocimientos botánicos sobre la flora local ya no se estaban transmitiendo a los subanen más jóvenes</w:t>
      </w:r>
      <w:r w:rsidR="00212A32" w:rsidRPr="00FC10F2">
        <w:rPr>
          <w:lang w:val="es-ES"/>
        </w:rPr>
        <w:t>.</w:t>
      </w:r>
    </w:p>
    <w:p w14:paraId="7725B9CF" w14:textId="77777777" w:rsidR="004534DA" w:rsidRPr="00FC10F2" w:rsidRDefault="00CF16E1" w:rsidP="000F5748">
      <w:pPr>
        <w:pStyle w:val="Txtpucegras"/>
        <w:tabs>
          <w:tab w:val="clear" w:pos="851"/>
          <w:tab w:val="num" w:pos="1276"/>
        </w:tabs>
        <w:ind w:left="1276" w:hanging="425"/>
        <w:rPr>
          <w:lang w:val="es-ES"/>
        </w:rPr>
      </w:pPr>
      <w:r w:rsidRPr="00FC10F2">
        <w:rPr>
          <w:lang w:val="es-ES"/>
        </w:rPr>
        <w:t xml:space="preserve">La petición de ayuda a organizaciones especializadas </w:t>
      </w:r>
      <w:r w:rsidR="00420664" w:rsidRPr="00FC10F2">
        <w:rPr>
          <w:lang w:val="es-ES"/>
        </w:rPr>
        <w:t>con vistas a</w:t>
      </w:r>
      <w:r w:rsidRPr="00FC10F2">
        <w:rPr>
          <w:lang w:val="es-ES"/>
        </w:rPr>
        <w:t xml:space="preserve"> que formasen a los jóvenes subanen </w:t>
      </w:r>
      <w:r w:rsidR="00420664" w:rsidRPr="00FC10F2">
        <w:rPr>
          <w:lang w:val="es-ES"/>
        </w:rPr>
        <w:t>para</w:t>
      </w:r>
      <w:r w:rsidRPr="00FC10F2">
        <w:rPr>
          <w:lang w:val="es-ES"/>
        </w:rPr>
        <w:t xml:space="preserve"> documentar los conocimientos de sus mayores en el seno de la comunidad, lo cual permitió llevar a cabo con éxito </w:t>
      </w:r>
      <w:r w:rsidR="00420664" w:rsidRPr="00FC10F2">
        <w:rPr>
          <w:lang w:val="es-ES"/>
        </w:rPr>
        <w:t>el proyecto de documentación y reforzar la transmisión de esos conocimientos</w:t>
      </w:r>
      <w:r w:rsidR="00212A32" w:rsidRPr="00FC10F2">
        <w:rPr>
          <w:lang w:val="es-ES"/>
        </w:rPr>
        <w:t>.</w:t>
      </w:r>
    </w:p>
    <w:p w14:paraId="7D562678" w14:textId="77777777" w:rsidR="004534DA" w:rsidRPr="00FC10F2" w:rsidRDefault="00CF16E1" w:rsidP="000F5748">
      <w:pPr>
        <w:pStyle w:val="Txtpucegras"/>
        <w:tabs>
          <w:tab w:val="clear" w:pos="851"/>
          <w:tab w:val="num" w:pos="1276"/>
        </w:tabs>
        <w:ind w:left="1276" w:hanging="425"/>
        <w:rPr>
          <w:lang w:val="es-ES"/>
        </w:rPr>
      </w:pPr>
      <w:r w:rsidRPr="00FC10F2">
        <w:rPr>
          <w:lang w:val="es-ES"/>
        </w:rPr>
        <w:t>La obtención del derecho de propiedad intelectual de la comunidad sobre sus conocimientos, en el transcurso de la labor de documentación llevada a cabo</w:t>
      </w:r>
      <w:r w:rsidR="00212A32" w:rsidRPr="00FC10F2">
        <w:rPr>
          <w:lang w:val="es-ES"/>
        </w:rPr>
        <w:t>.</w:t>
      </w:r>
    </w:p>
    <w:p w14:paraId="6D0EB590" w14:textId="77777777" w:rsidR="004534DA" w:rsidRPr="00FC10F2" w:rsidRDefault="007C0D12" w:rsidP="000F5748">
      <w:pPr>
        <w:pStyle w:val="Txtpucegras"/>
        <w:tabs>
          <w:tab w:val="clear" w:pos="851"/>
          <w:tab w:val="num" w:pos="1276"/>
        </w:tabs>
        <w:ind w:left="1276" w:hanging="425"/>
        <w:rPr>
          <w:lang w:val="es-ES"/>
        </w:rPr>
      </w:pPr>
      <w:r w:rsidRPr="00FC10F2">
        <w:rPr>
          <w:lang w:val="es-ES"/>
        </w:rPr>
        <w:t>L</w:t>
      </w:r>
      <w:r w:rsidR="00CF16E1" w:rsidRPr="00FC10F2">
        <w:rPr>
          <w:lang w:val="es-ES"/>
        </w:rPr>
        <w:t>a incorporación de todo el material</w:t>
      </w:r>
      <w:r w:rsidRPr="00FC10F2">
        <w:rPr>
          <w:lang w:val="es-ES"/>
        </w:rPr>
        <w:t xml:space="preserve"> </w:t>
      </w:r>
      <w:r w:rsidR="00420664" w:rsidRPr="00FC10F2">
        <w:rPr>
          <w:lang w:val="es-ES"/>
        </w:rPr>
        <w:t>creado</w:t>
      </w:r>
      <w:r w:rsidRPr="00FC10F2">
        <w:rPr>
          <w:lang w:val="es-ES"/>
        </w:rPr>
        <w:t xml:space="preserve"> al currículo escolar, lo cual contribuirá </w:t>
      </w:r>
      <w:r w:rsidR="00420664" w:rsidRPr="00FC10F2">
        <w:rPr>
          <w:lang w:val="es-ES"/>
        </w:rPr>
        <w:t>en el futuro a</w:t>
      </w:r>
      <w:r w:rsidRPr="00FC10F2">
        <w:rPr>
          <w:lang w:val="es-ES"/>
        </w:rPr>
        <w:t xml:space="preserve"> una mayor concienciación </w:t>
      </w:r>
      <w:r w:rsidR="00CF16E1" w:rsidRPr="00FC10F2">
        <w:rPr>
          <w:lang w:val="es-ES"/>
        </w:rPr>
        <w:t xml:space="preserve">de la comunidad </w:t>
      </w:r>
      <w:r w:rsidRPr="00FC10F2">
        <w:rPr>
          <w:lang w:val="es-ES"/>
        </w:rPr>
        <w:t xml:space="preserve">acerca </w:t>
      </w:r>
      <w:r w:rsidR="008743C8" w:rsidRPr="00FC10F2">
        <w:rPr>
          <w:lang w:val="es-ES"/>
        </w:rPr>
        <w:t>del valor e</w:t>
      </w:r>
      <w:r w:rsidRPr="00FC10F2">
        <w:rPr>
          <w:lang w:val="es-ES"/>
        </w:rPr>
        <w:t xml:space="preserve"> importancia de</w:t>
      </w:r>
      <w:r w:rsidR="00CF16E1" w:rsidRPr="00FC10F2">
        <w:rPr>
          <w:lang w:val="es-ES"/>
        </w:rPr>
        <w:t xml:space="preserve"> su </w:t>
      </w:r>
      <w:r w:rsidR="008743C8" w:rsidRPr="00FC10F2">
        <w:rPr>
          <w:lang w:val="es-ES"/>
        </w:rPr>
        <w:t>PCI</w:t>
      </w:r>
      <w:r w:rsidR="0093017F" w:rsidRPr="00FC10F2">
        <w:rPr>
          <w:lang w:val="es-ES"/>
        </w:rPr>
        <w:t>.</w:t>
      </w:r>
    </w:p>
    <w:p w14:paraId="68584BC6" w14:textId="77777777" w:rsidR="0033097C" w:rsidRPr="00FC10F2" w:rsidRDefault="001F081A" w:rsidP="004936EF">
      <w:pPr>
        <w:pStyle w:val="Heading6"/>
        <w:rPr>
          <w:lang w:val="es-ES"/>
        </w:rPr>
      </w:pPr>
      <w:r w:rsidRPr="00FC10F2">
        <w:rPr>
          <w:lang w:val="es-ES"/>
        </w:rPr>
        <w:lastRenderedPageBreak/>
        <w:t>Diapositiva</w:t>
      </w:r>
      <w:r w:rsidR="002D3C34" w:rsidRPr="00FC10F2">
        <w:rPr>
          <w:lang w:val="es-ES"/>
        </w:rPr>
        <w:t xml:space="preserve"> </w:t>
      </w:r>
      <w:r w:rsidR="006F62AF">
        <w:rPr>
          <w:lang w:val="es-ES"/>
        </w:rPr>
        <w:t>9</w:t>
      </w:r>
      <w:r w:rsidR="0033097C" w:rsidRPr="00FC10F2">
        <w:rPr>
          <w:lang w:val="es-ES"/>
        </w:rPr>
        <w:t>.</w:t>
      </w:r>
    </w:p>
    <w:p w14:paraId="1E5FCB84" w14:textId="77777777" w:rsidR="004534DA" w:rsidRPr="00FC10F2" w:rsidRDefault="00D76BE3" w:rsidP="004936EF">
      <w:pPr>
        <w:pStyle w:val="diapo2"/>
        <w:rPr>
          <w:lang w:val="es-ES"/>
        </w:rPr>
      </w:pPr>
      <w:r w:rsidRPr="00FC10F2">
        <w:rPr>
          <w:bCs/>
          <w:lang w:val="es-ES"/>
        </w:rPr>
        <w:t>Participación de las comunidades en la</w:t>
      </w:r>
      <w:r w:rsidR="00617A09" w:rsidRPr="00FC10F2">
        <w:rPr>
          <w:bCs/>
          <w:lang w:val="es-ES"/>
        </w:rPr>
        <w:t>s actividades de</w:t>
      </w:r>
      <w:r w:rsidRPr="00FC10F2">
        <w:rPr>
          <w:bCs/>
          <w:lang w:val="es-ES"/>
        </w:rPr>
        <w:t xml:space="preserve"> sensibilización</w:t>
      </w:r>
    </w:p>
    <w:p w14:paraId="5C0F3F99" w14:textId="77777777" w:rsidR="004534DA" w:rsidRPr="00FC10F2" w:rsidRDefault="006F62AF" w:rsidP="009909DD">
      <w:pPr>
        <w:pStyle w:val="Texte1"/>
        <w:rPr>
          <w:lang w:val="es-ES"/>
        </w:rPr>
      </w:pPr>
      <w:r w:rsidRPr="007F57F8">
        <w:rPr>
          <w:iCs/>
          <w:noProof/>
          <w:color w:val="3366FF"/>
          <w:szCs w:val="20"/>
          <w:lang w:eastAsia="zh-TW"/>
        </w:rPr>
        <w:drawing>
          <wp:anchor distT="0" distB="0" distL="114300" distR="114300" simplePos="0" relativeHeight="251693056" behindDoc="0" locked="1" layoutInCell="1" allowOverlap="0" wp14:anchorId="00F70D16" wp14:editId="20BDC8A8">
            <wp:simplePos x="0" y="0"/>
            <wp:positionH relativeFrom="column">
              <wp:posOffset>76200</wp:posOffset>
            </wp:positionH>
            <wp:positionV relativeFrom="paragraph">
              <wp:posOffset>70485</wp:posOffset>
            </wp:positionV>
            <wp:extent cx="282575" cy="357505"/>
            <wp:effectExtent l="0" t="0" r="3175" b="4445"/>
            <wp:wrapNone/>
            <wp:docPr id="13"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350EE3" w:rsidRPr="0016787E">
        <w:rPr>
          <w:color w:val="3366FF"/>
          <w:lang w:val="es-ES"/>
        </w:rPr>
        <w:t>En la sección 7.5 del Texto para el Participante de la presente Unidad 7,</w:t>
      </w:r>
      <w:r w:rsidR="00C439BB" w:rsidRPr="0016787E">
        <w:rPr>
          <w:color w:val="3366FF"/>
          <w:lang w:val="es-ES"/>
        </w:rPr>
        <w:t xml:space="preserve"> </w:t>
      </w:r>
      <w:r w:rsidR="00420664" w:rsidRPr="0016787E">
        <w:rPr>
          <w:color w:val="3366FF"/>
          <w:lang w:val="es-ES"/>
        </w:rPr>
        <w:t>se examina la importancia que tiene la participación de las comunidades en la sensibilización al valor e importancia del patrimonio cultural inmaterial</w:t>
      </w:r>
      <w:r w:rsidR="00C439BB" w:rsidRPr="0016787E">
        <w:rPr>
          <w:color w:val="3366FF"/>
          <w:lang w:val="es-ES"/>
        </w:rPr>
        <w:t>.</w:t>
      </w:r>
    </w:p>
    <w:p w14:paraId="5007B6B5" w14:textId="77777777" w:rsidR="0033097C" w:rsidRPr="00FC10F2" w:rsidRDefault="001F081A" w:rsidP="004936EF">
      <w:pPr>
        <w:pStyle w:val="Heading6"/>
        <w:rPr>
          <w:lang w:val="es-ES"/>
        </w:rPr>
      </w:pPr>
      <w:r w:rsidRPr="00FC10F2">
        <w:rPr>
          <w:lang w:val="es-ES"/>
        </w:rPr>
        <w:t>Diapositiva</w:t>
      </w:r>
      <w:r w:rsidR="00E248EB" w:rsidRPr="00FC10F2">
        <w:rPr>
          <w:lang w:val="es-ES"/>
        </w:rPr>
        <w:t xml:space="preserve"> 1</w:t>
      </w:r>
      <w:r w:rsidR="006F62AF">
        <w:rPr>
          <w:lang w:val="es-ES"/>
        </w:rPr>
        <w:t>0</w:t>
      </w:r>
      <w:r w:rsidR="0033097C" w:rsidRPr="00FC10F2">
        <w:rPr>
          <w:lang w:val="es-ES"/>
        </w:rPr>
        <w:t>.</w:t>
      </w:r>
    </w:p>
    <w:p w14:paraId="52F92DB2" w14:textId="77777777" w:rsidR="004534DA" w:rsidRPr="00FC10F2" w:rsidRDefault="00D76BE3" w:rsidP="004936EF">
      <w:pPr>
        <w:pStyle w:val="diapo2"/>
        <w:rPr>
          <w:lang w:val="es-ES"/>
        </w:rPr>
      </w:pPr>
      <w:r w:rsidRPr="00FC10F2">
        <w:rPr>
          <w:bCs/>
          <w:lang w:val="es-ES"/>
        </w:rPr>
        <w:t xml:space="preserve">Participación de las comunidades en la </w:t>
      </w:r>
      <w:r w:rsidR="00617A09" w:rsidRPr="00FC10F2">
        <w:rPr>
          <w:bCs/>
          <w:lang w:val="es-ES"/>
        </w:rPr>
        <w:t>elabor</w:t>
      </w:r>
      <w:r w:rsidRPr="00FC10F2">
        <w:rPr>
          <w:bCs/>
          <w:lang w:val="es-ES"/>
        </w:rPr>
        <w:t>ación de expedientes de candidatura y solicitudes de asistencia internacional</w:t>
      </w:r>
    </w:p>
    <w:p w14:paraId="3C5AEDBD" w14:textId="77777777" w:rsidR="00730EFF" w:rsidRPr="00FC10F2" w:rsidRDefault="006F62AF" w:rsidP="009909DD">
      <w:pPr>
        <w:pStyle w:val="Texte1"/>
        <w:rPr>
          <w:lang w:val="es-ES" w:eastAsia="en-US"/>
        </w:rPr>
      </w:pPr>
      <w:r w:rsidRPr="007F57F8">
        <w:rPr>
          <w:iCs/>
          <w:noProof/>
          <w:color w:val="3366FF"/>
          <w:szCs w:val="20"/>
          <w:lang w:eastAsia="zh-TW"/>
        </w:rPr>
        <w:drawing>
          <wp:anchor distT="0" distB="0" distL="114300" distR="114300" simplePos="0" relativeHeight="251695104" behindDoc="0" locked="1" layoutInCell="1" allowOverlap="0" wp14:anchorId="2BC78955" wp14:editId="20EC5EFB">
            <wp:simplePos x="0" y="0"/>
            <wp:positionH relativeFrom="column">
              <wp:posOffset>-635</wp:posOffset>
            </wp:positionH>
            <wp:positionV relativeFrom="paragraph">
              <wp:posOffset>-48260</wp:posOffset>
            </wp:positionV>
            <wp:extent cx="282575" cy="357505"/>
            <wp:effectExtent l="0" t="0" r="3175" b="4445"/>
            <wp:wrapNone/>
            <wp:docPr id="14"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D76BE3" w:rsidRPr="0016787E">
        <w:rPr>
          <w:color w:val="3366FF"/>
          <w:lang w:val="es-ES" w:eastAsia="en-US"/>
        </w:rPr>
        <w:t xml:space="preserve">Véase </w:t>
      </w:r>
      <w:r w:rsidR="00350EE3" w:rsidRPr="0016787E">
        <w:rPr>
          <w:color w:val="3366FF"/>
          <w:lang w:val="es-ES" w:eastAsia="en-US"/>
        </w:rPr>
        <w:t>la sección 7.6 del Texto para el Parti</w:t>
      </w:r>
      <w:r w:rsidR="001D0409" w:rsidRPr="0016787E">
        <w:rPr>
          <w:color w:val="3366FF"/>
          <w:lang w:val="es-ES" w:eastAsia="en-US"/>
        </w:rPr>
        <w:t>cipante de la presente Unidad 7</w:t>
      </w:r>
      <w:r w:rsidR="0095646B" w:rsidRPr="0016787E">
        <w:rPr>
          <w:color w:val="3366FF"/>
          <w:lang w:val="es-ES" w:eastAsia="en-US"/>
        </w:rPr>
        <w:t>.</w:t>
      </w:r>
    </w:p>
    <w:p w14:paraId="075F50F8" w14:textId="77777777" w:rsidR="004534DA" w:rsidRPr="00FC10F2" w:rsidRDefault="00590777" w:rsidP="004936EF">
      <w:pPr>
        <w:pStyle w:val="Soustitre"/>
        <w:rPr>
          <w:caps/>
          <w:lang w:val="es-ES"/>
        </w:rPr>
      </w:pPr>
      <w:bookmarkStart w:id="9" w:name="_Toc238982233"/>
      <w:r w:rsidRPr="00FC10F2">
        <w:rPr>
          <w:lang w:val="es-ES"/>
        </w:rPr>
        <w:t>Not</w:t>
      </w:r>
      <w:r w:rsidR="00420664" w:rsidRPr="00FC10F2">
        <w:rPr>
          <w:lang w:val="es-ES"/>
        </w:rPr>
        <w:t>a</w:t>
      </w:r>
      <w:r w:rsidRPr="00FC10F2">
        <w:rPr>
          <w:lang w:val="es-ES"/>
        </w:rPr>
        <w:t xml:space="preserve"> </w:t>
      </w:r>
      <w:r w:rsidR="00705610" w:rsidRPr="00FC10F2">
        <w:rPr>
          <w:lang w:val="es-ES"/>
        </w:rPr>
        <w:t xml:space="preserve">sobre los fracasos que se pueden cosechar cuando a las comunidades interesadas no se les informa adecuadamente y/o cuando no participan en el proceso de preparación de una candidatura </w:t>
      </w:r>
      <w:r w:rsidR="008743C8" w:rsidRPr="00FC10F2">
        <w:rPr>
          <w:lang w:val="es-ES"/>
        </w:rPr>
        <w:t>para</w:t>
      </w:r>
      <w:r w:rsidR="00705610" w:rsidRPr="00FC10F2">
        <w:rPr>
          <w:lang w:val="es-ES"/>
        </w:rPr>
        <w:t xml:space="preserve"> la inscripción </w:t>
      </w:r>
      <w:r w:rsidR="008743C8" w:rsidRPr="00FC10F2">
        <w:rPr>
          <w:lang w:val="es-ES"/>
        </w:rPr>
        <w:t xml:space="preserve">de un elemento del PCI </w:t>
      </w:r>
      <w:r w:rsidR="00705610" w:rsidRPr="00FC10F2">
        <w:rPr>
          <w:lang w:val="es-ES"/>
        </w:rPr>
        <w:t>en las Listas de la Convención</w:t>
      </w:r>
      <w:bookmarkEnd w:id="9"/>
      <w:r w:rsidR="004534DA" w:rsidRPr="00FC10F2">
        <w:rPr>
          <w:lang w:val="es-ES"/>
        </w:rPr>
        <w:t xml:space="preserve"> </w:t>
      </w:r>
    </w:p>
    <w:p w14:paraId="6EB1DD62" w14:textId="77777777" w:rsidR="00705610" w:rsidRPr="00FC10F2" w:rsidRDefault="00705610" w:rsidP="009909DD">
      <w:pPr>
        <w:pStyle w:val="Texte1"/>
        <w:rPr>
          <w:lang w:val="es-ES"/>
        </w:rPr>
      </w:pPr>
      <w:r w:rsidRPr="00FC10F2">
        <w:rPr>
          <w:lang w:val="es-ES"/>
        </w:rPr>
        <w:t xml:space="preserve">Un etnólogo francés efectuó un estudio sobre una procesión que se celebra cada seis años en un pueblo del oeste de Francia. Le preocupaba que la procesión hubiera dejado de atraer a tantas personas como en decenios anteriores y que </w:t>
      </w:r>
      <w:r w:rsidR="008743C8" w:rsidRPr="00FC10F2">
        <w:rPr>
          <w:lang w:val="es-ES"/>
        </w:rPr>
        <w:t xml:space="preserve">hubiese </w:t>
      </w:r>
      <w:r w:rsidR="008164CF" w:rsidRPr="00FC10F2">
        <w:rPr>
          <w:lang w:val="es-ES"/>
        </w:rPr>
        <w:t>cobra</w:t>
      </w:r>
      <w:r w:rsidR="008743C8" w:rsidRPr="00FC10F2">
        <w:rPr>
          <w:lang w:val="es-ES"/>
        </w:rPr>
        <w:t>do</w:t>
      </w:r>
      <w:r w:rsidRPr="00FC10F2">
        <w:rPr>
          <w:lang w:val="es-ES"/>
        </w:rPr>
        <w:t xml:space="preserve"> un matiz un tanto folclórico. C</w:t>
      </w:r>
      <w:r w:rsidR="008164CF" w:rsidRPr="00FC10F2">
        <w:rPr>
          <w:lang w:val="es-ES"/>
        </w:rPr>
        <w:t xml:space="preserve">reyendo </w:t>
      </w:r>
      <w:r w:rsidRPr="00FC10F2">
        <w:rPr>
          <w:lang w:val="es-ES"/>
        </w:rPr>
        <w:t xml:space="preserve">que </w:t>
      </w:r>
      <w:r w:rsidR="008164CF" w:rsidRPr="00FC10F2">
        <w:rPr>
          <w:lang w:val="es-ES"/>
        </w:rPr>
        <w:t>este elemento del patrimonio cultural podría ser objeto de una candidatura con buenas posibilidades de éxito para la inscripción en la</w:t>
      </w:r>
      <w:r w:rsidRPr="00FC10F2">
        <w:rPr>
          <w:lang w:val="es-ES"/>
        </w:rPr>
        <w:t xml:space="preserve"> </w:t>
      </w:r>
      <w:r w:rsidR="008164CF" w:rsidRPr="00FC10F2">
        <w:rPr>
          <w:lang w:val="es-ES"/>
        </w:rPr>
        <w:t>L</w:t>
      </w:r>
      <w:r w:rsidRPr="00FC10F2">
        <w:rPr>
          <w:lang w:val="es-ES"/>
        </w:rPr>
        <w:t>ista</w:t>
      </w:r>
      <w:r w:rsidR="008164CF" w:rsidRPr="00FC10F2">
        <w:rPr>
          <w:lang w:val="es-ES"/>
        </w:rPr>
        <w:t xml:space="preserve"> Representativa</w:t>
      </w:r>
      <w:r w:rsidRPr="00FC10F2">
        <w:rPr>
          <w:lang w:val="es-ES"/>
        </w:rPr>
        <w:t xml:space="preserve"> </w:t>
      </w:r>
      <w:r w:rsidR="000F5748" w:rsidRPr="00FC10F2">
        <w:rPr>
          <w:lang w:val="es-ES"/>
        </w:rPr>
        <w:t xml:space="preserve">(LR) </w:t>
      </w:r>
      <w:r w:rsidRPr="00FC10F2">
        <w:rPr>
          <w:lang w:val="es-ES"/>
        </w:rPr>
        <w:t>de la Convención</w:t>
      </w:r>
      <w:r w:rsidR="008164CF" w:rsidRPr="00FC10F2">
        <w:rPr>
          <w:lang w:val="es-ES"/>
        </w:rPr>
        <w:t xml:space="preserve">, </w:t>
      </w:r>
      <w:r w:rsidRPr="00FC10F2">
        <w:rPr>
          <w:lang w:val="es-ES"/>
        </w:rPr>
        <w:t xml:space="preserve">anunció a la prensa que “París” ya había aprobado el proyecto de proponer la procesión para su inscripción en </w:t>
      </w:r>
      <w:r w:rsidR="008164CF" w:rsidRPr="00FC10F2">
        <w:rPr>
          <w:lang w:val="es-ES"/>
        </w:rPr>
        <w:t>dicha lista</w:t>
      </w:r>
      <w:r w:rsidRPr="00FC10F2">
        <w:rPr>
          <w:lang w:val="es-ES"/>
        </w:rPr>
        <w:t xml:space="preserve">, con </w:t>
      </w:r>
      <w:r w:rsidR="008164CF" w:rsidRPr="00FC10F2">
        <w:rPr>
          <w:lang w:val="es-ES"/>
        </w:rPr>
        <w:t>vistas a su</w:t>
      </w:r>
      <w:r w:rsidRPr="00FC10F2">
        <w:rPr>
          <w:lang w:val="es-ES"/>
        </w:rPr>
        <w:t xml:space="preserve"> salvaguardia. E</w:t>
      </w:r>
      <w:r w:rsidR="008164CF" w:rsidRPr="00FC10F2">
        <w:rPr>
          <w:lang w:val="es-ES"/>
        </w:rPr>
        <w:t>mpezó a elaborar</w:t>
      </w:r>
      <w:r w:rsidRPr="00FC10F2">
        <w:rPr>
          <w:lang w:val="es-ES"/>
        </w:rPr>
        <w:t xml:space="preserve"> un expediente de candidatura, más o menos </w:t>
      </w:r>
      <w:r w:rsidR="008164CF" w:rsidRPr="00FC10F2">
        <w:rPr>
          <w:lang w:val="es-ES"/>
        </w:rPr>
        <w:t>en solitario</w:t>
      </w:r>
      <w:r w:rsidRPr="00FC10F2">
        <w:rPr>
          <w:lang w:val="es-ES"/>
        </w:rPr>
        <w:t>, y com</w:t>
      </w:r>
      <w:r w:rsidR="008164CF" w:rsidRPr="00FC10F2">
        <w:rPr>
          <w:lang w:val="es-ES"/>
        </w:rPr>
        <w:t>unicó</w:t>
      </w:r>
      <w:r w:rsidRPr="00FC10F2">
        <w:rPr>
          <w:lang w:val="es-ES"/>
        </w:rPr>
        <w:t xml:space="preserve"> su contenido </w:t>
      </w:r>
      <w:r w:rsidR="008164CF" w:rsidRPr="00FC10F2">
        <w:rPr>
          <w:lang w:val="es-ES"/>
        </w:rPr>
        <w:t>a</w:t>
      </w:r>
      <w:r w:rsidRPr="00FC10F2">
        <w:rPr>
          <w:lang w:val="es-ES"/>
        </w:rPr>
        <w:t xml:space="preserve"> la población local </w:t>
      </w:r>
      <w:r w:rsidR="008164CF" w:rsidRPr="00FC10F2">
        <w:rPr>
          <w:lang w:val="es-ES"/>
        </w:rPr>
        <w:t>tan s</w:t>
      </w:r>
      <w:r w:rsidR="006F62AF">
        <w:rPr>
          <w:lang w:val="es-ES"/>
        </w:rPr>
        <w:t>o</w:t>
      </w:r>
      <w:r w:rsidR="008164CF" w:rsidRPr="00FC10F2">
        <w:rPr>
          <w:lang w:val="es-ES"/>
        </w:rPr>
        <w:t>lo</w:t>
      </w:r>
      <w:r w:rsidRPr="00FC10F2">
        <w:rPr>
          <w:lang w:val="es-ES"/>
        </w:rPr>
        <w:t xml:space="preserve"> cuando </w:t>
      </w:r>
      <w:r w:rsidR="008164CF" w:rsidRPr="00FC10F2">
        <w:rPr>
          <w:lang w:val="es-ES"/>
        </w:rPr>
        <w:t>dicho expediente estaba bastante</w:t>
      </w:r>
      <w:r w:rsidRPr="00FC10F2">
        <w:rPr>
          <w:lang w:val="es-ES"/>
        </w:rPr>
        <w:t xml:space="preserve"> avanzado. Se celebraro</w:t>
      </w:r>
      <w:r w:rsidR="008164CF" w:rsidRPr="00FC10F2">
        <w:rPr>
          <w:lang w:val="es-ES"/>
        </w:rPr>
        <w:t>n varias reuniones en el pueblo y</w:t>
      </w:r>
      <w:r w:rsidRPr="00FC10F2">
        <w:rPr>
          <w:lang w:val="es-ES"/>
        </w:rPr>
        <w:t xml:space="preserve"> la</w:t>
      </w:r>
      <w:r w:rsidR="008164CF" w:rsidRPr="00FC10F2">
        <w:rPr>
          <w:lang w:val="es-ES"/>
        </w:rPr>
        <w:t xml:space="preserve"> reacción de la </w:t>
      </w:r>
      <w:r w:rsidRPr="00FC10F2">
        <w:rPr>
          <w:lang w:val="es-ES"/>
        </w:rPr>
        <w:t xml:space="preserve">mayoría de las personas involucradas directamente </w:t>
      </w:r>
      <w:r w:rsidR="008164CF" w:rsidRPr="00FC10F2">
        <w:rPr>
          <w:lang w:val="es-ES"/>
        </w:rPr>
        <w:t xml:space="preserve">en </w:t>
      </w:r>
      <w:r w:rsidR="004C0BAA" w:rsidRPr="00FC10F2">
        <w:rPr>
          <w:lang w:val="es-ES"/>
        </w:rPr>
        <w:t>este elemento del PCI</w:t>
      </w:r>
      <w:r w:rsidR="008164CF" w:rsidRPr="00FC10F2">
        <w:rPr>
          <w:lang w:val="es-ES"/>
        </w:rPr>
        <w:t xml:space="preserve"> </w:t>
      </w:r>
      <w:r w:rsidRPr="00FC10F2">
        <w:rPr>
          <w:lang w:val="es-ES"/>
        </w:rPr>
        <w:t>–</w:t>
      </w:r>
      <w:r w:rsidR="008164CF" w:rsidRPr="00FC10F2">
        <w:rPr>
          <w:lang w:val="es-ES"/>
        </w:rPr>
        <w:t>por ejemplo,</w:t>
      </w:r>
      <w:r w:rsidRPr="00FC10F2">
        <w:rPr>
          <w:lang w:val="es-ES"/>
        </w:rPr>
        <w:t xml:space="preserve"> las </w:t>
      </w:r>
      <w:r w:rsidR="004C0BAA" w:rsidRPr="00FC10F2">
        <w:rPr>
          <w:lang w:val="es-ES"/>
        </w:rPr>
        <w:t>que permitían el tránsito de la procesión por sus tierras</w:t>
      </w:r>
      <w:r w:rsidRPr="00FC10F2">
        <w:rPr>
          <w:lang w:val="es-ES"/>
        </w:rPr>
        <w:t xml:space="preserve">– </w:t>
      </w:r>
      <w:r w:rsidR="004C0BAA" w:rsidRPr="00FC10F2">
        <w:rPr>
          <w:lang w:val="es-ES"/>
        </w:rPr>
        <w:t>fue de</w:t>
      </w:r>
      <w:r w:rsidRPr="00FC10F2">
        <w:rPr>
          <w:lang w:val="es-ES"/>
        </w:rPr>
        <w:t xml:space="preserve"> sorpre</w:t>
      </w:r>
      <w:r w:rsidR="004C0BAA" w:rsidRPr="00FC10F2">
        <w:rPr>
          <w:lang w:val="es-ES"/>
        </w:rPr>
        <w:t>sa</w:t>
      </w:r>
      <w:r w:rsidRPr="00FC10F2">
        <w:rPr>
          <w:lang w:val="es-ES"/>
        </w:rPr>
        <w:t>, desconfia</w:t>
      </w:r>
      <w:r w:rsidR="004C0BAA" w:rsidRPr="00FC10F2">
        <w:rPr>
          <w:lang w:val="es-ES"/>
        </w:rPr>
        <w:t>nza</w:t>
      </w:r>
      <w:r w:rsidRPr="00FC10F2">
        <w:rPr>
          <w:lang w:val="es-ES"/>
        </w:rPr>
        <w:t xml:space="preserve"> y disgust</w:t>
      </w:r>
      <w:r w:rsidR="004C0BAA" w:rsidRPr="00FC10F2">
        <w:rPr>
          <w:lang w:val="es-ES"/>
        </w:rPr>
        <w:t>o</w:t>
      </w:r>
      <w:r w:rsidRPr="00FC10F2">
        <w:rPr>
          <w:lang w:val="es-ES"/>
        </w:rPr>
        <w:t xml:space="preserve"> </w:t>
      </w:r>
      <w:r w:rsidR="004C0BAA" w:rsidRPr="00FC10F2">
        <w:rPr>
          <w:lang w:val="es-ES"/>
        </w:rPr>
        <w:t>ante</w:t>
      </w:r>
      <w:r w:rsidRPr="00FC10F2">
        <w:rPr>
          <w:lang w:val="es-ES"/>
        </w:rPr>
        <w:t xml:space="preserve"> las actividades del etnólogo. </w:t>
      </w:r>
      <w:r w:rsidR="004C0BAA" w:rsidRPr="00FC10F2">
        <w:rPr>
          <w:lang w:val="es-ES"/>
        </w:rPr>
        <w:t>En efecto, l</w:t>
      </w:r>
      <w:r w:rsidRPr="00FC10F2">
        <w:rPr>
          <w:lang w:val="es-ES"/>
        </w:rPr>
        <w:t xml:space="preserve">es preocupaba que se establecieran derechos consuetudinarios de tránsito sobre sus tierras y </w:t>
      </w:r>
      <w:r w:rsidR="004C0BAA" w:rsidRPr="00FC10F2">
        <w:rPr>
          <w:lang w:val="es-ES"/>
        </w:rPr>
        <w:t>dudaban</w:t>
      </w:r>
      <w:r w:rsidRPr="00FC10F2">
        <w:rPr>
          <w:lang w:val="es-ES"/>
        </w:rPr>
        <w:t xml:space="preserve"> </w:t>
      </w:r>
      <w:r w:rsidR="004C0BAA" w:rsidRPr="00FC10F2">
        <w:rPr>
          <w:lang w:val="es-ES"/>
        </w:rPr>
        <w:t xml:space="preserve">que fuera beneficiosa la afluencia de </w:t>
      </w:r>
      <w:r w:rsidRPr="00FC10F2">
        <w:rPr>
          <w:lang w:val="es-ES"/>
        </w:rPr>
        <w:t xml:space="preserve">turistas </w:t>
      </w:r>
      <w:r w:rsidR="004C0BAA" w:rsidRPr="00FC10F2">
        <w:rPr>
          <w:lang w:val="es-ES"/>
        </w:rPr>
        <w:t>a</w:t>
      </w:r>
      <w:r w:rsidRPr="00FC10F2">
        <w:rPr>
          <w:lang w:val="es-ES"/>
        </w:rPr>
        <w:t xml:space="preserve"> la procesión. Por e</w:t>
      </w:r>
      <w:r w:rsidR="004C0BAA" w:rsidRPr="00FC10F2">
        <w:rPr>
          <w:lang w:val="es-ES"/>
        </w:rPr>
        <w:t>s</w:t>
      </w:r>
      <w:r w:rsidRPr="00FC10F2">
        <w:rPr>
          <w:lang w:val="es-ES"/>
        </w:rPr>
        <w:t xml:space="preserve">o, decidieron </w:t>
      </w:r>
      <w:r w:rsidR="004C0BAA" w:rsidRPr="00FC10F2">
        <w:rPr>
          <w:lang w:val="es-ES"/>
        </w:rPr>
        <w:t>colectivamente poner un término a la</w:t>
      </w:r>
      <w:r w:rsidRPr="00FC10F2">
        <w:rPr>
          <w:lang w:val="es-ES"/>
        </w:rPr>
        <w:t xml:space="preserve"> elaboración </w:t>
      </w:r>
      <w:r w:rsidR="004C0BAA" w:rsidRPr="00FC10F2">
        <w:rPr>
          <w:lang w:val="es-ES"/>
        </w:rPr>
        <w:t xml:space="preserve">del expediente de candidatura </w:t>
      </w:r>
      <w:r w:rsidR="008743C8" w:rsidRPr="00FC10F2">
        <w:rPr>
          <w:lang w:val="es-ES"/>
        </w:rPr>
        <w:t>de la procesión para su</w:t>
      </w:r>
      <w:r w:rsidR="004C0BAA" w:rsidRPr="00FC10F2">
        <w:rPr>
          <w:lang w:val="es-ES"/>
        </w:rPr>
        <w:t xml:space="preserve"> inscripción en la Lista</w:t>
      </w:r>
      <w:r w:rsidR="008743C8" w:rsidRPr="00FC10F2">
        <w:rPr>
          <w:lang w:val="es-ES"/>
        </w:rPr>
        <w:t xml:space="preserve"> Representativa</w:t>
      </w:r>
      <w:r w:rsidRPr="00FC10F2">
        <w:rPr>
          <w:lang w:val="es-ES"/>
        </w:rPr>
        <w:t xml:space="preserve">. La prensa local </w:t>
      </w:r>
      <w:r w:rsidR="004C0BAA" w:rsidRPr="00FC10F2">
        <w:rPr>
          <w:lang w:val="es-ES"/>
        </w:rPr>
        <w:t>proporcionó abundante información sobre este</w:t>
      </w:r>
      <w:r w:rsidRPr="00FC10F2">
        <w:rPr>
          <w:lang w:val="es-ES"/>
        </w:rPr>
        <w:t xml:space="preserve"> caso.</w:t>
      </w:r>
    </w:p>
    <w:p w14:paraId="3886E7A5" w14:textId="77777777" w:rsidR="004534DA" w:rsidRPr="00FC10F2" w:rsidRDefault="004C0BAA" w:rsidP="009909DD">
      <w:pPr>
        <w:pStyle w:val="Texte1"/>
        <w:rPr>
          <w:lang w:val="es-ES"/>
        </w:rPr>
      </w:pPr>
      <w:r w:rsidRPr="00FC10F2">
        <w:rPr>
          <w:lang w:val="es-ES"/>
        </w:rPr>
        <w:t xml:space="preserve">En las diapositivas siguientes figuran tres ejemplos de diferentes procesos de consulta con las comunidades, utilizados con vistas a la </w:t>
      </w:r>
      <w:r w:rsidR="008743C8" w:rsidRPr="00FC10F2">
        <w:rPr>
          <w:lang w:val="es-ES"/>
        </w:rPr>
        <w:t>prepa</w:t>
      </w:r>
      <w:r w:rsidRPr="00FC10F2">
        <w:rPr>
          <w:lang w:val="es-ES"/>
        </w:rPr>
        <w:t>ración de candidaturas para la inscripción en las Listas de la Convención.</w:t>
      </w:r>
    </w:p>
    <w:p w14:paraId="2A718646" w14:textId="77777777" w:rsidR="0033097C" w:rsidRPr="00FC10F2" w:rsidRDefault="001F081A" w:rsidP="004936EF">
      <w:pPr>
        <w:pStyle w:val="Heading6"/>
        <w:rPr>
          <w:lang w:val="es-ES"/>
        </w:rPr>
      </w:pPr>
      <w:r w:rsidRPr="00FC10F2">
        <w:rPr>
          <w:lang w:val="es-ES"/>
        </w:rPr>
        <w:t>Diapositiva</w:t>
      </w:r>
      <w:r w:rsidR="009D09C4" w:rsidRPr="00FC10F2">
        <w:rPr>
          <w:lang w:val="es-ES"/>
        </w:rPr>
        <w:t xml:space="preserve"> 1</w:t>
      </w:r>
      <w:r w:rsidR="006F62AF">
        <w:rPr>
          <w:lang w:val="es-ES"/>
        </w:rPr>
        <w:t>1</w:t>
      </w:r>
      <w:r w:rsidR="0033097C" w:rsidRPr="00FC10F2">
        <w:rPr>
          <w:lang w:val="es-ES"/>
        </w:rPr>
        <w:t>.</w:t>
      </w:r>
    </w:p>
    <w:p w14:paraId="60390365" w14:textId="77777777" w:rsidR="004534DA" w:rsidRPr="00FC10F2" w:rsidRDefault="007052DD">
      <w:pPr>
        <w:pStyle w:val="diapo2"/>
        <w:rPr>
          <w:lang w:val="es-ES"/>
        </w:rPr>
      </w:pPr>
      <w:r w:rsidRPr="00FC10F2">
        <w:rPr>
          <w:bCs/>
          <w:lang w:val="es-ES"/>
        </w:rPr>
        <w:t xml:space="preserve">Estudio de caso – </w:t>
      </w:r>
      <w:r w:rsidR="00B17949" w:rsidRPr="00FC10F2">
        <w:rPr>
          <w:bCs/>
          <w:lang w:val="es-ES"/>
        </w:rPr>
        <w:t>Preparación de la candidatura del elemento “</w:t>
      </w:r>
      <w:r w:rsidR="002304A4" w:rsidRPr="00FC10F2">
        <w:rPr>
          <w:bCs/>
          <w:lang w:val="es-ES"/>
        </w:rPr>
        <w:t>Tradiciones de los otomí-chichimecas</w:t>
      </w:r>
      <w:r w:rsidR="00B17949" w:rsidRPr="00FC10F2">
        <w:rPr>
          <w:bCs/>
          <w:lang w:val="es-ES"/>
        </w:rPr>
        <w:t>”</w:t>
      </w:r>
      <w:r w:rsidR="002304A4" w:rsidRPr="00FC10F2">
        <w:rPr>
          <w:bCs/>
          <w:lang w:val="es-ES"/>
        </w:rPr>
        <w:t xml:space="preserve"> (México) </w:t>
      </w:r>
    </w:p>
    <w:p w14:paraId="06441CFA" w14:textId="77777777" w:rsidR="00147860" w:rsidRPr="00FC10F2" w:rsidRDefault="003D3C66" w:rsidP="009909DD">
      <w:pPr>
        <w:pStyle w:val="Texte1"/>
        <w:rPr>
          <w:lang w:val="es-ES"/>
        </w:rPr>
      </w:pPr>
      <w:r w:rsidRPr="00FC10F2">
        <w:rPr>
          <w:lang w:val="es-ES"/>
        </w:rPr>
        <w:t>E</w:t>
      </w:r>
      <w:r w:rsidR="00FB4DE7" w:rsidRPr="00FC10F2">
        <w:rPr>
          <w:lang w:val="es-ES"/>
        </w:rPr>
        <w:t xml:space="preserve">l </w:t>
      </w:r>
      <w:r w:rsidRPr="00FC10F2">
        <w:rPr>
          <w:lang w:val="es-ES"/>
        </w:rPr>
        <w:t xml:space="preserve">ejemplo presentado en esta dispositiva es un resumen del </w:t>
      </w:r>
      <w:r w:rsidR="00FB4DE7" w:rsidRPr="00FC10F2">
        <w:rPr>
          <w:lang w:val="es-ES"/>
        </w:rPr>
        <w:t>Estudio de Caso 12.</w:t>
      </w:r>
    </w:p>
    <w:p w14:paraId="7E1849C8" w14:textId="77777777" w:rsidR="00525C68" w:rsidRPr="00FC10F2" w:rsidRDefault="008743C8" w:rsidP="009909DD">
      <w:pPr>
        <w:pStyle w:val="Texte1"/>
        <w:rPr>
          <w:lang w:val="es-ES"/>
        </w:rPr>
      </w:pPr>
      <w:r w:rsidRPr="00FC10F2">
        <w:rPr>
          <w:szCs w:val="20"/>
          <w:lang w:val="es-ES"/>
        </w:rPr>
        <w:t>El elemento</w:t>
      </w:r>
      <w:r w:rsidR="00FB4DE7" w:rsidRPr="00FC10F2">
        <w:rPr>
          <w:szCs w:val="20"/>
          <w:lang w:val="es-ES"/>
        </w:rPr>
        <w:t xml:space="preserve"> denominado “Lugares de memoria y tradiciones vivas de los otomí</w:t>
      </w:r>
      <w:r w:rsidR="00FB4DE7" w:rsidRPr="00FC10F2">
        <w:rPr>
          <w:szCs w:val="20"/>
          <w:lang w:val="es-ES"/>
        </w:rPr>
        <w:noBreakHyphen/>
        <w:t>chichimecas de Tolimán: la Peña de Bernal, guar</w:t>
      </w:r>
      <w:r w:rsidRPr="00FC10F2">
        <w:rPr>
          <w:szCs w:val="20"/>
          <w:lang w:val="es-ES"/>
        </w:rPr>
        <w:t>diana de un territorio sagrado”</w:t>
      </w:r>
      <w:r w:rsidR="00FB4DE7" w:rsidRPr="00FC10F2">
        <w:rPr>
          <w:szCs w:val="20"/>
          <w:lang w:val="es-ES"/>
        </w:rPr>
        <w:t xml:space="preserve"> se </w:t>
      </w:r>
      <w:r w:rsidR="00FB4DE7" w:rsidRPr="00FC10F2">
        <w:rPr>
          <w:szCs w:val="20"/>
          <w:lang w:val="es-ES"/>
        </w:rPr>
        <w:lastRenderedPageBreak/>
        <w:t>inscribió en la Lista Representativa del Patrimonio Cultural Inmaterial de la Humanidad en 2009</w:t>
      </w:r>
      <w:r w:rsidR="004534DA" w:rsidRPr="00FC10F2">
        <w:rPr>
          <w:lang w:val="es-ES"/>
        </w:rPr>
        <w:t>.</w:t>
      </w:r>
      <w:r w:rsidR="00525C68" w:rsidRPr="00FC10F2">
        <w:rPr>
          <w:lang w:val="es-ES"/>
        </w:rPr>
        <w:t xml:space="preserve"> </w:t>
      </w:r>
    </w:p>
    <w:p w14:paraId="04D368E2" w14:textId="77777777" w:rsidR="003B1A48" w:rsidRPr="00FC10F2" w:rsidRDefault="00FB4DE7" w:rsidP="009909DD">
      <w:pPr>
        <w:pStyle w:val="Texte1"/>
        <w:rPr>
          <w:lang w:val="es-ES"/>
        </w:rPr>
      </w:pPr>
      <w:r w:rsidRPr="00FC10F2">
        <w:rPr>
          <w:lang w:val="es-ES"/>
        </w:rPr>
        <w:t>Entre los temas clave que deben destacarse</w:t>
      </w:r>
      <w:r w:rsidR="005A4859" w:rsidRPr="00FC10F2">
        <w:rPr>
          <w:lang w:val="es-ES"/>
        </w:rPr>
        <w:t>,</w:t>
      </w:r>
      <w:r w:rsidRPr="00FC10F2">
        <w:rPr>
          <w:lang w:val="es-ES"/>
        </w:rPr>
        <w:t xml:space="preserve"> figuran</w:t>
      </w:r>
      <w:r w:rsidR="005A4859" w:rsidRPr="00FC10F2">
        <w:rPr>
          <w:lang w:val="es-ES"/>
        </w:rPr>
        <w:t xml:space="preserve"> los siguientes</w:t>
      </w:r>
      <w:r w:rsidR="003B1A48" w:rsidRPr="00FC10F2">
        <w:rPr>
          <w:lang w:val="es-ES"/>
        </w:rPr>
        <w:t>:</w:t>
      </w:r>
    </w:p>
    <w:p w14:paraId="3D6B56E1" w14:textId="77777777" w:rsidR="003B1A48" w:rsidRPr="00FC10F2" w:rsidRDefault="00FB4DE7" w:rsidP="00142F2C">
      <w:pPr>
        <w:pStyle w:val="Txtpucegras"/>
        <w:tabs>
          <w:tab w:val="clear" w:pos="851"/>
          <w:tab w:val="num" w:pos="1276"/>
        </w:tabs>
        <w:ind w:left="1276" w:hanging="425"/>
        <w:rPr>
          <w:lang w:val="es-ES"/>
        </w:rPr>
      </w:pPr>
      <w:r w:rsidRPr="00FC10F2">
        <w:rPr>
          <w:lang w:val="es-ES"/>
        </w:rPr>
        <w:t>En la fase inicial de recopilación de la información, las autoridades designaron a representantes de diversos organismos oficiales como miembros de una comisión multidisciplinaria creada en el marco de un proyecto destinado a promover el patrimonio cultural y natural del pueblo otomí-chichimeca</w:t>
      </w:r>
      <w:r w:rsidR="00212A32" w:rsidRPr="00FC10F2">
        <w:rPr>
          <w:lang w:val="es-ES"/>
        </w:rPr>
        <w:t>.</w:t>
      </w:r>
    </w:p>
    <w:p w14:paraId="59F0D918" w14:textId="77777777" w:rsidR="003B1A48" w:rsidRPr="00FC10F2" w:rsidRDefault="00FB4DE7" w:rsidP="00142F2C">
      <w:pPr>
        <w:pStyle w:val="Txtpucegras"/>
        <w:tabs>
          <w:tab w:val="clear" w:pos="851"/>
          <w:tab w:val="num" w:pos="1276"/>
        </w:tabs>
        <w:ind w:left="1276" w:hanging="425"/>
        <w:rPr>
          <w:lang w:val="es-ES"/>
        </w:rPr>
      </w:pPr>
      <w:r w:rsidRPr="00FC10F2">
        <w:rPr>
          <w:lang w:val="es-ES"/>
        </w:rPr>
        <w:t xml:space="preserve">Se celebraron reuniones de consulta y se recurrió a un sondeo de opinión para </w:t>
      </w:r>
      <w:r w:rsidR="004306F6" w:rsidRPr="00FC10F2">
        <w:rPr>
          <w:lang w:val="es-ES"/>
        </w:rPr>
        <w:t>conseguir la participación de</w:t>
      </w:r>
      <w:r w:rsidRPr="00FC10F2">
        <w:rPr>
          <w:lang w:val="es-ES"/>
        </w:rPr>
        <w:t xml:space="preserve"> las comunidades y grupos interesados</w:t>
      </w:r>
    </w:p>
    <w:p w14:paraId="07C54204" w14:textId="77777777" w:rsidR="003B1A48" w:rsidRPr="00FC10F2" w:rsidRDefault="004306F6" w:rsidP="00142F2C">
      <w:pPr>
        <w:pStyle w:val="Txtpucegras"/>
        <w:tabs>
          <w:tab w:val="clear" w:pos="851"/>
          <w:tab w:val="num" w:pos="1276"/>
        </w:tabs>
        <w:ind w:left="1276" w:hanging="425"/>
        <w:rPr>
          <w:lang w:val="es-ES"/>
        </w:rPr>
      </w:pPr>
      <w:r w:rsidRPr="00FC10F2">
        <w:rPr>
          <w:lang w:val="es-ES"/>
        </w:rPr>
        <w:t>Un vasto conjunto de partes interesadas, incluida la comunidad otomí-chichimeca, presentó propuestas de salvaguardia</w:t>
      </w:r>
    </w:p>
    <w:p w14:paraId="35825431" w14:textId="77777777" w:rsidR="003B1A48" w:rsidRPr="00FC10F2" w:rsidRDefault="004306F6" w:rsidP="00142F2C">
      <w:pPr>
        <w:pStyle w:val="Txtpucegras"/>
        <w:tabs>
          <w:tab w:val="clear" w:pos="851"/>
          <w:tab w:val="num" w:pos="1276"/>
        </w:tabs>
        <w:ind w:left="1276" w:hanging="425"/>
        <w:rPr>
          <w:lang w:val="es-ES"/>
        </w:rPr>
      </w:pPr>
      <w:r w:rsidRPr="00FC10F2">
        <w:rPr>
          <w:lang w:val="es-ES"/>
        </w:rPr>
        <w:t xml:space="preserve">Un foro regional y una declaración de la comunidad constituyeron la prueba del consentimiento otorgado por </w:t>
      </w:r>
      <w:r w:rsidR="006F62AF">
        <w:rPr>
          <w:lang w:val="es-ES"/>
        </w:rPr>
        <w:t>e</w:t>
      </w:r>
      <w:r w:rsidRPr="00FC10F2">
        <w:rPr>
          <w:lang w:val="es-ES"/>
        </w:rPr>
        <w:t>sta</w:t>
      </w:r>
      <w:r w:rsidR="00212A32" w:rsidRPr="00FC10F2">
        <w:rPr>
          <w:lang w:val="es-ES"/>
        </w:rPr>
        <w:t>.</w:t>
      </w:r>
    </w:p>
    <w:p w14:paraId="63E4B33D" w14:textId="77777777" w:rsidR="003B1A48" w:rsidRPr="00FC10F2" w:rsidRDefault="004306F6" w:rsidP="00142F2C">
      <w:pPr>
        <w:pStyle w:val="Txtpucegras"/>
        <w:tabs>
          <w:tab w:val="clear" w:pos="851"/>
          <w:tab w:val="num" w:pos="1276"/>
        </w:tabs>
        <w:ind w:left="1276" w:hanging="425"/>
        <w:rPr>
          <w:lang w:val="es-ES"/>
        </w:rPr>
      </w:pPr>
      <w:r w:rsidRPr="00FC10F2">
        <w:rPr>
          <w:lang w:val="es-ES"/>
        </w:rPr>
        <w:t>Se creó un órgano representativo de gestión y salvaguardia para coadyuvar a la aplicación del plan de salvaguardia</w:t>
      </w:r>
      <w:r w:rsidR="003B1A48" w:rsidRPr="00FC10F2">
        <w:rPr>
          <w:lang w:val="es-ES"/>
        </w:rPr>
        <w:t>.</w:t>
      </w:r>
    </w:p>
    <w:p w14:paraId="57BD2A63" w14:textId="77777777" w:rsidR="0033097C" w:rsidRPr="00FC10F2" w:rsidRDefault="001F081A" w:rsidP="004936EF">
      <w:pPr>
        <w:pStyle w:val="Heading6"/>
        <w:rPr>
          <w:lang w:val="es-ES"/>
        </w:rPr>
      </w:pPr>
      <w:r w:rsidRPr="00FC10F2">
        <w:rPr>
          <w:lang w:val="es-ES"/>
        </w:rPr>
        <w:t>Diapositiva</w:t>
      </w:r>
      <w:r w:rsidR="009D09C4" w:rsidRPr="00FC10F2">
        <w:rPr>
          <w:lang w:val="es-ES"/>
        </w:rPr>
        <w:t xml:space="preserve"> 1</w:t>
      </w:r>
      <w:r w:rsidR="006F62AF">
        <w:rPr>
          <w:lang w:val="es-ES"/>
        </w:rPr>
        <w:t>2</w:t>
      </w:r>
      <w:r w:rsidR="0033097C" w:rsidRPr="00FC10F2">
        <w:rPr>
          <w:lang w:val="es-ES"/>
        </w:rPr>
        <w:t>.</w:t>
      </w:r>
    </w:p>
    <w:p w14:paraId="0F100224" w14:textId="77777777" w:rsidR="004534DA" w:rsidRPr="00FC10F2" w:rsidRDefault="007052DD" w:rsidP="004936EF">
      <w:pPr>
        <w:pStyle w:val="diapo2"/>
        <w:rPr>
          <w:lang w:val="es-ES"/>
        </w:rPr>
      </w:pPr>
      <w:r w:rsidRPr="00FC10F2">
        <w:rPr>
          <w:bCs/>
          <w:lang w:val="es-ES"/>
        </w:rPr>
        <w:t xml:space="preserve">Estudio de caso – </w:t>
      </w:r>
      <w:r w:rsidR="002304A4" w:rsidRPr="00FC10F2">
        <w:rPr>
          <w:bCs/>
          <w:lang w:val="es-ES"/>
        </w:rPr>
        <w:t>Pre</w:t>
      </w:r>
      <w:r w:rsidR="007778B6" w:rsidRPr="00FC10F2">
        <w:rPr>
          <w:bCs/>
          <w:lang w:val="es-ES"/>
        </w:rPr>
        <w:t>para</w:t>
      </w:r>
      <w:r w:rsidR="002304A4" w:rsidRPr="00FC10F2">
        <w:rPr>
          <w:bCs/>
          <w:lang w:val="es-ES"/>
        </w:rPr>
        <w:t xml:space="preserve">ción de la candidatura del </w:t>
      </w:r>
      <w:r w:rsidR="00CB5332" w:rsidRPr="00FC10F2">
        <w:rPr>
          <w:bCs/>
          <w:i/>
          <w:lang w:val="es-ES"/>
        </w:rPr>
        <w:t>Cantu in Paghjella</w:t>
      </w:r>
      <w:r w:rsidR="00CB5332" w:rsidRPr="00FC10F2">
        <w:rPr>
          <w:bCs/>
          <w:lang w:val="es-ES"/>
        </w:rPr>
        <w:t>, música vocal polifónica masculina</w:t>
      </w:r>
      <w:r w:rsidR="002304A4" w:rsidRPr="00FC10F2">
        <w:rPr>
          <w:bCs/>
          <w:lang w:val="es-ES"/>
        </w:rPr>
        <w:t xml:space="preserve"> (Francia) </w:t>
      </w:r>
    </w:p>
    <w:p w14:paraId="742EE150" w14:textId="77777777" w:rsidR="00542EA1" w:rsidRPr="00FC10F2" w:rsidRDefault="003D3C66" w:rsidP="009909DD">
      <w:pPr>
        <w:pStyle w:val="Texte1"/>
        <w:rPr>
          <w:lang w:val="es-ES"/>
        </w:rPr>
      </w:pPr>
      <w:r w:rsidRPr="00FC10F2">
        <w:rPr>
          <w:lang w:val="es-ES"/>
        </w:rPr>
        <w:t>El ejemplo presentado en esta dispositiva es un resumen del Estudio de Caso</w:t>
      </w:r>
      <w:r w:rsidR="004306F6" w:rsidRPr="00FC10F2">
        <w:rPr>
          <w:lang w:val="es-ES"/>
        </w:rPr>
        <w:t xml:space="preserve"> </w:t>
      </w:r>
      <w:r w:rsidR="00542EA1" w:rsidRPr="00FC10F2">
        <w:rPr>
          <w:lang w:val="es-ES"/>
        </w:rPr>
        <w:t>10.</w:t>
      </w:r>
    </w:p>
    <w:p w14:paraId="4586A9C8" w14:textId="77777777" w:rsidR="004534DA" w:rsidRPr="00FC10F2" w:rsidRDefault="004306F6" w:rsidP="009909DD">
      <w:pPr>
        <w:pStyle w:val="Texte1"/>
        <w:rPr>
          <w:lang w:val="es-ES"/>
        </w:rPr>
      </w:pPr>
      <w:r w:rsidRPr="00FC10F2">
        <w:rPr>
          <w:szCs w:val="20"/>
          <w:lang w:val="es-ES"/>
        </w:rPr>
        <w:t>El elemento denominado “</w:t>
      </w:r>
      <w:r w:rsidRPr="00FC10F2">
        <w:rPr>
          <w:i/>
          <w:szCs w:val="20"/>
          <w:lang w:val="es-ES"/>
        </w:rPr>
        <w:t>Cantu in paghjella</w:t>
      </w:r>
      <w:r w:rsidRPr="00FC10F2">
        <w:rPr>
          <w:szCs w:val="20"/>
          <w:lang w:val="es-ES"/>
        </w:rPr>
        <w:t>, canto profano y litúrgico tradicional de Córcega</w:t>
      </w:r>
      <w:r w:rsidR="00142F2C" w:rsidRPr="00FC10F2">
        <w:rPr>
          <w:szCs w:val="20"/>
          <w:lang w:val="es-ES"/>
        </w:rPr>
        <w:t>” (Francia)</w:t>
      </w:r>
      <w:r w:rsidRPr="00FC10F2">
        <w:rPr>
          <w:lang w:val="es-ES"/>
        </w:rPr>
        <w:t xml:space="preserve"> se inscribió en la</w:t>
      </w:r>
      <w:r w:rsidR="00142F2C" w:rsidRPr="00FC10F2">
        <w:rPr>
          <w:lang w:val="es-ES"/>
        </w:rPr>
        <w:t xml:space="preserve"> Lista de Salvaguardia Urgente (</w:t>
      </w:r>
      <w:r w:rsidRPr="00FC10F2">
        <w:rPr>
          <w:lang w:val="es-ES"/>
        </w:rPr>
        <w:t>LSU</w:t>
      </w:r>
      <w:r w:rsidR="00142F2C" w:rsidRPr="00FC10F2">
        <w:rPr>
          <w:lang w:val="es-ES"/>
        </w:rPr>
        <w:t>)</w:t>
      </w:r>
      <w:r w:rsidRPr="00FC10F2">
        <w:rPr>
          <w:lang w:val="es-ES"/>
        </w:rPr>
        <w:t xml:space="preserve"> el año</w:t>
      </w:r>
      <w:r w:rsidR="004534DA" w:rsidRPr="00FC10F2">
        <w:rPr>
          <w:lang w:val="es-ES"/>
        </w:rPr>
        <w:t xml:space="preserve"> 2009.</w:t>
      </w:r>
    </w:p>
    <w:p w14:paraId="5A2C30E6" w14:textId="77777777" w:rsidR="004534DA" w:rsidRPr="00FC10F2" w:rsidRDefault="005A4859" w:rsidP="009909DD">
      <w:pPr>
        <w:pStyle w:val="Texte1"/>
        <w:rPr>
          <w:lang w:val="es-ES"/>
        </w:rPr>
      </w:pPr>
      <w:r w:rsidRPr="00FC10F2">
        <w:rPr>
          <w:lang w:val="es-ES"/>
        </w:rPr>
        <w:t>Entre los temas clave que deben destacarse, figuran los siguientes</w:t>
      </w:r>
      <w:r w:rsidR="004534DA" w:rsidRPr="00FC10F2">
        <w:rPr>
          <w:lang w:val="es-ES"/>
        </w:rPr>
        <w:t>:</w:t>
      </w:r>
    </w:p>
    <w:p w14:paraId="6C5CE030" w14:textId="77777777" w:rsidR="004534DA" w:rsidRPr="00FC10F2" w:rsidRDefault="005A4859" w:rsidP="00142F2C">
      <w:pPr>
        <w:pStyle w:val="Txtpucegras"/>
        <w:tabs>
          <w:tab w:val="clear" w:pos="851"/>
          <w:tab w:val="num" w:pos="1276"/>
        </w:tabs>
        <w:ind w:left="1276" w:hanging="425"/>
        <w:rPr>
          <w:lang w:val="es-ES"/>
        </w:rPr>
      </w:pPr>
      <w:r w:rsidRPr="00FC10F2">
        <w:rPr>
          <w:lang w:val="es-ES"/>
        </w:rPr>
        <w:t>El valor de las reuniones entre expertos y practicantes del elemento. En 2006, una conferencia congregó a los practicantes del elemento y expertos de Córcega y otras partes para examinar las amenazas que pesaban sobre el elemento y formular una política pública de salvaguardia</w:t>
      </w:r>
    </w:p>
    <w:p w14:paraId="42117C36" w14:textId="77777777" w:rsidR="003A6FAF" w:rsidRPr="00FC10F2" w:rsidRDefault="005A4859" w:rsidP="00142F2C">
      <w:pPr>
        <w:pStyle w:val="Txtpucegras"/>
        <w:tabs>
          <w:tab w:val="clear" w:pos="851"/>
          <w:tab w:val="num" w:pos="1276"/>
        </w:tabs>
        <w:ind w:left="1276" w:hanging="425"/>
        <w:rPr>
          <w:lang w:val="es-ES"/>
        </w:rPr>
      </w:pPr>
      <w:r w:rsidRPr="00FC10F2">
        <w:rPr>
          <w:lang w:val="es-ES"/>
        </w:rPr>
        <w:t xml:space="preserve">La importancia de las asociaciones que agrupan a los practicantes de elemento, así como la función que </w:t>
      </w:r>
      <w:r w:rsidR="006F62AF">
        <w:rPr>
          <w:lang w:val="es-ES"/>
        </w:rPr>
        <w:t>e</w:t>
      </w:r>
      <w:r w:rsidRPr="00FC10F2">
        <w:rPr>
          <w:lang w:val="es-ES"/>
        </w:rPr>
        <w:t xml:space="preserve">stas cumplieron en la confección del inventario. En 2007, tras la consulta efectuada con la comunidad de practicantes, se fundó la Asociación del “Cantu in Paghjella” con miras a “identificar, documentar, investigar, preservar, proteger, promover, valorizar y transmitir por medios formales e informales el </w:t>
      </w:r>
      <w:r w:rsidRPr="00FC10F2">
        <w:rPr>
          <w:i/>
          <w:lang w:val="es-ES"/>
        </w:rPr>
        <w:t>cantu in paghjella</w:t>
      </w:r>
      <w:r w:rsidRPr="00FC10F2">
        <w:rPr>
          <w:lang w:val="es-ES"/>
        </w:rPr>
        <w:t>”.</w:t>
      </w:r>
    </w:p>
    <w:p w14:paraId="33D6F750" w14:textId="77777777" w:rsidR="004534DA" w:rsidRPr="00FC10F2" w:rsidRDefault="005A4859" w:rsidP="00142F2C">
      <w:pPr>
        <w:pStyle w:val="Txtpucegras"/>
        <w:tabs>
          <w:tab w:val="clear" w:pos="851"/>
          <w:tab w:val="num" w:pos="1276"/>
        </w:tabs>
        <w:ind w:left="1276" w:hanging="425"/>
        <w:rPr>
          <w:lang w:val="es-ES"/>
        </w:rPr>
      </w:pPr>
      <w:r w:rsidRPr="00FC10F2">
        <w:rPr>
          <w:lang w:val="es-ES"/>
        </w:rPr>
        <w:t xml:space="preserve">La Convención fue la fuente de inspiración de los practicantes y </w:t>
      </w:r>
      <w:r w:rsidR="008743C8" w:rsidRPr="00FC10F2">
        <w:rPr>
          <w:lang w:val="es-ES"/>
        </w:rPr>
        <w:t>d</w:t>
      </w:r>
      <w:r w:rsidRPr="00FC10F2">
        <w:rPr>
          <w:lang w:val="es-ES"/>
        </w:rPr>
        <w:t>e sus organizaciones</w:t>
      </w:r>
      <w:r w:rsidR="00586DB7" w:rsidRPr="00FC10F2">
        <w:rPr>
          <w:lang w:val="es-ES"/>
        </w:rPr>
        <w:t>.</w:t>
      </w:r>
    </w:p>
    <w:p w14:paraId="58DA8DC7" w14:textId="77777777" w:rsidR="004534DA" w:rsidRPr="00FC10F2" w:rsidRDefault="005A4859" w:rsidP="00142F2C">
      <w:pPr>
        <w:pStyle w:val="Txtpucegras"/>
        <w:tabs>
          <w:tab w:val="clear" w:pos="851"/>
          <w:tab w:val="num" w:pos="1276"/>
        </w:tabs>
        <w:ind w:left="1276" w:hanging="425"/>
        <w:rPr>
          <w:lang w:val="es-ES"/>
        </w:rPr>
      </w:pPr>
      <w:r w:rsidRPr="00FC10F2">
        <w:rPr>
          <w:lang w:val="es-ES"/>
        </w:rPr>
        <w:t xml:space="preserve">Las campañas organizadas </w:t>
      </w:r>
      <w:r w:rsidR="00C702AA" w:rsidRPr="00FC10F2">
        <w:rPr>
          <w:lang w:val="es-ES"/>
        </w:rPr>
        <w:t>en los medios informativos para</w:t>
      </w:r>
      <w:r w:rsidRPr="00FC10F2">
        <w:rPr>
          <w:lang w:val="es-ES"/>
        </w:rPr>
        <w:t xml:space="preserve"> sensibiliza</w:t>
      </w:r>
      <w:r w:rsidR="00C702AA" w:rsidRPr="00FC10F2">
        <w:rPr>
          <w:lang w:val="es-ES"/>
        </w:rPr>
        <w:t>r al valor e importancia del elemento.</w:t>
      </w:r>
      <w:r w:rsidRPr="00FC10F2">
        <w:rPr>
          <w:lang w:val="es-ES"/>
        </w:rPr>
        <w:t xml:space="preserve"> </w:t>
      </w:r>
      <w:r w:rsidR="00C702AA" w:rsidRPr="00FC10F2">
        <w:rPr>
          <w:lang w:val="es-ES"/>
        </w:rPr>
        <w:t>L</w:t>
      </w:r>
      <w:r w:rsidRPr="00FC10F2">
        <w:rPr>
          <w:lang w:val="es-ES"/>
        </w:rPr>
        <w:t xml:space="preserve">os medios de comunicación </w:t>
      </w:r>
      <w:r w:rsidR="00C702AA" w:rsidRPr="00FC10F2">
        <w:rPr>
          <w:lang w:val="es-ES"/>
        </w:rPr>
        <w:t xml:space="preserve">e información </w:t>
      </w:r>
      <w:r w:rsidRPr="00FC10F2">
        <w:rPr>
          <w:lang w:val="es-ES"/>
        </w:rPr>
        <w:t xml:space="preserve">locales </w:t>
      </w:r>
      <w:r w:rsidR="00C702AA" w:rsidRPr="00FC10F2">
        <w:rPr>
          <w:lang w:val="es-ES"/>
        </w:rPr>
        <w:t>y</w:t>
      </w:r>
      <w:r w:rsidRPr="00FC10F2">
        <w:rPr>
          <w:lang w:val="es-ES"/>
        </w:rPr>
        <w:t xml:space="preserve"> nacionales </w:t>
      </w:r>
      <w:r w:rsidR="00C702AA" w:rsidRPr="00FC10F2">
        <w:rPr>
          <w:lang w:val="es-ES"/>
        </w:rPr>
        <w:t>mantuvieron</w:t>
      </w:r>
      <w:r w:rsidRPr="00FC10F2">
        <w:rPr>
          <w:lang w:val="es-ES"/>
        </w:rPr>
        <w:t xml:space="preserve"> al público </w:t>
      </w:r>
      <w:r w:rsidR="00C702AA" w:rsidRPr="00FC10F2">
        <w:rPr>
          <w:lang w:val="es-ES"/>
        </w:rPr>
        <w:t xml:space="preserve">informado </w:t>
      </w:r>
      <w:r w:rsidRPr="00FC10F2">
        <w:rPr>
          <w:lang w:val="es-ES"/>
        </w:rPr>
        <w:t>sobre el elemento y la necesidad de salvaguardarlo.</w:t>
      </w:r>
    </w:p>
    <w:p w14:paraId="537E03B4" w14:textId="77777777" w:rsidR="0033097C" w:rsidRPr="00FC10F2" w:rsidRDefault="001F081A" w:rsidP="004936EF">
      <w:pPr>
        <w:pStyle w:val="Heading6"/>
        <w:rPr>
          <w:lang w:val="es-ES"/>
        </w:rPr>
      </w:pPr>
      <w:r w:rsidRPr="00FC10F2">
        <w:rPr>
          <w:lang w:val="es-ES"/>
        </w:rPr>
        <w:lastRenderedPageBreak/>
        <w:t>Diapositiva</w:t>
      </w:r>
      <w:r w:rsidR="009D09C4" w:rsidRPr="00FC10F2">
        <w:rPr>
          <w:lang w:val="es-ES"/>
        </w:rPr>
        <w:t xml:space="preserve"> 1</w:t>
      </w:r>
      <w:r w:rsidR="006F62AF">
        <w:rPr>
          <w:lang w:val="es-ES"/>
        </w:rPr>
        <w:t>3</w:t>
      </w:r>
      <w:r w:rsidR="0033097C" w:rsidRPr="00FC10F2">
        <w:rPr>
          <w:lang w:val="es-ES"/>
        </w:rPr>
        <w:t>.</w:t>
      </w:r>
    </w:p>
    <w:p w14:paraId="2460E643" w14:textId="77777777" w:rsidR="004534DA" w:rsidRPr="00FC10F2" w:rsidRDefault="007052DD" w:rsidP="004936EF">
      <w:pPr>
        <w:pStyle w:val="diapo2"/>
        <w:rPr>
          <w:lang w:val="es-ES"/>
        </w:rPr>
      </w:pPr>
      <w:r w:rsidRPr="00FC10F2">
        <w:rPr>
          <w:bCs/>
          <w:lang w:val="es-ES"/>
        </w:rPr>
        <w:t xml:space="preserve">Estudio de caso – </w:t>
      </w:r>
      <w:r w:rsidR="00B17949" w:rsidRPr="00FC10F2">
        <w:rPr>
          <w:bCs/>
          <w:lang w:val="es-ES"/>
        </w:rPr>
        <w:t>Pre</w:t>
      </w:r>
      <w:r w:rsidR="007778B6" w:rsidRPr="00FC10F2">
        <w:rPr>
          <w:bCs/>
          <w:lang w:val="es-ES"/>
        </w:rPr>
        <w:t>para</w:t>
      </w:r>
      <w:r w:rsidR="00B17949" w:rsidRPr="00FC10F2">
        <w:rPr>
          <w:bCs/>
          <w:lang w:val="es-ES"/>
        </w:rPr>
        <w:t>ción de la candidatura del elemento “</w:t>
      </w:r>
      <w:r w:rsidR="002304A4" w:rsidRPr="00FC10F2">
        <w:rPr>
          <w:bCs/>
          <w:lang w:val="es-ES"/>
        </w:rPr>
        <w:t>Tradiciones de los mijikendas</w:t>
      </w:r>
      <w:r w:rsidR="00B17949" w:rsidRPr="00FC10F2">
        <w:rPr>
          <w:bCs/>
          <w:lang w:val="es-ES"/>
        </w:rPr>
        <w:t>”</w:t>
      </w:r>
      <w:r w:rsidR="002304A4" w:rsidRPr="00FC10F2">
        <w:rPr>
          <w:bCs/>
          <w:lang w:val="es-ES"/>
        </w:rPr>
        <w:t xml:space="preserve"> (Kenya) </w:t>
      </w:r>
    </w:p>
    <w:p w14:paraId="346E51F6" w14:textId="77777777" w:rsidR="004B1B09" w:rsidRPr="00FC10F2" w:rsidRDefault="00C702AA" w:rsidP="009909DD">
      <w:pPr>
        <w:pStyle w:val="Texte1"/>
        <w:rPr>
          <w:lang w:val="es-ES"/>
        </w:rPr>
      </w:pPr>
      <w:r w:rsidRPr="00FC10F2">
        <w:rPr>
          <w:lang w:val="es-ES"/>
        </w:rPr>
        <w:t xml:space="preserve">Un resumen de este ejemplo figura en el Estudio de Caso </w:t>
      </w:r>
      <w:r w:rsidR="004B1B09" w:rsidRPr="00FC10F2">
        <w:rPr>
          <w:lang w:val="es-ES"/>
        </w:rPr>
        <w:t>11.</w:t>
      </w:r>
    </w:p>
    <w:p w14:paraId="074B17FF" w14:textId="77777777" w:rsidR="004534DA" w:rsidRPr="00FC10F2" w:rsidRDefault="00C702AA" w:rsidP="009909DD">
      <w:pPr>
        <w:pStyle w:val="Texte1"/>
        <w:rPr>
          <w:lang w:val="es-ES"/>
        </w:rPr>
      </w:pPr>
      <w:r w:rsidRPr="00FC10F2">
        <w:rPr>
          <w:lang w:val="es-ES"/>
        </w:rPr>
        <w:t xml:space="preserve">El elemento denominado </w:t>
      </w:r>
      <w:r w:rsidRPr="00FC10F2">
        <w:rPr>
          <w:szCs w:val="20"/>
          <w:lang w:val="es-ES"/>
        </w:rPr>
        <w:t xml:space="preserve">“Tradiciones y prácticas vinculadas a los </w:t>
      </w:r>
      <w:r w:rsidRPr="00FC10F2">
        <w:rPr>
          <w:i/>
          <w:szCs w:val="20"/>
          <w:lang w:val="es-ES"/>
        </w:rPr>
        <w:t>kayas</w:t>
      </w:r>
      <w:r w:rsidRPr="00FC10F2">
        <w:rPr>
          <w:szCs w:val="20"/>
          <w:lang w:val="es-ES"/>
        </w:rPr>
        <w:t xml:space="preserve"> en los bosques sagrados de los mijikendas”</w:t>
      </w:r>
      <w:r w:rsidR="004534DA" w:rsidRPr="00FC10F2">
        <w:rPr>
          <w:lang w:val="es-ES"/>
        </w:rPr>
        <w:t xml:space="preserve"> </w:t>
      </w:r>
      <w:r w:rsidRPr="00FC10F2">
        <w:rPr>
          <w:lang w:val="es-ES"/>
        </w:rPr>
        <w:t xml:space="preserve">se inscribió en la LSU el año </w:t>
      </w:r>
      <w:r w:rsidR="004534DA" w:rsidRPr="00FC10F2">
        <w:rPr>
          <w:lang w:val="es-ES"/>
        </w:rPr>
        <w:t>2009.</w:t>
      </w:r>
    </w:p>
    <w:p w14:paraId="66E44C01" w14:textId="77777777" w:rsidR="004534DA" w:rsidRPr="00FC10F2" w:rsidRDefault="004C3EF5" w:rsidP="009909DD">
      <w:pPr>
        <w:pStyle w:val="Texte1"/>
        <w:rPr>
          <w:lang w:val="es-ES"/>
        </w:rPr>
      </w:pPr>
      <w:r w:rsidRPr="00FC10F2">
        <w:rPr>
          <w:lang w:val="es-ES"/>
        </w:rPr>
        <w:t>En ese estudio de caso se destacan las modalidades de participación de la comunidad en diversos procesos, comprendidos los siguientes</w:t>
      </w:r>
      <w:r w:rsidR="004534DA" w:rsidRPr="00FC10F2">
        <w:rPr>
          <w:lang w:val="es-ES"/>
        </w:rPr>
        <w:t>:</w:t>
      </w:r>
    </w:p>
    <w:p w14:paraId="5F44AF4F" w14:textId="77777777" w:rsidR="004534DA" w:rsidRPr="00FC10F2" w:rsidRDefault="004C3EF5" w:rsidP="00142F2C">
      <w:pPr>
        <w:pStyle w:val="Txtpucegras"/>
        <w:tabs>
          <w:tab w:val="clear" w:pos="851"/>
          <w:tab w:val="num" w:pos="1276"/>
        </w:tabs>
        <w:ind w:left="1276" w:hanging="425"/>
        <w:rPr>
          <w:lang w:val="es-ES"/>
        </w:rPr>
      </w:pPr>
      <w:r w:rsidRPr="00FC10F2">
        <w:rPr>
          <w:lang w:val="es-ES"/>
        </w:rPr>
        <w:t xml:space="preserve">Consultas con las comunidades. Se celebraron varias reuniones para discutir la presentación de la candidatura del elemento, en las que participaron los Consejos de Ancianos, grupos conservacionistas </w:t>
      </w:r>
      <w:r w:rsidR="00F84826" w:rsidRPr="00FC10F2">
        <w:rPr>
          <w:lang w:val="es-ES"/>
        </w:rPr>
        <w:t xml:space="preserve">del entorno de los </w:t>
      </w:r>
      <w:r w:rsidR="00F84826" w:rsidRPr="00FC10F2">
        <w:rPr>
          <w:i/>
          <w:szCs w:val="20"/>
          <w:lang w:val="es-ES"/>
        </w:rPr>
        <w:t>kayas</w:t>
      </w:r>
      <w:r w:rsidR="00F84826" w:rsidRPr="00FC10F2">
        <w:rPr>
          <w:lang w:val="es-ES"/>
        </w:rPr>
        <w:t xml:space="preserve"> </w:t>
      </w:r>
      <w:r w:rsidRPr="00FC10F2">
        <w:rPr>
          <w:lang w:val="es-ES"/>
        </w:rPr>
        <w:t>y agrupaciones juveniles</w:t>
      </w:r>
      <w:r w:rsidR="00D306CA">
        <w:rPr>
          <w:lang w:val="es-ES"/>
        </w:rPr>
        <w:t xml:space="preserve"> y de mujeres</w:t>
      </w:r>
      <w:r w:rsidRPr="00FC10F2">
        <w:rPr>
          <w:lang w:val="es-ES"/>
        </w:rPr>
        <w:t>.</w:t>
      </w:r>
    </w:p>
    <w:p w14:paraId="69064795" w14:textId="77777777" w:rsidR="004534DA" w:rsidRPr="00FC10F2" w:rsidRDefault="004C3EF5" w:rsidP="00142F2C">
      <w:pPr>
        <w:pStyle w:val="Txtpucegras"/>
        <w:tabs>
          <w:tab w:val="clear" w:pos="851"/>
          <w:tab w:val="num" w:pos="1276"/>
        </w:tabs>
        <w:ind w:left="1276" w:hanging="425"/>
        <w:rPr>
          <w:lang w:val="es-ES"/>
        </w:rPr>
      </w:pPr>
      <w:r w:rsidRPr="00FC10F2">
        <w:rPr>
          <w:lang w:val="es-ES"/>
        </w:rPr>
        <w:t xml:space="preserve">Incorporación de las ideas expresadas por las comunidades en el plan de salvaguardia, </w:t>
      </w:r>
      <w:r w:rsidR="00F84826" w:rsidRPr="00FC10F2">
        <w:rPr>
          <w:lang w:val="es-ES"/>
        </w:rPr>
        <w:t>inclui</w:t>
      </w:r>
      <w:r w:rsidRPr="00FC10F2">
        <w:rPr>
          <w:lang w:val="es-ES"/>
        </w:rPr>
        <w:t>das las relacionadas</w:t>
      </w:r>
      <w:r w:rsidR="00F84826" w:rsidRPr="00FC10F2">
        <w:rPr>
          <w:lang w:val="es-ES"/>
        </w:rPr>
        <w:t xml:space="preserve"> con los medios para </w:t>
      </w:r>
      <w:r w:rsidR="008743C8" w:rsidRPr="00FC10F2">
        <w:rPr>
          <w:lang w:val="es-ES"/>
        </w:rPr>
        <w:t>generar ingresos –</w:t>
      </w:r>
      <w:r w:rsidRPr="00FC10F2">
        <w:rPr>
          <w:lang w:val="es-ES"/>
        </w:rPr>
        <w:t>mediante la apicultura y el ecoturismo</w:t>
      </w:r>
      <w:r w:rsidR="008743C8" w:rsidRPr="00FC10F2">
        <w:rPr>
          <w:lang w:val="es-ES"/>
        </w:rPr>
        <w:t>–</w:t>
      </w:r>
      <w:r w:rsidRPr="00FC10F2">
        <w:rPr>
          <w:lang w:val="es-ES"/>
        </w:rPr>
        <w:t xml:space="preserve"> y </w:t>
      </w:r>
      <w:r w:rsidR="00F84826" w:rsidRPr="00FC10F2">
        <w:rPr>
          <w:lang w:val="es-ES"/>
        </w:rPr>
        <w:t xml:space="preserve">con la </w:t>
      </w:r>
      <w:r w:rsidRPr="00FC10F2">
        <w:rPr>
          <w:lang w:val="es-ES"/>
        </w:rPr>
        <w:t>contrata</w:t>
      </w:r>
      <w:r w:rsidR="00F84826" w:rsidRPr="00FC10F2">
        <w:rPr>
          <w:lang w:val="es-ES"/>
        </w:rPr>
        <w:t>ción de</w:t>
      </w:r>
      <w:r w:rsidRPr="00FC10F2">
        <w:rPr>
          <w:lang w:val="es-ES"/>
        </w:rPr>
        <w:t xml:space="preserve"> guardias comunitarios</w:t>
      </w:r>
      <w:r w:rsidR="00D306CA">
        <w:rPr>
          <w:lang w:val="es-ES"/>
        </w:rPr>
        <w:t>.</w:t>
      </w:r>
    </w:p>
    <w:p w14:paraId="30F50FD3" w14:textId="77777777" w:rsidR="004534DA" w:rsidRPr="00FC10F2" w:rsidRDefault="00F84826" w:rsidP="00142F2C">
      <w:pPr>
        <w:pStyle w:val="Txtpucegras"/>
        <w:tabs>
          <w:tab w:val="clear" w:pos="851"/>
          <w:tab w:val="num" w:pos="1276"/>
        </w:tabs>
        <w:ind w:left="1276" w:hanging="425"/>
        <w:rPr>
          <w:lang w:val="es-ES"/>
        </w:rPr>
      </w:pPr>
      <w:r w:rsidRPr="00FC10F2">
        <w:rPr>
          <w:lang w:val="es-ES"/>
        </w:rPr>
        <w:t xml:space="preserve">Creación de grupos de desarrollo comunitario para fomentar el desarrollo de la comunidad, salvaguardando al mismo tiempo el patrimonio cultural –material e inmaterial– de los </w:t>
      </w:r>
      <w:r w:rsidRPr="00FC10F2">
        <w:rPr>
          <w:i/>
          <w:lang w:val="es-ES"/>
        </w:rPr>
        <w:t>kayas</w:t>
      </w:r>
      <w:r w:rsidRPr="00FC10F2">
        <w:rPr>
          <w:lang w:val="es-ES"/>
        </w:rPr>
        <w:t>.</w:t>
      </w:r>
    </w:p>
    <w:p w14:paraId="446CCC52" w14:textId="77777777" w:rsidR="00417074" w:rsidRPr="00FC10F2" w:rsidRDefault="001F081A" w:rsidP="004936EF">
      <w:pPr>
        <w:pStyle w:val="Heading6"/>
        <w:rPr>
          <w:lang w:val="es-ES"/>
        </w:rPr>
      </w:pPr>
      <w:r w:rsidRPr="00FC10F2">
        <w:rPr>
          <w:lang w:val="es-ES"/>
        </w:rPr>
        <w:t>Diapositiva</w:t>
      </w:r>
      <w:r w:rsidR="009D09C4" w:rsidRPr="00FC10F2">
        <w:rPr>
          <w:lang w:val="es-ES"/>
        </w:rPr>
        <w:t xml:space="preserve"> 1</w:t>
      </w:r>
      <w:r w:rsidR="00D306CA">
        <w:rPr>
          <w:lang w:val="es-ES"/>
        </w:rPr>
        <w:t>4</w:t>
      </w:r>
      <w:r w:rsidR="00417074" w:rsidRPr="00FC10F2">
        <w:rPr>
          <w:lang w:val="es-ES"/>
        </w:rPr>
        <w:t>.</w:t>
      </w:r>
    </w:p>
    <w:p w14:paraId="1CE7483F" w14:textId="77777777" w:rsidR="00E248EB" w:rsidRPr="00FC10F2" w:rsidRDefault="002304A4" w:rsidP="004936EF">
      <w:pPr>
        <w:pStyle w:val="diapo2"/>
        <w:rPr>
          <w:lang w:val="es-ES"/>
        </w:rPr>
      </w:pPr>
      <w:r w:rsidRPr="00FC10F2">
        <w:rPr>
          <w:bCs/>
          <w:lang w:val="es-ES"/>
        </w:rPr>
        <w:t>Garantizar la participación y el consentimiento de la</w:t>
      </w:r>
      <w:r w:rsidR="00B00ED0" w:rsidRPr="00FC10F2">
        <w:rPr>
          <w:bCs/>
          <w:lang w:val="es-ES"/>
        </w:rPr>
        <w:t>s</w:t>
      </w:r>
      <w:r w:rsidRPr="00FC10F2">
        <w:rPr>
          <w:bCs/>
          <w:lang w:val="es-ES"/>
        </w:rPr>
        <w:t xml:space="preserve"> comunidad</w:t>
      </w:r>
      <w:r w:rsidR="00B00ED0" w:rsidRPr="00FC10F2">
        <w:rPr>
          <w:bCs/>
          <w:lang w:val="es-ES"/>
        </w:rPr>
        <w:t>es</w:t>
      </w:r>
    </w:p>
    <w:p w14:paraId="6FCB6649" w14:textId="77777777" w:rsidR="00F30D29" w:rsidRPr="00FC10F2" w:rsidRDefault="00D306CA" w:rsidP="009909DD">
      <w:pPr>
        <w:pStyle w:val="Texte1"/>
        <w:rPr>
          <w:lang w:val="es-ES"/>
        </w:rPr>
      </w:pPr>
      <w:r w:rsidRPr="0016787E">
        <w:rPr>
          <w:i/>
          <w:iCs/>
          <w:noProof/>
          <w:lang w:eastAsia="zh-TW"/>
        </w:rPr>
        <w:drawing>
          <wp:anchor distT="0" distB="0" distL="114300" distR="114300" simplePos="0" relativeHeight="251697152" behindDoc="0" locked="1" layoutInCell="1" allowOverlap="0" wp14:anchorId="27047DE4" wp14:editId="725E6695">
            <wp:simplePos x="0" y="0"/>
            <wp:positionH relativeFrom="column">
              <wp:posOffset>103505</wp:posOffset>
            </wp:positionH>
            <wp:positionV relativeFrom="paragraph">
              <wp:posOffset>-30480</wp:posOffset>
            </wp:positionV>
            <wp:extent cx="282575" cy="357505"/>
            <wp:effectExtent l="0" t="0" r="3175" b="4445"/>
            <wp:wrapNone/>
            <wp:docPr id="15"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350EE3" w:rsidRPr="00FC10F2">
        <w:rPr>
          <w:lang w:val="es-ES"/>
        </w:rPr>
        <w:t xml:space="preserve">En la sección 7.7 del Texto para el Participante de la presente Unidad 7, </w:t>
      </w:r>
      <w:r w:rsidR="00D61677" w:rsidRPr="00FC10F2">
        <w:rPr>
          <w:lang w:val="es-ES"/>
        </w:rPr>
        <w:t>se presentan algunas cuestiones que se deben tomar en consideración a la hora de garantizar la participación y el consentimiento de las comunidades en la aplicación de la Convención</w:t>
      </w:r>
      <w:r w:rsidR="005B6F2C" w:rsidRPr="00FC10F2">
        <w:rPr>
          <w:lang w:val="es-ES"/>
        </w:rPr>
        <w:t>.</w:t>
      </w:r>
    </w:p>
    <w:p w14:paraId="691FF0B5" w14:textId="77777777" w:rsidR="00146DFA" w:rsidRPr="00FC10F2" w:rsidRDefault="00D61677" w:rsidP="009909DD">
      <w:pPr>
        <w:pStyle w:val="Texte1"/>
        <w:rPr>
          <w:lang w:val="es-ES"/>
        </w:rPr>
      </w:pPr>
      <w:r w:rsidRPr="00FC10F2">
        <w:rPr>
          <w:lang w:val="es-ES"/>
        </w:rPr>
        <w:t>Ca</w:t>
      </w:r>
      <w:r w:rsidR="006D47C1" w:rsidRPr="00FC10F2">
        <w:rPr>
          <w:lang w:val="es-ES"/>
        </w:rPr>
        <w:t>d</w:t>
      </w:r>
      <w:r w:rsidRPr="00FC10F2">
        <w:rPr>
          <w:lang w:val="es-ES"/>
        </w:rPr>
        <w:t>a un</w:t>
      </w:r>
      <w:r w:rsidR="006F1600" w:rsidRPr="00FC10F2">
        <w:rPr>
          <w:lang w:val="es-ES"/>
        </w:rPr>
        <w:t>a de esas cuestiones se examina</w:t>
      </w:r>
      <w:r w:rsidRPr="00FC10F2">
        <w:rPr>
          <w:lang w:val="es-ES"/>
        </w:rPr>
        <w:t xml:space="preserve"> con más detalle en las diapositivas siguientes</w:t>
      </w:r>
      <w:r w:rsidR="00146DFA" w:rsidRPr="00FC10F2">
        <w:rPr>
          <w:lang w:val="es-ES"/>
        </w:rPr>
        <w:t>.</w:t>
      </w:r>
    </w:p>
    <w:p w14:paraId="09624911" w14:textId="77777777" w:rsidR="00417074" w:rsidRPr="00FC10F2" w:rsidRDefault="001F081A" w:rsidP="004936EF">
      <w:pPr>
        <w:pStyle w:val="Heading6"/>
        <w:rPr>
          <w:lang w:val="es-ES"/>
        </w:rPr>
      </w:pPr>
      <w:r w:rsidRPr="00FC10F2">
        <w:rPr>
          <w:lang w:val="es-ES"/>
        </w:rPr>
        <w:t>Diapositiva</w:t>
      </w:r>
      <w:r w:rsidR="009D09C4" w:rsidRPr="00FC10F2">
        <w:rPr>
          <w:lang w:val="es-ES"/>
        </w:rPr>
        <w:t xml:space="preserve"> 1</w:t>
      </w:r>
      <w:r w:rsidR="00D306CA">
        <w:rPr>
          <w:lang w:val="es-ES"/>
        </w:rPr>
        <w:t>5</w:t>
      </w:r>
      <w:r w:rsidR="00417074" w:rsidRPr="00FC10F2">
        <w:rPr>
          <w:lang w:val="es-ES"/>
        </w:rPr>
        <w:t>.</w:t>
      </w:r>
    </w:p>
    <w:p w14:paraId="1A99C794" w14:textId="77777777" w:rsidR="00E248EB" w:rsidRPr="00FC10F2" w:rsidRDefault="002304A4" w:rsidP="004936EF">
      <w:pPr>
        <w:pStyle w:val="diapo2"/>
        <w:rPr>
          <w:lang w:val="es-ES"/>
        </w:rPr>
      </w:pPr>
      <w:r w:rsidRPr="00FC10F2">
        <w:rPr>
          <w:bCs/>
          <w:lang w:val="es-ES"/>
        </w:rPr>
        <w:t>Identificación de las comunidades interesadas</w:t>
      </w:r>
    </w:p>
    <w:p w14:paraId="188A274D" w14:textId="77777777" w:rsidR="008E2150" w:rsidRPr="00FC10F2" w:rsidRDefault="00D306CA" w:rsidP="009909DD">
      <w:pPr>
        <w:pStyle w:val="Texte1"/>
        <w:rPr>
          <w:lang w:val="es-ES"/>
        </w:rPr>
      </w:pPr>
      <w:r w:rsidRPr="00E55C68">
        <w:rPr>
          <w:i/>
          <w:iCs/>
          <w:noProof/>
          <w:lang w:eastAsia="zh-TW"/>
        </w:rPr>
        <w:drawing>
          <wp:anchor distT="0" distB="0" distL="114300" distR="114300" simplePos="0" relativeHeight="251699200" behindDoc="0" locked="1" layoutInCell="1" allowOverlap="0" wp14:anchorId="2A926704" wp14:editId="4D86D081">
            <wp:simplePos x="0" y="0"/>
            <wp:positionH relativeFrom="column">
              <wp:posOffset>71120</wp:posOffset>
            </wp:positionH>
            <wp:positionV relativeFrom="paragraph">
              <wp:posOffset>52070</wp:posOffset>
            </wp:positionV>
            <wp:extent cx="282575" cy="357505"/>
            <wp:effectExtent l="0" t="0" r="3175" b="4445"/>
            <wp:wrapNone/>
            <wp:docPr id="1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350EE3" w:rsidRPr="00FC10F2">
        <w:rPr>
          <w:lang w:val="es-ES"/>
        </w:rPr>
        <w:t>En la sección 7.8 del Texto para el Participante de la presente Unidad 7,</w:t>
      </w:r>
      <w:r w:rsidR="005B7AFC" w:rsidRPr="00FC10F2">
        <w:rPr>
          <w:lang w:val="es-ES"/>
        </w:rPr>
        <w:t xml:space="preserve"> </w:t>
      </w:r>
      <w:r w:rsidR="00304FFD" w:rsidRPr="00FC10F2">
        <w:rPr>
          <w:lang w:val="es-ES"/>
        </w:rPr>
        <w:t>se pr</w:t>
      </w:r>
      <w:r w:rsidR="00D61677" w:rsidRPr="00FC10F2">
        <w:rPr>
          <w:lang w:val="es-ES"/>
        </w:rPr>
        <w:t>e</w:t>
      </w:r>
      <w:r w:rsidR="00304FFD" w:rsidRPr="00FC10F2">
        <w:rPr>
          <w:lang w:val="es-ES"/>
        </w:rPr>
        <w:t>sentan algunas cuestiones que se deben tomar en consideración para la identificación de las comunidades interesadas</w:t>
      </w:r>
      <w:r w:rsidR="005B6F2C" w:rsidRPr="00FC10F2">
        <w:rPr>
          <w:lang w:val="es-ES"/>
        </w:rPr>
        <w:t>.</w:t>
      </w:r>
    </w:p>
    <w:p w14:paraId="071260BC" w14:textId="63DAA137" w:rsidR="00E248EB" w:rsidRPr="00026030" w:rsidRDefault="00E248EB" w:rsidP="00FC6098">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snapToGrid/>
          <w:color w:val="3366FF"/>
          <w:sz w:val="24"/>
          <w:lang w:val="fr-FR" w:eastAsia="en-US"/>
        </w:rPr>
      </w:pPr>
      <w:r w:rsidRPr="00026030">
        <w:rPr>
          <w:rFonts w:asciiTheme="minorBidi" w:hAnsiTheme="minorBidi" w:cstheme="minorBidi"/>
          <w:b/>
          <w:bCs/>
          <w:snapToGrid/>
          <w:color w:val="3366FF"/>
          <w:sz w:val="24"/>
          <w:lang w:val="fr-FR" w:eastAsia="en-US"/>
        </w:rPr>
        <w:t>E</w:t>
      </w:r>
      <w:r w:rsidR="002304A4" w:rsidRPr="00026030">
        <w:rPr>
          <w:rFonts w:asciiTheme="minorBidi" w:hAnsiTheme="minorBidi" w:cstheme="minorBidi"/>
          <w:b/>
          <w:bCs/>
          <w:snapToGrid/>
          <w:color w:val="3366FF"/>
          <w:sz w:val="24"/>
          <w:lang w:val="fr-FR" w:eastAsia="en-US"/>
        </w:rPr>
        <w:t>jercicio</w:t>
      </w:r>
      <w:r w:rsidR="00261D31" w:rsidRPr="00026030">
        <w:rPr>
          <w:rFonts w:asciiTheme="minorBidi" w:hAnsiTheme="minorBidi" w:cstheme="minorBidi"/>
          <w:b/>
          <w:bCs/>
          <w:snapToGrid/>
          <w:color w:val="3366FF"/>
          <w:sz w:val="24"/>
          <w:lang w:val="fr-FR" w:eastAsia="en-US"/>
        </w:rPr>
        <w:t xml:space="preserve"> </w:t>
      </w:r>
      <w:r w:rsidR="002304A4" w:rsidRPr="00026030">
        <w:rPr>
          <w:rFonts w:asciiTheme="minorBidi" w:hAnsiTheme="minorBidi" w:cstheme="minorBidi"/>
          <w:b/>
          <w:bCs/>
          <w:snapToGrid/>
          <w:color w:val="3366FF"/>
          <w:sz w:val="24"/>
          <w:lang w:val="fr-FR" w:eastAsia="en-US"/>
        </w:rPr>
        <w:t xml:space="preserve">– </w:t>
      </w:r>
      <w:r w:rsidR="00205490" w:rsidRPr="00026030">
        <w:rPr>
          <w:rFonts w:asciiTheme="minorBidi" w:hAnsiTheme="minorBidi" w:cstheme="minorBidi"/>
          <w:b/>
          <w:bCs/>
          <w:snapToGrid/>
          <w:color w:val="3366FF"/>
          <w:sz w:val="24"/>
          <w:lang w:val="fr-FR" w:eastAsia="en-US"/>
        </w:rPr>
        <w:t>¿Quiénes integran mi comunidad?</w:t>
      </w:r>
    </w:p>
    <w:p w14:paraId="5567B749" w14:textId="3C5293EF" w:rsidR="00261D31" w:rsidRPr="00026030" w:rsidRDefault="00261D31" w:rsidP="00FC6098">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fr-FR" w:eastAsia="en-US"/>
        </w:rPr>
      </w:pPr>
      <w:r w:rsidRPr="00026030">
        <w:rPr>
          <w:rFonts w:asciiTheme="minorBidi" w:hAnsiTheme="minorBidi" w:cstheme="minorBidi"/>
          <w:b/>
          <w:bCs/>
          <w:snapToGrid/>
          <w:sz w:val="24"/>
          <w:lang w:val="fr-FR" w:eastAsia="en-US"/>
        </w:rPr>
        <w:t>15 minutos</w:t>
      </w:r>
    </w:p>
    <w:p w14:paraId="6715C2C5" w14:textId="77777777" w:rsidR="00E248EB" w:rsidRPr="00026030" w:rsidRDefault="00D61677"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026030">
        <w:rPr>
          <w:snapToGrid/>
          <w:sz w:val="20"/>
          <w:lang w:val="fr-FR"/>
        </w:rPr>
        <w:t>Los participantes en el taller deben examinar los diferentes grupos y comunidades a los que pertenecen y mencionar las prácticas del PCI que les son inherentes. Asimismo, deben identificar algunas prácticas del PCI con las que estén familiarizados y explicar quiénes podrían, a su parecer, integrar “la comunidad interesada”.</w:t>
      </w:r>
    </w:p>
    <w:p w14:paraId="48DDDB6E" w14:textId="77777777" w:rsidR="00907C2D" w:rsidRPr="00FC10F2" w:rsidRDefault="001F081A" w:rsidP="00907C2D">
      <w:pPr>
        <w:pStyle w:val="Heading6"/>
        <w:rPr>
          <w:lang w:val="es-ES"/>
        </w:rPr>
      </w:pPr>
      <w:r w:rsidRPr="00FC10F2">
        <w:rPr>
          <w:lang w:val="es-ES"/>
        </w:rPr>
        <w:lastRenderedPageBreak/>
        <w:t>Diapositiva</w:t>
      </w:r>
      <w:r w:rsidR="00907C2D" w:rsidRPr="00FC10F2">
        <w:rPr>
          <w:lang w:val="es-ES"/>
        </w:rPr>
        <w:t xml:space="preserve"> 1</w:t>
      </w:r>
      <w:r w:rsidR="00D306CA">
        <w:rPr>
          <w:lang w:val="es-ES"/>
        </w:rPr>
        <w:t>6</w:t>
      </w:r>
      <w:r w:rsidR="00907C2D" w:rsidRPr="00FC10F2">
        <w:rPr>
          <w:lang w:val="es-ES"/>
        </w:rPr>
        <w:t>.</w:t>
      </w:r>
    </w:p>
    <w:p w14:paraId="0237D8F7" w14:textId="77777777" w:rsidR="00907C2D" w:rsidRPr="00FC10F2" w:rsidRDefault="00907C2D" w:rsidP="009C7479">
      <w:pPr>
        <w:pStyle w:val="diapo2"/>
        <w:rPr>
          <w:lang w:val="es-ES"/>
        </w:rPr>
      </w:pPr>
      <w:r w:rsidRPr="00FC10F2">
        <w:rPr>
          <w:lang w:val="es-ES"/>
        </w:rPr>
        <w:t>Com</w:t>
      </w:r>
      <w:r w:rsidR="006D47C1" w:rsidRPr="00FC10F2">
        <w:rPr>
          <w:lang w:val="es-ES"/>
        </w:rPr>
        <w:t>plejidad de las comunidades</w:t>
      </w:r>
    </w:p>
    <w:p w14:paraId="338B3294" w14:textId="77777777" w:rsidR="00907C2D" w:rsidRPr="00FC10F2" w:rsidRDefault="008B1A85" w:rsidP="009C7479">
      <w:pPr>
        <w:pStyle w:val="Texte1"/>
        <w:rPr>
          <w:lang w:val="es-ES"/>
        </w:rPr>
      </w:pPr>
      <w:r w:rsidRPr="00FC10F2">
        <w:rPr>
          <w:lang w:val="es-ES"/>
        </w:rPr>
        <w:t xml:space="preserve">Por muy buenas que sean las intenciones en materia de integración en las comunidades, es evidente que </w:t>
      </w:r>
      <w:r w:rsidR="00D306CA">
        <w:rPr>
          <w:lang w:val="es-ES"/>
        </w:rPr>
        <w:t>e</w:t>
      </w:r>
      <w:r w:rsidRPr="00FC10F2">
        <w:rPr>
          <w:lang w:val="es-ES"/>
        </w:rPr>
        <w:t xml:space="preserve">stas últimas son complejas y que factores como la clase social, el </w:t>
      </w:r>
      <w:r w:rsidR="00642DCF">
        <w:rPr>
          <w:lang w:val="es-ES"/>
        </w:rPr>
        <w:t>género</w:t>
      </w:r>
      <w:r w:rsidRPr="00FC10F2">
        <w:rPr>
          <w:lang w:val="es-ES"/>
        </w:rPr>
        <w:t>, la edad, la etnia y la religión pueden obstaculizar su participación real</w:t>
      </w:r>
      <w:r w:rsidR="00907C2D" w:rsidRPr="00FC10F2">
        <w:rPr>
          <w:lang w:val="es-ES"/>
        </w:rPr>
        <w:t xml:space="preserve">. </w:t>
      </w:r>
    </w:p>
    <w:p w14:paraId="7E20301B" w14:textId="77777777" w:rsidR="00907C2D" w:rsidRPr="00FC10F2" w:rsidRDefault="008B1A85" w:rsidP="009C7479">
      <w:pPr>
        <w:pStyle w:val="Texte1"/>
        <w:rPr>
          <w:lang w:val="es-ES"/>
        </w:rPr>
      </w:pPr>
      <w:r w:rsidRPr="00FC10F2">
        <w:rPr>
          <w:lang w:val="es-ES"/>
        </w:rPr>
        <w:t xml:space="preserve">La experiencia demuestra que los facilitadores de los procesos participativos tienen a menudo la visión ingenua de que </w:t>
      </w:r>
      <w:r w:rsidR="006D47C1" w:rsidRPr="00FC10F2">
        <w:rPr>
          <w:lang w:val="es-ES"/>
        </w:rPr>
        <w:t>“la comunidad</w:t>
      </w:r>
      <w:r w:rsidRPr="00FC10F2">
        <w:rPr>
          <w:lang w:val="es-ES"/>
        </w:rPr>
        <w:t xml:space="preserve"> es una entidad armónica</w:t>
      </w:r>
      <w:r w:rsidR="006D47C1" w:rsidRPr="00FC10F2">
        <w:rPr>
          <w:lang w:val="es-ES"/>
        </w:rPr>
        <w:t>”</w:t>
      </w:r>
      <w:r w:rsidRPr="00FC10F2">
        <w:rPr>
          <w:lang w:val="es-ES"/>
        </w:rPr>
        <w:t xml:space="preserve">. Esto hace que no se entiendan adecuadamente sus diferencias y dinámicas internas, a pesar de que esto es imprescindible para intervenir en cualquier proceso participativo y </w:t>
      </w:r>
      <w:r w:rsidR="00B466D6" w:rsidRPr="00FC10F2">
        <w:rPr>
          <w:lang w:val="es-ES"/>
        </w:rPr>
        <w:t>para que los distintos grupos de la comunidad saquen</w:t>
      </w:r>
      <w:r w:rsidRPr="00FC10F2">
        <w:rPr>
          <w:lang w:val="es-ES"/>
        </w:rPr>
        <w:t xml:space="preserve"> provecho de</w:t>
      </w:r>
      <w:r w:rsidR="00B466D6" w:rsidRPr="00FC10F2">
        <w:rPr>
          <w:lang w:val="es-ES"/>
        </w:rPr>
        <w:t xml:space="preserve"> </w:t>
      </w:r>
      <w:r w:rsidR="00D306CA">
        <w:rPr>
          <w:lang w:val="es-ES"/>
        </w:rPr>
        <w:t>e</w:t>
      </w:r>
      <w:r w:rsidR="00B466D6" w:rsidRPr="00FC10F2">
        <w:rPr>
          <w:lang w:val="es-ES"/>
        </w:rPr>
        <w:t>ste</w:t>
      </w:r>
      <w:r w:rsidRPr="00FC10F2">
        <w:rPr>
          <w:lang w:val="es-ES"/>
        </w:rPr>
        <w:t xml:space="preserve">. Con frecuencia, el mito de la comunidad homogénea e inclusiva está profundamente arraigado en la mente de los facilitadores. Esto tiene como consecuencia que sus prácticas sean en apariencia de carácter participativo, </w:t>
      </w:r>
      <w:r w:rsidR="006D47C1" w:rsidRPr="00FC10F2">
        <w:rPr>
          <w:lang w:val="es-ES"/>
        </w:rPr>
        <w:t>aunque</w:t>
      </w:r>
      <w:r w:rsidRPr="00FC10F2">
        <w:rPr>
          <w:lang w:val="es-ES"/>
        </w:rPr>
        <w:t xml:space="preserve"> en el fondo </w:t>
      </w:r>
      <w:r w:rsidR="006D47C1" w:rsidRPr="00FC10F2">
        <w:rPr>
          <w:lang w:val="es-ES"/>
        </w:rPr>
        <w:t>adolecen de</w:t>
      </w:r>
      <w:r w:rsidRPr="00FC10F2">
        <w:rPr>
          <w:lang w:val="es-ES"/>
        </w:rPr>
        <w:t xml:space="preserve"> una serie de distorsiones que, en definitiva, acaban favoreciendo a los miembros más influyentes y elocuentes de la comunidad. En realidad, las comunidades no son homogéneas y no todos sus miembros comparten una misma posición. En muchos casos, no todos los miembros de una comunidad participan plenamente en el mismo PCI. A menudo, entre </w:t>
      </w:r>
      <w:r w:rsidR="00630A25">
        <w:rPr>
          <w:lang w:val="es-ES"/>
        </w:rPr>
        <w:t xml:space="preserve">las </w:t>
      </w:r>
      <w:r w:rsidRPr="00FC10F2">
        <w:rPr>
          <w:lang w:val="es-ES"/>
        </w:rPr>
        <w:t>comunidades y los grupos existen jerarquías internas basadas en la clase social, la edad o el </w:t>
      </w:r>
      <w:r w:rsidR="00630A25">
        <w:rPr>
          <w:lang w:val="es-ES"/>
        </w:rPr>
        <w:t>género</w:t>
      </w:r>
      <w:r w:rsidRPr="00FC10F2">
        <w:rPr>
          <w:lang w:val="es-ES"/>
        </w:rPr>
        <w:t>.</w:t>
      </w:r>
      <w:r w:rsidR="00907C2D" w:rsidRPr="00FC10F2">
        <w:rPr>
          <w:lang w:val="es-ES"/>
        </w:rPr>
        <w:t xml:space="preserve"> </w:t>
      </w:r>
    </w:p>
    <w:p w14:paraId="33E27292" w14:textId="77777777" w:rsidR="00907C2D" w:rsidRPr="00FC10F2" w:rsidRDefault="00304FFD" w:rsidP="009C7479">
      <w:pPr>
        <w:pStyle w:val="Texte1"/>
        <w:rPr>
          <w:lang w:val="es-ES"/>
        </w:rPr>
      </w:pPr>
      <w:r w:rsidRPr="00FC10F2">
        <w:rPr>
          <w:lang w:val="es-ES"/>
        </w:rPr>
        <w:t xml:space="preserve">Un ejemplo de esto es la importancia real otorgada a las mujeres y los jóvenes. Aun cuando se les consulte, sus opiniones parecen tener con frecuencia menos peso cuando llega el momento de adoptar decisiones definitivas. En las actividades de </w:t>
      </w:r>
      <w:r w:rsidR="00D306CA">
        <w:rPr>
          <w:lang w:val="es-ES"/>
        </w:rPr>
        <w:t>confección de inventarios</w:t>
      </w:r>
      <w:r w:rsidR="00D306CA" w:rsidRPr="00FC10F2">
        <w:rPr>
          <w:lang w:val="es-ES"/>
        </w:rPr>
        <w:t xml:space="preserve"> </w:t>
      </w:r>
      <w:r w:rsidRPr="00FC10F2">
        <w:rPr>
          <w:lang w:val="es-ES"/>
        </w:rPr>
        <w:t xml:space="preserve">con participación de las comunidades se reconoce la diversidad que se puede dar en una comunidad con respecto a su PCI. También se valoran las opiniones discrepantes y diferentes, ya que se parte de la base de que no hay una verdad absoluta, sino distintos puntos de vista y modos de identificarse con el PCI. La variabilidad es, por consiguiente, una característica fundamental de </w:t>
      </w:r>
      <w:r w:rsidR="00D306CA">
        <w:rPr>
          <w:lang w:val="es-ES"/>
        </w:rPr>
        <w:t>e</w:t>
      </w:r>
      <w:r w:rsidRPr="00FC10F2">
        <w:rPr>
          <w:lang w:val="es-ES"/>
        </w:rPr>
        <w:t xml:space="preserve">ste. En </w:t>
      </w:r>
      <w:r w:rsidR="006D47C1" w:rsidRPr="00FC10F2">
        <w:rPr>
          <w:lang w:val="es-ES"/>
        </w:rPr>
        <w:t>es</w:t>
      </w:r>
      <w:r w:rsidRPr="00FC10F2">
        <w:rPr>
          <w:lang w:val="es-ES"/>
        </w:rPr>
        <w:t xml:space="preserve">as actividades se valora en particular la integración de la juventud, como uno de los múltiples copartícipes en el PCI, y se reconoce el papel fundamental que desempeñan los jóvenes en la identificación y transmisión de </w:t>
      </w:r>
      <w:r w:rsidR="00D306CA">
        <w:rPr>
          <w:lang w:val="es-ES"/>
        </w:rPr>
        <w:t>e</w:t>
      </w:r>
      <w:r w:rsidRPr="00FC10F2">
        <w:rPr>
          <w:lang w:val="es-ES"/>
        </w:rPr>
        <w:t>ste. Se debe incluir a los jóvenes en todas las actividades relacionadas con el PCI. En general, es importante no caer en la tentación de simplificar o idealizar excesivamente a “la comunidad”. Lo que sí es verdaderamente importante es tratar de identificar y analizar la</w:t>
      </w:r>
      <w:r w:rsidR="00AD3652" w:rsidRPr="00FC10F2">
        <w:rPr>
          <w:lang w:val="es-ES"/>
        </w:rPr>
        <w:t>s</w:t>
      </w:r>
      <w:r w:rsidRPr="00FC10F2">
        <w:rPr>
          <w:lang w:val="es-ES"/>
        </w:rPr>
        <w:t xml:space="preserve"> dinámica</w:t>
      </w:r>
      <w:r w:rsidR="00AD3652" w:rsidRPr="00FC10F2">
        <w:rPr>
          <w:lang w:val="es-ES"/>
        </w:rPr>
        <w:t>s</w:t>
      </w:r>
      <w:r w:rsidRPr="00FC10F2">
        <w:rPr>
          <w:lang w:val="es-ES"/>
        </w:rPr>
        <w:t xml:space="preserve"> de </w:t>
      </w:r>
      <w:r w:rsidR="00AD3652" w:rsidRPr="00FC10F2">
        <w:rPr>
          <w:lang w:val="es-ES"/>
        </w:rPr>
        <w:t>l</w:t>
      </w:r>
      <w:r w:rsidRPr="00FC10F2">
        <w:rPr>
          <w:lang w:val="es-ES"/>
        </w:rPr>
        <w:t>a</w:t>
      </w:r>
      <w:r w:rsidR="00AD3652" w:rsidRPr="00FC10F2">
        <w:rPr>
          <w:lang w:val="es-ES"/>
        </w:rPr>
        <w:t>s</w:t>
      </w:r>
      <w:r w:rsidRPr="00FC10F2">
        <w:rPr>
          <w:lang w:val="es-ES"/>
        </w:rPr>
        <w:t xml:space="preserve"> comunidad</w:t>
      </w:r>
      <w:r w:rsidR="00AD3652" w:rsidRPr="00FC10F2">
        <w:rPr>
          <w:lang w:val="es-ES"/>
        </w:rPr>
        <w:t>es que tiendan a</w:t>
      </w:r>
      <w:r w:rsidRPr="00FC10F2">
        <w:rPr>
          <w:lang w:val="es-ES"/>
        </w:rPr>
        <w:t xml:space="preserve"> exclu</w:t>
      </w:r>
      <w:r w:rsidR="00AD3652" w:rsidRPr="00FC10F2">
        <w:rPr>
          <w:lang w:val="es-ES"/>
        </w:rPr>
        <w:t>ir</w:t>
      </w:r>
      <w:r w:rsidRPr="00FC10F2">
        <w:rPr>
          <w:lang w:val="es-ES"/>
        </w:rPr>
        <w:t xml:space="preserve"> </w:t>
      </w:r>
      <w:r w:rsidR="00AD3652" w:rsidRPr="00FC10F2">
        <w:rPr>
          <w:lang w:val="es-ES"/>
        </w:rPr>
        <w:t>a</w:t>
      </w:r>
      <w:r w:rsidRPr="00FC10F2">
        <w:rPr>
          <w:lang w:val="es-ES"/>
        </w:rPr>
        <w:t xml:space="preserve"> determinados grupos</w:t>
      </w:r>
      <w:r w:rsidR="00907C2D" w:rsidRPr="00FC10F2">
        <w:rPr>
          <w:lang w:val="es-ES"/>
        </w:rPr>
        <w:t>.</w:t>
      </w:r>
    </w:p>
    <w:p w14:paraId="11522123" w14:textId="77777777" w:rsidR="00907C2D" w:rsidRPr="00FC10F2" w:rsidRDefault="00304FFD" w:rsidP="009C7479">
      <w:pPr>
        <w:pStyle w:val="Texte1"/>
        <w:rPr>
          <w:lang w:val="es-ES"/>
        </w:rPr>
      </w:pPr>
      <w:r w:rsidRPr="00FC10F2">
        <w:rPr>
          <w:lang w:val="es-ES"/>
        </w:rPr>
        <w:t>También es importante reconocer que toda comunidad se caracteriza por una dinámica social específica. Por eso es fundamental crear un entorno y un conjunto de procedimientos que faciliten la participación de todos sus miembros. La composición de los grupos y la elección de lugares, estaciones del año y horarios pueden ser determinantes para el número y categoría de los participantes, y también para su grado de participación.</w:t>
      </w:r>
    </w:p>
    <w:p w14:paraId="16CDE3E1" w14:textId="77777777" w:rsidR="00907C2D" w:rsidRPr="00FC10F2" w:rsidRDefault="00304FFD" w:rsidP="009C7479">
      <w:pPr>
        <w:pStyle w:val="Texte1"/>
        <w:rPr>
          <w:lang w:val="es-ES"/>
        </w:rPr>
      </w:pPr>
      <w:r w:rsidRPr="00FC10F2">
        <w:rPr>
          <w:lang w:val="es-ES"/>
        </w:rPr>
        <w:t>Puede ser necesario plantearse algunos interrogantes de suma importancia, por ejemplo: ¿Quién es quién dentro de una comunidad?, ¿Quiénes deciden qué miembros de la comunidad deben participar o no?, ¿Quiénes participan y por qué?, ¿Quiénes son excluidos y por qué?, ¿Qué se debe hacer para garantizar la igualdad de oportunidades y el apoyo necesario para que todos participen?</w:t>
      </w:r>
      <w:r w:rsidR="00907C2D" w:rsidRPr="00FC10F2">
        <w:rPr>
          <w:lang w:val="es-ES"/>
        </w:rPr>
        <w:t xml:space="preserve"> </w:t>
      </w:r>
    </w:p>
    <w:p w14:paraId="73ABEFFF" w14:textId="77777777" w:rsidR="00417074" w:rsidRPr="00FC10F2" w:rsidRDefault="001F081A" w:rsidP="004936EF">
      <w:pPr>
        <w:pStyle w:val="Heading6"/>
        <w:rPr>
          <w:lang w:val="es-ES"/>
        </w:rPr>
      </w:pPr>
      <w:r w:rsidRPr="00FC10F2">
        <w:rPr>
          <w:lang w:val="es-ES"/>
        </w:rPr>
        <w:lastRenderedPageBreak/>
        <w:t>Diapositiva</w:t>
      </w:r>
      <w:r w:rsidR="009D09C4" w:rsidRPr="00FC10F2">
        <w:rPr>
          <w:lang w:val="es-ES"/>
        </w:rPr>
        <w:t xml:space="preserve"> </w:t>
      </w:r>
      <w:r w:rsidR="00907C2D" w:rsidRPr="00FC10F2">
        <w:rPr>
          <w:lang w:val="es-ES"/>
        </w:rPr>
        <w:t>1</w:t>
      </w:r>
      <w:r w:rsidR="00392964">
        <w:rPr>
          <w:lang w:val="es-ES"/>
        </w:rPr>
        <w:t>7</w:t>
      </w:r>
      <w:r w:rsidR="00417074" w:rsidRPr="00FC10F2">
        <w:rPr>
          <w:lang w:val="es-ES"/>
        </w:rPr>
        <w:t>.</w:t>
      </w:r>
    </w:p>
    <w:p w14:paraId="262311DC" w14:textId="77777777" w:rsidR="00392964" w:rsidRPr="00FE1CFF" w:rsidRDefault="00392964" w:rsidP="00392964">
      <w:pPr>
        <w:pStyle w:val="diapo2"/>
        <w:rPr>
          <w:color w:val="008000"/>
          <w:lang w:val="es-AR"/>
        </w:rPr>
      </w:pPr>
      <w:r>
        <w:rPr>
          <w:bCs/>
          <w:lang w:val="es-ES"/>
        </w:rPr>
        <w:t>Género y participación de la</w:t>
      </w:r>
      <w:r w:rsidR="00FE1CFF">
        <w:rPr>
          <w:bCs/>
          <w:lang w:val="es-ES"/>
        </w:rPr>
        <w:t>s</w:t>
      </w:r>
      <w:r>
        <w:rPr>
          <w:bCs/>
          <w:lang w:val="es-ES"/>
        </w:rPr>
        <w:t xml:space="preserve"> comunidad</w:t>
      </w:r>
      <w:r w:rsidR="00FE1CFF">
        <w:rPr>
          <w:bCs/>
          <w:lang w:val="es-ES"/>
        </w:rPr>
        <w:t>es</w:t>
      </w:r>
      <w:r w:rsidRPr="00FE1CFF">
        <w:rPr>
          <w:color w:val="008000"/>
          <w:lang w:val="es-AR"/>
        </w:rPr>
        <w:t xml:space="preserve"> </w:t>
      </w:r>
    </w:p>
    <w:p w14:paraId="2A70E117" w14:textId="77777777" w:rsidR="00392964" w:rsidRPr="00FE1CFF" w:rsidRDefault="00392964" w:rsidP="00392964">
      <w:pPr>
        <w:pStyle w:val="Texte1"/>
        <w:rPr>
          <w:lang w:val="es-AR"/>
        </w:rPr>
      </w:pPr>
      <w:r w:rsidRPr="00FE1CFF">
        <w:rPr>
          <w:lang w:val="es-AR"/>
        </w:rPr>
        <w:t>En la sección 7.</w:t>
      </w:r>
      <w:r w:rsidR="00FE1CFF" w:rsidRPr="00FE1CFF">
        <w:rPr>
          <w:lang w:val="es-AR"/>
        </w:rPr>
        <w:t>8.1</w:t>
      </w:r>
      <w:r w:rsidRPr="00FE1CFF">
        <w:rPr>
          <w:lang w:val="es-AR"/>
        </w:rPr>
        <w:t xml:space="preserve"> del Texto para el Participante de la Unidad 7 se explica por qué resulta esencial aplicar un enfoque de género al momento de considerar la participación de la</w:t>
      </w:r>
      <w:r w:rsidR="00FE1CFF" w:rsidRPr="00FE1CFF">
        <w:rPr>
          <w:lang w:val="es-AR"/>
        </w:rPr>
        <w:t>s</w:t>
      </w:r>
      <w:r w:rsidRPr="00FE1CFF">
        <w:rPr>
          <w:lang w:val="es-AR"/>
        </w:rPr>
        <w:t xml:space="preserve"> comunidad</w:t>
      </w:r>
      <w:r w:rsidR="00FE1CFF" w:rsidRPr="00FE1CFF">
        <w:rPr>
          <w:lang w:val="es-AR"/>
        </w:rPr>
        <w:t>es</w:t>
      </w:r>
      <w:r w:rsidRPr="00FE1CFF">
        <w:rPr>
          <w:lang w:val="es-AR"/>
        </w:rPr>
        <w:t xml:space="preserve"> en el marco de la Convención. </w:t>
      </w:r>
    </w:p>
    <w:p w14:paraId="477803B9" w14:textId="77777777" w:rsidR="00392964" w:rsidRPr="00FE1CFF" w:rsidRDefault="00392964" w:rsidP="00392964">
      <w:pPr>
        <w:pStyle w:val="Texte1"/>
        <w:rPr>
          <w:color w:val="008000"/>
          <w:lang w:val="es-AR"/>
        </w:rPr>
      </w:pPr>
    </w:p>
    <w:p w14:paraId="6233BE46" w14:textId="77777777" w:rsidR="00392964" w:rsidRPr="00FE1CFF" w:rsidRDefault="00392964" w:rsidP="004936EF">
      <w:pPr>
        <w:pStyle w:val="diapo2"/>
        <w:rPr>
          <w:bCs/>
          <w:color w:val="008000"/>
          <w:lang w:val="es-ES"/>
        </w:rPr>
      </w:pPr>
      <w:r w:rsidRPr="00FE1CFF">
        <w:rPr>
          <w:color w:val="008000"/>
          <w:lang w:val="es-ES"/>
        </w:rPr>
        <w:t>Diapositiva 18</w:t>
      </w:r>
      <w:r w:rsidR="00FE1CFF">
        <w:rPr>
          <w:color w:val="008000"/>
          <w:lang w:val="es-ES"/>
        </w:rPr>
        <w:t>.</w:t>
      </w:r>
    </w:p>
    <w:p w14:paraId="76177D1C" w14:textId="77777777" w:rsidR="00E248EB" w:rsidRPr="00FC10F2" w:rsidRDefault="002304A4" w:rsidP="004936EF">
      <w:pPr>
        <w:pStyle w:val="diapo2"/>
        <w:rPr>
          <w:lang w:val="es-ES"/>
        </w:rPr>
      </w:pPr>
      <w:r w:rsidRPr="00FC10F2">
        <w:rPr>
          <w:bCs/>
          <w:lang w:val="es-ES"/>
        </w:rPr>
        <w:t>Identificación de los representantes de las comunidades</w:t>
      </w:r>
    </w:p>
    <w:p w14:paraId="7E279AC5" w14:textId="77777777" w:rsidR="00392964" w:rsidRDefault="00392964" w:rsidP="009909DD">
      <w:pPr>
        <w:pStyle w:val="Texte1"/>
        <w:rPr>
          <w:lang w:val="es-ES"/>
        </w:rPr>
      </w:pPr>
      <w:r w:rsidRPr="007F57F8">
        <w:rPr>
          <w:i/>
          <w:iCs/>
          <w:noProof/>
          <w:lang w:eastAsia="zh-TW"/>
        </w:rPr>
        <w:drawing>
          <wp:anchor distT="0" distB="0" distL="114300" distR="114300" simplePos="0" relativeHeight="251701248" behindDoc="0" locked="1" layoutInCell="1" allowOverlap="0" wp14:anchorId="47F9CCB7" wp14:editId="552F58E1">
            <wp:simplePos x="0" y="0"/>
            <wp:positionH relativeFrom="column">
              <wp:posOffset>46355</wp:posOffset>
            </wp:positionH>
            <wp:positionV relativeFrom="paragraph">
              <wp:posOffset>-71755</wp:posOffset>
            </wp:positionV>
            <wp:extent cx="282575" cy="357505"/>
            <wp:effectExtent l="0" t="0" r="3175" b="4445"/>
            <wp:wrapNone/>
            <wp:docPr id="1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FE1CFF">
        <w:rPr>
          <w:color w:val="3366FF"/>
          <w:lang w:val="es-ES"/>
        </w:rPr>
        <w:t xml:space="preserve">Remítase a </w:t>
      </w:r>
      <w:r w:rsidR="00350EE3" w:rsidRPr="00FE1CFF">
        <w:rPr>
          <w:color w:val="3366FF"/>
          <w:lang w:val="es-ES"/>
        </w:rPr>
        <w:t>la sección 7.9 del Texto para el Participante de la presente Unidad 7</w:t>
      </w:r>
      <w:r w:rsidRPr="00FE1CFF">
        <w:rPr>
          <w:color w:val="3366FF"/>
          <w:lang w:val="es-ES"/>
        </w:rPr>
        <w:t>.</w:t>
      </w:r>
    </w:p>
    <w:p w14:paraId="506984A8" w14:textId="77777777" w:rsidR="008E2150" w:rsidRPr="00FC10F2" w:rsidRDefault="00392964" w:rsidP="009909DD">
      <w:pPr>
        <w:pStyle w:val="Texte1"/>
        <w:rPr>
          <w:lang w:val="es-ES"/>
        </w:rPr>
      </w:pPr>
      <w:r>
        <w:rPr>
          <w:lang w:val="es-ES"/>
        </w:rPr>
        <w:t>En el Texto para el Participante</w:t>
      </w:r>
      <w:r w:rsidR="00350EE3" w:rsidRPr="00FC10F2">
        <w:rPr>
          <w:lang w:val="es-ES"/>
        </w:rPr>
        <w:t xml:space="preserve"> </w:t>
      </w:r>
      <w:r w:rsidR="00616A86" w:rsidRPr="00FC10F2">
        <w:rPr>
          <w:lang w:val="es-ES"/>
        </w:rPr>
        <w:t xml:space="preserve">se examina la cuestión de la representación de las comunidades y algunos de los problemas que pueden </w:t>
      </w:r>
      <w:r>
        <w:rPr>
          <w:lang w:val="es-ES"/>
        </w:rPr>
        <w:t>surgir</w:t>
      </w:r>
      <w:r w:rsidRPr="00FC10F2">
        <w:rPr>
          <w:lang w:val="es-ES"/>
        </w:rPr>
        <w:t xml:space="preserve"> </w:t>
      </w:r>
      <w:r w:rsidR="00616A86" w:rsidRPr="00FC10F2">
        <w:rPr>
          <w:lang w:val="es-ES"/>
        </w:rPr>
        <w:t>a este respecto</w:t>
      </w:r>
      <w:r w:rsidR="005B6F2C" w:rsidRPr="00FC10F2">
        <w:rPr>
          <w:lang w:val="es-ES"/>
        </w:rPr>
        <w:t>.</w:t>
      </w:r>
    </w:p>
    <w:p w14:paraId="7B12FC11" w14:textId="77777777" w:rsidR="00A949DC" w:rsidRPr="00FC10F2" w:rsidRDefault="004F4555" w:rsidP="004936EF">
      <w:pPr>
        <w:pStyle w:val="Soustitre"/>
        <w:rPr>
          <w:caps/>
          <w:lang w:val="es-ES"/>
        </w:rPr>
      </w:pPr>
      <w:r w:rsidRPr="00FC10F2">
        <w:rPr>
          <w:lang w:val="es-ES"/>
        </w:rPr>
        <w:t>Nota sobre las disensiones acerca de</w:t>
      </w:r>
      <w:r w:rsidR="00A46530" w:rsidRPr="00FC10F2">
        <w:rPr>
          <w:lang w:val="es-ES"/>
        </w:rPr>
        <w:t xml:space="preserve"> </w:t>
      </w:r>
      <w:r w:rsidRPr="00FC10F2">
        <w:rPr>
          <w:lang w:val="es-ES"/>
        </w:rPr>
        <w:t>la identificación de las comunidades o grupos vinculados a un elemento específico del PCI, o acerca de</w:t>
      </w:r>
      <w:r w:rsidR="00A46530" w:rsidRPr="00FC10F2">
        <w:rPr>
          <w:lang w:val="es-ES"/>
        </w:rPr>
        <w:t xml:space="preserve"> </w:t>
      </w:r>
      <w:r w:rsidRPr="00FC10F2">
        <w:rPr>
          <w:lang w:val="es-ES"/>
        </w:rPr>
        <w:t>quiénes deben representarlo</w:t>
      </w:r>
    </w:p>
    <w:p w14:paraId="225D0C9E" w14:textId="77777777" w:rsidR="00A949DC" w:rsidRPr="00FC10F2" w:rsidRDefault="004F4555" w:rsidP="009909DD">
      <w:pPr>
        <w:pStyle w:val="Texte1"/>
        <w:rPr>
          <w:lang w:val="es-ES"/>
        </w:rPr>
      </w:pPr>
      <w:r w:rsidRPr="00FC10F2">
        <w:rPr>
          <w:lang w:val="es-ES"/>
        </w:rPr>
        <w:t xml:space="preserve">Cuando las disensiones impiden alcanzar </w:t>
      </w:r>
      <w:r w:rsidR="00F63AF9" w:rsidRPr="00FC10F2">
        <w:rPr>
          <w:lang w:val="es-ES"/>
        </w:rPr>
        <w:t>el</w:t>
      </w:r>
      <w:r w:rsidRPr="00FC10F2">
        <w:rPr>
          <w:lang w:val="es-ES"/>
        </w:rPr>
        <w:t xml:space="preserve"> consenso en una comunidad, l</w:t>
      </w:r>
      <w:r w:rsidR="006D47C1" w:rsidRPr="00FC10F2">
        <w:rPr>
          <w:lang w:val="es-ES"/>
        </w:rPr>
        <w:t>a</w:t>
      </w:r>
      <w:r w:rsidRPr="00FC10F2">
        <w:rPr>
          <w:lang w:val="es-ES"/>
        </w:rPr>
        <w:t xml:space="preserve">s partes interesadas exteriores a </w:t>
      </w:r>
      <w:r w:rsidR="005B3B61">
        <w:rPr>
          <w:lang w:val="es-ES"/>
        </w:rPr>
        <w:t>e</w:t>
      </w:r>
      <w:r w:rsidRPr="00FC10F2">
        <w:rPr>
          <w:lang w:val="es-ES"/>
        </w:rPr>
        <w:t>sta pueden adoptar un número reducido</w:t>
      </w:r>
      <w:r w:rsidR="00F63AF9" w:rsidRPr="00FC10F2">
        <w:rPr>
          <w:lang w:val="es-ES"/>
        </w:rPr>
        <w:t xml:space="preserve"> de medidas, </w:t>
      </w:r>
      <w:r w:rsidRPr="00FC10F2">
        <w:rPr>
          <w:lang w:val="es-ES"/>
        </w:rPr>
        <w:t>con</w:t>
      </w:r>
      <w:r w:rsidR="00F63AF9" w:rsidRPr="00FC10F2">
        <w:rPr>
          <w:lang w:val="es-ES"/>
        </w:rPr>
        <w:t xml:space="preserve">formes a </w:t>
      </w:r>
      <w:r w:rsidRPr="00FC10F2">
        <w:rPr>
          <w:lang w:val="es-ES"/>
        </w:rPr>
        <w:t>la Convención</w:t>
      </w:r>
      <w:r w:rsidR="00F63AF9" w:rsidRPr="00FC10F2">
        <w:rPr>
          <w:lang w:val="es-ES"/>
        </w:rPr>
        <w:t>,</w:t>
      </w:r>
      <w:r w:rsidRPr="00FC10F2">
        <w:rPr>
          <w:lang w:val="es-ES"/>
        </w:rPr>
        <w:t xml:space="preserve"> hasta </w:t>
      </w:r>
      <w:r w:rsidR="00F63AF9" w:rsidRPr="00FC10F2">
        <w:rPr>
          <w:lang w:val="es-ES"/>
        </w:rPr>
        <w:t>que la comunidad</w:t>
      </w:r>
      <w:r w:rsidRPr="00FC10F2">
        <w:rPr>
          <w:lang w:val="es-ES"/>
        </w:rPr>
        <w:t xml:space="preserve"> </w:t>
      </w:r>
      <w:r w:rsidR="00F63AF9" w:rsidRPr="00FC10F2">
        <w:rPr>
          <w:lang w:val="es-ES"/>
        </w:rPr>
        <w:t>en cuestión logre llegar a un</w:t>
      </w:r>
      <w:r w:rsidRPr="00FC10F2">
        <w:rPr>
          <w:lang w:val="es-ES"/>
        </w:rPr>
        <w:t xml:space="preserve"> acuerdo</w:t>
      </w:r>
      <w:r w:rsidR="00F63AF9" w:rsidRPr="00FC10F2">
        <w:rPr>
          <w:lang w:val="es-ES"/>
        </w:rPr>
        <w:t>.</w:t>
      </w:r>
    </w:p>
    <w:p w14:paraId="66B9C75D" w14:textId="77777777" w:rsidR="00417074" w:rsidRPr="00FC10F2" w:rsidRDefault="001F081A" w:rsidP="004936EF">
      <w:pPr>
        <w:pStyle w:val="Heading6"/>
        <w:rPr>
          <w:lang w:val="es-ES"/>
        </w:rPr>
      </w:pPr>
      <w:r w:rsidRPr="00FC10F2">
        <w:rPr>
          <w:lang w:val="es-ES"/>
        </w:rPr>
        <w:t>Diapositiva</w:t>
      </w:r>
      <w:r w:rsidR="009D09C4" w:rsidRPr="00FC10F2">
        <w:rPr>
          <w:lang w:val="es-ES"/>
        </w:rPr>
        <w:t xml:space="preserve"> </w:t>
      </w:r>
      <w:r w:rsidR="00907C2D" w:rsidRPr="00FC10F2">
        <w:rPr>
          <w:lang w:val="es-ES"/>
        </w:rPr>
        <w:t>19</w:t>
      </w:r>
      <w:r w:rsidR="00417074" w:rsidRPr="00FC10F2">
        <w:rPr>
          <w:lang w:val="es-ES"/>
        </w:rPr>
        <w:t>.</w:t>
      </w:r>
    </w:p>
    <w:p w14:paraId="00221CF2" w14:textId="77777777" w:rsidR="00E248EB" w:rsidRPr="00FC10F2" w:rsidRDefault="00E96402" w:rsidP="004936EF">
      <w:pPr>
        <w:pStyle w:val="diapo2"/>
        <w:rPr>
          <w:lang w:val="es-ES"/>
        </w:rPr>
      </w:pPr>
      <w:r w:rsidRPr="00FC10F2">
        <w:rPr>
          <w:bCs/>
          <w:lang w:val="es-ES"/>
        </w:rPr>
        <w:t xml:space="preserve">Estudio de caso – La Patum de Berga </w:t>
      </w:r>
      <w:r w:rsidR="00DB27C8" w:rsidRPr="00FC10F2">
        <w:rPr>
          <w:bCs/>
          <w:lang w:val="es-ES"/>
        </w:rPr>
        <w:t>(España)</w:t>
      </w:r>
    </w:p>
    <w:p w14:paraId="37BD2171" w14:textId="77777777" w:rsidR="00AD4013" w:rsidRPr="00FC10F2" w:rsidRDefault="00DB27C8" w:rsidP="009909DD">
      <w:pPr>
        <w:pStyle w:val="Texte1"/>
        <w:rPr>
          <w:lang w:val="es-ES"/>
        </w:rPr>
      </w:pPr>
      <w:r w:rsidRPr="00FC10F2">
        <w:rPr>
          <w:lang w:val="es-ES"/>
        </w:rPr>
        <w:t>Este estudio de caso s</w:t>
      </w:r>
      <w:r w:rsidR="005B3B61">
        <w:rPr>
          <w:lang w:val="es-ES"/>
        </w:rPr>
        <w:t>o</w:t>
      </w:r>
      <w:r w:rsidR="00E96402" w:rsidRPr="00FC10F2">
        <w:rPr>
          <w:lang w:val="es-ES"/>
        </w:rPr>
        <w:t>lo se incluye como ejemplo en las Notas para el Facilitador</w:t>
      </w:r>
      <w:r w:rsidR="00AD4013" w:rsidRPr="00FC10F2">
        <w:rPr>
          <w:lang w:val="es-ES"/>
        </w:rPr>
        <w:t>.</w:t>
      </w:r>
    </w:p>
    <w:p w14:paraId="6DB8C85D" w14:textId="77777777" w:rsidR="0031089B" w:rsidRPr="00FC10F2" w:rsidRDefault="007E3788" w:rsidP="004936EF">
      <w:pPr>
        <w:pStyle w:val="Soustitre"/>
        <w:rPr>
          <w:lang w:val="es-ES"/>
        </w:rPr>
      </w:pPr>
      <w:r w:rsidRPr="00FC10F2">
        <w:rPr>
          <w:lang w:val="es-ES"/>
        </w:rPr>
        <w:t xml:space="preserve">Estudio de Caso – </w:t>
      </w:r>
      <w:r w:rsidR="00DB27C8" w:rsidRPr="00FC10F2">
        <w:rPr>
          <w:lang w:val="es-ES"/>
        </w:rPr>
        <w:t>Cuestione</w:t>
      </w:r>
      <w:r w:rsidRPr="00FC10F2">
        <w:rPr>
          <w:lang w:val="es-ES"/>
        </w:rPr>
        <w:t>s relacionad</w:t>
      </w:r>
      <w:r w:rsidR="00DB27C8" w:rsidRPr="00FC10F2">
        <w:rPr>
          <w:lang w:val="es-ES"/>
        </w:rPr>
        <w:t>a</w:t>
      </w:r>
      <w:r w:rsidRPr="00FC10F2">
        <w:rPr>
          <w:lang w:val="es-ES"/>
        </w:rPr>
        <w:t xml:space="preserve">s con la representación de la comunidad en la salvaguardia </w:t>
      </w:r>
      <w:r w:rsidR="00DB27C8" w:rsidRPr="00FC10F2">
        <w:rPr>
          <w:lang w:val="es-ES"/>
        </w:rPr>
        <w:t>del elemento denominado “La</w:t>
      </w:r>
      <w:r w:rsidRPr="00FC10F2">
        <w:rPr>
          <w:lang w:val="es-ES"/>
        </w:rPr>
        <w:t xml:space="preserve"> Patum de Berga</w:t>
      </w:r>
      <w:r w:rsidR="00DB27C8" w:rsidRPr="00FC10F2">
        <w:rPr>
          <w:lang w:val="es-ES"/>
        </w:rPr>
        <w:t>”</w:t>
      </w:r>
      <w:r w:rsidRPr="00FC10F2">
        <w:rPr>
          <w:lang w:val="es-ES"/>
        </w:rPr>
        <w:t xml:space="preserve"> (España)</w:t>
      </w:r>
    </w:p>
    <w:p w14:paraId="64EB779E" w14:textId="77777777" w:rsidR="0031089B" w:rsidRPr="00FC10F2" w:rsidRDefault="007E3788" w:rsidP="009909DD">
      <w:pPr>
        <w:pStyle w:val="Texte1"/>
        <w:rPr>
          <w:lang w:val="es-ES"/>
        </w:rPr>
      </w:pPr>
      <w:r w:rsidRPr="00FC10F2">
        <w:rPr>
          <w:lang w:val="es-ES"/>
        </w:rPr>
        <w:t xml:space="preserve">La Patum es una fiesta que se celebra anualmente en la ciudad de Berga, situada en Cataluña, </w:t>
      </w:r>
      <w:r w:rsidR="005B3B61">
        <w:rPr>
          <w:lang w:val="es-ES"/>
        </w:rPr>
        <w:t>en e</w:t>
      </w:r>
      <w:r w:rsidRPr="00FC10F2">
        <w:rPr>
          <w:lang w:val="es-ES"/>
        </w:rPr>
        <w:t>l nordeste de España. Proclamado inicialmente Obra Maestra del Patrimonio Oral e Inmaterial de la Humanidad en 2005, este elemento del PCI se inscribió en la LR en 2008. El conflicto en el seno de la comunidad interesada con respecto a la reglamentación de esta fiesta ilustra lo difícil que es identificar a los representantes de una comunidad.</w:t>
      </w:r>
    </w:p>
    <w:p w14:paraId="3858CE87" w14:textId="77777777" w:rsidR="0031089B" w:rsidRPr="00FC10F2" w:rsidRDefault="003839C7" w:rsidP="009909DD">
      <w:pPr>
        <w:pStyle w:val="Texte1"/>
        <w:rPr>
          <w:lang w:val="es-ES"/>
        </w:rPr>
      </w:pPr>
      <w:r w:rsidRPr="00FC10F2">
        <w:rPr>
          <w:lang w:val="es-ES"/>
        </w:rPr>
        <w:t>Este elemento del PCI se viene practic</w:t>
      </w:r>
      <w:r w:rsidR="007E3788" w:rsidRPr="00FC10F2">
        <w:rPr>
          <w:lang w:val="es-ES"/>
        </w:rPr>
        <w:t xml:space="preserve">ando desde principios del siglo XVII por lo menos. Uno de sus elementos principales son las danzas ejecutadas en la plaza principal de la ciudad al </w:t>
      </w:r>
      <w:r w:rsidR="00DB27C8" w:rsidRPr="00FC10F2">
        <w:rPr>
          <w:lang w:val="es-ES"/>
        </w:rPr>
        <w:t>son</w:t>
      </w:r>
      <w:r w:rsidR="007E3788" w:rsidRPr="00FC10F2">
        <w:rPr>
          <w:lang w:val="es-ES"/>
        </w:rPr>
        <w:t xml:space="preserve"> </w:t>
      </w:r>
      <w:r w:rsidRPr="00FC10F2">
        <w:rPr>
          <w:lang w:val="es-ES"/>
        </w:rPr>
        <w:t>(“patum”) de un gran tambor</w:t>
      </w:r>
      <w:r w:rsidR="007E3788" w:rsidRPr="00FC10F2">
        <w:rPr>
          <w:lang w:val="es-ES"/>
        </w:rPr>
        <w:t>. En las representaciones, que tienen lugar en varias ocasiones a lo largo de los cinco días que dura la fiesta, intervienen diferentes personajes enmascarados y efigies que a menudo entablan combate</w:t>
      </w:r>
      <w:r w:rsidR="00DB27C8" w:rsidRPr="00FC10F2">
        <w:rPr>
          <w:lang w:val="es-ES"/>
        </w:rPr>
        <w:t>s</w:t>
      </w:r>
      <w:r w:rsidR="007E3788" w:rsidRPr="00FC10F2">
        <w:rPr>
          <w:lang w:val="es-ES"/>
        </w:rPr>
        <w:t>. Como explica Dorothy Noyes, esta pugna es parte integrante de la importancia que los berguedanes dan a la Patum.</w:t>
      </w:r>
    </w:p>
    <w:p w14:paraId="41F7DA9F" w14:textId="77777777" w:rsidR="0031089B" w:rsidRPr="00FC10F2" w:rsidRDefault="00EC4CED" w:rsidP="004936EF">
      <w:pPr>
        <w:pStyle w:val="citation"/>
        <w:rPr>
          <w:lang w:val="es-ES"/>
        </w:rPr>
      </w:pPr>
      <w:r w:rsidRPr="00FC10F2">
        <w:rPr>
          <w:lang w:val="es-ES"/>
        </w:rPr>
        <w:t>“La Patum es […] la representación colectiva por la que Berga lucha para consumar su comunidad, y esa comunidad es tanto más valiosa cuanto más difícil resulta conseguirla”</w:t>
      </w:r>
      <w:r w:rsidR="00D264EF">
        <w:rPr>
          <w:lang w:val="es-ES"/>
        </w:rPr>
        <w:t>.</w:t>
      </w:r>
      <w:r w:rsidR="0031089B" w:rsidRPr="00FC10F2">
        <w:rPr>
          <w:vertAlign w:val="superscript"/>
          <w:lang w:val="es-ES"/>
        </w:rPr>
        <w:footnoteReference w:id="3"/>
      </w:r>
    </w:p>
    <w:p w14:paraId="5C8AEDD6" w14:textId="77777777" w:rsidR="0031089B" w:rsidRPr="00FC10F2" w:rsidRDefault="00EC4CED" w:rsidP="004936EF">
      <w:pPr>
        <w:pStyle w:val="citation"/>
        <w:rPr>
          <w:lang w:val="es-ES"/>
        </w:rPr>
      </w:pPr>
      <w:r w:rsidRPr="00FC10F2">
        <w:rPr>
          <w:lang w:val="es-ES"/>
        </w:rPr>
        <w:lastRenderedPageBreak/>
        <w:t xml:space="preserve">“La Patum enseña a los habitantes de Berga que </w:t>
      </w:r>
      <w:r w:rsidR="00DB27C8" w:rsidRPr="00FC10F2">
        <w:rPr>
          <w:lang w:val="es-ES"/>
        </w:rPr>
        <w:t>jamás</w:t>
      </w:r>
      <w:r w:rsidRPr="00FC10F2">
        <w:rPr>
          <w:lang w:val="es-ES"/>
        </w:rPr>
        <w:t xml:space="preserve"> llegarán a amarse </w:t>
      </w:r>
      <w:r w:rsidR="00DB27C8" w:rsidRPr="00FC10F2">
        <w:rPr>
          <w:lang w:val="es-ES"/>
        </w:rPr>
        <w:t xml:space="preserve">entre sí </w:t>
      </w:r>
      <w:r w:rsidRPr="00FC10F2">
        <w:rPr>
          <w:lang w:val="es-ES"/>
        </w:rPr>
        <w:t xml:space="preserve">y que, </w:t>
      </w:r>
      <w:r w:rsidR="00DB27C8" w:rsidRPr="00FC10F2">
        <w:rPr>
          <w:lang w:val="es-ES"/>
        </w:rPr>
        <w:t>sin embargo</w:t>
      </w:r>
      <w:r w:rsidRPr="00FC10F2">
        <w:rPr>
          <w:lang w:val="es-ES"/>
        </w:rPr>
        <w:t xml:space="preserve">, ninguno de ellos </w:t>
      </w:r>
      <w:r w:rsidR="00DB27C8" w:rsidRPr="00FC10F2">
        <w:rPr>
          <w:lang w:val="es-ES"/>
        </w:rPr>
        <w:t>dejará nunca a los demás</w:t>
      </w:r>
      <w:r w:rsidRPr="00FC10F2">
        <w:rPr>
          <w:lang w:val="es-ES"/>
        </w:rPr>
        <w:t>. O d</w:t>
      </w:r>
      <w:r w:rsidR="00F51580" w:rsidRPr="00FC10F2">
        <w:rPr>
          <w:lang w:val="es-ES"/>
        </w:rPr>
        <w:t>icho con sus propias palabras: ‘</w:t>
      </w:r>
      <w:r w:rsidRPr="00FC10F2">
        <w:rPr>
          <w:lang w:val="es-ES"/>
        </w:rPr>
        <w:t>no moriremo</w:t>
      </w:r>
      <w:r w:rsidR="00DB27C8" w:rsidRPr="00FC10F2">
        <w:rPr>
          <w:lang w:val="es-ES"/>
        </w:rPr>
        <w:t>s unidos, pero moriremos juntos</w:t>
      </w:r>
      <w:r w:rsidR="00F51580" w:rsidRPr="00FC10F2">
        <w:rPr>
          <w:lang w:val="es-ES"/>
        </w:rPr>
        <w:t>’”</w:t>
      </w:r>
      <w:r w:rsidR="00DB27C8" w:rsidRPr="00FC10F2">
        <w:rPr>
          <w:lang w:val="es-ES"/>
        </w:rPr>
        <w:t>.</w:t>
      </w:r>
      <w:r w:rsidR="0031089B" w:rsidRPr="00FC10F2">
        <w:rPr>
          <w:vertAlign w:val="superscript"/>
          <w:lang w:val="es-ES"/>
        </w:rPr>
        <w:footnoteReference w:id="4"/>
      </w:r>
    </w:p>
    <w:p w14:paraId="58D3100B" w14:textId="77777777" w:rsidR="0031089B" w:rsidRPr="00FC10F2" w:rsidRDefault="00EC4CED" w:rsidP="009909DD">
      <w:pPr>
        <w:pStyle w:val="Texte1"/>
        <w:rPr>
          <w:lang w:val="es-ES"/>
        </w:rPr>
      </w:pPr>
      <w:r w:rsidRPr="00FC10F2">
        <w:rPr>
          <w:lang w:val="es-ES"/>
        </w:rPr>
        <w:t xml:space="preserve">Durante la fiesta, diversos grupos y facciones participan en la misma actividad durante cinco días. Esto les infunde un sentimiento de pertenencia a una misma comunidad, en una ciudad donde las estratificaciones por </w:t>
      </w:r>
      <w:r w:rsidR="00642DCF">
        <w:rPr>
          <w:lang w:val="es-ES"/>
        </w:rPr>
        <w:t>género</w:t>
      </w:r>
      <w:r w:rsidRPr="00FC10F2">
        <w:rPr>
          <w:lang w:val="es-ES"/>
        </w:rPr>
        <w:t>, clase, edad y lugar de origen están profundamente arraigadas. La fiesta perduró en la época franquista, aunque se mitigaron</w:t>
      </w:r>
      <w:r w:rsidR="00A26870" w:rsidRPr="00FC10F2">
        <w:rPr>
          <w:lang w:val="es-ES"/>
        </w:rPr>
        <w:t xml:space="preserve"> </w:t>
      </w:r>
      <w:r w:rsidRPr="00FC10F2">
        <w:rPr>
          <w:lang w:val="es-ES"/>
        </w:rPr>
        <w:t>algunos de sus rasgos de oposición. Después de ese periodo se revitalizó. Hoy en día, la gran importancia cobrada por la Patum debido al reconocimiento nacional e internacional obtenido por intermedio de la UNESCO, junto con</w:t>
      </w:r>
      <w:r w:rsidR="00A26870" w:rsidRPr="00FC10F2">
        <w:rPr>
          <w:lang w:val="es-ES"/>
        </w:rPr>
        <w:t xml:space="preserve"> </w:t>
      </w:r>
      <w:r w:rsidRPr="00FC10F2">
        <w:rPr>
          <w:lang w:val="es-ES"/>
        </w:rPr>
        <w:t>la posibilidad de proteger los elementos de la fiesta</w:t>
      </w:r>
      <w:r w:rsidR="00A26870" w:rsidRPr="00FC10F2">
        <w:rPr>
          <w:lang w:val="es-ES"/>
        </w:rPr>
        <w:t xml:space="preserve"> </w:t>
      </w:r>
      <w:r w:rsidRPr="00FC10F2">
        <w:rPr>
          <w:lang w:val="es-ES"/>
        </w:rPr>
        <w:t>gracias al derecho de marcas comerciales, han creado una situación en la que las pugnas en el seno de la comunidad se manifiestan con menor frecuencia en la fiesta misma y mucho más a menudo en los debates sobre ella</w:t>
      </w:r>
      <w:r w:rsidR="0031089B" w:rsidRPr="00FC10F2">
        <w:rPr>
          <w:lang w:val="es-ES"/>
        </w:rPr>
        <w:t xml:space="preserve">. </w:t>
      </w:r>
    </w:p>
    <w:p w14:paraId="341B6604" w14:textId="77777777" w:rsidR="0031089B" w:rsidRPr="00FC10F2" w:rsidRDefault="00EC4CED" w:rsidP="009909DD">
      <w:pPr>
        <w:pStyle w:val="Texte1"/>
        <w:rPr>
          <w:lang w:val="es-ES"/>
        </w:rPr>
      </w:pPr>
      <w:r w:rsidRPr="00FC10F2">
        <w:rPr>
          <w:lang w:val="es-ES"/>
        </w:rPr>
        <w:t>Un</w:t>
      </w:r>
      <w:r w:rsidR="00EA6A65" w:rsidRPr="00FC10F2">
        <w:rPr>
          <w:lang w:val="es-ES"/>
        </w:rPr>
        <w:t>a</w:t>
      </w:r>
      <w:r w:rsidRPr="00FC10F2">
        <w:rPr>
          <w:lang w:val="es-ES"/>
        </w:rPr>
        <w:t xml:space="preserve"> </w:t>
      </w:r>
      <w:r w:rsidR="00EA6A65" w:rsidRPr="00FC10F2">
        <w:rPr>
          <w:lang w:val="es-ES"/>
        </w:rPr>
        <w:t>agrupación –</w:t>
      </w:r>
      <w:r w:rsidRPr="00FC10F2">
        <w:rPr>
          <w:lang w:val="es-ES"/>
        </w:rPr>
        <w:t>el Patronat</w:t>
      </w:r>
      <w:r w:rsidR="00EA6A65" w:rsidRPr="00FC10F2">
        <w:rPr>
          <w:lang w:val="es-ES"/>
        </w:rPr>
        <w:t>–</w:t>
      </w:r>
      <w:r w:rsidRPr="00FC10F2">
        <w:rPr>
          <w:lang w:val="es-ES"/>
        </w:rPr>
        <w:t xml:space="preserve"> ha llegado a ejercer un fuerte control sobre el festival. Fundad</w:t>
      </w:r>
      <w:r w:rsidR="00EA6A65" w:rsidRPr="00FC10F2">
        <w:rPr>
          <w:lang w:val="es-ES"/>
        </w:rPr>
        <w:t>a</w:t>
      </w:r>
      <w:r w:rsidRPr="00FC10F2">
        <w:rPr>
          <w:lang w:val="es-ES"/>
        </w:rPr>
        <w:t xml:space="preserve"> en el decenio de 1990, esta entidad ha venido desempeñando la función de representante de la comunidad que practica la Patum, promoviendo la fiesta y tratando de registrar marcas comerciales de algunos de sus aspectos distintivos. El Patronat asume el control de algunos elementos materiales de la Patum (tambores, efigies e indumentaria) y de determinados aspectos de índole administrativa. No obstante, Dorothy Noyes señala que el Patronat no representa a todos los que participan en el festival, y que sus esfuerzos por comercializar y controlar el evento no cuentan con un apoyo unánime. Al </w:t>
      </w:r>
      <w:r w:rsidR="00EA6A65" w:rsidRPr="00FC10F2">
        <w:rPr>
          <w:lang w:val="es-ES"/>
        </w:rPr>
        <w:t xml:space="preserve">Patronat se le ha acusado de </w:t>
      </w:r>
      <w:r w:rsidRPr="00FC10F2">
        <w:rPr>
          <w:lang w:val="es-ES"/>
        </w:rPr>
        <w:t>excluir de sus actividades a algunos practicantes de la Patum y de favorecer al mismo tiempo a la clase media creyente y devota de la ciudad. Desde el decenio de 1960 hasta el de 1980, hubo un gran movimiento de resistencia contra las tentativas de convertir el festival en un evento comercial, pero en los últimos años ha surgido una división de opiniones a este respecto, especialmente entre las comparsas musicales.</w:t>
      </w:r>
      <w:r w:rsidR="0031089B" w:rsidRPr="00FC10F2">
        <w:rPr>
          <w:lang w:val="es-ES"/>
        </w:rPr>
        <w:t xml:space="preserve"> </w:t>
      </w:r>
    </w:p>
    <w:p w14:paraId="1A257023" w14:textId="77777777" w:rsidR="0031089B" w:rsidRPr="00FC10F2" w:rsidRDefault="00EC4CED" w:rsidP="009909DD">
      <w:pPr>
        <w:pStyle w:val="Texte1"/>
        <w:rPr>
          <w:lang w:val="es-ES"/>
        </w:rPr>
      </w:pPr>
      <w:r w:rsidRPr="00FC10F2">
        <w:rPr>
          <w:lang w:val="es-ES"/>
        </w:rPr>
        <w:t>La organización del festival siempre fue objeto de debates y conflictos. Do</w:t>
      </w:r>
      <w:r w:rsidR="001D0409" w:rsidRPr="00FC10F2">
        <w:rPr>
          <w:lang w:val="es-ES"/>
        </w:rPr>
        <w:t>r</w:t>
      </w:r>
      <w:r w:rsidRPr="00FC10F2">
        <w:rPr>
          <w:lang w:val="es-ES"/>
        </w:rPr>
        <w:t xml:space="preserve">othy Noyes, dice a este respecto: “Desde un punto de vista histórico, algunos elementos de la Patum se impusieron desde arriba y otros desde abajo. </w:t>
      </w:r>
      <w:r w:rsidR="00AA23A3">
        <w:rPr>
          <w:lang w:val="es-ES"/>
        </w:rPr>
        <w:t>E</w:t>
      </w:r>
      <w:r w:rsidRPr="00FC10F2">
        <w:rPr>
          <w:lang w:val="es-ES"/>
        </w:rPr>
        <w:t>stos últimos lograron una popularidad tan grande que a las autoridades no les quedó más remedio que tol</w:t>
      </w:r>
      <w:r w:rsidR="001D0409" w:rsidRPr="00FC10F2">
        <w:rPr>
          <w:lang w:val="es-ES"/>
        </w:rPr>
        <w:t>e</w:t>
      </w:r>
      <w:r w:rsidR="00EA6A65" w:rsidRPr="00FC10F2">
        <w:rPr>
          <w:lang w:val="es-ES"/>
        </w:rPr>
        <w:t>rarlos</w:t>
      </w:r>
      <w:r w:rsidRPr="00FC10F2">
        <w:rPr>
          <w:lang w:val="es-ES"/>
        </w:rPr>
        <w:t>”</w:t>
      </w:r>
      <w:r w:rsidR="00EA6A65" w:rsidRPr="00FC10F2">
        <w:rPr>
          <w:lang w:val="es-ES"/>
        </w:rPr>
        <w:t>.</w:t>
      </w:r>
      <w:r w:rsidRPr="00FC10F2">
        <w:rPr>
          <w:vertAlign w:val="superscript"/>
          <w:lang w:val="es-ES"/>
        </w:rPr>
        <w:footnoteReference w:id="5"/>
      </w:r>
      <w:r w:rsidRPr="00FC10F2">
        <w:rPr>
          <w:lang w:val="es-ES"/>
        </w:rPr>
        <w:t xml:space="preserve"> Hoy, sin embargo, los conflictos </w:t>
      </w:r>
      <w:r w:rsidR="00D47B7B" w:rsidRPr="00FC10F2">
        <w:rPr>
          <w:lang w:val="es-ES"/>
        </w:rPr>
        <w:t xml:space="preserve">que giran </w:t>
      </w:r>
      <w:r w:rsidRPr="00FC10F2">
        <w:rPr>
          <w:lang w:val="es-ES"/>
        </w:rPr>
        <w:t xml:space="preserve">en torno a la función </w:t>
      </w:r>
      <w:r w:rsidR="006F1600" w:rsidRPr="00FC10F2">
        <w:rPr>
          <w:lang w:val="es-ES"/>
        </w:rPr>
        <w:t>de la fiesta, la</w:t>
      </w:r>
      <w:r w:rsidRPr="00FC10F2">
        <w:rPr>
          <w:lang w:val="es-ES"/>
        </w:rPr>
        <w:t xml:space="preserve"> gestión</w:t>
      </w:r>
      <w:r w:rsidR="006F1600" w:rsidRPr="00FC10F2">
        <w:rPr>
          <w:lang w:val="es-ES"/>
        </w:rPr>
        <w:t xml:space="preserve"> de </w:t>
      </w:r>
      <w:r w:rsidR="00AA23A3">
        <w:rPr>
          <w:lang w:val="es-ES"/>
        </w:rPr>
        <w:t>e</w:t>
      </w:r>
      <w:r w:rsidR="006F1600" w:rsidRPr="00FC10F2">
        <w:rPr>
          <w:lang w:val="es-ES"/>
        </w:rPr>
        <w:t>sta y e</w:t>
      </w:r>
      <w:r w:rsidRPr="00FC10F2">
        <w:rPr>
          <w:lang w:val="es-ES"/>
        </w:rPr>
        <w:t>l aumento de</w:t>
      </w:r>
      <w:r w:rsidR="00D47B7B" w:rsidRPr="00FC10F2">
        <w:rPr>
          <w:lang w:val="es-ES"/>
        </w:rPr>
        <w:t>l</w:t>
      </w:r>
      <w:r w:rsidRPr="00FC10F2">
        <w:rPr>
          <w:lang w:val="es-ES"/>
        </w:rPr>
        <w:t xml:space="preserve"> poder y autoridad del Patronat</w:t>
      </w:r>
      <w:r w:rsidR="00D47B7B" w:rsidRPr="00FC10F2">
        <w:rPr>
          <w:lang w:val="es-ES"/>
        </w:rPr>
        <w:t>,</w:t>
      </w:r>
      <w:r w:rsidRPr="00FC10F2">
        <w:rPr>
          <w:lang w:val="es-ES"/>
        </w:rPr>
        <w:t xml:space="preserve"> han llevado a algunos miembros de la comunidad a no participar en el evento. Esto es lamentable porque el significado del festival </w:t>
      </w:r>
      <w:r w:rsidR="00D47B7B" w:rsidRPr="00FC10F2">
        <w:rPr>
          <w:lang w:val="es-ES"/>
        </w:rPr>
        <w:t xml:space="preserve">estriba en </w:t>
      </w:r>
      <w:r w:rsidRPr="00FC10F2">
        <w:rPr>
          <w:lang w:val="es-ES"/>
        </w:rPr>
        <w:t>su capacidad para hacer escuchar y encauzar las opiniones discrepantes que se expres</w:t>
      </w:r>
      <w:r w:rsidR="006F1600" w:rsidRPr="00FC10F2">
        <w:rPr>
          <w:lang w:val="es-ES"/>
        </w:rPr>
        <w:t>e</w:t>
      </w:r>
      <w:r w:rsidRPr="00FC10F2">
        <w:rPr>
          <w:lang w:val="es-ES"/>
        </w:rPr>
        <w:t>n en la comunidad.</w:t>
      </w:r>
      <w:r w:rsidR="0031089B" w:rsidRPr="00FC10F2">
        <w:rPr>
          <w:lang w:val="es-ES"/>
        </w:rPr>
        <w:t xml:space="preserve"> </w:t>
      </w:r>
    </w:p>
    <w:p w14:paraId="294BA989" w14:textId="77777777" w:rsidR="0031089B" w:rsidRPr="00FC10F2" w:rsidRDefault="00F37DD2" w:rsidP="00EC4CED">
      <w:pPr>
        <w:pStyle w:val="Soustitre"/>
        <w:tabs>
          <w:tab w:val="left" w:pos="3690"/>
        </w:tabs>
        <w:rPr>
          <w:lang w:val="es-ES"/>
        </w:rPr>
      </w:pPr>
      <w:r w:rsidRPr="00FC10F2">
        <w:rPr>
          <w:lang w:val="es-ES"/>
        </w:rPr>
        <w:t>Para más información, cons</w:t>
      </w:r>
      <w:r w:rsidR="00DA4393" w:rsidRPr="00FC10F2">
        <w:rPr>
          <w:lang w:val="es-ES"/>
        </w:rPr>
        <w:t>u</w:t>
      </w:r>
      <w:r w:rsidRPr="00FC10F2">
        <w:rPr>
          <w:lang w:val="es-ES"/>
        </w:rPr>
        <w:t>lte</w:t>
      </w:r>
      <w:r w:rsidR="0031089B" w:rsidRPr="00FC10F2">
        <w:rPr>
          <w:lang w:val="es-ES"/>
        </w:rPr>
        <w:t>:</w:t>
      </w:r>
      <w:r w:rsidR="00EC4CED" w:rsidRPr="00FC10F2">
        <w:rPr>
          <w:lang w:val="es-ES"/>
        </w:rPr>
        <w:tab/>
      </w:r>
    </w:p>
    <w:p w14:paraId="56B3B6CC" w14:textId="77777777" w:rsidR="00156E74" w:rsidRPr="00B91000" w:rsidRDefault="00156E74" w:rsidP="00156E74">
      <w:pPr>
        <w:pStyle w:val="nutiret"/>
        <w:spacing w:after="0"/>
        <w:rPr>
          <w:lang w:val="es-ES"/>
        </w:rPr>
      </w:pPr>
      <w:r w:rsidRPr="00FC10F2">
        <w:rPr>
          <w:lang w:val="es-ES"/>
        </w:rPr>
        <w:t xml:space="preserve">Noyes, </w:t>
      </w:r>
      <w:r w:rsidRPr="00B91000">
        <w:rPr>
          <w:lang w:val="es-ES"/>
        </w:rPr>
        <w:t xml:space="preserve">D. 2003, </w:t>
      </w:r>
      <w:r w:rsidRPr="00B91000">
        <w:rPr>
          <w:i/>
          <w:lang w:val="es-ES"/>
        </w:rPr>
        <w:t xml:space="preserve">Fire in the Plaça: Catalan Festival Politics after Franco </w:t>
      </w:r>
      <w:r w:rsidRPr="00B91000">
        <w:rPr>
          <w:lang w:val="es-ES"/>
        </w:rPr>
        <w:t>[Fuego en la Plaza – La política de festejos catalana después de Franco], Filadelfia, EE.UU., Ediciones de la Universidad de Pensilvania.</w:t>
      </w:r>
    </w:p>
    <w:p w14:paraId="47789BA2" w14:textId="77777777" w:rsidR="00156E74" w:rsidRPr="00B91000" w:rsidRDefault="00587691" w:rsidP="00156E74">
      <w:pPr>
        <w:pStyle w:val="nutiret"/>
        <w:numPr>
          <w:ilvl w:val="0"/>
          <w:numId w:val="0"/>
        </w:numPr>
        <w:spacing w:after="0"/>
        <w:ind w:left="1135"/>
        <w:rPr>
          <w:lang w:val="es-ES"/>
        </w:rPr>
      </w:pPr>
      <w:hyperlink r:id="rId18" w:history="1">
        <w:r w:rsidR="00156E74" w:rsidRPr="00B91000">
          <w:rPr>
            <w:rStyle w:val="Hyperlink"/>
            <w:lang w:val="es-ES"/>
          </w:rPr>
          <w:t>http://www.unesco.org/culture/ich/en/RL/00156</w:t>
        </w:r>
      </w:hyperlink>
    </w:p>
    <w:p w14:paraId="78F7626D" w14:textId="77777777" w:rsidR="00776724" w:rsidRPr="00B91000" w:rsidRDefault="00156E74" w:rsidP="00F37DD2">
      <w:pPr>
        <w:pStyle w:val="nutiret"/>
        <w:spacing w:after="0"/>
        <w:rPr>
          <w:lang w:val="es-ES"/>
        </w:rPr>
      </w:pPr>
      <w:r w:rsidRPr="00B91000">
        <w:rPr>
          <w:rFonts w:eastAsia="Calibri" w:cs="Times New Roman"/>
          <w:szCs w:val="16"/>
          <w:lang w:val="es-ES"/>
        </w:rPr>
        <w:t>Noyes, D., 2006, “The Judgment of Solomon: Global Protections for Tradition and the Problem of Community Ownership”</w:t>
      </w:r>
      <w:r w:rsidRPr="00B91000">
        <w:rPr>
          <w:rFonts w:eastAsia="Calibri" w:cs="Times New Roman"/>
          <w:bCs/>
          <w:szCs w:val="16"/>
          <w:lang w:val="es-ES"/>
        </w:rPr>
        <w:t xml:space="preserve"> [El juicio de Salomón – Protecciones globales para </w:t>
      </w:r>
      <w:r w:rsidRPr="00B91000">
        <w:rPr>
          <w:rFonts w:eastAsia="Calibri" w:cs="Times New Roman"/>
          <w:bCs/>
          <w:szCs w:val="16"/>
          <w:lang w:val="es-ES"/>
        </w:rPr>
        <w:lastRenderedPageBreak/>
        <w:t>las tradiciones y el problema de la propiedad de la comunidad] en</w:t>
      </w:r>
      <w:r w:rsidRPr="00B91000">
        <w:rPr>
          <w:rFonts w:eastAsia="Calibri" w:cs="Times New Roman"/>
          <w:b/>
          <w:bCs/>
          <w:szCs w:val="16"/>
          <w:lang w:val="es-ES"/>
        </w:rPr>
        <w:t xml:space="preserve"> </w:t>
      </w:r>
      <w:r w:rsidRPr="00B91000">
        <w:rPr>
          <w:rFonts w:eastAsia="Calibri" w:cs="Times New Roman"/>
          <w:i/>
          <w:szCs w:val="16"/>
          <w:lang w:val="es-ES"/>
        </w:rPr>
        <w:t>Cultural Analysis</w:t>
      </w:r>
      <w:r w:rsidRPr="00B91000">
        <w:rPr>
          <w:rFonts w:eastAsia="Calibri" w:cs="Times New Roman"/>
          <w:szCs w:val="16"/>
          <w:lang w:val="es-ES"/>
        </w:rPr>
        <w:t>, Vol. 5, págs. 27–5</w:t>
      </w:r>
      <w:r w:rsidR="00776724" w:rsidRPr="00B91000">
        <w:rPr>
          <w:rFonts w:eastAsia="Calibri" w:cs="Times New Roman"/>
          <w:szCs w:val="16"/>
          <w:lang w:val="es-ES"/>
        </w:rPr>
        <w:t>6;</w:t>
      </w:r>
    </w:p>
    <w:p w14:paraId="4587E1DD" w14:textId="77777777" w:rsidR="00156E74" w:rsidRPr="00FC10F2" w:rsidRDefault="00156E74" w:rsidP="00F37DD2">
      <w:pPr>
        <w:pStyle w:val="nutiret"/>
        <w:spacing w:after="0"/>
        <w:rPr>
          <w:lang w:val="es-ES"/>
        </w:rPr>
      </w:pPr>
      <w:r w:rsidRPr="00B91000">
        <w:rPr>
          <w:rFonts w:eastAsia="Calibri" w:cs="Times New Roman"/>
          <w:szCs w:val="16"/>
          <w:lang w:val="es-ES"/>
        </w:rPr>
        <w:t>Noyes, D., 2010,</w:t>
      </w:r>
      <w:r w:rsidRPr="00FC10F2">
        <w:rPr>
          <w:rFonts w:eastAsia="Calibri" w:cs="Times New Roman"/>
          <w:szCs w:val="16"/>
          <w:lang w:val="es-ES"/>
        </w:rPr>
        <w:t xml:space="preserve"> </w:t>
      </w:r>
      <w:r w:rsidRPr="00FC10F2">
        <w:rPr>
          <w:rFonts w:eastAsia="Calibri" w:cs="Times New Roman"/>
          <w:i/>
          <w:szCs w:val="16"/>
          <w:lang w:val="es-ES"/>
        </w:rPr>
        <w:t xml:space="preserve">Necessity and Freedom in the Tradition Process </w:t>
      </w:r>
      <w:r w:rsidRPr="00FC10F2">
        <w:rPr>
          <w:rFonts w:eastAsia="Calibri" w:cs="Times New Roman"/>
          <w:szCs w:val="16"/>
          <w:lang w:val="es-ES"/>
        </w:rPr>
        <w:t>[Necesidad y libertad en el proceso de la tradición], ponencia presentada el 23 de enero en el Instituto de Estudios Superiores sobre Asia de la Universidad de Tokio.</w:t>
      </w:r>
    </w:p>
    <w:p w14:paraId="08F0B547" w14:textId="77777777" w:rsidR="003A6DFD" w:rsidRPr="00FC10F2" w:rsidRDefault="001F081A" w:rsidP="004936EF">
      <w:pPr>
        <w:pStyle w:val="Heading6"/>
        <w:rPr>
          <w:lang w:val="es-ES"/>
        </w:rPr>
      </w:pPr>
      <w:r w:rsidRPr="00FC10F2">
        <w:rPr>
          <w:lang w:val="es-ES"/>
        </w:rPr>
        <w:t>Diapositiva</w:t>
      </w:r>
      <w:r w:rsidR="009D09C4" w:rsidRPr="00FC10F2">
        <w:rPr>
          <w:lang w:val="es-ES"/>
        </w:rPr>
        <w:t xml:space="preserve"> </w:t>
      </w:r>
      <w:r w:rsidR="00907C2D" w:rsidRPr="00FC10F2">
        <w:rPr>
          <w:lang w:val="es-ES"/>
        </w:rPr>
        <w:t>20</w:t>
      </w:r>
      <w:r w:rsidR="003A6DFD" w:rsidRPr="00FC10F2">
        <w:rPr>
          <w:lang w:val="es-ES"/>
        </w:rPr>
        <w:t>.</w:t>
      </w:r>
    </w:p>
    <w:p w14:paraId="15671E0B" w14:textId="77777777" w:rsidR="00E248EB" w:rsidRPr="00FC10F2" w:rsidRDefault="00E96402" w:rsidP="004936EF">
      <w:pPr>
        <w:pStyle w:val="diapo2"/>
        <w:rPr>
          <w:lang w:val="es-ES"/>
        </w:rPr>
      </w:pPr>
      <w:r w:rsidRPr="00FC10F2">
        <w:rPr>
          <w:bCs/>
          <w:lang w:val="es-ES"/>
        </w:rPr>
        <w:t>Métodos y finalidades de la participación de la</w:t>
      </w:r>
      <w:r w:rsidR="0014549A" w:rsidRPr="00FC10F2">
        <w:rPr>
          <w:bCs/>
          <w:lang w:val="es-ES"/>
        </w:rPr>
        <w:t>s</w:t>
      </w:r>
      <w:r w:rsidRPr="00FC10F2">
        <w:rPr>
          <w:bCs/>
          <w:lang w:val="es-ES"/>
        </w:rPr>
        <w:t xml:space="preserve"> comunidad</w:t>
      </w:r>
      <w:r w:rsidR="0014549A" w:rsidRPr="00FC10F2">
        <w:rPr>
          <w:bCs/>
          <w:lang w:val="es-ES"/>
        </w:rPr>
        <w:t>es</w:t>
      </w:r>
    </w:p>
    <w:p w14:paraId="2FF836C8" w14:textId="77777777" w:rsidR="00774150" w:rsidRPr="00FC10F2" w:rsidRDefault="00AA23A3" w:rsidP="009909DD">
      <w:pPr>
        <w:pStyle w:val="Texte1"/>
        <w:rPr>
          <w:lang w:val="es-ES"/>
        </w:rPr>
      </w:pPr>
      <w:r w:rsidRPr="00FE1CFF">
        <w:rPr>
          <w:iCs/>
          <w:noProof/>
          <w:color w:val="3366FF"/>
          <w:szCs w:val="20"/>
          <w:lang w:eastAsia="zh-TW"/>
        </w:rPr>
        <w:drawing>
          <wp:anchor distT="0" distB="0" distL="114300" distR="114300" simplePos="0" relativeHeight="251703296" behindDoc="0" locked="1" layoutInCell="1" allowOverlap="0" wp14:anchorId="147185C2" wp14:editId="62252B08">
            <wp:simplePos x="0" y="0"/>
            <wp:positionH relativeFrom="column">
              <wp:posOffset>69850</wp:posOffset>
            </wp:positionH>
            <wp:positionV relativeFrom="paragraph">
              <wp:posOffset>32385</wp:posOffset>
            </wp:positionV>
            <wp:extent cx="282575" cy="357505"/>
            <wp:effectExtent l="0" t="0" r="3175" b="4445"/>
            <wp:wrapNone/>
            <wp:docPr id="1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350EE3" w:rsidRPr="00FE1CFF">
        <w:rPr>
          <w:color w:val="3366FF"/>
          <w:lang w:val="es-ES"/>
        </w:rPr>
        <w:t>En la sección 7.10 del Texto para el Participante de la presente Unidad 7,</w:t>
      </w:r>
      <w:r w:rsidR="004D6305" w:rsidRPr="00FE1CFF">
        <w:rPr>
          <w:color w:val="3366FF"/>
          <w:lang w:val="es-ES"/>
        </w:rPr>
        <w:t xml:space="preserve"> </w:t>
      </w:r>
      <w:r w:rsidR="00427BDF" w:rsidRPr="00FE1CFF">
        <w:rPr>
          <w:color w:val="3366FF"/>
          <w:lang w:val="es-ES"/>
        </w:rPr>
        <w:t>se examinan los medios para garantizar la participación de las comunidades en diferentes actividades</w:t>
      </w:r>
      <w:r w:rsidR="004D6305" w:rsidRPr="00FE1CFF">
        <w:rPr>
          <w:color w:val="3366FF"/>
          <w:lang w:val="es-ES"/>
        </w:rPr>
        <w:t>.</w:t>
      </w:r>
    </w:p>
    <w:p w14:paraId="605A65A1" w14:textId="77777777" w:rsidR="003A6DFD" w:rsidRPr="00FC10F2" w:rsidRDefault="001F081A" w:rsidP="004936EF">
      <w:pPr>
        <w:pStyle w:val="Heading6"/>
        <w:rPr>
          <w:lang w:val="es-ES"/>
        </w:rPr>
      </w:pPr>
      <w:r w:rsidRPr="00FC10F2">
        <w:rPr>
          <w:lang w:val="es-ES"/>
        </w:rPr>
        <w:t>Diapositiva</w:t>
      </w:r>
      <w:r w:rsidR="00F452BB" w:rsidRPr="00FC10F2">
        <w:rPr>
          <w:lang w:val="es-ES"/>
        </w:rPr>
        <w:t xml:space="preserve"> </w:t>
      </w:r>
      <w:r w:rsidR="00907C2D" w:rsidRPr="00FC10F2">
        <w:rPr>
          <w:lang w:val="es-ES"/>
        </w:rPr>
        <w:t>21</w:t>
      </w:r>
      <w:r w:rsidR="003A6DFD" w:rsidRPr="00FC10F2">
        <w:rPr>
          <w:lang w:val="es-ES"/>
        </w:rPr>
        <w:t>.</w:t>
      </w:r>
    </w:p>
    <w:p w14:paraId="06F9BC91" w14:textId="77777777" w:rsidR="004534DA" w:rsidRPr="00FC10F2" w:rsidRDefault="004534DA" w:rsidP="004936EF">
      <w:pPr>
        <w:pStyle w:val="diapo2"/>
        <w:rPr>
          <w:lang w:val="es-ES"/>
        </w:rPr>
      </w:pPr>
      <w:r w:rsidRPr="00FC10F2">
        <w:rPr>
          <w:lang w:val="es-ES"/>
        </w:rPr>
        <w:t>Obt</w:t>
      </w:r>
      <w:r w:rsidR="00F63AF9" w:rsidRPr="00FC10F2">
        <w:rPr>
          <w:lang w:val="es-ES"/>
        </w:rPr>
        <w:t>ención del consentimiento libre, previo e informado</w:t>
      </w:r>
      <w:r w:rsidRPr="00FC10F2">
        <w:rPr>
          <w:lang w:val="es-ES"/>
        </w:rPr>
        <w:t xml:space="preserve"> </w:t>
      </w:r>
    </w:p>
    <w:p w14:paraId="35C3A972" w14:textId="77777777" w:rsidR="00774150" w:rsidRPr="00FC10F2" w:rsidRDefault="00350EE3" w:rsidP="009909DD">
      <w:pPr>
        <w:pStyle w:val="Texte1"/>
        <w:rPr>
          <w:lang w:val="es-ES"/>
        </w:rPr>
      </w:pPr>
      <w:r w:rsidRPr="00FE1CFF">
        <w:rPr>
          <w:color w:val="3366FF"/>
          <w:lang w:val="es-ES"/>
        </w:rPr>
        <w:t xml:space="preserve">En la sección 7.11 del Texto para el Participante de la presente Unidad 7, </w:t>
      </w:r>
      <w:r w:rsidR="00427BDF" w:rsidRPr="00FE1CFF">
        <w:rPr>
          <w:color w:val="3366FF"/>
          <w:lang w:val="es-ES"/>
        </w:rPr>
        <w:t xml:space="preserve">se examinan </w:t>
      </w:r>
      <w:r w:rsidR="00AA23A3" w:rsidRPr="00557AB3">
        <w:rPr>
          <w:iCs/>
          <w:noProof/>
          <w:color w:val="3366FF"/>
          <w:szCs w:val="20"/>
          <w:lang w:eastAsia="zh-TW"/>
        </w:rPr>
        <w:drawing>
          <wp:anchor distT="0" distB="0" distL="114300" distR="114300" simplePos="0" relativeHeight="251705344" behindDoc="0" locked="1" layoutInCell="1" allowOverlap="0" wp14:anchorId="46F0BDA7" wp14:editId="1CA89127">
            <wp:simplePos x="0" y="0"/>
            <wp:positionH relativeFrom="column">
              <wp:posOffset>69850</wp:posOffset>
            </wp:positionH>
            <wp:positionV relativeFrom="paragraph">
              <wp:posOffset>70485</wp:posOffset>
            </wp:positionV>
            <wp:extent cx="282575" cy="357505"/>
            <wp:effectExtent l="0" t="0" r="3175" b="4445"/>
            <wp:wrapNone/>
            <wp:docPr id="18"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427BDF" w:rsidRPr="00557AB3">
        <w:rPr>
          <w:color w:val="3366FF"/>
          <w:lang w:val="es-ES"/>
        </w:rPr>
        <w:t>los medios posibles para obtener el consentimiento libre, previo e informado y lo que se debe hacer cuando se niega ese consentimiento</w:t>
      </w:r>
      <w:r w:rsidR="004D6305" w:rsidRPr="00557AB3">
        <w:rPr>
          <w:color w:val="3366FF"/>
          <w:lang w:val="es-ES"/>
        </w:rPr>
        <w:t>.</w:t>
      </w:r>
    </w:p>
    <w:p w14:paraId="2E4838AE" w14:textId="77777777" w:rsidR="004D13C0" w:rsidRPr="00FC10F2" w:rsidRDefault="00427BDF" w:rsidP="004936EF">
      <w:pPr>
        <w:pStyle w:val="Soustitre"/>
        <w:rPr>
          <w:caps/>
          <w:lang w:val="es-ES"/>
        </w:rPr>
      </w:pPr>
      <w:r w:rsidRPr="00FC10F2">
        <w:rPr>
          <w:lang w:val="es-ES"/>
        </w:rPr>
        <w:t>Nota sobre las objeciones a la inscripción de elementos en las Listas de la Convención</w:t>
      </w:r>
    </w:p>
    <w:p w14:paraId="23B342E1" w14:textId="77777777" w:rsidR="006142A5" w:rsidRPr="00FC10F2" w:rsidRDefault="00682E42" w:rsidP="009909DD">
      <w:pPr>
        <w:pStyle w:val="Texte1"/>
        <w:rPr>
          <w:lang w:val="es-ES"/>
        </w:rPr>
      </w:pPr>
      <w:r w:rsidRPr="00FC10F2">
        <w:rPr>
          <w:lang w:val="es-ES"/>
        </w:rPr>
        <w:t>E</w:t>
      </w:r>
      <w:r w:rsidR="00021C39" w:rsidRPr="00FC10F2">
        <w:rPr>
          <w:lang w:val="es-ES"/>
        </w:rPr>
        <w:t>l Comité Intergubernamental ha recibido objeciones formuladas por miembros de comunidades con respecto a algunos elementos del PCI en curso de evaluación para su inscripción en las Listas de la Convención, pero no inscritos todavía. Pese a esas objeciones, el Comité decidió inscribirlos, siguiendo así las recomendaciones de expertos y de</w:t>
      </w:r>
      <w:r w:rsidRPr="00FC10F2">
        <w:rPr>
          <w:lang w:val="es-ES"/>
        </w:rPr>
        <w:t xml:space="preserve"> </w:t>
      </w:r>
      <w:r w:rsidR="00021C39" w:rsidRPr="00FC10F2">
        <w:rPr>
          <w:lang w:val="es-ES"/>
        </w:rPr>
        <w:t>l</w:t>
      </w:r>
      <w:r w:rsidRPr="00FC10F2">
        <w:rPr>
          <w:lang w:val="es-ES"/>
        </w:rPr>
        <w:t>os</w:t>
      </w:r>
      <w:r w:rsidR="00021C39" w:rsidRPr="00FC10F2">
        <w:rPr>
          <w:lang w:val="es-ES"/>
        </w:rPr>
        <w:t xml:space="preserve"> </w:t>
      </w:r>
      <w:r w:rsidRPr="00FC10F2">
        <w:rPr>
          <w:lang w:val="es-ES"/>
        </w:rPr>
        <w:t xml:space="preserve">anteriores </w:t>
      </w:r>
      <w:r w:rsidR="00021C39" w:rsidRPr="00FC10F2">
        <w:rPr>
          <w:lang w:val="es-ES"/>
        </w:rPr>
        <w:t>Órgano</w:t>
      </w:r>
      <w:r w:rsidR="00963C49">
        <w:rPr>
          <w:lang w:val="es-ES"/>
        </w:rPr>
        <w:t>s</w:t>
      </w:r>
      <w:r w:rsidR="00021C39" w:rsidRPr="00FC10F2">
        <w:rPr>
          <w:lang w:val="es-ES"/>
        </w:rPr>
        <w:t xml:space="preserve"> Subsidiario</w:t>
      </w:r>
      <w:r w:rsidRPr="00FC10F2">
        <w:rPr>
          <w:lang w:val="es-ES"/>
        </w:rPr>
        <w:t>s y Consultivos</w:t>
      </w:r>
      <w:r w:rsidR="00021C39" w:rsidRPr="00FC10F2">
        <w:rPr>
          <w:lang w:val="es-ES"/>
        </w:rPr>
        <w:t xml:space="preserve"> que, tras haber examinado las cartas </w:t>
      </w:r>
      <w:r w:rsidR="006F1600" w:rsidRPr="00FC10F2">
        <w:rPr>
          <w:lang w:val="es-ES"/>
        </w:rPr>
        <w:t xml:space="preserve">remitidas </w:t>
      </w:r>
      <w:r w:rsidR="00021C39" w:rsidRPr="00FC10F2">
        <w:rPr>
          <w:lang w:val="es-ES"/>
        </w:rPr>
        <w:t xml:space="preserve">con dichas objeciones, no encontraron motivo alguno para modificar sus dictámenes. </w:t>
      </w:r>
      <w:r w:rsidRPr="00FC10F2">
        <w:rPr>
          <w:lang w:val="es-ES"/>
        </w:rPr>
        <w:t>E</w:t>
      </w:r>
      <w:r w:rsidR="00021C39" w:rsidRPr="00FC10F2">
        <w:rPr>
          <w:lang w:val="es-ES"/>
        </w:rPr>
        <w:t xml:space="preserve">l Comité </w:t>
      </w:r>
      <w:r w:rsidRPr="00FC10F2">
        <w:rPr>
          <w:lang w:val="es-ES"/>
        </w:rPr>
        <w:t>ha adoptado</w:t>
      </w:r>
      <w:r w:rsidR="00021C39" w:rsidRPr="00FC10F2">
        <w:rPr>
          <w:lang w:val="es-ES"/>
        </w:rPr>
        <w:t xml:space="preserve"> directrices para la tramitación de la correspondencia </w:t>
      </w:r>
      <w:r w:rsidR="006F1600" w:rsidRPr="00FC10F2">
        <w:rPr>
          <w:lang w:val="es-ES"/>
        </w:rPr>
        <w:t>enviada por</w:t>
      </w:r>
      <w:r w:rsidR="00021C39" w:rsidRPr="00FC10F2">
        <w:rPr>
          <w:lang w:val="es-ES"/>
        </w:rPr>
        <w:t xml:space="preserve"> el público en general y </w:t>
      </w:r>
      <w:r w:rsidRPr="00FC10F2">
        <w:rPr>
          <w:lang w:val="es-ES"/>
        </w:rPr>
        <w:t xml:space="preserve">diferentes </w:t>
      </w:r>
      <w:r w:rsidR="00021C39" w:rsidRPr="00FC10F2">
        <w:rPr>
          <w:lang w:val="es-ES"/>
        </w:rPr>
        <w:t>partes interesadas con respecto a las candidaturas de elementos para su inscripción en las Listas</w:t>
      </w:r>
      <w:r w:rsidR="0025173D" w:rsidRPr="00FC10F2">
        <w:rPr>
          <w:lang w:val="es-ES"/>
        </w:rPr>
        <w:t>.</w:t>
      </w:r>
    </w:p>
    <w:p w14:paraId="2F197925" w14:textId="77777777" w:rsidR="004D13C0" w:rsidRPr="00FC10F2" w:rsidRDefault="00427BDF" w:rsidP="004936EF">
      <w:pPr>
        <w:pStyle w:val="Soustitre"/>
        <w:rPr>
          <w:caps/>
          <w:lang w:val="es-ES"/>
        </w:rPr>
      </w:pPr>
      <w:r w:rsidRPr="00FC10F2">
        <w:rPr>
          <w:lang w:val="es-ES"/>
        </w:rPr>
        <w:t>Nota sobre las limitaciones del consentimiento libre, previo e informado</w:t>
      </w:r>
    </w:p>
    <w:p w14:paraId="7F495E40" w14:textId="77777777" w:rsidR="004534DA" w:rsidRPr="00FC10F2" w:rsidRDefault="00427BDF" w:rsidP="00682E42">
      <w:pPr>
        <w:pStyle w:val="Texte1"/>
        <w:rPr>
          <w:lang w:val="es-ES"/>
        </w:rPr>
      </w:pPr>
      <w:r w:rsidRPr="00FC10F2">
        <w:rPr>
          <w:lang w:val="es-ES"/>
        </w:rPr>
        <w:t xml:space="preserve">El proceso encaminado a obtener el consentimiento libre, previo e informado de las comunidades para actividades relacionadas con el PCI no puede garantizar de por sí solo la protección de los derechos de </w:t>
      </w:r>
      <w:r w:rsidR="00963C49">
        <w:rPr>
          <w:lang w:val="es-ES"/>
        </w:rPr>
        <w:t>e</w:t>
      </w:r>
      <w:r w:rsidRPr="00FC10F2">
        <w:rPr>
          <w:lang w:val="es-ES"/>
        </w:rPr>
        <w:t>stas ni el establecimiento de una relación equitativa entre ellas y entidades o personas exteriores, pero sí se puede utilizar como medio para fomentar la confianza y el entendimiento entre todas las partes interesadas</w:t>
      </w:r>
      <w:r w:rsidR="004534DA" w:rsidRPr="00FC10F2">
        <w:rPr>
          <w:lang w:val="es-ES"/>
        </w:rPr>
        <w:t xml:space="preserve">. </w:t>
      </w:r>
      <w:r w:rsidRPr="00FC10F2">
        <w:rPr>
          <w:lang w:val="es-ES"/>
        </w:rPr>
        <w:t>G. Dutfield ha dicho a este respecto:</w:t>
      </w:r>
      <w:r w:rsidR="004534DA" w:rsidRPr="00FC10F2">
        <w:rPr>
          <w:lang w:val="es-ES"/>
        </w:rPr>
        <w:t xml:space="preserve"> </w:t>
      </w:r>
      <w:r w:rsidRPr="00FC10F2">
        <w:rPr>
          <w:lang w:val="es-ES"/>
        </w:rPr>
        <w:t>“El consentimiento previo e informado debe formar parte de un marco reglamentario más amplio [y] puede ser superfluo hacer más hincapié en este consentimiento que en otros enfoques [reglamentarios]”</w:t>
      </w:r>
      <w:r w:rsidR="004534DA" w:rsidRPr="00FC10F2">
        <w:rPr>
          <w:lang w:val="es-ES"/>
        </w:rPr>
        <w:t>.</w:t>
      </w:r>
      <w:r w:rsidR="004534DA" w:rsidRPr="00FC10F2">
        <w:rPr>
          <w:vertAlign w:val="superscript"/>
          <w:lang w:val="es-ES"/>
        </w:rPr>
        <w:footnoteReference w:id="6"/>
      </w:r>
      <w:r w:rsidR="00E43202" w:rsidRPr="00FC10F2">
        <w:rPr>
          <w:lang w:val="es-ES"/>
        </w:rPr>
        <w:t xml:space="preserve"> </w:t>
      </w:r>
    </w:p>
    <w:p w14:paraId="3CB1A6F9" w14:textId="77777777" w:rsidR="003A6DFD" w:rsidRPr="00FC10F2" w:rsidRDefault="001F081A" w:rsidP="004936EF">
      <w:pPr>
        <w:pStyle w:val="Heading6"/>
        <w:rPr>
          <w:lang w:val="es-ES"/>
        </w:rPr>
      </w:pPr>
      <w:r w:rsidRPr="00FC10F2">
        <w:rPr>
          <w:lang w:val="es-ES"/>
        </w:rPr>
        <w:lastRenderedPageBreak/>
        <w:t>Diapositiva</w:t>
      </w:r>
      <w:r w:rsidR="009D09C4" w:rsidRPr="00FC10F2">
        <w:rPr>
          <w:lang w:val="es-ES"/>
        </w:rPr>
        <w:t xml:space="preserve"> </w:t>
      </w:r>
      <w:r w:rsidR="00907C2D" w:rsidRPr="00FC10F2">
        <w:rPr>
          <w:lang w:val="es-ES"/>
        </w:rPr>
        <w:t>22</w:t>
      </w:r>
      <w:r w:rsidR="003A6DFD" w:rsidRPr="00FC10F2">
        <w:rPr>
          <w:lang w:val="es-ES"/>
        </w:rPr>
        <w:t>.</w:t>
      </w:r>
    </w:p>
    <w:p w14:paraId="065F83B0" w14:textId="77777777" w:rsidR="004534DA" w:rsidRPr="00FC10F2" w:rsidRDefault="00817988" w:rsidP="004936EF">
      <w:pPr>
        <w:pStyle w:val="diapo2"/>
        <w:rPr>
          <w:lang w:val="es-ES"/>
        </w:rPr>
      </w:pPr>
      <w:r w:rsidRPr="00FC10F2">
        <w:rPr>
          <w:bCs/>
          <w:lang w:val="es-ES"/>
        </w:rPr>
        <w:t>Protección de los derechos de las comunidades</w:t>
      </w:r>
    </w:p>
    <w:p w14:paraId="194BB9A0" w14:textId="77777777" w:rsidR="00774150" w:rsidRPr="00FC10F2" w:rsidRDefault="00350EE3" w:rsidP="009909DD">
      <w:pPr>
        <w:pStyle w:val="Texte1"/>
        <w:rPr>
          <w:lang w:val="es-ES"/>
        </w:rPr>
      </w:pPr>
      <w:r w:rsidRPr="00FC10F2">
        <w:rPr>
          <w:lang w:val="es-ES"/>
        </w:rPr>
        <w:t xml:space="preserve">En la sección 7.12 del Texto para el Participante de la presente Unidad 7, </w:t>
      </w:r>
      <w:r w:rsidR="00427BDF" w:rsidRPr="00FC10F2">
        <w:rPr>
          <w:lang w:val="es-ES"/>
        </w:rPr>
        <w:t>se aborda la cuestión de la protección que se debe dispensar a los derechos de las comunidades interesadas durante la realización de actividades de salvaguardia de su PCI, así como la cuestión de los beneficios que las comunidades deben obtener de esas actividades. Este tema se trata también en los</w:t>
      </w:r>
      <w:r w:rsidRPr="00FC10F2">
        <w:rPr>
          <w:lang w:val="es-ES"/>
        </w:rPr>
        <w:t xml:space="preserve"> Texto</w:t>
      </w:r>
      <w:r w:rsidR="00427BDF" w:rsidRPr="00FC10F2">
        <w:rPr>
          <w:lang w:val="es-ES"/>
        </w:rPr>
        <w:t>s</w:t>
      </w:r>
      <w:r w:rsidRPr="00FC10F2">
        <w:rPr>
          <w:lang w:val="es-ES"/>
        </w:rPr>
        <w:t xml:space="preserve"> para el Participante de las Unidade</w:t>
      </w:r>
      <w:r w:rsidR="005B7AFC" w:rsidRPr="00FC10F2">
        <w:rPr>
          <w:lang w:val="es-ES"/>
        </w:rPr>
        <w:t xml:space="preserve">s 7 </w:t>
      </w:r>
      <w:r w:rsidR="00026704" w:rsidRPr="00FC10F2">
        <w:rPr>
          <w:lang w:val="es-ES"/>
        </w:rPr>
        <w:t>y</w:t>
      </w:r>
      <w:r w:rsidR="005B7AFC" w:rsidRPr="00FC10F2">
        <w:rPr>
          <w:lang w:val="es-ES"/>
        </w:rPr>
        <w:t xml:space="preserve"> 9</w:t>
      </w:r>
      <w:r w:rsidR="00436B7C" w:rsidRPr="00FC10F2">
        <w:rPr>
          <w:lang w:val="es-ES"/>
        </w:rPr>
        <w:t>.</w:t>
      </w:r>
    </w:p>
    <w:p w14:paraId="091CFBEE" w14:textId="77777777" w:rsidR="006E144C" w:rsidRPr="00FC10F2" w:rsidRDefault="00427BDF">
      <w:pPr>
        <w:pStyle w:val="Texte1"/>
        <w:rPr>
          <w:lang w:val="es-ES"/>
        </w:rPr>
      </w:pPr>
      <w:r w:rsidRPr="00FC10F2">
        <w:rPr>
          <w:lang w:val="es-ES"/>
        </w:rPr>
        <w:t>Véase el Estudio de Caso 13 sobre el Festival Laura de Danza y Cultura Abor</w:t>
      </w:r>
      <w:r w:rsidR="00682E42" w:rsidRPr="00FC10F2">
        <w:rPr>
          <w:lang w:val="es-ES"/>
        </w:rPr>
        <w:t>ígenes</w:t>
      </w:r>
      <w:r w:rsidRPr="00FC10F2">
        <w:rPr>
          <w:lang w:val="es-ES"/>
        </w:rPr>
        <w:t xml:space="preserve"> (Australia)</w:t>
      </w:r>
      <w:r w:rsidR="006E144C" w:rsidRPr="00FC10F2">
        <w:rPr>
          <w:lang w:val="es-ES"/>
        </w:rPr>
        <w:t>.</w:t>
      </w:r>
    </w:p>
    <w:p w14:paraId="37F993E8" w14:textId="77777777" w:rsidR="005D5E47" w:rsidRPr="00FC10F2" w:rsidRDefault="001C3AE3" w:rsidP="004936EF">
      <w:pPr>
        <w:pStyle w:val="Soustitre"/>
        <w:rPr>
          <w:caps/>
          <w:lang w:val="es-ES"/>
        </w:rPr>
      </w:pPr>
      <w:r w:rsidRPr="00FC10F2">
        <w:rPr>
          <w:lang w:val="es-ES"/>
        </w:rPr>
        <w:t>Nota sobre los derechos de propiedad intelectual relacionados con el PCI</w:t>
      </w:r>
    </w:p>
    <w:p w14:paraId="7CABF8D4" w14:textId="77777777" w:rsidR="006C5018" w:rsidRPr="00FC10F2" w:rsidRDefault="00530485" w:rsidP="009909DD">
      <w:pPr>
        <w:pStyle w:val="Texte1"/>
        <w:rPr>
          <w:lang w:val="es-ES"/>
        </w:rPr>
      </w:pPr>
      <w:r w:rsidRPr="00FC10F2">
        <w:rPr>
          <w:lang w:val="es-ES"/>
        </w:rPr>
        <w:t>En términos generales, la propiedad intelectual se refiere a los derechos jurídicos derivados de una actividad intelectual realizada en los ámbitos de la industria, la ciencia, la literatura y el arte. Por ejemplo, un escritor tiene derecho a cobrar derechos de autor por la publicación y venta de una novela, o por su versión cinematográfica. Los Estados promulgan leyes para proteger la propiedad intelectual por dos motivos principales:</w:t>
      </w:r>
    </w:p>
    <w:p w14:paraId="6C75DD24" w14:textId="77777777" w:rsidR="006C5018" w:rsidRPr="00FC10F2" w:rsidRDefault="00530485" w:rsidP="004936EF">
      <w:pPr>
        <w:pStyle w:val="nutiret"/>
        <w:rPr>
          <w:lang w:val="es-ES"/>
        </w:rPr>
      </w:pPr>
      <w:r w:rsidRPr="00FC10F2">
        <w:rPr>
          <w:lang w:val="es-ES"/>
        </w:rPr>
        <w:t xml:space="preserve">Proteger los derechos morales y económicos de los creadores sobre sus obras (por ejemplo, permitir al autor de una novela que se le reconozca y remunere como creador de </w:t>
      </w:r>
      <w:r w:rsidR="0011600C">
        <w:rPr>
          <w:lang w:val="es-ES"/>
        </w:rPr>
        <w:t>e</w:t>
      </w:r>
      <w:r w:rsidRPr="00FC10F2">
        <w:rPr>
          <w:lang w:val="es-ES"/>
        </w:rPr>
        <w:t>sta), así como los derechos del público a acceder a esas obras.</w:t>
      </w:r>
      <w:r w:rsidR="006C5018" w:rsidRPr="00FC10F2">
        <w:rPr>
          <w:lang w:val="es-ES"/>
        </w:rPr>
        <w:t xml:space="preserve"> </w:t>
      </w:r>
    </w:p>
    <w:p w14:paraId="00B19F4D" w14:textId="77777777" w:rsidR="006C5018" w:rsidRPr="00FC10F2" w:rsidRDefault="00530485" w:rsidP="004936EF">
      <w:pPr>
        <w:pStyle w:val="nutiret"/>
        <w:rPr>
          <w:lang w:val="es-ES"/>
        </w:rPr>
      </w:pPr>
      <w:r w:rsidRPr="00FC10F2">
        <w:rPr>
          <w:lang w:val="es-ES"/>
        </w:rPr>
        <w:t xml:space="preserve">Fomentar la creatividad y la difusión y aplicación de sus resultados (por ejemplo, el hecho de que se remunere a las personas por escribir libros puede estimular la publicación de </w:t>
      </w:r>
      <w:r w:rsidR="0011600C">
        <w:rPr>
          <w:lang w:val="es-ES"/>
        </w:rPr>
        <w:t>e</w:t>
      </w:r>
      <w:r w:rsidRPr="00FC10F2">
        <w:rPr>
          <w:lang w:val="es-ES"/>
        </w:rPr>
        <w:t>stos, así como el consiguiente aprovechamiento compartido de conocimientos que es beneficioso para el conjunto de la sociedad) y estimular prácticas comerciales justas que contribuyan al desarrollo económico y social (por ejemplo, garantizar que al menos una parte de las sumas de dinero producidas por un libro se destinen a remunerar a su autor)</w:t>
      </w:r>
      <w:r w:rsidR="006C5018" w:rsidRPr="00FC10F2">
        <w:rPr>
          <w:lang w:val="es-ES"/>
        </w:rPr>
        <w:t>.</w:t>
      </w:r>
      <w:r w:rsidR="006C5018" w:rsidRPr="00FC10F2">
        <w:rPr>
          <w:vertAlign w:val="superscript"/>
          <w:lang w:val="es-ES"/>
        </w:rPr>
        <w:footnoteReference w:id="7"/>
      </w:r>
    </w:p>
    <w:p w14:paraId="3938EBC5" w14:textId="77777777" w:rsidR="00FD58F3" w:rsidRPr="00FC10F2" w:rsidRDefault="00661BC1" w:rsidP="009909DD">
      <w:pPr>
        <w:pStyle w:val="Texte1"/>
        <w:rPr>
          <w:lang w:val="es-ES"/>
        </w:rPr>
      </w:pPr>
      <w:r w:rsidRPr="00FC10F2">
        <w:rPr>
          <w:lang w:val="es-ES"/>
        </w:rPr>
        <w:t xml:space="preserve">Los derechos de propiedad intelectual (DPI) se suelen conferir a individuos o empresas. Para conferirlos a las comunidades se requiere la adopción de reglamentaciones especiales. Esto se ha hecho en algunos países, pero es un asunto complicado. El Comité Intergubernamental sobre Propiedad Intelectual y Recursos Genéticos, Conocimientos Tradicionales y Folclore de la Organización Mundial de la Propiedad </w:t>
      </w:r>
      <w:r w:rsidRPr="00FC10F2">
        <w:rPr>
          <w:szCs w:val="22"/>
          <w:lang w:val="es-ES"/>
        </w:rPr>
        <w:t xml:space="preserve">Intelectual (OMPI) </w:t>
      </w:r>
      <w:r w:rsidRPr="00FC10F2">
        <w:rPr>
          <w:lang w:val="es-ES"/>
        </w:rPr>
        <w:t xml:space="preserve">ha trabajado durante algún tiempo con miras al establecimiento de un instrumento jurídico internacional destinado a proteger los DPI sobre el PCI. Al contemplar la posibilidad de modificar los regímenes de propiedad intelectual existentes, se plantea el siguiente problema: los DPI sobre el PCI deben ser derechos inalienables (esto es, no se pueden conferir a personas o entidades que no formen parte de la comunidad interesada) y, a diferencia de los derechos de autor o de las patentes, no deben caducar automáticamente al cabo de un período determinado, sino que se deben otorgar a perpetuidad. También se plantea la cuestión de saber si los DPI de una comunidad deben ser derechos exclusivos y si se pueden restablecer los derechos sobre la información que ya sea de dominio público. Por último, también surge el problema de </w:t>
      </w:r>
      <w:r w:rsidRPr="00FC10F2">
        <w:rPr>
          <w:lang w:val="es-ES"/>
        </w:rPr>
        <w:lastRenderedPageBreak/>
        <w:t>cómo definir el PCI a los efectos del nuevo régimen de propiedad intelectual que se adopte.</w:t>
      </w:r>
      <w:r w:rsidR="00FD58F3" w:rsidRPr="00FC10F2">
        <w:rPr>
          <w:lang w:val="es-ES"/>
        </w:rPr>
        <w:t xml:space="preserve"> </w:t>
      </w:r>
    </w:p>
    <w:p w14:paraId="57B9B125" w14:textId="77777777" w:rsidR="005D5E47" w:rsidRPr="00FC10F2" w:rsidRDefault="00661BC1" w:rsidP="009909DD">
      <w:pPr>
        <w:pStyle w:val="Texte1"/>
        <w:rPr>
          <w:lang w:val="es-ES"/>
        </w:rPr>
      </w:pPr>
      <w:r w:rsidRPr="00FC10F2">
        <w:rPr>
          <w:lang w:val="es-ES"/>
        </w:rPr>
        <w:t>Cuando esos derechos no se han conferido a las comunidades</w:t>
      </w:r>
      <w:r w:rsidR="00682E42" w:rsidRPr="00FC10F2">
        <w:rPr>
          <w:lang w:val="es-ES"/>
        </w:rPr>
        <w:t xml:space="preserve"> en virtud de una ley</w:t>
      </w:r>
      <w:r w:rsidRPr="00FC10F2">
        <w:rPr>
          <w:lang w:val="es-ES"/>
        </w:rPr>
        <w:t xml:space="preserve">, se debe alentar a los organismos que trabajan con ellas a que les ayuden a recurrir a otros mecanismos jurídicos y sociales que les permitan beneficiarse del uso de su PCI en la mayor medida </w:t>
      </w:r>
      <w:r w:rsidR="00026704" w:rsidRPr="00FC10F2">
        <w:rPr>
          <w:lang w:val="es-ES"/>
        </w:rPr>
        <w:t xml:space="preserve">de lo </w:t>
      </w:r>
      <w:r w:rsidRPr="00FC10F2">
        <w:rPr>
          <w:lang w:val="es-ES"/>
        </w:rPr>
        <w:t>posible</w:t>
      </w:r>
      <w:r w:rsidR="005D5E47" w:rsidRPr="00FC10F2">
        <w:rPr>
          <w:lang w:val="es-ES"/>
        </w:rPr>
        <w:t>.</w:t>
      </w:r>
    </w:p>
    <w:p w14:paraId="09CDAFD0" w14:textId="77777777" w:rsidR="00DF7827" w:rsidRPr="00FC10F2" w:rsidRDefault="00661BC1" w:rsidP="009909DD">
      <w:pPr>
        <w:pStyle w:val="Texte1"/>
        <w:rPr>
          <w:lang w:val="es-ES"/>
        </w:rPr>
      </w:pPr>
      <w:r w:rsidRPr="00FC10F2">
        <w:rPr>
          <w:lang w:val="es-ES"/>
        </w:rPr>
        <w:t>Cuando se promueve la práctica de elementos del PCI mediante actividades de sensibilización o comercialización,</w:t>
      </w:r>
    </w:p>
    <w:p w14:paraId="32DE6A19" w14:textId="77777777" w:rsidR="00DF7827" w:rsidRPr="00FC10F2" w:rsidRDefault="00661BC1" w:rsidP="004936EF">
      <w:pPr>
        <w:pStyle w:val="citation"/>
        <w:rPr>
          <w:lang w:val="es-ES"/>
        </w:rPr>
      </w:pPr>
      <w:r w:rsidRPr="00FC10F2">
        <w:rPr>
          <w:lang w:val="es-ES"/>
        </w:rPr>
        <w:t>“se debe centrar la atención en potenciar la situación de los miembros de las comunidades que deseen utilizar sus conocimientos tradicionales y recursos para mejorar sus medios de subsistencia, ya que el hecho de potenciarlos de esta manera puede significar un reconocimiento de que los sistemas de conocimiento autóctonos no sólo pueden tener para ellos un valor comercial, sino también cultural y simbólico”</w:t>
      </w:r>
      <w:r w:rsidR="006C5018" w:rsidRPr="00FC10F2">
        <w:rPr>
          <w:lang w:val="es-ES"/>
        </w:rPr>
        <w:t>.</w:t>
      </w:r>
      <w:r w:rsidR="006C5018" w:rsidRPr="00FC10F2">
        <w:rPr>
          <w:vertAlign w:val="superscript"/>
          <w:lang w:val="es-ES"/>
        </w:rPr>
        <w:footnoteReference w:id="8"/>
      </w:r>
    </w:p>
    <w:p w14:paraId="19990904" w14:textId="77777777" w:rsidR="006C5018" w:rsidRPr="00FC10F2" w:rsidRDefault="001C3AE3" w:rsidP="009909DD">
      <w:pPr>
        <w:pStyle w:val="Texte1"/>
        <w:rPr>
          <w:lang w:val="es-ES"/>
        </w:rPr>
      </w:pPr>
      <w:r w:rsidRPr="00FC10F2">
        <w:rPr>
          <w:lang w:val="es-ES"/>
        </w:rPr>
        <w:t>Sobre este tema, véanse las DO 101.d, 102.d y 104</w:t>
      </w:r>
      <w:r w:rsidR="006C5018" w:rsidRPr="00FC10F2">
        <w:rPr>
          <w:lang w:val="es-ES"/>
        </w:rPr>
        <w:t>.</w:t>
      </w:r>
    </w:p>
    <w:p w14:paraId="1EFBA051" w14:textId="77777777" w:rsidR="00774150" w:rsidRPr="00FC10F2" w:rsidRDefault="001A1952" w:rsidP="009C7479">
      <w:pPr>
        <w:pStyle w:val="Soustitre"/>
        <w:rPr>
          <w:sz w:val="24"/>
          <w:szCs w:val="22"/>
          <w:lang w:val="es-ES"/>
        </w:rPr>
      </w:pPr>
      <w:r w:rsidRPr="00FC10F2">
        <w:rPr>
          <w:lang w:val="es-ES"/>
        </w:rPr>
        <w:t>Ejemplo de la repercusión de actividades que pueden constituir una amenaza para los derechos de las comunidades sobre su PCI</w:t>
      </w:r>
    </w:p>
    <w:p w14:paraId="3642104E" w14:textId="77777777" w:rsidR="004534DA" w:rsidRPr="00FC10F2" w:rsidRDefault="001C3AE3" w:rsidP="009909DD">
      <w:pPr>
        <w:pStyle w:val="Texte1"/>
        <w:rPr>
          <w:lang w:val="es-ES"/>
        </w:rPr>
      </w:pPr>
      <w:r w:rsidRPr="00FC10F2">
        <w:rPr>
          <w:lang w:val="es-ES"/>
        </w:rPr>
        <w:t>Se puede pedir a los participantes que imaginen que se está preparando un programa de televisión sobre una forma específica de terapia m</w:t>
      </w:r>
      <w:r w:rsidR="00682E42" w:rsidRPr="00FC10F2">
        <w:rPr>
          <w:lang w:val="es-ES"/>
        </w:rPr>
        <w:t>edicinal</w:t>
      </w:r>
      <w:r w:rsidRPr="00FC10F2">
        <w:rPr>
          <w:lang w:val="es-ES"/>
        </w:rPr>
        <w:t xml:space="preserve"> tradicional utilizada en una pequeña comunidad regional –anteriormente desconocida por el resto de la población nacional– y que se va a difundir luego en todo el país. Un resultado indeseable podría ser la utilización de la información difundida para crear un nuevo producto comercial basado en la terapia en cuestión, sin consultar a la comunidad interesada y</w:t>
      </w:r>
      <w:r w:rsidR="009F2D91" w:rsidRPr="00FC10F2">
        <w:rPr>
          <w:lang w:val="es-ES"/>
        </w:rPr>
        <w:t xml:space="preserve"> sin obtener su consentimiento. U</w:t>
      </w:r>
      <w:r w:rsidRPr="00FC10F2">
        <w:rPr>
          <w:lang w:val="es-ES"/>
        </w:rPr>
        <w:t>na acción de este tipo no formaría parte de las actividades de sensibilización al PC</w:t>
      </w:r>
      <w:r w:rsidR="009F2D91" w:rsidRPr="00FC10F2">
        <w:rPr>
          <w:lang w:val="es-ES"/>
        </w:rPr>
        <w:t>I preconizadas en la Convención</w:t>
      </w:r>
      <w:r w:rsidRPr="00FC10F2">
        <w:rPr>
          <w:lang w:val="es-ES"/>
        </w:rPr>
        <w:t>. Además, el producto en cuestión podrían patentarlo empresas comerciales o industriales para fabricarlo en otra región del país, y las ganancias subsiguientes irían a parar exclusivamente a manos de esas empresas. Esto no beneficiaría en modo alguno a la pequeña comunidad regional o a los poseedores del conocimiento original del remedio. De hecho, supondría una amenaza para los medios de subsistencia de algunas personas de la comunidad, así como para la transmisión de su PCI. Si este tipo de situaciones se prevén, se podrán evitar o resolver con prontitud en cuanto surjan y también se podrán proteger los derechos e intereses de la comunidad de que se trate</w:t>
      </w:r>
      <w:r w:rsidR="004534DA" w:rsidRPr="00FC10F2">
        <w:rPr>
          <w:lang w:val="es-ES"/>
        </w:rPr>
        <w:t>.</w:t>
      </w:r>
      <w:r w:rsidR="00C80846" w:rsidRPr="00FC10F2">
        <w:rPr>
          <w:lang w:val="es-ES"/>
        </w:rPr>
        <w:t xml:space="preserve"> </w:t>
      </w:r>
    </w:p>
    <w:p w14:paraId="1F7841C0" w14:textId="77777777" w:rsidR="003A6DFD" w:rsidRPr="00FC10F2" w:rsidRDefault="001F081A" w:rsidP="004936EF">
      <w:pPr>
        <w:pStyle w:val="Heading6"/>
        <w:rPr>
          <w:lang w:val="es-ES"/>
        </w:rPr>
      </w:pPr>
      <w:r w:rsidRPr="00FC10F2">
        <w:rPr>
          <w:lang w:val="es-ES"/>
        </w:rPr>
        <w:t>Diapositiva</w:t>
      </w:r>
      <w:r w:rsidR="009D09C4" w:rsidRPr="00FC10F2">
        <w:rPr>
          <w:lang w:val="es-ES"/>
        </w:rPr>
        <w:t xml:space="preserve"> </w:t>
      </w:r>
      <w:r w:rsidR="00907C2D" w:rsidRPr="00FC10F2">
        <w:rPr>
          <w:lang w:val="es-ES"/>
        </w:rPr>
        <w:t>23</w:t>
      </w:r>
      <w:r w:rsidR="003A6DFD" w:rsidRPr="00FC10F2">
        <w:rPr>
          <w:lang w:val="es-ES"/>
        </w:rPr>
        <w:t>.</w:t>
      </w:r>
    </w:p>
    <w:p w14:paraId="637F2C2E" w14:textId="77777777" w:rsidR="004534DA" w:rsidRPr="00FC10F2" w:rsidRDefault="00817988" w:rsidP="004936EF">
      <w:pPr>
        <w:pStyle w:val="diapo2"/>
        <w:rPr>
          <w:lang w:val="es-ES"/>
        </w:rPr>
      </w:pPr>
      <w:r w:rsidRPr="00FC10F2">
        <w:rPr>
          <w:bCs/>
          <w:lang w:val="es-ES"/>
        </w:rPr>
        <w:t>Garantizar que las comunidades se beneficien de su PCI</w:t>
      </w:r>
    </w:p>
    <w:p w14:paraId="20CEBADA" w14:textId="77777777" w:rsidR="006865B6" w:rsidRPr="00FC10F2" w:rsidRDefault="00350EE3" w:rsidP="009909DD">
      <w:pPr>
        <w:pStyle w:val="Texte1"/>
        <w:rPr>
          <w:lang w:val="es-ES"/>
        </w:rPr>
      </w:pPr>
      <w:r w:rsidRPr="00FC10F2">
        <w:rPr>
          <w:lang w:val="es-ES"/>
        </w:rPr>
        <w:t xml:space="preserve">En la sección 7.12 del Texto para el Participante de la presente Unidad 7, </w:t>
      </w:r>
      <w:r w:rsidR="001A1952" w:rsidRPr="00FC10F2">
        <w:rPr>
          <w:lang w:val="es-ES"/>
        </w:rPr>
        <w:t>se muestra cuán importante es garantizar que las comunidades interesadas se beneficien de la aplicación de la Convención</w:t>
      </w:r>
      <w:r w:rsidR="006270AB" w:rsidRPr="00FC10F2">
        <w:rPr>
          <w:lang w:val="es-ES"/>
        </w:rPr>
        <w:t>.</w:t>
      </w:r>
      <w:r w:rsidR="006865B6" w:rsidRPr="00FC10F2">
        <w:rPr>
          <w:lang w:val="es-ES"/>
        </w:rPr>
        <w:t xml:space="preserve"> </w:t>
      </w:r>
    </w:p>
    <w:p w14:paraId="35E30461" w14:textId="77777777" w:rsidR="00E56E21" w:rsidRPr="00FC10F2" w:rsidRDefault="001A1952" w:rsidP="009909DD">
      <w:pPr>
        <w:pStyle w:val="Texte1"/>
        <w:rPr>
          <w:lang w:val="es-ES"/>
        </w:rPr>
      </w:pPr>
      <w:r w:rsidRPr="00FC10F2">
        <w:rPr>
          <w:lang w:val="es-ES"/>
        </w:rPr>
        <w:lastRenderedPageBreak/>
        <w:t>Después de la adopción de las</w:t>
      </w:r>
      <w:r w:rsidRPr="00FC10F2">
        <w:rPr>
          <w:b/>
          <w:lang w:val="es-ES"/>
        </w:rPr>
        <w:t xml:space="preserve"> </w:t>
      </w:r>
      <w:r w:rsidRPr="00FC10F2">
        <w:rPr>
          <w:rStyle w:val="Emphasis"/>
          <w:i w:val="0"/>
          <w:color w:val="222222"/>
          <w:lang w:val="es-ES"/>
        </w:rPr>
        <w:t>Directrices</w:t>
      </w:r>
      <w:r w:rsidRPr="00FC10F2">
        <w:rPr>
          <w:rStyle w:val="st"/>
          <w:i/>
          <w:color w:val="222222"/>
          <w:lang w:val="es-ES"/>
        </w:rPr>
        <w:t xml:space="preserve"> </w:t>
      </w:r>
      <w:r w:rsidRPr="00FC10F2">
        <w:rPr>
          <w:rStyle w:val="st"/>
          <w:color w:val="222222"/>
          <w:lang w:val="es-ES"/>
        </w:rPr>
        <w:t>de</w:t>
      </w:r>
      <w:r w:rsidRPr="00FC10F2">
        <w:rPr>
          <w:rStyle w:val="st"/>
          <w:i/>
          <w:color w:val="222222"/>
          <w:lang w:val="es-ES"/>
        </w:rPr>
        <w:t xml:space="preserve"> </w:t>
      </w:r>
      <w:r w:rsidRPr="00FC10F2">
        <w:rPr>
          <w:rStyle w:val="Emphasis"/>
          <w:i w:val="0"/>
          <w:color w:val="222222"/>
          <w:lang w:val="es-ES"/>
        </w:rPr>
        <w:t>Bonn sobre Acceso</w:t>
      </w:r>
      <w:r w:rsidRPr="00FC10F2">
        <w:rPr>
          <w:rStyle w:val="st"/>
          <w:i/>
          <w:color w:val="222222"/>
          <w:lang w:val="es-ES"/>
        </w:rPr>
        <w:t xml:space="preserve"> </w:t>
      </w:r>
      <w:r w:rsidRPr="00FC10F2">
        <w:rPr>
          <w:rStyle w:val="st"/>
          <w:color w:val="222222"/>
          <w:lang w:val="es-ES"/>
        </w:rPr>
        <w:t>a los</w:t>
      </w:r>
      <w:r w:rsidRPr="00FC10F2">
        <w:rPr>
          <w:rStyle w:val="Emphasis"/>
          <w:i w:val="0"/>
          <w:lang w:val="es-ES"/>
        </w:rPr>
        <w:t xml:space="preserve"> </w:t>
      </w:r>
      <w:r w:rsidRPr="00FC10F2">
        <w:rPr>
          <w:rStyle w:val="Emphasis"/>
          <w:i w:val="0"/>
          <w:color w:val="222222"/>
          <w:lang w:val="es-ES"/>
        </w:rPr>
        <w:t>Recursos Genéticos</w:t>
      </w:r>
      <w:r w:rsidRPr="00FC10F2">
        <w:rPr>
          <w:rStyle w:val="st"/>
          <w:i/>
          <w:color w:val="222222"/>
          <w:lang w:val="es-ES"/>
        </w:rPr>
        <w:t xml:space="preserve"> </w:t>
      </w:r>
      <w:r w:rsidRPr="00FC10F2">
        <w:rPr>
          <w:rStyle w:val="st"/>
          <w:color w:val="222222"/>
          <w:lang w:val="es-ES"/>
        </w:rPr>
        <w:t>y Participación</w:t>
      </w:r>
      <w:r w:rsidRPr="00FC10F2">
        <w:rPr>
          <w:rStyle w:val="st"/>
          <w:i/>
          <w:color w:val="222222"/>
          <w:lang w:val="es-ES"/>
        </w:rPr>
        <w:t xml:space="preserve"> </w:t>
      </w:r>
      <w:r w:rsidRPr="00FC10F2">
        <w:rPr>
          <w:rStyle w:val="Emphasis"/>
          <w:i w:val="0"/>
          <w:color w:val="222222"/>
          <w:lang w:val="es-ES"/>
        </w:rPr>
        <w:t>Justa</w:t>
      </w:r>
      <w:r w:rsidRPr="00FC10F2">
        <w:rPr>
          <w:rStyle w:val="st"/>
          <w:i/>
          <w:color w:val="222222"/>
          <w:lang w:val="es-ES"/>
        </w:rPr>
        <w:t xml:space="preserve"> y </w:t>
      </w:r>
      <w:r w:rsidRPr="00FC10F2">
        <w:rPr>
          <w:rStyle w:val="Emphasis"/>
          <w:i w:val="0"/>
          <w:color w:val="222222"/>
          <w:lang w:val="es-ES"/>
        </w:rPr>
        <w:t>Equitativa</w:t>
      </w:r>
      <w:r w:rsidRPr="00FC10F2">
        <w:rPr>
          <w:rStyle w:val="st"/>
          <w:i/>
          <w:color w:val="222222"/>
          <w:lang w:val="es-ES"/>
        </w:rPr>
        <w:t xml:space="preserve"> </w:t>
      </w:r>
      <w:r w:rsidRPr="00FC10F2">
        <w:rPr>
          <w:rStyle w:val="st"/>
          <w:color w:val="222222"/>
          <w:lang w:val="es-ES"/>
        </w:rPr>
        <w:t>en los</w:t>
      </w:r>
      <w:r w:rsidRPr="00FC10F2">
        <w:rPr>
          <w:rStyle w:val="st"/>
          <w:i/>
          <w:color w:val="222222"/>
          <w:lang w:val="es-ES"/>
        </w:rPr>
        <w:t xml:space="preserve"> </w:t>
      </w:r>
      <w:r w:rsidRPr="00FC10F2">
        <w:rPr>
          <w:rStyle w:val="Emphasis"/>
          <w:i w:val="0"/>
          <w:color w:val="222222"/>
          <w:lang w:val="es-ES"/>
        </w:rPr>
        <w:t>Beneficios</w:t>
      </w:r>
      <w:r w:rsidRPr="00FC10F2">
        <w:rPr>
          <w:rStyle w:val="st"/>
          <w:i/>
          <w:color w:val="222222"/>
          <w:lang w:val="es-ES"/>
        </w:rPr>
        <w:t xml:space="preserve"> </w:t>
      </w:r>
      <w:r w:rsidRPr="00FC10F2">
        <w:rPr>
          <w:rStyle w:val="st"/>
          <w:color w:val="222222"/>
          <w:lang w:val="es-ES"/>
        </w:rPr>
        <w:t>Provenientes de su</w:t>
      </w:r>
      <w:r w:rsidRPr="00FC10F2">
        <w:rPr>
          <w:rStyle w:val="st"/>
          <w:i/>
          <w:color w:val="222222"/>
          <w:lang w:val="es-ES"/>
        </w:rPr>
        <w:t xml:space="preserve"> </w:t>
      </w:r>
      <w:r w:rsidRPr="00FC10F2">
        <w:rPr>
          <w:rStyle w:val="Emphasis"/>
          <w:i w:val="0"/>
          <w:color w:val="222222"/>
          <w:lang w:val="es-ES"/>
        </w:rPr>
        <w:t>Utilización</w:t>
      </w:r>
      <w:r w:rsidRPr="00FC10F2">
        <w:rPr>
          <w:b/>
          <w:lang w:val="es-ES"/>
        </w:rPr>
        <w:t xml:space="preserve"> </w:t>
      </w:r>
      <w:r w:rsidRPr="00FC10F2">
        <w:rPr>
          <w:lang w:val="es-ES"/>
        </w:rPr>
        <w:t>(2002),</w:t>
      </w:r>
      <w:r w:rsidRPr="00FC10F2">
        <w:rPr>
          <w:b/>
          <w:lang w:val="es-ES"/>
        </w:rPr>
        <w:t xml:space="preserve"> </w:t>
      </w:r>
      <w:r w:rsidRPr="00FC10F2">
        <w:rPr>
          <w:lang w:val="es-ES"/>
        </w:rPr>
        <w:t>se están preparando ahora otras directrices y protocolos para contribuir a la aplicación del Convenio sobre la Diversidad Biológica (CDB). Esto podría estimular y guiar la creación de instrumentos análogos en el ámbito del patrimonio inmaterial</w:t>
      </w:r>
      <w:r w:rsidR="006865B6" w:rsidRPr="00FC10F2">
        <w:rPr>
          <w:lang w:val="es-ES"/>
        </w:rPr>
        <w:t>.</w:t>
      </w:r>
      <w:r w:rsidR="006865B6" w:rsidRPr="00FC10F2">
        <w:rPr>
          <w:vertAlign w:val="superscript"/>
          <w:lang w:val="es-ES"/>
        </w:rPr>
        <w:footnoteReference w:id="9"/>
      </w:r>
    </w:p>
    <w:p w14:paraId="612BC624" w14:textId="77777777" w:rsidR="006865B6" w:rsidRPr="00FC10F2" w:rsidRDefault="001A1952" w:rsidP="009909DD">
      <w:pPr>
        <w:pStyle w:val="Texte1"/>
        <w:rPr>
          <w:lang w:val="es-ES"/>
        </w:rPr>
      </w:pPr>
      <w:r w:rsidRPr="00FC10F2">
        <w:rPr>
          <w:lang w:val="es-ES"/>
        </w:rPr>
        <w:t>Las DO que se presentan a continuación son de especial pertinencia en este sentido</w:t>
      </w:r>
      <w:r w:rsidR="00D307B6" w:rsidRPr="00FC10F2">
        <w:rPr>
          <w:lang w:val="es-ES"/>
        </w:rPr>
        <w:t>.</w:t>
      </w:r>
    </w:p>
    <w:p w14:paraId="675D492A" w14:textId="77777777" w:rsidR="003A6DFD" w:rsidRPr="00FC10F2" w:rsidRDefault="00A3497D" w:rsidP="004936EF">
      <w:pPr>
        <w:pStyle w:val="DO"/>
        <w:rPr>
          <w:lang w:val="es-ES"/>
        </w:rPr>
      </w:pPr>
      <w:r w:rsidRPr="00FC10F2">
        <w:rPr>
          <w:lang w:val="es-ES"/>
        </w:rPr>
        <w:t>DO</w:t>
      </w:r>
      <w:r w:rsidR="003A6DFD" w:rsidRPr="00FC10F2">
        <w:rPr>
          <w:lang w:val="es-ES"/>
        </w:rPr>
        <w:t xml:space="preserve"> 81</w:t>
      </w:r>
      <w:r w:rsidR="003A6DFD" w:rsidRPr="00FC10F2">
        <w:rPr>
          <w:lang w:val="es-ES"/>
        </w:rPr>
        <w:tab/>
      </w:r>
      <w:r w:rsidRPr="00FC10F2">
        <w:rPr>
          <w:lang w:val="es-ES"/>
        </w:rPr>
        <w:t>“</w:t>
      </w:r>
      <w:r w:rsidR="005C1967" w:rsidRPr="00FC10F2">
        <w:rPr>
          <w:lang w:val="es-ES"/>
        </w:rPr>
        <w:t>Los Estados Partes adoptarán las medidas necesarias para sensibilizar a las comunidades, los grupos y, si procede, los individuos a la importancia y el valor de su patrimonio cultural inmaterial, así como de la Convención, para que los depositarios de ese patrimonio puedan beneficiarse plenamente de dicho instrumento normativo</w:t>
      </w:r>
      <w:r w:rsidRPr="00FC10F2">
        <w:rPr>
          <w:lang w:val="es-ES"/>
        </w:rPr>
        <w:t>”.</w:t>
      </w:r>
    </w:p>
    <w:p w14:paraId="00CCB44B" w14:textId="77777777" w:rsidR="003A6DFD" w:rsidRPr="00FC10F2" w:rsidRDefault="00A3497D" w:rsidP="004936EF">
      <w:pPr>
        <w:pStyle w:val="DO"/>
        <w:rPr>
          <w:lang w:val="es-ES"/>
        </w:rPr>
      </w:pPr>
      <w:r w:rsidRPr="00FC10F2">
        <w:rPr>
          <w:lang w:val="es-ES"/>
        </w:rPr>
        <w:t>DO</w:t>
      </w:r>
      <w:r w:rsidR="003A6DFD" w:rsidRPr="00FC10F2">
        <w:rPr>
          <w:lang w:val="es-ES"/>
        </w:rPr>
        <w:t xml:space="preserve"> 101</w:t>
      </w:r>
      <w:r w:rsidRPr="00FC10F2">
        <w:rPr>
          <w:lang w:val="es-ES"/>
        </w:rPr>
        <w:t>.d</w:t>
      </w:r>
      <w:r w:rsidR="003A6DFD" w:rsidRPr="00FC10F2">
        <w:rPr>
          <w:lang w:val="es-ES"/>
        </w:rPr>
        <w:tab/>
      </w:r>
      <w:r w:rsidRPr="00FC10F2">
        <w:rPr>
          <w:lang w:val="es-ES"/>
        </w:rPr>
        <w:t>“Las comunidades, los grupos y, si procede, los individuos interesados se beneficiarán de las actividades realizadas para dar a conocer mejor su patrimonio cultural inmaterial […]”.</w:t>
      </w:r>
    </w:p>
    <w:p w14:paraId="482D412A" w14:textId="77777777" w:rsidR="003A6DFD" w:rsidRPr="00FC10F2" w:rsidRDefault="00A3497D" w:rsidP="004936EF">
      <w:pPr>
        <w:pStyle w:val="DO"/>
        <w:rPr>
          <w:lang w:val="es-ES"/>
        </w:rPr>
      </w:pPr>
      <w:r w:rsidRPr="00FC10F2">
        <w:rPr>
          <w:lang w:val="es-ES"/>
        </w:rPr>
        <w:t>DO</w:t>
      </w:r>
      <w:r w:rsidR="003A6DFD" w:rsidRPr="00FC10F2">
        <w:rPr>
          <w:lang w:val="es-ES"/>
        </w:rPr>
        <w:t xml:space="preserve"> 116</w:t>
      </w:r>
      <w:r w:rsidR="003A6DFD" w:rsidRPr="00FC10F2">
        <w:rPr>
          <w:lang w:val="es-ES"/>
        </w:rPr>
        <w:tab/>
      </w:r>
      <w:r w:rsidRPr="00FC10F2">
        <w:rPr>
          <w:lang w:val="es-ES"/>
        </w:rPr>
        <w:t xml:space="preserve">“Las actividades comerciales que puedan derivarse de ciertas formas del patrimonio cultural inmaterial y el comercio de bienes y servicios culturales relacionados con el patrimonio cultural inmaterial […] no deben […] poner en peligro </w:t>
      </w:r>
      <w:r w:rsidR="005C1967" w:rsidRPr="00FC10F2">
        <w:rPr>
          <w:lang w:val="es-ES"/>
        </w:rPr>
        <w:t>[</w:t>
      </w:r>
      <w:r w:rsidRPr="00FC10F2">
        <w:rPr>
          <w:lang w:val="es-ES"/>
        </w:rPr>
        <w:t>su</w:t>
      </w:r>
      <w:r w:rsidR="005C1967" w:rsidRPr="00FC10F2">
        <w:rPr>
          <w:lang w:val="es-ES"/>
        </w:rPr>
        <w:t>]</w:t>
      </w:r>
      <w:r w:rsidRPr="00FC10F2">
        <w:rPr>
          <w:lang w:val="es-ES"/>
        </w:rPr>
        <w:t xml:space="preserve"> viabilidad, y deberán adoptarse todas las medidas apropiadas para asegurar que las comunidades </w:t>
      </w:r>
      <w:r w:rsidR="005C1967" w:rsidRPr="00FC10F2">
        <w:rPr>
          <w:lang w:val="es-ES"/>
        </w:rPr>
        <w:t>interesadas</w:t>
      </w:r>
      <w:r w:rsidRPr="00FC10F2">
        <w:rPr>
          <w:lang w:val="es-ES"/>
        </w:rPr>
        <w:t xml:space="preserve"> sean sus principales beneficiarias [</w:t>
      </w:r>
      <w:r w:rsidRPr="00FC10F2">
        <w:rPr>
          <w:color w:val="000000"/>
          <w:lang w:val="es-ES"/>
        </w:rPr>
        <w:t>…]”.</w:t>
      </w:r>
    </w:p>
    <w:p w14:paraId="0B29D0A3" w14:textId="49A22519" w:rsidR="004534DA" w:rsidRPr="00026030" w:rsidRDefault="0074397D" w:rsidP="00FC6098">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snapToGrid/>
          <w:color w:val="3366FF"/>
          <w:sz w:val="24"/>
          <w:lang w:val="fr-FR" w:eastAsia="en-US"/>
        </w:rPr>
      </w:pPr>
      <w:r w:rsidRPr="00026030">
        <w:rPr>
          <w:rFonts w:asciiTheme="minorBidi" w:hAnsiTheme="minorBidi" w:cstheme="minorBidi"/>
          <w:b/>
          <w:bCs/>
          <w:snapToGrid/>
          <w:color w:val="3366FF"/>
          <w:sz w:val="24"/>
          <w:lang w:val="fr-FR" w:eastAsia="en-US"/>
        </w:rPr>
        <w:t>Ejercicio optativo 1</w:t>
      </w:r>
      <w:r w:rsidR="003E297E" w:rsidRPr="00026030">
        <w:rPr>
          <w:rFonts w:asciiTheme="minorBidi" w:hAnsiTheme="minorBidi" w:cstheme="minorBidi"/>
          <w:b/>
          <w:bCs/>
          <w:snapToGrid/>
          <w:color w:val="3366FF"/>
          <w:sz w:val="24"/>
          <w:lang w:val="fr-FR" w:eastAsia="en-US"/>
        </w:rPr>
        <w:t xml:space="preserve"> – </w:t>
      </w:r>
      <w:r w:rsidRPr="00026030">
        <w:rPr>
          <w:rFonts w:asciiTheme="minorBidi" w:hAnsiTheme="minorBidi" w:cstheme="minorBidi"/>
          <w:b/>
          <w:bCs/>
          <w:snapToGrid/>
          <w:color w:val="3366FF"/>
          <w:sz w:val="24"/>
          <w:lang w:val="fr-FR" w:eastAsia="en-US"/>
        </w:rPr>
        <w:t>Ejercicio de simulación sobre la participación de las comunidades en la</w:t>
      </w:r>
      <w:r w:rsidR="00A26870" w:rsidRPr="00026030">
        <w:rPr>
          <w:rFonts w:asciiTheme="minorBidi" w:hAnsiTheme="minorBidi" w:cstheme="minorBidi"/>
          <w:b/>
          <w:bCs/>
          <w:snapToGrid/>
          <w:color w:val="3366FF"/>
          <w:sz w:val="24"/>
          <w:lang w:val="fr-FR" w:eastAsia="en-US"/>
        </w:rPr>
        <w:t xml:space="preserve"> </w:t>
      </w:r>
      <w:r w:rsidR="00597134" w:rsidRPr="00026030">
        <w:rPr>
          <w:rFonts w:asciiTheme="minorBidi" w:hAnsiTheme="minorBidi" w:cstheme="minorBidi"/>
          <w:b/>
          <w:bCs/>
          <w:snapToGrid/>
          <w:color w:val="3366FF"/>
          <w:sz w:val="24"/>
          <w:lang w:val="fr-FR" w:eastAsia="en-US"/>
        </w:rPr>
        <w:t>s</w:t>
      </w:r>
      <w:r w:rsidR="006A03F5" w:rsidRPr="00026030">
        <w:rPr>
          <w:rFonts w:asciiTheme="minorBidi" w:hAnsiTheme="minorBidi" w:cstheme="minorBidi"/>
          <w:b/>
          <w:bCs/>
          <w:snapToGrid/>
          <w:color w:val="3366FF"/>
          <w:sz w:val="24"/>
          <w:lang w:val="fr-FR" w:eastAsia="en-US"/>
        </w:rPr>
        <w:t>a</w:t>
      </w:r>
      <w:r w:rsidRPr="00026030">
        <w:rPr>
          <w:rFonts w:asciiTheme="minorBidi" w:hAnsiTheme="minorBidi" w:cstheme="minorBidi"/>
          <w:b/>
          <w:bCs/>
          <w:snapToGrid/>
          <w:color w:val="3366FF"/>
          <w:sz w:val="24"/>
          <w:lang w:val="fr-FR" w:eastAsia="en-US"/>
        </w:rPr>
        <w:t>lvaguardia</w:t>
      </w:r>
      <w:r w:rsidR="006A03F5" w:rsidRPr="00026030">
        <w:rPr>
          <w:rFonts w:asciiTheme="minorBidi" w:hAnsiTheme="minorBidi" w:cstheme="minorBidi"/>
          <w:b/>
          <w:bCs/>
          <w:snapToGrid/>
          <w:color w:val="3366FF"/>
          <w:sz w:val="24"/>
          <w:lang w:val="fr-FR" w:eastAsia="en-US"/>
        </w:rPr>
        <w:t xml:space="preserve"> </w:t>
      </w:r>
    </w:p>
    <w:p w14:paraId="6C761382" w14:textId="08FD1BBD" w:rsidR="00FC6098" w:rsidRPr="00026030" w:rsidRDefault="00FC6098" w:rsidP="00FC6098">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fr-FR" w:eastAsia="en-US"/>
        </w:rPr>
      </w:pPr>
      <w:r w:rsidRPr="00026030">
        <w:rPr>
          <w:rFonts w:asciiTheme="minorBidi" w:hAnsiTheme="minorBidi" w:cstheme="minorBidi"/>
          <w:b/>
          <w:bCs/>
          <w:snapToGrid/>
          <w:sz w:val="24"/>
          <w:lang w:val="fr-FR" w:eastAsia="en-US"/>
        </w:rPr>
        <w:t>1 hora y 30 minutos</w:t>
      </w:r>
    </w:p>
    <w:p w14:paraId="5E35BD21" w14:textId="77777777" w:rsidR="00F35355" w:rsidRPr="00026030" w:rsidRDefault="0074397D"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026030">
        <w:rPr>
          <w:snapToGrid/>
          <w:sz w:val="20"/>
          <w:lang w:val="fr-FR"/>
        </w:rPr>
        <w:t>Los ejercicios de simulación pueden resultar útiles en los talleres, pero requieren una considerable preparación por parte del facilitador para que culminen con éxito. Se deben adaptar al contexto y la experiencia de los participantes, y se tienen que planear cuidadosamente para obtener resultados específicos vinculados al tema del taller. Pueden servir para profundizar la comprensión de los participantes sobre las posiciones y debates observados sobre el terreno, y también sobre la forma de potenciar los resultados beneficiosos de las interacciones (positivas o negativas) entre las diferentes partes interesadas que intervienen en la aplicación de la Convención</w:t>
      </w:r>
      <w:r w:rsidR="00F35355" w:rsidRPr="00026030">
        <w:rPr>
          <w:snapToGrid/>
          <w:sz w:val="20"/>
          <w:lang w:val="fr-FR"/>
        </w:rPr>
        <w:t xml:space="preserve">. </w:t>
      </w:r>
    </w:p>
    <w:p w14:paraId="4EA57281" w14:textId="77777777" w:rsidR="00DA4B9D" w:rsidRPr="00026030" w:rsidRDefault="00BF4ACC"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026030">
        <w:rPr>
          <w:snapToGrid/>
          <w:sz w:val="20"/>
          <w:lang w:val="fr-FR"/>
        </w:rPr>
        <w:t>El siguiente ejercicio de simulación es tan s</w:t>
      </w:r>
      <w:r w:rsidR="00FF28DA" w:rsidRPr="00026030">
        <w:rPr>
          <w:snapToGrid/>
          <w:sz w:val="20"/>
          <w:lang w:val="fr-FR"/>
        </w:rPr>
        <w:t>o</w:t>
      </w:r>
      <w:r w:rsidRPr="00026030">
        <w:rPr>
          <w:snapToGrid/>
          <w:sz w:val="20"/>
          <w:lang w:val="fr-FR"/>
        </w:rPr>
        <w:t>lo una sugerencia y, por lo tanto, el facilitador puede adaptarlo. Los papeles propuestos para las partes interesadas también se pueden modificar en función del elemento del PCI escogido para el debate, de la formación previa de los participantes y de sus centros de interés</w:t>
      </w:r>
      <w:r w:rsidR="00DA4B9D" w:rsidRPr="00026030">
        <w:rPr>
          <w:snapToGrid/>
          <w:sz w:val="20"/>
          <w:lang w:val="fr-FR"/>
        </w:rPr>
        <w:t xml:space="preserve">. </w:t>
      </w:r>
    </w:p>
    <w:p w14:paraId="3C269EB2" w14:textId="77777777" w:rsidR="00DA4B9D" w:rsidRPr="00026030" w:rsidRDefault="0074397D"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b/>
          <w:bCs/>
          <w:i/>
          <w:iCs/>
          <w:snapToGrid/>
          <w:sz w:val="20"/>
          <w:lang w:val="fr-FR"/>
        </w:rPr>
      </w:pPr>
      <w:r w:rsidRPr="00026030">
        <w:rPr>
          <w:b/>
          <w:bCs/>
          <w:i/>
          <w:iCs/>
          <w:snapToGrid/>
          <w:sz w:val="20"/>
          <w:lang w:val="fr-FR"/>
        </w:rPr>
        <w:t>Ejercicio propuesto</w:t>
      </w:r>
    </w:p>
    <w:p w14:paraId="30A2F8B8" w14:textId="77777777" w:rsidR="00DA4B9D" w:rsidRPr="00026030" w:rsidRDefault="00BF4ACC"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026030">
        <w:rPr>
          <w:snapToGrid/>
          <w:sz w:val="20"/>
          <w:lang w:val="fr-FR"/>
        </w:rPr>
        <w:t>Este ejercicio simula una reunión que tiene por objeto evaluar la disposición de una comunidad a apoyar la idea de salvaguardar un elemento de su PCI con asistencia externa.</w:t>
      </w:r>
    </w:p>
    <w:p w14:paraId="772C6D74" w14:textId="77777777" w:rsidR="00F35355" w:rsidRPr="00026030" w:rsidRDefault="00BF4ACC"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026030">
        <w:rPr>
          <w:snapToGrid/>
          <w:sz w:val="20"/>
          <w:lang w:val="fr-FR"/>
        </w:rPr>
        <w:t xml:space="preserve">La simulación puede ayudar a los participantes en el taller a profundizar más su conocimiento de los factores que influyen en las actitudes de los miembros de la comunidad con respecto a la </w:t>
      </w:r>
      <w:r w:rsidRPr="00026030">
        <w:rPr>
          <w:snapToGrid/>
          <w:sz w:val="20"/>
          <w:lang w:val="fr-FR"/>
        </w:rPr>
        <w:lastRenderedPageBreak/>
        <w:t xml:space="preserve">salvaguardia de su PCI y en sus interacciones con otras partes interesadas. Asimismo, puede ayudar a los participantes a reflexionar sobre las actitudes y motivaciones de las demás partes interesadas en </w:t>
      </w:r>
      <w:r w:rsidR="007E2EBF" w:rsidRPr="00026030">
        <w:rPr>
          <w:snapToGrid/>
          <w:sz w:val="20"/>
          <w:lang w:val="fr-FR"/>
        </w:rPr>
        <w:t>el proceso de salvaguardia</w:t>
      </w:r>
      <w:r w:rsidR="008C39E6" w:rsidRPr="00026030">
        <w:rPr>
          <w:snapToGrid/>
          <w:sz w:val="20"/>
          <w:lang w:val="fr-FR"/>
        </w:rPr>
        <w:t>.</w:t>
      </w:r>
    </w:p>
    <w:p w14:paraId="7E6FE755" w14:textId="77777777" w:rsidR="00DA4B9D" w:rsidRPr="00026030" w:rsidRDefault="00BF4ACC"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026030">
        <w:rPr>
          <w:snapToGrid/>
          <w:sz w:val="20"/>
          <w:lang w:val="fr-FR"/>
        </w:rPr>
        <w:t>Antes de iniciar la simulación, el facilitador debe informar a los participantes sobre la índole y viabilidad del elemento del PCI seleccionado para el ejercicio y asignar</w:t>
      </w:r>
      <w:r w:rsidR="007E2EBF" w:rsidRPr="00026030">
        <w:rPr>
          <w:snapToGrid/>
          <w:sz w:val="20"/>
          <w:lang w:val="fr-FR"/>
        </w:rPr>
        <w:t xml:space="preserve"> a todos ellos </w:t>
      </w:r>
      <w:r w:rsidRPr="00026030">
        <w:rPr>
          <w:snapToGrid/>
          <w:sz w:val="20"/>
          <w:lang w:val="fr-FR"/>
        </w:rPr>
        <w:t>los papeles que van a desempeñar. A cada uno de los dos grupos que van a intervenir (uno integrado por los miembros de la comunidad y otro por las demás partes interesadas) puede darles unos 30 minutos para que se preparen</w:t>
      </w:r>
      <w:r w:rsidR="00DA4B9D" w:rsidRPr="00026030">
        <w:rPr>
          <w:snapToGrid/>
          <w:sz w:val="20"/>
          <w:lang w:val="fr-FR"/>
        </w:rPr>
        <w:t xml:space="preserve">. </w:t>
      </w:r>
    </w:p>
    <w:p w14:paraId="260AB32C" w14:textId="77777777" w:rsidR="00DA4B9D" w:rsidRPr="00026030" w:rsidRDefault="00BF4ACC"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026030">
        <w:rPr>
          <w:snapToGrid/>
          <w:sz w:val="20"/>
          <w:lang w:val="fr-FR"/>
        </w:rPr>
        <w:t xml:space="preserve">Se </w:t>
      </w:r>
      <w:r w:rsidR="00CD4392" w:rsidRPr="00026030">
        <w:rPr>
          <w:snapToGrid/>
          <w:sz w:val="20"/>
          <w:lang w:val="fr-FR"/>
        </w:rPr>
        <w:t>señala</w:t>
      </w:r>
      <w:r w:rsidRPr="00026030">
        <w:rPr>
          <w:snapToGrid/>
          <w:sz w:val="20"/>
          <w:lang w:val="fr-FR"/>
        </w:rPr>
        <w:t xml:space="preserve"> a los participantes que la reunión simulada</w:t>
      </w:r>
      <w:r w:rsidR="00CD4392" w:rsidRPr="00026030">
        <w:rPr>
          <w:snapToGrid/>
          <w:sz w:val="20"/>
          <w:lang w:val="fr-FR"/>
        </w:rPr>
        <w:t xml:space="preserve"> que se va a celebrar se supone que ha sido convocada por la administración provincial competente </w:t>
      </w:r>
      <w:r w:rsidRPr="00026030">
        <w:rPr>
          <w:snapToGrid/>
          <w:sz w:val="20"/>
          <w:lang w:val="fr-FR"/>
        </w:rPr>
        <w:t xml:space="preserve">para </w:t>
      </w:r>
      <w:r w:rsidR="00CD4392" w:rsidRPr="00026030">
        <w:rPr>
          <w:snapToGrid/>
          <w:sz w:val="20"/>
          <w:lang w:val="fr-FR"/>
        </w:rPr>
        <w:t>examinar</w:t>
      </w:r>
      <w:r w:rsidRPr="00026030">
        <w:rPr>
          <w:snapToGrid/>
          <w:sz w:val="20"/>
          <w:lang w:val="fr-FR"/>
        </w:rPr>
        <w:t xml:space="preserve"> </w:t>
      </w:r>
      <w:r w:rsidR="00CD4392" w:rsidRPr="00026030">
        <w:rPr>
          <w:snapToGrid/>
          <w:sz w:val="20"/>
          <w:lang w:val="fr-FR"/>
        </w:rPr>
        <w:t xml:space="preserve">un orden del día que comprende </w:t>
      </w:r>
      <w:r w:rsidRPr="00026030">
        <w:rPr>
          <w:snapToGrid/>
          <w:sz w:val="20"/>
          <w:lang w:val="fr-FR"/>
        </w:rPr>
        <w:t>las siguientes cuestiones</w:t>
      </w:r>
      <w:r w:rsidR="00DA4B9D" w:rsidRPr="00026030">
        <w:rPr>
          <w:snapToGrid/>
          <w:sz w:val="20"/>
          <w:lang w:val="fr-FR"/>
        </w:rPr>
        <w:t>:</w:t>
      </w:r>
    </w:p>
    <w:p w14:paraId="03886C3D" w14:textId="77777777" w:rsidR="00DA4B9D" w:rsidRPr="00026030" w:rsidRDefault="00CD4392" w:rsidP="00FC6098">
      <w:pPr>
        <w:widowControl w:val="0"/>
        <w:numPr>
          <w:ilvl w:val="0"/>
          <w:numId w:val="162"/>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S</w:t>
      </w:r>
      <w:r w:rsidR="00BF4ACC" w:rsidRPr="00026030">
        <w:rPr>
          <w:snapToGrid/>
          <w:sz w:val="20"/>
          <w:lang w:val="fr-FR"/>
        </w:rPr>
        <w:t>i los miembros de la comunidad representada en la reunión consideran</w:t>
      </w:r>
      <w:r w:rsidR="000A3A91" w:rsidRPr="00026030">
        <w:rPr>
          <w:snapToGrid/>
          <w:sz w:val="20"/>
          <w:lang w:val="fr-FR"/>
        </w:rPr>
        <w:t xml:space="preserve"> que</w:t>
      </w:r>
      <w:r w:rsidR="00BF4ACC" w:rsidRPr="00026030">
        <w:rPr>
          <w:snapToGrid/>
          <w:sz w:val="20"/>
          <w:lang w:val="fr-FR"/>
        </w:rPr>
        <w:t xml:space="preserve"> </w:t>
      </w:r>
      <w:r w:rsidR="000A3A91" w:rsidRPr="00026030">
        <w:rPr>
          <w:snapToGrid/>
          <w:sz w:val="20"/>
          <w:lang w:val="fr-FR"/>
        </w:rPr>
        <w:t xml:space="preserve">la salvaguardia del elemento del PCI es </w:t>
      </w:r>
      <w:r w:rsidR="00BF4ACC" w:rsidRPr="00026030">
        <w:rPr>
          <w:snapToGrid/>
          <w:sz w:val="20"/>
          <w:lang w:val="fr-FR"/>
        </w:rPr>
        <w:t>necesaria y deseable</w:t>
      </w:r>
      <w:r w:rsidR="00DA4B9D" w:rsidRPr="00026030">
        <w:rPr>
          <w:snapToGrid/>
          <w:sz w:val="20"/>
          <w:lang w:val="fr-FR"/>
        </w:rPr>
        <w:t>;</w:t>
      </w:r>
    </w:p>
    <w:p w14:paraId="23AD1E0E" w14:textId="77777777" w:rsidR="00DA4B9D" w:rsidRPr="00026030" w:rsidRDefault="00CD4392" w:rsidP="00FC6098">
      <w:pPr>
        <w:widowControl w:val="0"/>
        <w:numPr>
          <w:ilvl w:val="0"/>
          <w:numId w:val="162"/>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C</w:t>
      </w:r>
      <w:r w:rsidR="00BF4ACC" w:rsidRPr="00026030">
        <w:rPr>
          <w:snapToGrid/>
          <w:sz w:val="20"/>
          <w:lang w:val="fr-FR"/>
        </w:rPr>
        <w:t xml:space="preserve">ómo se podrían </w:t>
      </w:r>
      <w:r w:rsidR="000A3A91" w:rsidRPr="00026030">
        <w:rPr>
          <w:snapToGrid/>
          <w:sz w:val="20"/>
          <w:lang w:val="fr-FR"/>
        </w:rPr>
        <w:t>recoger mejor y tener más en cuenta</w:t>
      </w:r>
      <w:r w:rsidR="00BF4ACC" w:rsidRPr="00026030">
        <w:rPr>
          <w:snapToGrid/>
          <w:sz w:val="20"/>
          <w:lang w:val="fr-FR"/>
        </w:rPr>
        <w:t xml:space="preserve"> las opiniones de los demás miembros de la comunidad sobre este tema y cómo se podrían elaborar medidas para salvaguardar el elemento seleccionado; y</w:t>
      </w:r>
    </w:p>
    <w:p w14:paraId="4366B3E9" w14:textId="77777777" w:rsidR="00DA4B9D" w:rsidRPr="00026030" w:rsidRDefault="00CD4392" w:rsidP="00FC6098">
      <w:pPr>
        <w:widowControl w:val="0"/>
        <w:numPr>
          <w:ilvl w:val="0"/>
          <w:numId w:val="162"/>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S</w:t>
      </w:r>
      <w:r w:rsidR="00BF4ACC" w:rsidRPr="00026030">
        <w:rPr>
          <w:snapToGrid/>
          <w:sz w:val="20"/>
          <w:lang w:val="fr-FR"/>
        </w:rPr>
        <w:t xml:space="preserve">i la comunidad </w:t>
      </w:r>
      <w:r w:rsidR="007E2EBF" w:rsidRPr="00026030">
        <w:rPr>
          <w:snapToGrid/>
          <w:sz w:val="20"/>
          <w:lang w:val="fr-FR"/>
        </w:rPr>
        <w:t>debe</w:t>
      </w:r>
      <w:r w:rsidR="00BF4ACC" w:rsidRPr="00026030">
        <w:rPr>
          <w:snapToGrid/>
          <w:sz w:val="20"/>
          <w:lang w:val="fr-FR"/>
        </w:rPr>
        <w:t xml:space="preserve"> apoyar los esf</w:t>
      </w:r>
      <w:r w:rsidR="007E2EBF" w:rsidRPr="00026030">
        <w:rPr>
          <w:snapToGrid/>
          <w:sz w:val="20"/>
          <w:lang w:val="fr-FR"/>
        </w:rPr>
        <w:t xml:space="preserve">uerzos del gobierno encaminados </w:t>
      </w:r>
      <w:r w:rsidR="00BF4ACC" w:rsidRPr="00026030">
        <w:rPr>
          <w:snapToGrid/>
          <w:sz w:val="20"/>
          <w:lang w:val="fr-FR"/>
        </w:rPr>
        <w:t>a obtener asistencia financiera del Fondo para la Salvaguardia del Patrimonio Cultural Inmaterial, con vistas a aplicar las medidas de salvaguardia</w:t>
      </w:r>
      <w:r w:rsidR="00DA4B9D" w:rsidRPr="00026030">
        <w:rPr>
          <w:snapToGrid/>
          <w:sz w:val="20"/>
          <w:lang w:val="fr-FR"/>
        </w:rPr>
        <w:t>.</w:t>
      </w:r>
    </w:p>
    <w:p w14:paraId="5610CDA8" w14:textId="77777777" w:rsidR="00DA4B9D" w:rsidRPr="00026030" w:rsidRDefault="008356CD"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z w:val="20"/>
          <w:szCs w:val="20"/>
          <w:lang w:val="fr-FR"/>
        </w:rPr>
      </w:pPr>
      <w:r w:rsidRPr="00026030">
        <w:rPr>
          <w:sz w:val="20"/>
          <w:szCs w:val="20"/>
          <w:lang w:val="fr-FR"/>
        </w:rPr>
        <w:t>Se puede partir del supuesto de que la reunión es posterior a la realización de un programa de sensibilización, en el transcurso del cual se ha informado a los miembros de la comunidad acerca de la Convención y de las repercusiones que tiene el hecho de salvaguardar un elemento del PCI en el marco de la aplicación de este instrumento normativo</w:t>
      </w:r>
      <w:r w:rsidR="007E2EBF" w:rsidRPr="00026030">
        <w:rPr>
          <w:sz w:val="20"/>
          <w:szCs w:val="20"/>
          <w:lang w:val="fr-FR"/>
        </w:rPr>
        <w:t>.</w:t>
      </w:r>
      <w:r w:rsidRPr="00026030">
        <w:rPr>
          <w:sz w:val="20"/>
          <w:szCs w:val="20"/>
          <w:lang w:val="fr-FR"/>
        </w:rPr>
        <w:t xml:space="preserve"> </w:t>
      </w:r>
      <w:r w:rsidR="00947376" w:rsidRPr="00026030">
        <w:rPr>
          <w:sz w:val="20"/>
          <w:szCs w:val="20"/>
          <w:lang w:val="fr-FR"/>
        </w:rPr>
        <w:t>El facilitador, que representa el papel de director de la administración provincial encargada de la cultura y el patrimonio, preside la reunión. Una vez finalizada la simulación –y bajo la dirección del facilitador– se puede pedir a los participantes que evalúen la reunión y analicen las enseñanzas que han sacado del ejercicio</w:t>
      </w:r>
      <w:r w:rsidR="00DA4B9D" w:rsidRPr="00026030">
        <w:rPr>
          <w:sz w:val="20"/>
          <w:szCs w:val="20"/>
          <w:lang w:val="fr-FR"/>
        </w:rPr>
        <w:t>.</w:t>
      </w:r>
    </w:p>
    <w:p w14:paraId="5DAE81F7" w14:textId="77777777" w:rsidR="00DA4B9D" w:rsidRPr="00026030" w:rsidRDefault="00BF4ACC"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b/>
          <w:bCs/>
          <w:i/>
          <w:iCs/>
          <w:snapToGrid/>
          <w:sz w:val="20"/>
          <w:lang w:val="fr-FR"/>
        </w:rPr>
      </w:pPr>
      <w:r w:rsidRPr="00026030">
        <w:rPr>
          <w:b/>
          <w:bCs/>
          <w:i/>
          <w:iCs/>
          <w:snapToGrid/>
          <w:sz w:val="20"/>
          <w:lang w:val="fr-FR"/>
        </w:rPr>
        <w:t>El elemento</w:t>
      </w:r>
    </w:p>
    <w:p w14:paraId="0ABCDC11" w14:textId="77777777" w:rsidR="00874DA1" w:rsidRPr="00026030" w:rsidRDefault="00947376"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b/>
          <w:bCs/>
          <w:i/>
          <w:iCs/>
          <w:sz w:val="20"/>
          <w:szCs w:val="20"/>
          <w:lang w:val="fr-FR"/>
        </w:rPr>
      </w:pPr>
      <w:r w:rsidRPr="00026030">
        <w:rPr>
          <w:sz w:val="20"/>
          <w:szCs w:val="20"/>
          <w:lang w:val="fr-FR"/>
        </w:rPr>
        <w:t xml:space="preserve">Se puede escoger el elemento del PCI que mejor se adapte a la experiencia de los participantes. De no ser así, se puede seleccionar </w:t>
      </w:r>
      <w:r w:rsidR="00D1570F" w:rsidRPr="00026030">
        <w:rPr>
          <w:sz w:val="20"/>
          <w:szCs w:val="20"/>
          <w:lang w:val="fr-FR"/>
        </w:rPr>
        <w:t>una fiesta</w:t>
      </w:r>
      <w:r w:rsidRPr="00026030">
        <w:rPr>
          <w:sz w:val="20"/>
          <w:szCs w:val="20"/>
          <w:lang w:val="fr-FR"/>
        </w:rPr>
        <w:t xml:space="preserve"> con danzas y canciones que se viene celebrando al final de la cosecha en una comunidad rural</w:t>
      </w:r>
      <w:r w:rsidR="00D1570F" w:rsidRPr="00026030">
        <w:rPr>
          <w:sz w:val="20"/>
          <w:szCs w:val="20"/>
          <w:lang w:val="fr-FR"/>
        </w:rPr>
        <w:t xml:space="preserve"> desde muchas g</w:t>
      </w:r>
      <w:r w:rsidRPr="00026030">
        <w:rPr>
          <w:sz w:val="20"/>
          <w:szCs w:val="20"/>
          <w:lang w:val="fr-FR"/>
        </w:rPr>
        <w:t>eneraciones</w:t>
      </w:r>
      <w:r w:rsidR="00D1570F" w:rsidRPr="00026030">
        <w:rPr>
          <w:sz w:val="20"/>
          <w:szCs w:val="20"/>
          <w:lang w:val="fr-FR"/>
        </w:rPr>
        <w:t xml:space="preserve"> atrás</w:t>
      </w:r>
      <w:r w:rsidRPr="00026030">
        <w:rPr>
          <w:sz w:val="20"/>
          <w:szCs w:val="20"/>
          <w:lang w:val="fr-FR"/>
        </w:rPr>
        <w:t>, pero que actualmente se ve amenazad</w:t>
      </w:r>
      <w:r w:rsidR="00D1570F" w:rsidRPr="00026030">
        <w:rPr>
          <w:sz w:val="20"/>
          <w:szCs w:val="20"/>
          <w:lang w:val="fr-FR"/>
        </w:rPr>
        <w:t>a</w:t>
      </w:r>
      <w:r w:rsidRPr="00026030">
        <w:rPr>
          <w:sz w:val="20"/>
          <w:szCs w:val="20"/>
          <w:lang w:val="fr-FR"/>
        </w:rPr>
        <w:t xml:space="preserve"> por la mecanización de la agricultura, la falta de espacio y tiempo, y la migración de los jóvenes a las ciudades</w:t>
      </w:r>
      <w:r w:rsidR="00432805" w:rsidRPr="00026030">
        <w:rPr>
          <w:sz w:val="20"/>
          <w:szCs w:val="20"/>
          <w:lang w:val="fr-FR"/>
        </w:rPr>
        <w:t xml:space="preserve">. </w:t>
      </w:r>
      <w:r w:rsidRPr="00026030">
        <w:rPr>
          <w:sz w:val="20"/>
          <w:szCs w:val="20"/>
          <w:lang w:val="fr-FR"/>
        </w:rPr>
        <w:t xml:space="preserve">Ese elemento se podría incluir en un inventario del patrimonio </w:t>
      </w:r>
      <w:r w:rsidR="000A3A91" w:rsidRPr="00026030">
        <w:rPr>
          <w:sz w:val="20"/>
          <w:szCs w:val="20"/>
          <w:lang w:val="fr-FR"/>
        </w:rPr>
        <w:t xml:space="preserve">cultural </w:t>
      </w:r>
      <w:r w:rsidRPr="00026030">
        <w:rPr>
          <w:sz w:val="20"/>
          <w:szCs w:val="20"/>
          <w:lang w:val="fr-FR"/>
        </w:rPr>
        <w:t>provincial</w:t>
      </w:r>
      <w:r w:rsidR="00874DA1" w:rsidRPr="00026030">
        <w:rPr>
          <w:sz w:val="20"/>
          <w:szCs w:val="20"/>
          <w:lang w:val="fr-FR"/>
        </w:rPr>
        <w:t xml:space="preserve">. </w:t>
      </w:r>
      <w:r w:rsidR="00D1570F" w:rsidRPr="00026030">
        <w:rPr>
          <w:sz w:val="20"/>
          <w:szCs w:val="20"/>
          <w:lang w:val="fr-FR"/>
        </w:rPr>
        <w:t xml:space="preserve">Las medidas de </w:t>
      </w:r>
      <w:r w:rsidRPr="00026030">
        <w:rPr>
          <w:sz w:val="20"/>
          <w:szCs w:val="20"/>
          <w:lang w:val="fr-FR"/>
        </w:rPr>
        <w:t>salvaguardia podría</w:t>
      </w:r>
      <w:r w:rsidR="00D1570F" w:rsidRPr="00026030">
        <w:rPr>
          <w:sz w:val="20"/>
          <w:szCs w:val="20"/>
          <w:lang w:val="fr-FR"/>
        </w:rPr>
        <w:t>n consistir en</w:t>
      </w:r>
      <w:r w:rsidR="00DE6498" w:rsidRPr="00026030">
        <w:rPr>
          <w:sz w:val="20"/>
          <w:szCs w:val="20"/>
          <w:lang w:val="fr-FR"/>
        </w:rPr>
        <w:t>:</w:t>
      </w:r>
      <w:r w:rsidR="00874DA1" w:rsidRPr="00026030">
        <w:rPr>
          <w:sz w:val="20"/>
          <w:szCs w:val="20"/>
          <w:lang w:val="fr-FR"/>
        </w:rPr>
        <w:t xml:space="preserve"> </w:t>
      </w:r>
      <w:r w:rsidR="00D1570F" w:rsidRPr="00026030">
        <w:rPr>
          <w:sz w:val="20"/>
          <w:szCs w:val="20"/>
          <w:lang w:val="fr-FR"/>
        </w:rPr>
        <w:t>llevar a cabo</w:t>
      </w:r>
      <w:r w:rsidRPr="00026030">
        <w:rPr>
          <w:sz w:val="20"/>
          <w:szCs w:val="20"/>
          <w:lang w:val="fr-FR"/>
        </w:rPr>
        <w:t xml:space="preserve"> actividades de sensibilización</w:t>
      </w:r>
      <w:r w:rsidR="00DE6498" w:rsidRPr="00026030">
        <w:rPr>
          <w:sz w:val="20"/>
          <w:szCs w:val="20"/>
          <w:lang w:val="fr-FR"/>
        </w:rPr>
        <w:t>;</w:t>
      </w:r>
      <w:r w:rsidR="00874DA1" w:rsidRPr="00026030">
        <w:rPr>
          <w:sz w:val="20"/>
          <w:szCs w:val="20"/>
          <w:lang w:val="fr-FR"/>
        </w:rPr>
        <w:t xml:space="preserve"> </w:t>
      </w:r>
      <w:r w:rsidR="00D1570F" w:rsidRPr="00026030">
        <w:rPr>
          <w:sz w:val="20"/>
          <w:szCs w:val="20"/>
          <w:lang w:val="fr-FR"/>
        </w:rPr>
        <w:t>enseñar</w:t>
      </w:r>
      <w:r w:rsidRPr="00026030">
        <w:rPr>
          <w:sz w:val="20"/>
          <w:szCs w:val="20"/>
          <w:lang w:val="fr-FR"/>
        </w:rPr>
        <w:t xml:space="preserve"> las danzas y ca</w:t>
      </w:r>
      <w:r w:rsidR="00D1570F" w:rsidRPr="00026030">
        <w:rPr>
          <w:sz w:val="20"/>
          <w:szCs w:val="20"/>
          <w:lang w:val="fr-FR"/>
        </w:rPr>
        <w:t>n</w:t>
      </w:r>
      <w:r w:rsidRPr="00026030">
        <w:rPr>
          <w:sz w:val="20"/>
          <w:szCs w:val="20"/>
          <w:lang w:val="fr-FR"/>
        </w:rPr>
        <w:t>ciones a los niños de las aldeas de la comunidad interesada, mediante cursos voluntari</w:t>
      </w:r>
      <w:r w:rsidR="00ED0C44" w:rsidRPr="00026030">
        <w:rPr>
          <w:sz w:val="20"/>
          <w:szCs w:val="20"/>
          <w:lang w:val="fr-FR"/>
        </w:rPr>
        <w:t>o</w:t>
      </w:r>
      <w:r w:rsidRPr="00026030">
        <w:rPr>
          <w:sz w:val="20"/>
          <w:szCs w:val="20"/>
          <w:lang w:val="fr-FR"/>
        </w:rPr>
        <w:t xml:space="preserve">s impartidos después del horario </w:t>
      </w:r>
      <w:r w:rsidR="00D1570F" w:rsidRPr="00026030">
        <w:rPr>
          <w:sz w:val="20"/>
          <w:szCs w:val="20"/>
          <w:lang w:val="fr-FR"/>
        </w:rPr>
        <w:t>escolar</w:t>
      </w:r>
      <w:r w:rsidRPr="00026030">
        <w:rPr>
          <w:sz w:val="20"/>
          <w:szCs w:val="20"/>
          <w:lang w:val="fr-FR"/>
        </w:rPr>
        <w:t xml:space="preserve"> </w:t>
      </w:r>
      <w:r w:rsidR="00D1570F" w:rsidRPr="00026030">
        <w:rPr>
          <w:sz w:val="20"/>
          <w:szCs w:val="20"/>
          <w:lang w:val="fr-FR"/>
        </w:rPr>
        <w:t>habitual</w:t>
      </w:r>
      <w:r w:rsidR="00DE6498" w:rsidRPr="00026030">
        <w:rPr>
          <w:sz w:val="20"/>
          <w:szCs w:val="20"/>
          <w:lang w:val="fr-FR"/>
        </w:rPr>
        <w:t>;</w:t>
      </w:r>
      <w:r w:rsidR="00874DA1" w:rsidRPr="00026030">
        <w:rPr>
          <w:sz w:val="20"/>
          <w:szCs w:val="20"/>
          <w:lang w:val="fr-FR"/>
        </w:rPr>
        <w:t xml:space="preserve"> </w:t>
      </w:r>
      <w:r w:rsidR="00D1570F" w:rsidRPr="00026030">
        <w:rPr>
          <w:sz w:val="20"/>
          <w:szCs w:val="20"/>
          <w:lang w:val="fr-FR"/>
        </w:rPr>
        <w:t>promover el elemento en los folletos de información destinados a los turistas</w:t>
      </w:r>
      <w:r w:rsidR="00DE6498" w:rsidRPr="00026030">
        <w:rPr>
          <w:sz w:val="20"/>
          <w:szCs w:val="20"/>
          <w:lang w:val="fr-FR"/>
        </w:rPr>
        <w:t>;</w:t>
      </w:r>
      <w:r w:rsidR="00874DA1" w:rsidRPr="00026030">
        <w:rPr>
          <w:sz w:val="20"/>
          <w:szCs w:val="20"/>
          <w:lang w:val="fr-FR"/>
        </w:rPr>
        <w:t xml:space="preserve"> </w:t>
      </w:r>
      <w:r w:rsidR="00D1570F" w:rsidRPr="00026030">
        <w:rPr>
          <w:sz w:val="20"/>
          <w:szCs w:val="20"/>
          <w:lang w:val="fr-FR"/>
        </w:rPr>
        <w:t>remunerar a los músicos que participan en el festejo</w:t>
      </w:r>
      <w:r w:rsidR="00DE6498" w:rsidRPr="00026030">
        <w:rPr>
          <w:sz w:val="20"/>
          <w:szCs w:val="20"/>
          <w:lang w:val="fr-FR"/>
        </w:rPr>
        <w:t>;</w:t>
      </w:r>
      <w:r w:rsidR="00874DA1" w:rsidRPr="00026030">
        <w:rPr>
          <w:sz w:val="20"/>
          <w:szCs w:val="20"/>
          <w:lang w:val="fr-FR"/>
        </w:rPr>
        <w:t xml:space="preserve"> </w:t>
      </w:r>
      <w:r w:rsidR="00D1570F" w:rsidRPr="00026030">
        <w:rPr>
          <w:sz w:val="20"/>
          <w:szCs w:val="20"/>
          <w:lang w:val="fr-FR"/>
        </w:rPr>
        <w:t>y</w:t>
      </w:r>
      <w:r w:rsidR="00DE6498" w:rsidRPr="00026030">
        <w:rPr>
          <w:sz w:val="20"/>
          <w:szCs w:val="20"/>
          <w:lang w:val="fr-FR"/>
        </w:rPr>
        <w:t xml:space="preserve"> </w:t>
      </w:r>
      <w:r w:rsidR="00D1570F" w:rsidRPr="00026030">
        <w:rPr>
          <w:sz w:val="20"/>
          <w:szCs w:val="20"/>
          <w:lang w:val="fr-FR"/>
        </w:rPr>
        <w:t>alentar</w:t>
      </w:r>
      <w:r w:rsidR="00874DA1" w:rsidRPr="00026030">
        <w:rPr>
          <w:sz w:val="20"/>
          <w:szCs w:val="20"/>
          <w:lang w:val="fr-FR"/>
        </w:rPr>
        <w:t xml:space="preserve"> </w:t>
      </w:r>
      <w:r w:rsidR="00D1570F" w:rsidRPr="00026030">
        <w:rPr>
          <w:sz w:val="20"/>
          <w:szCs w:val="20"/>
          <w:lang w:val="fr-FR"/>
        </w:rPr>
        <w:t>a los jóvenes de la comunidad emigrados para que</w:t>
      </w:r>
      <w:r w:rsidR="000056FD" w:rsidRPr="00026030">
        <w:rPr>
          <w:sz w:val="20"/>
          <w:szCs w:val="20"/>
          <w:lang w:val="fr-FR"/>
        </w:rPr>
        <w:t xml:space="preserve">, al final de la época de cosecha, </w:t>
      </w:r>
      <w:r w:rsidR="00D1570F" w:rsidRPr="00026030">
        <w:rPr>
          <w:sz w:val="20"/>
          <w:szCs w:val="20"/>
          <w:lang w:val="fr-FR"/>
        </w:rPr>
        <w:t>vuelvan a sus zonas rurales de origen y participen en</w:t>
      </w:r>
      <w:r w:rsidR="00CA5760" w:rsidRPr="00026030">
        <w:rPr>
          <w:sz w:val="20"/>
          <w:szCs w:val="20"/>
          <w:lang w:val="fr-FR"/>
        </w:rPr>
        <w:t xml:space="preserve"> la fiesta</w:t>
      </w:r>
      <w:r w:rsidR="00874DA1" w:rsidRPr="00026030">
        <w:rPr>
          <w:sz w:val="20"/>
          <w:szCs w:val="20"/>
          <w:lang w:val="fr-FR"/>
        </w:rPr>
        <w:t>.</w:t>
      </w:r>
    </w:p>
    <w:p w14:paraId="0A532AE8" w14:textId="77777777" w:rsidR="00DA4B9D" w:rsidRPr="00026030" w:rsidRDefault="00BF4ACC"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b/>
          <w:bCs/>
          <w:i/>
          <w:iCs/>
          <w:sz w:val="20"/>
          <w:szCs w:val="20"/>
          <w:lang w:val="fr-FR"/>
        </w:rPr>
      </w:pPr>
      <w:r w:rsidRPr="00026030">
        <w:rPr>
          <w:b/>
          <w:bCs/>
          <w:i/>
          <w:iCs/>
          <w:sz w:val="20"/>
          <w:szCs w:val="20"/>
          <w:lang w:val="fr-FR"/>
        </w:rPr>
        <w:t>Papeles de los participantes</w:t>
      </w:r>
    </w:p>
    <w:p w14:paraId="33A1B8A2" w14:textId="77777777" w:rsidR="009753CB" w:rsidRPr="00026030" w:rsidRDefault="00CA5760"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z w:val="20"/>
          <w:szCs w:val="20"/>
          <w:lang w:val="fr-FR"/>
        </w:rPr>
      </w:pPr>
      <w:r w:rsidRPr="00026030">
        <w:rPr>
          <w:sz w:val="20"/>
          <w:szCs w:val="20"/>
          <w:lang w:val="fr-FR"/>
        </w:rPr>
        <w:t xml:space="preserve">Aquí se formulan solamente propuestas. </w:t>
      </w:r>
      <w:r w:rsidRPr="00FC6098">
        <w:rPr>
          <w:sz w:val="20"/>
          <w:szCs w:val="20"/>
          <w:lang w:val="en-GB"/>
        </w:rPr>
        <w:t xml:space="preserve">En función del elemento seleccionado, el facilitador puede asignar diversos papeles. </w:t>
      </w:r>
      <w:r w:rsidRPr="00026030">
        <w:rPr>
          <w:sz w:val="20"/>
          <w:szCs w:val="20"/>
          <w:lang w:val="fr-FR"/>
        </w:rPr>
        <w:t>Se debe pedir a algunos participantes que actúen como representantes de la comunidad y a los demás se les pueden atribuir papeles para que representen a las otras partes interesadas</w:t>
      </w:r>
      <w:r w:rsidR="009753CB" w:rsidRPr="00026030">
        <w:rPr>
          <w:sz w:val="20"/>
          <w:szCs w:val="20"/>
          <w:lang w:val="fr-FR"/>
        </w:rPr>
        <w:t xml:space="preserve">. </w:t>
      </w:r>
    </w:p>
    <w:p w14:paraId="5E34FB16" w14:textId="77777777" w:rsidR="009753CB" w:rsidRPr="00026030" w:rsidRDefault="00CA5760"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z w:val="20"/>
          <w:szCs w:val="20"/>
          <w:lang w:val="fr-FR"/>
        </w:rPr>
      </w:pPr>
      <w:r w:rsidRPr="00026030">
        <w:rPr>
          <w:sz w:val="20"/>
          <w:szCs w:val="20"/>
          <w:lang w:val="fr-FR"/>
        </w:rPr>
        <w:lastRenderedPageBreak/>
        <w:t>Entre los papeles asignados a los miembros de la comunidad podrían figurar los siguientes</w:t>
      </w:r>
      <w:r w:rsidR="009753CB" w:rsidRPr="00026030">
        <w:rPr>
          <w:sz w:val="20"/>
          <w:szCs w:val="20"/>
          <w:lang w:val="fr-FR"/>
        </w:rPr>
        <w:t>:</w:t>
      </w:r>
    </w:p>
    <w:p w14:paraId="31916BD6" w14:textId="77777777" w:rsidR="005B5248" w:rsidRPr="00026030" w:rsidRDefault="00CA5760" w:rsidP="00FC6098">
      <w:pPr>
        <w:widowControl w:val="0"/>
        <w:numPr>
          <w:ilvl w:val="0"/>
          <w:numId w:val="163"/>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 xml:space="preserve">Un practicante </w:t>
      </w:r>
      <w:r w:rsidR="000A3A91" w:rsidRPr="00026030">
        <w:rPr>
          <w:snapToGrid/>
          <w:sz w:val="20"/>
          <w:lang w:val="fr-FR"/>
        </w:rPr>
        <w:t xml:space="preserve">veterano </w:t>
      </w:r>
      <w:r w:rsidRPr="00026030">
        <w:rPr>
          <w:snapToGrid/>
          <w:sz w:val="20"/>
          <w:lang w:val="fr-FR"/>
        </w:rPr>
        <w:t>del elemento del PCI</w:t>
      </w:r>
      <w:r w:rsidR="000A3A91" w:rsidRPr="00026030">
        <w:rPr>
          <w:snapToGrid/>
          <w:sz w:val="20"/>
          <w:lang w:val="fr-FR"/>
        </w:rPr>
        <w:t xml:space="preserve"> </w:t>
      </w:r>
      <w:r w:rsidRPr="00026030">
        <w:rPr>
          <w:snapToGrid/>
          <w:sz w:val="20"/>
          <w:lang w:val="fr-FR"/>
        </w:rPr>
        <w:t>que ha perdido el interés por la manifestación</w:t>
      </w:r>
      <w:r w:rsidR="00AD3652" w:rsidRPr="00026030">
        <w:rPr>
          <w:snapToGrid/>
          <w:sz w:val="20"/>
          <w:lang w:val="fr-FR"/>
        </w:rPr>
        <w:t xml:space="preserve"> </w:t>
      </w:r>
      <w:r w:rsidR="000A3A91" w:rsidRPr="00026030">
        <w:rPr>
          <w:snapToGrid/>
          <w:sz w:val="20"/>
          <w:lang w:val="fr-FR"/>
        </w:rPr>
        <w:t xml:space="preserve">y práctica </w:t>
      </w:r>
      <w:r w:rsidRPr="00026030">
        <w:rPr>
          <w:snapToGrid/>
          <w:sz w:val="20"/>
          <w:lang w:val="fr-FR"/>
        </w:rPr>
        <w:t xml:space="preserve">de </w:t>
      </w:r>
      <w:r w:rsidR="000C7778" w:rsidRPr="00026030">
        <w:rPr>
          <w:snapToGrid/>
          <w:sz w:val="20"/>
          <w:lang w:val="fr-FR"/>
        </w:rPr>
        <w:t>e</w:t>
      </w:r>
      <w:r w:rsidRPr="00026030">
        <w:rPr>
          <w:snapToGrid/>
          <w:sz w:val="20"/>
          <w:lang w:val="fr-FR"/>
        </w:rPr>
        <w:t>ste.</w:t>
      </w:r>
    </w:p>
    <w:p w14:paraId="32E2B959" w14:textId="77777777" w:rsidR="005B5248" w:rsidRPr="00026030" w:rsidRDefault="00CA5760" w:rsidP="00FC6098">
      <w:pPr>
        <w:widowControl w:val="0"/>
        <w:numPr>
          <w:ilvl w:val="0"/>
          <w:numId w:val="163"/>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Un practicante más joven del elemento que ha participado en un proyecto de documentación del elemento con un investigador.</w:t>
      </w:r>
      <w:r w:rsidR="005B5248" w:rsidRPr="00026030">
        <w:rPr>
          <w:snapToGrid/>
          <w:sz w:val="20"/>
          <w:lang w:val="fr-FR"/>
        </w:rPr>
        <w:t xml:space="preserve"> </w:t>
      </w:r>
    </w:p>
    <w:p w14:paraId="3EED658C" w14:textId="77777777" w:rsidR="005B5248" w:rsidRPr="00026030" w:rsidRDefault="00CA5760" w:rsidP="00FC6098">
      <w:pPr>
        <w:widowControl w:val="0"/>
        <w:numPr>
          <w:ilvl w:val="0"/>
          <w:numId w:val="163"/>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 xml:space="preserve">Un miembro de la comunidad descontento por la lentitud con que el gobierno presta servicios a </w:t>
      </w:r>
      <w:r w:rsidR="000C7778" w:rsidRPr="00026030">
        <w:rPr>
          <w:snapToGrid/>
          <w:sz w:val="20"/>
          <w:lang w:val="fr-FR"/>
        </w:rPr>
        <w:t>e</w:t>
      </w:r>
      <w:r w:rsidRPr="00026030">
        <w:rPr>
          <w:snapToGrid/>
          <w:sz w:val="20"/>
          <w:lang w:val="fr-FR"/>
        </w:rPr>
        <w:t>sta.</w:t>
      </w:r>
    </w:p>
    <w:p w14:paraId="345D7A03" w14:textId="77777777" w:rsidR="005B5248" w:rsidRPr="00026030" w:rsidRDefault="00CA5760" w:rsidP="00FC6098">
      <w:pPr>
        <w:widowControl w:val="0"/>
        <w:numPr>
          <w:ilvl w:val="0"/>
          <w:numId w:val="163"/>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Un maestro que trabaja en una escuela de la comunidad y considera que la práctica de las tradiciones del PCI no va a ayudar a los alumnos a abrirse paso en la vida.</w:t>
      </w:r>
    </w:p>
    <w:p w14:paraId="011E89E1" w14:textId="77777777" w:rsidR="005B5248" w:rsidRPr="00026030" w:rsidRDefault="00CA5760" w:rsidP="00FC6098">
      <w:pPr>
        <w:widowControl w:val="0"/>
        <w:numPr>
          <w:ilvl w:val="0"/>
          <w:numId w:val="163"/>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Un representante de una organización cultural de la localidad, ansioso por ver la realización del inventario del elemento.</w:t>
      </w:r>
    </w:p>
    <w:p w14:paraId="0B9C267A" w14:textId="77777777" w:rsidR="005B5248" w:rsidRPr="00026030" w:rsidRDefault="00CA5760" w:rsidP="00FC6098">
      <w:pPr>
        <w:widowControl w:val="0"/>
        <w:numPr>
          <w:ilvl w:val="0"/>
          <w:numId w:val="163"/>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Un joven interesado por la preservación de su cultura, pero preocupado por sus perspectivas de empleo en el futuro.</w:t>
      </w:r>
    </w:p>
    <w:p w14:paraId="007CD078" w14:textId="77777777" w:rsidR="005B5248" w:rsidRPr="00026030" w:rsidRDefault="00CA5760" w:rsidP="00FC6098">
      <w:pPr>
        <w:widowControl w:val="0"/>
        <w:numPr>
          <w:ilvl w:val="0"/>
          <w:numId w:val="163"/>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El propietario del hotel de la localidad, muy interesado por atraer más turistas y por presentar su candidatura al puesto de alcalde</w:t>
      </w:r>
      <w:r w:rsidR="005B5248" w:rsidRPr="00026030">
        <w:rPr>
          <w:snapToGrid/>
          <w:sz w:val="20"/>
          <w:lang w:val="fr-FR"/>
        </w:rPr>
        <w:t>.</w:t>
      </w:r>
    </w:p>
    <w:p w14:paraId="4F5648C6" w14:textId="77777777" w:rsidR="005B5248" w:rsidRPr="00026030" w:rsidRDefault="00CA5760"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z w:val="20"/>
          <w:szCs w:val="20"/>
          <w:lang w:val="fr-FR"/>
        </w:rPr>
      </w:pPr>
      <w:r w:rsidRPr="00026030">
        <w:rPr>
          <w:sz w:val="20"/>
          <w:szCs w:val="20"/>
          <w:lang w:val="fr-FR"/>
        </w:rPr>
        <w:t xml:space="preserve">Entre los papeles asignados a </w:t>
      </w:r>
      <w:r w:rsidR="008356CD" w:rsidRPr="00026030">
        <w:rPr>
          <w:sz w:val="20"/>
          <w:szCs w:val="20"/>
          <w:lang w:val="fr-FR"/>
        </w:rPr>
        <w:t>las demás partes interesadas</w:t>
      </w:r>
      <w:r w:rsidRPr="00026030">
        <w:rPr>
          <w:sz w:val="20"/>
          <w:szCs w:val="20"/>
          <w:lang w:val="fr-FR"/>
        </w:rPr>
        <w:t xml:space="preserve"> podrían figurar los siguientes</w:t>
      </w:r>
      <w:r w:rsidR="005B5248" w:rsidRPr="00026030">
        <w:rPr>
          <w:sz w:val="20"/>
          <w:szCs w:val="20"/>
          <w:lang w:val="fr-FR"/>
        </w:rPr>
        <w:t>:</w:t>
      </w:r>
    </w:p>
    <w:p w14:paraId="3C32A677" w14:textId="77777777" w:rsidR="009753CB" w:rsidRPr="00026030" w:rsidRDefault="00CA5760" w:rsidP="00FC6098">
      <w:pPr>
        <w:widowControl w:val="0"/>
        <w:numPr>
          <w:ilvl w:val="0"/>
          <w:numId w:val="164"/>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Un empleado de una ONG dedicada a fomentar el desarrollo sostenible en zonas rurales mediante la promoción de actividades culturales</w:t>
      </w:r>
      <w:r w:rsidR="0027295C" w:rsidRPr="00026030">
        <w:rPr>
          <w:snapToGrid/>
          <w:sz w:val="20"/>
          <w:lang w:val="fr-FR"/>
        </w:rPr>
        <w:t>.</w:t>
      </w:r>
    </w:p>
    <w:p w14:paraId="7E28F858" w14:textId="77777777" w:rsidR="005B5248" w:rsidRPr="00026030" w:rsidRDefault="00CA5760" w:rsidP="00FC6098">
      <w:pPr>
        <w:widowControl w:val="0"/>
        <w:numPr>
          <w:ilvl w:val="0"/>
          <w:numId w:val="164"/>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Un representante de una ONG que promueve la enseñanza artística en zonas rurales y desea que el elemento se modifique para que sea más comercializable entre los turistas.</w:t>
      </w:r>
    </w:p>
    <w:p w14:paraId="04CC555D" w14:textId="77777777" w:rsidR="009753CB" w:rsidRPr="00026030" w:rsidRDefault="00CA5760" w:rsidP="00FC6098">
      <w:pPr>
        <w:widowControl w:val="0"/>
        <w:numPr>
          <w:ilvl w:val="0"/>
          <w:numId w:val="164"/>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Un funcionario del Ministerio</w:t>
      </w:r>
      <w:r w:rsidR="0027295C" w:rsidRPr="00026030">
        <w:rPr>
          <w:snapToGrid/>
          <w:sz w:val="20"/>
          <w:lang w:val="fr-FR"/>
        </w:rPr>
        <w:t xml:space="preserve"> Nacional</w:t>
      </w:r>
      <w:r w:rsidRPr="00026030">
        <w:rPr>
          <w:snapToGrid/>
          <w:sz w:val="20"/>
          <w:lang w:val="fr-FR"/>
        </w:rPr>
        <w:t xml:space="preserve"> de Cultura interesado por potenciar la participación de la comunidad en la salvaguardia del elemento.</w:t>
      </w:r>
    </w:p>
    <w:p w14:paraId="2DF37AF9" w14:textId="77777777" w:rsidR="009753CB" w:rsidRPr="00026030" w:rsidRDefault="00CA5760" w:rsidP="00FC6098">
      <w:pPr>
        <w:widowControl w:val="0"/>
        <w:numPr>
          <w:ilvl w:val="0"/>
          <w:numId w:val="164"/>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 xml:space="preserve">Un investigador de la capital interesado </w:t>
      </w:r>
      <w:r w:rsidR="0027295C" w:rsidRPr="00026030">
        <w:rPr>
          <w:snapToGrid/>
          <w:sz w:val="20"/>
          <w:lang w:val="fr-FR"/>
        </w:rPr>
        <w:t xml:space="preserve">en </w:t>
      </w:r>
      <w:r w:rsidRPr="00026030">
        <w:rPr>
          <w:snapToGrid/>
          <w:sz w:val="20"/>
          <w:lang w:val="fr-FR"/>
        </w:rPr>
        <w:t>la confección del inventario y la realización de un trabajo de investigación sobre el elemento</w:t>
      </w:r>
      <w:r w:rsidR="005B5248" w:rsidRPr="00026030">
        <w:rPr>
          <w:snapToGrid/>
          <w:sz w:val="20"/>
          <w:lang w:val="fr-FR"/>
        </w:rPr>
        <w:t>.</w:t>
      </w:r>
    </w:p>
    <w:p w14:paraId="70C1600C" w14:textId="77777777" w:rsidR="001D0E12" w:rsidRPr="00026030" w:rsidRDefault="0093729F" w:rsidP="00FC6098">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z w:val="20"/>
          <w:szCs w:val="20"/>
          <w:lang w:val="fr-FR"/>
        </w:rPr>
      </w:pPr>
      <w:r w:rsidRPr="00026030">
        <w:rPr>
          <w:sz w:val="20"/>
          <w:szCs w:val="20"/>
          <w:lang w:val="fr-FR"/>
        </w:rPr>
        <w:t>Se pueden inventar más papeles, en función del número de participantes en el taller. Cada participante debe: dar unos cuantos argumentos que expliquen por qué presta apoyo o se opone a la idea de salvaguardar el elemento; emitir algunas opiniones sobre cuál considera la mejor forma de evaluar la opinión general de la comunidad; y tomar posición con respecto a la asistencia del gobierno, de los investigadores y de las ONG</w:t>
      </w:r>
      <w:r w:rsidR="00C0087C" w:rsidRPr="00026030">
        <w:rPr>
          <w:sz w:val="20"/>
          <w:szCs w:val="20"/>
          <w:lang w:val="fr-FR"/>
        </w:rPr>
        <w:t>.</w:t>
      </w:r>
    </w:p>
    <w:p w14:paraId="4BC0167E" w14:textId="1105C52D" w:rsidR="00FC6098" w:rsidRPr="00026030" w:rsidRDefault="00A77608" w:rsidP="001433FD">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fr-FR" w:eastAsia="en-US"/>
        </w:rPr>
      </w:pPr>
      <w:r w:rsidRPr="00FC6098">
        <w:rPr>
          <w:rFonts w:asciiTheme="minorBidi" w:hAnsiTheme="minorBidi" w:cstheme="minorBidi"/>
          <w:b/>
          <w:bCs/>
          <w:snapToGrid/>
          <w:color w:val="3366FF"/>
          <w:sz w:val="24"/>
          <w:lang w:val="fr-FR" w:eastAsia="en-US"/>
        </w:rPr>
        <w:t>Ejercicio optativo</w:t>
      </w:r>
      <w:r w:rsidR="003E297E" w:rsidRPr="00FC6098">
        <w:rPr>
          <w:rFonts w:asciiTheme="minorBidi" w:hAnsiTheme="minorBidi" w:cstheme="minorBidi"/>
          <w:b/>
          <w:bCs/>
          <w:snapToGrid/>
          <w:color w:val="3366FF"/>
          <w:sz w:val="24"/>
          <w:lang w:val="fr-FR" w:eastAsia="en-US"/>
        </w:rPr>
        <w:t xml:space="preserve"> </w:t>
      </w:r>
      <w:r w:rsidR="004534DA" w:rsidRPr="00FC6098">
        <w:rPr>
          <w:rFonts w:asciiTheme="minorBidi" w:hAnsiTheme="minorBidi" w:cstheme="minorBidi"/>
          <w:b/>
          <w:bCs/>
          <w:snapToGrid/>
          <w:color w:val="3366FF"/>
          <w:sz w:val="24"/>
          <w:lang w:val="fr-FR" w:eastAsia="en-US"/>
        </w:rPr>
        <w:t>2</w:t>
      </w:r>
      <w:r w:rsidR="003E297E" w:rsidRPr="00FC6098">
        <w:rPr>
          <w:rFonts w:asciiTheme="minorBidi" w:hAnsiTheme="minorBidi" w:cstheme="minorBidi"/>
          <w:b/>
          <w:bCs/>
          <w:snapToGrid/>
          <w:color w:val="3366FF"/>
          <w:sz w:val="24"/>
          <w:lang w:val="fr-FR" w:eastAsia="en-US"/>
        </w:rPr>
        <w:t xml:space="preserve"> – </w:t>
      </w:r>
      <w:r w:rsidRPr="00FC6098">
        <w:rPr>
          <w:rFonts w:asciiTheme="minorBidi" w:hAnsiTheme="minorBidi" w:cstheme="minorBidi"/>
          <w:b/>
          <w:bCs/>
          <w:snapToGrid/>
          <w:color w:val="3366FF"/>
          <w:sz w:val="24"/>
          <w:lang w:val="fr-FR" w:eastAsia="en-US"/>
        </w:rPr>
        <w:t xml:space="preserve">Planificación de una estrategia de argumentación destinada a promover o impedir la presentación del expediente de candidatura de un elemento </w:t>
      </w:r>
      <w:r w:rsidR="003E297E" w:rsidRPr="00FC6098">
        <w:rPr>
          <w:rFonts w:asciiTheme="minorBidi" w:hAnsiTheme="minorBidi" w:cstheme="minorBidi"/>
          <w:b/>
          <w:bCs/>
          <w:snapToGrid/>
          <w:color w:val="3366FF"/>
          <w:sz w:val="24"/>
          <w:lang w:val="fr-FR" w:eastAsia="en-US"/>
        </w:rPr>
        <w:t xml:space="preserve">para su inscripción </w:t>
      </w:r>
      <w:r w:rsidRPr="00FC6098">
        <w:rPr>
          <w:rFonts w:asciiTheme="minorBidi" w:hAnsiTheme="minorBidi" w:cstheme="minorBidi"/>
          <w:b/>
          <w:bCs/>
          <w:snapToGrid/>
          <w:color w:val="3366FF"/>
          <w:sz w:val="24"/>
          <w:lang w:val="fr-FR" w:eastAsia="en-US"/>
        </w:rPr>
        <w:t>en una de las Listas de la Convención</w:t>
      </w:r>
    </w:p>
    <w:p w14:paraId="1D7201E5" w14:textId="258D009E" w:rsidR="00FC6098" w:rsidRPr="00026030" w:rsidRDefault="00FC6098" w:rsidP="001433FD">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fr-FR" w:eastAsia="en-US"/>
        </w:rPr>
      </w:pPr>
      <w:r w:rsidRPr="00026030">
        <w:rPr>
          <w:rFonts w:asciiTheme="minorBidi" w:hAnsiTheme="minorBidi" w:cstheme="minorBidi"/>
          <w:b/>
          <w:bCs/>
          <w:snapToGrid/>
          <w:sz w:val="24"/>
          <w:lang w:val="fr-FR" w:eastAsia="en-US"/>
        </w:rPr>
        <w:t>1 hora y 30 minutos</w:t>
      </w:r>
    </w:p>
    <w:p w14:paraId="09854FD8" w14:textId="77777777" w:rsidR="00F56C99" w:rsidRPr="00026030" w:rsidRDefault="003E297E" w:rsidP="001433FD">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026030">
        <w:rPr>
          <w:snapToGrid/>
          <w:sz w:val="20"/>
          <w:lang w:val="fr-FR"/>
        </w:rPr>
        <w:t xml:space="preserve">Los miembros de una comunidad </w:t>
      </w:r>
      <w:r w:rsidR="009F507B" w:rsidRPr="00026030">
        <w:rPr>
          <w:snapToGrid/>
          <w:sz w:val="20"/>
          <w:lang w:val="fr-FR"/>
        </w:rPr>
        <w:t>pueden</w:t>
      </w:r>
      <w:r w:rsidRPr="00026030">
        <w:rPr>
          <w:snapToGrid/>
          <w:sz w:val="20"/>
          <w:lang w:val="fr-FR"/>
        </w:rPr>
        <w:t xml:space="preserve"> decidir si </w:t>
      </w:r>
      <w:r w:rsidR="000056FD" w:rsidRPr="00026030">
        <w:rPr>
          <w:snapToGrid/>
          <w:sz w:val="20"/>
          <w:lang w:val="fr-FR"/>
        </w:rPr>
        <w:t>están de acuerdo o no</w:t>
      </w:r>
      <w:r w:rsidRPr="00026030">
        <w:rPr>
          <w:snapToGrid/>
          <w:sz w:val="20"/>
          <w:lang w:val="fr-FR"/>
        </w:rPr>
        <w:t xml:space="preserve"> </w:t>
      </w:r>
      <w:r w:rsidR="000056FD" w:rsidRPr="00026030">
        <w:rPr>
          <w:snapToGrid/>
          <w:sz w:val="20"/>
          <w:lang w:val="fr-FR"/>
        </w:rPr>
        <w:t>con</w:t>
      </w:r>
      <w:r w:rsidRPr="00026030">
        <w:rPr>
          <w:snapToGrid/>
          <w:sz w:val="20"/>
          <w:lang w:val="fr-FR"/>
        </w:rPr>
        <w:t xml:space="preserve"> que se inicie un proceso de elaboración de la </w:t>
      </w:r>
      <w:r w:rsidR="006711A1" w:rsidRPr="00026030">
        <w:rPr>
          <w:snapToGrid/>
          <w:sz w:val="20"/>
          <w:lang w:val="fr-FR"/>
        </w:rPr>
        <w:t>candidatura de un elemento del PCI</w:t>
      </w:r>
      <w:r w:rsidR="009F507B" w:rsidRPr="00026030">
        <w:rPr>
          <w:snapToGrid/>
          <w:sz w:val="20"/>
          <w:lang w:val="fr-FR"/>
        </w:rPr>
        <w:t xml:space="preserve">, propuesta a iniciativa </w:t>
      </w:r>
      <w:r w:rsidR="00506041" w:rsidRPr="00026030">
        <w:rPr>
          <w:snapToGrid/>
          <w:sz w:val="20"/>
          <w:lang w:val="fr-FR"/>
        </w:rPr>
        <w:t>del Ministerio de Educación y Cultura</w:t>
      </w:r>
      <w:r w:rsidR="009F507B" w:rsidRPr="00026030">
        <w:rPr>
          <w:snapToGrid/>
          <w:sz w:val="20"/>
          <w:lang w:val="fr-FR"/>
        </w:rPr>
        <w:t>,</w:t>
      </w:r>
      <w:r w:rsidR="006711A1" w:rsidRPr="00026030">
        <w:rPr>
          <w:snapToGrid/>
          <w:sz w:val="20"/>
          <w:lang w:val="fr-FR"/>
        </w:rPr>
        <w:t xml:space="preserve"> para su inscripción en una de las Listas de la Convención</w:t>
      </w:r>
      <w:r w:rsidR="004534DA" w:rsidRPr="00026030">
        <w:rPr>
          <w:snapToGrid/>
          <w:sz w:val="20"/>
          <w:lang w:val="fr-FR"/>
        </w:rPr>
        <w:t xml:space="preserve">. </w:t>
      </w:r>
      <w:r w:rsidR="006711A1" w:rsidRPr="00026030">
        <w:rPr>
          <w:snapToGrid/>
          <w:sz w:val="20"/>
          <w:lang w:val="fr-FR"/>
        </w:rPr>
        <w:t xml:space="preserve">El escenario simulado para este ejercicio es una reunión, presidida por el gobernador de una provincia, que se celebra en la sede de una institución gubernamental de </w:t>
      </w:r>
      <w:r w:rsidR="000070AC" w:rsidRPr="00026030">
        <w:rPr>
          <w:snapToGrid/>
          <w:sz w:val="20"/>
          <w:lang w:val="fr-FR"/>
        </w:rPr>
        <w:t>e</w:t>
      </w:r>
      <w:r w:rsidR="006711A1" w:rsidRPr="00026030">
        <w:rPr>
          <w:snapToGrid/>
          <w:sz w:val="20"/>
          <w:lang w:val="fr-FR"/>
        </w:rPr>
        <w:t xml:space="preserve">sta </w:t>
      </w:r>
      <w:r w:rsidR="009F507B" w:rsidRPr="00026030">
        <w:rPr>
          <w:snapToGrid/>
          <w:sz w:val="20"/>
          <w:lang w:val="fr-FR"/>
        </w:rPr>
        <w:t>para determinar si conviene o no presentar la candidatura del elemento en cuestión</w:t>
      </w:r>
      <w:r w:rsidR="004534DA" w:rsidRPr="00026030">
        <w:rPr>
          <w:snapToGrid/>
          <w:sz w:val="20"/>
          <w:lang w:val="fr-FR"/>
        </w:rPr>
        <w:t xml:space="preserve">. </w:t>
      </w:r>
      <w:r w:rsidR="009F507B" w:rsidRPr="00026030">
        <w:rPr>
          <w:snapToGrid/>
          <w:sz w:val="20"/>
          <w:lang w:val="fr-FR"/>
        </w:rPr>
        <w:t>El facilitador tiene que proporcionar a los participantes información sobre ese elemento</w:t>
      </w:r>
      <w:r w:rsidR="000B5FFC" w:rsidRPr="00026030">
        <w:rPr>
          <w:snapToGrid/>
          <w:sz w:val="20"/>
          <w:lang w:val="fr-FR"/>
        </w:rPr>
        <w:t>, que debe ser</w:t>
      </w:r>
      <w:r w:rsidR="009F507B" w:rsidRPr="00026030">
        <w:rPr>
          <w:snapToGrid/>
          <w:sz w:val="20"/>
          <w:lang w:val="fr-FR"/>
        </w:rPr>
        <w:t xml:space="preserve">, de preferencia, uno con el que </w:t>
      </w:r>
      <w:r w:rsidR="000B5FFC" w:rsidRPr="00026030">
        <w:rPr>
          <w:snapToGrid/>
          <w:sz w:val="20"/>
          <w:lang w:val="fr-FR"/>
        </w:rPr>
        <w:t xml:space="preserve">ya </w:t>
      </w:r>
      <w:r w:rsidR="009F507B" w:rsidRPr="00026030">
        <w:rPr>
          <w:snapToGrid/>
          <w:sz w:val="20"/>
          <w:lang w:val="fr-FR"/>
        </w:rPr>
        <w:t xml:space="preserve">estén familiarizados los participantes en el taller u otro </w:t>
      </w:r>
      <w:r w:rsidR="000B5FFC" w:rsidRPr="00026030">
        <w:rPr>
          <w:snapToGrid/>
          <w:sz w:val="20"/>
          <w:lang w:val="fr-FR"/>
        </w:rPr>
        <w:t xml:space="preserve">que </w:t>
      </w:r>
      <w:r w:rsidR="009F507B" w:rsidRPr="00026030">
        <w:rPr>
          <w:snapToGrid/>
          <w:sz w:val="20"/>
          <w:lang w:val="fr-FR"/>
        </w:rPr>
        <w:t>haya sido</w:t>
      </w:r>
      <w:r w:rsidR="00A46530" w:rsidRPr="00026030">
        <w:rPr>
          <w:snapToGrid/>
          <w:sz w:val="20"/>
          <w:lang w:val="fr-FR"/>
        </w:rPr>
        <w:t xml:space="preserve"> </w:t>
      </w:r>
      <w:r w:rsidR="009F507B" w:rsidRPr="00026030">
        <w:rPr>
          <w:snapToGrid/>
          <w:sz w:val="20"/>
          <w:lang w:val="fr-FR"/>
        </w:rPr>
        <w:lastRenderedPageBreak/>
        <w:t xml:space="preserve">analizado </w:t>
      </w:r>
      <w:r w:rsidR="000B5FFC" w:rsidRPr="00026030">
        <w:rPr>
          <w:snapToGrid/>
          <w:sz w:val="20"/>
          <w:lang w:val="fr-FR"/>
        </w:rPr>
        <w:t xml:space="preserve">en el transcurso de </w:t>
      </w:r>
      <w:r w:rsidR="000070AC" w:rsidRPr="00026030">
        <w:rPr>
          <w:snapToGrid/>
          <w:sz w:val="20"/>
          <w:lang w:val="fr-FR"/>
        </w:rPr>
        <w:t>e</w:t>
      </w:r>
      <w:r w:rsidR="000B5FFC" w:rsidRPr="00026030">
        <w:rPr>
          <w:snapToGrid/>
          <w:sz w:val="20"/>
          <w:lang w:val="fr-FR"/>
        </w:rPr>
        <w:t>ste.</w:t>
      </w:r>
    </w:p>
    <w:p w14:paraId="5A54CC83" w14:textId="77777777" w:rsidR="00857FFE" w:rsidRPr="00026030" w:rsidRDefault="000B5FFC" w:rsidP="001433FD">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026030">
        <w:rPr>
          <w:snapToGrid/>
          <w:sz w:val="20"/>
          <w:lang w:val="fr-FR"/>
        </w:rPr>
        <w:t>A los participantes se les puede</w:t>
      </w:r>
      <w:r w:rsidR="00EA4DA1" w:rsidRPr="00026030">
        <w:rPr>
          <w:snapToGrid/>
          <w:sz w:val="20"/>
          <w:lang w:val="fr-FR"/>
        </w:rPr>
        <w:t>n</w:t>
      </w:r>
      <w:r w:rsidRPr="00026030">
        <w:rPr>
          <w:snapToGrid/>
          <w:sz w:val="20"/>
          <w:lang w:val="fr-FR"/>
        </w:rPr>
        <w:t xml:space="preserve"> asignar los siguiente</w:t>
      </w:r>
      <w:r w:rsidR="006D74AA" w:rsidRPr="00026030">
        <w:rPr>
          <w:snapToGrid/>
          <w:sz w:val="20"/>
          <w:lang w:val="fr-FR"/>
        </w:rPr>
        <w:t>s</w:t>
      </w:r>
      <w:r w:rsidRPr="00026030">
        <w:rPr>
          <w:snapToGrid/>
          <w:sz w:val="20"/>
          <w:lang w:val="fr-FR"/>
        </w:rPr>
        <w:t xml:space="preserve"> papeles (aunque se pueden crear otros si se estima necesario)</w:t>
      </w:r>
      <w:r w:rsidR="00857FFE" w:rsidRPr="00026030">
        <w:rPr>
          <w:snapToGrid/>
          <w:sz w:val="20"/>
          <w:lang w:val="fr-FR"/>
        </w:rPr>
        <w:t>:</w:t>
      </w:r>
      <w:r w:rsidR="004534DA" w:rsidRPr="00026030">
        <w:rPr>
          <w:snapToGrid/>
          <w:sz w:val="20"/>
          <w:lang w:val="fr-FR"/>
        </w:rPr>
        <w:t xml:space="preserve"> </w:t>
      </w:r>
    </w:p>
    <w:p w14:paraId="02369C87" w14:textId="77777777" w:rsidR="00857FFE" w:rsidRPr="00026030" w:rsidRDefault="000B5FFC" w:rsidP="001433FD">
      <w:pPr>
        <w:widowControl w:val="0"/>
        <w:numPr>
          <w:ilvl w:val="0"/>
          <w:numId w:val="161"/>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Representantes de una comunidad que desea proponer (u oponerse a) la presentación de la candidatura de un elemento específico de su PCI para inscribirlo en una de las Listas de la Convención</w:t>
      </w:r>
      <w:r w:rsidR="000070AC" w:rsidRPr="00026030">
        <w:rPr>
          <w:snapToGrid/>
          <w:sz w:val="20"/>
          <w:lang w:val="fr-FR"/>
        </w:rPr>
        <w:t>.</w:t>
      </w:r>
    </w:p>
    <w:p w14:paraId="041F9FD8" w14:textId="77777777" w:rsidR="00857FFE" w:rsidRPr="00026030" w:rsidRDefault="000B5FFC" w:rsidP="001433FD">
      <w:pPr>
        <w:widowControl w:val="0"/>
        <w:numPr>
          <w:ilvl w:val="0"/>
          <w:numId w:val="161"/>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 xml:space="preserve">Representantes de ONG, institutos de investigación y organismos oficiales interesados en llevar adelante </w:t>
      </w:r>
      <w:r w:rsidR="0093671F" w:rsidRPr="00026030">
        <w:rPr>
          <w:snapToGrid/>
          <w:sz w:val="20"/>
          <w:lang w:val="fr-FR"/>
        </w:rPr>
        <w:t>la</w:t>
      </w:r>
      <w:r w:rsidRPr="00026030">
        <w:rPr>
          <w:snapToGrid/>
          <w:sz w:val="20"/>
          <w:lang w:val="fr-FR"/>
        </w:rPr>
        <w:t xml:space="preserve"> presentación de la </w:t>
      </w:r>
      <w:r w:rsidR="0093671F" w:rsidRPr="00026030">
        <w:rPr>
          <w:snapToGrid/>
          <w:sz w:val="20"/>
          <w:lang w:val="fr-FR"/>
        </w:rPr>
        <w:t>candidatura</w:t>
      </w:r>
      <w:r w:rsidRPr="00026030">
        <w:rPr>
          <w:snapToGrid/>
          <w:sz w:val="20"/>
          <w:lang w:val="fr-FR"/>
        </w:rPr>
        <w:t xml:space="preserve"> (aunque algunos </w:t>
      </w:r>
      <w:r w:rsidR="0093671F" w:rsidRPr="00026030">
        <w:rPr>
          <w:snapToGrid/>
          <w:sz w:val="20"/>
          <w:lang w:val="fr-FR"/>
        </w:rPr>
        <w:t>puedan</w:t>
      </w:r>
      <w:r w:rsidRPr="00026030">
        <w:rPr>
          <w:snapToGrid/>
          <w:sz w:val="20"/>
          <w:lang w:val="fr-FR"/>
        </w:rPr>
        <w:t xml:space="preserve"> formular reservas</w:t>
      </w:r>
      <w:r w:rsidR="0093671F" w:rsidRPr="00026030">
        <w:rPr>
          <w:snapToGrid/>
          <w:sz w:val="20"/>
          <w:lang w:val="fr-FR"/>
        </w:rPr>
        <w:t xml:space="preserve"> sobre su conveniencia</w:t>
      </w:r>
      <w:r w:rsidRPr="00026030">
        <w:rPr>
          <w:snapToGrid/>
          <w:sz w:val="20"/>
          <w:lang w:val="fr-FR"/>
        </w:rPr>
        <w:t>)</w:t>
      </w:r>
      <w:r w:rsidR="0093671F" w:rsidRPr="00026030">
        <w:rPr>
          <w:snapToGrid/>
          <w:sz w:val="20"/>
          <w:lang w:val="fr-FR"/>
        </w:rPr>
        <w:t>.</w:t>
      </w:r>
    </w:p>
    <w:p w14:paraId="4C43C8CF" w14:textId="77777777" w:rsidR="00F56C99" w:rsidRPr="00026030" w:rsidRDefault="00EA4DA1" w:rsidP="001433FD">
      <w:pPr>
        <w:widowControl w:val="0"/>
        <w:numPr>
          <w:ilvl w:val="0"/>
          <w:numId w:val="161"/>
        </w:numPr>
        <w:pBdr>
          <w:top w:val="single" w:sz="12" w:space="6" w:color="auto" w:shadow="1"/>
          <w:left w:val="single" w:sz="12" w:space="4" w:color="auto" w:shadow="1"/>
          <w:bottom w:val="single" w:sz="12" w:space="6" w:color="auto" w:shadow="1"/>
          <w:right w:val="single" w:sz="12" w:space="4" w:color="auto" w:shadow="1"/>
        </w:pBdr>
        <w:tabs>
          <w:tab w:val="clear" w:pos="1135"/>
        </w:tabs>
        <w:spacing w:before="0" w:after="60" w:line="280" w:lineRule="exact"/>
        <w:ind w:left="470" w:right="113" w:hanging="357"/>
        <w:rPr>
          <w:snapToGrid/>
          <w:sz w:val="20"/>
          <w:lang w:val="fr-FR"/>
        </w:rPr>
      </w:pPr>
      <w:r w:rsidRPr="00026030">
        <w:rPr>
          <w:snapToGrid/>
          <w:sz w:val="20"/>
          <w:lang w:val="fr-FR"/>
        </w:rPr>
        <w:t>El gobernador de la provincia</w:t>
      </w:r>
      <w:r w:rsidR="0093671F" w:rsidRPr="00026030">
        <w:rPr>
          <w:snapToGrid/>
          <w:sz w:val="20"/>
          <w:lang w:val="fr-FR"/>
        </w:rPr>
        <w:t xml:space="preserve">, o su representante, que preside la reunión tratando de ser neutral, pero que está a favor de la presentación de la candidatura, habida cuenta de que </w:t>
      </w:r>
      <w:r w:rsidR="000070AC" w:rsidRPr="00026030">
        <w:rPr>
          <w:snapToGrid/>
          <w:sz w:val="20"/>
          <w:lang w:val="fr-FR"/>
        </w:rPr>
        <w:t>e</w:t>
      </w:r>
      <w:r w:rsidR="0093671F" w:rsidRPr="00026030">
        <w:rPr>
          <w:snapToGrid/>
          <w:sz w:val="20"/>
          <w:lang w:val="fr-FR"/>
        </w:rPr>
        <w:t>sta ha sido recomendada por el Dirección del Patrimonio</w:t>
      </w:r>
      <w:r w:rsidR="00F475AF" w:rsidRPr="00026030">
        <w:rPr>
          <w:snapToGrid/>
          <w:sz w:val="20"/>
          <w:lang w:val="fr-FR"/>
        </w:rPr>
        <w:t xml:space="preserve"> </w:t>
      </w:r>
      <w:r w:rsidR="0093671F" w:rsidRPr="00026030">
        <w:rPr>
          <w:snapToGrid/>
          <w:sz w:val="20"/>
          <w:lang w:val="fr-FR"/>
        </w:rPr>
        <w:t>del Ministerio de Educación y Cultura</w:t>
      </w:r>
      <w:r w:rsidR="00857FFE" w:rsidRPr="00026030">
        <w:rPr>
          <w:snapToGrid/>
          <w:sz w:val="20"/>
          <w:lang w:val="fr-FR"/>
        </w:rPr>
        <w:t>.</w:t>
      </w:r>
    </w:p>
    <w:p w14:paraId="5F7B8587" w14:textId="77777777" w:rsidR="00F475AF" w:rsidRPr="00026030" w:rsidRDefault="0093671F" w:rsidP="001433FD">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026030">
        <w:rPr>
          <w:snapToGrid/>
          <w:sz w:val="20"/>
          <w:lang w:val="fr-FR"/>
        </w:rPr>
        <w:t>Los participantes en el taller que desempeñan el papel de representantes de la</w:t>
      </w:r>
      <w:r w:rsidR="00A46530" w:rsidRPr="00026030">
        <w:rPr>
          <w:snapToGrid/>
          <w:sz w:val="20"/>
          <w:lang w:val="fr-FR"/>
        </w:rPr>
        <w:t xml:space="preserve"> </w:t>
      </w:r>
      <w:r w:rsidR="00126E25" w:rsidRPr="00026030">
        <w:rPr>
          <w:snapToGrid/>
          <w:sz w:val="20"/>
          <w:lang w:val="fr-FR"/>
        </w:rPr>
        <w:t xml:space="preserve">comunidad deben preparar una intervención </w:t>
      </w:r>
      <w:r w:rsidR="00BB7D99" w:rsidRPr="00026030">
        <w:rPr>
          <w:snapToGrid/>
          <w:sz w:val="20"/>
          <w:lang w:val="fr-FR"/>
        </w:rPr>
        <w:t>breve</w:t>
      </w:r>
      <w:r w:rsidR="00126E25" w:rsidRPr="00026030">
        <w:rPr>
          <w:snapToGrid/>
          <w:sz w:val="20"/>
          <w:lang w:val="fr-FR"/>
        </w:rPr>
        <w:t>, a fin de explicar por qué consideran conveniente presentar (o no) un expediente de candidatura. Si se oponen a la propuesta de candidatur</w:t>
      </w:r>
      <w:r w:rsidR="00EE699C" w:rsidRPr="00026030">
        <w:rPr>
          <w:snapToGrid/>
          <w:sz w:val="20"/>
          <w:lang w:val="fr-FR"/>
        </w:rPr>
        <w:t>a</w:t>
      </w:r>
      <w:r w:rsidR="00126E25" w:rsidRPr="00026030">
        <w:rPr>
          <w:snapToGrid/>
          <w:sz w:val="20"/>
          <w:lang w:val="fr-FR"/>
        </w:rPr>
        <w:t xml:space="preserve">, pueden exponer, por ejemplo, las inquietudes suscitadas en la comunidad por el hecho de que una mayor afluencia de turistas podría alterar los aspectos rituales del elemento del PCI o causar daños en los sitios sagrados donde </w:t>
      </w:r>
      <w:r w:rsidR="00BB7D99" w:rsidRPr="00026030">
        <w:rPr>
          <w:snapToGrid/>
          <w:sz w:val="20"/>
          <w:lang w:val="fr-FR"/>
        </w:rPr>
        <w:t>e</w:t>
      </w:r>
      <w:r w:rsidR="00126E25" w:rsidRPr="00026030">
        <w:rPr>
          <w:snapToGrid/>
          <w:sz w:val="20"/>
          <w:lang w:val="fr-FR"/>
        </w:rPr>
        <w:t>ste se practica</w:t>
      </w:r>
      <w:r w:rsidR="00EE699C" w:rsidRPr="00026030">
        <w:rPr>
          <w:snapToGrid/>
          <w:sz w:val="20"/>
          <w:lang w:val="fr-FR"/>
        </w:rPr>
        <w:t>. También pueden alegar</w:t>
      </w:r>
      <w:r w:rsidR="00A46530" w:rsidRPr="00026030">
        <w:rPr>
          <w:snapToGrid/>
          <w:sz w:val="20"/>
          <w:lang w:val="fr-FR"/>
        </w:rPr>
        <w:t xml:space="preserve"> </w:t>
      </w:r>
      <w:r w:rsidR="00EE699C" w:rsidRPr="00026030">
        <w:rPr>
          <w:snapToGrid/>
          <w:sz w:val="20"/>
          <w:lang w:val="fr-FR"/>
        </w:rPr>
        <w:t>las preocupaciones de la comunidad por el control del acceso a los conocimientos de índole secreta o sagrada entrañados por el elemento, o formular cualquier otra objeción que deseen</w:t>
      </w:r>
      <w:r w:rsidR="004534DA" w:rsidRPr="00026030">
        <w:rPr>
          <w:snapToGrid/>
          <w:sz w:val="20"/>
          <w:lang w:val="fr-FR"/>
        </w:rPr>
        <w:t xml:space="preserve">. </w:t>
      </w:r>
      <w:r w:rsidR="00EE699C" w:rsidRPr="00026030">
        <w:rPr>
          <w:snapToGrid/>
          <w:sz w:val="20"/>
          <w:lang w:val="fr-FR"/>
        </w:rPr>
        <w:t>Uno de los participantes p</w:t>
      </w:r>
      <w:r w:rsidR="00EA4DA1" w:rsidRPr="00026030">
        <w:rPr>
          <w:snapToGrid/>
          <w:sz w:val="20"/>
          <w:lang w:val="fr-FR"/>
        </w:rPr>
        <w:t>uede</w:t>
      </w:r>
      <w:r w:rsidR="00EE699C" w:rsidRPr="00026030">
        <w:rPr>
          <w:snapToGrid/>
          <w:sz w:val="20"/>
          <w:lang w:val="fr-FR"/>
        </w:rPr>
        <w:t xml:space="preserve"> sostener una opinión contraria</w:t>
      </w:r>
      <w:r w:rsidR="00DA2818" w:rsidRPr="00026030">
        <w:rPr>
          <w:snapToGrid/>
          <w:sz w:val="20"/>
          <w:lang w:val="fr-FR"/>
        </w:rPr>
        <w:t>.</w:t>
      </w:r>
    </w:p>
    <w:p w14:paraId="20BE82E2" w14:textId="77777777" w:rsidR="00404F7A" w:rsidRPr="00026030" w:rsidRDefault="00EE699C" w:rsidP="00AE50C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026030">
        <w:rPr>
          <w:snapToGrid/>
          <w:sz w:val="20"/>
          <w:lang w:val="fr-FR"/>
        </w:rPr>
        <w:t xml:space="preserve">Los que desempeñen el papel de representantes de ONG, instituciones u organismos deben preparar intervenciones breves en las que expliquen por qué consideran que se debe llevar adelante la presentación de la propuesta de candidatura (o formular reservas sobre la misma). Al </w:t>
      </w:r>
      <w:r w:rsidR="006D74AA" w:rsidRPr="00026030">
        <w:rPr>
          <w:snapToGrid/>
          <w:sz w:val="20"/>
          <w:lang w:val="fr-FR"/>
        </w:rPr>
        <w:t xml:space="preserve">mismo </w:t>
      </w:r>
      <w:r w:rsidRPr="00026030">
        <w:rPr>
          <w:snapToGrid/>
          <w:sz w:val="20"/>
          <w:lang w:val="fr-FR"/>
        </w:rPr>
        <w:t xml:space="preserve">tiempo que toman en consideración las preocupaciones de la comunidad, </w:t>
      </w:r>
      <w:r w:rsidR="006D74AA" w:rsidRPr="00026030">
        <w:rPr>
          <w:snapToGrid/>
          <w:sz w:val="20"/>
          <w:lang w:val="fr-FR"/>
        </w:rPr>
        <w:t>han de tratar de</w:t>
      </w:r>
      <w:r w:rsidRPr="00026030">
        <w:rPr>
          <w:snapToGrid/>
          <w:sz w:val="20"/>
          <w:lang w:val="fr-FR"/>
        </w:rPr>
        <w:t xml:space="preserve"> convencer a </w:t>
      </w:r>
      <w:r w:rsidR="006D74AA" w:rsidRPr="00026030">
        <w:rPr>
          <w:snapToGrid/>
          <w:sz w:val="20"/>
          <w:lang w:val="fr-FR"/>
        </w:rPr>
        <w:t>los</w:t>
      </w:r>
      <w:r w:rsidRPr="00026030">
        <w:rPr>
          <w:snapToGrid/>
          <w:sz w:val="20"/>
          <w:lang w:val="fr-FR"/>
        </w:rPr>
        <w:t xml:space="preserve"> miembros de </w:t>
      </w:r>
      <w:r w:rsidR="00BB7D99" w:rsidRPr="00026030">
        <w:rPr>
          <w:snapToGrid/>
          <w:sz w:val="20"/>
          <w:lang w:val="fr-FR"/>
        </w:rPr>
        <w:t>e</w:t>
      </w:r>
      <w:r w:rsidR="006D74AA" w:rsidRPr="00026030">
        <w:rPr>
          <w:snapToGrid/>
          <w:sz w:val="20"/>
          <w:lang w:val="fr-FR"/>
        </w:rPr>
        <w:t xml:space="preserve">sta para </w:t>
      </w:r>
      <w:r w:rsidRPr="00026030">
        <w:rPr>
          <w:snapToGrid/>
          <w:sz w:val="20"/>
          <w:lang w:val="fr-FR"/>
        </w:rPr>
        <w:t xml:space="preserve">que </w:t>
      </w:r>
      <w:r w:rsidR="006D74AA" w:rsidRPr="00026030">
        <w:rPr>
          <w:snapToGrid/>
          <w:sz w:val="20"/>
          <w:lang w:val="fr-FR"/>
        </w:rPr>
        <w:t>den su acuerdo</w:t>
      </w:r>
      <w:r w:rsidR="00A46530" w:rsidRPr="00026030">
        <w:rPr>
          <w:snapToGrid/>
          <w:sz w:val="20"/>
          <w:lang w:val="fr-FR"/>
        </w:rPr>
        <w:t xml:space="preserve"> </w:t>
      </w:r>
      <w:r w:rsidR="006D74AA" w:rsidRPr="00026030">
        <w:rPr>
          <w:snapToGrid/>
          <w:sz w:val="20"/>
          <w:lang w:val="fr-FR"/>
        </w:rPr>
        <w:t>a la propuesta que les presentan</w:t>
      </w:r>
      <w:r w:rsidRPr="00026030">
        <w:rPr>
          <w:snapToGrid/>
          <w:sz w:val="20"/>
          <w:lang w:val="fr-FR"/>
        </w:rPr>
        <w:t>.</w:t>
      </w:r>
    </w:p>
    <w:p w14:paraId="47AFCEB9" w14:textId="77777777" w:rsidR="004534DA" w:rsidRPr="00026030" w:rsidRDefault="006D74AA" w:rsidP="001433FD">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026030">
        <w:rPr>
          <w:snapToGrid/>
          <w:sz w:val="20"/>
          <w:lang w:val="fr-FR"/>
        </w:rPr>
        <w:t xml:space="preserve">Una vez preparadas las intervenciones </w:t>
      </w:r>
      <w:r w:rsidR="00F475AF" w:rsidRPr="00026030">
        <w:rPr>
          <w:snapToGrid/>
          <w:sz w:val="20"/>
          <w:lang w:val="fr-FR"/>
        </w:rPr>
        <w:t>(</w:t>
      </w:r>
      <w:r w:rsidRPr="00026030">
        <w:rPr>
          <w:snapToGrid/>
          <w:sz w:val="20"/>
          <w:lang w:val="fr-FR"/>
        </w:rPr>
        <w:t xml:space="preserve">en </w:t>
      </w:r>
      <w:r w:rsidR="00C27C1B" w:rsidRPr="00026030">
        <w:rPr>
          <w:snapToGrid/>
          <w:sz w:val="20"/>
          <w:lang w:val="fr-FR"/>
        </w:rPr>
        <w:t>3</w:t>
      </w:r>
      <w:r w:rsidR="000B7575" w:rsidRPr="00026030">
        <w:rPr>
          <w:snapToGrid/>
          <w:sz w:val="20"/>
          <w:lang w:val="fr-FR"/>
        </w:rPr>
        <w:t xml:space="preserve">0 </w:t>
      </w:r>
      <w:r w:rsidRPr="00026030">
        <w:rPr>
          <w:snapToGrid/>
          <w:sz w:val="20"/>
          <w:lang w:val="fr-FR"/>
        </w:rPr>
        <w:t>minutos como máximo</w:t>
      </w:r>
      <w:r w:rsidR="00F475AF" w:rsidRPr="00026030">
        <w:rPr>
          <w:snapToGrid/>
          <w:sz w:val="20"/>
          <w:lang w:val="fr-FR"/>
        </w:rPr>
        <w:t xml:space="preserve">), </w:t>
      </w:r>
      <w:r w:rsidRPr="00026030">
        <w:rPr>
          <w:snapToGrid/>
          <w:sz w:val="20"/>
          <w:lang w:val="fr-FR"/>
        </w:rPr>
        <w:t xml:space="preserve">se procede al simulacro de la </w:t>
      </w:r>
      <w:r w:rsidR="00A46530" w:rsidRPr="00026030">
        <w:rPr>
          <w:snapToGrid/>
          <w:sz w:val="20"/>
          <w:lang w:val="fr-FR"/>
        </w:rPr>
        <w:t>reunión</w:t>
      </w:r>
      <w:r w:rsidRPr="00026030">
        <w:rPr>
          <w:snapToGrid/>
          <w:sz w:val="20"/>
          <w:lang w:val="fr-FR"/>
        </w:rPr>
        <w:t xml:space="preserve"> propiamente dicha. El presidente da primero la palabra a los representantes de la comunidad y luego a los representantes de las ONG, instituciones y organismos</w:t>
      </w:r>
      <w:r w:rsidR="00F475AF" w:rsidRPr="00026030">
        <w:rPr>
          <w:snapToGrid/>
          <w:sz w:val="20"/>
          <w:lang w:val="fr-FR"/>
        </w:rPr>
        <w:t xml:space="preserve">. </w:t>
      </w:r>
      <w:r w:rsidR="00BB4A09" w:rsidRPr="00026030">
        <w:rPr>
          <w:snapToGrid/>
          <w:sz w:val="20"/>
          <w:lang w:val="fr-FR"/>
        </w:rPr>
        <w:t>A</w:t>
      </w:r>
      <w:r w:rsidRPr="00026030">
        <w:rPr>
          <w:snapToGrid/>
          <w:sz w:val="20"/>
          <w:lang w:val="fr-FR"/>
        </w:rPr>
        <w:t xml:space="preserve">cto seguido se celebra un debate y, después de </w:t>
      </w:r>
      <w:r w:rsidR="00BB7D99" w:rsidRPr="00026030">
        <w:rPr>
          <w:snapToGrid/>
          <w:sz w:val="20"/>
          <w:lang w:val="fr-FR"/>
        </w:rPr>
        <w:t>e</w:t>
      </w:r>
      <w:r w:rsidRPr="00026030">
        <w:rPr>
          <w:snapToGrid/>
          <w:sz w:val="20"/>
          <w:lang w:val="fr-FR"/>
        </w:rPr>
        <w:t>ste, el presidente clausurará la reunión sacando las conclusiones que se impongan</w:t>
      </w:r>
      <w:r w:rsidR="00F475AF" w:rsidRPr="00026030">
        <w:rPr>
          <w:snapToGrid/>
          <w:sz w:val="20"/>
          <w:lang w:val="fr-FR"/>
        </w:rPr>
        <w:t>.</w:t>
      </w:r>
      <w:r w:rsidR="005D4047" w:rsidRPr="00026030">
        <w:rPr>
          <w:snapToGrid/>
          <w:sz w:val="20"/>
          <w:lang w:val="fr-FR"/>
        </w:rPr>
        <w:t xml:space="preserve"> </w:t>
      </w:r>
    </w:p>
    <w:p w14:paraId="3E9A7902" w14:textId="77777777" w:rsidR="00CB573C" w:rsidRPr="00026030" w:rsidRDefault="006D74AA" w:rsidP="001433FD">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026030">
        <w:rPr>
          <w:snapToGrid/>
          <w:sz w:val="20"/>
          <w:lang w:val="fr-FR"/>
        </w:rPr>
        <w:t>Después del simulacro de reuni</w:t>
      </w:r>
      <w:r w:rsidR="00A46530" w:rsidRPr="00026030">
        <w:rPr>
          <w:snapToGrid/>
          <w:sz w:val="20"/>
          <w:lang w:val="fr-FR"/>
        </w:rPr>
        <w:t>ó</w:t>
      </w:r>
      <w:r w:rsidRPr="00026030">
        <w:rPr>
          <w:snapToGrid/>
          <w:sz w:val="20"/>
          <w:lang w:val="fr-FR"/>
        </w:rPr>
        <w:t>n</w:t>
      </w:r>
      <w:r w:rsidR="006257BF" w:rsidRPr="00026030">
        <w:rPr>
          <w:snapToGrid/>
          <w:sz w:val="20"/>
          <w:lang w:val="fr-FR"/>
        </w:rPr>
        <w:t>,</w:t>
      </w:r>
      <w:r w:rsidR="00D45F42" w:rsidRPr="00026030">
        <w:rPr>
          <w:snapToGrid/>
          <w:sz w:val="20"/>
          <w:lang w:val="fr-FR"/>
        </w:rPr>
        <w:t xml:space="preserve"> </w:t>
      </w:r>
      <w:r w:rsidR="00A46530" w:rsidRPr="00026030">
        <w:rPr>
          <w:snapToGrid/>
          <w:sz w:val="20"/>
          <w:lang w:val="fr-FR"/>
        </w:rPr>
        <w:t>el facilitador</w:t>
      </w:r>
      <w:r w:rsidRPr="00026030">
        <w:rPr>
          <w:snapToGrid/>
          <w:sz w:val="20"/>
          <w:lang w:val="fr-FR"/>
        </w:rPr>
        <w:t xml:space="preserve"> puede pedir a los </w:t>
      </w:r>
      <w:r w:rsidR="00D45F42" w:rsidRPr="00026030">
        <w:rPr>
          <w:snapToGrid/>
          <w:sz w:val="20"/>
          <w:lang w:val="fr-FR"/>
        </w:rPr>
        <w:t>participant</w:t>
      </w:r>
      <w:r w:rsidRPr="00026030">
        <w:rPr>
          <w:snapToGrid/>
          <w:sz w:val="20"/>
          <w:lang w:val="fr-FR"/>
        </w:rPr>
        <w:t>e</w:t>
      </w:r>
      <w:r w:rsidR="00D45F42" w:rsidRPr="00026030">
        <w:rPr>
          <w:snapToGrid/>
          <w:sz w:val="20"/>
          <w:lang w:val="fr-FR"/>
        </w:rPr>
        <w:t xml:space="preserve">s </w:t>
      </w:r>
      <w:r w:rsidR="00A46530" w:rsidRPr="00026030">
        <w:rPr>
          <w:snapToGrid/>
          <w:sz w:val="20"/>
          <w:lang w:val="fr-FR"/>
        </w:rPr>
        <w:t>que evalúen la reunión y que entablen un debate, bajo su dirección, sobre lo que han aprendido con la realización de este ejercicio</w:t>
      </w:r>
      <w:r w:rsidR="00D45F42" w:rsidRPr="00026030">
        <w:rPr>
          <w:snapToGrid/>
          <w:sz w:val="20"/>
          <w:lang w:val="fr-FR"/>
        </w:rPr>
        <w:t>.</w:t>
      </w:r>
      <w:bookmarkStart w:id="10" w:name="_GoBack"/>
      <w:bookmarkEnd w:id="10"/>
    </w:p>
    <w:sectPr w:rsidR="00CB573C" w:rsidRPr="00026030" w:rsidSect="009B3A94">
      <w:headerReference w:type="even" r:id="rId19"/>
      <w:headerReference w:type="default" r:id="rId20"/>
      <w:footerReference w:type="even" r:id="rId21"/>
      <w:footerReference w:type="default" r:id="rId22"/>
      <w:headerReference w:type="first" r:id="rId23"/>
      <w:footerReference w:type="first" r:id="rId24"/>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B5EA7" w14:textId="77777777" w:rsidR="00BC1F7C" w:rsidRDefault="00BC1F7C" w:rsidP="000A699C">
      <w:pPr>
        <w:spacing w:before="0" w:after="0"/>
      </w:pPr>
      <w:r>
        <w:separator/>
      </w:r>
    </w:p>
  </w:endnote>
  <w:endnote w:type="continuationSeparator" w:id="0">
    <w:p w14:paraId="1CE7B736" w14:textId="77777777" w:rsidR="00BC1F7C" w:rsidRDefault="00BC1F7C"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1E2B" w14:textId="73067E94" w:rsidR="006F62AF" w:rsidRDefault="005A43AC" w:rsidP="00B91000">
    <w:pPr>
      <w:pStyle w:val="Footer"/>
    </w:pPr>
    <w:r>
      <w:rPr>
        <w:noProof/>
        <w:lang w:val="fr-FR" w:eastAsia="zh-TW"/>
      </w:rPr>
      <w:drawing>
        <wp:anchor distT="0" distB="0" distL="114300" distR="114300" simplePos="0" relativeHeight="251804672" behindDoc="0" locked="0" layoutInCell="1" allowOverlap="1" wp14:anchorId="5B32EA73" wp14:editId="6739693B">
          <wp:simplePos x="0" y="0"/>
          <wp:positionH relativeFrom="column">
            <wp:posOffset>2533650</wp:posOffset>
          </wp:positionH>
          <wp:positionV relativeFrom="paragraph">
            <wp:posOffset>8890</wp:posOffset>
          </wp:positionV>
          <wp:extent cx="542925" cy="190500"/>
          <wp:effectExtent l="0" t="0" r="9525"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F62AF">
      <w:rPr>
        <w:noProof/>
        <w:lang w:val="fr-FR" w:eastAsia="zh-TW"/>
      </w:rPr>
      <w:drawing>
        <wp:anchor distT="0" distB="0" distL="114300" distR="114300" simplePos="0" relativeHeight="251792384" behindDoc="0" locked="0" layoutInCell="1" allowOverlap="1" wp14:anchorId="30B83D30" wp14:editId="4948F57D">
          <wp:simplePos x="0" y="0"/>
          <wp:positionH relativeFrom="column">
            <wp:posOffset>-61595</wp:posOffset>
          </wp:positionH>
          <wp:positionV relativeFrom="paragraph">
            <wp:posOffset>-220157</wp:posOffset>
          </wp:positionV>
          <wp:extent cx="827477"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6F62AF">
      <w:tab/>
    </w:r>
    <w:r w:rsidR="006F62AF">
      <w:tab/>
      <w:t>U007-v1.2-FN-ES</w:t>
    </w:r>
    <w:r w:rsidR="006F62AF" w:rsidDel="00F22FFD">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93D6" w14:textId="6BB739A8" w:rsidR="006F62AF" w:rsidRPr="007D60D5" w:rsidRDefault="005A43AC">
    <w:pPr>
      <w:pStyle w:val="Footer"/>
    </w:pPr>
    <w:r>
      <w:rPr>
        <w:noProof/>
        <w:lang w:val="fr-FR" w:eastAsia="zh-TW"/>
      </w:rPr>
      <w:drawing>
        <wp:anchor distT="0" distB="0" distL="114300" distR="114300" simplePos="0" relativeHeight="251806720" behindDoc="0" locked="0" layoutInCell="1" allowOverlap="1" wp14:anchorId="0E11882E" wp14:editId="211D0817">
          <wp:simplePos x="0" y="0"/>
          <wp:positionH relativeFrom="column">
            <wp:posOffset>2638425</wp:posOffset>
          </wp:positionH>
          <wp:positionV relativeFrom="paragraph">
            <wp:posOffset>66040</wp:posOffset>
          </wp:positionV>
          <wp:extent cx="542925" cy="190500"/>
          <wp:effectExtent l="0" t="0" r="9525" b="0"/>
          <wp:wrapTopAndBottom/>
          <wp:docPr id="22" name="Picture 2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F62AF">
      <w:rPr>
        <w:noProof/>
        <w:lang w:val="fr-FR" w:eastAsia="zh-TW"/>
      </w:rPr>
      <w:drawing>
        <wp:anchor distT="0" distB="0" distL="114300" distR="114300" simplePos="0" relativeHeight="251794432" behindDoc="0" locked="0" layoutInCell="1" allowOverlap="1" wp14:anchorId="2F87E972" wp14:editId="38D5D3C8">
          <wp:simplePos x="0" y="0"/>
          <wp:positionH relativeFrom="column">
            <wp:posOffset>4947920</wp:posOffset>
          </wp:positionH>
          <wp:positionV relativeFrom="paragraph">
            <wp:posOffset>-359499</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6F62AF">
      <w:t>U007-v1.2-FN-ES</w:t>
    </w:r>
    <w:r w:rsidR="006F62AF">
      <w:tab/>
    </w:r>
    <w:r w:rsidR="006F62AF">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39B47" w14:textId="0857AA6A" w:rsidR="006F62AF" w:rsidRDefault="005A43AC">
    <w:pPr>
      <w:pStyle w:val="Footer"/>
    </w:pPr>
    <w:r>
      <w:rPr>
        <w:noProof/>
        <w:lang w:val="fr-FR" w:eastAsia="zh-TW"/>
      </w:rPr>
      <w:drawing>
        <wp:anchor distT="0" distB="0" distL="114300" distR="114300" simplePos="0" relativeHeight="251802624" behindDoc="0" locked="0" layoutInCell="1" allowOverlap="1" wp14:anchorId="263160AD" wp14:editId="5CD9382E">
          <wp:simplePos x="0" y="0"/>
          <wp:positionH relativeFrom="column">
            <wp:posOffset>2533650</wp:posOffset>
          </wp:positionH>
          <wp:positionV relativeFrom="paragraph">
            <wp:posOffset>-635</wp:posOffset>
          </wp:positionV>
          <wp:extent cx="542925" cy="190500"/>
          <wp:effectExtent l="0" t="0" r="9525" b="0"/>
          <wp:wrapTopAndBottom/>
          <wp:docPr id="28" name="Picture 2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F62AF">
      <w:rPr>
        <w:noProof/>
        <w:lang w:val="fr-FR" w:eastAsia="zh-TW"/>
      </w:rPr>
      <w:drawing>
        <wp:anchor distT="0" distB="0" distL="114300" distR="114300" simplePos="0" relativeHeight="251790336" behindDoc="0" locked="0" layoutInCell="1" allowOverlap="1" wp14:anchorId="65427DC2" wp14:editId="6A90ED11">
          <wp:simplePos x="0" y="0"/>
          <wp:positionH relativeFrom="column">
            <wp:posOffset>4864100</wp:posOffset>
          </wp:positionH>
          <wp:positionV relativeFrom="paragraph">
            <wp:posOffset>-342375</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6F62AF">
      <w:t>U007-v1.2-FN-ES</w:t>
    </w:r>
    <w:r w:rsidR="006F62AF">
      <w:tab/>
    </w:r>
    <w:r w:rsidR="006F62A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5CC2D" w14:textId="77777777" w:rsidR="00BC1F7C" w:rsidRDefault="00BC1F7C" w:rsidP="000A699C">
      <w:pPr>
        <w:spacing w:before="0" w:after="0"/>
      </w:pPr>
      <w:r>
        <w:separator/>
      </w:r>
    </w:p>
  </w:footnote>
  <w:footnote w:type="continuationSeparator" w:id="0">
    <w:p w14:paraId="481ECFA9" w14:textId="77777777" w:rsidR="00BC1F7C" w:rsidRDefault="00BC1F7C" w:rsidP="000A699C">
      <w:pPr>
        <w:spacing w:before="0" w:after="0"/>
      </w:pPr>
      <w:r>
        <w:continuationSeparator/>
      </w:r>
    </w:p>
  </w:footnote>
  <w:footnote w:id="1">
    <w:p w14:paraId="10CF8873" w14:textId="77777777" w:rsidR="006F62AF" w:rsidRPr="00821257" w:rsidRDefault="006F62AF">
      <w:pPr>
        <w:pStyle w:val="FootnoteText"/>
        <w:rPr>
          <w:lang w:val="es-ES"/>
        </w:rPr>
      </w:pPr>
      <w:r w:rsidRPr="00821257">
        <w:rPr>
          <w:rStyle w:val="FootnoteReference"/>
          <w:szCs w:val="16"/>
          <w:vertAlign w:val="baseline"/>
          <w:lang w:val="es-ES"/>
        </w:rPr>
        <w:footnoteRef/>
      </w:r>
      <w:r w:rsidRPr="00821257">
        <w:rPr>
          <w:szCs w:val="16"/>
          <w:lang w:val="es-ES"/>
        </w:rPr>
        <w:t>.</w:t>
      </w:r>
      <w:r w:rsidRPr="00821257">
        <w:rPr>
          <w:lang w:val="es-ES"/>
        </w:rPr>
        <w:tab/>
        <w:t>Frecuentemente denominada “Convención del Patrimonio Inmaterial” o “Convención de 2003” y, a los efectos de esta unidad, simplemente “Convención”.</w:t>
      </w:r>
    </w:p>
  </w:footnote>
  <w:footnote w:id="2">
    <w:p w14:paraId="04B259E1" w14:textId="77777777" w:rsidR="006F62AF" w:rsidRPr="00821257" w:rsidRDefault="006F62AF" w:rsidP="00C94124">
      <w:pPr>
        <w:pStyle w:val="FootnoteText"/>
        <w:rPr>
          <w:lang w:val="es-ES"/>
        </w:rPr>
      </w:pPr>
      <w:r w:rsidRPr="00821257">
        <w:rPr>
          <w:rStyle w:val="FootnoteReference"/>
          <w:vertAlign w:val="baseline"/>
          <w:lang w:val="es-ES"/>
        </w:rPr>
        <w:footnoteRef/>
      </w:r>
      <w:r w:rsidRPr="00821257">
        <w:rPr>
          <w:lang w:val="es-ES"/>
        </w:rPr>
        <w:t>.</w:t>
      </w:r>
      <w:r w:rsidRPr="00821257">
        <w:rPr>
          <w:lang w:val="es-ES"/>
        </w:rPr>
        <w:tab/>
        <w:t xml:space="preserve">UNESCO, </w:t>
      </w:r>
      <w:r w:rsidRPr="00821257">
        <w:rPr>
          <w:i/>
          <w:lang w:val="es-ES"/>
        </w:rPr>
        <w:t xml:space="preserve">Textos fundamentales de la Convención para la Salvaguardia del Patrimonio Cultural Inmaterial de 2003 </w:t>
      </w:r>
      <w:r w:rsidRPr="00821257">
        <w:rPr>
          <w:lang w:val="es-ES"/>
        </w:rPr>
        <w:t>(denominados abreviadamente “Textos Fundamentales” en la presente unidad), París, UNESCO. Se pueden consultar en:</w:t>
      </w:r>
      <w:r w:rsidR="00891A2A">
        <w:rPr>
          <w:lang w:val="es-ES"/>
        </w:rPr>
        <w:t xml:space="preserve"> </w:t>
      </w:r>
      <w:r w:rsidR="00891A2A" w:rsidRPr="007F57F8">
        <w:rPr>
          <w:lang w:val="es-ES"/>
        </w:rPr>
        <w:t>http://www.unesco.org/culture/ich/index.php?lg=es&amp;pg=00503</w:t>
      </w:r>
      <w:r w:rsidRPr="00821257">
        <w:rPr>
          <w:lang w:val="es-ES"/>
        </w:rPr>
        <w:t>.</w:t>
      </w:r>
    </w:p>
  </w:footnote>
  <w:footnote w:id="3">
    <w:p w14:paraId="492EC5C2" w14:textId="77777777" w:rsidR="006F62AF" w:rsidRPr="00821257" w:rsidRDefault="006F62AF" w:rsidP="00682E42">
      <w:pPr>
        <w:pStyle w:val="FootnoteText"/>
        <w:rPr>
          <w:rFonts w:eastAsia="Calibri" w:cs="Times New Roman"/>
          <w:szCs w:val="16"/>
          <w:lang w:val="es-ES"/>
        </w:rPr>
      </w:pPr>
      <w:r w:rsidRPr="00821257">
        <w:rPr>
          <w:rStyle w:val="FootnoteReference"/>
          <w:szCs w:val="16"/>
          <w:vertAlign w:val="baseline"/>
          <w:lang w:val="es-ES"/>
        </w:rPr>
        <w:footnoteRef/>
      </w:r>
      <w:r w:rsidRPr="00821257">
        <w:rPr>
          <w:rFonts w:eastAsia="Calibri" w:cs="Times New Roman"/>
          <w:szCs w:val="16"/>
          <w:lang w:val="es-ES"/>
        </w:rPr>
        <w:t>.</w:t>
      </w:r>
      <w:r w:rsidRPr="00821257">
        <w:rPr>
          <w:rFonts w:eastAsia="Calibri" w:cs="Times New Roman"/>
          <w:szCs w:val="16"/>
          <w:lang w:val="es-ES"/>
        </w:rPr>
        <w:tab/>
      </w:r>
      <w:r w:rsidRPr="00821257">
        <w:rPr>
          <w:szCs w:val="16"/>
          <w:lang w:val="es-ES"/>
        </w:rPr>
        <w:t>Noyes, D., “The Judgment of Solomon</w:t>
      </w:r>
      <w:r w:rsidRPr="00821257">
        <w:rPr>
          <w:b/>
          <w:bCs/>
          <w:szCs w:val="16"/>
          <w:lang w:val="es-ES"/>
        </w:rPr>
        <w:t xml:space="preserve">” </w:t>
      </w:r>
      <w:r w:rsidRPr="00821257">
        <w:rPr>
          <w:bCs/>
          <w:szCs w:val="16"/>
          <w:lang w:val="es-ES"/>
        </w:rPr>
        <w:t>[El juicio de Salomón]</w:t>
      </w:r>
      <w:r w:rsidRPr="00821257">
        <w:rPr>
          <w:b/>
          <w:bCs/>
          <w:szCs w:val="16"/>
          <w:lang w:val="es-ES"/>
        </w:rPr>
        <w:t>,</w:t>
      </w:r>
      <w:r w:rsidRPr="00821257">
        <w:rPr>
          <w:szCs w:val="16"/>
          <w:lang w:val="es-ES"/>
        </w:rPr>
        <w:t xml:space="preserve"> págs. 27 a 56</w:t>
      </w:r>
      <w:r w:rsidRPr="00821257">
        <w:rPr>
          <w:rFonts w:eastAsia="Calibri" w:cs="Times New Roman"/>
          <w:szCs w:val="16"/>
          <w:lang w:val="es-ES"/>
        </w:rPr>
        <w:t>.</w:t>
      </w:r>
    </w:p>
  </w:footnote>
  <w:footnote w:id="4">
    <w:p w14:paraId="22658616" w14:textId="77777777" w:rsidR="006F62AF" w:rsidRPr="00821257" w:rsidRDefault="006F62AF" w:rsidP="00682E42">
      <w:pPr>
        <w:pStyle w:val="FootnoteText"/>
        <w:rPr>
          <w:rFonts w:eastAsia="Calibri" w:cs="Times New Roman"/>
          <w:szCs w:val="16"/>
          <w:lang w:val="es-ES"/>
        </w:rPr>
      </w:pPr>
      <w:r w:rsidRPr="00821257">
        <w:rPr>
          <w:rStyle w:val="FootnoteReference"/>
          <w:szCs w:val="16"/>
          <w:vertAlign w:val="baseline"/>
          <w:lang w:val="es-ES"/>
        </w:rPr>
        <w:footnoteRef/>
      </w:r>
      <w:r w:rsidRPr="00821257">
        <w:rPr>
          <w:rFonts w:eastAsia="Calibri" w:cs="Times New Roman"/>
          <w:szCs w:val="16"/>
          <w:lang w:val="es-ES"/>
        </w:rPr>
        <w:t>.</w:t>
      </w:r>
      <w:r w:rsidRPr="00821257">
        <w:rPr>
          <w:rFonts w:eastAsia="Calibri" w:cs="Times New Roman"/>
          <w:szCs w:val="16"/>
          <w:lang w:val="es-ES"/>
        </w:rPr>
        <w:tab/>
        <w:t xml:space="preserve">Noyes, D., </w:t>
      </w:r>
      <w:r w:rsidRPr="00821257">
        <w:rPr>
          <w:rFonts w:eastAsia="Calibri" w:cs="Times New Roman"/>
          <w:i/>
          <w:szCs w:val="16"/>
          <w:lang w:val="es-ES"/>
        </w:rPr>
        <w:t xml:space="preserve">Necessity and Freedom </w:t>
      </w:r>
      <w:r w:rsidRPr="00821257">
        <w:rPr>
          <w:rFonts w:eastAsia="Calibri" w:cs="Times New Roman"/>
          <w:szCs w:val="16"/>
          <w:lang w:val="es-ES"/>
        </w:rPr>
        <w:t>[Necesidad y libertad].</w:t>
      </w:r>
    </w:p>
  </w:footnote>
  <w:footnote w:id="5">
    <w:p w14:paraId="2BD5AEF8" w14:textId="77777777" w:rsidR="006F62AF" w:rsidRPr="00821257" w:rsidRDefault="006F62AF" w:rsidP="00682E42">
      <w:pPr>
        <w:tabs>
          <w:tab w:val="clear" w:pos="567"/>
          <w:tab w:val="left" w:pos="284"/>
        </w:tabs>
        <w:spacing w:before="60" w:after="60"/>
        <w:ind w:left="284" w:hanging="284"/>
        <w:rPr>
          <w:sz w:val="16"/>
          <w:szCs w:val="16"/>
          <w:lang w:val="es-ES"/>
        </w:rPr>
      </w:pPr>
      <w:r w:rsidRPr="00821257">
        <w:rPr>
          <w:rStyle w:val="FootnoteReference"/>
          <w:sz w:val="16"/>
          <w:szCs w:val="16"/>
          <w:vertAlign w:val="baseline"/>
          <w:lang w:val="es-ES"/>
        </w:rPr>
        <w:footnoteRef/>
      </w:r>
      <w:r w:rsidRPr="00821257">
        <w:rPr>
          <w:sz w:val="16"/>
          <w:szCs w:val="16"/>
          <w:lang w:val="es-ES"/>
        </w:rPr>
        <w:t>.</w:t>
      </w:r>
      <w:r w:rsidRPr="00821257">
        <w:rPr>
          <w:sz w:val="16"/>
          <w:szCs w:val="16"/>
          <w:lang w:val="es-ES"/>
        </w:rPr>
        <w:tab/>
        <w:t>Noyes, D., ‘The Judgment of Solomon</w:t>
      </w:r>
      <w:r w:rsidRPr="00821257">
        <w:rPr>
          <w:b/>
          <w:bCs/>
          <w:sz w:val="16"/>
          <w:szCs w:val="16"/>
          <w:lang w:val="es-ES"/>
        </w:rPr>
        <w:t xml:space="preserve">’ </w:t>
      </w:r>
      <w:r w:rsidRPr="00821257">
        <w:rPr>
          <w:bCs/>
          <w:sz w:val="16"/>
          <w:szCs w:val="16"/>
          <w:lang w:val="es-ES"/>
        </w:rPr>
        <w:t>[El juicio de Salomón]</w:t>
      </w:r>
      <w:r w:rsidRPr="00821257">
        <w:rPr>
          <w:b/>
          <w:bCs/>
          <w:sz w:val="16"/>
          <w:szCs w:val="16"/>
          <w:lang w:val="es-ES"/>
        </w:rPr>
        <w:t>,</w:t>
      </w:r>
      <w:r w:rsidRPr="00821257">
        <w:rPr>
          <w:sz w:val="16"/>
          <w:szCs w:val="16"/>
          <w:lang w:val="es-ES"/>
        </w:rPr>
        <w:t xml:space="preserve"> op.cit., págs. 27 a 56.</w:t>
      </w:r>
    </w:p>
  </w:footnote>
  <w:footnote w:id="6">
    <w:p w14:paraId="3FA623AE" w14:textId="77777777" w:rsidR="006F62AF" w:rsidRPr="00203C5A" w:rsidRDefault="006F62AF" w:rsidP="00B91000">
      <w:pPr>
        <w:pStyle w:val="FootnoteText"/>
        <w:rPr>
          <w:lang w:val="es-ES_tradnl"/>
        </w:rPr>
      </w:pPr>
      <w:r w:rsidRPr="00B91000">
        <w:rPr>
          <w:rStyle w:val="FootnoteReference"/>
          <w:vertAlign w:val="baseline"/>
        </w:rPr>
        <w:footnoteRef/>
      </w:r>
      <w:r w:rsidRPr="00203C5A">
        <w:rPr>
          <w:lang w:val="es-ES"/>
        </w:rPr>
        <w:t>.</w:t>
      </w:r>
      <w:r w:rsidRPr="00203C5A">
        <w:rPr>
          <w:lang w:val="es-ES"/>
        </w:rPr>
        <w:tab/>
        <w:t xml:space="preserve">Dutfield, G., 2009, “Prior informed consent and traditional knowledge in a multicultural world” [Consentimiento previo informado y conocimientos tradicionales en un mundo multicultural] en T. Kono (compilador) Intangible Cultural Heritage and Intellectual Property. </w:t>
      </w:r>
      <w:r w:rsidRPr="00203C5A">
        <w:rPr>
          <w:lang w:val="es-ES_tradnl"/>
        </w:rPr>
        <w:t>Communities, Cultural Diversity and Sustainable Development [Patrimonio cultural inmaterial y propiedad intelectual – Comunidades, diversidad cultural y desarrollo sostenible], Amberes-Oxford-Portland, Intersentia, pág. 182 y págs. 261 a 282.</w:t>
      </w:r>
    </w:p>
  </w:footnote>
  <w:footnote w:id="7">
    <w:p w14:paraId="63B39DE7" w14:textId="77777777" w:rsidR="006F62AF" w:rsidRPr="00821257" w:rsidRDefault="006F62AF" w:rsidP="001C3AE3">
      <w:pPr>
        <w:tabs>
          <w:tab w:val="clear" w:pos="567"/>
          <w:tab w:val="left" w:pos="284"/>
        </w:tabs>
        <w:spacing w:after="0"/>
        <w:ind w:left="284" w:hanging="284"/>
        <w:jc w:val="left"/>
        <w:rPr>
          <w:sz w:val="16"/>
          <w:szCs w:val="16"/>
          <w:lang w:val="es-ES"/>
        </w:rPr>
      </w:pPr>
      <w:r w:rsidRPr="00821257">
        <w:rPr>
          <w:rStyle w:val="FootnoteReference"/>
          <w:sz w:val="16"/>
          <w:szCs w:val="16"/>
          <w:vertAlign w:val="baseline"/>
          <w:lang w:val="es-ES"/>
        </w:rPr>
        <w:footnoteRef/>
      </w:r>
      <w:r w:rsidRPr="00821257">
        <w:rPr>
          <w:rFonts w:eastAsia="Calibri" w:cs="Times New Roman"/>
          <w:snapToGrid/>
          <w:sz w:val="16"/>
          <w:szCs w:val="16"/>
          <w:lang w:val="es-ES"/>
        </w:rPr>
        <w:t>.</w:t>
      </w:r>
      <w:r w:rsidRPr="00821257">
        <w:rPr>
          <w:rFonts w:eastAsia="Calibri" w:cs="Times New Roman"/>
          <w:snapToGrid/>
          <w:sz w:val="16"/>
          <w:szCs w:val="16"/>
          <w:lang w:val="es-ES"/>
        </w:rPr>
        <w:tab/>
        <w:t xml:space="preserve">OMPI, </w:t>
      </w:r>
      <w:r w:rsidRPr="00821257">
        <w:rPr>
          <w:rFonts w:eastAsia="Calibri"/>
          <w:bCs/>
          <w:i/>
          <w:iCs/>
          <w:snapToGrid/>
          <w:sz w:val="16"/>
          <w:szCs w:val="16"/>
          <w:lang w:val="es-ES" w:eastAsia="en-US"/>
        </w:rPr>
        <w:t>WIPO Intellectual Property Handbook: Policy, Law and Use</w:t>
      </w:r>
      <w:r w:rsidRPr="00821257">
        <w:rPr>
          <w:sz w:val="16"/>
          <w:szCs w:val="16"/>
          <w:lang w:val="es-ES"/>
        </w:rPr>
        <w:t xml:space="preserve"> [Manual de Propiedad Intelectual de la OMPI: política, legislación y uso].</w:t>
      </w:r>
    </w:p>
    <w:p w14:paraId="7CBDA2FF" w14:textId="77777777" w:rsidR="006F62AF" w:rsidRPr="00821257" w:rsidRDefault="006F62AF" w:rsidP="001C3AE3">
      <w:pPr>
        <w:pStyle w:val="FootnoteText"/>
        <w:rPr>
          <w:rFonts w:eastAsia="Calibri" w:cs="Times New Roman"/>
          <w:szCs w:val="16"/>
          <w:lang w:val="es-ES"/>
        </w:rPr>
      </w:pPr>
      <w:r w:rsidRPr="00821257">
        <w:rPr>
          <w:szCs w:val="16"/>
          <w:lang w:val="es-ES"/>
        </w:rPr>
        <w:tab/>
      </w:r>
      <w:r w:rsidR="00427FD1" w:rsidRPr="00D56834">
        <w:rPr>
          <w:szCs w:val="16"/>
          <w:lang w:val="es-ES"/>
        </w:rPr>
        <w:t>http://www.wipo.int/export/sites/www/about-ip/en/iprm/pdf/ch1.pdf</w:t>
      </w:r>
      <w:r w:rsidR="00427FD1">
        <w:rPr>
          <w:szCs w:val="16"/>
          <w:lang w:val="es-ES"/>
        </w:rPr>
        <w:t xml:space="preserve"> (en inglés)</w:t>
      </w:r>
    </w:p>
  </w:footnote>
  <w:footnote w:id="8">
    <w:p w14:paraId="1223090D" w14:textId="77777777" w:rsidR="006F62AF" w:rsidRPr="00821257" w:rsidRDefault="006F62AF" w:rsidP="001A1952">
      <w:pPr>
        <w:spacing w:after="0"/>
        <w:ind w:left="284" w:hanging="284"/>
        <w:rPr>
          <w:sz w:val="16"/>
          <w:szCs w:val="16"/>
          <w:lang w:val="es-ES"/>
        </w:rPr>
      </w:pPr>
      <w:r w:rsidRPr="00821257">
        <w:rPr>
          <w:rStyle w:val="FootnoteReference"/>
          <w:sz w:val="16"/>
          <w:szCs w:val="16"/>
          <w:vertAlign w:val="baseline"/>
          <w:lang w:val="es-ES"/>
        </w:rPr>
        <w:footnoteRef/>
      </w:r>
      <w:r w:rsidRPr="00821257">
        <w:rPr>
          <w:rFonts w:eastAsia="Calibri" w:cs="Times New Roman"/>
          <w:sz w:val="16"/>
          <w:szCs w:val="16"/>
          <w:lang w:val="es-ES"/>
        </w:rPr>
        <w:t>.</w:t>
      </w:r>
      <w:r w:rsidRPr="00821257">
        <w:rPr>
          <w:rFonts w:eastAsia="Calibri" w:cs="Times New Roman"/>
          <w:sz w:val="16"/>
          <w:szCs w:val="16"/>
          <w:vertAlign w:val="superscript"/>
          <w:lang w:val="es-ES"/>
        </w:rPr>
        <w:tab/>
      </w:r>
      <w:r w:rsidRPr="00821257">
        <w:rPr>
          <w:sz w:val="16"/>
          <w:szCs w:val="16"/>
          <w:lang w:val="es-ES"/>
        </w:rPr>
        <w:t xml:space="preserve">Vermeylen, S., 2008, “From life force to slimming aid: exploring views on the commodification of traditional medicinal knowledge” [De la fuerza de la vida a la ayuda al adelgazamiento: exploración de opiniones acerca de la mercantilización de los conocimientos medicinales tradicionales] en </w:t>
      </w:r>
      <w:r w:rsidRPr="00821257">
        <w:rPr>
          <w:i/>
          <w:sz w:val="16"/>
          <w:szCs w:val="16"/>
          <w:lang w:val="es-ES"/>
        </w:rPr>
        <w:t>Applied Geography</w:t>
      </w:r>
      <w:r w:rsidRPr="00821257">
        <w:rPr>
          <w:sz w:val="16"/>
          <w:szCs w:val="16"/>
          <w:lang w:val="es-ES"/>
        </w:rPr>
        <w:t>, Vol. 28, Nº 3, págs. 224 a 235.</w:t>
      </w:r>
    </w:p>
    <w:p w14:paraId="651EE74D" w14:textId="77777777" w:rsidR="006F62AF" w:rsidRPr="00821257" w:rsidRDefault="006F62AF" w:rsidP="001A1952">
      <w:pPr>
        <w:pStyle w:val="FootnoteText"/>
        <w:rPr>
          <w:rFonts w:eastAsia="Calibri" w:cs="Times New Roman"/>
          <w:szCs w:val="16"/>
          <w:lang w:val="es-ES"/>
        </w:rPr>
      </w:pPr>
      <w:r w:rsidRPr="00821257">
        <w:rPr>
          <w:szCs w:val="16"/>
          <w:lang w:val="es-ES"/>
        </w:rPr>
        <w:tab/>
      </w:r>
      <w:r w:rsidR="005239A0" w:rsidRPr="007F57F8">
        <w:rPr>
          <w:szCs w:val="16"/>
          <w:lang w:val="es-ES"/>
        </w:rPr>
        <w:t>http://eprints.lancs.ac.uk/28093/1/commodification_of_traditional_knowledge.pdf</w:t>
      </w:r>
      <w:r w:rsidR="005239A0" w:rsidRPr="005239A0">
        <w:rPr>
          <w:szCs w:val="16"/>
          <w:lang w:val="es-ES"/>
        </w:rPr>
        <w:t xml:space="preserve"> </w:t>
      </w:r>
      <w:r w:rsidRPr="00821257">
        <w:rPr>
          <w:szCs w:val="16"/>
          <w:lang w:val="es-ES"/>
        </w:rPr>
        <w:t>(en inglés)</w:t>
      </w:r>
    </w:p>
  </w:footnote>
  <w:footnote w:id="9">
    <w:p w14:paraId="6D9C5BEC" w14:textId="77777777" w:rsidR="006F62AF" w:rsidRPr="00203C5A" w:rsidRDefault="006F62AF" w:rsidP="00B91000">
      <w:pPr>
        <w:pStyle w:val="FootnoteText"/>
        <w:rPr>
          <w:lang w:val="fr-FR"/>
        </w:rPr>
      </w:pPr>
      <w:r w:rsidRPr="00B91000">
        <w:rPr>
          <w:rStyle w:val="FootnoteReference"/>
          <w:vertAlign w:val="baseline"/>
        </w:rPr>
        <w:footnoteRef/>
      </w:r>
      <w:r w:rsidRPr="00203C5A">
        <w:rPr>
          <w:lang w:val="fr-FR"/>
        </w:rPr>
        <w:t>.</w:t>
      </w:r>
      <w:r w:rsidRPr="00203C5A">
        <w:rPr>
          <w:lang w:val="fr-FR"/>
        </w:rPr>
        <w:tab/>
        <w:t xml:space="preserve"> Véase:</w:t>
      </w:r>
      <w:r w:rsidR="007F57F8">
        <w:rPr>
          <w:lang w:val="fr-FR"/>
        </w:rPr>
        <w:t xml:space="preserve"> </w:t>
      </w:r>
      <w:r w:rsidR="007F57F8" w:rsidRPr="007F57F8">
        <w:rPr>
          <w:lang w:val="fr-FR"/>
        </w:rPr>
        <w:t>http://www.cbd.int/abs/information-kit/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9FFD" w14:textId="60EBDB07" w:rsidR="006F62AF" w:rsidRDefault="006F62AF">
    <w:pPr>
      <w:pStyle w:val="Header"/>
    </w:pPr>
    <w:r>
      <w:rPr>
        <w:rStyle w:val="PageNumber"/>
      </w:rPr>
      <w:fldChar w:fldCharType="begin"/>
    </w:r>
    <w:r>
      <w:rPr>
        <w:rStyle w:val="PageNumber"/>
      </w:rPr>
      <w:instrText xml:space="preserve"> PAGE </w:instrText>
    </w:r>
    <w:r>
      <w:rPr>
        <w:rStyle w:val="PageNumber"/>
      </w:rPr>
      <w:fldChar w:fldCharType="separate"/>
    </w:r>
    <w:r w:rsidR="00587691">
      <w:rPr>
        <w:rStyle w:val="PageNumber"/>
        <w:noProof/>
      </w:rPr>
      <w:t>18</w:t>
    </w:r>
    <w:r>
      <w:rPr>
        <w:rStyle w:val="PageNumber"/>
      </w:rPr>
      <w:fldChar w:fldCharType="end"/>
    </w:r>
    <w:r>
      <w:rPr>
        <w:rStyle w:val="PageNumber"/>
      </w:rPr>
      <w:tab/>
    </w:r>
    <w:r>
      <w:t>Unidad 7: Participación de las comunidades interesadas</w:t>
    </w:r>
    <w: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6DC5" w14:textId="0D4F0D9D" w:rsidR="006F62AF" w:rsidRPr="004A4AD6" w:rsidRDefault="006F62AF" w:rsidP="00D25BBB">
    <w:pPr>
      <w:pStyle w:val="Header"/>
    </w:pPr>
    <w:r>
      <w:t>Notas para el Facilitador</w:t>
    </w:r>
    <w:r>
      <w:tab/>
      <w:t>Unidad 7: Participación de las comunidades interesadas</w:t>
    </w:r>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587691">
      <w:rPr>
        <w:rStyle w:val="PageNumber"/>
        <w:noProof/>
      </w:rPr>
      <w:t>19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05EBB" w14:textId="77777777" w:rsidR="006F62AF" w:rsidRDefault="006F62AF" w:rsidP="009A3933">
    <w:pPr>
      <w:pStyle w:val="Header"/>
      <w:ind w:right="360"/>
    </w:pPr>
    <w:r>
      <w:tab/>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95AB6"/>
    <w:multiLevelType w:val="hybridMultilevel"/>
    <w:tmpl w:val="83E8FAE8"/>
    <w:lvl w:ilvl="0" w:tplc="062E608E">
      <w:start w:val="1"/>
      <w:numFmt w:val="bullet"/>
      <w:lvlText w:val="•"/>
      <w:lvlJc w:val="left"/>
      <w:pPr>
        <w:tabs>
          <w:tab w:val="num" w:pos="1135"/>
        </w:tabs>
        <w:ind w:left="1135"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0C30D8"/>
    <w:multiLevelType w:val="hybridMultilevel"/>
    <w:tmpl w:val="1972801C"/>
    <w:lvl w:ilvl="0" w:tplc="1C090001">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9"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1210D40"/>
    <w:multiLevelType w:val="hybridMultilevel"/>
    <w:tmpl w:val="1D7A184A"/>
    <w:lvl w:ilvl="0" w:tplc="062E608E">
      <w:start w:val="1"/>
      <w:numFmt w:val="bullet"/>
      <w:lvlText w:val="•"/>
      <w:lvlJc w:val="left"/>
      <w:pPr>
        <w:tabs>
          <w:tab w:val="num" w:pos="1135"/>
        </w:tabs>
        <w:ind w:left="1135"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8"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0"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3" w15:restartNumberingAfterBreak="0">
    <w:nsid w:val="41150315"/>
    <w:multiLevelType w:val="hybridMultilevel"/>
    <w:tmpl w:val="DA5CAD70"/>
    <w:lvl w:ilvl="0" w:tplc="062E608E">
      <w:start w:val="1"/>
      <w:numFmt w:val="bullet"/>
      <w:lvlText w:val="•"/>
      <w:lvlJc w:val="left"/>
      <w:pPr>
        <w:tabs>
          <w:tab w:val="num" w:pos="1135"/>
        </w:tabs>
        <w:ind w:left="1135"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5"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9F62AC8"/>
    <w:multiLevelType w:val="hybridMultilevel"/>
    <w:tmpl w:val="E55CA966"/>
    <w:lvl w:ilvl="0" w:tplc="1C090001">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5"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6"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7"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9"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62"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6" w15:restartNumberingAfterBreak="0">
    <w:nsid w:val="6B35240A"/>
    <w:multiLevelType w:val="hybridMultilevel"/>
    <w:tmpl w:val="147C52BE"/>
    <w:lvl w:ilvl="0" w:tplc="56705B12">
      <w:start w:val="2"/>
      <w:numFmt w:val="bullet"/>
      <w:lvlText w:val="-"/>
      <w:lvlJc w:val="left"/>
      <w:pPr>
        <w:ind w:left="36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7"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5"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7"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8"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2"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4"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5"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6"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51"/>
  </w:num>
  <w:num w:numId="3">
    <w:abstractNumId w:val="24"/>
  </w:num>
  <w:num w:numId="4">
    <w:abstractNumId w:val="85"/>
  </w:num>
  <w:num w:numId="5">
    <w:abstractNumId w:val="12"/>
  </w:num>
  <w:num w:numId="6">
    <w:abstractNumId w:val="62"/>
  </w:num>
  <w:num w:numId="7">
    <w:abstractNumId w:val="61"/>
  </w:num>
  <w:num w:numId="8">
    <w:abstractNumId w:val="9"/>
  </w:num>
  <w:num w:numId="9">
    <w:abstractNumId w:val="30"/>
  </w:num>
  <w:num w:numId="10">
    <w:abstractNumId w:val="8"/>
  </w:num>
  <w:num w:numId="11">
    <w:abstractNumId w:val="14"/>
  </w:num>
  <w:num w:numId="12">
    <w:abstractNumId w:val="72"/>
  </w:num>
  <w:num w:numId="13">
    <w:abstractNumId w:val="82"/>
  </w:num>
  <w:num w:numId="14">
    <w:abstractNumId w:val="32"/>
  </w:num>
  <w:num w:numId="15">
    <w:abstractNumId w:val="75"/>
  </w:num>
  <w:num w:numId="16">
    <w:abstractNumId w:val="19"/>
  </w:num>
  <w:num w:numId="17">
    <w:abstractNumId w:val="47"/>
  </w:num>
  <w:num w:numId="18">
    <w:abstractNumId w:val="41"/>
  </w:num>
  <w:num w:numId="19">
    <w:abstractNumId w:val="73"/>
  </w:num>
  <w:num w:numId="20">
    <w:abstractNumId w:val="54"/>
  </w:num>
  <w:num w:numId="21">
    <w:abstractNumId w:val="10"/>
  </w:num>
  <w:num w:numId="22">
    <w:abstractNumId w:val="5"/>
  </w:num>
  <w:num w:numId="23">
    <w:abstractNumId w:val="67"/>
  </w:num>
  <w:num w:numId="24">
    <w:abstractNumId w:val="44"/>
  </w:num>
  <w:num w:numId="25">
    <w:abstractNumId w:val="52"/>
  </w:num>
  <w:num w:numId="26">
    <w:abstractNumId w:val="23"/>
  </w:num>
  <w:num w:numId="27">
    <w:abstractNumId w:val="26"/>
  </w:num>
  <w:num w:numId="28">
    <w:abstractNumId w:val="42"/>
  </w:num>
  <w:num w:numId="29">
    <w:abstractNumId w:val="45"/>
  </w:num>
  <w:num w:numId="30">
    <w:abstractNumId w:val="58"/>
  </w:num>
  <w:num w:numId="31">
    <w:abstractNumId w:val="74"/>
  </w:num>
  <w:num w:numId="32">
    <w:abstractNumId w:val="77"/>
  </w:num>
  <w:num w:numId="33">
    <w:abstractNumId w:val="21"/>
  </w:num>
  <w:num w:numId="34">
    <w:abstractNumId w:val="0"/>
  </w:num>
  <w:num w:numId="35">
    <w:abstractNumId w:val="81"/>
  </w:num>
  <w:num w:numId="36">
    <w:abstractNumId w:val="29"/>
  </w:num>
  <w:num w:numId="37">
    <w:abstractNumId w:val="70"/>
  </w:num>
  <w:num w:numId="38">
    <w:abstractNumId w:val="81"/>
  </w:num>
  <w:num w:numId="39">
    <w:abstractNumId w:val="2"/>
  </w:num>
  <w:num w:numId="40">
    <w:abstractNumId w:val="64"/>
  </w:num>
  <w:num w:numId="41">
    <w:abstractNumId w:val="29"/>
    <w:lvlOverride w:ilvl="0">
      <w:startOverride w:val="1"/>
    </w:lvlOverride>
  </w:num>
  <w:num w:numId="42">
    <w:abstractNumId w:val="15"/>
  </w:num>
  <w:num w:numId="43">
    <w:abstractNumId w:val="46"/>
  </w:num>
  <w:num w:numId="44">
    <w:abstractNumId w:val="80"/>
  </w:num>
  <w:num w:numId="45">
    <w:abstractNumId w:val="33"/>
  </w:num>
  <w:num w:numId="46">
    <w:abstractNumId w:val="69"/>
  </w:num>
  <w:num w:numId="47">
    <w:abstractNumId w:val="33"/>
    <w:lvlOverride w:ilvl="0">
      <w:startOverride w:val="1"/>
    </w:lvlOverride>
  </w:num>
  <w:num w:numId="48">
    <w:abstractNumId w:val="45"/>
  </w:num>
  <w:num w:numId="49">
    <w:abstractNumId w:val="78"/>
  </w:num>
  <w:num w:numId="50">
    <w:abstractNumId w:val="33"/>
    <w:lvlOverride w:ilvl="0">
      <w:startOverride w:val="1"/>
    </w:lvlOverride>
  </w:num>
  <w:num w:numId="51">
    <w:abstractNumId w:val="27"/>
  </w:num>
  <w:num w:numId="52">
    <w:abstractNumId w:val="33"/>
    <w:lvlOverride w:ilvl="0">
      <w:startOverride w:val="1"/>
    </w:lvlOverride>
  </w:num>
  <w:num w:numId="53">
    <w:abstractNumId w:val="81"/>
  </w:num>
  <w:num w:numId="54">
    <w:abstractNumId w:val="81"/>
  </w:num>
  <w:num w:numId="55">
    <w:abstractNumId w:val="81"/>
  </w:num>
  <w:num w:numId="56">
    <w:abstractNumId w:val="81"/>
  </w:num>
  <w:num w:numId="57">
    <w:abstractNumId w:val="81"/>
  </w:num>
  <w:num w:numId="58">
    <w:abstractNumId w:val="86"/>
  </w:num>
  <w:num w:numId="59">
    <w:abstractNumId w:val="48"/>
  </w:num>
  <w:num w:numId="60">
    <w:abstractNumId w:val="4"/>
  </w:num>
  <w:num w:numId="61">
    <w:abstractNumId w:val="48"/>
    <w:lvlOverride w:ilvl="0">
      <w:startOverride w:val="1"/>
    </w:lvlOverride>
  </w:num>
  <w:num w:numId="62">
    <w:abstractNumId w:val="48"/>
  </w:num>
  <w:num w:numId="63">
    <w:abstractNumId w:val="48"/>
  </w:num>
  <w:num w:numId="64">
    <w:abstractNumId w:val="48"/>
  </w:num>
  <w:num w:numId="65">
    <w:abstractNumId w:val="48"/>
  </w:num>
  <w:num w:numId="66">
    <w:abstractNumId w:val="48"/>
  </w:num>
  <w:num w:numId="67">
    <w:abstractNumId w:val="48"/>
  </w:num>
  <w:num w:numId="68">
    <w:abstractNumId w:val="49"/>
  </w:num>
  <w:num w:numId="69">
    <w:abstractNumId w:val="48"/>
    <w:lvlOverride w:ilvl="0">
      <w:startOverride w:val="1"/>
    </w:lvlOverride>
  </w:num>
  <w:num w:numId="70">
    <w:abstractNumId w:val="48"/>
  </w:num>
  <w:num w:numId="71">
    <w:abstractNumId w:val="48"/>
  </w:num>
  <w:num w:numId="72">
    <w:abstractNumId w:val="48"/>
  </w:num>
  <w:num w:numId="73">
    <w:abstractNumId w:val="48"/>
  </w:num>
  <w:num w:numId="74">
    <w:abstractNumId w:val="48"/>
  </w:num>
  <w:num w:numId="75">
    <w:abstractNumId w:val="48"/>
  </w:num>
  <w:num w:numId="76">
    <w:abstractNumId w:val="48"/>
  </w:num>
  <w:num w:numId="77">
    <w:abstractNumId w:val="48"/>
  </w:num>
  <w:num w:numId="78">
    <w:abstractNumId w:val="31"/>
  </w:num>
  <w:num w:numId="79">
    <w:abstractNumId w:val="20"/>
  </w:num>
  <w:num w:numId="80">
    <w:abstractNumId w:val="48"/>
    <w:lvlOverride w:ilvl="0">
      <w:startOverride w:val="1"/>
    </w:lvlOverride>
  </w:num>
  <w:num w:numId="81">
    <w:abstractNumId w:val="63"/>
  </w:num>
  <w:num w:numId="82">
    <w:abstractNumId w:val="35"/>
  </w:num>
  <w:num w:numId="83">
    <w:abstractNumId w:val="40"/>
  </w:num>
  <w:num w:numId="84">
    <w:abstractNumId w:val="17"/>
  </w:num>
  <w:num w:numId="85">
    <w:abstractNumId w:val="48"/>
    <w:lvlOverride w:ilvl="0">
      <w:startOverride w:val="1"/>
    </w:lvlOverride>
  </w:num>
  <w:num w:numId="86">
    <w:abstractNumId w:val="3"/>
  </w:num>
  <w:num w:numId="87">
    <w:abstractNumId w:val="13"/>
  </w:num>
  <w:num w:numId="88">
    <w:abstractNumId w:val="48"/>
    <w:lvlOverride w:ilvl="0">
      <w:startOverride w:val="1"/>
    </w:lvlOverride>
  </w:num>
  <w:num w:numId="89">
    <w:abstractNumId w:val="34"/>
  </w:num>
  <w:num w:numId="90">
    <w:abstractNumId w:val="48"/>
    <w:lvlOverride w:ilvl="0">
      <w:startOverride w:val="1"/>
    </w:lvlOverride>
  </w:num>
  <w:num w:numId="91">
    <w:abstractNumId w:val="6"/>
  </w:num>
  <w:num w:numId="92">
    <w:abstractNumId w:val="53"/>
  </w:num>
  <w:num w:numId="93">
    <w:abstractNumId w:val="60"/>
  </w:num>
  <w:num w:numId="94">
    <w:abstractNumId w:val="57"/>
  </w:num>
  <w:num w:numId="95">
    <w:abstractNumId w:val="48"/>
    <w:lvlOverride w:ilvl="0">
      <w:startOverride w:val="2"/>
    </w:lvlOverride>
  </w:num>
  <w:num w:numId="96">
    <w:abstractNumId w:val="55"/>
  </w:num>
  <w:num w:numId="97">
    <w:abstractNumId w:val="71"/>
  </w:num>
  <w:num w:numId="98">
    <w:abstractNumId w:val="68"/>
  </w:num>
  <w:num w:numId="99">
    <w:abstractNumId w:val="38"/>
  </w:num>
  <w:num w:numId="100">
    <w:abstractNumId w:val="3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8"/>
  </w:num>
  <w:num w:numId="109">
    <w:abstractNumId w:val="37"/>
    <w:lvlOverride w:ilvl="0">
      <w:startOverride w:val="1"/>
    </w:lvlOverride>
  </w:num>
  <w:num w:numId="110">
    <w:abstractNumId w:val="37"/>
  </w:num>
  <w:num w:numId="111">
    <w:abstractNumId w:val="37"/>
  </w:num>
  <w:num w:numId="112">
    <w:abstractNumId w:val="79"/>
  </w:num>
  <w:num w:numId="113">
    <w:abstractNumId w:val="84"/>
  </w:num>
  <w:num w:numId="114">
    <w:abstractNumId w:val="76"/>
  </w:num>
  <w:num w:numId="115">
    <w:abstractNumId w:val="37"/>
    <w:lvlOverride w:ilvl="0">
      <w:startOverride w:val="1"/>
    </w:lvlOverride>
  </w:num>
  <w:num w:numId="116">
    <w:abstractNumId w:val="56"/>
  </w:num>
  <w:num w:numId="117">
    <w:abstractNumId w:val="37"/>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9"/>
  </w:num>
  <w:num w:numId="124">
    <w:abstractNumId w:val="37"/>
    <w:lvlOverride w:ilvl="0">
      <w:startOverride w:val="1"/>
    </w:lvlOverride>
  </w:num>
  <w:num w:numId="125">
    <w:abstractNumId w:val="7"/>
  </w:num>
  <w:num w:numId="126">
    <w:abstractNumId w:val="7"/>
  </w:num>
  <w:num w:numId="127">
    <w:abstractNumId w:val="83"/>
  </w:num>
  <w:num w:numId="128">
    <w:abstractNumId w:val="37"/>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5"/>
  </w:num>
  <w:num w:numId="141">
    <w:abstractNumId w:val="37"/>
    <w:lvlOverride w:ilvl="0">
      <w:startOverride w:val="1"/>
    </w:lvlOverride>
  </w:num>
  <w:num w:numId="142">
    <w:abstractNumId w:val="68"/>
  </w:num>
  <w:num w:numId="143">
    <w:abstractNumId w:val="42"/>
  </w:num>
  <w:num w:numId="144">
    <w:abstractNumId w:val="25"/>
  </w:num>
  <w:num w:numId="145">
    <w:abstractNumId w:val="16"/>
  </w:num>
  <w:num w:numId="146">
    <w:abstractNumId w:val="37"/>
  </w:num>
  <w:num w:numId="147">
    <w:abstractNumId w:val="59"/>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6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8"/>
  </w:num>
  <w:num w:numId="161">
    <w:abstractNumId w:val="50"/>
  </w:num>
  <w:num w:numId="162">
    <w:abstractNumId w:val="11"/>
  </w:num>
  <w:num w:numId="163">
    <w:abstractNumId w:val="43"/>
  </w:num>
  <w:num w:numId="164">
    <w:abstractNumId w:val="36"/>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6FD"/>
    <w:rsid w:val="00005E5E"/>
    <w:rsid w:val="00005F27"/>
    <w:rsid w:val="0000699B"/>
    <w:rsid w:val="00006B1C"/>
    <w:rsid w:val="00006D1F"/>
    <w:rsid w:val="00006F08"/>
    <w:rsid w:val="000070AC"/>
    <w:rsid w:val="0000714E"/>
    <w:rsid w:val="000076EF"/>
    <w:rsid w:val="00007E24"/>
    <w:rsid w:val="00010462"/>
    <w:rsid w:val="00010E39"/>
    <w:rsid w:val="0001133B"/>
    <w:rsid w:val="000114DB"/>
    <w:rsid w:val="00011672"/>
    <w:rsid w:val="000116B2"/>
    <w:rsid w:val="00011985"/>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C3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030"/>
    <w:rsid w:val="0002625A"/>
    <w:rsid w:val="00026704"/>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1E65"/>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3F83"/>
    <w:rsid w:val="0006415E"/>
    <w:rsid w:val="000642CF"/>
    <w:rsid w:val="00064B8F"/>
    <w:rsid w:val="00064C75"/>
    <w:rsid w:val="00064CEF"/>
    <w:rsid w:val="00064D74"/>
    <w:rsid w:val="00065093"/>
    <w:rsid w:val="00065099"/>
    <w:rsid w:val="0006617A"/>
    <w:rsid w:val="00066DAF"/>
    <w:rsid w:val="00066DCE"/>
    <w:rsid w:val="0006723C"/>
    <w:rsid w:val="00067384"/>
    <w:rsid w:val="000674E5"/>
    <w:rsid w:val="00067922"/>
    <w:rsid w:val="00067931"/>
    <w:rsid w:val="000679F5"/>
    <w:rsid w:val="00067D22"/>
    <w:rsid w:val="00067D72"/>
    <w:rsid w:val="00067DE7"/>
    <w:rsid w:val="00067E8A"/>
    <w:rsid w:val="00070720"/>
    <w:rsid w:val="00070766"/>
    <w:rsid w:val="00070777"/>
    <w:rsid w:val="00070968"/>
    <w:rsid w:val="00070AAF"/>
    <w:rsid w:val="000711D7"/>
    <w:rsid w:val="000713B6"/>
    <w:rsid w:val="0007153C"/>
    <w:rsid w:val="000725C7"/>
    <w:rsid w:val="00072944"/>
    <w:rsid w:val="00072B79"/>
    <w:rsid w:val="00072BBE"/>
    <w:rsid w:val="00072C4E"/>
    <w:rsid w:val="00073091"/>
    <w:rsid w:val="0007316C"/>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36D"/>
    <w:rsid w:val="0009284E"/>
    <w:rsid w:val="00092DD6"/>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D4D"/>
    <w:rsid w:val="00096F21"/>
    <w:rsid w:val="00096F29"/>
    <w:rsid w:val="000970CB"/>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1"/>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6E3"/>
    <w:rsid w:val="000B1972"/>
    <w:rsid w:val="000B1D92"/>
    <w:rsid w:val="000B1EB5"/>
    <w:rsid w:val="000B2604"/>
    <w:rsid w:val="000B2A31"/>
    <w:rsid w:val="000B31CB"/>
    <w:rsid w:val="000B33A8"/>
    <w:rsid w:val="000B33F4"/>
    <w:rsid w:val="000B3493"/>
    <w:rsid w:val="000B36F3"/>
    <w:rsid w:val="000B39A8"/>
    <w:rsid w:val="000B4167"/>
    <w:rsid w:val="000B4C4D"/>
    <w:rsid w:val="000B50F4"/>
    <w:rsid w:val="000B570E"/>
    <w:rsid w:val="000B593F"/>
    <w:rsid w:val="000B5F73"/>
    <w:rsid w:val="000B5FFC"/>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778"/>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748"/>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4E0D"/>
    <w:rsid w:val="00105882"/>
    <w:rsid w:val="00105B9A"/>
    <w:rsid w:val="00105BAD"/>
    <w:rsid w:val="00105F81"/>
    <w:rsid w:val="001062AB"/>
    <w:rsid w:val="0010671D"/>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00C"/>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6E25"/>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2F2C"/>
    <w:rsid w:val="0014302F"/>
    <w:rsid w:val="001433FD"/>
    <w:rsid w:val="00143512"/>
    <w:rsid w:val="00143E54"/>
    <w:rsid w:val="00143F81"/>
    <w:rsid w:val="00144184"/>
    <w:rsid w:val="0014440A"/>
    <w:rsid w:val="00144914"/>
    <w:rsid w:val="00144A47"/>
    <w:rsid w:val="00144B78"/>
    <w:rsid w:val="00144F7E"/>
    <w:rsid w:val="001451D0"/>
    <w:rsid w:val="0014549A"/>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6E74"/>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3C9"/>
    <w:rsid w:val="00167590"/>
    <w:rsid w:val="001675E4"/>
    <w:rsid w:val="00167677"/>
    <w:rsid w:val="00167747"/>
    <w:rsid w:val="0016787E"/>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6FD"/>
    <w:rsid w:val="00174BB4"/>
    <w:rsid w:val="00175B19"/>
    <w:rsid w:val="00176473"/>
    <w:rsid w:val="00176F60"/>
    <w:rsid w:val="0017704A"/>
    <w:rsid w:val="00177F68"/>
    <w:rsid w:val="00180002"/>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4D6B"/>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5BC3"/>
    <w:rsid w:val="00196271"/>
    <w:rsid w:val="0019638A"/>
    <w:rsid w:val="00196956"/>
    <w:rsid w:val="00196A67"/>
    <w:rsid w:val="00196B0F"/>
    <w:rsid w:val="00196D53"/>
    <w:rsid w:val="00196E33"/>
    <w:rsid w:val="00197787"/>
    <w:rsid w:val="00197E78"/>
    <w:rsid w:val="001A00FC"/>
    <w:rsid w:val="001A0338"/>
    <w:rsid w:val="001A0BA8"/>
    <w:rsid w:val="001A0F56"/>
    <w:rsid w:val="001A1952"/>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8CC"/>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150"/>
    <w:rsid w:val="001B5522"/>
    <w:rsid w:val="001B55E6"/>
    <w:rsid w:val="001B5A8E"/>
    <w:rsid w:val="001B5DED"/>
    <w:rsid w:val="001B611F"/>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3AE3"/>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409"/>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81A"/>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3C5A"/>
    <w:rsid w:val="00204BD6"/>
    <w:rsid w:val="00205490"/>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3E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4A4"/>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D7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D31"/>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D59"/>
    <w:rsid w:val="00270E55"/>
    <w:rsid w:val="0027137F"/>
    <w:rsid w:val="0027138A"/>
    <w:rsid w:val="002713F6"/>
    <w:rsid w:val="00271905"/>
    <w:rsid w:val="00271A8D"/>
    <w:rsid w:val="00272408"/>
    <w:rsid w:val="00272416"/>
    <w:rsid w:val="00272460"/>
    <w:rsid w:val="0027295C"/>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889"/>
    <w:rsid w:val="002A7901"/>
    <w:rsid w:val="002A7ACB"/>
    <w:rsid w:val="002A7B02"/>
    <w:rsid w:val="002B00A2"/>
    <w:rsid w:val="002B05BB"/>
    <w:rsid w:val="002B0A56"/>
    <w:rsid w:val="002B0D90"/>
    <w:rsid w:val="002B1A41"/>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4B7"/>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9F0"/>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AB2"/>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4FFD"/>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4F1"/>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792"/>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0EE3"/>
    <w:rsid w:val="0035111A"/>
    <w:rsid w:val="003512F1"/>
    <w:rsid w:val="00351526"/>
    <w:rsid w:val="003516EB"/>
    <w:rsid w:val="00351C75"/>
    <w:rsid w:val="003522A8"/>
    <w:rsid w:val="0035264F"/>
    <w:rsid w:val="00352801"/>
    <w:rsid w:val="0035295B"/>
    <w:rsid w:val="00353A90"/>
    <w:rsid w:val="00353B4F"/>
    <w:rsid w:val="00353DD1"/>
    <w:rsid w:val="003544CF"/>
    <w:rsid w:val="0035513A"/>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00"/>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9C7"/>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964"/>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458"/>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6BA"/>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3C66"/>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97E"/>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BC7"/>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664"/>
    <w:rsid w:val="0042080F"/>
    <w:rsid w:val="0042092C"/>
    <w:rsid w:val="00421425"/>
    <w:rsid w:val="00421521"/>
    <w:rsid w:val="004217CF"/>
    <w:rsid w:val="004217F7"/>
    <w:rsid w:val="0042184F"/>
    <w:rsid w:val="004222F0"/>
    <w:rsid w:val="00422303"/>
    <w:rsid w:val="0042245B"/>
    <w:rsid w:val="00422A8A"/>
    <w:rsid w:val="00423299"/>
    <w:rsid w:val="0042330F"/>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BDF"/>
    <w:rsid w:val="00427DFD"/>
    <w:rsid w:val="00427FD1"/>
    <w:rsid w:val="004300EC"/>
    <w:rsid w:val="004305F2"/>
    <w:rsid w:val="004305FE"/>
    <w:rsid w:val="004306F6"/>
    <w:rsid w:val="00430B55"/>
    <w:rsid w:val="00430B62"/>
    <w:rsid w:val="00430DD4"/>
    <w:rsid w:val="00430E00"/>
    <w:rsid w:val="00431822"/>
    <w:rsid w:val="00431CD5"/>
    <w:rsid w:val="0043208E"/>
    <w:rsid w:val="00432350"/>
    <w:rsid w:val="00432805"/>
    <w:rsid w:val="00433A24"/>
    <w:rsid w:val="00433B9B"/>
    <w:rsid w:val="00433F9B"/>
    <w:rsid w:val="004347D2"/>
    <w:rsid w:val="0043499A"/>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1E5"/>
    <w:rsid w:val="004A65B5"/>
    <w:rsid w:val="004A6775"/>
    <w:rsid w:val="004A71DA"/>
    <w:rsid w:val="004A7454"/>
    <w:rsid w:val="004A7727"/>
    <w:rsid w:val="004A777D"/>
    <w:rsid w:val="004B0D1C"/>
    <w:rsid w:val="004B122E"/>
    <w:rsid w:val="004B1B09"/>
    <w:rsid w:val="004B1C91"/>
    <w:rsid w:val="004B1DCF"/>
    <w:rsid w:val="004B1E98"/>
    <w:rsid w:val="004B213A"/>
    <w:rsid w:val="004B220B"/>
    <w:rsid w:val="004B22C2"/>
    <w:rsid w:val="004B250F"/>
    <w:rsid w:val="004B26F1"/>
    <w:rsid w:val="004B2875"/>
    <w:rsid w:val="004B2A73"/>
    <w:rsid w:val="004B2B83"/>
    <w:rsid w:val="004B2BFE"/>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BA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EF5"/>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555"/>
    <w:rsid w:val="004F4943"/>
    <w:rsid w:val="004F4AF3"/>
    <w:rsid w:val="004F4DA6"/>
    <w:rsid w:val="004F4F60"/>
    <w:rsid w:val="004F50B4"/>
    <w:rsid w:val="004F5813"/>
    <w:rsid w:val="004F5D20"/>
    <w:rsid w:val="004F5D6C"/>
    <w:rsid w:val="004F5FE6"/>
    <w:rsid w:val="004F616F"/>
    <w:rsid w:val="004F63C0"/>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041"/>
    <w:rsid w:val="00506105"/>
    <w:rsid w:val="00506C97"/>
    <w:rsid w:val="00507271"/>
    <w:rsid w:val="00507755"/>
    <w:rsid w:val="00507A50"/>
    <w:rsid w:val="00507A7B"/>
    <w:rsid w:val="00507EB7"/>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6AA2"/>
    <w:rsid w:val="005172D9"/>
    <w:rsid w:val="00517542"/>
    <w:rsid w:val="00517A41"/>
    <w:rsid w:val="00517A97"/>
    <w:rsid w:val="00517AFE"/>
    <w:rsid w:val="00517CBC"/>
    <w:rsid w:val="005207BE"/>
    <w:rsid w:val="00520A84"/>
    <w:rsid w:val="00520F19"/>
    <w:rsid w:val="00521E4F"/>
    <w:rsid w:val="00521EF6"/>
    <w:rsid w:val="00522334"/>
    <w:rsid w:val="005223DA"/>
    <w:rsid w:val="005224A2"/>
    <w:rsid w:val="00522C2D"/>
    <w:rsid w:val="00522D55"/>
    <w:rsid w:val="0052382D"/>
    <w:rsid w:val="005239A0"/>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485"/>
    <w:rsid w:val="005307BC"/>
    <w:rsid w:val="00530897"/>
    <w:rsid w:val="005309B5"/>
    <w:rsid w:val="00530B31"/>
    <w:rsid w:val="00530CF3"/>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5C10"/>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B3"/>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691"/>
    <w:rsid w:val="0058776C"/>
    <w:rsid w:val="0058777E"/>
    <w:rsid w:val="005879DF"/>
    <w:rsid w:val="00587A4E"/>
    <w:rsid w:val="00587CAC"/>
    <w:rsid w:val="0059018C"/>
    <w:rsid w:val="00590202"/>
    <w:rsid w:val="00590484"/>
    <w:rsid w:val="005904F7"/>
    <w:rsid w:val="0059057D"/>
    <w:rsid w:val="005905F4"/>
    <w:rsid w:val="00590777"/>
    <w:rsid w:val="00590ADF"/>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07E"/>
    <w:rsid w:val="005A31A4"/>
    <w:rsid w:val="005A31A9"/>
    <w:rsid w:val="005A33E2"/>
    <w:rsid w:val="005A3732"/>
    <w:rsid w:val="005A3A5B"/>
    <w:rsid w:val="005A3C22"/>
    <w:rsid w:val="005A3D6C"/>
    <w:rsid w:val="005A43AC"/>
    <w:rsid w:val="005A4859"/>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3B61"/>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967"/>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2B7"/>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9B7"/>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3B17"/>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A86"/>
    <w:rsid w:val="00616C56"/>
    <w:rsid w:val="006172CF"/>
    <w:rsid w:val="006172D3"/>
    <w:rsid w:val="0061792B"/>
    <w:rsid w:val="00617A09"/>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A25"/>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1E5C"/>
    <w:rsid w:val="006429A5"/>
    <w:rsid w:val="00642C1E"/>
    <w:rsid w:val="00642D4B"/>
    <w:rsid w:val="00642DCF"/>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387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BC1"/>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1A1"/>
    <w:rsid w:val="00671217"/>
    <w:rsid w:val="00671358"/>
    <w:rsid w:val="006713B2"/>
    <w:rsid w:val="006719AC"/>
    <w:rsid w:val="00671C77"/>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2E42"/>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97EBB"/>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6B8"/>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8C9"/>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7C1"/>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D74AA"/>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1FE"/>
    <w:rsid w:val="006F039C"/>
    <w:rsid w:val="006F044A"/>
    <w:rsid w:val="006F054E"/>
    <w:rsid w:val="006F0722"/>
    <w:rsid w:val="006F0780"/>
    <w:rsid w:val="006F09CC"/>
    <w:rsid w:val="006F1359"/>
    <w:rsid w:val="006F1463"/>
    <w:rsid w:val="006F1518"/>
    <w:rsid w:val="006F1600"/>
    <w:rsid w:val="006F204B"/>
    <w:rsid w:val="006F2272"/>
    <w:rsid w:val="006F233E"/>
    <w:rsid w:val="006F341D"/>
    <w:rsid w:val="006F3773"/>
    <w:rsid w:val="006F3AE2"/>
    <w:rsid w:val="006F3C7F"/>
    <w:rsid w:val="006F4226"/>
    <w:rsid w:val="006F42AB"/>
    <w:rsid w:val="006F4451"/>
    <w:rsid w:val="006F4551"/>
    <w:rsid w:val="006F4578"/>
    <w:rsid w:val="006F4FD8"/>
    <w:rsid w:val="006F52B7"/>
    <w:rsid w:val="006F5394"/>
    <w:rsid w:val="006F5649"/>
    <w:rsid w:val="006F6090"/>
    <w:rsid w:val="006F62AF"/>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A31"/>
    <w:rsid w:val="00704DC3"/>
    <w:rsid w:val="00705087"/>
    <w:rsid w:val="007052DD"/>
    <w:rsid w:val="0070535C"/>
    <w:rsid w:val="00705610"/>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6EC4"/>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97D"/>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204"/>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724"/>
    <w:rsid w:val="007768C7"/>
    <w:rsid w:val="00776972"/>
    <w:rsid w:val="00776FAF"/>
    <w:rsid w:val="00777249"/>
    <w:rsid w:val="007778B6"/>
    <w:rsid w:val="0078028F"/>
    <w:rsid w:val="007802E3"/>
    <w:rsid w:val="007805A2"/>
    <w:rsid w:val="00780875"/>
    <w:rsid w:val="007808B7"/>
    <w:rsid w:val="00780EDA"/>
    <w:rsid w:val="00781A8B"/>
    <w:rsid w:val="00781D5E"/>
    <w:rsid w:val="007820D6"/>
    <w:rsid w:val="00782460"/>
    <w:rsid w:val="007827B3"/>
    <w:rsid w:val="00782B50"/>
    <w:rsid w:val="00782E3B"/>
    <w:rsid w:val="007851B4"/>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5B1"/>
    <w:rsid w:val="007A0ACE"/>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61"/>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37F"/>
    <w:rsid w:val="007C054C"/>
    <w:rsid w:val="007C064C"/>
    <w:rsid w:val="007C081F"/>
    <w:rsid w:val="007C0A7B"/>
    <w:rsid w:val="007C0C50"/>
    <w:rsid w:val="007C0C5B"/>
    <w:rsid w:val="007C0D12"/>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803"/>
    <w:rsid w:val="007D3B46"/>
    <w:rsid w:val="007D3B5C"/>
    <w:rsid w:val="007D4692"/>
    <w:rsid w:val="007D4C0E"/>
    <w:rsid w:val="007D4E13"/>
    <w:rsid w:val="007D529D"/>
    <w:rsid w:val="007D5812"/>
    <w:rsid w:val="007D585B"/>
    <w:rsid w:val="007D5DD9"/>
    <w:rsid w:val="007D68D0"/>
    <w:rsid w:val="007D71E9"/>
    <w:rsid w:val="007D7566"/>
    <w:rsid w:val="007D786C"/>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EBF"/>
    <w:rsid w:val="007E2FEB"/>
    <w:rsid w:val="007E3211"/>
    <w:rsid w:val="007E377F"/>
    <w:rsid w:val="007E3788"/>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7F8"/>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4CF"/>
    <w:rsid w:val="008169AF"/>
    <w:rsid w:val="00816A5C"/>
    <w:rsid w:val="00816E7D"/>
    <w:rsid w:val="008172CC"/>
    <w:rsid w:val="008172F0"/>
    <w:rsid w:val="008178BF"/>
    <w:rsid w:val="00817988"/>
    <w:rsid w:val="00817E26"/>
    <w:rsid w:val="00817E91"/>
    <w:rsid w:val="00817FC8"/>
    <w:rsid w:val="00820D1C"/>
    <w:rsid w:val="00820D21"/>
    <w:rsid w:val="00820DB6"/>
    <w:rsid w:val="00821143"/>
    <w:rsid w:val="0082121A"/>
    <w:rsid w:val="00821257"/>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6CD"/>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5D9E"/>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3C8"/>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CE2"/>
    <w:rsid w:val="00876D47"/>
    <w:rsid w:val="00876EB5"/>
    <w:rsid w:val="00877354"/>
    <w:rsid w:val="0087744E"/>
    <w:rsid w:val="008774E1"/>
    <w:rsid w:val="00877561"/>
    <w:rsid w:val="008778DC"/>
    <w:rsid w:val="008779FB"/>
    <w:rsid w:val="00877AF8"/>
    <w:rsid w:val="00877E7E"/>
    <w:rsid w:val="00877EA3"/>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43"/>
    <w:rsid w:val="0088557E"/>
    <w:rsid w:val="00885846"/>
    <w:rsid w:val="0088604D"/>
    <w:rsid w:val="0088610C"/>
    <w:rsid w:val="0088623E"/>
    <w:rsid w:val="008869F1"/>
    <w:rsid w:val="00886A15"/>
    <w:rsid w:val="00887C66"/>
    <w:rsid w:val="00887D11"/>
    <w:rsid w:val="0089005C"/>
    <w:rsid w:val="008906C1"/>
    <w:rsid w:val="00890A3D"/>
    <w:rsid w:val="00890FAB"/>
    <w:rsid w:val="00891077"/>
    <w:rsid w:val="0089121C"/>
    <w:rsid w:val="008913F1"/>
    <w:rsid w:val="00891740"/>
    <w:rsid w:val="00891914"/>
    <w:rsid w:val="00891A2A"/>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1A85"/>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4F72"/>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2F31"/>
    <w:rsid w:val="008F3398"/>
    <w:rsid w:val="008F3D52"/>
    <w:rsid w:val="008F3D71"/>
    <w:rsid w:val="008F3EFC"/>
    <w:rsid w:val="008F4178"/>
    <w:rsid w:val="008F429F"/>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A64"/>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18"/>
    <w:rsid w:val="009343CD"/>
    <w:rsid w:val="00934FD1"/>
    <w:rsid w:val="009353E1"/>
    <w:rsid w:val="00935548"/>
    <w:rsid w:val="009355AB"/>
    <w:rsid w:val="009356A3"/>
    <w:rsid w:val="00935B73"/>
    <w:rsid w:val="00936179"/>
    <w:rsid w:val="00936456"/>
    <w:rsid w:val="00936670"/>
    <w:rsid w:val="0093671F"/>
    <w:rsid w:val="009367A4"/>
    <w:rsid w:val="00936B60"/>
    <w:rsid w:val="0093729F"/>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76"/>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3D60"/>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31"/>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3C49"/>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25D"/>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6B"/>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933"/>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19C"/>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B5D"/>
    <w:rsid w:val="009F2D76"/>
    <w:rsid w:val="009F2D91"/>
    <w:rsid w:val="009F2E0E"/>
    <w:rsid w:val="009F2EBA"/>
    <w:rsid w:val="009F3060"/>
    <w:rsid w:val="009F3064"/>
    <w:rsid w:val="009F4039"/>
    <w:rsid w:val="009F4443"/>
    <w:rsid w:val="009F4ED8"/>
    <w:rsid w:val="009F507B"/>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967"/>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870"/>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97D"/>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30"/>
    <w:rsid w:val="00A465F0"/>
    <w:rsid w:val="00A46744"/>
    <w:rsid w:val="00A46B2A"/>
    <w:rsid w:val="00A46F70"/>
    <w:rsid w:val="00A47049"/>
    <w:rsid w:val="00A47C6E"/>
    <w:rsid w:val="00A47CFF"/>
    <w:rsid w:val="00A47D61"/>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5C1"/>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F04"/>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74C"/>
    <w:rsid w:val="00A7487A"/>
    <w:rsid w:val="00A74974"/>
    <w:rsid w:val="00A74C66"/>
    <w:rsid w:val="00A74FFB"/>
    <w:rsid w:val="00A767F3"/>
    <w:rsid w:val="00A7744C"/>
    <w:rsid w:val="00A77608"/>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3A3"/>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4F1"/>
    <w:rsid w:val="00AC56EB"/>
    <w:rsid w:val="00AC5BF0"/>
    <w:rsid w:val="00AC5FB7"/>
    <w:rsid w:val="00AC636E"/>
    <w:rsid w:val="00AC66B4"/>
    <w:rsid w:val="00AC66D7"/>
    <w:rsid w:val="00AC6757"/>
    <w:rsid w:val="00AC6916"/>
    <w:rsid w:val="00AC7166"/>
    <w:rsid w:val="00AC79E5"/>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3652"/>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0C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6C31"/>
    <w:rsid w:val="00AF6F6B"/>
    <w:rsid w:val="00AF7034"/>
    <w:rsid w:val="00AF7431"/>
    <w:rsid w:val="00B00480"/>
    <w:rsid w:val="00B00698"/>
    <w:rsid w:val="00B00B7C"/>
    <w:rsid w:val="00B00DA7"/>
    <w:rsid w:val="00B00ED0"/>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54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AC9"/>
    <w:rsid w:val="00B15B87"/>
    <w:rsid w:val="00B15F75"/>
    <w:rsid w:val="00B165FA"/>
    <w:rsid w:val="00B167B9"/>
    <w:rsid w:val="00B17019"/>
    <w:rsid w:val="00B1753C"/>
    <w:rsid w:val="00B17949"/>
    <w:rsid w:val="00B17F48"/>
    <w:rsid w:val="00B2035F"/>
    <w:rsid w:val="00B21011"/>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78B"/>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6D6"/>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BF0"/>
    <w:rsid w:val="00B57E88"/>
    <w:rsid w:val="00B610B9"/>
    <w:rsid w:val="00B61434"/>
    <w:rsid w:val="00B614A9"/>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000"/>
    <w:rsid w:val="00B91543"/>
    <w:rsid w:val="00B91D55"/>
    <w:rsid w:val="00B920D3"/>
    <w:rsid w:val="00B9229A"/>
    <w:rsid w:val="00B92521"/>
    <w:rsid w:val="00B927FE"/>
    <w:rsid w:val="00B92976"/>
    <w:rsid w:val="00B930EC"/>
    <w:rsid w:val="00B93177"/>
    <w:rsid w:val="00B9322B"/>
    <w:rsid w:val="00B932CB"/>
    <w:rsid w:val="00B932D1"/>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D99"/>
    <w:rsid w:val="00BB7E4E"/>
    <w:rsid w:val="00BC0483"/>
    <w:rsid w:val="00BC112E"/>
    <w:rsid w:val="00BC1BD5"/>
    <w:rsid w:val="00BC1D97"/>
    <w:rsid w:val="00BC1F7C"/>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24E"/>
    <w:rsid w:val="00BF441E"/>
    <w:rsid w:val="00BF4762"/>
    <w:rsid w:val="00BF48B1"/>
    <w:rsid w:val="00BF4ACC"/>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673"/>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59A"/>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41C"/>
    <w:rsid w:val="00C65538"/>
    <w:rsid w:val="00C6589A"/>
    <w:rsid w:val="00C65A17"/>
    <w:rsid w:val="00C65A2D"/>
    <w:rsid w:val="00C65AE6"/>
    <w:rsid w:val="00C65B75"/>
    <w:rsid w:val="00C662CC"/>
    <w:rsid w:val="00C6635B"/>
    <w:rsid w:val="00C66643"/>
    <w:rsid w:val="00C668C3"/>
    <w:rsid w:val="00C66A42"/>
    <w:rsid w:val="00C66E17"/>
    <w:rsid w:val="00C66E46"/>
    <w:rsid w:val="00C6743F"/>
    <w:rsid w:val="00C67509"/>
    <w:rsid w:val="00C67630"/>
    <w:rsid w:val="00C702AA"/>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C76"/>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24"/>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60"/>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332"/>
    <w:rsid w:val="00CB573C"/>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392"/>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E7A34"/>
    <w:rsid w:val="00CF0412"/>
    <w:rsid w:val="00CF0786"/>
    <w:rsid w:val="00CF0B6A"/>
    <w:rsid w:val="00CF0D24"/>
    <w:rsid w:val="00CF0D52"/>
    <w:rsid w:val="00CF11FF"/>
    <w:rsid w:val="00CF16E1"/>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70F"/>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4EF"/>
    <w:rsid w:val="00D265A8"/>
    <w:rsid w:val="00D26816"/>
    <w:rsid w:val="00D2753A"/>
    <w:rsid w:val="00D2756C"/>
    <w:rsid w:val="00D27584"/>
    <w:rsid w:val="00D27987"/>
    <w:rsid w:val="00D27F8D"/>
    <w:rsid w:val="00D27F9A"/>
    <w:rsid w:val="00D306C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47B7B"/>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834"/>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677"/>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BE3"/>
    <w:rsid w:val="00D76FCE"/>
    <w:rsid w:val="00D77158"/>
    <w:rsid w:val="00D773C3"/>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93"/>
    <w:rsid w:val="00DA43A2"/>
    <w:rsid w:val="00DA4B9D"/>
    <w:rsid w:val="00DA4EDC"/>
    <w:rsid w:val="00DA53BD"/>
    <w:rsid w:val="00DA563C"/>
    <w:rsid w:val="00DA584C"/>
    <w:rsid w:val="00DA5C1A"/>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7C8"/>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CB"/>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5CF0"/>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3F6D"/>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5AB5"/>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5F0A"/>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5C68"/>
    <w:rsid w:val="00E56603"/>
    <w:rsid w:val="00E56778"/>
    <w:rsid w:val="00E56E21"/>
    <w:rsid w:val="00E56EED"/>
    <w:rsid w:val="00E57001"/>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777"/>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402"/>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987"/>
    <w:rsid w:val="00EA4C22"/>
    <w:rsid w:val="00EA4D5A"/>
    <w:rsid w:val="00EA4D9A"/>
    <w:rsid w:val="00EA4DA1"/>
    <w:rsid w:val="00EA4DE9"/>
    <w:rsid w:val="00EA4F33"/>
    <w:rsid w:val="00EA4FAF"/>
    <w:rsid w:val="00EA50A7"/>
    <w:rsid w:val="00EA56B1"/>
    <w:rsid w:val="00EA5755"/>
    <w:rsid w:val="00EA5925"/>
    <w:rsid w:val="00EA6094"/>
    <w:rsid w:val="00EA661D"/>
    <w:rsid w:val="00EA67D1"/>
    <w:rsid w:val="00EA69A6"/>
    <w:rsid w:val="00EA6A65"/>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CED"/>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0C44"/>
    <w:rsid w:val="00ED15C0"/>
    <w:rsid w:val="00ED1D0C"/>
    <w:rsid w:val="00ED1E47"/>
    <w:rsid w:val="00ED2381"/>
    <w:rsid w:val="00ED23E0"/>
    <w:rsid w:val="00ED2441"/>
    <w:rsid w:val="00ED32E4"/>
    <w:rsid w:val="00ED3BB8"/>
    <w:rsid w:val="00ED3EDE"/>
    <w:rsid w:val="00ED4075"/>
    <w:rsid w:val="00ED427B"/>
    <w:rsid w:val="00ED4CC9"/>
    <w:rsid w:val="00ED4CE0"/>
    <w:rsid w:val="00ED5077"/>
    <w:rsid w:val="00ED51C7"/>
    <w:rsid w:val="00ED53DD"/>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699C"/>
    <w:rsid w:val="00EE7184"/>
    <w:rsid w:val="00EE766A"/>
    <w:rsid w:val="00EE7E70"/>
    <w:rsid w:val="00EF042B"/>
    <w:rsid w:val="00EF081E"/>
    <w:rsid w:val="00EF0B55"/>
    <w:rsid w:val="00EF0BEE"/>
    <w:rsid w:val="00EF0D27"/>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5F"/>
    <w:rsid w:val="00F07C97"/>
    <w:rsid w:val="00F10365"/>
    <w:rsid w:val="00F103E8"/>
    <w:rsid w:val="00F1059F"/>
    <w:rsid w:val="00F11FEA"/>
    <w:rsid w:val="00F120AD"/>
    <w:rsid w:val="00F12231"/>
    <w:rsid w:val="00F12375"/>
    <w:rsid w:val="00F123B0"/>
    <w:rsid w:val="00F127FA"/>
    <w:rsid w:val="00F12841"/>
    <w:rsid w:val="00F12C40"/>
    <w:rsid w:val="00F131D0"/>
    <w:rsid w:val="00F132DE"/>
    <w:rsid w:val="00F134D3"/>
    <w:rsid w:val="00F1368F"/>
    <w:rsid w:val="00F13A16"/>
    <w:rsid w:val="00F13A2C"/>
    <w:rsid w:val="00F13A8F"/>
    <w:rsid w:val="00F13D41"/>
    <w:rsid w:val="00F15348"/>
    <w:rsid w:val="00F15B30"/>
    <w:rsid w:val="00F15D63"/>
    <w:rsid w:val="00F15E7C"/>
    <w:rsid w:val="00F1620F"/>
    <w:rsid w:val="00F165D4"/>
    <w:rsid w:val="00F16783"/>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DD2"/>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580"/>
    <w:rsid w:val="00F51989"/>
    <w:rsid w:val="00F51A15"/>
    <w:rsid w:val="00F51FCE"/>
    <w:rsid w:val="00F53299"/>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3AF9"/>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3F5"/>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26"/>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4DE7"/>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0F2"/>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098"/>
    <w:rsid w:val="00FC6287"/>
    <w:rsid w:val="00FC6EDA"/>
    <w:rsid w:val="00FC743F"/>
    <w:rsid w:val="00FC75D9"/>
    <w:rsid w:val="00FC76FF"/>
    <w:rsid w:val="00FC785E"/>
    <w:rsid w:val="00FC7AF1"/>
    <w:rsid w:val="00FD00FE"/>
    <w:rsid w:val="00FD0227"/>
    <w:rsid w:val="00FD02BE"/>
    <w:rsid w:val="00FD03B0"/>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1CFF"/>
    <w:rsid w:val="00FE20BB"/>
    <w:rsid w:val="00FE2123"/>
    <w:rsid w:val="00FE2621"/>
    <w:rsid w:val="00FE2751"/>
    <w:rsid w:val="00FE346A"/>
    <w:rsid w:val="00FE3ADB"/>
    <w:rsid w:val="00FE4234"/>
    <w:rsid w:val="00FE4339"/>
    <w:rsid w:val="00FE462B"/>
    <w:rsid w:val="00FE48CC"/>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A2C"/>
    <w:rsid w:val="00FF0C37"/>
    <w:rsid w:val="00FF11A9"/>
    <w:rsid w:val="00FF11C6"/>
    <w:rsid w:val="00FF186A"/>
    <w:rsid w:val="00FF18A8"/>
    <w:rsid w:val="00FF1A66"/>
    <w:rsid w:val="00FF1C95"/>
    <w:rsid w:val="00FF1E9D"/>
    <w:rsid w:val="00FF244A"/>
    <w:rsid w:val="00FF2852"/>
    <w:rsid w:val="00FF28DA"/>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6A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aliases w:val=" Car Car3 Char, Car Car3 Char Char Char Char"/>
    <w:link w:val="CarCar3"/>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uiPriority w:val="20"/>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References">
    <w:name w:val="References"/>
    <w:basedOn w:val="Normal"/>
    <w:qFormat/>
    <w:rsid w:val="00A3497D"/>
    <w:pPr>
      <w:tabs>
        <w:tab w:val="left" w:pos="709"/>
      </w:tabs>
      <w:spacing w:before="240" w:after="240"/>
      <w:ind w:left="567" w:hanging="567"/>
      <w:jc w:val="left"/>
    </w:pPr>
    <w:rPr>
      <w:lang w:val="en-GB"/>
    </w:rPr>
  </w:style>
  <w:style w:type="character" w:customStyle="1" w:styleId="st">
    <w:name w:val="st"/>
    <w:basedOn w:val="DefaultParagraphFont"/>
    <w:rsid w:val="001A1952"/>
  </w:style>
  <w:style w:type="paragraph" w:customStyle="1" w:styleId="CarCar3">
    <w:name w:val="Car Car3"/>
    <w:aliases w:val=" Car Car3 Char Char"/>
    <w:basedOn w:val="Normal"/>
    <w:link w:val="Hyperlink"/>
    <w:uiPriority w:val="99"/>
    <w:rsid w:val="0042330F"/>
    <w:pPr>
      <w:tabs>
        <w:tab w:val="clear" w:pos="567"/>
        <w:tab w:val="left" w:pos="510"/>
        <w:tab w:val="right" w:pos="9639"/>
      </w:tabs>
      <w:autoSpaceDE w:val="0"/>
      <w:autoSpaceDN w:val="0"/>
      <w:adjustRightInd w:val="0"/>
      <w:snapToGrid/>
      <w:spacing w:before="0" w:after="80" w:line="220" w:lineRule="exact"/>
      <w:ind w:left="1020" w:hanging="510"/>
    </w:pPr>
    <w:rPr>
      <w:rFonts w:ascii="Calibri" w:eastAsia="Calibri" w:hAnsi="Calibri" w:cs="Times New Roman"/>
      <w:snapToGrid/>
      <w:color w:val="0000FF"/>
      <w:sz w:val="20"/>
      <w:szCs w:val="20"/>
      <w:u w:val="single"/>
      <w:lang w:val="fr-FR" w:eastAsia="fr-FR"/>
    </w:rPr>
  </w:style>
  <w:style w:type="paragraph" w:styleId="BodyText">
    <w:name w:val="Body Text"/>
    <w:basedOn w:val="Normal"/>
    <w:link w:val="BodyTextChar"/>
    <w:rsid w:val="00026030"/>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026030"/>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476456980">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 w:id="2048791664">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sp" TargetMode="External"/><Relationship Id="rId18" Type="http://schemas.openxmlformats.org/officeDocument/2006/relationships/hyperlink" Target="http://www.unesco.org/culture/ich/en/RL/00156"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esco.org/culture/ich/index.php?lg=es&amp;pg=00675"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9B8E-7316-4F99-938C-279685DD11FF}">
  <ds:schemaRefs>
    <ds:schemaRef ds:uri="http://schemas.openxmlformats.org/officeDocument/2006/bibliography"/>
  </ds:schemaRefs>
</ds:datastoreItem>
</file>

<file path=customXml/itemProps2.xml><?xml version="1.0" encoding="utf-8"?>
<ds:datastoreItem xmlns:ds="http://schemas.openxmlformats.org/officeDocument/2006/customXml" ds:itemID="{F1BFA41F-049E-433A-ADF2-5BF35454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7667</Words>
  <Characters>42169</Characters>
  <Application>Microsoft Office Word</Application>
  <DocSecurity>0</DocSecurity>
  <Lines>351</Lines>
  <Paragraphs>99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49737</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2017-11-30T15:56:00Z</dcterms:created>
  <dcterms:modified xsi:type="dcterms:W3CDTF">2018-04-20T13:51:00Z</dcterms:modified>
</cp:coreProperties>
</file>