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3E" w:rsidRPr="00362333" w:rsidRDefault="00F64D90" w:rsidP="00474A0B">
      <w:pPr>
        <w:pStyle w:val="Chapitre"/>
        <w:rPr>
          <w:lang w:val="fr-FR"/>
        </w:rPr>
      </w:pPr>
      <w:bookmarkStart w:id="0" w:name="_Toc301443355"/>
      <w:bookmarkStart w:id="1" w:name="_Toc321406998"/>
      <w:bookmarkStart w:id="2" w:name="_Toc354486622"/>
      <w:bookmarkStart w:id="3" w:name="_Toc354486928"/>
      <w:bookmarkStart w:id="4" w:name="_Toc247360203"/>
      <w:bookmarkStart w:id="5" w:name="_GoBack"/>
      <w:bookmarkEnd w:id="5"/>
      <w:r w:rsidRPr="00362333">
        <w:rPr>
          <w:lang w:val="fr-FR"/>
        </w:rPr>
        <w:t xml:space="preserve">UnitÉ </w:t>
      </w:r>
      <w:r w:rsidR="003F5CA8" w:rsidRPr="00362333">
        <w:rPr>
          <w:lang w:val="fr-FR"/>
        </w:rPr>
        <w:t>7</w:t>
      </w:r>
      <w:bookmarkStart w:id="6" w:name="_Toc238963222"/>
      <w:bookmarkStart w:id="7" w:name="_Toc241065108"/>
    </w:p>
    <w:p w:rsidR="00B01D2C" w:rsidRPr="00362333" w:rsidRDefault="00B01D2C" w:rsidP="00474A0B">
      <w:pPr>
        <w:pStyle w:val="UPlan"/>
        <w:rPr>
          <w:lang w:val="fr-FR"/>
        </w:rPr>
      </w:pPr>
      <w:r w:rsidRPr="00362333">
        <w:rPr>
          <w:lang w:val="fr-FR"/>
        </w:rPr>
        <w:t>impliquer les communautÉs</w:t>
      </w:r>
      <w:r w:rsidRPr="00362333">
        <w:rPr>
          <w:rFonts w:eastAsia="Calibri"/>
          <w:lang w:val="fr-FR"/>
        </w:rPr>
        <w:t xml:space="preserve"> concernÉes</w:t>
      </w:r>
    </w:p>
    <w:bookmarkEnd w:id="0"/>
    <w:bookmarkEnd w:id="1"/>
    <w:bookmarkEnd w:id="2"/>
    <w:bookmarkEnd w:id="3"/>
    <w:bookmarkEnd w:id="4"/>
    <w:bookmarkEnd w:id="6"/>
    <w:bookmarkEnd w:id="7"/>
    <w:p w:rsidR="004325DC" w:rsidRPr="00362333" w:rsidRDefault="00410D11" w:rsidP="00410D11">
      <w:pPr>
        <w:pStyle w:val="Titcoul"/>
        <w:rPr>
          <w:lang w:val="fr-FR"/>
        </w:rPr>
      </w:pPr>
      <w:r w:rsidRPr="00AD244C">
        <w:rPr>
          <w:lang w:val="fr-FR" w:eastAsia="fr-FR"/>
        </w:rPr>
        <w:drawing>
          <wp:anchor distT="0" distB="0" distL="114300" distR="114300" simplePos="0" relativeHeight="252018176" behindDoc="1" locked="0" layoutInCell="1" allowOverlap="0" wp14:anchorId="0D08E41A" wp14:editId="29237AA2">
            <wp:simplePos x="0" y="0"/>
            <wp:positionH relativeFrom="margin">
              <wp:posOffset>512445</wp:posOffset>
            </wp:positionH>
            <wp:positionV relativeFrom="margin">
              <wp:posOffset>2152650</wp:posOffset>
            </wp:positionV>
            <wp:extent cx="4869815" cy="4497705"/>
            <wp:effectExtent l="0" t="0" r="6985" b="0"/>
            <wp:wrapNone/>
            <wp:docPr id="1"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sidR="00B01D2C" w:rsidRPr="00362333">
        <w:rPr>
          <w:lang w:val="fr-FR"/>
        </w:rPr>
        <w:t>texte du participant</w:t>
      </w:r>
    </w:p>
    <w:p w:rsidR="004325DC" w:rsidRPr="00203BA5" w:rsidRDefault="000535A2" w:rsidP="00410D11">
      <w:pPr>
        <w:pStyle w:val="Sschap"/>
        <w:rPr>
          <w:smallCaps/>
        </w:rPr>
      </w:pPr>
      <w:r w:rsidRPr="00203BA5">
        <w:t>La présen</w:t>
      </w:r>
      <w:r w:rsidR="008D60AA" w:rsidRPr="00203BA5">
        <w:rPr>
          <w:rFonts w:hint="eastAsia"/>
        </w:rPr>
        <w:t xml:space="preserve">te </w:t>
      </w:r>
      <w:r w:rsidR="0015366F" w:rsidRPr="00203BA5">
        <w:rPr>
          <w:rFonts w:hint="eastAsia"/>
        </w:rPr>
        <w:t>unit</w:t>
      </w:r>
      <w:r w:rsidR="0015366F" w:rsidRPr="00203BA5">
        <w:t>é</w:t>
      </w:r>
      <w:r w:rsidR="00C10A1F" w:rsidRPr="00203BA5">
        <w:rPr>
          <w:rFonts w:hint="eastAsia"/>
        </w:rPr>
        <w:t xml:space="preserve"> </w:t>
      </w:r>
      <w:r w:rsidR="005E3013" w:rsidRPr="00203BA5">
        <w:t>traite d</w:t>
      </w:r>
      <w:r w:rsidR="00FE65D5" w:rsidRPr="00203BA5">
        <w:t>e</w:t>
      </w:r>
      <w:r w:rsidR="0015366F" w:rsidRPr="00203BA5">
        <w:rPr>
          <w:rFonts w:hint="eastAsia"/>
        </w:rPr>
        <w:t xml:space="preserve"> </w:t>
      </w:r>
      <w:r w:rsidR="00C10A1F" w:rsidRPr="00203BA5">
        <w:rPr>
          <w:rFonts w:hint="eastAsia"/>
        </w:rPr>
        <w:t xml:space="preserve">la participation </w:t>
      </w:r>
      <w:r w:rsidR="00F64D90" w:rsidRPr="00203BA5">
        <w:rPr>
          <w:rFonts w:hint="eastAsia"/>
        </w:rPr>
        <w:t>de</w:t>
      </w:r>
      <w:r w:rsidR="005E3013" w:rsidRPr="00203BA5">
        <w:t>s</w:t>
      </w:r>
      <w:r w:rsidR="00F64D90" w:rsidRPr="00203BA5">
        <w:t xml:space="preserve"> communauté</w:t>
      </w:r>
      <w:r w:rsidR="00C10A1F" w:rsidRPr="00203BA5">
        <w:rPr>
          <w:rFonts w:hint="eastAsia"/>
        </w:rPr>
        <w:t xml:space="preserve">s </w:t>
      </w:r>
      <w:r w:rsidR="0015366F" w:rsidRPr="00203BA5">
        <w:t>à</w:t>
      </w:r>
      <w:r w:rsidR="0015366F" w:rsidRPr="00203BA5">
        <w:rPr>
          <w:rFonts w:hint="eastAsia"/>
        </w:rPr>
        <w:t xml:space="preserve"> </w:t>
      </w:r>
      <w:r w:rsidR="00C10A1F" w:rsidRPr="00203BA5">
        <w:rPr>
          <w:rFonts w:hint="eastAsia"/>
        </w:rPr>
        <w:t xml:space="preserve">la mise en </w:t>
      </w:r>
      <w:r w:rsidR="0015366F" w:rsidRPr="00203BA5">
        <w:t>œ</w:t>
      </w:r>
      <w:r w:rsidR="00C10A1F" w:rsidRPr="00203BA5">
        <w:rPr>
          <w:rFonts w:hint="eastAsia"/>
        </w:rPr>
        <w:t xml:space="preserve">uvre de la </w:t>
      </w:r>
      <w:r w:rsidR="004C0123" w:rsidRPr="00203BA5">
        <w:t>Convention pour la sauvegarde du patrimoine culturel immatériel</w:t>
      </w:r>
      <w:r w:rsidR="004C0123" w:rsidRPr="00203BA5">
        <w:rPr>
          <w:rStyle w:val="FootnoteReference"/>
          <w:sz w:val="24"/>
        </w:rPr>
        <w:footnoteReference w:id="1"/>
      </w:r>
      <w:r w:rsidRPr="00203BA5">
        <w:t xml:space="preserve"> et</w:t>
      </w:r>
      <w:r w:rsidR="00C10A1F" w:rsidRPr="00203BA5">
        <w:rPr>
          <w:rFonts w:hint="eastAsia"/>
        </w:rPr>
        <w:t xml:space="preserve"> couvre les sujets suivants</w:t>
      </w:r>
      <w:r w:rsidR="00EA1FE1" w:rsidRPr="00203BA5">
        <w:rPr>
          <w:rFonts w:hint="eastAsia"/>
        </w:rPr>
        <w:t> :</w:t>
      </w:r>
    </w:p>
    <w:p w:rsidR="004325DC" w:rsidRPr="00203BA5" w:rsidRDefault="000535A2" w:rsidP="003043E7">
      <w:pPr>
        <w:pStyle w:val="Txtchap"/>
        <w:spacing w:after="60"/>
      </w:pPr>
      <w:r w:rsidRPr="00203BA5">
        <w:t>Ce q</w:t>
      </w:r>
      <w:r w:rsidR="00C10A1F" w:rsidRPr="00203BA5">
        <w:t xml:space="preserve">ue </w:t>
      </w:r>
      <w:r w:rsidRPr="00203BA5">
        <w:t xml:space="preserve">la Convention et les DO </w:t>
      </w:r>
      <w:r w:rsidR="00C10A1F" w:rsidRPr="00203BA5">
        <w:t xml:space="preserve">disent </w:t>
      </w:r>
      <w:r w:rsidR="005E3013" w:rsidRPr="00203BA5">
        <w:t xml:space="preserve">(et ne disent pas) </w:t>
      </w:r>
      <w:r w:rsidRPr="00203BA5">
        <w:t>sur</w:t>
      </w:r>
      <w:r w:rsidR="00C10A1F" w:rsidRPr="00203BA5">
        <w:t xml:space="preserve"> la participation </w:t>
      </w:r>
      <w:r w:rsidR="009867A4" w:rsidRPr="00203BA5">
        <w:t>des communautés</w:t>
      </w:r>
      <w:r w:rsidR="006D313C" w:rsidRPr="00203BA5">
        <w:t>.</w:t>
      </w:r>
    </w:p>
    <w:p w:rsidR="004325DC" w:rsidRPr="00203BA5" w:rsidRDefault="006D313C" w:rsidP="003043E7">
      <w:pPr>
        <w:pStyle w:val="Txtchap"/>
        <w:spacing w:after="60"/>
      </w:pPr>
      <w:r w:rsidRPr="00203BA5">
        <w:t xml:space="preserve">Pourquoi </w:t>
      </w:r>
      <w:r w:rsidR="00C10A1F" w:rsidRPr="00203BA5">
        <w:t xml:space="preserve">la participation </w:t>
      </w:r>
      <w:r w:rsidR="009867A4" w:rsidRPr="00203BA5">
        <w:t>des communautés</w:t>
      </w:r>
      <w:r w:rsidR="00C10A1F" w:rsidRPr="00203BA5">
        <w:t xml:space="preserve"> est-elle requise</w:t>
      </w:r>
      <w:r w:rsidR="005E3013" w:rsidRPr="00203BA5">
        <w:t>.</w:t>
      </w:r>
    </w:p>
    <w:p w:rsidR="004325DC" w:rsidRPr="00203BA5" w:rsidRDefault="006D313C" w:rsidP="003043E7">
      <w:pPr>
        <w:pStyle w:val="Txtchap"/>
        <w:spacing w:after="60"/>
      </w:pPr>
      <w:r w:rsidRPr="00203BA5">
        <w:t xml:space="preserve">Quand </w:t>
      </w:r>
      <w:r w:rsidR="00C10A1F" w:rsidRPr="00203BA5">
        <w:t xml:space="preserve">la participation et le consentement </w:t>
      </w:r>
      <w:r w:rsidR="009867A4" w:rsidRPr="00203BA5">
        <w:t>des communautés</w:t>
      </w:r>
      <w:r w:rsidR="00C10A1F" w:rsidRPr="00203BA5">
        <w:t xml:space="preserve"> sont-ils requis</w:t>
      </w:r>
      <w:r w:rsidR="005E3013" w:rsidRPr="00203BA5">
        <w:t>.</w:t>
      </w:r>
    </w:p>
    <w:p w:rsidR="004325DC" w:rsidRPr="00203BA5" w:rsidRDefault="006D313C" w:rsidP="003043E7">
      <w:pPr>
        <w:pStyle w:val="Txtchap"/>
        <w:spacing w:after="60"/>
      </w:pPr>
      <w:r w:rsidRPr="00203BA5">
        <w:t xml:space="preserve">Organiser </w:t>
      </w:r>
      <w:r w:rsidR="00C10A1F" w:rsidRPr="00203BA5">
        <w:t xml:space="preserve">la participation </w:t>
      </w:r>
      <w:r w:rsidR="009867A4" w:rsidRPr="00203BA5">
        <w:t>des communautés</w:t>
      </w:r>
      <w:r w:rsidR="00C10A1F" w:rsidRPr="00203BA5">
        <w:t xml:space="preserve"> à l</w:t>
      </w:r>
      <w:r w:rsidR="00A61E6D" w:rsidRPr="00203BA5">
        <w:t>’</w:t>
      </w:r>
      <w:r w:rsidR="00C10A1F" w:rsidRPr="00203BA5">
        <w:t xml:space="preserve">inventaire, la sensibilisation, la préparation </w:t>
      </w:r>
      <w:r w:rsidR="00F669DC" w:rsidRPr="00203BA5">
        <w:t>des dossiers de candidature et d</w:t>
      </w:r>
      <w:r w:rsidR="00C10A1F" w:rsidRPr="00203BA5">
        <w:t>es demandes d</w:t>
      </w:r>
      <w:r w:rsidR="00A61E6D" w:rsidRPr="00203BA5">
        <w:t>’</w:t>
      </w:r>
      <w:r w:rsidR="00C10A1F" w:rsidRPr="00203BA5">
        <w:t>assistance internationale</w:t>
      </w:r>
      <w:r w:rsidRPr="00203BA5">
        <w:t>.</w:t>
      </w:r>
    </w:p>
    <w:p w:rsidR="004325DC" w:rsidRPr="00203BA5" w:rsidRDefault="006D313C" w:rsidP="003043E7">
      <w:pPr>
        <w:pStyle w:val="Txtchap"/>
        <w:spacing w:after="60"/>
      </w:pPr>
      <w:r w:rsidRPr="00203BA5">
        <w:t>L</w:t>
      </w:r>
      <w:r w:rsidR="00A61E6D" w:rsidRPr="00203BA5">
        <w:t>’</w:t>
      </w:r>
      <w:r w:rsidRPr="00203BA5">
        <w:t xml:space="preserve">identification </w:t>
      </w:r>
      <w:r w:rsidR="00F669DC" w:rsidRPr="00203BA5">
        <w:t>des communautés et</w:t>
      </w:r>
      <w:r w:rsidR="00C10A1F" w:rsidRPr="00203BA5">
        <w:t xml:space="preserve"> leurs représentants, l</w:t>
      </w:r>
      <w:r w:rsidR="00A61E6D" w:rsidRPr="00203BA5">
        <w:t>’</w:t>
      </w:r>
      <w:r w:rsidR="00C10A1F" w:rsidRPr="00203BA5">
        <w:t>obtention de leur consentement libre, préalable et éclairé, la protection de leurs droits et l</w:t>
      </w:r>
      <w:r w:rsidR="00A61E6D" w:rsidRPr="00203BA5">
        <w:t>’</w:t>
      </w:r>
      <w:r w:rsidR="00C10A1F" w:rsidRPr="00203BA5">
        <w:t>assurance qu</w:t>
      </w:r>
      <w:r w:rsidR="00A61E6D" w:rsidRPr="00203BA5">
        <w:t>’</w:t>
      </w:r>
      <w:r w:rsidR="00C10A1F" w:rsidRPr="00203BA5">
        <w:t>ils bénéficient de la mise en œuvre de la Convention.</w:t>
      </w:r>
    </w:p>
    <w:p w:rsidR="004325DC" w:rsidRPr="00203BA5" w:rsidRDefault="00C10A1F" w:rsidP="00150FFB">
      <w:pPr>
        <w:pStyle w:val="Chapinfo"/>
      </w:pPr>
      <w:r w:rsidRPr="00203BA5">
        <w:t>Rubriques pertinentes</w:t>
      </w:r>
      <w:r w:rsidR="00F669DC" w:rsidRPr="00203BA5">
        <w:t xml:space="preserve"> à consulter</w:t>
      </w:r>
      <w:r w:rsidRPr="00203BA5">
        <w:t xml:space="preserve"> </w:t>
      </w:r>
      <w:r w:rsidR="0015366F" w:rsidRPr="00203BA5">
        <w:t xml:space="preserve">dans </w:t>
      </w:r>
      <w:r w:rsidR="00F01719" w:rsidRPr="00203BA5">
        <w:t xml:space="preserve">le </w:t>
      </w:r>
      <w:r w:rsidR="0075652A" w:rsidRPr="00203BA5">
        <w:t xml:space="preserve">Texte </w:t>
      </w:r>
      <w:r w:rsidR="0015366F" w:rsidRPr="00203BA5">
        <w:t>d</w:t>
      </w:r>
      <w:r w:rsidR="003D020C" w:rsidRPr="00203BA5">
        <w:t>u</w:t>
      </w:r>
      <w:r w:rsidR="0015366F" w:rsidRPr="00203BA5">
        <w:t xml:space="preserve"> </w:t>
      </w:r>
      <w:r w:rsidR="0075652A" w:rsidRPr="00203BA5">
        <w:t>participant</w:t>
      </w:r>
      <w:r w:rsidR="00F01719" w:rsidRPr="00203BA5">
        <w:t xml:space="preserve"> </w:t>
      </w:r>
      <w:r w:rsidR="005F65DE" w:rsidRPr="00203BA5">
        <w:t>de l’</w:t>
      </w:r>
      <w:r w:rsidR="00F01719" w:rsidRPr="00203BA5">
        <w:t>Unité 3</w:t>
      </w:r>
      <w:r w:rsidR="00EA1FE1" w:rsidRPr="00203BA5">
        <w:t> :</w:t>
      </w:r>
      <w:r w:rsidR="00043DFF" w:rsidRPr="00203BA5">
        <w:t xml:space="preserve"> « </w:t>
      </w:r>
      <w:r w:rsidRPr="00203BA5">
        <w:t>Communautés, groupes et individus</w:t>
      </w:r>
      <w:r w:rsidR="00461004" w:rsidRPr="00203BA5">
        <w:t xml:space="preserve"> », </w:t>
      </w:r>
      <w:r w:rsidR="00043DFF" w:rsidRPr="00203BA5">
        <w:t>« </w:t>
      </w:r>
      <w:r w:rsidRPr="00203BA5">
        <w:t>Consentement libre, préalable et éclairé</w:t>
      </w:r>
      <w:r w:rsidR="00461004" w:rsidRPr="00203BA5">
        <w:t xml:space="preserve"> », </w:t>
      </w:r>
      <w:r w:rsidR="00043DFF" w:rsidRPr="00203BA5">
        <w:t>« </w:t>
      </w:r>
      <w:r w:rsidRPr="00203BA5">
        <w:t>Communautés autochtones</w:t>
      </w:r>
      <w:r w:rsidR="00043DFF" w:rsidRPr="00203BA5">
        <w:t xml:space="preserve"> » </w:t>
      </w:r>
      <w:r w:rsidRPr="00203BA5">
        <w:t>et</w:t>
      </w:r>
      <w:r w:rsidR="00043DFF" w:rsidRPr="00203BA5">
        <w:t xml:space="preserve"> « </w:t>
      </w:r>
      <w:r w:rsidRPr="00203BA5">
        <w:t>Propriété intellectuelle</w:t>
      </w:r>
      <w:r w:rsidR="00461004" w:rsidRPr="00203BA5">
        <w:t> ».</w:t>
      </w:r>
    </w:p>
    <w:p w:rsidR="0082446F" w:rsidRPr="00203BA5" w:rsidRDefault="00F669DC" w:rsidP="00150FFB">
      <w:pPr>
        <w:pStyle w:val="Chapinfo"/>
      </w:pPr>
      <w:r w:rsidRPr="00203BA5">
        <w:lastRenderedPageBreak/>
        <w:t>On peut trouver</w:t>
      </w:r>
      <w:r w:rsidR="005E3013" w:rsidRPr="00203BA5">
        <w:t xml:space="preserve"> des e</w:t>
      </w:r>
      <w:r w:rsidR="00F01719" w:rsidRPr="00203BA5">
        <w:rPr>
          <w:i w:val="0"/>
          <w:iCs w:val="0"/>
          <w:noProof/>
          <w:lang w:eastAsia="fr-FR"/>
        </w:rPr>
        <w:drawing>
          <wp:anchor distT="0" distB="0" distL="114300" distR="114300" simplePos="0" relativeHeight="251850240" behindDoc="1" locked="1" layoutInCell="1" allowOverlap="0">
            <wp:simplePos x="0" y="0"/>
            <wp:positionH relativeFrom="margin">
              <wp:posOffset>360045</wp:posOffset>
            </wp:positionH>
            <wp:positionV relativeFrom="margin">
              <wp:posOffset>1800225</wp:posOffset>
            </wp:positionV>
            <wp:extent cx="4870411" cy="4498145"/>
            <wp:effectExtent l="0" t="0" r="6985" b="0"/>
            <wp:wrapNone/>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r w:rsidR="005E3013" w:rsidRPr="00203BA5">
        <w:t>xemples illustra</w:t>
      </w:r>
      <w:r w:rsidR="00AB36A6" w:rsidRPr="00203BA5">
        <w:t>tifs de</w:t>
      </w:r>
      <w:r w:rsidR="00C10A1F" w:rsidRPr="00203BA5">
        <w:t xml:space="preserve"> </w:t>
      </w:r>
      <w:r w:rsidR="0082446F" w:rsidRPr="00203BA5">
        <w:t>la présen</w:t>
      </w:r>
      <w:r w:rsidR="008D5B4A" w:rsidRPr="00203BA5">
        <w:t>te unité</w:t>
      </w:r>
      <w:r w:rsidR="00C10A1F" w:rsidRPr="00203BA5">
        <w:t xml:space="preserve"> dans</w:t>
      </w:r>
      <w:r w:rsidR="00F01719" w:rsidRPr="00203BA5">
        <w:t xml:space="preserve"> les</w:t>
      </w:r>
      <w:r w:rsidR="00C10A1F" w:rsidRPr="00203BA5">
        <w:t xml:space="preserve"> </w:t>
      </w:r>
      <w:r w:rsidR="00D65E8C" w:rsidRPr="00203BA5">
        <w:t xml:space="preserve">Études </w:t>
      </w:r>
      <w:r w:rsidR="00C10A1F" w:rsidRPr="00203BA5">
        <w:t>de cas</w:t>
      </w:r>
      <w:r w:rsidR="009867A4" w:rsidRPr="00203BA5">
        <w:t> </w:t>
      </w:r>
      <w:r w:rsidR="00C10A1F" w:rsidRPr="00203BA5">
        <w:t>9</w:t>
      </w:r>
      <w:r w:rsidR="0015366F" w:rsidRPr="00203BA5">
        <w:t xml:space="preserve"> à</w:t>
      </w:r>
      <w:r w:rsidR="00AB36A6" w:rsidRPr="00203BA5">
        <w:t xml:space="preserve"> </w:t>
      </w:r>
      <w:r w:rsidR="00C10A1F" w:rsidRPr="00203BA5">
        <w:t>13.</w:t>
      </w:r>
    </w:p>
    <w:p w:rsidR="004325DC" w:rsidRPr="0091036F" w:rsidRDefault="00993722" w:rsidP="0091036F">
      <w:pPr>
        <w:pStyle w:val="Titcoul"/>
        <w:spacing w:before="720" w:after="240" w:line="320" w:lineRule="exact"/>
        <w:ind w:left="851" w:hanging="851"/>
        <w:rPr>
          <w:rFonts w:ascii="Arial Bold" w:hAnsi="Arial Bold"/>
          <w:sz w:val="24"/>
          <w:lang w:val="fr-FR"/>
        </w:rPr>
      </w:pPr>
      <w:bookmarkStart w:id="8" w:name="_Toc238963223"/>
      <w:bookmarkStart w:id="9" w:name="_Toc241065109"/>
      <w:bookmarkStart w:id="10" w:name="_Toc301443356"/>
      <w:bookmarkStart w:id="11" w:name="_Toc321406999"/>
      <w:bookmarkStart w:id="12" w:name="_Toc354486623"/>
      <w:bookmarkStart w:id="13" w:name="_Toc354486929"/>
      <w:bookmarkStart w:id="14" w:name="_Toc247360204"/>
      <w:r w:rsidRPr="0091036F">
        <w:rPr>
          <w:rFonts w:ascii="Arial Bold" w:hAnsi="Arial Bold"/>
          <w:sz w:val="24"/>
          <w:lang w:val="fr-FR"/>
        </w:rPr>
        <w:t>7</w:t>
      </w:r>
      <w:r w:rsidR="00C10A1F" w:rsidRPr="0091036F">
        <w:rPr>
          <w:rFonts w:ascii="Arial Bold" w:hAnsi="Arial Bold"/>
          <w:sz w:val="24"/>
          <w:lang w:val="fr-FR"/>
        </w:rPr>
        <w:t>.1</w:t>
      </w:r>
      <w:bookmarkStart w:id="15" w:name="_Toc238963224"/>
      <w:bookmarkStart w:id="16" w:name="_Toc241065110"/>
      <w:bookmarkEnd w:id="8"/>
      <w:bookmarkEnd w:id="9"/>
      <w:r w:rsidR="0091036F" w:rsidRPr="0091036F">
        <w:rPr>
          <w:rFonts w:ascii="Arial Bold" w:hAnsi="Arial Bold"/>
          <w:sz w:val="24"/>
          <w:lang w:val="fr-FR"/>
        </w:rPr>
        <w:tab/>
      </w:r>
      <w:r w:rsidR="0091036F">
        <w:rPr>
          <w:rFonts w:ascii="Arial Bold" w:hAnsi="Arial Bold"/>
          <w:sz w:val="24"/>
          <w:lang w:val="fr-FR"/>
        </w:rPr>
        <w:tab/>
      </w:r>
      <w:r w:rsidR="00F669DC" w:rsidRPr="0091036F">
        <w:rPr>
          <w:rFonts w:ascii="Arial Bold" w:hAnsi="Arial Bold"/>
          <w:sz w:val="24"/>
          <w:lang w:val="fr-FR"/>
        </w:rPr>
        <w:t xml:space="preserve">ce </w:t>
      </w:r>
      <w:r w:rsidR="00581F97" w:rsidRPr="0091036F">
        <w:rPr>
          <w:rFonts w:ascii="Arial Bold" w:hAnsi="Arial Bold"/>
          <w:sz w:val="24"/>
          <w:lang w:val="fr-FR"/>
        </w:rPr>
        <w:t>q</w:t>
      </w:r>
      <w:r w:rsidR="00C10A1F" w:rsidRPr="0091036F">
        <w:rPr>
          <w:rFonts w:ascii="Arial Bold" w:hAnsi="Arial Bold"/>
          <w:sz w:val="24"/>
          <w:lang w:val="fr-FR"/>
        </w:rPr>
        <w:t>ue disent la Convention et les DO</w:t>
      </w:r>
      <w:bookmarkEnd w:id="10"/>
      <w:bookmarkEnd w:id="11"/>
      <w:bookmarkEnd w:id="12"/>
      <w:bookmarkEnd w:id="13"/>
      <w:bookmarkEnd w:id="14"/>
      <w:bookmarkEnd w:id="15"/>
      <w:bookmarkEnd w:id="16"/>
    </w:p>
    <w:p w:rsidR="004325DC" w:rsidRPr="00203BA5" w:rsidRDefault="00C10A1F" w:rsidP="00914287">
      <w:pPr>
        <w:pStyle w:val="Texte1"/>
      </w:pPr>
      <w:r w:rsidRPr="00203BA5">
        <w:t xml:space="preserve">La participation </w:t>
      </w:r>
      <w:r w:rsidR="009867A4" w:rsidRPr="00203BA5">
        <w:t>des communautés</w:t>
      </w:r>
      <w:r w:rsidRPr="00203BA5">
        <w:t xml:space="preserve"> à l</w:t>
      </w:r>
      <w:r w:rsidR="00A61E6D" w:rsidRPr="00203BA5">
        <w:t>’</w:t>
      </w:r>
      <w:r w:rsidRPr="00203BA5">
        <w:t>identification, l</w:t>
      </w:r>
      <w:r w:rsidR="00A61E6D" w:rsidRPr="00203BA5">
        <w:t>’</w:t>
      </w:r>
      <w:r w:rsidRPr="00203BA5">
        <w:t xml:space="preserve">inventaire, la gestion et la sauvegarde du </w:t>
      </w:r>
      <w:r w:rsidR="00EF5D5C" w:rsidRPr="00203BA5">
        <w:t>patrimoine culturel immatériel (</w:t>
      </w:r>
      <w:r w:rsidRPr="00203BA5">
        <w:t>PCI</w:t>
      </w:r>
      <w:r w:rsidR="00EF5D5C" w:rsidRPr="00203BA5">
        <w:t>)</w:t>
      </w:r>
      <w:r w:rsidRPr="00203BA5">
        <w:t xml:space="preserve"> est un principe </w:t>
      </w:r>
      <w:r w:rsidR="00644C2F" w:rsidRPr="00203BA5">
        <w:t>central</w:t>
      </w:r>
      <w:r w:rsidR="00EF5D5C" w:rsidRPr="00203BA5">
        <w:t xml:space="preserve"> de la Convention</w:t>
      </w:r>
      <w:r w:rsidRPr="00203BA5">
        <w:t xml:space="preserve"> (voir </w:t>
      </w:r>
      <w:r w:rsidR="00644C2F" w:rsidRPr="00203BA5">
        <w:t>article</w:t>
      </w:r>
      <w:r w:rsidR="00043DFF" w:rsidRPr="00203BA5">
        <w:t> </w:t>
      </w:r>
      <w:r w:rsidR="00EF5D5C" w:rsidRPr="00203BA5">
        <w:t>11(b) et</w:t>
      </w:r>
      <w:r w:rsidR="00644C2F" w:rsidRPr="00203BA5">
        <w:t xml:space="preserve"> article</w:t>
      </w:r>
      <w:r w:rsidR="00EF5D5C" w:rsidRPr="00203BA5">
        <w:t xml:space="preserve"> 15). Les États</w:t>
      </w:r>
      <w:r w:rsidRPr="00203BA5">
        <w:t xml:space="preserve"> peuvent </w:t>
      </w:r>
      <w:r w:rsidR="00644C2F" w:rsidRPr="00203BA5">
        <w:t>impliqu</w:t>
      </w:r>
      <w:r w:rsidRPr="00203BA5">
        <w:t xml:space="preserve">er les communautés dans diverses activités </w:t>
      </w:r>
      <w:r w:rsidR="00644C2F" w:rsidRPr="00203BA5">
        <w:t xml:space="preserve">en vertu </w:t>
      </w:r>
      <w:r w:rsidRPr="00203BA5">
        <w:t>de la Convention (ce</w:t>
      </w:r>
      <w:r w:rsidR="00644C2F" w:rsidRPr="00203BA5">
        <w:t xml:space="preserve"> point</w:t>
      </w:r>
      <w:r w:rsidRPr="00203BA5">
        <w:t xml:space="preserve"> est discuté plus </w:t>
      </w:r>
      <w:r w:rsidR="00644C2F" w:rsidRPr="00203BA5">
        <w:t>avant au paragraphe</w:t>
      </w:r>
      <w:r w:rsidR="005F65DE" w:rsidRPr="00203BA5">
        <w:t xml:space="preserve"> 7.4 du </w:t>
      </w:r>
      <w:r w:rsidR="00646D3D" w:rsidRPr="00203BA5">
        <w:t>Texte du participant</w:t>
      </w:r>
      <w:r w:rsidRPr="00203BA5">
        <w:t>).</w:t>
      </w:r>
    </w:p>
    <w:p w:rsidR="004325DC" w:rsidRPr="00203BA5" w:rsidRDefault="00C10A1F" w:rsidP="00914287">
      <w:pPr>
        <w:pStyle w:val="Texte1"/>
      </w:pPr>
      <w:r w:rsidRPr="00203BA5">
        <w:t xml:space="preserve">Toutefois, la Convention et les </w:t>
      </w:r>
      <w:r w:rsidR="00461004" w:rsidRPr="00203BA5">
        <w:t>DO </w:t>
      </w:r>
      <w:r w:rsidRPr="00203BA5">
        <w:t>n</w:t>
      </w:r>
      <w:r w:rsidR="00582C19" w:rsidRPr="00203BA5">
        <w:t>’apporte</w:t>
      </w:r>
      <w:r w:rsidRPr="00203BA5">
        <w:t xml:space="preserve">nt </w:t>
      </w:r>
      <w:r w:rsidR="00582C19" w:rsidRPr="00203BA5">
        <w:t>aucune</w:t>
      </w:r>
      <w:r w:rsidRPr="00203BA5">
        <w:t xml:space="preserve"> précis</w:t>
      </w:r>
      <w:r w:rsidR="00582C19" w:rsidRPr="00203BA5">
        <w:t>ion</w:t>
      </w:r>
      <w:r w:rsidRPr="00203BA5">
        <w:t xml:space="preserve"> sur la façon d</w:t>
      </w:r>
      <w:r w:rsidR="00A61E6D" w:rsidRPr="00203BA5">
        <w:t>’</w:t>
      </w:r>
      <w:r w:rsidRPr="00203BA5">
        <w:t xml:space="preserve">identifier les communautés, </w:t>
      </w:r>
      <w:r w:rsidR="00582C19" w:rsidRPr="00203BA5">
        <w:t xml:space="preserve">les </w:t>
      </w:r>
      <w:r w:rsidRPr="00203BA5">
        <w:t xml:space="preserve">groupes et </w:t>
      </w:r>
      <w:r w:rsidR="00582C19" w:rsidRPr="00203BA5">
        <w:t xml:space="preserve">les </w:t>
      </w:r>
      <w:r w:rsidRPr="00203BA5">
        <w:t>individus pertinents</w:t>
      </w:r>
      <w:r w:rsidR="00384E33" w:rsidRPr="00203BA5">
        <w:t xml:space="preserve">, </w:t>
      </w:r>
      <w:r w:rsidR="002B7AD7" w:rsidRPr="00203BA5">
        <w:t xml:space="preserve">de même </w:t>
      </w:r>
      <w:r w:rsidRPr="00203BA5">
        <w:t>qu</w:t>
      </w:r>
      <w:r w:rsidR="00A61E6D" w:rsidRPr="00203BA5">
        <w:t>’</w:t>
      </w:r>
      <w:r w:rsidRPr="00203BA5">
        <w:t xml:space="preserve">elles </w:t>
      </w:r>
      <w:r w:rsidR="002B7AD7" w:rsidRPr="00203BA5">
        <w:t>donnent peu d’orientations</w:t>
      </w:r>
      <w:r w:rsidRPr="00203BA5">
        <w:t xml:space="preserve"> sur la façon de les </w:t>
      </w:r>
      <w:r w:rsidR="002B7AD7" w:rsidRPr="00203BA5">
        <w:t>impliqu</w:t>
      </w:r>
      <w:r w:rsidRPr="00203BA5">
        <w:t xml:space="preserve">er dans des actions concernant leur </w:t>
      </w:r>
      <w:r w:rsidR="00A85270" w:rsidRPr="00203BA5">
        <w:t>PCI</w:t>
      </w:r>
      <w:r w:rsidRPr="00203BA5">
        <w:t xml:space="preserve">. Cela </w:t>
      </w:r>
      <w:r w:rsidR="00582C19" w:rsidRPr="00203BA5">
        <w:t>laisse</w:t>
      </w:r>
      <w:r w:rsidR="006E38CC" w:rsidRPr="00203BA5">
        <w:t xml:space="preserve"> </w:t>
      </w:r>
      <w:r w:rsidRPr="00203BA5">
        <w:t xml:space="preserve">une marge de manœuvre considérable aux États parties pour répondre à leur situation particulière. </w:t>
      </w:r>
      <w:r w:rsidR="00A5138D" w:rsidRPr="00203BA5">
        <w:t>Chacun peut, p</w:t>
      </w:r>
      <w:r w:rsidR="00901CBE" w:rsidRPr="00203BA5">
        <w:t>ar exemple</w:t>
      </w:r>
      <w:r w:rsidR="00A5138D" w:rsidRPr="00203BA5">
        <w:t>,</w:t>
      </w:r>
      <w:r w:rsidR="00901CBE" w:rsidRPr="00203BA5">
        <w:t xml:space="preserve"> aussi</w:t>
      </w:r>
      <w:r w:rsidRPr="00203BA5">
        <w:t xml:space="preserve"> </w:t>
      </w:r>
      <w:r w:rsidR="00A5138D" w:rsidRPr="00203BA5">
        <w:t>bien</w:t>
      </w:r>
      <w:r w:rsidRPr="00203BA5">
        <w:t xml:space="preserve"> commencer par identifier des éléme</w:t>
      </w:r>
      <w:r w:rsidR="00A5138D" w:rsidRPr="00203BA5">
        <w:t xml:space="preserve">nts spécifiques du PCI, puis </w:t>
      </w:r>
      <w:r w:rsidRPr="00203BA5">
        <w:t xml:space="preserve">travailler avec les personnes qui les pratiquent et </w:t>
      </w:r>
      <w:r w:rsidR="00FE65D5" w:rsidRPr="00203BA5">
        <w:t>les transmette</w:t>
      </w:r>
      <w:r w:rsidR="0082446F" w:rsidRPr="00203BA5">
        <w:t>nt</w:t>
      </w:r>
      <w:r w:rsidR="00FE65D5" w:rsidRPr="00203BA5">
        <w:t xml:space="preserve"> </w:t>
      </w:r>
      <w:r w:rsidRPr="00203BA5">
        <w:t>(qui seraient définies comme [appartenant à]</w:t>
      </w:r>
      <w:r w:rsidR="00043DFF" w:rsidRPr="00203BA5">
        <w:t xml:space="preserve"> « </w:t>
      </w:r>
      <w:r w:rsidRPr="00203BA5">
        <w:t>la communauté concernée</w:t>
      </w:r>
      <w:r w:rsidR="009867A4" w:rsidRPr="00203BA5">
        <w:t> »</w:t>
      </w:r>
      <w:r w:rsidRPr="00203BA5">
        <w:t>)</w:t>
      </w:r>
      <w:r w:rsidR="00EA1FE1" w:rsidRPr="00203BA5">
        <w:t> ;</w:t>
      </w:r>
      <w:r w:rsidR="00A5138D" w:rsidRPr="00203BA5">
        <w:t xml:space="preserve"> ou </w:t>
      </w:r>
      <w:r w:rsidR="000735AD" w:rsidRPr="00203BA5">
        <w:t xml:space="preserve">alors </w:t>
      </w:r>
      <w:r w:rsidR="00A5138D" w:rsidRPr="00203BA5">
        <w:t xml:space="preserve">commencer par </w:t>
      </w:r>
      <w:r w:rsidRPr="00203BA5">
        <w:t xml:space="preserve">identifier les communautés et ensuite, avec elles, </w:t>
      </w:r>
      <w:r w:rsidR="005B538B" w:rsidRPr="00AD244C">
        <w:rPr>
          <w:noProof/>
          <w:lang w:eastAsia="fr-FR"/>
        </w:rPr>
        <w:drawing>
          <wp:anchor distT="0" distB="0" distL="114300" distR="114300" simplePos="0" relativeHeight="252020224" behindDoc="0" locked="1" layoutInCell="1" allowOverlap="0" wp14:anchorId="6801C60F" wp14:editId="27181D05">
            <wp:simplePos x="0" y="0"/>
            <wp:positionH relativeFrom="margin">
              <wp:align>left</wp:align>
            </wp:positionH>
            <wp:positionV relativeFrom="paragraph">
              <wp:posOffset>1306195</wp:posOffset>
            </wp:positionV>
            <wp:extent cx="283210" cy="358775"/>
            <wp:effectExtent l="0" t="0" r="2540" b="3175"/>
            <wp:wrapThrough wrapText="bothSides">
              <wp:wrapPolygon edited="0">
                <wp:start x="0" y="0"/>
                <wp:lineTo x="0" y="20644"/>
                <wp:lineTo x="20341" y="20644"/>
                <wp:lineTo x="20341" y="0"/>
                <wp:lineTo x="0" y="0"/>
              </wp:wrapPolygon>
            </wp:wrapThrough>
            <wp:docPr id="2" name="Imag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203BA5">
        <w:t xml:space="preserve">identifier leur </w:t>
      </w:r>
      <w:r w:rsidR="0082446F" w:rsidRPr="00203BA5">
        <w:t>PCI (voir</w:t>
      </w:r>
      <w:r w:rsidR="00993722" w:rsidRPr="00203BA5">
        <w:t xml:space="preserve"> </w:t>
      </w:r>
      <w:r w:rsidR="00646D3D" w:rsidRPr="00203BA5">
        <w:t>Texte du participant</w:t>
      </w:r>
      <w:r w:rsidR="00537FD4" w:rsidRPr="00203BA5">
        <w:t xml:space="preserve"> de l’</w:t>
      </w:r>
      <w:r w:rsidR="00AC1382" w:rsidRPr="00203BA5">
        <w:t>Unité </w:t>
      </w:r>
      <w:r w:rsidR="00993722" w:rsidRPr="00203BA5">
        <w:t>3</w:t>
      </w:r>
      <w:r w:rsidR="00EA1FE1" w:rsidRPr="00203BA5">
        <w:t> :</w:t>
      </w:r>
      <w:r w:rsidR="00043DFF" w:rsidRPr="00203BA5">
        <w:t xml:space="preserve"> « </w:t>
      </w:r>
      <w:r w:rsidRPr="00203BA5">
        <w:t xml:space="preserve">Communautés, groupes et </w:t>
      </w:r>
      <w:r w:rsidR="009867A4" w:rsidRPr="00203BA5">
        <w:t>individus »</w:t>
      </w:r>
      <w:r w:rsidRPr="00203BA5">
        <w:t>).</w:t>
      </w:r>
    </w:p>
    <w:p w:rsidR="004325DC" w:rsidRPr="00362333" w:rsidRDefault="00993722" w:rsidP="0091036F">
      <w:pPr>
        <w:pStyle w:val="Titcoul"/>
        <w:spacing w:before="720" w:after="240" w:line="320" w:lineRule="exact"/>
        <w:ind w:left="851" w:hanging="851"/>
        <w:rPr>
          <w:rFonts w:ascii="Arial Bold" w:hAnsi="Arial Bold"/>
          <w:sz w:val="24"/>
          <w:lang w:val="fr-FR"/>
        </w:rPr>
      </w:pPr>
      <w:bookmarkStart w:id="17" w:name="_Toc238963225"/>
      <w:bookmarkStart w:id="18" w:name="_Toc241065111"/>
      <w:bookmarkStart w:id="19" w:name="_Toc301443357"/>
      <w:bookmarkStart w:id="20" w:name="_Toc321407000"/>
      <w:bookmarkStart w:id="21" w:name="_Toc354486624"/>
      <w:bookmarkStart w:id="22" w:name="_Toc354486930"/>
      <w:bookmarkStart w:id="23" w:name="_Toc247360205"/>
      <w:r w:rsidRPr="00362333">
        <w:rPr>
          <w:rFonts w:ascii="Arial Bold" w:hAnsi="Arial Bold"/>
          <w:sz w:val="24"/>
          <w:lang w:val="fr-FR"/>
        </w:rPr>
        <w:t>7</w:t>
      </w:r>
      <w:r w:rsidR="00C10A1F" w:rsidRPr="00362333">
        <w:rPr>
          <w:rFonts w:ascii="Arial Bold" w:hAnsi="Arial Bold"/>
          <w:sz w:val="24"/>
          <w:lang w:val="fr-FR"/>
        </w:rPr>
        <w:t>.2</w:t>
      </w:r>
      <w:bookmarkEnd w:id="17"/>
      <w:bookmarkEnd w:id="18"/>
      <w:r w:rsidR="0091036F" w:rsidRPr="00362333">
        <w:rPr>
          <w:rFonts w:ascii="Arial Bold" w:hAnsi="Arial Bold"/>
          <w:sz w:val="24"/>
          <w:lang w:val="fr-FR"/>
        </w:rPr>
        <w:tab/>
      </w:r>
      <w:r w:rsidR="009270A5" w:rsidRPr="00362333">
        <w:rPr>
          <w:rFonts w:ascii="Arial Bold" w:hAnsi="Arial Bold"/>
          <w:sz w:val="24"/>
          <w:lang w:val="fr-FR"/>
        </w:rPr>
        <w:tab/>
      </w:r>
      <w:bookmarkStart w:id="24" w:name="_Toc238963226"/>
      <w:bookmarkStart w:id="25" w:name="_Toc241065112"/>
      <w:r w:rsidR="00C10A1F" w:rsidRPr="00362333">
        <w:rPr>
          <w:rFonts w:ascii="Arial Bold" w:hAnsi="Arial Bold"/>
          <w:sz w:val="24"/>
          <w:lang w:val="fr-FR"/>
        </w:rPr>
        <w:t xml:space="preserve">Pourquoi </w:t>
      </w:r>
      <w:r w:rsidR="00D915D7" w:rsidRPr="00362333">
        <w:rPr>
          <w:rFonts w:ascii="Arial Bold" w:hAnsi="Arial Bold"/>
          <w:sz w:val="24"/>
          <w:lang w:val="fr-FR"/>
        </w:rPr>
        <w:t>la p</w:t>
      </w:r>
      <w:r w:rsidR="00C10A1F" w:rsidRPr="00362333">
        <w:rPr>
          <w:rFonts w:ascii="Arial Bold" w:hAnsi="Arial Bold"/>
          <w:sz w:val="24"/>
          <w:lang w:val="fr-FR"/>
        </w:rPr>
        <w:t xml:space="preserve">articipation </w:t>
      </w:r>
      <w:r w:rsidR="009867A4" w:rsidRPr="00362333">
        <w:rPr>
          <w:rFonts w:ascii="Arial Bold" w:hAnsi="Arial Bold"/>
          <w:sz w:val="24"/>
          <w:lang w:val="fr-FR"/>
        </w:rPr>
        <w:t xml:space="preserve">des </w:t>
      </w:r>
      <w:bookmarkEnd w:id="19"/>
      <w:bookmarkEnd w:id="20"/>
      <w:bookmarkEnd w:id="21"/>
      <w:bookmarkEnd w:id="22"/>
      <w:r w:rsidR="00EF6DBD" w:rsidRPr="00362333">
        <w:rPr>
          <w:rFonts w:ascii="Arial Bold" w:hAnsi="Arial Bold"/>
          <w:sz w:val="24"/>
          <w:lang w:val="fr-FR"/>
        </w:rPr>
        <w:t>communautÉs </w:t>
      </w:r>
      <w:r w:rsidR="00953DB9" w:rsidRPr="00362333">
        <w:rPr>
          <w:rFonts w:ascii="Arial Bold" w:hAnsi="Arial Bold"/>
          <w:sz w:val="24"/>
          <w:lang w:val="fr-FR"/>
        </w:rPr>
        <w:t>?</w:t>
      </w:r>
      <w:bookmarkEnd w:id="23"/>
      <w:bookmarkEnd w:id="24"/>
      <w:bookmarkEnd w:id="25"/>
    </w:p>
    <w:p w:rsidR="004325DC" w:rsidRPr="00203BA5" w:rsidRDefault="00C10A1F" w:rsidP="00914287">
      <w:pPr>
        <w:pStyle w:val="Texte1"/>
      </w:pPr>
      <w:r w:rsidRPr="00203BA5">
        <w:t xml:space="preserve">Le </w:t>
      </w:r>
      <w:r w:rsidR="0082446F" w:rsidRPr="00203BA5">
        <w:t>patrimoine</w:t>
      </w:r>
      <w:r w:rsidR="00BB2FF5" w:rsidRPr="00203BA5">
        <w:t xml:space="preserve"> immatériel</w:t>
      </w:r>
      <w:r w:rsidRPr="00203BA5">
        <w:t xml:space="preserve"> n</w:t>
      </w:r>
      <w:r w:rsidR="00A61E6D" w:rsidRPr="00203BA5">
        <w:t>’</w:t>
      </w:r>
      <w:r w:rsidRPr="00203BA5">
        <w:t>existe pas indépendamment des gens (communautés, groupes et individus) qui le créen</w:t>
      </w:r>
      <w:r w:rsidR="0082446F" w:rsidRPr="00203BA5">
        <w:t>t, le représentent et</w:t>
      </w:r>
      <w:r w:rsidRPr="00203BA5">
        <w:t xml:space="preserve"> s</w:t>
      </w:r>
      <w:r w:rsidR="00A61E6D" w:rsidRPr="00203BA5">
        <w:t>’</w:t>
      </w:r>
      <w:r w:rsidRPr="00203BA5">
        <w:t xml:space="preserve">identifient à lui. </w:t>
      </w:r>
      <w:r w:rsidR="007D066E" w:rsidRPr="00203BA5">
        <w:t>L</w:t>
      </w:r>
      <w:r w:rsidRPr="00203BA5">
        <w:t>es connaissances et le</w:t>
      </w:r>
      <w:r w:rsidR="0012560A" w:rsidRPr="00203BA5">
        <w:t>s compétences</w:t>
      </w:r>
      <w:r w:rsidRPr="00203BA5">
        <w:t xml:space="preserve"> requis</w:t>
      </w:r>
      <w:r w:rsidR="0012560A" w:rsidRPr="00203BA5">
        <w:t>es</w:t>
      </w:r>
      <w:r w:rsidRPr="00203BA5">
        <w:t xml:space="preserve"> pour représenter et transmettre le PCI</w:t>
      </w:r>
      <w:r w:rsidR="007D066E" w:rsidRPr="00203BA5">
        <w:t xml:space="preserve"> </w:t>
      </w:r>
      <w:r w:rsidR="007D1A06" w:rsidRPr="00203BA5">
        <w:t xml:space="preserve">résident dans leur esprit, tandis que leur corps est </w:t>
      </w:r>
      <w:r w:rsidRPr="00203BA5">
        <w:t>le</w:t>
      </w:r>
      <w:r w:rsidR="007D1A06" w:rsidRPr="00203BA5">
        <w:t>ur</w:t>
      </w:r>
      <w:r w:rsidRPr="00203BA5">
        <w:t xml:space="preserve"> princip</w:t>
      </w:r>
      <w:r w:rsidR="007D1A06" w:rsidRPr="00203BA5">
        <w:t>al instrument de représentation</w:t>
      </w:r>
      <w:r w:rsidRPr="00203BA5">
        <w:t>. C</w:t>
      </w:r>
      <w:r w:rsidR="00A61E6D" w:rsidRPr="00203BA5">
        <w:t>’</w:t>
      </w:r>
      <w:r w:rsidRPr="00203BA5">
        <w:t xml:space="preserve">est pourquoi la sauvegarde qui est souvent </w:t>
      </w:r>
      <w:r w:rsidR="000154AA" w:rsidRPr="00203BA5">
        <w:t>définie</w:t>
      </w:r>
      <w:r w:rsidRPr="00203BA5">
        <w:t xml:space="preserve"> comme</w:t>
      </w:r>
      <w:r w:rsidR="000154AA" w:rsidRPr="00203BA5">
        <w:t xml:space="preserve"> garant de </w:t>
      </w:r>
      <w:r w:rsidR="00043DFF" w:rsidRPr="00203BA5">
        <w:t>« </w:t>
      </w:r>
      <w:r w:rsidRPr="00203BA5">
        <w:t>la pratique et la transmission continues</w:t>
      </w:r>
      <w:r w:rsidR="00043DFF" w:rsidRPr="00203BA5">
        <w:t xml:space="preserve"> » </w:t>
      </w:r>
      <w:r w:rsidRPr="00203BA5">
        <w:t xml:space="preserve">par les communautés, </w:t>
      </w:r>
      <w:r w:rsidR="000154AA" w:rsidRPr="00203BA5">
        <w:t>les g</w:t>
      </w:r>
      <w:r w:rsidRPr="00203BA5">
        <w:t xml:space="preserve">roupes et </w:t>
      </w:r>
      <w:r w:rsidR="000154AA" w:rsidRPr="00203BA5">
        <w:t xml:space="preserve">les </w:t>
      </w:r>
      <w:r w:rsidRPr="00203BA5">
        <w:t>individus concernés, ne d</w:t>
      </w:r>
      <w:r w:rsidR="000154AA" w:rsidRPr="00203BA5">
        <w:t>o</w:t>
      </w:r>
      <w:r w:rsidRPr="00203BA5">
        <w:t>it pas s</w:t>
      </w:r>
      <w:r w:rsidR="00A61E6D" w:rsidRPr="00203BA5">
        <w:t>’</w:t>
      </w:r>
      <w:r w:rsidRPr="00203BA5">
        <w:t>opérer sans leur consentement, leur implication et leur engagement. Il en va de même de la gestion des éléments du PCI qui ne sont nullement menacés et qui ne nécessitent donc aucune intervention de sauvegarde pour maintenir leur viabilité (</w:t>
      </w:r>
      <w:r w:rsidR="00043DFF" w:rsidRPr="00203BA5">
        <w:t>article </w:t>
      </w:r>
      <w:r w:rsidRPr="00203BA5">
        <w:t>15).</w:t>
      </w:r>
    </w:p>
    <w:p w:rsidR="004325DC" w:rsidRPr="00203BA5" w:rsidRDefault="00C10A1F" w:rsidP="00914287">
      <w:pPr>
        <w:pStyle w:val="Texte1"/>
      </w:pPr>
      <w:r w:rsidRPr="00203BA5">
        <w:t xml:space="preserve">Ainsi donc, toute activité </w:t>
      </w:r>
      <w:r w:rsidR="00B37317" w:rsidRPr="00203BA5">
        <w:t xml:space="preserve">ayant trait à </w:t>
      </w:r>
      <w:r w:rsidRPr="00203BA5">
        <w:t>un élément du PCI quel qu</w:t>
      </w:r>
      <w:r w:rsidR="00A61E6D" w:rsidRPr="00203BA5">
        <w:t>’</w:t>
      </w:r>
      <w:r w:rsidRPr="00203BA5">
        <w:t>il soit, menée dans le cadre de la mi</w:t>
      </w:r>
      <w:r w:rsidR="00A80687" w:rsidRPr="00203BA5">
        <w:t>se en œuvre de la Convention</w:t>
      </w:r>
      <w:r w:rsidRPr="00203BA5">
        <w:t xml:space="preserve">, doit se dérouler avec la plus ample participation possible et le consentement des communautés, groupes et individus concernés. Aucune des activités envisagées au titre </w:t>
      </w:r>
      <w:r w:rsidR="00EF6DBD" w:rsidRPr="00203BA5">
        <w:t xml:space="preserve">de </w:t>
      </w:r>
      <w:r w:rsidRPr="00203BA5">
        <w:t>la Convention, dans le cadre de sa mise en application, n</w:t>
      </w:r>
      <w:r w:rsidR="00A61E6D" w:rsidRPr="00203BA5">
        <w:t>’</w:t>
      </w:r>
      <w:r w:rsidRPr="00203BA5">
        <w:t xml:space="preserve">est censée </w:t>
      </w:r>
      <w:r w:rsidR="00F00130" w:rsidRPr="00203BA5">
        <w:t>amene</w:t>
      </w:r>
      <w:r w:rsidRPr="00203BA5">
        <w:t>r un changement dans la maîtrise qu</w:t>
      </w:r>
      <w:r w:rsidR="00A61E6D" w:rsidRPr="00203BA5">
        <w:t>’</w:t>
      </w:r>
      <w:r w:rsidRPr="00203BA5">
        <w:t xml:space="preserve">en </w:t>
      </w:r>
      <w:r w:rsidR="00EF6DBD" w:rsidRPr="00203BA5">
        <w:t xml:space="preserve">ont les </w:t>
      </w:r>
      <w:r w:rsidR="00F00130" w:rsidRPr="00203BA5">
        <w:t>intéress</w:t>
      </w:r>
      <w:r w:rsidR="00EF6DBD" w:rsidRPr="00203BA5">
        <w:t>és</w:t>
      </w:r>
      <w:r w:rsidRPr="00203BA5">
        <w:t>.</w:t>
      </w:r>
    </w:p>
    <w:p w:rsidR="004325DC" w:rsidRPr="00203BA5" w:rsidRDefault="00C10A1F" w:rsidP="00914287">
      <w:pPr>
        <w:pStyle w:val="Texte1"/>
      </w:pPr>
      <w:r w:rsidRPr="00203BA5">
        <w:t>Avant l</w:t>
      </w:r>
      <w:r w:rsidR="00A61E6D" w:rsidRPr="00203BA5">
        <w:t>’</w:t>
      </w:r>
      <w:r w:rsidRPr="00203BA5">
        <w:t xml:space="preserve">entrée en vigueur de la Convention, les communautés à travers le monde </w:t>
      </w:r>
      <w:r w:rsidR="001B093D" w:rsidRPr="00203BA5">
        <w:t>s’efforç</w:t>
      </w:r>
      <w:r w:rsidRPr="00203BA5">
        <w:t xml:space="preserve">aient </w:t>
      </w:r>
      <w:r w:rsidR="008E39FA" w:rsidRPr="00203BA5">
        <w:t>bien entendu</w:t>
      </w:r>
      <w:r w:rsidRPr="00203BA5">
        <w:t xml:space="preserve"> de </w:t>
      </w:r>
      <w:r w:rsidR="001B093D" w:rsidRPr="00203BA5">
        <w:t>sauvegarder des éléments du PCI,</w:t>
      </w:r>
      <w:r w:rsidRPr="00203BA5">
        <w:t xml:space="preserve"> avec ou sans aide extérieure et </w:t>
      </w:r>
      <w:r w:rsidR="00A80687" w:rsidRPr="00203BA5">
        <w:t>avec</w:t>
      </w:r>
      <w:r w:rsidRPr="00203BA5">
        <w:t xml:space="preserve"> </w:t>
      </w:r>
      <w:r w:rsidR="001B093D" w:rsidRPr="00203BA5">
        <w:t>plus ou moins de succès</w:t>
      </w:r>
      <w:r w:rsidRPr="00203BA5">
        <w:t xml:space="preserve">. </w:t>
      </w:r>
      <w:r w:rsidR="008E39FA" w:rsidRPr="00203BA5">
        <w:t>C</w:t>
      </w:r>
      <w:r w:rsidRPr="00203BA5">
        <w:t xml:space="preserve">ependant, </w:t>
      </w:r>
      <w:r w:rsidR="00FF3C51" w:rsidRPr="00203BA5">
        <w:t>il leur est arrivé bien souvent de constater</w:t>
      </w:r>
      <w:r w:rsidRPr="00203BA5">
        <w:t xml:space="preserve"> que leur PCI était difficile, voire impossible à sauvegarder, </w:t>
      </w:r>
      <w:r w:rsidR="00241985" w:rsidRPr="00203BA5">
        <w:t xml:space="preserve">soit qu’elles ne </w:t>
      </w:r>
      <w:r w:rsidR="00241985" w:rsidRPr="00203BA5">
        <w:lastRenderedPageBreak/>
        <w:t xml:space="preserve">disposaient pas des </w:t>
      </w:r>
      <w:r w:rsidRPr="00203BA5">
        <w:t xml:space="preserve">moyens </w:t>
      </w:r>
      <w:r w:rsidR="00241985" w:rsidRPr="00203BA5">
        <w:t>suffisant</w:t>
      </w:r>
      <w:r w:rsidRPr="00203BA5">
        <w:t>s, que les conditions n</w:t>
      </w:r>
      <w:r w:rsidR="00A61E6D" w:rsidRPr="00203BA5">
        <w:t>’</w:t>
      </w:r>
      <w:r w:rsidRPr="00203BA5">
        <w:t>étaient pas pr</w:t>
      </w:r>
      <w:r w:rsidR="00A80687" w:rsidRPr="00203BA5">
        <w:t xml:space="preserve">opices à la sauvegarde ou </w:t>
      </w:r>
      <w:r w:rsidRPr="00203BA5">
        <w:t>qu</w:t>
      </w:r>
      <w:r w:rsidR="00A80687" w:rsidRPr="00203BA5">
        <w:t>e</w:t>
      </w:r>
      <w:r w:rsidRPr="00203BA5">
        <w:t xml:space="preserve"> </w:t>
      </w:r>
      <w:r w:rsidR="00A80687" w:rsidRPr="00203BA5">
        <w:t xml:space="preserve">l’élément </w:t>
      </w:r>
      <w:r w:rsidR="00241985" w:rsidRPr="00203BA5">
        <w:t xml:space="preserve">semblait </w:t>
      </w:r>
      <w:r w:rsidR="00A80687" w:rsidRPr="00203BA5">
        <w:t>avoir</w:t>
      </w:r>
      <w:r w:rsidRPr="00203BA5">
        <w:t xml:space="preserve"> perdu sa fonction pour la communauté.</w:t>
      </w:r>
    </w:p>
    <w:p w:rsidR="004325DC" w:rsidRDefault="00993722" w:rsidP="0091036F">
      <w:pPr>
        <w:pStyle w:val="Titcoul"/>
        <w:spacing w:before="720" w:after="240" w:line="320" w:lineRule="exact"/>
        <w:ind w:left="851" w:hanging="851"/>
        <w:rPr>
          <w:sz w:val="24"/>
          <w:szCs w:val="24"/>
          <w:lang w:val="fr-FR"/>
        </w:rPr>
      </w:pPr>
      <w:bookmarkStart w:id="26" w:name="_Toc238963227"/>
      <w:bookmarkStart w:id="27" w:name="_Toc241065113"/>
      <w:bookmarkStart w:id="28" w:name="_Toc301443358"/>
      <w:bookmarkStart w:id="29" w:name="_Toc321407001"/>
      <w:bookmarkStart w:id="30" w:name="_Toc354486625"/>
      <w:bookmarkStart w:id="31" w:name="_Toc354486931"/>
      <w:bookmarkStart w:id="32" w:name="_Toc247360206"/>
      <w:r w:rsidRPr="005B538B">
        <w:rPr>
          <w:sz w:val="24"/>
          <w:szCs w:val="24"/>
          <w:lang w:val="fr-FR"/>
        </w:rPr>
        <w:t>7</w:t>
      </w:r>
      <w:r w:rsidR="00C10A1F" w:rsidRPr="005B538B">
        <w:rPr>
          <w:sz w:val="24"/>
          <w:szCs w:val="24"/>
          <w:lang w:val="fr-FR"/>
        </w:rPr>
        <w:t>.3</w:t>
      </w:r>
      <w:bookmarkEnd w:id="26"/>
      <w:bookmarkEnd w:id="27"/>
      <w:r w:rsidR="009270A5" w:rsidRPr="005B538B">
        <w:rPr>
          <w:sz w:val="24"/>
          <w:szCs w:val="24"/>
          <w:lang w:val="fr-FR"/>
        </w:rPr>
        <w:tab/>
      </w:r>
      <w:bookmarkStart w:id="33" w:name="_Toc238963228"/>
      <w:bookmarkStart w:id="34" w:name="_Toc241065114"/>
      <w:r w:rsidR="0091036F">
        <w:rPr>
          <w:sz w:val="24"/>
          <w:szCs w:val="24"/>
          <w:lang w:val="fr-FR"/>
        </w:rPr>
        <w:tab/>
      </w:r>
      <w:r w:rsidR="00241985" w:rsidRPr="005B538B">
        <w:rPr>
          <w:sz w:val="24"/>
          <w:szCs w:val="24"/>
          <w:lang w:val="fr-FR"/>
        </w:rPr>
        <w:t xml:space="preserve">la </w:t>
      </w:r>
      <w:r w:rsidR="00C10A1F" w:rsidRPr="005B538B">
        <w:rPr>
          <w:sz w:val="24"/>
          <w:szCs w:val="24"/>
          <w:lang w:val="fr-FR"/>
        </w:rPr>
        <w:t xml:space="preserve">Participation </w:t>
      </w:r>
      <w:r w:rsidR="009867A4" w:rsidRPr="005B538B">
        <w:rPr>
          <w:sz w:val="24"/>
          <w:szCs w:val="24"/>
          <w:lang w:val="fr-FR"/>
        </w:rPr>
        <w:t xml:space="preserve">des </w:t>
      </w:r>
      <w:r w:rsidR="00EF6DBD" w:rsidRPr="005B538B">
        <w:rPr>
          <w:sz w:val="24"/>
          <w:szCs w:val="24"/>
          <w:lang w:val="fr-FR"/>
        </w:rPr>
        <w:t xml:space="preserve">communautÉs </w:t>
      </w:r>
      <w:r w:rsidR="00C10A1F" w:rsidRPr="005B538B">
        <w:rPr>
          <w:sz w:val="24"/>
          <w:szCs w:val="24"/>
          <w:lang w:val="fr-FR"/>
        </w:rPr>
        <w:t>à quoi</w:t>
      </w:r>
      <w:bookmarkEnd w:id="28"/>
      <w:bookmarkEnd w:id="29"/>
      <w:bookmarkEnd w:id="30"/>
      <w:bookmarkEnd w:id="31"/>
      <w:r w:rsidR="00953DB9" w:rsidRPr="005B538B">
        <w:rPr>
          <w:sz w:val="24"/>
          <w:szCs w:val="24"/>
          <w:lang w:val="fr-FR"/>
        </w:rPr>
        <w:t> ?</w:t>
      </w:r>
      <w:bookmarkEnd w:id="32"/>
      <w:bookmarkEnd w:id="33"/>
      <w:bookmarkEnd w:id="34"/>
    </w:p>
    <w:p w:rsidR="005B538B" w:rsidRPr="00203BA5" w:rsidRDefault="005B538B" w:rsidP="005B538B">
      <w:pPr>
        <w:pStyle w:val="Texte1"/>
      </w:pPr>
      <w:r w:rsidRPr="00203BA5">
        <w:t>La participation communautaire doit être un objectif central du continuum d’actions menées dans le cadre de la mise en œuvre de la Convention : c’est aux communautés, groupes et individus concernés qu’il appartient en définitive de sauvegarder les éléments spécifiques du PCI. Les DO invitent les États parties à soutenir, le cas échéant, les communautés concernées dans l’acquisition ou le renforcement des capacités et des connaissances indispensables à la sauvegarde et la gestion de leur PCI (par ex. voir DO 81, 82, 105(e) et 107(m)).</w:t>
      </w:r>
    </w:p>
    <w:p w:rsidR="005B538B" w:rsidRPr="00203BA5" w:rsidRDefault="005B538B" w:rsidP="005B538B">
      <w:pPr>
        <w:pStyle w:val="Texte1"/>
      </w:pPr>
      <w:r w:rsidRPr="00203BA5">
        <w:t>Le Tableau 1 présente les modalités requises pour la participation et le consentement des communautés dans la Convention et les DO.</w:t>
      </w:r>
    </w:p>
    <w:p w:rsidR="005B538B" w:rsidRPr="005B538B" w:rsidRDefault="005B538B" w:rsidP="001319E2">
      <w:pPr>
        <w:pStyle w:val="Tabtit"/>
        <w:spacing w:line="240" w:lineRule="auto"/>
      </w:pPr>
      <w:r w:rsidRPr="00203BA5">
        <w:t>Tableau 1. Conditions de participation et de consentement des communautés requises dans la Convention et les Directives opérationnelles</w:t>
      </w:r>
    </w:p>
    <w:tbl>
      <w:tblPr>
        <w:tblpPr w:leftFromText="142" w:rightFromText="142" w:vertAnchor="text" w:horzAnchor="margin" w:tblpXSpec="center" w:tblpY="1"/>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7"/>
        <w:gridCol w:w="2325"/>
        <w:gridCol w:w="1701"/>
        <w:gridCol w:w="1134"/>
        <w:gridCol w:w="1418"/>
      </w:tblGrid>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shd w:val="clear" w:color="auto" w:fill="BAD0EE"/>
            <w:vAlign w:val="center"/>
          </w:tcPr>
          <w:p w:rsidR="005B538B" w:rsidRPr="00203BA5" w:rsidRDefault="005B538B" w:rsidP="001319E2">
            <w:pPr>
              <w:pStyle w:val="Tabltetiere"/>
              <w:rPr>
                <w:sz w:val="16"/>
                <w:szCs w:val="16"/>
              </w:rPr>
            </w:pPr>
            <w:r w:rsidRPr="00203BA5">
              <w:rPr>
                <w:sz w:val="16"/>
                <w:szCs w:val="16"/>
              </w:rPr>
              <w:t>Tâche</w:t>
            </w:r>
          </w:p>
        </w:tc>
        <w:tc>
          <w:tcPr>
            <w:tcW w:w="2325" w:type="dxa"/>
            <w:tcBorders>
              <w:top w:val="single" w:sz="4" w:space="0" w:color="auto"/>
              <w:left w:val="single" w:sz="4" w:space="0" w:color="auto"/>
              <w:bottom w:val="single" w:sz="4" w:space="0" w:color="auto"/>
              <w:right w:val="single" w:sz="4" w:space="0" w:color="auto"/>
            </w:tcBorders>
            <w:shd w:val="clear" w:color="auto" w:fill="BAD0EE"/>
            <w:vAlign w:val="center"/>
          </w:tcPr>
          <w:p w:rsidR="005B538B" w:rsidRPr="00203BA5" w:rsidRDefault="005B538B" w:rsidP="001319E2">
            <w:pPr>
              <w:pStyle w:val="Tabltetiere"/>
              <w:rPr>
                <w:sz w:val="16"/>
                <w:szCs w:val="16"/>
              </w:rPr>
            </w:pPr>
            <w:r w:rsidRPr="00203BA5">
              <w:rPr>
                <w:sz w:val="16"/>
                <w:szCs w:val="16"/>
              </w:rPr>
              <w:t>Participation des communautés requise ou recommandée</w:t>
            </w:r>
          </w:p>
        </w:tc>
        <w:tc>
          <w:tcPr>
            <w:tcW w:w="1701" w:type="dxa"/>
            <w:tcBorders>
              <w:top w:val="single" w:sz="4" w:space="0" w:color="auto"/>
              <w:left w:val="single" w:sz="4" w:space="0" w:color="auto"/>
              <w:bottom w:val="single" w:sz="4" w:space="0" w:color="auto"/>
              <w:right w:val="single" w:sz="4" w:space="0" w:color="auto"/>
            </w:tcBorders>
            <w:shd w:val="clear" w:color="auto" w:fill="BAD0EE"/>
            <w:vAlign w:val="center"/>
          </w:tcPr>
          <w:p w:rsidR="005B538B" w:rsidRPr="00203BA5" w:rsidRDefault="005B538B" w:rsidP="001319E2">
            <w:pPr>
              <w:pStyle w:val="Tabltetiere"/>
              <w:rPr>
                <w:sz w:val="16"/>
                <w:szCs w:val="16"/>
              </w:rPr>
            </w:pPr>
            <w:r w:rsidRPr="00203BA5">
              <w:rPr>
                <w:sz w:val="16"/>
                <w:szCs w:val="16"/>
              </w:rPr>
              <w:t>Consentement des communautés requis ou recommandé</w:t>
            </w:r>
          </w:p>
        </w:tc>
        <w:tc>
          <w:tcPr>
            <w:tcW w:w="1134" w:type="dxa"/>
            <w:tcBorders>
              <w:top w:val="single" w:sz="4" w:space="0" w:color="auto"/>
              <w:left w:val="single" w:sz="4" w:space="0" w:color="auto"/>
              <w:bottom w:val="single" w:sz="4" w:space="0" w:color="auto"/>
              <w:right w:val="single" w:sz="4" w:space="0" w:color="auto"/>
            </w:tcBorders>
            <w:shd w:val="clear" w:color="auto" w:fill="BAD0EE"/>
            <w:vAlign w:val="center"/>
          </w:tcPr>
          <w:p w:rsidR="005B538B" w:rsidRPr="00203BA5" w:rsidRDefault="005B538B" w:rsidP="001319E2">
            <w:pPr>
              <w:pStyle w:val="Tabltetiere"/>
              <w:rPr>
                <w:sz w:val="16"/>
                <w:szCs w:val="16"/>
              </w:rPr>
            </w:pPr>
            <w:r w:rsidRPr="00203BA5">
              <w:rPr>
                <w:sz w:val="16"/>
                <w:szCs w:val="16"/>
              </w:rPr>
              <w:t>Article</w:t>
            </w:r>
          </w:p>
        </w:tc>
        <w:tc>
          <w:tcPr>
            <w:tcW w:w="1418" w:type="dxa"/>
            <w:tcBorders>
              <w:top w:val="single" w:sz="4" w:space="0" w:color="auto"/>
              <w:left w:val="single" w:sz="4" w:space="0" w:color="auto"/>
              <w:bottom w:val="single" w:sz="4" w:space="0" w:color="auto"/>
              <w:right w:val="single" w:sz="4" w:space="0" w:color="auto"/>
            </w:tcBorders>
            <w:shd w:val="clear" w:color="auto" w:fill="BAD0EE"/>
            <w:vAlign w:val="center"/>
          </w:tcPr>
          <w:p w:rsidR="005B538B" w:rsidRPr="00203BA5" w:rsidRDefault="005B538B" w:rsidP="001319E2">
            <w:pPr>
              <w:pStyle w:val="Tabltetiere"/>
              <w:rPr>
                <w:sz w:val="16"/>
                <w:szCs w:val="16"/>
              </w:rPr>
            </w:pPr>
            <w:r w:rsidRPr="00203BA5">
              <w:rPr>
                <w:sz w:val="16"/>
                <w:szCs w:val="16"/>
              </w:rPr>
              <w:t>DO</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Identification et définition de leur PCI</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Requise</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Requis implicitement</w:t>
            </w: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2.1, 11(b)</w:t>
            </w: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80</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Inventaire de leur PCI</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Fortement recommandée</w:t>
            </w:r>
          </w:p>
          <w:p w:rsidR="005B538B" w:rsidRPr="00203BA5" w:rsidRDefault="005B538B" w:rsidP="001319E2">
            <w:pPr>
              <w:pStyle w:val="Tabtxt"/>
              <w:spacing w:line="240" w:lineRule="exact"/>
              <w:ind w:left="60" w:right="60"/>
            </w:pPr>
            <w:r w:rsidRPr="00203BA5">
              <w:t>(Requise pour les éléments dont la candidature est proposée dans les formulaires ICH-01 et ICH-02)</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Fortement recommandé</w:t>
            </w: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12, 15</w:t>
            </w: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80</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Sensibilisation à leur PCI</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Fortement recommandée</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Consentement libre, préalable et éclairé requis</w:t>
            </w: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15</w:t>
            </w: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81, 101(b), 105, 107, 108</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Sauvegarde et gestion de leur PCI</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Fortement recommandée</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15</w:t>
            </w: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79-83, 85-87, 89</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Activités commerciales relatives au PCI</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Fortement recommandée</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15</w:t>
            </w: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104, 116, 107(m), 117</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Candidatures d’éléments</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Requise</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Preuve d’un consentement libre, préalable et éclairé requise</w:t>
            </w: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15</w:t>
            </w: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 2, 24, 80(d)</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Élaboration et mise en œuvre de mesures de sauvegarde et de gestion</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Fortement recommandée</w:t>
            </w:r>
          </w:p>
          <w:p w:rsidR="005B538B" w:rsidRPr="00203BA5" w:rsidRDefault="005B538B" w:rsidP="001319E2">
            <w:pPr>
              <w:pStyle w:val="Tabtxt"/>
              <w:spacing w:line="240" w:lineRule="exact"/>
              <w:ind w:left="60" w:right="60"/>
            </w:pPr>
            <w:r w:rsidRPr="00203BA5">
              <w:t>(Requise pour les éléments dont la candidature est proposée dans les formulaires ICH-01 et 02)</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Requis implicitement (formulaires ICH-01 et ICH-02)</w:t>
            </w: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15</w:t>
            </w: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1, 2, 80, 157, 162</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Demandes d’assistance internationale</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Requise pour la préparation des dossiers</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15</w:t>
            </w: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12, 24</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lastRenderedPageBreak/>
              <w:t>Propositions pour la sélection des meilleures pratiques de sauvegarde</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Requise</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Requis implicitement (les communautés concernées doivent avoir autorisé la diffusion des meilleures pratiques de sauvegarde)</w:t>
            </w: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7, 24</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Préparation de rapports périodiques</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Fortement recommandée</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15</w:t>
            </w: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157, 160</w:t>
            </w:r>
          </w:p>
        </w:tc>
      </w:tr>
      <w:tr w:rsidR="005B538B" w:rsidRPr="00203BA5" w:rsidTr="001319E2">
        <w:trPr>
          <w:cantSplit/>
        </w:trPr>
        <w:tc>
          <w:tcPr>
            <w:tcW w:w="2267"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Représentation dans des Organes consultatifs et des mécanismes de coordination</w:t>
            </w:r>
          </w:p>
        </w:tc>
        <w:tc>
          <w:tcPr>
            <w:tcW w:w="2325"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Fortement recommandée</w:t>
            </w:r>
          </w:p>
        </w:tc>
        <w:tc>
          <w:tcPr>
            <w:tcW w:w="1701"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p>
        </w:tc>
        <w:tc>
          <w:tcPr>
            <w:tcW w:w="1134"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p>
        </w:tc>
        <w:tc>
          <w:tcPr>
            <w:tcW w:w="1418" w:type="dxa"/>
            <w:tcBorders>
              <w:top w:val="single" w:sz="4" w:space="0" w:color="auto"/>
              <w:left w:val="single" w:sz="4" w:space="0" w:color="auto"/>
              <w:bottom w:val="single" w:sz="4" w:space="0" w:color="auto"/>
              <w:right w:val="single" w:sz="4" w:space="0" w:color="auto"/>
            </w:tcBorders>
            <w:vAlign w:val="center"/>
          </w:tcPr>
          <w:p w:rsidR="005B538B" w:rsidRPr="00203BA5" w:rsidRDefault="005B538B" w:rsidP="001319E2">
            <w:pPr>
              <w:pStyle w:val="Tabtxt"/>
              <w:spacing w:line="240" w:lineRule="exact"/>
              <w:ind w:left="60" w:right="60"/>
            </w:pPr>
            <w:r w:rsidRPr="00203BA5">
              <w:t>79, 80, 86, 105(e)</w:t>
            </w:r>
          </w:p>
        </w:tc>
      </w:tr>
    </w:tbl>
    <w:p w:rsidR="004325DC" w:rsidRPr="00203BA5" w:rsidRDefault="00C10A1F" w:rsidP="003043E7">
      <w:pPr>
        <w:pStyle w:val="Texte1"/>
        <w:spacing w:before="60"/>
      </w:pPr>
      <w:r w:rsidRPr="00203BA5">
        <w:t>Seule une</w:t>
      </w:r>
      <w:r w:rsidR="00BF1E56" w:rsidRPr="00203BA5">
        <w:t xml:space="preserve"> sensibilisation a</w:t>
      </w:r>
      <w:r w:rsidRPr="00203BA5">
        <w:t xml:space="preserve">u PCI </w:t>
      </w:r>
      <w:r w:rsidRPr="00203BA5">
        <w:rPr>
          <w:u w:val="single"/>
        </w:rPr>
        <w:t>en général</w:t>
      </w:r>
      <w:r w:rsidR="005A17C9" w:rsidRPr="00203BA5">
        <w:t xml:space="preserve"> peut se faire sans une</w:t>
      </w:r>
      <w:r w:rsidR="00BF1E56" w:rsidRPr="00203BA5">
        <w:t xml:space="preserve"> participation</w:t>
      </w:r>
      <w:r w:rsidRPr="00203BA5">
        <w:t xml:space="preserve"> direct</w:t>
      </w:r>
      <w:r w:rsidR="00BF1E56" w:rsidRPr="00203BA5">
        <w:t>e</w:t>
      </w:r>
      <w:r w:rsidRPr="00203BA5">
        <w:t xml:space="preserve"> des communautés et des groupes concernés</w:t>
      </w:r>
      <w:r w:rsidR="00EA1FE1" w:rsidRPr="00203BA5">
        <w:t> ;</w:t>
      </w:r>
      <w:r w:rsidR="00BF1E56" w:rsidRPr="00203BA5">
        <w:t xml:space="preserve"> ceci étant,</w:t>
      </w:r>
      <w:r w:rsidRPr="00203BA5">
        <w:t xml:space="preserve"> l</w:t>
      </w:r>
      <w:r w:rsidR="00A61E6D" w:rsidRPr="00203BA5">
        <w:t>’</w:t>
      </w:r>
      <w:r w:rsidRPr="00203BA5">
        <w:t>intervention d</w:t>
      </w:r>
      <w:r w:rsidR="00A61E6D" w:rsidRPr="00203BA5">
        <w:t>’</w:t>
      </w:r>
      <w:r w:rsidRPr="00203BA5">
        <w:t>un organisme consultatif ou d</w:t>
      </w:r>
      <w:r w:rsidR="00A61E6D" w:rsidRPr="00203BA5">
        <w:t>’</w:t>
      </w:r>
      <w:r w:rsidRPr="00203BA5">
        <w:t>un m</w:t>
      </w:r>
      <w:r w:rsidR="00BF1E56" w:rsidRPr="00203BA5">
        <w:t xml:space="preserve">écanisme de coordination, comme </w:t>
      </w:r>
      <w:r w:rsidR="005A17C9" w:rsidRPr="00203BA5">
        <w:t xml:space="preserve">le </w:t>
      </w:r>
      <w:r w:rsidRPr="00203BA5">
        <w:t>propos</w:t>
      </w:r>
      <w:r w:rsidR="005A17C9" w:rsidRPr="00203BA5">
        <w:t>e</w:t>
      </w:r>
      <w:r w:rsidR="00BF1E56" w:rsidRPr="00203BA5">
        <w:t xml:space="preserve"> </w:t>
      </w:r>
      <w:r w:rsidRPr="00203BA5">
        <w:t xml:space="preserve">la </w:t>
      </w:r>
      <w:r w:rsidR="00461004" w:rsidRPr="00203BA5">
        <w:t>DO </w:t>
      </w:r>
      <w:r w:rsidRPr="00203BA5">
        <w:t xml:space="preserve">80, est </w:t>
      </w:r>
      <w:r w:rsidR="00BF1E56" w:rsidRPr="00203BA5">
        <w:t xml:space="preserve">néanmoins </w:t>
      </w:r>
      <w:r w:rsidRPr="00203BA5">
        <w:t>recommandée.</w:t>
      </w:r>
    </w:p>
    <w:p w:rsidR="00C10A1F" w:rsidRPr="00203BA5" w:rsidRDefault="00C10A1F">
      <w:pPr>
        <w:pStyle w:val="Heading4"/>
        <w:rPr>
          <w:w w:val="95"/>
        </w:rPr>
      </w:pPr>
      <w:bookmarkStart w:id="35" w:name="_Toc247360207"/>
      <w:r w:rsidRPr="00203BA5">
        <w:rPr>
          <w:w w:val="95"/>
        </w:rPr>
        <w:t xml:space="preserve">Orientations et documentation concernant la participation </w:t>
      </w:r>
      <w:bookmarkEnd w:id="35"/>
      <w:r w:rsidR="00363D2D" w:rsidRPr="00203BA5">
        <w:rPr>
          <w:w w:val="95"/>
        </w:rPr>
        <w:t>communautaire</w:t>
      </w:r>
    </w:p>
    <w:p w:rsidR="004325DC" w:rsidRPr="00203BA5" w:rsidRDefault="0074365B" w:rsidP="00914287">
      <w:pPr>
        <w:pStyle w:val="Texte1"/>
      </w:pPr>
      <w:r w:rsidRPr="00203BA5">
        <w:t>Dans la mise</w:t>
      </w:r>
      <w:r w:rsidR="00C10A1F" w:rsidRPr="00203BA5">
        <w:t xml:space="preserve"> en œuvre </w:t>
      </w:r>
      <w:r w:rsidRPr="00203BA5">
        <w:t xml:space="preserve">de </w:t>
      </w:r>
      <w:r w:rsidR="00C10A1F" w:rsidRPr="00203BA5">
        <w:t>la Convention à l</w:t>
      </w:r>
      <w:r w:rsidR="00A61E6D" w:rsidRPr="00203BA5">
        <w:t>’</w:t>
      </w:r>
      <w:r w:rsidR="00C10A1F" w:rsidRPr="00203BA5">
        <w:t>échelon national, il est important d</w:t>
      </w:r>
      <w:r w:rsidRPr="00203BA5">
        <w:t>e développ</w:t>
      </w:r>
      <w:r w:rsidR="00C10A1F" w:rsidRPr="00203BA5">
        <w:t xml:space="preserve">er des </w:t>
      </w:r>
      <w:r w:rsidRPr="00203BA5">
        <w:t>orientations visant à</w:t>
      </w:r>
      <w:r w:rsidR="00C10A1F" w:rsidRPr="00203BA5">
        <w:t xml:space="preserve"> organiser et permettre la participation des communautés concernées, </w:t>
      </w:r>
      <w:r w:rsidRPr="00203BA5">
        <w:t>ainsi que</w:t>
      </w:r>
      <w:r w:rsidR="00C10A1F" w:rsidRPr="00203BA5">
        <w:t xml:space="preserve"> des direct</w:t>
      </w:r>
      <w:r w:rsidRPr="00203BA5">
        <w:t>iv</w:t>
      </w:r>
      <w:r w:rsidR="00C10A1F" w:rsidRPr="00203BA5">
        <w:t xml:space="preserve">es pour ceux qui </w:t>
      </w:r>
      <w:r w:rsidR="00363D2D" w:rsidRPr="00203BA5">
        <w:t>vont travailler</w:t>
      </w:r>
      <w:r w:rsidR="00C10A1F" w:rsidRPr="00203BA5">
        <w:t xml:space="preserve"> avec elles. Compte tenu des </w:t>
      </w:r>
      <w:r w:rsidR="005A569B" w:rsidRPr="00203BA5">
        <w:t>modalités requises pour l</w:t>
      </w:r>
      <w:r w:rsidR="00C10A1F" w:rsidRPr="00203BA5">
        <w:t>e</w:t>
      </w:r>
      <w:r w:rsidR="005A569B" w:rsidRPr="00203BA5">
        <w:t>s dossiers de candidature et de l’obligation</w:t>
      </w:r>
      <w:r w:rsidR="00C10A1F" w:rsidRPr="00203BA5">
        <w:t xml:space="preserve"> </w:t>
      </w:r>
      <w:r w:rsidR="005A569B" w:rsidRPr="00203BA5">
        <w:t xml:space="preserve">imposée à chaque État partie </w:t>
      </w:r>
      <w:r w:rsidR="00C10A1F" w:rsidRPr="00203BA5">
        <w:t>de soum</w:t>
      </w:r>
      <w:r w:rsidR="005A569B" w:rsidRPr="00203BA5">
        <w:t>ettre</w:t>
      </w:r>
      <w:r w:rsidR="00C10A1F" w:rsidRPr="00203BA5">
        <w:t xml:space="preserve"> </w:t>
      </w:r>
      <w:r w:rsidR="005A569B" w:rsidRPr="00203BA5">
        <w:t>un rapport périodique</w:t>
      </w:r>
      <w:r w:rsidR="00C10A1F" w:rsidRPr="00203BA5">
        <w:t xml:space="preserve">, il est aussi utile de documenter </w:t>
      </w:r>
      <w:r w:rsidR="0079562F" w:rsidRPr="00203BA5">
        <w:t>la manière dont</w:t>
      </w:r>
      <w:r w:rsidR="00C10A1F" w:rsidRPr="00203BA5">
        <w:t xml:space="preserve"> la participation </w:t>
      </w:r>
      <w:r w:rsidR="00363D2D" w:rsidRPr="00203BA5">
        <w:t>communautaire</w:t>
      </w:r>
      <w:r w:rsidR="00C10A1F" w:rsidRPr="00203BA5">
        <w:t xml:space="preserve"> a été </w:t>
      </w:r>
      <w:r w:rsidR="0079562F" w:rsidRPr="00203BA5">
        <w:t>effectiv</w:t>
      </w:r>
      <w:r w:rsidR="00C10A1F" w:rsidRPr="00203BA5">
        <w:t>e dans la mise en œuvre de la Convention</w:t>
      </w:r>
      <w:r w:rsidR="00EA1FE1" w:rsidRPr="00203BA5">
        <w:t> :</w:t>
      </w:r>
    </w:p>
    <w:p w:rsidR="004325DC" w:rsidRPr="00203BA5" w:rsidRDefault="006D313C" w:rsidP="00203184">
      <w:pPr>
        <w:pStyle w:val="Txtpucegras"/>
      </w:pPr>
      <w:r w:rsidRPr="00203BA5">
        <w:t xml:space="preserve">Qui </w:t>
      </w:r>
      <w:r w:rsidR="00C10A1F" w:rsidRPr="00203BA5">
        <w:t>a pris l</w:t>
      </w:r>
      <w:r w:rsidR="00A61E6D" w:rsidRPr="00203BA5">
        <w:t>’</w:t>
      </w:r>
      <w:r w:rsidR="00C10A1F" w:rsidRPr="00203BA5">
        <w:t>initiative dans l</w:t>
      </w:r>
      <w:r w:rsidR="00A61E6D" w:rsidRPr="00203BA5">
        <w:t>’</w:t>
      </w:r>
      <w:r w:rsidR="00C10A1F" w:rsidRPr="00203BA5">
        <w:t>inventaire, la pr</w:t>
      </w:r>
      <w:r w:rsidR="00363D2D" w:rsidRPr="00203BA5">
        <w:t>oposi</w:t>
      </w:r>
      <w:r w:rsidR="00C10A1F" w:rsidRPr="00203BA5">
        <w:t>tion de candidature, la sauvegarde ou la soumission d</w:t>
      </w:r>
      <w:r w:rsidR="00A61E6D" w:rsidRPr="00203BA5">
        <w:t>’</w:t>
      </w:r>
      <w:r w:rsidR="00C10A1F" w:rsidRPr="00203BA5">
        <w:t>une demande</w:t>
      </w:r>
      <w:r w:rsidR="00C654E8" w:rsidRPr="00203BA5">
        <w:t> ?</w:t>
      </w:r>
    </w:p>
    <w:p w:rsidR="004325DC" w:rsidRPr="00203BA5" w:rsidRDefault="006D313C" w:rsidP="00203184">
      <w:pPr>
        <w:pStyle w:val="Txtpucegras"/>
      </w:pPr>
      <w:r w:rsidRPr="00203BA5">
        <w:t xml:space="preserve">Comment </w:t>
      </w:r>
      <w:r w:rsidR="00C10A1F" w:rsidRPr="00203BA5">
        <w:t>les communautés, groupes et individus pertinents ont</w:t>
      </w:r>
      <w:r w:rsidR="00363D2D" w:rsidRPr="00203BA5">
        <w:t>-ils</w:t>
      </w:r>
      <w:r w:rsidR="00C10A1F" w:rsidRPr="00203BA5">
        <w:t xml:space="preserve"> été identifiés</w:t>
      </w:r>
      <w:r w:rsidR="00C654E8" w:rsidRPr="00203BA5">
        <w:t> ?</w:t>
      </w:r>
    </w:p>
    <w:p w:rsidR="004325DC" w:rsidRPr="00203BA5" w:rsidRDefault="006D313C" w:rsidP="00203184">
      <w:pPr>
        <w:pStyle w:val="Txtpucegras"/>
      </w:pPr>
      <w:r w:rsidRPr="00203BA5">
        <w:t xml:space="preserve">Comment </w:t>
      </w:r>
      <w:r w:rsidR="00C10A1F" w:rsidRPr="00203BA5">
        <w:t>les représentants de ces groupes ont</w:t>
      </w:r>
      <w:r w:rsidR="00363D2D" w:rsidRPr="00203BA5">
        <w:t>-ils</w:t>
      </w:r>
      <w:r w:rsidR="00C10A1F" w:rsidRPr="00203BA5">
        <w:t xml:space="preserve"> été identifiés</w:t>
      </w:r>
      <w:r w:rsidR="00C654E8" w:rsidRPr="00203BA5">
        <w:t> ?</w:t>
      </w:r>
    </w:p>
    <w:p w:rsidR="004325DC" w:rsidRPr="00203BA5" w:rsidRDefault="006D313C" w:rsidP="00203184">
      <w:pPr>
        <w:pStyle w:val="Txtpucegras"/>
      </w:pPr>
      <w:r w:rsidRPr="00203BA5">
        <w:t xml:space="preserve">Comment </w:t>
      </w:r>
      <w:r w:rsidR="00C10A1F" w:rsidRPr="00203BA5">
        <w:t>les communautés et/ou leurs représentants ont</w:t>
      </w:r>
      <w:r w:rsidR="00363D2D" w:rsidRPr="00203BA5">
        <w:t>-il</w:t>
      </w:r>
      <w:r w:rsidR="00867FB9" w:rsidRPr="00203BA5">
        <w:t>s été</w:t>
      </w:r>
      <w:r w:rsidR="00C10A1F" w:rsidRPr="00203BA5">
        <w:t xml:space="preserve"> impliqués</w:t>
      </w:r>
      <w:r w:rsidR="00C654E8" w:rsidRPr="00203BA5">
        <w:t> ?</w:t>
      </w:r>
    </w:p>
    <w:p w:rsidR="004325DC" w:rsidRPr="00203BA5" w:rsidRDefault="006D313C" w:rsidP="00203184">
      <w:pPr>
        <w:pStyle w:val="Txtpucegras"/>
      </w:pPr>
      <w:r w:rsidRPr="00203BA5">
        <w:t xml:space="preserve">Comment </w:t>
      </w:r>
      <w:r w:rsidR="00C10A1F" w:rsidRPr="00203BA5">
        <w:t>leur consentement a</w:t>
      </w:r>
      <w:r w:rsidR="00867FB9" w:rsidRPr="00203BA5">
        <w:t>-t-il</w:t>
      </w:r>
      <w:r w:rsidR="00C10A1F" w:rsidRPr="00203BA5">
        <w:t xml:space="preserve"> été obtenu et consigné</w:t>
      </w:r>
      <w:r w:rsidR="00C654E8" w:rsidRPr="00203BA5">
        <w:t> ?</w:t>
      </w:r>
    </w:p>
    <w:p w:rsidR="004325DC" w:rsidRPr="00203BA5" w:rsidRDefault="00867FB9" w:rsidP="00203184">
      <w:pPr>
        <w:pStyle w:val="Txtpucegras"/>
      </w:pPr>
      <w:r w:rsidRPr="00203BA5">
        <w:t>En quoi</w:t>
      </w:r>
      <w:r w:rsidR="009C7D5E" w:rsidRPr="00203BA5">
        <w:t xml:space="preserve"> </w:t>
      </w:r>
      <w:r w:rsidRPr="00203BA5">
        <w:t xml:space="preserve">la participation </w:t>
      </w:r>
      <w:r w:rsidR="003E534C" w:rsidRPr="00203BA5">
        <w:t xml:space="preserve">des </w:t>
      </w:r>
      <w:r w:rsidRPr="00203BA5">
        <w:t>communaut</w:t>
      </w:r>
      <w:r w:rsidR="003E534C" w:rsidRPr="00203BA5">
        <w:t>és</w:t>
      </w:r>
      <w:r w:rsidR="00C10A1F" w:rsidRPr="00203BA5">
        <w:t xml:space="preserve"> a</w:t>
      </w:r>
      <w:r w:rsidRPr="00203BA5">
        <w:t>-t-elle</w:t>
      </w:r>
      <w:r w:rsidR="00C10A1F" w:rsidRPr="00203BA5">
        <w:t xml:space="preserve"> affecté le processus d</w:t>
      </w:r>
      <w:r w:rsidR="00A61E6D" w:rsidRPr="00203BA5">
        <w:t>’</w:t>
      </w:r>
      <w:r w:rsidR="00C10A1F" w:rsidRPr="00203BA5">
        <w:t>inventaire, la pr</w:t>
      </w:r>
      <w:r w:rsidRPr="00203BA5">
        <w:t>oposi</w:t>
      </w:r>
      <w:r w:rsidR="00C10A1F" w:rsidRPr="00203BA5">
        <w:t>tion de candidature, la sauvegarde ou la soumission d</w:t>
      </w:r>
      <w:r w:rsidR="00A61E6D" w:rsidRPr="00203BA5">
        <w:t>’</w:t>
      </w:r>
      <w:r w:rsidR="00C10A1F" w:rsidRPr="00203BA5">
        <w:t>une demande</w:t>
      </w:r>
      <w:r w:rsidR="00C654E8" w:rsidRPr="00203BA5">
        <w:t> ?</w:t>
      </w:r>
    </w:p>
    <w:p w:rsidR="004325DC" w:rsidRPr="0091036F" w:rsidRDefault="00993722" w:rsidP="0091036F">
      <w:pPr>
        <w:pStyle w:val="Titcoul"/>
        <w:spacing w:before="720" w:after="240" w:line="320" w:lineRule="exact"/>
        <w:ind w:left="851" w:hanging="851"/>
        <w:rPr>
          <w:sz w:val="24"/>
          <w:szCs w:val="24"/>
          <w:lang w:val="fr-FR"/>
        </w:rPr>
      </w:pPr>
      <w:bookmarkStart w:id="36" w:name="_Toc238963229"/>
      <w:bookmarkStart w:id="37" w:name="_Toc241065115"/>
      <w:bookmarkStart w:id="38" w:name="_Toc301443359"/>
      <w:bookmarkStart w:id="39" w:name="_Toc321407002"/>
      <w:bookmarkStart w:id="40" w:name="_Toc354486626"/>
      <w:bookmarkStart w:id="41" w:name="_Toc354486932"/>
      <w:bookmarkStart w:id="42" w:name="_Toc247360208"/>
      <w:r w:rsidRPr="0091036F">
        <w:rPr>
          <w:sz w:val="24"/>
          <w:szCs w:val="24"/>
          <w:lang w:val="fr-FR"/>
        </w:rPr>
        <w:t>7</w:t>
      </w:r>
      <w:r w:rsidR="00C10A1F" w:rsidRPr="0091036F">
        <w:rPr>
          <w:sz w:val="24"/>
          <w:szCs w:val="24"/>
          <w:lang w:val="fr-FR"/>
        </w:rPr>
        <w:t>.4</w:t>
      </w:r>
      <w:bookmarkStart w:id="43" w:name="_Toc238963230"/>
      <w:bookmarkStart w:id="44" w:name="_Toc241065116"/>
      <w:bookmarkEnd w:id="36"/>
      <w:bookmarkEnd w:id="37"/>
      <w:r w:rsidR="0091036F">
        <w:rPr>
          <w:sz w:val="24"/>
          <w:szCs w:val="24"/>
          <w:lang w:val="fr-FR"/>
        </w:rPr>
        <w:tab/>
      </w:r>
      <w:r w:rsidR="0091036F">
        <w:rPr>
          <w:sz w:val="24"/>
          <w:szCs w:val="24"/>
          <w:lang w:val="fr-FR"/>
        </w:rPr>
        <w:tab/>
      </w:r>
      <w:r w:rsidR="00C10A1F" w:rsidRPr="0091036F">
        <w:rPr>
          <w:sz w:val="24"/>
          <w:szCs w:val="24"/>
          <w:lang w:val="fr-FR"/>
        </w:rPr>
        <w:t>Participation des communaut</w:t>
      </w:r>
      <w:r w:rsidR="0066356D" w:rsidRPr="0091036F">
        <w:rPr>
          <w:sz w:val="24"/>
          <w:szCs w:val="24"/>
          <w:lang w:val="fr-FR"/>
        </w:rPr>
        <w:t>É</w:t>
      </w:r>
      <w:r w:rsidR="00C10A1F" w:rsidRPr="0091036F">
        <w:rPr>
          <w:sz w:val="24"/>
          <w:szCs w:val="24"/>
          <w:lang w:val="fr-FR"/>
        </w:rPr>
        <w:t>s</w:t>
      </w:r>
      <w:r w:rsidR="00537FD4" w:rsidRPr="0091036F">
        <w:rPr>
          <w:sz w:val="24"/>
          <w:szCs w:val="24"/>
          <w:lang w:val="fr-FR"/>
        </w:rPr>
        <w:t xml:space="preserve"> </w:t>
      </w:r>
      <w:r w:rsidR="0066356D" w:rsidRPr="0091036F">
        <w:rPr>
          <w:sz w:val="24"/>
          <w:szCs w:val="24"/>
          <w:lang w:val="fr-FR"/>
        </w:rPr>
        <w:t>À</w:t>
      </w:r>
      <w:r w:rsidR="00C10A1F" w:rsidRPr="0091036F">
        <w:rPr>
          <w:sz w:val="24"/>
          <w:szCs w:val="24"/>
          <w:lang w:val="fr-FR"/>
        </w:rPr>
        <w:t xml:space="preserve"> l</w:t>
      </w:r>
      <w:r w:rsidR="00A61E6D" w:rsidRPr="0091036F">
        <w:rPr>
          <w:sz w:val="24"/>
          <w:szCs w:val="24"/>
          <w:lang w:val="fr-FR"/>
        </w:rPr>
        <w:t>’</w:t>
      </w:r>
      <w:r w:rsidR="00C10A1F" w:rsidRPr="0091036F">
        <w:rPr>
          <w:sz w:val="24"/>
          <w:szCs w:val="24"/>
          <w:lang w:val="fr-FR"/>
        </w:rPr>
        <w:t>inventaire de leur PCI</w:t>
      </w:r>
      <w:bookmarkEnd w:id="38"/>
      <w:bookmarkEnd w:id="39"/>
      <w:bookmarkEnd w:id="40"/>
      <w:bookmarkEnd w:id="41"/>
      <w:bookmarkEnd w:id="42"/>
      <w:bookmarkEnd w:id="43"/>
      <w:bookmarkEnd w:id="44"/>
    </w:p>
    <w:p w:rsidR="004325DC" w:rsidRPr="00203BA5" w:rsidRDefault="00C10A1F" w:rsidP="00150FFB">
      <w:pPr>
        <w:pStyle w:val="Informations"/>
      </w:pPr>
      <w:r w:rsidRPr="00203BA5">
        <w:t>La question de l</w:t>
      </w:r>
      <w:r w:rsidR="00A61E6D" w:rsidRPr="00203BA5">
        <w:t>’</w:t>
      </w:r>
      <w:r w:rsidRPr="00203BA5">
        <w:t>inventaire est traitée dans</w:t>
      </w:r>
      <w:r w:rsidR="00993722" w:rsidRPr="00203BA5">
        <w:t xml:space="preserve"> le </w:t>
      </w:r>
      <w:r w:rsidR="00646D3D" w:rsidRPr="00203BA5">
        <w:t>Texte du participant</w:t>
      </w:r>
      <w:r w:rsidR="00993722" w:rsidRPr="00203BA5">
        <w:t xml:space="preserve"> </w:t>
      </w:r>
      <w:r w:rsidR="006E7E75" w:rsidRPr="00203BA5">
        <w:t>de l’</w:t>
      </w:r>
      <w:r w:rsidR="00993722" w:rsidRPr="00203BA5">
        <w:t>Unité 6.</w:t>
      </w:r>
    </w:p>
    <w:p w:rsidR="004325DC" w:rsidRPr="00203BA5" w:rsidRDefault="007F4EBF" w:rsidP="00914287">
      <w:pPr>
        <w:pStyle w:val="Texte1"/>
      </w:pPr>
      <w:r w:rsidRPr="00203BA5">
        <w:t>L</w:t>
      </w:r>
      <w:r w:rsidR="00A61E6D" w:rsidRPr="00203BA5">
        <w:t>’</w:t>
      </w:r>
      <w:r w:rsidR="00C10A1F" w:rsidRPr="00203BA5">
        <w:t>impli</w:t>
      </w:r>
      <w:r w:rsidRPr="00203BA5">
        <w:t>cation d</w:t>
      </w:r>
      <w:r w:rsidR="00C10A1F" w:rsidRPr="00203BA5">
        <w:t>es communautés dans l</w:t>
      </w:r>
      <w:r w:rsidR="00A61E6D" w:rsidRPr="00203BA5">
        <w:t>’</w:t>
      </w:r>
      <w:r w:rsidR="00C10A1F" w:rsidRPr="00203BA5">
        <w:t>identification et l</w:t>
      </w:r>
      <w:r w:rsidR="00A61E6D" w:rsidRPr="00203BA5">
        <w:t>’</w:t>
      </w:r>
      <w:r w:rsidR="00C10A1F" w:rsidRPr="00203BA5">
        <w:t xml:space="preserve">inventaire de leur PCI </w:t>
      </w:r>
      <w:r w:rsidR="002A4DC8" w:rsidRPr="00203BA5">
        <w:t xml:space="preserve">pour se </w:t>
      </w:r>
      <w:r w:rsidR="00C10A1F" w:rsidRPr="00203BA5">
        <w:t>conform</w:t>
      </w:r>
      <w:r w:rsidR="002A4DC8" w:rsidRPr="00203BA5">
        <w:t>er</w:t>
      </w:r>
      <w:r w:rsidR="00C10A1F" w:rsidRPr="00203BA5">
        <w:t xml:space="preserve"> la Convention (</w:t>
      </w:r>
      <w:r w:rsidR="00043DFF" w:rsidRPr="00203BA5">
        <w:t>articles </w:t>
      </w:r>
      <w:r w:rsidR="00C10A1F" w:rsidRPr="00203BA5">
        <w:t xml:space="preserve">2, 11) ou </w:t>
      </w:r>
      <w:r w:rsidRPr="00203BA5">
        <w:t>aux</w:t>
      </w:r>
      <w:r w:rsidR="00C10A1F" w:rsidRPr="00203BA5">
        <w:t xml:space="preserve"> </w:t>
      </w:r>
      <w:r w:rsidR="00461004" w:rsidRPr="00203BA5">
        <w:t>DO</w:t>
      </w:r>
      <w:r w:rsidR="00953DB9" w:rsidRPr="00203BA5">
        <w:t xml:space="preserve"> </w:t>
      </w:r>
      <w:r w:rsidR="00C10A1F" w:rsidRPr="00203BA5">
        <w:t>(</w:t>
      </w:r>
      <w:r w:rsidR="00461004" w:rsidRPr="00203BA5">
        <w:t>DO </w:t>
      </w:r>
      <w:r w:rsidRPr="00203BA5">
        <w:t>1, 2, 80 et 153(a))</w:t>
      </w:r>
      <w:r w:rsidR="00C10A1F" w:rsidRPr="00203BA5">
        <w:t xml:space="preserve"> </w:t>
      </w:r>
      <w:r w:rsidRPr="00203BA5">
        <w:t xml:space="preserve">ne suffit pas à elle seule, </w:t>
      </w:r>
      <w:r w:rsidR="00C10A1F" w:rsidRPr="00203BA5">
        <w:t xml:space="preserve">mais doit aussi servir à </w:t>
      </w:r>
      <w:r w:rsidRPr="00203BA5">
        <w:t>établi</w:t>
      </w:r>
      <w:r w:rsidR="00C10A1F" w:rsidRPr="00203BA5">
        <w:t xml:space="preserve">r des relations au sein </w:t>
      </w:r>
      <w:r w:rsidR="002A4DC8" w:rsidRPr="00203BA5">
        <w:t xml:space="preserve">des communautés </w:t>
      </w:r>
      <w:r w:rsidR="00C10A1F" w:rsidRPr="00203BA5">
        <w:t>et entre</w:t>
      </w:r>
      <w:r w:rsidR="002A4DC8" w:rsidRPr="00203BA5">
        <w:t xml:space="preserve"> </w:t>
      </w:r>
      <w:r w:rsidR="002A4DC8" w:rsidRPr="00203BA5">
        <w:lastRenderedPageBreak/>
        <w:t>les communautés</w:t>
      </w:r>
      <w:r w:rsidR="00C10A1F" w:rsidRPr="00203BA5">
        <w:t>, l</w:t>
      </w:r>
      <w:r w:rsidR="00A61E6D" w:rsidRPr="00203BA5">
        <w:t>’</w:t>
      </w:r>
      <w:r w:rsidR="00C10A1F" w:rsidRPr="00203BA5">
        <w:t xml:space="preserve">État et les autres </w:t>
      </w:r>
      <w:r w:rsidR="006E7E75" w:rsidRPr="00203BA5">
        <w:t>instan</w:t>
      </w:r>
      <w:r w:rsidR="00C10A1F" w:rsidRPr="00203BA5">
        <w:t>ces pour la future promotion, la gestion et la sauvegarde du PCI. La preuve de l</w:t>
      </w:r>
      <w:r w:rsidR="00CB6957" w:rsidRPr="00203BA5">
        <w:t>a participa</w:t>
      </w:r>
      <w:r w:rsidR="003C5B1A" w:rsidRPr="00203BA5">
        <w:t>tion</w:t>
      </w:r>
      <w:r w:rsidR="00C10A1F" w:rsidRPr="00203BA5">
        <w:t xml:space="preserve"> des communautés </w:t>
      </w:r>
      <w:r w:rsidR="00CB6957" w:rsidRPr="00203BA5">
        <w:t>à l’</w:t>
      </w:r>
      <w:r w:rsidR="00C10A1F" w:rsidRPr="00203BA5">
        <w:t>inventaire est requise si les éléments sont proposés pour inscription su</w:t>
      </w:r>
      <w:r w:rsidR="00CB6957" w:rsidRPr="00203BA5">
        <w:t>r les Listes de la Convention (F</w:t>
      </w:r>
      <w:r w:rsidR="00C10A1F" w:rsidRPr="00203BA5">
        <w:t xml:space="preserve">ormulaires </w:t>
      </w:r>
      <w:r w:rsidR="004A66F4" w:rsidRPr="00203BA5">
        <w:t>ICH-01</w:t>
      </w:r>
      <w:r w:rsidR="00C10A1F" w:rsidRPr="00203BA5">
        <w:t xml:space="preserve"> et </w:t>
      </w:r>
      <w:r w:rsidR="006E7E75" w:rsidRPr="00203BA5">
        <w:t>ICH-</w:t>
      </w:r>
      <w:r w:rsidR="00C10A1F" w:rsidRPr="00203BA5">
        <w:t>02) et</w:t>
      </w:r>
      <w:r w:rsidR="005A1AA0" w:rsidRPr="00203BA5">
        <w:t xml:space="preserve"> </w:t>
      </w:r>
      <w:r w:rsidR="00545768" w:rsidRPr="00203BA5">
        <w:t>cités</w:t>
      </w:r>
      <w:r w:rsidR="00C10A1F" w:rsidRPr="00203BA5">
        <w:t xml:space="preserve"> dans les rapports périod</w:t>
      </w:r>
      <w:r w:rsidR="005F30F4" w:rsidRPr="00203BA5">
        <w:t xml:space="preserve">iques </w:t>
      </w:r>
      <w:r w:rsidR="00545768" w:rsidRPr="00203BA5">
        <w:t>soumis au Comité (F</w:t>
      </w:r>
      <w:r w:rsidR="005F30F4" w:rsidRPr="00203BA5">
        <w:t>ormulaire ICH-</w:t>
      </w:r>
      <w:r w:rsidR="00C10A1F" w:rsidRPr="00203BA5">
        <w:t>10).</w:t>
      </w:r>
    </w:p>
    <w:p w:rsidR="004325DC" w:rsidRPr="00203BA5" w:rsidRDefault="00B42F77" w:rsidP="00150FFB">
      <w:pPr>
        <w:pStyle w:val="Informations"/>
      </w:pPr>
      <w:r w:rsidRPr="00203BA5">
        <w:rPr>
          <w:noProof/>
          <w:lang w:eastAsia="fr-FR"/>
        </w:rPr>
        <w:drawing>
          <wp:anchor distT="0" distB="0" distL="114300" distR="114300" simplePos="0" relativeHeight="251856384" behindDoc="0" locked="1" layoutInCell="1" allowOverlap="0">
            <wp:simplePos x="0" y="0"/>
            <wp:positionH relativeFrom="margin">
              <wp:align>left</wp:align>
            </wp:positionH>
            <wp:positionV relativeFrom="paragraph">
              <wp:posOffset>0</wp:posOffset>
            </wp:positionV>
            <wp:extent cx="283210" cy="358775"/>
            <wp:effectExtent l="0" t="0" r="2540" b="3175"/>
            <wp:wrapThrough wrapText="bothSides">
              <wp:wrapPolygon edited="0">
                <wp:start x="0" y="0"/>
                <wp:lineTo x="0" y="20644"/>
                <wp:lineTo x="20341" y="20644"/>
                <wp:lineTo x="20341" y="0"/>
                <wp:lineTo x="0" y="0"/>
              </wp:wrapPolygon>
            </wp:wrapThrough>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203BA5">
        <w:t>Pour avoir des idées sur la façon d</w:t>
      </w:r>
      <w:r w:rsidR="00ED1370" w:rsidRPr="00203BA5">
        <w:t>’</w:t>
      </w:r>
      <w:r w:rsidR="00C10A1F" w:rsidRPr="00203BA5">
        <w:t>invent</w:t>
      </w:r>
      <w:r w:rsidR="00ED1370" w:rsidRPr="00203BA5">
        <w:t>orier le PCI</w:t>
      </w:r>
      <w:r w:rsidR="00276783" w:rsidRPr="00203BA5">
        <w:t>,</w:t>
      </w:r>
      <w:r w:rsidRPr="00203BA5">
        <w:t xml:space="preserve"> voir l</w:t>
      </w:r>
      <w:r w:rsidR="00A61E6D" w:rsidRPr="00203BA5">
        <w:t>’</w:t>
      </w:r>
      <w:r w:rsidR="003F5CA8" w:rsidRPr="00203BA5">
        <w:t>Étude de cas</w:t>
      </w:r>
      <w:r w:rsidR="003C5B1A" w:rsidRPr="00203BA5">
        <w:t xml:space="preserve"> </w:t>
      </w:r>
      <w:r w:rsidR="00276783" w:rsidRPr="00203BA5">
        <w:t xml:space="preserve">9 </w:t>
      </w:r>
      <w:r w:rsidR="00ED1370" w:rsidRPr="00203BA5">
        <w:t>qui montre comment</w:t>
      </w:r>
      <w:r w:rsidR="003C5B1A" w:rsidRPr="00203BA5">
        <w:t xml:space="preserve"> la communauté s</w:t>
      </w:r>
      <w:r w:rsidR="00C10A1F" w:rsidRPr="00203BA5">
        <w:t>ubanen d</w:t>
      </w:r>
      <w:r w:rsidR="00ED1370" w:rsidRPr="00203BA5">
        <w:t>e</w:t>
      </w:r>
      <w:r w:rsidR="00C10A1F" w:rsidRPr="00203BA5">
        <w:t xml:space="preserve"> la p</w:t>
      </w:r>
      <w:r w:rsidR="00ED1370" w:rsidRPr="00203BA5">
        <w:t>éninsul</w:t>
      </w:r>
      <w:r w:rsidR="00C10A1F" w:rsidRPr="00203BA5">
        <w:t>e de Zamboanga</w:t>
      </w:r>
      <w:r w:rsidR="003C5B1A" w:rsidRPr="00203BA5">
        <w:t>,</w:t>
      </w:r>
      <w:r w:rsidR="00C10A1F" w:rsidRPr="00203BA5">
        <w:t xml:space="preserve"> aux Philippines</w:t>
      </w:r>
      <w:r w:rsidR="003C5B1A" w:rsidRPr="00203BA5">
        <w:t>,</w:t>
      </w:r>
      <w:r w:rsidR="00C10A1F" w:rsidRPr="00203BA5">
        <w:t xml:space="preserve"> a documenté son savoir autochtone sur les plantes locales.</w:t>
      </w:r>
    </w:p>
    <w:p w:rsidR="004B45C3" w:rsidRPr="00203BA5" w:rsidRDefault="00B42F77" w:rsidP="00914287">
      <w:pPr>
        <w:pStyle w:val="Informations"/>
        <w:rPr>
          <w:lang w:eastAsia="fr-FR"/>
        </w:rPr>
      </w:pPr>
      <w:r w:rsidRPr="00203BA5">
        <w:rPr>
          <w:noProof/>
          <w:lang w:eastAsia="fr-FR"/>
        </w:rPr>
        <w:drawing>
          <wp:anchor distT="0" distB="0" distL="114300" distR="114300" simplePos="0" relativeHeight="251858432" behindDoc="0" locked="1" layoutInCell="1" allowOverlap="0">
            <wp:simplePos x="0" y="0"/>
            <wp:positionH relativeFrom="margin">
              <wp:align>left</wp:align>
            </wp:positionH>
            <wp:positionV relativeFrom="paragraph">
              <wp:posOffset>1301750</wp:posOffset>
            </wp:positionV>
            <wp:extent cx="283210" cy="358775"/>
            <wp:effectExtent l="0" t="0" r="2540" b="3175"/>
            <wp:wrapThrough wrapText="bothSides">
              <wp:wrapPolygon edited="0">
                <wp:start x="0" y="0"/>
                <wp:lineTo x="0" y="20644"/>
                <wp:lineTo x="20341" y="20644"/>
                <wp:lineTo x="20341" y="0"/>
                <wp:lineTo x="0" y="0"/>
              </wp:wrapPolygon>
            </wp:wrapThrough>
            <wp:docPr id="245"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203BA5">
        <w:t>L</w:t>
      </w:r>
      <w:r w:rsidRPr="00203BA5">
        <w:t xml:space="preserve">es </w:t>
      </w:r>
      <w:r w:rsidR="00D65E8C" w:rsidRPr="00203BA5">
        <w:t xml:space="preserve">Études </w:t>
      </w:r>
      <w:r w:rsidR="00C10A1F" w:rsidRPr="00203BA5">
        <w:t>de cas 6</w:t>
      </w:r>
      <w:r w:rsidR="003C5B1A" w:rsidRPr="00203BA5">
        <w:t>-</w:t>
      </w:r>
      <w:r w:rsidR="00C10A1F" w:rsidRPr="00203BA5">
        <w:t xml:space="preserve">8 </w:t>
      </w:r>
      <w:r w:rsidR="00276783" w:rsidRPr="00203BA5">
        <w:t>donn</w:t>
      </w:r>
      <w:r w:rsidRPr="00203BA5">
        <w:t xml:space="preserve">ent </w:t>
      </w:r>
      <w:r w:rsidR="00C10A1F" w:rsidRPr="00203BA5">
        <w:t>aussi des exemples d</w:t>
      </w:r>
      <w:r w:rsidR="00A61E6D" w:rsidRPr="00203BA5">
        <w:t>’</w:t>
      </w:r>
      <w:r w:rsidR="00C10A1F" w:rsidRPr="00203BA5">
        <w:t xml:space="preserve">inventaires avec </w:t>
      </w:r>
      <w:r w:rsidR="00ED1370" w:rsidRPr="00203BA5">
        <w:t>la</w:t>
      </w:r>
      <w:r w:rsidR="00276783" w:rsidRPr="00203BA5">
        <w:t xml:space="preserve"> participation </w:t>
      </w:r>
      <w:r w:rsidR="00ED1370" w:rsidRPr="00203BA5">
        <w:t xml:space="preserve">des </w:t>
      </w:r>
      <w:r w:rsidR="00276783" w:rsidRPr="00203BA5">
        <w:t>communaut</w:t>
      </w:r>
      <w:r w:rsidR="00ED1370" w:rsidRPr="00203BA5">
        <w:t>és</w:t>
      </w:r>
      <w:r w:rsidR="00C10A1F" w:rsidRPr="00203BA5">
        <w:t>.</w:t>
      </w:r>
    </w:p>
    <w:p w:rsidR="004325DC" w:rsidRPr="0091036F" w:rsidRDefault="00B7724F" w:rsidP="0091036F">
      <w:pPr>
        <w:pStyle w:val="Titcoul"/>
        <w:spacing w:before="720" w:after="240" w:line="320" w:lineRule="exact"/>
        <w:ind w:left="851" w:hanging="851"/>
        <w:rPr>
          <w:w w:val="95"/>
          <w:sz w:val="24"/>
          <w:szCs w:val="24"/>
          <w:lang w:val="fr-FR"/>
        </w:rPr>
      </w:pPr>
      <w:bookmarkStart w:id="45" w:name="_Toc238963231"/>
      <w:bookmarkStart w:id="46" w:name="_Toc241065117"/>
      <w:bookmarkStart w:id="47" w:name="_Toc301443360"/>
      <w:bookmarkStart w:id="48" w:name="_Toc321407003"/>
      <w:bookmarkStart w:id="49" w:name="_Toc354486627"/>
      <w:bookmarkStart w:id="50" w:name="_Toc354486933"/>
      <w:bookmarkStart w:id="51" w:name="_Toc247360209"/>
      <w:r w:rsidRPr="0091036F">
        <w:rPr>
          <w:snapToGrid/>
          <w:sz w:val="24"/>
          <w:szCs w:val="24"/>
          <w:lang w:val="fr-FR"/>
        </w:rPr>
        <w:t>7</w:t>
      </w:r>
      <w:r w:rsidR="00C10A1F" w:rsidRPr="0091036F">
        <w:rPr>
          <w:snapToGrid/>
          <w:sz w:val="24"/>
          <w:szCs w:val="24"/>
          <w:lang w:val="fr-FR"/>
        </w:rPr>
        <w:t>.5</w:t>
      </w:r>
      <w:bookmarkEnd w:id="45"/>
      <w:bookmarkEnd w:id="46"/>
      <w:r w:rsidR="009270A5" w:rsidRPr="0091036F">
        <w:rPr>
          <w:w w:val="95"/>
          <w:sz w:val="24"/>
          <w:szCs w:val="24"/>
          <w:lang w:val="fr-FR"/>
        </w:rPr>
        <w:tab/>
      </w:r>
      <w:bookmarkStart w:id="52" w:name="_Toc238963232"/>
      <w:bookmarkStart w:id="53" w:name="_Toc241065118"/>
      <w:r w:rsidR="0091036F" w:rsidRPr="0091036F">
        <w:rPr>
          <w:w w:val="95"/>
          <w:sz w:val="24"/>
          <w:szCs w:val="24"/>
          <w:lang w:val="fr-FR"/>
        </w:rPr>
        <w:tab/>
      </w:r>
      <w:r w:rsidR="00C10A1F" w:rsidRPr="0091036F">
        <w:rPr>
          <w:sz w:val="24"/>
          <w:szCs w:val="24"/>
          <w:lang w:val="fr-FR"/>
        </w:rPr>
        <w:t>Participation des communaut</w:t>
      </w:r>
      <w:r w:rsidR="0066356D" w:rsidRPr="0091036F">
        <w:rPr>
          <w:sz w:val="24"/>
          <w:szCs w:val="24"/>
          <w:lang w:val="fr-FR"/>
        </w:rPr>
        <w:t>É</w:t>
      </w:r>
      <w:r w:rsidR="00C10A1F" w:rsidRPr="0091036F">
        <w:rPr>
          <w:sz w:val="24"/>
          <w:szCs w:val="24"/>
          <w:lang w:val="fr-FR"/>
        </w:rPr>
        <w:t>s</w:t>
      </w:r>
      <w:r w:rsidR="00386F3C" w:rsidRPr="0091036F">
        <w:rPr>
          <w:sz w:val="24"/>
          <w:szCs w:val="24"/>
          <w:lang w:val="fr-FR"/>
        </w:rPr>
        <w:t xml:space="preserve"> </w:t>
      </w:r>
      <w:r w:rsidR="0066356D" w:rsidRPr="0091036F">
        <w:rPr>
          <w:sz w:val="24"/>
          <w:szCs w:val="24"/>
          <w:lang w:val="fr-FR"/>
        </w:rPr>
        <w:t>À</w:t>
      </w:r>
      <w:r w:rsidR="00C10A1F" w:rsidRPr="0091036F">
        <w:rPr>
          <w:sz w:val="24"/>
          <w:szCs w:val="24"/>
          <w:lang w:val="fr-FR"/>
        </w:rPr>
        <w:t xml:space="preserve"> l</w:t>
      </w:r>
      <w:r w:rsidR="00B10DE4" w:rsidRPr="0091036F">
        <w:rPr>
          <w:sz w:val="24"/>
          <w:szCs w:val="24"/>
          <w:lang w:val="fr-FR"/>
        </w:rPr>
        <w:t>a</w:t>
      </w:r>
      <w:bookmarkEnd w:id="47"/>
      <w:r w:rsidR="00B10DE4" w:rsidRPr="0091036F">
        <w:rPr>
          <w:sz w:val="24"/>
          <w:szCs w:val="24"/>
          <w:lang w:val="fr-FR"/>
        </w:rPr>
        <w:t xml:space="preserve"> sen</w:t>
      </w:r>
      <w:r w:rsidR="00C10A1F" w:rsidRPr="0091036F">
        <w:rPr>
          <w:sz w:val="24"/>
          <w:szCs w:val="24"/>
          <w:lang w:val="fr-FR"/>
        </w:rPr>
        <w:t>sibilisation</w:t>
      </w:r>
      <w:bookmarkEnd w:id="48"/>
      <w:bookmarkEnd w:id="49"/>
      <w:bookmarkEnd w:id="50"/>
      <w:bookmarkEnd w:id="51"/>
      <w:bookmarkEnd w:id="52"/>
      <w:bookmarkEnd w:id="53"/>
    </w:p>
    <w:p w:rsidR="004325DC" w:rsidRPr="00203BA5" w:rsidRDefault="00C10A1F" w:rsidP="00150FFB">
      <w:pPr>
        <w:pStyle w:val="Informations"/>
      </w:pPr>
      <w:r w:rsidRPr="00203BA5">
        <w:t>L</w:t>
      </w:r>
      <w:r w:rsidR="007C1A01" w:rsidRPr="00203BA5">
        <w:t>e</w:t>
      </w:r>
      <w:r w:rsidR="00B10DE4" w:rsidRPr="00203BA5">
        <w:t xml:space="preserve"> thème</w:t>
      </w:r>
      <w:r w:rsidR="007C1A01" w:rsidRPr="00203BA5">
        <w:t xml:space="preserve"> de la</w:t>
      </w:r>
      <w:r w:rsidRPr="00203BA5">
        <w:t xml:space="preserve"> sensibilisation </w:t>
      </w:r>
      <w:r w:rsidR="007C1A01" w:rsidRPr="00203BA5">
        <w:t>est traité</w:t>
      </w:r>
      <w:r w:rsidRPr="00203BA5">
        <w:t xml:space="preserve"> dans</w:t>
      </w:r>
      <w:r w:rsidR="00B7724F" w:rsidRPr="00203BA5">
        <w:t xml:space="preserve"> le </w:t>
      </w:r>
      <w:r w:rsidR="00646D3D" w:rsidRPr="00203BA5">
        <w:t>Texte du participant</w:t>
      </w:r>
      <w:r w:rsidR="00B7724F" w:rsidRPr="00203BA5">
        <w:t xml:space="preserve"> </w:t>
      </w:r>
      <w:r w:rsidR="00537FD4" w:rsidRPr="00203BA5">
        <w:t>de l’</w:t>
      </w:r>
      <w:r w:rsidR="00B7724F" w:rsidRPr="00203BA5">
        <w:t>Unité 5.</w:t>
      </w:r>
    </w:p>
    <w:p w:rsidR="004325DC" w:rsidRPr="00203BA5" w:rsidRDefault="00C10A1F" w:rsidP="00914287">
      <w:pPr>
        <w:pStyle w:val="Texte1"/>
      </w:pPr>
      <w:r w:rsidRPr="00203BA5">
        <w:t>Les États parties sont encouragés à assurer la participation et le consentement des communautés à la prise de conscience de leur propre PCI (</w:t>
      </w:r>
      <w:r w:rsidR="00461004" w:rsidRPr="00203BA5">
        <w:t>DO </w:t>
      </w:r>
      <w:r w:rsidRPr="00203BA5">
        <w:t xml:space="preserve">101(b)). Cela peut </w:t>
      </w:r>
      <w:r w:rsidR="00EB7288" w:rsidRPr="00203BA5">
        <w:t>aider à ne pas fausser la représentation d</w:t>
      </w:r>
      <w:r w:rsidRPr="00203BA5">
        <w:t xml:space="preserve">es communautés et/ou </w:t>
      </w:r>
      <w:r w:rsidR="00EB7288" w:rsidRPr="00203BA5">
        <w:t xml:space="preserve">de </w:t>
      </w:r>
      <w:r w:rsidRPr="00203BA5">
        <w:t>leur PCI dans les</w:t>
      </w:r>
      <w:r w:rsidR="00E74A31" w:rsidRPr="00203BA5">
        <w:t xml:space="preserve"> acti</w:t>
      </w:r>
      <w:r w:rsidR="00EB7288" w:rsidRPr="00203BA5">
        <w:t>vité</w:t>
      </w:r>
      <w:r w:rsidR="00E74A31" w:rsidRPr="00203BA5">
        <w:t xml:space="preserve">s de sensibilisation. </w:t>
      </w:r>
      <w:r w:rsidRPr="00203BA5">
        <w:t>Il y a</w:t>
      </w:r>
      <w:r w:rsidR="00DA5CA2" w:rsidRPr="00203BA5">
        <w:t>,</w:t>
      </w:r>
      <w:r w:rsidRPr="00203BA5">
        <w:t xml:space="preserve"> </w:t>
      </w:r>
      <w:r w:rsidR="00E74A31" w:rsidRPr="00203BA5">
        <w:t>ci-dessous</w:t>
      </w:r>
      <w:r w:rsidR="00DA5CA2" w:rsidRPr="00203BA5">
        <w:t>,</w:t>
      </w:r>
      <w:r w:rsidR="00E74A31" w:rsidRPr="00203BA5">
        <w:t xml:space="preserve"> </w:t>
      </w:r>
      <w:r w:rsidRPr="00203BA5">
        <w:t>un</w:t>
      </w:r>
      <w:r w:rsidR="00DA5CA2" w:rsidRPr="00203BA5">
        <w:t xml:space="preserve"> vaste débat</w:t>
      </w:r>
      <w:r w:rsidRPr="00203BA5">
        <w:t xml:space="preserve"> sur le consentement libre, préalable et éclairé</w:t>
      </w:r>
      <w:r w:rsidR="00E74A31" w:rsidRPr="00203BA5">
        <w:t>.</w:t>
      </w:r>
    </w:p>
    <w:p w:rsidR="004325DC" w:rsidRPr="00203BA5" w:rsidRDefault="00C10A1F" w:rsidP="00914287">
      <w:pPr>
        <w:pStyle w:val="Texte1"/>
      </w:pPr>
      <w:r w:rsidRPr="00203BA5">
        <w:t>Les États parties sont aussi encouragés à s</w:t>
      </w:r>
      <w:r w:rsidR="00A61E6D" w:rsidRPr="00203BA5">
        <w:t>’</w:t>
      </w:r>
      <w:r w:rsidRPr="00203BA5">
        <w:t xml:space="preserve">assurer </w:t>
      </w:r>
      <w:r w:rsidR="00282611" w:rsidRPr="00203BA5">
        <w:t xml:space="preserve">du bénéfice </w:t>
      </w:r>
      <w:r w:rsidRPr="00203BA5">
        <w:t xml:space="preserve">que les communautés concernées </w:t>
      </w:r>
      <w:r w:rsidR="00B72F39" w:rsidRPr="00203BA5">
        <w:rPr>
          <w:noProof/>
          <w:lang w:eastAsia="fr-FR"/>
        </w:rPr>
        <w:drawing>
          <wp:anchor distT="0" distB="0" distL="114300" distR="114300" simplePos="0" relativeHeight="251983360" behindDoc="0" locked="1" layoutInCell="1" allowOverlap="0">
            <wp:simplePos x="0" y="0"/>
            <wp:positionH relativeFrom="margin">
              <wp:align>left</wp:align>
            </wp:positionH>
            <wp:positionV relativeFrom="paragraph">
              <wp:posOffset>685800</wp:posOffset>
            </wp:positionV>
            <wp:extent cx="283210" cy="358775"/>
            <wp:effectExtent l="0" t="0" r="2540" b="3175"/>
            <wp:wrapNone/>
            <wp:docPr id="300" name="Imag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282611" w:rsidRPr="00203BA5">
        <w:t xml:space="preserve">vont tirer </w:t>
      </w:r>
      <w:r w:rsidRPr="00203BA5">
        <w:t>des actions menées pour mieux faire connaître leur PCI (</w:t>
      </w:r>
      <w:r w:rsidR="00461004" w:rsidRPr="00203BA5">
        <w:t>DO </w:t>
      </w:r>
      <w:r w:rsidRPr="00203BA5">
        <w:t xml:space="preserve">101(d)) et </w:t>
      </w:r>
      <w:r w:rsidR="00282611" w:rsidRPr="00203BA5">
        <w:t>de la protection d</w:t>
      </w:r>
      <w:r w:rsidRPr="00203BA5">
        <w:t xml:space="preserve">e leurs droits </w:t>
      </w:r>
      <w:r w:rsidR="00282611" w:rsidRPr="00203BA5">
        <w:t>d</w:t>
      </w:r>
      <w:r w:rsidRPr="00203BA5">
        <w:t>ans le processus (</w:t>
      </w:r>
      <w:r w:rsidR="00461004" w:rsidRPr="00203BA5">
        <w:t>DO </w:t>
      </w:r>
      <w:r w:rsidR="00DE6D21" w:rsidRPr="00203BA5">
        <w:t xml:space="preserve">104). </w:t>
      </w:r>
      <w:r w:rsidRPr="00203BA5">
        <w:t>Ce</w:t>
      </w:r>
      <w:r w:rsidR="00282611" w:rsidRPr="00203BA5">
        <w:t xml:space="preserve"> </w:t>
      </w:r>
      <w:r w:rsidR="00DA5CA2" w:rsidRPr="00203BA5">
        <w:t>point</w:t>
      </w:r>
      <w:r w:rsidRPr="00203BA5">
        <w:t xml:space="preserve"> est </w:t>
      </w:r>
      <w:r w:rsidR="00DA5CA2" w:rsidRPr="00203BA5">
        <w:t>abord</w:t>
      </w:r>
      <w:r w:rsidR="00D953C8" w:rsidRPr="00203BA5">
        <w:t>é</w:t>
      </w:r>
      <w:r w:rsidRPr="00203BA5">
        <w:t xml:space="preserve"> dans </w:t>
      </w:r>
      <w:r w:rsidR="00B72F39" w:rsidRPr="00203BA5">
        <w:t>l</w:t>
      </w:r>
      <w:r w:rsidR="00DA5CA2" w:rsidRPr="00203BA5">
        <w:t>’Unité</w:t>
      </w:r>
      <w:r w:rsidR="00386F3C" w:rsidRPr="00203BA5">
        <w:t xml:space="preserve"> 7.7 du </w:t>
      </w:r>
      <w:r w:rsidR="00646D3D" w:rsidRPr="00203BA5">
        <w:t>Texte du participant</w:t>
      </w:r>
      <w:r w:rsidR="00DE6D21" w:rsidRPr="00203BA5">
        <w:t xml:space="preserve"> ci-après.</w:t>
      </w:r>
    </w:p>
    <w:p w:rsidR="004325DC" w:rsidRPr="00203BA5" w:rsidRDefault="00C10A1F" w:rsidP="00914287">
      <w:pPr>
        <w:pStyle w:val="Informations"/>
      </w:pPr>
      <w:r w:rsidRPr="00203BA5">
        <w:t>L</w:t>
      </w:r>
      <w:r w:rsidR="00A61E6D" w:rsidRPr="00203BA5">
        <w:t>’</w:t>
      </w:r>
      <w:r w:rsidR="003F5CA8" w:rsidRPr="00203BA5">
        <w:t>Étude de cas</w:t>
      </w:r>
      <w:r w:rsidRPr="00203BA5">
        <w:t xml:space="preserve"> 4 </w:t>
      </w:r>
      <w:r w:rsidR="00817F26" w:rsidRPr="00203BA5">
        <w:t>–</w:t>
      </w:r>
      <w:r w:rsidR="00DA5CA2" w:rsidRPr="00203BA5">
        <w:t xml:space="preserve">le projet </w:t>
      </w:r>
      <w:r w:rsidR="00043DFF" w:rsidRPr="00203BA5">
        <w:t>« </w:t>
      </w:r>
      <w:r w:rsidRPr="00203BA5">
        <w:rPr>
          <w:iCs/>
        </w:rPr>
        <w:t xml:space="preserve">Les </w:t>
      </w:r>
      <w:r w:rsidRPr="00203BA5">
        <w:t>Indiens vus par les Indiens</w:t>
      </w:r>
      <w:r w:rsidR="00043DFF" w:rsidRPr="00203BA5">
        <w:t xml:space="preserve"> » </w:t>
      </w:r>
      <w:r w:rsidRPr="00203BA5">
        <w:t>au Brésil</w:t>
      </w:r>
      <w:r w:rsidR="00C654E8" w:rsidRPr="00203BA5">
        <w:t>–</w:t>
      </w:r>
      <w:r w:rsidR="0015366F" w:rsidRPr="00203BA5">
        <w:t xml:space="preserve"> </w:t>
      </w:r>
      <w:r w:rsidRPr="00203BA5">
        <w:t>off</w:t>
      </w:r>
      <w:r w:rsidR="00DA5CA2" w:rsidRPr="00203BA5">
        <w:t>re un exemple de participation communautaire</w:t>
      </w:r>
      <w:r w:rsidRPr="00203BA5">
        <w:t xml:space="preserve"> à une campagne de sensibilisation.</w:t>
      </w:r>
    </w:p>
    <w:p w:rsidR="004325DC" w:rsidRPr="0091036F" w:rsidRDefault="00B7724F" w:rsidP="0091036F">
      <w:pPr>
        <w:pStyle w:val="Titcoul"/>
        <w:spacing w:before="720" w:after="240" w:line="320" w:lineRule="exact"/>
        <w:ind w:left="851" w:hanging="851"/>
        <w:rPr>
          <w:sz w:val="24"/>
          <w:szCs w:val="24"/>
          <w:lang w:val="fr-FR"/>
        </w:rPr>
      </w:pPr>
      <w:bookmarkStart w:id="54" w:name="_Toc238963233"/>
      <w:bookmarkStart w:id="55" w:name="_Toc241065119"/>
      <w:bookmarkStart w:id="56" w:name="_Toc301443361"/>
      <w:bookmarkStart w:id="57" w:name="_Toc321407004"/>
      <w:bookmarkStart w:id="58" w:name="_Toc354486628"/>
      <w:bookmarkStart w:id="59" w:name="_Toc354486934"/>
      <w:bookmarkStart w:id="60" w:name="_Toc247360210"/>
      <w:r w:rsidRPr="0091036F">
        <w:rPr>
          <w:snapToGrid/>
          <w:sz w:val="24"/>
          <w:szCs w:val="24"/>
          <w:lang w:val="fr-FR"/>
        </w:rPr>
        <w:t>7</w:t>
      </w:r>
      <w:r w:rsidR="00C10A1F" w:rsidRPr="0091036F">
        <w:rPr>
          <w:snapToGrid/>
          <w:sz w:val="24"/>
          <w:szCs w:val="24"/>
          <w:lang w:val="fr-FR"/>
        </w:rPr>
        <w:t>.6</w:t>
      </w:r>
      <w:bookmarkEnd w:id="54"/>
      <w:bookmarkEnd w:id="55"/>
      <w:r w:rsidR="009270A5" w:rsidRPr="0091036F">
        <w:rPr>
          <w:snapToGrid/>
          <w:sz w:val="24"/>
          <w:szCs w:val="24"/>
          <w:lang w:val="fr-FR"/>
        </w:rPr>
        <w:tab/>
      </w:r>
      <w:bookmarkStart w:id="61" w:name="_Toc238963234"/>
      <w:bookmarkStart w:id="62" w:name="_Toc241065120"/>
      <w:r w:rsidR="0091036F" w:rsidRPr="0091036F">
        <w:rPr>
          <w:snapToGrid/>
          <w:sz w:val="24"/>
          <w:szCs w:val="24"/>
          <w:lang w:val="fr-FR"/>
        </w:rPr>
        <w:tab/>
      </w:r>
      <w:r w:rsidR="00C10A1F" w:rsidRPr="0091036F">
        <w:rPr>
          <w:sz w:val="24"/>
          <w:szCs w:val="24"/>
          <w:lang w:val="fr-FR"/>
        </w:rPr>
        <w:t xml:space="preserve">Participation </w:t>
      </w:r>
      <w:r w:rsidR="009867A4" w:rsidRPr="0091036F">
        <w:rPr>
          <w:sz w:val="24"/>
          <w:szCs w:val="24"/>
          <w:lang w:val="fr-FR"/>
        </w:rPr>
        <w:t xml:space="preserve">des </w:t>
      </w:r>
      <w:r w:rsidR="000B710C" w:rsidRPr="0091036F">
        <w:rPr>
          <w:sz w:val="24"/>
          <w:szCs w:val="24"/>
          <w:lang w:val="fr-FR"/>
        </w:rPr>
        <w:t xml:space="preserve">communautÉs </w:t>
      </w:r>
      <w:r w:rsidR="00C10A1F" w:rsidRPr="0091036F">
        <w:rPr>
          <w:sz w:val="24"/>
          <w:szCs w:val="24"/>
          <w:lang w:val="fr-FR"/>
        </w:rPr>
        <w:t>aux candidatures et demandes d</w:t>
      </w:r>
      <w:r w:rsidR="00A61E6D" w:rsidRPr="0091036F">
        <w:rPr>
          <w:sz w:val="24"/>
          <w:szCs w:val="24"/>
          <w:lang w:val="fr-FR"/>
        </w:rPr>
        <w:t>’</w:t>
      </w:r>
      <w:r w:rsidR="00C10A1F" w:rsidRPr="0091036F">
        <w:rPr>
          <w:sz w:val="24"/>
          <w:szCs w:val="24"/>
          <w:lang w:val="fr-FR"/>
        </w:rPr>
        <w:t>assistance internationale</w:t>
      </w:r>
      <w:bookmarkEnd w:id="56"/>
      <w:bookmarkEnd w:id="57"/>
      <w:bookmarkEnd w:id="58"/>
      <w:bookmarkEnd w:id="59"/>
      <w:bookmarkEnd w:id="60"/>
      <w:bookmarkEnd w:id="61"/>
      <w:bookmarkEnd w:id="62"/>
    </w:p>
    <w:p w:rsidR="004325DC" w:rsidRPr="00203BA5" w:rsidRDefault="00C10A1F" w:rsidP="00914287">
      <w:pPr>
        <w:pStyle w:val="Texte1"/>
      </w:pPr>
      <w:r w:rsidRPr="00203BA5">
        <w:t>Les propositions d</w:t>
      </w:r>
      <w:r w:rsidR="00A61E6D" w:rsidRPr="00203BA5">
        <w:t>’</w:t>
      </w:r>
      <w:r w:rsidRPr="00203BA5">
        <w:t>inscription d</w:t>
      </w:r>
      <w:r w:rsidR="00A61E6D" w:rsidRPr="00203BA5">
        <w:t>’</w:t>
      </w:r>
      <w:r w:rsidRPr="00203BA5">
        <w:t xml:space="preserve">éléments du PCI sur les Listes de la Convention </w:t>
      </w:r>
      <w:r w:rsidR="00297E7F" w:rsidRPr="00203BA5">
        <w:t xml:space="preserve">ne peuvent </w:t>
      </w:r>
      <w:r w:rsidRPr="00203BA5">
        <w:t xml:space="preserve">être envoyées au Comité </w:t>
      </w:r>
      <w:r w:rsidR="00297E7F" w:rsidRPr="00203BA5">
        <w:t>qu’</w:t>
      </w:r>
      <w:r w:rsidRPr="00203BA5">
        <w:t>avec la participation et le consentement des communautés concernées (</w:t>
      </w:r>
      <w:r w:rsidR="00461004" w:rsidRPr="00203BA5">
        <w:t>DO </w:t>
      </w:r>
      <w:r w:rsidR="00657F01" w:rsidRPr="00203BA5">
        <w:t>1</w:t>
      </w:r>
      <w:r w:rsidRPr="00203BA5">
        <w:t xml:space="preserve">(U.4), </w:t>
      </w:r>
      <w:r w:rsidR="00461004" w:rsidRPr="00203BA5">
        <w:t>DO </w:t>
      </w:r>
      <w:r w:rsidR="00657F01" w:rsidRPr="00203BA5">
        <w:t>2</w:t>
      </w:r>
      <w:r w:rsidRPr="00203BA5">
        <w:t>(R.4)). Les formulaires de candidature demandent d</w:t>
      </w:r>
      <w:r w:rsidR="00297E7F" w:rsidRPr="00203BA5">
        <w:t>e pro</w:t>
      </w:r>
      <w:r w:rsidRPr="00203BA5">
        <w:t>uve</w:t>
      </w:r>
      <w:r w:rsidR="00297E7F" w:rsidRPr="00203BA5">
        <w:t>r</w:t>
      </w:r>
      <w:r w:rsidR="00657F01" w:rsidRPr="00203BA5">
        <w:t xml:space="preserve"> que</w:t>
      </w:r>
      <w:r w:rsidR="00227E50" w:rsidRPr="00203BA5">
        <w:t> </w:t>
      </w:r>
      <w:r w:rsidR="00EA1FE1" w:rsidRPr="00203BA5">
        <w:t>:</w:t>
      </w:r>
    </w:p>
    <w:p w:rsidR="006C3387" w:rsidRPr="00203BA5" w:rsidRDefault="00C10A1F" w:rsidP="00657F01">
      <w:pPr>
        <w:pStyle w:val="Enutiret"/>
        <w:numPr>
          <w:ilvl w:val="0"/>
          <w:numId w:val="49"/>
        </w:numPr>
        <w:rPr>
          <w:snapToGrid w:val="0"/>
        </w:rPr>
      </w:pPr>
      <w:r w:rsidRPr="00203BA5">
        <w:rPr>
          <w:snapToGrid w:val="0"/>
        </w:rPr>
        <w:t>l</w:t>
      </w:r>
      <w:r w:rsidR="00A61E6D" w:rsidRPr="00203BA5">
        <w:rPr>
          <w:snapToGrid w:val="0"/>
        </w:rPr>
        <w:t>’</w:t>
      </w:r>
      <w:r w:rsidRPr="00203BA5">
        <w:rPr>
          <w:snapToGrid w:val="0"/>
        </w:rPr>
        <w:t>élément a été reconn</w:t>
      </w:r>
      <w:r w:rsidR="00297E7F" w:rsidRPr="00203BA5">
        <w:rPr>
          <w:snapToGrid w:val="0"/>
        </w:rPr>
        <w:t>u par la communauté concernée (F</w:t>
      </w:r>
      <w:r w:rsidRPr="00203BA5">
        <w:rPr>
          <w:snapToGrid w:val="0"/>
        </w:rPr>
        <w:t xml:space="preserve">ormulaires </w:t>
      </w:r>
      <w:r w:rsidR="004A66F4" w:rsidRPr="00203BA5">
        <w:rPr>
          <w:snapToGrid w:val="0"/>
        </w:rPr>
        <w:t>ICH-01</w:t>
      </w:r>
      <w:r w:rsidRPr="00203BA5">
        <w:rPr>
          <w:snapToGrid w:val="0"/>
        </w:rPr>
        <w:t xml:space="preserve"> et </w:t>
      </w:r>
      <w:r w:rsidR="004A66F4" w:rsidRPr="00203BA5">
        <w:rPr>
          <w:snapToGrid w:val="0"/>
        </w:rPr>
        <w:t>ICH-02</w:t>
      </w:r>
      <w:r w:rsidRPr="00203BA5">
        <w:rPr>
          <w:snapToGrid w:val="0"/>
        </w:rPr>
        <w:t>, section 1)</w:t>
      </w:r>
      <w:r w:rsidR="00EA1FE1" w:rsidRPr="00203BA5">
        <w:rPr>
          <w:snapToGrid w:val="0"/>
        </w:rPr>
        <w:t> ;</w:t>
      </w:r>
    </w:p>
    <w:p w:rsidR="006C3387" w:rsidRPr="00203BA5" w:rsidRDefault="00C10A1F" w:rsidP="00657F01">
      <w:pPr>
        <w:pStyle w:val="Enutiret"/>
        <w:numPr>
          <w:ilvl w:val="0"/>
          <w:numId w:val="49"/>
        </w:numPr>
        <w:rPr>
          <w:snapToGrid w:val="0"/>
        </w:rPr>
      </w:pPr>
      <w:r w:rsidRPr="00203BA5">
        <w:rPr>
          <w:snapToGrid w:val="0"/>
        </w:rPr>
        <w:t>la communauté concernée a p</w:t>
      </w:r>
      <w:r w:rsidR="002B0F5D" w:rsidRPr="00203BA5">
        <w:rPr>
          <w:snapToGrid w:val="0"/>
        </w:rPr>
        <w:t>ris part</w:t>
      </w:r>
      <w:r w:rsidRPr="00203BA5">
        <w:rPr>
          <w:snapToGrid w:val="0"/>
        </w:rPr>
        <w:t xml:space="preserve"> à l</w:t>
      </w:r>
      <w:r w:rsidR="00A61E6D" w:rsidRPr="00203BA5">
        <w:rPr>
          <w:snapToGrid w:val="0"/>
        </w:rPr>
        <w:t>’</w:t>
      </w:r>
      <w:r w:rsidRPr="00203BA5">
        <w:rPr>
          <w:snapToGrid w:val="0"/>
        </w:rPr>
        <w:t>inventaire de l</w:t>
      </w:r>
      <w:r w:rsidR="00A61E6D" w:rsidRPr="00203BA5">
        <w:rPr>
          <w:snapToGrid w:val="0"/>
        </w:rPr>
        <w:t>’</w:t>
      </w:r>
      <w:r w:rsidRPr="00203BA5">
        <w:rPr>
          <w:snapToGrid w:val="0"/>
        </w:rPr>
        <w:t>éléme</w:t>
      </w:r>
      <w:r w:rsidR="002B0F5D" w:rsidRPr="00203BA5">
        <w:rPr>
          <w:snapToGrid w:val="0"/>
        </w:rPr>
        <w:t>nt (F</w:t>
      </w:r>
      <w:r w:rsidRPr="00203BA5">
        <w:rPr>
          <w:snapToGrid w:val="0"/>
        </w:rPr>
        <w:t xml:space="preserve">ormulaires </w:t>
      </w:r>
      <w:r w:rsidR="004A66F4" w:rsidRPr="00203BA5">
        <w:rPr>
          <w:snapToGrid w:val="0"/>
        </w:rPr>
        <w:t>ICH-01</w:t>
      </w:r>
      <w:r w:rsidRPr="00203BA5">
        <w:rPr>
          <w:snapToGrid w:val="0"/>
        </w:rPr>
        <w:t xml:space="preserve"> et </w:t>
      </w:r>
      <w:r w:rsidR="004A66F4" w:rsidRPr="00203BA5">
        <w:rPr>
          <w:snapToGrid w:val="0"/>
        </w:rPr>
        <w:t>ICH-02</w:t>
      </w:r>
      <w:r w:rsidRPr="00203BA5">
        <w:rPr>
          <w:snapToGrid w:val="0"/>
        </w:rPr>
        <w:t>, section</w:t>
      </w:r>
      <w:r w:rsidR="00953DB9" w:rsidRPr="00203BA5">
        <w:rPr>
          <w:snapToGrid w:val="0"/>
        </w:rPr>
        <w:t> </w:t>
      </w:r>
      <w:r w:rsidRPr="00203BA5">
        <w:rPr>
          <w:snapToGrid w:val="0"/>
        </w:rPr>
        <w:t>5)</w:t>
      </w:r>
      <w:r w:rsidR="00EA1FE1" w:rsidRPr="00203BA5">
        <w:rPr>
          <w:snapToGrid w:val="0"/>
        </w:rPr>
        <w:t> ;</w:t>
      </w:r>
    </w:p>
    <w:p w:rsidR="006C3387" w:rsidRPr="00203BA5" w:rsidRDefault="00C10A1F" w:rsidP="00657F01">
      <w:pPr>
        <w:pStyle w:val="Enutiret"/>
        <w:numPr>
          <w:ilvl w:val="0"/>
          <w:numId w:val="49"/>
        </w:numPr>
        <w:rPr>
          <w:snapToGrid w:val="0"/>
        </w:rPr>
      </w:pPr>
      <w:r w:rsidRPr="00203BA5">
        <w:rPr>
          <w:snapToGrid w:val="0"/>
        </w:rPr>
        <w:t>la communauté concernée a été impliquée d</w:t>
      </w:r>
      <w:r w:rsidR="002B0F5D" w:rsidRPr="00203BA5">
        <w:rPr>
          <w:snapToGrid w:val="0"/>
        </w:rPr>
        <w:t>ans la préparation du dossier (F</w:t>
      </w:r>
      <w:r w:rsidRPr="00203BA5">
        <w:rPr>
          <w:snapToGrid w:val="0"/>
        </w:rPr>
        <w:t xml:space="preserve">ormulaires </w:t>
      </w:r>
      <w:r w:rsidR="004A66F4" w:rsidRPr="00203BA5">
        <w:rPr>
          <w:snapToGrid w:val="0"/>
        </w:rPr>
        <w:t>ICH-01</w:t>
      </w:r>
      <w:r w:rsidRPr="00203BA5">
        <w:rPr>
          <w:snapToGrid w:val="0"/>
        </w:rPr>
        <w:t xml:space="preserve"> et </w:t>
      </w:r>
      <w:r w:rsidR="004A66F4" w:rsidRPr="00203BA5">
        <w:rPr>
          <w:snapToGrid w:val="0"/>
        </w:rPr>
        <w:t>ICH-02</w:t>
      </w:r>
      <w:r w:rsidRPr="00203BA5">
        <w:rPr>
          <w:snapToGrid w:val="0"/>
        </w:rPr>
        <w:t>, section</w:t>
      </w:r>
      <w:r w:rsidR="00953DB9" w:rsidRPr="00203BA5">
        <w:rPr>
          <w:snapToGrid w:val="0"/>
        </w:rPr>
        <w:t> </w:t>
      </w:r>
      <w:r w:rsidRPr="00203BA5">
        <w:rPr>
          <w:snapToGrid w:val="0"/>
        </w:rPr>
        <w:t>4(a))</w:t>
      </w:r>
      <w:r w:rsidR="00EA1FE1" w:rsidRPr="00203BA5">
        <w:rPr>
          <w:snapToGrid w:val="0"/>
        </w:rPr>
        <w:t> ;</w:t>
      </w:r>
    </w:p>
    <w:p w:rsidR="006C3387" w:rsidRPr="00203BA5" w:rsidRDefault="00C10A1F" w:rsidP="00657F01">
      <w:pPr>
        <w:pStyle w:val="Enutiret"/>
        <w:numPr>
          <w:ilvl w:val="0"/>
          <w:numId w:val="49"/>
        </w:numPr>
        <w:rPr>
          <w:snapToGrid w:val="0"/>
        </w:rPr>
      </w:pPr>
      <w:r w:rsidRPr="00203BA5">
        <w:rPr>
          <w:snapToGrid w:val="0"/>
        </w:rPr>
        <w:t>le respect des pratiques coutumières régissant l</w:t>
      </w:r>
      <w:r w:rsidR="00A61E6D" w:rsidRPr="00203BA5">
        <w:rPr>
          <w:snapToGrid w:val="0"/>
        </w:rPr>
        <w:t>’</w:t>
      </w:r>
      <w:r w:rsidRPr="00203BA5">
        <w:rPr>
          <w:snapToGrid w:val="0"/>
        </w:rPr>
        <w:t>accès à l</w:t>
      </w:r>
      <w:r w:rsidR="00A61E6D" w:rsidRPr="00203BA5">
        <w:rPr>
          <w:snapToGrid w:val="0"/>
        </w:rPr>
        <w:t>’</w:t>
      </w:r>
      <w:r w:rsidR="00E16A29" w:rsidRPr="00203BA5">
        <w:rPr>
          <w:snapToGrid w:val="0"/>
        </w:rPr>
        <w:t>élément a été observé (F</w:t>
      </w:r>
      <w:r w:rsidRPr="00203BA5">
        <w:rPr>
          <w:snapToGrid w:val="0"/>
        </w:rPr>
        <w:t xml:space="preserve">ormulaires </w:t>
      </w:r>
      <w:r w:rsidR="004A66F4" w:rsidRPr="00203BA5">
        <w:rPr>
          <w:snapToGrid w:val="0"/>
        </w:rPr>
        <w:t>ICH-01</w:t>
      </w:r>
      <w:r w:rsidRPr="00203BA5">
        <w:rPr>
          <w:snapToGrid w:val="0"/>
        </w:rPr>
        <w:t xml:space="preserve"> et </w:t>
      </w:r>
      <w:r w:rsidR="004A66F4" w:rsidRPr="00203BA5">
        <w:rPr>
          <w:snapToGrid w:val="0"/>
        </w:rPr>
        <w:t>ICH-02</w:t>
      </w:r>
      <w:r w:rsidRPr="00203BA5">
        <w:rPr>
          <w:snapToGrid w:val="0"/>
        </w:rPr>
        <w:t>, section</w:t>
      </w:r>
      <w:r w:rsidR="00953DB9" w:rsidRPr="00203BA5">
        <w:rPr>
          <w:snapToGrid w:val="0"/>
        </w:rPr>
        <w:t> </w:t>
      </w:r>
      <w:r w:rsidRPr="00203BA5">
        <w:rPr>
          <w:snapToGrid w:val="0"/>
        </w:rPr>
        <w:t>4(c))</w:t>
      </w:r>
      <w:r w:rsidR="00EA1FE1" w:rsidRPr="00203BA5">
        <w:rPr>
          <w:snapToGrid w:val="0"/>
        </w:rPr>
        <w:t> ;</w:t>
      </w:r>
    </w:p>
    <w:p w:rsidR="006C3387" w:rsidRPr="00203BA5" w:rsidRDefault="00C10A1F" w:rsidP="00657F01">
      <w:pPr>
        <w:pStyle w:val="Enutiret"/>
        <w:numPr>
          <w:ilvl w:val="0"/>
          <w:numId w:val="49"/>
        </w:numPr>
        <w:rPr>
          <w:snapToGrid w:val="0"/>
        </w:rPr>
      </w:pPr>
      <w:r w:rsidRPr="00203BA5">
        <w:rPr>
          <w:snapToGrid w:val="0"/>
        </w:rPr>
        <w:lastRenderedPageBreak/>
        <w:t>la communauté concernée a accordé son consentement libre, préalable et éclairé à la</w:t>
      </w:r>
      <w:r w:rsidR="00E16A29" w:rsidRPr="00203BA5">
        <w:rPr>
          <w:snapToGrid w:val="0"/>
        </w:rPr>
        <w:t xml:space="preserve"> soumission de la candidature (F</w:t>
      </w:r>
      <w:r w:rsidRPr="00203BA5">
        <w:rPr>
          <w:snapToGrid w:val="0"/>
        </w:rPr>
        <w:t xml:space="preserve">ormulaires </w:t>
      </w:r>
      <w:r w:rsidR="004A66F4" w:rsidRPr="00203BA5">
        <w:rPr>
          <w:snapToGrid w:val="0"/>
        </w:rPr>
        <w:t>ICH-01</w:t>
      </w:r>
      <w:r w:rsidRPr="00203BA5">
        <w:rPr>
          <w:snapToGrid w:val="0"/>
        </w:rPr>
        <w:t xml:space="preserve"> et </w:t>
      </w:r>
      <w:r w:rsidR="004A66F4" w:rsidRPr="00203BA5">
        <w:rPr>
          <w:snapToGrid w:val="0"/>
        </w:rPr>
        <w:t>ICH-02</w:t>
      </w:r>
      <w:r w:rsidRPr="00203BA5">
        <w:rPr>
          <w:snapToGrid w:val="0"/>
        </w:rPr>
        <w:t>, section</w:t>
      </w:r>
      <w:r w:rsidR="00953DB9" w:rsidRPr="00203BA5">
        <w:rPr>
          <w:snapToGrid w:val="0"/>
        </w:rPr>
        <w:t> </w:t>
      </w:r>
      <w:r w:rsidRPr="00203BA5">
        <w:rPr>
          <w:snapToGrid w:val="0"/>
        </w:rPr>
        <w:t>4(b))</w:t>
      </w:r>
      <w:r w:rsidR="00EA1FE1" w:rsidRPr="00203BA5">
        <w:rPr>
          <w:snapToGrid w:val="0"/>
        </w:rPr>
        <w:t> ;</w:t>
      </w:r>
      <w:r w:rsidRPr="00203BA5">
        <w:rPr>
          <w:snapToGrid w:val="0"/>
        </w:rPr>
        <w:t xml:space="preserve"> et</w:t>
      </w:r>
    </w:p>
    <w:p w:rsidR="006C3387" w:rsidRPr="00203BA5" w:rsidRDefault="00C10A1F" w:rsidP="00657F01">
      <w:pPr>
        <w:pStyle w:val="Enutiret"/>
        <w:numPr>
          <w:ilvl w:val="0"/>
          <w:numId w:val="49"/>
        </w:numPr>
        <w:rPr>
          <w:snapToGrid w:val="0"/>
        </w:rPr>
      </w:pPr>
      <w:r w:rsidRPr="00203BA5">
        <w:rPr>
          <w:snapToGrid w:val="0"/>
        </w:rPr>
        <w:t>que la communauté concernée participera pleinement à l</w:t>
      </w:r>
      <w:r w:rsidR="00A61E6D" w:rsidRPr="00203BA5">
        <w:rPr>
          <w:snapToGrid w:val="0"/>
        </w:rPr>
        <w:t>’</w:t>
      </w:r>
      <w:r w:rsidRPr="00203BA5">
        <w:rPr>
          <w:snapToGrid w:val="0"/>
        </w:rPr>
        <w:t>exécution des mesure</w:t>
      </w:r>
      <w:r w:rsidR="00E16A29" w:rsidRPr="00203BA5">
        <w:rPr>
          <w:snapToGrid w:val="0"/>
        </w:rPr>
        <w:t>s de sauvegarde/gestion</w:t>
      </w:r>
      <w:r w:rsidRPr="00203BA5">
        <w:rPr>
          <w:snapToGrid w:val="0"/>
        </w:rPr>
        <w:t xml:space="preserve"> proposées d</w:t>
      </w:r>
      <w:r w:rsidR="00E16A29" w:rsidRPr="00203BA5">
        <w:rPr>
          <w:snapToGrid w:val="0"/>
        </w:rPr>
        <w:t>ans le dossier de candidature (F</w:t>
      </w:r>
      <w:r w:rsidRPr="00203BA5">
        <w:rPr>
          <w:snapToGrid w:val="0"/>
        </w:rPr>
        <w:t xml:space="preserve">ormulaire </w:t>
      </w:r>
      <w:r w:rsidR="004A66F4" w:rsidRPr="00203BA5">
        <w:rPr>
          <w:snapToGrid w:val="0"/>
        </w:rPr>
        <w:t>ICH-01</w:t>
      </w:r>
      <w:r w:rsidRPr="00203BA5">
        <w:rPr>
          <w:snapToGrid w:val="0"/>
        </w:rPr>
        <w:t xml:space="preserve">, section 3(b) </w:t>
      </w:r>
      <w:r w:rsidR="00BB70F2" w:rsidRPr="00203BA5">
        <w:rPr>
          <w:snapToGrid w:val="0"/>
        </w:rPr>
        <w:t>– </w:t>
      </w:r>
      <w:r w:rsidR="00E16A29" w:rsidRPr="00203BA5">
        <w:rPr>
          <w:snapToGrid w:val="0"/>
        </w:rPr>
        <w:t xml:space="preserve">il y a aussi </w:t>
      </w:r>
      <w:r w:rsidRPr="00203BA5">
        <w:rPr>
          <w:snapToGrid w:val="0"/>
        </w:rPr>
        <w:t>une question à ce</w:t>
      </w:r>
      <w:r w:rsidR="00E16A29" w:rsidRPr="00203BA5">
        <w:rPr>
          <w:snapToGrid w:val="0"/>
        </w:rPr>
        <w:t xml:space="preserve"> sujet dans le F</w:t>
      </w:r>
      <w:r w:rsidRPr="00203BA5">
        <w:rPr>
          <w:snapToGrid w:val="0"/>
        </w:rPr>
        <w:t xml:space="preserve">ormulaire </w:t>
      </w:r>
      <w:r w:rsidR="004A66F4" w:rsidRPr="00203BA5">
        <w:rPr>
          <w:snapToGrid w:val="0"/>
        </w:rPr>
        <w:t>ICH-02</w:t>
      </w:r>
      <w:r w:rsidRPr="00203BA5">
        <w:rPr>
          <w:snapToGrid w:val="0"/>
        </w:rPr>
        <w:t>, section 3(b)).</w:t>
      </w:r>
    </w:p>
    <w:p w:rsidR="004325DC" w:rsidRPr="00203BA5" w:rsidRDefault="00D161FB" w:rsidP="00914287">
      <w:pPr>
        <w:pStyle w:val="Texte1"/>
      </w:pPr>
      <w:r w:rsidRPr="00203BA5">
        <w:t>Pour la soumission de</w:t>
      </w:r>
      <w:r w:rsidR="00C10A1F" w:rsidRPr="00203BA5">
        <w:t xml:space="preserve"> </w:t>
      </w:r>
      <w:r w:rsidR="007D222B" w:rsidRPr="00203BA5">
        <w:t xml:space="preserve">propositions </w:t>
      </w:r>
      <w:r w:rsidRPr="00203BA5">
        <w:t>au</w:t>
      </w:r>
      <w:r w:rsidR="00C10A1F" w:rsidRPr="00203BA5">
        <w:t xml:space="preserve"> Registre des meilleures pratiques de sauvegarde</w:t>
      </w:r>
      <w:r w:rsidR="00C10A1F" w:rsidRPr="00203BA5">
        <w:rPr>
          <w:b/>
        </w:rPr>
        <w:t>,</w:t>
      </w:r>
      <w:r w:rsidR="00C10A1F" w:rsidRPr="00203BA5">
        <w:t xml:space="preserve"> il faut prouver que l</w:t>
      </w:r>
      <w:r w:rsidR="00A61E6D" w:rsidRPr="00203BA5">
        <w:t>’</w:t>
      </w:r>
      <w:r w:rsidR="00C10A1F" w:rsidRPr="00203BA5">
        <w:t>activité proposée a été mise en œuvre avec la participation de la communauté concernée (</w:t>
      </w:r>
      <w:r w:rsidRPr="00203BA5">
        <w:t>le cas échéant</w:t>
      </w:r>
      <w:r w:rsidR="00C10A1F" w:rsidRPr="00203BA5">
        <w:t xml:space="preserve">) et que la </w:t>
      </w:r>
      <w:r w:rsidR="007D222B" w:rsidRPr="00203BA5">
        <w:t xml:space="preserve">proposition </w:t>
      </w:r>
      <w:r w:rsidRPr="00203BA5">
        <w:t xml:space="preserve">d’inscription </w:t>
      </w:r>
      <w:r w:rsidR="00C10A1F" w:rsidRPr="00203BA5">
        <w:t>a été soumise avec son consentement (</w:t>
      </w:r>
      <w:r w:rsidR="00461004" w:rsidRPr="00203BA5">
        <w:t>DO </w:t>
      </w:r>
      <w:r w:rsidRPr="00203BA5">
        <w:t>7 (P.5), F</w:t>
      </w:r>
      <w:r w:rsidR="00C10A1F" w:rsidRPr="00203BA5">
        <w:t xml:space="preserve">ormulaire </w:t>
      </w:r>
      <w:r w:rsidR="004A66F4" w:rsidRPr="00203BA5">
        <w:t>ICH-03</w:t>
      </w:r>
      <w:r w:rsidR="00C10A1F" w:rsidRPr="00203BA5">
        <w:t>, section</w:t>
      </w:r>
      <w:r w:rsidR="00953DB9" w:rsidRPr="00203BA5">
        <w:t> </w:t>
      </w:r>
      <w:r w:rsidR="00C10A1F" w:rsidRPr="00203BA5">
        <w:t>5). Il convient également d</w:t>
      </w:r>
      <w:r w:rsidRPr="00203BA5">
        <w:t>e pro</w:t>
      </w:r>
      <w:r w:rsidR="00C10A1F" w:rsidRPr="00203BA5">
        <w:t>uve</w:t>
      </w:r>
      <w:r w:rsidRPr="00203BA5">
        <w:t>r</w:t>
      </w:r>
      <w:r w:rsidR="00C10A1F" w:rsidRPr="00203BA5">
        <w:t xml:space="preserve"> que la communauté concernée (</w:t>
      </w:r>
      <w:r w:rsidRPr="00203BA5">
        <w:t>le cas échéant</w:t>
      </w:r>
      <w:r w:rsidR="00C10A1F" w:rsidRPr="00203BA5">
        <w:t>) est désireuse de coopérer à la diffusion de la meilleure pratique sélectionnée (</w:t>
      </w:r>
      <w:r w:rsidR="00461004" w:rsidRPr="00203BA5">
        <w:t>DO </w:t>
      </w:r>
      <w:r w:rsidR="00E12EA2" w:rsidRPr="00203BA5">
        <w:t>7 (P.7), F</w:t>
      </w:r>
      <w:r w:rsidR="00C10A1F" w:rsidRPr="00203BA5">
        <w:t xml:space="preserve">ormulaire </w:t>
      </w:r>
      <w:r w:rsidR="004A66F4" w:rsidRPr="00203BA5">
        <w:t>ICH-03</w:t>
      </w:r>
      <w:r w:rsidR="00C10A1F" w:rsidRPr="00203BA5">
        <w:t>, section 7).</w:t>
      </w:r>
    </w:p>
    <w:p w:rsidR="004325DC" w:rsidRPr="00203BA5" w:rsidRDefault="00C10A1F" w:rsidP="00914287">
      <w:pPr>
        <w:pStyle w:val="Texte1"/>
      </w:pPr>
      <w:r w:rsidRPr="00203BA5">
        <w:t>Pour les demandes d</w:t>
      </w:r>
      <w:r w:rsidR="00A61E6D" w:rsidRPr="00203BA5">
        <w:t>’</w:t>
      </w:r>
      <w:r w:rsidRPr="00203BA5">
        <w:t>assistance internationale qui concernent directement le PCI d</w:t>
      </w:r>
      <w:r w:rsidR="00A61E6D" w:rsidRPr="00203BA5">
        <w:t>’</w:t>
      </w:r>
      <w:r w:rsidRPr="00203BA5">
        <w:t>une ou plusieurs communautés spécifiques (hormis les demandes d</w:t>
      </w:r>
      <w:r w:rsidR="00A61E6D" w:rsidRPr="00203BA5">
        <w:t>’</w:t>
      </w:r>
      <w:r w:rsidRPr="00203BA5">
        <w:t xml:space="preserve">assistance préparatoire), la preuve doit être </w:t>
      </w:r>
      <w:r w:rsidR="00E12EA2" w:rsidRPr="00203BA5">
        <w:t>fourni</w:t>
      </w:r>
      <w:r w:rsidRPr="00203BA5">
        <w:t xml:space="preserve">e que les communautés concernées ont participé à la préparation de la demande et </w:t>
      </w:r>
      <w:r w:rsidR="00E12EA2" w:rsidRPr="00203BA5">
        <w:t>prend</w:t>
      </w:r>
      <w:r w:rsidRPr="00203BA5">
        <w:t xml:space="preserve">ront </w:t>
      </w:r>
      <w:r w:rsidR="00E12EA2" w:rsidRPr="00203BA5">
        <w:t>part aux</w:t>
      </w:r>
      <w:r w:rsidRPr="00203BA5">
        <w:t xml:space="preserve"> activités pour lesquelles une aide financière </w:t>
      </w:r>
      <w:r w:rsidR="005174E3" w:rsidRPr="00203BA5">
        <w:t>a été</w:t>
      </w:r>
      <w:r w:rsidRPr="00203BA5">
        <w:t xml:space="preserve"> sollicitée, ainsi qu</w:t>
      </w:r>
      <w:r w:rsidR="005174E3" w:rsidRPr="00203BA5">
        <w:t>’à</w:t>
      </w:r>
      <w:r w:rsidRPr="00203BA5">
        <w:t xml:space="preserve"> l</w:t>
      </w:r>
      <w:r w:rsidR="005174E3" w:rsidRPr="00203BA5">
        <w:t xml:space="preserve">eur </w:t>
      </w:r>
      <w:r w:rsidRPr="00203BA5">
        <w:t>évaluation et le</w:t>
      </w:r>
      <w:r w:rsidR="005174E3" w:rsidRPr="00203BA5">
        <w:t>ur</w:t>
      </w:r>
      <w:r w:rsidRPr="00203BA5">
        <w:t xml:space="preserve"> suivi (</w:t>
      </w:r>
      <w:r w:rsidR="00461004" w:rsidRPr="00203BA5">
        <w:t>DO </w:t>
      </w:r>
      <w:r w:rsidR="00B1152E" w:rsidRPr="00203BA5">
        <w:t>12</w:t>
      </w:r>
      <w:r w:rsidR="00E12EA2" w:rsidRPr="00203BA5">
        <w:t>(A.1), F</w:t>
      </w:r>
      <w:r w:rsidRPr="00203BA5">
        <w:t xml:space="preserve">ormulaire </w:t>
      </w:r>
      <w:r w:rsidR="004A66F4" w:rsidRPr="00203BA5">
        <w:t>ICH-04</w:t>
      </w:r>
      <w:r w:rsidRPr="00203BA5">
        <w:t>, section 15). La preuve formelle du consentement de la communauté n</w:t>
      </w:r>
      <w:r w:rsidR="00A61E6D" w:rsidRPr="00203BA5">
        <w:t>’</w:t>
      </w:r>
      <w:r w:rsidRPr="00203BA5">
        <w:t>est pas exigée dans les demandes d</w:t>
      </w:r>
      <w:r w:rsidR="00A61E6D" w:rsidRPr="00203BA5">
        <w:t>’</w:t>
      </w:r>
      <w:r w:rsidRPr="00203BA5">
        <w:t>aide financière. Dans le cas des demandes d</w:t>
      </w:r>
      <w:r w:rsidR="00A61E6D" w:rsidRPr="00203BA5">
        <w:t>’</w:t>
      </w:r>
      <w:r w:rsidRPr="00203BA5">
        <w:t>assistance préparatoire, des éléments d</w:t>
      </w:r>
      <w:r w:rsidR="00A61E6D" w:rsidRPr="00203BA5">
        <w:t>’</w:t>
      </w:r>
      <w:r w:rsidRPr="00203BA5">
        <w:t>information sont requis sur la manière dont les communautés concernées ont été (ou seront) impliquées dans la préparation de la candidature</w:t>
      </w:r>
      <w:r w:rsidR="0033320A" w:rsidRPr="00203BA5">
        <w:t xml:space="preserve"> et appelées à donner leur consentement (F</w:t>
      </w:r>
      <w:r w:rsidRPr="00203BA5">
        <w:t xml:space="preserve">ormulaires </w:t>
      </w:r>
      <w:r w:rsidR="004A66F4" w:rsidRPr="00203BA5">
        <w:t>ICH-05</w:t>
      </w:r>
      <w:r w:rsidRPr="00203BA5">
        <w:t xml:space="preserve"> et </w:t>
      </w:r>
      <w:r w:rsidR="004A66F4" w:rsidRPr="00203BA5">
        <w:t>ICH-06</w:t>
      </w:r>
      <w:r w:rsidRPr="00203BA5">
        <w:t>, sections</w:t>
      </w:r>
      <w:r w:rsidR="00227E50" w:rsidRPr="00203BA5">
        <w:t> 9 et 10</w:t>
      </w:r>
      <w:r w:rsidRPr="00203BA5">
        <w:t xml:space="preserve"> respectivement).</w:t>
      </w:r>
    </w:p>
    <w:p w:rsidR="004325DC" w:rsidRPr="00203BA5" w:rsidRDefault="000826E1" w:rsidP="00914287">
      <w:pPr>
        <w:pStyle w:val="Informations"/>
      </w:pPr>
      <w:r w:rsidRPr="00203BA5">
        <w:rPr>
          <w:noProof/>
          <w:lang w:eastAsia="fr-FR"/>
        </w:rPr>
        <w:drawing>
          <wp:anchor distT="0" distB="0" distL="114300" distR="114300" simplePos="0" relativeHeight="251864576" behindDoc="0" locked="1" layoutInCell="1" allowOverlap="0">
            <wp:simplePos x="0" y="0"/>
            <wp:positionH relativeFrom="margin">
              <wp:align>left</wp:align>
            </wp:positionH>
            <wp:positionV relativeFrom="paragraph">
              <wp:posOffset>-12700</wp:posOffset>
            </wp:positionV>
            <wp:extent cx="283210" cy="358775"/>
            <wp:effectExtent l="0" t="0" r="2540" b="3175"/>
            <wp:wrapThrough wrapText="bothSides">
              <wp:wrapPolygon edited="0">
                <wp:start x="0" y="0"/>
                <wp:lineTo x="0" y="20644"/>
                <wp:lineTo x="20341" y="20644"/>
                <wp:lineTo x="20341" y="0"/>
                <wp:lineTo x="0" y="0"/>
              </wp:wrapPolygon>
            </wp:wrapThrough>
            <wp:docPr id="248"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203BA5">
        <w:t>Le</w:t>
      </w:r>
      <w:r w:rsidR="009A0876" w:rsidRPr="00203BA5">
        <w:t xml:space="preserve"> sujet de</w:t>
      </w:r>
      <w:r w:rsidR="00C10A1F" w:rsidRPr="00203BA5">
        <w:t>s candidature</w:t>
      </w:r>
      <w:r w:rsidR="0033320A" w:rsidRPr="00203BA5">
        <w:t>s</w:t>
      </w:r>
      <w:r w:rsidR="00C10A1F" w:rsidRPr="00203BA5">
        <w:t xml:space="preserve"> </w:t>
      </w:r>
      <w:r w:rsidR="009A0876" w:rsidRPr="00203BA5">
        <w:t>e</w:t>
      </w:r>
      <w:r w:rsidR="00C10A1F" w:rsidRPr="00203BA5">
        <w:t xml:space="preserve">st </w:t>
      </w:r>
      <w:r w:rsidR="00B1152E" w:rsidRPr="00203BA5">
        <w:t>examin</w:t>
      </w:r>
      <w:r w:rsidR="009A0876" w:rsidRPr="00203BA5">
        <w:t>é</w:t>
      </w:r>
      <w:r w:rsidR="00C10A1F" w:rsidRPr="00203BA5">
        <w:t xml:space="preserve"> en détail dans </w:t>
      </w:r>
      <w:r w:rsidR="00B7724F" w:rsidRPr="00203BA5">
        <w:t xml:space="preserve">le </w:t>
      </w:r>
      <w:r w:rsidR="00646D3D" w:rsidRPr="00203BA5">
        <w:t>Texte du participant</w:t>
      </w:r>
      <w:r w:rsidR="00972FD9" w:rsidRPr="00203BA5">
        <w:t xml:space="preserve"> </w:t>
      </w:r>
      <w:r w:rsidR="00386F3C" w:rsidRPr="00203BA5">
        <w:t>de l’</w:t>
      </w:r>
      <w:r w:rsidR="00972FD9" w:rsidRPr="00203BA5">
        <w:t>Unité </w:t>
      </w:r>
      <w:r w:rsidR="00B7724F" w:rsidRPr="00203BA5">
        <w:t>11</w:t>
      </w:r>
      <w:r w:rsidR="00C10A1F" w:rsidRPr="00203BA5">
        <w:t>.</w:t>
      </w:r>
    </w:p>
    <w:p w:rsidR="004325DC" w:rsidRPr="00203BA5" w:rsidRDefault="00B1152E" w:rsidP="00914287">
      <w:pPr>
        <w:pStyle w:val="Informations"/>
      </w:pPr>
      <w:r w:rsidRPr="00203BA5">
        <w:t>Les Études de cas 10-12 offrent d</w:t>
      </w:r>
      <w:r w:rsidR="009A0876" w:rsidRPr="00203BA5">
        <w:t>es exemples de participation</w:t>
      </w:r>
      <w:r w:rsidR="00C10A1F" w:rsidRPr="00203BA5">
        <w:t xml:space="preserve"> communaut</w:t>
      </w:r>
      <w:r w:rsidR="009A0876" w:rsidRPr="00203BA5">
        <w:t>aire à des projets de candidature</w:t>
      </w:r>
      <w:r w:rsidR="00C10A1F" w:rsidRPr="00203BA5">
        <w:t>.</w:t>
      </w:r>
    </w:p>
    <w:p w:rsidR="004325DC" w:rsidRPr="0091036F" w:rsidRDefault="000826E1" w:rsidP="0091036F">
      <w:pPr>
        <w:pStyle w:val="Titcoul"/>
        <w:spacing w:before="720" w:after="240" w:line="320" w:lineRule="exact"/>
        <w:ind w:left="851" w:hanging="851"/>
        <w:rPr>
          <w:sz w:val="24"/>
          <w:szCs w:val="24"/>
          <w:lang w:val="fr-FR"/>
        </w:rPr>
      </w:pPr>
      <w:bookmarkStart w:id="63" w:name="_Toc238963235"/>
      <w:bookmarkStart w:id="64" w:name="_Toc241065121"/>
      <w:bookmarkStart w:id="65" w:name="_Toc301443362"/>
      <w:bookmarkStart w:id="66" w:name="_Toc321407005"/>
      <w:bookmarkStart w:id="67" w:name="_Toc354486629"/>
      <w:bookmarkStart w:id="68" w:name="_Toc354486935"/>
      <w:bookmarkStart w:id="69" w:name="_Toc247360211"/>
      <w:r w:rsidRPr="0091036F">
        <w:rPr>
          <w:sz w:val="24"/>
          <w:szCs w:val="24"/>
          <w:lang w:val="fr-FR"/>
        </w:rPr>
        <w:t>7</w:t>
      </w:r>
      <w:r w:rsidR="00C10A1F" w:rsidRPr="0091036F">
        <w:rPr>
          <w:sz w:val="24"/>
          <w:szCs w:val="24"/>
          <w:lang w:val="fr-FR"/>
        </w:rPr>
        <w:t>.7</w:t>
      </w:r>
      <w:bookmarkStart w:id="70" w:name="_Toc238963236"/>
      <w:bookmarkStart w:id="71" w:name="_Toc241065122"/>
      <w:bookmarkEnd w:id="63"/>
      <w:bookmarkEnd w:id="64"/>
      <w:r w:rsidR="0091036F" w:rsidRPr="0091036F">
        <w:rPr>
          <w:sz w:val="24"/>
          <w:szCs w:val="24"/>
          <w:lang w:val="fr-FR"/>
        </w:rPr>
        <w:tab/>
      </w:r>
      <w:r w:rsidR="0091036F">
        <w:rPr>
          <w:sz w:val="24"/>
          <w:szCs w:val="24"/>
          <w:lang w:val="fr-FR"/>
        </w:rPr>
        <w:tab/>
      </w:r>
      <w:r w:rsidR="00C10A1F" w:rsidRPr="0091036F">
        <w:rPr>
          <w:sz w:val="24"/>
          <w:szCs w:val="24"/>
          <w:lang w:val="fr-FR"/>
        </w:rPr>
        <w:t xml:space="preserve">Assurer </w:t>
      </w:r>
      <w:r w:rsidR="00BD5C46" w:rsidRPr="0091036F">
        <w:rPr>
          <w:sz w:val="24"/>
          <w:szCs w:val="24"/>
          <w:lang w:val="fr-FR"/>
        </w:rPr>
        <w:t xml:space="preserve">la participation et </w:t>
      </w:r>
      <w:r w:rsidR="00C10A1F" w:rsidRPr="0091036F">
        <w:rPr>
          <w:sz w:val="24"/>
          <w:szCs w:val="24"/>
          <w:lang w:val="fr-FR"/>
        </w:rPr>
        <w:t xml:space="preserve">le consentement </w:t>
      </w:r>
      <w:bookmarkEnd w:id="65"/>
      <w:bookmarkEnd w:id="66"/>
      <w:r w:rsidR="009867A4" w:rsidRPr="0091036F">
        <w:rPr>
          <w:sz w:val="24"/>
          <w:szCs w:val="24"/>
          <w:lang w:val="fr-FR"/>
        </w:rPr>
        <w:t xml:space="preserve">des </w:t>
      </w:r>
      <w:bookmarkEnd w:id="67"/>
      <w:bookmarkEnd w:id="68"/>
      <w:bookmarkEnd w:id="69"/>
      <w:bookmarkEnd w:id="70"/>
      <w:bookmarkEnd w:id="71"/>
      <w:r w:rsidR="000B710C" w:rsidRPr="0091036F">
        <w:rPr>
          <w:sz w:val="24"/>
          <w:szCs w:val="24"/>
          <w:lang w:val="fr-FR"/>
        </w:rPr>
        <w:t>communautÉs</w:t>
      </w:r>
    </w:p>
    <w:p w:rsidR="004325DC" w:rsidRPr="00203BA5" w:rsidRDefault="00C10A1F" w:rsidP="00914287">
      <w:pPr>
        <w:pStyle w:val="Texte1"/>
      </w:pPr>
      <w:r w:rsidRPr="00203BA5">
        <w:t>Le fait d</w:t>
      </w:r>
      <w:r w:rsidR="00A61E6D" w:rsidRPr="00203BA5">
        <w:t>’</w:t>
      </w:r>
      <w:r w:rsidRPr="00203BA5">
        <w:t>assurer la participation d</w:t>
      </w:r>
      <w:r w:rsidR="00BA6372" w:rsidRPr="00203BA5">
        <w:t>’une</w:t>
      </w:r>
      <w:r w:rsidRPr="00203BA5">
        <w:t xml:space="preserve"> communauté aux activités concernant </w:t>
      </w:r>
      <w:r w:rsidR="00BA6372" w:rsidRPr="00203BA5">
        <w:t>son</w:t>
      </w:r>
      <w:r w:rsidRPr="00203BA5">
        <w:t xml:space="preserve"> PCI et</w:t>
      </w:r>
      <w:r w:rsidR="00461004" w:rsidRPr="00203BA5">
        <w:t xml:space="preserve"> </w:t>
      </w:r>
      <w:r w:rsidRPr="00203BA5">
        <w:t>de l</w:t>
      </w:r>
      <w:r w:rsidR="00BA6372" w:rsidRPr="00203BA5">
        <w:t>’</w:t>
      </w:r>
      <w:r w:rsidR="00263B17" w:rsidRPr="00203BA5">
        <w:t>aider à sa sauvegarde</w:t>
      </w:r>
      <w:r w:rsidRPr="00203BA5">
        <w:t xml:space="preserve"> </w:t>
      </w:r>
      <w:r w:rsidR="00263B17" w:rsidRPr="00203BA5">
        <w:t>exige</w:t>
      </w:r>
      <w:r w:rsidR="00BA6372" w:rsidRPr="00203BA5">
        <w:t xml:space="preserve"> </w:t>
      </w:r>
      <w:r w:rsidR="00263B17" w:rsidRPr="00203BA5">
        <w:t>la tenue d’</w:t>
      </w:r>
      <w:r w:rsidR="00BA6372" w:rsidRPr="00203BA5">
        <w:t xml:space="preserve">un débat </w:t>
      </w:r>
      <w:r w:rsidR="00263B17" w:rsidRPr="00203BA5">
        <w:t>inform</w:t>
      </w:r>
      <w:r w:rsidR="00BA6372" w:rsidRPr="00203BA5">
        <w:t xml:space="preserve">é </w:t>
      </w:r>
      <w:r w:rsidRPr="00203BA5">
        <w:t>entre les m</w:t>
      </w:r>
      <w:r w:rsidR="001E2DFA" w:rsidRPr="00203BA5">
        <w:t>embres de la communauté sur les</w:t>
      </w:r>
      <w:r w:rsidRPr="00203BA5">
        <w:t xml:space="preserve"> intérêts et les perspectives d</w:t>
      </w:r>
      <w:r w:rsidR="001E2DFA" w:rsidRPr="00203BA5">
        <w:t>e la communauté concernée et</w:t>
      </w:r>
      <w:r w:rsidRPr="00203BA5">
        <w:t xml:space="preserve"> autres </w:t>
      </w:r>
      <w:r w:rsidR="001E2DFA" w:rsidRPr="00203BA5">
        <w:t>parties prenante</w:t>
      </w:r>
      <w:r w:rsidRPr="00203BA5">
        <w:t>s. Ce</w:t>
      </w:r>
      <w:r w:rsidR="001E2DFA" w:rsidRPr="00203BA5">
        <w:t>t échange</w:t>
      </w:r>
      <w:r w:rsidRPr="00203BA5">
        <w:t xml:space="preserve"> peut se prolonger par des discussions avec </w:t>
      </w:r>
      <w:r w:rsidR="001E2DFA" w:rsidRPr="00203BA5">
        <w:t>l</w:t>
      </w:r>
      <w:r w:rsidRPr="00203BA5">
        <w:t xml:space="preserve">es </w:t>
      </w:r>
      <w:r w:rsidR="001E2DFA" w:rsidRPr="00203BA5">
        <w:t>intéressés</w:t>
      </w:r>
      <w:r w:rsidRPr="00203BA5">
        <w:t>, y compris les experts et les agences gouvernementales.</w:t>
      </w:r>
    </w:p>
    <w:p w:rsidR="004325DC" w:rsidRPr="00203BA5" w:rsidRDefault="00C10A1F" w:rsidP="00914287">
      <w:pPr>
        <w:pStyle w:val="Texte1"/>
      </w:pPr>
      <w:r w:rsidRPr="00203BA5">
        <w:t>Dans le processus, il convient d</w:t>
      </w:r>
      <w:r w:rsidR="00A61E6D" w:rsidRPr="00203BA5">
        <w:t>’</w:t>
      </w:r>
      <w:r w:rsidR="00AF3819" w:rsidRPr="00203BA5">
        <w:t xml:space="preserve">accorder une </w:t>
      </w:r>
      <w:r w:rsidRPr="00203BA5">
        <w:t>attention</w:t>
      </w:r>
      <w:r w:rsidR="00AF3819" w:rsidRPr="00203BA5">
        <w:t xml:space="preserve"> particulière</w:t>
      </w:r>
      <w:r w:rsidRPr="00203BA5">
        <w:t xml:space="preserve"> aux questions suivantes</w:t>
      </w:r>
      <w:r w:rsidR="00EA1FE1" w:rsidRPr="00203BA5">
        <w:t> :</w:t>
      </w:r>
    </w:p>
    <w:p w:rsidR="004325DC" w:rsidRPr="00203BA5" w:rsidRDefault="009C7D5E" w:rsidP="00203184">
      <w:pPr>
        <w:pStyle w:val="Txtpucegras"/>
      </w:pPr>
      <w:r w:rsidRPr="00203BA5">
        <w:t xml:space="preserve">Comment </w:t>
      </w:r>
      <w:r w:rsidR="00C10A1F" w:rsidRPr="00203BA5">
        <w:t>les communautés concernées sont-elles identifiées</w:t>
      </w:r>
      <w:r w:rsidRPr="00203BA5">
        <w:t> ?</w:t>
      </w:r>
    </w:p>
    <w:p w:rsidR="004325DC" w:rsidRPr="00203BA5" w:rsidRDefault="009C7D5E" w:rsidP="00203184">
      <w:pPr>
        <w:pStyle w:val="Txtpucegras"/>
      </w:pPr>
      <w:r w:rsidRPr="00203BA5">
        <w:t xml:space="preserve">Qui </w:t>
      </w:r>
      <w:r w:rsidR="00C10A1F" w:rsidRPr="00203BA5">
        <w:t>représente ces communautés et avec quel mandat</w:t>
      </w:r>
      <w:r w:rsidRPr="00203BA5">
        <w:t> ?</w:t>
      </w:r>
    </w:p>
    <w:p w:rsidR="004325DC" w:rsidRPr="00203BA5" w:rsidRDefault="009C7D5E" w:rsidP="00203184">
      <w:pPr>
        <w:pStyle w:val="Txtpucegras"/>
      </w:pPr>
      <w:r w:rsidRPr="00203BA5">
        <w:t xml:space="preserve">Comment </w:t>
      </w:r>
      <w:r w:rsidR="00C10A1F" w:rsidRPr="00203BA5">
        <w:t>les communautés peuvent-elles être informées et impliquées dans les activités concernant leur PCI</w:t>
      </w:r>
      <w:r w:rsidRPr="00203BA5">
        <w:t> ?</w:t>
      </w:r>
    </w:p>
    <w:p w:rsidR="004325DC" w:rsidRPr="00203BA5" w:rsidRDefault="009C7D5E" w:rsidP="00203184">
      <w:pPr>
        <w:pStyle w:val="Txtpucegras"/>
      </w:pPr>
      <w:r w:rsidRPr="00203BA5">
        <w:t xml:space="preserve">Comment </w:t>
      </w:r>
      <w:r w:rsidR="00C10A1F" w:rsidRPr="00203BA5">
        <w:t>les communautés peuvent-elles informer l</w:t>
      </w:r>
      <w:r w:rsidR="00D63F6D" w:rsidRPr="00203BA5">
        <w:t xml:space="preserve">es autres intervenants </w:t>
      </w:r>
      <w:r w:rsidR="00C10A1F" w:rsidRPr="00203BA5">
        <w:t>de ces activités</w:t>
      </w:r>
      <w:r w:rsidRPr="00203BA5">
        <w:t> ?</w:t>
      </w:r>
    </w:p>
    <w:p w:rsidR="004325DC" w:rsidRPr="00203BA5" w:rsidRDefault="009C7D5E" w:rsidP="00203184">
      <w:pPr>
        <w:pStyle w:val="Txtpucegras"/>
      </w:pPr>
      <w:r w:rsidRPr="00203BA5">
        <w:lastRenderedPageBreak/>
        <w:t xml:space="preserve">Comment </w:t>
      </w:r>
      <w:r w:rsidR="00C10A1F" w:rsidRPr="00203BA5">
        <w:t>les communautés peuvent-elles être a</w:t>
      </w:r>
      <w:r w:rsidR="00D63F6D" w:rsidRPr="00203BA5">
        <w:t>ssist</w:t>
      </w:r>
      <w:r w:rsidR="00C10A1F" w:rsidRPr="00203BA5">
        <w:t xml:space="preserve">ées dans la préparation des mesures de sauvegarde ou comment </w:t>
      </w:r>
      <w:r w:rsidR="00FD0D61" w:rsidRPr="00203BA5">
        <w:t xml:space="preserve">préparer </w:t>
      </w:r>
      <w:r w:rsidR="00C10A1F" w:rsidRPr="00203BA5">
        <w:t>ce</w:t>
      </w:r>
      <w:r w:rsidR="00AF3819" w:rsidRPr="00203BA5">
        <w:t>s mesures</w:t>
      </w:r>
      <w:r w:rsidR="00FD0D61" w:rsidRPr="00203BA5">
        <w:t xml:space="preserve"> ave</w:t>
      </w:r>
      <w:r w:rsidR="00C10A1F" w:rsidRPr="00203BA5">
        <w:t>c leur pleine mobilisation</w:t>
      </w:r>
      <w:r w:rsidRPr="00203BA5">
        <w:t> ?</w:t>
      </w:r>
    </w:p>
    <w:p w:rsidR="004325DC" w:rsidRPr="00203BA5" w:rsidRDefault="009C7D5E" w:rsidP="00203184">
      <w:pPr>
        <w:pStyle w:val="Txtpucegras"/>
      </w:pPr>
      <w:r w:rsidRPr="00203BA5">
        <w:t xml:space="preserve">Qui </w:t>
      </w:r>
      <w:r w:rsidR="00AF6D0D" w:rsidRPr="00203BA5">
        <w:t>a la capacité</w:t>
      </w:r>
      <w:r w:rsidR="00C10A1F" w:rsidRPr="00203BA5">
        <w:t xml:space="preserve"> et le mandat p</w:t>
      </w:r>
      <w:r w:rsidR="00AF6D0D" w:rsidRPr="00203BA5">
        <w:t>ermettant l</w:t>
      </w:r>
      <w:r w:rsidR="006B0DB8" w:rsidRPr="00203BA5">
        <w:t xml:space="preserve">a mise en </w:t>
      </w:r>
      <w:r w:rsidR="00AF6D0D" w:rsidRPr="00203BA5">
        <w:t>application d</w:t>
      </w:r>
      <w:r w:rsidR="00C10A1F" w:rsidRPr="00203BA5">
        <w:t>es</w:t>
      </w:r>
      <w:r w:rsidR="006B0DB8" w:rsidRPr="00203BA5">
        <w:t xml:space="preserve"> mesures de sauvegarde et à qui</w:t>
      </w:r>
      <w:r w:rsidR="00AF6D0D" w:rsidRPr="00203BA5">
        <w:t xml:space="preserve"> confier </w:t>
      </w:r>
      <w:r w:rsidR="006B0DB8" w:rsidRPr="00203BA5">
        <w:t>cette</w:t>
      </w:r>
      <w:r w:rsidR="00C10A1F" w:rsidRPr="00203BA5">
        <w:t xml:space="preserve"> tâche</w:t>
      </w:r>
      <w:r w:rsidR="00AF6D0D" w:rsidRPr="00203BA5">
        <w:t> ?</w:t>
      </w:r>
      <w:r w:rsidR="00C10A1F" w:rsidRPr="00203BA5">
        <w:t xml:space="preserve"> (Si la </w:t>
      </w:r>
      <w:r w:rsidR="00AF6D0D" w:rsidRPr="00203BA5">
        <w:t xml:space="preserve">responsabilité </w:t>
      </w:r>
      <w:r w:rsidR="00C10A1F" w:rsidRPr="00203BA5">
        <w:t>principale n</w:t>
      </w:r>
      <w:r w:rsidR="00A61E6D" w:rsidRPr="00203BA5">
        <w:t>’</w:t>
      </w:r>
      <w:r w:rsidR="00AF6D0D" w:rsidRPr="00203BA5">
        <w:t xml:space="preserve">en </w:t>
      </w:r>
      <w:r w:rsidR="00C10A1F" w:rsidRPr="00203BA5">
        <w:t>incombe pas à la communauté, pourquoi</w:t>
      </w:r>
      <w:r w:rsidR="00953DB9" w:rsidRPr="00203BA5">
        <w:t> ?</w:t>
      </w:r>
      <w:r w:rsidR="00C10A1F" w:rsidRPr="00203BA5">
        <w:t>)</w:t>
      </w:r>
    </w:p>
    <w:p w:rsidR="004325DC" w:rsidRPr="00203BA5" w:rsidRDefault="009C7D5E" w:rsidP="00203184">
      <w:pPr>
        <w:pStyle w:val="Txtpucegras"/>
      </w:pPr>
      <w:r w:rsidRPr="00203BA5">
        <w:t xml:space="preserve">Qui </w:t>
      </w:r>
      <w:r w:rsidR="00C10A1F" w:rsidRPr="00203BA5">
        <w:t>contrôle la mise en œuvre des mesures de sauvegarde</w:t>
      </w:r>
      <w:r w:rsidRPr="00203BA5">
        <w:t> ?</w:t>
      </w:r>
    </w:p>
    <w:p w:rsidR="004325DC" w:rsidRPr="00203BA5" w:rsidRDefault="009C7D5E" w:rsidP="00203184">
      <w:pPr>
        <w:pStyle w:val="Txtpucegras"/>
      </w:pPr>
      <w:r w:rsidRPr="00203BA5">
        <w:t xml:space="preserve">Qui </w:t>
      </w:r>
      <w:r w:rsidR="00C10A1F" w:rsidRPr="00203BA5">
        <w:t>veille à ce que l</w:t>
      </w:r>
      <w:r w:rsidR="0083460C" w:rsidRPr="00203BA5">
        <w:t>es communautés concernées et</w:t>
      </w:r>
      <w:r w:rsidR="00C10A1F" w:rsidRPr="00203BA5">
        <w:t xml:space="preserve"> </w:t>
      </w:r>
      <w:r w:rsidR="0083460C" w:rsidRPr="00203BA5">
        <w:t xml:space="preserve">les </w:t>
      </w:r>
      <w:r w:rsidR="00C10A1F" w:rsidRPr="00203BA5">
        <w:t xml:space="preserve">autres </w:t>
      </w:r>
      <w:r w:rsidR="0083460C" w:rsidRPr="00203BA5">
        <w:t>parties prenante</w:t>
      </w:r>
      <w:r w:rsidR="00C10A1F" w:rsidRPr="00203BA5">
        <w:t xml:space="preserve">s </w:t>
      </w:r>
      <w:r w:rsidR="0083460C" w:rsidRPr="00203BA5">
        <w:t>soient</w:t>
      </w:r>
      <w:r w:rsidR="00C10A1F" w:rsidRPr="00203BA5">
        <w:t xml:space="preserve"> </w:t>
      </w:r>
      <w:r w:rsidR="0083460C" w:rsidRPr="00203BA5">
        <w:t>tenues</w:t>
      </w:r>
      <w:r w:rsidR="00C10A1F" w:rsidRPr="00203BA5">
        <w:t xml:space="preserve"> informé</w:t>
      </w:r>
      <w:r w:rsidR="0083460C" w:rsidRPr="00203BA5">
        <w:t>e</w:t>
      </w:r>
      <w:r w:rsidR="00C10A1F" w:rsidRPr="00203BA5">
        <w:t>s d</w:t>
      </w:r>
      <w:r w:rsidR="0083460C" w:rsidRPr="00203BA5">
        <w:t>e l’avancement</w:t>
      </w:r>
      <w:r w:rsidR="00C10A1F" w:rsidRPr="00203BA5">
        <w:t xml:space="preserve"> des mesures de sauvegarde</w:t>
      </w:r>
      <w:r w:rsidRPr="00203BA5">
        <w:t> ?</w:t>
      </w:r>
    </w:p>
    <w:p w:rsidR="004325DC" w:rsidRPr="00D031E9" w:rsidRDefault="000826E1" w:rsidP="00D031E9">
      <w:pPr>
        <w:pStyle w:val="Titcoul"/>
        <w:spacing w:before="720" w:after="240" w:line="320" w:lineRule="exact"/>
        <w:ind w:left="851" w:hanging="851"/>
        <w:rPr>
          <w:sz w:val="24"/>
          <w:szCs w:val="24"/>
          <w:lang w:val="fr-FR"/>
        </w:rPr>
      </w:pPr>
      <w:bookmarkStart w:id="72" w:name="_Toc238963237"/>
      <w:bookmarkStart w:id="73" w:name="_Toc241065123"/>
      <w:bookmarkStart w:id="74" w:name="_Toc301443363"/>
      <w:bookmarkStart w:id="75" w:name="_Toc321407006"/>
      <w:bookmarkStart w:id="76" w:name="_Toc354486630"/>
      <w:bookmarkStart w:id="77" w:name="_Toc354486936"/>
      <w:bookmarkStart w:id="78" w:name="_Toc247360212"/>
      <w:r w:rsidRPr="00D031E9">
        <w:rPr>
          <w:sz w:val="24"/>
          <w:szCs w:val="24"/>
          <w:lang w:val="fr-FR"/>
        </w:rPr>
        <w:t>7</w:t>
      </w:r>
      <w:r w:rsidR="00C10A1F" w:rsidRPr="00D031E9">
        <w:rPr>
          <w:sz w:val="24"/>
          <w:szCs w:val="24"/>
          <w:lang w:val="fr-FR"/>
        </w:rPr>
        <w:t>.8</w:t>
      </w:r>
      <w:bookmarkStart w:id="79" w:name="_Toc238963238"/>
      <w:bookmarkStart w:id="80" w:name="_Toc241065124"/>
      <w:bookmarkEnd w:id="72"/>
      <w:bookmarkEnd w:id="73"/>
      <w:r w:rsidR="00D031E9" w:rsidRPr="00D031E9">
        <w:rPr>
          <w:sz w:val="24"/>
          <w:szCs w:val="24"/>
          <w:lang w:val="fr-FR"/>
        </w:rPr>
        <w:tab/>
      </w:r>
      <w:r w:rsidR="00D031E9" w:rsidRPr="00D031E9">
        <w:rPr>
          <w:sz w:val="24"/>
          <w:szCs w:val="24"/>
          <w:lang w:val="fr-FR"/>
        </w:rPr>
        <w:tab/>
      </w:r>
      <w:r w:rsidR="00C10A1F" w:rsidRPr="00D031E9">
        <w:rPr>
          <w:sz w:val="24"/>
          <w:szCs w:val="24"/>
          <w:lang w:val="fr-FR"/>
        </w:rPr>
        <w:t xml:space="preserve">Identifier </w:t>
      </w:r>
      <w:r w:rsidR="00C34622" w:rsidRPr="00D031E9">
        <w:rPr>
          <w:sz w:val="24"/>
          <w:szCs w:val="24"/>
          <w:lang w:val="fr-FR"/>
        </w:rPr>
        <w:t>les</w:t>
      </w:r>
      <w:r w:rsidR="00C10A1F" w:rsidRPr="00D031E9">
        <w:rPr>
          <w:sz w:val="24"/>
          <w:szCs w:val="24"/>
          <w:lang w:val="fr-FR"/>
        </w:rPr>
        <w:t xml:space="preserve"> </w:t>
      </w:r>
      <w:r w:rsidR="000B710C" w:rsidRPr="00D031E9">
        <w:rPr>
          <w:sz w:val="24"/>
          <w:szCs w:val="24"/>
          <w:lang w:val="fr-FR"/>
        </w:rPr>
        <w:t xml:space="preserve">communautÉs </w:t>
      </w:r>
      <w:bookmarkEnd w:id="74"/>
      <w:bookmarkEnd w:id="75"/>
      <w:bookmarkEnd w:id="76"/>
      <w:bookmarkEnd w:id="77"/>
      <w:bookmarkEnd w:id="78"/>
      <w:bookmarkEnd w:id="79"/>
      <w:bookmarkEnd w:id="80"/>
      <w:r w:rsidR="000B710C" w:rsidRPr="00D031E9">
        <w:rPr>
          <w:sz w:val="24"/>
          <w:szCs w:val="24"/>
          <w:lang w:val="fr-FR"/>
        </w:rPr>
        <w:t>concernÉes</w:t>
      </w:r>
    </w:p>
    <w:p w:rsidR="004325DC" w:rsidRPr="00203BA5" w:rsidRDefault="00C10A1F" w:rsidP="00914287">
      <w:pPr>
        <w:pStyle w:val="Texte1"/>
      </w:pPr>
      <w:r w:rsidRPr="00203BA5">
        <w:t>La plupart des États parties travaillent déjà d</w:t>
      </w:r>
      <w:r w:rsidR="00A61E6D" w:rsidRPr="00203BA5">
        <w:t>’</w:t>
      </w:r>
      <w:r w:rsidR="00F9172D" w:rsidRPr="00203BA5">
        <w:t>une</w:t>
      </w:r>
      <w:r w:rsidRPr="00203BA5">
        <w:t xml:space="preserve"> manière </w:t>
      </w:r>
      <w:r w:rsidR="00F9172D" w:rsidRPr="00203BA5">
        <w:t xml:space="preserve">ou d’une autre </w:t>
      </w:r>
      <w:r w:rsidRPr="00203BA5">
        <w:t xml:space="preserve">avec les communautés à la mise </w:t>
      </w:r>
      <w:r w:rsidR="00FD0D61" w:rsidRPr="00203BA5">
        <w:t>en œuvre de la Convention</w:t>
      </w:r>
      <w:r w:rsidRPr="00203BA5">
        <w:t>.</w:t>
      </w:r>
    </w:p>
    <w:p w:rsidR="004325DC" w:rsidRPr="00203BA5" w:rsidRDefault="00C10A1F" w:rsidP="00914287">
      <w:pPr>
        <w:pStyle w:val="Texte1"/>
      </w:pPr>
      <w:r w:rsidRPr="00203BA5">
        <w:t>Il existe plusieurs moyens d</w:t>
      </w:r>
      <w:r w:rsidR="00A61E6D" w:rsidRPr="00203BA5">
        <w:t>’</w:t>
      </w:r>
      <w:r w:rsidRPr="00203BA5">
        <w:t xml:space="preserve">identifier les communautés et leur PCI. Les communautés, groupes ou individus concernés sont souvent définis comme </w:t>
      </w:r>
      <w:r w:rsidR="00FD0D61" w:rsidRPr="00203BA5">
        <w:t>ceux</w:t>
      </w:r>
      <w:r w:rsidRPr="00203BA5">
        <w:t xml:space="preserve"> qui sont directement ou indirectement engagés dans la représentation et la transmission d</w:t>
      </w:r>
      <w:r w:rsidR="00A61E6D" w:rsidRPr="00203BA5">
        <w:t>’</w:t>
      </w:r>
      <w:r w:rsidRPr="00203BA5">
        <w:t>un ou plusieurs éléments du PCI et qui considèrent que cela fait partie de leur patrimoine. Beaucoup d</w:t>
      </w:r>
      <w:r w:rsidR="00A61E6D" w:rsidRPr="00203BA5">
        <w:t>’</w:t>
      </w:r>
      <w:r w:rsidRPr="00203BA5">
        <w:t xml:space="preserve">États parties définissent </w:t>
      </w:r>
      <w:r w:rsidR="00F9172D" w:rsidRPr="00203BA5">
        <w:t>aussi</w:t>
      </w:r>
      <w:r w:rsidRPr="00203BA5">
        <w:t xml:space="preserve"> les communautés en termes d</w:t>
      </w:r>
      <w:r w:rsidR="00A61E6D" w:rsidRPr="00203BA5">
        <w:t>’</w:t>
      </w:r>
      <w:r w:rsidRPr="00203BA5">
        <w:t>affiliations ethnolinguistiques, de lieu (urbain ou rural, ou par région administrative), de croyances</w:t>
      </w:r>
      <w:r w:rsidR="00E66E4C" w:rsidRPr="00203BA5">
        <w:t xml:space="preserve"> ou</w:t>
      </w:r>
      <w:r w:rsidR="00F9172D" w:rsidRPr="00203BA5">
        <w:t xml:space="preserve"> </w:t>
      </w:r>
      <w:r w:rsidRPr="00203BA5">
        <w:t>pratiques communes</w:t>
      </w:r>
      <w:r w:rsidR="00F9172D" w:rsidRPr="00203BA5">
        <w:t>,</w:t>
      </w:r>
      <w:r w:rsidRPr="00203BA5">
        <w:t xml:space="preserve"> ou d</w:t>
      </w:r>
      <w:r w:rsidR="00A61E6D" w:rsidRPr="00203BA5">
        <w:t>’</w:t>
      </w:r>
      <w:r w:rsidRPr="00203BA5">
        <w:t>histoire commune.</w:t>
      </w:r>
    </w:p>
    <w:p w:rsidR="004325DC" w:rsidRPr="00203BA5" w:rsidRDefault="006721BA" w:rsidP="00914287">
      <w:pPr>
        <w:pStyle w:val="Texte1"/>
      </w:pPr>
      <w:r w:rsidRPr="00203BA5">
        <w:t>Cependant, l</w:t>
      </w:r>
      <w:r w:rsidR="00C10A1F" w:rsidRPr="00203BA5">
        <w:t>e processus d</w:t>
      </w:r>
      <w:r w:rsidR="00A61E6D" w:rsidRPr="00203BA5">
        <w:t>’</w:t>
      </w:r>
      <w:r w:rsidR="00C10A1F" w:rsidRPr="00203BA5">
        <w:t xml:space="preserve">identification </w:t>
      </w:r>
      <w:r w:rsidR="009867A4" w:rsidRPr="00203BA5">
        <w:t>des communautés</w:t>
      </w:r>
      <w:r w:rsidR="00C10A1F" w:rsidRPr="00203BA5">
        <w:t xml:space="preserve"> n</w:t>
      </w:r>
      <w:r w:rsidR="00A61E6D" w:rsidRPr="00203BA5">
        <w:t>’</w:t>
      </w:r>
      <w:r w:rsidRPr="00203BA5">
        <w:t>est</w:t>
      </w:r>
      <w:r w:rsidR="00C10A1F" w:rsidRPr="00203BA5">
        <w:t xml:space="preserve"> général</w:t>
      </w:r>
      <w:r w:rsidRPr="00203BA5">
        <w:t>ement pas une mince affaire :</w:t>
      </w:r>
    </w:p>
    <w:p w:rsidR="004325DC" w:rsidRPr="00203BA5" w:rsidRDefault="00C10A1F" w:rsidP="00203184">
      <w:pPr>
        <w:pStyle w:val="Txtpucegras"/>
      </w:pPr>
      <w:r w:rsidRPr="00203BA5">
        <w:t>Les communautés se retrouvent souvent non seulement autour de leurs relations historiques (y compris le</w:t>
      </w:r>
      <w:r w:rsidR="001E3CA3" w:rsidRPr="00203BA5">
        <w:t>ur</w:t>
      </w:r>
      <w:r w:rsidRPr="00203BA5">
        <w:t xml:space="preserve"> patrimoine </w:t>
      </w:r>
      <w:r w:rsidR="001E3CA3" w:rsidRPr="00203BA5">
        <w:t>commun</w:t>
      </w:r>
      <w:r w:rsidRPr="00203BA5">
        <w:t xml:space="preserve">), mais aussi autour des </w:t>
      </w:r>
      <w:r w:rsidR="001E3CA3" w:rsidRPr="00203BA5">
        <w:t>enjeux</w:t>
      </w:r>
      <w:r w:rsidRPr="00203BA5">
        <w:t xml:space="preserve"> et des perspectives politiques et économiques du jour. Les </w:t>
      </w:r>
      <w:r w:rsidR="00E66E4C" w:rsidRPr="00203BA5">
        <w:t>gen</w:t>
      </w:r>
      <w:r w:rsidRPr="00203BA5">
        <w:t>s ont</w:t>
      </w:r>
      <w:r w:rsidR="001E3CA3" w:rsidRPr="00203BA5">
        <w:t>,</w:t>
      </w:r>
      <w:r w:rsidRPr="00203BA5">
        <w:t xml:space="preserve"> </w:t>
      </w:r>
      <w:r w:rsidR="001E3CA3" w:rsidRPr="00203BA5">
        <w:t xml:space="preserve">en général, </w:t>
      </w:r>
      <w:r w:rsidRPr="00203BA5">
        <w:t>plusieurs sortes d</w:t>
      </w:r>
      <w:r w:rsidR="00A61E6D" w:rsidRPr="00203BA5">
        <w:t>’</w:t>
      </w:r>
      <w:r w:rsidRPr="00203BA5">
        <w:t xml:space="preserve">affiliations </w:t>
      </w:r>
      <w:r w:rsidR="001E3CA3" w:rsidRPr="00203BA5">
        <w:t xml:space="preserve">culturelles et </w:t>
      </w:r>
      <w:r w:rsidRPr="00203BA5">
        <w:t>sociales à travers différents réseaux, et ces affiliations peuvent évoluer au fil du temps.</w:t>
      </w:r>
    </w:p>
    <w:p w:rsidR="004325DC" w:rsidRPr="00203BA5" w:rsidRDefault="00C10A1F" w:rsidP="00203184">
      <w:pPr>
        <w:pStyle w:val="Txtpucegras"/>
      </w:pPr>
      <w:r w:rsidRPr="00203BA5">
        <w:t>Les communautés ne sont pas homogènes et tout le monde n</w:t>
      </w:r>
      <w:r w:rsidR="00A61E6D" w:rsidRPr="00203BA5">
        <w:t>’</w:t>
      </w:r>
      <w:r w:rsidRPr="00203BA5">
        <w:t>est pas d</w:t>
      </w:r>
      <w:r w:rsidR="00A61E6D" w:rsidRPr="00203BA5">
        <w:t>’</w:t>
      </w:r>
      <w:r w:rsidR="001E3CA3" w:rsidRPr="00203BA5">
        <w:t>accord sur tout</w:t>
      </w:r>
      <w:r w:rsidRPr="00203BA5">
        <w:t xml:space="preserve">. </w:t>
      </w:r>
      <w:r w:rsidR="001E3CA3" w:rsidRPr="00203BA5">
        <w:t>Il arrive d</w:t>
      </w:r>
      <w:r w:rsidRPr="00203BA5">
        <w:t>ans bien des cas</w:t>
      </w:r>
      <w:r w:rsidR="001E3CA3" w:rsidRPr="00203BA5">
        <w:t xml:space="preserve"> que</w:t>
      </w:r>
      <w:r w:rsidRPr="00203BA5">
        <w:t xml:space="preserve"> tous les membres d</w:t>
      </w:r>
      <w:r w:rsidR="00A61E6D" w:rsidRPr="00203BA5">
        <w:t>’</w:t>
      </w:r>
      <w:r w:rsidRPr="00203BA5">
        <w:t xml:space="preserve">une communauté ne participent pas pleinement au même ensemble du PCI. Les communautés et les groupes ont souvent </w:t>
      </w:r>
      <w:r w:rsidR="002F19FD" w:rsidRPr="00203BA5">
        <w:t>une hiérarchie interne</w:t>
      </w:r>
      <w:r w:rsidRPr="00203BA5">
        <w:t xml:space="preserve"> </w:t>
      </w:r>
      <w:r w:rsidR="002F19FD" w:rsidRPr="00203BA5">
        <w:t xml:space="preserve">fondée, </w:t>
      </w:r>
      <w:r w:rsidRPr="00203BA5">
        <w:t>par exemple</w:t>
      </w:r>
      <w:r w:rsidR="002F19FD" w:rsidRPr="00203BA5">
        <w:t>, sur la classe sociale,</w:t>
      </w:r>
      <w:r w:rsidRPr="00203BA5">
        <w:t xml:space="preserve"> l</w:t>
      </w:r>
      <w:r w:rsidR="00A61E6D" w:rsidRPr="00203BA5">
        <w:t>’</w:t>
      </w:r>
      <w:r w:rsidRPr="00203BA5">
        <w:t xml:space="preserve">âge ou le </w:t>
      </w:r>
      <w:r w:rsidR="002F19FD" w:rsidRPr="00203BA5">
        <w:t>sexe</w:t>
      </w:r>
      <w:r w:rsidRPr="00203BA5">
        <w:t>.</w:t>
      </w:r>
    </w:p>
    <w:p w:rsidR="004325DC" w:rsidRPr="00203BA5" w:rsidRDefault="00C10A1F" w:rsidP="00203184">
      <w:pPr>
        <w:pStyle w:val="Txtpucegras"/>
      </w:pPr>
      <w:r w:rsidRPr="00203BA5">
        <w:t>La communauté ou le groupe et, par voie de conséquence, la pratique de l</w:t>
      </w:r>
      <w:r w:rsidR="00A61E6D" w:rsidRPr="00203BA5">
        <w:t>’</w:t>
      </w:r>
      <w:r w:rsidRPr="00203BA5">
        <w:t>élément du PCI, peut êt</w:t>
      </w:r>
      <w:r w:rsidR="008809E1" w:rsidRPr="00203BA5">
        <w:t>re disséminée sur un</w:t>
      </w:r>
      <w:r w:rsidRPr="00203BA5">
        <w:t xml:space="preserve"> vaste </w:t>
      </w:r>
      <w:r w:rsidR="008809E1" w:rsidRPr="00203BA5">
        <w:t>territoir</w:t>
      </w:r>
      <w:r w:rsidRPr="00203BA5">
        <w:t>e géographique</w:t>
      </w:r>
      <w:r w:rsidR="00345F3D" w:rsidRPr="00203BA5">
        <w:t xml:space="preserve">, voire </w:t>
      </w:r>
      <w:r w:rsidRPr="00203BA5">
        <w:t>d</w:t>
      </w:r>
      <w:r w:rsidR="00345F3D" w:rsidRPr="00203BA5">
        <w:t>ans</w:t>
      </w:r>
      <w:r w:rsidRPr="00203BA5">
        <w:t xml:space="preserve"> de</w:t>
      </w:r>
      <w:r w:rsidR="00345F3D" w:rsidRPr="00203BA5">
        <w:t>s</w:t>
      </w:r>
      <w:r w:rsidRPr="00203BA5">
        <w:t xml:space="preserve"> pays </w:t>
      </w:r>
      <w:r w:rsidR="008809E1" w:rsidRPr="00203BA5">
        <w:t>relativement éloign</w:t>
      </w:r>
      <w:r w:rsidRPr="00203BA5">
        <w:t>és l</w:t>
      </w:r>
      <w:r w:rsidR="008809E1" w:rsidRPr="00203BA5">
        <w:t xml:space="preserve">es </w:t>
      </w:r>
      <w:r w:rsidRPr="00203BA5">
        <w:t>un</w:t>
      </w:r>
      <w:r w:rsidR="008809E1" w:rsidRPr="00203BA5">
        <w:t>s</w:t>
      </w:r>
      <w:r w:rsidRPr="00203BA5">
        <w:t xml:space="preserve"> de</w:t>
      </w:r>
      <w:r w:rsidR="008809E1" w:rsidRPr="00203BA5">
        <w:t xml:space="preserve">s </w:t>
      </w:r>
      <w:r w:rsidRPr="00203BA5">
        <w:t>autre</w:t>
      </w:r>
      <w:r w:rsidR="008809E1" w:rsidRPr="00203BA5">
        <w:t>s</w:t>
      </w:r>
      <w:r w:rsidRPr="00203BA5">
        <w:t>.</w:t>
      </w:r>
    </w:p>
    <w:p w:rsidR="004325DC" w:rsidRPr="00203BA5" w:rsidRDefault="00C10A1F" w:rsidP="00150FFB">
      <w:pPr>
        <w:pStyle w:val="Texte1"/>
      </w:pPr>
      <w:r w:rsidRPr="00203BA5">
        <w:t xml:space="preserve">Les </w:t>
      </w:r>
      <w:r w:rsidR="008809E1" w:rsidRPr="00203BA5">
        <w:t>gens au sein</w:t>
      </w:r>
      <w:r w:rsidRPr="00203BA5">
        <w:t xml:space="preserve"> d</w:t>
      </w:r>
      <w:r w:rsidR="00A61E6D" w:rsidRPr="00203BA5">
        <w:t>’</w:t>
      </w:r>
      <w:r w:rsidRPr="00203BA5">
        <w:t>une communauté peuvent avoir d</w:t>
      </w:r>
      <w:r w:rsidR="006957A2" w:rsidRPr="00203BA5">
        <w:t>es rôles d</w:t>
      </w:r>
      <w:r w:rsidRPr="00203BA5">
        <w:t>ifférents vis-à-vis de l</w:t>
      </w:r>
      <w:r w:rsidR="00A61E6D" w:rsidRPr="00203BA5">
        <w:t>’</w:t>
      </w:r>
      <w:r w:rsidRPr="00203BA5">
        <w:t>élément proposé</w:t>
      </w:r>
      <w:r w:rsidR="00EA1FE1" w:rsidRPr="00203BA5">
        <w:t> :</w:t>
      </w:r>
    </w:p>
    <w:p w:rsidR="006C3387" w:rsidRPr="00203BA5" w:rsidRDefault="00C10A1F" w:rsidP="00203184">
      <w:pPr>
        <w:pStyle w:val="Txtpucegras"/>
      </w:pPr>
      <w:r w:rsidRPr="00203BA5">
        <w:t>Il peut y avoir des petits groupes de praticiens patentés, de</w:t>
      </w:r>
      <w:r w:rsidR="006957A2" w:rsidRPr="00203BA5">
        <w:t>s</w:t>
      </w:r>
      <w:r w:rsidRPr="00203BA5">
        <w:t xml:space="preserve"> détenteurs de traditions, de</w:t>
      </w:r>
      <w:r w:rsidR="006957A2" w:rsidRPr="00203BA5">
        <w:t>s</w:t>
      </w:r>
      <w:r w:rsidRPr="00203BA5">
        <w:t xml:space="preserve"> dépositaires de savoirs</w:t>
      </w:r>
      <w:r w:rsidR="006957A2" w:rsidRPr="00203BA5">
        <w:t>,</w:t>
      </w:r>
      <w:r w:rsidRPr="00203BA5">
        <w:t xml:space="preserve"> et </w:t>
      </w:r>
      <w:r w:rsidR="006957A2" w:rsidRPr="00203BA5">
        <w:t>ainsi de suite,</w:t>
      </w:r>
      <w:r w:rsidRPr="00203BA5">
        <w:t xml:space="preserve"> qui jouent un rôle plus direct et/ou spécialisé dans la pratique et la transmission de l</w:t>
      </w:r>
      <w:r w:rsidR="00A61E6D" w:rsidRPr="00203BA5">
        <w:t>’</w:t>
      </w:r>
      <w:r w:rsidR="006957A2" w:rsidRPr="00203BA5">
        <w:t xml:space="preserve">élément, comme </w:t>
      </w:r>
      <w:r w:rsidRPr="00203BA5">
        <w:t>les marionnettistes, les interprètes, les musiciens, les shamans, les maîtres ébénistes, etc.</w:t>
      </w:r>
    </w:p>
    <w:p w:rsidR="006C3387" w:rsidRPr="00203BA5" w:rsidRDefault="00C10A1F" w:rsidP="00203184">
      <w:pPr>
        <w:pStyle w:val="Txtpucegras"/>
      </w:pPr>
      <w:r w:rsidRPr="00203BA5">
        <w:t xml:space="preserve">La communauté concernée peut aussi </w:t>
      </w:r>
      <w:r w:rsidR="006957A2" w:rsidRPr="00203BA5">
        <w:t>compter</w:t>
      </w:r>
      <w:r w:rsidRPr="00203BA5">
        <w:t xml:space="preserve"> </w:t>
      </w:r>
      <w:r w:rsidR="006957A2" w:rsidRPr="00203BA5">
        <w:t>bon</w:t>
      </w:r>
      <w:r w:rsidRPr="00203BA5">
        <w:t xml:space="preserve"> no</w:t>
      </w:r>
      <w:r w:rsidR="00232DF5" w:rsidRPr="00203BA5">
        <w:t>mbre de participants indirects, autrement dit</w:t>
      </w:r>
      <w:r w:rsidR="00816C89" w:rsidRPr="00203BA5">
        <w:t xml:space="preserve"> des publics interactifs dans</w:t>
      </w:r>
      <w:r w:rsidRPr="00203BA5">
        <w:t xml:space="preserve"> des rituels ou des événements festifs, ou </w:t>
      </w:r>
      <w:r w:rsidR="00232DF5" w:rsidRPr="00203BA5">
        <w:lastRenderedPageBreak/>
        <w:t xml:space="preserve">encore </w:t>
      </w:r>
      <w:r w:rsidRPr="00203BA5">
        <w:t>des gens qui a</w:t>
      </w:r>
      <w:r w:rsidR="00816C89" w:rsidRPr="00203BA5">
        <w:t>id</w:t>
      </w:r>
      <w:r w:rsidRPr="00203BA5">
        <w:t xml:space="preserve">ent </w:t>
      </w:r>
      <w:r w:rsidR="00816C89" w:rsidRPr="00203BA5">
        <w:t>à</w:t>
      </w:r>
      <w:r w:rsidRPr="00203BA5">
        <w:t xml:space="preserve"> prépar</w:t>
      </w:r>
      <w:r w:rsidR="00816C89" w:rsidRPr="00203BA5">
        <w:t>er</w:t>
      </w:r>
      <w:r w:rsidRPr="00203BA5">
        <w:t xml:space="preserve"> des spectacles ou des fe</w:t>
      </w:r>
      <w:r w:rsidR="001F083C" w:rsidRPr="00203BA5">
        <w:t xml:space="preserve">stivals. La </w:t>
      </w:r>
      <w:r w:rsidR="00B36998" w:rsidRPr="00203BA5">
        <w:t xml:space="preserve">présence d’un </w:t>
      </w:r>
      <w:r w:rsidRPr="00203BA5">
        <w:t>audi</w:t>
      </w:r>
      <w:r w:rsidR="001F083C" w:rsidRPr="00203BA5">
        <w:t>toire</w:t>
      </w:r>
      <w:r w:rsidRPr="00203BA5">
        <w:t xml:space="preserve"> réacti</w:t>
      </w:r>
      <w:r w:rsidR="00B36998" w:rsidRPr="00203BA5">
        <w:t>f et compréhensif est souvent essentielle à</w:t>
      </w:r>
      <w:r w:rsidR="001F083C" w:rsidRPr="00203BA5">
        <w:t xml:space="preserve"> la qualité de représentation</w:t>
      </w:r>
      <w:r w:rsidRPr="00203BA5">
        <w:t xml:space="preserve"> d</w:t>
      </w:r>
      <w:r w:rsidR="00A61E6D" w:rsidRPr="00203BA5">
        <w:t>’</w:t>
      </w:r>
      <w:r w:rsidRPr="00203BA5">
        <w:t>un élément. L</w:t>
      </w:r>
      <w:r w:rsidR="00A86B9C" w:rsidRPr="00203BA5">
        <w:t>a</w:t>
      </w:r>
      <w:r w:rsidRPr="00203BA5">
        <w:t xml:space="preserve"> reconna</w:t>
      </w:r>
      <w:r w:rsidR="00A86B9C" w:rsidRPr="00203BA5">
        <w:t>issance du</w:t>
      </w:r>
      <w:r w:rsidRPr="00203BA5">
        <w:t xml:space="preserve"> rôle des participants indi</w:t>
      </w:r>
      <w:r w:rsidR="00A86B9C" w:rsidRPr="00203BA5">
        <w:t>rects, surtout des jeunes, et leur sensibilisation au</w:t>
      </w:r>
      <w:r w:rsidRPr="00203BA5">
        <w:t xml:space="preserve"> PCI contribue</w:t>
      </w:r>
      <w:r w:rsidR="000C0A87" w:rsidRPr="00203BA5">
        <w:t>nt</w:t>
      </w:r>
      <w:r w:rsidRPr="00203BA5">
        <w:t xml:space="preserve"> à</w:t>
      </w:r>
      <w:r w:rsidR="000C0A87" w:rsidRPr="00203BA5">
        <w:t xml:space="preserve"> s</w:t>
      </w:r>
      <w:r w:rsidRPr="00203BA5">
        <w:t>a viabilité</w:t>
      </w:r>
      <w:r w:rsidR="000C0A87" w:rsidRPr="00203BA5">
        <w:t xml:space="preserve"> future </w:t>
      </w:r>
      <w:r w:rsidR="00395B08" w:rsidRPr="00203BA5">
        <w:t>s’</w:t>
      </w:r>
      <w:r w:rsidRPr="00203BA5">
        <w:t xml:space="preserve">ils </w:t>
      </w:r>
      <w:r w:rsidR="00395B08" w:rsidRPr="00203BA5">
        <w:t>arriv</w:t>
      </w:r>
      <w:r w:rsidRPr="00203BA5">
        <w:t>ent à l</w:t>
      </w:r>
      <w:r w:rsidR="00A61E6D" w:rsidRPr="00203BA5">
        <w:t>’</w:t>
      </w:r>
      <w:r w:rsidR="000C0A87" w:rsidRPr="00203BA5">
        <w:t>apprécier et</w:t>
      </w:r>
      <w:r w:rsidRPr="00203BA5">
        <w:t xml:space="preserve"> </w:t>
      </w:r>
      <w:r w:rsidR="00395B08" w:rsidRPr="00203BA5">
        <w:t xml:space="preserve">à </w:t>
      </w:r>
      <w:r w:rsidRPr="00203BA5">
        <w:t>l</w:t>
      </w:r>
      <w:r w:rsidR="00DD0A42" w:rsidRPr="00203BA5">
        <w:t>e val</w:t>
      </w:r>
      <w:r w:rsidR="00395B08" w:rsidRPr="00203BA5">
        <w:t>orise</w:t>
      </w:r>
      <w:r w:rsidR="000C0A87" w:rsidRPr="00203BA5">
        <w:t>r</w:t>
      </w:r>
      <w:r w:rsidRPr="00203BA5">
        <w:t>.</w:t>
      </w:r>
    </w:p>
    <w:p w:rsidR="00C10A1F" w:rsidRPr="00203BA5" w:rsidRDefault="00C10A1F" w:rsidP="000542FD">
      <w:pPr>
        <w:pStyle w:val="Heading4"/>
      </w:pPr>
      <w:bookmarkStart w:id="81" w:name="_Toc247360213"/>
      <w:r w:rsidRPr="00203BA5">
        <w:t>Conseils sur l</w:t>
      </w:r>
      <w:r w:rsidR="00A61E6D" w:rsidRPr="00203BA5">
        <w:t>’</w:t>
      </w:r>
      <w:r w:rsidRPr="00203BA5">
        <w:t xml:space="preserve">identification des </w:t>
      </w:r>
      <w:bookmarkEnd w:id="81"/>
      <w:r w:rsidR="00FB659C" w:rsidRPr="00203BA5">
        <w:t>communautÉs</w:t>
      </w:r>
    </w:p>
    <w:p w:rsidR="004325DC" w:rsidRPr="00203BA5" w:rsidRDefault="00C10A1F" w:rsidP="00914287">
      <w:pPr>
        <w:pStyle w:val="Texte1"/>
      </w:pPr>
      <w:r w:rsidRPr="00203BA5">
        <w:t xml:space="preserve">Les États parties demandent souvent des </w:t>
      </w:r>
      <w:r w:rsidR="0090294A" w:rsidRPr="00203BA5">
        <w:t>conseils</w:t>
      </w:r>
      <w:r w:rsidRPr="00203BA5">
        <w:t xml:space="preserve"> sur l</w:t>
      </w:r>
      <w:r w:rsidR="00A61E6D" w:rsidRPr="00203BA5">
        <w:t>’</w:t>
      </w:r>
      <w:r w:rsidRPr="00203BA5">
        <w:t>identifi</w:t>
      </w:r>
      <w:r w:rsidR="0090294A" w:rsidRPr="00203BA5">
        <w:t>cation des communautés</w:t>
      </w:r>
      <w:r w:rsidR="00EF4B95" w:rsidRPr="00203BA5">
        <w:t>, conseils</w:t>
      </w:r>
      <w:r w:rsidRPr="00203BA5">
        <w:t xml:space="preserve"> que l</w:t>
      </w:r>
      <w:r w:rsidR="00A61E6D" w:rsidRPr="00203BA5">
        <w:t>’</w:t>
      </w:r>
      <w:r w:rsidRPr="00203BA5">
        <w:t>UNESCO n</w:t>
      </w:r>
      <w:r w:rsidR="00A61E6D" w:rsidRPr="00203BA5">
        <w:t>’</w:t>
      </w:r>
      <w:r w:rsidRPr="00203BA5">
        <w:t xml:space="preserve">est pas en mesure de prodiguer. Ni la Convention, ni les </w:t>
      </w:r>
      <w:r w:rsidR="00461004" w:rsidRPr="00203BA5">
        <w:t>DO</w:t>
      </w:r>
      <w:r w:rsidR="00C34622" w:rsidRPr="00203BA5">
        <w:t xml:space="preserve"> </w:t>
      </w:r>
      <w:r w:rsidRPr="00203BA5">
        <w:t>n</w:t>
      </w:r>
      <w:r w:rsidR="0090294A" w:rsidRPr="00203BA5">
        <w:t>e dis</w:t>
      </w:r>
      <w:r w:rsidRPr="00203BA5">
        <w:t>ent aux États parties comment définir ou ident</w:t>
      </w:r>
      <w:r w:rsidR="0090294A" w:rsidRPr="00203BA5">
        <w:t xml:space="preserve">ifier les communautés ou, </w:t>
      </w:r>
      <w:r w:rsidR="00EF4B95" w:rsidRPr="00203BA5">
        <w:t>en l’occurrence</w:t>
      </w:r>
      <w:r w:rsidRPr="00203BA5">
        <w:t>, les groupes et les individus concernés.</w:t>
      </w:r>
    </w:p>
    <w:p w:rsidR="004325DC" w:rsidRPr="00203BA5" w:rsidRDefault="00EF4B95" w:rsidP="00914287">
      <w:pPr>
        <w:pStyle w:val="Texte1"/>
      </w:pPr>
      <w:r w:rsidRPr="00203BA5">
        <w:t>Il appartient</w:t>
      </w:r>
      <w:r w:rsidR="00170A24" w:rsidRPr="00203BA5">
        <w:t xml:space="preserve"> à c</w:t>
      </w:r>
      <w:r w:rsidRPr="00203BA5">
        <w:t xml:space="preserve">haque État partie </w:t>
      </w:r>
      <w:r w:rsidR="00170A24" w:rsidRPr="00203BA5">
        <w:t>de choisir</w:t>
      </w:r>
      <w:r w:rsidR="00C10A1F" w:rsidRPr="00203BA5">
        <w:t xml:space="preserve"> l</w:t>
      </w:r>
      <w:r w:rsidR="00A61E6D" w:rsidRPr="00203BA5">
        <w:t>’</w:t>
      </w:r>
      <w:r w:rsidR="00C10A1F" w:rsidRPr="00203BA5">
        <w:t>approche qu</w:t>
      </w:r>
      <w:r w:rsidR="00170A24" w:rsidRPr="00203BA5">
        <w:t>i lui paraît</w:t>
      </w:r>
      <w:r w:rsidR="00DD0A42" w:rsidRPr="00203BA5">
        <w:t xml:space="preserve"> </w:t>
      </w:r>
      <w:r w:rsidR="00170A24" w:rsidRPr="00203BA5">
        <w:t>la plus</w:t>
      </w:r>
      <w:r w:rsidR="00DD0A42" w:rsidRPr="00203BA5">
        <w:t xml:space="preserve"> appropriée</w:t>
      </w:r>
      <w:r w:rsidR="00C10A1F" w:rsidRPr="00203BA5">
        <w:t>, compte</w:t>
      </w:r>
      <w:r w:rsidR="00DD0A42" w:rsidRPr="00203BA5">
        <w:t xml:space="preserve"> tenu</w:t>
      </w:r>
      <w:r w:rsidR="00C10A1F" w:rsidRPr="00203BA5">
        <w:t xml:space="preserve"> de s</w:t>
      </w:r>
      <w:r w:rsidR="00DD0A42" w:rsidRPr="00203BA5">
        <w:t>a</w:t>
      </w:r>
      <w:r w:rsidR="00C10A1F" w:rsidRPr="00203BA5">
        <w:t xml:space="preserve"> législati</w:t>
      </w:r>
      <w:r w:rsidR="00DD0A42" w:rsidRPr="00203BA5">
        <w:t>on</w:t>
      </w:r>
      <w:r w:rsidR="00C10A1F" w:rsidRPr="00203BA5">
        <w:t xml:space="preserve">, </w:t>
      </w:r>
      <w:r w:rsidR="00DD0A42" w:rsidRPr="00203BA5">
        <w:t xml:space="preserve">sa </w:t>
      </w:r>
      <w:r w:rsidR="00C10A1F" w:rsidRPr="00203BA5">
        <w:t>r</w:t>
      </w:r>
      <w:r w:rsidR="00227E50" w:rsidRPr="00203BA5">
        <w:t>é</w:t>
      </w:r>
      <w:r w:rsidR="00DD0A42" w:rsidRPr="00203BA5">
        <w:t>glementation et sa politique démographique</w:t>
      </w:r>
      <w:r w:rsidR="00C10A1F" w:rsidRPr="00203BA5">
        <w:t xml:space="preserve">. </w:t>
      </w:r>
      <w:r w:rsidR="00170A24" w:rsidRPr="00203BA5">
        <w:t>Il</w:t>
      </w:r>
      <w:r w:rsidR="00C10A1F" w:rsidRPr="00203BA5">
        <w:t xml:space="preserve"> est clair, cependant, que </w:t>
      </w:r>
      <w:r w:rsidR="00170A24" w:rsidRPr="00203BA5">
        <w:t>ce n’est pas aux gens de l’extérieur d’i</w:t>
      </w:r>
      <w:r w:rsidR="00C10A1F" w:rsidRPr="00203BA5">
        <w:t xml:space="preserve">dentifier les communautés concernées </w:t>
      </w:r>
      <w:r w:rsidR="00170A24" w:rsidRPr="00203BA5">
        <w:t>selo</w:t>
      </w:r>
      <w:r w:rsidR="00C10A1F" w:rsidRPr="00203BA5">
        <w:t>n un processus de</w:t>
      </w:r>
      <w:r w:rsidR="00170A24" w:rsidRPr="00203BA5">
        <w:t>scendant, sans qu</w:t>
      </w:r>
      <w:r w:rsidR="00263AF2" w:rsidRPr="00203BA5">
        <w:t>e la population visée ai</w:t>
      </w:r>
      <w:r w:rsidR="00170A24" w:rsidRPr="00203BA5">
        <w:t>t été</w:t>
      </w:r>
      <w:r w:rsidR="00C10A1F" w:rsidRPr="00203BA5">
        <w:t xml:space="preserve"> consult</w:t>
      </w:r>
      <w:r w:rsidR="00263AF2" w:rsidRPr="00203BA5">
        <w:t>ée</w:t>
      </w:r>
      <w:r w:rsidR="00C10A1F" w:rsidRPr="00203BA5">
        <w:t xml:space="preserve"> ou </w:t>
      </w:r>
      <w:r w:rsidR="00263AF2" w:rsidRPr="00203BA5">
        <w:t>ai</w:t>
      </w:r>
      <w:r w:rsidR="00170A24" w:rsidRPr="00203BA5">
        <w:t xml:space="preserve">t donné </w:t>
      </w:r>
      <w:r w:rsidR="00263AF2" w:rsidRPr="00203BA5">
        <w:t>son</w:t>
      </w:r>
      <w:r w:rsidR="00C10A1F" w:rsidRPr="00203BA5">
        <w:t xml:space="preserve"> consentement. Il serait dans l</w:t>
      </w:r>
      <w:r w:rsidR="00A61E6D" w:rsidRPr="00203BA5">
        <w:t>’</w:t>
      </w:r>
      <w:r w:rsidR="00C10A1F" w:rsidRPr="00203BA5">
        <w:t>esprit de la Convention (et conforme aux principes d</w:t>
      </w:r>
      <w:r w:rsidR="00A61E6D" w:rsidRPr="00203BA5">
        <w:t>’</w:t>
      </w:r>
      <w:r w:rsidR="00C10A1F" w:rsidRPr="00203BA5">
        <w:t>autres instruments juridiques internationau</w:t>
      </w:r>
      <w:r w:rsidR="00263AF2" w:rsidRPr="00203BA5">
        <w:t>x) de suivre</w:t>
      </w:r>
      <w:r w:rsidR="00C10A1F" w:rsidRPr="00203BA5">
        <w:t xml:space="preserve"> la manière dont les communautés s</w:t>
      </w:r>
      <w:r w:rsidR="00A61E6D" w:rsidRPr="00203BA5">
        <w:t>’</w:t>
      </w:r>
      <w:r w:rsidR="00C10A1F" w:rsidRPr="00203BA5">
        <w:t>identifient et se définissent elles-mêmes.</w:t>
      </w:r>
    </w:p>
    <w:p w:rsidR="00301255" w:rsidRPr="00203BA5" w:rsidRDefault="00C10A1F" w:rsidP="00914287">
      <w:pPr>
        <w:pStyle w:val="Texte1"/>
      </w:pPr>
      <w:r w:rsidRPr="00203BA5">
        <w:t>L</w:t>
      </w:r>
      <w:r w:rsidR="00A61E6D" w:rsidRPr="00203BA5">
        <w:t>’</w:t>
      </w:r>
      <w:r w:rsidRPr="00203BA5">
        <w:t>UNESCO peut se référer à l</w:t>
      </w:r>
      <w:r w:rsidR="00A61E6D" w:rsidRPr="00203BA5">
        <w:t>’</w:t>
      </w:r>
      <w:r w:rsidR="00043DFF" w:rsidRPr="00203BA5">
        <w:t>article </w:t>
      </w:r>
      <w:r w:rsidRPr="00203BA5">
        <w:t>8(j) de la Convention su</w:t>
      </w:r>
      <w:r w:rsidR="00301255" w:rsidRPr="00203BA5">
        <w:t>r la diversité biologique (CDB)</w:t>
      </w:r>
      <w:r w:rsidRPr="00203BA5">
        <w:t xml:space="preserve"> à laquelle tous les États parties à la Convention du </w:t>
      </w:r>
      <w:r w:rsidR="00301255" w:rsidRPr="00203BA5">
        <w:t>patrimoine</w:t>
      </w:r>
      <w:r w:rsidR="00BB2FF5" w:rsidRPr="00203BA5">
        <w:t xml:space="preserve"> immatériel</w:t>
      </w:r>
      <w:r w:rsidRPr="00203BA5">
        <w:t xml:space="preserve"> sont aussi parties et à la Déclaration sur les droits des peuples autochtones qui a été adoptée en 2007 par l</w:t>
      </w:r>
      <w:r w:rsidR="00A61E6D" w:rsidRPr="00203BA5">
        <w:t>’</w:t>
      </w:r>
      <w:r w:rsidRPr="00203BA5">
        <w:t xml:space="preserve">Assemblée </w:t>
      </w:r>
      <w:r w:rsidR="0021315C" w:rsidRPr="00203BA5">
        <w:t>générale des Nations Unies</w:t>
      </w:r>
      <w:r w:rsidRPr="00203BA5">
        <w:t xml:space="preserve"> et approuvée par plus de 150 </w:t>
      </w:r>
      <w:r w:rsidR="008873D4" w:rsidRPr="00203BA5">
        <w:t>États</w:t>
      </w:r>
      <w:r w:rsidRPr="00203BA5">
        <w:t xml:space="preserve">. Les États qui ont souscrit à ces textes </w:t>
      </w:r>
      <w:r w:rsidR="0021315C" w:rsidRPr="00203BA5">
        <w:t>par</w:t>
      </w:r>
      <w:r w:rsidRPr="00203BA5">
        <w:t xml:space="preserve"> la ratification ou l</w:t>
      </w:r>
      <w:r w:rsidR="00A61E6D" w:rsidRPr="00203BA5">
        <w:t>’</w:t>
      </w:r>
      <w:r w:rsidRPr="00203BA5">
        <w:t xml:space="preserve">approbation ont </w:t>
      </w:r>
      <w:r w:rsidR="00D14A3F" w:rsidRPr="00203BA5">
        <w:t xml:space="preserve">d’ores et </w:t>
      </w:r>
      <w:r w:rsidRPr="00203BA5">
        <w:t>déjà reconnu des moyens spécifiques de travailler avec les communautés, y compris les comm</w:t>
      </w:r>
      <w:r w:rsidR="00E00093">
        <w:t>unautés locales et autochtones.</w:t>
      </w:r>
    </w:p>
    <w:p w:rsidR="004325DC" w:rsidRPr="00203BA5" w:rsidRDefault="00C10A1F" w:rsidP="00914287">
      <w:pPr>
        <w:pStyle w:val="Texte1"/>
      </w:pPr>
      <w:r w:rsidRPr="00203BA5">
        <w:t>Le terme</w:t>
      </w:r>
      <w:r w:rsidR="00043DFF" w:rsidRPr="00203BA5">
        <w:t xml:space="preserve"> « </w:t>
      </w:r>
      <w:r w:rsidRPr="00203BA5">
        <w:t>communautés</w:t>
      </w:r>
      <w:r w:rsidR="00BF027B" w:rsidRPr="00203BA5">
        <w:t> »</w:t>
      </w:r>
      <w:r w:rsidR="00461004" w:rsidRPr="00203BA5">
        <w:t xml:space="preserve"> </w:t>
      </w:r>
      <w:r w:rsidRPr="00203BA5">
        <w:t>tel qu</w:t>
      </w:r>
      <w:r w:rsidR="00A61E6D" w:rsidRPr="00203BA5">
        <w:t>’</w:t>
      </w:r>
      <w:r w:rsidR="00301255" w:rsidRPr="00203BA5">
        <w:t>employé dans la Convention</w:t>
      </w:r>
      <w:r w:rsidR="008873D4" w:rsidRPr="00203BA5">
        <w:t>,</w:t>
      </w:r>
      <w:r w:rsidRPr="00203BA5">
        <w:t xml:space="preserve"> couvre explicitement les communautés</w:t>
      </w:r>
      <w:r w:rsidR="00301255" w:rsidRPr="00203BA5">
        <w:t xml:space="preserve"> autochtones (voir</w:t>
      </w:r>
      <w:r w:rsidR="006305D9" w:rsidRPr="00203BA5">
        <w:t xml:space="preserve"> </w:t>
      </w:r>
      <w:r w:rsidRPr="00203BA5">
        <w:t xml:space="preserve">Préambule de la </w:t>
      </w:r>
      <w:r w:rsidR="00D65E8C" w:rsidRPr="00203BA5">
        <w:rPr>
          <w:noProof/>
          <w:lang w:eastAsia="fr-FR"/>
        </w:rPr>
        <w:drawing>
          <wp:anchor distT="0" distB="0" distL="114300" distR="114300" simplePos="0" relativeHeight="252016128" behindDoc="0" locked="1" layoutInCell="1" allowOverlap="0">
            <wp:simplePos x="0" y="0"/>
            <wp:positionH relativeFrom="margin">
              <wp:align>left</wp:align>
            </wp:positionH>
            <wp:positionV relativeFrom="paragraph">
              <wp:posOffset>88265</wp:posOffset>
            </wp:positionV>
            <wp:extent cx="283210" cy="358775"/>
            <wp:effectExtent l="0" t="0" r="2540" b="317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203BA5">
        <w:t>Convention</w:t>
      </w:r>
      <w:r w:rsidR="00301255" w:rsidRPr="00203BA5">
        <w:t xml:space="preserve"> ; </w:t>
      </w:r>
      <w:r w:rsidR="00646D3D" w:rsidRPr="00203BA5">
        <w:t>Texte du participant</w:t>
      </w:r>
      <w:r w:rsidR="00B72F39" w:rsidRPr="00203BA5">
        <w:t xml:space="preserve"> </w:t>
      </w:r>
      <w:r w:rsidR="00386F3C" w:rsidRPr="00203BA5">
        <w:t>de l’</w:t>
      </w:r>
      <w:r w:rsidR="00B72F39" w:rsidRPr="00203BA5">
        <w:t>Unité 3</w:t>
      </w:r>
      <w:r w:rsidR="00043DFF" w:rsidRPr="00203BA5">
        <w:t xml:space="preserve"> « </w:t>
      </w:r>
      <w:r w:rsidR="00301255" w:rsidRPr="00203BA5">
        <w:t>L</w:t>
      </w:r>
      <w:r w:rsidRPr="00203BA5">
        <w:t xml:space="preserve">es communautés </w:t>
      </w:r>
      <w:r w:rsidR="007D222B" w:rsidRPr="00203BA5">
        <w:t>autochtones »</w:t>
      </w:r>
      <w:r w:rsidRPr="00203BA5">
        <w:t>).</w:t>
      </w:r>
    </w:p>
    <w:p w:rsidR="004325DC" w:rsidRPr="00203BA5" w:rsidRDefault="00C10A1F" w:rsidP="00914287">
      <w:pPr>
        <w:pStyle w:val="Texte1"/>
      </w:pPr>
      <w:r w:rsidRPr="00203BA5">
        <w:t>L</w:t>
      </w:r>
      <w:r w:rsidR="00A61E6D" w:rsidRPr="00203BA5">
        <w:t>’</w:t>
      </w:r>
      <w:r w:rsidR="008E7F38" w:rsidRPr="00203BA5">
        <w:t>analyse</w:t>
      </w:r>
      <w:r w:rsidRPr="00203BA5">
        <w:t xml:space="preserve"> d</w:t>
      </w:r>
      <w:r w:rsidR="00A61E6D" w:rsidRPr="00203BA5">
        <w:t>’</w:t>
      </w:r>
      <w:r w:rsidRPr="00203BA5">
        <w:t xml:space="preserve">un certain nombre </w:t>
      </w:r>
      <w:r w:rsidR="008F194E" w:rsidRPr="00203BA5">
        <w:t xml:space="preserve">d’études de cas et </w:t>
      </w:r>
      <w:r w:rsidRPr="00203BA5">
        <w:t>d</w:t>
      </w:r>
      <w:r w:rsidR="00A61E6D" w:rsidRPr="00203BA5">
        <w:t>’</w:t>
      </w:r>
      <w:r w:rsidRPr="00203BA5">
        <w:t xml:space="preserve">exemples </w:t>
      </w:r>
      <w:r w:rsidR="00301255" w:rsidRPr="00203BA5">
        <w:t>concret</w:t>
      </w:r>
      <w:r w:rsidRPr="00203BA5">
        <w:t xml:space="preserve">s peut </w:t>
      </w:r>
      <w:r w:rsidR="008E7F38" w:rsidRPr="00203BA5">
        <w:t>révél</w:t>
      </w:r>
      <w:r w:rsidRPr="00203BA5">
        <w:t>er diverses façons d</w:t>
      </w:r>
      <w:r w:rsidR="00A61E6D" w:rsidRPr="00203BA5">
        <w:t>’</w:t>
      </w:r>
      <w:r w:rsidRPr="00203BA5">
        <w:t>identifier</w:t>
      </w:r>
      <w:r w:rsidR="00EA1FE1" w:rsidRPr="00203BA5">
        <w:t> :</w:t>
      </w:r>
      <w:r w:rsidRPr="00203BA5">
        <w:t xml:space="preserve"> (a) les communautés potentielles concernées et la manière d</w:t>
      </w:r>
      <w:r w:rsidR="00A61E6D" w:rsidRPr="00203BA5">
        <w:t>’</w:t>
      </w:r>
      <w:r w:rsidRPr="00203BA5">
        <w:t>assurer leur participation</w:t>
      </w:r>
      <w:r w:rsidR="00EA1FE1" w:rsidRPr="00203BA5">
        <w:t> ;</w:t>
      </w:r>
      <w:r w:rsidRPr="00203BA5">
        <w:t xml:space="preserve"> (b) </w:t>
      </w:r>
      <w:r w:rsidR="00D61278" w:rsidRPr="00203BA5">
        <w:t xml:space="preserve">quelques-uns </w:t>
      </w:r>
      <w:r w:rsidRPr="00203BA5">
        <w:t xml:space="preserve">des problèmes qui </w:t>
      </w:r>
      <w:r w:rsidR="00D61278" w:rsidRPr="00203BA5">
        <w:t xml:space="preserve">risquent </w:t>
      </w:r>
      <w:r w:rsidR="005F6BB4" w:rsidRPr="00203BA5">
        <w:t xml:space="preserve">alors </w:t>
      </w:r>
      <w:r w:rsidR="00D61278" w:rsidRPr="00203BA5">
        <w:t xml:space="preserve">de se </w:t>
      </w:r>
      <w:r w:rsidRPr="00203BA5">
        <w:t>poser</w:t>
      </w:r>
      <w:r w:rsidR="00EA1FE1" w:rsidRPr="00203BA5">
        <w:t> ;</w:t>
      </w:r>
      <w:r w:rsidRPr="00203BA5">
        <w:t xml:space="preserve"> et (c) </w:t>
      </w:r>
      <w:r w:rsidR="008F194E" w:rsidRPr="00203BA5">
        <w:t xml:space="preserve">peut-être </w:t>
      </w:r>
      <w:r w:rsidR="00D61278" w:rsidRPr="00203BA5">
        <w:t xml:space="preserve">comment </w:t>
      </w:r>
      <w:r w:rsidR="008F194E" w:rsidRPr="00203BA5">
        <w:t xml:space="preserve">en </w:t>
      </w:r>
      <w:r w:rsidRPr="00203BA5">
        <w:t>éviter</w:t>
      </w:r>
      <w:r w:rsidR="00D61278" w:rsidRPr="00203BA5">
        <w:t xml:space="preserve"> certains</w:t>
      </w:r>
      <w:r w:rsidRPr="00203BA5">
        <w:t>. Il est aussi in</w:t>
      </w:r>
      <w:r w:rsidR="00A9750F" w:rsidRPr="00203BA5">
        <w:t>structif de consulter le</w:t>
      </w:r>
      <w:r w:rsidRPr="00203BA5">
        <w:t xml:space="preserve"> site Web d</w:t>
      </w:r>
      <w:r w:rsidR="00BF027B" w:rsidRPr="00203BA5">
        <w:t>u PCI</w:t>
      </w:r>
      <w:r w:rsidRPr="00203BA5">
        <w:t xml:space="preserve"> qui do</w:t>
      </w:r>
      <w:r w:rsidR="00A9750F" w:rsidRPr="00203BA5">
        <w:t xml:space="preserve">nne les Listes de la Convention, </w:t>
      </w:r>
      <w:r w:rsidR="00AE6F2B" w:rsidRPr="00203BA5">
        <w:t>puis</w:t>
      </w:r>
      <w:r w:rsidR="00A9750F" w:rsidRPr="00203BA5">
        <w:t>qu</w:t>
      </w:r>
      <w:r w:rsidR="00AE6F2B" w:rsidRPr="00203BA5">
        <w:t xml:space="preserve">e dans </w:t>
      </w:r>
      <w:r w:rsidR="00A9750F" w:rsidRPr="00203BA5">
        <w:t>l</w:t>
      </w:r>
      <w:r w:rsidRPr="00203BA5">
        <w:t xml:space="preserve">a documentation </w:t>
      </w:r>
      <w:r w:rsidR="00AE6F2B" w:rsidRPr="00203BA5">
        <w:t>joint</w:t>
      </w:r>
      <w:r w:rsidRPr="00203BA5">
        <w:t xml:space="preserve">e </w:t>
      </w:r>
      <w:r w:rsidR="00AE6F2B" w:rsidRPr="00203BA5">
        <w:t>au dossier de candidature de chaque élément inscrit</w:t>
      </w:r>
      <w:r w:rsidRPr="00203BA5">
        <w:t xml:space="preserve"> </w:t>
      </w:r>
      <w:r w:rsidR="00AE6F2B" w:rsidRPr="00203BA5">
        <w:t xml:space="preserve">figure </w:t>
      </w:r>
      <w:r w:rsidRPr="00203BA5">
        <w:t>une description de la communauté concernée et, en annexe, la preuve du consentement de</w:t>
      </w:r>
      <w:r w:rsidR="00AD7069" w:rsidRPr="00203BA5">
        <w:t xml:space="preserve"> ses représentants</w:t>
      </w:r>
      <w:r w:rsidRPr="00203BA5">
        <w:t>.</w:t>
      </w:r>
    </w:p>
    <w:p w:rsidR="004325DC" w:rsidRPr="0033248D" w:rsidRDefault="000826E1" w:rsidP="0033248D">
      <w:pPr>
        <w:pStyle w:val="Titcoul"/>
        <w:spacing w:before="720" w:after="240" w:line="320" w:lineRule="exact"/>
        <w:ind w:left="851" w:hanging="851"/>
        <w:rPr>
          <w:sz w:val="24"/>
          <w:szCs w:val="24"/>
          <w:lang w:val="fr-FR"/>
        </w:rPr>
      </w:pPr>
      <w:bookmarkStart w:id="82" w:name="_Toc238963239"/>
      <w:bookmarkStart w:id="83" w:name="_Toc241065125"/>
      <w:bookmarkStart w:id="84" w:name="_Toc301443364"/>
      <w:bookmarkStart w:id="85" w:name="_Toc321407007"/>
      <w:bookmarkStart w:id="86" w:name="_Toc354486631"/>
      <w:bookmarkStart w:id="87" w:name="_Toc354486937"/>
      <w:bookmarkStart w:id="88" w:name="_Toc247360214"/>
      <w:r w:rsidRPr="0033248D">
        <w:rPr>
          <w:sz w:val="24"/>
          <w:szCs w:val="24"/>
          <w:lang w:val="fr-FR"/>
        </w:rPr>
        <w:t>7</w:t>
      </w:r>
      <w:r w:rsidR="00C10A1F" w:rsidRPr="0033248D">
        <w:rPr>
          <w:sz w:val="24"/>
          <w:szCs w:val="24"/>
          <w:lang w:val="fr-FR"/>
        </w:rPr>
        <w:t>.9</w:t>
      </w:r>
      <w:bookmarkStart w:id="89" w:name="_Toc238963240"/>
      <w:bookmarkStart w:id="90" w:name="_Toc241065126"/>
      <w:bookmarkEnd w:id="82"/>
      <w:bookmarkEnd w:id="83"/>
      <w:r w:rsidR="0033248D" w:rsidRPr="0033248D">
        <w:rPr>
          <w:sz w:val="24"/>
          <w:szCs w:val="24"/>
          <w:lang w:val="fr-FR"/>
        </w:rPr>
        <w:tab/>
      </w:r>
      <w:r w:rsidR="0033248D">
        <w:rPr>
          <w:sz w:val="24"/>
          <w:szCs w:val="24"/>
          <w:lang w:val="fr-FR"/>
        </w:rPr>
        <w:tab/>
      </w:r>
      <w:r w:rsidR="00C10A1F" w:rsidRPr="0033248D">
        <w:rPr>
          <w:sz w:val="24"/>
          <w:szCs w:val="24"/>
          <w:lang w:val="fr-FR"/>
        </w:rPr>
        <w:t xml:space="preserve">Identifier des </w:t>
      </w:r>
      <w:bookmarkEnd w:id="84"/>
      <w:bookmarkEnd w:id="85"/>
      <w:bookmarkEnd w:id="86"/>
      <w:bookmarkEnd w:id="87"/>
      <w:bookmarkEnd w:id="88"/>
      <w:bookmarkEnd w:id="89"/>
      <w:bookmarkEnd w:id="90"/>
      <w:r w:rsidR="00772D1E" w:rsidRPr="0033248D">
        <w:rPr>
          <w:sz w:val="24"/>
          <w:szCs w:val="24"/>
          <w:lang w:val="fr-FR"/>
        </w:rPr>
        <w:t>reprÉsentants</w:t>
      </w:r>
    </w:p>
    <w:p w:rsidR="004325DC" w:rsidRPr="00203BA5" w:rsidRDefault="00C10A1F" w:rsidP="00914287">
      <w:pPr>
        <w:pStyle w:val="Texte1"/>
      </w:pPr>
      <w:r w:rsidRPr="00203BA5">
        <w:t xml:space="preserve">Sachant que les États parties ont </w:t>
      </w:r>
      <w:r w:rsidR="00E22F48" w:rsidRPr="00203BA5">
        <w:t>à</w:t>
      </w:r>
      <w:r w:rsidRPr="00203BA5">
        <w:t xml:space="preserve"> travail</w:t>
      </w:r>
      <w:r w:rsidR="00E22F48" w:rsidRPr="00203BA5">
        <w:t>ler de manière</w:t>
      </w:r>
      <w:r w:rsidRPr="00203BA5">
        <w:t xml:space="preserve"> intensi</w:t>
      </w:r>
      <w:r w:rsidR="00E22F48" w:rsidRPr="00203BA5">
        <w:t>ve</w:t>
      </w:r>
      <w:r w:rsidRPr="00203BA5">
        <w:t xml:space="preserve"> avec les communautés concernées, souvent </w:t>
      </w:r>
      <w:r w:rsidR="00E22F48" w:rsidRPr="00203BA5">
        <w:t>sur</w:t>
      </w:r>
      <w:r w:rsidRPr="00203BA5">
        <w:t xml:space="preserve"> une longue période, il est important d</w:t>
      </w:r>
      <w:r w:rsidR="00A61E6D" w:rsidRPr="00203BA5">
        <w:t>’</w:t>
      </w:r>
      <w:r w:rsidRPr="00203BA5">
        <w:t>identifi</w:t>
      </w:r>
      <w:r w:rsidR="00BD7DC2" w:rsidRPr="00203BA5">
        <w:t>er des individus ou des organes représentatifs mandatés (ou d</w:t>
      </w:r>
      <w:r w:rsidRPr="00203BA5">
        <w:t xml:space="preserve">u moins largement acceptés). Il </w:t>
      </w:r>
      <w:r w:rsidR="00FF2BBD" w:rsidRPr="00203BA5">
        <w:t>n’</w:t>
      </w:r>
      <w:r w:rsidRPr="00203BA5">
        <w:t xml:space="preserve">est </w:t>
      </w:r>
      <w:r w:rsidR="00FF2BBD" w:rsidRPr="00203BA5">
        <w:t>guère</w:t>
      </w:r>
      <w:r w:rsidRPr="00203BA5">
        <w:t xml:space="preserve"> possible de demander à tous les membres d</w:t>
      </w:r>
      <w:r w:rsidR="00A61E6D" w:rsidRPr="00203BA5">
        <w:t>’</w:t>
      </w:r>
      <w:r w:rsidRPr="00203BA5">
        <w:t xml:space="preserve">une communauté qui </w:t>
      </w:r>
      <w:r w:rsidR="00FF2BBD" w:rsidRPr="00203BA5">
        <w:t>sont</w:t>
      </w:r>
      <w:r w:rsidRPr="00203BA5">
        <w:t xml:space="preserve"> directement </w:t>
      </w:r>
      <w:r w:rsidR="00FF2BBD" w:rsidRPr="00203BA5">
        <w:lastRenderedPageBreak/>
        <w:t xml:space="preserve">impliqués </w:t>
      </w:r>
      <w:r w:rsidRPr="00203BA5">
        <w:t xml:space="preserve">dans la pratique et/ou la transmission </w:t>
      </w:r>
      <w:r w:rsidR="00FF2BBD" w:rsidRPr="00203BA5">
        <w:t xml:space="preserve">d’un élément d’exprimer leur opinion </w:t>
      </w:r>
      <w:r w:rsidRPr="00203BA5">
        <w:t>et de donner (ou refuser) leur consentement à titre personnel.</w:t>
      </w:r>
    </w:p>
    <w:p w:rsidR="004325DC" w:rsidRPr="00203BA5" w:rsidRDefault="00C10A1F" w:rsidP="00914287">
      <w:pPr>
        <w:pStyle w:val="Texte1"/>
      </w:pPr>
      <w:r w:rsidRPr="00203BA5">
        <w:t>L</w:t>
      </w:r>
      <w:r w:rsidR="00A61E6D" w:rsidRPr="00203BA5">
        <w:t>’</w:t>
      </w:r>
      <w:r w:rsidR="00B46F75" w:rsidRPr="00203BA5">
        <w:t>adhésion des communautés</w:t>
      </w:r>
      <w:r w:rsidRPr="00203BA5">
        <w:t xml:space="preserve"> </w:t>
      </w:r>
      <w:r w:rsidR="007D4A76" w:rsidRPr="00203BA5">
        <w:t>associées à des pratiques du PCI</w:t>
      </w:r>
      <w:r w:rsidR="00B46F75" w:rsidRPr="00203BA5">
        <w:t>,</w:t>
      </w:r>
      <w:r w:rsidR="007D4A76" w:rsidRPr="00203BA5">
        <w:t xml:space="preserve"> </w:t>
      </w:r>
      <w:r w:rsidR="00B46F75" w:rsidRPr="00203BA5">
        <w:t xml:space="preserve">qu’elles soient petites ou grandes, </w:t>
      </w:r>
      <w:r w:rsidRPr="00203BA5">
        <w:t xml:space="preserve">est souvent mal définie. En outre, </w:t>
      </w:r>
      <w:r w:rsidR="00B46F75" w:rsidRPr="00203BA5">
        <w:t>s’il y a des</w:t>
      </w:r>
      <w:r w:rsidRPr="00203BA5">
        <w:t xml:space="preserve"> communautés </w:t>
      </w:r>
      <w:r w:rsidR="00B46F75" w:rsidRPr="00203BA5">
        <w:t>dotées de</w:t>
      </w:r>
      <w:r w:rsidRPr="00203BA5">
        <w:t xml:space="preserve"> structures qui assignent des fonctions claires à quelques-uns de leurs membres, d</w:t>
      </w:r>
      <w:r w:rsidR="00A61E6D" w:rsidRPr="00203BA5">
        <w:t>’</w:t>
      </w:r>
      <w:r w:rsidRPr="00203BA5">
        <w:t xml:space="preserve">autres en sont dépourvues ou </w:t>
      </w:r>
      <w:r w:rsidR="00FB2ED8" w:rsidRPr="00203BA5">
        <w:t>disposent de</w:t>
      </w:r>
      <w:r w:rsidRPr="00203BA5">
        <w:t xml:space="preserve"> structures </w:t>
      </w:r>
      <w:r w:rsidR="00FB2ED8" w:rsidRPr="00203BA5">
        <w:t>n</w:t>
      </w:r>
      <w:r w:rsidRPr="00203BA5">
        <w:t>on</w:t>
      </w:r>
      <w:r w:rsidR="00FB2ED8" w:rsidRPr="00203BA5">
        <w:t xml:space="preserve"> </w:t>
      </w:r>
      <w:r w:rsidRPr="00203BA5">
        <w:t>reconnues par l</w:t>
      </w:r>
      <w:r w:rsidR="00A61E6D" w:rsidRPr="00203BA5">
        <w:t>’</w:t>
      </w:r>
      <w:r w:rsidRPr="00203BA5">
        <w:t>administration publique.</w:t>
      </w:r>
    </w:p>
    <w:p w:rsidR="004325DC" w:rsidRPr="00203BA5" w:rsidRDefault="00C10A1F" w:rsidP="00914287">
      <w:pPr>
        <w:pStyle w:val="Texte1"/>
      </w:pPr>
      <w:r w:rsidRPr="00203BA5">
        <w:t xml:space="preserve">Là où </w:t>
      </w:r>
      <w:r w:rsidR="00083461" w:rsidRPr="00203BA5">
        <w:t xml:space="preserve">il existe déjà </w:t>
      </w:r>
      <w:r w:rsidRPr="00203BA5">
        <w:t xml:space="preserve">de puissants organismes, associations </w:t>
      </w:r>
      <w:r w:rsidR="008A47A9" w:rsidRPr="00203BA5">
        <w:t xml:space="preserve">ou représentants </w:t>
      </w:r>
      <w:r w:rsidR="00AA7FEC" w:rsidRPr="00203BA5">
        <w:t xml:space="preserve">communautaires </w:t>
      </w:r>
      <w:r w:rsidRPr="00203BA5">
        <w:t>au sein d</w:t>
      </w:r>
      <w:r w:rsidR="00A61E6D" w:rsidRPr="00203BA5">
        <w:t>’</w:t>
      </w:r>
      <w:r w:rsidRPr="00203BA5">
        <w:t xml:space="preserve">une communauté et </w:t>
      </w:r>
      <w:r w:rsidR="00083461" w:rsidRPr="00203BA5">
        <w:t xml:space="preserve">qu’ils </w:t>
      </w:r>
      <w:r w:rsidRPr="00203BA5">
        <w:t>sont acceptés par la communauté en général, le processus d</w:t>
      </w:r>
      <w:r w:rsidR="00A61E6D" w:rsidRPr="00203BA5">
        <w:t>’</w:t>
      </w:r>
      <w:r w:rsidRPr="00203BA5">
        <w:t>ide</w:t>
      </w:r>
      <w:r w:rsidR="00342796" w:rsidRPr="00203BA5">
        <w:t>ntification de représentants capables de s’exprimer</w:t>
      </w:r>
      <w:r w:rsidRPr="00203BA5">
        <w:t xml:space="preserve"> </w:t>
      </w:r>
      <w:r w:rsidR="00342796" w:rsidRPr="00203BA5">
        <w:t>en son</w:t>
      </w:r>
      <w:r w:rsidRPr="00203BA5">
        <w:t xml:space="preserve"> nom</w:t>
      </w:r>
      <w:r w:rsidR="00342796" w:rsidRPr="00203BA5">
        <w:t xml:space="preserve"> </w:t>
      </w:r>
      <w:r w:rsidRPr="00203BA5">
        <w:t xml:space="preserve">est relativement simple. Malgré tout, il peut y avoir des tensions </w:t>
      </w:r>
      <w:r w:rsidR="008A47A9" w:rsidRPr="00203BA5">
        <w:t>internes</w:t>
      </w:r>
      <w:r w:rsidRPr="00203BA5">
        <w:t xml:space="preserve"> à propos du choix des représentants, de leur rôle et de leur mission.</w:t>
      </w:r>
    </w:p>
    <w:p w:rsidR="004325DC" w:rsidRPr="00203BA5" w:rsidRDefault="00C10A1F" w:rsidP="00914287">
      <w:pPr>
        <w:pStyle w:val="Texte1"/>
      </w:pPr>
      <w:r w:rsidRPr="00203BA5">
        <w:rPr>
          <w:color w:val="000000" w:themeColor="text1"/>
        </w:rPr>
        <w:t>Il est plus difficile d</w:t>
      </w:r>
      <w:r w:rsidR="00A61E6D" w:rsidRPr="00203BA5">
        <w:rPr>
          <w:color w:val="000000" w:themeColor="text1"/>
        </w:rPr>
        <w:t>’</w:t>
      </w:r>
      <w:r w:rsidRPr="00203BA5">
        <w:rPr>
          <w:color w:val="000000" w:themeColor="text1"/>
        </w:rPr>
        <w:t>identifier des représentants</w:t>
      </w:r>
      <w:r w:rsidRPr="00203BA5">
        <w:t xml:space="preserve"> lorsque l</w:t>
      </w:r>
      <w:r w:rsidR="00A61E6D" w:rsidRPr="00203BA5">
        <w:t>’</w:t>
      </w:r>
      <w:r w:rsidRPr="00203BA5">
        <w:t xml:space="preserve">organisation </w:t>
      </w:r>
      <w:r w:rsidR="009867A4" w:rsidRPr="00203BA5">
        <w:t>d</w:t>
      </w:r>
      <w:r w:rsidR="00284C63" w:rsidRPr="00203BA5">
        <w:t>e la communauté</w:t>
      </w:r>
      <w:r w:rsidRPr="00203BA5">
        <w:t xml:space="preserve"> est informelle ou déficiente, ou qu</w:t>
      </w:r>
      <w:r w:rsidR="00A61E6D" w:rsidRPr="00203BA5">
        <w:t>’</w:t>
      </w:r>
      <w:r w:rsidRPr="00203BA5">
        <w:t>elle n</w:t>
      </w:r>
      <w:r w:rsidR="00A61E6D" w:rsidRPr="00203BA5">
        <w:t>’</w:t>
      </w:r>
      <w:r w:rsidR="003D7E01" w:rsidRPr="00203BA5">
        <w:t>est pas faite pour</w:t>
      </w:r>
      <w:r w:rsidR="00284C63" w:rsidRPr="00203BA5">
        <w:t xml:space="preserve"> mobiliser</w:t>
      </w:r>
      <w:r w:rsidR="003D7E01" w:rsidRPr="00203BA5">
        <w:t xml:space="preserve"> la collectivité</w:t>
      </w:r>
      <w:r w:rsidR="00284C63" w:rsidRPr="00203BA5">
        <w:t xml:space="preserve"> </w:t>
      </w:r>
      <w:r w:rsidRPr="00203BA5">
        <w:t>selon des modes qui répondent à l</w:t>
      </w:r>
      <w:r w:rsidR="00A61E6D" w:rsidRPr="00203BA5">
        <w:t>’</w:t>
      </w:r>
      <w:r w:rsidR="008A47A9" w:rsidRPr="00203BA5">
        <w:t>objectif de</w:t>
      </w:r>
      <w:r w:rsidRPr="00203BA5">
        <w:t xml:space="preserve"> mise en œuvre de la Convention. Dans certains pays, comme le Mexique et l</w:t>
      </w:r>
      <w:r w:rsidR="00A61E6D" w:rsidRPr="00203BA5">
        <w:t>’</w:t>
      </w:r>
      <w:r w:rsidRPr="00203BA5">
        <w:t>Australie, on a vu se multiplier la création de coopératives et d</w:t>
      </w:r>
      <w:r w:rsidR="00A61E6D" w:rsidRPr="00203BA5">
        <w:t>’</w:t>
      </w:r>
      <w:r w:rsidR="003D7E01" w:rsidRPr="00203BA5">
        <w:t>association</w:t>
      </w:r>
      <w:r w:rsidR="008A47A9" w:rsidRPr="00203BA5">
        <w:t>s</w:t>
      </w:r>
      <w:r w:rsidR="009867A4" w:rsidRPr="00203BA5">
        <w:t xml:space="preserve"> </w:t>
      </w:r>
      <w:r w:rsidR="008A47A9" w:rsidRPr="00203BA5">
        <w:t>communautaire</w:t>
      </w:r>
      <w:r w:rsidR="007D222B" w:rsidRPr="00203BA5">
        <w:t>s</w:t>
      </w:r>
      <w:r w:rsidRPr="00203BA5">
        <w:t xml:space="preserve"> pour soutenir à la fois la gestion du patrimoine et l</w:t>
      </w:r>
      <w:r w:rsidR="00A61E6D" w:rsidRPr="00203BA5">
        <w:t>’</w:t>
      </w:r>
      <w:r w:rsidR="003D7E01" w:rsidRPr="00203BA5">
        <w:t>interaction avec d</w:t>
      </w:r>
      <w:r w:rsidRPr="00203BA5">
        <w:t xml:space="preserve">es </w:t>
      </w:r>
      <w:r w:rsidR="00E5149B" w:rsidRPr="00203BA5">
        <w:t>organismes extérieur</w:t>
      </w:r>
      <w:r w:rsidRPr="00203BA5">
        <w:t>s. Des personnes extérieur</w:t>
      </w:r>
      <w:r w:rsidR="003D7E01" w:rsidRPr="00203BA5">
        <w:t>es</w:t>
      </w:r>
      <w:r w:rsidRPr="00203BA5">
        <w:t xml:space="preserve"> peuvent encourager la </w:t>
      </w:r>
      <w:r w:rsidR="00E5149B" w:rsidRPr="00203BA5">
        <w:t>cré</w:t>
      </w:r>
      <w:r w:rsidRPr="00203BA5">
        <w:t>ation d</w:t>
      </w:r>
      <w:r w:rsidR="00A61E6D" w:rsidRPr="00203BA5">
        <w:t>’</w:t>
      </w:r>
      <w:r w:rsidRPr="00203BA5">
        <w:t>organis</w:t>
      </w:r>
      <w:r w:rsidR="00E5149B" w:rsidRPr="00203BA5">
        <w:t>mes</w:t>
      </w:r>
      <w:r w:rsidR="009867A4" w:rsidRPr="00203BA5">
        <w:t xml:space="preserve"> </w:t>
      </w:r>
      <w:r w:rsidR="00E5149B" w:rsidRPr="00203BA5">
        <w:t>communautaire</w:t>
      </w:r>
      <w:r w:rsidR="007D222B" w:rsidRPr="00203BA5">
        <w:t>s</w:t>
      </w:r>
      <w:r w:rsidR="00E5149B" w:rsidRPr="00203BA5">
        <w:t>, formels ou informel</w:t>
      </w:r>
      <w:r w:rsidRPr="00203BA5">
        <w:t xml:space="preserve">s, ou la sélection de représentants de la communauté </w:t>
      </w:r>
      <w:r w:rsidR="003D7E01" w:rsidRPr="00203BA5">
        <w:t>mandat</w:t>
      </w:r>
      <w:r w:rsidRPr="00203BA5">
        <w:t xml:space="preserve">és </w:t>
      </w:r>
      <w:r w:rsidR="003D7E01" w:rsidRPr="00203BA5">
        <w:t>p</w:t>
      </w:r>
      <w:r w:rsidR="00CC31B5" w:rsidRPr="00203BA5">
        <w:t>our</w:t>
      </w:r>
      <w:r w:rsidRPr="00203BA5">
        <w:t xml:space="preserve"> p</w:t>
      </w:r>
      <w:r w:rsidR="00CC31B5" w:rsidRPr="00203BA5">
        <w:t xml:space="preserve">rendre part </w:t>
      </w:r>
      <w:r w:rsidRPr="00203BA5">
        <w:t>aux d</w:t>
      </w:r>
      <w:r w:rsidR="00CC31B5" w:rsidRPr="00203BA5">
        <w:t>ébat</w:t>
      </w:r>
      <w:r w:rsidRPr="00203BA5">
        <w:t xml:space="preserve">s sur la sauvegarde du PCI. Force est de constater, cependant, que les </w:t>
      </w:r>
      <w:r w:rsidR="007F2BC7" w:rsidRPr="00203BA5">
        <w:t>organisme</w:t>
      </w:r>
      <w:r w:rsidRPr="00203BA5">
        <w:t xml:space="preserve">s </w:t>
      </w:r>
      <w:r w:rsidR="007D222B" w:rsidRPr="00203BA5">
        <w:t>communaut</w:t>
      </w:r>
      <w:r w:rsidR="007F2BC7" w:rsidRPr="00203BA5">
        <w:t>aire</w:t>
      </w:r>
      <w:r w:rsidR="007D222B" w:rsidRPr="00203BA5">
        <w:t>s</w:t>
      </w:r>
      <w:r w:rsidRPr="00203BA5">
        <w:t xml:space="preserve"> contrôlés ou représentés par de</w:t>
      </w:r>
      <w:r w:rsidR="007F2BC7" w:rsidRPr="00203BA5">
        <w:t>s profanes ne sont pas</w:t>
      </w:r>
      <w:r w:rsidRPr="00203BA5">
        <w:t xml:space="preserve"> toujours les mieux placés pour représenter une communauté dans le but de sauvegarder le PCI. Les États parties doivent décourager les représentations </w:t>
      </w:r>
      <w:r w:rsidR="0061075E" w:rsidRPr="00203BA5">
        <w:t>trompeus</w:t>
      </w:r>
      <w:r w:rsidRPr="00203BA5">
        <w:t xml:space="preserve">es de toute nature. La </w:t>
      </w:r>
      <w:r w:rsidR="00461004" w:rsidRPr="00203BA5">
        <w:t>DO </w:t>
      </w:r>
      <w:r w:rsidRPr="00203BA5">
        <w:t>105(e) encourage ainsi les États parties à</w:t>
      </w:r>
      <w:r w:rsidR="00043DFF" w:rsidRPr="00203BA5">
        <w:t xml:space="preserve"> « </w:t>
      </w:r>
      <w:r w:rsidRPr="00203BA5">
        <w:t>promouvoir et soutenir la création d</w:t>
      </w:r>
      <w:r w:rsidR="00A61E6D" w:rsidRPr="00203BA5">
        <w:t>’</w:t>
      </w:r>
      <w:r w:rsidRPr="00203BA5">
        <w:t xml:space="preserve">associations </w:t>
      </w:r>
      <w:r w:rsidR="007D222B" w:rsidRPr="00203BA5">
        <w:t>communautaires</w:t>
      </w:r>
      <w:r w:rsidRPr="00203BA5">
        <w:t xml:space="preserve"> et favoriser l</w:t>
      </w:r>
      <w:r w:rsidR="00A61E6D" w:rsidRPr="00203BA5">
        <w:t>’</w:t>
      </w:r>
      <w:r w:rsidRPr="00203BA5">
        <w:t>échange d</w:t>
      </w:r>
      <w:r w:rsidR="00A61E6D" w:rsidRPr="00203BA5">
        <w:t>’</w:t>
      </w:r>
      <w:r w:rsidRPr="00203BA5">
        <w:t>informations entre elles</w:t>
      </w:r>
      <w:r w:rsidR="00461004" w:rsidRPr="00203BA5">
        <w:t> ».</w:t>
      </w:r>
    </w:p>
    <w:p w:rsidR="00C10A1F" w:rsidRPr="00203BA5" w:rsidRDefault="00C10A1F">
      <w:pPr>
        <w:pStyle w:val="Heading4"/>
      </w:pPr>
      <w:bookmarkStart w:id="91" w:name="_Toc247360215"/>
      <w:r w:rsidRPr="00203BA5">
        <w:t>Conflits et désaccords</w:t>
      </w:r>
      <w:bookmarkEnd w:id="91"/>
    </w:p>
    <w:p w:rsidR="004325DC" w:rsidRPr="00203BA5" w:rsidRDefault="00C10A1F" w:rsidP="00914287">
      <w:pPr>
        <w:pStyle w:val="Texte1"/>
      </w:pPr>
      <w:r w:rsidRPr="00203BA5">
        <w:t xml:space="preserve">Il peut y avoir des conflits </w:t>
      </w:r>
      <w:r w:rsidR="00CE419D" w:rsidRPr="00203BA5">
        <w:t>au sein et entre d</w:t>
      </w:r>
      <w:r w:rsidRPr="00203BA5">
        <w:t>es communautés au sujet de l</w:t>
      </w:r>
      <w:r w:rsidR="00A61E6D" w:rsidRPr="00203BA5">
        <w:t>’</w:t>
      </w:r>
      <w:r w:rsidRPr="00203BA5">
        <w:t>identification de la communauté associée à un élément particulier du PCI ou à propos de sa viabilité, sa fonction et sa gestion appropriée. Le débat</w:t>
      </w:r>
      <w:r w:rsidR="00D2753F" w:rsidRPr="00203BA5">
        <w:t xml:space="preserve"> peut porter sur</w:t>
      </w:r>
      <w:r w:rsidRPr="00203BA5">
        <w:t xml:space="preserve"> la question de savoir si un élément spécifique du PCI est associé uniquement à une communauté étroitement définie ou à un groupe de personnes beaucoup plus étendu.</w:t>
      </w:r>
    </w:p>
    <w:p w:rsidR="00715AE5" w:rsidRPr="00203BA5" w:rsidRDefault="00C10A1F" w:rsidP="00914287">
      <w:pPr>
        <w:pStyle w:val="Texte1"/>
      </w:pPr>
      <w:r w:rsidRPr="00203BA5">
        <w:t>Il peut aussi y avoir des conflits pour savoir qui peut p</w:t>
      </w:r>
      <w:r w:rsidR="00721E84" w:rsidRPr="00203BA5">
        <w:t>rendre la parole</w:t>
      </w:r>
      <w:r w:rsidRPr="00203BA5">
        <w:t xml:space="preserve"> au nom des communautés et des groupes concernés. </w:t>
      </w:r>
      <w:r w:rsidR="00721E84" w:rsidRPr="00203BA5">
        <w:t>Il arrive, p</w:t>
      </w:r>
      <w:r w:rsidRPr="00203BA5">
        <w:t xml:space="preserve">ar exemple, </w:t>
      </w:r>
      <w:r w:rsidR="00721E84" w:rsidRPr="00203BA5">
        <w:t>que de</w:t>
      </w:r>
      <w:r w:rsidRPr="00203BA5">
        <w:t>s interprètes d</w:t>
      </w:r>
      <w:r w:rsidR="00A61E6D" w:rsidRPr="00203BA5">
        <w:t>’</w:t>
      </w:r>
      <w:r w:rsidRPr="00203BA5">
        <w:t xml:space="preserve">une forme spécifique de PCI </w:t>
      </w:r>
      <w:r w:rsidR="00721E84" w:rsidRPr="00203BA5">
        <w:t xml:space="preserve">dans </w:t>
      </w:r>
      <w:r w:rsidR="00466058" w:rsidRPr="00203BA5">
        <w:t>une communauté</w:t>
      </w:r>
      <w:r w:rsidR="00721E84" w:rsidRPr="00203BA5">
        <w:t xml:space="preserve"> viennent</w:t>
      </w:r>
      <w:r w:rsidRPr="00203BA5">
        <w:t xml:space="preserve"> à croire qu</w:t>
      </w:r>
      <w:r w:rsidR="00A61E6D" w:rsidRPr="00203BA5">
        <w:t>’</w:t>
      </w:r>
      <w:r w:rsidRPr="00203BA5">
        <w:t xml:space="preserve">ils </w:t>
      </w:r>
      <w:r w:rsidR="00466058" w:rsidRPr="00203BA5">
        <w:t xml:space="preserve">en </w:t>
      </w:r>
      <w:r w:rsidRPr="00203BA5">
        <w:t xml:space="preserve">sont les seuls </w:t>
      </w:r>
      <w:r w:rsidR="00721E84" w:rsidRPr="00203BA5">
        <w:t>exécutant</w:t>
      </w:r>
      <w:r w:rsidR="00C654E8" w:rsidRPr="00203BA5">
        <w:t>s</w:t>
      </w:r>
      <w:r w:rsidRPr="00203BA5">
        <w:t xml:space="preserve"> légitimes.</w:t>
      </w:r>
    </w:p>
    <w:p w:rsidR="004325DC" w:rsidRPr="00203BA5" w:rsidRDefault="00C10A1F" w:rsidP="00914287">
      <w:pPr>
        <w:pStyle w:val="Texte1"/>
      </w:pPr>
      <w:r w:rsidRPr="00203BA5">
        <w:t>La documentation d</w:t>
      </w:r>
      <w:r w:rsidR="00A61E6D" w:rsidRPr="00203BA5">
        <w:t>’</w:t>
      </w:r>
      <w:r w:rsidRPr="00203BA5">
        <w:t xml:space="preserve">un seul et unique groupe </w:t>
      </w:r>
      <w:r w:rsidR="00703B80" w:rsidRPr="00203BA5">
        <w:t>d’</w:t>
      </w:r>
      <w:r w:rsidR="005D4843" w:rsidRPr="00203BA5">
        <w:t>exécu</w:t>
      </w:r>
      <w:r w:rsidR="00703B80" w:rsidRPr="00203BA5">
        <w:t>tants</w:t>
      </w:r>
      <w:r w:rsidRPr="00203BA5">
        <w:t xml:space="preserve"> ou </w:t>
      </w:r>
      <w:r w:rsidR="00703B80" w:rsidRPr="00203BA5">
        <w:t xml:space="preserve">de </w:t>
      </w:r>
      <w:r w:rsidRPr="00203BA5">
        <w:t>repr</w:t>
      </w:r>
      <w:r w:rsidR="00703B80" w:rsidRPr="00203BA5">
        <w:t>ésentants</w:t>
      </w:r>
      <w:r w:rsidRPr="00203BA5">
        <w:t xml:space="preserve"> </w:t>
      </w:r>
      <w:r w:rsidR="00703B80" w:rsidRPr="00203BA5">
        <w:t>d’</w:t>
      </w:r>
      <w:r w:rsidRPr="00203BA5">
        <w:t xml:space="preserve">un élément spécifique du PCI </w:t>
      </w:r>
      <w:r w:rsidR="00703B80" w:rsidRPr="00203BA5">
        <w:t>à des fins d’</w:t>
      </w:r>
      <w:r w:rsidRPr="00203BA5">
        <w:t xml:space="preserve">inventaire </w:t>
      </w:r>
      <w:r w:rsidR="00703B80" w:rsidRPr="00203BA5">
        <w:t>risque</w:t>
      </w:r>
      <w:r w:rsidRPr="00203BA5">
        <w:t xml:space="preserve"> </w:t>
      </w:r>
      <w:r w:rsidR="00703B80" w:rsidRPr="00203BA5">
        <w:t>d’encourager cette tendance</w:t>
      </w:r>
      <w:r w:rsidRPr="00203BA5">
        <w:t>. D</w:t>
      </w:r>
      <w:r w:rsidR="00A61E6D" w:rsidRPr="00203BA5">
        <w:t>’</w:t>
      </w:r>
      <w:r w:rsidRPr="00203BA5">
        <w:t xml:space="preserve">autres </w:t>
      </w:r>
      <w:r w:rsidR="005D4843" w:rsidRPr="00203BA5">
        <w:t>interprète</w:t>
      </w:r>
      <w:r w:rsidRPr="00203BA5">
        <w:t>s au sein de cet</w:t>
      </w:r>
      <w:r w:rsidR="00703B80" w:rsidRPr="00203BA5">
        <w:t>te communauté peuvent disputer c</w:t>
      </w:r>
      <w:r w:rsidRPr="00203BA5">
        <w:t>e statut privilégié au groupe documenté.</w:t>
      </w:r>
    </w:p>
    <w:p w:rsidR="004325DC" w:rsidRPr="00203BA5" w:rsidRDefault="00C10A1F" w:rsidP="00914287">
      <w:pPr>
        <w:pStyle w:val="Texte1"/>
      </w:pPr>
      <w:r w:rsidRPr="00203BA5">
        <w:t>Les ONG locales et le</w:t>
      </w:r>
      <w:r w:rsidR="005D4843" w:rsidRPr="00203BA5">
        <w:t xml:space="preserve">s experts des communautés </w:t>
      </w:r>
      <w:r w:rsidRPr="00203BA5">
        <w:t xml:space="preserve">peuvent </w:t>
      </w:r>
      <w:r w:rsidR="00F73CD6" w:rsidRPr="00203BA5">
        <w:t xml:space="preserve">eux-mêmes </w:t>
      </w:r>
      <w:r w:rsidRPr="00203BA5">
        <w:t>aider à trouver des solutions à ces problèmes.</w:t>
      </w:r>
      <w:r w:rsidR="005A7BC6" w:rsidRPr="00203BA5">
        <w:t xml:space="preserve"> L</w:t>
      </w:r>
      <w:r w:rsidRPr="00203BA5">
        <w:t xml:space="preserve">e processus </w:t>
      </w:r>
      <w:r w:rsidR="005A7BC6" w:rsidRPr="00203BA5">
        <w:t>a beau</w:t>
      </w:r>
      <w:r w:rsidRPr="00203BA5">
        <w:t xml:space="preserve"> </w:t>
      </w:r>
      <w:r w:rsidR="005A7BC6" w:rsidRPr="00203BA5">
        <w:t xml:space="preserve">être </w:t>
      </w:r>
      <w:r w:rsidR="002F4E9D" w:rsidRPr="00203BA5">
        <w:t xml:space="preserve">souvent </w:t>
      </w:r>
      <w:r w:rsidR="005A7BC6" w:rsidRPr="00203BA5">
        <w:t>assez laborieux</w:t>
      </w:r>
      <w:r w:rsidRPr="00203BA5">
        <w:t xml:space="preserve">, il </w:t>
      </w:r>
      <w:r w:rsidR="002F4E9D" w:rsidRPr="00203BA5">
        <w:t>impose</w:t>
      </w:r>
      <w:r w:rsidRPr="00203BA5">
        <w:t xml:space="preserve"> d</w:t>
      </w:r>
      <w:r w:rsidR="00A61E6D" w:rsidRPr="00203BA5">
        <w:t>’</w:t>
      </w:r>
      <w:r w:rsidRPr="00203BA5">
        <w:t xml:space="preserve">obtenir le consentement et la participation </w:t>
      </w:r>
      <w:r w:rsidR="009867A4" w:rsidRPr="00203BA5">
        <w:t xml:space="preserve">des </w:t>
      </w:r>
      <w:r w:rsidR="007D222B" w:rsidRPr="00203BA5">
        <w:t>communautés</w:t>
      </w:r>
      <w:r w:rsidRPr="00203BA5">
        <w:t xml:space="preserve"> pour la plupart des </w:t>
      </w:r>
      <w:r w:rsidRPr="00203BA5">
        <w:lastRenderedPageBreak/>
        <w:t>activités au titre de la Convention</w:t>
      </w:r>
      <w:r w:rsidR="005A7BC6" w:rsidRPr="00203BA5">
        <w:t>. N</w:t>
      </w:r>
      <w:r w:rsidRPr="00203BA5">
        <w:t xml:space="preserve">e pas le faire </w:t>
      </w:r>
      <w:r w:rsidR="002F4E9D" w:rsidRPr="00203BA5">
        <w:t xml:space="preserve">pourrait finalement s’avérer </w:t>
      </w:r>
      <w:r w:rsidRPr="00203BA5">
        <w:t>contre-productif.</w:t>
      </w:r>
    </w:p>
    <w:p w:rsidR="004325DC" w:rsidRPr="00BD492A" w:rsidRDefault="000826E1" w:rsidP="00BD492A">
      <w:pPr>
        <w:pStyle w:val="Titcoul"/>
        <w:spacing w:before="720" w:after="240" w:line="320" w:lineRule="exact"/>
        <w:ind w:left="851" w:hanging="851"/>
        <w:rPr>
          <w:sz w:val="24"/>
          <w:szCs w:val="24"/>
          <w:lang w:val="fr-FR"/>
        </w:rPr>
      </w:pPr>
      <w:bookmarkStart w:id="92" w:name="_Toc238963241"/>
      <w:bookmarkStart w:id="93" w:name="_Toc241065127"/>
      <w:bookmarkStart w:id="94" w:name="_Toc301443365"/>
      <w:bookmarkStart w:id="95" w:name="_Toc321407008"/>
      <w:bookmarkStart w:id="96" w:name="_Toc354486632"/>
      <w:bookmarkStart w:id="97" w:name="_Toc354486938"/>
      <w:bookmarkStart w:id="98" w:name="_Toc247360216"/>
      <w:r w:rsidRPr="00BD492A">
        <w:rPr>
          <w:sz w:val="24"/>
          <w:szCs w:val="24"/>
          <w:lang w:val="fr-FR"/>
        </w:rPr>
        <w:t>7</w:t>
      </w:r>
      <w:r w:rsidR="00C10A1F" w:rsidRPr="00BD492A">
        <w:rPr>
          <w:sz w:val="24"/>
          <w:szCs w:val="24"/>
          <w:lang w:val="fr-FR"/>
        </w:rPr>
        <w:t>.10</w:t>
      </w:r>
      <w:bookmarkStart w:id="99" w:name="_Toc238963242"/>
      <w:bookmarkStart w:id="100" w:name="_Toc241065128"/>
      <w:bookmarkEnd w:id="92"/>
      <w:bookmarkEnd w:id="93"/>
      <w:r w:rsidR="00BD492A" w:rsidRPr="00BD492A">
        <w:rPr>
          <w:sz w:val="24"/>
          <w:szCs w:val="24"/>
          <w:lang w:val="fr-FR"/>
        </w:rPr>
        <w:tab/>
      </w:r>
      <w:r w:rsidR="00BD492A" w:rsidRPr="00BD492A">
        <w:rPr>
          <w:sz w:val="24"/>
          <w:szCs w:val="24"/>
          <w:lang w:val="fr-FR"/>
        </w:rPr>
        <w:tab/>
      </w:r>
      <w:r w:rsidR="00C35191" w:rsidRPr="00BD492A">
        <w:rPr>
          <w:sz w:val="24"/>
          <w:szCs w:val="24"/>
          <w:lang w:val="fr-FR"/>
        </w:rPr>
        <w:t xml:space="preserve">MÉthodes </w:t>
      </w:r>
      <w:r w:rsidR="00C34622" w:rsidRPr="00BD492A">
        <w:rPr>
          <w:sz w:val="24"/>
          <w:szCs w:val="24"/>
          <w:lang w:val="fr-FR"/>
        </w:rPr>
        <w:t>de</w:t>
      </w:r>
      <w:r w:rsidR="00C10A1F" w:rsidRPr="00BD492A">
        <w:rPr>
          <w:sz w:val="24"/>
          <w:szCs w:val="24"/>
          <w:lang w:val="fr-FR"/>
        </w:rPr>
        <w:t xml:space="preserve"> participation </w:t>
      </w:r>
      <w:bookmarkEnd w:id="94"/>
      <w:bookmarkEnd w:id="95"/>
      <w:bookmarkEnd w:id="96"/>
      <w:bookmarkEnd w:id="97"/>
      <w:bookmarkEnd w:id="98"/>
      <w:bookmarkEnd w:id="99"/>
      <w:bookmarkEnd w:id="100"/>
      <w:r w:rsidR="00C35191" w:rsidRPr="00BD492A">
        <w:rPr>
          <w:sz w:val="24"/>
          <w:szCs w:val="24"/>
          <w:lang w:val="fr-FR"/>
        </w:rPr>
        <w:t>communaut</w:t>
      </w:r>
      <w:r w:rsidR="004C491D" w:rsidRPr="00BD492A">
        <w:rPr>
          <w:sz w:val="24"/>
          <w:szCs w:val="24"/>
          <w:lang w:val="fr-FR"/>
        </w:rPr>
        <w:t>aire</w:t>
      </w:r>
    </w:p>
    <w:p w:rsidR="004325DC" w:rsidRPr="00203BA5" w:rsidRDefault="00C10A1F" w:rsidP="00914287">
      <w:pPr>
        <w:pStyle w:val="Texte1"/>
      </w:pPr>
      <w:r w:rsidRPr="00203BA5">
        <w:t xml:space="preserve">Les méthodes de participation et de prise de décision </w:t>
      </w:r>
      <w:r w:rsidR="005F7219" w:rsidRPr="00203BA5">
        <w:t>communautaires</w:t>
      </w:r>
      <w:r w:rsidR="004C491D" w:rsidRPr="00203BA5">
        <w:t xml:space="preserve"> varient</w:t>
      </w:r>
      <w:r w:rsidRPr="00203BA5">
        <w:t xml:space="preserve"> selon les besoins et la structure organisationnelle des communautés concernées, les ressources disponibles, la nature des éléments du PCI concernés, la tâche prête à exécuter, les fonds disponibles et la règlementation locale ou nationale.</w:t>
      </w:r>
    </w:p>
    <w:p w:rsidR="004325DC" w:rsidRPr="00203BA5" w:rsidRDefault="00C10A1F" w:rsidP="00914287">
      <w:pPr>
        <w:pStyle w:val="Texte1"/>
      </w:pPr>
      <w:r w:rsidRPr="00203BA5">
        <w:t>Des ateliers de renforcement des capacités et d</w:t>
      </w:r>
      <w:r w:rsidR="00A61E6D" w:rsidRPr="00203BA5">
        <w:t>’</w:t>
      </w:r>
      <w:r w:rsidRPr="00203BA5">
        <w:t>information, des réunions et des consultations, des sondages</w:t>
      </w:r>
      <w:r w:rsidR="005F1F16" w:rsidRPr="00203BA5">
        <w:t xml:space="preserve"> d’opinion</w:t>
      </w:r>
      <w:r w:rsidRPr="00203BA5">
        <w:t>, des communiqués de presse et des campagnes médiatiques impliquant les communautés ou leurs représentants peuvent être or</w:t>
      </w:r>
      <w:r w:rsidR="005F1F16" w:rsidRPr="00203BA5">
        <w:t>ganisés avec divers acteurs</w:t>
      </w:r>
      <w:r w:rsidRPr="00203BA5">
        <w:t xml:space="preserve"> </w:t>
      </w:r>
      <w:r w:rsidR="00794EB4" w:rsidRPr="00203BA5">
        <w:t xml:space="preserve">en ayant, par exemple, comme </w:t>
      </w:r>
      <w:r w:rsidR="00013B6F" w:rsidRPr="00203BA5">
        <w:t>intention d</w:t>
      </w:r>
      <w:r w:rsidRPr="00203BA5">
        <w:t>e</w:t>
      </w:r>
      <w:r w:rsidR="00EA1FE1" w:rsidRPr="00203BA5">
        <w:t> :</w:t>
      </w:r>
    </w:p>
    <w:p w:rsidR="006C3387" w:rsidRPr="00203BA5" w:rsidRDefault="005C1A8E" w:rsidP="000708EB">
      <w:pPr>
        <w:pStyle w:val="Enutiret"/>
        <w:numPr>
          <w:ilvl w:val="0"/>
          <w:numId w:val="50"/>
        </w:numPr>
      </w:pPr>
      <w:r w:rsidRPr="00203BA5">
        <w:t>délivrer l’</w:t>
      </w:r>
      <w:r w:rsidR="00C10A1F" w:rsidRPr="00203BA5">
        <w:t>information sur la Convention</w:t>
      </w:r>
      <w:r w:rsidR="00EA1FE1" w:rsidRPr="00203BA5">
        <w:t> ;</w:t>
      </w:r>
    </w:p>
    <w:p w:rsidR="006C3387" w:rsidRPr="00203BA5" w:rsidRDefault="00C10A1F" w:rsidP="000708EB">
      <w:pPr>
        <w:pStyle w:val="Enutiret"/>
        <w:numPr>
          <w:ilvl w:val="0"/>
          <w:numId w:val="50"/>
        </w:numPr>
      </w:pPr>
      <w:r w:rsidRPr="00203BA5">
        <w:t xml:space="preserve">faire </w:t>
      </w:r>
      <w:r w:rsidR="0032348B" w:rsidRPr="00203BA5">
        <w:t>davantage prendre conscience du PCI</w:t>
      </w:r>
      <w:r w:rsidR="00661AB1" w:rsidRPr="00203BA5">
        <w:t xml:space="preserve"> en</w:t>
      </w:r>
      <w:r w:rsidRPr="00203BA5">
        <w:t xml:space="preserve"> général</w:t>
      </w:r>
      <w:r w:rsidR="00661AB1" w:rsidRPr="00203BA5">
        <w:t xml:space="preserve"> et dans le respect de ses</w:t>
      </w:r>
      <w:r w:rsidRPr="00203BA5">
        <w:t xml:space="preserve"> </w:t>
      </w:r>
      <w:r w:rsidR="008F0123" w:rsidRPr="00203BA5">
        <w:t>aspect</w:t>
      </w:r>
      <w:r w:rsidRPr="00203BA5">
        <w:t>s spécifiques</w:t>
      </w:r>
      <w:r w:rsidR="00EA1FE1" w:rsidRPr="00203BA5">
        <w:t> ;</w:t>
      </w:r>
    </w:p>
    <w:p w:rsidR="006C3387" w:rsidRPr="00203BA5" w:rsidRDefault="00C10A1F" w:rsidP="000708EB">
      <w:pPr>
        <w:pStyle w:val="Enutiret"/>
        <w:numPr>
          <w:ilvl w:val="0"/>
          <w:numId w:val="50"/>
        </w:numPr>
      </w:pPr>
      <w:r w:rsidRPr="00203BA5">
        <w:t xml:space="preserve">identifier et définir </w:t>
      </w:r>
      <w:r w:rsidR="00661AB1" w:rsidRPr="00203BA5">
        <w:t>l</w:t>
      </w:r>
      <w:r w:rsidRPr="00203BA5">
        <w:t>es éléments du PCI</w:t>
      </w:r>
      <w:r w:rsidR="00EA1FE1" w:rsidRPr="00203BA5">
        <w:t> ;</w:t>
      </w:r>
    </w:p>
    <w:p w:rsidR="006C3387" w:rsidRPr="00203BA5" w:rsidRDefault="00C10A1F" w:rsidP="000708EB">
      <w:pPr>
        <w:pStyle w:val="Enutiret"/>
        <w:numPr>
          <w:ilvl w:val="0"/>
          <w:numId w:val="50"/>
        </w:numPr>
      </w:pPr>
      <w:r w:rsidRPr="00203BA5">
        <w:t>identifier les valeurs et les fonctions associées à des éléments spécifiques</w:t>
      </w:r>
      <w:r w:rsidR="00EA1FE1" w:rsidRPr="00203BA5">
        <w:t> ;</w:t>
      </w:r>
    </w:p>
    <w:p w:rsidR="006C3387" w:rsidRPr="00203BA5" w:rsidRDefault="00C10A1F" w:rsidP="000708EB">
      <w:pPr>
        <w:pStyle w:val="Enutiret"/>
        <w:numPr>
          <w:ilvl w:val="0"/>
          <w:numId w:val="50"/>
        </w:numPr>
      </w:pPr>
      <w:r w:rsidRPr="00203BA5">
        <w:t>identifier les menac</w:t>
      </w:r>
      <w:r w:rsidR="00661AB1" w:rsidRPr="00203BA5">
        <w:t>es pesa</w:t>
      </w:r>
      <w:r w:rsidRPr="00203BA5">
        <w:t>nt, le cas échéant, sur des éléments spécifiques</w:t>
      </w:r>
      <w:r w:rsidR="00EA1FE1" w:rsidRPr="00203BA5">
        <w:t> ;</w:t>
      </w:r>
    </w:p>
    <w:p w:rsidR="006C3387" w:rsidRPr="00203BA5" w:rsidRDefault="00C10A1F" w:rsidP="000708EB">
      <w:pPr>
        <w:pStyle w:val="Enutiret"/>
        <w:numPr>
          <w:ilvl w:val="0"/>
          <w:numId w:val="50"/>
        </w:numPr>
      </w:pPr>
      <w:r w:rsidRPr="00203BA5">
        <w:t>faciliter la communication au sein de la communauté ou du groupe</w:t>
      </w:r>
      <w:r w:rsidR="00EA1FE1" w:rsidRPr="00203BA5">
        <w:t> ;</w:t>
      </w:r>
    </w:p>
    <w:p w:rsidR="006C3387" w:rsidRPr="00203BA5" w:rsidRDefault="00C10A1F" w:rsidP="000708EB">
      <w:pPr>
        <w:pStyle w:val="Enutiret"/>
        <w:numPr>
          <w:ilvl w:val="0"/>
          <w:numId w:val="50"/>
        </w:numPr>
      </w:pPr>
      <w:r w:rsidRPr="00203BA5">
        <w:t xml:space="preserve">faciliter la communication entre les communautés concernées et les experts extérieurs, les </w:t>
      </w:r>
      <w:r w:rsidR="00661AB1" w:rsidRPr="00203BA5">
        <w:t>agenc</w:t>
      </w:r>
      <w:r w:rsidRPr="00203BA5">
        <w:t>es gouvernementales et les ONG</w:t>
      </w:r>
      <w:r w:rsidR="00EA1FE1" w:rsidRPr="00203BA5">
        <w:t> ;</w:t>
      </w:r>
    </w:p>
    <w:p w:rsidR="006C3387" w:rsidRPr="00203BA5" w:rsidRDefault="00C10A1F" w:rsidP="000708EB">
      <w:pPr>
        <w:pStyle w:val="Enutiret"/>
        <w:numPr>
          <w:ilvl w:val="0"/>
          <w:numId w:val="50"/>
        </w:numPr>
      </w:pPr>
      <w:r w:rsidRPr="00203BA5">
        <w:t>mesurer l</w:t>
      </w:r>
      <w:r w:rsidR="00A61E6D" w:rsidRPr="00203BA5">
        <w:t>’</w:t>
      </w:r>
      <w:r w:rsidRPr="00203BA5">
        <w:t xml:space="preserve">intérêt de la communauté pour la sauvegarde de </w:t>
      </w:r>
      <w:r w:rsidR="0032348B" w:rsidRPr="00203BA5">
        <w:t>tout ou partie de son PCI</w:t>
      </w:r>
      <w:r w:rsidR="00EA1FE1" w:rsidRPr="00203BA5">
        <w:t> ;</w:t>
      </w:r>
    </w:p>
    <w:p w:rsidR="006C3387" w:rsidRPr="00203BA5" w:rsidRDefault="00C10A1F" w:rsidP="000708EB">
      <w:pPr>
        <w:pStyle w:val="Enutiret"/>
        <w:numPr>
          <w:ilvl w:val="0"/>
          <w:numId w:val="50"/>
        </w:numPr>
      </w:pPr>
      <w:r w:rsidRPr="00203BA5">
        <w:t>déterminer la mobilisation de la communauté en faveur de la sauvegarde</w:t>
      </w:r>
      <w:r w:rsidR="00EA1FE1" w:rsidRPr="00203BA5">
        <w:t> ;</w:t>
      </w:r>
    </w:p>
    <w:p w:rsidR="006C3387" w:rsidRPr="00203BA5" w:rsidRDefault="00C10A1F" w:rsidP="000708EB">
      <w:pPr>
        <w:pStyle w:val="Enutiret"/>
        <w:numPr>
          <w:ilvl w:val="0"/>
          <w:numId w:val="50"/>
        </w:numPr>
      </w:pPr>
      <w:r w:rsidRPr="00203BA5">
        <w:t>décider de sauvegarder ou non un ou plusieurs éléments du PCI</w:t>
      </w:r>
      <w:r w:rsidR="00EA1FE1" w:rsidRPr="00203BA5">
        <w:t> ;</w:t>
      </w:r>
    </w:p>
    <w:p w:rsidR="006C3387" w:rsidRPr="00203BA5" w:rsidRDefault="00C10A1F" w:rsidP="000708EB">
      <w:pPr>
        <w:pStyle w:val="Enutiret"/>
        <w:numPr>
          <w:ilvl w:val="0"/>
          <w:numId w:val="50"/>
        </w:numPr>
      </w:pPr>
      <w:r w:rsidRPr="00203BA5">
        <w:t>renforcer les capacités au sein de la communauté concernée</w:t>
      </w:r>
      <w:r w:rsidR="00EA1FE1" w:rsidRPr="00203BA5">
        <w:t> ;</w:t>
      </w:r>
    </w:p>
    <w:p w:rsidR="006C3387" w:rsidRPr="00203BA5" w:rsidRDefault="00C10A1F" w:rsidP="000708EB">
      <w:pPr>
        <w:pStyle w:val="Enutiret"/>
        <w:numPr>
          <w:ilvl w:val="0"/>
          <w:numId w:val="50"/>
        </w:numPr>
      </w:pPr>
      <w:r w:rsidRPr="00203BA5">
        <w:t xml:space="preserve">partager les </w:t>
      </w:r>
      <w:r w:rsidR="00BB0521" w:rsidRPr="00203BA5">
        <w:t>compétences</w:t>
      </w:r>
      <w:r w:rsidRPr="00203BA5">
        <w:t xml:space="preserve"> en matière de sauvegarde du PCI</w:t>
      </w:r>
      <w:r w:rsidR="00EA1FE1" w:rsidRPr="00203BA5">
        <w:t> ;</w:t>
      </w:r>
    </w:p>
    <w:p w:rsidR="006C3387" w:rsidRPr="00203BA5" w:rsidRDefault="00C10A1F" w:rsidP="000708EB">
      <w:pPr>
        <w:pStyle w:val="Enutiret"/>
        <w:numPr>
          <w:ilvl w:val="0"/>
          <w:numId w:val="50"/>
        </w:numPr>
      </w:pPr>
      <w:r w:rsidRPr="00203BA5">
        <w:t>établir des plans de sauvegarde</w:t>
      </w:r>
      <w:r w:rsidR="00EA1FE1" w:rsidRPr="00203BA5">
        <w:t> ;</w:t>
      </w:r>
    </w:p>
    <w:p w:rsidR="006C3387" w:rsidRPr="00203BA5" w:rsidRDefault="00C10A1F" w:rsidP="000708EB">
      <w:pPr>
        <w:pStyle w:val="Enutiret"/>
        <w:numPr>
          <w:ilvl w:val="0"/>
          <w:numId w:val="50"/>
        </w:numPr>
      </w:pPr>
      <w:r w:rsidRPr="00203BA5">
        <w:t>faire campagne en faveur de la sauvegarde</w:t>
      </w:r>
      <w:r w:rsidR="00EA1FE1" w:rsidRPr="00203BA5">
        <w:t> ;</w:t>
      </w:r>
    </w:p>
    <w:p w:rsidR="006C3387" w:rsidRPr="00203BA5" w:rsidRDefault="00C10A1F" w:rsidP="000708EB">
      <w:pPr>
        <w:pStyle w:val="Enutiret"/>
        <w:numPr>
          <w:ilvl w:val="0"/>
          <w:numId w:val="50"/>
        </w:numPr>
      </w:pPr>
      <w:r w:rsidRPr="00203BA5">
        <w:t>évaluer les actions de sauvegarde en cours</w:t>
      </w:r>
      <w:r w:rsidR="00EA1FE1" w:rsidRPr="00203BA5">
        <w:t> ;</w:t>
      </w:r>
    </w:p>
    <w:p w:rsidR="004325DC" w:rsidRPr="00203BA5" w:rsidRDefault="00C10A1F" w:rsidP="000708EB">
      <w:pPr>
        <w:pStyle w:val="Enutiret"/>
        <w:numPr>
          <w:ilvl w:val="0"/>
          <w:numId w:val="50"/>
        </w:numPr>
      </w:pPr>
      <w:r w:rsidRPr="00203BA5">
        <w:t>décider de proposer ou non la candidature d</w:t>
      </w:r>
      <w:r w:rsidR="00A61E6D" w:rsidRPr="00203BA5">
        <w:t>’</w:t>
      </w:r>
      <w:r w:rsidRPr="00203BA5">
        <w:t>un élément spécifique</w:t>
      </w:r>
      <w:r w:rsidR="00EA1FE1" w:rsidRPr="00203BA5">
        <w:t> ;</w:t>
      </w:r>
      <w:r w:rsidRPr="00203BA5">
        <w:t xml:space="preserve"> et</w:t>
      </w:r>
    </w:p>
    <w:p w:rsidR="006C3387" w:rsidRPr="00203BA5" w:rsidRDefault="00C10A1F" w:rsidP="000708EB">
      <w:pPr>
        <w:pStyle w:val="Enutiret"/>
        <w:numPr>
          <w:ilvl w:val="0"/>
          <w:numId w:val="50"/>
        </w:numPr>
      </w:pPr>
      <w:r w:rsidRPr="00203BA5">
        <w:t>mettre au point des candidatures et des demandes d</w:t>
      </w:r>
      <w:r w:rsidR="00A61E6D" w:rsidRPr="00203BA5">
        <w:t>’</w:t>
      </w:r>
      <w:r w:rsidRPr="00203BA5">
        <w:t>assistance internationale.</w:t>
      </w:r>
    </w:p>
    <w:p w:rsidR="004325DC" w:rsidRPr="00362333" w:rsidRDefault="003B7F45" w:rsidP="0056007E">
      <w:pPr>
        <w:pStyle w:val="Titcoul"/>
        <w:spacing w:before="720" w:after="240" w:line="320" w:lineRule="exact"/>
        <w:ind w:left="851" w:hanging="851"/>
        <w:rPr>
          <w:sz w:val="24"/>
          <w:szCs w:val="24"/>
          <w:lang w:val="fr-FR"/>
        </w:rPr>
      </w:pPr>
      <w:bookmarkStart w:id="101" w:name="_Toc238963243"/>
      <w:bookmarkStart w:id="102" w:name="_Toc241065129"/>
      <w:bookmarkStart w:id="103" w:name="_Toc301443366"/>
      <w:bookmarkStart w:id="104" w:name="_Toc321407009"/>
      <w:bookmarkStart w:id="105" w:name="_Toc354486633"/>
      <w:bookmarkStart w:id="106" w:name="_Toc354486939"/>
      <w:bookmarkStart w:id="107" w:name="_Toc247360217"/>
      <w:r w:rsidRPr="0056007E">
        <w:rPr>
          <w:b w:val="0"/>
          <w:caps w:val="0"/>
          <w:sz w:val="24"/>
          <w:szCs w:val="24"/>
          <w:lang w:val="fr-FR" w:eastAsia="fr-FR"/>
        </w:rPr>
        <w:drawing>
          <wp:anchor distT="0" distB="0" distL="114300" distR="114300" simplePos="0" relativeHeight="251866624" behindDoc="0" locked="1" layoutInCell="1" allowOverlap="0" wp14:anchorId="1C153225" wp14:editId="7431682A">
            <wp:simplePos x="0" y="0"/>
            <wp:positionH relativeFrom="margin">
              <wp:align>left</wp:align>
            </wp:positionH>
            <wp:positionV relativeFrom="paragraph">
              <wp:posOffset>329565</wp:posOffset>
            </wp:positionV>
            <wp:extent cx="283210" cy="358775"/>
            <wp:effectExtent l="0" t="0" r="2540" b="3175"/>
            <wp:wrapNone/>
            <wp:docPr id="249" name="Imag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362333">
        <w:rPr>
          <w:sz w:val="24"/>
          <w:szCs w:val="24"/>
          <w:lang w:val="fr-FR"/>
        </w:rPr>
        <w:t>7</w:t>
      </w:r>
      <w:r w:rsidR="00C10A1F" w:rsidRPr="00362333">
        <w:rPr>
          <w:sz w:val="24"/>
          <w:szCs w:val="24"/>
          <w:lang w:val="fr-FR"/>
        </w:rPr>
        <w:t>.11</w:t>
      </w:r>
      <w:bookmarkStart w:id="108" w:name="_Toc238963244"/>
      <w:bookmarkStart w:id="109" w:name="_Toc241065130"/>
      <w:bookmarkEnd w:id="101"/>
      <w:bookmarkEnd w:id="102"/>
      <w:r w:rsidR="00362333" w:rsidRPr="00362333">
        <w:rPr>
          <w:sz w:val="24"/>
          <w:szCs w:val="24"/>
          <w:lang w:val="fr-FR"/>
        </w:rPr>
        <w:tab/>
      </w:r>
      <w:r w:rsidR="00362333">
        <w:rPr>
          <w:sz w:val="24"/>
          <w:szCs w:val="24"/>
          <w:lang w:val="fr-FR"/>
        </w:rPr>
        <w:tab/>
      </w:r>
      <w:r w:rsidR="00C10A1F" w:rsidRPr="00362333">
        <w:rPr>
          <w:sz w:val="24"/>
          <w:szCs w:val="24"/>
          <w:lang w:val="fr-FR"/>
        </w:rPr>
        <w:t xml:space="preserve">Obtenir un consentement libre, </w:t>
      </w:r>
      <w:r w:rsidR="00C35191" w:rsidRPr="00362333">
        <w:rPr>
          <w:sz w:val="24"/>
          <w:szCs w:val="24"/>
          <w:lang w:val="fr-FR"/>
        </w:rPr>
        <w:t xml:space="preserve">prÉalable </w:t>
      </w:r>
      <w:r w:rsidR="00C10A1F" w:rsidRPr="00362333">
        <w:rPr>
          <w:sz w:val="24"/>
          <w:szCs w:val="24"/>
          <w:lang w:val="fr-FR"/>
        </w:rPr>
        <w:t xml:space="preserve">et </w:t>
      </w:r>
      <w:bookmarkEnd w:id="103"/>
      <w:bookmarkEnd w:id="104"/>
      <w:bookmarkEnd w:id="105"/>
      <w:bookmarkEnd w:id="106"/>
      <w:bookmarkEnd w:id="107"/>
      <w:bookmarkEnd w:id="108"/>
      <w:bookmarkEnd w:id="109"/>
      <w:r w:rsidR="00C35191" w:rsidRPr="00362333">
        <w:rPr>
          <w:sz w:val="24"/>
          <w:szCs w:val="24"/>
          <w:lang w:val="fr-FR"/>
        </w:rPr>
        <w:t>ÉclairÉ</w:t>
      </w:r>
    </w:p>
    <w:p w:rsidR="004325DC" w:rsidRPr="00203BA5" w:rsidRDefault="00C10A1F" w:rsidP="00150FFB">
      <w:pPr>
        <w:pStyle w:val="Informations"/>
      </w:pPr>
      <w:r w:rsidRPr="00203BA5">
        <w:t>Voir</w:t>
      </w:r>
      <w:r w:rsidR="00746ECB" w:rsidRPr="00203BA5">
        <w:t xml:space="preserve"> </w:t>
      </w:r>
      <w:r w:rsidR="00BB0521" w:rsidRPr="00203BA5">
        <w:t xml:space="preserve">le </w:t>
      </w:r>
      <w:r w:rsidR="00646D3D" w:rsidRPr="00203BA5">
        <w:t>Texte du participant</w:t>
      </w:r>
      <w:r w:rsidR="003B7F45" w:rsidRPr="00203BA5">
        <w:t xml:space="preserve"> </w:t>
      </w:r>
      <w:r w:rsidR="00E609EC" w:rsidRPr="00203BA5">
        <w:t>de l’</w:t>
      </w:r>
      <w:r w:rsidR="003B7F45" w:rsidRPr="00203BA5">
        <w:t>Unité 3</w:t>
      </w:r>
      <w:r w:rsidR="00746ECB" w:rsidRPr="00203BA5">
        <w:t xml:space="preserve"> </w:t>
      </w:r>
      <w:r w:rsidR="00495C85" w:rsidRPr="00203BA5">
        <w:t>qui traite</w:t>
      </w:r>
      <w:r w:rsidR="00312E6D" w:rsidRPr="00203BA5">
        <w:t xml:space="preserve"> de </w:t>
      </w:r>
      <w:r w:rsidRPr="00203BA5">
        <w:t>ce concept.</w:t>
      </w:r>
    </w:p>
    <w:p w:rsidR="004325DC" w:rsidRPr="00203BA5" w:rsidRDefault="00C10A1F" w:rsidP="00914287">
      <w:pPr>
        <w:pStyle w:val="Texte1"/>
      </w:pPr>
      <w:r w:rsidRPr="00203BA5">
        <w:t>Le consentement libre, préalable et éclairé des communautés concernées est exigé pour l</w:t>
      </w:r>
      <w:r w:rsidR="00A61E6D" w:rsidRPr="00203BA5">
        <w:t>’</w:t>
      </w:r>
      <w:r w:rsidRPr="00203BA5">
        <w:t>é</w:t>
      </w:r>
      <w:r w:rsidR="00B44C14" w:rsidRPr="00203BA5">
        <w:t>laboration</w:t>
      </w:r>
      <w:r w:rsidRPr="00203BA5">
        <w:t xml:space="preserve"> et la soumission des dossiers de candidature </w:t>
      </w:r>
      <w:r w:rsidR="00B44C14" w:rsidRPr="00203BA5">
        <w:t>sur les Listes de la Convention</w:t>
      </w:r>
      <w:r w:rsidRPr="00203BA5">
        <w:t xml:space="preserve"> qui doivent comporter une description de leur </w:t>
      </w:r>
      <w:r w:rsidR="00746ECB" w:rsidRPr="00203BA5">
        <w:t xml:space="preserve">pleine participation </w:t>
      </w:r>
      <w:r w:rsidRPr="00203BA5">
        <w:t xml:space="preserve">à la préparation et </w:t>
      </w:r>
      <w:r w:rsidR="00B44C14" w:rsidRPr="00203BA5">
        <w:t xml:space="preserve">à </w:t>
      </w:r>
      <w:r w:rsidRPr="00203BA5">
        <w:t xml:space="preserve">la future mise en </w:t>
      </w:r>
      <w:r w:rsidR="00B44C14" w:rsidRPr="00203BA5">
        <w:t xml:space="preserve">œuvre </w:t>
      </w:r>
      <w:r w:rsidRPr="00203BA5">
        <w:t xml:space="preserve">des mesures de sauvegarde proposées dans le dossier. Le </w:t>
      </w:r>
      <w:r w:rsidRPr="00203BA5">
        <w:lastRenderedPageBreak/>
        <w:t xml:space="preserve">consentement </w:t>
      </w:r>
      <w:r w:rsidR="009867A4" w:rsidRPr="00203BA5">
        <w:t>des communautés</w:t>
      </w:r>
      <w:r w:rsidRPr="00203BA5">
        <w:t xml:space="preserve"> est également exigé </w:t>
      </w:r>
      <w:r w:rsidR="00B44C14" w:rsidRPr="00203BA5">
        <w:t xml:space="preserve">dès lors </w:t>
      </w:r>
      <w:r w:rsidRPr="00203BA5">
        <w:t>qu</w:t>
      </w:r>
      <w:r w:rsidR="00B44C14" w:rsidRPr="00203BA5">
        <w:t>’u</w:t>
      </w:r>
      <w:r w:rsidRPr="00203BA5">
        <w:t>n État partie propose de retenir une pratique pour la sélectionner comme meilleure pratique de sauvegarde (</w:t>
      </w:r>
      <w:r w:rsidR="00461004" w:rsidRPr="00203BA5">
        <w:t>DO </w:t>
      </w:r>
      <w:r w:rsidRPr="00203BA5">
        <w:t>7, P.5) ou qu</w:t>
      </w:r>
      <w:r w:rsidR="00A61E6D" w:rsidRPr="00203BA5">
        <w:t>’</w:t>
      </w:r>
      <w:r w:rsidRPr="00203BA5">
        <w:t>il prépare une action de sensibilisation qui concerne le PCI d</w:t>
      </w:r>
      <w:r w:rsidR="00A61E6D" w:rsidRPr="00203BA5">
        <w:t>’</w:t>
      </w:r>
      <w:r w:rsidRPr="00203BA5">
        <w:t>un ou plusieurs groupes spécifiques (</w:t>
      </w:r>
      <w:r w:rsidR="00461004" w:rsidRPr="00203BA5">
        <w:t>DO </w:t>
      </w:r>
      <w:r w:rsidRPr="00203BA5">
        <w:t>101(b)). Du fait que l</w:t>
      </w:r>
      <w:r w:rsidR="00A61E6D" w:rsidRPr="00203BA5">
        <w:t>’</w:t>
      </w:r>
      <w:r w:rsidRPr="00203BA5">
        <w:t>identification, l</w:t>
      </w:r>
      <w:r w:rsidR="00F97FE9" w:rsidRPr="00203BA5">
        <w:t xml:space="preserve">es </w:t>
      </w:r>
      <w:r w:rsidRPr="00203BA5">
        <w:t>inventaire</w:t>
      </w:r>
      <w:r w:rsidR="00F97FE9" w:rsidRPr="00203BA5">
        <w:t>s</w:t>
      </w:r>
      <w:r w:rsidRPr="00203BA5">
        <w:t xml:space="preserve"> et </w:t>
      </w:r>
      <w:r w:rsidR="001B4C8D" w:rsidRPr="00203BA5">
        <w:t>les opération</w:t>
      </w:r>
      <w:r w:rsidRPr="00203BA5">
        <w:t xml:space="preserve">s de sauvegarde au titre de la Convention requièrent la participation </w:t>
      </w:r>
      <w:r w:rsidR="009867A4" w:rsidRPr="00203BA5">
        <w:t>des communautés</w:t>
      </w:r>
      <w:r w:rsidRPr="00203BA5">
        <w:t>, le</w:t>
      </w:r>
      <w:r w:rsidR="001B4C8D" w:rsidRPr="00203BA5">
        <w:t>ur</w:t>
      </w:r>
      <w:r w:rsidRPr="00203BA5">
        <w:t xml:space="preserve"> consentement est</w:t>
      </w:r>
      <w:r w:rsidR="001B4C8D" w:rsidRPr="00203BA5">
        <w:t>,</w:t>
      </w:r>
      <w:r w:rsidRPr="00203BA5">
        <w:t xml:space="preserve"> lui aussi</w:t>
      </w:r>
      <w:r w:rsidR="001B4C8D" w:rsidRPr="00203BA5">
        <w:t>,</w:t>
      </w:r>
      <w:r w:rsidRPr="00203BA5">
        <w:t xml:space="preserve"> implicitement requis pour ces activités, mais en dehors des formulaires de candidature et des rapports périodiques, il n</w:t>
      </w:r>
      <w:r w:rsidR="00A61E6D" w:rsidRPr="00203BA5">
        <w:t>’</w:t>
      </w:r>
      <w:r w:rsidR="001B4C8D" w:rsidRPr="00203BA5">
        <w:t>existe</w:t>
      </w:r>
      <w:r w:rsidRPr="00203BA5">
        <w:t xml:space="preserve"> aucun mécanisme officiel </w:t>
      </w:r>
      <w:r w:rsidR="001B4C8D" w:rsidRPr="00203BA5">
        <w:t>qui</w:t>
      </w:r>
      <w:r w:rsidRPr="00203BA5">
        <w:t xml:space="preserve"> p</w:t>
      </w:r>
      <w:r w:rsidR="001B4C8D" w:rsidRPr="00203BA5">
        <w:t>uisse</w:t>
      </w:r>
      <w:r w:rsidRPr="00203BA5">
        <w:t xml:space="preserve"> en assurer le contrôle.</w:t>
      </w:r>
    </w:p>
    <w:p w:rsidR="008234D9" w:rsidRPr="00203BA5" w:rsidRDefault="00C10A1F" w:rsidP="00914287">
      <w:pPr>
        <w:pStyle w:val="Texte1"/>
      </w:pPr>
      <w:r w:rsidRPr="00203BA5">
        <w:t xml:space="preserve">La Convention et les </w:t>
      </w:r>
      <w:r w:rsidR="00461004" w:rsidRPr="00203BA5">
        <w:t>DO </w:t>
      </w:r>
      <w:r w:rsidRPr="00203BA5">
        <w:t xml:space="preserve">ne donnent </w:t>
      </w:r>
      <w:r w:rsidR="006C6D1D" w:rsidRPr="00203BA5">
        <w:t>actuellement</w:t>
      </w:r>
      <w:r w:rsidR="006F28B8" w:rsidRPr="00203BA5">
        <w:t xml:space="preserve"> </w:t>
      </w:r>
      <w:r w:rsidRPr="00203BA5">
        <w:t xml:space="preserve">aucune indication sur la procédure à suivre par les États parties </w:t>
      </w:r>
      <w:r w:rsidR="006C6D1D" w:rsidRPr="00203BA5">
        <w:t>au sujet de</w:t>
      </w:r>
      <w:r w:rsidRPr="00203BA5">
        <w:t xml:space="preserve"> l</w:t>
      </w:r>
      <w:r w:rsidR="00A61E6D" w:rsidRPr="00203BA5">
        <w:t>’</w:t>
      </w:r>
      <w:r w:rsidRPr="00203BA5">
        <w:t>obtention des consentements, pas plus qu</w:t>
      </w:r>
      <w:r w:rsidR="00A61E6D" w:rsidRPr="00203BA5">
        <w:t>’</w:t>
      </w:r>
      <w:r w:rsidRPr="00203BA5">
        <w:t>il n</w:t>
      </w:r>
      <w:r w:rsidR="00A61E6D" w:rsidRPr="00203BA5">
        <w:t>’</w:t>
      </w:r>
      <w:r w:rsidR="00531BB7" w:rsidRPr="00203BA5">
        <w:t>y a de</w:t>
      </w:r>
      <w:r w:rsidRPr="00203BA5">
        <w:t xml:space="preserve"> critères </w:t>
      </w:r>
      <w:r w:rsidR="006C6D1D" w:rsidRPr="00203BA5">
        <w:t>sur lesquels peut se fonder</w:t>
      </w:r>
      <w:r w:rsidR="00531BB7" w:rsidRPr="00203BA5">
        <w:t xml:space="preserve"> </w:t>
      </w:r>
      <w:r w:rsidRPr="00203BA5">
        <w:t>le Comité pour vérifier l</w:t>
      </w:r>
      <w:r w:rsidR="00A61E6D" w:rsidRPr="00203BA5">
        <w:t>’</w:t>
      </w:r>
      <w:r w:rsidRPr="00203BA5">
        <w:t xml:space="preserve">adéquation des procédures suivies. </w:t>
      </w:r>
      <w:r w:rsidR="00D524C1" w:rsidRPr="00203BA5">
        <w:t>Par ailleurs, e</w:t>
      </w:r>
      <w:r w:rsidR="00CD6A34" w:rsidRPr="00203BA5">
        <w:t>lles</w:t>
      </w:r>
      <w:r w:rsidR="00D524C1" w:rsidRPr="00203BA5">
        <w:t xml:space="preserve"> ne dispensent aucun </w:t>
      </w:r>
      <w:r w:rsidRPr="00203BA5">
        <w:t>conseil sur ce qu</w:t>
      </w:r>
      <w:r w:rsidR="00A61E6D" w:rsidRPr="00203BA5">
        <w:t>’</w:t>
      </w:r>
      <w:r w:rsidRPr="00203BA5">
        <w:t xml:space="preserve">il faut faire </w:t>
      </w:r>
      <w:r w:rsidR="00CD6A34" w:rsidRPr="00203BA5">
        <w:t>en cas de</w:t>
      </w:r>
      <w:r w:rsidRPr="00203BA5">
        <w:t xml:space="preserve"> conflit au sein d</w:t>
      </w:r>
      <w:r w:rsidR="00CD6A34" w:rsidRPr="00203BA5">
        <w:t>’une communauté</w:t>
      </w:r>
      <w:r w:rsidRPr="00203BA5">
        <w:t xml:space="preserve"> </w:t>
      </w:r>
      <w:r w:rsidR="00C3513A" w:rsidRPr="00203BA5">
        <w:t xml:space="preserve">quant à </w:t>
      </w:r>
      <w:r w:rsidRPr="00203BA5">
        <w:t>l</w:t>
      </w:r>
      <w:r w:rsidR="00A61E6D" w:rsidRPr="00203BA5">
        <w:t>’</w:t>
      </w:r>
      <w:r w:rsidRPr="00203BA5">
        <w:t>octroi d</w:t>
      </w:r>
      <w:r w:rsidR="00D524C1" w:rsidRPr="00203BA5">
        <w:t>e so</w:t>
      </w:r>
      <w:r w:rsidRPr="00203BA5">
        <w:t xml:space="preserve">n consentement </w:t>
      </w:r>
      <w:r w:rsidR="00C3513A" w:rsidRPr="00203BA5">
        <w:t>en faveur de</w:t>
      </w:r>
      <w:r w:rsidRPr="00203BA5">
        <w:t xml:space="preserve"> la sauvegarde et </w:t>
      </w:r>
      <w:r w:rsidR="00C3513A" w:rsidRPr="00203BA5">
        <w:t>d’</w:t>
      </w:r>
      <w:r w:rsidRPr="00203BA5">
        <w:t>a</w:t>
      </w:r>
      <w:r w:rsidR="00D524C1" w:rsidRPr="00203BA5">
        <w:t>utres activités relatives à son</w:t>
      </w:r>
      <w:r w:rsidRPr="00203BA5">
        <w:t xml:space="preserve"> PCI. La manière d</w:t>
      </w:r>
      <w:r w:rsidR="000C1A07" w:rsidRPr="00203BA5">
        <w:t>ont le</w:t>
      </w:r>
      <w:r w:rsidRPr="00203BA5">
        <w:t xml:space="preserve"> </w:t>
      </w:r>
      <w:r w:rsidR="000C1A07" w:rsidRPr="00203BA5">
        <w:t>consentement</w:t>
      </w:r>
      <w:r w:rsidR="00531BB7" w:rsidRPr="00203BA5">
        <w:t xml:space="preserve"> </w:t>
      </w:r>
      <w:r w:rsidR="000C1A07" w:rsidRPr="00203BA5">
        <w:t xml:space="preserve">est ainsi obtenu varie </w:t>
      </w:r>
      <w:r w:rsidR="00531BB7" w:rsidRPr="00203BA5">
        <w:t>selon le cas</w:t>
      </w:r>
      <w:r w:rsidRPr="00203BA5">
        <w:t>. L</w:t>
      </w:r>
      <w:r w:rsidR="00370099" w:rsidRPr="00203BA5">
        <w:t>’État partie peu</w:t>
      </w:r>
      <w:r w:rsidRPr="00203BA5">
        <w:t xml:space="preserve">t soumettre </w:t>
      </w:r>
      <w:r w:rsidR="00370099" w:rsidRPr="00203BA5">
        <w:t>un dossier</w:t>
      </w:r>
      <w:r w:rsidRPr="00203BA5">
        <w:t xml:space="preserve"> de candidature </w:t>
      </w:r>
      <w:r w:rsidR="00370099" w:rsidRPr="00203BA5">
        <w:t>accompagné d’un</w:t>
      </w:r>
      <w:r w:rsidR="00347217" w:rsidRPr="00203BA5">
        <w:t>e autorisa</w:t>
      </w:r>
      <w:r w:rsidR="00370099" w:rsidRPr="00203BA5">
        <w:t>tion écrite</w:t>
      </w:r>
      <w:r w:rsidRPr="00203BA5">
        <w:t xml:space="preserve"> ou </w:t>
      </w:r>
      <w:r w:rsidR="00370099" w:rsidRPr="00203BA5">
        <w:t>d’un</w:t>
      </w:r>
      <w:r w:rsidRPr="00203BA5">
        <w:t xml:space="preserve"> </w:t>
      </w:r>
      <w:r w:rsidR="00370099" w:rsidRPr="00203BA5">
        <w:t xml:space="preserve">consentement </w:t>
      </w:r>
      <w:r w:rsidR="008B681B" w:rsidRPr="00203BA5">
        <w:t>enregistr</w:t>
      </w:r>
      <w:r w:rsidR="00370099" w:rsidRPr="00203BA5">
        <w:t>é</w:t>
      </w:r>
      <w:r w:rsidRPr="00203BA5">
        <w:t xml:space="preserve"> </w:t>
      </w:r>
      <w:r w:rsidR="00347217" w:rsidRPr="00203BA5">
        <w:t>sur bande</w:t>
      </w:r>
      <w:r w:rsidRPr="00203BA5">
        <w:t xml:space="preserve"> audio ou</w:t>
      </w:r>
      <w:r w:rsidR="00347217" w:rsidRPr="00203BA5">
        <w:t xml:space="preserve"> vidéo</w:t>
      </w:r>
      <w:r w:rsidR="008234D9" w:rsidRPr="00203BA5">
        <w:t>, ce qui est sans doute</w:t>
      </w:r>
      <w:r w:rsidRPr="00203BA5">
        <w:t xml:space="preserve"> préférable lorsque l</w:t>
      </w:r>
      <w:r w:rsidR="008B681B" w:rsidRPr="00203BA5">
        <w:t>a communauté</w:t>
      </w:r>
      <w:r w:rsidRPr="00203BA5">
        <w:t xml:space="preserve"> conce</w:t>
      </w:r>
      <w:r w:rsidR="008B681B" w:rsidRPr="00203BA5">
        <w:t>rnée se sent</w:t>
      </w:r>
      <w:r w:rsidRPr="00203BA5">
        <w:t xml:space="preserve"> plus à l</w:t>
      </w:r>
      <w:r w:rsidR="00A61E6D" w:rsidRPr="00203BA5">
        <w:t>’</w:t>
      </w:r>
      <w:r w:rsidRPr="00203BA5">
        <w:t>aise avec le consentement verbal.</w:t>
      </w:r>
    </w:p>
    <w:p w:rsidR="008234D9" w:rsidRPr="00203BA5" w:rsidRDefault="00ED447E" w:rsidP="008234D9">
      <w:pPr>
        <w:pStyle w:val="Heading4"/>
      </w:pPr>
      <w:r w:rsidRPr="00203BA5">
        <w:t>refus de consentir</w:t>
      </w:r>
    </w:p>
    <w:p w:rsidR="004325DC" w:rsidRPr="00203BA5" w:rsidRDefault="008234D9" w:rsidP="00DF6824">
      <w:r w:rsidRPr="00203BA5">
        <w:t xml:space="preserve">Si la communauté concernée </w:t>
      </w:r>
      <w:r w:rsidR="00ED447E" w:rsidRPr="00203BA5">
        <w:t xml:space="preserve">exprime </w:t>
      </w:r>
      <w:r w:rsidRPr="00203BA5">
        <w:t xml:space="preserve">de manière générale </w:t>
      </w:r>
      <w:r w:rsidR="00ED447E" w:rsidRPr="00203BA5">
        <w:t xml:space="preserve">son refus </w:t>
      </w:r>
      <w:r w:rsidRPr="00203BA5">
        <w:t xml:space="preserve">de consentir à une action proposée dans le cadre de la mise en œuvre de la Convention (telle qu’une candidature ou </w:t>
      </w:r>
      <w:r w:rsidR="00ED447E" w:rsidRPr="00203BA5">
        <w:t>l’inclusion dans</w:t>
      </w:r>
      <w:r w:rsidRPr="00203BA5">
        <w:t xml:space="preserve"> </w:t>
      </w:r>
      <w:r w:rsidR="00ED447E" w:rsidRPr="00203BA5">
        <w:t xml:space="preserve">un </w:t>
      </w:r>
      <w:r w:rsidRPr="00203BA5">
        <w:t xml:space="preserve">inventaire), </w:t>
      </w:r>
      <w:r w:rsidR="00ED447E" w:rsidRPr="00203BA5">
        <w:t xml:space="preserve">il suffit </w:t>
      </w:r>
      <w:r w:rsidRPr="00203BA5">
        <w:t xml:space="preserve">alors </w:t>
      </w:r>
      <w:r w:rsidR="00ED447E" w:rsidRPr="00203BA5">
        <w:t xml:space="preserve">simplement d’annuler </w:t>
      </w:r>
      <w:r w:rsidRPr="00203BA5">
        <w:t>l’</w:t>
      </w:r>
      <w:r w:rsidR="00ED447E" w:rsidRPr="00203BA5">
        <w:t>action</w:t>
      </w:r>
      <w:r w:rsidRPr="00203BA5">
        <w:t>. Au Brésil</w:t>
      </w:r>
      <w:r w:rsidR="00ED447E" w:rsidRPr="00203BA5">
        <w:t>,</w:t>
      </w:r>
      <w:r w:rsidRPr="00203BA5">
        <w:t xml:space="preserve"> par exemple, il y a eu </w:t>
      </w:r>
      <w:r w:rsidR="00526CDB" w:rsidRPr="00203BA5">
        <w:t xml:space="preserve">à </w:t>
      </w:r>
      <w:r w:rsidRPr="00203BA5">
        <w:t xml:space="preserve">plusieurs </w:t>
      </w:r>
      <w:r w:rsidR="00526CDB" w:rsidRPr="00203BA5">
        <w:t>reprise</w:t>
      </w:r>
      <w:r w:rsidRPr="00203BA5">
        <w:t>s de</w:t>
      </w:r>
      <w:r w:rsidR="00526CDB" w:rsidRPr="00203BA5">
        <w:t>s</w:t>
      </w:r>
      <w:r w:rsidRPr="00203BA5">
        <w:t xml:space="preserve"> communautés qui ne </w:t>
      </w:r>
      <w:r w:rsidR="00DF6824" w:rsidRPr="00203BA5">
        <w:t>voul</w:t>
      </w:r>
      <w:r w:rsidRPr="00203BA5">
        <w:t>aient pas voir des éléments de leur PCI figurer à l’inventaire national </w:t>
      </w:r>
      <w:r w:rsidR="00DF6824" w:rsidRPr="00203BA5">
        <w:t xml:space="preserve">; en dépit du travail </w:t>
      </w:r>
      <w:r w:rsidRPr="00203BA5">
        <w:t>déjà été accompli, il a été convenu de ne pas inclure ces éléments.</w:t>
      </w:r>
    </w:p>
    <w:p w:rsidR="00C10A1F" w:rsidRPr="00203BA5" w:rsidRDefault="00C35191">
      <w:pPr>
        <w:pStyle w:val="Heading4"/>
      </w:pPr>
      <w:bookmarkStart w:id="110" w:name="_Toc247360219"/>
      <w:r w:rsidRPr="00203BA5">
        <w:t>D</w:t>
      </w:r>
      <w:r w:rsidR="00F23B88" w:rsidRPr="00203BA5">
        <w:t>issension</w:t>
      </w:r>
      <w:r w:rsidRPr="00203BA5">
        <w:t xml:space="preserve">s </w:t>
      </w:r>
      <w:r w:rsidR="00C10A1F" w:rsidRPr="00203BA5">
        <w:t>au sein d</w:t>
      </w:r>
      <w:r w:rsidR="009E19C5" w:rsidRPr="00203BA5">
        <w:t>’une</w:t>
      </w:r>
      <w:r w:rsidR="00C10A1F" w:rsidRPr="00203BA5">
        <w:t xml:space="preserve"> </w:t>
      </w:r>
      <w:bookmarkEnd w:id="110"/>
      <w:r w:rsidR="00F23B88" w:rsidRPr="00203BA5">
        <w:t>communautÉ</w:t>
      </w:r>
    </w:p>
    <w:p w:rsidR="00944BD2" w:rsidRPr="00203BA5" w:rsidRDefault="003B7F45" w:rsidP="00914287">
      <w:pPr>
        <w:pStyle w:val="Texte1"/>
      </w:pPr>
      <w:r w:rsidRPr="00203BA5">
        <w:rPr>
          <w:noProof/>
          <w:lang w:eastAsia="fr-FR"/>
        </w:rPr>
        <w:drawing>
          <wp:anchor distT="0" distB="0" distL="114300" distR="114300" simplePos="0" relativeHeight="251868672"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203BA5">
        <w:t xml:space="preserve">Un problème </w:t>
      </w:r>
      <w:r w:rsidR="00B93F0E" w:rsidRPr="00203BA5">
        <w:t xml:space="preserve">peut </w:t>
      </w:r>
      <w:r w:rsidR="00C10A1F" w:rsidRPr="00203BA5">
        <w:t xml:space="preserve">se poser </w:t>
      </w:r>
      <w:r w:rsidR="00B93F0E" w:rsidRPr="00203BA5">
        <w:t>si</w:t>
      </w:r>
      <w:r w:rsidR="0080181A" w:rsidRPr="00203BA5">
        <w:t xml:space="preserve"> certaines personnes dans un</w:t>
      </w:r>
      <w:r w:rsidR="00C10A1F" w:rsidRPr="00203BA5">
        <w:t xml:space="preserve">e communauté ne sont pas </w:t>
      </w:r>
      <w:r w:rsidR="00993189" w:rsidRPr="00203BA5">
        <w:t>prêt</w:t>
      </w:r>
      <w:r w:rsidR="0080181A" w:rsidRPr="00203BA5">
        <w:t>e</w:t>
      </w:r>
      <w:r w:rsidR="00993189" w:rsidRPr="00203BA5">
        <w:t>s</w:t>
      </w:r>
      <w:r w:rsidR="00C10A1F" w:rsidRPr="00203BA5">
        <w:t xml:space="preserve"> à </w:t>
      </w:r>
      <w:r w:rsidR="00993189" w:rsidRPr="00203BA5">
        <w:t>donne</w:t>
      </w:r>
      <w:r w:rsidR="00C10A1F" w:rsidRPr="00203BA5">
        <w:t xml:space="preserve">r leur consentement, </w:t>
      </w:r>
      <w:r w:rsidR="00B93F0E" w:rsidRPr="00203BA5">
        <w:t>alors que</w:t>
      </w:r>
      <w:r w:rsidR="00C10A1F" w:rsidRPr="00203BA5">
        <w:t xml:space="preserve"> d</w:t>
      </w:r>
      <w:r w:rsidR="00A61E6D" w:rsidRPr="00203BA5">
        <w:t>’</w:t>
      </w:r>
      <w:r w:rsidR="00C10A1F" w:rsidRPr="00203BA5">
        <w:t>autres</w:t>
      </w:r>
      <w:r w:rsidR="00B93F0E" w:rsidRPr="00203BA5">
        <w:t xml:space="preserve"> l</w:t>
      </w:r>
      <w:r w:rsidR="0080181A" w:rsidRPr="00203BA5">
        <w:t>e so</w:t>
      </w:r>
      <w:r w:rsidR="00B93F0E" w:rsidRPr="00203BA5">
        <w:t>nt</w:t>
      </w:r>
      <w:r w:rsidR="00C10A1F" w:rsidRPr="00203BA5">
        <w:t xml:space="preserve">. Là où </w:t>
      </w:r>
      <w:r w:rsidR="009D522D" w:rsidRPr="00203BA5">
        <w:t>les communautés concernées sont en proie à de profondes dissensions</w:t>
      </w:r>
      <w:r w:rsidR="00C10A1F" w:rsidRPr="00203BA5">
        <w:t>, mieux vaut attendre d</w:t>
      </w:r>
      <w:r w:rsidR="006577C8" w:rsidRPr="00203BA5">
        <w:t>e parvenir à un accord</w:t>
      </w:r>
      <w:r w:rsidR="00C10A1F" w:rsidRPr="00203BA5">
        <w:t xml:space="preserve"> avant d</w:t>
      </w:r>
      <w:r w:rsidR="00A61E6D" w:rsidRPr="00203BA5">
        <w:t>’</w:t>
      </w:r>
      <w:r w:rsidR="00C10A1F" w:rsidRPr="00203BA5">
        <w:t>entamer d</w:t>
      </w:r>
      <w:r w:rsidR="00C212FF" w:rsidRPr="00203BA5">
        <w:t>es activités où le</w:t>
      </w:r>
      <w:r w:rsidR="006577C8" w:rsidRPr="00203BA5">
        <w:t xml:space="preserve"> consentement</w:t>
      </w:r>
      <w:r w:rsidR="00C212FF" w:rsidRPr="00203BA5">
        <w:t xml:space="preserve"> de la communauté</w:t>
      </w:r>
      <w:r w:rsidR="00C10A1F" w:rsidRPr="00203BA5">
        <w:t xml:space="preserve"> est explicitement ou implicitement requis, </w:t>
      </w:r>
      <w:r w:rsidR="00993189" w:rsidRPr="00203BA5">
        <w:t>comme</w:t>
      </w:r>
      <w:r w:rsidR="00C10A1F" w:rsidRPr="00203BA5">
        <w:t xml:space="preserve"> l</w:t>
      </w:r>
      <w:r w:rsidR="00A61E6D" w:rsidRPr="00203BA5">
        <w:t>’</w:t>
      </w:r>
      <w:r w:rsidR="00C10A1F" w:rsidRPr="00203BA5">
        <w:t>identification, l</w:t>
      </w:r>
      <w:r w:rsidR="00993189" w:rsidRPr="00203BA5">
        <w:t xml:space="preserve">a </w:t>
      </w:r>
      <w:r w:rsidR="00C212FF" w:rsidRPr="00203BA5">
        <w:t>tenue</w:t>
      </w:r>
      <w:r w:rsidR="00993189" w:rsidRPr="00203BA5">
        <w:t xml:space="preserve"> d</w:t>
      </w:r>
      <w:r w:rsidR="00A61E6D" w:rsidRPr="00203BA5">
        <w:t>’</w:t>
      </w:r>
      <w:r w:rsidR="00C212FF" w:rsidRPr="00203BA5">
        <w:t xml:space="preserve">un </w:t>
      </w:r>
      <w:r w:rsidR="00C10A1F" w:rsidRPr="00203BA5">
        <w:t>inventaire, la présentation d</w:t>
      </w:r>
      <w:r w:rsidR="00C212FF" w:rsidRPr="00203BA5">
        <w:t>’un</w:t>
      </w:r>
      <w:r w:rsidR="00C10A1F" w:rsidRPr="00203BA5">
        <w:t>e candidature, la sauvegarde et la sensibilisation. Il convient d</w:t>
      </w:r>
      <w:r w:rsidR="00C212FF" w:rsidRPr="00203BA5">
        <w:t>e noter que les communautés, groupes et</w:t>
      </w:r>
      <w:r w:rsidR="00C10A1F" w:rsidRPr="00203BA5">
        <w:t xml:space="preserve"> individus peuvent à tout</w:t>
      </w:r>
      <w:r w:rsidR="00C212FF" w:rsidRPr="00203BA5">
        <w:t xml:space="preserve"> moment refuser de </w:t>
      </w:r>
      <w:r w:rsidR="00C10A1F" w:rsidRPr="00203BA5">
        <w:t>consent</w:t>
      </w:r>
      <w:r w:rsidR="00C212FF" w:rsidRPr="00203BA5">
        <w:t>ir</w:t>
      </w:r>
      <w:r w:rsidR="00C10A1F" w:rsidRPr="00203BA5">
        <w:t xml:space="preserve"> à la candidature ou l</w:t>
      </w:r>
      <w:r w:rsidR="00A61E6D" w:rsidRPr="00203BA5">
        <w:t>’</w:t>
      </w:r>
      <w:r w:rsidR="00C10A1F" w:rsidRPr="00203BA5">
        <w:t>inscription d</w:t>
      </w:r>
      <w:r w:rsidR="00A61E6D" w:rsidRPr="00203BA5">
        <w:t>’</w:t>
      </w:r>
      <w:r w:rsidR="00C10A1F" w:rsidRPr="00203BA5">
        <w:t>un élément sur les Listes de la Convention.</w:t>
      </w:r>
    </w:p>
    <w:p w:rsidR="004325DC" w:rsidRPr="0056007E" w:rsidRDefault="003B7F45" w:rsidP="0056007E">
      <w:pPr>
        <w:pStyle w:val="Titcoul"/>
        <w:spacing w:before="720" w:after="240" w:line="320" w:lineRule="exact"/>
        <w:ind w:left="851" w:hanging="851"/>
        <w:rPr>
          <w:sz w:val="24"/>
          <w:szCs w:val="24"/>
          <w:lang w:val="fr-FR"/>
        </w:rPr>
      </w:pPr>
      <w:bookmarkStart w:id="111" w:name="_Toc238963245"/>
      <w:bookmarkStart w:id="112" w:name="_Toc241065131"/>
      <w:bookmarkStart w:id="113" w:name="_Toc301443367"/>
      <w:bookmarkStart w:id="114" w:name="_Toc321407010"/>
      <w:bookmarkStart w:id="115" w:name="_Toc354486634"/>
      <w:bookmarkStart w:id="116" w:name="_Toc354486940"/>
      <w:bookmarkStart w:id="117" w:name="_Toc247360220"/>
      <w:r w:rsidRPr="0056007E">
        <w:rPr>
          <w:sz w:val="24"/>
          <w:szCs w:val="24"/>
          <w:lang w:val="fr-FR"/>
        </w:rPr>
        <w:t>7</w:t>
      </w:r>
      <w:r w:rsidR="00C10A1F" w:rsidRPr="0056007E">
        <w:rPr>
          <w:sz w:val="24"/>
          <w:szCs w:val="24"/>
          <w:lang w:val="fr-FR"/>
        </w:rPr>
        <w:t>.12</w:t>
      </w:r>
      <w:bookmarkStart w:id="118" w:name="_Toc238963246"/>
      <w:bookmarkStart w:id="119" w:name="_Toc241065132"/>
      <w:bookmarkEnd w:id="111"/>
      <w:bookmarkEnd w:id="112"/>
      <w:r w:rsidR="0056007E" w:rsidRPr="0056007E">
        <w:rPr>
          <w:sz w:val="24"/>
          <w:szCs w:val="24"/>
          <w:lang w:val="fr-FR"/>
        </w:rPr>
        <w:tab/>
      </w:r>
      <w:r w:rsidR="0056007E">
        <w:rPr>
          <w:sz w:val="24"/>
          <w:szCs w:val="24"/>
          <w:lang w:val="fr-FR"/>
        </w:rPr>
        <w:tab/>
      </w:r>
      <w:r w:rsidR="00C35191" w:rsidRPr="0056007E">
        <w:rPr>
          <w:sz w:val="24"/>
          <w:szCs w:val="24"/>
          <w:lang w:val="fr-FR"/>
        </w:rPr>
        <w:t xml:space="preserve">ProtÉger </w:t>
      </w:r>
      <w:r w:rsidR="00C10A1F" w:rsidRPr="0056007E">
        <w:rPr>
          <w:sz w:val="24"/>
          <w:szCs w:val="24"/>
          <w:lang w:val="fr-FR"/>
        </w:rPr>
        <w:t xml:space="preserve">les droits des </w:t>
      </w:r>
      <w:r w:rsidR="00C35191" w:rsidRPr="0056007E">
        <w:rPr>
          <w:sz w:val="24"/>
          <w:szCs w:val="24"/>
          <w:lang w:val="fr-FR"/>
        </w:rPr>
        <w:t xml:space="preserve">communautÉs </w:t>
      </w:r>
      <w:r w:rsidR="00C10A1F" w:rsidRPr="0056007E">
        <w:rPr>
          <w:sz w:val="24"/>
          <w:szCs w:val="24"/>
          <w:lang w:val="fr-FR"/>
        </w:rPr>
        <w:t xml:space="preserve">et </w:t>
      </w:r>
      <w:r w:rsidR="00D65E8C" w:rsidRPr="0056007E">
        <w:rPr>
          <w:sz w:val="24"/>
          <w:szCs w:val="24"/>
          <w:lang w:val="fr-FR"/>
        </w:rPr>
        <w:br/>
      </w:r>
      <w:r w:rsidR="00C10A1F" w:rsidRPr="0056007E">
        <w:rPr>
          <w:sz w:val="24"/>
          <w:szCs w:val="24"/>
          <w:lang w:val="fr-FR"/>
        </w:rPr>
        <w:t>s</w:t>
      </w:r>
      <w:r w:rsidR="00A61E6D" w:rsidRPr="0056007E">
        <w:rPr>
          <w:sz w:val="24"/>
          <w:szCs w:val="24"/>
          <w:lang w:val="fr-FR"/>
        </w:rPr>
        <w:t>’</w:t>
      </w:r>
      <w:r w:rsidR="00C10A1F" w:rsidRPr="0056007E">
        <w:rPr>
          <w:sz w:val="24"/>
          <w:szCs w:val="24"/>
          <w:lang w:val="fr-FR"/>
        </w:rPr>
        <w:t xml:space="preserve">assurer </w:t>
      </w:r>
      <w:bookmarkEnd w:id="113"/>
      <w:bookmarkEnd w:id="114"/>
      <w:bookmarkEnd w:id="115"/>
      <w:bookmarkEnd w:id="116"/>
      <w:bookmarkEnd w:id="117"/>
      <w:bookmarkEnd w:id="118"/>
      <w:bookmarkEnd w:id="119"/>
      <w:r w:rsidR="005B11DB" w:rsidRPr="0056007E">
        <w:rPr>
          <w:sz w:val="24"/>
          <w:szCs w:val="24"/>
          <w:lang w:val="fr-FR"/>
        </w:rPr>
        <w:t xml:space="preserve">qu’elles en </w:t>
      </w:r>
      <w:r w:rsidR="00C35191" w:rsidRPr="0056007E">
        <w:rPr>
          <w:sz w:val="24"/>
          <w:szCs w:val="24"/>
          <w:lang w:val="fr-FR"/>
        </w:rPr>
        <w:t>bÉnÉfic</w:t>
      </w:r>
      <w:r w:rsidR="005B11DB" w:rsidRPr="0056007E">
        <w:rPr>
          <w:sz w:val="24"/>
          <w:szCs w:val="24"/>
          <w:lang w:val="fr-FR"/>
        </w:rPr>
        <w:t>i</w:t>
      </w:r>
      <w:r w:rsidR="00C35191" w:rsidRPr="0056007E">
        <w:rPr>
          <w:sz w:val="24"/>
          <w:szCs w:val="24"/>
          <w:lang w:val="fr-FR"/>
        </w:rPr>
        <w:t>e</w:t>
      </w:r>
      <w:r w:rsidR="005B11DB" w:rsidRPr="0056007E">
        <w:rPr>
          <w:sz w:val="24"/>
          <w:szCs w:val="24"/>
          <w:lang w:val="fr-FR"/>
        </w:rPr>
        <w:t>nt</w:t>
      </w:r>
    </w:p>
    <w:p w:rsidR="004325DC" w:rsidRPr="00203BA5" w:rsidRDefault="00C10A1F" w:rsidP="003043E7">
      <w:pPr>
        <w:pStyle w:val="Informations"/>
        <w:keepNext/>
        <w:keepLines/>
      </w:pPr>
      <w:r w:rsidRPr="00203BA5">
        <w:t>Voir les droits de propriété intellectuelle dans</w:t>
      </w:r>
      <w:r w:rsidR="003B7F45" w:rsidRPr="00203BA5">
        <w:t xml:space="preserve"> le </w:t>
      </w:r>
      <w:r w:rsidR="00646D3D" w:rsidRPr="00203BA5">
        <w:t>Texte du participant</w:t>
      </w:r>
      <w:r w:rsidR="003B7F45" w:rsidRPr="00203BA5">
        <w:t xml:space="preserve"> </w:t>
      </w:r>
      <w:r w:rsidR="003B7F45" w:rsidRPr="00203BA5">
        <w:rPr>
          <w:noProof/>
          <w:lang w:eastAsia="fr-FR"/>
        </w:rPr>
        <w:drawing>
          <wp:anchor distT="0" distB="0" distL="114300" distR="114300" simplePos="0" relativeHeight="251870720" behindDoc="0" locked="1" layoutInCell="1" allowOverlap="0">
            <wp:simplePos x="0" y="0"/>
            <wp:positionH relativeFrom="margin">
              <wp:align>left</wp:align>
            </wp:positionH>
            <wp:positionV relativeFrom="paragraph">
              <wp:posOffset>57150</wp:posOffset>
            </wp:positionV>
            <wp:extent cx="283210" cy="358775"/>
            <wp:effectExtent l="0" t="0" r="2540" b="3175"/>
            <wp:wrapThrough wrapText="bothSides">
              <wp:wrapPolygon edited="0">
                <wp:start x="0" y="0"/>
                <wp:lineTo x="0" y="20644"/>
                <wp:lineTo x="20341" y="20644"/>
                <wp:lineTo x="20341" y="0"/>
                <wp:lineTo x="0" y="0"/>
              </wp:wrapPolygon>
            </wp:wrapThrough>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E609EC" w:rsidRPr="00203BA5">
        <w:t>de l’</w:t>
      </w:r>
      <w:r w:rsidR="003B7F45" w:rsidRPr="00203BA5">
        <w:t>Unité 3</w:t>
      </w:r>
      <w:r w:rsidR="00C654E8" w:rsidRPr="00203BA5">
        <w:t>.</w:t>
      </w:r>
    </w:p>
    <w:p w:rsidR="00377639" w:rsidRPr="00203BA5" w:rsidRDefault="00C10A1F" w:rsidP="00914287">
      <w:pPr>
        <w:pStyle w:val="Texte1"/>
      </w:pPr>
      <w:r w:rsidRPr="00203BA5">
        <w:t xml:space="preserve">La </w:t>
      </w:r>
      <w:r w:rsidR="00461004" w:rsidRPr="00203BA5">
        <w:t>DO </w:t>
      </w:r>
      <w:r w:rsidRPr="00203BA5">
        <w:t>81 encourage les États parties à sensibiliser les communautés à l</w:t>
      </w:r>
      <w:r w:rsidR="00A61E6D" w:rsidRPr="00203BA5">
        <w:t>’</w:t>
      </w:r>
      <w:r w:rsidRPr="00203BA5">
        <w:t xml:space="preserve">importance et </w:t>
      </w:r>
      <w:r w:rsidR="005B11DB" w:rsidRPr="00203BA5">
        <w:t xml:space="preserve">à </w:t>
      </w:r>
      <w:r w:rsidRPr="00203BA5">
        <w:lastRenderedPageBreak/>
        <w:t>la valeur de leur PCI, ainsi qu</w:t>
      </w:r>
      <w:r w:rsidR="005B11DB" w:rsidRPr="00203BA5">
        <w:t>e</w:t>
      </w:r>
      <w:r w:rsidRPr="00203BA5">
        <w:t xml:space="preserve"> de la Convention,</w:t>
      </w:r>
      <w:r w:rsidR="00043DFF" w:rsidRPr="00203BA5">
        <w:t xml:space="preserve"> « </w:t>
      </w:r>
      <w:r w:rsidRPr="00203BA5">
        <w:t>afin que les détenteurs de ce patrimoine puissent pleinement bénéficier</w:t>
      </w:r>
      <w:r w:rsidR="00043DFF" w:rsidRPr="00203BA5">
        <w:t xml:space="preserve"> » </w:t>
      </w:r>
      <w:r w:rsidRPr="00203BA5">
        <w:t xml:space="preserve">de la Convention. Les </w:t>
      </w:r>
      <w:r w:rsidR="00461004" w:rsidRPr="00203BA5">
        <w:t>DO </w:t>
      </w:r>
      <w:r w:rsidRPr="00203BA5">
        <w:t>encouragent aussi les États parties à faire en sorte</w:t>
      </w:r>
      <w:r w:rsidR="005B11DB" w:rsidRPr="00203BA5">
        <w:t> :</w:t>
      </w:r>
    </w:p>
    <w:p w:rsidR="004325DC" w:rsidRPr="00203BA5" w:rsidRDefault="00A9799B" w:rsidP="00150FFB">
      <w:pPr>
        <w:pStyle w:val="citation"/>
      </w:pPr>
      <w:r w:rsidRPr="00203BA5">
        <w:t>« </w:t>
      </w:r>
      <w:r w:rsidR="00C10A1F" w:rsidRPr="00203BA5">
        <w:t>notamment à travers l</w:t>
      </w:r>
      <w:r w:rsidR="00A61E6D" w:rsidRPr="00203BA5">
        <w:t>’</w:t>
      </w:r>
      <w:r w:rsidR="00C10A1F" w:rsidRPr="00203BA5">
        <w:t>application des droits de propriété intellectuelle, du droit au respect de la vie privée et de toute autre forme de protection juridique, que les droits des communautés, des groupes et des individus qui créent, détiennent et transmettent leur PCI soient dûment protégés lorsqu</w:t>
      </w:r>
      <w:r w:rsidR="00A61E6D" w:rsidRPr="00203BA5">
        <w:t>’</w:t>
      </w:r>
      <w:r w:rsidR="00C10A1F" w:rsidRPr="00203BA5">
        <w:t>ils sensibilisent à ce patrimoine ou entreprennent des activités commerciales (</w:t>
      </w:r>
      <w:r w:rsidR="00461004" w:rsidRPr="00203BA5">
        <w:t>DO </w:t>
      </w:r>
      <w:r w:rsidR="00C10A1F" w:rsidRPr="00203BA5">
        <w:t>104).</w:t>
      </w:r>
      <w:r w:rsidRPr="00203BA5">
        <w:t> »</w:t>
      </w:r>
    </w:p>
    <w:p w:rsidR="004325DC" w:rsidRPr="00203BA5" w:rsidRDefault="00C10A1F" w:rsidP="00914287">
      <w:pPr>
        <w:pStyle w:val="Texte1"/>
      </w:pPr>
      <w:r w:rsidRPr="00203BA5">
        <w:t xml:space="preserve">La nature des avantages que les communautés </w:t>
      </w:r>
      <w:r w:rsidR="005B11DB" w:rsidRPr="00203BA5">
        <w:t xml:space="preserve">tirent </w:t>
      </w:r>
      <w:r w:rsidRPr="00203BA5">
        <w:t>de la pratique et la transmission de leur PCI est très variable et ne fera pas ici l</w:t>
      </w:r>
      <w:r w:rsidR="00A61E6D" w:rsidRPr="00203BA5">
        <w:t>’</w:t>
      </w:r>
      <w:r w:rsidRPr="00203BA5">
        <w:t>objet d</w:t>
      </w:r>
      <w:r w:rsidR="00A61E6D" w:rsidRPr="00203BA5">
        <w:t>’</w:t>
      </w:r>
      <w:r w:rsidRPr="00203BA5">
        <w:t>une analyse.</w:t>
      </w:r>
    </w:p>
    <w:p w:rsidR="004325DC" w:rsidRPr="00203BA5" w:rsidRDefault="00B72F39" w:rsidP="00914287">
      <w:pPr>
        <w:pStyle w:val="Texte1"/>
      </w:pPr>
      <w:r w:rsidRPr="00203BA5">
        <w:rPr>
          <w:noProof/>
          <w:lang w:eastAsia="fr-FR"/>
        </w:rPr>
        <w:drawing>
          <wp:anchor distT="0" distB="0" distL="114300" distR="114300" simplePos="0" relativeHeight="251985408"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99" name="Imag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10A1F" w:rsidRPr="00203BA5">
        <w:t>L</w:t>
      </w:r>
      <w:r w:rsidRPr="00203BA5">
        <w:t xml:space="preserve">e </w:t>
      </w:r>
      <w:r w:rsidR="00646D3D" w:rsidRPr="00203BA5">
        <w:t>Texte du participant</w:t>
      </w:r>
      <w:r w:rsidRPr="00203BA5">
        <w:t xml:space="preserve"> </w:t>
      </w:r>
      <w:r w:rsidR="00E609EC" w:rsidRPr="00203BA5">
        <w:t>de l’</w:t>
      </w:r>
      <w:r w:rsidRPr="00203BA5">
        <w:t>Unité 8</w:t>
      </w:r>
      <w:r w:rsidR="00C10A1F" w:rsidRPr="00203BA5">
        <w:t xml:space="preserve"> </w:t>
      </w:r>
      <w:r w:rsidR="009A101D" w:rsidRPr="00203BA5">
        <w:t>abord</w:t>
      </w:r>
      <w:r w:rsidR="00C10A1F" w:rsidRPr="00203BA5">
        <w:t>e la question de l</w:t>
      </w:r>
      <w:r w:rsidR="00A61E6D" w:rsidRPr="00203BA5">
        <w:t>’</w:t>
      </w:r>
      <w:r w:rsidR="00C10A1F" w:rsidRPr="00203BA5">
        <w:t>augmentation de revenu obtenue grâce à la sensibilisation au PCI d</w:t>
      </w:r>
      <w:r w:rsidR="00A61E6D" w:rsidRPr="00203BA5">
        <w:t>’</w:t>
      </w:r>
      <w:r w:rsidR="00C10A1F" w:rsidRPr="00203BA5">
        <w:t>une région ou d</w:t>
      </w:r>
      <w:r w:rsidR="00A61E6D" w:rsidRPr="00203BA5">
        <w:t>’</w:t>
      </w:r>
      <w:r w:rsidR="00C10A1F" w:rsidRPr="00203BA5">
        <w:t>une ville (</w:t>
      </w:r>
      <w:r w:rsidR="009A101D" w:rsidRPr="00203BA5">
        <w:t>notamment</w:t>
      </w:r>
      <w:r w:rsidR="00C10A1F" w:rsidRPr="00203BA5">
        <w:t xml:space="preserve"> </w:t>
      </w:r>
      <w:r w:rsidR="009A101D" w:rsidRPr="00203BA5">
        <w:t>grâce à</w:t>
      </w:r>
      <w:r w:rsidR="00C10A1F" w:rsidRPr="00203BA5">
        <w:t xml:space="preserve"> l</w:t>
      </w:r>
      <w:r w:rsidR="00A61E6D" w:rsidRPr="00203BA5">
        <w:t>’</w:t>
      </w:r>
      <w:r w:rsidR="00C10A1F" w:rsidRPr="00203BA5">
        <w:t>essor du tourisme) ou à la commercialisation de produits artisanaux et de savoirs détenus par la communauté.</w:t>
      </w:r>
    </w:p>
    <w:p w:rsidR="004325DC" w:rsidRPr="00203BA5" w:rsidRDefault="00C10A1F" w:rsidP="00914287">
      <w:pPr>
        <w:pStyle w:val="Texte1"/>
      </w:pPr>
      <w:r w:rsidRPr="00203BA5">
        <w:t xml:space="preserve">Certains pays ont déjà mis au point une législation nationale </w:t>
      </w:r>
      <w:r w:rsidR="00ED1815" w:rsidRPr="00203BA5">
        <w:t>visant à</w:t>
      </w:r>
      <w:r w:rsidRPr="00203BA5">
        <w:t xml:space="preserve"> protéger les droits de propriété intellectuelle (PI) des communautés sur leur PCI (désigné parfois sous le terme d</w:t>
      </w:r>
      <w:r w:rsidR="00A61E6D" w:rsidRPr="00203BA5">
        <w:t>’</w:t>
      </w:r>
      <w:r w:rsidRPr="00203BA5">
        <w:t>expressions traditionnelles ou folklore).</w:t>
      </w:r>
    </w:p>
    <w:p w:rsidR="004325DC" w:rsidRPr="00203BA5" w:rsidRDefault="00ED1815" w:rsidP="003043E7">
      <w:pPr>
        <w:pStyle w:val="Informations"/>
      </w:pPr>
      <w:r w:rsidRPr="00203BA5">
        <w:t>Pour</w:t>
      </w:r>
      <w:r w:rsidR="00C10A1F" w:rsidRPr="00203BA5">
        <w:t xml:space="preserve"> plus d</w:t>
      </w:r>
      <w:r w:rsidR="00A61E6D" w:rsidRPr="00203BA5">
        <w:t>’</w:t>
      </w:r>
      <w:r w:rsidR="00C10A1F" w:rsidRPr="00203BA5">
        <w:t>informations sur la protection des droits de propriété intellectuelle associés au PCI aux niveaux national, régional et international</w:t>
      </w:r>
      <w:r w:rsidR="00843443" w:rsidRPr="00203BA5">
        <w:t>, consulter</w:t>
      </w:r>
      <w:r w:rsidR="003B7F45" w:rsidRPr="00203BA5">
        <w:t xml:space="preserve"> le Texte d</w:t>
      </w:r>
      <w:r w:rsidR="00843443" w:rsidRPr="00203BA5">
        <w:t>u p</w:t>
      </w:r>
      <w:r w:rsidR="003B7F45" w:rsidRPr="00203BA5">
        <w:rPr>
          <w:noProof/>
          <w:lang w:eastAsia="fr-FR"/>
        </w:rPr>
        <w:drawing>
          <wp:anchor distT="0" distB="0" distL="114300" distR="114300" simplePos="0" relativeHeight="251872768"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52" name="Imag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843443" w:rsidRPr="00203BA5">
        <w:t>articipant</w:t>
      </w:r>
      <w:r w:rsidR="00E609EC" w:rsidRPr="00203BA5">
        <w:t xml:space="preserve"> de l’</w:t>
      </w:r>
      <w:r w:rsidR="003B7F45" w:rsidRPr="00203BA5">
        <w:t>Unité 10.</w:t>
      </w:r>
      <w:bookmarkStart w:id="120" w:name="3"/>
      <w:bookmarkEnd w:id="120"/>
    </w:p>
    <w:sectPr w:rsidR="004325DC" w:rsidRPr="00203BA5" w:rsidSect="00A41931">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09BCF" w15:done="0"/>
  <w15:commentEx w15:paraId="311725F1" w15:done="0"/>
  <w15:commentEx w15:paraId="59BC89B0" w15:done="0"/>
  <w15:commentEx w15:paraId="6A351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15" w:rsidRDefault="00ED1815" w:rsidP="000F4C6A">
      <w:r>
        <w:separator/>
      </w:r>
    </w:p>
    <w:p w:rsidR="00ED1815" w:rsidRDefault="00ED1815"/>
    <w:p w:rsidR="00ED1815" w:rsidRDefault="00ED1815"/>
  </w:endnote>
  <w:endnote w:type="continuationSeparator" w:id="0">
    <w:p w:rsidR="00ED1815" w:rsidRDefault="00ED1815" w:rsidP="000F4C6A">
      <w:r>
        <w:continuationSeparator/>
      </w:r>
    </w:p>
    <w:p w:rsidR="00ED1815" w:rsidRDefault="00ED1815"/>
    <w:p w:rsidR="00ED1815" w:rsidRDefault="00ED1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15" w:rsidRDefault="00510E53" w:rsidP="00A31863">
    <w:pPr>
      <w:pStyle w:val="Footer"/>
    </w:pPr>
    <w:r>
      <w:rPr>
        <w:noProof/>
        <w:snapToGrid/>
        <w:lang w:eastAsia="fr-FR"/>
      </w:rPr>
      <w:drawing>
        <wp:anchor distT="0" distB="0" distL="114300" distR="114300" simplePos="0" relativeHeight="252003328" behindDoc="0" locked="0" layoutInCell="1" allowOverlap="1" wp14:anchorId="4FAF809B" wp14:editId="1AE58D7B">
          <wp:simplePos x="0" y="0"/>
          <wp:positionH relativeFrom="margin">
            <wp:align>left</wp:align>
          </wp:positionH>
          <wp:positionV relativeFrom="paragraph">
            <wp:posOffset>-288925</wp:posOffset>
          </wp:positionV>
          <wp:extent cx="839478" cy="63024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8" cy="630244"/>
                  </a:xfrm>
                  <a:prstGeom prst="rect">
                    <a:avLst/>
                  </a:prstGeom>
                </pic:spPr>
              </pic:pic>
            </a:graphicData>
          </a:graphic>
          <wp14:sizeRelH relativeFrom="page">
            <wp14:pctWidth>0</wp14:pctWidth>
          </wp14:sizeRelH>
          <wp14:sizeRelV relativeFrom="page">
            <wp14:pctHeight>0</wp14:pctHeight>
          </wp14:sizeRelV>
        </wp:anchor>
      </w:drawing>
    </w:r>
    <w:r w:rsidR="00ED1815">
      <w:tab/>
      <w:t>© UNESCO • Ne pas reprod</w:t>
    </w:r>
    <w:r w:rsidR="005B538B">
      <w:t>uire sans autorisation</w:t>
    </w:r>
    <w:r w:rsidR="005B538B">
      <w:tab/>
      <w:t>U007-v1.1</w:t>
    </w:r>
    <w:r w:rsidR="00ED1815">
      <w:t>-PT-FR</w:t>
    </w:r>
    <w:r w:rsidR="00ED1815" w:rsidRPr="00BA76B0" w:rsidDel="00D80F7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15" w:rsidRPr="00A21469" w:rsidRDefault="00510E53" w:rsidP="00A21469">
    <w:pPr>
      <w:pStyle w:val="Footer"/>
      <w:tabs>
        <w:tab w:val="left" w:pos="2600"/>
      </w:tabs>
      <w:rPr>
        <w:sz w:val="20"/>
      </w:rPr>
    </w:pPr>
    <w:r>
      <w:rPr>
        <w:noProof/>
        <w:snapToGrid/>
        <w:lang w:eastAsia="fr-FR"/>
      </w:rPr>
      <w:drawing>
        <wp:anchor distT="0" distB="0" distL="114300" distR="114300" simplePos="0" relativeHeight="252005376" behindDoc="0" locked="0" layoutInCell="1" allowOverlap="1" wp14:anchorId="3F150C67" wp14:editId="2589AEC6">
          <wp:simplePos x="0" y="0"/>
          <wp:positionH relativeFrom="margin">
            <wp:align>right</wp:align>
          </wp:positionH>
          <wp:positionV relativeFrom="paragraph">
            <wp:posOffset>-288925</wp:posOffset>
          </wp:positionV>
          <wp:extent cx="839470" cy="629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5B538B">
      <w:t>U007-v1.1</w:t>
    </w:r>
    <w:r w:rsidR="00ED1815">
      <w:t>-PT-FR</w:t>
    </w:r>
    <w:r w:rsidR="00ED1815">
      <w:tab/>
      <w:t>© UNESCO • Ne pas reproduire sans autorisation</w:t>
    </w:r>
    <w:r w:rsidR="00ED181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15" w:rsidRPr="00150FFB" w:rsidRDefault="00510E53" w:rsidP="009633A3">
    <w:pPr>
      <w:pStyle w:val="Footer"/>
      <w:tabs>
        <w:tab w:val="left" w:pos="2600"/>
      </w:tabs>
      <w:rPr>
        <w:sz w:val="20"/>
      </w:rPr>
    </w:pPr>
    <w:r>
      <w:rPr>
        <w:noProof/>
        <w:snapToGrid/>
        <w:lang w:eastAsia="fr-FR"/>
      </w:rPr>
      <w:drawing>
        <wp:anchor distT="0" distB="0" distL="114300" distR="114300" simplePos="0" relativeHeight="251997184" behindDoc="0" locked="0" layoutInCell="1" allowOverlap="1" wp14:anchorId="38A62309" wp14:editId="589AF07A">
          <wp:simplePos x="0" y="0"/>
          <wp:positionH relativeFrom="margin">
            <wp:posOffset>4929505</wp:posOffset>
          </wp:positionH>
          <wp:positionV relativeFrom="paragraph">
            <wp:posOffset>-288925</wp:posOffset>
          </wp:positionV>
          <wp:extent cx="839470" cy="629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29920"/>
                  </a:xfrm>
                  <a:prstGeom prst="rect">
                    <a:avLst/>
                  </a:prstGeom>
                </pic:spPr>
              </pic:pic>
            </a:graphicData>
          </a:graphic>
          <wp14:sizeRelH relativeFrom="page">
            <wp14:pctWidth>0</wp14:pctWidth>
          </wp14:sizeRelH>
          <wp14:sizeRelV relativeFrom="page">
            <wp14:pctHeight>0</wp14:pctHeight>
          </wp14:sizeRelV>
        </wp:anchor>
      </w:drawing>
    </w:r>
    <w:r w:rsidR="005B538B">
      <w:t>U007-v1.1</w:t>
    </w:r>
    <w:r w:rsidR="00ED1815">
      <w:t>-PT-FR</w:t>
    </w:r>
    <w:r w:rsidR="00ED1815">
      <w:tab/>
      <w:t>© UNESCO • Ne pas reproduire sans autorisation</w:t>
    </w:r>
    <w:r w:rsidR="00ED181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15" w:rsidRDefault="00ED1815" w:rsidP="00150FFB">
      <w:pPr>
        <w:spacing w:after="60"/>
        <w:ind w:left="0"/>
      </w:pPr>
      <w:r>
        <w:separator/>
      </w:r>
    </w:p>
  </w:footnote>
  <w:footnote w:type="continuationSeparator" w:id="0">
    <w:p w:rsidR="00ED1815" w:rsidRDefault="00ED1815" w:rsidP="000F4C6A">
      <w:r>
        <w:continuationSeparator/>
      </w:r>
    </w:p>
    <w:p w:rsidR="00ED1815" w:rsidRDefault="00ED1815"/>
    <w:p w:rsidR="00ED1815" w:rsidRDefault="00ED1815"/>
  </w:footnote>
  <w:footnote w:id="1">
    <w:p w:rsidR="00ED1815" w:rsidRDefault="00ED1815">
      <w:pPr>
        <w:pStyle w:val="FootnoteText"/>
      </w:pPr>
      <w:r w:rsidRPr="000C41FA">
        <w:rPr>
          <w:rStyle w:val="FootnoteReference"/>
          <w:sz w:val="16"/>
          <w:szCs w:val="16"/>
          <w:vertAlign w:val="baseline"/>
        </w:rPr>
        <w:footnoteRef/>
      </w:r>
      <w:r>
        <w:rPr>
          <w:szCs w:val="16"/>
        </w:rPr>
        <w:t>.</w:t>
      </w:r>
      <w:r>
        <w:rPr>
          <w:szCs w:val="16"/>
        </w:rPr>
        <w:tab/>
      </w:r>
      <w:r>
        <w:rPr>
          <w:rStyle w:val="hps"/>
        </w:rPr>
        <w:t>Fréquemment appelée « Convention du patrimoine</w:t>
      </w:r>
      <w:r>
        <w:t xml:space="preserve"> </w:t>
      </w:r>
      <w:r>
        <w:rPr>
          <w:rStyle w:val="hps"/>
        </w:rPr>
        <w:t>immatériel », « Convention de 2003 » et</w:t>
      </w:r>
      <w:r>
        <w:t>, aux fins d</w:t>
      </w:r>
      <w:r>
        <w:rPr>
          <w:rStyle w:val="hps"/>
        </w:rPr>
        <w:t>e la présente unité</w:t>
      </w:r>
      <w:r>
        <w:t>, dite</w:t>
      </w:r>
      <w:r>
        <w:rPr>
          <w:rStyle w:val="hps"/>
        </w:rPr>
        <w:t xml:space="preserve"> simplement</w:t>
      </w:r>
      <w:r>
        <w:t xml:space="preserve"> « </w:t>
      </w:r>
      <w:r>
        <w:rPr>
          <w:rStyle w:val="hps"/>
        </w:rPr>
        <w:t>la Convention »</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15" w:rsidRPr="00603A8C" w:rsidRDefault="00A347C2" w:rsidP="00150FFB">
    <w:pPr>
      <w:pStyle w:val="Header"/>
      <w:rPr>
        <w:lang w:val="fr-FR"/>
      </w:rPr>
    </w:pPr>
    <w:r>
      <w:rPr>
        <w:rStyle w:val="PageNumber"/>
      </w:rPr>
      <w:fldChar w:fldCharType="begin"/>
    </w:r>
    <w:r w:rsidR="00ED1815" w:rsidRPr="00603A8C">
      <w:rPr>
        <w:rStyle w:val="PageNumber"/>
        <w:lang w:val="fr-FR"/>
      </w:rPr>
      <w:instrText xml:space="preserve"> PAGE </w:instrText>
    </w:r>
    <w:r>
      <w:rPr>
        <w:rStyle w:val="PageNumber"/>
      </w:rPr>
      <w:fldChar w:fldCharType="separate"/>
    </w:r>
    <w:r w:rsidR="00353580">
      <w:rPr>
        <w:rStyle w:val="PageNumber"/>
        <w:noProof/>
        <w:lang w:val="fr-FR"/>
      </w:rPr>
      <w:t>12</w:t>
    </w:r>
    <w:r>
      <w:rPr>
        <w:rStyle w:val="PageNumber"/>
      </w:rPr>
      <w:fldChar w:fldCharType="end"/>
    </w:r>
    <w:r w:rsidR="00ED1815" w:rsidRPr="00603A8C">
      <w:rPr>
        <w:lang w:val="fr-FR"/>
      </w:rPr>
      <w:tab/>
      <w:t xml:space="preserve">Unité </w:t>
    </w:r>
    <w:r w:rsidR="00ED1815">
      <w:rPr>
        <w:lang w:val="fr-FR"/>
      </w:rPr>
      <w:t>7 : Impliquer les communautés concernées</w:t>
    </w:r>
    <w:r w:rsidR="00ED1815">
      <w:rPr>
        <w:lang w:val="fr-FR"/>
      </w:rPr>
      <w:tab/>
    </w:r>
    <w:r w:rsidR="00ED1815" w:rsidRPr="00603A8C">
      <w:rPr>
        <w:lang w:val="fr-FR"/>
      </w:rPr>
      <w:t>Texte du participant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15" w:rsidRPr="00603A8C" w:rsidRDefault="00ED1815" w:rsidP="00150FFB">
    <w:pPr>
      <w:pStyle w:val="Header"/>
      <w:rPr>
        <w:lang w:val="fr-FR"/>
      </w:rPr>
    </w:pPr>
    <w:r w:rsidRPr="00603A8C">
      <w:rPr>
        <w:lang w:val="fr-FR"/>
      </w:rPr>
      <w:t>Texte du participant</w:t>
    </w:r>
    <w:r w:rsidRPr="00603A8C">
      <w:rPr>
        <w:lang w:val="fr-FR"/>
      </w:rPr>
      <w:tab/>
      <w:t xml:space="preserve">Unité </w:t>
    </w:r>
    <w:r>
      <w:rPr>
        <w:lang w:val="fr-FR"/>
      </w:rPr>
      <w:t>7 : Impliquer les communautés concernées</w:t>
    </w:r>
    <w:r w:rsidRPr="00603A8C">
      <w:rPr>
        <w:lang w:val="fr-FR"/>
      </w:rPr>
      <w:tab/>
    </w:r>
    <w:r w:rsidR="00A347C2">
      <w:rPr>
        <w:rStyle w:val="PageNumber"/>
      </w:rPr>
      <w:fldChar w:fldCharType="begin"/>
    </w:r>
    <w:r w:rsidRPr="00603A8C">
      <w:rPr>
        <w:rStyle w:val="PageNumber"/>
        <w:lang w:val="fr-FR"/>
      </w:rPr>
      <w:instrText xml:space="preserve"> PAGE </w:instrText>
    </w:r>
    <w:r w:rsidR="00A347C2">
      <w:rPr>
        <w:rStyle w:val="PageNumber"/>
      </w:rPr>
      <w:fldChar w:fldCharType="separate"/>
    </w:r>
    <w:r w:rsidR="00353580">
      <w:rPr>
        <w:rStyle w:val="PageNumber"/>
        <w:noProof/>
        <w:lang w:val="fr-FR"/>
      </w:rPr>
      <w:t>11</w:t>
    </w:r>
    <w:r w:rsidR="00A347C2">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815" w:rsidRPr="00603A8C" w:rsidRDefault="00ED1815" w:rsidP="00A41931">
    <w:pPr>
      <w:pStyle w:val="Header"/>
      <w:ind w:right="360"/>
      <w:rPr>
        <w:lang w:val="fr-FR"/>
      </w:rPr>
    </w:pPr>
    <w:r>
      <w:rPr>
        <w:rStyle w:val="PageNumber"/>
      </w:rPr>
      <w:tab/>
      <w:t>Texte du participant</w: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5868"/>
    <w:multiLevelType w:val="hybridMultilevel"/>
    <w:tmpl w:val="F9000E08"/>
    <w:lvl w:ilvl="0" w:tplc="86DE94BC">
      <w:numFmt w:val="bullet"/>
      <w:lvlText w:val=""/>
      <w:lvlJc w:val="left"/>
      <w:pPr>
        <w:tabs>
          <w:tab w:val="num" w:pos="1134"/>
        </w:tabs>
        <w:ind w:left="1134" w:hanging="283"/>
      </w:pPr>
      <w:rPr>
        <w:rFonts w:ascii="Symbol" w:hAnsi="Symbo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nsid w:val="140947F6"/>
    <w:multiLevelType w:val="hybridMultilevel"/>
    <w:tmpl w:val="31FE440C"/>
    <w:lvl w:ilvl="0" w:tplc="083C3858">
      <w:start w:val="1"/>
      <w:numFmt w:val="decimal"/>
      <w:pStyle w:val="Enumrotation"/>
      <w:lvlText w:val="%1."/>
      <w:lvlJc w:val="left"/>
      <w:pPr>
        <w:tabs>
          <w:tab w:val="num" w:pos="1191"/>
        </w:tabs>
        <w:ind w:left="1191" w:hanging="340"/>
      </w:pPr>
      <w:rPr>
        <w:rFonts w:ascii="Arial" w:eastAsia="SimSun" w:hAnsi="Arial" w:cs="Arial"/>
      </w:rPr>
    </w:lvl>
    <w:lvl w:ilvl="1" w:tplc="040C0019">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2">
    <w:nsid w:val="1A211498"/>
    <w:multiLevelType w:val="hybridMultilevel"/>
    <w:tmpl w:val="4BF2EDA2"/>
    <w:lvl w:ilvl="0" w:tplc="040C0001">
      <w:start w:val="1"/>
      <w:numFmt w:val="bullet"/>
      <w:lvlText w:val=""/>
      <w:lvlJc w:val="left"/>
      <w:pPr>
        <w:ind w:left="1571" w:hanging="360"/>
      </w:pPr>
      <w:rPr>
        <w:rFonts w:ascii="Symbol" w:hAnsi="Symbol" w:hint="default"/>
      </w:rPr>
    </w:lvl>
    <w:lvl w:ilvl="1" w:tplc="436E5EE2">
      <w:numFmt w:val="bullet"/>
      <w:lvlText w:val="-"/>
      <w:lvlJc w:val="left"/>
      <w:pPr>
        <w:ind w:left="3142" w:hanging="1211"/>
      </w:pPr>
      <w:rPr>
        <w:rFonts w:ascii="Arial" w:eastAsia="SimSun" w:hAnsi="Arial" w:cs="Aria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1C233066"/>
    <w:multiLevelType w:val="multilevel"/>
    <w:tmpl w:val="A0E60D08"/>
    <w:lvl w:ilvl="0">
      <w:start w:val="1"/>
      <w:numFmt w:val="bullet"/>
      <w:lvlText w:val=""/>
      <w:lvlJc w:val="left"/>
      <w:pPr>
        <w:tabs>
          <w:tab w:val="num" w:pos="567"/>
        </w:tabs>
        <w:ind w:left="567" w:hanging="567"/>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pStyle w:val="Txtpucemaitre"/>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6">
    <w:nsid w:val="3B8943AE"/>
    <w:multiLevelType w:val="hybridMultilevel"/>
    <w:tmpl w:val="A0E60D08"/>
    <w:lvl w:ilvl="0" w:tplc="DE1C8388">
      <w:start w:val="1"/>
      <w:numFmt w:val="bullet"/>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762690"/>
    <w:multiLevelType w:val="hybridMultilevel"/>
    <w:tmpl w:val="F9000E08"/>
    <w:lvl w:ilvl="0" w:tplc="86DE94BC">
      <w:numFmt w:val="bullet"/>
      <w:lvlText w:val=""/>
      <w:lvlJc w:val="left"/>
      <w:pPr>
        <w:tabs>
          <w:tab w:val="num" w:pos="1134"/>
        </w:tabs>
        <w:ind w:left="1134" w:hanging="283"/>
      </w:pPr>
      <w:rPr>
        <w:rFonts w:ascii="Symbol" w:hAnsi="Symbo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nsid w:val="521D672D"/>
    <w:multiLevelType w:val="multilevel"/>
    <w:tmpl w:val="E284A1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8AD26BF"/>
    <w:multiLevelType w:val="hybridMultilevel"/>
    <w:tmpl w:val="653E8370"/>
    <w:lvl w:ilvl="0" w:tplc="D24E78FE">
      <w:start w:val="1"/>
      <w:numFmt w:val="decimal"/>
      <w:pStyle w:val="Enu1"/>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0">
    <w:nsid w:val="5B587C39"/>
    <w:multiLevelType w:val="hybridMultilevel"/>
    <w:tmpl w:val="ACAA8AD0"/>
    <w:lvl w:ilvl="0" w:tplc="D4A2D562">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C9C7E9B"/>
    <w:multiLevelType w:val="hybridMultilevel"/>
    <w:tmpl w:val="AD5E7E1C"/>
    <w:lvl w:ilvl="0" w:tplc="95A6A61A">
      <w:start w:val="1"/>
      <w:numFmt w:val="bull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EBD194B"/>
    <w:multiLevelType w:val="hybridMultilevel"/>
    <w:tmpl w:val="6D827B38"/>
    <w:lvl w:ilvl="0" w:tplc="7362DDDA">
      <w:start w:val="1"/>
      <w:numFmt w:val="bullet"/>
      <w:pStyle w:val="Txtpucegras"/>
      <w:lvlText w:val=""/>
      <w:lvlJc w:val="left"/>
      <w:pPr>
        <w:tabs>
          <w:tab w:val="num" w:pos="1134"/>
        </w:tabs>
        <w:ind w:left="1134" w:hanging="283"/>
      </w:pPr>
      <w:rPr>
        <w:rFonts w:ascii="Symbol" w:hAnsi="Symbol" w:hint="default"/>
      </w:rPr>
    </w:lvl>
    <w:lvl w:ilvl="1" w:tplc="8C30A8FC">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4">
    <w:nsid w:val="75674636"/>
    <w:multiLevelType w:val="multilevel"/>
    <w:tmpl w:val="811215F8"/>
    <w:lvl w:ilvl="0">
      <w:start w:val="1"/>
      <w:numFmt w:val="bullet"/>
      <w:lvlText w:val=""/>
      <w:lvlJc w:val="left"/>
      <w:pPr>
        <w:tabs>
          <w:tab w:val="num" w:pos="1003"/>
        </w:tabs>
        <w:ind w:left="1003"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BD74204"/>
    <w:multiLevelType w:val="hybridMultilevel"/>
    <w:tmpl w:val="8FB6C784"/>
    <w:lvl w:ilvl="0" w:tplc="590A27DA">
      <w:start w:val="1"/>
      <w:numFmt w:val="bullet"/>
      <w:pStyle w:val="Puceannexe"/>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16">
    <w:nsid w:val="7ED741CB"/>
    <w:multiLevelType w:val="hybridMultilevel"/>
    <w:tmpl w:val="6C2646DC"/>
    <w:lvl w:ilvl="0" w:tplc="C360C63E">
      <w:start w:val="2"/>
      <w:numFmt w:val="none"/>
      <w:pStyle w:val="citationa"/>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2"/>
  </w:num>
  <w:num w:numId="2">
    <w:abstractNumId w:val="5"/>
  </w:num>
  <w:num w:numId="3">
    <w:abstractNumId w:val="4"/>
  </w:num>
  <w:num w:numId="4">
    <w:abstractNumId w:val="15"/>
  </w:num>
  <w:num w:numId="5">
    <w:abstractNumId w:val="17"/>
  </w:num>
  <w:num w:numId="6">
    <w:abstractNumId w:val="16"/>
  </w:num>
  <w:num w:numId="7">
    <w:abstractNumId w:val="9"/>
  </w:num>
  <w:num w:numId="8">
    <w:abstractNumId w:val="1"/>
  </w:num>
  <w:num w:numId="9">
    <w:abstractNumId w:val="1"/>
    <w:lvlOverride w:ilvl="0">
      <w:startOverride w:val="1"/>
    </w:lvlOverride>
  </w:num>
  <w:num w:numId="10">
    <w:abstractNumId w:val="13"/>
  </w:num>
  <w:num w:numId="11">
    <w:abstractNumId w:val="1"/>
    <w:lvlOverride w:ilvl="0">
      <w:startOverride w:val="1"/>
    </w:lvlOverride>
  </w:num>
  <w:num w:numId="12">
    <w:abstractNumId w:val="2"/>
  </w:num>
  <w:num w:numId="13">
    <w:abstractNumId w:val="1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4"/>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6"/>
  </w:num>
  <w:num w:numId="28">
    <w:abstractNumId w:val="10"/>
  </w:num>
  <w:num w:numId="29">
    <w:abstractNumId w:val="10"/>
  </w:num>
  <w:num w:numId="30">
    <w:abstractNumId w:val="10"/>
  </w:num>
  <w:num w:numId="31">
    <w:abstractNumId w:val="3"/>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3"/>
  </w:num>
  <w:num w:numId="40">
    <w:abstractNumId w:val="13"/>
  </w:num>
  <w:num w:numId="41">
    <w:abstractNumId w:val="12"/>
  </w:num>
  <w:num w:numId="42">
    <w:abstractNumId w:val="12"/>
  </w:num>
  <w:num w:numId="43">
    <w:abstractNumId w:val="11"/>
  </w:num>
  <w:num w:numId="44">
    <w:abstractNumId w:val="12"/>
  </w:num>
  <w:num w:numId="45">
    <w:abstractNumId w:val="12"/>
  </w:num>
  <w:num w:numId="46">
    <w:abstractNumId w:val="10"/>
  </w:num>
  <w:num w:numId="47">
    <w:abstractNumId w:val="10"/>
  </w:num>
  <w:num w:numId="48">
    <w:abstractNumId w:val="13"/>
  </w:num>
  <w:num w:numId="49">
    <w:abstractNumId w:val="0"/>
  </w:num>
  <w:num w:numId="50">
    <w:abstractNumId w:val="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3E"/>
    <w:rsid w:val="000006EA"/>
    <w:rsid w:val="00000D1F"/>
    <w:rsid w:val="00000DB8"/>
    <w:rsid w:val="00013B6F"/>
    <w:rsid w:val="00014873"/>
    <w:rsid w:val="0001493B"/>
    <w:rsid w:val="000151E5"/>
    <w:rsid w:val="000154AA"/>
    <w:rsid w:val="0001741F"/>
    <w:rsid w:val="00017D71"/>
    <w:rsid w:val="000213A8"/>
    <w:rsid w:val="00022302"/>
    <w:rsid w:val="0002511C"/>
    <w:rsid w:val="00026DC2"/>
    <w:rsid w:val="00027DD9"/>
    <w:rsid w:val="000349C0"/>
    <w:rsid w:val="00040131"/>
    <w:rsid w:val="00041EBF"/>
    <w:rsid w:val="000424D8"/>
    <w:rsid w:val="00043DFF"/>
    <w:rsid w:val="00044417"/>
    <w:rsid w:val="00047780"/>
    <w:rsid w:val="00053368"/>
    <w:rsid w:val="000535A2"/>
    <w:rsid w:val="00054243"/>
    <w:rsid w:val="000542FD"/>
    <w:rsid w:val="00054EE0"/>
    <w:rsid w:val="00056CA8"/>
    <w:rsid w:val="00062885"/>
    <w:rsid w:val="000651E6"/>
    <w:rsid w:val="00066E72"/>
    <w:rsid w:val="000708EB"/>
    <w:rsid w:val="0007094A"/>
    <w:rsid w:val="000735AD"/>
    <w:rsid w:val="00073751"/>
    <w:rsid w:val="00074FFC"/>
    <w:rsid w:val="00075D7D"/>
    <w:rsid w:val="00076221"/>
    <w:rsid w:val="000800C0"/>
    <w:rsid w:val="00080DAF"/>
    <w:rsid w:val="000819F8"/>
    <w:rsid w:val="000826E1"/>
    <w:rsid w:val="00083461"/>
    <w:rsid w:val="0008417E"/>
    <w:rsid w:val="00085406"/>
    <w:rsid w:val="0008620C"/>
    <w:rsid w:val="00086C3C"/>
    <w:rsid w:val="00094E6C"/>
    <w:rsid w:val="000A137F"/>
    <w:rsid w:val="000A13AA"/>
    <w:rsid w:val="000A7857"/>
    <w:rsid w:val="000B0472"/>
    <w:rsid w:val="000B1EB7"/>
    <w:rsid w:val="000B2122"/>
    <w:rsid w:val="000B3E37"/>
    <w:rsid w:val="000B710C"/>
    <w:rsid w:val="000C0A87"/>
    <w:rsid w:val="000C0E6A"/>
    <w:rsid w:val="000C1A07"/>
    <w:rsid w:val="000C305B"/>
    <w:rsid w:val="000C41FA"/>
    <w:rsid w:val="000C7105"/>
    <w:rsid w:val="000D0602"/>
    <w:rsid w:val="000D176D"/>
    <w:rsid w:val="000D5991"/>
    <w:rsid w:val="000D6D71"/>
    <w:rsid w:val="000D7317"/>
    <w:rsid w:val="000D7964"/>
    <w:rsid w:val="000E0530"/>
    <w:rsid w:val="000E4179"/>
    <w:rsid w:val="000E7C4E"/>
    <w:rsid w:val="000F4C6A"/>
    <w:rsid w:val="00103657"/>
    <w:rsid w:val="001060CE"/>
    <w:rsid w:val="00107DB1"/>
    <w:rsid w:val="00112FED"/>
    <w:rsid w:val="001143C8"/>
    <w:rsid w:val="00117B78"/>
    <w:rsid w:val="00123A53"/>
    <w:rsid w:val="00123B89"/>
    <w:rsid w:val="0012560A"/>
    <w:rsid w:val="001319E2"/>
    <w:rsid w:val="00132CAD"/>
    <w:rsid w:val="00133E1B"/>
    <w:rsid w:val="0014251F"/>
    <w:rsid w:val="00145A5C"/>
    <w:rsid w:val="00146D1E"/>
    <w:rsid w:val="00147F5C"/>
    <w:rsid w:val="00150FFB"/>
    <w:rsid w:val="00152FA0"/>
    <w:rsid w:val="001533D4"/>
    <w:rsid w:val="0015366F"/>
    <w:rsid w:val="00154EA2"/>
    <w:rsid w:val="00164F5F"/>
    <w:rsid w:val="00166843"/>
    <w:rsid w:val="00167480"/>
    <w:rsid w:val="0017028D"/>
    <w:rsid w:val="00170A24"/>
    <w:rsid w:val="00170BFE"/>
    <w:rsid w:val="001757F9"/>
    <w:rsid w:val="00180896"/>
    <w:rsid w:val="001843B4"/>
    <w:rsid w:val="00186060"/>
    <w:rsid w:val="00186D10"/>
    <w:rsid w:val="0018741A"/>
    <w:rsid w:val="00187C35"/>
    <w:rsid w:val="00187C60"/>
    <w:rsid w:val="00191322"/>
    <w:rsid w:val="00191B71"/>
    <w:rsid w:val="0019481E"/>
    <w:rsid w:val="0019585B"/>
    <w:rsid w:val="00195959"/>
    <w:rsid w:val="001A171D"/>
    <w:rsid w:val="001A242D"/>
    <w:rsid w:val="001A2B13"/>
    <w:rsid w:val="001A5977"/>
    <w:rsid w:val="001A69CA"/>
    <w:rsid w:val="001B04F6"/>
    <w:rsid w:val="001B093D"/>
    <w:rsid w:val="001B0F2D"/>
    <w:rsid w:val="001B3C85"/>
    <w:rsid w:val="001B4C8D"/>
    <w:rsid w:val="001B586D"/>
    <w:rsid w:val="001B66FD"/>
    <w:rsid w:val="001C2F9D"/>
    <w:rsid w:val="001C5D26"/>
    <w:rsid w:val="001D13FF"/>
    <w:rsid w:val="001D39F7"/>
    <w:rsid w:val="001D5A7D"/>
    <w:rsid w:val="001D70CD"/>
    <w:rsid w:val="001D739A"/>
    <w:rsid w:val="001E0C39"/>
    <w:rsid w:val="001E1505"/>
    <w:rsid w:val="001E2DFA"/>
    <w:rsid w:val="001E3CA3"/>
    <w:rsid w:val="001E4B93"/>
    <w:rsid w:val="001E517D"/>
    <w:rsid w:val="001E7E3A"/>
    <w:rsid w:val="001F083C"/>
    <w:rsid w:val="001F43D8"/>
    <w:rsid w:val="001F506C"/>
    <w:rsid w:val="001F5D28"/>
    <w:rsid w:val="00203184"/>
    <w:rsid w:val="002032E2"/>
    <w:rsid w:val="00203BA5"/>
    <w:rsid w:val="00206C1F"/>
    <w:rsid w:val="00210D69"/>
    <w:rsid w:val="0021315C"/>
    <w:rsid w:val="002132D2"/>
    <w:rsid w:val="00215939"/>
    <w:rsid w:val="00216A23"/>
    <w:rsid w:val="002171D7"/>
    <w:rsid w:val="002207C3"/>
    <w:rsid w:val="00221195"/>
    <w:rsid w:val="002216BA"/>
    <w:rsid w:val="00221F26"/>
    <w:rsid w:val="0022235D"/>
    <w:rsid w:val="0022656C"/>
    <w:rsid w:val="00227E50"/>
    <w:rsid w:val="00231010"/>
    <w:rsid w:val="00231A87"/>
    <w:rsid w:val="00232DF5"/>
    <w:rsid w:val="002331CE"/>
    <w:rsid w:val="00233749"/>
    <w:rsid w:val="0023454D"/>
    <w:rsid w:val="00234B2D"/>
    <w:rsid w:val="00235024"/>
    <w:rsid w:val="0023521F"/>
    <w:rsid w:val="00236B5B"/>
    <w:rsid w:val="0023733F"/>
    <w:rsid w:val="00241985"/>
    <w:rsid w:val="00242B77"/>
    <w:rsid w:val="00242EE4"/>
    <w:rsid w:val="00243F4E"/>
    <w:rsid w:val="002440CE"/>
    <w:rsid w:val="0024481B"/>
    <w:rsid w:val="0024620F"/>
    <w:rsid w:val="00246AAF"/>
    <w:rsid w:val="00251A4E"/>
    <w:rsid w:val="00255220"/>
    <w:rsid w:val="0025578B"/>
    <w:rsid w:val="00255A53"/>
    <w:rsid w:val="00257542"/>
    <w:rsid w:val="00257BD7"/>
    <w:rsid w:val="00260AF8"/>
    <w:rsid w:val="00263AF2"/>
    <w:rsid w:val="00263B17"/>
    <w:rsid w:val="002640FF"/>
    <w:rsid w:val="00265203"/>
    <w:rsid w:val="002712FD"/>
    <w:rsid w:val="00275601"/>
    <w:rsid w:val="002758DA"/>
    <w:rsid w:val="00276783"/>
    <w:rsid w:val="00277EB4"/>
    <w:rsid w:val="002800D8"/>
    <w:rsid w:val="00282611"/>
    <w:rsid w:val="002832A1"/>
    <w:rsid w:val="002838AA"/>
    <w:rsid w:val="00284539"/>
    <w:rsid w:val="00284C63"/>
    <w:rsid w:val="00285F80"/>
    <w:rsid w:val="002869EB"/>
    <w:rsid w:val="00290880"/>
    <w:rsid w:val="00291E2F"/>
    <w:rsid w:val="002934E6"/>
    <w:rsid w:val="00294972"/>
    <w:rsid w:val="00294FD3"/>
    <w:rsid w:val="00296070"/>
    <w:rsid w:val="00297E7F"/>
    <w:rsid w:val="002A025C"/>
    <w:rsid w:val="002A18C4"/>
    <w:rsid w:val="002A2F7A"/>
    <w:rsid w:val="002A447B"/>
    <w:rsid w:val="002A4DC8"/>
    <w:rsid w:val="002A4ED4"/>
    <w:rsid w:val="002A5E66"/>
    <w:rsid w:val="002A6D5B"/>
    <w:rsid w:val="002A7352"/>
    <w:rsid w:val="002B0F5D"/>
    <w:rsid w:val="002B1505"/>
    <w:rsid w:val="002B33DC"/>
    <w:rsid w:val="002B3D30"/>
    <w:rsid w:val="002B6A2C"/>
    <w:rsid w:val="002B7AD7"/>
    <w:rsid w:val="002C0C94"/>
    <w:rsid w:val="002C1D8C"/>
    <w:rsid w:val="002C3A25"/>
    <w:rsid w:val="002C3A7E"/>
    <w:rsid w:val="002C7ABF"/>
    <w:rsid w:val="002D200B"/>
    <w:rsid w:val="002D2B81"/>
    <w:rsid w:val="002D41E4"/>
    <w:rsid w:val="002D6696"/>
    <w:rsid w:val="002D6CF6"/>
    <w:rsid w:val="002E0878"/>
    <w:rsid w:val="002E1E8D"/>
    <w:rsid w:val="002E5028"/>
    <w:rsid w:val="002E55CB"/>
    <w:rsid w:val="002E5AC2"/>
    <w:rsid w:val="002E71FB"/>
    <w:rsid w:val="002F19FD"/>
    <w:rsid w:val="002F2551"/>
    <w:rsid w:val="002F4E9D"/>
    <w:rsid w:val="002F67A4"/>
    <w:rsid w:val="002F739D"/>
    <w:rsid w:val="002F7F3B"/>
    <w:rsid w:val="00301255"/>
    <w:rsid w:val="0030168E"/>
    <w:rsid w:val="003043E7"/>
    <w:rsid w:val="00307D34"/>
    <w:rsid w:val="00310CD0"/>
    <w:rsid w:val="00312970"/>
    <w:rsid w:val="00312E6D"/>
    <w:rsid w:val="00316B5B"/>
    <w:rsid w:val="0032348B"/>
    <w:rsid w:val="003238D3"/>
    <w:rsid w:val="003259DC"/>
    <w:rsid w:val="0032659F"/>
    <w:rsid w:val="00330A6B"/>
    <w:rsid w:val="00330E2D"/>
    <w:rsid w:val="0033248D"/>
    <w:rsid w:val="0033320A"/>
    <w:rsid w:val="003356E3"/>
    <w:rsid w:val="003370CB"/>
    <w:rsid w:val="003372C9"/>
    <w:rsid w:val="00340932"/>
    <w:rsid w:val="003422E3"/>
    <w:rsid w:val="00342796"/>
    <w:rsid w:val="00344D75"/>
    <w:rsid w:val="00345F3D"/>
    <w:rsid w:val="00347217"/>
    <w:rsid w:val="00347851"/>
    <w:rsid w:val="00353580"/>
    <w:rsid w:val="00354854"/>
    <w:rsid w:val="00356218"/>
    <w:rsid w:val="00360416"/>
    <w:rsid w:val="00361F13"/>
    <w:rsid w:val="00362333"/>
    <w:rsid w:val="00363D2D"/>
    <w:rsid w:val="003677D8"/>
    <w:rsid w:val="00370099"/>
    <w:rsid w:val="00370391"/>
    <w:rsid w:val="00370EBE"/>
    <w:rsid w:val="00374529"/>
    <w:rsid w:val="00374E95"/>
    <w:rsid w:val="00375BFE"/>
    <w:rsid w:val="00377639"/>
    <w:rsid w:val="00384E33"/>
    <w:rsid w:val="00386F3C"/>
    <w:rsid w:val="00387787"/>
    <w:rsid w:val="0039446A"/>
    <w:rsid w:val="00395B08"/>
    <w:rsid w:val="00396190"/>
    <w:rsid w:val="00396571"/>
    <w:rsid w:val="0039745B"/>
    <w:rsid w:val="003A1010"/>
    <w:rsid w:val="003A524E"/>
    <w:rsid w:val="003B09E7"/>
    <w:rsid w:val="003B1901"/>
    <w:rsid w:val="003B2A6E"/>
    <w:rsid w:val="003B3990"/>
    <w:rsid w:val="003B4704"/>
    <w:rsid w:val="003B5874"/>
    <w:rsid w:val="003B6B98"/>
    <w:rsid w:val="003B70C7"/>
    <w:rsid w:val="003B711B"/>
    <w:rsid w:val="003B7DFC"/>
    <w:rsid w:val="003B7F45"/>
    <w:rsid w:val="003C16F8"/>
    <w:rsid w:val="003C4F1D"/>
    <w:rsid w:val="003C5B1A"/>
    <w:rsid w:val="003C76B1"/>
    <w:rsid w:val="003C7BEB"/>
    <w:rsid w:val="003D020C"/>
    <w:rsid w:val="003D2709"/>
    <w:rsid w:val="003D7E01"/>
    <w:rsid w:val="003E15E2"/>
    <w:rsid w:val="003E3DF2"/>
    <w:rsid w:val="003E534C"/>
    <w:rsid w:val="003E5E70"/>
    <w:rsid w:val="003F104E"/>
    <w:rsid w:val="003F1597"/>
    <w:rsid w:val="003F3288"/>
    <w:rsid w:val="003F50EC"/>
    <w:rsid w:val="003F5CA8"/>
    <w:rsid w:val="003F6B5C"/>
    <w:rsid w:val="003F6F68"/>
    <w:rsid w:val="00402839"/>
    <w:rsid w:val="0040373D"/>
    <w:rsid w:val="00403A1B"/>
    <w:rsid w:val="00404EAE"/>
    <w:rsid w:val="00406030"/>
    <w:rsid w:val="00410D11"/>
    <w:rsid w:val="00411833"/>
    <w:rsid w:val="004120B8"/>
    <w:rsid w:val="004124FE"/>
    <w:rsid w:val="00412910"/>
    <w:rsid w:val="004139B2"/>
    <w:rsid w:val="0042393B"/>
    <w:rsid w:val="004272A4"/>
    <w:rsid w:val="00430B70"/>
    <w:rsid w:val="0043128C"/>
    <w:rsid w:val="004315D8"/>
    <w:rsid w:val="004325DC"/>
    <w:rsid w:val="00433FAD"/>
    <w:rsid w:val="00434788"/>
    <w:rsid w:val="00434BA5"/>
    <w:rsid w:val="00434CAC"/>
    <w:rsid w:val="00436ECC"/>
    <w:rsid w:val="0043725F"/>
    <w:rsid w:val="004406B6"/>
    <w:rsid w:val="004449EE"/>
    <w:rsid w:val="00444B2B"/>
    <w:rsid w:val="004468CE"/>
    <w:rsid w:val="00447076"/>
    <w:rsid w:val="00447861"/>
    <w:rsid w:val="00447F1C"/>
    <w:rsid w:val="00450EF9"/>
    <w:rsid w:val="00455CF9"/>
    <w:rsid w:val="00460771"/>
    <w:rsid w:val="00461004"/>
    <w:rsid w:val="00461C5C"/>
    <w:rsid w:val="00464E9D"/>
    <w:rsid w:val="00466058"/>
    <w:rsid w:val="00472E0F"/>
    <w:rsid w:val="004744DA"/>
    <w:rsid w:val="00474A0B"/>
    <w:rsid w:val="00475B87"/>
    <w:rsid w:val="00477C3F"/>
    <w:rsid w:val="0048121B"/>
    <w:rsid w:val="00481229"/>
    <w:rsid w:val="00483E5F"/>
    <w:rsid w:val="00485AA9"/>
    <w:rsid w:val="00490881"/>
    <w:rsid w:val="00495197"/>
    <w:rsid w:val="00495C85"/>
    <w:rsid w:val="00496C7F"/>
    <w:rsid w:val="004A3569"/>
    <w:rsid w:val="004A3A76"/>
    <w:rsid w:val="004A4557"/>
    <w:rsid w:val="004A60E9"/>
    <w:rsid w:val="004A66F4"/>
    <w:rsid w:val="004A6AB4"/>
    <w:rsid w:val="004A7115"/>
    <w:rsid w:val="004A78E2"/>
    <w:rsid w:val="004A7ED8"/>
    <w:rsid w:val="004B1D4C"/>
    <w:rsid w:val="004B45C3"/>
    <w:rsid w:val="004C0123"/>
    <w:rsid w:val="004C0416"/>
    <w:rsid w:val="004C491D"/>
    <w:rsid w:val="004C5C50"/>
    <w:rsid w:val="004D37AA"/>
    <w:rsid w:val="004D5579"/>
    <w:rsid w:val="004D571E"/>
    <w:rsid w:val="004D57C8"/>
    <w:rsid w:val="004D5C00"/>
    <w:rsid w:val="004D5F7F"/>
    <w:rsid w:val="004D6197"/>
    <w:rsid w:val="004D6B01"/>
    <w:rsid w:val="004E095F"/>
    <w:rsid w:val="004E49F5"/>
    <w:rsid w:val="004E5B44"/>
    <w:rsid w:val="004E7D6C"/>
    <w:rsid w:val="004F008E"/>
    <w:rsid w:val="004F369E"/>
    <w:rsid w:val="004F3C16"/>
    <w:rsid w:val="004F46C9"/>
    <w:rsid w:val="004F5CF8"/>
    <w:rsid w:val="004F6ED7"/>
    <w:rsid w:val="004F6F32"/>
    <w:rsid w:val="004F7122"/>
    <w:rsid w:val="00500DD5"/>
    <w:rsid w:val="00501117"/>
    <w:rsid w:val="005027DA"/>
    <w:rsid w:val="00502E0B"/>
    <w:rsid w:val="005043B3"/>
    <w:rsid w:val="00504FCF"/>
    <w:rsid w:val="005058A4"/>
    <w:rsid w:val="00505F03"/>
    <w:rsid w:val="00506156"/>
    <w:rsid w:val="00506791"/>
    <w:rsid w:val="005068B2"/>
    <w:rsid w:val="00510E53"/>
    <w:rsid w:val="005174E3"/>
    <w:rsid w:val="00517B96"/>
    <w:rsid w:val="00520241"/>
    <w:rsid w:val="005203EA"/>
    <w:rsid w:val="00520CB3"/>
    <w:rsid w:val="00521245"/>
    <w:rsid w:val="00526259"/>
    <w:rsid w:val="0052680E"/>
    <w:rsid w:val="00526CDB"/>
    <w:rsid w:val="00527E16"/>
    <w:rsid w:val="00531BB7"/>
    <w:rsid w:val="00531E23"/>
    <w:rsid w:val="005322A5"/>
    <w:rsid w:val="0053768F"/>
    <w:rsid w:val="00537FD4"/>
    <w:rsid w:val="00545768"/>
    <w:rsid w:val="00547581"/>
    <w:rsid w:val="00550074"/>
    <w:rsid w:val="0055379C"/>
    <w:rsid w:val="00554DE9"/>
    <w:rsid w:val="00555900"/>
    <w:rsid w:val="00556D69"/>
    <w:rsid w:val="0056007E"/>
    <w:rsid w:val="0056051F"/>
    <w:rsid w:val="0056138E"/>
    <w:rsid w:val="0056329E"/>
    <w:rsid w:val="00565F12"/>
    <w:rsid w:val="005666D2"/>
    <w:rsid w:val="00567F81"/>
    <w:rsid w:val="00573B3D"/>
    <w:rsid w:val="00574046"/>
    <w:rsid w:val="0057532F"/>
    <w:rsid w:val="00575BF8"/>
    <w:rsid w:val="00577621"/>
    <w:rsid w:val="00581F97"/>
    <w:rsid w:val="00582C19"/>
    <w:rsid w:val="00584506"/>
    <w:rsid w:val="0059031A"/>
    <w:rsid w:val="00590B2E"/>
    <w:rsid w:val="0059714B"/>
    <w:rsid w:val="005A0707"/>
    <w:rsid w:val="005A0AB6"/>
    <w:rsid w:val="005A17C9"/>
    <w:rsid w:val="005A1AA0"/>
    <w:rsid w:val="005A207D"/>
    <w:rsid w:val="005A569B"/>
    <w:rsid w:val="005A69B3"/>
    <w:rsid w:val="005A7BC6"/>
    <w:rsid w:val="005B0DA6"/>
    <w:rsid w:val="005B11DB"/>
    <w:rsid w:val="005B1C14"/>
    <w:rsid w:val="005B538B"/>
    <w:rsid w:val="005B5D26"/>
    <w:rsid w:val="005B5EC6"/>
    <w:rsid w:val="005B703B"/>
    <w:rsid w:val="005B79DB"/>
    <w:rsid w:val="005C10EB"/>
    <w:rsid w:val="005C1A8E"/>
    <w:rsid w:val="005C2142"/>
    <w:rsid w:val="005C21E7"/>
    <w:rsid w:val="005C7ACF"/>
    <w:rsid w:val="005D01EF"/>
    <w:rsid w:val="005D1D96"/>
    <w:rsid w:val="005D1F45"/>
    <w:rsid w:val="005D4843"/>
    <w:rsid w:val="005D5337"/>
    <w:rsid w:val="005D65C8"/>
    <w:rsid w:val="005D6A14"/>
    <w:rsid w:val="005D72E2"/>
    <w:rsid w:val="005E17CB"/>
    <w:rsid w:val="005E17EA"/>
    <w:rsid w:val="005E221C"/>
    <w:rsid w:val="005E3013"/>
    <w:rsid w:val="005E39EF"/>
    <w:rsid w:val="005E4961"/>
    <w:rsid w:val="005E4F57"/>
    <w:rsid w:val="005E7EEB"/>
    <w:rsid w:val="005F12E0"/>
    <w:rsid w:val="005F1F16"/>
    <w:rsid w:val="005F2FEC"/>
    <w:rsid w:val="005F30F4"/>
    <w:rsid w:val="005F3D8C"/>
    <w:rsid w:val="005F55F7"/>
    <w:rsid w:val="005F5631"/>
    <w:rsid w:val="005F65DE"/>
    <w:rsid w:val="005F6BB4"/>
    <w:rsid w:val="005F7219"/>
    <w:rsid w:val="006004EC"/>
    <w:rsid w:val="00600B60"/>
    <w:rsid w:val="00603A8C"/>
    <w:rsid w:val="0060489A"/>
    <w:rsid w:val="006073FB"/>
    <w:rsid w:val="0061075E"/>
    <w:rsid w:val="0061203C"/>
    <w:rsid w:val="006173A9"/>
    <w:rsid w:val="006206CE"/>
    <w:rsid w:val="00625277"/>
    <w:rsid w:val="0062637E"/>
    <w:rsid w:val="006305D9"/>
    <w:rsid w:val="00630AC3"/>
    <w:rsid w:val="00631706"/>
    <w:rsid w:val="006346F4"/>
    <w:rsid w:val="006358F9"/>
    <w:rsid w:val="00640A46"/>
    <w:rsid w:val="00641FC4"/>
    <w:rsid w:val="0064362E"/>
    <w:rsid w:val="00644082"/>
    <w:rsid w:val="00644C2F"/>
    <w:rsid w:val="00645717"/>
    <w:rsid w:val="00645EA9"/>
    <w:rsid w:val="00646C0C"/>
    <w:rsid w:val="00646D3D"/>
    <w:rsid w:val="0065068A"/>
    <w:rsid w:val="00651766"/>
    <w:rsid w:val="00652F82"/>
    <w:rsid w:val="00653FD6"/>
    <w:rsid w:val="00657072"/>
    <w:rsid w:val="006577C8"/>
    <w:rsid w:val="00657F01"/>
    <w:rsid w:val="00660FC7"/>
    <w:rsid w:val="00661AB1"/>
    <w:rsid w:val="0066356D"/>
    <w:rsid w:val="00664974"/>
    <w:rsid w:val="00665D0F"/>
    <w:rsid w:val="0067217E"/>
    <w:rsid w:val="006721BA"/>
    <w:rsid w:val="006733E3"/>
    <w:rsid w:val="00674799"/>
    <w:rsid w:val="006757EA"/>
    <w:rsid w:val="00682587"/>
    <w:rsid w:val="00682B52"/>
    <w:rsid w:val="00684202"/>
    <w:rsid w:val="006858F6"/>
    <w:rsid w:val="00691E6A"/>
    <w:rsid w:val="006925D4"/>
    <w:rsid w:val="0069346B"/>
    <w:rsid w:val="006957A2"/>
    <w:rsid w:val="006B0DB8"/>
    <w:rsid w:val="006B1B3A"/>
    <w:rsid w:val="006C0E2A"/>
    <w:rsid w:val="006C20E9"/>
    <w:rsid w:val="006C3387"/>
    <w:rsid w:val="006C362F"/>
    <w:rsid w:val="006C6D1D"/>
    <w:rsid w:val="006C6F2C"/>
    <w:rsid w:val="006D283B"/>
    <w:rsid w:val="006D313C"/>
    <w:rsid w:val="006E0048"/>
    <w:rsid w:val="006E147C"/>
    <w:rsid w:val="006E38CC"/>
    <w:rsid w:val="006E4984"/>
    <w:rsid w:val="006E6DDC"/>
    <w:rsid w:val="006E7E75"/>
    <w:rsid w:val="006F2551"/>
    <w:rsid w:val="006F28B8"/>
    <w:rsid w:val="006F42AA"/>
    <w:rsid w:val="006F42B3"/>
    <w:rsid w:val="006F4396"/>
    <w:rsid w:val="006F52BA"/>
    <w:rsid w:val="006F61A0"/>
    <w:rsid w:val="006F64E6"/>
    <w:rsid w:val="00700755"/>
    <w:rsid w:val="00701EE2"/>
    <w:rsid w:val="00702EB3"/>
    <w:rsid w:val="00703B80"/>
    <w:rsid w:val="007102EC"/>
    <w:rsid w:val="00712B1C"/>
    <w:rsid w:val="00713917"/>
    <w:rsid w:val="00713A6D"/>
    <w:rsid w:val="00714754"/>
    <w:rsid w:val="0071539A"/>
    <w:rsid w:val="00715AE5"/>
    <w:rsid w:val="00721E84"/>
    <w:rsid w:val="00722302"/>
    <w:rsid w:val="00726F77"/>
    <w:rsid w:val="007278A8"/>
    <w:rsid w:val="007342F5"/>
    <w:rsid w:val="00734A13"/>
    <w:rsid w:val="00740702"/>
    <w:rsid w:val="0074365B"/>
    <w:rsid w:val="00744425"/>
    <w:rsid w:val="00746321"/>
    <w:rsid w:val="00746DF8"/>
    <w:rsid w:val="00746ECB"/>
    <w:rsid w:val="00750512"/>
    <w:rsid w:val="00751114"/>
    <w:rsid w:val="007521EC"/>
    <w:rsid w:val="00752A0F"/>
    <w:rsid w:val="0075609B"/>
    <w:rsid w:val="00756390"/>
    <w:rsid w:val="0075652A"/>
    <w:rsid w:val="00756ACE"/>
    <w:rsid w:val="00757DCB"/>
    <w:rsid w:val="00761C46"/>
    <w:rsid w:val="00765959"/>
    <w:rsid w:val="00765B7E"/>
    <w:rsid w:val="0077206E"/>
    <w:rsid w:val="00772169"/>
    <w:rsid w:val="007728F8"/>
    <w:rsid w:val="007729B5"/>
    <w:rsid w:val="00772D1E"/>
    <w:rsid w:val="00773186"/>
    <w:rsid w:val="00775F40"/>
    <w:rsid w:val="007800DA"/>
    <w:rsid w:val="007808BE"/>
    <w:rsid w:val="007814F9"/>
    <w:rsid w:val="00785367"/>
    <w:rsid w:val="00794EB4"/>
    <w:rsid w:val="007950BE"/>
    <w:rsid w:val="0079562F"/>
    <w:rsid w:val="00795C6B"/>
    <w:rsid w:val="00795D4A"/>
    <w:rsid w:val="00795D56"/>
    <w:rsid w:val="00795FF0"/>
    <w:rsid w:val="00797896"/>
    <w:rsid w:val="00797C96"/>
    <w:rsid w:val="00797EB9"/>
    <w:rsid w:val="007A1531"/>
    <w:rsid w:val="007A1860"/>
    <w:rsid w:val="007A5C03"/>
    <w:rsid w:val="007A7CB3"/>
    <w:rsid w:val="007B1EE5"/>
    <w:rsid w:val="007B2C2D"/>
    <w:rsid w:val="007B69C9"/>
    <w:rsid w:val="007C119C"/>
    <w:rsid w:val="007C1A01"/>
    <w:rsid w:val="007C5C15"/>
    <w:rsid w:val="007C70FB"/>
    <w:rsid w:val="007D066E"/>
    <w:rsid w:val="007D1A06"/>
    <w:rsid w:val="007D1DA1"/>
    <w:rsid w:val="007D222B"/>
    <w:rsid w:val="007D4A76"/>
    <w:rsid w:val="007E03FC"/>
    <w:rsid w:val="007E04EC"/>
    <w:rsid w:val="007E0DC4"/>
    <w:rsid w:val="007E4087"/>
    <w:rsid w:val="007E60D0"/>
    <w:rsid w:val="007E6695"/>
    <w:rsid w:val="007E6806"/>
    <w:rsid w:val="007F2BC7"/>
    <w:rsid w:val="007F3170"/>
    <w:rsid w:val="007F4EBF"/>
    <w:rsid w:val="007F577A"/>
    <w:rsid w:val="00801003"/>
    <w:rsid w:val="0080154D"/>
    <w:rsid w:val="0080181A"/>
    <w:rsid w:val="00801CFC"/>
    <w:rsid w:val="00803BA6"/>
    <w:rsid w:val="008043B8"/>
    <w:rsid w:val="0080530D"/>
    <w:rsid w:val="00807F0C"/>
    <w:rsid w:val="008130C5"/>
    <w:rsid w:val="0081317D"/>
    <w:rsid w:val="00813717"/>
    <w:rsid w:val="00816623"/>
    <w:rsid w:val="00816C89"/>
    <w:rsid w:val="00816DE1"/>
    <w:rsid w:val="008177E6"/>
    <w:rsid w:val="00817F26"/>
    <w:rsid w:val="0082004C"/>
    <w:rsid w:val="008207E0"/>
    <w:rsid w:val="0082178A"/>
    <w:rsid w:val="008234D9"/>
    <w:rsid w:val="0082423F"/>
    <w:rsid w:val="0082446F"/>
    <w:rsid w:val="008250BF"/>
    <w:rsid w:val="00826E06"/>
    <w:rsid w:val="00827C34"/>
    <w:rsid w:val="00833165"/>
    <w:rsid w:val="0083460C"/>
    <w:rsid w:val="00836155"/>
    <w:rsid w:val="00841563"/>
    <w:rsid w:val="00843443"/>
    <w:rsid w:val="00843B5B"/>
    <w:rsid w:val="00851BFE"/>
    <w:rsid w:val="00854D3E"/>
    <w:rsid w:val="00855427"/>
    <w:rsid w:val="00856E2B"/>
    <w:rsid w:val="00861557"/>
    <w:rsid w:val="00862BBA"/>
    <w:rsid w:val="0086683E"/>
    <w:rsid w:val="00867FB9"/>
    <w:rsid w:val="00870EC7"/>
    <w:rsid w:val="008763F7"/>
    <w:rsid w:val="008772A2"/>
    <w:rsid w:val="008809E1"/>
    <w:rsid w:val="008821BC"/>
    <w:rsid w:val="00882ED1"/>
    <w:rsid w:val="00883EB9"/>
    <w:rsid w:val="008873D4"/>
    <w:rsid w:val="008A47A9"/>
    <w:rsid w:val="008A7E01"/>
    <w:rsid w:val="008B0D35"/>
    <w:rsid w:val="008B14CC"/>
    <w:rsid w:val="008B4150"/>
    <w:rsid w:val="008B681B"/>
    <w:rsid w:val="008B6993"/>
    <w:rsid w:val="008B6C89"/>
    <w:rsid w:val="008C739C"/>
    <w:rsid w:val="008C7B0E"/>
    <w:rsid w:val="008D0008"/>
    <w:rsid w:val="008D07D5"/>
    <w:rsid w:val="008D07E3"/>
    <w:rsid w:val="008D59A2"/>
    <w:rsid w:val="008D5B4A"/>
    <w:rsid w:val="008D60AA"/>
    <w:rsid w:val="008D7E7E"/>
    <w:rsid w:val="008E0ADF"/>
    <w:rsid w:val="008E39FA"/>
    <w:rsid w:val="008E5022"/>
    <w:rsid w:val="008E7F38"/>
    <w:rsid w:val="008F0123"/>
    <w:rsid w:val="008F194E"/>
    <w:rsid w:val="008F1F90"/>
    <w:rsid w:val="008F1FC5"/>
    <w:rsid w:val="008F50F6"/>
    <w:rsid w:val="008F5CBB"/>
    <w:rsid w:val="008F6F29"/>
    <w:rsid w:val="008F743C"/>
    <w:rsid w:val="008F7BC2"/>
    <w:rsid w:val="00901A6A"/>
    <w:rsid w:val="00901CBE"/>
    <w:rsid w:val="0090294A"/>
    <w:rsid w:val="00903EAE"/>
    <w:rsid w:val="00906C0A"/>
    <w:rsid w:val="0091036F"/>
    <w:rsid w:val="0091201E"/>
    <w:rsid w:val="00912241"/>
    <w:rsid w:val="00913F6A"/>
    <w:rsid w:val="00914287"/>
    <w:rsid w:val="0091635C"/>
    <w:rsid w:val="009169F6"/>
    <w:rsid w:val="00916B13"/>
    <w:rsid w:val="00924A7C"/>
    <w:rsid w:val="009270A5"/>
    <w:rsid w:val="0093206D"/>
    <w:rsid w:val="009373AE"/>
    <w:rsid w:val="00944BD2"/>
    <w:rsid w:val="00946729"/>
    <w:rsid w:val="00953DB9"/>
    <w:rsid w:val="00954D9A"/>
    <w:rsid w:val="00957A73"/>
    <w:rsid w:val="00960EC7"/>
    <w:rsid w:val="009633A3"/>
    <w:rsid w:val="00965850"/>
    <w:rsid w:val="0096685C"/>
    <w:rsid w:val="0097251E"/>
    <w:rsid w:val="00972FD9"/>
    <w:rsid w:val="00975132"/>
    <w:rsid w:val="009760C0"/>
    <w:rsid w:val="0098041F"/>
    <w:rsid w:val="00980A8F"/>
    <w:rsid w:val="009815DB"/>
    <w:rsid w:val="00983C57"/>
    <w:rsid w:val="009867A4"/>
    <w:rsid w:val="009877B9"/>
    <w:rsid w:val="00990912"/>
    <w:rsid w:val="00991578"/>
    <w:rsid w:val="00992155"/>
    <w:rsid w:val="00992359"/>
    <w:rsid w:val="00993189"/>
    <w:rsid w:val="00993722"/>
    <w:rsid w:val="009940E0"/>
    <w:rsid w:val="0099702B"/>
    <w:rsid w:val="009A05B3"/>
    <w:rsid w:val="009A0876"/>
    <w:rsid w:val="009A101D"/>
    <w:rsid w:val="009A1ED4"/>
    <w:rsid w:val="009A2E34"/>
    <w:rsid w:val="009A36C2"/>
    <w:rsid w:val="009A45EE"/>
    <w:rsid w:val="009A5636"/>
    <w:rsid w:val="009B1865"/>
    <w:rsid w:val="009B3F88"/>
    <w:rsid w:val="009C7D5E"/>
    <w:rsid w:val="009D522D"/>
    <w:rsid w:val="009D7E32"/>
    <w:rsid w:val="009E080E"/>
    <w:rsid w:val="009E19C5"/>
    <w:rsid w:val="009E3ADA"/>
    <w:rsid w:val="009E3CFB"/>
    <w:rsid w:val="009E47DA"/>
    <w:rsid w:val="009E59B1"/>
    <w:rsid w:val="009E788F"/>
    <w:rsid w:val="009F3192"/>
    <w:rsid w:val="009F3A1F"/>
    <w:rsid w:val="009F5434"/>
    <w:rsid w:val="009F6C90"/>
    <w:rsid w:val="009F7A02"/>
    <w:rsid w:val="00A03989"/>
    <w:rsid w:val="00A0403A"/>
    <w:rsid w:val="00A0517A"/>
    <w:rsid w:val="00A12322"/>
    <w:rsid w:val="00A129FC"/>
    <w:rsid w:val="00A1335D"/>
    <w:rsid w:val="00A14E17"/>
    <w:rsid w:val="00A1544C"/>
    <w:rsid w:val="00A16235"/>
    <w:rsid w:val="00A162F3"/>
    <w:rsid w:val="00A16ADB"/>
    <w:rsid w:val="00A201D9"/>
    <w:rsid w:val="00A202A2"/>
    <w:rsid w:val="00A212A2"/>
    <w:rsid w:val="00A21469"/>
    <w:rsid w:val="00A228F7"/>
    <w:rsid w:val="00A27F81"/>
    <w:rsid w:val="00A31863"/>
    <w:rsid w:val="00A326D2"/>
    <w:rsid w:val="00A3457B"/>
    <w:rsid w:val="00A347C2"/>
    <w:rsid w:val="00A36C3F"/>
    <w:rsid w:val="00A371A3"/>
    <w:rsid w:val="00A41931"/>
    <w:rsid w:val="00A45603"/>
    <w:rsid w:val="00A4618E"/>
    <w:rsid w:val="00A507FB"/>
    <w:rsid w:val="00A5138D"/>
    <w:rsid w:val="00A516C3"/>
    <w:rsid w:val="00A556BF"/>
    <w:rsid w:val="00A5684F"/>
    <w:rsid w:val="00A56F37"/>
    <w:rsid w:val="00A570C0"/>
    <w:rsid w:val="00A60D82"/>
    <w:rsid w:val="00A61E6D"/>
    <w:rsid w:val="00A65008"/>
    <w:rsid w:val="00A656ED"/>
    <w:rsid w:val="00A6597D"/>
    <w:rsid w:val="00A667F7"/>
    <w:rsid w:val="00A73131"/>
    <w:rsid w:val="00A734AC"/>
    <w:rsid w:val="00A7443E"/>
    <w:rsid w:val="00A75027"/>
    <w:rsid w:val="00A753E3"/>
    <w:rsid w:val="00A76CE7"/>
    <w:rsid w:val="00A76D04"/>
    <w:rsid w:val="00A80468"/>
    <w:rsid w:val="00A80687"/>
    <w:rsid w:val="00A81058"/>
    <w:rsid w:val="00A81184"/>
    <w:rsid w:val="00A84586"/>
    <w:rsid w:val="00A84F89"/>
    <w:rsid w:val="00A85270"/>
    <w:rsid w:val="00A85E99"/>
    <w:rsid w:val="00A86B9C"/>
    <w:rsid w:val="00A9750F"/>
    <w:rsid w:val="00A9799B"/>
    <w:rsid w:val="00AA0D95"/>
    <w:rsid w:val="00AA43B4"/>
    <w:rsid w:val="00AA6AD3"/>
    <w:rsid w:val="00AA72B4"/>
    <w:rsid w:val="00AA7FEC"/>
    <w:rsid w:val="00AB289B"/>
    <w:rsid w:val="00AB28D2"/>
    <w:rsid w:val="00AB36A6"/>
    <w:rsid w:val="00AB3F72"/>
    <w:rsid w:val="00AB3F98"/>
    <w:rsid w:val="00AB434F"/>
    <w:rsid w:val="00AB54CF"/>
    <w:rsid w:val="00AC0706"/>
    <w:rsid w:val="00AC1382"/>
    <w:rsid w:val="00AC1AB2"/>
    <w:rsid w:val="00AC2953"/>
    <w:rsid w:val="00AC47B8"/>
    <w:rsid w:val="00AC4CF8"/>
    <w:rsid w:val="00AC63A5"/>
    <w:rsid w:val="00AC69F4"/>
    <w:rsid w:val="00AC733B"/>
    <w:rsid w:val="00AC798B"/>
    <w:rsid w:val="00AD1B89"/>
    <w:rsid w:val="00AD7069"/>
    <w:rsid w:val="00AD7393"/>
    <w:rsid w:val="00AE0451"/>
    <w:rsid w:val="00AE129F"/>
    <w:rsid w:val="00AE399F"/>
    <w:rsid w:val="00AE6787"/>
    <w:rsid w:val="00AE6F2B"/>
    <w:rsid w:val="00AF3819"/>
    <w:rsid w:val="00AF6608"/>
    <w:rsid w:val="00AF6D0D"/>
    <w:rsid w:val="00AF7C55"/>
    <w:rsid w:val="00B001B1"/>
    <w:rsid w:val="00B0030C"/>
    <w:rsid w:val="00B01BD4"/>
    <w:rsid w:val="00B01D2C"/>
    <w:rsid w:val="00B01E6B"/>
    <w:rsid w:val="00B02977"/>
    <w:rsid w:val="00B042E9"/>
    <w:rsid w:val="00B0489C"/>
    <w:rsid w:val="00B10DE4"/>
    <w:rsid w:val="00B1152E"/>
    <w:rsid w:val="00B11970"/>
    <w:rsid w:val="00B121E6"/>
    <w:rsid w:val="00B139E0"/>
    <w:rsid w:val="00B16DDE"/>
    <w:rsid w:val="00B218D3"/>
    <w:rsid w:val="00B24530"/>
    <w:rsid w:val="00B26124"/>
    <w:rsid w:val="00B305BD"/>
    <w:rsid w:val="00B32948"/>
    <w:rsid w:val="00B3365B"/>
    <w:rsid w:val="00B36998"/>
    <w:rsid w:val="00B36CC3"/>
    <w:rsid w:val="00B37317"/>
    <w:rsid w:val="00B407F2"/>
    <w:rsid w:val="00B4292D"/>
    <w:rsid w:val="00B42F77"/>
    <w:rsid w:val="00B44C14"/>
    <w:rsid w:val="00B46F75"/>
    <w:rsid w:val="00B53DDB"/>
    <w:rsid w:val="00B545FC"/>
    <w:rsid w:val="00B54D98"/>
    <w:rsid w:val="00B554D7"/>
    <w:rsid w:val="00B55B6D"/>
    <w:rsid w:val="00B64FC0"/>
    <w:rsid w:val="00B7011E"/>
    <w:rsid w:val="00B72F39"/>
    <w:rsid w:val="00B7470A"/>
    <w:rsid w:val="00B7724F"/>
    <w:rsid w:val="00B804E1"/>
    <w:rsid w:val="00B81E78"/>
    <w:rsid w:val="00B81F8F"/>
    <w:rsid w:val="00B82578"/>
    <w:rsid w:val="00B828E6"/>
    <w:rsid w:val="00B854EA"/>
    <w:rsid w:val="00B91095"/>
    <w:rsid w:val="00B91342"/>
    <w:rsid w:val="00B928D8"/>
    <w:rsid w:val="00B93F0E"/>
    <w:rsid w:val="00B948BC"/>
    <w:rsid w:val="00B958DB"/>
    <w:rsid w:val="00B96532"/>
    <w:rsid w:val="00B9689C"/>
    <w:rsid w:val="00B9709E"/>
    <w:rsid w:val="00B977B7"/>
    <w:rsid w:val="00BA06FF"/>
    <w:rsid w:val="00BA6372"/>
    <w:rsid w:val="00BA6A78"/>
    <w:rsid w:val="00BA76B0"/>
    <w:rsid w:val="00BB0521"/>
    <w:rsid w:val="00BB2FF5"/>
    <w:rsid w:val="00BB3178"/>
    <w:rsid w:val="00BB443B"/>
    <w:rsid w:val="00BB5F18"/>
    <w:rsid w:val="00BB680F"/>
    <w:rsid w:val="00BB70F2"/>
    <w:rsid w:val="00BC0558"/>
    <w:rsid w:val="00BC1988"/>
    <w:rsid w:val="00BC19B9"/>
    <w:rsid w:val="00BC3A82"/>
    <w:rsid w:val="00BC3B18"/>
    <w:rsid w:val="00BC4742"/>
    <w:rsid w:val="00BD2FEA"/>
    <w:rsid w:val="00BD3762"/>
    <w:rsid w:val="00BD492A"/>
    <w:rsid w:val="00BD56B6"/>
    <w:rsid w:val="00BD5C46"/>
    <w:rsid w:val="00BD7DC2"/>
    <w:rsid w:val="00BE17CC"/>
    <w:rsid w:val="00BE2866"/>
    <w:rsid w:val="00BE6789"/>
    <w:rsid w:val="00BF027B"/>
    <w:rsid w:val="00BF1E56"/>
    <w:rsid w:val="00BF2A19"/>
    <w:rsid w:val="00BF2BD1"/>
    <w:rsid w:val="00BF300D"/>
    <w:rsid w:val="00BF4B81"/>
    <w:rsid w:val="00BF4F33"/>
    <w:rsid w:val="00C02EE8"/>
    <w:rsid w:val="00C049EB"/>
    <w:rsid w:val="00C05A18"/>
    <w:rsid w:val="00C06182"/>
    <w:rsid w:val="00C1027D"/>
    <w:rsid w:val="00C10A1F"/>
    <w:rsid w:val="00C1515E"/>
    <w:rsid w:val="00C153F4"/>
    <w:rsid w:val="00C16C54"/>
    <w:rsid w:val="00C17136"/>
    <w:rsid w:val="00C1743B"/>
    <w:rsid w:val="00C17588"/>
    <w:rsid w:val="00C209BC"/>
    <w:rsid w:val="00C212FF"/>
    <w:rsid w:val="00C22D41"/>
    <w:rsid w:val="00C243AB"/>
    <w:rsid w:val="00C24C96"/>
    <w:rsid w:val="00C26AEB"/>
    <w:rsid w:val="00C312F9"/>
    <w:rsid w:val="00C31DD4"/>
    <w:rsid w:val="00C31E6E"/>
    <w:rsid w:val="00C334A4"/>
    <w:rsid w:val="00C34622"/>
    <w:rsid w:val="00C349F9"/>
    <w:rsid w:val="00C35139"/>
    <w:rsid w:val="00C3513A"/>
    <w:rsid w:val="00C35191"/>
    <w:rsid w:val="00C3606A"/>
    <w:rsid w:val="00C40C54"/>
    <w:rsid w:val="00C4116A"/>
    <w:rsid w:val="00C420E9"/>
    <w:rsid w:val="00C430F5"/>
    <w:rsid w:val="00C44811"/>
    <w:rsid w:val="00C457EB"/>
    <w:rsid w:val="00C476D5"/>
    <w:rsid w:val="00C50F42"/>
    <w:rsid w:val="00C525E8"/>
    <w:rsid w:val="00C52844"/>
    <w:rsid w:val="00C558BD"/>
    <w:rsid w:val="00C55AA0"/>
    <w:rsid w:val="00C631FC"/>
    <w:rsid w:val="00C654E8"/>
    <w:rsid w:val="00C6634A"/>
    <w:rsid w:val="00C66927"/>
    <w:rsid w:val="00C72B1F"/>
    <w:rsid w:val="00C736DB"/>
    <w:rsid w:val="00C748C9"/>
    <w:rsid w:val="00C74BC2"/>
    <w:rsid w:val="00C752EC"/>
    <w:rsid w:val="00C7655A"/>
    <w:rsid w:val="00C77B75"/>
    <w:rsid w:val="00C83ADA"/>
    <w:rsid w:val="00C867D7"/>
    <w:rsid w:val="00C86D17"/>
    <w:rsid w:val="00C976FF"/>
    <w:rsid w:val="00CA12A3"/>
    <w:rsid w:val="00CA1C08"/>
    <w:rsid w:val="00CA4EBB"/>
    <w:rsid w:val="00CA73D6"/>
    <w:rsid w:val="00CB1806"/>
    <w:rsid w:val="00CB61D9"/>
    <w:rsid w:val="00CB6957"/>
    <w:rsid w:val="00CB743E"/>
    <w:rsid w:val="00CC2817"/>
    <w:rsid w:val="00CC31B5"/>
    <w:rsid w:val="00CC5381"/>
    <w:rsid w:val="00CC6610"/>
    <w:rsid w:val="00CC7911"/>
    <w:rsid w:val="00CD1F3D"/>
    <w:rsid w:val="00CD6A34"/>
    <w:rsid w:val="00CE419D"/>
    <w:rsid w:val="00CF2C59"/>
    <w:rsid w:val="00CF307D"/>
    <w:rsid w:val="00CF36AB"/>
    <w:rsid w:val="00CF51AF"/>
    <w:rsid w:val="00CF6884"/>
    <w:rsid w:val="00D003D1"/>
    <w:rsid w:val="00D02AFE"/>
    <w:rsid w:val="00D031E9"/>
    <w:rsid w:val="00D03555"/>
    <w:rsid w:val="00D056C2"/>
    <w:rsid w:val="00D0612E"/>
    <w:rsid w:val="00D07828"/>
    <w:rsid w:val="00D10237"/>
    <w:rsid w:val="00D103B9"/>
    <w:rsid w:val="00D11A58"/>
    <w:rsid w:val="00D14A3F"/>
    <w:rsid w:val="00D14D4A"/>
    <w:rsid w:val="00D161FB"/>
    <w:rsid w:val="00D20673"/>
    <w:rsid w:val="00D20766"/>
    <w:rsid w:val="00D22ADD"/>
    <w:rsid w:val="00D23759"/>
    <w:rsid w:val="00D2523A"/>
    <w:rsid w:val="00D261A5"/>
    <w:rsid w:val="00D2753F"/>
    <w:rsid w:val="00D279E8"/>
    <w:rsid w:val="00D314A0"/>
    <w:rsid w:val="00D31866"/>
    <w:rsid w:val="00D32C21"/>
    <w:rsid w:val="00D365A0"/>
    <w:rsid w:val="00D371C9"/>
    <w:rsid w:val="00D40709"/>
    <w:rsid w:val="00D43E06"/>
    <w:rsid w:val="00D524C1"/>
    <w:rsid w:val="00D53AD7"/>
    <w:rsid w:val="00D55935"/>
    <w:rsid w:val="00D56549"/>
    <w:rsid w:val="00D57EC4"/>
    <w:rsid w:val="00D61278"/>
    <w:rsid w:val="00D6399E"/>
    <w:rsid w:val="00D639A1"/>
    <w:rsid w:val="00D63F6D"/>
    <w:rsid w:val="00D65E8C"/>
    <w:rsid w:val="00D66C2C"/>
    <w:rsid w:val="00D7049C"/>
    <w:rsid w:val="00D727EE"/>
    <w:rsid w:val="00D74536"/>
    <w:rsid w:val="00D758ED"/>
    <w:rsid w:val="00D762C8"/>
    <w:rsid w:val="00D8057F"/>
    <w:rsid w:val="00D80F71"/>
    <w:rsid w:val="00D816A5"/>
    <w:rsid w:val="00D84651"/>
    <w:rsid w:val="00D85449"/>
    <w:rsid w:val="00D857B6"/>
    <w:rsid w:val="00D906B5"/>
    <w:rsid w:val="00D90C20"/>
    <w:rsid w:val="00D915D7"/>
    <w:rsid w:val="00D91F3A"/>
    <w:rsid w:val="00D926D0"/>
    <w:rsid w:val="00D93B77"/>
    <w:rsid w:val="00D9524B"/>
    <w:rsid w:val="00D953C8"/>
    <w:rsid w:val="00DA27FA"/>
    <w:rsid w:val="00DA3996"/>
    <w:rsid w:val="00DA5CA2"/>
    <w:rsid w:val="00DA5D47"/>
    <w:rsid w:val="00DA5E10"/>
    <w:rsid w:val="00DA65C2"/>
    <w:rsid w:val="00DB037E"/>
    <w:rsid w:val="00DB2C83"/>
    <w:rsid w:val="00DB401E"/>
    <w:rsid w:val="00DB40BF"/>
    <w:rsid w:val="00DB5E57"/>
    <w:rsid w:val="00DB6DE5"/>
    <w:rsid w:val="00DC1DA8"/>
    <w:rsid w:val="00DC2C8F"/>
    <w:rsid w:val="00DC4B45"/>
    <w:rsid w:val="00DC58B1"/>
    <w:rsid w:val="00DC5FF4"/>
    <w:rsid w:val="00DD0A42"/>
    <w:rsid w:val="00DD24F5"/>
    <w:rsid w:val="00DD2F61"/>
    <w:rsid w:val="00DD501A"/>
    <w:rsid w:val="00DD5438"/>
    <w:rsid w:val="00DD675B"/>
    <w:rsid w:val="00DD78E7"/>
    <w:rsid w:val="00DE1867"/>
    <w:rsid w:val="00DE36C4"/>
    <w:rsid w:val="00DE4E32"/>
    <w:rsid w:val="00DE57EC"/>
    <w:rsid w:val="00DE6D21"/>
    <w:rsid w:val="00DF23DD"/>
    <w:rsid w:val="00DF35DF"/>
    <w:rsid w:val="00DF4487"/>
    <w:rsid w:val="00DF5F13"/>
    <w:rsid w:val="00DF6824"/>
    <w:rsid w:val="00DF7123"/>
    <w:rsid w:val="00E00093"/>
    <w:rsid w:val="00E00393"/>
    <w:rsid w:val="00E00DAC"/>
    <w:rsid w:val="00E03E22"/>
    <w:rsid w:val="00E05D49"/>
    <w:rsid w:val="00E067A0"/>
    <w:rsid w:val="00E07B52"/>
    <w:rsid w:val="00E10650"/>
    <w:rsid w:val="00E122E3"/>
    <w:rsid w:val="00E12EA2"/>
    <w:rsid w:val="00E157D0"/>
    <w:rsid w:val="00E1582A"/>
    <w:rsid w:val="00E16472"/>
    <w:rsid w:val="00E16A29"/>
    <w:rsid w:val="00E22F48"/>
    <w:rsid w:val="00E24688"/>
    <w:rsid w:val="00E251C3"/>
    <w:rsid w:val="00E25329"/>
    <w:rsid w:val="00E302F4"/>
    <w:rsid w:val="00E33B74"/>
    <w:rsid w:val="00E3474D"/>
    <w:rsid w:val="00E363FB"/>
    <w:rsid w:val="00E41C39"/>
    <w:rsid w:val="00E45A7D"/>
    <w:rsid w:val="00E5149B"/>
    <w:rsid w:val="00E52727"/>
    <w:rsid w:val="00E5533D"/>
    <w:rsid w:val="00E60684"/>
    <w:rsid w:val="00E609EC"/>
    <w:rsid w:val="00E61FAB"/>
    <w:rsid w:val="00E62F35"/>
    <w:rsid w:val="00E6307B"/>
    <w:rsid w:val="00E6591E"/>
    <w:rsid w:val="00E66191"/>
    <w:rsid w:val="00E66E4C"/>
    <w:rsid w:val="00E70A86"/>
    <w:rsid w:val="00E71272"/>
    <w:rsid w:val="00E720C2"/>
    <w:rsid w:val="00E74A31"/>
    <w:rsid w:val="00E821BF"/>
    <w:rsid w:val="00E82F06"/>
    <w:rsid w:val="00E82FF1"/>
    <w:rsid w:val="00E86257"/>
    <w:rsid w:val="00E90CD6"/>
    <w:rsid w:val="00E91BF9"/>
    <w:rsid w:val="00E92B87"/>
    <w:rsid w:val="00E9441D"/>
    <w:rsid w:val="00E94B5D"/>
    <w:rsid w:val="00E969E6"/>
    <w:rsid w:val="00E9723C"/>
    <w:rsid w:val="00EA0AC0"/>
    <w:rsid w:val="00EA1FE1"/>
    <w:rsid w:val="00EA316C"/>
    <w:rsid w:val="00EA331F"/>
    <w:rsid w:val="00EA3B75"/>
    <w:rsid w:val="00EB2F19"/>
    <w:rsid w:val="00EB4F91"/>
    <w:rsid w:val="00EB66C5"/>
    <w:rsid w:val="00EB6DF4"/>
    <w:rsid w:val="00EB7288"/>
    <w:rsid w:val="00EC358A"/>
    <w:rsid w:val="00ED1093"/>
    <w:rsid w:val="00ED1370"/>
    <w:rsid w:val="00ED1815"/>
    <w:rsid w:val="00ED2038"/>
    <w:rsid w:val="00ED27F2"/>
    <w:rsid w:val="00ED447E"/>
    <w:rsid w:val="00ED4698"/>
    <w:rsid w:val="00ED5080"/>
    <w:rsid w:val="00EE0085"/>
    <w:rsid w:val="00EE00FD"/>
    <w:rsid w:val="00EE0760"/>
    <w:rsid w:val="00EE1902"/>
    <w:rsid w:val="00EE26DE"/>
    <w:rsid w:val="00EE53FB"/>
    <w:rsid w:val="00EF4B95"/>
    <w:rsid w:val="00EF5D5C"/>
    <w:rsid w:val="00EF6DBD"/>
    <w:rsid w:val="00EF7621"/>
    <w:rsid w:val="00F00130"/>
    <w:rsid w:val="00F01719"/>
    <w:rsid w:val="00F02484"/>
    <w:rsid w:val="00F0629B"/>
    <w:rsid w:val="00F062B5"/>
    <w:rsid w:val="00F07B6D"/>
    <w:rsid w:val="00F10FF2"/>
    <w:rsid w:val="00F114B4"/>
    <w:rsid w:val="00F12863"/>
    <w:rsid w:val="00F13199"/>
    <w:rsid w:val="00F13D41"/>
    <w:rsid w:val="00F15C08"/>
    <w:rsid w:val="00F16CE1"/>
    <w:rsid w:val="00F17A82"/>
    <w:rsid w:val="00F22996"/>
    <w:rsid w:val="00F23B88"/>
    <w:rsid w:val="00F265C9"/>
    <w:rsid w:val="00F26DCC"/>
    <w:rsid w:val="00F27E3A"/>
    <w:rsid w:val="00F31468"/>
    <w:rsid w:val="00F317CF"/>
    <w:rsid w:val="00F32FEC"/>
    <w:rsid w:val="00F34AAA"/>
    <w:rsid w:val="00F35B62"/>
    <w:rsid w:val="00F37F65"/>
    <w:rsid w:val="00F454E0"/>
    <w:rsid w:val="00F47762"/>
    <w:rsid w:val="00F52B0D"/>
    <w:rsid w:val="00F545F0"/>
    <w:rsid w:val="00F549E5"/>
    <w:rsid w:val="00F5757A"/>
    <w:rsid w:val="00F60CCF"/>
    <w:rsid w:val="00F61C8F"/>
    <w:rsid w:val="00F64D90"/>
    <w:rsid w:val="00F669DC"/>
    <w:rsid w:val="00F67023"/>
    <w:rsid w:val="00F70AFB"/>
    <w:rsid w:val="00F718E6"/>
    <w:rsid w:val="00F735A0"/>
    <w:rsid w:val="00F73CD6"/>
    <w:rsid w:val="00F74B2E"/>
    <w:rsid w:val="00F75E79"/>
    <w:rsid w:val="00F764DC"/>
    <w:rsid w:val="00F76AC7"/>
    <w:rsid w:val="00F8143B"/>
    <w:rsid w:val="00F847AD"/>
    <w:rsid w:val="00F904CC"/>
    <w:rsid w:val="00F9172D"/>
    <w:rsid w:val="00F93546"/>
    <w:rsid w:val="00F948EA"/>
    <w:rsid w:val="00F94A0E"/>
    <w:rsid w:val="00F94F36"/>
    <w:rsid w:val="00F973C7"/>
    <w:rsid w:val="00F97FE9"/>
    <w:rsid w:val="00FA2700"/>
    <w:rsid w:val="00FA45E4"/>
    <w:rsid w:val="00FA53CB"/>
    <w:rsid w:val="00FA6F2B"/>
    <w:rsid w:val="00FB11E9"/>
    <w:rsid w:val="00FB1DF7"/>
    <w:rsid w:val="00FB255B"/>
    <w:rsid w:val="00FB2A3C"/>
    <w:rsid w:val="00FB2ED8"/>
    <w:rsid w:val="00FB3B65"/>
    <w:rsid w:val="00FB5823"/>
    <w:rsid w:val="00FB605B"/>
    <w:rsid w:val="00FB659C"/>
    <w:rsid w:val="00FC01AC"/>
    <w:rsid w:val="00FC0627"/>
    <w:rsid w:val="00FC7191"/>
    <w:rsid w:val="00FD0D61"/>
    <w:rsid w:val="00FD2A81"/>
    <w:rsid w:val="00FD2BBC"/>
    <w:rsid w:val="00FE04CC"/>
    <w:rsid w:val="00FE099C"/>
    <w:rsid w:val="00FE120E"/>
    <w:rsid w:val="00FE2223"/>
    <w:rsid w:val="00FE348E"/>
    <w:rsid w:val="00FE65D5"/>
    <w:rsid w:val="00FF2BBD"/>
    <w:rsid w:val="00FF2E03"/>
    <w:rsid w:val="00FF3C51"/>
    <w:rsid w:val="00FF4245"/>
    <w:rsid w:val="00FF48A7"/>
    <w:rsid w:val="00FF4DAA"/>
    <w:rsid w:val="00FF7F34"/>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203184"/>
    <w:pPr>
      <w:numPr>
        <w:numId w:val="1"/>
      </w:numPr>
      <w:tabs>
        <w:tab w:val="clear" w:pos="567"/>
      </w:tabs>
    </w:pPr>
  </w:style>
  <w:style w:type="paragraph" w:customStyle="1" w:styleId="Titcoul">
    <w:name w:val="Titcoul"/>
    <w:basedOn w:val="Heading1"/>
    <w:link w:val="TitcoulCar"/>
    <w:rsid w:val="00474A0B"/>
    <w:pPr>
      <w:numPr>
        <w:numId w:val="0"/>
      </w:numPr>
      <w:pBdr>
        <w:bottom w:val="none" w:sz="0" w:space="0" w:color="auto"/>
      </w:pBdr>
      <w:spacing w:after="480" w:line="480" w:lineRule="exact"/>
    </w:pPr>
    <w:rPr>
      <w:b/>
      <w:caps/>
      <w:noProof/>
      <w:snapToGrid w:val="0"/>
      <w:color w:val="3366FF"/>
      <w:sz w:val="32"/>
      <w:szCs w:val="32"/>
      <w:lang w:val="en-GB"/>
    </w:rPr>
  </w:style>
  <w:style w:type="character" w:customStyle="1" w:styleId="TitcoulCar">
    <w:name w:val="Titcoul Car"/>
    <w:link w:val="Titcoul"/>
    <w:rsid w:val="00474A0B"/>
    <w:rPr>
      <w:rFonts w:ascii="Arial" w:eastAsia="Times New Roman" w:hAnsi="Arial" w:cs="Arial"/>
      <w:b/>
      <w:bCs/>
      <w:caps/>
      <w:noProof/>
      <w:snapToGrid w:val="0"/>
      <w:color w:val="3366FF"/>
      <w:kern w:val="28"/>
      <w:sz w:val="32"/>
      <w:szCs w:val="32"/>
      <w:lang w:val="en-GB"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Heading1"/>
    <w:link w:val="ChapitreCar"/>
    <w:rsid w:val="00474A0B"/>
    <w:pPr>
      <w:numPr>
        <w:numId w:val="0"/>
      </w:numPr>
      <w:pBdr>
        <w:bottom w:val="single" w:sz="4" w:space="14" w:color="3366FF"/>
      </w:pBdr>
      <w:spacing w:before="240" w:after="480" w:line="840" w:lineRule="exact"/>
    </w:pPr>
    <w:rPr>
      <w:b/>
      <w:caps/>
      <w:noProof/>
      <w:snapToGrid w:val="0"/>
      <w:color w:val="3366FF"/>
      <w:sz w:val="70"/>
      <w:szCs w:val="70"/>
      <w:lang w:val="en-GB"/>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795FF0"/>
    <w:pPr>
      <w:keepNext w:val="0"/>
      <w:numPr>
        <w:numId w:val="0"/>
      </w:numPr>
      <w:spacing w:before="480" w:after="0" w:line="320" w:lineRule="exact"/>
      <w:ind w:left="567"/>
    </w:pPr>
    <w:rPr>
      <w:i/>
      <w:iCs/>
      <w:color w:val="3366FF"/>
      <w:szCs w:val="24"/>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410D11"/>
    <w:pPr>
      <w:widowControl w:val="0"/>
      <w:spacing w:before="1200" w:after="480"/>
    </w:pPr>
    <w:rPr>
      <w:rFonts w:ascii="Arial" w:hAnsi="Arial"/>
      <w:smallCaps w:val="0"/>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lang w:val="en-US"/>
    </w:rPr>
  </w:style>
  <w:style w:type="character" w:customStyle="1" w:styleId="KeyCar">
    <w:name w:val="Key Car"/>
    <w:basedOn w:val="TitcoulCar"/>
    <w:link w:val="Key"/>
    <w:rsid w:val="00DA5D47"/>
    <w:rPr>
      <w:rFonts w:ascii="Arial Gras" w:eastAsia="SimSun" w:hAnsi="Arial Gras" w:cs="Arial"/>
      <w:b/>
      <w:bCs/>
      <w:caps/>
      <w:noProof/>
      <w:snapToGrid w:val="0"/>
      <w:color w:val="3366FF"/>
      <w:kern w:val="28"/>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474A0B"/>
    <w:rPr>
      <w:rFonts w:ascii="Arial" w:eastAsia="Times New Roman" w:hAnsi="Arial" w:cs="Arial"/>
      <w:b/>
      <w:bCs/>
      <w:caps/>
      <w:noProof/>
      <w:snapToGrid w:val="0"/>
      <w:color w:val="3366FF"/>
      <w:kern w:val="28"/>
      <w:sz w:val="70"/>
      <w:szCs w:val="70"/>
      <w:lang w:val="en-GB"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styleId="DocumentMap">
    <w:name w:val="Document Map"/>
    <w:basedOn w:val="Normal"/>
    <w:link w:val="DocumentMapChar"/>
    <w:semiHidden/>
    <w:unhideWhenUsed/>
    <w:rsid w:val="00F973C7"/>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F973C7"/>
    <w:rPr>
      <w:rFonts w:ascii="Lucida Grande" w:eastAsia="SimSun" w:hAnsi="Lucida Grande" w:cs="Lucida Grande"/>
      <w:sz w:val="24"/>
      <w:szCs w:val="24"/>
      <w:lang w:eastAsia="zh-CN"/>
    </w:rPr>
  </w:style>
  <w:style w:type="paragraph" w:customStyle="1" w:styleId="UPlan">
    <w:name w:val="UPlan"/>
    <w:basedOn w:val="Titcoul"/>
    <w:link w:val="UPlanCar"/>
    <w:rsid w:val="00474A0B"/>
    <w:pPr>
      <w:spacing w:after="0"/>
    </w:pPr>
    <w:rPr>
      <w:bCs w:val="0"/>
      <w:sz w:val="48"/>
      <w:szCs w:val="48"/>
    </w:rPr>
  </w:style>
  <w:style w:type="character" w:customStyle="1" w:styleId="UPlanCar">
    <w:name w:val="UPlan Car"/>
    <w:basedOn w:val="TitcoulCar"/>
    <w:link w:val="UPlan"/>
    <w:rsid w:val="00474A0B"/>
    <w:rPr>
      <w:rFonts w:ascii="Arial" w:eastAsia="Times New Roman" w:hAnsi="Arial" w:cs="Arial"/>
      <w:b/>
      <w:bCs w:val="0"/>
      <w:caps/>
      <w:noProof/>
      <w:snapToGrid w:val="0"/>
      <w:color w:val="3366FF"/>
      <w:kern w:val="28"/>
      <w:sz w:val="48"/>
      <w:szCs w:val="4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203184"/>
    <w:pPr>
      <w:numPr>
        <w:numId w:val="1"/>
      </w:numPr>
      <w:tabs>
        <w:tab w:val="clear" w:pos="567"/>
      </w:tabs>
    </w:pPr>
  </w:style>
  <w:style w:type="paragraph" w:customStyle="1" w:styleId="Titcoul">
    <w:name w:val="Titcoul"/>
    <w:basedOn w:val="Heading1"/>
    <w:link w:val="TitcoulCar"/>
    <w:rsid w:val="00474A0B"/>
    <w:pPr>
      <w:numPr>
        <w:numId w:val="0"/>
      </w:numPr>
      <w:pBdr>
        <w:bottom w:val="none" w:sz="0" w:space="0" w:color="auto"/>
      </w:pBdr>
      <w:spacing w:after="480" w:line="480" w:lineRule="exact"/>
    </w:pPr>
    <w:rPr>
      <w:b/>
      <w:caps/>
      <w:noProof/>
      <w:snapToGrid w:val="0"/>
      <w:color w:val="3366FF"/>
      <w:sz w:val="32"/>
      <w:szCs w:val="32"/>
      <w:lang w:val="en-GB"/>
    </w:rPr>
  </w:style>
  <w:style w:type="character" w:customStyle="1" w:styleId="TitcoulCar">
    <w:name w:val="Titcoul Car"/>
    <w:link w:val="Titcoul"/>
    <w:rsid w:val="00474A0B"/>
    <w:rPr>
      <w:rFonts w:ascii="Arial" w:eastAsia="Times New Roman" w:hAnsi="Arial" w:cs="Arial"/>
      <w:b/>
      <w:bCs/>
      <w:caps/>
      <w:noProof/>
      <w:snapToGrid w:val="0"/>
      <w:color w:val="3366FF"/>
      <w:kern w:val="28"/>
      <w:sz w:val="32"/>
      <w:szCs w:val="32"/>
      <w:lang w:val="en-GB"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Heading1"/>
    <w:link w:val="ChapitreCar"/>
    <w:rsid w:val="00474A0B"/>
    <w:pPr>
      <w:numPr>
        <w:numId w:val="0"/>
      </w:numPr>
      <w:pBdr>
        <w:bottom w:val="single" w:sz="4" w:space="14" w:color="3366FF"/>
      </w:pBdr>
      <w:spacing w:before="240" w:after="480" w:line="840" w:lineRule="exact"/>
    </w:pPr>
    <w:rPr>
      <w:b/>
      <w:caps/>
      <w:noProof/>
      <w:snapToGrid w:val="0"/>
      <w:color w:val="3366FF"/>
      <w:sz w:val="70"/>
      <w:szCs w:val="70"/>
      <w:lang w:val="en-GB"/>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795FF0"/>
    <w:pPr>
      <w:keepNext w:val="0"/>
      <w:numPr>
        <w:numId w:val="0"/>
      </w:numPr>
      <w:spacing w:before="480" w:after="0" w:line="320" w:lineRule="exact"/>
      <w:ind w:left="567"/>
    </w:pPr>
    <w:rPr>
      <w:i/>
      <w:iCs/>
      <w:color w:val="3366FF"/>
      <w:szCs w:val="24"/>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410D11"/>
    <w:pPr>
      <w:widowControl w:val="0"/>
      <w:spacing w:before="1200" w:after="480"/>
    </w:pPr>
    <w:rPr>
      <w:rFonts w:ascii="Arial" w:hAnsi="Arial"/>
      <w:smallCaps w:val="0"/>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lang w:val="en-US"/>
    </w:rPr>
  </w:style>
  <w:style w:type="character" w:customStyle="1" w:styleId="KeyCar">
    <w:name w:val="Key Car"/>
    <w:basedOn w:val="TitcoulCar"/>
    <w:link w:val="Key"/>
    <w:rsid w:val="00DA5D47"/>
    <w:rPr>
      <w:rFonts w:ascii="Arial Gras" w:eastAsia="SimSun" w:hAnsi="Arial Gras" w:cs="Arial"/>
      <w:b/>
      <w:bCs/>
      <w:caps/>
      <w:noProof/>
      <w:snapToGrid w:val="0"/>
      <w:color w:val="3366FF"/>
      <w:kern w:val="28"/>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474A0B"/>
    <w:rPr>
      <w:rFonts w:ascii="Arial" w:eastAsia="Times New Roman" w:hAnsi="Arial" w:cs="Arial"/>
      <w:b/>
      <w:bCs/>
      <w:caps/>
      <w:noProof/>
      <w:snapToGrid w:val="0"/>
      <w:color w:val="3366FF"/>
      <w:kern w:val="28"/>
      <w:sz w:val="70"/>
      <w:szCs w:val="70"/>
      <w:lang w:val="en-GB"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styleId="DocumentMap">
    <w:name w:val="Document Map"/>
    <w:basedOn w:val="Normal"/>
    <w:link w:val="DocumentMapChar"/>
    <w:semiHidden/>
    <w:unhideWhenUsed/>
    <w:rsid w:val="00F973C7"/>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F973C7"/>
    <w:rPr>
      <w:rFonts w:ascii="Lucida Grande" w:eastAsia="SimSun" w:hAnsi="Lucida Grande" w:cs="Lucida Grande"/>
      <w:sz w:val="24"/>
      <w:szCs w:val="24"/>
      <w:lang w:eastAsia="zh-CN"/>
    </w:rPr>
  </w:style>
  <w:style w:type="paragraph" w:customStyle="1" w:styleId="UPlan">
    <w:name w:val="UPlan"/>
    <w:basedOn w:val="Titcoul"/>
    <w:link w:val="UPlanCar"/>
    <w:rsid w:val="00474A0B"/>
    <w:pPr>
      <w:spacing w:after="0"/>
    </w:pPr>
    <w:rPr>
      <w:bCs w:val="0"/>
      <w:sz w:val="48"/>
      <w:szCs w:val="48"/>
    </w:rPr>
  </w:style>
  <w:style w:type="character" w:customStyle="1" w:styleId="UPlanCar">
    <w:name w:val="UPlan Car"/>
    <w:basedOn w:val="TitcoulCar"/>
    <w:link w:val="UPlan"/>
    <w:rsid w:val="00474A0B"/>
    <w:rPr>
      <w:rFonts w:ascii="Arial" w:eastAsia="Times New Roman" w:hAnsi="Arial" w:cs="Arial"/>
      <w:b/>
      <w:bCs w:val="0"/>
      <w:caps/>
      <w:noProof/>
      <w:snapToGrid w:val="0"/>
      <w:color w:val="3366FF"/>
      <w:kern w:val="28"/>
      <w:sz w:val="48"/>
      <w:szCs w:val="4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81">
      <w:bodyDiv w:val="1"/>
      <w:marLeft w:val="0"/>
      <w:marRight w:val="0"/>
      <w:marTop w:val="0"/>
      <w:marBottom w:val="0"/>
      <w:divBdr>
        <w:top w:val="none" w:sz="0" w:space="0" w:color="auto"/>
        <w:left w:val="none" w:sz="0" w:space="0" w:color="auto"/>
        <w:bottom w:val="none" w:sz="0" w:space="0" w:color="auto"/>
        <w:right w:val="none" w:sz="0" w:space="0" w:color="auto"/>
      </w:divBdr>
    </w:div>
    <w:div w:id="113601826">
      <w:bodyDiv w:val="1"/>
      <w:marLeft w:val="0"/>
      <w:marRight w:val="0"/>
      <w:marTop w:val="0"/>
      <w:marBottom w:val="0"/>
      <w:divBdr>
        <w:top w:val="none" w:sz="0" w:space="0" w:color="auto"/>
        <w:left w:val="none" w:sz="0" w:space="0" w:color="auto"/>
        <w:bottom w:val="none" w:sz="0" w:space="0" w:color="auto"/>
        <w:right w:val="none" w:sz="0" w:space="0" w:color="auto"/>
      </w:divBdr>
    </w:div>
    <w:div w:id="282462822">
      <w:bodyDiv w:val="1"/>
      <w:marLeft w:val="0"/>
      <w:marRight w:val="0"/>
      <w:marTop w:val="0"/>
      <w:marBottom w:val="0"/>
      <w:divBdr>
        <w:top w:val="none" w:sz="0" w:space="0" w:color="auto"/>
        <w:left w:val="none" w:sz="0" w:space="0" w:color="auto"/>
        <w:bottom w:val="none" w:sz="0" w:space="0" w:color="auto"/>
        <w:right w:val="none" w:sz="0" w:space="0" w:color="auto"/>
      </w:divBdr>
    </w:div>
    <w:div w:id="714740110">
      <w:bodyDiv w:val="1"/>
      <w:marLeft w:val="0"/>
      <w:marRight w:val="0"/>
      <w:marTop w:val="0"/>
      <w:marBottom w:val="0"/>
      <w:divBdr>
        <w:top w:val="none" w:sz="0" w:space="0" w:color="auto"/>
        <w:left w:val="none" w:sz="0" w:space="0" w:color="auto"/>
        <w:bottom w:val="none" w:sz="0" w:space="0" w:color="auto"/>
        <w:right w:val="none" w:sz="0" w:space="0" w:color="auto"/>
      </w:divBdr>
    </w:div>
    <w:div w:id="772746003">
      <w:bodyDiv w:val="1"/>
      <w:marLeft w:val="0"/>
      <w:marRight w:val="0"/>
      <w:marTop w:val="0"/>
      <w:marBottom w:val="0"/>
      <w:divBdr>
        <w:top w:val="none" w:sz="0" w:space="0" w:color="auto"/>
        <w:left w:val="none" w:sz="0" w:space="0" w:color="auto"/>
        <w:bottom w:val="none" w:sz="0" w:space="0" w:color="auto"/>
        <w:right w:val="none" w:sz="0" w:space="0" w:color="auto"/>
      </w:divBdr>
    </w:div>
    <w:div w:id="1169442940">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535">
      <w:bodyDiv w:val="1"/>
      <w:marLeft w:val="0"/>
      <w:marRight w:val="0"/>
      <w:marTop w:val="0"/>
      <w:marBottom w:val="0"/>
      <w:divBdr>
        <w:top w:val="none" w:sz="0" w:space="0" w:color="auto"/>
        <w:left w:val="none" w:sz="0" w:space="0" w:color="auto"/>
        <w:bottom w:val="none" w:sz="0" w:space="0" w:color="auto"/>
        <w:right w:val="none" w:sz="0" w:space="0" w:color="auto"/>
      </w:divBdr>
    </w:div>
    <w:div w:id="1706253258">
      <w:bodyDiv w:val="1"/>
      <w:marLeft w:val="0"/>
      <w:marRight w:val="0"/>
      <w:marTop w:val="0"/>
      <w:marBottom w:val="0"/>
      <w:divBdr>
        <w:top w:val="none" w:sz="0" w:space="0" w:color="auto"/>
        <w:left w:val="none" w:sz="0" w:space="0" w:color="auto"/>
        <w:bottom w:val="none" w:sz="0" w:space="0" w:color="auto"/>
        <w:right w:val="none" w:sz="0" w:space="0" w:color="auto"/>
      </w:divBdr>
    </w:div>
    <w:div w:id="1743871822">
      <w:bodyDiv w:val="1"/>
      <w:marLeft w:val="0"/>
      <w:marRight w:val="0"/>
      <w:marTop w:val="0"/>
      <w:marBottom w:val="0"/>
      <w:divBdr>
        <w:top w:val="none" w:sz="0" w:space="0" w:color="auto"/>
        <w:left w:val="none" w:sz="0" w:space="0" w:color="auto"/>
        <w:bottom w:val="none" w:sz="0" w:space="0" w:color="auto"/>
        <w:right w:val="none" w:sz="0" w:space="0" w:color="auto"/>
      </w:divBdr>
    </w:div>
    <w:div w:id="1899439127">
      <w:bodyDiv w:val="1"/>
      <w:marLeft w:val="0"/>
      <w:marRight w:val="0"/>
      <w:marTop w:val="0"/>
      <w:marBottom w:val="0"/>
      <w:divBdr>
        <w:top w:val="none" w:sz="0" w:space="0" w:color="auto"/>
        <w:left w:val="none" w:sz="0" w:space="0" w:color="auto"/>
        <w:bottom w:val="none" w:sz="0" w:space="0" w:color="auto"/>
        <w:right w:val="none" w:sz="0" w:space="0" w:color="auto"/>
      </w:divBdr>
    </w:div>
    <w:div w:id="1934430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124"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12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8779-36D3-4C8C-A4FA-3117B7BB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4614</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U007-v1.0-PT-FRA.docx</vt:lpstr>
    </vt:vector>
  </TitlesOfParts>
  <Company/>
  <LinksUpToDate>false</LinksUpToDate>
  <CharactersWithSpaces>29938</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U007-v1.0-PT-FRA.docx</dc:title>
  <dc:creator>FLUFFY</dc:creator>
  <cp:lastModifiedBy>Ombeline Scour</cp:lastModifiedBy>
  <cp:revision>14</cp:revision>
  <cp:lastPrinted>2014-04-20T10:57:00Z</cp:lastPrinted>
  <dcterms:created xsi:type="dcterms:W3CDTF">2015-09-23T13:21:00Z</dcterms:created>
  <dcterms:modified xsi:type="dcterms:W3CDTF">2015-09-30T12:56:00Z</dcterms:modified>
</cp:coreProperties>
</file>