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81D" w:rsidRPr="00CE4F9B" w:rsidRDefault="00EB381D" w:rsidP="00EB381D">
      <w:pPr>
        <w:pStyle w:val="Chapitre"/>
        <w:rPr>
          <w:lang w:val="es-ES"/>
        </w:rPr>
      </w:pPr>
      <w:bookmarkStart w:id="0" w:name="_Toc241229700"/>
      <w:bookmarkStart w:id="1" w:name="_Toc241229904"/>
      <w:bookmarkStart w:id="2" w:name="_Toc242165598"/>
      <w:bookmarkStart w:id="3" w:name="_GoBack"/>
      <w:bookmarkEnd w:id="3"/>
      <w:r w:rsidRPr="00CE4F9B">
        <w:rPr>
          <w:b w:val="0"/>
          <w:caps w:val="0"/>
          <w:noProof/>
          <w:sz w:val="20"/>
          <w:szCs w:val="20"/>
          <w:lang w:val="es-ES_tradnl" w:eastAsia="es-ES_tradnl"/>
        </w:rPr>
        <w:drawing>
          <wp:anchor distT="0" distB="0" distL="114300" distR="114300" simplePos="0" relativeHeight="251677696" behindDoc="1" locked="1" layoutInCell="1" allowOverlap="0">
            <wp:simplePos x="0" y="0"/>
            <wp:positionH relativeFrom="margin">
              <wp:posOffset>426085</wp:posOffset>
            </wp:positionH>
            <wp:positionV relativeFrom="margin">
              <wp:posOffset>2120265</wp:posOffset>
            </wp:positionV>
            <wp:extent cx="4865370" cy="4297680"/>
            <wp:effectExtent l="1905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65370" cy="4297680"/>
                    </a:xfrm>
                    <a:prstGeom prst="rect">
                      <a:avLst/>
                    </a:prstGeom>
                  </pic:spPr>
                </pic:pic>
              </a:graphicData>
            </a:graphic>
          </wp:anchor>
        </w:drawing>
      </w:r>
      <w:bookmarkStart w:id="4" w:name="_Toc241644715"/>
      <w:bookmarkStart w:id="5" w:name="_Toc302374685"/>
      <w:r w:rsidRPr="00CE4F9B">
        <w:rPr>
          <w:lang w:val="es-ES"/>
        </w:rPr>
        <w:t>Unidad 7</w:t>
      </w:r>
      <w:bookmarkEnd w:id="4"/>
    </w:p>
    <w:p w:rsidR="00EB381D" w:rsidRPr="00CE4F9B" w:rsidRDefault="00EB381D" w:rsidP="00EB381D">
      <w:pPr>
        <w:pStyle w:val="UPlan"/>
        <w:spacing w:before="520"/>
        <w:rPr>
          <w:rFonts w:eastAsia="Calibri"/>
          <w:sz w:val="44"/>
          <w:szCs w:val="44"/>
          <w:lang w:val="es-ES"/>
        </w:rPr>
      </w:pPr>
      <w:bookmarkStart w:id="6" w:name="_Toc241644716"/>
      <w:r w:rsidRPr="00CE4F9B">
        <w:rPr>
          <w:rFonts w:eastAsia="Calibri"/>
          <w:kern w:val="0"/>
          <w:sz w:val="44"/>
          <w:szCs w:val="44"/>
          <w:lang w:val="es-ES"/>
        </w:rPr>
        <w:t>participación de las</w:t>
      </w:r>
      <w:r w:rsidRPr="00CE4F9B">
        <w:rPr>
          <w:rFonts w:eastAsia="Calibri"/>
          <w:kern w:val="0"/>
          <w:sz w:val="44"/>
          <w:szCs w:val="44"/>
          <w:lang w:val="es-ES"/>
        </w:rPr>
        <w:br/>
        <w:t>comunidades interesadas</w:t>
      </w:r>
      <w:r w:rsidRPr="00CE4F9B">
        <w:rPr>
          <w:sz w:val="44"/>
          <w:szCs w:val="44"/>
          <w:lang w:val="es-ES"/>
        </w:rPr>
        <w:t xml:space="preserve"> </w:t>
      </w:r>
    </w:p>
    <w:bookmarkEnd w:id="5"/>
    <w:p w:rsidR="00EB381D" w:rsidRPr="00CE4F9B" w:rsidRDefault="00EB381D" w:rsidP="00EB381D">
      <w:pPr>
        <w:pStyle w:val="Titcoul"/>
        <w:rPr>
          <w:lang w:val="es-ES"/>
        </w:rPr>
      </w:pPr>
      <w:r w:rsidRPr="00CE4F9B">
        <w:rPr>
          <w:lang w:val="es-ES"/>
        </w:rPr>
        <w:t>texto para el participante</w:t>
      </w:r>
    </w:p>
    <w:bookmarkEnd w:id="0"/>
    <w:bookmarkEnd w:id="1"/>
    <w:bookmarkEnd w:id="2"/>
    <w:bookmarkEnd w:id="6"/>
    <w:p w:rsidR="008C0B71" w:rsidRPr="00CE4F9B" w:rsidRDefault="008C0B71" w:rsidP="008C0B71">
      <w:pPr>
        <w:pStyle w:val="Sschap"/>
        <w:rPr>
          <w:lang w:val="es-ES"/>
        </w:rPr>
      </w:pPr>
      <w:r w:rsidRPr="00CE4F9B">
        <w:rPr>
          <w:lang w:val="es-ES"/>
        </w:rPr>
        <w:t xml:space="preserve">En esta </w:t>
      </w:r>
      <w:r w:rsidR="00CE4919" w:rsidRPr="00CE4F9B">
        <w:rPr>
          <w:lang w:val="es-ES"/>
        </w:rPr>
        <w:t>unidad</w:t>
      </w:r>
      <w:r w:rsidRPr="00CE4F9B">
        <w:rPr>
          <w:lang w:val="es-ES"/>
        </w:rPr>
        <w:t xml:space="preserve"> se aborda la cuestión de la participación de las comunidades en la aplicación de la Convención</w:t>
      </w:r>
      <w:r w:rsidRPr="00CE4F9B">
        <w:rPr>
          <w:spacing w:val="9"/>
          <w:lang w:val="es-ES"/>
        </w:rPr>
        <w:t xml:space="preserve"> para la Salvaguardia del patrimonio Cultural Inmaterial</w:t>
      </w:r>
      <w:r w:rsidRPr="00CE4F9B">
        <w:rPr>
          <w:rStyle w:val="FootnoteReference"/>
          <w:sz w:val="24"/>
          <w:szCs w:val="24"/>
          <w:lang w:val="es-ES"/>
        </w:rPr>
        <w:footnoteReference w:id="1"/>
      </w:r>
      <w:r w:rsidRPr="00CE4F9B">
        <w:rPr>
          <w:spacing w:val="9"/>
          <w:lang w:val="es-ES"/>
        </w:rPr>
        <w:t xml:space="preserve"> </w:t>
      </w:r>
      <w:r w:rsidRPr="00CE4F9B">
        <w:rPr>
          <w:lang w:val="es-ES"/>
        </w:rPr>
        <w:t>y abarca los siguientes temas:</w:t>
      </w:r>
    </w:p>
    <w:p w:rsidR="008C0B71" w:rsidRPr="00CE4F9B" w:rsidRDefault="00EB381D" w:rsidP="008C0B71">
      <w:pPr>
        <w:pStyle w:val="Txtchap"/>
        <w:spacing w:after="80"/>
        <w:rPr>
          <w:lang w:val="es-ES"/>
        </w:rPr>
      </w:pPr>
      <w:r w:rsidRPr="00CE4F9B">
        <w:rPr>
          <w:lang w:val="es-ES"/>
        </w:rPr>
        <w:t>Qué dicen –</w:t>
      </w:r>
      <w:r w:rsidR="008C0B71" w:rsidRPr="00CE4F9B">
        <w:rPr>
          <w:lang w:val="es-ES"/>
        </w:rPr>
        <w:t>y qué no dicen</w:t>
      </w:r>
      <w:r w:rsidRPr="00CE4F9B">
        <w:rPr>
          <w:lang w:val="es-ES"/>
        </w:rPr>
        <w:t>–</w:t>
      </w:r>
      <w:r w:rsidR="008C0B71" w:rsidRPr="00CE4F9B">
        <w:rPr>
          <w:lang w:val="es-ES"/>
        </w:rPr>
        <w:t xml:space="preserve"> la Convención y las D</w:t>
      </w:r>
      <w:r w:rsidRPr="00CE4F9B">
        <w:rPr>
          <w:lang w:val="es-ES"/>
        </w:rPr>
        <w:t xml:space="preserve">irectrices Operativas (DO) </w:t>
      </w:r>
      <w:r w:rsidR="008C0B71" w:rsidRPr="00CE4F9B">
        <w:rPr>
          <w:lang w:val="es-ES"/>
        </w:rPr>
        <w:t>sobre la participación de las comunidades.</w:t>
      </w:r>
    </w:p>
    <w:p w:rsidR="008C0B71" w:rsidRPr="00CE4F9B" w:rsidRDefault="008C0B71" w:rsidP="008C0B71">
      <w:pPr>
        <w:pStyle w:val="Txtchap"/>
        <w:spacing w:after="80"/>
        <w:rPr>
          <w:lang w:val="es-ES"/>
        </w:rPr>
      </w:pPr>
      <w:r w:rsidRPr="00CE4F9B">
        <w:rPr>
          <w:lang w:val="es-ES"/>
        </w:rPr>
        <w:t>Por qué se requiere la participación de las comunidades.</w:t>
      </w:r>
    </w:p>
    <w:p w:rsidR="008C0B71" w:rsidRPr="00CE4F9B" w:rsidRDefault="008C0B71" w:rsidP="008C0B71">
      <w:pPr>
        <w:pStyle w:val="Txtchap"/>
        <w:spacing w:after="80"/>
        <w:rPr>
          <w:lang w:val="es-ES"/>
        </w:rPr>
      </w:pPr>
      <w:r w:rsidRPr="00CE4F9B">
        <w:rPr>
          <w:lang w:val="es-ES"/>
        </w:rPr>
        <w:t>Cuándo se requier</w:t>
      </w:r>
      <w:r w:rsidR="00EB381D" w:rsidRPr="00CE4F9B">
        <w:rPr>
          <w:lang w:val="es-ES"/>
        </w:rPr>
        <w:t>e que</w:t>
      </w:r>
      <w:r w:rsidRPr="00CE4F9B">
        <w:rPr>
          <w:lang w:val="es-ES"/>
        </w:rPr>
        <w:t xml:space="preserve"> </w:t>
      </w:r>
      <w:r w:rsidR="00EB381D" w:rsidRPr="00CE4F9B">
        <w:rPr>
          <w:lang w:val="es-ES"/>
        </w:rPr>
        <w:t xml:space="preserve">las comunidades </w:t>
      </w:r>
      <w:r w:rsidRPr="00CE4F9B">
        <w:rPr>
          <w:lang w:val="es-ES"/>
        </w:rPr>
        <w:t>particip</w:t>
      </w:r>
      <w:r w:rsidR="00EB381D" w:rsidRPr="00CE4F9B">
        <w:rPr>
          <w:lang w:val="es-ES"/>
        </w:rPr>
        <w:t>e</w:t>
      </w:r>
      <w:r w:rsidRPr="00CE4F9B">
        <w:rPr>
          <w:lang w:val="es-ES"/>
        </w:rPr>
        <w:t xml:space="preserve">n y </w:t>
      </w:r>
      <w:r w:rsidR="00EB381D" w:rsidRPr="00CE4F9B">
        <w:rPr>
          <w:lang w:val="es-ES"/>
        </w:rPr>
        <w:t>den su consentimiento</w:t>
      </w:r>
      <w:r w:rsidRPr="00CE4F9B">
        <w:rPr>
          <w:lang w:val="es-ES"/>
        </w:rPr>
        <w:t>.</w:t>
      </w:r>
    </w:p>
    <w:p w:rsidR="008C0B71" w:rsidRPr="00CE4F9B" w:rsidRDefault="008C0B71" w:rsidP="008C0B71">
      <w:pPr>
        <w:pStyle w:val="Txtchap"/>
        <w:spacing w:after="80"/>
        <w:rPr>
          <w:lang w:val="es-ES"/>
        </w:rPr>
      </w:pPr>
      <w:r w:rsidRPr="00CE4F9B">
        <w:rPr>
          <w:lang w:val="es-ES"/>
        </w:rPr>
        <w:t>Cómo organizar la participación de las comunidades en la confección de inventarios, la sensibilización</w:t>
      </w:r>
      <w:r w:rsidR="00EB381D" w:rsidRPr="00CE4F9B">
        <w:rPr>
          <w:lang w:val="es-ES"/>
        </w:rPr>
        <w:t xml:space="preserve"> al valor e importancia del PCI y</w:t>
      </w:r>
      <w:r w:rsidRPr="00CE4F9B">
        <w:rPr>
          <w:lang w:val="es-ES"/>
        </w:rPr>
        <w:t xml:space="preserve"> la elaboración de expedientes de candidatura y solicitudes de asistencia internacional.</w:t>
      </w:r>
    </w:p>
    <w:p w:rsidR="008C0B71" w:rsidRPr="00CE4F9B" w:rsidRDefault="008C0B71" w:rsidP="008C0B71">
      <w:pPr>
        <w:pStyle w:val="Txtchap"/>
        <w:spacing w:after="80"/>
        <w:rPr>
          <w:lang w:val="es-ES"/>
        </w:rPr>
      </w:pPr>
      <w:r w:rsidRPr="00CE4F9B">
        <w:rPr>
          <w:lang w:val="es-ES"/>
        </w:rPr>
        <w:t>Cómo identificar a las comunidades y sus representantes, obtener su consentimiento libre, previo e i</w:t>
      </w:r>
      <w:r w:rsidR="00EB381D" w:rsidRPr="00CE4F9B">
        <w:rPr>
          <w:lang w:val="es-ES"/>
        </w:rPr>
        <w:t>nformado, proteger sus derechos</w:t>
      </w:r>
      <w:r w:rsidRPr="00CE4F9B">
        <w:rPr>
          <w:lang w:val="es-ES"/>
        </w:rPr>
        <w:t xml:space="preserve"> y garantizar que se beneficien de la aplicación de la Convención.</w:t>
      </w:r>
    </w:p>
    <w:p w:rsidR="008C0B71" w:rsidRPr="00CE4F9B" w:rsidRDefault="000874E7" w:rsidP="008C0B71">
      <w:pPr>
        <w:pStyle w:val="Chapinfo"/>
        <w:spacing w:before="400" w:after="80"/>
        <w:rPr>
          <w:lang w:val="es-ES"/>
        </w:rPr>
      </w:pPr>
      <w:r w:rsidRPr="00CE4F9B">
        <w:rPr>
          <w:lang w:val="es-ES" w:eastAsia="en-US"/>
        </w:rPr>
        <w:t>Véanse en el Texto para el Participante de la Unidad 3 las secciones tituladas</w:t>
      </w:r>
      <w:r w:rsidR="008C0B71" w:rsidRPr="00CE4F9B">
        <w:rPr>
          <w:lang w:val="es-ES"/>
        </w:rPr>
        <w:t xml:space="preserve"> “Comunidades, grupos e individuos’, “Consentimiento libre, previo e informado”, “Comunidades indígenas” y “Propiedad intelectual”.</w:t>
      </w:r>
    </w:p>
    <w:p w:rsidR="008C0B71" w:rsidRPr="00CE4F9B" w:rsidRDefault="008C0B71" w:rsidP="008C0B71">
      <w:pPr>
        <w:pStyle w:val="Chapinfo"/>
        <w:spacing w:before="400"/>
        <w:rPr>
          <w:i w:val="0"/>
          <w:iCs w:val="0"/>
          <w:lang w:val="es-ES"/>
        </w:rPr>
      </w:pPr>
      <w:r w:rsidRPr="00CE4F9B">
        <w:rPr>
          <w:lang w:val="es-ES"/>
        </w:rPr>
        <w:t xml:space="preserve">En los Estudios de Casos 9 a 13 se pueden encontrar ejemplos </w:t>
      </w:r>
      <w:r w:rsidR="00EB381D" w:rsidRPr="00CE4F9B">
        <w:rPr>
          <w:lang w:val="es-ES"/>
        </w:rPr>
        <w:t>pertinentes para</w:t>
      </w:r>
      <w:r w:rsidRPr="00CE4F9B">
        <w:rPr>
          <w:lang w:val="es-ES"/>
        </w:rPr>
        <w:t xml:space="preserve"> la presente Unidad 7.</w:t>
      </w:r>
      <w:r w:rsidRPr="00CE4F9B">
        <w:rPr>
          <w:lang w:val="es-ES"/>
        </w:rPr>
        <w:br w:type="page"/>
      </w:r>
    </w:p>
    <w:p w:rsidR="008C0B71" w:rsidRPr="00CE4F9B" w:rsidRDefault="008C0B71" w:rsidP="008C0B71">
      <w:pPr>
        <w:pStyle w:val="Titcoul"/>
        <w:spacing w:before="0"/>
        <w:rPr>
          <w:spacing w:val="6"/>
          <w:w w:val="106"/>
          <w:lang w:val="es-ES"/>
        </w:rPr>
      </w:pPr>
      <w:bookmarkStart w:id="7" w:name="_Toc241229701"/>
      <w:bookmarkStart w:id="8" w:name="_Toc241229905"/>
      <w:bookmarkStart w:id="9" w:name="_Toc242165599"/>
      <w:r w:rsidRPr="00CE4F9B">
        <w:rPr>
          <w:w w:val="106"/>
          <w:lang w:val="es-ES"/>
        </w:rPr>
        <w:lastRenderedPageBreak/>
        <w:t>7.1</w:t>
      </w:r>
      <w:r w:rsidRPr="00CE4F9B">
        <w:rPr>
          <w:spacing w:val="6"/>
          <w:w w:val="106"/>
          <w:lang w:val="es-ES"/>
        </w:rPr>
        <w:tab/>
      </w:r>
      <w:bookmarkEnd w:id="7"/>
      <w:bookmarkEnd w:id="8"/>
      <w:bookmarkEnd w:id="9"/>
      <w:r w:rsidRPr="00CE4F9B">
        <w:rPr>
          <w:lang w:val="es-ES"/>
        </w:rPr>
        <w:t xml:space="preserve">Lo que dicen la </w:t>
      </w:r>
      <w:r w:rsidRPr="00CE4F9B">
        <w:rPr>
          <w:rFonts w:eastAsia="MS Gothic"/>
          <w:lang w:val="es-ES"/>
        </w:rPr>
        <w:t>Convención y las DO</w:t>
      </w:r>
    </w:p>
    <w:p w:rsidR="008C0B71" w:rsidRPr="00CE4F9B" w:rsidRDefault="008C0B71" w:rsidP="008C0B71">
      <w:pPr>
        <w:pStyle w:val="Texte1"/>
        <w:rPr>
          <w:lang w:val="es-ES"/>
        </w:rPr>
      </w:pPr>
      <w:r w:rsidRPr="00CE4F9B">
        <w:rPr>
          <w:lang w:val="es-ES"/>
        </w:rPr>
        <w:t xml:space="preserve">La participación de las comunidades en la identificación, confección de inventarios, gestión y salvaguardia del PCI es un principio esencial de la Convención (véanse sus Artículos 11.b y 15). Los Estados pueden hacer participar a las comunidades en diversas actividades, conforme a lo dispuesto en la Convención (esta cuestión se examina con mayor detalle en la sección 7.4 del presente </w:t>
      </w:r>
      <w:r w:rsidR="00460B69" w:rsidRPr="00CE4F9B">
        <w:rPr>
          <w:lang w:val="es-ES"/>
        </w:rPr>
        <w:t>documento</w:t>
      </w:r>
      <w:r w:rsidRPr="00CE4F9B">
        <w:rPr>
          <w:lang w:val="es-ES"/>
        </w:rPr>
        <w:t>).</w:t>
      </w:r>
    </w:p>
    <w:p w:rsidR="008C0B71" w:rsidRPr="00CE4F9B" w:rsidRDefault="008C0B71" w:rsidP="008C0B71">
      <w:pPr>
        <w:pStyle w:val="Texte1"/>
        <w:rPr>
          <w:lang w:val="es-ES"/>
        </w:rPr>
      </w:pPr>
      <w:r w:rsidRPr="00CE4F9B">
        <w:rPr>
          <w:lang w:val="es-ES"/>
        </w:rPr>
        <w:t xml:space="preserve">Sin embargo, la Convención y las DO no suministran indicaciones precisas sobre la manera en que se debe identificar a las comunidades, grupos e individuos pertinentes. Tampoco dan muchas orientaciones sobre cómo hacerles participar en actividades relacionadas con su PCI. Esto deja un considerable margen de acción a los Estados Partes para adaptarse a sus </w:t>
      </w:r>
      <w:r w:rsidR="00EB381D" w:rsidRPr="00CE4F9B">
        <w:rPr>
          <w:lang w:val="es-ES"/>
        </w:rPr>
        <w:t>situacione</w:t>
      </w:r>
      <w:r w:rsidRPr="00CE4F9B">
        <w:rPr>
          <w:lang w:val="es-ES"/>
        </w:rPr>
        <w:t>s específicas. Por ejemplo, pueden comenzar con la identificación de elementos específicos del PCI y luego trabajar con las personas que los practican (que</w:t>
      </w:r>
      <w:r w:rsidR="0081313B" w:rsidRPr="00CE4F9B">
        <w:rPr>
          <w:lang w:val="es-ES"/>
        </w:rPr>
        <w:t xml:space="preserve"> se definirían como “[parte de] </w:t>
      </w:r>
      <w:r w:rsidRPr="00CE4F9B">
        <w:rPr>
          <w:lang w:val="es-ES"/>
        </w:rPr>
        <w:t xml:space="preserve">la comunidad interesada”), o bien pueden identificar en primer lugar a las comunidades y luego, conjuntamente con ellas, proceder a la identificación de su PCI (véase a este respecto el Texto para el Participante </w:t>
      </w:r>
      <w:r w:rsidR="00EB381D" w:rsidRPr="00CE4F9B">
        <w:rPr>
          <w:noProof/>
          <w:lang w:val="es-ES_tradnl" w:eastAsia="es-ES_tradnl"/>
        </w:rPr>
        <w:drawing>
          <wp:anchor distT="0" distB="0" distL="114300" distR="114300" simplePos="0" relativeHeight="251679744" behindDoc="0" locked="1" layoutInCell="1" allowOverlap="0">
            <wp:simplePos x="0" y="0"/>
            <wp:positionH relativeFrom="column">
              <wp:posOffset>144145</wp:posOffset>
            </wp:positionH>
            <wp:positionV relativeFrom="paragraph">
              <wp:posOffset>1470025</wp:posOffset>
            </wp:positionV>
            <wp:extent cx="281940" cy="358140"/>
            <wp:effectExtent l="19050" t="0" r="3810" b="0"/>
            <wp:wrapThrough wrapText="bothSides">
              <wp:wrapPolygon edited="0">
                <wp:start x="-1459" y="0"/>
                <wp:lineTo x="-1459" y="20681"/>
                <wp:lineTo x="21892" y="20681"/>
                <wp:lineTo x="21892" y="0"/>
                <wp:lineTo x="-1459" y="0"/>
              </wp:wrapPolygon>
            </wp:wrapThrough>
            <wp:docPr id="301" name="Imag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1940" cy="358140"/>
                    </a:xfrm>
                    <a:prstGeom prst="rect">
                      <a:avLst/>
                    </a:prstGeom>
                  </pic:spPr>
                </pic:pic>
              </a:graphicData>
            </a:graphic>
          </wp:anchor>
        </w:drawing>
      </w:r>
      <w:r w:rsidRPr="00CE4F9B">
        <w:rPr>
          <w:lang w:val="es-ES"/>
        </w:rPr>
        <w:t>de la Unidad 3: “Comunidades, grupos e individuos”).</w:t>
      </w:r>
    </w:p>
    <w:p w:rsidR="008C0B71" w:rsidRPr="00CE4F9B" w:rsidRDefault="008C0B71" w:rsidP="008C0B71">
      <w:pPr>
        <w:pStyle w:val="Titcoul"/>
        <w:rPr>
          <w:spacing w:val="9"/>
          <w:w w:val="107"/>
          <w:lang w:val="es-ES"/>
        </w:rPr>
      </w:pPr>
      <w:bookmarkStart w:id="10" w:name="_Toc241229702"/>
      <w:bookmarkStart w:id="11" w:name="_Toc241229906"/>
      <w:bookmarkStart w:id="12" w:name="_Toc242165600"/>
      <w:r w:rsidRPr="00CE4F9B">
        <w:rPr>
          <w:lang w:val="es-ES"/>
        </w:rPr>
        <w:t>7.2</w:t>
      </w:r>
      <w:r w:rsidRPr="00CE4F9B">
        <w:rPr>
          <w:spacing w:val="9"/>
          <w:w w:val="107"/>
          <w:lang w:val="es-ES"/>
        </w:rPr>
        <w:tab/>
      </w:r>
      <w:r w:rsidRPr="00CE4F9B">
        <w:rPr>
          <w:rFonts w:eastAsia="MS Gothic"/>
          <w:lang w:val="es-ES"/>
        </w:rPr>
        <w:t>¿Por qué es necesaria la participación de las comunidades?</w:t>
      </w:r>
      <w:bookmarkEnd w:id="10"/>
      <w:bookmarkEnd w:id="11"/>
      <w:bookmarkEnd w:id="12"/>
      <w:r w:rsidRPr="00CE4F9B">
        <w:rPr>
          <w:lang w:val="es-ES" w:eastAsia="fr-FR"/>
        </w:rPr>
        <w:t xml:space="preserve"> </w:t>
      </w:r>
    </w:p>
    <w:p w:rsidR="008C0B71" w:rsidRPr="00CE4F9B" w:rsidRDefault="008C0B71" w:rsidP="008C0B71">
      <w:pPr>
        <w:pStyle w:val="Texte1"/>
        <w:rPr>
          <w:lang w:val="es-ES"/>
        </w:rPr>
      </w:pPr>
      <w:r w:rsidRPr="00CE4F9B">
        <w:rPr>
          <w:lang w:val="es-ES"/>
        </w:rPr>
        <w:t>La existencia del PCI no es independiente de las personas (esto es, de las comunidades, grupos e individuos) que lo crean, manifiestan y se identifican con él. Los conocimientos y competencias necesarios para manifestar y transmitir el PCI se hallan en las mentes de las personas y son los cuerpos de éstas los que constituyen el instrumento principal para</w:t>
      </w:r>
      <w:r w:rsidR="007F2D5E" w:rsidRPr="00CE4F9B">
        <w:rPr>
          <w:lang w:val="es-ES"/>
        </w:rPr>
        <w:t xml:space="preserve"> </w:t>
      </w:r>
      <w:r w:rsidRPr="00CE4F9B">
        <w:rPr>
          <w:lang w:val="es-ES"/>
        </w:rPr>
        <w:t xml:space="preserve">exteriorizarlo. De ahí que la salvaguardia del PCI –definida a menudo como “la forma de garantizar su práctica y transmisión perdurables por parte de las comunidades, grupos e individuos interesados”– no deba llevarse a cabo sin </w:t>
      </w:r>
      <w:r w:rsidR="0081313B" w:rsidRPr="00CE4F9B">
        <w:rPr>
          <w:lang w:val="es-ES"/>
        </w:rPr>
        <w:t>su</w:t>
      </w:r>
      <w:r w:rsidRPr="00CE4F9B">
        <w:rPr>
          <w:lang w:val="es-ES"/>
        </w:rPr>
        <w:t xml:space="preserve"> consentimiento, participación y compromiso (Artículo 15 de la Convención). Esto también es válido para la gestión de los elementos del PCI que no corren peligro alguno y que, por ende, no requieren la realización de operaciones de salvaguardia para mantener su viabilidad.</w:t>
      </w:r>
    </w:p>
    <w:p w:rsidR="008C0B71" w:rsidRPr="00CE4F9B" w:rsidRDefault="008C0B71" w:rsidP="008C0B71">
      <w:pPr>
        <w:pStyle w:val="Texte1"/>
        <w:rPr>
          <w:lang w:val="es-ES"/>
        </w:rPr>
      </w:pPr>
      <w:r w:rsidRPr="00CE4F9B">
        <w:rPr>
          <w:lang w:val="es-ES"/>
        </w:rPr>
        <w:t xml:space="preserve">Por consiguiente, toda actividad relacionada con un elemento del PCI que se emprenda en el marco de </w:t>
      </w:r>
      <w:r w:rsidR="00605C3B" w:rsidRPr="00CE4F9B">
        <w:rPr>
          <w:lang w:val="es-ES"/>
        </w:rPr>
        <w:t xml:space="preserve">la </w:t>
      </w:r>
      <w:r w:rsidRPr="00CE4F9B">
        <w:rPr>
          <w:lang w:val="es-ES"/>
        </w:rPr>
        <w:t>aplicación de la Convención se debe llevar a cabo con la</w:t>
      </w:r>
      <w:r w:rsidR="007F2D5E" w:rsidRPr="00CE4F9B">
        <w:rPr>
          <w:lang w:val="es-ES"/>
        </w:rPr>
        <w:t xml:space="preserve"> </w:t>
      </w:r>
      <w:r w:rsidRPr="00CE4F9B">
        <w:rPr>
          <w:lang w:val="es-ES"/>
        </w:rPr>
        <w:t>mayor participación posible de las comunidades, grupos e individuos interesados, y con su pleno consentimiento. Esto significa que ninguna actividad prevista en el marco de la aplicación de la Convención puede tener como resultado alterar el control que las colectividades y personas interesadas ejercen sobre su PCI.</w:t>
      </w:r>
    </w:p>
    <w:p w:rsidR="008C0B71" w:rsidRPr="00CE4F9B" w:rsidRDefault="008C0B71" w:rsidP="008C0B71">
      <w:pPr>
        <w:pStyle w:val="Texte1"/>
        <w:rPr>
          <w:lang w:val="es-ES"/>
        </w:rPr>
      </w:pPr>
      <w:r w:rsidRPr="00CE4F9B">
        <w:rPr>
          <w:lang w:val="es-ES"/>
        </w:rPr>
        <w:t xml:space="preserve">Evidentemente, antes de que la Convención entrara en vigor, comunidades del mundo entero se habían esforzado y se esforzaban por salvaguardar elementos de su PCI, con ayuda exterior o sin ella y con distintos grados de éxito. Sin embargo, en muchos casos, las comunidades habían tropezado o tropezaban con la dificultad, o incluso la imposibilidad, de salvaguardar </w:t>
      </w:r>
      <w:r w:rsidR="0081313B" w:rsidRPr="00CE4F9B">
        <w:rPr>
          <w:lang w:val="es-ES"/>
        </w:rPr>
        <w:t xml:space="preserve">los elementos de </w:t>
      </w:r>
      <w:r w:rsidRPr="00CE4F9B">
        <w:rPr>
          <w:lang w:val="es-ES"/>
        </w:rPr>
        <w:t xml:space="preserve">su PCI por no disponer de recursos suficientes, por no darse condiciones propicias para </w:t>
      </w:r>
      <w:r w:rsidR="0081313B" w:rsidRPr="00CE4F9B">
        <w:rPr>
          <w:lang w:val="es-ES"/>
        </w:rPr>
        <w:t>su</w:t>
      </w:r>
      <w:r w:rsidRPr="00CE4F9B">
        <w:rPr>
          <w:lang w:val="es-ES"/>
        </w:rPr>
        <w:t xml:space="preserve"> salvaguardia o por estimar que </w:t>
      </w:r>
      <w:r w:rsidR="0081313B" w:rsidRPr="00CE4F9B">
        <w:rPr>
          <w:lang w:val="es-ES"/>
        </w:rPr>
        <w:t>es</w:t>
      </w:r>
      <w:r w:rsidRPr="00CE4F9B">
        <w:rPr>
          <w:lang w:val="es-ES"/>
        </w:rPr>
        <w:t xml:space="preserve">os elementos habían perdido la función que desempeñaban </w:t>
      </w:r>
      <w:r w:rsidR="0081313B" w:rsidRPr="00CE4F9B">
        <w:rPr>
          <w:lang w:val="es-ES"/>
        </w:rPr>
        <w:t>para</w:t>
      </w:r>
      <w:r w:rsidRPr="00CE4F9B">
        <w:rPr>
          <w:lang w:val="es-ES"/>
        </w:rPr>
        <w:t xml:space="preserve"> la comunidad</w:t>
      </w:r>
      <w:r w:rsidR="00605C3B" w:rsidRPr="00CE4F9B">
        <w:rPr>
          <w:lang w:val="es-ES"/>
        </w:rPr>
        <w:t>.</w:t>
      </w:r>
    </w:p>
    <w:p w:rsidR="008C0B71" w:rsidRPr="00CE4F9B" w:rsidRDefault="008C0B71" w:rsidP="008C0B71">
      <w:pPr>
        <w:pStyle w:val="Titcoul"/>
        <w:rPr>
          <w:lang w:val="es-ES"/>
        </w:rPr>
      </w:pPr>
      <w:bookmarkStart w:id="13" w:name="_Toc241229703"/>
      <w:bookmarkStart w:id="14" w:name="_Toc241229907"/>
      <w:bookmarkStart w:id="15" w:name="_Toc242165601"/>
      <w:r w:rsidRPr="00CE4F9B">
        <w:rPr>
          <w:lang w:val="es-ES"/>
        </w:rPr>
        <w:lastRenderedPageBreak/>
        <w:t xml:space="preserve">7.3 </w:t>
      </w:r>
      <w:r w:rsidRPr="00CE4F9B">
        <w:rPr>
          <w:lang w:val="es-ES"/>
        </w:rPr>
        <w:tab/>
      </w:r>
      <w:bookmarkEnd w:id="13"/>
      <w:bookmarkEnd w:id="14"/>
      <w:bookmarkEnd w:id="15"/>
      <w:r w:rsidRPr="00CE4F9B">
        <w:rPr>
          <w:rFonts w:eastAsia="MS Gothic"/>
          <w:lang w:val="es-ES"/>
        </w:rPr>
        <w:t xml:space="preserve">¿En qué </w:t>
      </w:r>
      <w:r w:rsidR="00605C3B" w:rsidRPr="00CE4F9B">
        <w:rPr>
          <w:rFonts w:eastAsia="MS Gothic"/>
          <w:lang w:val="es-ES"/>
        </w:rPr>
        <w:t xml:space="preserve">deben </w:t>
      </w:r>
      <w:r w:rsidRPr="00CE4F9B">
        <w:rPr>
          <w:rFonts w:eastAsia="MS Gothic"/>
          <w:lang w:val="es-ES"/>
        </w:rPr>
        <w:t>participa</w:t>
      </w:r>
      <w:r w:rsidR="00605C3B" w:rsidRPr="00CE4F9B">
        <w:rPr>
          <w:rFonts w:eastAsia="MS Gothic"/>
          <w:lang w:val="es-ES"/>
        </w:rPr>
        <w:t>r</w:t>
      </w:r>
      <w:r w:rsidRPr="00CE4F9B">
        <w:rPr>
          <w:rFonts w:eastAsia="MS Gothic"/>
          <w:lang w:val="es-ES"/>
        </w:rPr>
        <w:t xml:space="preserve"> las comunidades?</w:t>
      </w:r>
    </w:p>
    <w:p w:rsidR="008C0B71" w:rsidRPr="00CE4F9B" w:rsidRDefault="008C0B71" w:rsidP="008C0B71">
      <w:pPr>
        <w:pStyle w:val="Texte1"/>
        <w:rPr>
          <w:lang w:val="es-ES"/>
        </w:rPr>
      </w:pPr>
      <w:r w:rsidRPr="00CE4F9B">
        <w:rPr>
          <w:lang w:val="es-ES"/>
        </w:rPr>
        <w:t xml:space="preserve">La participación de las comunidades debe ser un objetivo esencial de la serie continua de actividades emprendidas en el marco de la aplicación de la Convención, esto quiere decir que la salvaguardia de elementos específicos del PCI debe ser, en última instancia, obra de las comunidades, grupos e individuos interesados. En las DO se pide a los Estados Partes que ayuden a las comunidades interesadas a adquirir o fortalecer las capacidades y conocimientos </w:t>
      </w:r>
      <w:r w:rsidR="00605C3B" w:rsidRPr="00CE4F9B">
        <w:rPr>
          <w:lang w:val="es-ES"/>
        </w:rPr>
        <w:t>esenciales</w:t>
      </w:r>
      <w:r w:rsidRPr="00CE4F9B">
        <w:rPr>
          <w:lang w:val="es-ES"/>
        </w:rPr>
        <w:t xml:space="preserve"> para salvaguardar </w:t>
      </w:r>
      <w:r w:rsidR="007B2650" w:rsidRPr="00CE4F9B">
        <w:rPr>
          <w:lang w:val="es-ES"/>
        </w:rPr>
        <w:t xml:space="preserve">su PCI </w:t>
      </w:r>
      <w:r w:rsidRPr="00CE4F9B">
        <w:rPr>
          <w:lang w:val="es-ES"/>
        </w:rPr>
        <w:t xml:space="preserve">y llevar a cabo la gestión de </w:t>
      </w:r>
      <w:r w:rsidR="00605C3B" w:rsidRPr="00CE4F9B">
        <w:rPr>
          <w:lang w:val="es-ES"/>
        </w:rPr>
        <w:t>su</w:t>
      </w:r>
      <w:r w:rsidRPr="00CE4F9B">
        <w:rPr>
          <w:lang w:val="es-ES"/>
        </w:rPr>
        <w:t>s elementos, allí donde sea necesario (véanse, por ejemplo, las DO 81, 82, 105.e y 107.m).</w:t>
      </w:r>
    </w:p>
    <w:p w:rsidR="008C0B71" w:rsidRPr="00CE4F9B" w:rsidRDefault="008C0B71" w:rsidP="008C0B71">
      <w:pPr>
        <w:pStyle w:val="Texte1"/>
        <w:rPr>
          <w:lang w:val="es-ES"/>
        </w:rPr>
      </w:pPr>
      <w:r w:rsidRPr="00CE4F9B">
        <w:rPr>
          <w:lang w:val="es-ES"/>
        </w:rPr>
        <w:t xml:space="preserve">En el Cuadro 1 </w:t>
      </w:r>
      <w:r w:rsidRPr="00CE4F9B">
        <w:rPr>
          <w:i/>
          <w:lang w:val="es-ES"/>
        </w:rPr>
        <w:t>infra</w:t>
      </w:r>
      <w:r w:rsidRPr="00CE4F9B">
        <w:rPr>
          <w:lang w:val="es-ES"/>
        </w:rPr>
        <w:t xml:space="preserve"> figuran las exigencias y recomendaciones de la Convención y las DO en lo que respecta a la participación y el consentimiento de las comunidades.</w:t>
      </w:r>
    </w:p>
    <w:p w:rsidR="008C0B71" w:rsidRPr="00CE4F9B" w:rsidRDefault="008C0B71" w:rsidP="008C0B71">
      <w:pPr>
        <w:pStyle w:val="Tabtit"/>
        <w:rPr>
          <w:lang w:val="es-ES"/>
        </w:rPr>
      </w:pPr>
      <w:r w:rsidRPr="00CE4F9B">
        <w:rPr>
          <w:lang w:val="es-ES"/>
        </w:rPr>
        <w:t>Cuadro 1. Exigencias y recomendaciones de la Convención y las Directrices Operativas con respecto a la participación y el consentimiento de las comunidades</w:t>
      </w:r>
    </w:p>
    <w:tbl>
      <w:tblPr>
        <w:tblW w:w="8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2"/>
        <w:gridCol w:w="2409"/>
        <w:gridCol w:w="1810"/>
        <w:gridCol w:w="1119"/>
        <w:gridCol w:w="1375"/>
      </w:tblGrid>
      <w:tr w:rsidR="008C0B71" w:rsidRPr="00CE4F9B" w:rsidTr="002E13FF">
        <w:trPr>
          <w:cantSplit/>
        </w:trPr>
        <w:tc>
          <w:tcPr>
            <w:tcW w:w="2132" w:type="dxa"/>
            <w:tcBorders>
              <w:top w:val="single" w:sz="4" w:space="0" w:color="auto"/>
              <w:left w:val="single" w:sz="4" w:space="0" w:color="auto"/>
              <w:bottom w:val="single" w:sz="4" w:space="0" w:color="auto"/>
              <w:right w:val="single" w:sz="4" w:space="0" w:color="auto"/>
            </w:tcBorders>
            <w:shd w:val="clear" w:color="auto" w:fill="BAD0EE"/>
            <w:vAlign w:val="center"/>
          </w:tcPr>
          <w:p w:rsidR="008C0B71" w:rsidRPr="00CE4F9B" w:rsidRDefault="008C0B71" w:rsidP="00460B69">
            <w:pPr>
              <w:pStyle w:val="Tabltetiere"/>
              <w:keepLines/>
              <w:tabs>
                <w:tab w:val="left" w:pos="1134"/>
              </w:tabs>
              <w:outlineLvl w:val="5"/>
              <w:rPr>
                <w:sz w:val="16"/>
                <w:szCs w:val="16"/>
                <w:lang w:val="es-ES"/>
              </w:rPr>
            </w:pPr>
            <w:r w:rsidRPr="00CE4F9B">
              <w:rPr>
                <w:sz w:val="16"/>
                <w:szCs w:val="16"/>
                <w:lang w:val="es-ES"/>
              </w:rPr>
              <w:t>Ta</w:t>
            </w:r>
            <w:r w:rsidR="00460B69" w:rsidRPr="00CE4F9B">
              <w:rPr>
                <w:sz w:val="16"/>
                <w:szCs w:val="16"/>
                <w:lang w:val="es-ES"/>
              </w:rPr>
              <w:t>rea</w:t>
            </w:r>
          </w:p>
        </w:tc>
        <w:tc>
          <w:tcPr>
            <w:tcW w:w="2409" w:type="dxa"/>
            <w:tcBorders>
              <w:top w:val="single" w:sz="4" w:space="0" w:color="auto"/>
              <w:left w:val="single" w:sz="4" w:space="0" w:color="auto"/>
              <w:bottom w:val="single" w:sz="4" w:space="0" w:color="auto"/>
              <w:right w:val="single" w:sz="4" w:space="0" w:color="auto"/>
            </w:tcBorders>
            <w:shd w:val="clear" w:color="auto" w:fill="BAD0EE"/>
            <w:vAlign w:val="center"/>
          </w:tcPr>
          <w:p w:rsidR="008C0B71" w:rsidRPr="00CE4F9B" w:rsidRDefault="008C0B71" w:rsidP="00605C3B">
            <w:pPr>
              <w:pStyle w:val="Tabltetiere"/>
              <w:keepLines/>
              <w:tabs>
                <w:tab w:val="left" w:pos="1134"/>
              </w:tabs>
              <w:outlineLvl w:val="5"/>
              <w:rPr>
                <w:sz w:val="16"/>
                <w:szCs w:val="16"/>
                <w:lang w:val="es-ES"/>
              </w:rPr>
            </w:pPr>
            <w:r w:rsidRPr="00CE4F9B">
              <w:rPr>
                <w:sz w:val="16"/>
                <w:szCs w:val="16"/>
                <w:lang w:val="es-ES"/>
              </w:rPr>
              <w:t xml:space="preserve">Participación de las comunidades, </w:t>
            </w:r>
            <w:r w:rsidR="00605C3B" w:rsidRPr="00CE4F9B">
              <w:rPr>
                <w:sz w:val="16"/>
                <w:szCs w:val="16"/>
                <w:lang w:val="es-ES"/>
              </w:rPr>
              <w:t>exigi</w:t>
            </w:r>
            <w:r w:rsidRPr="00CE4F9B">
              <w:rPr>
                <w:sz w:val="16"/>
                <w:szCs w:val="16"/>
                <w:lang w:val="es-ES"/>
              </w:rPr>
              <w:t>da o recomendada</w:t>
            </w:r>
          </w:p>
        </w:tc>
        <w:tc>
          <w:tcPr>
            <w:tcW w:w="1810" w:type="dxa"/>
            <w:tcBorders>
              <w:top w:val="single" w:sz="4" w:space="0" w:color="auto"/>
              <w:left w:val="single" w:sz="4" w:space="0" w:color="auto"/>
              <w:bottom w:val="single" w:sz="4" w:space="0" w:color="auto"/>
              <w:right w:val="single" w:sz="4" w:space="0" w:color="auto"/>
            </w:tcBorders>
            <w:shd w:val="clear" w:color="auto" w:fill="BAD0EE"/>
            <w:vAlign w:val="center"/>
          </w:tcPr>
          <w:p w:rsidR="008C0B71" w:rsidRPr="00CE4F9B" w:rsidRDefault="008C0B71" w:rsidP="007B7E9D">
            <w:pPr>
              <w:pStyle w:val="Tabltetiere"/>
              <w:keepLines/>
              <w:numPr>
                <w:ilvl w:val="5"/>
                <w:numId w:val="146"/>
              </w:numPr>
              <w:tabs>
                <w:tab w:val="left" w:pos="1134"/>
              </w:tabs>
              <w:ind w:left="0"/>
              <w:outlineLvl w:val="5"/>
              <w:rPr>
                <w:sz w:val="16"/>
                <w:szCs w:val="16"/>
                <w:lang w:val="es-ES"/>
              </w:rPr>
            </w:pPr>
            <w:r w:rsidRPr="00CE4F9B">
              <w:rPr>
                <w:sz w:val="16"/>
                <w:szCs w:val="16"/>
                <w:lang w:val="es-ES"/>
              </w:rPr>
              <w:t>Consentimiento de las comunidades, exigido o recomendado</w:t>
            </w:r>
          </w:p>
        </w:tc>
        <w:tc>
          <w:tcPr>
            <w:tcW w:w="1119" w:type="dxa"/>
            <w:tcBorders>
              <w:top w:val="single" w:sz="4" w:space="0" w:color="auto"/>
              <w:left w:val="single" w:sz="4" w:space="0" w:color="auto"/>
              <w:bottom w:val="single" w:sz="4" w:space="0" w:color="auto"/>
              <w:right w:val="single" w:sz="4" w:space="0" w:color="auto"/>
            </w:tcBorders>
            <w:shd w:val="clear" w:color="auto" w:fill="BAD0EE"/>
            <w:vAlign w:val="center"/>
          </w:tcPr>
          <w:p w:rsidR="008C0B71" w:rsidRPr="00CE4F9B" w:rsidRDefault="008C0B71" w:rsidP="007B7E9D">
            <w:pPr>
              <w:pStyle w:val="Tabltetiere"/>
              <w:keepLines/>
              <w:tabs>
                <w:tab w:val="left" w:pos="1134"/>
              </w:tabs>
              <w:outlineLvl w:val="5"/>
              <w:rPr>
                <w:sz w:val="16"/>
                <w:szCs w:val="16"/>
                <w:lang w:val="es-ES"/>
              </w:rPr>
            </w:pPr>
            <w:r w:rsidRPr="00CE4F9B">
              <w:rPr>
                <w:sz w:val="16"/>
                <w:szCs w:val="16"/>
                <w:lang w:val="es-ES"/>
              </w:rPr>
              <w:t>Artículos de la Convención</w:t>
            </w:r>
          </w:p>
        </w:tc>
        <w:tc>
          <w:tcPr>
            <w:tcW w:w="1375" w:type="dxa"/>
            <w:tcBorders>
              <w:top w:val="single" w:sz="4" w:space="0" w:color="auto"/>
              <w:left w:val="single" w:sz="4" w:space="0" w:color="auto"/>
              <w:bottom w:val="single" w:sz="4" w:space="0" w:color="auto"/>
              <w:right w:val="single" w:sz="4" w:space="0" w:color="auto"/>
            </w:tcBorders>
            <w:shd w:val="clear" w:color="auto" w:fill="BAD0EE"/>
            <w:vAlign w:val="center"/>
          </w:tcPr>
          <w:p w:rsidR="008C0B71" w:rsidRPr="00CE4F9B" w:rsidRDefault="008C0B71" w:rsidP="007B7E9D">
            <w:pPr>
              <w:pStyle w:val="Tabltetiere"/>
              <w:keepLines/>
              <w:tabs>
                <w:tab w:val="left" w:pos="1134"/>
              </w:tabs>
              <w:outlineLvl w:val="5"/>
              <w:rPr>
                <w:sz w:val="16"/>
                <w:szCs w:val="16"/>
                <w:lang w:val="es-ES"/>
              </w:rPr>
            </w:pPr>
            <w:r w:rsidRPr="00CE4F9B">
              <w:rPr>
                <w:sz w:val="16"/>
                <w:szCs w:val="16"/>
                <w:lang w:val="es-ES"/>
              </w:rPr>
              <w:t xml:space="preserve">Directrices Operativas (DO) </w:t>
            </w:r>
          </w:p>
        </w:tc>
      </w:tr>
      <w:tr w:rsidR="008C0B71" w:rsidRPr="00CE4F9B" w:rsidTr="002E13FF">
        <w:trPr>
          <w:cantSplit/>
        </w:trPr>
        <w:tc>
          <w:tcPr>
            <w:tcW w:w="2132"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lang w:val="es-ES"/>
              </w:rPr>
            </w:pPr>
            <w:r w:rsidRPr="00CE4F9B">
              <w:rPr>
                <w:lang w:val="es-ES"/>
              </w:rPr>
              <w:t>Identificación y definición</w:t>
            </w:r>
            <w:r w:rsidRPr="00CE4F9B">
              <w:rPr>
                <w:lang w:val="es-ES"/>
              </w:rPr>
              <w:br/>
              <w:t>del PCI</w:t>
            </w:r>
          </w:p>
        </w:tc>
        <w:tc>
          <w:tcPr>
            <w:tcW w:w="2409"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Exigida</w:t>
            </w:r>
          </w:p>
        </w:tc>
        <w:tc>
          <w:tcPr>
            <w:tcW w:w="1810"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Exigido por inferencia</w:t>
            </w:r>
          </w:p>
        </w:tc>
        <w:tc>
          <w:tcPr>
            <w:tcW w:w="1119"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2.1 y 11.b</w:t>
            </w:r>
          </w:p>
        </w:tc>
        <w:tc>
          <w:tcPr>
            <w:tcW w:w="1375"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80</w:t>
            </w:r>
          </w:p>
        </w:tc>
      </w:tr>
      <w:tr w:rsidR="008C0B71" w:rsidRPr="00CE4F9B" w:rsidTr="002E13FF">
        <w:trPr>
          <w:cantSplit/>
        </w:trPr>
        <w:tc>
          <w:tcPr>
            <w:tcW w:w="2132"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Confección de inventarios del PCI</w:t>
            </w:r>
          </w:p>
        </w:tc>
        <w:tc>
          <w:tcPr>
            <w:tcW w:w="2409"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 xml:space="preserve">Sumamente recomendada </w:t>
            </w:r>
          </w:p>
          <w:p w:rsidR="008C0B71" w:rsidRPr="00CE4F9B" w:rsidRDefault="008C0B71" w:rsidP="007B7E9D">
            <w:pPr>
              <w:pStyle w:val="Tabtxt"/>
              <w:spacing w:before="40" w:line="240" w:lineRule="exact"/>
              <w:rPr>
                <w:b/>
                <w:iCs/>
                <w:lang w:val="es-ES"/>
              </w:rPr>
            </w:pPr>
            <w:r w:rsidRPr="00CE4F9B">
              <w:rPr>
                <w:lang w:val="es-ES"/>
              </w:rPr>
              <w:t>(Exigida para los elementos propuestos en</w:t>
            </w:r>
            <w:r w:rsidR="007F2D5E" w:rsidRPr="00CE4F9B">
              <w:rPr>
                <w:lang w:val="es-ES"/>
              </w:rPr>
              <w:t xml:space="preserve"> </w:t>
            </w:r>
            <w:r w:rsidRPr="00CE4F9B">
              <w:rPr>
                <w:lang w:val="es-ES"/>
              </w:rPr>
              <w:t xml:space="preserve">los </w:t>
            </w:r>
            <w:r w:rsidR="00605C3B" w:rsidRPr="00CE4F9B">
              <w:rPr>
                <w:lang w:val="es-ES"/>
              </w:rPr>
              <w:t>formularios ICH-</w:t>
            </w:r>
            <w:r w:rsidR="002E13FF" w:rsidRPr="00CE4F9B">
              <w:rPr>
                <w:lang w:val="es-ES"/>
              </w:rPr>
              <w:t>01 e ICH-</w:t>
            </w:r>
            <w:r w:rsidRPr="00CE4F9B">
              <w:rPr>
                <w:lang w:val="es-ES"/>
              </w:rPr>
              <w:t>02)</w:t>
            </w:r>
          </w:p>
        </w:tc>
        <w:tc>
          <w:tcPr>
            <w:tcW w:w="1810"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Sumamente recomendado</w:t>
            </w:r>
          </w:p>
        </w:tc>
        <w:tc>
          <w:tcPr>
            <w:tcW w:w="1119"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12 y 15</w:t>
            </w:r>
          </w:p>
        </w:tc>
        <w:tc>
          <w:tcPr>
            <w:tcW w:w="1375"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80</w:t>
            </w:r>
          </w:p>
        </w:tc>
      </w:tr>
      <w:tr w:rsidR="008C0B71" w:rsidRPr="00CE4F9B" w:rsidTr="002E13FF">
        <w:trPr>
          <w:cantSplit/>
        </w:trPr>
        <w:tc>
          <w:tcPr>
            <w:tcW w:w="2132"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Sensibilización al valor e importancia del PCI</w:t>
            </w:r>
          </w:p>
        </w:tc>
        <w:tc>
          <w:tcPr>
            <w:tcW w:w="2409"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 xml:space="preserve">Sumamente recomendada </w:t>
            </w:r>
          </w:p>
        </w:tc>
        <w:tc>
          <w:tcPr>
            <w:tcW w:w="1810"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Consentimiento libre, previo e informado, exigido</w:t>
            </w:r>
          </w:p>
        </w:tc>
        <w:tc>
          <w:tcPr>
            <w:tcW w:w="1119"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15</w:t>
            </w:r>
          </w:p>
        </w:tc>
        <w:tc>
          <w:tcPr>
            <w:tcW w:w="1375"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81, 101.b, 105, 107 y 108</w:t>
            </w:r>
          </w:p>
        </w:tc>
      </w:tr>
      <w:tr w:rsidR="008C0B71" w:rsidRPr="00CE4F9B" w:rsidTr="002E13FF">
        <w:trPr>
          <w:cantSplit/>
        </w:trPr>
        <w:tc>
          <w:tcPr>
            <w:tcW w:w="2132"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Salvaguardia y gestión del PCI</w:t>
            </w:r>
          </w:p>
        </w:tc>
        <w:tc>
          <w:tcPr>
            <w:tcW w:w="2409"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Sumamente recomendada</w:t>
            </w:r>
          </w:p>
        </w:tc>
        <w:tc>
          <w:tcPr>
            <w:tcW w:w="1810"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bCs/>
                <w:w w:val="95"/>
                <w:lang w:val="es-ES"/>
              </w:rPr>
            </w:pPr>
          </w:p>
        </w:tc>
        <w:tc>
          <w:tcPr>
            <w:tcW w:w="1119"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15</w:t>
            </w:r>
          </w:p>
        </w:tc>
        <w:tc>
          <w:tcPr>
            <w:tcW w:w="1375"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 xml:space="preserve">79-83, 85-87 y 89 </w:t>
            </w:r>
          </w:p>
        </w:tc>
      </w:tr>
      <w:tr w:rsidR="008C0B71" w:rsidRPr="00CE4F9B" w:rsidTr="002E13FF">
        <w:trPr>
          <w:cantSplit/>
        </w:trPr>
        <w:tc>
          <w:tcPr>
            <w:tcW w:w="2132"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Actividades comerciales relacionadas con el PCI</w:t>
            </w:r>
          </w:p>
        </w:tc>
        <w:tc>
          <w:tcPr>
            <w:tcW w:w="2409"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Sumamente recomendada</w:t>
            </w:r>
          </w:p>
        </w:tc>
        <w:tc>
          <w:tcPr>
            <w:tcW w:w="1810"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beforeAutospacing="1" w:afterAutospacing="1" w:line="240" w:lineRule="exact"/>
              <w:rPr>
                <w:b/>
                <w:bCs/>
                <w:w w:val="95"/>
                <w:lang w:val="es-ES"/>
              </w:rPr>
            </w:pPr>
          </w:p>
        </w:tc>
        <w:tc>
          <w:tcPr>
            <w:tcW w:w="1119"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15</w:t>
            </w:r>
          </w:p>
        </w:tc>
        <w:tc>
          <w:tcPr>
            <w:tcW w:w="1375"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104, 116, 107.m y 117</w:t>
            </w:r>
          </w:p>
        </w:tc>
      </w:tr>
      <w:tr w:rsidR="008C0B71" w:rsidRPr="00CE4F9B" w:rsidTr="002E13FF">
        <w:trPr>
          <w:cantSplit/>
        </w:trPr>
        <w:tc>
          <w:tcPr>
            <w:tcW w:w="2132"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Presentación de candidaturas de elementos para su inscripción</w:t>
            </w:r>
          </w:p>
        </w:tc>
        <w:tc>
          <w:tcPr>
            <w:tcW w:w="2409"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Exigida</w:t>
            </w:r>
          </w:p>
        </w:tc>
        <w:tc>
          <w:tcPr>
            <w:tcW w:w="1810"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Prueba del consentimiento libre, previo e informado, exigida</w:t>
            </w:r>
          </w:p>
        </w:tc>
        <w:tc>
          <w:tcPr>
            <w:tcW w:w="1119"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15</w:t>
            </w:r>
          </w:p>
        </w:tc>
        <w:tc>
          <w:tcPr>
            <w:tcW w:w="1375"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605C3B">
            <w:pPr>
              <w:pStyle w:val="Tabtxt"/>
              <w:spacing w:before="40" w:line="240" w:lineRule="exact"/>
              <w:rPr>
                <w:b/>
                <w:iCs/>
                <w:lang w:val="es-ES"/>
              </w:rPr>
            </w:pPr>
            <w:r w:rsidRPr="00CE4F9B">
              <w:rPr>
                <w:lang w:val="es-ES"/>
              </w:rPr>
              <w:t>1, 2, 2</w:t>
            </w:r>
            <w:r w:rsidR="00605C3B" w:rsidRPr="00CE4F9B">
              <w:rPr>
                <w:lang w:val="es-ES"/>
              </w:rPr>
              <w:t>4</w:t>
            </w:r>
            <w:r w:rsidRPr="00CE4F9B">
              <w:rPr>
                <w:lang w:val="es-ES"/>
              </w:rPr>
              <w:t xml:space="preserve"> y 80</w:t>
            </w:r>
            <w:r w:rsidR="00605C3B" w:rsidRPr="00CE4F9B">
              <w:rPr>
                <w:lang w:val="es-ES"/>
              </w:rPr>
              <w:t>.d</w:t>
            </w:r>
          </w:p>
        </w:tc>
      </w:tr>
      <w:tr w:rsidR="008C0B71" w:rsidRPr="00CE4F9B" w:rsidTr="002E13FF">
        <w:trPr>
          <w:cantSplit/>
        </w:trPr>
        <w:tc>
          <w:tcPr>
            <w:tcW w:w="2132"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Elaboración y aplicación de medidas de salvaguardia y gestión</w:t>
            </w:r>
          </w:p>
        </w:tc>
        <w:tc>
          <w:tcPr>
            <w:tcW w:w="2409" w:type="dxa"/>
            <w:tcBorders>
              <w:top w:val="single" w:sz="4" w:space="0" w:color="auto"/>
              <w:left w:val="single" w:sz="4" w:space="0" w:color="auto"/>
              <w:bottom w:val="single" w:sz="4" w:space="0" w:color="auto"/>
              <w:right w:val="single" w:sz="4" w:space="0" w:color="auto"/>
            </w:tcBorders>
            <w:vAlign w:val="center"/>
          </w:tcPr>
          <w:p w:rsidR="00605C3B" w:rsidRPr="00CE4F9B" w:rsidRDefault="00605C3B" w:rsidP="00605C3B">
            <w:pPr>
              <w:pStyle w:val="Tabtxt"/>
              <w:spacing w:before="40" w:line="240" w:lineRule="exact"/>
              <w:rPr>
                <w:b/>
                <w:iCs/>
                <w:lang w:val="es-ES"/>
              </w:rPr>
            </w:pPr>
            <w:r w:rsidRPr="00CE4F9B">
              <w:rPr>
                <w:lang w:val="es-ES"/>
              </w:rPr>
              <w:t xml:space="preserve">Sumamente recomendada </w:t>
            </w:r>
          </w:p>
          <w:p w:rsidR="008C0B71" w:rsidRPr="00CE4F9B" w:rsidRDefault="00605C3B" w:rsidP="00605C3B">
            <w:pPr>
              <w:pStyle w:val="Tabtxt"/>
              <w:spacing w:before="40" w:line="240" w:lineRule="exact"/>
              <w:rPr>
                <w:b/>
                <w:iCs/>
                <w:lang w:val="es-ES"/>
              </w:rPr>
            </w:pPr>
            <w:r w:rsidRPr="00CE4F9B">
              <w:rPr>
                <w:lang w:val="es-ES"/>
              </w:rPr>
              <w:t>(Exigida para los elementos propuestos en los formularios ICH-</w:t>
            </w:r>
            <w:r w:rsidR="002E13FF" w:rsidRPr="00CE4F9B">
              <w:rPr>
                <w:lang w:val="es-ES"/>
              </w:rPr>
              <w:t>01 e ICH-</w:t>
            </w:r>
            <w:r w:rsidRPr="00CE4F9B">
              <w:rPr>
                <w:lang w:val="es-ES"/>
              </w:rPr>
              <w:t>02)</w:t>
            </w:r>
          </w:p>
        </w:tc>
        <w:tc>
          <w:tcPr>
            <w:tcW w:w="1810"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 xml:space="preserve">Exigido </w:t>
            </w:r>
            <w:r w:rsidR="00605C3B" w:rsidRPr="00CE4F9B">
              <w:rPr>
                <w:lang w:val="es-ES"/>
              </w:rPr>
              <w:t>por inferencia (formularios ICH-01 e ICH-</w:t>
            </w:r>
            <w:r w:rsidRPr="00CE4F9B">
              <w:rPr>
                <w:lang w:val="es-ES"/>
              </w:rPr>
              <w:t>02)</w:t>
            </w:r>
          </w:p>
        </w:tc>
        <w:tc>
          <w:tcPr>
            <w:tcW w:w="1119"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15</w:t>
            </w:r>
          </w:p>
        </w:tc>
        <w:tc>
          <w:tcPr>
            <w:tcW w:w="1375"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1, 2, 80, 157 y 162</w:t>
            </w:r>
          </w:p>
        </w:tc>
      </w:tr>
      <w:tr w:rsidR="008C0B71" w:rsidRPr="00CE4F9B" w:rsidTr="002E13FF">
        <w:trPr>
          <w:cantSplit/>
        </w:trPr>
        <w:tc>
          <w:tcPr>
            <w:tcW w:w="2132"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Solicitudes de asistencia internacional</w:t>
            </w:r>
          </w:p>
        </w:tc>
        <w:tc>
          <w:tcPr>
            <w:tcW w:w="2409"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 xml:space="preserve">Exigida para la preparación de los expedientes de solicitud </w:t>
            </w:r>
          </w:p>
        </w:tc>
        <w:tc>
          <w:tcPr>
            <w:tcW w:w="1810"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beforeAutospacing="1" w:afterAutospacing="1" w:line="240" w:lineRule="exact"/>
              <w:rPr>
                <w:b/>
                <w:bCs/>
                <w:w w:val="95"/>
                <w:lang w:val="es-ES"/>
              </w:rPr>
            </w:pPr>
          </w:p>
        </w:tc>
        <w:tc>
          <w:tcPr>
            <w:tcW w:w="1119"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15</w:t>
            </w:r>
          </w:p>
        </w:tc>
        <w:tc>
          <w:tcPr>
            <w:tcW w:w="1375"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2E13FF">
            <w:pPr>
              <w:pStyle w:val="Tabtxt"/>
              <w:spacing w:before="40" w:line="240" w:lineRule="exact"/>
              <w:rPr>
                <w:b/>
                <w:iCs/>
                <w:lang w:val="es-ES"/>
              </w:rPr>
            </w:pPr>
            <w:r w:rsidRPr="00CE4F9B">
              <w:rPr>
                <w:lang w:val="es-ES"/>
              </w:rPr>
              <w:t>12 y 2</w:t>
            </w:r>
            <w:r w:rsidR="002E13FF" w:rsidRPr="00CE4F9B">
              <w:rPr>
                <w:lang w:val="es-ES"/>
              </w:rPr>
              <w:t>4</w:t>
            </w:r>
          </w:p>
        </w:tc>
      </w:tr>
      <w:tr w:rsidR="002E13FF" w:rsidRPr="00CE4F9B" w:rsidTr="002E13FF">
        <w:trPr>
          <w:cantSplit/>
        </w:trPr>
        <w:tc>
          <w:tcPr>
            <w:tcW w:w="2132" w:type="dxa"/>
            <w:tcBorders>
              <w:top w:val="single" w:sz="4" w:space="0" w:color="auto"/>
              <w:left w:val="single" w:sz="4" w:space="0" w:color="auto"/>
              <w:bottom w:val="single" w:sz="4" w:space="0" w:color="auto"/>
              <w:right w:val="single" w:sz="4" w:space="0" w:color="auto"/>
            </w:tcBorders>
            <w:vAlign w:val="center"/>
          </w:tcPr>
          <w:p w:rsidR="002E13FF" w:rsidRPr="00CE4F9B" w:rsidRDefault="002E13FF" w:rsidP="007B7E9D">
            <w:pPr>
              <w:pStyle w:val="Tabtxt"/>
              <w:spacing w:before="40" w:line="240" w:lineRule="exact"/>
              <w:rPr>
                <w:lang w:val="es-ES"/>
              </w:rPr>
            </w:pPr>
            <w:r w:rsidRPr="00CE4F9B">
              <w:rPr>
                <w:lang w:val="es-ES"/>
              </w:rPr>
              <w:t>Propuestas de selección de mejores prácticas de salvaguardia</w:t>
            </w:r>
          </w:p>
        </w:tc>
        <w:tc>
          <w:tcPr>
            <w:tcW w:w="2409" w:type="dxa"/>
            <w:tcBorders>
              <w:top w:val="single" w:sz="4" w:space="0" w:color="auto"/>
              <w:left w:val="single" w:sz="4" w:space="0" w:color="auto"/>
              <w:bottom w:val="single" w:sz="4" w:space="0" w:color="auto"/>
              <w:right w:val="single" w:sz="4" w:space="0" w:color="auto"/>
            </w:tcBorders>
            <w:vAlign w:val="center"/>
          </w:tcPr>
          <w:p w:rsidR="002E13FF" w:rsidRPr="00CE4F9B" w:rsidRDefault="002E13FF" w:rsidP="007B7E9D">
            <w:pPr>
              <w:pStyle w:val="Tabtxt"/>
              <w:spacing w:before="40" w:line="240" w:lineRule="exact"/>
              <w:rPr>
                <w:lang w:val="es-ES"/>
              </w:rPr>
            </w:pPr>
            <w:r w:rsidRPr="00CE4F9B">
              <w:rPr>
                <w:lang w:val="es-ES"/>
              </w:rPr>
              <w:t>Exigida</w:t>
            </w:r>
          </w:p>
        </w:tc>
        <w:tc>
          <w:tcPr>
            <w:tcW w:w="1810" w:type="dxa"/>
            <w:tcBorders>
              <w:top w:val="single" w:sz="4" w:space="0" w:color="auto"/>
              <w:left w:val="single" w:sz="4" w:space="0" w:color="auto"/>
              <w:bottom w:val="single" w:sz="4" w:space="0" w:color="auto"/>
              <w:right w:val="single" w:sz="4" w:space="0" w:color="auto"/>
            </w:tcBorders>
            <w:vAlign w:val="center"/>
          </w:tcPr>
          <w:p w:rsidR="002E13FF" w:rsidRPr="00CE4F9B" w:rsidRDefault="002E13FF" w:rsidP="007B7E9D">
            <w:pPr>
              <w:pStyle w:val="Tabtxt"/>
              <w:spacing w:before="40" w:beforeAutospacing="1" w:afterAutospacing="1" w:line="240" w:lineRule="exact"/>
              <w:rPr>
                <w:b/>
                <w:bCs/>
                <w:w w:val="95"/>
                <w:lang w:val="es-ES"/>
              </w:rPr>
            </w:pPr>
            <w:r w:rsidRPr="00CE4F9B">
              <w:rPr>
                <w:lang w:val="es-ES"/>
              </w:rPr>
              <w:t>Exigido por inferencia (las comunidades interesadas deben aceptar la difusión de las mejores prácticas de salvaguardia)</w:t>
            </w:r>
          </w:p>
        </w:tc>
        <w:tc>
          <w:tcPr>
            <w:tcW w:w="1119" w:type="dxa"/>
            <w:tcBorders>
              <w:top w:val="single" w:sz="4" w:space="0" w:color="auto"/>
              <w:left w:val="single" w:sz="4" w:space="0" w:color="auto"/>
              <w:bottom w:val="single" w:sz="4" w:space="0" w:color="auto"/>
              <w:right w:val="single" w:sz="4" w:space="0" w:color="auto"/>
            </w:tcBorders>
            <w:vAlign w:val="center"/>
          </w:tcPr>
          <w:p w:rsidR="002E13FF" w:rsidRPr="00CE4F9B" w:rsidRDefault="002E13FF" w:rsidP="007B7E9D">
            <w:pPr>
              <w:pStyle w:val="Tabtxt"/>
              <w:spacing w:before="40" w:line="240" w:lineRule="exact"/>
              <w:rPr>
                <w:lang w:val="es-ES"/>
              </w:rPr>
            </w:pPr>
          </w:p>
        </w:tc>
        <w:tc>
          <w:tcPr>
            <w:tcW w:w="1375" w:type="dxa"/>
            <w:tcBorders>
              <w:top w:val="single" w:sz="4" w:space="0" w:color="auto"/>
              <w:left w:val="single" w:sz="4" w:space="0" w:color="auto"/>
              <w:bottom w:val="single" w:sz="4" w:space="0" w:color="auto"/>
              <w:right w:val="single" w:sz="4" w:space="0" w:color="auto"/>
            </w:tcBorders>
            <w:vAlign w:val="center"/>
          </w:tcPr>
          <w:p w:rsidR="002E13FF" w:rsidRPr="00CE4F9B" w:rsidRDefault="002E13FF" w:rsidP="002E13FF">
            <w:pPr>
              <w:pStyle w:val="Tabtxt"/>
              <w:spacing w:before="40" w:line="240" w:lineRule="exact"/>
              <w:rPr>
                <w:lang w:val="es-ES"/>
              </w:rPr>
            </w:pPr>
            <w:r w:rsidRPr="00CE4F9B">
              <w:rPr>
                <w:lang w:val="es-ES"/>
              </w:rPr>
              <w:t>7 y 24</w:t>
            </w:r>
          </w:p>
        </w:tc>
      </w:tr>
      <w:tr w:rsidR="008C0B71" w:rsidRPr="00CE4F9B" w:rsidTr="002E13FF">
        <w:trPr>
          <w:cantSplit/>
        </w:trPr>
        <w:tc>
          <w:tcPr>
            <w:tcW w:w="2132"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2E13FF">
            <w:pPr>
              <w:pStyle w:val="Tabtxt"/>
              <w:spacing w:before="40" w:line="240" w:lineRule="exact"/>
              <w:rPr>
                <w:b/>
                <w:iCs/>
                <w:lang w:val="es-ES"/>
              </w:rPr>
            </w:pPr>
            <w:r w:rsidRPr="00CE4F9B">
              <w:rPr>
                <w:lang w:val="es-ES"/>
              </w:rPr>
              <w:t>Elaboración de informes periódicos</w:t>
            </w:r>
          </w:p>
        </w:tc>
        <w:tc>
          <w:tcPr>
            <w:tcW w:w="2409"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Sumamente recomendada</w:t>
            </w:r>
          </w:p>
        </w:tc>
        <w:tc>
          <w:tcPr>
            <w:tcW w:w="1810"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bCs/>
                <w:w w:val="95"/>
                <w:lang w:val="es-ES"/>
              </w:rPr>
            </w:pPr>
          </w:p>
        </w:tc>
        <w:tc>
          <w:tcPr>
            <w:tcW w:w="1119"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15</w:t>
            </w:r>
          </w:p>
        </w:tc>
        <w:tc>
          <w:tcPr>
            <w:tcW w:w="1375"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157 y 160</w:t>
            </w:r>
          </w:p>
        </w:tc>
      </w:tr>
      <w:tr w:rsidR="008C0B71" w:rsidRPr="00CE4F9B" w:rsidTr="002E13FF">
        <w:trPr>
          <w:cantSplit/>
        </w:trPr>
        <w:tc>
          <w:tcPr>
            <w:tcW w:w="2132"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color w:val="231F20"/>
                <w:lang w:val="es-ES"/>
              </w:rPr>
              <w:lastRenderedPageBreak/>
              <w:t>Rep</w:t>
            </w:r>
            <w:r w:rsidRPr="00CE4F9B">
              <w:rPr>
                <w:color w:val="231F20"/>
                <w:spacing w:val="-1"/>
                <w:lang w:val="es-ES"/>
              </w:rPr>
              <w:t>r</w:t>
            </w:r>
            <w:r w:rsidRPr="00CE4F9B">
              <w:rPr>
                <w:color w:val="231F20"/>
                <w:lang w:val="es-ES"/>
              </w:rPr>
              <w:t>ese</w:t>
            </w:r>
            <w:r w:rsidRPr="00CE4F9B">
              <w:rPr>
                <w:color w:val="231F20"/>
                <w:spacing w:val="-1"/>
                <w:lang w:val="es-ES"/>
              </w:rPr>
              <w:t>n</w:t>
            </w:r>
            <w:r w:rsidRPr="00CE4F9B">
              <w:rPr>
                <w:color w:val="231F20"/>
                <w:lang w:val="es-ES"/>
              </w:rPr>
              <w:t>t</w:t>
            </w:r>
            <w:r w:rsidRPr="00CE4F9B">
              <w:rPr>
                <w:color w:val="231F20"/>
                <w:spacing w:val="-1"/>
                <w:lang w:val="es-ES"/>
              </w:rPr>
              <w:t>a</w:t>
            </w:r>
            <w:r w:rsidRPr="00CE4F9B">
              <w:rPr>
                <w:color w:val="231F20"/>
                <w:lang w:val="es-ES"/>
              </w:rPr>
              <w:t>ción en órganos consultivos y mecanismos de coordinación</w:t>
            </w:r>
          </w:p>
        </w:tc>
        <w:tc>
          <w:tcPr>
            <w:tcW w:w="2409"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Sumamente recomendada</w:t>
            </w:r>
          </w:p>
        </w:tc>
        <w:tc>
          <w:tcPr>
            <w:tcW w:w="1810"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beforeAutospacing="1" w:afterAutospacing="1" w:line="240" w:lineRule="exact"/>
              <w:rPr>
                <w:b/>
                <w:bCs/>
                <w:w w:val="95"/>
                <w:lang w:val="es-ES"/>
              </w:rPr>
            </w:pPr>
          </w:p>
        </w:tc>
        <w:tc>
          <w:tcPr>
            <w:tcW w:w="1119"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beforeAutospacing="1" w:afterAutospacing="1" w:line="240" w:lineRule="exact"/>
              <w:rPr>
                <w:b/>
                <w:bCs/>
                <w:w w:val="95"/>
                <w:lang w:val="es-ES"/>
              </w:rPr>
            </w:pPr>
          </w:p>
        </w:tc>
        <w:tc>
          <w:tcPr>
            <w:tcW w:w="1375" w:type="dxa"/>
            <w:tcBorders>
              <w:top w:val="single" w:sz="4" w:space="0" w:color="auto"/>
              <w:left w:val="single" w:sz="4" w:space="0" w:color="auto"/>
              <w:bottom w:val="single" w:sz="4" w:space="0" w:color="auto"/>
              <w:right w:val="single" w:sz="4" w:space="0" w:color="auto"/>
            </w:tcBorders>
            <w:vAlign w:val="center"/>
          </w:tcPr>
          <w:p w:rsidR="008C0B71" w:rsidRPr="00CE4F9B" w:rsidRDefault="008C0B71" w:rsidP="007B7E9D">
            <w:pPr>
              <w:pStyle w:val="Tabtxt"/>
              <w:spacing w:before="40" w:line="240" w:lineRule="exact"/>
              <w:rPr>
                <w:b/>
                <w:iCs/>
                <w:lang w:val="es-ES"/>
              </w:rPr>
            </w:pPr>
            <w:r w:rsidRPr="00CE4F9B">
              <w:rPr>
                <w:lang w:val="es-ES"/>
              </w:rPr>
              <w:t>79, 80, 86 y 105.e</w:t>
            </w:r>
          </w:p>
        </w:tc>
      </w:tr>
    </w:tbl>
    <w:p w:rsidR="008C0B71" w:rsidRPr="00CE4F9B" w:rsidRDefault="008C0B71" w:rsidP="008C0B71">
      <w:pPr>
        <w:pStyle w:val="Texte1"/>
        <w:rPr>
          <w:lang w:val="es-ES"/>
        </w:rPr>
      </w:pPr>
    </w:p>
    <w:p w:rsidR="008C0B71" w:rsidRPr="00CE4F9B" w:rsidRDefault="008C0B71" w:rsidP="008C0B71">
      <w:pPr>
        <w:pStyle w:val="Texte1"/>
        <w:rPr>
          <w:lang w:val="es-ES"/>
        </w:rPr>
      </w:pPr>
      <w:r w:rsidRPr="00CE4F9B">
        <w:rPr>
          <w:lang w:val="es-ES"/>
        </w:rPr>
        <w:t xml:space="preserve">Solamente la sensibilización al valor e importancia del PCI </w:t>
      </w:r>
      <w:r w:rsidRPr="00CE4F9B">
        <w:rPr>
          <w:u w:val="single"/>
          <w:lang w:val="es-ES"/>
        </w:rPr>
        <w:t>en general</w:t>
      </w:r>
      <w:r w:rsidRPr="00CE4F9B">
        <w:rPr>
          <w:lang w:val="es-ES"/>
        </w:rPr>
        <w:t xml:space="preserve"> se puede realizar sin participación directa de las comunidades y grupos interesados. No obstante, incluso en este caso, se recomienda la creación de un órgano consultivo o mecanismo de coordinación para facilitar la participación de las comunidades, tal y como se dice en la DO 80.</w:t>
      </w:r>
    </w:p>
    <w:p w:rsidR="008C0B71" w:rsidRPr="00CE4F9B" w:rsidRDefault="008C0B71" w:rsidP="00747DD4">
      <w:pPr>
        <w:pStyle w:val="Heading4"/>
        <w:jc w:val="both"/>
        <w:rPr>
          <w:lang w:val="es-ES"/>
        </w:rPr>
      </w:pPr>
      <w:r w:rsidRPr="00CE4F9B">
        <w:rPr>
          <w:szCs w:val="20"/>
          <w:lang w:val="es-ES"/>
        </w:rPr>
        <w:t xml:space="preserve">Orientaciones </w:t>
      </w:r>
      <w:r w:rsidR="00747DD4" w:rsidRPr="00CE4F9B">
        <w:rPr>
          <w:szCs w:val="20"/>
          <w:lang w:val="es-ES"/>
        </w:rPr>
        <w:t xml:space="preserve">sobre la participación de las comunidades </w:t>
      </w:r>
      <w:r w:rsidRPr="00CE4F9B">
        <w:rPr>
          <w:szCs w:val="20"/>
          <w:lang w:val="es-ES"/>
        </w:rPr>
        <w:t xml:space="preserve">y </w:t>
      </w:r>
      <w:r w:rsidR="00747DD4" w:rsidRPr="00CE4F9B">
        <w:rPr>
          <w:szCs w:val="20"/>
          <w:lang w:val="es-ES"/>
        </w:rPr>
        <w:t xml:space="preserve">su </w:t>
      </w:r>
      <w:r w:rsidRPr="00CE4F9B">
        <w:rPr>
          <w:szCs w:val="20"/>
          <w:lang w:val="es-ES"/>
        </w:rPr>
        <w:t xml:space="preserve">documentación </w:t>
      </w:r>
    </w:p>
    <w:p w:rsidR="008C0B71" w:rsidRPr="00CE4F9B" w:rsidRDefault="008C0B71" w:rsidP="008C0B71">
      <w:pPr>
        <w:pStyle w:val="Texte1"/>
        <w:rPr>
          <w:lang w:val="es-ES"/>
        </w:rPr>
      </w:pPr>
      <w:r w:rsidRPr="00CE4F9B">
        <w:rPr>
          <w:lang w:val="es-ES"/>
        </w:rPr>
        <w:t>Al aplicar la Convención en el plano nacional, es importante elaborar orientaciones que propicien y permitan organizar la participación de las comunidades interesadas, así como otras orientaciones para quienes van a trabajar con ellas. Teniendo en cuenta las exigencias relativas a la preparación de expedientes de candidatura de elementos del PCI</w:t>
      </w:r>
      <w:r w:rsidR="002E13FF" w:rsidRPr="00CE4F9B">
        <w:rPr>
          <w:lang w:val="es-ES"/>
        </w:rPr>
        <w:t>, así como</w:t>
      </w:r>
      <w:r w:rsidRPr="00CE4F9B">
        <w:rPr>
          <w:lang w:val="es-ES"/>
        </w:rPr>
        <w:t xml:space="preserve"> las obligaciones de los </w:t>
      </w:r>
      <w:r w:rsidR="007B2650" w:rsidRPr="00CE4F9B">
        <w:rPr>
          <w:lang w:val="es-ES"/>
        </w:rPr>
        <w:t>Estados Partes en materia</w:t>
      </w:r>
      <w:r w:rsidRPr="00CE4F9B">
        <w:rPr>
          <w:lang w:val="es-ES"/>
        </w:rPr>
        <w:t xml:space="preserve"> de presentación de informes</w:t>
      </w:r>
      <w:r w:rsidR="002E13FF" w:rsidRPr="00CE4F9B">
        <w:rPr>
          <w:lang w:val="es-ES"/>
        </w:rPr>
        <w:t xml:space="preserve"> periódicos</w:t>
      </w:r>
      <w:r w:rsidRPr="00CE4F9B">
        <w:rPr>
          <w:lang w:val="es-ES"/>
        </w:rPr>
        <w:t>, es sumamente útil documentar cómo se ha logrado hacer participar a las comunidades en el proceso de aplicación de la</w:t>
      </w:r>
      <w:r w:rsidR="007F2D5E" w:rsidRPr="00CE4F9B">
        <w:rPr>
          <w:lang w:val="es-ES"/>
        </w:rPr>
        <w:t xml:space="preserve"> </w:t>
      </w:r>
      <w:r w:rsidRPr="00CE4F9B">
        <w:rPr>
          <w:lang w:val="es-ES"/>
        </w:rPr>
        <w:t>Convención:</w:t>
      </w:r>
    </w:p>
    <w:p w:rsidR="008C0B71" w:rsidRPr="00CE4F9B" w:rsidRDefault="008C0B71" w:rsidP="002E13FF">
      <w:pPr>
        <w:pStyle w:val="Txtpucegras"/>
        <w:tabs>
          <w:tab w:val="clear" w:pos="1134"/>
          <w:tab w:val="num" w:pos="1276"/>
        </w:tabs>
        <w:ind w:left="1276" w:hanging="425"/>
        <w:rPr>
          <w:lang w:val="es-ES"/>
        </w:rPr>
      </w:pPr>
      <w:r w:rsidRPr="00CE4F9B">
        <w:rPr>
          <w:lang w:val="es-ES"/>
        </w:rPr>
        <w:t>¿Quién ha tomado la iniciativa en la confección de inventarios, la preparación de candidaturas, la salvaguardia o la presentación de una solicitud?</w:t>
      </w:r>
    </w:p>
    <w:p w:rsidR="008C0B71" w:rsidRPr="00CE4F9B" w:rsidRDefault="008C0B71" w:rsidP="002E13FF">
      <w:pPr>
        <w:pStyle w:val="Txtpucegras"/>
        <w:tabs>
          <w:tab w:val="clear" w:pos="1134"/>
          <w:tab w:val="num" w:pos="1276"/>
        </w:tabs>
        <w:ind w:left="1276" w:hanging="425"/>
        <w:rPr>
          <w:lang w:val="es-ES"/>
        </w:rPr>
      </w:pPr>
      <w:r w:rsidRPr="00CE4F9B">
        <w:rPr>
          <w:lang w:val="es-ES"/>
        </w:rPr>
        <w:t>¿Cómo se ha identificado a las comunidades, grupos e individuos pertinentes?</w:t>
      </w:r>
    </w:p>
    <w:p w:rsidR="008C0B71" w:rsidRPr="00CE4F9B" w:rsidRDefault="008C0B71" w:rsidP="002E13FF">
      <w:pPr>
        <w:pStyle w:val="Txtpucegras"/>
        <w:tabs>
          <w:tab w:val="clear" w:pos="1134"/>
          <w:tab w:val="num" w:pos="1276"/>
        </w:tabs>
        <w:ind w:left="1276" w:hanging="425"/>
        <w:rPr>
          <w:lang w:val="es-ES"/>
        </w:rPr>
      </w:pPr>
      <w:r w:rsidRPr="00CE4F9B">
        <w:rPr>
          <w:lang w:val="es-ES"/>
        </w:rPr>
        <w:t>¿Cómo se ha identificado a los representantes de las comunidades, grupos e individuos en cuestión?</w:t>
      </w:r>
    </w:p>
    <w:p w:rsidR="008C0B71" w:rsidRPr="00CE4F9B" w:rsidRDefault="008C0B71" w:rsidP="002E13FF">
      <w:pPr>
        <w:pStyle w:val="Txtpucegras"/>
        <w:tabs>
          <w:tab w:val="clear" w:pos="1134"/>
          <w:tab w:val="num" w:pos="1276"/>
        </w:tabs>
        <w:ind w:left="1276" w:hanging="425"/>
        <w:rPr>
          <w:lang w:val="es-ES"/>
        </w:rPr>
      </w:pPr>
      <w:r w:rsidRPr="00CE4F9B">
        <w:rPr>
          <w:lang w:val="es-ES"/>
        </w:rPr>
        <w:t>¿Cómo se ha hecho participar a las comunidades y/o sus representantes?</w:t>
      </w:r>
    </w:p>
    <w:p w:rsidR="008C0B71" w:rsidRPr="00CE4F9B" w:rsidRDefault="008C0B71" w:rsidP="002E13FF">
      <w:pPr>
        <w:pStyle w:val="Txtpucegras"/>
        <w:tabs>
          <w:tab w:val="clear" w:pos="1134"/>
          <w:tab w:val="num" w:pos="1276"/>
        </w:tabs>
        <w:ind w:left="1276" w:hanging="425"/>
        <w:rPr>
          <w:lang w:val="es-ES"/>
        </w:rPr>
      </w:pPr>
      <w:r w:rsidRPr="00CE4F9B">
        <w:rPr>
          <w:lang w:val="es-ES"/>
        </w:rPr>
        <w:t xml:space="preserve">¿Cómo se </w:t>
      </w:r>
      <w:r w:rsidR="00747DD4" w:rsidRPr="00CE4F9B">
        <w:rPr>
          <w:lang w:val="es-ES"/>
        </w:rPr>
        <w:t xml:space="preserve">ha </w:t>
      </w:r>
      <w:r w:rsidRPr="00CE4F9B">
        <w:rPr>
          <w:lang w:val="es-ES"/>
        </w:rPr>
        <w:t>obt</w:t>
      </w:r>
      <w:r w:rsidR="00747DD4" w:rsidRPr="00CE4F9B">
        <w:rPr>
          <w:lang w:val="es-ES"/>
        </w:rPr>
        <w:t>enido</w:t>
      </w:r>
      <w:r w:rsidRPr="00CE4F9B">
        <w:rPr>
          <w:lang w:val="es-ES"/>
        </w:rPr>
        <w:t xml:space="preserve"> y registr</w:t>
      </w:r>
      <w:r w:rsidR="00747DD4" w:rsidRPr="00CE4F9B">
        <w:rPr>
          <w:lang w:val="es-ES"/>
        </w:rPr>
        <w:t>ado</w:t>
      </w:r>
      <w:r w:rsidRPr="00CE4F9B">
        <w:rPr>
          <w:lang w:val="es-ES"/>
        </w:rPr>
        <w:t xml:space="preserve"> su consentimiento?</w:t>
      </w:r>
    </w:p>
    <w:p w:rsidR="008C0B71" w:rsidRPr="00CE4F9B" w:rsidRDefault="008C0B71" w:rsidP="002E13FF">
      <w:pPr>
        <w:pStyle w:val="Txtpucegras"/>
        <w:tabs>
          <w:tab w:val="clear" w:pos="1134"/>
          <w:tab w:val="num" w:pos="1276"/>
        </w:tabs>
        <w:ind w:left="1276" w:hanging="425"/>
        <w:rPr>
          <w:lang w:val="es-ES"/>
        </w:rPr>
      </w:pPr>
      <w:r w:rsidRPr="00CE4F9B">
        <w:rPr>
          <w:lang w:val="es-ES"/>
        </w:rPr>
        <w:t xml:space="preserve">¿Cómo ha influido la participación de las comunidades en la confección de inventarios, la preparación de candidaturas, la salvaguardia y la presentación </w:t>
      </w:r>
      <w:r w:rsidR="007B2650" w:rsidRPr="00CE4F9B">
        <w:rPr>
          <w:lang w:val="es-ES"/>
        </w:rPr>
        <w:t xml:space="preserve">de </w:t>
      </w:r>
      <w:r w:rsidRPr="00CE4F9B">
        <w:rPr>
          <w:lang w:val="es-ES"/>
        </w:rPr>
        <w:t>solicitudes?</w:t>
      </w:r>
    </w:p>
    <w:p w:rsidR="008C0B71" w:rsidRPr="00CE4F9B" w:rsidRDefault="008C0B71" w:rsidP="008C0B71">
      <w:pPr>
        <w:pStyle w:val="Titcoul"/>
        <w:rPr>
          <w:spacing w:val="1"/>
          <w:w w:val="108"/>
          <w:lang w:val="es-ES"/>
        </w:rPr>
      </w:pPr>
      <w:bookmarkStart w:id="16" w:name="_Toc241229704"/>
      <w:bookmarkStart w:id="17" w:name="_Toc241229908"/>
      <w:bookmarkStart w:id="18" w:name="_Toc242165602"/>
      <w:r w:rsidRPr="00CE4F9B">
        <w:rPr>
          <w:lang w:val="es-ES"/>
        </w:rPr>
        <w:t>7.4</w:t>
      </w:r>
      <w:r w:rsidRPr="00CE4F9B">
        <w:rPr>
          <w:spacing w:val="1"/>
          <w:w w:val="108"/>
          <w:lang w:val="es-ES"/>
        </w:rPr>
        <w:tab/>
      </w:r>
      <w:r w:rsidRPr="00CE4F9B">
        <w:rPr>
          <w:spacing w:val="1"/>
          <w:w w:val="108"/>
          <w:lang w:val="es-ES"/>
        </w:rPr>
        <w:tab/>
      </w:r>
      <w:bookmarkEnd w:id="16"/>
      <w:bookmarkEnd w:id="17"/>
      <w:bookmarkEnd w:id="18"/>
      <w:r w:rsidRPr="00CE4F9B">
        <w:rPr>
          <w:rFonts w:eastAsia="MS Gothic"/>
          <w:lang w:val="es-ES"/>
        </w:rPr>
        <w:t>Participación de las comunidades en la confección de inventarios de su PCI</w:t>
      </w:r>
    </w:p>
    <w:p w:rsidR="008C0B71" w:rsidRPr="00CE4F9B" w:rsidRDefault="008C0B71" w:rsidP="008C0B71">
      <w:pPr>
        <w:pStyle w:val="Informations"/>
        <w:rPr>
          <w:lang w:val="es-ES"/>
        </w:rPr>
      </w:pPr>
      <w:r w:rsidRPr="00CE4F9B">
        <w:rPr>
          <w:i w:val="0"/>
          <w:iCs w:val="0"/>
          <w:noProof/>
          <w:lang w:val="es-ES_tradnl" w:eastAsia="es-ES_tradnl"/>
        </w:rPr>
        <w:drawing>
          <wp:anchor distT="0" distB="0" distL="114300" distR="114300" simplePos="0" relativeHeight="251660288" behindDoc="0" locked="1" layoutInCell="1" allowOverlap="0">
            <wp:simplePos x="0" y="0"/>
            <wp:positionH relativeFrom="column">
              <wp:posOffset>0</wp:posOffset>
            </wp:positionH>
            <wp:positionV relativeFrom="paragraph">
              <wp:posOffset>-71755</wp:posOffset>
            </wp:positionV>
            <wp:extent cx="283210" cy="358775"/>
            <wp:effectExtent l="19050" t="0" r="2540" b="0"/>
            <wp:wrapThrough wrapText="bothSides">
              <wp:wrapPolygon edited="0">
                <wp:start x="-1453" y="0"/>
                <wp:lineTo x="-1453" y="20644"/>
                <wp:lineTo x="21794" y="20644"/>
                <wp:lineTo x="21794" y="0"/>
                <wp:lineTo x="-1453" y="0"/>
              </wp:wrapPolygon>
            </wp:wrapThrough>
            <wp:docPr id="1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0"/>
                    <a:srcRect/>
                    <a:stretch>
                      <a:fillRect/>
                    </a:stretch>
                  </pic:blipFill>
                  <pic:spPr bwMode="auto">
                    <a:xfrm>
                      <a:off x="0" y="0"/>
                      <a:ext cx="283210" cy="358775"/>
                    </a:xfrm>
                    <a:prstGeom prst="rect">
                      <a:avLst/>
                    </a:prstGeom>
                    <a:noFill/>
                    <a:ln w="9525">
                      <a:noFill/>
                      <a:miter lim="800000"/>
                      <a:headEnd/>
                      <a:tailEnd/>
                    </a:ln>
                  </pic:spPr>
                </pic:pic>
              </a:graphicData>
            </a:graphic>
          </wp:anchor>
        </w:drawing>
      </w:r>
      <w:r w:rsidRPr="00CE4F9B">
        <w:rPr>
          <w:lang w:val="es-ES"/>
        </w:rPr>
        <w:t>En el Texto para el Participante de la Unidad 6 se examin</w:t>
      </w:r>
      <w:r w:rsidR="00747DD4" w:rsidRPr="00CE4F9B">
        <w:rPr>
          <w:lang w:val="es-ES"/>
        </w:rPr>
        <w:t>a</w:t>
      </w:r>
      <w:r w:rsidRPr="00CE4F9B">
        <w:rPr>
          <w:lang w:val="es-ES"/>
        </w:rPr>
        <w:t xml:space="preserve"> </w:t>
      </w:r>
      <w:r w:rsidR="00747DD4" w:rsidRPr="00CE4F9B">
        <w:rPr>
          <w:lang w:val="es-ES"/>
        </w:rPr>
        <w:t>el tema de</w:t>
      </w:r>
      <w:r w:rsidRPr="00CE4F9B">
        <w:rPr>
          <w:lang w:val="es-ES"/>
        </w:rPr>
        <w:t xml:space="preserve"> la confección de inventarios.</w:t>
      </w:r>
    </w:p>
    <w:p w:rsidR="008C0B71" w:rsidRPr="00CE4F9B" w:rsidRDefault="008C0B71" w:rsidP="008C0B71">
      <w:pPr>
        <w:pStyle w:val="Texte1"/>
        <w:rPr>
          <w:lang w:val="es-ES"/>
        </w:rPr>
      </w:pPr>
      <w:r w:rsidRPr="00CE4F9B">
        <w:rPr>
          <w:lang w:val="es-ES"/>
        </w:rPr>
        <w:t xml:space="preserve">La tarea de hacer participar a las comunidades en la identificación </w:t>
      </w:r>
      <w:r w:rsidR="00D60F33" w:rsidRPr="00CE4F9B">
        <w:rPr>
          <w:lang w:val="es-ES"/>
        </w:rPr>
        <w:t xml:space="preserve">y definición </w:t>
      </w:r>
      <w:r w:rsidRPr="00CE4F9B">
        <w:rPr>
          <w:lang w:val="es-ES"/>
        </w:rPr>
        <w:t>de su PCI</w:t>
      </w:r>
      <w:r w:rsidR="00D60F33" w:rsidRPr="00CE4F9B">
        <w:rPr>
          <w:lang w:val="es-ES"/>
        </w:rPr>
        <w:t>, así como en</w:t>
      </w:r>
      <w:r w:rsidRPr="00CE4F9B">
        <w:rPr>
          <w:lang w:val="es-ES"/>
        </w:rPr>
        <w:t xml:space="preserve"> la confección de inventarios de </w:t>
      </w:r>
      <w:r w:rsidR="007B2650" w:rsidRPr="00CE4F9B">
        <w:rPr>
          <w:lang w:val="es-ES"/>
        </w:rPr>
        <w:t xml:space="preserve">los </w:t>
      </w:r>
      <w:r w:rsidRPr="00CE4F9B">
        <w:rPr>
          <w:lang w:val="es-ES"/>
        </w:rPr>
        <w:t>elementos de éste</w:t>
      </w:r>
      <w:r w:rsidR="00D60F33" w:rsidRPr="00CE4F9B">
        <w:rPr>
          <w:lang w:val="es-ES"/>
        </w:rPr>
        <w:t>,</w:t>
      </w:r>
      <w:r w:rsidRPr="00CE4F9B">
        <w:rPr>
          <w:lang w:val="es-ES"/>
        </w:rPr>
        <w:t xml:space="preserve"> no sólo se debe llevar a cabo para cumplir con las disposiciones de la Convención (Artículos 2, 11, 12 y 15) o </w:t>
      </w:r>
      <w:r w:rsidR="00D60F33" w:rsidRPr="00CE4F9B">
        <w:rPr>
          <w:lang w:val="es-ES"/>
        </w:rPr>
        <w:t xml:space="preserve">de </w:t>
      </w:r>
      <w:r w:rsidRPr="00CE4F9B">
        <w:rPr>
          <w:lang w:val="es-ES"/>
        </w:rPr>
        <w:t xml:space="preserve">las Directrices Operativas (1, 2, 80 y 153.a), sino también para forjar relaciones en el seno de las comunidades, así como entre éstas y otras comunidades, el Estado y diversos organismos, con vistas a la promoción, gestión y salvaguardia del PCI en el futuro. Se exige proporcionar una prueba de la participación de las comunidades en la </w:t>
      </w:r>
      <w:r w:rsidRPr="00CE4F9B">
        <w:rPr>
          <w:lang w:val="es-ES"/>
        </w:rPr>
        <w:lastRenderedPageBreak/>
        <w:t xml:space="preserve">confección de inventarios cuando se proponen elementos para su inscripción en las Listas de la Convención (Formularios </w:t>
      </w:r>
      <w:r w:rsidR="00747DD4" w:rsidRPr="00CE4F9B">
        <w:rPr>
          <w:lang w:val="es-ES"/>
        </w:rPr>
        <w:t>ICH-</w:t>
      </w:r>
      <w:r w:rsidRPr="00CE4F9B">
        <w:rPr>
          <w:lang w:val="es-ES"/>
        </w:rPr>
        <w:t xml:space="preserve">01 e </w:t>
      </w:r>
      <w:r w:rsidR="00747DD4" w:rsidRPr="00CE4F9B">
        <w:rPr>
          <w:lang w:val="es-ES"/>
        </w:rPr>
        <w:t>ICH-</w:t>
      </w:r>
      <w:r w:rsidRPr="00CE4F9B">
        <w:rPr>
          <w:lang w:val="es-ES"/>
        </w:rPr>
        <w:t xml:space="preserve">02), y también cuando se presentan los informes periódicos al Comité Intergubernamental (Formulario </w:t>
      </w:r>
      <w:r w:rsidR="00747DD4" w:rsidRPr="00CE4F9B">
        <w:rPr>
          <w:lang w:val="es-ES"/>
        </w:rPr>
        <w:t>ICH-</w:t>
      </w:r>
      <w:r w:rsidRPr="00CE4F9B">
        <w:rPr>
          <w:lang w:val="es-ES"/>
        </w:rPr>
        <w:t>10).</w:t>
      </w:r>
    </w:p>
    <w:p w:rsidR="008C0B71" w:rsidRPr="00CE4F9B" w:rsidRDefault="008C0B71" w:rsidP="008C0B71">
      <w:pPr>
        <w:pStyle w:val="Informations"/>
        <w:rPr>
          <w:lang w:val="es-ES"/>
        </w:rPr>
      </w:pPr>
      <w:r w:rsidRPr="00CE4F9B">
        <w:rPr>
          <w:i w:val="0"/>
          <w:iCs w:val="0"/>
          <w:noProof/>
          <w:lang w:val="es-ES_tradnl" w:eastAsia="es-ES_tradnl"/>
        </w:rPr>
        <w:drawing>
          <wp:anchor distT="0" distB="0" distL="114300" distR="114300" simplePos="0" relativeHeight="251661312" behindDoc="0" locked="0" layoutInCell="1" allowOverlap="1">
            <wp:simplePos x="0" y="0"/>
            <wp:positionH relativeFrom="column">
              <wp:posOffset>0</wp:posOffset>
            </wp:positionH>
            <wp:positionV relativeFrom="paragraph">
              <wp:posOffset>36195</wp:posOffset>
            </wp:positionV>
            <wp:extent cx="283210" cy="358775"/>
            <wp:effectExtent l="19050" t="0" r="2540" b="0"/>
            <wp:wrapThrough wrapText="bothSides">
              <wp:wrapPolygon edited="0">
                <wp:start x="-1453" y="0"/>
                <wp:lineTo x="-1453" y="20644"/>
                <wp:lineTo x="21794" y="20644"/>
                <wp:lineTo x="21794" y="0"/>
                <wp:lineTo x="-1453" y="0"/>
              </wp:wrapPolygon>
            </wp:wrapThrough>
            <wp:docPr id="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0"/>
                    <a:srcRect/>
                    <a:stretch>
                      <a:fillRect/>
                    </a:stretch>
                  </pic:blipFill>
                  <pic:spPr bwMode="auto">
                    <a:xfrm>
                      <a:off x="0" y="0"/>
                      <a:ext cx="283210" cy="358775"/>
                    </a:xfrm>
                    <a:prstGeom prst="rect">
                      <a:avLst/>
                    </a:prstGeom>
                    <a:noFill/>
                    <a:ln w="9525">
                      <a:noFill/>
                      <a:miter lim="800000"/>
                      <a:headEnd/>
                      <a:tailEnd/>
                    </a:ln>
                  </pic:spPr>
                </pic:pic>
              </a:graphicData>
            </a:graphic>
          </wp:anchor>
        </w:drawing>
      </w:r>
      <w:r w:rsidRPr="00CE4F9B">
        <w:rPr>
          <w:lang w:val="es-ES"/>
        </w:rPr>
        <w:t xml:space="preserve">Para tener una idea de la manera en que se puede llevar a cabo un inventario, véase el Estudio de caso 9 donde se muestra cómo la comunidad indígena </w:t>
      </w:r>
      <w:proofErr w:type="spellStart"/>
      <w:r w:rsidRPr="00CE4F9B">
        <w:rPr>
          <w:lang w:val="es-ES"/>
        </w:rPr>
        <w:t>subanem</w:t>
      </w:r>
      <w:proofErr w:type="spellEnd"/>
      <w:r w:rsidRPr="00CE4F9B">
        <w:rPr>
          <w:lang w:val="es-ES"/>
        </w:rPr>
        <w:t xml:space="preserve"> de la península filipina de </w:t>
      </w:r>
      <w:proofErr w:type="spellStart"/>
      <w:r w:rsidRPr="00CE4F9B">
        <w:rPr>
          <w:lang w:val="es-ES"/>
        </w:rPr>
        <w:t>Zamboanga</w:t>
      </w:r>
      <w:proofErr w:type="spellEnd"/>
      <w:r w:rsidRPr="00CE4F9B">
        <w:rPr>
          <w:lang w:val="es-ES"/>
        </w:rPr>
        <w:t xml:space="preserve"> catalogó y documentó sus conocimientos botánicos sobre la flora autóctona.</w:t>
      </w:r>
    </w:p>
    <w:p w:rsidR="008C0B71" w:rsidRPr="00CE4F9B" w:rsidRDefault="008C0B71" w:rsidP="008C0B71">
      <w:pPr>
        <w:pStyle w:val="Informations"/>
        <w:rPr>
          <w:lang w:val="es-ES"/>
        </w:rPr>
      </w:pPr>
      <w:r w:rsidRPr="00CE4F9B">
        <w:rPr>
          <w:lang w:val="es-ES"/>
        </w:rPr>
        <w:t>En los Estudios de Casos 6, 7 y 8, se dan también ejemplos de confección de inventarios del PCI con participación de las comunidades.</w:t>
      </w:r>
    </w:p>
    <w:p w:rsidR="008C0B71" w:rsidRPr="00CE4F9B" w:rsidRDefault="00D60F33" w:rsidP="008C0B71">
      <w:pPr>
        <w:pStyle w:val="Titcoul"/>
        <w:rPr>
          <w:lang w:val="es-ES"/>
        </w:rPr>
      </w:pPr>
      <w:bookmarkStart w:id="19" w:name="_Toc242165603"/>
      <w:bookmarkStart w:id="20" w:name="_Toc241229705"/>
      <w:bookmarkStart w:id="21" w:name="_Toc241229909"/>
      <w:r w:rsidRPr="00CE4F9B">
        <w:rPr>
          <w:noProof/>
          <w:snapToGrid/>
          <w:lang w:val="es-ES_tradnl" w:eastAsia="es-ES_tradnl"/>
        </w:rPr>
        <w:drawing>
          <wp:anchor distT="0" distB="0" distL="114300" distR="114300" simplePos="0" relativeHeight="251671552" behindDoc="0" locked="0" layoutInCell="1" allowOverlap="1">
            <wp:simplePos x="0" y="0"/>
            <wp:positionH relativeFrom="column">
              <wp:posOffset>37465</wp:posOffset>
            </wp:positionH>
            <wp:positionV relativeFrom="paragraph">
              <wp:posOffset>954405</wp:posOffset>
            </wp:positionV>
            <wp:extent cx="283210" cy="358140"/>
            <wp:effectExtent l="19050" t="0" r="2540" b="0"/>
            <wp:wrapThrough wrapText="bothSides">
              <wp:wrapPolygon edited="0">
                <wp:start x="-1453" y="0"/>
                <wp:lineTo x="-1453" y="20681"/>
                <wp:lineTo x="21794" y="20681"/>
                <wp:lineTo x="21794" y="0"/>
                <wp:lineTo x="-1453" y="0"/>
              </wp:wrapPolygon>
            </wp:wrapThrough>
            <wp:docPr id="1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0"/>
                    <a:srcRect/>
                    <a:stretch>
                      <a:fillRect/>
                    </a:stretch>
                  </pic:blipFill>
                  <pic:spPr bwMode="auto">
                    <a:xfrm>
                      <a:off x="0" y="0"/>
                      <a:ext cx="283210" cy="358140"/>
                    </a:xfrm>
                    <a:prstGeom prst="rect">
                      <a:avLst/>
                    </a:prstGeom>
                    <a:noFill/>
                    <a:ln w="9525">
                      <a:noFill/>
                      <a:miter lim="800000"/>
                      <a:headEnd/>
                      <a:tailEnd/>
                    </a:ln>
                  </pic:spPr>
                </pic:pic>
              </a:graphicData>
            </a:graphic>
          </wp:anchor>
        </w:drawing>
      </w:r>
      <w:r w:rsidR="008C0B71" w:rsidRPr="00CE4F9B">
        <w:rPr>
          <w:lang w:val="es-ES"/>
        </w:rPr>
        <w:t xml:space="preserve">7.5 </w:t>
      </w:r>
      <w:r w:rsidR="008C0B71" w:rsidRPr="00CE4F9B">
        <w:rPr>
          <w:lang w:val="es-ES"/>
        </w:rPr>
        <w:tab/>
      </w:r>
      <w:bookmarkEnd w:id="19"/>
      <w:bookmarkEnd w:id="20"/>
      <w:bookmarkEnd w:id="21"/>
      <w:r w:rsidR="008C0B71" w:rsidRPr="00CE4F9B">
        <w:rPr>
          <w:rFonts w:eastAsia="MS Gothic"/>
          <w:lang w:val="es-ES"/>
        </w:rPr>
        <w:t>Participación de las comunidades en las actividades de sensibilización al valor e importancia del pci</w:t>
      </w:r>
    </w:p>
    <w:p w:rsidR="008C0B71" w:rsidRPr="00CE4F9B" w:rsidRDefault="008C0B71" w:rsidP="008C0B71">
      <w:pPr>
        <w:pStyle w:val="Informations"/>
        <w:rPr>
          <w:lang w:val="es-ES"/>
        </w:rPr>
      </w:pPr>
      <w:r w:rsidRPr="00CE4F9B">
        <w:rPr>
          <w:lang w:val="es-ES"/>
        </w:rPr>
        <w:t xml:space="preserve">La sensibilización al valor e importancia del PCI se </w:t>
      </w:r>
      <w:r w:rsidR="00503F27" w:rsidRPr="00CE4F9B">
        <w:rPr>
          <w:lang w:val="es-ES"/>
        </w:rPr>
        <w:t>e</w:t>
      </w:r>
      <w:r w:rsidRPr="00CE4F9B">
        <w:rPr>
          <w:lang w:val="es-ES"/>
        </w:rPr>
        <w:t>xamin</w:t>
      </w:r>
      <w:r w:rsidR="00503F27" w:rsidRPr="00CE4F9B">
        <w:rPr>
          <w:lang w:val="es-ES"/>
        </w:rPr>
        <w:t>a</w:t>
      </w:r>
      <w:r w:rsidRPr="00CE4F9B">
        <w:rPr>
          <w:lang w:val="es-ES"/>
        </w:rPr>
        <w:t xml:space="preserve"> con detalle en el Texto para el Participante de la Unidad 5.</w:t>
      </w:r>
    </w:p>
    <w:p w:rsidR="008C0B71" w:rsidRPr="00CE4F9B" w:rsidRDefault="008C0B71" w:rsidP="008C0B71">
      <w:pPr>
        <w:pStyle w:val="Texte1"/>
        <w:rPr>
          <w:lang w:val="es-ES"/>
        </w:rPr>
      </w:pPr>
      <w:r w:rsidRPr="00CE4F9B">
        <w:rPr>
          <w:lang w:val="es-ES"/>
        </w:rPr>
        <w:t>Se alienta a los Estados Partes a velar por la participación de las comunidades en las actividades de sensibilización a su propio PCI, así como por la obtención de consentimiento (DO 101.b). Esto puede contribuir a que no se distorsione la imagen de las comunidades y/o de su PCI</w:t>
      </w:r>
      <w:r w:rsidR="00503F27" w:rsidRPr="00CE4F9B">
        <w:rPr>
          <w:lang w:val="es-ES"/>
        </w:rPr>
        <w:t xml:space="preserve"> en las actividades de sensibilización</w:t>
      </w:r>
      <w:r w:rsidRPr="00CE4F9B">
        <w:rPr>
          <w:lang w:val="es-ES"/>
        </w:rPr>
        <w:t xml:space="preserve">. </w:t>
      </w:r>
      <w:r w:rsidR="00503F27" w:rsidRPr="00CE4F9B">
        <w:rPr>
          <w:lang w:val="es-ES"/>
        </w:rPr>
        <w:t>L</w:t>
      </w:r>
      <w:r w:rsidRPr="00CE4F9B">
        <w:rPr>
          <w:lang w:val="es-ES"/>
        </w:rPr>
        <w:t>a cuestión del consentimiento libre, previo e informado, se examina más extensamente en las secciones siguientes del presente documento.</w:t>
      </w:r>
    </w:p>
    <w:p w:rsidR="008C0B71" w:rsidRPr="00CE4F9B" w:rsidRDefault="00E05885" w:rsidP="008C0B71">
      <w:pPr>
        <w:pStyle w:val="Texte1"/>
        <w:rPr>
          <w:lang w:val="es-ES"/>
        </w:rPr>
      </w:pPr>
      <w:r w:rsidRPr="00CE4F9B">
        <w:rPr>
          <w:noProof/>
          <w:lang w:val="es-ES_tradnl" w:eastAsia="es-ES_tradnl"/>
        </w:rPr>
        <w:drawing>
          <wp:anchor distT="0" distB="0" distL="114300" distR="114300" simplePos="0" relativeHeight="251673600" behindDoc="0" locked="0" layoutInCell="1" allowOverlap="0">
            <wp:simplePos x="0" y="0"/>
            <wp:positionH relativeFrom="column">
              <wp:posOffset>75565</wp:posOffset>
            </wp:positionH>
            <wp:positionV relativeFrom="paragraph">
              <wp:posOffset>718185</wp:posOffset>
            </wp:positionV>
            <wp:extent cx="283845" cy="358140"/>
            <wp:effectExtent l="19050" t="0" r="1905" b="0"/>
            <wp:wrapThrough wrapText="bothSides">
              <wp:wrapPolygon edited="0">
                <wp:start x="-1450" y="0"/>
                <wp:lineTo x="-1450" y="20681"/>
                <wp:lineTo x="21745" y="20681"/>
                <wp:lineTo x="21745" y="0"/>
                <wp:lineTo x="-1450" y="0"/>
              </wp:wrapPolygon>
            </wp:wrapThrough>
            <wp:docPr id="3"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pic:cNvPicPr>
                      <a:picLocks noChangeAspect="1" noChangeArrowheads="1"/>
                    </pic:cNvPicPr>
                  </pic:nvPicPr>
                  <pic:blipFill>
                    <a:blip r:embed="rId10"/>
                    <a:srcRect/>
                    <a:stretch>
                      <a:fillRect/>
                    </a:stretch>
                  </pic:blipFill>
                  <pic:spPr bwMode="auto">
                    <a:xfrm>
                      <a:off x="0" y="0"/>
                      <a:ext cx="283845" cy="358140"/>
                    </a:xfrm>
                    <a:prstGeom prst="rect">
                      <a:avLst/>
                    </a:prstGeom>
                    <a:noFill/>
                    <a:ln w="9525">
                      <a:noFill/>
                      <a:miter lim="800000"/>
                      <a:headEnd/>
                      <a:tailEnd/>
                    </a:ln>
                  </pic:spPr>
                </pic:pic>
              </a:graphicData>
            </a:graphic>
          </wp:anchor>
        </w:drawing>
      </w:r>
      <w:r w:rsidR="008C0B71" w:rsidRPr="00CE4F9B">
        <w:rPr>
          <w:lang w:val="es-ES"/>
        </w:rPr>
        <w:t xml:space="preserve">También se alienta a los Estados Partes a </w:t>
      </w:r>
      <w:r w:rsidR="00982C10" w:rsidRPr="00CE4F9B">
        <w:rPr>
          <w:lang w:val="es-ES"/>
        </w:rPr>
        <w:t>velar por</w:t>
      </w:r>
      <w:r w:rsidR="008C0B71" w:rsidRPr="00CE4F9B">
        <w:rPr>
          <w:lang w:val="es-ES"/>
        </w:rPr>
        <w:t xml:space="preserve"> que las comunidades interesadas se beneficien de las actividades de sensibilización al valor e importancia de su PCI (DO 101.d) y </w:t>
      </w:r>
      <w:proofErr w:type="spellStart"/>
      <w:r w:rsidR="00982C10" w:rsidRPr="00CE4F9B">
        <w:rPr>
          <w:lang w:val="es-ES"/>
        </w:rPr>
        <w:t xml:space="preserve">por </w:t>
      </w:r>
      <w:r w:rsidR="008C0B71" w:rsidRPr="00CE4F9B">
        <w:rPr>
          <w:lang w:val="es-ES"/>
        </w:rPr>
        <w:t>que</w:t>
      </w:r>
      <w:proofErr w:type="spellEnd"/>
      <w:r w:rsidR="008C0B71" w:rsidRPr="00CE4F9B">
        <w:rPr>
          <w:lang w:val="es-ES"/>
        </w:rPr>
        <w:t xml:space="preserve"> se protejan </w:t>
      </w:r>
      <w:r w:rsidR="00503F27" w:rsidRPr="00CE4F9B">
        <w:rPr>
          <w:lang w:val="es-ES"/>
        </w:rPr>
        <w:t xml:space="preserve">sus derechos </w:t>
      </w:r>
      <w:r w:rsidR="008C0B71" w:rsidRPr="00CE4F9B">
        <w:rPr>
          <w:lang w:val="es-ES"/>
        </w:rPr>
        <w:t xml:space="preserve">durante la realización de </w:t>
      </w:r>
      <w:r w:rsidR="00982C10" w:rsidRPr="00CE4F9B">
        <w:rPr>
          <w:lang w:val="es-ES"/>
        </w:rPr>
        <w:t>esas actividades</w:t>
      </w:r>
      <w:r w:rsidR="008C0B71" w:rsidRPr="00CE4F9B">
        <w:rPr>
          <w:lang w:val="es-ES"/>
        </w:rPr>
        <w:t xml:space="preserve"> (DO 104). Esta cuestión se examina más adelante en la sección 7.7 del presente documento.</w:t>
      </w:r>
    </w:p>
    <w:p w:rsidR="008C0B71" w:rsidRPr="00CE4F9B" w:rsidRDefault="008C0B71" w:rsidP="008C0B71">
      <w:pPr>
        <w:pStyle w:val="Informations"/>
        <w:rPr>
          <w:lang w:val="es-ES"/>
        </w:rPr>
      </w:pPr>
      <w:r w:rsidRPr="00CE4F9B">
        <w:rPr>
          <w:noProof/>
          <w:lang w:val="es-ES" w:eastAsia="fr-FR"/>
        </w:rPr>
        <w:t xml:space="preserve">El Estudio de Caso </w:t>
      </w:r>
      <w:r w:rsidRPr="00CE4F9B">
        <w:rPr>
          <w:lang w:val="es-ES"/>
        </w:rPr>
        <w:t xml:space="preserve">4 sobre el proyecto brasileño </w:t>
      </w:r>
      <w:r w:rsidR="00237069" w:rsidRPr="00CE4F9B">
        <w:rPr>
          <w:lang w:val="es-ES"/>
        </w:rPr>
        <w:t>“</w:t>
      </w:r>
      <w:proofErr w:type="spellStart"/>
      <w:r w:rsidR="00237069" w:rsidRPr="00CE4F9B">
        <w:rPr>
          <w:iCs w:val="0"/>
          <w:lang w:val="es-ES"/>
        </w:rPr>
        <w:t>Índios</w:t>
      </w:r>
      <w:proofErr w:type="spellEnd"/>
      <w:r w:rsidR="00237069" w:rsidRPr="00CE4F9B">
        <w:rPr>
          <w:iCs w:val="0"/>
          <w:lang w:val="es-ES"/>
        </w:rPr>
        <w:t xml:space="preserve"> na </w:t>
      </w:r>
      <w:proofErr w:type="spellStart"/>
      <w:r w:rsidR="00237069" w:rsidRPr="00CE4F9B">
        <w:rPr>
          <w:iCs w:val="0"/>
          <w:lang w:val="es-ES"/>
        </w:rPr>
        <w:t>visão</w:t>
      </w:r>
      <w:proofErr w:type="spellEnd"/>
      <w:r w:rsidR="00237069" w:rsidRPr="00CE4F9B">
        <w:rPr>
          <w:iCs w:val="0"/>
          <w:lang w:val="es-ES"/>
        </w:rPr>
        <w:t xml:space="preserve"> dos </w:t>
      </w:r>
      <w:proofErr w:type="spellStart"/>
      <w:r w:rsidR="00237069" w:rsidRPr="00CE4F9B">
        <w:rPr>
          <w:iCs w:val="0"/>
          <w:lang w:val="es-ES"/>
        </w:rPr>
        <w:t>Índios</w:t>
      </w:r>
      <w:proofErr w:type="spellEnd"/>
      <w:r w:rsidR="00237069" w:rsidRPr="00CE4F9B">
        <w:rPr>
          <w:iCs w:val="0"/>
          <w:lang w:val="es-ES"/>
        </w:rPr>
        <w:t>”</w:t>
      </w:r>
      <w:r w:rsidR="00237069" w:rsidRPr="00CE4F9B">
        <w:rPr>
          <w:lang w:val="es-ES"/>
        </w:rPr>
        <w:t xml:space="preserve"> [Los indios en la visión de los indios]</w:t>
      </w:r>
      <w:r w:rsidRPr="00CE4F9B">
        <w:rPr>
          <w:lang w:val="es-ES"/>
        </w:rPr>
        <w:t xml:space="preserve"> constituye un ejemplo de participación de la comunidad en la tarea de sensibilizar al valor e importancia del PCI.</w:t>
      </w:r>
    </w:p>
    <w:p w:rsidR="008C0B71" w:rsidRPr="00CE4F9B" w:rsidRDefault="008C0B71" w:rsidP="008C0B71">
      <w:pPr>
        <w:pStyle w:val="Titcoul"/>
        <w:rPr>
          <w:i/>
          <w:iCs/>
          <w:spacing w:val="4"/>
          <w:lang w:val="es-ES"/>
        </w:rPr>
      </w:pPr>
      <w:bookmarkStart w:id="22" w:name="_Toc241229706"/>
      <w:bookmarkStart w:id="23" w:name="_Toc241229910"/>
      <w:bookmarkStart w:id="24" w:name="_Toc242165604"/>
      <w:r w:rsidRPr="00CE4F9B">
        <w:rPr>
          <w:lang w:val="es-ES"/>
        </w:rPr>
        <w:t>7.6</w:t>
      </w:r>
      <w:r w:rsidRPr="00CE4F9B">
        <w:rPr>
          <w:spacing w:val="4"/>
          <w:w w:val="107"/>
          <w:lang w:val="es-ES"/>
        </w:rPr>
        <w:tab/>
      </w:r>
      <w:bookmarkEnd w:id="22"/>
      <w:bookmarkEnd w:id="23"/>
      <w:bookmarkEnd w:id="24"/>
      <w:r w:rsidRPr="00CE4F9B">
        <w:rPr>
          <w:lang w:val="es-ES"/>
        </w:rPr>
        <w:t xml:space="preserve">Participación de las </w:t>
      </w:r>
      <w:r w:rsidRPr="00CE4F9B">
        <w:rPr>
          <w:rFonts w:eastAsia="MS Gothic"/>
          <w:lang w:val="es-ES"/>
        </w:rPr>
        <w:t>c</w:t>
      </w:r>
      <w:r w:rsidR="00F930AB" w:rsidRPr="00CE4F9B">
        <w:rPr>
          <w:rFonts w:eastAsia="MS Gothic"/>
          <w:lang w:val="es-ES"/>
        </w:rPr>
        <w:t xml:space="preserve">omunidades en la preparación de </w:t>
      </w:r>
      <w:r w:rsidRPr="00CE4F9B">
        <w:rPr>
          <w:rFonts w:eastAsia="MS Gothic"/>
          <w:lang w:val="es-ES"/>
        </w:rPr>
        <w:t>candidaturas para la inscripción y de solicitudes de asistencia internacional</w:t>
      </w:r>
    </w:p>
    <w:p w:rsidR="008C0B71" w:rsidRPr="00CE4F9B" w:rsidRDefault="008C0B71" w:rsidP="008C0B71">
      <w:pPr>
        <w:pStyle w:val="Texte1"/>
        <w:rPr>
          <w:lang w:val="es-ES"/>
        </w:rPr>
      </w:pPr>
      <w:r w:rsidRPr="00CE4F9B">
        <w:rPr>
          <w:lang w:val="es-ES"/>
        </w:rPr>
        <w:t>Las candidaturas para la inscripción de elementos en las Listas de la Convención sólo se pueden presentar al Comité Intergubernamental si las comunidades interesadas han participado en su preparación y han co</w:t>
      </w:r>
      <w:r w:rsidR="00237069" w:rsidRPr="00CE4F9B">
        <w:rPr>
          <w:lang w:val="es-ES"/>
        </w:rPr>
        <w:t>nsentido en presentarlas (DO 1 U.4 y DO 2 R.4</w:t>
      </w:r>
      <w:r w:rsidRPr="00CE4F9B">
        <w:rPr>
          <w:lang w:val="es-ES"/>
        </w:rPr>
        <w:t>). En los formularios de presentación de candidaturas se exige aportar pruebas de:</w:t>
      </w:r>
    </w:p>
    <w:p w:rsidR="008C0B71" w:rsidRPr="00CE4F9B" w:rsidRDefault="008C0B71" w:rsidP="008C0B71">
      <w:pPr>
        <w:pStyle w:val="Enutiret"/>
        <w:rPr>
          <w:lang w:val="es-ES"/>
        </w:rPr>
      </w:pPr>
      <w:r w:rsidRPr="00CE4F9B">
        <w:rPr>
          <w:lang w:val="es-ES"/>
        </w:rPr>
        <w:t xml:space="preserve">que el elemento del PCI ha sido reconocido como tal por la comunidad interesada (Formularios </w:t>
      </w:r>
      <w:r w:rsidR="00747DD4" w:rsidRPr="00CE4F9B">
        <w:rPr>
          <w:lang w:val="es-ES"/>
        </w:rPr>
        <w:t>ICH-</w:t>
      </w:r>
      <w:r w:rsidRPr="00CE4F9B">
        <w:rPr>
          <w:lang w:val="es-ES"/>
        </w:rPr>
        <w:t xml:space="preserve">01 e </w:t>
      </w:r>
      <w:r w:rsidR="00747DD4" w:rsidRPr="00CE4F9B">
        <w:rPr>
          <w:lang w:val="es-ES"/>
        </w:rPr>
        <w:t>ICH-</w:t>
      </w:r>
      <w:r w:rsidRPr="00CE4F9B">
        <w:rPr>
          <w:lang w:val="es-ES"/>
        </w:rPr>
        <w:t>02, Sección 1);</w:t>
      </w:r>
    </w:p>
    <w:p w:rsidR="008C0B71" w:rsidRPr="00CE4F9B" w:rsidRDefault="008C0B71" w:rsidP="008C0B71">
      <w:pPr>
        <w:pStyle w:val="Enutiret"/>
        <w:rPr>
          <w:lang w:val="es-ES"/>
        </w:rPr>
      </w:pPr>
      <w:r w:rsidRPr="00CE4F9B">
        <w:rPr>
          <w:lang w:val="es-ES"/>
        </w:rPr>
        <w:t>que la comunidad interesada ha participado en la confección del inventario de ese elemento</w:t>
      </w:r>
      <w:r w:rsidR="007F2D5E" w:rsidRPr="00CE4F9B">
        <w:rPr>
          <w:lang w:val="es-ES"/>
        </w:rPr>
        <w:t xml:space="preserve"> </w:t>
      </w:r>
      <w:r w:rsidRPr="00CE4F9B">
        <w:rPr>
          <w:iCs/>
          <w:lang w:val="es-ES"/>
        </w:rPr>
        <w:t xml:space="preserve">(Formularios </w:t>
      </w:r>
      <w:r w:rsidR="00747DD4" w:rsidRPr="00CE4F9B">
        <w:rPr>
          <w:iCs/>
          <w:lang w:val="es-ES"/>
        </w:rPr>
        <w:t>ICH-</w:t>
      </w:r>
      <w:r w:rsidRPr="00CE4F9B">
        <w:rPr>
          <w:iCs/>
          <w:lang w:val="es-ES"/>
        </w:rPr>
        <w:t xml:space="preserve">01 e </w:t>
      </w:r>
      <w:r w:rsidR="00747DD4" w:rsidRPr="00CE4F9B">
        <w:rPr>
          <w:iCs/>
          <w:lang w:val="es-ES"/>
        </w:rPr>
        <w:t>ICH-</w:t>
      </w:r>
      <w:r w:rsidRPr="00CE4F9B">
        <w:rPr>
          <w:iCs/>
          <w:lang w:val="es-ES"/>
        </w:rPr>
        <w:t xml:space="preserve">02, </w:t>
      </w:r>
      <w:r w:rsidRPr="00CE4F9B">
        <w:rPr>
          <w:lang w:val="es-ES"/>
        </w:rPr>
        <w:t>Sección</w:t>
      </w:r>
      <w:r w:rsidRPr="00CE4F9B">
        <w:rPr>
          <w:iCs/>
          <w:lang w:val="es-ES"/>
        </w:rPr>
        <w:t xml:space="preserve"> 5);</w:t>
      </w:r>
    </w:p>
    <w:p w:rsidR="008C0B71" w:rsidRPr="00CE4F9B" w:rsidRDefault="008C0B71" w:rsidP="008C0B71">
      <w:pPr>
        <w:pStyle w:val="Enutiret"/>
        <w:rPr>
          <w:lang w:val="es-ES"/>
        </w:rPr>
      </w:pPr>
      <w:r w:rsidRPr="00CE4F9B">
        <w:rPr>
          <w:lang w:val="es-ES"/>
        </w:rPr>
        <w:lastRenderedPageBreak/>
        <w:t>que la comunidad interesada ha participado en la preparación del expediente de candidatura del elemento (Formularios</w:t>
      </w:r>
      <w:r w:rsidRPr="00CE4F9B">
        <w:rPr>
          <w:iCs/>
          <w:lang w:val="es-ES"/>
        </w:rPr>
        <w:t xml:space="preserve"> </w:t>
      </w:r>
      <w:r w:rsidR="00747DD4" w:rsidRPr="00CE4F9B">
        <w:rPr>
          <w:iCs/>
          <w:lang w:val="es-ES"/>
        </w:rPr>
        <w:t>ICH-</w:t>
      </w:r>
      <w:r w:rsidRPr="00CE4F9B">
        <w:rPr>
          <w:iCs/>
          <w:lang w:val="es-ES"/>
        </w:rPr>
        <w:t xml:space="preserve">01 e </w:t>
      </w:r>
      <w:r w:rsidR="00747DD4" w:rsidRPr="00CE4F9B">
        <w:rPr>
          <w:iCs/>
          <w:lang w:val="es-ES"/>
        </w:rPr>
        <w:t>ICH-</w:t>
      </w:r>
      <w:r w:rsidRPr="00CE4F9B">
        <w:rPr>
          <w:iCs/>
          <w:lang w:val="es-ES"/>
        </w:rPr>
        <w:t xml:space="preserve">02, </w:t>
      </w:r>
      <w:r w:rsidRPr="00CE4F9B">
        <w:rPr>
          <w:lang w:val="es-ES"/>
        </w:rPr>
        <w:t>Sección 4.a);</w:t>
      </w:r>
    </w:p>
    <w:p w:rsidR="008C0B71" w:rsidRPr="00CE4F9B" w:rsidRDefault="008C0B71" w:rsidP="008C0B71">
      <w:pPr>
        <w:pStyle w:val="Enutiret"/>
        <w:rPr>
          <w:lang w:val="es-ES"/>
        </w:rPr>
      </w:pPr>
      <w:r w:rsidRPr="00CE4F9B">
        <w:rPr>
          <w:lang w:val="es-ES"/>
        </w:rPr>
        <w:t xml:space="preserve">que se han respetado las prácticas consuetudinarias que rigen el acceso al elemento (Formularios </w:t>
      </w:r>
      <w:r w:rsidR="00747DD4" w:rsidRPr="00CE4F9B">
        <w:rPr>
          <w:lang w:val="es-ES"/>
        </w:rPr>
        <w:t>ICH-</w:t>
      </w:r>
      <w:r w:rsidRPr="00CE4F9B">
        <w:rPr>
          <w:lang w:val="es-ES"/>
        </w:rPr>
        <w:t xml:space="preserve">01 e </w:t>
      </w:r>
      <w:r w:rsidR="00747DD4" w:rsidRPr="00CE4F9B">
        <w:rPr>
          <w:lang w:val="es-ES"/>
        </w:rPr>
        <w:t>ICH-</w:t>
      </w:r>
      <w:r w:rsidRPr="00CE4F9B">
        <w:rPr>
          <w:lang w:val="es-ES"/>
        </w:rPr>
        <w:t>02, Sección 4.c);</w:t>
      </w:r>
    </w:p>
    <w:p w:rsidR="008C0B71" w:rsidRPr="00CE4F9B" w:rsidRDefault="008C0B71" w:rsidP="008C0B71">
      <w:pPr>
        <w:pStyle w:val="Enutiret"/>
        <w:rPr>
          <w:lang w:val="es-ES"/>
        </w:rPr>
      </w:pPr>
      <w:r w:rsidRPr="00CE4F9B">
        <w:rPr>
          <w:lang w:val="es-ES"/>
        </w:rPr>
        <w:t>que la comunidad interesada ha otorgado su consentimiento libre, previo e informado a la presentación de la candidatura del elemento</w:t>
      </w:r>
      <w:r w:rsidRPr="00CE4F9B">
        <w:rPr>
          <w:iCs/>
          <w:lang w:val="es-ES"/>
        </w:rPr>
        <w:t xml:space="preserve"> (Formularios</w:t>
      </w:r>
      <w:r w:rsidRPr="00CE4F9B">
        <w:rPr>
          <w:lang w:val="es-ES"/>
        </w:rPr>
        <w:t xml:space="preserve"> </w:t>
      </w:r>
      <w:r w:rsidR="00747DD4" w:rsidRPr="00CE4F9B">
        <w:rPr>
          <w:lang w:val="es-ES"/>
        </w:rPr>
        <w:t>ICH-</w:t>
      </w:r>
      <w:r w:rsidRPr="00CE4F9B">
        <w:rPr>
          <w:lang w:val="es-ES"/>
        </w:rPr>
        <w:t xml:space="preserve">01 e </w:t>
      </w:r>
      <w:r w:rsidR="00747DD4" w:rsidRPr="00CE4F9B">
        <w:rPr>
          <w:lang w:val="es-ES"/>
        </w:rPr>
        <w:t>ICH-</w:t>
      </w:r>
      <w:r w:rsidRPr="00CE4F9B">
        <w:rPr>
          <w:lang w:val="es-ES"/>
        </w:rPr>
        <w:t xml:space="preserve">02, Sección 4.b); </w:t>
      </w:r>
      <w:r w:rsidRPr="00CE4F9B">
        <w:rPr>
          <w:iCs/>
          <w:lang w:val="es-ES"/>
        </w:rPr>
        <w:t>y</w:t>
      </w:r>
    </w:p>
    <w:p w:rsidR="008C0B71" w:rsidRPr="00CE4F9B" w:rsidRDefault="008C0B71" w:rsidP="008C0B71">
      <w:pPr>
        <w:pStyle w:val="Enutiret"/>
        <w:tabs>
          <w:tab w:val="left" w:pos="6096"/>
        </w:tabs>
        <w:rPr>
          <w:lang w:val="es-ES"/>
        </w:rPr>
      </w:pPr>
      <w:r w:rsidRPr="00CE4F9B">
        <w:rPr>
          <w:lang w:val="es-ES"/>
        </w:rPr>
        <w:t>que la comunidad interesada participará plenamente en la aplicación de las medidas</w:t>
      </w:r>
      <w:r w:rsidR="007F2D5E" w:rsidRPr="00CE4F9B">
        <w:rPr>
          <w:lang w:val="es-ES"/>
        </w:rPr>
        <w:t xml:space="preserve"> </w:t>
      </w:r>
      <w:r w:rsidRPr="00CE4F9B">
        <w:rPr>
          <w:lang w:val="es-ES"/>
        </w:rPr>
        <w:t xml:space="preserve">de salvaguardia y gestión del elemento que se hayan propuesto en el expediente de candidatura (Formulario </w:t>
      </w:r>
      <w:r w:rsidR="00747DD4" w:rsidRPr="00CE4F9B">
        <w:rPr>
          <w:lang w:val="es-ES"/>
        </w:rPr>
        <w:t>ICH-</w:t>
      </w:r>
      <w:r w:rsidRPr="00CE4F9B">
        <w:rPr>
          <w:lang w:val="es-ES"/>
        </w:rPr>
        <w:t xml:space="preserve">01, Sección 3.b). Cabe añadir que en la Sección 3.b.III del Formulario </w:t>
      </w:r>
      <w:r w:rsidR="00747DD4" w:rsidRPr="00CE4F9B">
        <w:rPr>
          <w:lang w:val="es-ES"/>
        </w:rPr>
        <w:t>ICH-</w:t>
      </w:r>
      <w:r w:rsidRPr="00CE4F9B">
        <w:rPr>
          <w:lang w:val="es-ES"/>
        </w:rPr>
        <w:t>02 figura también una pregunta sobre esta cuestión.</w:t>
      </w:r>
    </w:p>
    <w:p w:rsidR="008C0B71" w:rsidRPr="00CE4F9B" w:rsidRDefault="008C0B71" w:rsidP="008C0B71">
      <w:pPr>
        <w:pStyle w:val="Texte1"/>
        <w:rPr>
          <w:lang w:val="es-ES"/>
        </w:rPr>
      </w:pPr>
      <w:r w:rsidRPr="00CE4F9B">
        <w:rPr>
          <w:lang w:val="es-ES"/>
        </w:rPr>
        <w:t>En lo que respecta a las propuestas</w:t>
      </w:r>
      <w:r w:rsidR="00CE4F9B" w:rsidRPr="00CE4F9B">
        <w:rPr>
          <w:lang w:val="es-ES"/>
        </w:rPr>
        <w:t xml:space="preserve"> </w:t>
      </w:r>
      <w:r w:rsidR="00E05885" w:rsidRPr="00CE4F9B">
        <w:rPr>
          <w:lang w:val="es-ES"/>
        </w:rPr>
        <w:t xml:space="preserve">de programas y proyectos </w:t>
      </w:r>
      <w:r w:rsidRPr="00CE4F9B">
        <w:rPr>
          <w:lang w:val="es-ES"/>
        </w:rPr>
        <w:t>para su selección en el Registro de Mejores Prácticas de Salvaguardia se debe aportar la prueba de que la actividad cuya candidatura se presenta se ha realizado con la participación de la comunidad interesada (si procede), y de que la candidatura se ha presenta</w:t>
      </w:r>
      <w:r w:rsidR="00F930AB" w:rsidRPr="00CE4F9B">
        <w:rPr>
          <w:lang w:val="es-ES"/>
        </w:rPr>
        <w:t xml:space="preserve">do con su consentimiento (DO 7 </w:t>
      </w:r>
      <w:r w:rsidRPr="00CE4F9B">
        <w:rPr>
          <w:lang w:val="es-ES"/>
        </w:rPr>
        <w:t xml:space="preserve">P.5) y Formulario </w:t>
      </w:r>
      <w:r w:rsidR="00747DD4" w:rsidRPr="00CE4F9B">
        <w:rPr>
          <w:lang w:val="es-ES"/>
        </w:rPr>
        <w:t>ICH-</w:t>
      </w:r>
      <w:r w:rsidRPr="00CE4F9B">
        <w:rPr>
          <w:lang w:val="es-ES"/>
        </w:rPr>
        <w:t>03, Sección 5). También se debe probar que la comunidad interesada (si procede) está dispuesta a cooperar en la difusión de la mejor práctica propues</w:t>
      </w:r>
      <w:r w:rsidR="00F930AB" w:rsidRPr="00CE4F9B">
        <w:rPr>
          <w:lang w:val="es-ES"/>
        </w:rPr>
        <w:t xml:space="preserve">ta para ser seleccionada (DO 7 </w:t>
      </w:r>
      <w:r w:rsidRPr="00CE4F9B">
        <w:rPr>
          <w:lang w:val="es-ES"/>
        </w:rPr>
        <w:t xml:space="preserve">P.7) y Formulario </w:t>
      </w:r>
      <w:r w:rsidR="00747DD4" w:rsidRPr="00CE4F9B">
        <w:rPr>
          <w:lang w:val="es-ES"/>
        </w:rPr>
        <w:t>ICH-</w:t>
      </w:r>
      <w:r w:rsidRPr="00CE4F9B">
        <w:rPr>
          <w:lang w:val="es-ES"/>
        </w:rPr>
        <w:t>03, Sección 7).</w:t>
      </w:r>
    </w:p>
    <w:p w:rsidR="008C0B71" w:rsidRPr="00CE4F9B" w:rsidRDefault="008C0B71" w:rsidP="008C0B71">
      <w:pPr>
        <w:pStyle w:val="Texte1"/>
        <w:rPr>
          <w:lang w:val="es-ES"/>
        </w:rPr>
      </w:pPr>
      <w:r w:rsidRPr="00CE4F9B">
        <w:rPr>
          <w:lang w:val="es-ES"/>
        </w:rPr>
        <w:t>En lo que respecta a</w:t>
      </w:r>
      <w:r w:rsidR="00E05885" w:rsidRPr="00CE4F9B">
        <w:rPr>
          <w:lang w:val="es-ES"/>
        </w:rPr>
        <w:t xml:space="preserve"> </w:t>
      </w:r>
      <w:r w:rsidR="00237069" w:rsidRPr="00CE4F9B">
        <w:rPr>
          <w:lang w:val="es-ES"/>
        </w:rPr>
        <w:t>la presentación</w:t>
      </w:r>
      <w:r w:rsidRPr="00CE4F9B">
        <w:rPr>
          <w:lang w:val="es-ES"/>
        </w:rPr>
        <w:t xml:space="preserve"> </w:t>
      </w:r>
      <w:r w:rsidR="00E05885" w:rsidRPr="00CE4F9B">
        <w:rPr>
          <w:lang w:val="es-ES"/>
        </w:rPr>
        <w:t>de</w:t>
      </w:r>
      <w:r w:rsidRPr="00CE4F9B">
        <w:rPr>
          <w:lang w:val="es-ES"/>
        </w:rPr>
        <w:t xml:space="preserve"> solicitudes de asistencia internacional que guardan una relación directa con el PCI de una o más comunidades específicas (exceptua</w:t>
      </w:r>
      <w:r w:rsidR="00E05885" w:rsidRPr="00CE4F9B">
        <w:rPr>
          <w:lang w:val="es-ES"/>
        </w:rPr>
        <w:t>das</w:t>
      </w:r>
      <w:r w:rsidR="007F2D5E" w:rsidRPr="00CE4F9B">
        <w:rPr>
          <w:lang w:val="es-ES"/>
        </w:rPr>
        <w:t xml:space="preserve"> </w:t>
      </w:r>
      <w:r w:rsidRPr="00CE4F9B">
        <w:rPr>
          <w:lang w:val="es-ES"/>
        </w:rPr>
        <w:t xml:space="preserve">las solicitudes de asistencia preparatoria), se debe aportar la prueba de que las comunidades interesadas han participado en la preparación de las solicitudes y de que participarán en las actividades para las que se ha solicitado </w:t>
      </w:r>
      <w:r w:rsidR="00E05885" w:rsidRPr="00CE4F9B">
        <w:rPr>
          <w:lang w:val="es-ES"/>
        </w:rPr>
        <w:t>ayuda</w:t>
      </w:r>
      <w:r w:rsidRPr="00CE4F9B">
        <w:rPr>
          <w:lang w:val="es-ES"/>
        </w:rPr>
        <w:t xml:space="preserve"> financiera, así como en la evaluación</w:t>
      </w:r>
      <w:r w:rsidR="00E05885" w:rsidRPr="00CE4F9B">
        <w:rPr>
          <w:lang w:val="es-ES"/>
        </w:rPr>
        <w:t xml:space="preserve"> y seguimiento de éstas (DO 12 </w:t>
      </w:r>
      <w:r w:rsidR="00F930AB" w:rsidRPr="00CE4F9B">
        <w:rPr>
          <w:lang w:val="es-ES"/>
        </w:rPr>
        <w:t xml:space="preserve">A. </w:t>
      </w:r>
      <w:r w:rsidRPr="00CE4F9B">
        <w:rPr>
          <w:lang w:val="es-ES"/>
        </w:rPr>
        <w:t xml:space="preserve">1) y Formulario </w:t>
      </w:r>
      <w:r w:rsidR="00747DD4" w:rsidRPr="00CE4F9B">
        <w:rPr>
          <w:lang w:val="es-ES"/>
        </w:rPr>
        <w:t>ICH-</w:t>
      </w:r>
      <w:r w:rsidRPr="00CE4F9B">
        <w:rPr>
          <w:lang w:val="es-ES"/>
        </w:rPr>
        <w:t xml:space="preserve">04, Sección 15). La prueba formal del consentimiento de las comunidades no se exige en el caso de las solicitudes de </w:t>
      </w:r>
      <w:r w:rsidR="00E05885" w:rsidRPr="00CE4F9B">
        <w:rPr>
          <w:lang w:val="es-ES"/>
        </w:rPr>
        <w:t>ayuda</w:t>
      </w:r>
      <w:r w:rsidRPr="00CE4F9B">
        <w:rPr>
          <w:lang w:val="es-ES"/>
        </w:rPr>
        <w:t xml:space="preserve"> financiera. Cuando se trata de solicitudes de asistencia preparatoria, sí se exige proporcionar información sobre la forma en que las comunidades interesadas han participado, o van a participar, en la preparación de las candidaturas, y sobre la manera en que han otorgado, o van a otorgar, su consentimiento (Formularios </w:t>
      </w:r>
      <w:r w:rsidR="00747DD4" w:rsidRPr="00CE4F9B">
        <w:rPr>
          <w:lang w:val="es-ES"/>
        </w:rPr>
        <w:t>ICH-</w:t>
      </w:r>
      <w:r w:rsidRPr="00CE4F9B">
        <w:rPr>
          <w:lang w:val="es-ES"/>
        </w:rPr>
        <w:t xml:space="preserve">05 e </w:t>
      </w:r>
      <w:r w:rsidR="00747DD4" w:rsidRPr="00CE4F9B">
        <w:rPr>
          <w:lang w:val="es-ES"/>
        </w:rPr>
        <w:t>ICH-</w:t>
      </w:r>
      <w:r w:rsidRPr="00CE4F9B">
        <w:rPr>
          <w:lang w:val="es-ES"/>
        </w:rPr>
        <w:t>06, Secciones 9 y 10 respectivamente).</w:t>
      </w:r>
    </w:p>
    <w:p w:rsidR="008C0B71" w:rsidRPr="00CE4F9B" w:rsidRDefault="008C0B71" w:rsidP="008C0B71">
      <w:pPr>
        <w:pStyle w:val="Informations"/>
        <w:rPr>
          <w:lang w:val="es-ES"/>
        </w:rPr>
      </w:pPr>
      <w:r w:rsidRPr="00CE4F9B">
        <w:rPr>
          <w:i w:val="0"/>
          <w:iCs w:val="0"/>
          <w:noProof/>
          <w:lang w:val="es-ES_tradnl" w:eastAsia="es-ES_tradnl"/>
        </w:rPr>
        <w:drawing>
          <wp:anchor distT="0" distB="0" distL="114300" distR="114300" simplePos="0" relativeHeight="251664384" behindDoc="0" locked="1" layoutInCell="1" allowOverlap="0">
            <wp:simplePos x="0" y="0"/>
            <wp:positionH relativeFrom="column">
              <wp:posOffset>0</wp:posOffset>
            </wp:positionH>
            <wp:positionV relativeFrom="paragraph">
              <wp:posOffset>0</wp:posOffset>
            </wp:positionV>
            <wp:extent cx="283210" cy="358775"/>
            <wp:effectExtent l="19050" t="0" r="2540" b="0"/>
            <wp:wrapThrough wrapText="bothSides">
              <wp:wrapPolygon edited="0">
                <wp:start x="-1453" y="0"/>
                <wp:lineTo x="-1453" y="20644"/>
                <wp:lineTo x="21794" y="20644"/>
                <wp:lineTo x="21794" y="0"/>
                <wp:lineTo x="-1453" y="0"/>
              </wp:wrapPolygon>
            </wp:wrapThrough>
            <wp:docPr id="6"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pic:cNvPicPr>
                      <a:picLocks noChangeAspect="1" noChangeArrowheads="1"/>
                    </pic:cNvPicPr>
                  </pic:nvPicPr>
                  <pic:blipFill>
                    <a:blip r:embed="rId10"/>
                    <a:srcRect/>
                    <a:stretch>
                      <a:fillRect/>
                    </a:stretch>
                  </pic:blipFill>
                  <pic:spPr bwMode="auto">
                    <a:xfrm>
                      <a:off x="0" y="0"/>
                      <a:ext cx="283210" cy="358775"/>
                    </a:xfrm>
                    <a:prstGeom prst="rect">
                      <a:avLst/>
                    </a:prstGeom>
                    <a:noFill/>
                    <a:ln w="9525">
                      <a:noFill/>
                      <a:miter lim="800000"/>
                      <a:headEnd/>
                      <a:tailEnd/>
                    </a:ln>
                  </pic:spPr>
                </pic:pic>
              </a:graphicData>
            </a:graphic>
          </wp:anchor>
        </w:drawing>
      </w:r>
      <w:r w:rsidRPr="00CE4F9B">
        <w:rPr>
          <w:lang w:val="es-ES"/>
        </w:rPr>
        <w:t>La cuestión de las candidaturas se examina detalladamente en el Texto para el Participante de la Unidad 11.</w:t>
      </w:r>
    </w:p>
    <w:p w:rsidR="008C0B71" w:rsidRPr="00CE4F9B" w:rsidRDefault="008C0B71" w:rsidP="008C0B71">
      <w:pPr>
        <w:pStyle w:val="Informations"/>
        <w:rPr>
          <w:lang w:val="es-ES"/>
        </w:rPr>
      </w:pPr>
      <w:r w:rsidRPr="00CE4F9B">
        <w:rPr>
          <w:lang w:val="es-ES"/>
        </w:rPr>
        <w:t>En los Estudios de Casos 10, 11 y 12 se proporcionan ejemplos de la participación de las comunidades en la preparación de candidaturas.</w:t>
      </w:r>
    </w:p>
    <w:p w:rsidR="00D3210E" w:rsidRPr="00CE4F9B" w:rsidRDefault="00D3210E">
      <w:pPr>
        <w:tabs>
          <w:tab w:val="clear" w:pos="567"/>
        </w:tabs>
        <w:snapToGrid/>
        <w:spacing w:line="240" w:lineRule="auto"/>
        <w:ind w:left="0"/>
        <w:jc w:val="left"/>
        <w:rPr>
          <w:b/>
          <w:bCs/>
          <w:caps/>
          <w:snapToGrid w:val="0"/>
          <w:color w:val="3366FF"/>
          <w:sz w:val="24"/>
          <w:szCs w:val="24"/>
          <w:lang w:val="es-ES"/>
        </w:rPr>
      </w:pPr>
      <w:bookmarkStart w:id="25" w:name="_Toc241229707"/>
      <w:bookmarkStart w:id="26" w:name="_Toc241229911"/>
      <w:bookmarkStart w:id="27" w:name="_Toc242165605"/>
      <w:r w:rsidRPr="00CE4F9B">
        <w:rPr>
          <w:lang w:val="es-ES"/>
        </w:rPr>
        <w:br w:type="page"/>
      </w:r>
    </w:p>
    <w:p w:rsidR="008C0B71" w:rsidRPr="00CE4F9B" w:rsidRDefault="008C0B71" w:rsidP="008C0B71">
      <w:pPr>
        <w:pStyle w:val="Titcoul"/>
        <w:rPr>
          <w:lang w:val="es-ES"/>
        </w:rPr>
      </w:pPr>
      <w:r w:rsidRPr="00CE4F9B">
        <w:rPr>
          <w:lang w:val="es-ES"/>
        </w:rPr>
        <w:lastRenderedPageBreak/>
        <w:t>7.7</w:t>
      </w:r>
      <w:r w:rsidRPr="00CE4F9B">
        <w:rPr>
          <w:lang w:val="es-ES"/>
        </w:rPr>
        <w:tab/>
      </w:r>
      <w:bookmarkEnd w:id="25"/>
      <w:bookmarkEnd w:id="26"/>
      <w:bookmarkEnd w:id="27"/>
      <w:r w:rsidRPr="00CE4F9B">
        <w:rPr>
          <w:rFonts w:eastAsia="MS Gothic"/>
          <w:lang w:val="es-ES"/>
        </w:rPr>
        <w:t>Garantizar la participación y el consentimiento de las comunidades</w:t>
      </w:r>
    </w:p>
    <w:p w:rsidR="008C0B71" w:rsidRPr="00CE4F9B" w:rsidRDefault="008C0B71" w:rsidP="008C0B71">
      <w:pPr>
        <w:pStyle w:val="Texte1"/>
        <w:rPr>
          <w:lang w:val="es-ES"/>
        </w:rPr>
      </w:pPr>
      <w:r w:rsidRPr="00CE4F9B">
        <w:rPr>
          <w:lang w:val="es-ES"/>
        </w:rPr>
        <w:t>Para garantizar la participación de una comunidad en las actividades relacionadas con su PCI y ayudarla a salvaguardarlo, se exige que haya un debate debidamente informado entre sus miembros a fin de examinar las diferentes perspectivas e intereses que puedan tener la comunidad de que se trate y otras partes interesadas. Tras ese debate en el seno de la comunidad, se pueden entablar discusiones con las demás partes interesadas, incluidos expertos y organismos gubernamentales.</w:t>
      </w:r>
    </w:p>
    <w:p w:rsidR="008C0B71" w:rsidRPr="00CE4F9B" w:rsidRDefault="008C0B71" w:rsidP="008C0B71">
      <w:pPr>
        <w:pStyle w:val="Texte1"/>
        <w:rPr>
          <w:lang w:val="es-ES"/>
        </w:rPr>
      </w:pPr>
      <w:r w:rsidRPr="00CE4F9B">
        <w:rPr>
          <w:lang w:val="es-ES"/>
        </w:rPr>
        <w:t>A lo largo de este proceso, se debe prestar suma atención a lo siguiente:</w:t>
      </w:r>
    </w:p>
    <w:p w:rsidR="008C0B71" w:rsidRPr="00CE4F9B" w:rsidRDefault="008C0B71" w:rsidP="00F930AB">
      <w:pPr>
        <w:pStyle w:val="Txtpucegras"/>
        <w:tabs>
          <w:tab w:val="clear" w:pos="1134"/>
          <w:tab w:val="num" w:pos="1276"/>
        </w:tabs>
        <w:ind w:left="1276" w:hanging="425"/>
        <w:rPr>
          <w:lang w:val="es-ES"/>
        </w:rPr>
      </w:pPr>
      <w:r w:rsidRPr="00CE4F9B">
        <w:rPr>
          <w:lang w:val="es-ES"/>
        </w:rPr>
        <w:t>¿Cómo se ha identificado a las comunidades interesadas?</w:t>
      </w:r>
    </w:p>
    <w:p w:rsidR="008C0B71" w:rsidRPr="00CE4F9B" w:rsidRDefault="008C0B71" w:rsidP="00F930AB">
      <w:pPr>
        <w:pStyle w:val="Txtpucegras"/>
        <w:tabs>
          <w:tab w:val="clear" w:pos="1134"/>
          <w:tab w:val="num" w:pos="1276"/>
        </w:tabs>
        <w:ind w:left="1276" w:hanging="425"/>
        <w:rPr>
          <w:lang w:val="es-ES"/>
        </w:rPr>
      </w:pPr>
      <w:r w:rsidRPr="00CE4F9B">
        <w:rPr>
          <w:lang w:val="es-ES"/>
        </w:rPr>
        <w:t xml:space="preserve">¿Quiénes representan a las comunidades </w:t>
      </w:r>
      <w:r w:rsidR="00D3210E" w:rsidRPr="00CE4F9B">
        <w:rPr>
          <w:lang w:val="es-ES"/>
        </w:rPr>
        <w:t xml:space="preserve">y </w:t>
      </w:r>
      <w:r w:rsidRPr="00CE4F9B">
        <w:rPr>
          <w:lang w:val="es-ES"/>
        </w:rPr>
        <w:t>de qué índole es su mandato?</w:t>
      </w:r>
    </w:p>
    <w:p w:rsidR="008C0B71" w:rsidRPr="00CE4F9B" w:rsidRDefault="008C0B71" w:rsidP="00F930AB">
      <w:pPr>
        <w:pStyle w:val="Txtpucegras"/>
        <w:tabs>
          <w:tab w:val="clear" w:pos="1134"/>
          <w:tab w:val="num" w:pos="1276"/>
        </w:tabs>
        <w:ind w:left="1276" w:hanging="425"/>
        <w:rPr>
          <w:lang w:val="es-ES"/>
        </w:rPr>
      </w:pPr>
      <w:r w:rsidRPr="00CE4F9B">
        <w:rPr>
          <w:lang w:val="es-ES"/>
        </w:rPr>
        <w:t>¿Cómo se puede informar a las comunidades sobre las actividades relacionadas con su PCI y lograr que participen en ellas?</w:t>
      </w:r>
    </w:p>
    <w:p w:rsidR="008C0B71" w:rsidRPr="00CE4F9B" w:rsidRDefault="008C0B71" w:rsidP="00F930AB">
      <w:pPr>
        <w:pStyle w:val="Txtpucegras"/>
        <w:tabs>
          <w:tab w:val="clear" w:pos="1134"/>
          <w:tab w:val="num" w:pos="1276"/>
        </w:tabs>
        <w:ind w:left="1276" w:hanging="425"/>
        <w:rPr>
          <w:lang w:val="es-ES"/>
        </w:rPr>
      </w:pPr>
      <w:r w:rsidRPr="00CE4F9B">
        <w:rPr>
          <w:lang w:val="es-ES"/>
        </w:rPr>
        <w:t>¿Cómo pueden informar las comunidades a las demás partes interesadas sobre esas actividades?</w:t>
      </w:r>
    </w:p>
    <w:p w:rsidR="008C0B71" w:rsidRPr="00CE4F9B" w:rsidRDefault="008C0B71" w:rsidP="00F930AB">
      <w:pPr>
        <w:pStyle w:val="Txtpucegras"/>
        <w:tabs>
          <w:tab w:val="clear" w:pos="1134"/>
          <w:tab w:val="num" w:pos="1276"/>
        </w:tabs>
        <w:ind w:left="1276" w:hanging="425"/>
        <w:rPr>
          <w:lang w:val="es-ES"/>
        </w:rPr>
      </w:pPr>
      <w:r w:rsidRPr="00CE4F9B">
        <w:rPr>
          <w:lang w:val="es-ES"/>
        </w:rPr>
        <w:t>¿Cómo se puede ayudar a las comunidades para que elaboren medidas de salvaguardia, o cómo se pueden elaborar esas medidas con su plena participación?</w:t>
      </w:r>
    </w:p>
    <w:p w:rsidR="008C0B71" w:rsidRPr="00CE4F9B" w:rsidRDefault="008C0B71" w:rsidP="00F930AB">
      <w:pPr>
        <w:pStyle w:val="Txtpucegras"/>
        <w:tabs>
          <w:tab w:val="clear" w:pos="1134"/>
          <w:tab w:val="num" w:pos="1276"/>
        </w:tabs>
        <w:ind w:left="1276" w:hanging="425"/>
        <w:rPr>
          <w:lang w:val="es-ES"/>
        </w:rPr>
      </w:pPr>
      <w:r w:rsidRPr="00CE4F9B">
        <w:rPr>
          <w:lang w:val="es-ES"/>
        </w:rPr>
        <w:t xml:space="preserve">En caso de que la responsabilidad principal de la aplicación no recaiga en la comunidad, </w:t>
      </w:r>
      <w:r w:rsidR="00D3210E" w:rsidRPr="00CE4F9B">
        <w:rPr>
          <w:lang w:val="es-ES"/>
        </w:rPr>
        <w:t>¿quién posee las capacidades y el mandato necesarios para aplicar medidas de salvaguardia y a quién se debe asignar esta tarea</w:t>
      </w:r>
      <w:r w:rsidR="00023617" w:rsidRPr="00CE4F9B">
        <w:rPr>
          <w:lang w:val="es-ES"/>
        </w:rPr>
        <w:t>?</w:t>
      </w:r>
      <w:r w:rsidRPr="00CE4F9B">
        <w:rPr>
          <w:lang w:val="es-ES"/>
        </w:rPr>
        <w:t xml:space="preserve"> </w:t>
      </w:r>
    </w:p>
    <w:p w:rsidR="008C0B71" w:rsidRPr="00CE4F9B" w:rsidRDefault="008C0B71" w:rsidP="00F930AB">
      <w:pPr>
        <w:pStyle w:val="Txtpucegras"/>
        <w:tabs>
          <w:tab w:val="clear" w:pos="1134"/>
          <w:tab w:val="num" w:pos="1276"/>
        </w:tabs>
        <w:ind w:left="1276" w:hanging="425"/>
        <w:rPr>
          <w:lang w:val="es-ES"/>
        </w:rPr>
      </w:pPr>
      <w:r w:rsidRPr="00CE4F9B">
        <w:rPr>
          <w:lang w:val="es-ES"/>
        </w:rPr>
        <w:t>¿Quién se encarga de controlar la ejecución de las medidas de salvaguardia?</w:t>
      </w:r>
    </w:p>
    <w:p w:rsidR="008C0B71" w:rsidRPr="00CE4F9B" w:rsidRDefault="008C0B71" w:rsidP="00F930AB">
      <w:pPr>
        <w:pStyle w:val="Txtpucegras"/>
        <w:tabs>
          <w:tab w:val="clear" w:pos="1134"/>
          <w:tab w:val="num" w:pos="1276"/>
        </w:tabs>
        <w:ind w:left="1276" w:hanging="425"/>
        <w:rPr>
          <w:lang w:val="es-ES"/>
        </w:rPr>
      </w:pPr>
      <w:r w:rsidRPr="00CE4F9B">
        <w:rPr>
          <w:lang w:val="es-ES"/>
        </w:rPr>
        <w:t>¿Quién va a velar por mantener adecuadamente informadas a las comunidades de que se trate y las demás partes interesadas sobre los progresos realizados en la aplicación de esas medidas?</w:t>
      </w:r>
    </w:p>
    <w:p w:rsidR="008C0B71" w:rsidRPr="00CE4F9B" w:rsidRDefault="008C0B71" w:rsidP="008C0B71">
      <w:pPr>
        <w:pStyle w:val="Titcoul"/>
        <w:rPr>
          <w:lang w:val="es-ES"/>
        </w:rPr>
      </w:pPr>
      <w:bookmarkStart w:id="28" w:name="_Toc241229708"/>
      <w:bookmarkStart w:id="29" w:name="_Toc241229912"/>
      <w:bookmarkStart w:id="30" w:name="_Toc242165606"/>
      <w:r w:rsidRPr="00CE4F9B">
        <w:rPr>
          <w:lang w:val="es-ES"/>
        </w:rPr>
        <w:t>7.8</w:t>
      </w:r>
      <w:r w:rsidRPr="00CE4F9B">
        <w:rPr>
          <w:lang w:val="es-ES"/>
        </w:rPr>
        <w:tab/>
      </w:r>
      <w:bookmarkEnd w:id="28"/>
      <w:bookmarkEnd w:id="29"/>
      <w:bookmarkEnd w:id="30"/>
      <w:r w:rsidRPr="00CE4F9B">
        <w:rPr>
          <w:rFonts w:eastAsia="MS Gothic"/>
          <w:lang w:val="es-ES"/>
        </w:rPr>
        <w:t>Identificar a las comunidades interesadas</w:t>
      </w:r>
    </w:p>
    <w:p w:rsidR="008C0B71" w:rsidRPr="00CE4F9B" w:rsidRDefault="008C0B71" w:rsidP="008C0B71">
      <w:pPr>
        <w:pStyle w:val="Texte1"/>
        <w:rPr>
          <w:lang w:val="es-ES"/>
        </w:rPr>
      </w:pPr>
      <w:r w:rsidRPr="00CE4F9B">
        <w:rPr>
          <w:lang w:val="es-ES"/>
        </w:rPr>
        <w:t>La mayoría de los Estados Partes ya están trabajando de uno u otro modo con las comunidades para aplicar la Convención del PCI.</w:t>
      </w:r>
    </w:p>
    <w:p w:rsidR="008C0B71" w:rsidRPr="00CE4F9B" w:rsidRDefault="008C0B71" w:rsidP="008C0B71">
      <w:pPr>
        <w:pStyle w:val="Texte1"/>
        <w:rPr>
          <w:lang w:val="es-ES"/>
        </w:rPr>
      </w:pPr>
      <w:r w:rsidRPr="00CE4F9B">
        <w:rPr>
          <w:lang w:val="es-ES"/>
        </w:rPr>
        <w:t>Hay numerosas formas de identificación de las comunidades y de su PCI. A menudo se define a las comunidades, grupos e individuos como aquellas personas que participan directa o indirectamente en la manifestación y transmisión de uno o varios elementos del PCI, considerándolos parte integrante de su patrimonio cultural. Muchos Estados también definen a las comunidades en función de su pertenencia etnolingüística, de su localización (en zonas urbanas o rurales, o por regiones administrativas), de sus creencias y prácticas compartidas, o de su historia común</w:t>
      </w:r>
      <w:r w:rsidR="00023617" w:rsidRPr="00CE4F9B">
        <w:rPr>
          <w:lang w:val="es-ES"/>
        </w:rPr>
        <w:t>.</w:t>
      </w:r>
    </w:p>
    <w:p w:rsidR="008C0B71" w:rsidRPr="00CE4F9B" w:rsidRDefault="008C0B71" w:rsidP="008C0B71">
      <w:pPr>
        <w:pStyle w:val="Texte1"/>
        <w:rPr>
          <w:lang w:val="es-ES"/>
        </w:rPr>
      </w:pPr>
      <w:r w:rsidRPr="00CE4F9B">
        <w:rPr>
          <w:lang w:val="es-ES"/>
        </w:rPr>
        <w:t xml:space="preserve">Sin embargo, los procedimientos para identificar </w:t>
      </w:r>
      <w:r w:rsidR="00023617" w:rsidRPr="00CE4F9B">
        <w:rPr>
          <w:lang w:val="es-ES"/>
        </w:rPr>
        <w:t xml:space="preserve">a </w:t>
      </w:r>
      <w:r w:rsidRPr="00CE4F9B">
        <w:rPr>
          <w:lang w:val="es-ES"/>
        </w:rPr>
        <w:t xml:space="preserve">las comunidades distan mucho de ser sencillos. </w:t>
      </w:r>
    </w:p>
    <w:p w:rsidR="008C0B71" w:rsidRPr="00CE4F9B" w:rsidRDefault="00F930AB" w:rsidP="008C0B71">
      <w:pPr>
        <w:pStyle w:val="Txtpucegras"/>
        <w:rPr>
          <w:lang w:val="es-ES"/>
        </w:rPr>
      </w:pPr>
      <w:r w:rsidRPr="00CE4F9B">
        <w:rPr>
          <w:lang w:val="es-ES"/>
        </w:rPr>
        <w:t>A menudo</w:t>
      </w:r>
      <w:r w:rsidR="008C0B71" w:rsidRPr="00CE4F9B">
        <w:rPr>
          <w:lang w:val="es-ES"/>
        </w:rPr>
        <w:t xml:space="preserve"> las comunidades se agrupan </w:t>
      </w:r>
      <w:r w:rsidRPr="00CE4F9B">
        <w:rPr>
          <w:lang w:val="es-ES"/>
        </w:rPr>
        <w:t>en torno a</w:t>
      </w:r>
      <w:r w:rsidR="008C0B71" w:rsidRPr="00CE4F9B">
        <w:rPr>
          <w:lang w:val="es-ES"/>
        </w:rPr>
        <w:t xml:space="preserve"> sus vínculos históricos (incluido el patrimonio cultural compartido), </w:t>
      </w:r>
      <w:r w:rsidRPr="00CE4F9B">
        <w:rPr>
          <w:lang w:val="es-ES"/>
        </w:rPr>
        <w:t>y</w:t>
      </w:r>
      <w:r w:rsidR="008C0B71" w:rsidRPr="00CE4F9B">
        <w:rPr>
          <w:lang w:val="es-ES"/>
        </w:rPr>
        <w:t xml:space="preserve"> también </w:t>
      </w:r>
      <w:r w:rsidRPr="00CE4F9B">
        <w:rPr>
          <w:lang w:val="es-ES"/>
        </w:rPr>
        <w:t>en torno a</w:t>
      </w:r>
      <w:r w:rsidR="008C0B71" w:rsidRPr="00CE4F9B">
        <w:rPr>
          <w:lang w:val="es-ES"/>
        </w:rPr>
        <w:t xml:space="preserve"> </w:t>
      </w:r>
      <w:r w:rsidRPr="00CE4F9B">
        <w:rPr>
          <w:lang w:val="es-ES"/>
        </w:rPr>
        <w:t>desafíos</w:t>
      </w:r>
      <w:r w:rsidR="008C0B71" w:rsidRPr="00CE4F9B">
        <w:rPr>
          <w:lang w:val="es-ES"/>
        </w:rPr>
        <w:t xml:space="preserve"> y objetivos de índole política y económica. En general, las afiliaciones sociales y culturales de las personas </w:t>
      </w:r>
      <w:r w:rsidRPr="00CE4F9B">
        <w:rPr>
          <w:lang w:val="es-ES"/>
        </w:rPr>
        <w:t xml:space="preserve">a </w:t>
      </w:r>
      <w:r w:rsidRPr="00CE4F9B">
        <w:rPr>
          <w:lang w:val="es-ES"/>
        </w:rPr>
        <w:lastRenderedPageBreak/>
        <w:t>través de redes diversas suelen ser</w:t>
      </w:r>
      <w:r w:rsidR="008C0B71" w:rsidRPr="00CE4F9B">
        <w:rPr>
          <w:lang w:val="es-ES"/>
        </w:rPr>
        <w:t xml:space="preserve"> de diversos tipos y pueden cambiar con el correr del tiempo.</w:t>
      </w:r>
    </w:p>
    <w:p w:rsidR="008C0B71" w:rsidRPr="00CE4F9B" w:rsidRDefault="008C0B71" w:rsidP="008C0B71">
      <w:pPr>
        <w:pStyle w:val="Txtpucegras"/>
        <w:rPr>
          <w:lang w:val="es-ES"/>
        </w:rPr>
      </w:pPr>
      <w:r w:rsidRPr="00CE4F9B">
        <w:rPr>
          <w:lang w:val="es-ES"/>
        </w:rPr>
        <w:t>Las comunidades no son homogéneas y no todos sus miembros tienen por qué estar de acuerdo en todo. En muchos casos, no todos los miembros de una comunidad participan plenamente en un mismo elemento del PCI. A menudo, en las comunidades y grupos existen jerarquizaciones internas basadas, por ejemplo, en criterios de clase social, edad o sexo.</w:t>
      </w:r>
    </w:p>
    <w:p w:rsidR="008C0B71" w:rsidRPr="00CE4F9B" w:rsidRDefault="00023617" w:rsidP="008C0B71">
      <w:pPr>
        <w:pStyle w:val="Txtpucegras"/>
        <w:rPr>
          <w:lang w:val="es-ES"/>
        </w:rPr>
      </w:pPr>
      <w:r w:rsidRPr="00CE4F9B">
        <w:rPr>
          <w:lang w:val="es-ES"/>
        </w:rPr>
        <w:t>La comunidad o el grupo –</w:t>
      </w:r>
      <w:r w:rsidR="008C0B71" w:rsidRPr="00CE4F9B">
        <w:rPr>
          <w:lang w:val="es-ES"/>
        </w:rPr>
        <w:t>y, por ende, la práctica de un elemento de su PCI</w:t>
      </w:r>
      <w:r w:rsidRPr="00CE4F9B">
        <w:rPr>
          <w:lang w:val="es-ES"/>
        </w:rPr>
        <w:t>–</w:t>
      </w:r>
      <w:r w:rsidR="008C0B71" w:rsidRPr="00CE4F9B">
        <w:rPr>
          <w:lang w:val="es-ES"/>
        </w:rPr>
        <w:t xml:space="preserve"> pueden estar dispersos en una región geográfica </w:t>
      </w:r>
      <w:r w:rsidRPr="00CE4F9B">
        <w:rPr>
          <w:lang w:val="es-ES"/>
        </w:rPr>
        <w:t xml:space="preserve">muy </w:t>
      </w:r>
      <w:r w:rsidR="008C0B71" w:rsidRPr="00CE4F9B">
        <w:rPr>
          <w:lang w:val="es-ES"/>
        </w:rPr>
        <w:t>vasta</w:t>
      </w:r>
      <w:r w:rsidRPr="00CE4F9B">
        <w:rPr>
          <w:lang w:val="es-ES"/>
        </w:rPr>
        <w:t>,</w:t>
      </w:r>
      <w:r w:rsidR="008C0B71" w:rsidRPr="00CE4F9B">
        <w:rPr>
          <w:lang w:val="es-ES"/>
        </w:rPr>
        <w:t xml:space="preserve"> o incluso en países muy distantes.</w:t>
      </w:r>
    </w:p>
    <w:p w:rsidR="008C0B71" w:rsidRPr="00CE4F9B" w:rsidRDefault="008C0B71" w:rsidP="00023617">
      <w:pPr>
        <w:pStyle w:val="Txtpucegras"/>
        <w:numPr>
          <w:ilvl w:val="0"/>
          <w:numId w:val="0"/>
        </w:numPr>
        <w:ind w:left="851"/>
        <w:rPr>
          <w:lang w:val="es-ES"/>
        </w:rPr>
      </w:pPr>
      <w:r w:rsidRPr="00CE4F9B">
        <w:rPr>
          <w:lang w:val="es-ES"/>
        </w:rPr>
        <w:t>Las personas que integran una comunidad pueden desempeñar funciones diferentes con respecto al elemento del PCI de que se trate:</w:t>
      </w:r>
    </w:p>
    <w:p w:rsidR="008C0B71" w:rsidRPr="00CE4F9B" w:rsidRDefault="008C0B71" w:rsidP="00023617">
      <w:pPr>
        <w:pStyle w:val="Txtpucegras"/>
        <w:rPr>
          <w:lang w:val="es-ES"/>
        </w:rPr>
      </w:pPr>
      <w:r w:rsidRPr="00CE4F9B">
        <w:rPr>
          <w:lang w:val="es-ES"/>
        </w:rPr>
        <w:t>Puede haber grupos reducidos de practicantes calificados del elemento, depositarios de tradiciones o conocimientos, etc. que desempeñ</w:t>
      </w:r>
      <w:r w:rsidR="00023617" w:rsidRPr="00CE4F9B">
        <w:rPr>
          <w:lang w:val="es-ES"/>
        </w:rPr>
        <w:t>e</w:t>
      </w:r>
      <w:r w:rsidRPr="00CE4F9B">
        <w:rPr>
          <w:lang w:val="es-ES"/>
        </w:rPr>
        <w:t xml:space="preserve">n un papel más directo o especializado en </w:t>
      </w:r>
      <w:r w:rsidR="00460B69" w:rsidRPr="00CE4F9B">
        <w:rPr>
          <w:lang w:val="es-ES"/>
        </w:rPr>
        <w:t>la</w:t>
      </w:r>
      <w:r w:rsidRPr="00CE4F9B">
        <w:rPr>
          <w:lang w:val="es-ES"/>
        </w:rPr>
        <w:t xml:space="preserve"> práctica y transmisión del elemento, por ejemplo titiriteros, actores, músicos, chamanes, maestros carpinteros, y muchos otros más.</w:t>
      </w:r>
    </w:p>
    <w:p w:rsidR="008C0B71" w:rsidRPr="00CE4F9B" w:rsidRDefault="008C0B71" w:rsidP="00023617">
      <w:pPr>
        <w:pStyle w:val="Txtpucegras"/>
        <w:rPr>
          <w:lang w:val="es-ES"/>
        </w:rPr>
      </w:pPr>
      <w:r w:rsidRPr="00CE4F9B">
        <w:rPr>
          <w:lang w:val="es-ES"/>
        </w:rPr>
        <w:t xml:space="preserve">La comunidad interesada puede </w:t>
      </w:r>
      <w:r w:rsidR="00023617" w:rsidRPr="00CE4F9B">
        <w:rPr>
          <w:lang w:val="es-ES"/>
        </w:rPr>
        <w:t xml:space="preserve">también </w:t>
      </w:r>
      <w:r w:rsidRPr="00CE4F9B">
        <w:rPr>
          <w:lang w:val="es-ES"/>
        </w:rPr>
        <w:t xml:space="preserve">abarcar un gran número de participantes indirectos, por ejemplo, los públicos con presencia activa en rituales o eventos festivos, o las personas que ayudan en la organización de representaciones y festivales. Con frecuencia, los públicos entendidos y receptivos son esenciales para las manifestaciones significativas de elementos del PCI. Reconocer la importancia del papel desempeñado por los participantes indirectos –especialmente el de los jóvenes– y sensibilizarlos al valor e importancia de los elementos del PCI son dos factores que contribuyen a </w:t>
      </w:r>
      <w:r w:rsidR="00023617" w:rsidRPr="00CE4F9B">
        <w:rPr>
          <w:lang w:val="es-ES"/>
        </w:rPr>
        <w:t>su</w:t>
      </w:r>
      <w:r w:rsidRPr="00CE4F9B">
        <w:rPr>
          <w:lang w:val="es-ES"/>
        </w:rPr>
        <w:t xml:space="preserve"> viabilidad futura.</w:t>
      </w:r>
    </w:p>
    <w:p w:rsidR="008C0B71" w:rsidRPr="00CE4F9B" w:rsidRDefault="008C0B71" w:rsidP="008C0B71">
      <w:pPr>
        <w:pStyle w:val="Heading4"/>
        <w:rPr>
          <w:lang w:val="es-ES"/>
        </w:rPr>
      </w:pPr>
      <w:bookmarkStart w:id="31" w:name="_Toc348717639"/>
      <w:bookmarkStart w:id="32" w:name="_Toc348717979"/>
      <w:bookmarkStart w:id="33" w:name="_Toc348718331"/>
      <w:r w:rsidRPr="00CE4F9B">
        <w:rPr>
          <w:szCs w:val="20"/>
          <w:lang w:val="es-ES"/>
        </w:rPr>
        <w:t>Orientaciones sobre la definición e identificación de las comunidades</w:t>
      </w:r>
      <w:bookmarkEnd w:id="31"/>
      <w:bookmarkEnd w:id="32"/>
      <w:bookmarkEnd w:id="33"/>
    </w:p>
    <w:p w:rsidR="008C0B71" w:rsidRPr="00CE4F9B" w:rsidRDefault="008C0B71" w:rsidP="008C0B71">
      <w:pPr>
        <w:pStyle w:val="Texte1"/>
        <w:rPr>
          <w:lang w:val="es-ES"/>
        </w:rPr>
      </w:pPr>
      <w:r w:rsidRPr="00CE4F9B">
        <w:rPr>
          <w:lang w:val="es-ES"/>
        </w:rPr>
        <w:t xml:space="preserve">Los Estados Partes piden a menudo a la UNESCO orientaciones sobre la identificación de las comunidades, pero la Organización no puede proporcionar directrices a este </w:t>
      </w:r>
      <w:r w:rsidR="00A5547D" w:rsidRPr="00CE4F9B">
        <w:rPr>
          <w:lang w:val="es-ES"/>
        </w:rPr>
        <w:t>respe</w:t>
      </w:r>
      <w:r w:rsidRPr="00CE4F9B">
        <w:rPr>
          <w:lang w:val="es-ES"/>
        </w:rPr>
        <w:t>cto. En efecto, ni en la Convención ni en las DO se indica a los Estados Partes de qué manera deben definir o identificar a las comunidades, grupos e individuos interesados.</w:t>
      </w:r>
    </w:p>
    <w:p w:rsidR="008C0B71" w:rsidRPr="00CE4F9B" w:rsidRDefault="008C0B71" w:rsidP="008C0B71">
      <w:pPr>
        <w:pStyle w:val="Texte1"/>
        <w:rPr>
          <w:lang w:val="es-ES"/>
        </w:rPr>
      </w:pPr>
      <w:r w:rsidRPr="00CE4F9B">
        <w:rPr>
          <w:lang w:val="es-ES"/>
        </w:rPr>
        <w:t>Cada Estado Parte debe elegir el método que estime más apropiado, habida cuenta de sus leyes, reglamentaciones y políticas demográficas. Sin embargo, lo que sí está claro es que ninguna persona ajena a las comunidades interesadas debe proceder a la definición e identificación de éstas aplicando un método de tipo verticalista, sin consultarlas y sin obtener su consentimiento. Con arreglo al espíritu de la Convención y de conformidad con los principios de otros instrumentos jurídicos internacionales, se deben utilizar métodos con los que las comunidades se identifi</w:t>
      </w:r>
      <w:r w:rsidR="000E3870" w:rsidRPr="00CE4F9B">
        <w:rPr>
          <w:lang w:val="es-ES"/>
        </w:rPr>
        <w:t>quen</w:t>
      </w:r>
      <w:r w:rsidRPr="00CE4F9B">
        <w:rPr>
          <w:lang w:val="es-ES"/>
        </w:rPr>
        <w:t xml:space="preserve"> y defin</w:t>
      </w:r>
      <w:r w:rsidR="000E3870" w:rsidRPr="00CE4F9B">
        <w:rPr>
          <w:lang w:val="es-ES"/>
        </w:rPr>
        <w:t>a</w:t>
      </w:r>
      <w:r w:rsidRPr="00CE4F9B">
        <w:rPr>
          <w:lang w:val="es-ES"/>
        </w:rPr>
        <w:t>n a sí mismas</w:t>
      </w:r>
    </w:p>
    <w:p w:rsidR="008C0B71" w:rsidRPr="00CE4F9B" w:rsidRDefault="008C0B71" w:rsidP="008C0B71">
      <w:pPr>
        <w:pStyle w:val="Texte1"/>
        <w:rPr>
          <w:lang w:val="es-ES"/>
        </w:rPr>
      </w:pPr>
      <w:r w:rsidRPr="00CE4F9B">
        <w:rPr>
          <w:lang w:val="es-ES"/>
        </w:rPr>
        <w:t xml:space="preserve">La UNESCO puede remitir a los Estados al Artículo 8.j del Convenio sobre la Diversidad Biológica, al que se han adherido todos los Estados Partes en la Convención para la Salvaguardia del Patrimonio Inmaterial, y también a la Declaración sobre los Derechos de los Pueblos Indígenas, aprobada en 2007 por la Asamblea General de las Naciones Unidas y </w:t>
      </w:r>
      <w:r w:rsidR="00A5547D" w:rsidRPr="00CE4F9B">
        <w:rPr>
          <w:lang w:val="es-ES"/>
        </w:rPr>
        <w:t>respal</w:t>
      </w:r>
      <w:r w:rsidRPr="00CE4F9B">
        <w:rPr>
          <w:lang w:val="es-ES"/>
        </w:rPr>
        <w:t>dada por más de 150 Estados. Lo</w:t>
      </w:r>
      <w:r w:rsidR="00A5547D" w:rsidRPr="00CE4F9B">
        <w:rPr>
          <w:lang w:val="es-ES"/>
        </w:rPr>
        <w:t>s Estados que han ratificado es</w:t>
      </w:r>
      <w:r w:rsidRPr="00CE4F9B">
        <w:rPr>
          <w:lang w:val="es-ES"/>
        </w:rPr>
        <w:t>os textos, o se han adherido a ellos de cualquier otra manera, ya han reconocido determinadas formas específicas de trabajar con las comunidades, incluidas las locales y las indígenas.</w:t>
      </w:r>
    </w:p>
    <w:p w:rsidR="008C0B71" w:rsidRPr="00CE4F9B" w:rsidRDefault="008C0B71" w:rsidP="008C0B71">
      <w:pPr>
        <w:pStyle w:val="Texte1"/>
        <w:rPr>
          <w:lang w:val="es-ES"/>
        </w:rPr>
      </w:pPr>
      <w:r w:rsidRPr="00CE4F9B">
        <w:rPr>
          <w:noProof/>
          <w:lang w:val="es-ES_tradnl" w:eastAsia="es-ES_tradnl"/>
        </w:rPr>
        <w:lastRenderedPageBreak/>
        <w:drawing>
          <wp:anchor distT="0" distB="0" distL="114300" distR="114300" simplePos="0" relativeHeight="251669504" behindDoc="0" locked="1" layoutInCell="1" allowOverlap="0">
            <wp:simplePos x="0" y="0"/>
            <wp:positionH relativeFrom="column">
              <wp:posOffset>0</wp:posOffset>
            </wp:positionH>
            <wp:positionV relativeFrom="paragraph">
              <wp:posOffset>180340</wp:posOffset>
            </wp:positionV>
            <wp:extent cx="283210" cy="358775"/>
            <wp:effectExtent l="19050" t="0" r="2540" b="0"/>
            <wp:wrapThrough wrapText="bothSides">
              <wp:wrapPolygon edited="0">
                <wp:start x="-1453" y="0"/>
                <wp:lineTo x="-1453" y="20644"/>
                <wp:lineTo x="21794" y="20644"/>
                <wp:lineTo x="21794" y="0"/>
                <wp:lineTo x="-1453" y="0"/>
              </wp:wrapPolygon>
            </wp:wrapThrough>
            <wp:docPr id="11" name="Imag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3"/>
                    <pic:cNvPicPr>
                      <a:picLocks noChangeAspect="1" noChangeArrowheads="1"/>
                    </pic:cNvPicPr>
                  </pic:nvPicPr>
                  <pic:blipFill>
                    <a:blip r:embed="rId10"/>
                    <a:srcRect/>
                    <a:stretch>
                      <a:fillRect/>
                    </a:stretch>
                  </pic:blipFill>
                  <pic:spPr bwMode="auto">
                    <a:xfrm>
                      <a:off x="0" y="0"/>
                      <a:ext cx="283210" cy="358775"/>
                    </a:xfrm>
                    <a:prstGeom prst="rect">
                      <a:avLst/>
                    </a:prstGeom>
                    <a:noFill/>
                    <a:ln w="9525">
                      <a:noFill/>
                      <a:miter lim="800000"/>
                      <a:headEnd/>
                      <a:tailEnd/>
                    </a:ln>
                  </pic:spPr>
                </pic:pic>
              </a:graphicData>
            </a:graphic>
          </wp:anchor>
        </w:drawing>
      </w:r>
      <w:r w:rsidRPr="00CE4F9B">
        <w:rPr>
          <w:lang w:val="es-ES"/>
        </w:rPr>
        <w:t xml:space="preserve">Cabe subrayar que el término “comunidades”, tal y como se utiliza en la Convención, abarca explícitamente a las comunidades indígenas (véanse el Preámbulo de la Convención y la Sección “Comunidades indígenas” del Texto para el Participante de la Unidad 3). </w:t>
      </w:r>
    </w:p>
    <w:p w:rsidR="008C0B71" w:rsidRPr="00CE4F9B" w:rsidRDefault="008C0B71" w:rsidP="008C0B71">
      <w:pPr>
        <w:pStyle w:val="Texte1"/>
        <w:rPr>
          <w:lang w:val="es-ES"/>
        </w:rPr>
      </w:pPr>
      <w:r w:rsidRPr="00CE4F9B">
        <w:rPr>
          <w:lang w:val="es-ES"/>
        </w:rPr>
        <w:t>El examen de ejemplos reales y estudios de casos puede mostrar que existen diversos métodos para: a) identificar a las eventuales comunidades interesadas y garantizar su participación; b) conocer los problemas que pueden surgir al proceder a esa identificación; y c) saber cómo se pueden evitar algunos de esos problemas.</w:t>
      </w:r>
      <w:r w:rsidR="000E3870" w:rsidRPr="00CE4F9B">
        <w:rPr>
          <w:lang w:val="es-ES"/>
        </w:rPr>
        <w:t xml:space="preserve"> </w:t>
      </w:r>
      <w:r w:rsidRPr="00CE4F9B">
        <w:rPr>
          <w:lang w:val="es-ES"/>
        </w:rPr>
        <w:t xml:space="preserve">También puede ser útil consultar la página del sitio web </w:t>
      </w:r>
      <w:r w:rsidR="000E3870" w:rsidRPr="00CE4F9B">
        <w:rPr>
          <w:lang w:val="es-ES"/>
        </w:rPr>
        <w:t>del PCI</w:t>
      </w:r>
      <w:r w:rsidRPr="00CE4F9B">
        <w:rPr>
          <w:lang w:val="es-ES"/>
        </w:rPr>
        <w:t xml:space="preserve"> </w:t>
      </w:r>
      <w:r w:rsidR="000E3870" w:rsidRPr="00CE4F9B">
        <w:rPr>
          <w:lang w:val="es-ES"/>
        </w:rPr>
        <w:t>sobre</w:t>
      </w:r>
      <w:r w:rsidRPr="00CE4F9B">
        <w:rPr>
          <w:lang w:val="es-ES"/>
        </w:rPr>
        <w:t xml:space="preserve"> las Listas de </w:t>
      </w:r>
      <w:r w:rsidR="000E3870" w:rsidRPr="00CE4F9B">
        <w:rPr>
          <w:lang w:val="es-ES"/>
        </w:rPr>
        <w:t>la Convención</w:t>
      </w:r>
      <w:r w:rsidRPr="00CE4F9B">
        <w:rPr>
          <w:lang w:val="es-ES"/>
        </w:rPr>
        <w:t xml:space="preserve">, ya que en la documentación presentada </w:t>
      </w:r>
      <w:r w:rsidR="000E3870" w:rsidRPr="00CE4F9B">
        <w:rPr>
          <w:lang w:val="es-ES"/>
        </w:rPr>
        <w:t>en</w:t>
      </w:r>
      <w:r w:rsidRPr="00CE4F9B">
        <w:rPr>
          <w:lang w:val="es-ES"/>
        </w:rPr>
        <w:t xml:space="preserve"> el expediente de candidatura de cada elemento inscrito figura una descripción de la comunidad interesada, junto con la prueba del consentimiento otorgado por sus representantes.</w:t>
      </w:r>
    </w:p>
    <w:p w:rsidR="008C0B71" w:rsidRPr="00CE4F9B" w:rsidRDefault="008C0B71" w:rsidP="008C0B71">
      <w:pPr>
        <w:pStyle w:val="Titcoul"/>
        <w:rPr>
          <w:lang w:val="es-ES"/>
        </w:rPr>
      </w:pPr>
      <w:bookmarkStart w:id="34" w:name="_Toc241229709"/>
      <w:bookmarkStart w:id="35" w:name="_Toc241229913"/>
      <w:bookmarkStart w:id="36" w:name="_Toc242165607"/>
      <w:r w:rsidRPr="00CE4F9B">
        <w:rPr>
          <w:lang w:val="es-ES"/>
        </w:rPr>
        <w:t>7.9</w:t>
      </w:r>
      <w:r w:rsidRPr="00CE4F9B">
        <w:rPr>
          <w:lang w:val="es-ES"/>
        </w:rPr>
        <w:tab/>
        <w:t>IDENTIFICAR A LOS</w:t>
      </w:r>
      <w:r w:rsidR="007F2D5E" w:rsidRPr="00CE4F9B">
        <w:rPr>
          <w:lang w:val="es-ES"/>
        </w:rPr>
        <w:t xml:space="preserve"> </w:t>
      </w:r>
      <w:r w:rsidRPr="00CE4F9B">
        <w:rPr>
          <w:lang w:val="es-ES"/>
        </w:rPr>
        <w:t>REPRESENTANTES</w:t>
      </w:r>
      <w:bookmarkEnd w:id="34"/>
      <w:bookmarkEnd w:id="35"/>
      <w:bookmarkEnd w:id="36"/>
      <w:r w:rsidRPr="00CE4F9B">
        <w:rPr>
          <w:lang w:val="es-ES"/>
        </w:rPr>
        <w:t xml:space="preserve"> DE LAS COMUNIDADES</w:t>
      </w:r>
    </w:p>
    <w:p w:rsidR="008C0B71" w:rsidRPr="00CE4F9B" w:rsidRDefault="008C0B71" w:rsidP="008C0B71">
      <w:pPr>
        <w:pStyle w:val="Texte1"/>
        <w:rPr>
          <w:lang w:val="es-ES"/>
        </w:rPr>
      </w:pPr>
      <w:r w:rsidRPr="00CE4F9B">
        <w:rPr>
          <w:lang w:val="es-ES"/>
        </w:rPr>
        <w:t xml:space="preserve">Teniendo en cuenta que los Estados Partes deben trabajar con las comunidades interesadas intensamente y durante un largo periodo de tiempo en muchos casos, es importante identificar a las personas o entidades que posean un mandato para representarlas o que, al menos, sean ampliamente aceptadas por ellas. Rara vez es posible lograr que </w:t>
      </w:r>
      <w:r w:rsidR="00A5547D" w:rsidRPr="00CE4F9B">
        <w:rPr>
          <w:lang w:val="es-ES"/>
        </w:rPr>
        <w:t xml:space="preserve">puedan dar su opinión personal y otorgar, o negar, su consentimiento individual </w:t>
      </w:r>
      <w:r w:rsidRPr="00CE4F9B">
        <w:rPr>
          <w:lang w:val="es-ES"/>
        </w:rPr>
        <w:t>todos y cada uno de los miembros de una</w:t>
      </w:r>
      <w:r w:rsidR="00A5547D" w:rsidRPr="00CE4F9B">
        <w:rPr>
          <w:lang w:val="es-ES"/>
        </w:rPr>
        <w:t xml:space="preserve"> comunidad que</w:t>
      </w:r>
      <w:r w:rsidRPr="00CE4F9B">
        <w:rPr>
          <w:lang w:val="es-ES"/>
        </w:rPr>
        <w:t xml:space="preserve"> participan direct</w:t>
      </w:r>
      <w:r w:rsidR="00A5547D" w:rsidRPr="00CE4F9B">
        <w:rPr>
          <w:lang w:val="es-ES"/>
        </w:rPr>
        <w:t>amente</w:t>
      </w:r>
      <w:r w:rsidRPr="00CE4F9B">
        <w:rPr>
          <w:lang w:val="es-ES"/>
        </w:rPr>
        <w:t xml:space="preserve"> en la práctica o tra</w:t>
      </w:r>
      <w:r w:rsidR="00A5547D" w:rsidRPr="00CE4F9B">
        <w:rPr>
          <w:lang w:val="es-ES"/>
        </w:rPr>
        <w:t>nsmisión de un elemento del PCI</w:t>
      </w:r>
      <w:r w:rsidRPr="00CE4F9B">
        <w:rPr>
          <w:lang w:val="es-ES"/>
        </w:rPr>
        <w:t>.</w:t>
      </w:r>
    </w:p>
    <w:p w:rsidR="008C0B71" w:rsidRPr="00CE4F9B" w:rsidRDefault="008C0B71" w:rsidP="008C0B71">
      <w:pPr>
        <w:pStyle w:val="Texte1"/>
        <w:rPr>
          <w:lang w:val="es-ES"/>
        </w:rPr>
      </w:pPr>
      <w:r w:rsidRPr="00CE4F9B">
        <w:rPr>
          <w:lang w:val="es-ES"/>
        </w:rPr>
        <w:t>La composición de los miembros de las comunidades vinculadas a prácticas de elementos del PCI, ya sean grandes o pequeñas, no está bien definida a menudo. Además, aunque algunas comunidades cuentan con estructuras que asignan claramente funciones a algunos de sus miembros, otras carecen de esas estructuras o poseen algunas que no son reconocidas por los órganos de administración de los Estados.</w:t>
      </w:r>
    </w:p>
    <w:p w:rsidR="008C0B71" w:rsidRPr="00CE4F9B" w:rsidRDefault="008C0B71" w:rsidP="008C0B71">
      <w:pPr>
        <w:pStyle w:val="Texte1"/>
        <w:rPr>
          <w:lang w:val="es-ES"/>
        </w:rPr>
      </w:pPr>
      <w:r w:rsidRPr="00CE4F9B">
        <w:rPr>
          <w:lang w:val="es-ES"/>
        </w:rPr>
        <w:t>La tarea de identificar a los representantes de las comunidades es relativamente sencilla allí donde éstas cuentan ya con órganos, asociaciones o representantes sólidamente implantados, aceptados por el conjunto de sus miembros y capacitados para hablar en su nombre. No obstante, incluso cuando se da este caso, pueden producirse tensiones en el seno de las comunidades debido a divergencias sobre la elección de uno</w:t>
      </w:r>
      <w:r w:rsidR="00A5547D" w:rsidRPr="00CE4F9B">
        <w:rPr>
          <w:lang w:val="es-ES"/>
        </w:rPr>
        <w:t>s</w:t>
      </w:r>
      <w:r w:rsidRPr="00CE4F9B">
        <w:rPr>
          <w:lang w:val="es-ES"/>
        </w:rPr>
        <w:t xml:space="preserve"> u otro</w:t>
      </w:r>
      <w:r w:rsidR="00A5547D" w:rsidRPr="00CE4F9B">
        <w:rPr>
          <w:lang w:val="es-ES"/>
        </w:rPr>
        <w:t>s</w:t>
      </w:r>
      <w:r w:rsidRPr="00CE4F9B">
        <w:rPr>
          <w:lang w:val="es-ES"/>
        </w:rPr>
        <w:t xml:space="preserve"> representante</w:t>
      </w:r>
      <w:r w:rsidR="00A5547D" w:rsidRPr="00CE4F9B">
        <w:rPr>
          <w:lang w:val="es-ES"/>
        </w:rPr>
        <w:t>s</w:t>
      </w:r>
      <w:r w:rsidRPr="00CE4F9B">
        <w:rPr>
          <w:lang w:val="es-ES"/>
        </w:rPr>
        <w:t>, así como sobre sus funciones y mandato.</w:t>
      </w:r>
    </w:p>
    <w:p w:rsidR="008C0B71" w:rsidRPr="00CE4F9B" w:rsidRDefault="008C0B71" w:rsidP="008C0B71">
      <w:pPr>
        <w:pStyle w:val="Texte1"/>
        <w:rPr>
          <w:lang w:val="es-ES"/>
        </w:rPr>
      </w:pPr>
      <w:r w:rsidRPr="00CE4F9B">
        <w:rPr>
          <w:lang w:val="es-ES"/>
        </w:rPr>
        <w:t>La identificación de los representantes es más difícil allí donde la organización de las comunidades es informal, insuficiente o inapta para movilizarlas adecuadamente en torno al objetivo de aplicar la Convención. En algunos países, como México y Australia, se han creado numerosos órganos de cooperación y consejos comunitarios para que coadyuven a la gestión del patrimonio cultural y al mantenimiento de relaciones con organismos</w:t>
      </w:r>
      <w:r w:rsidR="007F2D5E" w:rsidRPr="00CE4F9B">
        <w:rPr>
          <w:lang w:val="es-ES"/>
        </w:rPr>
        <w:t xml:space="preserve"> </w:t>
      </w:r>
      <w:r w:rsidRPr="00CE4F9B">
        <w:rPr>
          <w:lang w:val="es-ES"/>
        </w:rPr>
        <w:t xml:space="preserve">del exterior de las comunidades. Los organismos y personas del exterior pueden estimular la creación de organizaciones comunitarias de carácter oficial o informal, así como la selección de representantes de </w:t>
      </w:r>
      <w:r w:rsidR="00A12B08" w:rsidRPr="00CE4F9B">
        <w:rPr>
          <w:lang w:val="es-ES"/>
        </w:rPr>
        <w:t>éstas</w:t>
      </w:r>
      <w:r w:rsidRPr="00CE4F9B">
        <w:rPr>
          <w:lang w:val="es-ES"/>
        </w:rPr>
        <w:t xml:space="preserve"> con mandato para participar en debates sobre la salvaguardia del PCI. No obstante, cabe señalar que puede ocurrir que las organizaciones comunitarias controladas o representadas por personas u organismos exteriores no </w:t>
      </w:r>
      <w:r w:rsidR="00A12B08" w:rsidRPr="00CE4F9B">
        <w:rPr>
          <w:lang w:val="es-ES"/>
        </w:rPr>
        <w:t xml:space="preserve">siempre </w:t>
      </w:r>
      <w:r w:rsidRPr="00CE4F9B">
        <w:rPr>
          <w:lang w:val="es-ES"/>
        </w:rPr>
        <w:t xml:space="preserve">representen adecuadamente a las comunidades </w:t>
      </w:r>
      <w:r w:rsidR="00A12B08" w:rsidRPr="00CE4F9B">
        <w:rPr>
          <w:lang w:val="es-ES"/>
        </w:rPr>
        <w:t>a efectos de la salvaguardia de su</w:t>
      </w:r>
      <w:r w:rsidRPr="00CE4F9B">
        <w:rPr>
          <w:lang w:val="es-ES"/>
        </w:rPr>
        <w:t xml:space="preserve"> PCI. Los Estados Partes no deben alentar ningún tipo de </w:t>
      </w:r>
      <w:r w:rsidRPr="00CE4F9B">
        <w:rPr>
          <w:lang w:val="es-ES"/>
        </w:rPr>
        <w:lastRenderedPageBreak/>
        <w:t>representación inadecuada de las comunidades. De ahí que en la DO 105.e se les aliente a “</w:t>
      </w:r>
      <w:r w:rsidRPr="00CE4F9B">
        <w:rPr>
          <w:rFonts w:ascii="MyriadPro-Light" w:hAnsi="MyriadPro-Light" w:cs="MyriadPro-Light"/>
          <w:lang w:val="es-ES" w:eastAsia="fr-FR"/>
        </w:rPr>
        <w:t>promover y apoyar la creación de asociaciones comunitarias e impulsar el intercambio de información entre ellas</w:t>
      </w:r>
      <w:r w:rsidRPr="00CE4F9B">
        <w:rPr>
          <w:lang w:val="es-ES"/>
        </w:rPr>
        <w:t>”.</w:t>
      </w:r>
    </w:p>
    <w:p w:rsidR="008C0B71" w:rsidRPr="00CE4F9B" w:rsidRDefault="008C0B71" w:rsidP="008C0B71">
      <w:pPr>
        <w:pStyle w:val="Heading4"/>
        <w:rPr>
          <w:lang w:val="es-ES"/>
        </w:rPr>
      </w:pPr>
      <w:bookmarkStart w:id="37" w:name="_Toc348717641"/>
      <w:bookmarkStart w:id="38" w:name="_Toc348717981"/>
      <w:bookmarkStart w:id="39" w:name="_Toc348718333"/>
      <w:r w:rsidRPr="00CE4F9B">
        <w:rPr>
          <w:szCs w:val="20"/>
          <w:lang w:val="es-ES"/>
        </w:rPr>
        <w:t>Controversias y desacuerdos</w:t>
      </w:r>
      <w:bookmarkEnd w:id="37"/>
      <w:bookmarkEnd w:id="38"/>
      <w:bookmarkEnd w:id="39"/>
    </w:p>
    <w:p w:rsidR="008C0B71" w:rsidRPr="00CE4F9B" w:rsidRDefault="008C0B71" w:rsidP="008C0B71">
      <w:pPr>
        <w:pStyle w:val="Texte1"/>
        <w:rPr>
          <w:lang w:val="es-ES"/>
        </w:rPr>
      </w:pPr>
      <w:r w:rsidRPr="00CE4F9B">
        <w:rPr>
          <w:lang w:val="es-ES"/>
        </w:rPr>
        <w:t>Dentro de una comunidad, o entre comunidades, pueden surgir controversias acerca de la identificación de una comunidad vinculada a un elemento específico del PCI, o acerca de la viabilidad, función y gestión apropiada de éste. Las controversias pueden girar en torno a saber si ese elemento específico está solamente vinculado a una comunidad definida con un criterio muy estricto, o a un grupo mucho más amplio de personas.</w:t>
      </w:r>
    </w:p>
    <w:p w:rsidR="008C0B71" w:rsidRPr="00CE4F9B" w:rsidRDefault="008C0B71" w:rsidP="008C0B71">
      <w:pPr>
        <w:pStyle w:val="Texte1"/>
        <w:rPr>
          <w:lang w:val="es-ES"/>
        </w:rPr>
      </w:pPr>
      <w:r w:rsidRPr="00CE4F9B">
        <w:rPr>
          <w:lang w:val="es-ES"/>
        </w:rPr>
        <w:t>T</w:t>
      </w:r>
      <w:r w:rsidR="002479E3" w:rsidRPr="00CE4F9B">
        <w:rPr>
          <w:lang w:val="es-ES"/>
        </w:rPr>
        <w:t>ambién puede haber controversias sobre quiénes deben ser los que hablen en nombre de las comunidades y grupos interesados</w:t>
      </w:r>
      <w:r w:rsidRPr="00CE4F9B">
        <w:rPr>
          <w:lang w:val="es-ES"/>
        </w:rPr>
        <w:t xml:space="preserve">. </w:t>
      </w:r>
      <w:r w:rsidR="009A1521" w:rsidRPr="00CE4F9B">
        <w:rPr>
          <w:lang w:val="es-ES"/>
        </w:rPr>
        <w:t>Por ejemplo</w:t>
      </w:r>
      <w:r w:rsidRPr="00CE4F9B">
        <w:rPr>
          <w:lang w:val="es-ES"/>
        </w:rPr>
        <w:t xml:space="preserve">, </w:t>
      </w:r>
      <w:r w:rsidR="009A1521" w:rsidRPr="00CE4F9B">
        <w:rPr>
          <w:lang w:val="es-ES"/>
        </w:rPr>
        <w:t xml:space="preserve">algunas de las personas que </w:t>
      </w:r>
      <w:r w:rsidR="00D10665" w:rsidRPr="00CE4F9B">
        <w:rPr>
          <w:lang w:val="es-ES"/>
        </w:rPr>
        <w:t>representan</w:t>
      </w:r>
      <w:r w:rsidR="009A1521" w:rsidRPr="00CE4F9B">
        <w:rPr>
          <w:lang w:val="es-ES"/>
        </w:rPr>
        <w:t xml:space="preserve"> </w:t>
      </w:r>
      <w:r w:rsidR="00D10665" w:rsidRPr="00CE4F9B">
        <w:rPr>
          <w:lang w:val="es-ES"/>
        </w:rPr>
        <w:t>un</w:t>
      </w:r>
      <w:r w:rsidR="009A1521" w:rsidRPr="00CE4F9B">
        <w:rPr>
          <w:lang w:val="es-ES"/>
        </w:rPr>
        <w:t xml:space="preserve"> </w:t>
      </w:r>
      <w:r w:rsidR="00D10665" w:rsidRPr="00CE4F9B">
        <w:rPr>
          <w:lang w:val="es-ES"/>
        </w:rPr>
        <w:t>elemento</w:t>
      </w:r>
      <w:r w:rsidR="009A1521" w:rsidRPr="00CE4F9B">
        <w:rPr>
          <w:lang w:val="es-ES"/>
        </w:rPr>
        <w:t xml:space="preserve"> específic</w:t>
      </w:r>
      <w:r w:rsidR="00D10665" w:rsidRPr="00CE4F9B">
        <w:rPr>
          <w:lang w:val="es-ES"/>
        </w:rPr>
        <w:t>o</w:t>
      </w:r>
      <w:r w:rsidR="009A1521" w:rsidRPr="00CE4F9B">
        <w:rPr>
          <w:lang w:val="es-ES"/>
        </w:rPr>
        <w:t xml:space="preserve"> del PCI en una comunidad pueden opinar que son ellas las únicas que pueden representarl</w:t>
      </w:r>
      <w:r w:rsidR="00D10665" w:rsidRPr="00CE4F9B">
        <w:rPr>
          <w:lang w:val="es-ES"/>
        </w:rPr>
        <w:t>o</w:t>
      </w:r>
      <w:r w:rsidR="009A1521" w:rsidRPr="00CE4F9B">
        <w:rPr>
          <w:lang w:val="es-ES"/>
        </w:rPr>
        <w:t xml:space="preserve"> legítimamente</w:t>
      </w:r>
      <w:r w:rsidRPr="00CE4F9B">
        <w:rPr>
          <w:lang w:val="es-ES"/>
        </w:rPr>
        <w:t>.</w:t>
      </w:r>
    </w:p>
    <w:p w:rsidR="008C0B71" w:rsidRPr="00CE4F9B" w:rsidRDefault="009A1521" w:rsidP="008C0B71">
      <w:pPr>
        <w:pStyle w:val="Texte1"/>
        <w:rPr>
          <w:lang w:val="es-ES"/>
        </w:rPr>
      </w:pPr>
      <w:r w:rsidRPr="00CE4F9B">
        <w:rPr>
          <w:lang w:val="es-ES"/>
        </w:rPr>
        <w:t xml:space="preserve">Esa </w:t>
      </w:r>
      <w:r w:rsidR="00D10665" w:rsidRPr="00CE4F9B">
        <w:rPr>
          <w:lang w:val="es-ES"/>
        </w:rPr>
        <w:t>opinión la puede alentar el hecho de que exista documentación para un inventario que se refiera solamente a un grupo que representa o manifiesta un elemento específico del PCI</w:t>
      </w:r>
      <w:r w:rsidR="008C0B71" w:rsidRPr="00CE4F9B">
        <w:rPr>
          <w:lang w:val="es-ES"/>
        </w:rPr>
        <w:t>. Ot</w:t>
      </w:r>
      <w:r w:rsidR="00D10665" w:rsidRPr="00CE4F9B">
        <w:rPr>
          <w:lang w:val="es-ES"/>
        </w:rPr>
        <w:t>ros practicantes del elemento pertenecientes a la comunidad pueden impugn</w:t>
      </w:r>
      <w:r w:rsidR="009E73DE" w:rsidRPr="00CE4F9B">
        <w:rPr>
          <w:lang w:val="es-ES"/>
        </w:rPr>
        <w:t>a</w:t>
      </w:r>
      <w:r w:rsidR="00D10665" w:rsidRPr="00CE4F9B">
        <w:rPr>
          <w:lang w:val="es-ES"/>
        </w:rPr>
        <w:t>r</w:t>
      </w:r>
      <w:r w:rsidR="009E73DE" w:rsidRPr="00CE4F9B">
        <w:rPr>
          <w:lang w:val="es-ES"/>
        </w:rPr>
        <w:t xml:space="preserve"> la situación de privilegio de que goza el grupo que es objeto de la documentación mencionada</w:t>
      </w:r>
      <w:r w:rsidR="008C0B71" w:rsidRPr="00CE4F9B">
        <w:rPr>
          <w:lang w:val="es-ES"/>
        </w:rPr>
        <w:t>.</w:t>
      </w:r>
    </w:p>
    <w:p w:rsidR="008C0B71" w:rsidRPr="00CE4F9B" w:rsidRDefault="009E73DE" w:rsidP="008C0B71">
      <w:pPr>
        <w:pStyle w:val="Texte1"/>
        <w:rPr>
          <w:lang w:val="es-ES"/>
        </w:rPr>
      </w:pPr>
      <w:r w:rsidRPr="00CE4F9B">
        <w:rPr>
          <w:lang w:val="es-ES"/>
        </w:rPr>
        <w:t xml:space="preserve">Las ONG </w:t>
      </w:r>
      <w:r w:rsidR="00460B69" w:rsidRPr="00CE4F9B">
        <w:rPr>
          <w:lang w:val="es-ES"/>
        </w:rPr>
        <w:t xml:space="preserve">comunitarias </w:t>
      </w:r>
      <w:r w:rsidRPr="00CE4F9B">
        <w:rPr>
          <w:lang w:val="es-ES"/>
        </w:rPr>
        <w:t>y los expertos de la propia comunidad pueden contribuir a</w:t>
      </w:r>
      <w:r w:rsidR="007F2D5E" w:rsidRPr="00CE4F9B">
        <w:rPr>
          <w:lang w:val="es-ES"/>
        </w:rPr>
        <w:t xml:space="preserve"> </w:t>
      </w:r>
      <w:r w:rsidRPr="00CE4F9B">
        <w:rPr>
          <w:lang w:val="es-ES"/>
        </w:rPr>
        <w:t>la búsqueda de soluciones para solventar este tipo de problemas. Es necesario lograr la participación y el consentimiento de la comunidad para la mayor parte de las actividades realizadas en el marco de la aplicación de la Convención, aunque haya que dedicar bastante tiempo a esta tarea. De no hacerlo así,</w:t>
      </w:r>
      <w:r w:rsidR="00F91F6F" w:rsidRPr="00CE4F9B">
        <w:rPr>
          <w:lang w:val="es-ES"/>
        </w:rPr>
        <w:t xml:space="preserve"> podría ocurrir que, al final, todo fuese contraproducente.</w:t>
      </w:r>
      <w:r w:rsidR="007F2D5E" w:rsidRPr="00CE4F9B">
        <w:rPr>
          <w:lang w:val="es-ES"/>
        </w:rPr>
        <w:t xml:space="preserve"> </w:t>
      </w:r>
    </w:p>
    <w:p w:rsidR="008C0B71" w:rsidRPr="00CE4F9B" w:rsidRDefault="008C0B71" w:rsidP="008C0B71">
      <w:pPr>
        <w:pStyle w:val="Titcoul"/>
        <w:rPr>
          <w:lang w:val="es-ES"/>
        </w:rPr>
      </w:pPr>
      <w:bookmarkStart w:id="40" w:name="_Toc241229710"/>
      <w:bookmarkStart w:id="41" w:name="_Toc241229914"/>
      <w:bookmarkStart w:id="42" w:name="_Toc242165608"/>
      <w:r w:rsidRPr="00CE4F9B">
        <w:rPr>
          <w:lang w:val="es-ES"/>
        </w:rPr>
        <w:t>7.10</w:t>
      </w:r>
      <w:r w:rsidRPr="00CE4F9B">
        <w:rPr>
          <w:lang w:val="es-ES"/>
        </w:rPr>
        <w:tab/>
      </w:r>
      <w:bookmarkEnd w:id="40"/>
      <w:bookmarkEnd w:id="41"/>
      <w:bookmarkEnd w:id="42"/>
      <w:r w:rsidR="00F91F6F" w:rsidRPr="00CE4F9B">
        <w:rPr>
          <w:lang w:val="es-ES"/>
        </w:rPr>
        <w:t>Métodos de participación de las comunidades</w:t>
      </w:r>
    </w:p>
    <w:p w:rsidR="008C0B71" w:rsidRPr="00CE4F9B" w:rsidRDefault="00F91F6F" w:rsidP="008C0B71">
      <w:pPr>
        <w:pStyle w:val="Texte1"/>
        <w:rPr>
          <w:lang w:val="es-ES"/>
        </w:rPr>
      </w:pPr>
      <w:r w:rsidRPr="00CE4F9B">
        <w:rPr>
          <w:lang w:val="es-ES"/>
        </w:rPr>
        <w:t>Los métodos de participación y adopción de decisiones</w:t>
      </w:r>
      <w:r w:rsidR="008C0B71" w:rsidRPr="00CE4F9B">
        <w:rPr>
          <w:lang w:val="es-ES"/>
        </w:rPr>
        <w:t xml:space="preserve"> </w:t>
      </w:r>
      <w:r w:rsidR="00A12B08" w:rsidRPr="00CE4F9B">
        <w:rPr>
          <w:lang w:val="es-ES"/>
        </w:rPr>
        <w:t xml:space="preserve">de una comunidad </w:t>
      </w:r>
      <w:r w:rsidRPr="00CE4F9B">
        <w:rPr>
          <w:lang w:val="es-ES"/>
        </w:rPr>
        <w:t>pueden variar en función de los requisitos y la estructura org</w:t>
      </w:r>
      <w:r w:rsidR="0020072F" w:rsidRPr="00CE4F9B">
        <w:rPr>
          <w:lang w:val="es-ES"/>
        </w:rPr>
        <w:t>a</w:t>
      </w:r>
      <w:r w:rsidR="00A12B08" w:rsidRPr="00CE4F9B">
        <w:rPr>
          <w:lang w:val="es-ES"/>
        </w:rPr>
        <w:t>nizativa de la comunidad interesada</w:t>
      </w:r>
      <w:r w:rsidRPr="00CE4F9B">
        <w:rPr>
          <w:lang w:val="es-ES"/>
        </w:rPr>
        <w:t xml:space="preserve">, </w:t>
      </w:r>
      <w:r w:rsidR="00A12B08" w:rsidRPr="00CE4F9B">
        <w:rPr>
          <w:lang w:val="es-ES"/>
        </w:rPr>
        <w:t>y también</w:t>
      </w:r>
      <w:r w:rsidRPr="00CE4F9B">
        <w:rPr>
          <w:lang w:val="es-ES"/>
        </w:rPr>
        <w:t xml:space="preserve"> </w:t>
      </w:r>
      <w:r w:rsidR="00A12B08" w:rsidRPr="00CE4F9B">
        <w:rPr>
          <w:lang w:val="es-ES"/>
        </w:rPr>
        <w:t xml:space="preserve">en función </w:t>
      </w:r>
      <w:r w:rsidR="0020072F" w:rsidRPr="00CE4F9B">
        <w:rPr>
          <w:lang w:val="es-ES"/>
        </w:rPr>
        <w:t>de</w:t>
      </w:r>
      <w:r w:rsidRPr="00CE4F9B">
        <w:rPr>
          <w:lang w:val="es-ES"/>
        </w:rPr>
        <w:t xml:space="preserve"> la disponibilidad de recursos, la índole de los elementos del PCI en cuestión, la tarea de que se trate, los fondos</w:t>
      </w:r>
      <w:r w:rsidR="0020072F" w:rsidRPr="00CE4F9B">
        <w:rPr>
          <w:lang w:val="es-ES"/>
        </w:rPr>
        <w:t xml:space="preserve"> disponibles</w:t>
      </w:r>
      <w:r w:rsidRPr="00CE4F9B">
        <w:rPr>
          <w:lang w:val="es-ES"/>
        </w:rPr>
        <w:t xml:space="preserve"> y las reglamentaciones locales o nacionales</w:t>
      </w:r>
    </w:p>
    <w:p w:rsidR="008C0B71" w:rsidRPr="00CE4F9B" w:rsidRDefault="0020072F" w:rsidP="008C0B71">
      <w:pPr>
        <w:pStyle w:val="Texte1"/>
        <w:rPr>
          <w:lang w:val="es-ES"/>
        </w:rPr>
      </w:pPr>
      <w:r w:rsidRPr="00CE4F9B">
        <w:rPr>
          <w:lang w:val="es-ES"/>
        </w:rPr>
        <w:t>Se pueden organizar con diferentes partes interesadas talleres de información y fortalecimiento de capacidades, reuniones y consultas</w:t>
      </w:r>
      <w:r w:rsidR="008C0B71" w:rsidRPr="00CE4F9B">
        <w:rPr>
          <w:lang w:val="es-ES"/>
        </w:rPr>
        <w:t xml:space="preserve">, </w:t>
      </w:r>
      <w:r w:rsidRPr="00CE4F9B">
        <w:rPr>
          <w:lang w:val="es-ES"/>
        </w:rPr>
        <w:t>encuestas</w:t>
      </w:r>
      <w:r w:rsidR="008C0B71" w:rsidRPr="00CE4F9B">
        <w:rPr>
          <w:lang w:val="es-ES"/>
        </w:rPr>
        <w:t xml:space="preserve">, </w:t>
      </w:r>
      <w:r w:rsidRPr="00CE4F9B">
        <w:rPr>
          <w:lang w:val="es-ES"/>
        </w:rPr>
        <w:t>conferencias de prensa y campañas en los medios informativos con la participación de las comunidades o de sus representantes,</w:t>
      </w:r>
      <w:r w:rsidR="008C0B71" w:rsidRPr="00CE4F9B">
        <w:rPr>
          <w:lang w:val="es-ES"/>
        </w:rPr>
        <w:t xml:space="preserve"> </w:t>
      </w:r>
      <w:r w:rsidRPr="00CE4F9B">
        <w:rPr>
          <w:lang w:val="es-ES"/>
        </w:rPr>
        <w:t>a fin de</w:t>
      </w:r>
      <w:r w:rsidR="008C0B71" w:rsidRPr="00CE4F9B">
        <w:rPr>
          <w:lang w:val="es-ES"/>
        </w:rPr>
        <w:t>:</w:t>
      </w:r>
    </w:p>
    <w:p w:rsidR="008C0B71" w:rsidRPr="00CE4F9B" w:rsidRDefault="0020072F" w:rsidP="00A36392">
      <w:pPr>
        <w:pStyle w:val="Enutiret"/>
        <w:numPr>
          <w:ilvl w:val="0"/>
          <w:numId w:val="520"/>
        </w:numPr>
        <w:rPr>
          <w:lang w:val="es-ES"/>
        </w:rPr>
      </w:pPr>
      <w:r w:rsidRPr="00CE4F9B">
        <w:rPr>
          <w:lang w:val="es-ES"/>
        </w:rPr>
        <w:t>proporcionar información sobre la Convención;</w:t>
      </w:r>
    </w:p>
    <w:p w:rsidR="008C0B71" w:rsidRPr="00CE4F9B" w:rsidRDefault="0020072F" w:rsidP="00A36392">
      <w:pPr>
        <w:pStyle w:val="Enutiret"/>
        <w:numPr>
          <w:ilvl w:val="0"/>
          <w:numId w:val="520"/>
        </w:numPr>
        <w:rPr>
          <w:lang w:val="es-ES"/>
        </w:rPr>
      </w:pPr>
      <w:r w:rsidRPr="00CE4F9B">
        <w:rPr>
          <w:lang w:val="es-ES"/>
        </w:rPr>
        <w:t>sensibilizar al valor e importancia del PCI en general y de elementos específicos de éste</w:t>
      </w:r>
      <w:r w:rsidR="008C0B71" w:rsidRPr="00CE4F9B">
        <w:rPr>
          <w:lang w:val="es-ES"/>
        </w:rPr>
        <w:t>;</w:t>
      </w:r>
    </w:p>
    <w:p w:rsidR="008C0B71" w:rsidRPr="00CE4F9B" w:rsidRDefault="0020072F" w:rsidP="00A36392">
      <w:pPr>
        <w:pStyle w:val="Enutiret"/>
        <w:numPr>
          <w:ilvl w:val="0"/>
          <w:numId w:val="520"/>
        </w:numPr>
        <w:rPr>
          <w:lang w:val="es-ES"/>
        </w:rPr>
      </w:pPr>
      <w:r w:rsidRPr="00CE4F9B">
        <w:rPr>
          <w:lang w:val="es-ES"/>
        </w:rPr>
        <w:t>identificar y definir elementos del PCI</w:t>
      </w:r>
      <w:r w:rsidR="008C0B71" w:rsidRPr="00CE4F9B">
        <w:rPr>
          <w:lang w:val="es-ES"/>
        </w:rPr>
        <w:t>;</w:t>
      </w:r>
    </w:p>
    <w:p w:rsidR="008C0B71" w:rsidRPr="00CE4F9B" w:rsidRDefault="0020072F" w:rsidP="00A36392">
      <w:pPr>
        <w:pStyle w:val="Enutiret"/>
        <w:numPr>
          <w:ilvl w:val="0"/>
          <w:numId w:val="520"/>
        </w:numPr>
        <w:rPr>
          <w:lang w:val="es-ES"/>
        </w:rPr>
      </w:pPr>
      <w:r w:rsidRPr="00CE4F9B">
        <w:rPr>
          <w:lang w:val="es-ES"/>
        </w:rPr>
        <w:t>identificar los valores y funciones vinculados a elementos específicos del PCI</w:t>
      </w:r>
      <w:r w:rsidR="008C0B71" w:rsidRPr="00CE4F9B">
        <w:rPr>
          <w:lang w:val="es-ES"/>
        </w:rPr>
        <w:t>;</w:t>
      </w:r>
    </w:p>
    <w:p w:rsidR="008C0B71" w:rsidRPr="00CE4F9B" w:rsidRDefault="0020072F" w:rsidP="00A36392">
      <w:pPr>
        <w:pStyle w:val="Enutiret"/>
        <w:numPr>
          <w:ilvl w:val="0"/>
          <w:numId w:val="520"/>
        </w:numPr>
        <w:rPr>
          <w:lang w:val="es-ES"/>
        </w:rPr>
      </w:pPr>
      <w:r w:rsidRPr="00CE4F9B">
        <w:rPr>
          <w:lang w:val="es-ES"/>
        </w:rPr>
        <w:lastRenderedPageBreak/>
        <w:t>determinar qué amenazas pesan sobre determinados elementos específicos del PCI, si las hubiere</w:t>
      </w:r>
      <w:r w:rsidR="008C0B71" w:rsidRPr="00CE4F9B">
        <w:rPr>
          <w:lang w:val="es-ES"/>
        </w:rPr>
        <w:t>;</w:t>
      </w:r>
    </w:p>
    <w:p w:rsidR="008C0B71" w:rsidRPr="00CE4F9B" w:rsidRDefault="0020072F" w:rsidP="00A36392">
      <w:pPr>
        <w:pStyle w:val="Enutiret"/>
        <w:numPr>
          <w:ilvl w:val="0"/>
          <w:numId w:val="520"/>
        </w:numPr>
        <w:rPr>
          <w:lang w:val="es-ES"/>
        </w:rPr>
      </w:pPr>
      <w:r w:rsidRPr="00CE4F9B">
        <w:rPr>
          <w:lang w:val="es-ES"/>
        </w:rPr>
        <w:t>facilitar la comunicación en el seno de las comunidades o grupos</w:t>
      </w:r>
      <w:r w:rsidR="008C0B71" w:rsidRPr="00CE4F9B">
        <w:rPr>
          <w:lang w:val="es-ES"/>
        </w:rPr>
        <w:t>;</w:t>
      </w:r>
    </w:p>
    <w:p w:rsidR="008C0B71" w:rsidRPr="00CE4F9B" w:rsidRDefault="00C1230D" w:rsidP="00A36392">
      <w:pPr>
        <w:pStyle w:val="Enutiret"/>
        <w:numPr>
          <w:ilvl w:val="0"/>
          <w:numId w:val="520"/>
        </w:numPr>
        <w:rPr>
          <w:lang w:val="es-ES"/>
        </w:rPr>
      </w:pPr>
      <w:r w:rsidRPr="00CE4F9B">
        <w:rPr>
          <w:lang w:val="es-ES"/>
        </w:rPr>
        <w:t>facilitar la comunicación entre las comunidades interesadas y expertos externos, organismos gubernamentales y ONG</w:t>
      </w:r>
      <w:r w:rsidR="008C0B71" w:rsidRPr="00CE4F9B">
        <w:rPr>
          <w:lang w:val="es-ES"/>
        </w:rPr>
        <w:t>;</w:t>
      </w:r>
    </w:p>
    <w:p w:rsidR="008C0B71" w:rsidRPr="00CE4F9B" w:rsidRDefault="00C1230D" w:rsidP="00A36392">
      <w:pPr>
        <w:pStyle w:val="Enutiret"/>
        <w:numPr>
          <w:ilvl w:val="0"/>
          <w:numId w:val="520"/>
        </w:numPr>
        <w:rPr>
          <w:lang w:val="es-ES"/>
        </w:rPr>
      </w:pPr>
      <w:r w:rsidRPr="00CE4F9B">
        <w:rPr>
          <w:lang w:val="es-ES"/>
        </w:rPr>
        <w:t>evaluar el interés que puedan tener las comunidades en la salvaguardia del conjunto de su PCI, o de una parte de éste</w:t>
      </w:r>
      <w:r w:rsidR="008C0B71" w:rsidRPr="00CE4F9B">
        <w:rPr>
          <w:lang w:val="es-ES"/>
        </w:rPr>
        <w:t>;</w:t>
      </w:r>
    </w:p>
    <w:p w:rsidR="008C0B71" w:rsidRPr="00CE4F9B" w:rsidRDefault="00C1230D" w:rsidP="00A36392">
      <w:pPr>
        <w:pStyle w:val="Enutiret"/>
        <w:numPr>
          <w:ilvl w:val="0"/>
          <w:numId w:val="520"/>
        </w:numPr>
        <w:rPr>
          <w:lang w:val="es-ES"/>
        </w:rPr>
      </w:pPr>
      <w:r w:rsidRPr="00CE4F9B">
        <w:rPr>
          <w:lang w:val="es-ES"/>
        </w:rPr>
        <w:t>determinar el grado del compromiso contraído por las comunidades con las actividades de salvaguardia</w:t>
      </w:r>
      <w:r w:rsidR="008C0B71" w:rsidRPr="00CE4F9B">
        <w:rPr>
          <w:lang w:val="es-ES"/>
        </w:rPr>
        <w:t>;</w:t>
      </w:r>
    </w:p>
    <w:p w:rsidR="008C0B71" w:rsidRPr="00CE4F9B" w:rsidRDefault="00C1230D" w:rsidP="00A36392">
      <w:pPr>
        <w:pStyle w:val="Enutiret"/>
        <w:numPr>
          <w:ilvl w:val="0"/>
          <w:numId w:val="520"/>
        </w:numPr>
        <w:rPr>
          <w:lang w:val="es-ES"/>
        </w:rPr>
      </w:pPr>
      <w:r w:rsidRPr="00CE4F9B">
        <w:rPr>
          <w:lang w:val="es-ES"/>
        </w:rPr>
        <w:t>decidir si la salvaguardia abarcará uno o varios elementos del PCI</w:t>
      </w:r>
      <w:r w:rsidR="008C0B71" w:rsidRPr="00CE4F9B">
        <w:rPr>
          <w:lang w:val="es-ES"/>
        </w:rPr>
        <w:t>;</w:t>
      </w:r>
    </w:p>
    <w:p w:rsidR="008C0B71" w:rsidRPr="00CE4F9B" w:rsidRDefault="001F42D6" w:rsidP="00A36392">
      <w:pPr>
        <w:pStyle w:val="Enutiret"/>
        <w:numPr>
          <w:ilvl w:val="0"/>
          <w:numId w:val="520"/>
        </w:numPr>
        <w:rPr>
          <w:lang w:val="es-ES"/>
        </w:rPr>
      </w:pPr>
      <w:r w:rsidRPr="00CE4F9B">
        <w:rPr>
          <w:lang w:val="es-ES"/>
        </w:rPr>
        <w:t>fortalecer las capacidades en el seno de las comunidades interesadas</w:t>
      </w:r>
      <w:r w:rsidR="008C0B71" w:rsidRPr="00CE4F9B">
        <w:rPr>
          <w:lang w:val="es-ES"/>
        </w:rPr>
        <w:t>;</w:t>
      </w:r>
    </w:p>
    <w:p w:rsidR="001F42D6" w:rsidRPr="00CE4F9B" w:rsidRDefault="00C1230D" w:rsidP="00A36392">
      <w:pPr>
        <w:pStyle w:val="Enutiret"/>
        <w:numPr>
          <w:ilvl w:val="0"/>
          <w:numId w:val="520"/>
        </w:numPr>
        <w:rPr>
          <w:lang w:val="es-ES"/>
        </w:rPr>
      </w:pPr>
      <w:r w:rsidRPr="00CE4F9B">
        <w:rPr>
          <w:lang w:val="es-ES"/>
        </w:rPr>
        <w:t>compartir conocimientos y técnicas de salvaguardia del PCI</w:t>
      </w:r>
      <w:r w:rsidR="008C0B71" w:rsidRPr="00CE4F9B">
        <w:rPr>
          <w:lang w:val="es-ES"/>
        </w:rPr>
        <w:t>;</w:t>
      </w:r>
    </w:p>
    <w:p w:rsidR="008C0B71" w:rsidRPr="00CE4F9B" w:rsidRDefault="001F42D6" w:rsidP="00A36392">
      <w:pPr>
        <w:pStyle w:val="Enutiret"/>
        <w:numPr>
          <w:ilvl w:val="0"/>
          <w:numId w:val="520"/>
        </w:numPr>
        <w:rPr>
          <w:lang w:val="es-ES"/>
        </w:rPr>
      </w:pPr>
      <w:r w:rsidRPr="00CE4F9B">
        <w:rPr>
          <w:lang w:val="es-ES"/>
        </w:rPr>
        <w:t>elaborar planes de salvaguardia;</w:t>
      </w:r>
    </w:p>
    <w:p w:rsidR="008C0B71" w:rsidRPr="00CE4F9B" w:rsidRDefault="00C1230D" w:rsidP="00A36392">
      <w:pPr>
        <w:pStyle w:val="Enutiret"/>
        <w:numPr>
          <w:ilvl w:val="0"/>
          <w:numId w:val="520"/>
        </w:numPr>
        <w:rPr>
          <w:lang w:val="es-ES"/>
        </w:rPr>
      </w:pPr>
      <w:r w:rsidRPr="00CE4F9B">
        <w:rPr>
          <w:lang w:val="es-ES"/>
        </w:rPr>
        <w:t xml:space="preserve">cabildear con vistas a conseguir </w:t>
      </w:r>
      <w:r w:rsidR="00A12B08" w:rsidRPr="00CE4F9B">
        <w:rPr>
          <w:lang w:val="es-ES"/>
        </w:rPr>
        <w:t>a</w:t>
      </w:r>
      <w:r w:rsidRPr="00CE4F9B">
        <w:rPr>
          <w:lang w:val="es-ES"/>
        </w:rPr>
        <w:t>poyo para las actividades de salvaguardia</w:t>
      </w:r>
      <w:r w:rsidR="008C0B71" w:rsidRPr="00CE4F9B">
        <w:rPr>
          <w:lang w:val="es-ES"/>
        </w:rPr>
        <w:t>;</w:t>
      </w:r>
    </w:p>
    <w:p w:rsidR="008C0B71" w:rsidRPr="00CE4F9B" w:rsidRDefault="008C0B71" w:rsidP="00A36392">
      <w:pPr>
        <w:pStyle w:val="Enutiret"/>
        <w:numPr>
          <w:ilvl w:val="0"/>
          <w:numId w:val="520"/>
        </w:numPr>
        <w:rPr>
          <w:lang w:val="es-ES"/>
        </w:rPr>
      </w:pPr>
      <w:r w:rsidRPr="00CE4F9B">
        <w:rPr>
          <w:lang w:val="es-ES"/>
        </w:rPr>
        <w:t>evalua</w:t>
      </w:r>
      <w:r w:rsidR="001F42D6" w:rsidRPr="00CE4F9B">
        <w:rPr>
          <w:lang w:val="es-ES"/>
        </w:rPr>
        <w:t>r</w:t>
      </w:r>
      <w:r w:rsidRPr="00CE4F9B">
        <w:rPr>
          <w:lang w:val="es-ES"/>
        </w:rPr>
        <w:t xml:space="preserve"> </w:t>
      </w:r>
      <w:r w:rsidR="001F42D6" w:rsidRPr="00CE4F9B">
        <w:rPr>
          <w:lang w:val="es-ES"/>
        </w:rPr>
        <w:t>las actividades de salvaguardia en curso</w:t>
      </w:r>
      <w:r w:rsidRPr="00CE4F9B">
        <w:rPr>
          <w:lang w:val="es-ES"/>
        </w:rPr>
        <w:t>;</w:t>
      </w:r>
    </w:p>
    <w:p w:rsidR="008C0B71" w:rsidRPr="00CE4F9B" w:rsidRDefault="008C0B71" w:rsidP="00A36392">
      <w:pPr>
        <w:pStyle w:val="Enutiret"/>
        <w:numPr>
          <w:ilvl w:val="0"/>
          <w:numId w:val="520"/>
        </w:numPr>
        <w:rPr>
          <w:lang w:val="es-ES"/>
        </w:rPr>
      </w:pPr>
      <w:r w:rsidRPr="00CE4F9B">
        <w:rPr>
          <w:lang w:val="es-ES"/>
        </w:rPr>
        <w:t>decidi</w:t>
      </w:r>
      <w:r w:rsidR="001F42D6" w:rsidRPr="00CE4F9B">
        <w:rPr>
          <w:lang w:val="es-ES"/>
        </w:rPr>
        <w:t>r</w:t>
      </w:r>
      <w:r w:rsidRPr="00CE4F9B">
        <w:rPr>
          <w:lang w:val="es-ES"/>
        </w:rPr>
        <w:t xml:space="preserve"> </w:t>
      </w:r>
      <w:r w:rsidR="001F42D6" w:rsidRPr="00CE4F9B">
        <w:rPr>
          <w:lang w:val="es-ES"/>
        </w:rPr>
        <w:t>si se propondrá o no la candidatura de un elemento específico para su inscripción en las Listas de la Convención</w:t>
      </w:r>
      <w:r w:rsidRPr="00CE4F9B">
        <w:rPr>
          <w:lang w:val="es-ES"/>
        </w:rPr>
        <w:t xml:space="preserve">; </w:t>
      </w:r>
      <w:r w:rsidR="001F42D6" w:rsidRPr="00CE4F9B">
        <w:rPr>
          <w:lang w:val="es-ES"/>
        </w:rPr>
        <w:t>y</w:t>
      </w:r>
    </w:p>
    <w:p w:rsidR="008C0B71" w:rsidRPr="00CE4F9B" w:rsidRDefault="001F42D6" w:rsidP="00A36392">
      <w:pPr>
        <w:pStyle w:val="Enutiret"/>
        <w:numPr>
          <w:ilvl w:val="0"/>
          <w:numId w:val="520"/>
        </w:numPr>
        <w:rPr>
          <w:lang w:val="es-ES"/>
        </w:rPr>
      </w:pPr>
      <w:r w:rsidRPr="00CE4F9B">
        <w:rPr>
          <w:lang w:val="es-ES"/>
        </w:rPr>
        <w:t>preparar expedientes de candidatura y solicitudes de asistencia internac</w:t>
      </w:r>
      <w:r w:rsidR="008C0B71" w:rsidRPr="00CE4F9B">
        <w:rPr>
          <w:lang w:val="es-ES"/>
        </w:rPr>
        <w:t>ional.</w:t>
      </w:r>
    </w:p>
    <w:p w:rsidR="008C0B71" w:rsidRPr="00CE4F9B" w:rsidRDefault="008C0B71" w:rsidP="008C0B71">
      <w:pPr>
        <w:pStyle w:val="Titcoul"/>
        <w:rPr>
          <w:lang w:val="es-ES"/>
        </w:rPr>
      </w:pPr>
      <w:bookmarkStart w:id="43" w:name="_Toc241229711"/>
      <w:bookmarkStart w:id="44" w:name="_Toc241229915"/>
      <w:bookmarkStart w:id="45" w:name="_Toc242165609"/>
      <w:r w:rsidRPr="00CE4F9B">
        <w:rPr>
          <w:szCs w:val="70"/>
          <w:lang w:val="es-ES"/>
        </w:rPr>
        <w:t>7.11</w:t>
      </w:r>
      <w:r w:rsidRPr="00CE4F9B">
        <w:rPr>
          <w:szCs w:val="70"/>
          <w:lang w:val="es-ES"/>
        </w:rPr>
        <w:tab/>
      </w:r>
      <w:bookmarkEnd w:id="43"/>
      <w:bookmarkEnd w:id="44"/>
      <w:bookmarkEnd w:id="45"/>
      <w:r w:rsidR="001F42D6" w:rsidRPr="00CE4F9B">
        <w:rPr>
          <w:rFonts w:eastAsia="MS Gothic"/>
          <w:lang w:val="es-ES"/>
        </w:rPr>
        <w:t>Obtener el consentimiento libre, previo e informado de las comunidades</w:t>
      </w:r>
    </w:p>
    <w:p w:rsidR="008C0B71" w:rsidRPr="00CE4F9B" w:rsidRDefault="008C0B71" w:rsidP="008C0B71">
      <w:pPr>
        <w:pStyle w:val="Informations"/>
        <w:rPr>
          <w:lang w:val="es-ES"/>
        </w:rPr>
      </w:pPr>
      <w:r w:rsidRPr="00CE4F9B">
        <w:rPr>
          <w:i w:val="0"/>
          <w:iCs w:val="0"/>
          <w:noProof/>
          <w:lang w:val="es-ES_tradnl" w:eastAsia="es-ES_tradnl"/>
        </w:rPr>
        <w:drawing>
          <wp:anchor distT="0" distB="0" distL="114300" distR="114300" simplePos="0" relativeHeight="251665408" behindDoc="0" locked="1" layoutInCell="1" allowOverlap="0">
            <wp:simplePos x="0" y="0"/>
            <wp:positionH relativeFrom="column">
              <wp:posOffset>1905</wp:posOffset>
            </wp:positionH>
            <wp:positionV relativeFrom="paragraph">
              <wp:posOffset>-38735</wp:posOffset>
            </wp:positionV>
            <wp:extent cx="283210" cy="357505"/>
            <wp:effectExtent l="19050" t="0" r="2540" b="0"/>
            <wp:wrapThrough wrapText="bothSides">
              <wp:wrapPolygon edited="0">
                <wp:start x="-1453" y="0"/>
                <wp:lineTo x="-1453" y="20718"/>
                <wp:lineTo x="21794" y="20718"/>
                <wp:lineTo x="21794" y="0"/>
                <wp:lineTo x="-1453" y="0"/>
              </wp:wrapPolygon>
            </wp:wrapThrough>
            <wp:docPr id="7"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
                    <pic:cNvPicPr>
                      <a:picLocks noChangeAspect="1" noChangeArrowheads="1"/>
                    </pic:cNvPicPr>
                  </pic:nvPicPr>
                  <pic:blipFill>
                    <a:blip r:embed="rId10"/>
                    <a:srcRect/>
                    <a:stretch>
                      <a:fillRect/>
                    </a:stretch>
                  </pic:blipFill>
                  <pic:spPr bwMode="auto">
                    <a:xfrm>
                      <a:off x="0" y="0"/>
                      <a:ext cx="283210" cy="357505"/>
                    </a:xfrm>
                    <a:prstGeom prst="rect">
                      <a:avLst/>
                    </a:prstGeom>
                    <a:noFill/>
                    <a:ln w="9525">
                      <a:noFill/>
                      <a:miter lim="800000"/>
                      <a:headEnd/>
                      <a:tailEnd/>
                    </a:ln>
                  </pic:spPr>
                </pic:pic>
              </a:graphicData>
            </a:graphic>
          </wp:anchor>
        </w:drawing>
      </w:r>
      <w:r w:rsidR="001F42D6" w:rsidRPr="00CE4F9B">
        <w:rPr>
          <w:lang w:val="es-ES"/>
        </w:rPr>
        <w:t>Véase el examen de este concepto esencial</w:t>
      </w:r>
      <w:r w:rsidR="00C73501" w:rsidRPr="00CE4F9B">
        <w:rPr>
          <w:lang w:val="es-ES"/>
        </w:rPr>
        <w:t xml:space="preserve"> que figura en el Texto para el Participante</w:t>
      </w:r>
      <w:r w:rsidR="007F2D5E" w:rsidRPr="00CE4F9B">
        <w:rPr>
          <w:lang w:val="es-ES"/>
        </w:rPr>
        <w:t xml:space="preserve"> </w:t>
      </w:r>
      <w:r w:rsidR="00C73501" w:rsidRPr="00CE4F9B">
        <w:rPr>
          <w:lang w:val="es-ES"/>
        </w:rPr>
        <w:t>de la Unidad</w:t>
      </w:r>
      <w:r w:rsidRPr="00CE4F9B">
        <w:rPr>
          <w:lang w:val="es-ES"/>
        </w:rPr>
        <w:t xml:space="preserve"> 3.</w:t>
      </w:r>
    </w:p>
    <w:p w:rsidR="008C0B71" w:rsidRPr="00CE4F9B" w:rsidRDefault="003975FD" w:rsidP="008C0B71">
      <w:pPr>
        <w:pStyle w:val="Texte1"/>
        <w:rPr>
          <w:lang w:val="es-ES"/>
        </w:rPr>
      </w:pPr>
      <w:r w:rsidRPr="00CE4F9B">
        <w:rPr>
          <w:lang w:val="es-ES"/>
        </w:rPr>
        <w:t>Se requiere el consentimiento libre, previo e informado de las comunidades interesadas para preparar y presentar expedientes de candidatura de elementos del PCI con vistas a su inscripción en las Listas de la Convención. En esos expedientes se debe consignar cómo las comunidades han participado plenamente en la elaboración y aplicación de las medidas de salvaguardia propuestas. También se requiere el consentimiento de las comunidades cuando un Estado Parte propon</w:t>
      </w:r>
      <w:r w:rsidR="00A12B08" w:rsidRPr="00CE4F9B">
        <w:rPr>
          <w:lang w:val="es-ES"/>
        </w:rPr>
        <w:t>e</w:t>
      </w:r>
      <w:r w:rsidRPr="00CE4F9B">
        <w:rPr>
          <w:lang w:val="es-ES"/>
        </w:rPr>
        <w:t xml:space="preserve"> </w:t>
      </w:r>
      <w:r w:rsidR="00A12B08" w:rsidRPr="00CE4F9B">
        <w:rPr>
          <w:lang w:val="es-ES"/>
        </w:rPr>
        <w:t xml:space="preserve">la selección de una actividad de salvaguardia ejemplar </w:t>
      </w:r>
      <w:r w:rsidRPr="00CE4F9B">
        <w:rPr>
          <w:lang w:val="es-ES"/>
        </w:rPr>
        <w:t xml:space="preserve">para </w:t>
      </w:r>
      <w:r w:rsidR="00A12B08" w:rsidRPr="00CE4F9B">
        <w:rPr>
          <w:lang w:val="es-ES"/>
        </w:rPr>
        <w:t xml:space="preserve">su inclusión en </w:t>
      </w:r>
      <w:r w:rsidRPr="00CE4F9B">
        <w:rPr>
          <w:lang w:val="es-ES"/>
        </w:rPr>
        <w:t xml:space="preserve">el Registro de Mejores Prácticas </w:t>
      </w:r>
      <w:r w:rsidR="00352ADA" w:rsidRPr="00CE4F9B">
        <w:rPr>
          <w:lang w:val="es-ES"/>
        </w:rPr>
        <w:t>(DO 7</w:t>
      </w:r>
      <w:r w:rsidRPr="00CE4F9B">
        <w:rPr>
          <w:lang w:val="es-ES"/>
        </w:rPr>
        <w:t xml:space="preserve"> P.5), o cuando se planea una actividad de sensibilización al valor e importancia del PCI de uno o varios grupos específicos (DO 101.b). Habida cuenta de que para las actividades de identificación, confección de inventarios y salvaguardia realizadas en el marco de la Convención se exige la participación de las comunidades, se sobreentiende </w:t>
      </w:r>
      <w:r w:rsidR="00352ADA" w:rsidRPr="00CE4F9B">
        <w:rPr>
          <w:lang w:val="es-ES"/>
        </w:rPr>
        <w:t xml:space="preserve">que también constituye una exigencia </w:t>
      </w:r>
      <w:r w:rsidRPr="00CE4F9B">
        <w:rPr>
          <w:lang w:val="es-ES"/>
        </w:rPr>
        <w:t>el consentimiento de éstas a tales actividades. No obstante</w:t>
      </w:r>
      <w:r w:rsidR="00352ADA" w:rsidRPr="00CE4F9B">
        <w:rPr>
          <w:lang w:val="es-ES"/>
        </w:rPr>
        <w:t xml:space="preserve"> cabe señalar que</w:t>
      </w:r>
      <w:r w:rsidRPr="00CE4F9B">
        <w:rPr>
          <w:lang w:val="es-ES"/>
        </w:rPr>
        <w:t>, si se exceptúan los formularios de candidatura y los informes periódicos, no existen mecanismos formales para controlar ese consentimiento.</w:t>
      </w:r>
    </w:p>
    <w:p w:rsidR="008C0B71" w:rsidRPr="00CE4F9B" w:rsidRDefault="009F7C53" w:rsidP="008C0B71">
      <w:pPr>
        <w:pStyle w:val="Texte1"/>
        <w:rPr>
          <w:lang w:val="es-ES"/>
        </w:rPr>
      </w:pPr>
      <w:r w:rsidRPr="00CE4F9B">
        <w:rPr>
          <w:lang w:val="es-ES"/>
        </w:rPr>
        <w:t xml:space="preserve">La Convención y las DO no proporcionan orientación alguna sobre el procedimiento que deben seguir los Estados Partes para obtener el consentimiento de las comunidades, y el Comité no tiene criterios establecidos para comprobar la idoneidad de los procedimientos utilizados. En la Convención y las DO tampoco se proporcionan orientaciones sobre lo que se debe hacer cuando surgen controversias en las comunidades acerca del </w:t>
      </w:r>
      <w:r w:rsidRPr="00CE4F9B">
        <w:rPr>
          <w:lang w:val="es-ES"/>
        </w:rPr>
        <w:lastRenderedPageBreak/>
        <w:t>consentimiento otorgado para la realización de actividades de salvaguardia o de otro tipo relacionadas con su PCI. La manera de obtener el consentimiento puede variar según los casos. Los Estados Partes pueden presentar expedientes de candidatura con el consentimiento de las com</w:t>
      </w:r>
      <w:r w:rsidR="004451A9" w:rsidRPr="00CE4F9B">
        <w:rPr>
          <w:lang w:val="es-ES"/>
        </w:rPr>
        <w:t>unidades consignado por escrito,</w:t>
      </w:r>
      <w:r w:rsidRPr="00CE4F9B">
        <w:rPr>
          <w:lang w:val="es-ES"/>
        </w:rPr>
        <w:t xml:space="preserve"> o </w:t>
      </w:r>
      <w:r w:rsidR="004451A9" w:rsidRPr="00CE4F9B">
        <w:rPr>
          <w:lang w:val="es-ES"/>
        </w:rPr>
        <w:t>por medios</w:t>
      </w:r>
      <w:r w:rsidRPr="00CE4F9B">
        <w:rPr>
          <w:lang w:val="es-ES"/>
        </w:rPr>
        <w:t xml:space="preserve"> audiovisual</w:t>
      </w:r>
      <w:r w:rsidR="004451A9" w:rsidRPr="00CE4F9B">
        <w:rPr>
          <w:lang w:val="es-ES"/>
        </w:rPr>
        <w:t>es</w:t>
      </w:r>
      <w:r w:rsidRPr="00CE4F9B">
        <w:rPr>
          <w:lang w:val="es-ES"/>
        </w:rPr>
        <w:t>. Es preferible utilizar est</w:t>
      </w:r>
      <w:r w:rsidR="004451A9" w:rsidRPr="00CE4F9B">
        <w:rPr>
          <w:lang w:val="es-ES"/>
        </w:rPr>
        <w:t>o</w:t>
      </w:r>
      <w:r w:rsidRPr="00CE4F9B">
        <w:rPr>
          <w:lang w:val="es-ES"/>
        </w:rPr>
        <w:t xml:space="preserve"> último</w:t>
      </w:r>
      <w:r w:rsidR="004451A9" w:rsidRPr="00CE4F9B">
        <w:rPr>
          <w:lang w:val="es-ES"/>
        </w:rPr>
        <w:t>s</w:t>
      </w:r>
      <w:r w:rsidRPr="00CE4F9B">
        <w:rPr>
          <w:lang w:val="es-ES"/>
        </w:rPr>
        <w:t xml:space="preserve"> medio</w:t>
      </w:r>
      <w:r w:rsidR="004451A9" w:rsidRPr="00CE4F9B">
        <w:rPr>
          <w:lang w:val="es-ES"/>
        </w:rPr>
        <w:t>s</w:t>
      </w:r>
      <w:r w:rsidRPr="00CE4F9B">
        <w:rPr>
          <w:lang w:val="es-ES"/>
        </w:rPr>
        <w:t xml:space="preserve"> cuando las comunidades interesadas se sienten más cómodas otorgando un consentimiento verbal.</w:t>
      </w:r>
    </w:p>
    <w:p w:rsidR="008C0B71" w:rsidRPr="00CE4F9B" w:rsidRDefault="00CD1900" w:rsidP="008C0B71">
      <w:pPr>
        <w:pStyle w:val="Heading4"/>
        <w:rPr>
          <w:lang w:val="es-ES"/>
        </w:rPr>
      </w:pPr>
      <w:r w:rsidRPr="00CE4F9B">
        <w:rPr>
          <w:lang w:val="es-ES"/>
        </w:rPr>
        <w:t>denegación del consentimiento</w:t>
      </w:r>
    </w:p>
    <w:p w:rsidR="008C0B71" w:rsidRPr="00CE4F9B" w:rsidRDefault="009F7C53" w:rsidP="008C0B71">
      <w:pPr>
        <w:pStyle w:val="Texte1"/>
        <w:rPr>
          <w:lang w:val="es-ES"/>
        </w:rPr>
      </w:pPr>
      <w:r w:rsidRPr="00CE4F9B">
        <w:rPr>
          <w:lang w:val="es-ES"/>
        </w:rPr>
        <w:t xml:space="preserve">Cuando una comunidad acuerda en su conjunto que no está dispuesta a otorgar su consentimiento a una acción propuesta en el marco de la aplicación de la Convención (por ejemplo, la presentación de la candidatura de un elemento de su PCI o la inclusión de éste en un inventario), </w:t>
      </w:r>
      <w:r w:rsidR="00CD1900" w:rsidRPr="00CE4F9B">
        <w:rPr>
          <w:lang w:val="es-ES"/>
        </w:rPr>
        <w:t>esa acción se debe cancelar pura y simplemente</w:t>
      </w:r>
      <w:r w:rsidR="008C0B71" w:rsidRPr="00CE4F9B">
        <w:rPr>
          <w:lang w:val="es-ES"/>
        </w:rPr>
        <w:t xml:space="preserve">. </w:t>
      </w:r>
      <w:r w:rsidR="00CD1900" w:rsidRPr="00CE4F9B">
        <w:rPr>
          <w:lang w:val="es-ES"/>
        </w:rPr>
        <w:t>En Bras</w:t>
      </w:r>
      <w:r w:rsidR="008C0B71" w:rsidRPr="00CE4F9B">
        <w:rPr>
          <w:lang w:val="es-ES"/>
        </w:rPr>
        <w:t>il</w:t>
      </w:r>
      <w:r w:rsidR="00CD1900" w:rsidRPr="00CE4F9B">
        <w:rPr>
          <w:lang w:val="es-ES"/>
        </w:rPr>
        <w:t>, por ejemplo, se han dado varios casos de comunidades que se han negado a que elementos de su PCI se incluyeran en el inventario nacional del patrimonio cultural y, a pesar de todo el trabajo que ya se había realizado para documentar esos elementos, se acordó que no se incorporarían a dicho inventario</w:t>
      </w:r>
      <w:r w:rsidR="008C0B71" w:rsidRPr="00CE4F9B">
        <w:rPr>
          <w:lang w:val="es-ES"/>
        </w:rPr>
        <w:t>.</w:t>
      </w:r>
    </w:p>
    <w:p w:rsidR="008C0B71" w:rsidRPr="00CE4F9B" w:rsidRDefault="00CD1900" w:rsidP="008C0B71">
      <w:pPr>
        <w:pStyle w:val="Heading4"/>
        <w:rPr>
          <w:lang w:val="es-ES"/>
        </w:rPr>
      </w:pPr>
      <w:r w:rsidRPr="00CE4F9B">
        <w:rPr>
          <w:lang w:val="es-ES"/>
        </w:rPr>
        <w:t>desacue</w:t>
      </w:r>
      <w:r w:rsidR="003841B2" w:rsidRPr="00CE4F9B">
        <w:rPr>
          <w:lang w:val="es-ES"/>
        </w:rPr>
        <w:t>r</w:t>
      </w:r>
      <w:r w:rsidRPr="00CE4F9B">
        <w:rPr>
          <w:lang w:val="es-ES"/>
        </w:rPr>
        <w:t>dos en el seno de las comunidades</w:t>
      </w:r>
    </w:p>
    <w:p w:rsidR="008C0B71" w:rsidRPr="00CE4F9B" w:rsidRDefault="00CD1900" w:rsidP="008C0B71">
      <w:pPr>
        <w:pStyle w:val="Texte1"/>
        <w:rPr>
          <w:lang w:val="es-ES"/>
        </w:rPr>
      </w:pPr>
      <w:r w:rsidRPr="00CE4F9B">
        <w:rPr>
          <w:lang w:val="es-ES"/>
        </w:rPr>
        <w:t xml:space="preserve">Puede surgir el problema de que algunos miembros de la comunidad estén dispuestos a </w:t>
      </w:r>
      <w:r w:rsidR="004451A9" w:rsidRPr="00CE4F9B">
        <w:rPr>
          <w:noProof/>
          <w:lang w:val="es-ES_tradnl" w:eastAsia="es-ES_tradnl"/>
        </w:rPr>
        <w:drawing>
          <wp:anchor distT="0" distB="0" distL="114300" distR="114300" simplePos="0" relativeHeight="251675648" behindDoc="0" locked="1" layoutInCell="1" allowOverlap="0">
            <wp:simplePos x="0" y="0"/>
            <wp:positionH relativeFrom="column">
              <wp:posOffset>635</wp:posOffset>
            </wp:positionH>
            <wp:positionV relativeFrom="paragraph">
              <wp:posOffset>0</wp:posOffset>
            </wp:positionV>
            <wp:extent cx="281305" cy="357505"/>
            <wp:effectExtent l="19050" t="0" r="4445" b="0"/>
            <wp:wrapThrough wrapText="bothSides">
              <wp:wrapPolygon edited="0">
                <wp:start x="-1463" y="0"/>
                <wp:lineTo x="-1463" y="20718"/>
                <wp:lineTo x="21941" y="20718"/>
                <wp:lineTo x="21941" y="0"/>
                <wp:lineTo x="-1463" y="0"/>
              </wp:wrapPolygon>
            </wp:wrapThrough>
            <wp:docPr id="118" name="Imag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1">
                      <a:extLst>
                        <a:ext uri="{28A0092B-C50C-407E-A947-70E740481C1C}">
                          <a14:useLocalDpi xmlns:a14="http://schemas.microsoft.com/office/drawing/2010/main" val="0"/>
                        </a:ext>
                      </a:extLst>
                    </a:blip>
                    <a:stretch>
                      <a:fillRect/>
                    </a:stretch>
                  </pic:blipFill>
                  <pic:spPr>
                    <a:xfrm>
                      <a:off x="0" y="0"/>
                      <a:ext cx="281305" cy="357505"/>
                    </a:xfrm>
                    <a:prstGeom prst="rect">
                      <a:avLst/>
                    </a:prstGeom>
                  </pic:spPr>
                </pic:pic>
              </a:graphicData>
            </a:graphic>
          </wp:anchor>
        </w:drawing>
      </w:r>
      <w:r w:rsidRPr="00CE4F9B">
        <w:rPr>
          <w:lang w:val="es-ES"/>
        </w:rPr>
        <w:t>otorgar su consentimiento y otros no</w:t>
      </w:r>
      <w:r w:rsidR="008C0B71" w:rsidRPr="00CE4F9B">
        <w:rPr>
          <w:lang w:val="es-ES"/>
        </w:rPr>
        <w:t xml:space="preserve">. </w:t>
      </w:r>
      <w:r w:rsidR="003841B2" w:rsidRPr="00CE4F9B">
        <w:rPr>
          <w:lang w:val="es-ES"/>
        </w:rPr>
        <w:t>Cuando haya desacuerdos importantes en el seno de las comunidades interesadas, lo mejor es esperar hasta que se solventen y no proseguir con aquellas actividades para las que se requiere su consentimiento</w:t>
      </w:r>
      <w:r w:rsidR="004451A9" w:rsidRPr="00CE4F9B">
        <w:rPr>
          <w:lang w:val="es-ES"/>
        </w:rPr>
        <w:t xml:space="preserve"> explícito o implícito, </w:t>
      </w:r>
      <w:r w:rsidR="007F4896" w:rsidRPr="00CE4F9B">
        <w:rPr>
          <w:lang w:val="es-ES"/>
        </w:rPr>
        <w:t>a saber</w:t>
      </w:r>
      <w:r w:rsidR="004451A9" w:rsidRPr="00CE4F9B">
        <w:rPr>
          <w:lang w:val="es-ES"/>
        </w:rPr>
        <w:t>:</w:t>
      </w:r>
      <w:r w:rsidR="003841B2" w:rsidRPr="00CE4F9B">
        <w:rPr>
          <w:lang w:val="es-ES"/>
        </w:rPr>
        <w:t xml:space="preserve"> la identificación, la confección de inventarios, la elaboración de candidaturas, la salvaguardia y la sensibilización al valor e importancia del PCI.</w:t>
      </w:r>
      <w:r w:rsidR="008C0B71" w:rsidRPr="00CE4F9B">
        <w:rPr>
          <w:lang w:val="es-ES"/>
        </w:rPr>
        <w:t xml:space="preserve"> </w:t>
      </w:r>
      <w:r w:rsidR="003841B2" w:rsidRPr="00CE4F9B">
        <w:rPr>
          <w:lang w:val="es-ES"/>
        </w:rPr>
        <w:t>Cabe señalar, por otra parte, que las comunidades, grupos e individuos pueden en cualquier momento retirar el consentimiento que hayan otorgado para la presentación de la candidatura de un elemento o para su inscripción en una de las Listas de la Convención</w:t>
      </w:r>
      <w:r w:rsidR="008C0B71" w:rsidRPr="00CE4F9B">
        <w:rPr>
          <w:lang w:val="es-ES"/>
        </w:rPr>
        <w:t>.</w:t>
      </w:r>
      <w:r w:rsidR="003841B2" w:rsidRPr="00CE4F9B">
        <w:rPr>
          <w:lang w:val="es-ES"/>
        </w:rPr>
        <w:t xml:space="preserve"> </w:t>
      </w:r>
    </w:p>
    <w:p w:rsidR="008C0B71" w:rsidRPr="00CE4F9B" w:rsidRDefault="008C0B71" w:rsidP="008C0B71">
      <w:pPr>
        <w:pStyle w:val="Titcoul"/>
        <w:rPr>
          <w:lang w:val="es-ES"/>
        </w:rPr>
      </w:pPr>
      <w:bookmarkStart w:id="46" w:name="_Toc241229712"/>
      <w:bookmarkStart w:id="47" w:name="_Toc241229916"/>
      <w:bookmarkStart w:id="48" w:name="_Toc242165610"/>
      <w:r w:rsidRPr="00CE4F9B">
        <w:rPr>
          <w:lang w:val="es-ES"/>
        </w:rPr>
        <w:t>7.12</w:t>
      </w:r>
      <w:r w:rsidRPr="00CE4F9B">
        <w:rPr>
          <w:lang w:val="es-ES"/>
        </w:rPr>
        <w:tab/>
      </w:r>
      <w:bookmarkEnd w:id="46"/>
      <w:bookmarkEnd w:id="47"/>
      <w:bookmarkEnd w:id="48"/>
      <w:r w:rsidR="003841B2" w:rsidRPr="00CE4F9B">
        <w:rPr>
          <w:rFonts w:eastAsia="MS Gothic"/>
          <w:lang w:val="es-ES"/>
        </w:rPr>
        <w:t>Proteger los derechos de las comunidades y garantizar que se beneficien</w:t>
      </w:r>
      <w:r w:rsidR="009A42E7" w:rsidRPr="00CE4F9B">
        <w:rPr>
          <w:rFonts w:eastAsia="MS Gothic"/>
          <w:lang w:val="es-ES"/>
        </w:rPr>
        <w:t xml:space="preserve"> de ellos</w:t>
      </w:r>
    </w:p>
    <w:p w:rsidR="008C0B71" w:rsidRPr="00CE4F9B" w:rsidRDefault="008C0B71" w:rsidP="008C0B71">
      <w:pPr>
        <w:pStyle w:val="Informations"/>
        <w:rPr>
          <w:lang w:val="es-ES"/>
        </w:rPr>
      </w:pPr>
      <w:r w:rsidRPr="00CE4F9B">
        <w:rPr>
          <w:i w:val="0"/>
          <w:iCs w:val="0"/>
          <w:noProof/>
          <w:lang w:val="es-ES_tradnl" w:eastAsia="es-ES_tradnl"/>
        </w:rPr>
        <w:drawing>
          <wp:anchor distT="0" distB="0" distL="114300" distR="114300" simplePos="0" relativeHeight="251666432" behindDoc="0" locked="1" layoutInCell="1" allowOverlap="0">
            <wp:simplePos x="0" y="0"/>
            <wp:positionH relativeFrom="column">
              <wp:posOffset>0</wp:posOffset>
            </wp:positionH>
            <wp:positionV relativeFrom="paragraph">
              <wp:posOffset>-71755</wp:posOffset>
            </wp:positionV>
            <wp:extent cx="283210" cy="358775"/>
            <wp:effectExtent l="19050" t="0" r="2540" b="0"/>
            <wp:wrapThrough wrapText="bothSides">
              <wp:wrapPolygon edited="0">
                <wp:start x="-1453" y="0"/>
                <wp:lineTo x="-1453" y="20644"/>
                <wp:lineTo x="21794" y="20644"/>
                <wp:lineTo x="21794" y="0"/>
                <wp:lineTo x="-1453" y="0"/>
              </wp:wrapPolygon>
            </wp:wrapThrough>
            <wp:docPr id="2"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
                    <pic:cNvPicPr>
                      <a:picLocks noChangeAspect="1" noChangeArrowheads="1"/>
                    </pic:cNvPicPr>
                  </pic:nvPicPr>
                  <pic:blipFill>
                    <a:blip r:embed="rId10"/>
                    <a:srcRect/>
                    <a:stretch>
                      <a:fillRect/>
                    </a:stretch>
                  </pic:blipFill>
                  <pic:spPr bwMode="auto">
                    <a:xfrm>
                      <a:off x="0" y="0"/>
                      <a:ext cx="283210" cy="358775"/>
                    </a:xfrm>
                    <a:prstGeom prst="rect">
                      <a:avLst/>
                    </a:prstGeom>
                    <a:noFill/>
                    <a:ln w="9525">
                      <a:noFill/>
                      <a:miter lim="800000"/>
                      <a:headEnd/>
                      <a:tailEnd/>
                    </a:ln>
                  </pic:spPr>
                </pic:pic>
              </a:graphicData>
            </a:graphic>
          </wp:anchor>
        </w:drawing>
      </w:r>
      <w:r w:rsidR="003841B2" w:rsidRPr="00CE4F9B">
        <w:rPr>
          <w:lang w:val="es-ES"/>
        </w:rPr>
        <w:t>Véase el examen de la cuesti</w:t>
      </w:r>
      <w:r w:rsidR="00582EE2" w:rsidRPr="00CE4F9B">
        <w:rPr>
          <w:lang w:val="es-ES"/>
        </w:rPr>
        <w:t>ón de los derechos de propiedad intelectual en el Texto para el Participante de la Unidad 3</w:t>
      </w:r>
      <w:r w:rsidRPr="00CE4F9B">
        <w:rPr>
          <w:lang w:val="es-ES"/>
        </w:rPr>
        <w:t>.</w:t>
      </w:r>
    </w:p>
    <w:p w:rsidR="008C0B71" w:rsidRPr="00CE4F9B" w:rsidRDefault="0051211B" w:rsidP="008C0B71">
      <w:pPr>
        <w:pStyle w:val="Texte1"/>
        <w:rPr>
          <w:lang w:val="es-ES"/>
        </w:rPr>
      </w:pPr>
      <w:r w:rsidRPr="00CE4F9B">
        <w:rPr>
          <w:lang w:val="es-ES"/>
        </w:rPr>
        <w:t xml:space="preserve">En la </w:t>
      </w:r>
      <w:r w:rsidR="008C0B71" w:rsidRPr="00CE4F9B">
        <w:rPr>
          <w:lang w:val="es-ES"/>
        </w:rPr>
        <w:t xml:space="preserve">DO 81 </w:t>
      </w:r>
      <w:r w:rsidR="00BE7C5B" w:rsidRPr="00CE4F9B">
        <w:rPr>
          <w:rFonts w:ascii="MyriadPro-Light" w:hAnsi="MyriadPro-Light" w:cs="MyriadPro-Light"/>
          <w:lang w:val="es-ES" w:eastAsia="fr-FR"/>
        </w:rPr>
        <w:t>Se alienta a los Estados partes a “sensibilizar a las comunidades […] a la importancia y el valor de su patrimonio cultural inmaterial, así como de la Convención, para que los poseedores de ese patrimonio puedan beneficiarse plenamente de dicho instrumento normativo”.</w:t>
      </w:r>
      <w:r w:rsidR="008C0B71" w:rsidRPr="00CE4F9B">
        <w:rPr>
          <w:lang w:val="es-ES"/>
        </w:rPr>
        <w:t xml:space="preserve"> </w:t>
      </w:r>
      <w:r w:rsidR="00CC36FB" w:rsidRPr="00CE4F9B">
        <w:rPr>
          <w:lang w:val="es-ES"/>
        </w:rPr>
        <w:t>Asimismo, en la</w:t>
      </w:r>
      <w:r w:rsidR="007F2D5E" w:rsidRPr="00CE4F9B">
        <w:rPr>
          <w:lang w:val="es-ES"/>
        </w:rPr>
        <w:t xml:space="preserve"> DO </w:t>
      </w:r>
      <w:r w:rsidR="00CC36FB" w:rsidRPr="00CE4F9B">
        <w:rPr>
          <w:lang w:val="es-ES"/>
        </w:rPr>
        <w:t xml:space="preserve">104 </w:t>
      </w:r>
      <w:r w:rsidR="007F2D5E" w:rsidRPr="00CE4F9B">
        <w:rPr>
          <w:lang w:val="es-ES"/>
        </w:rPr>
        <w:t xml:space="preserve">se alienta </w:t>
      </w:r>
      <w:r w:rsidR="00D2526E" w:rsidRPr="00CE4F9B">
        <w:rPr>
          <w:lang w:val="es-ES"/>
        </w:rPr>
        <w:t xml:space="preserve">también </w:t>
      </w:r>
      <w:r w:rsidR="007F2D5E" w:rsidRPr="00CE4F9B">
        <w:rPr>
          <w:lang w:val="es-ES"/>
        </w:rPr>
        <w:t>a los Estados Partes a garantizar</w:t>
      </w:r>
      <w:r w:rsidR="008C0B71" w:rsidRPr="00CE4F9B">
        <w:rPr>
          <w:lang w:val="es-ES"/>
        </w:rPr>
        <w:t>:</w:t>
      </w:r>
    </w:p>
    <w:p w:rsidR="008C0B71" w:rsidRPr="00CE4F9B" w:rsidRDefault="007F2D5E" w:rsidP="008C0B71">
      <w:pPr>
        <w:pStyle w:val="citation"/>
        <w:rPr>
          <w:lang w:val="es-ES"/>
        </w:rPr>
      </w:pPr>
      <w:r w:rsidRPr="00CE4F9B">
        <w:rPr>
          <w:lang w:val="es-ES"/>
        </w:rPr>
        <w:t>“[</w:t>
      </w:r>
      <w:r w:rsidR="00D2526E" w:rsidRPr="00CE4F9B">
        <w:rPr>
          <w:lang w:val="es-ES"/>
        </w:rPr>
        <w:t xml:space="preserve">a esforzarse por amparar debidamente] mediante la aplicación, en particular, de los derechos de propiedad intelectual, del derecho al respeto de la vida privada y de cualquier otra forma apropiada de protección jurídica, los derechos de las comunidades, los grupos y los individuos que crean, detentan y transmiten su </w:t>
      </w:r>
      <w:r w:rsidR="00D2526E" w:rsidRPr="00CE4F9B">
        <w:rPr>
          <w:lang w:val="es-ES"/>
        </w:rPr>
        <w:lastRenderedPageBreak/>
        <w:t>patrimonio cultural inmaterial, cuando se realicen actividades de sensibilización a ese patrimonio o se emprendan actividades comerciales.”</w:t>
      </w:r>
    </w:p>
    <w:p w:rsidR="008C0B71" w:rsidRPr="00CE4F9B" w:rsidRDefault="0051211B" w:rsidP="008C0B71">
      <w:pPr>
        <w:pStyle w:val="Texte1"/>
        <w:rPr>
          <w:lang w:val="es-ES"/>
        </w:rPr>
      </w:pPr>
      <w:r w:rsidRPr="00CE4F9B">
        <w:rPr>
          <w:lang w:val="es-ES"/>
        </w:rPr>
        <w:t>Es sumamente variada la índole de los beneficios que la práctica y la transmisión del</w:t>
      </w:r>
      <w:r w:rsidR="00CC36FB" w:rsidRPr="00CE4F9B">
        <w:rPr>
          <w:lang w:val="es-ES"/>
        </w:rPr>
        <w:t xml:space="preserve"> PCI reportan a las comunidades, pero esta cuestión</w:t>
      </w:r>
      <w:r w:rsidRPr="00CE4F9B">
        <w:rPr>
          <w:lang w:val="es-ES"/>
        </w:rPr>
        <w:t xml:space="preserve"> no se examina aquí</w:t>
      </w:r>
      <w:r w:rsidR="008C0B71" w:rsidRPr="00CE4F9B">
        <w:rPr>
          <w:lang w:val="es-ES"/>
        </w:rPr>
        <w:t>.</w:t>
      </w:r>
    </w:p>
    <w:p w:rsidR="008C0B71" w:rsidRPr="00CE4F9B" w:rsidRDefault="008C0B71" w:rsidP="008C0B71">
      <w:pPr>
        <w:pStyle w:val="Texte1"/>
        <w:rPr>
          <w:i/>
          <w:lang w:val="es-ES"/>
        </w:rPr>
      </w:pPr>
      <w:r w:rsidRPr="00CE4F9B">
        <w:rPr>
          <w:noProof/>
          <w:lang w:val="es-ES_tradnl" w:eastAsia="es-ES_tradnl"/>
        </w:rPr>
        <w:drawing>
          <wp:anchor distT="0" distB="0" distL="114300" distR="114300" simplePos="0" relativeHeight="251670528" behindDoc="0" locked="1" layoutInCell="1" allowOverlap="0">
            <wp:simplePos x="0" y="0"/>
            <wp:positionH relativeFrom="column">
              <wp:posOffset>3175</wp:posOffset>
            </wp:positionH>
            <wp:positionV relativeFrom="paragraph">
              <wp:posOffset>-38735</wp:posOffset>
            </wp:positionV>
            <wp:extent cx="283210" cy="357505"/>
            <wp:effectExtent l="19050" t="0" r="2540" b="0"/>
            <wp:wrapThrough wrapText="bothSides">
              <wp:wrapPolygon edited="0">
                <wp:start x="-1453" y="0"/>
                <wp:lineTo x="-1453" y="20718"/>
                <wp:lineTo x="21794" y="20718"/>
                <wp:lineTo x="21794" y="0"/>
                <wp:lineTo x="-1453" y="0"/>
              </wp:wrapPolygon>
            </wp:wrapThrough>
            <wp:docPr id="12" name="Imag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4"/>
                    <pic:cNvPicPr>
                      <a:picLocks noChangeAspect="1" noChangeArrowheads="1"/>
                    </pic:cNvPicPr>
                  </pic:nvPicPr>
                  <pic:blipFill>
                    <a:blip r:embed="rId10"/>
                    <a:srcRect/>
                    <a:stretch>
                      <a:fillRect/>
                    </a:stretch>
                  </pic:blipFill>
                  <pic:spPr bwMode="auto">
                    <a:xfrm>
                      <a:off x="0" y="0"/>
                      <a:ext cx="283210" cy="357505"/>
                    </a:xfrm>
                    <a:prstGeom prst="rect">
                      <a:avLst/>
                    </a:prstGeom>
                    <a:noFill/>
                    <a:ln w="9525">
                      <a:noFill/>
                      <a:miter lim="800000"/>
                      <a:headEnd/>
                      <a:tailEnd/>
                    </a:ln>
                  </pic:spPr>
                </pic:pic>
              </a:graphicData>
            </a:graphic>
          </wp:anchor>
        </w:drawing>
      </w:r>
      <w:r w:rsidR="00582EE2" w:rsidRPr="00CE4F9B">
        <w:rPr>
          <w:lang w:val="es-ES"/>
        </w:rPr>
        <w:t xml:space="preserve">En el Texto para el Participante de la Unidad </w:t>
      </w:r>
      <w:r w:rsidRPr="00CE4F9B">
        <w:rPr>
          <w:lang w:val="es-ES"/>
        </w:rPr>
        <w:t xml:space="preserve">8 </w:t>
      </w:r>
      <w:r w:rsidR="007F2D5E" w:rsidRPr="00CE4F9B">
        <w:rPr>
          <w:lang w:val="es-ES"/>
        </w:rPr>
        <w:t>se examina la cuestión de los ingresos obtenidos gracias a las actividades de sensibilización al valor e importancia</w:t>
      </w:r>
      <w:r w:rsidR="009A42E7" w:rsidRPr="00CE4F9B">
        <w:rPr>
          <w:lang w:val="es-ES"/>
        </w:rPr>
        <w:t xml:space="preserve"> del PCI de una ciudad o región –</w:t>
      </w:r>
      <w:r w:rsidR="007F2D5E" w:rsidRPr="00CE4F9B">
        <w:rPr>
          <w:lang w:val="es-ES"/>
        </w:rPr>
        <w:t xml:space="preserve">que </w:t>
      </w:r>
      <w:r w:rsidR="009A42E7" w:rsidRPr="00CE4F9B">
        <w:rPr>
          <w:lang w:val="es-ES"/>
        </w:rPr>
        <w:t>pueden traer</w:t>
      </w:r>
      <w:r w:rsidR="007F2D5E" w:rsidRPr="00CE4F9B">
        <w:rPr>
          <w:lang w:val="es-ES"/>
        </w:rPr>
        <w:t xml:space="preserve"> consigo, por ejemplo,</w:t>
      </w:r>
      <w:r w:rsidRPr="00CE4F9B">
        <w:rPr>
          <w:lang w:val="es-ES"/>
        </w:rPr>
        <w:t xml:space="preserve"> </w:t>
      </w:r>
      <w:r w:rsidR="007F2D5E" w:rsidRPr="00CE4F9B">
        <w:rPr>
          <w:lang w:val="es-ES"/>
        </w:rPr>
        <w:t>un aumento del turismo</w:t>
      </w:r>
      <w:r w:rsidR="009A42E7" w:rsidRPr="00CE4F9B">
        <w:rPr>
          <w:lang w:val="es-ES"/>
        </w:rPr>
        <w:t>–</w:t>
      </w:r>
      <w:r w:rsidR="007F2D5E" w:rsidRPr="00CE4F9B">
        <w:rPr>
          <w:lang w:val="es-ES"/>
        </w:rPr>
        <w:t xml:space="preserve"> o gracias a la comercialización de productos artesanales y de conocimientos poseídos por las comunidades</w:t>
      </w:r>
      <w:r w:rsidRPr="00CE4F9B">
        <w:rPr>
          <w:lang w:val="es-ES"/>
        </w:rPr>
        <w:t>.</w:t>
      </w:r>
    </w:p>
    <w:p w:rsidR="008C0B71" w:rsidRPr="00CE4F9B" w:rsidRDefault="00582EE2" w:rsidP="008C0B71">
      <w:pPr>
        <w:pStyle w:val="Texte1"/>
        <w:rPr>
          <w:lang w:val="es-ES"/>
        </w:rPr>
      </w:pPr>
      <w:r w:rsidRPr="00CE4F9B">
        <w:rPr>
          <w:lang w:val="es-ES"/>
        </w:rPr>
        <w:t>Algunos países han elaborado ya una legislación nacional para proteger los derechos de propiedad intelectual (DPI) de las comunidades sobre su PCI (a veces designado con los término</w:t>
      </w:r>
      <w:r w:rsidR="009A42E7" w:rsidRPr="00CE4F9B">
        <w:rPr>
          <w:lang w:val="es-ES"/>
        </w:rPr>
        <w:t xml:space="preserve">s “expresiones tradicionales”, </w:t>
      </w:r>
      <w:r w:rsidRPr="00CE4F9B">
        <w:rPr>
          <w:lang w:val="es-ES"/>
        </w:rPr>
        <w:t>“expresiones populares”</w:t>
      </w:r>
      <w:r w:rsidR="009A42E7" w:rsidRPr="00CE4F9B">
        <w:rPr>
          <w:lang w:val="es-ES"/>
        </w:rPr>
        <w:t xml:space="preserve"> o “expresiones folclóricas”</w:t>
      </w:r>
      <w:r w:rsidRPr="00CE4F9B">
        <w:rPr>
          <w:lang w:val="es-ES"/>
        </w:rPr>
        <w:t>).</w:t>
      </w:r>
      <w:r w:rsidR="008C0B71" w:rsidRPr="00CE4F9B">
        <w:rPr>
          <w:lang w:val="es-ES"/>
        </w:rPr>
        <w:t xml:space="preserve"> </w:t>
      </w:r>
    </w:p>
    <w:p w:rsidR="008C0B71" w:rsidRPr="00CE4F9B" w:rsidRDefault="00582EE2" w:rsidP="008C0B71">
      <w:pPr>
        <w:pStyle w:val="Informations"/>
        <w:rPr>
          <w:lang w:val="es-ES"/>
        </w:rPr>
      </w:pPr>
      <w:r w:rsidRPr="00CE4F9B">
        <w:rPr>
          <w:lang w:val="es-ES"/>
        </w:rPr>
        <w:t>En el Texto para el Participante de la Unidad 10 se puede hallar más información sobre la protección de los derechos de propiedad intelectual vinculados al PCI a nivel nacional, regional e internacional</w:t>
      </w:r>
      <w:r w:rsidR="008C0B71" w:rsidRPr="00CE4F9B">
        <w:rPr>
          <w:i w:val="0"/>
          <w:iCs w:val="0"/>
          <w:noProof/>
          <w:lang w:val="es-ES_tradnl" w:eastAsia="es-ES_tradnl"/>
        </w:rPr>
        <w:drawing>
          <wp:anchor distT="0" distB="0" distL="114300" distR="114300" simplePos="0" relativeHeight="251668480" behindDoc="0" locked="1" layoutInCell="1" allowOverlap="0">
            <wp:simplePos x="0" y="0"/>
            <wp:positionH relativeFrom="column">
              <wp:posOffset>3175</wp:posOffset>
            </wp:positionH>
            <wp:positionV relativeFrom="paragraph">
              <wp:posOffset>-60325</wp:posOffset>
            </wp:positionV>
            <wp:extent cx="283210" cy="357505"/>
            <wp:effectExtent l="19050" t="0" r="2540" b="0"/>
            <wp:wrapThrough wrapText="bothSides">
              <wp:wrapPolygon edited="0">
                <wp:start x="-1453" y="0"/>
                <wp:lineTo x="-1453" y="20718"/>
                <wp:lineTo x="21794" y="20718"/>
                <wp:lineTo x="21794" y="0"/>
                <wp:lineTo x="-1453" y="0"/>
              </wp:wrapPolygon>
            </wp:wrapThrough>
            <wp:docPr id="1" name="Imag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3"/>
                    <pic:cNvPicPr>
                      <a:picLocks noChangeAspect="1" noChangeArrowheads="1"/>
                    </pic:cNvPicPr>
                  </pic:nvPicPr>
                  <pic:blipFill>
                    <a:blip r:embed="rId10"/>
                    <a:srcRect/>
                    <a:stretch>
                      <a:fillRect/>
                    </a:stretch>
                  </pic:blipFill>
                  <pic:spPr bwMode="auto">
                    <a:xfrm>
                      <a:off x="0" y="0"/>
                      <a:ext cx="283210" cy="357505"/>
                    </a:xfrm>
                    <a:prstGeom prst="rect">
                      <a:avLst/>
                    </a:prstGeom>
                    <a:noFill/>
                    <a:ln w="9525">
                      <a:noFill/>
                      <a:miter lim="800000"/>
                      <a:headEnd/>
                      <a:tailEnd/>
                    </a:ln>
                  </pic:spPr>
                </pic:pic>
              </a:graphicData>
            </a:graphic>
          </wp:anchor>
        </w:drawing>
      </w:r>
      <w:r w:rsidR="008C0B71" w:rsidRPr="00CE4F9B">
        <w:rPr>
          <w:lang w:val="es-ES"/>
        </w:rPr>
        <w:t>.</w:t>
      </w:r>
    </w:p>
    <w:sectPr w:rsidR="008C0B71" w:rsidRPr="00CE4F9B" w:rsidSect="00BA71D0">
      <w:headerReference w:type="even" r:id="rId12"/>
      <w:headerReference w:type="default" r:id="rId13"/>
      <w:footerReference w:type="even" r:id="rId14"/>
      <w:footerReference w:type="default" r:id="rId15"/>
      <w:headerReference w:type="first" r:id="rId16"/>
      <w:footerReference w:type="first" r:id="rId17"/>
      <w:footnotePr>
        <w:numRestart w:val="eachSect"/>
      </w:footnotePr>
      <w:type w:val="oddPage"/>
      <w:pgSz w:w="11905" w:h="16837" w:code="9"/>
      <w:pgMar w:top="1701" w:right="1531" w:bottom="1701" w:left="1531" w:header="720" w:footer="720" w:gutter="0"/>
      <w:pgNumType w:start="1"/>
      <w:cols w:space="720"/>
      <w:noEndnote/>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DF9651" w15:done="0"/>
  <w15:commentEx w15:paraId="3369F391" w15:done="0"/>
  <w15:commentEx w15:paraId="02B1C38B" w15:done="0"/>
  <w15:commentEx w15:paraId="3C5C1B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F02" w:rsidRDefault="00BA1F02" w:rsidP="000F4C6A">
      <w:r>
        <w:separator/>
      </w:r>
    </w:p>
    <w:p w:rsidR="00BA1F02" w:rsidRDefault="00BA1F02"/>
  </w:endnote>
  <w:endnote w:type="continuationSeparator" w:id="0">
    <w:p w:rsidR="00BA1F02" w:rsidRDefault="00BA1F02" w:rsidP="000F4C6A">
      <w:r>
        <w:continuationSeparator/>
      </w:r>
    </w:p>
    <w:p w:rsidR="00BA1F02" w:rsidRDefault="00BA1F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Gras">
    <w:altName w:val="Arial"/>
    <w:panose1 w:val="00000000000000000000"/>
    <w:charset w:val="00"/>
    <w:family w:val="roman"/>
    <w:notTrueType/>
    <w:pitch w:val="default"/>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Pro-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344" w:rsidRPr="00460B69" w:rsidRDefault="006B677D" w:rsidP="00225186">
    <w:pPr>
      <w:pStyle w:val="Footer"/>
      <w:rPr>
        <w:lang w:val="es-ES_tradnl"/>
      </w:rPr>
    </w:pPr>
    <w:r>
      <w:rPr>
        <w:noProof/>
        <w:lang w:val="es-ES_tradnl" w:eastAsia="es-ES_tradnl"/>
      </w:rPr>
      <w:drawing>
        <wp:anchor distT="0" distB="0" distL="114300" distR="114300" simplePos="0" relativeHeight="251995136" behindDoc="0" locked="0" layoutInCell="1" allowOverlap="1" wp14:anchorId="0E4BDD00" wp14:editId="0F6A01A6">
          <wp:simplePos x="0" y="0"/>
          <wp:positionH relativeFrom="column">
            <wp:posOffset>-56139</wp:posOffset>
          </wp:positionH>
          <wp:positionV relativeFrom="paragraph">
            <wp:posOffset>-192396</wp:posOffset>
          </wp:positionV>
          <wp:extent cx="827477" cy="6000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77" cy="600075"/>
                  </a:xfrm>
                  <a:prstGeom prst="rect">
                    <a:avLst/>
                  </a:prstGeom>
                </pic:spPr>
              </pic:pic>
            </a:graphicData>
          </a:graphic>
        </wp:anchor>
      </w:drawing>
    </w:r>
    <w:r w:rsidR="004D7344" w:rsidRPr="00460B69">
      <w:rPr>
        <w:rStyle w:val="PageNumber"/>
        <w:lang w:val="es-ES_tradnl"/>
      </w:rPr>
      <w:tab/>
    </w:r>
    <w:r w:rsidR="00460B69" w:rsidRPr="00460B69">
      <w:rPr>
        <w:lang w:val="es-ES_tradnl"/>
      </w:rPr>
      <w:t>© UNESCO • No se debe reproduc</w:t>
    </w:r>
    <w:r w:rsidR="00460B69">
      <w:rPr>
        <w:lang w:val="es-ES_tradnl"/>
      </w:rPr>
      <w:t>i</w:t>
    </w:r>
    <w:r w:rsidR="00460B69" w:rsidRPr="00460B69">
      <w:rPr>
        <w:lang w:val="es-ES_tradnl"/>
      </w:rPr>
      <w:t>r sin permiso</w:t>
    </w:r>
    <w:r w:rsidR="004D7344" w:rsidRPr="00460B69">
      <w:rPr>
        <w:lang w:val="es-ES_tradnl"/>
      </w:rPr>
      <w:t xml:space="preserve"> </w:t>
    </w:r>
    <w:r w:rsidR="004D7344" w:rsidRPr="00460B69">
      <w:rPr>
        <w:lang w:val="es-ES_tradnl"/>
      </w:rPr>
      <w:tab/>
    </w:r>
    <w:r w:rsidR="004D7344" w:rsidRPr="00CE4919">
      <w:rPr>
        <w:lang w:val="es-ES_tradnl"/>
      </w:rPr>
      <w:t>U0</w:t>
    </w:r>
    <w:r w:rsidR="00FD0D31" w:rsidRPr="00CE4919">
      <w:rPr>
        <w:lang w:val="es-ES_tradnl"/>
      </w:rPr>
      <w:t>07</w:t>
    </w:r>
    <w:r w:rsidR="002E13FF">
      <w:rPr>
        <w:lang w:val="es-ES_tradnl"/>
      </w:rPr>
      <w:t>-v1.1</w:t>
    </w:r>
    <w:r w:rsidR="004D7344" w:rsidRPr="00CE4919">
      <w:rPr>
        <w:lang w:val="es-ES_tradnl"/>
      </w:rPr>
      <w:t>-PT-E</w:t>
    </w:r>
    <w:r w:rsidR="00460B69" w:rsidRPr="00CE4919">
      <w:rPr>
        <w:lang w:val="es-ES_tradnl"/>
      </w:rPr>
      <w:t>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344" w:rsidRPr="00FD0D31" w:rsidRDefault="004D7344" w:rsidP="00CB334B">
    <w:pPr>
      <w:pStyle w:val="Footer"/>
      <w:rPr>
        <w:lang w:val="es-ES_tradnl"/>
      </w:rPr>
    </w:pPr>
    <w:r w:rsidRPr="00710D6B">
      <w:rPr>
        <w:lang w:val="es-ES_tradnl"/>
      </w:rPr>
      <w:t>U0</w:t>
    </w:r>
    <w:r w:rsidR="00710D6B" w:rsidRPr="00710D6B">
      <w:rPr>
        <w:lang w:val="es-ES_tradnl"/>
      </w:rPr>
      <w:t>07</w:t>
    </w:r>
    <w:r w:rsidR="002E13FF">
      <w:rPr>
        <w:lang w:val="es-ES_tradnl"/>
      </w:rPr>
      <w:t>-v1.1</w:t>
    </w:r>
    <w:r w:rsidRPr="00710D6B">
      <w:rPr>
        <w:lang w:val="es-ES_tradnl"/>
      </w:rPr>
      <w:t>-PT-E</w:t>
    </w:r>
    <w:r w:rsidR="00FD0D31" w:rsidRPr="00710D6B">
      <w:rPr>
        <w:lang w:val="es-ES_tradnl"/>
      </w:rPr>
      <w:t>S</w:t>
    </w:r>
    <w:r w:rsidRPr="00FD0D31">
      <w:rPr>
        <w:lang w:val="es-ES_tradnl"/>
      </w:rPr>
      <w:tab/>
    </w:r>
    <w:r w:rsidR="00FD0D31" w:rsidRPr="00460B69">
      <w:rPr>
        <w:lang w:val="es-ES_tradnl"/>
      </w:rPr>
      <w:t>© UNESCO • No se debe reproduc</w:t>
    </w:r>
    <w:r w:rsidR="00FD0D31">
      <w:rPr>
        <w:lang w:val="es-ES_tradnl"/>
      </w:rPr>
      <w:t>i</w:t>
    </w:r>
    <w:r w:rsidR="00FD0D31" w:rsidRPr="00460B69">
      <w:rPr>
        <w:lang w:val="es-ES_tradnl"/>
      </w:rPr>
      <w:t>r sin permiso</w:t>
    </w:r>
    <w:r w:rsidRPr="00FD0D31">
      <w:rPr>
        <w:lang w:val="es-ES_tradnl"/>
      </w:rPr>
      <w:tab/>
    </w:r>
    <w:r w:rsidR="006B677D">
      <w:rPr>
        <w:noProof/>
        <w:lang w:val="es-ES_tradnl" w:eastAsia="es-ES_tradnl"/>
      </w:rPr>
      <w:drawing>
        <wp:anchor distT="0" distB="0" distL="114300" distR="114300" simplePos="0" relativeHeight="251997184" behindDoc="0" locked="0" layoutInCell="1" allowOverlap="1">
          <wp:simplePos x="0" y="0"/>
          <wp:positionH relativeFrom="column">
            <wp:posOffset>4947920</wp:posOffset>
          </wp:positionH>
          <wp:positionV relativeFrom="paragraph">
            <wp:posOffset>-299720</wp:posOffset>
          </wp:positionV>
          <wp:extent cx="827477" cy="6000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77" cy="600075"/>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B69" w:rsidRPr="00460B69" w:rsidRDefault="006B677D" w:rsidP="00225186">
    <w:pPr>
      <w:pStyle w:val="Footer"/>
      <w:rPr>
        <w:lang w:val="es-ES_tradnl"/>
      </w:rPr>
    </w:pPr>
    <w:r>
      <w:rPr>
        <w:noProof/>
        <w:lang w:val="es-ES_tradnl" w:eastAsia="es-ES_tradnl"/>
      </w:rPr>
      <w:drawing>
        <wp:anchor distT="0" distB="0" distL="114300" distR="114300" simplePos="0" relativeHeight="251993088" behindDoc="0" locked="0" layoutInCell="1" allowOverlap="1" wp14:anchorId="54D346BF" wp14:editId="484DE32E">
          <wp:simplePos x="0" y="0"/>
          <wp:positionH relativeFrom="column">
            <wp:posOffset>4947920</wp:posOffset>
          </wp:positionH>
          <wp:positionV relativeFrom="paragraph">
            <wp:posOffset>-218351</wp:posOffset>
          </wp:positionV>
          <wp:extent cx="827405" cy="60007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05" cy="600075"/>
                  </a:xfrm>
                  <a:prstGeom prst="rect">
                    <a:avLst/>
                  </a:prstGeom>
                </pic:spPr>
              </pic:pic>
            </a:graphicData>
          </a:graphic>
        </wp:anchor>
      </w:drawing>
    </w:r>
    <w:r w:rsidR="002E13FF">
      <w:rPr>
        <w:lang w:val="es-ES_tradnl"/>
      </w:rPr>
      <w:t>U007-v1.1</w:t>
    </w:r>
    <w:r w:rsidR="00460B69" w:rsidRPr="00CE4919">
      <w:rPr>
        <w:lang w:val="es-ES_tradnl"/>
      </w:rPr>
      <w:t>-PT-E</w:t>
    </w:r>
    <w:r w:rsidR="00273F04" w:rsidRPr="00CE4919">
      <w:rPr>
        <w:lang w:val="es-ES_tradnl"/>
      </w:rPr>
      <w:t>S</w:t>
    </w:r>
    <w:r w:rsidR="00460B69" w:rsidRPr="00460B69">
      <w:rPr>
        <w:lang w:val="es-ES_tradnl"/>
      </w:rPr>
      <w:tab/>
      <w:t>© UNESCO • No se debe reproduc</w:t>
    </w:r>
    <w:r w:rsidR="00460B69">
      <w:rPr>
        <w:lang w:val="es-ES_tradnl"/>
      </w:rPr>
      <w:t>i</w:t>
    </w:r>
    <w:r w:rsidR="00460B69" w:rsidRPr="00460B69">
      <w:rPr>
        <w:lang w:val="es-ES_tradnl"/>
      </w:rPr>
      <w:t>r sin permiso</w:t>
    </w:r>
    <w:r w:rsidR="00460B69" w:rsidRPr="00460B69">
      <w:rPr>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F02" w:rsidRDefault="00BA1F02" w:rsidP="00117DDB">
      <w:pPr>
        <w:ind w:left="0"/>
      </w:pPr>
      <w:r>
        <w:separator/>
      </w:r>
    </w:p>
  </w:footnote>
  <w:footnote w:type="continuationSeparator" w:id="0">
    <w:p w:rsidR="00BA1F02" w:rsidRDefault="00BA1F02" w:rsidP="000F4C6A">
      <w:r>
        <w:continuationSeparator/>
      </w:r>
    </w:p>
    <w:p w:rsidR="00BA1F02" w:rsidRDefault="00BA1F02"/>
  </w:footnote>
  <w:footnote w:id="1">
    <w:p w:rsidR="008C0B71" w:rsidRPr="00EB381D" w:rsidRDefault="008C0B71" w:rsidP="008C0B71">
      <w:pPr>
        <w:pStyle w:val="FootnoteText"/>
        <w:rPr>
          <w:lang w:val="es-ES_tradnl"/>
        </w:rPr>
      </w:pPr>
      <w:r w:rsidRPr="00CE4F9B">
        <w:rPr>
          <w:rStyle w:val="FootnoteReference"/>
          <w:sz w:val="16"/>
          <w:szCs w:val="16"/>
          <w:vertAlign w:val="baseline"/>
          <w:lang w:val="es-ES_tradnl"/>
        </w:rPr>
        <w:t>1.</w:t>
      </w:r>
      <w:r w:rsidRPr="00CE4F9B">
        <w:rPr>
          <w:lang w:val="es-ES_tradnl"/>
        </w:rPr>
        <w:tab/>
      </w:r>
      <w:r w:rsidR="00EB381D" w:rsidRPr="00CE4F9B">
        <w:rPr>
          <w:lang w:val="es-ES"/>
        </w:rPr>
        <w:t>Frecuentemente denominada “Convención del Patrimonio Inmaterial” o “Convención de 2003” y, a los efectos de esta unidad, simplemente “Convención”.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344" w:rsidRPr="00FD0D31" w:rsidRDefault="00B21951">
    <w:pPr>
      <w:pStyle w:val="Header"/>
      <w:rPr>
        <w:lang w:val="es-ES_tradnl"/>
      </w:rPr>
    </w:pPr>
    <w:r>
      <w:rPr>
        <w:rStyle w:val="PageNumber"/>
      </w:rPr>
      <w:fldChar w:fldCharType="begin"/>
    </w:r>
    <w:r w:rsidR="004D7344" w:rsidRPr="00FD0D31">
      <w:rPr>
        <w:rStyle w:val="PageNumber"/>
        <w:lang w:val="es-ES_tradnl"/>
      </w:rPr>
      <w:instrText xml:space="preserve"> PAGE </w:instrText>
    </w:r>
    <w:r>
      <w:rPr>
        <w:rStyle w:val="PageNumber"/>
      </w:rPr>
      <w:fldChar w:fldCharType="separate"/>
    </w:r>
    <w:r w:rsidR="00225186">
      <w:rPr>
        <w:rStyle w:val="PageNumber"/>
        <w:noProof/>
        <w:lang w:val="es-ES_tradnl"/>
      </w:rPr>
      <w:t>12</w:t>
    </w:r>
    <w:r>
      <w:rPr>
        <w:rStyle w:val="PageNumber"/>
      </w:rPr>
      <w:fldChar w:fldCharType="end"/>
    </w:r>
    <w:r w:rsidR="004D7344" w:rsidRPr="00FD0D31">
      <w:rPr>
        <w:lang w:val="es-ES_tradnl"/>
      </w:rPr>
      <w:tab/>
    </w:r>
    <w:r w:rsidR="00460B69" w:rsidRPr="00FD0D31">
      <w:rPr>
        <w:szCs w:val="16"/>
        <w:lang w:val="es-ES_tradnl"/>
      </w:rPr>
      <w:t>Unidad</w:t>
    </w:r>
    <w:r w:rsidR="004D7344" w:rsidRPr="00FD0D31">
      <w:rPr>
        <w:szCs w:val="16"/>
        <w:lang w:val="es-ES_tradnl"/>
      </w:rPr>
      <w:t xml:space="preserve"> </w:t>
    </w:r>
    <w:r w:rsidR="00460B69" w:rsidRPr="00FD0D31">
      <w:rPr>
        <w:szCs w:val="16"/>
        <w:lang w:val="es-ES_tradnl"/>
      </w:rPr>
      <w:t>7</w:t>
    </w:r>
    <w:r w:rsidR="004D7344" w:rsidRPr="00FD0D31">
      <w:rPr>
        <w:szCs w:val="16"/>
        <w:lang w:val="es-ES_tradnl"/>
      </w:rPr>
      <w:t>:</w:t>
    </w:r>
    <w:r w:rsidR="00FD0D31" w:rsidRPr="00FD0D31">
      <w:rPr>
        <w:szCs w:val="16"/>
        <w:lang w:val="es-ES_tradnl"/>
      </w:rPr>
      <w:t xml:space="preserve"> Participación de las comunidades interesadas</w:t>
    </w:r>
    <w:r w:rsidR="004D7344" w:rsidRPr="00FD0D31">
      <w:rPr>
        <w:lang w:val="es-ES_tradnl"/>
      </w:rPr>
      <w:tab/>
    </w:r>
    <w:r w:rsidR="00460B69" w:rsidRPr="00FD0D31">
      <w:rPr>
        <w:lang w:val="es-ES_tradnl"/>
      </w:rPr>
      <w:t>Texto para el Participante</w:t>
    </w:r>
    <w:r w:rsidR="004D7344" w:rsidRPr="00FD0D31">
      <w:rPr>
        <w:lang w:val="es-ES_tradn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344" w:rsidRPr="00FD0D31" w:rsidRDefault="00460B69" w:rsidP="009D4AB5">
    <w:pPr>
      <w:pStyle w:val="Header"/>
      <w:rPr>
        <w:lang w:val="es-ES_tradnl"/>
      </w:rPr>
    </w:pPr>
    <w:r w:rsidRPr="00FD0D31">
      <w:rPr>
        <w:lang w:val="es-ES_tradnl"/>
      </w:rPr>
      <w:t xml:space="preserve">Texto para el Participante </w:t>
    </w:r>
    <w:r w:rsidR="004D7344" w:rsidRPr="00FD0D31">
      <w:rPr>
        <w:lang w:val="es-ES_tradnl"/>
      </w:rPr>
      <w:tab/>
    </w:r>
    <w:r w:rsidR="00FD0D31" w:rsidRPr="00CE4919">
      <w:rPr>
        <w:szCs w:val="16"/>
        <w:lang w:val="es-ES_tradnl"/>
      </w:rPr>
      <w:t>Unidad 7: Participación de las comunidades interesadas</w:t>
    </w:r>
    <w:r w:rsidR="004D7344" w:rsidRPr="00FD0D31">
      <w:rPr>
        <w:lang w:val="es-ES_tradnl"/>
      </w:rPr>
      <w:tab/>
    </w:r>
    <w:r w:rsidR="00B21951">
      <w:rPr>
        <w:rStyle w:val="PageNumber"/>
      </w:rPr>
      <w:fldChar w:fldCharType="begin"/>
    </w:r>
    <w:r w:rsidR="004D7344" w:rsidRPr="00FD0D31">
      <w:rPr>
        <w:rStyle w:val="PageNumber"/>
        <w:lang w:val="es-ES_tradnl"/>
      </w:rPr>
      <w:instrText xml:space="preserve"> PAGE </w:instrText>
    </w:r>
    <w:r w:rsidR="00B21951">
      <w:rPr>
        <w:rStyle w:val="PageNumber"/>
      </w:rPr>
      <w:fldChar w:fldCharType="separate"/>
    </w:r>
    <w:r w:rsidR="00225186">
      <w:rPr>
        <w:rStyle w:val="PageNumber"/>
        <w:noProof/>
        <w:lang w:val="es-ES_tradnl"/>
      </w:rPr>
      <w:t>13</w:t>
    </w:r>
    <w:r w:rsidR="00B21951">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344" w:rsidRDefault="00460B69" w:rsidP="00460B69">
    <w:pPr>
      <w:pStyle w:val="Header"/>
      <w:ind w:right="360"/>
      <w:jc w:val="center"/>
    </w:pPr>
    <w:proofErr w:type="spellStart"/>
    <w:r>
      <w:t>Texto</w:t>
    </w:r>
    <w:proofErr w:type="spellEnd"/>
    <w:r>
      <w:t xml:space="preserve"> para el </w:t>
    </w:r>
    <w:proofErr w:type="spellStart"/>
    <w:r>
      <w:t>Participante</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2361B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05778"/>
    <w:multiLevelType w:val="hybridMultilevel"/>
    <w:tmpl w:val="050AA382"/>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
    <w:nsid w:val="00480050"/>
    <w:multiLevelType w:val="hybridMultilevel"/>
    <w:tmpl w:val="10B0A42C"/>
    <w:lvl w:ilvl="0" w:tplc="859AEA16">
      <w:start w:val="2"/>
      <w:numFmt w:val="none"/>
      <w:lvlText w:val="(b)"/>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
    <w:nsid w:val="023C5565"/>
    <w:multiLevelType w:val="hybridMultilevel"/>
    <w:tmpl w:val="A3C662E4"/>
    <w:lvl w:ilvl="0" w:tplc="040C0001">
      <w:start w:val="1"/>
      <w:numFmt w:val="bullet"/>
      <w:lvlText w:val=""/>
      <w:lvlJc w:val="left"/>
      <w:pPr>
        <w:tabs>
          <w:tab w:val="num" w:pos="1134"/>
        </w:tabs>
        <w:ind w:left="1134" w:hanging="283"/>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2B174A0"/>
    <w:multiLevelType w:val="multilevel"/>
    <w:tmpl w:val="E5FA416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5">
    <w:nsid w:val="02EF481A"/>
    <w:multiLevelType w:val="multilevel"/>
    <w:tmpl w:val="30CECEBE"/>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nsid w:val="03574B39"/>
    <w:multiLevelType w:val="hybridMultilevel"/>
    <w:tmpl w:val="2E26BB42"/>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7">
    <w:nsid w:val="0386537B"/>
    <w:multiLevelType w:val="hybridMultilevel"/>
    <w:tmpl w:val="BAEEE72C"/>
    <w:lvl w:ilvl="0" w:tplc="F7C60464">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8">
    <w:nsid w:val="039A600B"/>
    <w:multiLevelType w:val="multilevel"/>
    <w:tmpl w:val="090EA800"/>
    <w:lvl w:ilvl="0">
      <w:start w:val="1"/>
      <w:numFmt w:val="bullet"/>
      <w:lvlText w:val=""/>
      <w:lvlJc w:val="left"/>
      <w:pPr>
        <w:tabs>
          <w:tab w:val="num" w:pos="1134"/>
        </w:tabs>
        <w:ind w:left="1134" w:hanging="283"/>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3F6255D"/>
    <w:multiLevelType w:val="multilevel"/>
    <w:tmpl w:val="DDAA817C"/>
    <w:lvl w:ilvl="0">
      <w:start w:val="1"/>
      <w:numFmt w:val="decimal"/>
      <w:lvlText w:val="%1."/>
      <w:lvlJc w:val="left"/>
      <w:pPr>
        <w:tabs>
          <w:tab w:val="num" w:pos="1191"/>
        </w:tabs>
        <w:ind w:left="1191" w:hanging="340"/>
      </w:pPr>
      <w:rPr>
        <w:rFonts w:ascii="Arial" w:eastAsia="SimSun" w:hAnsi="Arial" w:cs="Arial"/>
      </w:rPr>
    </w:lvl>
    <w:lvl w:ilvl="1">
      <w:start w:val="1"/>
      <w:numFmt w:val="lowerLetter"/>
      <w:lvlText w:val="%2."/>
      <w:lvlJc w:val="left"/>
      <w:pPr>
        <w:ind w:left="2234" w:hanging="360"/>
      </w:pPr>
    </w:lvl>
    <w:lvl w:ilvl="2">
      <w:start w:val="1"/>
      <w:numFmt w:val="lowerRoman"/>
      <w:lvlText w:val="%3."/>
      <w:lvlJc w:val="right"/>
      <w:pPr>
        <w:ind w:left="2954" w:hanging="180"/>
      </w:pPr>
    </w:lvl>
    <w:lvl w:ilvl="3">
      <w:start w:val="1"/>
      <w:numFmt w:val="decimal"/>
      <w:lvlText w:val="%4."/>
      <w:lvlJc w:val="left"/>
      <w:pPr>
        <w:ind w:left="3674" w:hanging="360"/>
      </w:pPr>
    </w:lvl>
    <w:lvl w:ilvl="4">
      <w:start w:val="1"/>
      <w:numFmt w:val="lowerLetter"/>
      <w:lvlText w:val="%5."/>
      <w:lvlJc w:val="left"/>
      <w:pPr>
        <w:ind w:left="4394" w:hanging="360"/>
      </w:pPr>
    </w:lvl>
    <w:lvl w:ilvl="5">
      <w:start w:val="1"/>
      <w:numFmt w:val="lowerRoman"/>
      <w:lvlText w:val="%6."/>
      <w:lvlJc w:val="right"/>
      <w:pPr>
        <w:ind w:left="5114" w:hanging="180"/>
      </w:pPr>
    </w:lvl>
    <w:lvl w:ilvl="6">
      <w:start w:val="1"/>
      <w:numFmt w:val="decimal"/>
      <w:lvlText w:val="%7."/>
      <w:lvlJc w:val="left"/>
      <w:pPr>
        <w:ind w:left="5834" w:hanging="360"/>
      </w:pPr>
    </w:lvl>
    <w:lvl w:ilvl="7">
      <w:start w:val="1"/>
      <w:numFmt w:val="lowerLetter"/>
      <w:lvlText w:val="%8."/>
      <w:lvlJc w:val="left"/>
      <w:pPr>
        <w:ind w:left="6554" w:hanging="360"/>
      </w:pPr>
    </w:lvl>
    <w:lvl w:ilvl="8">
      <w:start w:val="1"/>
      <w:numFmt w:val="lowerRoman"/>
      <w:lvlText w:val="%9."/>
      <w:lvlJc w:val="right"/>
      <w:pPr>
        <w:ind w:left="7274" w:hanging="180"/>
      </w:pPr>
    </w:lvl>
  </w:abstractNum>
  <w:abstractNum w:abstractNumId="10">
    <w:nsid w:val="0442176D"/>
    <w:multiLevelType w:val="hybridMultilevel"/>
    <w:tmpl w:val="D3AC20CA"/>
    <w:lvl w:ilvl="0" w:tplc="F08CE2D0">
      <w:start w:val="2"/>
      <w:numFmt w:val="none"/>
      <w:lvlText w:val="(a)"/>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1">
    <w:nsid w:val="04B545AB"/>
    <w:multiLevelType w:val="multilevel"/>
    <w:tmpl w:val="09C67616"/>
    <w:lvl w:ilvl="0">
      <w:start w:val="1"/>
      <w:numFmt w:val="decimal"/>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5134EA3"/>
    <w:multiLevelType w:val="hybridMultilevel"/>
    <w:tmpl w:val="DF181CD6"/>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058873C8"/>
    <w:multiLevelType w:val="multilevel"/>
    <w:tmpl w:val="B018FB64"/>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
    <w:nsid w:val="05F36FA7"/>
    <w:multiLevelType w:val="hybridMultilevel"/>
    <w:tmpl w:val="FC38B798"/>
    <w:lvl w:ilvl="0" w:tplc="6D9ECB94">
      <w:start w:val="1"/>
      <w:numFmt w:val="decimal"/>
      <w:lvlText w:val="%1."/>
      <w:lvlJc w:val="left"/>
      <w:pPr>
        <w:ind w:left="927" w:hanging="36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5">
    <w:nsid w:val="06360154"/>
    <w:multiLevelType w:val="hybridMultilevel"/>
    <w:tmpl w:val="490840BE"/>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06A1103C"/>
    <w:multiLevelType w:val="hybridMultilevel"/>
    <w:tmpl w:val="B92C5882"/>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77700B5"/>
    <w:multiLevelType w:val="hybridMultilevel"/>
    <w:tmpl w:val="9D984424"/>
    <w:lvl w:ilvl="0" w:tplc="040C000F">
      <w:start w:val="1"/>
      <w:numFmt w:val="decimal"/>
      <w:lvlText w:val="%1."/>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081711AD"/>
    <w:multiLevelType w:val="hybridMultilevel"/>
    <w:tmpl w:val="9E50FB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083E5682"/>
    <w:multiLevelType w:val="hybridMultilevel"/>
    <w:tmpl w:val="2060513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0">
    <w:nsid w:val="08C407EF"/>
    <w:multiLevelType w:val="hybridMultilevel"/>
    <w:tmpl w:val="A2644FB2"/>
    <w:lvl w:ilvl="0" w:tplc="3CD4FD5C">
      <w:start w:val="1"/>
      <w:numFmt w:val="lowerLetter"/>
      <w:lvlText w:val="(%1)"/>
      <w:lvlJc w:val="left"/>
      <w:pPr>
        <w:ind w:left="178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1">
    <w:nsid w:val="09425CA5"/>
    <w:multiLevelType w:val="hybridMultilevel"/>
    <w:tmpl w:val="D89C6E0A"/>
    <w:lvl w:ilvl="0" w:tplc="E3DE717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2">
    <w:nsid w:val="09676AB4"/>
    <w:multiLevelType w:val="hybridMultilevel"/>
    <w:tmpl w:val="ACA24D50"/>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3">
    <w:nsid w:val="09DC6BE2"/>
    <w:multiLevelType w:val="multilevel"/>
    <w:tmpl w:val="91AE686A"/>
    <w:lvl w:ilvl="0">
      <w:start w:val="1"/>
      <w:numFmt w:val="bullet"/>
      <w:lvlText w:val=""/>
      <w:lvlJc w:val="left"/>
      <w:pPr>
        <w:tabs>
          <w:tab w:val="num" w:pos="340"/>
        </w:tabs>
        <w:ind w:left="340" w:firstLine="511"/>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0AA74E8D"/>
    <w:multiLevelType w:val="hybridMultilevel"/>
    <w:tmpl w:val="5BFC4676"/>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5">
    <w:nsid w:val="0B1F5E85"/>
    <w:multiLevelType w:val="hybridMultilevel"/>
    <w:tmpl w:val="C4F69AD2"/>
    <w:lvl w:ilvl="0" w:tplc="1C09000F">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6">
    <w:nsid w:val="0B9348CC"/>
    <w:multiLevelType w:val="hybridMultilevel"/>
    <w:tmpl w:val="204ED092"/>
    <w:lvl w:ilvl="0" w:tplc="E67CC33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7">
    <w:nsid w:val="0BCB0E3C"/>
    <w:multiLevelType w:val="multilevel"/>
    <w:tmpl w:val="E28A522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
    <w:nsid w:val="0C0B227B"/>
    <w:multiLevelType w:val="multilevel"/>
    <w:tmpl w:val="7E9C879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9">
    <w:nsid w:val="0C6D64BE"/>
    <w:multiLevelType w:val="hybridMultilevel"/>
    <w:tmpl w:val="B9A69F52"/>
    <w:lvl w:ilvl="0" w:tplc="07209A2E">
      <w:start w:val="2"/>
      <w:numFmt w:val="none"/>
      <w:lvlText w:val="(c)"/>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0">
    <w:nsid w:val="0C8C7EE6"/>
    <w:multiLevelType w:val="hybridMultilevel"/>
    <w:tmpl w:val="3B824BD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1">
    <w:nsid w:val="0C9F72F8"/>
    <w:multiLevelType w:val="hybridMultilevel"/>
    <w:tmpl w:val="CAE69216"/>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2">
    <w:nsid w:val="0D6E6D69"/>
    <w:multiLevelType w:val="hybridMultilevel"/>
    <w:tmpl w:val="6B449DDE"/>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Wingdings 2"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Wingdings 2"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Wingdings 2"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3">
    <w:nsid w:val="0D7151E1"/>
    <w:multiLevelType w:val="hybridMultilevel"/>
    <w:tmpl w:val="BF6C4D8A"/>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4">
    <w:nsid w:val="0DE3780F"/>
    <w:multiLevelType w:val="multilevel"/>
    <w:tmpl w:val="D83644C6"/>
    <w:lvl w:ilvl="0">
      <w:start w:val="1"/>
      <w:numFmt w:val="none"/>
      <w:lvlText w:val="(a)"/>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0DE70D63"/>
    <w:multiLevelType w:val="hybridMultilevel"/>
    <w:tmpl w:val="818A13EE"/>
    <w:lvl w:ilvl="0" w:tplc="EE56F5F2">
      <w:start w:val="1"/>
      <w:numFmt w:val="decimal"/>
      <w:lvlText w:val="%1."/>
      <w:lvlJc w:val="left"/>
      <w:pPr>
        <w:ind w:left="92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6">
    <w:nsid w:val="0E3B2B62"/>
    <w:multiLevelType w:val="multilevel"/>
    <w:tmpl w:val="C14C2766"/>
    <w:lvl w:ilvl="0">
      <w:start w:val="1"/>
      <w:numFmt w:val="none"/>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0E712590"/>
    <w:multiLevelType w:val="multilevel"/>
    <w:tmpl w:val="2DF8C9DE"/>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8">
    <w:nsid w:val="0E847D7F"/>
    <w:multiLevelType w:val="hybridMultilevel"/>
    <w:tmpl w:val="4B08CD10"/>
    <w:lvl w:ilvl="0" w:tplc="325C787C">
      <w:start w:val="1"/>
      <w:numFmt w:val="bullet"/>
      <w:pStyle w:val="Enutiret"/>
      <w:lvlText w:val="–"/>
      <w:lvlJc w:val="left"/>
      <w:pPr>
        <w:tabs>
          <w:tab w:val="num" w:pos="1134"/>
        </w:tabs>
        <w:ind w:left="1134" w:hanging="283"/>
      </w:pPr>
      <w:rPr>
        <w:rFonts w:ascii="Arial" w:hAnsi="Aria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0EAD27D8"/>
    <w:multiLevelType w:val="multilevel"/>
    <w:tmpl w:val="DE585844"/>
    <w:lvl w:ilvl="0">
      <w:start w:val="1"/>
      <w:numFmt w:val="decimal"/>
      <w:lvlText w:val="%1."/>
      <w:lvlJc w:val="left"/>
      <w:pPr>
        <w:ind w:left="1380"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40">
    <w:nsid w:val="0F0264F7"/>
    <w:multiLevelType w:val="hybridMultilevel"/>
    <w:tmpl w:val="735C27EA"/>
    <w:lvl w:ilvl="0" w:tplc="2AD23516">
      <w:start w:val="2"/>
      <w:numFmt w:val="none"/>
      <w:lvlText w:val="(a)"/>
      <w:lvlJc w:val="left"/>
      <w:pPr>
        <w:tabs>
          <w:tab w:val="num" w:pos="1418"/>
        </w:tabs>
        <w:ind w:left="1418"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0F3645D5"/>
    <w:multiLevelType w:val="hybridMultilevel"/>
    <w:tmpl w:val="9A34512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42">
    <w:nsid w:val="0F7F3316"/>
    <w:multiLevelType w:val="hybridMultilevel"/>
    <w:tmpl w:val="2638913E"/>
    <w:lvl w:ilvl="0" w:tplc="6A0E119E">
      <w:start w:val="2"/>
      <w:numFmt w:val="none"/>
      <w:lvlText w:val="(a)%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0FBB2801"/>
    <w:multiLevelType w:val="multilevel"/>
    <w:tmpl w:val="16F2952E"/>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44">
    <w:nsid w:val="0FDD4A5D"/>
    <w:multiLevelType w:val="hybridMultilevel"/>
    <w:tmpl w:val="467C945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5">
    <w:nsid w:val="0FF13D39"/>
    <w:multiLevelType w:val="hybridMultilevel"/>
    <w:tmpl w:val="AB789C46"/>
    <w:lvl w:ilvl="0" w:tplc="C6ECEAA0">
      <w:start w:val="1"/>
      <w:numFmt w:val="decimal"/>
      <w:lvlText w:val="%1."/>
      <w:lvlJc w:val="left"/>
      <w:pPr>
        <w:tabs>
          <w:tab w:val="num" w:pos="1211"/>
        </w:tabs>
        <w:ind w:left="1211" w:hanging="360"/>
      </w:pPr>
      <w:rPr>
        <w:rFonts w:hint="default"/>
        <w:w w:val="100"/>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46">
    <w:nsid w:val="0FF2706B"/>
    <w:multiLevelType w:val="multilevel"/>
    <w:tmpl w:val="F8768110"/>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100D637E"/>
    <w:multiLevelType w:val="hybridMultilevel"/>
    <w:tmpl w:val="62E680DE"/>
    <w:lvl w:ilvl="0" w:tplc="3CD4FD5C">
      <w:start w:val="1"/>
      <w:numFmt w:val="lowerLetter"/>
      <w:lvlText w:val="(%1)"/>
      <w:lvlJc w:val="left"/>
      <w:pPr>
        <w:ind w:left="93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8">
    <w:nsid w:val="102504A7"/>
    <w:multiLevelType w:val="hybridMultilevel"/>
    <w:tmpl w:val="69C89272"/>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9">
    <w:nsid w:val="10507FF7"/>
    <w:multiLevelType w:val="hybridMultilevel"/>
    <w:tmpl w:val="D83644C6"/>
    <w:lvl w:ilvl="0" w:tplc="4D343318">
      <w:start w:val="1"/>
      <w:numFmt w:val="none"/>
      <w:lvlText w:val="(a)"/>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1066402C"/>
    <w:multiLevelType w:val="hybridMultilevel"/>
    <w:tmpl w:val="7A06DD22"/>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51">
    <w:nsid w:val="112912FF"/>
    <w:multiLevelType w:val="hybridMultilevel"/>
    <w:tmpl w:val="C32CF5C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52">
    <w:nsid w:val="11C85416"/>
    <w:multiLevelType w:val="hybridMultilevel"/>
    <w:tmpl w:val="A12A345A"/>
    <w:lvl w:ilvl="0" w:tplc="BE9AAD00">
      <w:start w:val="2"/>
      <w:numFmt w:val="none"/>
      <w:lvlText w:val="(b)"/>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3">
    <w:nsid w:val="13211DE8"/>
    <w:multiLevelType w:val="hybridMultilevel"/>
    <w:tmpl w:val="15F22B3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4">
    <w:nsid w:val="140947F6"/>
    <w:multiLevelType w:val="hybridMultilevel"/>
    <w:tmpl w:val="1A1E360E"/>
    <w:lvl w:ilvl="0" w:tplc="083C3858">
      <w:start w:val="1"/>
      <w:numFmt w:val="decimal"/>
      <w:lvlText w:val="%1."/>
      <w:lvlJc w:val="left"/>
      <w:pPr>
        <w:tabs>
          <w:tab w:val="num" w:pos="1191"/>
        </w:tabs>
        <w:ind w:left="1191" w:hanging="340"/>
      </w:pPr>
      <w:rPr>
        <w:rFonts w:ascii="Arial" w:eastAsia="SimSun" w:hAnsi="Arial" w:cs="Arial"/>
      </w:rPr>
    </w:lvl>
    <w:lvl w:ilvl="1" w:tplc="040C0019" w:tentative="1">
      <w:start w:val="1"/>
      <w:numFmt w:val="lowerLetter"/>
      <w:lvlText w:val="%2."/>
      <w:lvlJc w:val="left"/>
      <w:pPr>
        <w:ind w:left="2234" w:hanging="360"/>
      </w:pPr>
    </w:lvl>
    <w:lvl w:ilvl="2" w:tplc="040C001B" w:tentative="1">
      <w:start w:val="1"/>
      <w:numFmt w:val="lowerRoman"/>
      <w:lvlText w:val="%3."/>
      <w:lvlJc w:val="right"/>
      <w:pPr>
        <w:ind w:left="2954" w:hanging="180"/>
      </w:pPr>
    </w:lvl>
    <w:lvl w:ilvl="3" w:tplc="040C000F" w:tentative="1">
      <w:start w:val="1"/>
      <w:numFmt w:val="decimal"/>
      <w:lvlText w:val="%4."/>
      <w:lvlJc w:val="left"/>
      <w:pPr>
        <w:ind w:left="3674" w:hanging="360"/>
      </w:pPr>
    </w:lvl>
    <w:lvl w:ilvl="4" w:tplc="040C0019" w:tentative="1">
      <w:start w:val="1"/>
      <w:numFmt w:val="lowerLetter"/>
      <w:lvlText w:val="%5."/>
      <w:lvlJc w:val="left"/>
      <w:pPr>
        <w:ind w:left="4394" w:hanging="360"/>
      </w:pPr>
    </w:lvl>
    <w:lvl w:ilvl="5" w:tplc="040C001B" w:tentative="1">
      <w:start w:val="1"/>
      <w:numFmt w:val="lowerRoman"/>
      <w:lvlText w:val="%6."/>
      <w:lvlJc w:val="right"/>
      <w:pPr>
        <w:ind w:left="5114" w:hanging="180"/>
      </w:pPr>
    </w:lvl>
    <w:lvl w:ilvl="6" w:tplc="040C000F" w:tentative="1">
      <w:start w:val="1"/>
      <w:numFmt w:val="decimal"/>
      <w:lvlText w:val="%7."/>
      <w:lvlJc w:val="left"/>
      <w:pPr>
        <w:ind w:left="5834" w:hanging="360"/>
      </w:pPr>
    </w:lvl>
    <w:lvl w:ilvl="7" w:tplc="040C0019" w:tentative="1">
      <w:start w:val="1"/>
      <w:numFmt w:val="lowerLetter"/>
      <w:lvlText w:val="%8."/>
      <w:lvlJc w:val="left"/>
      <w:pPr>
        <w:ind w:left="6554" w:hanging="360"/>
      </w:pPr>
    </w:lvl>
    <w:lvl w:ilvl="8" w:tplc="040C001B" w:tentative="1">
      <w:start w:val="1"/>
      <w:numFmt w:val="lowerRoman"/>
      <w:lvlText w:val="%9."/>
      <w:lvlJc w:val="right"/>
      <w:pPr>
        <w:ind w:left="7274" w:hanging="180"/>
      </w:pPr>
    </w:lvl>
  </w:abstractNum>
  <w:abstractNum w:abstractNumId="55">
    <w:nsid w:val="1471778A"/>
    <w:multiLevelType w:val="multilevel"/>
    <w:tmpl w:val="48B00040"/>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6">
    <w:nsid w:val="14D42BEF"/>
    <w:multiLevelType w:val="multilevel"/>
    <w:tmpl w:val="FCC2641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7">
    <w:nsid w:val="15B8748A"/>
    <w:multiLevelType w:val="hybridMultilevel"/>
    <w:tmpl w:val="291A178C"/>
    <w:lvl w:ilvl="0" w:tplc="08090001">
      <w:start w:val="1"/>
      <w:numFmt w:val="bullet"/>
      <w:lvlText w:val=""/>
      <w:lvlJc w:val="left"/>
      <w:pPr>
        <w:tabs>
          <w:tab w:val="num" w:pos="720"/>
        </w:tabs>
        <w:ind w:left="720" w:hanging="360"/>
      </w:pPr>
      <w:rPr>
        <w:rFonts w:ascii="Symbol" w:hAnsi="Symbol" w:hint="default"/>
      </w:rPr>
    </w:lvl>
    <w:lvl w:ilvl="1" w:tplc="1C090019">
      <w:start w:val="1"/>
      <w:numFmt w:val="bullet"/>
      <w:lvlText w:val=""/>
      <w:lvlJc w:val="left"/>
      <w:pPr>
        <w:tabs>
          <w:tab w:val="num" w:pos="1440"/>
        </w:tabs>
        <w:ind w:left="1440" w:hanging="360"/>
      </w:pPr>
      <w:rPr>
        <w:rFonts w:ascii="Wingdings 2" w:hAnsi="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58">
    <w:nsid w:val="15F33C16"/>
    <w:multiLevelType w:val="multilevel"/>
    <w:tmpl w:val="916097C4"/>
    <w:lvl w:ilvl="0">
      <w:start w:val="1"/>
      <w:numFmt w:val="decimal"/>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59">
    <w:nsid w:val="1600281D"/>
    <w:multiLevelType w:val="hybridMultilevel"/>
    <w:tmpl w:val="41D4DAE4"/>
    <w:lvl w:ilvl="0" w:tplc="E4D6A6FA">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165D2154"/>
    <w:multiLevelType w:val="hybridMultilevel"/>
    <w:tmpl w:val="9272C2A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1">
    <w:nsid w:val="167418ED"/>
    <w:multiLevelType w:val="multilevel"/>
    <w:tmpl w:val="1FCAF05C"/>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62">
    <w:nsid w:val="16847A97"/>
    <w:multiLevelType w:val="multilevel"/>
    <w:tmpl w:val="923EC8FE"/>
    <w:lvl w:ilvl="0">
      <w:start w:val="1"/>
      <w:numFmt w:val="bullet"/>
      <w:lvlText w:val=""/>
      <w:lvlJc w:val="left"/>
      <w:pPr>
        <w:tabs>
          <w:tab w:val="num" w:pos="-397"/>
        </w:tabs>
        <w:ind w:left="-397" w:firstLine="39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nsid w:val="17387B80"/>
    <w:multiLevelType w:val="multilevel"/>
    <w:tmpl w:val="7778B5D6"/>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64">
    <w:nsid w:val="17846776"/>
    <w:multiLevelType w:val="multilevel"/>
    <w:tmpl w:val="DE7CF72C"/>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5">
    <w:nsid w:val="18477FCB"/>
    <w:multiLevelType w:val="hybridMultilevel"/>
    <w:tmpl w:val="E0F6D83C"/>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66">
    <w:nsid w:val="195E5782"/>
    <w:multiLevelType w:val="hybridMultilevel"/>
    <w:tmpl w:val="A1CC9622"/>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7">
    <w:nsid w:val="1978529D"/>
    <w:multiLevelType w:val="multilevel"/>
    <w:tmpl w:val="400A3460"/>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8">
    <w:nsid w:val="19A458BF"/>
    <w:multiLevelType w:val="multilevel"/>
    <w:tmpl w:val="1F2E78E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1A316E47"/>
    <w:multiLevelType w:val="hybridMultilevel"/>
    <w:tmpl w:val="CB307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1AD34F80"/>
    <w:multiLevelType w:val="hybridMultilevel"/>
    <w:tmpl w:val="2FD429C8"/>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71">
    <w:nsid w:val="1B6E11C8"/>
    <w:multiLevelType w:val="hybridMultilevel"/>
    <w:tmpl w:val="C5F0218C"/>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Wingdings 2"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Wingdings 2"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Wingdings 2" w:hint="default"/>
      </w:rPr>
    </w:lvl>
    <w:lvl w:ilvl="8" w:tplc="1C090005" w:tentative="1">
      <w:start w:val="1"/>
      <w:numFmt w:val="bullet"/>
      <w:lvlText w:val=""/>
      <w:lvlJc w:val="left"/>
      <w:pPr>
        <w:ind w:left="6687" w:hanging="360"/>
      </w:pPr>
      <w:rPr>
        <w:rFonts w:ascii="Wingdings" w:hAnsi="Wingdings" w:hint="default"/>
      </w:rPr>
    </w:lvl>
  </w:abstractNum>
  <w:abstractNum w:abstractNumId="72">
    <w:nsid w:val="1BD90CDB"/>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3">
    <w:nsid w:val="1BFB1B99"/>
    <w:multiLevelType w:val="multilevel"/>
    <w:tmpl w:val="CC402B1A"/>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4">
    <w:nsid w:val="1C325FD7"/>
    <w:multiLevelType w:val="multilevel"/>
    <w:tmpl w:val="BDE4679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5">
    <w:nsid w:val="1C5F2023"/>
    <w:multiLevelType w:val="hybridMultilevel"/>
    <w:tmpl w:val="4EF43B78"/>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76">
    <w:nsid w:val="1C622332"/>
    <w:multiLevelType w:val="hybridMultilevel"/>
    <w:tmpl w:val="EE5E157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77">
    <w:nsid w:val="1D6567A8"/>
    <w:multiLevelType w:val="multilevel"/>
    <w:tmpl w:val="994CA426"/>
    <w:lvl w:ilvl="0">
      <w:start w:val="2"/>
      <w:numFmt w:val="none"/>
      <w:lvlText w:val="(b)"/>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8">
    <w:nsid w:val="1D742C4B"/>
    <w:multiLevelType w:val="multilevel"/>
    <w:tmpl w:val="B712C520"/>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9">
    <w:nsid w:val="1DC82B41"/>
    <w:multiLevelType w:val="hybridMultilevel"/>
    <w:tmpl w:val="2064047E"/>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0">
    <w:nsid w:val="1E0D03BB"/>
    <w:multiLevelType w:val="multilevel"/>
    <w:tmpl w:val="B028863E"/>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nsid w:val="1F675D38"/>
    <w:multiLevelType w:val="multilevel"/>
    <w:tmpl w:val="C97407B6"/>
    <w:lvl w:ilvl="0">
      <w:start w:val="1"/>
      <w:numFmt w:val="decimal"/>
      <w:lvlText w:val="%1."/>
      <w:lvlJc w:val="left"/>
      <w:pPr>
        <w:tabs>
          <w:tab w:val="num" w:pos="284"/>
        </w:tabs>
        <w:ind w:left="284" w:firstLine="283"/>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82">
    <w:nsid w:val="1FCE6ADB"/>
    <w:multiLevelType w:val="multilevel"/>
    <w:tmpl w:val="5E7068CE"/>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3">
    <w:nsid w:val="1FF23AF9"/>
    <w:multiLevelType w:val="hybridMultilevel"/>
    <w:tmpl w:val="47142CD8"/>
    <w:lvl w:ilvl="0" w:tplc="08090001">
      <w:start w:val="1"/>
      <w:numFmt w:val="bullet"/>
      <w:lvlText w:val=""/>
      <w:lvlJc w:val="left"/>
      <w:pPr>
        <w:tabs>
          <w:tab w:val="num" w:pos="927"/>
        </w:tabs>
        <w:ind w:left="927" w:hanging="360"/>
      </w:pPr>
      <w:rPr>
        <w:rFonts w:ascii="Symbol" w:hAnsi="Symbol" w:hint="default"/>
      </w:rPr>
    </w:lvl>
    <w:lvl w:ilvl="1" w:tplc="1C090019">
      <w:start w:val="1"/>
      <w:numFmt w:val="lowerLetter"/>
      <w:lvlText w:val="%2."/>
      <w:lvlJc w:val="left"/>
      <w:pPr>
        <w:ind w:left="1647"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84">
    <w:nsid w:val="200637C5"/>
    <w:multiLevelType w:val="hybridMultilevel"/>
    <w:tmpl w:val="88F0F7A0"/>
    <w:lvl w:ilvl="0" w:tplc="3E688E32">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85">
    <w:nsid w:val="22507D8C"/>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6">
    <w:nsid w:val="22B541E5"/>
    <w:multiLevelType w:val="multilevel"/>
    <w:tmpl w:val="17D489DE"/>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7">
    <w:nsid w:val="22B93988"/>
    <w:multiLevelType w:val="multilevel"/>
    <w:tmpl w:val="9CAE381C"/>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8">
    <w:nsid w:val="230E1121"/>
    <w:multiLevelType w:val="hybridMultilevel"/>
    <w:tmpl w:val="ABBCCAAE"/>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89">
    <w:nsid w:val="23314935"/>
    <w:multiLevelType w:val="hybridMultilevel"/>
    <w:tmpl w:val="3C90B404"/>
    <w:lvl w:ilvl="0" w:tplc="E4D6A6FA">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90">
    <w:nsid w:val="23650449"/>
    <w:multiLevelType w:val="hybridMultilevel"/>
    <w:tmpl w:val="2116C15C"/>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nsid w:val="249B78FC"/>
    <w:multiLevelType w:val="hybridMultilevel"/>
    <w:tmpl w:val="5D529DFC"/>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2">
    <w:nsid w:val="24D07785"/>
    <w:multiLevelType w:val="hybridMultilevel"/>
    <w:tmpl w:val="D9925D36"/>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93">
    <w:nsid w:val="252404A5"/>
    <w:multiLevelType w:val="hybridMultilevel"/>
    <w:tmpl w:val="A97EF0D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Wingdings 2"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4">
    <w:nsid w:val="26071674"/>
    <w:multiLevelType w:val="hybridMultilevel"/>
    <w:tmpl w:val="694E7180"/>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5">
    <w:nsid w:val="264B3A8C"/>
    <w:multiLevelType w:val="hybridMultilevel"/>
    <w:tmpl w:val="DB2E091E"/>
    <w:lvl w:ilvl="0" w:tplc="D2EEAC70">
      <w:start w:val="2"/>
      <w:numFmt w:val="none"/>
      <w:lvlText w:val="(d)"/>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6">
    <w:nsid w:val="26AB291F"/>
    <w:multiLevelType w:val="multilevel"/>
    <w:tmpl w:val="57B41DF8"/>
    <w:lvl w:ilvl="0">
      <w:start w:val="1"/>
      <w:numFmt w:val="decimal"/>
      <w:lvlText w:val="1,5%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97">
    <w:nsid w:val="26AC60A9"/>
    <w:multiLevelType w:val="multilevel"/>
    <w:tmpl w:val="FCA4BB7C"/>
    <w:lvl w:ilvl="0">
      <w:start w:val="1"/>
      <w:numFmt w:val="bullet"/>
      <w:lvlText w:val=""/>
      <w:lvlJc w:val="left"/>
      <w:pPr>
        <w:tabs>
          <w:tab w:val="num" w:pos="567"/>
        </w:tabs>
        <w:ind w:left="567" w:hanging="56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8">
    <w:nsid w:val="26B82417"/>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99">
    <w:nsid w:val="26BF2220"/>
    <w:multiLevelType w:val="multilevel"/>
    <w:tmpl w:val="4C0CDF10"/>
    <w:lvl w:ilvl="0">
      <w:start w:val="1"/>
      <w:numFmt w:val="decimal"/>
      <w:lvlText w:val="%1."/>
      <w:lvlJc w:val="left"/>
      <w:pPr>
        <w:tabs>
          <w:tab w:val="num" w:pos="1191"/>
        </w:tabs>
        <w:ind w:left="1191"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100">
    <w:nsid w:val="2710521D"/>
    <w:multiLevelType w:val="multilevel"/>
    <w:tmpl w:val="E87A433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01">
    <w:nsid w:val="279831F5"/>
    <w:multiLevelType w:val="multilevel"/>
    <w:tmpl w:val="7482F9D6"/>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2">
    <w:nsid w:val="27C44511"/>
    <w:multiLevelType w:val="multilevel"/>
    <w:tmpl w:val="57F60D7E"/>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03">
    <w:nsid w:val="27DA1F67"/>
    <w:multiLevelType w:val="hybridMultilevel"/>
    <w:tmpl w:val="C2A81F02"/>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4">
    <w:nsid w:val="281E5035"/>
    <w:multiLevelType w:val="multilevel"/>
    <w:tmpl w:val="F1D4E14A"/>
    <w:lvl w:ilvl="0">
      <w:start w:val="1"/>
      <w:numFmt w:val="bullet"/>
      <w:lvlText w:val=""/>
      <w:lvlJc w:val="left"/>
      <w:pPr>
        <w:tabs>
          <w:tab w:val="num" w:pos="0"/>
        </w:tabs>
        <w:ind w:left="0" w:firstLine="39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5">
    <w:nsid w:val="286C6070"/>
    <w:multiLevelType w:val="hybridMultilevel"/>
    <w:tmpl w:val="BE601E0E"/>
    <w:lvl w:ilvl="0" w:tplc="00CAAC0E">
      <w:start w:val="2"/>
      <w:numFmt w:val="none"/>
      <w:lvlText w:val="(a)"/>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6">
    <w:nsid w:val="289356CB"/>
    <w:multiLevelType w:val="hybridMultilevel"/>
    <w:tmpl w:val="31B8D73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928"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nsid w:val="28DD5FBD"/>
    <w:multiLevelType w:val="hybridMultilevel"/>
    <w:tmpl w:val="DCAC3A8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08">
    <w:nsid w:val="29153DE7"/>
    <w:multiLevelType w:val="multilevel"/>
    <w:tmpl w:val="780A9DAA"/>
    <w:lvl w:ilvl="0">
      <w:start w:val="1"/>
      <w:numFmt w:val="none"/>
      <w:lvlText w:val="1"/>
      <w:lvlJc w:val="left"/>
      <w:pPr>
        <w:ind w:left="143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291E23C9"/>
    <w:multiLevelType w:val="multilevel"/>
    <w:tmpl w:val="AB0468E6"/>
    <w:lvl w:ilvl="0">
      <w:start w:val="2"/>
      <w:numFmt w:val="none"/>
      <w:lvlText w:val="(a)"/>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0">
    <w:nsid w:val="29A73848"/>
    <w:multiLevelType w:val="multilevel"/>
    <w:tmpl w:val="DE24B57A"/>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1">
    <w:nsid w:val="2A9E29FF"/>
    <w:multiLevelType w:val="multilevel"/>
    <w:tmpl w:val="A7001524"/>
    <w:lvl w:ilvl="0">
      <w:start w:val="1"/>
      <w:numFmt w:val="bullet"/>
      <w:lvlText w:val=""/>
      <w:lvlJc w:val="left"/>
      <w:pPr>
        <w:tabs>
          <w:tab w:val="num" w:pos="360"/>
        </w:tabs>
        <w:ind w:left="36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12">
    <w:nsid w:val="2B756C48"/>
    <w:multiLevelType w:val="hybridMultilevel"/>
    <w:tmpl w:val="C234CA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Wingdings 2"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Wingdings 2"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Wingdings 2" w:hint="default"/>
      </w:rPr>
    </w:lvl>
    <w:lvl w:ilvl="8" w:tplc="1C090005" w:tentative="1">
      <w:start w:val="1"/>
      <w:numFmt w:val="bullet"/>
      <w:lvlText w:val=""/>
      <w:lvlJc w:val="left"/>
      <w:pPr>
        <w:ind w:left="6480" w:hanging="360"/>
      </w:pPr>
      <w:rPr>
        <w:rFonts w:ascii="Wingdings" w:hAnsi="Wingdings" w:hint="default"/>
      </w:rPr>
    </w:lvl>
  </w:abstractNum>
  <w:abstractNum w:abstractNumId="113">
    <w:nsid w:val="2B923CF4"/>
    <w:multiLevelType w:val="multilevel"/>
    <w:tmpl w:val="48901974"/>
    <w:lvl w:ilvl="0">
      <w:start w:val="1"/>
      <w:numFmt w:val="lowerLetter"/>
      <w:lvlText w:val="(b)(%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4">
    <w:nsid w:val="2BA460BF"/>
    <w:multiLevelType w:val="multilevel"/>
    <w:tmpl w:val="1D28CC8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15">
    <w:nsid w:val="2BC01736"/>
    <w:multiLevelType w:val="hybridMultilevel"/>
    <w:tmpl w:val="633C4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nsid w:val="2C10152E"/>
    <w:multiLevelType w:val="multilevel"/>
    <w:tmpl w:val="0C20A74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17">
    <w:nsid w:val="2C266EE6"/>
    <w:multiLevelType w:val="hybridMultilevel"/>
    <w:tmpl w:val="8E721764"/>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18">
    <w:nsid w:val="2C4F1088"/>
    <w:multiLevelType w:val="hybridMultilevel"/>
    <w:tmpl w:val="DA4888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9">
    <w:nsid w:val="2C671587"/>
    <w:multiLevelType w:val="hybridMultilevel"/>
    <w:tmpl w:val="055281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0">
    <w:nsid w:val="2D6A03C8"/>
    <w:multiLevelType w:val="multilevel"/>
    <w:tmpl w:val="CB7CD20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1">
    <w:nsid w:val="2DCB6E57"/>
    <w:multiLevelType w:val="hybridMultilevel"/>
    <w:tmpl w:val="C8EECE88"/>
    <w:lvl w:ilvl="0" w:tplc="590A27DA">
      <w:start w:val="1"/>
      <w:numFmt w:val="bullet"/>
      <w:lvlText w:val=""/>
      <w:lvlJc w:val="left"/>
      <w:pPr>
        <w:ind w:left="1437" w:hanging="927"/>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nsid w:val="2DEB5B62"/>
    <w:multiLevelType w:val="hybridMultilevel"/>
    <w:tmpl w:val="1D105BA2"/>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3">
    <w:nsid w:val="2E1804A1"/>
    <w:multiLevelType w:val="multilevel"/>
    <w:tmpl w:val="015684F2"/>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124">
    <w:nsid w:val="2E2445DC"/>
    <w:multiLevelType w:val="hybridMultilevel"/>
    <w:tmpl w:val="9A4A861E"/>
    <w:lvl w:ilvl="0" w:tplc="040C0017">
      <w:start w:val="1"/>
      <w:numFmt w:val="lowerLetter"/>
      <w:lvlText w:val="%1)"/>
      <w:lvlJc w:val="left"/>
      <w:pPr>
        <w:ind w:left="927" w:hanging="360"/>
      </w:pPr>
      <w:rPr>
        <w:rFonts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5">
    <w:nsid w:val="2E24527B"/>
    <w:multiLevelType w:val="multilevel"/>
    <w:tmpl w:val="D330738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6">
    <w:nsid w:val="2E35623F"/>
    <w:multiLevelType w:val="multilevel"/>
    <w:tmpl w:val="710412FE"/>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2F2F61FC"/>
    <w:multiLevelType w:val="hybridMultilevel"/>
    <w:tmpl w:val="AD785A92"/>
    <w:lvl w:ilvl="0" w:tplc="040C0001">
      <w:start w:val="1"/>
      <w:numFmt w:val="bullet"/>
      <w:lvlText w:val=""/>
      <w:lvlJc w:val="left"/>
      <w:pPr>
        <w:ind w:left="1644" w:hanging="360"/>
      </w:pPr>
      <w:rPr>
        <w:rFonts w:ascii="Symbol" w:hAnsi="Symbol" w:hint="default"/>
      </w:rPr>
    </w:lvl>
    <w:lvl w:ilvl="1" w:tplc="040C0003" w:tentative="1">
      <w:start w:val="1"/>
      <w:numFmt w:val="bullet"/>
      <w:lvlText w:val="o"/>
      <w:lvlJc w:val="left"/>
      <w:pPr>
        <w:ind w:left="2364" w:hanging="360"/>
      </w:pPr>
      <w:rPr>
        <w:rFonts w:ascii="Courier New" w:hAnsi="Courier New" w:cs="Courier New" w:hint="default"/>
      </w:rPr>
    </w:lvl>
    <w:lvl w:ilvl="2" w:tplc="040C0005" w:tentative="1">
      <w:start w:val="1"/>
      <w:numFmt w:val="bullet"/>
      <w:lvlText w:val=""/>
      <w:lvlJc w:val="left"/>
      <w:pPr>
        <w:ind w:left="3084" w:hanging="360"/>
      </w:pPr>
      <w:rPr>
        <w:rFonts w:ascii="Wingdings" w:hAnsi="Wingdings" w:hint="default"/>
      </w:rPr>
    </w:lvl>
    <w:lvl w:ilvl="3" w:tplc="040C0001" w:tentative="1">
      <w:start w:val="1"/>
      <w:numFmt w:val="bullet"/>
      <w:lvlText w:val=""/>
      <w:lvlJc w:val="left"/>
      <w:pPr>
        <w:ind w:left="3804" w:hanging="360"/>
      </w:pPr>
      <w:rPr>
        <w:rFonts w:ascii="Symbol" w:hAnsi="Symbol" w:hint="default"/>
      </w:rPr>
    </w:lvl>
    <w:lvl w:ilvl="4" w:tplc="040C0003" w:tentative="1">
      <w:start w:val="1"/>
      <w:numFmt w:val="bullet"/>
      <w:lvlText w:val="o"/>
      <w:lvlJc w:val="left"/>
      <w:pPr>
        <w:ind w:left="4524" w:hanging="360"/>
      </w:pPr>
      <w:rPr>
        <w:rFonts w:ascii="Courier New" w:hAnsi="Courier New" w:cs="Courier New" w:hint="default"/>
      </w:rPr>
    </w:lvl>
    <w:lvl w:ilvl="5" w:tplc="040C0005" w:tentative="1">
      <w:start w:val="1"/>
      <w:numFmt w:val="bullet"/>
      <w:lvlText w:val=""/>
      <w:lvlJc w:val="left"/>
      <w:pPr>
        <w:ind w:left="5244" w:hanging="360"/>
      </w:pPr>
      <w:rPr>
        <w:rFonts w:ascii="Wingdings" w:hAnsi="Wingdings" w:hint="default"/>
      </w:rPr>
    </w:lvl>
    <w:lvl w:ilvl="6" w:tplc="040C0001" w:tentative="1">
      <w:start w:val="1"/>
      <w:numFmt w:val="bullet"/>
      <w:lvlText w:val=""/>
      <w:lvlJc w:val="left"/>
      <w:pPr>
        <w:ind w:left="5964" w:hanging="360"/>
      </w:pPr>
      <w:rPr>
        <w:rFonts w:ascii="Symbol" w:hAnsi="Symbol" w:hint="default"/>
      </w:rPr>
    </w:lvl>
    <w:lvl w:ilvl="7" w:tplc="040C0003" w:tentative="1">
      <w:start w:val="1"/>
      <w:numFmt w:val="bullet"/>
      <w:lvlText w:val="o"/>
      <w:lvlJc w:val="left"/>
      <w:pPr>
        <w:ind w:left="6684" w:hanging="360"/>
      </w:pPr>
      <w:rPr>
        <w:rFonts w:ascii="Courier New" w:hAnsi="Courier New" w:cs="Courier New" w:hint="default"/>
      </w:rPr>
    </w:lvl>
    <w:lvl w:ilvl="8" w:tplc="040C0005" w:tentative="1">
      <w:start w:val="1"/>
      <w:numFmt w:val="bullet"/>
      <w:lvlText w:val=""/>
      <w:lvlJc w:val="left"/>
      <w:pPr>
        <w:ind w:left="7404" w:hanging="360"/>
      </w:pPr>
      <w:rPr>
        <w:rFonts w:ascii="Wingdings" w:hAnsi="Wingdings" w:hint="default"/>
      </w:rPr>
    </w:lvl>
  </w:abstractNum>
  <w:abstractNum w:abstractNumId="128">
    <w:nsid w:val="2F3A6DE6"/>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9">
    <w:nsid w:val="2F4779C3"/>
    <w:multiLevelType w:val="multilevel"/>
    <w:tmpl w:val="8D42BA2E"/>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0">
    <w:nsid w:val="2FD5397C"/>
    <w:multiLevelType w:val="hybridMultilevel"/>
    <w:tmpl w:val="07CC6CDE"/>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1">
    <w:nsid w:val="30277FC3"/>
    <w:multiLevelType w:val="hybridMultilevel"/>
    <w:tmpl w:val="3F90E138"/>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32">
    <w:nsid w:val="3059743B"/>
    <w:multiLevelType w:val="multilevel"/>
    <w:tmpl w:val="7410EC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3">
    <w:nsid w:val="306F41E0"/>
    <w:multiLevelType w:val="hybridMultilevel"/>
    <w:tmpl w:val="F5B25FBA"/>
    <w:lvl w:ilvl="0" w:tplc="08090001">
      <w:start w:val="1"/>
      <w:numFmt w:val="bullet"/>
      <w:lvlText w:val=""/>
      <w:lvlJc w:val="left"/>
      <w:pPr>
        <w:tabs>
          <w:tab w:val="num" w:pos="927"/>
        </w:tabs>
        <w:ind w:left="927" w:hanging="360"/>
      </w:pPr>
      <w:rPr>
        <w:rFonts w:ascii="Symbol" w:hAnsi="Symbol" w:hint="default"/>
      </w:rPr>
    </w:lvl>
    <w:lvl w:ilvl="1" w:tplc="1C090019">
      <w:start w:val="1"/>
      <w:numFmt w:val="bullet"/>
      <w:lvlText w:val=""/>
      <w:lvlJc w:val="left"/>
      <w:pPr>
        <w:tabs>
          <w:tab w:val="num" w:pos="1440"/>
        </w:tabs>
        <w:ind w:left="1440" w:hanging="360"/>
      </w:pPr>
      <w:rPr>
        <w:rFonts w:ascii="Wingdings 2" w:hAnsi="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34">
    <w:nsid w:val="31665B47"/>
    <w:multiLevelType w:val="hybridMultilevel"/>
    <w:tmpl w:val="EDCEC1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nsid w:val="322E4D96"/>
    <w:multiLevelType w:val="hybridMultilevel"/>
    <w:tmpl w:val="9036F7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nsid w:val="32662341"/>
    <w:multiLevelType w:val="hybridMultilevel"/>
    <w:tmpl w:val="560A0E14"/>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7">
    <w:nsid w:val="338646D9"/>
    <w:multiLevelType w:val="hybridMultilevel"/>
    <w:tmpl w:val="5E9AD20E"/>
    <w:lvl w:ilvl="0" w:tplc="08090001">
      <w:start w:val="1"/>
      <w:numFmt w:val="bullet"/>
      <w:lvlText w:val=""/>
      <w:lvlJc w:val="left"/>
      <w:pPr>
        <w:tabs>
          <w:tab w:val="num" w:pos="1287"/>
        </w:tabs>
        <w:ind w:left="128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8">
    <w:nsid w:val="33A33C9A"/>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9">
    <w:nsid w:val="33F91777"/>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0">
    <w:nsid w:val="35B93E20"/>
    <w:multiLevelType w:val="multilevel"/>
    <w:tmpl w:val="011874EE"/>
    <w:lvl w:ilvl="0">
      <w:start w:val="2"/>
      <w:numFmt w:val="none"/>
      <w:lvlText w:val="(b)"/>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nsid w:val="35E70CBC"/>
    <w:multiLevelType w:val="hybridMultilevel"/>
    <w:tmpl w:val="EB28246E"/>
    <w:lvl w:ilvl="0" w:tplc="2ACA0304">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42">
    <w:nsid w:val="36035414"/>
    <w:multiLevelType w:val="multilevel"/>
    <w:tmpl w:val="861A0696"/>
    <w:lvl w:ilvl="0">
      <w:start w:val="1"/>
      <w:numFmt w:val="lowerRoman"/>
      <w:lvlText w:val="%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3">
    <w:nsid w:val="362605CD"/>
    <w:multiLevelType w:val="hybridMultilevel"/>
    <w:tmpl w:val="89028B96"/>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44">
    <w:nsid w:val="36BA349A"/>
    <w:multiLevelType w:val="multilevel"/>
    <w:tmpl w:val="888AC176"/>
    <w:lvl w:ilvl="0">
      <w:start w:val="1"/>
      <w:numFmt w:val="bullet"/>
      <w:lvlText w:val=""/>
      <w:lvlJc w:val="left"/>
      <w:pPr>
        <w:tabs>
          <w:tab w:val="num" w:pos="851"/>
        </w:tabs>
        <w:ind w:left="851" w:hanging="284"/>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5">
    <w:nsid w:val="36BA47B9"/>
    <w:multiLevelType w:val="multilevel"/>
    <w:tmpl w:val="893C62CC"/>
    <w:lvl w:ilvl="0">
      <w:start w:val="1"/>
      <w:numFmt w:val="bullet"/>
      <w:lvlText w:val=""/>
      <w:lvlJc w:val="left"/>
      <w:pPr>
        <w:tabs>
          <w:tab w:val="num" w:pos="1080"/>
        </w:tabs>
        <w:ind w:left="108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6">
    <w:nsid w:val="37476950"/>
    <w:multiLevelType w:val="multilevel"/>
    <w:tmpl w:val="27D8FB20"/>
    <w:lvl w:ilvl="0">
      <w:start w:val="1"/>
      <w:numFmt w:val="none"/>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37C23FEE"/>
    <w:multiLevelType w:val="hybridMultilevel"/>
    <w:tmpl w:val="A43E5236"/>
    <w:lvl w:ilvl="0" w:tplc="08090001">
      <w:start w:val="1"/>
      <w:numFmt w:val="bullet"/>
      <w:lvlText w:val=""/>
      <w:lvlJc w:val="left"/>
      <w:pPr>
        <w:tabs>
          <w:tab w:val="num" w:pos="1080"/>
        </w:tabs>
        <w:ind w:left="1080" w:hanging="360"/>
      </w:pPr>
      <w:rPr>
        <w:rFonts w:ascii="Symbol" w:hAnsi="Symbol" w:hint="default"/>
      </w:rPr>
    </w:lvl>
    <w:lvl w:ilvl="1" w:tplc="9CF04BCE">
      <w:start w:val="1"/>
      <w:numFmt w:val="decimal"/>
      <w:lvlText w:val="%2."/>
      <w:lvlJc w:val="left"/>
      <w:pPr>
        <w:tabs>
          <w:tab w:val="num" w:pos="1440"/>
        </w:tabs>
        <w:ind w:left="1440" w:hanging="360"/>
      </w:pPr>
    </w:lvl>
    <w:lvl w:ilvl="2" w:tplc="9438AD42">
      <w:start w:val="1"/>
      <w:numFmt w:val="decimal"/>
      <w:lvlText w:val="%3."/>
      <w:lvlJc w:val="left"/>
      <w:pPr>
        <w:tabs>
          <w:tab w:val="num" w:pos="2160"/>
        </w:tabs>
        <w:ind w:left="2160" w:hanging="360"/>
      </w:pPr>
    </w:lvl>
    <w:lvl w:ilvl="3" w:tplc="6444DF4E">
      <w:start w:val="1"/>
      <w:numFmt w:val="decimal"/>
      <w:lvlText w:val="%4."/>
      <w:lvlJc w:val="left"/>
      <w:pPr>
        <w:tabs>
          <w:tab w:val="num" w:pos="2880"/>
        </w:tabs>
        <w:ind w:left="2880" w:hanging="360"/>
      </w:pPr>
    </w:lvl>
    <w:lvl w:ilvl="4" w:tplc="58682508">
      <w:start w:val="1"/>
      <w:numFmt w:val="decimal"/>
      <w:lvlText w:val="%5."/>
      <w:lvlJc w:val="left"/>
      <w:pPr>
        <w:tabs>
          <w:tab w:val="num" w:pos="3600"/>
        </w:tabs>
        <w:ind w:left="3600" w:hanging="360"/>
      </w:pPr>
    </w:lvl>
    <w:lvl w:ilvl="5" w:tplc="27EAA0CA">
      <w:start w:val="1"/>
      <w:numFmt w:val="decimal"/>
      <w:lvlText w:val="%6."/>
      <w:lvlJc w:val="left"/>
      <w:pPr>
        <w:tabs>
          <w:tab w:val="num" w:pos="4320"/>
        </w:tabs>
        <w:ind w:left="4320" w:hanging="360"/>
      </w:pPr>
    </w:lvl>
    <w:lvl w:ilvl="6" w:tplc="ECFC1246">
      <w:start w:val="1"/>
      <w:numFmt w:val="decimal"/>
      <w:lvlText w:val="%7."/>
      <w:lvlJc w:val="left"/>
      <w:pPr>
        <w:tabs>
          <w:tab w:val="num" w:pos="5040"/>
        </w:tabs>
        <w:ind w:left="5040" w:hanging="360"/>
      </w:pPr>
    </w:lvl>
    <w:lvl w:ilvl="7" w:tplc="7C84471A">
      <w:start w:val="1"/>
      <w:numFmt w:val="decimal"/>
      <w:lvlText w:val="%8."/>
      <w:lvlJc w:val="left"/>
      <w:pPr>
        <w:tabs>
          <w:tab w:val="num" w:pos="5760"/>
        </w:tabs>
        <w:ind w:left="5760" w:hanging="360"/>
      </w:pPr>
    </w:lvl>
    <w:lvl w:ilvl="8" w:tplc="21423CA4">
      <w:start w:val="1"/>
      <w:numFmt w:val="decimal"/>
      <w:lvlText w:val="%9."/>
      <w:lvlJc w:val="left"/>
      <w:pPr>
        <w:tabs>
          <w:tab w:val="num" w:pos="6480"/>
        </w:tabs>
        <w:ind w:left="6480" w:hanging="360"/>
      </w:pPr>
    </w:lvl>
  </w:abstractNum>
  <w:abstractNum w:abstractNumId="148">
    <w:nsid w:val="37CD6BE7"/>
    <w:multiLevelType w:val="multilevel"/>
    <w:tmpl w:val="70B2BFC2"/>
    <w:lvl w:ilvl="0">
      <w:numFmt w:val="none"/>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49">
    <w:nsid w:val="37FA3926"/>
    <w:multiLevelType w:val="hybridMultilevel"/>
    <w:tmpl w:val="633665E8"/>
    <w:lvl w:ilvl="0" w:tplc="08090001">
      <w:start w:val="1"/>
      <w:numFmt w:val="bullet"/>
      <w:lvlText w:val=""/>
      <w:lvlJc w:val="left"/>
      <w:pPr>
        <w:tabs>
          <w:tab w:val="num" w:pos="1080"/>
        </w:tabs>
        <w:ind w:left="1080" w:hanging="360"/>
      </w:pPr>
      <w:rPr>
        <w:rFonts w:ascii="Symbol" w:hAnsi="Symbol" w:hint="default"/>
      </w:rPr>
    </w:lvl>
    <w:lvl w:ilvl="1" w:tplc="1C090019">
      <w:start w:val="1"/>
      <w:numFmt w:val="lowerLetter"/>
      <w:lvlText w:val="%2."/>
      <w:lvlJc w:val="left"/>
      <w:pPr>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50">
    <w:nsid w:val="387F0E9B"/>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51">
    <w:nsid w:val="38D21930"/>
    <w:multiLevelType w:val="hybridMultilevel"/>
    <w:tmpl w:val="7C181600"/>
    <w:lvl w:ilvl="0" w:tplc="19063A00">
      <w:start w:val="1"/>
      <w:numFmt w:val="decimal"/>
      <w:lvlText w:val="%1."/>
      <w:lvlJc w:val="left"/>
      <w:pPr>
        <w:tabs>
          <w:tab w:val="num" w:pos="907"/>
        </w:tabs>
        <w:ind w:left="907"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52">
    <w:nsid w:val="38DE4C44"/>
    <w:multiLevelType w:val="hybridMultilevel"/>
    <w:tmpl w:val="EF5AEDC2"/>
    <w:lvl w:ilvl="0" w:tplc="DF8456B6">
      <w:start w:val="1"/>
      <w:numFmt w:val="lowerLetter"/>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3">
    <w:nsid w:val="38F42049"/>
    <w:multiLevelType w:val="hybridMultilevel"/>
    <w:tmpl w:val="FD2AC522"/>
    <w:lvl w:ilvl="0" w:tplc="19063A00">
      <w:start w:val="1"/>
      <w:numFmt w:val="decimal"/>
      <w:lvlText w:val="%1."/>
      <w:lvlJc w:val="left"/>
      <w:pPr>
        <w:tabs>
          <w:tab w:val="num" w:pos="907"/>
        </w:tabs>
        <w:ind w:left="907"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54">
    <w:nsid w:val="391B7D80"/>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5">
    <w:nsid w:val="396933EC"/>
    <w:multiLevelType w:val="multilevel"/>
    <w:tmpl w:val="30DCBD30"/>
    <w:lvl w:ilvl="0">
      <w:start w:val="2"/>
      <w:numFmt w:val="none"/>
      <w:lvlText w:val="(c)"/>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nsid w:val="3A4772EC"/>
    <w:multiLevelType w:val="multilevel"/>
    <w:tmpl w:val="97F0696A"/>
    <w:lvl w:ilvl="0">
      <w:start w:val="1"/>
      <w:numFmt w:val="decimal"/>
      <w:lvlText w:val="%1."/>
      <w:lvlJc w:val="left"/>
      <w:pPr>
        <w:ind w:left="172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57">
    <w:nsid w:val="3AC4442C"/>
    <w:multiLevelType w:val="hybridMultilevel"/>
    <w:tmpl w:val="FEE06EAC"/>
    <w:lvl w:ilvl="0" w:tplc="08090001">
      <w:start w:val="1"/>
      <w:numFmt w:val="bullet"/>
      <w:lvlText w:val=""/>
      <w:lvlJc w:val="left"/>
      <w:pPr>
        <w:tabs>
          <w:tab w:val="num" w:pos="1080"/>
        </w:tabs>
        <w:ind w:left="1080" w:hanging="360"/>
      </w:pPr>
      <w:rPr>
        <w:rFonts w:ascii="Symbol" w:hAnsi="Symbol" w:hint="default"/>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58">
    <w:nsid w:val="3AEF2E36"/>
    <w:multiLevelType w:val="hybridMultilevel"/>
    <w:tmpl w:val="6B226D56"/>
    <w:lvl w:ilvl="0" w:tplc="25581204">
      <w:start w:val="1"/>
      <w:numFmt w:val="bullet"/>
      <w:lvlText w:val=""/>
      <w:lvlJc w:val="left"/>
      <w:pPr>
        <w:tabs>
          <w:tab w:val="num" w:pos="0"/>
        </w:tabs>
        <w:ind w:left="0" w:hanging="397"/>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9">
    <w:nsid w:val="3B154674"/>
    <w:multiLevelType w:val="hybridMultilevel"/>
    <w:tmpl w:val="0C4AD6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0">
    <w:nsid w:val="3B3803FD"/>
    <w:multiLevelType w:val="multilevel"/>
    <w:tmpl w:val="65A865E6"/>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1">
    <w:nsid w:val="3B5B4175"/>
    <w:multiLevelType w:val="hybridMultilevel"/>
    <w:tmpl w:val="0D946B98"/>
    <w:lvl w:ilvl="0" w:tplc="80721CA0">
      <w:start w:val="1"/>
      <w:numFmt w:val="decimal"/>
      <w:lvlText w:val="%1"/>
      <w:lvlJc w:val="righ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62">
    <w:nsid w:val="3B5F62D0"/>
    <w:multiLevelType w:val="hybridMultilevel"/>
    <w:tmpl w:val="6316AAD6"/>
    <w:lvl w:ilvl="0" w:tplc="1C090017">
      <w:start w:val="1"/>
      <w:numFmt w:val="bullet"/>
      <w:lvlText w:val=""/>
      <w:lvlJc w:val="left"/>
      <w:pPr>
        <w:tabs>
          <w:tab w:val="num" w:pos="720"/>
        </w:tabs>
        <w:ind w:left="720" w:hanging="360"/>
      </w:pPr>
      <w:rPr>
        <w:rFonts w:ascii="Wingdings 2" w:hAnsi="Wingdings 2" w:hint="default"/>
      </w:rPr>
    </w:lvl>
    <w:lvl w:ilvl="1" w:tplc="7F568D7A">
      <w:start w:val="1"/>
      <w:numFmt w:val="bullet"/>
      <w:lvlText w:val="o"/>
      <w:lvlJc w:val="left"/>
      <w:pPr>
        <w:tabs>
          <w:tab w:val="num" w:pos="1440"/>
        </w:tabs>
        <w:ind w:left="1440" w:hanging="360"/>
      </w:pPr>
      <w:rPr>
        <w:rFonts w:ascii="Courier New" w:hAnsi="Courier New" w:cs="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63">
    <w:nsid w:val="3B8943AE"/>
    <w:multiLevelType w:val="hybridMultilevel"/>
    <w:tmpl w:val="6B924702"/>
    <w:lvl w:ilvl="0" w:tplc="7310C2A0">
      <w:start w:val="1"/>
      <w:numFmt w:val="bullet"/>
      <w:pStyle w:val="Txtchap"/>
      <w:lvlText w:val=""/>
      <w:lvlJc w:val="left"/>
      <w:pPr>
        <w:tabs>
          <w:tab w:val="num" w:pos="567"/>
        </w:tabs>
        <w:ind w:left="567" w:hanging="567"/>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4">
    <w:nsid w:val="3B9C0BA5"/>
    <w:multiLevelType w:val="multilevel"/>
    <w:tmpl w:val="21669F0A"/>
    <w:lvl w:ilvl="0">
      <w:start w:val="1"/>
      <w:numFmt w:val="decimal"/>
      <w:lvlText w:val="%1."/>
      <w:lvlJc w:val="right"/>
      <w:pPr>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65">
    <w:nsid w:val="3C1072EE"/>
    <w:multiLevelType w:val="multilevel"/>
    <w:tmpl w:val="91EEE59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6">
    <w:nsid w:val="3C3D2CF8"/>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67">
    <w:nsid w:val="3C525C21"/>
    <w:multiLevelType w:val="hybridMultilevel"/>
    <w:tmpl w:val="2DB6FEB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68">
    <w:nsid w:val="3C9F5E34"/>
    <w:multiLevelType w:val="multilevel"/>
    <w:tmpl w:val="DFEAA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9">
    <w:nsid w:val="3CE154F9"/>
    <w:multiLevelType w:val="hybridMultilevel"/>
    <w:tmpl w:val="63C62D4A"/>
    <w:lvl w:ilvl="0" w:tplc="71B0E7AC">
      <w:start w:val="1"/>
      <w:numFmt w:val="lowerLetter"/>
      <w:lvlText w:val="(%1)"/>
      <w:lvlJc w:val="left"/>
      <w:pPr>
        <w:tabs>
          <w:tab w:val="num" w:pos="1758"/>
        </w:tabs>
        <w:ind w:left="1758"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70">
    <w:nsid w:val="3D227836"/>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1">
    <w:nsid w:val="3DE94E81"/>
    <w:multiLevelType w:val="hybridMultilevel"/>
    <w:tmpl w:val="B4E65EA6"/>
    <w:lvl w:ilvl="0" w:tplc="07209A2E">
      <w:start w:val="2"/>
      <w:numFmt w:val="none"/>
      <w:lvlText w:val="(c)"/>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72">
    <w:nsid w:val="3E254249"/>
    <w:multiLevelType w:val="hybridMultilevel"/>
    <w:tmpl w:val="702CDEE8"/>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3">
    <w:nsid w:val="3E5A4588"/>
    <w:multiLevelType w:val="hybridMultilevel"/>
    <w:tmpl w:val="501CC732"/>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74">
    <w:nsid w:val="3E75575F"/>
    <w:multiLevelType w:val="multilevel"/>
    <w:tmpl w:val="E26A9DE6"/>
    <w:lvl w:ilvl="0">
      <w:start w:val="1"/>
      <w:numFmt w:val="decimal"/>
      <w:lvlText w:val="%1."/>
      <w:lvlJc w:val="left"/>
      <w:pPr>
        <w:tabs>
          <w:tab w:val="num" w:pos="907"/>
        </w:tabs>
        <w:ind w:left="907"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175">
    <w:nsid w:val="3EB42F99"/>
    <w:multiLevelType w:val="hybridMultilevel"/>
    <w:tmpl w:val="6192A7C8"/>
    <w:lvl w:ilvl="0" w:tplc="08090001">
      <w:start w:val="1"/>
      <w:numFmt w:val="bullet"/>
      <w:lvlText w:val=""/>
      <w:lvlJc w:val="left"/>
      <w:pPr>
        <w:tabs>
          <w:tab w:val="num" w:pos="360"/>
        </w:tabs>
        <w:ind w:left="3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6">
    <w:nsid w:val="3ECD6EC0"/>
    <w:multiLevelType w:val="multilevel"/>
    <w:tmpl w:val="13AE5F48"/>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77">
    <w:nsid w:val="3EEE0183"/>
    <w:multiLevelType w:val="hybridMultilevel"/>
    <w:tmpl w:val="B212E93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8">
    <w:nsid w:val="402F05A1"/>
    <w:multiLevelType w:val="hybridMultilevel"/>
    <w:tmpl w:val="39EC6838"/>
    <w:lvl w:ilvl="0" w:tplc="DB3E524A">
      <w:start w:val="2"/>
      <w:numFmt w:val="bullet"/>
      <w:lvlText w:val="-"/>
      <w:lvlJc w:val="left"/>
      <w:pPr>
        <w:ind w:left="720" w:hanging="360"/>
      </w:pPr>
      <w:rPr>
        <w:rFonts w:ascii="Myriad Pro" w:eastAsia="Times New Roman"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9">
    <w:nsid w:val="413F5CE2"/>
    <w:multiLevelType w:val="hybridMultilevel"/>
    <w:tmpl w:val="66C02ED8"/>
    <w:lvl w:ilvl="0" w:tplc="688C4F80">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80">
    <w:nsid w:val="415343F7"/>
    <w:multiLevelType w:val="hybridMultilevel"/>
    <w:tmpl w:val="E3E8FCC6"/>
    <w:lvl w:ilvl="0" w:tplc="6D9A4EAA">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1">
    <w:nsid w:val="4164531B"/>
    <w:multiLevelType w:val="hybridMultilevel"/>
    <w:tmpl w:val="0EB20000"/>
    <w:lvl w:ilvl="0" w:tplc="491C335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2">
    <w:nsid w:val="421F6910"/>
    <w:multiLevelType w:val="hybridMultilevel"/>
    <w:tmpl w:val="7F4CF834"/>
    <w:lvl w:ilvl="0" w:tplc="DA188080">
      <w:start w:val="2"/>
      <w:numFmt w:val="none"/>
      <w:lvlText w:val="(c)"/>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3">
    <w:nsid w:val="4284107C"/>
    <w:multiLevelType w:val="multilevel"/>
    <w:tmpl w:val="CA64FEA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84">
    <w:nsid w:val="432364CF"/>
    <w:multiLevelType w:val="hybridMultilevel"/>
    <w:tmpl w:val="2EA246C0"/>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5">
    <w:nsid w:val="43D16400"/>
    <w:multiLevelType w:val="hybridMultilevel"/>
    <w:tmpl w:val="E4B8F4C6"/>
    <w:lvl w:ilvl="0" w:tplc="030AF2EC">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6">
    <w:nsid w:val="444313D9"/>
    <w:multiLevelType w:val="hybridMultilevel"/>
    <w:tmpl w:val="43602A6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7">
    <w:nsid w:val="446C1BB9"/>
    <w:multiLevelType w:val="hybridMultilevel"/>
    <w:tmpl w:val="F59A94A8"/>
    <w:lvl w:ilvl="0" w:tplc="B25E4910">
      <w:start w:val="1"/>
      <w:numFmt w:val="decimal"/>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88">
    <w:nsid w:val="44C04663"/>
    <w:multiLevelType w:val="multilevel"/>
    <w:tmpl w:val="CB9E012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9">
    <w:nsid w:val="44C4535F"/>
    <w:multiLevelType w:val="hybridMultilevel"/>
    <w:tmpl w:val="581EF2AE"/>
    <w:lvl w:ilvl="0" w:tplc="08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0">
    <w:nsid w:val="44FE79A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1">
    <w:nsid w:val="45756DEB"/>
    <w:multiLevelType w:val="multilevel"/>
    <w:tmpl w:val="55FAE51E"/>
    <w:lvl w:ilvl="0">
      <w:start w:val="1"/>
      <w:numFmt w:val="bullet"/>
      <w:lvlText w:val=""/>
      <w:lvlJc w:val="left"/>
      <w:pPr>
        <w:tabs>
          <w:tab w:val="num" w:pos="1080"/>
        </w:tabs>
        <w:ind w:left="108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92">
    <w:nsid w:val="45FB63B7"/>
    <w:multiLevelType w:val="hybridMultilevel"/>
    <w:tmpl w:val="4CC6D7F8"/>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3">
    <w:nsid w:val="46880C3F"/>
    <w:multiLevelType w:val="hybridMultilevel"/>
    <w:tmpl w:val="1AB046F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4">
    <w:nsid w:val="46CA7376"/>
    <w:multiLevelType w:val="multilevel"/>
    <w:tmpl w:val="10B0A42C"/>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95">
    <w:nsid w:val="47152770"/>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96">
    <w:nsid w:val="47293425"/>
    <w:multiLevelType w:val="hybridMultilevel"/>
    <w:tmpl w:val="4E8826B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7">
    <w:nsid w:val="47693B97"/>
    <w:multiLevelType w:val="multilevel"/>
    <w:tmpl w:val="8E422644"/>
    <w:lvl w:ilvl="0">
      <w:start w:val="1"/>
      <w:numFmt w:val="decimal"/>
      <w:lvlText w:val="%1."/>
      <w:lvlJc w:val="right"/>
      <w:pPr>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98">
    <w:nsid w:val="481B6C30"/>
    <w:multiLevelType w:val="hybridMultilevel"/>
    <w:tmpl w:val="12F0C97A"/>
    <w:lvl w:ilvl="0" w:tplc="4E94D59A">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9">
    <w:nsid w:val="48622026"/>
    <w:multiLevelType w:val="hybridMultilevel"/>
    <w:tmpl w:val="BAC48774"/>
    <w:lvl w:ilvl="0" w:tplc="B5282FCC">
      <w:start w:val="2"/>
      <w:numFmt w:val="none"/>
      <w:lvlText w:val="(b)"/>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0">
    <w:nsid w:val="488564A5"/>
    <w:multiLevelType w:val="multilevel"/>
    <w:tmpl w:val="371A6E48"/>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1">
    <w:nsid w:val="48D0169D"/>
    <w:multiLevelType w:val="multilevel"/>
    <w:tmpl w:val="FCA4BB7C"/>
    <w:lvl w:ilvl="0">
      <w:start w:val="1"/>
      <w:numFmt w:val="bullet"/>
      <w:lvlText w:val=""/>
      <w:lvlJc w:val="left"/>
      <w:pPr>
        <w:tabs>
          <w:tab w:val="num" w:pos="567"/>
        </w:tabs>
        <w:ind w:left="567" w:hanging="56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2">
    <w:nsid w:val="48DA12FA"/>
    <w:multiLevelType w:val="hybridMultilevel"/>
    <w:tmpl w:val="DA5ECED2"/>
    <w:lvl w:ilvl="0" w:tplc="3CD4FD5C">
      <w:start w:val="1"/>
      <w:numFmt w:val="lowerLetter"/>
      <w:lvlText w:val="(%1)"/>
      <w:lvlJc w:val="left"/>
      <w:pPr>
        <w:ind w:left="178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3">
    <w:nsid w:val="494E03AB"/>
    <w:multiLevelType w:val="hybridMultilevel"/>
    <w:tmpl w:val="E6862614"/>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04">
    <w:nsid w:val="498536C2"/>
    <w:multiLevelType w:val="multilevel"/>
    <w:tmpl w:val="860AD898"/>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5">
    <w:nsid w:val="4A402B24"/>
    <w:multiLevelType w:val="hybridMultilevel"/>
    <w:tmpl w:val="87E6E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6">
    <w:nsid w:val="4A9445E7"/>
    <w:multiLevelType w:val="hybridMultilevel"/>
    <w:tmpl w:val="EA5EC172"/>
    <w:lvl w:ilvl="0" w:tplc="E1F2AF54">
      <w:start w:val="1"/>
      <w:numFmt w:val="decimal"/>
      <w:lvlText w:val="%1."/>
      <w:lvlJc w:val="left"/>
      <w:pPr>
        <w:tabs>
          <w:tab w:val="num" w:pos="357"/>
        </w:tabs>
        <w:ind w:left="924" w:hanging="357"/>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07">
    <w:nsid w:val="4AEA2722"/>
    <w:multiLevelType w:val="multilevel"/>
    <w:tmpl w:val="D59C7822"/>
    <w:lvl w:ilvl="0">
      <w:start w:val="2"/>
      <w:numFmt w:val="none"/>
      <w:lvlText w:val="(c)"/>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8">
    <w:nsid w:val="4BB64458"/>
    <w:multiLevelType w:val="multilevel"/>
    <w:tmpl w:val="CB7CD20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09">
    <w:nsid w:val="4C1D40F1"/>
    <w:multiLevelType w:val="hybridMultilevel"/>
    <w:tmpl w:val="7A46735C"/>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10">
    <w:nsid w:val="4C1F7CB7"/>
    <w:multiLevelType w:val="multilevel"/>
    <w:tmpl w:val="D9308CD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1">
    <w:nsid w:val="4C3C6F9D"/>
    <w:multiLevelType w:val="hybridMultilevel"/>
    <w:tmpl w:val="A8EE4EDA"/>
    <w:lvl w:ilvl="0" w:tplc="4E94D59A">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12">
    <w:nsid w:val="4C89703E"/>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3">
    <w:nsid w:val="4C8C6296"/>
    <w:multiLevelType w:val="multilevel"/>
    <w:tmpl w:val="DFBE21BC"/>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4">
    <w:nsid w:val="4CE11FF2"/>
    <w:multiLevelType w:val="hybridMultilevel"/>
    <w:tmpl w:val="5ECE5E16"/>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15">
    <w:nsid w:val="4D707DC6"/>
    <w:multiLevelType w:val="multilevel"/>
    <w:tmpl w:val="E0B4DD64"/>
    <w:lvl w:ilvl="0">
      <w:start w:val="1"/>
      <w:numFmt w:val="decimal"/>
      <w:lvlText w:val="%1."/>
      <w:lvlJc w:val="left"/>
      <w:pPr>
        <w:ind w:left="929"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6">
    <w:nsid w:val="4DF57AAD"/>
    <w:multiLevelType w:val="hybridMultilevel"/>
    <w:tmpl w:val="3990C222"/>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17">
    <w:nsid w:val="4E1C5F89"/>
    <w:multiLevelType w:val="hybridMultilevel"/>
    <w:tmpl w:val="3D62633A"/>
    <w:lvl w:ilvl="0" w:tplc="3CD4FD5C">
      <w:start w:val="1"/>
      <w:numFmt w:val="lowerLetter"/>
      <w:lvlText w:val="(%1)"/>
      <w:lvlJc w:val="left"/>
      <w:pPr>
        <w:ind w:left="93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18">
    <w:nsid w:val="4EBA6C08"/>
    <w:multiLevelType w:val="multilevel"/>
    <w:tmpl w:val="9536E620"/>
    <w:lvl w:ilvl="0">
      <w:start w:val="1"/>
      <w:numFmt w:val="decimal"/>
      <w:lvlText w:val="%1."/>
      <w:lvlJc w:val="left"/>
      <w:pPr>
        <w:tabs>
          <w:tab w:val="num" w:pos="907"/>
        </w:tabs>
        <w:ind w:left="907"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19">
    <w:nsid w:val="4ED05218"/>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20">
    <w:nsid w:val="4FE30975"/>
    <w:multiLevelType w:val="hybridMultilevel"/>
    <w:tmpl w:val="0680D89C"/>
    <w:lvl w:ilvl="0" w:tplc="08090001">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1">
    <w:nsid w:val="4FE600D3"/>
    <w:multiLevelType w:val="hybridMultilevel"/>
    <w:tmpl w:val="BD5031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2">
    <w:nsid w:val="5047741A"/>
    <w:multiLevelType w:val="multilevel"/>
    <w:tmpl w:val="6CE64FA4"/>
    <w:lvl w:ilvl="0">
      <w:start w:val="1"/>
      <w:numFmt w:val="decimal"/>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23">
    <w:nsid w:val="5059262F"/>
    <w:multiLevelType w:val="hybridMultilevel"/>
    <w:tmpl w:val="3E3AAC9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4">
    <w:nsid w:val="509D6A38"/>
    <w:multiLevelType w:val="hybridMultilevel"/>
    <w:tmpl w:val="64B02BD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5">
    <w:nsid w:val="512B1C5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6">
    <w:nsid w:val="513805AB"/>
    <w:multiLevelType w:val="hybridMultilevel"/>
    <w:tmpl w:val="4E2E8AAA"/>
    <w:lvl w:ilvl="0" w:tplc="1784671E">
      <w:start w:val="1"/>
      <w:numFmt w:val="decimal"/>
      <w:lvlText w:val="%1."/>
      <w:lvlJc w:val="left"/>
      <w:pPr>
        <w:ind w:left="1571" w:hanging="1231"/>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27">
    <w:nsid w:val="514E76E9"/>
    <w:multiLevelType w:val="multilevel"/>
    <w:tmpl w:val="4B2C6864"/>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8">
    <w:nsid w:val="517246B2"/>
    <w:multiLevelType w:val="multilevel"/>
    <w:tmpl w:val="CAC80906"/>
    <w:lvl w:ilvl="0">
      <w:start w:val="2"/>
      <w:numFmt w:val="none"/>
      <w:lvlText w:val="(a)"/>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9">
    <w:nsid w:val="51B266D5"/>
    <w:multiLevelType w:val="multilevel"/>
    <w:tmpl w:val="CFCA1CCE"/>
    <w:lvl w:ilvl="0">
      <w:start w:val="1"/>
      <w:numFmt w:val="bullet"/>
      <w:lvlText w:val=""/>
      <w:lvlJc w:val="left"/>
      <w:pPr>
        <w:ind w:left="0" w:hanging="39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0">
    <w:nsid w:val="524721BD"/>
    <w:multiLevelType w:val="multilevel"/>
    <w:tmpl w:val="9A4A861E"/>
    <w:lvl w:ilvl="0">
      <w:start w:val="1"/>
      <w:numFmt w:val="lowerLetter"/>
      <w:lvlText w:val="%1)"/>
      <w:lvlJc w:val="left"/>
      <w:pPr>
        <w:ind w:left="927"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1">
    <w:nsid w:val="52DC0FC7"/>
    <w:multiLevelType w:val="multilevel"/>
    <w:tmpl w:val="305EDA22"/>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32">
    <w:nsid w:val="53250680"/>
    <w:multiLevelType w:val="multilevel"/>
    <w:tmpl w:val="1AA2FE8A"/>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3">
    <w:nsid w:val="53A65A0A"/>
    <w:multiLevelType w:val="hybridMultilevel"/>
    <w:tmpl w:val="05E46098"/>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34">
    <w:nsid w:val="53D31866"/>
    <w:multiLevelType w:val="multilevel"/>
    <w:tmpl w:val="FF064222"/>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5">
    <w:nsid w:val="546B4A2E"/>
    <w:multiLevelType w:val="hybridMultilevel"/>
    <w:tmpl w:val="CB7CD202"/>
    <w:lvl w:ilvl="0" w:tplc="B3D0A2CC">
      <w:start w:val="1"/>
      <w:numFmt w:val="decimal"/>
      <w:pStyle w:val="Default"/>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36">
    <w:nsid w:val="54B02F2E"/>
    <w:multiLevelType w:val="hybridMultilevel"/>
    <w:tmpl w:val="CD7CC9B6"/>
    <w:lvl w:ilvl="0" w:tplc="3E688E32">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37">
    <w:nsid w:val="555F5DB8"/>
    <w:multiLevelType w:val="multilevel"/>
    <w:tmpl w:val="F8768110"/>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8">
    <w:nsid w:val="55D81A08"/>
    <w:multiLevelType w:val="hybridMultilevel"/>
    <w:tmpl w:val="9B34B308"/>
    <w:lvl w:ilvl="0" w:tplc="08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ind w:left="1440" w:hanging="360"/>
      </w:pPr>
      <w:rPr>
        <w:rFonts w:ascii="Courier New" w:hAnsi="Courier New" w:cs="Wingdings 2"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39">
    <w:nsid w:val="56A71F8E"/>
    <w:multiLevelType w:val="hybridMultilevel"/>
    <w:tmpl w:val="A86A5E24"/>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0">
    <w:nsid w:val="56F70E69"/>
    <w:multiLevelType w:val="multilevel"/>
    <w:tmpl w:val="E3AE298C"/>
    <w:lvl w:ilvl="0">
      <w:start w:val="1"/>
      <w:numFmt w:val="lowerLetter"/>
      <w:lvlText w:val="(%1)"/>
      <w:lvlJc w:val="left"/>
      <w:pPr>
        <w:ind w:left="93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1">
    <w:nsid w:val="576037C4"/>
    <w:multiLevelType w:val="multilevel"/>
    <w:tmpl w:val="AD30775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42">
    <w:nsid w:val="577E3B1B"/>
    <w:multiLevelType w:val="hybridMultilevel"/>
    <w:tmpl w:val="B630C83C"/>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Wingdings 2"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43">
    <w:nsid w:val="57CB60AE"/>
    <w:multiLevelType w:val="hybridMultilevel"/>
    <w:tmpl w:val="A19A1756"/>
    <w:lvl w:ilvl="0" w:tplc="83A28766">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4">
    <w:nsid w:val="58A454E7"/>
    <w:multiLevelType w:val="hybridMultilevel"/>
    <w:tmpl w:val="DD8015C0"/>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45">
    <w:nsid w:val="58A800E9"/>
    <w:multiLevelType w:val="multilevel"/>
    <w:tmpl w:val="54A23626"/>
    <w:lvl w:ilvl="0">
      <w:start w:val="2"/>
      <w:numFmt w:val="none"/>
      <w:lvlText w:val="(c)"/>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6">
    <w:nsid w:val="58AD26BF"/>
    <w:multiLevelType w:val="hybridMultilevel"/>
    <w:tmpl w:val="653E8370"/>
    <w:lvl w:ilvl="0" w:tplc="D24E78FE">
      <w:start w:val="1"/>
      <w:numFmt w:val="decimal"/>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247">
    <w:nsid w:val="59236323"/>
    <w:multiLevelType w:val="hybridMultilevel"/>
    <w:tmpl w:val="E0941286"/>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48">
    <w:nsid w:val="59A559AD"/>
    <w:multiLevelType w:val="hybridMultilevel"/>
    <w:tmpl w:val="86F839A2"/>
    <w:lvl w:ilvl="0" w:tplc="E1F630DE">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9">
    <w:nsid w:val="59F66F8B"/>
    <w:multiLevelType w:val="multilevel"/>
    <w:tmpl w:val="93EE8E20"/>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50">
    <w:nsid w:val="5AA1143E"/>
    <w:multiLevelType w:val="multilevel"/>
    <w:tmpl w:val="F7C296C0"/>
    <w:lvl w:ilvl="0">
      <w:start w:val="1"/>
      <w:numFmt w:val="none"/>
      <w:lvlText w:val=""/>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51">
    <w:nsid w:val="5AAF2B17"/>
    <w:multiLevelType w:val="multilevel"/>
    <w:tmpl w:val="5830A9EE"/>
    <w:lvl w:ilvl="0">
      <w:start w:val="1"/>
      <w:numFmt w:val="bullet"/>
      <w:lvlText w:val=""/>
      <w:lvlJc w:val="left"/>
      <w:pPr>
        <w:tabs>
          <w:tab w:val="num" w:pos="907"/>
        </w:tabs>
        <w:ind w:left="907" w:hanging="56"/>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2">
    <w:nsid w:val="5AF00357"/>
    <w:multiLevelType w:val="hybridMultilevel"/>
    <w:tmpl w:val="BD90D7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3">
    <w:nsid w:val="5B4D5F78"/>
    <w:multiLevelType w:val="hybridMultilevel"/>
    <w:tmpl w:val="CBCABAC6"/>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54">
    <w:nsid w:val="5B977332"/>
    <w:multiLevelType w:val="hybridMultilevel"/>
    <w:tmpl w:val="256E4D42"/>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55">
    <w:nsid w:val="5BE64D94"/>
    <w:multiLevelType w:val="multilevel"/>
    <w:tmpl w:val="63B8E374"/>
    <w:lvl w:ilvl="0">
      <w:start w:val="1"/>
      <w:numFmt w:val="decimal"/>
      <w:lvlText w:val="%1."/>
      <w:lvlJc w:val="left"/>
      <w:pPr>
        <w:tabs>
          <w:tab w:val="num" w:pos="284"/>
        </w:tabs>
        <w:ind w:left="284" w:firstLine="283"/>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56">
    <w:nsid w:val="5C2E1AE3"/>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7">
    <w:nsid w:val="5C31074E"/>
    <w:multiLevelType w:val="multilevel"/>
    <w:tmpl w:val="9BF8E606"/>
    <w:lvl w:ilvl="0">
      <w:start w:val="1"/>
      <w:numFmt w:val="decimal"/>
      <w:lvlText w:val="%1."/>
      <w:lvlJc w:val="left"/>
      <w:pPr>
        <w:ind w:left="245" w:firstLine="775"/>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58">
    <w:nsid w:val="5C4E69CF"/>
    <w:multiLevelType w:val="hybridMultilevel"/>
    <w:tmpl w:val="0062FD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9">
    <w:nsid w:val="5C6018A0"/>
    <w:multiLevelType w:val="hybridMultilevel"/>
    <w:tmpl w:val="9BC41EDE"/>
    <w:lvl w:ilvl="0" w:tplc="08090001">
      <w:start w:val="1"/>
      <w:numFmt w:val="bullet"/>
      <w:lvlText w:val=""/>
      <w:lvlJc w:val="left"/>
      <w:pPr>
        <w:tabs>
          <w:tab w:val="num" w:pos="1287"/>
        </w:tabs>
        <w:ind w:left="1287" w:hanging="360"/>
      </w:pPr>
      <w:rPr>
        <w:rFonts w:ascii="Symbol" w:hAnsi="Symbol" w:hint="default"/>
      </w:rPr>
    </w:lvl>
    <w:lvl w:ilvl="1" w:tplc="7548AE86">
      <w:start w:val="5"/>
      <w:numFmt w:val="bullet"/>
      <w:lvlText w:val="•"/>
      <w:lvlJc w:val="left"/>
      <w:pPr>
        <w:ind w:left="2007" w:hanging="360"/>
      </w:pPr>
      <w:rPr>
        <w:rFonts w:ascii="Arial" w:eastAsia="SimSun" w:hAnsi="Arial" w:cs="Arial"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60">
    <w:nsid w:val="5C7245F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1">
    <w:nsid w:val="5CE927B2"/>
    <w:multiLevelType w:val="hybridMultilevel"/>
    <w:tmpl w:val="22D6B0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2">
    <w:nsid w:val="5D9F608E"/>
    <w:multiLevelType w:val="multilevel"/>
    <w:tmpl w:val="E0746A5C"/>
    <w:lvl w:ilvl="0">
      <w:start w:val="1"/>
      <w:numFmt w:val="decimal"/>
      <w:lvlText w:val="%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3">
    <w:nsid w:val="5DEA2FBA"/>
    <w:multiLevelType w:val="hybridMultilevel"/>
    <w:tmpl w:val="4DF2AC70"/>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64">
    <w:nsid w:val="5F127A12"/>
    <w:multiLevelType w:val="hybridMultilevel"/>
    <w:tmpl w:val="9C10BF22"/>
    <w:lvl w:ilvl="0" w:tplc="6D9ECB94">
      <w:start w:val="1"/>
      <w:numFmt w:val="decimal"/>
      <w:lvlText w:val="%1."/>
      <w:lvlJc w:val="left"/>
      <w:pPr>
        <w:ind w:left="933" w:hanging="360"/>
      </w:pPr>
      <w:rPr>
        <w:rFonts w:hint="default"/>
      </w:rPr>
    </w:lvl>
    <w:lvl w:ilvl="1" w:tplc="040C0019" w:tentative="1">
      <w:start w:val="1"/>
      <w:numFmt w:val="lowerLetter"/>
      <w:lvlText w:val="%2."/>
      <w:lvlJc w:val="left"/>
      <w:pPr>
        <w:ind w:left="1444" w:hanging="360"/>
      </w:pPr>
    </w:lvl>
    <w:lvl w:ilvl="2" w:tplc="040C001B" w:tentative="1">
      <w:start w:val="1"/>
      <w:numFmt w:val="lowerRoman"/>
      <w:lvlText w:val="%3."/>
      <w:lvlJc w:val="right"/>
      <w:pPr>
        <w:ind w:left="2164" w:hanging="180"/>
      </w:pPr>
    </w:lvl>
    <w:lvl w:ilvl="3" w:tplc="040C000F" w:tentative="1">
      <w:start w:val="1"/>
      <w:numFmt w:val="decimal"/>
      <w:lvlText w:val="%4."/>
      <w:lvlJc w:val="left"/>
      <w:pPr>
        <w:ind w:left="2884" w:hanging="360"/>
      </w:pPr>
    </w:lvl>
    <w:lvl w:ilvl="4" w:tplc="040C0019" w:tentative="1">
      <w:start w:val="1"/>
      <w:numFmt w:val="lowerLetter"/>
      <w:lvlText w:val="%5."/>
      <w:lvlJc w:val="left"/>
      <w:pPr>
        <w:ind w:left="3604" w:hanging="360"/>
      </w:pPr>
    </w:lvl>
    <w:lvl w:ilvl="5" w:tplc="040C001B" w:tentative="1">
      <w:start w:val="1"/>
      <w:numFmt w:val="lowerRoman"/>
      <w:lvlText w:val="%6."/>
      <w:lvlJc w:val="right"/>
      <w:pPr>
        <w:ind w:left="4324" w:hanging="180"/>
      </w:pPr>
    </w:lvl>
    <w:lvl w:ilvl="6" w:tplc="040C000F" w:tentative="1">
      <w:start w:val="1"/>
      <w:numFmt w:val="decimal"/>
      <w:lvlText w:val="%7."/>
      <w:lvlJc w:val="left"/>
      <w:pPr>
        <w:ind w:left="5044" w:hanging="360"/>
      </w:pPr>
    </w:lvl>
    <w:lvl w:ilvl="7" w:tplc="040C0019" w:tentative="1">
      <w:start w:val="1"/>
      <w:numFmt w:val="lowerLetter"/>
      <w:lvlText w:val="%8."/>
      <w:lvlJc w:val="left"/>
      <w:pPr>
        <w:ind w:left="5764" w:hanging="360"/>
      </w:pPr>
    </w:lvl>
    <w:lvl w:ilvl="8" w:tplc="040C001B" w:tentative="1">
      <w:start w:val="1"/>
      <w:numFmt w:val="lowerRoman"/>
      <w:lvlText w:val="%9."/>
      <w:lvlJc w:val="right"/>
      <w:pPr>
        <w:ind w:left="6484" w:hanging="180"/>
      </w:pPr>
    </w:lvl>
  </w:abstractNum>
  <w:abstractNum w:abstractNumId="265">
    <w:nsid w:val="5F4F139F"/>
    <w:multiLevelType w:val="hybridMultilevel"/>
    <w:tmpl w:val="C86EB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6">
    <w:nsid w:val="5F730F53"/>
    <w:multiLevelType w:val="multilevel"/>
    <w:tmpl w:val="317007F2"/>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7">
    <w:nsid w:val="604A3AA6"/>
    <w:multiLevelType w:val="hybridMultilevel"/>
    <w:tmpl w:val="4B44C060"/>
    <w:lvl w:ilvl="0" w:tplc="08090001">
      <w:start w:val="1"/>
      <w:numFmt w:val="bullet"/>
      <w:lvlText w:val=""/>
      <w:lvlJc w:val="left"/>
      <w:pPr>
        <w:tabs>
          <w:tab w:val="num" w:pos="1080"/>
        </w:tabs>
        <w:ind w:left="1080" w:hanging="360"/>
      </w:pPr>
      <w:rPr>
        <w:rFonts w:ascii="Symbol" w:hAnsi="Symbol" w:hint="default"/>
      </w:rPr>
    </w:lvl>
    <w:lvl w:ilvl="1" w:tplc="1C090019">
      <w:start w:val="1"/>
      <w:numFmt w:val="lowerLetter"/>
      <w:lvlText w:val="%2."/>
      <w:lvlJc w:val="left"/>
      <w:pPr>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68">
    <w:nsid w:val="60AF65BD"/>
    <w:multiLevelType w:val="hybridMultilevel"/>
    <w:tmpl w:val="6E04FA6C"/>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69">
    <w:nsid w:val="61C633E4"/>
    <w:multiLevelType w:val="multilevel"/>
    <w:tmpl w:val="76EA7616"/>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70">
    <w:nsid w:val="62615C8D"/>
    <w:multiLevelType w:val="hybridMultilevel"/>
    <w:tmpl w:val="288A9214"/>
    <w:lvl w:ilvl="0" w:tplc="6D9A4EAA">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1">
    <w:nsid w:val="62952D95"/>
    <w:multiLevelType w:val="hybridMultilevel"/>
    <w:tmpl w:val="B7D4AF40"/>
    <w:lvl w:ilvl="0" w:tplc="22AC8098">
      <w:start w:val="1"/>
      <w:numFmt w:val="decimal"/>
      <w:lvlText w:val="%1."/>
      <w:lvlJc w:val="left"/>
      <w:pPr>
        <w:ind w:left="3933"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72">
    <w:nsid w:val="629C3D75"/>
    <w:multiLevelType w:val="hybridMultilevel"/>
    <w:tmpl w:val="FA90F0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3">
    <w:nsid w:val="63994138"/>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4">
    <w:nsid w:val="63CC48AE"/>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5">
    <w:nsid w:val="63E17B28"/>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6">
    <w:nsid w:val="64554B31"/>
    <w:multiLevelType w:val="multilevel"/>
    <w:tmpl w:val="3154CD5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77">
    <w:nsid w:val="64B00489"/>
    <w:multiLevelType w:val="hybridMultilevel"/>
    <w:tmpl w:val="CFA2031C"/>
    <w:lvl w:ilvl="0" w:tplc="71B0E7A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8">
    <w:nsid w:val="650125FF"/>
    <w:multiLevelType w:val="multilevel"/>
    <w:tmpl w:val="FC166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9">
    <w:nsid w:val="65A24AB4"/>
    <w:multiLevelType w:val="hybridMultilevel"/>
    <w:tmpl w:val="40F66E5E"/>
    <w:lvl w:ilvl="0" w:tplc="9DFC5C5C">
      <w:start w:val="1"/>
      <w:numFmt w:val="decimal"/>
      <w:lvlText w:val="%1."/>
      <w:lvlJc w:val="left"/>
      <w:pPr>
        <w:ind w:left="927" w:hanging="36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280">
    <w:nsid w:val="661173B8"/>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1">
    <w:nsid w:val="66297560"/>
    <w:multiLevelType w:val="hybridMultilevel"/>
    <w:tmpl w:val="57FCBF7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82">
    <w:nsid w:val="662F6141"/>
    <w:multiLevelType w:val="hybridMultilevel"/>
    <w:tmpl w:val="A1A4A6AE"/>
    <w:lvl w:ilvl="0" w:tplc="BCD252D6">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83">
    <w:nsid w:val="667979A6"/>
    <w:multiLevelType w:val="hybridMultilevel"/>
    <w:tmpl w:val="3858F82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4">
    <w:nsid w:val="66D826C3"/>
    <w:multiLevelType w:val="hybridMultilevel"/>
    <w:tmpl w:val="9022100E"/>
    <w:lvl w:ilvl="0" w:tplc="0D50062E">
      <w:start w:val="1"/>
      <w:numFmt w:val="decimal"/>
      <w:lvlText w:val="%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5">
    <w:nsid w:val="67457F86"/>
    <w:multiLevelType w:val="hybridMultilevel"/>
    <w:tmpl w:val="3AFE8CB6"/>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86">
    <w:nsid w:val="68BB1A06"/>
    <w:multiLevelType w:val="hybridMultilevel"/>
    <w:tmpl w:val="CE7AA284"/>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87">
    <w:nsid w:val="68C46204"/>
    <w:multiLevelType w:val="hybridMultilevel"/>
    <w:tmpl w:val="EF0AE4C0"/>
    <w:lvl w:ilvl="0" w:tplc="08090001">
      <w:start w:val="1"/>
      <w:numFmt w:val="bullet"/>
      <w:lvlText w:val=""/>
      <w:lvlJc w:val="left"/>
      <w:pPr>
        <w:tabs>
          <w:tab w:val="num" w:pos="360"/>
        </w:tabs>
        <w:ind w:left="360" w:hanging="360"/>
      </w:pPr>
      <w:rPr>
        <w:rFonts w:ascii="Symbol" w:hAnsi="Symbol" w:hint="default"/>
      </w:rPr>
    </w:lvl>
    <w:lvl w:ilvl="1" w:tplc="6248F46E">
      <w:start w:val="1"/>
      <w:numFmt w:val="decimal"/>
      <w:lvlText w:val="%2."/>
      <w:lvlJc w:val="left"/>
      <w:pPr>
        <w:tabs>
          <w:tab w:val="num" w:pos="1440"/>
        </w:tabs>
        <w:ind w:left="1440" w:hanging="360"/>
      </w:pPr>
    </w:lvl>
    <w:lvl w:ilvl="2" w:tplc="A10601E4">
      <w:start w:val="1"/>
      <w:numFmt w:val="decimal"/>
      <w:lvlText w:val="%3."/>
      <w:lvlJc w:val="left"/>
      <w:pPr>
        <w:tabs>
          <w:tab w:val="num" w:pos="2160"/>
        </w:tabs>
        <w:ind w:left="2160" w:hanging="360"/>
      </w:pPr>
    </w:lvl>
    <w:lvl w:ilvl="3" w:tplc="D79C219C">
      <w:start w:val="1"/>
      <w:numFmt w:val="decimal"/>
      <w:lvlText w:val="%4."/>
      <w:lvlJc w:val="left"/>
      <w:pPr>
        <w:tabs>
          <w:tab w:val="num" w:pos="2880"/>
        </w:tabs>
        <w:ind w:left="2880" w:hanging="360"/>
      </w:pPr>
    </w:lvl>
    <w:lvl w:ilvl="4" w:tplc="D6ECD9FA">
      <w:start w:val="1"/>
      <w:numFmt w:val="decimal"/>
      <w:lvlText w:val="%5."/>
      <w:lvlJc w:val="left"/>
      <w:pPr>
        <w:tabs>
          <w:tab w:val="num" w:pos="3600"/>
        </w:tabs>
        <w:ind w:left="3600" w:hanging="360"/>
      </w:pPr>
    </w:lvl>
    <w:lvl w:ilvl="5" w:tplc="D7E05E06">
      <w:start w:val="1"/>
      <w:numFmt w:val="decimal"/>
      <w:lvlText w:val="%6."/>
      <w:lvlJc w:val="left"/>
      <w:pPr>
        <w:tabs>
          <w:tab w:val="num" w:pos="4320"/>
        </w:tabs>
        <w:ind w:left="4320" w:hanging="360"/>
      </w:pPr>
    </w:lvl>
    <w:lvl w:ilvl="6" w:tplc="6388B2F6">
      <w:start w:val="1"/>
      <w:numFmt w:val="decimal"/>
      <w:lvlText w:val="%7."/>
      <w:lvlJc w:val="left"/>
      <w:pPr>
        <w:tabs>
          <w:tab w:val="num" w:pos="5040"/>
        </w:tabs>
        <w:ind w:left="5040" w:hanging="360"/>
      </w:pPr>
    </w:lvl>
    <w:lvl w:ilvl="7" w:tplc="06DEAFD8">
      <w:start w:val="1"/>
      <w:numFmt w:val="decimal"/>
      <w:lvlText w:val="%8."/>
      <w:lvlJc w:val="left"/>
      <w:pPr>
        <w:tabs>
          <w:tab w:val="num" w:pos="5760"/>
        </w:tabs>
        <w:ind w:left="5760" w:hanging="360"/>
      </w:pPr>
    </w:lvl>
    <w:lvl w:ilvl="8" w:tplc="98E4F7A8">
      <w:start w:val="1"/>
      <w:numFmt w:val="decimal"/>
      <w:lvlText w:val="%9."/>
      <w:lvlJc w:val="left"/>
      <w:pPr>
        <w:tabs>
          <w:tab w:val="num" w:pos="6480"/>
        </w:tabs>
        <w:ind w:left="6480" w:hanging="360"/>
      </w:pPr>
    </w:lvl>
  </w:abstractNum>
  <w:abstractNum w:abstractNumId="288">
    <w:nsid w:val="691D4486"/>
    <w:multiLevelType w:val="hybridMultilevel"/>
    <w:tmpl w:val="6276B1AE"/>
    <w:lvl w:ilvl="0" w:tplc="846A55E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9">
    <w:nsid w:val="6A3427CB"/>
    <w:multiLevelType w:val="multilevel"/>
    <w:tmpl w:val="E0B4DD64"/>
    <w:lvl w:ilvl="0">
      <w:start w:val="1"/>
      <w:numFmt w:val="decimal"/>
      <w:lvlText w:val="%1."/>
      <w:lvlJc w:val="left"/>
      <w:pPr>
        <w:ind w:left="929"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90">
    <w:nsid w:val="6A436476"/>
    <w:multiLevelType w:val="hybridMultilevel"/>
    <w:tmpl w:val="C38E9F68"/>
    <w:lvl w:ilvl="0" w:tplc="08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1">
    <w:nsid w:val="6ABC0E19"/>
    <w:multiLevelType w:val="multilevel"/>
    <w:tmpl w:val="35929E14"/>
    <w:lvl w:ilvl="0">
      <w:start w:val="1"/>
      <w:numFmt w:val="bullet"/>
      <w:lvlText w:val=""/>
      <w:lvlJc w:val="left"/>
      <w:pPr>
        <w:tabs>
          <w:tab w:val="num" w:pos="0"/>
        </w:tabs>
        <w:ind w:left="0" w:hanging="39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2">
    <w:nsid w:val="6B35240A"/>
    <w:multiLevelType w:val="hybridMultilevel"/>
    <w:tmpl w:val="147C52BE"/>
    <w:lvl w:ilvl="0" w:tplc="56705B12">
      <w:start w:val="2"/>
      <w:numFmt w:val="bullet"/>
      <w:lvlText w:val="-"/>
      <w:lvlJc w:val="left"/>
      <w:pPr>
        <w:ind w:left="720" w:hanging="360"/>
      </w:pPr>
      <w:rPr>
        <w:rFonts w:ascii="Arial" w:eastAsia="SimSun" w:hAnsi="Arial" w:cs="Wingdings 2" w:hint="default"/>
      </w:rPr>
    </w:lvl>
    <w:lvl w:ilvl="1" w:tplc="040C0003">
      <w:start w:val="1"/>
      <w:numFmt w:val="bullet"/>
      <w:lvlText w:val="o"/>
      <w:lvlJc w:val="left"/>
      <w:pPr>
        <w:ind w:left="1440" w:hanging="360"/>
      </w:pPr>
      <w:rPr>
        <w:rFonts w:ascii="Courier New" w:hAnsi="Courier New" w:cs="Wingdings 2" w:hint="default"/>
      </w:rPr>
    </w:lvl>
    <w:lvl w:ilvl="2" w:tplc="040C0005">
      <w:start w:val="1"/>
      <w:numFmt w:val="bullet"/>
      <w:lvlText w:val=""/>
      <w:lvlJc w:val="left"/>
      <w:pPr>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3">
    <w:nsid w:val="6B753AF5"/>
    <w:multiLevelType w:val="multilevel"/>
    <w:tmpl w:val="6F3CBC18"/>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94">
    <w:nsid w:val="6BEA4AF9"/>
    <w:multiLevelType w:val="multilevel"/>
    <w:tmpl w:val="5A3E69A6"/>
    <w:lvl w:ilvl="0">
      <w:start w:val="2"/>
      <w:numFmt w:val="none"/>
      <w:lvlText w:val="(a)"/>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5">
    <w:nsid w:val="6C80363F"/>
    <w:multiLevelType w:val="hybridMultilevel"/>
    <w:tmpl w:val="0AC8F47A"/>
    <w:lvl w:ilvl="0" w:tplc="EE56F5F2">
      <w:start w:val="1"/>
      <w:numFmt w:val="decimal"/>
      <w:lvlText w:val="%1."/>
      <w:lvlJc w:val="left"/>
      <w:pPr>
        <w:ind w:left="8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6">
    <w:nsid w:val="6CF83A9E"/>
    <w:multiLevelType w:val="hybridMultilevel"/>
    <w:tmpl w:val="EBD6050C"/>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7">
    <w:nsid w:val="6D3F4C58"/>
    <w:multiLevelType w:val="hybridMultilevel"/>
    <w:tmpl w:val="9FDC6C2E"/>
    <w:lvl w:ilvl="0" w:tplc="CE760110">
      <w:start w:val="1"/>
      <w:numFmt w:val="decimal"/>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98">
    <w:nsid w:val="6E7E2ADD"/>
    <w:multiLevelType w:val="hybridMultilevel"/>
    <w:tmpl w:val="861A0696"/>
    <w:lvl w:ilvl="0" w:tplc="67602944">
      <w:start w:val="1"/>
      <w:numFmt w:val="lowerRoman"/>
      <w:lvlText w:val="%1"/>
      <w:lvlJc w:val="left"/>
      <w:pPr>
        <w:ind w:left="121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9">
    <w:nsid w:val="6E921A72"/>
    <w:multiLevelType w:val="hybridMultilevel"/>
    <w:tmpl w:val="9474A472"/>
    <w:lvl w:ilvl="0" w:tplc="02827BD4">
      <w:start w:val="1"/>
      <w:numFmt w:val="bullet"/>
      <w:lvlText w:val=""/>
      <w:lvlJc w:val="left"/>
      <w:pPr>
        <w:tabs>
          <w:tab w:val="num" w:pos="927"/>
        </w:tabs>
        <w:ind w:left="927" w:hanging="360"/>
      </w:pPr>
      <w:rPr>
        <w:rFonts w:ascii="Wingdings 2" w:hAnsi="Wingdings 2"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0">
    <w:nsid w:val="6EBD194B"/>
    <w:multiLevelType w:val="hybridMultilevel"/>
    <w:tmpl w:val="C240C04E"/>
    <w:lvl w:ilvl="0" w:tplc="F69A041A">
      <w:start w:val="1"/>
      <w:numFmt w:val="bullet"/>
      <w:pStyle w:val="Txtpucegras"/>
      <w:lvlText w:val=""/>
      <w:lvlJc w:val="left"/>
      <w:pPr>
        <w:tabs>
          <w:tab w:val="num" w:pos="1134"/>
        </w:tabs>
        <w:ind w:left="1134" w:hanging="283"/>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1">
    <w:nsid w:val="6ECF4E29"/>
    <w:multiLevelType w:val="hybridMultilevel"/>
    <w:tmpl w:val="DE24B57A"/>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02">
    <w:nsid w:val="6FBB1E44"/>
    <w:multiLevelType w:val="hybridMultilevel"/>
    <w:tmpl w:val="C0FAC052"/>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3">
    <w:nsid w:val="70011DE8"/>
    <w:multiLevelType w:val="hybridMultilevel"/>
    <w:tmpl w:val="07E6580C"/>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4">
    <w:nsid w:val="70204183"/>
    <w:multiLevelType w:val="hybridMultilevel"/>
    <w:tmpl w:val="14A8CFFE"/>
    <w:lvl w:ilvl="0" w:tplc="C4E8824E">
      <w:start w:val="1"/>
      <w:numFmt w:val="lowerLetter"/>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05">
    <w:nsid w:val="70263B28"/>
    <w:multiLevelType w:val="hybridMultilevel"/>
    <w:tmpl w:val="02E8FA7A"/>
    <w:lvl w:ilvl="0" w:tplc="C58662DE">
      <w:start w:val="1"/>
      <w:numFmt w:val="bullet"/>
      <w:lvlText w:val="–"/>
      <w:lvlJc w:val="left"/>
      <w:pPr>
        <w:tabs>
          <w:tab w:val="num" w:pos="1219"/>
        </w:tabs>
        <w:ind w:left="1219" w:hanging="368"/>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6">
    <w:nsid w:val="70C57F62"/>
    <w:multiLevelType w:val="hybridMultilevel"/>
    <w:tmpl w:val="F9000E08"/>
    <w:lvl w:ilvl="0" w:tplc="86DE94BC">
      <w:numFmt w:val="bullet"/>
      <w:lvlText w:val="–"/>
      <w:lvlJc w:val="left"/>
      <w:pPr>
        <w:tabs>
          <w:tab w:val="num" w:pos="1134"/>
        </w:tabs>
        <w:ind w:left="1134" w:hanging="283"/>
      </w:pPr>
      <w:rPr>
        <w:rFonts w:ascii="Arial" w:eastAsia="SimSun" w:hAnsi="Arial" w:hint="default"/>
      </w:rPr>
    </w:lvl>
    <w:lvl w:ilvl="1" w:tplc="040C0003">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07">
    <w:nsid w:val="712D1837"/>
    <w:multiLevelType w:val="multilevel"/>
    <w:tmpl w:val="2FD429C8"/>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08">
    <w:nsid w:val="71395F35"/>
    <w:multiLevelType w:val="multilevel"/>
    <w:tmpl w:val="C4B84FF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09">
    <w:nsid w:val="715E6F3F"/>
    <w:multiLevelType w:val="multilevel"/>
    <w:tmpl w:val="994CA426"/>
    <w:lvl w:ilvl="0">
      <w:start w:val="2"/>
      <w:numFmt w:val="none"/>
      <w:lvlText w:val="(b)"/>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10">
    <w:nsid w:val="718420D3"/>
    <w:multiLevelType w:val="multilevel"/>
    <w:tmpl w:val="B5A864AA"/>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1">
    <w:nsid w:val="71F51533"/>
    <w:multiLevelType w:val="hybridMultilevel"/>
    <w:tmpl w:val="DD8A7FFE"/>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312">
    <w:nsid w:val="721D185A"/>
    <w:multiLevelType w:val="hybridMultilevel"/>
    <w:tmpl w:val="E04662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3">
    <w:nsid w:val="72DA69CA"/>
    <w:multiLevelType w:val="multilevel"/>
    <w:tmpl w:val="F9F0219E"/>
    <w:lvl w:ilvl="0">
      <w:start w:val="1"/>
      <w:numFmt w:val="none"/>
      <w:lvlText w:val="1"/>
      <w:lvlJc w:val="left"/>
      <w:pPr>
        <w:ind w:left="1380"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314">
    <w:nsid w:val="734A2436"/>
    <w:multiLevelType w:val="hybridMultilevel"/>
    <w:tmpl w:val="CA662910"/>
    <w:lvl w:ilvl="0" w:tplc="08090001">
      <w:start w:val="1"/>
      <w:numFmt w:val="bullet"/>
      <w:lvlText w:val=""/>
      <w:lvlJc w:val="left"/>
      <w:pPr>
        <w:tabs>
          <w:tab w:val="num" w:pos="360"/>
        </w:tabs>
        <w:ind w:left="36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15">
    <w:nsid w:val="734C759F"/>
    <w:multiLevelType w:val="hybridMultilevel"/>
    <w:tmpl w:val="617A0BB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16">
    <w:nsid w:val="735D010B"/>
    <w:multiLevelType w:val="multilevel"/>
    <w:tmpl w:val="781C410C"/>
    <w:lvl w:ilvl="0">
      <w:start w:val="1"/>
      <w:numFmt w:val="lowerRoman"/>
      <w:lvlText w:val="(i)%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17">
    <w:nsid w:val="73C06035"/>
    <w:multiLevelType w:val="hybridMultilevel"/>
    <w:tmpl w:val="303A6BDE"/>
    <w:lvl w:ilvl="0" w:tplc="08090001">
      <w:start w:val="1"/>
      <w:numFmt w:val="bullet"/>
      <w:lvlText w:val=""/>
      <w:lvlJc w:val="left"/>
      <w:pPr>
        <w:tabs>
          <w:tab w:val="num" w:pos="720"/>
        </w:tabs>
        <w:ind w:left="720" w:hanging="360"/>
      </w:pPr>
      <w:rPr>
        <w:rFonts w:ascii="Symbol" w:hAnsi="Symbol" w:hint="default"/>
      </w:rPr>
    </w:lvl>
    <w:lvl w:ilvl="1" w:tplc="1C090019">
      <w:start w:val="1"/>
      <w:numFmt w:val="lowerLetter"/>
      <w:lvlText w:val="%2."/>
      <w:lvlJc w:val="left"/>
      <w:pPr>
        <w:ind w:left="1800" w:hanging="360"/>
      </w:pPr>
    </w:lvl>
    <w:lvl w:ilvl="2" w:tplc="D0FE2D86">
      <w:start w:val="1"/>
      <w:numFmt w:val="decimal"/>
      <w:lvlText w:val="%3)"/>
      <w:lvlJc w:val="left"/>
      <w:pPr>
        <w:ind w:left="270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318">
    <w:nsid w:val="73C63F88"/>
    <w:multiLevelType w:val="multilevel"/>
    <w:tmpl w:val="9EACCED4"/>
    <w:lvl w:ilvl="0">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19">
    <w:nsid w:val="73DC7F49"/>
    <w:multiLevelType w:val="multilevel"/>
    <w:tmpl w:val="6D42177A"/>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0">
    <w:nsid w:val="741644FD"/>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1">
    <w:nsid w:val="74D84361"/>
    <w:multiLevelType w:val="hybridMultilevel"/>
    <w:tmpl w:val="7860A158"/>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2">
    <w:nsid w:val="74F23C0B"/>
    <w:multiLevelType w:val="hybridMultilevel"/>
    <w:tmpl w:val="43A46866"/>
    <w:lvl w:ilvl="0" w:tplc="CE760110">
      <w:start w:val="1"/>
      <w:numFmt w:val="decimal"/>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323">
    <w:nsid w:val="755932CD"/>
    <w:multiLevelType w:val="hybridMultilevel"/>
    <w:tmpl w:val="44B06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4">
    <w:nsid w:val="7580111F"/>
    <w:multiLevelType w:val="multilevel"/>
    <w:tmpl w:val="5734F66E"/>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5">
    <w:nsid w:val="75B86549"/>
    <w:multiLevelType w:val="hybridMultilevel"/>
    <w:tmpl w:val="BD68F6C8"/>
    <w:lvl w:ilvl="0" w:tplc="D3C82D2A">
      <w:start w:val="1"/>
      <w:numFmt w:val="bullet"/>
      <w:lvlText w:val=""/>
      <w:lvlJc w:val="left"/>
      <w:pPr>
        <w:tabs>
          <w:tab w:val="num" w:pos="907"/>
        </w:tabs>
        <w:ind w:left="907" w:hanging="34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6">
    <w:nsid w:val="75C00D35"/>
    <w:multiLevelType w:val="hybridMultilevel"/>
    <w:tmpl w:val="2DB6EDA6"/>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7">
    <w:nsid w:val="76347086"/>
    <w:multiLevelType w:val="multilevel"/>
    <w:tmpl w:val="492EB7B6"/>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28">
    <w:nsid w:val="76AC7075"/>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29">
    <w:nsid w:val="76D34B7D"/>
    <w:multiLevelType w:val="hybridMultilevel"/>
    <w:tmpl w:val="97F0696A"/>
    <w:lvl w:ilvl="0" w:tplc="EE56F5F2">
      <w:start w:val="1"/>
      <w:numFmt w:val="decimal"/>
      <w:lvlText w:val="%1."/>
      <w:lvlJc w:val="left"/>
      <w:pPr>
        <w:ind w:left="172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30">
    <w:nsid w:val="77CF1590"/>
    <w:multiLevelType w:val="multilevel"/>
    <w:tmpl w:val="459CDE98"/>
    <w:lvl w:ilvl="0">
      <w:start w:val="1"/>
      <w:numFmt w:val="bullet"/>
      <w:lvlText w:val=""/>
      <w:lvlJc w:val="left"/>
      <w:pPr>
        <w:tabs>
          <w:tab w:val="num" w:pos="907"/>
        </w:tabs>
        <w:ind w:left="567" w:firstLine="284"/>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1">
    <w:nsid w:val="79016D5E"/>
    <w:multiLevelType w:val="multilevel"/>
    <w:tmpl w:val="948A0C22"/>
    <w:lvl w:ilvl="0">
      <w:start w:val="2"/>
      <w:numFmt w:val="none"/>
      <w:lvlText w:val="(d)"/>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2">
    <w:nsid w:val="790B7D50"/>
    <w:multiLevelType w:val="multilevel"/>
    <w:tmpl w:val="4EFEDF3C"/>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3">
    <w:nsid w:val="790C219A"/>
    <w:multiLevelType w:val="multilevel"/>
    <w:tmpl w:val="5364736C"/>
    <w:lvl w:ilvl="0">
      <w:start w:val="1"/>
      <w:numFmt w:val="lowerLetter"/>
      <w:lvlText w:val="(%1)"/>
      <w:lvlJc w:val="left"/>
      <w:pPr>
        <w:tabs>
          <w:tab w:val="num" w:pos="1758"/>
        </w:tabs>
        <w:ind w:left="1758"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4">
    <w:nsid w:val="792B3964"/>
    <w:multiLevelType w:val="hybridMultilevel"/>
    <w:tmpl w:val="DA94E548"/>
    <w:lvl w:ilvl="0" w:tplc="6D9ECB94">
      <w:start w:val="1"/>
      <w:numFmt w:val="decimal"/>
      <w:lvlText w:val="%1."/>
      <w:lvlJc w:val="left"/>
      <w:pPr>
        <w:ind w:left="930" w:hanging="360"/>
      </w:pPr>
      <w:rPr>
        <w:rFonts w:hint="default"/>
      </w:rPr>
    </w:lvl>
    <w:lvl w:ilvl="1" w:tplc="040C0019">
      <w:start w:val="1"/>
      <w:numFmt w:val="lowerLetter"/>
      <w:lvlText w:val="%2."/>
      <w:lvlJc w:val="left"/>
      <w:pPr>
        <w:ind w:left="1953" w:hanging="360"/>
      </w:pPr>
    </w:lvl>
    <w:lvl w:ilvl="2" w:tplc="040C001B" w:tentative="1">
      <w:start w:val="1"/>
      <w:numFmt w:val="lowerRoman"/>
      <w:lvlText w:val="%3."/>
      <w:lvlJc w:val="right"/>
      <w:pPr>
        <w:ind w:left="2673" w:hanging="180"/>
      </w:pPr>
    </w:lvl>
    <w:lvl w:ilvl="3" w:tplc="040C000F" w:tentative="1">
      <w:start w:val="1"/>
      <w:numFmt w:val="decimal"/>
      <w:lvlText w:val="%4."/>
      <w:lvlJc w:val="left"/>
      <w:pPr>
        <w:ind w:left="3393" w:hanging="360"/>
      </w:pPr>
    </w:lvl>
    <w:lvl w:ilvl="4" w:tplc="040C0019" w:tentative="1">
      <w:start w:val="1"/>
      <w:numFmt w:val="lowerLetter"/>
      <w:lvlText w:val="%5."/>
      <w:lvlJc w:val="left"/>
      <w:pPr>
        <w:ind w:left="4113" w:hanging="360"/>
      </w:pPr>
    </w:lvl>
    <w:lvl w:ilvl="5" w:tplc="040C001B" w:tentative="1">
      <w:start w:val="1"/>
      <w:numFmt w:val="lowerRoman"/>
      <w:lvlText w:val="%6."/>
      <w:lvlJc w:val="right"/>
      <w:pPr>
        <w:ind w:left="4833" w:hanging="180"/>
      </w:pPr>
    </w:lvl>
    <w:lvl w:ilvl="6" w:tplc="040C000F" w:tentative="1">
      <w:start w:val="1"/>
      <w:numFmt w:val="decimal"/>
      <w:lvlText w:val="%7."/>
      <w:lvlJc w:val="left"/>
      <w:pPr>
        <w:ind w:left="5553" w:hanging="360"/>
      </w:pPr>
    </w:lvl>
    <w:lvl w:ilvl="7" w:tplc="040C0019" w:tentative="1">
      <w:start w:val="1"/>
      <w:numFmt w:val="lowerLetter"/>
      <w:lvlText w:val="%8."/>
      <w:lvlJc w:val="left"/>
      <w:pPr>
        <w:ind w:left="6273" w:hanging="360"/>
      </w:pPr>
    </w:lvl>
    <w:lvl w:ilvl="8" w:tplc="040C001B" w:tentative="1">
      <w:start w:val="1"/>
      <w:numFmt w:val="lowerRoman"/>
      <w:lvlText w:val="%9."/>
      <w:lvlJc w:val="right"/>
      <w:pPr>
        <w:ind w:left="6993" w:hanging="180"/>
      </w:pPr>
    </w:lvl>
  </w:abstractNum>
  <w:abstractNum w:abstractNumId="335">
    <w:nsid w:val="798E0F67"/>
    <w:multiLevelType w:val="hybridMultilevel"/>
    <w:tmpl w:val="1786CEDE"/>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36">
    <w:nsid w:val="799C36F3"/>
    <w:multiLevelType w:val="multilevel"/>
    <w:tmpl w:val="77DE0960"/>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7">
    <w:nsid w:val="799D4FA5"/>
    <w:multiLevelType w:val="hybridMultilevel"/>
    <w:tmpl w:val="3878C3AA"/>
    <w:lvl w:ilvl="0" w:tplc="2ACA0304">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38">
    <w:nsid w:val="79BB4986"/>
    <w:multiLevelType w:val="hybridMultilevel"/>
    <w:tmpl w:val="83D27DD0"/>
    <w:lvl w:ilvl="0" w:tplc="C4E8824E">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39">
    <w:nsid w:val="7A560663"/>
    <w:multiLevelType w:val="hybridMultilevel"/>
    <w:tmpl w:val="324A9D76"/>
    <w:lvl w:ilvl="0" w:tplc="EE56F5F2">
      <w:start w:val="1"/>
      <w:numFmt w:val="decimal"/>
      <w:lvlText w:val="%1."/>
      <w:lvlJc w:val="left"/>
      <w:pPr>
        <w:ind w:left="8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0">
    <w:nsid w:val="7A5E34E1"/>
    <w:multiLevelType w:val="hybridMultilevel"/>
    <w:tmpl w:val="AFBC6BAC"/>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647"/>
        </w:tabs>
        <w:ind w:left="1647" w:hanging="360"/>
      </w:pPr>
    </w:lvl>
    <w:lvl w:ilvl="2" w:tplc="1C090005">
      <w:start w:val="1"/>
      <w:numFmt w:val="decimal"/>
      <w:lvlText w:val="%3."/>
      <w:lvlJc w:val="left"/>
      <w:pPr>
        <w:tabs>
          <w:tab w:val="num" w:pos="2367"/>
        </w:tabs>
        <w:ind w:left="2367" w:hanging="360"/>
      </w:pPr>
    </w:lvl>
    <w:lvl w:ilvl="3" w:tplc="1C090001">
      <w:start w:val="1"/>
      <w:numFmt w:val="decimal"/>
      <w:lvlText w:val="%4."/>
      <w:lvlJc w:val="left"/>
      <w:pPr>
        <w:tabs>
          <w:tab w:val="num" w:pos="3087"/>
        </w:tabs>
        <w:ind w:left="3087" w:hanging="360"/>
      </w:pPr>
    </w:lvl>
    <w:lvl w:ilvl="4" w:tplc="1C090003">
      <w:start w:val="1"/>
      <w:numFmt w:val="decimal"/>
      <w:lvlText w:val="%5."/>
      <w:lvlJc w:val="left"/>
      <w:pPr>
        <w:tabs>
          <w:tab w:val="num" w:pos="3807"/>
        </w:tabs>
        <w:ind w:left="3807" w:hanging="360"/>
      </w:pPr>
    </w:lvl>
    <w:lvl w:ilvl="5" w:tplc="1C090005">
      <w:start w:val="1"/>
      <w:numFmt w:val="decimal"/>
      <w:lvlText w:val="%6."/>
      <w:lvlJc w:val="left"/>
      <w:pPr>
        <w:tabs>
          <w:tab w:val="num" w:pos="4527"/>
        </w:tabs>
        <w:ind w:left="4527" w:hanging="360"/>
      </w:pPr>
    </w:lvl>
    <w:lvl w:ilvl="6" w:tplc="1C090001">
      <w:start w:val="1"/>
      <w:numFmt w:val="decimal"/>
      <w:lvlText w:val="%7."/>
      <w:lvlJc w:val="left"/>
      <w:pPr>
        <w:tabs>
          <w:tab w:val="num" w:pos="5247"/>
        </w:tabs>
        <w:ind w:left="5247" w:hanging="360"/>
      </w:pPr>
    </w:lvl>
    <w:lvl w:ilvl="7" w:tplc="1C090003">
      <w:start w:val="1"/>
      <w:numFmt w:val="decimal"/>
      <w:lvlText w:val="%8."/>
      <w:lvlJc w:val="left"/>
      <w:pPr>
        <w:tabs>
          <w:tab w:val="num" w:pos="5967"/>
        </w:tabs>
        <w:ind w:left="5967" w:hanging="360"/>
      </w:pPr>
    </w:lvl>
    <w:lvl w:ilvl="8" w:tplc="1C090005">
      <w:start w:val="1"/>
      <w:numFmt w:val="decimal"/>
      <w:lvlText w:val="%9."/>
      <w:lvlJc w:val="left"/>
      <w:pPr>
        <w:tabs>
          <w:tab w:val="num" w:pos="6687"/>
        </w:tabs>
        <w:ind w:left="6687" w:hanging="360"/>
      </w:pPr>
    </w:lvl>
  </w:abstractNum>
  <w:abstractNum w:abstractNumId="341">
    <w:nsid w:val="7A846041"/>
    <w:multiLevelType w:val="multilevel"/>
    <w:tmpl w:val="FCC2641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2">
    <w:nsid w:val="7AB3716C"/>
    <w:multiLevelType w:val="multilevel"/>
    <w:tmpl w:val="C9B0DDC0"/>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3">
    <w:nsid w:val="7BD27564"/>
    <w:multiLevelType w:val="multilevel"/>
    <w:tmpl w:val="9A4A861E"/>
    <w:lvl w:ilvl="0">
      <w:start w:val="1"/>
      <w:numFmt w:val="lowerLetter"/>
      <w:lvlText w:val="%1)"/>
      <w:lvlJc w:val="left"/>
      <w:pPr>
        <w:ind w:left="927"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4">
    <w:nsid w:val="7BD74204"/>
    <w:multiLevelType w:val="hybridMultilevel"/>
    <w:tmpl w:val="8FB6C784"/>
    <w:lvl w:ilvl="0" w:tplc="590A27DA">
      <w:start w:val="1"/>
      <w:numFmt w:val="bullet"/>
      <w:lvlText w:val=""/>
      <w:lvlJc w:val="left"/>
      <w:pPr>
        <w:ind w:left="927" w:hanging="927"/>
      </w:pPr>
      <w:rPr>
        <w:rFonts w:ascii="Symbol" w:hAnsi="Symbol" w:hint="default"/>
      </w:rPr>
    </w:lvl>
    <w:lvl w:ilvl="1" w:tplc="040C0003" w:tentative="1">
      <w:start w:val="1"/>
      <w:numFmt w:val="bullet"/>
      <w:lvlText w:val="o"/>
      <w:lvlJc w:val="left"/>
      <w:pPr>
        <w:ind w:left="930" w:hanging="360"/>
      </w:pPr>
      <w:rPr>
        <w:rFonts w:ascii="Courier New" w:hAnsi="Courier New" w:hint="default"/>
      </w:rPr>
    </w:lvl>
    <w:lvl w:ilvl="2" w:tplc="040C0005" w:tentative="1">
      <w:start w:val="1"/>
      <w:numFmt w:val="bullet"/>
      <w:lvlText w:val=""/>
      <w:lvlJc w:val="left"/>
      <w:pPr>
        <w:ind w:left="1650" w:hanging="360"/>
      </w:pPr>
      <w:rPr>
        <w:rFonts w:ascii="Wingdings" w:hAnsi="Wingdings" w:hint="default"/>
      </w:rPr>
    </w:lvl>
    <w:lvl w:ilvl="3" w:tplc="040C0001" w:tentative="1">
      <w:start w:val="1"/>
      <w:numFmt w:val="bullet"/>
      <w:lvlText w:val=""/>
      <w:lvlJc w:val="left"/>
      <w:pPr>
        <w:ind w:left="2370" w:hanging="360"/>
      </w:pPr>
      <w:rPr>
        <w:rFonts w:ascii="Symbol" w:hAnsi="Symbol" w:hint="default"/>
      </w:rPr>
    </w:lvl>
    <w:lvl w:ilvl="4" w:tplc="040C0003" w:tentative="1">
      <w:start w:val="1"/>
      <w:numFmt w:val="bullet"/>
      <w:lvlText w:val="o"/>
      <w:lvlJc w:val="left"/>
      <w:pPr>
        <w:ind w:left="3090" w:hanging="360"/>
      </w:pPr>
      <w:rPr>
        <w:rFonts w:ascii="Courier New" w:hAnsi="Courier New" w:hint="default"/>
      </w:rPr>
    </w:lvl>
    <w:lvl w:ilvl="5" w:tplc="040C0005" w:tentative="1">
      <w:start w:val="1"/>
      <w:numFmt w:val="bullet"/>
      <w:lvlText w:val=""/>
      <w:lvlJc w:val="left"/>
      <w:pPr>
        <w:ind w:left="3810" w:hanging="360"/>
      </w:pPr>
      <w:rPr>
        <w:rFonts w:ascii="Wingdings" w:hAnsi="Wingdings" w:hint="default"/>
      </w:rPr>
    </w:lvl>
    <w:lvl w:ilvl="6" w:tplc="040C0001" w:tentative="1">
      <w:start w:val="1"/>
      <w:numFmt w:val="bullet"/>
      <w:lvlText w:val=""/>
      <w:lvlJc w:val="left"/>
      <w:pPr>
        <w:ind w:left="4530" w:hanging="360"/>
      </w:pPr>
      <w:rPr>
        <w:rFonts w:ascii="Symbol" w:hAnsi="Symbol" w:hint="default"/>
      </w:rPr>
    </w:lvl>
    <w:lvl w:ilvl="7" w:tplc="040C0003" w:tentative="1">
      <w:start w:val="1"/>
      <w:numFmt w:val="bullet"/>
      <w:lvlText w:val="o"/>
      <w:lvlJc w:val="left"/>
      <w:pPr>
        <w:ind w:left="5250" w:hanging="360"/>
      </w:pPr>
      <w:rPr>
        <w:rFonts w:ascii="Courier New" w:hAnsi="Courier New" w:hint="default"/>
      </w:rPr>
    </w:lvl>
    <w:lvl w:ilvl="8" w:tplc="040C0005" w:tentative="1">
      <w:start w:val="1"/>
      <w:numFmt w:val="bullet"/>
      <w:lvlText w:val=""/>
      <w:lvlJc w:val="left"/>
      <w:pPr>
        <w:ind w:left="5970" w:hanging="360"/>
      </w:pPr>
      <w:rPr>
        <w:rFonts w:ascii="Wingdings" w:hAnsi="Wingdings" w:hint="default"/>
      </w:rPr>
    </w:lvl>
  </w:abstractNum>
  <w:abstractNum w:abstractNumId="345">
    <w:nsid w:val="7CB16128"/>
    <w:multiLevelType w:val="hybridMultilevel"/>
    <w:tmpl w:val="E8DC0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6">
    <w:nsid w:val="7CE77BE6"/>
    <w:multiLevelType w:val="multilevel"/>
    <w:tmpl w:val="F0C2D4F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7">
    <w:nsid w:val="7D754147"/>
    <w:multiLevelType w:val="hybridMultilevel"/>
    <w:tmpl w:val="0D887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8">
    <w:nsid w:val="7E2C3266"/>
    <w:multiLevelType w:val="hybridMultilevel"/>
    <w:tmpl w:val="E63665E0"/>
    <w:lvl w:ilvl="0" w:tplc="E3DE717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49">
    <w:nsid w:val="7EBE0F71"/>
    <w:multiLevelType w:val="hybridMultilevel"/>
    <w:tmpl w:val="940ADB0C"/>
    <w:lvl w:ilvl="0" w:tplc="71B0E7A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0">
    <w:nsid w:val="7ECE6FBD"/>
    <w:multiLevelType w:val="hybridMultilevel"/>
    <w:tmpl w:val="F8F6805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1">
    <w:nsid w:val="7ED048C2"/>
    <w:multiLevelType w:val="multilevel"/>
    <w:tmpl w:val="6F8CEFF0"/>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52">
    <w:nsid w:val="7ED741CB"/>
    <w:multiLevelType w:val="hybridMultilevel"/>
    <w:tmpl w:val="6C2646DC"/>
    <w:lvl w:ilvl="0" w:tplc="C360C63E">
      <w:start w:val="2"/>
      <w:numFmt w:val="none"/>
      <w:lvlText w:val="(a)"/>
      <w:lvlJc w:val="left"/>
      <w:pPr>
        <w:tabs>
          <w:tab w:val="num" w:pos="1418"/>
        </w:tabs>
        <w:ind w:left="1418"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3">
    <w:nsid w:val="7FAE7E15"/>
    <w:multiLevelType w:val="multilevel"/>
    <w:tmpl w:val="9D984424"/>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4">
    <w:nsid w:val="7FCB6773"/>
    <w:multiLevelType w:val="hybridMultilevel"/>
    <w:tmpl w:val="F1A60D46"/>
    <w:lvl w:ilvl="0" w:tplc="040C000F">
      <w:start w:val="1"/>
      <w:numFmt w:val="decimal"/>
      <w:lvlText w:val="%1."/>
      <w:lvlJc w:val="left"/>
      <w:pPr>
        <w:ind w:left="1740" w:hanging="360"/>
      </w:p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num w:numId="1">
    <w:abstractNumId w:val="181"/>
  </w:num>
  <w:num w:numId="2">
    <w:abstractNumId w:val="206"/>
  </w:num>
  <w:num w:numId="3">
    <w:abstractNumId w:val="271"/>
  </w:num>
  <w:num w:numId="4">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0"/>
  </w:num>
  <w:num w:numId="7">
    <w:abstractNumId w:val="281"/>
  </w:num>
  <w:num w:numId="8">
    <w:abstractNumId w:val="238"/>
  </w:num>
  <w:num w:numId="9">
    <w:abstractNumId w:val="290"/>
  </w:num>
  <w:num w:numId="10">
    <w:abstractNumId w:val="220"/>
  </w:num>
  <w:num w:numId="11">
    <w:abstractNumId w:val="224"/>
  </w:num>
  <w:num w:numId="12">
    <w:abstractNumId w:val="261"/>
  </w:num>
  <w:num w:numId="13">
    <w:abstractNumId w:val="29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2"/>
  </w:num>
  <w:num w:numId="18">
    <w:abstractNumId w:val="22"/>
  </w:num>
  <w:num w:numId="19">
    <w:abstractNumId w:val="41"/>
  </w:num>
  <w:num w:numId="20">
    <w:abstractNumId w:val="335"/>
  </w:num>
  <w:num w:numId="21">
    <w:abstractNumId w:val="76"/>
  </w:num>
  <w:num w:numId="22">
    <w:abstractNumId w:val="252"/>
  </w:num>
  <w:num w:numId="23">
    <w:abstractNumId w:val="30"/>
  </w:num>
  <w:num w:numId="24">
    <w:abstractNumId w:val="167"/>
  </w:num>
  <w:num w:numId="25">
    <w:abstractNumId w:val="233"/>
  </w:num>
  <w:num w:numId="26">
    <w:abstractNumId w:val="92"/>
  </w:num>
  <w:num w:numId="27">
    <w:abstractNumId w:val="57"/>
  </w:num>
  <w:num w:numId="28">
    <w:abstractNumId w:val="223"/>
  </w:num>
  <w:num w:numId="29">
    <w:abstractNumId w:val="66"/>
  </w:num>
  <w:num w:numId="30">
    <w:abstractNumId w:val="315"/>
  </w:num>
  <w:num w:numId="31">
    <w:abstractNumId w:val="19"/>
  </w:num>
  <w:num w:numId="32">
    <w:abstractNumId w:val="79"/>
  </w:num>
  <w:num w:numId="33">
    <w:abstractNumId w:val="189"/>
  </w:num>
  <w:num w:numId="34">
    <w:abstractNumId w:val="239"/>
  </w:num>
  <w:num w:numId="35">
    <w:abstractNumId w:val="103"/>
  </w:num>
  <w:num w:numId="36">
    <w:abstractNumId w:val="143"/>
  </w:num>
  <w:num w:numId="37">
    <w:abstractNumId w:val="340"/>
  </w:num>
  <w:num w:numId="38">
    <w:abstractNumId w:val="6"/>
  </w:num>
  <w:num w:numId="39">
    <w:abstractNumId w:val="317"/>
  </w:num>
  <w:num w:numId="40">
    <w:abstractNumId w:val="186"/>
  </w:num>
  <w:num w:numId="41">
    <w:abstractNumId w:val="214"/>
  </w:num>
  <w:num w:numId="42">
    <w:abstractNumId w:val="157"/>
  </w:num>
  <w:num w:numId="43">
    <w:abstractNumId w:val="149"/>
  </w:num>
  <w:num w:numId="44">
    <w:abstractNumId w:val="267"/>
  </w:num>
  <w:num w:numId="45">
    <w:abstractNumId w:val="147"/>
  </w:num>
  <w:num w:numId="46">
    <w:abstractNumId w:val="145"/>
  </w:num>
  <w:num w:numId="47">
    <w:abstractNumId w:val="247"/>
  </w:num>
  <w:num w:numId="48">
    <w:abstractNumId w:val="191"/>
  </w:num>
  <w:num w:numId="49">
    <w:abstractNumId w:val="136"/>
  </w:num>
  <w:num w:numId="50">
    <w:abstractNumId w:val="130"/>
  </w:num>
  <w:num w:numId="51">
    <w:abstractNumId w:val="111"/>
  </w:num>
  <w:num w:numId="52">
    <w:abstractNumId w:val="287"/>
  </w:num>
  <w:num w:numId="53">
    <w:abstractNumId w:val="302"/>
  </w:num>
  <w:num w:numId="54">
    <w:abstractNumId w:val="192"/>
  </w:num>
  <w:num w:numId="55">
    <w:abstractNumId w:val="83"/>
  </w:num>
  <w:num w:numId="56">
    <w:abstractNumId w:val="173"/>
  </w:num>
  <w:num w:numId="57">
    <w:abstractNumId w:val="133"/>
  </w:num>
  <w:num w:numId="58">
    <w:abstractNumId w:val="93"/>
  </w:num>
  <w:num w:numId="59">
    <w:abstractNumId w:val="32"/>
  </w:num>
  <w:num w:numId="60">
    <w:abstractNumId w:val="24"/>
  </w:num>
  <w:num w:numId="61">
    <w:abstractNumId w:val="285"/>
  </w:num>
  <w:num w:numId="62">
    <w:abstractNumId w:val="254"/>
  </w:num>
  <w:num w:numId="63">
    <w:abstractNumId w:val="314"/>
  </w:num>
  <w:num w:numId="64">
    <w:abstractNumId w:val="175"/>
  </w:num>
  <w:num w:numId="65">
    <w:abstractNumId w:val="33"/>
  </w:num>
  <w:num w:numId="66">
    <w:abstractNumId w:val="88"/>
  </w:num>
  <w:num w:numId="67">
    <w:abstractNumId w:val="60"/>
  </w:num>
  <w:num w:numId="68">
    <w:abstractNumId w:val="118"/>
  </w:num>
  <w:num w:numId="69">
    <w:abstractNumId w:val="259"/>
  </w:num>
  <w:num w:numId="70">
    <w:abstractNumId w:val="242"/>
  </w:num>
  <w:num w:numId="71">
    <w:abstractNumId w:val="71"/>
  </w:num>
  <w:num w:numId="72">
    <w:abstractNumId w:val="112"/>
  </w:num>
  <w:num w:numId="73">
    <w:abstractNumId w:val="292"/>
  </w:num>
  <w:num w:numId="74">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7"/>
  </w:num>
  <w:num w:numId="76">
    <w:abstractNumId w:val="159"/>
  </w:num>
  <w:num w:numId="77">
    <w:abstractNumId w:val="1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9"/>
  </w:num>
  <w:num w:numId="84">
    <w:abstractNumId w:val="272"/>
  </w:num>
  <w:num w:numId="85">
    <w:abstractNumId w:val="18"/>
  </w:num>
  <w:num w:numId="86">
    <w:abstractNumId w:val="177"/>
  </w:num>
  <w:num w:numId="87">
    <w:abstractNumId w:val="127"/>
  </w:num>
  <w:num w:numId="88">
    <w:abstractNumId w:val="172"/>
  </w:num>
  <w:num w:numId="89">
    <w:abstractNumId w:val="326"/>
  </w:num>
  <w:num w:numId="90">
    <w:abstractNumId w:val="243"/>
  </w:num>
  <w:num w:numId="91">
    <w:abstractNumId w:val="15"/>
  </w:num>
  <w:num w:numId="92">
    <w:abstractNumId w:val="312"/>
  </w:num>
  <w:num w:numId="93">
    <w:abstractNumId w:val="205"/>
  </w:num>
  <w:num w:numId="94">
    <w:abstractNumId w:val="258"/>
  </w:num>
  <w:num w:numId="95">
    <w:abstractNumId w:val="345"/>
  </w:num>
  <w:num w:numId="96">
    <w:abstractNumId w:val="90"/>
  </w:num>
  <w:num w:numId="97">
    <w:abstractNumId w:val="283"/>
  </w:num>
  <w:num w:numId="98">
    <w:abstractNumId w:val="44"/>
  </w:num>
  <w:num w:numId="99">
    <w:abstractNumId w:val="323"/>
  </w:num>
  <w:num w:numId="100">
    <w:abstractNumId w:val="134"/>
  </w:num>
  <w:num w:numId="101">
    <w:abstractNumId w:val="135"/>
  </w:num>
  <w:num w:numId="102">
    <w:abstractNumId w:val="284"/>
    <w:lvlOverride w:ilvl="0">
      <w:startOverride w:val="1"/>
    </w:lvlOverride>
  </w:num>
  <w:num w:numId="103">
    <w:abstractNumId w:val="284"/>
  </w:num>
  <w:num w:numId="104">
    <w:abstractNumId w:val="115"/>
  </w:num>
  <w:num w:numId="105">
    <w:abstractNumId w:val="69"/>
  </w:num>
  <w:num w:numId="106">
    <w:abstractNumId w:val="347"/>
  </w:num>
  <w:num w:numId="107">
    <w:abstractNumId w:val="203"/>
  </w:num>
  <w:num w:numId="108">
    <w:abstractNumId w:val="0"/>
  </w:num>
  <w:num w:numId="109">
    <w:abstractNumId w:val="288"/>
  </w:num>
  <w:num w:numId="110">
    <w:abstractNumId w:val="300"/>
  </w:num>
  <w:num w:numId="111">
    <w:abstractNumId w:val="300"/>
  </w:num>
  <w:num w:numId="112">
    <w:abstractNumId w:val="300"/>
  </w:num>
  <w:num w:numId="113">
    <w:abstractNumId w:val="300"/>
  </w:num>
  <w:num w:numId="114">
    <w:abstractNumId w:val="300"/>
  </w:num>
  <w:num w:numId="115">
    <w:abstractNumId w:val="300"/>
  </w:num>
  <w:num w:numId="116">
    <w:abstractNumId w:val="300"/>
  </w:num>
  <w:num w:numId="117">
    <w:abstractNumId w:val="300"/>
  </w:num>
  <w:num w:numId="118">
    <w:abstractNumId w:val="300"/>
  </w:num>
  <w:num w:numId="119">
    <w:abstractNumId w:val="300"/>
  </w:num>
  <w:num w:numId="120">
    <w:abstractNumId w:val="300"/>
  </w:num>
  <w:num w:numId="121">
    <w:abstractNumId w:val="300"/>
  </w:num>
  <w:num w:numId="122">
    <w:abstractNumId w:val="300"/>
  </w:num>
  <w:num w:numId="123">
    <w:abstractNumId w:val="300"/>
  </w:num>
  <w:num w:numId="124">
    <w:abstractNumId w:val="300"/>
  </w:num>
  <w:num w:numId="125">
    <w:abstractNumId w:val="300"/>
  </w:num>
  <w:num w:numId="126">
    <w:abstractNumId w:val="300"/>
  </w:num>
  <w:num w:numId="127">
    <w:abstractNumId w:val="300"/>
  </w:num>
  <w:num w:numId="128">
    <w:abstractNumId w:val="300"/>
  </w:num>
  <w:num w:numId="129">
    <w:abstractNumId w:val="300"/>
  </w:num>
  <w:num w:numId="130">
    <w:abstractNumId w:val="300"/>
  </w:num>
  <w:num w:numId="131">
    <w:abstractNumId w:val="300"/>
  </w:num>
  <w:num w:numId="132">
    <w:abstractNumId w:val="300"/>
  </w:num>
  <w:num w:numId="133">
    <w:abstractNumId w:val="300"/>
  </w:num>
  <w:num w:numId="134">
    <w:abstractNumId w:val="300"/>
  </w:num>
  <w:num w:numId="135">
    <w:abstractNumId w:val="300"/>
  </w:num>
  <w:num w:numId="136">
    <w:abstractNumId w:val="300"/>
  </w:num>
  <w:num w:numId="137">
    <w:abstractNumId w:val="300"/>
  </w:num>
  <w:num w:numId="138">
    <w:abstractNumId w:val="300"/>
  </w:num>
  <w:num w:numId="139">
    <w:abstractNumId w:val="300"/>
  </w:num>
  <w:num w:numId="140">
    <w:abstractNumId w:val="298"/>
  </w:num>
  <w:num w:numId="141">
    <w:abstractNumId w:val="341"/>
  </w:num>
  <w:num w:numId="142">
    <w:abstractNumId w:val="56"/>
  </w:num>
  <w:num w:numId="143">
    <w:abstractNumId w:val="262"/>
  </w:num>
  <w:num w:numId="144">
    <w:abstractNumId w:val="225"/>
  </w:num>
  <w:num w:numId="145">
    <w:abstractNumId w:val="260"/>
  </w:num>
  <w:num w:numId="146">
    <w:abstractNumId w:val="154"/>
  </w:num>
  <w:num w:numId="147">
    <w:abstractNumId w:val="316"/>
  </w:num>
  <w:num w:numId="148">
    <w:abstractNumId w:val="142"/>
  </w:num>
  <w:num w:numId="149">
    <w:abstractNumId w:val="273"/>
  </w:num>
  <w:num w:numId="150">
    <w:abstractNumId w:val="154"/>
  </w:num>
  <w:num w:numId="151">
    <w:abstractNumId w:val="265"/>
  </w:num>
  <w:num w:numId="152">
    <w:abstractNumId w:val="221"/>
  </w:num>
  <w:num w:numId="153">
    <w:abstractNumId w:val="121"/>
  </w:num>
  <w:num w:numId="154">
    <w:abstractNumId w:val="168"/>
  </w:num>
  <w:num w:numId="155">
    <w:abstractNumId w:val="170"/>
  </w:num>
  <w:num w:numId="156">
    <w:abstractNumId w:val="344"/>
  </w:num>
  <w:num w:numId="157">
    <w:abstractNumId w:val="295"/>
  </w:num>
  <w:num w:numId="158">
    <w:abstractNumId w:val="108"/>
  </w:num>
  <w:num w:numId="159">
    <w:abstractNumId w:val="146"/>
  </w:num>
  <w:num w:numId="160">
    <w:abstractNumId w:val="295"/>
    <w:lvlOverride w:ilvl="0">
      <w:startOverride w:val="1"/>
    </w:lvlOverride>
  </w:num>
  <w:num w:numId="161">
    <w:abstractNumId w:val="36"/>
  </w:num>
  <w:num w:numId="162">
    <w:abstractNumId w:val="301"/>
  </w:num>
  <w:num w:numId="163">
    <w:abstractNumId w:val="110"/>
  </w:num>
  <w:num w:numId="164">
    <w:abstractNumId w:val="226"/>
  </w:num>
  <w:num w:numId="165">
    <w:abstractNumId w:val="11"/>
  </w:num>
  <w:num w:numId="166">
    <w:abstractNumId w:val="339"/>
  </w:num>
  <w:num w:numId="167">
    <w:abstractNumId w:val="339"/>
  </w:num>
  <w:num w:numId="168">
    <w:abstractNumId w:val="339"/>
  </w:num>
  <w:num w:numId="169">
    <w:abstractNumId w:val="339"/>
  </w:num>
  <w:num w:numId="170">
    <w:abstractNumId w:val="300"/>
  </w:num>
  <w:num w:numId="171">
    <w:abstractNumId w:val="300"/>
  </w:num>
  <w:num w:numId="172">
    <w:abstractNumId w:val="300"/>
  </w:num>
  <w:num w:numId="173">
    <w:abstractNumId w:val="300"/>
  </w:num>
  <w:num w:numId="174">
    <w:abstractNumId w:val="300"/>
  </w:num>
  <w:num w:numId="175">
    <w:abstractNumId w:val="300"/>
  </w:num>
  <w:num w:numId="176">
    <w:abstractNumId w:val="235"/>
  </w:num>
  <w:num w:numId="177">
    <w:abstractNumId w:val="329"/>
  </w:num>
  <w:num w:numId="178">
    <w:abstractNumId w:val="296"/>
  </w:num>
  <w:num w:numId="179">
    <w:abstractNumId w:val="300"/>
  </w:num>
  <w:num w:numId="180">
    <w:abstractNumId w:val="240"/>
  </w:num>
  <w:num w:numId="181">
    <w:abstractNumId w:val="217"/>
  </w:num>
  <w:num w:numId="182">
    <w:abstractNumId w:val="47"/>
  </w:num>
  <w:num w:numId="183">
    <w:abstractNumId w:val="202"/>
  </w:num>
  <w:num w:numId="184">
    <w:abstractNumId w:val="179"/>
  </w:num>
  <w:num w:numId="185">
    <w:abstractNumId w:val="202"/>
  </w:num>
  <w:num w:numId="186">
    <w:abstractNumId w:val="202"/>
  </w:num>
  <w:num w:numId="187">
    <w:abstractNumId w:val="202"/>
  </w:num>
  <w:num w:numId="188">
    <w:abstractNumId w:val="202"/>
  </w:num>
  <w:num w:numId="189">
    <w:abstractNumId w:val="327"/>
  </w:num>
  <w:num w:numId="190">
    <w:abstractNumId w:val="20"/>
  </w:num>
  <w:num w:numId="191">
    <w:abstractNumId w:val="37"/>
  </w:num>
  <w:num w:numId="192">
    <w:abstractNumId w:val="184"/>
  </w:num>
  <w:num w:numId="193">
    <w:abstractNumId w:val="332"/>
  </w:num>
  <w:num w:numId="194">
    <w:abstractNumId w:val="212"/>
  </w:num>
  <w:num w:numId="195">
    <w:abstractNumId w:val="82"/>
  </w:num>
  <w:num w:numId="196">
    <w:abstractNumId w:val="94"/>
  </w:num>
  <w:num w:numId="197">
    <w:abstractNumId w:val="87"/>
  </w:num>
  <w:num w:numId="198">
    <w:abstractNumId w:val="286"/>
  </w:num>
  <w:num w:numId="199">
    <w:abstractNumId w:val="286"/>
  </w:num>
  <w:num w:numId="200">
    <w:abstractNumId w:val="286"/>
  </w:num>
  <w:num w:numId="201">
    <w:abstractNumId w:val="286"/>
  </w:num>
  <w:num w:numId="202">
    <w:abstractNumId w:val="286"/>
  </w:num>
  <w:num w:numId="203">
    <w:abstractNumId w:val="286"/>
  </w:num>
  <w:num w:numId="204">
    <w:abstractNumId w:val="286"/>
  </w:num>
  <w:num w:numId="205">
    <w:abstractNumId w:val="269"/>
  </w:num>
  <w:num w:numId="206">
    <w:abstractNumId w:val="1"/>
  </w:num>
  <w:num w:numId="207">
    <w:abstractNumId w:val="13"/>
  </w:num>
  <w:num w:numId="208">
    <w:abstractNumId w:val="31"/>
  </w:num>
  <w:num w:numId="209">
    <w:abstractNumId w:val="64"/>
  </w:num>
  <w:num w:numId="210">
    <w:abstractNumId w:val="268"/>
  </w:num>
  <w:num w:numId="211">
    <w:abstractNumId w:val="165"/>
  </w:num>
  <w:num w:numId="212">
    <w:abstractNumId w:val="277"/>
  </w:num>
  <w:num w:numId="213">
    <w:abstractNumId w:val="293"/>
  </w:num>
  <w:num w:numId="214">
    <w:abstractNumId w:val="349"/>
  </w:num>
  <w:num w:numId="215">
    <w:abstractNumId w:val="349"/>
  </w:num>
  <w:num w:numId="216">
    <w:abstractNumId w:val="5"/>
  </w:num>
  <w:num w:numId="217">
    <w:abstractNumId w:val="349"/>
    <w:lvlOverride w:ilvl="0">
      <w:startOverride w:val="1"/>
    </w:lvlOverride>
  </w:num>
  <w:num w:numId="218">
    <w:abstractNumId w:val="169"/>
  </w:num>
  <w:num w:numId="219">
    <w:abstractNumId w:val="338"/>
  </w:num>
  <w:num w:numId="220">
    <w:abstractNumId w:val="304"/>
  </w:num>
  <w:num w:numId="221">
    <w:abstractNumId w:val="333"/>
  </w:num>
  <w:num w:numId="222">
    <w:abstractNumId w:val="180"/>
  </w:num>
  <w:num w:numId="223">
    <w:abstractNumId w:val="256"/>
  </w:num>
  <w:num w:numId="224">
    <w:abstractNumId w:val="276"/>
  </w:num>
  <w:num w:numId="225">
    <w:abstractNumId w:val="270"/>
  </w:num>
  <w:num w:numId="226">
    <w:abstractNumId w:val="78"/>
  </w:num>
  <w:num w:numId="227">
    <w:abstractNumId w:val="348"/>
  </w:num>
  <w:num w:numId="228">
    <w:abstractNumId w:val="227"/>
  </w:num>
  <w:num w:numId="229">
    <w:abstractNumId w:val="21"/>
  </w:num>
  <w:num w:numId="230">
    <w:abstractNumId w:val="300"/>
  </w:num>
  <w:num w:numId="231">
    <w:abstractNumId w:val="188"/>
  </w:num>
  <w:num w:numId="232">
    <w:abstractNumId w:val="2"/>
  </w:num>
  <w:num w:numId="233">
    <w:abstractNumId w:val="2"/>
  </w:num>
  <w:num w:numId="234">
    <w:abstractNumId w:val="113"/>
  </w:num>
  <w:num w:numId="235">
    <w:abstractNumId w:val="2"/>
    <w:lvlOverride w:ilvl="0">
      <w:startOverride w:val="2"/>
    </w:lvlOverride>
  </w:num>
  <w:num w:numId="236">
    <w:abstractNumId w:val="86"/>
  </w:num>
  <w:num w:numId="237">
    <w:abstractNumId w:val="171"/>
  </w:num>
  <w:num w:numId="238">
    <w:abstractNumId w:val="207"/>
  </w:num>
  <w:num w:numId="239">
    <w:abstractNumId w:val="29"/>
  </w:num>
  <w:num w:numId="240">
    <w:abstractNumId w:val="245"/>
  </w:num>
  <w:num w:numId="241">
    <w:abstractNumId w:val="95"/>
  </w:num>
  <w:num w:numId="242">
    <w:abstractNumId w:val="331"/>
  </w:num>
  <w:num w:numId="243">
    <w:abstractNumId w:val="10"/>
  </w:num>
  <w:num w:numId="244">
    <w:abstractNumId w:val="109"/>
  </w:num>
  <w:num w:numId="245">
    <w:abstractNumId w:val="52"/>
  </w:num>
  <w:num w:numId="246">
    <w:abstractNumId w:val="67"/>
  </w:num>
  <w:num w:numId="247">
    <w:abstractNumId w:val="105"/>
  </w:num>
  <w:num w:numId="248">
    <w:abstractNumId w:val="228"/>
  </w:num>
  <w:num w:numId="249">
    <w:abstractNumId w:val="282"/>
  </w:num>
  <w:num w:numId="250">
    <w:abstractNumId w:val="204"/>
  </w:num>
  <w:num w:numId="251">
    <w:abstractNumId w:val="266"/>
  </w:num>
  <w:num w:numId="252">
    <w:abstractNumId w:val="7"/>
  </w:num>
  <w:num w:numId="253">
    <w:abstractNumId w:val="300"/>
  </w:num>
  <w:num w:numId="254">
    <w:abstractNumId w:val="342"/>
  </w:num>
  <w:num w:numId="255">
    <w:abstractNumId w:val="7"/>
    <w:lvlOverride w:ilvl="0">
      <w:startOverride w:val="2"/>
    </w:lvlOverride>
  </w:num>
  <w:num w:numId="256">
    <w:abstractNumId w:val="200"/>
  </w:num>
  <w:num w:numId="257">
    <w:abstractNumId w:val="236"/>
  </w:num>
  <w:num w:numId="258">
    <w:abstractNumId w:val="160"/>
  </w:num>
  <w:num w:numId="259">
    <w:abstractNumId w:val="182"/>
  </w:num>
  <w:num w:numId="260">
    <w:abstractNumId w:val="309"/>
  </w:num>
  <w:num w:numId="261">
    <w:abstractNumId w:val="84"/>
  </w:num>
  <w:num w:numId="262">
    <w:abstractNumId w:val="77"/>
  </w:num>
  <w:num w:numId="263">
    <w:abstractNumId w:val="182"/>
    <w:lvlOverride w:ilvl="0">
      <w:startOverride w:val="2"/>
    </w:lvlOverride>
  </w:num>
  <w:num w:numId="264">
    <w:abstractNumId w:val="40"/>
  </w:num>
  <w:num w:numId="265">
    <w:abstractNumId w:val="139"/>
  </w:num>
  <w:num w:numId="266">
    <w:abstractNumId w:val="42"/>
  </w:num>
  <w:num w:numId="267">
    <w:abstractNumId w:val="294"/>
  </w:num>
  <w:num w:numId="268">
    <w:abstractNumId w:val="12"/>
  </w:num>
  <w:num w:numId="269">
    <w:abstractNumId w:val="140"/>
  </w:num>
  <w:num w:numId="270">
    <w:abstractNumId w:val="12"/>
    <w:lvlOverride w:ilvl="0">
      <w:startOverride w:val="2"/>
    </w:lvlOverride>
  </w:num>
  <w:num w:numId="271">
    <w:abstractNumId w:val="17"/>
  </w:num>
  <w:num w:numId="272">
    <w:abstractNumId w:val="353"/>
  </w:num>
  <w:num w:numId="273">
    <w:abstractNumId w:val="155"/>
  </w:num>
  <w:num w:numId="274">
    <w:abstractNumId w:val="49"/>
  </w:num>
  <w:num w:numId="275">
    <w:abstractNumId w:val="34"/>
  </w:num>
  <w:num w:numId="276">
    <w:abstractNumId w:val="12"/>
  </w:num>
  <w:num w:numId="277">
    <w:abstractNumId w:val="126"/>
  </w:num>
  <w:num w:numId="278">
    <w:abstractNumId w:val="232"/>
  </w:num>
  <w:num w:numId="279">
    <w:abstractNumId w:val="16"/>
  </w:num>
  <w:num w:numId="280">
    <w:abstractNumId w:val="346"/>
  </w:num>
  <w:num w:numId="281">
    <w:abstractNumId w:val="321"/>
  </w:num>
  <w:num w:numId="282">
    <w:abstractNumId w:val="68"/>
  </w:num>
  <w:num w:numId="283">
    <w:abstractNumId w:val="248"/>
  </w:num>
  <w:num w:numId="284">
    <w:abstractNumId w:val="313"/>
  </w:num>
  <w:num w:numId="285">
    <w:abstractNumId w:val="187"/>
  </w:num>
  <w:num w:numId="286">
    <w:abstractNumId w:val="354"/>
  </w:num>
  <w:num w:numId="287">
    <w:abstractNumId w:val="39"/>
  </w:num>
  <w:num w:numId="288">
    <w:abstractNumId w:val="235"/>
  </w:num>
  <w:num w:numId="289">
    <w:abstractNumId w:val="235"/>
  </w:num>
  <w:num w:numId="290">
    <w:abstractNumId w:val="235"/>
  </w:num>
  <w:num w:numId="291">
    <w:abstractNumId w:val="235"/>
  </w:num>
  <w:num w:numId="292">
    <w:abstractNumId w:val="235"/>
  </w:num>
  <w:num w:numId="293">
    <w:abstractNumId w:val="138"/>
  </w:num>
  <w:num w:numId="294">
    <w:abstractNumId w:val="124"/>
  </w:num>
  <w:num w:numId="295">
    <w:abstractNumId w:val="230"/>
  </w:num>
  <w:num w:numId="296">
    <w:abstractNumId w:val="156"/>
  </w:num>
  <w:num w:numId="297">
    <w:abstractNumId w:val="35"/>
  </w:num>
  <w:num w:numId="298">
    <w:abstractNumId w:val="234"/>
  </w:num>
  <w:num w:numId="299">
    <w:abstractNumId w:val="185"/>
  </w:num>
  <w:num w:numId="300">
    <w:abstractNumId w:val="249"/>
  </w:num>
  <w:num w:numId="301">
    <w:abstractNumId w:val="14"/>
  </w:num>
  <w:num w:numId="302">
    <w:abstractNumId w:val="324"/>
  </w:num>
  <w:num w:numId="303">
    <w:abstractNumId w:val="194"/>
  </w:num>
  <w:num w:numId="304">
    <w:abstractNumId w:val="141"/>
  </w:num>
  <w:num w:numId="305">
    <w:abstractNumId w:val="129"/>
  </w:num>
  <w:num w:numId="306">
    <w:abstractNumId w:val="337"/>
  </w:num>
  <w:num w:numId="307">
    <w:abstractNumId w:val="336"/>
  </w:num>
  <w:num w:numId="308">
    <w:abstractNumId w:val="198"/>
  </w:num>
  <w:num w:numId="309">
    <w:abstractNumId w:val="101"/>
  </w:num>
  <w:num w:numId="310">
    <w:abstractNumId w:val="211"/>
  </w:num>
  <w:num w:numId="311">
    <w:abstractNumId w:val="55"/>
  </w:num>
  <w:num w:numId="312">
    <w:abstractNumId w:val="199"/>
  </w:num>
  <w:num w:numId="313">
    <w:abstractNumId w:val="162"/>
  </w:num>
  <w:num w:numId="314">
    <w:abstractNumId w:val="162"/>
  </w:num>
  <w:num w:numId="315">
    <w:abstractNumId w:val="231"/>
  </w:num>
  <w:num w:numId="316">
    <w:abstractNumId w:val="279"/>
  </w:num>
  <w:num w:numId="317">
    <w:abstractNumId w:val="123"/>
  </w:num>
  <w:num w:numId="318">
    <w:abstractNumId w:val="153"/>
  </w:num>
  <w:num w:numId="319">
    <w:abstractNumId w:val="218"/>
  </w:num>
  <w:num w:numId="320">
    <w:abstractNumId w:val="151"/>
  </w:num>
  <w:num w:numId="321">
    <w:abstractNumId w:val="151"/>
  </w:num>
  <w:num w:numId="322">
    <w:abstractNumId w:val="174"/>
  </w:num>
  <w:num w:numId="323">
    <w:abstractNumId w:val="54"/>
  </w:num>
  <w:num w:numId="324">
    <w:abstractNumId w:val="343"/>
  </w:num>
  <w:num w:numId="325">
    <w:abstractNumId w:val="352"/>
  </w:num>
  <w:num w:numId="326">
    <w:abstractNumId w:val="257"/>
  </w:num>
  <w:num w:numId="327">
    <w:abstractNumId w:val="99"/>
  </w:num>
  <w:num w:numId="328">
    <w:abstractNumId w:val="246"/>
  </w:num>
  <w:num w:numId="329">
    <w:abstractNumId w:val="54"/>
    <w:lvlOverride w:ilvl="0">
      <w:startOverride w:val="1"/>
    </w:lvlOverride>
  </w:num>
  <w:num w:numId="330">
    <w:abstractNumId w:val="54"/>
    <w:lvlOverride w:ilvl="0">
      <w:startOverride w:val="2"/>
    </w:lvlOverride>
  </w:num>
  <w:num w:numId="331">
    <w:abstractNumId w:val="54"/>
    <w:lvlOverride w:ilvl="0">
      <w:startOverride w:val="3"/>
    </w:lvlOverride>
  </w:num>
  <w:num w:numId="332">
    <w:abstractNumId w:val="54"/>
    <w:lvlOverride w:ilvl="0">
      <w:startOverride w:val="4"/>
    </w:lvlOverride>
  </w:num>
  <w:num w:numId="333">
    <w:abstractNumId w:val="54"/>
  </w:num>
  <w:num w:numId="334">
    <w:abstractNumId w:val="26"/>
  </w:num>
  <w:num w:numId="335">
    <w:abstractNumId w:val="9"/>
  </w:num>
  <w:num w:numId="336">
    <w:abstractNumId w:val="54"/>
    <w:lvlOverride w:ilvl="0">
      <w:startOverride w:val="1"/>
    </w:lvlOverride>
  </w:num>
  <w:num w:numId="337">
    <w:abstractNumId w:val="158"/>
  </w:num>
  <w:num w:numId="338">
    <w:abstractNumId w:val="320"/>
  </w:num>
  <w:num w:numId="339">
    <w:abstractNumId w:val="291"/>
  </w:num>
  <w:num w:numId="340">
    <w:abstractNumId w:val="325"/>
  </w:num>
  <w:num w:numId="341">
    <w:abstractNumId w:val="229"/>
  </w:num>
  <w:num w:numId="342">
    <w:abstractNumId w:val="310"/>
  </w:num>
  <w:num w:numId="343">
    <w:abstractNumId w:val="80"/>
  </w:num>
  <w:num w:numId="344">
    <w:abstractNumId w:val="300"/>
  </w:num>
  <w:num w:numId="345">
    <w:abstractNumId w:val="300"/>
  </w:num>
  <w:num w:numId="346">
    <w:abstractNumId w:val="305"/>
  </w:num>
  <w:num w:numId="347">
    <w:abstractNumId w:val="163"/>
  </w:num>
  <w:num w:numId="348">
    <w:abstractNumId w:val="178"/>
  </w:num>
  <w:num w:numId="349">
    <w:abstractNumId w:val="237"/>
  </w:num>
  <w:num w:numId="350">
    <w:abstractNumId w:val="305"/>
  </w:num>
  <w:num w:numId="351">
    <w:abstractNumId w:val="46"/>
  </w:num>
  <w:num w:numId="352">
    <w:abstractNumId w:val="38"/>
  </w:num>
  <w:num w:numId="353">
    <w:abstractNumId w:val="38"/>
  </w:num>
  <w:num w:numId="354">
    <w:abstractNumId w:val="215"/>
  </w:num>
  <w:num w:numId="355">
    <w:abstractNumId w:val="334"/>
  </w:num>
  <w:num w:numId="356">
    <w:abstractNumId w:val="289"/>
  </w:num>
  <w:num w:numId="357">
    <w:abstractNumId w:val="264"/>
  </w:num>
  <w:num w:numId="358">
    <w:abstractNumId w:val="190"/>
  </w:num>
  <w:num w:numId="359">
    <w:abstractNumId w:val="255"/>
  </w:num>
  <w:num w:numId="360">
    <w:abstractNumId w:val="235"/>
    <w:lvlOverride w:ilvl="0">
      <w:startOverride w:val="1"/>
    </w:lvlOverride>
  </w:num>
  <w:num w:numId="361">
    <w:abstractNumId w:val="81"/>
  </w:num>
  <w:num w:numId="362">
    <w:abstractNumId w:val="235"/>
    <w:lvlOverride w:ilvl="0">
      <w:startOverride w:val="1"/>
    </w:lvlOverride>
  </w:num>
  <w:num w:numId="363">
    <w:abstractNumId w:val="73"/>
  </w:num>
  <w:num w:numId="364">
    <w:abstractNumId w:val="235"/>
    <w:lvlOverride w:ilvl="0">
      <w:startOverride w:val="1"/>
    </w:lvlOverride>
  </w:num>
  <w:num w:numId="365">
    <w:abstractNumId w:val="125"/>
  </w:num>
  <w:num w:numId="366">
    <w:abstractNumId w:val="235"/>
    <w:lvlOverride w:ilvl="0">
      <w:startOverride w:val="1"/>
    </w:lvlOverride>
  </w:num>
  <w:num w:numId="367">
    <w:abstractNumId w:val="100"/>
  </w:num>
  <w:num w:numId="368">
    <w:abstractNumId w:val="235"/>
    <w:lvlOverride w:ilvl="0">
      <w:startOverride w:val="1"/>
    </w:lvlOverride>
  </w:num>
  <w:num w:numId="369">
    <w:abstractNumId w:val="183"/>
  </w:num>
  <w:num w:numId="370">
    <w:abstractNumId w:val="235"/>
    <w:lvlOverride w:ilvl="0">
      <w:startOverride w:val="1"/>
    </w:lvlOverride>
  </w:num>
  <w:num w:numId="371">
    <w:abstractNumId w:val="38"/>
  </w:num>
  <w:num w:numId="372">
    <w:abstractNumId w:val="38"/>
  </w:num>
  <w:num w:numId="373">
    <w:abstractNumId w:val="38"/>
  </w:num>
  <w:num w:numId="374">
    <w:abstractNumId w:val="38"/>
  </w:num>
  <w:num w:numId="375">
    <w:abstractNumId w:val="38"/>
  </w:num>
  <w:num w:numId="376">
    <w:abstractNumId w:val="38"/>
  </w:num>
  <w:num w:numId="377">
    <w:abstractNumId w:val="114"/>
  </w:num>
  <w:num w:numId="378">
    <w:abstractNumId w:val="235"/>
    <w:lvlOverride w:ilvl="0">
      <w:startOverride w:val="1"/>
    </w:lvlOverride>
  </w:num>
  <w:num w:numId="379">
    <w:abstractNumId w:val="38"/>
  </w:num>
  <w:num w:numId="380">
    <w:abstractNumId w:val="28"/>
  </w:num>
  <w:num w:numId="381">
    <w:abstractNumId w:val="235"/>
    <w:lvlOverride w:ilvl="0">
      <w:startOverride w:val="1"/>
    </w:lvlOverride>
  </w:num>
  <w:num w:numId="382">
    <w:abstractNumId w:val="104"/>
  </w:num>
  <w:num w:numId="383">
    <w:abstractNumId w:val="62"/>
  </w:num>
  <w:num w:numId="384">
    <w:abstractNumId w:val="201"/>
  </w:num>
  <w:num w:numId="385">
    <w:abstractNumId w:val="144"/>
  </w:num>
  <w:num w:numId="386">
    <w:abstractNumId w:val="23"/>
  </w:num>
  <w:num w:numId="387">
    <w:abstractNumId w:val="330"/>
  </w:num>
  <w:num w:numId="388">
    <w:abstractNumId w:val="251"/>
  </w:num>
  <w:num w:numId="389">
    <w:abstractNumId w:val="319"/>
  </w:num>
  <w:num w:numId="390">
    <w:abstractNumId w:val="38"/>
  </w:num>
  <w:num w:numId="391">
    <w:abstractNumId w:val="38"/>
  </w:num>
  <w:num w:numId="392">
    <w:abstractNumId w:val="38"/>
  </w:num>
  <w:num w:numId="393">
    <w:abstractNumId w:val="38"/>
  </w:num>
  <w:num w:numId="394">
    <w:abstractNumId w:val="38"/>
  </w:num>
  <w:num w:numId="395">
    <w:abstractNumId w:val="38"/>
  </w:num>
  <w:num w:numId="396">
    <w:abstractNumId w:val="38"/>
  </w:num>
  <w:num w:numId="397">
    <w:abstractNumId w:val="45"/>
  </w:num>
  <w:num w:numId="398">
    <w:abstractNumId w:val="116"/>
  </w:num>
  <w:num w:numId="399">
    <w:abstractNumId w:val="235"/>
    <w:lvlOverride w:ilvl="0">
      <w:startOverride w:val="1"/>
    </w:lvlOverride>
  </w:num>
  <w:num w:numId="400">
    <w:abstractNumId w:val="235"/>
  </w:num>
  <w:num w:numId="401">
    <w:abstractNumId w:val="63"/>
  </w:num>
  <w:num w:numId="402">
    <w:abstractNumId w:val="235"/>
    <w:lvlOverride w:ilvl="0">
      <w:startOverride w:val="1"/>
    </w:lvlOverride>
  </w:num>
  <w:num w:numId="403">
    <w:abstractNumId w:val="102"/>
  </w:num>
  <w:num w:numId="404">
    <w:abstractNumId w:val="235"/>
    <w:lvlOverride w:ilvl="0">
      <w:startOverride w:val="1"/>
    </w:lvlOverride>
  </w:num>
  <w:num w:numId="405">
    <w:abstractNumId w:val="306"/>
  </w:num>
  <w:num w:numId="406">
    <w:abstractNumId w:val="8"/>
  </w:num>
  <w:num w:numId="407">
    <w:abstractNumId w:val="163"/>
  </w:num>
  <w:num w:numId="408">
    <w:abstractNumId w:val="300"/>
  </w:num>
  <w:num w:numId="409">
    <w:abstractNumId w:val="300"/>
  </w:num>
  <w:num w:numId="410">
    <w:abstractNumId w:val="300"/>
  </w:num>
  <w:num w:numId="411">
    <w:abstractNumId w:val="300"/>
  </w:num>
  <w:num w:numId="412">
    <w:abstractNumId w:val="300"/>
  </w:num>
  <w:num w:numId="413">
    <w:abstractNumId w:val="300"/>
  </w:num>
  <w:num w:numId="414">
    <w:abstractNumId w:val="300"/>
  </w:num>
  <w:num w:numId="415">
    <w:abstractNumId w:val="300"/>
  </w:num>
  <w:num w:numId="416">
    <w:abstractNumId w:val="300"/>
  </w:num>
  <w:num w:numId="417">
    <w:abstractNumId w:val="300"/>
  </w:num>
  <w:num w:numId="418">
    <w:abstractNumId w:val="300"/>
  </w:num>
  <w:num w:numId="419">
    <w:abstractNumId w:val="38"/>
  </w:num>
  <w:num w:numId="420">
    <w:abstractNumId w:val="300"/>
  </w:num>
  <w:num w:numId="421">
    <w:abstractNumId w:val="300"/>
  </w:num>
  <w:num w:numId="422">
    <w:abstractNumId w:val="300"/>
  </w:num>
  <w:num w:numId="423">
    <w:abstractNumId w:val="300"/>
  </w:num>
  <w:num w:numId="424">
    <w:abstractNumId w:val="38"/>
  </w:num>
  <w:num w:numId="425">
    <w:abstractNumId w:val="38"/>
  </w:num>
  <w:num w:numId="426">
    <w:abstractNumId w:val="38"/>
  </w:num>
  <w:num w:numId="427">
    <w:abstractNumId w:val="38"/>
  </w:num>
  <w:num w:numId="428">
    <w:abstractNumId w:val="38"/>
  </w:num>
  <w:num w:numId="429">
    <w:abstractNumId w:val="38"/>
  </w:num>
  <w:num w:numId="430">
    <w:abstractNumId w:val="72"/>
  </w:num>
  <w:num w:numId="431">
    <w:abstractNumId w:val="297"/>
  </w:num>
  <w:num w:numId="432">
    <w:abstractNumId w:val="275"/>
  </w:num>
  <w:num w:numId="433">
    <w:abstractNumId w:val="322"/>
  </w:num>
  <w:num w:numId="434">
    <w:abstractNumId w:val="166"/>
  </w:num>
  <w:num w:numId="435">
    <w:abstractNumId w:val="235"/>
    <w:lvlOverride w:ilvl="0">
      <w:startOverride w:val="1"/>
    </w:lvlOverride>
  </w:num>
  <w:num w:numId="436">
    <w:abstractNumId w:val="74"/>
  </w:num>
  <w:num w:numId="437">
    <w:abstractNumId w:val="235"/>
    <w:lvlOverride w:ilvl="0">
      <w:startOverride w:val="1"/>
    </w:lvlOverride>
  </w:num>
  <w:num w:numId="438">
    <w:abstractNumId w:val="38"/>
  </w:num>
  <w:num w:numId="439">
    <w:abstractNumId w:val="38"/>
  </w:num>
  <w:num w:numId="440">
    <w:abstractNumId w:val="278"/>
  </w:num>
  <w:num w:numId="441">
    <w:abstractNumId w:val="235"/>
    <w:lvlOverride w:ilvl="0">
      <w:startOverride w:val="1"/>
    </w:lvlOverride>
  </w:num>
  <w:num w:numId="442">
    <w:abstractNumId w:val="235"/>
  </w:num>
  <w:num w:numId="443">
    <w:abstractNumId w:val="4"/>
  </w:num>
  <w:num w:numId="444">
    <w:abstractNumId w:val="61"/>
  </w:num>
  <w:num w:numId="445">
    <w:abstractNumId w:val="235"/>
    <w:lvlOverride w:ilvl="0">
      <w:startOverride w:val="1"/>
    </w:lvlOverride>
  </w:num>
  <w:num w:numId="446">
    <w:abstractNumId w:val="308"/>
  </w:num>
  <w:num w:numId="447">
    <w:abstractNumId w:val="161"/>
  </w:num>
  <w:num w:numId="448">
    <w:abstractNumId w:val="210"/>
  </w:num>
  <w:num w:numId="449">
    <w:abstractNumId w:val="161"/>
    <w:lvlOverride w:ilvl="0">
      <w:startOverride w:val="1"/>
    </w:lvlOverride>
  </w:num>
  <w:num w:numId="450">
    <w:abstractNumId w:val="38"/>
  </w:num>
  <w:num w:numId="451">
    <w:abstractNumId w:val="241"/>
  </w:num>
  <w:num w:numId="452">
    <w:abstractNumId w:val="161"/>
    <w:lvlOverride w:ilvl="0">
      <w:startOverride w:val="1"/>
    </w:lvlOverride>
  </w:num>
  <w:num w:numId="453">
    <w:abstractNumId w:val="43"/>
  </w:num>
  <w:num w:numId="454">
    <w:abstractNumId w:val="161"/>
    <w:lvlOverride w:ilvl="0">
      <w:startOverride w:val="1"/>
    </w:lvlOverride>
  </w:num>
  <w:num w:numId="455">
    <w:abstractNumId w:val="38"/>
  </w:num>
  <w:num w:numId="456">
    <w:abstractNumId w:val="27"/>
  </w:num>
  <w:num w:numId="457">
    <w:abstractNumId w:val="161"/>
    <w:lvlOverride w:ilvl="0">
      <w:startOverride w:val="1"/>
    </w:lvlOverride>
  </w:num>
  <w:num w:numId="458">
    <w:abstractNumId w:val="208"/>
  </w:num>
  <w:num w:numId="459">
    <w:abstractNumId w:val="120"/>
  </w:num>
  <w:num w:numId="460">
    <w:abstractNumId w:val="197"/>
  </w:num>
  <w:num w:numId="461">
    <w:abstractNumId w:val="164"/>
  </w:num>
  <w:num w:numId="462">
    <w:abstractNumId w:val="96"/>
  </w:num>
  <w:num w:numId="463">
    <w:abstractNumId w:val="250"/>
  </w:num>
  <w:num w:numId="464">
    <w:abstractNumId w:val="222"/>
  </w:num>
  <w:num w:numId="465">
    <w:abstractNumId w:val="161"/>
    <w:lvlOverride w:ilvl="0">
      <w:startOverride w:val="1"/>
    </w:lvlOverride>
  </w:num>
  <w:num w:numId="466">
    <w:abstractNumId w:val="58"/>
  </w:num>
  <w:num w:numId="467">
    <w:abstractNumId w:val="253"/>
  </w:num>
  <w:num w:numId="468">
    <w:abstractNumId w:val="148"/>
  </w:num>
  <w:num w:numId="469">
    <w:abstractNumId w:val="253"/>
  </w:num>
  <w:num w:numId="470">
    <w:abstractNumId w:val="318"/>
  </w:num>
  <w:num w:numId="471">
    <w:abstractNumId w:val="253"/>
    <w:lvlOverride w:ilvl="0">
      <w:startOverride w:val="1"/>
    </w:lvlOverride>
  </w:num>
  <w:num w:numId="472">
    <w:abstractNumId w:val="128"/>
  </w:num>
  <w:num w:numId="473">
    <w:abstractNumId w:val="328"/>
  </w:num>
  <w:num w:numId="474">
    <w:abstractNumId w:val="48"/>
  </w:num>
  <w:num w:numId="475">
    <w:abstractNumId w:val="89"/>
  </w:num>
  <w:num w:numId="476">
    <w:abstractNumId w:val="263"/>
  </w:num>
  <w:num w:numId="477">
    <w:abstractNumId w:val="59"/>
  </w:num>
  <w:num w:numId="478">
    <w:abstractNumId w:val="38"/>
  </w:num>
  <w:num w:numId="479">
    <w:abstractNumId w:val="244"/>
  </w:num>
  <w:num w:numId="480">
    <w:abstractNumId w:val="91"/>
  </w:num>
  <w:num w:numId="481">
    <w:abstractNumId w:val="196"/>
  </w:num>
  <w:num w:numId="482">
    <w:abstractNumId w:val="53"/>
  </w:num>
  <w:num w:numId="483">
    <w:abstractNumId w:val="350"/>
  </w:num>
  <w:num w:numId="484">
    <w:abstractNumId w:val="97"/>
  </w:num>
  <w:num w:numId="485">
    <w:abstractNumId w:val="150"/>
  </w:num>
  <w:num w:numId="486">
    <w:abstractNumId w:val="98"/>
  </w:num>
  <w:num w:numId="487">
    <w:abstractNumId w:val="216"/>
  </w:num>
  <w:num w:numId="488">
    <w:abstractNumId w:val="280"/>
  </w:num>
  <w:num w:numId="489">
    <w:abstractNumId w:val="70"/>
  </w:num>
  <w:num w:numId="490">
    <w:abstractNumId w:val="219"/>
  </w:num>
  <w:num w:numId="491">
    <w:abstractNumId w:val="131"/>
  </w:num>
  <w:num w:numId="492">
    <w:abstractNumId w:val="195"/>
  </w:num>
  <w:num w:numId="493">
    <w:abstractNumId w:val="117"/>
  </w:num>
  <w:num w:numId="494">
    <w:abstractNumId w:val="300"/>
  </w:num>
  <w:num w:numId="495">
    <w:abstractNumId w:val="163"/>
  </w:num>
  <w:num w:numId="496">
    <w:abstractNumId w:val="274"/>
  </w:num>
  <w:num w:numId="497">
    <w:abstractNumId w:val="311"/>
  </w:num>
  <w:num w:numId="498">
    <w:abstractNumId w:val="307"/>
  </w:num>
  <w:num w:numId="499">
    <w:abstractNumId w:val="351"/>
  </w:num>
  <w:num w:numId="500">
    <w:abstractNumId w:val="50"/>
  </w:num>
  <w:num w:numId="501">
    <w:abstractNumId w:val="176"/>
  </w:num>
  <w:num w:numId="502">
    <w:abstractNumId w:val="65"/>
  </w:num>
  <w:num w:numId="503">
    <w:abstractNumId w:val="213"/>
  </w:num>
  <w:num w:numId="504">
    <w:abstractNumId w:val="65"/>
    <w:lvlOverride w:ilvl="0">
      <w:startOverride w:val="1"/>
    </w:lvlOverride>
  </w:num>
  <w:num w:numId="505">
    <w:abstractNumId w:val="106"/>
  </w:num>
  <w:num w:numId="506">
    <w:abstractNumId w:val="300"/>
  </w:num>
  <w:num w:numId="507">
    <w:abstractNumId w:val="300"/>
  </w:num>
  <w:num w:numId="508">
    <w:abstractNumId w:val="163"/>
  </w:num>
  <w:num w:numId="509">
    <w:abstractNumId w:val="163"/>
  </w:num>
  <w:num w:numId="510">
    <w:abstractNumId w:val="300"/>
  </w:num>
  <w:num w:numId="511">
    <w:abstractNumId w:val="163"/>
  </w:num>
  <w:num w:numId="512">
    <w:abstractNumId w:val="163"/>
  </w:num>
  <w:num w:numId="513">
    <w:abstractNumId w:val="163"/>
  </w:num>
  <w:num w:numId="514">
    <w:abstractNumId w:val="163"/>
  </w:num>
  <w:num w:numId="515">
    <w:abstractNumId w:val="163"/>
  </w:num>
  <w:num w:numId="516">
    <w:abstractNumId w:val="163"/>
  </w:num>
  <w:num w:numId="517">
    <w:abstractNumId w:val="163"/>
  </w:num>
  <w:num w:numId="518">
    <w:abstractNumId w:val="163"/>
  </w:num>
  <w:num w:numId="519">
    <w:abstractNumId w:val="85"/>
  </w:num>
  <w:num w:numId="520">
    <w:abstractNumId w:val="3"/>
  </w:num>
  <w:numIdMacAtCleanup w:val="5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evenAndOddHeaders/>
  <w:drawingGridHorizontalSpacing w:val="357"/>
  <w:drawingGridVerticalSpacing w:val="357"/>
  <w:displayHorizontalDrawingGridEvery w:val="0"/>
  <w:displayVerticalDrawingGridEvery w:val="0"/>
  <w:doNotUseMarginsForDrawingGridOrigin/>
  <w:drawingGridHorizontalOrigin w:val="1134"/>
  <w:drawingGridVerticalOrigin w:val="1418"/>
  <w:characterSpacingControl w:val="doNotCompress"/>
  <w:hdrShapeDefaults>
    <o:shapedefaults v:ext="edit" spidmax="50177">
      <o:colormenu v:ext="edit" fillcolor="non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86683E"/>
    <w:rsid w:val="000006EA"/>
    <w:rsid w:val="00001B1A"/>
    <w:rsid w:val="00002A62"/>
    <w:rsid w:val="00006598"/>
    <w:rsid w:val="000070CA"/>
    <w:rsid w:val="00014873"/>
    <w:rsid w:val="00017360"/>
    <w:rsid w:val="00017D71"/>
    <w:rsid w:val="00020DDD"/>
    <w:rsid w:val="000213A8"/>
    <w:rsid w:val="0002203F"/>
    <w:rsid w:val="00022302"/>
    <w:rsid w:val="00023617"/>
    <w:rsid w:val="0002511C"/>
    <w:rsid w:val="00025E6B"/>
    <w:rsid w:val="0002656A"/>
    <w:rsid w:val="00027510"/>
    <w:rsid w:val="00033E6C"/>
    <w:rsid w:val="0003412A"/>
    <w:rsid w:val="000349C0"/>
    <w:rsid w:val="00035D61"/>
    <w:rsid w:val="00036BC5"/>
    <w:rsid w:val="0003710D"/>
    <w:rsid w:val="00037FE6"/>
    <w:rsid w:val="00041EBF"/>
    <w:rsid w:val="00042018"/>
    <w:rsid w:val="00043DFF"/>
    <w:rsid w:val="00044417"/>
    <w:rsid w:val="00044E3A"/>
    <w:rsid w:val="0004504C"/>
    <w:rsid w:val="00045D86"/>
    <w:rsid w:val="00047769"/>
    <w:rsid w:val="00051508"/>
    <w:rsid w:val="00051E75"/>
    <w:rsid w:val="0005226C"/>
    <w:rsid w:val="000528CE"/>
    <w:rsid w:val="00053368"/>
    <w:rsid w:val="000542FD"/>
    <w:rsid w:val="0005468C"/>
    <w:rsid w:val="00057540"/>
    <w:rsid w:val="00057A46"/>
    <w:rsid w:val="00060230"/>
    <w:rsid w:val="00060BBD"/>
    <w:rsid w:val="00065059"/>
    <w:rsid w:val="00066AEF"/>
    <w:rsid w:val="0007226E"/>
    <w:rsid w:val="00072B6A"/>
    <w:rsid w:val="00072F5E"/>
    <w:rsid w:val="000738FA"/>
    <w:rsid w:val="00073E1C"/>
    <w:rsid w:val="00073E48"/>
    <w:rsid w:val="00074F29"/>
    <w:rsid w:val="000755D3"/>
    <w:rsid w:val="00076221"/>
    <w:rsid w:val="00081E8B"/>
    <w:rsid w:val="000826CD"/>
    <w:rsid w:val="000838BD"/>
    <w:rsid w:val="0008417E"/>
    <w:rsid w:val="00085406"/>
    <w:rsid w:val="0008689C"/>
    <w:rsid w:val="000870DC"/>
    <w:rsid w:val="000874E7"/>
    <w:rsid w:val="000877FD"/>
    <w:rsid w:val="00094B61"/>
    <w:rsid w:val="00094E6C"/>
    <w:rsid w:val="000A06A3"/>
    <w:rsid w:val="000A1092"/>
    <w:rsid w:val="000A137F"/>
    <w:rsid w:val="000A7857"/>
    <w:rsid w:val="000A7DE3"/>
    <w:rsid w:val="000B06EC"/>
    <w:rsid w:val="000B3AC7"/>
    <w:rsid w:val="000B3BEF"/>
    <w:rsid w:val="000B6CC5"/>
    <w:rsid w:val="000C08B2"/>
    <w:rsid w:val="000C0E6A"/>
    <w:rsid w:val="000C2812"/>
    <w:rsid w:val="000C4C10"/>
    <w:rsid w:val="000C61DA"/>
    <w:rsid w:val="000C65CB"/>
    <w:rsid w:val="000C6BD2"/>
    <w:rsid w:val="000D5D72"/>
    <w:rsid w:val="000D647B"/>
    <w:rsid w:val="000D7317"/>
    <w:rsid w:val="000E18AA"/>
    <w:rsid w:val="000E1D9D"/>
    <w:rsid w:val="000E3870"/>
    <w:rsid w:val="000E38A5"/>
    <w:rsid w:val="000E487A"/>
    <w:rsid w:val="000E5B15"/>
    <w:rsid w:val="000E6438"/>
    <w:rsid w:val="000E6F12"/>
    <w:rsid w:val="000F0E2D"/>
    <w:rsid w:val="000F2801"/>
    <w:rsid w:val="000F4C6A"/>
    <w:rsid w:val="000F779D"/>
    <w:rsid w:val="001002E2"/>
    <w:rsid w:val="00100F44"/>
    <w:rsid w:val="001044A2"/>
    <w:rsid w:val="00104F6B"/>
    <w:rsid w:val="00106058"/>
    <w:rsid w:val="00106526"/>
    <w:rsid w:val="00111A8E"/>
    <w:rsid w:val="00111BCC"/>
    <w:rsid w:val="00111CD1"/>
    <w:rsid w:val="001160AD"/>
    <w:rsid w:val="00116A2A"/>
    <w:rsid w:val="00117168"/>
    <w:rsid w:val="00117DDB"/>
    <w:rsid w:val="00117E72"/>
    <w:rsid w:val="00124079"/>
    <w:rsid w:val="001259D8"/>
    <w:rsid w:val="00127B0C"/>
    <w:rsid w:val="001311F5"/>
    <w:rsid w:val="00132808"/>
    <w:rsid w:val="00132CAD"/>
    <w:rsid w:val="00133838"/>
    <w:rsid w:val="00134E5F"/>
    <w:rsid w:val="00136025"/>
    <w:rsid w:val="00140B22"/>
    <w:rsid w:val="00140E07"/>
    <w:rsid w:val="00142100"/>
    <w:rsid w:val="001435BA"/>
    <w:rsid w:val="001442C7"/>
    <w:rsid w:val="00144A3A"/>
    <w:rsid w:val="00144C96"/>
    <w:rsid w:val="00145065"/>
    <w:rsid w:val="00146D1E"/>
    <w:rsid w:val="00146F25"/>
    <w:rsid w:val="00147C0A"/>
    <w:rsid w:val="00150A32"/>
    <w:rsid w:val="00150F56"/>
    <w:rsid w:val="00151D2F"/>
    <w:rsid w:val="00152FA0"/>
    <w:rsid w:val="001533D4"/>
    <w:rsid w:val="00155FF4"/>
    <w:rsid w:val="00156881"/>
    <w:rsid w:val="00160FD6"/>
    <w:rsid w:val="001621D9"/>
    <w:rsid w:val="001631E0"/>
    <w:rsid w:val="00163DE2"/>
    <w:rsid w:val="00167480"/>
    <w:rsid w:val="001704D3"/>
    <w:rsid w:val="00170BF2"/>
    <w:rsid w:val="00170BFE"/>
    <w:rsid w:val="00172D1A"/>
    <w:rsid w:val="00173ED1"/>
    <w:rsid w:val="001757F9"/>
    <w:rsid w:val="00176F70"/>
    <w:rsid w:val="00176FD3"/>
    <w:rsid w:val="00180896"/>
    <w:rsid w:val="00184FC1"/>
    <w:rsid w:val="00185FB0"/>
    <w:rsid w:val="00186D10"/>
    <w:rsid w:val="00187734"/>
    <w:rsid w:val="00192448"/>
    <w:rsid w:val="001A2366"/>
    <w:rsid w:val="001A2A63"/>
    <w:rsid w:val="001A2B13"/>
    <w:rsid w:val="001A69CA"/>
    <w:rsid w:val="001B04F6"/>
    <w:rsid w:val="001B08A5"/>
    <w:rsid w:val="001B0F2D"/>
    <w:rsid w:val="001B3C85"/>
    <w:rsid w:val="001B3FA8"/>
    <w:rsid w:val="001B586D"/>
    <w:rsid w:val="001C10C4"/>
    <w:rsid w:val="001C3DD5"/>
    <w:rsid w:val="001C618F"/>
    <w:rsid w:val="001C7258"/>
    <w:rsid w:val="001D0283"/>
    <w:rsid w:val="001D1BDC"/>
    <w:rsid w:val="001D2F2B"/>
    <w:rsid w:val="001D3FC1"/>
    <w:rsid w:val="001D67E3"/>
    <w:rsid w:val="001D70CD"/>
    <w:rsid w:val="001E0D28"/>
    <w:rsid w:val="001E2B7D"/>
    <w:rsid w:val="001E2F9D"/>
    <w:rsid w:val="001E5706"/>
    <w:rsid w:val="001E5B5A"/>
    <w:rsid w:val="001E6B3F"/>
    <w:rsid w:val="001E77FC"/>
    <w:rsid w:val="001F074D"/>
    <w:rsid w:val="001F0E80"/>
    <w:rsid w:val="001F40DE"/>
    <w:rsid w:val="001F42D6"/>
    <w:rsid w:val="001F4496"/>
    <w:rsid w:val="001F6E51"/>
    <w:rsid w:val="001F7B54"/>
    <w:rsid w:val="0020072F"/>
    <w:rsid w:val="002032E2"/>
    <w:rsid w:val="002053FF"/>
    <w:rsid w:val="002057D7"/>
    <w:rsid w:val="00210630"/>
    <w:rsid w:val="00210AA6"/>
    <w:rsid w:val="00210EAC"/>
    <w:rsid w:val="002132D2"/>
    <w:rsid w:val="00216E1F"/>
    <w:rsid w:val="002207C3"/>
    <w:rsid w:val="00220D8C"/>
    <w:rsid w:val="00222A7A"/>
    <w:rsid w:val="00225186"/>
    <w:rsid w:val="00227E50"/>
    <w:rsid w:val="002335CF"/>
    <w:rsid w:val="00233CE4"/>
    <w:rsid w:val="002342B8"/>
    <w:rsid w:val="0023454D"/>
    <w:rsid w:val="0023521F"/>
    <w:rsid w:val="00235DC5"/>
    <w:rsid w:val="00237069"/>
    <w:rsid w:val="00243CC1"/>
    <w:rsid w:val="002440CE"/>
    <w:rsid w:val="00244283"/>
    <w:rsid w:val="00246192"/>
    <w:rsid w:val="002479E3"/>
    <w:rsid w:val="00253333"/>
    <w:rsid w:val="0025444A"/>
    <w:rsid w:val="002573B2"/>
    <w:rsid w:val="00261762"/>
    <w:rsid w:val="00261A28"/>
    <w:rsid w:val="00263BAE"/>
    <w:rsid w:val="002650D4"/>
    <w:rsid w:val="002712FD"/>
    <w:rsid w:val="002727D1"/>
    <w:rsid w:val="00273F04"/>
    <w:rsid w:val="002804CF"/>
    <w:rsid w:val="00280EE3"/>
    <w:rsid w:val="002815A7"/>
    <w:rsid w:val="002832A1"/>
    <w:rsid w:val="0028384F"/>
    <w:rsid w:val="00283A00"/>
    <w:rsid w:val="00284048"/>
    <w:rsid w:val="00284482"/>
    <w:rsid w:val="00284539"/>
    <w:rsid w:val="00285F80"/>
    <w:rsid w:val="002869EB"/>
    <w:rsid w:val="002907B1"/>
    <w:rsid w:val="00291E2F"/>
    <w:rsid w:val="00292581"/>
    <w:rsid w:val="00294972"/>
    <w:rsid w:val="00294FD3"/>
    <w:rsid w:val="00296F9F"/>
    <w:rsid w:val="002A0044"/>
    <w:rsid w:val="002A1F9C"/>
    <w:rsid w:val="002A228F"/>
    <w:rsid w:val="002A22C2"/>
    <w:rsid w:val="002A3A64"/>
    <w:rsid w:val="002A5E66"/>
    <w:rsid w:val="002A5F35"/>
    <w:rsid w:val="002B1CCE"/>
    <w:rsid w:val="002B1ED4"/>
    <w:rsid w:val="002B33DC"/>
    <w:rsid w:val="002B5ECD"/>
    <w:rsid w:val="002B6A2C"/>
    <w:rsid w:val="002C078E"/>
    <w:rsid w:val="002C37DF"/>
    <w:rsid w:val="002C4B1C"/>
    <w:rsid w:val="002C4B32"/>
    <w:rsid w:val="002C53CE"/>
    <w:rsid w:val="002C5DD4"/>
    <w:rsid w:val="002D13BF"/>
    <w:rsid w:val="002D143A"/>
    <w:rsid w:val="002D5639"/>
    <w:rsid w:val="002D699A"/>
    <w:rsid w:val="002E13FF"/>
    <w:rsid w:val="002E318B"/>
    <w:rsid w:val="002E5028"/>
    <w:rsid w:val="002E728A"/>
    <w:rsid w:val="002E7FAC"/>
    <w:rsid w:val="002F02A6"/>
    <w:rsid w:val="002F20F5"/>
    <w:rsid w:val="002F2B9E"/>
    <w:rsid w:val="002F54E1"/>
    <w:rsid w:val="002F739D"/>
    <w:rsid w:val="0030037E"/>
    <w:rsid w:val="00301581"/>
    <w:rsid w:val="0030168E"/>
    <w:rsid w:val="0030186B"/>
    <w:rsid w:val="00306BB2"/>
    <w:rsid w:val="00307B4E"/>
    <w:rsid w:val="00312508"/>
    <w:rsid w:val="00312ECF"/>
    <w:rsid w:val="00313B15"/>
    <w:rsid w:val="003140E6"/>
    <w:rsid w:val="00315AB5"/>
    <w:rsid w:val="00316F9E"/>
    <w:rsid w:val="00320A0E"/>
    <w:rsid w:val="00322ABA"/>
    <w:rsid w:val="00325710"/>
    <w:rsid w:val="003259DC"/>
    <w:rsid w:val="0032659F"/>
    <w:rsid w:val="00326B3E"/>
    <w:rsid w:val="00327B68"/>
    <w:rsid w:val="00330A6B"/>
    <w:rsid w:val="00332AA8"/>
    <w:rsid w:val="003339A8"/>
    <w:rsid w:val="0033606D"/>
    <w:rsid w:val="003403F4"/>
    <w:rsid w:val="00340604"/>
    <w:rsid w:val="003408F2"/>
    <w:rsid w:val="00340932"/>
    <w:rsid w:val="00340A29"/>
    <w:rsid w:val="003426FF"/>
    <w:rsid w:val="0034280C"/>
    <w:rsid w:val="00343923"/>
    <w:rsid w:val="00344B54"/>
    <w:rsid w:val="00346A86"/>
    <w:rsid w:val="00346CC4"/>
    <w:rsid w:val="0035059B"/>
    <w:rsid w:val="00350705"/>
    <w:rsid w:val="00351040"/>
    <w:rsid w:val="00352ADA"/>
    <w:rsid w:val="00352CFF"/>
    <w:rsid w:val="003531BA"/>
    <w:rsid w:val="00356606"/>
    <w:rsid w:val="0035738A"/>
    <w:rsid w:val="00361F8E"/>
    <w:rsid w:val="00367858"/>
    <w:rsid w:val="003728E8"/>
    <w:rsid w:val="00375BFE"/>
    <w:rsid w:val="00376601"/>
    <w:rsid w:val="00377CF2"/>
    <w:rsid w:val="003801E5"/>
    <w:rsid w:val="00381789"/>
    <w:rsid w:val="003841B2"/>
    <w:rsid w:val="00387787"/>
    <w:rsid w:val="0039555D"/>
    <w:rsid w:val="00396449"/>
    <w:rsid w:val="0039678B"/>
    <w:rsid w:val="003967C2"/>
    <w:rsid w:val="0039745B"/>
    <w:rsid w:val="003975FD"/>
    <w:rsid w:val="003A0944"/>
    <w:rsid w:val="003A1010"/>
    <w:rsid w:val="003A33AE"/>
    <w:rsid w:val="003A53A0"/>
    <w:rsid w:val="003A6CA1"/>
    <w:rsid w:val="003A75C8"/>
    <w:rsid w:val="003B0E03"/>
    <w:rsid w:val="003B2A6E"/>
    <w:rsid w:val="003B3F5C"/>
    <w:rsid w:val="003B4AA2"/>
    <w:rsid w:val="003B5330"/>
    <w:rsid w:val="003B70C7"/>
    <w:rsid w:val="003B7126"/>
    <w:rsid w:val="003B7243"/>
    <w:rsid w:val="003B7844"/>
    <w:rsid w:val="003B7D0F"/>
    <w:rsid w:val="003C0A6F"/>
    <w:rsid w:val="003C0C9F"/>
    <w:rsid w:val="003C16F8"/>
    <w:rsid w:val="003C2B71"/>
    <w:rsid w:val="003C2E1E"/>
    <w:rsid w:val="003C3419"/>
    <w:rsid w:val="003C698E"/>
    <w:rsid w:val="003C7BB6"/>
    <w:rsid w:val="003D20A5"/>
    <w:rsid w:val="003D3CA6"/>
    <w:rsid w:val="003D41AA"/>
    <w:rsid w:val="003D4B1D"/>
    <w:rsid w:val="003D5074"/>
    <w:rsid w:val="003D591B"/>
    <w:rsid w:val="003D7818"/>
    <w:rsid w:val="003E0DFA"/>
    <w:rsid w:val="003E2227"/>
    <w:rsid w:val="003E2928"/>
    <w:rsid w:val="003E3FB3"/>
    <w:rsid w:val="003E687B"/>
    <w:rsid w:val="003E697A"/>
    <w:rsid w:val="003F104E"/>
    <w:rsid w:val="003F586A"/>
    <w:rsid w:val="003F7994"/>
    <w:rsid w:val="004000C8"/>
    <w:rsid w:val="00400713"/>
    <w:rsid w:val="0040083C"/>
    <w:rsid w:val="0040286F"/>
    <w:rsid w:val="00402BBD"/>
    <w:rsid w:val="0040373D"/>
    <w:rsid w:val="0040489B"/>
    <w:rsid w:val="00404B18"/>
    <w:rsid w:val="00406DE9"/>
    <w:rsid w:val="00410AD0"/>
    <w:rsid w:val="004117F7"/>
    <w:rsid w:val="004127A8"/>
    <w:rsid w:val="004150DA"/>
    <w:rsid w:val="0041526A"/>
    <w:rsid w:val="004172D7"/>
    <w:rsid w:val="00421D0E"/>
    <w:rsid w:val="004225C9"/>
    <w:rsid w:val="0042312C"/>
    <w:rsid w:val="004233C1"/>
    <w:rsid w:val="004241EB"/>
    <w:rsid w:val="00425E84"/>
    <w:rsid w:val="004272A4"/>
    <w:rsid w:val="00430B70"/>
    <w:rsid w:val="00432261"/>
    <w:rsid w:val="004338FB"/>
    <w:rsid w:val="0043553C"/>
    <w:rsid w:val="0043679B"/>
    <w:rsid w:val="004371D2"/>
    <w:rsid w:val="0043729F"/>
    <w:rsid w:val="00441E29"/>
    <w:rsid w:val="004449EE"/>
    <w:rsid w:val="004451A9"/>
    <w:rsid w:val="00445E2A"/>
    <w:rsid w:val="00447076"/>
    <w:rsid w:val="00450EF9"/>
    <w:rsid w:val="004524B2"/>
    <w:rsid w:val="00452B43"/>
    <w:rsid w:val="00460B69"/>
    <w:rsid w:val="00460BA9"/>
    <w:rsid w:val="00461004"/>
    <w:rsid w:val="00466D6B"/>
    <w:rsid w:val="0047474E"/>
    <w:rsid w:val="00475F68"/>
    <w:rsid w:val="00476162"/>
    <w:rsid w:val="00477C3F"/>
    <w:rsid w:val="00482544"/>
    <w:rsid w:val="00482FAD"/>
    <w:rsid w:val="00483E5F"/>
    <w:rsid w:val="004873ED"/>
    <w:rsid w:val="00487F47"/>
    <w:rsid w:val="00491B67"/>
    <w:rsid w:val="00493699"/>
    <w:rsid w:val="00494083"/>
    <w:rsid w:val="00494B66"/>
    <w:rsid w:val="00495197"/>
    <w:rsid w:val="0049701D"/>
    <w:rsid w:val="00497179"/>
    <w:rsid w:val="004A37BA"/>
    <w:rsid w:val="004A4711"/>
    <w:rsid w:val="004A55D3"/>
    <w:rsid w:val="004A66F4"/>
    <w:rsid w:val="004A6AB4"/>
    <w:rsid w:val="004A6F2C"/>
    <w:rsid w:val="004A7115"/>
    <w:rsid w:val="004A736F"/>
    <w:rsid w:val="004B22CA"/>
    <w:rsid w:val="004B38FD"/>
    <w:rsid w:val="004B6845"/>
    <w:rsid w:val="004B7014"/>
    <w:rsid w:val="004C03AE"/>
    <w:rsid w:val="004C0416"/>
    <w:rsid w:val="004C2D74"/>
    <w:rsid w:val="004C4A03"/>
    <w:rsid w:val="004C796E"/>
    <w:rsid w:val="004D20C2"/>
    <w:rsid w:val="004D264D"/>
    <w:rsid w:val="004D318B"/>
    <w:rsid w:val="004D5C00"/>
    <w:rsid w:val="004D5CB2"/>
    <w:rsid w:val="004D7344"/>
    <w:rsid w:val="004D76DA"/>
    <w:rsid w:val="004D7EB9"/>
    <w:rsid w:val="004E06AF"/>
    <w:rsid w:val="004E095F"/>
    <w:rsid w:val="004E3C1B"/>
    <w:rsid w:val="004E5B44"/>
    <w:rsid w:val="004E6DAA"/>
    <w:rsid w:val="004E7D6C"/>
    <w:rsid w:val="004F085B"/>
    <w:rsid w:val="004F37E0"/>
    <w:rsid w:val="004F3C16"/>
    <w:rsid w:val="004F46C9"/>
    <w:rsid w:val="004F653A"/>
    <w:rsid w:val="00501117"/>
    <w:rsid w:val="005011E9"/>
    <w:rsid w:val="00503F27"/>
    <w:rsid w:val="005058A4"/>
    <w:rsid w:val="00505F03"/>
    <w:rsid w:val="00505FCF"/>
    <w:rsid w:val="00506791"/>
    <w:rsid w:val="00506ADE"/>
    <w:rsid w:val="00507FCB"/>
    <w:rsid w:val="0051158F"/>
    <w:rsid w:val="0051211B"/>
    <w:rsid w:val="00512DFA"/>
    <w:rsid w:val="00513A84"/>
    <w:rsid w:val="005141D8"/>
    <w:rsid w:val="00520CB3"/>
    <w:rsid w:val="00521548"/>
    <w:rsid w:val="00521937"/>
    <w:rsid w:val="005226D5"/>
    <w:rsid w:val="00527CC5"/>
    <w:rsid w:val="00527E16"/>
    <w:rsid w:val="005322A5"/>
    <w:rsid w:val="0053533D"/>
    <w:rsid w:val="005358EF"/>
    <w:rsid w:val="00536045"/>
    <w:rsid w:val="00536A95"/>
    <w:rsid w:val="00536F8D"/>
    <w:rsid w:val="00542469"/>
    <w:rsid w:val="00542825"/>
    <w:rsid w:val="0054424B"/>
    <w:rsid w:val="00544344"/>
    <w:rsid w:val="00544CAE"/>
    <w:rsid w:val="00544FDE"/>
    <w:rsid w:val="00547581"/>
    <w:rsid w:val="00547CA8"/>
    <w:rsid w:val="00550074"/>
    <w:rsid w:val="00550359"/>
    <w:rsid w:val="0055120D"/>
    <w:rsid w:val="005523C8"/>
    <w:rsid w:val="00552655"/>
    <w:rsid w:val="0055393C"/>
    <w:rsid w:val="00553EF5"/>
    <w:rsid w:val="005540B8"/>
    <w:rsid w:val="00554DE9"/>
    <w:rsid w:val="00556672"/>
    <w:rsid w:val="00556CD4"/>
    <w:rsid w:val="00556D69"/>
    <w:rsid w:val="00557BA0"/>
    <w:rsid w:val="005616F5"/>
    <w:rsid w:val="00561EE9"/>
    <w:rsid w:val="00562D85"/>
    <w:rsid w:val="005630DC"/>
    <w:rsid w:val="0056329E"/>
    <w:rsid w:val="00563731"/>
    <w:rsid w:val="00564EBC"/>
    <w:rsid w:val="00565F12"/>
    <w:rsid w:val="0056621E"/>
    <w:rsid w:val="005666D2"/>
    <w:rsid w:val="005669EF"/>
    <w:rsid w:val="005672B3"/>
    <w:rsid w:val="005712BD"/>
    <w:rsid w:val="00573B3D"/>
    <w:rsid w:val="00573BD0"/>
    <w:rsid w:val="0057414E"/>
    <w:rsid w:val="00575DE5"/>
    <w:rsid w:val="005765F3"/>
    <w:rsid w:val="00576DB1"/>
    <w:rsid w:val="00577621"/>
    <w:rsid w:val="00580176"/>
    <w:rsid w:val="00581F97"/>
    <w:rsid w:val="00582EE2"/>
    <w:rsid w:val="005838EF"/>
    <w:rsid w:val="00583AF9"/>
    <w:rsid w:val="00584506"/>
    <w:rsid w:val="005855C9"/>
    <w:rsid w:val="0058637A"/>
    <w:rsid w:val="00587285"/>
    <w:rsid w:val="005904EF"/>
    <w:rsid w:val="00590B2E"/>
    <w:rsid w:val="00590F22"/>
    <w:rsid w:val="0059228C"/>
    <w:rsid w:val="0059367A"/>
    <w:rsid w:val="005951FB"/>
    <w:rsid w:val="00595FA1"/>
    <w:rsid w:val="0059714B"/>
    <w:rsid w:val="005A0707"/>
    <w:rsid w:val="005A221B"/>
    <w:rsid w:val="005A3518"/>
    <w:rsid w:val="005A408C"/>
    <w:rsid w:val="005A68B9"/>
    <w:rsid w:val="005B0DA6"/>
    <w:rsid w:val="005B0E2C"/>
    <w:rsid w:val="005B1C14"/>
    <w:rsid w:val="005B2CAA"/>
    <w:rsid w:val="005B5922"/>
    <w:rsid w:val="005B5D26"/>
    <w:rsid w:val="005C10EB"/>
    <w:rsid w:val="005C21E7"/>
    <w:rsid w:val="005D15F4"/>
    <w:rsid w:val="005D3070"/>
    <w:rsid w:val="005D35D9"/>
    <w:rsid w:val="005D4E0C"/>
    <w:rsid w:val="005D5FA7"/>
    <w:rsid w:val="005D72AA"/>
    <w:rsid w:val="005D72E2"/>
    <w:rsid w:val="005E0090"/>
    <w:rsid w:val="005E0EFD"/>
    <w:rsid w:val="005E221C"/>
    <w:rsid w:val="005E274A"/>
    <w:rsid w:val="005E3735"/>
    <w:rsid w:val="005E39EF"/>
    <w:rsid w:val="005E45A5"/>
    <w:rsid w:val="005E4F57"/>
    <w:rsid w:val="005E6768"/>
    <w:rsid w:val="005E6C3D"/>
    <w:rsid w:val="005E7014"/>
    <w:rsid w:val="005E735D"/>
    <w:rsid w:val="005F3328"/>
    <w:rsid w:val="005F3D8C"/>
    <w:rsid w:val="005F6E75"/>
    <w:rsid w:val="00600682"/>
    <w:rsid w:val="00605C3B"/>
    <w:rsid w:val="006073FB"/>
    <w:rsid w:val="00610F11"/>
    <w:rsid w:val="0061203C"/>
    <w:rsid w:val="00612E93"/>
    <w:rsid w:val="00614307"/>
    <w:rsid w:val="0061494B"/>
    <w:rsid w:val="00614CB8"/>
    <w:rsid w:val="00615968"/>
    <w:rsid w:val="00615CE8"/>
    <w:rsid w:val="00616CEB"/>
    <w:rsid w:val="00621FCA"/>
    <w:rsid w:val="00625277"/>
    <w:rsid w:val="006273B9"/>
    <w:rsid w:val="00630559"/>
    <w:rsid w:val="0063095F"/>
    <w:rsid w:val="00630C52"/>
    <w:rsid w:val="00631706"/>
    <w:rsid w:val="00633031"/>
    <w:rsid w:val="00633EDB"/>
    <w:rsid w:val="006361C2"/>
    <w:rsid w:val="00640640"/>
    <w:rsid w:val="00640A46"/>
    <w:rsid w:val="00640EB6"/>
    <w:rsid w:val="00645717"/>
    <w:rsid w:val="00645FE7"/>
    <w:rsid w:val="00646C0C"/>
    <w:rsid w:val="00646DFA"/>
    <w:rsid w:val="00653A5B"/>
    <w:rsid w:val="00653FD6"/>
    <w:rsid w:val="00657CCC"/>
    <w:rsid w:val="006606EE"/>
    <w:rsid w:val="00660730"/>
    <w:rsid w:val="00660FC7"/>
    <w:rsid w:val="00662A2D"/>
    <w:rsid w:val="006636B8"/>
    <w:rsid w:val="00663AE6"/>
    <w:rsid w:val="00663EAF"/>
    <w:rsid w:val="0066560A"/>
    <w:rsid w:val="00665D0F"/>
    <w:rsid w:val="006673FC"/>
    <w:rsid w:val="00667BF2"/>
    <w:rsid w:val="006710F1"/>
    <w:rsid w:val="00672ACC"/>
    <w:rsid w:val="0067434B"/>
    <w:rsid w:val="00674354"/>
    <w:rsid w:val="006744C9"/>
    <w:rsid w:val="00674581"/>
    <w:rsid w:val="006752F3"/>
    <w:rsid w:val="0067573E"/>
    <w:rsid w:val="006816E7"/>
    <w:rsid w:val="006818AC"/>
    <w:rsid w:val="006825F1"/>
    <w:rsid w:val="006858F6"/>
    <w:rsid w:val="00686D57"/>
    <w:rsid w:val="00686FCC"/>
    <w:rsid w:val="0068761A"/>
    <w:rsid w:val="0068774C"/>
    <w:rsid w:val="006900E2"/>
    <w:rsid w:val="0069346B"/>
    <w:rsid w:val="006936F9"/>
    <w:rsid w:val="006944A7"/>
    <w:rsid w:val="00695434"/>
    <w:rsid w:val="0069648B"/>
    <w:rsid w:val="00696A79"/>
    <w:rsid w:val="006A2C05"/>
    <w:rsid w:val="006A34BE"/>
    <w:rsid w:val="006B0E7D"/>
    <w:rsid w:val="006B20AA"/>
    <w:rsid w:val="006B2303"/>
    <w:rsid w:val="006B4812"/>
    <w:rsid w:val="006B677D"/>
    <w:rsid w:val="006C3379"/>
    <w:rsid w:val="006C6F2C"/>
    <w:rsid w:val="006D3839"/>
    <w:rsid w:val="006D3F50"/>
    <w:rsid w:val="006D4D44"/>
    <w:rsid w:val="006D52B1"/>
    <w:rsid w:val="006D65B3"/>
    <w:rsid w:val="006D7EAB"/>
    <w:rsid w:val="006E1465"/>
    <w:rsid w:val="006E147C"/>
    <w:rsid w:val="006E14A0"/>
    <w:rsid w:val="006E45F1"/>
    <w:rsid w:val="006E5029"/>
    <w:rsid w:val="006E528B"/>
    <w:rsid w:val="006E61DF"/>
    <w:rsid w:val="006E76BE"/>
    <w:rsid w:val="006F07A6"/>
    <w:rsid w:val="006F146C"/>
    <w:rsid w:val="006F1BA6"/>
    <w:rsid w:val="006F42AA"/>
    <w:rsid w:val="006F4915"/>
    <w:rsid w:val="006F64E6"/>
    <w:rsid w:val="00701EE2"/>
    <w:rsid w:val="00703853"/>
    <w:rsid w:val="0070388C"/>
    <w:rsid w:val="00704969"/>
    <w:rsid w:val="0070685A"/>
    <w:rsid w:val="007102EC"/>
    <w:rsid w:val="00710D6B"/>
    <w:rsid w:val="00713A17"/>
    <w:rsid w:val="00714801"/>
    <w:rsid w:val="00714CFE"/>
    <w:rsid w:val="00722E3D"/>
    <w:rsid w:val="00723BF6"/>
    <w:rsid w:val="00723FDF"/>
    <w:rsid w:val="00726F77"/>
    <w:rsid w:val="007303F8"/>
    <w:rsid w:val="00730D9F"/>
    <w:rsid w:val="00731BEB"/>
    <w:rsid w:val="00732E2B"/>
    <w:rsid w:val="007342F5"/>
    <w:rsid w:val="00736F23"/>
    <w:rsid w:val="007374AE"/>
    <w:rsid w:val="00737816"/>
    <w:rsid w:val="00737894"/>
    <w:rsid w:val="00737CE6"/>
    <w:rsid w:val="00737D0D"/>
    <w:rsid w:val="00740702"/>
    <w:rsid w:val="007415EE"/>
    <w:rsid w:val="00741F8D"/>
    <w:rsid w:val="00744390"/>
    <w:rsid w:val="00747BB7"/>
    <w:rsid w:val="00747DD4"/>
    <w:rsid w:val="00747DEB"/>
    <w:rsid w:val="00750B94"/>
    <w:rsid w:val="00751114"/>
    <w:rsid w:val="00754559"/>
    <w:rsid w:val="0075609B"/>
    <w:rsid w:val="00757DCB"/>
    <w:rsid w:val="0076010D"/>
    <w:rsid w:val="007603C9"/>
    <w:rsid w:val="0076295A"/>
    <w:rsid w:val="0076391B"/>
    <w:rsid w:val="0076686C"/>
    <w:rsid w:val="007669D0"/>
    <w:rsid w:val="00770273"/>
    <w:rsid w:val="00770324"/>
    <w:rsid w:val="007710BA"/>
    <w:rsid w:val="00772C41"/>
    <w:rsid w:val="007751E2"/>
    <w:rsid w:val="0077574D"/>
    <w:rsid w:val="00775F40"/>
    <w:rsid w:val="00775F61"/>
    <w:rsid w:val="00776A8E"/>
    <w:rsid w:val="00776B40"/>
    <w:rsid w:val="00783111"/>
    <w:rsid w:val="0078434F"/>
    <w:rsid w:val="00785A75"/>
    <w:rsid w:val="00786167"/>
    <w:rsid w:val="00786996"/>
    <w:rsid w:val="00787639"/>
    <w:rsid w:val="00790E5E"/>
    <w:rsid w:val="00793BB8"/>
    <w:rsid w:val="00795C6B"/>
    <w:rsid w:val="00795D4A"/>
    <w:rsid w:val="007964D2"/>
    <w:rsid w:val="007971CB"/>
    <w:rsid w:val="007A0E22"/>
    <w:rsid w:val="007A15E6"/>
    <w:rsid w:val="007A17E3"/>
    <w:rsid w:val="007A57E4"/>
    <w:rsid w:val="007B2650"/>
    <w:rsid w:val="007B3D5A"/>
    <w:rsid w:val="007B5879"/>
    <w:rsid w:val="007C222C"/>
    <w:rsid w:val="007C493D"/>
    <w:rsid w:val="007C5026"/>
    <w:rsid w:val="007C5307"/>
    <w:rsid w:val="007C70FB"/>
    <w:rsid w:val="007D0B07"/>
    <w:rsid w:val="007D120D"/>
    <w:rsid w:val="007D222B"/>
    <w:rsid w:val="007D2C44"/>
    <w:rsid w:val="007D5638"/>
    <w:rsid w:val="007D5D4C"/>
    <w:rsid w:val="007E04EC"/>
    <w:rsid w:val="007E0DC4"/>
    <w:rsid w:val="007E60D0"/>
    <w:rsid w:val="007E61EF"/>
    <w:rsid w:val="007E68F0"/>
    <w:rsid w:val="007F1A48"/>
    <w:rsid w:val="007F2D5E"/>
    <w:rsid w:val="007F449B"/>
    <w:rsid w:val="007F4896"/>
    <w:rsid w:val="007F6BE1"/>
    <w:rsid w:val="00801545"/>
    <w:rsid w:val="00801CFC"/>
    <w:rsid w:val="00802500"/>
    <w:rsid w:val="00802D85"/>
    <w:rsid w:val="00803BA6"/>
    <w:rsid w:val="00803FB3"/>
    <w:rsid w:val="0080518F"/>
    <w:rsid w:val="0080530D"/>
    <w:rsid w:val="00806058"/>
    <w:rsid w:val="00812A5F"/>
    <w:rsid w:val="0081313B"/>
    <w:rsid w:val="0081398D"/>
    <w:rsid w:val="00815552"/>
    <w:rsid w:val="00816623"/>
    <w:rsid w:val="00816DE1"/>
    <w:rsid w:val="008177E6"/>
    <w:rsid w:val="00817F2E"/>
    <w:rsid w:val="00823812"/>
    <w:rsid w:val="0082423F"/>
    <w:rsid w:val="00825D5D"/>
    <w:rsid w:val="00826E06"/>
    <w:rsid w:val="00827A78"/>
    <w:rsid w:val="00827C34"/>
    <w:rsid w:val="00830A9C"/>
    <w:rsid w:val="008315EC"/>
    <w:rsid w:val="00832609"/>
    <w:rsid w:val="00832956"/>
    <w:rsid w:val="008364EE"/>
    <w:rsid w:val="00836EC2"/>
    <w:rsid w:val="00837BE1"/>
    <w:rsid w:val="008409D7"/>
    <w:rsid w:val="00842392"/>
    <w:rsid w:val="00843B5B"/>
    <w:rsid w:val="00844287"/>
    <w:rsid w:val="0084758C"/>
    <w:rsid w:val="00847DDA"/>
    <w:rsid w:val="00850B3B"/>
    <w:rsid w:val="00850FA9"/>
    <w:rsid w:val="00851F20"/>
    <w:rsid w:val="008524C7"/>
    <w:rsid w:val="0085252C"/>
    <w:rsid w:val="00854D3E"/>
    <w:rsid w:val="0085648E"/>
    <w:rsid w:val="00856D5D"/>
    <w:rsid w:val="0086248D"/>
    <w:rsid w:val="00862581"/>
    <w:rsid w:val="00862BBA"/>
    <w:rsid w:val="00863A8E"/>
    <w:rsid w:val="0086683E"/>
    <w:rsid w:val="00871D61"/>
    <w:rsid w:val="00872CC0"/>
    <w:rsid w:val="00874E4D"/>
    <w:rsid w:val="008750B0"/>
    <w:rsid w:val="008760FD"/>
    <w:rsid w:val="008763F7"/>
    <w:rsid w:val="00876DE9"/>
    <w:rsid w:val="00877EBE"/>
    <w:rsid w:val="00881BF7"/>
    <w:rsid w:val="008821BC"/>
    <w:rsid w:val="008824CF"/>
    <w:rsid w:val="00882ED1"/>
    <w:rsid w:val="008861A8"/>
    <w:rsid w:val="00886F15"/>
    <w:rsid w:val="00890EEB"/>
    <w:rsid w:val="008939D5"/>
    <w:rsid w:val="008A003E"/>
    <w:rsid w:val="008A11C7"/>
    <w:rsid w:val="008A30D2"/>
    <w:rsid w:val="008A3BB7"/>
    <w:rsid w:val="008A4220"/>
    <w:rsid w:val="008A4FAC"/>
    <w:rsid w:val="008A6E0D"/>
    <w:rsid w:val="008A7B27"/>
    <w:rsid w:val="008A7E01"/>
    <w:rsid w:val="008B06F2"/>
    <w:rsid w:val="008B0D35"/>
    <w:rsid w:val="008B14CC"/>
    <w:rsid w:val="008B1F41"/>
    <w:rsid w:val="008B4139"/>
    <w:rsid w:val="008B4C0A"/>
    <w:rsid w:val="008B6993"/>
    <w:rsid w:val="008C0857"/>
    <w:rsid w:val="008C0B71"/>
    <w:rsid w:val="008C16F2"/>
    <w:rsid w:val="008C23DE"/>
    <w:rsid w:val="008C4432"/>
    <w:rsid w:val="008C4668"/>
    <w:rsid w:val="008C473C"/>
    <w:rsid w:val="008C56D1"/>
    <w:rsid w:val="008C7B0E"/>
    <w:rsid w:val="008D1B6B"/>
    <w:rsid w:val="008D2B11"/>
    <w:rsid w:val="008D333F"/>
    <w:rsid w:val="008D72C7"/>
    <w:rsid w:val="008D7665"/>
    <w:rsid w:val="008D7E7E"/>
    <w:rsid w:val="008E1AEC"/>
    <w:rsid w:val="008E5022"/>
    <w:rsid w:val="008E5EBF"/>
    <w:rsid w:val="008F0B2A"/>
    <w:rsid w:val="008F1260"/>
    <w:rsid w:val="008F2028"/>
    <w:rsid w:val="008F36F5"/>
    <w:rsid w:val="008F50F6"/>
    <w:rsid w:val="008F5396"/>
    <w:rsid w:val="008F630C"/>
    <w:rsid w:val="008F6FDB"/>
    <w:rsid w:val="008F712A"/>
    <w:rsid w:val="008F7BC2"/>
    <w:rsid w:val="00906C0A"/>
    <w:rsid w:val="0091201E"/>
    <w:rsid w:val="00912EA5"/>
    <w:rsid w:val="00913F6A"/>
    <w:rsid w:val="00915125"/>
    <w:rsid w:val="0091635C"/>
    <w:rsid w:val="009169F6"/>
    <w:rsid w:val="009173EE"/>
    <w:rsid w:val="00917D4E"/>
    <w:rsid w:val="0092054F"/>
    <w:rsid w:val="00921118"/>
    <w:rsid w:val="00921D36"/>
    <w:rsid w:val="00924A7C"/>
    <w:rsid w:val="0092512F"/>
    <w:rsid w:val="00925DB3"/>
    <w:rsid w:val="0092630D"/>
    <w:rsid w:val="0093206D"/>
    <w:rsid w:val="0093356D"/>
    <w:rsid w:val="00933B41"/>
    <w:rsid w:val="009356B4"/>
    <w:rsid w:val="009373AE"/>
    <w:rsid w:val="009413E6"/>
    <w:rsid w:val="009414F1"/>
    <w:rsid w:val="009431BF"/>
    <w:rsid w:val="00943418"/>
    <w:rsid w:val="0094608F"/>
    <w:rsid w:val="00946262"/>
    <w:rsid w:val="00952DBE"/>
    <w:rsid w:val="00953DB9"/>
    <w:rsid w:val="00954D9A"/>
    <w:rsid w:val="00955176"/>
    <w:rsid w:val="00961866"/>
    <w:rsid w:val="00965A02"/>
    <w:rsid w:val="009672A6"/>
    <w:rsid w:val="0097251E"/>
    <w:rsid w:val="00973CF0"/>
    <w:rsid w:val="00975132"/>
    <w:rsid w:val="00975B2D"/>
    <w:rsid w:val="0097794A"/>
    <w:rsid w:val="00977E50"/>
    <w:rsid w:val="00980A97"/>
    <w:rsid w:val="00980B32"/>
    <w:rsid w:val="00981122"/>
    <w:rsid w:val="009815DB"/>
    <w:rsid w:val="00982C10"/>
    <w:rsid w:val="00982C3E"/>
    <w:rsid w:val="009865D0"/>
    <w:rsid w:val="009867A4"/>
    <w:rsid w:val="009877B9"/>
    <w:rsid w:val="00987925"/>
    <w:rsid w:val="00992155"/>
    <w:rsid w:val="0099219B"/>
    <w:rsid w:val="009940E0"/>
    <w:rsid w:val="009940E4"/>
    <w:rsid w:val="009A05B3"/>
    <w:rsid w:val="009A085A"/>
    <w:rsid w:val="009A1521"/>
    <w:rsid w:val="009A18C3"/>
    <w:rsid w:val="009A2407"/>
    <w:rsid w:val="009A2615"/>
    <w:rsid w:val="009A3E3D"/>
    <w:rsid w:val="009A42E7"/>
    <w:rsid w:val="009A47F4"/>
    <w:rsid w:val="009A543F"/>
    <w:rsid w:val="009A5BFA"/>
    <w:rsid w:val="009A650C"/>
    <w:rsid w:val="009A6C4C"/>
    <w:rsid w:val="009B3246"/>
    <w:rsid w:val="009B3F88"/>
    <w:rsid w:val="009B4BEA"/>
    <w:rsid w:val="009C12C4"/>
    <w:rsid w:val="009C402D"/>
    <w:rsid w:val="009D15A0"/>
    <w:rsid w:val="009D16DD"/>
    <w:rsid w:val="009D4AB5"/>
    <w:rsid w:val="009D5999"/>
    <w:rsid w:val="009E1392"/>
    <w:rsid w:val="009E36E3"/>
    <w:rsid w:val="009E3CFB"/>
    <w:rsid w:val="009E459E"/>
    <w:rsid w:val="009E47DA"/>
    <w:rsid w:val="009E59B1"/>
    <w:rsid w:val="009E73DE"/>
    <w:rsid w:val="009F2DD8"/>
    <w:rsid w:val="009F3AAE"/>
    <w:rsid w:val="009F6803"/>
    <w:rsid w:val="009F7C53"/>
    <w:rsid w:val="00A0101C"/>
    <w:rsid w:val="00A02DF9"/>
    <w:rsid w:val="00A03231"/>
    <w:rsid w:val="00A04665"/>
    <w:rsid w:val="00A0517A"/>
    <w:rsid w:val="00A06A5A"/>
    <w:rsid w:val="00A121CB"/>
    <w:rsid w:val="00A129FC"/>
    <w:rsid w:val="00A12B08"/>
    <w:rsid w:val="00A1335D"/>
    <w:rsid w:val="00A14E17"/>
    <w:rsid w:val="00A15A6A"/>
    <w:rsid w:val="00A162F3"/>
    <w:rsid w:val="00A217A0"/>
    <w:rsid w:val="00A228F7"/>
    <w:rsid w:val="00A26548"/>
    <w:rsid w:val="00A27F81"/>
    <w:rsid w:val="00A30037"/>
    <w:rsid w:val="00A31F35"/>
    <w:rsid w:val="00A36392"/>
    <w:rsid w:val="00A42BCC"/>
    <w:rsid w:val="00A45068"/>
    <w:rsid w:val="00A45356"/>
    <w:rsid w:val="00A4590E"/>
    <w:rsid w:val="00A4618E"/>
    <w:rsid w:val="00A46534"/>
    <w:rsid w:val="00A47CA1"/>
    <w:rsid w:val="00A528CB"/>
    <w:rsid w:val="00A53781"/>
    <w:rsid w:val="00A53AD2"/>
    <w:rsid w:val="00A55396"/>
    <w:rsid w:val="00A5547D"/>
    <w:rsid w:val="00A5684F"/>
    <w:rsid w:val="00A56AE1"/>
    <w:rsid w:val="00A60C59"/>
    <w:rsid w:val="00A60D82"/>
    <w:rsid w:val="00A60F56"/>
    <w:rsid w:val="00A62FA8"/>
    <w:rsid w:val="00A63B69"/>
    <w:rsid w:val="00A6597D"/>
    <w:rsid w:val="00A674BB"/>
    <w:rsid w:val="00A67DA7"/>
    <w:rsid w:val="00A716C2"/>
    <w:rsid w:val="00A734AC"/>
    <w:rsid w:val="00A775DA"/>
    <w:rsid w:val="00A80468"/>
    <w:rsid w:val="00A81058"/>
    <w:rsid w:val="00A81421"/>
    <w:rsid w:val="00A84586"/>
    <w:rsid w:val="00A84809"/>
    <w:rsid w:val="00A84E50"/>
    <w:rsid w:val="00A853D3"/>
    <w:rsid w:val="00A85D64"/>
    <w:rsid w:val="00A861B3"/>
    <w:rsid w:val="00A86D9A"/>
    <w:rsid w:val="00A9415D"/>
    <w:rsid w:val="00A96D79"/>
    <w:rsid w:val="00A9799B"/>
    <w:rsid w:val="00AA1129"/>
    <w:rsid w:val="00AA16C5"/>
    <w:rsid w:val="00AA6AD3"/>
    <w:rsid w:val="00AA79CB"/>
    <w:rsid w:val="00AB0D2D"/>
    <w:rsid w:val="00AB1E31"/>
    <w:rsid w:val="00AB3F98"/>
    <w:rsid w:val="00AB54CF"/>
    <w:rsid w:val="00AB74ED"/>
    <w:rsid w:val="00AB7F55"/>
    <w:rsid w:val="00AC2953"/>
    <w:rsid w:val="00AC29FC"/>
    <w:rsid w:val="00AC2D6A"/>
    <w:rsid w:val="00AC430B"/>
    <w:rsid w:val="00AC5D9F"/>
    <w:rsid w:val="00AC63A5"/>
    <w:rsid w:val="00AC798B"/>
    <w:rsid w:val="00AD1B89"/>
    <w:rsid w:val="00AD2211"/>
    <w:rsid w:val="00AD244C"/>
    <w:rsid w:val="00AD44CF"/>
    <w:rsid w:val="00AE3C66"/>
    <w:rsid w:val="00AE3CA5"/>
    <w:rsid w:val="00AE7A78"/>
    <w:rsid w:val="00AE7B2A"/>
    <w:rsid w:val="00AF2898"/>
    <w:rsid w:val="00AF345B"/>
    <w:rsid w:val="00AF463B"/>
    <w:rsid w:val="00AF49BA"/>
    <w:rsid w:val="00AF4EA2"/>
    <w:rsid w:val="00AF53B4"/>
    <w:rsid w:val="00AF7030"/>
    <w:rsid w:val="00B01F0F"/>
    <w:rsid w:val="00B06CFE"/>
    <w:rsid w:val="00B10189"/>
    <w:rsid w:val="00B11970"/>
    <w:rsid w:val="00B121E6"/>
    <w:rsid w:val="00B139E0"/>
    <w:rsid w:val="00B14A6D"/>
    <w:rsid w:val="00B217EE"/>
    <w:rsid w:val="00B21841"/>
    <w:rsid w:val="00B21951"/>
    <w:rsid w:val="00B24530"/>
    <w:rsid w:val="00B245A2"/>
    <w:rsid w:val="00B2590B"/>
    <w:rsid w:val="00B26124"/>
    <w:rsid w:val="00B31B06"/>
    <w:rsid w:val="00B31D6C"/>
    <w:rsid w:val="00B32948"/>
    <w:rsid w:val="00B3737D"/>
    <w:rsid w:val="00B43374"/>
    <w:rsid w:val="00B5184E"/>
    <w:rsid w:val="00B545FC"/>
    <w:rsid w:val="00B54BB0"/>
    <w:rsid w:val="00B554D7"/>
    <w:rsid w:val="00B55B6D"/>
    <w:rsid w:val="00B570D4"/>
    <w:rsid w:val="00B57BFE"/>
    <w:rsid w:val="00B603FA"/>
    <w:rsid w:val="00B63045"/>
    <w:rsid w:val="00B674D3"/>
    <w:rsid w:val="00B73CA7"/>
    <w:rsid w:val="00B73E0C"/>
    <w:rsid w:val="00B74223"/>
    <w:rsid w:val="00B7470A"/>
    <w:rsid w:val="00B75810"/>
    <w:rsid w:val="00B804E1"/>
    <w:rsid w:val="00B81CA0"/>
    <w:rsid w:val="00B81E78"/>
    <w:rsid w:val="00B828E6"/>
    <w:rsid w:val="00B83FCC"/>
    <w:rsid w:val="00B84DC8"/>
    <w:rsid w:val="00B854EA"/>
    <w:rsid w:val="00B86393"/>
    <w:rsid w:val="00B875CC"/>
    <w:rsid w:val="00B90EB3"/>
    <w:rsid w:val="00B917AB"/>
    <w:rsid w:val="00B92B08"/>
    <w:rsid w:val="00B958DB"/>
    <w:rsid w:val="00B95949"/>
    <w:rsid w:val="00BA06FF"/>
    <w:rsid w:val="00BA1F02"/>
    <w:rsid w:val="00BA449A"/>
    <w:rsid w:val="00BA5E73"/>
    <w:rsid w:val="00BA6A78"/>
    <w:rsid w:val="00BA71D0"/>
    <w:rsid w:val="00BA76B0"/>
    <w:rsid w:val="00BA7B83"/>
    <w:rsid w:val="00BB2FF5"/>
    <w:rsid w:val="00BB37D5"/>
    <w:rsid w:val="00BB443B"/>
    <w:rsid w:val="00BB70F2"/>
    <w:rsid w:val="00BC19B9"/>
    <w:rsid w:val="00BC1B88"/>
    <w:rsid w:val="00BC45BC"/>
    <w:rsid w:val="00BC4742"/>
    <w:rsid w:val="00BC62E3"/>
    <w:rsid w:val="00BC6862"/>
    <w:rsid w:val="00BD07F9"/>
    <w:rsid w:val="00BD0C26"/>
    <w:rsid w:val="00BD26AB"/>
    <w:rsid w:val="00BD485A"/>
    <w:rsid w:val="00BD4F2F"/>
    <w:rsid w:val="00BD55FF"/>
    <w:rsid w:val="00BD6B48"/>
    <w:rsid w:val="00BD7B3D"/>
    <w:rsid w:val="00BE17CC"/>
    <w:rsid w:val="00BE1A87"/>
    <w:rsid w:val="00BE7C5B"/>
    <w:rsid w:val="00BF300D"/>
    <w:rsid w:val="00BF4B81"/>
    <w:rsid w:val="00BF57B3"/>
    <w:rsid w:val="00C004AC"/>
    <w:rsid w:val="00C01918"/>
    <w:rsid w:val="00C05680"/>
    <w:rsid w:val="00C05A18"/>
    <w:rsid w:val="00C06D96"/>
    <w:rsid w:val="00C07366"/>
    <w:rsid w:val="00C10A1F"/>
    <w:rsid w:val="00C1230D"/>
    <w:rsid w:val="00C16C54"/>
    <w:rsid w:val="00C17136"/>
    <w:rsid w:val="00C17F25"/>
    <w:rsid w:val="00C209BC"/>
    <w:rsid w:val="00C223B7"/>
    <w:rsid w:val="00C2455A"/>
    <w:rsid w:val="00C26523"/>
    <w:rsid w:val="00C3056E"/>
    <w:rsid w:val="00C30C92"/>
    <w:rsid w:val="00C34622"/>
    <w:rsid w:val="00C349F9"/>
    <w:rsid w:val="00C34D22"/>
    <w:rsid w:val="00C34F56"/>
    <w:rsid w:val="00C35139"/>
    <w:rsid w:val="00C37527"/>
    <w:rsid w:val="00C42BA0"/>
    <w:rsid w:val="00C43050"/>
    <w:rsid w:val="00C430F5"/>
    <w:rsid w:val="00C44811"/>
    <w:rsid w:val="00C44BA2"/>
    <w:rsid w:val="00C4559D"/>
    <w:rsid w:val="00C457EB"/>
    <w:rsid w:val="00C45C2C"/>
    <w:rsid w:val="00C46DCC"/>
    <w:rsid w:val="00C47438"/>
    <w:rsid w:val="00C50DB8"/>
    <w:rsid w:val="00C525E8"/>
    <w:rsid w:val="00C558BD"/>
    <w:rsid w:val="00C55AA0"/>
    <w:rsid w:val="00C56D36"/>
    <w:rsid w:val="00C570A2"/>
    <w:rsid w:val="00C605CA"/>
    <w:rsid w:val="00C61BCD"/>
    <w:rsid w:val="00C63065"/>
    <w:rsid w:val="00C667FA"/>
    <w:rsid w:val="00C67642"/>
    <w:rsid w:val="00C70B5B"/>
    <w:rsid w:val="00C71F3C"/>
    <w:rsid w:val="00C73501"/>
    <w:rsid w:val="00C7573D"/>
    <w:rsid w:val="00C75B4A"/>
    <w:rsid w:val="00C76400"/>
    <w:rsid w:val="00C77A64"/>
    <w:rsid w:val="00C77D06"/>
    <w:rsid w:val="00C81BED"/>
    <w:rsid w:val="00C82340"/>
    <w:rsid w:val="00C824DE"/>
    <w:rsid w:val="00C82715"/>
    <w:rsid w:val="00C82E38"/>
    <w:rsid w:val="00C83FC7"/>
    <w:rsid w:val="00C84051"/>
    <w:rsid w:val="00C867D7"/>
    <w:rsid w:val="00C86D17"/>
    <w:rsid w:val="00C87A61"/>
    <w:rsid w:val="00C87B34"/>
    <w:rsid w:val="00C87B4E"/>
    <w:rsid w:val="00C90A63"/>
    <w:rsid w:val="00C93A79"/>
    <w:rsid w:val="00C9615E"/>
    <w:rsid w:val="00CA05D8"/>
    <w:rsid w:val="00CA0B3D"/>
    <w:rsid w:val="00CA0D12"/>
    <w:rsid w:val="00CA1C08"/>
    <w:rsid w:val="00CA2347"/>
    <w:rsid w:val="00CA2F6A"/>
    <w:rsid w:val="00CA440F"/>
    <w:rsid w:val="00CA4EBB"/>
    <w:rsid w:val="00CA546B"/>
    <w:rsid w:val="00CA73D6"/>
    <w:rsid w:val="00CA789F"/>
    <w:rsid w:val="00CB05C9"/>
    <w:rsid w:val="00CB05ED"/>
    <w:rsid w:val="00CB0859"/>
    <w:rsid w:val="00CB1AE9"/>
    <w:rsid w:val="00CB334B"/>
    <w:rsid w:val="00CB7436"/>
    <w:rsid w:val="00CB7619"/>
    <w:rsid w:val="00CC13A0"/>
    <w:rsid w:val="00CC36FB"/>
    <w:rsid w:val="00CC4285"/>
    <w:rsid w:val="00CC4980"/>
    <w:rsid w:val="00CC4C82"/>
    <w:rsid w:val="00CC5641"/>
    <w:rsid w:val="00CD1900"/>
    <w:rsid w:val="00CD1F3D"/>
    <w:rsid w:val="00CD408E"/>
    <w:rsid w:val="00CD753F"/>
    <w:rsid w:val="00CE06CF"/>
    <w:rsid w:val="00CE1B8F"/>
    <w:rsid w:val="00CE3D17"/>
    <w:rsid w:val="00CE3E33"/>
    <w:rsid w:val="00CE4919"/>
    <w:rsid w:val="00CE4F34"/>
    <w:rsid w:val="00CE4F9B"/>
    <w:rsid w:val="00CE6A9D"/>
    <w:rsid w:val="00CE759F"/>
    <w:rsid w:val="00CF48DA"/>
    <w:rsid w:val="00D03555"/>
    <w:rsid w:val="00D039E8"/>
    <w:rsid w:val="00D04A6F"/>
    <w:rsid w:val="00D0503F"/>
    <w:rsid w:val="00D056C2"/>
    <w:rsid w:val="00D0595E"/>
    <w:rsid w:val="00D0772C"/>
    <w:rsid w:val="00D0782B"/>
    <w:rsid w:val="00D101F8"/>
    <w:rsid w:val="00D10665"/>
    <w:rsid w:val="00D1074D"/>
    <w:rsid w:val="00D12399"/>
    <w:rsid w:val="00D13345"/>
    <w:rsid w:val="00D13929"/>
    <w:rsid w:val="00D162D2"/>
    <w:rsid w:val="00D178F5"/>
    <w:rsid w:val="00D2041F"/>
    <w:rsid w:val="00D20673"/>
    <w:rsid w:val="00D20766"/>
    <w:rsid w:val="00D21D73"/>
    <w:rsid w:val="00D23759"/>
    <w:rsid w:val="00D244B9"/>
    <w:rsid w:val="00D245AB"/>
    <w:rsid w:val="00D2526E"/>
    <w:rsid w:val="00D261A5"/>
    <w:rsid w:val="00D2639F"/>
    <w:rsid w:val="00D279E8"/>
    <w:rsid w:val="00D31866"/>
    <w:rsid w:val="00D31A5B"/>
    <w:rsid w:val="00D3210E"/>
    <w:rsid w:val="00D3271E"/>
    <w:rsid w:val="00D37BA5"/>
    <w:rsid w:val="00D410EC"/>
    <w:rsid w:val="00D41905"/>
    <w:rsid w:val="00D41D2C"/>
    <w:rsid w:val="00D436CA"/>
    <w:rsid w:val="00D43A58"/>
    <w:rsid w:val="00D43AB5"/>
    <w:rsid w:val="00D44CAC"/>
    <w:rsid w:val="00D45389"/>
    <w:rsid w:val="00D46566"/>
    <w:rsid w:val="00D50B0A"/>
    <w:rsid w:val="00D54D96"/>
    <w:rsid w:val="00D55AD1"/>
    <w:rsid w:val="00D56B4E"/>
    <w:rsid w:val="00D57EC4"/>
    <w:rsid w:val="00D602CC"/>
    <w:rsid w:val="00D609C5"/>
    <w:rsid w:val="00D60F33"/>
    <w:rsid w:val="00D626D1"/>
    <w:rsid w:val="00D628CC"/>
    <w:rsid w:val="00D66235"/>
    <w:rsid w:val="00D727EE"/>
    <w:rsid w:val="00D74536"/>
    <w:rsid w:val="00D75EE5"/>
    <w:rsid w:val="00D762C8"/>
    <w:rsid w:val="00D76C34"/>
    <w:rsid w:val="00D80429"/>
    <w:rsid w:val="00D816A5"/>
    <w:rsid w:val="00D8190A"/>
    <w:rsid w:val="00D86436"/>
    <w:rsid w:val="00D90418"/>
    <w:rsid w:val="00D90C20"/>
    <w:rsid w:val="00D915D7"/>
    <w:rsid w:val="00D926D0"/>
    <w:rsid w:val="00D93769"/>
    <w:rsid w:val="00D939B5"/>
    <w:rsid w:val="00D963DE"/>
    <w:rsid w:val="00D96C17"/>
    <w:rsid w:val="00DA27FA"/>
    <w:rsid w:val="00DA5E10"/>
    <w:rsid w:val="00DA711D"/>
    <w:rsid w:val="00DA7F60"/>
    <w:rsid w:val="00DB0108"/>
    <w:rsid w:val="00DB037E"/>
    <w:rsid w:val="00DB268B"/>
    <w:rsid w:val="00DB3411"/>
    <w:rsid w:val="00DB506E"/>
    <w:rsid w:val="00DB5E57"/>
    <w:rsid w:val="00DB7A41"/>
    <w:rsid w:val="00DC01F1"/>
    <w:rsid w:val="00DC0EC6"/>
    <w:rsid w:val="00DC125B"/>
    <w:rsid w:val="00DC2C8F"/>
    <w:rsid w:val="00DC2D07"/>
    <w:rsid w:val="00DC4622"/>
    <w:rsid w:val="00DC4E8A"/>
    <w:rsid w:val="00DC58B1"/>
    <w:rsid w:val="00DC5FF4"/>
    <w:rsid w:val="00DD01F3"/>
    <w:rsid w:val="00DD2327"/>
    <w:rsid w:val="00DD23DF"/>
    <w:rsid w:val="00DD501A"/>
    <w:rsid w:val="00DD5CE3"/>
    <w:rsid w:val="00DD675B"/>
    <w:rsid w:val="00DE087D"/>
    <w:rsid w:val="00DE27BD"/>
    <w:rsid w:val="00DE6482"/>
    <w:rsid w:val="00DE6A25"/>
    <w:rsid w:val="00DF0BCA"/>
    <w:rsid w:val="00DF5F13"/>
    <w:rsid w:val="00DF7123"/>
    <w:rsid w:val="00E0099C"/>
    <w:rsid w:val="00E03E22"/>
    <w:rsid w:val="00E05885"/>
    <w:rsid w:val="00E07B52"/>
    <w:rsid w:val="00E122E3"/>
    <w:rsid w:val="00E13B6A"/>
    <w:rsid w:val="00E14A69"/>
    <w:rsid w:val="00E24184"/>
    <w:rsid w:val="00E24688"/>
    <w:rsid w:val="00E251C3"/>
    <w:rsid w:val="00E25329"/>
    <w:rsid w:val="00E327C8"/>
    <w:rsid w:val="00E33654"/>
    <w:rsid w:val="00E3474D"/>
    <w:rsid w:val="00E405EB"/>
    <w:rsid w:val="00E430E1"/>
    <w:rsid w:val="00E46F9F"/>
    <w:rsid w:val="00E50FB4"/>
    <w:rsid w:val="00E525AA"/>
    <w:rsid w:val="00E53670"/>
    <w:rsid w:val="00E55131"/>
    <w:rsid w:val="00E5533D"/>
    <w:rsid w:val="00E5598C"/>
    <w:rsid w:val="00E56BF9"/>
    <w:rsid w:val="00E61B35"/>
    <w:rsid w:val="00E61C19"/>
    <w:rsid w:val="00E64463"/>
    <w:rsid w:val="00E66191"/>
    <w:rsid w:val="00E662A1"/>
    <w:rsid w:val="00E66562"/>
    <w:rsid w:val="00E70A86"/>
    <w:rsid w:val="00E7113D"/>
    <w:rsid w:val="00E72870"/>
    <w:rsid w:val="00E72D1C"/>
    <w:rsid w:val="00E72EF8"/>
    <w:rsid w:val="00E75E48"/>
    <w:rsid w:val="00E775DF"/>
    <w:rsid w:val="00E801D8"/>
    <w:rsid w:val="00E821BF"/>
    <w:rsid w:val="00E84C50"/>
    <w:rsid w:val="00E85653"/>
    <w:rsid w:val="00E90CD6"/>
    <w:rsid w:val="00E90E89"/>
    <w:rsid w:val="00E93C20"/>
    <w:rsid w:val="00E94339"/>
    <w:rsid w:val="00E94EB3"/>
    <w:rsid w:val="00E95D91"/>
    <w:rsid w:val="00E95F86"/>
    <w:rsid w:val="00E960CF"/>
    <w:rsid w:val="00E9617F"/>
    <w:rsid w:val="00E96D01"/>
    <w:rsid w:val="00E9760B"/>
    <w:rsid w:val="00EA0E98"/>
    <w:rsid w:val="00EA1ACB"/>
    <w:rsid w:val="00EA1FE1"/>
    <w:rsid w:val="00EA282E"/>
    <w:rsid w:val="00EA3174"/>
    <w:rsid w:val="00EA3B75"/>
    <w:rsid w:val="00EA4847"/>
    <w:rsid w:val="00EA5762"/>
    <w:rsid w:val="00EB1959"/>
    <w:rsid w:val="00EB1BDE"/>
    <w:rsid w:val="00EB2F19"/>
    <w:rsid w:val="00EB381D"/>
    <w:rsid w:val="00EB4707"/>
    <w:rsid w:val="00EB4F91"/>
    <w:rsid w:val="00EB6DF4"/>
    <w:rsid w:val="00EC04BE"/>
    <w:rsid w:val="00EC0518"/>
    <w:rsid w:val="00EC0C35"/>
    <w:rsid w:val="00EC23E6"/>
    <w:rsid w:val="00EC3441"/>
    <w:rsid w:val="00EC4BF6"/>
    <w:rsid w:val="00ED03A6"/>
    <w:rsid w:val="00ED1093"/>
    <w:rsid w:val="00ED4698"/>
    <w:rsid w:val="00EE2067"/>
    <w:rsid w:val="00EE22B0"/>
    <w:rsid w:val="00EE3CAB"/>
    <w:rsid w:val="00EE5287"/>
    <w:rsid w:val="00EE52C8"/>
    <w:rsid w:val="00EE57B4"/>
    <w:rsid w:val="00EE7FB8"/>
    <w:rsid w:val="00EF0733"/>
    <w:rsid w:val="00EF1424"/>
    <w:rsid w:val="00EF5320"/>
    <w:rsid w:val="00EF5BCA"/>
    <w:rsid w:val="00EF6749"/>
    <w:rsid w:val="00EF693C"/>
    <w:rsid w:val="00EF7621"/>
    <w:rsid w:val="00F00A08"/>
    <w:rsid w:val="00F05812"/>
    <w:rsid w:val="00F107C6"/>
    <w:rsid w:val="00F11F04"/>
    <w:rsid w:val="00F13D41"/>
    <w:rsid w:val="00F13DB7"/>
    <w:rsid w:val="00F15C08"/>
    <w:rsid w:val="00F16CE1"/>
    <w:rsid w:val="00F17A82"/>
    <w:rsid w:val="00F22FFD"/>
    <w:rsid w:val="00F25609"/>
    <w:rsid w:val="00F265C9"/>
    <w:rsid w:val="00F26DF3"/>
    <w:rsid w:val="00F27518"/>
    <w:rsid w:val="00F27DEE"/>
    <w:rsid w:val="00F3091E"/>
    <w:rsid w:val="00F31468"/>
    <w:rsid w:val="00F32819"/>
    <w:rsid w:val="00F3349B"/>
    <w:rsid w:val="00F34ADD"/>
    <w:rsid w:val="00F35090"/>
    <w:rsid w:val="00F358EA"/>
    <w:rsid w:val="00F35B62"/>
    <w:rsid w:val="00F36BFC"/>
    <w:rsid w:val="00F36E5F"/>
    <w:rsid w:val="00F37AAF"/>
    <w:rsid w:val="00F44180"/>
    <w:rsid w:val="00F456DC"/>
    <w:rsid w:val="00F465DC"/>
    <w:rsid w:val="00F47D20"/>
    <w:rsid w:val="00F50BB0"/>
    <w:rsid w:val="00F51B06"/>
    <w:rsid w:val="00F537D1"/>
    <w:rsid w:val="00F53DE1"/>
    <w:rsid w:val="00F54994"/>
    <w:rsid w:val="00F60D75"/>
    <w:rsid w:val="00F61A93"/>
    <w:rsid w:val="00F649DE"/>
    <w:rsid w:val="00F65397"/>
    <w:rsid w:val="00F66B71"/>
    <w:rsid w:val="00F74532"/>
    <w:rsid w:val="00F74BA1"/>
    <w:rsid w:val="00F74E20"/>
    <w:rsid w:val="00F7595D"/>
    <w:rsid w:val="00F764DC"/>
    <w:rsid w:val="00F76AC7"/>
    <w:rsid w:val="00F77FE5"/>
    <w:rsid w:val="00F8067A"/>
    <w:rsid w:val="00F838A3"/>
    <w:rsid w:val="00F847AD"/>
    <w:rsid w:val="00F857B5"/>
    <w:rsid w:val="00F8756D"/>
    <w:rsid w:val="00F90026"/>
    <w:rsid w:val="00F904CC"/>
    <w:rsid w:val="00F91721"/>
    <w:rsid w:val="00F91F6F"/>
    <w:rsid w:val="00F924CC"/>
    <w:rsid w:val="00F930AB"/>
    <w:rsid w:val="00F94A0E"/>
    <w:rsid w:val="00F94BBB"/>
    <w:rsid w:val="00F95C43"/>
    <w:rsid w:val="00F97024"/>
    <w:rsid w:val="00FA0282"/>
    <w:rsid w:val="00FA0343"/>
    <w:rsid w:val="00FA1664"/>
    <w:rsid w:val="00FA3FE2"/>
    <w:rsid w:val="00FB035A"/>
    <w:rsid w:val="00FB0EDB"/>
    <w:rsid w:val="00FB255B"/>
    <w:rsid w:val="00FB26FC"/>
    <w:rsid w:val="00FB33FA"/>
    <w:rsid w:val="00FB49CB"/>
    <w:rsid w:val="00FB5CFF"/>
    <w:rsid w:val="00FB605B"/>
    <w:rsid w:val="00FB6BDC"/>
    <w:rsid w:val="00FB74EC"/>
    <w:rsid w:val="00FC1FCD"/>
    <w:rsid w:val="00FC20ED"/>
    <w:rsid w:val="00FC40CC"/>
    <w:rsid w:val="00FC5D9B"/>
    <w:rsid w:val="00FC747E"/>
    <w:rsid w:val="00FC7DDA"/>
    <w:rsid w:val="00FD0D31"/>
    <w:rsid w:val="00FD1685"/>
    <w:rsid w:val="00FD17F8"/>
    <w:rsid w:val="00FD1B37"/>
    <w:rsid w:val="00FD1E95"/>
    <w:rsid w:val="00FD5384"/>
    <w:rsid w:val="00FD5A48"/>
    <w:rsid w:val="00FD7868"/>
    <w:rsid w:val="00FD7C4B"/>
    <w:rsid w:val="00FE099C"/>
    <w:rsid w:val="00FE120E"/>
    <w:rsid w:val="00FE2223"/>
    <w:rsid w:val="00FE486F"/>
    <w:rsid w:val="00FF0E21"/>
    <w:rsid w:val="00FF0FCD"/>
    <w:rsid w:val="00FF1221"/>
    <w:rsid w:val="00FF2732"/>
    <w:rsid w:val="00FF2E03"/>
    <w:rsid w:val="00FF3DCE"/>
    <w:rsid w:val="00FF48A7"/>
    <w:rsid w:val="00FF4A29"/>
    <w:rsid w:val="00FF4DAA"/>
    <w:rsid w:val="00FF4E26"/>
    <w:rsid w:val="00FF7495"/>
    <w:rsid w:val="00FF7F34"/>
    <w:rsid w:val="00FF7FA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xt"/>
    <w:rsid w:val="00DC0EC6"/>
    <w:pPr>
      <w:tabs>
        <w:tab w:val="left" w:pos="567"/>
      </w:tabs>
      <w:snapToGrid w:val="0"/>
      <w:spacing w:line="280" w:lineRule="exact"/>
      <w:ind w:left="851"/>
      <w:jc w:val="both"/>
    </w:pPr>
    <w:rPr>
      <w:rFonts w:ascii="Arial" w:hAnsi="Arial" w:cs="Arial"/>
      <w:lang w:eastAsia="zh-CN"/>
    </w:rPr>
  </w:style>
  <w:style w:type="paragraph" w:styleId="Heading1">
    <w:name w:val="heading 1"/>
    <w:basedOn w:val="Normal"/>
    <w:next w:val="Normal"/>
    <w:link w:val="Heading1Char"/>
    <w:qFormat/>
    <w:rsid w:val="00701EE2"/>
    <w:pPr>
      <w:keepLines/>
      <w:numPr>
        <w:numId w:val="14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14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146"/>
      </w:numPr>
      <w:tabs>
        <w:tab w:val="clear" w:pos="567"/>
      </w:tabs>
      <w:spacing w:before="240"/>
      <w:outlineLvl w:val="2"/>
    </w:pPr>
    <w:rPr>
      <w:b/>
      <w:bCs/>
      <w:caps/>
      <w:kern w:val="28"/>
      <w:szCs w:val="22"/>
    </w:rPr>
  </w:style>
  <w:style w:type="paragraph" w:styleId="Heading4">
    <w:name w:val="heading 4"/>
    <w:basedOn w:val="Normal"/>
    <w:next w:val="Normal"/>
    <w:link w:val="Heading4Char"/>
    <w:rsid w:val="004241EB"/>
    <w:pPr>
      <w:keepNext/>
      <w:keepLines/>
      <w:tabs>
        <w:tab w:val="clear" w:pos="567"/>
      </w:tabs>
      <w:spacing w:before="480" w:after="240" w:line="300" w:lineRule="exact"/>
      <w:ind w:left="0"/>
      <w:jc w:val="left"/>
      <w:outlineLvl w:val="3"/>
    </w:pPr>
    <w:rPr>
      <w:rFonts w:eastAsia="Times New Roman"/>
      <w:b/>
      <w:bCs/>
      <w:caps/>
      <w:szCs w:val="24"/>
      <w:lang w:eastAsia="en-US"/>
    </w:rPr>
  </w:style>
  <w:style w:type="paragraph" w:styleId="Heading5">
    <w:name w:val="heading 5"/>
    <w:basedOn w:val="Normal"/>
    <w:next w:val="Normal"/>
    <w:link w:val="Heading5Char"/>
    <w:qFormat/>
    <w:rsid w:val="00701EE2"/>
    <w:pPr>
      <w:numPr>
        <w:ilvl w:val="4"/>
        <w:numId w:val="146"/>
      </w:numPr>
      <w:outlineLvl w:val="4"/>
    </w:pPr>
    <w:rPr>
      <w:b/>
    </w:rPr>
  </w:style>
  <w:style w:type="paragraph" w:styleId="Heading6">
    <w:name w:val="heading 6"/>
    <w:basedOn w:val="Normal"/>
    <w:next w:val="Normal"/>
    <w:link w:val="Heading6Char"/>
    <w:qFormat/>
    <w:rsid w:val="00701EE2"/>
    <w:pPr>
      <w:keepLines/>
      <w:numPr>
        <w:ilvl w:val="5"/>
        <w:numId w:val="146"/>
      </w:numPr>
      <w:tabs>
        <w:tab w:val="left" w:pos="1134"/>
      </w:tabs>
      <w:spacing w:after="240"/>
      <w:outlineLvl w:val="5"/>
    </w:pPr>
    <w:rPr>
      <w:rFonts w:eastAsia="Times New Roman"/>
      <w:b/>
      <w:iCs/>
      <w:szCs w:val="22"/>
      <w:lang w:val="en-US"/>
    </w:rPr>
  </w:style>
  <w:style w:type="paragraph" w:styleId="Heading7">
    <w:name w:val="heading 7"/>
    <w:basedOn w:val="Normal"/>
    <w:next w:val="Normal"/>
    <w:link w:val="Heading7Char"/>
    <w:qFormat/>
    <w:rsid w:val="004F37E0"/>
    <w:pPr>
      <w:numPr>
        <w:ilvl w:val="6"/>
        <w:numId w:val="146"/>
      </w:numPr>
      <w:adjustRightInd w:val="0"/>
      <w:spacing w:after="240"/>
      <w:outlineLvl w:val="6"/>
    </w:pPr>
    <w:rPr>
      <w:rFonts w:cs="Times New Roman"/>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link w:val="Heading4"/>
    <w:rsid w:val="004241EB"/>
    <w:rPr>
      <w:rFonts w:ascii="Arial" w:eastAsia="Times New Roman" w:hAnsi="Arial" w:cs="Arial"/>
      <w:b/>
      <w:bCs/>
      <w:caps/>
      <w:szCs w:val="24"/>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rPr>
  </w:style>
  <w:style w:type="character" w:customStyle="1" w:styleId="Heading7Char">
    <w:name w:val="Heading 7 Char"/>
    <w:link w:val="Heading7"/>
    <w:rsid w:val="00701EE2"/>
    <w:rPr>
      <w:rFonts w:ascii="Arial" w:eastAsia="SimSun" w:hAnsi="Arial"/>
      <w:i/>
      <w:snapToGrid w:val="0"/>
      <w:lang w:eastAsia="zh-CN"/>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Texte1"/>
    <w:next w:val="Normal"/>
    <w:uiPriority w:val="39"/>
    <w:rsid w:val="00047769"/>
    <w:pPr>
      <w:spacing w:after="0"/>
      <w:ind w:left="0"/>
      <w:jc w:val="left"/>
    </w:pPr>
    <w:rPr>
      <w:rFonts w:ascii="Arial Gras" w:hAnsi="Arial Gras"/>
      <w:b/>
      <w:bCs/>
    </w:rPr>
  </w:style>
  <w:style w:type="paragraph" w:styleId="TOC2">
    <w:name w:val="toc 2"/>
    <w:basedOn w:val="Texte1"/>
    <w:next w:val="Normal"/>
    <w:uiPriority w:val="39"/>
    <w:rsid w:val="00047769"/>
    <w:pPr>
      <w:spacing w:after="0"/>
      <w:ind w:left="0"/>
      <w:jc w:val="left"/>
    </w:pPr>
  </w:style>
  <w:style w:type="paragraph" w:styleId="TOC3">
    <w:name w:val="toc 3"/>
    <w:basedOn w:val="TOC2"/>
    <w:next w:val="Normal"/>
    <w:uiPriority w:val="39"/>
    <w:rsid w:val="00047769"/>
  </w:style>
  <w:style w:type="paragraph" w:styleId="TOC4">
    <w:name w:val="toc 4"/>
    <w:basedOn w:val="TOC2"/>
    <w:next w:val="Normal"/>
    <w:uiPriority w:val="39"/>
    <w:rsid w:val="00047769"/>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EA4847"/>
    <w:rPr>
      <w:rFonts w:ascii="Arial" w:hAnsi="Arial" w:cs="Arial"/>
      <w:snapToGrid w:val="0"/>
      <w:sz w:val="16"/>
      <w:szCs w:val="16"/>
      <w:lang w:eastAsia="zh-CN"/>
    </w:rPr>
  </w:style>
  <w:style w:type="paragraph" w:styleId="FootnoteText">
    <w:name w:val="footnote text"/>
    <w:basedOn w:val="Normal"/>
    <w:link w:val="FootnoteTextChar"/>
    <w:rsid w:val="00EA4847"/>
    <w:pPr>
      <w:tabs>
        <w:tab w:val="clear" w:pos="567"/>
        <w:tab w:val="left" w:pos="340"/>
      </w:tabs>
      <w:spacing w:after="60" w:line="180" w:lineRule="exact"/>
      <w:ind w:left="340" w:hanging="340"/>
    </w:pPr>
    <w:rPr>
      <w:snapToGrid w:val="0"/>
      <w:sz w:val="16"/>
      <w:szCs w:val="16"/>
    </w:rPr>
  </w:style>
  <w:style w:type="paragraph" w:customStyle="1" w:styleId="citation">
    <w:name w:val="citation"/>
    <w:basedOn w:val="Texte1"/>
    <w:rsid w:val="005D35D9"/>
    <w:pPr>
      <w:ind w:left="1134" w:right="284"/>
    </w:pPr>
  </w:style>
  <w:style w:type="paragraph" w:customStyle="1" w:styleId="Texte1">
    <w:name w:val="Texte1"/>
    <w:basedOn w:val="Normal"/>
    <w:link w:val="Texte1Car"/>
    <w:rsid w:val="00B01F0F"/>
    <w:pPr>
      <w:tabs>
        <w:tab w:val="clear" w:pos="567"/>
      </w:tabs>
      <w:spacing w:after="60"/>
    </w:pPr>
    <w:rPr>
      <w:lang w:val="en-GB"/>
    </w:rPr>
  </w:style>
  <w:style w:type="character" w:customStyle="1" w:styleId="Texte1Car">
    <w:name w:val="Texte1 Car"/>
    <w:link w:val="Texte1"/>
    <w:rsid w:val="00B01F0F"/>
    <w:rPr>
      <w:rFonts w:ascii="Arial" w:hAnsi="Arial" w:cs="Arial"/>
      <w:lang w:val="en-GB" w:eastAsia="zh-CN"/>
    </w:rPr>
  </w:style>
  <w:style w:type="character" w:customStyle="1" w:styleId="HeaderChar">
    <w:name w:val="Header Char"/>
    <w:link w:val="Header"/>
    <w:locked/>
    <w:rsid w:val="00E14A69"/>
    <w:rPr>
      <w:rFonts w:ascii="Arial" w:hAnsi="Arial" w:cs="Arial"/>
      <w:snapToGrid w:val="0"/>
      <w:sz w:val="16"/>
      <w:lang w:val="en-US" w:eastAsia="zh-CN"/>
    </w:rPr>
  </w:style>
  <w:style w:type="paragraph" w:styleId="Header">
    <w:name w:val="header"/>
    <w:basedOn w:val="Normal"/>
    <w:link w:val="HeaderChar"/>
    <w:rsid w:val="00E14A69"/>
    <w:pPr>
      <w:tabs>
        <w:tab w:val="clear" w:pos="567"/>
        <w:tab w:val="center" w:pos="4423"/>
        <w:tab w:val="right" w:pos="8845"/>
      </w:tabs>
      <w:ind w:left="0"/>
      <w:jc w:val="left"/>
    </w:pPr>
    <w:rPr>
      <w:snapToGrid w:val="0"/>
      <w:sz w:val="16"/>
      <w:lang w:val="en-US"/>
    </w:rPr>
  </w:style>
  <w:style w:type="character" w:customStyle="1" w:styleId="FooterChar">
    <w:name w:val="Footer Char"/>
    <w:link w:val="Footer"/>
    <w:locked/>
    <w:rsid w:val="00F22FFD"/>
    <w:rPr>
      <w:rFonts w:ascii="Arial" w:eastAsia="SimSun" w:hAnsi="Arial" w:cs="Arial"/>
      <w:snapToGrid w:val="0"/>
      <w:sz w:val="16"/>
      <w:szCs w:val="18"/>
      <w:lang w:eastAsia="zh-CN"/>
    </w:rPr>
  </w:style>
  <w:style w:type="paragraph" w:styleId="Footer">
    <w:name w:val="footer"/>
    <w:basedOn w:val="Normal"/>
    <w:link w:val="FooterChar"/>
    <w:rsid w:val="00F22FFD"/>
    <w:pPr>
      <w:tabs>
        <w:tab w:val="clear" w:pos="567"/>
        <w:tab w:val="center" w:pos="4423"/>
        <w:tab w:val="right" w:pos="8845"/>
      </w:tabs>
      <w:spacing w:line="240" w:lineRule="exact"/>
      <w:ind w:left="0"/>
      <w:jc w:val="left"/>
    </w:pPr>
    <w:rPr>
      <w:snapToGrid w:val="0"/>
      <w:sz w:val="16"/>
      <w:szCs w:val="18"/>
    </w:r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8F36F5"/>
    <w:rPr>
      <w:rFonts w:ascii="Arial" w:eastAsia="Times New Roman" w:hAnsi="Arial" w:cs="Arial"/>
      <w:b/>
      <w:caps/>
      <w:snapToGrid w:val="0"/>
      <w:color w:val="17365D"/>
      <w:sz w:val="70"/>
      <w:szCs w:val="70"/>
      <w:lang w:eastAsia="zh-CN"/>
    </w:rPr>
  </w:style>
  <w:style w:type="paragraph" w:styleId="Title">
    <w:name w:val="Title"/>
    <w:basedOn w:val="Normal"/>
    <w:next w:val="Normal"/>
    <w:link w:val="TitleChar"/>
    <w:rsid w:val="008F36F5"/>
    <w:pPr>
      <w:keepNext/>
      <w:tabs>
        <w:tab w:val="clear" w:pos="567"/>
      </w:tabs>
      <w:spacing w:before="240" w:after="480" w:line="840" w:lineRule="exact"/>
      <w:ind w:left="0"/>
      <w:jc w:val="left"/>
    </w:pPr>
    <w:rPr>
      <w:rFonts w:eastAsia="Times New Roman"/>
      <w:b/>
      <w:caps/>
      <w:snapToGrid w:val="0"/>
      <w:color w:val="17365D"/>
      <w:sz w:val="70"/>
      <w:szCs w:val="70"/>
    </w:rPr>
  </w:style>
  <w:style w:type="paragraph" w:styleId="BalloonText">
    <w:name w:val="Balloon Text"/>
    <w:basedOn w:val="Normal"/>
    <w:link w:val="BalloonTextChar"/>
    <w:rsid w:val="00816DE1"/>
    <w:pPr>
      <w:spacing w:line="240" w:lineRule="auto"/>
    </w:pPr>
    <w:rPr>
      <w:rFonts w:ascii="Lucida Grande" w:hAnsi="Lucida Grande" w:cs="Lucida Grande"/>
      <w:sz w:val="18"/>
      <w:szCs w:val="18"/>
    </w:rPr>
  </w:style>
  <w:style w:type="character" w:customStyle="1" w:styleId="BalloonTextChar">
    <w:name w:val="Balloon Text Char"/>
    <w:link w:val="BalloonText"/>
    <w:rsid w:val="00816DE1"/>
    <w:rPr>
      <w:rFonts w:ascii="Lucida Grande" w:eastAsia="SimSun" w:hAnsi="Lucida Grande" w:cs="Lucida Grande"/>
      <w:sz w:val="18"/>
      <w:szCs w:val="18"/>
      <w:lang w:eastAsia="zh-CN"/>
    </w:rPr>
  </w:style>
  <w:style w:type="paragraph" w:customStyle="1" w:styleId="Tabtxt">
    <w:name w:val="Tabtxt"/>
    <w:basedOn w:val="Normal"/>
    <w:rsid w:val="00051E75"/>
    <w:pPr>
      <w:spacing w:after="40"/>
      <w:ind w:left="0"/>
      <w:jc w:val="center"/>
    </w:pPr>
    <w:rPr>
      <w:sz w:val="18"/>
      <w:szCs w:val="18"/>
      <w:lang w:eastAsia="fr-FR"/>
    </w:rPr>
  </w:style>
  <w:style w:type="paragraph" w:customStyle="1" w:styleId="Txtannexe">
    <w:name w:val="Txtannexe"/>
    <w:basedOn w:val="Texte1"/>
    <w:link w:val="TxtannexeCar"/>
    <w:rsid w:val="00F31468"/>
    <w:pPr>
      <w:ind w:left="0"/>
    </w:pPr>
  </w:style>
  <w:style w:type="character" w:customStyle="1" w:styleId="TxtannexeCar">
    <w:name w:val="Txtannexe Car"/>
    <w:link w:val="Txtannexe"/>
    <w:rsid w:val="00F31468"/>
    <w:rPr>
      <w:rFonts w:ascii="Arial" w:eastAsia="SimSun" w:hAnsi="Arial" w:cs="Arial"/>
      <w:lang w:eastAsia="zh-CN"/>
    </w:rPr>
  </w:style>
  <w:style w:type="character" w:customStyle="1" w:styleId="DocumentMapChar">
    <w:name w:val="Document Map Char"/>
    <w:link w:val="DocumentMap"/>
    <w:locked/>
    <w:rsid w:val="0086683E"/>
    <w:rPr>
      <w:rFonts w:ascii="Tahoma" w:eastAsia="SimSun" w:hAnsi="Tahoma" w:cs="Tahoma"/>
      <w:snapToGrid w:val="0"/>
      <w:sz w:val="16"/>
      <w:szCs w:val="16"/>
      <w:lang w:val="en-US" w:eastAsia="zh-CN"/>
    </w:rPr>
  </w:style>
  <w:style w:type="paragraph" w:styleId="DocumentMap">
    <w:name w:val="Document Map"/>
    <w:basedOn w:val="Normal"/>
    <w:link w:val="DocumentMapChar"/>
    <w:rsid w:val="0086683E"/>
    <w:rPr>
      <w:rFonts w:ascii="Tahoma" w:hAnsi="Tahoma"/>
      <w:snapToGrid w:val="0"/>
      <w:sz w:val="16"/>
      <w:szCs w:val="16"/>
      <w:lang w:val="en-US"/>
    </w:rPr>
  </w:style>
  <w:style w:type="character" w:customStyle="1" w:styleId="SoustitreCar">
    <w:name w:val="Soustitre Car"/>
    <w:link w:val="Soustitre"/>
    <w:rsid w:val="007603C9"/>
    <w:rPr>
      <w:rFonts w:ascii="Arial" w:hAnsi="Arial" w:cs="Arial"/>
      <w:b/>
      <w:bCs/>
      <w:lang w:val="en-GB" w:eastAsia="zh-CN"/>
    </w:rPr>
  </w:style>
  <w:style w:type="paragraph" w:customStyle="1" w:styleId="Soustitre">
    <w:name w:val="Soustitre"/>
    <w:basedOn w:val="Texte1"/>
    <w:link w:val="SoustitreCar"/>
    <w:autoRedefine/>
    <w:rsid w:val="007603C9"/>
    <w:pPr>
      <w:keepNext/>
      <w:widowControl w:val="0"/>
      <w:spacing w:before="120" w:after="80"/>
      <w:jc w:val="left"/>
    </w:pPr>
    <w:rPr>
      <w:b/>
      <w:bCs/>
    </w:rPr>
  </w:style>
  <w:style w:type="paragraph" w:customStyle="1" w:styleId="Ref">
    <w:name w:val="Ref"/>
    <w:basedOn w:val="Txtannexe"/>
    <w:link w:val="RefCar"/>
    <w:rsid w:val="004E7D6C"/>
    <w:rPr>
      <w:i/>
      <w:color w:val="3366FF"/>
    </w:rPr>
  </w:style>
  <w:style w:type="character" w:customStyle="1" w:styleId="RefCar">
    <w:name w:val="Ref Car"/>
    <w:link w:val="Ref"/>
    <w:rsid w:val="004E7D6C"/>
    <w:rPr>
      <w:rFonts w:ascii="Arial" w:eastAsia="SimSun" w:hAnsi="Arial" w:cs="Arial"/>
      <w:i/>
      <w:color w:val="3366FF"/>
      <w:lang w:eastAsia="zh-CN"/>
    </w:rPr>
  </w:style>
  <w:style w:type="paragraph" w:customStyle="1" w:styleId="Txtchap">
    <w:name w:val="Txtchap"/>
    <w:basedOn w:val="Txtpuce"/>
    <w:link w:val="TxtchapCar"/>
    <w:autoRedefine/>
    <w:rsid w:val="00FF3DCE"/>
    <w:pPr>
      <w:numPr>
        <w:numId w:val="347"/>
      </w:numPr>
      <w:spacing w:after="120"/>
    </w:pPr>
    <w:rPr>
      <w:lang w:val="en-GB"/>
    </w:rPr>
  </w:style>
  <w:style w:type="paragraph" w:customStyle="1" w:styleId="Txtpuce">
    <w:name w:val="Txtpuce"/>
    <w:basedOn w:val="Normal"/>
    <w:link w:val="TxtpuceCar"/>
    <w:rsid w:val="009A47F4"/>
    <w:pPr>
      <w:tabs>
        <w:tab w:val="clear" w:pos="567"/>
      </w:tabs>
      <w:spacing w:line="360" w:lineRule="exact"/>
      <w:ind w:left="0"/>
    </w:pPr>
    <w:rPr>
      <w:sz w:val="24"/>
      <w:szCs w:val="24"/>
    </w:rPr>
  </w:style>
  <w:style w:type="character" w:customStyle="1" w:styleId="TxtpuceCar">
    <w:name w:val="Txtpuce Car"/>
    <w:link w:val="Txtpuce"/>
    <w:rsid w:val="00106058"/>
    <w:rPr>
      <w:rFonts w:ascii="Arial" w:eastAsia="SimSun" w:hAnsi="Arial" w:cs="Arial"/>
      <w:sz w:val="24"/>
      <w:szCs w:val="24"/>
      <w:lang w:eastAsia="zh-CN"/>
    </w:rPr>
  </w:style>
  <w:style w:type="character" w:customStyle="1" w:styleId="TxtchapCar">
    <w:name w:val="Txtchap Car"/>
    <w:basedOn w:val="TxtpuceCar"/>
    <w:link w:val="Txtchap"/>
    <w:rsid w:val="00FF3DCE"/>
    <w:rPr>
      <w:rFonts w:ascii="Arial" w:eastAsia="SimSun" w:hAnsi="Arial" w:cs="Arial"/>
      <w:sz w:val="24"/>
      <w:szCs w:val="24"/>
      <w:lang w:val="en-GB" w:eastAsia="zh-CN"/>
    </w:rPr>
  </w:style>
  <w:style w:type="character" w:styleId="FootnoteReference">
    <w:name w:val="footnote reference"/>
    <w:rsid w:val="009A47F4"/>
    <w:rPr>
      <w:rFonts w:ascii="Arial" w:eastAsia="SimSun" w:hAnsi="Arial" w:cs="Arial"/>
      <w:strike w:val="0"/>
      <w:dstrike w:val="0"/>
      <w:spacing w:val="0"/>
      <w:w w:val="100"/>
      <w:position w:val="0"/>
      <w:sz w:val="18"/>
      <w:szCs w:val="18"/>
      <w:vertAlign w:val="superscript"/>
      <w:lang w:eastAsia="zh-CN"/>
    </w:rPr>
  </w:style>
  <w:style w:type="table" w:styleId="TableGrid">
    <w:name w:val="Table Grid"/>
    <w:basedOn w:val="TableNormal"/>
    <w:rsid w:val="008668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83E"/>
    <w:pPr>
      <w:numPr>
        <w:numId w:val="176"/>
      </w:numPr>
      <w:autoSpaceDE w:val="0"/>
      <w:autoSpaceDN w:val="0"/>
      <w:adjustRightInd w:val="0"/>
    </w:pPr>
    <w:rPr>
      <w:rFonts w:ascii="Times New Roman" w:eastAsia="Times New Roman" w:hAnsi="Times New Roman"/>
      <w:color w:val="000000"/>
      <w:sz w:val="24"/>
      <w:szCs w:val="24"/>
    </w:rPr>
  </w:style>
  <w:style w:type="paragraph" w:customStyle="1" w:styleId="numrationa">
    <w:name w:val="énumération (a)"/>
    <w:basedOn w:val="Texte1"/>
    <w:rsid w:val="00AB0D2D"/>
    <w:pPr>
      <w:ind w:left="1474" w:hanging="340"/>
    </w:pPr>
    <w:rPr>
      <w:szCs w:val="22"/>
    </w:rPr>
  </w:style>
  <w:style w:type="character" w:styleId="PageNumber">
    <w:name w:val="page number"/>
    <w:rsid w:val="00117DDB"/>
    <w:rPr>
      <w:rFonts w:ascii="Arial" w:hAnsi="Arial"/>
      <w:b w:val="0"/>
      <w:i w:val="0"/>
      <w:color w:val="auto"/>
      <w:sz w:val="16"/>
    </w:rPr>
  </w:style>
  <w:style w:type="paragraph" w:customStyle="1" w:styleId="Revision1">
    <w:name w:val="Revision1"/>
    <w:hidden/>
    <w:semiHidden/>
    <w:rsid w:val="002B6A2C"/>
    <w:rPr>
      <w:rFonts w:ascii="Arial" w:hAnsi="Arial" w:cs="Arial"/>
      <w:snapToGrid w:val="0"/>
      <w:sz w:val="22"/>
      <w:szCs w:val="24"/>
      <w:lang w:val="en-US" w:eastAsia="zh-CN"/>
    </w:rPr>
  </w:style>
  <w:style w:type="paragraph" w:styleId="Revision">
    <w:name w:val="Revision"/>
    <w:hidden/>
    <w:rsid w:val="002B6A2C"/>
    <w:rPr>
      <w:rFonts w:ascii="Arial" w:hAnsi="Arial" w:cs="Arial"/>
      <w:snapToGrid w:val="0"/>
      <w:sz w:val="22"/>
      <w:szCs w:val="24"/>
      <w:lang w:val="en-US" w:eastAsia="zh-CN"/>
    </w:rPr>
  </w:style>
  <w:style w:type="paragraph" w:customStyle="1" w:styleId="Txtgras">
    <w:name w:val="Txtgras"/>
    <w:basedOn w:val="Normal"/>
    <w:rsid w:val="006944A7"/>
    <w:pPr>
      <w:spacing w:after="80" w:line="320" w:lineRule="exact"/>
      <w:ind w:left="0"/>
    </w:pPr>
    <w:rPr>
      <w:rFonts w:ascii="Arial Gras" w:hAnsi="Arial Gras"/>
      <w:b/>
      <w:bCs/>
      <w:sz w:val="24"/>
      <w:szCs w:val="24"/>
    </w:rPr>
  </w:style>
  <w:style w:type="paragraph" w:customStyle="1" w:styleId="Txtpucegras">
    <w:name w:val="Txtpucegras"/>
    <w:basedOn w:val="Texte1"/>
    <w:rsid w:val="0056621E"/>
    <w:pPr>
      <w:numPr>
        <w:numId w:val="6"/>
      </w:numPr>
      <w:ind w:left="851" w:hanging="284"/>
    </w:pPr>
  </w:style>
  <w:style w:type="paragraph" w:customStyle="1" w:styleId="Titcoul">
    <w:name w:val="Titcoul"/>
    <w:basedOn w:val="Title"/>
    <w:link w:val="TitcoulCar"/>
    <w:rsid w:val="008F36F5"/>
    <w:pPr>
      <w:widowControl w:val="0"/>
      <w:tabs>
        <w:tab w:val="left" w:pos="851"/>
      </w:tabs>
      <w:spacing w:before="720" w:after="240" w:line="320" w:lineRule="exact"/>
      <w:ind w:left="851" w:hanging="851"/>
    </w:pPr>
    <w:rPr>
      <w:rFonts w:eastAsia="SimSun"/>
      <w:bCs/>
      <w:color w:val="3366FF"/>
      <w:sz w:val="24"/>
      <w:szCs w:val="24"/>
      <w:lang w:val="en-US"/>
    </w:rPr>
  </w:style>
  <w:style w:type="character" w:customStyle="1" w:styleId="TitcoulCar">
    <w:name w:val="Titcoul Car"/>
    <w:link w:val="Titcoul"/>
    <w:rsid w:val="008F36F5"/>
    <w:rPr>
      <w:rFonts w:ascii="Arial" w:hAnsi="Arial" w:cs="Arial"/>
      <w:b/>
      <w:bCs/>
      <w:caps/>
      <w:snapToGrid w:val="0"/>
      <w:color w:val="3366FF"/>
      <w:sz w:val="24"/>
      <w:szCs w:val="24"/>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577621"/>
    <w:pPr>
      <w:numPr>
        <w:numId w:val="0"/>
      </w:numPr>
      <w:tabs>
        <w:tab w:val="num" w:pos="1440"/>
      </w:tabs>
      <w:ind w:left="1440" w:hanging="360"/>
    </w:pPr>
  </w:style>
  <w:style w:type="paragraph" w:customStyle="1" w:styleId="Tableau">
    <w:name w:val="Tableau"/>
    <w:basedOn w:val="Texte1"/>
    <w:rsid w:val="005B5D26"/>
    <w:pPr>
      <w:ind w:left="0"/>
    </w:pPr>
  </w:style>
  <w:style w:type="paragraph" w:customStyle="1" w:styleId="Informations">
    <w:name w:val="Informations"/>
    <w:basedOn w:val="Ref"/>
    <w:link w:val="InformationsCar"/>
    <w:rsid w:val="000870DC"/>
    <w:pPr>
      <w:ind w:left="851"/>
    </w:pPr>
    <w:rPr>
      <w:iCs/>
    </w:rPr>
  </w:style>
  <w:style w:type="character" w:customStyle="1" w:styleId="InformationsCar">
    <w:name w:val="Informations Car"/>
    <w:link w:val="Informations"/>
    <w:rsid w:val="000870DC"/>
    <w:rPr>
      <w:rFonts w:ascii="Arial" w:eastAsia="SimSun" w:hAnsi="Arial" w:cs="Arial"/>
      <w:i/>
      <w:iCs/>
      <w:color w:val="3366FF"/>
      <w:lang w:eastAsia="zh-CN"/>
    </w:rPr>
  </w:style>
  <w:style w:type="character" w:styleId="Hyperlink">
    <w:name w:val="Hyperlink"/>
    <w:rsid w:val="00155FF4"/>
    <w:rPr>
      <w:color w:val="0000FF"/>
      <w:u w:val="single"/>
    </w:rPr>
  </w:style>
  <w:style w:type="paragraph" w:customStyle="1" w:styleId="DO">
    <w:name w:val="DO"/>
    <w:basedOn w:val="Normal"/>
    <w:link w:val="DOCar"/>
    <w:rsid w:val="00316F9E"/>
    <w:pPr>
      <w:tabs>
        <w:tab w:val="clear" w:pos="567"/>
        <w:tab w:val="left" w:pos="2138"/>
      </w:tabs>
      <w:spacing w:after="60"/>
      <w:ind w:left="1985" w:hanging="1134"/>
    </w:pPr>
    <w:rPr>
      <w:rFonts w:eastAsia="Calibri"/>
      <w:iCs/>
      <w:szCs w:val="22"/>
      <w:lang w:eastAsia="fr-FR"/>
    </w:rPr>
  </w:style>
  <w:style w:type="character" w:customStyle="1" w:styleId="DOCar">
    <w:name w:val="DO Car"/>
    <w:link w:val="DO"/>
    <w:rsid w:val="00316F9E"/>
    <w:rPr>
      <w:rFonts w:ascii="Arial" w:eastAsia="Calibri" w:hAnsi="Arial" w:cs="Arial"/>
      <w:iCs/>
      <w:szCs w:val="22"/>
    </w:rPr>
  </w:style>
  <w:style w:type="paragraph" w:customStyle="1" w:styleId="Enutiret">
    <w:name w:val="Enutiret"/>
    <w:basedOn w:val="Texte1"/>
    <w:link w:val="EnutiretCar"/>
    <w:rsid w:val="00674581"/>
    <w:pPr>
      <w:numPr>
        <w:numId w:val="352"/>
      </w:numPr>
    </w:pPr>
  </w:style>
  <w:style w:type="character" w:customStyle="1" w:styleId="EnutiretCar">
    <w:name w:val="Enutiret Car"/>
    <w:basedOn w:val="Texte1Car"/>
    <w:link w:val="Enutiret"/>
    <w:rsid w:val="00674581"/>
    <w:rPr>
      <w:rFonts w:ascii="Arial" w:eastAsia="SimSun" w:hAnsi="Arial" w:cs="Arial"/>
      <w:lang w:val="en-GB" w:eastAsia="zh-CN"/>
    </w:rPr>
  </w:style>
  <w:style w:type="paragraph" w:customStyle="1" w:styleId="Tabltetiere">
    <w:name w:val="Tabltetiere"/>
    <w:basedOn w:val="Texte1"/>
    <w:rsid w:val="006E45F1"/>
    <w:pPr>
      <w:spacing w:before="60" w:line="200" w:lineRule="exact"/>
      <w:ind w:left="0"/>
      <w:jc w:val="center"/>
    </w:pPr>
    <w:rPr>
      <w:b/>
      <w:sz w:val="18"/>
    </w:rPr>
  </w:style>
  <w:style w:type="paragraph" w:styleId="CommentText">
    <w:name w:val="annotation text"/>
    <w:basedOn w:val="Normal"/>
    <w:link w:val="CommentTextChar"/>
    <w:uiPriority w:val="99"/>
    <w:rsid w:val="00FB33FA"/>
    <w:pPr>
      <w:tabs>
        <w:tab w:val="clear" w:pos="567"/>
      </w:tabs>
      <w:snapToGrid/>
      <w:spacing w:line="240" w:lineRule="auto"/>
      <w:ind w:left="0"/>
      <w:jc w:val="left"/>
    </w:pPr>
    <w:rPr>
      <w:rFonts w:ascii="Times New Roman" w:eastAsia="Times New Roman" w:hAnsi="Times New Roman" w:cs="Times New Roman"/>
      <w:lang w:val="en-US" w:eastAsia="en-US"/>
    </w:rPr>
  </w:style>
  <w:style w:type="character" w:customStyle="1" w:styleId="CommentTextChar">
    <w:name w:val="Comment Text Char"/>
    <w:link w:val="CommentText"/>
    <w:uiPriority w:val="99"/>
    <w:rsid w:val="00FB33FA"/>
    <w:rPr>
      <w:rFonts w:ascii="Times New Roman" w:eastAsia="Times New Roman" w:hAnsi="Times New Roman"/>
      <w:lang w:val="en-US" w:eastAsia="en-US"/>
    </w:rPr>
  </w:style>
  <w:style w:type="paragraph" w:styleId="TOCHeading">
    <w:name w:val="TOC Heading"/>
    <w:basedOn w:val="Heading1"/>
    <w:next w:val="Normal"/>
    <w:uiPriority w:val="39"/>
    <w:qFormat/>
    <w:rsid w:val="00DD01F3"/>
    <w:pPr>
      <w:keepNext/>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paragraph" w:customStyle="1" w:styleId="Chapinfo">
    <w:name w:val="Chapinfo"/>
    <w:basedOn w:val="Txtchap"/>
    <w:link w:val="ChapinfoCar"/>
    <w:rsid w:val="001F40DE"/>
    <w:pPr>
      <w:numPr>
        <w:numId w:val="0"/>
      </w:numPr>
      <w:spacing w:before="480" w:after="0" w:line="320" w:lineRule="exact"/>
      <w:ind w:left="567"/>
    </w:pPr>
    <w:rPr>
      <w:i/>
      <w:iCs/>
      <w:color w:val="3366FF"/>
    </w:rPr>
  </w:style>
  <w:style w:type="character" w:customStyle="1" w:styleId="ChapinfoCar">
    <w:name w:val="Chapinfo Car"/>
    <w:link w:val="Chapinfo"/>
    <w:rsid w:val="001F40DE"/>
    <w:rPr>
      <w:rFonts w:ascii="Arial" w:eastAsia="SimSun" w:hAnsi="Arial" w:cs="Arial"/>
      <w:i/>
      <w:iCs/>
      <w:color w:val="3366FF"/>
      <w:sz w:val="24"/>
      <w:szCs w:val="24"/>
      <w:lang w:eastAsia="zh-CN"/>
    </w:rPr>
  </w:style>
  <w:style w:type="paragraph" w:customStyle="1" w:styleId="Chapitre">
    <w:name w:val="Chapitre"/>
    <w:basedOn w:val="Title"/>
    <w:link w:val="ChapitreCar"/>
    <w:rsid w:val="008F36F5"/>
    <w:pPr>
      <w:pBdr>
        <w:bottom w:val="single" w:sz="4" w:space="14" w:color="3366FF"/>
      </w:pBdr>
      <w:spacing w:before="0" w:after="240"/>
    </w:pPr>
    <w:rPr>
      <w:bCs/>
      <w:color w:val="3366FF"/>
      <w:lang w:val="en-GB"/>
    </w:rPr>
  </w:style>
  <w:style w:type="paragraph" w:customStyle="1" w:styleId="Sschap">
    <w:name w:val="Sschap"/>
    <w:basedOn w:val="Txtgras"/>
    <w:autoRedefine/>
    <w:rsid w:val="003A53A0"/>
    <w:pPr>
      <w:keepNext/>
      <w:widowControl w:val="0"/>
      <w:tabs>
        <w:tab w:val="clear" w:pos="567"/>
      </w:tabs>
      <w:spacing w:before="920" w:after="360" w:line="300" w:lineRule="exact"/>
      <w:jc w:val="left"/>
    </w:pPr>
    <w:rPr>
      <w:rFonts w:ascii="Arial" w:hAnsi="Arial"/>
      <w:lang w:val="en-GB"/>
    </w:rPr>
  </w:style>
  <w:style w:type="character" w:styleId="CommentReference">
    <w:name w:val="annotation reference"/>
    <w:basedOn w:val="DefaultParagraphFont"/>
    <w:uiPriority w:val="99"/>
    <w:unhideWhenUsed/>
    <w:rsid w:val="008F1260"/>
    <w:rPr>
      <w:sz w:val="16"/>
      <w:szCs w:val="16"/>
    </w:rPr>
  </w:style>
  <w:style w:type="paragraph" w:styleId="CommentSubject">
    <w:name w:val="annotation subject"/>
    <w:basedOn w:val="CommentText"/>
    <w:next w:val="CommentText"/>
    <w:link w:val="CommentSubjectChar"/>
    <w:semiHidden/>
    <w:unhideWhenUsed/>
    <w:rsid w:val="008F1260"/>
    <w:pPr>
      <w:tabs>
        <w:tab w:val="left" w:pos="567"/>
      </w:tabs>
      <w:snapToGrid w:val="0"/>
      <w:ind w:left="851"/>
      <w:jc w:val="both"/>
    </w:pPr>
    <w:rPr>
      <w:rFonts w:ascii="Arial" w:eastAsia="SimSun" w:hAnsi="Arial" w:cs="Arial"/>
      <w:b/>
      <w:bCs/>
      <w:lang w:val="fr-FR" w:eastAsia="zh-CN"/>
    </w:rPr>
  </w:style>
  <w:style w:type="character" w:customStyle="1" w:styleId="CommentSubjectChar">
    <w:name w:val="Comment Subject Char"/>
    <w:basedOn w:val="CommentTextChar"/>
    <w:link w:val="CommentSubject"/>
    <w:semiHidden/>
    <w:rsid w:val="008F1260"/>
    <w:rPr>
      <w:rFonts w:ascii="Arial" w:eastAsia="SimSun" w:hAnsi="Arial" w:cs="Arial"/>
      <w:b/>
      <w:bCs/>
      <w:lang w:val="en-US" w:eastAsia="zh-CN"/>
    </w:rPr>
  </w:style>
  <w:style w:type="paragraph" w:customStyle="1" w:styleId="Textegras">
    <w:name w:val="Textegras"/>
    <w:basedOn w:val="Texte1"/>
    <w:link w:val="TextegrasCar"/>
    <w:autoRedefine/>
    <w:rsid w:val="00CE4F34"/>
    <w:pPr>
      <w:keepNext/>
      <w:spacing w:before="120"/>
      <w:ind w:left="284" w:hanging="284"/>
    </w:pPr>
    <w:rPr>
      <w:b/>
    </w:rPr>
  </w:style>
  <w:style w:type="character" w:customStyle="1" w:styleId="TextegrasCar">
    <w:name w:val="Textegras Car"/>
    <w:basedOn w:val="Texte1Car"/>
    <w:link w:val="Textegras"/>
    <w:rsid w:val="00CE4F34"/>
    <w:rPr>
      <w:rFonts w:ascii="Arial" w:eastAsia="SimSun" w:hAnsi="Arial" w:cs="Arial"/>
      <w:b/>
      <w:lang w:val="en-GB" w:eastAsia="zh-CN"/>
    </w:rPr>
  </w:style>
  <w:style w:type="character" w:styleId="FollowedHyperlink">
    <w:name w:val="FollowedHyperlink"/>
    <w:basedOn w:val="DefaultParagraphFont"/>
    <w:rsid w:val="003A75C8"/>
    <w:rPr>
      <w:color w:val="800080" w:themeColor="followedHyperlink"/>
      <w:u w:val="single"/>
    </w:rPr>
  </w:style>
  <w:style w:type="paragraph" w:styleId="ListParagraph">
    <w:name w:val="List Paragraph"/>
    <w:basedOn w:val="Normal"/>
    <w:uiPriority w:val="34"/>
    <w:qFormat/>
    <w:rsid w:val="00F60D75"/>
    <w:pPr>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character" w:customStyle="1" w:styleId="ChapitreCar">
    <w:name w:val="Chapitre Car"/>
    <w:link w:val="Chapitre"/>
    <w:rsid w:val="008F36F5"/>
    <w:rPr>
      <w:rFonts w:ascii="Arial" w:eastAsia="Times New Roman" w:hAnsi="Arial" w:cs="Arial"/>
      <w:b/>
      <w:bCs/>
      <w:caps/>
      <w:snapToGrid w:val="0"/>
      <w:color w:val="3366FF"/>
      <w:sz w:val="70"/>
      <w:szCs w:val="70"/>
      <w:lang w:val="en-GB" w:eastAsia="zh-CN"/>
    </w:rPr>
  </w:style>
  <w:style w:type="paragraph" w:customStyle="1" w:styleId="HO1">
    <w:name w:val="HO1"/>
    <w:basedOn w:val="Titcoul"/>
    <w:link w:val="HO1Car"/>
    <w:rsid w:val="00544FDE"/>
    <w:pPr>
      <w:keepLines/>
      <w:widowControl/>
      <w:tabs>
        <w:tab w:val="clear" w:pos="851"/>
        <w:tab w:val="left" w:pos="567"/>
      </w:tabs>
      <w:spacing w:before="480" w:after="0" w:line="480" w:lineRule="exact"/>
      <w:ind w:left="0" w:firstLine="0"/>
      <w:outlineLvl w:val="0"/>
    </w:pPr>
    <w:rPr>
      <w:rFonts w:eastAsia="Times New Roman"/>
      <w:caps w:val="0"/>
      <w:noProof/>
      <w:sz w:val="32"/>
      <w:szCs w:val="32"/>
    </w:rPr>
  </w:style>
  <w:style w:type="character" w:customStyle="1" w:styleId="HO1Car">
    <w:name w:val="HO1 Car"/>
    <w:basedOn w:val="TitcoulCar"/>
    <w:link w:val="HO1"/>
    <w:rsid w:val="00544FDE"/>
    <w:rPr>
      <w:rFonts w:ascii="Arial" w:eastAsia="Times New Roman" w:hAnsi="Arial" w:cs="Arial"/>
      <w:b/>
      <w:bCs/>
      <w:caps w:val="0"/>
      <w:noProof/>
      <w:snapToGrid w:val="0"/>
      <w:color w:val="3366FF"/>
      <w:sz w:val="32"/>
      <w:szCs w:val="32"/>
      <w:lang w:val="en-US" w:eastAsia="zh-CN"/>
    </w:rPr>
  </w:style>
  <w:style w:type="paragraph" w:customStyle="1" w:styleId="HO2">
    <w:name w:val="HO2"/>
    <w:basedOn w:val="HO1"/>
    <w:link w:val="HO2Car"/>
    <w:rsid w:val="00544FDE"/>
    <w:pPr>
      <w:spacing w:before="0" w:after="480"/>
    </w:pPr>
    <w:rPr>
      <w:caps/>
    </w:rPr>
  </w:style>
  <w:style w:type="character" w:customStyle="1" w:styleId="HO2Car">
    <w:name w:val="HO2 Car"/>
    <w:basedOn w:val="HO1Car"/>
    <w:link w:val="HO2"/>
    <w:rsid w:val="00544FDE"/>
    <w:rPr>
      <w:rFonts w:ascii="Arial" w:eastAsia="Times New Roman" w:hAnsi="Arial" w:cs="Arial"/>
      <w:b/>
      <w:bCs/>
      <w:caps/>
      <w:noProof/>
      <w:snapToGrid w:val="0"/>
      <w:color w:val="3366FF"/>
      <w:sz w:val="32"/>
      <w:szCs w:val="32"/>
      <w:lang w:val="en-US" w:eastAsia="zh-CN"/>
    </w:rPr>
  </w:style>
  <w:style w:type="paragraph" w:customStyle="1" w:styleId="UPlan">
    <w:name w:val="UPlan"/>
    <w:basedOn w:val="Titcoul"/>
    <w:link w:val="UPlanCar"/>
    <w:rsid w:val="00EB381D"/>
    <w:pPr>
      <w:keepLines/>
      <w:widowControl/>
      <w:tabs>
        <w:tab w:val="clear" w:pos="851"/>
        <w:tab w:val="left" w:pos="567"/>
      </w:tabs>
      <w:spacing w:before="480" w:after="0" w:line="480" w:lineRule="exact"/>
      <w:ind w:left="0" w:firstLine="0"/>
      <w:outlineLvl w:val="0"/>
    </w:pPr>
    <w:rPr>
      <w:rFonts w:eastAsia="Times New Roman"/>
      <w:noProof/>
      <w:kern w:val="28"/>
      <w:sz w:val="48"/>
      <w:szCs w:val="48"/>
      <w:lang w:val="en-GB"/>
    </w:rPr>
  </w:style>
  <w:style w:type="character" w:customStyle="1" w:styleId="UPlanCar">
    <w:name w:val="UPlan Car"/>
    <w:basedOn w:val="TitcoulCar"/>
    <w:link w:val="UPlan"/>
    <w:rsid w:val="00EB381D"/>
    <w:rPr>
      <w:rFonts w:ascii="Arial" w:eastAsia="Times New Roman" w:hAnsi="Arial" w:cs="Arial"/>
      <w:b/>
      <w:bCs/>
      <w:caps/>
      <w:noProof/>
      <w:snapToGrid w:val="0"/>
      <w:color w:val="3366FF"/>
      <w:kern w:val="28"/>
      <w:sz w:val="48"/>
      <w:szCs w:val="48"/>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xt"/>
    <w:rsid w:val="00DC0EC6"/>
    <w:pPr>
      <w:tabs>
        <w:tab w:val="left" w:pos="567"/>
      </w:tabs>
      <w:snapToGrid w:val="0"/>
      <w:spacing w:line="280" w:lineRule="exact"/>
      <w:ind w:left="851"/>
      <w:jc w:val="both"/>
    </w:pPr>
    <w:rPr>
      <w:rFonts w:ascii="Arial" w:hAnsi="Arial" w:cs="Arial"/>
      <w:lang w:eastAsia="zh-CN"/>
    </w:rPr>
  </w:style>
  <w:style w:type="paragraph" w:styleId="Heading1">
    <w:name w:val="heading 1"/>
    <w:basedOn w:val="Normal"/>
    <w:next w:val="Normal"/>
    <w:link w:val="Heading1Char"/>
    <w:qFormat/>
    <w:rsid w:val="00701EE2"/>
    <w:pPr>
      <w:keepLines/>
      <w:numPr>
        <w:numId w:val="14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14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146"/>
      </w:numPr>
      <w:tabs>
        <w:tab w:val="clear" w:pos="567"/>
      </w:tabs>
      <w:spacing w:before="240"/>
      <w:outlineLvl w:val="2"/>
    </w:pPr>
    <w:rPr>
      <w:b/>
      <w:bCs/>
      <w:caps/>
      <w:kern w:val="28"/>
      <w:szCs w:val="22"/>
    </w:rPr>
  </w:style>
  <w:style w:type="paragraph" w:styleId="Heading4">
    <w:name w:val="heading 4"/>
    <w:basedOn w:val="Normal"/>
    <w:next w:val="Normal"/>
    <w:link w:val="Heading4Char"/>
    <w:rsid w:val="004241EB"/>
    <w:pPr>
      <w:keepNext/>
      <w:keepLines/>
      <w:tabs>
        <w:tab w:val="clear" w:pos="567"/>
      </w:tabs>
      <w:spacing w:before="480" w:after="240" w:line="300" w:lineRule="exact"/>
      <w:ind w:left="0"/>
      <w:jc w:val="left"/>
      <w:outlineLvl w:val="3"/>
    </w:pPr>
    <w:rPr>
      <w:rFonts w:eastAsia="Times New Roman"/>
      <w:b/>
      <w:bCs/>
      <w:caps/>
      <w:szCs w:val="24"/>
      <w:lang w:eastAsia="en-US"/>
    </w:rPr>
  </w:style>
  <w:style w:type="paragraph" w:styleId="Heading5">
    <w:name w:val="heading 5"/>
    <w:basedOn w:val="Normal"/>
    <w:next w:val="Normal"/>
    <w:link w:val="Heading5Char"/>
    <w:qFormat/>
    <w:rsid w:val="00701EE2"/>
    <w:pPr>
      <w:numPr>
        <w:ilvl w:val="4"/>
        <w:numId w:val="146"/>
      </w:numPr>
      <w:outlineLvl w:val="4"/>
    </w:pPr>
    <w:rPr>
      <w:b/>
    </w:rPr>
  </w:style>
  <w:style w:type="paragraph" w:styleId="Heading6">
    <w:name w:val="heading 6"/>
    <w:basedOn w:val="Normal"/>
    <w:next w:val="Normal"/>
    <w:link w:val="Heading6Char"/>
    <w:qFormat/>
    <w:rsid w:val="00701EE2"/>
    <w:pPr>
      <w:keepLines/>
      <w:numPr>
        <w:ilvl w:val="5"/>
        <w:numId w:val="146"/>
      </w:numPr>
      <w:tabs>
        <w:tab w:val="left" w:pos="1134"/>
      </w:tabs>
      <w:spacing w:after="240"/>
      <w:outlineLvl w:val="5"/>
    </w:pPr>
    <w:rPr>
      <w:rFonts w:eastAsia="Times New Roman"/>
      <w:b/>
      <w:iCs/>
      <w:szCs w:val="22"/>
      <w:lang w:val="en-US"/>
    </w:rPr>
  </w:style>
  <w:style w:type="paragraph" w:styleId="Heading7">
    <w:name w:val="heading 7"/>
    <w:basedOn w:val="Normal"/>
    <w:next w:val="Normal"/>
    <w:link w:val="Heading7Char"/>
    <w:qFormat/>
    <w:rsid w:val="004F37E0"/>
    <w:pPr>
      <w:numPr>
        <w:ilvl w:val="6"/>
        <w:numId w:val="146"/>
      </w:numPr>
      <w:adjustRightInd w:val="0"/>
      <w:spacing w:after="240"/>
      <w:outlineLvl w:val="6"/>
    </w:pPr>
    <w:rPr>
      <w:rFonts w:cs="Times New Roman"/>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link w:val="Heading4"/>
    <w:rsid w:val="004241EB"/>
    <w:rPr>
      <w:rFonts w:ascii="Arial" w:eastAsia="Times New Roman" w:hAnsi="Arial" w:cs="Arial"/>
      <w:b/>
      <w:bCs/>
      <w:caps/>
      <w:szCs w:val="24"/>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rPr>
  </w:style>
  <w:style w:type="character" w:customStyle="1" w:styleId="Heading7Char">
    <w:name w:val="Heading 7 Char"/>
    <w:link w:val="Heading7"/>
    <w:rsid w:val="00701EE2"/>
    <w:rPr>
      <w:rFonts w:ascii="Arial" w:eastAsia="SimSun" w:hAnsi="Arial"/>
      <w:i/>
      <w:snapToGrid w:val="0"/>
      <w:lang w:eastAsia="zh-CN"/>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Texte1"/>
    <w:next w:val="Normal"/>
    <w:uiPriority w:val="39"/>
    <w:rsid w:val="00047769"/>
    <w:pPr>
      <w:spacing w:after="0"/>
      <w:ind w:left="0"/>
      <w:jc w:val="left"/>
    </w:pPr>
    <w:rPr>
      <w:rFonts w:ascii="Arial Gras" w:hAnsi="Arial Gras"/>
      <w:b/>
      <w:bCs/>
    </w:rPr>
  </w:style>
  <w:style w:type="paragraph" w:styleId="TOC2">
    <w:name w:val="toc 2"/>
    <w:basedOn w:val="Texte1"/>
    <w:next w:val="Normal"/>
    <w:uiPriority w:val="39"/>
    <w:rsid w:val="00047769"/>
    <w:pPr>
      <w:spacing w:after="0"/>
      <w:ind w:left="0"/>
      <w:jc w:val="left"/>
    </w:pPr>
  </w:style>
  <w:style w:type="paragraph" w:styleId="TOC3">
    <w:name w:val="toc 3"/>
    <w:basedOn w:val="TOC2"/>
    <w:next w:val="Normal"/>
    <w:uiPriority w:val="39"/>
    <w:rsid w:val="00047769"/>
  </w:style>
  <w:style w:type="paragraph" w:styleId="TOC4">
    <w:name w:val="toc 4"/>
    <w:basedOn w:val="TOC2"/>
    <w:next w:val="Normal"/>
    <w:uiPriority w:val="39"/>
    <w:rsid w:val="00047769"/>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EA4847"/>
    <w:rPr>
      <w:rFonts w:ascii="Arial" w:hAnsi="Arial" w:cs="Arial"/>
      <w:snapToGrid w:val="0"/>
      <w:sz w:val="16"/>
      <w:szCs w:val="16"/>
      <w:lang w:eastAsia="zh-CN"/>
    </w:rPr>
  </w:style>
  <w:style w:type="paragraph" w:styleId="FootnoteText">
    <w:name w:val="footnote text"/>
    <w:basedOn w:val="Normal"/>
    <w:link w:val="FootnoteTextChar"/>
    <w:rsid w:val="00EA4847"/>
    <w:pPr>
      <w:tabs>
        <w:tab w:val="clear" w:pos="567"/>
        <w:tab w:val="left" w:pos="340"/>
      </w:tabs>
      <w:spacing w:after="60" w:line="180" w:lineRule="exact"/>
      <w:ind w:left="340" w:hanging="340"/>
    </w:pPr>
    <w:rPr>
      <w:snapToGrid w:val="0"/>
      <w:sz w:val="16"/>
      <w:szCs w:val="16"/>
    </w:rPr>
  </w:style>
  <w:style w:type="paragraph" w:customStyle="1" w:styleId="citation">
    <w:name w:val="citation"/>
    <w:basedOn w:val="Texte1"/>
    <w:rsid w:val="005D35D9"/>
    <w:pPr>
      <w:ind w:left="1134" w:right="284"/>
    </w:pPr>
  </w:style>
  <w:style w:type="paragraph" w:customStyle="1" w:styleId="Texte1">
    <w:name w:val="Texte1"/>
    <w:basedOn w:val="Normal"/>
    <w:link w:val="Texte1Car"/>
    <w:rsid w:val="00B01F0F"/>
    <w:pPr>
      <w:tabs>
        <w:tab w:val="clear" w:pos="567"/>
      </w:tabs>
      <w:spacing w:after="60"/>
    </w:pPr>
    <w:rPr>
      <w:lang w:val="en-GB"/>
    </w:rPr>
  </w:style>
  <w:style w:type="character" w:customStyle="1" w:styleId="Texte1Car">
    <w:name w:val="Texte1 Car"/>
    <w:link w:val="Texte1"/>
    <w:rsid w:val="00B01F0F"/>
    <w:rPr>
      <w:rFonts w:ascii="Arial" w:hAnsi="Arial" w:cs="Arial"/>
      <w:lang w:val="en-GB" w:eastAsia="zh-CN"/>
    </w:rPr>
  </w:style>
  <w:style w:type="character" w:customStyle="1" w:styleId="HeaderChar">
    <w:name w:val="Header Char"/>
    <w:link w:val="Header"/>
    <w:locked/>
    <w:rsid w:val="00E14A69"/>
    <w:rPr>
      <w:rFonts w:ascii="Arial" w:hAnsi="Arial" w:cs="Arial"/>
      <w:snapToGrid w:val="0"/>
      <w:sz w:val="16"/>
      <w:lang w:val="en-US" w:eastAsia="zh-CN"/>
    </w:rPr>
  </w:style>
  <w:style w:type="paragraph" w:styleId="Header">
    <w:name w:val="header"/>
    <w:basedOn w:val="Normal"/>
    <w:link w:val="HeaderChar"/>
    <w:rsid w:val="00E14A69"/>
    <w:pPr>
      <w:tabs>
        <w:tab w:val="clear" w:pos="567"/>
        <w:tab w:val="center" w:pos="4423"/>
        <w:tab w:val="right" w:pos="8845"/>
      </w:tabs>
      <w:ind w:left="0"/>
      <w:jc w:val="left"/>
    </w:pPr>
    <w:rPr>
      <w:snapToGrid w:val="0"/>
      <w:sz w:val="16"/>
      <w:lang w:val="en-US"/>
    </w:rPr>
  </w:style>
  <w:style w:type="character" w:customStyle="1" w:styleId="FooterChar">
    <w:name w:val="Footer Char"/>
    <w:link w:val="Footer"/>
    <w:locked/>
    <w:rsid w:val="00F22FFD"/>
    <w:rPr>
      <w:rFonts w:ascii="Arial" w:eastAsia="SimSun" w:hAnsi="Arial" w:cs="Arial"/>
      <w:snapToGrid w:val="0"/>
      <w:sz w:val="16"/>
      <w:szCs w:val="18"/>
      <w:lang w:eastAsia="zh-CN"/>
    </w:rPr>
  </w:style>
  <w:style w:type="paragraph" w:styleId="Footer">
    <w:name w:val="footer"/>
    <w:basedOn w:val="Normal"/>
    <w:link w:val="FooterChar"/>
    <w:rsid w:val="00F22FFD"/>
    <w:pPr>
      <w:tabs>
        <w:tab w:val="clear" w:pos="567"/>
        <w:tab w:val="center" w:pos="4423"/>
        <w:tab w:val="right" w:pos="8845"/>
      </w:tabs>
      <w:spacing w:line="240" w:lineRule="exact"/>
      <w:ind w:left="0"/>
      <w:jc w:val="left"/>
    </w:pPr>
    <w:rPr>
      <w:snapToGrid w:val="0"/>
      <w:sz w:val="16"/>
      <w:szCs w:val="18"/>
    </w:r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8F36F5"/>
    <w:rPr>
      <w:rFonts w:ascii="Arial" w:eastAsia="Times New Roman" w:hAnsi="Arial" w:cs="Arial"/>
      <w:b/>
      <w:caps/>
      <w:snapToGrid w:val="0"/>
      <w:color w:val="17365D"/>
      <w:sz w:val="70"/>
      <w:szCs w:val="70"/>
      <w:lang w:eastAsia="zh-CN"/>
    </w:rPr>
  </w:style>
  <w:style w:type="paragraph" w:styleId="Title">
    <w:name w:val="Title"/>
    <w:basedOn w:val="Normal"/>
    <w:next w:val="Normal"/>
    <w:link w:val="TitleChar"/>
    <w:rsid w:val="008F36F5"/>
    <w:pPr>
      <w:keepNext/>
      <w:tabs>
        <w:tab w:val="clear" w:pos="567"/>
      </w:tabs>
      <w:spacing w:before="240" w:after="480" w:line="840" w:lineRule="exact"/>
      <w:ind w:left="0"/>
      <w:jc w:val="left"/>
    </w:pPr>
    <w:rPr>
      <w:rFonts w:eastAsia="Times New Roman"/>
      <w:b/>
      <w:caps/>
      <w:snapToGrid w:val="0"/>
      <w:color w:val="17365D"/>
      <w:sz w:val="70"/>
      <w:szCs w:val="70"/>
    </w:rPr>
  </w:style>
  <w:style w:type="paragraph" w:styleId="BalloonText">
    <w:name w:val="Balloon Text"/>
    <w:basedOn w:val="Normal"/>
    <w:link w:val="BalloonTextChar"/>
    <w:rsid w:val="00816DE1"/>
    <w:pPr>
      <w:spacing w:line="240" w:lineRule="auto"/>
    </w:pPr>
    <w:rPr>
      <w:rFonts w:ascii="Lucida Grande" w:hAnsi="Lucida Grande" w:cs="Lucida Grande"/>
      <w:sz w:val="18"/>
      <w:szCs w:val="18"/>
    </w:rPr>
  </w:style>
  <w:style w:type="character" w:customStyle="1" w:styleId="BalloonTextChar">
    <w:name w:val="Balloon Text Char"/>
    <w:link w:val="BalloonText"/>
    <w:rsid w:val="00816DE1"/>
    <w:rPr>
      <w:rFonts w:ascii="Lucida Grande" w:eastAsia="SimSun" w:hAnsi="Lucida Grande" w:cs="Lucida Grande"/>
      <w:sz w:val="18"/>
      <w:szCs w:val="18"/>
      <w:lang w:eastAsia="zh-CN"/>
    </w:rPr>
  </w:style>
  <w:style w:type="paragraph" w:customStyle="1" w:styleId="Tabtxt">
    <w:name w:val="Tabtxt"/>
    <w:basedOn w:val="Normal"/>
    <w:rsid w:val="00051E75"/>
    <w:pPr>
      <w:spacing w:after="40"/>
      <w:ind w:left="0"/>
      <w:jc w:val="center"/>
    </w:pPr>
    <w:rPr>
      <w:sz w:val="18"/>
      <w:szCs w:val="18"/>
      <w:lang w:eastAsia="fr-FR"/>
    </w:rPr>
  </w:style>
  <w:style w:type="paragraph" w:customStyle="1" w:styleId="Txtannexe">
    <w:name w:val="Txtannexe"/>
    <w:basedOn w:val="Texte1"/>
    <w:link w:val="TxtannexeCar"/>
    <w:rsid w:val="00F31468"/>
    <w:pPr>
      <w:ind w:left="0"/>
    </w:pPr>
  </w:style>
  <w:style w:type="character" w:customStyle="1" w:styleId="TxtannexeCar">
    <w:name w:val="Txtannexe Car"/>
    <w:link w:val="Txtannexe"/>
    <w:rsid w:val="00F31468"/>
    <w:rPr>
      <w:rFonts w:ascii="Arial" w:eastAsia="SimSun" w:hAnsi="Arial" w:cs="Arial"/>
      <w:lang w:eastAsia="zh-CN"/>
    </w:rPr>
  </w:style>
  <w:style w:type="character" w:customStyle="1" w:styleId="DocumentMapChar">
    <w:name w:val="Document Map Char"/>
    <w:link w:val="DocumentMap"/>
    <w:locked/>
    <w:rsid w:val="0086683E"/>
    <w:rPr>
      <w:rFonts w:ascii="Tahoma" w:eastAsia="SimSun" w:hAnsi="Tahoma" w:cs="Tahoma"/>
      <w:snapToGrid w:val="0"/>
      <w:sz w:val="16"/>
      <w:szCs w:val="16"/>
      <w:lang w:val="en-US" w:eastAsia="zh-CN"/>
    </w:rPr>
  </w:style>
  <w:style w:type="paragraph" w:styleId="DocumentMap">
    <w:name w:val="Document Map"/>
    <w:basedOn w:val="Normal"/>
    <w:link w:val="DocumentMapChar"/>
    <w:rsid w:val="0086683E"/>
    <w:rPr>
      <w:rFonts w:ascii="Tahoma" w:hAnsi="Tahoma"/>
      <w:snapToGrid w:val="0"/>
      <w:sz w:val="16"/>
      <w:szCs w:val="16"/>
      <w:lang w:val="en-US"/>
    </w:rPr>
  </w:style>
  <w:style w:type="character" w:customStyle="1" w:styleId="SoustitreCar">
    <w:name w:val="Soustitre Car"/>
    <w:link w:val="Soustitre"/>
    <w:rsid w:val="007603C9"/>
    <w:rPr>
      <w:rFonts w:ascii="Arial" w:hAnsi="Arial" w:cs="Arial"/>
      <w:b/>
      <w:bCs/>
      <w:lang w:val="en-GB" w:eastAsia="zh-CN"/>
    </w:rPr>
  </w:style>
  <w:style w:type="paragraph" w:customStyle="1" w:styleId="Soustitre">
    <w:name w:val="Soustitre"/>
    <w:basedOn w:val="Texte1"/>
    <w:link w:val="SoustitreCar"/>
    <w:autoRedefine/>
    <w:rsid w:val="007603C9"/>
    <w:pPr>
      <w:keepNext/>
      <w:widowControl w:val="0"/>
      <w:spacing w:before="120" w:after="80"/>
      <w:jc w:val="left"/>
    </w:pPr>
    <w:rPr>
      <w:b/>
      <w:bCs/>
    </w:rPr>
  </w:style>
  <w:style w:type="paragraph" w:customStyle="1" w:styleId="Ref">
    <w:name w:val="Ref"/>
    <w:basedOn w:val="Txtannexe"/>
    <w:link w:val="RefCar"/>
    <w:rsid w:val="004E7D6C"/>
    <w:rPr>
      <w:i/>
      <w:color w:val="3366FF"/>
    </w:rPr>
  </w:style>
  <w:style w:type="character" w:customStyle="1" w:styleId="RefCar">
    <w:name w:val="Ref Car"/>
    <w:link w:val="Ref"/>
    <w:rsid w:val="004E7D6C"/>
    <w:rPr>
      <w:rFonts w:ascii="Arial" w:eastAsia="SimSun" w:hAnsi="Arial" w:cs="Arial"/>
      <w:i/>
      <w:color w:val="3366FF"/>
      <w:lang w:eastAsia="zh-CN"/>
    </w:rPr>
  </w:style>
  <w:style w:type="paragraph" w:customStyle="1" w:styleId="Txtchap">
    <w:name w:val="Txtchap"/>
    <w:basedOn w:val="Txtpuce"/>
    <w:link w:val="TxtchapCar"/>
    <w:autoRedefine/>
    <w:rsid w:val="00FF3DCE"/>
    <w:pPr>
      <w:numPr>
        <w:numId w:val="347"/>
      </w:numPr>
      <w:spacing w:after="120"/>
    </w:pPr>
    <w:rPr>
      <w:lang w:val="en-GB"/>
    </w:rPr>
  </w:style>
  <w:style w:type="paragraph" w:customStyle="1" w:styleId="Txtpuce">
    <w:name w:val="Txtpuce"/>
    <w:basedOn w:val="Normal"/>
    <w:link w:val="TxtpuceCar"/>
    <w:rsid w:val="009A47F4"/>
    <w:pPr>
      <w:tabs>
        <w:tab w:val="clear" w:pos="567"/>
      </w:tabs>
      <w:spacing w:line="360" w:lineRule="exact"/>
      <w:ind w:left="0"/>
    </w:pPr>
    <w:rPr>
      <w:sz w:val="24"/>
      <w:szCs w:val="24"/>
    </w:rPr>
  </w:style>
  <w:style w:type="character" w:customStyle="1" w:styleId="TxtpuceCar">
    <w:name w:val="Txtpuce Car"/>
    <w:link w:val="Txtpuce"/>
    <w:rsid w:val="00106058"/>
    <w:rPr>
      <w:rFonts w:ascii="Arial" w:eastAsia="SimSun" w:hAnsi="Arial" w:cs="Arial"/>
      <w:sz w:val="24"/>
      <w:szCs w:val="24"/>
      <w:lang w:eastAsia="zh-CN"/>
    </w:rPr>
  </w:style>
  <w:style w:type="character" w:customStyle="1" w:styleId="TxtchapCar">
    <w:name w:val="Txtchap Car"/>
    <w:basedOn w:val="TxtpuceCar"/>
    <w:link w:val="Txtchap"/>
    <w:rsid w:val="00FF3DCE"/>
    <w:rPr>
      <w:rFonts w:ascii="Arial" w:eastAsia="SimSun" w:hAnsi="Arial" w:cs="Arial"/>
      <w:sz w:val="24"/>
      <w:szCs w:val="24"/>
      <w:lang w:val="en-GB" w:eastAsia="zh-CN"/>
    </w:rPr>
  </w:style>
  <w:style w:type="character" w:styleId="FootnoteReference">
    <w:name w:val="footnote reference"/>
    <w:rsid w:val="009A47F4"/>
    <w:rPr>
      <w:rFonts w:ascii="Arial" w:eastAsia="SimSun" w:hAnsi="Arial" w:cs="Arial"/>
      <w:strike w:val="0"/>
      <w:dstrike w:val="0"/>
      <w:spacing w:val="0"/>
      <w:w w:val="100"/>
      <w:position w:val="0"/>
      <w:sz w:val="18"/>
      <w:szCs w:val="18"/>
      <w:vertAlign w:val="superscript"/>
      <w:lang w:eastAsia="zh-CN"/>
    </w:rPr>
  </w:style>
  <w:style w:type="table" w:styleId="TableGrid">
    <w:name w:val="Table Grid"/>
    <w:basedOn w:val="TableNormal"/>
    <w:rsid w:val="008668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83E"/>
    <w:pPr>
      <w:numPr>
        <w:numId w:val="176"/>
      </w:numPr>
      <w:autoSpaceDE w:val="0"/>
      <w:autoSpaceDN w:val="0"/>
      <w:adjustRightInd w:val="0"/>
    </w:pPr>
    <w:rPr>
      <w:rFonts w:ascii="Times New Roman" w:eastAsia="Times New Roman" w:hAnsi="Times New Roman"/>
      <w:color w:val="000000"/>
      <w:sz w:val="24"/>
      <w:szCs w:val="24"/>
    </w:rPr>
  </w:style>
  <w:style w:type="paragraph" w:customStyle="1" w:styleId="numrationa">
    <w:name w:val="énumération (a)"/>
    <w:basedOn w:val="Texte1"/>
    <w:rsid w:val="00AB0D2D"/>
    <w:pPr>
      <w:ind w:left="1474" w:hanging="340"/>
    </w:pPr>
    <w:rPr>
      <w:szCs w:val="22"/>
    </w:rPr>
  </w:style>
  <w:style w:type="character" w:styleId="PageNumber">
    <w:name w:val="page number"/>
    <w:rsid w:val="00117DDB"/>
    <w:rPr>
      <w:rFonts w:ascii="Arial" w:hAnsi="Arial"/>
      <w:b w:val="0"/>
      <w:i w:val="0"/>
      <w:color w:val="auto"/>
      <w:sz w:val="16"/>
    </w:rPr>
  </w:style>
  <w:style w:type="paragraph" w:customStyle="1" w:styleId="Revision1">
    <w:name w:val="Revision1"/>
    <w:hidden/>
    <w:semiHidden/>
    <w:rsid w:val="002B6A2C"/>
    <w:rPr>
      <w:rFonts w:ascii="Arial" w:hAnsi="Arial" w:cs="Arial"/>
      <w:snapToGrid w:val="0"/>
      <w:sz w:val="22"/>
      <w:szCs w:val="24"/>
      <w:lang w:val="en-US" w:eastAsia="zh-CN"/>
    </w:rPr>
  </w:style>
  <w:style w:type="paragraph" w:styleId="Revision">
    <w:name w:val="Revision"/>
    <w:hidden/>
    <w:rsid w:val="002B6A2C"/>
    <w:rPr>
      <w:rFonts w:ascii="Arial" w:hAnsi="Arial" w:cs="Arial"/>
      <w:snapToGrid w:val="0"/>
      <w:sz w:val="22"/>
      <w:szCs w:val="24"/>
      <w:lang w:val="en-US" w:eastAsia="zh-CN"/>
    </w:rPr>
  </w:style>
  <w:style w:type="paragraph" w:customStyle="1" w:styleId="Txtgras">
    <w:name w:val="Txtgras"/>
    <w:basedOn w:val="Normal"/>
    <w:rsid w:val="006944A7"/>
    <w:pPr>
      <w:spacing w:after="80" w:line="320" w:lineRule="exact"/>
      <w:ind w:left="0"/>
    </w:pPr>
    <w:rPr>
      <w:rFonts w:ascii="Arial Gras" w:hAnsi="Arial Gras"/>
      <w:b/>
      <w:bCs/>
      <w:sz w:val="24"/>
      <w:szCs w:val="24"/>
    </w:rPr>
  </w:style>
  <w:style w:type="paragraph" w:customStyle="1" w:styleId="Txtpucegras">
    <w:name w:val="Txtpucegras"/>
    <w:basedOn w:val="Texte1"/>
    <w:rsid w:val="0056621E"/>
    <w:pPr>
      <w:numPr>
        <w:numId w:val="6"/>
      </w:numPr>
      <w:ind w:left="851" w:hanging="284"/>
    </w:pPr>
  </w:style>
  <w:style w:type="paragraph" w:customStyle="1" w:styleId="Titcoul">
    <w:name w:val="Titcoul"/>
    <w:basedOn w:val="Title"/>
    <w:link w:val="TitcoulCar"/>
    <w:rsid w:val="008F36F5"/>
    <w:pPr>
      <w:widowControl w:val="0"/>
      <w:tabs>
        <w:tab w:val="left" w:pos="851"/>
      </w:tabs>
      <w:spacing w:before="720" w:after="240" w:line="320" w:lineRule="exact"/>
      <w:ind w:left="851" w:hanging="851"/>
    </w:pPr>
    <w:rPr>
      <w:rFonts w:eastAsia="SimSun"/>
      <w:bCs/>
      <w:color w:val="3366FF"/>
      <w:sz w:val="24"/>
      <w:szCs w:val="24"/>
      <w:lang w:val="en-US"/>
    </w:rPr>
  </w:style>
  <w:style w:type="character" w:customStyle="1" w:styleId="TitcoulCar">
    <w:name w:val="Titcoul Car"/>
    <w:link w:val="Titcoul"/>
    <w:rsid w:val="008F36F5"/>
    <w:rPr>
      <w:rFonts w:ascii="Arial" w:hAnsi="Arial" w:cs="Arial"/>
      <w:b/>
      <w:bCs/>
      <w:caps/>
      <w:snapToGrid w:val="0"/>
      <w:color w:val="3366FF"/>
      <w:sz w:val="24"/>
      <w:szCs w:val="24"/>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577621"/>
    <w:pPr>
      <w:numPr>
        <w:numId w:val="0"/>
      </w:numPr>
      <w:tabs>
        <w:tab w:val="num" w:pos="1440"/>
      </w:tabs>
      <w:ind w:left="1440" w:hanging="360"/>
    </w:pPr>
  </w:style>
  <w:style w:type="paragraph" w:customStyle="1" w:styleId="Tableau">
    <w:name w:val="Tableau"/>
    <w:basedOn w:val="Texte1"/>
    <w:rsid w:val="005B5D26"/>
    <w:pPr>
      <w:ind w:left="0"/>
    </w:pPr>
  </w:style>
  <w:style w:type="paragraph" w:customStyle="1" w:styleId="Informations">
    <w:name w:val="Informations"/>
    <w:basedOn w:val="Ref"/>
    <w:link w:val="InformationsCar"/>
    <w:rsid w:val="000870DC"/>
    <w:pPr>
      <w:ind w:left="851"/>
    </w:pPr>
    <w:rPr>
      <w:iCs/>
    </w:rPr>
  </w:style>
  <w:style w:type="character" w:customStyle="1" w:styleId="InformationsCar">
    <w:name w:val="Informations Car"/>
    <w:link w:val="Informations"/>
    <w:rsid w:val="000870DC"/>
    <w:rPr>
      <w:rFonts w:ascii="Arial" w:eastAsia="SimSun" w:hAnsi="Arial" w:cs="Arial"/>
      <w:i/>
      <w:iCs/>
      <w:color w:val="3366FF"/>
      <w:lang w:eastAsia="zh-CN"/>
    </w:rPr>
  </w:style>
  <w:style w:type="character" w:styleId="Hyperlink">
    <w:name w:val="Hyperlink"/>
    <w:rsid w:val="00155FF4"/>
    <w:rPr>
      <w:color w:val="0000FF"/>
      <w:u w:val="single"/>
    </w:rPr>
  </w:style>
  <w:style w:type="paragraph" w:customStyle="1" w:styleId="DO">
    <w:name w:val="DO"/>
    <w:basedOn w:val="Normal"/>
    <w:link w:val="DOCar"/>
    <w:rsid w:val="00316F9E"/>
    <w:pPr>
      <w:tabs>
        <w:tab w:val="clear" w:pos="567"/>
        <w:tab w:val="left" w:pos="2138"/>
      </w:tabs>
      <w:spacing w:after="60"/>
      <w:ind w:left="1985" w:hanging="1134"/>
    </w:pPr>
    <w:rPr>
      <w:rFonts w:eastAsia="Calibri"/>
      <w:iCs/>
      <w:szCs w:val="22"/>
      <w:lang w:eastAsia="fr-FR"/>
    </w:rPr>
  </w:style>
  <w:style w:type="character" w:customStyle="1" w:styleId="DOCar">
    <w:name w:val="DO Car"/>
    <w:link w:val="DO"/>
    <w:rsid w:val="00316F9E"/>
    <w:rPr>
      <w:rFonts w:ascii="Arial" w:eastAsia="Calibri" w:hAnsi="Arial" w:cs="Arial"/>
      <w:iCs/>
      <w:szCs w:val="22"/>
    </w:rPr>
  </w:style>
  <w:style w:type="paragraph" w:customStyle="1" w:styleId="Enutiret">
    <w:name w:val="Enutiret"/>
    <w:basedOn w:val="Texte1"/>
    <w:link w:val="EnutiretCar"/>
    <w:rsid w:val="00674581"/>
    <w:pPr>
      <w:numPr>
        <w:numId w:val="352"/>
      </w:numPr>
    </w:pPr>
  </w:style>
  <w:style w:type="character" w:customStyle="1" w:styleId="EnutiretCar">
    <w:name w:val="Enutiret Car"/>
    <w:basedOn w:val="Texte1Car"/>
    <w:link w:val="Enutiret"/>
    <w:rsid w:val="00674581"/>
    <w:rPr>
      <w:rFonts w:ascii="Arial" w:eastAsia="SimSun" w:hAnsi="Arial" w:cs="Arial"/>
      <w:lang w:val="en-GB" w:eastAsia="zh-CN"/>
    </w:rPr>
  </w:style>
  <w:style w:type="paragraph" w:customStyle="1" w:styleId="Tabltetiere">
    <w:name w:val="Tabltetiere"/>
    <w:basedOn w:val="Texte1"/>
    <w:rsid w:val="006E45F1"/>
    <w:pPr>
      <w:spacing w:before="60" w:line="200" w:lineRule="exact"/>
      <w:ind w:left="0"/>
      <w:jc w:val="center"/>
    </w:pPr>
    <w:rPr>
      <w:b/>
      <w:sz w:val="18"/>
    </w:rPr>
  </w:style>
  <w:style w:type="paragraph" w:styleId="CommentText">
    <w:name w:val="annotation text"/>
    <w:basedOn w:val="Normal"/>
    <w:link w:val="CommentTextChar"/>
    <w:uiPriority w:val="99"/>
    <w:rsid w:val="00FB33FA"/>
    <w:pPr>
      <w:tabs>
        <w:tab w:val="clear" w:pos="567"/>
      </w:tabs>
      <w:snapToGrid/>
      <w:spacing w:line="240" w:lineRule="auto"/>
      <w:ind w:left="0"/>
      <w:jc w:val="left"/>
    </w:pPr>
    <w:rPr>
      <w:rFonts w:ascii="Times New Roman" w:eastAsia="Times New Roman" w:hAnsi="Times New Roman" w:cs="Times New Roman"/>
      <w:lang w:val="en-US" w:eastAsia="en-US"/>
    </w:rPr>
  </w:style>
  <w:style w:type="character" w:customStyle="1" w:styleId="CommentTextChar">
    <w:name w:val="Comment Text Char"/>
    <w:link w:val="CommentText"/>
    <w:uiPriority w:val="99"/>
    <w:rsid w:val="00FB33FA"/>
    <w:rPr>
      <w:rFonts w:ascii="Times New Roman" w:eastAsia="Times New Roman" w:hAnsi="Times New Roman"/>
      <w:lang w:val="en-US" w:eastAsia="en-US"/>
    </w:rPr>
  </w:style>
  <w:style w:type="paragraph" w:styleId="TOCHeading">
    <w:name w:val="TOC Heading"/>
    <w:basedOn w:val="Heading1"/>
    <w:next w:val="Normal"/>
    <w:uiPriority w:val="39"/>
    <w:qFormat/>
    <w:rsid w:val="00DD01F3"/>
    <w:pPr>
      <w:keepNext/>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paragraph" w:customStyle="1" w:styleId="Chapinfo">
    <w:name w:val="Chapinfo"/>
    <w:basedOn w:val="Txtchap"/>
    <w:link w:val="ChapinfoCar"/>
    <w:rsid w:val="001F40DE"/>
    <w:pPr>
      <w:numPr>
        <w:numId w:val="0"/>
      </w:numPr>
      <w:spacing w:before="480" w:after="0" w:line="320" w:lineRule="exact"/>
      <w:ind w:left="567"/>
    </w:pPr>
    <w:rPr>
      <w:i/>
      <w:iCs/>
      <w:color w:val="3366FF"/>
    </w:rPr>
  </w:style>
  <w:style w:type="character" w:customStyle="1" w:styleId="ChapinfoCar">
    <w:name w:val="Chapinfo Car"/>
    <w:link w:val="Chapinfo"/>
    <w:rsid w:val="001F40DE"/>
    <w:rPr>
      <w:rFonts w:ascii="Arial" w:eastAsia="SimSun" w:hAnsi="Arial" w:cs="Arial"/>
      <w:i/>
      <w:iCs/>
      <w:color w:val="3366FF"/>
      <w:sz w:val="24"/>
      <w:szCs w:val="24"/>
      <w:lang w:eastAsia="zh-CN"/>
    </w:rPr>
  </w:style>
  <w:style w:type="paragraph" w:customStyle="1" w:styleId="Chapitre">
    <w:name w:val="Chapitre"/>
    <w:basedOn w:val="Title"/>
    <w:link w:val="ChapitreCar"/>
    <w:rsid w:val="008F36F5"/>
    <w:pPr>
      <w:pBdr>
        <w:bottom w:val="single" w:sz="4" w:space="14" w:color="3366FF"/>
      </w:pBdr>
      <w:spacing w:before="0" w:after="240"/>
    </w:pPr>
    <w:rPr>
      <w:bCs/>
      <w:color w:val="3366FF"/>
      <w:lang w:val="en-GB"/>
    </w:rPr>
  </w:style>
  <w:style w:type="paragraph" w:customStyle="1" w:styleId="Sschap">
    <w:name w:val="Sschap"/>
    <w:basedOn w:val="Txtgras"/>
    <w:autoRedefine/>
    <w:rsid w:val="003A53A0"/>
    <w:pPr>
      <w:keepNext/>
      <w:widowControl w:val="0"/>
      <w:tabs>
        <w:tab w:val="clear" w:pos="567"/>
      </w:tabs>
      <w:spacing w:before="920" w:after="360" w:line="300" w:lineRule="exact"/>
      <w:jc w:val="left"/>
    </w:pPr>
    <w:rPr>
      <w:rFonts w:ascii="Arial" w:hAnsi="Arial"/>
      <w:lang w:val="en-GB"/>
    </w:rPr>
  </w:style>
  <w:style w:type="character" w:styleId="CommentReference">
    <w:name w:val="annotation reference"/>
    <w:basedOn w:val="DefaultParagraphFont"/>
    <w:uiPriority w:val="99"/>
    <w:unhideWhenUsed/>
    <w:rsid w:val="008F1260"/>
    <w:rPr>
      <w:sz w:val="16"/>
      <w:szCs w:val="16"/>
    </w:rPr>
  </w:style>
  <w:style w:type="paragraph" w:styleId="CommentSubject">
    <w:name w:val="annotation subject"/>
    <w:basedOn w:val="CommentText"/>
    <w:next w:val="CommentText"/>
    <w:link w:val="CommentSubjectChar"/>
    <w:semiHidden/>
    <w:unhideWhenUsed/>
    <w:rsid w:val="008F1260"/>
    <w:pPr>
      <w:tabs>
        <w:tab w:val="left" w:pos="567"/>
      </w:tabs>
      <w:snapToGrid w:val="0"/>
      <w:ind w:left="851"/>
      <w:jc w:val="both"/>
    </w:pPr>
    <w:rPr>
      <w:rFonts w:ascii="Arial" w:eastAsia="SimSun" w:hAnsi="Arial" w:cs="Arial"/>
      <w:b/>
      <w:bCs/>
      <w:lang w:val="fr-FR" w:eastAsia="zh-CN"/>
    </w:rPr>
  </w:style>
  <w:style w:type="character" w:customStyle="1" w:styleId="CommentSubjectChar">
    <w:name w:val="Comment Subject Char"/>
    <w:basedOn w:val="CommentTextChar"/>
    <w:link w:val="CommentSubject"/>
    <w:semiHidden/>
    <w:rsid w:val="008F1260"/>
    <w:rPr>
      <w:rFonts w:ascii="Arial" w:eastAsia="SimSun" w:hAnsi="Arial" w:cs="Arial"/>
      <w:b/>
      <w:bCs/>
      <w:lang w:val="en-US" w:eastAsia="zh-CN"/>
    </w:rPr>
  </w:style>
  <w:style w:type="paragraph" w:customStyle="1" w:styleId="Textegras">
    <w:name w:val="Textegras"/>
    <w:basedOn w:val="Texte1"/>
    <w:link w:val="TextegrasCar"/>
    <w:autoRedefine/>
    <w:rsid w:val="00CE4F34"/>
    <w:pPr>
      <w:keepNext/>
      <w:spacing w:before="120"/>
      <w:ind w:left="284" w:hanging="284"/>
    </w:pPr>
    <w:rPr>
      <w:b/>
    </w:rPr>
  </w:style>
  <w:style w:type="character" w:customStyle="1" w:styleId="TextegrasCar">
    <w:name w:val="Textegras Car"/>
    <w:basedOn w:val="Texte1Car"/>
    <w:link w:val="Textegras"/>
    <w:rsid w:val="00CE4F34"/>
    <w:rPr>
      <w:rFonts w:ascii="Arial" w:eastAsia="SimSun" w:hAnsi="Arial" w:cs="Arial"/>
      <w:b/>
      <w:lang w:val="en-GB" w:eastAsia="zh-CN"/>
    </w:rPr>
  </w:style>
  <w:style w:type="character" w:styleId="FollowedHyperlink">
    <w:name w:val="FollowedHyperlink"/>
    <w:basedOn w:val="DefaultParagraphFont"/>
    <w:rsid w:val="003A75C8"/>
    <w:rPr>
      <w:color w:val="800080" w:themeColor="followedHyperlink"/>
      <w:u w:val="single"/>
    </w:rPr>
  </w:style>
  <w:style w:type="paragraph" w:styleId="ListParagraph">
    <w:name w:val="List Paragraph"/>
    <w:basedOn w:val="Normal"/>
    <w:uiPriority w:val="34"/>
    <w:qFormat/>
    <w:rsid w:val="00F60D75"/>
    <w:pPr>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character" w:customStyle="1" w:styleId="ChapitreCar">
    <w:name w:val="Chapitre Car"/>
    <w:link w:val="Chapitre"/>
    <w:rsid w:val="008F36F5"/>
    <w:rPr>
      <w:rFonts w:ascii="Arial" w:eastAsia="Times New Roman" w:hAnsi="Arial" w:cs="Arial"/>
      <w:b/>
      <w:bCs/>
      <w:caps/>
      <w:snapToGrid w:val="0"/>
      <w:color w:val="3366FF"/>
      <w:sz w:val="70"/>
      <w:szCs w:val="70"/>
      <w:lang w:val="en-GB" w:eastAsia="zh-CN"/>
    </w:rPr>
  </w:style>
  <w:style w:type="paragraph" w:customStyle="1" w:styleId="HO1">
    <w:name w:val="HO1"/>
    <w:basedOn w:val="Titcoul"/>
    <w:link w:val="HO1Car"/>
    <w:rsid w:val="00544FDE"/>
    <w:pPr>
      <w:keepLines/>
      <w:widowControl/>
      <w:tabs>
        <w:tab w:val="clear" w:pos="851"/>
        <w:tab w:val="left" w:pos="567"/>
      </w:tabs>
      <w:spacing w:before="480" w:after="0" w:line="480" w:lineRule="exact"/>
      <w:ind w:left="0" w:firstLine="0"/>
      <w:outlineLvl w:val="0"/>
    </w:pPr>
    <w:rPr>
      <w:rFonts w:eastAsia="Times New Roman"/>
      <w:caps w:val="0"/>
      <w:noProof/>
      <w:sz w:val="32"/>
      <w:szCs w:val="32"/>
    </w:rPr>
  </w:style>
  <w:style w:type="character" w:customStyle="1" w:styleId="HO1Car">
    <w:name w:val="HO1 Car"/>
    <w:basedOn w:val="TitcoulCar"/>
    <w:link w:val="HO1"/>
    <w:rsid w:val="00544FDE"/>
    <w:rPr>
      <w:rFonts w:ascii="Arial" w:eastAsia="Times New Roman" w:hAnsi="Arial" w:cs="Arial"/>
      <w:b/>
      <w:bCs/>
      <w:caps w:val="0"/>
      <w:noProof/>
      <w:snapToGrid w:val="0"/>
      <w:color w:val="3366FF"/>
      <w:sz w:val="32"/>
      <w:szCs w:val="32"/>
      <w:lang w:val="en-US" w:eastAsia="zh-CN"/>
    </w:rPr>
  </w:style>
  <w:style w:type="paragraph" w:customStyle="1" w:styleId="HO2">
    <w:name w:val="HO2"/>
    <w:basedOn w:val="HO1"/>
    <w:link w:val="HO2Car"/>
    <w:rsid w:val="00544FDE"/>
    <w:pPr>
      <w:spacing w:before="0" w:after="480"/>
    </w:pPr>
    <w:rPr>
      <w:caps/>
    </w:rPr>
  </w:style>
  <w:style w:type="character" w:customStyle="1" w:styleId="HO2Car">
    <w:name w:val="HO2 Car"/>
    <w:basedOn w:val="HO1Car"/>
    <w:link w:val="HO2"/>
    <w:rsid w:val="00544FDE"/>
    <w:rPr>
      <w:rFonts w:ascii="Arial" w:eastAsia="Times New Roman" w:hAnsi="Arial" w:cs="Arial"/>
      <w:b/>
      <w:bCs/>
      <w:caps/>
      <w:noProof/>
      <w:snapToGrid w:val="0"/>
      <w:color w:val="3366FF"/>
      <w:sz w:val="32"/>
      <w:szCs w:val="32"/>
      <w:lang w:val="en-US" w:eastAsia="zh-CN"/>
    </w:rPr>
  </w:style>
  <w:style w:type="paragraph" w:customStyle="1" w:styleId="UPlan">
    <w:name w:val="UPlan"/>
    <w:basedOn w:val="Titcoul"/>
    <w:link w:val="UPlanCar"/>
    <w:rsid w:val="00EB381D"/>
    <w:pPr>
      <w:keepLines/>
      <w:widowControl/>
      <w:tabs>
        <w:tab w:val="clear" w:pos="851"/>
        <w:tab w:val="left" w:pos="567"/>
      </w:tabs>
      <w:spacing w:before="480" w:after="0" w:line="480" w:lineRule="exact"/>
      <w:ind w:left="0" w:firstLine="0"/>
      <w:outlineLvl w:val="0"/>
    </w:pPr>
    <w:rPr>
      <w:rFonts w:eastAsia="Times New Roman"/>
      <w:noProof/>
      <w:kern w:val="28"/>
      <w:sz w:val="48"/>
      <w:szCs w:val="48"/>
      <w:lang w:val="en-GB"/>
    </w:rPr>
  </w:style>
  <w:style w:type="character" w:customStyle="1" w:styleId="UPlanCar">
    <w:name w:val="UPlan Car"/>
    <w:basedOn w:val="TitcoulCar"/>
    <w:link w:val="UPlan"/>
    <w:rsid w:val="00EB381D"/>
    <w:rPr>
      <w:rFonts w:ascii="Arial" w:eastAsia="Times New Roman" w:hAnsi="Arial" w:cs="Arial"/>
      <w:b/>
      <w:bCs/>
      <w:caps/>
      <w:noProof/>
      <w:snapToGrid w:val="0"/>
      <w:color w:val="3366FF"/>
      <w:kern w:val="28"/>
      <w:sz w:val="48"/>
      <w:szCs w:val="4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028222">
      <w:bodyDiv w:val="1"/>
      <w:marLeft w:val="0"/>
      <w:marRight w:val="0"/>
      <w:marTop w:val="0"/>
      <w:marBottom w:val="0"/>
      <w:divBdr>
        <w:top w:val="none" w:sz="0" w:space="0" w:color="auto"/>
        <w:left w:val="none" w:sz="0" w:space="0" w:color="auto"/>
        <w:bottom w:val="none" w:sz="0" w:space="0" w:color="auto"/>
        <w:right w:val="none" w:sz="0" w:space="0" w:color="auto"/>
      </w:divBdr>
      <w:divsChild>
        <w:div w:id="130365583">
          <w:marLeft w:val="0"/>
          <w:marRight w:val="0"/>
          <w:marTop w:val="0"/>
          <w:marBottom w:val="0"/>
          <w:divBdr>
            <w:top w:val="none" w:sz="0" w:space="0" w:color="auto"/>
            <w:left w:val="none" w:sz="0" w:space="0" w:color="auto"/>
            <w:bottom w:val="none" w:sz="0" w:space="0" w:color="auto"/>
            <w:right w:val="none" w:sz="0" w:space="0" w:color="auto"/>
          </w:divBdr>
          <w:divsChild>
            <w:div w:id="1641954552">
              <w:marLeft w:val="0"/>
              <w:marRight w:val="0"/>
              <w:marTop w:val="0"/>
              <w:marBottom w:val="0"/>
              <w:divBdr>
                <w:top w:val="none" w:sz="0" w:space="0" w:color="auto"/>
                <w:left w:val="none" w:sz="0" w:space="0" w:color="auto"/>
                <w:bottom w:val="none" w:sz="0" w:space="0" w:color="auto"/>
                <w:right w:val="none" w:sz="0" w:space="0" w:color="auto"/>
              </w:divBdr>
              <w:divsChild>
                <w:div w:id="343635001">
                  <w:marLeft w:val="0"/>
                  <w:marRight w:val="0"/>
                  <w:marTop w:val="0"/>
                  <w:marBottom w:val="0"/>
                  <w:divBdr>
                    <w:top w:val="none" w:sz="0" w:space="0" w:color="auto"/>
                    <w:left w:val="none" w:sz="0" w:space="0" w:color="auto"/>
                    <w:bottom w:val="none" w:sz="0" w:space="0" w:color="auto"/>
                    <w:right w:val="none" w:sz="0" w:space="0" w:color="auto"/>
                  </w:divBdr>
                  <w:divsChild>
                    <w:div w:id="1315111039">
                      <w:marLeft w:val="0"/>
                      <w:marRight w:val="0"/>
                      <w:marTop w:val="0"/>
                      <w:marBottom w:val="0"/>
                      <w:divBdr>
                        <w:top w:val="none" w:sz="0" w:space="0" w:color="auto"/>
                        <w:left w:val="none" w:sz="0" w:space="0" w:color="auto"/>
                        <w:bottom w:val="none" w:sz="0" w:space="0" w:color="auto"/>
                        <w:right w:val="none" w:sz="0" w:space="0" w:color="auto"/>
                      </w:divBdr>
                      <w:divsChild>
                        <w:div w:id="470172225">
                          <w:marLeft w:val="0"/>
                          <w:marRight w:val="0"/>
                          <w:marTop w:val="0"/>
                          <w:marBottom w:val="0"/>
                          <w:divBdr>
                            <w:top w:val="none" w:sz="0" w:space="0" w:color="auto"/>
                            <w:left w:val="none" w:sz="0" w:space="0" w:color="auto"/>
                            <w:bottom w:val="none" w:sz="0" w:space="0" w:color="auto"/>
                            <w:right w:val="none" w:sz="0" w:space="0" w:color="auto"/>
                          </w:divBdr>
                          <w:divsChild>
                            <w:div w:id="1448696002">
                              <w:marLeft w:val="0"/>
                              <w:marRight w:val="0"/>
                              <w:marTop w:val="0"/>
                              <w:marBottom w:val="0"/>
                              <w:divBdr>
                                <w:top w:val="none" w:sz="0" w:space="0" w:color="auto"/>
                                <w:left w:val="none" w:sz="0" w:space="0" w:color="auto"/>
                                <w:bottom w:val="none" w:sz="0" w:space="0" w:color="auto"/>
                                <w:right w:val="none" w:sz="0" w:space="0" w:color="auto"/>
                              </w:divBdr>
                              <w:divsChild>
                                <w:div w:id="192114681">
                                  <w:marLeft w:val="0"/>
                                  <w:marRight w:val="0"/>
                                  <w:marTop w:val="0"/>
                                  <w:marBottom w:val="0"/>
                                  <w:divBdr>
                                    <w:top w:val="none" w:sz="0" w:space="0" w:color="auto"/>
                                    <w:left w:val="none" w:sz="0" w:space="0" w:color="auto"/>
                                    <w:bottom w:val="none" w:sz="0" w:space="0" w:color="auto"/>
                                    <w:right w:val="none" w:sz="0" w:space="0" w:color="auto"/>
                                  </w:divBdr>
                                  <w:divsChild>
                                    <w:div w:id="660545855">
                                      <w:marLeft w:val="0"/>
                                      <w:marRight w:val="0"/>
                                      <w:marTop w:val="0"/>
                                      <w:marBottom w:val="0"/>
                                      <w:divBdr>
                                        <w:top w:val="single" w:sz="4" w:space="0" w:color="F5F5F5"/>
                                        <w:left w:val="single" w:sz="4" w:space="0" w:color="F5F5F5"/>
                                        <w:bottom w:val="single" w:sz="4" w:space="0" w:color="F5F5F5"/>
                                        <w:right w:val="single" w:sz="4" w:space="0" w:color="F5F5F5"/>
                                      </w:divBdr>
                                      <w:divsChild>
                                        <w:div w:id="484513538">
                                          <w:marLeft w:val="0"/>
                                          <w:marRight w:val="0"/>
                                          <w:marTop w:val="0"/>
                                          <w:marBottom w:val="0"/>
                                          <w:divBdr>
                                            <w:top w:val="none" w:sz="0" w:space="0" w:color="auto"/>
                                            <w:left w:val="none" w:sz="0" w:space="0" w:color="auto"/>
                                            <w:bottom w:val="none" w:sz="0" w:space="0" w:color="auto"/>
                                            <w:right w:val="none" w:sz="0" w:space="0" w:color="auto"/>
                                          </w:divBdr>
                                          <w:divsChild>
                                            <w:div w:id="13899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9556791">
      <w:bodyDiv w:val="1"/>
      <w:marLeft w:val="0"/>
      <w:marRight w:val="0"/>
      <w:marTop w:val="0"/>
      <w:marBottom w:val="0"/>
      <w:divBdr>
        <w:top w:val="none" w:sz="0" w:space="0" w:color="auto"/>
        <w:left w:val="none" w:sz="0" w:space="0" w:color="auto"/>
        <w:bottom w:val="none" w:sz="0" w:space="0" w:color="auto"/>
        <w:right w:val="none" w:sz="0" w:space="0" w:color="auto"/>
      </w:divBdr>
      <w:divsChild>
        <w:div w:id="2072729699">
          <w:marLeft w:val="0"/>
          <w:marRight w:val="0"/>
          <w:marTop w:val="0"/>
          <w:marBottom w:val="0"/>
          <w:divBdr>
            <w:top w:val="none" w:sz="0" w:space="0" w:color="auto"/>
            <w:left w:val="none" w:sz="0" w:space="0" w:color="auto"/>
            <w:bottom w:val="none" w:sz="0" w:space="0" w:color="auto"/>
            <w:right w:val="none" w:sz="0" w:space="0" w:color="auto"/>
          </w:divBdr>
          <w:divsChild>
            <w:div w:id="3597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52" Type="http://schemas.microsoft.com/office/2011/relationships/people" Target="people.xml"/><Relationship Id="rId10" Type="http://schemas.openxmlformats.org/officeDocument/2006/relationships/image" Target="media/image2.jpeg"/><Relationship Id="rId19" Type="http://schemas.openxmlformats.org/officeDocument/2006/relationships/theme" Target="theme/theme1.xml"/><Relationship Id="rId15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4262E-214F-4D64-B04D-875D0234B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5252</Words>
  <Characters>28448</Characters>
  <Application>Microsoft Office Word</Application>
  <DocSecurity>0</DocSecurity>
  <Lines>237</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33633</CharactersWithSpaces>
  <SharedDoc>false</SharedDoc>
  <HyperlinkBase/>
  <HLinks>
    <vt:vector size="156" baseType="variant">
      <vt:variant>
        <vt:i4>1507409</vt:i4>
      </vt:variant>
      <vt:variant>
        <vt:i4>78</vt:i4>
      </vt:variant>
      <vt:variant>
        <vt:i4>0</vt:i4>
      </vt:variant>
      <vt:variant>
        <vt:i4>5</vt:i4>
      </vt:variant>
      <vt:variant>
        <vt:lpwstr>http://www.nau.edu/~hcpo-p/research.html</vt:lpwstr>
      </vt:variant>
      <vt:variant>
        <vt:lpwstr/>
      </vt:variant>
      <vt:variant>
        <vt:i4>7274529</vt:i4>
      </vt:variant>
      <vt:variant>
        <vt:i4>75</vt:i4>
      </vt:variant>
      <vt:variant>
        <vt:i4>0</vt:i4>
      </vt:variant>
      <vt:variant>
        <vt:i4>5</vt:i4>
      </vt:variant>
      <vt:variant>
        <vt:lpwstr>http://www.accu.or.jp/ich/en/community/sanbaso.html</vt:lpwstr>
      </vt:variant>
      <vt:variant>
        <vt:lpwstr/>
      </vt:variant>
      <vt:variant>
        <vt:i4>1114216</vt:i4>
      </vt:variant>
      <vt:variant>
        <vt:i4>72</vt:i4>
      </vt:variant>
      <vt:variant>
        <vt:i4>0</vt:i4>
      </vt:variant>
      <vt:variant>
        <vt:i4>5</vt:i4>
      </vt:variant>
      <vt:variant>
        <vt:lpwstr>http://www.cedla.uva.nl/50_publications/pdf/revista/82RevistaEuropea/82-Ypeij&amp;Zorn-ISSN-0924-0608.pdf</vt:lpwstr>
      </vt:variant>
      <vt:variant>
        <vt:lpwstr/>
      </vt:variant>
      <vt:variant>
        <vt:i4>3342435</vt:i4>
      </vt:variant>
      <vt:variant>
        <vt:i4>69</vt:i4>
      </vt:variant>
      <vt:variant>
        <vt:i4>0</vt:i4>
      </vt:variant>
      <vt:variant>
        <vt:i4>5</vt:i4>
      </vt:variant>
      <vt:variant>
        <vt:lpwstr>http://www.unesco.org/uil/litbase/?menu=4&amp;programme=25</vt:lpwstr>
      </vt:variant>
      <vt:variant>
        <vt:lpwstr/>
      </vt:variant>
      <vt:variant>
        <vt:i4>393307</vt:i4>
      </vt:variant>
      <vt:variant>
        <vt:i4>66</vt:i4>
      </vt:variant>
      <vt:variant>
        <vt:i4>0</vt:i4>
      </vt:variant>
      <vt:variant>
        <vt:i4>5</vt:i4>
      </vt:variant>
      <vt:variant>
        <vt:lpwstr>http://www.unesco.org/culture/ich/index.php?USL=00313</vt:lpwstr>
      </vt:variant>
      <vt:variant>
        <vt:lpwstr/>
      </vt:variant>
      <vt:variant>
        <vt:i4>393307</vt:i4>
      </vt:variant>
      <vt:variant>
        <vt:i4>63</vt:i4>
      </vt:variant>
      <vt:variant>
        <vt:i4>0</vt:i4>
      </vt:variant>
      <vt:variant>
        <vt:i4>5</vt:i4>
      </vt:variant>
      <vt:variant>
        <vt:lpwstr>http://www.unesco.org/culture/ich/index.php?USL=00315</vt:lpwstr>
      </vt:variant>
      <vt:variant>
        <vt:lpwstr/>
      </vt:variant>
      <vt:variant>
        <vt:i4>1900554</vt:i4>
      </vt:variant>
      <vt:variant>
        <vt:i4>60</vt:i4>
      </vt:variant>
      <vt:variant>
        <vt:i4>0</vt:i4>
      </vt:variant>
      <vt:variant>
        <vt:i4>5</vt:i4>
      </vt:variant>
      <vt:variant>
        <vt:lpwstr>http://www.unesco.org/culture/ich/index.php?pg=00261</vt:lpwstr>
      </vt:variant>
      <vt:variant>
        <vt:lpwstr/>
      </vt:variant>
      <vt:variant>
        <vt:i4>1572956</vt:i4>
      </vt:variant>
      <vt:variant>
        <vt:i4>57</vt:i4>
      </vt:variant>
      <vt:variant>
        <vt:i4>0</vt:i4>
      </vt:variant>
      <vt:variant>
        <vt:i4>5</vt:i4>
      </vt:variant>
      <vt:variant>
        <vt:lpwstr>http://www.iphan.gov.br/</vt:lpwstr>
      </vt:variant>
      <vt:variant>
        <vt:lpwstr/>
      </vt:variant>
      <vt:variant>
        <vt:i4>1572956</vt:i4>
      </vt:variant>
      <vt:variant>
        <vt:i4>54</vt:i4>
      </vt:variant>
      <vt:variant>
        <vt:i4>0</vt:i4>
      </vt:variant>
      <vt:variant>
        <vt:i4>5</vt:i4>
      </vt:variant>
      <vt:variant>
        <vt:lpwstr>http://www.iphan.gov.br/</vt:lpwstr>
      </vt:variant>
      <vt:variant>
        <vt:lpwstr/>
      </vt:variant>
      <vt:variant>
        <vt:i4>1114189</vt:i4>
      </vt:variant>
      <vt:variant>
        <vt:i4>51</vt:i4>
      </vt:variant>
      <vt:variant>
        <vt:i4>0</vt:i4>
      </vt:variant>
      <vt:variant>
        <vt:i4>5</vt:i4>
      </vt:variant>
      <vt:variant>
        <vt:lpwstr>http://www.heritagefoundation.ca/ich.aspx</vt:lpwstr>
      </vt:variant>
      <vt:variant>
        <vt:lpwstr/>
      </vt:variant>
      <vt:variant>
        <vt:i4>1245187</vt:i4>
      </vt:variant>
      <vt:variant>
        <vt:i4>48</vt:i4>
      </vt:variant>
      <vt:variant>
        <vt:i4>0</vt:i4>
      </vt:variant>
      <vt:variant>
        <vt:i4>5</vt:i4>
      </vt:variant>
      <vt:variant>
        <vt:lpwstr>http://www.indiosonline.org.br/novo/</vt:lpwstr>
      </vt:variant>
      <vt:variant>
        <vt:lpwstr/>
      </vt:variant>
      <vt:variant>
        <vt:i4>3211372</vt:i4>
      </vt:variant>
      <vt:variant>
        <vt:i4>45</vt:i4>
      </vt:variant>
      <vt:variant>
        <vt:i4>0</vt:i4>
      </vt:variant>
      <vt:variant>
        <vt:i4>5</vt:i4>
      </vt:variant>
      <vt:variant>
        <vt:lpwstr>http://www.indiasurabhi.com/indianheritage.html</vt:lpwstr>
      </vt:variant>
      <vt:variant>
        <vt:lpwstr/>
      </vt:variant>
      <vt:variant>
        <vt:i4>4915309</vt:i4>
      </vt:variant>
      <vt:variant>
        <vt:i4>42</vt:i4>
      </vt:variant>
      <vt:variant>
        <vt:i4>0</vt:i4>
      </vt:variant>
      <vt:variant>
        <vt:i4>5</vt:i4>
      </vt:variant>
      <vt:variant>
        <vt:lpwstr>http://www.accu.or.jp/ich/en/training/curriculum/second/curriculum_7.html</vt:lpwstr>
      </vt:variant>
      <vt:variant>
        <vt:lpwstr/>
      </vt:variant>
      <vt:variant>
        <vt:i4>2818174</vt:i4>
      </vt:variant>
      <vt:variant>
        <vt:i4>39</vt:i4>
      </vt:variant>
      <vt:variant>
        <vt:i4>0</vt:i4>
      </vt:variant>
      <vt:variant>
        <vt:i4>5</vt:i4>
      </vt:variant>
      <vt:variant>
        <vt:lpwstr>http://www/</vt:lpwstr>
      </vt:variant>
      <vt:variant>
        <vt:lpwstr/>
      </vt:variant>
      <vt:variant>
        <vt:i4>7340093</vt:i4>
      </vt:variant>
      <vt:variant>
        <vt:i4>33</vt:i4>
      </vt:variant>
      <vt:variant>
        <vt:i4>0</vt:i4>
      </vt:variant>
      <vt:variant>
        <vt:i4>5</vt:i4>
      </vt:variant>
      <vt:variant>
        <vt:lpwstr>http://www.unesco.org/culture/ich/doc/src/00031-EN.pdf</vt:lpwstr>
      </vt:variant>
      <vt:variant>
        <vt:lpwstr/>
      </vt:variant>
      <vt:variant>
        <vt:i4>3342387</vt:i4>
      </vt:variant>
      <vt:variant>
        <vt:i4>30</vt:i4>
      </vt:variant>
      <vt:variant>
        <vt:i4>0</vt:i4>
      </vt:variant>
      <vt:variant>
        <vt:i4>5</vt:i4>
      </vt:variant>
      <vt:variant>
        <vt:lpwstr>http://www.unesco.org/culture/ich/index.php?lg=en&amp;pg=00009</vt:lpwstr>
      </vt:variant>
      <vt:variant>
        <vt:lpwstr/>
      </vt:variant>
      <vt:variant>
        <vt:i4>6553663</vt:i4>
      </vt:variant>
      <vt:variant>
        <vt:i4>27</vt:i4>
      </vt:variant>
      <vt:variant>
        <vt:i4>0</vt:i4>
      </vt:variant>
      <vt:variant>
        <vt:i4>5</vt:i4>
      </vt:variant>
      <vt:variant>
        <vt:lpwstr>http://www.wipo.int/freepublications/en/tk/913/wipo_pub_913.pdf</vt:lpwstr>
      </vt:variant>
      <vt:variant>
        <vt:lpwstr/>
      </vt:variant>
      <vt:variant>
        <vt:i4>5242883</vt:i4>
      </vt:variant>
      <vt:variant>
        <vt:i4>24</vt:i4>
      </vt:variant>
      <vt:variant>
        <vt:i4>0</vt:i4>
      </vt:variant>
      <vt:variant>
        <vt:i4>5</vt:i4>
      </vt:variant>
      <vt:variant>
        <vt:lpwstr>http://whc.unesco.org/en/list/stat</vt:lpwstr>
      </vt:variant>
      <vt:variant>
        <vt:lpwstr>s1</vt:lpwstr>
      </vt:variant>
      <vt:variant>
        <vt:i4>5898310</vt:i4>
      </vt:variant>
      <vt:variant>
        <vt:i4>21</vt:i4>
      </vt:variant>
      <vt:variant>
        <vt:i4>0</vt:i4>
      </vt:variant>
      <vt:variant>
        <vt:i4>5</vt:i4>
      </vt:variant>
      <vt:variant>
        <vt:lpwstr>http://www.unesco.org/culture/ich/index.php?lg=en&amp;pg=00011</vt:lpwstr>
      </vt:variant>
      <vt:variant>
        <vt:lpwstr>tab</vt:lpwstr>
      </vt:variant>
      <vt:variant>
        <vt:i4>7405677</vt:i4>
      </vt:variant>
      <vt:variant>
        <vt:i4>18</vt:i4>
      </vt:variant>
      <vt:variant>
        <vt:i4>0</vt:i4>
      </vt:variant>
      <vt:variant>
        <vt:i4>5</vt:i4>
      </vt:variant>
      <vt:variant>
        <vt:lpwstr>http://whc.unesco.org/archive/websites/venice2002/edito.htm</vt:lpwstr>
      </vt:variant>
      <vt:variant>
        <vt:lpwstr/>
      </vt:variant>
      <vt:variant>
        <vt:i4>3276924</vt:i4>
      </vt:variant>
      <vt:variant>
        <vt:i4>15</vt:i4>
      </vt:variant>
      <vt:variant>
        <vt:i4>0</vt:i4>
      </vt:variant>
      <vt:variant>
        <vt:i4>5</vt:i4>
      </vt:variant>
      <vt:variant>
        <vt:lpwstr>http://www.unesco.org/culture/ich/en/forms/</vt:lpwstr>
      </vt:variant>
      <vt:variant>
        <vt:lpwstr/>
      </vt:variant>
      <vt:variant>
        <vt:i4>3276924</vt:i4>
      </vt:variant>
      <vt:variant>
        <vt:i4>12</vt:i4>
      </vt:variant>
      <vt:variant>
        <vt:i4>0</vt:i4>
      </vt:variant>
      <vt:variant>
        <vt:i4>5</vt:i4>
      </vt:variant>
      <vt:variant>
        <vt:lpwstr>http://www.unesco.org/culture/ich/en/forms/</vt:lpwstr>
      </vt:variant>
      <vt:variant>
        <vt:lpwstr/>
      </vt:variant>
      <vt:variant>
        <vt:i4>3866674</vt:i4>
      </vt:variant>
      <vt:variant>
        <vt:i4>9</vt:i4>
      </vt:variant>
      <vt:variant>
        <vt:i4>0</vt:i4>
      </vt:variant>
      <vt:variant>
        <vt:i4>5</vt:i4>
      </vt:variant>
      <vt:variant>
        <vt:lpwstr>http://www.unesco.org/culture/ich/index.php?lg=en&amp;pg=00011</vt:lpwstr>
      </vt:variant>
      <vt:variant>
        <vt:lpwstr/>
      </vt:variant>
      <vt:variant>
        <vt:i4>3670064</vt:i4>
      </vt:variant>
      <vt:variant>
        <vt:i4>6</vt:i4>
      </vt:variant>
      <vt:variant>
        <vt:i4>0</vt:i4>
      </vt:variant>
      <vt:variant>
        <vt:i4>5</vt:i4>
      </vt:variant>
      <vt:variant>
        <vt:lpwstr>http://www.unesco.org/culture/ich/index.php?lg=en&amp;pg=00331</vt:lpwstr>
      </vt:variant>
      <vt:variant>
        <vt:lpwstr/>
      </vt:variant>
      <vt:variant>
        <vt:i4>1179667</vt:i4>
      </vt:variant>
      <vt:variant>
        <vt:i4>3</vt:i4>
      </vt:variant>
      <vt:variant>
        <vt:i4>0</vt:i4>
      </vt:variant>
      <vt:variant>
        <vt:i4>5</vt:i4>
      </vt:variant>
      <vt:variant>
        <vt:lpwstr>http://www.accu.or.jp/ich/en/</vt:lpwstr>
      </vt:variant>
      <vt:variant>
        <vt:lpwstr/>
      </vt:variant>
      <vt:variant>
        <vt:i4>2818090</vt:i4>
      </vt:variant>
      <vt:variant>
        <vt:i4>0</vt:i4>
      </vt:variant>
      <vt:variant>
        <vt:i4>0</vt:i4>
      </vt:variant>
      <vt:variant>
        <vt:i4>5</vt:i4>
      </vt:variant>
      <vt:variant>
        <vt:lpwstr>http://www.unesco.org/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2015-09-18T13:11:00Z</dcterms:created>
  <dcterms:modified xsi:type="dcterms:W3CDTF">2015-09-28T09:47:00Z</dcterms:modified>
</cp:coreProperties>
</file>