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761" w14:textId="77777777" w:rsidR="00A7443E" w:rsidRPr="00B41FAD" w:rsidRDefault="00813717" w:rsidP="00406030">
      <w:pPr>
        <w:pStyle w:val="Chapitre"/>
        <w:rPr>
          <w:sz w:val="142"/>
        </w:rPr>
      </w:pPr>
      <w:bookmarkStart w:id="0" w:name="_Toc301443346"/>
      <w:bookmarkStart w:id="1" w:name="_Toc354486613"/>
      <w:bookmarkStart w:id="2" w:name="_Toc354486919"/>
      <w:bookmarkStart w:id="3" w:name="_Toc247360190"/>
      <w:r w:rsidRPr="00B41FAD">
        <w:t xml:space="preserve">UnitÉ </w:t>
      </w:r>
      <w:r w:rsidR="00235024" w:rsidRPr="00B41FAD">
        <w:t>6</w:t>
      </w:r>
    </w:p>
    <w:p w14:paraId="414A69A8" w14:textId="77777777" w:rsidR="00601945" w:rsidRPr="00E2699C" w:rsidRDefault="00C10A1F" w:rsidP="009121FA">
      <w:pPr>
        <w:pStyle w:val="UPlan"/>
        <w:rPr>
          <w:lang w:val="fr-FR"/>
        </w:rPr>
      </w:pPr>
      <w:bookmarkStart w:id="4" w:name="_Toc238963204"/>
      <w:bookmarkStart w:id="5" w:name="_Toc241065090"/>
      <w:r w:rsidRPr="00E2699C">
        <w:rPr>
          <w:lang w:val="fr-FR"/>
        </w:rPr>
        <w:t>Identification et inventaire</w:t>
      </w:r>
      <w:bookmarkEnd w:id="0"/>
      <w:bookmarkEnd w:id="1"/>
      <w:bookmarkEnd w:id="2"/>
      <w:bookmarkEnd w:id="3"/>
      <w:bookmarkEnd w:id="4"/>
      <w:bookmarkEnd w:id="5"/>
      <w:r w:rsidR="00476EE5" w:rsidRPr="00E2699C">
        <w:rPr>
          <w:lang w:val="fr-FR"/>
        </w:rPr>
        <w:t>s</w:t>
      </w:r>
    </w:p>
    <w:p w14:paraId="5EC42E91" w14:textId="77777777" w:rsidR="004325DC" w:rsidRPr="00B41FAD" w:rsidRDefault="00601945" w:rsidP="009121FA">
      <w:pPr>
        <w:pStyle w:val="Titcoul"/>
        <w:rPr>
          <w:color w:val="auto"/>
        </w:rPr>
      </w:pPr>
      <w:r w:rsidRPr="00B41FAD">
        <w:t>texte du participant</w:t>
      </w:r>
    </w:p>
    <w:p w14:paraId="273B5708" w14:textId="77777777" w:rsidR="004325DC" w:rsidRPr="00B41FAD" w:rsidRDefault="00201A74" w:rsidP="00601945">
      <w:pPr>
        <w:pStyle w:val="Sschap"/>
      </w:pPr>
      <w:r w:rsidRPr="00B41FAD">
        <w:t>Cette</w:t>
      </w:r>
      <w:r w:rsidR="008D60AA" w:rsidRPr="00B41FAD">
        <w:rPr>
          <w:rFonts w:hint="eastAsia"/>
        </w:rPr>
        <w:t xml:space="preserve"> </w:t>
      </w:r>
      <w:r w:rsidR="00074FFC" w:rsidRPr="00B41FAD">
        <w:rPr>
          <w:rFonts w:hint="eastAsia"/>
        </w:rPr>
        <w:t>unit</w:t>
      </w:r>
      <w:r w:rsidR="00074FFC" w:rsidRPr="00B41FAD">
        <w:t>é</w:t>
      </w:r>
      <w:r w:rsidR="00074FFC" w:rsidRPr="00B41FAD">
        <w:rPr>
          <w:rFonts w:hint="eastAsia"/>
        </w:rPr>
        <w:t xml:space="preserve"> </w:t>
      </w:r>
      <w:r w:rsidR="00C10A1F" w:rsidRPr="00B41FAD">
        <w:rPr>
          <w:rFonts w:hint="eastAsia"/>
        </w:rPr>
        <w:t>porte sur l</w:t>
      </w:r>
      <w:r w:rsidRPr="00B41FAD">
        <w:t>e devoir d</w:t>
      </w:r>
      <w:r w:rsidR="00A61E6D" w:rsidRPr="00B41FAD">
        <w:t>’</w:t>
      </w:r>
      <w:r w:rsidR="00C10A1F" w:rsidRPr="00B41FAD">
        <w:rPr>
          <w:rFonts w:hint="eastAsia"/>
        </w:rPr>
        <w:t>identifi</w:t>
      </w:r>
      <w:r w:rsidRPr="00B41FAD">
        <w:t>er</w:t>
      </w:r>
      <w:r w:rsidR="00C10A1F" w:rsidRPr="00B41FAD">
        <w:rPr>
          <w:rFonts w:hint="eastAsia"/>
        </w:rPr>
        <w:t xml:space="preserve"> et </w:t>
      </w:r>
      <w:r w:rsidRPr="00B41FAD">
        <w:t>d’</w:t>
      </w:r>
      <w:r w:rsidR="00C10A1F" w:rsidRPr="00B41FAD">
        <w:rPr>
          <w:rFonts w:hint="eastAsia"/>
        </w:rPr>
        <w:t>invent</w:t>
      </w:r>
      <w:r w:rsidRPr="00B41FAD">
        <w:t>orier les éléments du</w:t>
      </w:r>
      <w:r w:rsidR="00C10A1F" w:rsidRPr="00B41FAD">
        <w:rPr>
          <w:rFonts w:hint="eastAsia"/>
        </w:rPr>
        <w:t xml:space="preserve"> </w:t>
      </w:r>
      <w:r w:rsidR="004C0123" w:rsidRPr="00B41FAD">
        <w:t>patrimoine culturel immatériel (PCI</w:t>
      </w:r>
      <w:r w:rsidR="00316C06" w:rsidRPr="00B41FAD">
        <w:t>)</w:t>
      </w:r>
      <w:r w:rsidR="00316C06" w:rsidRPr="00B41FAD">
        <w:rPr>
          <w:rFonts w:hint="eastAsia"/>
        </w:rPr>
        <w:t xml:space="preserve"> </w:t>
      </w:r>
      <w:r w:rsidR="00316C06" w:rsidRPr="00B41FAD">
        <w:rPr>
          <w:rFonts w:hint="eastAsia"/>
        </w:rPr>
        <w:t>–</w:t>
      </w:r>
      <w:r w:rsidR="00E8363A" w:rsidRPr="00B41FAD">
        <w:t>l’</w:t>
      </w:r>
      <w:r w:rsidR="00C10A1F" w:rsidRPr="00B41FAD">
        <w:rPr>
          <w:rFonts w:hint="eastAsia"/>
        </w:rPr>
        <w:t>une</w:t>
      </w:r>
      <w:r w:rsidR="006B12C1">
        <w:t> </w:t>
      </w:r>
      <w:r w:rsidR="00C10A1F" w:rsidRPr="00B41FAD">
        <w:rPr>
          <w:rFonts w:hint="eastAsia"/>
        </w:rPr>
        <w:t xml:space="preserve">des obligations des États parties </w:t>
      </w:r>
      <w:r w:rsidR="00D65CA4" w:rsidRPr="00B41FAD">
        <w:t>à</w:t>
      </w:r>
      <w:r w:rsidR="00074FFC" w:rsidRPr="00B41FAD">
        <w:rPr>
          <w:rFonts w:hint="eastAsia"/>
        </w:rPr>
        <w:t xml:space="preserve"> </w:t>
      </w:r>
      <w:r w:rsidR="00C10A1F" w:rsidRPr="00B41FAD">
        <w:rPr>
          <w:rFonts w:hint="eastAsia"/>
        </w:rPr>
        <w:t xml:space="preserve">la </w:t>
      </w:r>
      <w:r w:rsidR="004C0123" w:rsidRPr="00B41FAD">
        <w:t>Convention pour la sauvegarde du patrimoine culturel immatériel</w:t>
      </w:r>
      <w:r w:rsidR="004C0123" w:rsidRPr="00B41FAD">
        <w:rPr>
          <w:rStyle w:val="FootnoteReference"/>
          <w:bCs w:val="0"/>
          <w:sz w:val="24"/>
        </w:rPr>
        <w:footnoteReference w:id="1"/>
      </w:r>
      <w:r w:rsidR="00C10A1F" w:rsidRPr="00B41FAD">
        <w:rPr>
          <w:rFonts w:hint="eastAsia"/>
        </w:rPr>
        <w:t xml:space="preserve">. </w:t>
      </w:r>
      <w:r w:rsidR="00C10A1F" w:rsidRPr="00B41FAD">
        <w:t xml:space="preserve">Les sujets </w:t>
      </w:r>
      <w:r w:rsidRPr="00B41FAD">
        <w:t>couvert</w:t>
      </w:r>
      <w:r w:rsidR="00C10A1F" w:rsidRPr="00B41FAD">
        <w:t>s sont</w:t>
      </w:r>
      <w:r w:rsidR="00D65CA4" w:rsidRPr="00B41FAD">
        <w:t xml:space="preserve"> les suivants</w:t>
      </w:r>
      <w:r w:rsidR="00C10A1F" w:rsidRPr="00B41FAD">
        <w:t> </w:t>
      </w:r>
      <w:r w:rsidR="00EA1FE1" w:rsidRPr="00B41FAD">
        <w:t>:</w:t>
      </w:r>
      <w:r w:rsidR="00235024" w:rsidRPr="00B41FAD">
        <w:rPr>
          <w:rFonts w:hint="eastAsia"/>
          <w:noProof/>
          <w:lang w:eastAsia="zh-TW"/>
        </w:rPr>
        <w:drawing>
          <wp:anchor distT="0" distB="0" distL="114300" distR="114300" simplePos="0" relativeHeight="251842048" behindDoc="1" locked="1" layoutInCell="1" allowOverlap="0" wp14:anchorId="13D01FE0" wp14:editId="32639198">
            <wp:simplePos x="0" y="0"/>
            <wp:positionH relativeFrom="margin">
              <wp:posOffset>656590</wp:posOffset>
            </wp:positionH>
            <wp:positionV relativeFrom="margin">
              <wp:posOffset>2152650</wp:posOffset>
            </wp:positionV>
            <wp:extent cx="4869815" cy="4497705"/>
            <wp:effectExtent l="0" t="0" r="6985" b="0"/>
            <wp:wrapNone/>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p>
    <w:p w14:paraId="2A868607" w14:textId="77777777" w:rsidR="004325DC" w:rsidRPr="00B41FAD" w:rsidRDefault="00A81184" w:rsidP="00150FFB">
      <w:pPr>
        <w:pStyle w:val="Txtchap"/>
      </w:pPr>
      <w:r w:rsidRPr="00B41FAD">
        <w:t xml:space="preserve">Les </w:t>
      </w:r>
      <w:r w:rsidR="00C10A1F" w:rsidRPr="00B41FAD">
        <w:t>obligations des États parties concernant l</w:t>
      </w:r>
      <w:bookmarkStart w:id="6" w:name="_GoBack"/>
      <w:bookmarkEnd w:id="6"/>
      <w:r w:rsidR="00A61E6D" w:rsidRPr="00B41FAD">
        <w:t>’</w:t>
      </w:r>
      <w:r w:rsidR="00C10A1F" w:rsidRPr="00B41FAD">
        <w:t>identification et l</w:t>
      </w:r>
      <w:r w:rsidR="00E8363A" w:rsidRPr="00B41FAD">
        <w:t xml:space="preserve">es </w:t>
      </w:r>
      <w:r w:rsidR="00C10A1F" w:rsidRPr="00B41FAD">
        <w:t>inventaire</w:t>
      </w:r>
      <w:r w:rsidR="00DD501A" w:rsidRPr="00B41FAD">
        <w:t>s</w:t>
      </w:r>
      <w:r w:rsidR="00C10A1F" w:rsidRPr="00B41FAD">
        <w:t xml:space="preserve"> du PCI présent sur leur territoire</w:t>
      </w:r>
      <w:r w:rsidR="0039408B">
        <w:t>.</w:t>
      </w:r>
    </w:p>
    <w:p w14:paraId="05D09642" w14:textId="77777777" w:rsidR="004325DC" w:rsidRPr="00B41FAD" w:rsidRDefault="00A81184" w:rsidP="00150FFB">
      <w:pPr>
        <w:pStyle w:val="Txtchap"/>
      </w:pPr>
      <w:r w:rsidRPr="00B41FAD">
        <w:t xml:space="preserve">Le </w:t>
      </w:r>
      <w:r w:rsidR="00C10A1F" w:rsidRPr="00B41FAD">
        <w:t>but et les effets du travail d</w:t>
      </w:r>
      <w:r w:rsidR="00A61E6D" w:rsidRPr="00B41FAD">
        <w:t>’</w:t>
      </w:r>
      <w:r w:rsidR="00C10A1F" w:rsidRPr="00B41FAD">
        <w:t>inventaire du PCI</w:t>
      </w:r>
      <w:r w:rsidR="0039408B">
        <w:t>.</w:t>
      </w:r>
    </w:p>
    <w:p w14:paraId="2E21220B" w14:textId="77777777" w:rsidR="004325DC" w:rsidRPr="00B41FAD" w:rsidRDefault="00DA4134" w:rsidP="00150FFB">
      <w:pPr>
        <w:pStyle w:val="Txtchap"/>
      </w:pPr>
      <w:r w:rsidRPr="00B41FAD">
        <w:t>La marge de manœuvre et les restrictions</w:t>
      </w:r>
      <w:r w:rsidR="0039408B">
        <w:t>.</w:t>
      </w:r>
    </w:p>
    <w:p w14:paraId="4823BF16" w14:textId="77777777" w:rsidR="004325DC" w:rsidRPr="00B41FAD" w:rsidRDefault="00A81184" w:rsidP="00150FFB">
      <w:pPr>
        <w:pStyle w:val="Txtchap"/>
      </w:pPr>
      <w:r w:rsidRPr="00B41FAD">
        <w:t xml:space="preserve">Les </w:t>
      </w:r>
      <w:r w:rsidR="00C10A1F" w:rsidRPr="00B41FAD">
        <w:t xml:space="preserve">critères </w:t>
      </w:r>
      <w:r w:rsidR="00DA4134" w:rsidRPr="00B41FAD">
        <w:t>d</w:t>
      </w:r>
      <w:r w:rsidR="00A61E6D" w:rsidRPr="00B41FAD">
        <w:t>’</w:t>
      </w:r>
      <w:r w:rsidR="00C10A1F" w:rsidRPr="00B41FAD">
        <w:t>inclu</w:t>
      </w:r>
      <w:r w:rsidR="00DA4134" w:rsidRPr="00B41FAD">
        <w:t>sion d’</w:t>
      </w:r>
      <w:r w:rsidR="00C10A1F" w:rsidRPr="00B41FAD">
        <w:t>un élément du PCI dans un inventaire</w:t>
      </w:r>
      <w:r w:rsidR="0039408B">
        <w:t>.</w:t>
      </w:r>
    </w:p>
    <w:p w14:paraId="1E668696" w14:textId="77777777" w:rsidR="004325DC" w:rsidRPr="00B41FAD" w:rsidRDefault="00A81184" w:rsidP="00150FFB">
      <w:pPr>
        <w:pStyle w:val="Txtchap"/>
      </w:pPr>
      <w:r w:rsidRPr="00B41FAD">
        <w:t>L</w:t>
      </w:r>
      <w:r w:rsidR="00A61E6D" w:rsidRPr="00B41FAD">
        <w:t>’</w:t>
      </w:r>
      <w:r w:rsidRPr="00B41FAD">
        <w:t xml:space="preserve">accès </w:t>
      </w:r>
      <w:r w:rsidR="00DA4134" w:rsidRPr="00B41FAD">
        <w:t xml:space="preserve">aux </w:t>
      </w:r>
      <w:r w:rsidR="00C10A1F" w:rsidRPr="00B41FAD">
        <w:t>information</w:t>
      </w:r>
      <w:r w:rsidR="00DA4134" w:rsidRPr="00B41FAD">
        <w:t>s</w:t>
      </w:r>
      <w:r w:rsidR="00C10A1F" w:rsidRPr="00B41FAD">
        <w:t xml:space="preserve"> sur les éléments inventoriés</w:t>
      </w:r>
      <w:r w:rsidR="0039408B">
        <w:t>.</w:t>
      </w:r>
    </w:p>
    <w:p w14:paraId="5E45E8EE" w14:textId="77777777" w:rsidR="004325DC" w:rsidRPr="00B41FAD" w:rsidRDefault="00A81184" w:rsidP="00150FFB">
      <w:pPr>
        <w:pStyle w:val="Txtchap"/>
      </w:pPr>
      <w:r w:rsidRPr="00B41FAD">
        <w:t>L</w:t>
      </w:r>
      <w:r w:rsidR="00C10A1F" w:rsidRPr="00B41FAD">
        <w:t>a planification d</w:t>
      </w:r>
      <w:r w:rsidR="00A61E6D" w:rsidRPr="00B41FAD">
        <w:t>’</w:t>
      </w:r>
      <w:r w:rsidR="00C10A1F" w:rsidRPr="00B41FAD">
        <w:t>un projet d</w:t>
      </w:r>
      <w:r w:rsidR="00A61E6D" w:rsidRPr="00B41FAD">
        <w:t>’</w:t>
      </w:r>
      <w:r w:rsidR="00C10A1F" w:rsidRPr="00B41FAD">
        <w:t>inventaire.</w:t>
      </w:r>
    </w:p>
    <w:p w14:paraId="3B05D465" w14:textId="77777777" w:rsidR="004325DC" w:rsidRPr="00B41FAD" w:rsidRDefault="00C10A1F" w:rsidP="00795FF0">
      <w:pPr>
        <w:pStyle w:val="Chapinfo"/>
      </w:pPr>
      <w:r w:rsidRPr="00B41FAD">
        <w:t xml:space="preserve">Rubriques </w:t>
      </w:r>
      <w:r w:rsidR="00D65CA4" w:rsidRPr="00B41FAD">
        <w:t>intéressant</w:t>
      </w:r>
      <w:r w:rsidRPr="00B41FAD">
        <w:t xml:space="preserve">es </w:t>
      </w:r>
      <w:r w:rsidR="00D65CA4" w:rsidRPr="00B41FAD">
        <w:t>à con</w:t>
      </w:r>
      <w:r w:rsidR="00C45110" w:rsidRPr="00B41FAD">
        <w:t>s</w:t>
      </w:r>
      <w:r w:rsidR="00D65CA4" w:rsidRPr="00B41FAD">
        <w:t>ulter</w:t>
      </w:r>
      <w:r w:rsidR="00C45110" w:rsidRPr="00B41FAD">
        <w:t xml:space="preserve"> </w:t>
      </w:r>
      <w:r w:rsidR="0049447F" w:rsidRPr="00B41FAD">
        <w:t>dans le</w:t>
      </w:r>
      <w:r w:rsidR="00235024" w:rsidRPr="00B41FAD">
        <w:t xml:space="preserve"> </w:t>
      </w:r>
      <w:r w:rsidR="00646D3D" w:rsidRPr="00B41FAD">
        <w:t>Texte du participant</w:t>
      </w:r>
      <w:r w:rsidR="00F75E9C" w:rsidRPr="00B41FAD">
        <w:t xml:space="preserve"> de l’</w:t>
      </w:r>
      <w:r w:rsidR="00235024" w:rsidRPr="00B41FAD">
        <w:t>Unité 3 </w:t>
      </w:r>
      <w:r w:rsidR="00EA1FE1" w:rsidRPr="00B41FAD">
        <w:t>:</w:t>
      </w:r>
      <w:r w:rsidR="00043DFF" w:rsidRPr="00B41FAD">
        <w:t xml:space="preserve"> « </w:t>
      </w:r>
      <w:r w:rsidRPr="00B41FAD">
        <w:t>Éléments du PCI</w:t>
      </w:r>
      <w:r w:rsidR="00461004" w:rsidRPr="00B41FAD">
        <w:t xml:space="preserve"> », </w:t>
      </w:r>
      <w:r w:rsidR="00043DFF" w:rsidRPr="00B41FAD">
        <w:t>« </w:t>
      </w:r>
      <w:r w:rsidRPr="00B41FAD">
        <w:t>Identification et définition</w:t>
      </w:r>
      <w:r w:rsidR="00043DFF" w:rsidRPr="00B41FAD">
        <w:t> »</w:t>
      </w:r>
      <w:r w:rsidR="00D915D7" w:rsidRPr="00B41FAD">
        <w:t xml:space="preserve"> </w:t>
      </w:r>
      <w:r w:rsidRPr="00B41FAD">
        <w:t>et</w:t>
      </w:r>
      <w:r w:rsidR="00043DFF" w:rsidRPr="00B41FAD">
        <w:t xml:space="preserve"> « </w:t>
      </w:r>
      <w:r w:rsidR="00C27728" w:rsidRPr="00B41FAD">
        <w:t>I</w:t>
      </w:r>
      <w:r w:rsidRPr="00B41FAD">
        <w:t>nventaire</w:t>
      </w:r>
      <w:r w:rsidR="00DD501A" w:rsidRPr="00B41FAD">
        <w:t>s</w:t>
      </w:r>
      <w:r w:rsidR="00461004" w:rsidRPr="00B41FAD">
        <w:t> ».</w:t>
      </w:r>
    </w:p>
    <w:p w14:paraId="69B1E9AD" w14:textId="0310E330" w:rsidR="00347851" w:rsidRDefault="00347851">
      <w:pPr>
        <w:keepNext w:val="0"/>
        <w:tabs>
          <w:tab w:val="clear" w:pos="567"/>
        </w:tabs>
        <w:snapToGrid/>
        <w:spacing w:line="240" w:lineRule="auto"/>
        <w:ind w:left="0"/>
        <w:jc w:val="left"/>
      </w:pPr>
      <w:r w:rsidRPr="00B41FAD">
        <w:br w:type="page"/>
      </w:r>
    </w:p>
    <w:p w14:paraId="73538839" w14:textId="77777777" w:rsidR="006940E8" w:rsidRDefault="006940E8" w:rsidP="006940E8">
      <w:pPr>
        <w:tabs>
          <w:tab w:val="clear" w:pos="567"/>
        </w:tabs>
        <w:snapToGrid/>
        <w:spacing w:before="480" w:line="240" w:lineRule="auto"/>
        <w:ind w:left="0"/>
        <w:jc w:val="left"/>
        <w:rPr>
          <w:rFonts w:eastAsia="Times New Roman"/>
          <w:sz w:val="22"/>
          <w:szCs w:val="22"/>
          <w:lang w:eastAsia="pt-BR"/>
        </w:rPr>
      </w:pPr>
    </w:p>
    <w:p w14:paraId="3549F1BE" w14:textId="503C53AF" w:rsidR="006940E8" w:rsidRPr="0052319F" w:rsidRDefault="006940E8" w:rsidP="006940E8">
      <w:pPr>
        <w:tabs>
          <w:tab w:val="clear" w:pos="567"/>
        </w:tabs>
        <w:snapToGrid/>
        <w:spacing w:before="480" w:line="240" w:lineRule="auto"/>
        <w:ind w:left="0"/>
        <w:jc w:val="left"/>
        <w:rPr>
          <w:rFonts w:eastAsia="Times New Roman"/>
          <w:sz w:val="22"/>
          <w:szCs w:val="22"/>
          <w:lang w:eastAsia="pt-BR"/>
        </w:rPr>
      </w:pPr>
      <w:r w:rsidRPr="0052319F">
        <w:rPr>
          <w:rFonts w:eastAsia="Times New Roman"/>
          <w:sz w:val="22"/>
          <w:szCs w:val="22"/>
          <w:lang w:eastAsia="pt-BR"/>
        </w:rPr>
        <w:t xml:space="preserve">Publié en </w:t>
      </w:r>
      <w:r w:rsidR="006E0FCB">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w:t>
      </w:r>
      <w:proofErr w:type="gramStart"/>
      <w:r w:rsidRPr="0052319F">
        <w:rPr>
          <w:rFonts w:eastAsia="Times New Roman"/>
          <w:sz w:val="22"/>
          <w:szCs w:val="22"/>
          <w:lang w:eastAsia="pt-BR"/>
        </w:rPr>
        <w:t>culture</w:t>
      </w:r>
      <w:proofErr w:type="gramEnd"/>
      <w:r w:rsidRPr="0052319F">
        <w:rPr>
          <w:rFonts w:eastAsia="Times New Roman"/>
          <w:sz w:val="22"/>
          <w:szCs w:val="22"/>
          <w:lang w:eastAsia="pt-BR"/>
        </w:rPr>
        <w:t xml:space="preserve"> </w:t>
      </w:r>
    </w:p>
    <w:p w14:paraId="70CBDBF7" w14:textId="77777777" w:rsidR="006940E8"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7, place de Fontenoy, 75352 Paris 07 SP, France</w:t>
      </w:r>
    </w:p>
    <w:p w14:paraId="57C279AE" w14:textId="77777777" w:rsidR="006940E8" w:rsidRPr="0052319F" w:rsidRDefault="006940E8" w:rsidP="005674FE">
      <w:pPr>
        <w:autoSpaceDE w:val="0"/>
        <w:autoSpaceDN w:val="0"/>
        <w:adjustRightInd w:val="0"/>
        <w:spacing w:before="120" w:line="240" w:lineRule="auto"/>
        <w:ind w:left="0"/>
        <w:rPr>
          <w:snapToGrid w:val="0"/>
          <w:sz w:val="22"/>
          <w:szCs w:val="22"/>
        </w:rPr>
      </w:pPr>
    </w:p>
    <w:p w14:paraId="5AC2F83A" w14:textId="39C211D2" w:rsidR="006940E8"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 xml:space="preserve">© UNESCO </w:t>
      </w:r>
      <w:r w:rsidR="006E0FCB">
        <w:rPr>
          <w:snapToGrid w:val="0"/>
          <w:sz w:val="22"/>
          <w:szCs w:val="22"/>
        </w:rPr>
        <w:t>2016</w:t>
      </w:r>
    </w:p>
    <w:p w14:paraId="1D4ED7E7" w14:textId="77777777" w:rsidR="009A0003" w:rsidRPr="0052319F" w:rsidRDefault="009A0003" w:rsidP="006940E8">
      <w:pPr>
        <w:autoSpaceDE w:val="0"/>
        <w:autoSpaceDN w:val="0"/>
        <w:adjustRightInd w:val="0"/>
        <w:spacing w:before="120" w:line="240" w:lineRule="auto"/>
        <w:ind w:left="0"/>
        <w:rPr>
          <w:snapToGrid w:val="0"/>
          <w:sz w:val="22"/>
          <w:szCs w:val="22"/>
        </w:rPr>
      </w:pPr>
    </w:p>
    <w:p w14:paraId="04B9B81E" w14:textId="77777777" w:rsidR="006940E8" w:rsidRPr="0052319F" w:rsidRDefault="006940E8" w:rsidP="006940E8">
      <w:pPr>
        <w:autoSpaceDE w:val="0"/>
        <w:autoSpaceDN w:val="0"/>
        <w:adjustRightInd w:val="0"/>
        <w:spacing w:before="120" w:line="240" w:lineRule="auto"/>
        <w:rPr>
          <w:snapToGrid w:val="0"/>
          <w:sz w:val="22"/>
          <w:szCs w:val="22"/>
        </w:rPr>
      </w:pPr>
      <w:r w:rsidRPr="0052319F">
        <w:rPr>
          <w:noProof/>
          <w:snapToGrid w:val="0"/>
          <w:sz w:val="22"/>
          <w:szCs w:val="22"/>
          <w:lang w:eastAsia="zh-TW"/>
        </w:rPr>
        <w:drawing>
          <wp:anchor distT="0" distB="0" distL="114300" distR="114300" simplePos="0" relativeHeight="251862528" behindDoc="0" locked="0" layoutInCell="1" allowOverlap="1" wp14:anchorId="2029BED1" wp14:editId="7C8A1451">
            <wp:simplePos x="0" y="0"/>
            <wp:positionH relativeFrom="column">
              <wp:posOffset>-635</wp:posOffset>
            </wp:positionH>
            <wp:positionV relativeFrom="paragraph">
              <wp:posOffset>153035</wp:posOffset>
            </wp:positionV>
            <wp:extent cx="756285" cy="265430"/>
            <wp:effectExtent l="0" t="0" r="571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63D911B7" w14:textId="77777777" w:rsidR="006940E8" w:rsidRDefault="006940E8" w:rsidP="006940E8">
      <w:pPr>
        <w:autoSpaceDE w:val="0"/>
        <w:autoSpaceDN w:val="0"/>
        <w:adjustRightInd w:val="0"/>
        <w:spacing w:before="120" w:line="240" w:lineRule="auto"/>
        <w:rPr>
          <w:snapToGrid w:val="0"/>
          <w:sz w:val="22"/>
          <w:szCs w:val="22"/>
        </w:rPr>
      </w:pPr>
    </w:p>
    <w:p w14:paraId="198989E0" w14:textId="77777777" w:rsidR="006940E8" w:rsidRPr="0052319F"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Œuvre publiée en libre accès sous la licence Attribution-</w:t>
      </w:r>
      <w:proofErr w:type="spellStart"/>
      <w:r w:rsidRPr="0052319F">
        <w:rPr>
          <w:snapToGrid w:val="0"/>
          <w:sz w:val="22"/>
          <w:szCs w:val="22"/>
        </w:rPr>
        <w:t>ShareAlike</w:t>
      </w:r>
      <w:proofErr w:type="spellEnd"/>
      <w:r w:rsidRPr="0052319F">
        <w:rPr>
          <w:snapToGrid w:val="0"/>
          <w:sz w:val="22"/>
          <w:szCs w:val="22"/>
        </w:rPr>
        <w:t xml:space="preserv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4C7B1B89" w14:textId="77777777" w:rsidR="006940E8" w:rsidRPr="0052319F"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29DC2359" w14:textId="77777777" w:rsidR="006940E8" w:rsidRPr="0052319F" w:rsidRDefault="006940E8" w:rsidP="005674FE">
      <w:pPr>
        <w:autoSpaceDE w:val="0"/>
        <w:autoSpaceDN w:val="0"/>
        <w:adjustRightInd w:val="0"/>
        <w:spacing w:before="120" w:line="240" w:lineRule="auto"/>
        <w:ind w:left="0"/>
        <w:rPr>
          <w:snapToGrid w:val="0"/>
          <w:sz w:val="22"/>
          <w:szCs w:val="22"/>
        </w:rPr>
      </w:pPr>
    </w:p>
    <w:p w14:paraId="7D44D93B" w14:textId="0D2D8593" w:rsidR="006940E8" w:rsidRPr="006E0FCB" w:rsidRDefault="006940E8" w:rsidP="006940E8">
      <w:pPr>
        <w:autoSpaceDE w:val="0"/>
        <w:autoSpaceDN w:val="0"/>
        <w:adjustRightInd w:val="0"/>
        <w:spacing w:before="120" w:line="240" w:lineRule="auto"/>
        <w:ind w:left="0"/>
        <w:rPr>
          <w:snapToGrid w:val="0"/>
          <w:sz w:val="22"/>
          <w:szCs w:val="22"/>
        </w:rPr>
      </w:pPr>
      <w:r w:rsidRPr="006E0FCB">
        <w:rPr>
          <w:snapToGrid w:val="0"/>
          <w:sz w:val="22"/>
          <w:szCs w:val="22"/>
        </w:rPr>
        <w:t>Titre original : Identification and inventorying</w:t>
      </w:r>
    </w:p>
    <w:p w14:paraId="554EACB6" w14:textId="5B49FD6C" w:rsidR="006940E8" w:rsidRPr="0052319F"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 xml:space="preserve">Publié en </w:t>
      </w:r>
      <w:r w:rsidR="006E0FCB">
        <w:rPr>
          <w:snapToGrid w:val="0"/>
          <w:sz w:val="22"/>
          <w:szCs w:val="22"/>
        </w:rPr>
        <w:t>2016</w:t>
      </w:r>
      <w:r w:rsidRPr="0052319F">
        <w:rPr>
          <w:snapToGrid w:val="0"/>
          <w:sz w:val="22"/>
          <w:szCs w:val="22"/>
        </w:rPr>
        <w:t xml:space="preserve"> par l’Organisation des Nations Unies pour l’éducation, la science et la culture </w:t>
      </w:r>
    </w:p>
    <w:p w14:paraId="46449AC2" w14:textId="77777777" w:rsidR="006940E8" w:rsidRPr="0052319F" w:rsidRDefault="006940E8" w:rsidP="005674FE">
      <w:pPr>
        <w:autoSpaceDE w:val="0"/>
        <w:autoSpaceDN w:val="0"/>
        <w:adjustRightInd w:val="0"/>
        <w:spacing w:before="120" w:line="240" w:lineRule="auto"/>
        <w:ind w:left="0"/>
        <w:rPr>
          <w:snapToGrid w:val="0"/>
          <w:sz w:val="22"/>
          <w:szCs w:val="22"/>
        </w:rPr>
      </w:pPr>
    </w:p>
    <w:p w14:paraId="50F1D9BF" w14:textId="77777777" w:rsidR="006940E8" w:rsidRPr="0052319F"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693B42FC" w14:textId="77777777" w:rsidR="006940E8" w:rsidRPr="0052319F" w:rsidRDefault="006940E8" w:rsidP="005674FE">
      <w:pPr>
        <w:autoSpaceDE w:val="0"/>
        <w:autoSpaceDN w:val="0"/>
        <w:adjustRightInd w:val="0"/>
        <w:spacing w:before="120" w:line="240" w:lineRule="auto"/>
        <w:ind w:left="0"/>
        <w:rPr>
          <w:snapToGrid w:val="0"/>
          <w:sz w:val="22"/>
          <w:szCs w:val="22"/>
        </w:rPr>
      </w:pPr>
    </w:p>
    <w:p w14:paraId="2185AC25" w14:textId="645921B3" w:rsidR="006940E8" w:rsidRDefault="006940E8" w:rsidP="006940E8">
      <w:pPr>
        <w:autoSpaceDE w:val="0"/>
        <w:autoSpaceDN w:val="0"/>
        <w:adjustRightInd w:val="0"/>
        <w:spacing w:before="120" w:line="240" w:lineRule="auto"/>
        <w:ind w:left="0"/>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14:paraId="4A6ECAFC" w14:textId="6D94D1B2" w:rsidR="006940E8" w:rsidRDefault="006940E8" w:rsidP="005674FE">
      <w:pPr>
        <w:autoSpaceDE w:val="0"/>
        <w:autoSpaceDN w:val="0"/>
        <w:adjustRightInd w:val="0"/>
        <w:spacing w:before="120" w:line="240" w:lineRule="auto"/>
        <w:ind w:left="0"/>
        <w:rPr>
          <w:snapToGrid w:val="0"/>
          <w:sz w:val="22"/>
          <w:szCs w:val="22"/>
        </w:rPr>
      </w:pPr>
    </w:p>
    <w:p w14:paraId="41D4E98F" w14:textId="77777777" w:rsidR="006940E8" w:rsidRPr="00AF7985" w:rsidRDefault="006940E8" w:rsidP="005674FE">
      <w:pPr>
        <w:tabs>
          <w:tab w:val="clear" w:pos="567"/>
        </w:tabs>
        <w:snapToGrid/>
        <w:spacing w:line="240" w:lineRule="auto"/>
        <w:ind w:left="0"/>
        <w:jc w:val="left"/>
        <w:rPr>
          <w:i/>
          <w:iCs/>
          <w:color w:val="3366FF"/>
          <w:sz w:val="24"/>
          <w:szCs w:val="24"/>
        </w:rPr>
      </w:pPr>
      <w:r>
        <w:br w:type="page"/>
      </w:r>
    </w:p>
    <w:p w14:paraId="695E7A85" w14:textId="77777777" w:rsidR="004325DC" w:rsidRPr="00B41FAD" w:rsidRDefault="00235024" w:rsidP="004A78E2">
      <w:pPr>
        <w:pStyle w:val="Titcoul"/>
        <w:spacing w:before="0"/>
      </w:pPr>
      <w:bookmarkStart w:id="7" w:name="_Toc238963205"/>
      <w:bookmarkStart w:id="8" w:name="_Toc241065091"/>
      <w:bookmarkStart w:id="9" w:name="_Toc301443347"/>
      <w:bookmarkStart w:id="10" w:name="_Toc321406990"/>
      <w:bookmarkStart w:id="11" w:name="_Toc354486614"/>
      <w:bookmarkStart w:id="12" w:name="_Toc354486920"/>
      <w:bookmarkStart w:id="13" w:name="_Toc247360191"/>
      <w:r w:rsidRPr="00B41FAD">
        <w:lastRenderedPageBreak/>
        <w:t>6</w:t>
      </w:r>
      <w:r w:rsidR="00C10A1F" w:rsidRPr="00B41FAD">
        <w:t>.1</w:t>
      </w:r>
      <w:bookmarkEnd w:id="7"/>
      <w:bookmarkEnd w:id="8"/>
      <w:r w:rsidR="009270A5" w:rsidRPr="00B41FAD">
        <w:tab/>
      </w:r>
      <w:bookmarkStart w:id="14" w:name="_Toc238963206"/>
      <w:bookmarkStart w:id="15" w:name="_Toc241065092"/>
      <w:r w:rsidR="00C10A1F" w:rsidRPr="00B41FAD">
        <w:t xml:space="preserve">Identification et </w:t>
      </w:r>
      <w:r w:rsidR="00AE482C" w:rsidRPr="00B41FAD">
        <w:t>inventaire</w:t>
      </w:r>
      <w:r w:rsidR="00393E53" w:rsidRPr="00B41FAD">
        <w:t>s</w:t>
      </w:r>
      <w:r w:rsidR="00EA1FE1" w:rsidRPr="00B41FAD">
        <w:t> :</w:t>
      </w:r>
      <w:r w:rsidR="00C10A1F" w:rsidRPr="00B41FAD">
        <w:t xml:space="preserve"> obligations</w:t>
      </w:r>
      <w:bookmarkEnd w:id="9"/>
      <w:bookmarkEnd w:id="10"/>
      <w:bookmarkEnd w:id="11"/>
      <w:bookmarkEnd w:id="12"/>
      <w:bookmarkEnd w:id="13"/>
      <w:bookmarkEnd w:id="14"/>
      <w:bookmarkEnd w:id="15"/>
    </w:p>
    <w:p w14:paraId="688F3700" w14:textId="77777777" w:rsidR="004325DC" w:rsidRPr="00B41FAD" w:rsidRDefault="000A5422" w:rsidP="00914287">
      <w:pPr>
        <w:pStyle w:val="Texte1"/>
      </w:pPr>
      <w:r w:rsidRPr="00B41FAD">
        <w:t>Il appartient à c</w:t>
      </w:r>
      <w:r w:rsidR="00C10A1F" w:rsidRPr="00B41FAD">
        <w:t>haque État partie d</w:t>
      </w:r>
      <w:r w:rsidRPr="00B41FAD">
        <w:t>e</w:t>
      </w:r>
      <w:r w:rsidR="00C10A1F" w:rsidRPr="00B41FAD">
        <w:t xml:space="preserve"> dresser</w:t>
      </w:r>
      <w:r w:rsidR="00043DFF" w:rsidRPr="00B41FAD">
        <w:t xml:space="preserve"> « </w:t>
      </w:r>
      <w:r w:rsidR="00C10A1F" w:rsidRPr="00B41FAD">
        <w:t>de façon adaptée à sa situation, un ou plusieurs inventaires du patrimoine culturel immatériel présent sur son territoire</w:t>
      </w:r>
      <w:r w:rsidR="00043DFF" w:rsidRPr="00B41FAD">
        <w:t xml:space="preserve"> » </w:t>
      </w:r>
      <w:r w:rsidR="00C10A1F" w:rsidRPr="00B41FAD">
        <w:t>(</w:t>
      </w:r>
      <w:r w:rsidR="00043DFF" w:rsidRPr="00B41FAD">
        <w:t>article </w:t>
      </w:r>
      <w:r w:rsidR="00C10A1F" w:rsidRPr="00B41FAD">
        <w:t>12)</w:t>
      </w:r>
      <w:r w:rsidR="00677F0E">
        <w:t>.</w:t>
      </w:r>
      <w:r w:rsidR="00C10A1F" w:rsidRPr="00B41FAD">
        <w:t xml:space="preserve"> </w:t>
      </w:r>
      <w:r w:rsidR="00677F0E">
        <w:t>L</w:t>
      </w:r>
      <w:r w:rsidR="00C10A1F" w:rsidRPr="00B41FAD">
        <w:t>es éléments concernés</w:t>
      </w:r>
      <w:r w:rsidR="00043DFF" w:rsidRPr="00B41FAD">
        <w:t xml:space="preserve"> </w:t>
      </w:r>
      <w:r w:rsidR="00677F0E">
        <w:t xml:space="preserve">doivent être identifiés </w:t>
      </w:r>
      <w:r w:rsidR="00043DFF" w:rsidRPr="00B41FAD">
        <w:t>« </w:t>
      </w:r>
      <w:r w:rsidR="00C10A1F" w:rsidRPr="00B41FAD">
        <w:t>avec la participation des communautés, des groupes et des organisations non gouvernementales pertinentes</w:t>
      </w:r>
      <w:r w:rsidR="00043DFF" w:rsidRPr="00B41FAD">
        <w:t xml:space="preserve"> » </w:t>
      </w:r>
      <w:r w:rsidR="00C10A1F" w:rsidRPr="00B41FAD">
        <w:t>(</w:t>
      </w:r>
      <w:r w:rsidR="00043DFF" w:rsidRPr="00B41FAD">
        <w:t>article </w:t>
      </w:r>
      <w:r w:rsidR="00C10A1F" w:rsidRPr="00B41FAD">
        <w:t>11(b)).</w:t>
      </w:r>
    </w:p>
    <w:p w14:paraId="593DF069" w14:textId="16AC5BD5" w:rsidR="004325DC" w:rsidRPr="00B41FAD" w:rsidRDefault="00C10A1F" w:rsidP="00914287">
      <w:pPr>
        <w:pStyle w:val="Texte1"/>
      </w:pPr>
      <w:r w:rsidRPr="00B41FAD">
        <w:t>La préparation d</w:t>
      </w:r>
      <w:r w:rsidR="00A61E6D" w:rsidRPr="00B41FAD">
        <w:t>’</w:t>
      </w:r>
      <w:r w:rsidRPr="00B41FAD">
        <w:t>inventaire</w:t>
      </w:r>
      <w:r w:rsidR="00DD501A" w:rsidRPr="00B41FAD">
        <w:t>s</w:t>
      </w:r>
      <w:r w:rsidRPr="00B41FAD">
        <w:t xml:space="preserve"> est une responsabilité des États parties </w:t>
      </w:r>
      <w:r w:rsidR="000A5422" w:rsidRPr="00B41FAD">
        <w:t>à</w:t>
      </w:r>
      <w:r w:rsidRPr="00B41FAD">
        <w:t xml:space="preserve"> la Convention, </w:t>
      </w:r>
      <w:r w:rsidR="000A5422" w:rsidRPr="00B41FAD">
        <w:t>ce qui</w:t>
      </w:r>
      <w:r w:rsidRPr="00B41FAD">
        <w:t xml:space="preserve"> ne veut pas dire </w:t>
      </w:r>
      <w:r w:rsidR="000A5422" w:rsidRPr="00B41FAD">
        <w:t xml:space="preserve">pour autant </w:t>
      </w:r>
      <w:r w:rsidRPr="00B41FAD">
        <w:t>que ce sont forcément le</w:t>
      </w:r>
      <w:r w:rsidR="00090CE0" w:rsidRPr="00B41FAD">
        <w:t>s agences gouvernementales qui l’assument</w:t>
      </w:r>
      <w:r w:rsidRPr="00B41FAD">
        <w:t>. Certains processus d</w:t>
      </w:r>
      <w:r w:rsidR="00A61E6D" w:rsidRPr="00B41FAD">
        <w:t>’</w:t>
      </w:r>
      <w:r w:rsidRPr="00B41FAD">
        <w:t>inventaire sont menés par les communautés concernées, d</w:t>
      </w:r>
      <w:r w:rsidR="00A61E6D" w:rsidRPr="00B41FAD">
        <w:t>’</w:t>
      </w:r>
      <w:r w:rsidR="00090CE0" w:rsidRPr="00B41FAD">
        <w:t>autres</w:t>
      </w:r>
      <w:r w:rsidR="0070592E" w:rsidRPr="00B41FAD">
        <w:t xml:space="preserve"> </w:t>
      </w:r>
      <w:r w:rsidRPr="00B41FAD">
        <w:t xml:space="preserve">par diverses </w:t>
      </w:r>
      <w:r w:rsidR="000A5422" w:rsidRPr="00B41FAD">
        <w:t>instan</w:t>
      </w:r>
      <w:r w:rsidRPr="00B41FAD">
        <w:t xml:space="preserve">ces, mais dans tous les cas, </w:t>
      </w:r>
      <w:r w:rsidR="00314A84" w:rsidRPr="00B41FAD">
        <w:t>comme le dispose</w:t>
      </w:r>
      <w:r w:rsidR="00AE482C" w:rsidRPr="00B41FAD">
        <w:t xml:space="preserve"> la Convention (voir articles 11(b) et 15),</w:t>
      </w:r>
      <w:r w:rsidR="00314A84" w:rsidRPr="00B41FAD">
        <w:t xml:space="preserve"> il convient de dresser</w:t>
      </w:r>
      <w:r w:rsidR="00AE482C" w:rsidRPr="00B41FAD">
        <w:t xml:space="preserve"> </w:t>
      </w:r>
      <w:r w:rsidRPr="00B41FAD">
        <w:t>les inventaires avec la participation et le consentement des communautés</w:t>
      </w:r>
      <w:r w:rsidR="00447076" w:rsidRPr="00B41FAD">
        <w:t xml:space="preserve">. </w:t>
      </w:r>
      <w:r w:rsidRPr="00B41FAD">
        <w:t xml:space="preserve">Les inventaires </w:t>
      </w:r>
      <w:r w:rsidR="00314A84" w:rsidRPr="00B41FAD">
        <w:t>compil</w:t>
      </w:r>
      <w:r w:rsidRPr="00B41FAD">
        <w:t xml:space="preserve">és sans </w:t>
      </w:r>
      <w:r w:rsidR="00314A84" w:rsidRPr="00B41FAD">
        <w:t>l’</w:t>
      </w:r>
      <w:r w:rsidRPr="00B41FAD">
        <w:t>intervention de l</w:t>
      </w:r>
      <w:r w:rsidR="00A61E6D" w:rsidRPr="00B41FAD">
        <w:t>’</w:t>
      </w:r>
      <w:r w:rsidRPr="00B41FAD">
        <w:t>État doivent être acceptés par l</w:t>
      </w:r>
      <w:r w:rsidR="00A61E6D" w:rsidRPr="00B41FAD">
        <w:t>’</w:t>
      </w:r>
      <w:r w:rsidRPr="00B41FAD">
        <w:t>État partie afin d</w:t>
      </w:r>
      <w:r w:rsidR="00A61E6D" w:rsidRPr="00B41FAD">
        <w:t>’</w:t>
      </w:r>
      <w:r w:rsidRPr="00B41FAD">
        <w:t>être reconnus en tant qu</w:t>
      </w:r>
      <w:r w:rsidR="00393E50" w:rsidRPr="00B41FAD">
        <w:t>e tels</w:t>
      </w:r>
      <w:r w:rsidRPr="00B41FAD">
        <w:t xml:space="preserve"> au titre de la </w:t>
      </w:r>
      <w:r w:rsidRPr="00AF22F0">
        <w:t>Convention</w:t>
      </w:r>
      <w:r w:rsidR="0071078B" w:rsidRPr="00AF22F0">
        <w:t xml:space="preserve"> pour les listes internationales (article</w:t>
      </w:r>
      <w:r w:rsidR="00F42380" w:rsidRPr="00AF22F0">
        <w:t>s</w:t>
      </w:r>
      <w:r w:rsidR="0071078B" w:rsidRPr="00AF22F0">
        <w:t xml:space="preserve"> 16 et 17)</w:t>
      </w:r>
      <w:r w:rsidRPr="00AF22F0">
        <w:t xml:space="preserve">. </w:t>
      </w:r>
      <w:r w:rsidR="00E701AD" w:rsidRPr="00B41FAD">
        <w:t>Comme indiqué explicitement à l</w:t>
      </w:r>
      <w:r w:rsidR="00A61E6D" w:rsidRPr="00B41FAD">
        <w:t>’</w:t>
      </w:r>
      <w:r w:rsidR="00043DFF" w:rsidRPr="00B41FAD">
        <w:t>article </w:t>
      </w:r>
      <w:r w:rsidRPr="00B41FAD">
        <w:t>20 de la Convention</w:t>
      </w:r>
      <w:r w:rsidR="00E701AD" w:rsidRPr="00B41FAD">
        <w:t>,</w:t>
      </w:r>
      <w:r w:rsidRPr="00B41FAD">
        <w:t xml:space="preserve"> l</w:t>
      </w:r>
      <w:r w:rsidR="00A61E6D" w:rsidRPr="00B41FAD">
        <w:t>’</w:t>
      </w:r>
      <w:r w:rsidRPr="00B41FAD">
        <w:t>assistance internationale peut être accordée, entre autres, pour</w:t>
      </w:r>
      <w:r w:rsidR="00043DFF" w:rsidRPr="00B41FAD">
        <w:t xml:space="preserve"> « </w:t>
      </w:r>
      <w:r w:rsidRPr="00B41FAD">
        <w:t>la préparation d</w:t>
      </w:r>
      <w:r w:rsidR="00A61E6D" w:rsidRPr="00B41FAD">
        <w:t>’</w:t>
      </w:r>
      <w:r w:rsidRPr="00B41FAD">
        <w:t xml:space="preserve">inventaires au sens des </w:t>
      </w:r>
      <w:r w:rsidR="00043DFF" w:rsidRPr="00B41FAD">
        <w:t>articles </w:t>
      </w:r>
      <w:r w:rsidRPr="00B41FAD">
        <w:t>11 et</w:t>
      </w:r>
      <w:r w:rsidR="00953DB9" w:rsidRPr="00B41FAD">
        <w:t> </w:t>
      </w:r>
      <w:r w:rsidRPr="00B41FAD">
        <w:t>12</w:t>
      </w:r>
      <w:r w:rsidR="00461004" w:rsidRPr="00B41FAD">
        <w:t> ».</w:t>
      </w:r>
    </w:p>
    <w:p w14:paraId="383CDE30" w14:textId="77777777" w:rsidR="004325DC" w:rsidRPr="00B41FAD" w:rsidRDefault="00C10A1F" w:rsidP="00914287">
      <w:pPr>
        <w:pStyle w:val="Texte1"/>
      </w:pPr>
      <w:r w:rsidRPr="00B41FAD">
        <w:t>Les États parties sont encouragés à créer un organisme consultatif ou un mécanisme de coordination pour faciliter la participation des communautés, des groupes et, le cas échéant, des indiv</w:t>
      </w:r>
      <w:r w:rsidR="00393E50" w:rsidRPr="00B41FAD">
        <w:t>idus (ainsi que des experts,</w:t>
      </w:r>
      <w:r w:rsidRPr="00B41FAD">
        <w:t xml:space="preserve"> centres d</w:t>
      </w:r>
      <w:r w:rsidR="00A61E6D" w:rsidRPr="00B41FAD">
        <w:t>’</w:t>
      </w:r>
      <w:r w:rsidR="00393E50" w:rsidRPr="00B41FAD">
        <w:t>expertise et</w:t>
      </w:r>
      <w:r w:rsidRPr="00B41FAD">
        <w:t xml:space="preserve"> instituts de recherche) à l</w:t>
      </w:r>
      <w:r w:rsidR="00A61E6D" w:rsidRPr="00B41FAD">
        <w:t>’</w:t>
      </w:r>
      <w:r w:rsidRPr="00B41FAD">
        <w:t>id</w:t>
      </w:r>
      <w:r w:rsidR="00393E50" w:rsidRPr="00B41FAD">
        <w:t>entification et l</w:t>
      </w:r>
      <w:r w:rsidR="00A61E6D" w:rsidRPr="00B41FAD">
        <w:t>’</w:t>
      </w:r>
      <w:r w:rsidR="00393E50" w:rsidRPr="00B41FAD">
        <w:t>inventaire</w:t>
      </w:r>
      <w:r w:rsidRPr="00B41FAD">
        <w:t xml:space="preserve"> de leur PCI (et </w:t>
      </w:r>
      <w:r w:rsidR="00393E50" w:rsidRPr="00B41FAD">
        <w:t>diverse</w:t>
      </w:r>
      <w:r w:rsidRPr="00B41FAD">
        <w:t>s autres activités) (</w:t>
      </w:r>
      <w:r w:rsidR="00461004" w:rsidRPr="00B41FAD">
        <w:t>DO</w:t>
      </w:r>
      <w:r w:rsidR="00AE482C" w:rsidRPr="00B41FAD">
        <w:t> 80</w:t>
      </w:r>
      <w:r w:rsidRPr="00B41FAD">
        <w:t>).</w:t>
      </w:r>
    </w:p>
    <w:p w14:paraId="12249C73" w14:textId="77777777" w:rsidR="004325DC" w:rsidRPr="00B41FAD" w:rsidRDefault="007A7D7D" w:rsidP="00914287">
      <w:pPr>
        <w:pStyle w:val="Texte1"/>
      </w:pPr>
      <w:r w:rsidRPr="00B41FAD">
        <w:t xml:space="preserve">L’inventoriage doit être un </w:t>
      </w:r>
      <w:r w:rsidR="00842069" w:rsidRPr="00B41FAD">
        <w:t>processus</w:t>
      </w:r>
      <w:r w:rsidR="00E63A81" w:rsidRPr="00B41FAD">
        <w:t xml:space="preserve"> </w:t>
      </w:r>
      <w:r w:rsidR="00AA3A6D" w:rsidRPr="00B41FAD">
        <w:t>permanent étant donné</w:t>
      </w:r>
      <w:r w:rsidR="00D23575" w:rsidRPr="00B41FAD">
        <w:t xml:space="preserve"> le</w:t>
      </w:r>
      <w:r w:rsidR="00C10A1F" w:rsidRPr="00B41FAD">
        <w:t xml:space="preserve"> grand nombre d</w:t>
      </w:r>
      <w:r w:rsidR="00A61E6D" w:rsidRPr="00B41FAD">
        <w:t>’</w:t>
      </w:r>
      <w:r w:rsidR="00C10A1F" w:rsidRPr="00B41FAD">
        <w:t xml:space="preserve">éléments du PCI </w:t>
      </w:r>
      <w:r w:rsidR="007A558A" w:rsidRPr="00B41FAD">
        <w:t>à</w:t>
      </w:r>
      <w:r w:rsidR="00C10A1F" w:rsidRPr="00B41FAD">
        <w:t xml:space="preserve"> invent</w:t>
      </w:r>
      <w:r w:rsidR="00842069" w:rsidRPr="00B41FAD">
        <w:t>orier</w:t>
      </w:r>
      <w:r w:rsidR="00C10A1F" w:rsidRPr="00B41FAD">
        <w:t xml:space="preserve"> dan</w:t>
      </w:r>
      <w:r w:rsidR="00AB313E" w:rsidRPr="00B41FAD">
        <w:t>s la plupart des pays du monde,</w:t>
      </w:r>
      <w:r w:rsidR="008647FE" w:rsidRPr="00B41FAD">
        <w:t xml:space="preserve"> </w:t>
      </w:r>
      <w:r w:rsidR="00AA3A6D" w:rsidRPr="00B41FAD">
        <w:t xml:space="preserve">de par </w:t>
      </w:r>
      <w:r w:rsidR="008647FE" w:rsidRPr="00B41FAD">
        <w:t>le</w:t>
      </w:r>
      <w:r w:rsidR="00C10A1F" w:rsidRPr="00B41FAD">
        <w:t xml:space="preserve"> </w:t>
      </w:r>
      <w:r w:rsidR="00CA73CB" w:rsidRPr="00B41FAD">
        <w:t xml:space="preserve">caractère </w:t>
      </w:r>
      <w:r w:rsidR="00842069" w:rsidRPr="00B41FAD">
        <w:t xml:space="preserve">du PCI </w:t>
      </w:r>
      <w:r w:rsidR="00CA73CB" w:rsidRPr="00B41FAD">
        <w:t xml:space="preserve">en perpétuelle </w:t>
      </w:r>
      <w:r w:rsidR="0007031B" w:rsidRPr="00B41FAD">
        <w:t>muta</w:t>
      </w:r>
      <w:r w:rsidR="00CA73CB" w:rsidRPr="00B41FAD">
        <w:t>tion</w:t>
      </w:r>
      <w:r w:rsidR="00AB313E" w:rsidRPr="00B41FAD">
        <w:t xml:space="preserve"> (et</w:t>
      </w:r>
      <w:r w:rsidR="00C10A1F" w:rsidRPr="00B41FAD">
        <w:t xml:space="preserve"> </w:t>
      </w:r>
      <w:r w:rsidR="0007031B" w:rsidRPr="00B41FAD">
        <w:t xml:space="preserve">l’évolution de sa </w:t>
      </w:r>
      <w:r w:rsidR="00AB313E" w:rsidRPr="00B41FAD">
        <w:t>viabilité) et</w:t>
      </w:r>
      <w:r w:rsidR="00C10A1F" w:rsidRPr="00B41FAD">
        <w:t xml:space="preserve"> la nécessité d</w:t>
      </w:r>
      <w:r w:rsidR="00A61E6D" w:rsidRPr="00B41FAD">
        <w:t>’</w:t>
      </w:r>
      <w:r w:rsidR="0007031B" w:rsidRPr="00B41FAD">
        <w:t>une mise à jour régulière des inventaires</w:t>
      </w:r>
      <w:r w:rsidR="00C10A1F" w:rsidRPr="00B41FAD">
        <w:t>.</w:t>
      </w:r>
    </w:p>
    <w:p w14:paraId="2192A66B" w14:textId="329DCBFC" w:rsidR="004325DC" w:rsidRPr="00B41FAD" w:rsidRDefault="00235024">
      <w:pPr>
        <w:pStyle w:val="Titcoul"/>
      </w:pPr>
      <w:bookmarkStart w:id="16" w:name="_Toc238963207"/>
      <w:bookmarkStart w:id="17" w:name="_Toc241065093"/>
      <w:bookmarkStart w:id="18" w:name="_Toc301443348"/>
      <w:bookmarkStart w:id="19" w:name="_Toc321406991"/>
      <w:bookmarkStart w:id="20" w:name="_Toc354486615"/>
      <w:bookmarkStart w:id="21" w:name="_Toc354486921"/>
      <w:bookmarkStart w:id="22" w:name="_Toc247360192"/>
      <w:r w:rsidRPr="00B41FAD">
        <w:t>6</w:t>
      </w:r>
      <w:r w:rsidR="00C10A1F" w:rsidRPr="00B41FAD">
        <w:t>.2</w:t>
      </w:r>
      <w:bookmarkEnd w:id="16"/>
      <w:bookmarkEnd w:id="17"/>
      <w:r w:rsidR="009270A5" w:rsidRPr="00B41FAD">
        <w:tab/>
      </w:r>
      <w:bookmarkStart w:id="23" w:name="_Toc238963208"/>
      <w:bookmarkStart w:id="24" w:name="_Toc241065094"/>
      <w:r w:rsidR="00D915D7" w:rsidRPr="00B41FAD">
        <w:t>But</w:t>
      </w:r>
      <w:r w:rsidR="00C10A1F" w:rsidRPr="00B41FAD">
        <w:t xml:space="preserve"> et </w:t>
      </w:r>
      <w:r w:rsidR="00AF22F0">
        <w:t xml:space="preserve">EFFETS </w:t>
      </w:r>
      <w:r w:rsidR="00C10A1F" w:rsidRPr="00B41FAD">
        <w:t>du travail d</w:t>
      </w:r>
      <w:r w:rsidR="00A61E6D" w:rsidRPr="00B41FAD">
        <w:t>’</w:t>
      </w:r>
      <w:r w:rsidR="00C10A1F" w:rsidRPr="00B41FAD">
        <w:t>inventaire</w:t>
      </w:r>
      <w:bookmarkEnd w:id="18"/>
      <w:bookmarkEnd w:id="19"/>
      <w:bookmarkEnd w:id="20"/>
      <w:bookmarkEnd w:id="21"/>
      <w:bookmarkEnd w:id="22"/>
      <w:bookmarkEnd w:id="23"/>
      <w:bookmarkEnd w:id="24"/>
    </w:p>
    <w:p w14:paraId="12072B05" w14:textId="77777777" w:rsidR="004325DC" w:rsidRPr="00B41FAD" w:rsidRDefault="00A10413" w:rsidP="00914287">
      <w:pPr>
        <w:pStyle w:val="Texte1"/>
      </w:pPr>
      <w:r w:rsidRPr="00B41FAD">
        <w:t>Si l</w:t>
      </w:r>
      <w:r w:rsidR="00CA1C13" w:rsidRPr="00B41FAD">
        <w:t>’</w:t>
      </w:r>
      <w:r w:rsidR="007B0841" w:rsidRPr="00B41FAD">
        <w:t>invent</w:t>
      </w:r>
      <w:r w:rsidRPr="00B41FAD">
        <w:t>aire</w:t>
      </w:r>
      <w:r w:rsidR="00C10A1F" w:rsidRPr="00B41FAD">
        <w:t xml:space="preserve"> </w:t>
      </w:r>
      <w:r w:rsidRPr="00B41FAD">
        <w:t>répond</w:t>
      </w:r>
      <w:r w:rsidR="00892336" w:rsidRPr="00B41FAD">
        <w:t xml:space="preserve"> à</w:t>
      </w:r>
      <w:r w:rsidR="00C10A1F" w:rsidRPr="00B41FAD">
        <w:t xml:space="preserve"> </w:t>
      </w:r>
      <w:r w:rsidR="00892336" w:rsidRPr="00B41FAD">
        <w:t>d</w:t>
      </w:r>
      <w:r w:rsidR="00A463FB" w:rsidRPr="00B41FAD">
        <w:t>i</w:t>
      </w:r>
      <w:r w:rsidR="00224D7E" w:rsidRPr="00B41FAD">
        <w:t>ver</w:t>
      </w:r>
      <w:r w:rsidR="00892336" w:rsidRPr="00B41FAD">
        <w:t xml:space="preserve">s </w:t>
      </w:r>
      <w:r w:rsidR="00C10A1F" w:rsidRPr="00B41FAD">
        <w:t>objectifs</w:t>
      </w:r>
      <w:r w:rsidR="00661976" w:rsidRPr="00B41FAD">
        <w:t xml:space="preserve">, </w:t>
      </w:r>
      <w:r w:rsidRPr="00B41FAD">
        <w:t>il</w:t>
      </w:r>
      <w:r w:rsidR="00661976" w:rsidRPr="00B41FAD">
        <w:t xml:space="preserve"> ne constitue pas </w:t>
      </w:r>
      <w:r w:rsidR="00C10A1F" w:rsidRPr="00B41FAD">
        <w:t xml:space="preserve">une fin en soi. </w:t>
      </w:r>
      <w:r w:rsidRPr="00B41FAD">
        <w:t>Son</w:t>
      </w:r>
      <w:r w:rsidR="00224D7E" w:rsidRPr="00B41FAD">
        <w:t xml:space="preserve"> but doit être, en premier lieu, de </w:t>
      </w:r>
      <w:r w:rsidR="00C10A1F" w:rsidRPr="00B41FAD">
        <w:t>contribuer à la sauvegarde</w:t>
      </w:r>
      <w:r w:rsidR="00224D7E" w:rsidRPr="00B41FAD">
        <w:t xml:space="preserve"> du patrimoine</w:t>
      </w:r>
      <w:r w:rsidR="00C10A1F" w:rsidRPr="00B41FAD">
        <w:t xml:space="preserve"> (voir </w:t>
      </w:r>
      <w:r w:rsidR="00043DFF" w:rsidRPr="00B41FAD">
        <w:t>article </w:t>
      </w:r>
      <w:r w:rsidR="00C10A1F" w:rsidRPr="00B41FAD">
        <w:t xml:space="preserve">12), bien que </w:t>
      </w:r>
      <w:r w:rsidR="00224D7E" w:rsidRPr="00B41FAD">
        <w:t>d</w:t>
      </w:r>
      <w:r w:rsidR="00C10A1F" w:rsidRPr="00B41FAD">
        <w:t>es activités de sauvegarde puissent être entreprises pour des éléments qui ne sont pas (encore) in</w:t>
      </w:r>
      <w:r w:rsidR="0022230D" w:rsidRPr="00B41FAD">
        <w:t>scrits à l’</w:t>
      </w:r>
      <w:r w:rsidR="00C10A1F" w:rsidRPr="00B41FAD">
        <w:t>inventaire.</w:t>
      </w:r>
    </w:p>
    <w:p w14:paraId="380A119E" w14:textId="77777777" w:rsidR="004325DC" w:rsidRPr="00B41FAD" w:rsidRDefault="00C10A1F" w:rsidP="00914287">
      <w:pPr>
        <w:pStyle w:val="Texte1"/>
      </w:pPr>
      <w:r w:rsidRPr="00B41FAD">
        <w:t>L</w:t>
      </w:r>
      <w:r w:rsidR="00A61E6D" w:rsidRPr="00B41FAD">
        <w:t>’</w:t>
      </w:r>
      <w:r w:rsidR="0022230D" w:rsidRPr="00B41FAD">
        <w:t>identification d</w:t>
      </w:r>
      <w:r w:rsidR="006313AD" w:rsidRPr="00B41FAD">
        <w:t>’</w:t>
      </w:r>
      <w:r w:rsidRPr="00B41FAD">
        <w:t xml:space="preserve">éléments du PCI et leur inclusion dans un inventaire créeront </w:t>
      </w:r>
      <w:r w:rsidR="00323B75" w:rsidRPr="00B41FAD">
        <w:t>sans nul doute</w:t>
      </w:r>
      <w:r w:rsidRPr="00B41FAD">
        <w:t xml:space="preserve"> une prise de conscience </w:t>
      </w:r>
      <w:r w:rsidR="00BC3ED7" w:rsidRPr="00B41FAD">
        <w:t>accrue</w:t>
      </w:r>
      <w:r w:rsidR="00216D8E" w:rsidRPr="00B41FAD">
        <w:t xml:space="preserve"> </w:t>
      </w:r>
      <w:r w:rsidRPr="00B41FAD">
        <w:t xml:space="preserve">du PCI </w:t>
      </w:r>
      <w:r w:rsidR="006313AD" w:rsidRPr="00B41FAD">
        <w:t>en général</w:t>
      </w:r>
      <w:r w:rsidRPr="00B41FAD">
        <w:t xml:space="preserve"> et de ses éléments </w:t>
      </w:r>
      <w:r w:rsidR="00216D8E" w:rsidRPr="00B41FAD">
        <w:t>spécifiques</w:t>
      </w:r>
      <w:r w:rsidRPr="00B41FAD">
        <w:t>, tant à l</w:t>
      </w:r>
      <w:r w:rsidR="00A61E6D" w:rsidRPr="00B41FAD">
        <w:t>’</w:t>
      </w:r>
      <w:r w:rsidRPr="00B41FAD">
        <w:t>extérieur qu</w:t>
      </w:r>
      <w:r w:rsidR="00A61E6D" w:rsidRPr="00B41FAD">
        <w:t>’</w:t>
      </w:r>
      <w:r w:rsidRPr="00B41FAD">
        <w:t>au sein des communautés concernées. Cela peut avoir un</w:t>
      </w:r>
      <w:r w:rsidR="00216D8E" w:rsidRPr="00B41FAD">
        <w:t>e conséquence positive</w:t>
      </w:r>
      <w:r w:rsidRPr="00B41FAD">
        <w:t xml:space="preserve"> sur la viabilité des éléments i</w:t>
      </w:r>
      <w:r w:rsidR="00216D8E" w:rsidRPr="00B41FAD">
        <w:t>nventoriés</w:t>
      </w:r>
      <w:r w:rsidRPr="00B41FAD">
        <w:t xml:space="preserve"> et contr</w:t>
      </w:r>
      <w:r w:rsidR="005E6AC6" w:rsidRPr="00B41FAD">
        <w:t>ibuer</w:t>
      </w:r>
      <w:r w:rsidRPr="00B41FAD">
        <w:t xml:space="preserve"> par</w:t>
      </w:r>
      <w:r w:rsidR="005E6AC6" w:rsidRPr="00B41FAD">
        <w:t xml:space="preserve"> là même au bien-être collectif</w:t>
      </w:r>
      <w:r w:rsidRPr="00B41FAD">
        <w:t>.</w:t>
      </w:r>
    </w:p>
    <w:p w14:paraId="7552BA14" w14:textId="77777777" w:rsidR="004325DC" w:rsidRPr="00B41FAD" w:rsidRDefault="00C10A1F" w:rsidP="00914287">
      <w:pPr>
        <w:pStyle w:val="Texte1"/>
      </w:pPr>
      <w:r w:rsidRPr="00B41FAD">
        <w:t>Les me</w:t>
      </w:r>
      <w:r w:rsidR="004305D4" w:rsidRPr="00B41FAD">
        <w:t>mbres de la communauté</w:t>
      </w:r>
      <w:r w:rsidRPr="00B41FAD">
        <w:t xml:space="preserve"> peuvent manifester davantage d</w:t>
      </w:r>
      <w:r w:rsidR="00A61E6D" w:rsidRPr="00B41FAD">
        <w:t>’</w:t>
      </w:r>
      <w:r w:rsidRPr="00B41FAD">
        <w:t xml:space="preserve">intérêt et de fierté </w:t>
      </w:r>
      <w:r w:rsidR="00755A5D" w:rsidRPr="00B41FAD">
        <w:t>à l’égard de</w:t>
      </w:r>
      <w:r w:rsidRPr="00B41FAD">
        <w:t xml:space="preserve"> leur PCI grâce au processus d</w:t>
      </w:r>
      <w:r w:rsidR="00A61E6D" w:rsidRPr="00B41FAD">
        <w:t>’</w:t>
      </w:r>
      <w:r w:rsidRPr="00B41FAD">
        <w:t>inventaire et devenir ainsi plus motivés pour s</w:t>
      </w:r>
      <w:r w:rsidR="00A61E6D" w:rsidRPr="00B41FAD">
        <w:t>’</w:t>
      </w:r>
      <w:r w:rsidRPr="00B41FAD">
        <w:t xml:space="preserve">engager </w:t>
      </w:r>
      <w:r w:rsidR="00CE0F4D" w:rsidRPr="00B41FAD">
        <w:t>à poursuivre</w:t>
      </w:r>
      <w:r w:rsidRPr="00B41FAD">
        <w:t xml:space="preserve"> la représentation et la transmission des éléments concernés. La reconnaissance positive accordée à leur PCI à travers l</w:t>
      </w:r>
      <w:r w:rsidR="00CE0F4D" w:rsidRPr="00B41FAD">
        <w:t>’inventaire</w:t>
      </w:r>
      <w:r w:rsidRPr="00B41FAD">
        <w:t xml:space="preserve"> peut aussi stimuler le sens de l</w:t>
      </w:r>
      <w:r w:rsidR="00A61E6D" w:rsidRPr="00B41FAD">
        <w:t>’</w:t>
      </w:r>
      <w:r w:rsidRPr="00B41FAD">
        <w:t xml:space="preserve">identité et </w:t>
      </w:r>
      <w:r w:rsidR="00003B9D" w:rsidRPr="00B41FAD">
        <w:t xml:space="preserve">de </w:t>
      </w:r>
      <w:r w:rsidRPr="00B41FAD">
        <w:t>la conti</w:t>
      </w:r>
      <w:r w:rsidR="004305D4" w:rsidRPr="00B41FAD">
        <w:t>nuité des communautés</w:t>
      </w:r>
      <w:r w:rsidRPr="00B41FAD">
        <w:t>.</w:t>
      </w:r>
    </w:p>
    <w:p w14:paraId="01B98FC0" w14:textId="77777777" w:rsidR="004325DC" w:rsidRPr="00B41FAD" w:rsidRDefault="00C10A1F" w:rsidP="00914287">
      <w:pPr>
        <w:pStyle w:val="Texte1"/>
      </w:pPr>
      <w:r w:rsidRPr="00B41FAD">
        <w:t>L</w:t>
      </w:r>
      <w:r w:rsidR="00CA3120" w:rsidRPr="00B41FAD">
        <w:t>e</w:t>
      </w:r>
      <w:r w:rsidR="003A365A" w:rsidRPr="00B41FAD">
        <w:t xml:space="preserve">s </w:t>
      </w:r>
      <w:r w:rsidR="00DB3EDB" w:rsidRPr="00B41FAD">
        <w:t>opération</w:t>
      </w:r>
      <w:r w:rsidR="003A365A" w:rsidRPr="00B41FAD">
        <w:t>s</w:t>
      </w:r>
      <w:r w:rsidRPr="00B41FAD">
        <w:t xml:space="preserve"> </w:t>
      </w:r>
      <w:r w:rsidR="00F05069" w:rsidRPr="00B41FAD">
        <w:t>d’inventaire</w:t>
      </w:r>
      <w:r w:rsidR="003A365A" w:rsidRPr="00B41FAD">
        <w:t>s</w:t>
      </w:r>
      <w:r w:rsidR="00F05069" w:rsidRPr="00B41FAD">
        <w:t xml:space="preserve"> </w:t>
      </w:r>
      <w:r w:rsidR="00CA3120" w:rsidRPr="00B41FAD">
        <w:t>doi</w:t>
      </w:r>
      <w:r w:rsidR="003A365A" w:rsidRPr="00B41FAD">
        <w:t>ven</w:t>
      </w:r>
      <w:r w:rsidR="00CA3120" w:rsidRPr="00B41FAD">
        <w:t>t obéir à</w:t>
      </w:r>
      <w:r w:rsidR="00F05069" w:rsidRPr="00B41FAD">
        <w:t xml:space="preserve"> un</w:t>
      </w:r>
      <w:r w:rsidR="00CA3120" w:rsidRPr="00B41FAD">
        <w:t>e démarche</w:t>
      </w:r>
      <w:r w:rsidRPr="00B41FAD">
        <w:t xml:space="preserve"> </w:t>
      </w:r>
      <w:r w:rsidR="00CA3120" w:rsidRPr="00B41FAD">
        <w:t>participative</w:t>
      </w:r>
      <w:r w:rsidRPr="00B41FAD">
        <w:t xml:space="preserve"> </w:t>
      </w:r>
      <w:r w:rsidR="00CA3120" w:rsidRPr="00B41FAD">
        <w:t>et inclusive</w:t>
      </w:r>
      <w:r w:rsidRPr="00B41FAD">
        <w:t>. Le</w:t>
      </w:r>
      <w:r w:rsidR="008C1945" w:rsidRPr="00B41FAD">
        <w:t xml:space="preserve"> proc</w:t>
      </w:r>
      <w:r w:rsidR="0005026D" w:rsidRPr="00B41FAD">
        <w:t>essus</w:t>
      </w:r>
      <w:r w:rsidR="008C1945" w:rsidRPr="00B41FAD">
        <w:t xml:space="preserve"> </w:t>
      </w:r>
      <w:r w:rsidRPr="00B41FAD">
        <w:t>d</w:t>
      </w:r>
      <w:r w:rsidR="00A61E6D" w:rsidRPr="00B41FAD">
        <w:t>’</w:t>
      </w:r>
      <w:r w:rsidRPr="00B41FAD">
        <w:t xml:space="preserve">identification et </w:t>
      </w:r>
      <w:r w:rsidR="0005026D" w:rsidRPr="00B41FAD">
        <w:t>d’</w:t>
      </w:r>
      <w:r w:rsidR="008C1945" w:rsidRPr="00B41FAD">
        <w:t>inventaire peut ainsi</w:t>
      </w:r>
      <w:r w:rsidRPr="00B41FAD">
        <w:t xml:space="preserve"> </w:t>
      </w:r>
      <w:r w:rsidR="0005026D" w:rsidRPr="00B41FAD">
        <w:t>aide</w:t>
      </w:r>
      <w:r w:rsidRPr="00B41FAD">
        <w:t xml:space="preserve">r à établir de bonnes relations </w:t>
      </w:r>
      <w:r w:rsidRPr="00B41FAD">
        <w:lastRenderedPageBreak/>
        <w:t>entre les communautés, les agences gouvernementales à différents ni</w:t>
      </w:r>
      <w:r w:rsidR="00B45A1A" w:rsidRPr="00B41FAD">
        <w:t xml:space="preserve">veaux et </w:t>
      </w:r>
      <w:r w:rsidR="00DB3EDB" w:rsidRPr="00B41FAD">
        <w:t xml:space="preserve">tous </w:t>
      </w:r>
      <w:r w:rsidR="00B45A1A" w:rsidRPr="00B41FAD">
        <w:t>les acteurs susceptibles d’être impliqués</w:t>
      </w:r>
      <w:r w:rsidRPr="00B41FAD">
        <w:t xml:space="preserve"> dans la gestion ou la sauvegarde des éléments inventoriés.</w:t>
      </w:r>
    </w:p>
    <w:p w14:paraId="7D63EA3E" w14:textId="48A27AAA" w:rsidR="008A1AF9" w:rsidRDefault="00925918" w:rsidP="008A1AF9">
      <w:pPr>
        <w:pStyle w:val="Texte1"/>
      </w:pPr>
      <w:r w:rsidRPr="00B41FAD">
        <w:t>L</w:t>
      </w:r>
      <w:r w:rsidR="00C10A1F" w:rsidRPr="00B41FAD">
        <w:t>e processus d</w:t>
      </w:r>
      <w:r w:rsidR="00A61E6D" w:rsidRPr="00B41FAD">
        <w:t>’</w:t>
      </w:r>
      <w:r w:rsidR="008048AB" w:rsidRPr="00B41FAD">
        <w:t>inventaire peut</w:t>
      </w:r>
      <w:r w:rsidR="00791B57" w:rsidRPr="00B41FAD">
        <w:t xml:space="preserve"> </w:t>
      </w:r>
      <w:r w:rsidR="00C10A1F" w:rsidRPr="00B41FAD">
        <w:t xml:space="preserve">contribuer à la sauvegarde du PCI, </w:t>
      </w:r>
      <w:r w:rsidR="00791B57" w:rsidRPr="00B41FAD">
        <w:t>mais plus largement</w:t>
      </w:r>
      <w:r w:rsidR="00C10A1F" w:rsidRPr="00B41FAD">
        <w:t xml:space="preserve"> </w:t>
      </w:r>
      <w:r w:rsidR="00791B57" w:rsidRPr="00B41FAD">
        <w:t xml:space="preserve">encore </w:t>
      </w:r>
      <w:r w:rsidR="00C10A1F" w:rsidRPr="00B41FAD">
        <w:t xml:space="preserve">au développement durable, à la bonne gouvernance, à la cohésion </w:t>
      </w:r>
      <w:r w:rsidR="00791B57" w:rsidRPr="00B41FAD">
        <w:t>sociale et au renforcement des</w:t>
      </w:r>
      <w:r w:rsidR="00C10A1F" w:rsidRPr="00B41FAD">
        <w:t xml:space="preserve"> communauté</w:t>
      </w:r>
      <w:r w:rsidR="00791B57" w:rsidRPr="00B41FAD">
        <w:t>s</w:t>
      </w:r>
      <w:r w:rsidR="00C10A1F" w:rsidRPr="00B41FAD">
        <w:t>.</w:t>
      </w:r>
    </w:p>
    <w:p w14:paraId="54A13CB3" w14:textId="0212D3F2" w:rsidR="008A1AF9" w:rsidRPr="006940E8" w:rsidRDefault="008A1AF9" w:rsidP="00AF22F0">
      <w:pPr>
        <w:pStyle w:val="Key"/>
        <w:rPr>
          <w:lang w:val="fr-FR"/>
        </w:rPr>
      </w:pPr>
      <w:r w:rsidRPr="006940E8">
        <w:rPr>
          <w:lang w:val="fr-FR"/>
        </w:rPr>
        <w:t>6.2.5</w:t>
      </w:r>
      <w:r w:rsidRPr="006940E8">
        <w:rPr>
          <w:lang w:val="fr-FR"/>
        </w:rPr>
        <w:tab/>
        <w:t>DYNAMIQUE</w:t>
      </w:r>
      <w:r w:rsidR="003A550C" w:rsidRPr="006940E8">
        <w:rPr>
          <w:lang w:val="fr-FR"/>
        </w:rPr>
        <w:t>S</w:t>
      </w:r>
      <w:r w:rsidRPr="006940E8">
        <w:rPr>
          <w:lang w:val="fr-FR"/>
        </w:rPr>
        <w:t xml:space="preserve"> DE GENRE, IDENTIFICATION ET INVENTAIRE</w:t>
      </w:r>
      <w:r w:rsidR="00794F60" w:rsidRPr="006940E8">
        <w:rPr>
          <w:lang w:val="fr-FR"/>
        </w:rPr>
        <w:t>S</w:t>
      </w:r>
    </w:p>
    <w:p w14:paraId="7D1E4F92" w14:textId="750158EA" w:rsidR="008A1AF9" w:rsidRPr="00AF22F0" w:rsidRDefault="003A550C" w:rsidP="00914287">
      <w:pPr>
        <w:pStyle w:val="Texte1"/>
      </w:pPr>
      <w:r w:rsidRPr="00AF22F0">
        <w:t>Il importe de prendre en compte les dynamiques de genre des éléments du PCI dans le processus d’identification et d’inventaire. Dans le cadre de ce processus, le dialogue sur la question du genre et « </w:t>
      </w:r>
      <w:r w:rsidR="00833FA7" w:rsidRPr="00AF22F0">
        <w:t xml:space="preserve">ses </w:t>
      </w:r>
      <w:r w:rsidRPr="00AF22F0">
        <w:t>» éléments du PCI doit être encouragé</w:t>
      </w:r>
      <w:r w:rsidR="00E73A04" w:rsidRPr="00AF22F0">
        <w:t xml:space="preserve"> au sein des communautés</w:t>
      </w:r>
      <w:r w:rsidRPr="00AF22F0">
        <w:t xml:space="preserve">, dans le but d’éviter les présupposés concernant les différences fondées sur le genre et de sensibiliser à la complexité des relations entre les </w:t>
      </w:r>
      <w:r w:rsidR="00F4148C" w:rsidRPr="00AF22F0">
        <w:t>hommes et les femmes</w:t>
      </w:r>
      <w:r w:rsidRPr="00AF22F0">
        <w:t xml:space="preserve">. Ce faisant, il </w:t>
      </w:r>
      <w:r w:rsidR="00980132" w:rsidRPr="00AF22F0">
        <w:t>est important</w:t>
      </w:r>
      <w:r w:rsidRPr="00AF22F0">
        <w:t xml:space="preserve"> de mettre en lumière les cont</w:t>
      </w:r>
      <w:r w:rsidR="00E81794" w:rsidRPr="00AF22F0">
        <w:t xml:space="preserve">extes multiples dans lesquels </w:t>
      </w:r>
      <w:r w:rsidR="00244A25" w:rsidRPr="00AF22F0">
        <w:t xml:space="preserve">intervient </w:t>
      </w:r>
      <w:r w:rsidR="00E81794" w:rsidRPr="00AF22F0">
        <w:t>la notion de</w:t>
      </w:r>
      <w:r w:rsidRPr="00AF22F0">
        <w:t xml:space="preserve"> genre et la manière dont </w:t>
      </w:r>
      <w:r w:rsidR="002F6ED7" w:rsidRPr="00AF22F0">
        <w:t>elle</w:t>
      </w:r>
      <w:r w:rsidRPr="00AF22F0">
        <w:t xml:space="preserve"> interagit avec d’autres catégories sociales telles que l’âge ou le statut professionnel.</w:t>
      </w:r>
    </w:p>
    <w:p w14:paraId="4076C6CA" w14:textId="1B7239CE" w:rsidR="00305B70" w:rsidRPr="00AF22F0" w:rsidRDefault="00C604D8" w:rsidP="00914287">
      <w:pPr>
        <w:pStyle w:val="Texte1"/>
      </w:pPr>
      <w:r w:rsidRPr="00AF22F0">
        <w:t>La contribution au PCI de groupes définis par le genre est parfois ignorée comme s’il ne s’agissait pas d’un « patrimoine » à valoriser et à sauvegarder</w:t>
      </w:r>
      <w:r w:rsidR="00942EE9" w:rsidRPr="00AF22F0">
        <w:t xml:space="preserve">, </w:t>
      </w:r>
      <w:r w:rsidR="008E5070" w:rsidRPr="00AF22F0">
        <w:t>ce qui rend</w:t>
      </w:r>
      <w:r w:rsidR="00595DC7" w:rsidRPr="00AF22F0">
        <w:t xml:space="preserve"> invisibles ou méconnues</w:t>
      </w:r>
      <w:r w:rsidR="00942EE9" w:rsidRPr="00AF22F0">
        <w:t xml:space="preserve"> </w:t>
      </w:r>
      <w:r w:rsidR="00595DC7" w:rsidRPr="00AF22F0">
        <w:t xml:space="preserve">au niveau national ou international </w:t>
      </w:r>
      <w:r w:rsidR="00942EE9" w:rsidRPr="00AF22F0">
        <w:t xml:space="preserve">les contributions des femmes et d’autres membres marginalisés (par exemple, une contribution au PCI est souvent écartée comme faisant simplement partie d’un rôle lié au genre – l’éducation des enfants, la production et la préparation de nourriture, le tissage des textiles, la poterie, etc…). </w:t>
      </w:r>
      <w:r w:rsidR="00734FC4" w:rsidRPr="00AF22F0">
        <w:t>Entretenir des</w:t>
      </w:r>
      <w:r w:rsidR="00942EE9" w:rsidRPr="00AF22F0">
        <w:t xml:space="preserve"> préjugé</w:t>
      </w:r>
      <w:r w:rsidR="00734FC4" w:rsidRPr="00AF22F0">
        <w:t>s</w:t>
      </w:r>
      <w:r w:rsidR="00942EE9" w:rsidRPr="00AF22F0">
        <w:t xml:space="preserve"> </w:t>
      </w:r>
      <w:r w:rsidR="00734FC4" w:rsidRPr="00AF22F0">
        <w:t>liés</w:t>
      </w:r>
      <w:r w:rsidR="00942EE9" w:rsidRPr="00AF22F0">
        <w:t xml:space="preserve"> au genre dans l’identification du PCI au niveau national comporte le risque d’occulter le patrimoine de certains groupes </w:t>
      </w:r>
      <w:r w:rsidR="00734FC4" w:rsidRPr="00AF22F0">
        <w:t>d’hommes ou de femmes</w:t>
      </w:r>
      <w:r w:rsidR="00942EE9" w:rsidRPr="00AF22F0">
        <w:t xml:space="preserve">. En d’autres occasions, les espaces dans lesquels est </w:t>
      </w:r>
      <w:r w:rsidR="008B5A92" w:rsidRPr="00AF22F0">
        <w:t>représenté</w:t>
      </w:r>
      <w:r w:rsidR="00942EE9" w:rsidRPr="00AF22F0">
        <w:t xml:space="preserve"> le PCI de groupes marginalisés en raison de leur genre</w:t>
      </w:r>
      <w:r w:rsidR="00DE0239" w:rsidRPr="00AF22F0">
        <w:t xml:space="preserve"> sont les seul</w:t>
      </w:r>
      <w:r w:rsidR="008B5A92" w:rsidRPr="00AF22F0">
        <w:t>s lieux dont</w:t>
      </w:r>
      <w:r w:rsidR="00DE0239" w:rsidRPr="00AF22F0">
        <w:t xml:space="preserve"> la société leur permet </w:t>
      </w:r>
      <w:r w:rsidR="008B5A92" w:rsidRPr="00AF22F0">
        <w:t>de faire usage</w:t>
      </w:r>
      <w:r w:rsidR="00DE0239" w:rsidRPr="00AF22F0">
        <w:t>.</w:t>
      </w:r>
      <w:r w:rsidR="00305B70" w:rsidRPr="00AF22F0">
        <w:t xml:space="preserve"> Lorsque le genre, le pouvoir et les dynami</w:t>
      </w:r>
      <w:r w:rsidR="00882F13" w:rsidRPr="00AF22F0">
        <w:t>ques sociales ne sont pas pris</w:t>
      </w:r>
      <w:r w:rsidR="00305B70" w:rsidRPr="00AF22F0">
        <w:t xml:space="preserve"> en </w:t>
      </w:r>
      <w:r w:rsidR="005B2471" w:rsidRPr="00AF22F0">
        <w:t>compte</w:t>
      </w:r>
      <w:r w:rsidR="00305B70" w:rsidRPr="00AF22F0">
        <w:t xml:space="preserve">, </w:t>
      </w:r>
      <w:r w:rsidR="009F6DF2" w:rsidRPr="00AF22F0">
        <w:t>un risque existe alors :</w:t>
      </w:r>
      <w:r w:rsidR="008D2C17" w:rsidRPr="00AF22F0">
        <w:t xml:space="preserve"> celui</w:t>
      </w:r>
      <w:r w:rsidR="00305B70" w:rsidRPr="00AF22F0">
        <w:t xml:space="preserve"> </w:t>
      </w:r>
      <w:r w:rsidR="00A800FE" w:rsidRPr="00AF22F0">
        <w:t>d’accepter de ma</w:t>
      </w:r>
      <w:r w:rsidR="00DE58BA" w:rsidRPr="00AF22F0">
        <w:t>rginaliser et d’</w:t>
      </w:r>
      <w:r w:rsidR="00A800FE" w:rsidRPr="00AF22F0">
        <w:t xml:space="preserve">exclure </w:t>
      </w:r>
      <w:r w:rsidR="00DE58BA" w:rsidRPr="00AF22F0">
        <w:t xml:space="preserve">ces groupes </w:t>
      </w:r>
      <w:r w:rsidR="00305B70" w:rsidRPr="00AF22F0">
        <w:t xml:space="preserve">de </w:t>
      </w:r>
      <w:r w:rsidR="00C33EAB" w:rsidRPr="00AF22F0">
        <w:t xml:space="preserve">la </w:t>
      </w:r>
      <w:r w:rsidR="00305B70" w:rsidRPr="00AF22F0">
        <w:t xml:space="preserve">participation et de </w:t>
      </w:r>
      <w:r w:rsidR="00C33EAB" w:rsidRPr="00AF22F0">
        <w:t xml:space="preserve">la </w:t>
      </w:r>
      <w:r w:rsidR="00305B70" w:rsidRPr="00AF22F0">
        <w:t xml:space="preserve">prise de décision. </w:t>
      </w:r>
    </w:p>
    <w:p w14:paraId="498EFA5A" w14:textId="5E2C4998" w:rsidR="00514DF4" w:rsidRPr="00AF22F0" w:rsidRDefault="00514DF4" w:rsidP="00914287">
      <w:pPr>
        <w:pStyle w:val="Texte1"/>
      </w:pPr>
      <w:r w:rsidRPr="00AF22F0">
        <w:t>L’inventaire du PCI risque de réduire au silence ou de représenter</w:t>
      </w:r>
      <w:r w:rsidR="00DB5F2C" w:rsidRPr="00AF22F0">
        <w:t xml:space="preserve"> de façon erronée</w:t>
      </w:r>
      <w:r w:rsidRPr="00AF22F0">
        <w:t xml:space="preserve"> la contribution </w:t>
      </w:r>
      <w:r w:rsidR="006E1DC8" w:rsidRPr="00AF22F0">
        <w:t xml:space="preserve">au PCI </w:t>
      </w:r>
      <w:r w:rsidRPr="00AF22F0">
        <w:t xml:space="preserve">des femmes et des groupes marginalisés. </w:t>
      </w:r>
      <w:r w:rsidR="00024B0F" w:rsidRPr="00AF22F0">
        <w:t xml:space="preserve">Selon la Convention, l’inventaire du PCI doit être entrepris avec la pleine participation des communautés concernées. </w:t>
      </w:r>
      <w:r w:rsidR="000921FF" w:rsidRPr="00AF22F0">
        <w:t>La</w:t>
      </w:r>
      <w:r w:rsidR="00024B0F" w:rsidRPr="00AF22F0">
        <w:t xml:space="preserve"> formation et le soutien de l’établissement d’inventaires impliquant les communautés nécessite</w:t>
      </w:r>
      <w:r w:rsidR="000921FF" w:rsidRPr="00AF22F0">
        <w:t>nt</w:t>
      </w:r>
      <w:r w:rsidR="00024B0F" w:rsidRPr="00AF22F0">
        <w:t xml:space="preserve"> </w:t>
      </w:r>
      <w:r w:rsidR="000921FF" w:rsidRPr="00AF22F0">
        <w:t xml:space="preserve">donc </w:t>
      </w:r>
      <w:r w:rsidR="00024B0F" w:rsidRPr="00AF22F0">
        <w:t xml:space="preserve">de prendre en compte si, et dans quelle mesure, la participation de la communauté concernée est pleinement représentative et non discriminatoire en </w:t>
      </w:r>
      <w:r w:rsidR="00C815E7" w:rsidRPr="00AF22F0">
        <w:t>termes</w:t>
      </w:r>
      <w:r w:rsidR="00024B0F" w:rsidRPr="00AF22F0">
        <w:t xml:space="preserve"> de genre.</w:t>
      </w:r>
      <w:r w:rsidR="00C815E7" w:rsidRPr="00AF22F0">
        <w:t xml:space="preserve"> </w:t>
      </w:r>
      <w:r w:rsidR="008966D8" w:rsidRPr="00AF22F0">
        <w:t xml:space="preserve">Un processus consultatif mené au niveau communautaire peut ouvrir </w:t>
      </w:r>
      <w:r w:rsidR="000921FF" w:rsidRPr="00AF22F0">
        <w:t>le</w:t>
      </w:r>
      <w:r w:rsidR="008966D8" w:rsidRPr="00AF22F0">
        <w:t xml:space="preserve"> dialogue </w:t>
      </w:r>
      <w:r w:rsidR="00D25489" w:rsidRPr="00AF22F0">
        <w:t>concernant les droits culturels</w:t>
      </w:r>
      <w:r w:rsidR="008966D8" w:rsidRPr="00AF22F0">
        <w:t xml:space="preserve"> par opposition aux droits </w:t>
      </w:r>
      <w:r w:rsidR="00D25489" w:rsidRPr="00AF22F0">
        <w:t>de la personne</w:t>
      </w:r>
      <w:r w:rsidR="008966D8" w:rsidRPr="00AF22F0">
        <w:t xml:space="preserve"> et à l’égalité hommes-femmes. </w:t>
      </w:r>
      <w:r w:rsidR="005E2CD3" w:rsidRPr="00AF22F0">
        <w:t>À</w:t>
      </w:r>
      <w:r w:rsidR="005F5B83" w:rsidRPr="00AF22F0">
        <w:t xml:space="preserve"> travers ce processus, il est possible d’identifier une palette plus </w:t>
      </w:r>
      <w:r w:rsidR="00F91F41" w:rsidRPr="00AF22F0">
        <w:t>vaste</w:t>
      </w:r>
      <w:r w:rsidR="005F5B83" w:rsidRPr="00AF22F0">
        <w:t xml:space="preserve"> de PCI et </w:t>
      </w:r>
      <w:r w:rsidR="00342D8C" w:rsidRPr="00AF22F0">
        <w:t>de mettre au</w:t>
      </w:r>
      <w:r w:rsidR="005F5B83" w:rsidRPr="00AF22F0">
        <w:t xml:space="preserve"> jour certains présupposés fondés sur le genre</w:t>
      </w:r>
      <w:r w:rsidR="00921596" w:rsidRPr="00AF22F0">
        <w:t>,</w:t>
      </w:r>
      <w:r w:rsidR="00060B48" w:rsidRPr="00AF22F0">
        <w:t xml:space="preserve"> </w:t>
      </w:r>
      <w:r w:rsidR="005F5B83" w:rsidRPr="00AF22F0">
        <w:t xml:space="preserve">sous-jacents </w:t>
      </w:r>
      <w:r w:rsidR="00291E21" w:rsidRPr="00AF22F0">
        <w:t>dans</w:t>
      </w:r>
      <w:r w:rsidR="005F5B83" w:rsidRPr="00AF22F0">
        <w:t xml:space="preserve"> la transmission et la sauvegarde.</w:t>
      </w:r>
    </w:p>
    <w:p w14:paraId="6C390A96" w14:textId="77777777" w:rsidR="00291E21" w:rsidRPr="00AF22F0" w:rsidRDefault="00291E21" w:rsidP="00914287">
      <w:pPr>
        <w:pStyle w:val="Texte1"/>
      </w:pPr>
    </w:p>
    <w:p w14:paraId="6357FAFA" w14:textId="18AC3298" w:rsidR="00291E21" w:rsidRPr="00AF22F0" w:rsidRDefault="00291E21" w:rsidP="00914287">
      <w:pPr>
        <w:pStyle w:val="Texte1"/>
      </w:pPr>
      <w:r w:rsidRPr="00AF22F0">
        <w:t>L’Unité 3 du Texte du participant, « Genre et PCI » ; les Unités 48 et 49 contiennent une formation spécifique et des conseils sur le genre et le PCI.</w:t>
      </w:r>
    </w:p>
    <w:p w14:paraId="7FEBEB3B" w14:textId="1739F374" w:rsidR="00291E21" w:rsidRDefault="00291E21" w:rsidP="00914287">
      <w:pPr>
        <w:pStyle w:val="Texte1"/>
        <w:rPr>
          <w:color w:val="00B050"/>
        </w:rPr>
      </w:pPr>
      <w:r w:rsidRPr="00AF22F0">
        <w:t>Voir également les principes éthiques, notamment le PE 11.</w:t>
      </w:r>
      <w:r w:rsidR="00BC095F" w:rsidRPr="00BC095F">
        <w:rPr>
          <w:noProof/>
          <w:color w:val="008000"/>
          <w:lang w:eastAsia="fr-FR"/>
        </w:rPr>
        <w:t xml:space="preserve"> </w:t>
      </w:r>
      <w:r w:rsidR="00BC095F" w:rsidRPr="00065C10">
        <w:rPr>
          <w:noProof/>
          <w:color w:val="008000"/>
          <w:lang w:eastAsia="zh-TW"/>
        </w:rPr>
        <w:drawing>
          <wp:anchor distT="0" distB="0" distL="114300" distR="114300" simplePos="0" relativeHeight="251860480" behindDoc="0" locked="1" layoutInCell="1" allowOverlap="0" wp14:anchorId="544D1490" wp14:editId="3D5068DA">
            <wp:simplePos x="0" y="0"/>
            <wp:positionH relativeFrom="margin">
              <wp:posOffset>47625</wp:posOffset>
            </wp:positionH>
            <wp:positionV relativeFrom="paragraph">
              <wp:posOffset>-380365</wp:posOffset>
            </wp:positionV>
            <wp:extent cx="283210" cy="358775"/>
            <wp:effectExtent l="0" t="0" r="0" b="0"/>
            <wp:wrapThrough wrapText="bothSides">
              <wp:wrapPolygon edited="0">
                <wp:start x="0" y="0"/>
                <wp:lineTo x="0" y="19880"/>
                <wp:lineTo x="19372" y="19880"/>
                <wp:lineTo x="19372" y="0"/>
                <wp:lineTo x="0" y="0"/>
              </wp:wrapPolygon>
            </wp:wrapThrough>
            <wp:docPr id="7"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49C64200" w14:textId="77777777" w:rsidR="005B2471" w:rsidRDefault="005B2471" w:rsidP="00914287">
      <w:pPr>
        <w:pStyle w:val="Texte1"/>
        <w:rPr>
          <w:color w:val="00B050"/>
        </w:rPr>
      </w:pPr>
    </w:p>
    <w:p w14:paraId="2921D89D" w14:textId="77777777" w:rsidR="004325DC" w:rsidRPr="00B41FAD" w:rsidRDefault="00235024" w:rsidP="007C119C">
      <w:pPr>
        <w:pStyle w:val="Titcoul"/>
      </w:pPr>
      <w:bookmarkStart w:id="25" w:name="_Toc238963209"/>
      <w:bookmarkStart w:id="26" w:name="_Toc241065095"/>
      <w:bookmarkStart w:id="27" w:name="_Toc301443349"/>
      <w:bookmarkStart w:id="28" w:name="_Toc321406992"/>
      <w:bookmarkStart w:id="29" w:name="_Toc354486616"/>
      <w:bookmarkStart w:id="30" w:name="_Toc354486922"/>
      <w:bookmarkStart w:id="31" w:name="_Toc247360193"/>
      <w:r w:rsidRPr="00B41FAD">
        <w:t>6</w:t>
      </w:r>
      <w:r w:rsidR="00C10A1F" w:rsidRPr="00B41FAD">
        <w:t>.3</w:t>
      </w:r>
      <w:bookmarkEnd w:id="25"/>
      <w:bookmarkEnd w:id="26"/>
      <w:r w:rsidR="009270A5" w:rsidRPr="00B41FAD">
        <w:tab/>
      </w:r>
      <w:bookmarkStart w:id="32" w:name="_Toc238963210"/>
      <w:bookmarkStart w:id="33" w:name="_Toc241065096"/>
      <w:r w:rsidR="00791B57" w:rsidRPr="00B41FAD">
        <w:t xml:space="preserve">marge de manœuvre et </w:t>
      </w:r>
      <w:r w:rsidR="00C10A1F" w:rsidRPr="00B41FAD">
        <w:t>Restrictions</w:t>
      </w:r>
      <w:bookmarkEnd w:id="27"/>
      <w:bookmarkEnd w:id="28"/>
      <w:bookmarkEnd w:id="29"/>
      <w:bookmarkEnd w:id="30"/>
      <w:bookmarkEnd w:id="31"/>
      <w:bookmarkEnd w:id="32"/>
      <w:bookmarkEnd w:id="33"/>
    </w:p>
    <w:p w14:paraId="127FB549" w14:textId="77777777" w:rsidR="004325DC" w:rsidRPr="00B41FAD" w:rsidRDefault="00C10A1F" w:rsidP="00914287">
      <w:pPr>
        <w:pStyle w:val="Texte1"/>
      </w:pPr>
      <w:r w:rsidRPr="00B41FAD">
        <w:t>Bien que l</w:t>
      </w:r>
      <w:r w:rsidR="006F0EA8" w:rsidRPr="00B41FAD">
        <w:t>’expression</w:t>
      </w:r>
      <w:r w:rsidR="00043DFF" w:rsidRPr="00B41FAD">
        <w:t xml:space="preserve"> « </w:t>
      </w:r>
      <w:r w:rsidRPr="00B41FAD">
        <w:t xml:space="preserve">de façon adaptée à sa </w:t>
      </w:r>
      <w:r w:rsidRPr="00B41FAD">
        <w:rPr>
          <w:iCs/>
        </w:rPr>
        <w:t>situation</w:t>
      </w:r>
      <w:r w:rsidR="00043DFF" w:rsidRPr="00B41FAD">
        <w:rPr>
          <w:iCs/>
        </w:rPr>
        <w:t xml:space="preserve"> » </w:t>
      </w:r>
      <w:r w:rsidRPr="00B41FAD">
        <w:rPr>
          <w:iCs/>
        </w:rPr>
        <w:t>(</w:t>
      </w:r>
      <w:r w:rsidR="00043DFF" w:rsidRPr="00B41FAD">
        <w:rPr>
          <w:iCs/>
        </w:rPr>
        <w:t>article </w:t>
      </w:r>
      <w:r w:rsidRPr="00B41FAD">
        <w:rPr>
          <w:iCs/>
        </w:rPr>
        <w:t xml:space="preserve">12.1) </w:t>
      </w:r>
      <w:r w:rsidR="006F0EA8" w:rsidRPr="00B41FAD">
        <w:t xml:space="preserve">laisse une marge de manœuvre considérable </w:t>
      </w:r>
      <w:r w:rsidR="009507EB" w:rsidRPr="00B41FAD">
        <w:t xml:space="preserve">aux États parties </w:t>
      </w:r>
      <w:r w:rsidR="00000455" w:rsidRPr="00B41FAD">
        <w:t>dans l</w:t>
      </w:r>
      <w:r w:rsidR="003A365A" w:rsidRPr="00B41FAD">
        <w:t>es pratiques</w:t>
      </w:r>
      <w:r w:rsidR="00000455" w:rsidRPr="00B41FAD">
        <w:t xml:space="preserve"> d’</w:t>
      </w:r>
      <w:r w:rsidR="009507EB" w:rsidRPr="00B41FAD">
        <w:t>inventaire</w:t>
      </w:r>
      <w:r w:rsidR="00000455" w:rsidRPr="00B41FAD">
        <w:t>s</w:t>
      </w:r>
      <w:r w:rsidRPr="00B41FAD">
        <w:t xml:space="preserve">, la Convention et les </w:t>
      </w:r>
      <w:r w:rsidR="00F27154">
        <w:t>Directives o</w:t>
      </w:r>
      <w:r w:rsidR="00677F0E">
        <w:t xml:space="preserve">pérationnelles </w:t>
      </w:r>
      <w:r w:rsidR="007D4F6D" w:rsidRPr="00B41FAD">
        <w:t>fourniss</w:t>
      </w:r>
      <w:r w:rsidRPr="00B41FAD">
        <w:t xml:space="preserve">ent quelques </w:t>
      </w:r>
      <w:r w:rsidR="007D4F6D" w:rsidRPr="00B41FAD">
        <w:t>orientat</w:t>
      </w:r>
      <w:r w:rsidRPr="00B41FAD">
        <w:t xml:space="preserve">ions. Elles </w:t>
      </w:r>
      <w:r w:rsidR="00784441" w:rsidRPr="00B41FAD">
        <w:t>précisent</w:t>
      </w:r>
      <w:r w:rsidRPr="00B41FAD">
        <w:t xml:space="preserve"> </w:t>
      </w:r>
      <w:r w:rsidR="00C32484" w:rsidRPr="00B41FAD">
        <w:t xml:space="preserve">notamment </w:t>
      </w:r>
      <w:r w:rsidRPr="00B41FAD">
        <w:t>que les inventaires</w:t>
      </w:r>
      <w:r w:rsidR="00784441" w:rsidRPr="00B41FAD">
        <w:t xml:space="preserve"> doivent</w:t>
      </w:r>
      <w:r w:rsidR="00EA1FE1" w:rsidRPr="00B41FAD">
        <w:t> :</w:t>
      </w:r>
    </w:p>
    <w:p w14:paraId="485A787A" w14:textId="77777777" w:rsidR="004325DC" w:rsidRPr="00B41FAD" w:rsidRDefault="00677F0E" w:rsidP="00AF22F0">
      <w:pPr>
        <w:pStyle w:val="Txtpucegras"/>
      </w:pPr>
      <w:r>
        <w:t>p</w:t>
      </w:r>
      <w:r w:rsidR="00C10A1F" w:rsidRPr="00B41FAD">
        <w:t xml:space="preserve">résenter des éléments </w:t>
      </w:r>
      <w:r w:rsidR="00C32484" w:rsidRPr="00B41FAD">
        <w:t>aya</w:t>
      </w:r>
      <w:r w:rsidR="00C10A1F" w:rsidRPr="00B41FAD">
        <w:t xml:space="preserve">nt été définis et identifiés avec la participation des communautés, des groupes et des </w:t>
      </w:r>
      <w:r>
        <w:t xml:space="preserve">organisations non gouvernementales </w:t>
      </w:r>
      <w:r w:rsidR="00C10A1F" w:rsidRPr="00B41FAD">
        <w:t>pertinentes (</w:t>
      </w:r>
      <w:r w:rsidR="00043DFF" w:rsidRPr="00B41FAD">
        <w:t>article </w:t>
      </w:r>
      <w:r w:rsidR="00C10A1F" w:rsidRPr="00B41FAD">
        <w:t>11(b))</w:t>
      </w:r>
      <w:r>
        <w:t> ;</w:t>
      </w:r>
    </w:p>
    <w:p w14:paraId="51CCBAAF" w14:textId="77777777" w:rsidR="004325DC" w:rsidRPr="00B41FAD" w:rsidRDefault="00677F0E" w:rsidP="00AF22F0">
      <w:pPr>
        <w:pStyle w:val="Txtpucegras"/>
      </w:pPr>
      <w:r>
        <w:t>ê</w:t>
      </w:r>
      <w:r w:rsidR="00C10A1F" w:rsidRPr="00B41FAD">
        <w:t xml:space="preserve">tre préparés avec la </w:t>
      </w:r>
      <w:r w:rsidR="00C32484" w:rsidRPr="00B41FAD">
        <w:t xml:space="preserve">participation la </w:t>
      </w:r>
      <w:r w:rsidR="00C10A1F" w:rsidRPr="00B41FAD">
        <w:t xml:space="preserve">plus large possible des communautés, </w:t>
      </w:r>
      <w:r w:rsidR="00977306" w:rsidRPr="00B41FAD">
        <w:t xml:space="preserve">des </w:t>
      </w:r>
      <w:r w:rsidR="00C10A1F" w:rsidRPr="00B41FAD">
        <w:t xml:space="preserve">groupes et </w:t>
      </w:r>
      <w:r w:rsidR="00977306" w:rsidRPr="00B41FAD">
        <w:t xml:space="preserve">des </w:t>
      </w:r>
      <w:r w:rsidR="00C10A1F" w:rsidRPr="00B41FAD">
        <w:t>individus concernés (</w:t>
      </w:r>
      <w:r w:rsidR="00461004" w:rsidRPr="00B41FAD">
        <w:t>DO </w:t>
      </w:r>
      <w:r w:rsidR="00C10A1F" w:rsidRPr="00B41FAD">
        <w:t>80)</w:t>
      </w:r>
      <w:r>
        <w:t> ;</w:t>
      </w:r>
    </w:p>
    <w:p w14:paraId="3622A7A9" w14:textId="77777777" w:rsidR="004325DC" w:rsidRPr="00B41FAD" w:rsidRDefault="00677F0E" w:rsidP="00AF22F0">
      <w:pPr>
        <w:pStyle w:val="Txtpucegras"/>
      </w:pPr>
      <w:proofErr w:type="gramStart"/>
      <w:r>
        <w:t>n</w:t>
      </w:r>
      <w:r w:rsidR="00D610C4" w:rsidRPr="00B41FAD">
        <w:t>e</w:t>
      </w:r>
      <w:proofErr w:type="gramEnd"/>
      <w:r w:rsidR="00D610C4" w:rsidRPr="00B41FAD">
        <w:t xml:space="preserve"> pas viol</w:t>
      </w:r>
      <w:r w:rsidR="00C10A1F" w:rsidRPr="00B41FAD">
        <w:t xml:space="preserve">er les pratiques coutumières </w:t>
      </w:r>
      <w:r w:rsidR="00977306" w:rsidRPr="00B41FAD">
        <w:t>régiss</w:t>
      </w:r>
      <w:r w:rsidR="00C10A1F" w:rsidRPr="00B41FAD">
        <w:t>ant l</w:t>
      </w:r>
      <w:r w:rsidR="00A61E6D" w:rsidRPr="00B41FAD">
        <w:t>’</w:t>
      </w:r>
      <w:r w:rsidR="00C10A1F" w:rsidRPr="00B41FAD">
        <w:t xml:space="preserve">accès au PCI et tous les lieux, </w:t>
      </w:r>
      <w:r w:rsidR="00977306" w:rsidRPr="00B41FAD">
        <w:t xml:space="preserve">les </w:t>
      </w:r>
      <w:r w:rsidR="00C10A1F" w:rsidRPr="00B41FAD">
        <w:t xml:space="preserve">personnes et </w:t>
      </w:r>
      <w:r w:rsidR="00D610C4" w:rsidRPr="00B41FAD">
        <w:t xml:space="preserve">les </w:t>
      </w:r>
      <w:r w:rsidR="00C10A1F" w:rsidRPr="00B41FAD">
        <w:t>matériels qui y sont associés (</w:t>
      </w:r>
      <w:r w:rsidR="00043DFF" w:rsidRPr="00B41FAD">
        <w:t>article </w:t>
      </w:r>
      <w:r w:rsidR="00C10A1F" w:rsidRPr="00B41FAD">
        <w:t>13(d)(ii))</w:t>
      </w:r>
      <w:r w:rsidR="00EA1FE1" w:rsidRPr="00B41FAD">
        <w:t> ;</w:t>
      </w:r>
      <w:r w:rsidR="00473E12" w:rsidRPr="00B41FAD">
        <w:t xml:space="preserve"> et n</w:t>
      </w:r>
      <w:r w:rsidR="00615162" w:rsidRPr="00B41FAD">
        <w:t>’inclure</w:t>
      </w:r>
      <w:r w:rsidR="00D610C4" w:rsidRPr="00B41FAD">
        <w:t xml:space="preserve"> aucune information</w:t>
      </w:r>
      <w:r w:rsidR="00C10A1F" w:rsidRPr="00B41FAD">
        <w:t xml:space="preserve"> sur un élément sans le consentement de la communauté, du groupe ou de l</w:t>
      </w:r>
      <w:r w:rsidR="00A61E6D" w:rsidRPr="00B41FAD">
        <w:t>’</w:t>
      </w:r>
      <w:r w:rsidR="00C10A1F" w:rsidRPr="00B41FAD">
        <w:t>individu concerné</w:t>
      </w:r>
      <w:r>
        <w:t> ;</w:t>
      </w:r>
    </w:p>
    <w:p w14:paraId="6A86E14C" w14:textId="77777777" w:rsidR="004325DC" w:rsidRPr="00B41FAD" w:rsidRDefault="00677F0E" w:rsidP="00AF22F0">
      <w:pPr>
        <w:pStyle w:val="Txtpucegras"/>
      </w:pPr>
      <w:r>
        <w:t>ê</w:t>
      </w:r>
      <w:r w:rsidR="00C10A1F" w:rsidRPr="00B41FAD">
        <w:t xml:space="preserve">tre </w:t>
      </w:r>
      <w:r w:rsidR="00643749" w:rsidRPr="00B41FAD">
        <w:t xml:space="preserve">conçus de </w:t>
      </w:r>
      <w:r w:rsidR="00784441" w:rsidRPr="00B41FAD">
        <w:t>telle sorte qu’ils puissent</w:t>
      </w:r>
      <w:r w:rsidR="00C10A1F" w:rsidRPr="00B41FAD">
        <w:t xml:space="preserve"> contribuer à la sauvegarde (</w:t>
      </w:r>
      <w:r w:rsidR="00643749" w:rsidRPr="00B41FAD">
        <w:t>« </w:t>
      </w:r>
      <w:r w:rsidR="00C10A1F" w:rsidRPr="00B41FAD">
        <w:t>assurer l</w:t>
      </w:r>
      <w:r w:rsidR="00A61E6D" w:rsidRPr="00B41FAD">
        <w:t>’</w:t>
      </w:r>
      <w:r w:rsidR="00C10A1F" w:rsidRPr="00B41FAD">
        <w:t>identification en vue de la sauvegarde</w:t>
      </w:r>
      <w:r w:rsidR="00461004" w:rsidRPr="00B41FAD">
        <w:t xml:space="preserve"> », </w:t>
      </w:r>
      <w:r w:rsidR="00043DFF" w:rsidRPr="00B41FAD">
        <w:t>article </w:t>
      </w:r>
      <w:r w:rsidR="00C10A1F" w:rsidRPr="00B41FAD">
        <w:t xml:space="preserve">12.1). Cela implique </w:t>
      </w:r>
      <w:r w:rsidR="00E50AD5" w:rsidRPr="00B41FAD">
        <w:t>d’apporter</w:t>
      </w:r>
      <w:r w:rsidR="00C10A1F" w:rsidRPr="00B41FAD">
        <w:t xml:space="preserve"> </w:t>
      </w:r>
      <w:r w:rsidR="00E50AD5" w:rsidRPr="00B41FAD">
        <w:t xml:space="preserve">à l’inventaire </w:t>
      </w:r>
      <w:r w:rsidR="00C10A1F" w:rsidRPr="00B41FAD">
        <w:t xml:space="preserve">des </w:t>
      </w:r>
      <w:r w:rsidR="00AD06A3" w:rsidRPr="00B41FAD">
        <w:t>précision</w:t>
      </w:r>
      <w:r w:rsidR="00C10A1F" w:rsidRPr="00B41FAD">
        <w:t>s suffisant</w:t>
      </w:r>
      <w:r w:rsidR="00AD06A3" w:rsidRPr="00B41FAD">
        <w:t>e</w:t>
      </w:r>
      <w:r w:rsidR="00C10A1F" w:rsidRPr="00B41FAD">
        <w:t>s sur la viabilité et les menaces</w:t>
      </w:r>
      <w:r w:rsidR="00FD0A88" w:rsidRPr="00B41FAD">
        <w:t xml:space="preserve"> </w:t>
      </w:r>
      <w:r w:rsidR="00E50AD5" w:rsidRPr="00B41FAD">
        <w:t xml:space="preserve">pour guider </w:t>
      </w:r>
      <w:r w:rsidR="00C32484" w:rsidRPr="00B41FAD">
        <w:t>le choix d</w:t>
      </w:r>
      <w:r w:rsidR="00C47E91" w:rsidRPr="00B41FAD">
        <w:t>es</w:t>
      </w:r>
      <w:r w:rsidR="00C10A1F" w:rsidRPr="00B41FAD">
        <w:t xml:space="preserve"> mesures de sauvegarde </w:t>
      </w:r>
      <w:r w:rsidR="00C32484" w:rsidRPr="00B41FAD">
        <w:t xml:space="preserve">applicables </w:t>
      </w:r>
      <w:r w:rsidR="00C10A1F" w:rsidRPr="00B41FAD">
        <w:t>à l</w:t>
      </w:r>
      <w:r w:rsidR="00A61E6D" w:rsidRPr="00B41FAD">
        <w:t>’</w:t>
      </w:r>
      <w:r w:rsidR="00C10A1F" w:rsidRPr="00B41FAD">
        <w:t>avenir</w:t>
      </w:r>
      <w:r>
        <w:t> ;</w:t>
      </w:r>
    </w:p>
    <w:p w14:paraId="537E17D2" w14:textId="77777777" w:rsidR="004325DC" w:rsidRPr="00B41FAD" w:rsidRDefault="00677F0E" w:rsidP="00AF22F0">
      <w:pPr>
        <w:pStyle w:val="Txtpucegras"/>
      </w:pPr>
      <w:r>
        <w:t>ê</w:t>
      </w:r>
      <w:r w:rsidR="00C10A1F" w:rsidRPr="00B41FAD">
        <w:t>tre aussi ouverts que possible à la diversité du PCI présent sur le territoire de l</w:t>
      </w:r>
      <w:r w:rsidR="00A61E6D" w:rsidRPr="00B41FAD">
        <w:t>’</w:t>
      </w:r>
      <w:r w:rsidR="00C10A1F" w:rsidRPr="00B41FAD">
        <w:t>État partie concerné (</w:t>
      </w:r>
      <w:r w:rsidR="00D41FCE" w:rsidRPr="00B41FAD">
        <w:t>« </w:t>
      </w:r>
      <w:r w:rsidR="005800F5" w:rsidRPr="00B41FAD">
        <w:rPr>
          <w:i/>
        </w:rPr>
        <w:t>du</w:t>
      </w:r>
      <w:r w:rsidR="00C10A1F" w:rsidRPr="00B41FAD">
        <w:t xml:space="preserve"> patrimoine culturel immatériel</w:t>
      </w:r>
      <w:r w:rsidR="00C10A1F" w:rsidRPr="00B41FAD" w:rsidDel="00BB005F">
        <w:t xml:space="preserve"> </w:t>
      </w:r>
      <w:r w:rsidR="00C10A1F" w:rsidRPr="00B41FAD">
        <w:t>présent sur son territoire</w:t>
      </w:r>
      <w:r w:rsidR="005800F5" w:rsidRPr="00B41FAD">
        <w:t> »</w:t>
      </w:r>
      <w:r w:rsidR="00F34147" w:rsidRPr="00B41FAD">
        <w:t>,</w:t>
      </w:r>
      <w:r w:rsidR="00461004" w:rsidRPr="00B41FAD">
        <w:t xml:space="preserve"> </w:t>
      </w:r>
      <w:r w:rsidR="00C47E91" w:rsidRPr="00B41FAD">
        <w:t>stipule l’</w:t>
      </w:r>
      <w:r w:rsidR="00043DFF" w:rsidRPr="00B41FAD">
        <w:t>article </w:t>
      </w:r>
      <w:r w:rsidR="00C10A1F" w:rsidRPr="00B41FAD">
        <w:t>12.1 [italique ajouté]</w:t>
      </w:r>
      <w:r w:rsidR="005800F5" w:rsidRPr="00B41FAD">
        <w:t>)</w:t>
      </w:r>
      <w:r>
        <w:t> ;</w:t>
      </w:r>
    </w:p>
    <w:p w14:paraId="2764ACC1" w14:textId="77777777" w:rsidR="004325DC" w:rsidRPr="00B41FAD" w:rsidRDefault="00677F0E" w:rsidP="00AF22F0">
      <w:pPr>
        <w:pStyle w:val="Txtpucegras"/>
      </w:pPr>
      <w:r>
        <w:t>f</w:t>
      </w:r>
      <w:r w:rsidR="005800F5" w:rsidRPr="00B41FAD">
        <w:t>aire l’objet d’une</w:t>
      </w:r>
      <w:r w:rsidR="00C10A1F" w:rsidRPr="00B41FAD">
        <w:t xml:space="preserve"> mis</w:t>
      </w:r>
      <w:r w:rsidR="005800F5" w:rsidRPr="00B41FAD">
        <w:t>e</w:t>
      </w:r>
      <w:r w:rsidR="00C10A1F" w:rsidRPr="00B41FAD">
        <w:t xml:space="preserve"> à jour régulière (</w:t>
      </w:r>
      <w:r w:rsidR="00043DFF" w:rsidRPr="00B41FAD">
        <w:t>article </w:t>
      </w:r>
      <w:r w:rsidR="005800F5" w:rsidRPr="00B41FAD">
        <w:t>12.</w:t>
      </w:r>
      <w:r w:rsidR="005800F5" w:rsidRPr="004A2852">
        <w:t>1</w:t>
      </w:r>
      <w:r w:rsidR="00EA0768" w:rsidRPr="00B41FAD">
        <w:t>) et</w:t>
      </w:r>
      <w:r w:rsidR="0056743A" w:rsidRPr="00B41FAD">
        <w:t>,</w:t>
      </w:r>
      <w:r w:rsidR="00C10A1F" w:rsidRPr="00B41FAD">
        <w:t xml:space="preserve"> </w:t>
      </w:r>
      <w:r w:rsidR="0056743A" w:rsidRPr="00B41FAD">
        <w:t>par conséquent, être conçus de telle sorte qu’ils puissent être facilement mis</w:t>
      </w:r>
      <w:r w:rsidR="00C10A1F" w:rsidRPr="00B41FAD">
        <w:t xml:space="preserve"> à jour</w:t>
      </w:r>
      <w:r>
        <w:t> ; et</w:t>
      </w:r>
    </w:p>
    <w:p w14:paraId="5C443D4E" w14:textId="77777777" w:rsidR="004325DC" w:rsidRPr="00B41FAD" w:rsidRDefault="00677F0E" w:rsidP="00AF22F0">
      <w:pPr>
        <w:pStyle w:val="Txtpucegras"/>
      </w:pPr>
      <w:r>
        <w:t>f</w:t>
      </w:r>
      <w:r w:rsidR="00C10A1F" w:rsidRPr="00B41FAD">
        <w:t>aire l</w:t>
      </w:r>
      <w:r w:rsidR="00A61E6D" w:rsidRPr="00B41FAD">
        <w:t>’</w:t>
      </w:r>
      <w:r w:rsidR="00C10A1F" w:rsidRPr="00B41FAD">
        <w:t xml:space="preserve">objet de </w:t>
      </w:r>
      <w:r w:rsidR="00D915D7" w:rsidRPr="00B41FAD">
        <w:t>rapports réguliers</w:t>
      </w:r>
      <w:r w:rsidR="00EA1FE1" w:rsidRPr="00B41FAD">
        <w:t> :</w:t>
      </w:r>
      <w:r w:rsidR="00C10A1F" w:rsidRPr="00B41FAD">
        <w:t xml:space="preserve"> la </w:t>
      </w:r>
      <w:r w:rsidR="00461004" w:rsidRPr="00B41FAD">
        <w:t>DO </w:t>
      </w:r>
      <w:r w:rsidR="00F15D89" w:rsidRPr="00B41FAD">
        <w:t>153(a) indique que le rapport</w:t>
      </w:r>
      <w:r w:rsidR="00C10A1F" w:rsidRPr="00B41FAD">
        <w:t xml:space="preserve"> </w:t>
      </w:r>
      <w:r w:rsidR="00F15D89" w:rsidRPr="00B41FAD">
        <w:t xml:space="preserve">périodique </w:t>
      </w:r>
      <w:r w:rsidR="00C9102A" w:rsidRPr="00B41FAD">
        <w:t>que</w:t>
      </w:r>
      <w:r w:rsidR="00C10A1F" w:rsidRPr="00B41FAD">
        <w:t xml:space="preserve"> </w:t>
      </w:r>
      <w:r w:rsidR="00F34147" w:rsidRPr="00B41FAD">
        <w:t>chaque</w:t>
      </w:r>
      <w:r w:rsidR="008E5AB8" w:rsidRPr="00B41FAD">
        <w:t xml:space="preserve"> </w:t>
      </w:r>
      <w:r w:rsidR="00F15D89" w:rsidRPr="00B41FAD">
        <w:t>État partie</w:t>
      </w:r>
      <w:r w:rsidR="00F34147" w:rsidRPr="00B41FAD">
        <w:t xml:space="preserve"> a</w:t>
      </w:r>
      <w:r w:rsidR="008E5AB8" w:rsidRPr="00B41FAD">
        <w:t xml:space="preserve"> l’obligation de</w:t>
      </w:r>
      <w:r w:rsidR="00C9102A" w:rsidRPr="00B41FAD">
        <w:t xml:space="preserve"> soumet</w:t>
      </w:r>
      <w:r w:rsidR="008E5AB8" w:rsidRPr="00B41FAD">
        <w:t>tre</w:t>
      </w:r>
      <w:r w:rsidR="00C10A1F" w:rsidRPr="00B41FAD">
        <w:t xml:space="preserve"> tous les six ans au Comité </w:t>
      </w:r>
      <w:r>
        <w:t xml:space="preserve">intergouvernemental </w:t>
      </w:r>
      <w:r w:rsidR="00DD6C7A">
        <w:t xml:space="preserve">de sauvegarde du patrimoine culturel immatériel </w:t>
      </w:r>
      <w:r w:rsidR="00C10A1F" w:rsidRPr="00B41FAD">
        <w:t>(conformément à l</w:t>
      </w:r>
      <w:r w:rsidR="00A61E6D" w:rsidRPr="00B41FAD">
        <w:t>’</w:t>
      </w:r>
      <w:r w:rsidR="00043DFF" w:rsidRPr="00B41FAD">
        <w:t>article </w:t>
      </w:r>
      <w:r w:rsidR="00C10A1F" w:rsidRPr="00B41FAD">
        <w:t>2</w:t>
      </w:r>
      <w:r w:rsidR="003975EA" w:rsidRPr="004A2852">
        <w:t>9</w:t>
      </w:r>
      <w:r w:rsidR="00696CE9" w:rsidRPr="00B41FAD">
        <w:t>)</w:t>
      </w:r>
      <w:r w:rsidR="00C10A1F" w:rsidRPr="00B41FAD">
        <w:t xml:space="preserve"> </w:t>
      </w:r>
      <w:r w:rsidR="008E5AB8" w:rsidRPr="00B41FAD">
        <w:t xml:space="preserve">doit </w:t>
      </w:r>
      <w:r w:rsidR="00F15D89" w:rsidRPr="00B41FAD">
        <w:t>fourni</w:t>
      </w:r>
      <w:r w:rsidR="008E5AB8" w:rsidRPr="00B41FAD">
        <w:t>r</w:t>
      </w:r>
      <w:r w:rsidR="00C10A1F" w:rsidRPr="00B41FAD">
        <w:t xml:space="preserve"> des informations </w:t>
      </w:r>
      <w:r w:rsidR="00F15D89" w:rsidRPr="00B41FAD">
        <w:t>concernant</w:t>
      </w:r>
      <w:r w:rsidR="00043DFF" w:rsidRPr="00B41FAD">
        <w:t xml:space="preserve"> « </w:t>
      </w:r>
      <w:r w:rsidR="00C10A1F" w:rsidRPr="00B41FAD">
        <w:t>l</w:t>
      </w:r>
      <w:r w:rsidR="00A61E6D" w:rsidRPr="00B41FAD">
        <w:t>’</w:t>
      </w:r>
      <w:r w:rsidR="00C10A1F" w:rsidRPr="00B41FAD">
        <w:t>établissement d</w:t>
      </w:r>
      <w:r w:rsidR="00A61E6D" w:rsidRPr="00B41FAD">
        <w:t>’</w:t>
      </w:r>
      <w:r w:rsidR="00C10A1F" w:rsidRPr="00B41FAD">
        <w:t xml:space="preserve">inventaires, comme indiqué aux </w:t>
      </w:r>
      <w:r w:rsidR="00C9102A" w:rsidRPr="00B41FAD">
        <w:t xml:space="preserve">articles </w:t>
      </w:r>
      <w:r w:rsidR="00C10A1F" w:rsidRPr="00B41FAD">
        <w:t>11 et</w:t>
      </w:r>
      <w:r w:rsidR="00953DB9" w:rsidRPr="00B41FAD">
        <w:t> </w:t>
      </w:r>
      <w:r w:rsidR="00C10A1F" w:rsidRPr="00B41FAD">
        <w:t>12 de la Convention</w:t>
      </w:r>
      <w:r w:rsidR="00461004" w:rsidRPr="00B41FAD">
        <w:t> ».</w:t>
      </w:r>
    </w:p>
    <w:p w14:paraId="40F0C755" w14:textId="29C8AD2A" w:rsidR="00C10A1F" w:rsidRPr="00B41FAD" w:rsidRDefault="00696CE9" w:rsidP="00384E33">
      <w:pPr>
        <w:pStyle w:val="Heading4"/>
        <w:tabs>
          <w:tab w:val="right" w:pos="8838"/>
        </w:tabs>
        <w:rPr>
          <w:color w:val="000000" w:themeColor="text1"/>
        </w:rPr>
      </w:pPr>
      <w:bookmarkStart w:id="34" w:name="_Toc247360194"/>
      <w:r w:rsidRPr="00B41FAD">
        <w:rPr>
          <w:color w:val="000000" w:themeColor="text1"/>
        </w:rPr>
        <w:t xml:space="preserve">portée </w:t>
      </w:r>
      <w:r w:rsidR="00C10A1F" w:rsidRPr="00B41FAD">
        <w:rPr>
          <w:color w:val="000000" w:themeColor="text1"/>
        </w:rPr>
        <w:t xml:space="preserve">et </w:t>
      </w:r>
      <w:r w:rsidRPr="00B41FAD">
        <w:rPr>
          <w:color w:val="000000" w:themeColor="text1"/>
        </w:rPr>
        <w:t>taille</w:t>
      </w:r>
      <w:r w:rsidR="00C10A1F" w:rsidRPr="00B41FAD">
        <w:rPr>
          <w:color w:val="000000" w:themeColor="text1"/>
        </w:rPr>
        <w:t xml:space="preserve"> des inventaires</w:t>
      </w:r>
      <w:bookmarkEnd w:id="34"/>
    </w:p>
    <w:p w14:paraId="701BD43A" w14:textId="77777777" w:rsidR="004325DC" w:rsidRPr="00B41FAD" w:rsidRDefault="00C10A1F" w:rsidP="00914287">
      <w:pPr>
        <w:pStyle w:val="Texte1"/>
      </w:pPr>
      <w:r w:rsidRPr="00B41FAD">
        <w:t xml:space="preserve">La Convention ne </w:t>
      </w:r>
      <w:r w:rsidR="00803088" w:rsidRPr="00B41FAD">
        <w:t>fait aucune allusion à</w:t>
      </w:r>
      <w:r w:rsidRPr="00B41FAD">
        <w:t xml:space="preserve"> la préparation d</w:t>
      </w:r>
      <w:r w:rsidR="00A61E6D" w:rsidRPr="00B41FAD">
        <w:t>’</w:t>
      </w:r>
      <w:r w:rsidRPr="00B41FAD">
        <w:t>un inventaire</w:t>
      </w:r>
      <w:r w:rsidR="00043DFF" w:rsidRPr="00B41FAD">
        <w:t xml:space="preserve"> « </w:t>
      </w:r>
      <w:r w:rsidRPr="00B41FAD">
        <w:t>national</w:t>
      </w:r>
      <w:r w:rsidR="009867A4" w:rsidRPr="00B41FAD">
        <w:t> »</w:t>
      </w:r>
      <w:r w:rsidR="00EA1FE1" w:rsidRPr="00B41FAD">
        <w:t> ;</w:t>
      </w:r>
      <w:r w:rsidRPr="00B41FAD">
        <w:t xml:space="preserve"> </w:t>
      </w:r>
      <w:r w:rsidR="00370E06" w:rsidRPr="00B41FAD">
        <w:t>la</w:t>
      </w:r>
      <w:r w:rsidR="00F26DCC" w:rsidRPr="00B41FAD">
        <w:t xml:space="preserve"> </w:t>
      </w:r>
      <w:r w:rsidR="00461004" w:rsidRPr="00B41FAD">
        <w:t>DO</w:t>
      </w:r>
      <w:r w:rsidR="00C870AD">
        <w:t> </w:t>
      </w:r>
      <w:r w:rsidR="00D62A05" w:rsidRPr="00B41FAD">
        <w:t>153 (a)</w:t>
      </w:r>
      <w:r w:rsidRPr="00B41FAD">
        <w:t xml:space="preserve"> </w:t>
      </w:r>
      <w:r w:rsidR="00803088" w:rsidRPr="00B41FAD">
        <w:t>mentionne</w:t>
      </w:r>
      <w:r w:rsidRPr="00B41FAD">
        <w:t xml:space="preserve"> l</w:t>
      </w:r>
      <w:r w:rsidR="00A61E6D" w:rsidRPr="00B41FAD">
        <w:t>’</w:t>
      </w:r>
      <w:r w:rsidRPr="00B41FAD">
        <w:t>établissement</w:t>
      </w:r>
      <w:r w:rsidR="00043DFF" w:rsidRPr="00B41FAD">
        <w:t xml:space="preserve"> « </w:t>
      </w:r>
      <w:r w:rsidRPr="00B41FAD">
        <w:t>d</w:t>
      </w:r>
      <w:r w:rsidR="00A61E6D" w:rsidRPr="00B41FAD">
        <w:t>’</w:t>
      </w:r>
      <w:r w:rsidRPr="00B41FAD">
        <w:t>inventaires</w:t>
      </w:r>
      <w:r w:rsidR="00043DFF" w:rsidRPr="00B41FAD">
        <w:t xml:space="preserve"> » </w:t>
      </w:r>
      <w:r w:rsidRPr="00B41FAD">
        <w:t xml:space="preserve">dans un État, </w:t>
      </w:r>
      <w:r w:rsidR="00803088" w:rsidRPr="00B41FAD">
        <w:t xml:space="preserve">ce qui </w:t>
      </w:r>
      <w:r w:rsidR="0017490F" w:rsidRPr="00B41FAD">
        <w:t>signifi</w:t>
      </w:r>
      <w:r w:rsidR="00803088" w:rsidRPr="00B41FAD">
        <w:t>e</w:t>
      </w:r>
      <w:r w:rsidRPr="00B41FAD">
        <w:t xml:space="preserve"> </w:t>
      </w:r>
      <w:r w:rsidR="00393E53" w:rsidRPr="00B41FAD">
        <w:t>qu’</w:t>
      </w:r>
      <w:r w:rsidRPr="00B41FAD">
        <w:t xml:space="preserve">il peut y avoir </w:t>
      </w:r>
      <w:r w:rsidR="00803088" w:rsidRPr="00B41FAD">
        <w:t xml:space="preserve">plusieurs </w:t>
      </w:r>
      <w:r w:rsidRPr="00B41FAD">
        <w:t xml:space="preserve">inventaires dans un seul État partie. Certains </w:t>
      </w:r>
      <w:r w:rsidR="00D33407" w:rsidRPr="00B41FAD">
        <w:t xml:space="preserve">d’entre eux préparent effectivement </w:t>
      </w:r>
      <w:r w:rsidRPr="00B41FAD">
        <w:t>des inventaires nationaux, mais la plupart des États fédéraux n</w:t>
      </w:r>
      <w:r w:rsidR="002746AA" w:rsidRPr="00B41FAD">
        <w:t>e seraient sans doute</w:t>
      </w:r>
      <w:r w:rsidRPr="00B41FAD">
        <w:t xml:space="preserve"> pas</w:t>
      </w:r>
      <w:r w:rsidR="002746AA" w:rsidRPr="00B41FAD">
        <w:t xml:space="preserve"> en mesure</w:t>
      </w:r>
      <w:r w:rsidRPr="00B41FAD">
        <w:t xml:space="preserve"> </w:t>
      </w:r>
      <w:r w:rsidR="002746AA" w:rsidRPr="00B41FAD">
        <w:t>d’avoir des inventaires</w:t>
      </w:r>
      <w:r w:rsidR="00043DFF" w:rsidRPr="00B41FAD">
        <w:t xml:space="preserve"> « </w:t>
      </w:r>
      <w:r w:rsidR="002746AA" w:rsidRPr="00B41FAD">
        <w:t>nationaux</w:t>
      </w:r>
      <w:r w:rsidR="00043DFF" w:rsidRPr="00B41FAD">
        <w:t xml:space="preserve"> » </w:t>
      </w:r>
      <w:r w:rsidRPr="00B41FAD">
        <w:t xml:space="preserve">et nombreux sont ceux qui </w:t>
      </w:r>
      <w:r w:rsidR="00122967" w:rsidRPr="00B41FAD">
        <w:t>dresse</w:t>
      </w:r>
      <w:r w:rsidRPr="00B41FAD">
        <w:t xml:space="preserve">nt des inventaires séparés pour différentes parties du pays, différents domaines, différentes communautés ou différents objectifs, ou </w:t>
      </w:r>
      <w:r w:rsidR="00AB6FFE" w:rsidRPr="00B41FAD">
        <w:t xml:space="preserve">pour </w:t>
      </w:r>
      <w:r w:rsidRPr="00B41FAD">
        <w:t>des combinaisons</w:t>
      </w:r>
      <w:r w:rsidR="00AB6FFE" w:rsidRPr="00B41FAD">
        <w:t xml:space="preserve"> de ceux-ci</w:t>
      </w:r>
      <w:r w:rsidRPr="00B41FAD">
        <w:t xml:space="preserve">. </w:t>
      </w:r>
      <w:r w:rsidR="00AB6FFE" w:rsidRPr="00B41FAD">
        <w:t>Quand un État</w:t>
      </w:r>
      <w:r w:rsidRPr="00B41FAD">
        <w:t xml:space="preserve"> </w:t>
      </w:r>
      <w:r w:rsidR="00623A9E" w:rsidRPr="00B41FAD">
        <w:t>entreprend</w:t>
      </w:r>
      <w:r w:rsidRPr="00B41FAD">
        <w:t xml:space="preserve"> </w:t>
      </w:r>
      <w:r w:rsidR="006757EA" w:rsidRPr="00B41FAD">
        <w:t>plusieurs</w:t>
      </w:r>
      <w:r w:rsidRPr="00B41FAD">
        <w:t xml:space="preserve"> inventaire</w:t>
      </w:r>
      <w:r w:rsidR="006757EA" w:rsidRPr="00B41FAD">
        <w:t>s</w:t>
      </w:r>
      <w:r w:rsidRPr="00B41FAD">
        <w:t>, rien ne l</w:t>
      </w:r>
      <w:r w:rsidR="00A61E6D" w:rsidRPr="00B41FAD">
        <w:t>’</w:t>
      </w:r>
      <w:r w:rsidRPr="00B41FAD">
        <w:t xml:space="preserve">oblige à </w:t>
      </w:r>
      <w:r w:rsidR="00AB6FFE" w:rsidRPr="00B41FAD">
        <w:t>les organiser</w:t>
      </w:r>
      <w:r w:rsidRPr="00B41FAD">
        <w:t xml:space="preserve"> de manière ide</w:t>
      </w:r>
      <w:r w:rsidR="00AB6FFE" w:rsidRPr="00B41FAD">
        <w:t>ntique. Toutefois,</w:t>
      </w:r>
      <w:r w:rsidR="005D5FCE" w:rsidRPr="00B41FAD">
        <w:t xml:space="preserve"> l’idéal serait de fix</w:t>
      </w:r>
      <w:r w:rsidRPr="00B41FAD">
        <w:t>er un</w:t>
      </w:r>
      <w:r w:rsidR="00122967" w:rsidRPr="00B41FAD">
        <w:t xml:space="preserve"> niveau </w:t>
      </w:r>
      <w:r w:rsidR="005D5FCE" w:rsidRPr="00B41FAD">
        <w:t xml:space="preserve">minimal uniforme </w:t>
      </w:r>
      <w:r w:rsidR="00122967" w:rsidRPr="00B41FAD">
        <w:t xml:space="preserve">de détail </w:t>
      </w:r>
      <w:r w:rsidR="007C58AD" w:rsidRPr="00B41FAD">
        <w:t xml:space="preserve">pour </w:t>
      </w:r>
      <w:r w:rsidR="00122967" w:rsidRPr="00B41FAD">
        <w:t>aid</w:t>
      </w:r>
      <w:r w:rsidR="007C58AD" w:rsidRPr="00B41FAD">
        <w:t>er à la sauvegarde</w:t>
      </w:r>
      <w:r w:rsidRPr="00B41FAD">
        <w:t>.</w:t>
      </w:r>
    </w:p>
    <w:p w14:paraId="76A9B8CB" w14:textId="77777777" w:rsidR="004325DC" w:rsidRPr="00B41FAD" w:rsidRDefault="00C10A1F" w:rsidP="00914287">
      <w:pPr>
        <w:pStyle w:val="Texte1"/>
      </w:pPr>
      <w:r w:rsidRPr="00B41FAD">
        <w:lastRenderedPageBreak/>
        <w:t>L</w:t>
      </w:r>
      <w:r w:rsidR="00E105D4" w:rsidRPr="00B41FAD">
        <w:t>a portée</w:t>
      </w:r>
      <w:r w:rsidRPr="00B41FAD">
        <w:t xml:space="preserve"> et la </w:t>
      </w:r>
      <w:r w:rsidR="00E105D4" w:rsidRPr="00B41FAD">
        <w:t>taille</w:t>
      </w:r>
      <w:r w:rsidR="00FE3252" w:rsidRPr="00B41FAD">
        <w:t xml:space="preserve"> des inventaires</w:t>
      </w:r>
      <w:r w:rsidRPr="00B41FAD">
        <w:t xml:space="preserve"> </w:t>
      </w:r>
      <w:r w:rsidR="00FE3252" w:rsidRPr="00B41FAD">
        <w:t xml:space="preserve">sont extrêmement </w:t>
      </w:r>
      <w:r w:rsidRPr="00B41FAD">
        <w:t>vari</w:t>
      </w:r>
      <w:r w:rsidR="00FE3252" w:rsidRPr="00B41FAD">
        <w:t>ables</w:t>
      </w:r>
      <w:r w:rsidRPr="00B41FAD">
        <w:t xml:space="preserve"> </w:t>
      </w:r>
      <w:r w:rsidR="00920299" w:rsidRPr="00B41FAD">
        <w:t xml:space="preserve">selon leur </w:t>
      </w:r>
      <w:r w:rsidR="00623A9E" w:rsidRPr="00B41FAD">
        <w:t>finalité</w:t>
      </w:r>
      <w:r w:rsidR="00920299" w:rsidRPr="00B41FAD">
        <w:t>, les ressources disponibles et l</w:t>
      </w:r>
      <w:r w:rsidRPr="00B41FAD">
        <w:t xml:space="preserve">es </w:t>
      </w:r>
      <w:r w:rsidR="00920299" w:rsidRPr="00B41FAD">
        <w:t>techniqu</w:t>
      </w:r>
      <w:r w:rsidRPr="00B41FAD">
        <w:t>es de génération et de systématisation de l</w:t>
      </w:r>
      <w:r w:rsidR="00A61E6D" w:rsidRPr="00B41FAD">
        <w:t>’</w:t>
      </w:r>
      <w:r w:rsidRPr="00B41FAD">
        <w:t xml:space="preserve">information. Certains pays, par exemple, </w:t>
      </w:r>
      <w:r w:rsidR="002A5DC9" w:rsidRPr="00B41FAD">
        <w:t>regroup</w:t>
      </w:r>
      <w:r w:rsidRPr="00B41FAD">
        <w:t>ent le patrimoin</w:t>
      </w:r>
      <w:r w:rsidR="00623A9E" w:rsidRPr="00B41FAD">
        <w:t>e matériel et immatériel dans un</w:t>
      </w:r>
      <w:r w:rsidRPr="00B41FAD">
        <w:t xml:space="preserve"> même inventaire. Il y a des inventaires qui </w:t>
      </w:r>
      <w:r w:rsidR="000467C1" w:rsidRPr="00B41FAD">
        <w:t>entendent</w:t>
      </w:r>
      <w:r w:rsidRPr="00B41FAD">
        <w:t xml:space="preserve"> avoir une </w:t>
      </w:r>
      <w:r w:rsidR="000467C1" w:rsidRPr="00B41FAD">
        <w:t>portée exhaustive quand</w:t>
      </w:r>
      <w:r w:rsidRPr="00B41FAD">
        <w:t xml:space="preserve"> d</w:t>
      </w:r>
      <w:r w:rsidR="00A61E6D" w:rsidRPr="00B41FAD">
        <w:t>’</w:t>
      </w:r>
      <w:r w:rsidRPr="00B41FAD">
        <w:t xml:space="preserve">autres </w:t>
      </w:r>
      <w:r w:rsidR="000467C1" w:rsidRPr="00B41FAD">
        <w:t>vise</w:t>
      </w:r>
      <w:r w:rsidR="00242EE4" w:rsidRPr="00B41FAD">
        <w:t xml:space="preserve">nt </w:t>
      </w:r>
      <w:r w:rsidRPr="00B41FAD">
        <w:t xml:space="preserve">un échantillon représentatif. Certains inventaires </w:t>
      </w:r>
      <w:r w:rsidR="00971BA6" w:rsidRPr="00B41FAD">
        <w:t>en cours d’élaboration</w:t>
      </w:r>
      <w:r w:rsidRPr="00B41FAD">
        <w:t xml:space="preserve"> </w:t>
      </w:r>
      <w:r w:rsidR="001102E0" w:rsidRPr="00B41FAD">
        <w:t>sont pareils</w:t>
      </w:r>
      <w:r w:rsidRPr="00B41FAD">
        <w:t xml:space="preserve"> à </w:t>
      </w:r>
      <w:r w:rsidR="001102E0" w:rsidRPr="00B41FAD">
        <w:t xml:space="preserve">des encyclopédies, </w:t>
      </w:r>
      <w:r w:rsidR="009729CB" w:rsidRPr="00B41FAD">
        <w:t>livrant</w:t>
      </w:r>
      <w:r w:rsidRPr="00B41FAD">
        <w:t xml:space="preserve"> plutôt</w:t>
      </w:r>
      <w:r w:rsidR="001102E0" w:rsidRPr="00B41FAD">
        <w:t xml:space="preserve"> des généralité</w:t>
      </w:r>
      <w:r w:rsidR="00F511BC" w:rsidRPr="00B41FAD">
        <w:t xml:space="preserve">s sur les éléments </w:t>
      </w:r>
      <w:r w:rsidRPr="00B41FAD">
        <w:t>présent</w:t>
      </w:r>
      <w:r w:rsidR="00F511BC" w:rsidRPr="00B41FAD">
        <w:t>és</w:t>
      </w:r>
      <w:r w:rsidR="00EA1FE1" w:rsidRPr="00B41FAD">
        <w:t> ;</w:t>
      </w:r>
      <w:r w:rsidRPr="00B41FAD">
        <w:t xml:space="preserve"> d</w:t>
      </w:r>
      <w:r w:rsidR="00A61E6D" w:rsidRPr="00B41FAD">
        <w:t>’</w:t>
      </w:r>
      <w:r w:rsidRPr="00B41FAD">
        <w:t xml:space="preserve">autres </w:t>
      </w:r>
      <w:r w:rsidR="009729CB" w:rsidRPr="00B41FAD">
        <w:t>contienn</w:t>
      </w:r>
      <w:r w:rsidRPr="00B41FAD">
        <w:t xml:space="preserve">ent des informations détaillées sur </w:t>
      </w:r>
      <w:r w:rsidR="009729CB" w:rsidRPr="00B41FAD">
        <w:t>une partie, voire la totalité d</w:t>
      </w:r>
      <w:r w:rsidRPr="00B41FAD">
        <w:t>es éléments inclus.</w:t>
      </w:r>
    </w:p>
    <w:p w14:paraId="68232A2C" w14:textId="77777777" w:rsidR="00C10A1F" w:rsidRPr="00B41FAD" w:rsidRDefault="00C10A1F">
      <w:pPr>
        <w:pStyle w:val="Heading4"/>
      </w:pPr>
      <w:bookmarkStart w:id="35" w:name="_Toc247360195"/>
      <w:r w:rsidRPr="00B41FAD">
        <w:t>Organiser l</w:t>
      </w:r>
      <w:r w:rsidR="00A61E6D" w:rsidRPr="00B41FAD">
        <w:t>’</w:t>
      </w:r>
      <w:r w:rsidRPr="00B41FAD">
        <w:t>information</w:t>
      </w:r>
      <w:bookmarkEnd w:id="35"/>
    </w:p>
    <w:p w14:paraId="2815BF84" w14:textId="77777777" w:rsidR="004325DC" w:rsidRPr="00B41FAD" w:rsidRDefault="00C10A1F" w:rsidP="00914287">
      <w:pPr>
        <w:pStyle w:val="Texte1"/>
      </w:pPr>
      <w:r w:rsidRPr="00B41FAD">
        <w:t xml:space="preserve">Quand un État partie </w:t>
      </w:r>
      <w:r w:rsidR="00F511BC" w:rsidRPr="00B41FAD">
        <w:t>dresse</w:t>
      </w:r>
      <w:r w:rsidRPr="00B41FAD">
        <w:t xml:space="preserve"> plusieurs inventaires, par exemple aux niveaux national et provincial, cela introduit parfois </w:t>
      </w:r>
      <w:r w:rsidR="003518D9" w:rsidRPr="00B41FAD">
        <w:t>d</w:t>
      </w:r>
      <w:r w:rsidRPr="00B41FAD">
        <w:t>es hiérarchies entre les éléments du PCI. Dans d</w:t>
      </w:r>
      <w:r w:rsidR="00A61E6D" w:rsidRPr="00B41FAD">
        <w:t>’</w:t>
      </w:r>
      <w:r w:rsidRPr="00B41FAD">
        <w:t>autres cas, l</w:t>
      </w:r>
      <w:r w:rsidR="00381367" w:rsidRPr="00B41FAD">
        <w:t>’in</w:t>
      </w:r>
      <w:r w:rsidR="00A20A1A" w:rsidRPr="00B41FAD">
        <w:t>script</w:t>
      </w:r>
      <w:r w:rsidR="00381367" w:rsidRPr="00B41FAD">
        <w:t>ion</w:t>
      </w:r>
      <w:r w:rsidRPr="00B41FAD">
        <w:t xml:space="preserve"> </w:t>
      </w:r>
      <w:r w:rsidR="00381367" w:rsidRPr="00B41FAD">
        <w:t>d’</w:t>
      </w:r>
      <w:r w:rsidRPr="00B41FAD">
        <w:t>un élément</w:t>
      </w:r>
      <w:r w:rsidR="00C369A8" w:rsidRPr="00B41FAD">
        <w:t xml:space="preserve"> à l’inventaire</w:t>
      </w:r>
      <w:r w:rsidR="00F511BC" w:rsidRPr="00B41FAD">
        <w:t xml:space="preserve"> </w:t>
      </w:r>
      <w:r w:rsidR="00C369A8" w:rsidRPr="00B41FAD">
        <w:t>porte à</w:t>
      </w:r>
      <w:r w:rsidR="00381367" w:rsidRPr="00B41FAD">
        <w:t xml:space="preserve"> croire qu’il </w:t>
      </w:r>
      <w:r w:rsidR="00F511BC" w:rsidRPr="00B41FAD">
        <w:t>a</w:t>
      </w:r>
      <w:r w:rsidR="00381367" w:rsidRPr="00B41FAD">
        <w:t xml:space="preserve"> </w:t>
      </w:r>
      <w:r w:rsidR="00F511BC" w:rsidRPr="00B41FAD">
        <w:t>davantage</w:t>
      </w:r>
      <w:r w:rsidRPr="00B41FAD">
        <w:rPr>
          <w:color w:val="000000" w:themeColor="text1"/>
        </w:rPr>
        <w:t xml:space="preserve"> </w:t>
      </w:r>
      <w:r w:rsidR="00F511BC" w:rsidRPr="00B41FAD">
        <w:rPr>
          <w:color w:val="000000" w:themeColor="text1"/>
        </w:rPr>
        <w:t>d’</w:t>
      </w:r>
      <w:r w:rsidRPr="00B41FAD">
        <w:rPr>
          <w:color w:val="000000" w:themeColor="text1"/>
        </w:rPr>
        <w:t>importan</w:t>
      </w:r>
      <w:r w:rsidR="00F511BC" w:rsidRPr="00B41FAD">
        <w:rPr>
          <w:color w:val="000000" w:themeColor="text1"/>
        </w:rPr>
        <w:t>ce</w:t>
      </w:r>
      <w:r w:rsidRPr="00B41FAD">
        <w:t xml:space="preserve"> que ceux qui n</w:t>
      </w:r>
      <w:r w:rsidR="00A61E6D" w:rsidRPr="00B41FAD">
        <w:t>’</w:t>
      </w:r>
      <w:r w:rsidRPr="00B41FAD">
        <w:t>ont pas été inventoriés. Certains pays indiquent clairement que l</w:t>
      </w:r>
      <w:r w:rsidR="00A61E6D" w:rsidRPr="00B41FAD">
        <w:t>’</w:t>
      </w:r>
      <w:r w:rsidR="00D41FCE" w:rsidRPr="00B41FAD">
        <w:t>in</w:t>
      </w:r>
      <w:r w:rsidR="00BE268E" w:rsidRPr="00B41FAD">
        <w:t>script</w:t>
      </w:r>
      <w:r w:rsidR="00D41FCE" w:rsidRPr="00B41FAD">
        <w:t>ion sur les l</w:t>
      </w:r>
      <w:r w:rsidRPr="00B41FAD">
        <w:t xml:space="preserve">istes nationales est étroitement liée aux candidatures </w:t>
      </w:r>
      <w:r w:rsidR="00BE268E" w:rsidRPr="00B41FAD">
        <w:t>actuelle</w:t>
      </w:r>
      <w:r w:rsidRPr="00B41FAD">
        <w:t xml:space="preserve">s et proposées sur les Listes de la Convention. </w:t>
      </w:r>
      <w:r w:rsidR="00BE268E" w:rsidRPr="00B41FAD">
        <w:t>La création de</w:t>
      </w:r>
      <w:r w:rsidRPr="00B41FAD">
        <w:t xml:space="preserve"> hiérarchies entre les éléments du PCI va cependant à l</w:t>
      </w:r>
      <w:r w:rsidR="00A61E6D" w:rsidRPr="00B41FAD">
        <w:t>’</w:t>
      </w:r>
      <w:r w:rsidRPr="00B41FAD">
        <w:t xml:space="preserve">encontre </w:t>
      </w:r>
      <w:r w:rsidR="00242EE4" w:rsidRPr="00B41FAD">
        <w:t xml:space="preserve">de </w:t>
      </w:r>
      <w:r w:rsidRPr="00B41FAD">
        <w:t>l</w:t>
      </w:r>
      <w:r w:rsidR="00A61E6D" w:rsidRPr="00B41FAD">
        <w:t>’</w:t>
      </w:r>
      <w:r w:rsidRPr="00B41FAD">
        <w:t>esprit de la Convention.</w:t>
      </w:r>
    </w:p>
    <w:p w14:paraId="6560E326" w14:textId="77777777" w:rsidR="004325DC" w:rsidRPr="00B41FAD" w:rsidRDefault="00C10A1F" w:rsidP="00914287">
      <w:pPr>
        <w:pStyle w:val="Texte1"/>
      </w:pPr>
      <w:r w:rsidRPr="00B41FAD">
        <w:t>Pour organiser l</w:t>
      </w:r>
      <w:r w:rsidR="00A61E6D" w:rsidRPr="00B41FAD">
        <w:t>’</w:t>
      </w:r>
      <w:r w:rsidRPr="00B41FAD">
        <w:t xml:space="preserve">information, certains États parties </w:t>
      </w:r>
      <w:r w:rsidR="00AD1769" w:rsidRPr="00B41FAD">
        <w:t>prenn</w:t>
      </w:r>
      <w:r w:rsidRPr="00B41FAD">
        <w:t>ent l</w:t>
      </w:r>
      <w:r w:rsidR="00A61E6D" w:rsidRPr="00B41FAD">
        <w:t>’</w:t>
      </w:r>
      <w:r w:rsidRPr="00B41FAD">
        <w:t>ensemble de</w:t>
      </w:r>
      <w:r w:rsidR="00AD1769" w:rsidRPr="00B41FAD">
        <w:t>s</w:t>
      </w:r>
      <w:r w:rsidRPr="00B41FAD">
        <w:t xml:space="preserve"> domaines </w:t>
      </w:r>
      <w:r w:rsidR="00C369A8" w:rsidRPr="00B41FAD">
        <w:t>énonc</w:t>
      </w:r>
      <w:r w:rsidR="00564B42" w:rsidRPr="00B41FAD">
        <w:t>é</w:t>
      </w:r>
      <w:r w:rsidR="00AD1769" w:rsidRPr="00B41FAD">
        <w:t>s</w:t>
      </w:r>
      <w:r w:rsidR="00564B42" w:rsidRPr="00B41FAD">
        <w:t xml:space="preserve"> de manière non exhaustive</w:t>
      </w:r>
      <w:r w:rsidR="00892EBD" w:rsidRPr="00B41FAD">
        <w:t xml:space="preserve"> </w:t>
      </w:r>
      <w:r w:rsidRPr="00B41FAD">
        <w:t>à l</w:t>
      </w:r>
      <w:r w:rsidR="00A61E6D" w:rsidRPr="00B41FAD">
        <w:t>’</w:t>
      </w:r>
      <w:r w:rsidR="00043DFF" w:rsidRPr="00B41FAD">
        <w:t>article </w:t>
      </w:r>
      <w:r w:rsidRPr="00B41FAD">
        <w:t xml:space="preserve">2.2 de la Convention, souvent avec des adaptations et/ou des ajouts. </w:t>
      </w:r>
      <w:r w:rsidR="00AD1769" w:rsidRPr="00B41FAD">
        <w:t>D’autres</w:t>
      </w:r>
      <w:r w:rsidRPr="00B41FAD">
        <w:t xml:space="preserve"> ont recours à un système de classification </w:t>
      </w:r>
      <w:r w:rsidR="00AD1769" w:rsidRPr="00B41FAD">
        <w:t>équivalent</w:t>
      </w:r>
      <w:r w:rsidRPr="00B41FAD">
        <w:t xml:space="preserve"> mis au point par des experts et/ou des représentants de la communauté. Quel que soit le sy</w:t>
      </w:r>
      <w:r w:rsidR="00AD1769" w:rsidRPr="00B41FAD">
        <w:t>stème retenu</w:t>
      </w:r>
      <w:r w:rsidRPr="00B41FAD">
        <w:t xml:space="preserve">, </w:t>
      </w:r>
      <w:r w:rsidR="002B6C50" w:rsidRPr="00B41FAD">
        <w:t>l’</w:t>
      </w:r>
      <w:r w:rsidRPr="00B41FAD">
        <w:t>important</w:t>
      </w:r>
      <w:r w:rsidR="002B6C50" w:rsidRPr="00B41FAD">
        <w:t xml:space="preserve"> est</w:t>
      </w:r>
      <w:r w:rsidRPr="00B41FAD">
        <w:t xml:space="preserve"> qu</w:t>
      </w:r>
      <w:r w:rsidR="00A61E6D" w:rsidRPr="00B41FAD">
        <w:t>’</w:t>
      </w:r>
      <w:r w:rsidRPr="00B41FAD">
        <w:t xml:space="preserve">il facilite </w:t>
      </w:r>
      <w:r w:rsidR="008520A6" w:rsidRPr="00B41FAD">
        <w:t xml:space="preserve">un </w:t>
      </w:r>
      <w:r w:rsidRPr="00B41FAD">
        <w:t>accès approprié à l</w:t>
      </w:r>
      <w:r w:rsidR="00A61E6D" w:rsidRPr="00B41FAD">
        <w:t>’</w:t>
      </w:r>
      <w:r w:rsidRPr="00B41FAD">
        <w:t xml:space="preserve">information </w:t>
      </w:r>
      <w:r w:rsidR="008520A6" w:rsidRPr="00B41FAD">
        <w:t>pour l</w:t>
      </w:r>
      <w:r w:rsidR="00A61FC0" w:rsidRPr="00B41FAD">
        <w:t xml:space="preserve">es </w:t>
      </w:r>
      <w:r w:rsidR="008520A6" w:rsidRPr="00B41FAD">
        <w:t>communautés concernées et</w:t>
      </w:r>
      <w:r w:rsidR="002B6C50" w:rsidRPr="00B41FAD">
        <w:t xml:space="preserve"> </w:t>
      </w:r>
      <w:r w:rsidRPr="00B41FAD">
        <w:t xml:space="preserve">autres </w:t>
      </w:r>
      <w:r w:rsidR="002B6C50" w:rsidRPr="00B41FAD">
        <w:t>parties prenantes</w:t>
      </w:r>
      <w:r w:rsidR="00A61FC0" w:rsidRPr="00B41FAD">
        <w:t xml:space="preserve"> à l’inventaire</w:t>
      </w:r>
      <w:r w:rsidRPr="00B41FAD">
        <w:t xml:space="preserve">. </w:t>
      </w:r>
      <w:r w:rsidR="00377457" w:rsidRPr="00B41FAD">
        <w:t>C</w:t>
      </w:r>
      <w:r w:rsidRPr="00B41FAD">
        <w:t>o</w:t>
      </w:r>
      <w:r w:rsidR="00377457" w:rsidRPr="00B41FAD">
        <w:t>nformément à</w:t>
      </w:r>
      <w:r w:rsidRPr="00B41FAD">
        <w:t xml:space="preserve"> l</w:t>
      </w:r>
      <w:r w:rsidR="00377457" w:rsidRPr="00B41FAD">
        <w:t>’obligation</w:t>
      </w:r>
      <w:r w:rsidRPr="00B41FAD">
        <w:t xml:space="preserve"> </w:t>
      </w:r>
      <w:r w:rsidR="00377457" w:rsidRPr="00B41FAD">
        <w:t>d’assurer la</w:t>
      </w:r>
      <w:r w:rsidRPr="00B41FAD">
        <w:t xml:space="preserve"> </w:t>
      </w:r>
      <w:r w:rsidR="00377457" w:rsidRPr="00B41FAD">
        <w:t>participation,</w:t>
      </w:r>
      <w:r w:rsidRPr="00B41FAD">
        <w:t xml:space="preserve"> l</w:t>
      </w:r>
      <w:r w:rsidR="00A61E6D" w:rsidRPr="00B41FAD">
        <w:t>’</w:t>
      </w:r>
      <w:r w:rsidR="00377457" w:rsidRPr="00B41FAD">
        <w:t xml:space="preserve">accès et le </w:t>
      </w:r>
      <w:r w:rsidRPr="00B41FAD">
        <w:t>consentement de</w:t>
      </w:r>
      <w:r w:rsidR="00A00FFA" w:rsidRPr="00B41FAD">
        <w:t>s</w:t>
      </w:r>
      <w:r w:rsidRPr="00B41FAD">
        <w:t xml:space="preserve"> communauté</w:t>
      </w:r>
      <w:r w:rsidR="00A00FFA" w:rsidRPr="00B41FAD">
        <w:t>s</w:t>
      </w:r>
      <w:r w:rsidRPr="00B41FAD">
        <w:t xml:space="preserve">, </w:t>
      </w:r>
      <w:r w:rsidR="00377457" w:rsidRPr="00B41FAD">
        <w:t xml:space="preserve">il </w:t>
      </w:r>
      <w:r w:rsidR="00694DF4" w:rsidRPr="00B41FAD">
        <w:t xml:space="preserve">faut veiller à </w:t>
      </w:r>
      <w:r w:rsidR="00DA6F98" w:rsidRPr="00B41FAD">
        <w:t>rendre</w:t>
      </w:r>
      <w:r w:rsidR="00361E6E" w:rsidRPr="00B41FAD">
        <w:t xml:space="preserve"> </w:t>
      </w:r>
      <w:r w:rsidRPr="00B41FAD">
        <w:t xml:space="preserve">les systèmes de </w:t>
      </w:r>
      <w:r w:rsidR="00361E6E" w:rsidRPr="00B41FAD">
        <w:t>classification et d</w:t>
      </w:r>
      <w:r w:rsidR="00A61E6D" w:rsidRPr="00B41FAD">
        <w:t>’</w:t>
      </w:r>
      <w:r w:rsidRPr="00B41FAD">
        <w:t xml:space="preserve">accès </w:t>
      </w:r>
      <w:r w:rsidR="00694DF4" w:rsidRPr="00B41FAD">
        <w:t>facil</w:t>
      </w:r>
      <w:r w:rsidR="00361E6E" w:rsidRPr="00B41FAD">
        <w:t>e</w:t>
      </w:r>
      <w:r w:rsidR="00A00FFA" w:rsidRPr="00B41FAD">
        <w:t>s à</w:t>
      </w:r>
      <w:r w:rsidR="00361E6E" w:rsidRPr="00B41FAD">
        <w:t xml:space="preserve"> compren</w:t>
      </w:r>
      <w:r w:rsidR="00A00FFA" w:rsidRPr="00B41FAD">
        <w:t>dre</w:t>
      </w:r>
      <w:r w:rsidR="00361E6E" w:rsidRPr="00B41FAD">
        <w:t xml:space="preserve"> pour les </w:t>
      </w:r>
      <w:r w:rsidR="00A00FFA" w:rsidRPr="00B41FAD">
        <w:t>profanes</w:t>
      </w:r>
      <w:r w:rsidR="00361E6E" w:rsidRPr="00B41FAD">
        <w:t xml:space="preserve"> et</w:t>
      </w:r>
      <w:r w:rsidR="00DA6F98" w:rsidRPr="00B41FAD">
        <w:t xml:space="preserve"> les communautés </w:t>
      </w:r>
      <w:r w:rsidR="00A00FFA" w:rsidRPr="00B41FAD">
        <w:t>elles-mêmes</w:t>
      </w:r>
      <w:r w:rsidRPr="00B41FAD">
        <w:t xml:space="preserve"> en employant</w:t>
      </w:r>
      <w:r w:rsidR="00A00FFA" w:rsidRPr="00B41FAD">
        <w:t>,</w:t>
      </w:r>
      <w:r w:rsidRPr="00B41FAD">
        <w:t xml:space="preserve"> par exemple</w:t>
      </w:r>
      <w:r w:rsidR="00A00FFA" w:rsidRPr="00B41FAD">
        <w:t>,</w:t>
      </w:r>
      <w:r w:rsidRPr="00B41FAD">
        <w:t xml:space="preserve"> des termes </w:t>
      </w:r>
      <w:r w:rsidR="00A00FFA" w:rsidRPr="00B41FAD">
        <w:t>locaux</w:t>
      </w:r>
      <w:r w:rsidRPr="00B41FAD">
        <w:t xml:space="preserve"> pour les désigner ou en mentionnant ces noms de manière explicite.</w:t>
      </w:r>
    </w:p>
    <w:p w14:paraId="50F70B7C" w14:textId="77777777" w:rsidR="00C10A1F" w:rsidRPr="00B41FAD" w:rsidRDefault="00C10A1F">
      <w:pPr>
        <w:pStyle w:val="Heading4"/>
      </w:pPr>
      <w:bookmarkStart w:id="36" w:name="_Toc247360196"/>
      <w:r w:rsidRPr="00B41FAD">
        <w:t>Utiliser les inventaires existants</w:t>
      </w:r>
      <w:bookmarkEnd w:id="36"/>
    </w:p>
    <w:p w14:paraId="3080765B" w14:textId="3E43310F" w:rsidR="004325DC" w:rsidRPr="00AF22F0" w:rsidRDefault="00C10A1F" w:rsidP="00914287">
      <w:pPr>
        <w:pStyle w:val="Texte1"/>
      </w:pPr>
      <w:r w:rsidRPr="00B41FAD">
        <w:t>Certains États parties peuvent envisager de présenter en guise d</w:t>
      </w:r>
      <w:r w:rsidR="00A61E6D" w:rsidRPr="00B41FAD">
        <w:t>’</w:t>
      </w:r>
      <w:r w:rsidRPr="00B41FAD">
        <w:t>inventaire</w:t>
      </w:r>
      <w:r w:rsidR="0017682C" w:rsidRPr="00B41FAD">
        <w:t xml:space="preserve"> les registres existants</w:t>
      </w:r>
      <w:r w:rsidR="00833F35" w:rsidRPr="00B41FAD">
        <w:t xml:space="preserve"> ou les listes</w:t>
      </w:r>
      <w:r w:rsidRPr="00B41FAD">
        <w:t xml:space="preserve"> </w:t>
      </w:r>
      <w:r w:rsidR="00000E9C" w:rsidRPr="00B41FAD">
        <w:t>dressé</w:t>
      </w:r>
      <w:r w:rsidRPr="00B41FAD">
        <w:t>es avant d</w:t>
      </w:r>
      <w:r w:rsidR="00A61E6D" w:rsidRPr="00B41FAD">
        <w:t>’</w:t>
      </w:r>
      <w:r w:rsidRPr="00B41FAD">
        <w:t>avoir ratifié la Convention</w:t>
      </w:r>
      <w:r w:rsidR="00EA1FE1" w:rsidRPr="00B41FAD">
        <w:t> ;</w:t>
      </w:r>
      <w:r w:rsidRPr="00B41FAD">
        <w:t xml:space="preserve"> dans le passé, ces listes étaient </w:t>
      </w:r>
      <w:r w:rsidR="00833F35" w:rsidRPr="00B41FAD">
        <w:t>souv</w:t>
      </w:r>
      <w:r w:rsidRPr="00B41FAD">
        <w:t xml:space="preserve">ent établies par des anthropologues ou des ethnologues. Cela peut </w:t>
      </w:r>
      <w:r w:rsidR="00000E9C" w:rsidRPr="00B41FAD">
        <w:t>être</w:t>
      </w:r>
      <w:r w:rsidR="00833F35" w:rsidRPr="00B41FAD">
        <w:t xml:space="preserve"> source de</w:t>
      </w:r>
      <w:r w:rsidRPr="00B41FAD">
        <w:t xml:space="preserve"> difficultés. Lorsque les États parties rendent compte de leurs inventaires au Comité dans le</w:t>
      </w:r>
      <w:r w:rsidR="0017682C" w:rsidRPr="00B41FAD">
        <w:t xml:space="preserve"> rapport périodique</w:t>
      </w:r>
      <w:r w:rsidRPr="00B41FAD">
        <w:t xml:space="preserve"> qu</w:t>
      </w:r>
      <w:r w:rsidR="00A61E6D" w:rsidRPr="00B41FAD">
        <w:t>’</w:t>
      </w:r>
      <w:r w:rsidRPr="00B41FAD">
        <w:t xml:space="preserve">ils </w:t>
      </w:r>
      <w:r w:rsidR="00000E9C" w:rsidRPr="00B41FAD">
        <w:t xml:space="preserve">lui </w:t>
      </w:r>
      <w:r w:rsidRPr="00B41FAD">
        <w:t>soumettent tous les six</w:t>
      </w:r>
      <w:r w:rsidR="00825C84">
        <w:t> </w:t>
      </w:r>
      <w:r w:rsidRPr="00B41FAD">
        <w:t xml:space="preserve">ans, ils sont censés indiquer </w:t>
      </w:r>
      <w:r w:rsidR="00833F35" w:rsidRPr="00B41FAD">
        <w:t>la manière dont</w:t>
      </w:r>
      <w:r w:rsidRPr="00B41FAD">
        <w:t xml:space="preserve"> les communautés concernées ont participé à l</w:t>
      </w:r>
      <w:r w:rsidR="00A61E6D" w:rsidRPr="00B41FAD">
        <w:t>’</w:t>
      </w:r>
      <w:r w:rsidRPr="00B41FAD">
        <w:t>identification des</w:t>
      </w:r>
      <w:r w:rsidR="00131EA8" w:rsidRPr="00B41FAD">
        <w:t xml:space="preserve"> informations présentées et dont elles ont </w:t>
      </w:r>
      <w:r w:rsidRPr="00B41FAD">
        <w:t>consent</w:t>
      </w:r>
      <w:r w:rsidR="0069251E" w:rsidRPr="00B41FAD">
        <w:t>i</w:t>
      </w:r>
      <w:r w:rsidRPr="00B41FAD">
        <w:t xml:space="preserve"> à l</w:t>
      </w:r>
      <w:r w:rsidR="0069251E" w:rsidRPr="00B41FAD">
        <w:t xml:space="preserve">eur </w:t>
      </w:r>
      <w:r w:rsidRPr="00B41FAD">
        <w:t xml:space="preserve">inclusion. Ces </w:t>
      </w:r>
      <w:r w:rsidR="0069251E" w:rsidRPr="00B41FAD">
        <w:t>renseignement</w:t>
      </w:r>
      <w:r w:rsidRPr="00B41FAD">
        <w:t>s ne sont pas toujours disponibles pour les list</w:t>
      </w:r>
      <w:r w:rsidR="0069251E" w:rsidRPr="00B41FAD">
        <w:t>e</w:t>
      </w:r>
      <w:r w:rsidRPr="00B41FAD">
        <w:t>s plus ancien</w:t>
      </w:r>
      <w:r w:rsidR="0069251E" w:rsidRPr="00B41FAD">
        <w:t>ne</w:t>
      </w:r>
      <w:r w:rsidRPr="00B41FAD">
        <w:t>s</w:t>
      </w:r>
      <w:r w:rsidR="00EA1FE1" w:rsidRPr="00B41FAD">
        <w:t> ;</w:t>
      </w:r>
      <w:r w:rsidRPr="00B41FAD">
        <w:t xml:space="preserve"> le consentement de la communauté, s</w:t>
      </w:r>
      <w:r w:rsidR="00A61E6D" w:rsidRPr="00B41FAD">
        <w:t>’</w:t>
      </w:r>
      <w:r w:rsidRPr="00B41FAD">
        <w:t xml:space="preserve">il est obtenu, </w:t>
      </w:r>
      <w:r w:rsidR="003A5232" w:rsidRPr="00B41FAD">
        <w:t>n’est</w:t>
      </w:r>
      <w:r w:rsidRPr="00B41FAD">
        <w:t xml:space="preserve"> pas </w:t>
      </w:r>
      <w:r w:rsidR="003A5232" w:rsidRPr="00B41FAD">
        <w:t>nécessairement</w:t>
      </w:r>
      <w:r w:rsidRPr="00B41FAD">
        <w:t xml:space="preserve"> applicable aux nouvelles formes de di</w:t>
      </w:r>
      <w:r w:rsidR="00EE7BC8" w:rsidRPr="00B41FAD">
        <w:t>stribut</w:t>
      </w:r>
      <w:r w:rsidR="00766989" w:rsidRPr="00B41FAD">
        <w:t xml:space="preserve">ion. </w:t>
      </w:r>
      <w:r w:rsidR="00514E15" w:rsidRPr="00B41FAD">
        <w:t xml:space="preserve">La mise à jour </w:t>
      </w:r>
      <w:r w:rsidR="00EE7BC8" w:rsidRPr="00B41FAD">
        <w:t xml:space="preserve">de plus vieux </w:t>
      </w:r>
      <w:r w:rsidRPr="00B41FAD">
        <w:t xml:space="preserve">inventaires </w:t>
      </w:r>
      <w:r w:rsidR="00EE7BC8" w:rsidRPr="00B41FAD">
        <w:t xml:space="preserve">du PCI </w:t>
      </w:r>
      <w:r w:rsidRPr="00B41FAD">
        <w:t xml:space="preserve">peut </w:t>
      </w:r>
      <w:r w:rsidR="00EE7BC8" w:rsidRPr="00B41FAD">
        <w:t xml:space="preserve">s’avérer indispensable </w:t>
      </w:r>
      <w:r w:rsidRPr="00B41FAD">
        <w:t xml:space="preserve">non seulement pour </w:t>
      </w:r>
      <w:r w:rsidR="00A26A42" w:rsidRPr="00B41FAD">
        <w:t xml:space="preserve">y </w:t>
      </w:r>
      <w:r w:rsidRPr="00B41FAD">
        <w:t>in</w:t>
      </w:r>
      <w:r w:rsidR="00EE7BC8" w:rsidRPr="00B41FAD">
        <w:t>clure</w:t>
      </w:r>
      <w:r w:rsidRPr="00B41FAD">
        <w:t xml:space="preserve"> de nouveaux éléments, mais aussi vérifier et</w:t>
      </w:r>
      <w:r w:rsidR="00514E15" w:rsidRPr="00B41FAD">
        <w:t>,</w:t>
      </w:r>
      <w:r w:rsidRPr="00B41FAD">
        <w:t xml:space="preserve"> </w:t>
      </w:r>
      <w:r w:rsidR="00514E15" w:rsidRPr="00B41FAD">
        <w:t>le cas échéant, adapter</w:t>
      </w:r>
      <w:r w:rsidR="00DA3861" w:rsidRPr="00B41FAD">
        <w:t xml:space="preserve"> les informations existantes</w:t>
      </w:r>
      <w:r w:rsidRPr="00B41FAD">
        <w:t>, par exemple</w:t>
      </w:r>
      <w:r w:rsidR="00514E15" w:rsidRPr="00B41FAD">
        <w:t xml:space="preserve"> </w:t>
      </w:r>
      <w:r w:rsidR="00DA3861" w:rsidRPr="00B41FAD">
        <w:t>sur le</w:t>
      </w:r>
      <w:r w:rsidRPr="00B41FAD">
        <w:t xml:space="preserve"> degré de viabilité des éléments </w:t>
      </w:r>
      <w:r w:rsidRPr="00AF22F0">
        <w:t>concernés.</w:t>
      </w:r>
      <w:r w:rsidR="00FF6202" w:rsidRPr="00AF22F0">
        <w:t xml:space="preserve"> </w:t>
      </w:r>
      <w:r w:rsidR="00B5106D" w:rsidRPr="00AF22F0">
        <w:t>À</w:t>
      </w:r>
      <w:r w:rsidR="007D378C" w:rsidRPr="00AF22F0">
        <w:t xml:space="preserve"> travers la notion de consentement durable, le principe </w:t>
      </w:r>
      <w:r w:rsidR="007D378C" w:rsidRPr="00AF22F0">
        <w:br/>
        <w:t>éthique 4 met également en lumière l’</w:t>
      </w:r>
      <w:r w:rsidR="006417FD" w:rsidRPr="00AF22F0">
        <w:t xml:space="preserve">importance de revenir </w:t>
      </w:r>
      <w:r w:rsidR="007D378C" w:rsidRPr="00AF22F0">
        <w:t xml:space="preserve">vers les communautés par </w:t>
      </w:r>
      <w:r w:rsidR="00E2464C" w:rsidRPr="00AF22F0">
        <w:t xml:space="preserve">le </w:t>
      </w:r>
      <w:r w:rsidR="00E2464C" w:rsidRPr="00AF22F0">
        <w:lastRenderedPageBreak/>
        <w:t>biais d’</w:t>
      </w:r>
      <w:r w:rsidR="007D378C" w:rsidRPr="00AF22F0">
        <w:t xml:space="preserve">une collaboration transparente, </w:t>
      </w:r>
      <w:r w:rsidR="00E2464C" w:rsidRPr="00AF22F0">
        <w:t>du</w:t>
      </w:r>
      <w:r w:rsidR="007D378C" w:rsidRPr="00AF22F0">
        <w:t xml:space="preserve"> dialogue, </w:t>
      </w:r>
      <w:r w:rsidR="00E2464C" w:rsidRPr="00AF22F0">
        <w:t xml:space="preserve">de </w:t>
      </w:r>
      <w:r w:rsidR="007D378C" w:rsidRPr="00AF22F0">
        <w:t xml:space="preserve">la négociation et </w:t>
      </w:r>
      <w:r w:rsidR="00E2464C" w:rsidRPr="00AF22F0">
        <w:t xml:space="preserve">de </w:t>
      </w:r>
      <w:r w:rsidR="007D378C" w:rsidRPr="00AF22F0">
        <w:t>la consultation (voir PE 4).</w:t>
      </w:r>
    </w:p>
    <w:p w14:paraId="4B494086" w14:textId="77777777" w:rsidR="004325DC" w:rsidRPr="00B41FAD" w:rsidRDefault="00FB1DF7" w:rsidP="007C119C">
      <w:pPr>
        <w:pStyle w:val="Titcoul"/>
      </w:pPr>
      <w:bookmarkStart w:id="37" w:name="_Toc238963211"/>
      <w:bookmarkStart w:id="38" w:name="_Toc241065097"/>
      <w:bookmarkStart w:id="39" w:name="_Toc301443350"/>
      <w:bookmarkStart w:id="40" w:name="_Toc321406993"/>
      <w:bookmarkStart w:id="41" w:name="_Toc354486617"/>
      <w:bookmarkStart w:id="42" w:name="_Toc354486923"/>
      <w:bookmarkStart w:id="43" w:name="_Toc247360197"/>
      <w:r w:rsidRPr="00B41FAD">
        <w:t>6</w:t>
      </w:r>
      <w:r w:rsidR="00C10A1F" w:rsidRPr="00B41FAD">
        <w:t>.4</w:t>
      </w:r>
      <w:bookmarkEnd w:id="37"/>
      <w:bookmarkEnd w:id="38"/>
      <w:r w:rsidR="009270A5" w:rsidRPr="00B41FAD">
        <w:tab/>
      </w:r>
      <w:bookmarkStart w:id="44" w:name="_Toc238963212"/>
      <w:bookmarkStart w:id="45" w:name="_Toc241065098"/>
      <w:r w:rsidR="00C10A1F" w:rsidRPr="00B41FAD">
        <w:t>Crit</w:t>
      </w:r>
      <w:r w:rsidR="00752A0F" w:rsidRPr="00B41FAD">
        <w:t>È</w:t>
      </w:r>
      <w:r w:rsidR="00C10A1F" w:rsidRPr="00B41FAD">
        <w:t>res d</w:t>
      </w:r>
      <w:r w:rsidR="00A61E6D" w:rsidRPr="00B41FAD">
        <w:t>’</w:t>
      </w:r>
      <w:r w:rsidR="00C10A1F" w:rsidRPr="00B41FAD">
        <w:t>inclusion</w:t>
      </w:r>
      <w:bookmarkEnd w:id="39"/>
      <w:bookmarkEnd w:id="40"/>
      <w:bookmarkEnd w:id="41"/>
      <w:bookmarkEnd w:id="42"/>
      <w:bookmarkEnd w:id="43"/>
      <w:bookmarkEnd w:id="44"/>
      <w:bookmarkEnd w:id="45"/>
    </w:p>
    <w:p w14:paraId="543D28C0" w14:textId="77777777" w:rsidR="004325DC" w:rsidRPr="00B41FAD" w:rsidRDefault="00C10A1F" w:rsidP="00914287">
      <w:pPr>
        <w:pStyle w:val="Texte1"/>
      </w:pPr>
      <w:r w:rsidRPr="00B41FAD">
        <w:t xml:space="preserve">Les critères retenus pour inclure </w:t>
      </w:r>
      <w:r w:rsidR="007D4F4D" w:rsidRPr="00B41FAD">
        <w:t>un</w:t>
      </w:r>
      <w:r w:rsidRPr="00B41FAD">
        <w:t xml:space="preserve"> élément</w:t>
      </w:r>
      <w:r w:rsidR="007D4F4D" w:rsidRPr="00B41FAD">
        <w:t xml:space="preserve"> à l’</w:t>
      </w:r>
      <w:r w:rsidRPr="00B41FAD">
        <w:t>inventaire doivent être clairs et transparents. Certains inventaires s</w:t>
      </w:r>
      <w:r w:rsidR="00A61E6D" w:rsidRPr="00B41FAD">
        <w:t>’</w:t>
      </w:r>
      <w:r w:rsidRPr="00B41FAD">
        <w:t xml:space="preserve">appuient sur la définition du PCI </w:t>
      </w:r>
      <w:r w:rsidR="007D4F4D" w:rsidRPr="00B41FAD">
        <w:t>énonc</w:t>
      </w:r>
      <w:r w:rsidRPr="00B41FAD">
        <w:t xml:space="preserve">ée </w:t>
      </w:r>
      <w:r w:rsidR="00647513" w:rsidRPr="00B41FAD">
        <w:t>à l’article 2.1 de</w:t>
      </w:r>
      <w:r w:rsidRPr="00B41FAD">
        <w:t xml:space="preserve"> la Convention</w:t>
      </w:r>
      <w:r w:rsidR="00EA1FE1" w:rsidRPr="00B41FAD">
        <w:t> ;</w:t>
      </w:r>
      <w:r w:rsidRPr="00B41FAD">
        <w:t xml:space="preserve"> d</w:t>
      </w:r>
      <w:r w:rsidR="00A61E6D" w:rsidRPr="00B41FAD">
        <w:t>’</w:t>
      </w:r>
      <w:r w:rsidRPr="00B41FAD">
        <w:t xml:space="preserve">autres </w:t>
      </w:r>
      <w:r w:rsidR="00125D18" w:rsidRPr="00B41FAD">
        <w:t>suivent</w:t>
      </w:r>
      <w:r w:rsidRPr="00B41FAD">
        <w:t xml:space="preserve"> une définition du PCI qui diffère </w:t>
      </w:r>
      <w:r w:rsidR="00125D18" w:rsidRPr="00B41FAD">
        <w:t xml:space="preserve">de celle de la Convention </w:t>
      </w:r>
      <w:r w:rsidRPr="00B41FAD">
        <w:t xml:space="preserve">à </w:t>
      </w:r>
      <w:r w:rsidR="00125D18" w:rsidRPr="00B41FAD">
        <w:t>plusieur</w:t>
      </w:r>
      <w:r w:rsidRPr="00B41FAD">
        <w:t xml:space="preserve">s égards. </w:t>
      </w:r>
      <w:r w:rsidR="0047555C" w:rsidRPr="00B41FAD">
        <w:t>Il existe de</w:t>
      </w:r>
      <w:r w:rsidRPr="00B41FAD">
        <w:t xml:space="preserve">s inventaires </w:t>
      </w:r>
      <w:r w:rsidR="0070152B" w:rsidRPr="00B41FAD">
        <w:t>dans lesquels</w:t>
      </w:r>
      <w:r w:rsidR="0047555C" w:rsidRPr="00B41FAD">
        <w:t xml:space="preserve"> figurent d</w:t>
      </w:r>
      <w:r w:rsidRPr="00B41FAD">
        <w:t xml:space="preserve">es éléments </w:t>
      </w:r>
      <w:r w:rsidR="0047555C" w:rsidRPr="00B41FAD">
        <w:t xml:space="preserve">qui </w:t>
      </w:r>
      <w:r w:rsidRPr="00B41FAD">
        <w:t>ne sont plus pratiqu</w:t>
      </w:r>
      <w:r w:rsidR="0047555C" w:rsidRPr="00B41FAD">
        <w:t xml:space="preserve">és, </w:t>
      </w:r>
      <w:r w:rsidRPr="00B41FAD">
        <w:t>des langues ou</w:t>
      </w:r>
      <w:r w:rsidRPr="00B41FAD" w:rsidDel="00BA63F4">
        <w:t xml:space="preserve"> </w:t>
      </w:r>
      <w:r w:rsidRPr="00B41FAD">
        <w:t xml:space="preserve">des éléments qui ne sont pas conformes aux instruments internationaux </w:t>
      </w:r>
      <w:r w:rsidR="0047555C" w:rsidRPr="00B41FAD">
        <w:t>des</w:t>
      </w:r>
      <w:r w:rsidRPr="00B41FAD">
        <w:t xml:space="preserve"> droits </w:t>
      </w:r>
      <w:r w:rsidR="0047555C" w:rsidRPr="00B41FAD">
        <w:t>de l’</w:t>
      </w:r>
      <w:r w:rsidRPr="00B41FAD">
        <w:t>h</w:t>
      </w:r>
      <w:r w:rsidR="0047555C" w:rsidRPr="00B41FAD">
        <w:t>omme</w:t>
      </w:r>
      <w:r w:rsidRPr="00B41FAD">
        <w:t xml:space="preserve"> </w:t>
      </w:r>
      <w:r w:rsidR="0070152B" w:rsidRPr="00B41FAD">
        <w:t>communé</w:t>
      </w:r>
      <w:r w:rsidRPr="00B41FAD">
        <w:t>ment admis. La Convention n</w:t>
      </w:r>
      <w:r w:rsidR="00A61E6D" w:rsidRPr="00B41FAD">
        <w:t>’</w:t>
      </w:r>
      <w:r w:rsidRPr="00B41FAD">
        <w:t>empêche pas les États parties d</w:t>
      </w:r>
      <w:r w:rsidR="00A61E6D" w:rsidRPr="00B41FAD">
        <w:t>’</w:t>
      </w:r>
      <w:r w:rsidRPr="00B41FAD">
        <w:t>utiliser leur propre définition du PCI à l</w:t>
      </w:r>
      <w:r w:rsidR="00A61E6D" w:rsidRPr="00B41FAD">
        <w:t>’</w:t>
      </w:r>
      <w:r w:rsidRPr="00B41FAD">
        <w:t>échel</w:t>
      </w:r>
      <w:r w:rsidR="00D0134C" w:rsidRPr="00B41FAD">
        <w:t>on</w:t>
      </w:r>
      <w:r w:rsidRPr="00B41FAD">
        <w:t xml:space="preserve"> national, par exemple dans l</w:t>
      </w:r>
      <w:r w:rsidR="00D0134C" w:rsidRPr="00B41FAD">
        <w:t xml:space="preserve">es </w:t>
      </w:r>
      <w:r w:rsidRPr="00B41FAD">
        <w:t>inventaires, mais tou</w:t>
      </w:r>
      <w:r w:rsidR="00CF3A13" w:rsidRPr="00B41FAD">
        <w:t>t élément</w:t>
      </w:r>
      <w:r w:rsidRPr="00B41FAD">
        <w:t xml:space="preserve"> </w:t>
      </w:r>
      <w:r w:rsidR="00CF3A13" w:rsidRPr="00B41FAD">
        <w:t>proposé pour inscription</w:t>
      </w:r>
      <w:r w:rsidRPr="00B41FAD">
        <w:t xml:space="preserve"> sur </w:t>
      </w:r>
      <w:r w:rsidR="00CF3A13" w:rsidRPr="00B41FAD">
        <w:t>l’</w:t>
      </w:r>
      <w:r w:rsidRPr="00B41FAD">
        <w:t>une des Listes de la Convention doi</w:t>
      </w:r>
      <w:r w:rsidR="00CF3A13" w:rsidRPr="00B41FAD">
        <w:t>t être conforme</w:t>
      </w:r>
      <w:r w:rsidRPr="00B41FAD">
        <w:t xml:space="preserve"> à la définition du PCI </w:t>
      </w:r>
      <w:r w:rsidR="0021069B" w:rsidRPr="00B41FAD">
        <w:t xml:space="preserve">énoncée </w:t>
      </w:r>
      <w:r w:rsidRPr="00B41FAD">
        <w:t>dans la Convention (</w:t>
      </w:r>
      <w:r w:rsidR="00461004" w:rsidRPr="00B41FAD">
        <w:t>DO </w:t>
      </w:r>
      <w:r w:rsidRPr="00B41FAD">
        <w:t>1</w:t>
      </w:r>
      <w:r w:rsidR="00BB70F2" w:rsidRPr="00B41FAD">
        <w:t>-</w:t>
      </w:r>
      <w:r w:rsidR="0058069D">
        <w:t>2).</w:t>
      </w:r>
    </w:p>
    <w:p w14:paraId="49511FF2" w14:textId="77777777" w:rsidR="004325DC" w:rsidRPr="00B41FAD" w:rsidRDefault="00C10A1F" w:rsidP="00914287">
      <w:pPr>
        <w:pStyle w:val="Texte1"/>
      </w:pPr>
      <w:r w:rsidRPr="00B41FAD">
        <w:rPr>
          <w:lang w:eastAsia="en-ZA"/>
        </w:rPr>
        <w:t>Un inventaire du PCI d</w:t>
      </w:r>
      <w:r w:rsidR="009E68EF" w:rsidRPr="00B41FAD">
        <w:rPr>
          <w:lang w:eastAsia="en-ZA"/>
        </w:rPr>
        <w:t>o</w:t>
      </w:r>
      <w:r w:rsidRPr="00B41FAD">
        <w:rPr>
          <w:lang w:eastAsia="en-ZA"/>
        </w:rPr>
        <w:t xml:space="preserve">it </w:t>
      </w:r>
      <w:r w:rsidR="00A3695B" w:rsidRPr="00B41FAD">
        <w:rPr>
          <w:lang w:eastAsia="en-ZA"/>
        </w:rPr>
        <w:t>être centré en principe</w:t>
      </w:r>
      <w:r w:rsidR="00337F17" w:rsidRPr="00B41FAD">
        <w:rPr>
          <w:lang w:eastAsia="en-ZA"/>
        </w:rPr>
        <w:t xml:space="preserve"> sur d</w:t>
      </w:r>
      <w:r w:rsidRPr="00B41FAD">
        <w:rPr>
          <w:lang w:eastAsia="en-ZA"/>
        </w:rPr>
        <w:t xml:space="preserve">es éléments du PCI (expressions, pratiques, </w:t>
      </w:r>
      <w:r w:rsidR="00337F17" w:rsidRPr="00B41FAD">
        <w:rPr>
          <w:lang w:eastAsia="en-ZA"/>
        </w:rPr>
        <w:t xml:space="preserve">connaissances, </w:t>
      </w:r>
      <w:r w:rsidRPr="00B41FAD">
        <w:rPr>
          <w:lang w:eastAsia="en-ZA"/>
        </w:rPr>
        <w:t xml:space="preserve">savoir-faire), </w:t>
      </w:r>
      <w:r w:rsidR="00337F17" w:rsidRPr="00B41FAD">
        <w:rPr>
          <w:lang w:eastAsia="en-ZA"/>
        </w:rPr>
        <w:t xml:space="preserve">aussi </w:t>
      </w:r>
      <w:r w:rsidRPr="00B41FAD">
        <w:rPr>
          <w:lang w:eastAsia="en-ZA"/>
        </w:rPr>
        <w:t>est</w:t>
      </w:r>
      <w:r w:rsidR="00337F17" w:rsidRPr="00B41FAD">
        <w:rPr>
          <w:lang w:eastAsia="en-ZA"/>
        </w:rPr>
        <w:t>-il</w:t>
      </w:r>
      <w:r w:rsidRPr="00B41FAD">
        <w:rPr>
          <w:lang w:eastAsia="en-ZA"/>
        </w:rPr>
        <w:t xml:space="preserve"> préférable de ne pas avoir des </w:t>
      </w:r>
      <w:r w:rsidR="00AA10B7" w:rsidRPr="00B41FAD">
        <w:rPr>
          <w:lang w:eastAsia="en-ZA"/>
        </w:rPr>
        <w:t>entrée</w:t>
      </w:r>
      <w:r w:rsidR="00337F17" w:rsidRPr="00B41FAD">
        <w:rPr>
          <w:lang w:eastAsia="en-ZA"/>
        </w:rPr>
        <w:t xml:space="preserve">s distinctes pour les instruments, </w:t>
      </w:r>
      <w:r w:rsidRPr="00B41FAD">
        <w:rPr>
          <w:lang w:eastAsia="en-ZA"/>
        </w:rPr>
        <w:t>objets</w:t>
      </w:r>
      <w:r w:rsidR="00337F17" w:rsidRPr="00B41FAD">
        <w:rPr>
          <w:lang w:eastAsia="en-ZA"/>
        </w:rPr>
        <w:t xml:space="preserve">, personnes ou espaces </w:t>
      </w:r>
      <w:r w:rsidRPr="00B41FAD">
        <w:rPr>
          <w:lang w:eastAsia="en-ZA"/>
        </w:rPr>
        <w:t xml:space="preserve">culturels </w:t>
      </w:r>
      <w:r w:rsidR="009701AB" w:rsidRPr="00B41FAD">
        <w:rPr>
          <w:lang w:eastAsia="en-ZA"/>
        </w:rPr>
        <w:t>qui y</w:t>
      </w:r>
      <w:r w:rsidR="00337F17" w:rsidRPr="00B41FAD">
        <w:rPr>
          <w:lang w:eastAsia="en-ZA"/>
        </w:rPr>
        <w:t xml:space="preserve"> sont </w:t>
      </w:r>
      <w:r w:rsidRPr="00B41FAD">
        <w:rPr>
          <w:lang w:eastAsia="en-ZA"/>
        </w:rPr>
        <w:t>as</w:t>
      </w:r>
      <w:r w:rsidR="00E61D76" w:rsidRPr="00B41FAD">
        <w:rPr>
          <w:lang w:eastAsia="en-ZA"/>
        </w:rPr>
        <w:t>sociés. Des index spéciaux (ou d</w:t>
      </w:r>
      <w:r w:rsidRPr="00B41FAD">
        <w:rPr>
          <w:lang w:eastAsia="en-ZA"/>
        </w:rPr>
        <w:t xml:space="preserve">es options de recherche </w:t>
      </w:r>
      <w:r w:rsidR="00E61D76" w:rsidRPr="00B41FAD">
        <w:rPr>
          <w:lang w:eastAsia="en-ZA"/>
        </w:rPr>
        <w:t>de</w:t>
      </w:r>
      <w:r w:rsidRPr="00B41FAD">
        <w:rPr>
          <w:lang w:eastAsia="en-ZA"/>
        </w:rPr>
        <w:t xml:space="preserve"> bases de</w:t>
      </w:r>
      <w:r w:rsidR="00000E9C" w:rsidRPr="00B41FAD">
        <w:rPr>
          <w:lang w:eastAsia="en-ZA"/>
        </w:rPr>
        <w:t xml:space="preserve"> données électroniques) livrent</w:t>
      </w:r>
      <w:r w:rsidRPr="00B41FAD">
        <w:rPr>
          <w:lang w:eastAsia="en-ZA"/>
        </w:rPr>
        <w:t xml:space="preserve"> des informations sur des objets ou des lieux aux utilisateurs d</w:t>
      </w:r>
      <w:r w:rsidR="00A61E6D" w:rsidRPr="00B41FAD">
        <w:rPr>
          <w:lang w:eastAsia="en-ZA"/>
        </w:rPr>
        <w:t>’</w:t>
      </w:r>
      <w:r w:rsidRPr="00B41FAD">
        <w:rPr>
          <w:lang w:eastAsia="en-ZA"/>
        </w:rPr>
        <w:t>inventaires.</w:t>
      </w:r>
    </w:p>
    <w:p w14:paraId="48436AB8" w14:textId="77777777" w:rsidR="00C10A1F" w:rsidRPr="00B41FAD" w:rsidRDefault="009B6DE3">
      <w:pPr>
        <w:pStyle w:val="Heading4"/>
      </w:pPr>
      <w:bookmarkStart w:id="46" w:name="_Toc247360198"/>
      <w:r w:rsidRPr="00B41FAD">
        <w:t>Exclusion d’</w:t>
      </w:r>
      <w:r w:rsidR="00752A0F" w:rsidRPr="00B41FAD">
        <w:t xml:space="preserve">ÉlÉments </w:t>
      </w:r>
      <w:r w:rsidR="00E02B28" w:rsidRPr="00B41FAD">
        <w:t>du PCI ou de</w:t>
      </w:r>
      <w:r w:rsidR="00C10A1F" w:rsidRPr="00B41FAD">
        <w:t xml:space="preserve"> communaut</w:t>
      </w:r>
      <w:r w:rsidR="00752A0F" w:rsidRPr="00B41FAD">
        <w:t>É</w:t>
      </w:r>
      <w:r w:rsidR="00C10A1F" w:rsidRPr="00B41FAD">
        <w:t>s</w:t>
      </w:r>
      <w:bookmarkEnd w:id="46"/>
    </w:p>
    <w:p w14:paraId="5D61EC95" w14:textId="45476B7C" w:rsidR="004325DC" w:rsidRPr="00AF22F0" w:rsidRDefault="00C10A1F" w:rsidP="004B4C17">
      <w:pPr>
        <w:pStyle w:val="Texte1"/>
      </w:pPr>
      <w:r w:rsidRPr="00B41FAD">
        <w:t xml:space="preserve">Si des États parties </w:t>
      </w:r>
      <w:r w:rsidR="003775EC" w:rsidRPr="00B41FAD">
        <w:t>fix</w:t>
      </w:r>
      <w:r w:rsidRPr="00B41FAD">
        <w:t>ent des critères d</w:t>
      </w:r>
      <w:r w:rsidR="00A61E6D" w:rsidRPr="00B41FAD">
        <w:t>’</w:t>
      </w:r>
      <w:r w:rsidRPr="00B41FAD">
        <w:t xml:space="preserve">identification du PCI qui excluent </w:t>
      </w:r>
      <w:r w:rsidR="009B6DE3" w:rsidRPr="00B41FAD">
        <w:t>de</w:t>
      </w:r>
      <w:r w:rsidRPr="00B41FAD">
        <w:t>s éléments du PCI conform</w:t>
      </w:r>
      <w:r w:rsidR="006757EA" w:rsidRPr="00B41FAD">
        <w:t>e</w:t>
      </w:r>
      <w:r w:rsidR="00900E60" w:rsidRPr="00B41FAD">
        <w:t>s</w:t>
      </w:r>
      <w:r w:rsidR="003775EC" w:rsidRPr="00B41FAD">
        <w:t xml:space="preserve"> à la définition du PCI</w:t>
      </w:r>
      <w:r w:rsidR="009B6DE3" w:rsidRPr="00B41FAD">
        <w:t xml:space="preserve"> dans la Convention,</w:t>
      </w:r>
      <w:r w:rsidRPr="00B41FAD">
        <w:t xml:space="preserve"> ou</w:t>
      </w:r>
      <w:r w:rsidR="009B6DE3" w:rsidRPr="00B41FAD">
        <w:t xml:space="preserve"> qui</w:t>
      </w:r>
      <w:r w:rsidR="00A66B3D" w:rsidRPr="00B41FAD">
        <w:t xml:space="preserve"> excluent certain</w:t>
      </w:r>
      <w:r w:rsidR="00900E60" w:rsidRPr="00B41FAD">
        <w:t>es communautés</w:t>
      </w:r>
      <w:r w:rsidRPr="00B41FAD">
        <w:t xml:space="preserve">, ils risquent alors de </w:t>
      </w:r>
      <w:r w:rsidR="00A66B3D" w:rsidRPr="00B41FAD">
        <w:t>ne pas mettre</w:t>
      </w:r>
      <w:r w:rsidRPr="00B41FAD">
        <w:t xml:space="preserve"> en œuvre la Convention </w:t>
      </w:r>
      <w:r w:rsidR="003775EC" w:rsidRPr="00B41FAD">
        <w:t>selon</w:t>
      </w:r>
      <w:r w:rsidRPr="00B41FAD">
        <w:t xml:space="preserve"> l</w:t>
      </w:r>
      <w:r w:rsidR="00A61E6D" w:rsidRPr="00B41FAD">
        <w:t>’</w:t>
      </w:r>
      <w:r w:rsidRPr="00B41FAD">
        <w:t xml:space="preserve">esprit </w:t>
      </w:r>
      <w:r w:rsidR="00BE4555" w:rsidRPr="00B41FAD">
        <w:t>préconis</w:t>
      </w:r>
      <w:r w:rsidRPr="00B41FAD">
        <w:t>é par le Comité. De plus, si le PCI</w:t>
      </w:r>
      <w:r w:rsidR="00EB73C8" w:rsidRPr="00B41FAD">
        <w:t xml:space="preserve"> de communautés spécifiques est exclu d’une</w:t>
      </w:r>
      <w:r w:rsidR="003775EC" w:rsidRPr="00B41FAD">
        <w:t xml:space="preserve"> quelconque</w:t>
      </w:r>
      <w:r w:rsidR="00EB73C8" w:rsidRPr="00B41FAD">
        <w:t xml:space="preserve"> manière</w:t>
      </w:r>
      <w:r w:rsidRPr="00B41FAD">
        <w:t>, cela peut affecter la capacité d</w:t>
      </w:r>
      <w:r w:rsidR="008C2ACA" w:rsidRPr="00B41FAD">
        <w:t>e l’</w:t>
      </w:r>
      <w:r w:rsidRPr="00B41FAD">
        <w:t xml:space="preserve">État à </w:t>
      </w:r>
      <w:r w:rsidR="003775EC" w:rsidRPr="00B41FAD">
        <w:t>atteindre</w:t>
      </w:r>
      <w:r w:rsidRPr="00B41FAD">
        <w:t xml:space="preserve"> les objectifs de la Convention (</w:t>
      </w:r>
      <w:r w:rsidR="008C2ACA" w:rsidRPr="00B41FAD">
        <w:t xml:space="preserve">à savoir, </w:t>
      </w:r>
      <w:r w:rsidRPr="00B41FAD">
        <w:t>instaurer le dialogue et la compréhension entre les communautés et promouvoir le respect mutuel de leur PCI</w:t>
      </w:r>
      <w:r w:rsidRPr="00AF22F0">
        <w:t>).</w:t>
      </w:r>
      <w:r w:rsidR="00907FF1" w:rsidRPr="00AF22F0">
        <w:t xml:space="preserve"> </w:t>
      </w:r>
      <w:r w:rsidR="0003519B" w:rsidRPr="00AF22F0">
        <w:t xml:space="preserve">Les principes éthiques – </w:t>
      </w:r>
      <w:r w:rsidR="004B4C17" w:rsidRPr="00AF22F0">
        <w:t>et en particulier</w:t>
      </w:r>
      <w:r w:rsidR="0003519B" w:rsidRPr="00AF22F0">
        <w:t xml:space="preserve"> le </w:t>
      </w:r>
      <w:r w:rsidR="004B4C17" w:rsidRPr="00AF22F0">
        <w:br/>
      </w:r>
      <w:r w:rsidR="0003519B" w:rsidRPr="00AF22F0">
        <w:t xml:space="preserve">PE 3 – </w:t>
      </w:r>
      <w:r w:rsidR="00D21A22" w:rsidRPr="00AF22F0">
        <w:t>fournissent</w:t>
      </w:r>
      <w:r w:rsidR="0003519B" w:rsidRPr="00AF22F0">
        <w:t xml:space="preserve"> quelques indications : </w:t>
      </w:r>
      <w:r w:rsidR="004B4C17" w:rsidRPr="00AF22F0">
        <w:t>« </w:t>
      </w:r>
      <w:r w:rsidR="004B4C17" w:rsidRPr="00AF22F0">
        <w:rPr>
          <w:bCs/>
        </w:rPr>
        <w:t>Le respect mutuel</w:t>
      </w:r>
      <w:r w:rsidR="004B4C17" w:rsidRPr="00AF22F0">
        <w:t xml:space="preserve"> ainsi que le respect et l’appréciation mutuelle du patrimoine culturel immatériel doivent prévaloir dans les interactions entre États et entre communautés, groupes et, le cas échéant, individus. » </w:t>
      </w:r>
    </w:p>
    <w:p w14:paraId="10BE04DF" w14:textId="77777777" w:rsidR="004325DC" w:rsidRPr="00B41FAD" w:rsidRDefault="00FB1DF7" w:rsidP="007C119C">
      <w:pPr>
        <w:pStyle w:val="Titcoul"/>
      </w:pPr>
      <w:bookmarkStart w:id="47" w:name="_Toc238963213"/>
      <w:bookmarkStart w:id="48" w:name="_Toc241065099"/>
      <w:bookmarkStart w:id="49" w:name="_Toc301443351"/>
      <w:bookmarkStart w:id="50" w:name="_Toc321406994"/>
      <w:bookmarkStart w:id="51" w:name="_Toc354486618"/>
      <w:bookmarkStart w:id="52" w:name="_Toc354486924"/>
      <w:bookmarkStart w:id="53" w:name="_Toc247360199"/>
      <w:r w:rsidRPr="00B41FAD">
        <w:t>6</w:t>
      </w:r>
      <w:r w:rsidR="00C10A1F" w:rsidRPr="00B41FAD">
        <w:t>.5</w:t>
      </w:r>
      <w:bookmarkEnd w:id="47"/>
      <w:bookmarkEnd w:id="48"/>
      <w:r w:rsidR="009270A5" w:rsidRPr="00B41FAD">
        <w:tab/>
      </w:r>
      <w:bookmarkStart w:id="54" w:name="_Toc238963214"/>
      <w:bookmarkStart w:id="55" w:name="_Toc241065100"/>
      <w:r w:rsidR="00C10A1F" w:rsidRPr="00B41FAD">
        <w:t>Acc</w:t>
      </w:r>
      <w:r w:rsidR="00752A0F" w:rsidRPr="00B41FAD">
        <w:t>È</w:t>
      </w:r>
      <w:r w:rsidR="00C10A1F" w:rsidRPr="00B41FAD">
        <w:t xml:space="preserve">s </w:t>
      </w:r>
      <w:r w:rsidR="00473E12" w:rsidRPr="00B41FAD">
        <w:t xml:space="preserve">aux </w:t>
      </w:r>
      <w:r w:rsidR="00C10A1F" w:rsidRPr="00B41FAD">
        <w:t>information</w:t>
      </w:r>
      <w:r w:rsidR="00473E12" w:rsidRPr="00B41FAD">
        <w:t>s</w:t>
      </w:r>
      <w:r w:rsidR="00C10A1F" w:rsidRPr="00B41FAD">
        <w:t xml:space="preserve"> sur les </w:t>
      </w:r>
      <w:r w:rsidR="002B1505" w:rsidRPr="00B41FAD">
        <w:t xml:space="preserve">ÉlÉments </w:t>
      </w:r>
      <w:r w:rsidR="00C10A1F" w:rsidRPr="00B41FAD">
        <w:t>inventori</w:t>
      </w:r>
      <w:r w:rsidR="002B1505" w:rsidRPr="00B41FAD">
        <w:t>É</w:t>
      </w:r>
      <w:r w:rsidR="00C10A1F" w:rsidRPr="00B41FAD">
        <w:t>s</w:t>
      </w:r>
      <w:bookmarkEnd w:id="49"/>
      <w:bookmarkEnd w:id="50"/>
      <w:bookmarkEnd w:id="51"/>
      <w:bookmarkEnd w:id="52"/>
      <w:bookmarkEnd w:id="53"/>
      <w:bookmarkEnd w:id="54"/>
      <w:bookmarkEnd w:id="55"/>
    </w:p>
    <w:p w14:paraId="64CD9256" w14:textId="77777777" w:rsidR="004325DC" w:rsidRPr="00B41FAD" w:rsidRDefault="00C10A1F" w:rsidP="00914287">
      <w:pPr>
        <w:pStyle w:val="Texte1"/>
      </w:pPr>
      <w:r w:rsidRPr="00B41FAD">
        <w:t>La Convention impose aux États parties de promouvoir l</w:t>
      </w:r>
      <w:r w:rsidR="00A61E6D" w:rsidRPr="00B41FAD">
        <w:t>’</w:t>
      </w:r>
      <w:r w:rsidRPr="00B41FAD">
        <w:t>accès au PCI de façon responsable. Selon l</w:t>
      </w:r>
      <w:r w:rsidR="00A61E6D" w:rsidRPr="00B41FAD">
        <w:t>’</w:t>
      </w:r>
      <w:r w:rsidR="00043DFF" w:rsidRPr="00B41FAD">
        <w:t>article </w:t>
      </w:r>
      <w:r w:rsidRPr="00B41FAD">
        <w:t>13</w:t>
      </w:r>
      <w:r w:rsidR="00EA1FE1" w:rsidRPr="00B41FAD">
        <w:t> :</w:t>
      </w:r>
    </w:p>
    <w:p w14:paraId="3D73D757" w14:textId="77777777" w:rsidR="004325DC" w:rsidRPr="00B41FAD" w:rsidRDefault="00C10A1F" w:rsidP="00150FFB">
      <w:pPr>
        <w:pStyle w:val="citation"/>
      </w:pPr>
      <w:r w:rsidRPr="00B41FAD">
        <w:t>En vue d</w:t>
      </w:r>
      <w:r w:rsidR="00A61E6D" w:rsidRPr="00B41FAD">
        <w:t>’</w:t>
      </w:r>
      <w:r w:rsidRPr="00B41FAD">
        <w:t>assurer la sauvegarde, le développement et la mise en valeur du patrimoine culturel immatériel présent sur son territoire, chaque État partie s</w:t>
      </w:r>
      <w:r w:rsidR="00A61E6D" w:rsidRPr="00B41FAD">
        <w:t>’</w:t>
      </w:r>
      <w:r w:rsidRPr="00B41FAD">
        <w:t>efforce</w:t>
      </w:r>
      <w:r w:rsidR="00D253F5" w:rsidRPr="00B41FAD">
        <w:t xml:space="preserve"> </w:t>
      </w:r>
      <w:r w:rsidRPr="00B41FAD">
        <w:t>…</w:t>
      </w:r>
    </w:p>
    <w:p w14:paraId="2019063D" w14:textId="77777777" w:rsidR="004325DC" w:rsidRPr="00B41FAD" w:rsidRDefault="00C10A1F" w:rsidP="00914287">
      <w:pPr>
        <w:pStyle w:val="numrationa"/>
      </w:pPr>
      <w:r w:rsidRPr="00B41FAD">
        <w:lastRenderedPageBreak/>
        <w:t>(d</w:t>
      </w:r>
      <w:r w:rsidR="008B4150" w:rsidRPr="00B41FAD">
        <w:t>)</w:t>
      </w:r>
      <w:r w:rsidR="008B4150" w:rsidRPr="00B41FAD">
        <w:tab/>
      </w:r>
      <w:r w:rsidRPr="00B41FAD">
        <w:t>d</w:t>
      </w:r>
      <w:r w:rsidR="00A61E6D" w:rsidRPr="00B41FAD">
        <w:t>’</w:t>
      </w:r>
      <w:r w:rsidRPr="00B41FAD">
        <w:t>adopter les mesures juridiques, techniques, administratives et financières appropriées visant à</w:t>
      </w:r>
      <w:r w:rsidR="005C4F3A" w:rsidRPr="00B41FAD">
        <w:t> :</w:t>
      </w:r>
      <w:r w:rsidR="00D253F5" w:rsidRPr="00B41FAD">
        <w:t xml:space="preserve"> </w:t>
      </w:r>
      <w:r w:rsidRPr="00B41FAD">
        <w:t>…</w:t>
      </w:r>
    </w:p>
    <w:p w14:paraId="7B111FA2" w14:textId="77777777" w:rsidR="004325DC" w:rsidRPr="00B41FAD" w:rsidRDefault="00C10A1F" w:rsidP="00914287">
      <w:pPr>
        <w:pStyle w:val="nui"/>
      </w:pPr>
      <w:r w:rsidRPr="00B41FAD">
        <w:t>(ii</w:t>
      </w:r>
      <w:r w:rsidR="008B4150" w:rsidRPr="00B41FAD">
        <w:t>)</w:t>
      </w:r>
      <w:r w:rsidR="008B4150" w:rsidRPr="00B41FAD">
        <w:tab/>
      </w:r>
      <w:r w:rsidRPr="00B41FAD">
        <w:t>garantir l</w:t>
      </w:r>
      <w:r w:rsidR="00A61E6D" w:rsidRPr="00B41FAD">
        <w:t>’</w:t>
      </w:r>
      <w:r w:rsidRPr="00B41FAD">
        <w:t>accès au patrimoine culturel immatériel tout en respectant les pratiques coutumières qui régissent l</w:t>
      </w:r>
      <w:r w:rsidR="00A61E6D" w:rsidRPr="00B41FAD">
        <w:t>’</w:t>
      </w:r>
      <w:r w:rsidRPr="00B41FAD">
        <w:t>accès à des aspects spécifiques de ce patrimoine</w:t>
      </w:r>
      <w:r w:rsidR="00D253F5" w:rsidRPr="00B41FAD">
        <w:t xml:space="preserve"> </w:t>
      </w:r>
      <w:r w:rsidRPr="00B41FAD">
        <w:t>…</w:t>
      </w:r>
    </w:p>
    <w:p w14:paraId="5AF78302" w14:textId="77777777" w:rsidR="004325DC" w:rsidRPr="00B41FAD" w:rsidRDefault="00C10A1F" w:rsidP="00914287">
      <w:pPr>
        <w:pStyle w:val="Texte1"/>
      </w:pPr>
      <w:r w:rsidRPr="00B41FAD">
        <w:t xml:space="preserve">Cela </w:t>
      </w:r>
      <w:r w:rsidR="001877AE" w:rsidRPr="00B41FAD">
        <w:t xml:space="preserve">vaut pour </w:t>
      </w:r>
      <w:r w:rsidRPr="00B41FAD">
        <w:t xml:space="preserve">toutes les activités </w:t>
      </w:r>
      <w:r w:rsidR="001877AE" w:rsidRPr="00B41FAD">
        <w:t>lié</w:t>
      </w:r>
      <w:r w:rsidRPr="00B41FAD">
        <w:t>es au PCI, y compris l</w:t>
      </w:r>
      <w:r w:rsidR="001877AE" w:rsidRPr="00B41FAD">
        <w:t xml:space="preserve">es </w:t>
      </w:r>
      <w:r w:rsidRPr="00B41FAD">
        <w:t>inventaires. Les restrictions coutumières sur l</w:t>
      </w:r>
      <w:r w:rsidR="00A61E6D" w:rsidRPr="00B41FAD">
        <w:t>’</w:t>
      </w:r>
      <w:r w:rsidRPr="00B41FAD">
        <w:t xml:space="preserve">accès aux pratiques et </w:t>
      </w:r>
      <w:r w:rsidR="001877AE" w:rsidRPr="00B41FAD">
        <w:t xml:space="preserve">aux </w:t>
      </w:r>
      <w:r w:rsidRPr="00B41FAD">
        <w:t>connaissance</w:t>
      </w:r>
      <w:r w:rsidR="001877AE" w:rsidRPr="00B41FAD">
        <w:t>s</w:t>
      </w:r>
      <w:r w:rsidRPr="00B41FAD">
        <w:t xml:space="preserve"> du PCI </w:t>
      </w:r>
      <w:r w:rsidR="001877AE" w:rsidRPr="00B41FAD">
        <w:t>so</w:t>
      </w:r>
      <w:r w:rsidRPr="00B41FAD">
        <w:t xml:space="preserve">nt aussi </w:t>
      </w:r>
      <w:r w:rsidR="001877AE" w:rsidRPr="00B41FAD">
        <w:t>à</w:t>
      </w:r>
      <w:r w:rsidRPr="00B41FAD">
        <w:t xml:space="preserve"> pr</w:t>
      </w:r>
      <w:r w:rsidR="001877AE" w:rsidRPr="00B41FAD">
        <w:t>endre</w:t>
      </w:r>
      <w:r w:rsidRPr="00B41FAD">
        <w:t xml:space="preserve"> en compte dans les r</w:t>
      </w:r>
      <w:r w:rsidR="00953DB9" w:rsidRPr="00B41FAD">
        <w:t>é</w:t>
      </w:r>
      <w:r w:rsidRPr="00B41FAD">
        <w:t>glementations qui régissent l</w:t>
      </w:r>
      <w:r w:rsidR="00A61E6D" w:rsidRPr="00B41FAD">
        <w:t>’</w:t>
      </w:r>
      <w:r w:rsidRPr="00B41FAD">
        <w:t xml:space="preserve">accès </w:t>
      </w:r>
      <w:r w:rsidR="00741715" w:rsidRPr="00B41FAD">
        <w:t>à l’</w:t>
      </w:r>
      <w:r w:rsidRPr="00B41FAD">
        <w:t>information</w:t>
      </w:r>
      <w:r w:rsidR="00741715" w:rsidRPr="00B41FAD">
        <w:t xml:space="preserve"> sur le PCI contenue</w:t>
      </w:r>
      <w:r w:rsidR="003775EC" w:rsidRPr="00B41FAD">
        <w:t xml:space="preserve"> dans les inventaires, </w:t>
      </w:r>
      <w:r w:rsidRPr="00B41FAD">
        <w:t>archives et a</w:t>
      </w:r>
      <w:r w:rsidR="00CE020D" w:rsidRPr="00B41FAD">
        <w:t>utre</w:t>
      </w:r>
      <w:r w:rsidRPr="00B41FAD">
        <w:t xml:space="preserve">s. </w:t>
      </w:r>
      <w:r w:rsidR="00741715" w:rsidRPr="00B41FAD">
        <w:t>C’est la raison pour laquelle</w:t>
      </w:r>
      <w:r w:rsidR="00082AEC" w:rsidRPr="00B41FAD">
        <w:t xml:space="preserve"> </w:t>
      </w:r>
      <w:r w:rsidR="0046081C" w:rsidRPr="00B41FAD">
        <w:t xml:space="preserve">s’impose parfois </w:t>
      </w:r>
      <w:r w:rsidR="00082AEC" w:rsidRPr="00B41FAD">
        <w:t>l’o</w:t>
      </w:r>
      <w:r w:rsidR="009A73D0" w:rsidRPr="00B41FAD">
        <w:t>bligation d’o</w:t>
      </w:r>
      <w:r w:rsidR="00082AEC" w:rsidRPr="00B41FAD">
        <w:t>m</w:t>
      </w:r>
      <w:r w:rsidR="009A73D0" w:rsidRPr="00B41FAD">
        <w:t>ettre</w:t>
      </w:r>
      <w:r w:rsidR="00082AEC" w:rsidRPr="00B41FAD">
        <w:t xml:space="preserve"> certaines données</w:t>
      </w:r>
      <w:r w:rsidR="0046081C" w:rsidRPr="00B41FAD">
        <w:t xml:space="preserve"> dans l’inventaire ;</w:t>
      </w:r>
      <w:r w:rsidRPr="00B41FAD">
        <w:t xml:space="preserve"> </w:t>
      </w:r>
      <w:r w:rsidR="00617FF6" w:rsidRPr="00B41FAD">
        <w:t>il y a l</w:t>
      </w:r>
      <w:r w:rsidRPr="00B41FAD">
        <w:t>a documentation sur des aspects secrets ou sacrés d</w:t>
      </w:r>
      <w:r w:rsidR="00A61E6D" w:rsidRPr="00B41FAD">
        <w:t>’</w:t>
      </w:r>
      <w:r w:rsidRPr="00B41FAD">
        <w:t>une pratique du PCI</w:t>
      </w:r>
      <w:r w:rsidR="00617FF6" w:rsidRPr="00B41FAD">
        <w:t xml:space="preserve"> dont l’accès peut être limité</w:t>
      </w:r>
      <w:r w:rsidRPr="00B41FAD">
        <w:t>.</w:t>
      </w:r>
    </w:p>
    <w:p w14:paraId="1896D5D3" w14:textId="53C69640" w:rsidR="004360FA" w:rsidRPr="00AF22F0" w:rsidRDefault="00C10A1F" w:rsidP="00185189">
      <w:pPr>
        <w:pStyle w:val="Texte1"/>
      </w:pPr>
      <w:r w:rsidRPr="00B41FAD">
        <w:t>Il n</w:t>
      </w:r>
      <w:r w:rsidR="00A61E6D" w:rsidRPr="00B41FAD">
        <w:t>’</w:t>
      </w:r>
      <w:r w:rsidR="005C4F3A" w:rsidRPr="00B41FAD">
        <w:t>est pas</w:t>
      </w:r>
      <w:r w:rsidRPr="00B41FAD">
        <w:t xml:space="preserve"> difficil</w:t>
      </w:r>
      <w:r w:rsidR="005C4F3A" w:rsidRPr="00B41FAD">
        <w:t xml:space="preserve">e de </w:t>
      </w:r>
      <w:r w:rsidR="00E34B81" w:rsidRPr="00B41FAD">
        <w:t xml:space="preserve">veiller à </w:t>
      </w:r>
      <w:r w:rsidR="005C4F3A" w:rsidRPr="00B41FAD">
        <w:t>restr</w:t>
      </w:r>
      <w:r w:rsidR="00E34B81" w:rsidRPr="00B41FAD">
        <w:t xml:space="preserve">eindre </w:t>
      </w:r>
      <w:r w:rsidRPr="00B41FAD">
        <w:t>l</w:t>
      </w:r>
      <w:r w:rsidR="00A61E6D" w:rsidRPr="00B41FAD">
        <w:t>’</w:t>
      </w:r>
      <w:r w:rsidRPr="00B41FAD">
        <w:t xml:space="preserve">accès au PCI </w:t>
      </w:r>
      <w:r w:rsidR="009A73D0" w:rsidRPr="00B41FAD">
        <w:t xml:space="preserve">dès lors que </w:t>
      </w:r>
      <w:r w:rsidRPr="00B41FAD">
        <w:t>le</w:t>
      </w:r>
      <w:r w:rsidR="00E34B81" w:rsidRPr="00B41FAD">
        <w:t>s communautés ou l</w:t>
      </w:r>
      <w:r w:rsidRPr="00B41FAD">
        <w:t xml:space="preserve">es groupes </w:t>
      </w:r>
      <w:r w:rsidR="009A73D0" w:rsidRPr="00B41FAD">
        <w:t>acceptent</w:t>
      </w:r>
      <w:r w:rsidRPr="00B41FAD">
        <w:t xml:space="preserve"> la manière dont l</w:t>
      </w:r>
      <w:r w:rsidR="008C40E9" w:rsidRPr="00B41FAD">
        <w:t xml:space="preserve">es </w:t>
      </w:r>
      <w:r w:rsidRPr="00B41FAD">
        <w:t>information</w:t>
      </w:r>
      <w:r w:rsidR="008C40E9" w:rsidRPr="00B41FAD">
        <w:t>s</w:t>
      </w:r>
      <w:r w:rsidRPr="00B41FAD">
        <w:t xml:space="preserve"> et la documentation sur leur PCI </w:t>
      </w:r>
      <w:r w:rsidR="008C40E9" w:rsidRPr="00B41FAD">
        <w:t>sont</w:t>
      </w:r>
      <w:r w:rsidRPr="00B41FAD">
        <w:t xml:space="preserve"> archivée</w:t>
      </w:r>
      <w:r w:rsidR="008C40E9" w:rsidRPr="00B41FAD">
        <w:t>s</w:t>
      </w:r>
      <w:r w:rsidR="00461004" w:rsidRPr="00B41FAD">
        <w:t xml:space="preserve"> </w:t>
      </w:r>
      <w:r w:rsidRPr="00B41FAD">
        <w:t>et rendue</w:t>
      </w:r>
      <w:r w:rsidR="008C40E9" w:rsidRPr="00B41FAD">
        <w:t>s</w:t>
      </w:r>
      <w:r w:rsidRPr="00B41FAD">
        <w:t xml:space="preserve"> accessible</w:t>
      </w:r>
      <w:r w:rsidR="008C40E9" w:rsidRPr="00B41FAD">
        <w:t>s</w:t>
      </w:r>
      <w:r w:rsidRPr="00B41FAD">
        <w:t xml:space="preserve">. Théoriquement, les communautés ou les groupes concernés sont engagés </w:t>
      </w:r>
      <w:r w:rsidR="008C40E9" w:rsidRPr="00B41FAD">
        <w:t>comm</w:t>
      </w:r>
      <w:r w:rsidRPr="00B41FAD">
        <w:t xml:space="preserve">e partenaires </w:t>
      </w:r>
      <w:r w:rsidR="003E0570" w:rsidRPr="00B41FAD">
        <w:t>sur un pied d’</w:t>
      </w:r>
      <w:r w:rsidRPr="00B41FAD">
        <w:t xml:space="preserve">égalité </w:t>
      </w:r>
      <w:r w:rsidR="009A73D0" w:rsidRPr="00B41FAD">
        <w:t xml:space="preserve">dans </w:t>
      </w:r>
      <w:r w:rsidRPr="00B41FAD">
        <w:t>le traitement et le contrôle de la documentation</w:t>
      </w:r>
      <w:r w:rsidR="00CC2817" w:rsidRPr="00B41FAD">
        <w:t>,</w:t>
      </w:r>
      <w:r w:rsidRPr="00B41FAD">
        <w:t xml:space="preserve"> l</w:t>
      </w:r>
      <w:r w:rsidR="00A61E6D" w:rsidRPr="00B41FAD">
        <w:t>’</w:t>
      </w:r>
      <w:r w:rsidRPr="00B41FAD">
        <w:t>archivage de</w:t>
      </w:r>
      <w:r w:rsidR="003E0570" w:rsidRPr="00B41FAD">
        <w:t>s informations sur leur PCI et</w:t>
      </w:r>
      <w:r w:rsidRPr="00B41FAD">
        <w:t xml:space="preserve"> la définition des règles d</w:t>
      </w:r>
      <w:r w:rsidR="00A61E6D" w:rsidRPr="00B41FAD">
        <w:t>’</w:t>
      </w:r>
      <w:r w:rsidRPr="00B41FAD">
        <w:t xml:space="preserve">accès à ces </w:t>
      </w:r>
      <w:r w:rsidRPr="00AF22F0">
        <w:t>informations.</w:t>
      </w:r>
      <w:r w:rsidR="004360FA" w:rsidRPr="00AF22F0">
        <w:t xml:space="preserve"> </w:t>
      </w:r>
      <w:r w:rsidR="00624891" w:rsidRPr="00AF22F0">
        <w:t xml:space="preserve">Le PE 1 précise même </w:t>
      </w:r>
      <w:r w:rsidR="004360FA" w:rsidRPr="00AF22F0">
        <w:t xml:space="preserve">que « les communautés, groupes et, le cas échéant, individus doivent jouer le </w:t>
      </w:r>
      <w:r w:rsidR="004360FA" w:rsidRPr="00AF22F0">
        <w:rPr>
          <w:bCs/>
          <w:i/>
        </w:rPr>
        <w:t>rôle principal</w:t>
      </w:r>
      <w:r w:rsidR="004360FA" w:rsidRPr="00AF22F0">
        <w:t xml:space="preserve"> dans la sauvegarde de leur patrimoine culturel immatériel. » </w:t>
      </w:r>
      <w:r w:rsidR="004C6F4F" w:rsidRPr="00AF22F0">
        <w:t>Le PE 4 souligne en outre que « </w:t>
      </w:r>
      <w:r w:rsidR="00A214C4" w:rsidRPr="00AF22F0">
        <w:t>t</w:t>
      </w:r>
      <w:r w:rsidR="004C6F4F" w:rsidRPr="00AF22F0">
        <w:t xml:space="preserve">outes les interactions avec les communautés, groupes et, le cas échéant, individus […] doivent se caractériser par une collaboration </w:t>
      </w:r>
      <w:r w:rsidR="004C6F4F" w:rsidRPr="00AF22F0">
        <w:rPr>
          <w:bCs/>
        </w:rPr>
        <w:t>transparente</w:t>
      </w:r>
      <w:r w:rsidR="004C6F4F" w:rsidRPr="00AF22F0">
        <w:t xml:space="preserve">, le dialogue, la négociation et la consultation, et sont subordonnées à leur </w:t>
      </w:r>
      <w:r w:rsidR="004C6F4F" w:rsidRPr="00AF22F0">
        <w:rPr>
          <w:bCs/>
        </w:rPr>
        <w:t>consentement libre, préalable, durable et éclairé</w:t>
      </w:r>
      <w:r w:rsidR="004C6F4F" w:rsidRPr="00AF22F0">
        <w:t>.</w:t>
      </w:r>
      <w:r w:rsidR="0023235F" w:rsidRPr="00AF22F0">
        <w:t> »</w:t>
      </w:r>
      <w:r w:rsidR="004C6F4F" w:rsidRPr="00AF22F0">
        <w:t xml:space="preserve"> </w:t>
      </w:r>
    </w:p>
    <w:p w14:paraId="4BB64604" w14:textId="77777777" w:rsidR="004325DC" w:rsidRPr="00B41FAD" w:rsidRDefault="00825C84" w:rsidP="00914287">
      <w:pPr>
        <w:pStyle w:val="Informations"/>
      </w:pPr>
      <w:r w:rsidRPr="00AF22F0">
        <w:rPr>
          <w:i w:val="0"/>
          <w:color w:val="auto"/>
        </w:rPr>
        <w:t>L</w:t>
      </w:r>
      <w:r w:rsidR="00775543" w:rsidRPr="00AF22F0">
        <w:rPr>
          <w:i w:val="0"/>
          <w:color w:val="auto"/>
        </w:rPr>
        <w:t>’</w:t>
      </w:r>
      <w:r w:rsidR="003F5CA8" w:rsidRPr="00AF22F0">
        <w:rPr>
          <w:i w:val="0"/>
          <w:color w:val="auto"/>
        </w:rPr>
        <w:t>Étude de cas</w:t>
      </w:r>
      <w:r w:rsidR="003F2782" w:rsidRPr="00AF22F0">
        <w:rPr>
          <w:i w:val="0"/>
          <w:color w:val="auto"/>
        </w:rPr>
        <w:t> </w:t>
      </w:r>
      <w:r w:rsidR="00C10A1F" w:rsidRPr="00AF22F0">
        <w:rPr>
          <w:i w:val="0"/>
          <w:color w:val="auto"/>
        </w:rPr>
        <w:t xml:space="preserve">5 </w:t>
      </w:r>
      <w:r w:rsidR="005826B4" w:rsidRPr="00AF22F0">
        <w:rPr>
          <w:i w:val="0"/>
          <w:color w:val="auto"/>
        </w:rPr>
        <w:t xml:space="preserve">examine </w:t>
      </w:r>
      <w:r w:rsidR="00C10A1F" w:rsidRPr="00AF22F0">
        <w:rPr>
          <w:i w:val="0"/>
          <w:color w:val="auto"/>
        </w:rPr>
        <w:t xml:space="preserve">les dispositions en </w:t>
      </w:r>
      <w:r w:rsidR="00C10A1F" w:rsidRPr="008D582C">
        <w:rPr>
          <w:i w:val="0"/>
          <w:color w:val="auto"/>
        </w:rPr>
        <w:t>matière de confidentialité et d</w:t>
      </w:r>
      <w:r w:rsidR="00A61E6D" w:rsidRPr="008D582C">
        <w:rPr>
          <w:i w:val="0"/>
          <w:color w:val="auto"/>
        </w:rPr>
        <w:t>’</w:t>
      </w:r>
      <w:r w:rsidR="00C10A1F" w:rsidRPr="008D582C">
        <w:rPr>
          <w:i w:val="0"/>
          <w:color w:val="auto"/>
        </w:rPr>
        <w:t xml:space="preserve">accès </w:t>
      </w:r>
      <w:r w:rsidR="003F2782" w:rsidRPr="008D582C">
        <w:rPr>
          <w:i w:val="0"/>
          <w:color w:val="auto"/>
        </w:rPr>
        <w:t>d</w:t>
      </w:r>
      <w:r w:rsidR="00C10A1F" w:rsidRPr="008D582C">
        <w:rPr>
          <w:i w:val="0"/>
          <w:color w:val="auto"/>
        </w:rPr>
        <w:t xml:space="preserve">es utilisateurs </w:t>
      </w:r>
      <w:r w:rsidR="003F2782" w:rsidRPr="008D582C">
        <w:rPr>
          <w:i w:val="0"/>
          <w:color w:val="auto"/>
        </w:rPr>
        <w:t>aux</w:t>
      </w:r>
      <w:r w:rsidR="00C10A1F" w:rsidRPr="008D582C">
        <w:rPr>
          <w:i w:val="0"/>
          <w:color w:val="auto"/>
        </w:rPr>
        <w:t xml:space="preserve"> bases de données du </w:t>
      </w:r>
      <w:r w:rsidR="00D253F5" w:rsidRPr="008D582C">
        <w:rPr>
          <w:i w:val="0"/>
          <w:color w:val="auto"/>
        </w:rPr>
        <w:t>patrimoine</w:t>
      </w:r>
      <w:r w:rsidR="00BB2FF5" w:rsidRPr="008D582C">
        <w:rPr>
          <w:i w:val="0"/>
          <w:color w:val="auto"/>
        </w:rPr>
        <w:t xml:space="preserve"> immatériel</w:t>
      </w:r>
      <w:r w:rsidR="00C10A1F" w:rsidRPr="008D582C">
        <w:rPr>
          <w:i w:val="0"/>
          <w:color w:val="auto"/>
        </w:rPr>
        <w:t xml:space="preserve"> </w:t>
      </w:r>
      <w:r w:rsidR="00473E12" w:rsidRPr="008D582C">
        <w:rPr>
          <w:i w:val="0"/>
          <w:color w:val="auto"/>
        </w:rPr>
        <w:t>g</w:t>
      </w:r>
      <w:r w:rsidR="003F2782" w:rsidRPr="008D582C">
        <w:rPr>
          <w:i w:val="0"/>
          <w:color w:val="auto"/>
        </w:rPr>
        <w:t>érées par</w:t>
      </w:r>
      <w:r w:rsidR="00C10A1F" w:rsidRPr="008D582C">
        <w:rPr>
          <w:i w:val="0"/>
          <w:color w:val="auto"/>
        </w:rPr>
        <w:t xml:space="preserve"> </w:t>
      </w:r>
      <w:r w:rsidR="00473E12" w:rsidRPr="008D582C">
        <w:rPr>
          <w:i w:val="0"/>
          <w:color w:val="auto"/>
        </w:rPr>
        <w:t>l’Institut australie</w:t>
      </w:r>
      <w:r w:rsidR="00C10A1F" w:rsidRPr="008D582C">
        <w:rPr>
          <w:i w:val="0"/>
          <w:color w:val="auto"/>
        </w:rPr>
        <w:t xml:space="preserve">n </w:t>
      </w:r>
      <w:r w:rsidR="00473E12" w:rsidRPr="008D582C">
        <w:rPr>
          <w:i w:val="0"/>
          <w:color w:val="auto"/>
        </w:rPr>
        <w:t>des études a</w:t>
      </w:r>
      <w:r w:rsidR="00C10A1F" w:rsidRPr="008D582C">
        <w:rPr>
          <w:i w:val="0"/>
          <w:color w:val="auto"/>
        </w:rPr>
        <w:t>borig</w:t>
      </w:r>
      <w:r w:rsidR="00473E12" w:rsidRPr="008D582C">
        <w:rPr>
          <w:i w:val="0"/>
          <w:color w:val="auto"/>
        </w:rPr>
        <w:t>ènes et insulaires du détroit de</w:t>
      </w:r>
      <w:r w:rsidR="00C10A1F" w:rsidRPr="008D582C">
        <w:rPr>
          <w:i w:val="0"/>
          <w:color w:val="auto"/>
        </w:rPr>
        <w:t xml:space="preserve"> Torres.</w:t>
      </w:r>
    </w:p>
    <w:p w14:paraId="2AA8D4B5" w14:textId="77777777" w:rsidR="004325DC" w:rsidRPr="00B41FAD" w:rsidRDefault="00FB1DF7">
      <w:pPr>
        <w:pStyle w:val="Titcoul"/>
      </w:pPr>
      <w:bookmarkStart w:id="56" w:name="_Toc238963215"/>
      <w:bookmarkStart w:id="57" w:name="_Toc241065101"/>
      <w:bookmarkStart w:id="58" w:name="_Toc301443352"/>
      <w:bookmarkStart w:id="59" w:name="_Toc321406995"/>
      <w:bookmarkStart w:id="60" w:name="_Toc354486619"/>
      <w:bookmarkStart w:id="61" w:name="_Toc354486925"/>
      <w:bookmarkStart w:id="62" w:name="_Toc247360200"/>
      <w:r w:rsidRPr="00B41FAD">
        <w:t>6</w:t>
      </w:r>
      <w:r w:rsidR="00C10A1F" w:rsidRPr="00B41FAD">
        <w:t>.6</w:t>
      </w:r>
      <w:bookmarkStart w:id="63" w:name="_Toc238963216"/>
      <w:bookmarkEnd w:id="56"/>
      <w:bookmarkEnd w:id="57"/>
      <w:r w:rsidR="009270A5" w:rsidRPr="00B41FAD">
        <w:tab/>
      </w:r>
      <w:bookmarkStart w:id="64" w:name="_Toc241065102"/>
      <w:r w:rsidR="00C10A1F" w:rsidRPr="00B41FAD">
        <w:t>inventaire</w:t>
      </w:r>
      <w:r w:rsidR="00C95D2A" w:rsidRPr="00B41FAD">
        <w:t>s</w:t>
      </w:r>
      <w:r w:rsidR="003F5D9C" w:rsidRPr="00B41FAD">
        <w:t xml:space="preserve"> et candidatures po</w:t>
      </w:r>
      <w:r w:rsidR="00C10A1F" w:rsidRPr="00B41FAD">
        <w:t>ur les Listes de la Convention</w:t>
      </w:r>
      <w:bookmarkEnd w:id="58"/>
      <w:bookmarkEnd w:id="59"/>
      <w:bookmarkEnd w:id="60"/>
      <w:bookmarkEnd w:id="61"/>
      <w:bookmarkEnd w:id="62"/>
      <w:bookmarkEnd w:id="63"/>
      <w:bookmarkEnd w:id="64"/>
    </w:p>
    <w:p w14:paraId="29F4E1A5" w14:textId="77777777" w:rsidR="004325DC" w:rsidRPr="00B41FAD" w:rsidRDefault="00C10A1F" w:rsidP="00914287">
      <w:pPr>
        <w:pStyle w:val="Texte1"/>
      </w:pPr>
      <w:r w:rsidRPr="00B41FAD">
        <w:t>Il y a un lien direct entre l</w:t>
      </w:r>
      <w:r w:rsidR="00A61E6D" w:rsidRPr="00B41FAD">
        <w:t>’</w:t>
      </w:r>
      <w:r w:rsidRPr="00B41FAD">
        <w:t>établissement d</w:t>
      </w:r>
      <w:r w:rsidR="00A61E6D" w:rsidRPr="00B41FAD">
        <w:t>’</w:t>
      </w:r>
      <w:r w:rsidRPr="00B41FAD">
        <w:t xml:space="preserve">inventaires et </w:t>
      </w:r>
      <w:r w:rsidR="00C8230D" w:rsidRPr="00B41FAD">
        <w:t>la préparation de candidatures po</w:t>
      </w:r>
      <w:r w:rsidRPr="00B41FAD">
        <w:t xml:space="preserve">ur les Listes de la Convention. Le cinquième critère </w:t>
      </w:r>
      <w:r w:rsidR="00C8230D" w:rsidRPr="00B41FAD">
        <w:t>pour l</w:t>
      </w:r>
      <w:r w:rsidR="00A61E6D" w:rsidRPr="00B41FAD">
        <w:t>’</w:t>
      </w:r>
      <w:r w:rsidRPr="00B41FAD">
        <w:t>inscription d</w:t>
      </w:r>
      <w:r w:rsidR="00A61E6D" w:rsidRPr="00B41FAD">
        <w:t>’</w:t>
      </w:r>
      <w:r w:rsidRPr="00B41FAD">
        <w:t>éléments sur les deux Listes précise q</w:t>
      </w:r>
      <w:r w:rsidR="007C2E9B" w:rsidRPr="00B41FAD">
        <w:t>ue seuls les éléments du</w:t>
      </w:r>
      <w:r w:rsidR="00D021F6" w:rsidRPr="00B41FAD">
        <w:t xml:space="preserve"> PCI</w:t>
      </w:r>
      <w:r w:rsidRPr="00B41FAD">
        <w:t xml:space="preserve"> déjà </w:t>
      </w:r>
      <w:r w:rsidR="00D021F6" w:rsidRPr="00B41FAD">
        <w:t xml:space="preserve">inclus </w:t>
      </w:r>
      <w:r w:rsidRPr="00B41FAD">
        <w:t>dans un inventaire au sens de l</w:t>
      </w:r>
      <w:r w:rsidR="00A61E6D" w:rsidRPr="00B41FAD">
        <w:t>’</w:t>
      </w:r>
      <w:r w:rsidR="00043DFF" w:rsidRPr="00B41FAD">
        <w:t>article </w:t>
      </w:r>
      <w:r w:rsidRPr="00B41FAD">
        <w:t xml:space="preserve">12 de la Convention peuvent être proposés pour inscription (voir </w:t>
      </w:r>
      <w:r w:rsidR="00461004" w:rsidRPr="00B41FAD">
        <w:t>DO </w:t>
      </w:r>
      <w:r w:rsidR="0058069D">
        <w:t>1 (U.5) et 2 (R.5)).</w:t>
      </w:r>
    </w:p>
    <w:p w14:paraId="32815221" w14:textId="77777777" w:rsidR="006B424F" w:rsidRPr="00B41FAD" w:rsidRDefault="00C10A1F" w:rsidP="00914287">
      <w:pPr>
        <w:pStyle w:val="Texte1"/>
      </w:pPr>
      <w:r w:rsidRPr="00B41FAD">
        <w:t>Les formulaires de candidature obligent les États parties à démontrer que l</w:t>
      </w:r>
      <w:r w:rsidR="00A61E6D" w:rsidRPr="00B41FAD">
        <w:t>’</w:t>
      </w:r>
      <w:r w:rsidRPr="00B41FAD">
        <w:t>inventaire a été dressé conformément à la C</w:t>
      </w:r>
      <w:r w:rsidR="008E6F0A" w:rsidRPr="00B41FAD">
        <w:t>onvention, en particulier</w:t>
      </w:r>
      <w:r w:rsidRPr="00B41FAD">
        <w:t xml:space="preserve"> l</w:t>
      </w:r>
      <w:r w:rsidR="00A61E6D" w:rsidRPr="00B41FAD">
        <w:t>’</w:t>
      </w:r>
      <w:r w:rsidR="00043DFF" w:rsidRPr="00B41FAD">
        <w:t>article </w:t>
      </w:r>
      <w:r w:rsidRPr="00B41FAD">
        <w:t>11(b) qui stipule que l</w:t>
      </w:r>
      <w:r w:rsidR="001B6074" w:rsidRPr="00B41FAD">
        <w:t xml:space="preserve">’identification et la définition du </w:t>
      </w:r>
      <w:r w:rsidRPr="00B41FAD">
        <w:t xml:space="preserve">PCI </w:t>
      </w:r>
      <w:r w:rsidR="001B6074" w:rsidRPr="00B41FAD">
        <w:t>doivent s</w:t>
      </w:r>
      <w:r w:rsidR="00D021F6" w:rsidRPr="00B41FAD">
        <w:t>’effectuer</w:t>
      </w:r>
      <w:r w:rsidRPr="00B41FAD">
        <w:t xml:space="preserve"> </w:t>
      </w:r>
      <w:r w:rsidR="00043DFF" w:rsidRPr="00B41FAD">
        <w:t>« </w:t>
      </w:r>
      <w:r w:rsidRPr="00B41FAD">
        <w:t>avec la participation des communautés, des groupes et des organisations non gouvernementales pertinentes</w:t>
      </w:r>
      <w:r w:rsidR="00043DFF" w:rsidRPr="00B41FAD">
        <w:t xml:space="preserve"> » </w:t>
      </w:r>
      <w:r w:rsidRPr="00B41FAD">
        <w:t>et l</w:t>
      </w:r>
      <w:r w:rsidR="00A61E6D" w:rsidRPr="00B41FAD">
        <w:t>’</w:t>
      </w:r>
      <w:r w:rsidR="00043DFF" w:rsidRPr="00B41FAD">
        <w:t>article </w:t>
      </w:r>
      <w:r w:rsidRPr="00B41FAD">
        <w:t xml:space="preserve">12 qui </w:t>
      </w:r>
      <w:r w:rsidR="001B6074" w:rsidRPr="00B41FAD">
        <w:t>dispose</w:t>
      </w:r>
      <w:r w:rsidRPr="00B41FAD">
        <w:t xml:space="preserve"> que les inventaires </w:t>
      </w:r>
      <w:r w:rsidR="001B6074" w:rsidRPr="00B41FAD">
        <w:t xml:space="preserve">doivent </w:t>
      </w:r>
      <w:r w:rsidR="002E02B2" w:rsidRPr="00B41FAD">
        <w:t>« </w:t>
      </w:r>
      <w:r w:rsidRPr="00B41FAD">
        <w:t>f</w:t>
      </w:r>
      <w:r w:rsidR="001B6074" w:rsidRPr="00B41FAD">
        <w:t>aire</w:t>
      </w:r>
      <w:r w:rsidRPr="00B41FAD">
        <w:t xml:space="preserve"> l</w:t>
      </w:r>
      <w:r w:rsidR="00A61E6D" w:rsidRPr="00B41FAD">
        <w:t>’</w:t>
      </w:r>
      <w:r w:rsidRPr="00B41FAD">
        <w:t>objet d</w:t>
      </w:r>
      <w:r w:rsidR="00A61E6D" w:rsidRPr="00B41FAD">
        <w:t>’</w:t>
      </w:r>
      <w:r w:rsidRPr="00B41FAD">
        <w:t>une</w:t>
      </w:r>
      <w:r w:rsidR="002E02B2" w:rsidRPr="00B41FAD">
        <w:t xml:space="preserve"> </w:t>
      </w:r>
      <w:r w:rsidRPr="00B41FAD">
        <w:t>mise à jour régulière</w:t>
      </w:r>
      <w:r w:rsidR="00461004" w:rsidRPr="00B41FAD">
        <w:t> ».</w:t>
      </w:r>
    </w:p>
    <w:p w14:paraId="26389801" w14:textId="77777777" w:rsidR="004325DC" w:rsidRPr="00B41FAD" w:rsidRDefault="0092291E" w:rsidP="00914287">
      <w:pPr>
        <w:pStyle w:val="Texte1"/>
      </w:pPr>
      <w:r w:rsidRPr="00B41FAD">
        <w:rPr>
          <w:color w:val="000000" w:themeColor="text1"/>
        </w:rPr>
        <w:t>Il est également demandé aux</w:t>
      </w:r>
      <w:r w:rsidR="006B424F" w:rsidRPr="00B41FAD">
        <w:rPr>
          <w:color w:val="000000" w:themeColor="text1"/>
        </w:rPr>
        <w:t xml:space="preserve"> États parties </w:t>
      </w:r>
      <w:r w:rsidR="006B424F" w:rsidRPr="00B41FAD">
        <w:t>d</w:t>
      </w:r>
      <w:r w:rsidRPr="00B41FAD">
        <w:t>’apporter la preuve de l’</w:t>
      </w:r>
      <w:r w:rsidR="000D08F6" w:rsidRPr="00B41FAD">
        <w:t xml:space="preserve">inclusion de l’élément </w:t>
      </w:r>
      <w:r w:rsidRPr="00B41FAD">
        <w:t xml:space="preserve">proposé pour inscription sur </w:t>
      </w:r>
      <w:r w:rsidR="000D08F6" w:rsidRPr="00B41FAD">
        <w:t xml:space="preserve">un inventaire du PCI présent </w:t>
      </w:r>
      <w:r w:rsidRPr="00B41FAD">
        <w:t>sur le</w:t>
      </w:r>
      <w:r w:rsidR="00802131">
        <w:t>(s)</w:t>
      </w:r>
      <w:r w:rsidRPr="00B41FAD">
        <w:t xml:space="preserve"> territoire</w:t>
      </w:r>
      <w:r w:rsidR="00802131">
        <w:t>(s)</w:t>
      </w:r>
      <w:r w:rsidRPr="00B41FAD">
        <w:t xml:space="preserve"> de(s) (</w:t>
      </w:r>
      <w:r w:rsidR="000D08F6" w:rsidRPr="00B41FAD">
        <w:t>l</w:t>
      </w:r>
      <w:proofErr w:type="gramStart"/>
      <w:r w:rsidR="000D08F6" w:rsidRPr="00B41FAD">
        <w:t>’</w:t>
      </w:r>
      <w:r w:rsidRPr="00B41FAD">
        <w:t>)</w:t>
      </w:r>
      <w:r w:rsidR="009D13F2" w:rsidRPr="00B41FAD">
        <w:t>État</w:t>
      </w:r>
      <w:proofErr w:type="gramEnd"/>
      <w:r w:rsidR="000D08F6" w:rsidRPr="00B41FAD">
        <w:t xml:space="preserve">(s) partie(s) </w:t>
      </w:r>
      <w:r w:rsidRPr="00B41FAD">
        <w:t xml:space="preserve">soumissionnaire(s), </w:t>
      </w:r>
      <w:r w:rsidR="00026D69" w:rsidRPr="00B41FAD">
        <w:t>au sens d</w:t>
      </w:r>
      <w:r w:rsidR="000D08F6" w:rsidRPr="00B41FAD">
        <w:t xml:space="preserve">es articles 11 et 12 de la </w:t>
      </w:r>
      <w:r w:rsidR="000D08F6" w:rsidRPr="00B41FAD">
        <w:lastRenderedPageBreak/>
        <w:t>Convention</w:t>
      </w:r>
      <w:r w:rsidR="0081098B" w:rsidRPr="00B41FAD">
        <w:t xml:space="preserve">. </w:t>
      </w:r>
      <w:r w:rsidR="00186BBF" w:rsidRPr="00B41FAD">
        <w:t>Cette preuve</w:t>
      </w:r>
      <w:r w:rsidR="0081098B" w:rsidRPr="00B41FAD">
        <w:t xml:space="preserve"> </w:t>
      </w:r>
      <w:r w:rsidR="00186BBF" w:rsidRPr="00B41FAD">
        <w:t>devra comporter</w:t>
      </w:r>
      <w:r w:rsidR="0081098B" w:rsidRPr="00B41FAD">
        <w:t xml:space="preserve"> un</w:t>
      </w:r>
      <w:r w:rsidR="000D08F6" w:rsidRPr="00B41FAD">
        <w:t xml:space="preserve"> extrait </w:t>
      </w:r>
      <w:r w:rsidR="00186BBF" w:rsidRPr="00B41FAD">
        <w:t>pertinent</w:t>
      </w:r>
      <w:r w:rsidR="0081098B" w:rsidRPr="00B41FAD">
        <w:t xml:space="preserve"> </w:t>
      </w:r>
      <w:r w:rsidR="000D08F6" w:rsidRPr="00B41FAD">
        <w:t xml:space="preserve">de(s) </w:t>
      </w:r>
      <w:r w:rsidR="00186BBF" w:rsidRPr="00B41FAD">
        <w:t>(</w:t>
      </w:r>
      <w:r w:rsidR="000D08F6" w:rsidRPr="00B41FAD">
        <w:t>l</w:t>
      </w:r>
      <w:proofErr w:type="gramStart"/>
      <w:r w:rsidR="000D08F6" w:rsidRPr="00B41FAD">
        <w:t>’</w:t>
      </w:r>
      <w:r w:rsidR="00186BBF" w:rsidRPr="00B41FAD">
        <w:t>)</w:t>
      </w:r>
      <w:r w:rsidR="000D08F6" w:rsidRPr="00B41FAD">
        <w:t>inventaire</w:t>
      </w:r>
      <w:proofErr w:type="gramEnd"/>
      <w:r w:rsidR="000D08F6" w:rsidRPr="00B41FAD">
        <w:t>(s) en anglais ou en français, a</w:t>
      </w:r>
      <w:r w:rsidR="00186BBF" w:rsidRPr="00B41FAD">
        <w:t>insi que dan</w:t>
      </w:r>
      <w:r w:rsidR="000D08F6" w:rsidRPr="00B41FAD">
        <w:t xml:space="preserve">s </w:t>
      </w:r>
      <w:r w:rsidR="00186BBF" w:rsidRPr="00B41FAD">
        <w:t>la</w:t>
      </w:r>
      <w:r w:rsidR="000D08F6" w:rsidRPr="00B41FAD">
        <w:t xml:space="preserve"> </w:t>
      </w:r>
      <w:r w:rsidR="00574958" w:rsidRPr="00B41FAD">
        <w:t xml:space="preserve">langue </w:t>
      </w:r>
      <w:r w:rsidR="000D08F6" w:rsidRPr="00B41FAD">
        <w:t>original</w:t>
      </w:r>
      <w:r w:rsidR="00574958" w:rsidRPr="00B41FAD">
        <w:t>e si elle est diffé</w:t>
      </w:r>
      <w:r w:rsidR="000D08F6" w:rsidRPr="00B41FAD">
        <w:t>rent</w:t>
      </w:r>
      <w:r w:rsidR="00574958" w:rsidRPr="00B41FAD">
        <w:t>e</w:t>
      </w:r>
      <w:r w:rsidR="000D08F6" w:rsidRPr="00B41FAD">
        <w:t>.</w:t>
      </w:r>
    </w:p>
    <w:p w14:paraId="642C13EF" w14:textId="77777777" w:rsidR="004325DC" w:rsidRPr="00B41FAD" w:rsidRDefault="00FB1DF7">
      <w:pPr>
        <w:pStyle w:val="Titcoul"/>
      </w:pPr>
      <w:bookmarkStart w:id="65" w:name="_Toc238963217"/>
      <w:bookmarkStart w:id="66" w:name="_Toc241065103"/>
      <w:bookmarkStart w:id="67" w:name="_Toc321406996"/>
      <w:bookmarkStart w:id="68" w:name="_Toc301443353"/>
      <w:bookmarkStart w:id="69" w:name="_Toc354486620"/>
      <w:bookmarkStart w:id="70" w:name="_Toc354486926"/>
      <w:bookmarkStart w:id="71" w:name="_Toc247360201"/>
      <w:r w:rsidRPr="00B41FAD">
        <w:t>6</w:t>
      </w:r>
      <w:r w:rsidR="00C10A1F" w:rsidRPr="00B41FAD">
        <w:t>.7</w:t>
      </w:r>
      <w:bookmarkStart w:id="72" w:name="_Toc238963218"/>
      <w:bookmarkEnd w:id="65"/>
      <w:bookmarkEnd w:id="66"/>
      <w:r w:rsidR="009270A5" w:rsidRPr="00B41FAD">
        <w:tab/>
      </w:r>
      <w:bookmarkStart w:id="73" w:name="_Toc241065104"/>
      <w:r w:rsidR="00C10A1F" w:rsidRPr="00B41FAD">
        <w:t xml:space="preserve">Planifier un projet </w:t>
      </w:r>
      <w:bookmarkEnd w:id="67"/>
      <w:r w:rsidR="00D915D7" w:rsidRPr="00B41FAD">
        <w:t>d</w:t>
      </w:r>
      <w:r w:rsidR="00A61E6D" w:rsidRPr="00B41FAD">
        <w:t>’</w:t>
      </w:r>
      <w:r w:rsidR="00D915D7" w:rsidRPr="00B41FAD">
        <w:t>inventaire</w:t>
      </w:r>
      <w:bookmarkEnd w:id="68"/>
      <w:bookmarkEnd w:id="69"/>
      <w:bookmarkEnd w:id="70"/>
      <w:bookmarkEnd w:id="71"/>
      <w:bookmarkEnd w:id="72"/>
      <w:bookmarkEnd w:id="73"/>
    </w:p>
    <w:p w14:paraId="0A05B329" w14:textId="77777777" w:rsidR="004325DC" w:rsidRPr="00B41FAD" w:rsidRDefault="00C10A1F" w:rsidP="00914287">
      <w:pPr>
        <w:pStyle w:val="Texte1"/>
      </w:pPr>
      <w:r w:rsidRPr="00B41FAD">
        <w:t>En vertu de la Convention, les États parties sont libres d</w:t>
      </w:r>
      <w:r w:rsidR="00A61E6D" w:rsidRPr="00B41FAD">
        <w:t>’</w:t>
      </w:r>
      <w:r w:rsidRPr="00B41FAD">
        <w:t xml:space="preserve">organiser et </w:t>
      </w:r>
      <w:r w:rsidR="00A762CD" w:rsidRPr="00B41FAD">
        <w:t xml:space="preserve">de </w:t>
      </w:r>
      <w:r w:rsidRPr="00B41FAD">
        <w:t xml:space="preserve">présenter leurs inventaires </w:t>
      </w:r>
      <w:r w:rsidR="00D021F6" w:rsidRPr="00B41FAD">
        <w:t>en fonction de</w:t>
      </w:r>
      <w:r w:rsidRPr="00B41FAD">
        <w:t xml:space="preserve"> leur situation et </w:t>
      </w:r>
      <w:r w:rsidR="00D021F6" w:rsidRPr="00B41FAD">
        <w:t xml:space="preserve">de </w:t>
      </w:r>
      <w:r w:rsidR="00A762CD" w:rsidRPr="00B41FAD">
        <w:t>leurs</w:t>
      </w:r>
      <w:r w:rsidRPr="00B41FAD">
        <w:t xml:space="preserve"> besoins</w:t>
      </w:r>
      <w:r w:rsidR="00EA1FE1" w:rsidRPr="00B41FAD">
        <w:t> ;</w:t>
      </w:r>
      <w:r w:rsidRPr="00B41FAD">
        <w:t xml:space="preserve"> cela inclut également la conception d</w:t>
      </w:r>
      <w:r w:rsidR="00D021F6" w:rsidRPr="00B41FAD">
        <w:t>’</w:t>
      </w:r>
      <w:r w:rsidRPr="00B41FAD">
        <w:t>inventaires et les définitions ou les systèmes de classification utilisés à cet effet. Il y a beaucoup de manières différentes d</w:t>
      </w:r>
      <w:r w:rsidR="00A61E6D" w:rsidRPr="00B41FAD">
        <w:t>’</w:t>
      </w:r>
      <w:r w:rsidRPr="00B41FAD">
        <w:t>entreprendre un inventaire tout en veillant à ce qu</w:t>
      </w:r>
      <w:r w:rsidR="00A61E6D" w:rsidRPr="00B41FAD">
        <w:t>’</w:t>
      </w:r>
      <w:r w:rsidRPr="00B41FAD">
        <w:t xml:space="preserve">il </w:t>
      </w:r>
      <w:r w:rsidR="00D021F6" w:rsidRPr="00B41FAD">
        <w:t>demeur</w:t>
      </w:r>
      <w:r w:rsidRPr="00B41FAD">
        <w:t>e compatible avec les principe</w:t>
      </w:r>
      <w:r w:rsidR="00A762CD" w:rsidRPr="00B41FAD">
        <w:t>s de la Convention. Il y a</w:t>
      </w:r>
      <w:r w:rsidRPr="00B41FAD">
        <w:t xml:space="preserve"> un grand nombre de choix à faire </w:t>
      </w:r>
      <w:r w:rsidR="00A762CD" w:rsidRPr="00B41FAD">
        <w:t>dans l’élaboration d’</w:t>
      </w:r>
      <w:r w:rsidRPr="00B41FAD">
        <w:t>une stratégie d</w:t>
      </w:r>
      <w:r w:rsidR="00A61E6D" w:rsidRPr="00B41FAD">
        <w:t>’</w:t>
      </w:r>
      <w:r w:rsidRPr="00B41FAD">
        <w:t>inventaire pour un pays.</w:t>
      </w:r>
    </w:p>
    <w:p w14:paraId="17B6DEA0" w14:textId="19E52AC6" w:rsidR="004325DC" w:rsidRPr="00AF22F0" w:rsidRDefault="00C10A1F" w:rsidP="009E73D2">
      <w:pPr>
        <w:pStyle w:val="Texte1"/>
      </w:pPr>
      <w:r w:rsidRPr="00B41FAD">
        <w:t>Le processus d</w:t>
      </w:r>
      <w:r w:rsidR="00A61E6D" w:rsidRPr="00B41FAD">
        <w:t>’</w:t>
      </w:r>
      <w:r w:rsidRPr="00B41FAD">
        <w:t xml:space="preserve">inventaire </w:t>
      </w:r>
      <w:r w:rsidR="007234E6" w:rsidRPr="00B41FAD">
        <w:t>commenc</w:t>
      </w:r>
      <w:r w:rsidRPr="00B41FAD">
        <w:t>e</w:t>
      </w:r>
      <w:r w:rsidR="007234E6" w:rsidRPr="00B41FAD">
        <w:t>,</w:t>
      </w:r>
      <w:r w:rsidRPr="00B41FAD">
        <w:t xml:space="preserve"> en principe</w:t>
      </w:r>
      <w:r w:rsidR="007234E6" w:rsidRPr="00B41FAD">
        <w:t>,</w:t>
      </w:r>
      <w:r w:rsidRPr="00B41FAD">
        <w:t xml:space="preserve"> par des séances d</w:t>
      </w:r>
      <w:r w:rsidR="00A61E6D" w:rsidRPr="00B41FAD">
        <w:t>’</w:t>
      </w:r>
      <w:r w:rsidRPr="00B41FAD">
        <w:t>information et des discussions avec les communautés concernées sur l</w:t>
      </w:r>
      <w:r w:rsidR="00A61E6D" w:rsidRPr="00B41FAD">
        <w:t>’</w:t>
      </w:r>
      <w:r w:rsidRPr="00B41FAD">
        <w:t>objet, la démarche et les avantages d</w:t>
      </w:r>
      <w:r w:rsidR="007234E6" w:rsidRPr="00B41FAD">
        <w:t xml:space="preserve">’un </w:t>
      </w:r>
      <w:r w:rsidRPr="00B41FAD">
        <w:t xml:space="preserve">inventaire de leur </w:t>
      </w:r>
      <w:r w:rsidRPr="00AF22F0">
        <w:t xml:space="preserve">PCI. </w:t>
      </w:r>
      <w:r w:rsidR="00D91198" w:rsidRPr="00AF22F0">
        <w:t xml:space="preserve">Ce processus doit </w:t>
      </w:r>
      <w:r w:rsidR="005956BA" w:rsidRPr="00AF22F0">
        <w:t>aussi</w:t>
      </w:r>
      <w:r w:rsidR="00D91198" w:rsidRPr="00AF22F0">
        <w:t xml:space="preserve"> </w:t>
      </w:r>
      <w:r w:rsidR="0062169D" w:rsidRPr="00AF22F0">
        <w:t>comporter</w:t>
      </w:r>
      <w:r w:rsidR="00D91198" w:rsidRPr="00AF22F0">
        <w:t xml:space="preserve"> un dialogue au sein des communautés sur le genre et « ses » éléments du PCI.</w:t>
      </w:r>
      <w:r w:rsidR="009E73D2" w:rsidRPr="00AF22F0">
        <w:t xml:space="preserve"> </w:t>
      </w:r>
      <w:r w:rsidRPr="00AF22F0">
        <w:t xml:space="preserve">Si </w:t>
      </w:r>
      <w:r w:rsidR="00BD3667" w:rsidRPr="00AF22F0">
        <w:t xml:space="preserve">les </w:t>
      </w:r>
      <w:r w:rsidRPr="00AF22F0">
        <w:t>communauté</w:t>
      </w:r>
      <w:r w:rsidR="00BD3667" w:rsidRPr="00AF22F0">
        <w:t>s, les groupes ou les individus</w:t>
      </w:r>
      <w:r w:rsidRPr="00AF22F0">
        <w:t xml:space="preserve"> sont </w:t>
      </w:r>
      <w:r w:rsidR="00E64146" w:rsidRPr="00AF22F0">
        <w:t xml:space="preserve">réticents </w:t>
      </w:r>
      <w:r w:rsidRPr="00AF22F0">
        <w:t>à</w:t>
      </w:r>
      <w:r w:rsidR="00E64146" w:rsidRPr="00AF22F0">
        <w:t xml:space="preserve"> l’idée de voir leur(s) élément(s)</w:t>
      </w:r>
      <w:r w:rsidRPr="00AF22F0">
        <w:t xml:space="preserve"> documenté(s) et/ou inventorié(s), </w:t>
      </w:r>
      <w:r w:rsidR="009F61A0" w:rsidRPr="00AF22F0">
        <w:t xml:space="preserve">leur volonté est à </w:t>
      </w:r>
      <w:r w:rsidR="002972AF" w:rsidRPr="00AF22F0">
        <w:t>respecter</w:t>
      </w:r>
      <w:r w:rsidRPr="00AF22F0">
        <w:t>. Il faut</w:t>
      </w:r>
      <w:r w:rsidR="00E64146" w:rsidRPr="00AF22F0">
        <w:t xml:space="preserve"> leur</w:t>
      </w:r>
      <w:r w:rsidRPr="00AF22F0">
        <w:t xml:space="preserve"> demander </w:t>
      </w:r>
      <w:r w:rsidR="00E64146" w:rsidRPr="00AF22F0">
        <w:t>d</w:t>
      </w:r>
      <w:r w:rsidR="00CC2817" w:rsidRPr="00AF22F0">
        <w:t>e préciser</w:t>
      </w:r>
      <w:r w:rsidRPr="00AF22F0">
        <w:t xml:space="preserve"> s</w:t>
      </w:r>
      <w:r w:rsidR="00A61E6D" w:rsidRPr="00AF22F0">
        <w:t>’</w:t>
      </w:r>
      <w:r w:rsidRPr="00AF22F0">
        <w:t xml:space="preserve">il y a des restrictions coutumières </w:t>
      </w:r>
      <w:r w:rsidR="00E64146" w:rsidRPr="00AF22F0">
        <w:t>régiss</w:t>
      </w:r>
      <w:r w:rsidRPr="00AF22F0">
        <w:t>ant l</w:t>
      </w:r>
      <w:r w:rsidR="00A61E6D" w:rsidRPr="00AF22F0">
        <w:t>’</w:t>
      </w:r>
      <w:r w:rsidRPr="00AF22F0">
        <w:t xml:space="preserve">accès </w:t>
      </w:r>
      <w:r w:rsidR="00E64146" w:rsidRPr="00AF22F0">
        <w:t>aux</w:t>
      </w:r>
      <w:r w:rsidRPr="00AF22F0">
        <w:t xml:space="preserve"> éléments du PCI qu</w:t>
      </w:r>
      <w:r w:rsidR="00A61E6D" w:rsidRPr="00AF22F0">
        <w:t>’</w:t>
      </w:r>
      <w:r w:rsidRPr="00AF22F0">
        <w:t xml:space="preserve">ils souhaitent inventorier ou aux informations </w:t>
      </w:r>
      <w:r w:rsidR="00E64146" w:rsidRPr="00AF22F0">
        <w:t>à leur sujet</w:t>
      </w:r>
      <w:r w:rsidRPr="00AF22F0">
        <w:t xml:space="preserve"> (voir </w:t>
      </w:r>
      <w:r w:rsidR="00043DFF" w:rsidRPr="00AF22F0">
        <w:t>article </w:t>
      </w:r>
      <w:r w:rsidR="0058069D" w:rsidRPr="00AF22F0">
        <w:t>13(d)(ii)).</w:t>
      </w:r>
      <w:r w:rsidR="009E73D2" w:rsidRPr="00AF22F0">
        <w:t xml:space="preserve"> Quelques indications sont fournies dans les principes éthiques (voir not</w:t>
      </w:r>
      <w:r w:rsidR="005D6676" w:rsidRPr="00AF22F0">
        <w:t>amment les PE 1, 3, 4, 5, 6, 10 et</w:t>
      </w:r>
      <w:r w:rsidR="009E73D2" w:rsidRPr="00AF22F0">
        <w:t xml:space="preserve"> 11).</w:t>
      </w:r>
    </w:p>
    <w:p w14:paraId="5D87527A" w14:textId="77777777" w:rsidR="004325DC" w:rsidRPr="00B41FAD" w:rsidRDefault="009121FA" w:rsidP="00914287">
      <w:pPr>
        <w:pStyle w:val="Texte1"/>
      </w:pPr>
      <w:r w:rsidRPr="00AD244C">
        <w:rPr>
          <w:noProof/>
          <w:lang w:eastAsia="zh-TW"/>
        </w:rPr>
        <w:drawing>
          <wp:anchor distT="0" distB="0" distL="114300" distR="114300" simplePos="0" relativeHeight="251850240" behindDoc="0" locked="0" layoutInCell="1" allowOverlap="0" wp14:anchorId="30D5370E" wp14:editId="7EADEED2">
            <wp:simplePos x="0" y="0"/>
            <wp:positionH relativeFrom="margin">
              <wp:align>left</wp:align>
            </wp:positionH>
            <wp:positionV relativeFrom="paragraph">
              <wp:posOffset>1621790</wp:posOffset>
            </wp:positionV>
            <wp:extent cx="283210" cy="358775"/>
            <wp:effectExtent l="0" t="0" r="2540" b="3175"/>
            <wp:wrapNone/>
            <wp:docPr id="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B2115" w:rsidRPr="00B41FAD">
        <w:t>Il arrive que l</w:t>
      </w:r>
      <w:r w:rsidR="00C10A1F" w:rsidRPr="00B41FAD">
        <w:t>a collecte d</w:t>
      </w:r>
      <w:r w:rsidR="007B2115" w:rsidRPr="00B41FAD">
        <w:t>e donnée</w:t>
      </w:r>
      <w:r w:rsidR="00C10A1F" w:rsidRPr="00B41FAD">
        <w:t xml:space="preserve">s et la documentation sur un élément spécifique du PCI </w:t>
      </w:r>
      <w:r w:rsidR="007B2115" w:rsidRPr="00B41FAD">
        <w:t>ai</w:t>
      </w:r>
      <w:r w:rsidR="00C10A1F" w:rsidRPr="00B41FAD">
        <w:t xml:space="preserve">ent déjà commencé </w:t>
      </w:r>
      <w:r w:rsidR="007B2115" w:rsidRPr="00B41FAD">
        <w:t>au préalable</w:t>
      </w:r>
      <w:r w:rsidR="00C10A1F" w:rsidRPr="00B41FAD">
        <w:t>, qu</w:t>
      </w:r>
      <w:r w:rsidR="007B2115" w:rsidRPr="00B41FAD">
        <w:t xml:space="preserve">e </w:t>
      </w:r>
      <w:r w:rsidR="007E209A" w:rsidRPr="00B41FAD">
        <w:t>ce soit à l’initiative</w:t>
      </w:r>
      <w:r w:rsidR="00C10A1F" w:rsidRPr="00B41FAD">
        <w:t xml:space="preserve"> </w:t>
      </w:r>
      <w:r w:rsidR="005A1A1B" w:rsidRPr="00B41FAD">
        <w:t>de</w:t>
      </w:r>
      <w:r w:rsidR="00C10A1F" w:rsidRPr="00B41FAD">
        <w:t xml:space="preserve"> chercheurs ou des membres de la c</w:t>
      </w:r>
      <w:r w:rsidR="007E209A" w:rsidRPr="00B41FAD">
        <w:t xml:space="preserve">ommunauté. </w:t>
      </w:r>
      <w:r w:rsidR="00FB2F56" w:rsidRPr="00B41FAD">
        <w:t>Tantôt</w:t>
      </w:r>
      <w:r w:rsidR="007E209A" w:rsidRPr="00B41FAD">
        <w:t xml:space="preserve">, </w:t>
      </w:r>
      <w:r w:rsidR="00FB2F56" w:rsidRPr="00B41FAD">
        <w:t xml:space="preserve">ce sont </w:t>
      </w:r>
      <w:r w:rsidR="00C10A1F" w:rsidRPr="00B41FAD">
        <w:t>des agences</w:t>
      </w:r>
      <w:r w:rsidR="007E209A" w:rsidRPr="00B41FAD">
        <w:t xml:space="preserve"> extérieures ou des chercheurs</w:t>
      </w:r>
      <w:r w:rsidR="005A1A1B" w:rsidRPr="00B41FAD">
        <w:t xml:space="preserve"> qui accomplissent cette tâche</w:t>
      </w:r>
      <w:r w:rsidR="007E209A" w:rsidRPr="00B41FAD">
        <w:t xml:space="preserve"> </w:t>
      </w:r>
      <w:r w:rsidR="00C10A1F" w:rsidRPr="00B41FAD">
        <w:t>(avec la participation et le c</w:t>
      </w:r>
      <w:r w:rsidR="00FB2F56" w:rsidRPr="00B41FAD">
        <w:t>onsentement de la communauté),</w:t>
      </w:r>
      <w:r w:rsidR="00C10A1F" w:rsidRPr="00B41FAD">
        <w:t xml:space="preserve"> </w:t>
      </w:r>
      <w:r w:rsidR="00FB2F56" w:rsidRPr="00B41FAD">
        <w:t>tantôt,</w:t>
      </w:r>
      <w:r w:rsidR="00C10A1F" w:rsidRPr="00B41FAD">
        <w:t xml:space="preserve"> ce sont les membres de la communauté qui dressent eux-mêmes l</w:t>
      </w:r>
      <w:r w:rsidR="00FB2F56" w:rsidRPr="00B41FAD">
        <w:t>’</w:t>
      </w:r>
      <w:r w:rsidR="00C10A1F" w:rsidRPr="00B41FAD">
        <w:t xml:space="preserve">inventaire. </w:t>
      </w:r>
      <w:r w:rsidR="00EF271A" w:rsidRPr="00B41FAD">
        <w:t>Ils peuvent</w:t>
      </w:r>
      <w:r w:rsidR="00806022" w:rsidRPr="00B41FAD">
        <w:t xml:space="preserve"> prendre une </w:t>
      </w:r>
      <w:r w:rsidR="00C10A1F" w:rsidRPr="00B41FAD">
        <w:t xml:space="preserve">part </w:t>
      </w:r>
      <w:r w:rsidR="00806022" w:rsidRPr="00B41FAD">
        <w:t xml:space="preserve">active </w:t>
      </w:r>
      <w:r w:rsidR="005A1A1B" w:rsidRPr="00B41FAD">
        <w:t xml:space="preserve">à </w:t>
      </w:r>
      <w:r w:rsidR="00EF271A" w:rsidRPr="00B41FAD">
        <w:t>ce processus à travers</w:t>
      </w:r>
      <w:r w:rsidR="00806022" w:rsidRPr="00B41FAD">
        <w:t xml:space="preserve"> </w:t>
      </w:r>
      <w:r w:rsidR="00C10A1F" w:rsidRPr="00B41FAD">
        <w:t>la génération et la systématisation de l</w:t>
      </w:r>
      <w:r w:rsidR="00A61E6D" w:rsidRPr="00B41FAD">
        <w:t>’</w:t>
      </w:r>
      <w:r w:rsidR="00C10A1F" w:rsidRPr="00B41FAD">
        <w:t>information, la gestion de l</w:t>
      </w:r>
      <w:r w:rsidR="00A61E6D" w:rsidRPr="00B41FAD">
        <w:t>’</w:t>
      </w:r>
      <w:r w:rsidR="00C10A1F" w:rsidRPr="00B41FAD">
        <w:t>inventaire et/ou l</w:t>
      </w:r>
      <w:r w:rsidR="00A61E6D" w:rsidRPr="00B41FAD">
        <w:t>’</w:t>
      </w:r>
      <w:r w:rsidR="00C10A1F" w:rsidRPr="00B41FAD">
        <w:t>accès à l</w:t>
      </w:r>
      <w:r w:rsidR="00A61E6D" w:rsidRPr="00B41FAD">
        <w:t>’</w:t>
      </w:r>
      <w:r w:rsidR="00C10A1F" w:rsidRPr="00B41FAD">
        <w:t>information. Si les c</w:t>
      </w:r>
      <w:r w:rsidR="00EF271A" w:rsidRPr="00B41FAD">
        <w:t>ompétence</w:t>
      </w:r>
      <w:r w:rsidR="00C10A1F" w:rsidRPr="00B41FAD">
        <w:t>s de</w:t>
      </w:r>
      <w:r w:rsidR="00EA4D95" w:rsidRPr="00B41FAD">
        <w:t>s</w:t>
      </w:r>
      <w:r w:rsidR="00C10A1F" w:rsidRPr="00B41FAD">
        <w:t xml:space="preserve"> communauté</w:t>
      </w:r>
      <w:r w:rsidR="00EA4D95" w:rsidRPr="00B41FAD">
        <w:t>s</w:t>
      </w:r>
      <w:r w:rsidR="00C10A1F" w:rsidRPr="00B41FAD">
        <w:t xml:space="preserve"> en matière d</w:t>
      </w:r>
      <w:r w:rsidR="00A61E6D" w:rsidRPr="00B41FAD">
        <w:t>’</w:t>
      </w:r>
      <w:r w:rsidR="00C10A1F" w:rsidRPr="00B41FAD">
        <w:t xml:space="preserve">inventaire ne sont </w:t>
      </w:r>
      <w:r w:rsidR="005A1A1B" w:rsidRPr="00B41FAD">
        <w:t xml:space="preserve">pas </w:t>
      </w:r>
      <w:r w:rsidR="00C10A1F" w:rsidRPr="00B41FAD">
        <w:t xml:space="preserve">déjà </w:t>
      </w:r>
      <w:r w:rsidR="007665C7" w:rsidRPr="00B41FAD">
        <w:t xml:space="preserve">bien </w:t>
      </w:r>
      <w:r w:rsidR="00C10A1F" w:rsidRPr="00B41FAD">
        <w:t>dé</w:t>
      </w:r>
      <w:r w:rsidR="007665C7" w:rsidRPr="00B41FAD">
        <w:t>veloppées</w:t>
      </w:r>
      <w:r w:rsidR="00C10A1F" w:rsidRPr="00B41FAD">
        <w:t>, le renforcement des capacités peut être intégré dans le processus.</w:t>
      </w:r>
    </w:p>
    <w:p w14:paraId="2B73EE8F" w14:textId="77777777" w:rsidR="004325DC" w:rsidRPr="008D582C" w:rsidRDefault="007665C7" w:rsidP="00914287">
      <w:pPr>
        <w:pStyle w:val="Informations"/>
        <w:rPr>
          <w:i w:val="0"/>
          <w:color w:val="auto"/>
        </w:rPr>
      </w:pPr>
      <w:r w:rsidRPr="008D582C">
        <w:rPr>
          <w:i w:val="0"/>
          <w:color w:val="auto"/>
        </w:rPr>
        <w:t>D</w:t>
      </w:r>
      <w:r w:rsidR="00C10A1F" w:rsidRPr="008D582C">
        <w:rPr>
          <w:i w:val="0"/>
          <w:color w:val="auto"/>
        </w:rPr>
        <w:t xml:space="preserve">ifférents modèles de participation </w:t>
      </w:r>
      <w:r w:rsidR="009867A4" w:rsidRPr="008D582C">
        <w:rPr>
          <w:i w:val="0"/>
          <w:color w:val="auto"/>
        </w:rPr>
        <w:t>communaut</w:t>
      </w:r>
      <w:r w:rsidR="006B424F" w:rsidRPr="008D582C">
        <w:rPr>
          <w:i w:val="0"/>
          <w:color w:val="auto"/>
        </w:rPr>
        <w:t>aire</w:t>
      </w:r>
      <w:r w:rsidR="009867A4" w:rsidRPr="008D582C">
        <w:rPr>
          <w:i w:val="0"/>
          <w:color w:val="auto"/>
        </w:rPr>
        <w:t xml:space="preserve"> </w:t>
      </w:r>
      <w:r w:rsidRPr="008D582C">
        <w:rPr>
          <w:i w:val="0"/>
          <w:color w:val="auto"/>
        </w:rPr>
        <w:t>à des</w:t>
      </w:r>
      <w:r w:rsidR="00C10A1F" w:rsidRPr="008D582C">
        <w:rPr>
          <w:i w:val="0"/>
          <w:color w:val="auto"/>
        </w:rPr>
        <w:t xml:space="preserve"> processus d</w:t>
      </w:r>
      <w:r w:rsidR="00A61E6D" w:rsidRPr="008D582C">
        <w:rPr>
          <w:i w:val="0"/>
          <w:color w:val="auto"/>
        </w:rPr>
        <w:t>’</w:t>
      </w:r>
      <w:r w:rsidR="00C10A1F" w:rsidRPr="008D582C">
        <w:rPr>
          <w:i w:val="0"/>
          <w:color w:val="auto"/>
        </w:rPr>
        <w:t xml:space="preserve">inventaire </w:t>
      </w:r>
      <w:r w:rsidR="00E2520E" w:rsidRPr="008D582C">
        <w:rPr>
          <w:i w:val="0"/>
          <w:color w:val="auto"/>
        </w:rPr>
        <w:t>sont cités en exemple</w:t>
      </w:r>
      <w:r w:rsidRPr="008D582C">
        <w:rPr>
          <w:i w:val="0"/>
          <w:color w:val="auto"/>
        </w:rPr>
        <w:t xml:space="preserve"> </w:t>
      </w:r>
      <w:r w:rsidR="00C10A1F" w:rsidRPr="008D582C">
        <w:rPr>
          <w:i w:val="0"/>
          <w:color w:val="auto"/>
        </w:rPr>
        <w:t>dans</w:t>
      </w:r>
      <w:r w:rsidR="00FB1DF7" w:rsidRPr="008D582C">
        <w:rPr>
          <w:i w:val="0"/>
          <w:color w:val="auto"/>
        </w:rPr>
        <w:t xml:space="preserve"> les </w:t>
      </w:r>
      <w:r w:rsidR="00B0030C" w:rsidRPr="008D582C">
        <w:rPr>
          <w:i w:val="0"/>
          <w:color w:val="auto"/>
        </w:rPr>
        <w:t>É</w:t>
      </w:r>
      <w:r w:rsidR="00C10A1F" w:rsidRPr="008D582C">
        <w:rPr>
          <w:i w:val="0"/>
          <w:color w:val="auto"/>
        </w:rPr>
        <w:t>tudes de cas 6</w:t>
      </w:r>
      <w:r w:rsidR="006B424F" w:rsidRPr="008D582C">
        <w:rPr>
          <w:i w:val="0"/>
          <w:color w:val="auto"/>
        </w:rPr>
        <w:t>-</w:t>
      </w:r>
      <w:r w:rsidR="00C10A1F" w:rsidRPr="008D582C">
        <w:rPr>
          <w:i w:val="0"/>
          <w:color w:val="auto"/>
        </w:rPr>
        <w:t>8.</w:t>
      </w:r>
    </w:p>
    <w:p w14:paraId="1993AE6E" w14:textId="77777777" w:rsidR="004325DC" w:rsidRPr="00B41FAD" w:rsidRDefault="00C10A1F" w:rsidP="00914287">
      <w:pPr>
        <w:pStyle w:val="Texte1"/>
      </w:pPr>
      <w:r w:rsidRPr="00B41FAD">
        <w:t xml:space="preserve">Les tâches </w:t>
      </w:r>
      <w:r w:rsidR="00E2520E" w:rsidRPr="00B41FAD">
        <w:t>fondamenta</w:t>
      </w:r>
      <w:r w:rsidR="00E34992" w:rsidRPr="00B41FAD">
        <w:t>l</w:t>
      </w:r>
      <w:r w:rsidRPr="00B41FAD">
        <w:t>es d</w:t>
      </w:r>
      <w:r w:rsidR="00E34992" w:rsidRPr="00B41FAD">
        <w:t>e</w:t>
      </w:r>
      <w:r w:rsidRPr="00B41FAD">
        <w:t xml:space="preserve"> la planification d</w:t>
      </w:r>
      <w:r w:rsidR="00A61E6D" w:rsidRPr="00B41FAD">
        <w:t>’</w:t>
      </w:r>
      <w:r w:rsidRPr="00B41FAD">
        <w:t>un projet d</w:t>
      </w:r>
      <w:r w:rsidR="00A61E6D" w:rsidRPr="00B41FAD">
        <w:t>’</w:t>
      </w:r>
      <w:r w:rsidRPr="00B41FAD">
        <w:t xml:space="preserve">inventaire sont les suivantes (tout en assurant la participation et le consentement </w:t>
      </w:r>
      <w:r w:rsidR="00493648" w:rsidRPr="00B41FAD">
        <w:t>communautaire</w:t>
      </w:r>
      <w:r w:rsidR="009867A4" w:rsidRPr="00B41FAD">
        <w:t xml:space="preserve">s </w:t>
      </w:r>
      <w:r w:rsidR="00E34992" w:rsidRPr="00B41FAD">
        <w:t>à</w:t>
      </w:r>
      <w:r w:rsidR="002A15C0" w:rsidRPr="00B41FAD">
        <w:t xml:space="preserve"> toutes les étapes</w:t>
      </w:r>
      <w:r w:rsidRPr="00B41FAD">
        <w:t>)</w:t>
      </w:r>
      <w:r w:rsidR="00EA1FE1" w:rsidRPr="00B41FAD">
        <w:t> :</w:t>
      </w:r>
    </w:p>
    <w:p w14:paraId="51977A91" w14:textId="77777777" w:rsidR="006C3387" w:rsidRDefault="00FB1DF7" w:rsidP="00AF22F0">
      <w:pPr>
        <w:pStyle w:val="Txtpucegras"/>
      </w:pPr>
      <w:r w:rsidRPr="00B41FAD">
        <w:t>I</w:t>
      </w:r>
      <w:r w:rsidR="00C10A1F" w:rsidRPr="00B41FAD">
        <w:t xml:space="preserve">dentifier, informer et impliquer les communautés </w:t>
      </w:r>
      <w:r w:rsidR="00E34992" w:rsidRPr="00B41FAD">
        <w:t xml:space="preserve">concernées </w:t>
      </w:r>
      <w:r w:rsidR="00C10A1F" w:rsidRPr="00B41FAD">
        <w:t xml:space="preserve">et autres </w:t>
      </w:r>
      <w:r w:rsidR="00E34992" w:rsidRPr="00B41FAD">
        <w:t>acteurs</w:t>
      </w:r>
      <w:r w:rsidR="00C10A1F" w:rsidRPr="00B41FAD">
        <w:t>, y compris les ONG pertinentes (</w:t>
      </w:r>
      <w:r w:rsidR="00E34992" w:rsidRPr="00B41FAD">
        <w:t>le cas échéant</w:t>
      </w:r>
      <w:r w:rsidR="00C10A1F" w:rsidRPr="00B41FAD">
        <w:t>)</w:t>
      </w:r>
      <w:r w:rsidR="00470626">
        <w:t> ;</w:t>
      </w:r>
    </w:p>
    <w:p w14:paraId="4D7F6FCD" w14:textId="78CF7CCA" w:rsidR="00CF1BFF" w:rsidRPr="00AF22F0" w:rsidRDefault="00CF1BFF" w:rsidP="00AF22F0">
      <w:pPr>
        <w:pStyle w:val="Txtpucegras"/>
      </w:pPr>
      <w:r w:rsidRPr="00AF22F0">
        <w:t xml:space="preserve">Aborder la dimension </w:t>
      </w:r>
      <w:r w:rsidR="00C460C3" w:rsidRPr="00AF22F0">
        <w:t xml:space="preserve">liée </w:t>
      </w:r>
      <w:r w:rsidR="00FB4494" w:rsidRPr="00AF22F0">
        <w:t>au</w:t>
      </w:r>
      <w:r w:rsidR="00C460C3" w:rsidRPr="00AF22F0">
        <w:t xml:space="preserve"> </w:t>
      </w:r>
      <w:r w:rsidRPr="00AF22F0">
        <w:t>genre dans l’identification et l’</w:t>
      </w:r>
      <w:r w:rsidR="00167DD5" w:rsidRPr="00AF22F0">
        <w:t>(les)</w:t>
      </w:r>
      <w:r w:rsidRPr="00AF22F0">
        <w:t>inventaire</w:t>
      </w:r>
      <w:r w:rsidR="00167DD5" w:rsidRPr="00AF22F0">
        <w:t>(s)</w:t>
      </w:r>
      <w:r w:rsidRPr="00AF22F0">
        <w:t> ;</w:t>
      </w:r>
    </w:p>
    <w:p w14:paraId="3B45E6E4" w14:textId="0EB883EA" w:rsidR="006C3387" w:rsidRPr="00B41FAD" w:rsidRDefault="00FB1DF7" w:rsidP="00AF22F0">
      <w:pPr>
        <w:pStyle w:val="Txtpucegras"/>
      </w:pPr>
      <w:r w:rsidRPr="00B41FAD">
        <w:t>M</w:t>
      </w:r>
      <w:r w:rsidR="00C10A1F" w:rsidRPr="00B41FAD">
        <w:t>ettre en place des mécanismes consultatifs et établir la confiance entre les acteurs</w:t>
      </w:r>
      <w:r w:rsidR="00A64FEA">
        <w:t> ;</w:t>
      </w:r>
    </w:p>
    <w:p w14:paraId="03B786FB" w14:textId="77777777" w:rsidR="006C3387" w:rsidRPr="00B41FAD" w:rsidRDefault="00FB1DF7" w:rsidP="00AF22F0">
      <w:pPr>
        <w:pStyle w:val="Txtpucegras"/>
      </w:pPr>
      <w:r w:rsidRPr="00B41FAD">
        <w:t>D</w:t>
      </w:r>
      <w:r w:rsidR="00C10A1F" w:rsidRPr="00B41FAD">
        <w:t xml:space="preserve">éterminer </w:t>
      </w:r>
      <w:r w:rsidR="00493648" w:rsidRPr="00B41FAD">
        <w:t>le(s) but(s) et la portée de(s)</w:t>
      </w:r>
      <w:r w:rsidR="00C10A1F" w:rsidRPr="00B41FAD">
        <w:t xml:space="preserve"> </w:t>
      </w:r>
      <w:r w:rsidR="00D7397F" w:rsidRPr="00B41FAD">
        <w:t>(</w:t>
      </w:r>
      <w:r w:rsidR="00C10A1F" w:rsidRPr="00B41FAD">
        <w:t>l</w:t>
      </w:r>
      <w:proofErr w:type="gramStart"/>
      <w:r w:rsidR="00A61E6D" w:rsidRPr="00B41FAD">
        <w:t>’</w:t>
      </w:r>
      <w:r w:rsidR="00D7397F" w:rsidRPr="00B41FAD">
        <w:t>)</w:t>
      </w:r>
      <w:r w:rsidR="00C10A1F" w:rsidRPr="00B41FAD">
        <w:t>inventaire</w:t>
      </w:r>
      <w:proofErr w:type="gramEnd"/>
      <w:r w:rsidR="00C10A1F" w:rsidRPr="00B41FAD">
        <w:t>(s)</w:t>
      </w:r>
      <w:r w:rsidR="00470626">
        <w:t> ;</w:t>
      </w:r>
    </w:p>
    <w:p w14:paraId="32C20FF8" w14:textId="77777777" w:rsidR="006C3387" w:rsidRPr="00B41FAD" w:rsidRDefault="00FB1DF7" w:rsidP="00AF22F0">
      <w:pPr>
        <w:pStyle w:val="Txtpucegras"/>
      </w:pPr>
      <w:r w:rsidRPr="00B41FAD">
        <w:t>T</w:t>
      </w:r>
      <w:r w:rsidR="00C10A1F" w:rsidRPr="00B41FAD">
        <w:t>rouver les ressources pour entreprendre le projet</w:t>
      </w:r>
      <w:r w:rsidR="00470626">
        <w:t> ;</w:t>
      </w:r>
    </w:p>
    <w:p w14:paraId="59EB6D31" w14:textId="77777777" w:rsidR="006C3387" w:rsidRPr="00B41FAD" w:rsidRDefault="00FB1DF7" w:rsidP="00AF22F0">
      <w:pPr>
        <w:pStyle w:val="Txtpucegras"/>
      </w:pPr>
      <w:r w:rsidRPr="00B41FAD">
        <w:t>P</w:t>
      </w:r>
      <w:r w:rsidR="00C10A1F" w:rsidRPr="00B41FAD">
        <w:t>lanifier la génération et la systématisation de l</w:t>
      </w:r>
      <w:r w:rsidR="00A61E6D" w:rsidRPr="00B41FAD">
        <w:t>’</w:t>
      </w:r>
      <w:r w:rsidR="00C10A1F" w:rsidRPr="00B41FAD">
        <w:t>information</w:t>
      </w:r>
      <w:r w:rsidR="00470626">
        <w:t> ;</w:t>
      </w:r>
    </w:p>
    <w:p w14:paraId="37C8D14F" w14:textId="77777777" w:rsidR="004325DC" w:rsidRPr="00B41FAD" w:rsidRDefault="00FB1DF7" w:rsidP="00AF22F0">
      <w:pPr>
        <w:pStyle w:val="Txtpucegras"/>
      </w:pPr>
      <w:r w:rsidRPr="00B41FAD">
        <w:t>P</w:t>
      </w:r>
      <w:r w:rsidR="00C10A1F" w:rsidRPr="00B41FAD">
        <w:t>lanifier la diffusion, l</w:t>
      </w:r>
      <w:r w:rsidR="00A61E6D" w:rsidRPr="00B41FAD">
        <w:t>’</w:t>
      </w:r>
      <w:r w:rsidR="00C10A1F" w:rsidRPr="00B41FAD">
        <w:t>accès et la mise à jour.</w:t>
      </w:r>
    </w:p>
    <w:p w14:paraId="2E129BBE" w14:textId="77777777" w:rsidR="004325DC" w:rsidRPr="00B41FAD" w:rsidRDefault="00C10A1F" w:rsidP="009121FA">
      <w:pPr>
        <w:pStyle w:val="Soustitre"/>
        <w:ind w:left="850"/>
      </w:pPr>
      <w:r w:rsidRPr="00B41FAD">
        <w:t xml:space="preserve">Questions qui pourraient se poser </w:t>
      </w:r>
      <w:r w:rsidR="00166634" w:rsidRPr="00B41FAD">
        <w:t>lors de</w:t>
      </w:r>
      <w:r w:rsidR="000C4089" w:rsidRPr="00B41FAD">
        <w:t xml:space="preserve"> l</w:t>
      </w:r>
      <w:r w:rsidR="00166634" w:rsidRPr="00B41FAD">
        <w:t>’élabor</w:t>
      </w:r>
      <w:r w:rsidR="000C4089" w:rsidRPr="00B41FAD">
        <w:t>a</w:t>
      </w:r>
      <w:r w:rsidR="00166634" w:rsidRPr="00B41FAD">
        <w:t>tio</w:t>
      </w:r>
      <w:r w:rsidR="000C4089" w:rsidRPr="00B41FAD">
        <w:t>n d’</w:t>
      </w:r>
      <w:r w:rsidRPr="00B41FAD">
        <w:t xml:space="preserve">un </w:t>
      </w:r>
      <w:r w:rsidR="000C4089" w:rsidRPr="00B41FAD">
        <w:t>projet d’</w:t>
      </w:r>
      <w:r w:rsidRPr="00B41FAD">
        <w:t>inventaire</w:t>
      </w:r>
      <w:r w:rsidR="00EA1FE1" w:rsidRPr="00B41FAD">
        <w:t> :</w:t>
      </w:r>
    </w:p>
    <w:p w14:paraId="1AED8BE9" w14:textId="77777777" w:rsidR="004325DC" w:rsidRPr="00B41FAD" w:rsidRDefault="00C10A1F" w:rsidP="00AF22F0">
      <w:pPr>
        <w:pStyle w:val="Txtpucegras"/>
      </w:pPr>
      <w:r w:rsidRPr="00B41FAD">
        <w:lastRenderedPageBreak/>
        <w:t xml:space="preserve">Y </w:t>
      </w:r>
      <w:proofErr w:type="spellStart"/>
      <w:r w:rsidRPr="00B41FAD">
        <w:t>aura-t-il</w:t>
      </w:r>
      <w:proofErr w:type="spellEnd"/>
      <w:r w:rsidRPr="00B41FAD">
        <w:t xml:space="preserve"> un</w:t>
      </w:r>
      <w:r w:rsidR="009E0435">
        <w:t> </w:t>
      </w:r>
      <w:r w:rsidRPr="00B41FAD">
        <w:t>ou plusieurs inventaires</w:t>
      </w:r>
      <w:r w:rsidR="00953DB9" w:rsidRPr="00B41FAD">
        <w:t> ?</w:t>
      </w:r>
    </w:p>
    <w:p w14:paraId="261D32DA" w14:textId="77777777" w:rsidR="004325DC" w:rsidRPr="00B41FAD" w:rsidRDefault="00C10A1F" w:rsidP="00AF22F0">
      <w:pPr>
        <w:pStyle w:val="Txtpucegras"/>
      </w:pPr>
      <w:r w:rsidRPr="00B41FAD">
        <w:t>Si l</w:t>
      </w:r>
      <w:r w:rsidR="00A61E6D" w:rsidRPr="00B41FAD">
        <w:t>’</w:t>
      </w:r>
      <w:r w:rsidRPr="00B41FAD">
        <w:t>on envisage de dresser plus</w:t>
      </w:r>
      <w:r w:rsidR="004F1140" w:rsidRPr="00B41FAD">
        <w:t xml:space="preserve"> d’un inventaire</w:t>
      </w:r>
      <w:r w:rsidRPr="00B41FAD">
        <w:t xml:space="preserve">, quel </w:t>
      </w:r>
      <w:r w:rsidR="004F1140" w:rsidRPr="00B41FAD">
        <w:t xml:space="preserve">sera le </w:t>
      </w:r>
      <w:r w:rsidR="00166634" w:rsidRPr="00B41FAD">
        <w:t>lien</w:t>
      </w:r>
      <w:r w:rsidRPr="00B41FAD">
        <w:t xml:space="preserve"> entre les différents inventaires</w:t>
      </w:r>
      <w:r w:rsidR="00953DB9" w:rsidRPr="00B41FAD">
        <w:t> ?</w:t>
      </w:r>
    </w:p>
    <w:p w14:paraId="49349A6E" w14:textId="77777777" w:rsidR="004325DC" w:rsidRPr="00B41FAD" w:rsidRDefault="00166634" w:rsidP="00AF22F0">
      <w:pPr>
        <w:pStyle w:val="Txtpucegras"/>
      </w:pPr>
      <w:r w:rsidRPr="00B41FAD">
        <w:t>Comment seront</w:t>
      </w:r>
      <w:r w:rsidR="00C10A1F" w:rsidRPr="00B41FAD">
        <w:t xml:space="preserve"> </w:t>
      </w:r>
      <w:r w:rsidRPr="00B41FAD">
        <w:t>réparti</w:t>
      </w:r>
      <w:r w:rsidR="00C10A1F" w:rsidRPr="00B41FAD">
        <w:t xml:space="preserve">s les inventaires </w:t>
      </w:r>
      <w:r w:rsidR="00BB70F2" w:rsidRPr="00B41FAD">
        <w:t>– </w:t>
      </w:r>
      <w:r w:rsidR="009C1268" w:rsidRPr="00B41FAD">
        <w:t>par entité administrative,</w:t>
      </w:r>
      <w:r w:rsidR="00C10A1F" w:rsidRPr="00B41FAD">
        <w:t xml:space="preserve"> </w:t>
      </w:r>
      <w:r w:rsidR="009C1268" w:rsidRPr="00B41FAD">
        <w:t xml:space="preserve">par </w:t>
      </w:r>
      <w:r w:rsidR="00C10A1F" w:rsidRPr="00B41FAD">
        <w:t>communauté,</w:t>
      </w:r>
      <w:r w:rsidR="009C1268" w:rsidRPr="00B41FAD">
        <w:t xml:space="preserve"> domaine ou autre</w:t>
      </w:r>
      <w:r w:rsidR="00953DB9" w:rsidRPr="00B41FAD">
        <w:t> ?</w:t>
      </w:r>
      <w:r w:rsidR="00C10A1F" w:rsidRPr="00B41FAD">
        <w:t xml:space="preserve"> S</w:t>
      </w:r>
      <w:r w:rsidR="00A61E6D" w:rsidRPr="00B41FAD">
        <w:t>’</w:t>
      </w:r>
      <w:r w:rsidR="00C10A1F" w:rsidRPr="00B41FAD">
        <w:t xml:space="preserve">il y </w:t>
      </w:r>
      <w:r w:rsidR="009C1268" w:rsidRPr="00B41FAD">
        <w:t xml:space="preserve">en </w:t>
      </w:r>
      <w:r w:rsidR="00C10A1F" w:rsidRPr="00B41FAD">
        <w:t xml:space="preserve">a </w:t>
      </w:r>
      <w:r w:rsidR="00CC2817" w:rsidRPr="00B41FAD">
        <w:t>plus</w:t>
      </w:r>
      <w:r w:rsidR="009C1268" w:rsidRPr="00B41FAD">
        <w:t xml:space="preserve"> d’un</w:t>
      </w:r>
      <w:r w:rsidR="00C10A1F" w:rsidRPr="00B41FAD">
        <w:t xml:space="preserve">, </w:t>
      </w:r>
      <w:r w:rsidR="009C1268" w:rsidRPr="00B41FAD">
        <w:t>suivr</w:t>
      </w:r>
      <w:r w:rsidR="00C10A1F" w:rsidRPr="00B41FAD">
        <w:t>ont-ils tous la même approche</w:t>
      </w:r>
      <w:r w:rsidR="002A15C0" w:rsidRPr="00B41FAD">
        <w:t xml:space="preserve"> ou non</w:t>
      </w:r>
      <w:r w:rsidR="00953DB9" w:rsidRPr="00B41FAD">
        <w:t> ?</w:t>
      </w:r>
    </w:p>
    <w:p w14:paraId="02154183" w14:textId="77777777" w:rsidR="004325DC" w:rsidRPr="00B41FAD" w:rsidRDefault="00C10A1F" w:rsidP="00AF22F0">
      <w:pPr>
        <w:pStyle w:val="Txtpucegras"/>
      </w:pPr>
      <w:r w:rsidRPr="00B41FAD">
        <w:t>Comment l</w:t>
      </w:r>
      <w:r w:rsidR="00A61E6D" w:rsidRPr="00B41FAD">
        <w:t>’</w:t>
      </w:r>
      <w:r w:rsidRPr="00B41FAD">
        <w:t>exercice d</w:t>
      </w:r>
      <w:r w:rsidR="00A61E6D" w:rsidRPr="00B41FAD">
        <w:t>’</w:t>
      </w:r>
      <w:r w:rsidRPr="00B41FAD">
        <w:t>inventaire et sa mise à jour ultérieure seront-ils financés</w:t>
      </w:r>
      <w:r w:rsidR="00953DB9" w:rsidRPr="00B41FAD">
        <w:t> ?</w:t>
      </w:r>
    </w:p>
    <w:p w14:paraId="047EE003" w14:textId="77777777" w:rsidR="004325DC" w:rsidRPr="00B41FAD" w:rsidRDefault="00C10A1F" w:rsidP="00AF22F0">
      <w:pPr>
        <w:pStyle w:val="Txtpucegras"/>
      </w:pPr>
      <w:r w:rsidRPr="00B41FAD">
        <w:t xml:space="preserve">Qui mettra au point le(s) questionnaire(s) </w:t>
      </w:r>
      <w:r w:rsidR="009D7A85" w:rsidRPr="00B41FAD">
        <w:t>d</w:t>
      </w:r>
      <w:r w:rsidR="00A61E6D" w:rsidRPr="00B41FAD">
        <w:t>’</w:t>
      </w:r>
      <w:r w:rsidRPr="00B41FAD">
        <w:t>inventaire(s)</w:t>
      </w:r>
      <w:r w:rsidR="00953DB9" w:rsidRPr="00B41FAD">
        <w:t> ?</w:t>
      </w:r>
    </w:p>
    <w:p w14:paraId="12648705" w14:textId="77777777" w:rsidR="004325DC" w:rsidRPr="00B41FAD" w:rsidRDefault="00C10A1F" w:rsidP="00AF22F0">
      <w:pPr>
        <w:pStyle w:val="Txtpucegras"/>
      </w:pPr>
      <w:r w:rsidRPr="00B41FAD">
        <w:t xml:space="preserve">Quelles </w:t>
      </w:r>
      <w:r w:rsidR="009D7A85" w:rsidRPr="00B41FAD">
        <w:t xml:space="preserve">seront les </w:t>
      </w:r>
      <w:r w:rsidRPr="00B41FAD">
        <w:t xml:space="preserve">informations </w:t>
      </w:r>
      <w:r w:rsidR="009D7A85" w:rsidRPr="00B41FAD">
        <w:t>recueilli</w:t>
      </w:r>
      <w:r w:rsidRPr="00B41FAD">
        <w:t>es sur les éléments à inventorier</w:t>
      </w:r>
      <w:r w:rsidR="00953DB9" w:rsidRPr="00B41FAD">
        <w:t> ?</w:t>
      </w:r>
    </w:p>
    <w:p w14:paraId="359C9091" w14:textId="77777777" w:rsidR="004325DC" w:rsidRPr="00B41FAD" w:rsidRDefault="00C10A1F" w:rsidP="00AF22F0">
      <w:pPr>
        <w:pStyle w:val="Txtpucegras"/>
      </w:pPr>
      <w:r w:rsidRPr="00B41FAD">
        <w:t xml:space="preserve">Quelle </w:t>
      </w:r>
      <w:r w:rsidR="00C17801" w:rsidRPr="00B41FAD">
        <w:t xml:space="preserve">sera la </w:t>
      </w:r>
      <w:r w:rsidRPr="00B41FAD">
        <w:t>profondeur d</w:t>
      </w:r>
      <w:r w:rsidR="00C17801" w:rsidRPr="00B41FAD">
        <w:t>e l</w:t>
      </w:r>
      <w:r w:rsidR="00A61E6D" w:rsidRPr="00B41FAD">
        <w:t>’</w:t>
      </w:r>
      <w:r w:rsidRPr="00B41FAD">
        <w:t>information ap</w:t>
      </w:r>
      <w:r w:rsidR="00C17801" w:rsidRPr="00B41FAD">
        <w:t>portée sur les éléments dans (</w:t>
      </w:r>
      <w:r w:rsidRPr="00B41FAD">
        <w:t>l</w:t>
      </w:r>
      <w:proofErr w:type="gramStart"/>
      <w:r w:rsidR="00A61E6D" w:rsidRPr="00B41FAD">
        <w:t>’</w:t>
      </w:r>
      <w:r w:rsidR="00C17801" w:rsidRPr="00B41FAD">
        <w:t>)les</w:t>
      </w:r>
      <w:proofErr w:type="gramEnd"/>
      <w:r w:rsidR="00C17801" w:rsidRPr="00B41FAD">
        <w:t xml:space="preserve"> </w:t>
      </w:r>
      <w:r w:rsidRPr="00B41FAD">
        <w:t>inventaire(s)</w:t>
      </w:r>
      <w:r w:rsidR="00953DB9" w:rsidRPr="00B41FAD">
        <w:t> ?</w:t>
      </w:r>
    </w:p>
    <w:p w14:paraId="5262D963" w14:textId="77777777" w:rsidR="004325DC" w:rsidRDefault="00C10A1F" w:rsidP="00AF22F0">
      <w:pPr>
        <w:pStyle w:val="Txtpucegras"/>
      </w:pPr>
      <w:r w:rsidRPr="00B41FAD">
        <w:t>Quelle sera la définition du PCI utilisée</w:t>
      </w:r>
      <w:r w:rsidR="00953DB9" w:rsidRPr="00B41FAD">
        <w:t> ?</w:t>
      </w:r>
    </w:p>
    <w:p w14:paraId="52C23A21" w14:textId="12C1EE11" w:rsidR="00441020" w:rsidRPr="00441020" w:rsidRDefault="00441020" w:rsidP="00AF22F0">
      <w:pPr>
        <w:pStyle w:val="Txtpucegras"/>
      </w:pPr>
      <w:r w:rsidRPr="00441020">
        <w:t xml:space="preserve">Comment le PCI contribue-t-il à façonner les identités </w:t>
      </w:r>
      <w:proofErr w:type="spellStart"/>
      <w:r w:rsidR="004D06AE">
        <w:t>sexospécifiques</w:t>
      </w:r>
      <w:proofErr w:type="spellEnd"/>
      <w:r w:rsidRPr="00441020">
        <w:t xml:space="preserve"> et </w:t>
      </w:r>
      <w:r w:rsidR="00A60CDF">
        <w:t xml:space="preserve">réciproquement </w:t>
      </w:r>
      <w:r w:rsidRPr="00441020">
        <w:t>?</w:t>
      </w:r>
    </w:p>
    <w:p w14:paraId="353A90DE" w14:textId="77777777" w:rsidR="004325DC" w:rsidRPr="00B41FAD" w:rsidRDefault="00C17801" w:rsidP="00AF22F0">
      <w:pPr>
        <w:pStyle w:val="Txtpucegras"/>
      </w:pPr>
      <w:r w:rsidRPr="00B41FAD">
        <w:t>Quel sera le système de domaines ou de</w:t>
      </w:r>
      <w:r w:rsidR="00C10A1F" w:rsidRPr="00B41FAD">
        <w:t xml:space="preserve"> catégories utilisé</w:t>
      </w:r>
      <w:r w:rsidR="00953DB9" w:rsidRPr="00B41FAD">
        <w:t> ?</w:t>
      </w:r>
    </w:p>
    <w:p w14:paraId="22D46FB0" w14:textId="77777777" w:rsidR="004325DC" w:rsidRPr="00B41FAD" w:rsidRDefault="00C10A1F" w:rsidP="00AF22F0">
      <w:pPr>
        <w:pStyle w:val="Txtpucegras"/>
      </w:pPr>
      <w:r w:rsidRPr="00B41FAD">
        <w:t>Jusqu</w:t>
      </w:r>
      <w:r w:rsidR="00A61E6D" w:rsidRPr="00B41FAD">
        <w:t>’</w:t>
      </w:r>
      <w:r w:rsidRPr="00B41FAD">
        <w:t>à quel degré est-il prévu de pousser l</w:t>
      </w:r>
      <w:r w:rsidR="00A61E6D" w:rsidRPr="00B41FAD">
        <w:t>’</w:t>
      </w:r>
      <w:r w:rsidRPr="00B41FAD">
        <w:t>exercice d</w:t>
      </w:r>
      <w:r w:rsidR="00A61E6D" w:rsidRPr="00B41FAD">
        <w:t>’</w:t>
      </w:r>
      <w:r w:rsidRPr="00B41FAD">
        <w:t>inventaire</w:t>
      </w:r>
      <w:r w:rsidR="00953DB9" w:rsidRPr="00B41FAD">
        <w:t> ?</w:t>
      </w:r>
    </w:p>
    <w:p w14:paraId="4ACD8103" w14:textId="77777777" w:rsidR="004325DC" w:rsidRPr="00B41FAD" w:rsidRDefault="00C10A1F" w:rsidP="00AF22F0">
      <w:pPr>
        <w:pStyle w:val="Txtpucegras"/>
      </w:pPr>
      <w:r w:rsidRPr="00B41FAD">
        <w:t>Qui facilitera la génération et la collecte de l</w:t>
      </w:r>
      <w:r w:rsidR="00A61E6D" w:rsidRPr="00B41FAD">
        <w:t>’</w:t>
      </w:r>
      <w:r w:rsidRPr="00B41FAD">
        <w:t>information</w:t>
      </w:r>
      <w:r w:rsidR="00953DB9" w:rsidRPr="00B41FAD">
        <w:t> ?</w:t>
      </w:r>
    </w:p>
    <w:p w14:paraId="48DB3445" w14:textId="616DB1D4" w:rsidR="004325DC" w:rsidRPr="002B6116" w:rsidRDefault="00C10A1F" w:rsidP="00AF22F0">
      <w:pPr>
        <w:pStyle w:val="Txtpucegras"/>
      </w:pPr>
      <w:r w:rsidRPr="002B6116">
        <w:t>Comment les communautés</w:t>
      </w:r>
      <w:r w:rsidR="00C135FB">
        <w:t>, groupes, et, le cas échéant, individus, seront-ils impliqué</w:t>
      </w:r>
      <w:r w:rsidRPr="002B6116">
        <w:t xml:space="preserve">s </w:t>
      </w:r>
      <w:r w:rsidR="008C34FE" w:rsidRPr="002B6116">
        <w:t>dans</w:t>
      </w:r>
      <w:r w:rsidRPr="002B6116">
        <w:t xml:space="preserve"> </w:t>
      </w:r>
      <w:r w:rsidR="00EE2BF3" w:rsidRPr="002B6116">
        <w:t>l’ensemble du</w:t>
      </w:r>
      <w:r w:rsidRPr="002B6116">
        <w:t xml:space="preserve"> processus de production</w:t>
      </w:r>
      <w:r w:rsidR="00C135FB">
        <w:t>, de systématisation et d’utilisation</w:t>
      </w:r>
      <w:r w:rsidRPr="002B6116">
        <w:t xml:space="preserve"> de l</w:t>
      </w:r>
      <w:r w:rsidR="00A61E6D" w:rsidRPr="002B6116">
        <w:t>’</w:t>
      </w:r>
      <w:r w:rsidR="006573EF">
        <w:t xml:space="preserve">information – </w:t>
      </w:r>
      <w:r w:rsidRPr="002B6116">
        <w:t xml:space="preserve">y compris </w:t>
      </w:r>
      <w:r w:rsidR="004C4E98">
        <w:t>de</w:t>
      </w:r>
      <w:r w:rsidRPr="002B6116">
        <w:t xml:space="preserve"> </w:t>
      </w:r>
      <w:r w:rsidR="004C4E98">
        <w:t>production</w:t>
      </w:r>
      <w:r w:rsidRPr="002B6116">
        <w:t xml:space="preserve"> de </w:t>
      </w:r>
      <w:r w:rsidR="00DF4273">
        <w:t xml:space="preserve">cette dernière </w:t>
      </w:r>
      <w:r w:rsidR="00953DB9" w:rsidRPr="002B6116">
        <w:t>?</w:t>
      </w:r>
      <w:r w:rsidR="000C125D">
        <w:t xml:space="preserve"> Comment garantir une collaboration transparente, le dialogue, la négociation, la consultation et </w:t>
      </w:r>
      <w:r w:rsidR="00A32E44">
        <w:t>notamment</w:t>
      </w:r>
      <w:r w:rsidR="000C125D">
        <w:t xml:space="preserve"> un consentement durable, </w:t>
      </w:r>
      <w:r w:rsidR="00AD33F4">
        <w:t>tels que prônés</w:t>
      </w:r>
      <w:r w:rsidR="000C125D">
        <w:t xml:space="preserve"> par le PE 4 ?</w:t>
      </w:r>
    </w:p>
    <w:p w14:paraId="1C710F4A" w14:textId="7D558391" w:rsidR="004325DC" w:rsidRPr="00AF22F0" w:rsidRDefault="00C10A1F" w:rsidP="00AF22F0">
      <w:pPr>
        <w:pStyle w:val="Txtpucegras"/>
      </w:pPr>
      <w:r w:rsidRPr="00AF22F0">
        <w:t xml:space="preserve">Les </w:t>
      </w:r>
      <w:r w:rsidRPr="00B41FAD">
        <w:t xml:space="preserve">organisations non gouvernementales </w:t>
      </w:r>
      <w:r w:rsidR="009E0435">
        <w:t xml:space="preserve">(ONG) </w:t>
      </w:r>
      <w:r w:rsidRPr="00B41FAD">
        <w:t>et les institutions co</w:t>
      </w:r>
      <w:r w:rsidR="00B70345" w:rsidRPr="00B41FAD">
        <w:t>mpétent</w:t>
      </w:r>
      <w:r w:rsidRPr="00B41FAD">
        <w:t>es seront-elles impliquées dans l</w:t>
      </w:r>
      <w:r w:rsidR="00A61E6D" w:rsidRPr="00B41FAD">
        <w:t>’</w:t>
      </w:r>
      <w:r w:rsidRPr="00B41FAD">
        <w:t xml:space="preserve">exercice et, si oui, </w:t>
      </w:r>
      <w:r w:rsidRPr="00AF22F0">
        <w:t>comment ?</w:t>
      </w:r>
      <w:r w:rsidR="00D25A12" w:rsidRPr="00AF22F0">
        <w:t xml:space="preserve"> </w:t>
      </w:r>
      <w:r w:rsidR="00FB00C9" w:rsidRPr="00AF22F0">
        <w:t>Les PE 9 et 12 sont-ils pertinents dans ce cas ?</w:t>
      </w:r>
    </w:p>
    <w:p w14:paraId="386443A7" w14:textId="77777777" w:rsidR="004325DC" w:rsidRPr="00B41FAD" w:rsidRDefault="00C10A1F" w:rsidP="00AF22F0">
      <w:pPr>
        <w:pStyle w:val="Txtpucegras"/>
      </w:pPr>
      <w:r w:rsidRPr="00B41FAD">
        <w:t>Qui contrôlera l</w:t>
      </w:r>
      <w:r w:rsidR="00A61E6D" w:rsidRPr="00B41FAD">
        <w:t>’</w:t>
      </w:r>
      <w:r w:rsidRPr="00B41FAD">
        <w:t>apport d</w:t>
      </w:r>
      <w:r w:rsidR="00A61E6D" w:rsidRPr="00B41FAD">
        <w:t>’</w:t>
      </w:r>
      <w:r w:rsidR="00B70345" w:rsidRPr="00B41FAD">
        <w:t xml:space="preserve">informations </w:t>
      </w:r>
      <w:r w:rsidRPr="00B41FAD">
        <w:t>à l</w:t>
      </w:r>
      <w:r w:rsidR="00A61E6D" w:rsidRPr="00B41FAD">
        <w:t>’</w:t>
      </w:r>
      <w:r w:rsidR="00B70345" w:rsidRPr="00B41FAD">
        <w:t>inventaire</w:t>
      </w:r>
      <w:r w:rsidR="00953DB9" w:rsidRPr="00B41FAD">
        <w:t> ?</w:t>
      </w:r>
    </w:p>
    <w:p w14:paraId="7984393A" w14:textId="77777777" w:rsidR="004325DC" w:rsidRPr="00B41FAD" w:rsidRDefault="00C10A1F" w:rsidP="00AF22F0">
      <w:pPr>
        <w:pStyle w:val="Txtpucegras"/>
      </w:pPr>
      <w:r w:rsidRPr="00B41FAD">
        <w:t>Qui g</w:t>
      </w:r>
      <w:r w:rsidR="00953DB9" w:rsidRPr="00B41FAD">
        <w:t>é</w:t>
      </w:r>
      <w:r w:rsidRPr="00B41FAD">
        <w:t>rera et contrôlera l</w:t>
      </w:r>
      <w:r w:rsidR="00A61E6D" w:rsidRPr="00B41FAD">
        <w:t>’</w:t>
      </w:r>
      <w:r w:rsidRPr="00B41FAD">
        <w:t>accès à l</w:t>
      </w:r>
      <w:r w:rsidR="00A61E6D" w:rsidRPr="00B41FAD">
        <w:t>’</w:t>
      </w:r>
      <w:r w:rsidRPr="00B41FAD">
        <w:t>information</w:t>
      </w:r>
      <w:r w:rsidR="00953DB9" w:rsidRPr="00B41FAD">
        <w:t> ?</w:t>
      </w:r>
    </w:p>
    <w:p w14:paraId="609464EC" w14:textId="77777777" w:rsidR="004325DC" w:rsidRPr="00B41FAD" w:rsidRDefault="00C10A1F" w:rsidP="00AF22F0">
      <w:pPr>
        <w:pStyle w:val="Txtpucegras"/>
      </w:pPr>
      <w:r w:rsidRPr="00B41FAD">
        <w:t>Comment seront traitées les informations sensibles de manière à assurer le respect des restrictions coutumières sur l</w:t>
      </w:r>
      <w:r w:rsidR="00A61E6D" w:rsidRPr="00B41FAD">
        <w:t>’</w:t>
      </w:r>
      <w:r w:rsidRPr="00B41FAD">
        <w:t>accès</w:t>
      </w:r>
      <w:r w:rsidR="00953DB9" w:rsidRPr="00B41FAD">
        <w:t> ?</w:t>
      </w:r>
    </w:p>
    <w:p w14:paraId="37F09F81" w14:textId="77777777" w:rsidR="004325DC" w:rsidRPr="00B41FAD" w:rsidRDefault="00C10A1F" w:rsidP="00AF22F0">
      <w:pPr>
        <w:pStyle w:val="Txtpucegras"/>
      </w:pPr>
      <w:r w:rsidRPr="00B41FAD">
        <w:t>Comment seront traités les éléments qui s</w:t>
      </w:r>
      <w:r w:rsidR="00EE2BF3" w:rsidRPr="00B41FAD">
        <w:t>e</w:t>
      </w:r>
      <w:r w:rsidRPr="00B41FAD">
        <w:t xml:space="preserve"> partag</w:t>
      </w:r>
      <w:r w:rsidR="00EE2BF3" w:rsidRPr="00B41FAD">
        <w:t>ent</w:t>
      </w:r>
      <w:r w:rsidRPr="00B41FAD">
        <w:t xml:space="preserve"> plus</w:t>
      </w:r>
      <w:r w:rsidR="00EE2BF3" w:rsidRPr="00B41FAD">
        <w:t>ieurs</w:t>
      </w:r>
      <w:r w:rsidRPr="00B41FAD">
        <w:t xml:space="preserve"> communauté</w:t>
      </w:r>
      <w:r w:rsidR="00EE2BF3" w:rsidRPr="00B41FAD">
        <w:t>s</w:t>
      </w:r>
      <w:r w:rsidR="00953DB9" w:rsidRPr="00B41FAD">
        <w:t> ?</w:t>
      </w:r>
    </w:p>
    <w:p w14:paraId="2523F5AD" w14:textId="77777777" w:rsidR="004325DC" w:rsidRPr="00B41FAD" w:rsidRDefault="00C10A1F" w:rsidP="00AF22F0">
      <w:pPr>
        <w:pStyle w:val="Txtpucegras"/>
      </w:pPr>
      <w:r w:rsidRPr="00B41FAD">
        <w:t>Comment seront traités les éléments qu</w:t>
      </w:r>
      <w:r w:rsidR="0089038E" w:rsidRPr="00B41FAD">
        <w:t>i se</w:t>
      </w:r>
      <w:r w:rsidRPr="00B41FAD">
        <w:t xml:space="preserve"> trouve</w:t>
      </w:r>
      <w:r w:rsidR="0089038E" w:rsidRPr="00B41FAD">
        <w:t>nt</w:t>
      </w:r>
      <w:r w:rsidRPr="00B41FAD">
        <w:t xml:space="preserve"> </w:t>
      </w:r>
      <w:r w:rsidR="00EE2BF3" w:rsidRPr="00B41FAD">
        <w:t>également</w:t>
      </w:r>
      <w:r w:rsidRPr="00B41FAD">
        <w:t xml:space="preserve"> à l</w:t>
      </w:r>
      <w:r w:rsidR="00A61E6D" w:rsidRPr="00B41FAD">
        <w:t>’</w:t>
      </w:r>
      <w:r w:rsidRPr="00B41FAD">
        <w:t>extérieur du pays</w:t>
      </w:r>
      <w:r w:rsidR="00953DB9" w:rsidRPr="00B41FAD">
        <w:t> ?</w:t>
      </w:r>
    </w:p>
    <w:p w14:paraId="6F94B135" w14:textId="77777777" w:rsidR="004325DC" w:rsidRPr="00B41FAD" w:rsidRDefault="00C10A1F" w:rsidP="00AF22F0">
      <w:pPr>
        <w:pStyle w:val="Txtpucegras"/>
      </w:pPr>
      <w:r w:rsidRPr="00B41FAD">
        <w:t>Comment seront publiés ou diffusés les inventaires</w:t>
      </w:r>
      <w:r w:rsidR="00953DB9" w:rsidRPr="00B41FAD">
        <w:t> ?</w:t>
      </w:r>
    </w:p>
    <w:p w14:paraId="365F2368" w14:textId="77777777" w:rsidR="004325DC" w:rsidRDefault="00C10A1F" w:rsidP="00AF22F0">
      <w:pPr>
        <w:pStyle w:val="Txtpucegras"/>
      </w:pPr>
      <w:r w:rsidRPr="00B41FAD">
        <w:t>Comment le changement sera-t-il intégré et la mise à jour organisée</w:t>
      </w:r>
      <w:r w:rsidR="00953DB9" w:rsidRPr="00B41FAD">
        <w:t> ?</w:t>
      </w:r>
    </w:p>
    <w:p w14:paraId="57276CF2" w14:textId="2E7F07AC" w:rsidR="00B91424" w:rsidRPr="009912EB" w:rsidRDefault="009912EB" w:rsidP="00AF22F0">
      <w:pPr>
        <w:pStyle w:val="Txtpucegras"/>
      </w:pPr>
      <w:r w:rsidRPr="009912EB">
        <w:t>Comment</w:t>
      </w:r>
      <w:r w:rsidR="00E274D6">
        <w:t xml:space="preserve"> partager</w:t>
      </w:r>
      <w:r w:rsidRPr="009912EB">
        <w:t xml:space="preserve"> les bienfaits </w:t>
      </w:r>
      <w:r w:rsidR="001115EE">
        <w:t>découlant</w:t>
      </w:r>
      <w:r w:rsidRPr="009912EB">
        <w:t xml:space="preserve"> de la sa</w:t>
      </w:r>
      <w:r w:rsidR="00E274D6">
        <w:t xml:space="preserve">uvegarde du PCI </w:t>
      </w:r>
      <w:r w:rsidRPr="009912EB">
        <w:t>?</w:t>
      </w:r>
    </w:p>
    <w:p w14:paraId="7ADE2F02" w14:textId="77777777" w:rsidR="004325DC" w:rsidRPr="00B41FAD" w:rsidRDefault="00FB1DF7" w:rsidP="006D313C">
      <w:pPr>
        <w:pStyle w:val="Titcoul"/>
      </w:pPr>
      <w:bookmarkStart w:id="74" w:name="_Toc238963219"/>
      <w:bookmarkStart w:id="75" w:name="_Toc241065105"/>
      <w:bookmarkStart w:id="76" w:name="_Toc301443354"/>
      <w:bookmarkStart w:id="77" w:name="_Toc321406997"/>
      <w:bookmarkStart w:id="78" w:name="_Toc354486621"/>
      <w:bookmarkStart w:id="79" w:name="_Toc354486927"/>
      <w:bookmarkStart w:id="80" w:name="_Toc247360202"/>
      <w:r w:rsidRPr="00B41FAD">
        <w:t>6</w:t>
      </w:r>
      <w:r w:rsidR="00C10A1F" w:rsidRPr="00B41FAD">
        <w:t>.8</w:t>
      </w:r>
      <w:bookmarkEnd w:id="74"/>
      <w:bookmarkEnd w:id="75"/>
      <w:r w:rsidR="009270A5" w:rsidRPr="00B41FAD">
        <w:tab/>
      </w:r>
      <w:bookmarkStart w:id="81" w:name="_Toc238963220"/>
      <w:bookmarkStart w:id="82" w:name="_Toc241065106"/>
      <w:r w:rsidR="00C10A1F" w:rsidRPr="00B41FAD">
        <w:t>Conseil</w:t>
      </w:r>
      <w:r w:rsidR="00473E12" w:rsidRPr="00B41FAD">
        <w:t>s</w:t>
      </w:r>
      <w:r w:rsidR="00C10A1F" w:rsidRPr="00B41FAD">
        <w:t xml:space="preserve"> de </w:t>
      </w:r>
      <w:r w:rsidR="004272A4" w:rsidRPr="00B41FAD">
        <w:t>l</w:t>
      </w:r>
      <w:r w:rsidR="00A61E6D" w:rsidRPr="00B41FAD">
        <w:t>’</w:t>
      </w:r>
      <w:r w:rsidR="004272A4" w:rsidRPr="00B41FAD">
        <w:t xml:space="preserve">UNESCO </w:t>
      </w:r>
      <w:r w:rsidR="00E22644" w:rsidRPr="00B41FAD">
        <w:t>au sujet du travail d</w:t>
      </w:r>
      <w:r w:rsidR="00A61E6D" w:rsidRPr="00B41FAD">
        <w:t>’</w:t>
      </w:r>
      <w:r w:rsidR="00C10A1F" w:rsidRPr="00B41FAD">
        <w:t>inventaire</w:t>
      </w:r>
      <w:bookmarkEnd w:id="76"/>
      <w:bookmarkEnd w:id="77"/>
      <w:bookmarkEnd w:id="78"/>
      <w:bookmarkEnd w:id="79"/>
      <w:bookmarkEnd w:id="80"/>
      <w:bookmarkEnd w:id="81"/>
      <w:bookmarkEnd w:id="82"/>
    </w:p>
    <w:p w14:paraId="38BE64F3" w14:textId="77777777" w:rsidR="004325DC" w:rsidRPr="00B41FAD" w:rsidRDefault="00A96C8E" w:rsidP="00914287">
      <w:pPr>
        <w:pStyle w:val="Texte1"/>
      </w:pPr>
      <w:r w:rsidRPr="00B41FAD">
        <w:t xml:space="preserve">Il est </w:t>
      </w:r>
      <w:r w:rsidR="00C10A1F" w:rsidRPr="00B41FAD">
        <w:t xml:space="preserve">souvent </w:t>
      </w:r>
      <w:r w:rsidRPr="00B41FAD">
        <w:t xml:space="preserve">demandé </w:t>
      </w:r>
      <w:r w:rsidR="00C10A1F" w:rsidRPr="00B41FAD">
        <w:t xml:space="preserve">au Secrétariat de la Convention de donner des conseils sur la façon de </w:t>
      </w:r>
      <w:r w:rsidR="00E22644" w:rsidRPr="00B41FAD">
        <w:t>réalis</w:t>
      </w:r>
      <w:r w:rsidR="00C10A1F" w:rsidRPr="00B41FAD">
        <w:t xml:space="preserve">er un inventaire. Le Secrétariat ne peut pas </w:t>
      </w:r>
      <w:r w:rsidRPr="00B41FAD">
        <w:t xml:space="preserve">faire </w:t>
      </w:r>
      <w:r w:rsidRPr="00DD2566">
        <w:t>grand</w:t>
      </w:r>
      <w:r w:rsidR="0068124A" w:rsidRPr="00DD2566">
        <w:t>-</w:t>
      </w:r>
      <w:r w:rsidRPr="00DD2566">
        <w:t>chose ici,</w:t>
      </w:r>
      <w:r w:rsidR="00C10A1F" w:rsidRPr="00DD2566">
        <w:t xml:space="preserve"> d</w:t>
      </w:r>
      <w:r w:rsidR="00A61E6D" w:rsidRPr="00DD2566">
        <w:t>’</w:t>
      </w:r>
      <w:r w:rsidR="00C10A1F" w:rsidRPr="00DD2566">
        <w:t>autant plus que le Comité souscrit pleinement au principe selon lequel il appartient à</w:t>
      </w:r>
      <w:r w:rsidR="00C10A1F" w:rsidRPr="00B41FAD">
        <w:t xml:space="preserve"> chaque État partie de </w:t>
      </w:r>
      <w:r w:rsidR="00FF06D6" w:rsidRPr="00B41FAD">
        <w:t>dress</w:t>
      </w:r>
      <w:r w:rsidR="00C10A1F" w:rsidRPr="00B41FAD">
        <w:t xml:space="preserve">er des inventaires en fonction de sa situation. </w:t>
      </w:r>
      <w:r w:rsidR="00E22644" w:rsidRPr="00B41FAD">
        <w:t>Le kit préparé par le Secrétariat contient u</w:t>
      </w:r>
      <w:r w:rsidR="00C10A1F" w:rsidRPr="00B41FAD">
        <w:t>ne not</w:t>
      </w:r>
      <w:r w:rsidR="00E22644" w:rsidRPr="00B41FAD">
        <w:t>ic</w:t>
      </w:r>
      <w:r w:rsidR="00C10A1F" w:rsidRPr="00B41FAD">
        <w:t>e d</w:t>
      </w:r>
      <w:r w:rsidR="00A61E6D" w:rsidRPr="00B41FAD">
        <w:t>’</w:t>
      </w:r>
      <w:r w:rsidR="00C10A1F" w:rsidRPr="00B41FAD">
        <w:t xml:space="preserve">information générale téléchargeable sur la page Web de </w:t>
      </w:r>
      <w:r w:rsidR="00C10A1F" w:rsidRPr="00B41FAD">
        <w:lastRenderedPageBreak/>
        <w:t>la Convention</w:t>
      </w:r>
      <w:r w:rsidR="0068124A">
        <w:t xml:space="preserve"> (voir : </w:t>
      </w:r>
      <w:r w:rsidR="0068124A" w:rsidRPr="0068124A">
        <w:t>http://www.unesco.org/culture/ich/fr/kit</w:t>
      </w:r>
      <w:r w:rsidR="0068124A">
        <w:t>)</w:t>
      </w:r>
      <w:r w:rsidR="00C10A1F" w:rsidRPr="00B41FAD">
        <w:t>. Elle comporte une section spéciale sur l</w:t>
      </w:r>
      <w:r w:rsidR="00A61E6D" w:rsidRPr="00B41FAD">
        <w:t>’</w:t>
      </w:r>
      <w:r w:rsidR="00C10A1F" w:rsidRPr="00B41FAD">
        <w:t>identification et l</w:t>
      </w:r>
      <w:r w:rsidR="00A61E6D" w:rsidRPr="00B41FAD">
        <w:t>’</w:t>
      </w:r>
      <w:r w:rsidR="001A2937" w:rsidRPr="00B41FAD">
        <w:t>inventaire</w:t>
      </w:r>
      <w:r w:rsidR="00C10A1F" w:rsidRPr="00B41FAD">
        <w:t xml:space="preserve"> du PCI.</w:t>
      </w:r>
    </w:p>
    <w:p w14:paraId="7B33969D" w14:textId="773FBEE8" w:rsidR="004325DC" w:rsidRPr="00B41FAD" w:rsidRDefault="00C10A1F" w:rsidP="00914287">
      <w:pPr>
        <w:pStyle w:val="Texte1"/>
      </w:pPr>
      <w:r w:rsidRPr="00B41FAD">
        <w:t>Le Secrétariat donne un large écho aux descriptions de processus d</w:t>
      </w:r>
      <w:r w:rsidR="00A61E6D" w:rsidRPr="00B41FAD">
        <w:t>’</w:t>
      </w:r>
      <w:r w:rsidR="00F33CC1" w:rsidRPr="00B41FAD">
        <w:t>inventaire</w:t>
      </w:r>
      <w:r w:rsidRPr="00B41FAD">
        <w:t xml:space="preserve"> déjà bien avancé</w:t>
      </w:r>
      <w:r w:rsidR="00F33CC1" w:rsidRPr="00B41FAD">
        <w:t>s</w:t>
      </w:r>
      <w:r w:rsidRPr="00B41FAD">
        <w:t xml:space="preserve">, non pas </w:t>
      </w:r>
      <w:r w:rsidR="001A2937" w:rsidRPr="00B41FAD">
        <w:t xml:space="preserve">tant </w:t>
      </w:r>
      <w:r w:rsidRPr="00B41FAD">
        <w:t xml:space="preserve">comme des modèles à </w:t>
      </w:r>
      <w:r w:rsidR="001A2937" w:rsidRPr="00B41FAD">
        <w:t>re</w:t>
      </w:r>
      <w:r w:rsidR="00F33CC1" w:rsidRPr="00B41FAD">
        <w:t>produire</w:t>
      </w:r>
      <w:r w:rsidR="001A2937" w:rsidRPr="00B41FAD">
        <w:t xml:space="preserve"> que comme</w:t>
      </w:r>
      <w:r w:rsidRPr="00B41FAD">
        <w:t xml:space="preserve"> des</w:t>
      </w:r>
      <w:r w:rsidR="000A758E" w:rsidRPr="00B41FAD">
        <w:t xml:space="preserve"> exemples,</w:t>
      </w:r>
      <w:r w:rsidRPr="00B41FAD">
        <w:t xml:space="preserve"> </w:t>
      </w:r>
      <w:r w:rsidR="00F33CC1" w:rsidRPr="00B41FAD">
        <w:t>sources</w:t>
      </w:r>
      <w:r w:rsidRPr="00B41FAD">
        <w:t xml:space="preserve"> de réflexion et d</w:t>
      </w:r>
      <w:r w:rsidR="00A61E6D" w:rsidRPr="00B41FAD">
        <w:t>’</w:t>
      </w:r>
      <w:r w:rsidRPr="00B41FAD">
        <w:t>inspiration</w:t>
      </w:r>
      <w:r w:rsidR="00EB0E50">
        <w:t xml:space="preserve"> (voir : </w:t>
      </w:r>
      <w:r w:rsidR="00EB0E50" w:rsidRPr="00EB0E50">
        <w:t>http://www.unesco.org/culture/ich/fr/inventaire-du-patrimoine-immateriel-00080</w:t>
      </w:r>
      <w:r w:rsidR="00EB0E50">
        <w:t>)</w:t>
      </w:r>
      <w:r w:rsidRPr="00B41FAD">
        <w:t>.</w:t>
      </w:r>
    </w:p>
    <w:p w14:paraId="05260B29" w14:textId="77777777" w:rsidR="004325DC" w:rsidRPr="00B41FAD" w:rsidRDefault="00C10A1F">
      <w:pPr>
        <w:pStyle w:val="Texte1"/>
      </w:pPr>
      <w:r w:rsidRPr="00B41FAD">
        <w:t>Le site Web de la Conven</w:t>
      </w:r>
      <w:r w:rsidR="00FF06D6" w:rsidRPr="00B41FAD">
        <w:t>tion présente aussi un</w:t>
      </w:r>
      <w:r w:rsidRPr="00B41FAD">
        <w:t xml:space="preserve"> questionnaire</w:t>
      </w:r>
      <w:r w:rsidR="00FF06D6" w:rsidRPr="00B41FAD">
        <w:t xml:space="preserve"> type</w:t>
      </w:r>
      <w:r w:rsidRPr="00B41FAD">
        <w:t xml:space="preserve"> pour identifier des éléments en vue de le</w:t>
      </w:r>
      <w:r w:rsidR="00754AAA" w:rsidRPr="00B41FAD">
        <w:t>ur in</w:t>
      </w:r>
      <w:r w:rsidR="000A758E" w:rsidRPr="00B41FAD">
        <w:t>scription à l’inventaire. C</w:t>
      </w:r>
      <w:r w:rsidRPr="00B41FAD">
        <w:t>e questionnaire a été é</w:t>
      </w:r>
      <w:r w:rsidR="00754AAA" w:rsidRPr="00B41FAD">
        <w:t>laboré</w:t>
      </w:r>
      <w:r w:rsidRPr="00B41FAD">
        <w:t>, puis affiné par des experts ayant assisté à diverses réunions organisées par l</w:t>
      </w:r>
      <w:r w:rsidR="00A61E6D" w:rsidRPr="00B41FAD">
        <w:t>’</w:t>
      </w:r>
      <w:r w:rsidRPr="00B41FAD">
        <w:t>UNESCO sur la mise en œuvre de la Convention. Les questions qu</w:t>
      </w:r>
      <w:r w:rsidR="000A758E" w:rsidRPr="00B41FAD">
        <w:t>i y sont posées</w:t>
      </w:r>
      <w:r w:rsidRPr="00B41FAD">
        <w:t xml:space="preserve"> pourraient </w:t>
      </w:r>
      <w:r w:rsidR="000A758E" w:rsidRPr="00B41FAD">
        <w:t>faciliter le</w:t>
      </w:r>
      <w:r w:rsidRPr="00B41FAD">
        <w:t xml:space="preserve"> </w:t>
      </w:r>
      <w:r w:rsidR="002558B9" w:rsidRPr="00B41FAD">
        <w:t>class</w:t>
      </w:r>
      <w:r w:rsidRPr="00B41FAD">
        <w:t>e</w:t>
      </w:r>
      <w:r w:rsidR="000A758E" w:rsidRPr="00B41FAD">
        <w:t>ment d</w:t>
      </w:r>
      <w:r w:rsidRPr="00B41FAD">
        <w:t xml:space="preserve">es informations </w:t>
      </w:r>
      <w:r w:rsidR="002558B9" w:rsidRPr="00B41FAD">
        <w:t>recueilli</w:t>
      </w:r>
      <w:r w:rsidRPr="00B41FAD">
        <w:t xml:space="preserve">es avec </w:t>
      </w:r>
      <w:r w:rsidR="00754AAA" w:rsidRPr="00B41FAD">
        <w:t xml:space="preserve">ou par </w:t>
      </w:r>
      <w:r w:rsidRPr="00B41FAD">
        <w:t xml:space="preserve">des membres de la </w:t>
      </w:r>
      <w:r w:rsidR="00DD2566">
        <w:br/>
      </w:r>
      <w:r w:rsidRPr="00B41FAD">
        <w:t xml:space="preserve">communauté </w:t>
      </w:r>
      <w:r w:rsidR="002558B9" w:rsidRPr="00B41FAD">
        <w:t>aux fins de l’</w:t>
      </w:r>
      <w:r w:rsidRPr="00B41FAD">
        <w:t>inventaire</w:t>
      </w:r>
      <w:r w:rsidR="006E3F2A" w:rsidRPr="00B41FAD">
        <w:t xml:space="preserve"> en </w:t>
      </w:r>
      <w:r w:rsidR="000A758E" w:rsidRPr="00B41FAD">
        <w:t xml:space="preserve">cours de </w:t>
      </w:r>
      <w:r w:rsidR="006E3F2A" w:rsidRPr="00B41FAD">
        <w:t>préparation</w:t>
      </w:r>
      <w:r w:rsidR="00D57215">
        <w:t xml:space="preserve"> </w:t>
      </w:r>
      <w:r w:rsidR="00DD2566">
        <w:br/>
      </w:r>
      <w:r w:rsidR="00D57215">
        <w:t xml:space="preserve">(voir : </w:t>
      </w:r>
      <w:r w:rsidR="00D57215" w:rsidRPr="00D57215">
        <w:t>http://www.unesco.org/culture/ich/fr/proposition-de-structure-dinventaire-00266</w:t>
      </w:r>
      <w:r w:rsidR="00A96249">
        <w:t>)</w:t>
      </w:r>
      <w:r w:rsidRPr="00B41FAD">
        <w:t xml:space="preserve">. </w:t>
      </w:r>
      <w:r w:rsidR="00DD2566">
        <w:br/>
      </w:r>
      <w:r w:rsidRPr="00B41FAD">
        <w:t>Il n</w:t>
      </w:r>
      <w:r w:rsidR="00A61E6D" w:rsidRPr="00B41FAD">
        <w:t>’</w:t>
      </w:r>
      <w:r w:rsidRPr="00B41FAD">
        <w:t>y a absolument aucune ob</w:t>
      </w:r>
      <w:r w:rsidR="00F27700" w:rsidRPr="00B41FAD">
        <w:t>ligation à utiliser c</w:t>
      </w:r>
      <w:r w:rsidR="00FF06D6" w:rsidRPr="00B41FAD">
        <w:t>e</w:t>
      </w:r>
      <w:r w:rsidRPr="00B41FAD">
        <w:t xml:space="preserve"> questionnaire</w:t>
      </w:r>
      <w:r w:rsidR="00FF06D6" w:rsidRPr="00B41FAD">
        <w:t xml:space="preserve"> type</w:t>
      </w:r>
      <w:r w:rsidR="00F27700" w:rsidRPr="00B41FAD">
        <w:t xml:space="preserve"> conçu</w:t>
      </w:r>
      <w:r w:rsidR="006E3F2A" w:rsidRPr="00B41FAD">
        <w:t xml:space="preserve"> avant tout </w:t>
      </w:r>
      <w:r w:rsidRPr="00B41FAD">
        <w:t>pour aider les projets d</w:t>
      </w:r>
      <w:r w:rsidR="00A61E6D" w:rsidRPr="00B41FAD">
        <w:t>’</w:t>
      </w:r>
      <w:r w:rsidR="006E3F2A" w:rsidRPr="00B41FAD">
        <w:t>inventaire</w:t>
      </w:r>
      <w:r w:rsidRPr="00B41FAD">
        <w:t xml:space="preserve"> à poser les bonnes questions et à trouver l</w:t>
      </w:r>
      <w:r w:rsidR="00A61E6D" w:rsidRPr="00B41FAD">
        <w:t>’</w:t>
      </w:r>
      <w:r w:rsidRPr="00B41FAD">
        <w:t>inspiration pour inventorier le PCI dans l</w:t>
      </w:r>
      <w:r w:rsidR="00A61E6D" w:rsidRPr="00B41FAD">
        <w:t>’</w:t>
      </w:r>
      <w:r w:rsidRPr="00B41FAD">
        <w:t>esprit de la Convention.</w:t>
      </w:r>
    </w:p>
    <w:p w14:paraId="1F86DCC4" w14:textId="77777777" w:rsidR="004325DC" w:rsidRPr="00B41FAD" w:rsidRDefault="003B4F8E" w:rsidP="00914287">
      <w:pPr>
        <w:pStyle w:val="Texte1"/>
      </w:pPr>
      <w:r w:rsidRPr="003B4F8E">
        <w:rPr>
          <w:noProof/>
          <w:lang w:eastAsia="fr-FR"/>
        </w:rPr>
        <w:t xml:space="preserve"> </w:t>
      </w:r>
      <w:r w:rsidR="00985AA6" w:rsidRPr="00B41FAD">
        <w:t>Il y a un atelier de formation spécifique de 8-</w:t>
      </w:r>
      <w:r w:rsidR="0093206D" w:rsidRPr="00B41FAD">
        <w:t>10</w:t>
      </w:r>
      <w:r w:rsidR="00467823">
        <w:t> </w:t>
      </w:r>
      <w:r w:rsidR="0093206D" w:rsidRPr="00B41FAD">
        <w:t xml:space="preserve">jours </w:t>
      </w:r>
      <w:r w:rsidR="00C17E3C" w:rsidRPr="00B41FAD">
        <w:t>sur le</w:t>
      </w:r>
      <w:r w:rsidR="00C10A1F" w:rsidRPr="00B41FAD">
        <w:t xml:space="preserve"> travail d</w:t>
      </w:r>
      <w:r w:rsidR="00A61E6D" w:rsidRPr="00B41FAD">
        <w:t>’</w:t>
      </w:r>
      <w:r w:rsidR="00C10A1F" w:rsidRPr="00B41FAD">
        <w:t xml:space="preserve">inventaire </w:t>
      </w:r>
      <w:r w:rsidR="00C17E3C" w:rsidRPr="00B41FAD">
        <w:t>dans le cadre de la</w:t>
      </w:r>
      <w:r w:rsidR="006E3F2A" w:rsidRPr="00B41FAD">
        <w:t xml:space="preserve"> communauté.</w:t>
      </w:r>
      <w:r w:rsidR="00C10A1F" w:rsidRPr="00B41FAD">
        <w:t xml:space="preserve"> </w:t>
      </w:r>
      <w:r w:rsidR="006E3F2A" w:rsidRPr="00B41FAD">
        <w:t>Des</w:t>
      </w:r>
      <w:r w:rsidR="00985AA6" w:rsidRPr="00B41FAD">
        <w:t xml:space="preserve"> matériel</w:t>
      </w:r>
      <w:r w:rsidR="006E3F2A" w:rsidRPr="00B41FAD">
        <w:t>s</w:t>
      </w:r>
      <w:r w:rsidR="00985AA6" w:rsidRPr="00B41FAD">
        <w:t xml:space="preserve"> de formation </w:t>
      </w:r>
      <w:r w:rsidR="006E3F2A" w:rsidRPr="00B41FAD">
        <w:t xml:space="preserve">sont </w:t>
      </w:r>
      <w:r w:rsidR="009D13F2" w:rsidRPr="00B41FAD">
        <w:t xml:space="preserve">mis </w:t>
      </w:r>
      <w:r w:rsidR="006E3F2A" w:rsidRPr="00B41FAD">
        <w:t xml:space="preserve">à </w:t>
      </w:r>
      <w:r w:rsidR="00E9723C" w:rsidRPr="00B41FAD">
        <w:t>dispo</w:t>
      </w:r>
      <w:r w:rsidR="006E3F2A" w:rsidRPr="00B41FAD">
        <w:t>sition</w:t>
      </w:r>
      <w:r w:rsidR="00E9723C" w:rsidRPr="00B41FAD">
        <w:t xml:space="preserve"> </w:t>
      </w:r>
      <w:r w:rsidR="00F76AC7" w:rsidRPr="00B41FAD">
        <w:t>au Secrétariat de la Convention</w:t>
      </w:r>
      <w:r w:rsidR="00C10A1F" w:rsidRPr="00B41FAD">
        <w:t>.</w:t>
      </w:r>
    </w:p>
    <w:sectPr w:rsidR="004325DC" w:rsidRPr="00B41FAD" w:rsidSect="00A4193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0799" w14:textId="77777777" w:rsidR="00775780" w:rsidRDefault="00775780" w:rsidP="000F4C6A">
      <w:r>
        <w:separator/>
      </w:r>
    </w:p>
    <w:p w14:paraId="32885CD6" w14:textId="77777777" w:rsidR="00775780" w:rsidRDefault="00775780"/>
    <w:p w14:paraId="345E58EE" w14:textId="77777777" w:rsidR="00775780" w:rsidRDefault="00775780"/>
  </w:endnote>
  <w:endnote w:type="continuationSeparator" w:id="0">
    <w:p w14:paraId="1CAEC3E6" w14:textId="77777777" w:rsidR="00775780" w:rsidRDefault="00775780" w:rsidP="000F4C6A">
      <w:r>
        <w:continuationSeparator/>
      </w:r>
    </w:p>
    <w:p w14:paraId="779DFD28" w14:textId="77777777" w:rsidR="00775780" w:rsidRDefault="00775780"/>
    <w:p w14:paraId="0305E6FD" w14:textId="77777777" w:rsidR="00775780" w:rsidRDefault="0077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3D7D" w14:textId="15C14083" w:rsidR="000A758E" w:rsidRDefault="00B75563" w:rsidP="00A31863">
    <w:pPr>
      <w:pStyle w:val="Footer"/>
    </w:pPr>
    <w:r>
      <w:rPr>
        <w:noProof/>
        <w:lang w:eastAsia="zh-TW"/>
      </w:rPr>
      <w:drawing>
        <wp:anchor distT="0" distB="0" distL="114300" distR="114300" simplePos="0" relativeHeight="252011520" behindDoc="0" locked="0" layoutInCell="1" allowOverlap="1" wp14:anchorId="31D491FF" wp14:editId="2319A17D">
          <wp:simplePos x="0" y="0"/>
          <wp:positionH relativeFrom="column">
            <wp:posOffset>2533650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699C">
      <w:rPr>
        <w:noProof/>
        <w:snapToGrid/>
        <w:lang w:eastAsia="zh-TW"/>
      </w:rPr>
      <w:drawing>
        <wp:anchor distT="0" distB="0" distL="114300" distR="114300" simplePos="0" relativeHeight="251999232" behindDoc="0" locked="0" layoutInCell="1" allowOverlap="1" wp14:anchorId="0B792DBF" wp14:editId="6956C4CA">
          <wp:simplePos x="0" y="0"/>
          <wp:positionH relativeFrom="margin">
            <wp:align>left</wp:align>
          </wp:positionH>
          <wp:positionV relativeFrom="paragraph">
            <wp:posOffset>-288925</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0A758E">
      <w:tab/>
    </w:r>
    <w:r w:rsidR="000A758E">
      <w:tab/>
      <w:t>U006-v1.</w:t>
    </w:r>
    <w:r w:rsidR="008C42A6">
      <w:t>2</w:t>
    </w:r>
    <w:r w:rsidR="000A758E">
      <w:t>-PT-FR</w:t>
    </w:r>
    <w:r w:rsidR="000A758E"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FAE0" w14:textId="31F14F35" w:rsidR="000A758E" w:rsidRPr="00A21469" w:rsidRDefault="00B75563" w:rsidP="00A21469">
    <w:pPr>
      <w:pStyle w:val="Footer"/>
      <w:tabs>
        <w:tab w:val="left" w:pos="2600"/>
      </w:tabs>
      <w:rPr>
        <w:sz w:val="20"/>
      </w:rPr>
    </w:pPr>
    <w:r>
      <w:rPr>
        <w:noProof/>
        <w:lang w:eastAsia="zh-TW"/>
      </w:rPr>
      <w:drawing>
        <wp:anchor distT="0" distB="0" distL="114300" distR="114300" simplePos="0" relativeHeight="252013568" behindDoc="0" locked="0" layoutInCell="1" allowOverlap="1" wp14:anchorId="11787FD2" wp14:editId="453CEA92">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699C">
      <w:rPr>
        <w:noProof/>
        <w:snapToGrid/>
        <w:lang w:eastAsia="zh-TW"/>
      </w:rPr>
      <w:drawing>
        <wp:anchor distT="0" distB="0" distL="114300" distR="114300" simplePos="0" relativeHeight="252001280" behindDoc="0" locked="0" layoutInCell="1" allowOverlap="1" wp14:anchorId="284C7CDA" wp14:editId="16B3A595">
          <wp:simplePos x="0" y="0"/>
          <wp:positionH relativeFrom="margin">
            <wp:align>right</wp:align>
          </wp:positionH>
          <wp:positionV relativeFrom="paragraph">
            <wp:posOffset>-288925</wp:posOffset>
          </wp:positionV>
          <wp:extent cx="839470" cy="629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0A758E">
      <w:t>U006-v1.</w:t>
    </w:r>
    <w:r w:rsidR="008C42A6">
      <w:t>2</w:t>
    </w:r>
    <w:r w:rsidR="000A758E">
      <w:t>-PT-FR</w:t>
    </w:r>
    <w:r w:rsidR="000A758E">
      <w:tab/>
    </w:r>
    <w:r w:rsidR="008821BA">
      <w:tab/>
    </w:r>
    <w:r w:rsidR="000A758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98E8" w14:textId="1DB88C38" w:rsidR="000A758E" w:rsidRPr="00150FFB" w:rsidRDefault="00B75563" w:rsidP="009633A3">
    <w:pPr>
      <w:pStyle w:val="Footer"/>
      <w:tabs>
        <w:tab w:val="left" w:pos="2600"/>
      </w:tabs>
      <w:rPr>
        <w:sz w:val="20"/>
      </w:rPr>
    </w:pPr>
    <w:r>
      <w:rPr>
        <w:noProof/>
        <w:lang w:eastAsia="zh-TW"/>
      </w:rPr>
      <w:drawing>
        <wp:anchor distT="0" distB="0" distL="114300" distR="114300" simplePos="0" relativeHeight="252009472" behindDoc="0" locked="0" layoutInCell="1" allowOverlap="1" wp14:anchorId="4BE7FDDC" wp14:editId="20D3E796">
          <wp:simplePos x="0" y="0"/>
          <wp:positionH relativeFrom="column">
            <wp:posOffset>2533650</wp:posOffset>
          </wp:positionH>
          <wp:positionV relativeFrom="paragraph">
            <wp:posOffset>9525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0352">
      <w:rPr>
        <w:noProof/>
        <w:snapToGrid/>
        <w:lang w:eastAsia="zh-TW"/>
      </w:rPr>
      <w:drawing>
        <wp:anchor distT="0" distB="0" distL="114300" distR="114300" simplePos="0" relativeHeight="251997184" behindDoc="0" locked="0" layoutInCell="1" allowOverlap="1" wp14:anchorId="5BA41B4D" wp14:editId="790570B8">
          <wp:simplePos x="0" y="0"/>
          <wp:positionH relativeFrom="margin">
            <wp:align>right</wp:align>
          </wp:positionH>
          <wp:positionV relativeFrom="paragraph">
            <wp:posOffset>-288925</wp:posOffset>
          </wp:positionV>
          <wp:extent cx="83947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0A758E">
      <w:t>U006-v1.</w:t>
    </w:r>
    <w:r w:rsidR="008C42A6">
      <w:t>2</w:t>
    </w:r>
    <w:r w:rsidR="000A758E">
      <w:t>-PT-FR</w:t>
    </w:r>
    <w:r w:rsidR="000A758E">
      <w:tab/>
    </w:r>
    <w:r w:rsidR="008821BA">
      <w:tab/>
    </w:r>
    <w:r w:rsidR="000A758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5AE8" w14:textId="77777777" w:rsidR="00775780" w:rsidRDefault="00775780" w:rsidP="00150FFB">
      <w:pPr>
        <w:spacing w:after="60"/>
        <w:ind w:left="0"/>
      </w:pPr>
      <w:r>
        <w:separator/>
      </w:r>
    </w:p>
  </w:footnote>
  <w:footnote w:type="continuationSeparator" w:id="0">
    <w:p w14:paraId="056D4368" w14:textId="77777777" w:rsidR="00775780" w:rsidRDefault="00775780" w:rsidP="000F4C6A">
      <w:r>
        <w:continuationSeparator/>
      </w:r>
    </w:p>
    <w:p w14:paraId="4BBF9864" w14:textId="77777777" w:rsidR="00775780" w:rsidRDefault="00775780"/>
    <w:p w14:paraId="1046033B" w14:textId="77777777" w:rsidR="00775780" w:rsidRDefault="00775780"/>
  </w:footnote>
  <w:footnote w:id="1">
    <w:p w14:paraId="56FFF381" w14:textId="77777777" w:rsidR="000A758E" w:rsidRDefault="000A758E">
      <w:pPr>
        <w:pStyle w:val="FootnoteText"/>
      </w:pPr>
      <w:r w:rsidRPr="00C02EE8">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w:t>
      </w:r>
      <w:r>
        <w:t xml:space="preserve">, aux fins </w:t>
      </w:r>
      <w:r>
        <w:rPr>
          <w:rStyle w:val="hps"/>
        </w:rPr>
        <w:t>de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EF1" w14:textId="346D8411" w:rsidR="000A758E" w:rsidRPr="00603A8C" w:rsidRDefault="00CB5A3B" w:rsidP="00150FFB">
    <w:pPr>
      <w:pStyle w:val="Header"/>
      <w:rPr>
        <w:lang w:val="fr-FR"/>
      </w:rPr>
    </w:pPr>
    <w:r>
      <w:rPr>
        <w:rStyle w:val="PageNumber"/>
      </w:rPr>
      <w:fldChar w:fldCharType="begin"/>
    </w:r>
    <w:r w:rsidR="000A758E" w:rsidRPr="00603A8C">
      <w:rPr>
        <w:rStyle w:val="PageNumber"/>
        <w:lang w:val="fr-FR"/>
      </w:rPr>
      <w:instrText xml:space="preserve"> PAGE </w:instrText>
    </w:r>
    <w:r>
      <w:rPr>
        <w:rStyle w:val="PageNumber"/>
      </w:rPr>
      <w:fldChar w:fldCharType="separate"/>
    </w:r>
    <w:r w:rsidR="006E0FCB">
      <w:rPr>
        <w:rStyle w:val="PageNumber"/>
        <w:noProof/>
        <w:lang w:val="fr-FR"/>
      </w:rPr>
      <w:t>10</w:t>
    </w:r>
    <w:r>
      <w:rPr>
        <w:rStyle w:val="PageNumber"/>
      </w:rPr>
      <w:fldChar w:fldCharType="end"/>
    </w:r>
    <w:r w:rsidR="000A758E" w:rsidRPr="00603A8C">
      <w:rPr>
        <w:lang w:val="fr-FR"/>
      </w:rPr>
      <w:tab/>
    </w:r>
    <w:r w:rsidR="000A758E" w:rsidRPr="00150FFB">
      <w:rPr>
        <w:lang w:val="fr-FR"/>
      </w:rPr>
      <w:t xml:space="preserve">Unité </w:t>
    </w:r>
    <w:r w:rsidR="000A758E">
      <w:rPr>
        <w:lang w:val="fr-FR"/>
      </w:rPr>
      <w:t>6 : Identification et inventaires</w:t>
    </w:r>
    <w:r w:rsidR="000A758E">
      <w:rPr>
        <w:lang w:val="fr-FR"/>
      </w:rPr>
      <w:tab/>
    </w:r>
    <w:r w:rsidR="000A758E"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A183" w14:textId="116E0F0C" w:rsidR="000A758E" w:rsidRPr="00603A8C" w:rsidRDefault="000A758E" w:rsidP="00150FFB">
    <w:pPr>
      <w:pStyle w:val="Header"/>
      <w:rPr>
        <w:lang w:val="fr-FR"/>
      </w:rPr>
    </w:pPr>
    <w:r w:rsidRPr="00603A8C">
      <w:rPr>
        <w:lang w:val="fr-FR"/>
      </w:rPr>
      <w:t>Texte du participant</w:t>
    </w:r>
    <w:r w:rsidRPr="00603A8C">
      <w:rPr>
        <w:lang w:val="fr-FR"/>
      </w:rPr>
      <w:tab/>
    </w:r>
    <w:r w:rsidRPr="00150FFB">
      <w:rPr>
        <w:lang w:val="fr-FR"/>
      </w:rPr>
      <w:t xml:space="preserve">Unité </w:t>
    </w:r>
    <w:r>
      <w:rPr>
        <w:lang w:val="fr-FR"/>
      </w:rPr>
      <w:t>6 : Identification et inventaires</w:t>
    </w:r>
    <w:r w:rsidRPr="00603A8C">
      <w:rPr>
        <w:lang w:val="fr-FR"/>
      </w:rPr>
      <w:tab/>
    </w:r>
    <w:r w:rsidR="00CB5A3B">
      <w:rPr>
        <w:rStyle w:val="PageNumber"/>
      </w:rPr>
      <w:fldChar w:fldCharType="begin"/>
    </w:r>
    <w:r w:rsidRPr="00603A8C">
      <w:rPr>
        <w:rStyle w:val="PageNumber"/>
        <w:lang w:val="fr-FR"/>
      </w:rPr>
      <w:instrText xml:space="preserve"> PAGE </w:instrText>
    </w:r>
    <w:r w:rsidR="00CB5A3B">
      <w:rPr>
        <w:rStyle w:val="PageNumber"/>
      </w:rPr>
      <w:fldChar w:fldCharType="separate"/>
    </w:r>
    <w:r w:rsidR="006E0FCB">
      <w:rPr>
        <w:rStyle w:val="PageNumber"/>
        <w:noProof/>
        <w:lang w:val="fr-FR"/>
      </w:rPr>
      <w:t>11</w:t>
    </w:r>
    <w:r w:rsidR="00CB5A3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8247" w14:textId="77777777" w:rsidR="000A758E" w:rsidRPr="00603A8C" w:rsidRDefault="000A758E"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BD194B"/>
    <w:multiLevelType w:val="hybridMultilevel"/>
    <w:tmpl w:val="D54C62F6"/>
    <w:lvl w:ilvl="0" w:tplc="FDA43924">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455"/>
    <w:rsid w:val="000006EA"/>
    <w:rsid w:val="00000D1F"/>
    <w:rsid w:val="00000DB8"/>
    <w:rsid w:val="00000E9C"/>
    <w:rsid w:val="00003B9D"/>
    <w:rsid w:val="00014873"/>
    <w:rsid w:val="0001493B"/>
    <w:rsid w:val="000151E5"/>
    <w:rsid w:val="0001741F"/>
    <w:rsid w:val="00017D71"/>
    <w:rsid w:val="000213A8"/>
    <w:rsid w:val="00022302"/>
    <w:rsid w:val="00024B0F"/>
    <w:rsid w:val="00024B50"/>
    <w:rsid w:val="0002511C"/>
    <w:rsid w:val="00026D69"/>
    <w:rsid w:val="00026DC2"/>
    <w:rsid w:val="00027DD9"/>
    <w:rsid w:val="000349C0"/>
    <w:rsid w:val="0003519B"/>
    <w:rsid w:val="00040131"/>
    <w:rsid w:val="00041EBF"/>
    <w:rsid w:val="000424D8"/>
    <w:rsid w:val="0004359C"/>
    <w:rsid w:val="00043DFF"/>
    <w:rsid w:val="00044417"/>
    <w:rsid w:val="000467C1"/>
    <w:rsid w:val="00047780"/>
    <w:rsid w:val="0005026D"/>
    <w:rsid w:val="00053368"/>
    <w:rsid w:val="00054243"/>
    <w:rsid w:val="000542FD"/>
    <w:rsid w:val="00054EE0"/>
    <w:rsid w:val="00060B48"/>
    <w:rsid w:val="00062885"/>
    <w:rsid w:val="000651E6"/>
    <w:rsid w:val="00066E72"/>
    <w:rsid w:val="0007031B"/>
    <w:rsid w:val="0007094A"/>
    <w:rsid w:val="00073751"/>
    <w:rsid w:val="00074FFC"/>
    <w:rsid w:val="00075D7D"/>
    <w:rsid w:val="00076221"/>
    <w:rsid w:val="000800C0"/>
    <w:rsid w:val="00080DAF"/>
    <w:rsid w:val="00081811"/>
    <w:rsid w:val="000819F8"/>
    <w:rsid w:val="000826E1"/>
    <w:rsid w:val="00082AEC"/>
    <w:rsid w:val="0008417E"/>
    <w:rsid w:val="00085406"/>
    <w:rsid w:val="0008620C"/>
    <w:rsid w:val="00086C3C"/>
    <w:rsid w:val="00090CE0"/>
    <w:rsid w:val="000921FF"/>
    <w:rsid w:val="00094E6C"/>
    <w:rsid w:val="000A137F"/>
    <w:rsid w:val="000A13AA"/>
    <w:rsid w:val="000A5422"/>
    <w:rsid w:val="000A758E"/>
    <w:rsid w:val="000A7857"/>
    <w:rsid w:val="000B0472"/>
    <w:rsid w:val="000B1EB7"/>
    <w:rsid w:val="000B2122"/>
    <w:rsid w:val="000B3E37"/>
    <w:rsid w:val="000B710C"/>
    <w:rsid w:val="000C0E6A"/>
    <w:rsid w:val="000C125D"/>
    <w:rsid w:val="000C4089"/>
    <w:rsid w:val="000C41FA"/>
    <w:rsid w:val="000C7105"/>
    <w:rsid w:val="000D0602"/>
    <w:rsid w:val="000D08F6"/>
    <w:rsid w:val="000D176D"/>
    <w:rsid w:val="000D6D71"/>
    <w:rsid w:val="000D7317"/>
    <w:rsid w:val="000D7964"/>
    <w:rsid w:val="000E0530"/>
    <w:rsid w:val="000E4179"/>
    <w:rsid w:val="000E6CB5"/>
    <w:rsid w:val="000F4C6A"/>
    <w:rsid w:val="00103657"/>
    <w:rsid w:val="001060CE"/>
    <w:rsid w:val="00107DB1"/>
    <w:rsid w:val="001102E0"/>
    <w:rsid w:val="001115EE"/>
    <w:rsid w:val="00117B78"/>
    <w:rsid w:val="00122967"/>
    <w:rsid w:val="00123B89"/>
    <w:rsid w:val="00125D18"/>
    <w:rsid w:val="00131EA8"/>
    <w:rsid w:val="00132CAD"/>
    <w:rsid w:val="00133E1B"/>
    <w:rsid w:val="00141559"/>
    <w:rsid w:val="0014251F"/>
    <w:rsid w:val="00145076"/>
    <w:rsid w:val="00145A5C"/>
    <w:rsid w:val="00146D1E"/>
    <w:rsid w:val="00147F5C"/>
    <w:rsid w:val="00150FFB"/>
    <w:rsid w:val="00152FA0"/>
    <w:rsid w:val="001533D4"/>
    <w:rsid w:val="0015366F"/>
    <w:rsid w:val="00154EA2"/>
    <w:rsid w:val="00162CDB"/>
    <w:rsid w:val="00164F5F"/>
    <w:rsid w:val="00166634"/>
    <w:rsid w:val="00166843"/>
    <w:rsid w:val="00167480"/>
    <w:rsid w:val="00167DD5"/>
    <w:rsid w:val="0017028D"/>
    <w:rsid w:val="00170BFE"/>
    <w:rsid w:val="0017490F"/>
    <w:rsid w:val="001757F9"/>
    <w:rsid w:val="0017682C"/>
    <w:rsid w:val="00176A1D"/>
    <w:rsid w:val="00180896"/>
    <w:rsid w:val="0018200D"/>
    <w:rsid w:val="001843B4"/>
    <w:rsid w:val="00185189"/>
    <w:rsid w:val="00186060"/>
    <w:rsid w:val="00186BBF"/>
    <w:rsid w:val="00186D10"/>
    <w:rsid w:val="0018741A"/>
    <w:rsid w:val="001877AE"/>
    <w:rsid w:val="00187C35"/>
    <w:rsid w:val="00187C60"/>
    <w:rsid w:val="00191322"/>
    <w:rsid w:val="00191B71"/>
    <w:rsid w:val="0019233B"/>
    <w:rsid w:val="0019481E"/>
    <w:rsid w:val="0019585B"/>
    <w:rsid w:val="00195959"/>
    <w:rsid w:val="001A171D"/>
    <w:rsid w:val="001A242D"/>
    <w:rsid w:val="001A2937"/>
    <w:rsid w:val="001A2B13"/>
    <w:rsid w:val="001A5977"/>
    <w:rsid w:val="001A69CA"/>
    <w:rsid w:val="001B04F6"/>
    <w:rsid w:val="001B0F2D"/>
    <w:rsid w:val="001B3C85"/>
    <w:rsid w:val="001B586D"/>
    <w:rsid w:val="001B6074"/>
    <w:rsid w:val="001C2F9D"/>
    <w:rsid w:val="001C5D26"/>
    <w:rsid w:val="001D13FF"/>
    <w:rsid w:val="001D39F7"/>
    <w:rsid w:val="001D5A7D"/>
    <w:rsid w:val="001D70CD"/>
    <w:rsid w:val="001D739A"/>
    <w:rsid w:val="001E0C39"/>
    <w:rsid w:val="001E1505"/>
    <w:rsid w:val="001E4B93"/>
    <w:rsid w:val="001E517D"/>
    <w:rsid w:val="001E7337"/>
    <w:rsid w:val="001E7E3A"/>
    <w:rsid w:val="001F15C5"/>
    <w:rsid w:val="001F43D8"/>
    <w:rsid w:val="001F506C"/>
    <w:rsid w:val="001F5D28"/>
    <w:rsid w:val="00201A74"/>
    <w:rsid w:val="002032E2"/>
    <w:rsid w:val="00206C1F"/>
    <w:rsid w:val="0021069B"/>
    <w:rsid w:val="00210D69"/>
    <w:rsid w:val="002132D2"/>
    <w:rsid w:val="00216A23"/>
    <w:rsid w:val="00216D8E"/>
    <w:rsid w:val="002171D7"/>
    <w:rsid w:val="002207C3"/>
    <w:rsid w:val="00221195"/>
    <w:rsid w:val="002216BA"/>
    <w:rsid w:val="00221F26"/>
    <w:rsid w:val="0022230D"/>
    <w:rsid w:val="0022235D"/>
    <w:rsid w:val="00224D7E"/>
    <w:rsid w:val="0022656C"/>
    <w:rsid w:val="00227E50"/>
    <w:rsid w:val="00231010"/>
    <w:rsid w:val="002310CB"/>
    <w:rsid w:val="00231A87"/>
    <w:rsid w:val="0023235F"/>
    <w:rsid w:val="00233749"/>
    <w:rsid w:val="0023454D"/>
    <w:rsid w:val="00234B2D"/>
    <w:rsid w:val="00235024"/>
    <w:rsid w:val="0023521F"/>
    <w:rsid w:val="00236B5B"/>
    <w:rsid w:val="0023733F"/>
    <w:rsid w:val="00242B77"/>
    <w:rsid w:val="00242EE4"/>
    <w:rsid w:val="00243F4E"/>
    <w:rsid w:val="002440CE"/>
    <w:rsid w:val="0024481B"/>
    <w:rsid w:val="00244A25"/>
    <w:rsid w:val="0024620F"/>
    <w:rsid w:val="00246AAF"/>
    <w:rsid w:val="00251A4E"/>
    <w:rsid w:val="00255220"/>
    <w:rsid w:val="0025578B"/>
    <w:rsid w:val="002558B9"/>
    <w:rsid w:val="00255A53"/>
    <w:rsid w:val="00257542"/>
    <w:rsid w:val="00257BD7"/>
    <w:rsid w:val="00260AF8"/>
    <w:rsid w:val="002640FF"/>
    <w:rsid w:val="00265203"/>
    <w:rsid w:val="002712FD"/>
    <w:rsid w:val="002746AA"/>
    <w:rsid w:val="00275601"/>
    <w:rsid w:val="002758DA"/>
    <w:rsid w:val="00277EB4"/>
    <w:rsid w:val="002800D8"/>
    <w:rsid w:val="002826E8"/>
    <w:rsid w:val="002832A1"/>
    <w:rsid w:val="00284539"/>
    <w:rsid w:val="00285F80"/>
    <w:rsid w:val="002869EB"/>
    <w:rsid w:val="00290880"/>
    <w:rsid w:val="00291E21"/>
    <w:rsid w:val="00291E2F"/>
    <w:rsid w:val="002934E6"/>
    <w:rsid w:val="00294972"/>
    <w:rsid w:val="00294FD3"/>
    <w:rsid w:val="00296070"/>
    <w:rsid w:val="002972AF"/>
    <w:rsid w:val="002A025C"/>
    <w:rsid w:val="002A15C0"/>
    <w:rsid w:val="002A2F7A"/>
    <w:rsid w:val="002A447B"/>
    <w:rsid w:val="002A4ED4"/>
    <w:rsid w:val="002A5DC9"/>
    <w:rsid w:val="002A5E66"/>
    <w:rsid w:val="002A6D5B"/>
    <w:rsid w:val="002A7352"/>
    <w:rsid w:val="002B1505"/>
    <w:rsid w:val="002B33DC"/>
    <w:rsid w:val="002B3D30"/>
    <w:rsid w:val="002B6116"/>
    <w:rsid w:val="002B6A2C"/>
    <w:rsid w:val="002B6C50"/>
    <w:rsid w:val="002C0C94"/>
    <w:rsid w:val="002C1D8C"/>
    <w:rsid w:val="002C24BA"/>
    <w:rsid w:val="002C3A25"/>
    <w:rsid w:val="002C3A7E"/>
    <w:rsid w:val="002C7ABF"/>
    <w:rsid w:val="002D1D18"/>
    <w:rsid w:val="002D200B"/>
    <w:rsid w:val="002D2B81"/>
    <w:rsid w:val="002D41E4"/>
    <w:rsid w:val="002D6696"/>
    <w:rsid w:val="002D6CF6"/>
    <w:rsid w:val="002E02B2"/>
    <w:rsid w:val="002E0598"/>
    <w:rsid w:val="002E0878"/>
    <w:rsid w:val="002E1E8D"/>
    <w:rsid w:val="002E5028"/>
    <w:rsid w:val="002E55CB"/>
    <w:rsid w:val="002E5AC2"/>
    <w:rsid w:val="002E71FB"/>
    <w:rsid w:val="002F2551"/>
    <w:rsid w:val="002F67A4"/>
    <w:rsid w:val="002F6ED7"/>
    <w:rsid w:val="002F739D"/>
    <w:rsid w:val="0030168E"/>
    <w:rsid w:val="00305B70"/>
    <w:rsid w:val="00307D34"/>
    <w:rsid w:val="00310CD0"/>
    <w:rsid w:val="00312970"/>
    <w:rsid w:val="00314A84"/>
    <w:rsid w:val="00314CEF"/>
    <w:rsid w:val="00316B5B"/>
    <w:rsid w:val="00316C06"/>
    <w:rsid w:val="003238D3"/>
    <w:rsid w:val="00323B75"/>
    <w:rsid w:val="003259DC"/>
    <w:rsid w:val="0032659F"/>
    <w:rsid w:val="00330A6B"/>
    <w:rsid w:val="00330E2D"/>
    <w:rsid w:val="003356E3"/>
    <w:rsid w:val="003370CB"/>
    <w:rsid w:val="003372C9"/>
    <w:rsid w:val="00337F17"/>
    <w:rsid w:val="00340932"/>
    <w:rsid w:val="003422E3"/>
    <w:rsid w:val="00342D8C"/>
    <w:rsid w:val="00344D75"/>
    <w:rsid w:val="00347851"/>
    <w:rsid w:val="003518D9"/>
    <w:rsid w:val="00354854"/>
    <w:rsid w:val="00356218"/>
    <w:rsid w:val="00360416"/>
    <w:rsid w:val="00361E6E"/>
    <w:rsid w:val="003677D8"/>
    <w:rsid w:val="00370391"/>
    <w:rsid w:val="00370E06"/>
    <w:rsid w:val="00370EBE"/>
    <w:rsid w:val="00374529"/>
    <w:rsid w:val="00374E95"/>
    <w:rsid w:val="00375BFE"/>
    <w:rsid w:val="00377457"/>
    <w:rsid w:val="003775EC"/>
    <w:rsid w:val="00377639"/>
    <w:rsid w:val="00381367"/>
    <w:rsid w:val="00384E33"/>
    <w:rsid w:val="00386CF6"/>
    <w:rsid w:val="00387787"/>
    <w:rsid w:val="00393E50"/>
    <w:rsid w:val="00393E53"/>
    <w:rsid w:val="0039408B"/>
    <w:rsid w:val="0039446A"/>
    <w:rsid w:val="00396190"/>
    <w:rsid w:val="00396571"/>
    <w:rsid w:val="0039745B"/>
    <w:rsid w:val="003975EA"/>
    <w:rsid w:val="003A1010"/>
    <w:rsid w:val="003A365A"/>
    <w:rsid w:val="003A5232"/>
    <w:rsid w:val="003A524E"/>
    <w:rsid w:val="003A550C"/>
    <w:rsid w:val="003B09E7"/>
    <w:rsid w:val="003B1901"/>
    <w:rsid w:val="003B2A6E"/>
    <w:rsid w:val="003B4704"/>
    <w:rsid w:val="003B4F8E"/>
    <w:rsid w:val="003B5874"/>
    <w:rsid w:val="003B6B98"/>
    <w:rsid w:val="003B70C7"/>
    <w:rsid w:val="003B711B"/>
    <w:rsid w:val="003B7DFC"/>
    <w:rsid w:val="003B7F45"/>
    <w:rsid w:val="003C16F8"/>
    <w:rsid w:val="003C4F1D"/>
    <w:rsid w:val="003C76B1"/>
    <w:rsid w:val="003C7BEB"/>
    <w:rsid w:val="003D020C"/>
    <w:rsid w:val="003D2709"/>
    <w:rsid w:val="003D579C"/>
    <w:rsid w:val="003D74D6"/>
    <w:rsid w:val="003E0570"/>
    <w:rsid w:val="003E15E2"/>
    <w:rsid w:val="003E30F9"/>
    <w:rsid w:val="003E5E70"/>
    <w:rsid w:val="003F104E"/>
    <w:rsid w:val="003F1597"/>
    <w:rsid w:val="003F2782"/>
    <w:rsid w:val="003F3288"/>
    <w:rsid w:val="003F50EC"/>
    <w:rsid w:val="003F5CA8"/>
    <w:rsid w:val="003F5D9C"/>
    <w:rsid w:val="003F6B5C"/>
    <w:rsid w:val="00402839"/>
    <w:rsid w:val="0040373D"/>
    <w:rsid w:val="00403A1B"/>
    <w:rsid w:val="00404EAE"/>
    <w:rsid w:val="00406030"/>
    <w:rsid w:val="00411833"/>
    <w:rsid w:val="004120B8"/>
    <w:rsid w:val="004124FE"/>
    <w:rsid w:val="00412910"/>
    <w:rsid w:val="004139B2"/>
    <w:rsid w:val="0042393B"/>
    <w:rsid w:val="004272A4"/>
    <w:rsid w:val="004305D4"/>
    <w:rsid w:val="00430B70"/>
    <w:rsid w:val="004315D8"/>
    <w:rsid w:val="004325DC"/>
    <w:rsid w:val="00433FAD"/>
    <w:rsid w:val="00434788"/>
    <w:rsid w:val="00434BA5"/>
    <w:rsid w:val="00434CAC"/>
    <w:rsid w:val="00434D65"/>
    <w:rsid w:val="0043515E"/>
    <w:rsid w:val="004360FA"/>
    <w:rsid w:val="00436ECC"/>
    <w:rsid w:val="0043725F"/>
    <w:rsid w:val="004406B6"/>
    <w:rsid w:val="00441020"/>
    <w:rsid w:val="004449EE"/>
    <w:rsid w:val="004468CE"/>
    <w:rsid w:val="00447076"/>
    <w:rsid w:val="00447861"/>
    <w:rsid w:val="00447F1C"/>
    <w:rsid w:val="00450EF9"/>
    <w:rsid w:val="00455CF9"/>
    <w:rsid w:val="00460771"/>
    <w:rsid w:val="0046081C"/>
    <w:rsid w:val="00461004"/>
    <w:rsid w:val="00461C5C"/>
    <w:rsid w:val="00464E9D"/>
    <w:rsid w:val="004655DC"/>
    <w:rsid w:val="00467823"/>
    <w:rsid w:val="00470626"/>
    <w:rsid w:val="00472E0F"/>
    <w:rsid w:val="00473E12"/>
    <w:rsid w:val="0047555C"/>
    <w:rsid w:val="00475B87"/>
    <w:rsid w:val="00476EE5"/>
    <w:rsid w:val="00477C3F"/>
    <w:rsid w:val="0048121B"/>
    <w:rsid w:val="00481229"/>
    <w:rsid w:val="00483E5F"/>
    <w:rsid w:val="00485AA9"/>
    <w:rsid w:val="00490881"/>
    <w:rsid w:val="00493648"/>
    <w:rsid w:val="0049447F"/>
    <w:rsid w:val="00495197"/>
    <w:rsid w:val="00496C7F"/>
    <w:rsid w:val="004A2852"/>
    <w:rsid w:val="004A3569"/>
    <w:rsid w:val="004A3A76"/>
    <w:rsid w:val="004A4557"/>
    <w:rsid w:val="004A60E9"/>
    <w:rsid w:val="004A66F4"/>
    <w:rsid w:val="004A6AB4"/>
    <w:rsid w:val="004A7115"/>
    <w:rsid w:val="004A78E2"/>
    <w:rsid w:val="004A7ED8"/>
    <w:rsid w:val="004B1D4C"/>
    <w:rsid w:val="004B20A7"/>
    <w:rsid w:val="004B45C3"/>
    <w:rsid w:val="004B4C17"/>
    <w:rsid w:val="004C0123"/>
    <w:rsid w:val="004C0416"/>
    <w:rsid w:val="004C4E98"/>
    <w:rsid w:val="004C5C50"/>
    <w:rsid w:val="004C6F4F"/>
    <w:rsid w:val="004D06AE"/>
    <w:rsid w:val="004D37AA"/>
    <w:rsid w:val="004D5579"/>
    <w:rsid w:val="004D571E"/>
    <w:rsid w:val="004D57C8"/>
    <w:rsid w:val="004D5C00"/>
    <w:rsid w:val="004D5F7F"/>
    <w:rsid w:val="004D6197"/>
    <w:rsid w:val="004D6B01"/>
    <w:rsid w:val="004E095F"/>
    <w:rsid w:val="004E49F5"/>
    <w:rsid w:val="004E5B44"/>
    <w:rsid w:val="004E7D6C"/>
    <w:rsid w:val="004F008E"/>
    <w:rsid w:val="004F1140"/>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4DF4"/>
    <w:rsid w:val="00514E15"/>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329E"/>
    <w:rsid w:val="00564B42"/>
    <w:rsid w:val="00565F12"/>
    <w:rsid w:val="005666D2"/>
    <w:rsid w:val="0056743A"/>
    <w:rsid w:val="005674FE"/>
    <w:rsid w:val="00567F81"/>
    <w:rsid w:val="00573B3D"/>
    <w:rsid w:val="00574958"/>
    <w:rsid w:val="0057532F"/>
    <w:rsid w:val="00575BF8"/>
    <w:rsid w:val="00577621"/>
    <w:rsid w:val="005800F5"/>
    <w:rsid w:val="0058069D"/>
    <w:rsid w:val="00581F97"/>
    <w:rsid w:val="005826B4"/>
    <w:rsid w:val="00584506"/>
    <w:rsid w:val="00590B2E"/>
    <w:rsid w:val="00594DD8"/>
    <w:rsid w:val="005956BA"/>
    <w:rsid w:val="00595DC7"/>
    <w:rsid w:val="0059714B"/>
    <w:rsid w:val="005A0707"/>
    <w:rsid w:val="005A0AB6"/>
    <w:rsid w:val="005A1830"/>
    <w:rsid w:val="005A1A1B"/>
    <w:rsid w:val="005A207D"/>
    <w:rsid w:val="005A69B3"/>
    <w:rsid w:val="005A7B3D"/>
    <w:rsid w:val="005B0DA6"/>
    <w:rsid w:val="005B1C14"/>
    <w:rsid w:val="005B2471"/>
    <w:rsid w:val="005B5D26"/>
    <w:rsid w:val="005B5EC6"/>
    <w:rsid w:val="005B703B"/>
    <w:rsid w:val="005B79DB"/>
    <w:rsid w:val="005C10EB"/>
    <w:rsid w:val="005C21E7"/>
    <w:rsid w:val="005C4F3A"/>
    <w:rsid w:val="005C7ACF"/>
    <w:rsid w:val="005D01EF"/>
    <w:rsid w:val="005D1F45"/>
    <w:rsid w:val="005D232C"/>
    <w:rsid w:val="005D5337"/>
    <w:rsid w:val="005D5FCE"/>
    <w:rsid w:val="005D65C8"/>
    <w:rsid w:val="005D6676"/>
    <w:rsid w:val="005D6A14"/>
    <w:rsid w:val="005D72E2"/>
    <w:rsid w:val="005E17CB"/>
    <w:rsid w:val="005E221C"/>
    <w:rsid w:val="005E2CD3"/>
    <w:rsid w:val="005E39EF"/>
    <w:rsid w:val="005E4961"/>
    <w:rsid w:val="005E4F57"/>
    <w:rsid w:val="005E6AC6"/>
    <w:rsid w:val="005E7EEB"/>
    <w:rsid w:val="005F0A62"/>
    <w:rsid w:val="005F2FEC"/>
    <w:rsid w:val="005F3D8C"/>
    <w:rsid w:val="005F5631"/>
    <w:rsid w:val="005F5B83"/>
    <w:rsid w:val="005F67EA"/>
    <w:rsid w:val="0060019C"/>
    <w:rsid w:val="006004EC"/>
    <w:rsid w:val="00600B60"/>
    <w:rsid w:val="00601945"/>
    <w:rsid w:val="00603A8C"/>
    <w:rsid w:val="0060489A"/>
    <w:rsid w:val="006073FB"/>
    <w:rsid w:val="0061203C"/>
    <w:rsid w:val="00615162"/>
    <w:rsid w:val="006173A9"/>
    <w:rsid w:val="00617FF6"/>
    <w:rsid w:val="006206CE"/>
    <w:rsid w:val="0062169D"/>
    <w:rsid w:val="00623A9E"/>
    <w:rsid w:val="00624891"/>
    <w:rsid w:val="00625277"/>
    <w:rsid w:val="0062637E"/>
    <w:rsid w:val="00630AC3"/>
    <w:rsid w:val="006313AD"/>
    <w:rsid w:val="00631706"/>
    <w:rsid w:val="006346F4"/>
    <w:rsid w:val="006358F9"/>
    <w:rsid w:val="00640A46"/>
    <w:rsid w:val="006417FD"/>
    <w:rsid w:val="00641FC4"/>
    <w:rsid w:val="0064362E"/>
    <w:rsid w:val="00643749"/>
    <w:rsid w:val="00644082"/>
    <w:rsid w:val="00645717"/>
    <w:rsid w:val="00645EA9"/>
    <w:rsid w:val="00646C0C"/>
    <w:rsid w:val="00646D3D"/>
    <w:rsid w:val="00647268"/>
    <w:rsid w:val="00647513"/>
    <w:rsid w:val="0065068A"/>
    <w:rsid w:val="00651766"/>
    <w:rsid w:val="00652F82"/>
    <w:rsid w:val="00653FD6"/>
    <w:rsid w:val="00657072"/>
    <w:rsid w:val="006573EF"/>
    <w:rsid w:val="00660FC7"/>
    <w:rsid w:val="00661976"/>
    <w:rsid w:val="0066356D"/>
    <w:rsid w:val="00664974"/>
    <w:rsid w:val="00665D0F"/>
    <w:rsid w:val="006671BB"/>
    <w:rsid w:val="0067217E"/>
    <w:rsid w:val="006733E3"/>
    <w:rsid w:val="00674799"/>
    <w:rsid w:val="006757EA"/>
    <w:rsid w:val="00677F0E"/>
    <w:rsid w:val="0068124A"/>
    <w:rsid w:val="00682587"/>
    <w:rsid w:val="00682B52"/>
    <w:rsid w:val="00684202"/>
    <w:rsid w:val="006858F6"/>
    <w:rsid w:val="006876AF"/>
    <w:rsid w:val="00690062"/>
    <w:rsid w:val="0069251E"/>
    <w:rsid w:val="0069346B"/>
    <w:rsid w:val="006940E8"/>
    <w:rsid w:val="00694DF4"/>
    <w:rsid w:val="00696CE9"/>
    <w:rsid w:val="006A3EF4"/>
    <w:rsid w:val="006B12C1"/>
    <w:rsid w:val="006B1B3A"/>
    <w:rsid w:val="006B3C95"/>
    <w:rsid w:val="006B424F"/>
    <w:rsid w:val="006C20E9"/>
    <w:rsid w:val="006C27CC"/>
    <w:rsid w:val="006C3387"/>
    <w:rsid w:val="006C362F"/>
    <w:rsid w:val="006C6F2C"/>
    <w:rsid w:val="006D283B"/>
    <w:rsid w:val="006D313C"/>
    <w:rsid w:val="006E0048"/>
    <w:rsid w:val="006E0FCB"/>
    <w:rsid w:val="006E147C"/>
    <w:rsid w:val="006E1DC8"/>
    <w:rsid w:val="006E38CC"/>
    <w:rsid w:val="006E3C67"/>
    <w:rsid w:val="006E3F2A"/>
    <w:rsid w:val="006E4984"/>
    <w:rsid w:val="006E6DDC"/>
    <w:rsid w:val="006F0EA8"/>
    <w:rsid w:val="006F2551"/>
    <w:rsid w:val="006F42AA"/>
    <w:rsid w:val="006F42B3"/>
    <w:rsid w:val="006F4396"/>
    <w:rsid w:val="006F61A0"/>
    <w:rsid w:val="006F64E6"/>
    <w:rsid w:val="00700755"/>
    <w:rsid w:val="0070152B"/>
    <w:rsid w:val="00701EE2"/>
    <w:rsid w:val="00702555"/>
    <w:rsid w:val="00702EB3"/>
    <w:rsid w:val="0070592E"/>
    <w:rsid w:val="007102EC"/>
    <w:rsid w:val="0071078B"/>
    <w:rsid w:val="00712B1C"/>
    <w:rsid w:val="00713917"/>
    <w:rsid w:val="00713A6D"/>
    <w:rsid w:val="0071539A"/>
    <w:rsid w:val="00722302"/>
    <w:rsid w:val="007234E6"/>
    <w:rsid w:val="00726F77"/>
    <w:rsid w:val="007278A8"/>
    <w:rsid w:val="007342F5"/>
    <w:rsid w:val="00734A13"/>
    <w:rsid w:val="00734FC4"/>
    <w:rsid w:val="00740702"/>
    <w:rsid w:val="00741715"/>
    <w:rsid w:val="00744425"/>
    <w:rsid w:val="00746321"/>
    <w:rsid w:val="00750512"/>
    <w:rsid w:val="00751114"/>
    <w:rsid w:val="007521EC"/>
    <w:rsid w:val="00752A0F"/>
    <w:rsid w:val="00754AAA"/>
    <w:rsid w:val="00755A5D"/>
    <w:rsid w:val="0075609B"/>
    <w:rsid w:val="00756390"/>
    <w:rsid w:val="0075652A"/>
    <w:rsid w:val="00757DCB"/>
    <w:rsid w:val="00761C46"/>
    <w:rsid w:val="00765959"/>
    <w:rsid w:val="00765B7E"/>
    <w:rsid w:val="007665C7"/>
    <w:rsid w:val="00766989"/>
    <w:rsid w:val="0077206E"/>
    <w:rsid w:val="00772169"/>
    <w:rsid w:val="007728F8"/>
    <w:rsid w:val="007729B5"/>
    <w:rsid w:val="00772D1E"/>
    <w:rsid w:val="00773186"/>
    <w:rsid w:val="007752F3"/>
    <w:rsid w:val="00775543"/>
    <w:rsid w:val="00775780"/>
    <w:rsid w:val="00775F40"/>
    <w:rsid w:val="007800DA"/>
    <w:rsid w:val="007808BE"/>
    <w:rsid w:val="007814F9"/>
    <w:rsid w:val="00783F1E"/>
    <w:rsid w:val="00784441"/>
    <w:rsid w:val="00785367"/>
    <w:rsid w:val="00791B57"/>
    <w:rsid w:val="00794F60"/>
    <w:rsid w:val="00795244"/>
    <w:rsid w:val="00795C6B"/>
    <w:rsid w:val="00795D4A"/>
    <w:rsid w:val="00795D56"/>
    <w:rsid w:val="00795FF0"/>
    <w:rsid w:val="00797896"/>
    <w:rsid w:val="00797C96"/>
    <w:rsid w:val="00797EB9"/>
    <w:rsid w:val="007A1531"/>
    <w:rsid w:val="007A1860"/>
    <w:rsid w:val="007A558A"/>
    <w:rsid w:val="007A5C03"/>
    <w:rsid w:val="007A7CB3"/>
    <w:rsid w:val="007A7D7D"/>
    <w:rsid w:val="007B0841"/>
    <w:rsid w:val="007B1EE5"/>
    <w:rsid w:val="007B2115"/>
    <w:rsid w:val="007B2C2D"/>
    <w:rsid w:val="007B69C9"/>
    <w:rsid w:val="007C119C"/>
    <w:rsid w:val="007C2E9B"/>
    <w:rsid w:val="007C58AD"/>
    <w:rsid w:val="007C5C15"/>
    <w:rsid w:val="007C70FB"/>
    <w:rsid w:val="007D115D"/>
    <w:rsid w:val="007D1DA1"/>
    <w:rsid w:val="007D222B"/>
    <w:rsid w:val="007D378C"/>
    <w:rsid w:val="007D4F4D"/>
    <w:rsid w:val="007D4F6D"/>
    <w:rsid w:val="007E03FC"/>
    <w:rsid w:val="007E04EC"/>
    <w:rsid w:val="007E0DC4"/>
    <w:rsid w:val="007E209A"/>
    <w:rsid w:val="007E60D0"/>
    <w:rsid w:val="007E6695"/>
    <w:rsid w:val="007E6806"/>
    <w:rsid w:val="007F3170"/>
    <w:rsid w:val="007F577A"/>
    <w:rsid w:val="00801003"/>
    <w:rsid w:val="0080154D"/>
    <w:rsid w:val="00801CFC"/>
    <w:rsid w:val="00802131"/>
    <w:rsid w:val="00803088"/>
    <w:rsid w:val="00803BA6"/>
    <w:rsid w:val="008043B8"/>
    <w:rsid w:val="008048AB"/>
    <w:rsid w:val="0080518A"/>
    <w:rsid w:val="0080530D"/>
    <w:rsid w:val="00806022"/>
    <w:rsid w:val="00807F0C"/>
    <w:rsid w:val="0081098B"/>
    <w:rsid w:val="008130C5"/>
    <w:rsid w:val="0081317D"/>
    <w:rsid w:val="00813717"/>
    <w:rsid w:val="00816623"/>
    <w:rsid w:val="00816DE1"/>
    <w:rsid w:val="008177E6"/>
    <w:rsid w:val="00817F26"/>
    <w:rsid w:val="0082004C"/>
    <w:rsid w:val="008207E0"/>
    <w:rsid w:val="0082423F"/>
    <w:rsid w:val="008250BF"/>
    <w:rsid w:val="00825C84"/>
    <w:rsid w:val="00826E06"/>
    <w:rsid w:val="00827C34"/>
    <w:rsid w:val="00833165"/>
    <w:rsid w:val="00833F35"/>
    <w:rsid w:val="00833FA7"/>
    <w:rsid w:val="00836155"/>
    <w:rsid w:val="00841563"/>
    <w:rsid w:val="00842069"/>
    <w:rsid w:val="00843B5B"/>
    <w:rsid w:val="00851BFE"/>
    <w:rsid w:val="008520A6"/>
    <w:rsid w:val="00854D3E"/>
    <w:rsid w:val="00855427"/>
    <w:rsid w:val="00861557"/>
    <w:rsid w:val="00862BBA"/>
    <w:rsid w:val="00863995"/>
    <w:rsid w:val="008647FE"/>
    <w:rsid w:val="0086683E"/>
    <w:rsid w:val="00870EC7"/>
    <w:rsid w:val="008718CE"/>
    <w:rsid w:val="008763F7"/>
    <w:rsid w:val="008772A2"/>
    <w:rsid w:val="008821BA"/>
    <w:rsid w:val="008821BC"/>
    <w:rsid w:val="00882ED1"/>
    <w:rsid w:val="00882F13"/>
    <w:rsid w:val="00883EB9"/>
    <w:rsid w:val="0089038E"/>
    <w:rsid w:val="00892336"/>
    <w:rsid w:val="00892EBD"/>
    <w:rsid w:val="008966D8"/>
    <w:rsid w:val="008A1AF9"/>
    <w:rsid w:val="008A1ED5"/>
    <w:rsid w:val="008A7E01"/>
    <w:rsid w:val="008B0D35"/>
    <w:rsid w:val="008B14CC"/>
    <w:rsid w:val="008B4150"/>
    <w:rsid w:val="008B5A92"/>
    <w:rsid w:val="008B6993"/>
    <w:rsid w:val="008B6C89"/>
    <w:rsid w:val="008C1945"/>
    <w:rsid w:val="008C19E2"/>
    <w:rsid w:val="008C2ACA"/>
    <w:rsid w:val="008C34FE"/>
    <w:rsid w:val="008C40E9"/>
    <w:rsid w:val="008C42A6"/>
    <w:rsid w:val="008C739C"/>
    <w:rsid w:val="008C7B0E"/>
    <w:rsid w:val="008D0008"/>
    <w:rsid w:val="008D07D5"/>
    <w:rsid w:val="008D07E3"/>
    <w:rsid w:val="008D2C17"/>
    <w:rsid w:val="008D582C"/>
    <w:rsid w:val="008D59A2"/>
    <w:rsid w:val="008D5B4A"/>
    <w:rsid w:val="008D60AA"/>
    <w:rsid w:val="008D7E7E"/>
    <w:rsid w:val="008E0ADF"/>
    <w:rsid w:val="008E5022"/>
    <w:rsid w:val="008E5070"/>
    <w:rsid w:val="008E5AB8"/>
    <w:rsid w:val="008E6F0A"/>
    <w:rsid w:val="008F1F90"/>
    <w:rsid w:val="008F50F6"/>
    <w:rsid w:val="008F5CBB"/>
    <w:rsid w:val="008F6F29"/>
    <w:rsid w:val="008F743C"/>
    <w:rsid w:val="008F7BC2"/>
    <w:rsid w:val="00900E60"/>
    <w:rsid w:val="00901A6A"/>
    <w:rsid w:val="00903EAE"/>
    <w:rsid w:val="00906C0A"/>
    <w:rsid w:val="00907FF1"/>
    <w:rsid w:val="0091201E"/>
    <w:rsid w:val="009121FA"/>
    <w:rsid w:val="00913F6A"/>
    <w:rsid w:val="00914287"/>
    <w:rsid w:val="0091635C"/>
    <w:rsid w:val="009169F6"/>
    <w:rsid w:val="00916B13"/>
    <w:rsid w:val="00920299"/>
    <w:rsid w:val="00921596"/>
    <w:rsid w:val="0092291E"/>
    <w:rsid w:val="00924A7C"/>
    <w:rsid w:val="00925918"/>
    <w:rsid w:val="009270A5"/>
    <w:rsid w:val="0093206D"/>
    <w:rsid w:val="009373AE"/>
    <w:rsid w:val="00942EE9"/>
    <w:rsid w:val="00946729"/>
    <w:rsid w:val="00947CF7"/>
    <w:rsid w:val="009507EB"/>
    <w:rsid w:val="009511F0"/>
    <w:rsid w:val="00953DB9"/>
    <w:rsid w:val="00954D9A"/>
    <w:rsid w:val="00957A73"/>
    <w:rsid w:val="00960EC7"/>
    <w:rsid w:val="009633A3"/>
    <w:rsid w:val="00965850"/>
    <w:rsid w:val="0096685C"/>
    <w:rsid w:val="009701AB"/>
    <w:rsid w:val="00971BA6"/>
    <w:rsid w:val="0097251E"/>
    <w:rsid w:val="009729CB"/>
    <w:rsid w:val="00972FD9"/>
    <w:rsid w:val="00975132"/>
    <w:rsid w:val="009760C0"/>
    <w:rsid w:val="00977306"/>
    <w:rsid w:val="00980132"/>
    <w:rsid w:val="0098041F"/>
    <w:rsid w:val="00980A8F"/>
    <w:rsid w:val="009815DB"/>
    <w:rsid w:val="00983C57"/>
    <w:rsid w:val="00985AA6"/>
    <w:rsid w:val="009867A4"/>
    <w:rsid w:val="009877B9"/>
    <w:rsid w:val="00990912"/>
    <w:rsid w:val="009912EB"/>
    <w:rsid w:val="00991578"/>
    <w:rsid w:val="00992155"/>
    <w:rsid w:val="00992359"/>
    <w:rsid w:val="00993722"/>
    <w:rsid w:val="009940E0"/>
    <w:rsid w:val="0099702B"/>
    <w:rsid w:val="009A0003"/>
    <w:rsid w:val="009A05B3"/>
    <w:rsid w:val="009A1ED4"/>
    <w:rsid w:val="009A2E34"/>
    <w:rsid w:val="009A36C2"/>
    <w:rsid w:val="009A45EE"/>
    <w:rsid w:val="009A73D0"/>
    <w:rsid w:val="009B1865"/>
    <w:rsid w:val="009B3F88"/>
    <w:rsid w:val="009B6DE3"/>
    <w:rsid w:val="009C1268"/>
    <w:rsid w:val="009C7D5E"/>
    <w:rsid w:val="009D13F2"/>
    <w:rsid w:val="009D4BB3"/>
    <w:rsid w:val="009D7A85"/>
    <w:rsid w:val="009D7E32"/>
    <w:rsid w:val="009E0435"/>
    <w:rsid w:val="009E080E"/>
    <w:rsid w:val="009E3ADA"/>
    <w:rsid w:val="009E3CFB"/>
    <w:rsid w:val="009E47DA"/>
    <w:rsid w:val="009E59B1"/>
    <w:rsid w:val="009E68EF"/>
    <w:rsid w:val="009E73D2"/>
    <w:rsid w:val="009E788F"/>
    <w:rsid w:val="009F3192"/>
    <w:rsid w:val="009F3A1F"/>
    <w:rsid w:val="009F5434"/>
    <w:rsid w:val="009F55D7"/>
    <w:rsid w:val="009F61A0"/>
    <w:rsid w:val="009F6C90"/>
    <w:rsid w:val="009F6DF2"/>
    <w:rsid w:val="009F7A02"/>
    <w:rsid w:val="00A00FFA"/>
    <w:rsid w:val="00A03989"/>
    <w:rsid w:val="00A0403A"/>
    <w:rsid w:val="00A0517A"/>
    <w:rsid w:val="00A07671"/>
    <w:rsid w:val="00A10413"/>
    <w:rsid w:val="00A129FC"/>
    <w:rsid w:val="00A1335D"/>
    <w:rsid w:val="00A14E17"/>
    <w:rsid w:val="00A1544C"/>
    <w:rsid w:val="00A16235"/>
    <w:rsid w:val="00A162F3"/>
    <w:rsid w:val="00A16ADB"/>
    <w:rsid w:val="00A201D9"/>
    <w:rsid w:val="00A202A2"/>
    <w:rsid w:val="00A20A1A"/>
    <w:rsid w:val="00A21469"/>
    <w:rsid w:val="00A214C4"/>
    <w:rsid w:val="00A228F7"/>
    <w:rsid w:val="00A26A42"/>
    <w:rsid w:val="00A27F81"/>
    <w:rsid w:val="00A31863"/>
    <w:rsid w:val="00A326D2"/>
    <w:rsid w:val="00A32E44"/>
    <w:rsid w:val="00A3457B"/>
    <w:rsid w:val="00A357F4"/>
    <w:rsid w:val="00A3695B"/>
    <w:rsid w:val="00A36C3F"/>
    <w:rsid w:val="00A371A3"/>
    <w:rsid w:val="00A41931"/>
    <w:rsid w:val="00A425C4"/>
    <w:rsid w:val="00A45603"/>
    <w:rsid w:val="00A4618E"/>
    <w:rsid w:val="00A463FB"/>
    <w:rsid w:val="00A507FB"/>
    <w:rsid w:val="00A516C3"/>
    <w:rsid w:val="00A556BF"/>
    <w:rsid w:val="00A5684F"/>
    <w:rsid w:val="00A56F37"/>
    <w:rsid w:val="00A570C0"/>
    <w:rsid w:val="00A60CDF"/>
    <w:rsid w:val="00A60D82"/>
    <w:rsid w:val="00A61271"/>
    <w:rsid w:val="00A61E6D"/>
    <w:rsid w:val="00A61FC0"/>
    <w:rsid w:val="00A64FEA"/>
    <w:rsid w:val="00A65008"/>
    <w:rsid w:val="00A656ED"/>
    <w:rsid w:val="00A6597D"/>
    <w:rsid w:val="00A667F7"/>
    <w:rsid w:val="00A66B3D"/>
    <w:rsid w:val="00A70AB4"/>
    <w:rsid w:val="00A73131"/>
    <w:rsid w:val="00A734AC"/>
    <w:rsid w:val="00A7443E"/>
    <w:rsid w:val="00A75027"/>
    <w:rsid w:val="00A753E3"/>
    <w:rsid w:val="00A762CD"/>
    <w:rsid w:val="00A76CE7"/>
    <w:rsid w:val="00A76D04"/>
    <w:rsid w:val="00A800FE"/>
    <w:rsid w:val="00A80468"/>
    <w:rsid w:val="00A81058"/>
    <w:rsid w:val="00A81184"/>
    <w:rsid w:val="00A84586"/>
    <w:rsid w:val="00A84F89"/>
    <w:rsid w:val="00A85270"/>
    <w:rsid w:val="00A85E99"/>
    <w:rsid w:val="00A96249"/>
    <w:rsid w:val="00A96C8E"/>
    <w:rsid w:val="00A9799B"/>
    <w:rsid w:val="00AA0D95"/>
    <w:rsid w:val="00AA10B7"/>
    <w:rsid w:val="00AA387A"/>
    <w:rsid w:val="00AA3A6D"/>
    <w:rsid w:val="00AA43B4"/>
    <w:rsid w:val="00AA6AD3"/>
    <w:rsid w:val="00AA72B4"/>
    <w:rsid w:val="00AB28D2"/>
    <w:rsid w:val="00AB313E"/>
    <w:rsid w:val="00AB3F98"/>
    <w:rsid w:val="00AB434F"/>
    <w:rsid w:val="00AB54CF"/>
    <w:rsid w:val="00AB6FFE"/>
    <w:rsid w:val="00AC0706"/>
    <w:rsid w:val="00AC1382"/>
    <w:rsid w:val="00AC2953"/>
    <w:rsid w:val="00AC47B8"/>
    <w:rsid w:val="00AC4CF8"/>
    <w:rsid w:val="00AC63A5"/>
    <w:rsid w:val="00AC69F4"/>
    <w:rsid w:val="00AC733B"/>
    <w:rsid w:val="00AC798B"/>
    <w:rsid w:val="00AD06A3"/>
    <w:rsid w:val="00AD1769"/>
    <w:rsid w:val="00AD19D9"/>
    <w:rsid w:val="00AD1B89"/>
    <w:rsid w:val="00AD33F4"/>
    <w:rsid w:val="00AE0451"/>
    <w:rsid w:val="00AE129F"/>
    <w:rsid w:val="00AE399F"/>
    <w:rsid w:val="00AE482C"/>
    <w:rsid w:val="00AE6787"/>
    <w:rsid w:val="00AF22F0"/>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6CC3"/>
    <w:rsid w:val="00B407F2"/>
    <w:rsid w:val="00B41FAD"/>
    <w:rsid w:val="00B4292D"/>
    <w:rsid w:val="00B42F77"/>
    <w:rsid w:val="00B45A1A"/>
    <w:rsid w:val="00B5106D"/>
    <w:rsid w:val="00B53DDB"/>
    <w:rsid w:val="00B545FC"/>
    <w:rsid w:val="00B54D98"/>
    <w:rsid w:val="00B554D7"/>
    <w:rsid w:val="00B55B45"/>
    <w:rsid w:val="00B55B6D"/>
    <w:rsid w:val="00B64FC0"/>
    <w:rsid w:val="00B7011E"/>
    <w:rsid w:val="00B70345"/>
    <w:rsid w:val="00B72F39"/>
    <w:rsid w:val="00B7470A"/>
    <w:rsid w:val="00B75563"/>
    <w:rsid w:val="00B7724F"/>
    <w:rsid w:val="00B804E1"/>
    <w:rsid w:val="00B81E78"/>
    <w:rsid w:val="00B81F8F"/>
    <w:rsid w:val="00B82578"/>
    <w:rsid w:val="00B828E6"/>
    <w:rsid w:val="00B854EA"/>
    <w:rsid w:val="00B91342"/>
    <w:rsid w:val="00B91424"/>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095F"/>
    <w:rsid w:val="00BC1988"/>
    <w:rsid w:val="00BC19B9"/>
    <w:rsid w:val="00BC3A82"/>
    <w:rsid w:val="00BC3B18"/>
    <w:rsid w:val="00BC3ED7"/>
    <w:rsid w:val="00BC4742"/>
    <w:rsid w:val="00BD2FEA"/>
    <w:rsid w:val="00BD3667"/>
    <w:rsid w:val="00BD3762"/>
    <w:rsid w:val="00BD56B6"/>
    <w:rsid w:val="00BE17CC"/>
    <w:rsid w:val="00BE268E"/>
    <w:rsid w:val="00BE4555"/>
    <w:rsid w:val="00BE6789"/>
    <w:rsid w:val="00BF2A19"/>
    <w:rsid w:val="00BF2BD1"/>
    <w:rsid w:val="00BF300D"/>
    <w:rsid w:val="00BF4B81"/>
    <w:rsid w:val="00BF4F33"/>
    <w:rsid w:val="00C02EE8"/>
    <w:rsid w:val="00C049EB"/>
    <w:rsid w:val="00C05A18"/>
    <w:rsid w:val="00C06182"/>
    <w:rsid w:val="00C1027D"/>
    <w:rsid w:val="00C10A1F"/>
    <w:rsid w:val="00C135FB"/>
    <w:rsid w:val="00C1515E"/>
    <w:rsid w:val="00C153F4"/>
    <w:rsid w:val="00C16C54"/>
    <w:rsid w:val="00C17136"/>
    <w:rsid w:val="00C1743B"/>
    <w:rsid w:val="00C17588"/>
    <w:rsid w:val="00C17801"/>
    <w:rsid w:val="00C17E3C"/>
    <w:rsid w:val="00C209BC"/>
    <w:rsid w:val="00C22D41"/>
    <w:rsid w:val="00C243AB"/>
    <w:rsid w:val="00C24C96"/>
    <w:rsid w:val="00C26AEB"/>
    <w:rsid w:val="00C27728"/>
    <w:rsid w:val="00C312F9"/>
    <w:rsid w:val="00C31DD4"/>
    <w:rsid w:val="00C31E6E"/>
    <w:rsid w:val="00C32484"/>
    <w:rsid w:val="00C334A4"/>
    <w:rsid w:val="00C33EAB"/>
    <w:rsid w:val="00C34622"/>
    <w:rsid w:val="00C349F9"/>
    <w:rsid w:val="00C35139"/>
    <w:rsid w:val="00C35191"/>
    <w:rsid w:val="00C369A8"/>
    <w:rsid w:val="00C40C54"/>
    <w:rsid w:val="00C4116A"/>
    <w:rsid w:val="00C411FB"/>
    <w:rsid w:val="00C420E9"/>
    <w:rsid w:val="00C430F5"/>
    <w:rsid w:val="00C44811"/>
    <w:rsid w:val="00C45110"/>
    <w:rsid w:val="00C457EB"/>
    <w:rsid w:val="00C460C3"/>
    <w:rsid w:val="00C476D5"/>
    <w:rsid w:val="00C47E91"/>
    <w:rsid w:val="00C50F42"/>
    <w:rsid w:val="00C525E8"/>
    <w:rsid w:val="00C52844"/>
    <w:rsid w:val="00C558BD"/>
    <w:rsid w:val="00C55AA0"/>
    <w:rsid w:val="00C604D8"/>
    <w:rsid w:val="00C64CBF"/>
    <w:rsid w:val="00C654E8"/>
    <w:rsid w:val="00C6634A"/>
    <w:rsid w:val="00C66927"/>
    <w:rsid w:val="00C736DB"/>
    <w:rsid w:val="00C748C9"/>
    <w:rsid w:val="00C74BC2"/>
    <w:rsid w:val="00C752EC"/>
    <w:rsid w:val="00C7655A"/>
    <w:rsid w:val="00C77B75"/>
    <w:rsid w:val="00C815E7"/>
    <w:rsid w:val="00C8230D"/>
    <w:rsid w:val="00C82809"/>
    <w:rsid w:val="00C83ADA"/>
    <w:rsid w:val="00C867D7"/>
    <w:rsid w:val="00C86D17"/>
    <w:rsid w:val="00C870AD"/>
    <w:rsid w:val="00C9102A"/>
    <w:rsid w:val="00C95D2A"/>
    <w:rsid w:val="00C976FF"/>
    <w:rsid w:val="00CA12A3"/>
    <w:rsid w:val="00CA1C08"/>
    <w:rsid w:val="00CA1C13"/>
    <w:rsid w:val="00CA3120"/>
    <w:rsid w:val="00CA4EBB"/>
    <w:rsid w:val="00CA73CB"/>
    <w:rsid w:val="00CA73D6"/>
    <w:rsid w:val="00CB5A3B"/>
    <w:rsid w:val="00CB61D9"/>
    <w:rsid w:val="00CB743E"/>
    <w:rsid w:val="00CC2817"/>
    <w:rsid w:val="00CC5381"/>
    <w:rsid w:val="00CC6610"/>
    <w:rsid w:val="00CC7911"/>
    <w:rsid w:val="00CD1F3D"/>
    <w:rsid w:val="00CE020D"/>
    <w:rsid w:val="00CE0F4D"/>
    <w:rsid w:val="00CF1BFF"/>
    <w:rsid w:val="00CF2C59"/>
    <w:rsid w:val="00CF307D"/>
    <w:rsid w:val="00CF36AB"/>
    <w:rsid w:val="00CF3A13"/>
    <w:rsid w:val="00CF51AF"/>
    <w:rsid w:val="00CF6884"/>
    <w:rsid w:val="00D003D1"/>
    <w:rsid w:val="00D0134C"/>
    <w:rsid w:val="00D021F6"/>
    <w:rsid w:val="00D02AFE"/>
    <w:rsid w:val="00D02D0D"/>
    <w:rsid w:val="00D03555"/>
    <w:rsid w:val="00D056C2"/>
    <w:rsid w:val="00D0612E"/>
    <w:rsid w:val="00D07828"/>
    <w:rsid w:val="00D10237"/>
    <w:rsid w:val="00D103B9"/>
    <w:rsid w:val="00D11A58"/>
    <w:rsid w:val="00D14D4A"/>
    <w:rsid w:val="00D20352"/>
    <w:rsid w:val="00D20673"/>
    <w:rsid w:val="00D20766"/>
    <w:rsid w:val="00D215BD"/>
    <w:rsid w:val="00D21A22"/>
    <w:rsid w:val="00D22ADD"/>
    <w:rsid w:val="00D23575"/>
    <w:rsid w:val="00D23759"/>
    <w:rsid w:val="00D2523A"/>
    <w:rsid w:val="00D253F5"/>
    <w:rsid w:val="00D25489"/>
    <w:rsid w:val="00D25A12"/>
    <w:rsid w:val="00D261A5"/>
    <w:rsid w:val="00D279E8"/>
    <w:rsid w:val="00D314A0"/>
    <w:rsid w:val="00D31866"/>
    <w:rsid w:val="00D32C21"/>
    <w:rsid w:val="00D33407"/>
    <w:rsid w:val="00D33E3A"/>
    <w:rsid w:val="00D371C9"/>
    <w:rsid w:val="00D40709"/>
    <w:rsid w:val="00D41FCE"/>
    <w:rsid w:val="00D43E06"/>
    <w:rsid w:val="00D53AD7"/>
    <w:rsid w:val="00D54373"/>
    <w:rsid w:val="00D55935"/>
    <w:rsid w:val="00D56549"/>
    <w:rsid w:val="00D57215"/>
    <w:rsid w:val="00D57EC4"/>
    <w:rsid w:val="00D610C4"/>
    <w:rsid w:val="00D62A05"/>
    <w:rsid w:val="00D6399E"/>
    <w:rsid w:val="00D639A1"/>
    <w:rsid w:val="00D65CA4"/>
    <w:rsid w:val="00D65E8C"/>
    <w:rsid w:val="00D66C2C"/>
    <w:rsid w:val="00D7049C"/>
    <w:rsid w:val="00D71231"/>
    <w:rsid w:val="00D72145"/>
    <w:rsid w:val="00D727EE"/>
    <w:rsid w:val="00D7397F"/>
    <w:rsid w:val="00D74536"/>
    <w:rsid w:val="00D758ED"/>
    <w:rsid w:val="00D762C8"/>
    <w:rsid w:val="00D8057F"/>
    <w:rsid w:val="00D80F71"/>
    <w:rsid w:val="00D816A5"/>
    <w:rsid w:val="00D84651"/>
    <w:rsid w:val="00D85449"/>
    <w:rsid w:val="00D857B6"/>
    <w:rsid w:val="00D906B5"/>
    <w:rsid w:val="00D90C20"/>
    <w:rsid w:val="00D91198"/>
    <w:rsid w:val="00D915D7"/>
    <w:rsid w:val="00D91F3A"/>
    <w:rsid w:val="00D926D0"/>
    <w:rsid w:val="00D93B77"/>
    <w:rsid w:val="00D9524B"/>
    <w:rsid w:val="00DA27FA"/>
    <w:rsid w:val="00DA3861"/>
    <w:rsid w:val="00DA3996"/>
    <w:rsid w:val="00DA4134"/>
    <w:rsid w:val="00DA5D47"/>
    <w:rsid w:val="00DA5E10"/>
    <w:rsid w:val="00DA65C2"/>
    <w:rsid w:val="00DA6F98"/>
    <w:rsid w:val="00DB037E"/>
    <w:rsid w:val="00DB2C83"/>
    <w:rsid w:val="00DB3EDB"/>
    <w:rsid w:val="00DB401E"/>
    <w:rsid w:val="00DB5E57"/>
    <w:rsid w:val="00DB5F2C"/>
    <w:rsid w:val="00DB6DE5"/>
    <w:rsid w:val="00DC1DA8"/>
    <w:rsid w:val="00DC2C8F"/>
    <w:rsid w:val="00DC4B45"/>
    <w:rsid w:val="00DC58B1"/>
    <w:rsid w:val="00DC5FF4"/>
    <w:rsid w:val="00DD24F5"/>
    <w:rsid w:val="00DD2566"/>
    <w:rsid w:val="00DD2F61"/>
    <w:rsid w:val="00DD3E7C"/>
    <w:rsid w:val="00DD501A"/>
    <w:rsid w:val="00DD5438"/>
    <w:rsid w:val="00DD675B"/>
    <w:rsid w:val="00DD6C7A"/>
    <w:rsid w:val="00DD78E7"/>
    <w:rsid w:val="00DE0239"/>
    <w:rsid w:val="00DE1867"/>
    <w:rsid w:val="00DE36C4"/>
    <w:rsid w:val="00DE4E32"/>
    <w:rsid w:val="00DE57EC"/>
    <w:rsid w:val="00DE58BA"/>
    <w:rsid w:val="00DF23DD"/>
    <w:rsid w:val="00DF35DF"/>
    <w:rsid w:val="00DF3E2C"/>
    <w:rsid w:val="00DF4273"/>
    <w:rsid w:val="00DF5F13"/>
    <w:rsid w:val="00DF7123"/>
    <w:rsid w:val="00DF7AB8"/>
    <w:rsid w:val="00E00393"/>
    <w:rsid w:val="00E00DAC"/>
    <w:rsid w:val="00E012A8"/>
    <w:rsid w:val="00E02B28"/>
    <w:rsid w:val="00E03E22"/>
    <w:rsid w:val="00E05D49"/>
    <w:rsid w:val="00E067A0"/>
    <w:rsid w:val="00E07B52"/>
    <w:rsid w:val="00E105D4"/>
    <w:rsid w:val="00E10650"/>
    <w:rsid w:val="00E122E3"/>
    <w:rsid w:val="00E157D0"/>
    <w:rsid w:val="00E16472"/>
    <w:rsid w:val="00E22644"/>
    <w:rsid w:val="00E2464C"/>
    <w:rsid w:val="00E24688"/>
    <w:rsid w:val="00E251C3"/>
    <w:rsid w:val="00E2520E"/>
    <w:rsid w:val="00E25329"/>
    <w:rsid w:val="00E2699C"/>
    <w:rsid w:val="00E274D6"/>
    <w:rsid w:val="00E302F4"/>
    <w:rsid w:val="00E308A4"/>
    <w:rsid w:val="00E32A51"/>
    <w:rsid w:val="00E33B74"/>
    <w:rsid w:val="00E3474D"/>
    <w:rsid w:val="00E34992"/>
    <w:rsid w:val="00E34B81"/>
    <w:rsid w:val="00E363FB"/>
    <w:rsid w:val="00E41C39"/>
    <w:rsid w:val="00E45A7D"/>
    <w:rsid w:val="00E50AD5"/>
    <w:rsid w:val="00E52727"/>
    <w:rsid w:val="00E5533D"/>
    <w:rsid w:val="00E60684"/>
    <w:rsid w:val="00E61D76"/>
    <w:rsid w:val="00E61FAB"/>
    <w:rsid w:val="00E62F35"/>
    <w:rsid w:val="00E63A81"/>
    <w:rsid w:val="00E64146"/>
    <w:rsid w:val="00E6591E"/>
    <w:rsid w:val="00E66191"/>
    <w:rsid w:val="00E701AD"/>
    <w:rsid w:val="00E70A86"/>
    <w:rsid w:val="00E71272"/>
    <w:rsid w:val="00E720C2"/>
    <w:rsid w:val="00E73A04"/>
    <w:rsid w:val="00E81794"/>
    <w:rsid w:val="00E821BF"/>
    <w:rsid w:val="00E82F06"/>
    <w:rsid w:val="00E82FF1"/>
    <w:rsid w:val="00E8363A"/>
    <w:rsid w:val="00E84E8D"/>
    <w:rsid w:val="00E86257"/>
    <w:rsid w:val="00E90CD6"/>
    <w:rsid w:val="00E91BF9"/>
    <w:rsid w:val="00E92B87"/>
    <w:rsid w:val="00E9441D"/>
    <w:rsid w:val="00E94B5D"/>
    <w:rsid w:val="00E969E6"/>
    <w:rsid w:val="00E9723C"/>
    <w:rsid w:val="00EA0768"/>
    <w:rsid w:val="00EA0AC0"/>
    <w:rsid w:val="00EA1FE1"/>
    <w:rsid w:val="00EA316C"/>
    <w:rsid w:val="00EA331F"/>
    <w:rsid w:val="00EA3B75"/>
    <w:rsid w:val="00EA4D95"/>
    <w:rsid w:val="00EB0E50"/>
    <w:rsid w:val="00EB2F19"/>
    <w:rsid w:val="00EB4F91"/>
    <w:rsid w:val="00EB66C5"/>
    <w:rsid w:val="00EB6DF4"/>
    <w:rsid w:val="00EB73C8"/>
    <w:rsid w:val="00EB7E82"/>
    <w:rsid w:val="00EC358A"/>
    <w:rsid w:val="00ED1093"/>
    <w:rsid w:val="00ED27F2"/>
    <w:rsid w:val="00ED4698"/>
    <w:rsid w:val="00ED5080"/>
    <w:rsid w:val="00EE0085"/>
    <w:rsid w:val="00EE00FD"/>
    <w:rsid w:val="00EE0760"/>
    <w:rsid w:val="00EE1902"/>
    <w:rsid w:val="00EE26DE"/>
    <w:rsid w:val="00EE2BF3"/>
    <w:rsid w:val="00EE53FB"/>
    <w:rsid w:val="00EE5E37"/>
    <w:rsid w:val="00EE7BC8"/>
    <w:rsid w:val="00EF271A"/>
    <w:rsid w:val="00EF6DBD"/>
    <w:rsid w:val="00EF7621"/>
    <w:rsid w:val="00F01719"/>
    <w:rsid w:val="00F02484"/>
    <w:rsid w:val="00F05069"/>
    <w:rsid w:val="00F0629B"/>
    <w:rsid w:val="00F062B5"/>
    <w:rsid w:val="00F07B6D"/>
    <w:rsid w:val="00F10FF2"/>
    <w:rsid w:val="00F114B4"/>
    <w:rsid w:val="00F12863"/>
    <w:rsid w:val="00F13199"/>
    <w:rsid w:val="00F13D41"/>
    <w:rsid w:val="00F15C08"/>
    <w:rsid w:val="00F15D89"/>
    <w:rsid w:val="00F16CE1"/>
    <w:rsid w:val="00F17A82"/>
    <w:rsid w:val="00F22996"/>
    <w:rsid w:val="00F265C9"/>
    <w:rsid w:val="00F26DCC"/>
    <w:rsid w:val="00F27154"/>
    <w:rsid w:val="00F27700"/>
    <w:rsid w:val="00F27E3A"/>
    <w:rsid w:val="00F31468"/>
    <w:rsid w:val="00F317CF"/>
    <w:rsid w:val="00F32FEC"/>
    <w:rsid w:val="00F33CC1"/>
    <w:rsid w:val="00F34147"/>
    <w:rsid w:val="00F35B62"/>
    <w:rsid w:val="00F37F65"/>
    <w:rsid w:val="00F4148C"/>
    <w:rsid w:val="00F42380"/>
    <w:rsid w:val="00F47762"/>
    <w:rsid w:val="00F511BC"/>
    <w:rsid w:val="00F545F0"/>
    <w:rsid w:val="00F549E5"/>
    <w:rsid w:val="00F5757A"/>
    <w:rsid w:val="00F61C8F"/>
    <w:rsid w:val="00F64D90"/>
    <w:rsid w:val="00F67023"/>
    <w:rsid w:val="00F70AFB"/>
    <w:rsid w:val="00F74B2E"/>
    <w:rsid w:val="00F75E79"/>
    <w:rsid w:val="00F75E9C"/>
    <w:rsid w:val="00F764DC"/>
    <w:rsid w:val="00F76AC7"/>
    <w:rsid w:val="00F8143B"/>
    <w:rsid w:val="00F847AD"/>
    <w:rsid w:val="00F904CC"/>
    <w:rsid w:val="00F91F41"/>
    <w:rsid w:val="00F93546"/>
    <w:rsid w:val="00F948EA"/>
    <w:rsid w:val="00F94A0E"/>
    <w:rsid w:val="00F94F36"/>
    <w:rsid w:val="00FA2700"/>
    <w:rsid w:val="00FA45E4"/>
    <w:rsid w:val="00FA6F2B"/>
    <w:rsid w:val="00FB00C9"/>
    <w:rsid w:val="00FB11E9"/>
    <w:rsid w:val="00FB1DF7"/>
    <w:rsid w:val="00FB255B"/>
    <w:rsid w:val="00FB2F56"/>
    <w:rsid w:val="00FB3B65"/>
    <w:rsid w:val="00FB4494"/>
    <w:rsid w:val="00FB5823"/>
    <w:rsid w:val="00FB605B"/>
    <w:rsid w:val="00FB659C"/>
    <w:rsid w:val="00FC01AC"/>
    <w:rsid w:val="00FC0627"/>
    <w:rsid w:val="00FC7191"/>
    <w:rsid w:val="00FD0A88"/>
    <w:rsid w:val="00FD2A81"/>
    <w:rsid w:val="00FD2BBC"/>
    <w:rsid w:val="00FE099C"/>
    <w:rsid w:val="00FE120E"/>
    <w:rsid w:val="00FE1F8A"/>
    <w:rsid w:val="00FE2223"/>
    <w:rsid w:val="00FE3252"/>
    <w:rsid w:val="00FE65D5"/>
    <w:rsid w:val="00FF06D6"/>
    <w:rsid w:val="00FF2E03"/>
    <w:rsid w:val="00FF4245"/>
    <w:rsid w:val="00FF48A7"/>
    <w:rsid w:val="00FF4DAA"/>
    <w:rsid w:val="00FF6202"/>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7FE1D"/>
  <w15:docId w15:val="{BE1A547C-19C7-4851-A455-24537242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AF22F0"/>
    <w:pPr>
      <w:numPr>
        <w:numId w:val="1"/>
      </w:numPr>
      <w:tabs>
        <w:tab w:val="clear" w:pos="567"/>
      </w:tabs>
      <w:ind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601945"/>
    <w:pPr>
      <w:widowControl w:val="0"/>
      <w:spacing w:before="600" w:after="480"/>
    </w:pPr>
    <w:rPr>
      <w:rFonts w:ascii="Arial" w:hAnsi="Arial"/>
      <w:smallCaps w:val="0"/>
      <w:color w:val="000000" w:themeColor="text1"/>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9121FA"/>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9121FA"/>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79566622">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575285490">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804810779">
      <w:bodyDiv w:val="1"/>
      <w:marLeft w:val="0"/>
      <w:marRight w:val="0"/>
      <w:marTop w:val="0"/>
      <w:marBottom w:val="0"/>
      <w:divBdr>
        <w:top w:val="none" w:sz="0" w:space="0" w:color="auto"/>
        <w:left w:val="none" w:sz="0" w:space="0" w:color="auto"/>
        <w:bottom w:val="none" w:sz="0" w:space="0" w:color="auto"/>
        <w:right w:val="none" w:sz="0" w:space="0" w:color="auto"/>
      </w:divBdr>
    </w:div>
    <w:div w:id="828641020">
      <w:bodyDiv w:val="1"/>
      <w:marLeft w:val="0"/>
      <w:marRight w:val="0"/>
      <w:marTop w:val="0"/>
      <w:marBottom w:val="0"/>
      <w:divBdr>
        <w:top w:val="none" w:sz="0" w:space="0" w:color="auto"/>
        <w:left w:val="none" w:sz="0" w:space="0" w:color="auto"/>
        <w:bottom w:val="none" w:sz="0" w:space="0" w:color="auto"/>
        <w:right w:val="none" w:sz="0" w:space="0" w:color="auto"/>
      </w:divBdr>
    </w:div>
    <w:div w:id="1075905272">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79900804">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4050-56D3-4FA7-944E-A3B364DF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4347</Words>
  <Characters>23911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U006-v1.1-PT-FRA.docx</vt:lpstr>
    </vt:vector>
  </TitlesOfParts>
  <Company/>
  <LinksUpToDate>false</LinksUpToDate>
  <CharactersWithSpaces>28202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U006-v1.1-PT-FRA.docx</dc:title>
  <dc:creator>FLUFFY</dc:creator>
  <cp:lastModifiedBy>Kim, Dain</cp:lastModifiedBy>
  <cp:revision>197</cp:revision>
  <cp:lastPrinted>2014-07-03T13:02:00Z</cp:lastPrinted>
  <dcterms:created xsi:type="dcterms:W3CDTF">2015-09-23T08:02:00Z</dcterms:created>
  <dcterms:modified xsi:type="dcterms:W3CDTF">2018-04-20T13:45:00Z</dcterms:modified>
</cp:coreProperties>
</file>