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3E" w:rsidRPr="00B41FAD" w:rsidRDefault="00813717" w:rsidP="00406030">
      <w:pPr>
        <w:pStyle w:val="Chapitre"/>
        <w:rPr>
          <w:sz w:val="142"/>
        </w:rPr>
      </w:pPr>
      <w:bookmarkStart w:id="0" w:name="_Toc301443346"/>
      <w:bookmarkStart w:id="1" w:name="_Toc354486613"/>
      <w:bookmarkStart w:id="2" w:name="_Toc354486919"/>
      <w:bookmarkStart w:id="3" w:name="_Toc247360190"/>
      <w:bookmarkStart w:id="4" w:name="_GoBack"/>
      <w:bookmarkEnd w:id="4"/>
      <w:r w:rsidRPr="00B41FAD">
        <w:t xml:space="preserve">UnitÉ </w:t>
      </w:r>
      <w:r w:rsidR="00235024" w:rsidRPr="00B41FAD">
        <w:t>6</w:t>
      </w:r>
    </w:p>
    <w:p w:rsidR="00601945" w:rsidRPr="00E2699C" w:rsidRDefault="00C10A1F" w:rsidP="009121FA">
      <w:pPr>
        <w:pStyle w:val="UPlan"/>
        <w:rPr>
          <w:lang w:val="fr-FR"/>
        </w:rPr>
      </w:pPr>
      <w:bookmarkStart w:id="5" w:name="_Toc238963204"/>
      <w:bookmarkStart w:id="6" w:name="_Toc241065090"/>
      <w:r w:rsidRPr="00E2699C">
        <w:rPr>
          <w:lang w:val="fr-FR"/>
        </w:rPr>
        <w:t>Identification et inventaire</w:t>
      </w:r>
      <w:bookmarkEnd w:id="0"/>
      <w:bookmarkEnd w:id="1"/>
      <w:bookmarkEnd w:id="2"/>
      <w:bookmarkEnd w:id="3"/>
      <w:bookmarkEnd w:id="5"/>
      <w:bookmarkEnd w:id="6"/>
      <w:r w:rsidR="00476EE5" w:rsidRPr="00E2699C">
        <w:rPr>
          <w:lang w:val="fr-FR"/>
        </w:rPr>
        <w:t>s</w:t>
      </w:r>
    </w:p>
    <w:p w:rsidR="004325DC" w:rsidRPr="00B41FAD" w:rsidRDefault="00601945" w:rsidP="009121FA">
      <w:pPr>
        <w:pStyle w:val="Titcoul"/>
        <w:rPr>
          <w:color w:val="auto"/>
        </w:rPr>
      </w:pPr>
      <w:r w:rsidRPr="00B41FAD">
        <w:t>texte du participant</w:t>
      </w:r>
    </w:p>
    <w:p w:rsidR="004325DC" w:rsidRPr="00B41FAD" w:rsidRDefault="00201A74" w:rsidP="00601945">
      <w:pPr>
        <w:pStyle w:val="Sschap"/>
      </w:pPr>
      <w:r w:rsidRPr="00B41FAD">
        <w:t>Cette</w:t>
      </w:r>
      <w:r w:rsidR="008D60AA" w:rsidRPr="00B41FAD">
        <w:rPr>
          <w:rFonts w:hint="eastAsia"/>
        </w:rPr>
        <w:t xml:space="preserve"> </w:t>
      </w:r>
      <w:r w:rsidR="00074FFC" w:rsidRPr="00B41FAD">
        <w:rPr>
          <w:rFonts w:hint="eastAsia"/>
        </w:rPr>
        <w:t>unit</w:t>
      </w:r>
      <w:r w:rsidR="00074FFC" w:rsidRPr="00B41FAD">
        <w:t>é</w:t>
      </w:r>
      <w:r w:rsidR="00074FFC" w:rsidRPr="00B41FAD">
        <w:rPr>
          <w:rFonts w:hint="eastAsia"/>
        </w:rPr>
        <w:t xml:space="preserve"> </w:t>
      </w:r>
      <w:r w:rsidR="00C10A1F" w:rsidRPr="00B41FAD">
        <w:rPr>
          <w:rFonts w:hint="eastAsia"/>
        </w:rPr>
        <w:t>porte sur l</w:t>
      </w:r>
      <w:r w:rsidRPr="00B41FAD">
        <w:t>e devoir d</w:t>
      </w:r>
      <w:r w:rsidR="00A61E6D" w:rsidRPr="00B41FAD">
        <w:t>’</w:t>
      </w:r>
      <w:r w:rsidR="00C10A1F" w:rsidRPr="00B41FAD">
        <w:rPr>
          <w:rFonts w:hint="eastAsia"/>
        </w:rPr>
        <w:t>identifi</w:t>
      </w:r>
      <w:r w:rsidRPr="00B41FAD">
        <w:t>er</w:t>
      </w:r>
      <w:r w:rsidR="00C10A1F" w:rsidRPr="00B41FAD">
        <w:rPr>
          <w:rFonts w:hint="eastAsia"/>
        </w:rPr>
        <w:t xml:space="preserve"> et </w:t>
      </w:r>
      <w:r w:rsidRPr="00B41FAD">
        <w:t>d’</w:t>
      </w:r>
      <w:r w:rsidR="00C10A1F" w:rsidRPr="00B41FAD">
        <w:rPr>
          <w:rFonts w:hint="eastAsia"/>
        </w:rPr>
        <w:t>invent</w:t>
      </w:r>
      <w:r w:rsidRPr="00B41FAD">
        <w:t>orier les éléments du</w:t>
      </w:r>
      <w:r w:rsidR="00C10A1F" w:rsidRPr="00B41FAD">
        <w:rPr>
          <w:rFonts w:hint="eastAsia"/>
        </w:rPr>
        <w:t xml:space="preserve"> </w:t>
      </w:r>
      <w:r w:rsidR="004C0123" w:rsidRPr="00B41FAD">
        <w:t>patrimoine culturel immatériel (PCI</w:t>
      </w:r>
      <w:proofErr w:type="gramStart"/>
      <w:r w:rsidR="004C0123" w:rsidRPr="00B41FAD">
        <w:t>)</w:t>
      </w:r>
      <w:r w:rsidR="00D65E8C" w:rsidRPr="00B41FAD">
        <w:rPr>
          <w:rFonts w:hint="eastAsia"/>
        </w:rPr>
        <w:t>–</w:t>
      </w:r>
      <w:proofErr w:type="gramEnd"/>
      <w:r w:rsidR="00E8363A" w:rsidRPr="00B41FAD">
        <w:t>l’</w:t>
      </w:r>
      <w:r w:rsidR="00C10A1F" w:rsidRPr="00B41FAD">
        <w:rPr>
          <w:rFonts w:hint="eastAsia"/>
        </w:rPr>
        <w:t xml:space="preserve">une des obligations des États parties </w:t>
      </w:r>
      <w:r w:rsidR="00D65CA4" w:rsidRPr="00B41FAD">
        <w:t>à</w:t>
      </w:r>
      <w:r w:rsidR="00074FFC" w:rsidRPr="00B41FAD">
        <w:rPr>
          <w:rFonts w:hint="eastAsia"/>
        </w:rPr>
        <w:t xml:space="preserve"> </w:t>
      </w:r>
      <w:r w:rsidR="00C10A1F" w:rsidRPr="00B41FAD">
        <w:rPr>
          <w:rFonts w:hint="eastAsia"/>
        </w:rPr>
        <w:t xml:space="preserve">la </w:t>
      </w:r>
      <w:r w:rsidR="004C0123" w:rsidRPr="00B41FAD">
        <w:t>Convention pour la sauvegarde du patrimoine culturel immatériel</w:t>
      </w:r>
      <w:r w:rsidR="004C0123" w:rsidRPr="00B41FAD">
        <w:rPr>
          <w:rStyle w:val="FootnoteReference"/>
          <w:bCs w:val="0"/>
          <w:sz w:val="24"/>
        </w:rPr>
        <w:footnoteReference w:id="1"/>
      </w:r>
      <w:r w:rsidR="00C10A1F" w:rsidRPr="00B41FAD">
        <w:rPr>
          <w:rFonts w:hint="eastAsia"/>
        </w:rPr>
        <w:t xml:space="preserve">. </w:t>
      </w:r>
      <w:r w:rsidR="00C10A1F" w:rsidRPr="00B41FAD">
        <w:t xml:space="preserve">Les sujets </w:t>
      </w:r>
      <w:r w:rsidRPr="00B41FAD">
        <w:t>couvert</w:t>
      </w:r>
      <w:r w:rsidR="00C10A1F" w:rsidRPr="00B41FAD">
        <w:t>s sont</w:t>
      </w:r>
      <w:r w:rsidR="00D65CA4" w:rsidRPr="00B41FAD">
        <w:t xml:space="preserve"> les suivants</w:t>
      </w:r>
      <w:r w:rsidR="00C10A1F" w:rsidRPr="00B41FAD">
        <w:t> </w:t>
      </w:r>
      <w:r w:rsidR="00EA1FE1" w:rsidRPr="00B41FAD">
        <w:t>:</w:t>
      </w:r>
      <w:r w:rsidR="00235024" w:rsidRPr="00B41FAD">
        <w:rPr>
          <w:rFonts w:hint="eastAsia"/>
          <w:noProof/>
          <w:lang w:val="es-ES_tradnl" w:eastAsia="es-ES_tradnl"/>
        </w:rPr>
        <w:drawing>
          <wp:anchor distT="0" distB="0" distL="114300" distR="114300" simplePos="0" relativeHeight="251842048" behindDoc="1" locked="1" layoutInCell="1" allowOverlap="0" wp14:anchorId="6381B361" wp14:editId="01CB6B6E">
            <wp:simplePos x="0" y="0"/>
            <wp:positionH relativeFrom="margin">
              <wp:posOffset>656590</wp:posOffset>
            </wp:positionH>
            <wp:positionV relativeFrom="margin">
              <wp:posOffset>2152650</wp:posOffset>
            </wp:positionV>
            <wp:extent cx="4869815" cy="4497705"/>
            <wp:effectExtent l="0" t="0" r="6985" b="0"/>
            <wp:wrapNone/>
            <wp:docPr id="235" name="Imag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H.jpg"/>
                    <pic:cNvPicPr/>
                  </pic:nvPicPr>
                  <pic:blipFill>
                    <a:blip r:embed="rId9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449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5DC" w:rsidRPr="00B41FAD" w:rsidRDefault="00A81184" w:rsidP="00150FFB">
      <w:pPr>
        <w:pStyle w:val="Txtchap"/>
      </w:pPr>
      <w:r w:rsidRPr="00B41FAD">
        <w:t xml:space="preserve">Les </w:t>
      </w:r>
      <w:r w:rsidR="00C10A1F" w:rsidRPr="00B41FAD">
        <w:t>obligations des États parties concernant l</w:t>
      </w:r>
      <w:r w:rsidR="00A61E6D" w:rsidRPr="00B41FAD">
        <w:t>’</w:t>
      </w:r>
      <w:r w:rsidR="00C10A1F" w:rsidRPr="00B41FAD">
        <w:t>identification et l</w:t>
      </w:r>
      <w:r w:rsidR="00E8363A" w:rsidRPr="00B41FAD">
        <w:t xml:space="preserve">es </w:t>
      </w:r>
      <w:r w:rsidR="00C10A1F" w:rsidRPr="00B41FAD">
        <w:t>inventaire</w:t>
      </w:r>
      <w:r w:rsidR="00DD501A" w:rsidRPr="00B41FAD">
        <w:t>s</w:t>
      </w:r>
      <w:r w:rsidR="00C10A1F" w:rsidRPr="00B41FAD">
        <w:t xml:space="preserve"> du PCI présent sur leur territoire</w:t>
      </w:r>
      <w:r w:rsidRPr="00B41FAD">
        <w:t>.</w:t>
      </w:r>
    </w:p>
    <w:p w:rsidR="004325DC" w:rsidRPr="00B41FAD" w:rsidRDefault="00A81184" w:rsidP="00150FFB">
      <w:pPr>
        <w:pStyle w:val="Txtchap"/>
      </w:pPr>
      <w:r w:rsidRPr="00B41FAD">
        <w:t xml:space="preserve">Le </w:t>
      </w:r>
      <w:r w:rsidR="00C10A1F" w:rsidRPr="00B41FAD">
        <w:t>but et les effets du travail d</w:t>
      </w:r>
      <w:r w:rsidR="00A61E6D" w:rsidRPr="00B41FAD">
        <w:t>’</w:t>
      </w:r>
      <w:r w:rsidR="00C10A1F" w:rsidRPr="00B41FAD">
        <w:t>inventaire du PCI</w:t>
      </w:r>
      <w:r w:rsidRPr="00B41FAD">
        <w:t>.</w:t>
      </w:r>
    </w:p>
    <w:p w:rsidR="004325DC" w:rsidRPr="00B41FAD" w:rsidRDefault="00DA4134" w:rsidP="00150FFB">
      <w:pPr>
        <w:pStyle w:val="Txtchap"/>
      </w:pPr>
      <w:r w:rsidRPr="00B41FAD">
        <w:t>La marge de manœuvre et les restrictions</w:t>
      </w:r>
      <w:r w:rsidR="00A81184" w:rsidRPr="00B41FAD">
        <w:t>.</w:t>
      </w:r>
    </w:p>
    <w:p w:rsidR="004325DC" w:rsidRPr="00B41FAD" w:rsidRDefault="00A81184" w:rsidP="00150FFB">
      <w:pPr>
        <w:pStyle w:val="Txtchap"/>
      </w:pPr>
      <w:r w:rsidRPr="00B41FAD">
        <w:t xml:space="preserve">Les </w:t>
      </w:r>
      <w:r w:rsidR="00C10A1F" w:rsidRPr="00B41FAD">
        <w:t xml:space="preserve">critères </w:t>
      </w:r>
      <w:r w:rsidR="00DA4134" w:rsidRPr="00B41FAD">
        <w:t>d</w:t>
      </w:r>
      <w:r w:rsidR="00A61E6D" w:rsidRPr="00B41FAD">
        <w:t>’</w:t>
      </w:r>
      <w:r w:rsidR="00C10A1F" w:rsidRPr="00B41FAD">
        <w:t>inclu</w:t>
      </w:r>
      <w:r w:rsidR="00DA4134" w:rsidRPr="00B41FAD">
        <w:t>sion d’</w:t>
      </w:r>
      <w:r w:rsidR="00C10A1F" w:rsidRPr="00B41FAD">
        <w:t>un élément du PCI dans un inventaire</w:t>
      </w:r>
      <w:r w:rsidRPr="00B41FAD">
        <w:t>.</w:t>
      </w:r>
    </w:p>
    <w:p w:rsidR="004325DC" w:rsidRPr="00B41FAD" w:rsidRDefault="00A81184" w:rsidP="00150FFB">
      <w:pPr>
        <w:pStyle w:val="Txtchap"/>
      </w:pPr>
      <w:r w:rsidRPr="00B41FAD">
        <w:t>L</w:t>
      </w:r>
      <w:r w:rsidR="00A61E6D" w:rsidRPr="00B41FAD">
        <w:t>’</w:t>
      </w:r>
      <w:r w:rsidRPr="00B41FAD">
        <w:t xml:space="preserve">accès </w:t>
      </w:r>
      <w:r w:rsidR="00DA4134" w:rsidRPr="00B41FAD">
        <w:t xml:space="preserve">aux </w:t>
      </w:r>
      <w:r w:rsidR="00C10A1F" w:rsidRPr="00B41FAD">
        <w:t>information</w:t>
      </w:r>
      <w:r w:rsidR="00DA4134" w:rsidRPr="00B41FAD">
        <w:t>s</w:t>
      </w:r>
      <w:r w:rsidR="00C10A1F" w:rsidRPr="00B41FAD">
        <w:t xml:space="preserve"> sur les éléments inventoriés</w:t>
      </w:r>
      <w:r w:rsidRPr="00B41FAD">
        <w:t>.</w:t>
      </w:r>
    </w:p>
    <w:p w:rsidR="004325DC" w:rsidRPr="00B41FAD" w:rsidRDefault="00A81184" w:rsidP="00150FFB">
      <w:pPr>
        <w:pStyle w:val="Txtchap"/>
      </w:pPr>
      <w:r w:rsidRPr="00B41FAD">
        <w:t>L</w:t>
      </w:r>
      <w:r w:rsidR="00C10A1F" w:rsidRPr="00B41FAD">
        <w:t>a planification d</w:t>
      </w:r>
      <w:r w:rsidR="00A61E6D" w:rsidRPr="00B41FAD">
        <w:t>’</w:t>
      </w:r>
      <w:r w:rsidR="00C10A1F" w:rsidRPr="00B41FAD">
        <w:t>un projet d</w:t>
      </w:r>
      <w:r w:rsidR="00A61E6D" w:rsidRPr="00B41FAD">
        <w:t>’</w:t>
      </w:r>
      <w:r w:rsidR="00C10A1F" w:rsidRPr="00B41FAD">
        <w:t>inventaire.</w:t>
      </w:r>
    </w:p>
    <w:p w:rsidR="004325DC" w:rsidRPr="00B41FAD" w:rsidRDefault="00C10A1F" w:rsidP="00795FF0">
      <w:pPr>
        <w:pStyle w:val="Chapinfo"/>
      </w:pPr>
      <w:r w:rsidRPr="00B41FAD">
        <w:t xml:space="preserve">Rubriques </w:t>
      </w:r>
      <w:r w:rsidR="00D65CA4" w:rsidRPr="00B41FAD">
        <w:t>intéressant</w:t>
      </w:r>
      <w:r w:rsidRPr="00B41FAD">
        <w:t xml:space="preserve">es </w:t>
      </w:r>
      <w:r w:rsidR="00D65CA4" w:rsidRPr="00B41FAD">
        <w:t>à con</w:t>
      </w:r>
      <w:r w:rsidR="00C45110" w:rsidRPr="00B41FAD">
        <w:t>s</w:t>
      </w:r>
      <w:r w:rsidR="00D65CA4" w:rsidRPr="00B41FAD">
        <w:t>ulter</w:t>
      </w:r>
      <w:r w:rsidR="00C45110" w:rsidRPr="00B41FAD">
        <w:t xml:space="preserve"> </w:t>
      </w:r>
      <w:r w:rsidR="0049447F" w:rsidRPr="00B41FAD">
        <w:t>dans le</w:t>
      </w:r>
      <w:r w:rsidR="00235024" w:rsidRPr="00B41FAD">
        <w:t xml:space="preserve"> </w:t>
      </w:r>
      <w:r w:rsidR="00646D3D" w:rsidRPr="00B41FAD">
        <w:t>Texte du participant</w:t>
      </w:r>
      <w:r w:rsidR="00F75E9C" w:rsidRPr="00B41FAD">
        <w:t xml:space="preserve"> de l’</w:t>
      </w:r>
      <w:r w:rsidR="00235024" w:rsidRPr="00B41FAD">
        <w:t>Unité 3 </w:t>
      </w:r>
      <w:r w:rsidR="00EA1FE1" w:rsidRPr="00B41FAD">
        <w:t>:</w:t>
      </w:r>
      <w:r w:rsidR="00043DFF" w:rsidRPr="00B41FAD">
        <w:t xml:space="preserve"> « </w:t>
      </w:r>
      <w:r w:rsidRPr="00B41FAD">
        <w:t>Éléments du PCI</w:t>
      </w:r>
      <w:r w:rsidR="00461004" w:rsidRPr="00B41FAD">
        <w:t xml:space="preserve"> », </w:t>
      </w:r>
      <w:r w:rsidR="00043DFF" w:rsidRPr="00B41FAD">
        <w:t>« </w:t>
      </w:r>
      <w:r w:rsidRPr="00B41FAD">
        <w:t>Identification et définition</w:t>
      </w:r>
      <w:r w:rsidR="00043DFF" w:rsidRPr="00B41FAD">
        <w:t> »</w:t>
      </w:r>
      <w:r w:rsidR="00D915D7" w:rsidRPr="00B41FAD">
        <w:t xml:space="preserve"> </w:t>
      </w:r>
      <w:r w:rsidRPr="00B41FAD">
        <w:t>et</w:t>
      </w:r>
      <w:r w:rsidR="00043DFF" w:rsidRPr="00B41FAD">
        <w:t xml:space="preserve"> « </w:t>
      </w:r>
      <w:r w:rsidR="00C27728" w:rsidRPr="00B41FAD">
        <w:t>I</w:t>
      </w:r>
      <w:r w:rsidRPr="00B41FAD">
        <w:t>nventaire</w:t>
      </w:r>
      <w:r w:rsidR="00DD501A" w:rsidRPr="00B41FAD">
        <w:t>s</w:t>
      </w:r>
      <w:r w:rsidR="00461004" w:rsidRPr="00B41FAD">
        <w:t> ».</w:t>
      </w:r>
    </w:p>
    <w:p w:rsidR="004325DC" w:rsidRPr="00B41FAD" w:rsidRDefault="00314CEF" w:rsidP="00795FF0">
      <w:pPr>
        <w:pStyle w:val="Chapinfo"/>
      </w:pPr>
      <w:r w:rsidRPr="00B41FAD">
        <w:t xml:space="preserve">On </w:t>
      </w:r>
      <w:r w:rsidR="006E3C67" w:rsidRPr="00B41FAD">
        <w:t>trouve ici</w:t>
      </w:r>
      <w:r w:rsidR="00C45110" w:rsidRPr="00B41FAD">
        <w:t xml:space="preserve"> u</w:t>
      </w:r>
      <w:r w:rsidR="00C10A1F" w:rsidRPr="00B41FAD">
        <w:t>n questionnaire d</w:t>
      </w:r>
      <w:r w:rsidR="00A61E6D" w:rsidRPr="00B41FAD">
        <w:t>’</w:t>
      </w:r>
      <w:r w:rsidR="00C10A1F" w:rsidRPr="00B41FAD">
        <w:t>inventaire</w:t>
      </w:r>
      <w:r w:rsidR="00081811" w:rsidRPr="00B41FAD">
        <w:t xml:space="preserve"> </w:t>
      </w:r>
      <w:r w:rsidR="0049447F" w:rsidRPr="00B41FAD">
        <w:t>type</w:t>
      </w:r>
      <w:r w:rsidR="00386CF6" w:rsidRPr="00B41FAD">
        <w:t xml:space="preserve"> </w:t>
      </w:r>
      <w:r w:rsidR="00081811" w:rsidRPr="00B41FAD">
        <w:t>sous</w:t>
      </w:r>
      <w:r w:rsidR="00795FF0" w:rsidRPr="00B41FAD">
        <w:t xml:space="preserve"> </w:t>
      </w:r>
      <w:r w:rsidR="00307D34" w:rsidRPr="00B41FAD">
        <w:t>forme d</w:t>
      </w:r>
      <w:r w:rsidR="00A61E6D" w:rsidRPr="00B41FAD">
        <w:t>’</w:t>
      </w:r>
      <w:r w:rsidR="00081811" w:rsidRPr="00B41FAD">
        <w:t>I</w:t>
      </w:r>
      <w:r w:rsidR="00307D34" w:rsidRPr="00B41FAD">
        <w:t>mprimé</w:t>
      </w:r>
      <w:r w:rsidR="00795FF0" w:rsidRPr="00B41FAD">
        <w:t>.</w:t>
      </w:r>
      <w:r w:rsidR="00307D34" w:rsidRPr="00B41FAD">
        <w:t xml:space="preserve"> </w:t>
      </w:r>
    </w:p>
    <w:p w:rsidR="00347851" w:rsidRPr="00B41FAD" w:rsidRDefault="00081811" w:rsidP="00795FF0">
      <w:pPr>
        <w:pStyle w:val="Chapinfo"/>
      </w:pPr>
      <w:r w:rsidRPr="00B41FAD">
        <w:t>Des e</w:t>
      </w:r>
      <w:r w:rsidR="006E3C67" w:rsidRPr="00B41FAD">
        <w:t>xemples illustrent</w:t>
      </w:r>
      <w:r w:rsidR="00C10A1F" w:rsidRPr="00B41FAD">
        <w:t xml:space="preserve"> </w:t>
      </w:r>
      <w:r w:rsidRPr="00B41FAD">
        <w:t>la présen</w:t>
      </w:r>
      <w:r w:rsidR="008D5B4A" w:rsidRPr="00B41FAD">
        <w:t>te unité</w:t>
      </w:r>
      <w:r w:rsidRPr="00B41FAD">
        <w:t xml:space="preserve"> </w:t>
      </w:r>
      <w:r w:rsidR="00C10A1F" w:rsidRPr="00B41FAD">
        <w:t>dans</w:t>
      </w:r>
      <w:r w:rsidR="00235024" w:rsidRPr="00B41FAD">
        <w:t xml:space="preserve"> les</w:t>
      </w:r>
      <w:r w:rsidR="00C10A1F" w:rsidRPr="00B41FAD">
        <w:t xml:space="preserve"> </w:t>
      </w:r>
      <w:r w:rsidR="00D65E8C" w:rsidRPr="00B41FAD">
        <w:t xml:space="preserve">Études </w:t>
      </w:r>
      <w:r w:rsidR="00C10A1F" w:rsidRPr="00B41FAD">
        <w:t>de cas</w:t>
      </w:r>
      <w:r w:rsidR="00235024" w:rsidRPr="00B41FAD">
        <w:t> </w:t>
      </w:r>
      <w:r w:rsidR="00C10A1F" w:rsidRPr="00B41FAD">
        <w:t>5</w:t>
      </w:r>
      <w:r w:rsidRPr="00B41FAD">
        <w:t>-</w:t>
      </w:r>
      <w:r w:rsidR="00C10A1F" w:rsidRPr="00B41FAD">
        <w:t>8.</w:t>
      </w:r>
    </w:p>
    <w:p w:rsidR="00347851" w:rsidRPr="00B41FAD" w:rsidRDefault="00347851">
      <w:pPr>
        <w:keepNext w:val="0"/>
        <w:tabs>
          <w:tab w:val="clear" w:pos="567"/>
        </w:tabs>
        <w:snapToGrid/>
        <w:spacing w:line="240" w:lineRule="auto"/>
        <w:ind w:left="0"/>
        <w:jc w:val="left"/>
        <w:rPr>
          <w:i/>
          <w:iCs/>
          <w:color w:val="3366FF"/>
          <w:sz w:val="24"/>
          <w:szCs w:val="24"/>
        </w:rPr>
      </w:pPr>
      <w:r w:rsidRPr="00B41FAD">
        <w:br w:type="page"/>
      </w:r>
    </w:p>
    <w:p w:rsidR="004325DC" w:rsidRPr="00B41FAD" w:rsidRDefault="00235024" w:rsidP="004A78E2">
      <w:pPr>
        <w:pStyle w:val="Titcoul"/>
        <w:spacing w:before="0"/>
      </w:pPr>
      <w:bookmarkStart w:id="7" w:name="_Toc238963205"/>
      <w:bookmarkStart w:id="8" w:name="_Toc241065091"/>
      <w:bookmarkStart w:id="9" w:name="_Toc301443347"/>
      <w:bookmarkStart w:id="10" w:name="_Toc321406990"/>
      <w:bookmarkStart w:id="11" w:name="_Toc354486614"/>
      <w:bookmarkStart w:id="12" w:name="_Toc354486920"/>
      <w:bookmarkStart w:id="13" w:name="_Toc247360191"/>
      <w:r w:rsidRPr="00B41FAD">
        <w:lastRenderedPageBreak/>
        <w:t>6</w:t>
      </w:r>
      <w:r w:rsidR="00C10A1F" w:rsidRPr="00B41FAD">
        <w:t>.1</w:t>
      </w:r>
      <w:bookmarkEnd w:id="7"/>
      <w:bookmarkEnd w:id="8"/>
      <w:r w:rsidR="009270A5" w:rsidRPr="00B41FAD">
        <w:tab/>
      </w:r>
      <w:bookmarkStart w:id="14" w:name="_Toc238963206"/>
      <w:bookmarkStart w:id="15" w:name="_Toc241065092"/>
      <w:r w:rsidR="00C10A1F" w:rsidRPr="00B41FAD">
        <w:t xml:space="preserve">Identification et </w:t>
      </w:r>
      <w:r w:rsidR="00AE482C" w:rsidRPr="00B41FAD">
        <w:t>inventaire</w:t>
      </w:r>
      <w:r w:rsidR="00393E53" w:rsidRPr="00B41FAD">
        <w:t>s</w:t>
      </w:r>
      <w:r w:rsidR="00EA1FE1" w:rsidRPr="00B41FAD">
        <w:t> :</w:t>
      </w:r>
      <w:r w:rsidR="00C10A1F" w:rsidRPr="00B41FAD">
        <w:t xml:space="preserve"> obligations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4325DC" w:rsidRPr="00B41FAD" w:rsidRDefault="000A5422" w:rsidP="00914287">
      <w:pPr>
        <w:pStyle w:val="Texte1"/>
      </w:pPr>
      <w:r w:rsidRPr="00B41FAD">
        <w:t>Il appartient à c</w:t>
      </w:r>
      <w:r w:rsidR="00C10A1F" w:rsidRPr="00B41FAD">
        <w:t>haque État partie d</w:t>
      </w:r>
      <w:r w:rsidRPr="00B41FAD">
        <w:t>e</w:t>
      </w:r>
      <w:r w:rsidR="00C10A1F" w:rsidRPr="00B41FAD">
        <w:t xml:space="preserve"> dresser</w:t>
      </w:r>
      <w:r w:rsidR="00043DFF" w:rsidRPr="00B41FAD">
        <w:t xml:space="preserve"> « </w:t>
      </w:r>
      <w:r w:rsidR="00C10A1F" w:rsidRPr="00B41FAD">
        <w:t>de façon adaptée à sa situation, un ou plusieurs inventaires du patrimoine culturel immatériel présent sur son territoire</w:t>
      </w:r>
      <w:r w:rsidR="00043DFF" w:rsidRPr="00B41FAD">
        <w:t xml:space="preserve"> » </w:t>
      </w:r>
      <w:r w:rsidR="00C10A1F" w:rsidRPr="00B41FAD">
        <w:t>(</w:t>
      </w:r>
      <w:r w:rsidR="00043DFF" w:rsidRPr="00B41FAD">
        <w:t>article </w:t>
      </w:r>
      <w:r w:rsidR="00C10A1F" w:rsidRPr="00B41FAD">
        <w:t xml:space="preserve">12), </w:t>
      </w:r>
      <w:r w:rsidRPr="00B41FAD">
        <w:t>et</w:t>
      </w:r>
      <w:r w:rsidR="00E84E8D" w:rsidRPr="00B41FAD">
        <w:t xml:space="preserve"> </w:t>
      </w:r>
      <w:r w:rsidRPr="00B41FAD">
        <w:t>d’</w:t>
      </w:r>
      <w:r w:rsidR="00E84E8D" w:rsidRPr="00B41FAD">
        <w:t>identifi</w:t>
      </w:r>
      <w:r w:rsidRPr="00B41FAD">
        <w:t>er</w:t>
      </w:r>
      <w:r w:rsidR="00C10A1F" w:rsidRPr="00B41FAD">
        <w:t xml:space="preserve"> les éléments concernés</w:t>
      </w:r>
      <w:r w:rsidR="00043DFF" w:rsidRPr="00B41FAD">
        <w:t xml:space="preserve"> « </w:t>
      </w:r>
      <w:r w:rsidR="00C10A1F" w:rsidRPr="00B41FAD">
        <w:t>avec la participation des communautés, des groupes et des organisations non gouvernementales pertinentes</w:t>
      </w:r>
      <w:r w:rsidR="00043DFF" w:rsidRPr="00B41FAD">
        <w:t xml:space="preserve"> » </w:t>
      </w:r>
      <w:r w:rsidR="00C10A1F" w:rsidRPr="00B41FAD">
        <w:t>(</w:t>
      </w:r>
      <w:r w:rsidR="00043DFF" w:rsidRPr="00B41FAD">
        <w:t>article </w:t>
      </w:r>
      <w:r w:rsidR="00C10A1F" w:rsidRPr="00B41FAD">
        <w:t>11(b)).</w:t>
      </w:r>
    </w:p>
    <w:p w:rsidR="004325DC" w:rsidRPr="00B41FAD" w:rsidRDefault="00C10A1F" w:rsidP="00914287">
      <w:pPr>
        <w:pStyle w:val="Texte1"/>
      </w:pPr>
      <w:r w:rsidRPr="00B41FAD">
        <w:t>La préparation d</w:t>
      </w:r>
      <w:r w:rsidR="00A61E6D" w:rsidRPr="00B41FAD">
        <w:t>’</w:t>
      </w:r>
      <w:r w:rsidRPr="00B41FAD">
        <w:t>inventaire</w:t>
      </w:r>
      <w:r w:rsidR="00DD501A" w:rsidRPr="00B41FAD">
        <w:t>s</w:t>
      </w:r>
      <w:r w:rsidRPr="00B41FAD">
        <w:t xml:space="preserve"> est une responsabilité des États parties </w:t>
      </w:r>
      <w:r w:rsidR="000A5422" w:rsidRPr="00B41FAD">
        <w:t>à</w:t>
      </w:r>
      <w:r w:rsidRPr="00B41FAD">
        <w:t xml:space="preserve"> la Convention, </w:t>
      </w:r>
      <w:r w:rsidR="000A5422" w:rsidRPr="00B41FAD">
        <w:t>ce qui</w:t>
      </w:r>
      <w:r w:rsidRPr="00B41FAD">
        <w:t xml:space="preserve"> ne veut pas dire </w:t>
      </w:r>
      <w:r w:rsidR="000A5422" w:rsidRPr="00B41FAD">
        <w:t xml:space="preserve">pour autant </w:t>
      </w:r>
      <w:r w:rsidRPr="00B41FAD">
        <w:t>que ce sont forcément le</w:t>
      </w:r>
      <w:r w:rsidR="00090CE0" w:rsidRPr="00B41FAD">
        <w:t>s agences gouvernementales qui l’assument</w:t>
      </w:r>
      <w:r w:rsidRPr="00B41FAD">
        <w:t>. Certains processus d</w:t>
      </w:r>
      <w:r w:rsidR="00A61E6D" w:rsidRPr="00B41FAD">
        <w:t>’</w:t>
      </w:r>
      <w:r w:rsidRPr="00B41FAD">
        <w:t>inventaire sont menés par les communautés concernées, d</w:t>
      </w:r>
      <w:r w:rsidR="00A61E6D" w:rsidRPr="00B41FAD">
        <w:t>’</w:t>
      </w:r>
      <w:r w:rsidR="00090CE0" w:rsidRPr="00B41FAD">
        <w:t>autres</w:t>
      </w:r>
      <w:r w:rsidR="0070592E" w:rsidRPr="00B41FAD">
        <w:t xml:space="preserve"> </w:t>
      </w:r>
      <w:r w:rsidRPr="00B41FAD">
        <w:t xml:space="preserve">par diverses </w:t>
      </w:r>
      <w:r w:rsidR="000A5422" w:rsidRPr="00B41FAD">
        <w:t>instan</w:t>
      </w:r>
      <w:r w:rsidRPr="00B41FAD">
        <w:t xml:space="preserve">ces, mais dans tous les cas, </w:t>
      </w:r>
      <w:r w:rsidR="00314A84" w:rsidRPr="00B41FAD">
        <w:t>comme le dispose</w:t>
      </w:r>
      <w:r w:rsidR="00AE482C" w:rsidRPr="00B41FAD">
        <w:t xml:space="preserve"> la Convention (voir articles 11(b) et 15),</w:t>
      </w:r>
      <w:r w:rsidR="00314A84" w:rsidRPr="00B41FAD">
        <w:t xml:space="preserve"> il convient de dresser</w:t>
      </w:r>
      <w:r w:rsidR="00AE482C" w:rsidRPr="00B41FAD">
        <w:t xml:space="preserve"> </w:t>
      </w:r>
      <w:r w:rsidRPr="00B41FAD">
        <w:t>les inventaires avec la participation et le consentement des communautés</w:t>
      </w:r>
      <w:r w:rsidR="00447076" w:rsidRPr="00B41FAD">
        <w:t xml:space="preserve">. </w:t>
      </w:r>
      <w:r w:rsidRPr="00B41FAD">
        <w:t xml:space="preserve">Les inventaires </w:t>
      </w:r>
      <w:r w:rsidR="00314A84" w:rsidRPr="00B41FAD">
        <w:t>compil</w:t>
      </w:r>
      <w:r w:rsidRPr="00B41FAD">
        <w:t xml:space="preserve">és sans </w:t>
      </w:r>
      <w:r w:rsidR="00314A84" w:rsidRPr="00B41FAD">
        <w:t>l’</w:t>
      </w:r>
      <w:r w:rsidRPr="00B41FAD">
        <w:t>intervention de l</w:t>
      </w:r>
      <w:r w:rsidR="00A61E6D" w:rsidRPr="00B41FAD">
        <w:t>’</w:t>
      </w:r>
      <w:r w:rsidRPr="00B41FAD">
        <w:t>État doivent être acceptés par l</w:t>
      </w:r>
      <w:r w:rsidR="00A61E6D" w:rsidRPr="00B41FAD">
        <w:t>’</w:t>
      </w:r>
      <w:r w:rsidRPr="00B41FAD">
        <w:t>État partie afin d</w:t>
      </w:r>
      <w:r w:rsidR="00A61E6D" w:rsidRPr="00B41FAD">
        <w:t>’</w:t>
      </w:r>
      <w:r w:rsidRPr="00B41FAD">
        <w:t>être reconnus en tant qu</w:t>
      </w:r>
      <w:r w:rsidR="00393E50" w:rsidRPr="00B41FAD">
        <w:t>e tels</w:t>
      </w:r>
      <w:r w:rsidRPr="00B41FAD">
        <w:t xml:space="preserve"> au titre de la Convention. </w:t>
      </w:r>
      <w:r w:rsidR="00E701AD" w:rsidRPr="00B41FAD">
        <w:t>Comme indiqué explicitement à l</w:t>
      </w:r>
      <w:r w:rsidR="00A61E6D" w:rsidRPr="00B41FAD">
        <w:t>’</w:t>
      </w:r>
      <w:r w:rsidR="00043DFF" w:rsidRPr="00B41FAD">
        <w:t>article </w:t>
      </w:r>
      <w:r w:rsidRPr="00B41FAD">
        <w:t>20 de la Convention</w:t>
      </w:r>
      <w:r w:rsidR="00E701AD" w:rsidRPr="00B41FAD">
        <w:t>,</w:t>
      </w:r>
      <w:r w:rsidRPr="00B41FAD">
        <w:t xml:space="preserve"> l</w:t>
      </w:r>
      <w:r w:rsidR="00A61E6D" w:rsidRPr="00B41FAD">
        <w:t>’</w:t>
      </w:r>
      <w:r w:rsidRPr="00B41FAD">
        <w:t>assistance internationale peut être accordée, entre autres, pour</w:t>
      </w:r>
      <w:r w:rsidR="00043DFF" w:rsidRPr="00B41FAD">
        <w:t xml:space="preserve"> « </w:t>
      </w:r>
      <w:r w:rsidRPr="00B41FAD">
        <w:t>la préparation d</w:t>
      </w:r>
      <w:r w:rsidR="00A61E6D" w:rsidRPr="00B41FAD">
        <w:t>’</w:t>
      </w:r>
      <w:r w:rsidRPr="00B41FAD">
        <w:t xml:space="preserve">inventaires au sens des </w:t>
      </w:r>
      <w:r w:rsidR="00043DFF" w:rsidRPr="00B41FAD">
        <w:t>articles </w:t>
      </w:r>
      <w:r w:rsidRPr="00B41FAD">
        <w:t>11 et</w:t>
      </w:r>
      <w:r w:rsidR="00953DB9" w:rsidRPr="00B41FAD">
        <w:t> </w:t>
      </w:r>
      <w:r w:rsidRPr="00B41FAD">
        <w:t>12</w:t>
      </w:r>
      <w:r w:rsidR="00461004" w:rsidRPr="00B41FAD">
        <w:t> ».</w:t>
      </w:r>
    </w:p>
    <w:p w:rsidR="004325DC" w:rsidRPr="00B41FAD" w:rsidRDefault="00C10A1F" w:rsidP="00914287">
      <w:pPr>
        <w:pStyle w:val="Texte1"/>
      </w:pPr>
      <w:r w:rsidRPr="00B41FAD">
        <w:t>Les États parties sont encouragés à créer un organisme consultatif ou un mécanisme de coordination pour faciliter la participation des communautés, des groupes et, le cas échéant, des indiv</w:t>
      </w:r>
      <w:r w:rsidR="00393E50" w:rsidRPr="00B41FAD">
        <w:t>idus (ainsi que des experts,</w:t>
      </w:r>
      <w:r w:rsidRPr="00B41FAD">
        <w:t xml:space="preserve"> centres d</w:t>
      </w:r>
      <w:r w:rsidR="00A61E6D" w:rsidRPr="00B41FAD">
        <w:t>’</w:t>
      </w:r>
      <w:r w:rsidR="00393E50" w:rsidRPr="00B41FAD">
        <w:t>expertise et</w:t>
      </w:r>
      <w:r w:rsidRPr="00B41FAD">
        <w:t xml:space="preserve"> instituts de recherche) à l</w:t>
      </w:r>
      <w:r w:rsidR="00A61E6D" w:rsidRPr="00B41FAD">
        <w:t>’</w:t>
      </w:r>
      <w:r w:rsidRPr="00B41FAD">
        <w:t>id</w:t>
      </w:r>
      <w:r w:rsidR="00393E50" w:rsidRPr="00B41FAD">
        <w:t>entification et l</w:t>
      </w:r>
      <w:r w:rsidR="00A61E6D" w:rsidRPr="00B41FAD">
        <w:t>’</w:t>
      </w:r>
      <w:r w:rsidR="00393E50" w:rsidRPr="00B41FAD">
        <w:t>inventaire</w:t>
      </w:r>
      <w:r w:rsidRPr="00B41FAD">
        <w:t xml:space="preserve"> de leur PCI (et </w:t>
      </w:r>
      <w:r w:rsidR="00393E50" w:rsidRPr="00B41FAD">
        <w:t>diverse</w:t>
      </w:r>
      <w:r w:rsidRPr="00B41FAD">
        <w:t>s autres activités) (</w:t>
      </w:r>
      <w:r w:rsidR="00461004" w:rsidRPr="00B41FAD">
        <w:t>DO</w:t>
      </w:r>
      <w:r w:rsidR="00AE482C" w:rsidRPr="00B41FAD">
        <w:t> 80</w:t>
      </w:r>
      <w:r w:rsidRPr="00B41FAD">
        <w:t>).</w:t>
      </w:r>
    </w:p>
    <w:p w:rsidR="004325DC" w:rsidRPr="00B41FAD" w:rsidRDefault="007A7D7D" w:rsidP="00914287">
      <w:pPr>
        <w:pStyle w:val="Texte1"/>
      </w:pPr>
      <w:r w:rsidRPr="00B41FAD">
        <w:t xml:space="preserve">L’inventoriage doit être un </w:t>
      </w:r>
      <w:r w:rsidR="00842069" w:rsidRPr="00B41FAD">
        <w:t>processus</w:t>
      </w:r>
      <w:r w:rsidR="00E63A81" w:rsidRPr="00B41FAD">
        <w:t xml:space="preserve"> </w:t>
      </w:r>
      <w:r w:rsidR="00AA3A6D" w:rsidRPr="00B41FAD">
        <w:t>permanent étant donné</w:t>
      </w:r>
      <w:r w:rsidR="00D23575" w:rsidRPr="00B41FAD">
        <w:t xml:space="preserve"> le</w:t>
      </w:r>
      <w:r w:rsidR="00C10A1F" w:rsidRPr="00B41FAD">
        <w:t xml:space="preserve"> grand nombre d</w:t>
      </w:r>
      <w:r w:rsidR="00A61E6D" w:rsidRPr="00B41FAD">
        <w:t>’</w:t>
      </w:r>
      <w:r w:rsidR="00C10A1F" w:rsidRPr="00B41FAD">
        <w:t xml:space="preserve">éléments du PCI </w:t>
      </w:r>
      <w:r w:rsidR="007A558A" w:rsidRPr="00B41FAD">
        <w:t>à</w:t>
      </w:r>
      <w:r w:rsidR="00C10A1F" w:rsidRPr="00B41FAD">
        <w:t xml:space="preserve"> invent</w:t>
      </w:r>
      <w:r w:rsidR="00842069" w:rsidRPr="00B41FAD">
        <w:t>orier</w:t>
      </w:r>
      <w:r w:rsidR="00C10A1F" w:rsidRPr="00B41FAD">
        <w:t xml:space="preserve"> dan</w:t>
      </w:r>
      <w:r w:rsidR="00AB313E" w:rsidRPr="00B41FAD">
        <w:t>s la plupart des pays du monde,</w:t>
      </w:r>
      <w:r w:rsidR="008647FE" w:rsidRPr="00B41FAD">
        <w:t xml:space="preserve"> </w:t>
      </w:r>
      <w:r w:rsidR="00AA3A6D" w:rsidRPr="00B41FAD">
        <w:t xml:space="preserve">de par </w:t>
      </w:r>
      <w:r w:rsidR="008647FE" w:rsidRPr="00B41FAD">
        <w:t>le</w:t>
      </w:r>
      <w:r w:rsidR="00C10A1F" w:rsidRPr="00B41FAD">
        <w:t xml:space="preserve"> </w:t>
      </w:r>
      <w:r w:rsidR="00CA73CB" w:rsidRPr="00B41FAD">
        <w:t xml:space="preserve">caractère </w:t>
      </w:r>
      <w:r w:rsidR="00842069" w:rsidRPr="00B41FAD">
        <w:t xml:space="preserve">du PCI </w:t>
      </w:r>
      <w:r w:rsidR="00CA73CB" w:rsidRPr="00B41FAD">
        <w:t xml:space="preserve">en perpétuelle </w:t>
      </w:r>
      <w:r w:rsidR="0007031B" w:rsidRPr="00B41FAD">
        <w:t>muta</w:t>
      </w:r>
      <w:r w:rsidR="00CA73CB" w:rsidRPr="00B41FAD">
        <w:t>tion</w:t>
      </w:r>
      <w:r w:rsidR="00AB313E" w:rsidRPr="00B41FAD">
        <w:t xml:space="preserve"> (et</w:t>
      </w:r>
      <w:r w:rsidR="00C10A1F" w:rsidRPr="00B41FAD">
        <w:t xml:space="preserve"> </w:t>
      </w:r>
      <w:r w:rsidR="0007031B" w:rsidRPr="00B41FAD">
        <w:t xml:space="preserve">l’évolution de sa </w:t>
      </w:r>
      <w:r w:rsidR="00AB313E" w:rsidRPr="00B41FAD">
        <w:t>viabilité) et</w:t>
      </w:r>
      <w:r w:rsidR="00C10A1F" w:rsidRPr="00B41FAD">
        <w:t xml:space="preserve"> la nécessité d</w:t>
      </w:r>
      <w:r w:rsidR="00A61E6D" w:rsidRPr="00B41FAD">
        <w:t>’</w:t>
      </w:r>
      <w:r w:rsidR="0007031B" w:rsidRPr="00B41FAD">
        <w:t>une mise à jour régulière des inventaires</w:t>
      </w:r>
      <w:r w:rsidR="00C10A1F" w:rsidRPr="00B41FAD">
        <w:t>.</w:t>
      </w:r>
    </w:p>
    <w:p w:rsidR="004325DC" w:rsidRPr="00B41FAD" w:rsidRDefault="00235024">
      <w:pPr>
        <w:pStyle w:val="Titcoul"/>
      </w:pPr>
      <w:bookmarkStart w:id="16" w:name="_Toc238963207"/>
      <w:bookmarkStart w:id="17" w:name="_Toc241065093"/>
      <w:bookmarkStart w:id="18" w:name="_Toc301443348"/>
      <w:bookmarkStart w:id="19" w:name="_Toc321406991"/>
      <w:bookmarkStart w:id="20" w:name="_Toc354486615"/>
      <w:bookmarkStart w:id="21" w:name="_Toc354486921"/>
      <w:bookmarkStart w:id="22" w:name="_Toc247360192"/>
      <w:r w:rsidRPr="00B41FAD">
        <w:t>6</w:t>
      </w:r>
      <w:r w:rsidR="00C10A1F" w:rsidRPr="00B41FAD">
        <w:t>.2</w:t>
      </w:r>
      <w:bookmarkEnd w:id="16"/>
      <w:bookmarkEnd w:id="17"/>
      <w:r w:rsidR="009270A5" w:rsidRPr="00B41FAD">
        <w:tab/>
      </w:r>
      <w:bookmarkStart w:id="23" w:name="_Toc238963208"/>
      <w:bookmarkStart w:id="24" w:name="_Toc241065094"/>
      <w:r w:rsidR="00D915D7" w:rsidRPr="00B41FAD">
        <w:t>But</w:t>
      </w:r>
      <w:r w:rsidR="00C10A1F" w:rsidRPr="00B41FAD">
        <w:t xml:space="preserve"> et effets du travail d</w:t>
      </w:r>
      <w:r w:rsidR="00A61E6D" w:rsidRPr="00B41FAD">
        <w:t>’</w:t>
      </w:r>
      <w:r w:rsidR="00C10A1F" w:rsidRPr="00B41FAD">
        <w:t>inventaire</w:t>
      </w:r>
      <w:bookmarkEnd w:id="18"/>
      <w:bookmarkEnd w:id="19"/>
      <w:bookmarkEnd w:id="20"/>
      <w:bookmarkEnd w:id="21"/>
      <w:bookmarkEnd w:id="22"/>
      <w:bookmarkEnd w:id="23"/>
      <w:bookmarkEnd w:id="24"/>
    </w:p>
    <w:p w:rsidR="004325DC" w:rsidRPr="00B41FAD" w:rsidRDefault="00A10413" w:rsidP="00914287">
      <w:pPr>
        <w:pStyle w:val="Texte1"/>
      </w:pPr>
      <w:r w:rsidRPr="00B41FAD">
        <w:t>Si l</w:t>
      </w:r>
      <w:r w:rsidR="00CA1C13" w:rsidRPr="00B41FAD">
        <w:t>’</w:t>
      </w:r>
      <w:r w:rsidR="007B0841" w:rsidRPr="00B41FAD">
        <w:t>invent</w:t>
      </w:r>
      <w:r w:rsidRPr="00B41FAD">
        <w:t>aire</w:t>
      </w:r>
      <w:r w:rsidR="00C10A1F" w:rsidRPr="00B41FAD">
        <w:t xml:space="preserve"> </w:t>
      </w:r>
      <w:r w:rsidRPr="00B41FAD">
        <w:t>répond</w:t>
      </w:r>
      <w:r w:rsidR="00892336" w:rsidRPr="00B41FAD">
        <w:t xml:space="preserve"> à</w:t>
      </w:r>
      <w:r w:rsidR="00C10A1F" w:rsidRPr="00B41FAD">
        <w:t xml:space="preserve"> </w:t>
      </w:r>
      <w:r w:rsidR="00892336" w:rsidRPr="00B41FAD">
        <w:t>d</w:t>
      </w:r>
      <w:r w:rsidR="00A463FB" w:rsidRPr="00B41FAD">
        <w:t>i</w:t>
      </w:r>
      <w:r w:rsidR="00224D7E" w:rsidRPr="00B41FAD">
        <w:t>ver</w:t>
      </w:r>
      <w:r w:rsidR="00892336" w:rsidRPr="00B41FAD">
        <w:t xml:space="preserve">s </w:t>
      </w:r>
      <w:r w:rsidR="00C10A1F" w:rsidRPr="00B41FAD">
        <w:t>objectifs</w:t>
      </w:r>
      <w:r w:rsidR="00661976" w:rsidRPr="00B41FAD">
        <w:t xml:space="preserve">, </w:t>
      </w:r>
      <w:r w:rsidRPr="00B41FAD">
        <w:t>il</w:t>
      </w:r>
      <w:r w:rsidR="00661976" w:rsidRPr="00B41FAD">
        <w:t xml:space="preserve"> ne constitue pas </w:t>
      </w:r>
      <w:r w:rsidR="00C10A1F" w:rsidRPr="00B41FAD">
        <w:t xml:space="preserve">une fin en soi. </w:t>
      </w:r>
      <w:r w:rsidRPr="00B41FAD">
        <w:t>Son</w:t>
      </w:r>
      <w:r w:rsidR="00224D7E" w:rsidRPr="00B41FAD">
        <w:t xml:space="preserve"> but doit être, en premier lieu, de </w:t>
      </w:r>
      <w:r w:rsidR="00C10A1F" w:rsidRPr="00B41FAD">
        <w:t>contribuer à la sauvegarde</w:t>
      </w:r>
      <w:r w:rsidR="00224D7E" w:rsidRPr="00B41FAD">
        <w:t xml:space="preserve"> du patrimoine</w:t>
      </w:r>
      <w:r w:rsidR="00C10A1F" w:rsidRPr="00B41FAD">
        <w:t xml:space="preserve"> (voir </w:t>
      </w:r>
      <w:r w:rsidR="00043DFF" w:rsidRPr="00B41FAD">
        <w:t>article </w:t>
      </w:r>
      <w:r w:rsidR="00C10A1F" w:rsidRPr="00B41FAD">
        <w:t xml:space="preserve">12), bien que </w:t>
      </w:r>
      <w:r w:rsidR="00224D7E" w:rsidRPr="00B41FAD">
        <w:t>d</w:t>
      </w:r>
      <w:r w:rsidR="00C10A1F" w:rsidRPr="00B41FAD">
        <w:t>es activités de sauvegarde puissent être entreprises pour des éléments qui ne sont pas (encore) in</w:t>
      </w:r>
      <w:r w:rsidR="0022230D" w:rsidRPr="00B41FAD">
        <w:t>scrits à l’</w:t>
      </w:r>
      <w:r w:rsidR="00C10A1F" w:rsidRPr="00B41FAD">
        <w:t>inventaire.</w:t>
      </w:r>
    </w:p>
    <w:p w:rsidR="004325DC" w:rsidRPr="00B41FAD" w:rsidRDefault="00C10A1F" w:rsidP="00914287">
      <w:pPr>
        <w:pStyle w:val="Texte1"/>
      </w:pPr>
      <w:r w:rsidRPr="00B41FAD">
        <w:t>L</w:t>
      </w:r>
      <w:r w:rsidR="00A61E6D" w:rsidRPr="00B41FAD">
        <w:t>’</w:t>
      </w:r>
      <w:r w:rsidR="0022230D" w:rsidRPr="00B41FAD">
        <w:t>identification d</w:t>
      </w:r>
      <w:r w:rsidR="006313AD" w:rsidRPr="00B41FAD">
        <w:t>’</w:t>
      </w:r>
      <w:r w:rsidRPr="00B41FAD">
        <w:t xml:space="preserve">éléments du PCI et leur inclusion dans un inventaire créeront </w:t>
      </w:r>
      <w:r w:rsidR="00323B75" w:rsidRPr="00B41FAD">
        <w:t>sans nul doute</w:t>
      </w:r>
      <w:r w:rsidRPr="00B41FAD">
        <w:t xml:space="preserve"> une prise de conscience </w:t>
      </w:r>
      <w:r w:rsidR="00BC3ED7" w:rsidRPr="00B41FAD">
        <w:t>accrue</w:t>
      </w:r>
      <w:r w:rsidR="00216D8E" w:rsidRPr="00B41FAD">
        <w:t xml:space="preserve"> </w:t>
      </w:r>
      <w:r w:rsidRPr="00B41FAD">
        <w:t xml:space="preserve">du PCI </w:t>
      </w:r>
      <w:r w:rsidR="006313AD" w:rsidRPr="00B41FAD">
        <w:t>en général</w:t>
      </w:r>
      <w:r w:rsidRPr="00B41FAD">
        <w:t xml:space="preserve"> et de ses éléments </w:t>
      </w:r>
      <w:r w:rsidR="00216D8E" w:rsidRPr="00B41FAD">
        <w:t>spécifiques</w:t>
      </w:r>
      <w:r w:rsidRPr="00B41FAD">
        <w:t>, tant à l</w:t>
      </w:r>
      <w:r w:rsidR="00A61E6D" w:rsidRPr="00B41FAD">
        <w:t>’</w:t>
      </w:r>
      <w:r w:rsidRPr="00B41FAD">
        <w:t>extérieur qu</w:t>
      </w:r>
      <w:r w:rsidR="00A61E6D" w:rsidRPr="00B41FAD">
        <w:t>’</w:t>
      </w:r>
      <w:r w:rsidRPr="00B41FAD">
        <w:t>au sein des communautés concernées. Cela peut avoir un</w:t>
      </w:r>
      <w:r w:rsidR="00216D8E" w:rsidRPr="00B41FAD">
        <w:t>e conséquence positive</w:t>
      </w:r>
      <w:r w:rsidRPr="00B41FAD">
        <w:t xml:space="preserve"> sur la viabilité des éléments i</w:t>
      </w:r>
      <w:r w:rsidR="00216D8E" w:rsidRPr="00B41FAD">
        <w:t>nventoriés</w:t>
      </w:r>
      <w:r w:rsidRPr="00B41FAD">
        <w:t xml:space="preserve"> et contr</w:t>
      </w:r>
      <w:r w:rsidR="005E6AC6" w:rsidRPr="00B41FAD">
        <w:t>ibuer</w:t>
      </w:r>
      <w:r w:rsidRPr="00B41FAD">
        <w:t xml:space="preserve"> par</w:t>
      </w:r>
      <w:r w:rsidR="005E6AC6" w:rsidRPr="00B41FAD">
        <w:t xml:space="preserve"> là même au bien-être collectif</w:t>
      </w:r>
      <w:r w:rsidRPr="00B41FAD">
        <w:t>.</w:t>
      </w:r>
    </w:p>
    <w:p w:rsidR="004325DC" w:rsidRPr="00B41FAD" w:rsidRDefault="00C10A1F" w:rsidP="00914287">
      <w:pPr>
        <w:pStyle w:val="Texte1"/>
      </w:pPr>
      <w:r w:rsidRPr="00B41FAD">
        <w:t>Les me</w:t>
      </w:r>
      <w:r w:rsidR="004305D4" w:rsidRPr="00B41FAD">
        <w:t>mbres de la communauté</w:t>
      </w:r>
      <w:r w:rsidRPr="00B41FAD">
        <w:t xml:space="preserve"> peuvent manifester davantage d</w:t>
      </w:r>
      <w:r w:rsidR="00A61E6D" w:rsidRPr="00B41FAD">
        <w:t>’</w:t>
      </w:r>
      <w:r w:rsidRPr="00B41FAD">
        <w:t xml:space="preserve">intérêt et de fierté </w:t>
      </w:r>
      <w:r w:rsidR="00755A5D" w:rsidRPr="00B41FAD">
        <w:t>à l’égard de</w:t>
      </w:r>
      <w:r w:rsidRPr="00B41FAD">
        <w:t xml:space="preserve"> leur PCI grâce au processus d</w:t>
      </w:r>
      <w:r w:rsidR="00A61E6D" w:rsidRPr="00B41FAD">
        <w:t>’</w:t>
      </w:r>
      <w:r w:rsidRPr="00B41FAD">
        <w:t>inventaire et devenir ainsi plus motivés pour s</w:t>
      </w:r>
      <w:r w:rsidR="00A61E6D" w:rsidRPr="00B41FAD">
        <w:t>’</w:t>
      </w:r>
      <w:r w:rsidRPr="00B41FAD">
        <w:t xml:space="preserve">engager </w:t>
      </w:r>
      <w:r w:rsidR="00CE0F4D" w:rsidRPr="00B41FAD">
        <w:t>à poursuivre</w:t>
      </w:r>
      <w:r w:rsidRPr="00B41FAD">
        <w:t xml:space="preserve"> la représentation et la transmission des éléments concernés. La reconnaissance positive accordée à leur PCI à travers l</w:t>
      </w:r>
      <w:r w:rsidR="00CE0F4D" w:rsidRPr="00B41FAD">
        <w:t>’inventaire</w:t>
      </w:r>
      <w:r w:rsidRPr="00B41FAD">
        <w:t xml:space="preserve"> peut aussi stimuler le sens de l</w:t>
      </w:r>
      <w:r w:rsidR="00A61E6D" w:rsidRPr="00B41FAD">
        <w:t>’</w:t>
      </w:r>
      <w:r w:rsidRPr="00B41FAD">
        <w:t xml:space="preserve">identité et </w:t>
      </w:r>
      <w:r w:rsidR="00003B9D" w:rsidRPr="00B41FAD">
        <w:t xml:space="preserve">de </w:t>
      </w:r>
      <w:r w:rsidRPr="00B41FAD">
        <w:t>la conti</w:t>
      </w:r>
      <w:r w:rsidR="004305D4" w:rsidRPr="00B41FAD">
        <w:t>nuité des communautés</w:t>
      </w:r>
      <w:r w:rsidRPr="00B41FAD">
        <w:t>.</w:t>
      </w:r>
    </w:p>
    <w:p w:rsidR="004325DC" w:rsidRPr="00B41FAD" w:rsidRDefault="00C10A1F" w:rsidP="00914287">
      <w:pPr>
        <w:pStyle w:val="Texte1"/>
      </w:pPr>
      <w:r w:rsidRPr="00B41FAD">
        <w:t>L</w:t>
      </w:r>
      <w:r w:rsidR="00CA3120" w:rsidRPr="00B41FAD">
        <w:t>e</w:t>
      </w:r>
      <w:r w:rsidR="003A365A" w:rsidRPr="00B41FAD">
        <w:t xml:space="preserve">s </w:t>
      </w:r>
      <w:r w:rsidR="00DB3EDB" w:rsidRPr="00B41FAD">
        <w:t>opération</w:t>
      </w:r>
      <w:r w:rsidR="003A365A" w:rsidRPr="00B41FAD">
        <w:t>s</w:t>
      </w:r>
      <w:r w:rsidRPr="00B41FAD">
        <w:t xml:space="preserve"> </w:t>
      </w:r>
      <w:r w:rsidR="00F05069" w:rsidRPr="00B41FAD">
        <w:t>d’inventaire</w:t>
      </w:r>
      <w:r w:rsidR="003A365A" w:rsidRPr="00B41FAD">
        <w:t>s</w:t>
      </w:r>
      <w:r w:rsidR="00F05069" w:rsidRPr="00B41FAD">
        <w:t xml:space="preserve"> </w:t>
      </w:r>
      <w:r w:rsidR="00CA3120" w:rsidRPr="00B41FAD">
        <w:t>doi</w:t>
      </w:r>
      <w:r w:rsidR="003A365A" w:rsidRPr="00B41FAD">
        <w:t>ven</w:t>
      </w:r>
      <w:r w:rsidR="00CA3120" w:rsidRPr="00B41FAD">
        <w:t>t obéir à</w:t>
      </w:r>
      <w:r w:rsidR="00F05069" w:rsidRPr="00B41FAD">
        <w:t xml:space="preserve"> un</w:t>
      </w:r>
      <w:r w:rsidR="00CA3120" w:rsidRPr="00B41FAD">
        <w:t>e démarche</w:t>
      </w:r>
      <w:r w:rsidRPr="00B41FAD">
        <w:t xml:space="preserve"> </w:t>
      </w:r>
      <w:r w:rsidR="00CA3120" w:rsidRPr="00B41FAD">
        <w:t>participative</w:t>
      </w:r>
      <w:r w:rsidRPr="00B41FAD">
        <w:t xml:space="preserve"> </w:t>
      </w:r>
      <w:r w:rsidR="00CA3120" w:rsidRPr="00B41FAD">
        <w:t>et inclusive</w:t>
      </w:r>
      <w:r w:rsidRPr="00B41FAD">
        <w:t>. Le</w:t>
      </w:r>
      <w:r w:rsidR="008C1945" w:rsidRPr="00B41FAD">
        <w:t xml:space="preserve"> proc</w:t>
      </w:r>
      <w:r w:rsidR="0005026D" w:rsidRPr="00B41FAD">
        <w:t>essus</w:t>
      </w:r>
      <w:r w:rsidR="008C1945" w:rsidRPr="00B41FAD">
        <w:t xml:space="preserve"> </w:t>
      </w:r>
      <w:r w:rsidRPr="00B41FAD">
        <w:t>d</w:t>
      </w:r>
      <w:r w:rsidR="00A61E6D" w:rsidRPr="00B41FAD">
        <w:t>’</w:t>
      </w:r>
      <w:r w:rsidRPr="00B41FAD">
        <w:t xml:space="preserve">identification et </w:t>
      </w:r>
      <w:r w:rsidR="0005026D" w:rsidRPr="00B41FAD">
        <w:t>d’</w:t>
      </w:r>
      <w:r w:rsidR="008C1945" w:rsidRPr="00B41FAD">
        <w:t>inventaire peut ainsi</w:t>
      </w:r>
      <w:r w:rsidRPr="00B41FAD">
        <w:t xml:space="preserve"> </w:t>
      </w:r>
      <w:r w:rsidR="0005026D" w:rsidRPr="00B41FAD">
        <w:t>aide</w:t>
      </w:r>
      <w:r w:rsidRPr="00B41FAD">
        <w:t xml:space="preserve">r à établir de bonnes relations </w:t>
      </w:r>
      <w:r w:rsidRPr="00B41FAD">
        <w:lastRenderedPageBreak/>
        <w:t>entre les communautés, les agences gouvernementales à différents ni</w:t>
      </w:r>
      <w:r w:rsidR="00B45A1A" w:rsidRPr="00B41FAD">
        <w:t xml:space="preserve">veaux et </w:t>
      </w:r>
      <w:r w:rsidR="00DB3EDB" w:rsidRPr="00B41FAD">
        <w:t xml:space="preserve">tous </w:t>
      </w:r>
      <w:r w:rsidR="00B45A1A" w:rsidRPr="00B41FAD">
        <w:t>les acteurs susceptibles d’être impliqués</w:t>
      </w:r>
      <w:r w:rsidRPr="00B41FAD">
        <w:t xml:space="preserve"> dans la gestion ou la sauvegarde des éléments inventoriés.</w:t>
      </w:r>
    </w:p>
    <w:p w:rsidR="004325DC" w:rsidRPr="00B41FAD" w:rsidRDefault="00925918" w:rsidP="00914287">
      <w:pPr>
        <w:pStyle w:val="Texte1"/>
      </w:pPr>
      <w:r w:rsidRPr="00B41FAD">
        <w:t>L</w:t>
      </w:r>
      <w:r w:rsidR="00C10A1F" w:rsidRPr="00B41FAD">
        <w:t>e processus d</w:t>
      </w:r>
      <w:r w:rsidR="00A61E6D" w:rsidRPr="00B41FAD">
        <w:t>’</w:t>
      </w:r>
      <w:r w:rsidR="008048AB" w:rsidRPr="00B41FAD">
        <w:t>inventaire peut</w:t>
      </w:r>
      <w:r w:rsidR="00791B57" w:rsidRPr="00B41FAD">
        <w:t xml:space="preserve"> </w:t>
      </w:r>
      <w:r w:rsidR="00C10A1F" w:rsidRPr="00B41FAD">
        <w:t xml:space="preserve">contribuer à la sauvegarde du PCI, </w:t>
      </w:r>
      <w:r w:rsidR="00791B57" w:rsidRPr="00B41FAD">
        <w:t>mais plus largement</w:t>
      </w:r>
      <w:r w:rsidR="00C10A1F" w:rsidRPr="00B41FAD">
        <w:t xml:space="preserve"> </w:t>
      </w:r>
      <w:r w:rsidR="00791B57" w:rsidRPr="00B41FAD">
        <w:t xml:space="preserve">encore </w:t>
      </w:r>
      <w:r w:rsidR="00C10A1F" w:rsidRPr="00B41FAD">
        <w:t xml:space="preserve">au développement durable, à la bonne gouvernance, à la cohésion </w:t>
      </w:r>
      <w:r w:rsidR="00791B57" w:rsidRPr="00B41FAD">
        <w:t>sociale et au renforcement des</w:t>
      </w:r>
      <w:r w:rsidR="00C10A1F" w:rsidRPr="00B41FAD">
        <w:t xml:space="preserve"> communauté</w:t>
      </w:r>
      <w:r w:rsidR="00791B57" w:rsidRPr="00B41FAD">
        <w:t>s</w:t>
      </w:r>
      <w:r w:rsidR="00C10A1F" w:rsidRPr="00B41FAD">
        <w:t>.</w:t>
      </w:r>
    </w:p>
    <w:p w:rsidR="004325DC" w:rsidRPr="00B41FAD" w:rsidRDefault="00235024" w:rsidP="007C119C">
      <w:pPr>
        <w:pStyle w:val="Titcoul"/>
      </w:pPr>
      <w:bookmarkStart w:id="25" w:name="_Toc238963209"/>
      <w:bookmarkStart w:id="26" w:name="_Toc241065095"/>
      <w:bookmarkStart w:id="27" w:name="_Toc301443349"/>
      <w:bookmarkStart w:id="28" w:name="_Toc321406992"/>
      <w:bookmarkStart w:id="29" w:name="_Toc354486616"/>
      <w:bookmarkStart w:id="30" w:name="_Toc354486922"/>
      <w:bookmarkStart w:id="31" w:name="_Toc247360193"/>
      <w:r w:rsidRPr="00B41FAD">
        <w:t>6</w:t>
      </w:r>
      <w:r w:rsidR="00C10A1F" w:rsidRPr="00B41FAD">
        <w:t>.3</w:t>
      </w:r>
      <w:bookmarkEnd w:id="25"/>
      <w:bookmarkEnd w:id="26"/>
      <w:r w:rsidR="009270A5" w:rsidRPr="00B41FAD">
        <w:tab/>
      </w:r>
      <w:bookmarkStart w:id="32" w:name="_Toc238963210"/>
      <w:bookmarkStart w:id="33" w:name="_Toc241065096"/>
      <w:r w:rsidR="00791B57" w:rsidRPr="00B41FAD">
        <w:t xml:space="preserve">marge de manœuvre et </w:t>
      </w:r>
      <w:r w:rsidR="00C10A1F" w:rsidRPr="00B41FAD">
        <w:t xml:space="preserve">Restrictions 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4325DC" w:rsidRPr="00B41FAD" w:rsidRDefault="00C10A1F" w:rsidP="00914287">
      <w:pPr>
        <w:pStyle w:val="Texte1"/>
      </w:pPr>
      <w:r w:rsidRPr="00B41FAD">
        <w:t>Bien que l</w:t>
      </w:r>
      <w:r w:rsidR="006F0EA8" w:rsidRPr="00B41FAD">
        <w:t>’expression</w:t>
      </w:r>
      <w:r w:rsidR="00043DFF" w:rsidRPr="00B41FAD">
        <w:t xml:space="preserve"> « </w:t>
      </w:r>
      <w:r w:rsidRPr="00B41FAD">
        <w:t xml:space="preserve">de façon adaptée à sa </w:t>
      </w:r>
      <w:r w:rsidRPr="00B41FAD">
        <w:rPr>
          <w:iCs/>
        </w:rPr>
        <w:t>situation</w:t>
      </w:r>
      <w:r w:rsidR="00043DFF" w:rsidRPr="00B41FAD">
        <w:rPr>
          <w:iCs/>
        </w:rPr>
        <w:t xml:space="preserve"> » </w:t>
      </w:r>
      <w:r w:rsidRPr="00B41FAD">
        <w:rPr>
          <w:iCs/>
        </w:rPr>
        <w:t>(</w:t>
      </w:r>
      <w:r w:rsidR="00043DFF" w:rsidRPr="00B41FAD">
        <w:rPr>
          <w:iCs/>
        </w:rPr>
        <w:t>article </w:t>
      </w:r>
      <w:r w:rsidRPr="00B41FAD">
        <w:rPr>
          <w:iCs/>
        </w:rPr>
        <w:t xml:space="preserve">12.1) </w:t>
      </w:r>
      <w:r w:rsidR="006F0EA8" w:rsidRPr="00B41FAD">
        <w:t xml:space="preserve">laisse une marge de manœuvre considérable </w:t>
      </w:r>
      <w:r w:rsidR="009507EB" w:rsidRPr="00B41FAD">
        <w:t xml:space="preserve">aux États parties </w:t>
      </w:r>
      <w:r w:rsidR="00000455" w:rsidRPr="00B41FAD">
        <w:t>dans l</w:t>
      </w:r>
      <w:r w:rsidR="003A365A" w:rsidRPr="00B41FAD">
        <w:t>es pratiques</w:t>
      </w:r>
      <w:r w:rsidR="00000455" w:rsidRPr="00B41FAD">
        <w:t xml:space="preserve"> d’</w:t>
      </w:r>
      <w:r w:rsidR="009507EB" w:rsidRPr="00B41FAD">
        <w:t>inventaire</w:t>
      </w:r>
      <w:r w:rsidR="00000455" w:rsidRPr="00B41FAD">
        <w:t>s</w:t>
      </w:r>
      <w:r w:rsidRPr="00B41FAD">
        <w:t xml:space="preserve">, la Convention et les </w:t>
      </w:r>
      <w:r w:rsidR="009507EB" w:rsidRPr="00B41FAD">
        <w:t xml:space="preserve">DO </w:t>
      </w:r>
      <w:r w:rsidR="007D4F6D" w:rsidRPr="00B41FAD">
        <w:t>fourniss</w:t>
      </w:r>
      <w:r w:rsidRPr="00B41FAD">
        <w:t xml:space="preserve">ent quelques </w:t>
      </w:r>
      <w:r w:rsidR="007D4F6D" w:rsidRPr="00B41FAD">
        <w:t>orientat</w:t>
      </w:r>
      <w:r w:rsidRPr="00B41FAD">
        <w:t xml:space="preserve">ions. Elles </w:t>
      </w:r>
      <w:r w:rsidR="00784441" w:rsidRPr="00B41FAD">
        <w:t>précisent</w:t>
      </w:r>
      <w:r w:rsidRPr="00B41FAD">
        <w:t xml:space="preserve"> </w:t>
      </w:r>
      <w:r w:rsidR="00C32484" w:rsidRPr="00B41FAD">
        <w:t xml:space="preserve">notamment </w:t>
      </w:r>
      <w:r w:rsidRPr="00B41FAD">
        <w:t>que les inventaires</w:t>
      </w:r>
      <w:r w:rsidR="00784441" w:rsidRPr="00B41FAD">
        <w:t xml:space="preserve"> doivent</w:t>
      </w:r>
      <w:r w:rsidR="00EA1FE1" w:rsidRPr="00B41FAD">
        <w:t> :</w:t>
      </w:r>
    </w:p>
    <w:p w:rsidR="004325DC" w:rsidRPr="00B41FAD" w:rsidRDefault="00784441" w:rsidP="009121FA">
      <w:pPr>
        <w:pStyle w:val="Txtpucegras"/>
        <w:ind w:left="1134"/>
      </w:pPr>
      <w:r w:rsidRPr="00B41FAD">
        <w:t>P</w:t>
      </w:r>
      <w:r w:rsidR="00C10A1F" w:rsidRPr="00B41FAD">
        <w:t xml:space="preserve">résenter des éléments </w:t>
      </w:r>
      <w:r w:rsidR="00C32484" w:rsidRPr="00B41FAD">
        <w:t>aya</w:t>
      </w:r>
      <w:r w:rsidR="00C10A1F" w:rsidRPr="00B41FAD">
        <w:t>nt été définis et identifiés avec la participation des communautés, des groupes et des ONG pertinentes (</w:t>
      </w:r>
      <w:r w:rsidR="00043DFF" w:rsidRPr="00B41FAD">
        <w:t>article </w:t>
      </w:r>
      <w:r w:rsidR="00C10A1F" w:rsidRPr="00B41FAD">
        <w:t>11(b))</w:t>
      </w:r>
      <w:r w:rsidR="007C119C" w:rsidRPr="00B41FAD">
        <w:t>.</w:t>
      </w:r>
    </w:p>
    <w:p w:rsidR="004325DC" w:rsidRPr="00B41FAD" w:rsidRDefault="00784441" w:rsidP="009121FA">
      <w:pPr>
        <w:pStyle w:val="Txtpucegras"/>
        <w:ind w:left="1134"/>
      </w:pPr>
      <w:r w:rsidRPr="00B41FAD">
        <w:t>Ê</w:t>
      </w:r>
      <w:r w:rsidR="00C10A1F" w:rsidRPr="00B41FAD">
        <w:t xml:space="preserve">tre préparés avec la </w:t>
      </w:r>
      <w:r w:rsidR="00C32484" w:rsidRPr="00B41FAD">
        <w:t xml:space="preserve">participation la </w:t>
      </w:r>
      <w:r w:rsidR="00C10A1F" w:rsidRPr="00B41FAD">
        <w:t xml:space="preserve">plus large possible des communautés, </w:t>
      </w:r>
      <w:r w:rsidR="00977306" w:rsidRPr="00B41FAD">
        <w:t xml:space="preserve">des </w:t>
      </w:r>
      <w:r w:rsidR="00C10A1F" w:rsidRPr="00B41FAD">
        <w:t xml:space="preserve">groupes et </w:t>
      </w:r>
      <w:r w:rsidR="00977306" w:rsidRPr="00B41FAD">
        <w:t xml:space="preserve">des </w:t>
      </w:r>
      <w:r w:rsidR="00C10A1F" w:rsidRPr="00B41FAD">
        <w:t>individus concernés (</w:t>
      </w:r>
      <w:r w:rsidR="00461004" w:rsidRPr="00B41FAD">
        <w:t>DO </w:t>
      </w:r>
      <w:r w:rsidR="00C10A1F" w:rsidRPr="00B41FAD">
        <w:t>80)</w:t>
      </w:r>
      <w:r w:rsidR="007C119C" w:rsidRPr="00B41FAD">
        <w:t>.</w:t>
      </w:r>
    </w:p>
    <w:p w:rsidR="004325DC" w:rsidRPr="00B41FAD" w:rsidRDefault="00D610C4" w:rsidP="009121FA">
      <w:pPr>
        <w:pStyle w:val="Txtpucegras"/>
        <w:ind w:left="1134"/>
      </w:pPr>
      <w:r w:rsidRPr="00B41FAD">
        <w:t>Ne pas viol</w:t>
      </w:r>
      <w:r w:rsidR="00C10A1F" w:rsidRPr="00B41FAD">
        <w:t xml:space="preserve">er les pratiques coutumières </w:t>
      </w:r>
      <w:r w:rsidR="00977306" w:rsidRPr="00B41FAD">
        <w:t>régiss</w:t>
      </w:r>
      <w:r w:rsidR="00C10A1F" w:rsidRPr="00B41FAD">
        <w:t>ant l</w:t>
      </w:r>
      <w:r w:rsidR="00A61E6D" w:rsidRPr="00B41FAD">
        <w:t>’</w:t>
      </w:r>
      <w:r w:rsidR="00C10A1F" w:rsidRPr="00B41FAD">
        <w:t xml:space="preserve">accès au PCI et tous les lieux, </w:t>
      </w:r>
      <w:r w:rsidR="00977306" w:rsidRPr="00B41FAD">
        <w:t xml:space="preserve">les </w:t>
      </w:r>
      <w:r w:rsidR="00C10A1F" w:rsidRPr="00B41FAD">
        <w:t xml:space="preserve">personnes et </w:t>
      </w:r>
      <w:r w:rsidRPr="00B41FAD">
        <w:t xml:space="preserve">les </w:t>
      </w:r>
      <w:r w:rsidR="00C10A1F" w:rsidRPr="00B41FAD">
        <w:t>matériels qui y sont associés (</w:t>
      </w:r>
      <w:r w:rsidR="00043DFF" w:rsidRPr="00B41FAD">
        <w:t>article </w:t>
      </w:r>
      <w:r w:rsidR="00C10A1F" w:rsidRPr="00B41FAD">
        <w:t>13(d</w:t>
      </w:r>
      <w:proofErr w:type="gramStart"/>
      <w:r w:rsidR="00C10A1F" w:rsidRPr="00B41FAD">
        <w:t>)(</w:t>
      </w:r>
      <w:proofErr w:type="gramEnd"/>
      <w:r w:rsidR="00C10A1F" w:rsidRPr="00B41FAD">
        <w:t>ii))</w:t>
      </w:r>
      <w:r w:rsidR="00EA1FE1" w:rsidRPr="00B41FAD">
        <w:t> ;</w:t>
      </w:r>
      <w:r w:rsidR="00473E12" w:rsidRPr="00B41FAD">
        <w:t xml:space="preserve"> et n</w:t>
      </w:r>
      <w:r w:rsidR="00615162" w:rsidRPr="00B41FAD">
        <w:t>’inclure</w:t>
      </w:r>
      <w:r w:rsidRPr="00B41FAD">
        <w:t xml:space="preserve"> aucune information</w:t>
      </w:r>
      <w:r w:rsidR="00C10A1F" w:rsidRPr="00B41FAD">
        <w:t xml:space="preserve"> sur un élément sans le consentement de la communauté, du groupe ou de l</w:t>
      </w:r>
      <w:r w:rsidR="00A61E6D" w:rsidRPr="00B41FAD">
        <w:t>’</w:t>
      </w:r>
      <w:r w:rsidR="00C10A1F" w:rsidRPr="00B41FAD">
        <w:t>individu concerné</w:t>
      </w:r>
      <w:r w:rsidR="007C119C" w:rsidRPr="00B41FAD">
        <w:t>.</w:t>
      </w:r>
    </w:p>
    <w:p w:rsidR="004325DC" w:rsidRPr="00B41FAD" w:rsidRDefault="00784441" w:rsidP="009121FA">
      <w:pPr>
        <w:pStyle w:val="Txtpucegras"/>
        <w:ind w:left="1134"/>
      </w:pPr>
      <w:r w:rsidRPr="00B41FAD">
        <w:t>Ê</w:t>
      </w:r>
      <w:r w:rsidR="00C10A1F" w:rsidRPr="00B41FAD">
        <w:t xml:space="preserve">tre </w:t>
      </w:r>
      <w:r w:rsidR="00643749" w:rsidRPr="00B41FAD">
        <w:t xml:space="preserve">conçus de </w:t>
      </w:r>
      <w:r w:rsidRPr="00B41FAD">
        <w:t>telle sorte qu’ils puissent</w:t>
      </w:r>
      <w:r w:rsidR="00C10A1F" w:rsidRPr="00B41FAD">
        <w:t xml:space="preserve"> contribuer à la sauvegarde (</w:t>
      </w:r>
      <w:r w:rsidR="00643749" w:rsidRPr="00B41FAD">
        <w:t>« </w:t>
      </w:r>
      <w:r w:rsidR="00C10A1F" w:rsidRPr="00B41FAD">
        <w:t>assurer l</w:t>
      </w:r>
      <w:r w:rsidR="00A61E6D" w:rsidRPr="00B41FAD">
        <w:t>’</w:t>
      </w:r>
      <w:r w:rsidR="00C10A1F" w:rsidRPr="00B41FAD">
        <w:t>identification en vue de la sauvegarde</w:t>
      </w:r>
      <w:r w:rsidR="00461004" w:rsidRPr="00B41FAD">
        <w:t xml:space="preserve"> », </w:t>
      </w:r>
      <w:r w:rsidR="00043DFF" w:rsidRPr="00B41FAD">
        <w:t>article </w:t>
      </w:r>
      <w:r w:rsidR="00C10A1F" w:rsidRPr="00B41FAD">
        <w:t xml:space="preserve">12.1). Cela implique </w:t>
      </w:r>
      <w:r w:rsidR="00E50AD5" w:rsidRPr="00B41FAD">
        <w:t>d’apporter</w:t>
      </w:r>
      <w:r w:rsidR="00C10A1F" w:rsidRPr="00B41FAD">
        <w:t xml:space="preserve"> </w:t>
      </w:r>
      <w:r w:rsidR="00E50AD5" w:rsidRPr="00B41FAD">
        <w:t xml:space="preserve">à l’inventaire </w:t>
      </w:r>
      <w:r w:rsidR="00C10A1F" w:rsidRPr="00B41FAD">
        <w:t xml:space="preserve">des </w:t>
      </w:r>
      <w:r w:rsidR="00AD06A3" w:rsidRPr="00B41FAD">
        <w:t>précision</w:t>
      </w:r>
      <w:r w:rsidR="00C10A1F" w:rsidRPr="00B41FAD">
        <w:t>s suffisant</w:t>
      </w:r>
      <w:r w:rsidR="00AD06A3" w:rsidRPr="00B41FAD">
        <w:t>e</w:t>
      </w:r>
      <w:r w:rsidR="00C10A1F" w:rsidRPr="00B41FAD">
        <w:t>s sur la viabilité et les menaces</w:t>
      </w:r>
      <w:r w:rsidR="00FD0A88" w:rsidRPr="00B41FAD">
        <w:t xml:space="preserve"> </w:t>
      </w:r>
      <w:r w:rsidR="00E50AD5" w:rsidRPr="00B41FAD">
        <w:t xml:space="preserve">pour guider </w:t>
      </w:r>
      <w:r w:rsidR="00C32484" w:rsidRPr="00B41FAD">
        <w:t>le choix d</w:t>
      </w:r>
      <w:r w:rsidR="00C47E91" w:rsidRPr="00B41FAD">
        <w:t>es</w:t>
      </w:r>
      <w:r w:rsidR="00C10A1F" w:rsidRPr="00B41FAD">
        <w:t xml:space="preserve"> mesures de sauvegarde </w:t>
      </w:r>
      <w:r w:rsidR="00C32484" w:rsidRPr="00B41FAD">
        <w:t xml:space="preserve">applicables </w:t>
      </w:r>
      <w:r w:rsidR="00C10A1F" w:rsidRPr="00B41FAD">
        <w:t>à l</w:t>
      </w:r>
      <w:r w:rsidR="00A61E6D" w:rsidRPr="00B41FAD">
        <w:t>’</w:t>
      </w:r>
      <w:r w:rsidR="00C10A1F" w:rsidRPr="00B41FAD">
        <w:t>avenir</w:t>
      </w:r>
      <w:r w:rsidR="007C119C" w:rsidRPr="00B41FAD">
        <w:t>.</w:t>
      </w:r>
    </w:p>
    <w:p w:rsidR="004325DC" w:rsidRPr="00B41FAD" w:rsidRDefault="00C47E91" w:rsidP="009121FA">
      <w:pPr>
        <w:pStyle w:val="Txtpucegras"/>
        <w:ind w:left="1134"/>
      </w:pPr>
      <w:r w:rsidRPr="00B41FAD">
        <w:t>Ê</w:t>
      </w:r>
      <w:r w:rsidR="00C10A1F" w:rsidRPr="00B41FAD">
        <w:t>tre aussi ouverts que possible à la diversité du PCI présent sur le territoire de l</w:t>
      </w:r>
      <w:r w:rsidR="00A61E6D" w:rsidRPr="00B41FAD">
        <w:t>’</w:t>
      </w:r>
      <w:r w:rsidR="00C10A1F" w:rsidRPr="00B41FAD">
        <w:t>État partie concerné (</w:t>
      </w:r>
      <w:r w:rsidR="00D41FCE" w:rsidRPr="00B41FAD">
        <w:t>« </w:t>
      </w:r>
      <w:r w:rsidR="005800F5" w:rsidRPr="00B41FAD">
        <w:rPr>
          <w:i/>
        </w:rPr>
        <w:t>du</w:t>
      </w:r>
      <w:r w:rsidR="00C10A1F" w:rsidRPr="00B41FAD">
        <w:t xml:space="preserve"> patrimoine culturel immatériel</w:t>
      </w:r>
      <w:r w:rsidR="00C10A1F" w:rsidRPr="00B41FAD" w:rsidDel="00BB005F">
        <w:t xml:space="preserve"> </w:t>
      </w:r>
      <w:r w:rsidR="00C10A1F" w:rsidRPr="00B41FAD">
        <w:t>présent sur son territoire</w:t>
      </w:r>
      <w:r w:rsidR="005800F5" w:rsidRPr="00B41FAD">
        <w:t> »</w:t>
      </w:r>
      <w:r w:rsidR="00F34147" w:rsidRPr="00B41FAD">
        <w:t>,</w:t>
      </w:r>
      <w:r w:rsidR="00461004" w:rsidRPr="00B41FAD">
        <w:t xml:space="preserve"> </w:t>
      </w:r>
      <w:r w:rsidRPr="00B41FAD">
        <w:t>stipule l’</w:t>
      </w:r>
      <w:r w:rsidR="00043DFF" w:rsidRPr="00B41FAD">
        <w:t>article </w:t>
      </w:r>
      <w:r w:rsidR="00C10A1F" w:rsidRPr="00B41FAD">
        <w:t>12.1 [italique ajouté]</w:t>
      </w:r>
      <w:r w:rsidR="005800F5" w:rsidRPr="00B41FAD">
        <w:t>)</w:t>
      </w:r>
      <w:r w:rsidR="007C119C" w:rsidRPr="00B41FAD">
        <w:t>.</w:t>
      </w:r>
    </w:p>
    <w:p w:rsidR="004325DC" w:rsidRPr="00B41FAD" w:rsidRDefault="00C47E91" w:rsidP="009121FA">
      <w:pPr>
        <w:pStyle w:val="Txtpucegras"/>
        <w:ind w:left="1134"/>
      </w:pPr>
      <w:r w:rsidRPr="00B41FAD">
        <w:t>F</w:t>
      </w:r>
      <w:r w:rsidR="005800F5" w:rsidRPr="00B41FAD">
        <w:t>aire l’objet d’une</w:t>
      </w:r>
      <w:r w:rsidR="00C10A1F" w:rsidRPr="00B41FAD">
        <w:t xml:space="preserve"> mis</w:t>
      </w:r>
      <w:r w:rsidR="005800F5" w:rsidRPr="00B41FAD">
        <w:t>e</w:t>
      </w:r>
      <w:r w:rsidR="00C10A1F" w:rsidRPr="00B41FAD">
        <w:t xml:space="preserve"> à jour régulière (</w:t>
      </w:r>
      <w:r w:rsidR="00043DFF" w:rsidRPr="00B41FAD">
        <w:t>article </w:t>
      </w:r>
      <w:r w:rsidR="005800F5" w:rsidRPr="00B41FAD">
        <w:t>12.</w:t>
      </w:r>
      <w:r w:rsidR="005800F5" w:rsidRPr="004A2852">
        <w:t>1</w:t>
      </w:r>
      <w:r w:rsidR="00EA0768" w:rsidRPr="00B41FAD">
        <w:t>) et</w:t>
      </w:r>
      <w:r w:rsidR="0056743A" w:rsidRPr="00B41FAD">
        <w:t>,</w:t>
      </w:r>
      <w:r w:rsidR="00C10A1F" w:rsidRPr="00B41FAD">
        <w:t xml:space="preserve"> </w:t>
      </w:r>
      <w:r w:rsidR="0056743A" w:rsidRPr="00B41FAD">
        <w:t>par conséquent, être conçus de telle sorte qu’ils puissent être facilement mis</w:t>
      </w:r>
      <w:r w:rsidR="00C10A1F" w:rsidRPr="00B41FAD">
        <w:t xml:space="preserve"> à jour</w:t>
      </w:r>
      <w:r w:rsidR="007C119C" w:rsidRPr="00B41FAD">
        <w:t>.</w:t>
      </w:r>
    </w:p>
    <w:p w:rsidR="004325DC" w:rsidRPr="00B41FAD" w:rsidRDefault="00C47E91" w:rsidP="009121FA">
      <w:pPr>
        <w:pStyle w:val="Txtpucegras"/>
        <w:ind w:left="1134"/>
      </w:pPr>
      <w:r w:rsidRPr="00B41FAD">
        <w:t>F</w:t>
      </w:r>
      <w:r w:rsidR="00C10A1F" w:rsidRPr="00B41FAD">
        <w:t>aire l</w:t>
      </w:r>
      <w:r w:rsidR="00A61E6D" w:rsidRPr="00B41FAD">
        <w:t>’</w:t>
      </w:r>
      <w:r w:rsidR="00C10A1F" w:rsidRPr="00B41FAD">
        <w:t xml:space="preserve">objet de </w:t>
      </w:r>
      <w:r w:rsidR="00D915D7" w:rsidRPr="00B41FAD">
        <w:t>rapports réguliers</w:t>
      </w:r>
      <w:r w:rsidR="00EA1FE1" w:rsidRPr="00B41FAD">
        <w:t> :</w:t>
      </w:r>
      <w:r w:rsidR="00C10A1F" w:rsidRPr="00B41FAD">
        <w:t xml:space="preserve"> la </w:t>
      </w:r>
      <w:r w:rsidR="00461004" w:rsidRPr="00B41FAD">
        <w:t>DO </w:t>
      </w:r>
      <w:r w:rsidR="00F15D89" w:rsidRPr="00B41FAD">
        <w:t>153(a) indique que le rapport</w:t>
      </w:r>
      <w:r w:rsidR="00C10A1F" w:rsidRPr="00B41FAD">
        <w:t xml:space="preserve"> </w:t>
      </w:r>
      <w:r w:rsidR="00F15D89" w:rsidRPr="00B41FAD">
        <w:t xml:space="preserve">périodique </w:t>
      </w:r>
      <w:r w:rsidR="00C9102A" w:rsidRPr="00B41FAD">
        <w:t>que</w:t>
      </w:r>
      <w:r w:rsidR="00C10A1F" w:rsidRPr="00B41FAD">
        <w:t xml:space="preserve"> </w:t>
      </w:r>
      <w:r w:rsidR="00F34147" w:rsidRPr="00B41FAD">
        <w:t>chaque</w:t>
      </w:r>
      <w:r w:rsidR="008E5AB8" w:rsidRPr="00B41FAD">
        <w:t xml:space="preserve"> </w:t>
      </w:r>
      <w:r w:rsidR="00F15D89" w:rsidRPr="00B41FAD">
        <w:t>État partie</w:t>
      </w:r>
      <w:r w:rsidR="00F34147" w:rsidRPr="00B41FAD">
        <w:t xml:space="preserve"> a</w:t>
      </w:r>
      <w:r w:rsidR="008E5AB8" w:rsidRPr="00B41FAD">
        <w:t xml:space="preserve"> l’obligation de</w:t>
      </w:r>
      <w:r w:rsidR="00C9102A" w:rsidRPr="00B41FAD">
        <w:t xml:space="preserve"> soumet</w:t>
      </w:r>
      <w:r w:rsidR="008E5AB8" w:rsidRPr="00B41FAD">
        <w:t>tre</w:t>
      </w:r>
      <w:r w:rsidR="00C10A1F" w:rsidRPr="00B41FAD">
        <w:t xml:space="preserve"> tous les six ans au Comité (conformément à l</w:t>
      </w:r>
      <w:r w:rsidR="00A61E6D" w:rsidRPr="00B41FAD">
        <w:t>’</w:t>
      </w:r>
      <w:r w:rsidR="00043DFF" w:rsidRPr="00B41FAD">
        <w:t>article </w:t>
      </w:r>
      <w:r w:rsidR="00C10A1F" w:rsidRPr="00B41FAD">
        <w:t>2</w:t>
      </w:r>
      <w:r w:rsidR="003975EA" w:rsidRPr="004A2852">
        <w:t>9</w:t>
      </w:r>
      <w:r w:rsidR="00696CE9" w:rsidRPr="00B41FAD">
        <w:t>)</w:t>
      </w:r>
      <w:r w:rsidR="00C10A1F" w:rsidRPr="00B41FAD">
        <w:t xml:space="preserve"> </w:t>
      </w:r>
      <w:r w:rsidR="008E5AB8" w:rsidRPr="00B41FAD">
        <w:t xml:space="preserve">doit </w:t>
      </w:r>
      <w:r w:rsidR="00F15D89" w:rsidRPr="00B41FAD">
        <w:t>fourni</w:t>
      </w:r>
      <w:r w:rsidR="008E5AB8" w:rsidRPr="00B41FAD">
        <w:t>r</w:t>
      </w:r>
      <w:r w:rsidR="00C10A1F" w:rsidRPr="00B41FAD">
        <w:t xml:space="preserve"> des informations </w:t>
      </w:r>
      <w:r w:rsidR="00F15D89" w:rsidRPr="00B41FAD">
        <w:t>concernant</w:t>
      </w:r>
      <w:r w:rsidR="00043DFF" w:rsidRPr="00B41FAD">
        <w:t xml:space="preserve"> « </w:t>
      </w:r>
      <w:r w:rsidR="00C10A1F" w:rsidRPr="00B41FAD">
        <w:t>l</w:t>
      </w:r>
      <w:r w:rsidR="00A61E6D" w:rsidRPr="00B41FAD">
        <w:t>’</w:t>
      </w:r>
      <w:r w:rsidR="00C10A1F" w:rsidRPr="00B41FAD">
        <w:t>établissement d</w:t>
      </w:r>
      <w:r w:rsidR="00A61E6D" w:rsidRPr="00B41FAD">
        <w:t>’</w:t>
      </w:r>
      <w:r w:rsidR="00C10A1F" w:rsidRPr="00B41FAD">
        <w:t xml:space="preserve">inventaires, comme indiqué aux </w:t>
      </w:r>
      <w:r w:rsidR="00C9102A" w:rsidRPr="00B41FAD">
        <w:t xml:space="preserve">articles </w:t>
      </w:r>
      <w:r w:rsidR="00C10A1F" w:rsidRPr="00B41FAD">
        <w:t>11 et</w:t>
      </w:r>
      <w:r w:rsidR="00953DB9" w:rsidRPr="00B41FAD">
        <w:t> </w:t>
      </w:r>
      <w:r w:rsidR="00C10A1F" w:rsidRPr="00B41FAD">
        <w:t>12 de la Convention</w:t>
      </w:r>
      <w:r w:rsidR="00461004" w:rsidRPr="00B41FAD">
        <w:t> ».</w:t>
      </w:r>
    </w:p>
    <w:p w:rsidR="00C10A1F" w:rsidRPr="00B41FAD" w:rsidRDefault="00696CE9" w:rsidP="00384E33">
      <w:pPr>
        <w:pStyle w:val="Heading4"/>
        <w:tabs>
          <w:tab w:val="right" w:pos="8838"/>
        </w:tabs>
        <w:rPr>
          <w:color w:val="000000" w:themeColor="text1"/>
        </w:rPr>
      </w:pPr>
      <w:bookmarkStart w:id="34" w:name="_Toc247360194"/>
      <w:r w:rsidRPr="00B41FAD">
        <w:rPr>
          <w:color w:val="000000" w:themeColor="text1"/>
        </w:rPr>
        <w:t xml:space="preserve">portée </w:t>
      </w:r>
      <w:r w:rsidR="00C10A1F" w:rsidRPr="00B41FAD">
        <w:rPr>
          <w:color w:val="000000" w:themeColor="text1"/>
        </w:rPr>
        <w:t xml:space="preserve">et </w:t>
      </w:r>
      <w:r w:rsidRPr="00B41FAD">
        <w:rPr>
          <w:color w:val="000000" w:themeColor="text1"/>
        </w:rPr>
        <w:t>taille</w:t>
      </w:r>
      <w:r w:rsidR="00C10A1F" w:rsidRPr="00B41FAD">
        <w:rPr>
          <w:color w:val="000000" w:themeColor="text1"/>
        </w:rPr>
        <w:t xml:space="preserve"> des inventaires</w:t>
      </w:r>
      <w:bookmarkEnd w:id="34"/>
    </w:p>
    <w:p w:rsidR="004325DC" w:rsidRPr="00B41FAD" w:rsidRDefault="00C10A1F" w:rsidP="00914287">
      <w:pPr>
        <w:pStyle w:val="Texte1"/>
      </w:pPr>
      <w:r w:rsidRPr="00B41FAD">
        <w:t xml:space="preserve">La Convention ne </w:t>
      </w:r>
      <w:r w:rsidR="00803088" w:rsidRPr="00B41FAD">
        <w:t>fait aucune allusion à</w:t>
      </w:r>
      <w:r w:rsidRPr="00B41FAD">
        <w:t xml:space="preserve"> la préparation d</w:t>
      </w:r>
      <w:r w:rsidR="00A61E6D" w:rsidRPr="00B41FAD">
        <w:t>’</w:t>
      </w:r>
      <w:r w:rsidRPr="00B41FAD">
        <w:t>un inventaire</w:t>
      </w:r>
      <w:r w:rsidR="00043DFF" w:rsidRPr="00B41FAD">
        <w:t xml:space="preserve"> « </w:t>
      </w:r>
      <w:r w:rsidRPr="00B41FAD">
        <w:t>national</w:t>
      </w:r>
      <w:r w:rsidR="009867A4" w:rsidRPr="00B41FAD">
        <w:t> »</w:t>
      </w:r>
      <w:r w:rsidR="00EA1FE1" w:rsidRPr="00B41FAD">
        <w:t> ;</w:t>
      </w:r>
      <w:r w:rsidRPr="00B41FAD">
        <w:t xml:space="preserve"> </w:t>
      </w:r>
      <w:r w:rsidR="00370E06" w:rsidRPr="00B41FAD">
        <w:t>la</w:t>
      </w:r>
      <w:r w:rsidR="00F26DCC" w:rsidRPr="00B41FAD">
        <w:t xml:space="preserve"> </w:t>
      </w:r>
      <w:r w:rsidR="00461004" w:rsidRPr="00B41FAD">
        <w:t>DO</w:t>
      </w:r>
      <w:r w:rsidR="00953DB9" w:rsidRPr="00B41FAD">
        <w:t xml:space="preserve"> </w:t>
      </w:r>
      <w:r w:rsidR="00D62A05" w:rsidRPr="00B41FAD">
        <w:t>153 (a)</w:t>
      </w:r>
      <w:r w:rsidRPr="00B41FAD">
        <w:t xml:space="preserve"> </w:t>
      </w:r>
      <w:r w:rsidR="00803088" w:rsidRPr="00B41FAD">
        <w:t>mentionne</w:t>
      </w:r>
      <w:r w:rsidRPr="00B41FAD">
        <w:t xml:space="preserve"> l</w:t>
      </w:r>
      <w:r w:rsidR="00A61E6D" w:rsidRPr="00B41FAD">
        <w:t>’</w:t>
      </w:r>
      <w:r w:rsidRPr="00B41FAD">
        <w:t>établissement</w:t>
      </w:r>
      <w:r w:rsidR="00043DFF" w:rsidRPr="00B41FAD">
        <w:t xml:space="preserve"> « </w:t>
      </w:r>
      <w:r w:rsidRPr="00B41FAD">
        <w:t>d</w:t>
      </w:r>
      <w:r w:rsidR="00A61E6D" w:rsidRPr="00B41FAD">
        <w:t>’</w:t>
      </w:r>
      <w:r w:rsidRPr="00B41FAD">
        <w:t>inventaires</w:t>
      </w:r>
      <w:r w:rsidR="00043DFF" w:rsidRPr="00B41FAD">
        <w:t xml:space="preserve"> » </w:t>
      </w:r>
      <w:r w:rsidRPr="00B41FAD">
        <w:t xml:space="preserve">dans un État, </w:t>
      </w:r>
      <w:r w:rsidR="00803088" w:rsidRPr="00B41FAD">
        <w:t xml:space="preserve">ce qui </w:t>
      </w:r>
      <w:r w:rsidR="0017490F" w:rsidRPr="00B41FAD">
        <w:t>signifi</w:t>
      </w:r>
      <w:r w:rsidR="00803088" w:rsidRPr="00B41FAD">
        <w:t>e</w:t>
      </w:r>
      <w:r w:rsidRPr="00B41FAD">
        <w:t xml:space="preserve"> </w:t>
      </w:r>
      <w:r w:rsidR="00393E53" w:rsidRPr="00B41FAD">
        <w:t>qu’</w:t>
      </w:r>
      <w:r w:rsidRPr="00B41FAD">
        <w:t xml:space="preserve">il peut y avoir </w:t>
      </w:r>
      <w:r w:rsidR="00803088" w:rsidRPr="00B41FAD">
        <w:t xml:space="preserve">plusieurs </w:t>
      </w:r>
      <w:r w:rsidRPr="00B41FAD">
        <w:t xml:space="preserve">inventaires dans un seul État partie. Certains </w:t>
      </w:r>
      <w:r w:rsidR="00D33407" w:rsidRPr="00B41FAD">
        <w:t xml:space="preserve">d’entre eux préparent effectivement </w:t>
      </w:r>
      <w:r w:rsidRPr="00B41FAD">
        <w:t>des inventaires nationaux, mais la plupart des États fédéraux n</w:t>
      </w:r>
      <w:r w:rsidR="002746AA" w:rsidRPr="00B41FAD">
        <w:t>e seraient sans doute</w:t>
      </w:r>
      <w:r w:rsidRPr="00B41FAD">
        <w:t xml:space="preserve"> pas</w:t>
      </w:r>
      <w:r w:rsidR="002746AA" w:rsidRPr="00B41FAD">
        <w:t xml:space="preserve"> en mesure</w:t>
      </w:r>
      <w:r w:rsidRPr="00B41FAD">
        <w:t xml:space="preserve"> </w:t>
      </w:r>
      <w:r w:rsidR="002746AA" w:rsidRPr="00B41FAD">
        <w:t>d’avoir des inventaires</w:t>
      </w:r>
      <w:r w:rsidR="00043DFF" w:rsidRPr="00B41FAD">
        <w:t xml:space="preserve"> « </w:t>
      </w:r>
      <w:r w:rsidR="002746AA" w:rsidRPr="00B41FAD">
        <w:t>nationaux</w:t>
      </w:r>
      <w:r w:rsidR="00043DFF" w:rsidRPr="00B41FAD">
        <w:t xml:space="preserve"> » </w:t>
      </w:r>
      <w:r w:rsidRPr="00B41FAD">
        <w:t xml:space="preserve">et nombreux sont ceux qui </w:t>
      </w:r>
      <w:r w:rsidR="00122967" w:rsidRPr="00B41FAD">
        <w:t>dresse</w:t>
      </w:r>
      <w:r w:rsidRPr="00B41FAD">
        <w:t xml:space="preserve">nt des inventaires séparés pour différentes parties du pays, différents domaines, différentes communautés ou différents objectifs, ou </w:t>
      </w:r>
      <w:r w:rsidR="00AB6FFE" w:rsidRPr="00B41FAD">
        <w:t xml:space="preserve">pour </w:t>
      </w:r>
      <w:r w:rsidRPr="00B41FAD">
        <w:t>des combinaisons</w:t>
      </w:r>
      <w:r w:rsidR="00AB6FFE" w:rsidRPr="00B41FAD">
        <w:t xml:space="preserve"> de </w:t>
      </w:r>
      <w:r w:rsidR="00AB6FFE" w:rsidRPr="00B41FAD">
        <w:lastRenderedPageBreak/>
        <w:t>ceux-ci</w:t>
      </w:r>
      <w:r w:rsidRPr="00B41FAD">
        <w:t xml:space="preserve">. </w:t>
      </w:r>
      <w:r w:rsidR="00AB6FFE" w:rsidRPr="00B41FAD">
        <w:t>Quand un État</w:t>
      </w:r>
      <w:r w:rsidRPr="00B41FAD">
        <w:t xml:space="preserve"> </w:t>
      </w:r>
      <w:r w:rsidR="00623A9E" w:rsidRPr="00B41FAD">
        <w:t>entreprend</w:t>
      </w:r>
      <w:r w:rsidRPr="00B41FAD">
        <w:t xml:space="preserve"> </w:t>
      </w:r>
      <w:r w:rsidR="006757EA" w:rsidRPr="00B41FAD">
        <w:t>plusieurs</w:t>
      </w:r>
      <w:r w:rsidRPr="00B41FAD">
        <w:t xml:space="preserve"> inventaire</w:t>
      </w:r>
      <w:r w:rsidR="006757EA" w:rsidRPr="00B41FAD">
        <w:t>s</w:t>
      </w:r>
      <w:r w:rsidRPr="00B41FAD">
        <w:t>, rien ne l</w:t>
      </w:r>
      <w:r w:rsidR="00A61E6D" w:rsidRPr="00B41FAD">
        <w:t>’</w:t>
      </w:r>
      <w:r w:rsidRPr="00B41FAD">
        <w:t xml:space="preserve">oblige à </w:t>
      </w:r>
      <w:r w:rsidR="00AB6FFE" w:rsidRPr="00B41FAD">
        <w:t>les organiser</w:t>
      </w:r>
      <w:r w:rsidRPr="00B41FAD">
        <w:t xml:space="preserve"> de manière ide</w:t>
      </w:r>
      <w:r w:rsidR="00AB6FFE" w:rsidRPr="00B41FAD">
        <w:t>ntique. Toutefois,</w:t>
      </w:r>
      <w:r w:rsidR="005D5FCE" w:rsidRPr="00B41FAD">
        <w:t xml:space="preserve"> l’idéal serait de fix</w:t>
      </w:r>
      <w:r w:rsidRPr="00B41FAD">
        <w:t>er un</w:t>
      </w:r>
      <w:r w:rsidR="00122967" w:rsidRPr="00B41FAD">
        <w:t xml:space="preserve"> niveau </w:t>
      </w:r>
      <w:r w:rsidR="005D5FCE" w:rsidRPr="00B41FAD">
        <w:t xml:space="preserve">minimal uniforme </w:t>
      </w:r>
      <w:r w:rsidR="00122967" w:rsidRPr="00B41FAD">
        <w:t xml:space="preserve">de détail </w:t>
      </w:r>
      <w:r w:rsidR="007C58AD" w:rsidRPr="00B41FAD">
        <w:t xml:space="preserve">pour </w:t>
      </w:r>
      <w:r w:rsidR="00122967" w:rsidRPr="00B41FAD">
        <w:t>aid</w:t>
      </w:r>
      <w:r w:rsidR="007C58AD" w:rsidRPr="00B41FAD">
        <w:t>er à la sauvegarde</w:t>
      </w:r>
      <w:r w:rsidRPr="00B41FAD">
        <w:t>.</w:t>
      </w:r>
    </w:p>
    <w:p w:rsidR="004325DC" w:rsidRPr="00B41FAD" w:rsidRDefault="00C10A1F" w:rsidP="00914287">
      <w:pPr>
        <w:pStyle w:val="Texte1"/>
      </w:pPr>
      <w:r w:rsidRPr="00B41FAD">
        <w:t>L</w:t>
      </w:r>
      <w:r w:rsidR="00E105D4" w:rsidRPr="00B41FAD">
        <w:t>a portée</w:t>
      </w:r>
      <w:r w:rsidRPr="00B41FAD">
        <w:t xml:space="preserve"> et la </w:t>
      </w:r>
      <w:r w:rsidR="00E105D4" w:rsidRPr="00B41FAD">
        <w:t>taille</w:t>
      </w:r>
      <w:r w:rsidR="00FE3252" w:rsidRPr="00B41FAD">
        <w:t xml:space="preserve"> des inventaires</w:t>
      </w:r>
      <w:r w:rsidRPr="00B41FAD">
        <w:t xml:space="preserve"> </w:t>
      </w:r>
      <w:r w:rsidR="00FE3252" w:rsidRPr="00B41FAD">
        <w:t xml:space="preserve">sont extrêmement </w:t>
      </w:r>
      <w:r w:rsidRPr="00B41FAD">
        <w:t>vari</w:t>
      </w:r>
      <w:r w:rsidR="00FE3252" w:rsidRPr="00B41FAD">
        <w:t>ables</w:t>
      </w:r>
      <w:r w:rsidRPr="00B41FAD">
        <w:t xml:space="preserve"> </w:t>
      </w:r>
      <w:r w:rsidR="00920299" w:rsidRPr="00B41FAD">
        <w:t xml:space="preserve">selon leur </w:t>
      </w:r>
      <w:r w:rsidR="00623A9E" w:rsidRPr="00B41FAD">
        <w:t>finalité</w:t>
      </w:r>
      <w:r w:rsidR="00920299" w:rsidRPr="00B41FAD">
        <w:t>, les ressources disponibles et l</w:t>
      </w:r>
      <w:r w:rsidRPr="00B41FAD">
        <w:t xml:space="preserve">es </w:t>
      </w:r>
      <w:r w:rsidR="00920299" w:rsidRPr="00B41FAD">
        <w:t>techniqu</w:t>
      </w:r>
      <w:r w:rsidRPr="00B41FAD">
        <w:t>es de génération et de systématisation de l</w:t>
      </w:r>
      <w:r w:rsidR="00A61E6D" w:rsidRPr="00B41FAD">
        <w:t>’</w:t>
      </w:r>
      <w:r w:rsidRPr="00B41FAD">
        <w:t xml:space="preserve">information. Certains pays, par exemple, </w:t>
      </w:r>
      <w:r w:rsidR="002A5DC9" w:rsidRPr="00B41FAD">
        <w:t>regroup</w:t>
      </w:r>
      <w:r w:rsidRPr="00B41FAD">
        <w:t>ent le patrimoin</w:t>
      </w:r>
      <w:r w:rsidR="00623A9E" w:rsidRPr="00B41FAD">
        <w:t>e matériel et immatériel dans un</w:t>
      </w:r>
      <w:r w:rsidRPr="00B41FAD">
        <w:t xml:space="preserve"> même inventaire. Il y a des inventaires qui </w:t>
      </w:r>
      <w:r w:rsidR="000467C1" w:rsidRPr="00B41FAD">
        <w:t>entendent</w:t>
      </w:r>
      <w:r w:rsidRPr="00B41FAD">
        <w:t xml:space="preserve"> avoir une </w:t>
      </w:r>
      <w:r w:rsidR="000467C1" w:rsidRPr="00B41FAD">
        <w:t>portée exhaustive quand</w:t>
      </w:r>
      <w:r w:rsidRPr="00B41FAD">
        <w:t xml:space="preserve"> d</w:t>
      </w:r>
      <w:r w:rsidR="00A61E6D" w:rsidRPr="00B41FAD">
        <w:t>’</w:t>
      </w:r>
      <w:r w:rsidRPr="00B41FAD">
        <w:t xml:space="preserve">autres </w:t>
      </w:r>
      <w:r w:rsidR="000467C1" w:rsidRPr="00B41FAD">
        <w:t>vise</w:t>
      </w:r>
      <w:r w:rsidR="00242EE4" w:rsidRPr="00B41FAD">
        <w:t xml:space="preserve">nt </w:t>
      </w:r>
      <w:r w:rsidRPr="00B41FAD">
        <w:t xml:space="preserve">un échantillon représentatif. Certains inventaires </w:t>
      </w:r>
      <w:r w:rsidR="00971BA6" w:rsidRPr="00B41FAD">
        <w:t>en cours d’élaboration</w:t>
      </w:r>
      <w:r w:rsidRPr="00B41FAD">
        <w:t xml:space="preserve"> </w:t>
      </w:r>
      <w:r w:rsidR="001102E0" w:rsidRPr="00B41FAD">
        <w:t>sont pareils</w:t>
      </w:r>
      <w:r w:rsidRPr="00B41FAD">
        <w:t xml:space="preserve"> à </w:t>
      </w:r>
      <w:r w:rsidR="001102E0" w:rsidRPr="00B41FAD">
        <w:t xml:space="preserve">des encyclopédies, </w:t>
      </w:r>
      <w:r w:rsidR="009729CB" w:rsidRPr="00B41FAD">
        <w:t>livrant</w:t>
      </w:r>
      <w:r w:rsidRPr="00B41FAD">
        <w:t xml:space="preserve"> plutôt</w:t>
      </w:r>
      <w:r w:rsidR="001102E0" w:rsidRPr="00B41FAD">
        <w:t xml:space="preserve"> des généralité</w:t>
      </w:r>
      <w:r w:rsidR="00F511BC" w:rsidRPr="00B41FAD">
        <w:t xml:space="preserve">s sur les éléments </w:t>
      </w:r>
      <w:r w:rsidRPr="00B41FAD">
        <w:t>présent</w:t>
      </w:r>
      <w:r w:rsidR="00F511BC" w:rsidRPr="00B41FAD">
        <w:t>és</w:t>
      </w:r>
      <w:r w:rsidR="00EA1FE1" w:rsidRPr="00B41FAD">
        <w:t> ;</w:t>
      </w:r>
      <w:r w:rsidRPr="00B41FAD">
        <w:t xml:space="preserve"> d</w:t>
      </w:r>
      <w:r w:rsidR="00A61E6D" w:rsidRPr="00B41FAD">
        <w:t>’</w:t>
      </w:r>
      <w:r w:rsidRPr="00B41FAD">
        <w:t xml:space="preserve">autres </w:t>
      </w:r>
      <w:r w:rsidR="009729CB" w:rsidRPr="00B41FAD">
        <w:t>contienn</w:t>
      </w:r>
      <w:r w:rsidRPr="00B41FAD">
        <w:t xml:space="preserve">ent des informations détaillées sur </w:t>
      </w:r>
      <w:r w:rsidR="009729CB" w:rsidRPr="00B41FAD">
        <w:t>une partie, voire la totalité d</w:t>
      </w:r>
      <w:r w:rsidRPr="00B41FAD">
        <w:t>es éléments inclus.</w:t>
      </w:r>
    </w:p>
    <w:p w:rsidR="00C10A1F" w:rsidRPr="00B41FAD" w:rsidRDefault="00C10A1F">
      <w:pPr>
        <w:pStyle w:val="Heading4"/>
      </w:pPr>
      <w:bookmarkStart w:id="35" w:name="_Toc247360195"/>
      <w:r w:rsidRPr="00B41FAD">
        <w:t>Organiser l</w:t>
      </w:r>
      <w:r w:rsidR="00A61E6D" w:rsidRPr="00B41FAD">
        <w:t>’</w:t>
      </w:r>
      <w:r w:rsidRPr="00B41FAD">
        <w:t>information</w:t>
      </w:r>
      <w:bookmarkEnd w:id="35"/>
    </w:p>
    <w:p w:rsidR="004325DC" w:rsidRPr="00B41FAD" w:rsidRDefault="00C10A1F" w:rsidP="00914287">
      <w:pPr>
        <w:pStyle w:val="Texte1"/>
      </w:pPr>
      <w:r w:rsidRPr="00B41FAD">
        <w:t xml:space="preserve">Quand un État partie </w:t>
      </w:r>
      <w:r w:rsidR="00F511BC" w:rsidRPr="00B41FAD">
        <w:t>dresse</w:t>
      </w:r>
      <w:r w:rsidRPr="00B41FAD">
        <w:t xml:space="preserve"> plusieurs inventaires, par exemple aux niveaux national et provincial, cela introduit parfois </w:t>
      </w:r>
      <w:r w:rsidR="003518D9" w:rsidRPr="00B41FAD">
        <w:t>d</w:t>
      </w:r>
      <w:r w:rsidRPr="00B41FAD">
        <w:t>es hiérarchies entre les éléments du PCI. Dans d</w:t>
      </w:r>
      <w:r w:rsidR="00A61E6D" w:rsidRPr="00B41FAD">
        <w:t>’</w:t>
      </w:r>
      <w:r w:rsidRPr="00B41FAD">
        <w:t>autres cas, l</w:t>
      </w:r>
      <w:r w:rsidR="00381367" w:rsidRPr="00B41FAD">
        <w:t>’in</w:t>
      </w:r>
      <w:r w:rsidR="00A20A1A" w:rsidRPr="00B41FAD">
        <w:t>script</w:t>
      </w:r>
      <w:r w:rsidR="00381367" w:rsidRPr="00B41FAD">
        <w:t>ion</w:t>
      </w:r>
      <w:r w:rsidRPr="00B41FAD">
        <w:t xml:space="preserve"> </w:t>
      </w:r>
      <w:r w:rsidR="00381367" w:rsidRPr="00B41FAD">
        <w:t>d’</w:t>
      </w:r>
      <w:r w:rsidRPr="00B41FAD">
        <w:t>un élément</w:t>
      </w:r>
      <w:r w:rsidR="00C369A8" w:rsidRPr="00B41FAD">
        <w:t xml:space="preserve"> à l’inventaire</w:t>
      </w:r>
      <w:r w:rsidR="00F511BC" w:rsidRPr="00B41FAD">
        <w:t xml:space="preserve"> </w:t>
      </w:r>
      <w:r w:rsidR="00C369A8" w:rsidRPr="00B41FAD">
        <w:t>porte à</w:t>
      </w:r>
      <w:r w:rsidR="00381367" w:rsidRPr="00B41FAD">
        <w:t xml:space="preserve"> croire qu’il </w:t>
      </w:r>
      <w:r w:rsidR="00F511BC" w:rsidRPr="00B41FAD">
        <w:t>a</w:t>
      </w:r>
      <w:r w:rsidR="00381367" w:rsidRPr="00B41FAD">
        <w:t xml:space="preserve"> </w:t>
      </w:r>
      <w:r w:rsidR="00F511BC" w:rsidRPr="00B41FAD">
        <w:t>davantage</w:t>
      </w:r>
      <w:r w:rsidRPr="00B41FAD">
        <w:rPr>
          <w:color w:val="000000" w:themeColor="text1"/>
        </w:rPr>
        <w:t xml:space="preserve"> </w:t>
      </w:r>
      <w:r w:rsidR="00F511BC" w:rsidRPr="00B41FAD">
        <w:rPr>
          <w:color w:val="000000" w:themeColor="text1"/>
        </w:rPr>
        <w:t>d’</w:t>
      </w:r>
      <w:r w:rsidRPr="00B41FAD">
        <w:rPr>
          <w:color w:val="000000" w:themeColor="text1"/>
        </w:rPr>
        <w:t>importan</w:t>
      </w:r>
      <w:r w:rsidR="00F511BC" w:rsidRPr="00B41FAD">
        <w:rPr>
          <w:color w:val="000000" w:themeColor="text1"/>
        </w:rPr>
        <w:t>ce</w:t>
      </w:r>
      <w:r w:rsidRPr="00B41FAD">
        <w:t xml:space="preserve"> que ceux qui n</w:t>
      </w:r>
      <w:r w:rsidR="00A61E6D" w:rsidRPr="00B41FAD">
        <w:t>’</w:t>
      </w:r>
      <w:r w:rsidRPr="00B41FAD">
        <w:t>ont pas été inventoriés. Certains pays indiquent clairement que l</w:t>
      </w:r>
      <w:r w:rsidR="00A61E6D" w:rsidRPr="00B41FAD">
        <w:t>’</w:t>
      </w:r>
      <w:r w:rsidR="00D41FCE" w:rsidRPr="00B41FAD">
        <w:t>in</w:t>
      </w:r>
      <w:r w:rsidR="00BE268E" w:rsidRPr="00B41FAD">
        <w:t>script</w:t>
      </w:r>
      <w:r w:rsidR="00D41FCE" w:rsidRPr="00B41FAD">
        <w:t>ion sur les l</w:t>
      </w:r>
      <w:r w:rsidRPr="00B41FAD">
        <w:t xml:space="preserve">istes nationales est étroitement liée aux candidatures </w:t>
      </w:r>
      <w:r w:rsidR="00BE268E" w:rsidRPr="00B41FAD">
        <w:t>actuelle</w:t>
      </w:r>
      <w:r w:rsidRPr="00B41FAD">
        <w:t xml:space="preserve">s et proposées sur les Listes de la Convention. </w:t>
      </w:r>
      <w:r w:rsidR="00BE268E" w:rsidRPr="00B41FAD">
        <w:t>La création de</w:t>
      </w:r>
      <w:r w:rsidRPr="00B41FAD">
        <w:t xml:space="preserve"> hiérarchies entre les éléments du PCI va cependant à l</w:t>
      </w:r>
      <w:r w:rsidR="00A61E6D" w:rsidRPr="00B41FAD">
        <w:t>’</w:t>
      </w:r>
      <w:r w:rsidRPr="00B41FAD">
        <w:t xml:space="preserve">encontre </w:t>
      </w:r>
      <w:r w:rsidR="00242EE4" w:rsidRPr="00B41FAD">
        <w:t xml:space="preserve">de </w:t>
      </w:r>
      <w:r w:rsidRPr="00B41FAD">
        <w:t>l</w:t>
      </w:r>
      <w:r w:rsidR="00A61E6D" w:rsidRPr="00B41FAD">
        <w:t>’</w:t>
      </w:r>
      <w:r w:rsidRPr="00B41FAD">
        <w:t>esprit de la Convention.</w:t>
      </w:r>
    </w:p>
    <w:p w:rsidR="004325DC" w:rsidRPr="00B41FAD" w:rsidRDefault="00C10A1F" w:rsidP="00914287">
      <w:pPr>
        <w:pStyle w:val="Texte1"/>
      </w:pPr>
      <w:r w:rsidRPr="00B41FAD">
        <w:t>Pour organiser l</w:t>
      </w:r>
      <w:r w:rsidR="00A61E6D" w:rsidRPr="00B41FAD">
        <w:t>’</w:t>
      </w:r>
      <w:r w:rsidRPr="00B41FAD">
        <w:t xml:space="preserve">information, certains États parties </w:t>
      </w:r>
      <w:r w:rsidR="00AD1769" w:rsidRPr="00B41FAD">
        <w:t>prenn</w:t>
      </w:r>
      <w:r w:rsidRPr="00B41FAD">
        <w:t>ent l</w:t>
      </w:r>
      <w:r w:rsidR="00A61E6D" w:rsidRPr="00B41FAD">
        <w:t>’</w:t>
      </w:r>
      <w:r w:rsidRPr="00B41FAD">
        <w:t>ensemble de</w:t>
      </w:r>
      <w:r w:rsidR="00AD1769" w:rsidRPr="00B41FAD">
        <w:t>s</w:t>
      </w:r>
      <w:r w:rsidRPr="00B41FAD">
        <w:t xml:space="preserve"> domaines </w:t>
      </w:r>
      <w:r w:rsidR="00C369A8" w:rsidRPr="00B41FAD">
        <w:t>énonc</w:t>
      </w:r>
      <w:r w:rsidR="00564B42" w:rsidRPr="00B41FAD">
        <w:t>é</w:t>
      </w:r>
      <w:r w:rsidR="00AD1769" w:rsidRPr="00B41FAD">
        <w:t>s</w:t>
      </w:r>
      <w:r w:rsidR="00564B42" w:rsidRPr="00B41FAD">
        <w:t xml:space="preserve"> de manière non exhaustive</w:t>
      </w:r>
      <w:r w:rsidR="00892EBD" w:rsidRPr="00B41FAD">
        <w:t xml:space="preserve"> </w:t>
      </w:r>
      <w:r w:rsidRPr="00B41FAD">
        <w:t>à l</w:t>
      </w:r>
      <w:r w:rsidR="00A61E6D" w:rsidRPr="00B41FAD">
        <w:t>’</w:t>
      </w:r>
      <w:r w:rsidR="00043DFF" w:rsidRPr="00B41FAD">
        <w:t>article </w:t>
      </w:r>
      <w:r w:rsidRPr="00B41FAD">
        <w:t xml:space="preserve">2.2 de la Convention, souvent avec des adaptations et/ou des ajouts. </w:t>
      </w:r>
      <w:r w:rsidR="00AD1769" w:rsidRPr="00B41FAD">
        <w:t>D’autres</w:t>
      </w:r>
      <w:r w:rsidRPr="00B41FAD">
        <w:t xml:space="preserve"> ont recours à un système de classification </w:t>
      </w:r>
      <w:r w:rsidR="00AD1769" w:rsidRPr="00B41FAD">
        <w:t>équivalent</w:t>
      </w:r>
      <w:r w:rsidRPr="00B41FAD">
        <w:t xml:space="preserve"> mis au point par des experts et/ou des représentants de la communauté. Quel que soit le sy</w:t>
      </w:r>
      <w:r w:rsidR="00AD1769" w:rsidRPr="00B41FAD">
        <w:t>stème retenu</w:t>
      </w:r>
      <w:r w:rsidRPr="00B41FAD">
        <w:t xml:space="preserve">, </w:t>
      </w:r>
      <w:r w:rsidR="002B6C50" w:rsidRPr="00B41FAD">
        <w:t>l’</w:t>
      </w:r>
      <w:r w:rsidRPr="00B41FAD">
        <w:t>important</w:t>
      </w:r>
      <w:r w:rsidR="002B6C50" w:rsidRPr="00B41FAD">
        <w:t xml:space="preserve"> est</w:t>
      </w:r>
      <w:r w:rsidRPr="00B41FAD">
        <w:t xml:space="preserve"> qu</w:t>
      </w:r>
      <w:r w:rsidR="00A61E6D" w:rsidRPr="00B41FAD">
        <w:t>’</w:t>
      </w:r>
      <w:r w:rsidRPr="00B41FAD">
        <w:t xml:space="preserve">il facilite </w:t>
      </w:r>
      <w:r w:rsidR="008520A6" w:rsidRPr="00B41FAD">
        <w:t xml:space="preserve">un </w:t>
      </w:r>
      <w:r w:rsidRPr="00B41FAD">
        <w:t>accès approprié à l</w:t>
      </w:r>
      <w:r w:rsidR="00A61E6D" w:rsidRPr="00B41FAD">
        <w:t>’</w:t>
      </w:r>
      <w:r w:rsidRPr="00B41FAD">
        <w:t xml:space="preserve">information </w:t>
      </w:r>
      <w:r w:rsidR="008520A6" w:rsidRPr="00B41FAD">
        <w:t>pour l</w:t>
      </w:r>
      <w:r w:rsidR="00A61FC0" w:rsidRPr="00B41FAD">
        <w:t xml:space="preserve">es </w:t>
      </w:r>
      <w:r w:rsidR="008520A6" w:rsidRPr="00B41FAD">
        <w:t>communautés concernées et</w:t>
      </w:r>
      <w:r w:rsidR="002B6C50" w:rsidRPr="00B41FAD">
        <w:t xml:space="preserve"> </w:t>
      </w:r>
      <w:r w:rsidRPr="00B41FAD">
        <w:t xml:space="preserve">autres </w:t>
      </w:r>
      <w:r w:rsidR="002B6C50" w:rsidRPr="00B41FAD">
        <w:t>parties prenantes</w:t>
      </w:r>
      <w:r w:rsidR="00A61FC0" w:rsidRPr="00B41FAD">
        <w:t xml:space="preserve"> à l’inventaire</w:t>
      </w:r>
      <w:r w:rsidRPr="00B41FAD">
        <w:t xml:space="preserve">. </w:t>
      </w:r>
      <w:r w:rsidR="00377457" w:rsidRPr="00B41FAD">
        <w:t>C</w:t>
      </w:r>
      <w:r w:rsidRPr="00B41FAD">
        <w:t>o</w:t>
      </w:r>
      <w:r w:rsidR="00377457" w:rsidRPr="00B41FAD">
        <w:t>nformément à</w:t>
      </w:r>
      <w:r w:rsidRPr="00B41FAD">
        <w:t xml:space="preserve"> l</w:t>
      </w:r>
      <w:r w:rsidR="00377457" w:rsidRPr="00B41FAD">
        <w:t>’obligation</w:t>
      </w:r>
      <w:r w:rsidRPr="00B41FAD">
        <w:t xml:space="preserve"> </w:t>
      </w:r>
      <w:r w:rsidR="00377457" w:rsidRPr="00B41FAD">
        <w:t>d’assurer la</w:t>
      </w:r>
      <w:r w:rsidRPr="00B41FAD">
        <w:t xml:space="preserve"> </w:t>
      </w:r>
      <w:r w:rsidR="00377457" w:rsidRPr="00B41FAD">
        <w:t>participation,</w:t>
      </w:r>
      <w:r w:rsidRPr="00B41FAD">
        <w:t xml:space="preserve"> l</w:t>
      </w:r>
      <w:r w:rsidR="00A61E6D" w:rsidRPr="00B41FAD">
        <w:t>’</w:t>
      </w:r>
      <w:r w:rsidR="00377457" w:rsidRPr="00B41FAD">
        <w:t xml:space="preserve">accès et le </w:t>
      </w:r>
      <w:r w:rsidRPr="00B41FAD">
        <w:t>consentement de</w:t>
      </w:r>
      <w:r w:rsidR="00A00FFA" w:rsidRPr="00B41FAD">
        <w:t>s</w:t>
      </w:r>
      <w:r w:rsidRPr="00B41FAD">
        <w:t xml:space="preserve"> communauté</w:t>
      </w:r>
      <w:r w:rsidR="00A00FFA" w:rsidRPr="00B41FAD">
        <w:t>s</w:t>
      </w:r>
      <w:r w:rsidRPr="00B41FAD">
        <w:t xml:space="preserve">, </w:t>
      </w:r>
      <w:r w:rsidR="00377457" w:rsidRPr="00B41FAD">
        <w:t xml:space="preserve">il </w:t>
      </w:r>
      <w:r w:rsidR="00694DF4" w:rsidRPr="00B41FAD">
        <w:t xml:space="preserve">faut veiller à </w:t>
      </w:r>
      <w:r w:rsidR="00DA6F98" w:rsidRPr="00B41FAD">
        <w:t>rendre</w:t>
      </w:r>
      <w:r w:rsidR="00361E6E" w:rsidRPr="00B41FAD">
        <w:t xml:space="preserve"> </w:t>
      </w:r>
      <w:r w:rsidRPr="00B41FAD">
        <w:t xml:space="preserve">les systèmes de </w:t>
      </w:r>
      <w:r w:rsidR="00361E6E" w:rsidRPr="00B41FAD">
        <w:t>classification et d</w:t>
      </w:r>
      <w:r w:rsidR="00A61E6D" w:rsidRPr="00B41FAD">
        <w:t>’</w:t>
      </w:r>
      <w:r w:rsidRPr="00B41FAD">
        <w:t xml:space="preserve">accès </w:t>
      </w:r>
      <w:r w:rsidR="00694DF4" w:rsidRPr="00B41FAD">
        <w:t>facil</w:t>
      </w:r>
      <w:r w:rsidR="00361E6E" w:rsidRPr="00B41FAD">
        <w:t>e</w:t>
      </w:r>
      <w:r w:rsidR="00A00FFA" w:rsidRPr="00B41FAD">
        <w:t>s à</w:t>
      </w:r>
      <w:r w:rsidR="00361E6E" w:rsidRPr="00B41FAD">
        <w:t xml:space="preserve"> compren</w:t>
      </w:r>
      <w:r w:rsidR="00A00FFA" w:rsidRPr="00B41FAD">
        <w:t>dre</w:t>
      </w:r>
      <w:r w:rsidR="00361E6E" w:rsidRPr="00B41FAD">
        <w:t xml:space="preserve"> pour les </w:t>
      </w:r>
      <w:r w:rsidR="00A00FFA" w:rsidRPr="00B41FAD">
        <w:t>profanes</w:t>
      </w:r>
      <w:r w:rsidR="00361E6E" w:rsidRPr="00B41FAD">
        <w:t xml:space="preserve"> et</w:t>
      </w:r>
      <w:r w:rsidR="00DA6F98" w:rsidRPr="00B41FAD">
        <w:t xml:space="preserve"> les communautés </w:t>
      </w:r>
      <w:r w:rsidR="00A00FFA" w:rsidRPr="00B41FAD">
        <w:t>elles-mêmes</w:t>
      </w:r>
      <w:r w:rsidRPr="00B41FAD">
        <w:t xml:space="preserve"> en employant</w:t>
      </w:r>
      <w:r w:rsidR="00A00FFA" w:rsidRPr="00B41FAD">
        <w:t>,</w:t>
      </w:r>
      <w:r w:rsidRPr="00B41FAD">
        <w:t xml:space="preserve"> par exemple</w:t>
      </w:r>
      <w:r w:rsidR="00A00FFA" w:rsidRPr="00B41FAD">
        <w:t>,</w:t>
      </w:r>
      <w:r w:rsidRPr="00B41FAD">
        <w:t xml:space="preserve"> des termes </w:t>
      </w:r>
      <w:r w:rsidR="00A00FFA" w:rsidRPr="00B41FAD">
        <w:t>locaux</w:t>
      </w:r>
      <w:r w:rsidRPr="00B41FAD">
        <w:t xml:space="preserve"> pour les désigner ou en mentionnant ces noms de manière explicite.</w:t>
      </w:r>
    </w:p>
    <w:p w:rsidR="00C10A1F" w:rsidRPr="00B41FAD" w:rsidRDefault="00C10A1F">
      <w:pPr>
        <w:pStyle w:val="Heading4"/>
      </w:pPr>
      <w:bookmarkStart w:id="36" w:name="_Toc247360196"/>
      <w:r w:rsidRPr="00B41FAD">
        <w:t>Utiliser les inventaires existants</w:t>
      </w:r>
      <w:bookmarkEnd w:id="36"/>
    </w:p>
    <w:p w:rsidR="004325DC" w:rsidRPr="00B41FAD" w:rsidRDefault="00C10A1F" w:rsidP="00914287">
      <w:pPr>
        <w:pStyle w:val="Texte1"/>
      </w:pPr>
      <w:r w:rsidRPr="00B41FAD">
        <w:t>Certains États parties peuvent envisager de présenter en guise d</w:t>
      </w:r>
      <w:r w:rsidR="00A61E6D" w:rsidRPr="00B41FAD">
        <w:t>’</w:t>
      </w:r>
      <w:r w:rsidRPr="00B41FAD">
        <w:t>inventaire</w:t>
      </w:r>
      <w:r w:rsidR="0017682C" w:rsidRPr="00B41FAD">
        <w:t xml:space="preserve"> les registres existants</w:t>
      </w:r>
      <w:r w:rsidR="00833F35" w:rsidRPr="00B41FAD">
        <w:t xml:space="preserve"> ou les listes</w:t>
      </w:r>
      <w:r w:rsidRPr="00B41FAD">
        <w:t xml:space="preserve"> </w:t>
      </w:r>
      <w:r w:rsidR="00000E9C" w:rsidRPr="00B41FAD">
        <w:t>dressé</w:t>
      </w:r>
      <w:r w:rsidRPr="00B41FAD">
        <w:t>es avant d</w:t>
      </w:r>
      <w:r w:rsidR="00A61E6D" w:rsidRPr="00B41FAD">
        <w:t>’</w:t>
      </w:r>
      <w:r w:rsidRPr="00B41FAD">
        <w:t>avoir ratifié la Convention</w:t>
      </w:r>
      <w:r w:rsidR="00EA1FE1" w:rsidRPr="00B41FAD">
        <w:t> ;</w:t>
      </w:r>
      <w:r w:rsidRPr="00B41FAD">
        <w:t xml:space="preserve"> dans le passé, ces listes étaient </w:t>
      </w:r>
      <w:r w:rsidR="00833F35" w:rsidRPr="00B41FAD">
        <w:t>souv</w:t>
      </w:r>
      <w:r w:rsidRPr="00B41FAD">
        <w:t xml:space="preserve">ent établies par des anthropologues ou des ethnologues. Cela peut </w:t>
      </w:r>
      <w:r w:rsidR="00000E9C" w:rsidRPr="00B41FAD">
        <w:t>être</w:t>
      </w:r>
      <w:r w:rsidR="00833F35" w:rsidRPr="00B41FAD">
        <w:t xml:space="preserve"> source de</w:t>
      </w:r>
      <w:r w:rsidRPr="00B41FAD">
        <w:t xml:space="preserve"> difficultés. Lorsque les États parties rendent compte de leurs inventaires au Comité dans le</w:t>
      </w:r>
      <w:r w:rsidR="0017682C" w:rsidRPr="00B41FAD">
        <w:t xml:space="preserve"> rapport périodique</w:t>
      </w:r>
      <w:r w:rsidRPr="00B41FAD">
        <w:t xml:space="preserve"> qu</w:t>
      </w:r>
      <w:r w:rsidR="00A61E6D" w:rsidRPr="00B41FAD">
        <w:t>’</w:t>
      </w:r>
      <w:r w:rsidRPr="00B41FAD">
        <w:t xml:space="preserve">ils </w:t>
      </w:r>
      <w:r w:rsidR="00000E9C" w:rsidRPr="00B41FAD">
        <w:t xml:space="preserve">lui </w:t>
      </w:r>
      <w:r w:rsidRPr="00B41FAD">
        <w:t xml:space="preserve">soumettent tous les six ans, ils sont censés indiquer </w:t>
      </w:r>
      <w:r w:rsidR="00833F35" w:rsidRPr="00B41FAD">
        <w:t>la manière dont</w:t>
      </w:r>
      <w:r w:rsidRPr="00B41FAD">
        <w:t xml:space="preserve"> les communautés concernées ont participé à l</w:t>
      </w:r>
      <w:r w:rsidR="00A61E6D" w:rsidRPr="00B41FAD">
        <w:t>’</w:t>
      </w:r>
      <w:r w:rsidRPr="00B41FAD">
        <w:t>identification des</w:t>
      </w:r>
      <w:r w:rsidR="00131EA8" w:rsidRPr="00B41FAD">
        <w:t xml:space="preserve"> informations présentées et dont elles ont </w:t>
      </w:r>
      <w:r w:rsidRPr="00B41FAD">
        <w:t>consent</w:t>
      </w:r>
      <w:r w:rsidR="0069251E" w:rsidRPr="00B41FAD">
        <w:t>i</w:t>
      </w:r>
      <w:r w:rsidRPr="00B41FAD">
        <w:t xml:space="preserve"> à l</w:t>
      </w:r>
      <w:r w:rsidR="0069251E" w:rsidRPr="00B41FAD">
        <w:t xml:space="preserve">eur </w:t>
      </w:r>
      <w:r w:rsidRPr="00B41FAD">
        <w:t xml:space="preserve">inclusion. Ces </w:t>
      </w:r>
      <w:r w:rsidR="0069251E" w:rsidRPr="00B41FAD">
        <w:t>renseignement</w:t>
      </w:r>
      <w:r w:rsidRPr="00B41FAD">
        <w:t>s ne sont pas toujours disponibles pour les list</w:t>
      </w:r>
      <w:r w:rsidR="0069251E" w:rsidRPr="00B41FAD">
        <w:t>e</w:t>
      </w:r>
      <w:r w:rsidRPr="00B41FAD">
        <w:t>s plus ancien</w:t>
      </w:r>
      <w:r w:rsidR="0069251E" w:rsidRPr="00B41FAD">
        <w:t>ne</w:t>
      </w:r>
      <w:r w:rsidRPr="00B41FAD">
        <w:t>s</w:t>
      </w:r>
      <w:r w:rsidR="00EA1FE1" w:rsidRPr="00B41FAD">
        <w:t> ;</w:t>
      </w:r>
      <w:r w:rsidRPr="00B41FAD">
        <w:t xml:space="preserve"> le consentement de la communauté, s</w:t>
      </w:r>
      <w:r w:rsidR="00A61E6D" w:rsidRPr="00B41FAD">
        <w:t>’</w:t>
      </w:r>
      <w:r w:rsidRPr="00B41FAD">
        <w:t xml:space="preserve">il est obtenu, </w:t>
      </w:r>
      <w:r w:rsidR="003A5232" w:rsidRPr="00B41FAD">
        <w:t>n’est</w:t>
      </w:r>
      <w:r w:rsidRPr="00B41FAD">
        <w:t xml:space="preserve"> pas </w:t>
      </w:r>
      <w:r w:rsidR="003A5232" w:rsidRPr="00B41FAD">
        <w:t>nécessairement</w:t>
      </w:r>
      <w:r w:rsidRPr="00B41FAD">
        <w:t xml:space="preserve"> applicable aux nouvelles formes de di</w:t>
      </w:r>
      <w:r w:rsidR="00EE7BC8" w:rsidRPr="00B41FAD">
        <w:t>stribut</w:t>
      </w:r>
      <w:r w:rsidR="00766989" w:rsidRPr="00B41FAD">
        <w:t xml:space="preserve">ion. </w:t>
      </w:r>
      <w:r w:rsidR="00514E15" w:rsidRPr="00B41FAD">
        <w:t xml:space="preserve">La mise à jour </w:t>
      </w:r>
      <w:r w:rsidR="00EE7BC8" w:rsidRPr="00B41FAD">
        <w:t xml:space="preserve">de plus vieux </w:t>
      </w:r>
      <w:r w:rsidRPr="00B41FAD">
        <w:t xml:space="preserve">inventaires </w:t>
      </w:r>
      <w:r w:rsidR="00EE7BC8" w:rsidRPr="00B41FAD">
        <w:t xml:space="preserve">du PCI </w:t>
      </w:r>
      <w:r w:rsidRPr="00B41FAD">
        <w:t xml:space="preserve">peut </w:t>
      </w:r>
      <w:r w:rsidR="00EE7BC8" w:rsidRPr="00B41FAD">
        <w:t xml:space="preserve">s’avérer indispensable </w:t>
      </w:r>
      <w:r w:rsidRPr="00B41FAD">
        <w:t xml:space="preserve">non seulement pour </w:t>
      </w:r>
      <w:r w:rsidR="00A26A42" w:rsidRPr="00B41FAD">
        <w:t xml:space="preserve">y </w:t>
      </w:r>
      <w:r w:rsidRPr="00B41FAD">
        <w:t>in</w:t>
      </w:r>
      <w:r w:rsidR="00EE7BC8" w:rsidRPr="00B41FAD">
        <w:t>clure</w:t>
      </w:r>
      <w:r w:rsidRPr="00B41FAD">
        <w:t xml:space="preserve"> de nouveaux éléments, mais aussi vérifier et</w:t>
      </w:r>
      <w:r w:rsidR="00514E15" w:rsidRPr="00B41FAD">
        <w:t>,</w:t>
      </w:r>
      <w:r w:rsidRPr="00B41FAD">
        <w:t xml:space="preserve"> </w:t>
      </w:r>
      <w:r w:rsidR="00514E15" w:rsidRPr="00B41FAD">
        <w:lastRenderedPageBreak/>
        <w:t>le cas échéant, adapter</w:t>
      </w:r>
      <w:r w:rsidR="00DA3861" w:rsidRPr="00B41FAD">
        <w:t xml:space="preserve"> les informations existantes</w:t>
      </w:r>
      <w:r w:rsidRPr="00B41FAD">
        <w:t>, par exemple</w:t>
      </w:r>
      <w:r w:rsidR="00514E15" w:rsidRPr="00B41FAD">
        <w:t xml:space="preserve"> </w:t>
      </w:r>
      <w:r w:rsidR="00DA3861" w:rsidRPr="00B41FAD">
        <w:t>sur le</w:t>
      </w:r>
      <w:r w:rsidRPr="00B41FAD">
        <w:t xml:space="preserve"> degré de viabilité des éléments concernés.</w:t>
      </w:r>
    </w:p>
    <w:p w:rsidR="004325DC" w:rsidRPr="00B41FAD" w:rsidRDefault="00FB1DF7" w:rsidP="007C119C">
      <w:pPr>
        <w:pStyle w:val="Titcoul"/>
      </w:pPr>
      <w:bookmarkStart w:id="37" w:name="_Toc238963211"/>
      <w:bookmarkStart w:id="38" w:name="_Toc241065097"/>
      <w:bookmarkStart w:id="39" w:name="_Toc301443350"/>
      <w:bookmarkStart w:id="40" w:name="_Toc321406993"/>
      <w:bookmarkStart w:id="41" w:name="_Toc354486617"/>
      <w:bookmarkStart w:id="42" w:name="_Toc354486923"/>
      <w:bookmarkStart w:id="43" w:name="_Toc247360197"/>
      <w:r w:rsidRPr="00B41FAD">
        <w:t>6</w:t>
      </w:r>
      <w:r w:rsidR="00C10A1F" w:rsidRPr="00B41FAD">
        <w:t>.4</w:t>
      </w:r>
      <w:bookmarkEnd w:id="37"/>
      <w:bookmarkEnd w:id="38"/>
      <w:r w:rsidR="009270A5" w:rsidRPr="00B41FAD">
        <w:tab/>
      </w:r>
      <w:bookmarkStart w:id="44" w:name="_Toc238963212"/>
      <w:bookmarkStart w:id="45" w:name="_Toc241065098"/>
      <w:r w:rsidR="00C10A1F" w:rsidRPr="00B41FAD">
        <w:t>Crit</w:t>
      </w:r>
      <w:r w:rsidR="00752A0F" w:rsidRPr="00B41FAD">
        <w:t>È</w:t>
      </w:r>
      <w:r w:rsidR="00C10A1F" w:rsidRPr="00B41FAD">
        <w:t>res d</w:t>
      </w:r>
      <w:r w:rsidR="00A61E6D" w:rsidRPr="00B41FAD">
        <w:t>’</w:t>
      </w:r>
      <w:r w:rsidR="00C10A1F" w:rsidRPr="00B41FAD">
        <w:t>inclusion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4325DC" w:rsidRPr="00B41FAD" w:rsidRDefault="00C10A1F" w:rsidP="00914287">
      <w:pPr>
        <w:pStyle w:val="Texte1"/>
      </w:pPr>
      <w:r w:rsidRPr="00B41FAD">
        <w:t xml:space="preserve">Les critères retenus pour inclure </w:t>
      </w:r>
      <w:r w:rsidR="007D4F4D" w:rsidRPr="00B41FAD">
        <w:t>un</w:t>
      </w:r>
      <w:r w:rsidRPr="00B41FAD">
        <w:t xml:space="preserve"> élément</w:t>
      </w:r>
      <w:r w:rsidR="007D4F4D" w:rsidRPr="00B41FAD">
        <w:t xml:space="preserve"> à l’</w:t>
      </w:r>
      <w:r w:rsidRPr="00B41FAD">
        <w:t>inventaire doivent être clairs et transparents. Certains inventaires s</w:t>
      </w:r>
      <w:r w:rsidR="00A61E6D" w:rsidRPr="00B41FAD">
        <w:t>’</w:t>
      </w:r>
      <w:r w:rsidRPr="00B41FAD">
        <w:t xml:space="preserve">appuient sur la définition du PCI </w:t>
      </w:r>
      <w:r w:rsidR="007D4F4D" w:rsidRPr="00B41FAD">
        <w:t>énonc</w:t>
      </w:r>
      <w:r w:rsidRPr="00B41FAD">
        <w:t xml:space="preserve">ée </w:t>
      </w:r>
      <w:r w:rsidR="00647513" w:rsidRPr="00B41FAD">
        <w:t>à l’article 2.1 de</w:t>
      </w:r>
      <w:r w:rsidRPr="00B41FAD">
        <w:t xml:space="preserve"> la Convention</w:t>
      </w:r>
      <w:r w:rsidR="00EA1FE1" w:rsidRPr="00B41FAD">
        <w:t> ;</w:t>
      </w:r>
      <w:r w:rsidRPr="00B41FAD">
        <w:t xml:space="preserve"> d</w:t>
      </w:r>
      <w:r w:rsidR="00A61E6D" w:rsidRPr="00B41FAD">
        <w:t>’</w:t>
      </w:r>
      <w:r w:rsidRPr="00B41FAD">
        <w:t xml:space="preserve">autres </w:t>
      </w:r>
      <w:r w:rsidR="00125D18" w:rsidRPr="00B41FAD">
        <w:t>suivent</w:t>
      </w:r>
      <w:r w:rsidRPr="00B41FAD">
        <w:t xml:space="preserve"> une définition du PCI qui diffère </w:t>
      </w:r>
      <w:r w:rsidR="00125D18" w:rsidRPr="00B41FAD">
        <w:t xml:space="preserve">de celle de la Convention </w:t>
      </w:r>
      <w:r w:rsidRPr="00B41FAD">
        <w:t xml:space="preserve">à </w:t>
      </w:r>
      <w:r w:rsidR="00125D18" w:rsidRPr="00B41FAD">
        <w:t>plusieur</w:t>
      </w:r>
      <w:r w:rsidRPr="00B41FAD">
        <w:t xml:space="preserve">s égards. </w:t>
      </w:r>
      <w:r w:rsidR="0047555C" w:rsidRPr="00B41FAD">
        <w:t>Il existe de</w:t>
      </w:r>
      <w:r w:rsidRPr="00B41FAD">
        <w:t xml:space="preserve">s inventaires </w:t>
      </w:r>
      <w:r w:rsidR="0070152B" w:rsidRPr="00B41FAD">
        <w:t>dans lesquels</w:t>
      </w:r>
      <w:r w:rsidR="0047555C" w:rsidRPr="00B41FAD">
        <w:t xml:space="preserve"> figurent d</w:t>
      </w:r>
      <w:r w:rsidRPr="00B41FAD">
        <w:t xml:space="preserve">es éléments </w:t>
      </w:r>
      <w:r w:rsidR="0047555C" w:rsidRPr="00B41FAD">
        <w:t xml:space="preserve">qui </w:t>
      </w:r>
      <w:r w:rsidRPr="00B41FAD">
        <w:t>ne sont plus pratiqu</w:t>
      </w:r>
      <w:r w:rsidR="0047555C" w:rsidRPr="00B41FAD">
        <w:t xml:space="preserve">és, </w:t>
      </w:r>
      <w:r w:rsidRPr="00B41FAD">
        <w:t>des langues ou</w:t>
      </w:r>
      <w:r w:rsidRPr="00B41FAD" w:rsidDel="00BA63F4">
        <w:t xml:space="preserve"> </w:t>
      </w:r>
      <w:r w:rsidRPr="00B41FAD">
        <w:t xml:space="preserve">des éléments qui ne sont pas conformes aux instruments internationaux </w:t>
      </w:r>
      <w:r w:rsidR="0047555C" w:rsidRPr="00B41FAD">
        <w:t>des</w:t>
      </w:r>
      <w:r w:rsidRPr="00B41FAD">
        <w:t xml:space="preserve"> droits </w:t>
      </w:r>
      <w:r w:rsidR="0047555C" w:rsidRPr="00B41FAD">
        <w:t>de l’</w:t>
      </w:r>
      <w:r w:rsidRPr="00B41FAD">
        <w:t>h</w:t>
      </w:r>
      <w:r w:rsidR="0047555C" w:rsidRPr="00B41FAD">
        <w:t>omme</w:t>
      </w:r>
      <w:r w:rsidRPr="00B41FAD">
        <w:t xml:space="preserve"> </w:t>
      </w:r>
      <w:r w:rsidR="0070152B" w:rsidRPr="00B41FAD">
        <w:t>communé</w:t>
      </w:r>
      <w:r w:rsidRPr="00B41FAD">
        <w:t>ment admis. La Convention n</w:t>
      </w:r>
      <w:r w:rsidR="00A61E6D" w:rsidRPr="00B41FAD">
        <w:t>’</w:t>
      </w:r>
      <w:r w:rsidRPr="00B41FAD">
        <w:t>empêche pas les États parties d</w:t>
      </w:r>
      <w:r w:rsidR="00A61E6D" w:rsidRPr="00B41FAD">
        <w:t>’</w:t>
      </w:r>
      <w:r w:rsidRPr="00B41FAD">
        <w:t>utiliser leur propre définition du PCI à l</w:t>
      </w:r>
      <w:r w:rsidR="00A61E6D" w:rsidRPr="00B41FAD">
        <w:t>’</w:t>
      </w:r>
      <w:r w:rsidRPr="00B41FAD">
        <w:t>échel</w:t>
      </w:r>
      <w:r w:rsidR="00D0134C" w:rsidRPr="00B41FAD">
        <w:t>on</w:t>
      </w:r>
      <w:r w:rsidRPr="00B41FAD">
        <w:t xml:space="preserve"> national, par exemple dans l</w:t>
      </w:r>
      <w:r w:rsidR="00D0134C" w:rsidRPr="00B41FAD">
        <w:t xml:space="preserve">es </w:t>
      </w:r>
      <w:r w:rsidRPr="00B41FAD">
        <w:t>inventaires, mais tou</w:t>
      </w:r>
      <w:r w:rsidR="00CF3A13" w:rsidRPr="00B41FAD">
        <w:t>t élément</w:t>
      </w:r>
      <w:r w:rsidRPr="00B41FAD">
        <w:t xml:space="preserve"> </w:t>
      </w:r>
      <w:r w:rsidR="00CF3A13" w:rsidRPr="00B41FAD">
        <w:t>proposé pour inscription</w:t>
      </w:r>
      <w:r w:rsidRPr="00B41FAD">
        <w:t xml:space="preserve"> sur </w:t>
      </w:r>
      <w:r w:rsidR="00CF3A13" w:rsidRPr="00B41FAD">
        <w:t>l’</w:t>
      </w:r>
      <w:r w:rsidRPr="00B41FAD">
        <w:t>une des Listes de la Convention doi</w:t>
      </w:r>
      <w:r w:rsidR="00CF3A13" w:rsidRPr="00B41FAD">
        <w:t>t être conforme</w:t>
      </w:r>
      <w:r w:rsidRPr="00B41FAD">
        <w:t xml:space="preserve"> à la définition du PCI </w:t>
      </w:r>
      <w:r w:rsidR="0021069B" w:rsidRPr="00B41FAD">
        <w:t xml:space="preserve">énoncée </w:t>
      </w:r>
      <w:r w:rsidRPr="00B41FAD">
        <w:t>dans la Convention (</w:t>
      </w:r>
      <w:r w:rsidR="00461004" w:rsidRPr="00B41FAD">
        <w:t>DO </w:t>
      </w:r>
      <w:r w:rsidRPr="00B41FAD">
        <w:t>1</w:t>
      </w:r>
      <w:r w:rsidR="00BB70F2" w:rsidRPr="00B41FAD">
        <w:t>-</w:t>
      </w:r>
      <w:r w:rsidR="0058069D">
        <w:t>2).</w:t>
      </w:r>
    </w:p>
    <w:p w:rsidR="004325DC" w:rsidRPr="00B41FAD" w:rsidRDefault="00C10A1F" w:rsidP="00914287">
      <w:pPr>
        <w:pStyle w:val="Texte1"/>
      </w:pPr>
      <w:r w:rsidRPr="00B41FAD">
        <w:rPr>
          <w:lang w:eastAsia="en-ZA"/>
        </w:rPr>
        <w:t>Un inventaire du PCI d</w:t>
      </w:r>
      <w:r w:rsidR="009E68EF" w:rsidRPr="00B41FAD">
        <w:rPr>
          <w:lang w:eastAsia="en-ZA"/>
        </w:rPr>
        <w:t>o</w:t>
      </w:r>
      <w:r w:rsidRPr="00B41FAD">
        <w:rPr>
          <w:lang w:eastAsia="en-ZA"/>
        </w:rPr>
        <w:t xml:space="preserve">it </w:t>
      </w:r>
      <w:r w:rsidR="00A3695B" w:rsidRPr="00B41FAD">
        <w:rPr>
          <w:lang w:eastAsia="en-ZA"/>
        </w:rPr>
        <w:t>être centré en principe</w:t>
      </w:r>
      <w:r w:rsidR="00337F17" w:rsidRPr="00B41FAD">
        <w:rPr>
          <w:lang w:eastAsia="en-ZA"/>
        </w:rPr>
        <w:t xml:space="preserve"> sur d</w:t>
      </w:r>
      <w:r w:rsidRPr="00B41FAD">
        <w:rPr>
          <w:lang w:eastAsia="en-ZA"/>
        </w:rPr>
        <w:t xml:space="preserve">es éléments du PCI (expressions, pratiques, </w:t>
      </w:r>
      <w:r w:rsidR="00337F17" w:rsidRPr="00B41FAD">
        <w:rPr>
          <w:lang w:eastAsia="en-ZA"/>
        </w:rPr>
        <w:t xml:space="preserve">connaissances, </w:t>
      </w:r>
      <w:r w:rsidRPr="00B41FAD">
        <w:rPr>
          <w:lang w:eastAsia="en-ZA"/>
        </w:rPr>
        <w:t xml:space="preserve">savoir-faire), </w:t>
      </w:r>
      <w:r w:rsidR="00337F17" w:rsidRPr="00B41FAD">
        <w:rPr>
          <w:lang w:eastAsia="en-ZA"/>
        </w:rPr>
        <w:t xml:space="preserve">aussi </w:t>
      </w:r>
      <w:r w:rsidRPr="00B41FAD">
        <w:rPr>
          <w:lang w:eastAsia="en-ZA"/>
        </w:rPr>
        <w:t>est</w:t>
      </w:r>
      <w:r w:rsidR="00337F17" w:rsidRPr="00B41FAD">
        <w:rPr>
          <w:lang w:eastAsia="en-ZA"/>
        </w:rPr>
        <w:t>-il</w:t>
      </w:r>
      <w:r w:rsidRPr="00B41FAD">
        <w:rPr>
          <w:lang w:eastAsia="en-ZA"/>
        </w:rPr>
        <w:t xml:space="preserve"> préférable de ne pas avoir des </w:t>
      </w:r>
      <w:r w:rsidR="00AA10B7" w:rsidRPr="00B41FAD">
        <w:rPr>
          <w:lang w:eastAsia="en-ZA"/>
        </w:rPr>
        <w:t>entrée</w:t>
      </w:r>
      <w:r w:rsidR="00337F17" w:rsidRPr="00B41FAD">
        <w:rPr>
          <w:lang w:eastAsia="en-ZA"/>
        </w:rPr>
        <w:t xml:space="preserve">s distinctes pour les instruments, </w:t>
      </w:r>
      <w:r w:rsidRPr="00B41FAD">
        <w:rPr>
          <w:lang w:eastAsia="en-ZA"/>
        </w:rPr>
        <w:t>objets</w:t>
      </w:r>
      <w:r w:rsidR="00337F17" w:rsidRPr="00B41FAD">
        <w:rPr>
          <w:lang w:eastAsia="en-ZA"/>
        </w:rPr>
        <w:t xml:space="preserve">, personnes ou espaces </w:t>
      </w:r>
      <w:r w:rsidRPr="00B41FAD">
        <w:rPr>
          <w:lang w:eastAsia="en-ZA"/>
        </w:rPr>
        <w:t xml:space="preserve">culturels </w:t>
      </w:r>
      <w:r w:rsidR="009701AB" w:rsidRPr="00B41FAD">
        <w:rPr>
          <w:lang w:eastAsia="en-ZA"/>
        </w:rPr>
        <w:t>qui y</w:t>
      </w:r>
      <w:r w:rsidR="00337F17" w:rsidRPr="00B41FAD">
        <w:rPr>
          <w:lang w:eastAsia="en-ZA"/>
        </w:rPr>
        <w:t xml:space="preserve"> sont </w:t>
      </w:r>
      <w:r w:rsidRPr="00B41FAD">
        <w:rPr>
          <w:lang w:eastAsia="en-ZA"/>
        </w:rPr>
        <w:t>as</w:t>
      </w:r>
      <w:r w:rsidR="00E61D76" w:rsidRPr="00B41FAD">
        <w:rPr>
          <w:lang w:eastAsia="en-ZA"/>
        </w:rPr>
        <w:t>sociés. Des index spéciaux (ou d</w:t>
      </w:r>
      <w:r w:rsidRPr="00B41FAD">
        <w:rPr>
          <w:lang w:eastAsia="en-ZA"/>
        </w:rPr>
        <w:t xml:space="preserve">es options de recherche </w:t>
      </w:r>
      <w:r w:rsidR="00E61D76" w:rsidRPr="00B41FAD">
        <w:rPr>
          <w:lang w:eastAsia="en-ZA"/>
        </w:rPr>
        <w:t>de</w:t>
      </w:r>
      <w:r w:rsidRPr="00B41FAD">
        <w:rPr>
          <w:lang w:eastAsia="en-ZA"/>
        </w:rPr>
        <w:t xml:space="preserve"> bases de</w:t>
      </w:r>
      <w:r w:rsidR="00000E9C" w:rsidRPr="00B41FAD">
        <w:rPr>
          <w:lang w:eastAsia="en-ZA"/>
        </w:rPr>
        <w:t xml:space="preserve"> données électroniques) livrent</w:t>
      </w:r>
      <w:r w:rsidRPr="00B41FAD">
        <w:rPr>
          <w:lang w:eastAsia="en-ZA"/>
        </w:rPr>
        <w:t xml:space="preserve"> des informations sur des objets ou des lieux aux utilisateurs d</w:t>
      </w:r>
      <w:r w:rsidR="00A61E6D" w:rsidRPr="00B41FAD">
        <w:rPr>
          <w:lang w:eastAsia="en-ZA"/>
        </w:rPr>
        <w:t>’</w:t>
      </w:r>
      <w:r w:rsidRPr="00B41FAD">
        <w:rPr>
          <w:lang w:eastAsia="en-ZA"/>
        </w:rPr>
        <w:t>inventaires.</w:t>
      </w:r>
    </w:p>
    <w:p w:rsidR="00C10A1F" w:rsidRPr="00B41FAD" w:rsidRDefault="009B6DE3">
      <w:pPr>
        <w:pStyle w:val="Heading4"/>
      </w:pPr>
      <w:bookmarkStart w:id="46" w:name="_Toc247360198"/>
      <w:r w:rsidRPr="00B41FAD">
        <w:t>Exclusion d’</w:t>
      </w:r>
      <w:r w:rsidR="00752A0F" w:rsidRPr="00B41FAD">
        <w:t xml:space="preserve">ÉlÉments </w:t>
      </w:r>
      <w:r w:rsidR="00E02B28" w:rsidRPr="00B41FAD">
        <w:t>du PCI ou de</w:t>
      </w:r>
      <w:r w:rsidR="00C10A1F" w:rsidRPr="00B41FAD">
        <w:t xml:space="preserve"> communaut</w:t>
      </w:r>
      <w:r w:rsidR="00752A0F" w:rsidRPr="00B41FAD">
        <w:t>É</w:t>
      </w:r>
      <w:r w:rsidR="00C10A1F" w:rsidRPr="00B41FAD">
        <w:t>s</w:t>
      </w:r>
      <w:bookmarkEnd w:id="46"/>
    </w:p>
    <w:p w:rsidR="004325DC" w:rsidRPr="00B41FAD" w:rsidRDefault="00C10A1F" w:rsidP="00914287">
      <w:pPr>
        <w:pStyle w:val="Texte1"/>
      </w:pPr>
      <w:r w:rsidRPr="00B41FAD">
        <w:t xml:space="preserve">Si des États parties </w:t>
      </w:r>
      <w:r w:rsidR="003775EC" w:rsidRPr="00B41FAD">
        <w:t>fix</w:t>
      </w:r>
      <w:r w:rsidRPr="00B41FAD">
        <w:t>ent des critères d</w:t>
      </w:r>
      <w:r w:rsidR="00A61E6D" w:rsidRPr="00B41FAD">
        <w:t>’</w:t>
      </w:r>
      <w:r w:rsidRPr="00B41FAD">
        <w:t xml:space="preserve">identification du PCI qui excluent </w:t>
      </w:r>
      <w:r w:rsidR="009B6DE3" w:rsidRPr="00B41FAD">
        <w:t>de</w:t>
      </w:r>
      <w:r w:rsidRPr="00B41FAD">
        <w:t>s éléments du PCI conform</w:t>
      </w:r>
      <w:r w:rsidR="006757EA" w:rsidRPr="00B41FAD">
        <w:t>e</w:t>
      </w:r>
      <w:r w:rsidR="00900E60" w:rsidRPr="00B41FAD">
        <w:t>s</w:t>
      </w:r>
      <w:r w:rsidR="003775EC" w:rsidRPr="00B41FAD">
        <w:t xml:space="preserve"> à la définition du PCI</w:t>
      </w:r>
      <w:r w:rsidR="009B6DE3" w:rsidRPr="00B41FAD">
        <w:t xml:space="preserve"> dans la Convention,</w:t>
      </w:r>
      <w:r w:rsidRPr="00B41FAD">
        <w:t xml:space="preserve"> ou</w:t>
      </w:r>
      <w:r w:rsidR="009B6DE3" w:rsidRPr="00B41FAD">
        <w:t xml:space="preserve"> qui</w:t>
      </w:r>
      <w:r w:rsidR="00A66B3D" w:rsidRPr="00B41FAD">
        <w:t xml:space="preserve"> excluent certain</w:t>
      </w:r>
      <w:r w:rsidR="00900E60" w:rsidRPr="00B41FAD">
        <w:t>es communautés</w:t>
      </w:r>
      <w:r w:rsidRPr="00B41FAD">
        <w:t xml:space="preserve">, ils risquent alors de </w:t>
      </w:r>
      <w:r w:rsidR="00A66B3D" w:rsidRPr="00B41FAD">
        <w:t>ne pas mettre</w:t>
      </w:r>
      <w:r w:rsidRPr="00B41FAD">
        <w:t xml:space="preserve"> en œuvre la Convention </w:t>
      </w:r>
      <w:r w:rsidR="003775EC" w:rsidRPr="00B41FAD">
        <w:t>selon</w:t>
      </w:r>
      <w:r w:rsidRPr="00B41FAD">
        <w:t xml:space="preserve"> l</w:t>
      </w:r>
      <w:r w:rsidR="00A61E6D" w:rsidRPr="00B41FAD">
        <w:t>’</w:t>
      </w:r>
      <w:r w:rsidRPr="00B41FAD">
        <w:t xml:space="preserve">esprit </w:t>
      </w:r>
      <w:r w:rsidR="00BE4555" w:rsidRPr="00B41FAD">
        <w:t>préconis</w:t>
      </w:r>
      <w:r w:rsidRPr="00B41FAD">
        <w:t>é par le Comité intergouvernemental. De plus, si le PCI</w:t>
      </w:r>
      <w:r w:rsidR="00EB73C8" w:rsidRPr="00B41FAD">
        <w:t xml:space="preserve"> de communautés spécifiques est exclu d’une</w:t>
      </w:r>
      <w:r w:rsidR="003775EC" w:rsidRPr="00B41FAD">
        <w:t xml:space="preserve"> quelconque</w:t>
      </w:r>
      <w:r w:rsidR="00EB73C8" w:rsidRPr="00B41FAD">
        <w:t xml:space="preserve"> manière</w:t>
      </w:r>
      <w:r w:rsidRPr="00B41FAD">
        <w:t>, cela peut affecter la capacité d</w:t>
      </w:r>
      <w:r w:rsidR="008C2ACA" w:rsidRPr="00B41FAD">
        <w:t>e l’</w:t>
      </w:r>
      <w:r w:rsidRPr="00B41FAD">
        <w:t xml:space="preserve">État à </w:t>
      </w:r>
      <w:r w:rsidR="003775EC" w:rsidRPr="00B41FAD">
        <w:t>atteindre</w:t>
      </w:r>
      <w:r w:rsidRPr="00B41FAD">
        <w:t xml:space="preserve"> les objectifs de la Convention (</w:t>
      </w:r>
      <w:r w:rsidR="008C2ACA" w:rsidRPr="00B41FAD">
        <w:t xml:space="preserve">à savoir, </w:t>
      </w:r>
      <w:r w:rsidRPr="00B41FAD">
        <w:t>instaurer le dialogue et la compréhension entre les communautés et promouvoir le respect mutuel de leur PCI).</w:t>
      </w:r>
    </w:p>
    <w:p w:rsidR="004325DC" w:rsidRPr="00B41FAD" w:rsidRDefault="00FB1DF7" w:rsidP="007C119C">
      <w:pPr>
        <w:pStyle w:val="Titcoul"/>
      </w:pPr>
      <w:bookmarkStart w:id="47" w:name="_Toc238963213"/>
      <w:bookmarkStart w:id="48" w:name="_Toc241065099"/>
      <w:bookmarkStart w:id="49" w:name="_Toc301443351"/>
      <w:bookmarkStart w:id="50" w:name="_Toc321406994"/>
      <w:bookmarkStart w:id="51" w:name="_Toc354486618"/>
      <w:bookmarkStart w:id="52" w:name="_Toc354486924"/>
      <w:bookmarkStart w:id="53" w:name="_Toc247360199"/>
      <w:r w:rsidRPr="00B41FAD">
        <w:t>6</w:t>
      </w:r>
      <w:r w:rsidR="00C10A1F" w:rsidRPr="00B41FAD">
        <w:t>.5</w:t>
      </w:r>
      <w:bookmarkEnd w:id="47"/>
      <w:bookmarkEnd w:id="48"/>
      <w:r w:rsidR="009270A5" w:rsidRPr="00B41FAD">
        <w:tab/>
      </w:r>
      <w:bookmarkStart w:id="54" w:name="_Toc238963214"/>
      <w:bookmarkStart w:id="55" w:name="_Toc241065100"/>
      <w:r w:rsidR="00C10A1F" w:rsidRPr="00B41FAD">
        <w:t>Acc</w:t>
      </w:r>
      <w:r w:rsidR="00752A0F" w:rsidRPr="00B41FAD">
        <w:t>È</w:t>
      </w:r>
      <w:r w:rsidR="00C10A1F" w:rsidRPr="00B41FAD">
        <w:t xml:space="preserve">s </w:t>
      </w:r>
      <w:r w:rsidR="00473E12" w:rsidRPr="00B41FAD">
        <w:t xml:space="preserve">aux </w:t>
      </w:r>
      <w:r w:rsidR="00C10A1F" w:rsidRPr="00B41FAD">
        <w:t>information</w:t>
      </w:r>
      <w:r w:rsidR="00473E12" w:rsidRPr="00B41FAD">
        <w:t>s</w:t>
      </w:r>
      <w:r w:rsidR="00C10A1F" w:rsidRPr="00B41FAD">
        <w:t xml:space="preserve"> sur les </w:t>
      </w:r>
      <w:r w:rsidR="002B1505" w:rsidRPr="00B41FAD">
        <w:t xml:space="preserve">ÉlÉments </w:t>
      </w:r>
      <w:r w:rsidR="00C10A1F" w:rsidRPr="00B41FAD">
        <w:t>inventori</w:t>
      </w:r>
      <w:r w:rsidR="002B1505" w:rsidRPr="00B41FAD">
        <w:t>É</w:t>
      </w:r>
      <w:r w:rsidR="00C10A1F" w:rsidRPr="00B41FAD">
        <w:t>s</w:t>
      </w:r>
      <w:bookmarkEnd w:id="49"/>
      <w:bookmarkEnd w:id="50"/>
      <w:bookmarkEnd w:id="51"/>
      <w:bookmarkEnd w:id="52"/>
      <w:bookmarkEnd w:id="53"/>
      <w:bookmarkEnd w:id="54"/>
      <w:bookmarkEnd w:id="55"/>
    </w:p>
    <w:p w:rsidR="004325DC" w:rsidRPr="00B41FAD" w:rsidRDefault="00C10A1F" w:rsidP="00914287">
      <w:pPr>
        <w:pStyle w:val="Texte1"/>
      </w:pPr>
      <w:r w:rsidRPr="00B41FAD">
        <w:t>La Convention impose aux États parties de promouvoir l</w:t>
      </w:r>
      <w:r w:rsidR="00A61E6D" w:rsidRPr="00B41FAD">
        <w:t>’</w:t>
      </w:r>
      <w:r w:rsidRPr="00B41FAD">
        <w:t>accès au PCI de façon responsable. Selon l</w:t>
      </w:r>
      <w:r w:rsidR="00A61E6D" w:rsidRPr="00B41FAD">
        <w:t>’</w:t>
      </w:r>
      <w:r w:rsidR="00043DFF" w:rsidRPr="00B41FAD">
        <w:t>article </w:t>
      </w:r>
      <w:r w:rsidRPr="00B41FAD">
        <w:t>13</w:t>
      </w:r>
      <w:r w:rsidR="00EA1FE1" w:rsidRPr="00B41FAD">
        <w:t> :</w:t>
      </w:r>
    </w:p>
    <w:p w:rsidR="004325DC" w:rsidRPr="00B41FAD" w:rsidRDefault="00C10A1F" w:rsidP="00150FFB">
      <w:pPr>
        <w:pStyle w:val="citation"/>
      </w:pPr>
      <w:r w:rsidRPr="00B41FAD">
        <w:t>En vue d</w:t>
      </w:r>
      <w:r w:rsidR="00A61E6D" w:rsidRPr="00B41FAD">
        <w:t>’</w:t>
      </w:r>
      <w:r w:rsidRPr="00B41FAD">
        <w:t>assurer la sauvegarde, le développement et la mise en valeur du patrimoine culturel immatériel présent sur son territoire, chaque État partie s</w:t>
      </w:r>
      <w:r w:rsidR="00A61E6D" w:rsidRPr="00B41FAD">
        <w:t>’</w:t>
      </w:r>
      <w:r w:rsidRPr="00B41FAD">
        <w:t>efforce</w:t>
      </w:r>
      <w:r w:rsidR="00D253F5" w:rsidRPr="00B41FAD">
        <w:t xml:space="preserve"> </w:t>
      </w:r>
      <w:r w:rsidRPr="00B41FAD">
        <w:t>…</w:t>
      </w:r>
    </w:p>
    <w:p w:rsidR="004325DC" w:rsidRPr="00B41FAD" w:rsidRDefault="00C10A1F" w:rsidP="00914287">
      <w:pPr>
        <w:pStyle w:val="numrationa"/>
      </w:pPr>
      <w:r w:rsidRPr="00B41FAD">
        <w:t>(d</w:t>
      </w:r>
      <w:r w:rsidR="008B4150" w:rsidRPr="00B41FAD">
        <w:t>)</w:t>
      </w:r>
      <w:r w:rsidR="008B4150" w:rsidRPr="00B41FAD">
        <w:tab/>
      </w:r>
      <w:r w:rsidRPr="00B41FAD">
        <w:t>d</w:t>
      </w:r>
      <w:r w:rsidR="00A61E6D" w:rsidRPr="00B41FAD">
        <w:t>’</w:t>
      </w:r>
      <w:r w:rsidRPr="00B41FAD">
        <w:t>adopter les mesures juridiques, techniques, administratives et financières appropriées visant à</w:t>
      </w:r>
      <w:r w:rsidR="005C4F3A" w:rsidRPr="00B41FAD">
        <w:t> :</w:t>
      </w:r>
      <w:r w:rsidR="00D253F5" w:rsidRPr="00B41FAD">
        <w:t xml:space="preserve"> </w:t>
      </w:r>
      <w:r w:rsidRPr="00B41FAD">
        <w:t>…</w:t>
      </w:r>
    </w:p>
    <w:p w:rsidR="004325DC" w:rsidRPr="00B41FAD" w:rsidRDefault="00C10A1F" w:rsidP="00914287">
      <w:pPr>
        <w:pStyle w:val="nui"/>
      </w:pPr>
      <w:r w:rsidRPr="00B41FAD">
        <w:lastRenderedPageBreak/>
        <w:t>(ii</w:t>
      </w:r>
      <w:r w:rsidR="008B4150" w:rsidRPr="00B41FAD">
        <w:t>)</w:t>
      </w:r>
      <w:r w:rsidR="008B4150" w:rsidRPr="00B41FAD">
        <w:tab/>
      </w:r>
      <w:r w:rsidRPr="00B41FAD">
        <w:t>garantir l</w:t>
      </w:r>
      <w:r w:rsidR="00A61E6D" w:rsidRPr="00B41FAD">
        <w:t>’</w:t>
      </w:r>
      <w:r w:rsidRPr="00B41FAD">
        <w:t>accès au patrimoine culturel immatériel tout en respectant les pratiques coutumières qui régissent l</w:t>
      </w:r>
      <w:r w:rsidR="00A61E6D" w:rsidRPr="00B41FAD">
        <w:t>’</w:t>
      </w:r>
      <w:r w:rsidRPr="00B41FAD">
        <w:t>accès à des aspects spécifiques de ce patrimoine</w:t>
      </w:r>
      <w:r w:rsidR="00D253F5" w:rsidRPr="00B41FAD">
        <w:t xml:space="preserve"> </w:t>
      </w:r>
      <w:r w:rsidRPr="00B41FAD">
        <w:t>…</w:t>
      </w:r>
    </w:p>
    <w:p w:rsidR="004325DC" w:rsidRPr="00B41FAD" w:rsidRDefault="00C10A1F" w:rsidP="00914287">
      <w:pPr>
        <w:pStyle w:val="Texte1"/>
      </w:pPr>
      <w:r w:rsidRPr="00B41FAD">
        <w:t xml:space="preserve">Cela </w:t>
      </w:r>
      <w:r w:rsidR="001877AE" w:rsidRPr="00B41FAD">
        <w:t xml:space="preserve">vaut pour </w:t>
      </w:r>
      <w:r w:rsidRPr="00B41FAD">
        <w:t xml:space="preserve">toutes les activités </w:t>
      </w:r>
      <w:r w:rsidR="001877AE" w:rsidRPr="00B41FAD">
        <w:t>lié</w:t>
      </w:r>
      <w:r w:rsidRPr="00B41FAD">
        <w:t>es au PCI, y compris l</w:t>
      </w:r>
      <w:r w:rsidR="001877AE" w:rsidRPr="00B41FAD">
        <w:t xml:space="preserve">es </w:t>
      </w:r>
      <w:r w:rsidRPr="00B41FAD">
        <w:t>inventaires. Les restrictions coutumières sur l</w:t>
      </w:r>
      <w:r w:rsidR="00A61E6D" w:rsidRPr="00B41FAD">
        <w:t>’</w:t>
      </w:r>
      <w:r w:rsidRPr="00B41FAD">
        <w:t xml:space="preserve">accès aux pratiques et </w:t>
      </w:r>
      <w:r w:rsidR="001877AE" w:rsidRPr="00B41FAD">
        <w:t xml:space="preserve">aux </w:t>
      </w:r>
      <w:r w:rsidRPr="00B41FAD">
        <w:t>connaissance</w:t>
      </w:r>
      <w:r w:rsidR="001877AE" w:rsidRPr="00B41FAD">
        <w:t>s</w:t>
      </w:r>
      <w:r w:rsidRPr="00B41FAD">
        <w:t xml:space="preserve"> du PCI </w:t>
      </w:r>
      <w:r w:rsidR="001877AE" w:rsidRPr="00B41FAD">
        <w:t>so</w:t>
      </w:r>
      <w:r w:rsidRPr="00B41FAD">
        <w:t xml:space="preserve">nt aussi </w:t>
      </w:r>
      <w:r w:rsidR="001877AE" w:rsidRPr="00B41FAD">
        <w:t>à</w:t>
      </w:r>
      <w:r w:rsidRPr="00B41FAD">
        <w:t xml:space="preserve"> pr</w:t>
      </w:r>
      <w:r w:rsidR="001877AE" w:rsidRPr="00B41FAD">
        <w:t>endre</w:t>
      </w:r>
      <w:r w:rsidRPr="00B41FAD">
        <w:t xml:space="preserve"> en compte dans les r</w:t>
      </w:r>
      <w:r w:rsidR="00953DB9" w:rsidRPr="00B41FAD">
        <w:t>é</w:t>
      </w:r>
      <w:r w:rsidRPr="00B41FAD">
        <w:t>glementations qui régissent l</w:t>
      </w:r>
      <w:r w:rsidR="00A61E6D" w:rsidRPr="00B41FAD">
        <w:t>’</w:t>
      </w:r>
      <w:r w:rsidRPr="00B41FAD">
        <w:t xml:space="preserve">accès </w:t>
      </w:r>
      <w:r w:rsidR="00741715" w:rsidRPr="00B41FAD">
        <w:t>à l’</w:t>
      </w:r>
      <w:r w:rsidRPr="00B41FAD">
        <w:t>information</w:t>
      </w:r>
      <w:r w:rsidR="00741715" w:rsidRPr="00B41FAD">
        <w:t xml:space="preserve"> sur le PCI contenue</w:t>
      </w:r>
      <w:r w:rsidR="003775EC" w:rsidRPr="00B41FAD">
        <w:t xml:space="preserve"> dans les inventaires, </w:t>
      </w:r>
      <w:r w:rsidRPr="00B41FAD">
        <w:t>archives et a</w:t>
      </w:r>
      <w:r w:rsidR="00CE020D" w:rsidRPr="00B41FAD">
        <w:t>utre</w:t>
      </w:r>
      <w:r w:rsidRPr="00B41FAD">
        <w:t xml:space="preserve">s. </w:t>
      </w:r>
      <w:r w:rsidR="00741715" w:rsidRPr="00B41FAD">
        <w:t>C’est la raison pour laquelle</w:t>
      </w:r>
      <w:r w:rsidR="00082AEC" w:rsidRPr="00B41FAD">
        <w:t xml:space="preserve"> </w:t>
      </w:r>
      <w:r w:rsidR="0046081C" w:rsidRPr="00B41FAD">
        <w:t xml:space="preserve">s’impose parfois </w:t>
      </w:r>
      <w:r w:rsidR="00082AEC" w:rsidRPr="00B41FAD">
        <w:t>l’o</w:t>
      </w:r>
      <w:r w:rsidR="009A73D0" w:rsidRPr="00B41FAD">
        <w:t>bligation d’o</w:t>
      </w:r>
      <w:r w:rsidR="00082AEC" w:rsidRPr="00B41FAD">
        <w:t>m</w:t>
      </w:r>
      <w:r w:rsidR="009A73D0" w:rsidRPr="00B41FAD">
        <w:t>ettre</w:t>
      </w:r>
      <w:r w:rsidR="00082AEC" w:rsidRPr="00B41FAD">
        <w:t xml:space="preserve"> certaines données</w:t>
      </w:r>
      <w:r w:rsidR="0046081C" w:rsidRPr="00B41FAD">
        <w:t xml:space="preserve"> dans l’inventaire ;</w:t>
      </w:r>
      <w:r w:rsidRPr="00B41FAD">
        <w:t xml:space="preserve"> </w:t>
      </w:r>
      <w:r w:rsidR="00617FF6" w:rsidRPr="00B41FAD">
        <w:t>il y a l</w:t>
      </w:r>
      <w:r w:rsidRPr="00B41FAD">
        <w:t>a documentation sur des aspects secrets ou sacrés d</w:t>
      </w:r>
      <w:r w:rsidR="00A61E6D" w:rsidRPr="00B41FAD">
        <w:t>’</w:t>
      </w:r>
      <w:r w:rsidRPr="00B41FAD">
        <w:t>une pratique du PCI</w:t>
      </w:r>
      <w:r w:rsidR="00617FF6" w:rsidRPr="00B41FAD">
        <w:t xml:space="preserve"> dont l’accès peut être limité</w:t>
      </w:r>
      <w:r w:rsidRPr="00B41FAD">
        <w:t>.</w:t>
      </w:r>
    </w:p>
    <w:p w:rsidR="004325DC" w:rsidRPr="00B41FAD" w:rsidRDefault="00C10A1F" w:rsidP="00914287">
      <w:pPr>
        <w:pStyle w:val="Texte1"/>
      </w:pPr>
      <w:r w:rsidRPr="00B41FAD">
        <w:t>Il n</w:t>
      </w:r>
      <w:r w:rsidR="00A61E6D" w:rsidRPr="00B41FAD">
        <w:t>’</w:t>
      </w:r>
      <w:r w:rsidR="005C4F3A" w:rsidRPr="00B41FAD">
        <w:t>est pas</w:t>
      </w:r>
      <w:r w:rsidRPr="00B41FAD">
        <w:t xml:space="preserve"> difficil</w:t>
      </w:r>
      <w:r w:rsidR="005C4F3A" w:rsidRPr="00B41FAD">
        <w:t xml:space="preserve">e de </w:t>
      </w:r>
      <w:r w:rsidR="00E34B81" w:rsidRPr="00B41FAD">
        <w:t xml:space="preserve">veiller à </w:t>
      </w:r>
      <w:r w:rsidR="005C4F3A" w:rsidRPr="00B41FAD">
        <w:t>restr</w:t>
      </w:r>
      <w:r w:rsidR="00E34B81" w:rsidRPr="00B41FAD">
        <w:t xml:space="preserve">eindre </w:t>
      </w:r>
      <w:r w:rsidRPr="00B41FAD">
        <w:t>l</w:t>
      </w:r>
      <w:r w:rsidR="00A61E6D" w:rsidRPr="00B41FAD">
        <w:t>’</w:t>
      </w:r>
      <w:r w:rsidRPr="00B41FAD">
        <w:t xml:space="preserve">accès au PCI </w:t>
      </w:r>
      <w:r w:rsidR="009A73D0" w:rsidRPr="00B41FAD">
        <w:t xml:space="preserve">dès lors que </w:t>
      </w:r>
      <w:r w:rsidRPr="00B41FAD">
        <w:t>le</w:t>
      </w:r>
      <w:r w:rsidR="00E34B81" w:rsidRPr="00B41FAD">
        <w:t>s communautés ou l</w:t>
      </w:r>
      <w:r w:rsidRPr="00B41FAD">
        <w:t xml:space="preserve">es groupes </w:t>
      </w:r>
      <w:r w:rsidR="009A73D0" w:rsidRPr="00B41FAD">
        <w:t>acceptent</w:t>
      </w:r>
      <w:r w:rsidRPr="00B41FAD">
        <w:t xml:space="preserve"> la manière dont l</w:t>
      </w:r>
      <w:r w:rsidR="008C40E9" w:rsidRPr="00B41FAD">
        <w:t xml:space="preserve">es </w:t>
      </w:r>
      <w:r w:rsidRPr="00B41FAD">
        <w:t>information</w:t>
      </w:r>
      <w:r w:rsidR="008C40E9" w:rsidRPr="00B41FAD">
        <w:t>s</w:t>
      </w:r>
      <w:r w:rsidRPr="00B41FAD">
        <w:t xml:space="preserve"> et la documentation sur leur PCI </w:t>
      </w:r>
      <w:r w:rsidR="008C40E9" w:rsidRPr="00B41FAD">
        <w:t>sont</w:t>
      </w:r>
      <w:r w:rsidRPr="00B41FAD">
        <w:t xml:space="preserve"> archivée</w:t>
      </w:r>
      <w:r w:rsidR="008C40E9" w:rsidRPr="00B41FAD">
        <w:t>s</w:t>
      </w:r>
      <w:r w:rsidR="00461004" w:rsidRPr="00B41FAD">
        <w:t xml:space="preserve"> </w:t>
      </w:r>
      <w:r w:rsidRPr="00B41FAD">
        <w:t>et rendue</w:t>
      </w:r>
      <w:r w:rsidR="008C40E9" w:rsidRPr="00B41FAD">
        <w:t>s</w:t>
      </w:r>
      <w:r w:rsidRPr="00B41FAD">
        <w:t xml:space="preserve"> accessible</w:t>
      </w:r>
      <w:r w:rsidR="008C40E9" w:rsidRPr="00B41FAD">
        <w:t>s</w:t>
      </w:r>
      <w:r w:rsidRPr="00B41FAD">
        <w:t xml:space="preserve">. Théoriquement, les communautés ou les groupes concernés sont engagés </w:t>
      </w:r>
      <w:r w:rsidR="008C40E9" w:rsidRPr="00B41FAD">
        <w:t>comm</w:t>
      </w:r>
      <w:r w:rsidRPr="00B41FAD">
        <w:t xml:space="preserve">e partenaires </w:t>
      </w:r>
      <w:r w:rsidR="003E0570" w:rsidRPr="00B41FAD">
        <w:t>sur un pied d’</w:t>
      </w:r>
      <w:r w:rsidRPr="00B41FAD">
        <w:t xml:space="preserve">égalité </w:t>
      </w:r>
      <w:r w:rsidR="009A73D0" w:rsidRPr="00B41FAD">
        <w:t xml:space="preserve">dans </w:t>
      </w:r>
      <w:r w:rsidRPr="00B41FAD">
        <w:t>le traitement et le contrôle de la documentation</w:t>
      </w:r>
      <w:r w:rsidR="00CC2817" w:rsidRPr="00B41FAD">
        <w:t>,</w:t>
      </w:r>
      <w:r w:rsidRPr="00B41FAD">
        <w:t xml:space="preserve"> l</w:t>
      </w:r>
      <w:r w:rsidR="00A61E6D" w:rsidRPr="00B41FAD">
        <w:t>’</w:t>
      </w:r>
      <w:r w:rsidRPr="00B41FAD">
        <w:t>archivage de</w:t>
      </w:r>
      <w:r w:rsidR="003E0570" w:rsidRPr="00B41FAD">
        <w:t>s informations sur leur PCI et</w:t>
      </w:r>
      <w:r w:rsidRPr="00B41FAD">
        <w:t xml:space="preserve"> la définition des règles d</w:t>
      </w:r>
      <w:r w:rsidR="00A61E6D" w:rsidRPr="00B41FAD">
        <w:t>’</w:t>
      </w:r>
      <w:r w:rsidRPr="00B41FAD">
        <w:t>accès à ces informations.</w:t>
      </w:r>
    </w:p>
    <w:p w:rsidR="004325DC" w:rsidRPr="00B41FAD" w:rsidRDefault="00FB1DF7" w:rsidP="00914287">
      <w:pPr>
        <w:pStyle w:val="Informations"/>
      </w:pPr>
      <w:r w:rsidRPr="00B41FAD">
        <w:rPr>
          <w:noProof/>
          <w:lang w:val="es-ES_tradnl" w:eastAsia="es-ES_tradnl"/>
        </w:rPr>
        <w:drawing>
          <wp:anchor distT="0" distB="0" distL="114300" distR="114300" simplePos="0" relativeHeight="251844096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36" name="Imag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B41FAD">
        <w:t>Voir l</w:t>
      </w:r>
      <w:r w:rsidR="00A61E6D" w:rsidRPr="00B41FAD">
        <w:t>’</w:t>
      </w:r>
      <w:r w:rsidR="003F5CA8" w:rsidRPr="00B41FAD">
        <w:t>Étude de cas</w:t>
      </w:r>
      <w:r w:rsidR="003F2782" w:rsidRPr="00B41FAD">
        <w:t> </w:t>
      </w:r>
      <w:r w:rsidR="00C10A1F" w:rsidRPr="00B41FAD">
        <w:t>5 sur les dispositions en matière de confidentialité et d</w:t>
      </w:r>
      <w:r w:rsidR="00A61E6D" w:rsidRPr="00B41FAD">
        <w:t>’</w:t>
      </w:r>
      <w:r w:rsidR="00C10A1F" w:rsidRPr="00B41FAD">
        <w:t xml:space="preserve">accès </w:t>
      </w:r>
      <w:r w:rsidR="003F2782" w:rsidRPr="00B41FAD">
        <w:t>d</w:t>
      </w:r>
      <w:r w:rsidR="00C10A1F" w:rsidRPr="00B41FAD">
        <w:t xml:space="preserve">es utilisateurs </w:t>
      </w:r>
      <w:r w:rsidR="003F2782" w:rsidRPr="00B41FAD">
        <w:t>aux</w:t>
      </w:r>
      <w:r w:rsidR="00C10A1F" w:rsidRPr="00B41FAD">
        <w:t xml:space="preserve"> bases de données du </w:t>
      </w:r>
      <w:r w:rsidR="00D253F5" w:rsidRPr="00B41FAD">
        <w:t>patrimoine</w:t>
      </w:r>
      <w:r w:rsidR="00BB2FF5" w:rsidRPr="00B41FAD">
        <w:t xml:space="preserve"> immatériel</w:t>
      </w:r>
      <w:r w:rsidR="00C10A1F" w:rsidRPr="00B41FAD">
        <w:t xml:space="preserve"> </w:t>
      </w:r>
      <w:r w:rsidR="00473E12" w:rsidRPr="00B41FAD">
        <w:t>g</w:t>
      </w:r>
      <w:r w:rsidR="003F2782" w:rsidRPr="00B41FAD">
        <w:t>érées par</w:t>
      </w:r>
      <w:r w:rsidR="00C10A1F" w:rsidRPr="00B41FAD">
        <w:t xml:space="preserve"> </w:t>
      </w:r>
      <w:r w:rsidR="00473E12" w:rsidRPr="00B41FAD">
        <w:t>l’Institut australie</w:t>
      </w:r>
      <w:r w:rsidR="00C10A1F" w:rsidRPr="00B41FAD">
        <w:t xml:space="preserve">n </w:t>
      </w:r>
      <w:r w:rsidR="00473E12" w:rsidRPr="00B41FAD">
        <w:t>des études a</w:t>
      </w:r>
      <w:r w:rsidR="00C10A1F" w:rsidRPr="00B41FAD">
        <w:t>borig</w:t>
      </w:r>
      <w:r w:rsidR="00473E12" w:rsidRPr="00B41FAD">
        <w:t>ènes et insulaires du détroit de</w:t>
      </w:r>
      <w:r w:rsidR="00C10A1F" w:rsidRPr="00B41FAD">
        <w:t xml:space="preserve"> Torres.</w:t>
      </w:r>
    </w:p>
    <w:p w:rsidR="004325DC" w:rsidRPr="00B41FAD" w:rsidRDefault="00FB1DF7">
      <w:pPr>
        <w:pStyle w:val="Titcoul"/>
      </w:pPr>
      <w:bookmarkStart w:id="56" w:name="_Toc238963215"/>
      <w:bookmarkStart w:id="57" w:name="_Toc241065101"/>
      <w:bookmarkStart w:id="58" w:name="_Toc301443352"/>
      <w:bookmarkStart w:id="59" w:name="_Toc321406995"/>
      <w:bookmarkStart w:id="60" w:name="_Toc354486619"/>
      <w:bookmarkStart w:id="61" w:name="_Toc354486925"/>
      <w:bookmarkStart w:id="62" w:name="_Toc247360200"/>
      <w:r w:rsidRPr="00B41FAD">
        <w:t>6</w:t>
      </w:r>
      <w:r w:rsidR="00C10A1F" w:rsidRPr="00B41FAD">
        <w:t>.6</w:t>
      </w:r>
      <w:bookmarkStart w:id="63" w:name="_Toc238963216"/>
      <w:bookmarkEnd w:id="56"/>
      <w:bookmarkEnd w:id="57"/>
      <w:r w:rsidR="009270A5" w:rsidRPr="00B41FAD">
        <w:tab/>
      </w:r>
      <w:bookmarkStart w:id="64" w:name="_Toc241065102"/>
      <w:r w:rsidR="00C10A1F" w:rsidRPr="00B41FAD">
        <w:t>inventaire</w:t>
      </w:r>
      <w:r w:rsidR="00C95D2A" w:rsidRPr="00B41FAD">
        <w:t>s</w:t>
      </w:r>
      <w:r w:rsidR="003F5D9C" w:rsidRPr="00B41FAD">
        <w:t xml:space="preserve"> et candidatures po</w:t>
      </w:r>
      <w:r w:rsidR="00C10A1F" w:rsidRPr="00B41FAD">
        <w:t>ur les Listes de la Convention</w:t>
      </w:r>
      <w:bookmarkEnd w:id="58"/>
      <w:bookmarkEnd w:id="59"/>
      <w:bookmarkEnd w:id="60"/>
      <w:bookmarkEnd w:id="61"/>
      <w:bookmarkEnd w:id="62"/>
      <w:bookmarkEnd w:id="63"/>
      <w:bookmarkEnd w:id="64"/>
    </w:p>
    <w:p w:rsidR="004325DC" w:rsidRPr="00B41FAD" w:rsidRDefault="00C10A1F" w:rsidP="00914287">
      <w:pPr>
        <w:pStyle w:val="Texte1"/>
      </w:pPr>
      <w:r w:rsidRPr="00B41FAD">
        <w:t>Il y a un lien direct entre l</w:t>
      </w:r>
      <w:r w:rsidR="00A61E6D" w:rsidRPr="00B41FAD">
        <w:t>’</w:t>
      </w:r>
      <w:r w:rsidRPr="00B41FAD">
        <w:t>établissement d</w:t>
      </w:r>
      <w:r w:rsidR="00A61E6D" w:rsidRPr="00B41FAD">
        <w:t>’</w:t>
      </w:r>
      <w:r w:rsidRPr="00B41FAD">
        <w:t xml:space="preserve">inventaires et </w:t>
      </w:r>
      <w:r w:rsidR="00C8230D" w:rsidRPr="00B41FAD">
        <w:t>la préparation de candidatures po</w:t>
      </w:r>
      <w:r w:rsidRPr="00B41FAD">
        <w:t xml:space="preserve">ur les Listes de la Convention. Le cinquième critère </w:t>
      </w:r>
      <w:r w:rsidR="00C8230D" w:rsidRPr="00B41FAD">
        <w:t>pour l</w:t>
      </w:r>
      <w:r w:rsidR="00A61E6D" w:rsidRPr="00B41FAD">
        <w:t>’</w:t>
      </w:r>
      <w:r w:rsidRPr="00B41FAD">
        <w:t>inscription d</w:t>
      </w:r>
      <w:r w:rsidR="00A61E6D" w:rsidRPr="00B41FAD">
        <w:t>’</w:t>
      </w:r>
      <w:r w:rsidRPr="00B41FAD">
        <w:t>éléments sur les deux Listes précise q</w:t>
      </w:r>
      <w:r w:rsidR="007C2E9B" w:rsidRPr="00B41FAD">
        <w:t>ue seuls les éléments du</w:t>
      </w:r>
      <w:r w:rsidR="00D021F6" w:rsidRPr="00B41FAD">
        <w:t xml:space="preserve"> PCI</w:t>
      </w:r>
      <w:r w:rsidRPr="00B41FAD">
        <w:t xml:space="preserve"> déjà </w:t>
      </w:r>
      <w:r w:rsidR="00D021F6" w:rsidRPr="00B41FAD">
        <w:t xml:space="preserve">inclus </w:t>
      </w:r>
      <w:r w:rsidRPr="00B41FAD">
        <w:t>dans un inventaire au sens de l</w:t>
      </w:r>
      <w:r w:rsidR="00A61E6D" w:rsidRPr="00B41FAD">
        <w:t>’</w:t>
      </w:r>
      <w:r w:rsidR="00043DFF" w:rsidRPr="00B41FAD">
        <w:t>article </w:t>
      </w:r>
      <w:r w:rsidRPr="00B41FAD">
        <w:t xml:space="preserve">12 de la Convention peuvent être proposés pour inscription (voir </w:t>
      </w:r>
      <w:r w:rsidR="00461004" w:rsidRPr="00B41FAD">
        <w:t>DO </w:t>
      </w:r>
      <w:r w:rsidR="0058069D">
        <w:t>1 (U.5) et 2 (R.5)).</w:t>
      </w:r>
    </w:p>
    <w:p w:rsidR="006B424F" w:rsidRPr="00B41FAD" w:rsidRDefault="00C10A1F" w:rsidP="00914287">
      <w:pPr>
        <w:pStyle w:val="Texte1"/>
      </w:pPr>
      <w:r w:rsidRPr="00B41FAD">
        <w:t>Les formulaires de candidature obligent les États parties à démontrer que l</w:t>
      </w:r>
      <w:r w:rsidR="00A61E6D" w:rsidRPr="00B41FAD">
        <w:t>’</w:t>
      </w:r>
      <w:r w:rsidRPr="00B41FAD">
        <w:t>inventaire a été dressé conformément à la C</w:t>
      </w:r>
      <w:r w:rsidR="008E6F0A" w:rsidRPr="00B41FAD">
        <w:t>onvention, en particulier</w:t>
      </w:r>
      <w:r w:rsidRPr="00B41FAD">
        <w:t xml:space="preserve"> l</w:t>
      </w:r>
      <w:r w:rsidR="00A61E6D" w:rsidRPr="00B41FAD">
        <w:t>’</w:t>
      </w:r>
      <w:r w:rsidR="00043DFF" w:rsidRPr="00B41FAD">
        <w:t>article </w:t>
      </w:r>
      <w:r w:rsidRPr="00B41FAD">
        <w:t>11(b) qui stipule que l</w:t>
      </w:r>
      <w:r w:rsidR="001B6074" w:rsidRPr="00B41FAD">
        <w:t xml:space="preserve">’identification et la définition du </w:t>
      </w:r>
      <w:r w:rsidRPr="00B41FAD">
        <w:t xml:space="preserve">PCI </w:t>
      </w:r>
      <w:r w:rsidR="001B6074" w:rsidRPr="00B41FAD">
        <w:t>doivent s</w:t>
      </w:r>
      <w:r w:rsidR="00D021F6" w:rsidRPr="00B41FAD">
        <w:t>’effectuer</w:t>
      </w:r>
      <w:r w:rsidRPr="00B41FAD">
        <w:t xml:space="preserve"> </w:t>
      </w:r>
      <w:r w:rsidR="00043DFF" w:rsidRPr="00B41FAD">
        <w:t>« </w:t>
      </w:r>
      <w:r w:rsidRPr="00B41FAD">
        <w:t>avec la participation des communautés, des groupes et des organisations non gouvernementales pertinentes</w:t>
      </w:r>
      <w:r w:rsidR="00043DFF" w:rsidRPr="00B41FAD">
        <w:t xml:space="preserve"> » </w:t>
      </w:r>
      <w:r w:rsidRPr="00B41FAD">
        <w:t>et l</w:t>
      </w:r>
      <w:r w:rsidR="00A61E6D" w:rsidRPr="00B41FAD">
        <w:t>’</w:t>
      </w:r>
      <w:r w:rsidR="00043DFF" w:rsidRPr="00B41FAD">
        <w:t>article </w:t>
      </w:r>
      <w:r w:rsidRPr="00B41FAD">
        <w:t xml:space="preserve">12 qui </w:t>
      </w:r>
      <w:r w:rsidR="001B6074" w:rsidRPr="00B41FAD">
        <w:t>dispose</w:t>
      </w:r>
      <w:r w:rsidRPr="00B41FAD">
        <w:t xml:space="preserve"> que les inventaires </w:t>
      </w:r>
      <w:r w:rsidR="001B6074" w:rsidRPr="00B41FAD">
        <w:t xml:space="preserve">doivent </w:t>
      </w:r>
      <w:r w:rsidR="002E02B2" w:rsidRPr="00B41FAD">
        <w:t>« </w:t>
      </w:r>
      <w:r w:rsidRPr="00B41FAD">
        <w:t>f</w:t>
      </w:r>
      <w:r w:rsidR="001B6074" w:rsidRPr="00B41FAD">
        <w:t>aire</w:t>
      </w:r>
      <w:r w:rsidRPr="00B41FAD">
        <w:t xml:space="preserve"> l</w:t>
      </w:r>
      <w:r w:rsidR="00A61E6D" w:rsidRPr="00B41FAD">
        <w:t>’</w:t>
      </w:r>
      <w:r w:rsidRPr="00B41FAD">
        <w:t>objet d</w:t>
      </w:r>
      <w:r w:rsidR="00A61E6D" w:rsidRPr="00B41FAD">
        <w:t>’</w:t>
      </w:r>
      <w:r w:rsidRPr="00B41FAD">
        <w:t>une</w:t>
      </w:r>
      <w:r w:rsidR="002E02B2" w:rsidRPr="00B41FAD">
        <w:t xml:space="preserve"> </w:t>
      </w:r>
      <w:r w:rsidRPr="00B41FAD">
        <w:t>mise à jour régulière</w:t>
      </w:r>
      <w:r w:rsidR="00461004" w:rsidRPr="00B41FAD">
        <w:t> ».</w:t>
      </w:r>
    </w:p>
    <w:p w:rsidR="004325DC" w:rsidRPr="00B41FAD" w:rsidRDefault="0092291E" w:rsidP="00914287">
      <w:pPr>
        <w:pStyle w:val="Texte1"/>
      </w:pPr>
      <w:r w:rsidRPr="00B41FAD">
        <w:rPr>
          <w:color w:val="000000" w:themeColor="text1"/>
        </w:rPr>
        <w:t>Il est également demandé aux</w:t>
      </w:r>
      <w:r w:rsidR="006B424F" w:rsidRPr="00B41FAD">
        <w:rPr>
          <w:color w:val="000000" w:themeColor="text1"/>
        </w:rPr>
        <w:t xml:space="preserve"> États parties </w:t>
      </w:r>
      <w:r w:rsidR="006B424F" w:rsidRPr="00B41FAD">
        <w:t>d</w:t>
      </w:r>
      <w:r w:rsidRPr="00B41FAD">
        <w:t>’apporter la preuve de l’</w:t>
      </w:r>
      <w:r w:rsidR="000D08F6" w:rsidRPr="00B41FAD">
        <w:t xml:space="preserve">inclusion de l’élément </w:t>
      </w:r>
      <w:r w:rsidRPr="00B41FAD">
        <w:t xml:space="preserve">proposé pour inscription sur </w:t>
      </w:r>
      <w:r w:rsidR="000D08F6" w:rsidRPr="00B41FAD">
        <w:t xml:space="preserve">un inventaire du PCI présent </w:t>
      </w:r>
      <w:r w:rsidRPr="00B41FAD">
        <w:t>sur le territoire de(s) (</w:t>
      </w:r>
      <w:r w:rsidR="000D08F6" w:rsidRPr="00B41FAD">
        <w:t>l’</w:t>
      </w:r>
      <w:proofErr w:type="gramStart"/>
      <w:r w:rsidRPr="00B41FAD">
        <w:t>)</w:t>
      </w:r>
      <w:r w:rsidR="009D13F2" w:rsidRPr="00B41FAD">
        <w:t>État</w:t>
      </w:r>
      <w:proofErr w:type="gramEnd"/>
      <w:r w:rsidR="000D08F6" w:rsidRPr="00B41FAD">
        <w:t xml:space="preserve">(s) partie(s) </w:t>
      </w:r>
      <w:r w:rsidRPr="00B41FAD">
        <w:t xml:space="preserve">soumissionnaire(s), </w:t>
      </w:r>
      <w:r w:rsidR="00026D69" w:rsidRPr="00B41FAD">
        <w:t>au sens d</w:t>
      </w:r>
      <w:r w:rsidR="000D08F6" w:rsidRPr="00B41FAD">
        <w:t>es articles 11 et 12 de la Convention</w:t>
      </w:r>
      <w:r w:rsidR="0081098B" w:rsidRPr="00B41FAD">
        <w:t xml:space="preserve">. </w:t>
      </w:r>
      <w:r w:rsidR="00186BBF" w:rsidRPr="00B41FAD">
        <w:t>Cette preuve</w:t>
      </w:r>
      <w:r w:rsidR="0081098B" w:rsidRPr="00B41FAD">
        <w:t xml:space="preserve"> </w:t>
      </w:r>
      <w:r w:rsidR="00186BBF" w:rsidRPr="00B41FAD">
        <w:t>devra comporter</w:t>
      </w:r>
      <w:r w:rsidR="0081098B" w:rsidRPr="00B41FAD">
        <w:t xml:space="preserve"> un</w:t>
      </w:r>
      <w:r w:rsidR="000D08F6" w:rsidRPr="00B41FAD">
        <w:t xml:space="preserve"> extrait </w:t>
      </w:r>
      <w:r w:rsidR="00186BBF" w:rsidRPr="00B41FAD">
        <w:t>pertinent</w:t>
      </w:r>
      <w:r w:rsidR="0081098B" w:rsidRPr="00B41FAD">
        <w:t xml:space="preserve"> </w:t>
      </w:r>
      <w:r w:rsidR="000D08F6" w:rsidRPr="00B41FAD">
        <w:t xml:space="preserve">de(s) </w:t>
      </w:r>
      <w:r w:rsidR="00186BBF" w:rsidRPr="00B41FAD">
        <w:t>(</w:t>
      </w:r>
      <w:r w:rsidR="000D08F6" w:rsidRPr="00B41FAD">
        <w:t>l’</w:t>
      </w:r>
      <w:proofErr w:type="gramStart"/>
      <w:r w:rsidR="00186BBF" w:rsidRPr="00B41FAD">
        <w:t>)</w:t>
      </w:r>
      <w:r w:rsidR="000D08F6" w:rsidRPr="00B41FAD">
        <w:t>inventaire</w:t>
      </w:r>
      <w:proofErr w:type="gramEnd"/>
      <w:r w:rsidR="000D08F6" w:rsidRPr="00B41FAD">
        <w:t>(s) en anglais ou en français, a</w:t>
      </w:r>
      <w:r w:rsidR="00186BBF" w:rsidRPr="00B41FAD">
        <w:t>insi que dan</w:t>
      </w:r>
      <w:r w:rsidR="000D08F6" w:rsidRPr="00B41FAD">
        <w:t xml:space="preserve">s </w:t>
      </w:r>
      <w:r w:rsidR="00186BBF" w:rsidRPr="00B41FAD">
        <w:t>la</w:t>
      </w:r>
      <w:r w:rsidR="000D08F6" w:rsidRPr="00B41FAD">
        <w:t xml:space="preserve"> </w:t>
      </w:r>
      <w:r w:rsidR="00574958" w:rsidRPr="00B41FAD">
        <w:t xml:space="preserve">langue </w:t>
      </w:r>
      <w:r w:rsidR="000D08F6" w:rsidRPr="00B41FAD">
        <w:t>original</w:t>
      </w:r>
      <w:r w:rsidR="00574958" w:rsidRPr="00B41FAD">
        <w:t>e si elle est diffé</w:t>
      </w:r>
      <w:r w:rsidR="000D08F6" w:rsidRPr="00B41FAD">
        <w:t>rent</w:t>
      </w:r>
      <w:r w:rsidR="00574958" w:rsidRPr="00B41FAD">
        <w:t>e</w:t>
      </w:r>
      <w:r w:rsidR="000D08F6" w:rsidRPr="00B41FAD">
        <w:t>.</w:t>
      </w:r>
    </w:p>
    <w:p w:rsidR="004325DC" w:rsidRPr="00B41FAD" w:rsidRDefault="00FB1DF7">
      <w:pPr>
        <w:pStyle w:val="Titcoul"/>
      </w:pPr>
      <w:bookmarkStart w:id="65" w:name="_Toc238963217"/>
      <w:bookmarkStart w:id="66" w:name="_Toc241065103"/>
      <w:bookmarkStart w:id="67" w:name="_Toc321406996"/>
      <w:bookmarkStart w:id="68" w:name="_Toc301443353"/>
      <w:bookmarkStart w:id="69" w:name="_Toc354486620"/>
      <w:bookmarkStart w:id="70" w:name="_Toc354486926"/>
      <w:bookmarkStart w:id="71" w:name="_Toc247360201"/>
      <w:r w:rsidRPr="00B41FAD">
        <w:t>6</w:t>
      </w:r>
      <w:r w:rsidR="00C10A1F" w:rsidRPr="00B41FAD">
        <w:t>.7</w:t>
      </w:r>
      <w:bookmarkStart w:id="72" w:name="_Toc238963218"/>
      <w:bookmarkEnd w:id="65"/>
      <w:bookmarkEnd w:id="66"/>
      <w:r w:rsidR="009270A5" w:rsidRPr="00B41FAD">
        <w:tab/>
      </w:r>
      <w:bookmarkStart w:id="73" w:name="_Toc241065104"/>
      <w:r w:rsidR="00C10A1F" w:rsidRPr="00B41FAD">
        <w:t xml:space="preserve">Planifier un projet </w:t>
      </w:r>
      <w:bookmarkEnd w:id="67"/>
      <w:r w:rsidR="00D915D7" w:rsidRPr="00B41FAD">
        <w:t>d</w:t>
      </w:r>
      <w:r w:rsidR="00A61E6D" w:rsidRPr="00B41FAD">
        <w:t>’</w:t>
      </w:r>
      <w:r w:rsidR="00D915D7" w:rsidRPr="00B41FAD">
        <w:t>inventaire</w:t>
      </w:r>
      <w:bookmarkEnd w:id="68"/>
      <w:bookmarkEnd w:id="69"/>
      <w:bookmarkEnd w:id="70"/>
      <w:bookmarkEnd w:id="71"/>
      <w:bookmarkEnd w:id="72"/>
      <w:bookmarkEnd w:id="73"/>
    </w:p>
    <w:p w:rsidR="004325DC" w:rsidRPr="00B41FAD" w:rsidRDefault="00C10A1F" w:rsidP="00914287">
      <w:pPr>
        <w:pStyle w:val="Texte1"/>
      </w:pPr>
      <w:r w:rsidRPr="00B41FAD">
        <w:t>En vertu de la Convention, les États parties sont libres d</w:t>
      </w:r>
      <w:r w:rsidR="00A61E6D" w:rsidRPr="00B41FAD">
        <w:t>’</w:t>
      </w:r>
      <w:r w:rsidRPr="00B41FAD">
        <w:t xml:space="preserve">organiser et </w:t>
      </w:r>
      <w:r w:rsidR="00A762CD" w:rsidRPr="00B41FAD">
        <w:t xml:space="preserve">de </w:t>
      </w:r>
      <w:r w:rsidRPr="00B41FAD">
        <w:t xml:space="preserve">présenter leurs inventaires </w:t>
      </w:r>
      <w:r w:rsidR="00D021F6" w:rsidRPr="00B41FAD">
        <w:t>en fonction de</w:t>
      </w:r>
      <w:r w:rsidRPr="00B41FAD">
        <w:t xml:space="preserve"> leur situation et </w:t>
      </w:r>
      <w:r w:rsidR="00D021F6" w:rsidRPr="00B41FAD">
        <w:t xml:space="preserve">de </w:t>
      </w:r>
      <w:r w:rsidR="00A762CD" w:rsidRPr="00B41FAD">
        <w:t>leurs</w:t>
      </w:r>
      <w:r w:rsidRPr="00B41FAD">
        <w:t xml:space="preserve"> besoins</w:t>
      </w:r>
      <w:r w:rsidR="00EA1FE1" w:rsidRPr="00B41FAD">
        <w:t> ;</w:t>
      </w:r>
      <w:r w:rsidRPr="00B41FAD">
        <w:t xml:space="preserve"> cela inclut également la </w:t>
      </w:r>
      <w:r w:rsidRPr="00B41FAD">
        <w:lastRenderedPageBreak/>
        <w:t>conception d</w:t>
      </w:r>
      <w:r w:rsidR="00D021F6" w:rsidRPr="00B41FAD">
        <w:t>’</w:t>
      </w:r>
      <w:r w:rsidRPr="00B41FAD">
        <w:t>inventaires et les définitions ou les systèmes de classification utilisés à cet effet. Il y a beaucoup de manières différentes d</w:t>
      </w:r>
      <w:r w:rsidR="00A61E6D" w:rsidRPr="00B41FAD">
        <w:t>’</w:t>
      </w:r>
      <w:r w:rsidRPr="00B41FAD">
        <w:t>entreprendre un inventaire tout en veillant à ce qu</w:t>
      </w:r>
      <w:r w:rsidR="00A61E6D" w:rsidRPr="00B41FAD">
        <w:t>’</w:t>
      </w:r>
      <w:r w:rsidRPr="00B41FAD">
        <w:t xml:space="preserve">il </w:t>
      </w:r>
      <w:r w:rsidR="00D021F6" w:rsidRPr="00B41FAD">
        <w:t>demeur</w:t>
      </w:r>
      <w:r w:rsidRPr="00B41FAD">
        <w:t>e compatible avec les principe</w:t>
      </w:r>
      <w:r w:rsidR="00A762CD" w:rsidRPr="00B41FAD">
        <w:t>s de la Convention. Il y a</w:t>
      </w:r>
      <w:r w:rsidRPr="00B41FAD">
        <w:t xml:space="preserve"> un grand nombre de choix à faire </w:t>
      </w:r>
      <w:r w:rsidR="00A762CD" w:rsidRPr="00B41FAD">
        <w:t>dans l’élaboration d’</w:t>
      </w:r>
      <w:r w:rsidRPr="00B41FAD">
        <w:t>une stratégie d</w:t>
      </w:r>
      <w:r w:rsidR="00A61E6D" w:rsidRPr="00B41FAD">
        <w:t>’</w:t>
      </w:r>
      <w:r w:rsidRPr="00B41FAD">
        <w:t>inventaire pour un pays.</w:t>
      </w:r>
    </w:p>
    <w:p w:rsidR="004325DC" w:rsidRPr="00B41FAD" w:rsidRDefault="00C10A1F" w:rsidP="00914287">
      <w:pPr>
        <w:pStyle w:val="Texte1"/>
      </w:pPr>
      <w:r w:rsidRPr="00B41FAD">
        <w:t>Le processus d</w:t>
      </w:r>
      <w:r w:rsidR="00A61E6D" w:rsidRPr="00B41FAD">
        <w:t>’</w:t>
      </w:r>
      <w:r w:rsidRPr="00B41FAD">
        <w:t xml:space="preserve">inventaire </w:t>
      </w:r>
      <w:r w:rsidR="007234E6" w:rsidRPr="00B41FAD">
        <w:t>commenc</w:t>
      </w:r>
      <w:r w:rsidRPr="00B41FAD">
        <w:t>e</w:t>
      </w:r>
      <w:r w:rsidR="007234E6" w:rsidRPr="00B41FAD">
        <w:t>,</w:t>
      </w:r>
      <w:r w:rsidRPr="00B41FAD">
        <w:t xml:space="preserve"> en principe</w:t>
      </w:r>
      <w:r w:rsidR="007234E6" w:rsidRPr="00B41FAD">
        <w:t>,</w:t>
      </w:r>
      <w:r w:rsidRPr="00B41FAD">
        <w:t xml:space="preserve"> par des séances d</w:t>
      </w:r>
      <w:r w:rsidR="00A61E6D" w:rsidRPr="00B41FAD">
        <w:t>’</w:t>
      </w:r>
      <w:r w:rsidRPr="00B41FAD">
        <w:t>information et des discussions avec les communautés concernées sur l</w:t>
      </w:r>
      <w:r w:rsidR="00A61E6D" w:rsidRPr="00B41FAD">
        <w:t>’</w:t>
      </w:r>
      <w:r w:rsidRPr="00B41FAD">
        <w:t>objet, la démarche et les avantages d</w:t>
      </w:r>
      <w:r w:rsidR="007234E6" w:rsidRPr="00B41FAD">
        <w:t xml:space="preserve">’un </w:t>
      </w:r>
      <w:r w:rsidRPr="00B41FAD">
        <w:t xml:space="preserve">inventaire de leur PCI. Si les membres de la communauté sont </w:t>
      </w:r>
      <w:r w:rsidR="00E64146" w:rsidRPr="00B41FAD">
        <w:t xml:space="preserve">réticents </w:t>
      </w:r>
      <w:r w:rsidRPr="00B41FAD">
        <w:t>à</w:t>
      </w:r>
      <w:r w:rsidR="00E64146" w:rsidRPr="00B41FAD">
        <w:t xml:space="preserve"> l’idée de voir leur(s) élément(s)</w:t>
      </w:r>
      <w:r w:rsidRPr="00B41FAD">
        <w:t xml:space="preserve"> documenté(s) et/ou inventorié(s), </w:t>
      </w:r>
      <w:r w:rsidR="009F61A0" w:rsidRPr="00B41FAD">
        <w:t xml:space="preserve">leur volonté est à </w:t>
      </w:r>
      <w:r w:rsidR="002972AF" w:rsidRPr="00B41FAD">
        <w:t>respecter</w:t>
      </w:r>
      <w:r w:rsidRPr="00B41FAD">
        <w:t>. Il faut</w:t>
      </w:r>
      <w:r w:rsidR="00E64146" w:rsidRPr="00B41FAD">
        <w:t xml:space="preserve"> leur</w:t>
      </w:r>
      <w:r w:rsidRPr="00B41FAD">
        <w:t xml:space="preserve"> demander </w:t>
      </w:r>
      <w:r w:rsidR="00E64146" w:rsidRPr="00B41FAD">
        <w:t>d</w:t>
      </w:r>
      <w:r w:rsidR="00CC2817" w:rsidRPr="00B41FAD">
        <w:t>e préciser</w:t>
      </w:r>
      <w:r w:rsidRPr="00B41FAD">
        <w:t xml:space="preserve"> s</w:t>
      </w:r>
      <w:r w:rsidR="00A61E6D" w:rsidRPr="00B41FAD">
        <w:t>’</w:t>
      </w:r>
      <w:r w:rsidRPr="00B41FAD">
        <w:t xml:space="preserve">il y a des restrictions coutumières </w:t>
      </w:r>
      <w:r w:rsidR="00E64146" w:rsidRPr="00B41FAD">
        <w:t>régiss</w:t>
      </w:r>
      <w:r w:rsidRPr="00B41FAD">
        <w:t>ant l</w:t>
      </w:r>
      <w:r w:rsidR="00A61E6D" w:rsidRPr="00B41FAD">
        <w:t>’</w:t>
      </w:r>
      <w:r w:rsidRPr="00B41FAD">
        <w:t xml:space="preserve">accès </w:t>
      </w:r>
      <w:r w:rsidR="00E64146" w:rsidRPr="00B41FAD">
        <w:t>aux</w:t>
      </w:r>
      <w:r w:rsidRPr="00B41FAD">
        <w:t xml:space="preserve"> éléments du PCI qu</w:t>
      </w:r>
      <w:r w:rsidR="00A61E6D" w:rsidRPr="00B41FAD">
        <w:t>’</w:t>
      </w:r>
      <w:r w:rsidRPr="00B41FAD">
        <w:t xml:space="preserve">ils souhaitent inventorier ou aux informations </w:t>
      </w:r>
      <w:r w:rsidR="00E64146" w:rsidRPr="00B41FAD">
        <w:t>à leur sujet</w:t>
      </w:r>
      <w:r w:rsidRPr="00B41FAD">
        <w:t xml:space="preserve"> (voir </w:t>
      </w:r>
      <w:r w:rsidR="00043DFF" w:rsidRPr="00B41FAD">
        <w:t>article </w:t>
      </w:r>
      <w:r w:rsidR="0058069D">
        <w:t>13(d</w:t>
      </w:r>
      <w:proofErr w:type="gramStart"/>
      <w:r w:rsidR="0058069D">
        <w:t>)(</w:t>
      </w:r>
      <w:proofErr w:type="gramEnd"/>
      <w:r w:rsidR="0058069D">
        <w:t>ii)).</w:t>
      </w:r>
    </w:p>
    <w:p w:rsidR="004325DC" w:rsidRPr="00B41FAD" w:rsidRDefault="009121FA" w:rsidP="00914287">
      <w:pPr>
        <w:pStyle w:val="Texte1"/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850240" behindDoc="0" locked="0" layoutInCell="1" allowOverlap="0" wp14:anchorId="0A3C3422" wp14:editId="42A8C1E3">
            <wp:simplePos x="0" y="0"/>
            <wp:positionH relativeFrom="margin">
              <wp:align>left</wp:align>
            </wp:positionH>
            <wp:positionV relativeFrom="paragraph">
              <wp:posOffset>1621790</wp:posOffset>
            </wp:positionV>
            <wp:extent cx="283210" cy="358775"/>
            <wp:effectExtent l="0" t="0" r="2540" b="3175"/>
            <wp:wrapNone/>
            <wp:docPr id="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15" w:rsidRPr="00B41FAD">
        <w:t>Il arrive que l</w:t>
      </w:r>
      <w:r w:rsidR="00C10A1F" w:rsidRPr="00B41FAD">
        <w:t>a collecte d</w:t>
      </w:r>
      <w:r w:rsidR="007B2115" w:rsidRPr="00B41FAD">
        <w:t>e donnée</w:t>
      </w:r>
      <w:r w:rsidR="00C10A1F" w:rsidRPr="00B41FAD">
        <w:t xml:space="preserve">s et la documentation sur un élément spécifique du PCI </w:t>
      </w:r>
      <w:r w:rsidR="007B2115" w:rsidRPr="00B41FAD">
        <w:t>ai</w:t>
      </w:r>
      <w:r w:rsidR="00C10A1F" w:rsidRPr="00B41FAD">
        <w:t xml:space="preserve">ent déjà commencé </w:t>
      </w:r>
      <w:r w:rsidR="007B2115" w:rsidRPr="00B41FAD">
        <w:t>au préalable</w:t>
      </w:r>
      <w:r w:rsidR="00C10A1F" w:rsidRPr="00B41FAD">
        <w:t>, qu</w:t>
      </w:r>
      <w:r w:rsidR="007B2115" w:rsidRPr="00B41FAD">
        <w:t xml:space="preserve">e </w:t>
      </w:r>
      <w:r w:rsidR="007E209A" w:rsidRPr="00B41FAD">
        <w:t>ce soit à l’initiative</w:t>
      </w:r>
      <w:r w:rsidR="00C10A1F" w:rsidRPr="00B41FAD">
        <w:t xml:space="preserve"> </w:t>
      </w:r>
      <w:r w:rsidR="005A1A1B" w:rsidRPr="00B41FAD">
        <w:t>de</w:t>
      </w:r>
      <w:r w:rsidR="00C10A1F" w:rsidRPr="00B41FAD">
        <w:t xml:space="preserve"> chercheurs ou des membres de la c</w:t>
      </w:r>
      <w:r w:rsidR="007E209A" w:rsidRPr="00B41FAD">
        <w:t xml:space="preserve">ommunauté. </w:t>
      </w:r>
      <w:r w:rsidR="00FB2F56" w:rsidRPr="00B41FAD">
        <w:t>Tantôt</w:t>
      </w:r>
      <w:r w:rsidR="007E209A" w:rsidRPr="00B41FAD">
        <w:t xml:space="preserve">, </w:t>
      </w:r>
      <w:r w:rsidR="00FB2F56" w:rsidRPr="00B41FAD">
        <w:t xml:space="preserve">ce sont </w:t>
      </w:r>
      <w:r w:rsidR="00C10A1F" w:rsidRPr="00B41FAD">
        <w:t>des agences</w:t>
      </w:r>
      <w:r w:rsidR="007E209A" w:rsidRPr="00B41FAD">
        <w:t xml:space="preserve"> extérieures ou des chercheurs</w:t>
      </w:r>
      <w:r w:rsidR="005A1A1B" w:rsidRPr="00B41FAD">
        <w:t xml:space="preserve"> qui accomplissent cette tâche</w:t>
      </w:r>
      <w:r w:rsidR="007E209A" w:rsidRPr="00B41FAD">
        <w:t xml:space="preserve"> </w:t>
      </w:r>
      <w:r w:rsidR="00C10A1F" w:rsidRPr="00B41FAD">
        <w:t>(avec la participation et le c</w:t>
      </w:r>
      <w:r w:rsidR="00FB2F56" w:rsidRPr="00B41FAD">
        <w:t>onsentement de la communauté),</w:t>
      </w:r>
      <w:r w:rsidR="00C10A1F" w:rsidRPr="00B41FAD">
        <w:t xml:space="preserve"> </w:t>
      </w:r>
      <w:r w:rsidR="00FB2F56" w:rsidRPr="00B41FAD">
        <w:t>tantôt,</w:t>
      </w:r>
      <w:r w:rsidR="00C10A1F" w:rsidRPr="00B41FAD">
        <w:t xml:space="preserve"> ce sont les membres de la communauté qui dressent eux-mêmes l</w:t>
      </w:r>
      <w:r w:rsidR="00FB2F56" w:rsidRPr="00B41FAD">
        <w:t>’</w:t>
      </w:r>
      <w:r w:rsidR="00C10A1F" w:rsidRPr="00B41FAD">
        <w:t xml:space="preserve">inventaire. </w:t>
      </w:r>
      <w:r w:rsidR="00EF271A" w:rsidRPr="00B41FAD">
        <w:t>Ils peuvent</w:t>
      </w:r>
      <w:r w:rsidR="00806022" w:rsidRPr="00B41FAD">
        <w:t xml:space="preserve"> prendre une </w:t>
      </w:r>
      <w:r w:rsidR="00C10A1F" w:rsidRPr="00B41FAD">
        <w:t xml:space="preserve">part </w:t>
      </w:r>
      <w:r w:rsidR="00806022" w:rsidRPr="00B41FAD">
        <w:t xml:space="preserve">active </w:t>
      </w:r>
      <w:r w:rsidR="005A1A1B" w:rsidRPr="00B41FAD">
        <w:t xml:space="preserve">à </w:t>
      </w:r>
      <w:r w:rsidR="00EF271A" w:rsidRPr="00B41FAD">
        <w:t>ce processus à travers</w:t>
      </w:r>
      <w:r w:rsidR="00806022" w:rsidRPr="00B41FAD">
        <w:t xml:space="preserve"> </w:t>
      </w:r>
      <w:r w:rsidR="00C10A1F" w:rsidRPr="00B41FAD">
        <w:t>la génération et la systématisation de l</w:t>
      </w:r>
      <w:r w:rsidR="00A61E6D" w:rsidRPr="00B41FAD">
        <w:t>’</w:t>
      </w:r>
      <w:r w:rsidR="00C10A1F" w:rsidRPr="00B41FAD">
        <w:t>information, la gestion de l</w:t>
      </w:r>
      <w:r w:rsidR="00A61E6D" w:rsidRPr="00B41FAD">
        <w:t>’</w:t>
      </w:r>
      <w:r w:rsidR="00C10A1F" w:rsidRPr="00B41FAD">
        <w:t>inventaire et/ou l</w:t>
      </w:r>
      <w:r w:rsidR="00A61E6D" w:rsidRPr="00B41FAD">
        <w:t>’</w:t>
      </w:r>
      <w:r w:rsidR="00C10A1F" w:rsidRPr="00B41FAD">
        <w:t>accès à l</w:t>
      </w:r>
      <w:r w:rsidR="00A61E6D" w:rsidRPr="00B41FAD">
        <w:t>’</w:t>
      </w:r>
      <w:r w:rsidR="00C10A1F" w:rsidRPr="00B41FAD">
        <w:t>information. Si les c</w:t>
      </w:r>
      <w:r w:rsidR="00EF271A" w:rsidRPr="00B41FAD">
        <w:t>ompétence</w:t>
      </w:r>
      <w:r w:rsidR="00C10A1F" w:rsidRPr="00B41FAD">
        <w:t>s de</w:t>
      </w:r>
      <w:r w:rsidR="00EA4D95" w:rsidRPr="00B41FAD">
        <w:t>s</w:t>
      </w:r>
      <w:r w:rsidR="00C10A1F" w:rsidRPr="00B41FAD">
        <w:t xml:space="preserve"> communauté</w:t>
      </w:r>
      <w:r w:rsidR="00EA4D95" w:rsidRPr="00B41FAD">
        <w:t>s</w:t>
      </w:r>
      <w:r w:rsidR="00C10A1F" w:rsidRPr="00B41FAD">
        <w:t xml:space="preserve"> en matière d</w:t>
      </w:r>
      <w:r w:rsidR="00A61E6D" w:rsidRPr="00B41FAD">
        <w:t>’</w:t>
      </w:r>
      <w:r w:rsidR="00C10A1F" w:rsidRPr="00B41FAD">
        <w:t xml:space="preserve">inventaire ne sont </w:t>
      </w:r>
      <w:r w:rsidR="005A1A1B" w:rsidRPr="00B41FAD">
        <w:t xml:space="preserve">pas </w:t>
      </w:r>
      <w:r w:rsidR="00C10A1F" w:rsidRPr="00B41FAD">
        <w:t xml:space="preserve">déjà </w:t>
      </w:r>
      <w:r w:rsidR="007665C7" w:rsidRPr="00B41FAD">
        <w:t xml:space="preserve">bien </w:t>
      </w:r>
      <w:r w:rsidR="00C10A1F" w:rsidRPr="00B41FAD">
        <w:t>dé</w:t>
      </w:r>
      <w:r w:rsidR="007665C7" w:rsidRPr="00B41FAD">
        <w:t>veloppées</w:t>
      </w:r>
      <w:r w:rsidR="00C10A1F" w:rsidRPr="00B41FAD">
        <w:t>, le renforcement des capacités peut être intégré dans le processus.</w:t>
      </w:r>
    </w:p>
    <w:p w:rsidR="004325DC" w:rsidRPr="00B41FAD" w:rsidRDefault="007665C7" w:rsidP="00914287">
      <w:pPr>
        <w:pStyle w:val="Informations"/>
      </w:pPr>
      <w:r w:rsidRPr="00B41FAD">
        <w:t>D</w:t>
      </w:r>
      <w:r w:rsidR="00C10A1F" w:rsidRPr="00B41FAD">
        <w:t xml:space="preserve">ifférents modèles de participation </w:t>
      </w:r>
      <w:r w:rsidR="009867A4" w:rsidRPr="00B41FAD">
        <w:t>communaut</w:t>
      </w:r>
      <w:r w:rsidR="006B424F" w:rsidRPr="00B41FAD">
        <w:t>aire</w:t>
      </w:r>
      <w:r w:rsidR="009867A4" w:rsidRPr="00B41FAD">
        <w:t xml:space="preserve"> </w:t>
      </w:r>
      <w:r w:rsidRPr="00B41FAD">
        <w:t>à des</w:t>
      </w:r>
      <w:r w:rsidR="00C10A1F" w:rsidRPr="00B41FAD">
        <w:t xml:space="preserve"> processus d</w:t>
      </w:r>
      <w:r w:rsidR="00A61E6D" w:rsidRPr="00B41FAD">
        <w:t>’</w:t>
      </w:r>
      <w:r w:rsidR="00C10A1F" w:rsidRPr="00B41FAD">
        <w:t xml:space="preserve">inventaire </w:t>
      </w:r>
      <w:r w:rsidR="00E2520E" w:rsidRPr="00B41FAD">
        <w:t>sont cités en exemple</w:t>
      </w:r>
      <w:r w:rsidRPr="00B41FAD">
        <w:t xml:space="preserve"> </w:t>
      </w:r>
      <w:r w:rsidR="00C10A1F" w:rsidRPr="00B41FAD">
        <w:t>dans</w:t>
      </w:r>
      <w:r w:rsidR="00FB1DF7" w:rsidRPr="00B41FAD">
        <w:t xml:space="preserve"> les </w:t>
      </w:r>
      <w:r w:rsidR="00B0030C" w:rsidRPr="00B41FAD">
        <w:t>É</w:t>
      </w:r>
      <w:r w:rsidR="00C10A1F" w:rsidRPr="00B41FAD">
        <w:t>tudes de cas 6</w:t>
      </w:r>
      <w:r w:rsidR="006B424F" w:rsidRPr="00B41FAD">
        <w:t>-</w:t>
      </w:r>
      <w:r w:rsidR="00C10A1F" w:rsidRPr="00B41FAD">
        <w:t>8.</w:t>
      </w:r>
    </w:p>
    <w:p w:rsidR="004325DC" w:rsidRPr="00B41FAD" w:rsidRDefault="00C10A1F" w:rsidP="00914287">
      <w:pPr>
        <w:pStyle w:val="Texte1"/>
      </w:pPr>
      <w:r w:rsidRPr="00B41FAD">
        <w:t xml:space="preserve">Les tâches </w:t>
      </w:r>
      <w:r w:rsidR="00E2520E" w:rsidRPr="00B41FAD">
        <w:t>fondamenta</w:t>
      </w:r>
      <w:r w:rsidR="00E34992" w:rsidRPr="00B41FAD">
        <w:t>l</w:t>
      </w:r>
      <w:r w:rsidRPr="00B41FAD">
        <w:t>es d</w:t>
      </w:r>
      <w:r w:rsidR="00E34992" w:rsidRPr="00B41FAD">
        <w:t>e</w:t>
      </w:r>
      <w:r w:rsidRPr="00B41FAD">
        <w:t xml:space="preserve"> la planification d</w:t>
      </w:r>
      <w:r w:rsidR="00A61E6D" w:rsidRPr="00B41FAD">
        <w:t>’</w:t>
      </w:r>
      <w:r w:rsidRPr="00B41FAD">
        <w:t>un projet d</w:t>
      </w:r>
      <w:r w:rsidR="00A61E6D" w:rsidRPr="00B41FAD">
        <w:t>’</w:t>
      </w:r>
      <w:r w:rsidRPr="00B41FAD">
        <w:t xml:space="preserve">inventaire sont les suivantes (tout en assurant la participation et le consentement </w:t>
      </w:r>
      <w:r w:rsidR="00493648" w:rsidRPr="00B41FAD">
        <w:t>communautaire</w:t>
      </w:r>
      <w:r w:rsidR="009867A4" w:rsidRPr="00B41FAD">
        <w:t xml:space="preserve">s </w:t>
      </w:r>
      <w:r w:rsidR="00E34992" w:rsidRPr="00B41FAD">
        <w:t>à</w:t>
      </w:r>
      <w:r w:rsidR="002A15C0" w:rsidRPr="00B41FAD">
        <w:t xml:space="preserve"> toutes les étapes</w:t>
      </w:r>
      <w:r w:rsidRPr="00B41FAD">
        <w:t>)</w:t>
      </w:r>
      <w:r w:rsidR="00EA1FE1" w:rsidRPr="00B41FAD">
        <w:t> :</w:t>
      </w:r>
    </w:p>
    <w:p w:rsidR="006C3387" w:rsidRPr="00B41FAD" w:rsidRDefault="00FB1DF7" w:rsidP="009121FA">
      <w:pPr>
        <w:pStyle w:val="Txtpucegras"/>
        <w:ind w:left="1134"/>
      </w:pPr>
      <w:r w:rsidRPr="00B41FAD">
        <w:t>I</w:t>
      </w:r>
      <w:r w:rsidR="00C10A1F" w:rsidRPr="00B41FAD">
        <w:t xml:space="preserve">dentifier, informer et impliquer les communautés </w:t>
      </w:r>
      <w:r w:rsidR="00E34992" w:rsidRPr="00B41FAD">
        <w:t xml:space="preserve">concernées </w:t>
      </w:r>
      <w:r w:rsidR="00C10A1F" w:rsidRPr="00B41FAD">
        <w:t xml:space="preserve">et autres </w:t>
      </w:r>
      <w:r w:rsidR="00E34992" w:rsidRPr="00B41FAD">
        <w:t>acteurs</w:t>
      </w:r>
      <w:r w:rsidR="00C10A1F" w:rsidRPr="00B41FAD">
        <w:t>, y compris les ONG pertinentes (</w:t>
      </w:r>
      <w:r w:rsidR="00E34992" w:rsidRPr="00B41FAD">
        <w:t>le cas échéant</w:t>
      </w:r>
      <w:r w:rsidR="00C10A1F" w:rsidRPr="00B41FAD">
        <w:t>)</w:t>
      </w:r>
      <w:r w:rsidRPr="00B41FAD">
        <w:t>.</w:t>
      </w:r>
    </w:p>
    <w:p w:rsidR="006C3387" w:rsidRPr="00B41FAD" w:rsidRDefault="00FB1DF7" w:rsidP="009121FA">
      <w:pPr>
        <w:pStyle w:val="Txtpucegras"/>
        <w:ind w:left="1134"/>
      </w:pPr>
      <w:r w:rsidRPr="00B41FAD">
        <w:t>M</w:t>
      </w:r>
      <w:r w:rsidR="00C10A1F" w:rsidRPr="00B41FAD">
        <w:t>ettre en place des mécanismes consultatifs et établir la confiance entre les acteurs</w:t>
      </w:r>
      <w:r w:rsidR="00E34992" w:rsidRPr="00B41FAD">
        <w:t>.</w:t>
      </w:r>
    </w:p>
    <w:p w:rsidR="006C3387" w:rsidRPr="00B41FAD" w:rsidRDefault="00FB1DF7" w:rsidP="009121FA">
      <w:pPr>
        <w:pStyle w:val="Txtpucegras"/>
        <w:ind w:left="1134"/>
      </w:pPr>
      <w:r w:rsidRPr="00B41FAD">
        <w:t>D</w:t>
      </w:r>
      <w:r w:rsidR="00C10A1F" w:rsidRPr="00B41FAD">
        <w:t xml:space="preserve">éterminer </w:t>
      </w:r>
      <w:r w:rsidR="00493648" w:rsidRPr="00B41FAD">
        <w:t>le(s) but(s) et la portée de(s)</w:t>
      </w:r>
      <w:r w:rsidR="00C10A1F" w:rsidRPr="00B41FAD">
        <w:t xml:space="preserve"> </w:t>
      </w:r>
      <w:r w:rsidR="00D7397F" w:rsidRPr="00B41FAD">
        <w:t>(</w:t>
      </w:r>
      <w:r w:rsidR="00C10A1F" w:rsidRPr="00B41FAD">
        <w:t>l</w:t>
      </w:r>
      <w:r w:rsidR="00A61E6D" w:rsidRPr="00B41FAD">
        <w:t>’</w:t>
      </w:r>
      <w:proofErr w:type="gramStart"/>
      <w:r w:rsidR="00D7397F" w:rsidRPr="00B41FAD">
        <w:t>)</w:t>
      </w:r>
      <w:r w:rsidR="00C10A1F" w:rsidRPr="00B41FAD">
        <w:t>inventaire</w:t>
      </w:r>
      <w:proofErr w:type="gramEnd"/>
      <w:r w:rsidR="00C10A1F" w:rsidRPr="00B41FAD">
        <w:t>(s)</w:t>
      </w:r>
      <w:r w:rsidRPr="00B41FAD">
        <w:t>.</w:t>
      </w:r>
    </w:p>
    <w:p w:rsidR="006C3387" w:rsidRPr="00B41FAD" w:rsidRDefault="00FB1DF7" w:rsidP="009121FA">
      <w:pPr>
        <w:pStyle w:val="Txtpucegras"/>
        <w:ind w:left="1134"/>
      </w:pPr>
      <w:r w:rsidRPr="00B41FAD">
        <w:t>T</w:t>
      </w:r>
      <w:r w:rsidR="00C10A1F" w:rsidRPr="00B41FAD">
        <w:t>rouver les ressources pour entreprendre le projet</w:t>
      </w:r>
      <w:r w:rsidRPr="00B41FAD">
        <w:t>.</w:t>
      </w:r>
    </w:p>
    <w:p w:rsidR="006C3387" w:rsidRPr="00B41FAD" w:rsidRDefault="00FB1DF7" w:rsidP="009121FA">
      <w:pPr>
        <w:pStyle w:val="Txtpucegras"/>
        <w:ind w:left="1134"/>
      </w:pPr>
      <w:r w:rsidRPr="00B41FAD">
        <w:t>P</w:t>
      </w:r>
      <w:r w:rsidR="00C10A1F" w:rsidRPr="00B41FAD">
        <w:t>lanifier la génération et la systématisation de l</w:t>
      </w:r>
      <w:r w:rsidR="00A61E6D" w:rsidRPr="00B41FAD">
        <w:t>’</w:t>
      </w:r>
      <w:r w:rsidR="00C10A1F" w:rsidRPr="00B41FAD">
        <w:t>information</w:t>
      </w:r>
      <w:r w:rsidRPr="00B41FAD">
        <w:t>.</w:t>
      </w:r>
    </w:p>
    <w:p w:rsidR="004325DC" w:rsidRPr="00B41FAD" w:rsidRDefault="00FB1DF7" w:rsidP="009121FA">
      <w:pPr>
        <w:pStyle w:val="Txtpucegras"/>
        <w:ind w:left="1134"/>
      </w:pPr>
      <w:r w:rsidRPr="00B41FAD">
        <w:t>P</w:t>
      </w:r>
      <w:r w:rsidR="00C10A1F" w:rsidRPr="00B41FAD">
        <w:t>lanifier la diffusion, l</w:t>
      </w:r>
      <w:r w:rsidR="00A61E6D" w:rsidRPr="00B41FAD">
        <w:t>’</w:t>
      </w:r>
      <w:r w:rsidR="00C10A1F" w:rsidRPr="00B41FAD">
        <w:t>accès et la mise à jour.</w:t>
      </w:r>
    </w:p>
    <w:p w:rsidR="004325DC" w:rsidRPr="00B41FAD" w:rsidRDefault="00C10A1F" w:rsidP="009121FA">
      <w:pPr>
        <w:pStyle w:val="Soustitre"/>
        <w:ind w:left="850"/>
      </w:pPr>
      <w:r w:rsidRPr="00B41FAD">
        <w:t xml:space="preserve">Questions qui pourraient se poser </w:t>
      </w:r>
      <w:r w:rsidR="00166634" w:rsidRPr="00B41FAD">
        <w:t>lors de</w:t>
      </w:r>
      <w:r w:rsidR="000C4089" w:rsidRPr="00B41FAD">
        <w:t xml:space="preserve"> l</w:t>
      </w:r>
      <w:r w:rsidR="00166634" w:rsidRPr="00B41FAD">
        <w:t>’élabor</w:t>
      </w:r>
      <w:r w:rsidR="000C4089" w:rsidRPr="00B41FAD">
        <w:t>a</w:t>
      </w:r>
      <w:r w:rsidR="00166634" w:rsidRPr="00B41FAD">
        <w:t>tio</w:t>
      </w:r>
      <w:r w:rsidR="000C4089" w:rsidRPr="00B41FAD">
        <w:t>n d’</w:t>
      </w:r>
      <w:r w:rsidRPr="00B41FAD">
        <w:t xml:space="preserve">un </w:t>
      </w:r>
      <w:r w:rsidR="000C4089" w:rsidRPr="00B41FAD">
        <w:t>projet d’</w:t>
      </w:r>
      <w:r w:rsidRPr="00B41FAD">
        <w:t>inventaire</w:t>
      </w:r>
      <w:r w:rsidR="00EA1FE1" w:rsidRPr="00B41FAD">
        <w:t> :</w:t>
      </w:r>
    </w:p>
    <w:p w:rsidR="004325DC" w:rsidRPr="00B41FAD" w:rsidRDefault="00C10A1F" w:rsidP="009121FA">
      <w:pPr>
        <w:pStyle w:val="Txtpucegras"/>
        <w:ind w:left="1134"/>
      </w:pPr>
      <w:r w:rsidRPr="00B41FAD">
        <w:t>Y aura-t-il un ou plusieurs inventaires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Si l</w:t>
      </w:r>
      <w:r w:rsidR="00A61E6D" w:rsidRPr="00B41FAD">
        <w:t>’</w:t>
      </w:r>
      <w:r w:rsidRPr="00B41FAD">
        <w:t>on envisage de dresser plus</w:t>
      </w:r>
      <w:r w:rsidR="004F1140" w:rsidRPr="00B41FAD">
        <w:t xml:space="preserve"> d’un inventaire</w:t>
      </w:r>
      <w:r w:rsidRPr="00B41FAD">
        <w:t xml:space="preserve">, quel </w:t>
      </w:r>
      <w:r w:rsidR="004F1140" w:rsidRPr="00B41FAD">
        <w:t xml:space="preserve">sera le </w:t>
      </w:r>
      <w:r w:rsidR="00166634" w:rsidRPr="00B41FAD">
        <w:t>lien</w:t>
      </w:r>
      <w:r w:rsidRPr="00B41FAD">
        <w:t xml:space="preserve"> entre les différents inventaires</w:t>
      </w:r>
      <w:r w:rsidR="00953DB9" w:rsidRPr="00B41FAD">
        <w:t> ?</w:t>
      </w:r>
    </w:p>
    <w:p w:rsidR="004325DC" w:rsidRPr="00B41FAD" w:rsidRDefault="00166634" w:rsidP="009121FA">
      <w:pPr>
        <w:pStyle w:val="Txtpucegras"/>
        <w:ind w:left="1134"/>
      </w:pPr>
      <w:r w:rsidRPr="00B41FAD">
        <w:t>Comment seront</w:t>
      </w:r>
      <w:r w:rsidR="00C10A1F" w:rsidRPr="00B41FAD">
        <w:t xml:space="preserve"> </w:t>
      </w:r>
      <w:r w:rsidRPr="00B41FAD">
        <w:t>réparti</w:t>
      </w:r>
      <w:r w:rsidR="00C10A1F" w:rsidRPr="00B41FAD">
        <w:t xml:space="preserve">s les inventaires </w:t>
      </w:r>
      <w:r w:rsidR="00BB70F2" w:rsidRPr="00B41FAD">
        <w:t>– </w:t>
      </w:r>
      <w:r w:rsidR="009C1268" w:rsidRPr="00B41FAD">
        <w:t>par entité administrative,</w:t>
      </w:r>
      <w:r w:rsidR="00C10A1F" w:rsidRPr="00B41FAD">
        <w:t xml:space="preserve"> </w:t>
      </w:r>
      <w:r w:rsidR="009C1268" w:rsidRPr="00B41FAD">
        <w:t xml:space="preserve">par </w:t>
      </w:r>
      <w:r w:rsidR="00C10A1F" w:rsidRPr="00B41FAD">
        <w:t>communauté,</w:t>
      </w:r>
      <w:r w:rsidR="009C1268" w:rsidRPr="00B41FAD">
        <w:t xml:space="preserve"> domaine ou autre</w:t>
      </w:r>
      <w:r w:rsidR="00953DB9" w:rsidRPr="00B41FAD">
        <w:t> ?</w:t>
      </w:r>
      <w:r w:rsidR="00C10A1F" w:rsidRPr="00B41FAD">
        <w:t xml:space="preserve"> S</w:t>
      </w:r>
      <w:r w:rsidR="00A61E6D" w:rsidRPr="00B41FAD">
        <w:t>’</w:t>
      </w:r>
      <w:r w:rsidR="00C10A1F" w:rsidRPr="00B41FAD">
        <w:t xml:space="preserve">il y </w:t>
      </w:r>
      <w:r w:rsidR="009C1268" w:rsidRPr="00B41FAD">
        <w:t xml:space="preserve">en </w:t>
      </w:r>
      <w:r w:rsidR="00C10A1F" w:rsidRPr="00B41FAD">
        <w:t xml:space="preserve">a </w:t>
      </w:r>
      <w:r w:rsidR="00CC2817" w:rsidRPr="00B41FAD">
        <w:t>plus</w:t>
      </w:r>
      <w:r w:rsidR="009C1268" w:rsidRPr="00B41FAD">
        <w:t xml:space="preserve"> d’un</w:t>
      </w:r>
      <w:r w:rsidR="00C10A1F" w:rsidRPr="00B41FAD">
        <w:t xml:space="preserve">, </w:t>
      </w:r>
      <w:r w:rsidR="009C1268" w:rsidRPr="00B41FAD">
        <w:t>suivr</w:t>
      </w:r>
      <w:r w:rsidR="00C10A1F" w:rsidRPr="00B41FAD">
        <w:t>ont-ils tous la même approche</w:t>
      </w:r>
      <w:r w:rsidR="002A15C0" w:rsidRPr="00B41FAD">
        <w:t xml:space="preserve"> ou non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l</w:t>
      </w:r>
      <w:r w:rsidR="00A61E6D" w:rsidRPr="00B41FAD">
        <w:t>’</w:t>
      </w:r>
      <w:r w:rsidRPr="00B41FAD">
        <w:t>exercice d</w:t>
      </w:r>
      <w:r w:rsidR="00A61E6D" w:rsidRPr="00B41FAD">
        <w:t>’</w:t>
      </w:r>
      <w:r w:rsidRPr="00B41FAD">
        <w:t>inventaire et sa mise à jour ultérieure seront-ils financés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 xml:space="preserve">Qui mettra au point le(s) questionnaire(s) </w:t>
      </w:r>
      <w:r w:rsidR="009D7A85" w:rsidRPr="00B41FAD">
        <w:t>d</w:t>
      </w:r>
      <w:r w:rsidR="00A61E6D" w:rsidRPr="00B41FAD">
        <w:t>’</w:t>
      </w:r>
      <w:r w:rsidRPr="00B41FAD">
        <w:t>inventaire(s)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 xml:space="preserve">Quelles </w:t>
      </w:r>
      <w:r w:rsidR="009D7A85" w:rsidRPr="00B41FAD">
        <w:t xml:space="preserve">seront les </w:t>
      </w:r>
      <w:r w:rsidRPr="00B41FAD">
        <w:t xml:space="preserve">informations </w:t>
      </w:r>
      <w:r w:rsidR="009D7A85" w:rsidRPr="00B41FAD">
        <w:t>recueilli</w:t>
      </w:r>
      <w:r w:rsidRPr="00B41FAD">
        <w:t>es sur les éléments à inventorier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 xml:space="preserve">Quelle </w:t>
      </w:r>
      <w:r w:rsidR="00C17801" w:rsidRPr="00B41FAD">
        <w:t xml:space="preserve">sera la </w:t>
      </w:r>
      <w:r w:rsidRPr="00B41FAD">
        <w:t>profondeur d</w:t>
      </w:r>
      <w:r w:rsidR="00C17801" w:rsidRPr="00B41FAD">
        <w:t>e l</w:t>
      </w:r>
      <w:r w:rsidR="00A61E6D" w:rsidRPr="00B41FAD">
        <w:t>’</w:t>
      </w:r>
      <w:r w:rsidRPr="00B41FAD">
        <w:t>information ap</w:t>
      </w:r>
      <w:r w:rsidR="00C17801" w:rsidRPr="00B41FAD">
        <w:t>portée sur les éléments dans (</w:t>
      </w:r>
      <w:r w:rsidRPr="00B41FAD">
        <w:t>l</w:t>
      </w:r>
      <w:r w:rsidR="00A61E6D" w:rsidRPr="00B41FAD">
        <w:t>’</w:t>
      </w:r>
      <w:proofErr w:type="gramStart"/>
      <w:r w:rsidR="00C17801" w:rsidRPr="00B41FAD">
        <w:t>)les</w:t>
      </w:r>
      <w:proofErr w:type="gramEnd"/>
      <w:r w:rsidR="00C17801" w:rsidRPr="00B41FAD">
        <w:t xml:space="preserve"> </w:t>
      </w:r>
      <w:r w:rsidRPr="00B41FAD">
        <w:t>inventaire(s)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lastRenderedPageBreak/>
        <w:t>Quelle sera la définition du PCI utilisée</w:t>
      </w:r>
      <w:r w:rsidR="00953DB9" w:rsidRPr="00B41FAD">
        <w:t> ?</w:t>
      </w:r>
    </w:p>
    <w:p w:rsidR="004325DC" w:rsidRPr="00B41FAD" w:rsidRDefault="00C17801" w:rsidP="009121FA">
      <w:pPr>
        <w:pStyle w:val="Txtpucegras"/>
        <w:ind w:left="1134"/>
      </w:pPr>
      <w:r w:rsidRPr="00B41FAD">
        <w:t>Quel sera le système de domaines ou de</w:t>
      </w:r>
      <w:r w:rsidR="00C10A1F" w:rsidRPr="00B41FAD">
        <w:t xml:space="preserve"> catégories utilisé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Jusqu</w:t>
      </w:r>
      <w:r w:rsidR="00A61E6D" w:rsidRPr="00B41FAD">
        <w:t>’</w:t>
      </w:r>
      <w:r w:rsidRPr="00B41FAD">
        <w:t>à quel degré est-il prévu de pousser l</w:t>
      </w:r>
      <w:r w:rsidR="00A61E6D" w:rsidRPr="00B41FAD">
        <w:t>’</w:t>
      </w:r>
      <w:r w:rsidRPr="00B41FAD">
        <w:t>exercice d</w:t>
      </w:r>
      <w:r w:rsidR="00A61E6D" w:rsidRPr="00B41FAD">
        <w:t>’</w:t>
      </w:r>
      <w:r w:rsidRPr="00B41FAD">
        <w:t>inventaire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Qui facilitera la génération et la collecte de l</w:t>
      </w:r>
      <w:r w:rsidR="00A61E6D" w:rsidRPr="00B41FAD">
        <w:t>’</w:t>
      </w:r>
      <w:r w:rsidRPr="00B41FAD">
        <w:t>information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 xml:space="preserve">Comment les communautés seront-elles impliquées </w:t>
      </w:r>
      <w:r w:rsidR="008C34FE" w:rsidRPr="00B41FAD">
        <w:t>dans</w:t>
      </w:r>
      <w:r w:rsidRPr="00B41FAD">
        <w:t xml:space="preserve"> </w:t>
      </w:r>
      <w:r w:rsidR="00EE2BF3" w:rsidRPr="00B41FAD">
        <w:t>l’ensemble du</w:t>
      </w:r>
      <w:r w:rsidRPr="00B41FAD">
        <w:t xml:space="preserve"> processus de production de l</w:t>
      </w:r>
      <w:r w:rsidR="00A61E6D" w:rsidRPr="00B41FAD">
        <w:t>’</w:t>
      </w:r>
      <w:r w:rsidRPr="00B41FAD">
        <w:t>information, y compris la génération et la systématisation de l</w:t>
      </w:r>
      <w:r w:rsidR="00A61E6D" w:rsidRPr="00B41FAD">
        <w:t>’</w:t>
      </w:r>
      <w:r w:rsidRPr="00B41FAD">
        <w:t>information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Les organisations non gouvernementales et les institutions co</w:t>
      </w:r>
      <w:r w:rsidR="00B70345" w:rsidRPr="00B41FAD">
        <w:t>mpétent</w:t>
      </w:r>
      <w:r w:rsidRPr="00B41FAD">
        <w:t>es seront-elles impliquées dans l</w:t>
      </w:r>
      <w:r w:rsidR="00A61E6D" w:rsidRPr="00B41FAD">
        <w:t>’</w:t>
      </w:r>
      <w:r w:rsidRPr="00B41FAD">
        <w:t>exercice et, si oui, comment ?</w:t>
      </w:r>
    </w:p>
    <w:p w:rsidR="004325DC" w:rsidRPr="00B41FAD" w:rsidRDefault="00C10A1F" w:rsidP="009121FA">
      <w:pPr>
        <w:pStyle w:val="Txtpucegras"/>
        <w:ind w:left="1134"/>
      </w:pPr>
      <w:r w:rsidRPr="00B41FAD">
        <w:t>Qui contrôlera l</w:t>
      </w:r>
      <w:r w:rsidR="00A61E6D" w:rsidRPr="00B41FAD">
        <w:t>’</w:t>
      </w:r>
      <w:r w:rsidRPr="00B41FAD">
        <w:t>apport d</w:t>
      </w:r>
      <w:r w:rsidR="00A61E6D" w:rsidRPr="00B41FAD">
        <w:t>’</w:t>
      </w:r>
      <w:r w:rsidR="00B70345" w:rsidRPr="00B41FAD">
        <w:t xml:space="preserve">informations </w:t>
      </w:r>
      <w:r w:rsidRPr="00B41FAD">
        <w:t>à l</w:t>
      </w:r>
      <w:r w:rsidR="00A61E6D" w:rsidRPr="00B41FAD">
        <w:t>’</w:t>
      </w:r>
      <w:r w:rsidR="00B70345" w:rsidRPr="00B41FAD">
        <w:t>inventaire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Qui g</w:t>
      </w:r>
      <w:r w:rsidR="00953DB9" w:rsidRPr="00B41FAD">
        <w:t>é</w:t>
      </w:r>
      <w:r w:rsidRPr="00B41FAD">
        <w:t>rera et contrôlera l</w:t>
      </w:r>
      <w:r w:rsidR="00A61E6D" w:rsidRPr="00B41FAD">
        <w:t>’</w:t>
      </w:r>
      <w:r w:rsidRPr="00B41FAD">
        <w:t>accès à l</w:t>
      </w:r>
      <w:r w:rsidR="00A61E6D" w:rsidRPr="00B41FAD">
        <w:t>’</w:t>
      </w:r>
      <w:r w:rsidRPr="00B41FAD">
        <w:t>information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seront traitées les informations sensibles de manière à assurer le respect des restrictions coutumières sur l</w:t>
      </w:r>
      <w:r w:rsidR="00A61E6D" w:rsidRPr="00B41FAD">
        <w:t>’</w:t>
      </w:r>
      <w:r w:rsidRPr="00B41FAD">
        <w:t>accès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seront traités les éléments qui s</w:t>
      </w:r>
      <w:r w:rsidR="00EE2BF3" w:rsidRPr="00B41FAD">
        <w:t>e</w:t>
      </w:r>
      <w:r w:rsidRPr="00B41FAD">
        <w:t xml:space="preserve"> partag</w:t>
      </w:r>
      <w:r w:rsidR="00EE2BF3" w:rsidRPr="00B41FAD">
        <w:t>ent</w:t>
      </w:r>
      <w:r w:rsidRPr="00B41FAD">
        <w:t xml:space="preserve"> plus</w:t>
      </w:r>
      <w:r w:rsidR="00EE2BF3" w:rsidRPr="00B41FAD">
        <w:t>ieurs</w:t>
      </w:r>
      <w:r w:rsidRPr="00B41FAD">
        <w:t xml:space="preserve"> communauté</w:t>
      </w:r>
      <w:r w:rsidR="00EE2BF3" w:rsidRPr="00B41FAD">
        <w:t>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seront traités les éléments qu</w:t>
      </w:r>
      <w:r w:rsidR="0089038E" w:rsidRPr="00B41FAD">
        <w:t>i se</w:t>
      </w:r>
      <w:r w:rsidRPr="00B41FAD">
        <w:t xml:space="preserve"> trouve</w:t>
      </w:r>
      <w:r w:rsidR="0089038E" w:rsidRPr="00B41FAD">
        <w:t>nt</w:t>
      </w:r>
      <w:r w:rsidRPr="00B41FAD">
        <w:t xml:space="preserve"> </w:t>
      </w:r>
      <w:r w:rsidR="00EE2BF3" w:rsidRPr="00B41FAD">
        <w:t>également</w:t>
      </w:r>
      <w:r w:rsidRPr="00B41FAD">
        <w:t xml:space="preserve"> à l</w:t>
      </w:r>
      <w:r w:rsidR="00A61E6D" w:rsidRPr="00B41FAD">
        <w:t>’</w:t>
      </w:r>
      <w:r w:rsidRPr="00B41FAD">
        <w:t>extérieur du pays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seront publiés ou diffusés les inventaires</w:t>
      </w:r>
      <w:r w:rsidR="00953DB9" w:rsidRPr="00B41FAD">
        <w:t> ?</w:t>
      </w:r>
    </w:p>
    <w:p w:rsidR="004325DC" w:rsidRPr="00B41FAD" w:rsidRDefault="00C10A1F" w:rsidP="009121FA">
      <w:pPr>
        <w:pStyle w:val="Txtpucegras"/>
        <w:ind w:left="1134"/>
      </w:pPr>
      <w:r w:rsidRPr="00B41FAD">
        <w:t>Comment le changement sera-t-il intégré et la mise à jour organisée</w:t>
      </w:r>
      <w:r w:rsidR="00953DB9" w:rsidRPr="00B41FAD">
        <w:t> ?</w:t>
      </w:r>
    </w:p>
    <w:p w:rsidR="004325DC" w:rsidRPr="00B41FAD" w:rsidRDefault="00FB1DF7" w:rsidP="006D313C">
      <w:pPr>
        <w:pStyle w:val="Titcoul"/>
      </w:pPr>
      <w:bookmarkStart w:id="74" w:name="_Toc238963219"/>
      <w:bookmarkStart w:id="75" w:name="_Toc241065105"/>
      <w:bookmarkStart w:id="76" w:name="_Toc301443354"/>
      <w:bookmarkStart w:id="77" w:name="_Toc321406997"/>
      <w:bookmarkStart w:id="78" w:name="_Toc354486621"/>
      <w:bookmarkStart w:id="79" w:name="_Toc354486927"/>
      <w:bookmarkStart w:id="80" w:name="_Toc247360202"/>
      <w:r w:rsidRPr="00B41FAD">
        <w:t>6</w:t>
      </w:r>
      <w:r w:rsidR="00C10A1F" w:rsidRPr="00B41FAD">
        <w:t>.8</w:t>
      </w:r>
      <w:bookmarkEnd w:id="74"/>
      <w:bookmarkEnd w:id="75"/>
      <w:r w:rsidR="009270A5" w:rsidRPr="00B41FAD">
        <w:tab/>
      </w:r>
      <w:bookmarkStart w:id="81" w:name="_Toc238963220"/>
      <w:bookmarkStart w:id="82" w:name="_Toc241065106"/>
      <w:r w:rsidR="00C10A1F" w:rsidRPr="00B41FAD">
        <w:t>Conseil</w:t>
      </w:r>
      <w:r w:rsidR="00473E12" w:rsidRPr="00B41FAD">
        <w:t>s</w:t>
      </w:r>
      <w:r w:rsidR="00C10A1F" w:rsidRPr="00B41FAD">
        <w:t xml:space="preserve"> de </w:t>
      </w:r>
      <w:r w:rsidR="004272A4" w:rsidRPr="00B41FAD">
        <w:t>l</w:t>
      </w:r>
      <w:r w:rsidR="00A61E6D" w:rsidRPr="00B41FAD">
        <w:t>’</w:t>
      </w:r>
      <w:r w:rsidR="004272A4" w:rsidRPr="00B41FAD">
        <w:t xml:space="preserve">UNESCO </w:t>
      </w:r>
      <w:r w:rsidR="00E22644" w:rsidRPr="00B41FAD">
        <w:t>au sujet du travail d</w:t>
      </w:r>
      <w:r w:rsidR="00A61E6D" w:rsidRPr="00B41FAD">
        <w:t>’</w:t>
      </w:r>
      <w:r w:rsidR="00C10A1F" w:rsidRPr="00B41FAD">
        <w:t>inventaire</w:t>
      </w:r>
      <w:bookmarkEnd w:id="76"/>
      <w:bookmarkEnd w:id="77"/>
      <w:bookmarkEnd w:id="78"/>
      <w:bookmarkEnd w:id="79"/>
      <w:bookmarkEnd w:id="80"/>
      <w:bookmarkEnd w:id="81"/>
      <w:bookmarkEnd w:id="82"/>
    </w:p>
    <w:p w:rsidR="004325DC" w:rsidRPr="00B41FAD" w:rsidRDefault="00A96C8E" w:rsidP="00914287">
      <w:pPr>
        <w:pStyle w:val="Texte1"/>
      </w:pPr>
      <w:r w:rsidRPr="00B41FAD">
        <w:t xml:space="preserve">Il est </w:t>
      </w:r>
      <w:r w:rsidR="00C10A1F" w:rsidRPr="00B41FAD">
        <w:t xml:space="preserve">souvent </w:t>
      </w:r>
      <w:r w:rsidRPr="00B41FAD">
        <w:t xml:space="preserve">demandé </w:t>
      </w:r>
      <w:r w:rsidR="00C10A1F" w:rsidRPr="00B41FAD">
        <w:t xml:space="preserve">au Secrétariat de la Convention de donner des conseils sur la façon de </w:t>
      </w:r>
      <w:r w:rsidR="00E22644" w:rsidRPr="00B41FAD">
        <w:t>réalis</w:t>
      </w:r>
      <w:r w:rsidR="00C10A1F" w:rsidRPr="00B41FAD">
        <w:t xml:space="preserve">er un inventaire. Le Secrétariat ne peut pas </w:t>
      </w:r>
      <w:r w:rsidRPr="00B41FAD">
        <w:t>faire grand chose ici,</w:t>
      </w:r>
      <w:r w:rsidR="00C10A1F" w:rsidRPr="00B41FAD">
        <w:t xml:space="preserve"> d</w:t>
      </w:r>
      <w:r w:rsidR="00A61E6D" w:rsidRPr="00B41FAD">
        <w:t>’</w:t>
      </w:r>
      <w:r w:rsidR="00C10A1F" w:rsidRPr="00B41FAD">
        <w:t xml:space="preserve">autant plus que le Comité souscrit pleinement au principe selon lequel il appartient à chaque État partie de </w:t>
      </w:r>
      <w:r w:rsidR="00FF06D6" w:rsidRPr="00B41FAD">
        <w:t>dress</w:t>
      </w:r>
      <w:r w:rsidR="00C10A1F" w:rsidRPr="00B41FAD">
        <w:t xml:space="preserve">er des inventaires en fonction de sa situation. </w:t>
      </w:r>
      <w:r w:rsidR="00E22644" w:rsidRPr="00B41FAD">
        <w:t>Le kit préparé par le Secrétariat contient u</w:t>
      </w:r>
      <w:r w:rsidR="00C10A1F" w:rsidRPr="00B41FAD">
        <w:t>ne not</w:t>
      </w:r>
      <w:r w:rsidR="00E22644" w:rsidRPr="00B41FAD">
        <w:t>ic</w:t>
      </w:r>
      <w:r w:rsidR="00C10A1F" w:rsidRPr="00B41FAD">
        <w:t>e d</w:t>
      </w:r>
      <w:r w:rsidR="00A61E6D" w:rsidRPr="00B41FAD">
        <w:t>’</w:t>
      </w:r>
      <w:r w:rsidR="00C10A1F" w:rsidRPr="00B41FAD">
        <w:t>information générale téléchargeable sur la page Web de la Convention. Elle comporte une section spéciale sur l</w:t>
      </w:r>
      <w:r w:rsidR="00A61E6D" w:rsidRPr="00B41FAD">
        <w:t>’</w:t>
      </w:r>
      <w:r w:rsidR="00C10A1F" w:rsidRPr="00B41FAD">
        <w:t>identification et l</w:t>
      </w:r>
      <w:r w:rsidR="00A61E6D" w:rsidRPr="00B41FAD">
        <w:t>’</w:t>
      </w:r>
      <w:r w:rsidR="001A2937" w:rsidRPr="00B41FAD">
        <w:t>inventaire</w:t>
      </w:r>
      <w:r w:rsidR="00C10A1F" w:rsidRPr="00B41FAD">
        <w:t xml:space="preserve"> du PCI.</w:t>
      </w:r>
    </w:p>
    <w:p w:rsidR="004325DC" w:rsidRPr="00B41FAD" w:rsidRDefault="00C10A1F" w:rsidP="00914287">
      <w:pPr>
        <w:pStyle w:val="Texte1"/>
      </w:pPr>
      <w:r w:rsidRPr="00B41FAD">
        <w:t>Le Secrétariat donne un large écho aux descriptions de processus d</w:t>
      </w:r>
      <w:r w:rsidR="00A61E6D" w:rsidRPr="00B41FAD">
        <w:t>’</w:t>
      </w:r>
      <w:r w:rsidR="00F33CC1" w:rsidRPr="00B41FAD">
        <w:t>inventaire</w:t>
      </w:r>
      <w:r w:rsidRPr="00B41FAD">
        <w:t xml:space="preserve"> déjà bien avancé</w:t>
      </w:r>
      <w:r w:rsidR="00F33CC1" w:rsidRPr="00B41FAD">
        <w:t>s</w:t>
      </w:r>
      <w:r w:rsidRPr="00B41FAD">
        <w:t xml:space="preserve">, non pas </w:t>
      </w:r>
      <w:r w:rsidR="001A2937" w:rsidRPr="00B41FAD">
        <w:t xml:space="preserve">tant </w:t>
      </w:r>
      <w:r w:rsidRPr="00B41FAD">
        <w:t xml:space="preserve">comme des modèles à </w:t>
      </w:r>
      <w:r w:rsidR="001A2937" w:rsidRPr="00B41FAD">
        <w:t>re</w:t>
      </w:r>
      <w:r w:rsidR="00F33CC1" w:rsidRPr="00B41FAD">
        <w:t>produire</w:t>
      </w:r>
      <w:r w:rsidR="001A2937" w:rsidRPr="00B41FAD">
        <w:t xml:space="preserve"> que comme</w:t>
      </w:r>
      <w:r w:rsidRPr="00B41FAD">
        <w:t xml:space="preserve"> des</w:t>
      </w:r>
      <w:r w:rsidR="000A758E" w:rsidRPr="00B41FAD">
        <w:t xml:space="preserve"> exemples,</w:t>
      </w:r>
      <w:r w:rsidRPr="00B41FAD">
        <w:t xml:space="preserve"> </w:t>
      </w:r>
      <w:r w:rsidR="00F33CC1" w:rsidRPr="00B41FAD">
        <w:t>sources</w:t>
      </w:r>
      <w:r w:rsidRPr="00B41FAD">
        <w:t xml:space="preserve"> de réflexion et d</w:t>
      </w:r>
      <w:r w:rsidR="00A61E6D" w:rsidRPr="00B41FAD">
        <w:t>’</w:t>
      </w:r>
      <w:r w:rsidRPr="00B41FAD">
        <w:t>inspiration.</w:t>
      </w:r>
    </w:p>
    <w:p w:rsidR="004325DC" w:rsidRPr="00B41FAD" w:rsidRDefault="00C10A1F" w:rsidP="00914287">
      <w:pPr>
        <w:pStyle w:val="Texte1"/>
      </w:pPr>
      <w:r w:rsidRPr="00B41FAD">
        <w:t>Le site Web de la Conven</w:t>
      </w:r>
      <w:r w:rsidR="00FF06D6" w:rsidRPr="00B41FAD">
        <w:t>tion présente aussi un</w:t>
      </w:r>
      <w:r w:rsidRPr="00B41FAD">
        <w:t xml:space="preserve"> questionnaire</w:t>
      </w:r>
      <w:r w:rsidR="00FF06D6" w:rsidRPr="00B41FAD">
        <w:t xml:space="preserve"> type</w:t>
      </w:r>
      <w:r w:rsidRPr="00B41FAD">
        <w:t xml:space="preserve"> pour identifier des éléments en vue de le</w:t>
      </w:r>
      <w:r w:rsidR="00754AAA" w:rsidRPr="00B41FAD">
        <w:t>ur in</w:t>
      </w:r>
      <w:r w:rsidR="000A758E" w:rsidRPr="00B41FAD">
        <w:t>scription à l’inventaire. C</w:t>
      </w:r>
      <w:r w:rsidRPr="00B41FAD">
        <w:t>e questionnaire a été é</w:t>
      </w:r>
      <w:r w:rsidR="00754AAA" w:rsidRPr="00B41FAD">
        <w:t>laboré</w:t>
      </w:r>
      <w:r w:rsidRPr="00B41FAD">
        <w:t>, puis affiné par des experts ayant assisté à diverses réunions organisées par l</w:t>
      </w:r>
      <w:r w:rsidR="00A61E6D" w:rsidRPr="00B41FAD">
        <w:t>’</w:t>
      </w:r>
      <w:r w:rsidRPr="00B41FAD">
        <w:t>UNESCO sur la mise en œuvre de la Convention. Les questions qu</w:t>
      </w:r>
      <w:r w:rsidR="000A758E" w:rsidRPr="00B41FAD">
        <w:t>i y sont posées</w:t>
      </w:r>
      <w:r w:rsidRPr="00B41FAD">
        <w:t xml:space="preserve"> pourraient </w:t>
      </w:r>
      <w:r w:rsidR="000A758E" w:rsidRPr="00B41FAD">
        <w:t>faciliter le</w:t>
      </w:r>
      <w:r w:rsidRPr="00B41FAD">
        <w:t xml:space="preserve"> </w:t>
      </w:r>
      <w:r w:rsidR="002558B9" w:rsidRPr="00B41FAD">
        <w:t>class</w:t>
      </w:r>
      <w:r w:rsidRPr="00B41FAD">
        <w:t>e</w:t>
      </w:r>
      <w:r w:rsidR="000A758E" w:rsidRPr="00B41FAD">
        <w:t>ment d</w:t>
      </w:r>
      <w:r w:rsidRPr="00B41FAD">
        <w:t xml:space="preserve">es informations </w:t>
      </w:r>
      <w:r w:rsidR="002558B9" w:rsidRPr="00B41FAD">
        <w:t>recueilli</w:t>
      </w:r>
      <w:r w:rsidRPr="00B41FAD">
        <w:t xml:space="preserve">es avec </w:t>
      </w:r>
      <w:r w:rsidR="00754AAA" w:rsidRPr="00B41FAD">
        <w:t xml:space="preserve">ou par </w:t>
      </w:r>
      <w:r w:rsidRPr="00B41FAD">
        <w:t xml:space="preserve">des membres de la communauté </w:t>
      </w:r>
      <w:r w:rsidR="002558B9" w:rsidRPr="00B41FAD">
        <w:t>aux fins de l’</w:t>
      </w:r>
      <w:r w:rsidRPr="00B41FAD">
        <w:t>inventaire</w:t>
      </w:r>
      <w:r w:rsidR="006E3F2A" w:rsidRPr="00B41FAD">
        <w:t xml:space="preserve"> en </w:t>
      </w:r>
      <w:r w:rsidR="000A758E" w:rsidRPr="00B41FAD">
        <w:t xml:space="preserve">cours de </w:t>
      </w:r>
      <w:r w:rsidR="006E3F2A" w:rsidRPr="00B41FAD">
        <w:t>préparation</w:t>
      </w:r>
      <w:r w:rsidRPr="00B41FAD">
        <w:t>. Il n</w:t>
      </w:r>
      <w:r w:rsidR="00A61E6D" w:rsidRPr="00B41FAD">
        <w:t>’</w:t>
      </w:r>
      <w:r w:rsidRPr="00B41FAD">
        <w:t>y a absolument aucune ob</w:t>
      </w:r>
      <w:r w:rsidR="00F27700" w:rsidRPr="00B41FAD">
        <w:t>ligation à utiliser c</w:t>
      </w:r>
      <w:r w:rsidR="00FF06D6" w:rsidRPr="00B41FAD">
        <w:t>e</w:t>
      </w:r>
      <w:r w:rsidRPr="00B41FAD">
        <w:t xml:space="preserve"> questionnaire</w:t>
      </w:r>
      <w:r w:rsidR="00FF06D6" w:rsidRPr="00B41FAD">
        <w:t xml:space="preserve"> type</w:t>
      </w:r>
      <w:r w:rsidR="00F27700" w:rsidRPr="00B41FAD">
        <w:t xml:space="preserve"> conçu</w:t>
      </w:r>
      <w:r w:rsidR="006E3F2A" w:rsidRPr="00B41FAD">
        <w:t xml:space="preserve"> avant tout </w:t>
      </w:r>
      <w:r w:rsidRPr="00B41FAD">
        <w:t>pour aider les projets d</w:t>
      </w:r>
      <w:r w:rsidR="00A61E6D" w:rsidRPr="00B41FAD">
        <w:t>’</w:t>
      </w:r>
      <w:r w:rsidR="006E3F2A" w:rsidRPr="00B41FAD">
        <w:t>inventaire</w:t>
      </w:r>
      <w:r w:rsidRPr="00B41FAD">
        <w:t xml:space="preserve"> à poser les bonnes questions et à trouver l</w:t>
      </w:r>
      <w:r w:rsidR="00A61E6D" w:rsidRPr="00B41FAD">
        <w:t>’</w:t>
      </w:r>
      <w:r w:rsidRPr="00B41FAD">
        <w:t>inspiration pour inventorier le PCI dans l</w:t>
      </w:r>
      <w:r w:rsidR="00A61E6D" w:rsidRPr="00B41FAD">
        <w:t>’</w:t>
      </w:r>
      <w:r w:rsidRPr="00B41FAD">
        <w:t>esprit de la Convention.</w:t>
      </w:r>
    </w:p>
    <w:p w:rsidR="004325DC" w:rsidRPr="00B41FAD" w:rsidRDefault="00FB1DF7" w:rsidP="00914287">
      <w:pPr>
        <w:pStyle w:val="Informations"/>
      </w:pPr>
      <w:r w:rsidRPr="00B41FAD">
        <w:rPr>
          <w:noProof/>
          <w:lang w:val="es-ES_tradnl" w:eastAsia="es-ES_tradnl"/>
        </w:rPr>
        <w:drawing>
          <wp:anchor distT="0" distB="0" distL="114300" distR="114300" simplePos="0" relativeHeight="251848192" behindDoc="0" locked="1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A1F" w:rsidRPr="00B41FAD">
        <w:t xml:space="preserve">Le questionnaire </w:t>
      </w:r>
      <w:r w:rsidR="00FF06D6" w:rsidRPr="00B41FAD">
        <w:t>type</w:t>
      </w:r>
      <w:r w:rsidR="00C10A1F" w:rsidRPr="00B41FAD">
        <w:t xml:space="preserve"> </w:t>
      </w:r>
      <w:r w:rsidR="00F27700" w:rsidRPr="00B41FAD">
        <w:t>figure</w:t>
      </w:r>
      <w:r w:rsidR="00307D34" w:rsidRPr="00B41FAD">
        <w:t xml:space="preserve"> </w:t>
      </w:r>
      <w:r w:rsidR="00F27700" w:rsidRPr="00B41FAD">
        <w:t xml:space="preserve">dans la présente unité </w:t>
      </w:r>
      <w:r w:rsidR="006E3F2A" w:rsidRPr="00B41FAD">
        <w:t>sous forme d’</w:t>
      </w:r>
      <w:r w:rsidR="00985AA6" w:rsidRPr="00B41FAD">
        <w:t>I</w:t>
      </w:r>
      <w:r w:rsidR="00B0030C" w:rsidRPr="00B41FAD">
        <w:t>mprimé</w:t>
      </w:r>
      <w:r w:rsidR="00D65E8C" w:rsidRPr="00B41FAD">
        <w:t>.</w:t>
      </w:r>
    </w:p>
    <w:p w:rsidR="004325DC" w:rsidRPr="00B41FAD" w:rsidRDefault="00C10A1F" w:rsidP="00914287">
      <w:pPr>
        <w:pStyle w:val="Informations"/>
      </w:pPr>
      <w:r w:rsidRPr="00B41FAD">
        <w:t>Pour avoir des exemples de processus d</w:t>
      </w:r>
      <w:r w:rsidR="00A61E6D" w:rsidRPr="00B41FAD">
        <w:t>’</w:t>
      </w:r>
      <w:r w:rsidRPr="00B41FAD">
        <w:t>inventaire, voir</w:t>
      </w:r>
      <w:r w:rsidR="00FB1DF7" w:rsidRPr="00B41FAD">
        <w:t xml:space="preserve"> les </w:t>
      </w:r>
      <w:r w:rsidR="00D65E8C" w:rsidRPr="00B41FAD">
        <w:t xml:space="preserve">Études </w:t>
      </w:r>
      <w:r w:rsidRPr="00B41FAD">
        <w:t>de cas</w:t>
      </w:r>
      <w:r w:rsidR="009867A4" w:rsidRPr="00B41FAD">
        <w:t> </w:t>
      </w:r>
      <w:r w:rsidRPr="00B41FAD">
        <w:t>6</w:t>
      </w:r>
      <w:r w:rsidR="00985AA6" w:rsidRPr="00B41FAD">
        <w:t>-</w:t>
      </w:r>
      <w:r w:rsidRPr="00B41FAD">
        <w:t>8.</w:t>
      </w:r>
    </w:p>
    <w:p w:rsidR="004325DC" w:rsidRPr="00B41FAD" w:rsidRDefault="00985AA6" w:rsidP="00914287">
      <w:pPr>
        <w:pStyle w:val="Texte1"/>
      </w:pPr>
      <w:r w:rsidRPr="00B41FAD">
        <w:lastRenderedPageBreak/>
        <w:t>Il y a un atelier de formation spécifique de 8-</w:t>
      </w:r>
      <w:r w:rsidR="0093206D" w:rsidRPr="00B41FAD">
        <w:t xml:space="preserve">10 jours </w:t>
      </w:r>
      <w:r w:rsidR="00C17E3C" w:rsidRPr="00B41FAD">
        <w:t>sur le</w:t>
      </w:r>
      <w:r w:rsidR="00C10A1F" w:rsidRPr="00B41FAD">
        <w:t xml:space="preserve"> travail d</w:t>
      </w:r>
      <w:r w:rsidR="00A61E6D" w:rsidRPr="00B41FAD">
        <w:t>’</w:t>
      </w:r>
      <w:r w:rsidR="00C10A1F" w:rsidRPr="00B41FAD">
        <w:t xml:space="preserve">inventaire </w:t>
      </w:r>
      <w:r w:rsidR="00C17E3C" w:rsidRPr="00B41FAD">
        <w:t>dans le cadre de la</w:t>
      </w:r>
      <w:r w:rsidR="006E3F2A" w:rsidRPr="00B41FAD">
        <w:t xml:space="preserve"> communauté.</w:t>
      </w:r>
      <w:r w:rsidR="00C10A1F" w:rsidRPr="00B41FAD">
        <w:t xml:space="preserve"> </w:t>
      </w:r>
      <w:r w:rsidR="006E3F2A" w:rsidRPr="00B41FAD">
        <w:t>Des</w:t>
      </w:r>
      <w:r w:rsidRPr="00B41FAD">
        <w:t xml:space="preserve"> matériel</w:t>
      </w:r>
      <w:r w:rsidR="006E3F2A" w:rsidRPr="00B41FAD">
        <w:t>s</w:t>
      </w:r>
      <w:r w:rsidRPr="00B41FAD">
        <w:t xml:space="preserve"> de formation </w:t>
      </w:r>
      <w:r w:rsidR="006E3F2A" w:rsidRPr="00B41FAD">
        <w:t xml:space="preserve">sont </w:t>
      </w:r>
      <w:r w:rsidR="009D13F2" w:rsidRPr="00B41FAD">
        <w:t xml:space="preserve">mis </w:t>
      </w:r>
      <w:r w:rsidR="006E3F2A" w:rsidRPr="00B41FAD">
        <w:t xml:space="preserve">à </w:t>
      </w:r>
      <w:r w:rsidR="00E9723C" w:rsidRPr="00B41FAD">
        <w:t>dispo</w:t>
      </w:r>
      <w:r w:rsidR="006E3F2A" w:rsidRPr="00B41FAD">
        <w:t>sition</w:t>
      </w:r>
      <w:r w:rsidR="00E9723C" w:rsidRPr="00B41FAD">
        <w:t xml:space="preserve"> </w:t>
      </w:r>
      <w:r w:rsidR="00F76AC7" w:rsidRPr="00B41FAD">
        <w:t>au Secrétariat de la Convention</w:t>
      </w:r>
      <w:r w:rsidR="00C10A1F" w:rsidRPr="00B41FAD">
        <w:t>.</w:t>
      </w:r>
    </w:p>
    <w:sectPr w:rsidR="004325DC" w:rsidRPr="00B41FAD" w:rsidSect="00A41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11900" w:h="16840"/>
      <w:pgMar w:top="1701" w:right="1531" w:bottom="1701" w:left="1531" w:header="720" w:footer="720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409BCF" w15:done="0"/>
  <w15:commentEx w15:paraId="311725F1" w15:done="0"/>
  <w15:commentEx w15:paraId="59BC89B0" w15:done="0"/>
  <w15:commentEx w15:paraId="6A3519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8E" w:rsidRDefault="000A758E" w:rsidP="000F4C6A">
      <w:r>
        <w:separator/>
      </w:r>
    </w:p>
    <w:p w:rsidR="000A758E" w:rsidRDefault="000A758E"/>
    <w:p w:rsidR="000A758E" w:rsidRDefault="000A758E"/>
  </w:endnote>
  <w:endnote w:type="continuationSeparator" w:id="0">
    <w:p w:rsidR="000A758E" w:rsidRDefault="000A758E" w:rsidP="000F4C6A">
      <w:r>
        <w:continuationSeparator/>
      </w:r>
    </w:p>
    <w:p w:rsidR="000A758E" w:rsidRDefault="000A758E"/>
    <w:p w:rsidR="000A758E" w:rsidRDefault="000A7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Default="00E2699C" w:rsidP="00A31863">
    <w:pPr>
      <w:pStyle w:val="Footer"/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99232" behindDoc="0" locked="0" layoutInCell="1" allowOverlap="1" wp14:anchorId="4FAF809B" wp14:editId="1AE58D7B">
          <wp:simplePos x="0" y="0"/>
          <wp:positionH relativeFrom="margin">
            <wp:align>left</wp:align>
          </wp:positionH>
          <wp:positionV relativeFrom="paragraph">
            <wp:posOffset>-288925</wp:posOffset>
          </wp:positionV>
          <wp:extent cx="839478" cy="6302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8" cy="630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8E">
      <w:tab/>
      <w:t>© UNESCO • Ne pas reproduire sans autorisation</w:t>
    </w:r>
    <w:r w:rsidR="000A758E">
      <w:tab/>
      <w:t>U006-v1.1-PT-FR</w:t>
    </w:r>
    <w:r w:rsidR="000A758E" w:rsidRPr="00BA76B0" w:rsidDel="00D80F7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Pr="00A21469" w:rsidRDefault="00E2699C" w:rsidP="00A21469">
    <w:pPr>
      <w:pStyle w:val="Footer"/>
      <w:tabs>
        <w:tab w:val="left" w:pos="2600"/>
      </w:tabs>
      <w:rPr>
        <w:sz w:val="20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2001280" behindDoc="0" locked="0" layoutInCell="1" allowOverlap="1" wp14:anchorId="3B4752F9" wp14:editId="3A46FC3D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839470" cy="6299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8E">
      <w:t>U006-v1.1-PT-FR</w:t>
    </w:r>
    <w:r w:rsidR="000A758E">
      <w:tab/>
      <w:t>© UNESCO • Ne pas reproduire sans autorisation</w:t>
    </w:r>
    <w:r w:rsidR="000A758E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Pr="00150FFB" w:rsidRDefault="00D20352" w:rsidP="009633A3">
    <w:pPr>
      <w:pStyle w:val="Footer"/>
      <w:tabs>
        <w:tab w:val="left" w:pos="2600"/>
      </w:tabs>
      <w:rPr>
        <w:sz w:val="20"/>
      </w:rPr>
    </w:pPr>
    <w:r>
      <w:rPr>
        <w:noProof/>
        <w:snapToGrid/>
        <w:lang w:val="es-ES_tradnl" w:eastAsia="es-ES_tradnl"/>
      </w:rPr>
      <w:drawing>
        <wp:anchor distT="0" distB="0" distL="114300" distR="114300" simplePos="0" relativeHeight="251997184" behindDoc="0" locked="0" layoutInCell="1" allowOverlap="1" wp14:anchorId="6E26D33E" wp14:editId="6282D16E">
          <wp:simplePos x="0" y="0"/>
          <wp:positionH relativeFrom="margin">
            <wp:align>right</wp:align>
          </wp:positionH>
          <wp:positionV relativeFrom="paragraph">
            <wp:posOffset>-288925</wp:posOffset>
          </wp:positionV>
          <wp:extent cx="839470" cy="6299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58E">
      <w:t>U006-v1.1-PT-FR</w:t>
    </w:r>
    <w:r w:rsidR="000A758E">
      <w:tab/>
      <w:t>© UNESCO • Ne pas reproduire sans autorisation</w:t>
    </w:r>
    <w:r w:rsidR="000A758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8E" w:rsidRDefault="000A758E" w:rsidP="00150FFB">
      <w:pPr>
        <w:spacing w:after="60"/>
        <w:ind w:left="0"/>
      </w:pPr>
      <w:r>
        <w:separator/>
      </w:r>
    </w:p>
  </w:footnote>
  <w:footnote w:type="continuationSeparator" w:id="0">
    <w:p w:rsidR="000A758E" w:rsidRDefault="000A758E" w:rsidP="000F4C6A">
      <w:r>
        <w:continuationSeparator/>
      </w:r>
    </w:p>
    <w:p w:rsidR="000A758E" w:rsidRDefault="000A758E"/>
    <w:p w:rsidR="000A758E" w:rsidRDefault="000A758E"/>
  </w:footnote>
  <w:footnote w:id="1">
    <w:p w:rsidR="000A758E" w:rsidRDefault="000A758E">
      <w:pPr>
        <w:pStyle w:val="FootnoteText"/>
      </w:pPr>
      <w:r w:rsidRPr="00C02EE8">
        <w:rPr>
          <w:rStyle w:val="FootnoteReference"/>
          <w:sz w:val="16"/>
          <w:szCs w:val="16"/>
          <w:vertAlign w:val="baseline"/>
        </w:rPr>
        <w:footnoteRef/>
      </w:r>
      <w:r>
        <w:rPr>
          <w:rStyle w:val="hps"/>
        </w:rPr>
        <w:t>.</w:t>
      </w:r>
      <w:r>
        <w:rPr>
          <w:rStyle w:val="hps"/>
        </w:rPr>
        <w:tab/>
        <w:t>Fréquemment appelée « Convention du patrimoine</w:t>
      </w:r>
      <w:r>
        <w:t xml:space="preserve"> </w:t>
      </w:r>
      <w:r>
        <w:rPr>
          <w:rStyle w:val="hps"/>
        </w:rPr>
        <w:t>immatériel », « Convention de 2003 » et</w:t>
      </w:r>
      <w:r>
        <w:t xml:space="preserve">, aux fins </w:t>
      </w:r>
      <w:r>
        <w:rPr>
          <w:rStyle w:val="hps"/>
        </w:rPr>
        <w:t>de la présente unité</w:t>
      </w:r>
      <w:r>
        <w:t>, dite</w:t>
      </w:r>
      <w:r>
        <w:rPr>
          <w:rStyle w:val="hps"/>
        </w:rPr>
        <w:t xml:space="preserve"> simplement</w:t>
      </w:r>
      <w:r>
        <w:t xml:space="preserve"> « </w:t>
      </w:r>
      <w:r>
        <w:rPr>
          <w:rStyle w:val="hps"/>
        </w:rPr>
        <w:t>la Convention 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Pr="00603A8C" w:rsidRDefault="00CB5A3B" w:rsidP="00150FFB">
    <w:pPr>
      <w:pStyle w:val="Header"/>
      <w:rPr>
        <w:lang w:val="fr-FR"/>
      </w:rPr>
    </w:pPr>
    <w:r>
      <w:rPr>
        <w:rStyle w:val="PageNumber"/>
      </w:rPr>
      <w:fldChar w:fldCharType="begin"/>
    </w:r>
    <w:r w:rsidR="000A758E" w:rsidRPr="00603A8C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E2699C">
      <w:rPr>
        <w:rStyle w:val="PageNumber"/>
        <w:noProof/>
        <w:lang w:val="fr-FR"/>
      </w:rPr>
      <w:t>8</w:t>
    </w:r>
    <w:r>
      <w:rPr>
        <w:rStyle w:val="PageNumber"/>
      </w:rPr>
      <w:fldChar w:fldCharType="end"/>
    </w:r>
    <w:r w:rsidR="000A758E" w:rsidRPr="00603A8C">
      <w:rPr>
        <w:lang w:val="fr-FR"/>
      </w:rPr>
      <w:tab/>
    </w:r>
    <w:r w:rsidR="000A758E" w:rsidRPr="00150FFB">
      <w:rPr>
        <w:lang w:val="fr-FR"/>
      </w:rPr>
      <w:t xml:space="preserve">Unité </w:t>
    </w:r>
    <w:r w:rsidR="000A758E">
      <w:rPr>
        <w:lang w:val="fr-FR"/>
      </w:rPr>
      <w:t>6 : Identification et inventaires</w:t>
    </w:r>
    <w:r w:rsidR="000A758E">
      <w:rPr>
        <w:lang w:val="fr-FR"/>
      </w:rPr>
      <w:tab/>
    </w:r>
    <w:r w:rsidR="000A758E" w:rsidRPr="00603A8C">
      <w:rPr>
        <w:lang w:val="fr-FR"/>
      </w:rPr>
      <w:t>Texte du participant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Pr="00603A8C" w:rsidRDefault="000A758E" w:rsidP="00150FFB">
    <w:pPr>
      <w:pStyle w:val="Header"/>
      <w:rPr>
        <w:lang w:val="fr-FR"/>
      </w:rPr>
    </w:pPr>
    <w:r w:rsidRPr="00603A8C">
      <w:rPr>
        <w:lang w:val="fr-FR"/>
      </w:rPr>
      <w:t>Texte du participant</w:t>
    </w:r>
    <w:r w:rsidRPr="00603A8C">
      <w:rPr>
        <w:lang w:val="fr-FR"/>
      </w:rPr>
      <w:tab/>
    </w:r>
    <w:r w:rsidRPr="00150FFB">
      <w:rPr>
        <w:lang w:val="fr-FR"/>
      </w:rPr>
      <w:t xml:space="preserve">Unité </w:t>
    </w:r>
    <w:r>
      <w:rPr>
        <w:lang w:val="fr-FR"/>
      </w:rPr>
      <w:t>6 : Identification et inventaires</w:t>
    </w:r>
    <w:r w:rsidRPr="00603A8C">
      <w:rPr>
        <w:lang w:val="fr-FR"/>
      </w:rPr>
      <w:tab/>
    </w:r>
    <w:r w:rsidR="00CB5A3B">
      <w:rPr>
        <w:rStyle w:val="PageNumber"/>
      </w:rPr>
      <w:fldChar w:fldCharType="begin"/>
    </w:r>
    <w:r w:rsidRPr="00603A8C">
      <w:rPr>
        <w:rStyle w:val="PageNumber"/>
        <w:lang w:val="fr-FR"/>
      </w:rPr>
      <w:instrText xml:space="preserve"> PAGE </w:instrText>
    </w:r>
    <w:r w:rsidR="00CB5A3B">
      <w:rPr>
        <w:rStyle w:val="PageNumber"/>
      </w:rPr>
      <w:fldChar w:fldCharType="separate"/>
    </w:r>
    <w:r w:rsidR="00E2699C">
      <w:rPr>
        <w:rStyle w:val="PageNumber"/>
        <w:noProof/>
        <w:lang w:val="fr-FR"/>
      </w:rPr>
      <w:t>9</w:t>
    </w:r>
    <w:r w:rsidR="00CB5A3B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58E" w:rsidRPr="00603A8C" w:rsidRDefault="000A758E" w:rsidP="00A41931">
    <w:pPr>
      <w:pStyle w:val="Header"/>
      <w:ind w:right="360"/>
      <w:rPr>
        <w:lang w:val="fr-FR"/>
      </w:rPr>
    </w:pPr>
    <w:r>
      <w:rPr>
        <w:rStyle w:val="PageNumber"/>
      </w:rPr>
      <w:tab/>
      <w:t>Texte du participant</w:t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7F6"/>
    <w:multiLevelType w:val="hybridMultilevel"/>
    <w:tmpl w:val="31FE440C"/>
    <w:lvl w:ilvl="0" w:tplc="083C3858">
      <w:start w:val="1"/>
      <w:numFmt w:val="decimal"/>
      <w:pStyle w:val="Enumrotation"/>
      <w:lvlText w:val="%1."/>
      <w:lvlJc w:val="left"/>
      <w:pPr>
        <w:tabs>
          <w:tab w:val="num" w:pos="1191"/>
        </w:tabs>
        <w:ind w:left="1191" w:hanging="340"/>
      </w:pPr>
      <w:rPr>
        <w:rFonts w:ascii="Arial" w:eastAsia="SimSun" w:hAnsi="Arial" w:cs="Arial"/>
      </w:rPr>
    </w:lvl>
    <w:lvl w:ilvl="1" w:tplc="040C0019">
      <w:start w:val="1"/>
      <w:numFmt w:val="lowerLetter"/>
      <w:lvlText w:val="%2."/>
      <w:lvlJc w:val="left"/>
      <w:pPr>
        <w:ind w:left="2234" w:hanging="360"/>
      </w:pPr>
    </w:lvl>
    <w:lvl w:ilvl="2" w:tplc="040C001B" w:tentative="1">
      <w:start w:val="1"/>
      <w:numFmt w:val="lowerRoman"/>
      <w:lvlText w:val="%3."/>
      <w:lvlJc w:val="right"/>
      <w:pPr>
        <w:ind w:left="2954" w:hanging="180"/>
      </w:pPr>
    </w:lvl>
    <w:lvl w:ilvl="3" w:tplc="040C000F" w:tentative="1">
      <w:start w:val="1"/>
      <w:numFmt w:val="decimal"/>
      <w:lvlText w:val="%4."/>
      <w:lvlJc w:val="left"/>
      <w:pPr>
        <w:ind w:left="3674" w:hanging="360"/>
      </w:pPr>
    </w:lvl>
    <w:lvl w:ilvl="4" w:tplc="040C0019" w:tentative="1">
      <w:start w:val="1"/>
      <w:numFmt w:val="lowerLetter"/>
      <w:lvlText w:val="%5."/>
      <w:lvlJc w:val="left"/>
      <w:pPr>
        <w:ind w:left="4394" w:hanging="360"/>
      </w:pPr>
    </w:lvl>
    <w:lvl w:ilvl="5" w:tplc="040C001B" w:tentative="1">
      <w:start w:val="1"/>
      <w:numFmt w:val="lowerRoman"/>
      <w:lvlText w:val="%6."/>
      <w:lvlJc w:val="right"/>
      <w:pPr>
        <w:ind w:left="5114" w:hanging="180"/>
      </w:pPr>
    </w:lvl>
    <w:lvl w:ilvl="6" w:tplc="040C000F" w:tentative="1">
      <w:start w:val="1"/>
      <w:numFmt w:val="decimal"/>
      <w:lvlText w:val="%7."/>
      <w:lvlJc w:val="left"/>
      <w:pPr>
        <w:ind w:left="5834" w:hanging="360"/>
      </w:pPr>
    </w:lvl>
    <w:lvl w:ilvl="7" w:tplc="040C0019" w:tentative="1">
      <w:start w:val="1"/>
      <w:numFmt w:val="lowerLetter"/>
      <w:lvlText w:val="%8."/>
      <w:lvlJc w:val="left"/>
      <w:pPr>
        <w:ind w:left="6554" w:hanging="360"/>
      </w:pPr>
    </w:lvl>
    <w:lvl w:ilvl="8" w:tplc="04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1A211498"/>
    <w:multiLevelType w:val="hybridMultilevel"/>
    <w:tmpl w:val="4BF2EDA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36E5EE2">
      <w:numFmt w:val="bullet"/>
      <w:lvlText w:val="-"/>
      <w:lvlJc w:val="left"/>
      <w:pPr>
        <w:ind w:left="3142" w:hanging="1211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233066"/>
    <w:multiLevelType w:val="multilevel"/>
    <w:tmpl w:val="A0E60D08"/>
    <w:lvl w:ilvl="0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3B5F62D0"/>
    <w:multiLevelType w:val="hybridMultilevel"/>
    <w:tmpl w:val="6316AAD6"/>
    <w:lvl w:ilvl="0" w:tplc="1C090017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68D7A">
      <w:start w:val="1"/>
      <w:numFmt w:val="bullet"/>
      <w:pStyle w:val="Txtpucemaitr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943AE"/>
    <w:multiLevelType w:val="hybridMultilevel"/>
    <w:tmpl w:val="A0E60D08"/>
    <w:lvl w:ilvl="0" w:tplc="DE1C8388">
      <w:start w:val="1"/>
      <w:numFmt w:val="bullet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D672D"/>
    <w:multiLevelType w:val="multilevel"/>
    <w:tmpl w:val="E28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8AD26BF"/>
    <w:multiLevelType w:val="hybridMultilevel"/>
    <w:tmpl w:val="653E8370"/>
    <w:lvl w:ilvl="0" w:tplc="D24E78FE">
      <w:start w:val="1"/>
      <w:numFmt w:val="decimal"/>
      <w:pStyle w:val="Enu1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5B587C39"/>
    <w:multiLevelType w:val="hybridMultilevel"/>
    <w:tmpl w:val="ACAA8AD0"/>
    <w:lvl w:ilvl="0" w:tplc="D4A2D562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C7E9B"/>
    <w:multiLevelType w:val="hybridMultilevel"/>
    <w:tmpl w:val="AD5E7E1C"/>
    <w:lvl w:ilvl="0" w:tplc="95A6A61A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D194B"/>
    <w:multiLevelType w:val="hybridMultilevel"/>
    <w:tmpl w:val="4B349D9E"/>
    <w:lvl w:ilvl="0" w:tplc="B04E0E06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C57F62"/>
    <w:multiLevelType w:val="hybridMultilevel"/>
    <w:tmpl w:val="F9000E08"/>
    <w:lvl w:ilvl="0" w:tplc="86DE94BC"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eastAsia="SimSun" w:hAnsi="Aria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5674636"/>
    <w:multiLevelType w:val="multilevel"/>
    <w:tmpl w:val="811215F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204"/>
    <w:multiLevelType w:val="hybridMultilevel"/>
    <w:tmpl w:val="8FB6C784"/>
    <w:lvl w:ilvl="0" w:tplc="590A27DA">
      <w:start w:val="1"/>
      <w:numFmt w:val="bullet"/>
      <w:pStyle w:val="Puceannexe"/>
      <w:lvlText w:val=""/>
      <w:lvlJc w:val="left"/>
      <w:pPr>
        <w:ind w:left="927" w:hanging="9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4">
    <w:nsid w:val="7ED741CB"/>
    <w:multiLevelType w:val="hybridMultilevel"/>
    <w:tmpl w:val="6C2646DC"/>
    <w:lvl w:ilvl="0" w:tplc="C360C63E">
      <w:start w:val="2"/>
      <w:numFmt w:val="none"/>
      <w:pStyle w:val="citationa"/>
      <w:lvlText w:val="(a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B6773"/>
    <w:multiLevelType w:val="hybridMultilevel"/>
    <w:tmpl w:val="F1A60D46"/>
    <w:lvl w:ilvl="0" w:tplc="040C000F">
      <w:start w:val="1"/>
      <w:numFmt w:val="decimal"/>
      <w:lvlText w:val="%1."/>
      <w:lvlJc w:val="left"/>
      <w:pPr>
        <w:ind w:left="1740" w:hanging="360"/>
      </w:pPr>
    </w:lvl>
    <w:lvl w:ilvl="1" w:tplc="040C0019" w:tentative="1">
      <w:start w:val="1"/>
      <w:numFmt w:val="lowerLetter"/>
      <w:lvlText w:val="%2."/>
      <w:lvlJc w:val="left"/>
      <w:pPr>
        <w:ind w:left="2460" w:hanging="360"/>
      </w:pPr>
    </w:lvl>
    <w:lvl w:ilvl="2" w:tplc="040C001B" w:tentative="1">
      <w:start w:val="1"/>
      <w:numFmt w:val="lowerRoman"/>
      <w:lvlText w:val="%3."/>
      <w:lvlJc w:val="right"/>
      <w:pPr>
        <w:ind w:left="3180" w:hanging="180"/>
      </w:pPr>
    </w:lvl>
    <w:lvl w:ilvl="3" w:tplc="040C000F" w:tentative="1">
      <w:start w:val="1"/>
      <w:numFmt w:val="decimal"/>
      <w:lvlText w:val="%4."/>
      <w:lvlJc w:val="left"/>
      <w:pPr>
        <w:ind w:left="3900" w:hanging="360"/>
      </w:pPr>
    </w:lvl>
    <w:lvl w:ilvl="4" w:tplc="040C0019" w:tentative="1">
      <w:start w:val="1"/>
      <w:numFmt w:val="lowerLetter"/>
      <w:lvlText w:val="%5."/>
      <w:lvlJc w:val="left"/>
      <w:pPr>
        <w:ind w:left="4620" w:hanging="360"/>
      </w:pPr>
    </w:lvl>
    <w:lvl w:ilvl="5" w:tplc="040C001B" w:tentative="1">
      <w:start w:val="1"/>
      <w:numFmt w:val="lowerRoman"/>
      <w:lvlText w:val="%6."/>
      <w:lvlJc w:val="right"/>
      <w:pPr>
        <w:ind w:left="5340" w:hanging="180"/>
      </w:pPr>
    </w:lvl>
    <w:lvl w:ilvl="6" w:tplc="040C000F" w:tentative="1">
      <w:start w:val="1"/>
      <w:numFmt w:val="decimal"/>
      <w:lvlText w:val="%7."/>
      <w:lvlJc w:val="left"/>
      <w:pPr>
        <w:ind w:left="6060" w:hanging="360"/>
      </w:pPr>
    </w:lvl>
    <w:lvl w:ilvl="7" w:tplc="040C0019" w:tentative="1">
      <w:start w:val="1"/>
      <w:numFmt w:val="lowerLetter"/>
      <w:lvlText w:val="%8."/>
      <w:lvlJc w:val="left"/>
      <w:pPr>
        <w:ind w:left="6780" w:hanging="360"/>
      </w:pPr>
    </w:lvl>
    <w:lvl w:ilvl="8" w:tplc="040C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3"/>
  </w:num>
  <w:num w:numId="5">
    <w:abstractNumId w:val="15"/>
  </w:num>
  <w:num w:numId="6">
    <w:abstractNumId w:val="14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</w:num>
  <w:num w:numId="12">
    <w:abstractNumId w:val="1"/>
  </w:num>
  <w:num w:numId="13">
    <w:abstractNumId w:val="8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5"/>
  </w:num>
  <w:num w:numId="28">
    <w:abstractNumId w:val="8"/>
  </w:num>
  <w:num w:numId="29">
    <w:abstractNumId w:val="8"/>
  </w:num>
  <w:num w:numId="30">
    <w:abstractNumId w:val="8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1"/>
  </w:num>
  <w:num w:numId="40">
    <w:abstractNumId w:val="11"/>
  </w:num>
  <w:num w:numId="41">
    <w:abstractNumId w:val="10"/>
  </w:num>
  <w:num w:numId="42">
    <w:abstractNumId w:val="10"/>
  </w:num>
  <w:num w:numId="43">
    <w:abstractNumId w:val="9"/>
  </w:num>
  <w:num w:numId="44">
    <w:abstractNumId w:val="10"/>
  </w:num>
  <w:num w:numId="45">
    <w:abstractNumId w:val="10"/>
  </w:num>
  <w:num w:numId="46">
    <w:abstractNumId w:val="8"/>
  </w:num>
  <w:num w:numId="47">
    <w:abstractNumId w:val="8"/>
  </w:num>
  <w:num w:numId="48">
    <w:abstractNumId w:val="11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4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3E"/>
    <w:rsid w:val="00000455"/>
    <w:rsid w:val="000006EA"/>
    <w:rsid w:val="00000D1F"/>
    <w:rsid w:val="00000DB8"/>
    <w:rsid w:val="00000E9C"/>
    <w:rsid w:val="00003B9D"/>
    <w:rsid w:val="00014873"/>
    <w:rsid w:val="0001493B"/>
    <w:rsid w:val="000151E5"/>
    <w:rsid w:val="0001741F"/>
    <w:rsid w:val="00017D71"/>
    <w:rsid w:val="000213A8"/>
    <w:rsid w:val="00022302"/>
    <w:rsid w:val="0002511C"/>
    <w:rsid w:val="00026D69"/>
    <w:rsid w:val="00026DC2"/>
    <w:rsid w:val="00027DD9"/>
    <w:rsid w:val="000349C0"/>
    <w:rsid w:val="00040131"/>
    <w:rsid w:val="00041EBF"/>
    <w:rsid w:val="000424D8"/>
    <w:rsid w:val="0004359C"/>
    <w:rsid w:val="00043DFF"/>
    <w:rsid w:val="00044417"/>
    <w:rsid w:val="000467C1"/>
    <w:rsid w:val="00047780"/>
    <w:rsid w:val="0005026D"/>
    <w:rsid w:val="00053368"/>
    <w:rsid w:val="00054243"/>
    <w:rsid w:val="000542FD"/>
    <w:rsid w:val="00054EE0"/>
    <w:rsid w:val="00062885"/>
    <w:rsid w:val="000651E6"/>
    <w:rsid w:val="00066E72"/>
    <w:rsid w:val="0007031B"/>
    <w:rsid w:val="0007094A"/>
    <w:rsid w:val="00073751"/>
    <w:rsid w:val="00074FFC"/>
    <w:rsid w:val="00075D7D"/>
    <w:rsid w:val="00076221"/>
    <w:rsid w:val="000800C0"/>
    <w:rsid w:val="00080DAF"/>
    <w:rsid w:val="00081811"/>
    <w:rsid w:val="000819F8"/>
    <w:rsid w:val="000826E1"/>
    <w:rsid w:val="00082AEC"/>
    <w:rsid w:val="0008417E"/>
    <w:rsid w:val="00085406"/>
    <w:rsid w:val="0008620C"/>
    <w:rsid w:val="00086C3C"/>
    <w:rsid w:val="00090CE0"/>
    <w:rsid w:val="00094E6C"/>
    <w:rsid w:val="000A137F"/>
    <w:rsid w:val="000A13AA"/>
    <w:rsid w:val="000A5422"/>
    <w:rsid w:val="000A758E"/>
    <w:rsid w:val="000A7857"/>
    <w:rsid w:val="000B0472"/>
    <w:rsid w:val="000B1EB7"/>
    <w:rsid w:val="000B2122"/>
    <w:rsid w:val="000B3E37"/>
    <w:rsid w:val="000B710C"/>
    <w:rsid w:val="000C0E6A"/>
    <w:rsid w:val="000C4089"/>
    <w:rsid w:val="000C41FA"/>
    <w:rsid w:val="000C7105"/>
    <w:rsid w:val="000D0602"/>
    <w:rsid w:val="000D08F6"/>
    <w:rsid w:val="000D176D"/>
    <w:rsid w:val="000D6D71"/>
    <w:rsid w:val="000D7317"/>
    <w:rsid w:val="000D7964"/>
    <w:rsid w:val="000E0530"/>
    <w:rsid w:val="000E4179"/>
    <w:rsid w:val="000F4C6A"/>
    <w:rsid w:val="00103657"/>
    <w:rsid w:val="001060CE"/>
    <w:rsid w:val="00107DB1"/>
    <w:rsid w:val="001102E0"/>
    <w:rsid w:val="00117B78"/>
    <w:rsid w:val="00122967"/>
    <w:rsid w:val="00123B89"/>
    <w:rsid w:val="00125D18"/>
    <w:rsid w:val="00131EA8"/>
    <w:rsid w:val="00132CAD"/>
    <w:rsid w:val="00133E1B"/>
    <w:rsid w:val="00141559"/>
    <w:rsid w:val="0014251F"/>
    <w:rsid w:val="00145A5C"/>
    <w:rsid w:val="00146D1E"/>
    <w:rsid w:val="00147F5C"/>
    <w:rsid w:val="00150FFB"/>
    <w:rsid w:val="00152FA0"/>
    <w:rsid w:val="001533D4"/>
    <w:rsid w:val="0015366F"/>
    <w:rsid w:val="00154EA2"/>
    <w:rsid w:val="00162CDB"/>
    <w:rsid w:val="00164F5F"/>
    <w:rsid w:val="00166634"/>
    <w:rsid w:val="00166843"/>
    <w:rsid w:val="00167480"/>
    <w:rsid w:val="0017028D"/>
    <w:rsid w:val="00170BFE"/>
    <w:rsid w:val="0017490F"/>
    <w:rsid w:val="001757F9"/>
    <w:rsid w:val="0017682C"/>
    <w:rsid w:val="00180896"/>
    <w:rsid w:val="001843B4"/>
    <w:rsid w:val="00186060"/>
    <w:rsid w:val="00186BBF"/>
    <w:rsid w:val="00186D10"/>
    <w:rsid w:val="0018741A"/>
    <w:rsid w:val="001877AE"/>
    <w:rsid w:val="00187C35"/>
    <w:rsid w:val="00187C60"/>
    <w:rsid w:val="00191322"/>
    <w:rsid w:val="00191B71"/>
    <w:rsid w:val="0019481E"/>
    <w:rsid w:val="0019585B"/>
    <w:rsid w:val="00195959"/>
    <w:rsid w:val="001A171D"/>
    <w:rsid w:val="001A242D"/>
    <w:rsid w:val="001A2937"/>
    <w:rsid w:val="001A2B13"/>
    <w:rsid w:val="001A5977"/>
    <w:rsid w:val="001A69CA"/>
    <w:rsid w:val="001B04F6"/>
    <w:rsid w:val="001B0F2D"/>
    <w:rsid w:val="001B3C85"/>
    <w:rsid w:val="001B586D"/>
    <w:rsid w:val="001B6074"/>
    <w:rsid w:val="001C2F9D"/>
    <w:rsid w:val="001C5D26"/>
    <w:rsid w:val="001D13FF"/>
    <w:rsid w:val="001D39F7"/>
    <w:rsid w:val="001D5A7D"/>
    <w:rsid w:val="001D70CD"/>
    <w:rsid w:val="001D739A"/>
    <w:rsid w:val="001E0C39"/>
    <w:rsid w:val="001E1505"/>
    <w:rsid w:val="001E4B93"/>
    <w:rsid w:val="001E517D"/>
    <w:rsid w:val="001E7E3A"/>
    <w:rsid w:val="001F43D8"/>
    <w:rsid w:val="001F506C"/>
    <w:rsid w:val="001F5D28"/>
    <w:rsid w:val="00201A74"/>
    <w:rsid w:val="002032E2"/>
    <w:rsid w:val="00206C1F"/>
    <w:rsid w:val="0021069B"/>
    <w:rsid w:val="00210D69"/>
    <w:rsid w:val="002132D2"/>
    <w:rsid w:val="00216A23"/>
    <w:rsid w:val="00216D8E"/>
    <w:rsid w:val="002171D7"/>
    <w:rsid w:val="002207C3"/>
    <w:rsid w:val="00221195"/>
    <w:rsid w:val="002216BA"/>
    <w:rsid w:val="00221F26"/>
    <w:rsid w:val="0022230D"/>
    <w:rsid w:val="0022235D"/>
    <w:rsid w:val="00224D7E"/>
    <w:rsid w:val="0022656C"/>
    <w:rsid w:val="00227E50"/>
    <w:rsid w:val="00231010"/>
    <w:rsid w:val="00231A87"/>
    <w:rsid w:val="00233749"/>
    <w:rsid w:val="0023454D"/>
    <w:rsid w:val="00234B2D"/>
    <w:rsid w:val="00235024"/>
    <w:rsid w:val="0023521F"/>
    <w:rsid w:val="00236B5B"/>
    <w:rsid w:val="0023733F"/>
    <w:rsid w:val="00242B77"/>
    <w:rsid w:val="00242EE4"/>
    <w:rsid w:val="00243F4E"/>
    <w:rsid w:val="002440CE"/>
    <w:rsid w:val="0024481B"/>
    <w:rsid w:val="0024620F"/>
    <w:rsid w:val="00246AAF"/>
    <w:rsid w:val="00251A4E"/>
    <w:rsid w:val="00255220"/>
    <w:rsid w:val="0025578B"/>
    <w:rsid w:val="002558B9"/>
    <w:rsid w:val="00255A53"/>
    <w:rsid w:val="00257542"/>
    <w:rsid w:val="00257BD7"/>
    <w:rsid w:val="00260AF8"/>
    <w:rsid w:val="002640FF"/>
    <w:rsid w:val="00265203"/>
    <w:rsid w:val="002712FD"/>
    <w:rsid w:val="002746AA"/>
    <w:rsid w:val="00275601"/>
    <w:rsid w:val="002758DA"/>
    <w:rsid w:val="00277EB4"/>
    <w:rsid w:val="002800D8"/>
    <w:rsid w:val="002826E8"/>
    <w:rsid w:val="002832A1"/>
    <w:rsid w:val="00284539"/>
    <w:rsid w:val="00285F80"/>
    <w:rsid w:val="002869EB"/>
    <w:rsid w:val="00290880"/>
    <w:rsid w:val="00291E2F"/>
    <w:rsid w:val="002934E6"/>
    <w:rsid w:val="00294972"/>
    <w:rsid w:val="00294FD3"/>
    <w:rsid w:val="00296070"/>
    <w:rsid w:val="002972AF"/>
    <w:rsid w:val="002A025C"/>
    <w:rsid w:val="002A15C0"/>
    <w:rsid w:val="002A2F7A"/>
    <w:rsid w:val="002A447B"/>
    <w:rsid w:val="002A4ED4"/>
    <w:rsid w:val="002A5DC9"/>
    <w:rsid w:val="002A5E66"/>
    <w:rsid w:val="002A6D5B"/>
    <w:rsid w:val="002A7352"/>
    <w:rsid w:val="002B1505"/>
    <w:rsid w:val="002B33DC"/>
    <w:rsid w:val="002B3D30"/>
    <w:rsid w:val="002B6A2C"/>
    <w:rsid w:val="002B6C50"/>
    <w:rsid w:val="002C0C94"/>
    <w:rsid w:val="002C1D8C"/>
    <w:rsid w:val="002C24BA"/>
    <w:rsid w:val="002C3A25"/>
    <w:rsid w:val="002C3A7E"/>
    <w:rsid w:val="002C7ABF"/>
    <w:rsid w:val="002D200B"/>
    <w:rsid w:val="002D2B81"/>
    <w:rsid w:val="002D41E4"/>
    <w:rsid w:val="002D6696"/>
    <w:rsid w:val="002D6CF6"/>
    <w:rsid w:val="002E02B2"/>
    <w:rsid w:val="002E0598"/>
    <w:rsid w:val="002E0878"/>
    <w:rsid w:val="002E1E8D"/>
    <w:rsid w:val="002E5028"/>
    <w:rsid w:val="002E55CB"/>
    <w:rsid w:val="002E5AC2"/>
    <w:rsid w:val="002E71FB"/>
    <w:rsid w:val="002F2551"/>
    <w:rsid w:val="002F67A4"/>
    <w:rsid w:val="002F739D"/>
    <w:rsid w:val="0030168E"/>
    <w:rsid w:val="00307D34"/>
    <w:rsid w:val="00310CD0"/>
    <w:rsid w:val="00312970"/>
    <w:rsid w:val="00314A84"/>
    <w:rsid w:val="00314CEF"/>
    <w:rsid w:val="00316B5B"/>
    <w:rsid w:val="003238D3"/>
    <w:rsid w:val="00323B75"/>
    <w:rsid w:val="003259DC"/>
    <w:rsid w:val="0032659F"/>
    <w:rsid w:val="00330A6B"/>
    <w:rsid w:val="00330E2D"/>
    <w:rsid w:val="003356E3"/>
    <w:rsid w:val="003370CB"/>
    <w:rsid w:val="003372C9"/>
    <w:rsid w:val="00337F17"/>
    <w:rsid w:val="00340932"/>
    <w:rsid w:val="003422E3"/>
    <w:rsid w:val="00344D75"/>
    <w:rsid w:val="00347851"/>
    <w:rsid w:val="003518D9"/>
    <w:rsid w:val="00354854"/>
    <w:rsid w:val="00356218"/>
    <w:rsid w:val="00360416"/>
    <w:rsid w:val="00361E6E"/>
    <w:rsid w:val="003677D8"/>
    <w:rsid w:val="00370391"/>
    <w:rsid w:val="00370E06"/>
    <w:rsid w:val="00370EBE"/>
    <w:rsid w:val="00374529"/>
    <w:rsid w:val="00374E95"/>
    <w:rsid w:val="00375BFE"/>
    <w:rsid w:val="00377457"/>
    <w:rsid w:val="003775EC"/>
    <w:rsid w:val="00377639"/>
    <w:rsid w:val="00381367"/>
    <w:rsid w:val="00384E33"/>
    <w:rsid w:val="00386CF6"/>
    <w:rsid w:val="00387787"/>
    <w:rsid w:val="00393E50"/>
    <w:rsid w:val="00393E53"/>
    <w:rsid w:val="0039446A"/>
    <w:rsid w:val="00396190"/>
    <w:rsid w:val="00396571"/>
    <w:rsid w:val="0039745B"/>
    <w:rsid w:val="003975EA"/>
    <w:rsid w:val="003A1010"/>
    <w:rsid w:val="003A365A"/>
    <w:rsid w:val="003A5232"/>
    <w:rsid w:val="003A524E"/>
    <w:rsid w:val="003B09E7"/>
    <w:rsid w:val="003B1901"/>
    <w:rsid w:val="003B2A6E"/>
    <w:rsid w:val="003B4704"/>
    <w:rsid w:val="003B5874"/>
    <w:rsid w:val="003B6B98"/>
    <w:rsid w:val="003B70C7"/>
    <w:rsid w:val="003B711B"/>
    <w:rsid w:val="003B7DFC"/>
    <w:rsid w:val="003B7F45"/>
    <w:rsid w:val="003C16F8"/>
    <w:rsid w:val="003C4F1D"/>
    <w:rsid w:val="003C76B1"/>
    <w:rsid w:val="003C7BEB"/>
    <w:rsid w:val="003D020C"/>
    <w:rsid w:val="003D2709"/>
    <w:rsid w:val="003D579C"/>
    <w:rsid w:val="003E0570"/>
    <w:rsid w:val="003E15E2"/>
    <w:rsid w:val="003E30F9"/>
    <w:rsid w:val="003E5E70"/>
    <w:rsid w:val="003F104E"/>
    <w:rsid w:val="003F1597"/>
    <w:rsid w:val="003F2782"/>
    <w:rsid w:val="003F3288"/>
    <w:rsid w:val="003F50EC"/>
    <w:rsid w:val="003F5CA8"/>
    <w:rsid w:val="003F5D9C"/>
    <w:rsid w:val="003F6B5C"/>
    <w:rsid w:val="00402839"/>
    <w:rsid w:val="0040373D"/>
    <w:rsid w:val="00403A1B"/>
    <w:rsid w:val="00404EAE"/>
    <w:rsid w:val="00406030"/>
    <w:rsid w:val="00411833"/>
    <w:rsid w:val="004120B8"/>
    <w:rsid w:val="004124FE"/>
    <w:rsid w:val="00412910"/>
    <w:rsid w:val="004139B2"/>
    <w:rsid w:val="0042393B"/>
    <w:rsid w:val="004272A4"/>
    <w:rsid w:val="004305D4"/>
    <w:rsid w:val="00430B70"/>
    <w:rsid w:val="004315D8"/>
    <w:rsid w:val="004325DC"/>
    <w:rsid w:val="00433FAD"/>
    <w:rsid w:val="00434788"/>
    <w:rsid w:val="00434BA5"/>
    <w:rsid w:val="00434CAC"/>
    <w:rsid w:val="00434D65"/>
    <w:rsid w:val="0043515E"/>
    <w:rsid w:val="00436ECC"/>
    <w:rsid w:val="0043725F"/>
    <w:rsid w:val="004406B6"/>
    <w:rsid w:val="004449EE"/>
    <w:rsid w:val="004468CE"/>
    <w:rsid w:val="00447076"/>
    <w:rsid w:val="00447861"/>
    <w:rsid w:val="00447F1C"/>
    <w:rsid w:val="00450EF9"/>
    <w:rsid w:val="00455CF9"/>
    <w:rsid w:val="00460771"/>
    <w:rsid w:val="0046081C"/>
    <w:rsid w:val="00461004"/>
    <w:rsid w:val="00461C5C"/>
    <w:rsid w:val="00464E9D"/>
    <w:rsid w:val="00472E0F"/>
    <w:rsid w:val="00473E12"/>
    <w:rsid w:val="0047555C"/>
    <w:rsid w:val="00475B87"/>
    <w:rsid w:val="00476EE5"/>
    <w:rsid w:val="00477C3F"/>
    <w:rsid w:val="0048121B"/>
    <w:rsid w:val="00481229"/>
    <w:rsid w:val="00483E5F"/>
    <w:rsid w:val="00485AA9"/>
    <w:rsid w:val="00490881"/>
    <w:rsid w:val="00493648"/>
    <w:rsid w:val="0049447F"/>
    <w:rsid w:val="00495197"/>
    <w:rsid w:val="00496C7F"/>
    <w:rsid w:val="004A2852"/>
    <w:rsid w:val="004A3569"/>
    <w:rsid w:val="004A3A76"/>
    <w:rsid w:val="004A4557"/>
    <w:rsid w:val="004A60E9"/>
    <w:rsid w:val="004A66F4"/>
    <w:rsid w:val="004A6AB4"/>
    <w:rsid w:val="004A7115"/>
    <w:rsid w:val="004A78E2"/>
    <w:rsid w:val="004A7ED8"/>
    <w:rsid w:val="004B1D4C"/>
    <w:rsid w:val="004B20A7"/>
    <w:rsid w:val="004B45C3"/>
    <w:rsid w:val="004C0123"/>
    <w:rsid w:val="004C0416"/>
    <w:rsid w:val="004C5C50"/>
    <w:rsid w:val="004D37AA"/>
    <w:rsid w:val="004D5579"/>
    <w:rsid w:val="004D571E"/>
    <w:rsid w:val="004D57C8"/>
    <w:rsid w:val="004D5C00"/>
    <w:rsid w:val="004D5F7F"/>
    <w:rsid w:val="004D6197"/>
    <w:rsid w:val="004D6B01"/>
    <w:rsid w:val="004E095F"/>
    <w:rsid w:val="004E49F5"/>
    <w:rsid w:val="004E5B44"/>
    <w:rsid w:val="004E7D6C"/>
    <w:rsid w:val="004F008E"/>
    <w:rsid w:val="004F1140"/>
    <w:rsid w:val="004F369E"/>
    <w:rsid w:val="004F3C16"/>
    <w:rsid w:val="004F46C9"/>
    <w:rsid w:val="004F5CF8"/>
    <w:rsid w:val="004F6ED7"/>
    <w:rsid w:val="004F6F32"/>
    <w:rsid w:val="004F7122"/>
    <w:rsid w:val="00501117"/>
    <w:rsid w:val="005027DA"/>
    <w:rsid w:val="00502E0B"/>
    <w:rsid w:val="005058A4"/>
    <w:rsid w:val="00505F03"/>
    <w:rsid w:val="00506791"/>
    <w:rsid w:val="005068B2"/>
    <w:rsid w:val="00514E15"/>
    <w:rsid w:val="00517B96"/>
    <w:rsid w:val="00520241"/>
    <w:rsid w:val="005203EA"/>
    <w:rsid w:val="00520CB3"/>
    <w:rsid w:val="00521245"/>
    <w:rsid w:val="00526259"/>
    <w:rsid w:val="0052680E"/>
    <w:rsid w:val="00527E16"/>
    <w:rsid w:val="00531E23"/>
    <w:rsid w:val="005322A5"/>
    <w:rsid w:val="0053768F"/>
    <w:rsid w:val="00547581"/>
    <w:rsid w:val="00550074"/>
    <w:rsid w:val="0055379C"/>
    <w:rsid w:val="00554DE9"/>
    <w:rsid w:val="00555900"/>
    <w:rsid w:val="00556D69"/>
    <w:rsid w:val="0056051F"/>
    <w:rsid w:val="0056138E"/>
    <w:rsid w:val="0056329E"/>
    <w:rsid w:val="00564B42"/>
    <w:rsid w:val="00565F12"/>
    <w:rsid w:val="005666D2"/>
    <w:rsid w:val="0056743A"/>
    <w:rsid w:val="00567F81"/>
    <w:rsid w:val="00573B3D"/>
    <w:rsid w:val="00574958"/>
    <w:rsid w:val="0057532F"/>
    <w:rsid w:val="00575BF8"/>
    <w:rsid w:val="00577621"/>
    <w:rsid w:val="005800F5"/>
    <w:rsid w:val="0058069D"/>
    <w:rsid w:val="00581F97"/>
    <w:rsid w:val="00584506"/>
    <w:rsid w:val="00590B2E"/>
    <w:rsid w:val="0059714B"/>
    <w:rsid w:val="005A0707"/>
    <w:rsid w:val="005A0AB6"/>
    <w:rsid w:val="005A1830"/>
    <w:rsid w:val="005A1A1B"/>
    <w:rsid w:val="005A207D"/>
    <w:rsid w:val="005A69B3"/>
    <w:rsid w:val="005A7B3D"/>
    <w:rsid w:val="005B0DA6"/>
    <w:rsid w:val="005B1C14"/>
    <w:rsid w:val="005B5D26"/>
    <w:rsid w:val="005B5EC6"/>
    <w:rsid w:val="005B703B"/>
    <w:rsid w:val="005B79DB"/>
    <w:rsid w:val="005C10EB"/>
    <w:rsid w:val="005C21E7"/>
    <w:rsid w:val="005C4F3A"/>
    <w:rsid w:val="005C7ACF"/>
    <w:rsid w:val="005D01EF"/>
    <w:rsid w:val="005D1F45"/>
    <w:rsid w:val="005D232C"/>
    <w:rsid w:val="005D5337"/>
    <w:rsid w:val="005D5FCE"/>
    <w:rsid w:val="005D65C8"/>
    <w:rsid w:val="005D6A14"/>
    <w:rsid w:val="005D72E2"/>
    <w:rsid w:val="005E17CB"/>
    <w:rsid w:val="005E221C"/>
    <w:rsid w:val="005E39EF"/>
    <w:rsid w:val="005E4961"/>
    <w:rsid w:val="005E4F57"/>
    <w:rsid w:val="005E6AC6"/>
    <w:rsid w:val="005E7EEB"/>
    <w:rsid w:val="005F0A62"/>
    <w:rsid w:val="005F2FEC"/>
    <w:rsid w:val="005F3D8C"/>
    <w:rsid w:val="005F5631"/>
    <w:rsid w:val="005F67EA"/>
    <w:rsid w:val="006004EC"/>
    <w:rsid w:val="00600B60"/>
    <w:rsid w:val="00601945"/>
    <w:rsid w:val="00603A8C"/>
    <w:rsid w:val="0060489A"/>
    <w:rsid w:val="006073FB"/>
    <w:rsid w:val="0061203C"/>
    <w:rsid w:val="00615162"/>
    <w:rsid w:val="006173A9"/>
    <w:rsid w:val="00617FF6"/>
    <w:rsid w:val="006206CE"/>
    <w:rsid w:val="00623A9E"/>
    <w:rsid w:val="00625277"/>
    <w:rsid w:val="0062637E"/>
    <w:rsid w:val="00630AC3"/>
    <w:rsid w:val="006313AD"/>
    <w:rsid w:val="00631706"/>
    <w:rsid w:val="006346F4"/>
    <w:rsid w:val="006358F9"/>
    <w:rsid w:val="00640A46"/>
    <w:rsid w:val="00641FC4"/>
    <w:rsid w:val="0064362E"/>
    <w:rsid w:val="00643749"/>
    <w:rsid w:val="00644082"/>
    <w:rsid w:val="00645717"/>
    <w:rsid w:val="00645EA9"/>
    <w:rsid w:val="00646C0C"/>
    <w:rsid w:val="00646D3D"/>
    <w:rsid w:val="00647268"/>
    <w:rsid w:val="00647513"/>
    <w:rsid w:val="0065068A"/>
    <w:rsid w:val="00651766"/>
    <w:rsid w:val="00652F82"/>
    <w:rsid w:val="00653FD6"/>
    <w:rsid w:val="00657072"/>
    <w:rsid w:val="00660FC7"/>
    <w:rsid w:val="00661976"/>
    <w:rsid w:val="0066356D"/>
    <w:rsid w:val="00664974"/>
    <w:rsid w:val="00665D0F"/>
    <w:rsid w:val="006671BB"/>
    <w:rsid w:val="0067217E"/>
    <w:rsid w:val="006733E3"/>
    <w:rsid w:val="00674799"/>
    <w:rsid w:val="006757EA"/>
    <w:rsid w:val="00682587"/>
    <w:rsid w:val="00682B52"/>
    <w:rsid w:val="00684202"/>
    <w:rsid w:val="006858F6"/>
    <w:rsid w:val="006876AF"/>
    <w:rsid w:val="0069251E"/>
    <w:rsid w:val="0069346B"/>
    <w:rsid w:val="00694DF4"/>
    <w:rsid w:val="00696CE9"/>
    <w:rsid w:val="006A3EF4"/>
    <w:rsid w:val="006B1B3A"/>
    <w:rsid w:val="006B3C95"/>
    <w:rsid w:val="006B424F"/>
    <w:rsid w:val="006C20E9"/>
    <w:rsid w:val="006C3387"/>
    <w:rsid w:val="006C362F"/>
    <w:rsid w:val="006C6F2C"/>
    <w:rsid w:val="006D283B"/>
    <w:rsid w:val="006D313C"/>
    <w:rsid w:val="006E0048"/>
    <w:rsid w:val="006E147C"/>
    <w:rsid w:val="006E38CC"/>
    <w:rsid w:val="006E3C67"/>
    <w:rsid w:val="006E3F2A"/>
    <w:rsid w:val="006E4984"/>
    <w:rsid w:val="006E6DDC"/>
    <w:rsid w:val="006F0EA8"/>
    <w:rsid w:val="006F2551"/>
    <w:rsid w:val="006F42AA"/>
    <w:rsid w:val="006F42B3"/>
    <w:rsid w:val="006F4396"/>
    <w:rsid w:val="006F61A0"/>
    <w:rsid w:val="006F64E6"/>
    <w:rsid w:val="00700755"/>
    <w:rsid w:val="0070152B"/>
    <w:rsid w:val="00701EE2"/>
    <w:rsid w:val="00702555"/>
    <w:rsid w:val="00702EB3"/>
    <w:rsid w:val="0070592E"/>
    <w:rsid w:val="007102EC"/>
    <w:rsid w:val="00712B1C"/>
    <w:rsid w:val="00713917"/>
    <w:rsid w:val="00713A6D"/>
    <w:rsid w:val="0071539A"/>
    <w:rsid w:val="00722302"/>
    <w:rsid w:val="007234E6"/>
    <w:rsid w:val="00726F77"/>
    <w:rsid w:val="007278A8"/>
    <w:rsid w:val="007342F5"/>
    <w:rsid w:val="00734A13"/>
    <w:rsid w:val="00740702"/>
    <w:rsid w:val="00741715"/>
    <w:rsid w:val="00744425"/>
    <w:rsid w:val="00746321"/>
    <w:rsid w:val="00750512"/>
    <w:rsid w:val="00751114"/>
    <w:rsid w:val="007521EC"/>
    <w:rsid w:val="00752A0F"/>
    <w:rsid w:val="00754AAA"/>
    <w:rsid w:val="00755A5D"/>
    <w:rsid w:val="0075609B"/>
    <w:rsid w:val="00756390"/>
    <w:rsid w:val="0075652A"/>
    <w:rsid w:val="00757DCB"/>
    <w:rsid w:val="00761C46"/>
    <w:rsid w:val="00765959"/>
    <w:rsid w:val="00765B7E"/>
    <w:rsid w:val="007665C7"/>
    <w:rsid w:val="00766989"/>
    <w:rsid w:val="0077206E"/>
    <w:rsid w:val="00772169"/>
    <w:rsid w:val="007728F8"/>
    <w:rsid w:val="007729B5"/>
    <w:rsid w:val="00772D1E"/>
    <w:rsid w:val="00773186"/>
    <w:rsid w:val="007752F3"/>
    <w:rsid w:val="00775F40"/>
    <w:rsid w:val="007800DA"/>
    <w:rsid w:val="007808BE"/>
    <w:rsid w:val="007814F9"/>
    <w:rsid w:val="00784441"/>
    <w:rsid w:val="00785367"/>
    <w:rsid w:val="00791B57"/>
    <w:rsid w:val="00795244"/>
    <w:rsid w:val="00795C6B"/>
    <w:rsid w:val="00795D4A"/>
    <w:rsid w:val="00795D56"/>
    <w:rsid w:val="00795FF0"/>
    <w:rsid w:val="00797896"/>
    <w:rsid w:val="00797C96"/>
    <w:rsid w:val="00797EB9"/>
    <w:rsid w:val="007A1531"/>
    <w:rsid w:val="007A1860"/>
    <w:rsid w:val="007A558A"/>
    <w:rsid w:val="007A5C03"/>
    <w:rsid w:val="007A7CB3"/>
    <w:rsid w:val="007A7D7D"/>
    <w:rsid w:val="007B0841"/>
    <w:rsid w:val="007B1EE5"/>
    <w:rsid w:val="007B2115"/>
    <w:rsid w:val="007B2C2D"/>
    <w:rsid w:val="007B69C9"/>
    <w:rsid w:val="007C119C"/>
    <w:rsid w:val="007C2E9B"/>
    <w:rsid w:val="007C58AD"/>
    <w:rsid w:val="007C5C15"/>
    <w:rsid w:val="007C70FB"/>
    <w:rsid w:val="007D1DA1"/>
    <w:rsid w:val="007D222B"/>
    <w:rsid w:val="007D4F4D"/>
    <w:rsid w:val="007D4F6D"/>
    <w:rsid w:val="007E03FC"/>
    <w:rsid w:val="007E04EC"/>
    <w:rsid w:val="007E0DC4"/>
    <w:rsid w:val="007E209A"/>
    <w:rsid w:val="007E60D0"/>
    <w:rsid w:val="007E6695"/>
    <w:rsid w:val="007E6806"/>
    <w:rsid w:val="007F3170"/>
    <w:rsid w:val="007F577A"/>
    <w:rsid w:val="00801003"/>
    <w:rsid w:val="0080154D"/>
    <w:rsid w:val="00801CFC"/>
    <w:rsid w:val="00803088"/>
    <w:rsid w:val="00803BA6"/>
    <w:rsid w:val="008043B8"/>
    <w:rsid w:val="008048AB"/>
    <w:rsid w:val="0080518A"/>
    <w:rsid w:val="0080530D"/>
    <w:rsid w:val="00806022"/>
    <w:rsid w:val="00807F0C"/>
    <w:rsid w:val="0081098B"/>
    <w:rsid w:val="008130C5"/>
    <w:rsid w:val="0081317D"/>
    <w:rsid w:val="00813717"/>
    <w:rsid w:val="00816623"/>
    <w:rsid w:val="00816DE1"/>
    <w:rsid w:val="008177E6"/>
    <w:rsid w:val="00817F26"/>
    <w:rsid w:val="0082004C"/>
    <w:rsid w:val="008207E0"/>
    <w:rsid w:val="0082423F"/>
    <w:rsid w:val="008250BF"/>
    <w:rsid w:val="00826E06"/>
    <w:rsid w:val="00827C34"/>
    <w:rsid w:val="00833165"/>
    <w:rsid w:val="00833F35"/>
    <w:rsid w:val="00836155"/>
    <w:rsid w:val="00841563"/>
    <w:rsid w:val="00842069"/>
    <w:rsid w:val="00843B5B"/>
    <w:rsid w:val="00851BFE"/>
    <w:rsid w:val="008520A6"/>
    <w:rsid w:val="00854D3E"/>
    <w:rsid w:val="00855427"/>
    <w:rsid w:val="00861557"/>
    <w:rsid w:val="00862BBA"/>
    <w:rsid w:val="008647FE"/>
    <w:rsid w:val="0086683E"/>
    <w:rsid w:val="00870EC7"/>
    <w:rsid w:val="008718CE"/>
    <w:rsid w:val="008763F7"/>
    <w:rsid w:val="008772A2"/>
    <w:rsid w:val="008821BC"/>
    <w:rsid w:val="00882ED1"/>
    <w:rsid w:val="00883EB9"/>
    <w:rsid w:val="0089038E"/>
    <w:rsid w:val="00892336"/>
    <w:rsid w:val="00892EBD"/>
    <w:rsid w:val="008A1ED5"/>
    <w:rsid w:val="008A7E01"/>
    <w:rsid w:val="008B0D35"/>
    <w:rsid w:val="008B14CC"/>
    <w:rsid w:val="008B4150"/>
    <w:rsid w:val="008B6993"/>
    <w:rsid w:val="008B6C89"/>
    <w:rsid w:val="008C1945"/>
    <w:rsid w:val="008C2ACA"/>
    <w:rsid w:val="008C34FE"/>
    <w:rsid w:val="008C40E9"/>
    <w:rsid w:val="008C739C"/>
    <w:rsid w:val="008C7B0E"/>
    <w:rsid w:val="008D0008"/>
    <w:rsid w:val="008D07D5"/>
    <w:rsid w:val="008D07E3"/>
    <w:rsid w:val="008D59A2"/>
    <w:rsid w:val="008D5B4A"/>
    <w:rsid w:val="008D60AA"/>
    <w:rsid w:val="008D7E7E"/>
    <w:rsid w:val="008E0ADF"/>
    <w:rsid w:val="008E5022"/>
    <w:rsid w:val="008E5AB8"/>
    <w:rsid w:val="008E6F0A"/>
    <w:rsid w:val="008F1F90"/>
    <w:rsid w:val="008F50F6"/>
    <w:rsid w:val="008F5CBB"/>
    <w:rsid w:val="008F6F29"/>
    <w:rsid w:val="008F743C"/>
    <w:rsid w:val="008F7BC2"/>
    <w:rsid w:val="00900E60"/>
    <w:rsid w:val="00901A6A"/>
    <w:rsid w:val="00903EAE"/>
    <w:rsid w:val="00906C0A"/>
    <w:rsid w:val="0091201E"/>
    <w:rsid w:val="009121FA"/>
    <w:rsid w:val="00913F6A"/>
    <w:rsid w:val="00914287"/>
    <w:rsid w:val="0091635C"/>
    <w:rsid w:val="009169F6"/>
    <w:rsid w:val="00916B13"/>
    <w:rsid w:val="00920299"/>
    <w:rsid w:val="0092291E"/>
    <w:rsid w:val="00924A7C"/>
    <w:rsid w:val="00925918"/>
    <w:rsid w:val="009270A5"/>
    <w:rsid w:val="0093206D"/>
    <w:rsid w:val="009373AE"/>
    <w:rsid w:val="00946729"/>
    <w:rsid w:val="00947CF7"/>
    <w:rsid w:val="009507EB"/>
    <w:rsid w:val="00953DB9"/>
    <w:rsid w:val="00954D9A"/>
    <w:rsid w:val="00957A73"/>
    <w:rsid w:val="00960EC7"/>
    <w:rsid w:val="009633A3"/>
    <w:rsid w:val="00965850"/>
    <w:rsid w:val="0096685C"/>
    <w:rsid w:val="009701AB"/>
    <w:rsid w:val="00971BA6"/>
    <w:rsid w:val="0097251E"/>
    <w:rsid w:val="009729CB"/>
    <w:rsid w:val="00972FD9"/>
    <w:rsid w:val="00975132"/>
    <w:rsid w:val="009760C0"/>
    <w:rsid w:val="00977306"/>
    <w:rsid w:val="0098041F"/>
    <w:rsid w:val="00980A8F"/>
    <w:rsid w:val="009815DB"/>
    <w:rsid w:val="00983C57"/>
    <w:rsid w:val="00985AA6"/>
    <w:rsid w:val="009867A4"/>
    <w:rsid w:val="009877B9"/>
    <w:rsid w:val="00990912"/>
    <w:rsid w:val="00991578"/>
    <w:rsid w:val="00992155"/>
    <w:rsid w:val="00992359"/>
    <w:rsid w:val="00993722"/>
    <w:rsid w:val="009940E0"/>
    <w:rsid w:val="0099702B"/>
    <w:rsid w:val="009A05B3"/>
    <w:rsid w:val="009A1ED4"/>
    <w:rsid w:val="009A2E34"/>
    <w:rsid w:val="009A36C2"/>
    <w:rsid w:val="009A45EE"/>
    <w:rsid w:val="009A73D0"/>
    <w:rsid w:val="009B1865"/>
    <w:rsid w:val="009B3F88"/>
    <w:rsid w:val="009B6DE3"/>
    <w:rsid w:val="009C1268"/>
    <w:rsid w:val="009C7D5E"/>
    <w:rsid w:val="009D13F2"/>
    <w:rsid w:val="009D4BB3"/>
    <w:rsid w:val="009D7A85"/>
    <w:rsid w:val="009D7E32"/>
    <w:rsid w:val="009E080E"/>
    <w:rsid w:val="009E3ADA"/>
    <w:rsid w:val="009E3CFB"/>
    <w:rsid w:val="009E47DA"/>
    <w:rsid w:val="009E59B1"/>
    <w:rsid w:val="009E68EF"/>
    <w:rsid w:val="009E788F"/>
    <w:rsid w:val="009F3192"/>
    <w:rsid w:val="009F3A1F"/>
    <w:rsid w:val="009F5434"/>
    <w:rsid w:val="009F55D7"/>
    <w:rsid w:val="009F61A0"/>
    <w:rsid w:val="009F6C90"/>
    <w:rsid w:val="009F7A02"/>
    <w:rsid w:val="00A00FFA"/>
    <w:rsid w:val="00A03989"/>
    <w:rsid w:val="00A0403A"/>
    <w:rsid w:val="00A0517A"/>
    <w:rsid w:val="00A10413"/>
    <w:rsid w:val="00A129FC"/>
    <w:rsid w:val="00A1335D"/>
    <w:rsid w:val="00A14E17"/>
    <w:rsid w:val="00A1544C"/>
    <w:rsid w:val="00A16235"/>
    <w:rsid w:val="00A162F3"/>
    <w:rsid w:val="00A16ADB"/>
    <w:rsid w:val="00A201D9"/>
    <w:rsid w:val="00A202A2"/>
    <w:rsid w:val="00A20A1A"/>
    <w:rsid w:val="00A21469"/>
    <w:rsid w:val="00A228F7"/>
    <w:rsid w:val="00A26A42"/>
    <w:rsid w:val="00A27F81"/>
    <w:rsid w:val="00A31863"/>
    <w:rsid w:val="00A326D2"/>
    <w:rsid w:val="00A3457B"/>
    <w:rsid w:val="00A3695B"/>
    <w:rsid w:val="00A36C3F"/>
    <w:rsid w:val="00A371A3"/>
    <w:rsid w:val="00A41931"/>
    <w:rsid w:val="00A45603"/>
    <w:rsid w:val="00A4618E"/>
    <w:rsid w:val="00A463FB"/>
    <w:rsid w:val="00A507FB"/>
    <w:rsid w:val="00A516C3"/>
    <w:rsid w:val="00A556BF"/>
    <w:rsid w:val="00A5684F"/>
    <w:rsid w:val="00A56F37"/>
    <w:rsid w:val="00A570C0"/>
    <w:rsid w:val="00A60D82"/>
    <w:rsid w:val="00A61271"/>
    <w:rsid w:val="00A61E6D"/>
    <w:rsid w:val="00A61FC0"/>
    <w:rsid w:val="00A65008"/>
    <w:rsid w:val="00A656ED"/>
    <w:rsid w:val="00A6597D"/>
    <w:rsid w:val="00A667F7"/>
    <w:rsid w:val="00A66B3D"/>
    <w:rsid w:val="00A70AB4"/>
    <w:rsid w:val="00A73131"/>
    <w:rsid w:val="00A734AC"/>
    <w:rsid w:val="00A7443E"/>
    <w:rsid w:val="00A75027"/>
    <w:rsid w:val="00A753E3"/>
    <w:rsid w:val="00A762CD"/>
    <w:rsid w:val="00A76CE7"/>
    <w:rsid w:val="00A76D04"/>
    <w:rsid w:val="00A80468"/>
    <w:rsid w:val="00A81058"/>
    <w:rsid w:val="00A81184"/>
    <w:rsid w:val="00A84586"/>
    <w:rsid w:val="00A84F89"/>
    <w:rsid w:val="00A85270"/>
    <w:rsid w:val="00A85E99"/>
    <w:rsid w:val="00A96C8E"/>
    <w:rsid w:val="00A9799B"/>
    <w:rsid w:val="00AA0D95"/>
    <w:rsid w:val="00AA10B7"/>
    <w:rsid w:val="00AA387A"/>
    <w:rsid w:val="00AA3A6D"/>
    <w:rsid w:val="00AA43B4"/>
    <w:rsid w:val="00AA6AD3"/>
    <w:rsid w:val="00AA72B4"/>
    <w:rsid w:val="00AB28D2"/>
    <w:rsid w:val="00AB313E"/>
    <w:rsid w:val="00AB3F98"/>
    <w:rsid w:val="00AB434F"/>
    <w:rsid w:val="00AB54CF"/>
    <w:rsid w:val="00AB6FFE"/>
    <w:rsid w:val="00AC0706"/>
    <w:rsid w:val="00AC1382"/>
    <w:rsid w:val="00AC2953"/>
    <w:rsid w:val="00AC47B8"/>
    <w:rsid w:val="00AC4CF8"/>
    <w:rsid w:val="00AC63A5"/>
    <w:rsid w:val="00AC69F4"/>
    <w:rsid w:val="00AC733B"/>
    <w:rsid w:val="00AC798B"/>
    <w:rsid w:val="00AD06A3"/>
    <w:rsid w:val="00AD1769"/>
    <w:rsid w:val="00AD19D9"/>
    <w:rsid w:val="00AD1B89"/>
    <w:rsid w:val="00AE0451"/>
    <w:rsid w:val="00AE129F"/>
    <w:rsid w:val="00AE399F"/>
    <w:rsid w:val="00AE482C"/>
    <w:rsid w:val="00AE6787"/>
    <w:rsid w:val="00AF6608"/>
    <w:rsid w:val="00AF7C55"/>
    <w:rsid w:val="00B001B1"/>
    <w:rsid w:val="00B0030C"/>
    <w:rsid w:val="00B01BD4"/>
    <w:rsid w:val="00B01E6B"/>
    <w:rsid w:val="00B02977"/>
    <w:rsid w:val="00B042E9"/>
    <w:rsid w:val="00B0489C"/>
    <w:rsid w:val="00B11970"/>
    <w:rsid w:val="00B121E6"/>
    <w:rsid w:val="00B139E0"/>
    <w:rsid w:val="00B16DDE"/>
    <w:rsid w:val="00B24530"/>
    <w:rsid w:val="00B26124"/>
    <w:rsid w:val="00B305BD"/>
    <w:rsid w:val="00B32948"/>
    <w:rsid w:val="00B3365B"/>
    <w:rsid w:val="00B36CC3"/>
    <w:rsid w:val="00B407F2"/>
    <w:rsid w:val="00B41FAD"/>
    <w:rsid w:val="00B4292D"/>
    <w:rsid w:val="00B42F77"/>
    <w:rsid w:val="00B45A1A"/>
    <w:rsid w:val="00B53DDB"/>
    <w:rsid w:val="00B545FC"/>
    <w:rsid w:val="00B54D98"/>
    <w:rsid w:val="00B554D7"/>
    <w:rsid w:val="00B55B45"/>
    <w:rsid w:val="00B55B6D"/>
    <w:rsid w:val="00B64FC0"/>
    <w:rsid w:val="00B7011E"/>
    <w:rsid w:val="00B70345"/>
    <w:rsid w:val="00B72F39"/>
    <w:rsid w:val="00B7470A"/>
    <w:rsid w:val="00B7724F"/>
    <w:rsid w:val="00B804E1"/>
    <w:rsid w:val="00B81E78"/>
    <w:rsid w:val="00B81F8F"/>
    <w:rsid w:val="00B82578"/>
    <w:rsid w:val="00B828E6"/>
    <w:rsid w:val="00B854EA"/>
    <w:rsid w:val="00B91342"/>
    <w:rsid w:val="00B928D8"/>
    <w:rsid w:val="00B948BC"/>
    <w:rsid w:val="00B958DB"/>
    <w:rsid w:val="00B96532"/>
    <w:rsid w:val="00B9689C"/>
    <w:rsid w:val="00B9709E"/>
    <w:rsid w:val="00B977B7"/>
    <w:rsid w:val="00BA06FF"/>
    <w:rsid w:val="00BA6A78"/>
    <w:rsid w:val="00BA76B0"/>
    <w:rsid w:val="00BB2FF5"/>
    <w:rsid w:val="00BB3178"/>
    <w:rsid w:val="00BB443B"/>
    <w:rsid w:val="00BB5F18"/>
    <w:rsid w:val="00BB680F"/>
    <w:rsid w:val="00BB70F2"/>
    <w:rsid w:val="00BC0558"/>
    <w:rsid w:val="00BC1988"/>
    <w:rsid w:val="00BC19B9"/>
    <w:rsid w:val="00BC3A82"/>
    <w:rsid w:val="00BC3B18"/>
    <w:rsid w:val="00BC3ED7"/>
    <w:rsid w:val="00BC4742"/>
    <w:rsid w:val="00BD2FEA"/>
    <w:rsid w:val="00BD3762"/>
    <w:rsid w:val="00BD56B6"/>
    <w:rsid w:val="00BE17CC"/>
    <w:rsid w:val="00BE268E"/>
    <w:rsid w:val="00BE4555"/>
    <w:rsid w:val="00BE6789"/>
    <w:rsid w:val="00BF2A19"/>
    <w:rsid w:val="00BF2BD1"/>
    <w:rsid w:val="00BF300D"/>
    <w:rsid w:val="00BF4B81"/>
    <w:rsid w:val="00BF4F33"/>
    <w:rsid w:val="00C02EE8"/>
    <w:rsid w:val="00C049EB"/>
    <w:rsid w:val="00C05A18"/>
    <w:rsid w:val="00C06182"/>
    <w:rsid w:val="00C1027D"/>
    <w:rsid w:val="00C10A1F"/>
    <w:rsid w:val="00C1515E"/>
    <w:rsid w:val="00C153F4"/>
    <w:rsid w:val="00C16C54"/>
    <w:rsid w:val="00C17136"/>
    <w:rsid w:val="00C1743B"/>
    <w:rsid w:val="00C17588"/>
    <w:rsid w:val="00C17801"/>
    <w:rsid w:val="00C17E3C"/>
    <w:rsid w:val="00C209BC"/>
    <w:rsid w:val="00C22D41"/>
    <w:rsid w:val="00C243AB"/>
    <w:rsid w:val="00C24C96"/>
    <w:rsid w:val="00C26AEB"/>
    <w:rsid w:val="00C27728"/>
    <w:rsid w:val="00C312F9"/>
    <w:rsid w:val="00C31DD4"/>
    <w:rsid w:val="00C31E6E"/>
    <w:rsid w:val="00C32484"/>
    <w:rsid w:val="00C334A4"/>
    <w:rsid w:val="00C34622"/>
    <w:rsid w:val="00C349F9"/>
    <w:rsid w:val="00C35139"/>
    <w:rsid w:val="00C35191"/>
    <w:rsid w:val="00C369A8"/>
    <w:rsid w:val="00C40C54"/>
    <w:rsid w:val="00C4116A"/>
    <w:rsid w:val="00C411FB"/>
    <w:rsid w:val="00C420E9"/>
    <w:rsid w:val="00C430F5"/>
    <w:rsid w:val="00C44811"/>
    <w:rsid w:val="00C45110"/>
    <w:rsid w:val="00C457EB"/>
    <w:rsid w:val="00C476D5"/>
    <w:rsid w:val="00C47E91"/>
    <w:rsid w:val="00C50F42"/>
    <w:rsid w:val="00C525E8"/>
    <w:rsid w:val="00C52844"/>
    <w:rsid w:val="00C558BD"/>
    <w:rsid w:val="00C55AA0"/>
    <w:rsid w:val="00C64CBF"/>
    <w:rsid w:val="00C654E8"/>
    <w:rsid w:val="00C6634A"/>
    <w:rsid w:val="00C66927"/>
    <w:rsid w:val="00C736DB"/>
    <w:rsid w:val="00C748C9"/>
    <w:rsid w:val="00C74BC2"/>
    <w:rsid w:val="00C752EC"/>
    <w:rsid w:val="00C7655A"/>
    <w:rsid w:val="00C77B75"/>
    <w:rsid w:val="00C8230D"/>
    <w:rsid w:val="00C82809"/>
    <w:rsid w:val="00C83ADA"/>
    <w:rsid w:val="00C867D7"/>
    <w:rsid w:val="00C86D17"/>
    <w:rsid w:val="00C9102A"/>
    <w:rsid w:val="00C95D2A"/>
    <w:rsid w:val="00C976FF"/>
    <w:rsid w:val="00CA12A3"/>
    <w:rsid w:val="00CA1C08"/>
    <w:rsid w:val="00CA1C13"/>
    <w:rsid w:val="00CA3120"/>
    <w:rsid w:val="00CA4EBB"/>
    <w:rsid w:val="00CA73CB"/>
    <w:rsid w:val="00CA73D6"/>
    <w:rsid w:val="00CB5A3B"/>
    <w:rsid w:val="00CB61D9"/>
    <w:rsid w:val="00CB743E"/>
    <w:rsid w:val="00CC2817"/>
    <w:rsid w:val="00CC5381"/>
    <w:rsid w:val="00CC6610"/>
    <w:rsid w:val="00CC7911"/>
    <w:rsid w:val="00CD1F3D"/>
    <w:rsid w:val="00CE020D"/>
    <w:rsid w:val="00CE0F4D"/>
    <w:rsid w:val="00CF2C59"/>
    <w:rsid w:val="00CF307D"/>
    <w:rsid w:val="00CF36AB"/>
    <w:rsid w:val="00CF3A13"/>
    <w:rsid w:val="00CF51AF"/>
    <w:rsid w:val="00CF6884"/>
    <w:rsid w:val="00D003D1"/>
    <w:rsid w:val="00D0134C"/>
    <w:rsid w:val="00D021F6"/>
    <w:rsid w:val="00D02AFE"/>
    <w:rsid w:val="00D03555"/>
    <w:rsid w:val="00D056C2"/>
    <w:rsid w:val="00D0612E"/>
    <w:rsid w:val="00D07828"/>
    <w:rsid w:val="00D10237"/>
    <w:rsid w:val="00D103B9"/>
    <w:rsid w:val="00D11A58"/>
    <w:rsid w:val="00D14D4A"/>
    <w:rsid w:val="00D20352"/>
    <w:rsid w:val="00D20673"/>
    <w:rsid w:val="00D20766"/>
    <w:rsid w:val="00D215BD"/>
    <w:rsid w:val="00D22ADD"/>
    <w:rsid w:val="00D23575"/>
    <w:rsid w:val="00D23759"/>
    <w:rsid w:val="00D2523A"/>
    <w:rsid w:val="00D253F5"/>
    <w:rsid w:val="00D261A5"/>
    <w:rsid w:val="00D279E8"/>
    <w:rsid w:val="00D314A0"/>
    <w:rsid w:val="00D31866"/>
    <w:rsid w:val="00D32C21"/>
    <w:rsid w:val="00D33407"/>
    <w:rsid w:val="00D33E3A"/>
    <w:rsid w:val="00D371C9"/>
    <w:rsid w:val="00D40709"/>
    <w:rsid w:val="00D41FCE"/>
    <w:rsid w:val="00D43E06"/>
    <w:rsid w:val="00D53AD7"/>
    <w:rsid w:val="00D55935"/>
    <w:rsid w:val="00D56549"/>
    <w:rsid w:val="00D57EC4"/>
    <w:rsid w:val="00D610C4"/>
    <w:rsid w:val="00D62A05"/>
    <w:rsid w:val="00D6399E"/>
    <w:rsid w:val="00D639A1"/>
    <w:rsid w:val="00D65CA4"/>
    <w:rsid w:val="00D65E8C"/>
    <w:rsid w:val="00D66C2C"/>
    <w:rsid w:val="00D7049C"/>
    <w:rsid w:val="00D72145"/>
    <w:rsid w:val="00D727EE"/>
    <w:rsid w:val="00D7397F"/>
    <w:rsid w:val="00D74536"/>
    <w:rsid w:val="00D758ED"/>
    <w:rsid w:val="00D762C8"/>
    <w:rsid w:val="00D8057F"/>
    <w:rsid w:val="00D80F71"/>
    <w:rsid w:val="00D816A5"/>
    <w:rsid w:val="00D84651"/>
    <w:rsid w:val="00D85449"/>
    <w:rsid w:val="00D857B6"/>
    <w:rsid w:val="00D906B5"/>
    <w:rsid w:val="00D90C20"/>
    <w:rsid w:val="00D915D7"/>
    <w:rsid w:val="00D91F3A"/>
    <w:rsid w:val="00D926D0"/>
    <w:rsid w:val="00D93B77"/>
    <w:rsid w:val="00D9524B"/>
    <w:rsid w:val="00DA27FA"/>
    <w:rsid w:val="00DA3861"/>
    <w:rsid w:val="00DA3996"/>
    <w:rsid w:val="00DA4134"/>
    <w:rsid w:val="00DA5D47"/>
    <w:rsid w:val="00DA5E10"/>
    <w:rsid w:val="00DA65C2"/>
    <w:rsid w:val="00DA6F98"/>
    <w:rsid w:val="00DB037E"/>
    <w:rsid w:val="00DB2C83"/>
    <w:rsid w:val="00DB3EDB"/>
    <w:rsid w:val="00DB401E"/>
    <w:rsid w:val="00DB5E57"/>
    <w:rsid w:val="00DB6DE5"/>
    <w:rsid w:val="00DC1DA8"/>
    <w:rsid w:val="00DC2C8F"/>
    <w:rsid w:val="00DC4B45"/>
    <w:rsid w:val="00DC58B1"/>
    <w:rsid w:val="00DC5FF4"/>
    <w:rsid w:val="00DD24F5"/>
    <w:rsid w:val="00DD2F61"/>
    <w:rsid w:val="00DD3E7C"/>
    <w:rsid w:val="00DD501A"/>
    <w:rsid w:val="00DD5438"/>
    <w:rsid w:val="00DD675B"/>
    <w:rsid w:val="00DD78E7"/>
    <w:rsid w:val="00DE1867"/>
    <w:rsid w:val="00DE36C4"/>
    <w:rsid w:val="00DE4E32"/>
    <w:rsid w:val="00DE57EC"/>
    <w:rsid w:val="00DF23DD"/>
    <w:rsid w:val="00DF35DF"/>
    <w:rsid w:val="00DF5F13"/>
    <w:rsid w:val="00DF7123"/>
    <w:rsid w:val="00DF7AB8"/>
    <w:rsid w:val="00E00393"/>
    <w:rsid w:val="00E00DAC"/>
    <w:rsid w:val="00E012A8"/>
    <w:rsid w:val="00E02B28"/>
    <w:rsid w:val="00E03E22"/>
    <w:rsid w:val="00E05D49"/>
    <w:rsid w:val="00E067A0"/>
    <w:rsid w:val="00E07B52"/>
    <w:rsid w:val="00E105D4"/>
    <w:rsid w:val="00E10650"/>
    <w:rsid w:val="00E122E3"/>
    <w:rsid w:val="00E157D0"/>
    <w:rsid w:val="00E16472"/>
    <w:rsid w:val="00E22644"/>
    <w:rsid w:val="00E24688"/>
    <w:rsid w:val="00E251C3"/>
    <w:rsid w:val="00E2520E"/>
    <w:rsid w:val="00E25329"/>
    <w:rsid w:val="00E2699C"/>
    <w:rsid w:val="00E302F4"/>
    <w:rsid w:val="00E308A4"/>
    <w:rsid w:val="00E33B74"/>
    <w:rsid w:val="00E3474D"/>
    <w:rsid w:val="00E34992"/>
    <w:rsid w:val="00E34B81"/>
    <w:rsid w:val="00E363FB"/>
    <w:rsid w:val="00E41C39"/>
    <w:rsid w:val="00E45A7D"/>
    <w:rsid w:val="00E50AD5"/>
    <w:rsid w:val="00E52727"/>
    <w:rsid w:val="00E5533D"/>
    <w:rsid w:val="00E60684"/>
    <w:rsid w:val="00E61D76"/>
    <w:rsid w:val="00E61FAB"/>
    <w:rsid w:val="00E62F35"/>
    <w:rsid w:val="00E63A81"/>
    <w:rsid w:val="00E64146"/>
    <w:rsid w:val="00E6591E"/>
    <w:rsid w:val="00E66191"/>
    <w:rsid w:val="00E701AD"/>
    <w:rsid w:val="00E70A86"/>
    <w:rsid w:val="00E71272"/>
    <w:rsid w:val="00E720C2"/>
    <w:rsid w:val="00E821BF"/>
    <w:rsid w:val="00E82F06"/>
    <w:rsid w:val="00E82FF1"/>
    <w:rsid w:val="00E8363A"/>
    <w:rsid w:val="00E84E8D"/>
    <w:rsid w:val="00E86257"/>
    <w:rsid w:val="00E90CD6"/>
    <w:rsid w:val="00E91BF9"/>
    <w:rsid w:val="00E92B87"/>
    <w:rsid w:val="00E9441D"/>
    <w:rsid w:val="00E94B5D"/>
    <w:rsid w:val="00E969E6"/>
    <w:rsid w:val="00E9723C"/>
    <w:rsid w:val="00EA0768"/>
    <w:rsid w:val="00EA0AC0"/>
    <w:rsid w:val="00EA1FE1"/>
    <w:rsid w:val="00EA316C"/>
    <w:rsid w:val="00EA331F"/>
    <w:rsid w:val="00EA3B75"/>
    <w:rsid w:val="00EA4D95"/>
    <w:rsid w:val="00EB2F19"/>
    <w:rsid w:val="00EB4F91"/>
    <w:rsid w:val="00EB66C5"/>
    <w:rsid w:val="00EB6DF4"/>
    <w:rsid w:val="00EB73C8"/>
    <w:rsid w:val="00EC358A"/>
    <w:rsid w:val="00ED1093"/>
    <w:rsid w:val="00ED27F2"/>
    <w:rsid w:val="00ED4698"/>
    <w:rsid w:val="00ED5080"/>
    <w:rsid w:val="00EE0085"/>
    <w:rsid w:val="00EE00FD"/>
    <w:rsid w:val="00EE0760"/>
    <w:rsid w:val="00EE1902"/>
    <w:rsid w:val="00EE26DE"/>
    <w:rsid w:val="00EE2BF3"/>
    <w:rsid w:val="00EE53FB"/>
    <w:rsid w:val="00EE5E37"/>
    <w:rsid w:val="00EE7BC8"/>
    <w:rsid w:val="00EF271A"/>
    <w:rsid w:val="00EF6DBD"/>
    <w:rsid w:val="00EF7621"/>
    <w:rsid w:val="00F01719"/>
    <w:rsid w:val="00F02484"/>
    <w:rsid w:val="00F05069"/>
    <w:rsid w:val="00F0629B"/>
    <w:rsid w:val="00F062B5"/>
    <w:rsid w:val="00F07B6D"/>
    <w:rsid w:val="00F10FF2"/>
    <w:rsid w:val="00F114B4"/>
    <w:rsid w:val="00F12863"/>
    <w:rsid w:val="00F13199"/>
    <w:rsid w:val="00F13D41"/>
    <w:rsid w:val="00F15C08"/>
    <w:rsid w:val="00F15D89"/>
    <w:rsid w:val="00F16CE1"/>
    <w:rsid w:val="00F17A82"/>
    <w:rsid w:val="00F22996"/>
    <w:rsid w:val="00F265C9"/>
    <w:rsid w:val="00F26DCC"/>
    <w:rsid w:val="00F27700"/>
    <w:rsid w:val="00F27E3A"/>
    <w:rsid w:val="00F31468"/>
    <w:rsid w:val="00F317CF"/>
    <w:rsid w:val="00F32FEC"/>
    <w:rsid w:val="00F33CC1"/>
    <w:rsid w:val="00F34147"/>
    <w:rsid w:val="00F35B62"/>
    <w:rsid w:val="00F37F65"/>
    <w:rsid w:val="00F47762"/>
    <w:rsid w:val="00F511BC"/>
    <w:rsid w:val="00F545F0"/>
    <w:rsid w:val="00F549E5"/>
    <w:rsid w:val="00F5757A"/>
    <w:rsid w:val="00F61C8F"/>
    <w:rsid w:val="00F64D90"/>
    <w:rsid w:val="00F67023"/>
    <w:rsid w:val="00F70AFB"/>
    <w:rsid w:val="00F74B2E"/>
    <w:rsid w:val="00F75E79"/>
    <w:rsid w:val="00F75E9C"/>
    <w:rsid w:val="00F764DC"/>
    <w:rsid w:val="00F76AC7"/>
    <w:rsid w:val="00F8143B"/>
    <w:rsid w:val="00F847AD"/>
    <w:rsid w:val="00F904CC"/>
    <w:rsid w:val="00F93546"/>
    <w:rsid w:val="00F948EA"/>
    <w:rsid w:val="00F94A0E"/>
    <w:rsid w:val="00F94F36"/>
    <w:rsid w:val="00FA2700"/>
    <w:rsid w:val="00FA45E4"/>
    <w:rsid w:val="00FA6F2B"/>
    <w:rsid w:val="00FB11E9"/>
    <w:rsid w:val="00FB1DF7"/>
    <w:rsid w:val="00FB255B"/>
    <w:rsid w:val="00FB2F56"/>
    <w:rsid w:val="00FB3B65"/>
    <w:rsid w:val="00FB5823"/>
    <w:rsid w:val="00FB605B"/>
    <w:rsid w:val="00FB659C"/>
    <w:rsid w:val="00FC01AC"/>
    <w:rsid w:val="00FC0627"/>
    <w:rsid w:val="00FC7191"/>
    <w:rsid w:val="00FD0A88"/>
    <w:rsid w:val="00FD2A81"/>
    <w:rsid w:val="00FD2BBC"/>
    <w:rsid w:val="00FE099C"/>
    <w:rsid w:val="00FE120E"/>
    <w:rsid w:val="00FE1F8A"/>
    <w:rsid w:val="00FE2223"/>
    <w:rsid w:val="00FE3252"/>
    <w:rsid w:val="00FE65D5"/>
    <w:rsid w:val="00FF06D6"/>
    <w:rsid w:val="00FF2E03"/>
    <w:rsid w:val="00FF4245"/>
    <w:rsid w:val="00FF48A7"/>
    <w:rsid w:val="00FF4DAA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601945"/>
    <w:pPr>
      <w:widowControl w:val="0"/>
      <w:spacing w:before="600" w:after="480"/>
    </w:pPr>
    <w:rPr>
      <w:rFonts w:ascii="Arial" w:hAnsi="Arial"/>
      <w:smallCaps w:val="0"/>
      <w:color w:val="000000" w:themeColor="text1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  <w:style w:type="paragraph" w:customStyle="1" w:styleId="UPlan">
    <w:name w:val="UPlan"/>
    <w:basedOn w:val="Titcoul"/>
    <w:link w:val="UPlanCar"/>
    <w:rsid w:val="009121FA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9121FA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 Number" w:semiHidden="0"/>
    <w:lsdException w:name="List 4" w:semiHidden="0"/>
    <w:lsdException w:name="List 5" w:semiHidden="0"/>
    <w:lsdException w:name="Title" w:semiHidden="0" w:unhideWhenUsed="0" w:qFormat="1"/>
    <w:lsdException w:name="Subtitle" w:semiHidden="0" w:unhideWhenUsed="0" w:qFormat="1"/>
    <w:lsdException w:name="Salutation" w:semiHidden="0"/>
    <w:lsdException w:name="Date" w:semiHidden="0"/>
    <w:lsdException w:name="Body Text First Inden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rsid w:val="0014251F"/>
    <w:pPr>
      <w:keepNext/>
      <w:tabs>
        <w:tab w:val="left" w:pos="567"/>
      </w:tabs>
      <w:snapToGrid w:val="0"/>
      <w:spacing w:line="280" w:lineRule="exact"/>
      <w:ind w:left="851"/>
      <w:jc w:val="both"/>
    </w:pPr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01EE2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701EE2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EE2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0651E6"/>
    <w:pPr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01EE2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01EE2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CB61D9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1EE2"/>
    <w:rPr>
      <w:rFonts w:ascii="Arial" w:hAnsi="Arial" w:cs="Arial"/>
      <w:bCs/>
      <w:kern w:val="28"/>
      <w:sz w:val="52"/>
      <w:szCs w:val="52"/>
      <w:lang w:val="fr-FR" w:eastAsia="zh-CN" w:bidi="ar-SA"/>
    </w:rPr>
  </w:style>
  <w:style w:type="character" w:customStyle="1" w:styleId="Heading2Char">
    <w:name w:val="Heading 2 Char"/>
    <w:link w:val="Heading2"/>
    <w:rsid w:val="00701EE2"/>
    <w:rPr>
      <w:rFonts w:ascii="Arial" w:hAnsi="Arial" w:cs="Arial"/>
      <w:b/>
      <w:bCs/>
      <w:caps/>
      <w:kern w:val="28"/>
      <w:sz w:val="28"/>
      <w:szCs w:val="28"/>
      <w:lang w:val="en-US" w:eastAsia="zh-CN" w:bidi="ar-SA"/>
    </w:rPr>
  </w:style>
  <w:style w:type="character" w:customStyle="1" w:styleId="Heading3Char">
    <w:name w:val="Heading 3 Char"/>
    <w:link w:val="Heading3"/>
    <w:rsid w:val="00701EE2"/>
    <w:rPr>
      <w:rFonts w:ascii="Arial" w:eastAsia="SimSun" w:hAnsi="Arial" w:cs="Arial"/>
      <w:b/>
      <w:bCs/>
      <w:caps/>
      <w:kern w:val="28"/>
      <w:szCs w:val="22"/>
      <w:lang w:val="fr-FR" w:eastAsia="zh-CN" w:bidi="ar-SA"/>
    </w:rPr>
  </w:style>
  <w:style w:type="character" w:customStyle="1" w:styleId="Heading4Char">
    <w:name w:val="Heading 4 Char"/>
    <w:link w:val="Heading4"/>
    <w:rsid w:val="000651E6"/>
    <w:rPr>
      <w:rFonts w:ascii="Arial" w:eastAsia="Times New Roman" w:hAnsi="Arial" w:cs="Arial"/>
      <w:b/>
      <w:bCs/>
      <w:caps/>
      <w:lang w:eastAsia="en-US"/>
    </w:rPr>
  </w:style>
  <w:style w:type="character" w:customStyle="1" w:styleId="Heading5Char">
    <w:name w:val="Heading 5 Char"/>
    <w:link w:val="Heading5"/>
    <w:rsid w:val="00701EE2"/>
    <w:rPr>
      <w:rFonts w:ascii="Arial" w:eastAsia="SimSun" w:hAnsi="Arial" w:cs="Arial"/>
      <w:b/>
      <w:lang w:val="fr-FR" w:eastAsia="zh-CN" w:bidi="ar-SA"/>
    </w:rPr>
  </w:style>
  <w:style w:type="character" w:customStyle="1" w:styleId="Heading6Char">
    <w:name w:val="Heading 6 Char"/>
    <w:link w:val="Heading6"/>
    <w:rsid w:val="00701EE2"/>
    <w:rPr>
      <w:rFonts w:ascii="Arial" w:hAnsi="Arial" w:cs="Arial"/>
      <w:b/>
      <w:iCs/>
      <w:szCs w:val="22"/>
      <w:lang w:val="en-US" w:bidi="ar-SA"/>
    </w:rPr>
  </w:style>
  <w:style w:type="paragraph" w:styleId="BalloonText">
    <w:name w:val="Balloon Text"/>
    <w:basedOn w:val="Normal"/>
    <w:link w:val="BalloonTextChar"/>
    <w:rsid w:val="00CB61D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B61D9"/>
    <w:rPr>
      <w:rFonts w:ascii="Lucida Grande" w:eastAsia="SimSun" w:hAnsi="Lucida Grande" w:cs="Lucida Grande"/>
      <w:sz w:val="18"/>
      <w:szCs w:val="18"/>
      <w:lang w:eastAsia="zh-CN"/>
    </w:rPr>
  </w:style>
  <w:style w:type="character" w:styleId="Hyperlink">
    <w:name w:val="Hyperlink"/>
    <w:uiPriority w:val="99"/>
    <w:rsid w:val="0086683E"/>
    <w:rPr>
      <w:color w:val="0000FF"/>
      <w:u w:val="single"/>
    </w:rPr>
  </w:style>
  <w:style w:type="paragraph" w:styleId="NormalWeb">
    <w:name w:val="Normal (Web)"/>
    <w:basedOn w:val="Normal"/>
    <w:rsid w:val="008668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Normal"/>
    <w:next w:val="Normal"/>
    <w:autoRedefine/>
    <w:uiPriority w:val="39"/>
    <w:rsid w:val="00A73131"/>
    <w:pPr>
      <w:tabs>
        <w:tab w:val="clear" w:pos="567"/>
      </w:tabs>
      <w:spacing w:before="240" w:after="120"/>
      <w:ind w:left="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TOC1"/>
    <w:next w:val="Normal"/>
    <w:autoRedefine/>
    <w:uiPriority w:val="39"/>
    <w:rsid w:val="00A73131"/>
    <w:pPr>
      <w:spacing w:before="0" w:after="0"/>
    </w:pPr>
    <w:rPr>
      <w:caps w:val="0"/>
      <w:smallCaps/>
      <w:u w:val="none"/>
    </w:rPr>
  </w:style>
  <w:style w:type="paragraph" w:styleId="TOC3">
    <w:name w:val="toc 3"/>
    <w:basedOn w:val="TOC1"/>
    <w:next w:val="Normal"/>
    <w:autoRedefine/>
    <w:uiPriority w:val="39"/>
    <w:rsid w:val="00A73131"/>
    <w:pPr>
      <w:spacing w:before="0" w:after="0"/>
    </w:pPr>
    <w:rPr>
      <w:b w:val="0"/>
      <w:caps w:val="0"/>
      <w:smallCaps/>
      <w:u w:val="none"/>
    </w:rPr>
  </w:style>
  <w:style w:type="paragraph" w:styleId="TOC4">
    <w:name w:val="toc 4"/>
    <w:basedOn w:val="Normal"/>
    <w:next w:val="Normal"/>
    <w:autoRedefine/>
    <w:uiPriority w:val="39"/>
    <w:rsid w:val="00A73131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86683E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3238D3"/>
    <w:rPr>
      <w:rFonts w:ascii="Arial" w:eastAsia="SimSun" w:hAnsi="Arial" w:cs="Arial"/>
      <w:snapToGrid w:val="0"/>
      <w:sz w:val="16"/>
      <w:lang w:eastAsia="zh-CN"/>
    </w:rPr>
  </w:style>
  <w:style w:type="paragraph" w:styleId="FootnoteText">
    <w:name w:val="footnote text"/>
    <w:basedOn w:val="Normal"/>
    <w:link w:val="FootnoteTextChar"/>
    <w:rsid w:val="003238D3"/>
    <w:pPr>
      <w:tabs>
        <w:tab w:val="clear" w:pos="567"/>
      </w:tabs>
      <w:spacing w:after="60" w:line="180" w:lineRule="exact"/>
      <w:ind w:left="284" w:hanging="284"/>
    </w:pPr>
    <w:rPr>
      <w:snapToGrid w:val="0"/>
      <w:sz w:val="16"/>
    </w:rPr>
  </w:style>
  <w:style w:type="paragraph" w:customStyle="1" w:styleId="citation">
    <w:name w:val="citation"/>
    <w:basedOn w:val="Texte1"/>
    <w:rsid w:val="00FB5823"/>
    <w:pPr>
      <w:ind w:left="1134" w:right="284"/>
    </w:pPr>
  </w:style>
  <w:style w:type="paragraph" w:customStyle="1" w:styleId="nui">
    <w:name w:val="énu(i)"/>
    <w:basedOn w:val="Texte1"/>
    <w:rsid w:val="00F74B2E"/>
    <w:pPr>
      <w:tabs>
        <w:tab w:val="clear" w:pos="567"/>
      </w:tabs>
      <w:ind w:left="1928" w:hanging="397"/>
    </w:pPr>
  </w:style>
  <w:style w:type="paragraph" w:customStyle="1" w:styleId="infochapitre">
    <w:name w:val="infochapitre"/>
    <w:basedOn w:val="Informations"/>
    <w:link w:val="infochapitreCar"/>
    <w:rsid w:val="003B5874"/>
    <w:pPr>
      <w:spacing w:before="60"/>
      <w:ind w:left="0"/>
    </w:pPr>
  </w:style>
  <w:style w:type="character" w:customStyle="1" w:styleId="HeaderChar">
    <w:name w:val="Header Char"/>
    <w:link w:val="Header"/>
    <w:locked/>
    <w:rsid w:val="00210D69"/>
    <w:rPr>
      <w:rFonts w:ascii="Arial" w:eastAsia="SimSun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210D69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infochapitreCar">
    <w:name w:val="infochapitre Car"/>
    <w:link w:val="infochapitre"/>
    <w:rsid w:val="003B5874"/>
    <w:rPr>
      <w:rFonts w:ascii="Arial" w:eastAsia="SimSun" w:hAnsi="Arial" w:cs="Arial"/>
      <w:i/>
      <w:color w:val="3366FF"/>
      <w:lang w:eastAsia="zh-CN"/>
    </w:rPr>
  </w:style>
  <w:style w:type="character" w:customStyle="1" w:styleId="FooterChar">
    <w:name w:val="Footer Char"/>
    <w:link w:val="Footer"/>
    <w:locked/>
    <w:rsid w:val="00EE53FB"/>
    <w:rPr>
      <w:rFonts w:ascii="Arial" w:eastAsia="SimSun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EE53FB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szCs w:val="18"/>
    </w:rPr>
  </w:style>
  <w:style w:type="paragraph" w:customStyle="1" w:styleId="Enutiret">
    <w:name w:val="Enutiret"/>
    <w:basedOn w:val="Texte1"/>
    <w:link w:val="EnutiretCarCar"/>
    <w:rsid w:val="00713A6D"/>
    <w:pPr>
      <w:numPr>
        <w:numId w:val="10"/>
      </w:numPr>
    </w:pPr>
  </w:style>
  <w:style w:type="character" w:customStyle="1" w:styleId="EndnoteTextChar">
    <w:name w:val="Endnote Text Char"/>
    <w:link w:val="EndnoteText"/>
    <w:locked/>
    <w:rsid w:val="0086683E"/>
    <w:rPr>
      <w:lang w:val="en-GB"/>
    </w:rPr>
  </w:style>
  <w:style w:type="paragraph" w:styleId="EndnoteText">
    <w:name w:val="endnote text"/>
    <w:basedOn w:val="Normal"/>
    <w:link w:val="EndnoteTextChar"/>
    <w:rsid w:val="0086683E"/>
    <w:rPr>
      <w:lang w:val="en-GB"/>
    </w:rPr>
  </w:style>
  <w:style w:type="paragraph" w:customStyle="1" w:styleId="Tabtit">
    <w:name w:val="Tabtit"/>
    <w:basedOn w:val="Texte1"/>
    <w:rsid w:val="00BE17CC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B82578"/>
    <w:rPr>
      <w:rFonts w:ascii="Arial Gras" w:eastAsia="Times New Roman" w:hAnsi="Arial Gras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qFormat/>
    <w:rsid w:val="00B82578"/>
    <w:pPr>
      <w:tabs>
        <w:tab w:val="clear" w:pos="567"/>
      </w:tabs>
      <w:spacing w:before="240" w:after="480" w:line="840" w:lineRule="exact"/>
      <w:ind w:left="0"/>
      <w:jc w:val="left"/>
    </w:pPr>
    <w:rPr>
      <w:rFonts w:ascii="Arial Gras" w:eastAsia="Times New Roman" w:hAnsi="Arial Gras"/>
      <w:b/>
      <w:caps/>
      <w:snapToGrid w:val="0"/>
      <w:color w:val="17365D"/>
      <w:sz w:val="70"/>
      <w:szCs w:val="70"/>
    </w:rPr>
  </w:style>
  <w:style w:type="character" w:customStyle="1" w:styleId="EnutiretCarCar">
    <w:name w:val="Enutiret Car Car"/>
    <w:link w:val="Enutiret"/>
    <w:rsid w:val="00713A6D"/>
    <w:rPr>
      <w:rFonts w:ascii="Arial" w:eastAsia="SimSun" w:hAnsi="Arial" w:cs="Arial"/>
      <w:lang w:eastAsia="zh-CN"/>
    </w:rPr>
  </w:style>
  <w:style w:type="paragraph" w:customStyle="1" w:styleId="Tabtxt">
    <w:name w:val="Tabtxt"/>
    <w:basedOn w:val="Normal"/>
    <w:rsid w:val="00B9689C"/>
    <w:pPr>
      <w:spacing w:before="60" w:after="6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F31468"/>
    <w:pPr>
      <w:ind w:left="0"/>
    </w:pPr>
  </w:style>
  <w:style w:type="paragraph" w:customStyle="1" w:styleId="DO">
    <w:name w:val="DO"/>
    <w:basedOn w:val="Texte1"/>
    <w:rsid w:val="00B36CC3"/>
    <w:pPr>
      <w:tabs>
        <w:tab w:val="clear" w:pos="567"/>
        <w:tab w:val="left" w:pos="747"/>
        <w:tab w:val="left" w:pos="2183"/>
      </w:tabs>
      <w:ind w:left="1985" w:hanging="1134"/>
    </w:pPr>
  </w:style>
  <w:style w:type="character" w:customStyle="1" w:styleId="Texte1Car">
    <w:name w:val="Texte1 Car"/>
    <w:link w:val="Texte1"/>
    <w:rsid w:val="00DB5E57"/>
    <w:rPr>
      <w:rFonts w:ascii="Arial" w:eastAsia="SimSun" w:hAnsi="Arial" w:cs="Arial"/>
      <w:lang w:eastAsia="zh-CN"/>
    </w:rPr>
  </w:style>
  <w:style w:type="character" w:customStyle="1" w:styleId="TxtannexeCar">
    <w:name w:val="Txtannexe Car"/>
    <w:link w:val="Txtannexe"/>
    <w:rsid w:val="00F31468"/>
    <w:rPr>
      <w:rFonts w:ascii="Arial" w:eastAsia="SimSun" w:hAnsi="Arial" w:cs="Arial"/>
      <w:lang w:eastAsia="zh-CN"/>
    </w:rPr>
  </w:style>
  <w:style w:type="character" w:customStyle="1" w:styleId="SoustitreCar">
    <w:name w:val="Soustitre Car"/>
    <w:link w:val="Soustitre"/>
    <w:rsid w:val="00B9689C"/>
    <w:rPr>
      <w:rFonts w:ascii="Arial" w:eastAsia="SimSun" w:hAnsi="Arial" w:cs="Arial"/>
      <w:b/>
      <w:lang w:eastAsia="zh-CN"/>
    </w:rPr>
  </w:style>
  <w:style w:type="paragraph" w:customStyle="1" w:styleId="Puceannexe">
    <w:name w:val="Puceannexe"/>
    <w:basedOn w:val="Txtannexe"/>
    <w:link w:val="PuceannexeCar"/>
    <w:rsid w:val="004E7D6C"/>
    <w:pPr>
      <w:numPr>
        <w:numId w:val="4"/>
      </w:numPr>
    </w:pPr>
  </w:style>
  <w:style w:type="character" w:customStyle="1" w:styleId="PuceannexeCar">
    <w:name w:val="Puceannexe Car"/>
    <w:link w:val="Puceannexe"/>
    <w:rsid w:val="004E7D6C"/>
    <w:rPr>
      <w:rFonts w:ascii="Arial" w:eastAsia="SimSun" w:hAnsi="Arial" w:cs="Arial"/>
      <w:lang w:val="fr-FR" w:eastAsia="zh-CN" w:bidi="ar-SA"/>
    </w:rPr>
  </w:style>
  <w:style w:type="paragraph" w:customStyle="1" w:styleId="Ref">
    <w:name w:val="Ref"/>
    <w:basedOn w:val="Txtannexe"/>
    <w:link w:val="RefCar"/>
    <w:rsid w:val="004E7D6C"/>
    <w:rPr>
      <w:i/>
      <w:color w:val="3366FF"/>
    </w:rPr>
  </w:style>
  <w:style w:type="paragraph" w:customStyle="1" w:styleId="Questionnaire">
    <w:name w:val="Questionnaire"/>
    <w:basedOn w:val="Tabtxt"/>
    <w:rsid w:val="00BB443B"/>
    <w:pPr>
      <w:spacing w:before="80" w:after="80"/>
      <w:ind w:left="340" w:hanging="340"/>
      <w:jc w:val="left"/>
    </w:pPr>
    <w:rPr>
      <w:snapToGrid w:val="0"/>
    </w:rPr>
  </w:style>
  <w:style w:type="character" w:styleId="FootnoteReference">
    <w:name w:val="footnote reference"/>
    <w:rsid w:val="009E59B1"/>
    <w:rPr>
      <w:rFonts w:ascii="Arial" w:hAnsi="Arial"/>
      <w:sz w:val="14"/>
      <w:vertAlign w:val="superscript"/>
    </w:rPr>
  </w:style>
  <w:style w:type="character" w:styleId="FollowedHyperlink">
    <w:name w:val="FollowedHyperlink"/>
    <w:rsid w:val="0086683E"/>
    <w:rPr>
      <w:color w:val="800080"/>
      <w:u w:val="single"/>
    </w:rPr>
  </w:style>
  <w:style w:type="character" w:customStyle="1" w:styleId="RefCar">
    <w:name w:val="Ref Car"/>
    <w:link w:val="Ref"/>
    <w:rsid w:val="004E7D6C"/>
    <w:rPr>
      <w:rFonts w:ascii="Arial" w:eastAsia="SimSun" w:hAnsi="Arial" w:cs="Arial"/>
      <w:i/>
      <w:color w:val="3366FF"/>
      <w:lang w:eastAsia="zh-CN"/>
    </w:rPr>
  </w:style>
  <w:style w:type="paragraph" w:customStyle="1" w:styleId="Default">
    <w:name w:val="Default"/>
    <w:rsid w:val="008668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7Char">
    <w:name w:val="Heading 7 Char"/>
    <w:link w:val="Heading7"/>
    <w:rsid w:val="00701EE2"/>
    <w:rPr>
      <w:rFonts w:ascii="Arial" w:eastAsia="SimSun" w:hAnsi="Arial"/>
      <w:i/>
      <w:snapToGrid w:val="0"/>
      <w:lang w:eastAsia="zh-CN" w:bidi="ar-SA"/>
    </w:rPr>
  </w:style>
  <w:style w:type="paragraph" w:customStyle="1" w:styleId="Annexenote">
    <w:name w:val="Annexenote"/>
    <w:basedOn w:val="FootnoteText"/>
    <w:link w:val="AnnexenoteCar"/>
    <w:rsid w:val="002F739D"/>
    <w:rPr>
      <w:szCs w:val="14"/>
    </w:rPr>
  </w:style>
  <w:style w:type="paragraph" w:customStyle="1" w:styleId="numrationa">
    <w:name w:val="énumération (a)"/>
    <w:basedOn w:val="Texte1"/>
    <w:rsid w:val="00290880"/>
    <w:pPr>
      <w:tabs>
        <w:tab w:val="clear" w:pos="567"/>
        <w:tab w:val="left" w:pos="340"/>
      </w:tabs>
      <w:spacing w:after="80"/>
      <w:ind w:left="1474" w:hanging="340"/>
    </w:pPr>
    <w:rPr>
      <w:szCs w:val="22"/>
    </w:rPr>
  </w:style>
  <w:style w:type="character" w:customStyle="1" w:styleId="AnnexenoteCar">
    <w:name w:val="Annexenote Car"/>
    <w:link w:val="Annexenote"/>
    <w:rsid w:val="002F739D"/>
    <w:rPr>
      <w:rFonts w:ascii="Arial" w:eastAsia="SimSun" w:hAnsi="Arial" w:cs="Arial"/>
      <w:snapToGrid w:val="0"/>
      <w:sz w:val="14"/>
      <w:szCs w:val="14"/>
      <w:lang w:eastAsia="zh-CN"/>
    </w:rPr>
  </w:style>
  <w:style w:type="paragraph" w:styleId="ListBullet">
    <w:name w:val="List Bullet"/>
    <w:basedOn w:val="Normal"/>
    <w:rsid w:val="002B6A2C"/>
    <w:pPr>
      <w:tabs>
        <w:tab w:val="num" w:pos="360"/>
      </w:tabs>
      <w:ind w:left="360" w:hanging="360"/>
      <w:contextualSpacing/>
    </w:pPr>
    <w:rPr>
      <w:snapToGrid w:val="0"/>
      <w:lang w:val="en-US"/>
    </w:rPr>
  </w:style>
  <w:style w:type="paragraph" w:customStyle="1" w:styleId="Enumrotation">
    <w:name w:val="Enumérotation"/>
    <w:basedOn w:val="numrationa"/>
    <w:rsid w:val="00DA5E10"/>
    <w:pPr>
      <w:numPr>
        <w:numId w:val="8"/>
      </w:numPr>
      <w:spacing w:after="60"/>
    </w:pPr>
  </w:style>
  <w:style w:type="character" w:styleId="PageNumber">
    <w:name w:val="page number"/>
    <w:rsid w:val="002B6A2C"/>
  </w:style>
  <w:style w:type="paragraph" w:customStyle="1" w:styleId="Revision1">
    <w:name w:val="Revision1"/>
    <w:hidden/>
    <w:semi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2B6A2C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autoRedefine/>
    <w:rsid w:val="00E157D0"/>
    <w:pPr>
      <w:spacing w:before="480" w:after="240" w:line="300" w:lineRule="exact"/>
      <w:ind w:left="0"/>
    </w:pPr>
    <w:rPr>
      <w:rFonts w:ascii="Arial Gras" w:hAnsi="Arial Gras"/>
      <w:b/>
      <w:bCs/>
      <w:smallCaps/>
      <w:sz w:val="24"/>
      <w:szCs w:val="24"/>
    </w:rPr>
  </w:style>
  <w:style w:type="paragraph" w:customStyle="1" w:styleId="Txtpuce">
    <w:name w:val="Txtpuce"/>
    <w:basedOn w:val="Normal"/>
    <w:rsid w:val="00D727EE"/>
    <w:pPr>
      <w:tabs>
        <w:tab w:val="clear" w:pos="567"/>
        <w:tab w:val="left" w:pos="397"/>
      </w:tabs>
      <w:spacing w:line="360" w:lineRule="exact"/>
      <w:ind w:left="0" w:hanging="397"/>
    </w:pPr>
    <w:rPr>
      <w:sz w:val="24"/>
    </w:rPr>
  </w:style>
  <w:style w:type="paragraph" w:customStyle="1" w:styleId="Txtpucegras">
    <w:name w:val="Txtpucegras"/>
    <w:basedOn w:val="Texte1"/>
    <w:autoRedefine/>
    <w:rsid w:val="00B9689C"/>
    <w:pPr>
      <w:numPr>
        <w:numId w:val="1"/>
      </w:numPr>
      <w:tabs>
        <w:tab w:val="clear" w:pos="567"/>
      </w:tabs>
      <w:ind w:left="851" w:hanging="284"/>
    </w:pPr>
  </w:style>
  <w:style w:type="paragraph" w:customStyle="1" w:styleId="Titcoul">
    <w:name w:val="Titcoul"/>
    <w:basedOn w:val="Title"/>
    <w:link w:val="TitcoulCar"/>
    <w:rsid w:val="000651E6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ascii="Arial" w:hAnsi="Arial"/>
      <w:color w:val="3366FF"/>
      <w:sz w:val="24"/>
      <w:szCs w:val="24"/>
    </w:rPr>
  </w:style>
  <w:style w:type="character" w:customStyle="1" w:styleId="TitcoulCar">
    <w:name w:val="Titcoul Car"/>
    <w:link w:val="Titcoul"/>
    <w:rsid w:val="000651E6"/>
    <w:rPr>
      <w:rFonts w:ascii="Arial" w:eastAsia="Times New Roman" w:hAnsi="Arial" w:cs="Arial"/>
      <w:b/>
      <w:caps/>
      <w:snapToGrid w:val="0"/>
      <w:color w:val="3366FF"/>
      <w:sz w:val="24"/>
      <w:szCs w:val="24"/>
      <w:lang w:eastAsia="zh-CN"/>
    </w:rPr>
  </w:style>
  <w:style w:type="paragraph" w:customStyle="1" w:styleId="Txtmaigre">
    <w:name w:val="Txtmaigre"/>
    <w:basedOn w:val="Txtgras"/>
    <w:rsid w:val="00577621"/>
  </w:style>
  <w:style w:type="paragraph" w:customStyle="1" w:styleId="Txtpucemaitre">
    <w:name w:val="Txtpucemaitre"/>
    <w:basedOn w:val="Txtpucegras"/>
    <w:rsid w:val="003B5874"/>
    <w:pPr>
      <w:numPr>
        <w:ilvl w:val="1"/>
        <w:numId w:val="2"/>
      </w:numPr>
      <w:tabs>
        <w:tab w:val="clear" w:pos="1440"/>
      </w:tabs>
      <w:ind w:left="1474" w:hanging="340"/>
    </w:pPr>
  </w:style>
  <w:style w:type="paragraph" w:customStyle="1" w:styleId="Texte1">
    <w:name w:val="Texte1"/>
    <w:basedOn w:val="Normal"/>
    <w:link w:val="Texte1Car"/>
    <w:rsid w:val="00DB5E57"/>
    <w:pPr>
      <w:keepNext w:val="0"/>
      <w:spacing w:after="60"/>
    </w:pPr>
  </w:style>
  <w:style w:type="paragraph" w:customStyle="1" w:styleId="Tabltetiere">
    <w:name w:val="Tabltetiere"/>
    <w:basedOn w:val="Texte1"/>
    <w:rsid w:val="00A202A2"/>
    <w:pPr>
      <w:keepNext/>
      <w:spacing w:before="60" w:line="200" w:lineRule="exact"/>
      <w:ind w:left="0"/>
      <w:jc w:val="center"/>
    </w:pPr>
    <w:rPr>
      <w:b/>
      <w:sz w:val="18"/>
    </w:rPr>
  </w:style>
  <w:style w:type="paragraph" w:customStyle="1" w:styleId="Soustitre">
    <w:name w:val="Soustitre"/>
    <w:basedOn w:val="Texte1"/>
    <w:link w:val="SoustitreCar"/>
    <w:rsid w:val="00B9689C"/>
    <w:pPr>
      <w:widowControl w:val="0"/>
      <w:spacing w:before="120" w:after="80"/>
    </w:pPr>
    <w:rPr>
      <w:b/>
    </w:rPr>
  </w:style>
  <w:style w:type="paragraph" w:customStyle="1" w:styleId="SsTit">
    <w:name w:val="SsTit"/>
    <w:basedOn w:val="Normal"/>
    <w:rsid w:val="004D5F7F"/>
    <w:pPr>
      <w:spacing w:before="440" w:line="440" w:lineRule="exact"/>
      <w:ind w:left="0"/>
      <w:jc w:val="left"/>
    </w:pPr>
    <w:rPr>
      <w:b/>
      <w:caps/>
      <w:snapToGrid w:val="0"/>
      <w:sz w:val="36"/>
      <w:szCs w:val="36"/>
    </w:rPr>
  </w:style>
  <w:style w:type="paragraph" w:customStyle="1" w:styleId="citationa">
    <w:name w:val="citation(a)"/>
    <w:basedOn w:val="Txtpucegras"/>
    <w:rsid w:val="00D90C20"/>
    <w:pPr>
      <w:numPr>
        <w:numId w:val="6"/>
      </w:numPr>
    </w:pPr>
  </w:style>
  <w:style w:type="paragraph" w:customStyle="1" w:styleId="Informations">
    <w:name w:val="Informations"/>
    <w:basedOn w:val="Ref"/>
    <w:link w:val="InformationsCar"/>
    <w:rsid w:val="003259DC"/>
    <w:pPr>
      <w:ind w:left="851"/>
    </w:pPr>
  </w:style>
  <w:style w:type="character" w:customStyle="1" w:styleId="InformationsCar">
    <w:name w:val="Informations Car"/>
    <w:link w:val="Informations"/>
    <w:rsid w:val="003259DC"/>
    <w:rPr>
      <w:rFonts w:ascii="Arial" w:eastAsia="SimSun" w:hAnsi="Arial" w:cs="Arial"/>
      <w:i/>
      <w:color w:val="3366FF"/>
      <w:lang w:eastAsia="zh-CN"/>
    </w:rPr>
  </w:style>
  <w:style w:type="paragraph" w:customStyle="1" w:styleId="Enu1">
    <w:name w:val="Enu1"/>
    <w:basedOn w:val="Normal"/>
    <w:rsid w:val="0097251E"/>
    <w:pPr>
      <w:numPr>
        <w:numId w:val="7"/>
      </w:numPr>
      <w:spacing w:after="60"/>
    </w:pPr>
  </w:style>
  <w:style w:type="table" w:styleId="TableGrid">
    <w:name w:val="Table Grid"/>
    <w:basedOn w:val="TableNormal"/>
    <w:rsid w:val="0048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48121B"/>
    <w:pPr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character" w:customStyle="1" w:styleId="hps">
    <w:name w:val="hps"/>
    <w:basedOn w:val="DefaultParagraphFont"/>
    <w:rsid w:val="00D07828"/>
  </w:style>
  <w:style w:type="paragraph" w:styleId="ListParagraph">
    <w:name w:val="List Paragraph"/>
    <w:basedOn w:val="Normal"/>
    <w:uiPriority w:val="34"/>
    <w:qFormat/>
    <w:rsid w:val="00D07828"/>
    <w:pPr>
      <w:keepNext w:val="0"/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ge">
    <w:name w:val="Marge"/>
    <w:basedOn w:val="Normal"/>
    <w:rsid w:val="00F37F65"/>
    <w:pPr>
      <w:keepNext w:val="0"/>
      <w:spacing w:after="240" w:line="240" w:lineRule="auto"/>
      <w:ind w:left="0"/>
    </w:pPr>
    <w:rPr>
      <w:rFonts w:eastAsia="Times New Roman" w:cs="Times New Roman"/>
      <w:snapToGrid w:val="0"/>
      <w:sz w:val="22"/>
      <w:szCs w:val="24"/>
      <w:lang w:eastAsia="en-US"/>
    </w:rPr>
  </w:style>
  <w:style w:type="character" w:styleId="CommentReference">
    <w:name w:val="annotation reference"/>
    <w:uiPriority w:val="99"/>
    <w:unhideWhenUsed/>
    <w:rsid w:val="00B0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D4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B01BD4"/>
    <w:rPr>
      <w:rFonts w:ascii="Arial" w:eastAsia="SimSun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1BD4"/>
    <w:rPr>
      <w:b/>
      <w:bCs/>
    </w:rPr>
  </w:style>
  <w:style w:type="character" w:customStyle="1" w:styleId="CommentSubjectChar">
    <w:name w:val="Comment Subject Char"/>
    <w:link w:val="CommentSubject"/>
    <w:semiHidden/>
    <w:rsid w:val="00B01BD4"/>
    <w:rPr>
      <w:rFonts w:ascii="Arial" w:eastAsia="SimSun" w:hAnsi="Arial" w:cs="Arial"/>
      <w:b/>
      <w:bCs/>
      <w:lang w:eastAsia="zh-CN"/>
    </w:rPr>
  </w:style>
  <w:style w:type="paragraph" w:customStyle="1" w:styleId="Chapitre">
    <w:name w:val="Chapitre"/>
    <w:basedOn w:val="Titcoul"/>
    <w:link w:val="ChapitreCar"/>
    <w:rsid w:val="005A0AB6"/>
    <w:pPr>
      <w:pBdr>
        <w:bottom w:val="single" w:sz="4" w:space="14" w:color="3366FF"/>
      </w:pBdr>
      <w:spacing w:before="240" w:line="840" w:lineRule="exact"/>
      <w:ind w:left="0" w:firstLine="0"/>
    </w:pPr>
    <w:rPr>
      <w:sz w:val="70"/>
      <w:szCs w:val="70"/>
    </w:rPr>
  </w:style>
  <w:style w:type="paragraph" w:customStyle="1" w:styleId="Sschapitre">
    <w:name w:val="Sschapitre"/>
    <w:basedOn w:val="Txtgras"/>
    <w:autoRedefine/>
    <w:rsid w:val="00B0489C"/>
  </w:style>
  <w:style w:type="paragraph" w:customStyle="1" w:styleId="Txtchap">
    <w:name w:val="Txtchap"/>
    <w:basedOn w:val="Normal"/>
    <w:link w:val="TxtchapCar"/>
    <w:rsid w:val="00DA5D47"/>
    <w:pPr>
      <w:numPr>
        <w:numId w:val="13"/>
      </w:numPr>
      <w:spacing w:after="120" w:line="360" w:lineRule="exact"/>
    </w:pPr>
    <w:rPr>
      <w:sz w:val="24"/>
    </w:rPr>
  </w:style>
  <w:style w:type="paragraph" w:customStyle="1" w:styleId="Chapinfo">
    <w:name w:val="Chapinfo"/>
    <w:basedOn w:val="Txtchap"/>
    <w:link w:val="ChapinfoCar"/>
    <w:rsid w:val="00795FF0"/>
    <w:pPr>
      <w:keepNext w:val="0"/>
      <w:numPr>
        <w:numId w:val="0"/>
      </w:numPr>
      <w:spacing w:before="480" w:after="0" w:line="320" w:lineRule="exact"/>
      <w:ind w:left="567"/>
    </w:pPr>
    <w:rPr>
      <w:i/>
      <w:iCs/>
      <w:color w:val="3366FF"/>
      <w:szCs w:val="24"/>
    </w:rPr>
  </w:style>
  <w:style w:type="character" w:customStyle="1" w:styleId="ChapinfoCar">
    <w:name w:val="Chapinfo Car"/>
    <w:link w:val="Chapinfo"/>
    <w:rsid w:val="00795FF0"/>
    <w:rPr>
      <w:rFonts w:ascii="Arial" w:eastAsia="SimSun" w:hAnsi="Arial" w:cs="Arial"/>
      <w:i/>
      <w:iCs/>
      <w:color w:val="3366FF"/>
      <w:sz w:val="24"/>
      <w:szCs w:val="24"/>
      <w:lang w:eastAsia="zh-CN"/>
    </w:rPr>
  </w:style>
  <w:style w:type="paragraph" w:customStyle="1" w:styleId="Enutiret2">
    <w:name w:val="Enutiret2"/>
    <w:basedOn w:val="Enutiret"/>
    <w:rsid w:val="000D6D71"/>
    <w:pPr>
      <w:ind w:left="1701"/>
    </w:pPr>
  </w:style>
  <w:style w:type="paragraph" w:customStyle="1" w:styleId="Cas">
    <w:name w:val="Cas"/>
    <w:basedOn w:val="Heading4"/>
    <w:rsid w:val="00BC3B18"/>
    <w:pPr>
      <w:spacing w:before="0" w:line="360" w:lineRule="exact"/>
    </w:pPr>
    <w:rPr>
      <w:caps w:val="0"/>
      <w:color w:val="3366FF"/>
      <w:sz w:val="28"/>
      <w:szCs w:val="28"/>
    </w:rPr>
  </w:style>
  <w:style w:type="paragraph" w:customStyle="1" w:styleId="Caschap">
    <w:name w:val="Caschap"/>
    <w:basedOn w:val="Chapitre"/>
    <w:rsid w:val="00BC3B18"/>
    <w:pPr>
      <w:pBdr>
        <w:bottom w:val="none" w:sz="0" w:space="0" w:color="auto"/>
      </w:pBdr>
      <w:spacing w:before="0" w:after="120" w:line="480" w:lineRule="exact"/>
    </w:pPr>
    <w:rPr>
      <w:color w:val="auto"/>
      <w:sz w:val="36"/>
      <w:szCs w:val="48"/>
    </w:rPr>
  </w:style>
  <w:style w:type="paragraph" w:customStyle="1" w:styleId="Sschap">
    <w:name w:val="Sschap"/>
    <w:basedOn w:val="Txtgras"/>
    <w:autoRedefine/>
    <w:rsid w:val="00601945"/>
    <w:pPr>
      <w:widowControl w:val="0"/>
      <w:spacing w:before="600" w:after="480"/>
    </w:pPr>
    <w:rPr>
      <w:rFonts w:ascii="Arial" w:hAnsi="Arial"/>
      <w:smallCaps w:val="0"/>
      <w:color w:val="000000" w:themeColor="text1"/>
    </w:rPr>
  </w:style>
  <w:style w:type="character" w:customStyle="1" w:styleId="TxtchapCar">
    <w:name w:val="Txtchap Car"/>
    <w:basedOn w:val="DefaultParagraphFont"/>
    <w:link w:val="Txtchap"/>
    <w:rsid w:val="00DA5D47"/>
    <w:rPr>
      <w:rFonts w:ascii="Arial" w:eastAsia="SimSun" w:hAnsi="Arial" w:cs="Arial"/>
      <w:sz w:val="24"/>
      <w:lang w:eastAsia="zh-CN"/>
    </w:rPr>
  </w:style>
  <w:style w:type="paragraph" w:customStyle="1" w:styleId="Key">
    <w:name w:val="Key"/>
    <w:basedOn w:val="Titcoul"/>
    <w:link w:val="KeyCar"/>
    <w:qFormat/>
    <w:rsid w:val="00DA5D47"/>
    <w:rPr>
      <w:rFonts w:eastAsia="SimSun"/>
      <w:lang w:val="en-US"/>
    </w:rPr>
  </w:style>
  <w:style w:type="character" w:customStyle="1" w:styleId="KeyCar">
    <w:name w:val="Key Car"/>
    <w:basedOn w:val="TitcoulCar"/>
    <w:link w:val="Key"/>
    <w:rsid w:val="00DA5D47"/>
    <w:rPr>
      <w:rFonts w:ascii="Arial Gras" w:eastAsia="SimSun" w:hAnsi="Arial Gras" w:cs="Arial"/>
      <w:b/>
      <w:bCs w:val="0"/>
      <w:caps/>
      <w:snapToGrid w:val="0"/>
      <w:color w:val="3366FF"/>
      <w:sz w:val="24"/>
      <w:szCs w:val="24"/>
      <w:lang w:val="en-US" w:eastAsia="zh-CN"/>
    </w:rPr>
  </w:style>
  <w:style w:type="paragraph" w:customStyle="1" w:styleId="Textegras">
    <w:name w:val="Textegras"/>
    <w:basedOn w:val="Texte1"/>
    <w:link w:val="TextegrasCar"/>
    <w:rsid w:val="0057532F"/>
    <w:pPr>
      <w:keepNext/>
      <w:spacing w:before="120"/>
      <w:ind w:left="284" w:hanging="284"/>
      <w:jc w:val="left"/>
    </w:pPr>
    <w:rPr>
      <w:b/>
      <w:w w:val="95"/>
      <w:lang w:val="en-GB"/>
    </w:rPr>
  </w:style>
  <w:style w:type="character" w:customStyle="1" w:styleId="TextegrasCar">
    <w:name w:val="Textegras Car"/>
    <w:basedOn w:val="Texte1Car"/>
    <w:link w:val="Textegras"/>
    <w:rsid w:val="0057532F"/>
    <w:rPr>
      <w:rFonts w:ascii="Arial" w:eastAsia="SimSun" w:hAnsi="Arial" w:cs="Arial"/>
      <w:b/>
      <w:w w:val="95"/>
      <w:lang w:val="en-GB" w:eastAsia="zh-CN"/>
    </w:rPr>
  </w:style>
  <w:style w:type="character" w:customStyle="1" w:styleId="EnutiretCar">
    <w:name w:val="Enutiret Car"/>
    <w:basedOn w:val="DefaultParagraphFont"/>
    <w:rsid w:val="00073751"/>
    <w:rPr>
      <w:rFonts w:ascii="Arial" w:hAnsi="Arial" w:cs="Arial"/>
      <w:noProof/>
      <w:snapToGrid w:val="0"/>
      <w:sz w:val="20"/>
      <w:szCs w:val="20"/>
      <w:lang w:eastAsia="en-US"/>
    </w:rPr>
  </w:style>
  <w:style w:type="paragraph" w:customStyle="1" w:styleId="Info03">
    <w:name w:val="Info03"/>
    <w:basedOn w:val="Normal"/>
    <w:rsid w:val="00F61C8F"/>
    <w:pPr>
      <w:tabs>
        <w:tab w:val="left" w:pos="1134"/>
        <w:tab w:val="left" w:pos="1701"/>
        <w:tab w:val="left" w:pos="2268"/>
      </w:tabs>
      <w:snapToGrid/>
      <w:spacing w:after="120" w:line="220" w:lineRule="exact"/>
      <w:ind w:left="113" w:right="113"/>
    </w:pPr>
    <w:rPr>
      <w:rFonts w:eastAsia="Times New Roman"/>
      <w:i/>
      <w:iCs/>
      <w:szCs w:val="22"/>
      <w:lang w:val="en-US" w:eastAsia="fr-FR"/>
    </w:rPr>
  </w:style>
  <w:style w:type="character" w:customStyle="1" w:styleId="ChapitreCar">
    <w:name w:val="Chapitre Car"/>
    <w:link w:val="Chapitre"/>
    <w:locked/>
    <w:rsid w:val="005A0AB6"/>
    <w:rPr>
      <w:rFonts w:ascii="Arial" w:eastAsia="Times New Roman" w:hAnsi="Arial" w:cs="Arial"/>
      <w:b/>
      <w:caps/>
      <w:snapToGrid w:val="0"/>
      <w:color w:val="3366FF"/>
      <w:sz w:val="70"/>
      <w:szCs w:val="70"/>
      <w:lang w:eastAsia="zh-CN"/>
    </w:rPr>
  </w:style>
  <w:style w:type="paragraph" w:customStyle="1" w:styleId="HO1">
    <w:name w:val="HO1"/>
    <w:basedOn w:val="Normal"/>
    <w:link w:val="HO1Car"/>
    <w:rsid w:val="005A0AB6"/>
    <w:pPr>
      <w:keepLines/>
      <w:spacing w:before="480" w:line="480" w:lineRule="exact"/>
      <w:ind w:left="0"/>
      <w:jc w:val="left"/>
      <w:outlineLvl w:val="0"/>
    </w:pPr>
    <w:rPr>
      <w:rFonts w:eastAsia="Times New Roman"/>
      <w:b/>
      <w:bCs/>
      <w:noProof/>
      <w:snapToGrid w:val="0"/>
      <w:color w:val="3366FF"/>
      <w:sz w:val="32"/>
      <w:szCs w:val="32"/>
      <w:lang w:val="en-US"/>
    </w:rPr>
  </w:style>
  <w:style w:type="character" w:customStyle="1" w:styleId="HO1Car">
    <w:name w:val="HO1 Car"/>
    <w:basedOn w:val="DefaultParagraphFont"/>
    <w:link w:val="HO1"/>
    <w:rsid w:val="005A0AB6"/>
    <w:rPr>
      <w:rFonts w:ascii="Arial" w:eastAsia="Times New Roman" w:hAnsi="Arial" w:cs="Arial"/>
      <w:b/>
      <w:bCs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5A0AB6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5A0AB6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character" w:styleId="Emphasis">
    <w:name w:val="Emphasis"/>
    <w:basedOn w:val="DefaultParagraphFont"/>
    <w:qFormat/>
    <w:rsid w:val="0024620F"/>
    <w:rPr>
      <w:i/>
      <w:iCs/>
    </w:rPr>
  </w:style>
  <w:style w:type="paragraph" w:customStyle="1" w:styleId="UPlan">
    <w:name w:val="UPlan"/>
    <w:basedOn w:val="Titcoul"/>
    <w:link w:val="UPlanCar"/>
    <w:rsid w:val="009121FA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bCs/>
      <w:noProof/>
      <w:kern w:val="28"/>
      <w:sz w:val="48"/>
      <w:szCs w:val="48"/>
      <w:lang w:val="en-GB"/>
    </w:rPr>
  </w:style>
  <w:style w:type="character" w:customStyle="1" w:styleId="UPlanCar">
    <w:name w:val="UPlan Car"/>
    <w:basedOn w:val="TitcoulCar"/>
    <w:link w:val="UPlan"/>
    <w:rsid w:val="009121FA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48451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24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123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9324A-4063-4C57-8B3C-982DA1E5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3370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U006-v1.1-PT-FRA.docx</vt:lpstr>
    </vt:vector>
  </TitlesOfParts>
  <Company/>
  <LinksUpToDate>false</LinksUpToDate>
  <CharactersWithSpaces>21864</CharactersWithSpaces>
  <SharedDoc>false</SharedDoc>
  <HyperlinkBase/>
  <HLinks>
    <vt:vector size="732" baseType="variant">
      <vt:variant>
        <vt:i4>6291556</vt:i4>
      </vt:variant>
      <vt:variant>
        <vt:i4>1182</vt:i4>
      </vt:variant>
      <vt:variant>
        <vt:i4>0</vt:i4>
      </vt:variant>
      <vt:variant>
        <vt:i4>5</vt:i4>
      </vt:variant>
      <vt:variant>
        <vt:lpwstr>http://whc.unesco.org/fr/list/722/</vt:lpwstr>
      </vt:variant>
      <vt:variant>
        <vt:lpwstr/>
      </vt:variant>
      <vt:variant>
        <vt:i4>7733348</vt:i4>
      </vt:variant>
      <vt:variant>
        <vt:i4>1179</vt:i4>
      </vt:variant>
      <vt:variant>
        <vt:i4>0</vt:i4>
      </vt:variant>
      <vt:variant>
        <vt:i4>5</vt:i4>
      </vt:variant>
      <vt:variant>
        <vt:lpwstr>http://www.unesco.org/culture/ich/index.php?lg=fr&amp;pg=00011&amp;RL=00015</vt:lpwstr>
      </vt:variant>
      <vt:variant>
        <vt:lpwstr/>
      </vt:variant>
      <vt:variant>
        <vt:i4>1507409</vt:i4>
      </vt:variant>
      <vt:variant>
        <vt:i4>1176</vt:i4>
      </vt:variant>
      <vt:variant>
        <vt:i4>0</vt:i4>
      </vt:variant>
      <vt:variant>
        <vt:i4>5</vt:i4>
      </vt:variant>
      <vt:variant>
        <vt:lpwstr>http://www.nau.edu/~hcpo-p/research.html</vt:lpwstr>
      </vt:variant>
      <vt:variant>
        <vt:lpwstr/>
      </vt:variant>
      <vt:variant>
        <vt:i4>1703964</vt:i4>
      </vt:variant>
      <vt:variant>
        <vt:i4>1173</vt:i4>
      </vt:variant>
      <vt:variant>
        <vt:i4>0</vt:i4>
      </vt:variant>
      <vt:variant>
        <vt:i4>5</vt:i4>
      </vt:variant>
      <vt:variant>
        <vt:lpwstr>http://www.faronet.be/fr/faro-interface-flamande-pour-le-patrimoine-culturel-asbl</vt:lpwstr>
      </vt:variant>
      <vt:variant>
        <vt:lpwstr/>
      </vt:variant>
      <vt:variant>
        <vt:i4>7602291</vt:i4>
      </vt:variant>
      <vt:variant>
        <vt:i4>1170</vt:i4>
      </vt:variant>
      <vt:variant>
        <vt:i4>0</vt:i4>
      </vt:variant>
      <vt:variant>
        <vt:i4>5</vt:i4>
      </vt:variant>
      <vt:variant>
        <vt:lpwstr>http://www.heemkunde-vlaanderen.be/</vt:lpwstr>
      </vt:variant>
      <vt:variant>
        <vt:lpwstr/>
      </vt:variant>
      <vt:variant>
        <vt:i4>1507398</vt:i4>
      </vt:variant>
      <vt:variant>
        <vt:i4>1167</vt:i4>
      </vt:variant>
      <vt:variant>
        <vt:i4>0</vt:i4>
      </vt:variant>
      <vt:variant>
        <vt:i4>5</vt:i4>
      </vt:variant>
      <vt:variant>
        <vt:lpwstr>http://www.unesco.org/culture/ich/index.php?lg=fr&amp;pg=00011&amp;USL=00305</vt:lpwstr>
      </vt:variant>
      <vt:variant>
        <vt:lpwstr/>
      </vt:variant>
      <vt:variant>
        <vt:i4>589914</vt:i4>
      </vt:variant>
      <vt:variant>
        <vt:i4>1164</vt:i4>
      </vt:variant>
      <vt:variant>
        <vt:i4>0</vt:i4>
      </vt:variant>
      <vt:variant>
        <vt:i4>5</vt:i4>
      </vt:variant>
      <vt:variant>
        <vt:lpwstr>http://www.accu.or.jp/ich/en/community/index.html</vt:lpwstr>
      </vt:variant>
      <vt:variant>
        <vt:lpwstr/>
      </vt:variant>
      <vt:variant>
        <vt:i4>7274529</vt:i4>
      </vt:variant>
      <vt:variant>
        <vt:i4>1161</vt:i4>
      </vt:variant>
      <vt:variant>
        <vt:i4>0</vt:i4>
      </vt:variant>
      <vt:variant>
        <vt:i4>5</vt:i4>
      </vt:variant>
      <vt:variant>
        <vt:lpwstr>http://www.accu.or.jp/ich/en/community/sanbaso.html</vt:lpwstr>
      </vt:variant>
      <vt:variant>
        <vt:lpwstr/>
      </vt:variant>
      <vt:variant>
        <vt:i4>5963803</vt:i4>
      </vt:variant>
      <vt:variant>
        <vt:i4>1158</vt:i4>
      </vt:variant>
      <vt:variant>
        <vt:i4>0</vt:i4>
      </vt:variant>
      <vt:variant>
        <vt:i4>5</vt:i4>
      </vt:variant>
      <vt:variant>
        <vt:lpwstr>http://www.unesco.org/culture/ich/index.php?pg=00311&amp;cp=PH&amp;topic=lht</vt:lpwstr>
      </vt:variant>
      <vt:variant>
        <vt:lpwstr>a-acronym-titleliving-human-treasurelhtacronym-system</vt:lpwstr>
      </vt:variant>
      <vt:variant>
        <vt:i4>7733307</vt:i4>
      </vt:variant>
      <vt:variant>
        <vt:i4>1155</vt:i4>
      </vt:variant>
      <vt:variant>
        <vt:i4>0</vt:i4>
      </vt:variant>
      <vt:variant>
        <vt:i4>5</vt:i4>
      </vt:variant>
      <vt:variant>
        <vt:lpwstr>http://www.unesco.org/culture/ich/doc/src/00057-EN.pdf</vt:lpwstr>
      </vt:variant>
      <vt:variant>
        <vt:lpwstr/>
      </vt:variant>
      <vt:variant>
        <vt:i4>5308443</vt:i4>
      </vt:variant>
      <vt:variant>
        <vt:i4>1152</vt:i4>
      </vt:variant>
      <vt:variant>
        <vt:i4>0</vt:i4>
      </vt:variant>
      <vt:variant>
        <vt:i4>5</vt:i4>
      </vt:variant>
      <vt:variant>
        <vt:lpwstr>http://www.ncca.gov.ph/about-ncca/org-awards/org-awards-gamaba-guidelines.php</vt:lpwstr>
      </vt:variant>
      <vt:variant>
        <vt:lpwstr/>
      </vt:variant>
      <vt:variant>
        <vt:i4>1638631</vt:i4>
      </vt:variant>
      <vt:variant>
        <vt:i4>1149</vt:i4>
      </vt:variant>
      <vt:variant>
        <vt:i4>0</vt:i4>
      </vt:variant>
      <vt:variant>
        <vt:i4>5</vt:i4>
      </vt:variant>
      <vt:variant>
        <vt:lpwstr>http://en.wikipilipinas.org/index.php?title=Category :GAMABA_Awardees</vt:lpwstr>
      </vt:variant>
      <vt:variant>
        <vt:lpwstr/>
      </vt:variant>
      <vt:variant>
        <vt:i4>720930</vt:i4>
      </vt:variant>
      <vt:variant>
        <vt:i4>1146</vt:i4>
      </vt:variant>
      <vt:variant>
        <vt:i4>0</vt:i4>
      </vt:variant>
      <vt:variant>
        <vt:i4>5</vt:i4>
      </vt:variant>
      <vt:variant>
        <vt:lpwstr>http://www.watatu.se/information.php?info_id=34</vt:lpwstr>
      </vt:variant>
      <vt:variant>
        <vt:lpwstr/>
      </vt:variant>
      <vt:variant>
        <vt:i4>4587555</vt:i4>
      </vt:variant>
      <vt:variant>
        <vt:i4>1143</vt:i4>
      </vt:variant>
      <vt:variant>
        <vt:i4>0</vt:i4>
      </vt:variant>
      <vt:variant>
        <vt:i4>5</vt:i4>
      </vt:variant>
      <vt:variant>
        <vt:lpwstr>http://www.unesco-uganda.ug/index.php?option=com_docman&amp;Itemid=73</vt:lpwstr>
      </vt:variant>
      <vt:variant>
        <vt:lpwstr/>
      </vt:variant>
      <vt:variant>
        <vt:i4>7143511</vt:i4>
      </vt:variant>
      <vt:variant>
        <vt:i4>1140</vt:i4>
      </vt:variant>
      <vt:variant>
        <vt:i4>0</vt:i4>
      </vt:variant>
      <vt:variant>
        <vt:i4>5</vt:i4>
      </vt:variant>
      <vt:variant>
        <vt:lpwstr>http://www.unesco.org/archives/multimedia/index.php?s=films_details&amp;id_page=33&amp;id_film=641</vt:lpwstr>
      </vt:variant>
      <vt:variant>
        <vt:lpwstr/>
      </vt:variant>
      <vt:variant>
        <vt:i4>5767190</vt:i4>
      </vt:variant>
      <vt:variant>
        <vt:i4>1137</vt:i4>
      </vt:variant>
      <vt:variant>
        <vt:i4>0</vt:i4>
      </vt:variant>
      <vt:variant>
        <vt:i4>5</vt:i4>
      </vt:variant>
      <vt:variant>
        <vt:lpwstr>http://www.cartierwomensinitiative.com/site/modulefinaliste/detail/Sara-Katebalirwe/128.html</vt:lpwstr>
      </vt:variant>
      <vt:variant>
        <vt:lpwstr/>
      </vt:variant>
      <vt:variant>
        <vt:i4>4194318</vt:i4>
      </vt:variant>
      <vt:variant>
        <vt:i4>1134</vt:i4>
      </vt:variant>
      <vt:variant>
        <vt:i4>0</vt:i4>
      </vt:variant>
      <vt:variant>
        <vt:i4>5</vt:i4>
      </vt:variant>
      <vt:variant>
        <vt:lpwstr>http://unorcac.nativeweb.org/</vt:lpwstr>
      </vt:variant>
      <vt:variant>
        <vt:lpwstr/>
      </vt:variant>
      <vt:variant>
        <vt:i4>3080247</vt:i4>
      </vt:variant>
      <vt:variant>
        <vt:i4>1131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1704001</vt:i4>
      </vt:variant>
      <vt:variant>
        <vt:i4>1128</vt:i4>
      </vt:variant>
      <vt:variant>
        <vt:i4>0</vt:i4>
      </vt:variant>
      <vt:variant>
        <vt:i4>5</vt:i4>
      </vt:variant>
      <vt:variant>
        <vt:lpwstr>http://www.agriterra.org/assets/uploads/15068/solutions_agriterra_en.pdf</vt:lpwstr>
      </vt:variant>
      <vt:variant>
        <vt:lpwstr/>
      </vt:variant>
      <vt:variant>
        <vt:i4>131156</vt:i4>
      </vt:variant>
      <vt:variant>
        <vt:i4>1125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917584</vt:i4>
      </vt:variant>
      <vt:variant>
        <vt:i4>1122</vt:i4>
      </vt:variant>
      <vt:variant>
        <vt:i4>0</vt:i4>
      </vt:variant>
      <vt:variant>
        <vt:i4>5</vt:i4>
      </vt:variant>
      <vt:variant>
        <vt:lpwstr>http://www.wipo.int/export/sites/www/academy/en/ipacademies/educational_materials/cs1_hoodia.pdf</vt:lpwstr>
      </vt:variant>
      <vt:variant>
        <vt:lpwstr/>
      </vt:variant>
      <vt:variant>
        <vt:i4>6160454</vt:i4>
      </vt:variant>
      <vt:variant>
        <vt:i4>1119</vt:i4>
      </vt:variant>
      <vt:variant>
        <vt:i4>0</vt:i4>
      </vt:variant>
      <vt:variant>
        <vt:i4>5</vt:i4>
      </vt:variant>
      <vt:variant>
        <vt:lpwstr>http://www.cbd.int/doc/publications/cbd-ts-38-en.pdf</vt:lpwstr>
      </vt:variant>
      <vt:variant>
        <vt:lpwstr/>
      </vt:variant>
      <vt:variant>
        <vt:i4>4718680</vt:i4>
      </vt:variant>
      <vt:variant>
        <vt:i4>1116</vt:i4>
      </vt:variant>
      <vt:variant>
        <vt:i4>0</vt:i4>
      </vt:variant>
      <vt:variant>
        <vt:i4>5</vt:i4>
      </vt:variant>
      <vt:variant>
        <vt:lpwstr>http://www.unesco.org/culture/ich/index.php?pg=00011&amp;LR=00166</vt:lpwstr>
      </vt:variant>
      <vt:variant>
        <vt:lpwstr/>
      </vt:variant>
      <vt:variant>
        <vt:i4>1114216</vt:i4>
      </vt:variant>
      <vt:variant>
        <vt:i4>1113</vt:i4>
      </vt:variant>
      <vt:variant>
        <vt:i4>0</vt:i4>
      </vt:variant>
      <vt:variant>
        <vt:i4>5</vt:i4>
      </vt:variant>
      <vt:variant>
        <vt:lpwstr>http://www.cedla.uva.nl/50_publications/pdf/revista/82RevistaEuropea/82-Ypeij&amp;Zorn-ISSN-0924-0608.pdf</vt:lpwstr>
      </vt:variant>
      <vt:variant>
        <vt:lpwstr/>
      </vt:variant>
      <vt:variant>
        <vt:i4>3342435</vt:i4>
      </vt:variant>
      <vt:variant>
        <vt:i4>1110</vt:i4>
      </vt:variant>
      <vt:variant>
        <vt:i4>0</vt:i4>
      </vt:variant>
      <vt:variant>
        <vt:i4>5</vt:i4>
      </vt:variant>
      <vt:variant>
        <vt:lpwstr>http://www.unesco.org/uil/litbase/?menu=4&amp;programme=25</vt:lpwstr>
      </vt:variant>
      <vt:variant>
        <vt:lpwstr/>
      </vt:variant>
      <vt:variant>
        <vt:i4>7143527</vt:i4>
      </vt:variant>
      <vt:variant>
        <vt:i4>1107</vt:i4>
      </vt:variant>
      <vt:variant>
        <vt:i4>0</vt:i4>
      </vt:variant>
      <vt:variant>
        <vt:i4>5</vt:i4>
      </vt:variant>
      <vt:variant>
        <vt:lpwstr>http://www.unesco.org/culture/ich/index.php?lg=en&amp;pg=00011&amp;LR=00174</vt:lpwstr>
      </vt:variant>
      <vt:variant>
        <vt:lpwstr/>
      </vt:variant>
      <vt:variant>
        <vt:i4>393307</vt:i4>
      </vt:variant>
      <vt:variant>
        <vt:i4>1104</vt:i4>
      </vt:variant>
      <vt:variant>
        <vt:i4>0</vt:i4>
      </vt:variant>
      <vt:variant>
        <vt:i4>5</vt:i4>
      </vt:variant>
      <vt:variant>
        <vt:lpwstr>http://www.unesco.org/culture/ich/index.php?LSU=00313</vt:lpwstr>
      </vt:variant>
      <vt:variant>
        <vt:lpwstr/>
      </vt:variant>
      <vt:variant>
        <vt:i4>393307</vt:i4>
      </vt:variant>
      <vt:variant>
        <vt:i4>1101</vt:i4>
      </vt:variant>
      <vt:variant>
        <vt:i4>0</vt:i4>
      </vt:variant>
      <vt:variant>
        <vt:i4>5</vt:i4>
      </vt:variant>
      <vt:variant>
        <vt:lpwstr>http://www.unesco.org/culture/ich/index.php?LSU=00315</vt:lpwstr>
      </vt:variant>
      <vt:variant>
        <vt:lpwstr/>
      </vt:variant>
      <vt:variant>
        <vt:i4>74</vt:i4>
      </vt:variant>
      <vt:variant>
        <vt:i4>1098</vt:i4>
      </vt:variant>
      <vt:variant>
        <vt:i4>0</vt:i4>
      </vt:variant>
      <vt:variant>
        <vt:i4>5</vt:i4>
      </vt:variant>
      <vt:variant>
        <vt:lpwstr>http://www.ifad.org/english/indigenous/pub/documents/Indigeknowledge.pdf</vt:lpwstr>
      </vt:variant>
      <vt:variant>
        <vt:lpwstr/>
      </vt:variant>
      <vt:variant>
        <vt:i4>1900554</vt:i4>
      </vt:variant>
      <vt:variant>
        <vt:i4>1095</vt:i4>
      </vt:variant>
      <vt:variant>
        <vt:i4>0</vt:i4>
      </vt:variant>
      <vt:variant>
        <vt:i4>5</vt:i4>
      </vt:variant>
      <vt:variant>
        <vt:lpwstr>http://www.unesco.org/culture/ich/index.php?pg=00261</vt:lpwstr>
      </vt:variant>
      <vt:variant>
        <vt:lpwstr/>
      </vt:variant>
      <vt:variant>
        <vt:i4>655428</vt:i4>
      </vt:variant>
      <vt:variant>
        <vt:i4>1092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5374028</vt:i4>
      </vt:variant>
      <vt:variant>
        <vt:i4>1089</vt:i4>
      </vt:variant>
      <vt:variant>
        <vt:i4>0</vt:i4>
      </vt:variant>
      <vt:variant>
        <vt:i4>5</vt:i4>
      </vt:variant>
      <vt:variant>
        <vt:lpwstr>http://www.iphan.gov.br/bcrE/pages/indexE.jsf</vt:lpwstr>
      </vt:variant>
      <vt:variant>
        <vt:lpwstr/>
      </vt:variant>
      <vt:variant>
        <vt:i4>1572956</vt:i4>
      </vt:variant>
      <vt:variant>
        <vt:i4>1086</vt:i4>
      </vt:variant>
      <vt:variant>
        <vt:i4>0</vt:i4>
      </vt:variant>
      <vt:variant>
        <vt:i4>5</vt:i4>
      </vt:variant>
      <vt:variant>
        <vt:lpwstr>http://www.iphan.gov.br/</vt:lpwstr>
      </vt:variant>
      <vt:variant>
        <vt:lpwstr/>
      </vt:variant>
      <vt:variant>
        <vt:i4>6815778</vt:i4>
      </vt:variant>
      <vt:variant>
        <vt:i4>1083</vt:i4>
      </vt:variant>
      <vt:variant>
        <vt:i4>0</vt:i4>
      </vt:variant>
      <vt:variant>
        <vt:i4>5</vt:i4>
      </vt:variant>
      <vt:variant>
        <vt:lpwstr>http://www.unesco.org/culture/ich/index.php?pg=00015&amp;categ=2010</vt:lpwstr>
      </vt:variant>
      <vt:variant>
        <vt:lpwstr/>
      </vt:variant>
      <vt:variant>
        <vt:i4>2228334</vt:i4>
      </vt:variant>
      <vt:variant>
        <vt:i4>1080</vt:i4>
      </vt:variant>
      <vt:variant>
        <vt:i4>0</vt:i4>
      </vt:variant>
      <vt:variant>
        <vt:i4>5</vt:i4>
      </vt:variant>
      <vt:variant>
        <vt:lpwstr>http://www.mun.ca/ich/home/</vt:lpwstr>
      </vt:variant>
      <vt:variant>
        <vt:lpwstr/>
      </vt:variant>
      <vt:variant>
        <vt:i4>2818175</vt:i4>
      </vt:variant>
      <vt:variant>
        <vt:i4>1077</vt:i4>
      </vt:variant>
      <vt:variant>
        <vt:i4>0</vt:i4>
      </vt:variant>
      <vt:variant>
        <vt:i4>5</vt:i4>
      </vt:variant>
      <vt:variant>
        <vt:lpwstr>http://collections.mun.ca/index.php</vt:lpwstr>
      </vt:variant>
      <vt:variant>
        <vt:lpwstr/>
      </vt:variant>
      <vt:variant>
        <vt:i4>1114189</vt:i4>
      </vt:variant>
      <vt:variant>
        <vt:i4>1074</vt:i4>
      </vt:variant>
      <vt:variant>
        <vt:i4>0</vt:i4>
      </vt:variant>
      <vt:variant>
        <vt:i4>5</vt:i4>
      </vt:variant>
      <vt:variant>
        <vt:lpwstr>http://www.heritagefoundation.ca/ich.aspx</vt:lpwstr>
      </vt:variant>
      <vt:variant>
        <vt:lpwstr/>
      </vt:variant>
      <vt:variant>
        <vt:i4>1703951</vt:i4>
      </vt:variant>
      <vt:variant>
        <vt:i4>1071</vt:i4>
      </vt:variant>
      <vt:variant>
        <vt:i4>0</vt:i4>
      </vt:variant>
      <vt:variant>
        <vt:i4>5</vt:i4>
      </vt:variant>
      <vt:variant>
        <vt:lpwstr>http://www.mun.ca/ich/resources/</vt:lpwstr>
      </vt:variant>
      <vt:variant>
        <vt:lpwstr/>
      </vt:variant>
      <vt:variant>
        <vt:i4>917581</vt:i4>
      </vt:variant>
      <vt:variant>
        <vt:i4>1068</vt:i4>
      </vt:variant>
      <vt:variant>
        <vt:i4>0</vt:i4>
      </vt:variant>
      <vt:variant>
        <vt:i4>5</vt:i4>
      </vt:variant>
      <vt:variant>
        <vt:lpwstr>http://www.mun.ca/ich/inventory/ICHtopic.php</vt:lpwstr>
      </vt:variant>
      <vt:variant>
        <vt:lpwstr/>
      </vt:variant>
      <vt:variant>
        <vt:i4>65625</vt:i4>
      </vt:variant>
      <vt:variant>
        <vt:i4>1065</vt:i4>
      </vt:variant>
      <vt:variant>
        <vt:i4>0</vt:i4>
      </vt:variant>
      <vt:variant>
        <vt:i4>5</vt:i4>
      </vt:variant>
      <vt:variant>
        <vt:lpwstr>http://www.mun.ca/ich/inventory/profiles.php</vt:lpwstr>
      </vt:variant>
      <vt:variant>
        <vt:lpwstr/>
      </vt:variant>
      <vt:variant>
        <vt:i4>6684794</vt:i4>
      </vt:variant>
      <vt:variant>
        <vt:i4>1062</vt:i4>
      </vt:variant>
      <vt:variant>
        <vt:i4>0</vt:i4>
      </vt:variant>
      <vt:variant>
        <vt:i4>5</vt:i4>
      </vt:variant>
      <vt:variant>
        <vt:lpwstr>http://collections.mun.ca/</vt:lpwstr>
      </vt:variant>
      <vt:variant>
        <vt:lpwstr/>
      </vt:variant>
      <vt:variant>
        <vt:i4>983051</vt:i4>
      </vt:variant>
      <vt:variant>
        <vt:i4>1059</vt:i4>
      </vt:variant>
      <vt:variant>
        <vt:i4>0</vt:i4>
      </vt:variant>
      <vt:variant>
        <vt:i4>5</vt:i4>
      </vt:variant>
      <vt:variant>
        <vt:lpwstr>http://www.mun.ca/ich/advisorycommittee/</vt:lpwstr>
      </vt:variant>
      <vt:variant>
        <vt:lpwstr/>
      </vt:variant>
      <vt:variant>
        <vt:i4>65628</vt:i4>
      </vt:variant>
      <vt:variant>
        <vt:i4>1056</vt:i4>
      </vt:variant>
      <vt:variant>
        <vt:i4>0</vt:i4>
      </vt:variant>
      <vt:variant>
        <vt:i4>5</vt:i4>
      </vt:variant>
      <vt:variant>
        <vt:lpwstr>http://www.heritagefoundation.ca/</vt:lpwstr>
      </vt:variant>
      <vt:variant>
        <vt:lpwstr/>
      </vt:variant>
      <vt:variant>
        <vt:i4>4128879</vt:i4>
      </vt:variant>
      <vt:variant>
        <vt:i4>1053</vt:i4>
      </vt:variant>
      <vt:variant>
        <vt:i4>0</vt:i4>
      </vt:variant>
      <vt:variant>
        <vt:i4>5</vt:i4>
      </vt:variant>
      <vt:variant>
        <vt:lpwstr>http://www.ethnologie.chaire.ulaval.ca/</vt:lpwstr>
      </vt:variant>
      <vt:variant>
        <vt:lpwstr/>
      </vt:variant>
      <vt:variant>
        <vt:i4>7602238</vt:i4>
      </vt:variant>
      <vt:variant>
        <vt:i4>1050</vt:i4>
      </vt:variant>
      <vt:variant>
        <vt:i4>0</vt:i4>
      </vt:variant>
      <vt:variant>
        <vt:i4>5</vt:i4>
      </vt:variant>
      <vt:variant>
        <vt:lpwstr>http://www.aiatsis.gov.au/</vt:lpwstr>
      </vt:variant>
      <vt:variant>
        <vt:lpwstr/>
      </vt:variant>
      <vt:variant>
        <vt:i4>1245187</vt:i4>
      </vt:variant>
      <vt:variant>
        <vt:i4>1047</vt:i4>
      </vt:variant>
      <vt:variant>
        <vt:i4>0</vt:i4>
      </vt:variant>
      <vt:variant>
        <vt:i4>5</vt:i4>
      </vt:variant>
      <vt:variant>
        <vt:lpwstr>http://www.indiosonline.org.br/novo/</vt:lpwstr>
      </vt:variant>
      <vt:variant>
        <vt:lpwstr/>
      </vt:variant>
      <vt:variant>
        <vt:i4>3211372</vt:i4>
      </vt:variant>
      <vt:variant>
        <vt:i4>1044</vt:i4>
      </vt:variant>
      <vt:variant>
        <vt:i4>0</vt:i4>
      </vt:variant>
      <vt:variant>
        <vt:i4>5</vt:i4>
      </vt:variant>
      <vt:variant>
        <vt:lpwstr>http://www.indiasurabhi.com/indianheritage.html</vt:lpwstr>
      </vt:variant>
      <vt:variant>
        <vt:lpwstr/>
      </vt:variant>
      <vt:variant>
        <vt:i4>5963815</vt:i4>
      </vt:variant>
      <vt:variant>
        <vt:i4>1041</vt:i4>
      </vt:variant>
      <vt:variant>
        <vt:i4>0</vt:i4>
      </vt:variant>
      <vt:variant>
        <vt:i4>5</vt:i4>
      </vt:variant>
      <vt:variant>
        <vt:lpwstr>http://www.accu.ou.jp/ich/en/training/curriculum/curriculum_9.html</vt:lpwstr>
      </vt:variant>
      <vt:variant>
        <vt:lpwstr/>
      </vt:variant>
      <vt:variant>
        <vt:i4>1638451</vt:i4>
      </vt:variant>
      <vt:variant>
        <vt:i4>1038</vt:i4>
      </vt:variant>
      <vt:variant>
        <vt:i4>0</vt:i4>
      </vt:variant>
      <vt:variant>
        <vt:i4>5</vt:i4>
      </vt:variant>
      <vt:variant>
        <vt:lpwstr>http://www.accu.ou.jp/ich/en/training/curriculum/curriculum_7.html</vt:lpwstr>
      </vt:variant>
      <vt:variant>
        <vt:lpwstr>/point4/</vt:lpwstr>
      </vt:variant>
      <vt:variant>
        <vt:i4>4980845</vt:i4>
      </vt:variant>
      <vt:variant>
        <vt:i4>1035</vt:i4>
      </vt:variant>
      <vt:variant>
        <vt:i4>0</vt:i4>
      </vt:variant>
      <vt:variant>
        <vt:i4>5</vt:i4>
      </vt:variant>
      <vt:variant>
        <vt:lpwstr>http://www.accu.ou.jp/ich/en/training/curriculum/second/curriculum_7.html</vt:lpwstr>
      </vt:variant>
      <vt:variant>
        <vt:lpwstr/>
      </vt:variant>
      <vt:variant>
        <vt:i4>3866677</vt:i4>
      </vt:variant>
      <vt:variant>
        <vt:i4>1032</vt:i4>
      </vt:variant>
      <vt:variant>
        <vt:i4>0</vt:i4>
      </vt:variant>
      <vt:variant>
        <vt:i4>5</vt:i4>
      </vt:variant>
      <vt:variant>
        <vt:lpwstr>http://www.unesco.org/culture/ich/index.php?lg=en&amp;pg=00061</vt:lpwstr>
      </vt:variant>
      <vt:variant>
        <vt:lpwstr/>
      </vt:variant>
      <vt:variant>
        <vt:i4>7340093</vt:i4>
      </vt:variant>
      <vt:variant>
        <vt:i4>1029</vt:i4>
      </vt:variant>
      <vt:variant>
        <vt:i4>0</vt:i4>
      </vt:variant>
      <vt:variant>
        <vt:i4>5</vt:i4>
      </vt:variant>
      <vt:variant>
        <vt:lpwstr>http://www.unesco.org/culture/ich/doc/src/00031-EN.pdf</vt:lpwstr>
      </vt:variant>
      <vt:variant>
        <vt:lpwstr/>
      </vt:variant>
      <vt:variant>
        <vt:i4>8192038</vt:i4>
      </vt:variant>
      <vt:variant>
        <vt:i4>1026</vt:i4>
      </vt:variant>
      <vt:variant>
        <vt:i4>0</vt:i4>
      </vt:variant>
      <vt:variant>
        <vt:i4>5</vt:i4>
      </vt:variant>
      <vt:variant>
        <vt:lpwstr>http://portal.unesco.org/en/ev.php-URL_ID=13141&amp;URL_DO=DO_TOPIC&amp;URL_SECTION=201.html</vt:lpwstr>
      </vt:variant>
      <vt:variant>
        <vt:lpwstr/>
      </vt:variant>
      <vt:variant>
        <vt:i4>8126503</vt:i4>
      </vt:variant>
      <vt:variant>
        <vt:i4>1023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6553663</vt:i4>
      </vt:variant>
      <vt:variant>
        <vt:i4>1020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1017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3932209</vt:i4>
      </vt:variant>
      <vt:variant>
        <vt:i4>1014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1114181</vt:i4>
      </vt:variant>
      <vt:variant>
        <vt:i4>1011</vt:i4>
      </vt:variant>
      <vt:variant>
        <vt:i4>0</vt:i4>
      </vt:variant>
      <vt:variant>
        <vt:i4>5</vt:i4>
      </vt:variant>
      <vt:variant>
        <vt:lpwstr>http://www.unesco.org/culture/ich/index.php?lg=enHYPERLINK%20</vt:lpwstr>
      </vt:variant>
      <vt:variant>
        <vt:lpwstr/>
      </vt:variant>
      <vt:variant>
        <vt:i4>3276849</vt:i4>
      </vt:variant>
      <vt:variant>
        <vt:i4>1008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3276851</vt:i4>
      </vt:variant>
      <vt:variant>
        <vt:i4>1005</vt:i4>
      </vt:variant>
      <vt:variant>
        <vt:i4>0</vt:i4>
      </vt:variant>
      <vt:variant>
        <vt:i4>5</vt:i4>
      </vt:variant>
      <vt:variant>
        <vt:lpwstr>http://www.unesco.org/culture/ich/index.php?lg=en&amp;pg=00008</vt:lpwstr>
      </vt:variant>
      <vt:variant>
        <vt:lpwstr/>
      </vt:variant>
      <vt:variant>
        <vt:i4>720987</vt:i4>
      </vt:variant>
      <vt:variant>
        <vt:i4>1002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999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3080241</vt:i4>
      </vt:variant>
      <vt:variant>
        <vt:i4>996</vt:i4>
      </vt:variant>
      <vt:variant>
        <vt:i4>0</vt:i4>
      </vt:variant>
      <vt:variant>
        <vt:i4>5</vt:i4>
      </vt:variant>
      <vt:variant>
        <vt:lpwstr>http://whc.unesco.org/archive/global94.htm</vt:lpwstr>
      </vt:variant>
      <vt:variant>
        <vt:lpwstr/>
      </vt:variant>
      <vt:variant>
        <vt:i4>4653078</vt:i4>
      </vt:variant>
      <vt:variant>
        <vt:i4>993</vt:i4>
      </vt:variant>
      <vt:variant>
        <vt:i4>0</vt:i4>
      </vt:variant>
      <vt:variant>
        <vt:i4>5</vt:i4>
      </vt:variant>
      <vt:variant>
        <vt:lpwstr>http://whc.unesco.org/archive/site Webs/venice2002/edito.htm</vt:lpwstr>
      </vt:variant>
      <vt:variant>
        <vt:lpwstr/>
      </vt:variant>
      <vt:variant>
        <vt:i4>4063356</vt:i4>
      </vt:variant>
      <vt:variant>
        <vt:i4>990</vt:i4>
      </vt:variant>
      <vt:variant>
        <vt:i4>0</vt:i4>
      </vt:variant>
      <vt:variant>
        <vt:i4>5</vt:i4>
      </vt:variant>
      <vt:variant>
        <vt:lpwstr>http://whc.unesco.org/en/statesparties/</vt:lpwstr>
      </vt:variant>
      <vt:variant>
        <vt:lpwstr/>
      </vt:variant>
      <vt:variant>
        <vt:i4>3342387</vt:i4>
      </vt:variant>
      <vt:variant>
        <vt:i4>987</vt:i4>
      </vt:variant>
      <vt:variant>
        <vt:i4>0</vt:i4>
      </vt:variant>
      <vt:variant>
        <vt:i4>5</vt:i4>
      </vt:variant>
      <vt:variant>
        <vt:lpwstr>http://www.unesco.org/culture/ich/index.php?lg=en&amp;pg=00009</vt:lpwstr>
      </vt:variant>
      <vt:variant>
        <vt:lpwstr/>
      </vt:variant>
      <vt:variant>
        <vt:i4>4718623</vt:i4>
      </vt:variant>
      <vt:variant>
        <vt:i4>984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4718623</vt:i4>
      </vt:variant>
      <vt:variant>
        <vt:i4>981</vt:i4>
      </vt:variant>
      <vt:variant>
        <vt:i4>0</vt:i4>
      </vt:variant>
      <vt:variant>
        <vt:i4>5</vt:i4>
      </vt:variant>
      <vt:variant>
        <vt:lpwstr>http://www.unesco.org/culture/ich/fr/formulaires/</vt:lpwstr>
      </vt:variant>
      <vt:variant>
        <vt:lpwstr/>
      </vt:variant>
      <vt:variant>
        <vt:i4>3866674</vt:i4>
      </vt:variant>
      <vt:variant>
        <vt:i4>978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6750307</vt:i4>
      </vt:variant>
      <vt:variant>
        <vt:i4>975</vt:i4>
      </vt:variant>
      <vt:variant>
        <vt:i4>0</vt:i4>
      </vt:variant>
      <vt:variant>
        <vt:i4>5</vt:i4>
      </vt:variant>
      <vt:variant>
        <vt:lpwstr>http://www.wipo.int/tk/en/culturalheritage/surveys.html</vt:lpwstr>
      </vt:variant>
      <vt:variant>
        <vt:lpwstr/>
      </vt:variant>
      <vt:variant>
        <vt:i4>655363</vt:i4>
      </vt:variant>
      <vt:variant>
        <vt:i4>972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6225994</vt:i4>
      </vt:variant>
      <vt:variant>
        <vt:i4>969</vt:i4>
      </vt:variant>
      <vt:variant>
        <vt:i4>0</vt:i4>
      </vt:variant>
      <vt:variant>
        <vt:i4>5</vt:i4>
      </vt:variant>
      <vt:variant>
        <vt:lpwstr>http://www.accu.ou.jp/ich/en/pdf/2ndworkshop.pdf</vt:lpwstr>
      </vt:variant>
      <vt:variant>
        <vt:lpwstr/>
      </vt:variant>
      <vt:variant>
        <vt:i4>1376265</vt:i4>
      </vt:variant>
      <vt:variant>
        <vt:i4>966</vt:i4>
      </vt:variant>
      <vt:variant>
        <vt:i4>0</vt:i4>
      </vt:variant>
      <vt:variant>
        <vt:i4>5</vt:i4>
      </vt:variant>
      <vt:variant>
        <vt:lpwstr>http://www.unesco.org/culture/ich/index.php?RL=00171</vt:lpwstr>
      </vt:variant>
      <vt:variant>
        <vt:lpwstr/>
      </vt:variant>
      <vt:variant>
        <vt:i4>3670064</vt:i4>
      </vt:variant>
      <vt:variant>
        <vt:i4>963</vt:i4>
      </vt:variant>
      <vt:variant>
        <vt:i4>0</vt:i4>
      </vt:variant>
      <vt:variant>
        <vt:i4>5</vt:i4>
      </vt:variant>
      <vt:variant>
        <vt:lpwstr>http://www.unesco.org/culture/ich/index.php?lg=en&amp;pg=00331</vt:lpwstr>
      </vt:variant>
      <vt:variant>
        <vt:lpwstr/>
      </vt:variant>
      <vt:variant>
        <vt:i4>3932209</vt:i4>
      </vt:variant>
      <vt:variant>
        <vt:i4>960</vt:i4>
      </vt:variant>
      <vt:variant>
        <vt:i4>0</vt:i4>
      </vt:variant>
      <vt:variant>
        <vt:i4>5</vt:i4>
      </vt:variant>
      <vt:variant>
        <vt:lpwstr>http://www.unesco.org/culture/ich/index.php?lg=en&amp;pg=00026</vt:lpwstr>
      </vt:variant>
      <vt:variant>
        <vt:lpwstr/>
      </vt:variant>
      <vt:variant>
        <vt:i4>3276849</vt:i4>
      </vt:variant>
      <vt:variant>
        <vt:i4>957</vt:i4>
      </vt:variant>
      <vt:variant>
        <vt:i4>0</vt:i4>
      </vt:variant>
      <vt:variant>
        <vt:i4>5</vt:i4>
      </vt:variant>
      <vt:variant>
        <vt:lpwstr>http://www.unesco.org/culture/ich/index.php?lg=en&amp;pg=00028</vt:lpwstr>
      </vt:variant>
      <vt:variant>
        <vt:lpwstr/>
      </vt:variant>
      <vt:variant>
        <vt:i4>4128818</vt:i4>
      </vt:variant>
      <vt:variant>
        <vt:i4>954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8061039</vt:i4>
      </vt:variant>
      <vt:variant>
        <vt:i4>951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1376275</vt:i4>
      </vt:variant>
      <vt:variant>
        <vt:i4>948</vt:i4>
      </vt:variant>
      <vt:variant>
        <vt:i4>0</vt:i4>
      </vt:variant>
      <vt:variant>
        <vt:i4>5</vt:i4>
      </vt:variant>
      <vt:variant>
        <vt:lpwstr>http://www.accu.ou.jp/ich/en/</vt:lpwstr>
      </vt:variant>
      <vt:variant>
        <vt:lpwstr/>
      </vt:variant>
      <vt:variant>
        <vt:i4>2556025</vt:i4>
      </vt:variant>
      <vt:variant>
        <vt:i4>945</vt:i4>
      </vt:variant>
      <vt:variant>
        <vt:i4>0</vt:i4>
      </vt:variant>
      <vt:variant>
        <vt:i4>5</vt:i4>
      </vt:variant>
      <vt:variant>
        <vt:lpwstr>http://www.ichcap.org/en/ichcap/ich.jsp</vt:lpwstr>
      </vt:variant>
      <vt:variant>
        <vt:lpwstr/>
      </vt:variant>
      <vt:variant>
        <vt:i4>8323177</vt:i4>
      </vt:variant>
      <vt:variant>
        <vt:i4>942</vt:i4>
      </vt:variant>
      <vt:variant>
        <vt:i4>0</vt:i4>
      </vt:variant>
      <vt:variant>
        <vt:i4>5</vt:i4>
      </vt:variant>
      <vt:variant>
        <vt:lpwstr>http://www.wipo.int/tk/en/resources</vt:lpwstr>
      </vt:variant>
      <vt:variant>
        <vt:lpwstr/>
      </vt:variant>
      <vt:variant>
        <vt:i4>1769476</vt:i4>
      </vt:variant>
      <vt:variant>
        <vt:i4>939</vt:i4>
      </vt:variant>
      <vt:variant>
        <vt:i4>0</vt:i4>
      </vt:variant>
      <vt:variant>
        <vt:i4>5</vt:i4>
      </vt:variant>
      <vt:variant>
        <vt:lpwstr>http://www.unesco.org/culture/ich/index.php?pg=00184</vt:lpwstr>
      </vt:variant>
      <vt:variant>
        <vt:lpwstr/>
      </vt:variant>
      <vt:variant>
        <vt:i4>3866674</vt:i4>
      </vt:variant>
      <vt:variant>
        <vt:i4>936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/>
      </vt:variant>
      <vt:variant>
        <vt:i4>3276850</vt:i4>
      </vt:variant>
      <vt:variant>
        <vt:i4>933</vt:i4>
      </vt:variant>
      <vt:variant>
        <vt:i4>0</vt:i4>
      </vt:variant>
      <vt:variant>
        <vt:i4>5</vt:i4>
      </vt:variant>
      <vt:variant>
        <vt:lpwstr>http://www.unesco.org/culture/ich/index.php?lg=en&amp;pg=00018</vt:lpwstr>
      </vt:variant>
      <vt:variant>
        <vt:lpwstr/>
      </vt:variant>
      <vt:variant>
        <vt:i4>524288</vt:i4>
      </vt:variant>
      <vt:variant>
        <vt:i4>930</vt:i4>
      </vt:variant>
      <vt:variant>
        <vt:i4>0</vt:i4>
      </vt:variant>
      <vt:variant>
        <vt:i4>5</vt:i4>
      </vt:variant>
      <vt:variant>
        <vt:lpwstr>http://www.unesco.org/culture/ich/index.php?lg=en&amp;pg=331</vt:lpwstr>
      </vt:variant>
      <vt:variant>
        <vt:lpwstr/>
      </vt:variant>
      <vt:variant>
        <vt:i4>4128818</vt:i4>
      </vt:variant>
      <vt:variant>
        <vt:i4>927</vt:i4>
      </vt:variant>
      <vt:variant>
        <vt:i4>0</vt:i4>
      </vt:variant>
      <vt:variant>
        <vt:i4>5</vt:i4>
      </vt:variant>
      <vt:variant>
        <vt:lpwstr>http://www.unesco.org/culture/ich/index.php?lg=en&amp;pg=00015</vt:lpwstr>
      </vt:variant>
      <vt:variant>
        <vt:lpwstr/>
      </vt:variant>
      <vt:variant>
        <vt:i4>3735603</vt:i4>
      </vt:variant>
      <vt:variant>
        <vt:i4>924</vt:i4>
      </vt:variant>
      <vt:variant>
        <vt:i4>0</vt:i4>
      </vt:variant>
      <vt:variant>
        <vt:i4>5</vt:i4>
      </vt:variant>
      <vt:variant>
        <vt:lpwstr>http://www.unesco.org/culture/ich/index.php?lg=en&amp;pg=00102</vt:lpwstr>
      </vt:variant>
      <vt:variant>
        <vt:lpwstr/>
      </vt:variant>
      <vt:variant>
        <vt:i4>7733297</vt:i4>
      </vt:variant>
      <vt:variant>
        <vt:i4>921</vt:i4>
      </vt:variant>
      <vt:variant>
        <vt:i4>0</vt:i4>
      </vt:variant>
      <vt:variant>
        <vt:i4>5</vt:i4>
      </vt:variant>
      <vt:variant>
        <vt:lpwstr>http://www.unesco.org/culture/ich/index.php</vt:lpwstr>
      </vt:variant>
      <vt:variant>
        <vt:lpwstr/>
      </vt:variant>
      <vt:variant>
        <vt:i4>2556014</vt:i4>
      </vt:variant>
      <vt:variant>
        <vt:i4>99</vt:i4>
      </vt:variant>
      <vt:variant>
        <vt:i4>0</vt:i4>
      </vt:variant>
      <vt:variant>
        <vt:i4>5</vt:i4>
      </vt:variant>
      <vt:variant>
        <vt:lpwstr>http://whc.unesco.org/archive/2011/whc11-35com-20f.pdf</vt:lpwstr>
      </vt:variant>
      <vt:variant>
        <vt:lpwstr/>
      </vt:variant>
      <vt:variant>
        <vt:i4>5963884</vt:i4>
      </vt:variant>
      <vt:variant>
        <vt:i4>96</vt:i4>
      </vt:variant>
      <vt:variant>
        <vt:i4>0</vt:i4>
      </vt:variant>
      <vt:variant>
        <vt:i4>5</vt:i4>
      </vt:variant>
      <vt:variant>
        <vt:lpwstr>http://whc.unesco.org/fr/decisions/?id_decision=1784&amp;</vt:lpwstr>
      </vt:variant>
      <vt:variant>
        <vt:lpwstr/>
      </vt:variant>
      <vt:variant>
        <vt:i4>5963885</vt:i4>
      </vt:variant>
      <vt:variant>
        <vt:i4>93</vt:i4>
      </vt:variant>
      <vt:variant>
        <vt:i4>0</vt:i4>
      </vt:variant>
      <vt:variant>
        <vt:i4>5</vt:i4>
      </vt:variant>
      <vt:variant>
        <vt:lpwstr>http://whc.unesco.org/fr/decisions/?id_decision=1596&amp;</vt:lpwstr>
      </vt:variant>
      <vt:variant>
        <vt:lpwstr/>
      </vt:variant>
      <vt:variant>
        <vt:i4>2621487</vt:i4>
      </vt:variant>
      <vt:variant>
        <vt:i4>90</vt:i4>
      </vt:variant>
      <vt:variant>
        <vt:i4>0</vt:i4>
      </vt:variant>
      <vt:variant>
        <vt:i4>5</vt:i4>
      </vt:variant>
      <vt:variant>
        <vt:lpwstr>http://whc.unesco.org/archive/repcom01.htm</vt:lpwstr>
      </vt:variant>
      <vt:variant>
        <vt:lpwstr>riceterraces</vt:lpwstr>
      </vt:variant>
      <vt:variant>
        <vt:i4>5177430</vt:i4>
      </vt:variant>
      <vt:variant>
        <vt:i4>87</vt:i4>
      </vt:variant>
      <vt:variant>
        <vt:i4>0</vt:i4>
      </vt:variant>
      <vt:variant>
        <vt:i4>5</vt:i4>
      </vt:variant>
      <vt:variant>
        <vt:lpwstr>http://whc.unesco.org/fr/list/722</vt:lpwstr>
      </vt:variant>
      <vt:variant>
        <vt:lpwstr/>
      </vt:variant>
      <vt:variant>
        <vt:i4>8257606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http://www.wipo.int/export/sites/www/tk/en/culturalheritage/casestudies/hopi_protocols.pdf</vt:lpwstr>
      </vt:variant>
      <vt:variant>
        <vt:lpwstr/>
      </vt:variant>
      <vt:variant>
        <vt:i4>655428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http://www.wipo.int/export/sites/www/tk/en/culturalheritage/casestudies/arantes_report_vol1.pdf</vt:lpwstr>
      </vt:variant>
      <vt:variant>
        <vt:lpwstr/>
      </vt:variant>
      <vt:variant>
        <vt:i4>8061052</vt:i4>
      </vt:variant>
      <vt:variant>
        <vt:i4>78</vt:i4>
      </vt:variant>
      <vt:variant>
        <vt:i4>0</vt:i4>
      </vt:variant>
      <vt:variant>
        <vt:i4>5</vt:i4>
      </vt:variant>
      <vt:variant>
        <vt:lpwstr>http://news.tangatawhenua.com/archives/5166</vt:lpwstr>
      </vt:variant>
      <vt:variant>
        <vt:lpwstr/>
      </vt:variant>
      <vt:variant>
        <vt:i4>24248333</vt:i4>
      </vt:variant>
      <vt:variant>
        <vt:i4>75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3145783</vt:i4>
      </vt:variant>
      <vt:variant>
        <vt:i4>72</vt:i4>
      </vt:variant>
      <vt:variant>
        <vt:i4>0</vt:i4>
      </vt:variant>
      <vt:variant>
        <vt:i4>5</vt:i4>
      </vt:variant>
      <vt:variant>
        <vt:lpwstr>http://www.toiiho.com/</vt:lpwstr>
      </vt:variant>
      <vt:variant>
        <vt:lpwstr/>
      </vt:variant>
      <vt:variant>
        <vt:i4>24248333</vt:i4>
      </vt:variant>
      <vt:variant>
        <vt:i4>69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24248333</vt:i4>
      </vt:variant>
      <vt:variant>
        <vt:i4>66</vt:i4>
      </vt:variant>
      <vt:variant>
        <vt:i4>0</vt:i4>
      </vt:variant>
      <vt:variant>
        <vt:i4>5</vt:i4>
      </vt:variant>
      <vt:variant>
        <vt:lpwstr>http://www.newswire.co.nz/2010/02/Māori-save/</vt:lpwstr>
      </vt:variant>
      <vt:variant>
        <vt:lpwstr/>
      </vt:variant>
      <vt:variant>
        <vt:i4>2818103</vt:i4>
      </vt:variant>
      <vt:variant>
        <vt:i4>63</vt:i4>
      </vt:variant>
      <vt:variant>
        <vt:i4>0</vt:i4>
      </vt:variant>
      <vt:variant>
        <vt:i4>5</vt:i4>
      </vt:variant>
      <vt:variant>
        <vt:lpwstr>http://faolex.fao.org/docs/pdf/saf85909.pdf</vt:lpwstr>
      </vt:variant>
      <vt:variant>
        <vt:lpwstr/>
      </vt:variant>
      <vt:variant>
        <vt:i4>7667816</vt:i4>
      </vt:variant>
      <vt:variant>
        <vt:i4>60</vt:i4>
      </vt:variant>
      <vt:variant>
        <vt:i4>0</vt:i4>
      </vt:variant>
      <vt:variant>
        <vt:i4>5</vt:i4>
      </vt:variant>
      <vt:variant>
        <vt:lpwstr>http://www.ipo.org.za/IPO_docs/archive_2010/Intellectual Property Laws Amendment Bill.pdf</vt:lpwstr>
      </vt:variant>
      <vt:variant>
        <vt:lpwstr/>
      </vt:variant>
      <vt:variant>
        <vt:i4>3145760</vt:i4>
      </vt:variant>
      <vt:variant>
        <vt:i4>57</vt:i4>
      </vt:variant>
      <vt:variant>
        <vt:i4>0</vt:i4>
      </vt:variant>
      <vt:variant>
        <vt:i4>5</vt:i4>
      </vt:variant>
      <vt:variant>
        <vt:lpwstr>http://www.dti.gov.za/ccrd/ip/bill.pdf</vt:lpwstr>
      </vt:variant>
      <vt:variant>
        <vt:lpwstr/>
      </vt:variant>
      <vt:variant>
        <vt:i4>1114121</vt:i4>
      </vt:variant>
      <vt:variant>
        <vt:i4>54</vt:i4>
      </vt:variant>
      <vt:variant>
        <vt:i4>0</vt:i4>
      </vt:variant>
      <vt:variant>
        <vt:i4>5</vt:i4>
      </vt:variant>
      <vt:variant>
        <vt:lpwstr>http://www.unesco.org/culture/ich/index.php?RL=00175</vt:lpwstr>
      </vt:variant>
      <vt:variant>
        <vt:lpwstr/>
      </vt:variant>
      <vt:variant>
        <vt:i4>7078007</vt:i4>
      </vt:variant>
      <vt:variant>
        <vt:i4>51</vt:i4>
      </vt:variant>
      <vt:variant>
        <vt:i4>0</vt:i4>
      </vt:variant>
      <vt:variant>
        <vt:i4>5</vt:i4>
      </vt:variant>
      <vt:variant>
        <vt:lpwstr>http://tradecomacpeu.com/resources/files/42/bark-cloth-from-uganda.pdf</vt:lpwstr>
      </vt:variant>
      <vt:variant>
        <vt:lpwstr/>
      </vt:variant>
      <vt:variant>
        <vt:i4>2097234</vt:i4>
      </vt:variant>
      <vt:variant>
        <vt:i4>48</vt:i4>
      </vt:variant>
      <vt:variant>
        <vt:i4>0</vt:i4>
      </vt:variant>
      <vt:variant>
        <vt:i4>5</vt:i4>
      </vt:variant>
      <vt:variant>
        <vt:lpwstr>http://www.equatorinitiative.org/index.php?option=com_content&amp;view=article&amp;id=543%3Aunorcac&amp;catid=107%3Aequator-prize-winners-2008&amp;Itemid=546&amp;lang=en</vt:lpwstr>
      </vt:variant>
      <vt:variant>
        <vt:lpwstr/>
      </vt:variant>
      <vt:variant>
        <vt:i4>3735665</vt:i4>
      </vt:variant>
      <vt:variant>
        <vt:i4>45</vt:i4>
      </vt:variant>
      <vt:variant>
        <vt:i4>0</vt:i4>
      </vt:variant>
      <vt:variant>
        <vt:i4>5</vt:i4>
      </vt:variant>
      <vt:variant>
        <vt:lpwstr>http://www.unorcac.org/</vt:lpwstr>
      </vt:variant>
      <vt:variant>
        <vt:lpwstr/>
      </vt:variant>
      <vt:variant>
        <vt:i4>131156</vt:i4>
      </vt:variant>
      <vt:variant>
        <vt:i4>42</vt:i4>
      </vt:variant>
      <vt:variant>
        <vt:i4>0</vt:i4>
      </vt:variant>
      <vt:variant>
        <vt:i4>5</vt:i4>
      </vt:variant>
      <vt:variant>
        <vt:lpwstr>http://www.agriterra.org/en/text/about-agriterra</vt:lpwstr>
      </vt:variant>
      <vt:variant>
        <vt:lpwstr/>
      </vt:variant>
      <vt:variant>
        <vt:i4>3080247</vt:i4>
      </vt:variant>
      <vt:variant>
        <vt:i4>39</vt:i4>
      </vt:variant>
      <vt:variant>
        <vt:i4>0</vt:i4>
      </vt:variant>
      <vt:variant>
        <vt:i4>5</vt:i4>
      </vt:variant>
      <vt:variant>
        <vt:lpwstr>http://www.runatupari.com/</vt:lpwstr>
      </vt:variant>
      <vt:variant>
        <vt:lpwstr/>
      </vt:variant>
      <vt:variant>
        <vt:i4>2228235</vt:i4>
      </vt:variant>
      <vt:variant>
        <vt:i4>36</vt:i4>
      </vt:variant>
      <vt:variant>
        <vt:i4>0</vt:i4>
      </vt:variant>
      <vt:variant>
        <vt:i4>5</vt:i4>
      </vt:variant>
      <vt:variant>
        <vt:lpwstr>http://www.uclan.ac.uk/schools/school_d_nursing/research_projects/files/health_cpe_genbenefit_hoodia_stakeholders.pdf</vt:lpwstr>
      </vt:variant>
      <vt:variant>
        <vt:lpwstr/>
      </vt:variant>
      <vt:variant>
        <vt:i4>6160441</vt:i4>
      </vt:variant>
      <vt:variant>
        <vt:i4>33</vt:i4>
      </vt:variant>
      <vt:variant>
        <vt:i4>0</vt:i4>
      </vt:variant>
      <vt:variant>
        <vt:i4>5</vt:i4>
      </vt:variant>
      <vt:variant>
        <vt:lpwstr>http://ntww1.csir.co.za/plsql/ptl0002/PTL0002_PGE157_MEDIA_REL?MEDIA_RELEASE_NO=7083643</vt:lpwstr>
      </vt:variant>
      <vt:variant>
        <vt:lpwstr/>
      </vt:variant>
      <vt:variant>
        <vt:i4>6029343</vt:i4>
      </vt:variant>
      <vt:variant>
        <vt:i4>30</vt:i4>
      </vt:variant>
      <vt:variant>
        <vt:i4>0</vt:i4>
      </vt:variant>
      <vt:variant>
        <vt:i4>5</vt:i4>
      </vt:variant>
      <vt:variant>
        <vt:lpwstr>http://travel.kompas.com/read/2010/06/25/19553630/Festival.Ujungberung.Dibuka</vt:lpwstr>
      </vt:variant>
      <vt:variant>
        <vt:lpwstr/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>http://www.klik-galamedia.com/indexedisi.php?id=20100625&amp;wartakode=20100625034442</vt:lpwstr>
      </vt:variant>
      <vt:variant>
        <vt:lpwstr/>
      </vt:variant>
      <vt:variant>
        <vt:i4>7798844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5505104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</vt:lpwstr>
      </vt:variant>
      <vt:variant>
        <vt:lpwstr/>
      </vt:variant>
      <vt:variant>
        <vt:i4>720987</vt:i4>
      </vt:variant>
      <vt:variant>
        <vt:i4>18</vt:i4>
      </vt:variant>
      <vt:variant>
        <vt:i4>0</vt:i4>
      </vt:variant>
      <vt:variant>
        <vt:i4>5</vt:i4>
      </vt:variant>
      <vt:variant>
        <vt:lpwstr>http://whc.unesco.org/fr/list/?action=stat&amp;</vt:lpwstr>
      </vt:variant>
      <vt:variant>
        <vt:lpwstr>s1</vt:lpwstr>
      </vt:variant>
      <vt:variant>
        <vt:i4>1835027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http://www.unesco.org/culture/ich/fr/listes/</vt:lpwstr>
      </vt:variant>
      <vt:variant>
        <vt:lpwstr/>
      </vt:variant>
      <vt:variant>
        <vt:i4>1704004</vt:i4>
      </vt:variant>
      <vt:variant>
        <vt:i4>12</vt:i4>
      </vt:variant>
      <vt:variant>
        <vt:i4>0</vt:i4>
      </vt:variant>
      <vt:variant>
        <vt:i4>5</vt:i4>
      </vt:variant>
      <vt:variant>
        <vt:lpwstr>http://www.un.org/esa/socdev/unpfii/en/drip.html</vt:lpwstr>
      </vt:variant>
      <vt:variant>
        <vt:lpwstr/>
      </vt:variant>
      <vt:variant>
        <vt:i4>5439565</vt:i4>
      </vt:variant>
      <vt:variant>
        <vt:i4>9</vt:i4>
      </vt:variant>
      <vt:variant>
        <vt:i4>0</vt:i4>
      </vt:variant>
      <vt:variant>
        <vt:i4>5</vt:i4>
      </vt:variant>
      <vt:variant>
        <vt:lpwstr>http://www.aapant.org.au/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http://unesdoc.unesco.org/images/0015/001506/150671e.pdf</vt:lpwstr>
      </vt:variant>
      <vt:variant>
        <vt:lpwstr/>
      </vt:variant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http://www.unesco.org/culture/ich/doc/src/01858-EN.pdf</vt:lpwstr>
      </vt:variant>
      <vt:variant>
        <vt:lpwstr/>
      </vt:variant>
      <vt:variant>
        <vt:i4>1114199</vt:i4>
      </vt:variant>
      <vt:variant>
        <vt:i4>0</vt:i4>
      </vt:variant>
      <vt:variant>
        <vt:i4>0</vt:i4>
      </vt:variant>
      <vt:variant>
        <vt:i4>5</vt:i4>
      </vt:variant>
      <vt:variant>
        <vt:lpwstr>http://documents-dds-ny.un.org/doc/UNDOC/GEN/N87/184/67/img/N8718467.pdf?OpenElement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U006-v1.1-PT-FRA.docx</dc:title>
  <dc:creator>FLUFFY</dc:creator>
  <cp:lastModifiedBy>A. Cunningham</cp:lastModifiedBy>
  <cp:revision>7</cp:revision>
  <cp:lastPrinted>2014-07-03T13:02:00Z</cp:lastPrinted>
  <dcterms:created xsi:type="dcterms:W3CDTF">2015-09-23T08:02:00Z</dcterms:created>
  <dcterms:modified xsi:type="dcterms:W3CDTF">2015-09-28T08:42:00Z</dcterms:modified>
</cp:coreProperties>
</file>