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3E" w:rsidRPr="00CC6EA3" w:rsidRDefault="00D55935" w:rsidP="00CC6EA3">
      <w:pPr>
        <w:pStyle w:val="Chapitre"/>
      </w:pPr>
      <w:bookmarkStart w:id="0" w:name="_Toc301443334"/>
      <w:bookmarkStart w:id="1" w:name="_Toc321406978"/>
      <w:bookmarkStart w:id="2" w:name="_Toc354486601"/>
      <w:bookmarkStart w:id="3" w:name="_Toc354486907"/>
      <w:bookmarkStart w:id="4" w:name="_Toc247360173"/>
      <w:bookmarkStart w:id="5" w:name="_GoBack"/>
      <w:bookmarkEnd w:id="5"/>
      <w:r w:rsidRPr="00CC6EA3">
        <w:t xml:space="preserve">UnitÉ </w:t>
      </w:r>
      <w:r w:rsidR="00F317CF" w:rsidRPr="00CC6EA3">
        <w:t>5</w:t>
      </w:r>
    </w:p>
    <w:p w:rsidR="00CC6EA3" w:rsidRPr="00AC271F" w:rsidRDefault="00860C6F" w:rsidP="00CC6EA3">
      <w:pPr>
        <w:pStyle w:val="UPlan"/>
      </w:pPr>
      <w:bookmarkStart w:id="6" w:name="_Toc238963180"/>
      <w:bookmarkStart w:id="7" w:name="_Toc241065066"/>
      <w:r w:rsidRPr="00AC271F">
        <w:t>SENSIBILISER</w:t>
      </w:r>
    </w:p>
    <w:p w:rsidR="00860C6F" w:rsidRPr="00AC271F" w:rsidRDefault="00860C6F" w:rsidP="00CC6EA3">
      <w:pPr>
        <w:pStyle w:val="Titcoul"/>
      </w:pPr>
      <w:r w:rsidRPr="00AC271F">
        <w:t>texte du participant</w:t>
      </w:r>
    </w:p>
    <w:bookmarkEnd w:id="0"/>
    <w:bookmarkEnd w:id="1"/>
    <w:bookmarkEnd w:id="2"/>
    <w:bookmarkEnd w:id="3"/>
    <w:bookmarkEnd w:id="4"/>
    <w:bookmarkEnd w:id="6"/>
    <w:bookmarkEnd w:id="7"/>
    <w:p w:rsidR="004325DC" w:rsidRPr="00AC271F" w:rsidRDefault="008D60AA" w:rsidP="000C41FA">
      <w:pPr>
        <w:pStyle w:val="Sschap"/>
      </w:pPr>
      <w:r w:rsidRPr="00AC271F">
        <w:rPr>
          <w:rFonts w:hint="eastAsia"/>
        </w:rPr>
        <w:t xml:space="preserve">Cette </w:t>
      </w:r>
      <w:r w:rsidR="00074FFC" w:rsidRPr="00AC271F">
        <w:rPr>
          <w:rFonts w:hint="eastAsia"/>
        </w:rPr>
        <w:t>unit</w:t>
      </w:r>
      <w:r w:rsidR="00074FFC" w:rsidRPr="00AC271F">
        <w:t>é</w:t>
      </w:r>
      <w:r w:rsidR="00074FFC" w:rsidRPr="00AC271F">
        <w:rPr>
          <w:rFonts w:hint="eastAsia"/>
        </w:rPr>
        <w:t xml:space="preserve"> </w:t>
      </w:r>
      <w:r w:rsidR="00C10A1F" w:rsidRPr="00AC271F">
        <w:rPr>
          <w:rFonts w:hint="eastAsia"/>
        </w:rPr>
        <w:t>traite de l</w:t>
      </w:r>
      <w:r w:rsidR="00EA5A20" w:rsidRPr="00AC271F">
        <w:t>a</w:t>
      </w:r>
      <w:r w:rsidR="00C10A1F" w:rsidRPr="00AC271F">
        <w:rPr>
          <w:rFonts w:hint="eastAsia"/>
        </w:rPr>
        <w:t xml:space="preserve"> </w:t>
      </w:r>
      <w:r w:rsidR="009D17E0" w:rsidRPr="00AC271F">
        <w:t>sensibilisation au</w:t>
      </w:r>
      <w:r w:rsidR="00C10A1F" w:rsidRPr="00AC271F">
        <w:rPr>
          <w:rFonts w:hint="eastAsia"/>
        </w:rPr>
        <w:t xml:space="preserve"> </w:t>
      </w:r>
      <w:r w:rsidR="004C0123" w:rsidRPr="00AC271F">
        <w:t>patrimoine culturel immatériel (PCI)</w:t>
      </w:r>
      <w:r w:rsidR="00CB741C" w:rsidRPr="00AC271F">
        <w:rPr>
          <w:rFonts w:hint="eastAsia"/>
        </w:rPr>
        <w:t>. Elle</w:t>
      </w:r>
      <w:r w:rsidR="00C10A1F" w:rsidRPr="00AC271F">
        <w:rPr>
          <w:rFonts w:hint="eastAsia"/>
        </w:rPr>
        <w:t xml:space="preserve"> couvre les sujets suivants</w:t>
      </w:r>
      <w:r w:rsidR="00EA1FE1" w:rsidRPr="00AC271F">
        <w:rPr>
          <w:rFonts w:hint="eastAsia"/>
        </w:rPr>
        <w:t> :</w:t>
      </w:r>
    </w:p>
    <w:p w:rsidR="004325DC" w:rsidRPr="00AC271F" w:rsidRDefault="00AF7C55" w:rsidP="00150FFB">
      <w:pPr>
        <w:pStyle w:val="Txtchap"/>
      </w:pPr>
      <w:r w:rsidRPr="00AC271F">
        <w:t>L</w:t>
      </w:r>
      <w:r w:rsidR="00A61E6D" w:rsidRPr="00AC271F">
        <w:t>’</w:t>
      </w:r>
      <w:r w:rsidRPr="00AC271F">
        <w:t xml:space="preserve">objet </w:t>
      </w:r>
      <w:r w:rsidR="00C10A1F" w:rsidRPr="00AC271F">
        <w:t>de l</w:t>
      </w:r>
      <w:r w:rsidR="00EA5A20" w:rsidRPr="00AC271F">
        <w:t>a</w:t>
      </w:r>
      <w:r w:rsidR="00C10A1F" w:rsidRPr="00AC271F">
        <w:t xml:space="preserve"> sensibilisation</w:t>
      </w:r>
      <w:r w:rsidRPr="00AC271F">
        <w:t>.</w:t>
      </w:r>
    </w:p>
    <w:p w:rsidR="004325DC" w:rsidRPr="00AC271F" w:rsidRDefault="00AF7C55" w:rsidP="00150FFB">
      <w:pPr>
        <w:pStyle w:val="Txtchap"/>
      </w:pPr>
      <w:r w:rsidRPr="00AC271F">
        <w:t xml:space="preserve">Comment </w:t>
      </w:r>
      <w:r w:rsidR="00C10A1F" w:rsidRPr="00AC271F">
        <w:t>susciter une prise</w:t>
      </w:r>
      <w:r w:rsidR="00A5274E" w:rsidRPr="00AC271F">
        <w:t xml:space="preserve"> de conscience et sur quels points.</w:t>
      </w:r>
    </w:p>
    <w:p w:rsidR="004325DC" w:rsidRPr="00AC271F" w:rsidRDefault="00AF7C55" w:rsidP="00150FFB">
      <w:pPr>
        <w:pStyle w:val="Txtchap"/>
      </w:pPr>
      <w:r w:rsidRPr="00AC271F">
        <w:t>Qu</w:t>
      </w:r>
      <w:r w:rsidR="00EA5A20" w:rsidRPr="00AC271F">
        <w:t xml:space="preserve">i </w:t>
      </w:r>
      <w:r w:rsidR="00C10A1F" w:rsidRPr="00AC271F">
        <w:t xml:space="preserve">sont </w:t>
      </w:r>
      <w:r w:rsidR="00EA5A20" w:rsidRPr="00AC271F">
        <w:t xml:space="preserve">les </w:t>
      </w:r>
      <w:r w:rsidR="00A5274E" w:rsidRPr="00AC271F">
        <w:t>principa</w:t>
      </w:r>
      <w:r w:rsidR="00A86C43" w:rsidRPr="00AC271F">
        <w:t>ux intervenants</w:t>
      </w:r>
      <w:r w:rsidR="00A5274E" w:rsidRPr="00AC271F">
        <w:t xml:space="preserve"> et les publics </w:t>
      </w:r>
      <w:r w:rsidR="00A03CF1" w:rsidRPr="00AC271F">
        <w:t>touch</w:t>
      </w:r>
      <w:r w:rsidR="00A86C43" w:rsidRPr="00AC271F">
        <w:t>és par l’action de</w:t>
      </w:r>
      <w:r w:rsidR="00C10A1F" w:rsidRPr="00AC271F">
        <w:t xml:space="preserve"> sensibilisation</w:t>
      </w:r>
      <w:r w:rsidR="00EA5A20" w:rsidRPr="00AC271F">
        <w:t>.</w:t>
      </w:r>
    </w:p>
    <w:p w:rsidR="004325DC" w:rsidRPr="00AC271F" w:rsidRDefault="00AF7C55" w:rsidP="00150FFB">
      <w:pPr>
        <w:pStyle w:val="Txtchap"/>
      </w:pPr>
      <w:r w:rsidRPr="00AC271F">
        <w:t xml:space="preserve">Comment </w:t>
      </w:r>
      <w:r w:rsidR="00C10A1F" w:rsidRPr="00AC271F">
        <w:t>éviter les effets néfastes de la sensibilisation</w:t>
      </w:r>
      <w:r w:rsidR="00A5274E" w:rsidRPr="00AC271F">
        <w:t>.</w:t>
      </w:r>
    </w:p>
    <w:p w:rsidR="004325DC" w:rsidRPr="00AC271F" w:rsidRDefault="00C10A1F" w:rsidP="00150FFB">
      <w:pPr>
        <w:pStyle w:val="Chapinfo"/>
      </w:pPr>
      <w:r w:rsidRPr="00AC271F">
        <w:t>Rubriques pertinentes d</w:t>
      </w:r>
      <w:r w:rsidR="00A03CF1" w:rsidRPr="00AC271F">
        <w:t>ans le</w:t>
      </w:r>
      <w:r w:rsidR="00F317CF" w:rsidRPr="00AC271F">
        <w:t xml:space="preserve"> </w:t>
      </w:r>
      <w:r w:rsidR="00646D3D" w:rsidRPr="00AC271F">
        <w:t>Texte du participant</w:t>
      </w:r>
      <w:r w:rsidRPr="00AC271F">
        <w:t xml:space="preserve"> </w:t>
      </w:r>
      <w:r w:rsidR="0096177D" w:rsidRPr="00AC271F">
        <w:t>de l’</w:t>
      </w:r>
      <w:r w:rsidR="0019585B" w:rsidRPr="00AC271F">
        <w:t>Unité</w:t>
      </w:r>
      <w:r w:rsidR="00F317CF" w:rsidRPr="00AC271F">
        <w:t> 3 </w:t>
      </w:r>
      <w:r w:rsidR="00EA1FE1" w:rsidRPr="00AC271F">
        <w:t>:</w:t>
      </w:r>
      <w:r w:rsidR="00043DFF" w:rsidRPr="00AC271F">
        <w:t xml:space="preserve"> « </w:t>
      </w:r>
      <w:r w:rsidRPr="00AC271F">
        <w:t>Sensibilisation</w:t>
      </w:r>
      <w:r w:rsidR="00461004" w:rsidRPr="00AC271F">
        <w:t xml:space="preserve"> », </w:t>
      </w:r>
      <w:r w:rsidR="00043DFF" w:rsidRPr="00AC271F">
        <w:t>« </w:t>
      </w:r>
      <w:r w:rsidRPr="00AC271F">
        <w:t>Décontextualisation</w:t>
      </w:r>
      <w:r w:rsidR="00043DFF" w:rsidRPr="00AC271F">
        <w:t> »</w:t>
      </w:r>
      <w:r w:rsidR="002E5028" w:rsidRPr="00AC271F">
        <w:t xml:space="preserve"> </w:t>
      </w:r>
      <w:r w:rsidRPr="00AC271F">
        <w:t>et</w:t>
      </w:r>
      <w:r w:rsidR="00043DFF" w:rsidRPr="00AC271F">
        <w:t xml:space="preserve"> « </w:t>
      </w:r>
      <w:r w:rsidRPr="00AC271F">
        <w:t>Emblème de la Convention</w:t>
      </w:r>
      <w:r w:rsidR="00461004" w:rsidRPr="00AC271F">
        <w:t> ».</w:t>
      </w:r>
    </w:p>
    <w:p w:rsidR="00347851" w:rsidRPr="00AC271F" w:rsidRDefault="00761C1E" w:rsidP="00150FFB">
      <w:pPr>
        <w:pStyle w:val="Chapinfo"/>
      </w:pPr>
      <w:r w:rsidRPr="00AC271F">
        <w:t xml:space="preserve">On peut </w:t>
      </w:r>
      <w:r w:rsidR="00C22D41" w:rsidRPr="00AC271F">
        <w:t xml:space="preserve">trouver des exemples </w:t>
      </w:r>
      <w:r w:rsidRPr="00AC271F">
        <w:t xml:space="preserve">intéressants </w:t>
      </w:r>
      <w:r w:rsidR="00EE46C3">
        <w:t>pour</w:t>
      </w:r>
      <w:r w:rsidR="00EB7AFA" w:rsidRPr="00AC271F">
        <w:t xml:space="preserve"> illustre</w:t>
      </w:r>
      <w:r w:rsidR="00EE46C3">
        <w:t>r</w:t>
      </w:r>
      <w:r w:rsidR="00EB7AFA" w:rsidRPr="00AC271F">
        <w:t xml:space="preserve"> </w:t>
      </w:r>
      <w:r w:rsidR="00EE46C3">
        <w:t>cette</w:t>
      </w:r>
      <w:r w:rsidR="00C22D41" w:rsidRPr="00AC271F">
        <w:t xml:space="preserve"> unité</w:t>
      </w:r>
      <w:r w:rsidR="00C22D41" w:rsidRPr="00AC271F" w:rsidDel="00D65E8C">
        <w:t xml:space="preserve"> </w:t>
      </w:r>
      <w:r w:rsidR="00F317CF" w:rsidRPr="00AC271F">
        <w:rPr>
          <w:noProof/>
          <w:lang w:val="es-ES_tradnl" w:eastAsia="es-ES_tradnl"/>
        </w:rPr>
        <w:drawing>
          <wp:anchor distT="0" distB="0" distL="114300" distR="114300" simplePos="0" relativeHeight="251825664" behindDoc="1" locked="0" layoutInCell="1" allowOverlap="0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AC271F">
        <w:t xml:space="preserve">dans </w:t>
      </w:r>
      <w:r w:rsidR="00D65E8C" w:rsidRPr="00AC271F">
        <w:t xml:space="preserve">les </w:t>
      </w:r>
      <w:r w:rsidR="00F317CF" w:rsidRPr="00AC271F">
        <w:t xml:space="preserve">Études </w:t>
      </w:r>
      <w:r w:rsidR="00C10A1F" w:rsidRPr="00AC271F">
        <w:t>de cas 2</w:t>
      </w:r>
      <w:r w:rsidRPr="00AC271F">
        <w:t>-</w:t>
      </w:r>
      <w:r w:rsidR="00C10A1F" w:rsidRPr="00AC271F">
        <w:t>5.</w:t>
      </w:r>
    </w:p>
    <w:p w:rsidR="00347851" w:rsidRPr="00AC271F" w:rsidRDefault="00347851">
      <w:pPr>
        <w:keepNext w:val="0"/>
        <w:tabs>
          <w:tab w:val="clear" w:pos="567"/>
        </w:tabs>
        <w:snapToGrid/>
        <w:spacing w:line="240" w:lineRule="auto"/>
        <w:ind w:left="0"/>
        <w:jc w:val="left"/>
        <w:rPr>
          <w:i/>
          <w:iCs/>
          <w:color w:val="3366FF"/>
          <w:sz w:val="24"/>
          <w:szCs w:val="24"/>
        </w:rPr>
      </w:pPr>
      <w:r w:rsidRPr="00AC271F">
        <w:br w:type="page"/>
      </w:r>
    </w:p>
    <w:p w:rsidR="004325DC" w:rsidRPr="00AC271F" w:rsidRDefault="00F317CF" w:rsidP="004A78E2">
      <w:pPr>
        <w:pStyle w:val="Titcoul"/>
        <w:spacing w:before="0"/>
      </w:pPr>
      <w:bookmarkStart w:id="8" w:name="_Toc238963181"/>
      <w:bookmarkStart w:id="9" w:name="_Toc241065067"/>
      <w:bookmarkStart w:id="10" w:name="_Toc301443335"/>
      <w:bookmarkStart w:id="11" w:name="_Toc321406979"/>
      <w:bookmarkStart w:id="12" w:name="_Toc354486602"/>
      <w:bookmarkStart w:id="13" w:name="_Toc354486908"/>
      <w:bookmarkStart w:id="14" w:name="_Toc247360174"/>
      <w:r w:rsidRPr="00AC271F">
        <w:lastRenderedPageBreak/>
        <w:t>5</w:t>
      </w:r>
      <w:r w:rsidR="00C10A1F" w:rsidRPr="00AC271F">
        <w:t>.1</w:t>
      </w:r>
      <w:bookmarkEnd w:id="8"/>
      <w:bookmarkEnd w:id="9"/>
      <w:r w:rsidR="00901A6A" w:rsidRPr="00AC271F">
        <w:tab/>
      </w:r>
      <w:bookmarkStart w:id="15" w:name="_Toc238963182"/>
      <w:bookmarkStart w:id="16" w:name="_Toc241065068"/>
      <w:r w:rsidR="00EB7AFA" w:rsidRPr="00AC271F">
        <w:t xml:space="preserve">objet </w:t>
      </w:r>
      <w:r w:rsidR="004325DC" w:rsidRPr="00AC271F">
        <w:t xml:space="preserve">de </w:t>
      </w:r>
      <w:r w:rsidR="00C10A1F" w:rsidRPr="00AC271F">
        <w:t>l</w:t>
      </w:r>
      <w:r w:rsidR="00EB7AFA" w:rsidRPr="00AC271F">
        <w:t>a</w:t>
      </w:r>
      <w:r w:rsidR="00C10A1F" w:rsidRPr="00AC271F">
        <w:t xml:space="preserve"> sensibilisation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4325DC" w:rsidRPr="00AC271F" w:rsidRDefault="00C10A1F" w:rsidP="00914287">
      <w:pPr>
        <w:pStyle w:val="Texte1"/>
      </w:pPr>
      <w:r w:rsidRPr="00AC271F">
        <w:t>Les politiques et r</w:t>
      </w:r>
      <w:r w:rsidR="00953DB9" w:rsidRPr="00AC271F">
        <w:t>é</w:t>
      </w:r>
      <w:r w:rsidRPr="00AC271F">
        <w:t>glementations relatives au PCI existent dans certains pays depuis les années 1950, surtout dans la région d</w:t>
      </w:r>
      <w:r w:rsidR="00A61E6D" w:rsidRPr="00AC271F">
        <w:t>’</w:t>
      </w:r>
      <w:r w:rsidRPr="00AC271F">
        <w:t>Asie de l</w:t>
      </w:r>
      <w:r w:rsidR="00A61E6D" w:rsidRPr="00AC271F">
        <w:t>’</w:t>
      </w:r>
      <w:r w:rsidRPr="00AC271F">
        <w:t>Est, mais dans beaucoup d</w:t>
      </w:r>
      <w:r w:rsidR="00A61E6D" w:rsidRPr="00AC271F">
        <w:t>’</w:t>
      </w:r>
      <w:r w:rsidRPr="00AC271F">
        <w:t xml:space="preserve">autres pays la prise de conscience du PCI est encore assez faible. Le Préambule de la </w:t>
      </w:r>
      <w:r w:rsidR="004C0123" w:rsidRPr="00AC271F">
        <w:t>Convention pour la sauvegarde du patrimoine culturel immatériel</w:t>
      </w:r>
      <w:r w:rsidR="00A03CF1" w:rsidRPr="00AC271F">
        <w:rPr>
          <w:rStyle w:val="FootnoteReference"/>
          <w:sz w:val="24"/>
        </w:rPr>
        <w:footnoteReference w:id="1"/>
      </w:r>
      <w:r w:rsidR="00EB7AFA" w:rsidRPr="00AC271F">
        <w:t xml:space="preserve"> </w:t>
      </w:r>
      <w:r w:rsidR="00780CF0" w:rsidRPr="00AC271F">
        <w:t>parl</w:t>
      </w:r>
      <w:r w:rsidRPr="00AC271F">
        <w:t xml:space="preserve">e ainsi </w:t>
      </w:r>
      <w:r w:rsidR="00780CF0" w:rsidRPr="00AC271F">
        <w:t>de la</w:t>
      </w:r>
      <w:r w:rsidRPr="00AC271F">
        <w:t xml:space="preserve"> nécess</w:t>
      </w:r>
      <w:r w:rsidR="00780CF0" w:rsidRPr="00AC271F">
        <w:t>ité</w:t>
      </w:r>
      <w:r w:rsidRPr="00AC271F">
        <w:t xml:space="preserve"> de faire davantage prendre conscience d</w:t>
      </w:r>
      <w:r w:rsidR="00780CF0" w:rsidRPr="00AC271F">
        <w:t>e l’importance d</w:t>
      </w:r>
      <w:r w:rsidRPr="00AC271F">
        <w:t xml:space="preserve">u PCI, </w:t>
      </w:r>
      <w:r w:rsidR="00B2049A" w:rsidRPr="00AC271F">
        <w:t>en particulier</w:t>
      </w:r>
      <w:r w:rsidRPr="00AC271F">
        <w:t xml:space="preserve"> parmi les jeunes générations. L</w:t>
      </w:r>
      <w:r w:rsidR="00A61E6D" w:rsidRPr="00AC271F">
        <w:t>’</w:t>
      </w:r>
      <w:r w:rsidRPr="00AC271F">
        <w:t>un des quatre buts de la Convention mentionnés à l</w:t>
      </w:r>
      <w:r w:rsidR="00A61E6D" w:rsidRPr="00AC271F">
        <w:t>’</w:t>
      </w:r>
      <w:r w:rsidR="00043DFF" w:rsidRPr="00AC271F">
        <w:t>article </w:t>
      </w:r>
      <w:r w:rsidRPr="00AC271F">
        <w:t>1 est </w:t>
      </w:r>
      <w:r w:rsidR="00EA1FE1" w:rsidRPr="00AC271F">
        <w:t>:</w:t>
      </w:r>
      <w:r w:rsidR="00043DFF" w:rsidRPr="00AC271F">
        <w:t xml:space="preserve"> « </w:t>
      </w:r>
      <w:r w:rsidRPr="00AC271F">
        <w:t>la sensibilisation aux niveaux local, national et international à l</w:t>
      </w:r>
      <w:r w:rsidR="00A61E6D" w:rsidRPr="00AC271F">
        <w:t>’</w:t>
      </w:r>
      <w:r w:rsidRPr="00AC271F">
        <w:t>importance du patrimoine culturel immatériel et de son appréciation mutuelle</w:t>
      </w:r>
      <w:r w:rsidR="002B0990" w:rsidRPr="00AC271F">
        <w:t> »</w:t>
      </w:r>
      <w:r w:rsidRPr="00AC271F">
        <w:t>.</w:t>
      </w:r>
    </w:p>
    <w:p w:rsidR="004325DC" w:rsidRPr="00AC271F" w:rsidRDefault="00C10A1F" w:rsidP="00914287">
      <w:pPr>
        <w:pStyle w:val="Texte1"/>
      </w:pPr>
      <w:r w:rsidRPr="00AC271F">
        <w:t xml:space="preserve">Il y a aussi un chapitre </w:t>
      </w:r>
      <w:r w:rsidR="00010061" w:rsidRPr="00AC271F">
        <w:t xml:space="preserve">très détaillé </w:t>
      </w:r>
      <w:r w:rsidR="00B76243" w:rsidRPr="00AC271F">
        <w:t>des Directives opérationnelles à ce sujet</w:t>
      </w:r>
      <w:r w:rsidRPr="00AC271F">
        <w:t xml:space="preserve"> (voir </w:t>
      </w:r>
      <w:r w:rsidR="00461004" w:rsidRPr="00AC271F">
        <w:t>DO </w:t>
      </w:r>
      <w:r w:rsidRPr="00AC271F">
        <w:t>100</w:t>
      </w:r>
      <w:r w:rsidR="002E5028" w:rsidRPr="00AC271F">
        <w:t>-</w:t>
      </w:r>
      <w:r w:rsidRPr="00AC271F">
        <w:t>123), qui démontre l</w:t>
      </w:r>
      <w:r w:rsidR="00A61E6D" w:rsidRPr="00AC271F">
        <w:t>’</w:t>
      </w:r>
      <w:r w:rsidRPr="00AC271F">
        <w:t>importance qu</w:t>
      </w:r>
      <w:r w:rsidR="00A61E6D" w:rsidRPr="00AC271F">
        <w:t>’</w:t>
      </w:r>
      <w:r w:rsidRPr="00AC271F">
        <w:t>attachent les Organes de la Convention à l</w:t>
      </w:r>
      <w:r w:rsidR="00A61E6D" w:rsidRPr="00AC271F">
        <w:t>’</w:t>
      </w:r>
      <w:r w:rsidRPr="00AC271F">
        <w:t>action de sensibilisation.</w:t>
      </w:r>
    </w:p>
    <w:p w:rsidR="00C10A1F" w:rsidRPr="00AC271F" w:rsidRDefault="00C10A1F">
      <w:pPr>
        <w:pStyle w:val="Heading4"/>
      </w:pPr>
      <w:bookmarkStart w:id="17" w:name="_Toc247360175"/>
      <w:r w:rsidRPr="00AC271F">
        <w:t>Sauvegarder le PCI</w:t>
      </w:r>
      <w:bookmarkEnd w:id="17"/>
    </w:p>
    <w:p w:rsidR="004325DC" w:rsidRPr="00AC271F" w:rsidRDefault="00F317CF" w:rsidP="00914287">
      <w:pPr>
        <w:pStyle w:val="Texte1"/>
      </w:pPr>
      <w:r w:rsidRPr="00AC271F">
        <w:rPr>
          <w:noProof/>
          <w:lang w:val="es-ES_tradnl" w:eastAsia="es-ES_tradnl"/>
        </w:rPr>
        <w:drawing>
          <wp:anchor distT="0" distB="0" distL="114300" distR="114300" simplePos="0" relativeHeight="251827712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DB4" w:rsidRPr="00AC271F">
        <w:t>Les gens</w:t>
      </w:r>
      <w:r w:rsidR="00C10A1F" w:rsidRPr="00AC271F">
        <w:t xml:space="preserve"> qui n</w:t>
      </w:r>
      <w:r w:rsidR="00A61E6D" w:rsidRPr="00AC271F">
        <w:t>’</w:t>
      </w:r>
      <w:r w:rsidR="00C10A1F" w:rsidRPr="00AC271F">
        <w:t>ont pas conscience de l</w:t>
      </w:r>
      <w:r w:rsidR="00A61E6D" w:rsidRPr="00AC271F">
        <w:t>’</w:t>
      </w:r>
      <w:r w:rsidR="00125DB4" w:rsidRPr="00AC271F">
        <w:t>importance ni</w:t>
      </w:r>
      <w:r w:rsidR="00C10A1F" w:rsidRPr="00AC271F">
        <w:t xml:space="preserve"> de la fonction du PCI ne v</w:t>
      </w:r>
      <w:r w:rsidR="006F3685" w:rsidRPr="00AC271F">
        <w:t xml:space="preserve">ont </w:t>
      </w:r>
      <w:r w:rsidR="00C10A1F" w:rsidRPr="00AC271F">
        <w:t>pas</w:t>
      </w:r>
      <w:r w:rsidR="006F3685" w:rsidRPr="00AC271F">
        <w:t xml:space="preserve"> voir</w:t>
      </w:r>
      <w:r w:rsidR="00C10A1F" w:rsidRPr="00AC271F">
        <w:t xml:space="preserve"> la nécessité de le sauvegarder, </w:t>
      </w:r>
      <w:r w:rsidR="006F3685" w:rsidRPr="00AC271F">
        <w:t>ce qui est l’</w:t>
      </w:r>
      <w:r w:rsidR="00C10A1F" w:rsidRPr="00AC271F">
        <w:t>objectif</w:t>
      </w:r>
      <w:r w:rsidR="006F3685" w:rsidRPr="00AC271F">
        <w:t xml:space="preserve"> principal de la Convention. L’action de sensibilisation</w:t>
      </w:r>
      <w:r w:rsidR="00C10A1F" w:rsidRPr="00AC271F">
        <w:t xml:space="preserve"> peut </w:t>
      </w:r>
      <w:r w:rsidR="006F3685" w:rsidRPr="00AC271F">
        <w:t xml:space="preserve">les </w:t>
      </w:r>
      <w:r w:rsidR="00C10A1F" w:rsidRPr="00AC271F">
        <w:t>encourager à sauvegarder le PCI de façon générale</w:t>
      </w:r>
      <w:r w:rsidR="006F3685" w:rsidRPr="00AC271F">
        <w:t>, mais</w:t>
      </w:r>
      <w:r w:rsidR="00C10A1F" w:rsidRPr="00AC271F">
        <w:t xml:space="preserve"> </w:t>
      </w:r>
      <w:r w:rsidR="006F3685" w:rsidRPr="00AC271F">
        <w:t xml:space="preserve">aussi </w:t>
      </w:r>
      <w:r w:rsidR="00C10A1F" w:rsidRPr="00AC271F">
        <w:t>à prendre des mesures de sauvegarde d</w:t>
      </w:r>
      <w:r w:rsidR="00A61E6D" w:rsidRPr="00AC271F">
        <w:t>’</w:t>
      </w:r>
      <w:r w:rsidR="00C10A1F" w:rsidRPr="00AC271F">
        <w:t xml:space="preserve">éléments spécifiques de ce patrimoine. Le PCI est le dépositaire de la créativité humaine et des connaissances sur la nature et le fonctionnement des sociétés. </w:t>
      </w:r>
      <w:r w:rsidR="006F3685" w:rsidRPr="00AC271F">
        <w:t xml:space="preserve">Étant </w:t>
      </w:r>
      <w:r w:rsidR="00C10A1F" w:rsidRPr="00AC271F">
        <w:t xml:space="preserve">confrontées à de nouveaux défis suite </w:t>
      </w:r>
      <w:r w:rsidR="00715F9D" w:rsidRPr="00AC271F">
        <w:t xml:space="preserve">aux enjeux que posent des phénomènes tels que </w:t>
      </w:r>
      <w:r w:rsidR="00C10A1F" w:rsidRPr="00AC271F">
        <w:t>le réchauffement planétaire ou l</w:t>
      </w:r>
      <w:r w:rsidR="00A61E6D" w:rsidRPr="00AC271F">
        <w:t>’</w:t>
      </w:r>
      <w:r w:rsidR="00C10A1F" w:rsidRPr="00AC271F">
        <w:t xml:space="preserve">urbanisation rapide, </w:t>
      </w:r>
      <w:r w:rsidR="00715F9D" w:rsidRPr="00AC271F">
        <w:t>les société</w:t>
      </w:r>
      <w:r w:rsidR="00C10A1F" w:rsidRPr="00AC271F">
        <w:t xml:space="preserve">s peuvent avoir besoin des ressources </w:t>
      </w:r>
      <w:r w:rsidR="00715F9D" w:rsidRPr="00AC271F">
        <w:t xml:space="preserve">que représente </w:t>
      </w:r>
      <w:r w:rsidR="00C10A1F" w:rsidRPr="00AC271F">
        <w:t xml:space="preserve">le PCI. La prise de conscience au sein des communautés de la valeur et </w:t>
      </w:r>
      <w:r w:rsidR="00864396" w:rsidRPr="00AC271F">
        <w:t xml:space="preserve">de </w:t>
      </w:r>
      <w:r w:rsidR="00C10A1F" w:rsidRPr="00AC271F">
        <w:t>la fonction de leur PCI peut promouvoir la représentation et la transmission d</w:t>
      </w:r>
      <w:r w:rsidR="00A61E6D" w:rsidRPr="00AC271F">
        <w:t>’</w:t>
      </w:r>
      <w:r w:rsidR="00C10A1F" w:rsidRPr="00AC271F">
        <w:t>éléments spécifiques d</w:t>
      </w:r>
      <w:r w:rsidR="00864396" w:rsidRPr="00AC271F">
        <w:t>e ce patrimoine.</w:t>
      </w:r>
    </w:p>
    <w:p w:rsidR="00C10A1F" w:rsidRPr="00AC271F" w:rsidRDefault="00C10A1F">
      <w:pPr>
        <w:pStyle w:val="Heading4"/>
      </w:pPr>
      <w:bookmarkStart w:id="18" w:name="_Toc247360176"/>
      <w:r w:rsidRPr="00AC271F">
        <w:t>Stimuler le respect mutuel</w:t>
      </w:r>
      <w:bookmarkEnd w:id="18"/>
    </w:p>
    <w:p w:rsidR="004325DC" w:rsidRPr="00AC271F" w:rsidRDefault="00C10A1F" w:rsidP="00914287">
      <w:pPr>
        <w:pStyle w:val="Texte1"/>
      </w:pPr>
      <w:r w:rsidRPr="00AC271F">
        <w:t>La diffusion d</w:t>
      </w:r>
      <w:r w:rsidR="00A61E6D" w:rsidRPr="00AC271F">
        <w:t>’</w:t>
      </w:r>
      <w:r w:rsidRPr="00AC271F">
        <w:t>informations sur le PCI et la plus grande appréciation de sa valeur peuvent aider à favoriser la cohésion sociale et l</w:t>
      </w:r>
      <w:r w:rsidR="00A61E6D" w:rsidRPr="00AC271F">
        <w:t>’</w:t>
      </w:r>
      <w:r w:rsidRPr="00AC271F">
        <w:t>harmonie au sein des communautés</w:t>
      </w:r>
      <w:r w:rsidR="009B6031" w:rsidRPr="00AC271F">
        <w:t>.</w:t>
      </w:r>
      <w:r w:rsidRPr="00AC271F">
        <w:t xml:space="preserve"> </w:t>
      </w:r>
      <w:r w:rsidR="009B6031" w:rsidRPr="00AC271F">
        <w:t>Le fait d’instiller le respect du PCI d’autres communautés et d’autres groupes peut encourager la coexistence pacifique et</w:t>
      </w:r>
      <w:r w:rsidRPr="00AC271F">
        <w:t xml:space="preserve"> le respect mutuel. Entre les groupes et les communautés (même </w:t>
      </w:r>
      <w:r w:rsidR="001B23AD" w:rsidRPr="00AC271F">
        <w:t>à l’intérieur d’un</w:t>
      </w:r>
      <w:r w:rsidRPr="00AC271F">
        <w:t xml:space="preserve"> </w:t>
      </w:r>
      <w:r w:rsidR="00975A7B" w:rsidRPr="00AC271F">
        <w:t xml:space="preserve">seul et </w:t>
      </w:r>
      <w:r w:rsidRPr="00AC271F">
        <w:t>même pays) il peut y avoir des différences notoires dans les valeurs et les aspirations, enracinées dans di</w:t>
      </w:r>
      <w:r w:rsidR="001B23AD" w:rsidRPr="00AC271F">
        <w:t>vers</w:t>
      </w:r>
      <w:r w:rsidRPr="00AC271F">
        <w:t xml:space="preserve">es expériences culturelles et historiques </w:t>
      </w:r>
      <w:r w:rsidR="001B23AD" w:rsidRPr="00AC271F">
        <w:t>qui s’</w:t>
      </w:r>
      <w:r w:rsidRPr="00AC271F">
        <w:t>exprim</w:t>
      </w:r>
      <w:r w:rsidR="001B23AD" w:rsidRPr="00AC271F">
        <w:t>ent</w:t>
      </w:r>
      <w:r w:rsidRPr="00AC271F">
        <w:t xml:space="preserve"> à tr</w:t>
      </w:r>
      <w:r w:rsidR="001B23AD" w:rsidRPr="00AC271F">
        <w:t>avers leur PCI. La Convention se préoccupe non</w:t>
      </w:r>
      <w:r w:rsidRPr="00AC271F">
        <w:t xml:space="preserve"> seulement de célébrer cette diversité culturelle, mais</w:t>
      </w:r>
      <w:r w:rsidR="00072D4D" w:rsidRPr="00AC271F">
        <w:t xml:space="preserve"> elle</w:t>
      </w:r>
      <w:r w:rsidRPr="00AC271F">
        <w:t xml:space="preserve"> </w:t>
      </w:r>
      <w:r w:rsidR="002873F9" w:rsidRPr="00AC271F">
        <w:t>s’efforc</w:t>
      </w:r>
      <w:r w:rsidRPr="00AC271F">
        <w:t>e aussi de réduire le</w:t>
      </w:r>
      <w:r w:rsidR="00072D4D" w:rsidRPr="00AC271F">
        <w:t>s</w:t>
      </w:r>
      <w:r w:rsidRPr="00AC271F">
        <w:t xml:space="preserve"> conflit</w:t>
      </w:r>
      <w:r w:rsidR="00072D4D" w:rsidRPr="00AC271F">
        <w:t>s</w:t>
      </w:r>
      <w:r w:rsidRPr="00AC271F">
        <w:t>. Ce n</w:t>
      </w:r>
      <w:r w:rsidR="00A61E6D" w:rsidRPr="00AC271F">
        <w:t>’</w:t>
      </w:r>
      <w:r w:rsidRPr="00AC271F">
        <w:t xml:space="preserve">est pas toujours chose facile, surtout là où les communautés et les groupes </w:t>
      </w:r>
      <w:r w:rsidR="00072D4D" w:rsidRPr="00AC271F">
        <w:t>s</w:t>
      </w:r>
      <w:r w:rsidR="00975A7B" w:rsidRPr="00AC271F">
        <w:t xml:space="preserve">ont en situation de conflit </w:t>
      </w:r>
      <w:r w:rsidR="002873F9" w:rsidRPr="00AC271F">
        <w:t>parce que</w:t>
      </w:r>
      <w:r w:rsidRPr="00AC271F">
        <w:t xml:space="preserve"> leurs valeurs et </w:t>
      </w:r>
      <w:r w:rsidR="002873F9" w:rsidRPr="00AC271F">
        <w:t xml:space="preserve">leurs </w:t>
      </w:r>
      <w:r w:rsidRPr="00AC271F">
        <w:t xml:space="preserve">aspirations </w:t>
      </w:r>
      <w:r w:rsidR="002873F9" w:rsidRPr="00AC271F">
        <w:t xml:space="preserve">sont </w:t>
      </w:r>
      <w:r w:rsidR="00975A7B" w:rsidRPr="00AC271F">
        <w:t xml:space="preserve">différentes </w:t>
      </w:r>
      <w:r w:rsidRPr="00AC271F">
        <w:t>ou, par exemple, dans des contextes de crise alimentaire ou de migration.</w:t>
      </w:r>
    </w:p>
    <w:p w:rsidR="004325DC" w:rsidRPr="00AC271F" w:rsidRDefault="00F317CF">
      <w:pPr>
        <w:pStyle w:val="Titcoul"/>
      </w:pPr>
      <w:bookmarkStart w:id="19" w:name="_Toc238963183"/>
      <w:bookmarkStart w:id="20" w:name="_Toc241065069"/>
      <w:bookmarkStart w:id="21" w:name="_Toc301443336"/>
      <w:bookmarkStart w:id="22" w:name="_Toc321406980"/>
      <w:bookmarkStart w:id="23" w:name="_Toc354486603"/>
      <w:bookmarkStart w:id="24" w:name="_Toc354486909"/>
      <w:bookmarkStart w:id="25" w:name="_Toc247360177"/>
      <w:r w:rsidRPr="00AC271F">
        <w:lastRenderedPageBreak/>
        <w:t>5</w:t>
      </w:r>
      <w:r w:rsidR="00C10A1F" w:rsidRPr="00AC271F">
        <w:t>.2</w:t>
      </w:r>
      <w:bookmarkEnd w:id="19"/>
      <w:bookmarkEnd w:id="20"/>
      <w:r w:rsidR="00901A6A" w:rsidRPr="00AC271F">
        <w:tab/>
      </w:r>
      <w:bookmarkStart w:id="26" w:name="_Toc238963184"/>
      <w:bookmarkStart w:id="27" w:name="_Toc241065070"/>
      <w:r w:rsidR="00C10A1F" w:rsidRPr="00AC271F">
        <w:t>Conscience de quoi</w:t>
      </w:r>
      <w:bookmarkEnd w:id="21"/>
      <w:bookmarkEnd w:id="22"/>
      <w:bookmarkEnd w:id="23"/>
      <w:bookmarkEnd w:id="24"/>
      <w:r w:rsidR="00953DB9" w:rsidRPr="00AC271F">
        <w:t> ?</w:t>
      </w:r>
      <w:bookmarkEnd w:id="25"/>
      <w:bookmarkEnd w:id="26"/>
      <w:bookmarkEnd w:id="27"/>
    </w:p>
    <w:p w:rsidR="004325DC" w:rsidRPr="00AC271F" w:rsidRDefault="00C10A1F">
      <w:pPr>
        <w:pStyle w:val="Texte1"/>
      </w:pPr>
      <w:r w:rsidRPr="00AC271F">
        <w:t xml:space="preserve">Les principales </w:t>
      </w:r>
      <w:r w:rsidR="00FF1BB6" w:rsidRPr="00AC271F">
        <w:t>parties prenant</w:t>
      </w:r>
      <w:r w:rsidRPr="00AC271F">
        <w:t xml:space="preserve">es et les décideurs qui </w:t>
      </w:r>
      <w:r w:rsidR="00FF1BB6" w:rsidRPr="00AC271F">
        <w:t>s’occup</w:t>
      </w:r>
      <w:r w:rsidRPr="00AC271F">
        <w:t>ent de</w:t>
      </w:r>
      <w:r w:rsidR="00FF1BB6" w:rsidRPr="00AC271F">
        <w:t xml:space="preserve"> questions de patrimoine ou de</w:t>
      </w:r>
      <w:r w:rsidRPr="00AC271F">
        <w:t xml:space="preserve"> politiques de développement, ainsi que le grand public, d</w:t>
      </w:r>
      <w:r w:rsidR="00FF1BB6" w:rsidRPr="00AC271F">
        <w:t>evrai</w:t>
      </w:r>
      <w:r w:rsidRPr="00AC271F">
        <w:t xml:space="preserve">ent </w:t>
      </w:r>
      <w:r w:rsidR="00FF1BB6" w:rsidRPr="00AC271F">
        <w:t xml:space="preserve">non seulement </w:t>
      </w:r>
      <w:r w:rsidRPr="00AC271F">
        <w:t>être informés de l</w:t>
      </w:r>
      <w:r w:rsidR="00A61E6D" w:rsidRPr="00AC271F">
        <w:t>’</w:t>
      </w:r>
      <w:r w:rsidRPr="00AC271F">
        <w:t xml:space="preserve">existence répandue et de la diversité du PCI, de sa fonction et de sa valeur, mais aussi des menaces et des risques pour sa viabilité, la nécessité de </w:t>
      </w:r>
      <w:r w:rsidR="00FF1BB6" w:rsidRPr="00AC271F">
        <w:t>le</w:t>
      </w:r>
      <w:r w:rsidRPr="00AC271F">
        <w:t xml:space="preserve"> sauvegarde</w:t>
      </w:r>
      <w:r w:rsidR="00FF1BB6" w:rsidRPr="00AC271F">
        <w:t>r</w:t>
      </w:r>
      <w:r w:rsidRPr="00AC271F">
        <w:t xml:space="preserve"> et les mesures proposées (ou déjà prises) pour sa sauvegarde. Tou</w:t>
      </w:r>
      <w:r w:rsidR="00FF1BB6" w:rsidRPr="00AC271F">
        <w:t>te</w:t>
      </w:r>
      <w:r w:rsidRPr="00AC271F">
        <w:t xml:space="preserve">s les </w:t>
      </w:r>
      <w:r w:rsidR="00FF1BB6" w:rsidRPr="00AC271F">
        <w:t>parties prenante</w:t>
      </w:r>
      <w:r w:rsidRPr="00AC271F">
        <w:t>s d</w:t>
      </w:r>
      <w:r w:rsidR="003233AC" w:rsidRPr="00AC271F">
        <w:t>evrai</w:t>
      </w:r>
      <w:r w:rsidRPr="00AC271F">
        <w:t>ent être conscient</w:t>
      </w:r>
      <w:r w:rsidR="003233AC" w:rsidRPr="00AC271F">
        <w:t>e</w:t>
      </w:r>
      <w:r w:rsidRPr="00AC271F">
        <w:t>s d</w:t>
      </w:r>
      <w:r w:rsidR="003233AC" w:rsidRPr="00AC271F">
        <w:t>es rôles</w:t>
      </w:r>
      <w:r w:rsidRPr="00AC271F">
        <w:t xml:space="preserve"> des communautés, des groupes et des individus dans la création, la représentation et la transmission de leur PCI.</w:t>
      </w:r>
    </w:p>
    <w:p w:rsidR="004325DC" w:rsidRPr="00AC271F" w:rsidRDefault="00F317CF" w:rsidP="00914287">
      <w:pPr>
        <w:pStyle w:val="Texte1"/>
      </w:pPr>
      <w:r w:rsidRPr="00AC271F">
        <w:rPr>
          <w:noProof/>
          <w:lang w:val="es-ES_tradnl" w:eastAsia="es-ES_tradnl"/>
        </w:rPr>
        <w:drawing>
          <wp:anchor distT="0" distB="0" distL="114300" distR="114300" simplePos="0" relativeHeight="251829760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AC271F">
        <w:t>Tou</w:t>
      </w:r>
      <w:r w:rsidR="003233AC" w:rsidRPr="00AC271F">
        <w:t>te</w:t>
      </w:r>
      <w:r w:rsidR="00C10A1F" w:rsidRPr="00AC271F">
        <w:t xml:space="preserve">s les </w:t>
      </w:r>
      <w:r w:rsidR="003233AC" w:rsidRPr="00AC271F">
        <w:t>parties prenantes de</w:t>
      </w:r>
      <w:r w:rsidR="00C10A1F" w:rsidRPr="00AC271F">
        <w:t>v</w:t>
      </w:r>
      <w:r w:rsidR="003233AC" w:rsidRPr="00AC271F">
        <w:t>rai</w:t>
      </w:r>
      <w:r w:rsidR="00C10A1F" w:rsidRPr="00AC271F">
        <w:t>ent être informé</w:t>
      </w:r>
      <w:r w:rsidR="003233AC" w:rsidRPr="00AC271F">
        <w:t>e</w:t>
      </w:r>
      <w:r w:rsidR="00C10A1F" w:rsidRPr="00AC271F">
        <w:t>s de la Convention et des instruments qu</w:t>
      </w:r>
      <w:r w:rsidR="00A61E6D" w:rsidRPr="00AC271F">
        <w:t>’</w:t>
      </w:r>
      <w:r w:rsidR="00C10A1F" w:rsidRPr="00AC271F">
        <w:t xml:space="preserve">elle met à disposition pour reconnaître, rendre visible et sauvegarder le PCI. </w:t>
      </w:r>
      <w:r w:rsidR="003233AC" w:rsidRPr="00AC271F">
        <w:t>Elle</w:t>
      </w:r>
      <w:r w:rsidR="00C10A1F" w:rsidRPr="00AC271F">
        <w:t>s d</w:t>
      </w:r>
      <w:r w:rsidR="003233AC" w:rsidRPr="00AC271F">
        <w:t>evraie</w:t>
      </w:r>
      <w:r w:rsidR="00C10A1F" w:rsidRPr="00AC271F">
        <w:t xml:space="preserve">nt aussi être </w:t>
      </w:r>
      <w:r w:rsidR="00A20BBC" w:rsidRPr="00AC271F">
        <w:t xml:space="preserve">tenues </w:t>
      </w:r>
      <w:r w:rsidR="00C10A1F" w:rsidRPr="00AC271F">
        <w:t>informé</w:t>
      </w:r>
      <w:r w:rsidR="003233AC" w:rsidRPr="00AC271F">
        <w:t>e</w:t>
      </w:r>
      <w:r w:rsidR="00C10A1F" w:rsidRPr="00AC271F">
        <w:t xml:space="preserve">s de </w:t>
      </w:r>
      <w:r w:rsidR="00A20BBC" w:rsidRPr="00AC271F">
        <w:t xml:space="preserve">la bonne application de </w:t>
      </w:r>
      <w:r w:rsidR="00C10A1F" w:rsidRPr="00AC271F">
        <w:t xml:space="preserve">la Convention, y compris de la nécessité de généraliser </w:t>
      </w:r>
      <w:r w:rsidR="00A20BBC" w:rsidRPr="00AC271F">
        <w:t>la sauvegarde et l</w:t>
      </w:r>
      <w:r w:rsidR="00C10A1F" w:rsidRPr="00AC271F">
        <w:t xml:space="preserve">es </w:t>
      </w:r>
      <w:r w:rsidR="003233AC" w:rsidRPr="00AC271F">
        <w:t>aspects relatif</w:t>
      </w:r>
      <w:r w:rsidR="00C10A1F" w:rsidRPr="00AC271F">
        <w:t>s au PCI dans les stratégies de planification générale.</w:t>
      </w:r>
    </w:p>
    <w:p w:rsidR="004325DC" w:rsidRPr="00AC271F" w:rsidRDefault="00F317CF" w:rsidP="00A75027">
      <w:pPr>
        <w:pStyle w:val="Titcoul"/>
        <w:ind w:left="0" w:firstLine="0"/>
      </w:pPr>
      <w:bookmarkStart w:id="28" w:name="_Toc238963185"/>
      <w:bookmarkStart w:id="29" w:name="_Toc241065071"/>
      <w:bookmarkStart w:id="30" w:name="_Toc301443337"/>
      <w:bookmarkStart w:id="31" w:name="_Toc321406981"/>
      <w:bookmarkStart w:id="32" w:name="_Toc354486604"/>
      <w:bookmarkStart w:id="33" w:name="_Toc354486910"/>
      <w:bookmarkStart w:id="34" w:name="_Toc247360178"/>
      <w:r w:rsidRPr="00AC271F">
        <w:t>5</w:t>
      </w:r>
      <w:r w:rsidR="00C10A1F" w:rsidRPr="00AC271F">
        <w:t>.3</w:t>
      </w:r>
      <w:bookmarkEnd w:id="28"/>
      <w:bookmarkEnd w:id="29"/>
      <w:r w:rsidR="00901A6A" w:rsidRPr="00AC271F">
        <w:tab/>
      </w:r>
      <w:bookmarkStart w:id="35" w:name="_Toc238963186"/>
      <w:bookmarkStart w:id="36" w:name="_Toc241065072"/>
      <w:r w:rsidR="00C10A1F" w:rsidRPr="00AC271F">
        <w:t>Modes de sensibilisation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4325DC" w:rsidRPr="00AC271F" w:rsidRDefault="00C10A1F" w:rsidP="00914287">
      <w:pPr>
        <w:pStyle w:val="Texte1"/>
      </w:pPr>
      <w:r w:rsidRPr="00AC271F">
        <w:t>Di</w:t>
      </w:r>
      <w:r w:rsidR="00F4148A" w:rsidRPr="00AC271F">
        <w:t>fférent</w:t>
      </w:r>
      <w:r w:rsidRPr="00AC271F">
        <w:t>es méthodes de sensibilisation s</w:t>
      </w:r>
      <w:r w:rsidR="00A353E1" w:rsidRPr="00AC271F">
        <w:t>’imposent</w:t>
      </w:r>
      <w:r w:rsidRPr="00AC271F">
        <w:t xml:space="preserve"> da</w:t>
      </w:r>
      <w:r w:rsidR="00F4148A" w:rsidRPr="00AC271F">
        <w:t>ns les différents États (et</w:t>
      </w:r>
      <w:r w:rsidRPr="00AC271F">
        <w:t xml:space="preserve"> les différents </w:t>
      </w:r>
      <w:r w:rsidR="00F059E3" w:rsidRPr="00AC271F">
        <w:t>contextes</w:t>
      </w:r>
      <w:r w:rsidRPr="00AC271F">
        <w:t xml:space="preserve"> à l</w:t>
      </w:r>
      <w:r w:rsidR="00A61E6D" w:rsidRPr="00AC271F">
        <w:t>’</w:t>
      </w:r>
      <w:r w:rsidRPr="00AC271F">
        <w:t xml:space="preserve">intérieur des États) en raison des degrés </w:t>
      </w:r>
      <w:r w:rsidR="00F4148A" w:rsidRPr="00AC271F">
        <w:t>divers</w:t>
      </w:r>
      <w:r w:rsidRPr="00AC271F">
        <w:t xml:space="preserve"> de prise de conscience du PCI et des moyens dispo</w:t>
      </w:r>
      <w:r w:rsidR="00F4148A" w:rsidRPr="00AC271F">
        <w:t>nibles</w:t>
      </w:r>
      <w:r w:rsidRPr="00AC271F">
        <w:t>. Des méthodes de sensibilisation appropriées d</w:t>
      </w:r>
      <w:r w:rsidR="00F4148A" w:rsidRPr="00AC271F">
        <w:t>evraient être choisi</w:t>
      </w:r>
      <w:r w:rsidRPr="00AC271F">
        <w:t xml:space="preserve">es </w:t>
      </w:r>
      <w:r w:rsidR="00F4148A" w:rsidRPr="00AC271F">
        <w:t xml:space="preserve">en fonction de </w:t>
      </w:r>
      <w:r w:rsidRPr="00AC271F">
        <w:t>ces di</w:t>
      </w:r>
      <w:r w:rsidR="00F4148A" w:rsidRPr="00AC271F">
        <w:t>fférente</w:t>
      </w:r>
      <w:r w:rsidRPr="00AC271F">
        <w:t xml:space="preserve">s </w:t>
      </w:r>
      <w:r w:rsidR="00F4148A" w:rsidRPr="00AC271F">
        <w:t>situation</w:t>
      </w:r>
      <w:r w:rsidRPr="00AC271F">
        <w:t>s. Les méthodes possibles consistent à</w:t>
      </w:r>
      <w:r w:rsidR="00EA1FE1" w:rsidRPr="00AC271F">
        <w:t> :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Développer </w:t>
      </w:r>
      <w:r w:rsidR="00C10A1F" w:rsidRPr="00AC271F">
        <w:t xml:space="preserve">des programmes </w:t>
      </w:r>
      <w:r w:rsidR="005F17FA" w:rsidRPr="00AC271F">
        <w:t>sur le</w:t>
      </w:r>
      <w:r w:rsidR="00C10A1F" w:rsidRPr="00AC271F">
        <w:t xml:space="preserve"> PCI pour la radio, la télévision ou la di</w:t>
      </w:r>
      <w:r w:rsidR="00EB0DDE" w:rsidRPr="00AC271F">
        <w:t>ffusion sur</w:t>
      </w:r>
      <w:r w:rsidR="00C10A1F" w:rsidRPr="00AC271F">
        <w:t xml:space="preserve"> Internet</w:t>
      </w:r>
      <w:r w:rsidRPr="00AC271F">
        <w:t>.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Développer </w:t>
      </w:r>
      <w:r w:rsidR="00C10A1F" w:rsidRPr="00AC271F">
        <w:t>des programmes éducatifs sur le PCI</w:t>
      </w:r>
      <w:r w:rsidRPr="00AC271F">
        <w:t>.</w:t>
      </w:r>
    </w:p>
    <w:p w:rsidR="004325DC" w:rsidRPr="00AC271F" w:rsidRDefault="0060489A" w:rsidP="00CC6EA3">
      <w:pPr>
        <w:pStyle w:val="Txtpucegras"/>
        <w:ind w:left="1134"/>
      </w:pPr>
      <w:r w:rsidRPr="00AC271F">
        <w:t xml:space="preserve">Établir </w:t>
      </w:r>
      <w:r w:rsidR="00C10A1F" w:rsidRPr="00AC271F">
        <w:t xml:space="preserve">des réseaux, </w:t>
      </w:r>
      <w:r w:rsidR="000A6331" w:rsidRPr="00AC271F">
        <w:t xml:space="preserve">des </w:t>
      </w:r>
      <w:r w:rsidR="00C10A1F" w:rsidRPr="00AC271F">
        <w:t xml:space="preserve">réunions et </w:t>
      </w:r>
      <w:r w:rsidR="000A6331" w:rsidRPr="00AC271F">
        <w:t xml:space="preserve">des </w:t>
      </w:r>
      <w:r w:rsidR="00C10A1F" w:rsidRPr="00AC271F">
        <w:t>séminaires pour des groupes ciblés</w:t>
      </w:r>
      <w:r w:rsidR="00AF7C55" w:rsidRPr="00AC271F">
        <w:t>.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Faire </w:t>
      </w:r>
      <w:r w:rsidR="00C10A1F" w:rsidRPr="00AC271F">
        <w:t>pression sur les décideurs</w:t>
      </w:r>
      <w:r w:rsidRPr="00AC271F">
        <w:t>.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Présenter </w:t>
      </w:r>
      <w:r w:rsidR="00C10A1F" w:rsidRPr="00AC271F">
        <w:t>des festivals et des événements en rapport avec le PCI</w:t>
      </w:r>
      <w:r w:rsidRPr="00AC271F">
        <w:t>.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Développer </w:t>
      </w:r>
      <w:r w:rsidR="00C10A1F" w:rsidRPr="00AC271F">
        <w:t>des activités commerciales relatives au PCI comme le tourisme</w:t>
      </w:r>
      <w:r w:rsidRPr="00AC271F">
        <w:t>.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Préparer </w:t>
      </w:r>
      <w:r w:rsidR="00C10A1F" w:rsidRPr="00AC271F">
        <w:t>des inventaires du PCI et diffuser des informations sur les éléments inventoriés</w:t>
      </w:r>
      <w:r w:rsidRPr="00AC271F">
        <w:t>.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Proposer </w:t>
      </w:r>
      <w:r w:rsidR="00C10A1F" w:rsidRPr="00AC271F">
        <w:t>d</w:t>
      </w:r>
      <w:r w:rsidR="00A61E6D" w:rsidRPr="00AC271F">
        <w:t>’</w:t>
      </w:r>
      <w:r w:rsidR="00C10A1F" w:rsidRPr="00AC271F">
        <w:t xml:space="preserve">inscrire des éléments du PCI sur les Listes de la </w:t>
      </w:r>
      <w:r w:rsidR="007F315D" w:rsidRPr="00AC271F">
        <w:t>Convention et l</w:t>
      </w:r>
      <w:r w:rsidR="00C10A1F" w:rsidRPr="00AC271F">
        <w:t xml:space="preserve">es </w:t>
      </w:r>
      <w:r w:rsidR="007F315D" w:rsidRPr="00AC271F">
        <w:t xml:space="preserve">meilleures </w:t>
      </w:r>
      <w:r w:rsidR="00C10A1F" w:rsidRPr="00AC271F">
        <w:t xml:space="preserve">pratiques de sauvegarde </w:t>
      </w:r>
      <w:r w:rsidR="007F315D" w:rsidRPr="00AC271F">
        <w:t>au</w:t>
      </w:r>
      <w:r w:rsidR="00C10A1F" w:rsidRPr="00AC271F">
        <w:t xml:space="preserve"> Registre de la Convention</w:t>
      </w:r>
      <w:r w:rsidRPr="00AC271F">
        <w:t>.</w:t>
      </w:r>
    </w:p>
    <w:p w:rsidR="004325DC" w:rsidRPr="00AC271F" w:rsidRDefault="00AF7C55" w:rsidP="00CC6EA3">
      <w:pPr>
        <w:pStyle w:val="Txtpucegras"/>
        <w:ind w:left="1134"/>
      </w:pPr>
      <w:r w:rsidRPr="00AC271F">
        <w:t xml:space="preserve">Développer </w:t>
      </w:r>
      <w:r w:rsidR="00C10A1F" w:rsidRPr="00AC271F">
        <w:t>et faire connaître les politiques en matière de PCI.</w:t>
      </w:r>
    </w:p>
    <w:p w:rsidR="004325DC" w:rsidRPr="00AC271F" w:rsidRDefault="00F317CF" w:rsidP="00914287">
      <w:pPr>
        <w:pStyle w:val="Informations"/>
        <w:rPr>
          <w:lang w:eastAsia="fr-FR"/>
        </w:rPr>
      </w:pPr>
      <w:r w:rsidRPr="00AC271F">
        <w:rPr>
          <w:noProof/>
          <w:lang w:val="es-ES_tradnl" w:eastAsia="es-ES_tradnl"/>
        </w:rPr>
        <w:drawing>
          <wp:anchor distT="0" distB="0" distL="114300" distR="114300" simplePos="0" relativeHeight="251831808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AC271F">
        <w:t>L</w:t>
      </w:r>
      <w:r w:rsidR="00D65E8C" w:rsidRPr="00AC271F">
        <w:t>es É</w:t>
      </w:r>
      <w:r w:rsidR="00C10A1F" w:rsidRPr="00AC271F">
        <w:t>tudes de cas 2</w:t>
      </w:r>
      <w:r w:rsidR="00F0709B" w:rsidRPr="00AC271F">
        <w:t>-</w:t>
      </w:r>
      <w:r w:rsidR="00C10A1F" w:rsidRPr="00AC271F">
        <w:t>5 donne</w:t>
      </w:r>
      <w:r w:rsidR="00074FFC" w:rsidRPr="00AC271F">
        <w:t>nt</w:t>
      </w:r>
      <w:r w:rsidR="007F315D" w:rsidRPr="00AC271F">
        <w:t xml:space="preserve"> des exemples de diver</w:t>
      </w:r>
      <w:r w:rsidR="00C10A1F" w:rsidRPr="00AC271F">
        <w:t>s m</w:t>
      </w:r>
      <w:r w:rsidR="007F315D" w:rsidRPr="00AC271F">
        <w:t>oyen</w:t>
      </w:r>
      <w:r w:rsidR="00C10A1F" w:rsidRPr="00AC271F">
        <w:t xml:space="preserve">s de </w:t>
      </w:r>
      <w:r w:rsidR="007F315D" w:rsidRPr="00AC271F">
        <w:t>sensibilisation au</w:t>
      </w:r>
      <w:r w:rsidR="00C10A1F" w:rsidRPr="00AC271F">
        <w:rPr>
          <w:lang w:eastAsia="fr-FR"/>
        </w:rPr>
        <w:t xml:space="preserve"> PCI</w:t>
      </w:r>
      <w:r w:rsidR="00074FFC" w:rsidRPr="00AC271F">
        <w:rPr>
          <w:lang w:eastAsia="fr-FR"/>
        </w:rPr>
        <w:t>.</w:t>
      </w:r>
    </w:p>
    <w:p w:rsidR="004325DC" w:rsidRPr="00AC271F" w:rsidRDefault="00F317CF">
      <w:pPr>
        <w:pStyle w:val="Titcoul"/>
      </w:pPr>
      <w:bookmarkStart w:id="37" w:name="_Toc238963187"/>
      <w:bookmarkStart w:id="38" w:name="_Toc241065073"/>
      <w:bookmarkStart w:id="39" w:name="_Toc301443338"/>
      <w:bookmarkStart w:id="40" w:name="_Toc321406982"/>
      <w:bookmarkStart w:id="41" w:name="_Toc354486605"/>
      <w:bookmarkStart w:id="42" w:name="_Toc354486911"/>
      <w:bookmarkStart w:id="43" w:name="_Toc247360179"/>
      <w:r w:rsidRPr="00AC271F">
        <w:t>5</w:t>
      </w:r>
      <w:r w:rsidR="00C10A1F" w:rsidRPr="00AC271F">
        <w:t>.4</w:t>
      </w:r>
      <w:bookmarkEnd w:id="37"/>
      <w:bookmarkEnd w:id="38"/>
      <w:r w:rsidR="00901A6A" w:rsidRPr="00AC271F">
        <w:tab/>
      </w:r>
      <w:bookmarkStart w:id="44" w:name="_Toc238963188"/>
      <w:bookmarkStart w:id="45" w:name="_Toc241065074"/>
      <w:r w:rsidR="00C10A1F" w:rsidRPr="00AC271F">
        <w:t xml:space="preserve">Qui </w:t>
      </w:r>
      <w:r w:rsidR="0007620C" w:rsidRPr="00AC271F">
        <w:t xml:space="preserve">sensibilise </w:t>
      </w:r>
      <w:r w:rsidR="00C10A1F" w:rsidRPr="00AC271F">
        <w:t>qui</w:t>
      </w:r>
      <w:bookmarkEnd w:id="39"/>
      <w:bookmarkEnd w:id="40"/>
      <w:bookmarkEnd w:id="41"/>
      <w:bookmarkEnd w:id="42"/>
      <w:r w:rsidR="00953DB9" w:rsidRPr="00AC271F">
        <w:t> ?</w:t>
      </w:r>
      <w:bookmarkEnd w:id="43"/>
      <w:bookmarkEnd w:id="44"/>
      <w:bookmarkEnd w:id="45"/>
    </w:p>
    <w:p w:rsidR="004325DC" w:rsidRPr="00AC271F" w:rsidRDefault="00C10A1F" w:rsidP="00914287">
      <w:pPr>
        <w:pStyle w:val="Texte1"/>
      </w:pPr>
      <w:r w:rsidRPr="00AC271F">
        <w:t>Le Comité (</w:t>
      </w:r>
      <w:r w:rsidR="00461004" w:rsidRPr="00AC271F">
        <w:t>DO </w:t>
      </w:r>
      <w:r w:rsidRPr="00AC271F">
        <w:t>118</w:t>
      </w:r>
      <w:r w:rsidR="002E5028" w:rsidRPr="00AC271F">
        <w:t>-</w:t>
      </w:r>
      <w:r w:rsidRPr="00AC271F">
        <w:t>123) et les États parties (</w:t>
      </w:r>
      <w:r w:rsidR="00043DFF" w:rsidRPr="00AC271F">
        <w:t>articles </w:t>
      </w:r>
      <w:r w:rsidRPr="00AC271F">
        <w:t>13</w:t>
      </w:r>
      <w:r w:rsidR="002E5028" w:rsidRPr="00AC271F">
        <w:t>-</w:t>
      </w:r>
      <w:r w:rsidRPr="00AC271F">
        <w:t>14</w:t>
      </w:r>
      <w:r w:rsidR="00EA1FE1" w:rsidRPr="00AC271F">
        <w:t> ;</w:t>
      </w:r>
      <w:r w:rsidRPr="00AC271F">
        <w:t xml:space="preserve"> </w:t>
      </w:r>
      <w:r w:rsidR="00461004" w:rsidRPr="00AC271F">
        <w:t>DO </w:t>
      </w:r>
      <w:r w:rsidRPr="00AC271F">
        <w:t>100 et 103</w:t>
      </w:r>
      <w:r w:rsidR="002E5028" w:rsidRPr="00AC271F">
        <w:t>-</w:t>
      </w:r>
      <w:r w:rsidRPr="00AC271F">
        <w:t xml:space="preserve">106) assument des responsabilités spécifiques pour veiller à faire prendre conscience du PCI. Dans les </w:t>
      </w:r>
      <w:r w:rsidR="00043DFF" w:rsidRPr="00AC271F">
        <w:t>articles </w:t>
      </w:r>
      <w:r w:rsidRPr="00AC271F">
        <w:t xml:space="preserve">13 et 14, par exemple, les États parties sont encouragés à assurer la </w:t>
      </w:r>
      <w:r w:rsidRPr="00AC271F">
        <w:lastRenderedPageBreak/>
        <w:t xml:space="preserve">promotion et la reconnaissance, le respect et la mise en valeur du PCI sur leur territoire, </w:t>
      </w:r>
      <w:r w:rsidR="00BB366B" w:rsidRPr="00AC271F">
        <w:t>au moyen de</w:t>
      </w:r>
      <w:r w:rsidRPr="00AC271F">
        <w:t xml:space="preserve"> politiques et </w:t>
      </w:r>
      <w:r w:rsidR="00BB366B" w:rsidRPr="00AC271F">
        <w:t>de</w:t>
      </w:r>
      <w:r w:rsidRPr="00AC271F">
        <w:t xml:space="preserve"> programmes éducatifs, de sensibilisation et d</w:t>
      </w:r>
      <w:r w:rsidR="00A61E6D" w:rsidRPr="00AC271F">
        <w:t>’</w:t>
      </w:r>
      <w:r w:rsidRPr="00AC271F">
        <w:t>information.</w:t>
      </w:r>
    </w:p>
    <w:p w:rsidR="004325DC" w:rsidRPr="00AC271F" w:rsidRDefault="00C10A1F" w:rsidP="00914287">
      <w:pPr>
        <w:pStyle w:val="Texte1"/>
      </w:pPr>
      <w:r w:rsidRPr="00AC271F">
        <w:t>D</w:t>
      </w:r>
      <w:r w:rsidR="00A61E6D" w:rsidRPr="00AC271F">
        <w:t>’</w:t>
      </w:r>
      <w:r w:rsidR="005655F1" w:rsidRPr="00AC271F">
        <w:t xml:space="preserve">autres acteurs, organismes et différents types de </w:t>
      </w:r>
      <w:r w:rsidRPr="00AC271F">
        <w:t xml:space="preserve">groupes sont aussi encouragés à </w:t>
      </w:r>
      <w:r w:rsidR="00875BD7" w:rsidRPr="00AC271F">
        <w:t>mener des activités de sensibilisation</w:t>
      </w:r>
      <w:r w:rsidRPr="00AC271F">
        <w:t xml:space="preserve"> et peuvent se voir confier des tâches spécifiques par l</w:t>
      </w:r>
      <w:r w:rsidR="00A61E6D" w:rsidRPr="00AC271F">
        <w:t>’</w:t>
      </w:r>
      <w:r w:rsidRPr="00AC271F">
        <w:t>État partie</w:t>
      </w:r>
      <w:r w:rsidR="00BF27C0" w:rsidRPr="00AC271F">
        <w:t>, comme celle d’</w:t>
      </w:r>
      <w:r w:rsidRPr="00AC271F">
        <w:t>établir des contacts avec</w:t>
      </w:r>
      <w:r w:rsidR="00EA1FE1" w:rsidRPr="00AC271F">
        <w:t> :</w:t>
      </w:r>
    </w:p>
    <w:p w:rsidR="006C3387" w:rsidRPr="00AC271F" w:rsidRDefault="00C10A1F" w:rsidP="00150FFB">
      <w:pPr>
        <w:pStyle w:val="Enutiret"/>
      </w:pPr>
      <w:r w:rsidRPr="00AC271F">
        <w:t>les médias</w:t>
      </w:r>
      <w:r w:rsidR="00EA1FE1" w:rsidRPr="00AC271F">
        <w:t> ;</w:t>
      </w:r>
    </w:p>
    <w:p w:rsidR="006C3387" w:rsidRPr="00AC271F" w:rsidRDefault="00BF27C0" w:rsidP="00150FFB">
      <w:pPr>
        <w:pStyle w:val="Enutiret"/>
      </w:pPr>
      <w:r w:rsidRPr="00AC271F">
        <w:t>d</w:t>
      </w:r>
      <w:r w:rsidR="00C10A1F" w:rsidRPr="00AC271F">
        <w:t>es établissements d</w:t>
      </w:r>
      <w:r w:rsidR="00A61E6D" w:rsidRPr="00AC271F">
        <w:t>’</w:t>
      </w:r>
      <w:r w:rsidR="00C10A1F" w:rsidRPr="00AC271F">
        <w:t>enseignement</w:t>
      </w:r>
      <w:r w:rsidR="00EA1FE1" w:rsidRPr="00AC271F">
        <w:t> ;</w:t>
      </w:r>
    </w:p>
    <w:p w:rsidR="006C3387" w:rsidRPr="00AC271F" w:rsidRDefault="00BF27C0" w:rsidP="00150FFB">
      <w:pPr>
        <w:pStyle w:val="Enutiret"/>
      </w:pPr>
      <w:r w:rsidRPr="00AC271F">
        <w:t>d</w:t>
      </w:r>
      <w:r w:rsidR="00C10A1F" w:rsidRPr="00AC271F">
        <w:t>es centres d</w:t>
      </w:r>
      <w:r w:rsidR="00A61E6D" w:rsidRPr="00AC271F">
        <w:t>’</w:t>
      </w:r>
      <w:r w:rsidR="00C10A1F" w:rsidRPr="00AC271F">
        <w:t xml:space="preserve">expertise, de recherche et de documentation, </w:t>
      </w:r>
      <w:r w:rsidRPr="00AC271F">
        <w:t xml:space="preserve">des </w:t>
      </w:r>
      <w:r w:rsidR="00C10A1F" w:rsidRPr="00AC271F">
        <w:t>musées, etc.</w:t>
      </w:r>
      <w:r w:rsidR="00EA1FE1" w:rsidRPr="00AC271F">
        <w:t> ;</w:t>
      </w:r>
    </w:p>
    <w:p w:rsidR="006C3387" w:rsidRPr="00AC271F" w:rsidRDefault="00BF27C0" w:rsidP="00150FFB">
      <w:pPr>
        <w:pStyle w:val="Enutiret"/>
      </w:pPr>
      <w:r w:rsidRPr="00AC271F">
        <w:t>des ONG, d</w:t>
      </w:r>
      <w:r w:rsidR="00C10A1F" w:rsidRPr="00AC271F">
        <w:t>es mouvements associatifs, etc.</w:t>
      </w:r>
      <w:r w:rsidR="00EA1FE1" w:rsidRPr="00AC271F">
        <w:t> ;</w:t>
      </w:r>
      <w:r w:rsidR="00C10A1F" w:rsidRPr="00AC271F">
        <w:t xml:space="preserve"> et</w:t>
      </w:r>
    </w:p>
    <w:p w:rsidR="006C3387" w:rsidRPr="00AC271F" w:rsidRDefault="00C10A1F" w:rsidP="00150FFB">
      <w:pPr>
        <w:pStyle w:val="Enutiret"/>
      </w:pPr>
      <w:r w:rsidRPr="00AC271F">
        <w:t>les communautés, groupes et individus concernés.</w:t>
      </w:r>
    </w:p>
    <w:p w:rsidR="004325DC" w:rsidRPr="00AC271F" w:rsidRDefault="00C10A1F" w:rsidP="00914287">
      <w:pPr>
        <w:pStyle w:val="Texte1"/>
      </w:pPr>
      <w:r w:rsidRPr="00AC271F">
        <w:t>Les actions de sensibilisation peuvent être orientées vers le grand public ou vers des groupes cibles spécifiques, y compris les communautés concernées (</w:t>
      </w:r>
      <w:r w:rsidR="00461004" w:rsidRPr="00AC271F">
        <w:t>DO </w:t>
      </w:r>
      <w:r w:rsidRPr="00AC271F">
        <w:t>81), les fonctionnaires aux différents niveaux du gouvernement, les chercheurs, les jeunes, etc.</w:t>
      </w:r>
      <w:r w:rsidR="00E44836" w:rsidRPr="00AC271F">
        <w:t>.</w:t>
      </w:r>
    </w:p>
    <w:p w:rsidR="004325DC" w:rsidRPr="00CC6EA3" w:rsidRDefault="00F317CF" w:rsidP="00CC6EA3">
      <w:pPr>
        <w:pStyle w:val="Titcoul"/>
      </w:pPr>
      <w:bookmarkStart w:id="46" w:name="_Toc238963189"/>
      <w:bookmarkStart w:id="47" w:name="_Toc241065075"/>
      <w:bookmarkStart w:id="48" w:name="_Toc301443339"/>
      <w:bookmarkStart w:id="49" w:name="_Toc321406983"/>
      <w:bookmarkStart w:id="50" w:name="_Toc354486606"/>
      <w:bookmarkStart w:id="51" w:name="_Toc354486912"/>
      <w:bookmarkStart w:id="52" w:name="_Toc247360180"/>
      <w:r w:rsidRPr="00CC6EA3">
        <w:t>5.</w:t>
      </w:r>
      <w:r w:rsidR="00C10A1F" w:rsidRPr="00CC6EA3">
        <w:t>5</w:t>
      </w:r>
      <w:bookmarkEnd w:id="46"/>
      <w:bookmarkEnd w:id="47"/>
      <w:r w:rsidR="00901A6A" w:rsidRPr="00CC6EA3">
        <w:tab/>
      </w:r>
      <w:bookmarkStart w:id="53" w:name="_Toc241065076"/>
      <w:bookmarkStart w:id="54" w:name="_Toc238963190"/>
      <w:r w:rsidR="002E5028" w:rsidRPr="00CC6EA3">
        <w:t>R</w:t>
      </w:r>
      <w:r w:rsidR="0060489A" w:rsidRPr="00CC6EA3">
        <w:t>Ô</w:t>
      </w:r>
      <w:r w:rsidR="002E5028" w:rsidRPr="00CC6EA3">
        <w:t>le</w:t>
      </w:r>
      <w:r w:rsidR="00C10A1F" w:rsidRPr="00CC6EA3">
        <w:t xml:space="preserve"> du Comit</w:t>
      </w:r>
      <w:r w:rsidR="00AF7C55" w:rsidRPr="00CC6EA3">
        <w:t>É</w:t>
      </w:r>
      <w:bookmarkEnd w:id="48"/>
      <w:bookmarkEnd w:id="49"/>
      <w:bookmarkEnd w:id="50"/>
      <w:bookmarkEnd w:id="51"/>
      <w:bookmarkEnd w:id="52"/>
      <w:bookmarkEnd w:id="53"/>
      <w:bookmarkEnd w:id="54"/>
    </w:p>
    <w:p w:rsidR="004325DC" w:rsidRPr="00AC271F" w:rsidRDefault="00C10A1F" w:rsidP="00914287">
      <w:pPr>
        <w:pStyle w:val="Texte1"/>
      </w:pPr>
      <w:r w:rsidRPr="00AC271F">
        <w:t xml:space="preserve">Informées par les </w:t>
      </w:r>
      <w:r w:rsidR="00043DFF" w:rsidRPr="00AC271F">
        <w:t>articles </w:t>
      </w:r>
      <w:r w:rsidRPr="00AC271F">
        <w:t>16 et</w:t>
      </w:r>
      <w:r w:rsidR="00953DB9" w:rsidRPr="00AC271F">
        <w:t> </w:t>
      </w:r>
      <w:r w:rsidRPr="00AC271F">
        <w:t>18.3 de la Convention, les Directives opérationnelles (</w:t>
      </w:r>
      <w:r w:rsidR="00461004" w:rsidRPr="00AC271F">
        <w:t>DO </w:t>
      </w:r>
      <w:r w:rsidRPr="00AC271F">
        <w:t xml:space="preserve">118 et 123) demandent </w:t>
      </w:r>
      <w:r w:rsidR="008B3329" w:rsidRPr="00AC271F">
        <w:t xml:space="preserve">en </w:t>
      </w:r>
      <w:r w:rsidRPr="00AC271F">
        <w:t>particuli</w:t>
      </w:r>
      <w:r w:rsidR="008B3329" w:rsidRPr="00AC271F">
        <w:t>er</w:t>
      </w:r>
      <w:r w:rsidRPr="00AC271F">
        <w:t xml:space="preserve"> au Comité intergouvernemental de s</w:t>
      </w:r>
      <w:r w:rsidR="00A61E6D" w:rsidRPr="00AC271F">
        <w:t>’</w:t>
      </w:r>
      <w:r w:rsidRPr="00AC271F">
        <w:t>assurer que l</w:t>
      </w:r>
      <w:r w:rsidR="008B3329" w:rsidRPr="00AC271F">
        <w:t xml:space="preserve">es </w:t>
      </w:r>
      <w:r w:rsidRPr="00AC271F">
        <w:t>information</w:t>
      </w:r>
      <w:r w:rsidR="008B3329" w:rsidRPr="00AC271F">
        <w:t>s</w:t>
      </w:r>
      <w:r w:rsidRPr="00AC271F">
        <w:t xml:space="preserve"> </w:t>
      </w:r>
      <w:r w:rsidR="008B3329" w:rsidRPr="00AC271F">
        <w:t>concernant</w:t>
      </w:r>
      <w:r w:rsidRPr="00AC271F">
        <w:t xml:space="preserve"> le PCI inscrit sur les Listes et les </w:t>
      </w:r>
      <w:r w:rsidR="008B3329" w:rsidRPr="00AC271F">
        <w:t>projets inscrits au R</w:t>
      </w:r>
      <w:r w:rsidRPr="00AC271F">
        <w:t xml:space="preserve">egistre </w:t>
      </w:r>
      <w:r w:rsidR="008B3329" w:rsidRPr="00AC271F">
        <w:t xml:space="preserve">des meilleures pratiques de sauvegarde </w:t>
      </w:r>
      <w:r w:rsidRPr="00AC271F">
        <w:t>de la Convention soi</w:t>
      </w:r>
      <w:r w:rsidR="008B3329" w:rsidRPr="00AC271F">
        <w:t>en</w:t>
      </w:r>
      <w:r w:rsidRPr="00AC271F">
        <w:t>t largement mise</w:t>
      </w:r>
      <w:r w:rsidR="008B3329" w:rsidRPr="00AC271F">
        <w:t>s</w:t>
      </w:r>
      <w:r w:rsidRPr="00AC271F">
        <w:t xml:space="preserve"> à disposition pour des activités de sensibilisation. La raison principale de l</w:t>
      </w:r>
      <w:r w:rsidR="00A61E6D" w:rsidRPr="00AC271F">
        <w:t>’</w:t>
      </w:r>
      <w:r w:rsidRPr="00AC271F">
        <w:t xml:space="preserve">existence de la Liste représentative de la Convention est de faire </w:t>
      </w:r>
      <w:r w:rsidR="00E849E8" w:rsidRPr="00AC271F">
        <w:t xml:space="preserve">davantage </w:t>
      </w:r>
      <w:r w:rsidRPr="00AC271F">
        <w:t>prendre conscience d</w:t>
      </w:r>
      <w:r w:rsidR="00E849E8" w:rsidRPr="00AC271F">
        <w:t>e l’importance d</w:t>
      </w:r>
      <w:r w:rsidRPr="00AC271F">
        <w:t>u PCI et d</w:t>
      </w:r>
      <w:r w:rsidR="00A61E6D" w:rsidRPr="00AC271F">
        <w:t>’</w:t>
      </w:r>
      <w:r w:rsidRPr="00AC271F">
        <w:t>en donner une visibilité.</w:t>
      </w:r>
    </w:p>
    <w:p w:rsidR="004325DC" w:rsidRPr="00AC271F" w:rsidRDefault="00C10A1F" w:rsidP="00914287">
      <w:pPr>
        <w:pStyle w:val="Texte1"/>
      </w:pPr>
      <w:r w:rsidRPr="00AC271F">
        <w:t xml:space="preserve">Le Secrétariat </w:t>
      </w:r>
      <w:r w:rsidR="00580313" w:rsidRPr="00AC271F">
        <w:t xml:space="preserve">est chargé </w:t>
      </w:r>
      <w:r w:rsidRPr="00AC271F">
        <w:t>d</w:t>
      </w:r>
      <w:r w:rsidR="00A61E6D" w:rsidRPr="00AC271F">
        <w:t>’</w:t>
      </w:r>
      <w:r w:rsidRPr="00AC271F">
        <w:t>a</w:t>
      </w:r>
      <w:r w:rsidR="00580313" w:rsidRPr="00AC271F">
        <w:t xml:space="preserve">ssister le Comité </w:t>
      </w:r>
      <w:r w:rsidR="007C618F" w:rsidRPr="00AC271F">
        <w:t>dans l’action</w:t>
      </w:r>
      <w:r w:rsidR="00580313" w:rsidRPr="00AC271F">
        <w:t xml:space="preserve"> de </w:t>
      </w:r>
      <w:r w:rsidRPr="00AC271F">
        <w:t>sensibilis</w:t>
      </w:r>
      <w:r w:rsidR="00580313" w:rsidRPr="00AC271F">
        <w:t>ation</w:t>
      </w:r>
      <w:r w:rsidRPr="00AC271F">
        <w:t xml:space="preserve"> en </w:t>
      </w:r>
      <w:r w:rsidR="00580313" w:rsidRPr="00AC271F">
        <w:t>ten</w:t>
      </w:r>
      <w:r w:rsidRPr="00AC271F">
        <w:t xml:space="preserve">ant </w:t>
      </w:r>
      <w:r w:rsidR="00580313" w:rsidRPr="00AC271F">
        <w:t xml:space="preserve">lieu </w:t>
      </w:r>
      <w:r w:rsidR="007C618F" w:rsidRPr="00AC271F">
        <w:t xml:space="preserve">à la fois </w:t>
      </w:r>
      <w:r w:rsidR="00580313" w:rsidRPr="00AC271F">
        <w:t>de</w:t>
      </w:r>
      <w:r w:rsidRPr="00AC271F">
        <w:t xml:space="preserve"> bureau de centralisation de l</w:t>
      </w:r>
      <w:r w:rsidR="00A61E6D" w:rsidRPr="00AC271F">
        <w:t>’</w:t>
      </w:r>
      <w:r w:rsidRPr="00AC271F">
        <w:t>information et en offrant des possibilités d</w:t>
      </w:r>
      <w:r w:rsidR="00A61E6D" w:rsidRPr="00AC271F">
        <w:t>’</w:t>
      </w:r>
      <w:r w:rsidRPr="00AC271F">
        <w:t>échange d</w:t>
      </w:r>
      <w:r w:rsidR="00A61E6D" w:rsidRPr="00AC271F">
        <w:t>’</w:t>
      </w:r>
      <w:r w:rsidRPr="00AC271F">
        <w:t xml:space="preserve">informations entre les autres parties. Tous les éléments inscrits sur les Listes de la Convention et les pratiques inscrites </w:t>
      </w:r>
      <w:r w:rsidR="006148E6" w:rsidRPr="00AC271F">
        <w:t>au</w:t>
      </w:r>
      <w:r w:rsidRPr="00AC271F">
        <w:t xml:space="preserve"> Registre sont ainsi présentés sur le site Web d</w:t>
      </w:r>
      <w:r w:rsidR="00580313" w:rsidRPr="00AC271F">
        <w:t>u PCI</w:t>
      </w:r>
      <w:r w:rsidR="007C618F" w:rsidRPr="00AC271F">
        <w:t>, mais aussi en</w:t>
      </w:r>
      <w:r w:rsidRPr="00AC271F">
        <w:t xml:space="preserve"> publications </w:t>
      </w:r>
      <w:r w:rsidR="007C618F" w:rsidRPr="00AC271F">
        <w:t>imprimées</w:t>
      </w:r>
      <w:r w:rsidRPr="00AC271F">
        <w:t>.</w:t>
      </w:r>
    </w:p>
    <w:p w:rsidR="004325DC" w:rsidRPr="00AC271F" w:rsidRDefault="00C10A1F" w:rsidP="00914287">
      <w:pPr>
        <w:pStyle w:val="Texte1"/>
      </w:pPr>
      <w:r w:rsidRPr="00AC271F">
        <w:t>Le site Web d</w:t>
      </w:r>
      <w:r w:rsidR="007C618F" w:rsidRPr="00AC271F">
        <w:t>u PCI</w:t>
      </w:r>
      <w:r w:rsidRPr="00AC271F">
        <w:t xml:space="preserve"> et les matériels imprimés préparés par le Secrétariat donnent des ressources utiles </w:t>
      </w:r>
      <w:r w:rsidR="008054A4" w:rsidRPr="00AC271F">
        <w:t>qui permettent aux</w:t>
      </w:r>
      <w:r w:rsidRPr="00AC271F">
        <w:t xml:space="preserve"> autres intervenants, y compris les écoles, les musées, les universités</w:t>
      </w:r>
      <w:r w:rsidR="007C618F" w:rsidRPr="00AC271F">
        <w:t>, les</w:t>
      </w:r>
      <w:r w:rsidRPr="00AC271F">
        <w:t xml:space="preserve"> instituts de recherche,</w:t>
      </w:r>
      <w:r w:rsidR="007C618F" w:rsidRPr="00AC271F">
        <w:t xml:space="preserve"> les ONG</w:t>
      </w:r>
      <w:r w:rsidRPr="00AC271F">
        <w:t xml:space="preserve"> et les médias</w:t>
      </w:r>
      <w:r w:rsidR="008054A4" w:rsidRPr="00AC271F">
        <w:t>, de mener des activités de sensibilisation</w:t>
      </w:r>
      <w:r w:rsidRPr="00AC271F">
        <w:t>.</w:t>
      </w:r>
    </w:p>
    <w:p w:rsidR="004325DC" w:rsidRPr="00AC271F" w:rsidRDefault="00F317CF">
      <w:pPr>
        <w:pStyle w:val="Titcoul"/>
      </w:pPr>
      <w:bookmarkStart w:id="55" w:name="_Toc238963191"/>
      <w:bookmarkStart w:id="56" w:name="_Toc241065077"/>
      <w:bookmarkStart w:id="57" w:name="_Toc301443340"/>
      <w:bookmarkStart w:id="58" w:name="_Toc321406984"/>
      <w:bookmarkStart w:id="59" w:name="_Toc354486607"/>
      <w:bookmarkStart w:id="60" w:name="_Toc354486913"/>
      <w:bookmarkStart w:id="61" w:name="_Toc247360181"/>
      <w:r w:rsidRPr="00AC271F">
        <w:t>5</w:t>
      </w:r>
      <w:r w:rsidR="00C10A1F" w:rsidRPr="00AC271F">
        <w:t>.6</w:t>
      </w:r>
      <w:bookmarkEnd w:id="55"/>
      <w:bookmarkEnd w:id="56"/>
      <w:r w:rsidR="00901A6A" w:rsidRPr="00AC271F">
        <w:tab/>
      </w:r>
      <w:bookmarkStart w:id="62" w:name="_Toc238963192"/>
      <w:bookmarkStart w:id="63" w:name="_Toc241065078"/>
      <w:r w:rsidR="002E5028" w:rsidRPr="00AC271F">
        <w:t>R</w:t>
      </w:r>
      <w:r w:rsidR="0001493B" w:rsidRPr="00AC271F">
        <w:t>Ô</w:t>
      </w:r>
      <w:r w:rsidR="002E5028" w:rsidRPr="00AC271F">
        <w:t>le</w:t>
      </w:r>
      <w:r w:rsidR="00C10A1F" w:rsidRPr="00AC271F">
        <w:t xml:space="preserve"> </w:t>
      </w:r>
      <w:r w:rsidR="002E5028" w:rsidRPr="00AC271F">
        <w:t>des</w:t>
      </w:r>
      <w:r w:rsidR="00C10A1F" w:rsidRPr="00AC271F">
        <w:t xml:space="preserve"> États parties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4325DC" w:rsidRPr="00AC271F" w:rsidRDefault="00C10A1F" w:rsidP="00914287">
      <w:pPr>
        <w:pStyle w:val="Texte1"/>
      </w:pPr>
      <w:r w:rsidRPr="00AC271F">
        <w:t>Il est demandé aux États parties de sensibiliser l</w:t>
      </w:r>
      <w:r w:rsidR="00A61E6D" w:rsidRPr="00AC271F">
        <w:t>’</w:t>
      </w:r>
      <w:r w:rsidRPr="00AC271F">
        <w:t>opinion à l</w:t>
      </w:r>
      <w:r w:rsidR="00A61E6D" w:rsidRPr="00AC271F">
        <w:t>’</w:t>
      </w:r>
      <w:r w:rsidRPr="00AC271F">
        <w:t>importance du PCI, aux dangers qui le guettent et au rôle de sauvegarde des différents acteurs selon la Convention (</w:t>
      </w:r>
      <w:r w:rsidR="00043DFF" w:rsidRPr="00AC271F">
        <w:t>articles </w:t>
      </w:r>
      <w:r w:rsidRPr="00AC271F">
        <w:t>1 et</w:t>
      </w:r>
      <w:r w:rsidR="00953DB9" w:rsidRPr="00AC271F">
        <w:t> </w:t>
      </w:r>
      <w:r w:rsidRPr="00AC271F">
        <w:t>14</w:t>
      </w:r>
      <w:r w:rsidR="00EA1FE1" w:rsidRPr="00AC271F">
        <w:t> ;</w:t>
      </w:r>
      <w:r w:rsidRPr="00AC271F">
        <w:t xml:space="preserve"> </w:t>
      </w:r>
      <w:r w:rsidR="00461004" w:rsidRPr="00AC271F">
        <w:t>DO </w:t>
      </w:r>
      <w:r w:rsidRPr="00AC271F">
        <w:t>100</w:t>
      </w:r>
      <w:r w:rsidR="002E5028" w:rsidRPr="00AC271F">
        <w:t>-</w:t>
      </w:r>
      <w:r w:rsidRPr="00AC271F">
        <w:t xml:space="preserve">107). Les États parties </w:t>
      </w:r>
      <w:r w:rsidR="00C21B5A" w:rsidRPr="00AC271F">
        <w:t>sont tenus de</w:t>
      </w:r>
      <w:r w:rsidRPr="00AC271F">
        <w:t xml:space="preserve"> rendre compte de leurs activités concernant la sensibilisation dans leurs rapports périodiques au Comité (</w:t>
      </w:r>
      <w:r w:rsidR="00043DFF" w:rsidRPr="00AC271F">
        <w:t>article </w:t>
      </w:r>
      <w:r w:rsidRPr="00AC271F">
        <w:t>29).</w:t>
      </w:r>
    </w:p>
    <w:p w:rsidR="004325DC" w:rsidRPr="00AC271F" w:rsidRDefault="00C10A1F" w:rsidP="00914287">
      <w:pPr>
        <w:pStyle w:val="Texte1"/>
      </w:pPr>
      <w:r w:rsidRPr="00AC271F">
        <w:t xml:space="preserve">Un </w:t>
      </w:r>
      <w:r w:rsidR="00F82BC0" w:rsidRPr="00AC271F">
        <w:t>degré de conscience élevé</w:t>
      </w:r>
      <w:r w:rsidRPr="00AC271F">
        <w:t xml:space="preserve"> est </w:t>
      </w:r>
      <w:r w:rsidR="00F82BC0" w:rsidRPr="00AC271F">
        <w:t>exigé d</w:t>
      </w:r>
      <w:r w:rsidRPr="00AC271F">
        <w:t xml:space="preserve">es fonctionnaires qui sont responsables de la mise en œuvre de la Convention. </w:t>
      </w:r>
      <w:r w:rsidR="00F82BC0" w:rsidRPr="00AC271F">
        <w:t>C’est ainsi que</w:t>
      </w:r>
      <w:r w:rsidRPr="00AC271F">
        <w:t xml:space="preserve"> les agents ministériels qui travaillent </w:t>
      </w:r>
      <w:r w:rsidRPr="00AC271F">
        <w:lastRenderedPageBreak/>
        <w:t xml:space="preserve">essentiellement sur le patrimoine matériel </w:t>
      </w:r>
      <w:r w:rsidR="00074C2D" w:rsidRPr="00AC271F">
        <w:t>auront peut-être besoin d’approfondir leurs connaissances sur le PCI, ainsi que les possibilités offertes</w:t>
      </w:r>
      <w:r w:rsidRPr="00AC271F">
        <w:t xml:space="preserve"> et </w:t>
      </w:r>
      <w:r w:rsidR="00074C2D" w:rsidRPr="00AC271F">
        <w:t>les</w:t>
      </w:r>
      <w:r w:rsidRPr="00AC271F">
        <w:t xml:space="preserve"> obligations impos</w:t>
      </w:r>
      <w:r w:rsidR="00074C2D" w:rsidRPr="00AC271F">
        <w:t>ées par</w:t>
      </w:r>
      <w:r w:rsidRPr="00AC271F">
        <w:t xml:space="preserve"> la Convention. Les </w:t>
      </w:r>
      <w:r w:rsidR="00A35687" w:rsidRPr="00AC271F">
        <w:t>responsables</w:t>
      </w:r>
      <w:r w:rsidRPr="00AC271F">
        <w:t xml:space="preserve"> d</w:t>
      </w:r>
      <w:r w:rsidR="00074C2D" w:rsidRPr="00AC271F">
        <w:t>’</w:t>
      </w:r>
      <w:r w:rsidRPr="00AC271F">
        <w:t>autres ministères</w:t>
      </w:r>
      <w:r w:rsidR="00A35687" w:rsidRPr="00AC271F">
        <w:t>,</w:t>
      </w:r>
      <w:r w:rsidRPr="00AC271F">
        <w:t xml:space="preserve"> comme </w:t>
      </w:r>
      <w:r w:rsidR="00A35687" w:rsidRPr="00AC271F">
        <w:t xml:space="preserve">ceux de </w:t>
      </w:r>
      <w:r w:rsidRPr="00AC271F">
        <w:t>l</w:t>
      </w:r>
      <w:r w:rsidR="00A61E6D" w:rsidRPr="00AC271F">
        <w:t>’</w:t>
      </w:r>
      <w:r w:rsidRPr="00AC271F">
        <w:t>éducation, la santé et l</w:t>
      </w:r>
      <w:r w:rsidR="00A61E6D" w:rsidRPr="00AC271F">
        <w:t>’</w:t>
      </w:r>
      <w:r w:rsidRPr="00AC271F">
        <w:t>agriculture</w:t>
      </w:r>
      <w:r w:rsidR="00A35687" w:rsidRPr="00AC271F">
        <w:t>,</w:t>
      </w:r>
      <w:r w:rsidRPr="00AC271F">
        <w:t xml:space="preserve"> peuvent aussi trouver utile d</w:t>
      </w:r>
      <w:r w:rsidR="00A61E6D" w:rsidRPr="00AC271F">
        <w:t>’</w:t>
      </w:r>
      <w:r w:rsidR="00A512B3" w:rsidRPr="00AC271F">
        <w:t xml:space="preserve">en savoir plus sur </w:t>
      </w:r>
      <w:r w:rsidRPr="00AC271F">
        <w:t>les rôles possibles du PCI dans le développement harmonieux et durable des communautés concernées.</w:t>
      </w:r>
    </w:p>
    <w:p w:rsidR="00CC6EA3" w:rsidRDefault="00F317CF" w:rsidP="00CC6EA3">
      <w:pPr>
        <w:pStyle w:val="Informations"/>
      </w:pPr>
      <w:r w:rsidRPr="00AC271F">
        <w:rPr>
          <w:noProof/>
          <w:lang w:val="es-ES_tradnl" w:eastAsia="es-ES_tradnl"/>
        </w:rPr>
        <w:drawing>
          <wp:anchor distT="0" distB="0" distL="114300" distR="114300" simplePos="0" relativeHeight="251833856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30" name="Imag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AC271F">
        <w:t>Se référer à l</w:t>
      </w:r>
      <w:r w:rsidR="00A61E6D" w:rsidRPr="00AC271F">
        <w:t>’</w:t>
      </w:r>
      <w:r w:rsidR="003F5CA8" w:rsidRPr="00AC271F">
        <w:t>É</w:t>
      </w:r>
      <w:r w:rsidR="00A512B3" w:rsidRPr="00AC271F">
        <w:t>tude de cas 3</w:t>
      </w:r>
      <w:r w:rsidR="00C10A1F" w:rsidRPr="00AC271F">
        <w:t xml:space="preserve"> pour </w:t>
      </w:r>
      <w:r w:rsidR="00A512B3" w:rsidRPr="00AC271F">
        <w:t xml:space="preserve">avoir </w:t>
      </w:r>
      <w:r w:rsidR="00C10A1F" w:rsidRPr="00AC271F">
        <w:t>un exemple d</w:t>
      </w:r>
      <w:r w:rsidR="00A61E6D" w:rsidRPr="00AC271F">
        <w:t>’</w:t>
      </w:r>
      <w:r w:rsidR="00C10A1F" w:rsidRPr="00AC271F">
        <w:t>engagement de l</w:t>
      </w:r>
      <w:r w:rsidR="00A61E6D" w:rsidRPr="00AC271F">
        <w:t>’</w:t>
      </w:r>
      <w:r w:rsidR="00B11BCA" w:rsidRPr="00AC271F">
        <w:t>État dans l’</w:t>
      </w:r>
      <w:r w:rsidR="00C10A1F" w:rsidRPr="00AC271F">
        <w:t xml:space="preserve">action de sensibilisation, </w:t>
      </w:r>
      <w:r w:rsidR="00BB0E1C" w:rsidRPr="00AC271F">
        <w:t xml:space="preserve">qui </w:t>
      </w:r>
      <w:r w:rsidR="00C10A1F" w:rsidRPr="00AC271F">
        <w:t xml:space="preserve">décrit la campagne nationale du Gouvernement colombien visant à alerter les communautés, la société civile, les institutions scientifiques et les agences </w:t>
      </w:r>
      <w:r w:rsidR="00BB0E1C" w:rsidRPr="00AC271F">
        <w:t>gouvernement</w:t>
      </w:r>
      <w:r w:rsidR="00C10A1F" w:rsidRPr="00AC271F">
        <w:t>ales quant à l</w:t>
      </w:r>
      <w:r w:rsidR="00A61E6D" w:rsidRPr="00AC271F">
        <w:t>’</w:t>
      </w:r>
      <w:r w:rsidR="00C10A1F" w:rsidRPr="00AC271F">
        <w:t xml:space="preserve">importance de sauvegarder le </w:t>
      </w:r>
      <w:r w:rsidR="00BB0E1C" w:rsidRPr="00AC271F">
        <w:t xml:space="preserve">patrimoine </w:t>
      </w:r>
      <w:r w:rsidR="00BB2FF5" w:rsidRPr="00AC271F">
        <w:t>immatériel</w:t>
      </w:r>
      <w:r w:rsidR="00C10A1F" w:rsidRPr="00AC271F">
        <w:t xml:space="preserve"> de la Colombie.</w:t>
      </w:r>
      <w:bookmarkStart w:id="64" w:name="_Toc238963193"/>
      <w:bookmarkStart w:id="65" w:name="_Toc241065079"/>
      <w:bookmarkStart w:id="66" w:name="_Toc301443341"/>
      <w:bookmarkStart w:id="67" w:name="_Toc321406985"/>
      <w:bookmarkStart w:id="68" w:name="_Toc354486608"/>
      <w:bookmarkStart w:id="69" w:name="_Toc354486914"/>
      <w:bookmarkStart w:id="70" w:name="_Toc247360182"/>
    </w:p>
    <w:p w:rsidR="004325DC" w:rsidRPr="00AC271F" w:rsidRDefault="00235024" w:rsidP="00CC6EA3">
      <w:pPr>
        <w:pStyle w:val="Titcoul"/>
      </w:pPr>
      <w:r w:rsidRPr="00AC271F">
        <w:t>5</w:t>
      </w:r>
      <w:r w:rsidR="00C10A1F" w:rsidRPr="00AC271F">
        <w:t>.7</w:t>
      </w:r>
      <w:bookmarkEnd w:id="64"/>
      <w:bookmarkEnd w:id="65"/>
      <w:r w:rsidR="00901A6A" w:rsidRPr="00AC271F">
        <w:tab/>
      </w:r>
      <w:bookmarkStart w:id="71" w:name="_Toc238963194"/>
      <w:bookmarkStart w:id="72" w:name="_Toc241065080"/>
      <w:r w:rsidR="002E5028" w:rsidRPr="00AC271F">
        <w:t>R</w:t>
      </w:r>
      <w:r w:rsidR="0001493B" w:rsidRPr="00AC271F">
        <w:t>Ô</w:t>
      </w:r>
      <w:r w:rsidR="002E5028" w:rsidRPr="00AC271F">
        <w:t>le</w:t>
      </w:r>
      <w:r w:rsidR="00C10A1F" w:rsidRPr="00AC271F">
        <w:t xml:space="preserve"> </w:t>
      </w:r>
      <w:r w:rsidR="002E5028" w:rsidRPr="00AC271F">
        <w:t>des</w:t>
      </w:r>
      <w:r w:rsidR="00C10A1F" w:rsidRPr="00AC271F">
        <w:t xml:space="preserve"> m</w:t>
      </w:r>
      <w:r w:rsidR="00A81184" w:rsidRPr="00AC271F">
        <w:t>É</w:t>
      </w:r>
      <w:r w:rsidR="00C10A1F" w:rsidRPr="00AC271F">
        <w:t>dias</w:t>
      </w:r>
      <w:bookmarkEnd w:id="66"/>
      <w:bookmarkEnd w:id="67"/>
      <w:bookmarkEnd w:id="68"/>
      <w:bookmarkEnd w:id="69"/>
      <w:bookmarkEnd w:id="70"/>
      <w:bookmarkEnd w:id="71"/>
      <w:bookmarkEnd w:id="72"/>
    </w:p>
    <w:p w:rsidR="004325DC" w:rsidRPr="00AC271F" w:rsidRDefault="00C10A1F" w:rsidP="00914287">
      <w:pPr>
        <w:pStyle w:val="Texte1"/>
      </w:pPr>
      <w:r w:rsidRPr="00AC271F">
        <w:t>Les mé</w:t>
      </w:r>
      <w:r w:rsidR="00776865" w:rsidRPr="00AC271F">
        <w:t>dias</w:t>
      </w:r>
      <w:r w:rsidRPr="00AC271F">
        <w:t xml:space="preserve"> peuvent jouer un rôle important </w:t>
      </w:r>
      <w:r w:rsidR="00776865" w:rsidRPr="00AC271F">
        <w:t>dans la</w:t>
      </w:r>
      <w:r w:rsidRPr="00AC271F">
        <w:t xml:space="preserve"> pr</w:t>
      </w:r>
      <w:r w:rsidR="00776865" w:rsidRPr="00AC271F">
        <w:t>is</w:t>
      </w:r>
      <w:r w:rsidRPr="00AC271F">
        <w:t xml:space="preserve">e </w:t>
      </w:r>
      <w:r w:rsidR="00776865" w:rsidRPr="00AC271F">
        <w:t xml:space="preserve">de </w:t>
      </w:r>
      <w:r w:rsidRPr="00AC271F">
        <w:t>conscience du PCI à l</w:t>
      </w:r>
      <w:r w:rsidR="00A61E6D" w:rsidRPr="00AC271F">
        <w:t>’</w:t>
      </w:r>
      <w:r w:rsidRPr="00AC271F">
        <w:t xml:space="preserve">échelle nationale, avec ou sans le soutien de </w:t>
      </w:r>
      <w:r w:rsidR="003F5CA8" w:rsidRPr="00AC271F">
        <w:rPr>
          <w:noProof/>
          <w:lang w:val="es-ES_tradnl" w:eastAsia="es-ES_tradnl"/>
        </w:rPr>
        <w:drawing>
          <wp:anchor distT="0" distB="0" distL="114300" distR="114300" simplePos="0" relativeHeight="252003840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336" name="Imag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71F">
        <w:t>l</w:t>
      </w:r>
      <w:r w:rsidR="00A61E6D" w:rsidRPr="00AC271F">
        <w:t>’</w:t>
      </w:r>
      <w:r w:rsidRPr="00AC271F">
        <w:t>État (</w:t>
      </w:r>
      <w:r w:rsidR="00461004" w:rsidRPr="00AC271F">
        <w:t>DO </w:t>
      </w:r>
      <w:r w:rsidRPr="00AC271F">
        <w:t>110</w:t>
      </w:r>
      <w:r w:rsidR="002E5028" w:rsidRPr="00AC271F">
        <w:t>-</w:t>
      </w:r>
      <w:r w:rsidRPr="00AC271F">
        <w:t xml:space="preserve">115). Toutefois, avant de </w:t>
      </w:r>
      <w:r w:rsidR="001376D7" w:rsidRPr="00AC271F">
        <w:t>mettre en place</w:t>
      </w:r>
      <w:r w:rsidRPr="00AC271F">
        <w:t xml:space="preserve"> des campagnes et des programmes médiatiques, il peut être nécessaire de sensibiliser les journalistes et les rédacteurs au PCI.</w:t>
      </w:r>
    </w:p>
    <w:p w:rsidR="004325DC" w:rsidRPr="00AC271F" w:rsidRDefault="00C10A1F" w:rsidP="00914287">
      <w:pPr>
        <w:pStyle w:val="Texte1"/>
      </w:pPr>
      <w:r w:rsidRPr="00AC271F">
        <w:t>En développant la prise de conscience, les médias devraient mettre en exergue le rôle du PCI comme moyen de favoriser</w:t>
      </w:r>
      <w:r w:rsidR="00043DFF" w:rsidRPr="00AC271F">
        <w:t xml:space="preserve"> « </w:t>
      </w:r>
      <w:r w:rsidRPr="00AC271F">
        <w:t>la cohésion sociale, le développement durable et la prévention des conflits</w:t>
      </w:r>
      <w:r w:rsidR="00461004" w:rsidRPr="00AC271F">
        <w:t xml:space="preserve"> », </w:t>
      </w:r>
      <w:r w:rsidRPr="00AC271F">
        <w:t>en plus de la valeur esthétique ou de divertissement qu</w:t>
      </w:r>
      <w:r w:rsidR="00A61E6D" w:rsidRPr="00AC271F">
        <w:t>’</w:t>
      </w:r>
      <w:r w:rsidRPr="00AC271F">
        <w:t>il peut avoir (</w:t>
      </w:r>
      <w:r w:rsidR="00461004" w:rsidRPr="00AC271F">
        <w:t>DO </w:t>
      </w:r>
      <w:r w:rsidRPr="00AC271F">
        <w:t xml:space="preserve">111). Les médias peuvent donner des informations sur le PCI, mais aussi créer des plateformes permettant </w:t>
      </w:r>
      <w:r w:rsidR="0039117D" w:rsidRPr="00AC271F">
        <w:t>l’échange</w:t>
      </w:r>
      <w:r w:rsidRPr="00AC271F">
        <w:t xml:space="preserve"> d</w:t>
      </w:r>
      <w:r w:rsidR="0039117D" w:rsidRPr="00AC271F">
        <w:t>’</w:t>
      </w:r>
      <w:r w:rsidRPr="00AC271F">
        <w:t>informations au niveau national ou local.</w:t>
      </w:r>
    </w:p>
    <w:p w:rsidR="004325DC" w:rsidRPr="00AC271F" w:rsidRDefault="00C10A1F" w:rsidP="00914287">
      <w:pPr>
        <w:pStyle w:val="Texte1"/>
      </w:pPr>
      <w:r w:rsidRPr="00AC271F">
        <w:t>Des campagnes et des programmes éducatifs pourraient être développés non seulement au pro</w:t>
      </w:r>
      <w:r w:rsidR="008A3BEE" w:rsidRPr="00AC271F">
        <w:t>fit du grand public (par ex.</w:t>
      </w:r>
      <w:r w:rsidRPr="00AC271F">
        <w:t xml:space="preserve"> en utilisant la télévision, l</w:t>
      </w:r>
      <w:r w:rsidR="00CD2B9B" w:rsidRPr="00AC271F">
        <w:t>a presse écrite,</w:t>
      </w:r>
      <w:r w:rsidRPr="00AC271F">
        <w:t xml:space="preserve"> la radio nationale</w:t>
      </w:r>
      <w:r w:rsidR="00CD2B9B" w:rsidRPr="00AC271F">
        <w:t xml:space="preserve"> ou l’Internet</w:t>
      </w:r>
      <w:r w:rsidRPr="00AC271F">
        <w:t>), mais aussi d</w:t>
      </w:r>
      <w:r w:rsidR="00F91F2C" w:rsidRPr="00AC271F">
        <w:t>e</w:t>
      </w:r>
      <w:r w:rsidR="00CD2B9B" w:rsidRPr="00AC271F">
        <w:t>s</w:t>
      </w:r>
      <w:r w:rsidR="00F91F2C" w:rsidRPr="00AC271F">
        <w:t xml:space="preserve"> publics cibles plus restreint</w:t>
      </w:r>
      <w:r w:rsidRPr="00AC271F">
        <w:t>s (par ex</w:t>
      </w:r>
      <w:r w:rsidR="00F91F2C" w:rsidRPr="00AC271F">
        <w:t>.</w:t>
      </w:r>
      <w:r w:rsidR="00CD2B9B" w:rsidRPr="00AC271F">
        <w:t xml:space="preserve"> en utilisant des </w:t>
      </w:r>
      <w:r w:rsidRPr="00AC271F">
        <w:t>radio</w:t>
      </w:r>
      <w:r w:rsidR="000F0C0D" w:rsidRPr="00AC271F">
        <w:t>s</w:t>
      </w:r>
      <w:r w:rsidRPr="00AC271F">
        <w:t xml:space="preserve"> </w:t>
      </w:r>
      <w:r w:rsidR="00CD2B9B" w:rsidRPr="00AC271F">
        <w:t>communautaires</w:t>
      </w:r>
      <w:r w:rsidRPr="00AC271F">
        <w:t xml:space="preserve"> ou</w:t>
      </w:r>
      <w:r w:rsidR="00CD2B9B" w:rsidRPr="00AC271F">
        <w:t xml:space="preserve"> des</w:t>
      </w:r>
      <w:r w:rsidRPr="00AC271F">
        <w:t xml:space="preserve"> ch</w:t>
      </w:r>
      <w:r w:rsidR="00CD2B9B" w:rsidRPr="00AC271F">
        <w:t>aînes</w:t>
      </w:r>
      <w:r w:rsidRPr="00AC271F">
        <w:t xml:space="preserve"> de diffusion locale</w:t>
      </w:r>
      <w:r w:rsidR="00CD2B9B" w:rsidRPr="00AC271F">
        <w:t>s</w:t>
      </w:r>
      <w:r w:rsidRPr="00AC271F">
        <w:t>).</w:t>
      </w:r>
    </w:p>
    <w:p w:rsidR="004325DC" w:rsidRPr="00AC271F" w:rsidRDefault="00235024" w:rsidP="00914287">
      <w:pPr>
        <w:pStyle w:val="Informations"/>
      </w:pPr>
      <w:r w:rsidRPr="00AC271F">
        <w:rPr>
          <w:noProof/>
          <w:lang w:val="es-ES_tradnl" w:eastAsia="es-ES_tradnl"/>
        </w:rPr>
        <w:drawing>
          <wp:anchor distT="0" distB="0" distL="114300" distR="114300" simplePos="0" relativeHeight="251835904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AC271F">
        <w:t xml:space="preserve">Se référer </w:t>
      </w:r>
      <w:r w:rsidRPr="00AC271F">
        <w:t xml:space="preserve">aux </w:t>
      </w:r>
      <w:r w:rsidR="00D65E8C" w:rsidRPr="00AC271F">
        <w:t>É</w:t>
      </w:r>
      <w:r w:rsidR="00C10A1F" w:rsidRPr="00AC271F">
        <w:t>tudes de cas 2</w:t>
      </w:r>
      <w:r w:rsidR="000F0C0D" w:rsidRPr="00AC271F">
        <w:t>-4</w:t>
      </w:r>
      <w:r w:rsidR="00C10A1F" w:rsidRPr="00AC271F">
        <w:t xml:space="preserve"> pour des exemples d</w:t>
      </w:r>
      <w:r w:rsidR="00A61E6D" w:rsidRPr="00AC271F">
        <w:t>’</w:t>
      </w:r>
      <w:r w:rsidR="00C10A1F" w:rsidRPr="00AC271F">
        <w:t>u</w:t>
      </w:r>
      <w:r w:rsidR="000F0C0D" w:rsidRPr="00AC271F">
        <w:t>tilisation</w:t>
      </w:r>
      <w:r w:rsidR="00C10A1F" w:rsidRPr="00AC271F">
        <w:t xml:space="preserve"> des méd</w:t>
      </w:r>
      <w:r w:rsidR="000F0C0D" w:rsidRPr="00AC271F">
        <w:t>ias dans la sensibilisation de l’opinion publique</w:t>
      </w:r>
      <w:r w:rsidR="00C10A1F" w:rsidRPr="00AC271F">
        <w:t>.</w:t>
      </w:r>
    </w:p>
    <w:p w:rsidR="004325DC" w:rsidRPr="00AC271F" w:rsidRDefault="00235024">
      <w:pPr>
        <w:pStyle w:val="Titcoul"/>
      </w:pPr>
      <w:bookmarkStart w:id="73" w:name="_Toc238963195"/>
      <w:bookmarkStart w:id="74" w:name="_Toc241065081"/>
      <w:bookmarkStart w:id="75" w:name="_Toc301443342"/>
      <w:bookmarkStart w:id="76" w:name="_Toc321406986"/>
      <w:bookmarkStart w:id="77" w:name="_Toc354486609"/>
      <w:bookmarkStart w:id="78" w:name="_Toc354486915"/>
      <w:bookmarkStart w:id="79" w:name="_Toc247360183"/>
      <w:r w:rsidRPr="00AC271F">
        <w:t>5</w:t>
      </w:r>
      <w:r w:rsidR="00C10A1F" w:rsidRPr="00AC271F">
        <w:t>.8</w:t>
      </w:r>
      <w:bookmarkEnd w:id="73"/>
      <w:bookmarkEnd w:id="74"/>
      <w:r w:rsidR="00901A6A" w:rsidRPr="00AC271F">
        <w:tab/>
      </w:r>
      <w:bookmarkStart w:id="80" w:name="_Toc238963196"/>
      <w:bookmarkStart w:id="81" w:name="_Toc241065082"/>
      <w:r w:rsidR="002E5028" w:rsidRPr="00AC271F">
        <w:t>R</w:t>
      </w:r>
      <w:r w:rsidR="0001493B" w:rsidRPr="00AC271F">
        <w:t>Ô</w:t>
      </w:r>
      <w:r w:rsidR="002E5028" w:rsidRPr="00AC271F">
        <w:t>le des</w:t>
      </w:r>
      <w:r w:rsidR="00C10A1F" w:rsidRPr="00AC271F">
        <w:t xml:space="preserve"> institutions et </w:t>
      </w:r>
      <w:r w:rsidR="002E5028" w:rsidRPr="00AC271F">
        <w:t xml:space="preserve">des </w:t>
      </w:r>
      <w:r w:rsidR="00C10A1F" w:rsidRPr="00AC271F">
        <w:t>organisations</w:t>
      </w:r>
      <w:bookmarkEnd w:id="75"/>
      <w:bookmarkEnd w:id="76"/>
      <w:bookmarkEnd w:id="77"/>
      <w:bookmarkEnd w:id="78"/>
      <w:bookmarkEnd w:id="79"/>
      <w:bookmarkEnd w:id="80"/>
      <w:bookmarkEnd w:id="81"/>
    </w:p>
    <w:p w:rsidR="004325DC" w:rsidRPr="00AC271F" w:rsidRDefault="00C10A1F" w:rsidP="00914287">
      <w:pPr>
        <w:pStyle w:val="Texte1"/>
      </w:pPr>
      <w:r w:rsidRPr="00AC271F">
        <w:t>Toutes les institutions et les organisations qui ont une bonne connaissance du PCI et de sa sauvegarde peuvent jouer un rôle de sensibilisation à cet égard, quelle</w:t>
      </w:r>
      <w:r w:rsidR="00953DB9" w:rsidRPr="00AC271F">
        <w:t>s</w:t>
      </w:r>
      <w:r w:rsidRPr="00AC271F">
        <w:t xml:space="preserve"> que soient leurs relations avec l</w:t>
      </w:r>
      <w:r w:rsidR="00A61E6D" w:rsidRPr="00AC271F">
        <w:t>’</w:t>
      </w:r>
      <w:r w:rsidRPr="00AC271F">
        <w:t>État ou leurs sources de financement. Ce sont</w:t>
      </w:r>
      <w:r w:rsidR="00EA1FE1" w:rsidRPr="00AC271F">
        <w:t> :</w:t>
      </w:r>
    </w:p>
    <w:p w:rsidR="006C3387" w:rsidRPr="00AC271F" w:rsidRDefault="00C10A1F" w:rsidP="00150FFB">
      <w:pPr>
        <w:pStyle w:val="Enutiret"/>
      </w:pPr>
      <w:r w:rsidRPr="00AC271F">
        <w:t>les établissements d</w:t>
      </w:r>
      <w:r w:rsidR="00A61E6D" w:rsidRPr="00AC271F">
        <w:t>’</w:t>
      </w:r>
      <w:r w:rsidRPr="00AC271F">
        <w:t>enseignement</w:t>
      </w:r>
      <w:r w:rsidR="00EA1FE1" w:rsidRPr="00AC271F">
        <w:t> ;</w:t>
      </w:r>
    </w:p>
    <w:p w:rsidR="006C3387" w:rsidRPr="00AC271F" w:rsidRDefault="00C10A1F" w:rsidP="00150FFB">
      <w:pPr>
        <w:pStyle w:val="Enutiret"/>
      </w:pPr>
      <w:r w:rsidRPr="00AC271F">
        <w:t>les musées et les archives</w:t>
      </w:r>
      <w:r w:rsidR="00EA1FE1" w:rsidRPr="00AC271F">
        <w:t> ;</w:t>
      </w:r>
    </w:p>
    <w:p w:rsidR="006C3387" w:rsidRPr="00AC271F" w:rsidRDefault="00C10A1F" w:rsidP="00150FFB">
      <w:pPr>
        <w:pStyle w:val="Enutiret"/>
      </w:pPr>
      <w:r w:rsidRPr="00AC271F">
        <w:t>les organisations non gouve</w:t>
      </w:r>
      <w:r w:rsidR="00720058" w:rsidRPr="00AC271F">
        <w:t>rnementales et communautaire</w:t>
      </w:r>
      <w:r w:rsidR="009867A4" w:rsidRPr="00AC271F">
        <w:t>s</w:t>
      </w:r>
      <w:r w:rsidR="00EA1FE1" w:rsidRPr="00AC271F">
        <w:t> ;</w:t>
      </w:r>
    </w:p>
    <w:p w:rsidR="006C3387" w:rsidRPr="00AC271F" w:rsidRDefault="00C10A1F" w:rsidP="00150FFB">
      <w:pPr>
        <w:pStyle w:val="Enutiret"/>
      </w:pPr>
      <w:r w:rsidRPr="00AC271F">
        <w:t>les centres d</w:t>
      </w:r>
      <w:r w:rsidR="00A61E6D" w:rsidRPr="00AC271F">
        <w:t>’</w:t>
      </w:r>
      <w:r w:rsidRPr="00AC271F">
        <w:t>expertise, de recherche et de documentation</w:t>
      </w:r>
      <w:r w:rsidR="00EA1FE1" w:rsidRPr="00AC271F">
        <w:t> ;</w:t>
      </w:r>
      <w:r w:rsidRPr="00AC271F">
        <w:t xml:space="preserve"> et</w:t>
      </w:r>
    </w:p>
    <w:p w:rsidR="006C3387" w:rsidRPr="00AC271F" w:rsidRDefault="00C10A1F" w:rsidP="00150FFB">
      <w:pPr>
        <w:pStyle w:val="Enutiret"/>
      </w:pPr>
      <w:r w:rsidRPr="00AC271F">
        <w:t>les institutions de technologie de l</w:t>
      </w:r>
      <w:r w:rsidR="00A61E6D" w:rsidRPr="00AC271F">
        <w:t>’</w:t>
      </w:r>
      <w:r w:rsidRPr="00AC271F">
        <w:t xml:space="preserve">information (voir </w:t>
      </w:r>
      <w:r w:rsidR="00461004" w:rsidRPr="00AC271F">
        <w:t>DO </w:t>
      </w:r>
      <w:r w:rsidRPr="00AC271F">
        <w:t>107, 108</w:t>
      </w:r>
      <w:r w:rsidR="002E5028" w:rsidRPr="00AC271F">
        <w:t>-</w:t>
      </w:r>
      <w:r w:rsidRPr="00AC271F">
        <w:t>109 et 115).</w:t>
      </w:r>
    </w:p>
    <w:p w:rsidR="004325DC" w:rsidRPr="00AC271F" w:rsidRDefault="00C10A1F" w:rsidP="00914287">
      <w:pPr>
        <w:pStyle w:val="Texte1"/>
      </w:pPr>
      <w:r w:rsidRPr="00AC271F">
        <w:t xml:space="preserve">Ces institutions peuvent </w:t>
      </w:r>
      <w:r w:rsidR="00120008" w:rsidRPr="00AC271F">
        <w:t>contribuer à améliorer la</w:t>
      </w:r>
      <w:r w:rsidRPr="00AC271F">
        <w:t xml:space="preserve"> connaissance et </w:t>
      </w:r>
      <w:r w:rsidR="00120008" w:rsidRPr="00AC271F">
        <w:t>la compr</w:t>
      </w:r>
      <w:r w:rsidRPr="00AC271F">
        <w:t xml:space="preserve">éhension du PCI </w:t>
      </w:r>
      <w:r w:rsidR="00120008" w:rsidRPr="00AC271F">
        <w:t>en faisant usage de</w:t>
      </w:r>
      <w:r w:rsidRPr="00AC271F">
        <w:t xml:space="preserve"> leur expertise et</w:t>
      </w:r>
      <w:r w:rsidR="00120008" w:rsidRPr="00AC271F">
        <w:t xml:space="preserve"> de</w:t>
      </w:r>
      <w:r w:rsidRPr="00AC271F">
        <w:t xml:space="preserve"> leurs collections. </w:t>
      </w:r>
      <w:r w:rsidR="00120008" w:rsidRPr="00AC271F">
        <w:t>Certaines d’entre elles</w:t>
      </w:r>
      <w:r w:rsidRPr="00AC271F">
        <w:t xml:space="preserve"> peuvent également promouvoir le rôle de la Convention et donner des informations sur le</w:t>
      </w:r>
      <w:r w:rsidR="00120008" w:rsidRPr="00AC271F">
        <w:t xml:space="preserve">s </w:t>
      </w:r>
      <w:r w:rsidR="00120008" w:rsidRPr="00AC271F">
        <w:lastRenderedPageBreak/>
        <w:t>éléments du</w:t>
      </w:r>
      <w:r w:rsidRPr="00AC271F">
        <w:t xml:space="preserve"> PCI inscrit</w:t>
      </w:r>
      <w:r w:rsidR="00120008" w:rsidRPr="00AC271F">
        <w:t>s</w:t>
      </w:r>
      <w:r w:rsidRPr="00AC271F">
        <w:t xml:space="preserve"> sur les Listes de la Convention (</w:t>
      </w:r>
      <w:r w:rsidR="00461004" w:rsidRPr="00AC271F">
        <w:t>DO </w:t>
      </w:r>
      <w:r w:rsidRPr="00AC271F">
        <w:t>118). À l</w:t>
      </w:r>
      <w:r w:rsidR="00A61E6D" w:rsidRPr="00AC271F">
        <w:t>’</w:t>
      </w:r>
      <w:r w:rsidRPr="00AC271F">
        <w:t>instar de toutes les personnes qui jouent un rôle dans cette prise de conscience, elles doivent respecter les pratiques coutumières concernant l</w:t>
      </w:r>
      <w:r w:rsidR="00A61E6D" w:rsidRPr="00AC271F">
        <w:t>’</w:t>
      </w:r>
      <w:r w:rsidRPr="00AC271F">
        <w:t>accès à l</w:t>
      </w:r>
      <w:r w:rsidR="00A61E6D" w:rsidRPr="00AC271F">
        <w:t>’</w:t>
      </w:r>
      <w:r w:rsidRPr="00AC271F">
        <w:t>information diffusée. Les institutions de technologie de l</w:t>
      </w:r>
      <w:r w:rsidR="00A61E6D" w:rsidRPr="00AC271F">
        <w:t>’</w:t>
      </w:r>
      <w:r w:rsidRPr="00AC271F">
        <w:t>information et les</w:t>
      </w:r>
      <w:r w:rsidR="00E204E7" w:rsidRPr="00AC271F">
        <w:t xml:space="preserve"> médias conventionnels</w:t>
      </w:r>
      <w:r w:rsidRPr="00AC271F">
        <w:t xml:space="preserve"> peuvent aide</w:t>
      </w:r>
      <w:r w:rsidR="00B00F9D" w:rsidRPr="00AC271F">
        <w:t>r à renforcer les</w:t>
      </w:r>
      <w:r w:rsidRPr="00AC271F">
        <w:t xml:space="preserve"> processus de diffusion.</w:t>
      </w:r>
    </w:p>
    <w:p w:rsidR="00C10A1F" w:rsidRPr="00AC271F" w:rsidRDefault="00C10A1F">
      <w:pPr>
        <w:pStyle w:val="Heading4"/>
      </w:pPr>
      <w:bookmarkStart w:id="82" w:name="_Toc247360184"/>
      <w:r w:rsidRPr="00AC271F">
        <w:t xml:space="preserve">Sensibilisation </w:t>
      </w:r>
      <w:r w:rsidR="00C52844" w:rsidRPr="00AC271F">
        <w:t>À</w:t>
      </w:r>
      <w:r w:rsidRPr="00AC271F">
        <w:t xml:space="preserve"> travers l</w:t>
      </w:r>
      <w:r w:rsidR="00A61E6D" w:rsidRPr="00AC271F">
        <w:t>’</w:t>
      </w:r>
      <w:r w:rsidR="00C52844" w:rsidRPr="00AC271F">
        <w:t>É</w:t>
      </w:r>
      <w:r w:rsidRPr="00AC271F">
        <w:t>ducation</w:t>
      </w:r>
      <w:bookmarkEnd w:id="82"/>
    </w:p>
    <w:p w:rsidR="004325DC" w:rsidRPr="00AC271F" w:rsidRDefault="00C10A1F" w:rsidP="00914287">
      <w:pPr>
        <w:pStyle w:val="Texte1"/>
      </w:pPr>
      <w:r w:rsidRPr="00AC271F">
        <w:t>La prise de consci</w:t>
      </w:r>
      <w:r w:rsidR="006C3248" w:rsidRPr="00AC271F">
        <w:t>ence se fait souvent à travers l</w:t>
      </w:r>
      <w:r w:rsidRPr="00AC271F">
        <w:t>es programmes éducatifs dispensés dans les écoles et les universités, avec l</w:t>
      </w:r>
      <w:r w:rsidR="00A61E6D" w:rsidRPr="00AC271F">
        <w:t>’</w:t>
      </w:r>
      <w:r w:rsidRPr="00AC271F">
        <w:t>aide de l</w:t>
      </w:r>
      <w:r w:rsidR="00A61E6D" w:rsidRPr="00AC271F">
        <w:t>’</w:t>
      </w:r>
      <w:r w:rsidRPr="00AC271F">
        <w:t>État (</w:t>
      </w:r>
      <w:r w:rsidR="00461004" w:rsidRPr="00AC271F">
        <w:t>DO </w:t>
      </w:r>
      <w:r w:rsidRPr="00AC271F">
        <w:t xml:space="preserve">107). Les </w:t>
      </w:r>
      <w:r w:rsidR="00461004" w:rsidRPr="00AC271F">
        <w:t>DO</w:t>
      </w:r>
      <w:r w:rsidR="009867A4" w:rsidRPr="00AC271F">
        <w:t xml:space="preserve"> </w:t>
      </w:r>
      <w:r w:rsidRPr="00AC271F">
        <w:t>soulignent l</w:t>
      </w:r>
      <w:r w:rsidR="00A61E6D" w:rsidRPr="00AC271F">
        <w:t>’</w:t>
      </w:r>
      <w:r w:rsidRPr="00AC271F">
        <w:t>importance de l</w:t>
      </w:r>
      <w:r w:rsidR="00A61E6D" w:rsidRPr="00AC271F">
        <w:t>’</w:t>
      </w:r>
      <w:r w:rsidRPr="00AC271F">
        <w:t>apprentissage expérimental du PCI grâce à l</w:t>
      </w:r>
      <w:r w:rsidR="00A61E6D" w:rsidRPr="00AC271F">
        <w:t>’</w:t>
      </w:r>
      <w:r w:rsidRPr="00AC271F">
        <w:t>interaction avec le public, les travaux et les espaces.</w:t>
      </w:r>
    </w:p>
    <w:p w:rsidR="004325DC" w:rsidRPr="00AC271F" w:rsidRDefault="00C10A1F" w:rsidP="00914287">
      <w:pPr>
        <w:pStyle w:val="Texte1"/>
      </w:pPr>
      <w:r w:rsidRPr="00AC271F">
        <w:t>Les programmes scolaires à travers le monde co</w:t>
      </w:r>
      <w:r w:rsidR="009A735F" w:rsidRPr="00AC271F">
        <w:t>ntienn</w:t>
      </w:r>
      <w:r w:rsidRPr="00AC271F">
        <w:t>ent de plus en plus d</w:t>
      </w:r>
      <w:r w:rsidR="00A61E6D" w:rsidRPr="00AC271F">
        <w:t>’</w:t>
      </w:r>
      <w:r w:rsidRPr="00AC271F">
        <w:t xml:space="preserve">informations sur les pratiques du </w:t>
      </w:r>
      <w:r w:rsidR="006C3248" w:rsidRPr="00AC271F">
        <w:t>patrimoine</w:t>
      </w:r>
      <w:r w:rsidR="00BB2FF5" w:rsidRPr="00AC271F">
        <w:t xml:space="preserve"> immatériel</w:t>
      </w:r>
      <w:r w:rsidRPr="00AC271F">
        <w:t xml:space="preserve"> dans des domaines comme la danse, la musique, les traditions orales et l</w:t>
      </w:r>
      <w:r w:rsidR="009A735F" w:rsidRPr="00AC271F">
        <w:t>’artisanat traditionnel</w:t>
      </w:r>
      <w:r w:rsidRPr="00AC271F">
        <w:t xml:space="preserve">. </w:t>
      </w:r>
      <w:r w:rsidR="009A735F" w:rsidRPr="00AC271F">
        <w:t xml:space="preserve">Si tout va bien, </w:t>
      </w:r>
      <w:r w:rsidRPr="00AC271F">
        <w:t>ce genre d</w:t>
      </w:r>
      <w:r w:rsidR="00A61E6D" w:rsidRPr="00AC271F">
        <w:t>’</w:t>
      </w:r>
      <w:r w:rsidRPr="00AC271F">
        <w:t>intervention peut illustrer la diversité culturelle et enseigner le respect d</w:t>
      </w:r>
      <w:r w:rsidR="009A735F" w:rsidRPr="00AC271F">
        <w:t xml:space="preserve">es </w:t>
      </w:r>
      <w:r w:rsidRPr="00AC271F">
        <w:t>autr</w:t>
      </w:r>
      <w:r w:rsidR="009A735F" w:rsidRPr="00AC271F">
        <w:t>es, avec leur</w:t>
      </w:r>
      <w:r w:rsidRPr="00AC271F">
        <w:t>s pratiques et</w:t>
      </w:r>
      <w:r w:rsidR="009A735F" w:rsidRPr="00AC271F">
        <w:t xml:space="preserve"> leurs</w:t>
      </w:r>
      <w:r w:rsidRPr="00AC271F">
        <w:t xml:space="preserve"> croyances. L</w:t>
      </w:r>
      <w:r w:rsidR="00A61E6D" w:rsidRPr="00AC271F">
        <w:t>’</w:t>
      </w:r>
      <w:r w:rsidRPr="00AC271F">
        <w:t>or</w:t>
      </w:r>
      <w:r w:rsidR="00784E29" w:rsidRPr="00AC271F">
        <w:t>ientation professionnelle vers d</w:t>
      </w:r>
      <w:r w:rsidRPr="00AC271F">
        <w:t>es carrières liées au PCI, les visites de projets et de lieux relatifs au PCI et l</w:t>
      </w:r>
      <w:r w:rsidR="00A61E6D" w:rsidRPr="00AC271F">
        <w:t>’</w:t>
      </w:r>
      <w:r w:rsidRPr="00AC271F">
        <w:t>expérience pratique d</w:t>
      </w:r>
      <w:r w:rsidR="00A61E6D" w:rsidRPr="00AC271F">
        <w:t>’</w:t>
      </w:r>
      <w:r w:rsidRPr="00AC271F">
        <w:t>activités en matière de PCI peuvent faire prendre conscience aux jeunes de sa valeur pour la société.</w:t>
      </w:r>
    </w:p>
    <w:p w:rsidR="00C10A1F" w:rsidRPr="00AC271F" w:rsidRDefault="00C10A1F">
      <w:pPr>
        <w:pStyle w:val="Heading4"/>
      </w:pPr>
      <w:bookmarkStart w:id="83" w:name="_Toc247360185"/>
      <w:r w:rsidRPr="00AC271F">
        <w:t xml:space="preserve">Sensibilisation </w:t>
      </w:r>
      <w:r w:rsidR="00521245" w:rsidRPr="00AC271F">
        <w:t>À</w:t>
      </w:r>
      <w:r w:rsidRPr="00AC271F">
        <w:t xml:space="preserve"> travers la documentation</w:t>
      </w:r>
      <w:bookmarkEnd w:id="83"/>
    </w:p>
    <w:p w:rsidR="004325DC" w:rsidRPr="00AC271F" w:rsidRDefault="00C10A1F" w:rsidP="00914287">
      <w:pPr>
        <w:pStyle w:val="Texte1"/>
      </w:pPr>
      <w:r w:rsidRPr="00AC271F">
        <w:t>Il doit y avoir un lien entre, d</w:t>
      </w:r>
      <w:r w:rsidR="00A61E6D" w:rsidRPr="00AC271F">
        <w:t>’</w:t>
      </w:r>
      <w:r w:rsidRPr="00AC271F">
        <w:t>une part, l</w:t>
      </w:r>
      <w:r w:rsidR="00A61E6D" w:rsidRPr="00AC271F">
        <w:t>’</w:t>
      </w:r>
      <w:r w:rsidRPr="00AC271F">
        <w:t xml:space="preserve">information produite grâce aux processus de documentation et à la gestion des données par </w:t>
      </w:r>
      <w:r w:rsidR="00A474A9" w:rsidRPr="00AC271F">
        <w:t>« </w:t>
      </w:r>
      <w:r w:rsidRPr="00AC271F">
        <w:t>les</w:t>
      </w:r>
      <w:r w:rsidR="00043DFF" w:rsidRPr="00AC271F">
        <w:t xml:space="preserve"> </w:t>
      </w:r>
      <w:r w:rsidRPr="00AC271F">
        <w:t>instituts de recherche, centres d</w:t>
      </w:r>
      <w:r w:rsidR="00A61E6D" w:rsidRPr="00AC271F">
        <w:t>’</w:t>
      </w:r>
      <w:r w:rsidRPr="00AC271F">
        <w:t>expertise, musées, archives, bibliothèques, centres de documentation et entités analogues</w:t>
      </w:r>
      <w:r w:rsidR="00A474A9" w:rsidRPr="00AC271F">
        <w:t> »</w:t>
      </w:r>
      <w:r w:rsidRPr="00AC271F">
        <w:t xml:space="preserve"> et, d</w:t>
      </w:r>
      <w:r w:rsidR="00A61E6D" w:rsidRPr="00AC271F">
        <w:t>’</w:t>
      </w:r>
      <w:r w:rsidRPr="00AC271F">
        <w:t>autre part, la sensibilisation au PCI et à son importance (</w:t>
      </w:r>
      <w:r w:rsidR="00461004" w:rsidRPr="00AC271F">
        <w:t>DO </w:t>
      </w:r>
      <w:r w:rsidRPr="00AC271F">
        <w:t xml:space="preserve">109). Comme les écoles et les universités, ces institutions sont encouragées à collaborer étroitement avec les communautés, groupes et individus concernés pour les aider à </w:t>
      </w:r>
      <w:r w:rsidR="00A474A9" w:rsidRPr="00AC271F">
        <w:t>mieux connaître la valeur de</w:t>
      </w:r>
      <w:r w:rsidRPr="00AC271F">
        <w:t xml:space="preserve"> leur PCI.</w:t>
      </w:r>
    </w:p>
    <w:p w:rsidR="004325DC" w:rsidRPr="00AC271F" w:rsidRDefault="00C10A1F" w:rsidP="00914287">
      <w:pPr>
        <w:pStyle w:val="Texte1"/>
      </w:pPr>
      <w:r w:rsidRPr="00AC271F">
        <w:t xml:space="preserve">Les centres et associations </w:t>
      </w:r>
      <w:r w:rsidR="00A474A9" w:rsidRPr="00AC271F">
        <w:t>communautaire</w:t>
      </w:r>
      <w:r w:rsidR="009867A4" w:rsidRPr="00AC271F">
        <w:t xml:space="preserve">s </w:t>
      </w:r>
      <w:r w:rsidRPr="00AC271F">
        <w:t>peuvent jouer un rôle déterminant dans l</w:t>
      </w:r>
      <w:r w:rsidR="00A474A9" w:rsidRPr="00AC271F">
        <w:t>’action de se</w:t>
      </w:r>
      <w:r w:rsidRPr="00AC271F">
        <w:t>nsibilisation auprès du grand public quant à l</w:t>
      </w:r>
      <w:r w:rsidR="00A61E6D" w:rsidRPr="00AC271F">
        <w:t>’</w:t>
      </w:r>
      <w:r w:rsidRPr="00AC271F">
        <w:t>importance du PCI pour ses communautés (</w:t>
      </w:r>
      <w:r w:rsidR="00461004" w:rsidRPr="00AC271F">
        <w:t>DO </w:t>
      </w:r>
      <w:r w:rsidRPr="00AC271F">
        <w:t>108).</w:t>
      </w:r>
    </w:p>
    <w:p w:rsidR="004325DC" w:rsidRPr="00AC271F" w:rsidRDefault="00235024">
      <w:pPr>
        <w:pStyle w:val="Titcoul"/>
      </w:pPr>
      <w:bookmarkStart w:id="84" w:name="_Toc238963197"/>
      <w:bookmarkStart w:id="85" w:name="_Toc241065083"/>
      <w:bookmarkStart w:id="86" w:name="_Toc301443343"/>
      <w:bookmarkStart w:id="87" w:name="_Toc321406987"/>
      <w:bookmarkStart w:id="88" w:name="_Toc354486610"/>
      <w:bookmarkStart w:id="89" w:name="_Toc354486916"/>
      <w:bookmarkStart w:id="90" w:name="_Toc247360186"/>
      <w:r w:rsidRPr="00AC271F">
        <w:t>5</w:t>
      </w:r>
      <w:r w:rsidR="00C10A1F" w:rsidRPr="00AC271F">
        <w:t>.9</w:t>
      </w:r>
      <w:bookmarkEnd w:id="84"/>
      <w:bookmarkEnd w:id="85"/>
      <w:r w:rsidR="00901A6A" w:rsidRPr="00AC271F">
        <w:tab/>
      </w:r>
      <w:bookmarkStart w:id="91" w:name="_Toc238963198"/>
      <w:bookmarkStart w:id="92" w:name="_Toc241065084"/>
      <w:r w:rsidR="00D915D7" w:rsidRPr="00AC271F">
        <w:t>R</w:t>
      </w:r>
      <w:r w:rsidR="00521245" w:rsidRPr="00AC271F">
        <w:t>Ô</w:t>
      </w:r>
      <w:r w:rsidR="00D915D7" w:rsidRPr="00AC271F">
        <w:t>le</w:t>
      </w:r>
      <w:r w:rsidR="00C10A1F" w:rsidRPr="00AC271F">
        <w:t xml:space="preserve"> </w:t>
      </w:r>
      <w:r w:rsidR="00D915D7" w:rsidRPr="00AC271F">
        <w:t>des</w:t>
      </w:r>
      <w:r w:rsidR="00C10A1F" w:rsidRPr="00AC271F">
        <w:t xml:space="preserve"> </w:t>
      </w:r>
      <w:bookmarkEnd w:id="86"/>
      <w:bookmarkEnd w:id="87"/>
      <w:bookmarkEnd w:id="88"/>
      <w:bookmarkEnd w:id="89"/>
      <w:bookmarkEnd w:id="90"/>
      <w:bookmarkEnd w:id="91"/>
      <w:bookmarkEnd w:id="92"/>
      <w:r w:rsidR="00521245" w:rsidRPr="00AC271F">
        <w:t>communautÉs</w:t>
      </w:r>
    </w:p>
    <w:p w:rsidR="004325DC" w:rsidRPr="00AC271F" w:rsidRDefault="004E0645" w:rsidP="00914287">
      <w:pPr>
        <w:pStyle w:val="Texte1"/>
      </w:pPr>
      <w:r w:rsidRPr="00AC271F">
        <w:t>Il convient peut-être de mieux sensibiliser l</w:t>
      </w:r>
      <w:r w:rsidR="00C10A1F" w:rsidRPr="00AC271F">
        <w:t>es communautés aux possibilités accrues qu</w:t>
      </w:r>
      <w:r w:rsidR="00A61E6D" w:rsidRPr="00AC271F">
        <w:t>’</w:t>
      </w:r>
      <w:r w:rsidR="00C10A1F" w:rsidRPr="00AC271F">
        <w:t>offre la Convention en faveur de la reconnaissance et la sauvegarde de leur PCI (</w:t>
      </w:r>
      <w:r w:rsidR="00461004" w:rsidRPr="00AC271F">
        <w:t>DO </w:t>
      </w:r>
      <w:r w:rsidR="00C10A1F" w:rsidRPr="00AC271F">
        <w:t xml:space="preserve">81), </w:t>
      </w:r>
      <w:r w:rsidRPr="00AC271F">
        <w:t>en particulier</w:t>
      </w:r>
      <w:r w:rsidR="00C10A1F" w:rsidRPr="00AC271F">
        <w:t xml:space="preserve"> </w:t>
      </w:r>
      <w:r w:rsidRPr="00AC271F">
        <w:t>l</w:t>
      </w:r>
      <w:r w:rsidR="00C10A1F" w:rsidRPr="00AC271F">
        <w:t>es communautés préalablement empêchées d</w:t>
      </w:r>
      <w:r w:rsidR="00A61E6D" w:rsidRPr="00AC271F">
        <w:t>’</w:t>
      </w:r>
      <w:r w:rsidR="00C10A1F" w:rsidRPr="00AC271F">
        <w:t xml:space="preserve">en </w:t>
      </w:r>
      <w:r w:rsidR="00447F1C" w:rsidRPr="00AC271F">
        <w:t xml:space="preserve">bénéficier </w:t>
      </w:r>
      <w:r w:rsidR="00C10A1F" w:rsidRPr="00AC271F">
        <w:t xml:space="preserve">et de le pratiquer </w:t>
      </w:r>
      <w:r w:rsidRPr="00AC271F">
        <w:t xml:space="preserve">en toute </w:t>
      </w:r>
      <w:r w:rsidR="00C10A1F" w:rsidRPr="00AC271F">
        <w:t>lib</w:t>
      </w:r>
      <w:r w:rsidRPr="00AC271F">
        <w:t>erté</w:t>
      </w:r>
      <w:r w:rsidR="00C10A1F" w:rsidRPr="00AC271F">
        <w:t>. Les activités entreprises par les membres d</w:t>
      </w:r>
      <w:r w:rsidR="003911B3" w:rsidRPr="00AC271F">
        <w:t>’une</w:t>
      </w:r>
      <w:r w:rsidR="00C10A1F" w:rsidRPr="00AC271F">
        <w:t xml:space="preserve"> communauté pour </w:t>
      </w:r>
      <w:r w:rsidR="003911B3" w:rsidRPr="00AC271F">
        <w:t>sensibiliser</w:t>
      </w:r>
      <w:r w:rsidR="00C10A1F" w:rsidRPr="00AC271F">
        <w:t xml:space="preserve"> leur co</w:t>
      </w:r>
      <w:r w:rsidR="003911B3" w:rsidRPr="00AC271F">
        <w:t>llectivi</w:t>
      </w:r>
      <w:r w:rsidR="00C10A1F" w:rsidRPr="00AC271F">
        <w:t xml:space="preserve">té, par exemple, </w:t>
      </w:r>
      <w:r w:rsidR="003911B3" w:rsidRPr="00AC271F">
        <w:t xml:space="preserve">aux fonctions, aux menaces </w:t>
      </w:r>
      <w:r w:rsidR="00875D7D" w:rsidRPr="00AC271F">
        <w:t>éventuelles pour</w:t>
      </w:r>
      <w:r w:rsidR="00C10A1F" w:rsidRPr="00AC271F">
        <w:t xml:space="preserve"> la viabilité</w:t>
      </w:r>
      <w:r w:rsidR="00875D7D" w:rsidRPr="00AC271F">
        <w:t xml:space="preserve"> et</w:t>
      </w:r>
      <w:r w:rsidR="00C10A1F" w:rsidRPr="00AC271F">
        <w:t xml:space="preserve"> la mise en valeur des éléments de leur PCI</w:t>
      </w:r>
      <w:r w:rsidR="00875D7D" w:rsidRPr="00AC271F">
        <w:t>,</w:t>
      </w:r>
      <w:r w:rsidR="00C10A1F" w:rsidRPr="00AC271F">
        <w:t xml:space="preserve"> sont </w:t>
      </w:r>
      <w:r w:rsidR="00875D7D" w:rsidRPr="00AC271F">
        <w:t>primordi</w:t>
      </w:r>
      <w:r w:rsidR="00C10A1F" w:rsidRPr="00AC271F">
        <w:t xml:space="preserve">ales </w:t>
      </w:r>
      <w:r w:rsidR="00875D7D" w:rsidRPr="00AC271F">
        <w:t>pour contribuer</w:t>
      </w:r>
      <w:r w:rsidR="00C10A1F" w:rsidRPr="00AC271F">
        <w:t xml:space="preserve"> à la sauvegarde. Ces activités méritent, si besoin est, l</w:t>
      </w:r>
      <w:r w:rsidR="00A61E6D" w:rsidRPr="00AC271F">
        <w:t>’</w:t>
      </w:r>
      <w:r w:rsidR="00C10A1F" w:rsidRPr="00AC271F">
        <w:t>appui des agences gouvernementales et d</w:t>
      </w:r>
      <w:r w:rsidR="00A61E6D" w:rsidRPr="00AC271F">
        <w:t>’</w:t>
      </w:r>
      <w:r w:rsidR="00C10A1F" w:rsidRPr="00AC271F">
        <w:t>autres organismes.</w:t>
      </w:r>
    </w:p>
    <w:p w:rsidR="004325DC" w:rsidRPr="00AC271F" w:rsidRDefault="00C10A1F" w:rsidP="00914287">
      <w:pPr>
        <w:pStyle w:val="Texte1"/>
      </w:pPr>
      <w:r w:rsidRPr="00AC271F">
        <w:lastRenderedPageBreak/>
        <w:t xml:space="preserve">Il va sans dire que les communautés sont bien placées pour organiser ou prendre part à des activités de sensibilisation </w:t>
      </w:r>
      <w:r w:rsidR="00AB5649" w:rsidRPr="00AC271F">
        <w:t>à</w:t>
      </w:r>
      <w:r w:rsidRPr="00AC271F">
        <w:t xml:space="preserve"> leur PCI. Si ces dernières </w:t>
      </w:r>
      <w:r w:rsidR="00AB5649" w:rsidRPr="00AC271F">
        <w:t>ont trait</w:t>
      </w:r>
      <w:r w:rsidRPr="00AC271F">
        <w:t xml:space="preserve"> à des éléments spécifiques du PCI d</w:t>
      </w:r>
      <w:r w:rsidR="00A61E6D" w:rsidRPr="00AC271F">
        <w:t>’</w:t>
      </w:r>
      <w:r w:rsidRPr="00AC271F">
        <w:t>une communauté ou d</w:t>
      </w:r>
      <w:r w:rsidR="00A61E6D" w:rsidRPr="00AC271F">
        <w:t>’</w:t>
      </w:r>
      <w:r w:rsidRPr="00AC271F">
        <w:t xml:space="preserve">un groupe, les </w:t>
      </w:r>
      <w:r w:rsidR="00461004" w:rsidRPr="00AC271F">
        <w:t>DO </w:t>
      </w:r>
      <w:r w:rsidRPr="00AC271F">
        <w:t>recommandent que les communautés, groupes et individus concernés soient pleinement impliqués et qu</w:t>
      </w:r>
      <w:r w:rsidR="00A61E6D" w:rsidRPr="00AC271F">
        <w:t>’</w:t>
      </w:r>
      <w:r w:rsidR="00AB5649" w:rsidRPr="00AC271F">
        <w:t>ils donnent</w:t>
      </w:r>
      <w:r w:rsidRPr="00AC271F">
        <w:t xml:space="preserve"> leur consentement (</w:t>
      </w:r>
      <w:r w:rsidR="00461004" w:rsidRPr="00AC271F">
        <w:t>DO </w:t>
      </w:r>
      <w:r w:rsidRPr="00AC271F">
        <w:t>101).</w:t>
      </w:r>
    </w:p>
    <w:p w:rsidR="004325DC" w:rsidRPr="00AC271F" w:rsidRDefault="00235024" w:rsidP="00914287">
      <w:pPr>
        <w:pStyle w:val="Informations"/>
      </w:pPr>
      <w:r w:rsidRPr="00AC271F">
        <w:rPr>
          <w:noProof/>
          <w:lang w:val="es-ES_tradnl" w:eastAsia="es-ES_tradnl"/>
        </w:rPr>
        <w:drawing>
          <wp:anchor distT="0" distB="0" distL="114300" distR="114300" simplePos="0" relativeHeight="251840000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33" name="Imag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AC271F">
        <w:t>L</w:t>
      </w:r>
      <w:r w:rsidR="00A61E6D" w:rsidRPr="00AC271F">
        <w:t>’</w:t>
      </w:r>
      <w:r w:rsidR="003F5CA8" w:rsidRPr="00AC271F">
        <w:t>Étude de cas</w:t>
      </w:r>
      <w:r w:rsidR="00C10A1F" w:rsidRPr="00AC271F">
        <w:t xml:space="preserve"> 4 </w:t>
      </w:r>
      <w:r w:rsidR="00AB5649" w:rsidRPr="00AC271F">
        <w:t>porte sur le</w:t>
      </w:r>
      <w:r w:rsidR="00C10A1F" w:rsidRPr="00AC271F">
        <w:t xml:space="preserve"> projet</w:t>
      </w:r>
      <w:r w:rsidR="00043DFF" w:rsidRPr="00AC271F">
        <w:t xml:space="preserve"> « </w:t>
      </w:r>
      <w:r w:rsidR="00C10A1F" w:rsidRPr="00AC271F">
        <w:t>Les Indiens vus par les Indiens</w:t>
      </w:r>
      <w:r w:rsidR="00043DFF" w:rsidRPr="00AC271F">
        <w:t> »</w:t>
      </w:r>
      <w:r w:rsidR="00D0612E" w:rsidRPr="00AC271F">
        <w:t xml:space="preserve"> </w:t>
      </w:r>
      <w:r w:rsidR="00C10A1F" w:rsidRPr="00AC271F">
        <w:t>au Brésil, qui montre comment les commu</w:t>
      </w:r>
      <w:r w:rsidR="00DA29DA" w:rsidRPr="00AC271F">
        <w:t>nautés elles-mêmes peuvent</w:t>
      </w:r>
      <w:r w:rsidR="00C10A1F" w:rsidRPr="00AC271F">
        <w:t xml:space="preserve"> </w:t>
      </w:r>
      <w:r w:rsidR="00DA29DA" w:rsidRPr="00AC271F">
        <w:t>être sensibilisées à</w:t>
      </w:r>
      <w:r w:rsidR="00C10A1F" w:rsidRPr="00AC271F">
        <w:t xml:space="preserve"> leur PCI et développer </w:t>
      </w:r>
      <w:r w:rsidR="00DA29DA" w:rsidRPr="00AC271F">
        <w:t xml:space="preserve">chez elles </w:t>
      </w:r>
      <w:r w:rsidR="00C10A1F" w:rsidRPr="00AC271F">
        <w:t>le</w:t>
      </w:r>
      <w:r w:rsidR="005647CB" w:rsidRPr="00AC271F">
        <w:t xml:space="preserve"> sens</w:t>
      </w:r>
      <w:r w:rsidR="00C10A1F" w:rsidRPr="00AC271F">
        <w:t xml:space="preserve"> </w:t>
      </w:r>
      <w:r w:rsidR="00DA29DA" w:rsidRPr="00AC271F">
        <w:t>de</w:t>
      </w:r>
      <w:r w:rsidR="005647CB" w:rsidRPr="00AC271F">
        <w:t xml:space="preserve"> la</w:t>
      </w:r>
      <w:r w:rsidR="00C10A1F" w:rsidRPr="00AC271F">
        <w:t xml:space="preserve"> fierté civique </w:t>
      </w:r>
      <w:r w:rsidR="00DA29DA" w:rsidRPr="00AC271F">
        <w:t>et d</w:t>
      </w:r>
      <w:r w:rsidR="005647CB" w:rsidRPr="00AC271F">
        <w:t>e l</w:t>
      </w:r>
      <w:r w:rsidR="00DA29DA" w:rsidRPr="00AC271F">
        <w:t xml:space="preserve">’identité </w:t>
      </w:r>
      <w:r w:rsidR="00C10A1F" w:rsidRPr="00AC271F">
        <w:t xml:space="preserve">tout en </w:t>
      </w:r>
      <w:r w:rsidR="005647CB" w:rsidRPr="00AC271F">
        <w:t>lutt</w:t>
      </w:r>
      <w:r w:rsidR="00C10A1F" w:rsidRPr="00AC271F">
        <w:t>ant</w:t>
      </w:r>
      <w:r w:rsidR="005647CB" w:rsidRPr="00AC271F">
        <w:t xml:space="preserve"> contre</w:t>
      </w:r>
      <w:r w:rsidR="00C10A1F" w:rsidRPr="00AC271F">
        <w:t xml:space="preserve"> les stéréotypes discriminatoires et en </w:t>
      </w:r>
      <w:r w:rsidR="005647CB" w:rsidRPr="00AC271F">
        <w:t>offra</w:t>
      </w:r>
      <w:r w:rsidR="00C10A1F" w:rsidRPr="00AC271F">
        <w:t xml:space="preserve">nt </w:t>
      </w:r>
      <w:r w:rsidR="005647CB" w:rsidRPr="00AC271F">
        <w:t xml:space="preserve">aux jeunes </w:t>
      </w:r>
      <w:r w:rsidR="00C10A1F" w:rsidRPr="00AC271F">
        <w:t xml:space="preserve">des </w:t>
      </w:r>
      <w:r w:rsidR="005647CB" w:rsidRPr="00AC271F">
        <w:t>possibilité</w:t>
      </w:r>
      <w:r w:rsidR="00C10A1F" w:rsidRPr="00AC271F">
        <w:t xml:space="preserve">s </w:t>
      </w:r>
      <w:r w:rsidR="005647CB" w:rsidRPr="00AC271F">
        <w:t>d’acquérir des compétences</w:t>
      </w:r>
      <w:r w:rsidR="00033B19" w:rsidRPr="00AC271F">
        <w:t xml:space="preserve"> en demande sur le marché</w:t>
      </w:r>
      <w:r w:rsidR="00C10A1F" w:rsidRPr="00AC271F">
        <w:t>.</w:t>
      </w:r>
    </w:p>
    <w:p w:rsidR="004325DC" w:rsidRPr="00AC271F" w:rsidRDefault="00235024" w:rsidP="00914287">
      <w:pPr>
        <w:pStyle w:val="Informations"/>
      </w:pPr>
      <w:r w:rsidRPr="00AC271F">
        <w:t>Le</w:t>
      </w:r>
      <w:r w:rsidR="00D0612E" w:rsidRPr="00AC271F">
        <w:t>s</w:t>
      </w:r>
      <w:r w:rsidR="00033B19" w:rsidRPr="00AC271F">
        <w:t xml:space="preserve"> points 7.5 et 7.12 du</w:t>
      </w:r>
      <w:r w:rsidRPr="00AC271F">
        <w:t xml:space="preserve"> </w:t>
      </w:r>
      <w:r w:rsidR="005647CB" w:rsidRPr="00AC271F">
        <w:t>T</w:t>
      </w:r>
      <w:r w:rsidR="00646D3D" w:rsidRPr="00AC271F">
        <w:t>exte du participant</w:t>
      </w:r>
      <w:r w:rsidRPr="00AC271F">
        <w:t xml:space="preserve"> </w:t>
      </w:r>
      <w:r w:rsidR="00D0612E" w:rsidRPr="00AC271F">
        <w:t>traitent</w:t>
      </w:r>
      <w:r w:rsidR="00C10A1F" w:rsidRPr="00AC271F">
        <w:t xml:space="preserve"> du bénéfice pour la communauté et de la protection des droits </w:t>
      </w:r>
      <w:r w:rsidR="009867A4" w:rsidRPr="00AC271F">
        <w:t xml:space="preserve">des communautés </w:t>
      </w:r>
      <w:r w:rsidR="00FA4F52" w:rsidRPr="00AC271F">
        <w:t>dans les actions de</w:t>
      </w:r>
      <w:r w:rsidR="00C10A1F" w:rsidRPr="00AC271F">
        <w:t xml:space="preserve"> sensibilisation.</w:t>
      </w:r>
    </w:p>
    <w:p w:rsidR="004325DC" w:rsidRPr="00AC271F" w:rsidRDefault="00235024">
      <w:pPr>
        <w:pStyle w:val="Titcoul"/>
      </w:pPr>
      <w:bookmarkStart w:id="93" w:name="_Toc238963199"/>
      <w:bookmarkStart w:id="94" w:name="_Toc241065085"/>
      <w:bookmarkStart w:id="95" w:name="_Toc301443344"/>
      <w:bookmarkStart w:id="96" w:name="_Toc321406988"/>
      <w:bookmarkStart w:id="97" w:name="_Toc354486611"/>
      <w:bookmarkStart w:id="98" w:name="_Toc354486917"/>
      <w:bookmarkStart w:id="99" w:name="_Toc247360187"/>
      <w:r w:rsidRPr="00AC271F">
        <w:t>5</w:t>
      </w:r>
      <w:r w:rsidR="00C10A1F" w:rsidRPr="00AC271F">
        <w:t>.10</w:t>
      </w:r>
      <w:bookmarkEnd w:id="93"/>
      <w:bookmarkEnd w:id="94"/>
      <w:r w:rsidR="00901A6A" w:rsidRPr="00AC271F">
        <w:tab/>
      </w:r>
      <w:bookmarkStart w:id="100" w:name="_Toc238963200"/>
      <w:bookmarkStart w:id="101" w:name="_Toc241065086"/>
      <w:r w:rsidR="00D915D7" w:rsidRPr="00AC271F">
        <w:t>Embl</w:t>
      </w:r>
      <w:r w:rsidR="0042393B" w:rsidRPr="00AC271F">
        <w:t>È</w:t>
      </w:r>
      <w:r w:rsidR="00D915D7" w:rsidRPr="00AC271F">
        <w:t>me</w:t>
      </w:r>
      <w:r w:rsidR="00C10A1F" w:rsidRPr="00AC271F">
        <w:t xml:space="preserve"> de la Convention</w:t>
      </w:r>
      <w:bookmarkEnd w:id="95"/>
      <w:bookmarkEnd w:id="96"/>
      <w:bookmarkEnd w:id="97"/>
      <w:bookmarkEnd w:id="98"/>
      <w:bookmarkEnd w:id="99"/>
      <w:bookmarkEnd w:id="100"/>
      <w:bookmarkEnd w:id="101"/>
    </w:p>
    <w:p w:rsidR="004325DC" w:rsidRPr="00AC271F" w:rsidRDefault="00C10A1F" w:rsidP="00914287">
      <w:pPr>
        <w:pStyle w:val="Texte1"/>
      </w:pPr>
      <w:r w:rsidRPr="00AC271F">
        <w:t>L</w:t>
      </w:r>
      <w:r w:rsidR="00A61E6D" w:rsidRPr="00AC271F">
        <w:t>’</w:t>
      </w:r>
      <w:r w:rsidRPr="00AC271F">
        <w:t xml:space="preserve">emblème de la Convention </w:t>
      </w:r>
      <w:r w:rsidR="00D52B2C" w:rsidRPr="00AC271F">
        <w:t xml:space="preserve">est fait pour </w:t>
      </w:r>
      <w:r w:rsidRPr="00AC271F">
        <w:t xml:space="preserve">donner une meilleure visibilité à la Convention et peut </w:t>
      </w:r>
      <w:r w:rsidR="00D52B2C" w:rsidRPr="00AC271F">
        <w:t>servir</w:t>
      </w:r>
      <w:r w:rsidRPr="00AC271F">
        <w:t xml:space="preserve"> dans certaines campagnes de sensibilisation. L</w:t>
      </w:r>
      <w:r w:rsidR="00A61E6D" w:rsidRPr="00AC271F">
        <w:t>’</w:t>
      </w:r>
      <w:r w:rsidRPr="00AC271F">
        <w:t>emblème ne doit être utilisé qu</w:t>
      </w:r>
      <w:r w:rsidR="00A61E6D" w:rsidRPr="00AC271F">
        <w:t>’</w:t>
      </w:r>
      <w:r w:rsidRPr="00AC271F">
        <w:t>en accompagnement du logo de l</w:t>
      </w:r>
      <w:r w:rsidR="00A61E6D" w:rsidRPr="00AC271F">
        <w:t>’</w:t>
      </w:r>
      <w:r w:rsidRPr="00AC271F">
        <w:t>UNESCO (</w:t>
      </w:r>
      <w:r w:rsidR="00461004" w:rsidRPr="00AC271F">
        <w:t>DO </w:t>
      </w:r>
      <w:r w:rsidRPr="00AC271F">
        <w:t>125). L</w:t>
      </w:r>
      <w:r w:rsidR="00A61E6D" w:rsidRPr="00AC271F">
        <w:t>’</w:t>
      </w:r>
      <w:r w:rsidRPr="00AC271F">
        <w:t xml:space="preserve">utilisation des deux logos obéit à des règles (voir </w:t>
      </w:r>
      <w:r w:rsidR="00461004" w:rsidRPr="00AC271F">
        <w:t>DO </w:t>
      </w:r>
      <w:r w:rsidRPr="00AC271F">
        <w:t>128).</w:t>
      </w:r>
    </w:p>
    <w:p w:rsidR="004325DC" w:rsidRPr="00AC271F" w:rsidRDefault="00D52B2C" w:rsidP="00914287">
      <w:pPr>
        <w:pStyle w:val="Texte1"/>
      </w:pPr>
      <w:r w:rsidRPr="00AC271F">
        <w:t>Seuls les O</w:t>
      </w:r>
      <w:r w:rsidR="00C10A1F" w:rsidRPr="00AC271F">
        <w:t>rganes de la Convention et son Secrétariat ont le droit d</w:t>
      </w:r>
      <w:r w:rsidR="00A61E6D" w:rsidRPr="00AC271F">
        <w:t>’</w:t>
      </w:r>
      <w:r w:rsidR="00C10A1F" w:rsidRPr="00AC271F">
        <w:t>utiliser l</w:t>
      </w:r>
      <w:r w:rsidR="00A61E6D" w:rsidRPr="00AC271F">
        <w:t>’</w:t>
      </w:r>
      <w:r w:rsidR="00C10A1F" w:rsidRPr="00AC271F">
        <w:t>emblème sans autorisation préalable. Cette autorisation peut être accordée à d</w:t>
      </w:r>
      <w:r w:rsidR="00A61E6D" w:rsidRPr="00AC271F">
        <w:t>’</w:t>
      </w:r>
      <w:r w:rsidR="00BD777E" w:rsidRPr="00AC271F">
        <w:t>autres instances par les O</w:t>
      </w:r>
      <w:r w:rsidR="00C10A1F" w:rsidRPr="00AC271F">
        <w:t>rganes de la Convention et, dans</w:t>
      </w:r>
      <w:r w:rsidR="00BD777E" w:rsidRPr="00AC271F">
        <w:t xml:space="preserve"> des cas particuliers, par le</w:t>
      </w:r>
      <w:r w:rsidR="00C10A1F" w:rsidRPr="00AC271F">
        <w:t xml:space="preserve"> Directeur général de l</w:t>
      </w:r>
      <w:r w:rsidR="00A61E6D" w:rsidRPr="00AC271F">
        <w:t>’</w:t>
      </w:r>
      <w:r w:rsidR="00C10A1F" w:rsidRPr="00AC271F">
        <w:t>UNESCO. L</w:t>
      </w:r>
      <w:r w:rsidR="00C95324" w:rsidRPr="00AC271F">
        <w:t xml:space="preserve">eur </w:t>
      </w:r>
      <w:r w:rsidR="00C10A1F" w:rsidRPr="00AC271F">
        <w:t>utilisation de l</w:t>
      </w:r>
      <w:r w:rsidR="00A61E6D" w:rsidRPr="00AC271F">
        <w:t>’</w:t>
      </w:r>
      <w:r w:rsidR="00C10A1F" w:rsidRPr="00AC271F">
        <w:t xml:space="preserve">emblème </w:t>
      </w:r>
      <w:r w:rsidR="00C95324" w:rsidRPr="00AC271F">
        <w:t>ne peut être</w:t>
      </w:r>
      <w:r w:rsidR="00C10A1F" w:rsidRPr="00AC271F">
        <w:t xml:space="preserve"> autorisée </w:t>
      </w:r>
      <w:r w:rsidR="00C95324" w:rsidRPr="00AC271F">
        <w:t>que</w:t>
      </w:r>
      <w:r w:rsidR="00C10A1F" w:rsidRPr="00AC271F">
        <w:t xml:space="preserve"> si le projet ou la manifestation concerné</w:t>
      </w:r>
      <w:r w:rsidR="00C95324" w:rsidRPr="00AC271F">
        <w:t>e</w:t>
      </w:r>
      <w:r w:rsidR="00C10A1F" w:rsidRPr="00AC271F">
        <w:t xml:space="preserve"> répond aux buts de la Convention et est conforme à ses principes (</w:t>
      </w:r>
      <w:r w:rsidR="00461004" w:rsidRPr="00AC271F">
        <w:t>DO </w:t>
      </w:r>
      <w:r w:rsidR="00C10A1F" w:rsidRPr="00AC271F">
        <w:t>134). Les autres critères et conditions d</w:t>
      </w:r>
      <w:r w:rsidR="00A61E6D" w:rsidRPr="00AC271F">
        <w:t>’</w:t>
      </w:r>
      <w:r w:rsidR="00C10A1F" w:rsidRPr="00AC271F">
        <w:t>utilisation de l</w:t>
      </w:r>
      <w:r w:rsidR="00A61E6D" w:rsidRPr="00AC271F">
        <w:t>’</w:t>
      </w:r>
      <w:r w:rsidR="00C10A1F" w:rsidRPr="00AC271F">
        <w:t xml:space="preserve">emblème </w:t>
      </w:r>
      <w:r w:rsidR="00C95324" w:rsidRPr="00AC271F">
        <w:t>figurent</w:t>
      </w:r>
      <w:r w:rsidR="00C10A1F" w:rsidRPr="00AC271F">
        <w:t xml:space="preserve"> dans les </w:t>
      </w:r>
      <w:r w:rsidR="00461004" w:rsidRPr="00AC271F">
        <w:t>DO </w:t>
      </w:r>
      <w:r w:rsidR="00C10A1F" w:rsidRPr="00AC271F">
        <w:t>137</w:t>
      </w:r>
      <w:r w:rsidR="00BB70F2" w:rsidRPr="00AC271F">
        <w:t>-</w:t>
      </w:r>
      <w:r w:rsidR="00BC0766">
        <w:t>139.</w:t>
      </w:r>
    </w:p>
    <w:p w:rsidR="004325DC" w:rsidRPr="00AC271F" w:rsidRDefault="00C10A1F" w:rsidP="00914287">
      <w:pPr>
        <w:pStyle w:val="Texte1"/>
      </w:pPr>
      <w:r w:rsidRPr="00AC271F">
        <w:t>L</w:t>
      </w:r>
      <w:r w:rsidR="00A61E6D" w:rsidRPr="00AC271F">
        <w:t>’</w:t>
      </w:r>
      <w:r w:rsidRPr="00AC271F">
        <w:t>autorisation de l</w:t>
      </w:r>
      <w:r w:rsidR="00A61E6D" w:rsidRPr="00AC271F">
        <w:t>’</w:t>
      </w:r>
      <w:r w:rsidRPr="00AC271F">
        <w:t>utilisation commerciale de l</w:t>
      </w:r>
      <w:r w:rsidR="00A61E6D" w:rsidRPr="00AC271F">
        <w:t>’</w:t>
      </w:r>
      <w:r w:rsidRPr="00AC271F">
        <w:t>emblème est possible, bien qu</w:t>
      </w:r>
      <w:r w:rsidR="00A61E6D" w:rsidRPr="00AC271F">
        <w:t>’</w:t>
      </w:r>
      <w:r w:rsidRPr="00AC271F">
        <w:t>uniquement dans le contexte de l</w:t>
      </w:r>
      <w:r w:rsidR="00A61E6D" w:rsidRPr="00AC271F">
        <w:t>’</w:t>
      </w:r>
      <w:r w:rsidRPr="00AC271F">
        <w:t xml:space="preserve">activité à laquelle </w:t>
      </w:r>
      <w:r w:rsidR="00ED5080" w:rsidRPr="00AC271F">
        <w:t xml:space="preserve">il </w:t>
      </w:r>
      <w:r w:rsidRPr="00AC271F">
        <w:t>est associé (</w:t>
      </w:r>
      <w:r w:rsidR="00461004" w:rsidRPr="00AC271F">
        <w:t>DO </w:t>
      </w:r>
      <w:r w:rsidRPr="00AC271F">
        <w:t>141) et seulement dans le cadre d</w:t>
      </w:r>
      <w:r w:rsidR="00A61E6D" w:rsidRPr="00AC271F">
        <w:t>’</w:t>
      </w:r>
      <w:r w:rsidRPr="00AC271F">
        <w:t>un arrangement contractuel spécifique (</w:t>
      </w:r>
      <w:r w:rsidR="00461004" w:rsidRPr="00AC271F">
        <w:t>DO </w:t>
      </w:r>
      <w:r w:rsidRPr="00AC271F">
        <w:t>142).</w:t>
      </w:r>
    </w:p>
    <w:p w:rsidR="004325DC" w:rsidRPr="00AC271F" w:rsidRDefault="00235024" w:rsidP="00A81184">
      <w:pPr>
        <w:pStyle w:val="Titcoul"/>
      </w:pPr>
      <w:bookmarkStart w:id="102" w:name="_Toc238963201"/>
      <w:bookmarkStart w:id="103" w:name="_Toc241065087"/>
      <w:bookmarkStart w:id="104" w:name="_Toc301443345"/>
      <w:bookmarkStart w:id="105" w:name="_Toc321406989"/>
      <w:bookmarkStart w:id="106" w:name="_Toc354486612"/>
      <w:bookmarkStart w:id="107" w:name="_Toc354486918"/>
      <w:bookmarkStart w:id="108" w:name="_Toc247360188"/>
      <w:r w:rsidRPr="00AC271F">
        <w:t>5</w:t>
      </w:r>
      <w:r w:rsidR="00C10A1F" w:rsidRPr="00AC271F">
        <w:t>.11</w:t>
      </w:r>
      <w:bookmarkEnd w:id="102"/>
      <w:bookmarkEnd w:id="103"/>
      <w:r w:rsidR="00901A6A" w:rsidRPr="00AC271F">
        <w:tab/>
      </w:r>
      <w:bookmarkStart w:id="109" w:name="_Toc238963202"/>
      <w:bookmarkStart w:id="110" w:name="_Toc241065088"/>
      <w:r w:rsidR="00374276" w:rsidRPr="00AC271F">
        <w:t xml:space="preserve">prise de </w:t>
      </w:r>
      <w:bookmarkEnd w:id="104"/>
      <w:bookmarkEnd w:id="105"/>
      <w:bookmarkEnd w:id="106"/>
      <w:bookmarkEnd w:id="107"/>
      <w:bookmarkEnd w:id="108"/>
      <w:bookmarkEnd w:id="109"/>
      <w:bookmarkEnd w:id="110"/>
      <w:r w:rsidR="00374276" w:rsidRPr="00AC271F">
        <w:t xml:space="preserve">conscience </w:t>
      </w:r>
      <w:r w:rsidR="00A86250" w:rsidRPr="00AC271F">
        <w:t>responsable</w:t>
      </w:r>
    </w:p>
    <w:p w:rsidR="004325DC" w:rsidRPr="00AC271F" w:rsidRDefault="00C10A1F" w:rsidP="00914287">
      <w:pPr>
        <w:pStyle w:val="Texte1"/>
      </w:pPr>
      <w:r w:rsidRPr="00AC271F">
        <w:t xml:space="preserve">Le fait de suivre les avis prodigués par les </w:t>
      </w:r>
      <w:r w:rsidR="00461004" w:rsidRPr="00AC271F">
        <w:t>DO</w:t>
      </w:r>
      <w:r w:rsidR="009867A4" w:rsidRPr="00AC271F">
        <w:t xml:space="preserve"> </w:t>
      </w:r>
      <w:r w:rsidR="004568D5" w:rsidRPr="00AC271F">
        <w:t>permet d’</w:t>
      </w:r>
      <w:r w:rsidRPr="00AC271F">
        <w:t xml:space="preserve">assurer que les actions de sensibilisation ne mettent pas en péril la viabilité du PCI. Il est important, par exemple, de protéger le PCI et les communautés concernées </w:t>
      </w:r>
      <w:r w:rsidR="004568D5" w:rsidRPr="00AC271F">
        <w:t xml:space="preserve">contre </w:t>
      </w:r>
      <w:r w:rsidRPr="00AC271F">
        <w:t>une mauvaise représentation ou exploitation à travers des activités de sensibilisation (</w:t>
      </w:r>
      <w:r w:rsidR="00461004" w:rsidRPr="00AC271F">
        <w:t>DO </w:t>
      </w:r>
      <w:r w:rsidRPr="00AC271F">
        <w:t>101 et 102). Les éléments du PCI ne doivent pas être décontextualisés dans les activités de sensibilisation (</w:t>
      </w:r>
      <w:r w:rsidR="00461004" w:rsidRPr="00AC271F">
        <w:t>DO </w:t>
      </w:r>
      <w:r w:rsidRPr="00AC271F">
        <w:t>102 et 120).</w:t>
      </w:r>
    </w:p>
    <w:p w:rsidR="004325DC" w:rsidRPr="00AC271F" w:rsidRDefault="004568D5" w:rsidP="00914287">
      <w:pPr>
        <w:pStyle w:val="Texte1"/>
      </w:pPr>
      <w:r w:rsidRPr="00AC271F">
        <w:t xml:space="preserve">Que ce soit </w:t>
      </w:r>
      <w:r w:rsidR="00C10A1F" w:rsidRPr="00AC271F">
        <w:t xml:space="preserve">au niveau national </w:t>
      </w:r>
      <w:r w:rsidRPr="00AC271F">
        <w:t xml:space="preserve">ou </w:t>
      </w:r>
      <w:r w:rsidR="00C10A1F" w:rsidRPr="00AC271F">
        <w:t>inte</w:t>
      </w:r>
      <w:r w:rsidRPr="00AC271F">
        <w:t>rnational, la sensibilisation doit non</w:t>
      </w:r>
      <w:r w:rsidR="00C10A1F" w:rsidRPr="00AC271F">
        <w:t xml:space="preserve"> seulement porter sur l</w:t>
      </w:r>
      <w:r w:rsidR="00A61E6D" w:rsidRPr="00AC271F">
        <w:t>’</w:t>
      </w:r>
      <w:r w:rsidR="00C10A1F" w:rsidRPr="00AC271F">
        <w:t>attrait esthétique ou la valeur de divertissement des éléments du PCI, mais aussi mettre l</w:t>
      </w:r>
      <w:r w:rsidR="00A61E6D" w:rsidRPr="00AC271F">
        <w:t>’</w:t>
      </w:r>
      <w:r w:rsidR="00C10A1F" w:rsidRPr="00AC271F">
        <w:t xml:space="preserve">accent sur </w:t>
      </w:r>
      <w:r w:rsidRPr="00AC271F">
        <w:t>leur contribution à la cohésion sociale, au développement durable et à la prévention des conflits (DO 111)</w:t>
      </w:r>
      <w:r w:rsidR="00910D2B" w:rsidRPr="00AC271F">
        <w:t xml:space="preserve"> et sur </w:t>
      </w:r>
      <w:r w:rsidR="00C10A1F" w:rsidRPr="00AC271F">
        <w:t>leur valeur et leur signification pour les communautés concernées (</w:t>
      </w:r>
      <w:r w:rsidR="00461004" w:rsidRPr="00AC271F">
        <w:t>DO </w:t>
      </w:r>
      <w:r w:rsidR="00910D2B" w:rsidRPr="00AC271F">
        <w:t>120)</w:t>
      </w:r>
      <w:r w:rsidR="00C10A1F" w:rsidRPr="00AC271F">
        <w:t>.</w:t>
      </w:r>
    </w:p>
    <w:p w:rsidR="004325DC" w:rsidRPr="00AC271F" w:rsidRDefault="00C10A1F" w:rsidP="00914287">
      <w:pPr>
        <w:pStyle w:val="Texte1"/>
      </w:pPr>
      <w:r w:rsidRPr="00AC271F">
        <w:lastRenderedPageBreak/>
        <w:t>L</w:t>
      </w:r>
      <w:r w:rsidR="00A61E6D" w:rsidRPr="00AC271F">
        <w:t>’</w:t>
      </w:r>
      <w:r w:rsidRPr="00AC271F">
        <w:t>accès à l</w:t>
      </w:r>
      <w:r w:rsidR="00A61E6D" w:rsidRPr="00AC271F">
        <w:t>’</w:t>
      </w:r>
      <w:r w:rsidRPr="00AC271F">
        <w:t>information sur le PCI doit, bien</w:t>
      </w:r>
      <w:r w:rsidR="009326D0" w:rsidRPr="00AC271F">
        <w:t xml:space="preserve"> entendu</w:t>
      </w:r>
      <w:r w:rsidRPr="00AC271F">
        <w:t xml:space="preserve">, être </w:t>
      </w:r>
      <w:r w:rsidR="009326D0" w:rsidRPr="00AC271F">
        <w:t>géré</w:t>
      </w:r>
      <w:r w:rsidRPr="00AC271F">
        <w:t xml:space="preserve"> conformément aux souhaits des communautés, groupes et individus concernés. L</w:t>
      </w:r>
      <w:r w:rsidR="00A61E6D" w:rsidRPr="00AC271F">
        <w:t>’</w:t>
      </w:r>
      <w:r w:rsidRPr="00AC271F">
        <w:t xml:space="preserve">Australian Institute of Aboriginal and </w:t>
      </w:r>
      <w:r w:rsidR="00B72F39" w:rsidRPr="00AC271F">
        <w:rPr>
          <w:noProof/>
          <w:lang w:val="es-ES_tradnl" w:eastAsia="es-ES_tradnl"/>
        </w:rPr>
        <w:drawing>
          <wp:anchor distT="0" distB="0" distL="114300" distR="114300" simplePos="0" relativeHeight="251977216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71F">
        <w:t>Torres Strait Islander Studie</w:t>
      </w:r>
      <w:r w:rsidR="009326D0" w:rsidRPr="00AC271F">
        <w:t>s</w:t>
      </w:r>
      <w:r w:rsidRPr="00AC271F">
        <w:t xml:space="preserve"> (</w:t>
      </w:r>
      <w:r w:rsidR="003F5CA8" w:rsidRPr="00AC271F">
        <w:t xml:space="preserve">Étude </w:t>
      </w:r>
      <w:r w:rsidR="009326D0" w:rsidRPr="00AC271F">
        <w:t>de cas </w:t>
      </w:r>
      <w:r w:rsidRPr="00AC271F">
        <w:t xml:space="preserve">5), par exemple, </w:t>
      </w:r>
      <w:r w:rsidR="009326D0" w:rsidRPr="00AC271F">
        <w:t xml:space="preserve">applique </w:t>
      </w:r>
      <w:r w:rsidRPr="00AC271F">
        <w:t>des dispositions qui garantissent la confidentialité et l</w:t>
      </w:r>
      <w:r w:rsidR="00A61E6D" w:rsidRPr="00AC271F">
        <w:t>’</w:t>
      </w:r>
      <w:r w:rsidRPr="00AC271F">
        <w:t xml:space="preserve">accès des utilisateurs aux bases de données du </w:t>
      </w:r>
      <w:r w:rsidR="009326D0" w:rsidRPr="00AC271F">
        <w:t>patrimoine</w:t>
      </w:r>
      <w:r w:rsidR="00BB2FF5" w:rsidRPr="00AC271F">
        <w:t xml:space="preserve"> immatériel</w:t>
      </w:r>
      <w:r w:rsidRPr="00AC271F">
        <w:t>.</w:t>
      </w:r>
    </w:p>
    <w:p w:rsidR="00C10A1F" w:rsidRPr="00AC271F" w:rsidRDefault="00C10A1F">
      <w:pPr>
        <w:pStyle w:val="Heading4"/>
      </w:pPr>
      <w:bookmarkStart w:id="111" w:name="_Toc247360189"/>
      <w:r w:rsidRPr="00AC271F">
        <w:t>Codes d</w:t>
      </w:r>
      <w:r w:rsidR="00A61E6D" w:rsidRPr="00AC271F">
        <w:t>’</w:t>
      </w:r>
      <w:r w:rsidR="00813717" w:rsidRPr="00AC271F">
        <w:t>É</w:t>
      </w:r>
      <w:r w:rsidRPr="00AC271F">
        <w:t>thique</w:t>
      </w:r>
      <w:bookmarkEnd w:id="111"/>
    </w:p>
    <w:p w:rsidR="004325DC" w:rsidRPr="00AC271F" w:rsidRDefault="00C10A1F" w:rsidP="00914287">
      <w:pPr>
        <w:pStyle w:val="Texte1"/>
      </w:pPr>
      <w:r w:rsidRPr="00AC271F">
        <w:t>Les États parties peuvent souhaiter é</w:t>
      </w:r>
      <w:r w:rsidR="00FE6A0E" w:rsidRPr="00AC271F">
        <w:t>laborer</w:t>
      </w:r>
      <w:r w:rsidRPr="00AC271F">
        <w:t xml:space="preserve"> des codes d</w:t>
      </w:r>
      <w:r w:rsidR="00A61E6D" w:rsidRPr="00AC271F">
        <w:t>’</w:t>
      </w:r>
      <w:r w:rsidRPr="00AC271F">
        <w:t xml:space="preserve">éthique </w:t>
      </w:r>
      <w:r w:rsidR="00FE6A0E" w:rsidRPr="00AC271F">
        <w:t>afin d’</w:t>
      </w:r>
      <w:r w:rsidRPr="00AC271F">
        <w:t>encourager une prise de conscience responsable (</w:t>
      </w:r>
      <w:r w:rsidR="00461004" w:rsidRPr="00AC271F">
        <w:t>DO </w:t>
      </w:r>
      <w:r w:rsidRPr="00AC271F">
        <w:t>10</w:t>
      </w:r>
      <w:r w:rsidR="00EC38A5" w:rsidRPr="00AC271F">
        <w:t>3). Voici quelques-unes des question</w:t>
      </w:r>
      <w:r w:rsidRPr="00AC271F">
        <w:t>s que p</w:t>
      </w:r>
      <w:r w:rsidR="00EC38A5" w:rsidRPr="00AC271F">
        <w:t>ourraie</w:t>
      </w:r>
      <w:r w:rsidRPr="00AC271F">
        <w:t xml:space="preserve">nt </w:t>
      </w:r>
      <w:r w:rsidR="00EC38A5" w:rsidRPr="00AC271F">
        <w:t>aborder</w:t>
      </w:r>
      <w:r w:rsidRPr="00AC271F">
        <w:t xml:space="preserve"> ces codes d</w:t>
      </w:r>
      <w:r w:rsidR="00A61E6D" w:rsidRPr="00AC271F">
        <w:t>’</w:t>
      </w:r>
      <w:r w:rsidRPr="00AC271F">
        <w:t>éthique</w:t>
      </w:r>
      <w:r w:rsidR="00EA1FE1" w:rsidRPr="00AC271F">
        <w:t> :</w:t>
      </w:r>
    </w:p>
    <w:p w:rsidR="004325DC" w:rsidRPr="00AC271F" w:rsidRDefault="00EC38A5" w:rsidP="00170452">
      <w:pPr>
        <w:pStyle w:val="Txtpucegras"/>
        <w:ind w:left="1134"/>
      </w:pPr>
      <w:r w:rsidRPr="00AC271F">
        <w:rPr>
          <w:i/>
        </w:rPr>
        <w:t xml:space="preserve">Participation et </w:t>
      </w:r>
      <w:r w:rsidR="00C10A1F" w:rsidRPr="00AC271F">
        <w:rPr>
          <w:i/>
        </w:rPr>
        <w:t>consentement de</w:t>
      </w:r>
      <w:r w:rsidR="003B1742" w:rsidRPr="00AC271F">
        <w:rPr>
          <w:i/>
        </w:rPr>
        <w:t xml:space="preserve"> la</w:t>
      </w:r>
      <w:r w:rsidR="00C10A1F" w:rsidRPr="00AC271F">
        <w:rPr>
          <w:i/>
        </w:rPr>
        <w:t xml:space="preserve"> communauté</w:t>
      </w:r>
      <w:r w:rsidR="00EA1FE1" w:rsidRPr="00AC271F">
        <w:t> :</w:t>
      </w:r>
      <w:r w:rsidR="00C10A1F" w:rsidRPr="00AC271F">
        <w:t xml:space="preserve"> </w:t>
      </w:r>
      <w:r w:rsidR="003B1742" w:rsidRPr="00AC271F">
        <w:t xml:space="preserve">il convient d’assurer </w:t>
      </w:r>
      <w:r w:rsidR="00C10A1F" w:rsidRPr="00AC271F">
        <w:t xml:space="preserve">la participation </w:t>
      </w:r>
      <w:r w:rsidR="003B1742" w:rsidRPr="00AC271F">
        <w:t xml:space="preserve">la plus large </w:t>
      </w:r>
      <w:r w:rsidR="00C10A1F" w:rsidRPr="00AC271F">
        <w:t>possible des communautés concernées aux acti</w:t>
      </w:r>
      <w:r w:rsidR="003B1742" w:rsidRPr="00AC271F">
        <w:t>ons</w:t>
      </w:r>
      <w:r w:rsidR="00C10A1F" w:rsidRPr="00AC271F">
        <w:t xml:space="preserve"> de sensibilisation à leur PCI et</w:t>
      </w:r>
      <w:r w:rsidR="003B1742" w:rsidRPr="00AC271F">
        <w:t xml:space="preserve"> d’obtenir</w:t>
      </w:r>
      <w:r w:rsidR="00C10A1F" w:rsidRPr="00AC271F">
        <w:t xml:space="preserve"> leur consentement libre, préalable et </w:t>
      </w:r>
      <w:r w:rsidRPr="00AC271F">
        <w:t>inform</w:t>
      </w:r>
      <w:r w:rsidR="003B1742" w:rsidRPr="00AC271F">
        <w:t>é</w:t>
      </w:r>
      <w:r w:rsidR="00C10A1F" w:rsidRPr="00AC271F">
        <w:t xml:space="preserve"> </w:t>
      </w:r>
      <w:r w:rsidR="003B1742" w:rsidRPr="00AC271F">
        <w:t>aux</w:t>
      </w:r>
      <w:r w:rsidR="00C10A1F" w:rsidRPr="00AC271F">
        <w:t xml:space="preserve"> activités p</w:t>
      </w:r>
      <w:r w:rsidRPr="00AC271F">
        <w:t>révu</w:t>
      </w:r>
      <w:r w:rsidR="00C10A1F" w:rsidRPr="00AC271F">
        <w:t>es (</w:t>
      </w:r>
      <w:r w:rsidR="00461004" w:rsidRPr="00AC271F">
        <w:t>DO </w:t>
      </w:r>
      <w:r w:rsidR="00C10A1F" w:rsidRPr="00AC271F">
        <w:t>101(b)).</w:t>
      </w:r>
    </w:p>
    <w:p w:rsidR="004325DC" w:rsidRPr="00AC271F" w:rsidRDefault="003B1742" w:rsidP="00170452">
      <w:pPr>
        <w:pStyle w:val="Txtpucegras"/>
        <w:ind w:left="1134"/>
      </w:pPr>
      <w:r w:rsidRPr="00AC271F">
        <w:rPr>
          <w:i/>
        </w:rPr>
        <w:t>R</w:t>
      </w:r>
      <w:r w:rsidR="00C10A1F" w:rsidRPr="00AC271F">
        <w:rPr>
          <w:i/>
        </w:rPr>
        <w:t xml:space="preserve">espect des </w:t>
      </w:r>
      <w:r w:rsidR="00EA4094" w:rsidRPr="00AC271F">
        <w:rPr>
          <w:i/>
        </w:rPr>
        <w:t>pratique</w:t>
      </w:r>
      <w:r w:rsidR="00C10A1F" w:rsidRPr="00AC271F">
        <w:rPr>
          <w:i/>
        </w:rPr>
        <w:t xml:space="preserve">s coutumières </w:t>
      </w:r>
      <w:r w:rsidR="00EA4094" w:rsidRPr="00AC271F">
        <w:rPr>
          <w:i/>
        </w:rPr>
        <w:t>régiss</w:t>
      </w:r>
      <w:r w:rsidR="00C10A1F" w:rsidRPr="00AC271F">
        <w:rPr>
          <w:i/>
        </w:rPr>
        <w:t>ant l</w:t>
      </w:r>
      <w:r w:rsidR="00A61E6D" w:rsidRPr="00AC271F">
        <w:rPr>
          <w:i/>
        </w:rPr>
        <w:t>’</w:t>
      </w:r>
      <w:r w:rsidR="00C10A1F" w:rsidRPr="00AC271F">
        <w:rPr>
          <w:i/>
        </w:rPr>
        <w:t>accès</w:t>
      </w:r>
      <w:r w:rsidR="00EA1FE1" w:rsidRPr="00AC271F">
        <w:t> :</w:t>
      </w:r>
      <w:r w:rsidR="00C10A1F" w:rsidRPr="00AC271F">
        <w:t xml:space="preserve"> les acti</w:t>
      </w:r>
      <w:r w:rsidRPr="00AC271F">
        <w:t>on</w:t>
      </w:r>
      <w:r w:rsidR="00C10A1F" w:rsidRPr="00AC271F">
        <w:t>s de sensibilisation doivent respec</w:t>
      </w:r>
      <w:r w:rsidR="00EA4094" w:rsidRPr="00AC271F">
        <w:t>ter pleinement toute restriction imposée dans les pratiques</w:t>
      </w:r>
      <w:r w:rsidR="00C10A1F" w:rsidRPr="00AC271F">
        <w:t xml:space="preserve"> coutumières régissant l</w:t>
      </w:r>
      <w:r w:rsidR="00A61E6D" w:rsidRPr="00AC271F">
        <w:t>’</w:t>
      </w:r>
      <w:r w:rsidR="00C10A1F" w:rsidRPr="00AC271F">
        <w:t>accès au PCI (</w:t>
      </w:r>
      <w:r w:rsidR="00043DFF" w:rsidRPr="00AC271F">
        <w:t>article </w:t>
      </w:r>
      <w:r w:rsidR="00C10A1F" w:rsidRPr="00AC271F">
        <w:t>13(d</w:t>
      </w:r>
      <w:proofErr w:type="gramStart"/>
      <w:r w:rsidR="00C10A1F" w:rsidRPr="00AC271F">
        <w:t>)(</w:t>
      </w:r>
      <w:proofErr w:type="gramEnd"/>
      <w:r w:rsidR="00C10A1F" w:rsidRPr="00AC271F">
        <w:t>ii)</w:t>
      </w:r>
      <w:r w:rsidR="00EA1FE1" w:rsidRPr="00AC271F">
        <w:t> ;</w:t>
      </w:r>
      <w:r w:rsidR="00C10A1F" w:rsidRPr="00AC271F">
        <w:t xml:space="preserve"> </w:t>
      </w:r>
      <w:r w:rsidR="00461004" w:rsidRPr="00AC271F">
        <w:t>DO </w:t>
      </w:r>
      <w:r w:rsidR="00C10A1F" w:rsidRPr="00AC271F">
        <w:t>101(c)).</w:t>
      </w:r>
    </w:p>
    <w:p w:rsidR="004325DC" w:rsidRPr="00AC271F" w:rsidRDefault="00200FFE" w:rsidP="00170452">
      <w:pPr>
        <w:pStyle w:val="Txtpucegras"/>
        <w:ind w:left="1134"/>
      </w:pPr>
      <w:r w:rsidRPr="00AC271F">
        <w:rPr>
          <w:i/>
        </w:rPr>
        <w:t>R</w:t>
      </w:r>
      <w:r w:rsidR="00C10A1F" w:rsidRPr="00AC271F">
        <w:rPr>
          <w:i/>
        </w:rPr>
        <w:t>espect mutuel</w:t>
      </w:r>
      <w:r w:rsidR="00EA1FE1" w:rsidRPr="00AC271F">
        <w:t> :</w:t>
      </w:r>
      <w:r w:rsidR="00C10A1F" w:rsidRPr="00AC271F">
        <w:t xml:space="preserve"> veiller à </w:t>
      </w:r>
      <w:r w:rsidR="00192C9F" w:rsidRPr="00AC271F">
        <w:t>observer</w:t>
      </w:r>
      <w:r w:rsidR="00C10A1F" w:rsidRPr="00AC271F">
        <w:t xml:space="preserve"> les </w:t>
      </w:r>
      <w:r w:rsidR="00192C9F" w:rsidRPr="00AC271F">
        <w:t>principes de respect mutuel et l</w:t>
      </w:r>
      <w:r w:rsidR="00C10A1F" w:rsidRPr="00AC271F">
        <w:t xml:space="preserve">es droits </w:t>
      </w:r>
      <w:r w:rsidR="00192C9F" w:rsidRPr="00AC271F">
        <w:t>de l’homme</w:t>
      </w:r>
      <w:r w:rsidR="00C10A1F" w:rsidRPr="00AC271F">
        <w:t xml:space="preserve">, à ce que le PCI </w:t>
      </w:r>
      <w:r w:rsidR="00192C9F" w:rsidRPr="00AC271F">
        <w:t>présenté</w:t>
      </w:r>
      <w:r w:rsidR="00C10A1F" w:rsidRPr="00AC271F">
        <w:t xml:space="preserve"> dans les </w:t>
      </w:r>
      <w:r w:rsidR="00192C9F" w:rsidRPr="00AC271F">
        <w:t>démarche</w:t>
      </w:r>
      <w:r w:rsidR="00C10A1F" w:rsidRPr="00AC271F">
        <w:t xml:space="preserve">s de </w:t>
      </w:r>
      <w:r w:rsidR="00192C9F" w:rsidRPr="00AC271F">
        <w:t>sensibilisation</w:t>
      </w:r>
      <w:r w:rsidR="00C10A1F" w:rsidRPr="00AC271F">
        <w:t xml:space="preserve"> soit conforme à la définition de la Convention (</w:t>
      </w:r>
      <w:r w:rsidR="00043DFF" w:rsidRPr="00AC271F">
        <w:t>article </w:t>
      </w:r>
      <w:r w:rsidR="00C10A1F" w:rsidRPr="00AC271F">
        <w:t>2.1</w:t>
      </w:r>
      <w:r w:rsidR="00EA1FE1" w:rsidRPr="00AC271F">
        <w:t> ;</w:t>
      </w:r>
      <w:r w:rsidR="00C10A1F" w:rsidRPr="00AC271F">
        <w:t xml:space="preserve"> </w:t>
      </w:r>
      <w:r w:rsidR="00461004" w:rsidRPr="00AC271F">
        <w:t>DO </w:t>
      </w:r>
      <w:r w:rsidR="00C10A1F" w:rsidRPr="00AC271F">
        <w:t>101(a)) et s</w:t>
      </w:r>
      <w:r w:rsidR="00A61E6D" w:rsidRPr="00AC271F">
        <w:t>’</w:t>
      </w:r>
      <w:r w:rsidR="00C10A1F" w:rsidRPr="00AC271F">
        <w:t>assurer que les actions de sensibilisation ne contribuent pas à justifier une quelconque forme de discrimination (</w:t>
      </w:r>
      <w:r w:rsidR="00461004" w:rsidRPr="00AC271F">
        <w:t>DO </w:t>
      </w:r>
      <w:r w:rsidR="00C10A1F" w:rsidRPr="00AC271F">
        <w:t>102(c)).</w:t>
      </w:r>
    </w:p>
    <w:p w:rsidR="004325DC" w:rsidRPr="00AC271F" w:rsidRDefault="00C10A1F" w:rsidP="00170452">
      <w:pPr>
        <w:pStyle w:val="Txtpucegras"/>
        <w:ind w:left="1134"/>
      </w:pPr>
      <w:r w:rsidRPr="00AC271F">
        <w:rPr>
          <w:i/>
        </w:rPr>
        <w:t>Protéger la viabilité</w:t>
      </w:r>
      <w:r w:rsidR="00EA1FE1" w:rsidRPr="00AC271F">
        <w:t> :</w:t>
      </w:r>
      <w:r w:rsidRPr="00AC271F">
        <w:t xml:space="preserve"> les actions de sensibilisation ne doivent pas dé</w:t>
      </w:r>
      <w:r w:rsidR="0006540E" w:rsidRPr="00AC271F">
        <w:t>contextualiser ni dénaturer l’élément</w:t>
      </w:r>
      <w:r w:rsidRPr="00AC271F">
        <w:t xml:space="preserve"> du PCI (</w:t>
      </w:r>
      <w:r w:rsidR="00461004" w:rsidRPr="00AC271F">
        <w:t>DO </w:t>
      </w:r>
      <w:r w:rsidR="00B9744C" w:rsidRPr="00AC271F">
        <w:t>102(a))</w:t>
      </w:r>
      <w:r w:rsidRPr="00AC271F">
        <w:t xml:space="preserve"> </w:t>
      </w:r>
      <w:r w:rsidR="009D00A9" w:rsidRPr="00AC271F">
        <w:t xml:space="preserve">en donnant, par exemple, </w:t>
      </w:r>
      <w:r w:rsidRPr="00AC271F">
        <w:t>des représentations qui sont normalement exécutées dans un certain contexte</w:t>
      </w:r>
      <w:r w:rsidR="009D00A9" w:rsidRPr="00AC271F">
        <w:t>,</w:t>
      </w:r>
      <w:r w:rsidRPr="00AC271F">
        <w:t xml:space="preserve"> en dehors de leur époque ou de leur lieu habituel.</w:t>
      </w:r>
    </w:p>
    <w:p w:rsidR="004325DC" w:rsidRPr="00AC271F" w:rsidRDefault="00C10A1F" w:rsidP="00170452">
      <w:pPr>
        <w:pStyle w:val="Txtpucegras"/>
        <w:ind w:left="1134"/>
      </w:pPr>
      <w:r w:rsidRPr="00AC271F">
        <w:rPr>
          <w:i/>
        </w:rPr>
        <w:t>Juste représentation</w:t>
      </w:r>
      <w:r w:rsidR="00EA1FE1" w:rsidRPr="00AC271F">
        <w:t> :</w:t>
      </w:r>
      <w:r w:rsidRPr="00AC271F">
        <w:t xml:space="preserve"> les actions de </w:t>
      </w:r>
      <w:r w:rsidR="00315C28" w:rsidRPr="00AC271F">
        <w:t xml:space="preserve">sensibilisation ne doivent pas nuire à l’image </w:t>
      </w:r>
      <w:r w:rsidRPr="00AC271F">
        <w:t>de l</w:t>
      </w:r>
      <w:r w:rsidR="00A61E6D" w:rsidRPr="00AC271F">
        <w:t>’</w:t>
      </w:r>
      <w:r w:rsidRPr="00AC271F">
        <w:t>élément du PCI ou des communautés concernées (</w:t>
      </w:r>
      <w:r w:rsidR="00461004" w:rsidRPr="00AC271F">
        <w:t>DO </w:t>
      </w:r>
      <w:r w:rsidRPr="00AC271F">
        <w:t>102(b)).</w:t>
      </w:r>
    </w:p>
    <w:p w:rsidR="004325DC" w:rsidRPr="00AC271F" w:rsidRDefault="00C10A1F" w:rsidP="00170452">
      <w:pPr>
        <w:pStyle w:val="Txtpucegras"/>
        <w:ind w:left="1134"/>
      </w:pPr>
      <w:r w:rsidRPr="00AC271F">
        <w:rPr>
          <w:i/>
        </w:rPr>
        <w:t>Juste bénéfice</w:t>
      </w:r>
      <w:r w:rsidR="00EA1FE1" w:rsidRPr="00AC271F">
        <w:t> :</w:t>
      </w:r>
      <w:r w:rsidRPr="00AC271F">
        <w:t xml:space="preserve"> les communautés concernées doivent bénéficier de</w:t>
      </w:r>
      <w:r w:rsidR="00222119" w:rsidRPr="00AC271F">
        <w:t>s actions de</w:t>
      </w:r>
      <w:r w:rsidRPr="00AC271F">
        <w:t xml:space="preserve"> sensibilisation, non seulement en termes de viabilité accrue de leur PCI (</w:t>
      </w:r>
      <w:r w:rsidR="00461004" w:rsidRPr="00AC271F">
        <w:t>DO </w:t>
      </w:r>
      <w:r w:rsidRPr="00AC271F">
        <w:t>101(d)), mais aussi de toute gratification financière d</w:t>
      </w:r>
      <w:r w:rsidR="00A61E6D" w:rsidRPr="00AC271F">
        <w:t>’</w:t>
      </w:r>
      <w:r w:rsidRPr="00AC271F">
        <w:t>une visibilité ou d</w:t>
      </w:r>
      <w:r w:rsidR="00A61E6D" w:rsidRPr="00AC271F">
        <w:t>’</w:t>
      </w:r>
      <w:r w:rsidRPr="00AC271F">
        <w:t xml:space="preserve">une prise de conscience </w:t>
      </w:r>
      <w:r w:rsidR="00222119" w:rsidRPr="00AC271F">
        <w:t>accrue</w:t>
      </w:r>
      <w:r w:rsidRPr="00AC271F">
        <w:t xml:space="preserve"> de leur PCI. </w:t>
      </w:r>
      <w:r w:rsidR="00AC271F" w:rsidRPr="00AC271F">
        <w:t>L</w:t>
      </w:r>
      <w:r w:rsidRPr="00AC271F">
        <w:t xml:space="preserve">a commercialisation excessive, le détournement des savoirs et savoir-faire, et le tourisme non durable </w:t>
      </w:r>
      <w:r w:rsidR="00AC271F" w:rsidRPr="00AC271F">
        <w:t xml:space="preserve">sont à éviter </w:t>
      </w:r>
      <w:r w:rsidRPr="00AC271F">
        <w:t>(</w:t>
      </w:r>
      <w:r w:rsidR="00461004" w:rsidRPr="00AC271F">
        <w:t>DO </w:t>
      </w:r>
      <w:r w:rsidRPr="00AC271F">
        <w:t xml:space="preserve">102(d) et 102(e)). Les États parties doivent </w:t>
      </w:r>
      <w:r w:rsidR="00AC271F" w:rsidRPr="00AC271F">
        <w:t>s’attacher à</w:t>
      </w:r>
      <w:r w:rsidRPr="00AC271F">
        <w:t xml:space="preserve"> faire en sorte que les droits de propriété intellect</w:t>
      </w:r>
      <w:r w:rsidR="00AC271F" w:rsidRPr="00AC271F">
        <w:t>uelle des communautés relatifs à</w:t>
      </w:r>
      <w:r w:rsidRPr="00AC271F">
        <w:t xml:space="preserve"> le</w:t>
      </w:r>
      <w:r w:rsidR="00AC271F" w:rsidRPr="00AC271F">
        <w:t>ur PCI soient protégés lorsque d</w:t>
      </w:r>
      <w:r w:rsidRPr="00AC271F">
        <w:t>es activités de sensibilisation sont mises en œuvre (</w:t>
      </w:r>
      <w:r w:rsidR="00461004" w:rsidRPr="00AC271F">
        <w:t>DO </w:t>
      </w:r>
      <w:r w:rsidRPr="00AC271F">
        <w:t>104).</w:t>
      </w:r>
      <w:bookmarkStart w:id="112" w:name="3"/>
      <w:bookmarkEnd w:id="112"/>
    </w:p>
    <w:sectPr w:rsidR="004325DC" w:rsidRPr="00AC271F" w:rsidSect="00A419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409BCF" w15:done="0"/>
  <w15:commentEx w15:paraId="311725F1" w15:done="0"/>
  <w15:commentEx w15:paraId="59BC89B0" w15:done="0"/>
  <w15:commentEx w15:paraId="6A3519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19" w:rsidRDefault="00222119" w:rsidP="000F4C6A">
      <w:r>
        <w:separator/>
      </w:r>
    </w:p>
    <w:p w:rsidR="00222119" w:rsidRDefault="00222119"/>
    <w:p w:rsidR="00222119" w:rsidRDefault="00222119"/>
  </w:endnote>
  <w:endnote w:type="continuationSeparator" w:id="0">
    <w:p w:rsidR="00222119" w:rsidRDefault="00222119" w:rsidP="000F4C6A">
      <w:r>
        <w:continuationSeparator/>
      </w:r>
    </w:p>
    <w:p w:rsidR="00222119" w:rsidRDefault="00222119"/>
    <w:p w:rsidR="00222119" w:rsidRDefault="00222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19" w:rsidRDefault="008C01BF" w:rsidP="00A31863">
    <w:pPr>
      <w:pStyle w:val="Footer"/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99232" behindDoc="0" locked="0" layoutInCell="1" allowOverlap="1" wp14:anchorId="4FAF809B" wp14:editId="1AE58D7B">
          <wp:simplePos x="0" y="0"/>
          <wp:positionH relativeFrom="margin">
            <wp:align>left</wp:align>
          </wp:positionH>
          <wp:positionV relativeFrom="paragraph">
            <wp:posOffset>-288925</wp:posOffset>
          </wp:positionV>
          <wp:extent cx="839478" cy="6302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8" cy="630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119">
      <w:tab/>
      <w:t>© UNESCO • Ne pas reproduire sans autorisation</w:t>
    </w:r>
    <w:r w:rsidR="00222119">
      <w:tab/>
      <w:t>U005-v1.1-PT-FR</w:t>
    </w:r>
    <w:r w:rsidR="00222119" w:rsidRPr="00BA76B0" w:rsidDel="00D80F71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19" w:rsidRPr="00A21469" w:rsidRDefault="008C01BF" w:rsidP="00A21469">
    <w:pPr>
      <w:pStyle w:val="Footer"/>
      <w:tabs>
        <w:tab w:val="left" w:pos="2600"/>
      </w:tabs>
      <w:rPr>
        <w:sz w:val="20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2001280" behindDoc="0" locked="0" layoutInCell="1" allowOverlap="1" wp14:anchorId="285D2DF8" wp14:editId="19B93BE4">
          <wp:simplePos x="0" y="0"/>
          <wp:positionH relativeFrom="margin">
            <wp:align>right</wp:align>
          </wp:positionH>
          <wp:positionV relativeFrom="paragraph">
            <wp:posOffset>-288925</wp:posOffset>
          </wp:positionV>
          <wp:extent cx="839470" cy="6299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119">
      <w:t>U005-v1.1-PT-FR</w:t>
    </w:r>
    <w:r w:rsidR="00222119">
      <w:tab/>
      <w:t>© UNESCO • Ne pas reproduire sans autorisation</w:t>
    </w:r>
    <w:r w:rsidR="00222119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19" w:rsidRPr="00150FFB" w:rsidRDefault="008C01BF" w:rsidP="009633A3">
    <w:pPr>
      <w:pStyle w:val="Footer"/>
      <w:tabs>
        <w:tab w:val="left" w:pos="2600"/>
      </w:tabs>
      <w:rPr>
        <w:sz w:val="20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62518AB0" wp14:editId="6D4272B4">
          <wp:simplePos x="0" y="0"/>
          <wp:positionH relativeFrom="margin">
            <wp:align>right</wp:align>
          </wp:positionH>
          <wp:positionV relativeFrom="paragraph">
            <wp:posOffset>-288925</wp:posOffset>
          </wp:positionV>
          <wp:extent cx="839470" cy="629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119">
      <w:t>U005-v1.1-PT-FR</w:t>
    </w:r>
    <w:r w:rsidR="00222119">
      <w:tab/>
      <w:t>© UNESCO • Ne pas reproduire sans autorisation</w:t>
    </w:r>
    <w:r w:rsidR="0022211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19" w:rsidRDefault="00222119" w:rsidP="00150FFB">
      <w:pPr>
        <w:spacing w:after="60"/>
        <w:ind w:left="0"/>
      </w:pPr>
      <w:r>
        <w:separator/>
      </w:r>
    </w:p>
  </w:footnote>
  <w:footnote w:type="continuationSeparator" w:id="0">
    <w:p w:rsidR="00222119" w:rsidRDefault="00222119" w:rsidP="000F4C6A">
      <w:r>
        <w:continuationSeparator/>
      </w:r>
    </w:p>
    <w:p w:rsidR="00222119" w:rsidRDefault="00222119"/>
    <w:p w:rsidR="00222119" w:rsidRDefault="00222119"/>
  </w:footnote>
  <w:footnote w:id="1">
    <w:p w:rsidR="00222119" w:rsidRPr="003B1901" w:rsidRDefault="00222119" w:rsidP="00A03CF1">
      <w:pPr>
        <w:pStyle w:val="FootnoteText"/>
        <w:rPr>
          <w:szCs w:val="16"/>
        </w:rPr>
      </w:pPr>
      <w:r w:rsidRPr="003B1901">
        <w:rPr>
          <w:rStyle w:val="FootnoteReference"/>
          <w:sz w:val="16"/>
          <w:szCs w:val="16"/>
          <w:vertAlign w:val="baseline"/>
        </w:rPr>
        <w:footnoteRef/>
      </w:r>
      <w:r>
        <w:rPr>
          <w:szCs w:val="16"/>
        </w:rPr>
        <w:t>.</w:t>
      </w:r>
      <w:r>
        <w:rPr>
          <w:szCs w:val="16"/>
        </w:rPr>
        <w:tab/>
        <w:t>Fréquemment appelée</w:t>
      </w:r>
      <w:r>
        <w:t xml:space="preserve"> « Convention du patrimoine immatériel », « Convention de 2003 » et, aux fins de la présente unité, dite simplement « la Convention 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19" w:rsidRPr="00603A8C" w:rsidRDefault="00222119" w:rsidP="00150FFB">
    <w:pPr>
      <w:pStyle w:val="Header"/>
      <w:rPr>
        <w:lang w:val="fr-FR"/>
      </w:rPr>
    </w:pPr>
    <w:r>
      <w:rPr>
        <w:rStyle w:val="PageNumber"/>
      </w:rPr>
      <w:fldChar w:fldCharType="begin"/>
    </w:r>
    <w:r w:rsidRPr="00603A8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8C01BF">
      <w:rPr>
        <w:rStyle w:val="PageNumber"/>
        <w:noProof/>
        <w:lang w:val="fr-FR"/>
      </w:rPr>
      <w:t>8</w:t>
    </w:r>
    <w:r>
      <w:rPr>
        <w:rStyle w:val="PageNumber"/>
      </w:rPr>
      <w:fldChar w:fldCharType="end"/>
    </w:r>
    <w:r w:rsidRPr="00603A8C">
      <w:rPr>
        <w:lang w:val="fr-FR"/>
      </w:rPr>
      <w:tab/>
    </w:r>
    <w:r>
      <w:t>Unité 5 : Sensibiliser</w:t>
    </w:r>
    <w:r>
      <w:rPr>
        <w:lang w:val="fr-FR"/>
      </w:rPr>
      <w:tab/>
    </w:r>
    <w:r w:rsidRPr="00603A8C">
      <w:rPr>
        <w:lang w:val="fr-FR"/>
      </w:rPr>
      <w:t>Texte du participant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19" w:rsidRPr="00603A8C" w:rsidRDefault="00222119" w:rsidP="00150FFB">
    <w:pPr>
      <w:pStyle w:val="Header"/>
      <w:rPr>
        <w:lang w:val="fr-FR"/>
      </w:rPr>
    </w:pPr>
    <w:r w:rsidRPr="00603A8C">
      <w:rPr>
        <w:lang w:val="fr-FR"/>
      </w:rPr>
      <w:t>Texte du participant</w:t>
    </w:r>
    <w:r w:rsidRPr="00603A8C">
      <w:rPr>
        <w:lang w:val="fr-FR"/>
      </w:rPr>
      <w:tab/>
    </w:r>
    <w:r>
      <w:t>Unité 5 : Sensibiliser</w:t>
    </w:r>
    <w:r w:rsidRPr="00603A8C">
      <w:rPr>
        <w:lang w:val="fr-FR"/>
      </w:rPr>
      <w:tab/>
    </w:r>
    <w:r>
      <w:rPr>
        <w:rStyle w:val="PageNumber"/>
      </w:rPr>
      <w:fldChar w:fldCharType="begin"/>
    </w:r>
    <w:r w:rsidRPr="00603A8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8C01BF">
      <w:rPr>
        <w:rStyle w:val="PageNumber"/>
        <w:noProof/>
        <w:lang w:val="fr-FR"/>
      </w:rPr>
      <w:t>7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19" w:rsidRPr="00603A8C" w:rsidRDefault="00222119" w:rsidP="00A41931">
    <w:pPr>
      <w:pStyle w:val="Header"/>
      <w:ind w:right="360"/>
      <w:rPr>
        <w:lang w:val="fr-FR"/>
      </w:rPr>
    </w:pPr>
    <w:r>
      <w:rPr>
        <w:rStyle w:val="PageNumber"/>
      </w:rPr>
      <w:tab/>
      <w:t>Texte du participant</w:t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7F6"/>
    <w:multiLevelType w:val="hybridMultilevel"/>
    <w:tmpl w:val="31FE440C"/>
    <w:lvl w:ilvl="0" w:tplc="083C3858">
      <w:start w:val="1"/>
      <w:numFmt w:val="decimal"/>
      <w:pStyle w:val="Enumrotation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Symbol"/>
      </w:rPr>
    </w:lvl>
    <w:lvl w:ilvl="1" w:tplc="040C0019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1A211498"/>
    <w:multiLevelType w:val="hybridMultilevel"/>
    <w:tmpl w:val="4BF2EDA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36E5EE2">
      <w:numFmt w:val="bullet"/>
      <w:lvlText w:val="-"/>
      <w:lvlJc w:val="left"/>
      <w:pPr>
        <w:ind w:left="3142" w:hanging="1211"/>
      </w:pPr>
      <w:rPr>
        <w:rFonts w:ascii="Arial" w:eastAsia="SimSun" w:hAnsi="Arial" w:cs="Symbol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233066"/>
    <w:multiLevelType w:val="multilevel"/>
    <w:tmpl w:val="A0E60D08"/>
    <w:lvl w:ilvl="0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pStyle w:val="Txtpucemaitr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943AE"/>
    <w:multiLevelType w:val="hybridMultilevel"/>
    <w:tmpl w:val="A0E60D08"/>
    <w:lvl w:ilvl="0" w:tplc="DE1C8388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D672D"/>
    <w:multiLevelType w:val="multilevel"/>
    <w:tmpl w:val="E284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8AD26BF"/>
    <w:multiLevelType w:val="hybridMultilevel"/>
    <w:tmpl w:val="653E8370"/>
    <w:lvl w:ilvl="0" w:tplc="D24E78FE">
      <w:start w:val="1"/>
      <w:numFmt w:val="decimal"/>
      <w:pStyle w:val="Enu1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5B587C39"/>
    <w:multiLevelType w:val="hybridMultilevel"/>
    <w:tmpl w:val="ACAA8AD0"/>
    <w:lvl w:ilvl="0" w:tplc="D4A2D562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C7E9B"/>
    <w:multiLevelType w:val="hybridMultilevel"/>
    <w:tmpl w:val="AD5E7E1C"/>
    <w:lvl w:ilvl="0" w:tplc="95A6A61A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D194B"/>
    <w:multiLevelType w:val="hybridMultilevel"/>
    <w:tmpl w:val="59581B56"/>
    <w:lvl w:ilvl="0" w:tplc="0E12326A">
      <w:start w:val="1"/>
      <w:numFmt w:val="bullet"/>
      <w:pStyle w:val="Txtpucegras"/>
      <w:lvlText w:val=""/>
      <w:lvlJc w:val="left"/>
      <w:pPr>
        <w:tabs>
          <w:tab w:val="num" w:pos="2038"/>
        </w:tabs>
        <w:ind w:left="2038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1C090005">
      <w:start w:val="1"/>
      <w:numFmt w:val="decimal"/>
      <w:lvlText w:val="%3."/>
      <w:lvlJc w:val="left"/>
      <w:pPr>
        <w:tabs>
          <w:tab w:val="num" w:pos="3064"/>
        </w:tabs>
        <w:ind w:left="3064" w:hanging="360"/>
      </w:pPr>
    </w:lvl>
    <w:lvl w:ilvl="3" w:tplc="1C090001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1C090003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1C090005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1C090001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1C090003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1C090005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11">
    <w:nsid w:val="70C57F62"/>
    <w:multiLevelType w:val="hybridMultilevel"/>
    <w:tmpl w:val="F9000E08"/>
    <w:lvl w:ilvl="0" w:tplc="86DE94BC"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5674636"/>
    <w:multiLevelType w:val="multilevel"/>
    <w:tmpl w:val="811215F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74204"/>
    <w:multiLevelType w:val="hybridMultilevel"/>
    <w:tmpl w:val="8FB6C784"/>
    <w:lvl w:ilvl="0" w:tplc="590A27DA">
      <w:start w:val="1"/>
      <w:numFmt w:val="bullet"/>
      <w:pStyle w:val="Puceannexe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4">
    <w:nsid w:val="7ED741CB"/>
    <w:multiLevelType w:val="hybridMultilevel"/>
    <w:tmpl w:val="6C2646DC"/>
    <w:lvl w:ilvl="0" w:tplc="C360C63E">
      <w:start w:val="2"/>
      <w:numFmt w:val="none"/>
      <w:pStyle w:val="citationa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15"/>
  </w:num>
  <w:num w:numId="6">
    <w:abstractNumId w:val="14"/>
  </w:num>
  <w:num w:numId="7">
    <w:abstractNumId w:val="7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</w:num>
  <w:num w:numId="12">
    <w:abstractNumId w:val="1"/>
  </w:num>
  <w:num w:numId="13">
    <w:abstractNumId w:val="8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5"/>
  </w:num>
  <w:num w:numId="28">
    <w:abstractNumId w:val="8"/>
  </w:num>
  <w:num w:numId="29">
    <w:abstractNumId w:val="8"/>
  </w:num>
  <w:num w:numId="30">
    <w:abstractNumId w:val="8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1"/>
  </w:num>
  <w:num w:numId="40">
    <w:abstractNumId w:val="11"/>
  </w:num>
  <w:num w:numId="41">
    <w:abstractNumId w:val="10"/>
  </w:num>
  <w:num w:numId="42">
    <w:abstractNumId w:val="10"/>
  </w:num>
  <w:num w:numId="43">
    <w:abstractNumId w:val="9"/>
  </w:num>
  <w:num w:numId="44">
    <w:abstractNumId w:val="10"/>
  </w:num>
  <w:num w:numId="45">
    <w:abstractNumId w:val="10"/>
  </w:num>
  <w:num w:numId="46">
    <w:abstractNumId w:val="8"/>
  </w:num>
  <w:num w:numId="47">
    <w:abstractNumId w:val="8"/>
  </w:num>
  <w:num w:numId="48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4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3E"/>
    <w:rsid w:val="000006EA"/>
    <w:rsid w:val="00000D1F"/>
    <w:rsid w:val="00000DB8"/>
    <w:rsid w:val="00010061"/>
    <w:rsid w:val="00014873"/>
    <w:rsid w:val="0001493B"/>
    <w:rsid w:val="000151E5"/>
    <w:rsid w:val="0001741F"/>
    <w:rsid w:val="00017D71"/>
    <w:rsid w:val="000213A8"/>
    <w:rsid w:val="00022302"/>
    <w:rsid w:val="0002511C"/>
    <w:rsid w:val="00026DC2"/>
    <w:rsid w:val="00027DD9"/>
    <w:rsid w:val="00033B19"/>
    <w:rsid w:val="000349C0"/>
    <w:rsid w:val="00040131"/>
    <w:rsid w:val="00041EBF"/>
    <w:rsid w:val="000424D8"/>
    <w:rsid w:val="00043DFF"/>
    <w:rsid w:val="00044417"/>
    <w:rsid w:val="00047780"/>
    <w:rsid w:val="00053368"/>
    <w:rsid w:val="00054243"/>
    <w:rsid w:val="000542FD"/>
    <w:rsid w:val="00054EE0"/>
    <w:rsid w:val="00062885"/>
    <w:rsid w:val="000651E6"/>
    <w:rsid w:val="0006540E"/>
    <w:rsid w:val="00066E72"/>
    <w:rsid w:val="0007094A"/>
    <w:rsid w:val="00072D4D"/>
    <w:rsid w:val="00073751"/>
    <w:rsid w:val="00074C2D"/>
    <w:rsid w:val="00074FFC"/>
    <w:rsid w:val="00075D7D"/>
    <w:rsid w:val="0007620C"/>
    <w:rsid w:val="00076221"/>
    <w:rsid w:val="000800C0"/>
    <w:rsid w:val="00080DAF"/>
    <w:rsid w:val="000819F8"/>
    <w:rsid w:val="000826E1"/>
    <w:rsid w:val="0008417E"/>
    <w:rsid w:val="00085406"/>
    <w:rsid w:val="0008620C"/>
    <w:rsid w:val="00086C3C"/>
    <w:rsid w:val="00094E6C"/>
    <w:rsid w:val="000A137F"/>
    <w:rsid w:val="000A13AA"/>
    <w:rsid w:val="000A6331"/>
    <w:rsid w:val="000A7857"/>
    <w:rsid w:val="000B0472"/>
    <w:rsid w:val="000B1EB7"/>
    <w:rsid w:val="000B2122"/>
    <w:rsid w:val="000B3E37"/>
    <w:rsid w:val="000B710C"/>
    <w:rsid w:val="000C0E6A"/>
    <w:rsid w:val="000C41FA"/>
    <w:rsid w:val="000C7105"/>
    <w:rsid w:val="000D0602"/>
    <w:rsid w:val="000D176D"/>
    <w:rsid w:val="000D6D71"/>
    <w:rsid w:val="000D7317"/>
    <w:rsid w:val="000D7964"/>
    <w:rsid w:val="000E0530"/>
    <w:rsid w:val="000E4179"/>
    <w:rsid w:val="000F0C0D"/>
    <w:rsid w:val="000F4C6A"/>
    <w:rsid w:val="00103657"/>
    <w:rsid w:val="001060CE"/>
    <w:rsid w:val="00107DB1"/>
    <w:rsid w:val="00117B78"/>
    <w:rsid w:val="00120008"/>
    <w:rsid w:val="00123B89"/>
    <w:rsid w:val="00125DB4"/>
    <w:rsid w:val="00132CAD"/>
    <w:rsid w:val="00133E1B"/>
    <w:rsid w:val="001376D7"/>
    <w:rsid w:val="0014251F"/>
    <w:rsid w:val="00145A5C"/>
    <w:rsid w:val="00146D1E"/>
    <w:rsid w:val="00147F5C"/>
    <w:rsid w:val="00150FFB"/>
    <w:rsid w:val="00152FA0"/>
    <w:rsid w:val="001533D4"/>
    <w:rsid w:val="0015366F"/>
    <w:rsid w:val="00154EA2"/>
    <w:rsid w:val="00164F5F"/>
    <w:rsid w:val="00166843"/>
    <w:rsid w:val="00167480"/>
    <w:rsid w:val="0017028D"/>
    <w:rsid w:val="00170452"/>
    <w:rsid w:val="00170BFE"/>
    <w:rsid w:val="001757F9"/>
    <w:rsid w:val="00180896"/>
    <w:rsid w:val="001843B4"/>
    <w:rsid w:val="00186060"/>
    <w:rsid w:val="00186D10"/>
    <w:rsid w:val="0018741A"/>
    <w:rsid w:val="00187C35"/>
    <w:rsid w:val="00187C60"/>
    <w:rsid w:val="00191322"/>
    <w:rsid w:val="00191B71"/>
    <w:rsid w:val="00192C9F"/>
    <w:rsid w:val="0019481E"/>
    <w:rsid w:val="0019585B"/>
    <w:rsid w:val="00195959"/>
    <w:rsid w:val="001A171D"/>
    <w:rsid w:val="001A242D"/>
    <w:rsid w:val="001A2B13"/>
    <w:rsid w:val="001A5977"/>
    <w:rsid w:val="001A69CA"/>
    <w:rsid w:val="001B04F6"/>
    <w:rsid w:val="001B0F2D"/>
    <w:rsid w:val="001B23AD"/>
    <w:rsid w:val="001B3C85"/>
    <w:rsid w:val="001B586D"/>
    <w:rsid w:val="001C2F9D"/>
    <w:rsid w:val="001C5D26"/>
    <w:rsid w:val="001D13FF"/>
    <w:rsid w:val="001D39F7"/>
    <w:rsid w:val="001D5A7D"/>
    <w:rsid w:val="001D70CD"/>
    <w:rsid w:val="001D739A"/>
    <w:rsid w:val="001E0AB6"/>
    <w:rsid w:val="001E0C39"/>
    <w:rsid w:val="001E1505"/>
    <w:rsid w:val="001E1791"/>
    <w:rsid w:val="001E4B93"/>
    <w:rsid w:val="001E517D"/>
    <w:rsid w:val="001E7E3A"/>
    <w:rsid w:val="001F43D8"/>
    <w:rsid w:val="001F506C"/>
    <w:rsid w:val="001F5D28"/>
    <w:rsid w:val="00200FFE"/>
    <w:rsid w:val="002032E2"/>
    <w:rsid w:val="00206C1F"/>
    <w:rsid w:val="00210D69"/>
    <w:rsid w:val="002132D2"/>
    <w:rsid w:val="00216A23"/>
    <w:rsid w:val="002171D7"/>
    <w:rsid w:val="002207C3"/>
    <w:rsid w:val="002209EE"/>
    <w:rsid w:val="00221195"/>
    <w:rsid w:val="002216BA"/>
    <w:rsid w:val="00221F26"/>
    <w:rsid w:val="00222119"/>
    <w:rsid w:val="0022235D"/>
    <w:rsid w:val="0022656C"/>
    <w:rsid w:val="00227E50"/>
    <w:rsid w:val="00231010"/>
    <w:rsid w:val="00231A87"/>
    <w:rsid w:val="00233749"/>
    <w:rsid w:val="0023454D"/>
    <w:rsid w:val="00234B2D"/>
    <w:rsid w:val="00235024"/>
    <w:rsid w:val="0023521F"/>
    <w:rsid w:val="00236B5B"/>
    <w:rsid w:val="0023733F"/>
    <w:rsid w:val="00242B77"/>
    <w:rsid w:val="00242EE4"/>
    <w:rsid w:val="00243F4E"/>
    <w:rsid w:val="002440CE"/>
    <w:rsid w:val="0024481B"/>
    <w:rsid w:val="0024620F"/>
    <w:rsid w:val="00246AAF"/>
    <w:rsid w:val="00251A4E"/>
    <w:rsid w:val="00255220"/>
    <w:rsid w:val="0025578B"/>
    <w:rsid w:val="00255A53"/>
    <w:rsid w:val="00257542"/>
    <w:rsid w:val="00257BD7"/>
    <w:rsid w:val="00260AF8"/>
    <w:rsid w:val="002640FF"/>
    <w:rsid w:val="00265203"/>
    <w:rsid w:val="002712FD"/>
    <w:rsid w:val="00275601"/>
    <w:rsid w:val="002758DA"/>
    <w:rsid w:val="00277EB4"/>
    <w:rsid w:val="002800D8"/>
    <w:rsid w:val="002832A1"/>
    <w:rsid w:val="00284539"/>
    <w:rsid w:val="00285F80"/>
    <w:rsid w:val="002869EB"/>
    <w:rsid w:val="002873F9"/>
    <w:rsid w:val="00290880"/>
    <w:rsid w:val="00291E2F"/>
    <w:rsid w:val="002934E6"/>
    <w:rsid w:val="00294972"/>
    <w:rsid w:val="00294FD3"/>
    <w:rsid w:val="00296070"/>
    <w:rsid w:val="002A025C"/>
    <w:rsid w:val="002A2F7A"/>
    <w:rsid w:val="002A447B"/>
    <w:rsid w:val="002A4ED4"/>
    <w:rsid w:val="002A5E66"/>
    <w:rsid w:val="002A6D5B"/>
    <w:rsid w:val="002A7352"/>
    <w:rsid w:val="002B0990"/>
    <w:rsid w:val="002B1505"/>
    <w:rsid w:val="002B33DC"/>
    <w:rsid w:val="002B3D30"/>
    <w:rsid w:val="002B6A2C"/>
    <w:rsid w:val="002C0C94"/>
    <w:rsid w:val="002C1D8C"/>
    <w:rsid w:val="002C3A25"/>
    <w:rsid w:val="002C3A7E"/>
    <w:rsid w:val="002C7ABF"/>
    <w:rsid w:val="002D200B"/>
    <w:rsid w:val="002D2B81"/>
    <w:rsid w:val="002D41E4"/>
    <w:rsid w:val="002D6696"/>
    <w:rsid w:val="002D6CF6"/>
    <w:rsid w:val="002E0878"/>
    <w:rsid w:val="002E1E8D"/>
    <w:rsid w:val="002E5028"/>
    <w:rsid w:val="002E55CB"/>
    <w:rsid w:val="002E5AC2"/>
    <w:rsid w:val="002E71FB"/>
    <w:rsid w:val="002F2551"/>
    <w:rsid w:val="002F67A4"/>
    <w:rsid w:val="002F739D"/>
    <w:rsid w:val="0030168E"/>
    <w:rsid w:val="00307D34"/>
    <w:rsid w:val="00310CD0"/>
    <w:rsid w:val="00312970"/>
    <w:rsid w:val="00315C28"/>
    <w:rsid w:val="00316B5B"/>
    <w:rsid w:val="003233AC"/>
    <w:rsid w:val="003238D3"/>
    <w:rsid w:val="003259DC"/>
    <w:rsid w:val="0032659F"/>
    <w:rsid w:val="00330A6B"/>
    <w:rsid w:val="00330E2D"/>
    <w:rsid w:val="003356E3"/>
    <w:rsid w:val="003370CB"/>
    <w:rsid w:val="003372C9"/>
    <w:rsid w:val="00340932"/>
    <w:rsid w:val="003422E3"/>
    <w:rsid w:val="00344D75"/>
    <w:rsid w:val="00347851"/>
    <w:rsid w:val="00354854"/>
    <w:rsid w:val="00356218"/>
    <w:rsid w:val="00360416"/>
    <w:rsid w:val="003677D8"/>
    <w:rsid w:val="00370391"/>
    <w:rsid w:val="00370EBE"/>
    <w:rsid w:val="00374276"/>
    <w:rsid w:val="00374529"/>
    <w:rsid w:val="00374E95"/>
    <w:rsid w:val="00375BFE"/>
    <w:rsid w:val="00377639"/>
    <w:rsid w:val="00384E33"/>
    <w:rsid w:val="00387787"/>
    <w:rsid w:val="0039117D"/>
    <w:rsid w:val="003911B3"/>
    <w:rsid w:val="0039446A"/>
    <w:rsid w:val="00396190"/>
    <w:rsid w:val="00396571"/>
    <w:rsid w:val="0039745B"/>
    <w:rsid w:val="003A1010"/>
    <w:rsid w:val="003A524E"/>
    <w:rsid w:val="003B09E7"/>
    <w:rsid w:val="003B1742"/>
    <w:rsid w:val="003B1901"/>
    <w:rsid w:val="003B2A6E"/>
    <w:rsid w:val="003B4704"/>
    <w:rsid w:val="003B5874"/>
    <w:rsid w:val="003B6B98"/>
    <w:rsid w:val="003B70C7"/>
    <w:rsid w:val="003B711B"/>
    <w:rsid w:val="003B7DFC"/>
    <w:rsid w:val="003B7F45"/>
    <w:rsid w:val="003C16F8"/>
    <w:rsid w:val="003C4F1D"/>
    <w:rsid w:val="003C76B1"/>
    <w:rsid w:val="003C7BEB"/>
    <w:rsid w:val="003D020C"/>
    <w:rsid w:val="003D2709"/>
    <w:rsid w:val="003E15E2"/>
    <w:rsid w:val="003E5E70"/>
    <w:rsid w:val="003F104E"/>
    <w:rsid w:val="003F1597"/>
    <w:rsid w:val="003F3288"/>
    <w:rsid w:val="003F50EC"/>
    <w:rsid w:val="003F5CA8"/>
    <w:rsid w:val="003F6B5C"/>
    <w:rsid w:val="00402839"/>
    <w:rsid w:val="0040373D"/>
    <w:rsid w:val="00403A1B"/>
    <w:rsid w:val="00404EAE"/>
    <w:rsid w:val="00406030"/>
    <w:rsid w:val="00411833"/>
    <w:rsid w:val="004120B8"/>
    <w:rsid w:val="004124FE"/>
    <w:rsid w:val="00412910"/>
    <w:rsid w:val="004139B2"/>
    <w:rsid w:val="0042393B"/>
    <w:rsid w:val="004272A4"/>
    <w:rsid w:val="00430B70"/>
    <w:rsid w:val="004315D8"/>
    <w:rsid w:val="004325DC"/>
    <w:rsid w:val="00433FAD"/>
    <w:rsid w:val="00434788"/>
    <w:rsid w:val="00434BA5"/>
    <w:rsid w:val="00434CAC"/>
    <w:rsid w:val="00436ECC"/>
    <w:rsid w:val="0043725F"/>
    <w:rsid w:val="004406B6"/>
    <w:rsid w:val="004449EE"/>
    <w:rsid w:val="004468CE"/>
    <w:rsid w:val="00447076"/>
    <w:rsid w:val="00447861"/>
    <w:rsid w:val="00447F1C"/>
    <w:rsid w:val="00450EF9"/>
    <w:rsid w:val="00455CF9"/>
    <w:rsid w:val="004568D5"/>
    <w:rsid w:val="00460771"/>
    <w:rsid w:val="00461004"/>
    <w:rsid w:val="00461C5C"/>
    <w:rsid w:val="00464E9D"/>
    <w:rsid w:val="00472E0F"/>
    <w:rsid w:val="00475B87"/>
    <w:rsid w:val="00477C3F"/>
    <w:rsid w:val="00480669"/>
    <w:rsid w:val="0048121B"/>
    <w:rsid w:val="00481229"/>
    <w:rsid w:val="00483E5F"/>
    <w:rsid w:val="00485AA9"/>
    <w:rsid w:val="00490881"/>
    <w:rsid w:val="00495197"/>
    <w:rsid w:val="00496C7F"/>
    <w:rsid w:val="004A3569"/>
    <w:rsid w:val="004A3A76"/>
    <w:rsid w:val="004A4557"/>
    <w:rsid w:val="004A60E9"/>
    <w:rsid w:val="004A66F4"/>
    <w:rsid w:val="004A6AB4"/>
    <w:rsid w:val="004A7115"/>
    <w:rsid w:val="004A78E2"/>
    <w:rsid w:val="004A7ED8"/>
    <w:rsid w:val="004B1D4C"/>
    <w:rsid w:val="004B45C3"/>
    <w:rsid w:val="004C0123"/>
    <w:rsid w:val="004C0416"/>
    <w:rsid w:val="004C5C50"/>
    <w:rsid w:val="004D37AA"/>
    <w:rsid w:val="004D5579"/>
    <w:rsid w:val="004D571E"/>
    <w:rsid w:val="004D57C8"/>
    <w:rsid w:val="004D5C00"/>
    <w:rsid w:val="004D5F7F"/>
    <w:rsid w:val="004D6197"/>
    <w:rsid w:val="004D6B01"/>
    <w:rsid w:val="004E0645"/>
    <w:rsid w:val="004E095F"/>
    <w:rsid w:val="004E49F5"/>
    <w:rsid w:val="004E5B44"/>
    <w:rsid w:val="004E7D6C"/>
    <w:rsid w:val="004F008E"/>
    <w:rsid w:val="004F369E"/>
    <w:rsid w:val="004F3C16"/>
    <w:rsid w:val="004F46C9"/>
    <w:rsid w:val="004F5CF8"/>
    <w:rsid w:val="004F6ED7"/>
    <w:rsid w:val="004F6F32"/>
    <w:rsid w:val="004F7122"/>
    <w:rsid w:val="00501117"/>
    <w:rsid w:val="005027DA"/>
    <w:rsid w:val="00502E0B"/>
    <w:rsid w:val="005050A9"/>
    <w:rsid w:val="005058A4"/>
    <w:rsid w:val="00505F03"/>
    <w:rsid w:val="00506791"/>
    <w:rsid w:val="005068B2"/>
    <w:rsid w:val="00517B96"/>
    <w:rsid w:val="00520241"/>
    <w:rsid w:val="005203EA"/>
    <w:rsid w:val="00520CB3"/>
    <w:rsid w:val="00521245"/>
    <w:rsid w:val="00526259"/>
    <w:rsid w:val="0052680E"/>
    <w:rsid w:val="00527E16"/>
    <w:rsid w:val="00531E23"/>
    <w:rsid w:val="005322A5"/>
    <w:rsid w:val="0053768F"/>
    <w:rsid w:val="00547581"/>
    <w:rsid w:val="00550074"/>
    <w:rsid w:val="0055379C"/>
    <w:rsid w:val="00554DE9"/>
    <w:rsid w:val="00555900"/>
    <w:rsid w:val="00556D69"/>
    <w:rsid w:val="0056051F"/>
    <w:rsid w:val="0056138E"/>
    <w:rsid w:val="0056329E"/>
    <w:rsid w:val="005647CB"/>
    <w:rsid w:val="005655F1"/>
    <w:rsid w:val="00565F12"/>
    <w:rsid w:val="005666D2"/>
    <w:rsid w:val="00567F81"/>
    <w:rsid w:val="00573B3D"/>
    <w:rsid w:val="0057532F"/>
    <w:rsid w:val="00575BF8"/>
    <w:rsid w:val="00577621"/>
    <w:rsid w:val="00580313"/>
    <w:rsid w:val="00581F97"/>
    <w:rsid w:val="00584506"/>
    <w:rsid w:val="00590B2E"/>
    <w:rsid w:val="0059714B"/>
    <w:rsid w:val="005A0707"/>
    <w:rsid w:val="005A0AB6"/>
    <w:rsid w:val="005A207D"/>
    <w:rsid w:val="005A69B3"/>
    <w:rsid w:val="005B0DA6"/>
    <w:rsid w:val="005B1C14"/>
    <w:rsid w:val="005B5D26"/>
    <w:rsid w:val="005B5EC6"/>
    <w:rsid w:val="005B703B"/>
    <w:rsid w:val="005B79DB"/>
    <w:rsid w:val="005C10EB"/>
    <w:rsid w:val="005C21E7"/>
    <w:rsid w:val="005C7ACF"/>
    <w:rsid w:val="005D01EF"/>
    <w:rsid w:val="005D1F45"/>
    <w:rsid w:val="005D5337"/>
    <w:rsid w:val="005D65C8"/>
    <w:rsid w:val="005D6A14"/>
    <w:rsid w:val="005D72E2"/>
    <w:rsid w:val="005E17CB"/>
    <w:rsid w:val="005E221C"/>
    <w:rsid w:val="005E39EF"/>
    <w:rsid w:val="005E4961"/>
    <w:rsid w:val="005E4F57"/>
    <w:rsid w:val="005E7EEB"/>
    <w:rsid w:val="005F17FA"/>
    <w:rsid w:val="005F2FEC"/>
    <w:rsid w:val="005F3D8C"/>
    <w:rsid w:val="005F5631"/>
    <w:rsid w:val="006004EC"/>
    <w:rsid w:val="00600B60"/>
    <w:rsid w:val="00603A8C"/>
    <w:rsid w:val="0060489A"/>
    <w:rsid w:val="006073FB"/>
    <w:rsid w:val="0061203C"/>
    <w:rsid w:val="006148E6"/>
    <w:rsid w:val="006173A9"/>
    <w:rsid w:val="006206CE"/>
    <w:rsid w:val="00625277"/>
    <w:rsid w:val="0062637E"/>
    <w:rsid w:val="00630AC3"/>
    <w:rsid w:val="00631706"/>
    <w:rsid w:val="006346F4"/>
    <w:rsid w:val="006358F9"/>
    <w:rsid w:val="00640A46"/>
    <w:rsid w:val="00641FC4"/>
    <w:rsid w:val="0064362E"/>
    <w:rsid w:val="00645717"/>
    <w:rsid w:val="00645EA9"/>
    <w:rsid w:val="00646C0C"/>
    <w:rsid w:val="00646D3D"/>
    <w:rsid w:val="0065068A"/>
    <w:rsid w:val="00651766"/>
    <w:rsid w:val="00652F82"/>
    <w:rsid w:val="00653FD6"/>
    <w:rsid w:val="00657072"/>
    <w:rsid w:val="00660FC7"/>
    <w:rsid w:val="0066356D"/>
    <w:rsid w:val="00664974"/>
    <w:rsid w:val="00665D0F"/>
    <w:rsid w:val="0067217E"/>
    <w:rsid w:val="006733E3"/>
    <w:rsid w:val="00674799"/>
    <w:rsid w:val="006757EA"/>
    <w:rsid w:val="00682587"/>
    <w:rsid w:val="00682B52"/>
    <w:rsid w:val="00684202"/>
    <w:rsid w:val="006858F6"/>
    <w:rsid w:val="0069346B"/>
    <w:rsid w:val="006B1B3A"/>
    <w:rsid w:val="006B516D"/>
    <w:rsid w:val="006C20E9"/>
    <w:rsid w:val="006C3248"/>
    <w:rsid w:val="006C3387"/>
    <w:rsid w:val="006C362F"/>
    <w:rsid w:val="006C6F2C"/>
    <w:rsid w:val="006D283B"/>
    <w:rsid w:val="006D313C"/>
    <w:rsid w:val="006E0048"/>
    <w:rsid w:val="006E147C"/>
    <w:rsid w:val="006E38CC"/>
    <w:rsid w:val="006E4984"/>
    <w:rsid w:val="006E6DDC"/>
    <w:rsid w:val="006F2551"/>
    <w:rsid w:val="006F3685"/>
    <w:rsid w:val="006F42AA"/>
    <w:rsid w:val="006F42B3"/>
    <w:rsid w:val="006F4396"/>
    <w:rsid w:val="006F61A0"/>
    <w:rsid w:val="006F64E6"/>
    <w:rsid w:val="006F794D"/>
    <w:rsid w:val="00700755"/>
    <w:rsid w:val="00701EE2"/>
    <w:rsid w:val="00702EB3"/>
    <w:rsid w:val="007102EC"/>
    <w:rsid w:val="00712B1C"/>
    <w:rsid w:val="00713917"/>
    <w:rsid w:val="00713A6D"/>
    <w:rsid w:val="0071539A"/>
    <w:rsid w:val="00715F9D"/>
    <w:rsid w:val="00720058"/>
    <w:rsid w:val="00722302"/>
    <w:rsid w:val="00726F77"/>
    <w:rsid w:val="007278A8"/>
    <w:rsid w:val="007342F5"/>
    <w:rsid w:val="00734A13"/>
    <w:rsid w:val="00740702"/>
    <w:rsid w:val="00744425"/>
    <w:rsid w:val="00746321"/>
    <w:rsid w:val="00750512"/>
    <w:rsid w:val="00751114"/>
    <w:rsid w:val="007521EC"/>
    <w:rsid w:val="00752A0F"/>
    <w:rsid w:val="0075609B"/>
    <w:rsid w:val="00756390"/>
    <w:rsid w:val="0075652A"/>
    <w:rsid w:val="00757DCB"/>
    <w:rsid w:val="00761C1E"/>
    <w:rsid w:val="00761C46"/>
    <w:rsid w:val="00765959"/>
    <w:rsid w:val="00765B7E"/>
    <w:rsid w:val="0077206E"/>
    <w:rsid w:val="00772169"/>
    <w:rsid w:val="007728F8"/>
    <w:rsid w:val="007729B5"/>
    <w:rsid w:val="00772D1E"/>
    <w:rsid w:val="00773186"/>
    <w:rsid w:val="00775F40"/>
    <w:rsid w:val="00776865"/>
    <w:rsid w:val="007800DA"/>
    <w:rsid w:val="007808BE"/>
    <w:rsid w:val="00780CF0"/>
    <w:rsid w:val="007814F9"/>
    <w:rsid w:val="00784E29"/>
    <w:rsid w:val="00785367"/>
    <w:rsid w:val="00795C6B"/>
    <w:rsid w:val="00795D4A"/>
    <w:rsid w:val="00795D56"/>
    <w:rsid w:val="00795FF0"/>
    <w:rsid w:val="00797896"/>
    <w:rsid w:val="00797C96"/>
    <w:rsid w:val="00797EB9"/>
    <w:rsid w:val="007A1531"/>
    <w:rsid w:val="007A1860"/>
    <w:rsid w:val="007A5C03"/>
    <w:rsid w:val="007A7CB3"/>
    <w:rsid w:val="007B1EE5"/>
    <w:rsid w:val="007B2C2D"/>
    <w:rsid w:val="007B69C9"/>
    <w:rsid w:val="007C119C"/>
    <w:rsid w:val="007C5C15"/>
    <w:rsid w:val="007C618F"/>
    <w:rsid w:val="007C70FB"/>
    <w:rsid w:val="007D1DA1"/>
    <w:rsid w:val="007D222B"/>
    <w:rsid w:val="007E03FC"/>
    <w:rsid w:val="007E04EC"/>
    <w:rsid w:val="007E0DC4"/>
    <w:rsid w:val="007E60D0"/>
    <w:rsid w:val="007E6695"/>
    <w:rsid w:val="007E6806"/>
    <w:rsid w:val="007F315D"/>
    <w:rsid w:val="007F3170"/>
    <w:rsid w:val="007F577A"/>
    <w:rsid w:val="00801003"/>
    <w:rsid w:val="0080154D"/>
    <w:rsid w:val="00801CFC"/>
    <w:rsid w:val="00803BA6"/>
    <w:rsid w:val="008043B8"/>
    <w:rsid w:val="0080530D"/>
    <w:rsid w:val="008054A4"/>
    <w:rsid w:val="00807F0C"/>
    <w:rsid w:val="008130C5"/>
    <w:rsid w:val="0081317D"/>
    <w:rsid w:val="00813717"/>
    <w:rsid w:val="00816623"/>
    <w:rsid w:val="00816DE1"/>
    <w:rsid w:val="008177E6"/>
    <w:rsid w:val="00817F26"/>
    <w:rsid w:val="0082004C"/>
    <w:rsid w:val="008207E0"/>
    <w:rsid w:val="0082423F"/>
    <w:rsid w:val="008250BF"/>
    <w:rsid w:val="00826E06"/>
    <w:rsid w:val="00827C34"/>
    <w:rsid w:val="00833165"/>
    <w:rsid w:val="00836155"/>
    <w:rsid w:val="00841563"/>
    <w:rsid w:val="00843B5B"/>
    <w:rsid w:val="00851BFE"/>
    <w:rsid w:val="00854D3E"/>
    <w:rsid w:val="00855427"/>
    <w:rsid w:val="00860C6F"/>
    <w:rsid w:val="00861557"/>
    <w:rsid w:val="00862BBA"/>
    <w:rsid w:val="00864396"/>
    <w:rsid w:val="0086683E"/>
    <w:rsid w:val="00870EC7"/>
    <w:rsid w:val="00875BD7"/>
    <w:rsid w:val="00875D7D"/>
    <w:rsid w:val="008763F7"/>
    <w:rsid w:val="008772A2"/>
    <w:rsid w:val="008818CB"/>
    <w:rsid w:val="008821BC"/>
    <w:rsid w:val="00882ED1"/>
    <w:rsid w:val="00883EB9"/>
    <w:rsid w:val="00893504"/>
    <w:rsid w:val="008A3BEE"/>
    <w:rsid w:val="008A7E01"/>
    <w:rsid w:val="008B0D35"/>
    <w:rsid w:val="008B14CC"/>
    <w:rsid w:val="008B3329"/>
    <w:rsid w:val="008B4150"/>
    <w:rsid w:val="008B6993"/>
    <w:rsid w:val="008B6C89"/>
    <w:rsid w:val="008C01BF"/>
    <w:rsid w:val="008C739C"/>
    <w:rsid w:val="008C7B0E"/>
    <w:rsid w:val="008D0008"/>
    <w:rsid w:val="008D07D5"/>
    <w:rsid w:val="008D07E3"/>
    <w:rsid w:val="008D59A2"/>
    <w:rsid w:val="008D5B4A"/>
    <w:rsid w:val="008D60AA"/>
    <w:rsid w:val="008D7E7E"/>
    <w:rsid w:val="008E0ADF"/>
    <w:rsid w:val="008E5022"/>
    <w:rsid w:val="008F1F90"/>
    <w:rsid w:val="008F50F6"/>
    <w:rsid w:val="008F5CBB"/>
    <w:rsid w:val="008F6F29"/>
    <w:rsid w:val="008F743C"/>
    <w:rsid w:val="008F7BC2"/>
    <w:rsid w:val="00901A6A"/>
    <w:rsid w:val="00903EAE"/>
    <w:rsid w:val="00906C0A"/>
    <w:rsid w:val="00910D2B"/>
    <w:rsid w:val="0091201E"/>
    <w:rsid w:val="00913F6A"/>
    <w:rsid w:val="00914287"/>
    <w:rsid w:val="0091635C"/>
    <w:rsid w:val="009169F6"/>
    <w:rsid w:val="00916B13"/>
    <w:rsid w:val="00924A7C"/>
    <w:rsid w:val="009270A5"/>
    <w:rsid w:val="0093206D"/>
    <w:rsid w:val="009326D0"/>
    <w:rsid w:val="009373AE"/>
    <w:rsid w:val="00946729"/>
    <w:rsid w:val="00953DB9"/>
    <w:rsid w:val="00954D9A"/>
    <w:rsid w:val="00957A73"/>
    <w:rsid w:val="00960EC7"/>
    <w:rsid w:val="0096177D"/>
    <w:rsid w:val="009633A3"/>
    <w:rsid w:val="00965850"/>
    <w:rsid w:val="0096685C"/>
    <w:rsid w:val="0097251E"/>
    <w:rsid w:val="00972FD9"/>
    <w:rsid w:val="00975132"/>
    <w:rsid w:val="00975A7B"/>
    <w:rsid w:val="009760C0"/>
    <w:rsid w:val="0098041F"/>
    <w:rsid w:val="00980A8F"/>
    <w:rsid w:val="009815DB"/>
    <w:rsid w:val="00983C57"/>
    <w:rsid w:val="009867A4"/>
    <w:rsid w:val="009877B9"/>
    <w:rsid w:val="00990912"/>
    <w:rsid w:val="00991578"/>
    <w:rsid w:val="00992155"/>
    <w:rsid w:val="00992359"/>
    <w:rsid w:val="00993722"/>
    <w:rsid w:val="009940E0"/>
    <w:rsid w:val="0099702B"/>
    <w:rsid w:val="009A05B3"/>
    <w:rsid w:val="009A1ED4"/>
    <w:rsid w:val="009A21B8"/>
    <w:rsid w:val="009A2E34"/>
    <w:rsid w:val="009A36C2"/>
    <w:rsid w:val="009A45EE"/>
    <w:rsid w:val="009A735F"/>
    <w:rsid w:val="009B1865"/>
    <w:rsid w:val="009B35D3"/>
    <w:rsid w:val="009B3F88"/>
    <w:rsid w:val="009B6031"/>
    <w:rsid w:val="009C7D5E"/>
    <w:rsid w:val="009D00A9"/>
    <w:rsid w:val="009D17E0"/>
    <w:rsid w:val="009D7E32"/>
    <w:rsid w:val="009E080E"/>
    <w:rsid w:val="009E3ADA"/>
    <w:rsid w:val="009E3CFB"/>
    <w:rsid w:val="009E47DA"/>
    <w:rsid w:val="009E59B1"/>
    <w:rsid w:val="009E788F"/>
    <w:rsid w:val="009F3192"/>
    <w:rsid w:val="009F3A1F"/>
    <w:rsid w:val="009F5434"/>
    <w:rsid w:val="009F6C90"/>
    <w:rsid w:val="009F7A02"/>
    <w:rsid w:val="00A03989"/>
    <w:rsid w:val="00A03CF1"/>
    <w:rsid w:val="00A0403A"/>
    <w:rsid w:val="00A0517A"/>
    <w:rsid w:val="00A129FC"/>
    <w:rsid w:val="00A1335D"/>
    <w:rsid w:val="00A14E17"/>
    <w:rsid w:val="00A1544C"/>
    <w:rsid w:val="00A16235"/>
    <w:rsid w:val="00A162F3"/>
    <w:rsid w:val="00A16ADB"/>
    <w:rsid w:val="00A201D9"/>
    <w:rsid w:val="00A202A2"/>
    <w:rsid w:val="00A20BBC"/>
    <w:rsid w:val="00A21469"/>
    <w:rsid w:val="00A228F7"/>
    <w:rsid w:val="00A27F81"/>
    <w:rsid w:val="00A31863"/>
    <w:rsid w:val="00A326D2"/>
    <w:rsid w:val="00A3457B"/>
    <w:rsid w:val="00A353E1"/>
    <w:rsid w:val="00A35687"/>
    <w:rsid w:val="00A36C3F"/>
    <w:rsid w:val="00A371A3"/>
    <w:rsid w:val="00A41931"/>
    <w:rsid w:val="00A45603"/>
    <w:rsid w:val="00A4618E"/>
    <w:rsid w:val="00A474A9"/>
    <w:rsid w:val="00A507FB"/>
    <w:rsid w:val="00A512B3"/>
    <w:rsid w:val="00A516C3"/>
    <w:rsid w:val="00A5274E"/>
    <w:rsid w:val="00A556BF"/>
    <w:rsid w:val="00A5684F"/>
    <w:rsid w:val="00A56F37"/>
    <w:rsid w:val="00A570C0"/>
    <w:rsid w:val="00A60D82"/>
    <w:rsid w:val="00A61E6D"/>
    <w:rsid w:val="00A65008"/>
    <w:rsid w:val="00A656ED"/>
    <w:rsid w:val="00A6597D"/>
    <w:rsid w:val="00A667F7"/>
    <w:rsid w:val="00A73131"/>
    <w:rsid w:val="00A734AC"/>
    <w:rsid w:val="00A7443E"/>
    <w:rsid w:val="00A75027"/>
    <w:rsid w:val="00A753E3"/>
    <w:rsid w:val="00A76CE7"/>
    <w:rsid w:val="00A76D04"/>
    <w:rsid w:val="00A80468"/>
    <w:rsid w:val="00A81058"/>
    <w:rsid w:val="00A81184"/>
    <w:rsid w:val="00A84586"/>
    <w:rsid w:val="00A84F89"/>
    <w:rsid w:val="00A85270"/>
    <w:rsid w:val="00A85E99"/>
    <w:rsid w:val="00A86250"/>
    <w:rsid w:val="00A86C43"/>
    <w:rsid w:val="00A9799B"/>
    <w:rsid w:val="00AA0D95"/>
    <w:rsid w:val="00AA43B4"/>
    <w:rsid w:val="00AA6AD3"/>
    <w:rsid w:val="00AA72B4"/>
    <w:rsid w:val="00AB28D2"/>
    <w:rsid w:val="00AB3F98"/>
    <w:rsid w:val="00AB434F"/>
    <w:rsid w:val="00AB54CF"/>
    <w:rsid w:val="00AB5649"/>
    <w:rsid w:val="00AC0706"/>
    <w:rsid w:val="00AC1382"/>
    <w:rsid w:val="00AC271F"/>
    <w:rsid w:val="00AC2953"/>
    <w:rsid w:val="00AC47B8"/>
    <w:rsid w:val="00AC4CF8"/>
    <w:rsid w:val="00AC63A5"/>
    <w:rsid w:val="00AC69F4"/>
    <w:rsid w:val="00AC733B"/>
    <w:rsid w:val="00AC798B"/>
    <w:rsid w:val="00AD1B89"/>
    <w:rsid w:val="00AE0451"/>
    <w:rsid w:val="00AE129F"/>
    <w:rsid w:val="00AE399F"/>
    <w:rsid w:val="00AE6787"/>
    <w:rsid w:val="00AF6608"/>
    <w:rsid w:val="00AF7C55"/>
    <w:rsid w:val="00B001B1"/>
    <w:rsid w:val="00B0030C"/>
    <w:rsid w:val="00B00F9D"/>
    <w:rsid w:val="00B01BD4"/>
    <w:rsid w:val="00B01E6B"/>
    <w:rsid w:val="00B02977"/>
    <w:rsid w:val="00B042E9"/>
    <w:rsid w:val="00B0489C"/>
    <w:rsid w:val="00B11970"/>
    <w:rsid w:val="00B11BCA"/>
    <w:rsid w:val="00B121E6"/>
    <w:rsid w:val="00B139E0"/>
    <w:rsid w:val="00B16DDE"/>
    <w:rsid w:val="00B2049A"/>
    <w:rsid w:val="00B2063E"/>
    <w:rsid w:val="00B24530"/>
    <w:rsid w:val="00B26124"/>
    <w:rsid w:val="00B305BD"/>
    <w:rsid w:val="00B32948"/>
    <w:rsid w:val="00B3365B"/>
    <w:rsid w:val="00B36CC3"/>
    <w:rsid w:val="00B407F2"/>
    <w:rsid w:val="00B4292D"/>
    <w:rsid w:val="00B42F77"/>
    <w:rsid w:val="00B53DDB"/>
    <w:rsid w:val="00B545FC"/>
    <w:rsid w:val="00B54D98"/>
    <w:rsid w:val="00B554D7"/>
    <w:rsid w:val="00B55B6D"/>
    <w:rsid w:val="00B64FC0"/>
    <w:rsid w:val="00B7011E"/>
    <w:rsid w:val="00B72F39"/>
    <w:rsid w:val="00B7470A"/>
    <w:rsid w:val="00B76243"/>
    <w:rsid w:val="00B7724F"/>
    <w:rsid w:val="00B804E1"/>
    <w:rsid w:val="00B81E78"/>
    <w:rsid w:val="00B81F8F"/>
    <w:rsid w:val="00B82578"/>
    <w:rsid w:val="00B828E6"/>
    <w:rsid w:val="00B854EA"/>
    <w:rsid w:val="00B85E4C"/>
    <w:rsid w:val="00B91342"/>
    <w:rsid w:val="00B928D8"/>
    <w:rsid w:val="00B948BC"/>
    <w:rsid w:val="00B958DB"/>
    <w:rsid w:val="00B96532"/>
    <w:rsid w:val="00B9689C"/>
    <w:rsid w:val="00B9709E"/>
    <w:rsid w:val="00B9744C"/>
    <w:rsid w:val="00B977B7"/>
    <w:rsid w:val="00BA06FF"/>
    <w:rsid w:val="00BA6A78"/>
    <w:rsid w:val="00BA76B0"/>
    <w:rsid w:val="00BB0E1C"/>
    <w:rsid w:val="00BB2FF5"/>
    <w:rsid w:val="00BB3178"/>
    <w:rsid w:val="00BB366B"/>
    <w:rsid w:val="00BB3ECF"/>
    <w:rsid w:val="00BB443B"/>
    <w:rsid w:val="00BB5F18"/>
    <w:rsid w:val="00BB680F"/>
    <w:rsid w:val="00BB70F2"/>
    <w:rsid w:val="00BC0558"/>
    <w:rsid w:val="00BC0766"/>
    <w:rsid w:val="00BC1988"/>
    <w:rsid w:val="00BC19B9"/>
    <w:rsid w:val="00BC3A82"/>
    <w:rsid w:val="00BC3B18"/>
    <w:rsid w:val="00BC4742"/>
    <w:rsid w:val="00BD2FEA"/>
    <w:rsid w:val="00BD3762"/>
    <w:rsid w:val="00BD56B6"/>
    <w:rsid w:val="00BD777E"/>
    <w:rsid w:val="00BE17CC"/>
    <w:rsid w:val="00BE6789"/>
    <w:rsid w:val="00BF27C0"/>
    <w:rsid w:val="00BF2A19"/>
    <w:rsid w:val="00BF2BD1"/>
    <w:rsid w:val="00BF300D"/>
    <w:rsid w:val="00BF4B81"/>
    <w:rsid w:val="00BF4F33"/>
    <w:rsid w:val="00C02EE8"/>
    <w:rsid w:val="00C049EB"/>
    <w:rsid w:val="00C05A18"/>
    <w:rsid w:val="00C06182"/>
    <w:rsid w:val="00C1027D"/>
    <w:rsid w:val="00C10A1F"/>
    <w:rsid w:val="00C1515E"/>
    <w:rsid w:val="00C153F4"/>
    <w:rsid w:val="00C16C54"/>
    <w:rsid w:val="00C17136"/>
    <w:rsid w:val="00C1743B"/>
    <w:rsid w:val="00C17588"/>
    <w:rsid w:val="00C209BC"/>
    <w:rsid w:val="00C21B5A"/>
    <w:rsid w:val="00C22D41"/>
    <w:rsid w:val="00C243AB"/>
    <w:rsid w:val="00C24C96"/>
    <w:rsid w:val="00C26AEB"/>
    <w:rsid w:val="00C312F9"/>
    <w:rsid w:val="00C31DD4"/>
    <w:rsid w:val="00C31E6E"/>
    <w:rsid w:val="00C334A4"/>
    <w:rsid w:val="00C34622"/>
    <w:rsid w:val="00C349F9"/>
    <w:rsid w:val="00C35139"/>
    <w:rsid w:val="00C35191"/>
    <w:rsid w:val="00C35414"/>
    <w:rsid w:val="00C40C54"/>
    <w:rsid w:val="00C4116A"/>
    <w:rsid w:val="00C420E9"/>
    <w:rsid w:val="00C430F5"/>
    <w:rsid w:val="00C44811"/>
    <w:rsid w:val="00C457EB"/>
    <w:rsid w:val="00C46CE2"/>
    <w:rsid w:val="00C476D5"/>
    <w:rsid w:val="00C50F42"/>
    <w:rsid w:val="00C525E8"/>
    <w:rsid w:val="00C52844"/>
    <w:rsid w:val="00C558BD"/>
    <w:rsid w:val="00C55AA0"/>
    <w:rsid w:val="00C654E8"/>
    <w:rsid w:val="00C6634A"/>
    <w:rsid w:val="00C66927"/>
    <w:rsid w:val="00C736DB"/>
    <w:rsid w:val="00C748C9"/>
    <w:rsid w:val="00C74BC2"/>
    <w:rsid w:val="00C752EC"/>
    <w:rsid w:val="00C7655A"/>
    <w:rsid w:val="00C77B75"/>
    <w:rsid w:val="00C83ADA"/>
    <w:rsid w:val="00C867D7"/>
    <w:rsid w:val="00C86D17"/>
    <w:rsid w:val="00C95324"/>
    <w:rsid w:val="00C976FF"/>
    <w:rsid w:val="00CA12A3"/>
    <w:rsid w:val="00CA1C08"/>
    <w:rsid w:val="00CA4EBB"/>
    <w:rsid w:val="00CA73D6"/>
    <w:rsid w:val="00CB61D9"/>
    <w:rsid w:val="00CB741C"/>
    <w:rsid w:val="00CB743E"/>
    <w:rsid w:val="00CC2817"/>
    <w:rsid w:val="00CC5381"/>
    <w:rsid w:val="00CC6610"/>
    <w:rsid w:val="00CC6EA3"/>
    <w:rsid w:val="00CC7911"/>
    <w:rsid w:val="00CD1F3D"/>
    <w:rsid w:val="00CD2B9B"/>
    <w:rsid w:val="00CF2C59"/>
    <w:rsid w:val="00CF307D"/>
    <w:rsid w:val="00CF36AB"/>
    <w:rsid w:val="00CF51AF"/>
    <w:rsid w:val="00CF6884"/>
    <w:rsid w:val="00D003D1"/>
    <w:rsid w:val="00D02AFE"/>
    <w:rsid w:val="00D03555"/>
    <w:rsid w:val="00D056C2"/>
    <w:rsid w:val="00D0612E"/>
    <w:rsid w:val="00D07828"/>
    <w:rsid w:val="00D10237"/>
    <w:rsid w:val="00D103B9"/>
    <w:rsid w:val="00D11A58"/>
    <w:rsid w:val="00D14D4A"/>
    <w:rsid w:val="00D20673"/>
    <w:rsid w:val="00D20766"/>
    <w:rsid w:val="00D22ADD"/>
    <w:rsid w:val="00D23759"/>
    <w:rsid w:val="00D2523A"/>
    <w:rsid w:val="00D261A5"/>
    <w:rsid w:val="00D279E8"/>
    <w:rsid w:val="00D314A0"/>
    <w:rsid w:val="00D31866"/>
    <w:rsid w:val="00D32C21"/>
    <w:rsid w:val="00D371C9"/>
    <w:rsid w:val="00D40709"/>
    <w:rsid w:val="00D43E06"/>
    <w:rsid w:val="00D52B2C"/>
    <w:rsid w:val="00D53AD7"/>
    <w:rsid w:val="00D55935"/>
    <w:rsid w:val="00D56549"/>
    <w:rsid w:val="00D57EC4"/>
    <w:rsid w:val="00D6399E"/>
    <w:rsid w:val="00D639A1"/>
    <w:rsid w:val="00D65E8C"/>
    <w:rsid w:val="00D66C2C"/>
    <w:rsid w:val="00D7049C"/>
    <w:rsid w:val="00D727EE"/>
    <w:rsid w:val="00D74536"/>
    <w:rsid w:val="00D758ED"/>
    <w:rsid w:val="00D762C8"/>
    <w:rsid w:val="00D8057F"/>
    <w:rsid w:val="00D80F71"/>
    <w:rsid w:val="00D816A5"/>
    <w:rsid w:val="00D84651"/>
    <w:rsid w:val="00D85449"/>
    <w:rsid w:val="00D857B6"/>
    <w:rsid w:val="00D906B5"/>
    <w:rsid w:val="00D90C20"/>
    <w:rsid w:val="00D915D7"/>
    <w:rsid w:val="00D91F3A"/>
    <w:rsid w:val="00D926D0"/>
    <w:rsid w:val="00D93B77"/>
    <w:rsid w:val="00D9524B"/>
    <w:rsid w:val="00DA27FA"/>
    <w:rsid w:val="00DA29DA"/>
    <w:rsid w:val="00DA3996"/>
    <w:rsid w:val="00DA5D47"/>
    <w:rsid w:val="00DA5E10"/>
    <w:rsid w:val="00DA65C2"/>
    <w:rsid w:val="00DB037E"/>
    <w:rsid w:val="00DB2C83"/>
    <w:rsid w:val="00DB401E"/>
    <w:rsid w:val="00DB5E57"/>
    <w:rsid w:val="00DB6DE5"/>
    <w:rsid w:val="00DC1DA8"/>
    <w:rsid w:val="00DC2C8F"/>
    <w:rsid w:val="00DC4B45"/>
    <w:rsid w:val="00DC58B1"/>
    <w:rsid w:val="00DC5FF4"/>
    <w:rsid w:val="00DD24F5"/>
    <w:rsid w:val="00DD2F61"/>
    <w:rsid w:val="00DD501A"/>
    <w:rsid w:val="00DD5438"/>
    <w:rsid w:val="00DD675B"/>
    <w:rsid w:val="00DD78E7"/>
    <w:rsid w:val="00DE026D"/>
    <w:rsid w:val="00DE1867"/>
    <w:rsid w:val="00DE36C4"/>
    <w:rsid w:val="00DE4E32"/>
    <w:rsid w:val="00DE57EC"/>
    <w:rsid w:val="00DF23DD"/>
    <w:rsid w:val="00DF35DF"/>
    <w:rsid w:val="00DF5F13"/>
    <w:rsid w:val="00DF7123"/>
    <w:rsid w:val="00E00393"/>
    <w:rsid w:val="00E00DAC"/>
    <w:rsid w:val="00E03E22"/>
    <w:rsid w:val="00E05D49"/>
    <w:rsid w:val="00E067A0"/>
    <w:rsid w:val="00E07B52"/>
    <w:rsid w:val="00E10650"/>
    <w:rsid w:val="00E122E3"/>
    <w:rsid w:val="00E157D0"/>
    <w:rsid w:val="00E16472"/>
    <w:rsid w:val="00E204E7"/>
    <w:rsid w:val="00E24688"/>
    <w:rsid w:val="00E251C3"/>
    <w:rsid w:val="00E25329"/>
    <w:rsid w:val="00E302F4"/>
    <w:rsid w:val="00E33B74"/>
    <w:rsid w:val="00E3474D"/>
    <w:rsid w:val="00E363FB"/>
    <w:rsid w:val="00E41C39"/>
    <w:rsid w:val="00E44836"/>
    <w:rsid w:val="00E45A7D"/>
    <w:rsid w:val="00E52727"/>
    <w:rsid w:val="00E5533D"/>
    <w:rsid w:val="00E60684"/>
    <w:rsid w:val="00E61FAB"/>
    <w:rsid w:val="00E62F35"/>
    <w:rsid w:val="00E6591E"/>
    <w:rsid w:val="00E66191"/>
    <w:rsid w:val="00E70A86"/>
    <w:rsid w:val="00E71272"/>
    <w:rsid w:val="00E720C2"/>
    <w:rsid w:val="00E821BF"/>
    <w:rsid w:val="00E82F06"/>
    <w:rsid w:val="00E82FF1"/>
    <w:rsid w:val="00E849E8"/>
    <w:rsid w:val="00E86257"/>
    <w:rsid w:val="00E90CD6"/>
    <w:rsid w:val="00E91BF9"/>
    <w:rsid w:val="00E92B87"/>
    <w:rsid w:val="00E9441D"/>
    <w:rsid w:val="00E94B5D"/>
    <w:rsid w:val="00E969E6"/>
    <w:rsid w:val="00E9723C"/>
    <w:rsid w:val="00EA0AC0"/>
    <w:rsid w:val="00EA1FE1"/>
    <w:rsid w:val="00EA316C"/>
    <w:rsid w:val="00EA331F"/>
    <w:rsid w:val="00EA3B75"/>
    <w:rsid w:val="00EA4094"/>
    <w:rsid w:val="00EA5A20"/>
    <w:rsid w:val="00EB0DDE"/>
    <w:rsid w:val="00EB2F19"/>
    <w:rsid w:val="00EB4F91"/>
    <w:rsid w:val="00EB66C5"/>
    <w:rsid w:val="00EB6DF4"/>
    <w:rsid w:val="00EB7AFA"/>
    <w:rsid w:val="00EC358A"/>
    <w:rsid w:val="00EC38A5"/>
    <w:rsid w:val="00ED1093"/>
    <w:rsid w:val="00ED27F2"/>
    <w:rsid w:val="00ED4698"/>
    <w:rsid w:val="00ED5080"/>
    <w:rsid w:val="00EE0085"/>
    <w:rsid w:val="00EE00FD"/>
    <w:rsid w:val="00EE0760"/>
    <w:rsid w:val="00EE1902"/>
    <w:rsid w:val="00EE26DE"/>
    <w:rsid w:val="00EE46C3"/>
    <w:rsid w:val="00EE53FB"/>
    <w:rsid w:val="00EF6DBD"/>
    <w:rsid w:val="00EF7621"/>
    <w:rsid w:val="00F01719"/>
    <w:rsid w:val="00F02484"/>
    <w:rsid w:val="00F059E3"/>
    <w:rsid w:val="00F0629B"/>
    <w:rsid w:val="00F062B5"/>
    <w:rsid w:val="00F0709B"/>
    <w:rsid w:val="00F07B6D"/>
    <w:rsid w:val="00F10FF2"/>
    <w:rsid w:val="00F114B4"/>
    <w:rsid w:val="00F12863"/>
    <w:rsid w:val="00F13199"/>
    <w:rsid w:val="00F13D41"/>
    <w:rsid w:val="00F15C08"/>
    <w:rsid w:val="00F16CE1"/>
    <w:rsid w:val="00F17A82"/>
    <w:rsid w:val="00F22996"/>
    <w:rsid w:val="00F265C9"/>
    <w:rsid w:val="00F26DCC"/>
    <w:rsid w:val="00F27E3A"/>
    <w:rsid w:val="00F31468"/>
    <w:rsid w:val="00F317CF"/>
    <w:rsid w:val="00F32FEC"/>
    <w:rsid w:val="00F35B62"/>
    <w:rsid w:val="00F37F65"/>
    <w:rsid w:val="00F4148A"/>
    <w:rsid w:val="00F47762"/>
    <w:rsid w:val="00F545F0"/>
    <w:rsid w:val="00F549E5"/>
    <w:rsid w:val="00F5757A"/>
    <w:rsid w:val="00F61C8F"/>
    <w:rsid w:val="00F64D90"/>
    <w:rsid w:val="00F67023"/>
    <w:rsid w:val="00F70AFB"/>
    <w:rsid w:val="00F74B2E"/>
    <w:rsid w:val="00F75E79"/>
    <w:rsid w:val="00F764DC"/>
    <w:rsid w:val="00F76AC7"/>
    <w:rsid w:val="00F77451"/>
    <w:rsid w:val="00F8143B"/>
    <w:rsid w:val="00F82BC0"/>
    <w:rsid w:val="00F847AD"/>
    <w:rsid w:val="00F904CC"/>
    <w:rsid w:val="00F91F2C"/>
    <w:rsid w:val="00F93546"/>
    <w:rsid w:val="00F948EA"/>
    <w:rsid w:val="00F94A0E"/>
    <w:rsid w:val="00F94F36"/>
    <w:rsid w:val="00FA2700"/>
    <w:rsid w:val="00FA45E4"/>
    <w:rsid w:val="00FA4F52"/>
    <w:rsid w:val="00FA6F2B"/>
    <w:rsid w:val="00FB11E9"/>
    <w:rsid w:val="00FB1DF7"/>
    <w:rsid w:val="00FB255B"/>
    <w:rsid w:val="00FB3B65"/>
    <w:rsid w:val="00FB5823"/>
    <w:rsid w:val="00FB605B"/>
    <w:rsid w:val="00FB659C"/>
    <w:rsid w:val="00FC01AC"/>
    <w:rsid w:val="00FC0627"/>
    <w:rsid w:val="00FC7191"/>
    <w:rsid w:val="00FD2A81"/>
    <w:rsid w:val="00FD2BBC"/>
    <w:rsid w:val="00FE099C"/>
    <w:rsid w:val="00FE120E"/>
    <w:rsid w:val="00FE2223"/>
    <w:rsid w:val="00FE65D5"/>
    <w:rsid w:val="00FE6A0E"/>
    <w:rsid w:val="00FF1BB6"/>
    <w:rsid w:val="00FF2E03"/>
    <w:rsid w:val="00FF4245"/>
    <w:rsid w:val="00FF48A7"/>
    <w:rsid w:val="00FF4DAA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" w:semiHidden="0"/>
    <w:lsdException w:name="List 4" w:semiHidden="0"/>
    <w:lsdException w:name="List 5" w:semiHidden="0"/>
    <w:lsdException w:name="Title" w:semiHidden="0" w:unhideWhenUsed="0" w:qFormat="1"/>
    <w:lsdException w:name="Subtitle" w:semiHidden="0" w:unhideWhenUsed="0" w:qFormat="1"/>
    <w:lsdException w:name="Salutation" w:semiHidden="0"/>
    <w:lsdException w:name="Date" w:semiHidden="0"/>
    <w:lsdException w:name="Body Text First Inden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rsid w:val="0014251F"/>
    <w:pPr>
      <w:keepNext/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0651E6"/>
    <w:pPr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CB61D9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hAnsi="Arial" w:cs="Arial"/>
      <w:bCs/>
      <w:kern w:val="28"/>
      <w:sz w:val="52"/>
      <w:szCs w:val="52"/>
      <w:lang w:val="fr-FR" w:eastAsia="zh-CN" w:bidi="ar-SA"/>
    </w:rPr>
  </w:style>
  <w:style w:type="character" w:customStyle="1" w:styleId="Heading2Char">
    <w:name w:val="Heading 2 Char"/>
    <w:link w:val="Heading2"/>
    <w:rsid w:val="00701EE2"/>
    <w:rPr>
      <w:rFonts w:ascii="Arial" w:hAnsi="Arial" w:cs="Arial"/>
      <w:b/>
      <w:bCs/>
      <w:caps/>
      <w:kern w:val="28"/>
      <w:sz w:val="28"/>
      <w:szCs w:val="28"/>
      <w:lang w:val="en-US" w:eastAsia="zh-CN" w:bidi="ar-SA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val="fr-FR" w:eastAsia="zh-CN" w:bidi="ar-SA"/>
    </w:rPr>
  </w:style>
  <w:style w:type="character" w:customStyle="1" w:styleId="Heading4Char">
    <w:name w:val="Heading 4 Char"/>
    <w:link w:val="Heading4"/>
    <w:rsid w:val="000651E6"/>
    <w:rPr>
      <w:rFonts w:ascii="Arial" w:eastAsia="Times New Roman" w:hAnsi="Arial" w:cs="Arial"/>
      <w:b/>
      <w:bCs/>
      <w:caps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val="fr-FR" w:eastAsia="zh-CN" w:bidi="ar-SA"/>
    </w:rPr>
  </w:style>
  <w:style w:type="character" w:customStyle="1" w:styleId="Heading6Char">
    <w:name w:val="Heading 6 Char"/>
    <w:link w:val="Heading6"/>
    <w:rsid w:val="00701EE2"/>
    <w:rPr>
      <w:rFonts w:ascii="Arial" w:hAnsi="Arial" w:cs="Arial"/>
      <w:b/>
      <w:iCs/>
      <w:szCs w:val="22"/>
      <w:lang w:val="en-US" w:eastAsia="x-none" w:bidi="ar-SA"/>
    </w:rPr>
  </w:style>
  <w:style w:type="paragraph" w:styleId="BalloonText">
    <w:name w:val="Balloon Text"/>
    <w:basedOn w:val="Normal"/>
    <w:link w:val="BalloonTextChar"/>
    <w:rsid w:val="00CB61D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B61D9"/>
    <w:rPr>
      <w:rFonts w:ascii="Lucida Grande" w:eastAsia="SimSun" w:hAnsi="Lucida Grande" w:cs="Lucida Grande"/>
      <w:sz w:val="18"/>
      <w:szCs w:val="18"/>
      <w:lang w:eastAsia="zh-CN"/>
    </w:rPr>
  </w:style>
  <w:style w:type="character" w:styleId="Hyperlink">
    <w:name w:val="Hyperlink"/>
    <w:uiPriority w:val="99"/>
    <w:rsid w:val="0086683E"/>
    <w:rPr>
      <w:color w:val="0000FF"/>
      <w:u w:val="single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Normal"/>
    <w:next w:val="Normal"/>
    <w:autoRedefine/>
    <w:uiPriority w:val="39"/>
    <w:rsid w:val="00A73131"/>
    <w:pPr>
      <w:tabs>
        <w:tab w:val="clear" w:pos="567"/>
      </w:tabs>
      <w:spacing w:before="240" w:after="120"/>
      <w:ind w:left="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TOC1"/>
    <w:next w:val="Normal"/>
    <w:autoRedefine/>
    <w:uiPriority w:val="39"/>
    <w:rsid w:val="00A73131"/>
    <w:pPr>
      <w:spacing w:before="0" w:after="0"/>
    </w:pPr>
    <w:rPr>
      <w:caps w:val="0"/>
      <w:smallCaps/>
      <w:u w:val="none"/>
    </w:rPr>
  </w:style>
  <w:style w:type="paragraph" w:styleId="TOC3">
    <w:name w:val="toc 3"/>
    <w:basedOn w:val="TOC1"/>
    <w:next w:val="Normal"/>
    <w:autoRedefine/>
    <w:uiPriority w:val="39"/>
    <w:rsid w:val="00A73131"/>
    <w:pPr>
      <w:spacing w:before="0" w:after="0"/>
    </w:pPr>
    <w:rPr>
      <w:b w:val="0"/>
      <w:caps w:val="0"/>
      <w:smallCaps/>
      <w:u w:val="none"/>
    </w:rPr>
  </w:style>
  <w:style w:type="paragraph" w:styleId="TOC4">
    <w:name w:val="toc 4"/>
    <w:basedOn w:val="Normal"/>
    <w:next w:val="Normal"/>
    <w:autoRedefine/>
    <w:uiPriority w:val="39"/>
    <w:rsid w:val="00A73131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3238D3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3238D3"/>
    <w:pPr>
      <w:tabs>
        <w:tab w:val="clear" w:pos="567"/>
      </w:tabs>
      <w:spacing w:after="60" w:line="180" w:lineRule="exact"/>
      <w:ind w:left="284" w:hanging="284"/>
    </w:pPr>
    <w:rPr>
      <w:snapToGrid w:val="0"/>
      <w:sz w:val="16"/>
    </w:rPr>
  </w:style>
  <w:style w:type="paragraph" w:customStyle="1" w:styleId="citation">
    <w:name w:val="citation"/>
    <w:basedOn w:val="Texte1"/>
    <w:rsid w:val="00FB5823"/>
    <w:pPr>
      <w:ind w:left="1134" w:right="284"/>
    </w:pPr>
  </w:style>
  <w:style w:type="paragraph" w:customStyle="1" w:styleId="nui">
    <w:name w:val="énu(i)"/>
    <w:basedOn w:val="Texte1"/>
    <w:rsid w:val="00F74B2E"/>
    <w:pPr>
      <w:tabs>
        <w:tab w:val="clear" w:pos="567"/>
      </w:tabs>
      <w:ind w:left="1928" w:hanging="397"/>
    </w:pPr>
  </w:style>
  <w:style w:type="paragraph" w:customStyle="1" w:styleId="infochapitre">
    <w:name w:val="infochapitre"/>
    <w:basedOn w:val="Informations"/>
    <w:link w:val="infochapitreCar"/>
    <w:rsid w:val="003B5874"/>
    <w:pPr>
      <w:spacing w:before="60"/>
      <w:ind w:left="0"/>
    </w:pPr>
  </w:style>
  <w:style w:type="character" w:customStyle="1" w:styleId="HeaderChar">
    <w:name w:val="Header Char"/>
    <w:link w:val="Header"/>
    <w:locked/>
    <w:rsid w:val="00210D69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210D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infochapitreCar">
    <w:name w:val="infochapitre Car"/>
    <w:link w:val="infochapitre"/>
    <w:rsid w:val="003B5874"/>
    <w:rPr>
      <w:rFonts w:ascii="Arial" w:eastAsia="SimSun" w:hAnsi="Arial" w:cs="Arial"/>
      <w:i/>
      <w:color w:val="3366FF"/>
      <w:lang w:eastAsia="zh-CN"/>
    </w:rPr>
  </w:style>
  <w:style w:type="character" w:customStyle="1" w:styleId="FooterChar">
    <w:name w:val="Footer Char"/>
    <w:link w:val="Footer"/>
    <w:locked/>
    <w:rsid w:val="00EE53FB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EE53FB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szCs w:val="18"/>
    </w:rPr>
  </w:style>
  <w:style w:type="paragraph" w:customStyle="1" w:styleId="Enutiret">
    <w:name w:val="Enutiret"/>
    <w:basedOn w:val="Texte1"/>
    <w:link w:val="EnutiretCarCar"/>
    <w:rsid w:val="00713A6D"/>
    <w:pPr>
      <w:numPr>
        <w:numId w:val="10"/>
      </w:numPr>
    </w:p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B82578"/>
    <w:rPr>
      <w:rFonts w:ascii="Arial Gras" w:eastAsia="Times New Roman" w:hAnsi="Arial Gras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qFormat/>
    <w:rsid w:val="00B82578"/>
    <w:pPr>
      <w:tabs>
        <w:tab w:val="clear" w:pos="567"/>
      </w:tabs>
      <w:spacing w:before="240" w:after="480" w:line="840" w:lineRule="exact"/>
      <w:ind w:left="0"/>
      <w:jc w:val="left"/>
    </w:pPr>
    <w:rPr>
      <w:rFonts w:ascii="Arial Gras" w:eastAsia="Times New Roman" w:hAnsi="Arial Gras"/>
      <w:b/>
      <w:caps/>
      <w:snapToGrid w:val="0"/>
      <w:color w:val="17365D"/>
      <w:sz w:val="70"/>
      <w:szCs w:val="70"/>
    </w:rPr>
  </w:style>
  <w:style w:type="character" w:customStyle="1" w:styleId="EnutiretCarCar">
    <w:name w:val="Enutiret Car Car"/>
    <w:link w:val="Enutiret"/>
    <w:rsid w:val="00713A6D"/>
    <w:rPr>
      <w:rFonts w:ascii="Arial" w:eastAsia="SimSun" w:hAnsi="Arial" w:cs="Arial"/>
      <w:lang w:eastAsia="zh-CN"/>
    </w:rPr>
  </w:style>
  <w:style w:type="paragraph" w:customStyle="1" w:styleId="Tabtxt">
    <w:name w:val="Tabtxt"/>
    <w:basedOn w:val="Normal"/>
    <w:rsid w:val="00B9689C"/>
    <w:pPr>
      <w:spacing w:before="60" w:after="6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paragraph" w:customStyle="1" w:styleId="DO">
    <w:name w:val="DO"/>
    <w:basedOn w:val="Texte1"/>
    <w:rsid w:val="00B36CC3"/>
    <w:pPr>
      <w:tabs>
        <w:tab w:val="clear" w:pos="567"/>
        <w:tab w:val="left" w:pos="747"/>
        <w:tab w:val="left" w:pos="2183"/>
      </w:tabs>
      <w:ind w:left="1985" w:hanging="1134"/>
    </w:pPr>
  </w:style>
  <w:style w:type="character" w:customStyle="1" w:styleId="Texte1Car">
    <w:name w:val="Texte1 Car"/>
    <w:link w:val="Texte1"/>
    <w:rsid w:val="00DB5E57"/>
    <w:rPr>
      <w:rFonts w:ascii="Arial" w:eastAsia="SimSun" w:hAnsi="Arial" w:cs="Arial"/>
      <w:lang w:eastAsia="zh-CN"/>
    </w:r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SoustitreCar">
    <w:name w:val="Soustitre Car"/>
    <w:link w:val="Soustitre"/>
    <w:rsid w:val="00B9689C"/>
    <w:rPr>
      <w:rFonts w:ascii="Arial" w:eastAsia="SimSun" w:hAnsi="Arial" w:cs="Arial"/>
      <w:b/>
      <w:lang w:eastAsia="zh-CN"/>
    </w:rPr>
  </w:style>
  <w:style w:type="paragraph" w:customStyle="1" w:styleId="Puceannexe">
    <w:name w:val="Puceannexe"/>
    <w:basedOn w:val="Txtannexe"/>
    <w:link w:val="PuceannexeCar"/>
    <w:rsid w:val="004E7D6C"/>
    <w:pPr>
      <w:numPr>
        <w:numId w:val="4"/>
      </w:numPr>
    </w:pPr>
  </w:style>
  <w:style w:type="character" w:customStyle="1" w:styleId="PuceannexeCar">
    <w:name w:val="Puceannexe Car"/>
    <w:link w:val="Puceannexe"/>
    <w:rsid w:val="004E7D6C"/>
    <w:rPr>
      <w:rFonts w:ascii="Arial" w:eastAsia="SimSun" w:hAnsi="Arial" w:cs="Arial"/>
      <w:lang w:val="fr-FR" w:eastAsia="zh-CN" w:bidi="ar-SA"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E59B1"/>
    <w:rPr>
      <w:rFonts w:ascii="Arial" w:hAnsi="Arial"/>
      <w:sz w:val="14"/>
      <w:vertAlign w:val="superscript"/>
    </w:rPr>
  </w:style>
  <w:style w:type="character" w:styleId="FollowedHyperlink">
    <w:name w:val="FollowedHyperlink"/>
    <w:rsid w:val="0086683E"/>
    <w:rPr>
      <w:color w:val="800080"/>
      <w:u w:val="single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Default">
    <w:name w:val="Default"/>
    <w:rsid w:val="008668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 w:bidi="ar-SA"/>
    </w:rPr>
  </w:style>
  <w:style w:type="paragraph" w:customStyle="1" w:styleId="Annexenote">
    <w:name w:val="Annexenote"/>
    <w:basedOn w:val="FootnoteText"/>
    <w:link w:val="AnnexenoteCar"/>
    <w:rsid w:val="002F739D"/>
    <w:rPr>
      <w:szCs w:val="14"/>
    </w:rPr>
  </w:style>
  <w:style w:type="paragraph" w:customStyle="1" w:styleId="numrationa">
    <w:name w:val="énumération (a)"/>
    <w:basedOn w:val="Texte1"/>
    <w:rsid w:val="00290880"/>
    <w:pPr>
      <w:tabs>
        <w:tab w:val="clear" w:pos="567"/>
        <w:tab w:val="left" w:pos="340"/>
      </w:tabs>
      <w:spacing w:after="80"/>
      <w:ind w:left="1474" w:hanging="340"/>
    </w:pPr>
    <w:rPr>
      <w:szCs w:val="22"/>
    </w:rPr>
  </w:style>
  <w:style w:type="character" w:customStyle="1" w:styleId="AnnexenoteCar">
    <w:name w:val="Annexenote Car"/>
    <w:link w:val="Annexenote"/>
    <w:rsid w:val="002F739D"/>
    <w:rPr>
      <w:rFonts w:ascii="Arial" w:eastAsia="SimSun" w:hAnsi="Arial" w:cs="Arial"/>
      <w:snapToGrid w:val="0"/>
      <w:sz w:val="14"/>
      <w:szCs w:val="14"/>
      <w:lang w:eastAsia="zh-CN"/>
    </w:rPr>
  </w:style>
  <w:style w:type="paragraph" w:styleId="ListBullet">
    <w:name w:val="List Bullet"/>
    <w:basedOn w:val="Normal"/>
    <w:rsid w:val="002B6A2C"/>
    <w:pPr>
      <w:tabs>
        <w:tab w:val="num" w:pos="360"/>
      </w:tabs>
      <w:ind w:left="360" w:hanging="360"/>
      <w:contextualSpacing/>
    </w:pPr>
    <w:rPr>
      <w:snapToGrid w:val="0"/>
      <w:lang w:val="en-US"/>
    </w:rPr>
  </w:style>
  <w:style w:type="paragraph" w:customStyle="1" w:styleId="Enumrotation">
    <w:name w:val="Enumérotation"/>
    <w:basedOn w:val="numrationa"/>
    <w:rsid w:val="00DA5E10"/>
    <w:pPr>
      <w:numPr>
        <w:numId w:val="8"/>
      </w:numPr>
      <w:spacing w:after="60"/>
    </w:pPr>
  </w:style>
  <w:style w:type="character" w:styleId="PageNumber">
    <w:name w:val="page number"/>
    <w:rsid w:val="002B6A2C"/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autoRedefine/>
    <w:rsid w:val="00E157D0"/>
    <w:pPr>
      <w:spacing w:before="480" w:after="240" w:line="300" w:lineRule="exact"/>
      <w:ind w:left="0"/>
    </w:pPr>
    <w:rPr>
      <w:rFonts w:ascii="Arial Gras" w:hAnsi="Arial Gras"/>
      <w:b/>
      <w:bCs/>
      <w:smallCaps/>
      <w:sz w:val="24"/>
      <w:szCs w:val="24"/>
    </w:rPr>
  </w:style>
  <w:style w:type="paragraph" w:customStyle="1" w:styleId="Txtpuce">
    <w:name w:val="Txtpuce"/>
    <w:basedOn w:val="Normal"/>
    <w:rsid w:val="00D727EE"/>
    <w:pPr>
      <w:tabs>
        <w:tab w:val="clear" w:pos="567"/>
        <w:tab w:val="left" w:pos="397"/>
      </w:tabs>
      <w:spacing w:line="360" w:lineRule="exact"/>
      <w:ind w:left="0" w:hanging="397"/>
    </w:pPr>
    <w:rPr>
      <w:sz w:val="24"/>
    </w:rPr>
  </w:style>
  <w:style w:type="paragraph" w:customStyle="1" w:styleId="Txtpucegras">
    <w:name w:val="Txtpucegras"/>
    <w:basedOn w:val="Texte1"/>
    <w:autoRedefine/>
    <w:rsid w:val="00B9689C"/>
    <w:pPr>
      <w:numPr>
        <w:numId w:val="1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rsid w:val="000651E6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ascii="Arial" w:hAnsi="Arial"/>
      <w:color w:val="3366FF"/>
      <w:sz w:val="24"/>
      <w:szCs w:val="24"/>
    </w:rPr>
  </w:style>
  <w:style w:type="character" w:customStyle="1" w:styleId="TitcoulCar">
    <w:name w:val="Titcoul Car"/>
    <w:link w:val="Titcoul"/>
    <w:rsid w:val="000651E6"/>
    <w:rPr>
      <w:rFonts w:ascii="Arial" w:eastAsia="Times New Roman" w:hAnsi="Arial" w:cs="Arial"/>
      <w:b/>
      <w:caps/>
      <w:snapToGrid w:val="0"/>
      <w:color w:val="3366FF"/>
      <w:sz w:val="24"/>
      <w:szCs w:val="24"/>
      <w:lang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3B5874"/>
    <w:pPr>
      <w:numPr>
        <w:ilvl w:val="1"/>
        <w:numId w:val="2"/>
      </w:numPr>
      <w:tabs>
        <w:tab w:val="clear" w:pos="1440"/>
      </w:tabs>
      <w:ind w:left="1474" w:hanging="340"/>
    </w:pPr>
  </w:style>
  <w:style w:type="paragraph" w:customStyle="1" w:styleId="Texte1">
    <w:name w:val="Texte1"/>
    <w:basedOn w:val="Normal"/>
    <w:link w:val="Texte1Car"/>
    <w:rsid w:val="00DB5E57"/>
    <w:pPr>
      <w:keepNext w:val="0"/>
      <w:spacing w:after="60"/>
    </w:pPr>
  </w:style>
  <w:style w:type="paragraph" w:customStyle="1" w:styleId="Tabltetiere">
    <w:name w:val="Tabltetiere"/>
    <w:basedOn w:val="Texte1"/>
    <w:rsid w:val="00A202A2"/>
    <w:pPr>
      <w:keepNext/>
      <w:spacing w:before="60" w:line="200" w:lineRule="exact"/>
      <w:ind w:left="0"/>
      <w:jc w:val="center"/>
    </w:pPr>
    <w:rPr>
      <w:b/>
      <w:sz w:val="18"/>
    </w:rPr>
  </w:style>
  <w:style w:type="paragraph" w:customStyle="1" w:styleId="Soustitre">
    <w:name w:val="Soustitre"/>
    <w:basedOn w:val="Texte1"/>
    <w:link w:val="SoustitreCar"/>
    <w:rsid w:val="00B9689C"/>
    <w:pPr>
      <w:widowControl w:val="0"/>
      <w:spacing w:before="120" w:after="80"/>
    </w:pPr>
    <w:rPr>
      <w:b/>
    </w:rPr>
  </w:style>
  <w:style w:type="paragraph" w:customStyle="1" w:styleId="SsTit">
    <w:name w:val="SsTit"/>
    <w:basedOn w:val="Normal"/>
    <w:rsid w:val="004D5F7F"/>
    <w:pPr>
      <w:spacing w:before="440" w:line="440" w:lineRule="exact"/>
      <w:ind w:left="0"/>
      <w:jc w:val="left"/>
    </w:pPr>
    <w:rPr>
      <w:b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6"/>
      </w:numPr>
    </w:pPr>
  </w:style>
  <w:style w:type="paragraph" w:customStyle="1" w:styleId="Informations">
    <w:name w:val="Informations"/>
    <w:basedOn w:val="Ref"/>
    <w:link w:val="InformationsCar"/>
    <w:rsid w:val="003259DC"/>
    <w:pPr>
      <w:ind w:left="851"/>
    </w:pPr>
  </w:style>
  <w:style w:type="character" w:customStyle="1" w:styleId="InformationsCar">
    <w:name w:val="Informations Car"/>
    <w:link w:val="Informations"/>
    <w:rsid w:val="003259DC"/>
    <w:rPr>
      <w:rFonts w:ascii="Arial" w:eastAsia="SimSun" w:hAnsi="Arial" w:cs="Arial"/>
      <w:i/>
      <w:color w:val="3366FF"/>
      <w:lang w:eastAsia="zh-CN"/>
    </w:rPr>
  </w:style>
  <w:style w:type="paragraph" w:customStyle="1" w:styleId="Enu1">
    <w:name w:val="Enu1"/>
    <w:basedOn w:val="Normal"/>
    <w:rsid w:val="0097251E"/>
    <w:pPr>
      <w:numPr>
        <w:numId w:val="7"/>
      </w:numPr>
      <w:spacing w:after="60"/>
    </w:pPr>
  </w:style>
  <w:style w:type="table" w:styleId="TableGrid">
    <w:name w:val="Table Grid"/>
    <w:basedOn w:val="TableNormal"/>
    <w:rsid w:val="0048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8121B"/>
    <w:pPr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character" w:customStyle="1" w:styleId="hps">
    <w:name w:val="hps"/>
    <w:basedOn w:val="DefaultParagraphFont"/>
    <w:rsid w:val="00D07828"/>
  </w:style>
  <w:style w:type="paragraph" w:styleId="ListParagraph">
    <w:name w:val="List Paragraph"/>
    <w:basedOn w:val="Normal"/>
    <w:uiPriority w:val="34"/>
    <w:qFormat/>
    <w:rsid w:val="00D07828"/>
    <w:pPr>
      <w:keepNext w:val="0"/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e">
    <w:name w:val="Marge"/>
    <w:basedOn w:val="Normal"/>
    <w:rsid w:val="00F37F65"/>
    <w:pPr>
      <w:keepNext w:val="0"/>
      <w:spacing w:after="240" w:line="240" w:lineRule="auto"/>
      <w:ind w:left="0"/>
    </w:pPr>
    <w:rPr>
      <w:rFonts w:eastAsia="Times New Roman" w:cs="Times New Roman"/>
      <w:snapToGrid w:val="0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B0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D4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B01BD4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1BD4"/>
    <w:rPr>
      <w:b/>
      <w:bCs/>
    </w:rPr>
  </w:style>
  <w:style w:type="character" w:customStyle="1" w:styleId="CommentSubjectChar">
    <w:name w:val="Comment Subject Char"/>
    <w:link w:val="CommentSubject"/>
    <w:semiHidden/>
    <w:rsid w:val="00B01BD4"/>
    <w:rPr>
      <w:rFonts w:ascii="Arial" w:eastAsia="SimSun" w:hAnsi="Arial" w:cs="Arial"/>
      <w:b/>
      <w:bCs/>
      <w:lang w:eastAsia="zh-CN"/>
    </w:rPr>
  </w:style>
  <w:style w:type="paragraph" w:customStyle="1" w:styleId="Chapitre">
    <w:name w:val="Chapitre"/>
    <w:basedOn w:val="Titcoul"/>
    <w:link w:val="ChapitreCar"/>
    <w:rsid w:val="005A0AB6"/>
    <w:pPr>
      <w:pBdr>
        <w:bottom w:val="single" w:sz="4" w:space="14" w:color="3366FF"/>
      </w:pBdr>
      <w:spacing w:before="240" w:line="840" w:lineRule="exact"/>
      <w:ind w:left="0" w:firstLine="0"/>
    </w:pPr>
    <w:rPr>
      <w:sz w:val="70"/>
      <w:szCs w:val="70"/>
    </w:rPr>
  </w:style>
  <w:style w:type="paragraph" w:customStyle="1" w:styleId="Sschapitre">
    <w:name w:val="Sschapitre"/>
    <w:basedOn w:val="Txtgras"/>
    <w:autoRedefine/>
    <w:rsid w:val="00B0489C"/>
  </w:style>
  <w:style w:type="paragraph" w:customStyle="1" w:styleId="Txtchap">
    <w:name w:val="Txtchap"/>
    <w:basedOn w:val="Normal"/>
    <w:link w:val="TxtchapCar"/>
    <w:rsid w:val="00DA5D47"/>
    <w:pPr>
      <w:numPr>
        <w:numId w:val="13"/>
      </w:numPr>
      <w:spacing w:after="120" w:line="360" w:lineRule="exact"/>
    </w:pPr>
    <w:rPr>
      <w:sz w:val="24"/>
    </w:rPr>
  </w:style>
  <w:style w:type="paragraph" w:customStyle="1" w:styleId="Chapinfo">
    <w:name w:val="Chapinfo"/>
    <w:basedOn w:val="Txtchap"/>
    <w:link w:val="ChapinfoCar"/>
    <w:rsid w:val="00795FF0"/>
    <w:pPr>
      <w:keepNext w:val="0"/>
      <w:numPr>
        <w:numId w:val="0"/>
      </w:numPr>
      <w:spacing w:before="480" w:after="0" w:line="320" w:lineRule="exact"/>
      <w:ind w:left="567"/>
    </w:pPr>
    <w:rPr>
      <w:i/>
      <w:iCs/>
      <w:color w:val="3366FF"/>
      <w:szCs w:val="24"/>
    </w:rPr>
  </w:style>
  <w:style w:type="character" w:customStyle="1" w:styleId="ChapinfoCar">
    <w:name w:val="Chapinfo Car"/>
    <w:link w:val="Chapinfo"/>
    <w:rsid w:val="00795FF0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Enutiret2">
    <w:name w:val="Enutiret2"/>
    <w:basedOn w:val="Enutiret"/>
    <w:rsid w:val="000D6D71"/>
    <w:pPr>
      <w:ind w:left="1701"/>
    </w:pPr>
  </w:style>
  <w:style w:type="paragraph" w:customStyle="1" w:styleId="Cas">
    <w:name w:val="Cas"/>
    <w:basedOn w:val="Heading4"/>
    <w:rsid w:val="00BC3B18"/>
    <w:pPr>
      <w:spacing w:before="0" w:line="360" w:lineRule="exact"/>
    </w:pPr>
    <w:rPr>
      <w:caps w:val="0"/>
      <w:color w:val="3366FF"/>
      <w:sz w:val="28"/>
      <w:szCs w:val="28"/>
    </w:rPr>
  </w:style>
  <w:style w:type="paragraph" w:customStyle="1" w:styleId="Caschap">
    <w:name w:val="Caschap"/>
    <w:basedOn w:val="Chapitre"/>
    <w:rsid w:val="00BC3B18"/>
    <w:pPr>
      <w:pBdr>
        <w:bottom w:val="none" w:sz="0" w:space="0" w:color="auto"/>
      </w:pBdr>
      <w:spacing w:before="0" w:after="120" w:line="480" w:lineRule="exact"/>
    </w:pPr>
    <w:rPr>
      <w:color w:val="auto"/>
      <w:sz w:val="36"/>
      <w:szCs w:val="48"/>
    </w:rPr>
  </w:style>
  <w:style w:type="paragraph" w:customStyle="1" w:styleId="Sschap">
    <w:name w:val="Sschap"/>
    <w:basedOn w:val="Txtgras"/>
    <w:autoRedefine/>
    <w:rsid w:val="000C41FA"/>
    <w:pPr>
      <w:widowControl w:val="0"/>
      <w:spacing w:before="600" w:after="480"/>
    </w:pPr>
    <w:rPr>
      <w:rFonts w:ascii="Arial" w:hAnsi="Arial"/>
      <w:smallCaps w:val="0"/>
    </w:rPr>
  </w:style>
  <w:style w:type="character" w:customStyle="1" w:styleId="TxtchapCar">
    <w:name w:val="Txtchap Car"/>
    <w:basedOn w:val="DefaultParagraphFont"/>
    <w:link w:val="Txtchap"/>
    <w:rsid w:val="00DA5D47"/>
    <w:rPr>
      <w:rFonts w:ascii="Arial" w:eastAsia="SimSun" w:hAnsi="Arial" w:cs="Arial"/>
      <w:sz w:val="24"/>
      <w:lang w:eastAsia="zh-CN"/>
    </w:rPr>
  </w:style>
  <w:style w:type="paragraph" w:customStyle="1" w:styleId="Key">
    <w:name w:val="Key"/>
    <w:basedOn w:val="Titcoul"/>
    <w:link w:val="KeyCar"/>
    <w:qFormat/>
    <w:rsid w:val="00DA5D47"/>
    <w:rPr>
      <w:rFonts w:eastAsia="SimSun"/>
      <w:lang w:val="en-US"/>
    </w:rPr>
  </w:style>
  <w:style w:type="character" w:customStyle="1" w:styleId="KeyCar">
    <w:name w:val="Key Car"/>
    <w:basedOn w:val="TitcoulCar"/>
    <w:link w:val="Key"/>
    <w:rsid w:val="00DA5D47"/>
    <w:rPr>
      <w:rFonts w:ascii="Arial Gras" w:eastAsia="SimSun" w:hAnsi="Arial Gras" w:cs="Arial"/>
      <w:b/>
      <w:bCs w:val="0"/>
      <w:caps/>
      <w:snapToGrid w:val="0"/>
      <w:color w:val="3366FF"/>
      <w:sz w:val="24"/>
      <w:szCs w:val="24"/>
      <w:lang w:val="en-US" w:eastAsia="zh-CN"/>
    </w:rPr>
  </w:style>
  <w:style w:type="paragraph" w:customStyle="1" w:styleId="Textegras">
    <w:name w:val="Textegras"/>
    <w:basedOn w:val="Texte1"/>
    <w:link w:val="TextegrasCar"/>
    <w:rsid w:val="0057532F"/>
    <w:pPr>
      <w:keepNext/>
      <w:spacing w:before="120"/>
      <w:ind w:left="284" w:hanging="284"/>
      <w:jc w:val="left"/>
    </w:pPr>
    <w:rPr>
      <w:b/>
      <w:w w:val="95"/>
      <w:lang w:val="en-GB"/>
    </w:rPr>
  </w:style>
  <w:style w:type="character" w:customStyle="1" w:styleId="TextegrasCar">
    <w:name w:val="Textegras Car"/>
    <w:basedOn w:val="Texte1Car"/>
    <w:link w:val="Textegras"/>
    <w:rsid w:val="0057532F"/>
    <w:rPr>
      <w:rFonts w:ascii="Arial" w:eastAsia="SimSun" w:hAnsi="Arial" w:cs="Arial"/>
      <w:b/>
      <w:w w:val="95"/>
      <w:lang w:val="en-GB" w:eastAsia="zh-CN"/>
    </w:rPr>
  </w:style>
  <w:style w:type="character" w:customStyle="1" w:styleId="EnutiretCar">
    <w:name w:val="Enutiret Car"/>
    <w:basedOn w:val="DefaultParagraphFont"/>
    <w:rsid w:val="00073751"/>
    <w:rPr>
      <w:rFonts w:ascii="Arial" w:hAnsi="Arial" w:cs="Arial"/>
      <w:noProof/>
      <w:snapToGrid w:val="0"/>
      <w:sz w:val="20"/>
      <w:szCs w:val="20"/>
      <w:lang w:eastAsia="en-US"/>
    </w:rPr>
  </w:style>
  <w:style w:type="paragraph" w:customStyle="1" w:styleId="Info03">
    <w:name w:val="Info03"/>
    <w:basedOn w:val="Normal"/>
    <w:rsid w:val="00F61C8F"/>
    <w:pPr>
      <w:tabs>
        <w:tab w:val="left" w:pos="1134"/>
        <w:tab w:val="left" w:pos="1701"/>
        <w:tab w:val="left" w:pos="2268"/>
      </w:tabs>
      <w:snapToGrid/>
      <w:spacing w:after="120" w:line="220" w:lineRule="exact"/>
      <w:ind w:left="113" w:right="113"/>
    </w:pPr>
    <w:rPr>
      <w:rFonts w:eastAsia="Times New Roman"/>
      <w:i/>
      <w:iCs/>
      <w:szCs w:val="22"/>
      <w:lang w:val="en-US" w:eastAsia="fr-FR"/>
    </w:rPr>
  </w:style>
  <w:style w:type="character" w:customStyle="1" w:styleId="ChapitreCar">
    <w:name w:val="Chapitre Car"/>
    <w:link w:val="Chapitre"/>
    <w:locked/>
    <w:rsid w:val="005A0AB6"/>
    <w:rPr>
      <w:rFonts w:ascii="Arial" w:eastAsia="Times New Roman" w:hAnsi="Arial" w:cs="Arial"/>
      <w:b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Normal"/>
    <w:link w:val="HO1Car"/>
    <w:rsid w:val="005A0AB6"/>
    <w:pPr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5A0AB6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A0AB6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A0AB6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character" w:styleId="Emphasis">
    <w:name w:val="Emphasis"/>
    <w:basedOn w:val="DefaultParagraphFont"/>
    <w:qFormat/>
    <w:rsid w:val="0024620F"/>
    <w:rPr>
      <w:i/>
      <w:iCs/>
    </w:rPr>
  </w:style>
  <w:style w:type="paragraph" w:customStyle="1" w:styleId="UPlan">
    <w:name w:val="UPlan"/>
    <w:basedOn w:val="Titcoul"/>
    <w:link w:val="UPlanCar"/>
    <w:rsid w:val="00CC6EA3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CC6EA3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" w:semiHidden="0"/>
    <w:lsdException w:name="List 4" w:semiHidden="0"/>
    <w:lsdException w:name="List 5" w:semiHidden="0"/>
    <w:lsdException w:name="Title" w:semiHidden="0" w:unhideWhenUsed="0" w:qFormat="1"/>
    <w:lsdException w:name="Subtitle" w:semiHidden="0" w:unhideWhenUsed="0" w:qFormat="1"/>
    <w:lsdException w:name="Salutation" w:semiHidden="0"/>
    <w:lsdException w:name="Date" w:semiHidden="0"/>
    <w:lsdException w:name="Body Text First Inden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rsid w:val="0014251F"/>
    <w:pPr>
      <w:keepNext/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0651E6"/>
    <w:pPr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CB61D9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hAnsi="Arial" w:cs="Arial"/>
      <w:bCs/>
      <w:kern w:val="28"/>
      <w:sz w:val="52"/>
      <w:szCs w:val="52"/>
      <w:lang w:val="fr-FR" w:eastAsia="zh-CN" w:bidi="ar-SA"/>
    </w:rPr>
  </w:style>
  <w:style w:type="character" w:customStyle="1" w:styleId="Heading2Char">
    <w:name w:val="Heading 2 Char"/>
    <w:link w:val="Heading2"/>
    <w:rsid w:val="00701EE2"/>
    <w:rPr>
      <w:rFonts w:ascii="Arial" w:hAnsi="Arial" w:cs="Arial"/>
      <w:b/>
      <w:bCs/>
      <w:caps/>
      <w:kern w:val="28"/>
      <w:sz w:val="28"/>
      <w:szCs w:val="28"/>
      <w:lang w:val="en-US" w:eastAsia="zh-CN" w:bidi="ar-SA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val="fr-FR" w:eastAsia="zh-CN" w:bidi="ar-SA"/>
    </w:rPr>
  </w:style>
  <w:style w:type="character" w:customStyle="1" w:styleId="Heading4Char">
    <w:name w:val="Heading 4 Char"/>
    <w:link w:val="Heading4"/>
    <w:rsid w:val="000651E6"/>
    <w:rPr>
      <w:rFonts w:ascii="Arial" w:eastAsia="Times New Roman" w:hAnsi="Arial" w:cs="Arial"/>
      <w:b/>
      <w:bCs/>
      <w:caps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val="fr-FR" w:eastAsia="zh-CN" w:bidi="ar-SA"/>
    </w:rPr>
  </w:style>
  <w:style w:type="character" w:customStyle="1" w:styleId="Heading6Char">
    <w:name w:val="Heading 6 Char"/>
    <w:link w:val="Heading6"/>
    <w:rsid w:val="00701EE2"/>
    <w:rPr>
      <w:rFonts w:ascii="Arial" w:hAnsi="Arial" w:cs="Arial"/>
      <w:b/>
      <w:iCs/>
      <w:szCs w:val="22"/>
      <w:lang w:val="en-US" w:eastAsia="x-none" w:bidi="ar-SA"/>
    </w:rPr>
  </w:style>
  <w:style w:type="paragraph" w:styleId="BalloonText">
    <w:name w:val="Balloon Text"/>
    <w:basedOn w:val="Normal"/>
    <w:link w:val="BalloonTextChar"/>
    <w:rsid w:val="00CB61D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B61D9"/>
    <w:rPr>
      <w:rFonts w:ascii="Lucida Grande" w:eastAsia="SimSun" w:hAnsi="Lucida Grande" w:cs="Lucida Grande"/>
      <w:sz w:val="18"/>
      <w:szCs w:val="18"/>
      <w:lang w:eastAsia="zh-CN"/>
    </w:rPr>
  </w:style>
  <w:style w:type="character" w:styleId="Hyperlink">
    <w:name w:val="Hyperlink"/>
    <w:uiPriority w:val="99"/>
    <w:rsid w:val="0086683E"/>
    <w:rPr>
      <w:color w:val="0000FF"/>
      <w:u w:val="single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Normal"/>
    <w:next w:val="Normal"/>
    <w:autoRedefine/>
    <w:uiPriority w:val="39"/>
    <w:rsid w:val="00A73131"/>
    <w:pPr>
      <w:tabs>
        <w:tab w:val="clear" w:pos="567"/>
      </w:tabs>
      <w:spacing w:before="240" w:after="120"/>
      <w:ind w:left="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TOC1"/>
    <w:next w:val="Normal"/>
    <w:autoRedefine/>
    <w:uiPriority w:val="39"/>
    <w:rsid w:val="00A73131"/>
    <w:pPr>
      <w:spacing w:before="0" w:after="0"/>
    </w:pPr>
    <w:rPr>
      <w:caps w:val="0"/>
      <w:smallCaps/>
      <w:u w:val="none"/>
    </w:rPr>
  </w:style>
  <w:style w:type="paragraph" w:styleId="TOC3">
    <w:name w:val="toc 3"/>
    <w:basedOn w:val="TOC1"/>
    <w:next w:val="Normal"/>
    <w:autoRedefine/>
    <w:uiPriority w:val="39"/>
    <w:rsid w:val="00A73131"/>
    <w:pPr>
      <w:spacing w:before="0" w:after="0"/>
    </w:pPr>
    <w:rPr>
      <w:b w:val="0"/>
      <w:caps w:val="0"/>
      <w:smallCaps/>
      <w:u w:val="none"/>
    </w:rPr>
  </w:style>
  <w:style w:type="paragraph" w:styleId="TOC4">
    <w:name w:val="toc 4"/>
    <w:basedOn w:val="Normal"/>
    <w:next w:val="Normal"/>
    <w:autoRedefine/>
    <w:uiPriority w:val="39"/>
    <w:rsid w:val="00A73131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3238D3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3238D3"/>
    <w:pPr>
      <w:tabs>
        <w:tab w:val="clear" w:pos="567"/>
      </w:tabs>
      <w:spacing w:after="60" w:line="180" w:lineRule="exact"/>
      <w:ind w:left="284" w:hanging="284"/>
    </w:pPr>
    <w:rPr>
      <w:snapToGrid w:val="0"/>
      <w:sz w:val="16"/>
    </w:rPr>
  </w:style>
  <w:style w:type="paragraph" w:customStyle="1" w:styleId="citation">
    <w:name w:val="citation"/>
    <w:basedOn w:val="Texte1"/>
    <w:rsid w:val="00FB5823"/>
    <w:pPr>
      <w:ind w:left="1134" w:right="284"/>
    </w:pPr>
  </w:style>
  <w:style w:type="paragraph" w:customStyle="1" w:styleId="nui">
    <w:name w:val="énu(i)"/>
    <w:basedOn w:val="Texte1"/>
    <w:rsid w:val="00F74B2E"/>
    <w:pPr>
      <w:tabs>
        <w:tab w:val="clear" w:pos="567"/>
      </w:tabs>
      <w:ind w:left="1928" w:hanging="397"/>
    </w:pPr>
  </w:style>
  <w:style w:type="paragraph" w:customStyle="1" w:styleId="infochapitre">
    <w:name w:val="infochapitre"/>
    <w:basedOn w:val="Informations"/>
    <w:link w:val="infochapitreCar"/>
    <w:rsid w:val="003B5874"/>
    <w:pPr>
      <w:spacing w:before="60"/>
      <w:ind w:left="0"/>
    </w:pPr>
  </w:style>
  <w:style w:type="character" w:customStyle="1" w:styleId="HeaderChar">
    <w:name w:val="Header Char"/>
    <w:link w:val="Header"/>
    <w:locked/>
    <w:rsid w:val="00210D69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210D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infochapitreCar">
    <w:name w:val="infochapitre Car"/>
    <w:link w:val="infochapitre"/>
    <w:rsid w:val="003B5874"/>
    <w:rPr>
      <w:rFonts w:ascii="Arial" w:eastAsia="SimSun" w:hAnsi="Arial" w:cs="Arial"/>
      <w:i/>
      <w:color w:val="3366FF"/>
      <w:lang w:eastAsia="zh-CN"/>
    </w:rPr>
  </w:style>
  <w:style w:type="character" w:customStyle="1" w:styleId="FooterChar">
    <w:name w:val="Footer Char"/>
    <w:link w:val="Footer"/>
    <w:locked/>
    <w:rsid w:val="00EE53FB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EE53FB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szCs w:val="18"/>
    </w:rPr>
  </w:style>
  <w:style w:type="paragraph" w:customStyle="1" w:styleId="Enutiret">
    <w:name w:val="Enutiret"/>
    <w:basedOn w:val="Texte1"/>
    <w:link w:val="EnutiretCarCar"/>
    <w:rsid w:val="00713A6D"/>
    <w:pPr>
      <w:numPr>
        <w:numId w:val="10"/>
      </w:numPr>
    </w:p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B82578"/>
    <w:rPr>
      <w:rFonts w:ascii="Arial Gras" w:eastAsia="Times New Roman" w:hAnsi="Arial Gras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qFormat/>
    <w:rsid w:val="00B82578"/>
    <w:pPr>
      <w:tabs>
        <w:tab w:val="clear" w:pos="567"/>
      </w:tabs>
      <w:spacing w:before="240" w:after="480" w:line="840" w:lineRule="exact"/>
      <w:ind w:left="0"/>
      <w:jc w:val="left"/>
    </w:pPr>
    <w:rPr>
      <w:rFonts w:ascii="Arial Gras" w:eastAsia="Times New Roman" w:hAnsi="Arial Gras"/>
      <w:b/>
      <w:caps/>
      <w:snapToGrid w:val="0"/>
      <w:color w:val="17365D"/>
      <w:sz w:val="70"/>
      <w:szCs w:val="70"/>
    </w:rPr>
  </w:style>
  <w:style w:type="character" w:customStyle="1" w:styleId="EnutiretCarCar">
    <w:name w:val="Enutiret Car Car"/>
    <w:link w:val="Enutiret"/>
    <w:rsid w:val="00713A6D"/>
    <w:rPr>
      <w:rFonts w:ascii="Arial" w:eastAsia="SimSun" w:hAnsi="Arial" w:cs="Arial"/>
      <w:lang w:eastAsia="zh-CN"/>
    </w:rPr>
  </w:style>
  <w:style w:type="paragraph" w:customStyle="1" w:styleId="Tabtxt">
    <w:name w:val="Tabtxt"/>
    <w:basedOn w:val="Normal"/>
    <w:rsid w:val="00B9689C"/>
    <w:pPr>
      <w:spacing w:before="60" w:after="6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paragraph" w:customStyle="1" w:styleId="DO">
    <w:name w:val="DO"/>
    <w:basedOn w:val="Texte1"/>
    <w:rsid w:val="00B36CC3"/>
    <w:pPr>
      <w:tabs>
        <w:tab w:val="clear" w:pos="567"/>
        <w:tab w:val="left" w:pos="747"/>
        <w:tab w:val="left" w:pos="2183"/>
      </w:tabs>
      <w:ind w:left="1985" w:hanging="1134"/>
    </w:pPr>
  </w:style>
  <w:style w:type="character" w:customStyle="1" w:styleId="Texte1Car">
    <w:name w:val="Texte1 Car"/>
    <w:link w:val="Texte1"/>
    <w:rsid w:val="00DB5E57"/>
    <w:rPr>
      <w:rFonts w:ascii="Arial" w:eastAsia="SimSun" w:hAnsi="Arial" w:cs="Arial"/>
      <w:lang w:eastAsia="zh-CN"/>
    </w:r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SoustitreCar">
    <w:name w:val="Soustitre Car"/>
    <w:link w:val="Soustitre"/>
    <w:rsid w:val="00B9689C"/>
    <w:rPr>
      <w:rFonts w:ascii="Arial" w:eastAsia="SimSun" w:hAnsi="Arial" w:cs="Arial"/>
      <w:b/>
      <w:lang w:eastAsia="zh-CN"/>
    </w:rPr>
  </w:style>
  <w:style w:type="paragraph" w:customStyle="1" w:styleId="Puceannexe">
    <w:name w:val="Puceannexe"/>
    <w:basedOn w:val="Txtannexe"/>
    <w:link w:val="PuceannexeCar"/>
    <w:rsid w:val="004E7D6C"/>
    <w:pPr>
      <w:numPr>
        <w:numId w:val="4"/>
      </w:numPr>
    </w:pPr>
  </w:style>
  <w:style w:type="character" w:customStyle="1" w:styleId="PuceannexeCar">
    <w:name w:val="Puceannexe Car"/>
    <w:link w:val="Puceannexe"/>
    <w:rsid w:val="004E7D6C"/>
    <w:rPr>
      <w:rFonts w:ascii="Arial" w:eastAsia="SimSun" w:hAnsi="Arial" w:cs="Arial"/>
      <w:lang w:val="fr-FR" w:eastAsia="zh-CN" w:bidi="ar-SA"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E59B1"/>
    <w:rPr>
      <w:rFonts w:ascii="Arial" w:hAnsi="Arial"/>
      <w:sz w:val="14"/>
      <w:vertAlign w:val="superscript"/>
    </w:rPr>
  </w:style>
  <w:style w:type="character" w:styleId="FollowedHyperlink">
    <w:name w:val="FollowedHyperlink"/>
    <w:rsid w:val="0086683E"/>
    <w:rPr>
      <w:color w:val="800080"/>
      <w:u w:val="single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Default">
    <w:name w:val="Default"/>
    <w:rsid w:val="008668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 w:bidi="ar-SA"/>
    </w:rPr>
  </w:style>
  <w:style w:type="paragraph" w:customStyle="1" w:styleId="Annexenote">
    <w:name w:val="Annexenote"/>
    <w:basedOn w:val="FootnoteText"/>
    <w:link w:val="AnnexenoteCar"/>
    <w:rsid w:val="002F739D"/>
    <w:rPr>
      <w:szCs w:val="14"/>
    </w:rPr>
  </w:style>
  <w:style w:type="paragraph" w:customStyle="1" w:styleId="numrationa">
    <w:name w:val="énumération (a)"/>
    <w:basedOn w:val="Texte1"/>
    <w:rsid w:val="00290880"/>
    <w:pPr>
      <w:tabs>
        <w:tab w:val="clear" w:pos="567"/>
        <w:tab w:val="left" w:pos="340"/>
      </w:tabs>
      <w:spacing w:after="80"/>
      <w:ind w:left="1474" w:hanging="340"/>
    </w:pPr>
    <w:rPr>
      <w:szCs w:val="22"/>
    </w:rPr>
  </w:style>
  <w:style w:type="character" w:customStyle="1" w:styleId="AnnexenoteCar">
    <w:name w:val="Annexenote Car"/>
    <w:link w:val="Annexenote"/>
    <w:rsid w:val="002F739D"/>
    <w:rPr>
      <w:rFonts w:ascii="Arial" w:eastAsia="SimSun" w:hAnsi="Arial" w:cs="Arial"/>
      <w:snapToGrid w:val="0"/>
      <w:sz w:val="14"/>
      <w:szCs w:val="14"/>
      <w:lang w:eastAsia="zh-CN"/>
    </w:rPr>
  </w:style>
  <w:style w:type="paragraph" w:styleId="ListBullet">
    <w:name w:val="List Bullet"/>
    <w:basedOn w:val="Normal"/>
    <w:rsid w:val="002B6A2C"/>
    <w:pPr>
      <w:tabs>
        <w:tab w:val="num" w:pos="360"/>
      </w:tabs>
      <w:ind w:left="360" w:hanging="360"/>
      <w:contextualSpacing/>
    </w:pPr>
    <w:rPr>
      <w:snapToGrid w:val="0"/>
      <w:lang w:val="en-US"/>
    </w:rPr>
  </w:style>
  <w:style w:type="paragraph" w:customStyle="1" w:styleId="Enumrotation">
    <w:name w:val="Enumérotation"/>
    <w:basedOn w:val="numrationa"/>
    <w:rsid w:val="00DA5E10"/>
    <w:pPr>
      <w:numPr>
        <w:numId w:val="8"/>
      </w:numPr>
      <w:spacing w:after="60"/>
    </w:pPr>
  </w:style>
  <w:style w:type="character" w:styleId="PageNumber">
    <w:name w:val="page number"/>
    <w:rsid w:val="002B6A2C"/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autoRedefine/>
    <w:rsid w:val="00E157D0"/>
    <w:pPr>
      <w:spacing w:before="480" w:after="240" w:line="300" w:lineRule="exact"/>
      <w:ind w:left="0"/>
    </w:pPr>
    <w:rPr>
      <w:rFonts w:ascii="Arial Gras" w:hAnsi="Arial Gras"/>
      <w:b/>
      <w:bCs/>
      <w:smallCaps/>
      <w:sz w:val="24"/>
      <w:szCs w:val="24"/>
    </w:rPr>
  </w:style>
  <w:style w:type="paragraph" w:customStyle="1" w:styleId="Txtpuce">
    <w:name w:val="Txtpuce"/>
    <w:basedOn w:val="Normal"/>
    <w:rsid w:val="00D727EE"/>
    <w:pPr>
      <w:tabs>
        <w:tab w:val="clear" w:pos="567"/>
        <w:tab w:val="left" w:pos="397"/>
      </w:tabs>
      <w:spacing w:line="360" w:lineRule="exact"/>
      <w:ind w:left="0" w:hanging="397"/>
    </w:pPr>
    <w:rPr>
      <w:sz w:val="24"/>
    </w:rPr>
  </w:style>
  <w:style w:type="paragraph" w:customStyle="1" w:styleId="Txtpucegras">
    <w:name w:val="Txtpucegras"/>
    <w:basedOn w:val="Texte1"/>
    <w:autoRedefine/>
    <w:rsid w:val="00B9689C"/>
    <w:pPr>
      <w:numPr>
        <w:numId w:val="1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rsid w:val="000651E6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ascii="Arial" w:hAnsi="Arial"/>
      <w:color w:val="3366FF"/>
      <w:sz w:val="24"/>
      <w:szCs w:val="24"/>
    </w:rPr>
  </w:style>
  <w:style w:type="character" w:customStyle="1" w:styleId="TitcoulCar">
    <w:name w:val="Titcoul Car"/>
    <w:link w:val="Titcoul"/>
    <w:rsid w:val="000651E6"/>
    <w:rPr>
      <w:rFonts w:ascii="Arial" w:eastAsia="Times New Roman" w:hAnsi="Arial" w:cs="Arial"/>
      <w:b/>
      <w:caps/>
      <w:snapToGrid w:val="0"/>
      <w:color w:val="3366FF"/>
      <w:sz w:val="24"/>
      <w:szCs w:val="24"/>
      <w:lang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3B5874"/>
    <w:pPr>
      <w:numPr>
        <w:ilvl w:val="1"/>
        <w:numId w:val="2"/>
      </w:numPr>
      <w:tabs>
        <w:tab w:val="clear" w:pos="1440"/>
      </w:tabs>
      <w:ind w:left="1474" w:hanging="340"/>
    </w:pPr>
  </w:style>
  <w:style w:type="paragraph" w:customStyle="1" w:styleId="Texte1">
    <w:name w:val="Texte1"/>
    <w:basedOn w:val="Normal"/>
    <w:link w:val="Texte1Car"/>
    <w:rsid w:val="00DB5E57"/>
    <w:pPr>
      <w:keepNext w:val="0"/>
      <w:spacing w:after="60"/>
    </w:pPr>
  </w:style>
  <w:style w:type="paragraph" w:customStyle="1" w:styleId="Tabltetiere">
    <w:name w:val="Tabltetiere"/>
    <w:basedOn w:val="Texte1"/>
    <w:rsid w:val="00A202A2"/>
    <w:pPr>
      <w:keepNext/>
      <w:spacing w:before="60" w:line="200" w:lineRule="exact"/>
      <w:ind w:left="0"/>
      <w:jc w:val="center"/>
    </w:pPr>
    <w:rPr>
      <w:b/>
      <w:sz w:val="18"/>
    </w:rPr>
  </w:style>
  <w:style w:type="paragraph" w:customStyle="1" w:styleId="Soustitre">
    <w:name w:val="Soustitre"/>
    <w:basedOn w:val="Texte1"/>
    <w:link w:val="SoustitreCar"/>
    <w:rsid w:val="00B9689C"/>
    <w:pPr>
      <w:widowControl w:val="0"/>
      <w:spacing w:before="120" w:after="80"/>
    </w:pPr>
    <w:rPr>
      <w:b/>
    </w:rPr>
  </w:style>
  <w:style w:type="paragraph" w:customStyle="1" w:styleId="SsTit">
    <w:name w:val="SsTit"/>
    <w:basedOn w:val="Normal"/>
    <w:rsid w:val="004D5F7F"/>
    <w:pPr>
      <w:spacing w:before="440" w:line="440" w:lineRule="exact"/>
      <w:ind w:left="0"/>
      <w:jc w:val="left"/>
    </w:pPr>
    <w:rPr>
      <w:b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6"/>
      </w:numPr>
    </w:pPr>
  </w:style>
  <w:style w:type="paragraph" w:customStyle="1" w:styleId="Informations">
    <w:name w:val="Informations"/>
    <w:basedOn w:val="Ref"/>
    <w:link w:val="InformationsCar"/>
    <w:rsid w:val="003259DC"/>
    <w:pPr>
      <w:ind w:left="851"/>
    </w:pPr>
  </w:style>
  <w:style w:type="character" w:customStyle="1" w:styleId="InformationsCar">
    <w:name w:val="Informations Car"/>
    <w:link w:val="Informations"/>
    <w:rsid w:val="003259DC"/>
    <w:rPr>
      <w:rFonts w:ascii="Arial" w:eastAsia="SimSun" w:hAnsi="Arial" w:cs="Arial"/>
      <w:i/>
      <w:color w:val="3366FF"/>
      <w:lang w:eastAsia="zh-CN"/>
    </w:rPr>
  </w:style>
  <w:style w:type="paragraph" w:customStyle="1" w:styleId="Enu1">
    <w:name w:val="Enu1"/>
    <w:basedOn w:val="Normal"/>
    <w:rsid w:val="0097251E"/>
    <w:pPr>
      <w:numPr>
        <w:numId w:val="7"/>
      </w:numPr>
      <w:spacing w:after="60"/>
    </w:pPr>
  </w:style>
  <w:style w:type="table" w:styleId="TableGrid">
    <w:name w:val="Table Grid"/>
    <w:basedOn w:val="TableNormal"/>
    <w:rsid w:val="0048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8121B"/>
    <w:pPr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character" w:customStyle="1" w:styleId="hps">
    <w:name w:val="hps"/>
    <w:basedOn w:val="DefaultParagraphFont"/>
    <w:rsid w:val="00D07828"/>
  </w:style>
  <w:style w:type="paragraph" w:styleId="ListParagraph">
    <w:name w:val="List Paragraph"/>
    <w:basedOn w:val="Normal"/>
    <w:uiPriority w:val="34"/>
    <w:qFormat/>
    <w:rsid w:val="00D07828"/>
    <w:pPr>
      <w:keepNext w:val="0"/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e">
    <w:name w:val="Marge"/>
    <w:basedOn w:val="Normal"/>
    <w:rsid w:val="00F37F65"/>
    <w:pPr>
      <w:keepNext w:val="0"/>
      <w:spacing w:after="240" w:line="240" w:lineRule="auto"/>
      <w:ind w:left="0"/>
    </w:pPr>
    <w:rPr>
      <w:rFonts w:eastAsia="Times New Roman" w:cs="Times New Roman"/>
      <w:snapToGrid w:val="0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B0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D4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B01BD4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1BD4"/>
    <w:rPr>
      <w:b/>
      <w:bCs/>
    </w:rPr>
  </w:style>
  <w:style w:type="character" w:customStyle="1" w:styleId="CommentSubjectChar">
    <w:name w:val="Comment Subject Char"/>
    <w:link w:val="CommentSubject"/>
    <w:semiHidden/>
    <w:rsid w:val="00B01BD4"/>
    <w:rPr>
      <w:rFonts w:ascii="Arial" w:eastAsia="SimSun" w:hAnsi="Arial" w:cs="Arial"/>
      <w:b/>
      <w:bCs/>
      <w:lang w:eastAsia="zh-CN"/>
    </w:rPr>
  </w:style>
  <w:style w:type="paragraph" w:customStyle="1" w:styleId="Chapitre">
    <w:name w:val="Chapitre"/>
    <w:basedOn w:val="Titcoul"/>
    <w:link w:val="ChapitreCar"/>
    <w:rsid w:val="005A0AB6"/>
    <w:pPr>
      <w:pBdr>
        <w:bottom w:val="single" w:sz="4" w:space="14" w:color="3366FF"/>
      </w:pBdr>
      <w:spacing w:before="240" w:line="840" w:lineRule="exact"/>
      <w:ind w:left="0" w:firstLine="0"/>
    </w:pPr>
    <w:rPr>
      <w:sz w:val="70"/>
      <w:szCs w:val="70"/>
    </w:rPr>
  </w:style>
  <w:style w:type="paragraph" w:customStyle="1" w:styleId="Sschapitre">
    <w:name w:val="Sschapitre"/>
    <w:basedOn w:val="Txtgras"/>
    <w:autoRedefine/>
    <w:rsid w:val="00B0489C"/>
  </w:style>
  <w:style w:type="paragraph" w:customStyle="1" w:styleId="Txtchap">
    <w:name w:val="Txtchap"/>
    <w:basedOn w:val="Normal"/>
    <w:link w:val="TxtchapCar"/>
    <w:rsid w:val="00DA5D47"/>
    <w:pPr>
      <w:numPr>
        <w:numId w:val="13"/>
      </w:numPr>
      <w:spacing w:after="120" w:line="360" w:lineRule="exact"/>
    </w:pPr>
    <w:rPr>
      <w:sz w:val="24"/>
    </w:rPr>
  </w:style>
  <w:style w:type="paragraph" w:customStyle="1" w:styleId="Chapinfo">
    <w:name w:val="Chapinfo"/>
    <w:basedOn w:val="Txtchap"/>
    <w:link w:val="ChapinfoCar"/>
    <w:rsid w:val="00795FF0"/>
    <w:pPr>
      <w:keepNext w:val="0"/>
      <w:numPr>
        <w:numId w:val="0"/>
      </w:numPr>
      <w:spacing w:before="480" w:after="0" w:line="320" w:lineRule="exact"/>
      <w:ind w:left="567"/>
    </w:pPr>
    <w:rPr>
      <w:i/>
      <w:iCs/>
      <w:color w:val="3366FF"/>
      <w:szCs w:val="24"/>
    </w:rPr>
  </w:style>
  <w:style w:type="character" w:customStyle="1" w:styleId="ChapinfoCar">
    <w:name w:val="Chapinfo Car"/>
    <w:link w:val="Chapinfo"/>
    <w:rsid w:val="00795FF0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Enutiret2">
    <w:name w:val="Enutiret2"/>
    <w:basedOn w:val="Enutiret"/>
    <w:rsid w:val="000D6D71"/>
    <w:pPr>
      <w:ind w:left="1701"/>
    </w:pPr>
  </w:style>
  <w:style w:type="paragraph" w:customStyle="1" w:styleId="Cas">
    <w:name w:val="Cas"/>
    <w:basedOn w:val="Heading4"/>
    <w:rsid w:val="00BC3B18"/>
    <w:pPr>
      <w:spacing w:before="0" w:line="360" w:lineRule="exact"/>
    </w:pPr>
    <w:rPr>
      <w:caps w:val="0"/>
      <w:color w:val="3366FF"/>
      <w:sz w:val="28"/>
      <w:szCs w:val="28"/>
    </w:rPr>
  </w:style>
  <w:style w:type="paragraph" w:customStyle="1" w:styleId="Caschap">
    <w:name w:val="Caschap"/>
    <w:basedOn w:val="Chapitre"/>
    <w:rsid w:val="00BC3B18"/>
    <w:pPr>
      <w:pBdr>
        <w:bottom w:val="none" w:sz="0" w:space="0" w:color="auto"/>
      </w:pBdr>
      <w:spacing w:before="0" w:after="120" w:line="480" w:lineRule="exact"/>
    </w:pPr>
    <w:rPr>
      <w:color w:val="auto"/>
      <w:sz w:val="36"/>
      <w:szCs w:val="48"/>
    </w:rPr>
  </w:style>
  <w:style w:type="paragraph" w:customStyle="1" w:styleId="Sschap">
    <w:name w:val="Sschap"/>
    <w:basedOn w:val="Txtgras"/>
    <w:autoRedefine/>
    <w:rsid w:val="000C41FA"/>
    <w:pPr>
      <w:widowControl w:val="0"/>
      <w:spacing w:before="600" w:after="480"/>
    </w:pPr>
    <w:rPr>
      <w:rFonts w:ascii="Arial" w:hAnsi="Arial"/>
      <w:smallCaps w:val="0"/>
    </w:rPr>
  </w:style>
  <w:style w:type="character" w:customStyle="1" w:styleId="TxtchapCar">
    <w:name w:val="Txtchap Car"/>
    <w:basedOn w:val="DefaultParagraphFont"/>
    <w:link w:val="Txtchap"/>
    <w:rsid w:val="00DA5D47"/>
    <w:rPr>
      <w:rFonts w:ascii="Arial" w:eastAsia="SimSun" w:hAnsi="Arial" w:cs="Arial"/>
      <w:sz w:val="24"/>
      <w:lang w:eastAsia="zh-CN"/>
    </w:rPr>
  </w:style>
  <w:style w:type="paragraph" w:customStyle="1" w:styleId="Key">
    <w:name w:val="Key"/>
    <w:basedOn w:val="Titcoul"/>
    <w:link w:val="KeyCar"/>
    <w:qFormat/>
    <w:rsid w:val="00DA5D47"/>
    <w:rPr>
      <w:rFonts w:eastAsia="SimSun"/>
      <w:lang w:val="en-US"/>
    </w:rPr>
  </w:style>
  <w:style w:type="character" w:customStyle="1" w:styleId="KeyCar">
    <w:name w:val="Key Car"/>
    <w:basedOn w:val="TitcoulCar"/>
    <w:link w:val="Key"/>
    <w:rsid w:val="00DA5D47"/>
    <w:rPr>
      <w:rFonts w:ascii="Arial Gras" w:eastAsia="SimSun" w:hAnsi="Arial Gras" w:cs="Arial"/>
      <w:b/>
      <w:bCs w:val="0"/>
      <w:caps/>
      <w:snapToGrid w:val="0"/>
      <w:color w:val="3366FF"/>
      <w:sz w:val="24"/>
      <w:szCs w:val="24"/>
      <w:lang w:val="en-US" w:eastAsia="zh-CN"/>
    </w:rPr>
  </w:style>
  <w:style w:type="paragraph" w:customStyle="1" w:styleId="Textegras">
    <w:name w:val="Textegras"/>
    <w:basedOn w:val="Texte1"/>
    <w:link w:val="TextegrasCar"/>
    <w:rsid w:val="0057532F"/>
    <w:pPr>
      <w:keepNext/>
      <w:spacing w:before="120"/>
      <w:ind w:left="284" w:hanging="284"/>
      <w:jc w:val="left"/>
    </w:pPr>
    <w:rPr>
      <w:b/>
      <w:w w:val="95"/>
      <w:lang w:val="en-GB"/>
    </w:rPr>
  </w:style>
  <w:style w:type="character" w:customStyle="1" w:styleId="TextegrasCar">
    <w:name w:val="Textegras Car"/>
    <w:basedOn w:val="Texte1Car"/>
    <w:link w:val="Textegras"/>
    <w:rsid w:val="0057532F"/>
    <w:rPr>
      <w:rFonts w:ascii="Arial" w:eastAsia="SimSun" w:hAnsi="Arial" w:cs="Arial"/>
      <w:b/>
      <w:w w:val="95"/>
      <w:lang w:val="en-GB" w:eastAsia="zh-CN"/>
    </w:rPr>
  </w:style>
  <w:style w:type="character" w:customStyle="1" w:styleId="EnutiretCar">
    <w:name w:val="Enutiret Car"/>
    <w:basedOn w:val="DefaultParagraphFont"/>
    <w:rsid w:val="00073751"/>
    <w:rPr>
      <w:rFonts w:ascii="Arial" w:hAnsi="Arial" w:cs="Arial"/>
      <w:noProof/>
      <w:snapToGrid w:val="0"/>
      <w:sz w:val="20"/>
      <w:szCs w:val="20"/>
      <w:lang w:eastAsia="en-US"/>
    </w:rPr>
  </w:style>
  <w:style w:type="paragraph" w:customStyle="1" w:styleId="Info03">
    <w:name w:val="Info03"/>
    <w:basedOn w:val="Normal"/>
    <w:rsid w:val="00F61C8F"/>
    <w:pPr>
      <w:tabs>
        <w:tab w:val="left" w:pos="1134"/>
        <w:tab w:val="left" w:pos="1701"/>
        <w:tab w:val="left" w:pos="2268"/>
      </w:tabs>
      <w:snapToGrid/>
      <w:spacing w:after="120" w:line="220" w:lineRule="exact"/>
      <w:ind w:left="113" w:right="113"/>
    </w:pPr>
    <w:rPr>
      <w:rFonts w:eastAsia="Times New Roman"/>
      <w:i/>
      <w:iCs/>
      <w:szCs w:val="22"/>
      <w:lang w:val="en-US" w:eastAsia="fr-FR"/>
    </w:rPr>
  </w:style>
  <w:style w:type="character" w:customStyle="1" w:styleId="ChapitreCar">
    <w:name w:val="Chapitre Car"/>
    <w:link w:val="Chapitre"/>
    <w:locked/>
    <w:rsid w:val="005A0AB6"/>
    <w:rPr>
      <w:rFonts w:ascii="Arial" w:eastAsia="Times New Roman" w:hAnsi="Arial" w:cs="Arial"/>
      <w:b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Normal"/>
    <w:link w:val="HO1Car"/>
    <w:rsid w:val="005A0AB6"/>
    <w:pPr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5A0AB6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A0AB6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A0AB6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character" w:styleId="Emphasis">
    <w:name w:val="Emphasis"/>
    <w:basedOn w:val="DefaultParagraphFont"/>
    <w:qFormat/>
    <w:rsid w:val="0024620F"/>
    <w:rPr>
      <w:i/>
      <w:iCs/>
    </w:rPr>
  </w:style>
  <w:style w:type="paragraph" w:customStyle="1" w:styleId="UPlan">
    <w:name w:val="UPlan"/>
    <w:basedOn w:val="Titcoul"/>
    <w:link w:val="UPlanCar"/>
    <w:rsid w:val="00CC6EA3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CC6EA3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24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123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62621-901A-45BD-AC4A-558533D9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3034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U005-v1.1-PT-FRA.docx</vt:lpstr>
    </vt:vector>
  </TitlesOfParts>
  <Company/>
  <LinksUpToDate>false</LinksUpToDate>
  <CharactersWithSpaces>19686</CharactersWithSpaces>
  <SharedDoc>false</SharedDoc>
  <HyperlinkBase/>
  <HLinks>
    <vt:vector size="732" baseType="variant">
      <vt:variant>
        <vt:i4>6291556</vt:i4>
      </vt:variant>
      <vt:variant>
        <vt:i4>1182</vt:i4>
      </vt:variant>
      <vt:variant>
        <vt:i4>0</vt:i4>
      </vt:variant>
      <vt:variant>
        <vt:i4>5</vt:i4>
      </vt:variant>
      <vt:variant>
        <vt:lpwstr>http://whc.unesco.org/fr/list/722/</vt:lpwstr>
      </vt:variant>
      <vt:variant>
        <vt:lpwstr/>
      </vt:variant>
      <vt:variant>
        <vt:i4>7733348</vt:i4>
      </vt:variant>
      <vt:variant>
        <vt:i4>1179</vt:i4>
      </vt:variant>
      <vt:variant>
        <vt:i4>0</vt:i4>
      </vt:variant>
      <vt:variant>
        <vt:i4>5</vt:i4>
      </vt:variant>
      <vt:variant>
        <vt:lpwstr>http://www.unesco.org/culture/ich/index.php?lg=fr&amp;pg=00011&amp;RL=00015</vt:lpwstr>
      </vt:variant>
      <vt:variant>
        <vt:lpwstr/>
      </vt:variant>
      <vt:variant>
        <vt:i4>1507409</vt:i4>
      </vt:variant>
      <vt:variant>
        <vt:i4>1176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1703964</vt:i4>
      </vt:variant>
      <vt:variant>
        <vt:i4>1173</vt:i4>
      </vt:variant>
      <vt:variant>
        <vt:i4>0</vt:i4>
      </vt:variant>
      <vt:variant>
        <vt:i4>5</vt:i4>
      </vt:variant>
      <vt:variant>
        <vt:lpwstr>http://www.faronet.be/fr/faro-interface-flamande-pour-le-patrimoine-culturel-asbl</vt:lpwstr>
      </vt:variant>
      <vt:variant>
        <vt:lpwstr/>
      </vt:variant>
      <vt:variant>
        <vt:i4>7602291</vt:i4>
      </vt:variant>
      <vt:variant>
        <vt:i4>1170</vt:i4>
      </vt:variant>
      <vt:variant>
        <vt:i4>0</vt:i4>
      </vt:variant>
      <vt:variant>
        <vt:i4>5</vt:i4>
      </vt:variant>
      <vt:variant>
        <vt:lpwstr>http://www.heemkunde-vlaanderen.be/</vt:lpwstr>
      </vt:variant>
      <vt:variant>
        <vt:lpwstr/>
      </vt:variant>
      <vt:variant>
        <vt:i4>1507398</vt:i4>
      </vt:variant>
      <vt:variant>
        <vt:i4>1167</vt:i4>
      </vt:variant>
      <vt:variant>
        <vt:i4>0</vt:i4>
      </vt:variant>
      <vt:variant>
        <vt:i4>5</vt:i4>
      </vt:variant>
      <vt:variant>
        <vt:lpwstr>http://www.unesco.org/culture/ich/index.php?lg=fr&amp;pg=00011&amp;USL=00305</vt:lpwstr>
      </vt:variant>
      <vt:variant>
        <vt:lpwstr/>
      </vt:variant>
      <vt:variant>
        <vt:i4>589914</vt:i4>
      </vt:variant>
      <vt:variant>
        <vt:i4>1164</vt:i4>
      </vt:variant>
      <vt:variant>
        <vt:i4>0</vt:i4>
      </vt:variant>
      <vt:variant>
        <vt:i4>5</vt:i4>
      </vt:variant>
      <vt:variant>
        <vt:lpwstr>http://www.accu.or.jp/ich/en/community/index.html</vt:lpwstr>
      </vt:variant>
      <vt:variant>
        <vt:lpwstr/>
      </vt:variant>
      <vt:variant>
        <vt:i4>7274529</vt:i4>
      </vt:variant>
      <vt:variant>
        <vt:i4>1161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5963803</vt:i4>
      </vt:variant>
      <vt:variant>
        <vt:i4>1158</vt:i4>
      </vt:variant>
      <vt:variant>
        <vt:i4>0</vt:i4>
      </vt:variant>
      <vt:variant>
        <vt:i4>5</vt:i4>
      </vt:variant>
      <vt:variant>
        <vt:lpwstr>http://www.unesco.org/culture/ich/index.php?pg=00311&amp;cp=PH&amp;topic=lht</vt:lpwstr>
      </vt:variant>
      <vt:variant>
        <vt:lpwstr>a-acronym-titleliving-human-treasurelhtacronym-system</vt:lpwstr>
      </vt:variant>
      <vt:variant>
        <vt:i4>7733307</vt:i4>
      </vt:variant>
      <vt:variant>
        <vt:i4>1155</vt:i4>
      </vt:variant>
      <vt:variant>
        <vt:i4>0</vt:i4>
      </vt:variant>
      <vt:variant>
        <vt:i4>5</vt:i4>
      </vt:variant>
      <vt:variant>
        <vt:lpwstr>http://www.unesco.org/culture/ich/doc/src/00057-EN.pdf</vt:lpwstr>
      </vt:variant>
      <vt:variant>
        <vt:lpwstr/>
      </vt:variant>
      <vt:variant>
        <vt:i4>5308443</vt:i4>
      </vt:variant>
      <vt:variant>
        <vt:i4>1152</vt:i4>
      </vt:variant>
      <vt:variant>
        <vt:i4>0</vt:i4>
      </vt:variant>
      <vt:variant>
        <vt:i4>5</vt:i4>
      </vt:variant>
      <vt:variant>
        <vt:lpwstr>http://www.ncca.gov.ph/about-ncca/org-awards/org-awards-gamaba-guidelines.php</vt:lpwstr>
      </vt:variant>
      <vt:variant>
        <vt:lpwstr/>
      </vt:variant>
      <vt:variant>
        <vt:i4>1638631</vt:i4>
      </vt:variant>
      <vt:variant>
        <vt:i4>1149</vt:i4>
      </vt:variant>
      <vt:variant>
        <vt:i4>0</vt:i4>
      </vt:variant>
      <vt:variant>
        <vt:i4>5</vt:i4>
      </vt:variant>
      <vt:variant>
        <vt:lpwstr>http://en.wikipilipinas.org/index.php?title=Category :GAMABA_Awardees</vt:lpwstr>
      </vt:variant>
      <vt:variant>
        <vt:lpwstr/>
      </vt:variant>
      <vt:variant>
        <vt:i4>720930</vt:i4>
      </vt:variant>
      <vt:variant>
        <vt:i4>1146</vt:i4>
      </vt:variant>
      <vt:variant>
        <vt:i4>0</vt:i4>
      </vt:variant>
      <vt:variant>
        <vt:i4>5</vt:i4>
      </vt:variant>
      <vt:variant>
        <vt:lpwstr>http://www.watatu.se/information.php?info_id=34</vt:lpwstr>
      </vt:variant>
      <vt:variant>
        <vt:lpwstr/>
      </vt:variant>
      <vt:variant>
        <vt:i4>4587555</vt:i4>
      </vt:variant>
      <vt:variant>
        <vt:i4>1143</vt:i4>
      </vt:variant>
      <vt:variant>
        <vt:i4>0</vt:i4>
      </vt:variant>
      <vt:variant>
        <vt:i4>5</vt:i4>
      </vt:variant>
      <vt:variant>
        <vt:lpwstr>http://www.unesco-uganda.ug/index.php?option=com_docman&amp;Itemid=73</vt:lpwstr>
      </vt:variant>
      <vt:variant>
        <vt:lpwstr/>
      </vt:variant>
      <vt:variant>
        <vt:i4>7143511</vt:i4>
      </vt:variant>
      <vt:variant>
        <vt:i4>1140</vt:i4>
      </vt:variant>
      <vt:variant>
        <vt:i4>0</vt:i4>
      </vt:variant>
      <vt:variant>
        <vt:i4>5</vt:i4>
      </vt:variant>
      <vt:variant>
        <vt:lpwstr>http://www.unesco.org/archives/multimedia/index.php?s=films_details&amp;id_page=33&amp;id_film=641</vt:lpwstr>
      </vt:variant>
      <vt:variant>
        <vt:lpwstr/>
      </vt:variant>
      <vt:variant>
        <vt:i4>5767190</vt:i4>
      </vt:variant>
      <vt:variant>
        <vt:i4>1137</vt:i4>
      </vt:variant>
      <vt:variant>
        <vt:i4>0</vt:i4>
      </vt:variant>
      <vt:variant>
        <vt:i4>5</vt:i4>
      </vt:variant>
      <vt:variant>
        <vt:lpwstr>http://www.cartierwomensinitiative.com/site/modulefinaliste/detail/Sara-Katebalirwe/128.html</vt:lpwstr>
      </vt:variant>
      <vt:variant>
        <vt:lpwstr/>
      </vt:variant>
      <vt:variant>
        <vt:i4>4194318</vt:i4>
      </vt:variant>
      <vt:variant>
        <vt:i4>1134</vt:i4>
      </vt:variant>
      <vt:variant>
        <vt:i4>0</vt:i4>
      </vt:variant>
      <vt:variant>
        <vt:i4>5</vt:i4>
      </vt:variant>
      <vt:variant>
        <vt:lpwstr>http://unorcac.nativeweb.org/</vt:lpwstr>
      </vt:variant>
      <vt:variant>
        <vt:lpwstr/>
      </vt:variant>
      <vt:variant>
        <vt:i4>3080247</vt:i4>
      </vt:variant>
      <vt:variant>
        <vt:i4>1131</vt:i4>
      </vt:variant>
      <vt:variant>
        <vt:i4>0</vt:i4>
      </vt:variant>
      <vt:variant>
        <vt:i4>5</vt:i4>
      </vt:variant>
      <vt:variant>
        <vt:lpwstr>http://www.runatupari.com/</vt:lpwstr>
      </vt:variant>
      <vt:variant>
        <vt:lpwstr/>
      </vt:variant>
      <vt:variant>
        <vt:i4>1704001</vt:i4>
      </vt:variant>
      <vt:variant>
        <vt:i4>1128</vt:i4>
      </vt:variant>
      <vt:variant>
        <vt:i4>0</vt:i4>
      </vt:variant>
      <vt:variant>
        <vt:i4>5</vt:i4>
      </vt:variant>
      <vt:variant>
        <vt:lpwstr>http://www.agriterra.org/assets/uploads/15068/solutions_agriterra_en.pdf</vt:lpwstr>
      </vt:variant>
      <vt:variant>
        <vt:lpwstr/>
      </vt:variant>
      <vt:variant>
        <vt:i4>131156</vt:i4>
      </vt:variant>
      <vt:variant>
        <vt:i4>1125</vt:i4>
      </vt:variant>
      <vt:variant>
        <vt:i4>0</vt:i4>
      </vt:variant>
      <vt:variant>
        <vt:i4>5</vt:i4>
      </vt:variant>
      <vt:variant>
        <vt:lpwstr>http://www.agriterra.org/en/text/about-agriterra</vt:lpwstr>
      </vt:variant>
      <vt:variant>
        <vt:lpwstr/>
      </vt:variant>
      <vt:variant>
        <vt:i4>917584</vt:i4>
      </vt:variant>
      <vt:variant>
        <vt:i4>1122</vt:i4>
      </vt:variant>
      <vt:variant>
        <vt:i4>0</vt:i4>
      </vt:variant>
      <vt:variant>
        <vt:i4>5</vt:i4>
      </vt:variant>
      <vt:variant>
        <vt:lpwstr>http://www.wipo.int/export/sites/www/academy/en/ipacademies/educational_materials/cs1_hoodia.pdf</vt:lpwstr>
      </vt:variant>
      <vt:variant>
        <vt:lpwstr/>
      </vt:variant>
      <vt:variant>
        <vt:i4>6160454</vt:i4>
      </vt:variant>
      <vt:variant>
        <vt:i4>1119</vt:i4>
      </vt:variant>
      <vt:variant>
        <vt:i4>0</vt:i4>
      </vt:variant>
      <vt:variant>
        <vt:i4>5</vt:i4>
      </vt:variant>
      <vt:variant>
        <vt:lpwstr>http://www.cbd.int/doc/publications/cbd-ts-38-en.pdf</vt:lpwstr>
      </vt:variant>
      <vt:variant>
        <vt:lpwstr/>
      </vt:variant>
      <vt:variant>
        <vt:i4>4718680</vt:i4>
      </vt:variant>
      <vt:variant>
        <vt:i4>1116</vt:i4>
      </vt:variant>
      <vt:variant>
        <vt:i4>0</vt:i4>
      </vt:variant>
      <vt:variant>
        <vt:i4>5</vt:i4>
      </vt:variant>
      <vt:variant>
        <vt:lpwstr>http://www.unesco.org/culture/ich/index.php?pg=00011&amp;LR=00166</vt:lpwstr>
      </vt:variant>
      <vt:variant>
        <vt:lpwstr/>
      </vt:variant>
      <vt:variant>
        <vt:i4>1114216</vt:i4>
      </vt:variant>
      <vt:variant>
        <vt:i4>1113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1110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7143527</vt:i4>
      </vt:variant>
      <vt:variant>
        <vt:i4>1107</vt:i4>
      </vt:variant>
      <vt:variant>
        <vt:i4>0</vt:i4>
      </vt:variant>
      <vt:variant>
        <vt:i4>5</vt:i4>
      </vt:variant>
      <vt:variant>
        <vt:lpwstr>http://www.unesco.org/culture/ich/index.php?lg=en&amp;pg=00011&amp;LR=00174</vt:lpwstr>
      </vt:variant>
      <vt:variant>
        <vt:lpwstr/>
      </vt:variant>
      <vt:variant>
        <vt:i4>393307</vt:i4>
      </vt:variant>
      <vt:variant>
        <vt:i4>1104</vt:i4>
      </vt:variant>
      <vt:variant>
        <vt:i4>0</vt:i4>
      </vt:variant>
      <vt:variant>
        <vt:i4>5</vt:i4>
      </vt:variant>
      <vt:variant>
        <vt:lpwstr>http://www.unesco.org/culture/ich/index.php?LSU=00313</vt:lpwstr>
      </vt:variant>
      <vt:variant>
        <vt:lpwstr/>
      </vt:variant>
      <vt:variant>
        <vt:i4>393307</vt:i4>
      </vt:variant>
      <vt:variant>
        <vt:i4>1101</vt:i4>
      </vt:variant>
      <vt:variant>
        <vt:i4>0</vt:i4>
      </vt:variant>
      <vt:variant>
        <vt:i4>5</vt:i4>
      </vt:variant>
      <vt:variant>
        <vt:lpwstr>http://www.unesco.org/culture/ich/index.php?LSU=00315</vt:lpwstr>
      </vt:variant>
      <vt:variant>
        <vt:lpwstr/>
      </vt:variant>
      <vt:variant>
        <vt:i4>74</vt:i4>
      </vt:variant>
      <vt:variant>
        <vt:i4>1098</vt:i4>
      </vt:variant>
      <vt:variant>
        <vt:i4>0</vt:i4>
      </vt:variant>
      <vt:variant>
        <vt:i4>5</vt:i4>
      </vt:variant>
      <vt:variant>
        <vt:lpwstr>http://www.ifad.org/english/indigenous/pub/documents/Indigeknowledge.pdf</vt:lpwstr>
      </vt:variant>
      <vt:variant>
        <vt:lpwstr/>
      </vt:variant>
      <vt:variant>
        <vt:i4>1900554</vt:i4>
      </vt:variant>
      <vt:variant>
        <vt:i4>1095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655428</vt:i4>
      </vt:variant>
      <vt:variant>
        <vt:i4>1092</vt:i4>
      </vt:variant>
      <vt:variant>
        <vt:i4>0</vt:i4>
      </vt:variant>
      <vt:variant>
        <vt:i4>5</vt:i4>
      </vt:variant>
      <vt:variant>
        <vt:lpwstr>http://www.wipo.int/export/sites/www/tk/en/culturalheritage/casestudies/arantes_report_vol1.pdf</vt:lpwstr>
      </vt:variant>
      <vt:variant>
        <vt:lpwstr/>
      </vt:variant>
      <vt:variant>
        <vt:i4>5374028</vt:i4>
      </vt:variant>
      <vt:variant>
        <vt:i4>1089</vt:i4>
      </vt:variant>
      <vt:variant>
        <vt:i4>0</vt:i4>
      </vt:variant>
      <vt:variant>
        <vt:i4>5</vt:i4>
      </vt:variant>
      <vt:variant>
        <vt:lpwstr>http://www.iphan.gov.br/bcrE/pages/indexE.jsf</vt:lpwstr>
      </vt:variant>
      <vt:variant>
        <vt:lpwstr/>
      </vt:variant>
      <vt:variant>
        <vt:i4>1572956</vt:i4>
      </vt:variant>
      <vt:variant>
        <vt:i4>1086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6815778</vt:i4>
      </vt:variant>
      <vt:variant>
        <vt:i4>1083</vt:i4>
      </vt:variant>
      <vt:variant>
        <vt:i4>0</vt:i4>
      </vt:variant>
      <vt:variant>
        <vt:i4>5</vt:i4>
      </vt:variant>
      <vt:variant>
        <vt:lpwstr>http://www.unesco.org/culture/ich/index.php?pg=00015&amp;categ=2010</vt:lpwstr>
      </vt:variant>
      <vt:variant>
        <vt:lpwstr/>
      </vt:variant>
      <vt:variant>
        <vt:i4>2228334</vt:i4>
      </vt:variant>
      <vt:variant>
        <vt:i4>1080</vt:i4>
      </vt:variant>
      <vt:variant>
        <vt:i4>0</vt:i4>
      </vt:variant>
      <vt:variant>
        <vt:i4>5</vt:i4>
      </vt:variant>
      <vt:variant>
        <vt:lpwstr>http://www.mun.ca/ich/home/</vt:lpwstr>
      </vt:variant>
      <vt:variant>
        <vt:lpwstr/>
      </vt:variant>
      <vt:variant>
        <vt:i4>2818175</vt:i4>
      </vt:variant>
      <vt:variant>
        <vt:i4>1077</vt:i4>
      </vt:variant>
      <vt:variant>
        <vt:i4>0</vt:i4>
      </vt:variant>
      <vt:variant>
        <vt:i4>5</vt:i4>
      </vt:variant>
      <vt:variant>
        <vt:lpwstr>http://collections.mun.ca/index.php</vt:lpwstr>
      </vt:variant>
      <vt:variant>
        <vt:lpwstr/>
      </vt:variant>
      <vt:variant>
        <vt:i4>1114189</vt:i4>
      </vt:variant>
      <vt:variant>
        <vt:i4>1074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1703951</vt:i4>
      </vt:variant>
      <vt:variant>
        <vt:i4>1071</vt:i4>
      </vt:variant>
      <vt:variant>
        <vt:i4>0</vt:i4>
      </vt:variant>
      <vt:variant>
        <vt:i4>5</vt:i4>
      </vt:variant>
      <vt:variant>
        <vt:lpwstr>http://www.mun.ca/ich/resources/</vt:lpwstr>
      </vt:variant>
      <vt:variant>
        <vt:lpwstr/>
      </vt:variant>
      <vt:variant>
        <vt:i4>917581</vt:i4>
      </vt:variant>
      <vt:variant>
        <vt:i4>1068</vt:i4>
      </vt:variant>
      <vt:variant>
        <vt:i4>0</vt:i4>
      </vt:variant>
      <vt:variant>
        <vt:i4>5</vt:i4>
      </vt:variant>
      <vt:variant>
        <vt:lpwstr>http://www.mun.ca/ich/inventory/ICHtopic.php</vt:lpwstr>
      </vt:variant>
      <vt:variant>
        <vt:lpwstr/>
      </vt:variant>
      <vt:variant>
        <vt:i4>65625</vt:i4>
      </vt:variant>
      <vt:variant>
        <vt:i4>1065</vt:i4>
      </vt:variant>
      <vt:variant>
        <vt:i4>0</vt:i4>
      </vt:variant>
      <vt:variant>
        <vt:i4>5</vt:i4>
      </vt:variant>
      <vt:variant>
        <vt:lpwstr>http://www.mun.ca/ich/inventory/profiles.php</vt:lpwstr>
      </vt:variant>
      <vt:variant>
        <vt:lpwstr/>
      </vt:variant>
      <vt:variant>
        <vt:i4>6684794</vt:i4>
      </vt:variant>
      <vt:variant>
        <vt:i4>1062</vt:i4>
      </vt:variant>
      <vt:variant>
        <vt:i4>0</vt:i4>
      </vt:variant>
      <vt:variant>
        <vt:i4>5</vt:i4>
      </vt:variant>
      <vt:variant>
        <vt:lpwstr>http://collections.mun.ca/</vt:lpwstr>
      </vt:variant>
      <vt:variant>
        <vt:lpwstr/>
      </vt:variant>
      <vt:variant>
        <vt:i4>983051</vt:i4>
      </vt:variant>
      <vt:variant>
        <vt:i4>1059</vt:i4>
      </vt:variant>
      <vt:variant>
        <vt:i4>0</vt:i4>
      </vt:variant>
      <vt:variant>
        <vt:i4>5</vt:i4>
      </vt:variant>
      <vt:variant>
        <vt:lpwstr>http://www.mun.ca/ich/advisorycommittee/</vt:lpwstr>
      </vt:variant>
      <vt:variant>
        <vt:lpwstr/>
      </vt:variant>
      <vt:variant>
        <vt:i4>65628</vt:i4>
      </vt:variant>
      <vt:variant>
        <vt:i4>1056</vt:i4>
      </vt:variant>
      <vt:variant>
        <vt:i4>0</vt:i4>
      </vt:variant>
      <vt:variant>
        <vt:i4>5</vt:i4>
      </vt:variant>
      <vt:variant>
        <vt:lpwstr>http://www.heritagefoundation.ca/</vt:lpwstr>
      </vt:variant>
      <vt:variant>
        <vt:lpwstr/>
      </vt:variant>
      <vt:variant>
        <vt:i4>4128879</vt:i4>
      </vt:variant>
      <vt:variant>
        <vt:i4>1053</vt:i4>
      </vt:variant>
      <vt:variant>
        <vt:i4>0</vt:i4>
      </vt:variant>
      <vt:variant>
        <vt:i4>5</vt:i4>
      </vt:variant>
      <vt:variant>
        <vt:lpwstr>http://www.ethnologie.chaire.ulaval.ca/</vt:lpwstr>
      </vt:variant>
      <vt:variant>
        <vt:lpwstr/>
      </vt:variant>
      <vt:variant>
        <vt:i4>7602238</vt:i4>
      </vt:variant>
      <vt:variant>
        <vt:i4>1050</vt:i4>
      </vt:variant>
      <vt:variant>
        <vt:i4>0</vt:i4>
      </vt:variant>
      <vt:variant>
        <vt:i4>5</vt:i4>
      </vt:variant>
      <vt:variant>
        <vt:lpwstr>http://www.aiatsis.gov.au/</vt:lpwstr>
      </vt:variant>
      <vt:variant>
        <vt:lpwstr/>
      </vt:variant>
      <vt:variant>
        <vt:i4>1245187</vt:i4>
      </vt:variant>
      <vt:variant>
        <vt:i4>1047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1044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5963815</vt:i4>
      </vt:variant>
      <vt:variant>
        <vt:i4>1041</vt:i4>
      </vt:variant>
      <vt:variant>
        <vt:i4>0</vt:i4>
      </vt:variant>
      <vt:variant>
        <vt:i4>5</vt:i4>
      </vt:variant>
      <vt:variant>
        <vt:lpwstr>http://www.accu.ou.jp/ich/en/training/curriculum/curriculum_9.html</vt:lpwstr>
      </vt:variant>
      <vt:variant>
        <vt:lpwstr/>
      </vt:variant>
      <vt:variant>
        <vt:i4>1638451</vt:i4>
      </vt:variant>
      <vt:variant>
        <vt:i4>1038</vt:i4>
      </vt:variant>
      <vt:variant>
        <vt:i4>0</vt:i4>
      </vt:variant>
      <vt:variant>
        <vt:i4>5</vt:i4>
      </vt:variant>
      <vt:variant>
        <vt:lpwstr>http://www.accu.ou.jp/ich/en/training/curriculum/curriculum_7.html</vt:lpwstr>
      </vt:variant>
      <vt:variant>
        <vt:lpwstr>/point4/</vt:lpwstr>
      </vt:variant>
      <vt:variant>
        <vt:i4>4980845</vt:i4>
      </vt:variant>
      <vt:variant>
        <vt:i4>1035</vt:i4>
      </vt:variant>
      <vt:variant>
        <vt:i4>0</vt:i4>
      </vt:variant>
      <vt:variant>
        <vt:i4>5</vt:i4>
      </vt:variant>
      <vt:variant>
        <vt:lpwstr>http://www.accu.ou.jp/ich/en/training/curriculum/second/curriculum_7.html</vt:lpwstr>
      </vt:variant>
      <vt:variant>
        <vt:lpwstr/>
      </vt:variant>
      <vt:variant>
        <vt:i4>3866677</vt:i4>
      </vt:variant>
      <vt:variant>
        <vt:i4>1032</vt:i4>
      </vt:variant>
      <vt:variant>
        <vt:i4>0</vt:i4>
      </vt:variant>
      <vt:variant>
        <vt:i4>5</vt:i4>
      </vt:variant>
      <vt:variant>
        <vt:lpwstr>http://www.unesco.org/culture/ich/index.php?lg=en&amp;pg=00061</vt:lpwstr>
      </vt:variant>
      <vt:variant>
        <vt:lpwstr/>
      </vt:variant>
      <vt:variant>
        <vt:i4>7340093</vt:i4>
      </vt:variant>
      <vt:variant>
        <vt:i4>1029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8192038</vt:i4>
      </vt:variant>
      <vt:variant>
        <vt:i4>1026</vt:i4>
      </vt:variant>
      <vt:variant>
        <vt:i4>0</vt:i4>
      </vt:variant>
      <vt:variant>
        <vt:i4>5</vt:i4>
      </vt:variant>
      <vt:variant>
        <vt:lpwstr>http://portal.unesco.org/en/ev.php-URL_ID=13141&amp;URL_DO=DO_TOPIC&amp;URL_SECTION=201.html</vt:lpwstr>
      </vt:variant>
      <vt:variant>
        <vt:lpwstr/>
      </vt:variant>
      <vt:variant>
        <vt:i4>8126503</vt:i4>
      </vt:variant>
      <vt:variant>
        <vt:i4>1023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6553663</vt:i4>
      </vt:variant>
      <vt:variant>
        <vt:i4>1020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1017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3932209</vt:i4>
      </vt:variant>
      <vt:variant>
        <vt:i4>1014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  <vt:variant>
        <vt:i4>1114181</vt:i4>
      </vt:variant>
      <vt:variant>
        <vt:i4>1011</vt:i4>
      </vt:variant>
      <vt:variant>
        <vt:i4>0</vt:i4>
      </vt:variant>
      <vt:variant>
        <vt:i4>5</vt:i4>
      </vt:variant>
      <vt:variant>
        <vt:lpwstr>http://www.unesco.org/culture/ich/index.php?lg=enHYPERLINK%20</vt:lpwstr>
      </vt:variant>
      <vt:variant>
        <vt:lpwstr/>
      </vt:variant>
      <vt:variant>
        <vt:i4>3276849</vt:i4>
      </vt:variant>
      <vt:variant>
        <vt:i4>1008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3276851</vt:i4>
      </vt:variant>
      <vt:variant>
        <vt:i4>1005</vt:i4>
      </vt:variant>
      <vt:variant>
        <vt:i4>0</vt:i4>
      </vt:variant>
      <vt:variant>
        <vt:i4>5</vt:i4>
      </vt:variant>
      <vt:variant>
        <vt:lpwstr>http://www.unesco.org/culture/ich/index.php?lg=en&amp;pg=00008</vt:lpwstr>
      </vt:variant>
      <vt:variant>
        <vt:lpwstr/>
      </vt:variant>
      <vt:variant>
        <vt:i4>720987</vt:i4>
      </vt:variant>
      <vt:variant>
        <vt:i4>1002</vt:i4>
      </vt:variant>
      <vt:variant>
        <vt:i4>0</vt:i4>
      </vt:variant>
      <vt:variant>
        <vt:i4>5</vt:i4>
      </vt:variant>
      <vt:variant>
        <vt:lpwstr>http://whc.unesco.org/fr/list/?action=stat&amp;</vt:lpwstr>
      </vt:variant>
      <vt:variant>
        <vt:lpwstr>s1</vt:lpwstr>
      </vt:variant>
      <vt:variant>
        <vt:i4>1835027</vt:i4>
      </vt:variant>
      <vt:variant>
        <vt:i4>999</vt:i4>
      </vt:variant>
      <vt:variant>
        <vt:i4>0</vt:i4>
      </vt:variant>
      <vt:variant>
        <vt:i4>5</vt:i4>
      </vt:variant>
      <vt:variant>
        <vt:lpwstr>http://www.unesco.org/culture/ich/fr/listes/</vt:lpwstr>
      </vt:variant>
      <vt:variant>
        <vt:lpwstr/>
      </vt:variant>
      <vt:variant>
        <vt:i4>3080241</vt:i4>
      </vt:variant>
      <vt:variant>
        <vt:i4>996</vt:i4>
      </vt:variant>
      <vt:variant>
        <vt:i4>0</vt:i4>
      </vt:variant>
      <vt:variant>
        <vt:i4>5</vt:i4>
      </vt:variant>
      <vt:variant>
        <vt:lpwstr>http://whc.unesco.org/archive/global94.htm</vt:lpwstr>
      </vt:variant>
      <vt:variant>
        <vt:lpwstr/>
      </vt:variant>
      <vt:variant>
        <vt:i4>4653078</vt:i4>
      </vt:variant>
      <vt:variant>
        <vt:i4>993</vt:i4>
      </vt:variant>
      <vt:variant>
        <vt:i4>0</vt:i4>
      </vt:variant>
      <vt:variant>
        <vt:i4>5</vt:i4>
      </vt:variant>
      <vt:variant>
        <vt:lpwstr>http://whc.unesco.org/archive/site Webs/venice2002/edito.htm</vt:lpwstr>
      </vt:variant>
      <vt:variant>
        <vt:lpwstr/>
      </vt:variant>
      <vt:variant>
        <vt:i4>4063356</vt:i4>
      </vt:variant>
      <vt:variant>
        <vt:i4>990</vt:i4>
      </vt:variant>
      <vt:variant>
        <vt:i4>0</vt:i4>
      </vt:variant>
      <vt:variant>
        <vt:i4>5</vt:i4>
      </vt:variant>
      <vt:variant>
        <vt:lpwstr>http://whc.unesco.org/en/statesparties/</vt:lpwstr>
      </vt:variant>
      <vt:variant>
        <vt:lpwstr/>
      </vt:variant>
      <vt:variant>
        <vt:i4>3342387</vt:i4>
      </vt:variant>
      <vt:variant>
        <vt:i4>987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4718623</vt:i4>
      </vt:variant>
      <vt:variant>
        <vt:i4>984</vt:i4>
      </vt:variant>
      <vt:variant>
        <vt:i4>0</vt:i4>
      </vt:variant>
      <vt:variant>
        <vt:i4>5</vt:i4>
      </vt:variant>
      <vt:variant>
        <vt:lpwstr>http://www.unesco.org/culture/ich/fr/formulaires/</vt:lpwstr>
      </vt:variant>
      <vt:variant>
        <vt:lpwstr/>
      </vt:variant>
      <vt:variant>
        <vt:i4>4718623</vt:i4>
      </vt:variant>
      <vt:variant>
        <vt:i4>981</vt:i4>
      </vt:variant>
      <vt:variant>
        <vt:i4>0</vt:i4>
      </vt:variant>
      <vt:variant>
        <vt:i4>5</vt:i4>
      </vt:variant>
      <vt:variant>
        <vt:lpwstr>http://www.unesco.org/culture/ich/fr/formulaires/</vt:lpwstr>
      </vt:variant>
      <vt:variant>
        <vt:lpwstr/>
      </vt:variant>
      <vt:variant>
        <vt:i4>3866674</vt:i4>
      </vt:variant>
      <vt:variant>
        <vt:i4>978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6750307</vt:i4>
      </vt:variant>
      <vt:variant>
        <vt:i4>975</vt:i4>
      </vt:variant>
      <vt:variant>
        <vt:i4>0</vt:i4>
      </vt:variant>
      <vt:variant>
        <vt:i4>5</vt:i4>
      </vt:variant>
      <vt:variant>
        <vt:lpwstr>http://www.wipo.int/tk/en/culturalheritage/surveys.html</vt:lpwstr>
      </vt:variant>
      <vt:variant>
        <vt:lpwstr/>
      </vt:variant>
      <vt:variant>
        <vt:i4>655363</vt:i4>
      </vt:variant>
      <vt:variant>
        <vt:i4>972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6225994</vt:i4>
      </vt:variant>
      <vt:variant>
        <vt:i4>969</vt:i4>
      </vt:variant>
      <vt:variant>
        <vt:i4>0</vt:i4>
      </vt:variant>
      <vt:variant>
        <vt:i4>5</vt:i4>
      </vt:variant>
      <vt:variant>
        <vt:lpwstr>http://www.accu.ou.jp/ich/en/pdf/2ndworkshop.pdf</vt:lpwstr>
      </vt:variant>
      <vt:variant>
        <vt:lpwstr/>
      </vt:variant>
      <vt:variant>
        <vt:i4>1376265</vt:i4>
      </vt:variant>
      <vt:variant>
        <vt:i4>966</vt:i4>
      </vt:variant>
      <vt:variant>
        <vt:i4>0</vt:i4>
      </vt:variant>
      <vt:variant>
        <vt:i4>5</vt:i4>
      </vt:variant>
      <vt:variant>
        <vt:lpwstr>http://www.unesco.org/culture/ich/index.php?RL=00171</vt:lpwstr>
      </vt:variant>
      <vt:variant>
        <vt:lpwstr/>
      </vt:variant>
      <vt:variant>
        <vt:i4>3670064</vt:i4>
      </vt:variant>
      <vt:variant>
        <vt:i4>963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3932209</vt:i4>
      </vt:variant>
      <vt:variant>
        <vt:i4>960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  <vt:variant>
        <vt:i4>3276849</vt:i4>
      </vt:variant>
      <vt:variant>
        <vt:i4>957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4128818</vt:i4>
      </vt:variant>
      <vt:variant>
        <vt:i4>954</vt:i4>
      </vt:variant>
      <vt:variant>
        <vt:i4>0</vt:i4>
      </vt:variant>
      <vt:variant>
        <vt:i4>5</vt:i4>
      </vt:variant>
      <vt:variant>
        <vt:lpwstr>http://www.unesco.org/culture/ich/index.php?lg=en&amp;pg=00015</vt:lpwstr>
      </vt:variant>
      <vt:variant>
        <vt:lpwstr/>
      </vt:variant>
      <vt:variant>
        <vt:i4>8061039</vt:i4>
      </vt:variant>
      <vt:variant>
        <vt:i4>951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1376275</vt:i4>
      </vt:variant>
      <vt:variant>
        <vt:i4>948</vt:i4>
      </vt:variant>
      <vt:variant>
        <vt:i4>0</vt:i4>
      </vt:variant>
      <vt:variant>
        <vt:i4>5</vt:i4>
      </vt:variant>
      <vt:variant>
        <vt:lpwstr>http://www.accu.ou.jp/ich/en/</vt:lpwstr>
      </vt:variant>
      <vt:variant>
        <vt:lpwstr/>
      </vt:variant>
      <vt:variant>
        <vt:i4>2556025</vt:i4>
      </vt:variant>
      <vt:variant>
        <vt:i4>945</vt:i4>
      </vt:variant>
      <vt:variant>
        <vt:i4>0</vt:i4>
      </vt:variant>
      <vt:variant>
        <vt:i4>5</vt:i4>
      </vt:variant>
      <vt:variant>
        <vt:lpwstr>http://www.ichcap.org/en/ichcap/ich.jsp</vt:lpwstr>
      </vt:variant>
      <vt:variant>
        <vt:lpwstr/>
      </vt:variant>
      <vt:variant>
        <vt:i4>8323177</vt:i4>
      </vt:variant>
      <vt:variant>
        <vt:i4>942</vt:i4>
      </vt:variant>
      <vt:variant>
        <vt:i4>0</vt:i4>
      </vt:variant>
      <vt:variant>
        <vt:i4>5</vt:i4>
      </vt:variant>
      <vt:variant>
        <vt:lpwstr>http://www.wipo.int/tk/en/resources</vt:lpwstr>
      </vt:variant>
      <vt:variant>
        <vt:lpwstr/>
      </vt:variant>
      <vt:variant>
        <vt:i4>1769476</vt:i4>
      </vt:variant>
      <vt:variant>
        <vt:i4>939</vt:i4>
      </vt:variant>
      <vt:variant>
        <vt:i4>0</vt:i4>
      </vt:variant>
      <vt:variant>
        <vt:i4>5</vt:i4>
      </vt:variant>
      <vt:variant>
        <vt:lpwstr>http://www.unesco.org/culture/ich/index.php?pg=00184</vt:lpwstr>
      </vt:variant>
      <vt:variant>
        <vt:lpwstr/>
      </vt:variant>
      <vt:variant>
        <vt:i4>3866674</vt:i4>
      </vt:variant>
      <vt:variant>
        <vt:i4>936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3276850</vt:i4>
      </vt:variant>
      <vt:variant>
        <vt:i4>933</vt:i4>
      </vt:variant>
      <vt:variant>
        <vt:i4>0</vt:i4>
      </vt:variant>
      <vt:variant>
        <vt:i4>5</vt:i4>
      </vt:variant>
      <vt:variant>
        <vt:lpwstr>http://www.unesco.org/culture/ich/index.php?lg=en&amp;pg=00018</vt:lpwstr>
      </vt:variant>
      <vt:variant>
        <vt:lpwstr/>
      </vt:variant>
      <vt:variant>
        <vt:i4>524288</vt:i4>
      </vt:variant>
      <vt:variant>
        <vt:i4>930</vt:i4>
      </vt:variant>
      <vt:variant>
        <vt:i4>0</vt:i4>
      </vt:variant>
      <vt:variant>
        <vt:i4>5</vt:i4>
      </vt:variant>
      <vt:variant>
        <vt:lpwstr>http://www.unesco.org/culture/ich/index.php?lg=en&amp;pg=331</vt:lpwstr>
      </vt:variant>
      <vt:variant>
        <vt:lpwstr/>
      </vt:variant>
      <vt:variant>
        <vt:i4>4128818</vt:i4>
      </vt:variant>
      <vt:variant>
        <vt:i4>927</vt:i4>
      </vt:variant>
      <vt:variant>
        <vt:i4>0</vt:i4>
      </vt:variant>
      <vt:variant>
        <vt:i4>5</vt:i4>
      </vt:variant>
      <vt:variant>
        <vt:lpwstr>http://www.unesco.org/culture/ich/index.php?lg=en&amp;pg=00015</vt:lpwstr>
      </vt:variant>
      <vt:variant>
        <vt:lpwstr/>
      </vt:variant>
      <vt:variant>
        <vt:i4>3735603</vt:i4>
      </vt:variant>
      <vt:variant>
        <vt:i4>924</vt:i4>
      </vt:variant>
      <vt:variant>
        <vt:i4>0</vt:i4>
      </vt:variant>
      <vt:variant>
        <vt:i4>5</vt:i4>
      </vt:variant>
      <vt:variant>
        <vt:lpwstr>http://www.unesco.org/culture/ich/index.php?lg=en&amp;pg=00102</vt:lpwstr>
      </vt:variant>
      <vt:variant>
        <vt:lpwstr/>
      </vt:variant>
      <vt:variant>
        <vt:i4>7733297</vt:i4>
      </vt:variant>
      <vt:variant>
        <vt:i4>921</vt:i4>
      </vt:variant>
      <vt:variant>
        <vt:i4>0</vt:i4>
      </vt:variant>
      <vt:variant>
        <vt:i4>5</vt:i4>
      </vt:variant>
      <vt:variant>
        <vt:lpwstr>http://www.unesco.org/culture/ich/index.php</vt:lpwstr>
      </vt:variant>
      <vt:variant>
        <vt:lpwstr/>
      </vt:variant>
      <vt:variant>
        <vt:i4>2556014</vt:i4>
      </vt:variant>
      <vt:variant>
        <vt:i4>99</vt:i4>
      </vt:variant>
      <vt:variant>
        <vt:i4>0</vt:i4>
      </vt:variant>
      <vt:variant>
        <vt:i4>5</vt:i4>
      </vt:variant>
      <vt:variant>
        <vt:lpwstr>http://whc.unesco.org/archive/2011/whc11-35com-20f.pdf</vt:lpwstr>
      </vt:variant>
      <vt:variant>
        <vt:lpwstr/>
      </vt:variant>
      <vt:variant>
        <vt:i4>5963884</vt:i4>
      </vt:variant>
      <vt:variant>
        <vt:i4>96</vt:i4>
      </vt:variant>
      <vt:variant>
        <vt:i4>0</vt:i4>
      </vt:variant>
      <vt:variant>
        <vt:i4>5</vt:i4>
      </vt:variant>
      <vt:variant>
        <vt:lpwstr>http://whc.unesco.org/fr/decisions/?id_decision=1784&amp;</vt:lpwstr>
      </vt:variant>
      <vt:variant>
        <vt:lpwstr/>
      </vt:variant>
      <vt:variant>
        <vt:i4>5963885</vt:i4>
      </vt:variant>
      <vt:variant>
        <vt:i4>93</vt:i4>
      </vt:variant>
      <vt:variant>
        <vt:i4>0</vt:i4>
      </vt:variant>
      <vt:variant>
        <vt:i4>5</vt:i4>
      </vt:variant>
      <vt:variant>
        <vt:lpwstr>http://whc.unesco.org/fr/decisions/?id_decision=1596&amp;</vt:lpwstr>
      </vt:variant>
      <vt:variant>
        <vt:lpwstr/>
      </vt:variant>
      <vt:variant>
        <vt:i4>2621487</vt:i4>
      </vt:variant>
      <vt:variant>
        <vt:i4>90</vt:i4>
      </vt:variant>
      <vt:variant>
        <vt:i4>0</vt:i4>
      </vt:variant>
      <vt:variant>
        <vt:i4>5</vt:i4>
      </vt:variant>
      <vt:variant>
        <vt:lpwstr>http://whc.unesco.org/archive/repcom01.htm</vt:lpwstr>
      </vt:variant>
      <vt:variant>
        <vt:lpwstr>riceterraces</vt:lpwstr>
      </vt:variant>
      <vt:variant>
        <vt:i4>5177430</vt:i4>
      </vt:variant>
      <vt:variant>
        <vt:i4>87</vt:i4>
      </vt:variant>
      <vt:variant>
        <vt:i4>0</vt:i4>
      </vt:variant>
      <vt:variant>
        <vt:i4>5</vt:i4>
      </vt:variant>
      <vt:variant>
        <vt:lpwstr>http://whc.unesco.org/fr/list/722</vt:lpwstr>
      </vt:variant>
      <vt:variant>
        <vt:lpwstr/>
      </vt:variant>
      <vt:variant>
        <vt:i4>8257606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http://www.wipo.int/export/sites/www/tk/en/culturalheritage/casestudies/hopi_protocols.pdf</vt:lpwstr>
      </vt:variant>
      <vt:variant>
        <vt:lpwstr/>
      </vt:variant>
      <vt:variant>
        <vt:i4>655428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http://www.wipo.int/export/sites/www/tk/en/culturalheritage/casestudies/arantes_report_vol1.pdf</vt:lpwstr>
      </vt:variant>
      <vt:variant>
        <vt:lpwstr/>
      </vt:variant>
      <vt:variant>
        <vt:i4>8061052</vt:i4>
      </vt:variant>
      <vt:variant>
        <vt:i4>78</vt:i4>
      </vt:variant>
      <vt:variant>
        <vt:i4>0</vt:i4>
      </vt:variant>
      <vt:variant>
        <vt:i4>5</vt:i4>
      </vt:variant>
      <vt:variant>
        <vt:lpwstr>http://news.tangatawhenua.com/archives/5166</vt:lpwstr>
      </vt:variant>
      <vt:variant>
        <vt:lpwstr/>
      </vt:variant>
      <vt:variant>
        <vt:i4>24248333</vt:i4>
      </vt:variant>
      <vt:variant>
        <vt:i4>75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3145783</vt:i4>
      </vt:variant>
      <vt:variant>
        <vt:i4>72</vt:i4>
      </vt:variant>
      <vt:variant>
        <vt:i4>0</vt:i4>
      </vt:variant>
      <vt:variant>
        <vt:i4>5</vt:i4>
      </vt:variant>
      <vt:variant>
        <vt:lpwstr>http://www.toiiho.com/</vt:lpwstr>
      </vt:variant>
      <vt:variant>
        <vt:lpwstr/>
      </vt:variant>
      <vt:variant>
        <vt:i4>24248333</vt:i4>
      </vt:variant>
      <vt:variant>
        <vt:i4>69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24248333</vt:i4>
      </vt:variant>
      <vt:variant>
        <vt:i4>66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2818103</vt:i4>
      </vt:variant>
      <vt:variant>
        <vt:i4>63</vt:i4>
      </vt:variant>
      <vt:variant>
        <vt:i4>0</vt:i4>
      </vt:variant>
      <vt:variant>
        <vt:i4>5</vt:i4>
      </vt:variant>
      <vt:variant>
        <vt:lpwstr>http://faolex.fao.org/docs/pdf/saf85909.pdf</vt:lpwstr>
      </vt:variant>
      <vt:variant>
        <vt:lpwstr/>
      </vt:variant>
      <vt:variant>
        <vt:i4>7667816</vt:i4>
      </vt:variant>
      <vt:variant>
        <vt:i4>60</vt:i4>
      </vt:variant>
      <vt:variant>
        <vt:i4>0</vt:i4>
      </vt:variant>
      <vt:variant>
        <vt:i4>5</vt:i4>
      </vt:variant>
      <vt:variant>
        <vt:lpwstr>http://www.ipo.org.za/IPO_docs/archive_2010/Intellectual Property Laws Amendment Bill.pdf</vt:lpwstr>
      </vt:variant>
      <vt:variant>
        <vt:lpwstr/>
      </vt:variant>
      <vt:variant>
        <vt:i4>3145760</vt:i4>
      </vt:variant>
      <vt:variant>
        <vt:i4>57</vt:i4>
      </vt:variant>
      <vt:variant>
        <vt:i4>0</vt:i4>
      </vt:variant>
      <vt:variant>
        <vt:i4>5</vt:i4>
      </vt:variant>
      <vt:variant>
        <vt:lpwstr>http://www.dti.gov.za/ccrd/ip/bill.pdf</vt:lpwstr>
      </vt:variant>
      <vt:variant>
        <vt:lpwstr/>
      </vt:variant>
      <vt:variant>
        <vt:i4>1114121</vt:i4>
      </vt:variant>
      <vt:variant>
        <vt:i4>54</vt:i4>
      </vt:variant>
      <vt:variant>
        <vt:i4>0</vt:i4>
      </vt:variant>
      <vt:variant>
        <vt:i4>5</vt:i4>
      </vt:variant>
      <vt:variant>
        <vt:lpwstr>http://www.unesco.org/culture/ich/index.php?RL=00175</vt:lpwstr>
      </vt:variant>
      <vt:variant>
        <vt:lpwstr/>
      </vt:variant>
      <vt:variant>
        <vt:i4>7078007</vt:i4>
      </vt:variant>
      <vt:variant>
        <vt:i4>51</vt:i4>
      </vt:variant>
      <vt:variant>
        <vt:i4>0</vt:i4>
      </vt:variant>
      <vt:variant>
        <vt:i4>5</vt:i4>
      </vt:variant>
      <vt:variant>
        <vt:lpwstr>http://tradecomacpeu.com/resources/files/42/bark-cloth-from-uganda.pdf</vt:lpwstr>
      </vt:variant>
      <vt:variant>
        <vt:lpwstr/>
      </vt:variant>
      <vt:variant>
        <vt:i4>2097234</vt:i4>
      </vt:variant>
      <vt:variant>
        <vt:i4>48</vt:i4>
      </vt:variant>
      <vt:variant>
        <vt:i4>0</vt:i4>
      </vt:variant>
      <vt:variant>
        <vt:i4>5</vt:i4>
      </vt:variant>
      <vt:variant>
        <vt:lpwstr>http://www.equatorinitiative.org/index.php?option=com_content&amp;view=article&amp;id=543%3Aunorcac&amp;catid=107%3Aequator-prize-winners-2008&amp;Itemid=546&amp;lang=en</vt:lpwstr>
      </vt:variant>
      <vt:variant>
        <vt:lpwstr/>
      </vt:variant>
      <vt:variant>
        <vt:i4>3735665</vt:i4>
      </vt:variant>
      <vt:variant>
        <vt:i4>45</vt:i4>
      </vt:variant>
      <vt:variant>
        <vt:i4>0</vt:i4>
      </vt:variant>
      <vt:variant>
        <vt:i4>5</vt:i4>
      </vt:variant>
      <vt:variant>
        <vt:lpwstr>http://www.unorcac.org/</vt:lpwstr>
      </vt:variant>
      <vt:variant>
        <vt:lpwstr/>
      </vt:variant>
      <vt:variant>
        <vt:i4>131156</vt:i4>
      </vt:variant>
      <vt:variant>
        <vt:i4>42</vt:i4>
      </vt:variant>
      <vt:variant>
        <vt:i4>0</vt:i4>
      </vt:variant>
      <vt:variant>
        <vt:i4>5</vt:i4>
      </vt:variant>
      <vt:variant>
        <vt:lpwstr>http://www.agriterra.org/en/text/about-agriterra</vt:lpwstr>
      </vt:variant>
      <vt:variant>
        <vt:lpwstr/>
      </vt:variant>
      <vt:variant>
        <vt:i4>3080247</vt:i4>
      </vt:variant>
      <vt:variant>
        <vt:i4>39</vt:i4>
      </vt:variant>
      <vt:variant>
        <vt:i4>0</vt:i4>
      </vt:variant>
      <vt:variant>
        <vt:i4>5</vt:i4>
      </vt:variant>
      <vt:variant>
        <vt:lpwstr>http://www.runatupari.com/</vt:lpwstr>
      </vt:variant>
      <vt:variant>
        <vt:lpwstr/>
      </vt:variant>
      <vt:variant>
        <vt:i4>2228235</vt:i4>
      </vt:variant>
      <vt:variant>
        <vt:i4>36</vt:i4>
      </vt:variant>
      <vt:variant>
        <vt:i4>0</vt:i4>
      </vt:variant>
      <vt:variant>
        <vt:i4>5</vt:i4>
      </vt:variant>
      <vt:variant>
        <vt:lpwstr>http://www.uclan.ac.uk/schools/school_d_nursing/research_projects/files/health_cpe_genbenefit_hoodia_stakeholders.pdf</vt:lpwstr>
      </vt:variant>
      <vt:variant>
        <vt:lpwstr/>
      </vt:variant>
      <vt:variant>
        <vt:i4>6160441</vt:i4>
      </vt:variant>
      <vt:variant>
        <vt:i4>33</vt:i4>
      </vt:variant>
      <vt:variant>
        <vt:i4>0</vt:i4>
      </vt:variant>
      <vt:variant>
        <vt:i4>5</vt:i4>
      </vt:variant>
      <vt:variant>
        <vt:lpwstr>http://ntww1.csir.co.za/plsql/ptl0002/PTL0002_PGE157_MEDIA_REL?MEDIA_RELEASE_NO=7083643</vt:lpwstr>
      </vt:variant>
      <vt:variant>
        <vt:lpwstr/>
      </vt:variant>
      <vt:variant>
        <vt:i4>6029343</vt:i4>
      </vt:variant>
      <vt:variant>
        <vt:i4>30</vt:i4>
      </vt:variant>
      <vt:variant>
        <vt:i4>0</vt:i4>
      </vt:variant>
      <vt:variant>
        <vt:i4>5</vt:i4>
      </vt:variant>
      <vt:variant>
        <vt:lpwstr>http://travel.kompas.com/read/2010/06/25/19553630/Festival.Ujungberung.Dibuka</vt:lpwstr>
      </vt:variant>
      <vt:variant>
        <vt:lpwstr/>
      </vt:variant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>http://www.klik-galamedia.com/indexedisi.php?id=20100625&amp;wartakode=20100625034442</vt:lpwstr>
      </vt:variant>
      <vt:variant>
        <vt:lpwstr/>
      </vt:variant>
      <vt:variant>
        <vt:i4>7798844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http://www.unesco.org/culture/ich/doc/src/01858-EN.pdf</vt:lpwstr>
      </vt:variant>
      <vt:variant>
        <vt:lpwstr/>
      </vt:variant>
      <vt:variant>
        <vt:i4>5505104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</vt:lpwstr>
      </vt:variant>
      <vt:variant>
        <vt:lpwstr/>
      </vt:variant>
      <vt:variant>
        <vt:i4>720987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http://whc.unesco.org/fr/list/?action=stat&amp;</vt:lpwstr>
      </vt:variant>
      <vt:variant>
        <vt:lpwstr>s1</vt:lpwstr>
      </vt:variant>
      <vt:variant>
        <vt:i4>1835027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http://www.unesco.org/culture/ich/fr/listes/</vt:lpwstr>
      </vt:variant>
      <vt:variant>
        <vt:lpwstr/>
      </vt:variant>
      <vt:variant>
        <vt:i4>1704004</vt:i4>
      </vt:variant>
      <vt:variant>
        <vt:i4>12</vt:i4>
      </vt:variant>
      <vt:variant>
        <vt:i4>0</vt:i4>
      </vt:variant>
      <vt:variant>
        <vt:i4>5</vt:i4>
      </vt:variant>
      <vt:variant>
        <vt:lpwstr>http://www.un.org/esa/socdev/unpfii/en/drip.html</vt:lpwstr>
      </vt:variant>
      <vt:variant>
        <vt:lpwstr/>
      </vt:variant>
      <vt:variant>
        <vt:i4>5439565</vt:i4>
      </vt:variant>
      <vt:variant>
        <vt:i4>9</vt:i4>
      </vt:variant>
      <vt:variant>
        <vt:i4>0</vt:i4>
      </vt:variant>
      <vt:variant>
        <vt:i4>5</vt:i4>
      </vt:variant>
      <vt:variant>
        <vt:lpwstr>http://www.aapant.org.au/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http://unesdoc.unesco.org/images/0015/001506/150671e.pdf</vt:lpwstr>
      </vt:variant>
      <vt:variant>
        <vt:lpwstr/>
      </vt:variant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http://www.unesco.org/culture/ich/doc/src/01858-EN.pdf</vt:lpwstr>
      </vt:variant>
      <vt:variant>
        <vt:lpwstr/>
      </vt:variant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http://documents-dds-ny.un.org/doc/UNDOC/GEN/N87/184/67/img/N8718467.pdf?OpenElement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U005-v1.1-PT-FRA.docx</dc:title>
  <dc:creator>FLUFFY</dc:creator>
  <cp:lastModifiedBy>A. Cunningham</cp:lastModifiedBy>
  <cp:revision>6</cp:revision>
  <cp:lastPrinted>2014-04-20T10:57:00Z</cp:lastPrinted>
  <dcterms:created xsi:type="dcterms:W3CDTF">2015-09-22T15:41:00Z</dcterms:created>
  <dcterms:modified xsi:type="dcterms:W3CDTF">2015-09-28T08:38:00Z</dcterms:modified>
</cp:coreProperties>
</file>