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8DDD" w14:textId="5622761A" w:rsidR="002E7FAC" w:rsidRDefault="00A853D3" w:rsidP="00C70B5B">
      <w:pPr>
        <w:pStyle w:val="Chapitre"/>
        <w:keepNext w:val="0"/>
        <w:widowControl w:val="0"/>
        <w:rPr>
          <w:w w:val="99"/>
        </w:rPr>
      </w:pPr>
      <w:bookmarkStart w:id="0" w:name="_Toc241229679"/>
      <w:bookmarkStart w:id="1" w:name="_Toc241229883"/>
      <w:bookmarkStart w:id="2" w:name="_Toc242165577"/>
      <w:bookmarkStart w:id="3" w:name="_GoBack"/>
      <w:bookmarkEnd w:id="3"/>
      <w:r w:rsidRPr="00787639">
        <w:rPr>
          <w:w w:val="99"/>
        </w:rPr>
        <w:t xml:space="preserve">Unit </w:t>
      </w:r>
      <w:r w:rsidR="008A3BB7" w:rsidRPr="00787639">
        <w:rPr>
          <w:w w:val="99"/>
        </w:rPr>
        <w:t>5</w:t>
      </w:r>
      <w:r w:rsidR="00340A29" w:rsidRPr="00787639">
        <w:rPr>
          <w:w w:val="99"/>
        </w:rPr>
        <w:tab/>
      </w:r>
    </w:p>
    <w:p w14:paraId="652053D9" w14:textId="77777777" w:rsidR="00376497" w:rsidRPr="00376497" w:rsidRDefault="00376497" w:rsidP="00376497">
      <w:pPr>
        <w:keepNext/>
        <w:keepLines/>
        <w:spacing w:before="480" w:line="480" w:lineRule="exact"/>
        <w:ind w:left="0"/>
        <w:jc w:val="left"/>
        <w:outlineLvl w:val="0"/>
        <w:rPr>
          <w:rFonts w:eastAsia="Times New Roman"/>
          <w:b/>
          <w:bCs/>
          <w:caps/>
          <w:noProof/>
          <w:snapToGrid w:val="0"/>
          <w:color w:val="3366FF"/>
          <w:kern w:val="28"/>
          <w:sz w:val="48"/>
          <w:szCs w:val="48"/>
          <w:lang w:val="en-GB"/>
        </w:rPr>
      </w:pPr>
      <w:bookmarkStart w:id="4" w:name="_Toc241644708"/>
      <w:bookmarkEnd w:id="0"/>
      <w:bookmarkEnd w:id="1"/>
      <w:bookmarkEnd w:id="2"/>
      <w:r w:rsidRPr="00376497">
        <w:rPr>
          <w:rFonts w:eastAsia="Times New Roman"/>
          <w:b/>
          <w:bCs/>
          <w:caps/>
          <w:noProof/>
          <w:snapToGrid w:val="0"/>
          <w:color w:val="3366FF"/>
          <w:kern w:val="28"/>
          <w:sz w:val="48"/>
          <w:szCs w:val="48"/>
          <w:lang w:val="en-GB"/>
        </w:rPr>
        <w:t>raising awareness</w:t>
      </w:r>
    </w:p>
    <w:bookmarkEnd w:id="4"/>
    <w:p w14:paraId="02D5F4E3" w14:textId="35ED72BE" w:rsidR="00376497" w:rsidRPr="00376497" w:rsidRDefault="00376497" w:rsidP="00376497">
      <w:pPr>
        <w:keepNext/>
        <w:keepLines/>
        <w:spacing w:before="480" w:after="480" w:line="480" w:lineRule="exact"/>
        <w:ind w:left="0"/>
        <w:jc w:val="left"/>
        <w:outlineLvl w:val="0"/>
        <w:rPr>
          <w:rFonts w:eastAsia="Times New Roman"/>
          <w:b/>
          <w:bCs/>
          <w:caps/>
          <w:noProof/>
          <w:snapToGrid w:val="0"/>
          <w:color w:val="3366FF"/>
          <w:sz w:val="32"/>
          <w:szCs w:val="70"/>
          <w:lang w:val="en-US"/>
        </w:rPr>
      </w:pPr>
      <w:r>
        <w:rPr>
          <w:rFonts w:eastAsia="Times New Roman"/>
          <w:b/>
          <w:bCs/>
          <w:caps/>
          <w:noProof/>
          <w:snapToGrid w:val="0"/>
          <w:color w:val="3366FF"/>
          <w:sz w:val="32"/>
          <w:szCs w:val="70"/>
          <w:lang w:val="en-US"/>
        </w:rPr>
        <w:t>participant’s text</w:t>
      </w:r>
    </w:p>
    <w:p w14:paraId="29B26AD6" w14:textId="0B9B3D7B" w:rsidR="009C12C4" w:rsidRPr="00C47438" w:rsidRDefault="009C12C4" w:rsidP="00A674BB">
      <w:pPr>
        <w:pStyle w:val="Sschap"/>
      </w:pPr>
      <w:r w:rsidRPr="00B43374">
        <w:rPr>
          <w:rFonts w:hint="eastAsia"/>
        </w:rPr>
        <w:t>This</w:t>
      </w:r>
      <w:r w:rsidRPr="00B73CA7">
        <w:rPr>
          <w:rFonts w:hint="eastAsia"/>
          <w:spacing w:val="8"/>
        </w:rPr>
        <w:t xml:space="preserve"> </w:t>
      </w:r>
      <w:r w:rsidR="00A31F35" w:rsidRPr="00C47438">
        <w:t>unit</w:t>
      </w:r>
      <w:r w:rsidRPr="00C47438">
        <w:rPr>
          <w:spacing w:val="8"/>
        </w:rPr>
        <w:t xml:space="preserve"> </w:t>
      </w:r>
      <w:r w:rsidRPr="00C47438">
        <w:t>deals</w:t>
      </w:r>
      <w:r w:rsidRPr="00C47438">
        <w:rPr>
          <w:spacing w:val="8"/>
        </w:rPr>
        <w:t xml:space="preserve"> </w:t>
      </w:r>
      <w:r w:rsidRPr="00C47438">
        <w:t>with</w:t>
      </w:r>
      <w:r w:rsidRPr="00C47438">
        <w:rPr>
          <w:spacing w:val="8"/>
        </w:rPr>
        <w:t xml:space="preserve"> </w:t>
      </w:r>
      <w:r w:rsidRPr="00C47438">
        <w:t>raising</w:t>
      </w:r>
      <w:r w:rsidRPr="00C47438">
        <w:rPr>
          <w:spacing w:val="8"/>
        </w:rPr>
        <w:t xml:space="preserve"> </w:t>
      </w:r>
      <w:r w:rsidRPr="00C47438">
        <w:t>awareness</w:t>
      </w:r>
      <w:r w:rsidRPr="00C47438">
        <w:rPr>
          <w:spacing w:val="7"/>
        </w:rPr>
        <w:t xml:space="preserve"> </w:t>
      </w:r>
      <w:r w:rsidRPr="00C47438">
        <w:t>about</w:t>
      </w:r>
      <w:r w:rsidRPr="00C47438">
        <w:rPr>
          <w:spacing w:val="7"/>
        </w:rPr>
        <w:t xml:space="preserve"> </w:t>
      </w:r>
      <w:r w:rsidR="003D5074">
        <w:rPr>
          <w:spacing w:val="7"/>
        </w:rPr>
        <w:t>intangible cultural heritage (</w:t>
      </w:r>
      <w:r w:rsidRPr="00C47438">
        <w:t>ICH</w:t>
      </w:r>
      <w:r w:rsidR="003D5074">
        <w:t>)</w:t>
      </w:r>
      <w:r w:rsidRPr="00C47438">
        <w:rPr>
          <w:w w:val="98"/>
        </w:rPr>
        <w:t xml:space="preserve">. </w:t>
      </w:r>
      <w:r w:rsidRPr="00C47438">
        <w:t>It covers</w:t>
      </w:r>
      <w:r w:rsidRPr="00C47438">
        <w:rPr>
          <w:spacing w:val="10"/>
        </w:rPr>
        <w:t xml:space="preserve"> </w:t>
      </w:r>
      <w:r w:rsidRPr="00C47438">
        <w:t>the</w:t>
      </w:r>
      <w:r w:rsidRPr="00C47438">
        <w:rPr>
          <w:spacing w:val="9"/>
        </w:rPr>
        <w:t xml:space="preserve"> </w:t>
      </w:r>
      <w:r w:rsidRPr="00C47438">
        <w:t>following</w:t>
      </w:r>
      <w:r w:rsidRPr="00C47438">
        <w:rPr>
          <w:spacing w:val="9"/>
        </w:rPr>
        <w:t xml:space="preserve"> </w:t>
      </w:r>
      <w:r w:rsidRPr="00C47438">
        <w:t>topics:</w:t>
      </w:r>
    </w:p>
    <w:p w14:paraId="3CB95335" w14:textId="09B95F6D" w:rsidR="009C12C4" w:rsidRPr="00C47438" w:rsidRDefault="00340A29" w:rsidP="00943627">
      <w:pPr>
        <w:pStyle w:val="Txtchap"/>
        <w:rPr>
          <w:w w:val="99"/>
        </w:rPr>
      </w:pPr>
      <w:r w:rsidRPr="00C47438">
        <w:rPr>
          <w:w w:val="99"/>
        </w:rPr>
        <w:t>T</w:t>
      </w:r>
      <w:r w:rsidR="009C12C4" w:rsidRPr="00D90418">
        <w:rPr>
          <w:w w:val="99"/>
        </w:rPr>
        <w:t>he</w:t>
      </w:r>
      <w:r w:rsidR="009C12C4" w:rsidRPr="00C47438">
        <w:rPr>
          <w:spacing w:val="9"/>
          <w:w w:val="99"/>
        </w:rPr>
        <w:t xml:space="preserve"> </w:t>
      </w:r>
      <w:r w:rsidR="009C12C4" w:rsidRPr="00C47438">
        <w:rPr>
          <w:w w:val="99"/>
        </w:rPr>
        <w:t>purpose</w:t>
      </w:r>
      <w:r w:rsidR="009C12C4" w:rsidRPr="00C47438">
        <w:rPr>
          <w:spacing w:val="9"/>
          <w:w w:val="99"/>
        </w:rPr>
        <w:t xml:space="preserve"> </w:t>
      </w:r>
      <w:r w:rsidR="009C12C4" w:rsidRPr="00C47438">
        <w:rPr>
          <w:w w:val="99"/>
        </w:rPr>
        <w:t>of</w:t>
      </w:r>
      <w:r w:rsidR="009C12C4" w:rsidRPr="00C47438">
        <w:rPr>
          <w:spacing w:val="9"/>
          <w:w w:val="99"/>
        </w:rPr>
        <w:t xml:space="preserve"> </w:t>
      </w:r>
      <w:r w:rsidR="00C47438" w:rsidRPr="00C47438">
        <w:rPr>
          <w:w w:val="99"/>
        </w:rPr>
        <w:t>awareness</w:t>
      </w:r>
      <w:r w:rsidR="00C47438" w:rsidRPr="00C47438">
        <w:rPr>
          <w:spacing w:val="8"/>
          <w:w w:val="99"/>
        </w:rPr>
        <w:t>-</w:t>
      </w:r>
      <w:r w:rsidRPr="00C47438">
        <w:rPr>
          <w:w w:val="99"/>
        </w:rPr>
        <w:t>raising.</w:t>
      </w:r>
    </w:p>
    <w:p w14:paraId="2CB9EC53" w14:textId="77777777" w:rsidR="009C12C4" w:rsidRPr="00C47438" w:rsidRDefault="00340A29" w:rsidP="00943627">
      <w:pPr>
        <w:pStyle w:val="Txtchap"/>
        <w:rPr>
          <w:w w:val="99"/>
        </w:rPr>
      </w:pPr>
      <w:r w:rsidRPr="00C47438">
        <w:rPr>
          <w:w w:val="99"/>
        </w:rPr>
        <w:t>H</w:t>
      </w:r>
      <w:r w:rsidR="009C12C4" w:rsidRPr="00C47438">
        <w:rPr>
          <w:w w:val="99"/>
        </w:rPr>
        <w:t>ow</w:t>
      </w:r>
      <w:r w:rsidR="009C12C4" w:rsidRPr="00C47438">
        <w:rPr>
          <w:spacing w:val="7"/>
          <w:w w:val="99"/>
        </w:rPr>
        <w:t xml:space="preserve"> </w:t>
      </w:r>
      <w:r w:rsidR="009C12C4" w:rsidRPr="00C47438">
        <w:rPr>
          <w:w w:val="99"/>
        </w:rPr>
        <w:t>awareness</w:t>
      </w:r>
      <w:r w:rsidR="009C12C4" w:rsidRPr="00C47438">
        <w:rPr>
          <w:spacing w:val="7"/>
          <w:w w:val="99"/>
        </w:rPr>
        <w:t xml:space="preserve"> </w:t>
      </w:r>
      <w:r w:rsidR="009C12C4" w:rsidRPr="00C47438">
        <w:rPr>
          <w:w w:val="99"/>
        </w:rPr>
        <w:t>can</w:t>
      </w:r>
      <w:r w:rsidR="009C12C4" w:rsidRPr="00C47438">
        <w:rPr>
          <w:spacing w:val="7"/>
          <w:w w:val="99"/>
        </w:rPr>
        <w:t xml:space="preserve"> </w:t>
      </w:r>
      <w:r w:rsidR="009C12C4" w:rsidRPr="00C47438">
        <w:rPr>
          <w:w w:val="99"/>
        </w:rPr>
        <w:t>be</w:t>
      </w:r>
      <w:r w:rsidR="009C12C4" w:rsidRPr="00C47438">
        <w:rPr>
          <w:spacing w:val="7"/>
          <w:w w:val="99"/>
        </w:rPr>
        <w:t xml:space="preserve"> </w:t>
      </w:r>
      <w:r w:rsidR="009C12C4" w:rsidRPr="00C47438">
        <w:rPr>
          <w:w w:val="99"/>
        </w:rPr>
        <w:t>raised,</w:t>
      </w:r>
      <w:r w:rsidR="009C12C4" w:rsidRPr="00C47438">
        <w:rPr>
          <w:spacing w:val="7"/>
          <w:w w:val="99"/>
        </w:rPr>
        <w:t xml:space="preserve"> </w:t>
      </w:r>
      <w:r w:rsidR="009C12C4" w:rsidRPr="00C47438">
        <w:rPr>
          <w:w w:val="99"/>
        </w:rPr>
        <w:t>and</w:t>
      </w:r>
      <w:r w:rsidR="009C12C4" w:rsidRPr="00C47438">
        <w:rPr>
          <w:spacing w:val="7"/>
          <w:w w:val="99"/>
        </w:rPr>
        <w:t xml:space="preserve"> </w:t>
      </w:r>
      <w:r w:rsidR="009C12C4" w:rsidRPr="00C47438">
        <w:rPr>
          <w:w w:val="99"/>
        </w:rPr>
        <w:t>about</w:t>
      </w:r>
      <w:r w:rsidR="009C12C4" w:rsidRPr="00C47438">
        <w:rPr>
          <w:spacing w:val="6"/>
          <w:w w:val="99"/>
        </w:rPr>
        <w:t xml:space="preserve"> </w:t>
      </w:r>
      <w:r w:rsidRPr="00C47438">
        <w:rPr>
          <w:w w:val="99"/>
        </w:rPr>
        <w:t>what issues.</w:t>
      </w:r>
    </w:p>
    <w:p w14:paraId="73ABFE59" w14:textId="0244E182" w:rsidR="00F53DE1" w:rsidRPr="00C47438" w:rsidRDefault="00340A29" w:rsidP="00943627">
      <w:pPr>
        <w:pStyle w:val="Txtchap"/>
        <w:rPr>
          <w:w w:val="99"/>
        </w:rPr>
      </w:pPr>
      <w:r w:rsidRPr="00C47438">
        <w:rPr>
          <w:w w:val="99"/>
        </w:rPr>
        <w:t>W</w:t>
      </w:r>
      <w:r w:rsidR="009C12C4" w:rsidRPr="00C47438">
        <w:rPr>
          <w:w w:val="99"/>
        </w:rPr>
        <w:t>ho</w:t>
      </w:r>
      <w:r w:rsidR="009C12C4" w:rsidRPr="00C47438">
        <w:rPr>
          <w:spacing w:val="6"/>
          <w:w w:val="99"/>
        </w:rPr>
        <w:t xml:space="preserve"> </w:t>
      </w:r>
      <w:r w:rsidR="009C12C4" w:rsidRPr="00C47438">
        <w:rPr>
          <w:w w:val="99"/>
        </w:rPr>
        <w:t>are</w:t>
      </w:r>
      <w:r w:rsidR="009C12C4" w:rsidRPr="00C47438">
        <w:rPr>
          <w:spacing w:val="6"/>
          <w:w w:val="99"/>
        </w:rPr>
        <w:t xml:space="preserve"> </w:t>
      </w:r>
      <w:r w:rsidR="009C12C4" w:rsidRPr="00C47438">
        <w:rPr>
          <w:w w:val="99"/>
        </w:rPr>
        <w:t>the</w:t>
      </w:r>
      <w:r w:rsidR="009C12C4" w:rsidRPr="00C47438">
        <w:rPr>
          <w:spacing w:val="6"/>
          <w:w w:val="99"/>
        </w:rPr>
        <w:t xml:space="preserve"> </w:t>
      </w:r>
      <w:r w:rsidR="00FE31E5">
        <w:rPr>
          <w:w w:val="99"/>
        </w:rPr>
        <w:t>key stakeholders</w:t>
      </w:r>
      <w:r w:rsidR="009C12C4" w:rsidRPr="00C47438">
        <w:rPr>
          <w:spacing w:val="6"/>
          <w:w w:val="99"/>
        </w:rPr>
        <w:t xml:space="preserve"> </w:t>
      </w:r>
      <w:r w:rsidR="009C12C4" w:rsidRPr="00C47438">
        <w:rPr>
          <w:w w:val="99"/>
        </w:rPr>
        <w:t>and</w:t>
      </w:r>
      <w:r w:rsidR="009C12C4" w:rsidRPr="00C47438">
        <w:rPr>
          <w:spacing w:val="5"/>
          <w:w w:val="99"/>
        </w:rPr>
        <w:t xml:space="preserve"> </w:t>
      </w:r>
      <w:r w:rsidR="009C12C4" w:rsidRPr="00C47438">
        <w:rPr>
          <w:w w:val="99"/>
        </w:rPr>
        <w:t>au</w:t>
      </w:r>
      <w:r w:rsidR="008A3BB7" w:rsidRPr="00AD244C">
        <w:rPr>
          <w:noProof/>
          <w:lang w:val="fr-FR" w:eastAsia="fr-FR"/>
        </w:rPr>
        <w:drawing>
          <wp:anchor distT="0" distB="0" distL="114300" distR="114300" simplePos="0" relativeHeight="252033536" behindDoc="1" locked="0" layoutInCell="1" allowOverlap="0" wp14:anchorId="01F3E53E" wp14:editId="378362BF">
            <wp:simplePos x="0" y="0"/>
            <wp:positionH relativeFrom="margin">
              <wp:posOffset>360045</wp:posOffset>
            </wp:positionH>
            <wp:positionV relativeFrom="margin">
              <wp:posOffset>1800225</wp:posOffset>
            </wp:positionV>
            <wp:extent cx="4870411" cy="4498145"/>
            <wp:effectExtent l="0" t="0" r="6985" b="0"/>
            <wp:wrapNone/>
            <wp:docPr id="279"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9C12C4" w:rsidRPr="00C47438">
        <w:rPr>
          <w:w w:val="99"/>
        </w:rPr>
        <w:t>diences</w:t>
      </w:r>
      <w:r w:rsidR="009C12C4" w:rsidRPr="00D90418">
        <w:rPr>
          <w:spacing w:val="5"/>
          <w:w w:val="99"/>
        </w:rPr>
        <w:t xml:space="preserve"> </w:t>
      </w:r>
      <w:r w:rsidR="009C12C4" w:rsidRPr="00C47438">
        <w:rPr>
          <w:w w:val="99"/>
        </w:rPr>
        <w:t>for</w:t>
      </w:r>
      <w:r w:rsidR="00F53DE1" w:rsidRPr="00C47438">
        <w:rPr>
          <w:w w:val="99"/>
        </w:rPr>
        <w:t xml:space="preserve"> </w:t>
      </w:r>
      <w:r w:rsidR="00C47438" w:rsidRPr="00C47438">
        <w:rPr>
          <w:w w:val="99"/>
        </w:rPr>
        <w:t>awareness</w:t>
      </w:r>
      <w:r w:rsidR="00C47438" w:rsidRPr="00C47438">
        <w:rPr>
          <w:spacing w:val="11"/>
          <w:w w:val="99"/>
        </w:rPr>
        <w:t>-</w:t>
      </w:r>
      <w:proofErr w:type="gramStart"/>
      <w:r w:rsidR="009C12C4" w:rsidRPr="00C47438">
        <w:rPr>
          <w:w w:val="99"/>
        </w:rPr>
        <w:t>raising</w:t>
      </w:r>
      <w:r w:rsidRPr="00C47438">
        <w:rPr>
          <w:w w:val="99"/>
        </w:rPr>
        <w:t>.</w:t>
      </w:r>
      <w:proofErr w:type="gramEnd"/>
    </w:p>
    <w:p w14:paraId="28498023" w14:textId="30ABFD78" w:rsidR="009C12C4" w:rsidRPr="00C47438" w:rsidRDefault="00340A29" w:rsidP="00943627">
      <w:pPr>
        <w:pStyle w:val="Txtchap"/>
        <w:rPr>
          <w:w w:val="99"/>
        </w:rPr>
      </w:pPr>
      <w:r w:rsidRPr="00C47438">
        <w:rPr>
          <w:w w:val="99"/>
        </w:rPr>
        <w:t>H</w:t>
      </w:r>
      <w:r w:rsidR="009C12C4" w:rsidRPr="00C47438">
        <w:rPr>
          <w:w w:val="99"/>
        </w:rPr>
        <w:t>ow</w:t>
      </w:r>
      <w:r w:rsidR="009C12C4" w:rsidRPr="00C47438">
        <w:rPr>
          <w:spacing w:val="9"/>
          <w:w w:val="99"/>
        </w:rPr>
        <w:t xml:space="preserve"> </w:t>
      </w:r>
      <w:r w:rsidR="00FE31E5">
        <w:rPr>
          <w:w w:val="99"/>
        </w:rPr>
        <w:t>negative consequences</w:t>
      </w:r>
      <w:r w:rsidR="009C12C4" w:rsidRPr="00C47438">
        <w:rPr>
          <w:spacing w:val="8"/>
          <w:w w:val="99"/>
        </w:rPr>
        <w:t xml:space="preserve"> </w:t>
      </w:r>
      <w:r w:rsidR="009C12C4" w:rsidRPr="00C47438">
        <w:rPr>
          <w:w w:val="99"/>
        </w:rPr>
        <w:t>of</w:t>
      </w:r>
      <w:r w:rsidR="009C12C4" w:rsidRPr="00C47438">
        <w:rPr>
          <w:spacing w:val="8"/>
          <w:w w:val="99"/>
        </w:rPr>
        <w:t xml:space="preserve"> </w:t>
      </w:r>
      <w:r w:rsidR="009C12C4" w:rsidRPr="00C47438">
        <w:rPr>
          <w:w w:val="99"/>
        </w:rPr>
        <w:t>awareness-raising</w:t>
      </w:r>
      <w:r w:rsidR="009C12C4" w:rsidRPr="00C47438">
        <w:rPr>
          <w:spacing w:val="8"/>
          <w:w w:val="99"/>
        </w:rPr>
        <w:t xml:space="preserve"> </w:t>
      </w:r>
      <w:r w:rsidR="009C12C4" w:rsidRPr="00C47438">
        <w:rPr>
          <w:w w:val="99"/>
        </w:rPr>
        <w:t>can</w:t>
      </w:r>
      <w:r w:rsidR="009C12C4" w:rsidRPr="00C47438">
        <w:rPr>
          <w:spacing w:val="8"/>
          <w:w w:val="99"/>
        </w:rPr>
        <w:t xml:space="preserve"> </w:t>
      </w:r>
      <w:r w:rsidR="009C12C4" w:rsidRPr="00C47438">
        <w:rPr>
          <w:w w:val="99"/>
        </w:rPr>
        <w:t>be</w:t>
      </w:r>
      <w:r w:rsidR="00F53DE1" w:rsidRPr="00C47438">
        <w:rPr>
          <w:w w:val="99"/>
        </w:rPr>
        <w:t xml:space="preserve"> </w:t>
      </w:r>
      <w:r w:rsidR="009C12C4" w:rsidRPr="00C47438">
        <w:rPr>
          <w:w w:val="99"/>
        </w:rPr>
        <w:t>avoided.</w:t>
      </w:r>
    </w:p>
    <w:p w14:paraId="27FA556B" w14:textId="5127A987" w:rsidR="003D4C95" w:rsidRDefault="009C12C4" w:rsidP="001D7EEF">
      <w:pPr>
        <w:pStyle w:val="Chapinfo"/>
        <w:spacing w:before="0" w:line="240" w:lineRule="auto"/>
      </w:pPr>
      <w:r w:rsidRPr="00C47438">
        <w:t>Relevant</w:t>
      </w:r>
      <w:r w:rsidRPr="00C47438">
        <w:rPr>
          <w:spacing w:val="-1"/>
        </w:rPr>
        <w:t xml:space="preserve"> </w:t>
      </w:r>
      <w:r w:rsidRPr="00C47438">
        <w:t>entries</w:t>
      </w:r>
      <w:r w:rsidRPr="00C47438">
        <w:rPr>
          <w:spacing w:val="-1"/>
        </w:rPr>
        <w:t xml:space="preserve"> </w:t>
      </w:r>
      <w:r w:rsidRPr="00C47438">
        <w:t>in</w:t>
      </w:r>
      <w:r w:rsidRPr="00C47438">
        <w:rPr>
          <w:spacing w:val="-1"/>
        </w:rPr>
        <w:t xml:space="preserve"> </w:t>
      </w:r>
      <w:r w:rsidR="00C61BCD" w:rsidRPr="00C47438">
        <w:t>Participant’s</w:t>
      </w:r>
      <w:r w:rsidR="0043687D">
        <w:t> </w:t>
      </w:r>
      <w:r w:rsidR="00C61BCD" w:rsidRPr="00C47438">
        <w:t>text</w:t>
      </w:r>
      <w:r w:rsidRPr="00C47438">
        <w:rPr>
          <w:spacing w:val="-1"/>
        </w:rPr>
        <w:t xml:space="preserve"> </w:t>
      </w:r>
      <w:r w:rsidR="00002A62" w:rsidRPr="00C47438">
        <w:t>Unit</w:t>
      </w:r>
      <w:r w:rsidR="003122F5">
        <w:t> </w:t>
      </w:r>
      <w:r w:rsidR="00002A62" w:rsidRPr="00C47438">
        <w:t>3</w:t>
      </w:r>
      <w:r w:rsidRPr="00C47438">
        <w:rPr>
          <w:spacing w:val="-1"/>
        </w:rPr>
        <w:t xml:space="preserve"> </w:t>
      </w:r>
      <w:r w:rsidRPr="00C47438">
        <w:t>include:</w:t>
      </w:r>
      <w:r w:rsidRPr="00C47438">
        <w:rPr>
          <w:spacing w:val="-1"/>
        </w:rPr>
        <w:t xml:space="preserve"> </w:t>
      </w:r>
      <w:r w:rsidRPr="00C47438">
        <w:t>‘Awareness</w:t>
      </w:r>
      <w:r w:rsidRPr="00C47438">
        <w:rPr>
          <w:spacing w:val="-2"/>
        </w:rPr>
        <w:t xml:space="preserve"> </w:t>
      </w:r>
      <w:r w:rsidRPr="00C47438">
        <w:t>raising’,</w:t>
      </w:r>
    </w:p>
    <w:p w14:paraId="26C59675" w14:textId="2100EB7E" w:rsidR="009C12C4" w:rsidRPr="00C47438" w:rsidRDefault="009C12C4" w:rsidP="001D7EEF">
      <w:pPr>
        <w:pStyle w:val="Chapinfo"/>
        <w:spacing w:before="0" w:line="240" w:lineRule="auto"/>
      </w:pPr>
      <w:r w:rsidRPr="00C47438">
        <w:t xml:space="preserve"> </w:t>
      </w:r>
      <w:proofErr w:type="gramStart"/>
      <w:r w:rsidRPr="00C47438">
        <w:t>‘</w:t>
      </w:r>
      <w:proofErr w:type="spellStart"/>
      <w:r w:rsidRPr="00C47438">
        <w:t>Decontextualization</w:t>
      </w:r>
      <w:proofErr w:type="spellEnd"/>
      <w:r w:rsidRPr="00C47438">
        <w:t>’</w:t>
      </w:r>
      <w:r w:rsidRPr="00C47438">
        <w:rPr>
          <w:spacing w:val="-1"/>
        </w:rPr>
        <w:t xml:space="preserve"> </w:t>
      </w:r>
      <w:r w:rsidRPr="00C47438">
        <w:t>and</w:t>
      </w:r>
      <w:r w:rsidRPr="00C47438">
        <w:rPr>
          <w:spacing w:val="-1"/>
        </w:rPr>
        <w:t xml:space="preserve"> </w:t>
      </w:r>
      <w:r w:rsidRPr="00C47438">
        <w:t>‘Emblem</w:t>
      </w:r>
      <w:r w:rsidRPr="00C47438">
        <w:rPr>
          <w:spacing w:val="-1"/>
        </w:rPr>
        <w:t xml:space="preserve"> </w:t>
      </w:r>
      <w:r w:rsidRPr="00C47438">
        <w:t>of</w:t>
      </w:r>
      <w:r w:rsidRPr="00C47438">
        <w:rPr>
          <w:spacing w:val="-2"/>
        </w:rPr>
        <w:t xml:space="preserve"> </w:t>
      </w:r>
      <w:r w:rsidRPr="00C47438">
        <w:t>the</w:t>
      </w:r>
      <w:r w:rsidRPr="00C47438">
        <w:rPr>
          <w:spacing w:val="-2"/>
        </w:rPr>
        <w:t xml:space="preserve"> </w:t>
      </w:r>
      <w:r w:rsidRPr="00C47438">
        <w:t>Convention’.</w:t>
      </w:r>
      <w:proofErr w:type="gramEnd"/>
    </w:p>
    <w:p w14:paraId="08C041A6" w14:textId="16B91551" w:rsidR="00775F61" w:rsidRDefault="009C12C4">
      <w:pPr>
        <w:pStyle w:val="Chapinfo"/>
      </w:pPr>
      <w:r w:rsidRPr="00C47438">
        <w:t>Examples</w:t>
      </w:r>
      <w:r w:rsidRPr="00C47438">
        <w:rPr>
          <w:spacing w:val="-4"/>
        </w:rPr>
        <w:t xml:space="preserve"> </w:t>
      </w:r>
      <w:r w:rsidRPr="00C47438">
        <w:t>relevant</w:t>
      </w:r>
      <w:r w:rsidRPr="00C47438">
        <w:rPr>
          <w:spacing w:val="-3"/>
        </w:rPr>
        <w:t xml:space="preserve"> </w:t>
      </w:r>
      <w:r w:rsidRPr="00C47438">
        <w:t>to</w:t>
      </w:r>
      <w:r w:rsidRPr="00C47438">
        <w:rPr>
          <w:spacing w:val="-3"/>
        </w:rPr>
        <w:t xml:space="preserve"> </w:t>
      </w:r>
      <w:r w:rsidRPr="00C47438">
        <w:t>this</w:t>
      </w:r>
      <w:r w:rsidRPr="00C47438">
        <w:rPr>
          <w:spacing w:val="-3"/>
        </w:rPr>
        <w:t xml:space="preserve"> </w:t>
      </w:r>
      <w:r w:rsidR="00A31F35" w:rsidRPr="00C47438">
        <w:t>unit</w:t>
      </w:r>
      <w:r w:rsidRPr="00C47438">
        <w:rPr>
          <w:spacing w:val="-3"/>
        </w:rPr>
        <w:t xml:space="preserve"> </w:t>
      </w:r>
      <w:r w:rsidRPr="00C47438">
        <w:t>can</w:t>
      </w:r>
      <w:r w:rsidRPr="00C47438">
        <w:rPr>
          <w:spacing w:val="-4"/>
        </w:rPr>
        <w:t xml:space="preserve"> </w:t>
      </w:r>
      <w:r w:rsidRPr="00C47438">
        <w:t>be</w:t>
      </w:r>
      <w:r w:rsidRPr="00C47438">
        <w:rPr>
          <w:spacing w:val="-4"/>
        </w:rPr>
        <w:t xml:space="preserve"> </w:t>
      </w:r>
      <w:r w:rsidRPr="00C47438">
        <w:t>found</w:t>
      </w:r>
      <w:r w:rsidRPr="00C47438">
        <w:rPr>
          <w:spacing w:val="-4"/>
        </w:rPr>
        <w:t xml:space="preserve"> </w:t>
      </w:r>
      <w:r w:rsidRPr="00C47438">
        <w:t>in</w:t>
      </w:r>
      <w:r w:rsidRPr="00C47438">
        <w:rPr>
          <w:spacing w:val="-5"/>
        </w:rPr>
        <w:t xml:space="preserve"> </w:t>
      </w:r>
      <w:r w:rsidR="00292142">
        <w:t>C</w:t>
      </w:r>
      <w:r w:rsidRPr="00C47438">
        <w:t>ase</w:t>
      </w:r>
      <w:r w:rsidRPr="00C47438">
        <w:rPr>
          <w:spacing w:val="-3"/>
        </w:rPr>
        <w:t xml:space="preserve"> </w:t>
      </w:r>
      <w:r w:rsidRPr="00C47438">
        <w:t>studies</w:t>
      </w:r>
      <w:r w:rsidR="00292142">
        <w:rPr>
          <w:spacing w:val="-3"/>
        </w:rPr>
        <w:t> </w:t>
      </w:r>
      <w:r w:rsidRPr="00C47438">
        <w:t>2–5</w:t>
      </w:r>
      <w:r w:rsidR="00E53670" w:rsidRPr="00C47438">
        <w:t>.</w:t>
      </w:r>
    </w:p>
    <w:p w14:paraId="04378054" w14:textId="77777777" w:rsidR="00775F61" w:rsidRDefault="00775F61">
      <w:pPr>
        <w:tabs>
          <w:tab w:val="clear" w:pos="567"/>
        </w:tabs>
        <w:snapToGrid/>
        <w:spacing w:line="240" w:lineRule="auto"/>
        <w:ind w:left="0"/>
        <w:jc w:val="left"/>
        <w:rPr>
          <w:i/>
          <w:iCs/>
          <w:color w:val="3366FF"/>
          <w:sz w:val="24"/>
          <w:szCs w:val="24"/>
          <w:lang w:val="en-GB"/>
        </w:rPr>
      </w:pPr>
      <w:r w:rsidRPr="008C4432">
        <w:rPr>
          <w:lang w:val="en-US"/>
        </w:rPr>
        <w:br w:type="page"/>
      </w:r>
    </w:p>
    <w:p w14:paraId="0F4FE33D" w14:textId="77777777" w:rsidR="00BA449A" w:rsidRPr="00943627" w:rsidRDefault="00BA449A" w:rsidP="0099219B">
      <w:pPr>
        <w:pStyle w:val="Titcoul"/>
        <w:spacing w:before="0"/>
        <w:rPr>
          <w:lang w:val="en-GB"/>
        </w:rPr>
      </w:pPr>
      <w:r w:rsidRPr="00943627">
        <w:rPr>
          <w:lang w:val="en-GB"/>
        </w:rPr>
        <w:lastRenderedPageBreak/>
        <w:t>5.1</w:t>
      </w:r>
      <w:r w:rsidRPr="00943627">
        <w:rPr>
          <w:lang w:val="en-GB"/>
        </w:rPr>
        <w:tab/>
      </w:r>
      <w:r w:rsidRPr="00943627">
        <w:rPr>
          <w:lang w:val="en-GB"/>
        </w:rPr>
        <w:tab/>
        <w:t xml:space="preserve">Purpose of awareness </w:t>
      </w:r>
      <w:proofErr w:type="gramStart"/>
      <w:r w:rsidRPr="00943627">
        <w:rPr>
          <w:lang w:val="en-GB"/>
        </w:rPr>
        <w:t>raising</w:t>
      </w:r>
      <w:proofErr w:type="gramEnd"/>
    </w:p>
    <w:p w14:paraId="7FE960B1" w14:textId="48A0B80A" w:rsidR="00F53DE1" w:rsidRPr="000E1D9D" w:rsidRDefault="00F53DE1" w:rsidP="002D5639">
      <w:pPr>
        <w:pStyle w:val="Texte1"/>
      </w:pPr>
      <w:r w:rsidRPr="00A674BB">
        <w:t xml:space="preserve">ICH-related policies and regulations have existed in some countries since the 1950s, especially in </w:t>
      </w:r>
      <w:r w:rsidRPr="00482544">
        <w:t xml:space="preserve">the East Asian region, but in many other countries awareness about ICH </w:t>
      </w:r>
      <w:proofErr w:type="gramStart"/>
      <w:r w:rsidRPr="00482544">
        <w:t>is</w:t>
      </w:r>
      <w:proofErr w:type="gramEnd"/>
      <w:r w:rsidRPr="00482544">
        <w:t xml:space="preserve"> still rather low. The Preamble of the Convention </w:t>
      </w:r>
      <w:r w:rsidR="00915125" w:rsidRPr="000E1D9D">
        <w:t>for the Safeguarding of the Intangible Cultural Heritage</w:t>
      </w:r>
      <w:r w:rsidR="00915125" w:rsidRPr="000E1D9D">
        <w:rPr>
          <w:rStyle w:val="FootnoteReference"/>
          <w:sz w:val="20"/>
          <w:szCs w:val="20"/>
        </w:rPr>
        <w:footnoteReference w:id="1"/>
      </w:r>
      <w:r w:rsidR="00915125" w:rsidRPr="000E1D9D">
        <w:t xml:space="preserve"> </w:t>
      </w:r>
      <w:r w:rsidRPr="000E1D9D">
        <w:t xml:space="preserve">thus states that there is a need to build greater awareness about ICH, especially among younger people. One of the four purposes of the Convention mentioned in </w:t>
      </w:r>
      <w:r w:rsidR="00DD01F3" w:rsidRPr="000E1D9D">
        <w:t>Article </w:t>
      </w:r>
      <w:r w:rsidRPr="000E1D9D">
        <w:t>1 is: ‘to raise awareness at the local, national and international levels of the importance of intangible cultural heritage, and of ensuring mutual appreciation thereof’</w:t>
      </w:r>
      <w:r w:rsidR="00064E3F">
        <w:t>.</w:t>
      </w:r>
    </w:p>
    <w:p w14:paraId="372F6E4C" w14:textId="58C1379D" w:rsidR="00F53DE1" w:rsidRPr="000E1D9D" w:rsidRDefault="00F53DE1" w:rsidP="002D5639">
      <w:pPr>
        <w:pStyle w:val="Texte1"/>
      </w:pPr>
      <w:r w:rsidRPr="000E1D9D">
        <w:t xml:space="preserve">There is also a very detailed chapter on the subject in the Operational Directives (see </w:t>
      </w:r>
      <w:r w:rsidRPr="00640548">
        <w:t>ODs</w:t>
      </w:r>
      <w:r w:rsidR="0076664F">
        <w:t> </w:t>
      </w:r>
      <w:r w:rsidRPr="00640548">
        <w:t>100–123</w:t>
      </w:r>
      <w:r w:rsidRPr="000E1D9D">
        <w:t>), which demonstrates the importance attached to awareness-raising by the Organs of the Convention.</w:t>
      </w:r>
    </w:p>
    <w:p w14:paraId="31A72729" w14:textId="3FDFA4EA" w:rsidR="00F53DE1" w:rsidRPr="00943627" w:rsidRDefault="00F53DE1" w:rsidP="00A853D3">
      <w:pPr>
        <w:pStyle w:val="Heading4"/>
        <w:rPr>
          <w:lang w:val="en-GB"/>
        </w:rPr>
      </w:pPr>
      <w:r w:rsidRPr="00943627">
        <w:rPr>
          <w:lang w:val="en-GB"/>
        </w:rPr>
        <w:t>Safeguarding</w:t>
      </w:r>
      <w:r w:rsidRPr="00787639">
        <w:rPr>
          <w:spacing w:val="-1"/>
          <w:w w:val="107"/>
          <w:lang w:val="en-GB"/>
        </w:rPr>
        <w:t xml:space="preserve"> </w:t>
      </w:r>
      <w:r w:rsidRPr="00943627">
        <w:rPr>
          <w:lang w:val="en-GB"/>
        </w:rPr>
        <w:t>ICH</w:t>
      </w:r>
    </w:p>
    <w:p w14:paraId="749629A8" w14:textId="728B0C5A" w:rsidR="00F53DE1" w:rsidRPr="00787639" w:rsidRDefault="00817F2E" w:rsidP="002D5639">
      <w:pPr>
        <w:pStyle w:val="Texte1"/>
      </w:pPr>
      <w:r w:rsidRPr="00AD244C">
        <w:rPr>
          <w:noProof/>
          <w:lang w:val="fr-FR" w:eastAsia="fr-FR"/>
        </w:rPr>
        <w:drawing>
          <wp:anchor distT="0" distB="0" distL="114300" distR="114300" simplePos="0" relativeHeight="251887104" behindDoc="0" locked="1" layoutInCell="1" allowOverlap="0" wp14:anchorId="2F6D3F0B" wp14:editId="10B1848B">
            <wp:simplePos x="0" y="0"/>
            <wp:positionH relativeFrom="margin">
              <wp:align>left</wp:align>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53DE1" w:rsidRPr="00787639">
        <w:t>People who are not aware of the importance and function of ICH will not recognize the need to safeguard it, the main objective</w:t>
      </w:r>
      <w:r w:rsidR="00F53DE1" w:rsidRPr="00D44CAC">
        <w:t xml:space="preserve"> of the Convention. Awareness-raising can encourage people to safeguard ICH in general terms, and also to take action to safeguard specific elements. ICH is a repository of human creati</w:t>
      </w:r>
      <w:r w:rsidR="00F53DE1" w:rsidRPr="00D90418">
        <w:t xml:space="preserve">vity and knowledge about nature and the functioning of societies. As societies face new challenges as a consequence of </w:t>
      </w:r>
      <w:r w:rsidR="005F2B2F">
        <w:t>challenges</w:t>
      </w:r>
      <w:r w:rsidR="00F53DE1" w:rsidRPr="00D90418">
        <w:t xml:space="preserve"> such as global warming or rapid urbanization, they may need the resources embodied in ICH. Raising awareness</w:t>
      </w:r>
      <w:r w:rsidR="00F53DE1" w:rsidRPr="00787639">
        <w:t xml:space="preserve"> within communities about the value and function of their ICH may promote the enactment and transmission of specific ICH elements.</w:t>
      </w:r>
    </w:p>
    <w:p w14:paraId="3FC90319" w14:textId="77777777" w:rsidR="00F53DE1" w:rsidRPr="00943627" w:rsidRDefault="00F53DE1" w:rsidP="00A853D3">
      <w:pPr>
        <w:pStyle w:val="Heading4"/>
        <w:rPr>
          <w:lang w:val="en-GB"/>
        </w:rPr>
      </w:pPr>
      <w:r w:rsidRPr="00787639">
        <w:rPr>
          <w:spacing w:val="-4"/>
          <w:w w:val="107"/>
          <w:lang w:val="en-GB"/>
        </w:rPr>
        <w:t>F</w:t>
      </w:r>
      <w:r w:rsidRPr="00943627">
        <w:rPr>
          <w:lang w:val="en-GB"/>
        </w:rPr>
        <w:t>ostering mutual</w:t>
      </w:r>
      <w:r w:rsidRPr="00787639">
        <w:rPr>
          <w:spacing w:val="-2"/>
          <w:w w:val="107"/>
          <w:lang w:val="en-GB"/>
        </w:rPr>
        <w:t xml:space="preserve"> r</w:t>
      </w:r>
      <w:r w:rsidRPr="00943627">
        <w:rPr>
          <w:lang w:val="en-GB"/>
        </w:rPr>
        <w:t>espect</w:t>
      </w:r>
    </w:p>
    <w:p w14:paraId="1D88B3AB" w14:textId="333ED5EC" w:rsidR="000A7DE3" w:rsidRPr="00787639" w:rsidRDefault="00F53DE1" w:rsidP="002D5639">
      <w:pPr>
        <w:pStyle w:val="Texte1"/>
      </w:pPr>
      <w:r w:rsidRPr="00787639">
        <w:t>The</w:t>
      </w:r>
      <w:r w:rsidRPr="00D44CAC">
        <w:t xml:space="preserve"> dissemination of information about ICH, and increased appreciation of its value, can help to foster social cohesion an</w:t>
      </w:r>
      <w:r w:rsidRPr="00D90418">
        <w:t>d harmony within communities</w:t>
      </w:r>
      <w:r w:rsidR="00AB5D7F">
        <w:t>.</w:t>
      </w:r>
      <w:r w:rsidRPr="00D90418">
        <w:t xml:space="preserve"> </w:t>
      </w:r>
      <w:r w:rsidR="00AB5D7F">
        <w:t>B</w:t>
      </w:r>
      <w:r w:rsidRPr="00D90418">
        <w:t>y instilling respect for the ICH of other communities and groups</w:t>
      </w:r>
      <w:r w:rsidR="00AB5D7F">
        <w:t xml:space="preserve"> can encourage</w:t>
      </w:r>
      <w:r w:rsidR="003B40C4">
        <w:t xml:space="preserve"> </w:t>
      </w:r>
      <w:r w:rsidRPr="00D90418">
        <w:t xml:space="preserve">mutual respect </w:t>
      </w:r>
      <w:r w:rsidR="00AB5D7F">
        <w:t xml:space="preserve">and peaceful coexistence </w:t>
      </w:r>
      <w:r w:rsidRPr="00D90418">
        <w:t xml:space="preserve">between </w:t>
      </w:r>
      <w:proofErr w:type="gramStart"/>
      <w:r w:rsidRPr="00D90418">
        <w:t>them.</w:t>
      </w:r>
      <w:proofErr w:type="gramEnd"/>
      <w:r w:rsidRPr="00D90418">
        <w:t xml:space="preserve"> Between groups and communities (even within the same country) there can be sign</w:t>
      </w:r>
      <w:r w:rsidRPr="00787639">
        <w:t>ificant differences in values and aspirations, rooted in different cultural and historical experiences and expressed through their ICH. The Convention is not only concerned with celebrating this cultural diversity, but also with trying to reduce conflict. This is not always an easy task, especially where communities and groups come into conflict because of their different values and aspirations or, for example, in contexts of food scarcity or migration.</w:t>
      </w:r>
    </w:p>
    <w:p w14:paraId="20617BF1" w14:textId="5A7024EB" w:rsidR="00F53DE1" w:rsidRPr="00943627" w:rsidRDefault="008A3BB7" w:rsidP="00C82E38">
      <w:pPr>
        <w:pStyle w:val="Titcoul"/>
        <w:rPr>
          <w:lang w:val="en-GB"/>
        </w:rPr>
      </w:pPr>
      <w:bookmarkStart w:id="5" w:name="_Toc241229681"/>
      <w:bookmarkStart w:id="6" w:name="_Toc241229885"/>
      <w:bookmarkStart w:id="7" w:name="_Toc242165579"/>
      <w:r w:rsidRPr="00943627">
        <w:rPr>
          <w:lang w:val="en-GB"/>
        </w:rPr>
        <w:t>5</w:t>
      </w:r>
      <w:r w:rsidR="00F53DE1" w:rsidRPr="00943627">
        <w:rPr>
          <w:lang w:val="en-GB"/>
        </w:rPr>
        <w:t>.2</w:t>
      </w:r>
      <w:r w:rsidR="00933B41" w:rsidRPr="00787639">
        <w:rPr>
          <w:spacing w:val="6"/>
          <w:w w:val="107"/>
          <w:lang w:val="en-GB"/>
        </w:rPr>
        <w:tab/>
      </w:r>
      <w:r w:rsidR="00F53DE1" w:rsidRPr="00943627">
        <w:rPr>
          <w:lang w:val="en-GB"/>
        </w:rPr>
        <w:t>AWARENESS</w:t>
      </w:r>
      <w:r w:rsidR="00F53DE1" w:rsidRPr="00787639">
        <w:rPr>
          <w:spacing w:val="6"/>
          <w:w w:val="107"/>
          <w:lang w:val="en-GB"/>
        </w:rPr>
        <w:t xml:space="preserve"> </w:t>
      </w:r>
      <w:r w:rsidR="00F53DE1" w:rsidRPr="00943627">
        <w:rPr>
          <w:lang w:val="en-GB"/>
        </w:rPr>
        <w:t>ABOUT</w:t>
      </w:r>
      <w:r w:rsidR="00F53DE1" w:rsidRPr="00787639">
        <w:rPr>
          <w:spacing w:val="6"/>
          <w:w w:val="107"/>
          <w:lang w:val="en-GB"/>
        </w:rPr>
        <w:t xml:space="preserve"> </w:t>
      </w:r>
      <w:r w:rsidR="00F53DE1" w:rsidRPr="00943627">
        <w:rPr>
          <w:lang w:val="en-GB"/>
        </w:rPr>
        <w:t>W</w:t>
      </w:r>
      <w:r w:rsidR="00F53DE1" w:rsidRPr="00787639">
        <w:rPr>
          <w:spacing w:val="2"/>
          <w:w w:val="107"/>
          <w:lang w:val="en-GB"/>
        </w:rPr>
        <w:t>H</w:t>
      </w:r>
      <w:r w:rsidR="00F53DE1" w:rsidRPr="00943627">
        <w:rPr>
          <w:lang w:val="en-GB"/>
        </w:rPr>
        <w:t>AT?</w:t>
      </w:r>
      <w:bookmarkEnd w:id="5"/>
      <w:bookmarkEnd w:id="6"/>
      <w:bookmarkEnd w:id="7"/>
    </w:p>
    <w:p w14:paraId="56DC97B4" w14:textId="0CA19967" w:rsidR="00F53DE1" w:rsidRPr="00D90418" w:rsidRDefault="00F53DE1" w:rsidP="002D5639">
      <w:pPr>
        <w:pStyle w:val="Texte1"/>
      </w:pPr>
      <w:r w:rsidRPr="00787639">
        <w:t>Key</w:t>
      </w:r>
      <w:r w:rsidRPr="00D44CAC">
        <w:t xml:space="preserve"> </w:t>
      </w:r>
      <w:r w:rsidR="0052640A">
        <w:t>stakeholders</w:t>
      </w:r>
      <w:r w:rsidR="0052640A" w:rsidRPr="00D44CAC">
        <w:t xml:space="preserve"> </w:t>
      </w:r>
      <w:r w:rsidRPr="00D44CAC">
        <w:t>and decision-makers de</w:t>
      </w:r>
      <w:r w:rsidRPr="00C47438">
        <w:t>aling with heritage issues or development policies, as well as the public at large, should be informed not only about the widespread existence and diversity of ICH, and its function and value, but also about threats and risks to its viability, the need for</w:t>
      </w:r>
      <w:r w:rsidRPr="00D90418">
        <w:t xml:space="preserve"> its safeguarding and the actions proposed (or already taken) for its safeguarding. All stakeholders should be aware of the roles of communities, groups and individuals in creating, enacting and transmitting their ICH.</w:t>
      </w:r>
    </w:p>
    <w:p w14:paraId="67B4B559" w14:textId="2E86AFA7" w:rsidR="00F53DE1" w:rsidRPr="00D90418" w:rsidRDefault="00674581" w:rsidP="002D5639">
      <w:pPr>
        <w:pStyle w:val="Texte1"/>
      </w:pPr>
      <w:r w:rsidRPr="00AD244C">
        <w:rPr>
          <w:noProof/>
          <w:lang w:val="fr-FR" w:eastAsia="fr-FR"/>
        </w:rPr>
        <w:drawing>
          <wp:anchor distT="0" distB="0" distL="114300" distR="114300" simplePos="0" relativeHeight="251889152" behindDoc="0" locked="1" layoutInCell="1" allowOverlap="0" wp14:anchorId="312F3A35" wp14:editId="05367515">
            <wp:simplePos x="0" y="0"/>
            <wp:positionH relativeFrom="margin">
              <wp:align>left</wp:align>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53DE1" w:rsidRPr="00787639">
        <w:t xml:space="preserve">All stakeholders should be informed about the Convention and about the instruments it </w:t>
      </w:r>
      <w:r w:rsidR="00F53DE1" w:rsidRPr="00D44CAC">
        <w:t xml:space="preserve">makes available to recognize, make visible and safeguard ICH. They should also be informed of the correct implementation of the Convention, including the need to mainstream safeguarding and ICH-related </w:t>
      </w:r>
      <w:r w:rsidR="00F53DE1" w:rsidRPr="00D90418">
        <w:t>considerations in general planning strategies.</w:t>
      </w:r>
    </w:p>
    <w:p w14:paraId="1A9DF2D2" w14:textId="4AF2C946" w:rsidR="00F53DE1" w:rsidRPr="00943627" w:rsidRDefault="008A3BB7" w:rsidP="00C82E38">
      <w:pPr>
        <w:pStyle w:val="Titcoul"/>
        <w:rPr>
          <w:lang w:val="en-GB"/>
        </w:rPr>
      </w:pPr>
      <w:bookmarkStart w:id="8" w:name="_Toc241229682"/>
      <w:bookmarkStart w:id="9" w:name="_Toc241229886"/>
      <w:bookmarkStart w:id="10" w:name="_Toc242165580"/>
      <w:r w:rsidRPr="00943627">
        <w:rPr>
          <w:lang w:val="en-GB"/>
        </w:rPr>
        <w:t>5</w:t>
      </w:r>
      <w:r w:rsidR="00F53DE1" w:rsidRPr="00943627">
        <w:rPr>
          <w:lang w:val="en-GB"/>
        </w:rPr>
        <w:t>.3</w:t>
      </w:r>
      <w:r w:rsidR="003408F2" w:rsidRPr="00943627">
        <w:rPr>
          <w:lang w:val="en-GB"/>
        </w:rPr>
        <w:tab/>
      </w:r>
      <w:r w:rsidR="00F53DE1" w:rsidRPr="00787639">
        <w:rPr>
          <w:spacing w:val="-1"/>
          <w:w w:val="108"/>
          <w:lang w:val="en-GB"/>
        </w:rPr>
        <w:t>W</w:t>
      </w:r>
      <w:r w:rsidR="00F53DE1" w:rsidRPr="00D44CAC">
        <w:rPr>
          <w:spacing w:val="-10"/>
          <w:w w:val="108"/>
          <w:lang w:val="en-GB"/>
        </w:rPr>
        <w:t>A</w:t>
      </w:r>
      <w:r w:rsidR="00F53DE1" w:rsidRPr="00943627">
        <w:rPr>
          <w:lang w:val="en-GB"/>
        </w:rPr>
        <w:t>YS</w:t>
      </w:r>
      <w:r w:rsidR="00F53DE1" w:rsidRPr="00787639">
        <w:rPr>
          <w:spacing w:val="-1"/>
          <w:w w:val="108"/>
          <w:lang w:val="en-GB"/>
        </w:rPr>
        <w:t xml:space="preserve"> </w:t>
      </w:r>
      <w:r w:rsidR="00F53DE1" w:rsidRPr="00943627">
        <w:rPr>
          <w:lang w:val="en-GB"/>
        </w:rPr>
        <w:t xml:space="preserve">TO RAISE </w:t>
      </w:r>
      <w:r w:rsidR="00F53DE1" w:rsidRPr="00787639">
        <w:rPr>
          <w:spacing w:val="-2"/>
          <w:w w:val="108"/>
          <w:lang w:val="en-GB"/>
        </w:rPr>
        <w:t>A</w:t>
      </w:r>
      <w:r w:rsidR="00F53DE1" w:rsidRPr="00D44CAC">
        <w:rPr>
          <w:spacing w:val="-1"/>
          <w:w w:val="108"/>
          <w:lang w:val="en-GB"/>
        </w:rPr>
        <w:t>W</w:t>
      </w:r>
      <w:r w:rsidR="00F53DE1" w:rsidRPr="00943627">
        <w:rPr>
          <w:lang w:val="en-GB"/>
        </w:rPr>
        <w:t>ARENESS</w:t>
      </w:r>
      <w:bookmarkEnd w:id="8"/>
      <w:bookmarkEnd w:id="9"/>
      <w:bookmarkEnd w:id="10"/>
    </w:p>
    <w:p w14:paraId="387933D0" w14:textId="77777777" w:rsidR="00F53DE1" w:rsidRPr="00D90418" w:rsidRDefault="00F53DE1" w:rsidP="002D5639">
      <w:pPr>
        <w:pStyle w:val="Texte1"/>
      </w:pPr>
      <w:r w:rsidRPr="00787639">
        <w:t>Different</w:t>
      </w:r>
      <w:r w:rsidRPr="00D44CAC">
        <w:t xml:space="preserve"> methods of raising awareness are needed in different States (and in different contexts within States) because of varying levels of existing awareness about ICH and availab</w:t>
      </w:r>
      <w:r w:rsidRPr="00D90418">
        <w:t>le resources. Appropriate methods of raising awareness should be selected to suit these different circumstances. Possible methods include:</w:t>
      </w:r>
    </w:p>
    <w:p w14:paraId="1CC57E05" w14:textId="2222C697" w:rsidR="00F53DE1" w:rsidRPr="00787639" w:rsidRDefault="00801545" w:rsidP="00AD2211">
      <w:pPr>
        <w:pStyle w:val="Txtpucegras"/>
      </w:pPr>
      <w:r w:rsidRPr="00787639">
        <w:t xml:space="preserve">Developing </w:t>
      </w:r>
      <w:r w:rsidR="00F53DE1" w:rsidRPr="00787639">
        <w:t>ICH-related programmes for radio, television or internet</w:t>
      </w:r>
      <w:r w:rsidR="00F61A93" w:rsidRPr="00787639">
        <w:t xml:space="preserve"> </w:t>
      </w:r>
      <w:r w:rsidR="00F53DE1" w:rsidRPr="00787639">
        <w:t>distribution</w:t>
      </w:r>
      <w:r w:rsidR="00CC4C82" w:rsidRPr="00787639">
        <w:t>.</w:t>
      </w:r>
    </w:p>
    <w:p w14:paraId="5F8035EB" w14:textId="6CEC87CE" w:rsidR="00F53DE1" w:rsidRPr="00787639" w:rsidRDefault="00801545" w:rsidP="00952DBE">
      <w:pPr>
        <w:pStyle w:val="Txtpucegras"/>
      </w:pPr>
      <w:r w:rsidRPr="00787639">
        <w:t xml:space="preserve">Developing </w:t>
      </w:r>
      <w:r w:rsidR="00F53DE1" w:rsidRPr="00787639">
        <w:t>ICH-related educational programmes</w:t>
      </w:r>
      <w:r w:rsidR="00CC4C82" w:rsidRPr="00787639">
        <w:t>.</w:t>
      </w:r>
    </w:p>
    <w:p w14:paraId="54A169BD" w14:textId="57E73C81" w:rsidR="00F53DE1" w:rsidRPr="00787639" w:rsidRDefault="00801545">
      <w:pPr>
        <w:pStyle w:val="Txtpucegras"/>
      </w:pPr>
      <w:r w:rsidRPr="00787639">
        <w:t xml:space="preserve">Establishing </w:t>
      </w:r>
      <w:r w:rsidR="00F53DE1" w:rsidRPr="00787639">
        <w:t>networks, meetings and seminars for targeted groups</w:t>
      </w:r>
      <w:r w:rsidR="00CC4C82" w:rsidRPr="00787639">
        <w:t>.</w:t>
      </w:r>
    </w:p>
    <w:p w14:paraId="4F624AAE" w14:textId="3E6C6735" w:rsidR="00F53DE1" w:rsidRPr="00787639" w:rsidRDefault="00CC4C82">
      <w:pPr>
        <w:pStyle w:val="Txtpucegras"/>
      </w:pPr>
      <w:r w:rsidRPr="00787639">
        <w:t xml:space="preserve">Lobbying </w:t>
      </w:r>
      <w:r w:rsidR="00F53DE1" w:rsidRPr="00787639">
        <w:t>decision-makers</w:t>
      </w:r>
      <w:r w:rsidRPr="00787639">
        <w:t>.</w:t>
      </w:r>
    </w:p>
    <w:p w14:paraId="08D7D8F2" w14:textId="7AC4C131" w:rsidR="00F53DE1" w:rsidRPr="00D75EE5" w:rsidRDefault="00D75EE5">
      <w:pPr>
        <w:pStyle w:val="Txtpucegras"/>
      </w:pPr>
      <w:r>
        <w:t>Presenting</w:t>
      </w:r>
      <w:r w:rsidRPr="00D75EE5">
        <w:t xml:space="preserve"> </w:t>
      </w:r>
      <w:r w:rsidR="00F53DE1" w:rsidRPr="00D75EE5">
        <w:t>ICH-related festivals and events</w:t>
      </w:r>
      <w:r w:rsidR="00CC4C82" w:rsidRPr="00D75EE5">
        <w:t>.</w:t>
      </w:r>
    </w:p>
    <w:p w14:paraId="5BAA6652" w14:textId="7CA268D5" w:rsidR="00F53DE1" w:rsidRPr="00787639" w:rsidRDefault="00CC4C82">
      <w:pPr>
        <w:pStyle w:val="Txtpucegras"/>
      </w:pPr>
      <w:r w:rsidRPr="00787639">
        <w:t xml:space="preserve">Developing </w:t>
      </w:r>
      <w:r w:rsidR="00F53DE1" w:rsidRPr="00787639">
        <w:t>ICH-related commercial activities such as tourism</w:t>
      </w:r>
      <w:r w:rsidRPr="00787639">
        <w:t>.</w:t>
      </w:r>
    </w:p>
    <w:p w14:paraId="332450A6" w14:textId="7C637253" w:rsidR="00F53DE1" w:rsidRPr="00787639" w:rsidRDefault="00CC4C82">
      <w:pPr>
        <w:pStyle w:val="Txtpucegras"/>
      </w:pPr>
      <w:r w:rsidRPr="00787639">
        <w:t xml:space="preserve">Preparing </w:t>
      </w:r>
      <w:r w:rsidR="00F53DE1" w:rsidRPr="00787639">
        <w:t>inventories of ICH and disseminating information about</w:t>
      </w:r>
      <w:r w:rsidR="00F61A93" w:rsidRPr="00787639">
        <w:t xml:space="preserve"> </w:t>
      </w:r>
      <w:r w:rsidR="00F53DE1" w:rsidRPr="00787639">
        <w:t>inventoried elements</w:t>
      </w:r>
      <w:r w:rsidRPr="00787639">
        <w:t>.</w:t>
      </w:r>
    </w:p>
    <w:p w14:paraId="1336C99F" w14:textId="7EAE67C1" w:rsidR="00F53DE1" w:rsidRPr="00787639" w:rsidRDefault="00CC4C82">
      <w:pPr>
        <w:pStyle w:val="Txtpucegras"/>
      </w:pPr>
      <w:r w:rsidRPr="00787639">
        <w:t xml:space="preserve">Nominating </w:t>
      </w:r>
      <w:r w:rsidR="00F53DE1" w:rsidRPr="00787639">
        <w:t xml:space="preserve">ICH elements to the Lists of the Convention, and </w:t>
      </w:r>
      <w:r w:rsidR="00FB7D08">
        <w:t xml:space="preserve">best </w:t>
      </w:r>
      <w:r w:rsidR="00F53DE1" w:rsidRPr="00787639">
        <w:t>safeguarding</w:t>
      </w:r>
      <w:r w:rsidR="00F61A93" w:rsidRPr="00787639">
        <w:t xml:space="preserve"> </w:t>
      </w:r>
      <w:r w:rsidR="00F53DE1" w:rsidRPr="00787639">
        <w:t>practices to the Register of the Convention</w:t>
      </w:r>
      <w:r w:rsidRPr="00787639">
        <w:t>.</w:t>
      </w:r>
    </w:p>
    <w:p w14:paraId="37E1A005" w14:textId="67F2A6DE" w:rsidR="00F53DE1" w:rsidRPr="00D44CAC" w:rsidRDefault="003408F2">
      <w:pPr>
        <w:pStyle w:val="Txtpucegras"/>
      </w:pPr>
      <w:r w:rsidRPr="00AD244C">
        <w:rPr>
          <w:noProof/>
          <w:lang w:val="fr-FR" w:eastAsia="fr-FR"/>
        </w:rPr>
        <w:drawing>
          <wp:anchor distT="0" distB="0" distL="114300" distR="114300" simplePos="0" relativeHeight="251684352" behindDoc="0" locked="0" layoutInCell="1" allowOverlap="0" wp14:anchorId="07074EAE" wp14:editId="15365D08">
            <wp:simplePos x="0" y="0"/>
            <wp:positionH relativeFrom="margin">
              <wp:align>left</wp:align>
            </wp:positionH>
            <wp:positionV relativeFrom="paragraph">
              <wp:posOffset>180340</wp:posOffset>
            </wp:positionV>
            <wp:extent cx="283695" cy="358970"/>
            <wp:effectExtent l="0" t="0" r="2540" b="3175"/>
            <wp:wrapThrough wrapText="bothSides">
              <wp:wrapPolygon edited="0">
                <wp:start x="0" y="0"/>
                <wp:lineTo x="0" y="20644"/>
                <wp:lineTo x="20341" y="20644"/>
                <wp:lineTo x="20341"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CC4C82" w:rsidRPr="00787639">
        <w:t xml:space="preserve">Developing </w:t>
      </w:r>
      <w:r w:rsidR="00F53DE1" w:rsidRPr="00D44CAC">
        <w:t>and publicizing ICH policies.</w:t>
      </w:r>
    </w:p>
    <w:p w14:paraId="65C4AFB0" w14:textId="000D6C18" w:rsidR="00F53DE1" w:rsidRPr="00D75EE5" w:rsidRDefault="00E13B6A" w:rsidP="00616CEB">
      <w:pPr>
        <w:pStyle w:val="Informations"/>
        <w:spacing w:before="120"/>
        <w:rPr>
          <w:rFonts w:ascii="Myriad Pro" w:hAnsi="Myriad Pro"/>
          <w:color w:val="231F20"/>
          <w:position w:val="1"/>
          <w:sz w:val="22"/>
          <w:szCs w:val="22"/>
        </w:rPr>
      </w:pPr>
      <w:r w:rsidRPr="00D90418">
        <w:t>C</w:t>
      </w:r>
      <w:r w:rsidR="00F53DE1" w:rsidRPr="00D75EE5">
        <w:t>ase studies</w:t>
      </w:r>
      <w:r w:rsidR="00281474">
        <w:t> </w:t>
      </w:r>
      <w:r w:rsidR="00F53DE1" w:rsidRPr="00D75EE5">
        <w:t>2–5, give examples of</w:t>
      </w:r>
      <w:r w:rsidR="00F61A93" w:rsidRPr="00D75EE5">
        <w:t xml:space="preserve"> </w:t>
      </w:r>
      <w:r w:rsidR="00F53DE1" w:rsidRPr="00D75EE5">
        <w:t>different ways of raising awareness about ICH</w:t>
      </w:r>
      <w:r w:rsidR="00F53DE1" w:rsidRPr="00D75EE5">
        <w:rPr>
          <w:rFonts w:ascii="Myriad Pro" w:hAnsi="Myriad Pro"/>
          <w:color w:val="231F20"/>
          <w:sz w:val="22"/>
          <w:szCs w:val="22"/>
        </w:rPr>
        <w:t>.</w:t>
      </w:r>
    </w:p>
    <w:p w14:paraId="4594E4E7" w14:textId="7915E280" w:rsidR="00F53DE1" w:rsidRPr="00943627" w:rsidRDefault="008A3BB7" w:rsidP="00C82E38">
      <w:pPr>
        <w:pStyle w:val="Titcoul"/>
        <w:rPr>
          <w:lang w:val="en-GB"/>
        </w:rPr>
      </w:pPr>
      <w:bookmarkStart w:id="11" w:name="_Toc241229683"/>
      <w:bookmarkStart w:id="12" w:name="_Toc241229887"/>
      <w:bookmarkStart w:id="13" w:name="_Toc242165581"/>
      <w:r w:rsidRPr="00943627">
        <w:rPr>
          <w:lang w:val="en-GB"/>
        </w:rPr>
        <w:t>5</w:t>
      </w:r>
      <w:r w:rsidR="00F53DE1" w:rsidRPr="00943627">
        <w:rPr>
          <w:lang w:val="en-GB"/>
        </w:rPr>
        <w:t>.4</w:t>
      </w:r>
      <w:r w:rsidR="00933B41" w:rsidRPr="00787639">
        <w:rPr>
          <w:spacing w:val="4"/>
          <w:w w:val="107"/>
          <w:lang w:val="en-GB"/>
        </w:rPr>
        <w:tab/>
      </w:r>
      <w:r w:rsidR="00F53DE1" w:rsidRPr="00D44CAC">
        <w:rPr>
          <w:spacing w:val="2"/>
          <w:w w:val="107"/>
          <w:lang w:val="en-GB"/>
        </w:rPr>
        <w:t>WH</w:t>
      </w:r>
      <w:r w:rsidR="00F53DE1" w:rsidRPr="00943627">
        <w:rPr>
          <w:lang w:val="en-GB"/>
        </w:rPr>
        <w:t>O</w:t>
      </w:r>
      <w:r w:rsidR="00F53DE1" w:rsidRPr="00787639">
        <w:rPr>
          <w:spacing w:val="4"/>
          <w:w w:val="107"/>
          <w:lang w:val="en-GB"/>
        </w:rPr>
        <w:t xml:space="preserve"> R</w:t>
      </w:r>
      <w:r w:rsidR="00F53DE1" w:rsidRPr="00D44CAC">
        <w:rPr>
          <w:spacing w:val="2"/>
          <w:w w:val="107"/>
          <w:lang w:val="en-GB"/>
        </w:rPr>
        <w:t>AISE</w:t>
      </w:r>
      <w:r w:rsidR="00F53DE1" w:rsidRPr="00943627">
        <w:rPr>
          <w:lang w:val="en-GB"/>
        </w:rPr>
        <w:t>S</w:t>
      </w:r>
      <w:r w:rsidR="00F53DE1" w:rsidRPr="00787639">
        <w:rPr>
          <w:spacing w:val="4"/>
          <w:w w:val="107"/>
          <w:lang w:val="en-GB"/>
        </w:rPr>
        <w:t xml:space="preserve"> </w:t>
      </w:r>
      <w:r w:rsidR="00F53DE1" w:rsidRPr="00D44CAC">
        <w:rPr>
          <w:spacing w:val="2"/>
          <w:w w:val="107"/>
          <w:lang w:val="en-GB"/>
        </w:rPr>
        <w:t>WH</w:t>
      </w:r>
      <w:r w:rsidR="00F53DE1" w:rsidRPr="00943627">
        <w:rPr>
          <w:lang w:val="en-GB"/>
        </w:rPr>
        <w:t>OS</w:t>
      </w:r>
      <w:r w:rsidR="00F53DE1" w:rsidRPr="00787639">
        <w:rPr>
          <w:spacing w:val="1"/>
          <w:w w:val="107"/>
          <w:lang w:val="en-GB"/>
        </w:rPr>
        <w:t>E</w:t>
      </w:r>
      <w:r w:rsidR="00F53DE1" w:rsidRPr="00943627">
        <w:rPr>
          <w:lang w:val="en-GB"/>
        </w:rPr>
        <w:t xml:space="preserve"> AWARENES</w:t>
      </w:r>
      <w:r w:rsidR="00F53DE1" w:rsidRPr="00787639">
        <w:rPr>
          <w:spacing w:val="1"/>
          <w:w w:val="107"/>
          <w:lang w:val="en-GB"/>
        </w:rPr>
        <w:t>S</w:t>
      </w:r>
      <w:r w:rsidR="00F53DE1" w:rsidRPr="00943627">
        <w:rPr>
          <w:lang w:val="en-GB"/>
        </w:rPr>
        <w:t>?</w:t>
      </w:r>
      <w:bookmarkEnd w:id="11"/>
      <w:bookmarkEnd w:id="12"/>
      <w:bookmarkEnd w:id="13"/>
    </w:p>
    <w:p w14:paraId="7C1E5652" w14:textId="67E0C8C3" w:rsidR="00F53DE1" w:rsidRPr="00D75EE5" w:rsidRDefault="00F53DE1" w:rsidP="002D5639">
      <w:pPr>
        <w:pStyle w:val="Texte1"/>
      </w:pPr>
      <w:r w:rsidRPr="00787639">
        <w:t>The</w:t>
      </w:r>
      <w:r w:rsidRPr="00D44CAC">
        <w:t xml:space="preserve"> Committee (</w:t>
      </w:r>
      <w:r w:rsidRPr="00640548">
        <w:t>ODs</w:t>
      </w:r>
      <w:r w:rsidR="0076664F">
        <w:t> </w:t>
      </w:r>
      <w:r w:rsidRPr="00640548">
        <w:t>118–123</w:t>
      </w:r>
      <w:r w:rsidRPr="00D44CAC">
        <w:t>) and States Parties (Articles</w:t>
      </w:r>
      <w:r w:rsidR="0043687D">
        <w:t> </w:t>
      </w:r>
      <w:r w:rsidRPr="00D44CAC">
        <w:t xml:space="preserve">13–14; </w:t>
      </w:r>
      <w:r w:rsidRPr="00640548">
        <w:t>ODs</w:t>
      </w:r>
      <w:r w:rsidR="0076664F">
        <w:t> </w:t>
      </w:r>
      <w:r w:rsidRPr="00640548">
        <w:t>100 and 103–106</w:t>
      </w:r>
      <w:r w:rsidRPr="00D44CAC">
        <w:t xml:space="preserve">) take on specific responsibilities for ensuring that awareness is raised about ICH. In </w:t>
      </w:r>
      <w:r w:rsidR="00DD01F3" w:rsidRPr="00D90418">
        <w:t>Ar</w:t>
      </w:r>
      <w:r w:rsidR="00DD01F3" w:rsidRPr="00D75EE5">
        <w:t>ticle </w:t>
      </w:r>
      <w:r w:rsidRPr="00D75EE5">
        <w:t>13 and 14, for example, States Parties are encouraged to ensure the promotion and recognition of, respect for and enhancement of the ICH in their territories, through policies and through educational, awareness-raising and information programmes.</w:t>
      </w:r>
    </w:p>
    <w:p w14:paraId="32E270EA" w14:textId="77777777" w:rsidR="00F53DE1" w:rsidRPr="00787639" w:rsidRDefault="00F53DE1" w:rsidP="002D5639">
      <w:pPr>
        <w:pStyle w:val="Texte1"/>
      </w:pPr>
      <w:r w:rsidRPr="00787639">
        <w:t>Other stakeholders, organizations and groups of different types are also encouraged to raise awareness and may be given specific tasks by the State Party. These include establishing contacts with:</w:t>
      </w:r>
    </w:p>
    <w:p w14:paraId="341294DB" w14:textId="77777777" w:rsidR="00F53DE1" w:rsidRPr="00787639" w:rsidRDefault="00F53DE1" w:rsidP="002D5639">
      <w:pPr>
        <w:pStyle w:val="Enutiret"/>
      </w:pPr>
      <w:r w:rsidRPr="00787639">
        <w:t>the media;</w:t>
      </w:r>
    </w:p>
    <w:p w14:paraId="47E552DA" w14:textId="77777777" w:rsidR="00F53DE1" w:rsidRPr="00787639" w:rsidRDefault="00F53DE1" w:rsidP="002D5639">
      <w:pPr>
        <w:pStyle w:val="Enutiret"/>
      </w:pPr>
      <w:r w:rsidRPr="00787639">
        <w:t>educational institutions;</w:t>
      </w:r>
    </w:p>
    <w:p w14:paraId="43A83F00" w14:textId="77777777" w:rsidR="00F53DE1" w:rsidRPr="00787639" w:rsidRDefault="00F53DE1" w:rsidP="002D5639">
      <w:pPr>
        <w:pStyle w:val="Enutiret"/>
      </w:pPr>
      <w:r w:rsidRPr="00787639">
        <w:t>centres of expertise, research and documentation, museums, etc.;</w:t>
      </w:r>
    </w:p>
    <w:p w14:paraId="2885B99E" w14:textId="3582C4B8" w:rsidR="00F53DE1" w:rsidRPr="00787639" w:rsidRDefault="00F53DE1" w:rsidP="002D5639">
      <w:pPr>
        <w:pStyle w:val="Enutiret"/>
      </w:pPr>
      <w:r w:rsidRPr="00787639">
        <w:t>NGOs, community-based organizations, etc.; and</w:t>
      </w:r>
    </w:p>
    <w:p w14:paraId="2D2EBB57" w14:textId="77777777" w:rsidR="00F53DE1" w:rsidRPr="00787639" w:rsidRDefault="00F53DE1" w:rsidP="002D5639">
      <w:pPr>
        <w:pStyle w:val="Enutiret"/>
      </w:pPr>
      <w:proofErr w:type="gramStart"/>
      <w:r w:rsidRPr="00787639">
        <w:t>the</w:t>
      </w:r>
      <w:proofErr w:type="gramEnd"/>
      <w:r w:rsidRPr="00787639">
        <w:t xml:space="preserve"> communities, groups and individuals concerned.</w:t>
      </w:r>
    </w:p>
    <w:p w14:paraId="598774CE" w14:textId="7BA29588" w:rsidR="005358EF" w:rsidRPr="00787639" w:rsidRDefault="00F53DE1" w:rsidP="002D5639">
      <w:pPr>
        <w:pStyle w:val="Texte1"/>
      </w:pPr>
      <w:r w:rsidRPr="00787639">
        <w:t>Awareness-raising can be directed either at the general public or at specific target groups, including the communities concerned (</w:t>
      </w:r>
      <w:r w:rsidRPr="00640548">
        <w:t>OD</w:t>
      </w:r>
      <w:r w:rsidR="003122F5" w:rsidRPr="00640548">
        <w:t> </w:t>
      </w:r>
      <w:r w:rsidRPr="00640548">
        <w:t>81</w:t>
      </w:r>
      <w:r w:rsidRPr="00787639">
        <w:t>), State officials at various levels of government, researchers, young people and so on.</w:t>
      </w:r>
    </w:p>
    <w:p w14:paraId="5C7DF6EC" w14:textId="46F69F8E" w:rsidR="005358EF" w:rsidRPr="00943627" w:rsidRDefault="008A3BB7" w:rsidP="00C82E38">
      <w:pPr>
        <w:pStyle w:val="Titcoul"/>
        <w:rPr>
          <w:lang w:val="en-GB"/>
        </w:rPr>
      </w:pPr>
      <w:bookmarkStart w:id="14" w:name="_Toc242165582"/>
      <w:r w:rsidRPr="00943627">
        <w:rPr>
          <w:lang w:val="en-GB"/>
        </w:rPr>
        <w:t>5</w:t>
      </w:r>
      <w:r w:rsidR="005358EF" w:rsidRPr="00943627">
        <w:rPr>
          <w:lang w:val="en-GB"/>
        </w:rPr>
        <w:t>.5</w:t>
      </w:r>
      <w:r w:rsidR="005358EF" w:rsidRPr="00943627">
        <w:rPr>
          <w:w w:val="107"/>
          <w:lang w:val="en-GB"/>
        </w:rPr>
        <w:tab/>
        <w:t>ROLE OF THE COMMITTEE</w:t>
      </w:r>
      <w:bookmarkEnd w:id="14"/>
    </w:p>
    <w:p w14:paraId="651B0B25" w14:textId="5E1E5411" w:rsidR="005358EF" w:rsidRPr="00787639" w:rsidRDefault="005358EF" w:rsidP="002D5639">
      <w:pPr>
        <w:pStyle w:val="Texte1"/>
      </w:pPr>
      <w:r w:rsidRPr="00787639">
        <w:t>I</w:t>
      </w:r>
      <w:r w:rsidRPr="00D44CAC">
        <w:t>nformed by Articles</w:t>
      </w:r>
      <w:r w:rsidR="0043687D">
        <w:t> </w:t>
      </w:r>
      <w:r w:rsidRPr="00D44CAC">
        <w:t>16 and 18.3 of the Convention,</w:t>
      </w:r>
      <w:r w:rsidR="00D75EE5">
        <w:t xml:space="preserve"> </w:t>
      </w:r>
      <w:r w:rsidRPr="00D44CAC">
        <w:t>the Operational Directives (</w:t>
      </w:r>
      <w:r w:rsidRPr="00374E65">
        <w:t>ODs</w:t>
      </w:r>
      <w:r w:rsidR="00A21F18" w:rsidRPr="00374E65">
        <w:t> </w:t>
      </w:r>
      <w:r w:rsidRPr="00374E65">
        <w:t>118 and 123</w:t>
      </w:r>
      <w:r w:rsidRPr="00D44CAC">
        <w:t xml:space="preserve">) specifically require the Intergovernmental </w:t>
      </w:r>
      <w:r w:rsidRPr="00D90418">
        <w:t xml:space="preserve">Committee to ensure that information about ICH inscribed on the Lists and </w:t>
      </w:r>
      <w:r w:rsidR="0091606D">
        <w:t>project inscribed on the register of Best S</w:t>
      </w:r>
      <w:r w:rsidRPr="00D90418">
        <w:t xml:space="preserve">afeguarding </w:t>
      </w:r>
      <w:r w:rsidR="0091606D">
        <w:t>P</w:t>
      </w:r>
      <w:r w:rsidRPr="00D90418">
        <w:t xml:space="preserve">ractices inscribed on the Register of the Convention is made widely available for awareness-raising activities. The main reason for the existence </w:t>
      </w:r>
      <w:r w:rsidRPr="00787639">
        <w:t>of the Representative List of the Convention is to raise awareness about ICH and to give visibility to it.</w:t>
      </w:r>
    </w:p>
    <w:p w14:paraId="5FD14EF1" w14:textId="4C8BFF72" w:rsidR="00F53DE1" w:rsidRPr="00787639" w:rsidRDefault="00F53DE1" w:rsidP="002D5639">
      <w:pPr>
        <w:pStyle w:val="Texte1"/>
      </w:pPr>
      <w:r w:rsidRPr="00787639">
        <w:t xml:space="preserve">The Secretariat is tasked to assist the Committee in awareness-raising both by acting as a clearing-house for information and by providing opportunities for information exchange between other parties. All elements inscribed on the Lists of the Convention and the practices inscribed on the Register are thus presented on the </w:t>
      </w:r>
      <w:r w:rsidR="003B40C4">
        <w:t xml:space="preserve">ICH </w:t>
      </w:r>
      <w:r w:rsidRPr="00787639">
        <w:t>website and also in print publications.</w:t>
      </w:r>
    </w:p>
    <w:p w14:paraId="7BCE4C7D" w14:textId="644987AB" w:rsidR="00F53DE1" w:rsidRPr="00787639" w:rsidRDefault="00F53DE1" w:rsidP="002D5639">
      <w:pPr>
        <w:pStyle w:val="Texte1"/>
      </w:pPr>
      <w:r w:rsidRPr="00787639">
        <w:t xml:space="preserve">The </w:t>
      </w:r>
      <w:r w:rsidR="003B40C4">
        <w:t xml:space="preserve">ICH </w:t>
      </w:r>
      <w:r w:rsidRPr="00787639">
        <w:t xml:space="preserve">website and printed materials prepared by the Secretariat provide useful resources for awareness-raising by other </w:t>
      </w:r>
      <w:r w:rsidR="0091606D">
        <w:t>stakeholders</w:t>
      </w:r>
      <w:r w:rsidRPr="00787639">
        <w:t>, including schools, museums, universities</w:t>
      </w:r>
      <w:r w:rsidR="000B48C6">
        <w:t>,</w:t>
      </w:r>
      <w:r w:rsidRPr="00787639">
        <w:t xml:space="preserve"> research institutions,</w:t>
      </w:r>
      <w:r w:rsidR="000B48C6">
        <w:t xml:space="preserve"> NGOs</w:t>
      </w:r>
      <w:r w:rsidRPr="00787639">
        <w:t xml:space="preserve"> and the media.</w:t>
      </w:r>
    </w:p>
    <w:p w14:paraId="3459488E" w14:textId="7E53E2D9" w:rsidR="00F53DE1" w:rsidRPr="00943627" w:rsidRDefault="008A3BB7" w:rsidP="00C82E38">
      <w:pPr>
        <w:pStyle w:val="Titcoul"/>
        <w:rPr>
          <w:lang w:val="en-GB"/>
        </w:rPr>
      </w:pPr>
      <w:bookmarkStart w:id="15" w:name="_Toc241229685"/>
      <w:bookmarkStart w:id="16" w:name="_Toc241229889"/>
      <w:bookmarkStart w:id="17" w:name="_Toc242165583"/>
      <w:r w:rsidRPr="00943627">
        <w:rPr>
          <w:lang w:val="en-GB"/>
        </w:rPr>
        <w:t>5</w:t>
      </w:r>
      <w:r w:rsidR="00F53DE1" w:rsidRPr="00943627">
        <w:rPr>
          <w:lang w:val="en-GB"/>
        </w:rPr>
        <w:t>.6</w:t>
      </w:r>
      <w:r w:rsidR="00933B41" w:rsidRPr="00943627">
        <w:rPr>
          <w:spacing w:val="3"/>
          <w:w w:val="108"/>
          <w:lang w:val="en-GB"/>
        </w:rPr>
        <w:tab/>
      </w:r>
      <w:r w:rsidR="00F53DE1" w:rsidRPr="00943627">
        <w:rPr>
          <w:lang w:val="en-GB"/>
        </w:rPr>
        <w:t>R</w:t>
      </w:r>
      <w:r w:rsidR="00F53DE1" w:rsidRPr="00943627">
        <w:rPr>
          <w:spacing w:val="1"/>
          <w:w w:val="108"/>
          <w:lang w:val="en-GB"/>
        </w:rPr>
        <w:t>OL</w:t>
      </w:r>
      <w:r w:rsidR="00F53DE1" w:rsidRPr="00943627">
        <w:rPr>
          <w:lang w:val="en-GB"/>
        </w:rPr>
        <w:t>E</w:t>
      </w:r>
      <w:r w:rsidR="00F53DE1" w:rsidRPr="00943627">
        <w:rPr>
          <w:spacing w:val="3"/>
          <w:w w:val="108"/>
          <w:lang w:val="en-GB"/>
        </w:rPr>
        <w:t xml:space="preserve"> </w:t>
      </w:r>
      <w:r w:rsidR="00F53DE1" w:rsidRPr="00943627">
        <w:rPr>
          <w:spacing w:val="1"/>
          <w:w w:val="108"/>
          <w:lang w:val="en-GB"/>
        </w:rPr>
        <w:t>O</w:t>
      </w:r>
      <w:r w:rsidR="00F53DE1" w:rsidRPr="00943627">
        <w:rPr>
          <w:lang w:val="en-GB"/>
        </w:rPr>
        <w:t>F</w:t>
      </w:r>
      <w:r w:rsidR="00F53DE1" w:rsidRPr="00943627">
        <w:rPr>
          <w:spacing w:val="3"/>
          <w:w w:val="108"/>
          <w:lang w:val="en-GB"/>
        </w:rPr>
        <w:t xml:space="preserve"> </w:t>
      </w:r>
      <w:r w:rsidR="00F53DE1" w:rsidRPr="00943627">
        <w:rPr>
          <w:spacing w:val="2"/>
          <w:w w:val="108"/>
          <w:lang w:val="en-GB"/>
        </w:rPr>
        <w:t>S</w:t>
      </w:r>
      <w:r w:rsidR="00F53DE1" w:rsidRPr="00943627">
        <w:rPr>
          <w:lang w:val="en-GB"/>
        </w:rPr>
        <w:t>TA</w:t>
      </w:r>
      <w:r w:rsidR="00F53DE1" w:rsidRPr="00943627">
        <w:rPr>
          <w:spacing w:val="2"/>
          <w:w w:val="108"/>
          <w:lang w:val="en-GB"/>
        </w:rPr>
        <w:t>TE</w:t>
      </w:r>
      <w:r w:rsidR="00F53DE1" w:rsidRPr="00943627">
        <w:rPr>
          <w:lang w:val="en-GB"/>
        </w:rPr>
        <w:t>S</w:t>
      </w:r>
      <w:r w:rsidR="00F53DE1" w:rsidRPr="00943627">
        <w:rPr>
          <w:spacing w:val="2"/>
          <w:w w:val="108"/>
          <w:lang w:val="en-GB"/>
        </w:rPr>
        <w:t xml:space="preserve"> </w:t>
      </w:r>
      <w:r w:rsidR="00F53DE1" w:rsidRPr="00943627">
        <w:rPr>
          <w:lang w:val="en-GB"/>
        </w:rPr>
        <w:t>P</w:t>
      </w:r>
      <w:r w:rsidR="00F53DE1" w:rsidRPr="00943627">
        <w:rPr>
          <w:spacing w:val="2"/>
          <w:w w:val="108"/>
          <w:lang w:val="en-GB"/>
        </w:rPr>
        <w:t>ARTIE</w:t>
      </w:r>
      <w:r w:rsidR="00F53DE1" w:rsidRPr="00943627">
        <w:rPr>
          <w:lang w:val="en-GB"/>
        </w:rPr>
        <w:t>S</w:t>
      </w:r>
      <w:bookmarkEnd w:id="15"/>
      <w:bookmarkEnd w:id="16"/>
      <w:bookmarkEnd w:id="17"/>
    </w:p>
    <w:p w14:paraId="60412DDA" w14:textId="6FB549F2" w:rsidR="00F53DE1" w:rsidRPr="00D75EE5" w:rsidRDefault="00F53DE1" w:rsidP="002D5639">
      <w:pPr>
        <w:pStyle w:val="Texte1"/>
      </w:pPr>
      <w:r w:rsidRPr="00787639">
        <w:t>States</w:t>
      </w:r>
      <w:r w:rsidRPr="00D44CAC">
        <w:t xml:space="preserve"> Parties are asked to raise awaren</w:t>
      </w:r>
      <w:r w:rsidRPr="00C47438">
        <w:t>ess about the importance of ICH, the dangers threatening it and the role of various actors in safeguarding it under the Convention (Articles</w:t>
      </w:r>
      <w:r w:rsidR="0043687D">
        <w:t> </w:t>
      </w:r>
      <w:r w:rsidRPr="00C47438">
        <w:t xml:space="preserve">1 and 14; </w:t>
      </w:r>
      <w:r w:rsidRPr="00374E65">
        <w:t>ODs</w:t>
      </w:r>
      <w:r w:rsidR="0043687D" w:rsidRPr="00374E65">
        <w:t> </w:t>
      </w:r>
      <w:r w:rsidRPr="00374E65">
        <w:t>100–107</w:t>
      </w:r>
      <w:r w:rsidRPr="00C47438">
        <w:t>). States Parties must report about their activities regarding awareness-raising in their peri</w:t>
      </w:r>
      <w:r w:rsidRPr="00D90418">
        <w:t>odic reports to the Committee (</w:t>
      </w:r>
      <w:r w:rsidR="00DD01F3" w:rsidRPr="00D75EE5">
        <w:t>Article </w:t>
      </w:r>
      <w:r w:rsidRPr="00D75EE5">
        <w:t>29).</w:t>
      </w:r>
    </w:p>
    <w:p w14:paraId="3F88DBDD" w14:textId="5024CBD1" w:rsidR="00F53DE1" w:rsidRPr="00787639" w:rsidRDefault="00F53DE1" w:rsidP="002D5639">
      <w:pPr>
        <w:pStyle w:val="Texte1"/>
      </w:pPr>
      <w:r w:rsidRPr="00787639">
        <w:t xml:space="preserve">A high level of awareness is required among civil servants who are responsible for the implementation of the Convention. For example, ministerial officials who have been mainly working on tangible heritage may need to </w:t>
      </w:r>
      <w:r w:rsidR="00D64514">
        <w:t>learn more</w:t>
      </w:r>
      <w:r w:rsidRPr="00787639">
        <w:t xml:space="preserve"> about ICH and the opportunities offered, and obligations imposed by the Convention. Officials in other ministries such as education, health and agriculture may also find it useful to learn about the possible roles of ICH in the harmonious and sustainable development of the communities concerned.</w:t>
      </w:r>
    </w:p>
    <w:p w14:paraId="006774B2" w14:textId="2EABEAFE" w:rsidR="00F53DE1" w:rsidRPr="00D90418" w:rsidRDefault="00621FCA" w:rsidP="002D5639">
      <w:pPr>
        <w:pStyle w:val="Informations"/>
      </w:pPr>
      <w:r w:rsidRPr="00AD244C">
        <w:rPr>
          <w:noProof/>
          <w:lang w:val="fr-FR" w:eastAsia="fr-FR"/>
        </w:rPr>
        <w:drawing>
          <wp:anchor distT="0" distB="0" distL="114300" distR="114300" simplePos="0" relativeHeight="251686400" behindDoc="0" locked="1" layoutInCell="1" allowOverlap="0" wp14:anchorId="5C8D8EE3" wp14:editId="619BAA6F">
            <wp:simplePos x="0" y="0"/>
            <wp:positionH relativeFrom="margin">
              <wp:align>left</wp:align>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53DE1" w:rsidRPr="00787639">
        <w:t xml:space="preserve">Refer to </w:t>
      </w:r>
      <w:r w:rsidR="00342C9B">
        <w:t>C</w:t>
      </w:r>
      <w:r w:rsidR="00F53DE1" w:rsidRPr="00787639">
        <w:t xml:space="preserve">ase </w:t>
      </w:r>
      <w:r w:rsidR="00CC4C82" w:rsidRPr="00D44CAC">
        <w:t>study </w:t>
      </w:r>
      <w:r w:rsidR="00F53DE1" w:rsidRPr="00C47438">
        <w:t>3, for an example of State involvement in awareness raising, describing the Colombian Government’s nationwide campaign to alert communities, civil society, scie</w:t>
      </w:r>
      <w:r w:rsidR="00F53DE1" w:rsidRPr="00D90418">
        <w:t>ntific institutions and State agencies about the importance of safeguarding Colombia’s intangible heritage.</w:t>
      </w:r>
    </w:p>
    <w:p w14:paraId="5ADC886E" w14:textId="77777777" w:rsidR="000F0E2D" w:rsidRPr="00943627" w:rsidRDefault="000F0E2D">
      <w:pPr>
        <w:tabs>
          <w:tab w:val="clear" w:pos="567"/>
        </w:tabs>
        <w:snapToGrid/>
        <w:spacing w:line="240" w:lineRule="auto"/>
        <w:ind w:left="0"/>
        <w:jc w:val="left"/>
        <w:rPr>
          <w:rFonts w:ascii="Arial Gras" w:hAnsi="Arial Gras" w:hint="eastAsia"/>
          <w:b/>
          <w:bCs/>
          <w:caps/>
          <w:snapToGrid w:val="0"/>
          <w:color w:val="3366FF"/>
          <w:sz w:val="24"/>
          <w:szCs w:val="24"/>
          <w:lang w:val="en-GB"/>
        </w:rPr>
      </w:pPr>
      <w:bookmarkStart w:id="18" w:name="_Toc241229686"/>
      <w:bookmarkStart w:id="19" w:name="_Toc241229890"/>
      <w:bookmarkStart w:id="20" w:name="_Toc242165584"/>
      <w:r w:rsidRPr="00943627">
        <w:rPr>
          <w:lang w:val="en-GB"/>
        </w:rPr>
        <w:br w:type="page"/>
      </w:r>
    </w:p>
    <w:p w14:paraId="1BF4881D" w14:textId="5D0E96EB" w:rsidR="00F53DE1" w:rsidRPr="00943627" w:rsidRDefault="008A3BB7">
      <w:pPr>
        <w:pStyle w:val="Titcoul"/>
        <w:rPr>
          <w:spacing w:val="2"/>
          <w:w w:val="107"/>
          <w:lang w:val="en-GB"/>
        </w:rPr>
      </w:pPr>
      <w:r w:rsidRPr="00943627">
        <w:rPr>
          <w:lang w:val="en-GB"/>
        </w:rPr>
        <w:t>5</w:t>
      </w:r>
      <w:r w:rsidR="00F53DE1" w:rsidRPr="00943627">
        <w:rPr>
          <w:lang w:val="en-GB"/>
        </w:rPr>
        <w:t>.7</w:t>
      </w:r>
      <w:r w:rsidR="00DE6482" w:rsidRPr="00943627">
        <w:rPr>
          <w:spacing w:val="2"/>
          <w:w w:val="107"/>
          <w:lang w:val="en-GB"/>
        </w:rPr>
        <w:tab/>
      </w:r>
      <w:r w:rsidR="00F53DE1" w:rsidRPr="00943627">
        <w:rPr>
          <w:spacing w:val="2"/>
          <w:w w:val="107"/>
          <w:lang w:val="en-GB"/>
        </w:rPr>
        <w:t>R</w:t>
      </w:r>
      <w:r w:rsidR="00F53DE1" w:rsidRPr="00943627">
        <w:rPr>
          <w:lang w:val="en-GB"/>
        </w:rPr>
        <w:t>OL</w:t>
      </w:r>
      <w:r w:rsidR="00F53DE1" w:rsidRPr="00943627">
        <w:rPr>
          <w:spacing w:val="1"/>
          <w:w w:val="107"/>
          <w:lang w:val="en-GB"/>
        </w:rPr>
        <w:t>E</w:t>
      </w:r>
      <w:r w:rsidR="00F53DE1" w:rsidRPr="00943627">
        <w:rPr>
          <w:spacing w:val="2"/>
          <w:w w:val="107"/>
          <w:lang w:val="en-GB"/>
        </w:rPr>
        <w:t xml:space="preserve"> </w:t>
      </w:r>
      <w:r w:rsidR="00F53DE1" w:rsidRPr="00943627">
        <w:rPr>
          <w:lang w:val="en-GB"/>
        </w:rPr>
        <w:t>O</w:t>
      </w:r>
      <w:r w:rsidR="00F53DE1" w:rsidRPr="00943627">
        <w:rPr>
          <w:spacing w:val="1"/>
          <w:w w:val="107"/>
          <w:lang w:val="en-GB"/>
        </w:rPr>
        <w:t xml:space="preserve">F </w:t>
      </w:r>
      <w:r w:rsidR="00F53DE1" w:rsidRPr="00943627">
        <w:rPr>
          <w:lang w:val="en-GB"/>
        </w:rPr>
        <w:t>TH</w:t>
      </w:r>
      <w:r w:rsidR="00F53DE1" w:rsidRPr="00943627">
        <w:rPr>
          <w:spacing w:val="2"/>
          <w:w w:val="107"/>
          <w:lang w:val="en-GB"/>
        </w:rPr>
        <w:t>E</w:t>
      </w:r>
      <w:r w:rsidR="00F53DE1" w:rsidRPr="00943627">
        <w:rPr>
          <w:spacing w:val="1"/>
          <w:w w:val="107"/>
          <w:lang w:val="en-GB"/>
        </w:rPr>
        <w:t xml:space="preserve"> </w:t>
      </w:r>
      <w:r w:rsidR="00F53DE1" w:rsidRPr="00943627">
        <w:rPr>
          <w:spacing w:val="4"/>
          <w:w w:val="107"/>
          <w:lang w:val="en-GB"/>
        </w:rPr>
        <w:t>MEDI</w:t>
      </w:r>
      <w:r w:rsidR="00F53DE1" w:rsidRPr="00943627">
        <w:rPr>
          <w:lang w:val="en-GB"/>
        </w:rPr>
        <w:t>A</w:t>
      </w:r>
      <w:bookmarkEnd w:id="18"/>
      <w:bookmarkEnd w:id="19"/>
      <w:bookmarkEnd w:id="20"/>
    </w:p>
    <w:p w14:paraId="0F1683E7" w14:textId="2E31D270" w:rsidR="00F53DE1" w:rsidRPr="00D44CAC" w:rsidRDefault="00621FCA" w:rsidP="008B4139">
      <w:pPr>
        <w:pStyle w:val="Texte1"/>
        <w:keepNext/>
      </w:pPr>
      <w:r w:rsidRPr="00AD244C">
        <w:rPr>
          <w:noProof/>
          <w:lang w:val="fr-FR" w:eastAsia="fr-FR"/>
        </w:rPr>
        <w:drawing>
          <wp:anchor distT="0" distB="0" distL="114300" distR="114300" simplePos="0" relativeHeight="251891200" behindDoc="0" locked="1" layoutInCell="1" allowOverlap="0" wp14:anchorId="44AFE554" wp14:editId="2BE65CCF">
            <wp:simplePos x="0" y="0"/>
            <wp:positionH relativeFrom="margin">
              <wp:align>left</wp:align>
            </wp:positionH>
            <wp:positionV relativeFrom="paragraph">
              <wp:posOffset>107950</wp:posOffset>
            </wp:positionV>
            <wp:extent cx="283210" cy="358775"/>
            <wp:effectExtent l="0" t="0" r="2540" b="3175"/>
            <wp:wrapThrough wrapText="bothSides">
              <wp:wrapPolygon edited="0">
                <wp:start x="0" y="0"/>
                <wp:lineTo x="0" y="20644"/>
                <wp:lineTo x="20341" y="20644"/>
                <wp:lineTo x="20341" y="0"/>
                <wp:lineTo x="0" y="0"/>
              </wp:wrapPolygon>
            </wp:wrapThrough>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53DE1" w:rsidRPr="00787639">
        <w:t xml:space="preserve">The media can play an important role in raising awareness about ICH at the national level, with or without State support </w:t>
      </w:r>
      <w:r w:rsidR="00F53DE1" w:rsidRPr="00D44CAC">
        <w:t>(</w:t>
      </w:r>
      <w:r w:rsidR="00F53DE1" w:rsidRPr="005554B5">
        <w:t>ODs</w:t>
      </w:r>
      <w:r w:rsidR="0043687D" w:rsidRPr="005554B5">
        <w:t> </w:t>
      </w:r>
      <w:r w:rsidR="00F53DE1" w:rsidRPr="005554B5">
        <w:t>110–115</w:t>
      </w:r>
      <w:r w:rsidR="00F53DE1" w:rsidRPr="00D44CAC">
        <w:t>). Before media campaigns and programmes can be developed, however, it may be necessary to raise the awareness of journalists and editors about ICH.</w:t>
      </w:r>
    </w:p>
    <w:p w14:paraId="6DCEDBBA" w14:textId="4862E209" w:rsidR="00F53DE1" w:rsidRPr="00787639" w:rsidRDefault="00F53DE1" w:rsidP="002D5639">
      <w:pPr>
        <w:pStyle w:val="Texte1"/>
      </w:pPr>
      <w:r w:rsidRPr="00D90418">
        <w:t>In promoting awareness, the media should highlig</w:t>
      </w:r>
      <w:r w:rsidRPr="00D75EE5">
        <w:t xml:space="preserve">ht the role of ICH in fostering ‘social cohesion, sustainable development and prevention of </w:t>
      </w:r>
      <w:proofErr w:type="gramStart"/>
      <w:r w:rsidRPr="00D75EE5">
        <w:t>conflict’,</w:t>
      </w:r>
      <w:proofErr w:type="gramEnd"/>
      <w:r w:rsidRPr="00D75EE5">
        <w:t xml:space="preserve"> in addition to any aesthetic or entertainment value it may have (</w:t>
      </w:r>
      <w:r w:rsidRPr="001716B4">
        <w:t>OD</w:t>
      </w:r>
      <w:r w:rsidR="0043687D" w:rsidRPr="001716B4">
        <w:t> </w:t>
      </w:r>
      <w:r w:rsidRPr="001716B4">
        <w:t>111</w:t>
      </w:r>
      <w:r w:rsidRPr="00D75EE5">
        <w:t xml:space="preserve">). The media can provide information about ICH, but can also create platforms for </w:t>
      </w:r>
      <w:r w:rsidRPr="00787639">
        <w:t>people to share information with each other at the national or local level.</w:t>
      </w:r>
    </w:p>
    <w:p w14:paraId="33D07238" w14:textId="14865AD3" w:rsidR="00F53DE1" w:rsidRPr="00787639" w:rsidRDefault="00F53DE1" w:rsidP="002D5639">
      <w:pPr>
        <w:pStyle w:val="Texte1"/>
      </w:pPr>
      <w:r w:rsidRPr="00787639">
        <w:t>Campaigns and educational programmes could be developed not only for the benefit of the general public (e.g. using national television, newspapers</w:t>
      </w:r>
      <w:r w:rsidR="007B7453">
        <w:t>,</w:t>
      </w:r>
      <w:r w:rsidRPr="00787639">
        <w:t xml:space="preserve"> radio</w:t>
      </w:r>
      <w:r w:rsidR="007B7453">
        <w:t xml:space="preserve"> or the internet</w:t>
      </w:r>
      <w:r w:rsidRPr="00787639">
        <w:t>), but also for smaller target audiences (e.g. using community radio or local broadcasting channels).</w:t>
      </w:r>
    </w:p>
    <w:p w14:paraId="5EBAADBA" w14:textId="026E75DB" w:rsidR="00F53DE1" w:rsidRPr="00787639" w:rsidRDefault="00AB74ED" w:rsidP="002D5639">
      <w:pPr>
        <w:pStyle w:val="Informations"/>
      </w:pPr>
      <w:r w:rsidRPr="00AD244C">
        <w:rPr>
          <w:noProof/>
          <w:lang w:val="fr-FR" w:eastAsia="fr-FR"/>
        </w:rPr>
        <w:drawing>
          <wp:anchor distT="0" distB="0" distL="114300" distR="114300" simplePos="0" relativeHeight="251688448" behindDoc="0" locked="1" layoutInCell="1" allowOverlap="0" wp14:anchorId="76109DBA" wp14:editId="3F834E09">
            <wp:simplePos x="0" y="0"/>
            <wp:positionH relativeFrom="margin">
              <wp:align>left</wp:align>
            </wp:positionH>
            <wp:positionV relativeFrom="paragraph">
              <wp:posOffset>-71755</wp:posOffset>
            </wp:positionV>
            <wp:extent cx="282575" cy="357505"/>
            <wp:effectExtent l="0" t="0" r="3175" b="4445"/>
            <wp:wrapThrough wrapText="bothSides">
              <wp:wrapPolygon edited="0">
                <wp:start x="0" y="0"/>
                <wp:lineTo x="0" y="20718"/>
                <wp:lineTo x="20387" y="20718"/>
                <wp:lineTo x="20387"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00F53DE1" w:rsidRPr="00787639">
        <w:t>Refer to</w:t>
      </w:r>
      <w:r w:rsidR="00F53DE1" w:rsidRPr="00D44CAC">
        <w:rPr>
          <w:spacing w:val="-5"/>
        </w:rPr>
        <w:t xml:space="preserve"> </w:t>
      </w:r>
      <w:r w:rsidR="002D2067">
        <w:rPr>
          <w:spacing w:val="-2"/>
        </w:rPr>
        <w:t>C</w:t>
      </w:r>
      <w:r w:rsidR="00F53DE1" w:rsidRPr="00D75EE5">
        <w:t>ase</w:t>
      </w:r>
      <w:r w:rsidR="00F53DE1" w:rsidRPr="00EF5BCA">
        <w:rPr>
          <w:spacing w:val="-5"/>
        </w:rPr>
        <w:t xml:space="preserve"> </w:t>
      </w:r>
      <w:r w:rsidR="00F53DE1" w:rsidRPr="00787639">
        <w:t>studies</w:t>
      </w:r>
      <w:r w:rsidR="002D2067">
        <w:rPr>
          <w:spacing w:val="-5"/>
        </w:rPr>
        <w:t> </w:t>
      </w:r>
      <w:r w:rsidR="00F53DE1" w:rsidRPr="00787639">
        <w:t>2–4,</w:t>
      </w:r>
      <w:r w:rsidR="00F53DE1" w:rsidRPr="00787639">
        <w:rPr>
          <w:spacing w:val="-5"/>
        </w:rPr>
        <w:t xml:space="preserve"> </w:t>
      </w:r>
      <w:r w:rsidR="00F53DE1" w:rsidRPr="00787639">
        <w:t>for</w:t>
      </w:r>
      <w:r w:rsidR="00F53DE1" w:rsidRPr="00787639">
        <w:rPr>
          <w:spacing w:val="-4"/>
        </w:rPr>
        <w:t xml:space="preserve"> </w:t>
      </w:r>
      <w:r w:rsidR="00F53DE1" w:rsidRPr="00787639">
        <w:t>e</w:t>
      </w:r>
      <w:r w:rsidR="00F53DE1" w:rsidRPr="00787639">
        <w:rPr>
          <w:spacing w:val="-2"/>
        </w:rPr>
        <w:t>x</w:t>
      </w:r>
      <w:r w:rsidR="00F53DE1" w:rsidRPr="00787639">
        <w:t>amples</w:t>
      </w:r>
      <w:r w:rsidR="00F53DE1" w:rsidRPr="00787639">
        <w:rPr>
          <w:spacing w:val="-5"/>
        </w:rPr>
        <w:t xml:space="preserve"> </w:t>
      </w:r>
      <w:r w:rsidR="00F53DE1" w:rsidRPr="00787639">
        <w:t>of</w:t>
      </w:r>
      <w:r w:rsidR="00F53DE1" w:rsidRPr="00787639">
        <w:rPr>
          <w:spacing w:val="-6"/>
        </w:rPr>
        <w:t xml:space="preserve"> </w:t>
      </w:r>
      <w:r w:rsidR="00F53DE1" w:rsidRPr="00787639">
        <w:t>media use</w:t>
      </w:r>
      <w:r w:rsidR="00F53DE1" w:rsidRPr="00787639">
        <w:rPr>
          <w:spacing w:val="8"/>
        </w:rPr>
        <w:t xml:space="preserve"> </w:t>
      </w:r>
      <w:r w:rsidR="00F53DE1" w:rsidRPr="00787639">
        <w:t>in</w:t>
      </w:r>
      <w:r w:rsidR="00F53DE1" w:rsidRPr="00787639">
        <w:rPr>
          <w:spacing w:val="7"/>
        </w:rPr>
        <w:t xml:space="preserve"> </w:t>
      </w:r>
      <w:r w:rsidR="00F53DE1" w:rsidRPr="00787639">
        <w:t>awareness-raising</w:t>
      </w:r>
      <w:r w:rsidR="00E53670" w:rsidRPr="00787639">
        <w:t>.</w:t>
      </w:r>
    </w:p>
    <w:p w14:paraId="3AA79B2D" w14:textId="7AB183D1" w:rsidR="00F53DE1" w:rsidRPr="00787639" w:rsidRDefault="008A3BB7" w:rsidP="00C82E38">
      <w:pPr>
        <w:pStyle w:val="Titcoul"/>
        <w:rPr>
          <w:spacing w:val="5"/>
          <w:w w:val="107"/>
          <w:lang w:val="en-GB"/>
        </w:rPr>
      </w:pPr>
      <w:bookmarkStart w:id="21" w:name="_Toc241229687"/>
      <w:bookmarkStart w:id="22" w:name="_Toc241229891"/>
      <w:bookmarkStart w:id="23" w:name="_Toc242165585"/>
      <w:r w:rsidRPr="00943627">
        <w:rPr>
          <w:lang w:val="en-GB"/>
        </w:rPr>
        <w:t>5</w:t>
      </w:r>
      <w:r w:rsidR="00F53DE1" w:rsidRPr="00943627">
        <w:rPr>
          <w:lang w:val="en-GB"/>
        </w:rPr>
        <w:t>.8</w:t>
      </w:r>
      <w:r w:rsidR="00F53DE1" w:rsidRPr="00787639">
        <w:rPr>
          <w:spacing w:val="5"/>
          <w:w w:val="107"/>
          <w:lang w:val="en-GB"/>
        </w:rPr>
        <w:t xml:space="preserve"> </w:t>
      </w:r>
      <w:r w:rsidR="00933B41" w:rsidRPr="00D44CAC">
        <w:rPr>
          <w:spacing w:val="5"/>
          <w:w w:val="107"/>
          <w:lang w:val="en-GB"/>
        </w:rPr>
        <w:tab/>
      </w:r>
      <w:r w:rsidR="00F53DE1" w:rsidRPr="00D90418">
        <w:rPr>
          <w:spacing w:val="2"/>
          <w:w w:val="107"/>
          <w:lang w:val="en-GB"/>
        </w:rPr>
        <w:t>R</w:t>
      </w:r>
      <w:r w:rsidR="00F53DE1" w:rsidRPr="00D75EE5">
        <w:rPr>
          <w:spacing w:val="3"/>
          <w:w w:val="107"/>
          <w:lang w:val="en-GB"/>
        </w:rPr>
        <w:t>OL</w:t>
      </w:r>
      <w:r w:rsidR="00F53DE1" w:rsidRPr="00EF5BCA">
        <w:rPr>
          <w:spacing w:val="1"/>
          <w:w w:val="107"/>
          <w:lang w:val="en-GB"/>
        </w:rPr>
        <w:t>E</w:t>
      </w:r>
      <w:r w:rsidR="00F53DE1" w:rsidRPr="00787639">
        <w:rPr>
          <w:rFonts w:hint="eastAsia"/>
          <w:spacing w:val="5"/>
          <w:w w:val="107"/>
          <w:lang w:val="en-GB"/>
        </w:rPr>
        <w:t xml:space="preserve"> </w:t>
      </w:r>
      <w:r w:rsidR="00F53DE1" w:rsidRPr="00787639">
        <w:rPr>
          <w:rFonts w:hint="eastAsia"/>
          <w:spacing w:val="3"/>
          <w:w w:val="107"/>
          <w:lang w:val="en-GB"/>
        </w:rPr>
        <w:t>O</w:t>
      </w:r>
      <w:r w:rsidR="00F53DE1" w:rsidRPr="00787639">
        <w:rPr>
          <w:rFonts w:hint="eastAsia"/>
          <w:spacing w:val="1"/>
          <w:w w:val="107"/>
          <w:lang w:val="en-GB"/>
        </w:rPr>
        <w:t>F</w:t>
      </w:r>
      <w:r w:rsidR="00F53DE1" w:rsidRPr="00943627">
        <w:rPr>
          <w:lang w:val="en-GB"/>
        </w:rPr>
        <w:t xml:space="preserve"> </w:t>
      </w:r>
      <w:r w:rsidR="00F53DE1" w:rsidRPr="00787639">
        <w:rPr>
          <w:spacing w:val="3"/>
          <w:w w:val="107"/>
          <w:lang w:val="en-GB"/>
        </w:rPr>
        <w:t>INSTITU</w:t>
      </w:r>
      <w:r w:rsidR="00F53DE1" w:rsidRPr="00943627">
        <w:rPr>
          <w:lang w:val="en-GB"/>
        </w:rPr>
        <w:t>TION</w:t>
      </w:r>
      <w:r w:rsidR="00F53DE1" w:rsidRPr="00787639">
        <w:rPr>
          <w:spacing w:val="2"/>
          <w:w w:val="107"/>
          <w:lang w:val="en-GB"/>
        </w:rPr>
        <w:t>S</w:t>
      </w:r>
      <w:r w:rsidR="00F53DE1" w:rsidRPr="00D44CAC">
        <w:rPr>
          <w:spacing w:val="5"/>
          <w:w w:val="107"/>
          <w:lang w:val="en-GB"/>
        </w:rPr>
        <w:t xml:space="preserve"> </w:t>
      </w:r>
      <w:r w:rsidR="00F53DE1" w:rsidRPr="00943627">
        <w:rPr>
          <w:lang w:val="en-GB"/>
        </w:rPr>
        <w:t>AN</w:t>
      </w:r>
      <w:r w:rsidR="00F53DE1" w:rsidRPr="00787639">
        <w:rPr>
          <w:spacing w:val="2"/>
          <w:w w:val="107"/>
          <w:lang w:val="en-GB"/>
        </w:rPr>
        <w:t>D</w:t>
      </w:r>
      <w:r w:rsidR="00F53DE1" w:rsidRPr="00943627">
        <w:rPr>
          <w:lang w:val="en-GB"/>
        </w:rPr>
        <w:t xml:space="preserve"> ORGANI</w:t>
      </w:r>
      <w:r w:rsidR="00F53DE1" w:rsidRPr="00787639">
        <w:rPr>
          <w:spacing w:val="6"/>
          <w:w w:val="107"/>
          <w:lang w:val="en-GB"/>
        </w:rPr>
        <w:t>Z</w:t>
      </w:r>
      <w:r w:rsidR="00F53DE1" w:rsidRPr="00943627">
        <w:rPr>
          <w:lang w:val="en-GB"/>
        </w:rPr>
        <w:t>ATIONS</w:t>
      </w:r>
      <w:bookmarkEnd w:id="21"/>
      <w:bookmarkEnd w:id="22"/>
      <w:bookmarkEnd w:id="23"/>
    </w:p>
    <w:p w14:paraId="4AF8E8AF" w14:textId="77777777" w:rsidR="00F53DE1" w:rsidRPr="00D90418" w:rsidRDefault="00F53DE1" w:rsidP="002D5639">
      <w:pPr>
        <w:pStyle w:val="Texte1"/>
      </w:pPr>
      <w:r w:rsidRPr="00D44CAC">
        <w:t>All institutions and organizations that are knowledgeable about ICH and its safeg</w:t>
      </w:r>
      <w:r w:rsidRPr="00D90418">
        <w:t>uarding can play a role in raising awareness about ICH, whatever their relationship with the State or their funding sources. They include:</w:t>
      </w:r>
    </w:p>
    <w:p w14:paraId="4A036B86" w14:textId="77777777" w:rsidR="00F53DE1" w:rsidRPr="00787639" w:rsidRDefault="00F53DE1" w:rsidP="002D5639">
      <w:pPr>
        <w:pStyle w:val="Enutiret"/>
      </w:pPr>
      <w:r w:rsidRPr="00787639">
        <w:t>educational institutions;</w:t>
      </w:r>
    </w:p>
    <w:p w14:paraId="0040C761" w14:textId="77777777" w:rsidR="00F53DE1" w:rsidRPr="00787639" w:rsidRDefault="00F53DE1" w:rsidP="002D5639">
      <w:pPr>
        <w:pStyle w:val="Enutiret"/>
      </w:pPr>
      <w:r w:rsidRPr="00787639">
        <w:t>museums and archives;</w:t>
      </w:r>
    </w:p>
    <w:p w14:paraId="502D8398" w14:textId="77777777" w:rsidR="00F53DE1" w:rsidRPr="00787639" w:rsidRDefault="00F53DE1" w:rsidP="002D5639">
      <w:pPr>
        <w:pStyle w:val="Enutiret"/>
      </w:pPr>
      <w:r w:rsidRPr="00787639">
        <w:t>non-governmental and community-based organizations;</w:t>
      </w:r>
    </w:p>
    <w:p w14:paraId="7D1E3043" w14:textId="77777777" w:rsidR="00F53DE1" w:rsidRPr="00787639" w:rsidRDefault="00F53DE1" w:rsidP="002D5639">
      <w:pPr>
        <w:pStyle w:val="Enutiret"/>
      </w:pPr>
      <w:r w:rsidRPr="00787639">
        <w:t>centres of expertise, research and documentation; and</w:t>
      </w:r>
    </w:p>
    <w:p w14:paraId="0A2E84F6" w14:textId="62ABF241" w:rsidR="00F53DE1" w:rsidRPr="00787639" w:rsidRDefault="00F53DE1" w:rsidP="002D5639">
      <w:pPr>
        <w:pStyle w:val="Enutiret"/>
      </w:pPr>
      <w:proofErr w:type="gramStart"/>
      <w:r w:rsidRPr="00787639">
        <w:t>information</w:t>
      </w:r>
      <w:proofErr w:type="gramEnd"/>
      <w:r w:rsidRPr="00787639">
        <w:t xml:space="preserve"> technology institutions (see </w:t>
      </w:r>
      <w:r w:rsidRPr="0017757E">
        <w:t>ODs</w:t>
      </w:r>
      <w:r w:rsidR="00F575A4" w:rsidRPr="0017757E">
        <w:t> </w:t>
      </w:r>
      <w:r w:rsidRPr="0017757E">
        <w:t>107, 108–109 and 115</w:t>
      </w:r>
      <w:r w:rsidRPr="00787639">
        <w:t>).</w:t>
      </w:r>
    </w:p>
    <w:p w14:paraId="35AF8658" w14:textId="462CE0FD" w:rsidR="00F53DE1" w:rsidRPr="00787639" w:rsidRDefault="00F53DE1" w:rsidP="002D5639">
      <w:pPr>
        <w:pStyle w:val="Texte1"/>
      </w:pPr>
      <w:r w:rsidRPr="00787639">
        <w:t>These institutions can promote a better knowledge and understanding of ICH by using their expertise and collections. Some of them may also promote the role of the Convention and provide information about ICH inscribed on the Lists of the Convention (</w:t>
      </w:r>
      <w:r w:rsidRPr="00F03DA8">
        <w:t>OD</w:t>
      </w:r>
      <w:r w:rsidR="00F575A4" w:rsidRPr="00F03DA8">
        <w:t> </w:t>
      </w:r>
      <w:r w:rsidRPr="00F03DA8">
        <w:t>118</w:t>
      </w:r>
      <w:r w:rsidRPr="00787639">
        <w:t xml:space="preserve">). Like all awareness-raising </w:t>
      </w:r>
      <w:r w:rsidR="00073B89">
        <w:t>actors</w:t>
      </w:r>
      <w:r w:rsidRPr="00787639">
        <w:t>, they should respect customary practices regarding access to the information disseminated. Information technology institutions and the conventional media can help in dissemination processes.</w:t>
      </w:r>
    </w:p>
    <w:p w14:paraId="29C1A18E" w14:textId="77777777" w:rsidR="00F53DE1" w:rsidRPr="00943627" w:rsidRDefault="00F53DE1" w:rsidP="00A853D3">
      <w:pPr>
        <w:pStyle w:val="Heading4"/>
        <w:rPr>
          <w:lang w:val="en-GB"/>
        </w:rPr>
      </w:pPr>
      <w:r w:rsidRPr="00943627">
        <w:rPr>
          <w:lang w:val="en-GB"/>
        </w:rPr>
        <w:t>Awareness</w:t>
      </w:r>
      <w:r w:rsidRPr="00787639">
        <w:rPr>
          <w:spacing w:val="1"/>
          <w:w w:val="106"/>
          <w:lang w:val="en-GB"/>
        </w:rPr>
        <w:t xml:space="preserve"> </w:t>
      </w:r>
      <w:r w:rsidRPr="00943627">
        <w:rPr>
          <w:lang w:val="en-GB"/>
        </w:rPr>
        <w:t>through education</w:t>
      </w:r>
    </w:p>
    <w:p w14:paraId="045F9849" w14:textId="42C02240" w:rsidR="00F53DE1" w:rsidRPr="00D90418" w:rsidRDefault="00F53DE1" w:rsidP="002D5639">
      <w:pPr>
        <w:pStyle w:val="Texte1"/>
      </w:pPr>
      <w:r w:rsidRPr="00787639">
        <w:t>A</w:t>
      </w:r>
      <w:r w:rsidRPr="00D44CAC">
        <w:t>wareness-raising is often achieved through educational programmes in schools and universities, assisted by the State (</w:t>
      </w:r>
      <w:r w:rsidRPr="00F03DA8">
        <w:t>OD</w:t>
      </w:r>
      <w:r w:rsidR="00F575A4" w:rsidRPr="00F03DA8">
        <w:t> </w:t>
      </w:r>
      <w:r w:rsidRPr="00F03DA8">
        <w:t>107</w:t>
      </w:r>
      <w:r w:rsidRPr="00D44CAC">
        <w:t>). The ODs emphasize</w:t>
      </w:r>
      <w:r w:rsidRPr="00D90418">
        <w:t xml:space="preserve"> the importance of experiential learning about ICH through interaction with people, tasks and spaces.</w:t>
      </w:r>
    </w:p>
    <w:p w14:paraId="6261D7DF" w14:textId="1E4F7401" w:rsidR="001435BA" w:rsidRPr="00787639" w:rsidRDefault="00F53DE1" w:rsidP="002D5639">
      <w:pPr>
        <w:pStyle w:val="Texte1"/>
      </w:pPr>
      <w:r w:rsidRPr="00787639">
        <w:t>School curricula around the world increasingly include information about intangible heritage practices in domains such as dance, music, oral traditions and traditional crafts. If all goes well, this kind of intervention can illustrate</w:t>
      </w:r>
      <w:r w:rsidR="001435BA" w:rsidRPr="00787639">
        <w:t xml:space="preserve"> cultural diversity and teach respect for other people and their practices and beliefs. Vocational guidance about ICH-related care</w:t>
      </w:r>
      <w:r w:rsidR="00AF463B">
        <w:t>e</w:t>
      </w:r>
      <w:r w:rsidR="001435BA" w:rsidRPr="00787639">
        <w:t xml:space="preserve">rs, visits to ICH-related projects and places, and practical experience of ICH-related activities can raise awareness </w:t>
      </w:r>
      <w:r w:rsidR="00AF463B" w:rsidRPr="00787639">
        <w:t>among</w:t>
      </w:r>
      <w:r w:rsidR="001435BA" w:rsidRPr="00787639">
        <w:t xml:space="preserve"> young people about its value to society.</w:t>
      </w:r>
    </w:p>
    <w:p w14:paraId="5EA37E6C" w14:textId="77777777" w:rsidR="00F53DE1" w:rsidRPr="00943627" w:rsidRDefault="00F53DE1" w:rsidP="00A853D3">
      <w:pPr>
        <w:pStyle w:val="Heading4"/>
        <w:rPr>
          <w:lang w:val="en-GB"/>
        </w:rPr>
      </w:pPr>
      <w:r w:rsidRPr="00943627">
        <w:rPr>
          <w:lang w:val="en-GB"/>
        </w:rPr>
        <w:t>Awareness-raising</w:t>
      </w:r>
      <w:r w:rsidRPr="00F00A08">
        <w:rPr>
          <w:spacing w:val="8"/>
          <w:w w:val="106"/>
          <w:lang w:val="en-GB"/>
        </w:rPr>
        <w:t xml:space="preserve"> </w:t>
      </w:r>
      <w:r w:rsidRPr="00943627">
        <w:rPr>
          <w:lang w:val="en-GB"/>
        </w:rPr>
        <w:t>through</w:t>
      </w:r>
      <w:r w:rsidRPr="00F00A08">
        <w:rPr>
          <w:spacing w:val="7"/>
          <w:w w:val="106"/>
          <w:lang w:val="en-GB"/>
        </w:rPr>
        <w:t xml:space="preserve"> </w:t>
      </w:r>
      <w:r w:rsidRPr="00943627">
        <w:rPr>
          <w:lang w:val="en-GB"/>
        </w:rPr>
        <w:t>documentation</w:t>
      </w:r>
    </w:p>
    <w:p w14:paraId="4135CB1A" w14:textId="2D500F14" w:rsidR="00F53DE1" w:rsidRPr="006E76BE" w:rsidRDefault="00F53DE1" w:rsidP="002D5639">
      <w:pPr>
        <w:pStyle w:val="Texte1"/>
      </w:pPr>
      <w:r w:rsidRPr="00F00A08">
        <w:t>There should be a link between, on the one hand, information generated through documentation processes and management by ‘research institutes, centres of expertise, museums, archives, libraries, documentation centres and simi</w:t>
      </w:r>
      <w:r w:rsidRPr="00F11F04">
        <w:t>lar entities’ and, on the other hand, raising awareness about ICH and its importance (</w:t>
      </w:r>
      <w:r w:rsidRPr="00F03DA8">
        <w:t>OD</w:t>
      </w:r>
      <w:r w:rsidR="003122F5" w:rsidRPr="00F03DA8">
        <w:t> </w:t>
      </w:r>
      <w:r w:rsidRPr="00F03DA8">
        <w:t>109</w:t>
      </w:r>
      <w:r w:rsidRPr="006E76BE">
        <w:t>). Like schools and universities, these institutions are encouraged to work closely with the communities, groups and individuals concerned to help raise awareness about their ICH.</w:t>
      </w:r>
    </w:p>
    <w:p w14:paraId="47BD846E" w14:textId="29BB1C33" w:rsidR="00F53DE1" w:rsidRPr="00EF5BCA" w:rsidRDefault="00F53DE1" w:rsidP="002D5639">
      <w:pPr>
        <w:pStyle w:val="Texte1"/>
      </w:pPr>
      <w:r w:rsidRPr="001C3DD5">
        <w:t>Community-managed centres and associations can play an important role in raising awareness among the general public about the importance of ICH to their communities (</w:t>
      </w:r>
      <w:r w:rsidRPr="00F03DA8">
        <w:t>OD</w:t>
      </w:r>
      <w:r w:rsidR="003122F5" w:rsidRPr="00F03DA8">
        <w:t> </w:t>
      </w:r>
      <w:r w:rsidRPr="00F03DA8">
        <w:t>108</w:t>
      </w:r>
      <w:r w:rsidRPr="001C3DD5">
        <w:t>).</w:t>
      </w:r>
    </w:p>
    <w:p w14:paraId="4C8E3D96" w14:textId="071AE9A8" w:rsidR="00F53DE1" w:rsidRPr="00787639" w:rsidRDefault="008A3BB7" w:rsidP="00C82E38">
      <w:pPr>
        <w:pStyle w:val="Titcoul"/>
        <w:rPr>
          <w:spacing w:val="2"/>
          <w:w w:val="107"/>
          <w:lang w:val="en-GB"/>
        </w:rPr>
      </w:pPr>
      <w:bookmarkStart w:id="24" w:name="_Toc241229688"/>
      <w:bookmarkStart w:id="25" w:name="_Toc241229892"/>
      <w:bookmarkStart w:id="26" w:name="_Toc242165586"/>
      <w:r w:rsidRPr="00943627">
        <w:rPr>
          <w:lang w:val="en-GB"/>
        </w:rPr>
        <w:t>5</w:t>
      </w:r>
      <w:r w:rsidR="00F53DE1" w:rsidRPr="00943627">
        <w:rPr>
          <w:lang w:val="en-GB"/>
        </w:rPr>
        <w:t>.9</w:t>
      </w:r>
      <w:r w:rsidR="00DE6482" w:rsidRPr="00787639">
        <w:rPr>
          <w:spacing w:val="2"/>
          <w:w w:val="107"/>
          <w:lang w:val="en-GB"/>
        </w:rPr>
        <w:tab/>
      </w:r>
      <w:r w:rsidR="00F53DE1" w:rsidRPr="00D44CAC">
        <w:rPr>
          <w:spacing w:val="2"/>
          <w:w w:val="107"/>
          <w:lang w:val="en-GB"/>
        </w:rPr>
        <w:t>R</w:t>
      </w:r>
      <w:r w:rsidR="00F53DE1" w:rsidRPr="00D90418">
        <w:rPr>
          <w:spacing w:val="3"/>
          <w:w w:val="107"/>
          <w:lang w:val="en-GB"/>
        </w:rPr>
        <w:t>OL</w:t>
      </w:r>
      <w:r w:rsidR="00F53DE1" w:rsidRPr="00EF5BCA">
        <w:rPr>
          <w:spacing w:val="1"/>
          <w:w w:val="107"/>
          <w:lang w:val="en-GB"/>
        </w:rPr>
        <w:t>E</w:t>
      </w:r>
      <w:r w:rsidR="00F53DE1" w:rsidRPr="00EF5BCA">
        <w:rPr>
          <w:spacing w:val="2"/>
          <w:w w:val="107"/>
          <w:lang w:val="en-GB"/>
        </w:rPr>
        <w:t xml:space="preserve"> </w:t>
      </w:r>
      <w:r w:rsidR="00F53DE1" w:rsidRPr="00943627">
        <w:rPr>
          <w:lang w:val="en-GB"/>
        </w:rPr>
        <w:t>O</w:t>
      </w:r>
      <w:r w:rsidR="00F53DE1" w:rsidRPr="00787639">
        <w:rPr>
          <w:spacing w:val="2"/>
          <w:w w:val="107"/>
          <w:lang w:val="en-GB"/>
        </w:rPr>
        <w:t xml:space="preserve">F </w:t>
      </w:r>
      <w:r w:rsidR="00F53DE1" w:rsidRPr="00943627">
        <w:rPr>
          <w:lang w:val="en-GB"/>
        </w:rPr>
        <w:t>COMMUNITIES</w:t>
      </w:r>
      <w:bookmarkEnd w:id="24"/>
      <w:bookmarkEnd w:id="25"/>
      <w:bookmarkEnd w:id="26"/>
    </w:p>
    <w:p w14:paraId="07DD843A" w14:textId="4102EB11" w:rsidR="00F53DE1" w:rsidRPr="00787639" w:rsidRDefault="00F53DE1" w:rsidP="002D5639">
      <w:pPr>
        <w:pStyle w:val="Texte1"/>
      </w:pPr>
      <w:r w:rsidRPr="00D44CAC">
        <w:t>Awareness may have to be raised within communities about the increased opportunities created by the Convention for the recognition and safeguarding of their ICH (</w:t>
      </w:r>
      <w:r w:rsidRPr="002F690E">
        <w:t>OD</w:t>
      </w:r>
      <w:r w:rsidR="003122F5" w:rsidRPr="002F690E">
        <w:t> </w:t>
      </w:r>
      <w:r w:rsidRPr="002F690E">
        <w:t>81</w:t>
      </w:r>
      <w:r w:rsidRPr="00D90418">
        <w:t xml:space="preserve">), especially in the case of communities that had previously been prevented from freely enjoying and practising it. Activities undertaken by community members to raise awareness within their communities about, for instance, </w:t>
      </w:r>
      <w:r w:rsidRPr="00787639">
        <w:t>functions</w:t>
      </w:r>
      <w:r w:rsidR="00615B18">
        <w:t>,</w:t>
      </w:r>
      <w:r w:rsidRPr="00787639">
        <w:t xml:space="preserve"> possible</w:t>
      </w:r>
      <w:r w:rsidR="00615B18">
        <w:t xml:space="preserve"> threats to its viability and</w:t>
      </w:r>
      <w:r w:rsidRPr="00787639">
        <w:t xml:space="preserve"> enhancement of elements of their ICH</w:t>
      </w:r>
      <w:r w:rsidR="00615B18">
        <w:t xml:space="preserve">, </w:t>
      </w:r>
      <w:r w:rsidRPr="00787639">
        <w:t>are vital in assisting safeguarding. Such activities deserve support, if required, from government agencies and other organizations.</w:t>
      </w:r>
    </w:p>
    <w:p w14:paraId="58266BA7" w14:textId="42C662C7" w:rsidR="00F53DE1" w:rsidRPr="00787639" w:rsidRDefault="003163B6" w:rsidP="002D5639">
      <w:pPr>
        <w:pStyle w:val="Texte1"/>
      </w:pPr>
      <w:r w:rsidRPr="00842392">
        <w:rPr>
          <w:noProof/>
          <w:lang w:val="fr-FR" w:eastAsia="fr-FR"/>
        </w:rPr>
        <w:drawing>
          <wp:anchor distT="0" distB="0" distL="114300" distR="114300" simplePos="0" relativeHeight="251690496" behindDoc="0" locked="0" layoutInCell="1" allowOverlap="0" wp14:anchorId="6CF33010" wp14:editId="42544207">
            <wp:simplePos x="0" y="0"/>
            <wp:positionH relativeFrom="margin">
              <wp:align>left</wp:align>
            </wp:positionH>
            <wp:positionV relativeFrom="paragraph">
              <wp:posOffset>664845</wp:posOffset>
            </wp:positionV>
            <wp:extent cx="283210" cy="358775"/>
            <wp:effectExtent l="0" t="0" r="2540" b="3175"/>
            <wp:wrapThrough wrapText="bothSides">
              <wp:wrapPolygon edited="0">
                <wp:start x="0" y="0"/>
                <wp:lineTo x="0" y="20644"/>
                <wp:lineTo x="20341" y="20644"/>
                <wp:lineTo x="20341"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53DE1" w:rsidRPr="00787639">
        <w:t xml:space="preserve">Needless to say, communities are well placed to organize or participate in awareness-raising activities about their ICH. If these activities relate to specific ICH elements of a community or group, the ODs recommend that the communities, groups and individuals concerned </w:t>
      </w:r>
      <w:r w:rsidR="00703008">
        <w:t>are</w:t>
      </w:r>
      <w:r w:rsidR="00F53DE1" w:rsidRPr="00787639">
        <w:t xml:space="preserve"> fully involved, and that they </w:t>
      </w:r>
      <w:r w:rsidR="00703008">
        <w:t>give</w:t>
      </w:r>
      <w:r w:rsidR="00F53DE1" w:rsidRPr="00787639">
        <w:t xml:space="preserve"> their consent (</w:t>
      </w:r>
      <w:r w:rsidR="00F53DE1" w:rsidRPr="002F690E">
        <w:t>OD</w:t>
      </w:r>
      <w:r w:rsidR="00053C2A" w:rsidRPr="002F690E">
        <w:t> </w:t>
      </w:r>
      <w:r w:rsidR="00F53DE1" w:rsidRPr="002F690E">
        <w:t>101</w:t>
      </w:r>
      <w:r w:rsidR="00F53DE1" w:rsidRPr="00787639">
        <w:t>).</w:t>
      </w:r>
    </w:p>
    <w:p w14:paraId="54FCC38D" w14:textId="4FC84395" w:rsidR="001435BA" w:rsidRPr="00787639" w:rsidRDefault="00E13B6A" w:rsidP="002D5639">
      <w:pPr>
        <w:pStyle w:val="Informations"/>
      </w:pPr>
      <w:r w:rsidRPr="00787639">
        <w:t>C</w:t>
      </w:r>
      <w:r w:rsidR="00F53DE1" w:rsidRPr="00D44CAC">
        <w:t>ase study</w:t>
      </w:r>
      <w:r w:rsidR="002D2067">
        <w:t> </w:t>
      </w:r>
      <w:r w:rsidR="00F53DE1" w:rsidRPr="00D44CAC">
        <w:t>4, discusses the ‘Indians as Seen by Indians’ project in Brazil, which shows how communities themselves can raise awareness about their ICH and increase their sense of civic</w:t>
      </w:r>
      <w:r w:rsidR="001435BA" w:rsidRPr="00D90418">
        <w:t xml:space="preserve"> </w:t>
      </w:r>
      <w:r w:rsidR="00F53DE1" w:rsidRPr="00EF5BCA">
        <w:t>pride and identity while challenging discriminatory stereotypes and providing opportunities for the development of marketable skills among</w:t>
      </w:r>
      <w:r w:rsidR="00F00A08">
        <w:t xml:space="preserve"> young people.</w:t>
      </w:r>
    </w:p>
    <w:p w14:paraId="7FE6E8E9" w14:textId="50D59C6B" w:rsidR="00F53DE1" w:rsidRPr="00787639" w:rsidRDefault="00C61BCD" w:rsidP="002D5639">
      <w:pPr>
        <w:pStyle w:val="Informations"/>
      </w:pPr>
      <w:r w:rsidRPr="00787639">
        <w:t>Participant’s</w:t>
      </w:r>
      <w:r w:rsidR="0043687D">
        <w:t> </w:t>
      </w:r>
      <w:r w:rsidRPr="00787639">
        <w:t>text</w:t>
      </w:r>
      <w:r w:rsidR="00F53DE1" w:rsidRPr="00787639">
        <w:t xml:space="preserve"> </w:t>
      </w:r>
      <w:r w:rsidR="0040083C" w:rsidRPr="00787639">
        <w:t>7</w:t>
      </w:r>
      <w:r w:rsidR="00F53DE1" w:rsidRPr="00787639">
        <w:t xml:space="preserve">.5 and </w:t>
      </w:r>
      <w:r w:rsidR="0040083C" w:rsidRPr="00787639">
        <w:t>7</w:t>
      </w:r>
      <w:r w:rsidR="00F53DE1" w:rsidRPr="00787639">
        <w:t>.12 discuss community benefit from and community rights protection in awareness-raising.</w:t>
      </w:r>
    </w:p>
    <w:p w14:paraId="58823A0A" w14:textId="2DDEA74A" w:rsidR="00F53DE1" w:rsidRPr="00943627" w:rsidRDefault="008A3BB7" w:rsidP="00C82E38">
      <w:pPr>
        <w:pStyle w:val="Titcoul"/>
        <w:rPr>
          <w:spacing w:val="2"/>
          <w:w w:val="107"/>
          <w:lang w:val="en-GB"/>
        </w:rPr>
      </w:pPr>
      <w:bookmarkStart w:id="27" w:name="_Toc241229689"/>
      <w:bookmarkStart w:id="28" w:name="_Toc241229893"/>
      <w:bookmarkStart w:id="29" w:name="_Toc242165587"/>
      <w:r w:rsidRPr="00943627">
        <w:rPr>
          <w:lang w:val="en-GB"/>
        </w:rPr>
        <w:t>5</w:t>
      </w:r>
      <w:r w:rsidR="00F53DE1" w:rsidRPr="00943627">
        <w:rPr>
          <w:lang w:val="en-GB"/>
        </w:rPr>
        <w:t>.10</w:t>
      </w:r>
      <w:r w:rsidR="00F53DE1" w:rsidRPr="00943627">
        <w:rPr>
          <w:spacing w:val="2"/>
          <w:w w:val="107"/>
          <w:lang w:val="en-GB"/>
        </w:rPr>
        <w:t xml:space="preserve"> </w:t>
      </w:r>
      <w:r w:rsidR="00933B41" w:rsidRPr="00943627">
        <w:rPr>
          <w:spacing w:val="2"/>
          <w:w w:val="107"/>
          <w:lang w:val="en-GB"/>
        </w:rPr>
        <w:tab/>
      </w:r>
      <w:r w:rsidR="00F53DE1" w:rsidRPr="00943627">
        <w:rPr>
          <w:lang w:val="en-GB"/>
        </w:rPr>
        <w:t>EMBLE</w:t>
      </w:r>
      <w:r w:rsidR="00F53DE1" w:rsidRPr="00943627">
        <w:rPr>
          <w:spacing w:val="1"/>
          <w:w w:val="107"/>
          <w:lang w:val="en-GB"/>
        </w:rPr>
        <w:t xml:space="preserve">M </w:t>
      </w:r>
      <w:r w:rsidR="00F53DE1" w:rsidRPr="00943627">
        <w:rPr>
          <w:lang w:val="en-GB"/>
        </w:rPr>
        <w:t>O</w:t>
      </w:r>
      <w:r w:rsidR="00F53DE1" w:rsidRPr="00943627">
        <w:rPr>
          <w:spacing w:val="1"/>
          <w:w w:val="107"/>
          <w:lang w:val="en-GB"/>
        </w:rPr>
        <w:t xml:space="preserve">F </w:t>
      </w:r>
      <w:r w:rsidR="00F53DE1" w:rsidRPr="00943627">
        <w:rPr>
          <w:lang w:val="en-GB"/>
        </w:rPr>
        <w:t>TH</w:t>
      </w:r>
      <w:r w:rsidR="00F53DE1" w:rsidRPr="00943627">
        <w:rPr>
          <w:spacing w:val="2"/>
          <w:w w:val="107"/>
          <w:lang w:val="en-GB"/>
        </w:rPr>
        <w:t>E</w:t>
      </w:r>
      <w:r w:rsidR="00F53DE1" w:rsidRPr="00943627">
        <w:rPr>
          <w:spacing w:val="1"/>
          <w:w w:val="107"/>
          <w:lang w:val="en-GB"/>
        </w:rPr>
        <w:t xml:space="preserve"> </w:t>
      </w:r>
      <w:r w:rsidR="00F53DE1" w:rsidRPr="00943627">
        <w:rPr>
          <w:lang w:val="en-GB"/>
        </w:rPr>
        <w:t>C</w:t>
      </w:r>
      <w:r w:rsidR="00F53DE1" w:rsidRPr="00943627">
        <w:rPr>
          <w:spacing w:val="4"/>
          <w:w w:val="107"/>
          <w:lang w:val="en-GB"/>
        </w:rPr>
        <w:t>ONVENTIO</w:t>
      </w:r>
      <w:r w:rsidR="00F53DE1" w:rsidRPr="00943627">
        <w:rPr>
          <w:lang w:val="en-GB"/>
        </w:rPr>
        <w:t>N</w:t>
      </w:r>
      <w:bookmarkEnd w:id="27"/>
      <w:bookmarkEnd w:id="28"/>
      <w:bookmarkEnd w:id="29"/>
    </w:p>
    <w:p w14:paraId="16F9742B" w14:textId="4A211056" w:rsidR="00F53DE1" w:rsidRPr="00787639" w:rsidRDefault="00F53DE1" w:rsidP="002D5639">
      <w:pPr>
        <w:pStyle w:val="Texte1"/>
      </w:pPr>
      <w:r w:rsidRPr="00787639">
        <w:t>T</w:t>
      </w:r>
      <w:r w:rsidRPr="00D44CAC">
        <w:t>he emblem of the C</w:t>
      </w:r>
      <w:r w:rsidRPr="00D90418">
        <w:t>onvention is intended to give better visibility to the Convention and can be used in certain awareness-raising campaigns. The emblem should only be used in combination with UNESCO’s logo (</w:t>
      </w:r>
      <w:r w:rsidRPr="007840DD">
        <w:t>OD</w:t>
      </w:r>
      <w:r w:rsidR="00053C2A" w:rsidRPr="007840DD">
        <w:t> </w:t>
      </w:r>
      <w:r w:rsidRPr="007840DD">
        <w:t>125</w:t>
      </w:r>
      <w:r w:rsidRPr="00D90418">
        <w:t>). The use of the two logos is subject t</w:t>
      </w:r>
      <w:r w:rsidRPr="00787639">
        <w:t xml:space="preserve">o rules (see </w:t>
      </w:r>
      <w:r w:rsidRPr="007840DD">
        <w:t>OD</w:t>
      </w:r>
      <w:r w:rsidR="00053C2A" w:rsidRPr="007840DD">
        <w:t> </w:t>
      </w:r>
      <w:r w:rsidRPr="007840DD">
        <w:t>128</w:t>
      </w:r>
      <w:r w:rsidRPr="00787639">
        <w:t>).</w:t>
      </w:r>
    </w:p>
    <w:p w14:paraId="7AEA43A0" w14:textId="51C4835F" w:rsidR="00F53DE1" w:rsidRPr="00787639" w:rsidRDefault="00F53DE1" w:rsidP="002D5639">
      <w:pPr>
        <w:pStyle w:val="Texte1"/>
      </w:pPr>
      <w:r w:rsidRPr="00787639">
        <w:t>Only the Organs of the Convention and its Secretariat have the right to use the emblem without prior authorization. Such authorization may be given to others by the Organs of the Convention and, in specific cases, by the Director General of UNESCO. The use of the emblem may only be authorized by them if the project or manifestation concerned is relevant to the Convention’s purposes and in compliance with its principles (</w:t>
      </w:r>
      <w:r w:rsidRPr="007840DD">
        <w:t>OD</w:t>
      </w:r>
      <w:r w:rsidR="0076664F">
        <w:t> </w:t>
      </w:r>
      <w:r w:rsidRPr="007840DD">
        <w:t>134</w:t>
      </w:r>
      <w:r w:rsidRPr="00787639">
        <w:t xml:space="preserve">). Further criteria and conditions for the use of the emblem are mentioned in </w:t>
      </w:r>
      <w:r w:rsidRPr="007840DD">
        <w:t>ODs 137–139</w:t>
      </w:r>
      <w:r w:rsidRPr="00787639">
        <w:t>.</w:t>
      </w:r>
    </w:p>
    <w:p w14:paraId="08313F33" w14:textId="7CCCF7A9" w:rsidR="00F53DE1" w:rsidRPr="00787639" w:rsidRDefault="00F53DE1" w:rsidP="002D5639">
      <w:pPr>
        <w:pStyle w:val="Texte1"/>
      </w:pPr>
      <w:r w:rsidRPr="00787639">
        <w:t>Authorization for commercial use of the emblem is possible, though only within the context of the activity with which the emblem is associated (</w:t>
      </w:r>
      <w:r w:rsidRPr="00D90F33">
        <w:t>OD</w:t>
      </w:r>
      <w:r w:rsidR="0076664F">
        <w:t> </w:t>
      </w:r>
      <w:r w:rsidRPr="00D90F33">
        <w:t>141</w:t>
      </w:r>
      <w:r w:rsidRPr="00787639">
        <w:t>) and only under a special contractual arrangement (</w:t>
      </w:r>
      <w:r w:rsidRPr="00D90F33">
        <w:t>OD</w:t>
      </w:r>
      <w:r w:rsidR="0076664F">
        <w:t> </w:t>
      </w:r>
      <w:r w:rsidRPr="00D90F33">
        <w:t>142</w:t>
      </w:r>
      <w:r w:rsidRPr="00787639">
        <w:t>).</w:t>
      </w:r>
    </w:p>
    <w:p w14:paraId="6452348F" w14:textId="46A2E27B" w:rsidR="00F53DE1" w:rsidRPr="00943627" w:rsidRDefault="008A3BB7" w:rsidP="00C82E38">
      <w:pPr>
        <w:pStyle w:val="Titcoul"/>
        <w:rPr>
          <w:spacing w:val="3"/>
          <w:w w:val="108"/>
          <w:lang w:val="en-GB"/>
        </w:rPr>
      </w:pPr>
      <w:bookmarkStart w:id="30" w:name="_Toc241229690"/>
      <w:bookmarkStart w:id="31" w:name="_Toc241229894"/>
      <w:bookmarkStart w:id="32" w:name="_Toc242165588"/>
      <w:r w:rsidRPr="00943627">
        <w:rPr>
          <w:lang w:val="en-GB"/>
        </w:rPr>
        <w:t>5</w:t>
      </w:r>
      <w:r w:rsidR="00F53DE1" w:rsidRPr="00943627">
        <w:rPr>
          <w:lang w:val="en-GB"/>
        </w:rPr>
        <w:t>.11</w:t>
      </w:r>
      <w:r w:rsidR="00933B41" w:rsidRPr="00943627">
        <w:rPr>
          <w:spacing w:val="3"/>
          <w:w w:val="108"/>
          <w:lang w:val="en-GB"/>
        </w:rPr>
        <w:tab/>
      </w:r>
      <w:r w:rsidR="00F32FFD">
        <w:rPr>
          <w:lang w:val="en-GB"/>
        </w:rPr>
        <w:t xml:space="preserve">Responsible awareness </w:t>
      </w:r>
      <w:proofErr w:type="gramStart"/>
      <w:r w:rsidR="00F32FFD">
        <w:rPr>
          <w:lang w:val="en-GB"/>
        </w:rPr>
        <w:t>Raising</w:t>
      </w:r>
      <w:bookmarkEnd w:id="30"/>
      <w:bookmarkEnd w:id="31"/>
      <w:bookmarkEnd w:id="32"/>
      <w:proofErr w:type="gramEnd"/>
    </w:p>
    <w:p w14:paraId="40B73228" w14:textId="71D765BE" w:rsidR="00F53DE1" w:rsidRPr="00787639" w:rsidRDefault="00F53DE1" w:rsidP="002D5639">
      <w:pPr>
        <w:pStyle w:val="Texte1"/>
      </w:pPr>
      <w:r w:rsidRPr="00787639">
        <w:t>F</w:t>
      </w:r>
      <w:r w:rsidRPr="00D44CAC">
        <w:t>ollowing the guide</w:t>
      </w:r>
      <w:r w:rsidRPr="00D90418">
        <w:t>lines provided by the ODs helps to ensure that activities for raising awareness do not threaten the viability of ICH. It is important, for example, to protect ICH and the communities concerned from misrepresentation or exploitatio</w:t>
      </w:r>
      <w:r w:rsidRPr="00787639">
        <w:t>n through awareness-raising activities (</w:t>
      </w:r>
      <w:r w:rsidRPr="00D90F33">
        <w:t>ODs</w:t>
      </w:r>
      <w:r w:rsidR="00053C2A" w:rsidRPr="00D90F33">
        <w:t> </w:t>
      </w:r>
      <w:r w:rsidRPr="00D90F33">
        <w:t>101 and 102</w:t>
      </w:r>
      <w:r w:rsidRPr="00787639">
        <w:t>). ICH elements should not be de-contextualized in awareness-raising activities (</w:t>
      </w:r>
      <w:r w:rsidRPr="006848A8">
        <w:t>ODs</w:t>
      </w:r>
      <w:r w:rsidR="00053C2A" w:rsidRPr="006848A8">
        <w:t> </w:t>
      </w:r>
      <w:r w:rsidRPr="006848A8">
        <w:t>102 and 120</w:t>
      </w:r>
      <w:r w:rsidRPr="00787639">
        <w:t>).</w:t>
      </w:r>
    </w:p>
    <w:p w14:paraId="4F0C0B10" w14:textId="6759FA5A" w:rsidR="00F53DE1" w:rsidRPr="00787639" w:rsidRDefault="00F53DE1" w:rsidP="002D5639">
      <w:pPr>
        <w:pStyle w:val="Texte1"/>
      </w:pPr>
      <w:r w:rsidRPr="00787639">
        <w:t>At both the national and the international level, awareness-raising should not only focus on the aesthetic appeal or entertainment value of ICH elements, but also emphasize their contribution to social cohesion, sustainable development and the prevention of conflict (</w:t>
      </w:r>
      <w:r w:rsidRPr="006848A8">
        <w:t>OD</w:t>
      </w:r>
      <w:r w:rsidR="00053C2A" w:rsidRPr="006848A8">
        <w:t> </w:t>
      </w:r>
      <w:r w:rsidRPr="006848A8">
        <w:t>111</w:t>
      </w:r>
      <w:r w:rsidRPr="00787639">
        <w:t>) and their value and meaning to the communities concerned (</w:t>
      </w:r>
      <w:r w:rsidRPr="0089424F">
        <w:t>OD</w:t>
      </w:r>
      <w:r w:rsidR="00053C2A" w:rsidRPr="0089424F">
        <w:t> </w:t>
      </w:r>
      <w:r w:rsidRPr="0089424F">
        <w:t>120</w:t>
      </w:r>
      <w:r w:rsidRPr="00787639">
        <w:t>).</w:t>
      </w:r>
    </w:p>
    <w:p w14:paraId="1C11392F" w14:textId="617B9F75" w:rsidR="00F53DE1" w:rsidRPr="00787639" w:rsidRDefault="00F53DE1" w:rsidP="002D5639">
      <w:pPr>
        <w:pStyle w:val="Texte1"/>
      </w:pPr>
      <w:r w:rsidRPr="00787639">
        <w:t xml:space="preserve">Access to information about ICH should, of course, be managed in accordance with the wishes of the communities, groups and individuals concerned. The Australian Institute of Aboriginal </w:t>
      </w:r>
      <w:r w:rsidR="006D52B1" w:rsidRPr="00AD244C">
        <w:rPr>
          <w:noProof/>
          <w:lang w:val="fr-FR" w:eastAsia="fr-FR"/>
        </w:rPr>
        <w:drawing>
          <wp:anchor distT="0" distB="0" distL="114300" distR="114300" simplePos="0" relativeHeight="252097024" behindDoc="0" locked="1" layoutInCell="1" allowOverlap="0" wp14:anchorId="065BAF8C" wp14:editId="7E362960">
            <wp:simplePos x="0" y="0"/>
            <wp:positionH relativeFrom="margin">
              <wp:align>left</wp:align>
            </wp:positionH>
            <wp:positionV relativeFrom="paragraph">
              <wp:posOffset>283210</wp:posOffset>
            </wp:positionV>
            <wp:extent cx="283210" cy="358775"/>
            <wp:effectExtent l="0" t="0" r="2540" b="3175"/>
            <wp:wrapThrough wrapText="bothSides">
              <wp:wrapPolygon edited="0">
                <wp:start x="0" y="0"/>
                <wp:lineTo x="0" y="20644"/>
                <wp:lineTo x="20341" y="20644"/>
                <wp:lineTo x="20341" y="0"/>
                <wp:lineTo x="0" y="0"/>
              </wp:wrapPolygon>
            </wp:wrapThrough>
            <wp:docPr id="29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and Torres Strait Islander Studies (</w:t>
      </w:r>
      <w:r w:rsidR="00E13B6A" w:rsidRPr="00D44CAC">
        <w:t>C</w:t>
      </w:r>
      <w:r w:rsidRPr="00D90418">
        <w:t>ase study</w:t>
      </w:r>
      <w:r w:rsidR="003B40C4">
        <w:t> </w:t>
      </w:r>
      <w:r w:rsidRPr="00D90418">
        <w:t>5), for example, enforces pr</w:t>
      </w:r>
      <w:r w:rsidRPr="00787639">
        <w:t>ovisions for confidentiality and access for users of intangible heritage databases.</w:t>
      </w:r>
    </w:p>
    <w:p w14:paraId="5BCB87C7" w14:textId="77777777" w:rsidR="00F53DE1" w:rsidRPr="00943627" w:rsidRDefault="00F53DE1" w:rsidP="00A853D3">
      <w:pPr>
        <w:pStyle w:val="Heading4"/>
        <w:rPr>
          <w:lang w:val="en-GB"/>
        </w:rPr>
      </w:pPr>
      <w:r w:rsidRPr="00787639">
        <w:rPr>
          <w:spacing w:val="-4"/>
          <w:w w:val="106"/>
          <w:lang w:val="en-GB"/>
        </w:rPr>
        <w:t>C</w:t>
      </w:r>
      <w:r w:rsidRPr="00943627">
        <w:rPr>
          <w:lang w:val="en-GB"/>
        </w:rPr>
        <w:t>odes</w:t>
      </w:r>
      <w:r w:rsidRPr="00787639">
        <w:rPr>
          <w:spacing w:val="-2"/>
          <w:w w:val="106"/>
          <w:lang w:val="en-GB"/>
        </w:rPr>
        <w:t xml:space="preserve"> </w:t>
      </w:r>
      <w:r w:rsidRPr="00943627">
        <w:rPr>
          <w:lang w:val="en-GB"/>
        </w:rPr>
        <w:t>of</w:t>
      </w:r>
      <w:r w:rsidRPr="00787639">
        <w:rPr>
          <w:spacing w:val="-1"/>
          <w:w w:val="106"/>
          <w:lang w:val="en-GB"/>
        </w:rPr>
        <w:t xml:space="preserve"> </w:t>
      </w:r>
      <w:r w:rsidRPr="00943627">
        <w:rPr>
          <w:lang w:val="en-GB"/>
        </w:rPr>
        <w:t>ethics</w:t>
      </w:r>
    </w:p>
    <w:p w14:paraId="2A24D6FA" w14:textId="752C662E" w:rsidR="00F53DE1" w:rsidRPr="00D44CAC" w:rsidRDefault="00F53DE1" w:rsidP="002D5639">
      <w:pPr>
        <w:pStyle w:val="Texte1"/>
      </w:pPr>
      <w:r w:rsidRPr="00787639">
        <w:t>States</w:t>
      </w:r>
      <w:r w:rsidRPr="00D44CAC">
        <w:t xml:space="preserve"> Parties may wish to develop codes of ethics to encourage responsible awareness-raising (</w:t>
      </w:r>
      <w:r w:rsidRPr="0089424F">
        <w:t>OD</w:t>
      </w:r>
      <w:r w:rsidR="00053C2A" w:rsidRPr="0089424F">
        <w:t> </w:t>
      </w:r>
      <w:r w:rsidRPr="0089424F">
        <w:t>103</w:t>
      </w:r>
      <w:r w:rsidRPr="00D44CAC">
        <w:t>). Some of the issues these codes of ethics might address include:</w:t>
      </w:r>
    </w:p>
    <w:p w14:paraId="62580E0F" w14:textId="423E7CDD" w:rsidR="00F53DE1" w:rsidRPr="00787639" w:rsidRDefault="00F53DE1" w:rsidP="00AD2211">
      <w:pPr>
        <w:pStyle w:val="Txtpucegras"/>
      </w:pPr>
      <w:r w:rsidRPr="00D90418">
        <w:rPr>
          <w:i/>
          <w:iCs/>
        </w:rPr>
        <w:t>Community involvement and consent</w:t>
      </w:r>
      <w:r w:rsidRPr="00787639">
        <w:t>: the widest possible participation of</w:t>
      </w:r>
      <w:r w:rsidR="00D12399" w:rsidRPr="00787639">
        <w:t xml:space="preserve"> </w:t>
      </w:r>
      <w:r w:rsidRPr="00787639">
        <w:t>the communities concerned in awareness-raising activities about their ICH should be ensured and their free, prior and informed consent for the planned activities obtained (</w:t>
      </w:r>
      <w:r w:rsidRPr="0089424F">
        <w:t>OD</w:t>
      </w:r>
      <w:r w:rsidR="00053C2A" w:rsidRPr="0089424F">
        <w:t> </w:t>
      </w:r>
      <w:r w:rsidRPr="0089424F">
        <w:t>101(b)).</w:t>
      </w:r>
    </w:p>
    <w:p w14:paraId="67203C19" w14:textId="5EA130E1" w:rsidR="00F53DE1" w:rsidRPr="00787639" w:rsidRDefault="00F53DE1" w:rsidP="00952DBE">
      <w:pPr>
        <w:pStyle w:val="Txtpucegras"/>
      </w:pPr>
      <w:r w:rsidRPr="00787639">
        <w:rPr>
          <w:i/>
          <w:iCs/>
        </w:rPr>
        <w:t>Respect for customary restrictions on access</w:t>
      </w:r>
      <w:r w:rsidRPr="00787639">
        <w:t>: awareness-raising activities</w:t>
      </w:r>
      <w:r w:rsidR="00D12399" w:rsidRPr="00787639">
        <w:t xml:space="preserve"> </w:t>
      </w:r>
      <w:r w:rsidRPr="00787639">
        <w:t>should fully respect any customary restrictions on access to ICH (</w:t>
      </w:r>
      <w:r w:rsidR="00DD01F3" w:rsidRPr="00787639">
        <w:t>Article </w:t>
      </w:r>
      <w:r w:rsidRPr="00787639">
        <w:t>13(d</w:t>
      </w:r>
      <w:proofErr w:type="gramStart"/>
      <w:r w:rsidRPr="00787639">
        <w:t>)(</w:t>
      </w:r>
      <w:proofErr w:type="gramEnd"/>
      <w:r w:rsidRPr="00787639">
        <w:t xml:space="preserve">ii); </w:t>
      </w:r>
      <w:r w:rsidRPr="004E030B">
        <w:t>OD</w:t>
      </w:r>
      <w:r w:rsidR="00A21F18" w:rsidRPr="004E030B">
        <w:t> </w:t>
      </w:r>
      <w:r w:rsidRPr="004E030B">
        <w:t>101(c)).</w:t>
      </w:r>
    </w:p>
    <w:p w14:paraId="5AAE8570" w14:textId="05F08A22" w:rsidR="00F53DE1" w:rsidRPr="00787639" w:rsidRDefault="00F53DE1">
      <w:pPr>
        <w:pStyle w:val="Txtpucegras"/>
      </w:pPr>
      <w:r w:rsidRPr="00787639">
        <w:rPr>
          <w:i/>
          <w:iCs/>
        </w:rPr>
        <w:t>Mutual respect</w:t>
      </w:r>
      <w:r w:rsidRPr="00787639">
        <w:t>: to ensure that the principles of mutual respect and human</w:t>
      </w:r>
      <w:r w:rsidR="00D12399" w:rsidRPr="00787639">
        <w:t xml:space="preserve"> </w:t>
      </w:r>
      <w:r w:rsidRPr="00787639">
        <w:t>rights are observed, ICH featuring in awareness-raising processes should comply with the definition in the Convention (</w:t>
      </w:r>
      <w:r w:rsidR="00DD01F3" w:rsidRPr="00787639">
        <w:t>Article </w:t>
      </w:r>
      <w:r w:rsidRPr="00787639">
        <w:t xml:space="preserve">2.1; </w:t>
      </w:r>
      <w:r w:rsidRPr="004E030B">
        <w:t>OD</w:t>
      </w:r>
      <w:r w:rsidR="00A21F18" w:rsidRPr="004E030B">
        <w:t> </w:t>
      </w:r>
      <w:r w:rsidRPr="004E030B">
        <w:t>101(a))</w:t>
      </w:r>
      <w:r w:rsidRPr="00787639">
        <w:t xml:space="preserve"> and ensure that the awareness-raising activities do not contribute to justifying any sort of discrimination (</w:t>
      </w:r>
      <w:r w:rsidRPr="004E030B">
        <w:t>OD</w:t>
      </w:r>
      <w:r w:rsidR="00A21F18" w:rsidRPr="004E030B">
        <w:t> </w:t>
      </w:r>
      <w:r w:rsidRPr="004E030B">
        <w:t>102(c)).</w:t>
      </w:r>
    </w:p>
    <w:p w14:paraId="74420B47" w14:textId="77EFF58B" w:rsidR="00F53DE1" w:rsidRPr="00787639" w:rsidRDefault="00F53DE1">
      <w:pPr>
        <w:pStyle w:val="Txtpucegras"/>
      </w:pPr>
      <w:r w:rsidRPr="00787639">
        <w:rPr>
          <w:i/>
          <w:iCs/>
        </w:rPr>
        <w:t>Protecting viability</w:t>
      </w:r>
      <w:r w:rsidRPr="00787639">
        <w:t xml:space="preserve">: awareness-raising activities should not </w:t>
      </w:r>
      <w:proofErr w:type="spellStart"/>
      <w:r w:rsidRPr="00787639">
        <w:t>decontexualize</w:t>
      </w:r>
      <w:proofErr w:type="spellEnd"/>
      <w:r w:rsidR="00D12399" w:rsidRPr="00787639">
        <w:t xml:space="preserve"> </w:t>
      </w:r>
      <w:r w:rsidRPr="00787639">
        <w:t>or denaturalize the ICH element (</w:t>
      </w:r>
      <w:r w:rsidRPr="004E030B">
        <w:t>OD</w:t>
      </w:r>
      <w:r w:rsidR="00A21F18" w:rsidRPr="004E030B">
        <w:t> </w:t>
      </w:r>
      <w:r w:rsidRPr="004E030B">
        <w:t>102(a)),</w:t>
      </w:r>
      <w:r w:rsidRPr="00787639">
        <w:t xml:space="preserve"> for example by staging performances that are normally performed within a certain context outside of their usual time or place.</w:t>
      </w:r>
    </w:p>
    <w:p w14:paraId="24B78AB8" w14:textId="174C6725" w:rsidR="00F53DE1" w:rsidRPr="00787639" w:rsidRDefault="00F53DE1">
      <w:pPr>
        <w:pStyle w:val="Txtpucegras"/>
      </w:pPr>
      <w:r w:rsidRPr="00787639">
        <w:rPr>
          <w:i/>
          <w:iCs/>
        </w:rPr>
        <w:t>Fair representation</w:t>
      </w:r>
      <w:r w:rsidRPr="00787639">
        <w:t>:</w:t>
      </w:r>
      <w:r w:rsidR="00F32FFD">
        <w:t xml:space="preserve"> </w:t>
      </w:r>
      <w:r w:rsidRPr="00787639">
        <w:t>awareness-raising activities should not misrepresent the</w:t>
      </w:r>
      <w:r w:rsidR="00D12399" w:rsidRPr="00787639">
        <w:t xml:space="preserve"> </w:t>
      </w:r>
      <w:r w:rsidRPr="00787639">
        <w:t>ICH element or the communities concerned (</w:t>
      </w:r>
      <w:r w:rsidRPr="00795A9C">
        <w:t>OD</w:t>
      </w:r>
      <w:r w:rsidR="00A21F18" w:rsidRPr="00795A9C">
        <w:t> </w:t>
      </w:r>
      <w:r w:rsidRPr="00795A9C">
        <w:t>102(b)).</w:t>
      </w:r>
    </w:p>
    <w:p w14:paraId="4768922E" w14:textId="37AC0DD6" w:rsidR="00BF57B3" w:rsidRPr="00943627" w:rsidRDefault="00F53DE1" w:rsidP="00943627">
      <w:pPr>
        <w:pStyle w:val="Txtpucegras"/>
        <w:rPr>
          <w:lang w:val="en-US"/>
        </w:rPr>
      </w:pPr>
      <w:r w:rsidRPr="00787639">
        <w:rPr>
          <w:i/>
          <w:iCs/>
        </w:rPr>
        <w:t>Fair benefit</w:t>
      </w:r>
      <w:r w:rsidRPr="00787639">
        <w:t>: the communities concerned should benefit from raising</w:t>
      </w:r>
      <w:r w:rsidR="00D12399" w:rsidRPr="00787639">
        <w:t xml:space="preserve"> </w:t>
      </w:r>
      <w:r w:rsidRPr="00787639">
        <w:t>awareness not just in terms of increased viability of their ICH (</w:t>
      </w:r>
      <w:r w:rsidRPr="00795A9C">
        <w:t>OD</w:t>
      </w:r>
      <w:r w:rsidR="00A21F18" w:rsidRPr="00795A9C">
        <w:t> </w:t>
      </w:r>
      <w:r w:rsidRPr="00795A9C">
        <w:t>101(d))</w:t>
      </w:r>
      <w:r w:rsidRPr="00787639">
        <w:t xml:space="preserve"> but also from any financial rewards of increased visibility or awareness of their ICH. Over- commercialization, misappropriation of their knowledge and skills and unsustainable tourism should be avoided (</w:t>
      </w:r>
      <w:r w:rsidRPr="00795A9C">
        <w:t>ODs</w:t>
      </w:r>
      <w:r w:rsidR="00A21F18" w:rsidRPr="00795A9C">
        <w:t> </w:t>
      </w:r>
      <w:r w:rsidRPr="00795A9C">
        <w:t>102(d) and 102(e)).</w:t>
      </w:r>
      <w:r w:rsidRPr="00787639">
        <w:t xml:space="preserve"> States Parties should try to ensure that community intellectual property rights in regard to their ICH are protected when awareness-raising activities are implemented (</w:t>
      </w:r>
      <w:r w:rsidRPr="00795A9C">
        <w:t>OD</w:t>
      </w:r>
      <w:r w:rsidR="00A21F18" w:rsidRPr="00795A9C">
        <w:t> </w:t>
      </w:r>
      <w:r w:rsidRPr="00795A9C">
        <w:t>104).</w:t>
      </w:r>
    </w:p>
    <w:sectPr w:rsidR="00BF57B3" w:rsidRPr="00943627" w:rsidSect="00943627">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4873ED" w:rsidRDefault="004873ED" w:rsidP="000F4C6A">
      <w:r>
        <w:separator/>
      </w:r>
    </w:p>
    <w:p w14:paraId="262E9671" w14:textId="77777777" w:rsidR="004873ED" w:rsidRDefault="004873ED"/>
  </w:endnote>
  <w:endnote w:type="continuationSeparator" w:id="0">
    <w:p w14:paraId="26A4114D" w14:textId="77777777" w:rsidR="004873ED" w:rsidRDefault="004873ED" w:rsidP="000F4C6A">
      <w:r>
        <w:continuationSeparator/>
      </w:r>
    </w:p>
    <w:p w14:paraId="7F3872B0" w14:textId="77777777" w:rsidR="004873ED" w:rsidRDefault="0048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CF03" w14:textId="5E9BA93A" w:rsidR="000F0C94" w:rsidRPr="008B4139" w:rsidRDefault="004873ED" w:rsidP="009D4AB5">
    <w:pPr>
      <w:pStyle w:val="Footer"/>
      <w:rPr>
        <w:lang w:val="en-US"/>
      </w:rPr>
    </w:pPr>
    <w:r w:rsidRPr="008B4139">
      <w:rPr>
        <w:noProof/>
        <w:snapToGrid/>
        <w:lang w:eastAsia="fr-FR"/>
      </w:rPr>
      <w:drawing>
        <wp:anchor distT="0" distB="0" distL="114300" distR="114300" simplePos="0" relativeHeight="251991040" behindDoc="0" locked="1" layoutInCell="1" allowOverlap="0" wp14:anchorId="2403E22E" wp14:editId="4408CA04">
          <wp:simplePos x="0" y="0"/>
          <wp:positionH relativeFrom="margin">
            <wp:posOffset>0</wp:posOffset>
          </wp:positionH>
          <wp:positionV relativeFrom="margin">
            <wp:posOffset>8641080</wp:posOffset>
          </wp:positionV>
          <wp:extent cx="942975" cy="538480"/>
          <wp:effectExtent l="0" t="0" r="0" b="0"/>
          <wp:wrapSquare wrapText="bothSides"/>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8B4139">
      <w:rPr>
        <w:rStyle w:val="PageNumber"/>
        <w:lang w:val="en-US"/>
      </w:rPr>
      <w:tab/>
    </w:r>
    <w:r w:rsidRPr="008B4139">
      <w:rPr>
        <w:lang w:val="en-US"/>
      </w:rPr>
      <w:t xml:space="preserve">© UNESCO • Not to be reproduced without permission </w:t>
    </w:r>
    <w:r w:rsidRPr="008B4139">
      <w:rPr>
        <w:lang w:val="en-US"/>
      </w:rPr>
      <w:tab/>
      <w:t>U0</w:t>
    </w:r>
    <w:r w:rsidR="00C46D75">
      <w:rPr>
        <w:lang w:val="en-US"/>
      </w:rPr>
      <w:t>05</w:t>
    </w:r>
    <w:r w:rsidRPr="008B4139">
      <w:rPr>
        <w:lang w:val="en-US"/>
      </w:rPr>
      <w:t>-v1.</w:t>
    </w:r>
    <w:r w:rsidR="00F00041">
      <w:rPr>
        <w:lang w:val="en-US"/>
      </w:rPr>
      <w:t>1</w:t>
    </w:r>
    <w:r w:rsidRPr="008B4139">
      <w:rPr>
        <w:lang w:val="en-US"/>
      </w:rPr>
      <w:t>-PT-EN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14B7F1C9" w:rsidR="004873ED" w:rsidRPr="008B4139" w:rsidRDefault="004873ED" w:rsidP="00CB334B">
    <w:pPr>
      <w:pStyle w:val="Footer"/>
      <w:rPr>
        <w:lang w:val="en-US"/>
      </w:rPr>
    </w:pPr>
    <w:r w:rsidRPr="008B4139">
      <w:rPr>
        <w:lang w:val="en-US"/>
      </w:rPr>
      <w:t>U0</w:t>
    </w:r>
    <w:r w:rsidR="00CE7776">
      <w:rPr>
        <w:lang w:val="en-US"/>
      </w:rPr>
      <w:t>05</w:t>
    </w:r>
    <w:r w:rsidRPr="008B4139">
      <w:rPr>
        <w:lang w:val="en-US"/>
      </w:rPr>
      <w:t>-v1.</w:t>
    </w:r>
    <w:r w:rsidR="00F00041">
      <w:rPr>
        <w:lang w:val="en-US"/>
      </w:rPr>
      <w:t>1</w:t>
    </w:r>
    <w:r w:rsidRPr="008B4139">
      <w:rPr>
        <w:lang w:val="en-US"/>
      </w:rPr>
      <w:t>-PT-EN</w:t>
    </w:r>
    <w:r w:rsidRPr="008B4139">
      <w:rPr>
        <w:lang w:val="en-US"/>
      </w:rPr>
      <w:tab/>
      <w:t>© UNESCO • Not to be reproduced without permission</w:t>
    </w:r>
    <w:r w:rsidRPr="008B4139">
      <w:rPr>
        <w:lang w:val="en-US"/>
      </w:rPr>
      <w:tab/>
    </w:r>
    <w:r w:rsidRPr="008B4139">
      <w:rPr>
        <w:noProof/>
        <w:snapToGrid/>
        <w:lang w:eastAsia="fr-FR"/>
      </w:rPr>
      <w:drawing>
        <wp:anchor distT="0" distB="0" distL="114300" distR="114300" simplePos="0" relativeHeight="251988992" behindDoc="0" locked="1" layoutInCell="1" allowOverlap="0" wp14:anchorId="6FEC9B8E" wp14:editId="6318869A">
          <wp:simplePos x="0" y="0"/>
          <wp:positionH relativeFrom="margin">
            <wp:posOffset>4680585</wp:posOffset>
          </wp:positionH>
          <wp:positionV relativeFrom="margin">
            <wp:posOffset>8641080</wp:posOffset>
          </wp:positionV>
          <wp:extent cx="942975" cy="538480"/>
          <wp:effectExtent l="0" t="0" r="0" b="0"/>
          <wp:wrapSquare wrapText="bothSides"/>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EDC6" w14:textId="6FC36C15" w:rsidR="004873ED" w:rsidRPr="008B4139" w:rsidRDefault="004873ED" w:rsidP="00DA711D">
    <w:pPr>
      <w:pStyle w:val="Footer"/>
      <w:rPr>
        <w:lang w:val="en-US"/>
      </w:rPr>
    </w:pPr>
    <w:r w:rsidRPr="008B4139">
      <w:rPr>
        <w:lang w:val="en-US"/>
      </w:rPr>
      <w:t>U</w:t>
    </w:r>
    <w:r>
      <w:rPr>
        <w:lang w:val="en-US"/>
      </w:rPr>
      <w:t>0</w:t>
    </w:r>
    <w:r w:rsidR="00C46D75">
      <w:rPr>
        <w:lang w:val="en-US"/>
      </w:rPr>
      <w:t>05</w:t>
    </w:r>
    <w:r w:rsidRPr="008B4139">
      <w:rPr>
        <w:lang w:val="en-US"/>
      </w:rPr>
      <w:t>-v1.</w:t>
    </w:r>
    <w:r w:rsidR="00F00041">
      <w:rPr>
        <w:lang w:val="en-US"/>
      </w:rPr>
      <w:t>1</w:t>
    </w:r>
    <w:r w:rsidRPr="008B4139">
      <w:rPr>
        <w:lang w:val="en-US"/>
      </w:rPr>
      <w:t>-PT-EN</w:t>
    </w:r>
    <w:r w:rsidRPr="008B4139">
      <w:rPr>
        <w:lang w:val="en-US"/>
      </w:rPr>
      <w:tab/>
      <w:t>© UNESCO • Not to be reproduced without permission</w:t>
    </w:r>
    <w:r w:rsidRPr="008B4139">
      <w:rPr>
        <w:lang w:val="en-US"/>
      </w:rPr>
      <w:tab/>
    </w:r>
    <w:r w:rsidRPr="008B4139">
      <w:rPr>
        <w:noProof/>
        <w:snapToGrid/>
        <w:lang w:eastAsia="fr-FR"/>
      </w:rPr>
      <w:drawing>
        <wp:anchor distT="0" distB="0" distL="114300" distR="114300" simplePos="0" relativeHeight="252050432" behindDoc="0" locked="1" layoutInCell="1" allowOverlap="0" wp14:anchorId="26B79FD2" wp14:editId="6D7AFB6D">
          <wp:simplePos x="0" y="0"/>
          <wp:positionH relativeFrom="margin">
            <wp:posOffset>4680585</wp:posOffset>
          </wp:positionH>
          <wp:positionV relativeFrom="margin">
            <wp:posOffset>8641080</wp:posOffset>
          </wp:positionV>
          <wp:extent cx="942975" cy="538480"/>
          <wp:effectExtent l="0" t="0" r="0" b="0"/>
          <wp:wrapSquare wrapText="bothSides"/>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4873ED" w:rsidRDefault="004873ED" w:rsidP="00117DDB">
      <w:pPr>
        <w:ind w:left="0"/>
      </w:pPr>
      <w:r>
        <w:separator/>
      </w:r>
    </w:p>
  </w:footnote>
  <w:footnote w:type="continuationSeparator" w:id="0">
    <w:p w14:paraId="2DF99750" w14:textId="77777777" w:rsidR="004873ED" w:rsidRDefault="004873ED" w:rsidP="000F4C6A">
      <w:r>
        <w:continuationSeparator/>
      </w:r>
    </w:p>
    <w:p w14:paraId="5B2EB559" w14:textId="77777777" w:rsidR="004873ED" w:rsidRDefault="004873ED"/>
  </w:footnote>
  <w:footnote w:id="1">
    <w:p w14:paraId="073BFA38" w14:textId="37164715" w:rsidR="004873ED" w:rsidRPr="00943627" w:rsidRDefault="004873ED" w:rsidP="00F55702">
      <w:pPr>
        <w:pStyle w:val="FootnoteText"/>
        <w:rPr>
          <w:lang w:val="en-US"/>
        </w:rPr>
      </w:pPr>
      <w:r w:rsidRPr="00A21F18">
        <w:rPr>
          <w:rStyle w:val="FootnoteReference"/>
          <w:sz w:val="16"/>
          <w:szCs w:val="16"/>
          <w:vertAlign w:val="baseline"/>
          <w:lang w:val="en-GB"/>
        </w:rPr>
        <w:t>1.</w:t>
      </w:r>
      <w:r w:rsidR="00F55702">
        <w:rPr>
          <w:lang w:val="en-GB"/>
        </w:rPr>
        <w:tab/>
      </w:r>
      <w:r w:rsidR="006D7312" w:rsidRPr="00A21F18">
        <w:rPr>
          <w:lang w:val="en-GB"/>
        </w:rPr>
        <w:t xml:space="preserve">Frequently referred to as the ‘Intangible Heritage Convention’, the ‘2003 Convention’ and, for the purpose of this </w:t>
      </w:r>
      <w:r w:rsidR="004A55E9" w:rsidRPr="003122F5">
        <w:rPr>
          <w:lang w:val="en-GB"/>
        </w:rPr>
        <w:t>u</w:t>
      </w:r>
      <w:r w:rsidR="006D7312" w:rsidRPr="00A21F18">
        <w:rPr>
          <w:lang w:val="en-GB"/>
        </w:rPr>
        <w:t>nit, simply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462C618D" w:rsidR="004873ED" w:rsidRDefault="004873ED">
    <w:pPr>
      <w:pStyle w:val="Header"/>
    </w:pPr>
    <w:r>
      <w:rPr>
        <w:rStyle w:val="PageNumber"/>
      </w:rPr>
      <w:fldChar w:fldCharType="begin"/>
    </w:r>
    <w:r>
      <w:rPr>
        <w:rStyle w:val="PageNumber"/>
      </w:rPr>
      <w:instrText xml:space="preserve"> PAGE </w:instrText>
    </w:r>
    <w:r>
      <w:rPr>
        <w:rStyle w:val="PageNumber"/>
      </w:rPr>
      <w:fldChar w:fldCharType="separate"/>
    </w:r>
    <w:r w:rsidR="00482E9C">
      <w:rPr>
        <w:rStyle w:val="PageNumber"/>
        <w:noProof/>
      </w:rPr>
      <w:t>2</w:t>
    </w:r>
    <w:r>
      <w:rPr>
        <w:rStyle w:val="PageNumber"/>
      </w:rPr>
      <w:fldChar w:fldCharType="end"/>
    </w:r>
    <w:r>
      <w:tab/>
    </w:r>
    <w:r w:rsidR="00C46D75">
      <w:rPr>
        <w:rStyle w:val="PageNumber"/>
      </w:rPr>
      <w:t>Unit 5: Raising awareness</w:t>
    </w:r>
    <w:r>
      <w:tab/>
      <w:t xml:space="preserve">Participant’s text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2FA7342B" w:rsidR="004873ED" w:rsidRPr="00DB506E" w:rsidRDefault="004873ED" w:rsidP="009D4AB5">
    <w:pPr>
      <w:pStyle w:val="Header"/>
    </w:pPr>
    <w:r>
      <w:t>Participant’s text</w:t>
    </w:r>
    <w:r>
      <w:tab/>
    </w:r>
    <w:r w:rsidR="00C46D75">
      <w:rPr>
        <w:rStyle w:val="PageNumber"/>
      </w:rPr>
      <w:t>Unit 5: Raising awareness</w:t>
    </w:r>
    <w:r>
      <w:tab/>
    </w:r>
    <w:r>
      <w:rPr>
        <w:rStyle w:val="PageNumber"/>
      </w:rPr>
      <w:fldChar w:fldCharType="begin"/>
    </w:r>
    <w:r>
      <w:rPr>
        <w:rStyle w:val="PageNumber"/>
      </w:rPr>
      <w:instrText xml:space="preserve"> PAGE </w:instrText>
    </w:r>
    <w:r>
      <w:rPr>
        <w:rStyle w:val="PageNumber"/>
      </w:rPr>
      <w:fldChar w:fldCharType="separate"/>
    </w:r>
    <w:r w:rsidR="00482E9C">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1B3E" w14:textId="6DBFAA03" w:rsidR="004873ED" w:rsidRDefault="004873ED" w:rsidP="00065059">
    <w:pPr>
      <w:pStyle w:val="Header"/>
      <w:ind w:right="360"/>
    </w:pPr>
    <w:r>
      <w:tab/>
      <w:t xml:space="preserve">Participant’s text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51201">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65C3"/>
    <w:rsid w:val="00017360"/>
    <w:rsid w:val="00017D71"/>
    <w:rsid w:val="00020DDD"/>
    <w:rsid w:val="000213A8"/>
    <w:rsid w:val="0002203F"/>
    <w:rsid w:val="00022302"/>
    <w:rsid w:val="0002511C"/>
    <w:rsid w:val="00025E6B"/>
    <w:rsid w:val="00027510"/>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3C2A"/>
    <w:rsid w:val="000542FD"/>
    <w:rsid w:val="0005468C"/>
    <w:rsid w:val="00060230"/>
    <w:rsid w:val="00060BBD"/>
    <w:rsid w:val="00064E3F"/>
    <w:rsid w:val="00065059"/>
    <w:rsid w:val="0007226E"/>
    <w:rsid w:val="00072B6A"/>
    <w:rsid w:val="00072F5E"/>
    <w:rsid w:val="00073B89"/>
    <w:rsid w:val="00073E1C"/>
    <w:rsid w:val="00073E48"/>
    <w:rsid w:val="00074F29"/>
    <w:rsid w:val="00076221"/>
    <w:rsid w:val="00081E8B"/>
    <w:rsid w:val="000826CD"/>
    <w:rsid w:val="000838BD"/>
    <w:rsid w:val="0008417E"/>
    <w:rsid w:val="00085406"/>
    <w:rsid w:val="0008689C"/>
    <w:rsid w:val="000870DC"/>
    <w:rsid w:val="000877FD"/>
    <w:rsid w:val="00094B61"/>
    <w:rsid w:val="00094E6C"/>
    <w:rsid w:val="000A06A3"/>
    <w:rsid w:val="000A1092"/>
    <w:rsid w:val="000A137F"/>
    <w:rsid w:val="000A7857"/>
    <w:rsid w:val="000A7DE3"/>
    <w:rsid w:val="000B3AC7"/>
    <w:rsid w:val="000B3BEF"/>
    <w:rsid w:val="000B48C6"/>
    <w:rsid w:val="000B6CC5"/>
    <w:rsid w:val="000C08B2"/>
    <w:rsid w:val="000C0E6A"/>
    <w:rsid w:val="000C2812"/>
    <w:rsid w:val="000C4C10"/>
    <w:rsid w:val="000C61DA"/>
    <w:rsid w:val="000C65CB"/>
    <w:rsid w:val="000C6BD2"/>
    <w:rsid w:val="000D4C23"/>
    <w:rsid w:val="000D5D72"/>
    <w:rsid w:val="000D647B"/>
    <w:rsid w:val="000D7317"/>
    <w:rsid w:val="000E18AA"/>
    <w:rsid w:val="000E1D9D"/>
    <w:rsid w:val="000E38A5"/>
    <w:rsid w:val="000E487A"/>
    <w:rsid w:val="000E4994"/>
    <w:rsid w:val="000E5B15"/>
    <w:rsid w:val="000E6438"/>
    <w:rsid w:val="000E6F12"/>
    <w:rsid w:val="000F0C94"/>
    <w:rsid w:val="000F0E2D"/>
    <w:rsid w:val="000F2801"/>
    <w:rsid w:val="000F4C6A"/>
    <w:rsid w:val="000F779D"/>
    <w:rsid w:val="001002E2"/>
    <w:rsid w:val="00100F44"/>
    <w:rsid w:val="001044A2"/>
    <w:rsid w:val="00104F6B"/>
    <w:rsid w:val="00106058"/>
    <w:rsid w:val="00106526"/>
    <w:rsid w:val="00111A8E"/>
    <w:rsid w:val="00111BCC"/>
    <w:rsid w:val="00111CD1"/>
    <w:rsid w:val="001160AD"/>
    <w:rsid w:val="00116A2A"/>
    <w:rsid w:val="00117168"/>
    <w:rsid w:val="00117DDB"/>
    <w:rsid w:val="00124079"/>
    <w:rsid w:val="001259D8"/>
    <w:rsid w:val="00127B0C"/>
    <w:rsid w:val="001311F5"/>
    <w:rsid w:val="00132202"/>
    <w:rsid w:val="00132808"/>
    <w:rsid w:val="00132CAD"/>
    <w:rsid w:val="00133838"/>
    <w:rsid w:val="00136025"/>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16B4"/>
    <w:rsid w:val="00172D1A"/>
    <w:rsid w:val="00173ED1"/>
    <w:rsid w:val="001757F9"/>
    <w:rsid w:val="00176F70"/>
    <w:rsid w:val="00176FD3"/>
    <w:rsid w:val="0017757E"/>
    <w:rsid w:val="00180896"/>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D7EEF"/>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35CF"/>
    <w:rsid w:val="00233CE4"/>
    <w:rsid w:val="002342B8"/>
    <w:rsid w:val="0023454D"/>
    <w:rsid w:val="0023521F"/>
    <w:rsid w:val="00235DC5"/>
    <w:rsid w:val="00243CC1"/>
    <w:rsid w:val="002440CE"/>
    <w:rsid w:val="00244283"/>
    <w:rsid w:val="00246192"/>
    <w:rsid w:val="00253333"/>
    <w:rsid w:val="0025444A"/>
    <w:rsid w:val="002573B2"/>
    <w:rsid w:val="00260A1F"/>
    <w:rsid w:val="00261762"/>
    <w:rsid w:val="00261A28"/>
    <w:rsid w:val="00263BAE"/>
    <w:rsid w:val="002650D4"/>
    <w:rsid w:val="002712FD"/>
    <w:rsid w:val="002727D1"/>
    <w:rsid w:val="002804CF"/>
    <w:rsid w:val="00280EE3"/>
    <w:rsid w:val="00281474"/>
    <w:rsid w:val="002815A7"/>
    <w:rsid w:val="002832A1"/>
    <w:rsid w:val="0028384F"/>
    <w:rsid w:val="00283A00"/>
    <w:rsid w:val="00284482"/>
    <w:rsid w:val="00284539"/>
    <w:rsid w:val="00285F80"/>
    <w:rsid w:val="002869EB"/>
    <w:rsid w:val="002907B1"/>
    <w:rsid w:val="00291E2F"/>
    <w:rsid w:val="00292142"/>
    <w:rsid w:val="00292581"/>
    <w:rsid w:val="00294972"/>
    <w:rsid w:val="00294FD3"/>
    <w:rsid w:val="00296F9F"/>
    <w:rsid w:val="002A0044"/>
    <w:rsid w:val="002A1F9C"/>
    <w:rsid w:val="002A228F"/>
    <w:rsid w:val="002A22C2"/>
    <w:rsid w:val="002A3A64"/>
    <w:rsid w:val="002A5E66"/>
    <w:rsid w:val="002A5F35"/>
    <w:rsid w:val="002B1ED4"/>
    <w:rsid w:val="002B33DC"/>
    <w:rsid w:val="002B5ECD"/>
    <w:rsid w:val="002B6A2C"/>
    <w:rsid w:val="002C078E"/>
    <w:rsid w:val="002C37DF"/>
    <w:rsid w:val="002C4B1C"/>
    <w:rsid w:val="002C4B32"/>
    <w:rsid w:val="002C53CE"/>
    <w:rsid w:val="002C5DD4"/>
    <w:rsid w:val="002D13BF"/>
    <w:rsid w:val="002D143A"/>
    <w:rsid w:val="002D2067"/>
    <w:rsid w:val="002D5639"/>
    <w:rsid w:val="002E318B"/>
    <w:rsid w:val="002E5028"/>
    <w:rsid w:val="002E728A"/>
    <w:rsid w:val="002E7FAC"/>
    <w:rsid w:val="002F02A6"/>
    <w:rsid w:val="002F20F5"/>
    <w:rsid w:val="002F2B9E"/>
    <w:rsid w:val="002F4764"/>
    <w:rsid w:val="002F54E1"/>
    <w:rsid w:val="002F690E"/>
    <w:rsid w:val="002F739D"/>
    <w:rsid w:val="00301581"/>
    <w:rsid w:val="0030168E"/>
    <w:rsid w:val="0030186B"/>
    <w:rsid w:val="00306BB2"/>
    <w:rsid w:val="00307B4E"/>
    <w:rsid w:val="003122F5"/>
    <w:rsid w:val="00312508"/>
    <w:rsid w:val="00312ECF"/>
    <w:rsid w:val="00313B15"/>
    <w:rsid w:val="003140E6"/>
    <w:rsid w:val="00315AB5"/>
    <w:rsid w:val="003163B6"/>
    <w:rsid w:val="00316F9E"/>
    <w:rsid w:val="00320A0E"/>
    <w:rsid w:val="00322ABA"/>
    <w:rsid w:val="00325710"/>
    <w:rsid w:val="003259DC"/>
    <w:rsid w:val="0032659F"/>
    <w:rsid w:val="00326B3E"/>
    <w:rsid w:val="00327B68"/>
    <w:rsid w:val="0033041B"/>
    <w:rsid w:val="00330A6B"/>
    <w:rsid w:val="00332AA8"/>
    <w:rsid w:val="003339A8"/>
    <w:rsid w:val="0033606D"/>
    <w:rsid w:val="003403F4"/>
    <w:rsid w:val="00340604"/>
    <w:rsid w:val="003408F2"/>
    <w:rsid w:val="00340932"/>
    <w:rsid w:val="00340A29"/>
    <w:rsid w:val="003419EA"/>
    <w:rsid w:val="003426FF"/>
    <w:rsid w:val="0034280C"/>
    <w:rsid w:val="00342C9B"/>
    <w:rsid w:val="00343923"/>
    <w:rsid w:val="00344B54"/>
    <w:rsid w:val="00346A86"/>
    <w:rsid w:val="00346CC4"/>
    <w:rsid w:val="00350705"/>
    <w:rsid w:val="00351040"/>
    <w:rsid w:val="003531BA"/>
    <w:rsid w:val="00356606"/>
    <w:rsid w:val="00361F8E"/>
    <w:rsid w:val="00367858"/>
    <w:rsid w:val="003728E8"/>
    <w:rsid w:val="00374E65"/>
    <w:rsid w:val="00375BFE"/>
    <w:rsid w:val="00376497"/>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0C4"/>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4C95"/>
    <w:rsid w:val="003D5074"/>
    <w:rsid w:val="003D591B"/>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7F7"/>
    <w:rsid w:val="004127A8"/>
    <w:rsid w:val="00413AB1"/>
    <w:rsid w:val="004150DA"/>
    <w:rsid w:val="0041526A"/>
    <w:rsid w:val="004172D7"/>
    <w:rsid w:val="00421D0E"/>
    <w:rsid w:val="0042312C"/>
    <w:rsid w:val="004233C1"/>
    <w:rsid w:val="004241EB"/>
    <w:rsid w:val="004272A4"/>
    <w:rsid w:val="00430B70"/>
    <w:rsid w:val="00432261"/>
    <w:rsid w:val="004338FB"/>
    <w:rsid w:val="0043553C"/>
    <w:rsid w:val="0043679B"/>
    <w:rsid w:val="0043687D"/>
    <w:rsid w:val="0043729F"/>
    <w:rsid w:val="00441E29"/>
    <w:rsid w:val="004449EE"/>
    <w:rsid w:val="00445E2A"/>
    <w:rsid w:val="00447076"/>
    <w:rsid w:val="00450EF9"/>
    <w:rsid w:val="004524B2"/>
    <w:rsid w:val="00452B43"/>
    <w:rsid w:val="00460BA9"/>
    <w:rsid w:val="00461004"/>
    <w:rsid w:val="00466D6B"/>
    <w:rsid w:val="0047474E"/>
    <w:rsid w:val="00475F68"/>
    <w:rsid w:val="00476162"/>
    <w:rsid w:val="00477C3F"/>
    <w:rsid w:val="00482544"/>
    <w:rsid w:val="00482E9C"/>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55E9"/>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64D"/>
    <w:rsid w:val="004D318B"/>
    <w:rsid w:val="004D5C00"/>
    <w:rsid w:val="004D76DA"/>
    <w:rsid w:val="004D7EB9"/>
    <w:rsid w:val="004E030B"/>
    <w:rsid w:val="004E06AF"/>
    <w:rsid w:val="004E095F"/>
    <w:rsid w:val="004E3C1B"/>
    <w:rsid w:val="004E5B44"/>
    <w:rsid w:val="004E6DAA"/>
    <w:rsid w:val="004E7D6C"/>
    <w:rsid w:val="004F37E0"/>
    <w:rsid w:val="004F3C16"/>
    <w:rsid w:val="004F46C9"/>
    <w:rsid w:val="004F653A"/>
    <w:rsid w:val="00501117"/>
    <w:rsid w:val="005011E9"/>
    <w:rsid w:val="005058A4"/>
    <w:rsid w:val="00505F03"/>
    <w:rsid w:val="00505FCF"/>
    <w:rsid w:val="00506791"/>
    <w:rsid w:val="00506ADE"/>
    <w:rsid w:val="00507FCB"/>
    <w:rsid w:val="0051158F"/>
    <w:rsid w:val="00513A84"/>
    <w:rsid w:val="005141D8"/>
    <w:rsid w:val="00520CB3"/>
    <w:rsid w:val="00521548"/>
    <w:rsid w:val="00521937"/>
    <w:rsid w:val="005226D5"/>
    <w:rsid w:val="0052640A"/>
    <w:rsid w:val="00527CC5"/>
    <w:rsid w:val="00527E16"/>
    <w:rsid w:val="005322A5"/>
    <w:rsid w:val="0053533D"/>
    <w:rsid w:val="005358EF"/>
    <w:rsid w:val="00535CE1"/>
    <w:rsid w:val="00536045"/>
    <w:rsid w:val="00536A95"/>
    <w:rsid w:val="00536F8D"/>
    <w:rsid w:val="00542469"/>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54B5"/>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2B2F"/>
    <w:rsid w:val="005F3328"/>
    <w:rsid w:val="005F3D8C"/>
    <w:rsid w:val="005F6E75"/>
    <w:rsid w:val="00600682"/>
    <w:rsid w:val="006073FB"/>
    <w:rsid w:val="00610F11"/>
    <w:rsid w:val="0061203C"/>
    <w:rsid w:val="00612E93"/>
    <w:rsid w:val="00614307"/>
    <w:rsid w:val="0061494B"/>
    <w:rsid w:val="00614CB8"/>
    <w:rsid w:val="00615968"/>
    <w:rsid w:val="00615B18"/>
    <w:rsid w:val="00615CE8"/>
    <w:rsid w:val="00616CEB"/>
    <w:rsid w:val="00621FCA"/>
    <w:rsid w:val="00622418"/>
    <w:rsid w:val="00625277"/>
    <w:rsid w:val="006273B9"/>
    <w:rsid w:val="00630559"/>
    <w:rsid w:val="0063095F"/>
    <w:rsid w:val="00630C52"/>
    <w:rsid w:val="00631706"/>
    <w:rsid w:val="00633031"/>
    <w:rsid w:val="00633EDB"/>
    <w:rsid w:val="006361C2"/>
    <w:rsid w:val="00640548"/>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76636"/>
    <w:rsid w:val="006816E7"/>
    <w:rsid w:val="006825F1"/>
    <w:rsid w:val="006848A8"/>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A5949"/>
    <w:rsid w:val="006B0E7D"/>
    <w:rsid w:val="006B20AA"/>
    <w:rsid w:val="006B2303"/>
    <w:rsid w:val="006B4812"/>
    <w:rsid w:val="006C3379"/>
    <w:rsid w:val="006C6F2C"/>
    <w:rsid w:val="006D3839"/>
    <w:rsid w:val="006D3F50"/>
    <w:rsid w:val="006D4892"/>
    <w:rsid w:val="006D52B1"/>
    <w:rsid w:val="006D65B3"/>
    <w:rsid w:val="006D7312"/>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008"/>
    <w:rsid w:val="00703853"/>
    <w:rsid w:val="0070388C"/>
    <w:rsid w:val="0070685A"/>
    <w:rsid w:val="007102EC"/>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489C"/>
    <w:rsid w:val="0076664F"/>
    <w:rsid w:val="0076686C"/>
    <w:rsid w:val="007669D0"/>
    <w:rsid w:val="00770273"/>
    <w:rsid w:val="00770324"/>
    <w:rsid w:val="007710BA"/>
    <w:rsid w:val="00772C41"/>
    <w:rsid w:val="007751E2"/>
    <w:rsid w:val="0077574D"/>
    <w:rsid w:val="00775F40"/>
    <w:rsid w:val="00775F61"/>
    <w:rsid w:val="00776A8E"/>
    <w:rsid w:val="00776B40"/>
    <w:rsid w:val="00783111"/>
    <w:rsid w:val="007840DD"/>
    <w:rsid w:val="0078434F"/>
    <w:rsid w:val="00785A75"/>
    <w:rsid w:val="00786167"/>
    <w:rsid w:val="00786996"/>
    <w:rsid w:val="00787639"/>
    <w:rsid w:val="00790E5E"/>
    <w:rsid w:val="00793BB8"/>
    <w:rsid w:val="00795A9C"/>
    <w:rsid w:val="00795C6B"/>
    <w:rsid w:val="00795D4A"/>
    <w:rsid w:val="007964D2"/>
    <w:rsid w:val="007971CB"/>
    <w:rsid w:val="007A0E22"/>
    <w:rsid w:val="007A15E6"/>
    <w:rsid w:val="007A17E3"/>
    <w:rsid w:val="007A57E4"/>
    <w:rsid w:val="007B3D5A"/>
    <w:rsid w:val="007B7453"/>
    <w:rsid w:val="007C222C"/>
    <w:rsid w:val="007C493D"/>
    <w:rsid w:val="007C5026"/>
    <w:rsid w:val="007C5307"/>
    <w:rsid w:val="007C70FB"/>
    <w:rsid w:val="007D0B07"/>
    <w:rsid w:val="007D120D"/>
    <w:rsid w:val="007D222B"/>
    <w:rsid w:val="007D2C44"/>
    <w:rsid w:val="007D5D4C"/>
    <w:rsid w:val="007E04EC"/>
    <w:rsid w:val="007E0BF5"/>
    <w:rsid w:val="007E0DC4"/>
    <w:rsid w:val="007E60D0"/>
    <w:rsid w:val="007E61EF"/>
    <w:rsid w:val="007E68F0"/>
    <w:rsid w:val="007F1A48"/>
    <w:rsid w:val="007F6BE1"/>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C9D"/>
    <w:rsid w:val="00882ED1"/>
    <w:rsid w:val="00883ACD"/>
    <w:rsid w:val="008861A8"/>
    <w:rsid w:val="00890EEB"/>
    <w:rsid w:val="008939D5"/>
    <w:rsid w:val="0089424F"/>
    <w:rsid w:val="008A003E"/>
    <w:rsid w:val="008A11C7"/>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17E1"/>
    <w:rsid w:val="0091201E"/>
    <w:rsid w:val="00912EA5"/>
    <w:rsid w:val="00913F6A"/>
    <w:rsid w:val="00915125"/>
    <w:rsid w:val="0091606D"/>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3627"/>
    <w:rsid w:val="0094608F"/>
    <w:rsid w:val="00946262"/>
    <w:rsid w:val="00952DBE"/>
    <w:rsid w:val="00953DB9"/>
    <w:rsid w:val="00954D9A"/>
    <w:rsid w:val="00955176"/>
    <w:rsid w:val="00961866"/>
    <w:rsid w:val="00965A02"/>
    <w:rsid w:val="009672A6"/>
    <w:rsid w:val="0097251E"/>
    <w:rsid w:val="00973CF0"/>
    <w:rsid w:val="00975132"/>
    <w:rsid w:val="00975B2D"/>
    <w:rsid w:val="0097794A"/>
    <w:rsid w:val="00977E50"/>
    <w:rsid w:val="00980A97"/>
    <w:rsid w:val="00980B32"/>
    <w:rsid w:val="00981122"/>
    <w:rsid w:val="009815DB"/>
    <w:rsid w:val="00982C3E"/>
    <w:rsid w:val="009865D0"/>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D15A0"/>
    <w:rsid w:val="009D16DD"/>
    <w:rsid w:val="009D4AB5"/>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17A0"/>
    <w:rsid w:val="00A21F18"/>
    <w:rsid w:val="00A228F7"/>
    <w:rsid w:val="00A26548"/>
    <w:rsid w:val="00A27F81"/>
    <w:rsid w:val="00A31F35"/>
    <w:rsid w:val="00A42BCC"/>
    <w:rsid w:val="00A45068"/>
    <w:rsid w:val="00A45356"/>
    <w:rsid w:val="00A4590E"/>
    <w:rsid w:val="00A4618E"/>
    <w:rsid w:val="00A46534"/>
    <w:rsid w:val="00A47CA1"/>
    <w:rsid w:val="00A528CB"/>
    <w:rsid w:val="00A53781"/>
    <w:rsid w:val="00A53AD2"/>
    <w:rsid w:val="00A55396"/>
    <w:rsid w:val="00A5684F"/>
    <w:rsid w:val="00A57E48"/>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5D7F"/>
    <w:rsid w:val="00AB74ED"/>
    <w:rsid w:val="00AB7F55"/>
    <w:rsid w:val="00AC2953"/>
    <w:rsid w:val="00AC29FC"/>
    <w:rsid w:val="00AC430B"/>
    <w:rsid w:val="00AC5D9F"/>
    <w:rsid w:val="00AC63A5"/>
    <w:rsid w:val="00AC798B"/>
    <w:rsid w:val="00AD1B89"/>
    <w:rsid w:val="00AD2211"/>
    <w:rsid w:val="00AD244C"/>
    <w:rsid w:val="00AD44C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17EE"/>
    <w:rsid w:val="00B24530"/>
    <w:rsid w:val="00B245A2"/>
    <w:rsid w:val="00B2590B"/>
    <w:rsid w:val="00B26124"/>
    <w:rsid w:val="00B31B06"/>
    <w:rsid w:val="00B31D6C"/>
    <w:rsid w:val="00B32948"/>
    <w:rsid w:val="00B43374"/>
    <w:rsid w:val="00B5184E"/>
    <w:rsid w:val="00B545FC"/>
    <w:rsid w:val="00B54BB0"/>
    <w:rsid w:val="00B554D7"/>
    <w:rsid w:val="00B55B6D"/>
    <w:rsid w:val="00B570D4"/>
    <w:rsid w:val="00B57BFE"/>
    <w:rsid w:val="00B603FA"/>
    <w:rsid w:val="00B63045"/>
    <w:rsid w:val="00B674D3"/>
    <w:rsid w:val="00B7099D"/>
    <w:rsid w:val="00B73CA7"/>
    <w:rsid w:val="00B73E0C"/>
    <w:rsid w:val="00B74223"/>
    <w:rsid w:val="00B7470A"/>
    <w:rsid w:val="00B75810"/>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443B"/>
    <w:rsid w:val="00BB70F2"/>
    <w:rsid w:val="00BC19B9"/>
    <w:rsid w:val="00BC1B88"/>
    <w:rsid w:val="00BC45BC"/>
    <w:rsid w:val="00BC4742"/>
    <w:rsid w:val="00BC62E3"/>
    <w:rsid w:val="00BC6862"/>
    <w:rsid w:val="00BD0C26"/>
    <w:rsid w:val="00BD485A"/>
    <w:rsid w:val="00BD4F2F"/>
    <w:rsid w:val="00BD55FF"/>
    <w:rsid w:val="00BD6B48"/>
    <w:rsid w:val="00BD7B3D"/>
    <w:rsid w:val="00BE17CC"/>
    <w:rsid w:val="00BE1A87"/>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75"/>
    <w:rsid w:val="00C46DCC"/>
    <w:rsid w:val="00C47438"/>
    <w:rsid w:val="00C50DB8"/>
    <w:rsid w:val="00C525E8"/>
    <w:rsid w:val="00C558BD"/>
    <w:rsid w:val="00C55AA0"/>
    <w:rsid w:val="00C56D36"/>
    <w:rsid w:val="00C570A2"/>
    <w:rsid w:val="00C605CA"/>
    <w:rsid w:val="00C61BCD"/>
    <w:rsid w:val="00C6306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4CE7"/>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753F"/>
    <w:rsid w:val="00CE06CF"/>
    <w:rsid w:val="00CE1B8F"/>
    <w:rsid w:val="00CE3D17"/>
    <w:rsid w:val="00CE3E33"/>
    <w:rsid w:val="00CE4F34"/>
    <w:rsid w:val="00CE6A9D"/>
    <w:rsid w:val="00CE759F"/>
    <w:rsid w:val="00CE7776"/>
    <w:rsid w:val="00CF48DA"/>
    <w:rsid w:val="00D03555"/>
    <w:rsid w:val="00D039E8"/>
    <w:rsid w:val="00D04A6F"/>
    <w:rsid w:val="00D0503F"/>
    <w:rsid w:val="00D05255"/>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50B0A"/>
    <w:rsid w:val="00D54D96"/>
    <w:rsid w:val="00D55AD1"/>
    <w:rsid w:val="00D56B4E"/>
    <w:rsid w:val="00D57EC4"/>
    <w:rsid w:val="00D602CC"/>
    <w:rsid w:val="00D609C5"/>
    <w:rsid w:val="00D626D1"/>
    <w:rsid w:val="00D628CC"/>
    <w:rsid w:val="00D64514"/>
    <w:rsid w:val="00D66235"/>
    <w:rsid w:val="00D67905"/>
    <w:rsid w:val="00D727EE"/>
    <w:rsid w:val="00D74536"/>
    <w:rsid w:val="00D75EE5"/>
    <w:rsid w:val="00D762C8"/>
    <w:rsid w:val="00D76C34"/>
    <w:rsid w:val="00D80429"/>
    <w:rsid w:val="00D816A5"/>
    <w:rsid w:val="00D8190A"/>
    <w:rsid w:val="00D82992"/>
    <w:rsid w:val="00D85BF2"/>
    <w:rsid w:val="00D86436"/>
    <w:rsid w:val="00D90418"/>
    <w:rsid w:val="00D90C20"/>
    <w:rsid w:val="00D90F33"/>
    <w:rsid w:val="00D915D7"/>
    <w:rsid w:val="00D926D0"/>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7B52"/>
    <w:rsid w:val="00E122E3"/>
    <w:rsid w:val="00E13B6A"/>
    <w:rsid w:val="00E14A69"/>
    <w:rsid w:val="00E24688"/>
    <w:rsid w:val="00E251C3"/>
    <w:rsid w:val="00E25329"/>
    <w:rsid w:val="00E327C8"/>
    <w:rsid w:val="00E33654"/>
    <w:rsid w:val="00E3474D"/>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3D75"/>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041"/>
    <w:rsid w:val="00F00A08"/>
    <w:rsid w:val="00F03DA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2FFD"/>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55702"/>
    <w:rsid w:val="00F575A4"/>
    <w:rsid w:val="00F60D75"/>
    <w:rsid w:val="00F61A93"/>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1F5E"/>
    <w:rsid w:val="00FB255B"/>
    <w:rsid w:val="00FB26FC"/>
    <w:rsid w:val="00FB33FA"/>
    <w:rsid w:val="00FB49CB"/>
    <w:rsid w:val="00FB5CFF"/>
    <w:rsid w:val="00FB605B"/>
    <w:rsid w:val="00FB6BDC"/>
    <w:rsid w:val="00FB74EC"/>
    <w:rsid w:val="00FB7D08"/>
    <w:rsid w:val="00FC1FCD"/>
    <w:rsid w:val="00FC20ED"/>
    <w:rsid w:val="00FC40CC"/>
    <w:rsid w:val="00FC5D9B"/>
    <w:rsid w:val="00FC747E"/>
    <w:rsid w:val="00FC7DDA"/>
    <w:rsid w:val="00FD1685"/>
    <w:rsid w:val="00FD17F8"/>
    <w:rsid w:val="00FD1B37"/>
    <w:rsid w:val="00FD1E95"/>
    <w:rsid w:val="00FD47DF"/>
    <w:rsid w:val="00FD5A48"/>
    <w:rsid w:val="00FD7C4B"/>
    <w:rsid w:val="00FE099C"/>
    <w:rsid w:val="00FE120E"/>
    <w:rsid w:val="00FE2223"/>
    <w:rsid w:val="00FE31E5"/>
    <w:rsid w:val="00FF0FCD"/>
    <w:rsid w:val="00FF1221"/>
    <w:rsid w:val="00FF2732"/>
    <w:rsid w:val="00FF2E03"/>
    <w:rsid w:val="00FF3DCE"/>
    <w:rsid w:val="00FF48A7"/>
    <w:rsid w:val="00FF4A29"/>
    <w:rsid w:val="00FF4DAA"/>
    <w:rsid w:val="00FF4E26"/>
    <w:rsid w:val="00FF71C9"/>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enu v:ext="edit" fillcolor="none"/>
    </o:shapedefaults>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FB1F5E"/>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FB1F5E"/>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52" Type="http://schemas.microsoft.com/office/2011/relationships/people" Target="people.xml"/><Relationship Id="rId10" Type="http://schemas.openxmlformats.org/officeDocument/2006/relationships/image" Target="media/image2.jpg"/><Relationship Id="rId19" Type="http://schemas.openxmlformats.org/officeDocument/2006/relationships/theme" Target="theme/theme1.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0EF6-53DB-4F5F-A68E-45A0754E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17212</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2014-07-24T13:01:00Z</dcterms:created>
  <dcterms:modified xsi:type="dcterms:W3CDTF">2015-08-11T12:40:00Z</dcterms:modified>
</cp:coreProperties>
</file>