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7" w:rsidRPr="0072336E" w:rsidRDefault="00073C22" w:rsidP="00C41D44">
      <w:pPr>
        <w:pStyle w:val="Chapitre"/>
        <w:rPr>
          <w:lang w:val="fr-FR"/>
        </w:rPr>
      </w:pPr>
      <w:bookmarkStart w:id="0" w:name="_Toc241553704"/>
      <w:bookmarkStart w:id="1" w:name="_Toc154220427"/>
      <w:bookmarkStart w:id="2" w:name="_Toc302374677"/>
      <w:bookmarkStart w:id="3" w:name="_Toc319060154"/>
      <w:bookmarkStart w:id="4" w:name="_GoBack"/>
      <w:bookmarkEnd w:id="4"/>
      <w:r w:rsidRPr="0072336E">
        <w:rPr>
          <w:lang w:val="fr-FR"/>
        </w:rPr>
        <w:t xml:space="preserve">UnitÉ </w:t>
      </w:r>
      <w:r w:rsidR="00C171E7" w:rsidRPr="0072336E">
        <w:rPr>
          <w:lang w:val="fr-FR"/>
        </w:rPr>
        <w:t>3</w:t>
      </w:r>
      <w:bookmarkEnd w:id="0"/>
      <w:bookmarkEnd w:id="1"/>
    </w:p>
    <w:p w:rsidR="00627CF4" w:rsidRPr="00BA1D2D" w:rsidRDefault="00627CF4" w:rsidP="00DD45B1">
      <w:pPr>
        <w:pStyle w:val="UPlan"/>
        <w:rPr>
          <w:lang w:val="fr-FR"/>
        </w:rPr>
      </w:pPr>
      <w:bookmarkStart w:id="5" w:name="_Toc241553705"/>
      <w:r w:rsidRPr="00BA1D2D">
        <w:rPr>
          <w:lang w:val="fr-FR"/>
        </w:rPr>
        <w:t>Concepts clÉs de la Convention</w:t>
      </w:r>
    </w:p>
    <w:p w:rsidR="0090755C" w:rsidRPr="00BA1D2D" w:rsidRDefault="0090755C" w:rsidP="00DD45B1">
      <w:pPr>
        <w:pStyle w:val="Titcoul"/>
        <w:rPr>
          <w:lang w:val="fr-FR"/>
        </w:rPr>
      </w:pPr>
      <w:r w:rsidRPr="00BA1D2D">
        <w:rPr>
          <w:lang w:val="fr-FR"/>
        </w:rPr>
        <w:t>Plan de cours</w:t>
      </w:r>
    </w:p>
    <w:p w:rsidR="00C171E7" w:rsidRPr="00971297" w:rsidRDefault="00C171E7" w:rsidP="00C04885">
      <w:pPr>
        <w:pStyle w:val="UTit4"/>
        <w:pBdr>
          <w:bottom w:val="single" w:sz="12" w:space="24" w:color="auto" w:shadow="1"/>
        </w:pBdr>
        <w:rPr>
          <w:lang w:val="fr-FR"/>
        </w:rPr>
      </w:pPr>
      <w:bookmarkStart w:id="6" w:name="_Toc154220428"/>
      <w:bookmarkEnd w:id="2"/>
      <w:bookmarkEnd w:id="3"/>
      <w:bookmarkEnd w:id="5"/>
      <w:r w:rsidRPr="00971297">
        <w:rPr>
          <w:lang w:val="fr-FR"/>
        </w:rPr>
        <w:t>Durée</w:t>
      </w:r>
      <w:r w:rsidR="00AB456B" w:rsidRPr="00971297">
        <w:rPr>
          <w:lang w:val="fr-FR"/>
        </w:rPr>
        <w:t> :</w:t>
      </w:r>
    </w:p>
    <w:p w:rsidR="00C171E7" w:rsidRPr="00971297" w:rsidRDefault="00C171E7" w:rsidP="00C04885">
      <w:pPr>
        <w:pStyle w:val="UTxt"/>
        <w:pBdr>
          <w:bottom w:val="single" w:sz="12" w:space="24" w:color="auto" w:shadow="1"/>
        </w:pBdr>
        <w:rPr>
          <w:i w:val="0"/>
        </w:rPr>
      </w:pPr>
      <w:r w:rsidRPr="00971297">
        <w:rPr>
          <w:i w:val="0"/>
        </w:rPr>
        <w:t>2 heures</w:t>
      </w:r>
      <w:r w:rsidR="0090755C" w:rsidRPr="00971297">
        <w:rPr>
          <w:b/>
          <w:i w:val="0"/>
          <w:caps/>
          <w:noProof/>
          <w:color w:val="3366FF"/>
          <w:szCs w:val="20"/>
          <w:lang w:val="es-ES_tradnl" w:eastAsia="es-ES_tradnl"/>
        </w:rPr>
        <w:drawing>
          <wp:anchor distT="0" distB="0" distL="114300" distR="114300" simplePos="0" relativeHeight="251664896" behindDoc="1" locked="1" layoutInCell="1" allowOverlap="0" wp14:anchorId="61FE5DD8" wp14:editId="76630041">
            <wp:simplePos x="0" y="0"/>
            <wp:positionH relativeFrom="margin">
              <wp:posOffset>431800</wp:posOffset>
            </wp:positionH>
            <wp:positionV relativeFrom="margin">
              <wp:posOffset>1980565</wp:posOffset>
            </wp:positionV>
            <wp:extent cx="4870411" cy="4498145"/>
            <wp:effectExtent l="0" t="0" r="6985" b="0"/>
            <wp:wrapNone/>
            <wp:docPr id="321"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C171E7" w:rsidRPr="00971297" w:rsidRDefault="00C171E7" w:rsidP="00C04885">
      <w:pPr>
        <w:pStyle w:val="UTit4"/>
        <w:pBdr>
          <w:bottom w:val="single" w:sz="12" w:space="24" w:color="auto" w:shadow="1"/>
        </w:pBdr>
        <w:rPr>
          <w:lang w:val="fr-FR"/>
        </w:rPr>
      </w:pPr>
      <w:r w:rsidRPr="00971297">
        <w:rPr>
          <w:lang w:val="fr-FR"/>
        </w:rPr>
        <w:t>Objectif(s)</w:t>
      </w:r>
      <w:r w:rsidR="00AB456B" w:rsidRPr="00971297">
        <w:rPr>
          <w:lang w:val="fr-FR"/>
        </w:rPr>
        <w:t> :</w:t>
      </w:r>
    </w:p>
    <w:p w:rsidR="00C171E7" w:rsidRPr="00971297" w:rsidRDefault="00C171E7" w:rsidP="00C04885">
      <w:pPr>
        <w:pStyle w:val="UTxt"/>
        <w:pBdr>
          <w:bottom w:val="single" w:sz="12" w:space="24" w:color="auto" w:shadow="1"/>
        </w:pBdr>
        <w:rPr>
          <w:i w:val="0"/>
        </w:rPr>
      </w:pPr>
      <w:r w:rsidRPr="00971297">
        <w:rPr>
          <w:i w:val="0"/>
        </w:rPr>
        <w:t xml:space="preserve">Permettre une compréhension approfondie de certains concepts clés employés dans la Convention </w:t>
      </w:r>
      <w:r w:rsidR="00146650" w:rsidRPr="00971297">
        <w:rPr>
          <w:i w:val="0"/>
        </w:rPr>
        <w:t>pour la sauvegarde du patrimoine culturel immatériel</w:t>
      </w:r>
      <w:r w:rsidR="0036543A" w:rsidRPr="00971297">
        <w:rPr>
          <w:rStyle w:val="FootnoteReference"/>
          <w:i w:val="0"/>
          <w:sz w:val="20"/>
        </w:rPr>
        <w:footnoteReference w:customMarkFollows="1" w:id="2"/>
        <w:t>1</w:t>
      </w:r>
      <w:r w:rsidR="00146650" w:rsidRPr="00971297">
        <w:rPr>
          <w:i w:val="0"/>
        </w:rPr>
        <w:t xml:space="preserve"> </w:t>
      </w:r>
      <w:r w:rsidRPr="00971297">
        <w:rPr>
          <w:i w:val="0"/>
        </w:rPr>
        <w:t xml:space="preserve">et ses </w:t>
      </w:r>
      <w:r w:rsidR="00AB456B" w:rsidRPr="00971297">
        <w:rPr>
          <w:i w:val="0"/>
        </w:rPr>
        <w:t>D</w:t>
      </w:r>
      <w:r w:rsidR="0036543A" w:rsidRPr="00971297">
        <w:rPr>
          <w:i w:val="0"/>
        </w:rPr>
        <w:t>irectives opérationnelles</w:t>
      </w:r>
      <w:r w:rsidR="00AB456B" w:rsidRPr="00971297">
        <w:rPr>
          <w:i w:val="0"/>
        </w:rPr>
        <w:t xml:space="preserve"> (DO)</w:t>
      </w:r>
      <w:r w:rsidRPr="00971297">
        <w:rPr>
          <w:i w:val="0"/>
        </w:rPr>
        <w:t> : « </w:t>
      </w:r>
      <w:r w:rsidR="000D649B" w:rsidRPr="00971297">
        <w:rPr>
          <w:i w:val="0"/>
        </w:rPr>
        <w:t>patrimoine culturel immatériel (PCI) »</w:t>
      </w:r>
      <w:r w:rsidRPr="00971297">
        <w:rPr>
          <w:i w:val="0"/>
        </w:rPr>
        <w:t>, « communautés », « sauvegarde », « viabilité », « inventaire », « sensibilisation », « revitalisation », etc</w:t>
      </w:r>
      <w:proofErr w:type="gramStart"/>
      <w:r w:rsidRPr="00971297">
        <w:rPr>
          <w:i w:val="0"/>
        </w:rPr>
        <w:t>.</w:t>
      </w:r>
      <w:r w:rsidR="0036543A" w:rsidRPr="00971297">
        <w:rPr>
          <w:i w:val="0"/>
        </w:rPr>
        <w:t>.</w:t>
      </w:r>
      <w:proofErr w:type="gramEnd"/>
    </w:p>
    <w:p w:rsidR="00C171E7" w:rsidRPr="00971297" w:rsidRDefault="00C171E7" w:rsidP="00C04885">
      <w:pPr>
        <w:pStyle w:val="UTit4"/>
        <w:pBdr>
          <w:bottom w:val="single" w:sz="12" w:space="24" w:color="auto" w:shadow="1"/>
        </w:pBdr>
        <w:rPr>
          <w:lang w:val="fr-FR"/>
        </w:rPr>
      </w:pPr>
      <w:r w:rsidRPr="00971297">
        <w:rPr>
          <w:lang w:val="fr-FR"/>
        </w:rPr>
        <w:t>Description</w:t>
      </w:r>
      <w:r w:rsidR="00AB456B" w:rsidRPr="00971297">
        <w:rPr>
          <w:lang w:val="fr-FR"/>
        </w:rPr>
        <w:t> :</w:t>
      </w:r>
    </w:p>
    <w:p w:rsidR="00803252" w:rsidRPr="00971297" w:rsidRDefault="00AB456B" w:rsidP="00C04885">
      <w:pPr>
        <w:pStyle w:val="UTxt"/>
        <w:pBdr>
          <w:bottom w:val="single" w:sz="12" w:space="24" w:color="auto" w:shadow="1"/>
        </w:pBdr>
        <w:rPr>
          <w:i w:val="0"/>
        </w:rPr>
      </w:pPr>
      <w:r w:rsidRPr="00971297">
        <w:rPr>
          <w:i w:val="0"/>
        </w:rPr>
        <w:t>La présen</w:t>
      </w:r>
      <w:r w:rsidR="00803252" w:rsidRPr="00971297">
        <w:rPr>
          <w:i w:val="0"/>
        </w:rPr>
        <w:t xml:space="preserve">te </w:t>
      </w:r>
      <w:r w:rsidR="00332914" w:rsidRPr="00971297">
        <w:rPr>
          <w:i w:val="0"/>
        </w:rPr>
        <w:t>u</w:t>
      </w:r>
      <w:r w:rsidR="00803252" w:rsidRPr="00971297">
        <w:rPr>
          <w:i w:val="0"/>
        </w:rPr>
        <w:t xml:space="preserve">nité </w:t>
      </w:r>
      <w:r w:rsidR="0036543A" w:rsidRPr="00971297">
        <w:rPr>
          <w:i w:val="0"/>
        </w:rPr>
        <w:t>porte sur l</w:t>
      </w:r>
      <w:r w:rsidR="00803252" w:rsidRPr="00971297">
        <w:rPr>
          <w:i w:val="0"/>
        </w:rPr>
        <w:t xml:space="preserve">es concepts clés utilisés dans la Convention et ses </w:t>
      </w:r>
      <w:r w:rsidRPr="00971297">
        <w:rPr>
          <w:i w:val="0"/>
        </w:rPr>
        <w:t>DO</w:t>
      </w:r>
      <w:r w:rsidR="00803252" w:rsidRPr="00971297">
        <w:rPr>
          <w:i w:val="0"/>
        </w:rPr>
        <w:t xml:space="preserve">. </w:t>
      </w:r>
      <w:r w:rsidR="00636CF8" w:rsidRPr="00971297">
        <w:rPr>
          <w:i w:val="0"/>
        </w:rPr>
        <w:t>Bien que les États parties aie</w:t>
      </w:r>
      <w:r w:rsidR="00803252" w:rsidRPr="00971297">
        <w:rPr>
          <w:i w:val="0"/>
        </w:rPr>
        <w:t xml:space="preserve">nt </w:t>
      </w:r>
      <w:r w:rsidR="002D4CB0" w:rsidRPr="00971297">
        <w:rPr>
          <w:i w:val="0"/>
        </w:rPr>
        <w:t>toute latitude pour</w:t>
      </w:r>
      <w:r w:rsidR="00FE79A1" w:rsidRPr="00971297">
        <w:rPr>
          <w:i w:val="0"/>
        </w:rPr>
        <w:t xml:space="preserve"> suivre les</w:t>
      </w:r>
      <w:r w:rsidR="0036543A" w:rsidRPr="00971297">
        <w:rPr>
          <w:i w:val="0"/>
        </w:rPr>
        <w:t xml:space="preserve"> </w:t>
      </w:r>
      <w:r w:rsidR="00636CF8" w:rsidRPr="00971297">
        <w:rPr>
          <w:i w:val="0"/>
        </w:rPr>
        <w:t xml:space="preserve">explications et </w:t>
      </w:r>
      <w:r w:rsidR="00FE79A1" w:rsidRPr="00971297">
        <w:rPr>
          <w:i w:val="0"/>
        </w:rPr>
        <w:t xml:space="preserve">les </w:t>
      </w:r>
      <w:r w:rsidR="002B22E8" w:rsidRPr="00971297">
        <w:rPr>
          <w:i w:val="0"/>
        </w:rPr>
        <w:t xml:space="preserve">informations de </w:t>
      </w:r>
      <w:r w:rsidR="0036543A" w:rsidRPr="00971297">
        <w:rPr>
          <w:i w:val="0"/>
        </w:rPr>
        <w:t xml:space="preserve">base </w:t>
      </w:r>
      <w:r w:rsidR="00636CF8" w:rsidRPr="00971297">
        <w:rPr>
          <w:i w:val="0"/>
        </w:rPr>
        <w:t>relatives à</w:t>
      </w:r>
      <w:r w:rsidR="0036543A" w:rsidRPr="00971297">
        <w:rPr>
          <w:i w:val="0"/>
        </w:rPr>
        <w:t xml:space="preserve"> certains concepts</w:t>
      </w:r>
      <w:r w:rsidR="00803252" w:rsidRPr="00971297">
        <w:rPr>
          <w:i w:val="0"/>
        </w:rPr>
        <w:t>, il</w:t>
      </w:r>
      <w:r w:rsidR="00636CF8" w:rsidRPr="00971297">
        <w:rPr>
          <w:i w:val="0"/>
        </w:rPr>
        <w:t xml:space="preserve"> leur est conseillé de</w:t>
      </w:r>
      <w:r w:rsidR="0036543A" w:rsidRPr="00971297">
        <w:rPr>
          <w:i w:val="0"/>
        </w:rPr>
        <w:t xml:space="preserve"> </w:t>
      </w:r>
      <w:r w:rsidR="00172984" w:rsidRPr="00971297">
        <w:rPr>
          <w:i w:val="0"/>
        </w:rPr>
        <w:t>ne</w:t>
      </w:r>
      <w:r w:rsidR="00803252" w:rsidRPr="00971297">
        <w:rPr>
          <w:i w:val="0"/>
        </w:rPr>
        <w:t xml:space="preserve"> </w:t>
      </w:r>
      <w:r w:rsidR="00172984" w:rsidRPr="00971297">
        <w:rPr>
          <w:i w:val="0"/>
        </w:rPr>
        <w:t>pas</w:t>
      </w:r>
      <w:r w:rsidR="00803252" w:rsidRPr="00971297">
        <w:rPr>
          <w:i w:val="0"/>
        </w:rPr>
        <w:t xml:space="preserve"> </w:t>
      </w:r>
      <w:r w:rsidR="00172984" w:rsidRPr="00971297">
        <w:rPr>
          <w:i w:val="0"/>
        </w:rPr>
        <w:t xml:space="preserve">trop </w:t>
      </w:r>
      <w:r w:rsidR="00636CF8" w:rsidRPr="00971297">
        <w:rPr>
          <w:i w:val="0"/>
        </w:rPr>
        <w:t xml:space="preserve">s’écarter </w:t>
      </w:r>
      <w:r w:rsidR="00803252" w:rsidRPr="00971297">
        <w:rPr>
          <w:i w:val="0"/>
        </w:rPr>
        <w:t>de la termino</w:t>
      </w:r>
      <w:r w:rsidR="00172984" w:rsidRPr="00971297">
        <w:rPr>
          <w:i w:val="0"/>
        </w:rPr>
        <w:t>logie et des définitions utilisées dans la Convention</w:t>
      </w:r>
      <w:r w:rsidR="00803252" w:rsidRPr="00971297">
        <w:rPr>
          <w:i w:val="0"/>
        </w:rPr>
        <w:t>.</w:t>
      </w:r>
    </w:p>
    <w:p w:rsidR="00803252" w:rsidRPr="00971297" w:rsidRDefault="00803252" w:rsidP="00C04885">
      <w:pPr>
        <w:pStyle w:val="UTxt"/>
        <w:pBdr>
          <w:bottom w:val="single" w:sz="12" w:space="24" w:color="auto" w:shadow="1"/>
        </w:pBdr>
      </w:pPr>
      <w:r w:rsidRPr="00971297">
        <w:t>Séquence proposée :</w:t>
      </w:r>
    </w:p>
    <w:p w:rsidR="00C171E7" w:rsidRPr="00971297" w:rsidRDefault="00C171E7" w:rsidP="00C04885">
      <w:pPr>
        <w:pStyle w:val="Upuce"/>
        <w:pBdr>
          <w:bottom w:val="single" w:sz="12" w:space="24" w:color="auto" w:shadow="1"/>
        </w:pBdr>
        <w:rPr>
          <w:noProof w:val="0"/>
        </w:rPr>
      </w:pPr>
      <w:r w:rsidRPr="00971297">
        <w:rPr>
          <w:noProof w:val="0"/>
        </w:rPr>
        <w:t>Nuage de mots de la Convention</w:t>
      </w:r>
    </w:p>
    <w:p w:rsidR="00C171E7" w:rsidRPr="00971297" w:rsidRDefault="00C171E7" w:rsidP="00C04885">
      <w:pPr>
        <w:pStyle w:val="Upuce"/>
        <w:pBdr>
          <w:bottom w:val="single" w:sz="12" w:space="24" w:color="auto" w:shadow="1"/>
        </w:pBdr>
        <w:rPr>
          <w:noProof w:val="0"/>
        </w:rPr>
      </w:pPr>
      <w:r w:rsidRPr="00971297">
        <w:rPr>
          <w:noProof w:val="0"/>
        </w:rPr>
        <w:t>Exercice : Ancrer la Convention au niveau national</w:t>
      </w:r>
    </w:p>
    <w:p w:rsidR="00C171E7" w:rsidRPr="00971297" w:rsidRDefault="004125AD" w:rsidP="00C04885">
      <w:pPr>
        <w:pStyle w:val="Upuce"/>
        <w:pBdr>
          <w:bottom w:val="single" w:sz="12" w:space="24" w:color="auto" w:shadow="1"/>
        </w:pBdr>
        <w:rPr>
          <w:noProof w:val="0"/>
        </w:rPr>
      </w:pPr>
      <w:r w:rsidRPr="00971297">
        <w:rPr>
          <w:noProof w:val="0"/>
        </w:rPr>
        <w:t xml:space="preserve">Le « patrimoine </w:t>
      </w:r>
      <w:r w:rsidR="00C171E7" w:rsidRPr="00971297">
        <w:rPr>
          <w:noProof w:val="0"/>
        </w:rPr>
        <w:t>immatériel » en tant que concept</w:t>
      </w:r>
    </w:p>
    <w:p w:rsidR="00C171E7" w:rsidRPr="00971297" w:rsidRDefault="00C171E7" w:rsidP="00C04885">
      <w:pPr>
        <w:pStyle w:val="Upuce"/>
        <w:pBdr>
          <w:bottom w:val="single" w:sz="12" w:space="24" w:color="auto" w:shadow="1"/>
        </w:pBdr>
        <w:rPr>
          <w:noProof w:val="0"/>
        </w:rPr>
      </w:pPr>
      <w:r w:rsidRPr="00971297">
        <w:rPr>
          <w:noProof w:val="0"/>
        </w:rPr>
        <w:t>Les « communautés, groupes et individus concernés » en tant que concept</w:t>
      </w:r>
    </w:p>
    <w:p w:rsidR="00C171E7" w:rsidRPr="00971297" w:rsidRDefault="00C171E7" w:rsidP="00C04885">
      <w:pPr>
        <w:pStyle w:val="Upuce"/>
        <w:pBdr>
          <w:bottom w:val="single" w:sz="12" w:space="24" w:color="auto" w:shadow="1"/>
        </w:pBdr>
        <w:rPr>
          <w:noProof w:val="0"/>
        </w:rPr>
      </w:pPr>
      <w:r w:rsidRPr="00971297">
        <w:rPr>
          <w:noProof w:val="0"/>
        </w:rPr>
        <w:t>La « sauvegarde » en tant que concept</w:t>
      </w:r>
    </w:p>
    <w:p w:rsidR="00332914" w:rsidRPr="00971297" w:rsidRDefault="00332914">
      <w:pPr>
        <w:widowControl/>
        <w:tabs>
          <w:tab w:val="clear" w:pos="567"/>
        </w:tabs>
        <w:snapToGrid/>
        <w:spacing w:after="0" w:line="240" w:lineRule="auto"/>
        <w:jc w:val="left"/>
        <w:rPr>
          <w:b/>
          <w:bCs/>
          <w:caps/>
          <w:szCs w:val="24"/>
          <w:lang w:eastAsia="en-US"/>
        </w:rPr>
      </w:pPr>
      <w:r w:rsidRPr="00971297">
        <w:br w:type="page"/>
      </w:r>
    </w:p>
    <w:p w:rsidR="00C171E7" w:rsidRPr="00971297" w:rsidRDefault="00C171E7" w:rsidP="00C41D44">
      <w:pPr>
        <w:pStyle w:val="UTit4"/>
        <w:rPr>
          <w:lang w:val="fr-FR"/>
        </w:rPr>
      </w:pPr>
      <w:r w:rsidRPr="00DD45B1">
        <w:rPr>
          <w:lang w:val="fr-FR"/>
        </w:rPr>
        <w:lastRenderedPageBreak/>
        <w:t xml:space="preserve">Documents </w:t>
      </w:r>
      <w:r w:rsidRPr="00971297">
        <w:rPr>
          <w:lang w:val="fr-FR"/>
        </w:rPr>
        <w:t>de référence</w:t>
      </w:r>
    </w:p>
    <w:p w:rsidR="00C04885" w:rsidRPr="00971297" w:rsidRDefault="00C04885" w:rsidP="00146650">
      <w:pPr>
        <w:pStyle w:val="Upuce"/>
        <w:rPr>
          <w:noProof w:val="0"/>
        </w:rPr>
      </w:pPr>
      <w:r w:rsidRPr="00971297">
        <w:rPr>
          <w:noProof w:val="0"/>
        </w:rPr>
        <w:t>Notes du facilitateur de l’Unité 3</w:t>
      </w:r>
    </w:p>
    <w:p w:rsidR="00C171E7" w:rsidRPr="00971297" w:rsidRDefault="00C04885" w:rsidP="00146650">
      <w:pPr>
        <w:pStyle w:val="Upuce"/>
        <w:rPr>
          <w:noProof w:val="0"/>
        </w:rPr>
      </w:pPr>
      <w:r w:rsidRPr="00971297">
        <w:rPr>
          <w:noProof w:val="0"/>
        </w:rPr>
        <w:t>Présentation PowerPoint de l’Unité 3</w:t>
      </w:r>
      <w:r w:rsidR="00C171E7" w:rsidRPr="00971297">
        <w:rPr>
          <w:noProof w:val="0"/>
        </w:rPr>
        <w:t xml:space="preserve"> </w:t>
      </w:r>
    </w:p>
    <w:p w:rsidR="002D1573" w:rsidRPr="00971297" w:rsidRDefault="00377B1E" w:rsidP="00146650">
      <w:pPr>
        <w:pStyle w:val="Upuce"/>
        <w:rPr>
          <w:noProof w:val="0"/>
        </w:rPr>
      </w:pPr>
      <w:r w:rsidRPr="00971297">
        <w:rPr>
          <w:noProof w:val="0"/>
        </w:rPr>
        <w:t>Texte du participant</w:t>
      </w:r>
      <w:r w:rsidR="00B06EB9" w:rsidRPr="00971297">
        <w:rPr>
          <w:noProof w:val="0"/>
        </w:rPr>
        <w:t xml:space="preserve"> de l’</w:t>
      </w:r>
      <w:r w:rsidRPr="00971297">
        <w:rPr>
          <w:noProof w:val="0"/>
        </w:rPr>
        <w:t>Unité 3</w:t>
      </w:r>
    </w:p>
    <w:p w:rsidR="00C171E7" w:rsidRPr="00971297" w:rsidRDefault="002D1573" w:rsidP="00146650">
      <w:pPr>
        <w:pStyle w:val="Upuce"/>
        <w:rPr>
          <w:noProof w:val="0"/>
        </w:rPr>
      </w:pPr>
      <w:r w:rsidRPr="00971297">
        <w:rPr>
          <w:i/>
          <w:noProof w:val="0"/>
        </w:rPr>
        <w:t>Textes fondamentaux</w:t>
      </w:r>
      <w:r w:rsidRPr="00971297">
        <w:rPr>
          <w:noProof w:val="0"/>
        </w:rPr>
        <w:t xml:space="preserve"> </w:t>
      </w:r>
      <w:r w:rsidRPr="00971297">
        <w:rPr>
          <w:i/>
          <w:noProof w:val="0"/>
        </w:rPr>
        <w:t>de la Convention de 2003 pour la sauvegarde du patrimoine culturel immatériel</w:t>
      </w:r>
      <w:r w:rsidR="00C878EE" w:rsidRPr="00971297">
        <w:rPr>
          <w:rStyle w:val="FootnoteReference"/>
          <w:noProof w:val="0"/>
          <w:sz w:val="20"/>
        </w:rPr>
        <w:footnoteReference w:customMarkFollows="1" w:id="3"/>
        <w:t>2</w:t>
      </w:r>
    </w:p>
    <w:p w:rsidR="00C171E7" w:rsidRPr="00971297" w:rsidRDefault="00C171E7" w:rsidP="001F28BE">
      <w:pPr>
        <w:pStyle w:val="Soustitre"/>
      </w:pPr>
      <w:bookmarkStart w:id="7" w:name="_Toc154220429"/>
      <w:bookmarkEnd w:id="6"/>
      <w:r w:rsidRPr="00971297">
        <w:t>Remarques et suggestions</w:t>
      </w:r>
    </w:p>
    <w:p w:rsidR="00C171E7" w:rsidRPr="00971297" w:rsidRDefault="00C171E7" w:rsidP="00C41D44">
      <w:pPr>
        <w:pStyle w:val="Texte1"/>
      </w:pPr>
      <w:r w:rsidRPr="00971297">
        <w:t xml:space="preserve">Cette séance </w:t>
      </w:r>
      <w:r w:rsidR="0067689E" w:rsidRPr="00971297">
        <w:t>introduit</w:t>
      </w:r>
      <w:r w:rsidRPr="00971297">
        <w:t xml:space="preserve"> </w:t>
      </w:r>
      <w:r w:rsidR="00C878EE" w:rsidRPr="00971297">
        <w:t>l</w:t>
      </w:r>
      <w:r w:rsidRPr="00971297">
        <w:t xml:space="preserve">es concepts clés </w:t>
      </w:r>
      <w:r w:rsidR="006E1FDA" w:rsidRPr="00971297">
        <w:t>utilis</w:t>
      </w:r>
      <w:r w:rsidRPr="00971297">
        <w:t xml:space="preserve">és dans la Convention du </w:t>
      </w:r>
      <w:r w:rsidR="00C878EE" w:rsidRPr="00971297">
        <w:t>patrimoine</w:t>
      </w:r>
      <w:r w:rsidRPr="00971297">
        <w:t xml:space="preserve"> immatériel</w:t>
      </w:r>
      <w:r w:rsidR="006E1FDA" w:rsidRPr="00971297">
        <w:t> : ils</w:t>
      </w:r>
      <w:r w:rsidRPr="00971297">
        <w:t xml:space="preserve"> sont examinés </w:t>
      </w:r>
      <w:r w:rsidR="00377B1E" w:rsidRPr="00971297">
        <w:t>dans le Texte du participant</w:t>
      </w:r>
      <w:r w:rsidR="00B06EB9" w:rsidRPr="00971297">
        <w:t xml:space="preserve"> de l’</w:t>
      </w:r>
      <w:r w:rsidR="00377B1E" w:rsidRPr="00971297">
        <w:t>Unité 3</w:t>
      </w:r>
      <w:r w:rsidRPr="00971297">
        <w:t>.</w:t>
      </w:r>
    </w:p>
    <w:p w:rsidR="00C171E7" w:rsidRPr="00971297" w:rsidRDefault="00C171E7" w:rsidP="00C41D44">
      <w:pPr>
        <w:pStyle w:val="Texte1"/>
      </w:pPr>
      <w:r w:rsidRPr="00971297">
        <w:t xml:space="preserve">Le facilitateur peut </w:t>
      </w:r>
      <w:r w:rsidR="00613DE8" w:rsidRPr="00971297">
        <w:t>montrer</w:t>
      </w:r>
      <w:r w:rsidRPr="00971297">
        <w:t xml:space="preserve"> l</w:t>
      </w:r>
      <w:r w:rsidR="00613DE8" w:rsidRPr="00971297">
        <w:t>es images de présentation</w:t>
      </w:r>
      <w:r w:rsidRPr="00971297">
        <w:t xml:space="preserve"> </w:t>
      </w:r>
      <w:r w:rsidR="001B3B3A" w:rsidRPr="00971297">
        <w:t xml:space="preserve">aux participants et discuter avec </w:t>
      </w:r>
      <w:r w:rsidRPr="00971297">
        <w:t>e</w:t>
      </w:r>
      <w:r w:rsidR="001B3B3A" w:rsidRPr="00971297">
        <w:t>ux</w:t>
      </w:r>
      <w:r w:rsidRPr="00971297">
        <w:t xml:space="preserve"> des concepts clés qu</w:t>
      </w:r>
      <w:r w:rsidR="006E1FDA" w:rsidRPr="00971297">
        <w:t xml:space="preserve">i y </w:t>
      </w:r>
      <w:r w:rsidR="00613DE8" w:rsidRPr="00971297">
        <w:t xml:space="preserve">sont </w:t>
      </w:r>
      <w:r w:rsidR="00BF7353" w:rsidRPr="00971297">
        <w:t>expos</w:t>
      </w:r>
      <w:r w:rsidR="00613DE8" w:rsidRPr="00971297">
        <w:t>és</w:t>
      </w:r>
      <w:r w:rsidRPr="00971297">
        <w:t xml:space="preserve"> ou </w:t>
      </w:r>
      <w:r w:rsidR="00906E5F" w:rsidRPr="00971297">
        <w:t xml:space="preserve">en ajouter </w:t>
      </w:r>
      <w:r w:rsidRPr="00971297">
        <w:t>d</w:t>
      </w:r>
      <w:r w:rsidR="001F7A0A" w:rsidRPr="00971297">
        <w:t>’</w:t>
      </w:r>
      <w:r w:rsidRPr="00971297">
        <w:t>autres</w:t>
      </w:r>
      <w:r w:rsidR="006734F0" w:rsidRPr="00971297">
        <w:t>,</w:t>
      </w:r>
      <w:r w:rsidRPr="00971297">
        <w:t xml:space="preserve"> </w:t>
      </w:r>
      <w:r w:rsidR="00BF7353" w:rsidRPr="00971297">
        <w:t>le cas échéant</w:t>
      </w:r>
      <w:r w:rsidRPr="00971297">
        <w:t xml:space="preserve">. </w:t>
      </w:r>
      <w:r w:rsidR="001B3B3A" w:rsidRPr="00971297">
        <w:t>Sinon, l</w:t>
      </w:r>
      <w:r w:rsidR="006734F0" w:rsidRPr="00971297">
        <w:t>a</w:t>
      </w:r>
      <w:r w:rsidR="00BF7353" w:rsidRPr="00971297">
        <w:t xml:space="preserve"> séance peut</w:t>
      </w:r>
      <w:r w:rsidR="00F245D9" w:rsidRPr="00971297">
        <w:t xml:space="preserve"> </w:t>
      </w:r>
      <w:r w:rsidR="001B3B3A" w:rsidRPr="00971297">
        <w:t>être</w:t>
      </w:r>
      <w:r w:rsidR="00906E5F" w:rsidRPr="00971297">
        <w:t xml:space="preserve"> menée</w:t>
      </w:r>
      <w:r w:rsidRPr="00971297">
        <w:t xml:space="preserve"> presqu</w:t>
      </w:r>
      <w:r w:rsidR="00451123" w:rsidRPr="00971297">
        <w:t>’</w:t>
      </w:r>
      <w:r w:rsidR="001B3B3A" w:rsidRPr="00971297">
        <w:t>entièrement</w:t>
      </w:r>
      <w:r w:rsidR="00906E5F" w:rsidRPr="00971297">
        <w:t xml:space="preserve"> sous forme de</w:t>
      </w:r>
      <w:r w:rsidRPr="00971297">
        <w:t xml:space="preserve"> discussion en petits groupes</w:t>
      </w:r>
      <w:r w:rsidR="006E1FDA" w:rsidRPr="00971297">
        <w:t xml:space="preserve"> où</w:t>
      </w:r>
      <w:r w:rsidRPr="00971297">
        <w:t xml:space="preserve"> les participants </w:t>
      </w:r>
      <w:r w:rsidR="000C7454" w:rsidRPr="00971297">
        <w:t>aur</w:t>
      </w:r>
      <w:r w:rsidR="006734F0" w:rsidRPr="00971297">
        <w:t xml:space="preserve">ont </w:t>
      </w:r>
      <w:r w:rsidR="000C7454" w:rsidRPr="00971297">
        <w:t>un débat sur les définitions</w:t>
      </w:r>
      <w:r w:rsidRPr="00971297">
        <w:t xml:space="preserve"> d</w:t>
      </w:r>
      <w:r w:rsidR="006734F0" w:rsidRPr="00971297">
        <w:t>’un certain nombre d</w:t>
      </w:r>
      <w:r w:rsidR="00481262" w:rsidRPr="00971297">
        <w:t>e concepts clés en réfléchissa</w:t>
      </w:r>
      <w:r w:rsidR="000C7454" w:rsidRPr="00971297">
        <w:t>nt</w:t>
      </w:r>
      <w:r w:rsidR="006734F0" w:rsidRPr="00971297">
        <w:t xml:space="preserve"> à</w:t>
      </w:r>
      <w:r w:rsidRPr="00971297">
        <w:t xml:space="preserve"> la manière d</w:t>
      </w:r>
      <w:r w:rsidR="00481262" w:rsidRPr="00971297">
        <w:t>ont ils pourraient</w:t>
      </w:r>
      <w:r w:rsidR="006E5E0A" w:rsidRPr="00971297">
        <w:t xml:space="preserve"> les employer</w:t>
      </w:r>
      <w:r w:rsidRPr="00971297">
        <w:t xml:space="preserve"> et </w:t>
      </w:r>
      <w:r w:rsidR="006E5E0A" w:rsidRPr="00971297">
        <w:t>les tra</w:t>
      </w:r>
      <w:r w:rsidR="00906E5F" w:rsidRPr="00971297">
        <w:t>duire</w:t>
      </w:r>
      <w:r w:rsidRPr="00971297">
        <w:t xml:space="preserve"> dans leur contexte local. </w:t>
      </w:r>
      <w:r w:rsidR="00451123" w:rsidRPr="00971297">
        <w:t>Cela p</w:t>
      </w:r>
      <w:r w:rsidR="000C7454" w:rsidRPr="00971297">
        <w:t>eu</w:t>
      </w:r>
      <w:r w:rsidR="00451123" w:rsidRPr="00971297">
        <w:t xml:space="preserve">t se faire sur la base </w:t>
      </w:r>
      <w:r w:rsidRPr="00971297">
        <w:t>de</w:t>
      </w:r>
      <w:r w:rsidR="006E5E0A" w:rsidRPr="00971297">
        <w:t>s</w:t>
      </w:r>
      <w:r w:rsidR="00736FA1" w:rsidRPr="00971297">
        <w:t xml:space="preserve"> termes existants</w:t>
      </w:r>
      <w:r w:rsidRPr="00971297">
        <w:t xml:space="preserve"> déjà</w:t>
      </w:r>
      <w:r w:rsidR="006734F0" w:rsidRPr="00971297">
        <w:t xml:space="preserve"> </w:t>
      </w:r>
      <w:r w:rsidR="00736FA1" w:rsidRPr="00971297">
        <w:t>en usage</w:t>
      </w:r>
      <w:r w:rsidR="006734F0" w:rsidRPr="00971297">
        <w:t xml:space="preserve"> dans le discours sur le</w:t>
      </w:r>
      <w:r w:rsidRPr="00971297">
        <w:t xml:space="preserve"> patrimoine </w:t>
      </w:r>
      <w:r w:rsidR="006734F0" w:rsidRPr="00971297">
        <w:t xml:space="preserve">et </w:t>
      </w:r>
      <w:r w:rsidR="00736FA1" w:rsidRPr="00971297">
        <w:t>autres thématique</w:t>
      </w:r>
      <w:r w:rsidRPr="00971297">
        <w:t xml:space="preserve">s </w:t>
      </w:r>
      <w:r w:rsidR="006734F0" w:rsidRPr="00971297">
        <w:t>connexe</w:t>
      </w:r>
      <w:r w:rsidRPr="00971297">
        <w:t>s. Au cours de ces d</w:t>
      </w:r>
      <w:r w:rsidR="00736FA1" w:rsidRPr="00971297">
        <w:t>iscussions</w:t>
      </w:r>
      <w:r w:rsidRPr="00971297">
        <w:t xml:space="preserve">, </w:t>
      </w:r>
      <w:r w:rsidR="0054261D" w:rsidRPr="00971297">
        <w:t xml:space="preserve">il </w:t>
      </w:r>
      <w:r w:rsidR="00736FA1" w:rsidRPr="00971297">
        <w:t>sera demandé</w:t>
      </w:r>
      <w:r w:rsidR="0054261D" w:rsidRPr="00971297">
        <w:t xml:space="preserve"> aux</w:t>
      </w:r>
      <w:r w:rsidRPr="00971297">
        <w:t xml:space="preserve"> p</w:t>
      </w:r>
      <w:r w:rsidR="0054261D" w:rsidRPr="00971297">
        <w:t>articipants</w:t>
      </w:r>
      <w:r w:rsidR="00736FA1" w:rsidRPr="00971297">
        <w:t xml:space="preserve">, le cas </w:t>
      </w:r>
      <w:r w:rsidRPr="00971297">
        <w:t>échéant (et avec l</w:t>
      </w:r>
      <w:r w:rsidR="001F7A0A" w:rsidRPr="00971297">
        <w:t>’</w:t>
      </w:r>
      <w:r w:rsidR="0054261D" w:rsidRPr="00971297">
        <w:t>aide du facilitateur), de</w:t>
      </w:r>
      <w:r w:rsidRPr="00971297">
        <w:t xml:space="preserve"> se référer au </w:t>
      </w:r>
      <w:r w:rsidR="0054261D" w:rsidRPr="00971297">
        <w:t xml:space="preserve">texte de la Convention </w:t>
      </w:r>
      <w:r w:rsidRPr="00971297">
        <w:t xml:space="preserve">dans les </w:t>
      </w:r>
      <w:r w:rsidRPr="00971297">
        <w:rPr>
          <w:i/>
        </w:rPr>
        <w:t>Textes fondamentaux</w:t>
      </w:r>
      <w:r w:rsidRPr="00971297">
        <w:t>.</w:t>
      </w:r>
    </w:p>
    <w:p w:rsidR="00C171E7" w:rsidRPr="00971297" w:rsidRDefault="00130C91" w:rsidP="00C41D44">
      <w:pPr>
        <w:pStyle w:val="Texte1"/>
      </w:pPr>
      <w:r w:rsidRPr="00971297">
        <w:t>Référence do</w:t>
      </w:r>
      <w:r w:rsidR="000819BA" w:rsidRPr="00971297">
        <w:t xml:space="preserve">it être faite, si </w:t>
      </w:r>
      <w:r w:rsidR="00C171E7" w:rsidRPr="00971297">
        <w:t>possible</w:t>
      </w:r>
      <w:r w:rsidR="000819BA" w:rsidRPr="00971297">
        <w:t>,</w:t>
      </w:r>
      <w:r w:rsidR="00C171E7" w:rsidRPr="00971297">
        <w:t xml:space="preserve"> aux articles pertinents de la Convention et à ses </w:t>
      </w:r>
      <w:r w:rsidR="00AB456B" w:rsidRPr="00971297">
        <w:t>DO</w:t>
      </w:r>
      <w:r w:rsidR="00C171E7" w:rsidRPr="00971297">
        <w:t>. Pendant l</w:t>
      </w:r>
      <w:r w:rsidR="001F7A0A" w:rsidRPr="00971297">
        <w:t>’</w:t>
      </w:r>
      <w:r w:rsidR="00C171E7" w:rsidRPr="00971297">
        <w:t xml:space="preserve">atelier, il </w:t>
      </w:r>
      <w:r w:rsidR="000819BA" w:rsidRPr="00971297">
        <w:t xml:space="preserve">faut </w:t>
      </w:r>
      <w:r w:rsidR="00C171E7" w:rsidRPr="00971297">
        <w:t>inciter les participants à se référer</w:t>
      </w:r>
      <w:r w:rsidR="000819BA" w:rsidRPr="00971297">
        <w:t>,</w:t>
      </w:r>
      <w:r w:rsidR="00C171E7" w:rsidRPr="00971297">
        <w:t xml:space="preserve"> </w:t>
      </w:r>
      <w:r w:rsidR="000819BA" w:rsidRPr="00971297">
        <w:t>si</w:t>
      </w:r>
      <w:r w:rsidR="00377B1E" w:rsidRPr="00971297">
        <w:t xml:space="preserve"> besoin </w:t>
      </w:r>
      <w:r w:rsidR="000819BA" w:rsidRPr="00971297">
        <w:t>est,</w:t>
      </w:r>
      <w:r w:rsidR="00377B1E" w:rsidRPr="00971297">
        <w:t xml:space="preserve"> </w:t>
      </w:r>
      <w:r w:rsidR="00C171E7" w:rsidRPr="00971297">
        <w:t xml:space="preserve">aux concepts clés </w:t>
      </w:r>
      <w:r w:rsidR="00274E8C" w:rsidRPr="00971297">
        <w:t>dans le</w:t>
      </w:r>
      <w:r w:rsidR="00B06EB9" w:rsidRPr="00971297">
        <w:t xml:space="preserve"> </w:t>
      </w:r>
      <w:r w:rsidR="00377B1E" w:rsidRPr="00971297">
        <w:t>Texte du participant</w:t>
      </w:r>
      <w:r w:rsidR="00B06EB9" w:rsidRPr="00971297">
        <w:t xml:space="preserve"> de l’Unité 3</w:t>
      </w:r>
      <w:r w:rsidR="00C171E7" w:rsidRPr="00971297">
        <w:t>. Il est important que les facilitateurs évitent d</w:t>
      </w:r>
      <w:r w:rsidR="001F7A0A" w:rsidRPr="00971297">
        <w:t>’</w:t>
      </w:r>
      <w:r w:rsidR="00C171E7" w:rsidRPr="00971297">
        <w:t>employer le terme « définitions » lorsqu</w:t>
      </w:r>
      <w:r w:rsidR="001F7A0A" w:rsidRPr="00971297">
        <w:t>’</w:t>
      </w:r>
      <w:r w:rsidR="00C171E7" w:rsidRPr="00971297">
        <w:t xml:space="preserve">ils </w:t>
      </w:r>
      <w:r w:rsidR="00274E8C" w:rsidRPr="00971297">
        <w:t>se</w:t>
      </w:r>
      <w:r w:rsidR="00C171E7" w:rsidRPr="00971297">
        <w:t xml:space="preserve"> réf</w:t>
      </w:r>
      <w:r w:rsidR="00274E8C" w:rsidRPr="00971297">
        <w:t>èrent</w:t>
      </w:r>
      <w:r w:rsidR="00C171E7" w:rsidRPr="00971297">
        <w:t xml:space="preserve"> aux explications </w:t>
      </w:r>
      <w:r w:rsidR="00274E8C" w:rsidRPr="00971297">
        <w:t>donné</w:t>
      </w:r>
      <w:r w:rsidR="00C171E7" w:rsidRPr="00971297">
        <w:t>es dans</w:t>
      </w:r>
      <w:r w:rsidR="00274E8C" w:rsidRPr="00971297">
        <w:t xml:space="preserve"> le Texte du participant de l’Unité 3</w:t>
      </w:r>
      <w:r w:rsidR="00C171E7" w:rsidRPr="00971297">
        <w:t>. Ce</w:t>
      </w:r>
      <w:r w:rsidR="00274E8C" w:rsidRPr="00971297">
        <w:t>tt</w:t>
      </w:r>
      <w:r w:rsidR="00C171E7" w:rsidRPr="00971297">
        <w:t xml:space="preserve">e </w:t>
      </w:r>
      <w:r w:rsidR="00B06EB9" w:rsidRPr="00971297">
        <w:t xml:space="preserve">dernière </w:t>
      </w:r>
      <w:r w:rsidR="00C171E7" w:rsidRPr="00971297">
        <w:t>ne propose pas de définitions « officielles » : il n</w:t>
      </w:r>
      <w:r w:rsidR="001F7A0A" w:rsidRPr="00971297">
        <w:t>’</w:t>
      </w:r>
      <w:r w:rsidR="00C171E7" w:rsidRPr="00971297">
        <w:t>existe pas d</w:t>
      </w:r>
      <w:r w:rsidR="001F7A0A" w:rsidRPr="00971297">
        <w:t>’</w:t>
      </w:r>
      <w:r w:rsidR="00C171E7" w:rsidRPr="00971297">
        <w:t xml:space="preserve">autres définitions officielles que celles </w:t>
      </w:r>
      <w:r w:rsidR="00274E8C" w:rsidRPr="00971297">
        <w:t>qui figurent</w:t>
      </w:r>
      <w:r w:rsidR="00C171E7" w:rsidRPr="00971297">
        <w:t xml:space="preserve"> dans la Convention.</w:t>
      </w:r>
    </w:p>
    <w:p w:rsidR="00C171E7" w:rsidRPr="00971297" w:rsidRDefault="000E4DEF" w:rsidP="00C41D44">
      <w:pPr>
        <w:pStyle w:val="Texte1"/>
      </w:pPr>
      <w:r w:rsidRPr="00971297">
        <w:t xml:space="preserve">Certains </w:t>
      </w:r>
      <w:r w:rsidR="00130C91" w:rsidRPr="00971297">
        <w:t>concepts</w:t>
      </w:r>
      <w:r w:rsidR="00ED295A" w:rsidRPr="00971297">
        <w:t>, comme celui de</w:t>
      </w:r>
      <w:r w:rsidR="00130C91" w:rsidRPr="00971297">
        <w:t xml:space="preserve"> </w:t>
      </w:r>
      <w:r w:rsidR="00ED295A" w:rsidRPr="00971297">
        <w:t>« </w:t>
      </w:r>
      <w:r w:rsidR="00130C91" w:rsidRPr="00971297">
        <w:t>PCI</w:t>
      </w:r>
      <w:r w:rsidR="00ED295A" w:rsidRPr="00971297">
        <w:t> »</w:t>
      </w:r>
      <w:r w:rsidR="00C171E7" w:rsidRPr="00971297">
        <w:t xml:space="preserve"> </w:t>
      </w:r>
      <w:r w:rsidR="006F578B" w:rsidRPr="00971297">
        <w:t>au</w:t>
      </w:r>
      <w:r w:rsidR="00C171E7" w:rsidRPr="00971297">
        <w:t xml:space="preserve">ront </w:t>
      </w:r>
      <w:r w:rsidR="006F578B" w:rsidRPr="00971297">
        <w:t xml:space="preserve">peut-être </w:t>
      </w:r>
      <w:r w:rsidR="00C171E7" w:rsidRPr="00971297">
        <w:t xml:space="preserve">déjà été </w:t>
      </w:r>
      <w:r w:rsidR="00ED295A" w:rsidRPr="00971297">
        <w:t>examin</w:t>
      </w:r>
      <w:r w:rsidR="00C171E7" w:rsidRPr="00971297">
        <w:t xml:space="preserve">és </w:t>
      </w:r>
      <w:r w:rsidR="006F578B" w:rsidRPr="00971297">
        <w:t>dans les</w:t>
      </w:r>
      <w:r w:rsidR="00AB5946" w:rsidRPr="00971297">
        <w:t xml:space="preserve"> </w:t>
      </w:r>
      <w:r w:rsidR="006F578B" w:rsidRPr="00971297">
        <w:t>U</w:t>
      </w:r>
      <w:r w:rsidR="00B654C3" w:rsidRPr="00971297">
        <w:t>nité</w:t>
      </w:r>
      <w:r w:rsidR="00AB5946" w:rsidRPr="00971297">
        <w:t>s</w:t>
      </w:r>
      <w:r w:rsidR="00C171E7" w:rsidRPr="00971297">
        <w:t xml:space="preserve"> 1 ou </w:t>
      </w:r>
      <w:r w:rsidR="00A15382" w:rsidRPr="00971297">
        <w:rPr>
          <w:noProof/>
          <w:lang w:val="es-ES_tradnl" w:eastAsia="es-ES_tradnl"/>
        </w:rPr>
        <w:drawing>
          <wp:anchor distT="0" distB="0" distL="114300" distR="114300" simplePos="0" relativeHeight="251638272" behindDoc="0" locked="1" layoutInCell="1" allowOverlap="0" wp14:anchorId="4F0DC72E" wp14:editId="5E9F1C6E">
            <wp:simplePos x="0" y="0"/>
            <wp:positionH relativeFrom="column">
              <wp:posOffset>0</wp:posOffset>
            </wp:positionH>
            <wp:positionV relativeFrom="paragraph">
              <wp:posOffset>-720090</wp:posOffset>
            </wp:positionV>
            <wp:extent cx="283695" cy="358970"/>
            <wp:effectExtent l="0" t="0" r="0" b="0"/>
            <wp:wrapThrough wrapText="bothSides">
              <wp:wrapPolygon edited="0">
                <wp:start x="0" y="0"/>
                <wp:lineTo x="0" y="19880"/>
                <wp:lineTo x="19372" y="19880"/>
                <wp:lineTo x="19372"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anchor>
        </w:drawing>
      </w:r>
      <w:r w:rsidR="00C171E7" w:rsidRPr="00971297">
        <w:t xml:space="preserve">2 et pourront </w:t>
      </w:r>
      <w:r w:rsidR="006F578B" w:rsidRPr="00971297">
        <w:t>donc</w:t>
      </w:r>
      <w:r w:rsidR="00C171E7" w:rsidRPr="00971297">
        <w:t xml:space="preserve"> être </w:t>
      </w:r>
      <w:r w:rsidR="00ED295A" w:rsidRPr="00971297">
        <w:t>traité</w:t>
      </w:r>
      <w:r w:rsidR="00C171E7" w:rsidRPr="00971297">
        <w:t>s</w:t>
      </w:r>
      <w:r w:rsidR="006F578B" w:rsidRPr="00971297">
        <w:t xml:space="preserve"> ici</w:t>
      </w:r>
      <w:r w:rsidR="00C171E7" w:rsidRPr="00971297">
        <w:t xml:space="preserve"> moins</w:t>
      </w:r>
      <w:r w:rsidR="00130C91" w:rsidRPr="00971297">
        <w:t xml:space="preserve"> en détail</w:t>
      </w:r>
      <w:r w:rsidR="00C171E7" w:rsidRPr="00971297">
        <w:t>. Les concepts de « com</w:t>
      </w:r>
      <w:r w:rsidR="006F578B" w:rsidRPr="00971297">
        <w:t>munauté » et de « sauvegarde » f</w:t>
      </w:r>
      <w:r w:rsidR="00C171E7" w:rsidRPr="00971297">
        <w:t xml:space="preserve">ont </w:t>
      </w:r>
      <w:r w:rsidR="006F578B" w:rsidRPr="00971297">
        <w:t>l’objet d’une attention particulière dans les</w:t>
      </w:r>
      <w:r w:rsidR="00C171E7" w:rsidRPr="00971297">
        <w:t xml:space="preserve"> </w:t>
      </w:r>
      <w:r w:rsidR="00B06EB9" w:rsidRPr="00971297">
        <w:t>unités</w:t>
      </w:r>
      <w:r w:rsidR="006F578B" w:rsidRPr="00971297">
        <w:t xml:space="preserve"> suivantes</w:t>
      </w:r>
      <w:r w:rsidR="00B06EB9" w:rsidRPr="00971297">
        <w:t xml:space="preserve"> </w:t>
      </w:r>
      <w:r w:rsidR="00C171E7" w:rsidRPr="00971297">
        <w:t>(</w:t>
      </w:r>
      <w:r w:rsidR="00B06EB9" w:rsidRPr="00971297">
        <w:t xml:space="preserve">Unités </w:t>
      </w:r>
      <w:r w:rsidR="006F578B" w:rsidRPr="00971297">
        <w:t>7 et 9</w:t>
      </w:r>
      <w:r w:rsidR="00C171E7" w:rsidRPr="00971297">
        <w:t xml:space="preserve"> respectiveme</w:t>
      </w:r>
      <w:r w:rsidR="000276FB">
        <w:t>nt)</w:t>
      </w:r>
      <w:r w:rsidR="00FE6395" w:rsidRPr="00971297">
        <w:t xml:space="preserve"> de sorte qu</w:t>
      </w:r>
      <w:r w:rsidR="00ED295A" w:rsidRPr="00971297">
        <w:t>’ils</w:t>
      </w:r>
      <w:r w:rsidR="00C171E7" w:rsidRPr="00971297">
        <w:t xml:space="preserve"> p</w:t>
      </w:r>
      <w:r w:rsidR="00FE6395" w:rsidRPr="00971297">
        <w:t>euvent</w:t>
      </w:r>
      <w:r w:rsidR="00C171E7" w:rsidRPr="00971297">
        <w:t xml:space="preserve"> être </w:t>
      </w:r>
      <w:r w:rsidR="00642770" w:rsidRPr="00971297">
        <w:t>évoqu</w:t>
      </w:r>
      <w:r w:rsidR="00FE6395" w:rsidRPr="00971297">
        <w:t xml:space="preserve">és </w:t>
      </w:r>
      <w:r w:rsidR="00C171E7" w:rsidRPr="00971297">
        <w:t xml:space="preserve">ici </w:t>
      </w:r>
      <w:r w:rsidR="00FE6395" w:rsidRPr="00971297">
        <w:t>assez brièvement</w:t>
      </w:r>
      <w:r w:rsidR="00C171E7" w:rsidRPr="00971297">
        <w:t>.</w:t>
      </w:r>
    </w:p>
    <w:p w:rsidR="00C171E7" w:rsidRPr="00971297" w:rsidRDefault="00C171E7" w:rsidP="00C41D44">
      <w:pPr>
        <w:pStyle w:val="Texte1"/>
      </w:pPr>
      <w:r w:rsidRPr="00971297">
        <w:t>L</w:t>
      </w:r>
      <w:r w:rsidR="001F7A0A" w:rsidRPr="00971297">
        <w:t>’</w:t>
      </w:r>
      <w:r w:rsidRPr="00971297">
        <w:t>exercice (</w:t>
      </w:r>
      <w:r w:rsidRPr="00367CCC">
        <w:t>2</w:t>
      </w:r>
      <w:r w:rsidR="00FE6395" w:rsidRPr="00367CCC">
        <w:t>0</w:t>
      </w:r>
      <w:r w:rsidRPr="00971297">
        <w:t xml:space="preserve">-30 minutes) </w:t>
      </w:r>
      <w:r w:rsidR="00FE6395" w:rsidRPr="00971297">
        <w:t>sur</w:t>
      </w:r>
      <w:r w:rsidRPr="00971297">
        <w:t xml:space="preserve"> la diapositive 5 s</w:t>
      </w:r>
      <w:r w:rsidR="001F7A0A" w:rsidRPr="00971297">
        <w:t>’</w:t>
      </w:r>
      <w:r w:rsidRPr="00971297">
        <w:t xml:space="preserve">intitule « Ancrer la Convention au niveau national ». Si les participants utilisent </w:t>
      </w:r>
      <w:r w:rsidR="0047558B" w:rsidRPr="00971297">
        <w:t xml:space="preserve">une </w:t>
      </w:r>
      <w:r w:rsidRPr="00971297">
        <w:t xml:space="preserve">ou </w:t>
      </w:r>
      <w:r w:rsidR="0047558B" w:rsidRPr="00971297">
        <w:t xml:space="preserve">plusieurs langues dans </w:t>
      </w:r>
      <w:r w:rsidR="002F467F" w:rsidRPr="00971297">
        <w:t>lesquelles</w:t>
      </w:r>
      <w:r w:rsidRPr="00971297">
        <w:t xml:space="preserve"> la Convention n</w:t>
      </w:r>
      <w:r w:rsidR="001F7A0A" w:rsidRPr="00971297">
        <w:t>’</w:t>
      </w:r>
      <w:r w:rsidRPr="00971297">
        <w:t>est pas enco</w:t>
      </w:r>
      <w:r w:rsidR="002F467F" w:rsidRPr="00971297">
        <w:t>re disponible</w:t>
      </w:r>
      <w:r w:rsidR="005B47C3" w:rsidRPr="005B47C3">
        <w:t xml:space="preserve"> </w:t>
      </w:r>
      <w:r w:rsidR="005B47C3" w:rsidRPr="00971297">
        <w:t>dans leur travail quotidien</w:t>
      </w:r>
      <w:r w:rsidR="00B63E45">
        <w:t>, la traduction de</w:t>
      </w:r>
      <w:r w:rsidRPr="00971297">
        <w:t xml:space="preserve"> concepts clés dans une ou plus</w:t>
      </w:r>
      <w:r w:rsidR="00646606" w:rsidRPr="00971297">
        <w:t>ieurs de ces langues pourrait</w:t>
      </w:r>
      <w:r w:rsidRPr="00971297">
        <w:t xml:space="preserve"> </w:t>
      </w:r>
      <w:r w:rsidR="002F467F" w:rsidRPr="00971297">
        <w:t>améliorer la</w:t>
      </w:r>
      <w:r w:rsidRPr="00971297">
        <w:t xml:space="preserve"> compréhension</w:t>
      </w:r>
      <w:r w:rsidR="00646606" w:rsidRPr="00971297">
        <w:t xml:space="preserve"> de ces termes</w:t>
      </w:r>
      <w:r w:rsidR="00B249DF" w:rsidRPr="00971297">
        <w:t xml:space="preserve"> et est donc </w:t>
      </w:r>
      <w:r w:rsidR="002F467F" w:rsidRPr="00971297">
        <w:t>vive</w:t>
      </w:r>
      <w:r w:rsidR="00B249DF" w:rsidRPr="00971297">
        <w:t>ment encouragée</w:t>
      </w:r>
      <w:r w:rsidRPr="00971297">
        <w:t xml:space="preserve">. </w:t>
      </w:r>
      <w:r w:rsidR="006150AE" w:rsidRPr="00971297">
        <w:t>L’exercice</w:t>
      </w:r>
      <w:r w:rsidRPr="00971297">
        <w:t xml:space="preserve"> pourrait </w:t>
      </w:r>
      <w:r w:rsidR="00BA049D" w:rsidRPr="00971297">
        <w:t>inclure</w:t>
      </w:r>
      <w:r w:rsidRPr="00971297">
        <w:t xml:space="preserve"> un débat sur les moyens d</w:t>
      </w:r>
      <w:r w:rsidR="001F7A0A" w:rsidRPr="00971297">
        <w:t>’</w:t>
      </w:r>
      <w:r w:rsidRPr="00971297">
        <w:t>éviter d</w:t>
      </w:r>
      <w:r w:rsidR="00646606" w:rsidRPr="00971297">
        <w:t>’attribuer d</w:t>
      </w:r>
      <w:r w:rsidRPr="00971297">
        <w:t>e</w:t>
      </w:r>
      <w:r w:rsidR="005C130C" w:rsidRPr="00971297">
        <w:t xml:space="preserve"> fâcheuse</w:t>
      </w:r>
      <w:r w:rsidRPr="00971297">
        <w:t xml:space="preserve">s connotations </w:t>
      </w:r>
      <w:r w:rsidR="00646606" w:rsidRPr="00971297">
        <w:t xml:space="preserve">aux termes traduits </w:t>
      </w:r>
      <w:r w:rsidRPr="00971297">
        <w:t xml:space="preserve">qui ne sont pas </w:t>
      </w:r>
      <w:r w:rsidR="005C130C" w:rsidRPr="00971297">
        <w:t xml:space="preserve">dans </w:t>
      </w:r>
      <w:r w:rsidRPr="00971297">
        <w:t>l</w:t>
      </w:r>
      <w:r w:rsidR="001F7A0A" w:rsidRPr="00971297">
        <w:t>’</w:t>
      </w:r>
      <w:r w:rsidRPr="00971297">
        <w:t>esprit de la Convention. Par exemple, les connotations d</w:t>
      </w:r>
      <w:r w:rsidR="001F7A0A" w:rsidRPr="00971297">
        <w:t>’</w:t>
      </w:r>
      <w:r w:rsidRPr="00971297">
        <w:t xml:space="preserve">excellence </w:t>
      </w:r>
      <w:r w:rsidRPr="00971297">
        <w:lastRenderedPageBreak/>
        <w:t>universelle, d</w:t>
      </w:r>
      <w:r w:rsidR="001F7A0A" w:rsidRPr="00971297">
        <w:t>’</w:t>
      </w:r>
      <w:r w:rsidR="00DE281C" w:rsidRPr="00971297">
        <w:t>authenticité ou de</w:t>
      </w:r>
      <w:r w:rsidRPr="00971297">
        <w:t xml:space="preserve"> formes canoniques </w:t>
      </w:r>
      <w:r w:rsidR="00DE281C" w:rsidRPr="00971297">
        <w:t xml:space="preserve">ne </w:t>
      </w:r>
      <w:r w:rsidRPr="00971297">
        <w:t>sont pas souhaitable</w:t>
      </w:r>
      <w:r w:rsidR="00DE281C" w:rsidRPr="00971297">
        <w:t>s à as</w:t>
      </w:r>
      <w:r w:rsidRPr="00971297">
        <w:t xml:space="preserve">socier </w:t>
      </w:r>
      <w:r w:rsidR="00003A26" w:rsidRPr="00971297">
        <w:t>à un</w:t>
      </w:r>
      <w:r w:rsidRPr="00971297">
        <w:t xml:space="preserve"> terme </w:t>
      </w:r>
      <w:r w:rsidR="00003A26" w:rsidRPr="00971297">
        <w:t>tel que</w:t>
      </w:r>
      <w:r w:rsidRPr="00971297">
        <w:t xml:space="preserve"> PCI dans le cadre de la mise en œuvre de la Convention.</w:t>
      </w:r>
    </w:p>
    <w:p w:rsidR="00DE281C" w:rsidRPr="00971297" w:rsidRDefault="00C171E7" w:rsidP="00C41D44">
      <w:pPr>
        <w:pStyle w:val="Texte1"/>
      </w:pPr>
      <w:r w:rsidRPr="00971297">
        <w:t>L</w:t>
      </w:r>
      <w:r w:rsidR="001F7A0A" w:rsidRPr="00971297">
        <w:t>’</w:t>
      </w:r>
      <w:r w:rsidR="00D932DF" w:rsidRPr="00971297">
        <w:t xml:space="preserve">exercice </w:t>
      </w:r>
      <w:r w:rsidR="008731AA" w:rsidRPr="00971297">
        <w:t>relatif à</w:t>
      </w:r>
      <w:r w:rsidR="00D932DF" w:rsidRPr="00971297">
        <w:t xml:space="preserve"> l</w:t>
      </w:r>
      <w:r w:rsidR="001F7A0A" w:rsidRPr="00971297">
        <w:t>’</w:t>
      </w:r>
      <w:r w:rsidRPr="00971297">
        <w:t xml:space="preserve">identification des domaines (10 minutes) </w:t>
      </w:r>
      <w:r w:rsidR="00DE281C" w:rsidRPr="00971297">
        <w:t>sur</w:t>
      </w:r>
      <w:r w:rsidR="00D932DF" w:rsidRPr="00971297">
        <w:t xml:space="preserve"> la diapositive </w:t>
      </w:r>
      <w:r w:rsidRPr="00971297">
        <w:t xml:space="preserve">10 </w:t>
      </w:r>
      <w:r w:rsidR="005C130C" w:rsidRPr="00971297">
        <w:t>vise à</w:t>
      </w:r>
      <w:r w:rsidRPr="00971297">
        <w:t xml:space="preserve"> illustrer : (a) la difficulté de classer le PCI dans un seul domaine ; et (b) l</w:t>
      </w:r>
      <w:r w:rsidR="008731AA" w:rsidRPr="00971297">
        <w:t>e caractère non exhaustif</w:t>
      </w:r>
      <w:r w:rsidRPr="00971297">
        <w:t xml:space="preserve"> de la liste des domaines à l</w:t>
      </w:r>
      <w:r w:rsidR="001F7A0A" w:rsidRPr="00971297">
        <w:t>’</w:t>
      </w:r>
      <w:r w:rsidRPr="00971297">
        <w:t xml:space="preserve">article 2.2. </w:t>
      </w:r>
      <w:r w:rsidR="00C43AF5" w:rsidRPr="00971297">
        <w:t>La classification du PCI en domaines ne bénéficie pas d’une attention particulière dans l</w:t>
      </w:r>
      <w:r w:rsidRPr="00971297">
        <w:t>a Convention.</w:t>
      </w:r>
    </w:p>
    <w:p w:rsidR="00141B53" w:rsidRPr="00971297" w:rsidRDefault="009C5798" w:rsidP="00C41D44">
      <w:pPr>
        <w:pStyle w:val="Texte1"/>
      </w:pPr>
      <w:r w:rsidRPr="00971297">
        <w:t xml:space="preserve">Il y a deux Aide-mémoires </w:t>
      </w:r>
      <w:r w:rsidR="008731AA" w:rsidRPr="00971297">
        <w:t>concernant</w:t>
      </w:r>
      <w:r w:rsidR="003F302A" w:rsidRPr="00971297">
        <w:t xml:space="preserve"> l’élaboration de candidatures sur les Listes (un pour la Liste de sauvegarde urgente et l’autre pour la Liste représentative) qui peuvent servir d’outils de référence utiles </w:t>
      </w:r>
      <w:r w:rsidR="008731AA" w:rsidRPr="00971297">
        <w:t>au</w:t>
      </w:r>
      <w:r w:rsidR="003F302A" w:rsidRPr="00971297">
        <w:t xml:space="preserve"> facilitateur </w:t>
      </w:r>
      <w:r w:rsidRPr="00971297">
        <w:t>dans la</w:t>
      </w:r>
      <w:r w:rsidR="003F302A" w:rsidRPr="00971297">
        <w:t xml:space="preserve"> préparation et la présentation de </w:t>
      </w:r>
      <w:r w:rsidRPr="00971297">
        <w:t>cette séance</w:t>
      </w:r>
      <w:r w:rsidR="003F302A" w:rsidRPr="00971297">
        <w:t xml:space="preserve">. Ils sont </w:t>
      </w:r>
      <w:r w:rsidR="00C43AF5" w:rsidRPr="00971297">
        <w:t>consult</w:t>
      </w:r>
      <w:r w:rsidR="008731AA" w:rsidRPr="00971297">
        <w:t>a</w:t>
      </w:r>
      <w:r w:rsidR="00C43AF5" w:rsidRPr="00971297">
        <w:t>bles sur le site</w:t>
      </w:r>
      <w:r w:rsidR="00034BFD" w:rsidRPr="00971297">
        <w:t xml:space="preserve"> du PCI</w:t>
      </w:r>
      <w:r w:rsidR="00CA56F6" w:rsidRPr="00971297">
        <w:t xml:space="preserve"> à l’adresse suivante : </w:t>
      </w:r>
      <w:hyperlink r:id="rId11" w:history="1">
        <w:r w:rsidR="00034BFD" w:rsidRPr="0072336E">
          <w:rPr>
            <w:rStyle w:val="Hyperlink"/>
            <w:rFonts w:eastAsia="Times New Roman"/>
          </w:rPr>
          <w:t>http://www.unesco.org/culture/ich/en/forms</w:t>
        </w:r>
      </w:hyperlink>
      <w:r w:rsidR="00034BFD" w:rsidRPr="00971297">
        <w:rPr>
          <w:rFonts w:eastAsia="Times New Roman"/>
        </w:rPr>
        <w:t>.</w:t>
      </w:r>
    </w:p>
    <w:p w:rsidR="00141B53" w:rsidRPr="00971297" w:rsidRDefault="00141B53">
      <w:pPr>
        <w:widowControl/>
        <w:tabs>
          <w:tab w:val="clear" w:pos="567"/>
        </w:tabs>
        <w:snapToGrid/>
        <w:spacing w:after="0" w:line="240" w:lineRule="auto"/>
        <w:jc w:val="left"/>
      </w:pPr>
      <w:r w:rsidRPr="00971297">
        <w:br w:type="page"/>
      </w:r>
    </w:p>
    <w:p w:rsidR="00C171E7" w:rsidRPr="00BA1D2D" w:rsidRDefault="00F50AAB" w:rsidP="00C41D44">
      <w:pPr>
        <w:pStyle w:val="Chapitre"/>
        <w:rPr>
          <w:lang w:val="fr-FR"/>
        </w:rPr>
      </w:pPr>
      <w:bookmarkStart w:id="8" w:name="_Toc241553706"/>
      <w:bookmarkStart w:id="9" w:name="_Toc302374678"/>
      <w:bookmarkStart w:id="10" w:name="_Toc319060155"/>
      <w:r w:rsidRPr="00BA1D2D">
        <w:rPr>
          <w:lang w:val="fr-FR"/>
        </w:rPr>
        <w:t xml:space="preserve">UnitÉ </w:t>
      </w:r>
      <w:r w:rsidR="00C171E7" w:rsidRPr="00BA1D2D">
        <w:rPr>
          <w:lang w:val="fr-FR"/>
        </w:rPr>
        <w:t>3</w:t>
      </w:r>
      <w:bookmarkEnd w:id="8"/>
    </w:p>
    <w:p w:rsidR="0065392D" w:rsidRPr="00BA1D2D" w:rsidRDefault="00C171E7" w:rsidP="00DD45B1">
      <w:pPr>
        <w:pStyle w:val="UPlan"/>
        <w:rPr>
          <w:lang w:val="fr-FR"/>
        </w:rPr>
      </w:pPr>
      <w:bookmarkStart w:id="11" w:name="_Toc241553707"/>
      <w:r w:rsidRPr="00BA1D2D">
        <w:rPr>
          <w:lang w:val="fr-FR"/>
        </w:rPr>
        <w:t>Concepts cl</w:t>
      </w:r>
      <w:r w:rsidR="00F50AAB" w:rsidRPr="00BA1D2D">
        <w:rPr>
          <w:lang w:val="fr-FR"/>
        </w:rPr>
        <w:t>É</w:t>
      </w:r>
      <w:r w:rsidRPr="00BA1D2D">
        <w:rPr>
          <w:lang w:val="fr-FR"/>
        </w:rPr>
        <w:t>s de la Convention</w:t>
      </w:r>
      <w:bookmarkEnd w:id="7"/>
      <w:bookmarkEnd w:id="9"/>
      <w:bookmarkEnd w:id="10"/>
    </w:p>
    <w:p w:rsidR="000F49FB" w:rsidRPr="00BA1D2D" w:rsidRDefault="00404FD8" w:rsidP="00DD45B1">
      <w:pPr>
        <w:pStyle w:val="Titcoul"/>
        <w:rPr>
          <w:lang w:val="fr-FR"/>
        </w:rPr>
      </w:pPr>
      <w:bookmarkStart w:id="12" w:name="_Toc278288178"/>
      <w:bookmarkStart w:id="13" w:name="_Toc278405935"/>
      <w:bookmarkStart w:id="14" w:name="_Toc154220430"/>
      <w:bookmarkEnd w:id="11"/>
      <w:r w:rsidRPr="00BA1D2D">
        <w:rPr>
          <w:lang w:val="fr-FR"/>
        </w:rPr>
        <w:t>exposÉ</w:t>
      </w:r>
      <w:r w:rsidR="000F49FB" w:rsidRPr="00BA1D2D">
        <w:rPr>
          <w:lang w:val="fr-FR"/>
        </w:rPr>
        <w:t xml:space="preserve"> du facilitateur</w:t>
      </w:r>
    </w:p>
    <w:p w:rsidR="00C171E7" w:rsidRPr="00971297" w:rsidRDefault="00C171E7" w:rsidP="0065392D">
      <w:pPr>
        <w:pStyle w:val="Heading6"/>
        <w:rPr>
          <w:lang w:val="fr-FR"/>
        </w:rPr>
      </w:pPr>
      <w:r w:rsidRPr="00971297">
        <w:rPr>
          <w:lang w:val="fr-FR"/>
        </w:rPr>
        <w:t>Diapositive 1</w:t>
      </w:r>
      <w:r w:rsidR="000F49FB" w:rsidRPr="00971297">
        <w:rPr>
          <w:lang w:val="fr-FR"/>
        </w:rPr>
        <w:t>.</w:t>
      </w:r>
    </w:p>
    <w:p w:rsidR="00C171E7" w:rsidRPr="00971297" w:rsidRDefault="00C171E7" w:rsidP="00C41D44">
      <w:pPr>
        <w:pStyle w:val="diapo2"/>
        <w:rPr>
          <w:lang w:val="fr-FR"/>
        </w:rPr>
      </w:pPr>
      <w:r w:rsidRPr="00971297">
        <w:rPr>
          <w:lang w:val="fr-FR"/>
        </w:rPr>
        <w:t>Concepts clés</w:t>
      </w:r>
    </w:p>
    <w:p w:rsidR="00C171E7" w:rsidRPr="00971297" w:rsidRDefault="00C171E7" w:rsidP="00512F0E">
      <w:pPr>
        <w:pStyle w:val="Heading6"/>
        <w:rPr>
          <w:lang w:val="fr-FR"/>
        </w:rPr>
      </w:pPr>
      <w:r w:rsidRPr="00971297">
        <w:rPr>
          <w:lang w:val="fr-FR"/>
        </w:rPr>
        <w:t>Diapositive 2</w:t>
      </w:r>
      <w:r w:rsidR="000F49FB" w:rsidRPr="00971297">
        <w:rPr>
          <w:lang w:val="fr-FR"/>
        </w:rPr>
        <w:t>.</w:t>
      </w:r>
    </w:p>
    <w:p w:rsidR="00C171E7" w:rsidRPr="00971297" w:rsidRDefault="00C171E7" w:rsidP="00C41D44">
      <w:pPr>
        <w:pStyle w:val="diapo2"/>
        <w:rPr>
          <w:lang w:val="fr-FR"/>
        </w:rPr>
      </w:pPr>
      <w:r w:rsidRPr="00971297">
        <w:rPr>
          <w:lang w:val="fr-FR"/>
        </w:rPr>
        <w:t>Nuage de mots de la Convention</w:t>
      </w:r>
    </w:p>
    <w:p w:rsidR="00C171E7" w:rsidRPr="00971297" w:rsidRDefault="00C171E7" w:rsidP="00C41D44">
      <w:pPr>
        <w:pStyle w:val="Soustitre"/>
        <w:rPr>
          <w:color w:val="000000" w:themeColor="text1"/>
        </w:rPr>
      </w:pPr>
      <w:r w:rsidRPr="00971297">
        <w:rPr>
          <w:color w:val="000000" w:themeColor="text1"/>
        </w:rPr>
        <w:t xml:space="preserve">Remarque </w:t>
      </w:r>
      <w:r w:rsidR="003D7FF2" w:rsidRPr="00971297">
        <w:rPr>
          <w:color w:val="000000" w:themeColor="text1"/>
        </w:rPr>
        <w:t>sur le</w:t>
      </w:r>
      <w:r w:rsidRPr="00971297">
        <w:rPr>
          <w:color w:val="000000" w:themeColor="text1"/>
        </w:rPr>
        <w:t xml:space="preserve"> nuage de mots</w:t>
      </w:r>
    </w:p>
    <w:p w:rsidR="00C171E7" w:rsidRPr="00971297" w:rsidRDefault="00C171E7" w:rsidP="00C41D44">
      <w:pPr>
        <w:pStyle w:val="Texte1"/>
      </w:pPr>
      <w:r w:rsidRPr="00971297">
        <w:t xml:space="preserve">La diapositive </w:t>
      </w:r>
      <w:r w:rsidR="006C790A" w:rsidRPr="00971297">
        <w:t>montr</w:t>
      </w:r>
      <w:r w:rsidRPr="00971297">
        <w:t>e un nuage de mots de la Conventio</w:t>
      </w:r>
      <w:r w:rsidR="006C790A" w:rsidRPr="00971297">
        <w:t>n</w:t>
      </w:r>
      <w:r w:rsidRPr="00971297">
        <w:t xml:space="preserve"> </w:t>
      </w:r>
      <w:r w:rsidR="00FF2C37">
        <w:t>dont</w:t>
      </w:r>
      <w:r w:rsidRPr="00971297">
        <w:t xml:space="preserve"> la taille </w:t>
      </w:r>
      <w:r w:rsidR="00FF2C37">
        <w:t xml:space="preserve">variable </w:t>
      </w:r>
      <w:r w:rsidRPr="00971297">
        <w:t xml:space="preserve">indique la fréquence relative de ses occurrences dans le texte de la Convention. </w:t>
      </w:r>
      <w:r w:rsidR="00FF2C37">
        <w:t>Il n’est pa</w:t>
      </w:r>
      <w:r w:rsidRPr="00971297">
        <w:t>s surpr</w:t>
      </w:r>
      <w:r w:rsidR="00FF2C37">
        <w:t>enant de voir</w:t>
      </w:r>
      <w:r w:rsidR="005A0775" w:rsidRPr="00971297">
        <w:t xml:space="preserve"> que</w:t>
      </w:r>
      <w:r w:rsidR="00A74DA8">
        <w:t xml:space="preserve"> les termes</w:t>
      </w:r>
      <w:r w:rsidR="00FF2C37" w:rsidRPr="00971297">
        <w:t xml:space="preserve"> </w:t>
      </w:r>
      <w:r w:rsidRPr="00971297">
        <w:t>« États parties », « patrimoine culturel immatériel », « Convention », « UNESCO », « sauvegarde », « Assemblé</w:t>
      </w:r>
      <w:r w:rsidR="005A0775" w:rsidRPr="00971297">
        <w:t>e générale » et « Comité »</w:t>
      </w:r>
      <w:r w:rsidR="00A74DA8" w:rsidRPr="00A74DA8">
        <w:t xml:space="preserve"> </w:t>
      </w:r>
      <w:r w:rsidR="00A74DA8">
        <w:t>sont ceux dont l’usage est le</w:t>
      </w:r>
      <w:r w:rsidR="00A74DA8" w:rsidRPr="00971297">
        <w:t xml:space="preserve"> plus </w:t>
      </w:r>
      <w:r w:rsidR="00A74DA8">
        <w:t>fréque</w:t>
      </w:r>
      <w:r w:rsidR="00A74DA8" w:rsidRPr="00971297">
        <w:t>nt</w:t>
      </w:r>
      <w:r w:rsidRPr="00971297">
        <w:t>.</w:t>
      </w:r>
    </w:p>
    <w:p w:rsidR="00C171E7" w:rsidRPr="00971297" w:rsidRDefault="00C171E7" w:rsidP="00C41D44">
      <w:pPr>
        <w:pStyle w:val="Texte1"/>
      </w:pPr>
      <w:r w:rsidRPr="00971297">
        <w:t xml:space="preserve">La Convention est un accord entre des États parties, </w:t>
      </w:r>
      <w:r w:rsidR="00277D66" w:rsidRPr="00971297">
        <w:t>administr</w:t>
      </w:r>
      <w:r w:rsidRPr="00971297">
        <w:t>é par l</w:t>
      </w:r>
      <w:r w:rsidR="001F7A0A" w:rsidRPr="00971297">
        <w:t>’</w:t>
      </w:r>
      <w:r w:rsidR="00100F8D" w:rsidRPr="00971297">
        <w:t>UNESCO. Les O</w:t>
      </w:r>
      <w:r w:rsidRPr="00971297">
        <w:t>rganes de la Convention sont l</w:t>
      </w:r>
      <w:r w:rsidR="001F7A0A" w:rsidRPr="00971297">
        <w:t>’</w:t>
      </w:r>
      <w:r w:rsidRPr="00971297">
        <w:t>Assemblée générale et le Comité intergouvernemental, qui sont responsables de</w:t>
      </w:r>
      <w:r w:rsidR="00120548" w:rsidRPr="00971297">
        <w:t>s</w:t>
      </w:r>
      <w:r w:rsidRPr="00971297">
        <w:t xml:space="preserve"> divers aspects de la mise en œuvre de la Convention, de sorte qu</w:t>
      </w:r>
      <w:r w:rsidR="001F7A0A" w:rsidRPr="00971297">
        <w:t>’</w:t>
      </w:r>
      <w:r w:rsidRPr="00971297">
        <w:t xml:space="preserve">ils sont </w:t>
      </w:r>
      <w:r w:rsidR="00AF4B63" w:rsidRPr="00971297">
        <w:t>aussi</w:t>
      </w:r>
      <w:r w:rsidRPr="00971297">
        <w:t xml:space="preserve"> souvent mentionnés. Le texte de la Convention </w:t>
      </w:r>
      <w:r w:rsidR="00AF4B63" w:rsidRPr="00971297">
        <w:t>mett</w:t>
      </w:r>
      <w:r w:rsidRPr="00971297">
        <w:t xml:space="preserve">ant </w:t>
      </w:r>
      <w:r w:rsidR="00AF4B63" w:rsidRPr="00971297">
        <w:t>l’accent sur</w:t>
      </w:r>
      <w:r w:rsidRPr="00971297">
        <w:t xml:space="preserve"> la sauvegarde du patrimoine culturel immatériel, les </w:t>
      </w:r>
      <w:r w:rsidR="00AF4B63" w:rsidRPr="00971297">
        <w:t>mot</w:t>
      </w:r>
      <w:r w:rsidRPr="00971297">
        <w:t xml:space="preserve">s « patrimoine culturel immatériel » et « sauvegarde » </w:t>
      </w:r>
      <w:r w:rsidR="00100F8D" w:rsidRPr="00971297">
        <w:t>revienn</w:t>
      </w:r>
      <w:r w:rsidRPr="00971297">
        <w:t xml:space="preserve">ent </w:t>
      </w:r>
      <w:r w:rsidR="00100F8D" w:rsidRPr="00971297">
        <w:t>aussi</w:t>
      </w:r>
      <w:r w:rsidRPr="00971297">
        <w:t xml:space="preserve"> assez souvent.</w:t>
      </w:r>
    </w:p>
    <w:p w:rsidR="00C171E7" w:rsidRPr="00971297" w:rsidRDefault="00C171E7" w:rsidP="00C41D44">
      <w:pPr>
        <w:pStyle w:val="Texte1"/>
      </w:pPr>
      <w:r w:rsidRPr="00971297">
        <w:t>Il convient de noter que le nuage de mots n</w:t>
      </w:r>
      <w:r w:rsidR="00100873" w:rsidRPr="00971297">
        <w:t>e représent</w:t>
      </w:r>
      <w:r w:rsidRPr="00971297">
        <w:t xml:space="preserve">e pas </w:t>
      </w:r>
      <w:r w:rsidRPr="00971297">
        <w:rPr>
          <w:i/>
        </w:rPr>
        <w:t>l</w:t>
      </w:r>
      <w:r w:rsidR="001F7A0A" w:rsidRPr="00971297">
        <w:rPr>
          <w:i/>
        </w:rPr>
        <w:t>’</w:t>
      </w:r>
      <w:r w:rsidRPr="00971297">
        <w:rPr>
          <w:i/>
        </w:rPr>
        <w:t>importance</w:t>
      </w:r>
      <w:r w:rsidRPr="00971297">
        <w:t xml:space="preserve"> relative </w:t>
      </w:r>
      <w:r w:rsidR="00E27C5A" w:rsidRPr="00971297">
        <w:t>des différents concepts</w:t>
      </w:r>
      <w:r w:rsidRPr="00971297">
        <w:t xml:space="preserve"> dans le texte</w:t>
      </w:r>
      <w:r w:rsidR="00545DAA" w:rsidRPr="00971297">
        <w:t xml:space="preserve"> de la Convention. Certains d’entre eux</w:t>
      </w:r>
      <w:r w:rsidRPr="00971297">
        <w:t xml:space="preserve"> </w:t>
      </w:r>
      <w:r w:rsidR="00100873" w:rsidRPr="00971297">
        <w:t>apparaissent</w:t>
      </w:r>
      <w:r w:rsidRPr="00971297">
        <w:t xml:space="preserve"> moins souvent, mais </w:t>
      </w:r>
      <w:r w:rsidR="00020BD2" w:rsidRPr="00971297">
        <w:t xml:space="preserve">n’en </w:t>
      </w:r>
      <w:r w:rsidR="00120548" w:rsidRPr="00971297">
        <w:t xml:space="preserve">restent </w:t>
      </w:r>
      <w:r w:rsidR="00020BD2" w:rsidRPr="00971297">
        <w:t>pas m</w:t>
      </w:r>
      <w:r w:rsidR="00120548" w:rsidRPr="00971297">
        <w:t>oins</w:t>
      </w:r>
      <w:r w:rsidRPr="00971297">
        <w:t xml:space="preserve"> extrêmement importants pour comprendre </w:t>
      </w:r>
      <w:r w:rsidR="00FE6F4C">
        <w:t>la manière dont</w:t>
      </w:r>
      <w:r w:rsidRPr="00971297">
        <w:t xml:space="preserve"> la Conv</w:t>
      </w:r>
      <w:r w:rsidR="00AC187D" w:rsidRPr="00971297">
        <w:t xml:space="preserve">ention doit être mise en œuvre, </w:t>
      </w:r>
      <w:r w:rsidR="00020BD2" w:rsidRPr="00971297">
        <w:t xml:space="preserve">notamment </w:t>
      </w:r>
      <w:r w:rsidR="00545DAA" w:rsidRPr="00971297">
        <w:t>les mots</w:t>
      </w:r>
      <w:r w:rsidRPr="00971297">
        <w:t xml:space="preserve"> « communauté », « groupe », « individu », « praticien », « durabilité », « viabilité », « menaces » et « risques ».</w:t>
      </w:r>
    </w:p>
    <w:p w:rsidR="00C171E7" w:rsidRPr="00971297" w:rsidRDefault="00C171E7" w:rsidP="00512F0E">
      <w:pPr>
        <w:pStyle w:val="Heading6"/>
        <w:rPr>
          <w:lang w:val="fr-FR"/>
        </w:rPr>
      </w:pPr>
      <w:r w:rsidRPr="00971297">
        <w:rPr>
          <w:lang w:val="fr-FR"/>
        </w:rPr>
        <w:t>Diapositive 3</w:t>
      </w:r>
      <w:r w:rsidR="001355EB" w:rsidRPr="00971297">
        <w:rPr>
          <w:lang w:val="fr-FR"/>
        </w:rPr>
        <w:t>.</w:t>
      </w:r>
    </w:p>
    <w:p w:rsidR="00C171E7" w:rsidRPr="00971297" w:rsidRDefault="00C171E7" w:rsidP="00C41D44">
      <w:pPr>
        <w:pStyle w:val="diapo2"/>
        <w:rPr>
          <w:lang w:val="fr-FR"/>
        </w:rPr>
      </w:pPr>
      <w:r w:rsidRPr="00971297">
        <w:rPr>
          <w:lang w:val="fr-FR"/>
        </w:rPr>
        <w:t>Dans cette présentation…</w:t>
      </w:r>
    </w:p>
    <w:p w:rsidR="00C171E7" w:rsidRPr="00971297" w:rsidRDefault="00C171E7" w:rsidP="00512F0E">
      <w:pPr>
        <w:pStyle w:val="Heading6"/>
        <w:rPr>
          <w:lang w:val="fr-FR"/>
        </w:rPr>
      </w:pPr>
      <w:r w:rsidRPr="00971297">
        <w:rPr>
          <w:lang w:val="fr-FR"/>
        </w:rPr>
        <w:t>Diapositive 4</w:t>
      </w:r>
      <w:r w:rsidR="001355EB" w:rsidRPr="00971297">
        <w:rPr>
          <w:lang w:val="fr-FR"/>
        </w:rPr>
        <w:t>.</w:t>
      </w:r>
    </w:p>
    <w:p w:rsidR="00C171E7" w:rsidRPr="00971297" w:rsidRDefault="00C171E7" w:rsidP="00C41D44">
      <w:pPr>
        <w:pStyle w:val="diapo2"/>
        <w:rPr>
          <w:lang w:val="fr-FR"/>
        </w:rPr>
      </w:pPr>
      <w:r w:rsidRPr="00971297">
        <w:rPr>
          <w:lang w:val="fr-FR"/>
        </w:rPr>
        <w:t xml:space="preserve">La </w:t>
      </w:r>
      <w:r w:rsidRPr="00971297">
        <w:rPr>
          <w:caps/>
          <w:lang w:val="fr-FR"/>
        </w:rPr>
        <w:t>C</w:t>
      </w:r>
      <w:r w:rsidRPr="00971297">
        <w:rPr>
          <w:lang w:val="fr-FR"/>
        </w:rPr>
        <w:t>onvention</w:t>
      </w:r>
      <w:r w:rsidR="00545DAA" w:rsidRPr="00971297">
        <w:rPr>
          <w:lang w:val="fr-FR"/>
        </w:rPr>
        <w:t xml:space="preserve"> -</w:t>
      </w:r>
      <w:r w:rsidR="001F28BE" w:rsidRPr="00971297">
        <w:rPr>
          <w:lang w:val="fr-FR"/>
        </w:rPr>
        <w:t xml:space="preserve"> </w:t>
      </w:r>
      <w:r w:rsidRPr="00971297">
        <w:rPr>
          <w:lang w:val="fr-FR"/>
        </w:rPr>
        <w:t xml:space="preserve">un instrument </w:t>
      </w:r>
      <w:r w:rsidR="00545DAA" w:rsidRPr="00971297">
        <w:rPr>
          <w:lang w:val="fr-FR"/>
        </w:rPr>
        <w:t>flexib</w:t>
      </w:r>
      <w:r w:rsidRPr="00971297">
        <w:rPr>
          <w:lang w:val="fr-FR"/>
        </w:rPr>
        <w:t>le</w:t>
      </w:r>
    </w:p>
    <w:p w:rsidR="00C171E7" w:rsidRPr="00971297" w:rsidRDefault="008C236F" w:rsidP="00C41D44">
      <w:pPr>
        <w:pStyle w:val="Texte1"/>
      </w:pPr>
      <w:r w:rsidRPr="00971297">
        <w:t xml:space="preserve">Le Texte du participant, </w:t>
      </w:r>
      <w:r w:rsidR="00582DE1">
        <w:t>à</w:t>
      </w:r>
      <w:r w:rsidR="008B4688" w:rsidRPr="00971297">
        <w:t xml:space="preserve"> l’</w:t>
      </w:r>
      <w:r w:rsidRPr="00971297">
        <w:t>Unité 2.1, introduit</w:t>
      </w:r>
      <w:r w:rsidR="00B46896" w:rsidRPr="00971297">
        <w:t xml:space="preserve"> la Convention</w:t>
      </w:r>
      <w:r w:rsidR="00C171E7" w:rsidRPr="00971297">
        <w:t xml:space="preserve"> de l</w:t>
      </w:r>
      <w:r w:rsidR="001F7A0A" w:rsidRPr="00971297">
        <w:t>’</w:t>
      </w:r>
      <w:r w:rsidR="00C171E7" w:rsidRPr="00971297">
        <w:t>UNESCO</w:t>
      </w:r>
      <w:r w:rsidRPr="00971297">
        <w:t xml:space="preserve"> dans le domaine de la culture. </w:t>
      </w:r>
      <w:r w:rsidR="00020BD2" w:rsidRPr="00971297">
        <w:t>L’Unité 2.2</w:t>
      </w:r>
      <w:r w:rsidRPr="00971297">
        <w:t xml:space="preserve"> met</w:t>
      </w:r>
      <w:r w:rsidR="00C171E7" w:rsidRPr="00971297">
        <w:t xml:space="preserve"> l</w:t>
      </w:r>
      <w:r w:rsidR="001F7A0A" w:rsidRPr="00971297">
        <w:t>’</w:t>
      </w:r>
      <w:r w:rsidR="00C171E7" w:rsidRPr="00971297">
        <w:t>accent su</w:t>
      </w:r>
      <w:r w:rsidRPr="00971297">
        <w:t xml:space="preserve">r les trois </w:t>
      </w:r>
      <w:r w:rsidR="00582DE1">
        <w:t xml:space="preserve">Conventions </w:t>
      </w:r>
      <w:r w:rsidRPr="00971297">
        <w:t>qui contribuent à</w:t>
      </w:r>
      <w:r w:rsidR="00C171E7" w:rsidRPr="00971297">
        <w:t xml:space="preserve"> promo</w:t>
      </w:r>
      <w:r w:rsidRPr="00971297">
        <w:t>uvoir</w:t>
      </w:r>
      <w:r w:rsidR="00C171E7" w:rsidRPr="00971297">
        <w:t xml:space="preserve"> la diversité culturelle, </w:t>
      </w:r>
      <w:r w:rsidR="00020BD2" w:rsidRPr="00971297">
        <w:t>en particulier</w:t>
      </w:r>
      <w:r w:rsidR="00C171E7" w:rsidRPr="00971297">
        <w:t xml:space="preserve"> </w:t>
      </w:r>
      <w:r w:rsidR="00582DE1">
        <w:t>celle</w:t>
      </w:r>
      <w:r w:rsidR="00C171E7" w:rsidRPr="00971297">
        <w:t xml:space="preserve"> du PCI.</w:t>
      </w:r>
    </w:p>
    <w:p w:rsidR="00C171E7" w:rsidRPr="00971297" w:rsidRDefault="00C171E7" w:rsidP="00C41D44">
      <w:pPr>
        <w:pStyle w:val="Texte1"/>
      </w:pPr>
      <w:r w:rsidRPr="00971297">
        <w:t xml:space="preserve">La Convention du </w:t>
      </w:r>
      <w:r w:rsidR="00C878EE" w:rsidRPr="00971297">
        <w:t>patrimoine</w:t>
      </w:r>
      <w:r w:rsidRPr="00971297">
        <w:t xml:space="preserve"> immatériel est un texte qui </w:t>
      </w:r>
      <w:r w:rsidR="00582DE1">
        <w:t>illustr</w:t>
      </w:r>
      <w:r w:rsidRPr="00971297">
        <w:t xml:space="preserve">e </w:t>
      </w:r>
      <w:r w:rsidR="00582DE1">
        <w:t>le</w:t>
      </w:r>
      <w:r w:rsidRPr="00971297">
        <w:t xml:space="preserve"> consensus entre les États membres de l</w:t>
      </w:r>
      <w:r w:rsidR="001F7A0A" w:rsidRPr="00971297">
        <w:t>’</w:t>
      </w:r>
      <w:r w:rsidRPr="00971297">
        <w:t xml:space="preserve">UNESCO. Elle est donc le fruit de nombreux compromis. </w:t>
      </w:r>
      <w:r w:rsidR="0015516A" w:rsidRPr="00971297">
        <w:t xml:space="preserve">C’est aussi </w:t>
      </w:r>
      <w:r w:rsidRPr="00971297">
        <w:t>un</w:t>
      </w:r>
      <w:r w:rsidR="0015516A" w:rsidRPr="00971297">
        <w:t xml:space="preserve"> instrument </w:t>
      </w:r>
      <w:r w:rsidR="00DB5D2E" w:rsidRPr="00971297">
        <w:t>flexibl</w:t>
      </w:r>
      <w:r w:rsidR="0015516A" w:rsidRPr="00971297">
        <w:t>e</w:t>
      </w:r>
      <w:r w:rsidRPr="00971297">
        <w:t xml:space="preserve"> qui </w:t>
      </w:r>
      <w:r w:rsidR="00DB5D2E" w:rsidRPr="00971297">
        <w:t>accord</w:t>
      </w:r>
      <w:r w:rsidRPr="00971297">
        <w:t xml:space="preserve">e </w:t>
      </w:r>
      <w:r w:rsidR="00E831CA" w:rsidRPr="00971297">
        <w:t xml:space="preserve">une grande liberté </w:t>
      </w:r>
      <w:r w:rsidRPr="00971297">
        <w:t xml:space="preserve">aux États parties </w:t>
      </w:r>
      <w:r w:rsidR="00E831CA" w:rsidRPr="00971297">
        <w:t>dans la façon de l’appliquer</w:t>
      </w:r>
      <w:r w:rsidRPr="00971297">
        <w:t xml:space="preserve"> et d</w:t>
      </w:r>
      <w:r w:rsidR="001F7A0A" w:rsidRPr="00971297">
        <w:t>’</w:t>
      </w:r>
      <w:r w:rsidRPr="00971297">
        <w:t>interpréter certains concepts clés qu</w:t>
      </w:r>
      <w:r w:rsidR="00E831CA" w:rsidRPr="00971297">
        <w:t>i y sont</w:t>
      </w:r>
      <w:r w:rsidRPr="00971297">
        <w:t xml:space="preserve"> emplo</w:t>
      </w:r>
      <w:r w:rsidR="00E831CA" w:rsidRPr="00971297">
        <w:t>yés</w:t>
      </w:r>
      <w:r w:rsidRPr="00971297">
        <w:t xml:space="preserve"> mais </w:t>
      </w:r>
      <w:r w:rsidR="00E831CA" w:rsidRPr="00971297">
        <w:t>non définis (ou définis</w:t>
      </w:r>
      <w:r w:rsidRPr="00971297">
        <w:t xml:space="preserve"> de manière non exhaustive).</w:t>
      </w:r>
    </w:p>
    <w:p w:rsidR="00C171E7" w:rsidRPr="00971297" w:rsidRDefault="00C171E7" w:rsidP="00C41D44">
      <w:pPr>
        <w:pStyle w:val="Soustitre"/>
      </w:pPr>
      <w:r w:rsidRPr="00971297">
        <w:t>Pourquoi la Conve</w:t>
      </w:r>
      <w:r w:rsidR="001355EB" w:rsidRPr="00971297">
        <w:t xml:space="preserve">ntion est-elle un instrument </w:t>
      </w:r>
      <w:r w:rsidR="000628D6" w:rsidRPr="00971297">
        <w:t>aus</w:t>
      </w:r>
      <w:r w:rsidRPr="00971297">
        <w:t>si flexible ?</w:t>
      </w:r>
    </w:p>
    <w:p w:rsidR="00C171E7" w:rsidRPr="00971297" w:rsidRDefault="00C171E7" w:rsidP="00C41D44">
      <w:pPr>
        <w:pStyle w:val="Texte1"/>
      </w:pPr>
      <w:r w:rsidRPr="00971297">
        <w:t xml:space="preserve">Lors de la préparation du texte de la Convention, on </w:t>
      </w:r>
      <w:r w:rsidR="00381EF2" w:rsidRPr="00971297">
        <w:t>a constaté</w:t>
      </w:r>
      <w:r w:rsidRPr="00971297">
        <w:t xml:space="preserve"> que le PCI</w:t>
      </w:r>
      <w:r w:rsidR="00D321A1" w:rsidRPr="00971297">
        <w:t>, ses fonctions dans la société</w:t>
      </w:r>
      <w:r w:rsidRPr="00971297">
        <w:t xml:space="preserve"> et la façon dont il </w:t>
      </w:r>
      <w:r w:rsidR="00582DE1">
        <w:t>étai</w:t>
      </w:r>
      <w:r w:rsidRPr="00971297">
        <w:t>t perçu vari</w:t>
      </w:r>
      <w:r w:rsidR="00B700A3" w:rsidRPr="00971297">
        <w:t>ai</w:t>
      </w:r>
      <w:r w:rsidRPr="00971297">
        <w:t>ent d</w:t>
      </w:r>
      <w:r w:rsidR="001F7A0A" w:rsidRPr="00971297">
        <w:t>’</w:t>
      </w:r>
      <w:r w:rsidRPr="00971297">
        <w:t>une région à l</w:t>
      </w:r>
      <w:r w:rsidR="001F7A0A" w:rsidRPr="00971297">
        <w:t>’</w:t>
      </w:r>
      <w:r w:rsidRPr="00971297">
        <w:t>autre et d</w:t>
      </w:r>
      <w:r w:rsidR="001F7A0A" w:rsidRPr="00971297">
        <w:t>’</w:t>
      </w:r>
      <w:r w:rsidRPr="00971297">
        <w:t>un pays à l</w:t>
      </w:r>
      <w:r w:rsidR="001F7A0A" w:rsidRPr="00971297">
        <w:t>’</w:t>
      </w:r>
      <w:r w:rsidRPr="00971297">
        <w:t xml:space="preserve">autre, </w:t>
      </w:r>
      <w:r w:rsidR="00D321A1" w:rsidRPr="00971297">
        <w:t>voire</w:t>
      </w:r>
      <w:r w:rsidRPr="00971297">
        <w:t xml:space="preserve"> d</w:t>
      </w:r>
      <w:r w:rsidR="001F7A0A" w:rsidRPr="00971297">
        <w:t>’</w:t>
      </w:r>
      <w:r w:rsidRPr="00971297">
        <w:t>une communauté à l</w:t>
      </w:r>
      <w:r w:rsidR="001F7A0A" w:rsidRPr="00971297">
        <w:t>’</w:t>
      </w:r>
      <w:r w:rsidRPr="00971297">
        <w:t xml:space="preserve">autre. </w:t>
      </w:r>
      <w:r w:rsidR="00B700A3" w:rsidRPr="00971297">
        <w:t>De même, i</w:t>
      </w:r>
      <w:r w:rsidRPr="00971297">
        <w:t xml:space="preserve">l est </w:t>
      </w:r>
      <w:r w:rsidR="00B700A3" w:rsidRPr="00971297">
        <w:t xml:space="preserve">apparu </w:t>
      </w:r>
      <w:r w:rsidR="000628D6" w:rsidRPr="00971297">
        <w:t xml:space="preserve">clairement </w:t>
      </w:r>
      <w:r w:rsidR="00B700A3" w:rsidRPr="00971297">
        <w:t>que le PCI étai</w:t>
      </w:r>
      <w:r w:rsidRPr="00971297">
        <w:t>t en évolution</w:t>
      </w:r>
      <w:r w:rsidR="00B700A3" w:rsidRPr="00971297">
        <w:t xml:space="preserve"> constante</w:t>
      </w:r>
      <w:r w:rsidRPr="00971297">
        <w:t>. Un glossaire des termes à u</w:t>
      </w:r>
      <w:r w:rsidR="006C03A4" w:rsidRPr="00971297">
        <w:t>tiliser dans la Convention a</w:t>
      </w:r>
      <w:r w:rsidRPr="00971297">
        <w:t xml:space="preserve"> été préparé </w:t>
      </w:r>
      <w:r w:rsidR="006C03A4" w:rsidRPr="00971297">
        <w:t>au cours d’</w:t>
      </w:r>
      <w:r w:rsidRPr="00971297">
        <w:t>une réunion d</w:t>
      </w:r>
      <w:r w:rsidR="001F7A0A" w:rsidRPr="00971297">
        <w:t>’</w:t>
      </w:r>
      <w:r w:rsidRPr="00971297">
        <w:t>experts en juin 2002</w:t>
      </w:r>
      <w:r w:rsidR="000628D6" w:rsidRPr="00971297">
        <w:t>,</w:t>
      </w:r>
      <w:r w:rsidRPr="00971297">
        <w:t xml:space="preserve"> à l</w:t>
      </w:r>
      <w:r w:rsidR="001F7A0A" w:rsidRPr="00971297">
        <w:t>’</w:t>
      </w:r>
      <w:r w:rsidR="006C03A4" w:rsidRPr="00971297">
        <w:t>UNESCO, sans</w:t>
      </w:r>
      <w:r w:rsidRPr="00971297">
        <w:t xml:space="preserve"> jamais </w:t>
      </w:r>
      <w:r w:rsidR="006C03A4" w:rsidRPr="00971297">
        <w:t xml:space="preserve">avoir </w:t>
      </w:r>
      <w:r w:rsidRPr="00971297">
        <w:t xml:space="preserve">été examiné </w:t>
      </w:r>
      <w:r w:rsidR="00582DE1">
        <w:t>à fond</w:t>
      </w:r>
      <w:r w:rsidRPr="00971297">
        <w:t xml:space="preserve"> par la réunion intergouvernementale, ni joint en annexe à la Convention. Les États membres n</w:t>
      </w:r>
      <w:r w:rsidR="001F7A0A" w:rsidRPr="00971297">
        <w:t>’</w:t>
      </w:r>
      <w:r w:rsidR="006C03A4" w:rsidRPr="00971297">
        <w:t>ont</w:t>
      </w:r>
      <w:r w:rsidRPr="00971297">
        <w:t xml:space="preserve"> accordé </w:t>
      </w:r>
      <w:r w:rsidR="006C03A4" w:rsidRPr="00971297">
        <w:t>auc</w:t>
      </w:r>
      <w:r w:rsidRPr="00971297">
        <w:t xml:space="preserve">un statut officiel aux définitions </w:t>
      </w:r>
      <w:r w:rsidR="00DF7C90" w:rsidRPr="00971297">
        <w:t>données dans le</w:t>
      </w:r>
      <w:r w:rsidRPr="00971297">
        <w:t xml:space="preserve"> glossaire</w:t>
      </w:r>
      <w:r w:rsidR="00DF7C90" w:rsidRPr="00971297">
        <w:t>,</w:t>
      </w:r>
      <w:r w:rsidRPr="00971297">
        <w:t xml:space="preserve"> non seulement parce qu</w:t>
      </w:r>
      <w:r w:rsidR="001F7A0A" w:rsidRPr="00971297">
        <w:t>’</w:t>
      </w:r>
      <w:r w:rsidRPr="00971297">
        <w:t xml:space="preserve">il aurait été difficile de parvenir à un consensus, mais </w:t>
      </w:r>
      <w:r w:rsidR="00DF7C90" w:rsidRPr="00971297">
        <w:t xml:space="preserve">encore </w:t>
      </w:r>
      <w:r w:rsidRPr="00971297">
        <w:t>parce qu</w:t>
      </w:r>
      <w:r w:rsidR="001F7A0A" w:rsidRPr="00971297">
        <w:t>’</w:t>
      </w:r>
      <w:r w:rsidRPr="00971297">
        <w:t xml:space="preserve">ils souhaitaient expressément </w:t>
      </w:r>
      <w:r w:rsidR="0053469F" w:rsidRPr="00971297">
        <w:t xml:space="preserve">faire de la Convention </w:t>
      </w:r>
      <w:r w:rsidRPr="00971297">
        <w:t>un instrument souple, afin d</w:t>
      </w:r>
      <w:r w:rsidR="003D7424">
        <w:t>e laiss</w:t>
      </w:r>
      <w:r w:rsidRPr="00971297">
        <w:t>er aux États parties une grande liberté d</w:t>
      </w:r>
      <w:r w:rsidR="001F7A0A" w:rsidRPr="00971297">
        <w:t>’</w:t>
      </w:r>
      <w:r w:rsidRPr="00971297">
        <w:t>interprétation. Cette position a été confirmée par le Comité intergouvernemental lors de sa session extraordinaire à Chengdu (Chine), en mai 2007.</w:t>
      </w:r>
    </w:p>
    <w:p w:rsidR="00C171E7" w:rsidRPr="00971297" w:rsidRDefault="00C171E7" w:rsidP="00C41D44">
      <w:pPr>
        <w:pStyle w:val="Texte1"/>
      </w:pPr>
      <w:r w:rsidRPr="00971297">
        <w:t xml:space="preserve">Il en </w:t>
      </w:r>
      <w:r w:rsidR="000628D6" w:rsidRPr="00971297">
        <w:t>est</w:t>
      </w:r>
      <w:r w:rsidR="0053469F" w:rsidRPr="00971297">
        <w:t xml:space="preserve"> </w:t>
      </w:r>
      <w:r w:rsidRPr="00971297">
        <w:t>résulté un texte contenant peu d</w:t>
      </w:r>
      <w:r w:rsidR="001F7A0A" w:rsidRPr="00971297">
        <w:t>’</w:t>
      </w:r>
      <w:r w:rsidRPr="00971297">
        <w:t xml:space="preserve">obligations strictes, de </w:t>
      </w:r>
      <w:r w:rsidR="00351F16">
        <w:t>multipl</w:t>
      </w:r>
      <w:r w:rsidRPr="00971297">
        <w:t xml:space="preserve">es recommandations et quelques définitions ouvertes. La définition du PCI élaborée aux fins de </w:t>
      </w:r>
      <w:r w:rsidR="004C534D" w:rsidRPr="00971297">
        <w:t>la Convention est</w:t>
      </w:r>
      <w:r w:rsidRPr="00971297">
        <w:t xml:space="preserve"> ouverte, bien qu</w:t>
      </w:r>
      <w:r w:rsidR="001F7A0A" w:rsidRPr="00971297">
        <w:t>’</w:t>
      </w:r>
      <w:r w:rsidRPr="00971297">
        <w:t xml:space="preserve">elle comporte quelques limites. En raison du caractère ouvert de la définition, il est plus facile de déterminer si un élément </w:t>
      </w:r>
      <w:r w:rsidRPr="00971297">
        <w:rPr>
          <w:i/>
        </w:rPr>
        <w:t xml:space="preserve">ne </w:t>
      </w:r>
      <w:r w:rsidRPr="00971297">
        <w:t xml:space="preserve">répond </w:t>
      </w:r>
      <w:r w:rsidRPr="00971297">
        <w:rPr>
          <w:i/>
        </w:rPr>
        <w:t>pas</w:t>
      </w:r>
      <w:r w:rsidRPr="00971297">
        <w:t xml:space="preserve"> à la définition du PCI que s</w:t>
      </w:r>
      <w:r w:rsidR="001F7A0A" w:rsidRPr="00971297">
        <w:t>’</w:t>
      </w:r>
      <w:r w:rsidRPr="00971297">
        <w:t xml:space="preserve">il y répond. Les quelques classifications </w:t>
      </w:r>
      <w:r w:rsidR="0053469F" w:rsidRPr="00971297">
        <w:t>établ</w:t>
      </w:r>
      <w:r w:rsidRPr="00971297">
        <w:t>ies dans la Convention ne sont pas exhaustives ; c</w:t>
      </w:r>
      <w:r w:rsidR="008A1382" w:rsidRPr="00971297">
        <w:t xml:space="preserve">ela </w:t>
      </w:r>
      <w:r w:rsidR="00351F16">
        <w:t xml:space="preserve">vaut autant pour </w:t>
      </w:r>
      <w:r w:rsidRPr="00971297">
        <w:t>la lis</w:t>
      </w:r>
      <w:r w:rsidR="008A1382" w:rsidRPr="00971297">
        <w:t>te des domaines du PCI présentée</w:t>
      </w:r>
      <w:r w:rsidRPr="00971297">
        <w:t xml:space="preserve"> à l</w:t>
      </w:r>
      <w:r w:rsidR="001F7A0A" w:rsidRPr="00971297">
        <w:t>’</w:t>
      </w:r>
      <w:r w:rsidRPr="00971297">
        <w:t>article 2.2 qu</w:t>
      </w:r>
      <w:r w:rsidR="00351F16">
        <w:t>e pour</w:t>
      </w:r>
      <w:r w:rsidRPr="00971297">
        <w:t xml:space="preserve"> </w:t>
      </w:r>
      <w:r w:rsidR="008B713E" w:rsidRPr="00971297">
        <w:t>celle</w:t>
      </w:r>
      <w:r w:rsidRPr="00971297">
        <w:t xml:space="preserve"> des </w:t>
      </w:r>
      <w:r w:rsidR="008A1382" w:rsidRPr="00971297">
        <w:t xml:space="preserve">mesures de sauvegarde </w:t>
      </w:r>
      <w:r w:rsidRPr="00971297">
        <w:t>à l</w:t>
      </w:r>
      <w:r w:rsidR="001F7A0A" w:rsidRPr="00971297">
        <w:t>’</w:t>
      </w:r>
      <w:r w:rsidRPr="00971297">
        <w:t xml:space="preserve">article 2.3. Plusieurs termes importants employés dans la Convention ne sont pas définis, </w:t>
      </w:r>
      <w:r w:rsidR="00D961AA">
        <w:t xml:space="preserve">tels ceux de </w:t>
      </w:r>
      <w:r w:rsidRPr="00971297">
        <w:t>« communautés, groupes et individus » qui jouent un rôle essentiel dans la mise en œuvre de la Convention.</w:t>
      </w:r>
    </w:p>
    <w:p w:rsidR="00C171E7" w:rsidRPr="00971297" w:rsidRDefault="008A1382" w:rsidP="00C41D44">
      <w:pPr>
        <w:pStyle w:val="Texte1"/>
      </w:pPr>
      <w:r w:rsidRPr="00971297">
        <w:t>Les concepts clés qui figurent</w:t>
      </w:r>
      <w:r w:rsidR="00C171E7" w:rsidRPr="00971297">
        <w:t xml:space="preserve"> dans </w:t>
      </w:r>
      <w:r w:rsidR="00377B1E" w:rsidRPr="00971297">
        <w:t>le Texte du participant</w:t>
      </w:r>
      <w:r w:rsidR="00B06EB9" w:rsidRPr="00971297">
        <w:t xml:space="preserve"> de l’U</w:t>
      </w:r>
      <w:r w:rsidR="00377B1E" w:rsidRPr="00971297">
        <w:t>nité 3</w:t>
      </w:r>
      <w:r w:rsidR="00C171E7" w:rsidRPr="00971297">
        <w:t xml:space="preserve"> apportent donc des explications et des </w:t>
      </w:r>
      <w:r w:rsidR="008B713E" w:rsidRPr="00971297">
        <w:t>informations</w:t>
      </w:r>
      <w:r w:rsidR="00C171E7" w:rsidRPr="00971297">
        <w:t xml:space="preserve"> de </w:t>
      </w:r>
      <w:r w:rsidR="008B713E" w:rsidRPr="00971297">
        <w:t>bas</w:t>
      </w:r>
      <w:r w:rsidR="00B03CD3" w:rsidRPr="00971297">
        <w:t>e</w:t>
      </w:r>
      <w:r w:rsidR="00C171E7" w:rsidRPr="00971297">
        <w:t xml:space="preserve"> non officielles </w:t>
      </w:r>
      <w:r w:rsidR="00017472">
        <w:t>sur</w:t>
      </w:r>
      <w:r w:rsidR="00C171E7" w:rsidRPr="00971297">
        <w:t xml:space="preserve"> les termes </w:t>
      </w:r>
      <w:r w:rsidR="00B03CD3" w:rsidRPr="00971297">
        <w:t>utilis</w:t>
      </w:r>
      <w:r w:rsidR="00C171E7" w:rsidRPr="00971297">
        <w:t xml:space="preserve">és dans la Convention et les </w:t>
      </w:r>
      <w:r w:rsidR="00AB456B" w:rsidRPr="00971297">
        <w:t>DO</w:t>
      </w:r>
      <w:r w:rsidR="00C171E7" w:rsidRPr="00971297">
        <w:t>.</w:t>
      </w:r>
    </w:p>
    <w:p w:rsidR="00C171E7" w:rsidRPr="00971297" w:rsidRDefault="00C171E7" w:rsidP="00512F0E">
      <w:pPr>
        <w:pStyle w:val="Heading6"/>
        <w:rPr>
          <w:lang w:val="fr-FR"/>
        </w:rPr>
      </w:pPr>
      <w:r w:rsidRPr="00971297">
        <w:rPr>
          <w:lang w:val="fr-FR"/>
        </w:rPr>
        <w:t>Diapositive 5</w:t>
      </w:r>
      <w:r w:rsidR="001355EB" w:rsidRPr="00971297">
        <w:rPr>
          <w:lang w:val="fr-FR"/>
        </w:rPr>
        <w:t>.</w:t>
      </w:r>
    </w:p>
    <w:p w:rsidR="00C171E7" w:rsidRPr="00971297" w:rsidRDefault="00844899" w:rsidP="00C41D44">
      <w:pPr>
        <w:pStyle w:val="diapo2"/>
        <w:rPr>
          <w:lang w:val="fr-FR"/>
        </w:rPr>
      </w:pPr>
      <w:r>
        <w:rPr>
          <w:lang w:val="fr-FR"/>
        </w:rPr>
        <w:t xml:space="preserve">« </w:t>
      </w:r>
      <w:r w:rsidR="00C171E7" w:rsidRPr="00971297">
        <w:rPr>
          <w:lang w:val="fr-FR"/>
        </w:rPr>
        <w:t>Ancrer la Convention</w:t>
      </w:r>
      <w:r>
        <w:rPr>
          <w:lang w:val="fr-FR"/>
        </w:rPr>
        <w:t xml:space="preserve"> »</w:t>
      </w:r>
      <w:r w:rsidR="00C171E7" w:rsidRPr="00971297">
        <w:rPr>
          <w:lang w:val="fr-FR"/>
        </w:rPr>
        <w:t xml:space="preserve"> au niveau national</w:t>
      </w:r>
    </w:p>
    <w:p w:rsidR="00C171E7" w:rsidRPr="00971297" w:rsidRDefault="001355EB" w:rsidP="00C41D44">
      <w:pPr>
        <w:pStyle w:val="Texte1"/>
      </w:pPr>
      <w:r w:rsidRPr="00971297">
        <w:t>Plus de 16</w:t>
      </w:r>
      <w:r w:rsidR="00C171E7" w:rsidRPr="00971297">
        <w:t xml:space="preserve">0 États ont déjà ratifié la Convention, de sorte que ses concepts clés sont étudiés dans </w:t>
      </w:r>
      <w:r w:rsidR="00755339" w:rsidRPr="00971297">
        <w:t xml:space="preserve">beaucoup </w:t>
      </w:r>
      <w:r w:rsidR="00C171E7" w:rsidRPr="00971297">
        <w:t>de langues et d</w:t>
      </w:r>
      <w:r w:rsidR="00755339" w:rsidRPr="00971297">
        <w:t>e</w:t>
      </w:r>
      <w:r w:rsidR="00C171E7" w:rsidRPr="00971297">
        <w:t xml:space="preserve"> contextes différents. L</w:t>
      </w:r>
      <w:r w:rsidR="001F7A0A" w:rsidRPr="00971297">
        <w:t>’</w:t>
      </w:r>
      <w:r w:rsidR="00C171E7" w:rsidRPr="00971297">
        <w:t>expression « patrimoine culturel immatériel » a été traduite dans de nombreuses langues différentes, comme l</w:t>
      </w:r>
      <w:r w:rsidR="00755339" w:rsidRPr="00971297">
        <w:t>e montr</w:t>
      </w:r>
      <w:r w:rsidR="00C171E7" w:rsidRPr="00971297">
        <w:t>e la diapositive.</w:t>
      </w:r>
    </w:p>
    <w:p w:rsidR="00C171E7" w:rsidRPr="00971297" w:rsidRDefault="00C171E7" w:rsidP="00C41D44">
      <w:pPr>
        <w:pStyle w:val="Soustitre"/>
      </w:pPr>
      <w:r w:rsidRPr="00971297">
        <w:t xml:space="preserve">Remarque sur </w:t>
      </w:r>
      <w:r w:rsidR="00E04B30" w:rsidRPr="00971297">
        <w:t xml:space="preserve">toutes </w:t>
      </w:r>
      <w:r w:rsidRPr="00971297">
        <w:t xml:space="preserve">les </w:t>
      </w:r>
      <w:r w:rsidR="00E04B30" w:rsidRPr="00971297">
        <w:t>différent</w:t>
      </w:r>
      <w:r w:rsidRPr="00971297">
        <w:t>es versions linguistiques de la Convention</w:t>
      </w:r>
    </w:p>
    <w:p w:rsidR="009E5F60" w:rsidRPr="00971297" w:rsidRDefault="00C171E7" w:rsidP="009E5F60">
      <w:pPr>
        <w:pStyle w:val="Texte1"/>
      </w:pPr>
      <w:r w:rsidRPr="00971297">
        <w:t xml:space="preserve">La majeure partie du texte de la Convention a été </w:t>
      </w:r>
      <w:r w:rsidR="00377A72" w:rsidRPr="00971297">
        <w:t xml:space="preserve">rédigée </w:t>
      </w:r>
      <w:r w:rsidRPr="00971297">
        <w:t>à l</w:t>
      </w:r>
      <w:r w:rsidR="001F7A0A" w:rsidRPr="00971297">
        <w:t>’</w:t>
      </w:r>
      <w:r w:rsidRPr="00971297">
        <w:t>origine en franç</w:t>
      </w:r>
      <w:r w:rsidR="00E04B30" w:rsidRPr="00971297">
        <w:t>ais et, dans une moindre mesure,</w:t>
      </w:r>
      <w:r w:rsidRPr="00971297">
        <w:t xml:space="preserve"> en anglais. L</w:t>
      </w:r>
      <w:r w:rsidR="001F7A0A" w:rsidRPr="00971297">
        <w:t>’</w:t>
      </w:r>
      <w:r w:rsidRPr="00971297">
        <w:t>UNESCO a publié le texte en six langues : anglais, arabe, chinois, espagnol, français et russe</w:t>
      </w:r>
      <w:r w:rsidR="009E5F60" w:rsidRPr="00971297">
        <w:t xml:space="preserve"> (</w:t>
      </w:r>
      <w:r w:rsidR="00377A72" w:rsidRPr="00971297">
        <w:t>faisa</w:t>
      </w:r>
      <w:r w:rsidR="009E5F60" w:rsidRPr="00971297">
        <w:t xml:space="preserve">nt </w:t>
      </w:r>
      <w:r w:rsidR="00E04B30" w:rsidRPr="00971297">
        <w:t xml:space="preserve">toutes </w:t>
      </w:r>
      <w:r w:rsidR="009E5F60" w:rsidRPr="00971297">
        <w:t>également foi -</w:t>
      </w:r>
      <w:r w:rsidRPr="00971297">
        <w:t xml:space="preserve"> article 39). La Convention a </w:t>
      </w:r>
      <w:r w:rsidR="009E5F60" w:rsidRPr="00971297">
        <w:t>aussi</w:t>
      </w:r>
      <w:r w:rsidR="00377A72" w:rsidRPr="00971297">
        <w:t xml:space="preserve"> été traduite dans</w:t>
      </w:r>
      <w:r w:rsidRPr="00971297">
        <w:t xml:space="preserve"> 25 autres</w:t>
      </w:r>
      <w:r w:rsidR="00BA1D2D">
        <w:t xml:space="preserve"> langues.</w:t>
      </w:r>
    </w:p>
    <w:p w:rsidR="00C171E7" w:rsidRPr="00971297" w:rsidRDefault="00844899" w:rsidP="00844899">
      <w:pPr>
        <w:pStyle w:val="Informations"/>
      </w:pPr>
      <w:r w:rsidRPr="002928A5">
        <w:rPr>
          <w:noProof/>
          <w:lang w:val="es-ES_tradnl" w:eastAsia="es-ES_tradnl"/>
        </w:rPr>
        <w:drawing>
          <wp:anchor distT="0" distB="0" distL="114300" distR="114300" simplePos="0" relativeHeight="251705856" behindDoc="0" locked="1" layoutInCell="1" allowOverlap="0" wp14:anchorId="1912974F" wp14:editId="79436206">
            <wp:simplePos x="0" y="0"/>
            <wp:positionH relativeFrom="margin">
              <wp:align>left</wp:align>
            </wp:positionH>
            <wp:positionV relativeFrom="paragraph">
              <wp:posOffset>-73660</wp:posOffset>
            </wp:positionV>
            <wp:extent cx="273685" cy="34671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2928A5">
        <w:t>Voir</w:t>
      </w:r>
      <w:r w:rsidR="00BA1D2D">
        <w:rPr>
          <w:color w:val="FF0000"/>
        </w:rPr>
        <w:t xml:space="preserve"> </w:t>
      </w:r>
      <w:r w:rsidR="00C171E7" w:rsidRPr="00971297">
        <w:t>:</w:t>
      </w:r>
      <w:r w:rsidR="00820341" w:rsidRPr="00971297">
        <w:t xml:space="preserve"> </w:t>
      </w:r>
      <w:hyperlink r:id="rId13" w:history="1">
        <w:r w:rsidR="00C171E7" w:rsidRPr="00971297">
          <w:rPr>
            <w:rStyle w:val="Hyperlink"/>
            <w:color w:val="3366FF"/>
            <w:u w:val="none"/>
          </w:rPr>
          <w:t>http://www.unesco.org/culture/ich/index.php?lg=fr&amp;pg=00102</w:t>
        </w:r>
      </w:hyperlink>
    </w:p>
    <w:p w:rsidR="00C171E7" w:rsidRPr="00971297" w:rsidRDefault="00C171E7" w:rsidP="00C41D44">
      <w:pPr>
        <w:pStyle w:val="Texte1"/>
      </w:pPr>
      <w:r w:rsidRPr="00971297">
        <w:t xml:space="preserve">Il est </w:t>
      </w:r>
      <w:r w:rsidR="003F3A6E" w:rsidRPr="00971297">
        <w:t>très important</w:t>
      </w:r>
      <w:r w:rsidRPr="00971297">
        <w:t xml:space="preserve"> que la Convention soit traduite dans </w:t>
      </w:r>
      <w:r w:rsidR="003F3A6E" w:rsidRPr="00971297">
        <w:t>le plus grand nombre de langues</w:t>
      </w:r>
      <w:r w:rsidRPr="00971297">
        <w:t xml:space="preserve"> po</w:t>
      </w:r>
      <w:r w:rsidR="004E0522" w:rsidRPr="00971297">
        <w:t>ssible. Les nouveaux concepts –e</w:t>
      </w:r>
      <w:r w:rsidR="002A19F6" w:rsidRPr="00971297">
        <w:t>t notamment ceux avec des</w:t>
      </w:r>
      <w:r w:rsidR="00E04B30" w:rsidRPr="00971297">
        <w:t xml:space="preserve"> définitions</w:t>
      </w:r>
      <w:r w:rsidR="004E0522" w:rsidRPr="00971297">
        <w:t xml:space="preserve"> ouverte</w:t>
      </w:r>
      <w:r w:rsidR="00E04B30" w:rsidRPr="00971297">
        <w:t>s</w:t>
      </w:r>
      <w:r w:rsidRPr="00971297">
        <w:t xml:space="preserve">– peuvent </w:t>
      </w:r>
      <w:r w:rsidR="00C73C7D">
        <w:t>bien entendu</w:t>
      </w:r>
      <w:r w:rsidRPr="00971297">
        <w:t xml:space="preserve"> acquérir des connotations assez différentes lorsqu</w:t>
      </w:r>
      <w:r w:rsidR="001F7A0A" w:rsidRPr="00971297">
        <w:t>’</w:t>
      </w:r>
      <w:r w:rsidRPr="00971297">
        <w:t>ils sont traduits dans d</w:t>
      </w:r>
      <w:r w:rsidR="001F7A0A" w:rsidRPr="00971297">
        <w:t>’</w:t>
      </w:r>
      <w:r w:rsidRPr="00971297">
        <w:t>autres langues. L</w:t>
      </w:r>
      <w:r w:rsidR="00C73C7D">
        <w:t>eur</w:t>
      </w:r>
      <w:r w:rsidRPr="00971297">
        <w:t xml:space="preserve"> traduction dans de nouveaux contextes linguistiques devrait donc être largement débattue </w:t>
      </w:r>
      <w:r w:rsidR="00C73C7D">
        <w:t>au regard de</w:t>
      </w:r>
      <w:r w:rsidRPr="00971297">
        <w:t xml:space="preserve"> l</w:t>
      </w:r>
      <w:r w:rsidR="001F7A0A" w:rsidRPr="00971297">
        <w:t>’</w:t>
      </w:r>
      <w:r w:rsidRPr="00971297">
        <w:t xml:space="preserve">esprit de la Convention et </w:t>
      </w:r>
      <w:r w:rsidR="004E0522" w:rsidRPr="00971297">
        <w:t>aux</w:t>
      </w:r>
      <w:r w:rsidRPr="00971297">
        <w:t xml:space="preserve"> quelques définitions qu</w:t>
      </w:r>
      <w:r w:rsidR="00F9117C" w:rsidRPr="00971297">
        <w:t>’elle contient</w:t>
      </w:r>
      <w:r w:rsidRPr="00971297">
        <w:t>.</w:t>
      </w:r>
    </w:p>
    <w:p w:rsidR="00C171E7" w:rsidRPr="00971297" w:rsidRDefault="00C171E7" w:rsidP="00C41D44">
      <w:pPr>
        <w:pStyle w:val="Texte1"/>
      </w:pPr>
      <w:r w:rsidRPr="00971297">
        <w:t xml:space="preserve">Ce processus peut aider les </w:t>
      </w:r>
      <w:r w:rsidR="001E4AF9" w:rsidRPr="00971297">
        <w:t>population</w:t>
      </w:r>
      <w:r w:rsidRPr="00971297">
        <w:t xml:space="preserve">s de différentes régions et de différents États à réfléchir aux concepts </w:t>
      </w:r>
      <w:r w:rsidR="001E4AF9" w:rsidRPr="00971297">
        <w:t>en usage</w:t>
      </w:r>
      <w:r w:rsidRPr="00971297">
        <w:t xml:space="preserve"> dans la Convention et</w:t>
      </w:r>
      <w:r w:rsidR="002A19F6" w:rsidRPr="00971297">
        <w:t xml:space="preserve"> à la manière de les appliquer à</w:t>
      </w:r>
      <w:r w:rsidRPr="00971297">
        <w:t xml:space="preserve"> leur propre contexte. Les personnes </w:t>
      </w:r>
      <w:r w:rsidR="001E4AF9" w:rsidRPr="00971297">
        <w:t>qui s’</w:t>
      </w:r>
      <w:r w:rsidRPr="00971297">
        <w:t>intéress</w:t>
      </w:r>
      <w:r w:rsidR="001E4AF9" w:rsidRPr="00971297">
        <w:t>ent à</w:t>
      </w:r>
      <w:r w:rsidRPr="00971297">
        <w:t xml:space="preserve"> la sauvegarde de leur PCI</w:t>
      </w:r>
      <w:r w:rsidR="001E4AF9" w:rsidRPr="00971297">
        <w:t>,</w:t>
      </w:r>
      <w:r w:rsidRPr="00971297">
        <w:t xml:space="preserve"> ou du PCI en général</w:t>
      </w:r>
      <w:r w:rsidR="001E4AF9" w:rsidRPr="00971297">
        <w:t>,</w:t>
      </w:r>
      <w:r w:rsidRPr="00971297">
        <w:t xml:space="preserve"> auront ainsi un meilleur accès à la Convention et à ses idéaux</w:t>
      </w:r>
      <w:r w:rsidR="001E4AF9" w:rsidRPr="00971297">
        <w:t>. L</w:t>
      </w:r>
      <w:r w:rsidRPr="00971297">
        <w:t xml:space="preserve">e renforcement des capacités </w:t>
      </w:r>
      <w:r w:rsidR="001E4AF9" w:rsidRPr="00971297">
        <w:t>d</w:t>
      </w:r>
      <w:r w:rsidRPr="00971297">
        <w:t xml:space="preserve">e sauvegarde au niveau local ou national </w:t>
      </w:r>
      <w:r w:rsidR="00137ADC">
        <w:t>s’</w:t>
      </w:r>
      <w:r w:rsidRPr="00971297">
        <w:t xml:space="preserve">en </w:t>
      </w:r>
      <w:r w:rsidR="00137ADC">
        <w:t>trouv</w:t>
      </w:r>
      <w:r w:rsidRPr="00971297">
        <w:t xml:space="preserve">era </w:t>
      </w:r>
      <w:r w:rsidR="00137ADC">
        <w:t>aussi</w:t>
      </w:r>
      <w:r w:rsidRPr="00971297">
        <w:t xml:space="preserve"> facilité. Dans le cadre du renforcement des c</w:t>
      </w:r>
      <w:r w:rsidR="002C38D0" w:rsidRPr="00971297">
        <w:t>apacités, les communautés et</w:t>
      </w:r>
      <w:r w:rsidRPr="00971297">
        <w:t xml:space="preserve"> autres parties prenantes </w:t>
      </w:r>
      <w:r w:rsidR="002C38D0" w:rsidRPr="00971297">
        <w:t>qui s’</w:t>
      </w:r>
      <w:r w:rsidRPr="00971297">
        <w:t>intéress</w:t>
      </w:r>
      <w:r w:rsidR="002C38D0" w:rsidRPr="00971297">
        <w:t>ent</w:t>
      </w:r>
      <w:r w:rsidRPr="00971297">
        <w:t xml:space="preserve"> </w:t>
      </w:r>
      <w:r w:rsidR="002C38D0" w:rsidRPr="00971297">
        <w:t>à</w:t>
      </w:r>
      <w:r w:rsidRPr="00971297">
        <w:t xml:space="preserve"> la sauvegarde du PCI au niveau national d</w:t>
      </w:r>
      <w:r w:rsidR="00137ADC">
        <w:t>oiv</w:t>
      </w:r>
      <w:r w:rsidRPr="00971297">
        <w:t>ent être encouragées à discuter de la Convention</w:t>
      </w:r>
      <w:r w:rsidR="002C38D0" w:rsidRPr="00971297">
        <w:t>,</w:t>
      </w:r>
      <w:r w:rsidRPr="00971297">
        <w:t xml:space="preserve"> de ses principaux concepts et objectifs</w:t>
      </w:r>
      <w:r w:rsidR="002C38D0" w:rsidRPr="00971297">
        <w:t>,</w:t>
      </w:r>
      <w:r w:rsidRPr="00971297">
        <w:t xml:space="preserve"> dans</w:t>
      </w:r>
      <w:r w:rsidR="009E5F60" w:rsidRPr="00971297">
        <w:t xml:space="preserve"> leurs propres langues (voir</w:t>
      </w:r>
      <w:r w:rsidRPr="00971297">
        <w:t xml:space="preserve"> DO 81 et 82).</w:t>
      </w:r>
    </w:p>
    <w:p w:rsidR="00C171E7" w:rsidRPr="00971297" w:rsidRDefault="00C171E7" w:rsidP="00C41D44">
      <w:pPr>
        <w:pStyle w:val="Texte1"/>
      </w:pPr>
      <w:r w:rsidRPr="00971297">
        <w:t xml:space="preserve">Dans plusieurs langues, </w:t>
      </w:r>
      <w:r w:rsidR="006A0331" w:rsidRPr="00971297">
        <w:t>comme</w:t>
      </w:r>
      <w:r w:rsidR="00A917DD" w:rsidRPr="00971297">
        <w:t xml:space="preserve"> e</w:t>
      </w:r>
      <w:r w:rsidR="006A0331" w:rsidRPr="00971297">
        <w:t xml:space="preserve">n </w:t>
      </w:r>
      <w:r w:rsidRPr="00971297">
        <w:t>espagnol</w:t>
      </w:r>
      <w:r w:rsidR="00A917DD" w:rsidRPr="00971297">
        <w:t>, en français</w:t>
      </w:r>
      <w:r w:rsidRPr="00971297">
        <w:t xml:space="preserve"> et en russe, </w:t>
      </w:r>
      <w:r w:rsidR="00A917DD" w:rsidRPr="00971297">
        <w:t>le</w:t>
      </w:r>
      <w:r w:rsidR="006A0331" w:rsidRPr="00971297">
        <w:t xml:space="preserve"> patrimoine</w:t>
      </w:r>
      <w:r w:rsidR="00A917DD" w:rsidRPr="00971297">
        <w:t xml:space="preserve"> est </w:t>
      </w:r>
      <w:r w:rsidR="0039458F" w:rsidRPr="00971297">
        <w:t>tradui</w:t>
      </w:r>
      <w:r w:rsidR="00A917DD" w:rsidRPr="00971297">
        <w:t>t</w:t>
      </w:r>
      <w:r w:rsidR="0039458F" w:rsidRPr="00971297">
        <w:t xml:space="preserve"> par l’adjectif</w:t>
      </w:r>
      <w:r w:rsidR="006A0331" w:rsidRPr="00971297">
        <w:t xml:space="preserve"> « </w:t>
      </w:r>
      <w:r w:rsidRPr="00971297">
        <w:t xml:space="preserve">immatériel » ; </w:t>
      </w:r>
      <w:r w:rsidR="0039458F" w:rsidRPr="00971297">
        <w:t>en japonais,</w:t>
      </w:r>
      <w:r w:rsidR="007E4DF6" w:rsidRPr="00971297">
        <w:t xml:space="preserve"> </w:t>
      </w:r>
      <w:r w:rsidR="0039458F" w:rsidRPr="00971297">
        <w:t xml:space="preserve">la traduction signifie </w:t>
      </w:r>
      <w:r w:rsidR="007E4DF6" w:rsidRPr="00971297">
        <w:t>le</w:t>
      </w:r>
      <w:r w:rsidR="00662E67" w:rsidRPr="00971297">
        <w:t xml:space="preserve"> </w:t>
      </w:r>
      <w:r w:rsidRPr="00971297">
        <w:t>patrimoine « n</w:t>
      </w:r>
      <w:r w:rsidR="001F7A0A" w:rsidRPr="00971297">
        <w:t>’</w:t>
      </w:r>
      <w:r w:rsidRPr="00971297">
        <w:t>ayant pas de forme ». Dans les années 1980, l</w:t>
      </w:r>
      <w:r w:rsidR="001F7A0A" w:rsidRPr="00971297">
        <w:t>’</w:t>
      </w:r>
      <w:r w:rsidRPr="00971297">
        <w:t>expre</w:t>
      </w:r>
      <w:r w:rsidR="007E4DF6" w:rsidRPr="00971297">
        <w:t xml:space="preserve">ssion « patrimoine </w:t>
      </w:r>
      <w:r w:rsidRPr="00971297">
        <w:t xml:space="preserve">non physique » était utilisée </w:t>
      </w:r>
      <w:r w:rsidR="007E4DF6" w:rsidRPr="00971297">
        <w:t>à</w:t>
      </w:r>
      <w:r w:rsidRPr="00971297">
        <w:t xml:space="preserve"> l</w:t>
      </w:r>
      <w:r w:rsidR="001F7A0A" w:rsidRPr="00971297">
        <w:t>’</w:t>
      </w:r>
      <w:r w:rsidRPr="00971297">
        <w:t xml:space="preserve">UNESCO. En setswana (Botswana), le PCI se traduit par </w:t>
      </w:r>
      <w:r w:rsidRPr="00971297">
        <w:rPr>
          <w:i/>
        </w:rPr>
        <w:t>« </w:t>
      </w:r>
      <w:proofErr w:type="spellStart"/>
      <w:r w:rsidRPr="00971297">
        <w:rPr>
          <w:i/>
        </w:rPr>
        <w:t>Ngwao</w:t>
      </w:r>
      <w:proofErr w:type="spellEnd"/>
      <w:r w:rsidRPr="00971297">
        <w:rPr>
          <w:i/>
        </w:rPr>
        <w:t xml:space="preserve"> e </w:t>
      </w:r>
      <w:proofErr w:type="spellStart"/>
      <w:r w:rsidRPr="00971297">
        <w:rPr>
          <w:i/>
        </w:rPr>
        <w:t>e</w:t>
      </w:r>
      <w:proofErr w:type="spellEnd"/>
      <w:r w:rsidRPr="00971297">
        <w:rPr>
          <w:i/>
        </w:rPr>
        <w:t xml:space="preserve"> sa </w:t>
      </w:r>
      <w:proofErr w:type="spellStart"/>
      <w:r w:rsidRPr="00971297">
        <w:rPr>
          <w:i/>
        </w:rPr>
        <w:t>Tshwaregeng</w:t>
      </w:r>
      <w:proofErr w:type="spellEnd"/>
      <w:r w:rsidRPr="00971297">
        <w:rPr>
          <w:i/>
        </w:rPr>
        <w:t xml:space="preserve"> », </w:t>
      </w:r>
      <w:r w:rsidR="0039458F" w:rsidRPr="00971297">
        <w:t xml:space="preserve">autrement dit </w:t>
      </w:r>
      <w:r w:rsidRPr="00971297">
        <w:t>« le patrimoine qui est intangible ».</w:t>
      </w:r>
      <w:r w:rsidRPr="00971297">
        <w:rPr>
          <w:i/>
        </w:rPr>
        <w:t xml:space="preserve"> </w:t>
      </w:r>
      <w:r w:rsidRPr="00971297">
        <w:t>Un poète, membre d</w:t>
      </w:r>
      <w:r w:rsidR="001F7A0A" w:rsidRPr="00971297">
        <w:t>’</w:t>
      </w:r>
      <w:r w:rsidRPr="00971297">
        <w:t xml:space="preserve">un Comité </w:t>
      </w:r>
      <w:r w:rsidR="006E4162" w:rsidRPr="00971297">
        <w:t>local</w:t>
      </w:r>
      <w:r w:rsidRPr="00971297">
        <w:t xml:space="preserve"> du PCI au Botswana, a créé l</w:t>
      </w:r>
      <w:r w:rsidR="001F7A0A" w:rsidRPr="00971297">
        <w:t>’</w:t>
      </w:r>
      <w:r w:rsidRPr="00971297">
        <w:t>acronyme « NEST » à partir de cette traduction. L</w:t>
      </w:r>
      <w:r w:rsidR="005148B8" w:rsidRPr="00971297">
        <w:t>e terme anglais</w:t>
      </w:r>
      <w:r w:rsidR="006E4162" w:rsidRPr="00971297">
        <w:t xml:space="preserve"> </w:t>
      </w:r>
      <w:r w:rsidR="00267EBE" w:rsidRPr="00971297">
        <w:t>« </w:t>
      </w:r>
      <w:r w:rsidR="00267EBE" w:rsidRPr="00137ADC">
        <w:rPr>
          <w:i/>
        </w:rPr>
        <w:t>intangible</w:t>
      </w:r>
      <w:r w:rsidR="00267EBE" w:rsidRPr="00971297">
        <w:t xml:space="preserve"> » </w:t>
      </w:r>
      <w:r w:rsidR="006E4162" w:rsidRPr="00971297">
        <w:t>a également été traduit</w:t>
      </w:r>
      <w:r w:rsidRPr="00971297">
        <w:t xml:space="preserve"> de manière littérale en swahili.</w:t>
      </w:r>
    </w:p>
    <w:p w:rsidR="00C171E7" w:rsidRPr="00971297" w:rsidRDefault="005148B8" w:rsidP="00DD6B4B">
      <w:pPr>
        <w:pStyle w:val="Soustitre"/>
      </w:pPr>
      <w:r w:rsidRPr="00971297">
        <w:t>Exercice (</w:t>
      </w:r>
      <w:r w:rsidR="00367CCC">
        <w:t>20</w:t>
      </w:r>
      <w:r w:rsidR="00BA1D2D">
        <w:t xml:space="preserve">-30 minutes) </w:t>
      </w:r>
      <w:r w:rsidR="00C171E7" w:rsidRPr="00971297">
        <w:t xml:space="preserve">: </w:t>
      </w:r>
      <w:proofErr w:type="gramStart"/>
      <w:r w:rsidR="005A4FD1" w:rsidRPr="00971297">
        <w:t>ancrer</w:t>
      </w:r>
      <w:proofErr w:type="gramEnd"/>
      <w:r w:rsidR="005A4FD1" w:rsidRPr="00971297">
        <w:t xml:space="preserve"> </w:t>
      </w:r>
      <w:r w:rsidR="00C171E7" w:rsidRPr="00971297">
        <w:t>la Convention au niveau national</w:t>
      </w:r>
    </w:p>
    <w:p w:rsidR="00C171E7" w:rsidRPr="00971297" w:rsidRDefault="00A21546" w:rsidP="00C41D44">
      <w:pPr>
        <w:pStyle w:val="Texte1"/>
      </w:pPr>
      <w:r w:rsidRPr="00DD45B1">
        <w:rPr>
          <w:noProof/>
          <w:kern w:val="28"/>
          <w:lang w:val="es-ES_tradnl" w:eastAsia="es-ES_tradnl"/>
        </w:rPr>
        <w:drawing>
          <wp:anchor distT="0" distB="0" distL="114300" distR="114300" simplePos="0" relativeHeight="251707904" behindDoc="0" locked="0" layoutInCell="1" allowOverlap="1" wp14:anchorId="22A21E2B" wp14:editId="406C09D3">
            <wp:simplePos x="0" y="0"/>
            <wp:positionH relativeFrom="margin">
              <wp:align>left</wp:align>
            </wp:positionH>
            <wp:positionV relativeFrom="paragraph">
              <wp:posOffset>22225</wp:posOffset>
            </wp:positionV>
            <wp:extent cx="294640" cy="347345"/>
            <wp:effectExtent l="0" t="0" r="0" b="0"/>
            <wp:wrapNone/>
            <wp:docPr id="2"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1E7" w:rsidRPr="00DD45B1">
        <w:t xml:space="preserve">Cet exercice </w:t>
      </w:r>
      <w:r w:rsidR="00985510" w:rsidRPr="00971297">
        <w:t>incit</w:t>
      </w:r>
      <w:r w:rsidR="00C171E7" w:rsidRPr="00971297">
        <w:t xml:space="preserve">e les participants à réfléchir à la traduction des </w:t>
      </w:r>
      <w:r w:rsidR="00985510" w:rsidRPr="00971297">
        <w:t>terme</w:t>
      </w:r>
      <w:r w:rsidR="005148B8" w:rsidRPr="00971297">
        <w:t>s « patrimoine</w:t>
      </w:r>
      <w:r w:rsidR="00C171E7" w:rsidRPr="00971297">
        <w:t xml:space="preserve"> immatériel » et « communauté » dans les langues officielles ou nationales de leur pays (autres que l</w:t>
      </w:r>
      <w:r w:rsidR="001F7A0A" w:rsidRPr="00971297">
        <w:t>’</w:t>
      </w:r>
      <w:r w:rsidR="00C171E7" w:rsidRPr="00971297">
        <w:t>anglais, l</w:t>
      </w:r>
      <w:r w:rsidR="001F7A0A" w:rsidRPr="00971297">
        <w:t>’</w:t>
      </w:r>
      <w:r w:rsidR="00C171E7" w:rsidRPr="00971297">
        <w:t>arabe, le chinois, l</w:t>
      </w:r>
      <w:r w:rsidR="001F7A0A" w:rsidRPr="00971297">
        <w:t>’</w:t>
      </w:r>
      <w:r w:rsidR="00C171E7" w:rsidRPr="00971297">
        <w:t xml:space="preserve">espagnol, le français et le russe). Il leur permet </w:t>
      </w:r>
      <w:r w:rsidR="00985510" w:rsidRPr="00971297">
        <w:t>non seulement</w:t>
      </w:r>
      <w:r w:rsidR="00C171E7" w:rsidRPr="00971297">
        <w:t xml:space="preserve"> </w:t>
      </w:r>
      <w:r w:rsidR="001D757D" w:rsidRPr="00971297">
        <w:t xml:space="preserve">de saisir </w:t>
      </w:r>
      <w:r w:rsidR="00C171E7" w:rsidRPr="00971297">
        <w:t>l</w:t>
      </w:r>
      <w:r w:rsidR="001F7A0A" w:rsidRPr="00971297">
        <w:t>’</w:t>
      </w:r>
      <w:r w:rsidR="00985510" w:rsidRPr="00971297">
        <w:t>importance, mais encore la difficulté</w:t>
      </w:r>
      <w:r w:rsidR="00C171E7" w:rsidRPr="00971297">
        <w:t xml:space="preserve"> de traduire les idées qui sous-tendent la Convention, </w:t>
      </w:r>
      <w:r w:rsidR="00985510" w:rsidRPr="00971297">
        <w:t>et</w:t>
      </w:r>
      <w:r w:rsidR="00C171E7" w:rsidRPr="00971297">
        <w:t xml:space="preserve"> l</w:t>
      </w:r>
      <w:r w:rsidR="001F7A0A" w:rsidRPr="00971297">
        <w:t>’</w:t>
      </w:r>
      <w:r w:rsidR="00C171E7" w:rsidRPr="00971297">
        <w:t xml:space="preserve">importance de </w:t>
      </w:r>
      <w:r w:rsidR="001D757D" w:rsidRPr="00971297">
        <w:t xml:space="preserve">bien </w:t>
      </w:r>
      <w:r w:rsidR="006A37A0">
        <w:t>saisir</w:t>
      </w:r>
      <w:r w:rsidR="00C171E7" w:rsidRPr="00971297">
        <w:t xml:space="preserve"> le contexte </w:t>
      </w:r>
      <w:r w:rsidR="006A37A0">
        <w:t xml:space="preserve">qui entoure </w:t>
      </w:r>
      <w:r w:rsidR="00C171E7" w:rsidRPr="00971297">
        <w:t>un</w:t>
      </w:r>
      <w:r w:rsidR="006A37A0">
        <w:t>e notion</w:t>
      </w:r>
      <w:r w:rsidR="00C171E7" w:rsidRPr="00971297">
        <w:t xml:space="preserve"> </w:t>
      </w:r>
      <w:r w:rsidR="006A37A0">
        <w:t>pour mieux</w:t>
      </w:r>
      <w:r w:rsidR="00C171E7" w:rsidRPr="00971297">
        <w:t xml:space="preserve"> </w:t>
      </w:r>
      <w:r w:rsidR="00985510" w:rsidRPr="00971297">
        <w:t>« </w:t>
      </w:r>
      <w:r w:rsidR="00C171E7" w:rsidRPr="00971297">
        <w:t>l</w:t>
      </w:r>
      <w:r w:rsidR="00985510" w:rsidRPr="00971297">
        <w:t>’</w:t>
      </w:r>
      <w:r w:rsidR="00C171E7" w:rsidRPr="00971297">
        <w:t>apprivoiser ».</w:t>
      </w:r>
    </w:p>
    <w:p w:rsidR="00C171E7" w:rsidRPr="00971297" w:rsidRDefault="00C171E7" w:rsidP="00C41D44">
      <w:pPr>
        <w:pStyle w:val="Texte1"/>
      </w:pPr>
      <w:r w:rsidRPr="00971297">
        <w:t>Les participants qui utilisent l</w:t>
      </w:r>
      <w:r w:rsidR="001F7A0A" w:rsidRPr="00971297">
        <w:t>’</w:t>
      </w:r>
      <w:r w:rsidRPr="00971297">
        <w:t>arabe, le chinois, l</w:t>
      </w:r>
      <w:r w:rsidR="001F7A0A" w:rsidRPr="00971297">
        <w:t>’</w:t>
      </w:r>
      <w:r w:rsidRPr="00971297">
        <w:t xml:space="preserve">espagnol ou le russe </w:t>
      </w:r>
      <w:r w:rsidR="00B925B5" w:rsidRPr="00971297">
        <w:t xml:space="preserve">peuvent </w:t>
      </w:r>
      <w:r w:rsidR="006A37A0" w:rsidRPr="00971297">
        <w:t xml:space="preserve">aussi </w:t>
      </w:r>
      <w:r w:rsidRPr="00971297">
        <w:t xml:space="preserve">souhaiter </w:t>
      </w:r>
      <w:r w:rsidR="002641DB">
        <w:t>examin</w:t>
      </w:r>
      <w:r w:rsidRPr="00971297">
        <w:t xml:space="preserve">er comment les </w:t>
      </w:r>
      <w:r w:rsidR="00B925B5" w:rsidRPr="00971297">
        <w:t>terme</w:t>
      </w:r>
      <w:r w:rsidRPr="00971297">
        <w:t>s d</w:t>
      </w:r>
      <w:r w:rsidR="00B925B5" w:rsidRPr="00971297">
        <w:t>e la Convention ont été traduits</w:t>
      </w:r>
      <w:r w:rsidRPr="00971297">
        <w:t xml:space="preserve"> de l</w:t>
      </w:r>
      <w:r w:rsidR="001F7A0A" w:rsidRPr="00971297">
        <w:t>’</w:t>
      </w:r>
      <w:r w:rsidRPr="00971297">
        <w:t>anglais et du frança</w:t>
      </w:r>
      <w:r w:rsidR="00B925B5" w:rsidRPr="00971297">
        <w:t>is dans les versions</w:t>
      </w:r>
      <w:r w:rsidRPr="00971297">
        <w:t xml:space="preserve"> arabe, chinoise, espagnole ou russe</w:t>
      </w:r>
      <w:r w:rsidR="001D757D" w:rsidRPr="00971297">
        <w:t xml:space="preserve"> </w:t>
      </w:r>
      <w:r w:rsidR="002641DB">
        <w:t>faisa</w:t>
      </w:r>
      <w:r w:rsidR="00B925B5" w:rsidRPr="00971297">
        <w:t xml:space="preserve">nt </w:t>
      </w:r>
      <w:r w:rsidR="002641DB">
        <w:t>foi</w:t>
      </w:r>
      <w:r w:rsidRPr="00971297">
        <w:t>.</w:t>
      </w:r>
    </w:p>
    <w:p w:rsidR="00C171E7" w:rsidRPr="00971297" w:rsidRDefault="00C171E7" w:rsidP="00C41D44">
      <w:pPr>
        <w:pStyle w:val="Texte1"/>
      </w:pPr>
      <w:r w:rsidRPr="00971297">
        <w:t>En discut</w:t>
      </w:r>
      <w:r w:rsidR="00785976" w:rsidRPr="00971297">
        <w:t>ant de</w:t>
      </w:r>
      <w:r w:rsidR="00D20468" w:rsidRPr="00971297">
        <w:t>s façons de traduire</w:t>
      </w:r>
      <w:r w:rsidRPr="00971297">
        <w:t xml:space="preserve"> « PCI » dans d</w:t>
      </w:r>
      <w:r w:rsidR="001F7A0A" w:rsidRPr="00971297">
        <w:t>’</w:t>
      </w:r>
      <w:r w:rsidRPr="00971297">
        <w:t>autres langues, les participants p</w:t>
      </w:r>
      <w:r w:rsidR="005D2C7E">
        <w:t>ourro</w:t>
      </w:r>
      <w:r w:rsidR="00D20468" w:rsidRPr="00971297">
        <w:t>nt</w:t>
      </w:r>
      <w:r w:rsidRPr="00971297">
        <w:t xml:space="preserve"> </w:t>
      </w:r>
      <w:r w:rsidR="00D20468" w:rsidRPr="00971297">
        <w:t>se demander</w:t>
      </w:r>
      <w:r w:rsidR="00785976" w:rsidRPr="00971297">
        <w:t xml:space="preserve"> </w:t>
      </w:r>
      <w:r w:rsidRPr="00971297">
        <w:t xml:space="preserve">si, </w:t>
      </w:r>
      <w:r w:rsidR="00785976" w:rsidRPr="00971297">
        <w:t>dans la traduc</w:t>
      </w:r>
      <w:r w:rsidRPr="00971297">
        <w:t>t</w:t>
      </w:r>
      <w:r w:rsidR="00785976" w:rsidRPr="00971297">
        <w:t>ion</w:t>
      </w:r>
      <w:r w:rsidRPr="00971297">
        <w:t xml:space="preserve">, </w:t>
      </w:r>
      <w:r w:rsidR="00785976" w:rsidRPr="00971297">
        <w:t>le concept</w:t>
      </w:r>
      <w:r w:rsidRPr="00971297">
        <w:t> :</w:t>
      </w:r>
    </w:p>
    <w:p w:rsidR="00C171E7" w:rsidRPr="00971297" w:rsidRDefault="00C171E7" w:rsidP="003F6917">
      <w:pPr>
        <w:pStyle w:val="nutiret"/>
        <w:numPr>
          <w:ilvl w:val="0"/>
          <w:numId w:val="16"/>
        </w:numPr>
      </w:pPr>
      <w:r w:rsidRPr="00971297">
        <w:t>exclut le PCI qui n</w:t>
      </w:r>
      <w:r w:rsidR="001F7A0A" w:rsidRPr="00971297">
        <w:t>’</w:t>
      </w:r>
      <w:r w:rsidRPr="00971297">
        <w:t>est plus pratiqué (</w:t>
      </w:r>
      <w:r w:rsidR="00785976" w:rsidRPr="00971297">
        <w:t>not</w:t>
      </w:r>
      <w:r w:rsidRPr="00971297">
        <w:t>e </w:t>
      </w:r>
      <w:r w:rsidR="00785976" w:rsidRPr="00971297">
        <w:t>: la Convention exclut de l</w:t>
      </w:r>
      <w:r w:rsidRPr="00971297">
        <w:t xml:space="preserve">a définition </w:t>
      </w:r>
      <w:r w:rsidR="00307279" w:rsidRPr="00971297">
        <w:t>du</w:t>
      </w:r>
      <w:r w:rsidR="00785976" w:rsidRPr="00971297">
        <w:t xml:space="preserve"> PCI </w:t>
      </w:r>
      <w:r w:rsidRPr="00971297">
        <w:t>toutes les formes qui ne sont plus pratiquées) ;</w:t>
      </w:r>
    </w:p>
    <w:p w:rsidR="00C171E7" w:rsidRPr="00971297" w:rsidRDefault="00307279" w:rsidP="003F6917">
      <w:pPr>
        <w:pStyle w:val="nutiret"/>
        <w:numPr>
          <w:ilvl w:val="0"/>
          <w:numId w:val="16"/>
        </w:numPr>
      </w:pPr>
      <w:r w:rsidRPr="00971297">
        <w:t>peut inclure le PCI de</w:t>
      </w:r>
      <w:r w:rsidR="007C1D8D" w:rsidRPr="00971297">
        <w:t>s</w:t>
      </w:r>
      <w:r w:rsidR="00C171E7" w:rsidRPr="00971297">
        <w:t xml:space="preserve"> communautés immigrées et nomades (</w:t>
      </w:r>
      <w:r w:rsidR="005148B8" w:rsidRPr="00971297">
        <w:t>note</w:t>
      </w:r>
      <w:r w:rsidR="00C171E7" w:rsidRPr="00971297">
        <w:t> : la Convention n</w:t>
      </w:r>
      <w:r w:rsidR="001F7A0A" w:rsidRPr="00971297">
        <w:t>’</w:t>
      </w:r>
      <w:r w:rsidR="00C171E7" w:rsidRPr="00971297">
        <w:t>exclut pas ce type de PCI dans sa définition) ; et/ou</w:t>
      </w:r>
    </w:p>
    <w:p w:rsidR="00C171E7" w:rsidRPr="00971297" w:rsidRDefault="00C171E7" w:rsidP="003F6917">
      <w:pPr>
        <w:pStyle w:val="nutiret"/>
        <w:numPr>
          <w:ilvl w:val="0"/>
          <w:numId w:val="16"/>
        </w:numPr>
      </w:pPr>
      <w:proofErr w:type="gramStart"/>
      <w:r w:rsidRPr="00971297">
        <w:t>a</w:t>
      </w:r>
      <w:proofErr w:type="gramEnd"/>
      <w:r w:rsidRPr="00971297">
        <w:t xml:space="preserve"> des connotations similaires à « folklore (traditionnel) » en français (vieux, immuable, etc., qui ne seraient pas compatibles avec l</w:t>
      </w:r>
      <w:r w:rsidR="005D2C7E">
        <w:t>e sens de l</w:t>
      </w:r>
      <w:r w:rsidRPr="00971297">
        <w:t xml:space="preserve">a définition du PCI donnée </w:t>
      </w:r>
      <w:r w:rsidR="007C1D8D" w:rsidRPr="00971297">
        <w:t>dans</w:t>
      </w:r>
      <w:r w:rsidRPr="00971297">
        <w:t xml:space="preserve"> la Convention).</w:t>
      </w:r>
    </w:p>
    <w:p w:rsidR="00C171E7" w:rsidRPr="00971297" w:rsidRDefault="00C171E7" w:rsidP="00C41D44">
      <w:pPr>
        <w:pStyle w:val="Texte1"/>
      </w:pPr>
      <w:r w:rsidRPr="00971297">
        <w:rPr>
          <w:color w:val="000000" w:themeColor="text1"/>
        </w:rPr>
        <w:t>Dans certains contextes</w:t>
      </w:r>
      <w:r w:rsidRPr="00971297">
        <w:t xml:space="preserve"> nationaux ou locaux, d</w:t>
      </w:r>
      <w:r w:rsidR="001F7A0A" w:rsidRPr="00971297">
        <w:t>’</w:t>
      </w:r>
      <w:r w:rsidRPr="00971297">
        <w:t xml:space="preserve">autres </w:t>
      </w:r>
      <w:r w:rsidR="007C1D8D" w:rsidRPr="00971297">
        <w:t>termes (</w:t>
      </w:r>
      <w:r w:rsidRPr="00971297">
        <w:t>« folklore », « culture spirituelle » ou « cu</w:t>
      </w:r>
      <w:r w:rsidR="007C1D8D" w:rsidRPr="00971297">
        <w:t>lture populaire ») sont employé</w:t>
      </w:r>
      <w:r w:rsidRPr="00971297">
        <w:t>s pour dé</w:t>
      </w:r>
      <w:r w:rsidR="008B7A87" w:rsidRPr="00971297">
        <w:t>signer</w:t>
      </w:r>
      <w:r w:rsidRPr="00971297">
        <w:t xml:space="preserve"> </w:t>
      </w:r>
      <w:r w:rsidR="000D582B" w:rsidRPr="00971297">
        <w:t xml:space="preserve">le </w:t>
      </w:r>
      <w:r w:rsidR="008B7A87" w:rsidRPr="00971297">
        <w:t>« </w:t>
      </w:r>
      <w:r w:rsidRPr="00971297">
        <w:t xml:space="preserve"> PCI</w:t>
      </w:r>
      <w:r w:rsidR="008B7A87" w:rsidRPr="00971297">
        <w:t> »</w:t>
      </w:r>
      <w:r w:rsidRPr="00971297">
        <w:t xml:space="preserve">. </w:t>
      </w:r>
      <w:r w:rsidR="000D582B" w:rsidRPr="00971297">
        <w:t>Ils sont souvent plus inclusif</w:t>
      </w:r>
      <w:r w:rsidRPr="00971297">
        <w:t>s que le « PCI » au sens où l</w:t>
      </w:r>
      <w:r w:rsidR="001F7A0A" w:rsidRPr="00971297">
        <w:t>’</w:t>
      </w:r>
      <w:r w:rsidRPr="00971297">
        <w:t xml:space="preserve">entend la Convention ; </w:t>
      </w:r>
      <w:r w:rsidR="000D582B" w:rsidRPr="00971297">
        <w:t>il</w:t>
      </w:r>
      <w:r w:rsidRPr="00971297">
        <w:t>s peuvent couvrir un large éventail de pratiques et d</w:t>
      </w:r>
      <w:r w:rsidR="001F7A0A" w:rsidRPr="00971297">
        <w:t>’</w:t>
      </w:r>
      <w:r w:rsidRPr="00971297">
        <w:t>expressions, y compris celles qui ne sont pas conform</w:t>
      </w:r>
      <w:r w:rsidR="000D582B" w:rsidRPr="00971297">
        <w:t>es à la définition du PCI</w:t>
      </w:r>
      <w:r w:rsidRPr="00971297">
        <w:t xml:space="preserve"> dans la Convention. Ces termes plus généraux peuvent être employés pour décrire des pratiques ou des expressions dans le contexte local. Toutefois, pour faire référence au PCI tel que défini </w:t>
      </w:r>
      <w:r w:rsidR="00827EEF">
        <w:t>selon</w:t>
      </w:r>
      <w:r w:rsidRPr="00971297">
        <w:t xml:space="preserve"> la Convention (par exemple, lors de la soumission d</w:t>
      </w:r>
      <w:r w:rsidR="001F7A0A" w:rsidRPr="00971297">
        <w:t>’</w:t>
      </w:r>
      <w:r w:rsidRPr="00971297">
        <w:t>une candidature pour inscription sur l</w:t>
      </w:r>
      <w:r w:rsidR="001F7A0A" w:rsidRPr="00971297">
        <w:t>’</w:t>
      </w:r>
      <w:r w:rsidRPr="00971297">
        <w:t>une des Listes de la Convention), il est préférable d</w:t>
      </w:r>
      <w:r w:rsidR="001F7A0A" w:rsidRPr="00971297">
        <w:t>’</w:t>
      </w:r>
      <w:r w:rsidR="00915518" w:rsidRPr="00971297">
        <w:t>opter pour</w:t>
      </w:r>
      <w:r w:rsidRPr="00971297">
        <w:t xml:space="preserve"> une traduction locale du </w:t>
      </w:r>
      <w:r w:rsidR="00915518" w:rsidRPr="00971297">
        <w:t>« </w:t>
      </w:r>
      <w:r w:rsidRPr="00971297">
        <w:t>PCI</w:t>
      </w:r>
      <w:r w:rsidR="00915518" w:rsidRPr="00971297">
        <w:t> »</w:t>
      </w:r>
      <w:r w:rsidRPr="00971297">
        <w:t xml:space="preserve">, </w:t>
      </w:r>
      <w:r w:rsidR="001E1651" w:rsidRPr="00971297">
        <w:t>quitte à devoir</w:t>
      </w:r>
      <w:r w:rsidR="00D91B25" w:rsidRPr="00971297">
        <w:t xml:space="preserve"> </w:t>
      </w:r>
      <w:r w:rsidR="003706F3" w:rsidRPr="00971297">
        <w:t xml:space="preserve">trouver </w:t>
      </w:r>
      <w:r w:rsidR="00D91B25" w:rsidRPr="00971297">
        <w:t>un</w:t>
      </w:r>
      <w:r w:rsidR="003706F3" w:rsidRPr="00971297">
        <w:t xml:space="preserve"> nouveau terme </w:t>
      </w:r>
      <w:r w:rsidR="00AD3AB7" w:rsidRPr="00971297">
        <w:t>pour exprimer le concept</w:t>
      </w:r>
      <w:r w:rsidR="00827EEF">
        <w:t>, sachant</w:t>
      </w:r>
      <w:r w:rsidR="003706F3" w:rsidRPr="00971297">
        <w:t xml:space="preserve"> que</w:t>
      </w:r>
      <w:r w:rsidRPr="00971297">
        <w:t xml:space="preserve"> la définition du PCI donnée par la Convention fait autorité pour les candidatures en vue de l</w:t>
      </w:r>
      <w:r w:rsidR="001F7A0A" w:rsidRPr="00971297">
        <w:t>’</w:t>
      </w:r>
      <w:r w:rsidRPr="00971297">
        <w:t>inscription d</w:t>
      </w:r>
      <w:r w:rsidR="001F7A0A" w:rsidRPr="00971297">
        <w:t>’</w:t>
      </w:r>
      <w:r w:rsidR="00AD3AB7" w:rsidRPr="00971297">
        <w:t>éléments sur les Listes, l</w:t>
      </w:r>
      <w:r w:rsidRPr="00971297">
        <w:t>es demandes de fonds, etc.</w:t>
      </w:r>
    </w:p>
    <w:p w:rsidR="00C171E7" w:rsidRPr="00971297" w:rsidRDefault="00C171E7" w:rsidP="00512F0E">
      <w:pPr>
        <w:pStyle w:val="Heading6"/>
        <w:rPr>
          <w:lang w:val="fr-FR"/>
        </w:rPr>
      </w:pPr>
      <w:r w:rsidRPr="00971297">
        <w:rPr>
          <w:lang w:val="fr-FR"/>
        </w:rPr>
        <w:t>Diapositive 6</w:t>
      </w:r>
      <w:r w:rsidR="006454C1" w:rsidRPr="00971297">
        <w:rPr>
          <w:lang w:val="fr-FR"/>
        </w:rPr>
        <w:t>.</w:t>
      </w:r>
    </w:p>
    <w:p w:rsidR="00C171E7" w:rsidRPr="00971297" w:rsidRDefault="00C878EE" w:rsidP="00C41D44">
      <w:pPr>
        <w:pStyle w:val="diapo2"/>
        <w:rPr>
          <w:lang w:val="fr-FR"/>
        </w:rPr>
      </w:pPr>
      <w:r w:rsidRPr="00971297">
        <w:rPr>
          <w:lang w:val="fr-FR"/>
        </w:rPr>
        <w:t>Patrimoine</w:t>
      </w:r>
      <w:r w:rsidR="00C171E7" w:rsidRPr="00971297">
        <w:rPr>
          <w:lang w:val="fr-FR"/>
        </w:rPr>
        <w:t xml:space="preserve"> </w:t>
      </w:r>
      <w:r w:rsidR="006454C1" w:rsidRPr="00971297">
        <w:rPr>
          <w:lang w:val="fr-FR"/>
        </w:rPr>
        <w:t xml:space="preserve">culturel </w:t>
      </w:r>
      <w:r w:rsidR="00C171E7" w:rsidRPr="00971297">
        <w:rPr>
          <w:lang w:val="fr-FR"/>
        </w:rPr>
        <w:t>immatériel (sous-titre)</w:t>
      </w:r>
    </w:p>
    <w:p w:rsidR="00C171E7" w:rsidRPr="00971297" w:rsidRDefault="00C171E7" w:rsidP="00512F0E">
      <w:pPr>
        <w:pStyle w:val="Heading6"/>
        <w:rPr>
          <w:lang w:val="fr-FR"/>
        </w:rPr>
      </w:pPr>
      <w:r w:rsidRPr="00971297">
        <w:rPr>
          <w:lang w:val="fr-FR"/>
        </w:rPr>
        <w:t>Diapositive 7</w:t>
      </w:r>
      <w:r w:rsidR="006454C1" w:rsidRPr="00971297">
        <w:rPr>
          <w:lang w:val="fr-FR"/>
        </w:rPr>
        <w:t>.</w:t>
      </w:r>
    </w:p>
    <w:p w:rsidR="00C171E7" w:rsidRPr="00971297" w:rsidRDefault="00C171E7" w:rsidP="00C41D44">
      <w:pPr>
        <w:pStyle w:val="diapo2"/>
        <w:rPr>
          <w:lang w:val="fr-FR"/>
        </w:rPr>
      </w:pPr>
      <w:r w:rsidRPr="00971297">
        <w:rPr>
          <w:lang w:val="fr-FR"/>
        </w:rPr>
        <w:t xml:space="preserve">Définition du </w:t>
      </w:r>
      <w:r w:rsidR="00C878EE" w:rsidRPr="00971297">
        <w:rPr>
          <w:lang w:val="fr-FR"/>
        </w:rPr>
        <w:t>patrimoine</w:t>
      </w:r>
      <w:r w:rsidRPr="00971297">
        <w:rPr>
          <w:lang w:val="fr-FR"/>
        </w:rPr>
        <w:t xml:space="preserve"> immatériel</w:t>
      </w:r>
      <w:r w:rsidR="00403DC2" w:rsidRPr="00971297">
        <w:rPr>
          <w:lang w:val="fr-FR"/>
        </w:rPr>
        <w:t xml:space="preserve"> </w:t>
      </w:r>
      <w:r w:rsidRPr="00971297">
        <w:rPr>
          <w:lang w:val="fr-FR"/>
        </w:rPr>
        <w:t>selon la Convention (1)</w:t>
      </w:r>
    </w:p>
    <w:p w:rsidR="00C171E7" w:rsidRPr="00971297" w:rsidRDefault="00C171E7" w:rsidP="00C41D44">
      <w:pPr>
        <w:pStyle w:val="Texte1"/>
      </w:pPr>
      <w:r w:rsidRPr="00971297">
        <w:t xml:space="preserve">Se référer </w:t>
      </w:r>
      <w:r w:rsidR="00377B1E" w:rsidRPr="00971297">
        <w:t>au Texte du participant</w:t>
      </w:r>
      <w:r w:rsidR="008A75B6">
        <w:t xml:space="preserve"> de</w:t>
      </w:r>
      <w:r w:rsidR="0046588B" w:rsidRPr="00971297">
        <w:t xml:space="preserve"> </w:t>
      </w:r>
      <w:r w:rsidR="008A75B6">
        <w:t>l’</w:t>
      </w:r>
      <w:r w:rsidR="0046588B" w:rsidRPr="00971297">
        <w:t>Unité 1.4 et</w:t>
      </w:r>
      <w:r w:rsidR="00377B1E" w:rsidRPr="00971297">
        <w:t xml:space="preserve"> </w:t>
      </w:r>
      <w:r w:rsidR="008A75B6">
        <w:t>l’</w:t>
      </w:r>
      <w:r w:rsidR="00377B1E" w:rsidRPr="00971297">
        <w:t>Unité 3</w:t>
      </w:r>
      <w:r w:rsidRPr="00971297">
        <w:t> : « Éléments du PCI » et « Patrimoine culturel immatériel ».</w:t>
      </w:r>
    </w:p>
    <w:p w:rsidR="00C171E7" w:rsidRPr="00971297" w:rsidRDefault="00C171E7" w:rsidP="00C41D44">
      <w:pPr>
        <w:pStyle w:val="Texte1"/>
      </w:pPr>
      <w:r w:rsidRPr="00971297">
        <w:t>Si le concept de PCI a déjà été examiné plus tôt au cours de l</w:t>
      </w:r>
      <w:r w:rsidR="001F7A0A" w:rsidRPr="00971297">
        <w:t>’</w:t>
      </w:r>
      <w:r w:rsidRPr="00971297">
        <w:t>atelier, la d</w:t>
      </w:r>
      <w:r w:rsidR="006454C1" w:rsidRPr="00971297">
        <w:t xml:space="preserve">iscussion </w:t>
      </w:r>
      <w:r w:rsidR="00E872BD">
        <w:t xml:space="preserve">sur ce point </w:t>
      </w:r>
      <w:r w:rsidR="006454C1" w:rsidRPr="00971297">
        <w:t>pourra ici être brève</w:t>
      </w:r>
      <w:r w:rsidR="008A75B6">
        <w:t xml:space="preserve"> ou </w:t>
      </w:r>
      <w:r w:rsidR="00E872BD">
        <w:t xml:space="preserve">porter </w:t>
      </w:r>
      <w:r w:rsidR="008A75B6">
        <w:t>sur d’autres questions</w:t>
      </w:r>
      <w:r w:rsidRPr="00971297">
        <w:t xml:space="preserve"> intéressant les participants.</w:t>
      </w:r>
    </w:p>
    <w:p w:rsidR="00C171E7" w:rsidRPr="00971297" w:rsidRDefault="00C171E7" w:rsidP="00C41D44">
      <w:pPr>
        <w:pStyle w:val="Soustitre"/>
      </w:pPr>
      <w:r w:rsidRPr="00971297">
        <w:t xml:space="preserve">Remarque sur la relation entre le PCI et les objets </w:t>
      </w:r>
      <w:r w:rsidR="006C7757" w:rsidRPr="00971297">
        <w:t>qui y sont associ</w:t>
      </w:r>
      <w:r w:rsidRPr="00971297">
        <w:t>és</w:t>
      </w:r>
    </w:p>
    <w:p w:rsidR="00C171E7" w:rsidRPr="00971297" w:rsidRDefault="00C171E7" w:rsidP="00C41D44">
      <w:pPr>
        <w:pStyle w:val="Texte1"/>
      </w:pPr>
      <w:r w:rsidRPr="00971297">
        <w:t xml:space="preserve">La première phrase de la définition (article 2.1 de la Convention) précise que le PCI est pratiqué et transmis par les populations : elle mentionne « les pratiques, représentations, expressions, connaissances </w:t>
      </w:r>
      <w:r w:rsidR="006454C1" w:rsidRPr="00971297">
        <w:t>[</w:t>
      </w:r>
      <w:r w:rsidRPr="00971297">
        <w:t>et</w:t>
      </w:r>
      <w:r w:rsidR="006454C1" w:rsidRPr="00971297">
        <w:t>]</w:t>
      </w:r>
      <w:r w:rsidRPr="00971297">
        <w:t xml:space="preserve"> savoir-faire ». L</w:t>
      </w:r>
      <w:r w:rsidR="001F7A0A" w:rsidRPr="00971297">
        <w:t>’</w:t>
      </w:r>
      <w:r w:rsidR="00C64803">
        <w:t>attention</w:t>
      </w:r>
      <w:r w:rsidRPr="00971297">
        <w:t xml:space="preserve"> porte </w:t>
      </w:r>
      <w:r w:rsidR="00C64803">
        <w:t xml:space="preserve">davantage </w:t>
      </w:r>
      <w:r w:rsidRPr="00971297">
        <w:t>sur les actions des communautés, des groupes et</w:t>
      </w:r>
      <w:r w:rsidR="00C64803">
        <w:t xml:space="preserve"> des individus concernés </w:t>
      </w:r>
      <w:r w:rsidRPr="00971297">
        <w:t xml:space="preserve">que </w:t>
      </w:r>
      <w:r w:rsidR="00C64803">
        <w:t>ce qui en</w:t>
      </w:r>
      <w:r w:rsidRPr="00971297">
        <w:t xml:space="preserve"> résult</w:t>
      </w:r>
      <w:r w:rsidR="00C64803">
        <w:t>e</w:t>
      </w:r>
      <w:r w:rsidRPr="00971297">
        <w:t>.</w:t>
      </w:r>
    </w:p>
    <w:p w:rsidR="00C171E7" w:rsidRPr="00971297" w:rsidRDefault="00C171E7" w:rsidP="00C41D44">
      <w:pPr>
        <w:pStyle w:val="Texte1"/>
      </w:pPr>
      <w:r w:rsidRPr="00971297">
        <w:t xml:space="preserve">Lors de la session du Comité à Nairobi (2010), il a été considéré que les objets ne pouvaient </w:t>
      </w:r>
      <w:r w:rsidR="00D07517" w:rsidRPr="00971297">
        <w:t xml:space="preserve">pas </w:t>
      </w:r>
      <w:r w:rsidRPr="00971297">
        <w:t>être au centre d</w:t>
      </w:r>
      <w:r w:rsidR="001F7A0A" w:rsidRPr="00971297">
        <w:t>’</w:t>
      </w:r>
      <w:r w:rsidRPr="00971297">
        <w:t>une inscription sur les Listes de</w:t>
      </w:r>
      <w:r w:rsidR="00E465B0">
        <w:t xml:space="preserve"> la Convention. C</w:t>
      </w:r>
      <w:r w:rsidR="001F7A0A" w:rsidRPr="00971297">
        <w:t>’</w:t>
      </w:r>
      <w:r w:rsidRPr="00971297">
        <w:t xml:space="preserve">est </w:t>
      </w:r>
      <w:r w:rsidR="00D07517" w:rsidRPr="00971297">
        <w:t>pourquoi le nom d</w:t>
      </w:r>
      <w:r w:rsidR="001F7A0A" w:rsidRPr="00971297">
        <w:t>’</w:t>
      </w:r>
      <w:r w:rsidRPr="00971297">
        <w:t>un des éléments proposés pour inscription</w:t>
      </w:r>
      <w:r w:rsidR="00E465B0">
        <w:t> :</w:t>
      </w:r>
      <w:r w:rsidRPr="00971297">
        <w:t xml:space="preserve"> « Le tapis azerbaïdjanais » </w:t>
      </w:r>
      <w:r w:rsidR="001253E2" w:rsidRPr="00971297">
        <w:t>a été modifié pour devenir</w:t>
      </w:r>
      <w:r w:rsidRPr="00971297">
        <w:t xml:space="preserve"> « L</w:t>
      </w:r>
      <w:r w:rsidR="001F7A0A" w:rsidRPr="00971297">
        <w:t>’</w:t>
      </w:r>
      <w:r w:rsidRPr="00971297">
        <w:t>art traditionnel du tissage du tapis azerbaïdjanais en République d</w:t>
      </w:r>
      <w:r w:rsidR="001F7A0A" w:rsidRPr="00971297">
        <w:t>’</w:t>
      </w:r>
      <w:r w:rsidRPr="00971297">
        <w:t>Azerbaïdjan ».</w:t>
      </w:r>
    </w:p>
    <w:p w:rsidR="00C171E7" w:rsidRPr="00971297" w:rsidRDefault="00C171E7" w:rsidP="00512F0E">
      <w:pPr>
        <w:pStyle w:val="Heading6"/>
        <w:rPr>
          <w:lang w:val="fr-FR"/>
        </w:rPr>
      </w:pPr>
      <w:r w:rsidRPr="00971297">
        <w:rPr>
          <w:lang w:val="fr-FR"/>
        </w:rPr>
        <w:t>Diapositive 8</w:t>
      </w:r>
      <w:r w:rsidR="006454C1" w:rsidRPr="00971297">
        <w:rPr>
          <w:lang w:val="fr-FR"/>
        </w:rPr>
        <w:t>.</w:t>
      </w:r>
    </w:p>
    <w:p w:rsidR="00C171E7" w:rsidRPr="00971297" w:rsidRDefault="00C171E7" w:rsidP="00C41D44">
      <w:pPr>
        <w:pStyle w:val="diapo2"/>
        <w:rPr>
          <w:lang w:val="fr-FR"/>
        </w:rPr>
      </w:pPr>
      <w:r w:rsidRPr="00971297">
        <w:rPr>
          <w:lang w:val="fr-FR"/>
        </w:rPr>
        <w:t xml:space="preserve">Définition du </w:t>
      </w:r>
      <w:r w:rsidR="00C878EE" w:rsidRPr="00971297">
        <w:rPr>
          <w:lang w:val="fr-FR"/>
        </w:rPr>
        <w:t>patrimoine</w:t>
      </w:r>
      <w:r w:rsidRPr="00971297">
        <w:rPr>
          <w:lang w:val="fr-FR"/>
        </w:rPr>
        <w:t xml:space="preserve"> immatériel selon la Convention (2)</w:t>
      </w:r>
    </w:p>
    <w:p w:rsidR="00C171E7" w:rsidRPr="00971297" w:rsidRDefault="00C171E7" w:rsidP="00C41D44">
      <w:pPr>
        <w:pStyle w:val="Texte1"/>
      </w:pPr>
      <w:r w:rsidRPr="00971297">
        <w:t xml:space="preserve">Se référer </w:t>
      </w:r>
      <w:r w:rsidR="00377B1E" w:rsidRPr="00971297">
        <w:t>au Texte du participant</w:t>
      </w:r>
      <w:r w:rsidR="00403DC2" w:rsidRPr="00971297">
        <w:t xml:space="preserve"> </w:t>
      </w:r>
      <w:r w:rsidR="00E465B0">
        <w:t>de l’</w:t>
      </w:r>
      <w:r w:rsidR="00403DC2" w:rsidRPr="00971297">
        <w:t>Unité 1.4</w:t>
      </w:r>
      <w:r w:rsidR="00377B1E" w:rsidRPr="00971297">
        <w:t xml:space="preserve"> </w:t>
      </w:r>
      <w:r w:rsidR="00403DC2" w:rsidRPr="00971297">
        <w:t xml:space="preserve">et </w:t>
      </w:r>
      <w:r w:rsidR="00E465B0">
        <w:t>l’</w:t>
      </w:r>
      <w:r w:rsidR="00377B1E" w:rsidRPr="00971297">
        <w:t>Unité 3</w:t>
      </w:r>
      <w:r w:rsidRPr="00971297">
        <w:t> : « Patrimoine culturel immatériel ».</w:t>
      </w:r>
    </w:p>
    <w:p w:rsidR="00C171E7" w:rsidRPr="00971297" w:rsidRDefault="00C171E7" w:rsidP="00C41D44">
      <w:pPr>
        <w:pStyle w:val="Texte1"/>
      </w:pPr>
      <w:r w:rsidRPr="00971297">
        <w:t xml:space="preserve">Le </w:t>
      </w:r>
      <w:r w:rsidR="001253E2" w:rsidRPr="00971297">
        <w:t xml:space="preserve">message </w:t>
      </w:r>
      <w:r w:rsidRPr="00971297">
        <w:t>principal contenu dans la deuxième phrase de la définition à l</w:t>
      </w:r>
      <w:r w:rsidR="001F7A0A" w:rsidRPr="00971297">
        <w:t>’</w:t>
      </w:r>
      <w:r w:rsidRPr="00971297">
        <w:t>article 2.1 est que le PCI est un patrimoine vivant, qui évolue au fil du temps : il incarne l</w:t>
      </w:r>
      <w:r w:rsidR="001F7A0A" w:rsidRPr="00971297">
        <w:t>’</w:t>
      </w:r>
      <w:r w:rsidRPr="00971297">
        <w:t>identité et les valeurs d</w:t>
      </w:r>
      <w:r w:rsidR="001F7A0A" w:rsidRPr="00971297">
        <w:t>’</w:t>
      </w:r>
      <w:r w:rsidRPr="00971297">
        <w:t xml:space="preserve">un groupe </w:t>
      </w:r>
      <w:r w:rsidR="001253E2" w:rsidRPr="00971297">
        <w:t xml:space="preserve">à qui </w:t>
      </w:r>
      <w:r w:rsidRPr="00971297">
        <w:t>i</w:t>
      </w:r>
      <w:r w:rsidR="001253E2" w:rsidRPr="00971297">
        <w:t>l</w:t>
      </w:r>
      <w:r w:rsidRPr="00971297">
        <w:t xml:space="preserve"> </w:t>
      </w:r>
      <w:r w:rsidR="000B3200" w:rsidRPr="00971297">
        <w:t>confèr</w:t>
      </w:r>
      <w:r w:rsidRPr="00971297">
        <w:t>e un sentiment de continuité et d</w:t>
      </w:r>
      <w:r w:rsidR="001F7A0A" w:rsidRPr="00971297">
        <w:t>’</w:t>
      </w:r>
      <w:r w:rsidRPr="00971297">
        <w:t>identité. L</w:t>
      </w:r>
      <w:r w:rsidR="00C62BC6" w:rsidRPr="00971297">
        <w:t>a pratique d</w:t>
      </w:r>
      <w:r w:rsidRPr="00971297">
        <w:t xml:space="preserve">es éléments du PCI </w:t>
      </w:r>
      <w:r w:rsidR="00C62BC6" w:rsidRPr="00971297">
        <w:t>a une histoire</w:t>
      </w:r>
      <w:r w:rsidR="000B3200" w:rsidRPr="00971297">
        <w:t xml:space="preserve"> et </w:t>
      </w:r>
      <w:r w:rsidR="009D7D95" w:rsidRPr="00971297">
        <w:t xml:space="preserve">ces éléments ont </w:t>
      </w:r>
      <w:r w:rsidR="000B3200" w:rsidRPr="00971297">
        <w:t xml:space="preserve">une </w:t>
      </w:r>
      <w:r w:rsidR="00533E11" w:rsidRPr="00971297">
        <w:t>importance, mais</w:t>
      </w:r>
      <w:r w:rsidR="009D7D95" w:rsidRPr="00971297">
        <w:t xml:space="preserve"> </w:t>
      </w:r>
      <w:r w:rsidR="000B3200" w:rsidRPr="00971297">
        <w:t>surtout</w:t>
      </w:r>
      <w:r w:rsidRPr="00971297">
        <w:t xml:space="preserve"> </w:t>
      </w:r>
      <w:r w:rsidR="009D7D95" w:rsidRPr="00971297">
        <w:t>une</w:t>
      </w:r>
      <w:r w:rsidRPr="00971297">
        <w:t xml:space="preserve"> pertinence (fonction, valeur et signification)</w:t>
      </w:r>
      <w:r w:rsidR="00533E11" w:rsidRPr="00971297">
        <w:t>,</w:t>
      </w:r>
      <w:r w:rsidR="009D7D95" w:rsidRPr="00971297">
        <w:t xml:space="preserve"> </w:t>
      </w:r>
      <w:r w:rsidR="000B3200" w:rsidRPr="00971297">
        <w:t>aux yeux d</w:t>
      </w:r>
      <w:r w:rsidR="00C62BC6" w:rsidRPr="00971297">
        <w:t>e</w:t>
      </w:r>
      <w:r w:rsidR="00533E11" w:rsidRPr="00971297">
        <w:t>s personnes</w:t>
      </w:r>
      <w:r w:rsidRPr="00971297">
        <w:t xml:space="preserve"> qui les pratiquent</w:t>
      </w:r>
      <w:r w:rsidR="00E465B0" w:rsidRPr="00E465B0">
        <w:t xml:space="preserve"> </w:t>
      </w:r>
      <w:r w:rsidR="00E465B0" w:rsidRPr="00971297">
        <w:t>aujourd’hui</w:t>
      </w:r>
      <w:r w:rsidR="00533E11" w:rsidRPr="00971297">
        <w:t>,</w:t>
      </w:r>
      <w:r w:rsidRPr="00971297">
        <w:t xml:space="preserve"> pertinence </w:t>
      </w:r>
      <w:r w:rsidR="00533E11" w:rsidRPr="00971297">
        <w:t>d’autant plus</w:t>
      </w:r>
      <w:r w:rsidR="000B3200" w:rsidRPr="00971297">
        <w:t xml:space="preserve"> difficile à déterminer</w:t>
      </w:r>
      <w:r w:rsidRPr="00971297">
        <w:t xml:space="preserve"> </w:t>
      </w:r>
      <w:r w:rsidR="00533E11" w:rsidRPr="00971297">
        <w:t>que</w:t>
      </w:r>
      <w:r w:rsidRPr="00971297">
        <w:t xml:space="preserve"> les membres d</w:t>
      </w:r>
      <w:r w:rsidR="001F7A0A" w:rsidRPr="00971297">
        <w:t>’</w:t>
      </w:r>
      <w:r w:rsidRPr="00971297">
        <w:t xml:space="preserve">une communauté peuvent avoir des opinions différentes à </w:t>
      </w:r>
      <w:r w:rsidR="00533E11" w:rsidRPr="00971297">
        <w:t>ce sujet</w:t>
      </w:r>
      <w:r w:rsidRPr="00971297">
        <w:t>. Le fait d</w:t>
      </w:r>
      <w:r w:rsidR="001F7A0A" w:rsidRPr="00971297">
        <w:t>’</w:t>
      </w:r>
      <w:r w:rsidRPr="00971297">
        <w:t>établir des versions canoniques, « a</w:t>
      </w:r>
      <w:r w:rsidR="00533E11" w:rsidRPr="00971297">
        <w:t>uthentiques » ou « meilleures »</w:t>
      </w:r>
      <w:r w:rsidRPr="00971297">
        <w:t xml:space="preserve"> de ces pratiques n</w:t>
      </w:r>
      <w:r w:rsidR="001F7A0A" w:rsidRPr="00971297">
        <w:t>’</w:t>
      </w:r>
      <w:r w:rsidRPr="00971297">
        <w:t xml:space="preserve">est pas </w:t>
      </w:r>
      <w:r w:rsidR="00533E11" w:rsidRPr="00971297">
        <w:t>dans</w:t>
      </w:r>
      <w:r w:rsidRPr="00971297">
        <w:t xml:space="preserve"> l</w:t>
      </w:r>
      <w:r w:rsidR="001F7A0A" w:rsidRPr="00971297">
        <w:t>’</w:t>
      </w:r>
      <w:r w:rsidRPr="00971297">
        <w:t>esprit de la Convention.</w:t>
      </w:r>
    </w:p>
    <w:p w:rsidR="00C171E7" w:rsidRPr="00971297" w:rsidRDefault="00C171E7" w:rsidP="00C41D44">
      <w:pPr>
        <w:pStyle w:val="Texte1"/>
      </w:pPr>
      <w:r w:rsidRPr="00971297">
        <w:t xml:space="preserve">La sauvegarde du PCI contribue </w:t>
      </w:r>
      <w:r w:rsidR="00F47A41" w:rsidRPr="00971297">
        <w:t xml:space="preserve">largement </w:t>
      </w:r>
      <w:r w:rsidRPr="00971297">
        <w:t>au maintien de la diversité culturelle. S</w:t>
      </w:r>
      <w:r w:rsidR="005176D9" w:rsidRPr="00971297">
        <w:t>on immense</w:t>
      </w:r>
      <w:r w:rsidRPr="00971297">
        <w:t xml:space="preserve"> variété</w:t>
      </w:r>
      <w:r w:rsidR="00E465B0">
        <w:t>,</w:t>
      </w:r>
      <w:r w:rsidRPr="00971297">
        <w:t xml:space="preserve"> </w:t>
      </w:r>
      <w:r w:rsidR="005176D9" w:rsidRPr="00971297">
        <w:t>ainsi que</w:t>
      </w:r>
      <w:r w:rsidRPr="00971297">
        <w:t xml:space="preserve"> ses formes et ses fonctions </w:t>
      </w:r>
      <w:r w:rsidR="005176D9" w:rsidRPr="00971297">
        <w:t>toujours renouvelées</w:t>
      </w:r>
      <w:r w:rsidRPr="00971297">
        <w:t xml:space="preserve"> témoignent de la créativité humaine.</w:t>
      </w:r>
    </w:p>
    <w:p w:rsidR="00C171E7" w:rsidRPr="00971297" w:rsidRDefault="00C171E7" w:rsidP="00512F0E">
      <w:pPr>
        <w:pStyle w:val="Heading6"/>
        <w:rPr>
          <w:lang w:val="fr-FR"/>
        </w:rPr>
      </w:pPr>
      <w:r w:rsidRPr="00971297">
        <w:rPr>
          <w:lang w:val="fr-FR"/>
        </w:rPr>
        <w:t>Diapositive 9</w:t>
      </w:r>
      <w:r w:rsidR="006454C1" w:rsidRPr="00971297">
        <w:rPr>
          <w:lang w:val="fr-FR"/>
        </w:rPr>
        <w:t>.</w:t>
      </w:r>
    </w:p>
    <w:p w:rsidR="00C171E7" w:rsidRPr="00971297" w:rsidRDefault="00C171E7" w:rsidP="00C41D44">
      <w:pPr>
        <w:pStyle w:val="diapo2"/>
        <w:rPr>
          <w:lang w:val="fr-FR"/>
        </w:rPr>
      </w:pPr>
      <w:r w:rsidRPr="00971297">
        <w:rPr>
          <w:lang w:val="fr-FR"/>
        </w:rPr>
        <w:t xml:space="preserve">Définition du </w:t>
      </w:r>
      <w:r w:rsidR="00C878EE" w:rsidRPr="00971297">
        <w:rPr>
          <w:lang w:val="fr-FR"/>
        </w:rPr>
        <w:t>patrimoine</w:t>
      </w:r>
      <w:r w:rsidRPr="00971297">
        <w:rPr>
          <w:lang w:val="fr-FR"/>
        </w:rPr>
        <w:t xml:space="preserve"> immatériel selon la Convention (3)</w:t>
      </w:r>
    </w:p>
    <w:p w:rsidR="00C171E7" w:rsidRPr="00971297" w:rsidRDefault="00C171E7" w:rsidP="00C41D44">
      <w:pPr>
        <w:pStyle w:val="Texte1"/>
      </w:pPr>
      <w:r w:rsidRPr="00971297">
        <w:t xml:space="preserve">Se référer </w:t>
      </w:r>
      <w:r w:rsidR="00377B1E" w:rsidRPr="00971297">
        <w:t xml:space="preserve">au </w:t>
      </w:r>
      <w:r w:rsidR="005176D9" w:rsidRPr="00971297">
        <w:t>Texte du participant</w:t>
      </w:r>
      <w:r w:rsidR="00F52C8C">
        <w:t xml:space="preserve"> de l’</w:t>
      </w:r>
      <w:r w:rsidR="00813EDE" w:rsidRPr="00971297">
        <w:t>Unité 1.4</w:t>
      </w:r>
      <w:r w:rsidR="00B06EB9" w:rsidRPr="00971297">
        <w:t xml:space="preserve"> </w:t>
      </w:r>
      <w:r w:rsidR="00813EDE" w:rsidRPr="00971297">
        <w:t xml:space="preserve">et </w:t>
      </w:r>
      <w:r w:rsidR="00F52C8C">
        <w:t>l’</w:t>
      </w:r>
      <w:r w:rsidR="00377B1E" w:rsidRPr="00971297">
        <w:t>Unité 3</w:t>
      </w:r>
      <w:r w:rsidRPr="00971297">
        <w:t> : « Patrimoine culturel immatériel » et « Développement durable ».</w:t>
      </w:r>
    </w:p>
    <w:p w:rsidR="00C171E7" w:rsidRPr="00971297" w:rsidRDefault="00C171E7" w:rsidP="00C41D44">
      <w:pPr>
        <w:pStyle w:val="Soustitre"/>
      </w:pPr>
      <w:r w:rsidRPr="00971297">
        <w:t>Remarque sur le développement durable, les droits de l</w:t>
      </w:r>
      <w:r w:rsidR="001F7A0A" w:rsidRPr="00971297">
        <w:t>’</w:t>
      </w:r>
      <w:r w:rsidRPr="00971297">
        <w:t>homme et le respect mutuel</w:t>
      </w:r>
    </w:p>
    <w:p w:rsidR="00C171E7" w:rsidRPr="00971297" w:rsidRDefault="00C171E7" w:rsidP="00C41D44">
      <w:pPr>
        <w:pStyle w:val="Texte1"/>
      </w:pPr>
      <w:r w:rsidRPr="00971297">
        <w:t>Le PCI a une profonde influence sur les communautés et joue un rôle dans les r</w:t>
      </w:r>
      <w:r w:rsidR="00914AE1" w:rsidRPr="00971297">
        <w:t>apports</w:t>
      </w:r>
      <w:r w:rsidRPr="00971297">
        <w:t xml:space="preserve"> qui </w:t>
      </w:r>
      <w:r w:rsidR="006B2E09" w:rsidRPr="00971297">
        <w:t>existent entre elles et e</w:t>
      </w:r>
      <w:r w:rsidRPr="00971297">
        <w:t>n leur sein</w:t>
      </w:r>
      <w:r w:rsidR="006454C1" w:rsidRPr="00971297">
        <w:t> </w:t>
      </w:r>
      <w:r w:rsidRPr="00971297">
        <w:t>; il peut aussi avoir une influence sur l</w:t>
      </w:r>
      <w:r w:rsidR="001F7A0A" w:rsidRPr="00971297">
        <w:t>’</w:t>
      </w:r>
      <w:r w:rsidRPr="00971297">
        <w:t>environnement</w:t>
      </w:r>
      <w:r w:rsidR="006B2E09" w:rsidRPr="00971297">
        <w:t>,</w:t>
      </w:r>
      <w:r w:rsidRPr="00971297">
        <w:t xml:space="preserve"> et inversement, c</w:t>
      </w:r>
      <w:r w:rsidR="001F7A0A" w:rsidRPr="00971297">
        <w:t>’</w:t>
      </w:r>
      <w:r w:rsidRPr="00971297">
        <w:t>est pourquoi il est important de s</w:t>
      </w:r>
      <w:r w:rsidR="006B2E09" w:rsidRPr="00971297">
        <w:t>’interroger sur la qualité et l</w:t>
      </w:r>
      <w:r w:rsidRPr="00971297">
        <w:t>es conséquence</w:t>
      </w:r>
      <w:r w:rsidR="006454C1" w:rsidRPr="00971297">
        <w:t>s de ces interactions. Dans le P</w:t>
      </w:r>
      <w:r w:rsidRPr="00971297">
        <w:t>réambule de la Convention, l</w:t>
      </w:r>
      <w:r w:rsidR="001F7A0A" w:rsidRPr="00971297">
        <w:t>’</w:t>
      </w:r>
      <w:r w:rsidRPr="00971297">
        <w:t xml:space="preserve">intolérance </w:t>
      </w:r>
      <w:r w:rsidR="00513BD9" w:rsidRPr="00971297">
        <w:t>est citée</w:t>
      </w:r>
      <w:r w:rsidRPr="00971297">
        <w:t xml:space="preserve"> comme l</w:t>
      </w:r>
      <w:r w:rsidR="001F7A0A" w:rsidRPr="00971297">
        <w:t>’</w:t>
      </w:r>
      <w:r w:rsidRPr="00971297">
        <w:t xml:space="preserve">un des facteurs susceptibles de mettre </w:t>
      </w:r>
      <w:r w:rsidR="00513BD9" w:rsidRPr="00971297">
        <w:t xml:space="preserve">le PCI </w:t>
      </w:r>
      <w:r w:rsidRPr="00971297">
        <w:t xml:space="preserve">en danger. Les participants peuvent </w:t>
      </w:r>
      <w:r w:rsidR="00513BD9" w:rsidRPr="00971297">
        <w:t>probabl</w:t>
      </w:r>
      <w:r w:rsidRPr="00971297">
        <w:t xml:space="preserve">ement </w:t>
      </w:r>
      <w:r w:rsidR="00513BD9" w:rsidRPr="00971297">
        <w:t>pens</w:t>
      </w:r>
      <w:r w:rsidRPr="00971297">
        <w:t xml:space="preserve">er </w:t>
      </w:r>
      <w:r w:rsidR="00513BD9" w:rsidRPr="00971297">
        <w:t xml:space="preserve">à </w:t>
      </w:r>
      <w:r w:rsidRPr="00971297">
        <w:t xml:space="preserve">des exemples </w:t>
      </w:r>
      <w:r w:rsidR="00935C34" w:rsidRPr="00971297">
        <w:t>révélateurs d’</w:t>
      </w:r>
      <w:r w:rsidR="00513BD9" w:rsidRPr="00971297">
        <w:t>un</w:t>
      </w:r>
      <w:r w:rsidRPr="00971297">
        <w:t xml:space="preserve"> </w:t>
      </w:r>
      <w:r w:rsidR="00A60940" w:rsidRPr="00971297">
        <w:t xml:space="preserve">manque de </w:t>
      </w:r>
      <w:r w:rsidRPr="00971297">
        <w:t xml:space="preserve">respect </w:t>
      </w:r>
      <w:r w:rsidR="00F52C8C">
        <w:t>vis-à-vis</w:t>
      </w:r>
      <w:r w:rsidR="00A60940" w:rsidRPr="00971297">
        <w:t xml:space="preserve"> </w:t>
      </w:r>
      <w:r w:rsidRPr="00971297">
        <w:t>du PCI d</w:t>
      </w:r>
      <w:r w:rsidR="001F7A0A" w:rsidRPr="00971297">
        <w:t>’</w:t>
      </w:r>
      <w:r w:rsidR="00513BD9" w:rsidRPr="00971297">
        <w:t>un autre groupe</w:t>
      </w:r>
      <w:r w:rsidRPr="00971297">
        <w:t xml:space="preserve"> ou </w:t>
      </w:r>
      <w:r w:rsidR="00935C34" w:rsidRPr="00971297">
        <w:t>à une pratique du PCI</w:t>
      </w:r>
      <w:r w:rsidRPr="00971297">
        <w:t xml:space="preserve"> </w:t>
      </w:r>
      <w:r w:rsidR="00935C34" w:rsidRPr="00971297">
        <w:t xml:space="preserve">qui </w:t>
      </w:r>
      <w:r w:rsidRPr="00971297">
        <w:t>complique</w:t>
      </w:r>
      <w:r w:rsidR="00935C34" w:rsidRPr="00971297">
        <w:t xml:space="preserve"> les relations entre</w:t>
      </w:r>
      <w:r w:rsidRPr="00971297">
        <w:t xml:space="preserve"> différentes communautés. Il n</w:t>
      </w:r>
      <w:r w:rsidR="001F7A0A" w:rsidRPr="00971297">
        <w:t>’</w:t>
      </w:r>
      <w:r w:rsidRPr="00971297">
        <w:t>est donc pas surprenant que l</w:t>
      </w:r>
      <w:r w:rsidR="001F7A0A" w:rsidRPr="00971297">
        <w:t>’</w:t>
      </w:r>
      <w:r w:rsidRPr="00971297">
        <w:t>article 2.1 de la Convention</w:t>
      </w:r>
      <w:r w:rsidR="001D5C73" w:rsidRPr="00971297">
        <w:t xml:space="preserve"> dispose que</w:t>
      </w:r>
      <w:r w:rsidRPr="00971297">
        <w:t xml:space="preserve"> le PCI ne peut être pris en considération que s</w:t>
      </w:r>
      <w:r w:rsidR="001F7A0A" w:rsidRPr="00971297">
        <w:t>’</w:t>
      </w:r>
      <w:r w:rsidRPr="00971297">
        <w:t>il est :</w:t>
      </w:r>
    </w:p>
    <w:p w:rsidR="00C171E7" w:rsidRPr="00971297" w:rsidRDefault="00C171E7" w:rsidP="00C41D44">
      <w:pPr>
        <w:pStyle w:val="citation"/>
      </w:pPr>
      <w:proofErr w:type="gramStart"/>
      <w:r w:rsidRPr="00971297">
        <w:t>conforme</w:t>
      </w:r>
      <w:proofErr w:type="gramEnd"/>
      <w:r w:rsidRPr="00971297">
        <w:t xml:space="preserve"> aux instruments internationaux existants relatifs aux droits de l</w:t>
      </w:r>
      <w:r w:rsidR="001F7A0A" w:rsidRPr="00971297">
        <w:t>’</w:t>
      </w:r>
      <w:r w:rsidRPr="00971297">
        <w:t>homme, ainsi qu</w:t>
      </w:r>
      <w:r w:rsidR="001F7A0A" w:rsidRPr="00971297">
        <w:t>’</w:t>
      </w:r>
      <w:r w:rsidRPr="00971297">
        <w:t>à l</w:t>
      </w:r>
      <w:r w:rsidR="001F7A0A" w:rsidRPr="00971297">
        <w:t>’</w:t>
      </w:r>
      <w:r w:rsidRPr="00971297">
        <w:t>exigence du respect mutuel entre communautés, groupes et individus, et d</w:t>
      </w:r>
      <w:r w:rsidR="001F7A0A" w:rsidRPr="00971297">
        <w:t>’</w:t>
      </w:r>
      <w:r w:rsidRPr="00971297">
        <w:t>un développement durable.</w:t>
      </w:r>
    </w:p>
    <w:p w:rsidR="00C171E7" w:rsidRPr="00971297" w:rsidRDefault="006454C1" w:rsidP="00C41D44">
      <w:pPr>
        <w:pStyle w:val="Texte1"/>
      </w:pPr>
      <w:r w:rsidRPr="00971297">
        <w:t xml:space="preserve">Les éléments du PCI qui </w:t>
      </w:r>
      <w:r w:rsidR="009161C3" w:rsidRPr="00971297">
        <w:t>renvoient</w:t>
      </w:r>
      <w:r w:rsidR="00C171E7" w:rsidRPr="00971297">
        <w:t xml:space="preserve"> à des conflits </w:t>
      </w:r>
      <w:r w:rsidR="009161C3" w:rsidRPr="00971297">
        <w:t xml:space="preserve">passés </w:t>
      </w:r>
      <w:r w:rsidR="00C171E7" w:rsidRPr="00971297">
        <w:t xml:space="preserve">ou </w:t>
      </w:r>
      <w:r w:rsidR="009161C3" w:rsidRPr="00971297">
        <w:t xml:space="preserve">actuels </w:t>
      </w:r>
      <w:r w:rsidR="00C171E7" w:rsidRPr="00971297">
        <w:t xml:space="preserve">entre des groupes ou </w:t>
      </w:r>
      <w:r w:rsidR="009161C3" w:rsidRPr="00971297">
        <w:t xml:space="preserve">des </w:t>
      </w:r>
      <w:r w:rsidR="00C171E7" w:rsidRPr="00971297">
        <w:t>communautés ne d</w:t>
      </w:r>
      <w:r w:rsidR="005F462A" w:rsidRPr="00971297">
        <w:t>evrai</w:t>
      </w:r>
      <w:r w:rsidR="00C171E7" w:rsidRPr="00971297">
        <w:t xml:space="preserve">ent </w:t>
      </w:r>
      <w:r w:rsidR="00F52C8C">
        <w:t>pas</w:t>
      </w:r>
      <w:r w:rsidR="00C171E7" w:rsidRPr="00971297">
        <w:t xml:space="preserve"> </w:t>
      </w:r>
      <w:r w:rsidR="005F462A" w:rsidRPr="00971297">
        <w:t xml:space="preserve">être inscrits </w:t>
      </w:r>
      <w:r w:rsidR="00C171E7" w:rsidRPr="00971297">
        <w:t xml:space="preserve">sur les Listes de la Convention </w:t>
      </w:r>
      <w:r w:rsidR="005F462A" w:rsidRPr="00971297">
        <w:t>ni</w:t>
      </w:r>
      <w:r w:rsidR="00C171E7" w:rsidRPr="00971297">
        <w:t xml:space="preserve"> </w:t>
      </w:r>
      <w:r w:rsidR="005F462A" w:rsidRPr="00971297">
        <w:t xml:space="preserve">être </w:t>
      </w:r>
      <w:r w:rsidR="00C171E7" w:rsidRPr="00971297">
        <w:t>pris autrement en considération dans la mise en œuvre de la Convention au niveau international.</w:t>
      </w:r>
    </w:p>
    <w:p w:rsidR="00C171E7" w:rsidRPr="00971297" w:rsidRDefault="00C171E7" w:rsidP="00C41D44">
      <w:pPr>
        <w:pStyle w:val="Texte1"/>
      </w:pPr>
      <w:r w:rsidRPr="00971297">
        <w:t xml:space="preserve">La définition du PCI donnée par la Convention mentionne </w:t>
      </w:r>
      <w:r w:rsidR="005F462A" w:rsidRPr="00971297">
        <w:t>« </w:t>
      </w:r>
      <w:r w:rsidRPr="00971297">
        <w:t>l</w:t>
      </w:r>
      <w:r w:rsidR="001F7A0A" w:rsidRPr="00971297">
        <w:t>’</w:t>
      </w:r>
      <w:r w:rsidRPr="00971297">
        <w:t>exigence […] d</w:t>
      </w:r>
      <w:r w:rsidR="001F7A0A" w:rsidRPr="00971297">
        <w:t>’</w:t>
      </w:r>
      <w:r w:rsidRPr="00971297">
        <w:t xml:space="preserve">un développement durable ». De nombreuses pratiques du PCI et formes de savoir </w:t>
      </w:r>
      <w:r w:rsidR="004A000B" w:rsidRPr="00971297">
        <w:t>contribu</w:t>
      </w:r>
      <w:r w:rsidRPr="00971297">
        <w:t>ent au développement de l</w:t>
      </w:r>
      <w:r w:rsidR="001F7A0A" w:rsidRPr="00971297">
        <w:t>’</w:t>
      </w:r>
      <w:r w:rsidRPr="00971297">
        <w:t>éducation, de l</w:t>
      </w:r>
      <w:r w:rsidR="001F7A0A" w:rsidRPr="00971297">
        <w:t>’</w:t>
      </w:r>
      <w:r w:rsidRPr="00971297">
        <w:t>agriculture, des relations sociales, de la durabilité environnementale et à la création de revenus au sein d</w:t>
      </w:r>
      <w:r w:rsidR="001F7A0A" w:rsidRPr="00971297">
        <w:t>’</w:t>
      </w:r>
      <w:r w:rsidRPr="00971297">
        <w:t>une communauté ou d</w:t>
      </w:r>
      <w:r w:rsidR="001F7A0A" w:rsidRPr="00971297">
        <w:t>’</w:t>
      </w:r>
      <w:r w:rsidRPr="00971297">
        <w:t xml:space="preserve">un État. </w:t>
      </w:r>
      <w:r w:rsidR="004A000B" w:rsidRPr="00971297">
        <w:t>Mais</w:t>
      </w:r>
      <w:r w:rsidRPr="00971297">
        <w:t xml:space="preserve"> les pratiques et expressions qui ent</w:t>
      </w:r>
      <w:r w:rsidR="004A000B" w:rsidRPr="00971297">
        <w:t>ravent le développement durable</w:t>
      </w:r>
      <w:r w:rsidRPr="00971297">
        <w:t xml:space="preserve"> en épuisant</w:t>
      </w:r>
      <w:r w:rsidR="004A000B" w:rsidRPr="00971297">
        <w:t>,</w:t>
      </w:r>
      <w:r w:rsidRPr="00971297">
        <w:t xml:space="preserve"> </w:t>
      </w:r>
      <w:r w:rsidR="004A000B" w:rsidRPr="00971297">
        <w:t xml:space="preserve">par exemple, </w:t>
      </w:r>
      <w:r w:rsidRPr="00971297">
        <w:t xml:space="preserve">les ressources naturelles ou en </w:t>
      </w:r>
      <w:r w:rsidR="004A000B" w:rsidRPr="00971297">
        <w:t>frein</w:t>
      </w:r>
      <w:r w:rsidRPr="00971297">
        <w:t>ant le développement socioéconomique du groupe concerné, ne seront pas prises en considération dans la mise en œuvre de la Convention au niveau international.</w:t>
      </w:r>
    </w:p>
    <w:p w:rsidR="00C171E7" w:rsidRPr="00971297" w:rsidRDefault="00112F76" w:rsidP="00C41D44">
      <w:pPr>
        <w:pStyle w:val="Texte1"/>
      </w:pPr>
      <w:r w:rsidRPr="00971297">
        <w:rPr>
          <w:noProof/>
          <w:lang w:val="es-ES_tradnl" w:eastAsia="es-ES_tradnl"/>
        </w:rPr>
        <w:drawing>
          <wp:anchor distT="0" distB="0" distL="114300" distR="114300" simplePos="0" relativeHeight="251644416" behindDoc="0" locked="1" layoutInCell="1" allowOverlap="0" wp14:anchorId="511B34F6" wp14:editId="1BCBADF1">
            <wp:simplePos x="0" y="0"/>
            <wp:positionH relativeFrom="margin">
              <wp:align>left</wp:align>
            </wp:positionH>
            <wp:positionV relativeFrom="paragraph">
              <wp:posOffset>-67945</wp:posOffset>
            </wp:positionV>
            <wp:extent cx="282575" cy="357505"/>
            <wp:effectExtent l="0" t="0" r="3175" b="4445"/>
            <wp:wrapThrough wrapText="bothSides">
              <wp:wrapPolygon edited="0">
                <wp:start x="0" y="0"/>
                <wp:lineTo x="0" y="20718"/>
                <wp:lineTo x="20387" y="20718"/>
                <wp:lineTo x="20387" y="0"/>
                <wp:lineTo x="0" y="0"/>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anchor>
        </w:drawing>
      </w:r>
      <w:r w:rsidR="00C171E7" w:rsidRPr="00971297">
        <w:t xml:space="preserve">Se référer </w:t>
      </w:r>
      <w:r w:rsidR="00B06EB9" w:rsidRPr="00971297">
        <w:t xml:space="preserve">au </w:t>
      </w:r>
      <w:r w:rsidR="00377B1E" w:rsidRPr="00971297">
        <w:t>Texte du participant</w:t>
      </w:r>
      <w:r w:rsidR="00C171E7" w:rsidRPr="00971297">
        <w:t> </w:t>
      </w:r>
      <w:r w:rsidR="00B06EB9" w:rsidRPr="00971297">
        <w:t>de l’Unité 3 :</w:t>
      </w:r>
      <w:r w:rsidR="00C171E7" w:rsidRPr="00971297">
        <w:t xml:space="preserve"> « Durabilité ».</w:t>
      </w:r>
    </w:p>
    <w:p w:rsidR="00C171E7" w:rsidRPr="00971297" w:rsidRDefault="00C171E7" w:rsidP="00C41D44">
      <w:pPr>
        <w:pStyle w:val="Texte1"/>
      </w:pPr>
      <w:r w:rsidRPr="00971297">
        <w:t>La Convention précise bien certaines valeurs du PCI, comme sa fonction et son importance</w:t>
      </w:r>
      <w:r w:rsidR="00ED3B60" w:rsidRPr="00971297">
        <w:t>,</w:t>
      </w:r>
      <w:r w:rsidRPr="00971297">
        <w:t xml:space="preserve"> en tant que fondement d</w:t>
      </w:r>
      <w:r w:rsidR="001F7A0A" w:rsidRPr="00971297">
        <w:t>’</w:t>
      </w:r>
      <w:r w:rsidRPr="00971297">
        <w:t>un « sentiment d</w:t>
      </w:r>
      <w:r w:rsidR="001F7A0A" w:rsidRPr="00971297">
        <w:t>’</w:t>
      </w:r>
      <w:r w:rsidRPr="00971297">
        <w:t xml:space="preserve">identité et de continuité » pour les communautés concernées, son importance en tant que source de diversité culturelle et de créativité, </w:t>
      </w:r>
      <w:r w:rsidR="00F808C7" w:rsidRPr="00971297">
        <w:t>et</w:t>
      </w:r>
      <w:r w:rsidRPr="00971297">
        <w:t xml:space="preserve"> son rôle </w:t>
      </w:r>
      <w:r w:rsidR="00F808C7" w:rsidRPr="00971297">
        <w:t>éventuel</w:t>
      </w:r>
      <w:r w:rsidRPr="00971297">
        <w:t xml:space="preserve"> dans la promotion du respect et du dialogue entre les communautés. Toutefois, la Convention ne parle pas de valeur esthéti</w:t>
      </w:r>
      <w:r w:rsidR="00C507E2" w:rsidRPr="00971297">
        <w:t>que, de valeur exceptionnelle ni</w:t>
      </w:r>
      <w:r w:rsidRPr="00971297">
        <w:t xml:space="preserve"> de hiérarchie entre les éléments du PCI. </w:t>
      </w:r>
      <w:r w:rsidR="00725373" w:rsidRPr="00971297">
        <w:t xml:space="preserve">Il ne faudrait pas que </w:t>
      </w:r>
      <w:r w:rsidRPr="00971297">
        <w:t>l</w:t>
      </w:r>
      <w:r w:rsidR="001F7A0A" w:rsidRPr="00971297">
        <w:t>’</w:t>
      </w:r>
      <w:r w:rsidRPr="00971297">
        <w:t>établissement d</w:t>
      </w:r>
      <w:r w:rsidR="001F7A0A" w:rsidRPr="00971297">
        <w:t>’</w:t>
      </w:r>
      <w:r w:rsidRPr="00971297">
        <w:t>inventaires</w:t>
      </w:r>
      <w:r w:rsidR="00725373" w:rsidRPr="00971297">
        <w:t xml:space="preserve"> ou</w:t>
      </w:r>
      <w:r w:rsidRPr="00971297">
        <w:t xml:space="preserve"> les procédures </w:t>
      </w:r>
      <w:r w:rsidR="00554CBF">
        <w:t>de préparation de</w:t>
      </w:r>
      <w:r w:rsidR="009F5690" w:rsidRPr="00971297">
        <w:t xml:space="preserve"> candidature</w:t>
      </w:r>
      <w:r w:rsidR="00554CBF">
        <w:t>s</w:t>
      </w:r>
      <w:r w:rsidRPr="00971297">
        <w:t xml:space="preserve"> sur les Listes de la Convention </w:t>
      </w:r>
      <w:r w:rsidR="00725373" w:rsidRPr="00971297">
        <w:t>dégénèrent en « concours de beauté » ou</w:t>
      </w:r>
      <w:r w:rsidRPr="00971297">
        <w:t xml:space="preserve"> </w:t>
      </w:r>
      <w:r w:rsidR="00554CBF">
        <w:t xml:space="preserve">en </w:t>
      </w:r>
      <w:r w:rsidRPr="00971297">
        <w:t xml:space="preserve">systèmes de </w:t>
      </w:r>
      <w:r w:rsidR="00725373" w:rsidRPr="00971297">
        <w:t>r</w:t>
      </w:r>
      <w:r w:rsidR="00554CBF">
        <w:t>écompense</w:t>
      </w:r>
      <w:r w:rsidRPr="00971297">
        <w:t xml:space="preserve">. Cela </w:t>
      </w:r>
      <w:r w:rsidR="00554CBF">
        <w:t>veut dire</w:t>
      </w:r>
      <w:r w:rsidRPr="00971297">
        <w:t xml:space="preserve"> qu</w:t>
      </w:r>
      <w:r w:rsidR="007329A1" w:rsidRPr="00971297">
        <w:t xml:space="preserve">’il faut respecter et inventorier </w:t>
      </w:r>
      <w:r w:rsidRPr="00971297">
        <w:t>le PCI de l</w:t>
      </w:r>
      <w:r w:rsidR="001F7A0A" w:rsidRPr="00971297">
        <w:t>’</w:t>
      </w:r>
      <w:r w:rsidRPr="00971297">
        <w:t>ensemble des communautés présentes au sein d</w:t>
      </w:r>
      <w:r w:rsidR="001F7A0A" w:rsidRPr="00971297">
        <w:t>’</w:t>
      </w:r>
      <w:r w:rsidRPr="00971297">
        <w:t>un État pa</w:t>
      </w:r>
      <w:r w:rsidR="007329A1" w:rsidRPr="00971297">
        <w:t>rtie</w:t>
      </w:r>
      <w:r w:rsidRPr="00971297">
        <w:t>. Les éléments du PCI inclus dans un inventaire du PC</w:t>
      </w:r>
      <w:r w:rsidR="00133866" w:rsidRPr="00971297">
        <w:t>I dressé dans un État partie</w:t>
      </w:r>
      <w:r w:rsidRPr="00971297">
        <w:t xml:space="preserve"> qui ne répondent pas aux exigences en matière de droits de l</w:t>
      </w:r>
      <w:r w:rsidR="001F7A0A" w:rsidRPr="00971297">
        <w:t>’</w:t>
      </w:r>
      <w:r w:rsidRPr="00971297">
        <w:t>homme, de respect mutuel ou de développement durable ne sont pas susceptibles d</w:t>
      </w:r>
      <w:r w:rsidR="00554CBF">
        <w:t>’être inscrits</w:t>
      </w:r>
      <w:r w:rsidRPr="00971297">
        <w:t xml:space="preserve"> sur les Listes de la Convention</w:t>
      </w:r>
      <w:r w:rsidR="00133866" w:rsidRPr="00971297">
        <w:t>, pas plus qu’ils</w:t>
      </w:r>
      <w:r w:rsidRPr="00971297">
        <w:t xml:space="preserve"> n</w:t>
      </w:r>
      <w:r w:rsidR="00554CBF">
        <w:t>’</w:t>
      </w:r>
      <w:r w:rsidRPr="00971297">
        <w:t>ont</w:t>
      </w:r>
      <w:r w:rsidR="00554CBF">
        <w:t xml:space="preserve"> à être</w:t>
      </w:r>
      <w:r w:rsidRPr="00971297">
        <w:t xml:space="preserve"> </w:t>
      </w:r>
      <w:r w:rsidR="00133866" w:rsidRPr="00971297">
        <w:t>pri</w:t>
      </w:r>
      <w:r w:rsidRPr="00971297">
        <w:t xml:space="preserve">s en considération </w:t>
      </w:r>
      <w:r w:rsidR="00133866" w:rsidRPr="00971297">
        <w:t xml:space="preserve">d’une quelconque manière </w:t>
      </w:r>
      <w:r w:rsidRPr="00971297">
        <w:t xml:space="preserve">dans la mise en œuvre de </w:t>
      </w:r>
      <w:r w:rsidR="00133866" w:rsidRPr="00971297">
        <w:t>la présen</w:t>
      </w:r>
      <w:r w:rsidRPr="00971297">
        <w:t>te Convention au niveau international.</w:t>
      </w:r>
    </w:p>
    <w:p w:rsidR="00C171E7" w:rsidRPr="00971297" w:rsidRDefault="00C171E7" w:rsidP="00512F0E">
      <w:pPr>
        <w:pStyle w:val="Heading6"/>
        <w:rPr>
          <w:lang w:val="fr-FR"/>
        </w:rPr>
      </w:pPr>
      <w:r w:rsidRPr="00971297">
        <w:rPr>
          <w:lang w:val="fr-FR"/>
        </w:rPr>
        <w:t>Diapositive 10</w:t>
      </w:r>
      <w:r w:rsidR="00A46DEF" w:rsidRPr="00971297">
        <w:rPr>
          <w:lang w:val="fr-FR"/>
        </w:rPr>
        <w:t>.</w:t>
      </w:r>
    </w:p>
    <w:p w:rsidR="00C171E7" w:rsidRPr="00971297" w:rsidRDefault="00C171E7" w:rsidP="00C41D44">
      <w:pPr>
        <w:pStyle w:val="diapo2"/>
        <w:rPr>
          <w:lang w:val="fr-FR"/>
        </w:rPr>
      </w:pPr>
      <w:r w:rsidRPr="00971297">
        <w:rPr>
          <w:lang w:val="fr-FR"/>
        </w:rPr>
        <w:t>Domaines</w:t>
      </w:r>
      <w:r w:rsidR="00B06EB9" w:rsidRPr="00971297">
        <w:rPr>
          <w:lang w:val="fr-FR"/>
        </w:rPr>
        <w:t xml:space="preserve"> du </w:t>
      </w:r>
      <w:r w:rsidR="00C878EE" w:rsidRPr="00971297">
        <w:rPr>
          <w:lang w:val="fr-FR"/>
        </w:rPr>
        <w:t>patrimoine</w:t>
      </w:r>
      <w:r w:rsidR="00B06EB9" w:rsidRPr="00971297">
        <w:rPr>
          <w:lang w:val="fr-FR"/>
        </w:rPr>
        <w:t xml:space="preserve"> immatériel</w:t>
      </w:r>
    </w:p>
    <w:p w:rsidR="00C171E7" w:rsidRPr="00971297" w:rsidRDefault="00C171E7" w:rsidP="00C41D44">
      <w:pPr>
        <w:pStyle w:val="Texte1"/>
      </w:pPr>
      <w:r w:rsidRPr="00971297">
        <w:t xml:space="preserve">Se référer </w:t>
      </w:r>
      <w:r w:rsidR="00B06EB9" w:rsidRPr="00971297">
        <w:t xml:space="preserve">au </w:t>
      </w:r>
      <w:r w:rsidR="00377B1E" w:rsidRPr="00971297">
        <w:t>Texte du participant</w:t>
      </w:r>
      <w:r w:rsidRPr="00971297">
        <w:t> </w:t>
      </w:r>
      <w:r w:rsidR="00B06EB9" w:rsidRPr="00971297">
        <w:t>de l’Unité 3 :</w:t>
      </w:r>
      <w:r w:rsidRPr="00971297">
        <w:t xml:space="preserve"> « Domaines du PCI ».</w:t>
      </w:r>
    </w:p>
    <w:p w:rsidR="00C171E7" w:rsidRPr="00971297" w:rsidRDefault="00C171E7" w:rsidP="00C41D44">
      <w:pPr>
        <w:pStyle w:val="Soustitre"/>
      </w:pPr>
      <w:r w:rsidRPr="00971297">
        <w:t>Remarque sur l</w:t>
      </w:r>
      <w:r w:rsidR="0067550F" w:rsidRPr="00971297">
        <w:t>e caractèr</w:t>
      </w:r>
      <w:r w:rsidRPr="00971297">
        <w:t>e non exhausti</w:t>
      </w:r>
      <w:r w:rsidR="0067550F" w:rsidRPr="00971297">
        <w:t>f</w:t>
      </w:r>
      <w:r w:rsidRPr="00971297">
        <w:t xml:space="preserve"> des domaines</w:t>
      </w:r>
    </w:p>
    <w:p w:rsidR="00C171E7" w:rsidRPr="00971297" w:rsidRDefault="00C171E7" w:rsidP="00C41D44">
      <w:pPr>
        <w:pStyle w:val="Texte1"/>
      </w:pPr>
      <w:r w:rsidRPr="00971297">
        <w:t xml:space="preserve">La liste des domaines </w:t>
      </w:r>
      <w:r w:rsidR="002C6A97" w:rsidRPr="00971297">
        <w:t>donnée</w:t>
      </w:r>
      <w:r w:rsidRPr="00971297">
        <w:t xml:space="preserve"> à l</w:t>
      </w:r>
      <w:r w:rsidR="001F7A0A" w:rsidRPr="00971297">
        <w:t>’</w:t>
      </w:r>
      <w:r w:rsidRPr="00971297">
        <w:t>article 2.2 est explicitement n</w:t>
      </w:r>
      <w:r w:rsidR="00A46DEF" w:rsidRPr="00971297">
        <w:t>on exhaustive</w:t>
      </w:r>
      <w:r w:rsidRPr="00971297">
        <w:t xml:space="preserve"> (« Le PCI… se manifeste notamment</w:t>
      </w:r>
      <w:r w:rsidR="00A46DEF" w:rsidRPr="00971297">
        <w:t xml:space="preserve"> dans les domaines suivants »</w:t>
      </w:r>
      <w:r w:rsidRPr="00971297">
        <w:t>)</w:t>
      </w:r>
      <w:r w:rsidR="00A46DEF" w:rsidRPr="00971297">
        <w:t>.</w:t>
      </w:r>
      <w:r w:rsidRPr="00971297">
        <w:t xml:space="preserve"> À sa cinquième session (2010), le Comité a inscrit un certain nombre de traditions culinaires sur la </w:t>
      </w:r>
      <w:r w:rsidR="00394043" w:rsidRPr="00971297">
        <w:t>L</w:t>
      </w:r>
      <w:r w:rsidR="00A46DEF" w:rsidRPr="00971297">
        <w:t>R</w:t>
      </w:r>
      <w:r w:rsidRPr="00971297">
        <w:t>.</w:t>
      </w:r>
    </w:p>
    <w:p w:rsidR="00C171E7" w:rsidRPr="00971297" w:rsidRDefault="00C171E7" w:rsidP="00C41D44">
      <w:pPr>
        <w:pStyle w:val="Soustitre"/>
      </w:pPr>
      <w:r w:rsidRPr="00971297">
        <w:t>Remarque sur le choix des domaines appropriés pour un élément</w:t>
      </w:r>
    </w:p>
    <w:p w:rsidR="00C171E7" w:rsidRPr="00971297" w:rsidRDefault="00C171E7" w:rsidP="00C41D44">
      <w:pPr>
        <w:pStyle w:val="Texte1"/>
      </w:pPr>
      <w:r w:rsidRPr="00971297">
        <w:t>Les formulaires qu</w:t>
      </w:r>
      <w:r w:rsidR="00940AB8" w:rsidRPr="00971297">
        <w:t>e</w:t>
      </w:r>
      <w:r w:rsidRPr="00971297">
        <w:t xml:space="preserve"> doivent utilis</w:t>
      </w:r>
      <w:r w:rsidR="00940AB8" w:rsidRPr="00971297">
        <w:t>er</w:t>
      </w:r>
      <w:r w:rsidRPr="00971297">
        <w:t xml:space="preserve"> </w:t>
      </w:r>
      <w:r w:rsidR="00940AB8" w:rsidRPr="00971297">
        <w:t xml:space="preserve">les États parties </w:t>
      </w:r>
      <w:r w:rsidRPr="00971297">
        <w:t xml:space="preserve">pour soumettre des </w:t>
      </w:r>
      <w:r w:rsidR="00940AB8" w:rsidRPr="00971297">
        <w:t>propositions d’</w:t>
      </w:r>
      <w:r w:rsidRPr="00971297">
        <w:t xml:space="preserve">inscription sur les Listes de la Convention </w:t>
      </w:r>
      <w:r w:rsidR="00940AB8" w:rsidRPr="00971297">
        <w:t>leur demandent</w:t>
      </w:r>
      <w:r w:rsidRPr="00971297">
        <w:t xml:space="preserve"> d</w:t>
      </w:r>
      <w:r w:rsidR="001F7A0A" w:rsidRPr="00971297">
        <w:t>’</w:t>
      </w:r>
      <w:r w:rsidRPr="00971297">
        <w:t xml:space="preserve">indiquer à quel(s) domaine(s) (parmi ceux cités dans la Convention) </w:t>
      </w:r>
      <w:r w:rsidR="00E07B17" w:rsidRPr="00971297">
        <w:t xml:space="preserve">appartient </w:t>
      </w:r>
      <w:r w:rsidRPr="00971297">
        <w:t>l</w:t>
      </w:r>
      <w:r w:rsidR="001F7A0A" w:rsidRPr="00971297">
        <w:t>’</w:t>
      </w:r>
      <w:r w:rsidRPr="00971297">
        <w:t>élément proposé.</w:t>
      </w:r>
    </w:p>
    <w:p w:rsidR="00C171E7" w:rsidRPr="00971297" w:rsidRDefault="00C171E7" w:rsidP="00C41D44">
      <w:pPr>
        <w:pStyle w:val="Texte1"/>
      </w:pPr>
      <w:r w:rsidRPr="00971297">
        <w:t xml:space="preserve">Les éléments du </w:t>
      </w:r>
      <w:r w:rsidR="00C878EE" w:rsidRPr="00971297">
        <w:t>patrimoine</w:t>
      </w:r>
      <w:r w:rsidR="001C7271" w:rsidRPr="00971297">
        <w:t xml:space="preserve"> immatériel peuvent</w:t>
      </w:r>
      <w:r w:rsidRPr="00971297">
        <w:t xml:space="preserve"> appartenir à plusieurs domaines</w:t>
      </w:r>
      <w:r w:rsidR="001C7271" w:rsidRPr="00971297">
        <w:t>, ce qui est d’ailleurs souvent le cas</w:t>
      </w:r>
      <w:r w:rsidRPr="00971297">
        <w:t>. Par e</w:t>
      </w:r>
      <w:r w:rsidR="001C7271" w:rsidRPr="00971297">
        <w:t xml:space="preserve">xemple, un élément tel que les </w:t>
      </w:r>
      <w:r w:rsidR="00657608">
        <w:t>« </w:t>
      </w:r>
      <w:r w:rsidR="001C7271" w:rsidRPr="00971297">
        <w:t>T</w:t>
      </w:r>
      <w:r w:rsidRPr="00971297">
        <w:t xml:space="preserve">raditions et pratiques associées aux </w:t>
      </w:r>
      <w:proofErr w:type="spellStart"/>
      <w:r w:rsidRPr="00971297">
        <w:t>Kayas</w:t>
      </w:r>
      <w:proofErr w:type="spellEnd"/>
      <w:r w:rsidRPr="00971297">
        <w:t xml:space="preserve"> dans l</w:t>
      </w:r>
      <w:r w:rsidR="00B41072" w:rsidRPr="00971297">
        <w:t xml:space="preserve">es forêts sacrées des </w:t>
      </w:r>
      <w:proofErr w:type="spellStart"/>
      <w:r w:rsidR="00B41072" w:rsidRPr="00971297">
        <w:t>Mijikenda</w:t>
      </w:r>
      <w:proofErr w:type="spellEnd"/>
      <w:r w:rsidR="00B41072" w:rsidRPr="00971297">
        <w:t xml:space="preserve"> </w:t>
      </w:r>
      <w:r w:rsidRPr="00971297">
        <w:t>au Kenya</w:t>
      </w:r>
      <w:r w:rsidR="00657608">
        <w:t> »</w:t>
      </w:r>
      <w:r w:rsidRPr="00971297">
        <w:t xml:space="preserve"> (inscrit sur la </w:t>
      </w:r>
      <w:r w:rsidR="00394043" w:rsidRPr="00971297">
        <w:t>L</w:t>
      </w:r>
      <w:r w:rsidR="00A46DEF" w:rsidRPr="00971297">
        <w:t>SU</w:t>
      </w:r>
      <w:r w:rsidR="005E3EAD" w:rsidRPr="00971297">
        <w:t xml:space="preserve"> </w:t>
      </w:r>
      <w:r w:rsidRPr="00971297">
        <w:t>en</w:t>
      </w:r>
      <w:r w:rsidRPr="00A21546">
        <w:t xml:space="preserve"> </w:t>
      </w:r>
      <w:r w:rsidRPr="00971297">
        <w:t xml:space="preserve">2009) </w:t>
      </w:r>
      <w:r w:rsidR="001B34F3">
        <w:t>réunit la musique et les danses traditionnelles, les prières et l</w:t>
      </w:r>
      <w:r w:rsidRPr="00971297">
        <w:t>es chants, la production d</w:t>
      </w:r>
      <w:r w:rsidR="001F7A0A" w:rsidRPr="00971297">
        <w:t>’</w:t>
      </w:r>
      <w:r w:rsidRPr="00971297">
        <w:t xml:space="preserve">objets rituels sacrés, </w:t>
      </w:r>
      <w:r w:rsidR="00B41072" w:rsidRPr="00971297">
        <w:t xml:space="preserve">ainsi que </w:t>
      </w:r>
      <w:r w:rsidR="001B34F3">
        <w:t>l</w:t>
      </w:r>
      <w:r w:rsidRPr="00971297">
        <w:t>es pratiques rituelles et cérémonielles</w:t>
      </w:r>
      <w:r w:rsidR="001B34F3">
        <w:t>, ajoutés</w:t>
      </w:r>
      <w:r w:rsidR="00B41072" w:rsidRPr="00971297">
        <w:t xml:space="preserve"> à </w:t>
      </w:r>
      <w:r w:rsidRPr="00971297">
        <w:t>une conscience aiguë et une connais</w:t>
      </w:r>
      <w:r w:rsidR="00BA1D2D">
        <w:t>sance pointue du monde naturel.</w:t>
      </w:r>
    </w:p>
    <w:p w:rsidR="00C171E7" w:rsidRPr="00A21546" w:rsidRDefault="00A21546" w:rsidP="00A21546">
      <w:pPr>
        <w:pStyle w:val="Informations"/>
      </w:pPr>
      <w:r w:rsidRPr="00A21546">
        <w:rPr>
          <w:noProof/>
          <w:lang w:val="es-ES_tradnl" w:eastAsia="es-ES_tradnl"/>
        </w:rPr>
        <w:drawing>
          <wp:anchor distT="0" distB="0" distL="114300" distR="114300" simplePos="0" relativeHeight="251709952" behindDoc="0" locked="1" layoutInCell="1" allowOverlap="0" wp14:anchorId="6FDCB197" wp14:editId="0095F328">
            <wp:simplePos x="0" y="0"/>
            <wp:positionH relativeFrom="margin">
              <wp:align>left</wp:align>
            </wp:positionH>
            <wp:positionV relativeFrom="paragraph">
              <wp:posOffset>-45085</wp:posOffset>
            </wp:positionV>
            <wp:extent cx="273685" cy="34671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A21546">
        <w:t>Voir :</w:t>
      </w:r>
      <w:r w:rsidR="00112F76" w:rsidRPr="00A21546">
        <w:t xml:space="preserve"> </w:t>
      </w:r>
      <w:hyperlink r:id="rId16" w:history="1">
        <w:r w:rsidR="003F3B74" w:rsidRPr="00A21546">
          <w:rPr>
            <w:rStyle w:val="Hyperlink"/>
            <w:color w:val="3366FF"/>
            <w:u w:val="none"/>
          </w:rPr>
          <w:t>http://www.unesco.org/culture/ich/index.php?lg=fr&amp;pg=00011&amp;USL=00313</w:t>
        </w:r>
      </w:hyperlink>
    </w:p>
    <w:p w:rsidR="00C171E7" w:rsidRPr="00971297" w:rsidRDefault="00CD2EBC" w:rsidP="00C41D44">
      <w:pPr>
        <w:pStyle w:val="Texte1"/>
      </w:pPr>
      <w:r w:rsidRPr="00971297">
        <w:rPr>
          <w:color w:val="000000" w:themeColor="text1"/>
        </w:rPr>
        <w:t>Pour une personne extérieure, ce qui semble</w:t>
      </w:r>
      <w:r w:rsidR="00C171E7" w:rsidRPr="00971297">
        <w:rPr>
          <w:color w:val="000000" w:themeColor="text1"/>
        </w:rPr>
        <w:t xml:space="preserve"> relever d</w:t>
      </w:r>
      <w:r w:rsidR="001F7A0A" w:rsidRPr="00971297">
        <w:rPr>
          <w:color w:val="000000" w:themeColor="text1"/>
        </w:rPr>
        <w:t>’</w:t>
      </w:r>
      <w:r w:rsidR="00C171E7" w:rsidRPr="00971297">
        <w:rPr>
          <w:color w:val="000000" w:themeColor="text1"/>
        </w:rPr>
        <w:t>un domaine particulier du</w:t>
      </w:r>
      <w:r w:rsidR="00C171E7" w:rsidRPr="00971297">
        <w:t xml:space="preserve"> </w:t>
      </w:r>
      <w:r w:rsidR="00C878EE" w:rsidRPr="00971297">
        <w:t>patrimoine</w:t>
      </w:r>
      <w:r w:rsidR="00C171E7" w:rsidRPr="00971297">
        <w:t xml:space="preserve"> immatériel peut </w:t>
      </w:r>
      <w:r w:rsidRPr="00971297">
        <w:t xml:space="preserve">très bien </w:t>
      </w:r>
      <w:r w:rsidR="00C171E7" w:rsidRPr="00971297">
        <w:t>être classé dans des domaines différents par d</w:t>
      </w:r>
      <w:r w:rsidR="001F7A0A" w:rsidRPr="00971297">
        <w:t>’</w:t>
      </w:r>
      <w:r w:rsidR="00C171E7" w:rsidRPr="00971297">
        <w:t xml:space="preserve">autres personnes, au sein </w:t>
      </w:r>
      <w:r w:rsidR="002B7C8B" w:rsidRPr="00971297">
        <w:t xml:space="preserve">même </w:t>
      </w:r>
      <w:r w:rsidR="00C171E7" w:rsidRPr="00971297">
        <w:t xml:space="preserve">de la communauté concernée. Par exemple, un membre de la communauté </w:t>
      </w:r>
      <w:r w:rsidRPr="00971297">
        <w:t>va</w:t>
      </w:r>
      <w:r w:rsidR="00C171E7" w:rsidRPr="00971297">
        <w:t xml:space="preserve"> considérer sa poésie ch</w:t>
      </w:r>
      <w:r w:rsidRPr="00971297">
        <w:t>antée comme une forme de rituel</w:t>
      </w:r>
      <w:r w:rsidR="00C171E7" w:rsidRPr="00971297">
        <w:t xml:space="preserve"> à classer dans la catégorie des pratiques sociales</w:t>
      </w:r>
      <w:r w:rsidRPr="00971297">
        <w:t xml:space="preserve"> tandis qu’</w:t>
      </w:r>
      <w:r w:rsidR="00C171E7" w:rsidRPr="00971297">
        <w:t xml:space="preserve">un autre préférera peut-être y voir un chant à classer dans la catégorie des arts du spectacle ou </w:t>
      </w:r>
      <w:r w:rsidRPr="00971297">
        <w:t>encore</w:t>
      </w:r>
      <w:r w:rsidR="00C171E7" w:rsidRPr="00971297">
        <w:t xml:space="preserve"> des traditions orales. Il peut </w:t>
      </w:r>
      <w:r w:rsidR="00860537" w:rsidRPr="00971297">
        <w:t>aussi</w:t>
      </w:r>
      <w:r w:rsidR="00C171E7" w:rsidRPr="00971297">
        <w:t xml:space="preserve"> y avoir des </w:t>
      </w:r>
      <w:r w:rsidR="00860537" w:rsidRPr="00971297">
        <w:t>opinions divergentes au sujet de</w:t>
      </w:r>
      <w:r w:rsidR="00C171E7" w:rsidRPr="00971297">
        <w:t xml:space="preserve"> la classification </w:t>
      </w:r>
      <w:r w:rsidR="00860537" w:rsidRPr="00971297">
        <w:t>en</w:t>
      </w:r>
      <w:r w:rsidR="00C171E7" w:rsidRPr="00971297">
        <w:t xml:space="preserve"> sous-domaines : ce que </w:t>
      </w:r>
      <w:r w:rsidR="00312B2C">
        <w:t>les uns appellent</w:t>
      </w:r>
      <w:r w:rsidR="00C171E7" w:rsidRPr="00971297">
        <w:t xml:space="preserve"> « théâtre » peut être interprété par d</w:t>
      </w:r>
      <w:r w:rsidR="001F7A0A" w:rsidRPr="00971297">
        <w:t>’</w:t>
      </w:r>
      <w:r w:rsidR="00C171E7" w:rsidRPr="00971297">
        <w:t>autres comme de la « danse ».</w:t>
      </w:r>
    </w:p>
    <w:p w:rsidR="00C171E7" w:rsidRPr="00971297" w:rsidRDefault="00C171E7" w:rsidP="00C41D44">
      <w:pPr>
        <w:pStyle w:val="Soustitre"/>
      </w:pPr>
      <w:r w:rsidRPr="00971297">
        <w:t>Remarque sur la question des langues et des religions en tant que domaines</w:t>
      </w:r>
    </w:p>
    <w:p w:rsidR="00C171E7" w:rsidRPr="00971297" w:rsidRDefault="00C171E7" w:rsidP="00C41D44">
      <w:pPr>
        <w:pStyle w:val="Texte1"/>
      </w:pPr>
      <w:r w:rsidRPr="00971297">
        <w:t xml:space="preserve">De nombreux éléments du </w:t>
      </w:r>
      <w:r w:rsidR="00C878EE" w:rsidRPr="00971297">
        <w:t>patrimoine</w:t>
      </w:r>
      <w:r w:rsidRPr="00971297">
        <w:t xml:space="preserve"> immatériel </w:t>
      </w:r>
      <w:r w:rsidR="00494EDB" w:rsidRPr="00971297">
        <w:t>repose</w:t>
      </w:r>
      <w:r w:rsidRPr="00971297">
        <w:t xml:space="preserve">nt </w:t>
      </w:r>
      <w:r w:rsidR="00494EDB" w:rsidRPr="00971297">
        <w:t>larg</w:t>
      </w:r>
      <w:r w:rsidRPr="00971297">
        <w:t xml:space="preserve">ement </w:t>
      </w:r>
      <w:r w:rsidR="00494EDB" w:rsidRPr="00971297">
        <w:t>sur la langue traditionnellement utilis</w:t>
      </w:r>
      <w:r w:rsidRPr="00971297">
        <w:t>ée par l</w:t>
      </w:r>
      <w:r w:rsidR="00494EDB" w:rsidRPr="00971297">
        <w:t>a communauté concernée : cela vaut non</w:t>
      </w:r>
      <w:r w:rsidRPr="00971297">
        <w:t xml:space="preserve"> seulement pour les t</w:t>
      </w:r>
      <w:r w:rsidR="00494EDB" w:rsidRPr="00971297">
        <w:t>raditions et</w:t>
      </w:r>
      <w:r w:rsidRPr="00971297">
        <w:t xml:space="preserve"> expressions orales, mais </w:t>
      </w:r>
      <w:r w:rsidR="00494EDB" w:rsidRPr="00971297">
        <w:t>encore</w:t>
      </w:r>
      <w:r w:rsidRPr="00971297">
        <w:t xml:space="preserve"> pour les chants et la plupart de</w:t>
      </w:r>
      <w:r w:rsidR="000E4108" w:rsidRPr="00971297">
        <w:t>s rituels. Le langage parlé (« </w:t>
      </w:r>
      <w:r w:rsidRPr="00971297">
        <w:t>oralité ») est</w:t>
      </w:r>
      <w:r w:rsidR="00494EDB" w:rsidRPr="00971297">
        <w:t xml:space="preserve"> évidemment primordial</w:t>
      </w:r>
      <w:r w:rsidRPr="00971297">
        <w:t xml:space="preserve"> dans l</w:t>
      </w:r>
      <w:r w:rsidR="000E4108" w:rsidRPr="00971297">
        <w:t>a représenta</w:t>
      </w:r>
      <w:r w:rsidRPr="00971297">
        <w:t xml:space="preserve">tion et la transmission de </w:t>
      </w:r>
      <w:r w:rsidR="00494EDB" w:rsidRPr="00971297">
        <w:t>presque</w:t>
      </w:r>
      <w:r w:rsidRPr="00971297">
        <w:t xml:space="preserve"> tou</w:t>
      </w:r>
      <w:r w:rsidR="00494EDB" w:rsidRPr="00971297">
        <w:t>t</w:t>
      </w:r>
      <w:r w:rsidRPr="00971297">
        <w:t xml:space="preserve"> le </w:t>
      </w:r>
      <w:r w:rsidR="00C878EE" w:rsidRPr="00971297">
        <w:t>patrimoine</w:t>
      </w:r>
      <w:r w:rsidRPr="00971297">
        <w:t xml:space="preserve"> immatériel.</w:t>
      </w:r>
    </w:p>
    <w:p w:rsidR="00C171E7" w:rsidRPr="00971297" w:rsidRDefault="00C171E7" w:rsidP="00C41D44">
      <w:pPr>
        <w:pStyle w:val="Texte1"/>
      </w:pPr>
      <w:r w:rsidRPr="00971297">
        <w:t>Les détenteurs d</w:t>
      </w:r>
      <w:r w:rsidR="001F7A0A" w:rsidRPr="00971297">
        <w:t>’</w:t>
      </w:r>
      <w:r w:rsidRPr="00971297">
        <w:t>éléments spécifiques du PCI peuvent utiliser des corpus hautement spéci</w:t>
      </w:r>
      <w:r w:rsidR="00F15A8B" w:rsidRPr="00971297">
        <w:t>alisés de termes et expressions</w:t>
      </w:r>
      <w:r w:rsidRPr="00971297">
        <w:t xml:space="preserve"> ou des registres spécifiques d</w:t>
      </w:r>
      <w:r w:rsidR="001F7A0A" w:rsidRPr="00971297">
        <w:t>’</w:t>
      </w:r>
      <w:r w:rsidRPr="00971297">
        <w:t>une langue donnée. Afin de sauvegarder ce PCI, il peut être également nécessaire d</w:t>
      </w:r>
      <w:r w:rsidR="001F7A0A" w:rsidRPr="00971297">
        <w:t>’</w:t>
      </w:r>
      <w:r w:rsidRPr="00971297">
        <w:t>é</w:t>
      </w:r>
      <w:r w:rsidR="009C25A0">
        <w:t>tabli</w:t>
      </w:r>
      <w:r w:rsidRPr="00971297">
        <w:t>r des mesures de sauvegarde pour l</w:t>
      </w:r>
      <w:r w:rsidR="001F7A0A" w:rsidRPr="00971297">
        <w:t>’</w:t>
      </w:r>
      <w:r w:rsidRPr="00971297">
        <w:t>utilisation et la transmission de ces registres linguistiques. Le Comité n</w:t>
      </w:r>
      <w:r w:rsidR="001F7A0A" w:rsidRPr="00971297">
        <w:t>’</w:t>
      </w:r>
      <w:r w:rsidRPr="00971297">
        <w:t xml:space="preserve">a pas eu </w:t>
      </w:r>
      <w:r w:rsidR="00F15A8B" w:rsidRPr="00971297">
        <w:t xml:space="preserve">encore </w:t>
      </w:r>
      <w:r w:rsidRPr="00971297">
        <w:t xml:space="preserve">à examiner de </w:t>
      </w:r>
      <w:r w:rsidR="00F15A8B" w:rsidRPr="00971297">
        <w:t>proposition d</w:t>
      </w:r>
      <w:r w:rsidR="001F7A0A" w:rsidRPr="00971297">
        <w:t>’</w:t>
      </w:r>
      <w:r w:rsidRPr="00971297">
        <w:t>inscription d</w:t>
      </w:r>
      <w:r w:rsidR="001F7A0A" w:rsidRPr="00971297">
        <w:t>’</w:t>
      </w:r>
      <w:r w:rsidRPr="00971297">
        <w:t>une langue ni de demande d</w:t>
      </w:r>
      <w:r w:rsidR="001F7A0A" w:rsidRPr="00971297">
        <w:t>’</w:t>
      </w:r>
      <w:r w:rsidRPr="00971297">
        <w:t xml:space="preserve">assistance </w:t>
      </w:r>
      <w:r w:rsidR="00F15A8B" w:rsidRPr="00971297">
        <w:t>concernant</w:t>
      </w:r>
      <w:r w:rsidRPr="00971297">
        <w:t xml:space="preserve"> sa sauvegarde, </w:t>
      </w:r>
      <w:r w:rsidR="00F15A8B" w:rsidRPr="00971297">
        <w:t>même si quelques-uns des</w:t>
      </w:r>
      <w:r w:rsidRPr="00971297">
        <w:t xml:space="preserve"> chefs-d</w:t>
      </w:r>
      <w:r w:rsidR="001F7A0A" w:rsidRPr="00971297">
        <w:t>’</w:t>
      </w:r>
      <w:r w:rsidRPr="00971297">
        <w:t xml:space="preserve">œuvre </w:t>
      </w:r>
      <w:r w:rsidR="009C25A0">
        <w:t xml:space="preserve">préalablement </w:t>
      </w:r>
      <w:r w:rsidRPr="00971297">
        <w:t xml:space="preserve">inscrits sur la </w:t>
      </w:r>
      <w:r w:rsidR="00394043" w:rsidRPr="00971297">
        <w:t>L</w:t>
      </w:r>
      <w:r w:rsidR="008C3947" w:rsidRPr="00971297">
        <w:t>R</w:t>
      </w:r>
      <w:r w:rsidR="00F15A8B" w:rsidRPr="00971297">
        <w:t xml:space="preserve"> en 2008 couvr</w:t>
      </w:r>
      <w:r w:rsidRPr="00971297">
        <w:t>e</w:t>
      </w:r>
      <w:r w:rsidR="00657608">
        <w:t xml:space="preserve">nt </w:t>
      </w:r>
      <w:r w:rsidRPr="00971297">
        <w:t xml:space="preserve">la langue en tant que telle : par exemple, « La langue, la danse et la musique des </w:t>
      </w:r>
      <w:proofErr w:type="spellStart"/>
      <w:r w:rsidRPr="00971297">
        <w:t>Garifuna</w:t>
      </w:r>
      <w:proofErr w:type="spellEnd"/>
      <w:r w:rsidRPr="00971297">
        <w:t xml:space="preserve"> » (Belize, Guatemala, Honduras et Nicaragua) et « Le patrimoine oral et les manifestations culturelles du peuple </w:t>
      </w:r>
      <w:proofErr w:type="spellStart"/>
      <w:r w:rsidRPr="00971297">
        <w:t>Zápara</w:t>
      </w:r>
      <w:proofErr w:type="spellEnd"/>
      <w:r w:rsidRPr="00971297">
        <w:t> » (Équateur et Pérou).</w:t>
      </w:r>
    </w:p>
    <w:p w:rsidR="00C171E7" w:rsidRPr="00971297" w:rsidRDefault="00C171E7" w:rsidP="00C41D44">
      <w:pPr>
        <w:pStyle w:val="Texte1"/>
      </w:pPr>
      <w:r w:rsidRPr="00971297">
        <w:t xml:space="preserve">La question des langues a été longuement débattue lors de la préparation de la Convention. </w:t>
      </w:r>
      <w:r w:rsidR="00657608">
        <w:t xml:space="preserve">De l’avis </w:t>
      </w:r>
      <w:r w:rsidR="00D15719" w:rsidRPr="00971297">
        <w:t>général</w:t>
      </w:r>
      <w:r w:rsidR="00657608">
        <w:t>,</w:t>
      </w:r>
      <w:r w:rsidRPr="00971297">
        <w:t xml:space="preserve"> la langue </w:t>
      </w:r>
      <w:r w:rsidR="00657608">
        <w:t xml:space="preserve">est au cœur du PCI et </w:t>
      </w:r>
      <w:r w:rsidRPr="00971297">
        <w:t xml:space="preserve">les langues naturelles correspondent en </w:t>
      </w:r>
      <w:r w:rsidR="00D15719" w:rsidRPr="00971297">
        <w:t>princip</w:t>
      </w:r>
      <w:r w:rsidRPr="00971297">
        <w:t>e à la définition du PCI donnée à l</w:t>
      </w:r>
      <w:r w:rsidR="001F7A0A" w:rsidRPr="00971297">
        <w:t>’</w:t>
      </w:r>
      <w:r w:rsidRPr="00971297">
        <w:t>article 2.1 de la Convention ; une minorité d</w:t>
      </w:r>
      <w:r w:rsidR="001F7A0A" w:rsidRPr="00971297">
        <w:t>’</w:t>
      </w:r>
      <w:r w:rsidRPr="00971297">
        <w:t>États membres de l</w:t>
      </w:r>
      <w:r w:rsidR="001F7A0A" w:rsidRPr="00971297">
        <w:t>’</w:t>
      </w:r>
      <w:r w:rsidRPr="00971297">
        <w:t xml:space="preserve">UNESCO a plaidé en faveur de la reconnaissance des langues en tant que domaine distinct dans la liste </w:t>
      </w:r>
      <w:r w:rsidR="00D15719" w:rsidRPr="00971297">
        <w:t>établie</w:t>
      </w:r>
      <w:r w:rsidRPr="00971297">
        <w:t xml:space="preserve"> à l</w:t>
      </w:r>
      <w:r w:rsidR="001F7A0A" w:rsidRPr="00971297">
        <w:t>’</w:t>
      </w:r>
      <w:r w:rsidRPr="00971297">
        <w:t xml:space="preserve">article 2.2. Toutefois, </w:t>
      </w:r>
      <w:r w:rsidR="006C0C08" w:rsidRPr="00971297">
        <w:t>la</w:t>
      </w:r>
      <w:r w:rsidRPr="00971297">
        <w:t xml:space="preserve"> majorité d</w:t>
      </w:r>
      <w:r w:rsidR="006C0C08" w:rsidRPr="00971297">
        <w:t xml:space="preserve">es </w:t>
      </w:r>
      <w:r w:rsidRPr="00971297">
        <w:t>États membres n</w:t>
      </w:r>
      <w:r w:rsidR="001F7A0A" w:rsidRPr="00971297">
        <w:t>’</w:t>
      </w:r>
      <w:r w:rsidR="00D15719" w:rsidRPr="00971297">
        <w:t>a</w:t>
      </w:r>
      <w:r w:rsidRPr="00971297">
        <w:t xml:space="preserve"> pas souhaité que les langues </w:t>
      </w:r>
      <w:r w:rsidR="00657608">
        <w:t>constitu</w:t>
      </w:r>
      <w:r w:rsidRPr="00971297">
        <w:t xml:space="preserve">ent </w:t>
      </w:r>
      <w:r w:rsidR="00657608">
        <w:t>un domai</w:t>
      </w:r>
      <w:r w:rsidRPr="00971297">
        <w:t>ne à part entière dans la liste de l</w:t>
      </w:r>
      <w:r w:rsidR="001F7A0A" w:rsidRPr="00971297">
        <w:t>’</w:t>
      </w:r>
      <w:r w:rsidRPr="00971297">
        <w:t>article 2.2.</w:t>
      </w:r>
    </w:p>
    <w:p w:rsidR="00C171E7" w:rsidRPr="00971297" w:rsidRDefault="00C171E7" w:rsidP="00C41D44">
      <w:pPr>
        <w:pStyle w:val="Texte1"/>
      </w:pPr>
      <w:r w:rsidRPr="00971297">
        <w:t>Les langues n</w:t>
      </w:r>
      <w:r w:rsidR="001F7A0A" w:rsidRPr="00971297">
        <w:t>’</w:t>
      </w:r>
      <w:r w:rsidRPr="00971297">
        <w:t xml:space="preserve">ont donc pas été </w:t>
      </w:r>
      <w:r w:rsidR="00D25494" w:rsidRPr="00971297">
        <w:t xml:space="preserve">délibérément </w:t>
      </w:r>
      <w:r w:rsidRPr="00971297">
        <w:t xml:space="preserve">citées en tant que domaine spécifique lors de la rédaction de la Convention. </w:t>
      </w:r>
      <w:r w:rsidR="006C0C08" w:rsidRPr="00971297">
        <w:t>C</w:t>
      </w:r>
      <w:r w:rsidRPr="00971297">
        <w:t>ertains États parties retiennent</w:t>
      </w:r>
      <w:r w:rsidR="006C0C08" w:rsidRPr="00971297">
        <w:t xml:space="preserve"> cependant</w:t>
      </w:r>
      <w:r w:rsidRPr="00971297">
        <w:t xml:space="preserve"> les langues </w:t>
      </w:r>
      <w:r w:rsidR="006C0C08" w:rsidRPr="00971297">
        <w:t>comm</w:t>
      </w:r>
      <w:r w:rsidRPr="00971297">
        <w:t>e domaine dans leurs inventaires. La sit</w:t>
      </w:r>
      <w:r w:rsidR="006C0C08" w:rsidRPr="00971297">
        <w:t xml:space="preserve">uation au niveau international </w:t>
      </w:r>
      <w:r w:rsidRPr="00971297">
        <w:t>est c</w:t>
      </w:r>
      <w:r w:rsidR="006C0C08" w:rsidRPr="00971297">
        <w:t>onfus</w:t>
      </w:r>
      <w:r w:rsidRPr="00971297">
        <w:t>e : les langues ne sont pas explicitement exclues de la définition du PCI dans la Convention</w:t>
      </w:r>
      <w:r w:rsidR="00743163" w:rsidRPr="00971297">
        <w:t xml:space="preserve"> ; </w:t>
      </w:r>
      <w:r w:rsidR="000713B8">
        <w:t>et</w:t>
      </w:r>
      <w:r w:rsidRPr="00971297">
        <w:t xml:space="preserve"> dans la mesure où la list</w:t>
      </w:r>
      <w:r w:rsidR="000713B8">
        <w:t>e des domaines est incomplète, rien ne dit</w:t>
      </w:r>
      <w:r w:rsidR="00F739BC" w:rsidRPr="00971297">
        <w:t xml:space="preserve"> que le Comité </w:t>
      </w:r>
      <w:r w:rsidR="000713B8">
        <w:t xml:space="preserve">ne </w:t>
      </w:r>
      <w:r w:rsidR="00F739BC" w:rsidRPr="00971297">
        <w:t>rejette</w:t>
      </w:r>
      <w:r w:rsidR="000713B8">
        <w:t>rait pas</w:t>
      </w:r>
      <w:r w:rsidRPr="00971297">
        <w:t xml:space="preserve"> automatiquement </w:t>
      </w:r>
      <w:r w:rsidR="00F739BC" w:rsidRPr="00971297">
        <w:t>la</w:t>
      </w:r>
      <w:r w:rsidRPr="00971297">
        <w:t xml:space="preserve"> candidature </w:t>
      </w:r>
      <w:r w:rsidR="00F739BC" w:rsidRPr="00971297">
        <w:t>d’un élément axé sur une langue</w:t>
      </w:r>
      <w:r w:rsidRPr="00971297">
        <w:t xml:space="preserve"> </w:t>
      </w:r>
      <w:r w:rsidR="00F739BC" w:rsidRPr="00971297">
        <w:t xml:space="preserve">dont l’inscription </w:t>
      </w:r>
      <w:r w:rsidRPr="00971297">
        <w:t>sur l</w:t>
      </w:r>
      <w:r w:rsidR="001F7A0A" w:rsidRPr="00971297">
        <w:t>’</w:t>
      </w:r>
      <w:r w:rsidRPr="00971297">
        <w:t>une des Listes de la Convention</w:t>
      </w:r>
      <w:r w:rsidR="00F739BC" w:rsidRPr="00971297">
        <w:t xml:space="preserve"> serait proposée</w:t>
      </w:r>
      <w:r w:rsidRPr="00971297">
        <w:t>.</w:t>
      </w:r>
    </w:p>
    <w:p w:rsidR="00C171E7" w:rsidRPr="00971297" w:rsidRDefault="00743163" w:rsidP="00C41D44">
      <w:pPr>
        <w:pStyle w:val="Texte1"/>
      </w:pPr>
      <w:r w:rsidRPr="00971297">
        <w:t>Beaucoup</w:t>
      </w:r>
      <w:r w:rsidR="00C171E7" w:rsidRPr="00971297">
        <w:t xml:space="preserve"> </w:t>
      </w:r>
      <w:r w:rsidRPr="00971297">
        <w:t>d’</w:t>
      </w:r>
      <w:r w:rsidR="00C171E7" w:rsidRPr="00971297">
        <w:t>États ne sont pas en mesure de sauvegarder toutes les langues parlées à l</w:t>
      </w:r>
      <w:r w:rsidR="001F7A0A" w:rsidRPr="00971297">
        <w:t>’</w:t>
      </w:r>
      <w:r w:rsidR="00C171E7" w:rsidRPr="00971297">
        <w:t>intérieur de</w:t>
      </w:r>
      <w:r w:rsidRPr="00971297">
        <w:t xml:space="preserve"> leurs frontières (en effet, nombreux sont ceux qui </w:t>
      </w:r>
      <w:r w:rsidR="00C171E7" w:rsidRPr="00971297">
        <w:t xml:space="preserve">comptent plusieurs centaines de langues autochtones et </w:t>
      </w:r>
      <w:r w:rsidRPr="00971297">
        <w:t>bien d’</w:t>
      </w:r>
      <w:r w:rsidR="00C171E7" w:rsidRPr="00971297">
        <w:t>autres</w:t>
      </w:r>
      <w:r w:rsidRPr="00971297">
        <w:t xml:space="preserve"> </w:t>
      </w:r>
      <w:r w:rsidR="00F739BC" w:rsidRPr="00971297">
        <w:t xml:space="preserve">encore </w:t>
      </w:r>
      <w:r w:rsidRPr="00971297">
        <w:t>qui</w:t>
      </w:r>
      <w:r w:rsidR="00C171E7" w:rsidRPr="00971297">
        <w:t xml:space="preserve"> en </w:t>
      </w:r>
      <w:r w:rsidR="0063412E">
        <w:t>compte</w:t>
      </w:r>
      <w:r w:rsidR="00C171E7" w:rsidRPr="00971297">
        <w:t xml:space="preserve">nt </w:t>
      </w:r>
      <w:r w:rsidR="00F739BC" w:rsidRPr="00971297">
        <w:t>de</w:t>
      </w:r>
      <w:r w:rsidR="00C171E7" w:rsidRPr="00971297">
        <w:t>s dizaines). La sauvegarde globale d</w:t>
      </w:r>
      <w:r w:rsidR="001F7A0A" w:rsidRPr="00971297">
        <w:t>’</w:t>
      </w:r>
      <w:r w:rsidR="00F739BC" w:rsidRPr="00971297">
        <w:t>une langue</w:t>
      </w:r>
      <w:r w:rsidR="00C171E7" w:rsidRPr="00971297">
        <w:t xml:space="preserve"> qui est </w:t>
      </w:r>
      <w:r w:rsidR="00CA527B" w:rsidRPr="00971297">
        <w:t>aujourd’hui</w:t>
      </w:r>
      <w:r w:rsidR="00C171E7" w:rsidRPr="00971297">
        <w:t xml:space="preserve"> renseignée par un vaste corpus de recherches et d</w:t>
      </w:r>
      <w:r w:rsidR="001F7A0A" w:rsidRPr="00971297">
        <w:t>’</w:t>
      </w:r>
      <w:r w:rsidR="00C171E7" w:rsidRPr="00971297">
        <w:t>expériences dans ce domaine, est une affaire complexe et coûteuse. Les États où de nombreuses langues sont parlées manquent souvent de ressources pour documenter et promouvoir correctement toutes ces langues à travers la recherche, l</w:t>
      </w:r>
      <w:r w:rsidR="001F7A0A" w:rsidRPr="00971297">
        <w:t>’</w:t>
      </w:r>
      <w:r w:rsidR="00C171E7" w:rsidRPr="00971297">
        <w:t xml:space="preserve">intégration dans les programmes scolaires, les médias et les publications, afin de sauvegarder cette diversité. </w:t>
      </w:r>
      <w:r w:rsidR="008631CF" w:rsidRPr="00971297">
        <w:t>Beaucoup d’</w:t>
      </w:r>
      <w:r w:rsidR="00C171E7" w:rsidRPr="00971297">
        <w:t>autres États ne souhaitent pas encourager l</w:t>
      </w:r>
      <w:r w:rsidR="001F7A0A" w:rsidRPr="00971297">
        <w:t>’</w:t>
      </w:r>
      <w:r w:rsidR="0063412E">
        <w:t>usage</w:t>
      </w:r>
      <w:r w:rsidR="00C171E7" w:rsidRPr="00971297">
        <w:t xml:space="preserve"> extensif de langues autres que leurs langues nationales ou officielles.</w:t>
      </w:r>
    </w:p>
    <w:p w:rsidR="00C171E7" w:rsidRPr="00971297" w:rsidRDefault="00C171E7" w:rsidP="00C41D44">
      <w:pPr>
        <w:pStyle w:val="Texte1"/>
      </w:pPr>
      <w:r w:rsidRPr="00971297">
        <w:t>L</w:t>
      </w:r>
      <w:r w:rsidR="001F7A0A" w:rsidRPr="00971297">
        <w:t>’</w:t>
      </w:r>
      <w:r w:rsidRPr="00971297">
        <w:rPr>
          <w:i/>
        </w:rPr>
        <w:t>Atlas des langues en danger dans le monde</w:t>
      </w:r>
      <w:r w:rsidRPr="00971297">
        <w:t xml:space="preserve"> de l</w:t>
      </w:r>
      <w:r w:rsidR="001F7A0A" w:rsidRPr="00971297">
        <w:t>’</w:t>
      </w:r>
      <w:r w:rsidRPr="00971297">
        <w:t>UNESCO</w:t>
      </w:r>
      <w:r w:rsidR="00031154" w:rsidRPr="00031154">
        <w:rPr>
          <w:rStyle w:val="FootnoteReference"/>
          <w:sz w:val="20"/>
          <w:szCs w:val="20"/>
        </w:rPr>
        <w:footnoteReference w:id="4"/>
      </w:r>
      <w:r w:rsidR="009E0D46" w:rsidRPr="00971297">
        <w:t xml:space="preserve"> </w:t>
      </w:r>
      <w:r w:rsidR="0063412E">
        <w:t>vise à faire prendre conscience d’une</w:t>
      </w:r>
      <w:r w:rsidR="00D12D90" w:rsidRPr="00971297">
        <w:t xml:space="preserve"> perte</w:t>
      </w:r>
      <w:r w:rsidRPr="00971297">
        <w:t xml:space="preserve"> </w:t>
      </w:r>
      <w:r w:rsidR="0063412E">
        <w:t xml:space="preserve">progressive </w:t>
      </w:r>
      <w:r w:rsidRPr="00971297">
        <w:t>de</w:t>
      </w:r>
      <w:r w:rsidR="0063412E">
        <w:t xml:space="preserve"> la</w:t>
      </w:r>
      <w:r w:rsidRPr="00971297">
        <w:t xml:space="preserve"> diversité linguistique, mais n</w:t>
      </w:r>
      <w:r w:rsidR="001F7A0A" w:rsidRPr="00971297">
        <w:t>’</w:t>
      </w:r>
      <w:r w:rsidRPr="00971297">
        <w:t xml:space="preserve">est associé à aucun texte normatif ni </w:t>
      </w:r>
      <w:r w:rsidR="00D12D90" w:rsidRPr="00971297">
        <w:t xml:space="preserve">aucun </w:t>
      </w:r>
      <w:r w:rsidR="00BA1D2D">
        <w:t>programme de sauvegarde.</w:t>
      </w:r>
    </w:p>
    <w:p w:rsidR="00C171E7" w:rsidRPr="00A21546" w:rsidRDefault="00A21546" w:rsidP="00C41D44">
      <w:pPr>
        <w:pStyle w:val="Informations"/>
      </w:pPr>
      <w:r w:rsidRPr="00A21546">
        <w:rPr>
          <w:noProof/>
          <w:lang w:val="es-ES_tradnl" w:eastAsia="es-ES_tradnl"/>
        </w:rPr>
        <w:drawing>
          <wp:anchor distT="0" distB="0" distL="114300" distR="114300" simplePos="0" relativeHeight="251712000" behindDoc="0" locked="1" layoutInCell="1" allowOverlap="0" wp14:anchorId="139DFE68" wp14:editId="2F358A17">
            <wp:simplePos x="0" y="0"/>
            <wp:positionH relativeFrom="margin">
              <wp:align>left</wp:align>
            </wp:positionH>
            <wp:positionV relativeFrom="paragraph">
              <wp:posOffset>-32385</wp:posOffset>
            </wp:positionV>
            <wp:extent cx="273685" cy="346710"/>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A21546">
        <w:t>Voir </w:t>
      </w:r>
      <w:r w:rsidR="00C171E7" w:rsidRPr="00971297">
        <w:t>:</w:t>
      </w:r>
      <w:r w:rsidR="00112F76" w:rsidRPr="00971297">
        <w:t xml:space="preserve"> </w:t>
      </w:r>
      <w:hyperlink r:id="rId17" w:history="1">
        <w:r w:rsidR="0072336E" w:rsidRPr="0072336E">
          <w:rPr>
            <w:rStyle w:val="Hyperlink"/>
          </w:rPr>
          <w:t>http://www.unesco.org/languages-atlas/index.php</w:t>
        </w:r>
      </w:hyperlink>
    </w:p>
    <w:p w:rsidR="00C171E7" w:rsidRPr="00971297" w:rsidRDefault="00C171E7" w:rsidP="00C41D44">
      <w:pPr>
        <w:pStyle w:val="Texte1"/>
      </w:pPr>
      <w:r w:rsidRPr="00A21546">
        <w:t>De même, de nombreu</w:t>
      </w:r>
      <w:r w:rsidRPr="00971297">
        <w:t>x systèmes de croyances, s</w:t>
      </w:r>
      <w:r w:rsidR="001F7A0A" w:rsidRPr="00971297">
        <w:t>’</w:t>
      </w:r>
      <w:r w:rsidR="00CB2472" w:rsidRPr="00971297">
        <w:t xml:space="preserve">ils tolèrent les </w:t>
      </w:r>
      <w:r w:rsidRPr="00971297">
        <w:t xml:space="preserve">autres croyances, </w:t>
      </w:r>
      <w:r w:rsidR="00F43053">
        <w:t>vo</w:t>
      </w:r>
      <w:r w:rsidRPr="00971297">
        <w:t xml:space="preserve">nt </w:t>
      </w:r>
      <w:r w:rsidR="00CB2472" w:rsidRPr="00971297">
        <w:t>satisfaire</w:t>
      </w:r>
      <w:r w:rsidRPr="00971297">
        <w:t xml:space="preserve"> à la définition du PCI </w:t>
      </w:r>
      <w:r w:rsidR="00B24C13" w:rsidRPr="00971297">
        <w:t>stipulée</w:t>
      </w:r>
      <w:r w:rsidRPr="00971297">
        <w:t xml:space="preserve"> à l</w:t>
      </w:r>
      <w:r w:rsidR="001F7A0A" w:rsidRPr="00971297">
        <w:t>’</w:t>
      </w:r>
      <w:r w:rsidRPr="00971297">
        <w:t>article 2.1. Ils peuvent être classés au titre de l</w:t>
      </w:r>
      <w:r w:rsidR="001F7A0A" w:rsidRPr="00971297">
        <w:t>’</w:t>
      </w:r>
      <w:r w:rsidR="00520A83" w:rsidRPr="00971297">
        <w:t>article 2.2 (d) : « </w:t>
      </w:r>
      <w:r w:rsidRPr="00971297">
        <w:t>connaissances et pratiques concernant la nature et l</w:t>
      </w:r>
      <w:r w:rsidR="001F7A0A" w:rsidRPr="00971297">
        <w:t>’</w:t>
      </w:r>
      <w:r w:rsidRPr="00971297">
        <w:t xml:space="preserve">univers ». Bien sûr, de nombreux éléments du </w:t>
      </w:r>
      <w:r w:rsidR="00C878EE" w:rsidRPr="00971297">
        <w:t>patrimoine</w:t>
      </w:r>
      <w:r w:rsidRPr="00971297">
        <w:t xml:space="preserve"> immatériel ont des aspects spirituels. Il </w:t>
      </w:r>
      <w:r w:rsidR="00B24C13" w:rsidRPr="00971297">
        <w:t xml:space="preserve">y a </w:t>
      </w:r>
      <w:r w:rsidRPr="00971297">
        <w:t xml:space="preserve">au moins un inventaire compilé par un État partie qui </w:t>
      </w:r>
      <w:r w:rsidR="00B24C13" w:rsidRPr="00971297">
        <w:t>considère</w:t>
      </w:r>
      <w:r w:rsidRPr="00971297">
        <w:t xml:space="preserve"> les « pèlerinages » </w:t>
      </w:r>
      <w:r w:rsidR="00B24C13" w:rsidRPr="00971297">
        <w:t>comme un</w:t>
      </w:r>
      <w:r w:rsidRPr="00971297">
        <w:t xml:space="preserve"> domaine distinct.</w:t>
      </w:r>
    </w:p>
    <w:p w:rsidR="00C171E7" w:rsidRPr="00971297" w:rsidRDefault="00C171E7" w:rsidP="00C41D44">
      <w:pPr>
        <w:pStyle w:val="Texte1"/>
      </w:pPr>
      <w:r w:rsidRPr="00971297">
        <w:t xml:space="preserve">Les États ayant des politiques linguistiques et religieuses très </w:t>
      </w:r>
      <w:r w:rsidR="00765174" w:rsidRPr="00971297">
        <w:t>divers</w:t>
      </w:r>
      <w:r w:rsidRPr="00971297">
        <w:t>es, il aurait été impossible d</w:t>
      </w:r>
      <w:r w:rsidR="00765174" w:rsidRPr="00971297">
        <w:t>e parvenir à</w:t>
      </w:r>
      <w:r w:rsidRPr="00971297">
        <w:t xml:space="preserve"> un consensus sur des recommandations plus précises </w:t>
      </w:r>
      <w:r w:rsidR="00765174" w:rsidRPr="00971297">
        <w:t>s’agissa</w:t>
      </w:r>
      <w:r w:rsidRPr="00971297">
        <w:t>nt</w:t>
      </w:r>
      <w:r w:rsidR="00765174" w:rsidRPr="00971297">
        <w:t xml:space="preserve"> de</w:t>
      </w:r>
      <w:r w:rsidRPr="00971297">
        <w:t xml:space="preserve"> la place à accorder aux langues et aux systèmes de croyances </w:t>
      </w:r>
      <w:r w:rsidR="00E07B89">
        <w:t>sur</w:t>
      </w:r>
      <w:r w:rsidRPr="00971297">
        <w:t xml:space="preserve"> la liste des domaines de la Convention. Toute tentative </w:t>
      </w:r>
      <w:r w:rsidR="00765174" w:rsidRPr="00971297">
        <w:t>de</w:t>
      </w:r>
      <w:r w:rsidRPr="00971297">
        <w:t xml:space="preserve"> défini</w:t>
      </w:r>
      <w:r w:rsidR="00765174" w:rsidRPr="00971297">
        <w:t>tion du</w:t>
      </w:r>
      <w:r w:rsidR="00B24C13" w:rsidRPr="00971297">
        <w:t xml:space="preserve"> concept de communauté ou de groupe</w:t>
      </w:r>
      <w:r w:rsidRPr="00971297">
        <w:t xml:space="preserve"> se serait heurtée à des problèmes </w:t>
      </w:r>
      <w:r w:rsidR="00E07B89">
        <w:t>analogu</w:t>
      </w:r>
      <w:r w:rsidRPr="00971297">
        <w:t>es et aurait considérablement retardé l</w:t>
      </w:r>
      <w:r w:rsidR="001F7A0A" w:rsidRPr="00971297">
        <w:t>’</w:t>
      </w:r>
      <w:r w:rsidRPr="00971297">
        <w:t>élaboration de la Convention.</w:t>
      </w:r>
    </w:p>
    <w:p w:rsidR="00C171E7" w:rsidRPr="00971297" w:rsidRDefault="00C171E7" w:rsidP="00512F0E">
      <w:pPr>
        <w:pStyle w:val="Heading6"/>
        <w:rPr>
          <w:lang w:val="fr-FR"/>
        </w:rPr>
      </w:pPr>
      <w:r w:rsidRPr="00971297">
        <w:rPr>
          <w:lang w:val="fr-FR"/>
        </w:rPr>
        <w:t>Diapositive 11</w:t>
      </w:r>
      <w:r w:rsidR="009E0D46" w:rsidRPr="00971297">
        <w:rPr>
          <w:lang w:val="fr-FR"/>
        </w:rPr>
        <w:t>.</w:t>
      </w:r>
    </w:p>
    <w:p w:rsidR="00C171E7" w:rsidRPr="00971297" w:rsidRDefault="00C171E7" w:rsidP="00C41D44">
      <w:pPr>
        <w:pStyle w:val="diapo2"/>
        <w:rPr>
          <w:lang w:val="fr-FR"/>
        </w:rPr>
      </w:pPr>
      <w:r w:rsidRPr="00971297">
        <w:rPr>
          <w:lang w:val="fr-FR"/>
        </w:rPr>
        <w:t xml:space="preserve">La musique liturgique </w:t>
      </w:r>
      <w:proofErr w:type="spellStart"/>
      <w:r w:rsidRPr="00971297">
        <w:rPr>
          <w:lang w:val="fr-FR"/>
        </w:rPr>
        <w:t>Zema</w:t>
      </w:r>
      <w:proofErr w:type="spellEnd"/>
      <w:r w:rsidR="00B06EB9" w:rsidRPr="00971297">
        <w:rPr>
          <w:lang w:val="fr-FR"/>
        </w:rPr>
        <w:t xml:space="preserve"> (Éthiopie)</w:t>
      </w:r>
    </w:p>
    <w:p w:rsidR="00C171E7" w:rsidRPr="00971297" w:rsidRDefault="00C171E7" w:rsidP="00C41D44">
      <w:pPr>
        <w:pStyle w:val="Texte1"/>
      </w:pPr>
      <w:r w:rsidRPr="00971297">
        <w:t xml:space="preserve">Des éléments du PCI </w:t>
      </w:r>
      <w:r w:rsidR="00E07B89">
        <w:t>comporta</w:t>
      </w:r>
      <w:r w:rsidRPr="00971297">
        <w:t xml:space="preserve">nt des aspects religieux ou sacrés ont été inscrits sur les Listes de la Convention, </w:t>
      </w:r>
      <w:r w:rsidR="0006323D" w:rsidRPr="00971297">
        <w:t>tels que</w:t>
      </w:r>
      <w:r w:rsidRPr="00971297">
        <w:t xml:space="preserve"> </w:t>
      </w:r>
      <w:r w:rsidR="009E0D46" w:rsidRPr="00971297">
        <w:t>« L</w:t>
      </w:r>
      <w:r w:rsidRPr="00971297">
        <w:t>a procession dansante d</w:t>
      </w:r>
      <w:r w:rsidR="001F7A0A" w:rsidRPr="00971297">
        <w:t>’</w:t>
      </w:r>
      <w:r w:rsidRPr="00971297">
        <w:t>Echternach</w:t>
      </w:r>
      <w:r w:rsidR="009E0D46" w:rsidRPr="00971297">
        <w:t> »</w:t>
      </w:r>
      <w:r w:rsidRPr="00971297">
        <w:t xml:space="preserve"> (Luxembourg), </w:t>
      </w:r>
      <w:r w:rsidR="009E0D46" w:rsidRPr="00971297">
        <w:t>« L</w:t>
      </w:r>
      <w:r w:rsidRPr="00971297">
        <w:t xml:space="preserve">e </w:t>
      </w:r>
      <w:proofErr w:type="spellStart"/>
      <w:r w:rsidRPr="00971297">
        <w:t>Semah</w:t>
      </w:r>
      <w:proofErr w:type="spellEnd"/>
      <w:r w:rsidRPr="00971297">
        <w:t>, rituel Alevi-</w:t>
      </w:r>
      <w:proofErr w:type="spellStart"/>
      <w:r w:rsidRPr="00971297">
        <w:t>Bektaşi</w:t>
      </w:r>
      <w:proofErr w:type="spellEnd"/>
      <w:r w:rsidR="009E0D46" w:rsidRPr="00971297">
        <w:t> »</w:t>
      </w:r>
      <w:r w:rsidRPr="00971297">
        <w:t xml:space="preserve"> (Turquie), </w:t>
      </w:r>
      <w:r w:rsidR="009E0D46" w:rsidRPr="00971297">
        <w:t>« L</w:t>
      </w:r>
      <w:r w:rsidRPr="00971297">
        <w:t>e carnaval d</w:t>
      </w:r>
      <w:r w:rsidR="001F7A0A" w:rsidRPr="00971297">
        <w:t>’</w:t>
      </w:r>
      <w:r w:rsidRPr="00971297">
        <w:t>Oruro</w:t>
      </w:r>
      <w:r w:rsidR="009E0D46" w:rsidRPr="00971297">
        <w:t> »</w:t>
      </w:r>
      <w:r w:rsidRPr="00971297">
        <w:t xml:space="preserve"> (État plurinational de Bolivie), </w:t>
      </w:r>
      <w:r w:rsidR="009E0D46" w:rsidRPr="00971297">
        <w:t>« L</w:t>
      </w:r>
      <w:r w:rsidRPr="00971297">
        <w:t xml:space="preserve">e </w:t>
      </w:r>
      <w:proofErr w:type="spellStart"/>
      <w:r w:rsidRPr="00971297">
        <w:t>Ramman</w:t>
      </w:r>
      <w:proofErr w:type="spellEnd"/>
      <w:r w:rsidRPr="00971297">
        <w:t xml:space="preserve"> : festival religieux et théâtre rituel du </w:t>
      </w:r>
      <w:proofErr w:type="spellStart"/>
      <w:r w:rsidRPr="00971297">
        <w:t>Garhwal</w:t>
      </w:r>
      <w:proofErr w:type="spellEnd"/>
      <w:r w:rsidRPr="00971297">
        <w:t>, dans l</w:t>
      </w:r>
      <w:r w:rsidR="001F7A0A" w:rsidRPr="00971297">
        <w:t>’</w:t>
      </w:r>
      <w:r w:rsidRPr="00971297">
        <w:t>Himalaya</w:t>
      </w:r>
      <w:r w:rsidR="009E0D46" w:rsidRPr="00971297">
        <w:t> »</w:t>
      </w:r>
      <w:r w:rsidRPr="00971297">
        <w:t xml:space="preserve"> (Inde) et </w:t>
      </w:r>
      <w:r w:rsidR="009E0D46" w:rsidRPr="00971297">
        <w:t>« L</w:t>
      </w:r>
      <w:r w:rsidR="001F7A0A" w:rsidRPr="00971297">
        <w:t>’</w:t>
      </w:r>
      <w:proofErr w:type="spellStart"/>
      <w:r w:rsidRPr="00971297">
        <w:t>Ahellil</w:t>
      </w:r>
      <w:proofErr w:type="spellEnd"/>
      <w:r w:rsidRPr="00971297">
        <w:t xml:space="preserve"> du Gourara</w:t>
      </w:r>
      <w:r w:rsidR="009E0D46" w:rsidRPr="00971297">
        <w:t> »</w:t>
      </w:r>
      <w:r w:rsidR="00BA1D2D">
        <w:t xml:space="preserve"> (Algérie).</w:t>
      </w:r>
    </w:p>
    <w:p w:rsidR="0040526F" w:rsidRPr="00971297" w:rsidRDefault="00031154" w:rsidP="008B4BFE">
      <w:pPr>
        <w:pStyle w:val="Informations"/>
      </w:pPr>
      <w:r w:rsidRPr="00031154">
        <w:rPr>
          <w:noProof/>
          <w:lang w:val="es-ES_tradnl" w:eastAsia="es-ES_tradnl"/>
        </w:rPr>
        <w:drawing>
          <wp:anchor distT="0" distB="0" distL="114300" distR="114300" simplePos="0" relativeHeight="251714048" behindDoc="0" locked="1" layoutInCell="1" allowOverlap="0" wp14:anchorId="33FF5D13" wp14:editId="66A27363">
            <wp:simplePos x="0" y="0"/>
            <wp:positionH relativeFrom="margin">
              <wp:align>left</wp:align>
            </wp:positionH>
            <wp:positionV relativeFrom="paragraph">
              <wp:posOffset>-20955</wp:posOffset>
            </wp:positionV>
            <wp:extent cx="273685" cy="34671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031154">
        <w:t>Des informations</w:t>
      </w:r>
      <w:r w:rsidR="00C171E7" w:rsidRPr="00971297">
        <w:t xml:space="preserve"> sur ces éléments sont disponibles sur le site Web de la Convention :</w:t>
      </w:r>
      <w:r w:rsidR="00377B1E" w:rsidRPr="00971297">
        <w:tab/>
      </w:r>
      <w:r w:rsidR="00377B1E" w:rsidRPr="00971297">
        <w:br/>
      </w:r>
      <w:hyperlink r:id="rId18" w:history="1">
        <w:r w:rsidR="0040526F" w:rsidRPr="00031154">
          <w:rPr>
            <w:rStyle w:val="Hyperlink"/>
          </w:rPr>
          <w:t>http://www.unesco.org/culture/ich/fr/lists/</w:t>
        </w:r>
      </w:hyperlink>
    </w:p>
    <w:p w:rsidR="00C171E7" w:rsidRPr="00971297" w:rsidRDefault="00C171E7" w:rsidP="009E0D46">
      <w:pPr>
        <w:pStyle w:val="Informations"/>
        <w:jc w:val="both"/>
        <w:rPr>
          <w:i w:val="0"/>
          <w:color w:val="000000" w:themeColor="text1"/>
        </w:rPr>
      </w:pPr>
      <w:r w:rsidRPr="00971297">
        <w:rPr>
          <w:i w:val="0"/>
          <w:color w:val="000000" w:themeColor="text1"/>
        </w:rPr>
        <w:t xml:space="preserve">La musique liturgique </w:t>
      </w:r>
      <w:proofErr w:type="spellStart"/>
      <w:r w:rsidRPr="00971297">
        <w:rPr>
          <w:i w:val="0"/>
          <w:color w:val="000000" w:themeColor="text1"/>
        </w:rPr>
        <w:t>Zema</w:t>
      </w:r>
      <w:proofErr w:type="spellEnd"/>
      <w:r w:rsidRPr="00971297">
        <w:rPr>
          <w:i w:val="0"/>
          <w:color w:val="000000" w:themeColor="text1"/>
        </w:rPr>
        <w:t xml:space="preserve"> est un autre exemple d</w:t>
      </w:r>
      <w:r w:rsidR="001F7A0A" w:rsidRPr="00971297">
        <w:rPr>
          <w:i w:val="0"/>
          <w:color w:val="000000" w:themeColor="text1"/>
        </w:rPr>
        <w:t>’</w:t>
      </w:r>
      <w:r w:rsidRPr="00971297">
        <w:rPr>
          <w:i w:val="0"/>
          <w:color w:val="000000" w:themeColor="text1"/>
        </w:rPr>
        <w:t>élément du PCI ayant des aspects religieux ou sacrés. Elle n</w:t>
      </w:r>
      <w:r w:rsidR="00317E08" w:rsidRPr="00971297">
        <w:rPr>
          <w:i w:val="0"/>
          <w:color w:val="000000" w:themeColor="text1"/>
        </w:rPr>
        <w:t>e figure sur aucune des L</w:t>
      </w:r>
      <w:r w:rsidRPr="00971297">
        <w:rPr>
          <w:i w:val="0"/>
          <w:color w:val="000000" w:themeColor="text1"/>
        </w:rPr>
        <w:t>iste</w:t>
      </w:r>
      <w:r w:rsidR="00317E08" w:rsidRPr="00971297">
        <w:rPr>
          <w:i w:val="0"/>
          <w:color w:val="000000" w:themeColor="text1"/>
        </w:rPr>
        <w:t>s</w:t>
      </w:r>
      <w:r w:rsidRPr="00971297">
        <w:rPr>
          <w:i w:val="0"/>
          <w:color w:val="000000" w:themeColor="text1"/>
        </w:rPr>
        <w:t xml:space="preserve"> de la Convention, mais cela ne la rend pas moins importante que les éléments qui </w:t>
      </w:r>
      <w:r w:rsidR="00317E08" w:rsidRPr="00971297">
        <w:rPr>
          <w:i w:val="0"/>
          <w:color w:val="000000" w:themeColor="text1"/>
        </w:rPr>
        <w:t>y s</w:t>
      </w:r>
      <w:r w:rsidRPr="00971297">
        <w:rPr>
          <w:i w:val="0"/>
          <w:color w:val="000000" w:themeColor="text1"/>
        </w:rPr>
        <w:t>ont inscrits.</w:t>
      </w:r>
    </w:p>
    <w:p w:rsidR="00C171E7" w:rsidRPr="00971297" w:rsidRDefault="00C171E7" w:rsidP="00C41D44">
      <w:pPr>
        <w:pStyle w:val="Soustitre"/>
      </w:pPr>
      <w:r w:rsidRPr="00971297">
        <w:t>Pour plus</w:t>
      </w:r>
      <w:r w:rsidR="009E0D46" w:rsidRPr="00971297">
        <w:t xml:space="preserve"> d’informations :</w:t>
      </w:r>
    </w:p>
    <w:p w:rsidR="00C171E7" w:rsidRPr="00844899" w:rsidRDefault="00C171E7" w:rsidP="00C41D44">
      <w:pPr>
        <w:pStyle w:val="nutiret"/>
        <w:rPr>
          <w:lang w:val="en-US"/>
        </w:rPr>
      </w:pPr>
      <w:r w:rsidRPr="00844899">
        <w:rPr>
          <w:lang w:val="en-US"/>
        </w:rPr>
        <w:t xml:space="preserve">Kaufman </w:t>
      </w:r>
      <w:proofErr w:type="spellStart"/>
      <w:r w:rsidRPr="00844899">
        <w:rPr>
          <w:lang w:val="en-US"/>
        </w:rPr>
        <w:t>Shelemay</w:t>
      </w:r>
      <w:proofErr w:type="spellEnd"/>
      <w:r w:rsidRPr="00844899">
        <w:rPr>
          <w:lang w:val="en-US"/>
        </w:rPr>
        <w:t xml:space="preserve">, K. </w:t>
      </w:r>
      <w:proofErr w:type="gramStart"/>
      <w:r w:rsidRPr="00844899">
        <w:rPr>
          <w:lang w:val="en-US"/>
        </w:rPr>
        <w:t>et</w:t>
      </w:r>
      <w:proofErr w:type="gramEnd"/>
      <w:r w:rsidRPr="00844899">
        <w:rPr>
          <w:lang w:val="en-US"/>
        </w:rPr>
        <w:t xml:space="preserve"> Jeffery, P. (</w:t>
      </w:r>
      <w:proofErr w:type="spellStart"/>
      <w:r w:rsidRPr="00844899">
        <w:rPr>
          <w:lang w:val="en-US"/>
        </w:rPr>
        <w:t>éd</w:t>
      </w:r>
      <w:proofErr w:type="spellEnd"/>
      <w:r w:rsidRPr="00844899">
        <w:rPr>
          <w:lang w:val="en-US"/>
        </w:rPr>
        <w:t>.). 1993.</w:t>
      </w:r>
      <w:r w:rsidRPr="00844899">
        <w:rPr>
          <w:i/>
          <w:lang w:val="en-US"/>
        </w:rPr>
        <w:t xml:space="preserve"> Ethiopian Christian Liturgical Chant: an anthology</w:t>
      </w:r>
      <w:r w:rsidRPr="00844899">
        <w:rPr>
          <w:lang w:val="en-US"/>
        </w:rPr>
        <w:t>. A-R Editions Inc. 3 volumes.</w:t>
      </w:r>
    </w:p>
    <w:p w:rsidR="00C171E7" w:rsidRPr="00BA1D2D" w:rsidRDefault="001D0002" w:rsidP="00DD6B4B">
      <w:pPr>
        <w:pStyle w:val="Enutiret"/>
        <w:numPr>
          <w:ilvl w:val="0"/>
          <w:numId w:val="0"/>
        </w:numPr>
        <w:ind w:left="1134"/>
        <w:rPr>
          <w:lang w:val="en-US"/>
        </w:rPr>
      </w:pPr>
      <w:hyperlink r:id="rId19" w:anchor="v=onepage&amp;q&amp;f=false" w:history="1">
        <w:r w:rsidR="00C171E7" w:rsidRPr="00BA1D2D">
          <w:rPr>
            <w:lang w:val="en-US"/>
          </w:rPr>
          <w:t>http://books.google.co.uk/books?id=DgJekXyACmgC&amp;lpg=PP1&amp;ots=hkpWfHw2AI&amp;dq=Ethiopian%20Christian%20liturgical%20chant%3A%20an%20anthology&amp;pg=PP1#v=onepage&amp;q&amp;f=false</w:t>
        </w:r>
      </w:hyperlink>
    </w:p>
    <w:p w:rsidR="00C171E7" w:rsidRPr="00971297" w:rsidRDefault="00C171E7" w:rsidP="00C41D44">
      <w:pPr>
        <w:pStyle w:val="diapo2"/>
        <w:rPr>
          <w:lang w:val="fr-FR"/>
        </w:rPr>
      </w:pPr>
      <w:r w:rsidRPr="00971297">
        <w:rPr>
          <w:lang w:val="fr-FR"/>
        </w:rPr>
        <w:t>Exercice (10 minutes) : domaines</w:t>
      </w:r>
    </w:p>
    <w:p w:rsidR="00C171E7" w:rsidRPr="00971297" w:rsidRDefault="00031154" w:rsidP="00C41D44">
      <w:pPr>
        <w:pStyle w:val="Texte1"/>
      </w:pPr>
      <w:r w:rsidRPr="00031154">
        <w:rPr>
          <w:noProof/>
          <w:kern w:val="28"/>
          <w:lang w:val="es-ES_tradnl" w:eastAsia="es-ES_tradnl"/>
        </w:rPr>
        <w:drawing>
          <wp:anchor distT="0" distB="0" distL="114300" distR="114300" simplePos="0" relativeHeight="251716096" behindDoc="0" locked="0" layoutInCell="1" allowOverlap="1" wp14:anchorId="0131781F" wp14:editId="61D9DC48">
            <wp:simplePos x="0" y="0"/>
            <wp:positionH relativeFrom="margin">
              <wp:align>left</wp:align>
            </wp:positionH>
            <wp:positionV relativeFrom="paragraph">
              <wp:posOffset>15875</wp:posOffset>
            </wp:positionV>
            <wp:extent cx="294640" cy="347345"/>
            <wp:effectExtent l="0" t="0" r="0" b="0"/>
            <wp:wrapNone/>
            <wp:docPr id="6" name="Picture 6"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1E7" w:rsidRPr="00031154">
        <w:t xml:space="preserve">Cet exercice </w:t>
      </w:r>
      <w:r w:rsidR="00C171E7" w:rsidRPr="00971297">
        <w:t>illustre l</w:t>
      </w:r>
      <w:r w:rsidR="00BE4139" w:rsidRPr="00971297">
        <w:t>a diversité d</w:t>
      </w:r>
      <w:r w:rsidR="00C171E7" w:rsidRPr="00971297">
        <w:t>es mo</w:t>
      </w:r>
      <w:r w:rsidR="00BE4139" w:rsidRPr="00971297">
        <w:t>de</w:t>
      </w:r>
      <w:r w:rsidR="00C171E7" w:rsidRPr="00971297">
        <w:t xml:space="preserve">s </w:t>
      </w:r>
      <w:r w:rsidR="00BE4139" w:rsidRPr="00971297">
        <w:t>de classification des éléments du PCI</w:t>
      </w:r>
      <w:r w:rsidR="00C171E7" w:rsidRPr="00971297">
        <w:t xml:space="preserve">. </w:t>
      </w:r>
      <w:r w:rsidR="00BE4139" w:rsidRPr="00971297">
        <w:t xml:space="preserve">Il </w:t>
      </w:r>
      <w:r w:rsidR="00AE7BF0" w:rsidRPr="00971297">
        <w:t>faudrait demander aux</w:t>
      </w:r>
      <w:r w:rsidR="00C171E7" w:rsidRPr="00971297">
        <w:t xml:space="preserve"> participants de citer </w:t>
      </w:r>
      <w:r w:rsidR="00AE7BF0" w:rsidRPr="00971297">
        <w:t>plusieurs</w:t>
      </w:r>
      <w:r w:rsidR="00C171E7" w:rsidRPr="00971297">
        <w:t xml:space="preserve"> exemples d</w:t>
      </w:r>
      <w:r w:rsidR="001F7A0A" w:rsidRPr="00971297">
        <w:t>’</w:t>
      </w:r>
      <w:r w:rsidR="00C171E7" w:rsidRPr="00971297">
        <w:t xml:space="preserve">éléments du </w:t>
      </w:r>
      <w:r w:rsidR="00C878EE" w:rsidRPr="00971297">
        <w:t>patrimoine</w:t>
      </w:r>
      <w:r w:rsidR="00C171E7" w:rsidRPr="00971297">
        <w:t xml:space="preserve"> immatériel et voir s</w:t>
      </w:r>
      <w:r w:rsidR="001F7A0A" w:rsidRPr="00971297">
        <w:t>’</w:t>
      </w:r>
      <w:r w:rsidR="00AE7BF0" w:rsidRPr="00971297">
        <w:t>ils arrivent à s’entendre</w:t>
      </w:r>
      <w:r w:rsidR="00C171E7" w:rsidRPr="00971297">
        <w:t xml:space="preserve"> sur un ou plusieurs domaines (soit ceux utilisés dans la Convention, soit d</w:t>
      </w:r>
      <w:r w:rsidR="001F7A0A" w:rsidRPr="00971297">
        <w:t>’</w:t>
      </w:r>
      <w:r w:rsidR="00C171E7" w:rsidRPr="00971297">
        <w:t xml:space="preserve">autres) </w:t>
      </w:r>
      <w:r w:rsidR="00AE7BF0" w:rsidRPr="00971297">
        <w:t>où c</w:t>
      </w:r>
      <w:r w:rsidR="00C171E7" w:rsidRPr="00971297">
        <w:t>es él</w:t>
      </w:r>
      <w:r w:rsidR="00AE7BF0" w:rsidRPr="00971297">
        <w:t>éments seraient susceptibles d’</w:t>
      </w:r>
      <w:r w:rsidR="00C171E7" w:rsidRPr="00971297">
        <w:t xml:space="preserve">être classés. Le facilitateur peut </w:t>
      </w:r>
      <w:r w:rsidR="00AF4B50" w:rsidRPr="00971297">
        <w:t>aussi</w:t>
      </w:r>
      <w:r w:rsidR="00C171E7" w:rsidRPr="00971297">
        <w:t xml:space="preserve"> présenter un ou plusieurs éléments du PCI et demander aux participants de déterminer à quels domaines cités dans la Convention ils pourraient appartenir. Les deux diapositives suivantes peuvent être utilisées pour cet exercice.</w:t>
      </w:r>
    </w:p>
    <w:p w:rsidR="00C171E7" w:rsidRPr="00971297" w:rsidRDefault="00C171E7" w:rsidP="00C41D44">
      <w:pPr>
        <w:pStyle w:val="Soustitre"/>
      </w:pPr>
      <w:r w:rsidRPr="00971297">
        <w:t>Remarque sur la classification du PCI en domaines</w:t>
      </w:r>
    </w:p>
    <w:p w:rsidR="00C171E7" w:rsidRPr="00971297" w:rsidRDefault="00C171E7" w:rsidP="00C41D44">
      <w:pPr>
        <w:pStyle w:val="Texte1"/>
      </w:pPr>
      <w:r w:rsidRPr="00971297">
        <w:t xml:space="preserve">Le facilitateur doit rappeler aux participants que la classification des éléments du PCI en domaines dans la Convention </w:t>
      </w:r>
      <w:r w:rsidR="005C7272" w:rsidRPr="00971297">
        <w:t>n’</w:t>
      </w:r>
      <w:r w:rsidRPr="00971297">
        <w:t xml:space="preserve">est explicitement </w:t>
      </w:r>
      <w:r w:rsidR="005C7272" w:rsidRPr="00971297">
        <w:t>pas</w:t>
      </w:r>
      <w:r w:rsidRPr="00971297">
        <w:t xml:space="preserve"> exhaustive. Les Éta</w:t>
      </w:r>
      <w:r w:rsidR="005C7272" w:rsidRPr="00971297">
        <w:t>ts parties ayant établi leur propre système</w:t>
      </w:r>
      <w:r w:rsidRPr="00971297">
        <w:t xml:space="preserve"> de classification ont souvent ajouté un o</w:t>
      </w:r>
      <w:r w:rsidR="00A6235B" w:rsidRPr="00971297">
        <w:t>u plusieurs domaines aux Listes</w:t>
      </w:r>
      <w:r w:rsidRPr="00971297">
        <w:t xml:space="preserve"> ou </w:t>
      </w:r>
      <w:r w:rsidR="00352186" w:rsidRPr="00971297">
        <w:t>y</w:t>
      </w:r>
      <w:r w:rsidRPr="00971297">
        <w:t xml:space="preserve"> ont </w:t>
      </w:r>
      <w:r w:rsidR="00352186" w:rsidRPr="00971297">
        <w:t xml:space="preserve">apporté d’autres </w:t>
      </w:r>
      <w:r w:rsidR="00A6235B" w:rsidRPr="00971297">
        <w:t>adapt</w:t>
      </w:r>
      <w:r w:rsidR="00352186" w:rsidRPr="00971297">
        <w:t>ations</w:t>
      </w:r>
      <w:r w:rsidRPr="00971297">
        <w:t>. Les domaines cités dans la Convention ne s</w:t>
      </w:r>
      <w:r w:rsidR="001F7A0A" w:rsidRPr="00971297">
        <w:t>’</w:t>
      </w:r>
      <w:r w:rsidRPr="00971297">
        <w:t>excluent d</w:t>
      </w:r>
      <w:r w:rsidR="001F7A0A" w:rsidRPr="00971297">
        <w:t>’</w:t>
      </w:r>
      <w:r w:rsidRPr="00971297">
        <w:t xml:space="preserve">ailleurs pas </w:t>
      </w:r>
      <w:r w:rsidR="00352186" w:rsidRPr="00971297">
        <w:t>mutuellement</w:t>
      </w:r>
      <w:r w:rsidRPr="00971297">
        <w:t xml:space="preserve"> : un </w:t>
      </w:r>
      <w:r w:rsidR="0024596F" w:rsidRPr="00971297">
        <w:t>même élément peut</w:t>
      </w:r>
      <w:r w:rsidRPr="00971297">
        <w:t xml:space="preserve"> appartenir à plusieurs de ces domaines. Il existe</w:t>
      </w:r>
      <w:r w:rsidR="00B879D3" w:rsidRPr="00971297">
        <w:t>,</w:t>
      </w:r>
      <w:r w:rsidRPr="00971297">
        <w:t xml:space="preserve"> bien sûr</w:t>
      </w:r>
      <w:r w:rsidR="00B879D3" w:rsidRPr="00971297">
        <w:t>,</w:t>
      </w:r>
      <w:r w:rsidRPr="00971297">
        <w:t xml:space="preserve"> de nombreuses manières de classer les éléments du PCI, </w:t>
      </w:r>
      <w:r w:rsidR="00B879D3" w:rsidRPr="00971297">
        <w:t>utilis</w:t>
      </w:r>
      <w:r w:rsidR="0024596F" w:rsidRPr="00971297">
        <w:t>ées</w:t>
      </w:r>
      <w:r w:rsidRPr="00971297">
        <w:t xml:space="preserve"> dans </w:t>
      </w:r>
      <w:r w:rsidR="00C27048">
        <w:t>l</w:t>
      </w:r>
      <w:r w:rsidR="003C5701" w:rsidRPr="00971297">
        <w:t xml:space="preserve">es </w:t>
      </w:r>
      <w:r w:rsidR="00C27048">
        <w:t>milieux</w:t>
      </w:r>
      <w:r w:rsidR="003C5701" w:rsidRPr="00971297">
        <w:t xml:space="preserve"> académiques</w:t>
      </w:r>
      <w:r w:rsidRPr="00971297">
        <w:t xml:space="preserve">. </w:t>
      </w:r>
      <w:r w:rsidR="003C5701" w:rsidRPr="00971297">
        <w:t>Très souvent</w:t>
      </w:r>
      <w:r w:rsidRPr="00971297">
        <w:t>, ces classifications n</w:t>
      </w:r>
      <w:r w:rsidR="00C27048">
        <w:t>e signifient rien</w:t>
      </w:r>
      <w:r w:rsidRPr="00971297">
        <w:t xml:space="preserve"> </w:t>
      </w:r>
      <w:r w:rsidR="0024596F" w:rsidRPr="00971297">
        <w:t>aux yeux d</w:t>
      </w:r>
      <w:r w:rsidRPr="00971297">
        <w:t>es communautés qui doivent être impliquées dans l</w:t>
      </w:r>
      <w:r w:rsidR="001F7A0A" w:rsidRPr="00971297">
        <w:t>’</w:t>
      </w:r>
      <w:r w:rsidRPr="00971297">
        <w:t xml:space="preserve">identification, la définition et la gestion de leur PCI. </w:t>
      </w:r>
      <w:r w:rsidR="00602B91" w:rsidRPr="00971297">
        <w:t>E</w:t>
      </w:r>
      <w:r w:rsidRPr="00971297">
        <w:t>lles ne contribuent pas non plus nécess</w:t>
      </w:r>
      <w:r w:rsidR="00602B91" w:rsidRPr="00971297">
        <w:t>airement à la sauvegarde du PCI</w:t>
      </w:r>
      <w:r w:rsidRPr="00971297">
        <w:t xml:space="preserve"> qui demeure le principal objectif de la Convention. Il </w:t>
      </w:r>
      <w:r w:rsidR="007A7C11" w:rsidRPr="00971297">
        <w:t xml:space="preserve">convient </w:t>
      </w:r>
      <w:r w:rsidR="00602B91" w:rsidRPr="00971297">
        <w:t xml:space="preserve">donc </w:t>
      </w:r>
      <w:r w:rsidR="007A7C11" w:rsidRPr="00971297">
        <w:t xml:space="preserve">de ne </w:t>
      </w:r>
      <w:r w:rsidRPr="00971297">
        <w:t xml:space="preserve">pas </w:t>
      </w:r>
      <w:r w:rsidR="001E7A7C" w:rsidRPr="00971297">
        <w:t>accorder trop d’importance à</w:t>
      </w:r>
      <w:r w:rsidRPr="00971297">
        <w:t xml:space="preserve"> l</w:t>
      </w:r>
      <w:r w:rsidR="001F7A0A" w:rsidRPr="00971297">
        <w:t>’</w:t>
      </w:r>
      <w:r w:rsidRPr="00971297">
        <w:t>invention de systèmes de classification compliqués dans le cadre de la mise en œuvre de la Convention au niveau national.</w:t>
      </w:r>
    </w:p>
    <w:p w:rsidR="00C171E7" w:rsidRPr="00971297" w:rsidRDefault="00C171E7" w:rsidP="00512F0E">
      <w:pPr>
        <w:pStyle w:val="Heading6"/>
        <w:rPr>
          <w:lang w:val="fr-FR"/>
        </w:rPr>
      </w:pPr>
      <w:r w:rsidRPr="00971297">
        <w:rPr>
          <w:lang w:val="fr-FR"/>
        </w:rPr>
        <w:t>Diapositive 12</w:t>
      </w:r>
      <w:r w:rsidR="00A6235B" w:rsidRPr="00971297">
        <w:rPr>
          <w:lang w:val="fr-FR"/>
        </w:rPr>
        <w:t>.</w:t>
      </w:r>
    </w:p>
    <w:p w:rsidR="00C171E7" w:rsidRPr="00971297" w:rsidRDefault="00C171E7" w:rsidP="00C41D44">
      <w:pPr>
        <w:pStyle w:val="diapo2"/>
        <w:rPr>
          <w:lang w:val="fr-FR"/>
        </w:rPr>
      </w:pPr>
      <w:r w:rsidRPr="00971297">
        <w:rPr>
          <w:lang w:val="fr-FR"/>
        </w:rPr>
        <w:t xml:space="preserve">Le </w:t>
      </w:r>
      <w:proofErr w:type="spellStart"/>
      <w:r w:rsidRPr="00971297">
        <w:rPr>
          <w:lang w:val="fr-FR"/>
        </w:rPr>
        <w:t>Hudhud</w:t>
      </w:r>
      <w:proofErr w:type="spellEnd"/>
      <w:r w:rsidRPr="00971297">
        <w:rPr>
          <w:lang w:val="fr-FR"/>
        </w:rPr>
        <w:t xml:space="preserve">, récits chantés des </w:t>
      </w:r>
      <w:proofErr w:type="spellStart"/>
      <w:r w:rsidRPr="00971297">
        <w:rPr>
          <w:lang w:val="fr-FR"/>
        </w:rPr>
        <w:t>Ifugao</w:t>
      </w:r>
      <w:proofErr w:type="spellEnd"/>
      <w:r w:rsidR="008C6936" w:rsidRPr="00971297">
        <w:rPr>
          <w:lang w:val="fr-FR"/>
        </w:rPr>
        <w:t xml:space="preserve"> (Philippines)</w:t>
      </w:r>
    </w:p>
    <w:p w:rsidR="00C171E7" w:rsidRPr="00971297" w:rsidRDefault="00A6235B" w:rsidP="008C480D">
      <w:pPr>
        <w:pStyle w:val="Texte1"/>
      </w:pPr>
      <w:r w:rsidRPr="00971297">
        <w:t>Beaucoup</w:t>
      </w:r>
      <w:r w:rsidR="00C171E7" w:rsidRPr="00971297">
        <w:t xml:space="preserve"> </w:t>
      </w:r>
      <w:r w:rsidRPr="00971297">
        <w:t>d’</w:t>
      </w:r>
      <w:r w:rsidR="00C171E7" w:rsidRPr="00971297">
        <w:t xml:space="preserve">éléments du </w:t>
      </w:r>
      <w:r w:rsidR="00C878EE" w:rsidRPr="00971297">
        <w:t>patrimoine</w:t>
      </w:r>
      <w:r w:rsidR="00C171E7" w:rsidRPr="00971297">
        <w:t xml:space="preserve"> </w:t>
      </w:r>
      <w:r w:rsidR="004F088C" w:rsidRPr="00971297">
        <w:t xml:space="preserve">culturel </w:t>
      </w:r>
      <w:r w:rsidR="00C171E7" w:rsidRPr="00971297">
        <w:t xml:space="preserve">immatériel pourraient être classés dans un certain nombre de domaines. On peut citer </w:t>
      </w:r>
      <w:r w:rsidR="004F088C" w:rsidRPr="00971297">
        <w:t>l</w:t>
      </w:r>
      <w:r w:rsidR="001F7A0A" w:rsidRPr="00971297">
        <w:t>’</w:t>
      </w:r>
      <w:r w:rsidR="004F088C" w:rsidRPr="00971297">
        <w:t>exemple du</w:t>
      </w:r>
      <w:r w:rsidR="00C171E7" w:rsidRPr="00971297">
        <w:t xml:space="preserve"> « </w:t>
      </w:r>
      <w:proofErr w:type="spellStart"/>
      <w:r w:rsidR="00C171E7" w:rsidRPr="00971297">
        <w:t>Hudhud</w:t>
      </w:r>
      <w:proofErr w:type="spellEnd"/>
      <w:r w:rsidR="00C171E7" w:rsidRPr="00971297">
        <w:t xml:space="preserve">, récits chantés des </w:t>
      </w:r>
      <w:proofErr w:type="spellStart"/>
      <w:r w:rsidR="00C171E7" w:rsidRPr="00971297">
        <w:t>Ifugao</w:t>
      </w:r>
      <w:proofErr w:type="spellEnd"/>
      <w:r w:rsidR="00C171E7" w:rsidRPr="00971297">
        <w:t> » (Philippines), in</w:t>
      </w:r>
      <w:r w:rsidRPr="00971297">
        <w:t>tégré dans</w:t>
      </w:r>
      <w:r w:rsidR="00C171E7" w:rsidRPr="00971297">
        <w:t xml:space="preserve"> la </w:t>
      </w:r>
      <w:r w:rsidR="00394043" w:rsidRPr="00971297">
        <w:t>L</w:t>
      </w:r>
      <w:r w:rsidRPr="00971297">
        <w:t>R</w:t>
      </w:r>
      <w:r w:rsidR="00C171E7" w:rsidRPr="00971297">
        <w:t xml:space="preserve"> en 2008</w:t>
      </w:r>
      <w:r w:rsidRPr="00971297">
        <w:t xml:space="preserve"> à partir d</w:t>
      </w:r>
      <w:r w:rsidR="006547A3" w:rsidRPr="00971297">
        <w:t>e l’ancien</w:t>
      </w:r>
      <w:r w:rsidRPr="00971297">
        <w:t xml:space="preserve"> programme</w:t>
      </w:r>
      <w:r w:rsidR="004F088C" w:rsidRPr="00971297">
        <w:t xml:space="preserve"> des C</w:t>
      </w:r>
      <w:r w:rsidRPr="00971297">
        <w:t>hefs-d’</w:t>
      </w:r>
      <w:r w:rsidR="0067550F" w:rsidRPr="00971297">
        <w:t>œuvre</w:t>
      </w:r>
      <w:r w:rsidR="006547A3" w:rsidRPr="00971297">
        <w:t>, qu</w:t>
      </w:r>
      <w:r w:rsidR="001C6758">
        <w:t>i</w:t>
      </w:r>
      <w:r w:rsidR="00C171E7" w:rsidRPr="00971297">
        <w:t xml:space="preserve"> pourrait </w:t>
      </w:r>
      <w:r w:rsidR="001C6758">
        <w:t xml:space="preserve">se </w:t>
      </w:r>
      <w:r w:rsidR="00C171E7" w:rsidRPr="00971297">
        <w:t xml:space="preserve">classer dans la catégorie des expressions orales </w:t>
      </w:r>
      <w:r w:rsidR="006547A3" w:rsidRPr="00971297">
        <w:t>comme</w:t>
      </w:r>
      <w:r w:rsidR="00C171E7" w:rsidRPr="00971297">
        <w:t xml:space="preserve"> dans celle des pratiques rituelles ou des connaissances </w:t>
      </w:r>
      <w:r w:rsidR="001C6758">
        <w:t>sur</w:t>
      </w:r>
      <w:r w:rsidR="00C171E7" w:rsidRPr="00971297">
        <w:t xml:space="preserve"> la nature et l</w:t>
      </w:r>
      <w:r w:rsidR="001F7A0A" w:rsidRPr="00971297">
        <w:t>’</w:t>
      </w:r>
      <w:r w:rsidR="00C171E7" w:rsidRPr="00971297">
        <w:t>univers.</w:t>
      </w:r>
      <w:r w:rsidR="008C480D" w:rsidRPr="00971297">
        <w:t xml:space="preserve"> </w:t>
      </w:r>
      <w:r w:rsidR="00C171E7" w:rsidRPr="00971297">
        <w:t xml:space="preserve">Se référer </w:t>
      </w:r>
      <w:r w:rsidR="008C6936" w:rsidRPr="00971297">
        <w:t xml:space="preserve">au </w:t>
      </w:r>
      <w:r w:rsidR="00377B1E" w:rsidRPr="00971297">
        <w:t>Texte du participant</w:t>
      </w:r>
      <w:r w:rsidR="008C6936" w:rsidRPr="00971297">
        <w:t xml:space="preserve"> de l’Unité 3</w:t>
      </w:r>
      <w:r w:rsidR="008C480D" w:rsidRPr="00971297">
        <w:t xml:space="preserve"> et </w:t>
      </w:r>
      <w:r w:rsidR="00377B1E" w:rsidRPr="00971297">
        <w:t>à l</w:t>
      </w:r>
      <w:r w:rsidR="001F7A0A" w:rsidRPr="00971297">
        <w:t>’</w:t>
      </w:r>
      <w:r w:rsidR="00377B1E" w:rsidRPr="00971297">
        <w:t xml:space="preserve">Étude </w:t>
      </w:r>
      <w:r w:rsidR="00C171E7" w:rsidRPr="00971297">
        <w:t>de cas 33.</w:t>
      </w:r>
    </w:p>
    <w:p w:rsidR="00C171E7" w:rsidRPr="00031154" w:rsidRDefault="00031154" w:rsidP="00031154">
      <w:pPr>
        <w:pStyle w:val="Informations"/>
      </w:pPr>
      <w:r w:rsidRPr="00031154">
        <w:rPr>
          <w:noProof/>
          <w:lang w:val="es-ES_tradnl" w:eastAsia="es-ES_tradnl"/>
        </w:rPr>
        <w:drawing>
          <wp:anchor distT="0" distB="0" distL="114300" distR="114300" simplePos="0" relativeHeight="251718144" behindDoc="0" locked="1" layoutInCell="1" allowOverlap="0" wp14:anchorId="7DE497A3" wp14:editId="459A3995">
            <wp:simplePos x="0" y="0"/>
            <wp:positionH relativeFrom="margin">
              <wp:align>left</wp:align>
            </wp:positionH>
            <wp:positionV relativeFrom="paragraph">
              <wp:posOffset>-67945</wp:posOffset>
            </wp:positionV>
            <wp:extent cx="273685" cy="34671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8C480D" w:rsidRPr="00031154">
        <w:t xml:space="preserve">Voir : </w:t>
      </w:r>
      <w:hyperlink r:id="rId20" w:history="1">
        <w:r w:rsidR="008C480D" w:rsidRPr="00031154">
          <w:rPr>
            <w:rStyle w:val="Hyperlink"/>
            <w:color w:val="3366FF"/>
            <w:u w:val="none"/>
          </w:rPr>
          <w:t>http://www.unesco.org/culture/ich/en/RL00015</w:t>
        </w:r>
      </w:hyperlink>
    </w:p>
    <w:p w:rsidR="00C171E7" w:rsidRPr="00971297" w:rsidRDefault="00C171E7" w:rsidP="00512F0E">
      <w:pPr>
        <w:pStyle w:val="Heading6"/>
        <w:rPr>
          <w:lang w:val="fr-FR"/>
        </w:rPr>
      </w:pPr>
      <w:r w:rsidRPr="00971297">
        <w:rPr>
          <w:lang w:val="fr-FR"/>
        </w:rPr>
        <w:t>Diapositive 13</w:t>
      </w:r>
      <w:r w:rsidR="008C480D" w:rsidRPr="00971297">
        <w:rPr>
          <w:lang w:val="fr-FR"/>
        </w:rPr>
        <w:t>.</w:t>
      </w:r>
    </w:p>
    <w:p w:rsidR="00C171E7" w:rsidRPr="00971297" w:rsidRDefault="00C171E7" w:rsidP="00C41D44">
      <w:pPr>
        <w:pStyle w:val="diapo2"/>
        <w:rPr>
          <w:lang w:val="fr-FR"/>
        </w:rPr>
      </w:pPr>
      <w:r w:rsidRPr="00971297">
        <w:rPr>
          <w:lang w:val="fr-FR"/>
        </w:rPr>
        <w:t>Les dessins sur le sable de Vanuatu</w:t>
      </w:r>
    </w:p>
    <w:p w:rsidR="00C171E7" w:rsidRPr="00971297" w:rsidRDefault="00C171E7" w:rsidP="00C41D44">
      <w:pPr>
        <w:pStyle w:val="Texte1"/>
      </w:pPr>
      <w:r w:rsidRPr="00971297">
        <w:t>Lorsqu</w:t>
      </w:r>
      <w:r w:rsidR="001F7A0A" w:rsidRPr="00971297">
        <w:t>’</w:t>
      </w:r>
      <w:r w:rsidRPr="00971297">
        <w:t xml:space="preserve">on parle du PCI, les interprétations orales et musicales, les danses, les fêtes rituelles et publiques occupent souvent le devant de la scène. Le PCI </w:t>
      </w:r>
      <w:r w:rsidR="00DD1A57" w:rsidRPr="00971297">
        <w:t>co</w:t>
      </w:r>
      <w:r w:rsidR="00472E19" w:rsidRPr="00971297">
        <w:t>uvre</w:t>
      </w:r>
      <w:r w:rsidRPr="00971297">
        <w:t xml:space="preserve"> </w:t>
      </w:r>
      <w:r w:rsidR="00472E19" w:rsidRPr="00971297">
        <w:t>aussi</w:t>
      </w:r>
      <w:r w:rsidRPr="00971297">
        <w:t xml:space="preserve"> les pratiques sociales, les connaissances </w:t>
      </w:r>
      <w:r w:rsidR="00DD1A57" w:rsidRPr="00971297">
        <w:t>sur</w:t>
      </w:r>
      <w:r w:rsidRPr="00971297">
        <w:t xml:space="preserve"> la nature et l</w:t>
      </w:r>
      <w:r w:rsidR="001F7A0A" w:rsidRPr="00971297">
        <w:t>’</w:t>
      </w:r>
      <w:r w:rsidR="00472E19" w:rsidRPr="00971297">
        <w:t>univers,</w:t>
      </w:r>
      <w:r w:rsidRPr="00971297">
        <w:t xml:space="preserve"> les savoir-faire et l</w:t>
      </w:r>
      <w:r w:rsidR="001F7A0A" w:rsidRPr="00971297">
        <w:t>’</w:t>
      </w:r>
      <w:r w:rsidRPr="00971297">
        <w:t xml:space="preserve">artisanat. En outre, il </w:t>
      </w:r>
      <w:r w:rsidR="00472E19" w:rsidRPr="00971297">
        <w:t>englobe</w:t>
      </w:r>
      <w:r w:rsidRPr="00971297">
        <w:t xml:space="preserve"> les jeux traditionnels, domaine qui n</w:t>
      </w:r>
      <w:r w:rsidR="001F7A0A" w:rsidRPr="00971297">
        <w:t>’</w:t>
      </w:r>
      <w:r w:rsidRPr="00971297">
        <w:t>est pas cité</w:t>
      </w:r>
      <w:r w:rsidR="000B29AF">
        <w:t xml:space="preserve"> dans la Convention mais qui apparaît</w:t>
      </w:r>
      <w:r w:rsidRPr="00971297">
        <w:t xml:space="preserve"> dans certains inventaires au niveau national.</w:t>
      </w:r>
    </w:p>
    <w:p w:rsidR="00C171E7" w:rsidRPr="00971297" w:rsidRDefault="002C33F1" w:rsidP="00C41D44">
      <w:pPr>
        <w:pStyle w:val="Texte1"/>
      </w:pPr>
      <w:r w:rsidRPr="00971297">
        <w:t>« </w:t>
      </w:r>
      <w:r w:rsidR="00C171E7" w:rsidRPr="00971297">
        <w:t>Les dessins sur le sable de Vanuatu</w:t>
      </w:r>
      <w:r w:rsidRPr="00971297">
        <w:t> »</w:t>
      </w:r>
      <w:r w:rsidR="00C171E7" w:rsidRPr="00971297">
        <w:t xml:space="preserve"> in</w:t>
      </w:r>
      <w:r w:rsidR="008C480D" w:rsidRPr="00971297">
        <w:t>tégrés dans</w:t>
      </w:r>
      <w:r w:rsidR="00C171E7" w:rsidRPr="00971297">
        <w:t xml:space="preserve"> la </w:t>
      </w:r>
      <w:r w:rsidR="00394043" w:rsidRPr="00971297">
        <w:t>L</w:t>
      </w:r>
      <w:r w:rsidR="008C480D" w:rsidRPr="00971297">
        <w:t>R</w:t>
      </w:r>
      <w:r w:rsidR="00C171E7" w:rsidRPr="00971297">
        <w:t xml:space="preserve"> en 2008</w:t>
      </w:r>
      <w:r w:rsidR="008C480D" w:rsidRPr="00971297">
        <w:t xml:space="preserve"> à partir de l’ancien programme des Chefs-d’œuvre</w:t>
      </w:r>
      <w:r w:rsidR="00C171E7" w:rsidRPr="00971297">
        <w:t>, sont un autre exemple d</w:t>
      </w:r>
      <w:r w:rsidR="001F7A0A" w:rsidRPr="00971297">
        <w:t>’</w:t>
      </w:r>
      <w:r w:rsidR="00C171E7" w:rsidRPr="00971297">
        <w:t>élément relevant de plusieurs domaines.</w:t>
      </w:r>
    </w:p>
    <w:p w:rsidR="00C171E7" w:rsidRPr="00971297" w:rsidRDefault="00C171E7" w:rsidP="00C41D44">
      <w:pPr>
        <w:pStyle w:val="Texte1"/>
      </w:pPr>
      <w:r w:rsidRPr="00971297">
        <w:t>Cette tradition graphique, riche et dynamique, est devenue un moyen de communication e</w:t>
      </w:r>
      <w:r w:rsidR="00C64E1A">
        <w:t>ntre les membres de</w:t>
      </w:r>
      <w:r w:rsidR="008C480D" w:rsidRPr="00971297">
        <w:t xml:space="preserve"> quelque quatre-vingts </w:t>
      </w:r>
      <w:r w:rsidRPr="00971297">
        <w:t xml:space="preserve">groupes ethnolinguistiques différents qui vivent dans les îles du centre et du nord de Vanuatu. Elle </w:t>
      </w:r>
      <w:r w:rsidR="000C6EA8" w:rsidRPr="00971297">
        <w:t xml:space="preserve">se pratique encore de nos </w:t>
      </w:r>
      <w:r w:rsidRPr="00971297">
        <w:t>jour</w:t>
      </w:r>
      <w:r w:rsidR="000C6EA8" w:rsidRPr="00971297">
        <w:t>s</w:t>
      </w:r>
      <w:r w:rsidRPr="00971297">
        <w:t xml:space="preserve">, </w:t>
      </w:r>
      <w:r w:rsidR="000C6EA8" w:rsidRPr="00971297">
        <w:t>même si elle est</w:t>
      </w:r>
      <w:r w:rsidRPr="00971297">
        <w:t xml:space="preserve"> moins </w:t>
      </w:r>
      <w:r w:rsidR="000C6EA8" w:rsidRPr="00971297">
        <w:t>fréquente que par le passé</w:t>
      </w:r>
      <w:r w:rsidRPr="00971297">
        <w:t xml:space="preserve">, et de nouvelles méthodes sont désormais </w:t>
      </w:r>
      <w:r w:rsidR="00C64E1A">
        <w:t xml:space="preserve">en usage </w:t>
      </w:r>
      <w:r w:rsidR="007D7B2A">
        <w:t>pour transmettre c</w:t>
      </w:r>
      <w:r w:rsidRPr="00971297">
        <w:t>e savoir-faire aux plus jeunes membres de la communauté. Plus qu</w:t>
      </w:r>
      <w:r w:rsidR="001F7A0A" w:rsidRPr="00971297">
        <w:t>’</w:t>
      </w:r>
      <w:r w:rsidRPr="00971297">
        <w:t xml:space="preserve">une expression artistique </w:t>
      </w:r>
      <w:r w:rsidR="00895374" w:rsidRPr="00971297">
        <w:t>indigè</w:t>
      </w:r>
      <w:r w:rsidRPr="00971297">
        <w:t>ne, cette « écriture » multifonction intervient dans de nombreux contextes : rituels, contemplation et communication.</w:t>
      </w:r>
    </w:p>
    <w:p w:rsidR="00C171E7" w:rsidRPr="00971297" w:rsidRDefault="00C171E7" w:rsidP="00C41D44">
      <w:pPr>
        <w:pStyle w:val="Texte1"/>
      </w:pPr>
      <w:r w:rsidRPr="00971297">
        <w:t>Les dessins sont exécutés directement sur le sol, dans le sable, la cendre volcanique ou l</w:t>
      </w:r>
      <w:r w:rsidR="001F7A0A" w:rsidRPr="00971297">
        <w:t>’</w:t>
      </w:r>
      <w:r w:rsidRPr="00971297">
        <w:t>argile. À l</w:t>
      </w:r>
      <w:r w:rsidR="001F7A0A" w:rsidRPr="00971297">
        <w:t>’</w:t>
      </w:r>
      <w:r w:rsidRPr="00971297">
        <w:t>aide d</w:t>
      </w:r>
      <w:r w:rsidR="001F7A0A" w:rsidRPr="00971297">
        <w:t>’</w:t>
      </w:r>
      <w:r w:rsidRPr="00971297">
        <w:t>un doigt, le dessinateur trace une ligne continue qui se profile en arabesque selon un canevas imaginaire pour produire une composition harmonieuse, souvent symétrique, de motifs géométriques. Les dessins servent également d</w:t>
      </w:r>
      <w:r w:rsidR="001F7A0A" w:rsidRPr="00971297">
        <w:t>’</w:t>
      </w:r>
      <w:r w:rsidRPr="00971297">
        <w:t>outils mnémotechniques pour enregistrer et transmettre les rituels, les connaissances mythologiques et d</w:t>
      </w:r>
      <w:r w:rsidR="001F7A0A" w:rsidRPr="00971297">
        <w:t>’</w:t>
      </w:r>
      <w:r w:rsidRPr="00971297">
        <w:t>innombrables informations orales sur les histoires locales, les cosmologies, les systèmes de parenté, les cycles de chant, les techniques agricoles, la conception architecturale et artisanale et les styles chorégraphiques. La plupart des dessins sur le sable ont plusieurs fonctions et niveaux de significa</w:t>
      </w:r>
      <w:r w:rsidR="006E2321">
        <w:t>tion </w:t>
      </w:r>
      <w:r w:rsidRPr="00971297">
        <w:t>: ils peuvent être « lus » comme des œuvres artistiques, des sources d</w:t>
      </w:r>
      <w:r w:rsidR="001F7A0A" w:rsidRPr="00971297">
        <w:t>’</w:t>
      </w:r>
      <w:r w:rsidRPr="00971297">
        <w:t>information, des illustrations de récits, des signatures ou comme de simples messages et objets de contemplation. Un maître dans l</w:t>
      </w:r>
      <w:r w:rsidR="001F7A0A" w:rsidRPr="00971297">
        <w:t>’</w:t>
      </w:r>
      <w:r w:rsidRPr="00971297">
        <w:t xml:space="preserve">art du dessin sur le sable doit </w:t>
      </w:r>
      <w:r w:rsidR="00895374" w:rsidRPr="00971297">
        <w:t>donc</w:t>
      </w:r>
      <w:r w:rsidRPr="00971297">
        <w:t xml:space="preserve"> non seulement </w:t>
      </w:r>
      <w:r w:rsidR="006E2321" w:rsidRPr="00971297">
        <w:t xml:space="preserve">posséder </w:t>
      </w:r>
      <w:r w:rsidRPr="00971297">
        <w:t xml:space="preserve">une bonne connaissance des motifs graphiques, mais aussi comprendre pleinement leur signification. De </w:t>
      </w:r>
      <w:r w:rsidR="00895374" w:rsidRPr="00971297">
        <w:t>plus</w:t>
      </w:r>
      <w:r w:rsidRPr="00971297">
        <w:t>, il doit être capable d</w:t>
      </w:r>
      <w:r w:rsidR="001F7A0A" w:rsidRPr="00971297">
        <w:t>’</w:t>
      </w:r>
      <w:r w:rsidRPr="00971297">
        <w:t>expliquer la signification des dessins aux spectateurs.</w:t>
      </w:r>
    </w:p>
    <w:p w:rsidR="00C171E7" w:rsidRPr="00971297" w:rsidRDefault="00C171E7" w:rsidP="00C41D44">
      <w:pPr>
        <w:pStyle w:val="Texte1"/>
      </w:pPr>
      <w:r w:rsidRPr="00971297">
        <w:t>En tant que symboles attractifs de l</w:t>
      </w:r>
      <w:r w:rsidR="001F7A0A" w:rsidRPr="00971297">
        <w:t>’</w:t>
      </w:r>
      <w:r w:rsidRPr="00971297">
        <w:t xml:space="preserve">identité de Vanuatu, ces dessins sont souvent </w:t>
      </w:r>
      <w:r w:rsidR="00E0069F" w:rsidRPr="00971297">
        <w:t>présent</w:t>
      </w:r>
      <w:r w:rsidRPr="00971297">
        <w:t xml:space="preserve">és aux touristes </w:t>
      </w:r>
      <w:r w:rsidR="00E0069F" w:rsidRPr="00971297">
        <w:t xml:space="preserve">comme une sorte de folklore décoratif </w:t>
      </w:r>
      <w:r w:rsidRPr="00971297">
        <w:t xml:space="preserve">ou </w:t>
      </w:r>
      <w:r w:rsidR="00E0069F" w:rsidRPr="00971297">
        <w:t xml:space="preserve">exposés </w:t>
      </w:r>
      <w:r w:rsidRPr="00971297">
        <w:t>à d</w:t>
      </w:r>
      <w:r w:rsidR="001F7A0A" w:rsidRPr="00971297">
        <w:t>’</w:t>
      </w:r>
      <w:r w:rsidRPr="00971297">
        <w:t>autres fins commerciales. S</w:t>
      </w:r>
      <w:r w:rsidR="00E0069F" w:rsidRPr="00971297">
        <w:t>i elle n’est pas maîtrisée</w:t>
      </w:r>
      <w:r w:rsidRPr="00971297">
        <w:t>, cette tendance à ne considérer que l</w:t>
      </w:r>
      <w:r w:rsidR="001F7A0A" w:rsidRPr="00971297">
        <w:t>’</w:t>
      </w:r>
      <w:r w:rsidRPr="00971297">
        <w:t xml:space="preserve">aspect esthétique des dessins sur le sable pourrait faire perdre à la tradition sa signification symbolique plus profonde </w:t>
      </w:r>
      <w:r w:rsidR="00E0069F" w:rsidRPr="00971297">
        <w:t xml:space="preserve">et sa fonction sociale </w:t>
      </w:r>
      <w:r w:rsidRPr="00971297">
        <w:t>origine</w:t>
      </w:r>
      <w:r w:rsidR="00E0069F" w:rsidRPr="00971297">
        <w:t>lle</w:t>
      </w:r>
      <w:r w:rsidRPr="00971297">
        <w:t>.</w:t>
      </w:r>
    </w:p>
    <w:p w:rsidR="00C171E7" w:rsidRPr="00971297" w:rsidRDefault="00C171E7" w:rsidP="00850A23">
      <w:pPr>
        <w:pStyle w:val="Texte1"/>
      </w:pPr>
      <w:r w:rsidRPr="00971297">
        <w:t>Des mesures de sauvegarde sont désormais mises en œuvre, afin d</w:t>
      </w:r>
      <w:r w:rsidR="001F7A0A" w:rsidRPr="00971297">
        <w:t>’</w:t>
      </w:r>
      <w:r w:rsidRPr="00971297">
        <w:t>encourager la pratique du dessin sur le sable de manière profitable au sein des communautés concernées.</w:t>
      </w:r>
    </w:p>
    <w:p w:rsidR="00CC585D" w:rsidRPr="00031154" w:rsidRDefault="00031154" w:rsidP="00031154">
      <w:pPr>
        <w:pStyle w:val="Informations"/>
      </w:pPr>
      <w:r>
        <w:rPr>
          <w:noProof/>
          <w:color w:val="FF0000"/>
          <w:lang w:val="es-ES_tradnl" w:eastAsia="es-ES_tradnl"/>
        </w:rPr>
        <w:drawing>
          <wp:anchor distT="0" distB="0" distL="114300" distR="114300" simplePos="0" relativeHeight="251719168" behindDoc="0" locked="0" layoutInCell="1" allowOverlap="1" wp14:anchorId="489FDC39" wp14:editId="37D06168">
            <wp:simplePos x="0" y="0"/>
            <wp:positionH relativeFrom="margin">
              <wp:align>left</wp:align>
            </wp:positionH>
            <wp:positionV relativeFrom="paragraph">
              <wp:posOffset>-3810</wp:posOffset>
            </wp:positionV>
            <wp:extent cx="274320" cy="3473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 cy="347345"/>
                    </a:xfrm>
                    <a:prstGeom prst="rect">
                      <a:avLst/>
                    </a:prstGeom>
                    <a:noFill/>
                  </pic:spPr>
                </pic:pic>
              </a:graphicData>
            </a:graphic>
            <wp14:sizeRelH relativeFrom="page">
              <wp14:pctWidth>0</wp14:pctWidth>
            </wp14:sizeRelH>
            <wp14:sizeRelV relativeFrom="page">
              <wp14:pctHeight>0</wp14:pctHeight>
            </wp14:sizeRelV>
          </wp:anchor>
        </w:drawing>
      </w:r>
      <w:r w:rsidR="00850A23" w:rsidRPr="00031154">
        <w:t xml:space="preserve">Voir : </w:t>
      </w:r>
      <w:hyperlink r:id="rId22" w:history="1">
        <w:r w:rsidR="006E2321" w:rsidRPr="00031154">
          <w:rPr>
            <w:rStyle w:val="Hyperlink"/>
            <w:color w:val="3366FF"/>
            <w:u w:val="none"/>
          </w:rPr>
          <w:t>http://www.unesco.org/culture/ich/fr/RL=00073</w:t>
        </w:r>
      </w:hyperlink>
    </w:p>
    <w:p w:rsidR="00C171E7" w:rsidRPr="00971297" w:rsidRDefault="00C171E7">
      <w:pPr>
        <w:pStyle w:val="Heading6"/>
        <w:rPr>
          <w:lang w:val="fr-FR"/>
        </w:rPr>
      </w:pPr>
      <w:r w:rsidRPr="00971297">
        <w:rPr>
          <w:lang w:val="fr-FR"/>
        </w:rPr>
        <w:t>Diapositive 14</w:t>
      </w:r>
      <w:r w:rsidR="00672AB3" w:rsidRPr="00971297">
        <w:rPr>
          <w:lang w:val="fr-FR"/>
        </w:rPr>
        <w:t>.</w:t>
      </w:r>
    </w:p>
    <w:p w:rsidR="00C171E7" w:rsidRPr="00971297" w:rsidRDefault="00C171E7" w:rsidP="00BD4059">
      <w:pPr>
        <w:pStyle w:val="diapo2"/>
        <w:keepNext w:val="0"/>
        <w:keepLines w:val="0"/>
        <w:widowControl w:val="0"/>
        <w:rPr>
          <w:lang w:val="fr-FR"/>
        </w:rPr>
      </w:pPr>
      <w:r w:rsidRPr="00971297">
        <w:rPr>
          <w:lang w:val="fr-FR"/>
        </w:rPr>
        <w:t>Communautés, groupes et individus (sous-titre)</w:t>
      </w:r>
    </w:p>
    <w:p w:rsidR="00C171E7" w:rsidRPr="00971297" w:rsidRDefault="00C171E7" w:rsidP="00B322E1">
      <w:pPr>
        <w:pStyle w:val="Heading6"/>
        <w:rPr>
          <w:lang w:val="fr-FR"/>
        </w:rPr>
      </w:pPr>
      <w:r w:rsidRPr="00971297">
        <w:rPr>
          <w:lang w:val="fr-FR"/>
        </w:rPr>
        <w:t>Diapositive 15</w:t>
      </w:r>
      <w:r w:rsidR="00672AB3" w:rsidRPr="00971297">
        <w:rPr>
          <w:lang w:val="fr-FR"/>
        </w:rPr>
        <w:t>.</w:t>
      </w:r>
    </w:p>
    <w:p w:rsidR="00C171E7" w:rsidRPr="00971297" w:rsidRDefault="00C171E7" w:rsidP="00C41D44">
      <w:pPr>
        <w:pStyle w:val="diapo2"/>
        <w:rPr>
          <w:lang w:val="fr-FR"/>
        </w:rPr>
      </w:pPr>
      <w:r w:rsidRPr="00971297">
        <w:rPr>
          <w:lang w:val="fr-FR"/>
        </w:rPr>
        <w:t>Définir la communauté concernée</w:t>
      </w:r>
    </w:p>
    <w:p w:rsidR="00C171E7" w:rsidRPr="00971297" w:rsidRDefault="00C171E7" w:rsidP="00C41D44">
      <w:pPr>
        <w:pStyle w:val="Texte1"/>
      </w:pPr>
      <w:r w:rsidRPr="00971297">
        <w:t xml:space="preserve">Se référer </w:t>
      </w:r>
      <w:r w:rsidR="008C6936" w:rsidRPr="00971297">
        <w:t xml:space="preserve">au </w:t>
      </w:r>
      <w:r w:rsidR="00377B1E" w:rsidRPr="00971297">
        <w:t>Texte du participant</w:t>
      </w:r>
      <w:r w:rsidRPr="00971297">
        <w:t> </w:t>
      </w:r>
      <w:r w:rsidR="008C6936" w:rsidRPr="00971297">
        <w:t>de l’Unité 3 :</w:t>
      </w:r>
      <w:r w:rsidRPr="00971297">
        <w:t xml:space="preserve"> « Communautés, groupes et individus ».</w:t>
      </w:r>
    </w:p>
    <w:p w:rsidR="00C171E7" w:rsidRPr="00971297" w:rsidRDefault="00C171E7" w:rsidP="00C41D44">
      <w:pPr>
        <w:pStyle w:val="Texte1"/>
      </w:pPr>
      <w:r w:rsidRPr="00971297">
        <w:t xml:space="preserve">La Convention emploie à </w:t>
      </w:r>
      <w:r w:rsidR="006E2321">
        <w:t>de multipl</w:t>
      </w:r>
      <w:r w:rsidR="00672AB3" w:rsidRPr="00971297">
        <w:t>es</w:t>
      </w:r>
      <w:r w:rsidRPr="00971297">
        <w:t xml:space="preserve"> reprises les termes « communautés », « groupes » et, </w:t>
      </w:r>
      <w:r w:rsidR="007A72B1" w:rsidRPr="00971297">
        <w:t>parfois</w:t>
      </w:r>
      <w:r w:rsidRPr="00971297">
        <w:t xml:space="preserve">/le cas échéant, « individus », sans les définir </w:t>
      </w:r>
      <w:r w:rsidR="006E2321">
        <w:t xml:space="preserve">avec </w:t>
      </w:r>
      <w:r w:rsidRPr="00971297">
        <w:t>précis</w:t>
      </w:r>
      <w:r w:rsidR="006E2321">
        <w:t>ion</w:t>
      </w:r>
      <w:r w:rsidRPr="00971297">
        <w:t>.</w:t>
      </w:r>
    </w:p>
    <w:p w:rsidR="00C171E7" w:rsidRPr="00971297" w:rsidRDefault="00C171E7" w:rsidP="00C41D44">
      <w:pPr>
        <w:pStyle w:val="Texte1"/>
      </w:pPr>
      <w:r w:rsidRPr="00971297">
        <w:t>L</w:t>
      </w:r>
      <w:r w:rsidR="001F7A0A" w:rsidRPr="00971297">
        <w:t>’</w:t>
      </w:r>
      <w:r w:rsidR="00122B95" w:rsidRPr="00971297">
        <w:t>Unité</w:t>
      </w:r>
      <w:r w:rsidR="0040526F" w:rsidRPr="00971297">
        <w:t xml:space="preserve"> </w:t>
      </w:r>
      <w:r w:rsidRPr="00971297">
        <w:t xml:space="preserve">7 examine en détail les moyens </w:t>
      </w:r>
      <w:r w:rsidR="001E0D98" w:rsidRPr="00971297">
        <w:t>dont disposent</w:t>
      </w:r>
      <w:r w:rsidRPr="00971297">
        <w:t xml:space="preserve"> la Convention et les </w:t>
      </w:r>
      <w:r w:rsidR="00AB456B" w:rsidRPr="00971297">
        <w:t>DO</w:t>
      </w:r>
      <w:r w:rsidRPr="00971297">
        <w:t xml:space="preserve"> </w:t>
      </w:r>
      <w:r w:rsidR="001E0D98" w:rsidRPr="00971297">
        <w:t xml:space="preserve">pour </w:t>
      </w:r>
      <w:r w:rsidRPr="00971297">
        <w:t>envisage</w:t>
      </w:r>
      <w:r w:rsidR="001E0D98" w:rsidRPr="00971297">
        <w:t>r</w:t>
      </w:r>
      <w:r w:rsidRPr="00971297">
        <w:t xml:space="preserve"> l</w:t>
      </w:r>
      <w:r w:rsidR="001F7A0A" w:rsidRPr="00971297">
        <w:t>’</w:t>
      </w:r>
      <w:r w:rsidR="007A72B1" w:rsidRPr="00971297">
        <w:t>implication des communautés, groupes et</w:t>
      </w:r>
      <w:r w:rsidRPr="00971297">
        <w:t xml:space="preserve"> individus concernés dans la mise en œuvre de la Convention.</w:t>
      </w:r>
    </w:p>
    <w:p w:rsidR="00C171E7" w:rsidRPr="00971297" w:rsidRDefault="00674731" w:rsidP="00C41D44">
      <w:pPr>
        <w:pStyle w:val="Soustitre"/>
      </w:pPr>
      <w:r w:rsidRPr="00971297">
        <w:t>Remarque</w:t>
      </w:r>
      <w:r w:rsidR="00D86196" w:rsidRPr="00971297">
        <w:t xml:space="preserve"> sur la raison</w:t>
      </w:r>
      <w:r w:rsidR="00C171E7" w:rsidRPr="00971297">
        <w:t xml:space="preserve"> de l</w:t>
      </w:r>
      <w:r w:rsidR="001F7A0A" w:rsidRPr="00971297">
        <w:t>’</w:t>
      </w:r>
      <w:r w:rsidR="00C171E7" w:rsidRPr="00971297">
        <w:t>absence de définition formelle</w:t>
      </w:r>
    </w:p>
    <w:p w:rsidR="00C171E7" w:rsidRPr="00971297" w:rsidRDefault="00C171E7" w:rsidP="00C41D44">
      <w:pPr>
        <w:pStyle w:val="Texte1"/>
      </w:pPr>
      <w:r w:rsidRPr="00971297">
        <w:t>Les experts gouvernementaux qui ont préparé le texte de la Convention en 2002-2003 n</w:t>
      </w:r>
      <w:r w:rsidR="001F7A0A" w:rsidRPr="00971297">
        <w:t>’</w:t>
      </w:r>
      <w:r w:rsidRPr="00971297">
        <w:t xml:space="preserve">ont pas défini </w:t>
      </w:r>
      <w:r w:rsidR="00674731" w:rsidRPr="00971297">
        <w:t>l</w:t>
      </w:r>
      <w:r w:rsidRPr="00971297">
        <w:t>es concepts</w:t>
      </w:r>
      <w:r w:rsidR="00674731" w:rsidRPr="00971297">
        <w:t xml:space="preserve"> de « communautés, groupes et individus »</w:t>
      </w:r>
      <w:r w:rsidRPr="00971297">
        <w:t xml:space="preserve"> pour les raisons </w:t>
      </w:r>
      <w:r w:rsidR="00674731" w:rsidRPr="00971297">
        <w:t>invoqu</w:t>
      </w:r>
      <w:r w:rsidRPr="00971297">
        <w:t>ées ci-dessous.</w:t>
      </w:r>
    </w:p>
    <w:p w:rsidR="00C171E7" w:rsidRPr="00971297" w:rsidRDefault="00C171E7" w:rsidP="00C41D44">
      <w:pPr>
        <w:pStyle w:val="Texte1"/>
      </w:pPr>
      <w:r w:rsidRPr="00971297">
        <w:t xml:space="preserve">La plupart des États </w:t>
      </w:r>
      <w:r w:rsidR="00B36904" w:rsidRPr="00971297">
        <w:t>offre</w:t>
      </w:r>
      <w:r w:rsidRPr="00971297">
        <w:t xml:space="preserve">nt une grande diversité culturelle et ethnolinguistique </w:t>
      </w:r>
      <w:r w:rsidR="00B36904" w:rsidRPr="00971297">
        <w:t>qu’ils</w:t>
      </w:r>
      <w:r w:rsidRPr="00971297">
        <w:t xml:space="preserve"> </w:t>
      </w:r>
      <w:r w:rsidR="00B36904" w:rsidRPr="00971297">
        <w:t>trait</w:t>
      </w:r>
      <w:r w:rsidRPr="00971297">
        <w:t xml:space="preserve">ent de différentes manières. </w:t>
      </w:r>
      <w:r w:rsidR="00C05AF9" w:rsidRPr="00971297">
        <w:t>Le</w:t>
      </w:r>
      <w:r w:rsidRPr="00971297">
        <w:t xml:space="preserve">s États (souvent </w:t>
      </w:r>
      <w:r w:rsidR="00B36904" w:rsidRPr="00971297">
        <w:t>très</w:t>
      </w:r>
      <w:r w:rsidRPr="00971297">
        <w:t xml:space="preserve"> centralisés) qui sont engagés dans un processus de construction ou de consolidation nationale n</w:t>
      </w:r>
      <w:r w:rsidR="00B36904" w:rsidRPr="00971297">
        <w:t>e souhaite</w:t>
      </w:r>
      <w:r w:rsidRPr="00971297">
        <w:t>nt pas forcément que des personnes extérieures (ou une Convention</w:t>
      </w:r>
      <w:r w:rsidR="00B36904" w:rsidRPr="00971297">
        <w:t xml:space="preserve">) leur dictent comment définir et traiter </w:t>
      </w:r>
      <w:r w:rsidR="00FF3B87">
        <w:t xml:space="preserve">avec </w:t>
      </w:r>
      <w:r w:rsidR="00B36904" w:rsidRPr="00971297">
        <w:t>l</w:t>
      </w:r>
      <w:r w:rsidRPr="00971297">
        <w:t>es communautés et</w:t>
      </w:r>
      <w:r w:rsidR="00B36904" w:rsidRPr="00971297">
        <w:t>/ou l</w:t>
      </w:r>
      <w:r w:rsidRPr="00971297">
        <w:t xml:space="preserve">es groupes sur leur territoire. Certains États reconnaissent </w:t>
      </w:r>
      <w:r w:rsidR="00FF3B87">
        <w:t>par exemple</w:t>
      </w:r>
      <w:r w:rsidR="00FF3B87" w:rsidRPr="00971297">
        <w:t xml:space="preserve"> </w:t>
      </w:r>
      <w:r w:rsidRPr="00971297">
        <w:t>les communautés autochtones, alors que d</w:t>
      </w:r>
      <w:r w:rsidR="001F7A0A" w:rsidRPr="00971297">
        <w:t>’</w:t>
      </w:r>
      <w:r w:rsidRPr="00971297">
        <w:t xml:space="preserve">autres ne le font pas. </w:t>
      </w:r>
      <w:r w:rsidR="00907752" w:rsidRPr="00971297">
        <w:t>Ceux</w:t>
      </w:r>
      <w:r w:rsidRPr="00971297">
        <w:t xml:space="preserve"> qui </w:t>
      </w:r>
      <w:r w:rsidR="00907752" w:rsidRPr="00971297">
        <w:t xml:space="preserve">viennent de </w:t>
      </w:r>
      <w:r w:rsidR="00FF3B87">
        <w:t xml:space="preserve">connaître </w:t>
      </w:r>
      <w:r w:rsidR="0038750C">
        <w:t>une période difficile avec des</w:t>
      </w:r>
      <w:r w:rsidRPr="00971297">
        <w:t xml:space="preserve"> problèmes int</w:t>
      </w:r>
      <w:r w:rsidR="00907752" w:rsidRPr="00971297">
        <w:t>érieur</w:t>
      </w:r>
      <w:r w:rsidRPr="00971297">
        <w:t xml:space="preserve">s préfèrent </w:t>
      </w:r>
      <w:r w:rsidR="00907752" w:rsidRPr="00971297">
        <w:t>en général</w:t>
      </w:r>
      <w:r w:rsidRPr="00971297">
        <w:t xml:space="preserve"> mettre l</w:t>
      </w:r>
      <w:r w:rsidR="001F7A0A" w:rsidRPr="00971297">
        <w:t>’</w:t>
      </w:r>
      <w:r w:rsidRPr="00971297">
        <w:t>accent sur des identités communes plutôt que sur des différences internes.</w:t>
      </w:r>
    </w:p>
    <w:p w:rsidR="00C171E7" w:rsidRPr="00971297" w:rsidRDefault="00C171E7" w:rsidP="00C41D44">
      <w:pPr>
        <w:pStyle w:val="Texte1"/>
      </w:pPr>
      <w:r w:rsidRPr="00971297">
        <w:t>Une autre raison expliquant l</w:t>
      </w:r>
      <w:r w:rsidR="001F7A0A" w:rsidRPr="00971297">
        <w:t>’</w:t>
      </w:r>
      <w:r w:rsidRPr="00971297">
        <w:t>absence de définition formelle est qu</w:t>
      </w:r>
      <w:r w:rsidR="001F7A0A" w:rsidRPr="00971297">
        <w:t>’</w:t>
      </w:r>
      <w:r w:rsidRPr="00971297">
        <w:t>il n</w:t>
      </w:r>
      <w:r w:rsidR="001F7A0A" w:rsidRPr="00971297">
        <w:t>’</w:t>
      </w:r>
      <w:r w:rsidRPr="00971297">
        <w:t>est pas facile de définir une communauté</w:t>
      </w:r>
      <w:r w:rsidR="003D4B57" w:rsidRPr="00971297">
        <w:t>,</w:t>
      </w:r>
      <w:r w:rsidRPr="00971297">
        <w:t xml:space="preserve"> que ce soit de </w:t>
      </w:r>
      <w:r w:rsidR="003D4B57" w:rsidRPr="00971297">
        <w:t>manière générale</w:t>
      </w:r>
      <w:r w:rsidRPr="00971297">
        <w:t xml:space="preserve"> ou dans le cadre spécifique de la sauvegarde du PCI.</w:t>
      </w:r>
    </w:p>
    <w:p w:rsidR="00C171E7" w:rsidRPr="00971297" w:rsidRDefault="00097577" w:rsidP="00C41D44">
      <w:pPr>
        <w:pStyle w:val="Texte1"/>
      </w:pPr>
      <w:r w:rsidRPr="00971297">
        <w:t>Il y a d</w:t>
      </w:r>
      <w:r w:rsidR="00C171E7" w:rsidRPr="00971297">
        <w:t xml:space="preserve">es communautés et </w:t>
      </w:r>
      <w:r w:rsidRPr="00971297">
        <w:t>des</w:t>
      </w:r>
      <w:r w:rsidR="00C171E7" w:rsidRPr="00971297">
        <w:t xml:space="preserve"> groupes </w:t>
      </w:r>
      <w:r w:rsidRPr="00971297">
        <w:t xml:space="preserve">qui </w:t>
      </w:r>
      <w:r w:rsidR="00C171E7" w:rsidRPr="00971297">
        <w:t>sont plus structurés et organisés de manière plus stricte que d</w:t>
      </w:r>
      <w:r w:rsidR="001F7A0A" w:rsidRPr="00971297">
        <w:t>’</w:t>
      </w:r>
      <w:r w:rsidR="0038750C">
        <w:t>autres,</w:t>
      </w:r>
      <w:r w:rsidR="00C171E7" w:rsidRPr="00971297">
        <w:t xml:space="preserve"> </w:t>
      </w:r>
      <w:r w:rsidRPr="00971297">
        <w:t>dont la</w:t>
      </w:r>
      <w:r w:rsidR="00C171E7" w:rsidRPr="00971297">
        <w:t xml:space="preserve"> taille </w:t>
      </w:r>
      <w:r w:rsidRPr="00971297">
        <w:t>est extrêm</w:t>
      </w:r>
      <w:r w:rsidR="00C171E7" w:rsidRPr="00971297">
        <w:t>ement</w:t>
      </w:r>
      <w:r w:rsidRPr="00971297">
        <w:t xml:space="preserve"> variable</w:t>
      </w:r>
      <w:r w:rsidR="00C171E7" w:rsidRPr="00971297">
        <w:t xml:space="preserve">. </w:t>
      </w:r>
      <w:r w:rsidR="0038750C">
        <w:t>Les un</w:t>
      </w:r>
      <w:r w:rsidR="00C171E7" w:rsidRPr="00971297">
        <w:t xml:space="preserve">s </w:t>
      </w:r>
      <w:r w:rsidR="00314C9A" w:rsidRPr="00971297">
        <w:t>so</w:t>
      </w:r>
      <w:r w:rsidR="00C171E7" w:rsidRPr="00971297">
        <w:t xml:space="preserve">nt bien définis (comme </w:t>
      </w:r>
      <w:r w:rsidR="0038750C">
        <w:t>le groupe</w:t>
      </w:r>
      <w:r w:rsidRPr="00971297">
        <w:t xml:space="preserve"> </w:t>
      </w:r>
      <w:r w:rsidR="00C171E7" w:rsidRPr="00971297">
        <w:t>des praticiens d</w:t>
      </w:r>
      <w:r w:rsidR="001F7A0A" w:rsidRPr="00971297">
        <w:t>’</w:t>
      </w:r>
      <w:r w:rsidR="00C171E7" w:rsidRPr="00971297">
        <w:t>une tradition de guérison ou d</w:t>
      </w:r>
      <w:r w:rsidR="001F7A0A" w:rsidRPr="00971297">
        <w:t>’</w:t>
      </w:r>
      <w:r w:rsidR="00C171E7" w:rsidRPr="00971297">
        <w:t>un artisanat spécifique, ou encore une famille de marionnettistes). D</w:t>
      </w:r>
      <w:r w:rsidR="001F7A0A" w:rsidRPr="00971297">
        <w:t>’</w:t>
      </w:r>
      <w:r w:rsidR="00C171E7" w:rsidRPr="00971297">
        <w:t xml:space="preserve">autres </w:t>
      </w:r>
      <w:r w:rsidRPr="00971297">
        <w:t>le sont moins bien</w:t>
      </w:r>
      <w:r w:rsidR="00C171E7" w:rsidRPr="00971297">
        <w:t xml:space="preserve"> (par exemple</w:t>
      </w:r>
      <w:r w:rsidRPr="00971297">
        <w:t>,</w:t>
      </w:r>
      <w:r w:rsidR="00C171E7" w:rsidRPr="00971297">
        <w:t xml:space="preserve"> les habitants d</w:t>
      </w:r>
      <w:r w:rsidR="001F7A0A" w:rsidRPr="00971297">
        <w:t>’</w:t>
      </w:r>
      <w:r w:rsidR="00C171E7" w:rsidRPr="00971297">
        <w:t>une ville fêtant le carnaval, le public des festivals ou les membres d</w:t>
      </w:r>
      <w:r w:rsidR="00314C9A" w:rsidRPr="00971297">
        <w:t>’un</w:t>
      </w:r>
      <w:r w:rsidR="00C171E7" w:rsidRPr="00971297">
        <w:t>e communauté qui aiment participer aux événements rituels car cela leur permet de connaître et de</w:t>
      </w:r>
      <w:r w:rsidR="00314C9A" w:rsidRPr="00971297">
        <w:t xml:space="preserve"> vivre leur patrimoine culturel tout en</w:t>
      </w:r>
      <w:r w:rsidR="00C171E7" w:rsidRPr="00971297">
        <w:t xml:space="preserve"> </w:t>
      </w:r>
      <w:r w:rsidR="00314C9A" w:rsidRPr="00971297">
        <w:t>ayant</w:t>
      </w:r>
      <w:r w:rsidR="00C171E7" w:rsidRPr="00971297">
        <w:t xml:space="preserve"> le sentiment d</w:t>
      </w:r>
      <w:r w:rsidR="001F7A0A" w:rsidRPr="00971297">
        <w:t>’</w:t>
      </w:r>
      <w:r w:rsidR="00C171E7" w:rsidRPr="00971297">
        <w:t xml:space="preserve">appartenir à la communauté). Les </w:t>
      </w:r>
      <w:r w:rsidR="00031EC9" w:rsidRPr="00971297">
        <w:t xml:space="preserve">gens </w:t>
      </w:r>
      <w:r w:rsidR="0038750C">
        <w:t>au sein</w:t>
      </w:r>
      <w:r w:rsidR="00031EC9" w:rsidRPr="00971297">
        <w:t xml:space="preserve"> d’un groupe ou d’</w:t>
      </w:r>
      <w:r w:rsidR="00C171E7" w:rsidRPr="00971297">
        <w:t xml:space="preserve">une communauté peuvent </w:t>
      </w:r>
      <w:r w:rsidR="00031EC9" w:rsidRPr="00971297">
        <w:t>joue</w:t>
      </w:r>
      <w:r w:rsidR="00C171E7" w:rsidRPr="00971297">
        <w:t xml:space="preserve">r des rôles différents dans la </w:t>
      </w:r>
      <w:r w:rsidR="00031EC9" w:rsidRPr="00971297">
        <w:t>représentation</w:t>
      </w:r>
      <w:r w:rsidR="00C171E7" w:rsidRPr="00971297">
        <w:t xml:space="preserve"> de leur PCI : par exemple, en tant que praticiens, gardiens, transmetteurs ou spectateurs. </w:t>
      </w:r>
      <w:r w:rsidR="00031EC9" w:rsidRPr="00971297">
        <w:t>Ils</w:t>
      </w:r>
      <w:r w:rsidR="00C171E7" w:rsidRPr="00971297">
        <w:t xml:space="preserve"> peuvent </w:t>
      </w:r>
      <w:r w:rsidR="00B60BCF" w:rsidRPr="00971297">
        <w:t>entrer ou sortir de</w:t>
      </w:r>
      <w:r w:rsidR="00C171E7" w:rsidRPr="00971297">
        <w:t xml:space="preserve"> ces </w:t>
      </w:r>
      <w:r w:rsidR="00E073A9" w:rsidRPr="00971297">
        <w:t>catégories</w:t>
      </w:r>
      <w:r w:rsidR="00C171E7" w:rsidRPr="00971297">
        <w:t xml:space="preserve"> à différent</w:t>
      </w:r>
      <w:r w:rsidR="00E073A9" w:rsidRPr="00971297">
        <w:t>e</w:t>
      </w:r>
      <w:r w:rsidR="00C171E7" w:rsidRPr="00971297">
        <w:t xml:space="preserve">s </w:t>
      </w:r>
      <w:r w:rsidR="00E073A9" w:rsidRPr="00971297">
        <w:t>époques au cours de</w:t>
      </w:r>
      <w:r w:rsidR="00C171E7" w:rsidRPr="00971297">
        <w:t xml:space="preserve"> leur </w:t>
      </w:r>
      <w:r w:rsidR="00E073A9" w:rsidRPr="00971297">
        <w:t>vie</w:t>
      </w:r>
      <w:r w:rsidR="00C171E7" w:rsidRPr="00971297">
        <w:t xml:space="preserve"> ; ils </w:t>
      </w:r>
      <w:r w:rsidR="0038750C">
        <w:t>ont la possibilité</w:t>
      </w:r>
      <w:r w:rsidR="00C171E7" w:rsidRPr="00971297">
        <w:t xml:space="preserve"> </w:t>
      </w:r>
      <w:r w:rsidR="0038750C">
        <w:t>d’</w:t>
      </w:r>
      <w:r w:rsidR="00B60BCF" w:rsidRPr="00971297">
        <w:t>appartenir à</w:t>
      </w:r>
      <w:r w:rsidR="00C171E7" w:rsidRPr="00971297">
        <w:t xml:space="preserve"> </w:t>
      </w:r>
      <w:r w:rsidR="00B60BCF" w:rsidRPr="00971297">
        <w:t>plusieurs</w:t>
      </w:r>
      <w:r w:rsidR="00C171E7" w:rsidRPr="00971297">
        <w:t xml:space="preserve"> communautés en même temps.</w:t>
      </w:r>
    </w:p>
    <w:p w:rsidR="00C171E7" w:rsidRPr="00971297" w:rsidRDefault="00E073A9" w:rsidP="00C41D44">
      <w:pPr>
        <w:pStyle w:val="Texte1"/>
      </w:pPr>
      <w:r w:rsidRPr="00971297">
        <w:t>Les États ont défini les « communautés et</w:t>
      </w:r>
      <w:r w:rsidR="00C171E7" w:rsidRPr="00971297">
        <w:t xml:space="preserve"> groupes concernés » de différentes manières afin d</w:t>
      </w:r>
      <w:r w:rsidRPr="00971297">
        <w:t>e dresser</w:t>
      </w:r>
      <w:r w:rsidR="00C171E7" w:rsidRPr="00971297">
        <w:t xml:space="preserve"> l</w:t>
      </w:r>
      <w:r w:rsidR="001F7A0A" w:rsidRPr="00971297">
        <w:t>’</w:t>
      </w:r>
      <w:r w:rsidR="00C171E7" w:rsidRPr="00971297">
        <w:t xml:space="preserve">inventaire du PCI présent sur leur territoire. Les communautés peuvent </w:t>
      </w:r>
      <w:r w:rsidR="00BF66BB">
        <w:t>se</w:t>
      </w:r>
      <w:r w:rsidR="00C171E7" w:rsidRPr="00971297">
        <w:t xml:space="preserve"> </w:t>
      </w:r>
      <w:r w:rsidR="00BF66BB">
        <w:t>définir (par elles-mêmes ou</w:t>
      </w:r>
      <w:r w:rsidR="00C171E7" w:rsidRPr="00971297">
        <w:t xml:space="preserve"> d</w:t>
      </w:r>
      <w:r w:rsidR="001F7A0A" w:rsidRPr="00971297">
        <w:t>’</w:t>
      </w:r>
      <w:r w:rsidR="00C171E7" w:rsidRPr="00971297">
        <w:t xml:space="preserve">autres) selon des critères administratifs, géographiques, ethnolinguistiques, religieux ou autres. </w:t>
      </w:r>
      <w:r w:rsidR="00BB7AE1" w:rsidRPr="00971297">
        <w:t>Le plus souvent, e</w:t>
      </w:r>
      <w:r w:rsidR="00FE46DF" w:rsidRPr="00971297">
        <w:t xml:space="preserve">lles </w:t>
      </w:r>
      <w:r w:rsidR="00C171E7" w:rsidRPr="00971297">
        <w:t>sont</w:t>
      </w:r>
      <w:r w:rsidR="00FE46DF" w:rsidRPr="00971297">
        <w:t xml:space="preserve"> </w:t>
      </w:r>
      <w:r w:rsidR="00C171E7" w:rsidRPr="00971297">
        <w:t>définies en premier et leur PCI est identifié p</w:t>
      </w:r>
      <w:r w:rsidR="00E763F4" w:rsidRPr="00971297">
        <w:t>lus tard</w:t>
      </w:r>
      <w:r w:rsidR="00C171E7" w:rsidRPr="00971297">
        <w:t>. Dans d</w:t>
      </w:r>
      <w:r w:rsidR="001F7A0A" w:rsidRPr="00971297">
        <w:t>’</w:t>
      </w:r>
      <w:r w:rsidR="00C171E7" w:rsidRPr="00971297">
        <w:t xml:space="preserve">autres cas, </w:t>
      </w:r>
      <w:r w:rsidR="00E763F4" w:rsidRPr="00971297">
        <w:t xml:space="preserve">ce sont </w:t>
      </w:r>
      <w:r w:rsidR="00C171E7" w:rsidRPr="00971297">
        <w:t xml:space="preserve">les éléments du PCI </w:t>
      </w:r>
      <w:r w:rsidR="00E763F4" w:rsidRPr="00971297">
        <w:t xml:space="preserve">qui </w:t>
      </w:r>
      <w:r w:rsidR="00C171E7" w:rsidRPr="00971297">
        <w:t xml:space="preserve">sont identifiés en premier et les personnes qui </w:t>
      </w:r>
      <w:r w:rsidR="00E763F4" w:rsidRPr="00971297">
        <w:t>y</w:t>
      </w:r>
      <w:r w:rsidR="00C171E7" w:rsidRPr="00971297">
        <w:t xml:space="preserve"> sont associées sont ensuite définies en tant que communauté concernée. Quelle que soit l</w:t>
      </w:r>
      <w:r w:rsidR="001F7A0A" w:rsidRPr="00971297">
        <w:t>’</w:t>
      </w:r>
      <w:r w:rsidR="00C171E7" w:rsidRPr="00971297">
        <w:t>approche utilisée, aucune communauté ni son PCI ne d</w:t>
      </w:r>
      <w:r w:rsidR="00E763F4" w:rsidRPr="00971297">
        <w:t>o</w:t>
      </w:r>
      <w:r w:rsidR="00C171E7" w:rsidRPr="00971297">
        <w:t>it être identifié(e) ou défini(e) sans le plein consentement et l</w:t>
      </w:r>
      <w:r w:rsidR="001F7A0A" w:rsidRPr="00971297">
        <w:t>’</w:t>
      </w:r>
      <w:r w:rsidR="00C171E7" w:rsidRPr="00971297">
        <w:t>accord complet des personnes concernées.</w:t>
      </w:r>
    </w:p>
    <w:p w:rsidR="00C171E7" w:rsidRPr="00971297" w:rsidRDefault="00C171E7" w:rsidP="00512F0E">
      <w:pPr>
        <w:pStyle w:val="Heading6"/>
        <w:rPr>
          <w:lang w:val="fr-FR"/>
        </w:rPr>
      </w:pPr>
      <w:r w:rsidRPr="00971297">
        <w:rPr>
          <w:lang w:val="fr-FR"/>
        </w:rPr>
        <w:t>Diapositive 16</w:t>
      </w:r>
      <w:r w:rsidR="00D86196" w:rsidRPr="00971297">
        <w:rPr>
          <w:lang w:val="fr-FR"/>
        </w:rPr>
        <w:t>.</w:t>
      </w:r>
    </w:p>
    <w:p w:rsidR="00C171E7" w:rsidRPr="00971297" w:rsidRDefault="00C171E7" w:rsidP="00C41D44">
      <w:pPr>
        <w:pStyle w:val="diapo2"/>
        <w:rPr>
          <w:lang w:val="fr-FR"/>
        </w:rPr>
      </w:pPr>
      <w:r w:rsidRPr="00971297">
        <w:rPr>
          <w:lang w:val="fr-FR"/>
        </w:rPr>
        <w:t>Relation entre un élément et la communauté concernée</w:t>
      </w:r>
    </w:p>
    <w:p w:rsidR="00C171E7" w:rsidRPr="00971297" w:rsidRDefault="00C171E7" w:rsidP="00C41D44">
      <w:pPr>
        <w:pStyle w:val="Texte1"/>
      </w:pPr>
      <w:r w:rsidRPr="00971297">
        <w:t>Il existe donc une relation étroite entre un élément du PCI et les « communautés, groupes et individus » concernés. Les communautés concernées sont impliquées dans la</w:t>
      </w:r>
      <w:r w:rsidR="005B0B4F" w:rsidRPr="00971297">
        <w:t xml:space="preserve"> création, la représentation et la transmission de leur PCI</w:t>
      </w:r>
      <w:r w:rsidRPr="00971297">
        <w:t xml:space="preserve"> qui se manifeste uniquement à travers eux. Le fait de pratiquer et transmettre l</w:t>
      </w:r>
      <w:r w:rsidR="004D17D7" w:rsidRPr="00971297">
        <w:t>eur PCI, et de le sauvegarder si</w:t>
      </w:r>
      <w:r w:rsidRPr="00971297">
        <w:t xml:space="preserve"> besoin</w:t>
      </w:r>
      <w:r w:rsidR="004D17D7" w:rsidRPr="00971297">
        <w:t xml:space="preserve"> est</w:t>
      </w:r>
      <w:r w:rsidRPr="00971297">
        <w:t>, contribue non seulement à la viabilité de leur PCI</w:t>
      </w:r>
      <w:r w:rsidR="004D17D7" w:rsidRPr="00971297">
        <w:t>,</w:t>
      </w:r>
      <w:r w:rsidRPr="00971297">
        <w:t xml:space="preserve"> mais aussi à leur sentiment d</w:t>
      </w:r>
      <w:r w:rsidR="001F7A0A" w:rsidRPr="00971297">
        <w:t>’</w:t>
      </w:r>
      <w:r w:rsidR="004D17D7" w:rsidRPr="00971297">
        <w:t>identité et de continuité, leur bien-être et</w:t>
      </w:r>
      <w:r w:rsidRPr="00971297">
        <w:t xml:space="preserve"> leur développement. Il n</w:t>
      </w:r>
      <w:r w:rsidR="001F7A0A" w:rsidRPr="00971297">
        <w:t>’</w:t>
      </w:r>
      <w:r w:rsidRPr="00971297">
        <w:t>existe pas de PCI sans une communauté pour le pratiquer, l</w:t>
      </w:r>
      <w:r w:rsidR="001F7A0A" w:rsidRPr="00971297">
        <w:t>’</w:t>
      </w:r>
      <w:r w:rsidRPr="00971297">
        <w:t>apprécier et le transmettre, et l</w:t>
      </w:r>
      <w:r w:rsidR="001F7A0A" w:rsidRPr="00971297">
        <w:t>’</w:t>
      </w:r>
      <w:r w:rsidRPr="00971297">
        <w:t>identité d</w:t>
      </w:r>
      <w:r w:rsidR="001F7A0A" w:rsidRPr="00971297">
        <w:t>’</w:t>
      </w:r>
      <w:r w:rsidRPr="00971297">
        <w:t xml:space="preserve">une communauté peut dépendre du PCI </w:t>
      </w:r>
      <w:r w:rsidR="004D17D7" w:rsidRPr="00971297">
        <w:t>que partagent</w:t>
      </w:r>
      <w:r w:rsidRPr="00971297">
        <w:t xml:space="preserve"> ses membres.</w:t>
      </w:r>
    </w:p>
    <w:p w:rsidR="00C171E7" w:rsidRPr="00971297" w:rsidRDefault="00C171E7" w:rsidP="00C41D44">
      <w:pPr>
        <w:pStyle w:val="Texte1"/>
      </w:pPr>
      <w:r w:rsidRPr="00971297">
        <w:t xml:space="preserve">La Convention et les </w:t>
      </w:r>
      <w:r w:rsidR="00AB456B" w:rsidRPr="00971297">
        <w:t>DO</w:t>
      </w:r>
      <w:r w:rsidRPr="00971297">
        <w:t xml:space="preserve"> reconnaissent pleinement le rôle essen</w:t>
      </w:r>
      <w:r w:rsidR="004B5F6D" w:rsidRPr="00971297">
        <w:t xml:space="preserve">tiel que jouent ou </w:t>
      </w:r>
      <w:r w:rsidR="00DC0E87">
        <w:t xml:space="preserve">que </w:t>
      </w:r>
      <w:r w:rsidR="004B5F6D" w:rsidRPr="00971297">
        <w:t>doivent jouer</w:t>
      </w:r>
      <w:r w:rsidRPr="00971297">
        <w:t xml:space="preserve"> </w:t>
      </w:r>
      <w:r w:rsidR="004D17D7" w:rsidRPr="00971297">
        <w:t xml:space="preserve">les communautés </w:t>
      </w:r>
      <w:r w:rsidRPr="00971297">
        <w:t>dans la sauvegarde de leur PCI :</w:t>
      </w:r>
    </w:p>
    <w:p w:rsidR="00C171E7" w:rsidRPr="00971297" w:rsidRDefault="00BA1D2D" w:rsidP="00C0462A">
      <w:pPr>
        <w:pStyle w:val="Texte1"/>
        <w:rPr>
          <w:b/>
        </w:rPr>
      </w:pPr>
      <w:r>
        <w:rPr>
          <w:b/>
        </w:rPr>
        <w:t>Article 15</w:t>
      </w:r>
    </w:p>
    <w:p w:rsidR="00C171E7" w:rsidRPr="00971297" w:rsidRDefault="00C171E7" w:rsidP="00BD4059">
      <w:pPr>
        <w:pStyle w:val="Texte1"/>
        <w:ind w:left="1134"/>
      </w:pPr>
      <w:r w:rsidRPr="00971297">
        <w:t xml:space="preserve">Dans le cadre de ses activités de sauvegarde du </w:t>
      </w:r>
      <w:r w:rsidR="00C878EE" w:rsidRPr="00971297">
        <w:t>patrimoine</w:t>
      </w:r>
      <w:r w:rsidRPr="00971297">
        <w:t xml:space="preserve"> </w:t>
      </w:r>
      <w:r w:rsidR="004B5F6D" w:rsidRPr="00971297">
        <w:t xml:space="preserve">culturel </w:t>
      </w:r>
      <w:r w:rsidRPr="00971297">
        <w:t>immatériel, chaque État partie s</w:t>
      </w:r>
      <w:r w:rsidR="001F7A0A" w:rsidRPr="00971297">
        <w:t>’</w:t>
      </w:r>
      <w:r w:rsidRPr="00971297">
        <w:t>efforce d</w:t>
      </w:r>
      <w:r w:rsidR="001F7A0A" w:rsidRPr="00971297">
        <w:t>’</w:t>
      </w:r>
      <w:r w:rsidRPr="00971297">
        <w:t>assurer la plus large participation possible des communautés, des groupes et, le cas échéant, des individus qui créent, entretiennent et transmettent ce patrimoine, et de les impliquer activement dans sa gestion.</w:t>
      </w:r>
    </w:p>
    <w:p w:rsidR="00C171E7" w:rsidRPr="00971297" w:rsidRDefault="00C817E3" w:rsidP="00C41D44">
      <w:pPr>
        <w:pStyle w:val="Texte1"/>
      </w:pPr>
      <w:r w:rsidRPr="00971297">
        <w:t>L</w:t>
      </w:r>
      <w:r w:rsidR="001F7A0A" w:rsidRPr="00971297">
        <w:t>’</w:t>
      </w:r>
      <w:r w:rsidR="0040526F" w:rsidRPr="00971297">
        <w:t>U</w:t>
      </w:r>
      <w:r w:rsidR="00B654C3" w:rsidRPr="00971297">
        <w:t>nité</w:t>
      </w:r>
      <w:r w:rsidR="00C171E7" w:rsidRPr="00971297">
        <w:t> 7</w:t>
      </w:r>
      <w:r w:rsidRPr="00971297">
        <w:t xml:space="preserve"> renseignera davantage les</w:t>
      </w:r>
      <w:r w:rsidR="00C171E7" w:rsidRPr="00971297">
        <w:t xml:space="preserve"> participants</w:t>
      </w:r>
      <w:r w:rsidRPr="00971297">
        <w:t xml:space="preserve"> et leur donnera aussi</w:t>
      </w:r>
      <w:r w:rsidR="00C171E7" w:rsidRPr="00971297">
        <w:t xml:space="preserve"> l</w:t>
      </w:r>
      <w:r w:rsidR="001F7A0A" w:rsidRPr="00971297">
        <w:t>’</w:t>
      </w:r>
      <w:r w:rsidR="00C171E7" w:rsidRPr="00971297">
        <w:t>occasion de d</w:t>
      </w:r>
      <w:r w:rsidRPr="00971297">
        <w:t>iscuter de</w:t>
      </w:r>
      <w:r w:rsidR="00C171E7" w:rsidRPr="00971297">
        <w:t xml:space="preserve"> l</w:t>
      </w:r>
      <w:r w:rsidRPr="00971297">
        <w:t>’engagement</w:t>
      </w:r>
      <w:r w:rsidR="004D17D7" w:rsidRPr="00971297">
        <w:t xml:space="preserve"> des communautés, </w:t>
      </w:r>
      <w:r w:rsidRPr="00971297">
        <w:t xml:space="preserve">des </w:t>
      </w:r>
      <w:r w:rsidR="004D17D7" w:rsidRPr="00971297">
        <w:t>groupes et</w:t>
      </w:r>
      <w:r w:rsidR="00C171E7" w:rsidRPr="00971297">
        <w:t xml:space="preserve"> </w:t>
      </w:r>
      <w:r w:rsidRPr="00971297">
        <w:t xml:space="preserve">des </w:t>
      </w:r>
      <w:r w:rsidR="00C171E7" w:rsidRPr="00971297">
        <w:t xml:space="preserve">individus concernés </w:t>
      </w:r>
      <w:r w:rsidRPr="00971297">
        <w:t>dans</w:t>
      </w:r>
      <w:r w:rsidR="00C171E7" w:rsidRPr="00971297">
        <w:t xml:space="preserve"> toutes les activités relatives à leur PCI qui sont entreprises dans les États parties à la Convention.</w:t>
      </w:r>
    </w:p>
    <w:p w:rsidR="00C171E7" w:rsidRPr="00971297" w:rsidRDefault="00C171E7" w:rsidP="00FC1D9E">
      <w:pPr>
        <w:pStyle w:val="Heading6"/>
        <w:rPr>
          <w:lang w:val="fr-FR"/>
        </w:rPr>
      </w:pPr>
      <w:r w:rsidRPr="00971297">
        <w:rPr>
          <w:lang w:val="fr-FR"/>
        </w:rPr>
        <w:t>Diapositive 17</w:t>
      </w:r>
      <w:r w:rsidR="004B5F6D" w:rsidRPr="00971297">
        <w:rPr>
          <w:lang w:val="fr-FR"/>
        </w:rPr>
        <w:t>.</w:t>
      </w:r>
    </w:p>
    <w:p w:rsidR="00C171E7" w:rsidRPr="00971297" w:rsidRDefault="00C171E7" w:rsidP="00C41D44">
      <w:pPr>
        <w:pStyle w:val="diapo2"/>
        <w:rPr>
          <w:lang w:val="fr-FR"/>
        </w:rPr>
      </w:pPr>
      <w:r w:rsidRPr="00971297">
        <w:rPr>
          <w:lang w:val="fr-FR"/>
        </w:rPr>
        <w:t>Sauvegarde (sous-titre)</w:t>
      </w:r>
    </w:p>
    <w:p w:rsidR="00C171E7" w:rsidRPr="00971297" w:rsidRDefault="00C171E7" w:rsidP="00FC1D9E">
      <w:pPr>
        <w:pStyle w:val="Heading6"/>
        <w:rPr>
          <w:lang w:val="fr-FR"/>
        </w:rPr>
      </w:pPr>
      <w:r w:rsidRPr="00971297">
        <w:rPr>
          <w:lang w:val="fr-FR"/>
        </w:rPr>
        <w:t>Diapositive 18</w:t>
      </w:r>
      <w:r w:rsidR="004B5F6D" w:rsidRPr="00971297">
        <w:rPr>
          <w:lang w:val="fr-FR"/>
        </w:rPr>
        <w:t>.</w:t>
      </w:r>
    </w:p>
    <w:p w:rsidR="00C171E7" w:rsidRPr="00971297" w:rsidRDefault="00C171E7" w:rsidP="00C41D44">
      <w:pPr>
        <w:pStyle w:val="diapo2"/>
        <w:rPr>
          <w:lang w:val="fr-FR"/>
        </w:rPr>
      </w:pPr>
      <w:r w:rsidRPr="00971297">
        <w:rPr>
          <w:lang w:val="fr-FR"/>
        </w:rPr>
        <w:t>Concepts de sauvegarde</w:t>
      </w:r>
    </w:p>
    <w:p w:rsidR="00C171E7" w:rsidRPr="00971297" w:rsidRDefault="00C171E7" w:rsidP="00C41D44">
      <w:pPr>
        <w:pStyle w:val="Texte1"/>
      </w:pPr>
      <w:r w:rsidRPr="00971297">
        <w:t xml:space="preserve">Se référer </w:t>
      </w:r>
      <w:r w:rsidR="00332B83" w:rsidRPr="00971297">
        <w:t>au Texte du participant</w:t>
      </w:r>
      <w:r w:rsidR="0021158C" w:rsidRPr="00971297">
        <w:t xml:space="preserve"> - </w:t>
      </w:r>
      <w:r w:rsidR="0046588B" w:rsidRPr="00971297">
        <w:t>Unité</w:t>
      </w:r>
      <w:r w:rsidR="00332B83" w:rsidRPr="00971297">
        <w:t xml:space="preserve"> 1.5 et </w:t>
      </w:r>
      <w:r w:rsidR="00377B1E" w:rsidRPr="00971297">
        <w:t>Unité 3</w:t>
      </w:r>
      <w:r w:rsidRPr="00971297">
        <w:t> : « Sauvegarde et mesures de sauvegarde » et « Menaces et risques ».</w:t>
      </w:r>
    </w:p>
    <w:p w:rsidR="00C171E7" w:rsidRPr="00971297" w:rsidRDefault="00C171E7" w:rsidP="00C41D44">
      <w:pPr>
        <w:pStyle w:val="Texte1"/>
      </w:pPr>
      <w:r w:rsidRPr="00971297">
        <w:t xml:space="preserve">Les éléments du </w:t>
      </w:r>
      <w:r w:rsidR="00C878EE" w:rsidRPr="00971297">
        <w:t>patrimoine</w:t>
      </w:r>
      <w:r w:rsidRPr="00971297">
        <w:t xml:space="preserve"> </w:t>
      </w:r>
      <w:r w:rsidR="00B05C72" w:rsidRPr="00971297">
        <w:t xml:space="preserve">culturel </w:t>
      </w:r>
      <w:r w:rsidR="0021158C" w:rsidRPr="00971297">
        <w:t>immatériel ne doivent pas</w:t>
      </w:r>
      <w:r w:rsidRPr="00971297">
        <w:t xml:space="preserve"> ou ne peuvent pas tous être sauvegardés ou revitalisés. </w:t>
      </w:r>
      <w:r w:rsidR="0021158C" w:rsidRPr="00971297">
        <w:t>Si les</w:t>
      </w:r>
      <w:r w:rsidRPr="00971297">
        <w:t xml:space="preserve"> membres de la communauté ou du groupe concerné </w:t>
      </w:r>
      <w:r w:rsidR="0021158C" w:rsidRPr="00971297">
        <w:t xml:space="preserve">sont </w:t>
      </w:r>
      <w:r w:rsidR="00ED6E8D" w:rsidRPr="00971297">
        <w:t>assez</w:t>
      </w:r>
      <w:r w:rsidR="0021158C" w:rsidRPr="00971297">
        <w:t xml:space="preserve"> nombre</w:t>
      </w:r>
      <w:r w:rsidR="00ED6E8D" w:rsidRPr="00971297">
        <w:t>ux</w:t>
      </w:r>
      <w:r w:rsidR="0021158C" w:rsidRPr="00971297">
        <w:t xml:space="preserve"> à </w:t>
      </w:r>
      <w:r w:rsidRPr="00971297">
        <w:t>ne</w:t>
      </w:r>
      <w:r w:rsidR="0021158C" w:rsidRPr="00971297">
        <w:t xml:space="preserve"> plus </w:t>
      </w:r>
      <w:r w:rsidRPr="00971297">
        <w:t>consid</w:t>
      </w:r>
      <w:r w:rsidR="0021158C" w:rsidRPr="00971297">
        <w:t>érer</w:t>
      </w:r>
      <w:r w:rsidRPr="00971297">
        <w:t xml:space="preserve"> </w:t>
      </w:r>
      <w:r w:rsidR="0021158C" w:rsidRPr="00971297">
        <w:t>de</w:t>
      </w:r>
      <w:r w:rsidRPr="00971297">
        <w:t xml:space="preserve">s éléments spécifiques de leur </w:t>
      </w:r>
      <w:r w:rsidR="00C878EE" w:rsidRPr="00971297">
        <w:t>patrimoine</w:t>
      </w:r>
      <w:r w:rsidRPr="00971297">
        <w:t xml:space="preserve"> </w:t>
      </w:r>
      <w:r w:rsidR="00B05C72" w:rsidRPr="00971297">
        <w:t xml:space="preserve">culturel </w:t>
      </w:r>
      <w:r w:rsidRPr="00971297">
        <w:t xml:space="preserve">immatériel comme pertinents ou importants, </w:t>
      </w:r>
      <w:r w:rsidR="008824A8" w:rsidRPr="00971297">
        <w:t xml:space="preserve">leur </w:t>
      </w:r>
      <w:r w:rsidR="00ED6E8D" w:rsidRPr="00971297">
        <w:t>sauvegarde</w:t>
      </w:r>
      <w:r w:rsidR="008824A8" w:rsidRPr="00971297">
        <w:t xml:space="preserve"> paraît d’autant plus improbable</w:t>
      </w:r>
      <w:r w:rsidRPr="00971297">
        <w:t>. Ces éléments peuvent alors être enregistrés avant que leur pratique ne soit abandonnée. Sans une forte motivation et un engagement ferme de la part des praticiens et des autres détenteurs de la tradition, les mesures de sauvegarde (au sens de la Convention) sont vouées à l</w:t>
      </w:r>
      <w:r w:rsidR="001F7A0A" w:rsidRPr="00971297">
        <w:t>’</w:t>
      </w:r>
      <w:r w:rsidRPr="00971297">
        <w:t>échec.</w:t>
      </w:r>
    </w:p>
    <w:p w:rsidR="00C171E7" w:rsidRPr="00971297" w:rsidRDefault="00C171E7" w:rsidP="00FC1D9E">
      <w:pPr>
        <w:pStyle w:val="Heading6"/>
        <w:rPr>
          <w:lang w:val="fr-FR"/>
        </w:rPr>
      </w:pPr>
      <w:r w:rsidRPr="00971297">
        <w:rPr>
          <w:lang w:val="fr-FR"/>
        </w:rPr>
        <w:t>Diapositive 19</w:t>
      </w:r>
      <w:r w:rsidR="00B05C72" w:rsidRPr="00971297">
        <w:rPr>
          <w:lang w:val="fr-FR"/>
        </w:rPr>
        <w:t>.</w:t>
      </w:r>
    </w:p>
    <w:p w:rsidR="00C171E7" w:rsidRPr="00971297" w:rsidRDefault="00C171E7" w:rsidP="00C41D44">
      <w:pPr>
        <w:pStyle w:val="diapo2"/>
        <w:rPr>
          <w:lang w:val="fr-FR"/>
        </w:rPr>
      </w:pPr>
      <w:r w:rsidRPr="00971297">
        <w:rPr>
          <w:lang w:val="fr-FR"/>
        </w:rPr>
        <w:t>Principales mesures de sauvegarde</w:t>
      </w:r>
    </w:p>
    <w:p w:rsidR="00B05C72" w:rsidRPr="00971297" w:rsidRDefault="00C171E7" w:rsidP="00C41D44">
      <w:pPr>
        <w:pStyle w:val="Texte1"/>
      </w:pPr>
      <w:r w:rsidRPr="00971297">
        <w:t xml:space="preserve">Se référer </w:t>
      </w:r>
      <w:r w:rsidR="008C6936" w:rsidRPr="00971297">
        <w:t xml:space="preserve">au </w:t>
      </w:r>
      <w:r w:rsidR="00377B1E" w:rsidRPr="00971297">
        <w:t>Texte du participant</w:t>
      </w:r>
      <w:r w:rsidR="00B05C72" w:rsidRPr="00971297">
        <w:t xml:space="preserve"> </w:t>
      </w:r>
      <w:r w:rsidR="008C6936" w:rsidRPr="00971297">
        <w:t>de l’Unité 3 :</w:t>
      </w:r>
      <w:r w:rsidRPr="00971297">
        <w:t xml:space="preserve"> « Sauvegarde et mesures de sauvegarde » et aux trois types de mesures qu</w:t>
      </w:r>
      <w:r w:rsidR="001F7A0A" w:rsidRPr="00971297">
        <w:t>’</w:t>
      </w:r>
      <w:r w:rsidRPr="00971297">
        <w:t>il est recommandé d</w:t>
      </w:r>
      <w:r w:rsidR="001F7A0A" w:rsidRPr="00971297">
        <w:t>’</w:t>
      </w:r>
      <w:r w:rsidRPr="00971297">
        <w:t>examiner à ce stade.</w:t>
      </w:r>
      <w:r w:rsidR="00BA1D2D" w:rsidRPr="00971297">
        <w:t xml:space="preserve"> </w:t>
      </w:r>
      <w:r w:rsidRPr="00971297">
        <w:t>Les mesures de sauvegarde sont des activités mûrement réfléchies, visant à répondre aux menaces et aux risques spécifiques qui pèsent sur la viabilité d</w:t>
      </w:r>
      <w:r w:rsidR="001F7A0A" w:rsidRPr="00971297">
        <w:t>’</w:t>
      </w:r>
      <w:r w:rsidRPr="00971297">
        <w:t>un élément du PCI. La nature d</w:t>
      </w:r>
      <w:r w:rsidR="001F7A0A" w:rsidRPr="00971297">
        <w:t>’</w:t>
      </w:r>
      <w:r w:rsidRPr="00971297">
        <w:t>un élém</w:t>
      </w:r>
      <w:r w:rsidR="008824A8" w:rsidRPr="00971297">
        <w:t>ent du PCI et les menaces et</w:t>
      </w:r>
      <w:r w:rsidRPr="00971297">
        <w:t xml:space="preserve"> risques spécifiques </w:t>
      </w:r>
      <w:r w:rsidR="00A1447A" w:rsidRPr="00971297">
        <w:t>pour</w:t>
      </w:r>
      <w:r w:rsidRPr="00971297">
        <w:t xml:space="preserve"> sa viabilité aident à déterminer les mesures de sauvegarde a</w:t>
      </w:r>
      <w:r w:rsidR="00A1447A" w:rsidRPr="00971297">
        <w:t>ppropriées</w:t>
      </w:r>
      <w:r w:rsidRPr="00971297">
        <w:t xml:space="preserve"> qui d</w:t>
      </w:r>
      <w:r w:rsidR="00A1447A" w:rsidRPr="00971297">
        <w:t>oiv</w:t>
      </w:r>
      <w:r w:rsidRPr="00971297">
        <w:t xml:space="preserve">ent également tenir compte du budget disponible et du </w:t>
      </w:r>
      <w:r w:rsidR="00DC0E87">
        <w:t>degré</w:t>
      </w:r>
      <w:r w:rsidRPr="00971297">
        <w:t xml:space="preserve"> d</w:t>
      </w:r>
      <w:r w:rsidR="001F7A0A" w:rsidRPr="00971297">
        <w:t>’</w:t>
      </w:r>
      <w:r w:rsidRPr="00971297">
        <w:t>engagem</w:t>
      </w:r>
      <w:r w:rsidR="00BA1D2D">
        <w:t>ent de la communauté concernée.</w:t>
      </w:r>
    </w:p>
    <w:p w:rsidR="00C171E7" w:rsidRPr="00971297" w:rsidRDefault="00C171E7" w:rsidP="00C41D44">
      <w:pPr>
        <w:pStyle w:val="Texte1"/>
      </w:pPr>
      <w:r w:rsidRPr="00971297">
        <w:t>Selon l</w:t>
      </w:r>
      <w:r w:rsidR="001F7A0A" w:rsidRPr="00971297">
        <w:t>’</w:t>
      </w:r>
      <w:r w:rsidRPr="00971297">
        <w:t xml:space="preserve">article 2.3 de la Convention, les mesures de sauvegarde peuvent </w:t>
      </w:r>
      <w:r w:rsidR="007A0ED4" w:rsidRPr="00971297">
        <w:t>comprendre plusieur</w:t>
      </w:r>
      <w:r w:rsidRPr="00971297">
        <w:t>s types d</w:t>
      </w:r>
      <w:r w:rsidR="001F7A0A" w:rsidRPr="00971297">
        <w:t>’</w:t>
      </w:r>
      <w:r w:rsidRPr="00971297">
        <w:t xml:space="preserve">activités. </w:t>
      </w:r>
      <w:r w:rsidR="007A0ED4" w:rsidRPr="00971297">
        <w:t xml:space="preserve">La </w:t>
      </w:r>
      <w:r w:rsidRPr="00971297">
        <w:t>liste de</w:t>
      </w:r>
      <w:r w:rsidR="007A0ED4" w:rsidRPr="00971297">
        <w:t>s</w:t>
      </w:r>
      <w:r w:rsidRPr="00971297">
        <w:t xml:space="preserve"> mesures</w:t>
      </w:r>
      <w:r w:rsidR="007A0ED4" w:rsidRPr="00971297">
        <w:t xml:space="preserve"> qui y sont présentées</w:t>
      </w:r>
      <w:r w:rsidRPr="00971297">
        <w:t xml:space="preserve"> ne prétend pas être exhaustive, à l</w:t>
      </w:r>
      <w:r w:rsidR="001F7A0A" w:rsidRPr="00971297">
        <w:t>’</w:t>
      </w:r>
      <w:r w:rsidRPr="00971297">
        <w:t>instar de la liste des domaines figurant à l</w:t>
      </w:r>
      <w:r w:rsidR="001F7A0A" w:rsidRPr="00971297">
        <w:t>’</w:t>
      </w:r>
      <w:r w:rsidRPr="00971297">
        <w:t>article 2.2 de la Convention</w:t>
      </w:r>
      <w:r w:rsidR="00820341" w:rsidRPr="00971297">
        <w:t xml:space="preserve"> </w:t>
      </w:r>
      <w:r w:rsidRPr="00971297">
        <w:t>;</w:t>
      </w:r>
      <w:r w:rsidR="00FB5CDF" w:rsidRPr="00971297">
        <w:t xml:space="preserve"> </w:t>
      </w:r>
      <w:r w:rsidR="002A5A11" w:rsidRPr="00971297">
        <w:t>qui</w:t>
      </w:r>
      <w:r w:rsidR="00FB5CDF" w:rsidRPr="00971297">
        <w:t xml:space="preserve"> plus</w:t>
      </w:r>
      <w:r w:rsidR="002A5A11" w:rsidRPr="00971297">
        <w:t xml:space="preserve"> est</w:t>
      </w:r>
      <w:r w:rsidR="00FB5CDF" w:rsidRPr="00971297">
        <w:t>, de nombreuses action</w:t>
      </w:r>
      <w:r w:rsidRPr="00971297">
        <w:t>s de sauvegarde pourraient être classées dan</w:t>
      </w:r>
      <w:r w:rsidR="002A5A11" w:rsidRPr="00971297">
        <w:t>s plusieurs de ces</w:t>
      </w:r>
      <w:r w:rsidRPr="00971297">
        <w:t xml:space="preserve"> mesures</w:t>
      </w:r>
      <w:r w:rsidR="002A5A11" w:rsidRPr="00971297">
        <w:t xml:space="preserve"> à la fois</w:t>
      </w:r>
      <w:r w:rsidRPr="00971297">
        <w:t>. D</w:t>
      </w:r>
      <w:r w:rsidR="001F7A0A" w:rsidRPr="00971297">
        <w:t>’</w:t>
      </w:r>
      <w:r w:rsidRPr="00971297">
        <w:t>autres mesures sont citées ailleurs dans la Convention.</w:t>
      </w:r>
    </w:p>
    <w:p w:rsidR="00C171E7" w:rsidRPr="00971297" w:rsidRDefault="00C171E7" w:rsidP="00C41D44">
      <w:pPr>
        <w:pStyle w:val="Texte1"/>
      </w:pPr>
      <w:r w:rsidRPr="00971297">
        <w:t>Des exemples de mesures</w:t>
      </w:r>
      <w:r w:rsidR="005B24D5" w:rsidRPr="00971297">
        <w:t xml:space="preserve"> de sauvegarde seront examinés </w:t>
      </w:r>
      <w:r w:rsidR="00DC0E87">
        <w:t>à</w:t>
      </w:r>
      <w:r w:rsidRPr="00971297">
        <w:t xml:space="preserve"> </w:t>
      </w:r>
      <w:r w:rsidR="00B654C3" w:rsidRPr="00971297">
        <w:t>l</w:t>
      </w:r>
      <w:r w:rsidR="001F7A0A" w:rsidRPr="00971297">
        <w:t>’</w:t>
      </w:r>
      <w:r w:rsidR="00AB5946" w:rsidRPr="00971297">
        <w:t>Unité</w:t>
      </w:r>
      <w:r w:rsidRPr="00971297">
        <w:t xml:space="preserve"> 9. Il pourrait être utile d</w:t>
      </w:r>
      <w:r w:rsidR="001F7A0A" w:rsidRPr="00971297">
        <w:t>’</w:t>
      </w:r>
      <w:r w:rsidRPr="00971297">
        <w:t>insister sur le fait que le terme « sauvegarde » est employé à la fois pour des activités larges qui encouragent la sauvegarde du PCI en général et pour des mesures (de revitalisation) qui ciblent de</w:t>
      </w:r>
      <w:r w:rsidR="005B24D5" w:rsidRPr="00971297">
        <w:t xml:space="preserve">s éléments </w:t>
      </w:r>
      <w:r w:rsidR="00DC0E87" w:rsidRPr="00971297">
        <w:t xml:space="preserve">spécifiques </w:t>
      </w:r>
      <w:r w:rsidR="005B24D5" w:rsidRPr="00971297">
        <w:t xml:space="preserve">du PCI </w:t>
      </w:r>
      <w:r w:rsidRPr="00971297">
        <w:t>dont la viabilité est en péril.</w:t>
      </w:r>
    </w:p>
    <w:p w:rsidR="00C171E7" w:rsidRPr="00971297" w:rsidRDefault="008F0B3A" w:rsidP="00C41D44">
      <w:pPr>
        <w:pStyle w:val="Texte1"/>
      </w:pPr>
      <w:r w:rsidRPr="008F0B3A">
        <w:rPr>
          <w:i/>
          <w:noProof/>
          <w:lang w:val="es-ES_tradnl" w:eastAsia="es-ES_tradnl"/>
        </w:rPr>
        <w:drawing>
          <wp:anchor distT="0" distB="0" distL="114300" distR="114300" simplePos="0" relativeHeight="251721216" behindDoc="0" locked="1" layoutInCell="1" allowOverlap="0" wp14:anchorId="50359F6F" wp14:editId="34323832">
            <wp:simplePos x="0" y="0"/>
            <wp:positionH relativeFrom="margin">
              <wp:align>left</wp:align>
            </wp:positionH>
            <wp:positionV relativeFrom="paragraph">
              <wp:posOffset>52705</wp:posOffset>
            </wp:positionV>
            <wp:extent cx="282575" cy="357505"/>
            <wp:effectExtent l="0" t="0" r="3175" b="4445"/>
            <wp:wrapThrough wrapText="bothSides">
              <wp:wrapPolygon edited="0">
                <wp:start x="0" y="0"/>
                <wp:lineTo x="0" y="20718"/>
                <wp:lineTo x="20387" y="20718"/>
                <wp:lineTo x="20387" y="0"/>
                <wp:lineTo x="0" y="0"/>
              </wp:wrapPolygon>
            </wp:wrapThrough>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r w:rsidR="00C171E7" w:rsidRPr="008F0B3A">
        <w:t xml:space="preserve">Au cours </w:t>
      </w:r>
      <w:r w:rsidR="00C171E7" w:rsidRPr="00971297">
        <w:t>de cette séance, on pourra s</w:t>
      </w:r>
      <w:r w:rsidR="001F7A0A" w:rsidRPr="00971297">
        <w:t>’</w:t>
      </w:r>
      <w:r w:rsidR="00C171E7" w:rsidRPr="00971297">
        <w:t>intéresser à trois types de mesures de sauvegarde </w:t>
      </w:r>
      <w:r w:rsidR="00B05C72" w:rsidRPr="00971297">
        <w:t>: la sensibilisation</w:t>
      </w:r>
      <w:r w:rsidR="00C171E7" w:rsidRPr="00971297">
        <w:t>, l</w:t>
      </w:r>
      <w:r w:rsidR="001F7A0A" w:rsidRPr="00971297">
        <w:t>’</w:t>
      </w:r>
      <w:r w:rsidR="00B05C72" w:rsidRPr="00971297">
        <w:t xml:space="preserve">inventaire et la revitalisation. Les </w:t>
      </w:r>
      <w:r w:rsidR="00FE1D15" w:rsidRPr="00971297">
        <w:t>problèmes comme ceux de</w:t>
      </w:r>
      <w:r w:rsidR="00B05C72" w:rsidRPr="00971297">
        <w:t xml:space="preserve"> la commercialisation et </w:t>
      </w:r>
      <w:r w:rsidR="00FE1D15" w:rsidRPr="00971297">
        <w:t xml:space="preserve">de </w:t>
      </w:r>
      <w:r w:rsidR="00B05C72" w:rsidRPr="00971297">
        <w:t xml:space="preserve">la </w:t>
      </w:r>
      <w:proofErr w:type="spellStart"/>
      <w:r w:rsidR="00B05C72" w:rsidRPr="00971297">
        <w:t>décontextualisation</w:t>
      </w:r>
      <w:proofErr w:type="spellEnd"/>
      <w:r w:rsidR="00C171E7" w:rsidRPr="00971297">
        <w:t xml:space="preserve"> p</w:t>
      </w:r>
      <w:r w:rsidR="00DC0E87">
        <w:t>euv</w:t>
      </w:r>
      <w:r w:rsidR="00C171E7" w:rsidRPr="00971297">
        <w:t xml:space="preserve">ent également être </w:t>
      </w:r>
      <w:r w:rsidR="00DC0E87">
        <w:t>abord</w:t>
      </w:r>
      <w:r w:rsidR="00FE1D15" w:rsidRPr="00971297">
        <w:t>é</w:t>
      </w:r>
      <w:r w:rsidR="00C171E7" w:rsidRPr="00971297">
        <w:t xml:space="preserve">s (se référer </w:t>
      </w:r>
      <w:r w:rsidR="00B74E92" w:rsidRPr="00971297">
        <w:t xml:space="preserve">au </w:t>
      </w:r>
      <w:r w:rsidR="00377B1E" w:rsidRPr="00971297">
        <w:t>Texte du participant</w:t>
      </w:r>
      <w:r w:rsidR="00B74E92" w:rsidRPr="00971297">
        <w:t xml:space="preserve"> de l’Unité 3</w:t>
      </w:r>
      <w:r w:rsidR="00C171E7" w:rsidRPr="00971297">
        <w:t>).</w:t>
      </w:r>
    </w:p>
    <w:p w:rsidR="00C171E7" w:rsidRPr="00971297" w:rsidRDefault="00C171E7" w:rsidP="00FC1D9E">
      <w:pPr>
        <w:pStyle w:val="Heading6"/>
        <w:rPr>
          <w:lang w:val="fr-FR"/>
        </w:rPr>
      </w:pPr>
      <w:r w:rsidRPr="00971297">
        <w:rPr>
          <w:lang w:val="fr-FR"/>
        </w:rPr>
        <w:t>Diapositive 20</w:t>
      </w:r>
      <w:r w:rsidR="00B05C72" w:rsidRPr="00971297">
        <w:rPr>
          <w:lang w:val="fr-FR"/>
        </w:rPr>
        <w:t>.</w:t>
      </w:r>
    </w:p>
    <w:p w:rsidR="00C171E7" w:rsidRPr="00971297" w:rsidRDefault="00C171E7" w:rsidP="00C41D44">
      <w:pPr>
        <w:pStyle w:val="diapo2"/>
        <w:rPr>
          <w:lang w:val="fr-FR"/>
        </w:rPr>
      </w:pPr>
      <w:r w:rsidRPr="00971297">
        <w:rPr>
          <w:lang w:val="fr-FR"/>
        </w:rPr>
        <w:t>Autres mesures de sauvegarde</w:t>
      </w:r>
    </w:p>
    <w:p w:rsidR="00C171E7" w:rsidRPr="00971297" w:rsidRDefault="00C171E7" w:rsidP="00C41D44">
      <w:pPr>
        <w:pStyle w:val="Texte1"/>
      </w:pPr>
      <w:r w:rsidRPr="00971297">
        <w:t>Les autres mesures de sauvegarde mentionnées d</w:t>
      </w:r>
      <w:r w:rsidR="004516BC" w:rsidRPr="00971297">
        <w:t>ans la Convention sont</w:t>
      </w:r>
      <w:r w:rsidRPr="00971297">
        <w:t xml:space="preserve"> les suivantes (se référer </w:t>
      </w:r>
      <w:r w:rsidR="00B74E92" w:rsidRPr="00971297">
        <w:t>au Texte du participant de l’Unité 3</w:t>
      </w:r>
      <w:r w:rsidRPr="00971297">
        <w:t>) :</w:t>
      </w:r>
    </w:p>
    <w:p w:rsidR="00C171E7" w:rsidRPr="00971297" w:rsidRDefault="00C171E7" w:rsidP="00B05C72">
      <w:pPr>
        <w:pStyle w:val="nutiret"/>
        <w:numPr>
          <w:ilvl w:val="0"/>
          <w:numId w:val="17"/>
        </w:numPr>
      </w:pPr>
      <w:r w:rsidRPr="00971297">
        <w:t>« Documentation et recherche » ;</w:t>
      </w:r>
    </w:p>
    <w:p w:rsidR="00C171E7" w:rsidRPr="00971297" w:rsidRDefault="00C171E7" w:rsidP="00B05C72">
      <w:pPr>
        <w:pStyle w:val="nutiret"/>
        <w:numPr>
          <w:ilvl w:val="0"/>
          <w:numId w:val="17"/>
        </w:numPr>
      </w:pPr>
      <w:r w:rsidRPr="00971297">
        <w:t>« Identification et définition » ;</w:t>
      </w:r>
    </w:p>
    <w:p w:rsidR="00C171E7" w:rsidRPr="00971297" w:rsidRDefault="00C171E7" w:rsidP="00B05C72">
      <w:pPr>
        <w:pStyle w:val="nutiret"/>
        <w:numPr>
          <w:ilvl w:val="0"/>
          <w:numId w:val="17"/>
        </w:numPr>
      </w:pPr>
      <w:r w:rsidRPr="00971297">
        <w:t>« Préservation et protection » ;</w:t>
      </w:r>
    </w:p>
    <w:p w:rsidR="00C171E7" w:rsidRPr="00971297" w:rsidRDefault="00C171E7" w:rsidP="00B05C72">
      <w:pPr>
        <w:pStyle w:val="nutiret"/>
        <w:numPr>
          <w:ilvl w:val="0"/>
          <w:numId w:val="17"/>
        </w:numPr>
      </w:pPr>
      <w:r w:rsidRPr="00971297">
        <w:t>« Promotion et mise en valeur » ; et</w:t>
      </w:r>
    </w:p>
    <w:p w:rsidR="00C171E7" w:rsidRPr="00971297" w:rsidRDefault="00C171E7" w:rsidP="00B05C72">
      <w:pPr>
        <w:pStyle w:val="nutiret"/>
        <w:numPr>
          <w:ilvl w:val="0"/>
          <w:numId w:val="17"/>
        </w:numPr>
      </w:pPr>
      <w:r w:rsidRPr="00971297">
        <w:t xml:space="preserve">« Transmission » (par exemple </w:t>
      </w:r>
      <w:r w:rsidR="00B05C72" w:rsidRPr="00971297">
        <w:t>à travers</w:t>
      </w:r>
      <w:r w:rsidRPr="00971297">
        <w:t xml:space="preserve"> l</w:t>
      </w:r>
      <w:r w:rsidR="001F7A0A" w:rsidRPr="00971297">
        <w:t>’</w:t>
      </w:r>
      <w:r w:rsidRPr="00971297">
        <w:t>éducation).</w:t>
      </w:r>
    </w:p>
    <w:p w:rsidR="00C171E7" w:rsidRPr="00971297" w:rsidRDefault="00C171E7" w:rsidP="00C41D44">
      <w:pPr>
        <w:pStyle w:val="Texte1"/>
      </w:pPr>
      <w:r w:rsidRPr="00971297">
        <w:t xml:space="preserve">Pour un examen approfondi de ces mesures, voir </w:t>
      </w:r>
      <w:r w:rsidR="00B654C3" w:rsidRPr="00971297">
        <w:t>l</w:t>
      </w:r>
      <w:r w:rsidR="001F7A0A" w:rsidRPr="00971297">
        <w:t>’</w:t>
      </w:r>
      <w:r w:rsidR="0040526F" w:rsidRPr="00971297">
        <w:t>U</w:t>
      </w:r>
      <w:r w:rsidR="00B654C3" w:rsidRPr="00971297">
        <w:t>nité</w:t>
      </w:r>
      <w:r w:rsidRPr="00971297">
        <w:t> 9.</w:t>
      </w:r>
    </w:p>
    <w:p w:rsidR="00C171E7" w:rsidRPr="00971297" w:rsidRDefault="00C171E7" w:rsidP="00FC1D9E">
      <w:pPr>
        <w:pStyle w:val="Heading6"/>
        <w:rPr>
          <w:lang w:val="fr-FR"/>
        </w:rPr>
      </w:pPr>
      <w:r w:rsidRPr="00971297">
        <w:rPr>
          <w:lang w:val="fr-FR"/>
        </w:rPr>
        <w:t>Diapositive 21</w:t>
      </w:r>
      <w:r w:rsidR="00D313D1" w:rsidRPr="00971297">
        <w:rPr>
          <w:lang w:val="fr-FR"/>
        </w:rPr>
        <w:t>.</w:t>
      </w:r>
    </w:p>
    <w:p w:rsidR="00C171E7" w:rsidRPr="00971297" w:rsidRDefault="00C171E7" w:rsidP="00C41D44">
      <w:pPr>
        <w:pStyle w:val="diapo2"/>
        <w:rPr>
          <w:lang w:val="fr-FR"/>
        </w:rPr>
      </w:pPr>
      <w:r w:rsidRPr="00971297">
        <w:rPr>
          <w:lang w:val="fr-FR"/>
        </w:rPr>
        <w:t>Rôle des communautés dans la sauvegarde</w:t>
      </w:r>
    </w:p>
    <w:p w:rsidR="00D313D1" w:rsidRPr="00971297" w:rsidRDefault="00C171E7" w:rsidP="00C41D44">
      <w:pPr>
        <w:pStyle w:val="Texte1"/>
      </w:pPr>
      <w:r w:rsidRPr="00971297">
        <w:t>Les communautés et les groupes (et, le cas échéant, les individus) concernés sont les gardiens de leur PCI et les principa</w:t>
      </w:r>
      <w:r w:rsidR="00F96A81" w:rsidRPr="00971297">
        <w:t>ux acteurs</w:t>
      </w:r>
      <w:r w:rsidRPr="00971297">
        <w:t xml:space="preserve"> responsables de sa transmission et de sa pratique. L</w:t>
      </w:r>
      <w:r w:rsidR="001F7A0A" w:rsidRPr="00971297">
        <w:t>’</w:t>
      </w:r>
      <w:r w:rsidRPr="00971297">
        <w:t>article 2.1 de la Convention dispose qu</w:t>
      </w:r>
      <w:r w:rsidR="001F7A0A" w:rsidRPr="00971297">
        <w:t>’</w:t>
      </w:r>
      <w:r w:rsidRPr="00971297">
        <w:t>il appartient aux communautés ou aux groupes de détenteurs de traditions de déterminer si une pratique ou une tradition donnée fait partie ou n</w:t>
      </w:r>
      <w:r w:rsidR="00BA1D2D">
        <w:t>on de leur patrimoine culturel.</w:t>
      </w:r>
    </w:p>
    <w:p w:rsidR="00C171E7" w:rsidRPr="00971297" w:rsidRDefault="00C171E7" w:rsidP="00C41D44">
      <w:pPr>
        <w:pStyle w:val="Texte1"/>
      </w:pPr>
      <w:r w:rsidRPr="00971297">
        <w:t>Ils sont aussi les mieux placés pour déterminer si une pratique ou une expression spécifique est importante pour leur identité ou leur sentiment de continuité, si cette pratique ou cette expression est ou non en danger, et si la communauté fait preuve d</w:t>
      </w:r>
      <w:r w:rsidR="001F7A0A" w:rsidRPr="00971297">
        <w:t>’</w:t>
      </w:r>
      <w:r w:rsidRPr="00971297">
        <w:t>un engagement suffisant pour que les mesures de sauvegarde soient entreprises avec succès.</w:t>
      </w:r>
    </w:p>
    <w:p w:rsidR="00C171E7" w:rsidRPr="00971297" w:rsidRDefault="00C171E7" w:rsidP="00C41D44">
      <w:pPr>
        <w:pStyle w:val="Texte1"/>
      </w:pPr>
      <w:r w:rsidRPr="00971297">
        <w:t>C</w:t>
      </w:r>
      <w:r w:rsidR="001F7A0A" w:rsidRPr="00971297">
        <w:t>’</w:t>
      </w:r>
      <w:r w:rsidRPr="00971297">
        <w:t>est pourquoi les États parties sont priés de s</w:t>
      </w:r>
      <w:r w:rsidR="001F7A0A" w:rsidRPr="00971297">
        <w:t>’</w:t>
      </w:r>
      <w:r w:rsidRPr="00971297">
        <w:t>assurer de la plus large participation possible des communautés, groupes et individus concernés (ou de leurs représentants) à toutes les activités concernant des éléments de leur PCI</w:t>
      </w:r>
      <w:r w:rsidR="00F96A81" w:rsidRPr="00971297">
        <w:t>,</w:t>
      </w:r>
      <w:r w:rsidRPr="00971297">
        <w:t xml:space="preserve"> qui sont entreprises dans le cadre de la mise en œuvre de la Convention.</w:t>
      </w:r>
    </w:p>
    <w:p w:rsidR="00C171E7" w:rsidRPr="00971297" w:rsidRDefault="0040526F" w:rsidP="00C41D44">
      <w:pPr>
        <w:pStyle w:val="Texte1"/>
      </w:pPr>
      <w:r w:rsidRPr="00971297">
        <w:rPr>
          <w:i/>
          <w:noProof/>
          <w:lang w:val="es-ES_tradnl" w:eastAsia="es-ES_tradnl"/>
        </w:rPr>
        <w:drawing>
          <wp:anchor distT="0" distB="0" distL="114300" distR="114300" simplePos="0" relativeHeight="251695616" behindDoc="0" locked="1" layoutInCell="1" allowOverlap="0" wp14:anchorId="05A2ABF6" wp14:editId="4CABAF05">
            <wp:simplePos x="0" y="0"/>
            <wp:positionH relativeFrom="margin">
              <wp:align>left</wp:align>
            </wp:positionH>
            <wp:positionV relativeFrom="paragraph">
              <wp:posOffset>-55245</wp:posOffset>
            </wp:positionV>
            <wp:extent cx="283210" cy="358775"/>
            <wp:effectExtent l="0" t="0" r="2540" b="3175"/>
            <wp:wrapThrough wrapText="bothSides">
              <wp:wrapPolygon edited="0">
                <wp:start x="0" y="0"/>
                <wp:lineTo x="0" y="20644"/>
                <wp:lineTo x="20341" y="20644"/>
                <wp:lineTo x="20341" y="0"/>
                <wp:lineTo x="0" y="0"/>
              </wp:wrapPolygon>
            </wp:wrapThrough>
            <wp:docPr id="675" name="Imag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71E7" w:rsidRPr="00971297">
        <w:t xml:space="preserve">Cette question est </w:t>
      </w:r>
      <w:r w:rsidR="00F96A81" w:rsidRPr="00971297">
        <w:t>trait</w:t>
      </w:r>
      <w:r w:rsidR="00C171E7" w:rsidRPr="00971297">
        <w:t xml:space="preserve">ée plus en détail </w:t>
      </w:r>
      <w:r w:rsidR="00AB1905" w:rsidRPr="00971297">
        <w:t xml:space="preserve">dans les </w:t>
      </w:r>
      <w:r w:rsidR="00010EB2" w:rsidRPr="00971297">
        <w:t>Unité</w:t>
      </w:r>
      <w:r w:rsidR="00265E40" w:rsidRPr="00971297">
        <w:t>s</w:t>
      </w:r>
      <w:r w:rsidR="00AB1905" w:rsidRPr="00971297">
        <w:t xml:space="preserve"> </w:t>
      </w:r>
      <w:r w:rsidR="00122B95" w:rsidRPr="00971297">
        <w:t xml:space="preserve">4 </w:t>
      </w:r>
      <w:r w:rsidR="00C171E7" w:rsidRPr="00971297">
        <w:t xml:space="preserve">et </w:t>
      </w:r>
      <w:r w:rsidR="00122B95" w:rsidRPr="00971297">
        <w:t>7</w:t>
      </w:r>
      <w:r w:rsidR="00426700" w:rsidRPr="00971297">
        <w:t>.</w:t>
      </w:r>
    </w:p>
    <w:p w:rsidR="00C171E7" w:rsidRPr="00971297" w:rsidRDefault="00C171E7" w:rsidP="00377843">
      <w:pPr>
        <w:pStyle w:val="Heading6"/>
        <w:rPr>
          <w:lang w:val="fr-FR"/>
        </w:rPr>
      </w:pPr>
      <w:r w:rsidRPr="00971297">
        <w:rPr>
          <w:lang w:val="fr-FR"/>
        </w:rPr>
        <w:t>Diapositive 22</w:t>
      </w:r>
      <w:bookmarkStart w:id="15" w:name="_Toc154220431"/>
      <w:bookmarkEnd w:id="12"/>
      <w:bookmarkEnd w:id="13"/>
      <w:bookmarkEnd w:id="14"/>
      <w:r w:rsidR="00B60E93" w:rsidRPr="00971297">
        <w:rPr>
          <w:lang w:val="fr-FR"/>
        </w:rPr>
        <w:t>.</w:t>
      </w:r>
    </w:p>
    <w:p w:rsidR="00017307" w:rsidRPr="00971297" w:rsidRDefault="00B60E93" w:rsidP="003E47A4">
      <w:pPr>
        <w:pStyle w:val="diapo2"/>
        <w:rPr>
          <w:lang w:val="fr-FR"/>
        </w:rPr>
      </w:pPr>
      <w:r w:rsidRPr="00971297">
        <w:rPr>
          <w:lang w:val="fr-FR"/>
        </w:rPr>
        <w:t>En conclusion</w:t>
      </w:r>
      <w:bookmarkEnd w:id="15"/>
    </w:p>
    <w:sectPr w:rsidR="00017307" w:rsidRPr="00971297" w:rsidSect="005B47C3">
      <w:headerReference w:type="even" r:id="rId24"/>
      <w:headerReference w:type="default" r:id="rId25"/>
      <w:footerReference w:type="even" r:id="rId26"/>
      <w:footerReference w:type="default" r:id="rId27"/>
      <w:headerReference w:type="first" r:id="rId28"/>
      <w:footerReference w:type="first" r:id="rId29"/>
      <w:footnotePr>
        <w:numStart w:val="3"/>
      </w:footnotePr>
      <w:type w:val="oddPage"/>
      <w:pgSz w:w="11906" w:h="16838"/>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6BB" w:rsidRDefault="00BF66BB">
      <w:r>
        <w:separator/>
      </w:r>
    </w:p>
    <w:p w:rsidR="00BF66BB" w:rsidRDefault="00BF66BB"/>
    <w:p w:rsidR="00BF66BB" w:rsidRDefault="00BF66BB"/>
    <w:p w:rsidR="00BF66BB" w:rsidRDefault="00BF66BB"/>
  </w:endnote>
  <w:endnote w:type="continuationSeparator" w:id="0">
    <w:p w:rsidR="00BF66BB" w:rsidRDefault="00BF66BB">
      <w:r>
        <w:continuationSeparator/>
      </w:r>
    </w:p>
    <w:p w:rsidR="00BF66BB" w:rsidRDefault="00BF66BB"/>
    <w:p w:rsidR="00BF66BB" w:rsidRDefault="00BF66BB"/>
    <w:p w:rsidR="00BF66BB" w:rsidRDefault="00BF6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B" w:rsidRPr="00D53593" w:rsidRDefault="001D0002" w:rsidP="00283F94">
    <w:pPr>
      <w:pStyle w:val="Footer"/>
      <w:ind w:right="360" w:firstLine="360"/>
    </w:pPr>
    <w:r>
      <w:rPr>
        <w:noProof/>
        <w:lang w:val="es-ES_tradnl" w:eastAsia="es-ES_tradnl"/>
      </w:rPr>
      <w:drawing>
        <wp:anchor distT="0" distB="0" distL="114300" distR="114300" simplePos="0" relativeHeight="251926528" behindDoc="0" locked="0" layoutInCell="1" allowOverlap="1" wp14:anchorId="78699771" wp14:editId="05E3D379">
          <wp:simplePos x="0" y="0"/>
          <wp:positionH relativeFrom="margin">
            <wp:align>left</wp:align>
          </wp:positionH>
          <wp:positionV relativeFrom="paragraph">
            <wp:posOffset>-358140</wp:posOffset>
          </wp:positionV>
          <wp:extent cx="839470" cy="6299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BF66BB" w:rsidRPr="00D53593">
      <w:tab/>
      <w:t>© UNESCO • Ne pas reprodu</w:t>
    </w:r>
    <w:r w:rsidR="00BF66BB">
      <w:t>ire sans autorisation</w:t>
    </w:r>
    <w:r w:rsidR="00BF66BB">
      <w:tab/>
      <w:t>U003</w:t>
    </w:r>
    <w:r w:rsidR="00844899">
      <w:t>-v1.1</w:t>
    </w:r>
    <w:r w:rsidR="00BF66BB" w:rsidRPr="00D53593">
      <w:t>-</w:t>
    </w:r>
    <w:r w:rsidR="00BF66BB">
      <w:t>FN</w:t>
    </w:r>
    <w:r w:rsidR="00BF66BB" w:rsidRPr="00D53593">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B" w:rsidRPr="00D53593" w:rsidRDefault="001D0002" w:rsidP="00283F94">
    <w:pPr>
      <w:pStyle w:val="Footer"/>
    </w:pPr>
    <w:r>
      <w:rPr>
        <w:noProof/>
        <w:lang w:val="es-ES_tradnl" w:eastAsia="es-ES_tradnl"/>
      </w:rPr>
      <w:drawing>
        <wp:anchor distT="0" distB="0" distL="114300" distR="114300" simplePos="0" relativeHeight="251928576" behindDoc="0" locked="0" layoutInCell="1" allowOverlap="1" wp14:anchorId="59D05EFD" wp14:editId="29D8F12B">
          <wp:simplePos x="0" y="0"/>
          <wp:positionH relativeFrom="margin">
            <wp:posOffset>4914265</wp:posOffset>
          </wp:positionH>
          <wp:positionV relativeFrom="paragraph">
            <wp:posOffset>-227330</wp:posOffset>
          </wp:positionV>
          <wp:extent cx="839470" cy="62992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BF66BB" w:rsidRPr="00D53593">
      <w:t>U</w:t>
    </w:r>
    <w:r w:rsidR="00BF66BB">
      <w:t>003</w:t>
    </w:r>
    <w:r w:rsidR="00844899">
      <w:t>-v1.1</w:t>
    </w:r>
    <w:r w:rsidR="00BF66BB" w:rsidRPr="00D53593">
      <w:t>-</w:t>
    </w:r>
    <w:r w:rsidR="00BF66BB">
      <w:t>FN</w:t>
    </w:r>
    <w:r w:rsidR="00BF66BB" w:rsidRPr="00D53593">
      <w:t xml:space="preserve">-FR </w:t>
    </w:r>
    <w:r w:rsidR="00BF66BB" w:rsidRPr="00D53593">
      <w:tab/>
      <w:t>© UNESCO • Ne pas reproduire sans autorisation</w:t>
    </w:r>
    <w:r w:rsidR="00BF66BB" w:rsidRPr="00D5359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B" w:rsidRPr="00D53593" w:rsidRDefault="001D0002">
    <w:pPr>
      <w:pStyle w:val="Footer"/>
    </w:pPr>
    <w:r>
      <w:rPr>
        <w:noProof/>
        <w:lang w:val="es-ES_tradnl" w:eastAsia="es-ES_tradnl"/>
      </w:rPr>
      <w:drawing>
        <wp:anchor distT="0" distB="0" distL="114300" distR="114300" simplePos="0" relativeHeight="251924480" behindDoc="0" locked="0" layoutInCell="1" allowOverlap="1" wp14:anchorId="6BAA9B79" wp14:editId="0B1B5058">
          <wp:simplePos x="0" y="0"/>
          <wp:positionH relativeFrom="margin">
            <wp:align>right</wp:align>
          </wp:positionH>
          <wp:positionV relativeFrom="paragraph">
            <wp:posOffset>-239395</wp:posOffset>
          </wp:positionV>
          <wp:extent cx="839470" cy="62992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BF66BB" w:rsidRPr="00D53593">
      <w:t>U</w:t>
    </w:r>
    <w:r w:rsidR="00BF66BB">
      <w:t>003</w:t>
    </w:r>
    <w:r w:rsidR="00844899">
      <w:t>-v1.1</w:t>
    </w:r>
    <w:r w:rsidR="00BF66BB" w:rsidRPr="00D53593">
      <w:t>-</w:t>
    </w:r>
    <w:r w:rsidR="00BF66BB">
      <w:t>FN</w:t>
    </w:r>
    <w:r w:rsidR="00BF66BB" w:rsidRPr="00D53593">
      <w:t xml:space="preserve">-FR </w:t>
    </w:r>
    <w:r w:rsidR="00BF66BB" w:rsidRPr="00D53593">
      <w:tab/>
      <w:t>© UNESCO • Ne pas reproduire sans autorisation</w:t>
    </w:r>
    <w:r w:rsidR="00BF66BB" w:rsidRPr="00D5359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6BB" w:rsidRDefault="00BF66BB" w:rsidP="00A3720C">
      <w:pPr>
        <w:spacing w:after="60"/>
      </w:pPr>
      <w:r>
        <w:separator/>
      </w:r>
    </w:p>
  </w:footnote>
  <w:footnote w:type="continuationSeparator" w:id="0">
    <w:p w:rsidR="00BF66BB" w:rsidRDefault="00BF66BB">
      <w:r>
        <w:continuationSeparator/>
      </w:r>
    </w:p>
    <w:p w:rsidR="00BF66BB" w:rsidRDefault="00BF66BB"/>
    <w:p w:rsidR="00BF66BB" w:rsidRDefault="00BF66BB"/>
    <w:p w:rsidR="00BF66BB" w:rsidRDefault="00BF66BB"/>
  </w:footnote>
  <w:footnote w:type="continuationNotice" w:id="1">
    <w:p w:rsidR="00BF66BB" w:rsidRDefault="00BF66BB">
      <w:pPr>
        <w:spacing w:after="0" w:line="240" w:lineRule="auto"/>
      </w:pPr>
    </w:p>
    <w:p w:rsidR="00BF66BB" w:rsidRDefault="00BF66BB"/>
  </w:footnote>
  <w:footnote w:id="2">
    <w:p w:rsidR="00BF66BB" w:rsidRPr="00844899" w:rsidRDefault="00BF66BB" w:rsidP="00844899">
      <w:pPr>
        <w:pStyle w:val="FootnoteText"/>
      </w:pPr>
      <w:r w:rsidRPr="00844899">
        <w:rPr>
          <w:rStyle w:val="FootnoteReference"/>
          <w:sz w:val="16"/>
          <w:szCs w:val="16"/>
          <w:vertAlign w:val="baseline"/>
        </w:rPr>
        <w:t>1</w:t>
      </w:r>
      <w:r w:rsidRPr="00844899">
        <w:t>.</w:t>
      </w:r>
      <w:r w:rsidRPr="00844899">
        <w:tab/>
        <w:t>Fréquemment appelée « Convention du patrimoine immatériel », « Convention de 2003 » et, aux fins de la présente unité, dite simplement « la Convention ».</w:t>
      </w:r>
    </w:p>
  </w:footnote>
  <w:footnote w:id="3">
    <w:p w:rsidR="00BF66BB" w:rsidRPr="00844899" w:rsidRDefault="00BF66BB" w:rsidP="00844899">
      <w:pPr>
        <w:pStyle w:val="FootnoteText"/>
      </w:pPr>
      <w:r w:rsidRPr="00844899">
        <w:rPr>
          <w:rStyle w:val="FootnoteReference"/>
          <w:sz w:val="16"/>
          <w:szCs w:val="16"/>
          <w:vertAlign w:val="baseline"/>
        </w:rPr>
        <w:t>2</w:t>
      </w:r>
      <w:r w:rsidR="00844899">
        <w:t>.</w:t>
      </w:r>
      <w:r w:rsidRPr="00844899">
        <w:t xml:space="preserve"> </w:t>
      </w:r>
      <w:r w:rsidRPr="00844899">
        <w:tab/>
        <w:t>UNESCO. Textes fondamentaux de la Convention de 2003 pour la sauvegarde du patrimoine culturel immatériel (dénommé ci-après ‘Textes fondamentaux’). Paris, UNESCO. Disponible à http://www.unesco.org/culture/ich/index.php?lg=fr&amp;pg=00503.</w:t>
      </w:r>
    </w:p>
  </w:footnote>
  <w:footnote w:id="4">
    <w:p w:rsidR="00031154" w:rsidRPr="00031154" w:rsidRDefault="00031154" w:rsidP="00031154">
      <w:pPr>
        <w:pStyle w:val="FootnoteText"/>
        <w:rPr>
          <w:rStyle w:val="FootnoteReference"/>
          <w:sz w:val="16"/>
          <w:szCs w:val="16"/>
          <w:vertAlign w:val="baseline"/>
        </w:rPr>
      </w:pPr>
      <w:r w:rsidRPr="00031154">
        <w:rPr>
          <w:rStyle w:val="FootnoteReference"/>
          <w:sz w:val="16"/>
          <w:szCs w:val="16"/>
          <w:vertAlign w:val="baseline"/>
        </w:rPr>
        <w:footnoteRef/>
      </w:r>
      <w:r>
        <w:rPr>
          <w:rStyle w:val="FootnoteReference"/>
          <w:sz w:val="16"/>
          <w:szCs w:val="16"/>
          <w:vertAlign w:val="baseline"/>
        </w:rPr>
        <w:t>.</w:t>
      </w:r>
      <w:r>
        <w:rPr>
          <w:rStyle w:val="FootnoteReference"/>
          <w:sz w:val="16"/>
          <w:szCs w:val="16"/>
          <w:vertAlign w:val="baseline"/>
        </w:rPr>
        <w:tab/>
      </w:r>
      <w:r w:rsidRPr="00031154">
        <w:t>C. Moseley (rédacteur en chef), 2010, Atlas des langues en danger dans le monde, 3e édition, Paris, UNESCO.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B" w:rsidRPr="003E47A4" w:rsidRDefault="00C129E3" w:rsidP="00C129E3">
    <w:pPr>
      <w:pStyle w:val="Header"/>
      <w:ind w:right="360"/>
    </w:pPr>
    <w:r>
      <w:rPr>
        <w:rStyle w:val="PageNumber"/>
      </w:rPr>
      <w:fldChar w:fldCharType="begin"/>
    </w:r>
    <w:r w:rsidRPr="00603A8C">
      <w:rPr>
        <w:rStyle w:val="PageNumber"/>
      </w:rPr>
      <w:instrText xml:space="preserve"> PAGE </w:instrText>
    </w:r>
    <w:r>
      <w:rPr>
        <w:rStyle w:val="PageNumber"/>
      </w:rPr>
      <w:fldChar w:fldCharType="separate"/>
    </w:r>
    <w:r w:rsidR="001D0002">
      <w:rPr>
        <w:rStyle w:val="PageNumber"/>
        <w:noProof/>
      </w:rPr>
      <w:t>16</w:t>
    </w:r>
    <w:r>
      <w:rPr>
        <w:rStyle w:val="PageNumber"/>
      </w:rPr>
      <w:fldChar w:fldCharType="end"/>
    </w:r>
    <w:r>
      <w:rPr>
        <w:rStyle w:val="PageNumber"/>
      </w:rPr>
      <w:tab/>
    </w:r>
    <w:r w:rsidR="00BF66BB">
      <w:t>Unité 3 : Concepts clés de la Convention</w:t>
    </w:r>
    <w:r w:rsidR="00BF66BB" w:rsidRPr="003E5C05">
      <w:t xml:space="preserve"> </w:t>
    </w:r>
    <w:r w:rsidR="00BF66BB">
      <w:tab/>
      <w:t xml:space="preserve"> Notes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B" w:rsidRDefault="00BF66BB" w:rsidP="00EA54BD">
    <w:pPr>
      <w:pStyle w:val="Header"/>
      <w:framePr w:wrap="around" w:vAnchor="text" w:hAnchor="margin" w:xAlign="outside" w:y="1"/>
      <w:rPr>
        <w:rStyle w:val="PageNumber"/>
        <w:sz w:val="20"/>
      </w:rPr>
    </w:pPr>
    <w:r>
      <w:rPr>
        <w:rStyle w:val="PageNumber"/>
      </w:rPr>
      <w:fldChar w:fldCharType="begin"/>
    </w:r>
    <w:r>
      <w:rPr>
        <w:rStyle w:val="PageNumber"/>
      </w:rPr>
      <w:instrText xml:space="preserve">PAGE </w:instrText>
    </w:r>
    <w:r>
      <w:rPr>
        <w:rStyle w:val="PageNumber"/>
      </w:rPr>
      <w:fldChar w:fldCharType="separate"/>
    </w:r>
    <w:r w:rsidR="001D0002">
      <w:rPr>
        <w:rStyle w:val="PageNumber"/>
        <w:noProof/>
      </w:rPr>
      <w:t>17</w:t>
    </w:r>
    <w:r>
      <w:rPr>
        <w:rStyle w:val="PageNumber"/>
      </w:rPr>
      <w:fldChar w:fldCharType="end"/>
    </w:r>
  </w:p>
  <w:p w:rsidR="00BF66BB" w:rsidRDefault="00BF66BB" w:rsidP="003E47A4">
    <w:pPr>
      <w:pStyle w:val="Header"/>
    </w:pPr>
    <w:r>
      <w:t>Notes du facilitateur</w:t>
    </w:r>
    <w:r>
      <w:rPr>
        <w:rStyle w:val="PageNumber"/>
      </w:rPr>
      <w:tab/>
      <w:t>Unité 3 : Concepts clés de la Convention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BB" w:rsidRPr="006943FD" w:rsidRDefault="00BF66BB" w:rsidP="006943FD">
    <w:pPr>
      <w:pStyle w:val="Header"/>
    </w:pPr>
    <w:r>
      <w:tab/>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9E50B0"/>
    <w:lvl w:ilvl="0">
      <w:start w:val="1"/>
      <w:numFmt w:val="decimal"/>
      <w:lvlText w:val="%1."/>
      <w:lvlJc w:val="left"/>
      <w:pPr>
        <w:tabs>
          <w:tab w:val="num" w:pos="1492"/>
        </w:tabs>
        <w:ind w:left="1492" w:hanging="360"/>
      </w:pPr>
    </w:lvl>
  </w:abstractNum>
  <w:abstractNum w:abstractNumId="1">
    <w:nsid w:val="FFFFFF7F"/>
    <w:multiLevelType w:val="singleLevel"/>
    <w:tmpl w:val="9BC09740"/>
    <w:lvl w:ilvl="0">
      <w:start w:val="1"/>
      <w:numFmt w:val="decimal"/>
      <w:lvlText w:val="%1."/>
      <w:lvlJc w:val="left"/>
      <w:pPr>
        <w:tabs>
          <w:tab w:val="num" w:pos="643"/>
        </w:tabs>
        <w:ind w:left="643" w:hanging="360"/>
      </w:pPr>
    </w:lvl>
  </w:abstractNum>
  <w:abstractNum w:abstractNumId="2">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D51A77"/>
    <w:multiLevelType w:val="hybridMultilevel"/>
    <w:tmpl w:val="2E746634"/>
    <w:lvl w:ilvl="0" w:tplc="59325000">
      <w:start w:val="1"/>
      <w:numFmt w:val="decimal"/>
      <w:pStyle w:val="Enumrotation"/>
      <w:lvlText w:val="%1."/>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7">
    <w:nsid w:val="3874069C"/>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3E78512A"/>
    <w:multiLevelType w:val="hybridMultilevel"/>
    <w:tmpl w:val="E7B6C4D4"/>
    <w:lvl w:ilvl="0" w:tplc="25E2CD48">
      <w:start w:val="1"/>
      <w:numFmt w:val="bullet"/>
      <w:pStyle w:val="Txtpucegras"/>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40C3572"/>
    <w:multiLevelType w:val="hybridMultilevel"/>
    <w:tmpl w:val="1B1EA6F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517775CA"/>
    <w:multiLevelType w:val="hybridMultilevel"/>
    <w:tmpl w:val="09BEFD9E"/>
    <w:lvl w:ilvl="0" w:tplc="040C0001">
      <w:start w:val="1"/>
      <w:numFmt w:val="bullet"/>
      <w:lvlText w:val=""/>
      <w:lvlJc w:val="left"/>
      <w:pPr>
        <w:ind w:left="3700" w:hanging="360"/>
      </w:pPr>
      <w:rPr>
        <w:rFonts w:ascii="Symbol" w:hAnsi="Symbol" w:hint="default"/>
      </w:rPr>
    </w:lvl>
    <w:lvl w:ilvl="1" w:tplc="040C0003" w:tentative="1">
      <w:start w:val="1"/>
      <w:numFmt w:val="bullet"/>
      <w:lvlText w:val="o"/>
      <w:lvlJc w:val="left"/>
      <w:pPr>
        <w:ind w:left="4420" w:hanging="360"/>
      </w:pPr>
      <w:rPr>
        <w:rFonts w:ascii="Courier New" w:hAnsi="Courier New" w:hint="default"/>
      </w:rPr>
    </w:lvl>
    <w:lvl w:ilvl="2" w:tplc="040C0005" w:tentative="1">
      <w:start w:val="1"/>
      <w:numFmt w:val="bullet"/>
      <w:lvlText w:val=""/>
      <w:lvlJc w:val="left"/>
      <w:pPr>
        <w:ind w:left="5140" w:hanging="360"/>
      </w:pPr>
      <w:rPr>
        <w:rFonts w:ascii="Wingdings" w:hAnsi="Wingdings" w:hint="default"/>
      </w:rPr>
    </w:lvl>
    <w:lvl w:ilvl="3" w:tplc="040C0001" w:tentative="1">
      <w:start w:val="1"/>
      <w:numFmt w:val="bullet"/>
      <w:lvlText w:val=""/>
      <w:lvlJc w:val="left"/>
      <w:pPr>
        <w:ind w:left="5860" w:hanging="360"/>
      </w:pPr>
      <w:rPr>
        <w:rFonts w:ascii="Symbol" w:hAnsi="Symbol" w:hint="default"/>
      </w:rPr>
    </w:lvl>
    <w:lvl w:ilvl="4" w:tplc="040C0003" w:tentative="1">
      <w:start w:val="1"/>
      <w:numFmt w:val="bullet"/>
      <w:lvlText w:val="o"/>
      <w:lvlJc w:val="left"/>
      <w:pPr>
        <w:ind w:left="6580" w:hanging="360"/>
      </w:pPr>
      <w:rPr>
        <w:rFonts w:ascii="Courier New" w:hAnsi="Courier New" w:hint="default"/>
      </w:rPr>
    </w:lvl>
    <w:lvl w:ilvl="5" w:tplc="040C0005" w:tentative="1">
      <w:start w:val="1"/>
      <w:numFmt w:val="bullet"/>
      <w:lvlText w:val=""/>
      <w:lvlJc w:val="left"/>
      <w:pPr>
        <w:ind w:left="7300" w:hanging="360"/>
      </w:pPr>
      <w:rPr>
        <w:rFonts w:ascii="Wingdings" w:hAnsi="Wingdings" w:hint="default"/>
      </w:rPr>
    </w:lvl>
    <w:lvl w:ilvl="6" w:tplc="040C0001" w:tentative="1">
      <w:start w:val="1"/>
      <w:numFmt w:val="bullet"/>
      <w:lvlText w:val=""/>
      <w:lvlJc w:val="left"/>
      <w:pPr>
        <w:ind w:left="8020" w:hanging="360"/>
      </w:pPr>
      <w:rPr>
        <w:rFonts w:ascii="Symbol" w:hAnsi="Symbol" w:hint="default"/>
      </w:rPr>
    </w:lvl>
    <w:lvl w:ilvl="7" w:tplc="040C0003" w:tentative="1">
      <w:start w:val="1"/>
      <w:numFmt w:val="bullet"/>
      <w:lvlText w:val="o"/>
      <w:lvlJc w:val="left"/>
      <w:pPr>
        <w:ind w:left="8740" w:hanging="360"/>
      </w:pPr>
      <w:rPr>
        <w:rFonts w:ascii="Courier New" w:hAnsi="Courier New" w:hint="default"/>
      </w:rPr>
    </w:lvl>
    <w:lvl w:ilvl="8" w:tplc="040C0005" w:tentative="1">
      <w:start w:val="1"/>
      <w:numFmt w:val="bullet"/>
      <w:lvlText w:val=""/>
      <w:lvlJc w:val="left"/>
      <w:pPr>
        <w:ind w:left="9460" w:hanging="360"/>
      </w:pPr>
      <w:rPr>
        <w:rFonts w:ascii="Wingdings" w:hAnsi="Wingdings" w:hint="default"/>
      </w:rPr>
    </w:lvl>
  </w:abstractNum>
  <w:abstractNum w:abstractNumId="13">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4">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BA0E3B"/>
    <w:multiLevelType w:val="hybridMultilevel"/>
    <w:tmpl w:val="601A219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8">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19"/>
  </w:num>
  <w:num w:numId="4">
    <w:abstractNumId w:val="3"/>
  </w:num>
  <w:num w:numId="5">
    <w:abstractNumId w:val="13"/>
  </w:num>
  <w:num w:numId="6">
    <w:abstractNumId w:val="8"/>
  </w:num>
  <w:num w:numId="7">
    <w:abstractNumId w:val="16"/>
  </w:num>
  <w:num w:numId="8">
    <w:abstractNumId w:val="9"/>
  </w:num>
  <w:num w:numId="9">
    <w:abstractNumId w:val="18"/>
  </w:num>
  <w:num w:numId="10">
    <w:abstractNumId w:val="10"/>
  </w:num>
  <w:num w:numId="11">
    <w:abstractNumId w:val="2"/>
  </w:num>
  <w:num w:numId="12">
    <w:abstractNumId w:val="4"/>
  </w:num>
  <w:num w:numId="13">
    <w:abstractNumId w:val="17"/>
  </w:num>
  <w:num w:numId="14">
    <w:abstractNumId w:val="5"/>
  </w:num>
  <w:num w:numId="15">
    <w:abstractNumId w:val="14"/>
  </w:num>
  <w:num w:numId="16">
    <w:abstractNumId w:val="15"/>
  </w:num>
  <w:num w:numId="17">
    <w:abstractNumId w:val="7"/>
  </w:num>
  <w:num w:numId="18">
    <w:abstractNumId w:val="12"/>
  </w:num>
  <w:num w:numId="19">
    <w:abstractNumId w:val="1"/>
  </w:num>
  <w:num w:numId="20">
    <w:abstractNumId w:val="0"/>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9" w:dllVersion="512" w:checkStyle="1"/>
  <w:activeWritingStyle w:appName="MSWord" w:lang="it-IT" w:vendorID="3" w:dllVersion="517" w:checkStyle="1"/>
  <w:proofState w:spelling="clean" w:grammar="clean"/>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20481"/>
  </w:hdrShapeDefaults>
  <w:footnotePr>
    <w:numStart w:val="3"/>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2460"/>
    <w:rsid w:val="000024FC"/>
    <w:rsid w:val="00002D5B"/>
    <w:rsid w:val="000034C9"/>
    <w:rsid w:val="000036C8"/>
    <w:rsid w:val="00003A26"/>
    <w:rsid w:val="00003CD3"/>
    <w:rsid w:val="00003E6A"/>
    <w:rsid w:val="0000482E"/>
    <w:rsid w:val="00005116"/>
    <w:rsid w:val="000052FC"/>
    <w:rsid w:val="000055A9"/>
    <w:rsid w:val="00005CEA"/>
    <w:rsid w:val="00005DEA"/>
    <w:rsid w:val="0000736E"/>
    <w:rsid w:val="000076A3"/>
    <w:rsid w:val="00007D53"/>
    <w:rsid w:val="00010EB2"/>
    <w:rsid w:val="00011866"/>
    <w:rsid w:val="000150A5"/>
    <w:rsid w:val="0001525C"/>
    <w:rsid w:val="0001596E"/>
    <w:rsid w:val="000160B4"/>
    <w:rsid w:val="000167B1"/>
    <w:rsid w:val="00017135"/>
    <w:rsid w:val="00017307"/>
    <w:rsid w:val="00017472"/>
    <w:rsid w:val="0001777D"/>
    <w:rsid w:val="00017873"/>
    <w:rsid w:val="000178CF"/>
    <w:rsid w:val="0002032C"/>
    <w:rsid w:val="00020BD2"/>
    <w:rsid w:val="000210BD"/>
    <w:rsid w:val="000211B1"/>
    <w:rsid w:val="00021C24"/>
    <w:rsid w:val="000236B7"/>
    <w:rsid w:val="00023A22"/>
    <w:rsid w:val="00023AC0"/>
    <w:rsid w:val="00024632"/>
    <w:rsid w:val="000251D7"/>
    <w:rsid w:val="00027384"/>
    <w:rsid w:val="000276FB"/>
    <w:rsid w:val="000277B9"/>
    <w:rsid w:val="00030C9D"/>
    <w:rsid w:val="00031154"/>
    <w:rsid w:val="00031B87"/>
    <w:rsid w:val="00031EC9"/>
    <w:rsid w:val="000327CA"/>
    <w:rsid w:val="000334F5"/>
    <w:rsid w:val="00034BFD"/>
    <w:rsid w:val="00034D2F"/>
    <w:rsid w:val="00035B78"/>
    <w:rsid w:val="00035EB7"/>
    <w:rsid w:val="000362CC"/>
    <w:rsid w:val="00036A54"/>
    <w:rsid w:val="00037326"/>
    <w:rsid w:val="0004227B"/>
    <w:rsid w:val="0004303A"/>
    <w:rsid w:val="00043F18"/>
    <w:rsid w:val="00043FBF"/>
    <w:rsid w:val="0004416F"/>
    <w:rsid w:val="00044BF5"/>
    <w:rsid w:val="00046690"/>
    <w:rsid w:val="00050FD8"/>
    <w:rsid w:val="0005107A"/>
    <w:rsid w:val="00051AEE"/>
    <w:rsid w:val="00052117"/>
    <w:rsid w:val="000530B0"/>
    <w:rsid w:val="0005336F"/>
    <w:rsid w:val="00053543"/>
    <w:rsid w:val="00053C05"/>
    <w:rsid w:val="00054AD3"/>
    <w:rsid w:val="000552C3"/>
    <w:rsid w:val="00055506"/>
    <w:rsid w:val="000558AE"/>
    <w:rsid w:val="00055A0F"/>
    <w:rsid w:val="00060951"/>
    <w:rsid w:val="00060B6A"/>
    <w:rsid w:val="000617C3"/>
    <w:rsid w:val="000628D6"/>
    <w:rsid w:val="00062A87"/>
    <w:rsid w:val="0006323D"/>
    <w:rsid w:val="0006366C"/>
    <w:rsid w:val="000641E9"/>
    <w:rsid w:val="00064AFB"/>
    <w:rsid w:val="00064D3A"/>
    <w:rsid w:val="000661C3"/>
    <w:rsid w:val="0006631A"/>
    <w:rsid w:val="000666CF"/>
    <w:rsid w:val="000713B8"/>
    <w:rsid w:val="00072024"/>
    <w:rsid w:val="000724F7"/>
    <w:rsid w:val="00072FA4"/>
    <w:rsid w:val="00073C22"/>
    <w:rsid w:val="0007448D"/>
    <w:rsid w:val="00075789"/>
    <w:rsid w:val="00075908"/>
    <w:rsid w:val="00076110"/>
    <w:rsid w:val="000775AC"/>
    <w:rsid w:val="0008028E"/>
    <w:rsid w:val="00080CA2"/>
    <w:rsid w:val="00081190"/>
    <w:rsid w:val="00081804"/>
    <w:rsid w:val="000819BA"/>
    <w:rsid w:val="00084552"/>
    <w:rsid w:val="00084D78"/>
    <w:rsid w:val="0008559F"/>
    <w:rsid w:val="00085AF1"/>
    <w:rsid w:val="00087661"/>
    <w:rsid w:val="00090451"/>
    <w:rsid w:val="000907E8"/>
    <w:rsid w:val="00090F69"/>
    <w:rsid w:val="000912CE"/>
    <w:rsid w:val="000918C8"/>
    <w:rsid w:val="000919BF"/>
    <w:rsid w:val="000922C7"/>
    <w:rsid w:val="0009281E"/>
    <w:rsid w:val="00093876"/>
    <w:rsid w:val="000940E7"/>
    <w:rsid w:val="00094D48"/>
    <w:rsid w:val="0009567F"/>
    <w:rsid w:val="000960B5"/>
    <w:rsid w:val="00097577"/>
    <w:rsid w:val="000A0053"/>
    <w:rsid w:val="000A035D"/>
    <w:rsid w:val="000A0892"/>
    <w:rsid w:val="000A123B"/>
    <w:rsid w:val="000A51D8"/>
    <w:rsid w:val="000A5824"/>
    <w:rsid w:val="000A5BBB"/>
    <w:rsid w:val="000B1473"/>
    <w:rsid w:val="000B152F"/>
    <w:rsid w:val="000B1FFA"/>
    <w:rsid w:val="000B22D4"/>
    <w:rsid w:val="000B29AF"/>
    <w:rsid w:val="000B306E"/>
    <w:rsid w:val="000B31CA"/>
    <w:rsid w:val="000B3200"/>
    <w:rsid w:val="000B57A3"/>
    <w:rsid w:val="000C0783"/>
    <w:rsid w:val="000C0E4A"/>
    <w:rsid w:val="000C0E50"/>
    <w:rsid w:val="000C1C3B"/>
    <w:rsid w:val="000C3162"/>
    <w:rsid w:val="000C352B"/>
    <w:rsid w:val="000C39F3"/>
    <w:rsid w:val="000C4ABF"/>
    <w:rsid w:val="000C4DC2"/>
    <w:rsid w:val="000C5AF8"/>
    <w:rsid w:val="000C6EA8"/>
    <w:rsid w:val="000C7454"/>
    <w:rsid w:val="000D10C8"/>
    <w:rsid w:val="000D1315"/>
    <w:rsid w:val="000D141A"/>
    <w:rsid w:val="000D243E"/>
    <w:rsid w:val="000D3555"/>
    <w:rsid w:val="000D44A5"/>
    <w:rsid w:val="000D46CA"/>
    <w:rsid w:val="000D4E8B"/>
    <w:rsid w:val="000D515B"/>
    <w:rsid w:val="000D53CA"/>
    <w:rsid w:val="000D545E"/>
    <w:rsid w:val="000D582B"/>
    <w:rsid w:val="000D589D"/>
    <w:rsid w:val="000D58BA"/>
    <w:rsid w:val="000D5B62"/>
    <w:rsid w:val="000D649B"/>
    <w:rsid w:val="000D66CB"/>
    <w:rsid w:val="000D6EF9"/>
    <w:rsid w:val="000D7A03"/>
    <w:rsid w:val="000E0109"/>
    <w:rsid w:val="000E225B"/>
    <w:rsid w:val="000E2729"/>
    <w:rsid w:val="000E2AC0"/>
    <w:rsid w:val="000E2BD9"/>
    <w:rsid w:val="000E2D46"/>
    <w:rsid w:val="000E4108"/>
    <w:rsid w:val="000E4B83"/>
    <w:rsid w:val="000E4BD3"/>
    <w:rsid w:val="000E4DEF"/>
    <w:rsid w:val="000E5274"/>
    <w:rsid w:val="000F17C1"/>
    <w:rsid w:val="000F2EA1"/>
    <w:rsid w:val="000F2FE1"/>
    <w:rsid w:val="000F4164"/>
    <w:rsid w:val="000F43C8"/>
    <w:rsid w:val="000F49FB"/>
    <w:rsid w:val="000F4C49"/>
    <w:rsid w:val="000F5573"/>
    <w:rsid w:val="000F6F72"/>
    <w:rsid w:val="000F7064"/>
    <w:rsid w:val="00100873"/>
    <w:rsid w:val="00100F8D"/>
    <w:rsid w:val="0010162C"/>
    <w:rsid w:val="001016C7"/>
    <w:rsid w:val="00101AF8"/>
    <w:rsid w:val="001022C4"/>
    <w:rsid w:val="0010231F"/>
    <w:rsid w:val="00102795"/>
    <w:rsid w:val="00102A51"/>
    <w:rsid w:val="00102D34"/>
    <w:rsid w:val="00103009"/>
    <w:rsid w:val="00103753"/>
    <w:rsid w:val="00103C45"/>
    <w:rsid w:val="00103EB6"/>
    <w:rsid w:val="0010611F"/>
    <w:rsid w:val="001065A7"/>
    <w:rsid w:val="00106CB9"/>
    <w:rsid w:val="001072F1"/>
    <w:rsid w:val="00107B38"/>
    <w:rsid w:val="001106DA"/>
    <w:rsid w:val="00111F7F"/>
    <w:rsid w:val="001121C7"/>
    <w:rsid w:val="001127C4"/>
    <w:rsid w:val="00112F76"/>
    <w:rsid w:val="00114778"/>
    <w:rsid w:val="00114FD8"/>
    <w:rsid w:val="00115472"/>
    <w:rsid w:val="001165B7"/>
    <w:rsid w:val="00116DA0"/>
    <w:rsid w:val="00116E5C"/>
    <w:rsid w:val="00120548"/>
    <w:rsid w:val="00121521"/>
    <w:rsid w:val="00122B95"/>
    <w:rsid w:val="00122B98"/>
    <w:rsid w:val="00123415"/>
    <w:rsid w:val="00123633"/>
    <w:rsid w:val="00123ADF"/>
    <w:rsid w:val="00123CD8"/>
    <w:rsid w:val="001247F9"/>
    <w:rsid w:val="00124A47"/>
    <w:rsid w:val="001253E2"/>
    <w:rsid w:val="00125E22"/>
    <w:rsid w:val="0012672E"/>
    <w:rsid w:val="00126962"/>
    <w:rsid w:val="001270C1"/>
    <w:rsid w:val="001274A4"/>
    <w:rsid w:val="001276F3"/>
    <w:rsid w:val="00127E2F"/>
    <w:rsid w:val="00130A97"/>
    <w:rsid w:val="00130C91"/>
    <w:rsid w:val="00131625"/>
    <w:rsid w:val="00131FFC"/>
    <w:rsid w:val="00132A0E"/>
    <w:rsid w:val="00132DB8"/>
    <w:rsid w:val="00133866"/>
    <w:rsid w:val="0013395E"/>
    <w:rsid w:val="00134982"/>
    <w:rsid w:val="001349C0"/>
    <w:rsid w:val="001350E8"/>
    <w:rsid w:val="00135289"/>
    <w:rsid w:val="001353F1"/>
    <w:rsid w:val="0013558D"/>
    <w:rsid w:val="001355EB"/>
    <w:rsid w:val="0013608A"/>
    <w:rsid w:val="00136593"/>
    <w:rsid w:val="00136AAD"/>
    <w:rsid w:val="00136EE1"/>
    <w:rsid w:val="00137ADC"/>
    <w:rsid w:val="00137E4D"/>
    <w:rsid w:val="00140249"/>
    <w:rsid w:val="00140749"/>
    <w:rsid w:val="00140E2F"/>
    <w:rsid w:val="00141B53"/>
    <w:rsid w:val="00141EBD"/>
    <w:rsid w:val="00142BEC"/>
    <w:rsid w:val="00144785"/>
    <w:rsid w:val="0014520A"/>
    <w:rsid w:val="00146650"/>
    <w:rsid w:val="001467B2"/>
    <w:rsid w:val="0014731A"/>
    <w:rsid w:val="0014743C"/>
    <w:rsid w:val="00150C21"/>
    <w:rsid w:val="00152636"/>
    <w:rsid w:val="00152E76"/>
    <w:rsid w:val="0015391C"/>
    <w:rsid w:val="00153E56"/>
    <w:rsid w:val="00154919"/>
    <w:rsid w:val="00154E49"/>
    <w:rsid w:val="00155107"/>
    <w:rsid w:val="0015516A"/>
    <w:rsid w:val="00155857"/>
    <w:rsid w:val="0015649B"/>
    <w:rsid w:val="00156ECC"/>
    <w:rsid w:val="00157371"/>
    <w:rsid w:val="00157892"/>
    <w:rsid w:val="00160A8B"/>
    <w:rsid w:val="00161833"/>
    <w:rsid w:val="001626B4"/>
    <w:rsid w:val="001629D3"/>
    <w:rsid w:val="00162FAA"/>
    <w:rsid w:val="00165C70"/>
    <w:rsid w:val="00166561"/>
    <w:rsid w:val="00166562"/>
    <w:rsid w:val="00166579"/>
    <w:rsid w:val="001669BD"/>
    <w:rsid w:val="00166A98"/>
    <w:rsid w:val="0016715F"/>
    <w:rsid w:val="00167570"/>
    <w:rsid w:val="00167ACF"/>
    <w:rsid w:val="0017184D"/>
    <w:rsid w:val="00172984"/>
    <w:rsid w:val="00172A8D"/>
    <w:rsid w:val="00173437"/>
    <w:rsid w:val="00173701"/>
    <w:rsid w:val="00174300"/>
    <w:rsid w:val="001745AE"/>
    <w:rsid w:val="0017470A"/>
    <w:rsid w:val="00175067"/>
    <w:rsid w:val="00176FA1"/>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156E"/>
    <w:rsid w:val="00193009"/>
    <w:rsid w:val="00193DAC"/>
    <w:rsid w:val="00195C6E"/>
    <w:rsid w:val="00196B75"/>
    <w:rsid w:val="00197FC4"/>
    <w:rsid w:val="001A14FD"/>
    <w:rsid w:val="001A198F"/>
    <w:rsid w:val="001A1F57"/>
    <w:rsid w:val="001A276E"/>
    <w:rsid w:val="001A29DB"/>
    <w:rsid w:val="001A3767"/>
    <w:rsid w:val="001A4168"/>
    <w:rsid w:val="001A4E37"/>
    <w:rsid w:val="001A4F7F"/>
    <w:rsid w:val="001A5039"/>
    <w:rsid w:val="001A5FAB"/>
    <w:rsid w:val="001A60A5"/>
    <w:rsid w:val="001A650E"/>
    <w:rsid w:val="001A7412"/>
    <w:rsid w:val="001B12BA"/>
    <w:rsid w:val="001B211E"/>
    <w:rsid w:val="001B2BCF"/>
    <w:rsid w:val="001B34F3"/>
    <w:rsid w:val="001B3B3A"/>
    <w:rsid w:val="001B557E"/>
    <w:rsid w:val="001B5BAD"/>
    <w:rsid w:val="001B5D9A"/>
    <w:rsid w:val="001B6053"/>
    <w:rsid w:val="001B7837"/>
    <w:rsid w:val="001B7DB8"/>
    <w:rsid w:val="001C0002"/>
    <w:rsid w:val="001C1066"/>
    <w:rsid w:val="001C1AB6"/>
    <w:rsid w:val="001C20D5"/>
    <w:rsid w:val="001C280A"/>
    <w:rsid w:val="001C563B"/>
    <w:rsid w:val="001C6758"/>
    <w:rsid w:val="001C7271"/>
    <w:rsid w:val="001C765E"/>
    <w:rsid w:val="001D0002"/>
    <w:rsid w:val="001D0B1A"/>
    <w:rsid w:val="001D1053"/>
    <w:rsid w:val="001D10E4"/>
    <w:rsid w:val="001D119F"/>
    <w:rsid w:val="001D1D87"/>
    <w:rsid w:val="001D31FB"/>
    <w:rsid w:val="001D386F"/>
    <w:rsid w:val="001D5735"/>
    <w:rsid w:val="001D5C73"/>
    <w:rsid w:val="001D757D"/>
    <w:rsid w:val="001E0534"/>
    <w:rsid w:val="001E0D98"/>
    <w:rsid w:val="001E0F6D"/>
    <w:rsid w:val="001E1651"/>
    <w:rsid w:val="001E1B15"/>
    <w:rsid w:val="001E2E53"/>
    <w:rsid w:val="001E3C3D"/>
    <w:rsid w:val="001E42AF"/>
    <w:rsid w:val="001E4AF9"/>
    <w:rsid w:val="001E5D64"/>
    <w:rsid w:val="001E7A7C"/>
    <w:rsid w:val="001E7BE5"/>
    <w:rsid w:val="001F030A"/>
    <w:rsid w:val="001F0887"/>
    <w:rsid w:val="001F2479"/>
    <w:rsid w:val="001F28BE"/>
    <w:rsid w:val="001F3A2D"/>
    <w:rsid w:val="001F4A2B"/>
    <w:rsid w:val="001F52D4"/>
    <w:rsid w:val="001F69EA"/>
    <w:rsid w:val="001F6BC3"/>
    <w:rsid w:val="001F778A"/>
    <w:rsid w:val="001F77F9"/>
    <w:rsid w:val="001F7A0A"/>
    <w:rsid w:val="001F7BEB"/>
    <w:rsid w:val="001F7DE2"/>
    <w:rsid w:val="00200AEF"/>
    <w:rsid w:val="0020179C"/>
    <w:rsid w:val="00202220"/>
    <w:rsid w:val="0020231A"/>
    <w:rsid w:val="00202579"/>
    <w:rsid w:val="002063EC"/>
    <w:rsid w:val="0020660F"/>
    <w:rsid w:val="00206A2B"/>
    <w:rsid w:val="00206E74"/>
    <w:rsid w:val="00211492"/>
    <w:rsid w:val="0021158C"/>
    <w:rsid w:val="002121AF"/>
    <w:rsid w:val="002127C1"/>
    <w:rsid w:val="00213000"/>
    <w:rsid w:val="00214198"/>
    <w:rsid w:val="00214560"/>
    <w:rsid w:val="00214A16"/>
    <w:rsid w:val="00215F96"/>
    <w:rsid w:val="00217965"/>
    <w:rsid w:val="00220D60"/>
    <w:rsid w:val="00221809"/>
    <w:rsid w:val="002226F2"/>
    <w:rsid w:val="002241C2"/>
    <w:rsid w:val="00224AD9"/>
    <w:rsid w:val="00224BD4"/>
    <w:rsid w:val="00225583"/>
    <w:rsid w:val="0022573B"/>
    <w:rsid w:val="00226179"/>
    <w:rsid w:val="00226CD7"/>
    <w:rsid w:val="00227867"/>
    <w:rsid w:val="00230657"/>
    <w:rsid w:val="00230BF2"/>
    <w:rsid w:val="00230F4B"/>
    <w:rsid w:val="00231A98"/>
    <w:rsid w:val="00232DFE"/>
    <w:rsid w:val="002331B7"/>
    <w:rsid w:val="00233208"/>
    <w:rsid w:val="00234207"/>
    <w:rsid w:val="002357BC"/>
    <w:rsid w:val="00235AA3"/>
    <w:rsid w:val="00235D7C"/>
    <w:rsid w:val="00236002"/>
    <w:rsid w:val="00237E97"/>
    <w:rsid w:val="0024007C"/>
    <w:rsid w:val="00241BE2"/>
    <w:rsid w:val="00241C01"/>
    <w:rsid w:val="0024204F"/>
    <w:rsid w:val="002434C3"/>
    <w:rsid w:val="00243A2E"/>
    <w:rsid w:val="002441FE"/>
    <w:rsid w:val="002453B1"/>
    <w:rsid w:val="0024596F"/>
    <w:rsid w:val="0024622C"/>
    <w:rsid w:val="002467E2"/>
    <w:rsid w:val="00247E4F"/>
    <w:rsid w:val="00250CC2"/>
    <w:rsid w:val="00250F77"/>
    <w:rsid w:val="002512C7"/>
    <w:rsid w:val="002517A0"/>
    <w:rsid w:val="002517D6"/>
    <w:rsid w:val="002524B5"/>
    <w:rsid w:val="00253558"/>
    <w:rsid w:val="00254FEB"/>
    <w:rsid w:val="0025672C"/>
    <w:rsid w:val="00256AA7"/>
    <w:rsid w:val="00257F3B"/>
    <w:rsid w:val="0026074D"/>
    <w:rsid w:val="002608C6"/>
    <w:rsid w:val="00260C53"/>
    <w:rsid w:val="002623C8"/>
    <w:rsid w:val="00263AC6"/>
    <w:rsid w:val="002641DB"/>
    <w:rsid w:val="00264B7C"/>
    <w:rsid w:val="00264C28"/>
    <w:rsid w:val="00264FC8"/>
    <w:rsid w:val="00265E40"/>
    <w:rsid w:val="00265F48"/>
    <w:rsid w:val="0026676B"/>
    <w:rsid w:val="00266987"/>
    <w:rsid w:val="00266C99"/>
    <w:rsid w:val="002671F5"/>
    <w:rsid w:val="00267A99"/>
    <w:rsid w:val="00267E7D"/>
    <w:rsid w:val="00267EBE"/>
    <w:rsid w:val="00267F5D"/>
    <w:rsid w:val="0027032B"/>
    <w:rsid w:val="00270455"/>
    <w:rsid w:val="002707A1"/>
    <w:rsid w:val="00270E88"/>
    <w:rsid w:val="002710CE"/>
    <w:rsid w:val="00272784"/>
    <w:rsid w:val="00273685"/>
    <w:rsid w:val="002739D9"/>
    <w:rsid w:val="00273A4E"/>
    <w:rsid w:val="00273EB9"/>
    <w:rsid w:val="00274E8C"/>
    <w:rsid w:val="002756B3"/>
    <w:rsid w:val="00275DD8"/>
    <w:rsid w:val="00277990"/>
    <w:rsid w:val="00277D66"/>
    <w:rsid w:val="002803BA"/>
    <w:rsid w:val="002815E0"/>
    <w:rsid w:val="00281E9E"/>
    <w:rsid w:val="00283F94"/>
    <w:rsid w:val="00286021"/>
    <w:rsid w:val="00286600"/>
    <w:rsid w:val="00286769"/>
    <w:rsid w:val="00286DC5"/>
    <w:rsid w:val="00287297"/>
    <w:rsid w:val="00287B37"/>
    <w:rsid w:val="0029042B"/>
    <w:rsid w:val="0029133B"/>
    <w:rsid w:val="0029160C"/>
    <w:rsid w:val="002923E7"/>
    <w:rsid w:val="002928A5"/>
    <w:rsid w:val="00294285"/>
    <w:rsid w:val="0029544A"/>
    <w:rsid w:val="002956A6"/>
    <w:rsid w:val="00297A9E"/>
    <w:rsid w:val="002A06A2"/>
    <w:rsid w:val="002A152B"/>
    <w:rsid w:val="002A19F6"/>
    <w:rsid w:val="002A25BF"/>
    <w:rsid w:val="002A32A1"/>
    <w:rsid w:val="002A3811"/>
    <w:rsid w:val="002A3883"/>
    <w:rsid w:val="002A4DB5"/>
    <w:rsid w:val="002A4E28"/>
    <w:rsid w:val="002A5A11"/>
    <w:rsid w:val="002A5A4B"/>
    <w:rsid w:val="002A5C93"/>
    <w:rsid w:val="002A6628"/>
    <w:rsid w:val="002A6E5D"/>
    <w:rsid w:val="002A7674"/>
    <w:rsid w:val="002A784E"/>
    <w:rsid w:val="002A790F"/>
    <w:rsid w:val="002B0F86"/>
    <w:rsid w:val="002B190C"/>
    <w:rsid w:val="002B1BB4"/>
    <w:rsid w:val="002B1F94"/>
    <w:rsid w:val="002B22E8"/>
    <w:rsid w:val="002B317A"/>
    <w:rsid w:val="002B36AD"/>
    <w:rsid w:val="002B37EF"/>
    <w:rsid w:val="002B3AFD"/>
    <w:rsid w:val="002B4262"/>
    <w:rsid w:val="002B4404"/>
    <w:rsid w:val="002B4A10"/>
    <w:rsid w:val="002B4F29"/>
    <w:rsid w:val="002B522D"/>
    <w:rsid w:val="002B654D"/>
    <w:rsid w:val="002B7C8B"/>
    <w:rsid w:val="002C015D"/>
    <w:rsid w:val="002C039C"/>
    <w:rsid w:val="002C2D09"/>
    <w:rsid w:val="002C33F1"/>
    <w:rsid w:val="002C38D0"/>
    <w:rsid w:val="002C3CB3"/>
    <w:rsid w:val="002C500A"/>
    <w:rsid w:val="002C5AEE"/>
    <w:rsid w:val="002C5D6C"/>
    <w:rsid w:val="002C6A97"/>
    <w:rsid w:val="002D0CB7"/>
    <w:rsid w:val="002D1573"/>
    <w:rsid w:val="002D21FE"/>
    <w:rsid w:val="002D2D71"/>
    <w:rsid w:val="002D37F4"/>
    <w:rsid w:val="002D4CB0"/>
    <w:rsid w:val="002D552C"/>
    <w:rsid w:val="002D612F"/>
    <w:rsid w:val="002D71C2"/>
    <w:rsid w:val="002D7618"/>
    <w:rsid w:val="002E02AF"/>
    <w:rsid w:val="002E1379"/>
    <w:rsid w:val="002E17E4"/>
    <w:rsid w:val="002E28C4"/>
    <w:rsid w:val="002E2A2F"/>
    <w:rsid w:val="002E2A54"/>
    <w:rsid w:val="002E2F88"/>
    <w:rsid w:val="002E3503"/>
    <w:rsid w:val="002E3AEA"/>
    <w:rsid w:val="002E3C53"/>
    <w:rsid w:val="002E40D3"/>
    <w:rsid w:val="002E45D2"/>
    <w:rsid w:val="002E4707"/>
    <w:rsid w:val="002E4904"/>
    <w:rsid w:val="002E501C"/>
    <w:rsid w:val="002E665C"/>
    <w:rsid w:val="002E6B9B"/>
    <w:rsid w:val="002E6F03"/>
    <w:rsid w:val="002E736F"/>
    <w:rsid w:val="002E7E46"/>
    <w:rsid w:val="002F202B"/>
    <w:rsid w:val="002F239A"/>
    <w:rsid w:val="002F36AB"/>
    <w:rsid w:val="002F39DB"/>
    <w:rsid w:val="002F42F6"/>
    <w:rsid w:val="002F467F"/>
    <w:rsid w:val="002F4AD1"/>
    <w:rsid w:val="002F51AA"/>
    <w:rsid w:val="002F5CE0"/>
    <w:rsid w:val="002F5E05"/>
    <w:rsid w:val="002F725E"/>
    <w:rsid w:val="002F7A67"/>
    <w:rsid w:val="002F7BF3"/>
    <w:rsid w:val="00300A9A"/>
    <w:rsid w:val="00300D14"/>
    <w:rsid w:val="0030107D"/>
    <w:rsid w:val="003020D6"/>
    <w:rsid w:val="00302609"/>
    <w:rsid w:val="00302CD2"/>
    <w:rsid w:val="00302DC4"/>
    <w:rsid w:val="00303924"/>
    <w:rsid w:val="00303DBB"/>
    <w:rsid w:val="00304707"/>
    <w:rsid w:val="00304F24"/>
    <w:rsid w:val="00305185"/>
    <w:rsid w:val="003051FE"/>
    <w:rsid w:val="00305C00"/>
    <w:rsid w:val="00307279"/>
    <w:rsid w:val="003075FD"/>
    <w:rsid w:val="003076C4"/>
    <w:rsid w:val="0031039E"/>
    <w:rsid w:val="003107E2"/>
    <w:rsid w:val="00310B46"/>
    <w:rsid w:val="00311445"/>
    <w:rsid w:val="00312B2C"/>
    <w:rsid w:val="00312F62"/>
    <w:rsid w:val="0031317F"/>
    <w:rsid w:val="003132AB"/>
    <w:rsid w:val="00314C9A"/>
    <w:rsid w:val="00314EBC"/>
    <w:rsid w:val="00315C72"/>
    <w:rsid w:val="00316009"/>
    <w:rsid w:val="00316EF3"/>
    <w:rsid w:val="003174D3"/>
    <w:rsid w:val="00317930"/>
    <w:rsid w:val="00317E08"/>
    <w:rsid w:val="003220F7"/>
    <w:rsid w:val="003221D3"/>
    <w:rsid w:val="0032229E"/>
    <w:rsid w:val="00322AF5"/>
    <w:rsid w:val="0032334C"/>
    <w:rsid w:val="00324011"/>
    <w:rsid w:val="003254C5"/>
    <w:rsid w:val="0032570F"/>
    <w:rsid w:val="003262B6"/>
    <w:rsid w:val="00326474"/>
    <w:rsid w:val="00326AA2"/>
    <w:rsid w:val="00326CAA"/>
    <w:rsid w:val="003278C2"/>
    <w:rsid w:val="00327CD8"/>
    <w:rsid w:val="00332914"/>
    <w:rsid w:val="00332B83"/>
    <w:rsid w:val="00332E47"/>
    <w:rsid w:val="003334AC"/>
    <w:rsid w:val="003339EC"/>
    <w:rsid w:val="003342FF"/>
    <w:rsid w:val="00334513"/>
    <w:rsid w:val="0033547B"/>
    <w:rsid w:val="00336EAA"/>
    <w:rsid w:val="00337B7E"/>
    <w:rsid w:val="0034070F"/>
    <w:rsid w:val="00340983"/>
    <w:rsid w:val="003409E5"/>
    <w:rsid w:val="003419A4"/>
    <w:rsid w:val="00342569"/>
    <w:rsid w:val="00342D2F"/>
    <w:rsid w:val="00342F18"/>
    <w:rsid w:val="00343771"/>
    <w:rsid w:val="0034439E"/>
    <w:rsid w:val="0034683D"/>
    <w:rsid w:val="00346D18"/>
    <w:rsid w:val="00351B2E"/>
    <w:rsid w:val="00351F16"/>
    <w:rsid w:val="0035207A"/>
    <w:rsid w:val="00352186"/>
    <w:rsid w:val="003521C3"/>
    <w:rsid w:val="003523CB"/>
    <w:rsid w:val="003536F3"/>
    <w:rsid w:val="00354F1B"/>
    <w:rsid w:val="00355D8F"/>
    <w:rsid w:val="0035671C"/>
    <w:rsid w:val="00357999"/>
    <w:rsid w:val="0036046E"/>
    <w:rsid w:val="00361BC5"/>
    <w:rsid w:val="00363690"/>
    <w:rsid w:val="0036543A"/>
    <w:rsid w:val="00365CCA"/>
    <w:rsid w:val="00366AD0"/>
    <w:rsid w:val="00367C7D"/>
    <w:rsid w:val="00367CCC"/>
    <w:rsid w:val="003706F3"/>
    <w:rsid w:val="00371D94"/>
    <w:rsid w:val="00372479"/>
    <w:rsid w:val="00372803"/>
    <w:rsid w:val="00372B55"/>
    <w:rsid w:val="00372BF7"/>
    <w:rsid w:val="00373084"/>
    <w:rsid w:val="00375218"/>
    <w:rsid w:val="00375B85"/>
    <w:rsid w:val="00376583"/>
    <w:rsid w:val="00376A94"/>
    <w:rsid w:val="00376F4F"/>
    <w:rsid w:val="00376F69"/>
    <w:rsid w:val="00377843"/>
    <w:rsid w:val="00377A72"/>
    <w:rsid w:val="00377AB4"/>
    <w:rsid w:val="00377B1E"/>
    <w:rsid w:val="00380F5D"/>
    <w:rsid w:val="0038107E"/>
    <w:rsid w:val="00381315"/>
    <w:rsid w:val="00381C59"/>
    <w:rsid w:val="00381EF2"/>
    <w:rsid w:val="00382E16"/>
    <w:rsid w:val="00383514"/>
    <w:rsid w:val="00383DC7"/>
    <w:rsid w:val="00383EC4"/>
    <w:rsid w:val="00384EB3"/>
    <w:rsid w:val="00384FD7"/>
    <w:rsid w:val="003858DE"/>
    <w:rsid w:val="00385D5F"/>
    <w:rsid w:val="00386478"/>
    <w:rsid w:val="003867D8"/>
    <w:rsid w:val="00386A0C"/>
    <w:rsid w:val="00387158"/>
    <w:rsid w:val="0038736E"/>
    <w:rsid w:val="0038750C"/>
    <w:rsid w:val="0039161E"/>
    <w:rsid w:val="00391658"/>
    <w:rsid w:val="00391EF4"/>
    <w:rsid w:val="003920FB"/>
    <w:rsid w:val="00392875"/>
    <w:rsid w:val="00393452"/>
    <w:rsid w:val="00393B87"/>
    <w:rsid w:val="00394043"/>
    <w:rsid w:val="003944BC"/>
    <w:rsid w:val="0039458F"/>
    <w:rsid w:val="00395388"/>
    <w:rsid w:val="003954AD"/>
    <w:rsid w:val="003967C2"/>
    <w:rsid w:val="00396B12"/>
    <w:rsid w:val="003A01E3"/>
    <w:rsid w:val="003A040F"/>
    <w:rsid w:val="003A077A"/>
    <w:rsid w:val="003A4241"/>
    <w:rsid w:val="003A440F"/>
    <w:rsid w:val="003A473B"/>
    <w:rsid w:val="003A5FE8"/>
    <w:rsid w:val="003A6131"/>
    <w:rsid w:val="003A6CE5"/>
    <w:rsid w:val="003A6F24"/>
    <w:rsid w:val="003A7621"/>
    <w:rsid w:val="003B05AB"/>
    <w:rsid w:val="003B088A"/>
    <w:rsid w:val="003B0C17"/>
    <w:rsid w:val="003B0F05"/>
    <w:rsid w:val="003B15D0"/>
    <w:rsid w:val="003B1FD3"/>
    <w:rsid w:val="003B38C1"/>
    <w:rsid w:val="003B4ACE"/>
    <w:rsid w:val="003B4E91"/>
    <w:rsid w:val="003B5806"/>
    <w:rsid w:val="003B58C7"/>
    <w:rsid w:val="003B6AFD"/>
    <w:rsid w:val="003B70D6"/>
    <w:rsid w:val="003B735A"/>
    <w:rsid w:val="003B7543"/>
    <w:rsid w:val="003B7927"/>
    <w:rsid w:val="003B7FCE"/>
    <w:rsid w:val="003C0167"/>
    <w:rsid w:val="003C0A7D"/>
    <w:rsid w:val="003C2263"/>
    <w:rsid w:val="003C28BB"/>
    <w:rsid w:val="003C567D"/>
    <w:rsid w:val="003C5701"/>
    <w:rsid w:val="003C7B76"/>
    <w:rsid w:val="003C7E84"/>
    <w:rsid w:val="003D105B"/>
    <w:rsid w:val="003D1AF8"/>
    <w:rsid w:val="003D2106"/>
    <w:rsid w:val="003D35F9"/>
    <w:rsid w:val="003D38D6"/>
    <w:rsid w:val="003D4B57"/>
    <w:rsid w:val="003D55FC"/>
    <w:rsid w:val="003D5B77"/>
    <w:rsid w:val="003D655F"/>
    <w:rsid w:val="003D6C74"/>
    <w:rsid w:val="003D7424"/>
    <w:rsid w:val="003D7FF2"/>
    <w:rsid w:val="003E015D"/>
    <w:rsid w:val="003E044E"/>
    <w:rsid w:val="003E1093"/>
    <w:rsid w:val="003E3481"/>
    <w:rsid w:val="003E3E97"/>
    <w:rsid w:val="003E3E9D"/>
    <w:rsid w:val="003E47A4"/>
    <w:rsid w:val="003E480A"/>
    <w:rsid w:val="003E4829"/>
    <w:rsid w:val="003E5A0A"/>
    <w:rsid w:val="003E5C05"/>
    <w:rsid w:val="003E652F"/>
    <w:rsid w:val="003E7107"/>
    <w:rsid w:val="003E7182"/>
    <w:rsid w:val="003E776A"/>
    <w:rsid w:val="003F0682"/>
    <w:rsid w:val="003F1FAF"/>
    <w:rsid w:val="003F302A"/>
    <w:rsid w:val="003F32CA"/>
    <w:rsid w:val="003F3A6E"/>
    <w:rsid w:val="003F3B74"/>
    <w:rsid w:val="003F47BF"/>
    <w:rsid w:val="003F4D15"/>
    <w:rsid w:val="003F4D9B"/>
    <w:rsid w:val="003F654C"/>
    <w:rsid w:val="003F6917"/>
    <w:rsid w:val="003F6F77"/>
    <w:rsid w:val="003F704E"/>
    <w:rsid w:val="003F7134"/>
    <w:rsid w:val="003F7C90"/>
    <w:rsid w:val="004000B9"/>
    <w:rsid w:val="00400354"/>
    <w:rsid w:val="00400C97"/>
    <w:rsid w:val="00400EC2"/>
    <w:rsid w:val="0040131F"/>
    <w:rsid w:val="00401F21"/>
    <w:rsid w:val="0040394A"/>
    <w:rsid w:val="00403B78"/>
    <w:rsid w:val="00403BFF"/>
    <w:rsid w:val="00403DC2"/>
    <w:rsid w:val="00404FD8"/>
    <w:rsid w:val="0040526F"/>
    <w:rsid w:val="004075AE"/>
    <w:rsid w:val="00411218"/>
    <w:rsid w:val="00411E19"/>
    <w:rsid w:val="00411F9A"/>
    <w:rsid w:val="004125AD"/>
    <w:rsid w:val="00412A6F"/>
    <w:rsid w:val="00412BB9"/>
    <w:rsid w:val="00412E08"/>
    <w:rsid w:val="00413CF5"/>
    <w:rsid w:val="004159FB"/>
    <w:rsid w:val="0041751F"/>
    <w:rsid w:val="00417E5F"/>
    <w:rsid w:val="00417FB5"/>
    <w:rsid w:val="0042110A"/>
    <w:rsid w:val="004228E1"/>
    <w:rsid w:val="00423687"/>
    <w:rsid w:val="00424B00"/>
    <w:rsid w:val="004253B8"/>
    <w:rsid w:val="0042652C"/>
    <w:rsid w:val="00426700"/>
    <w:rsid w:val="00430BCF"/>
    <w:rsid w:val="00432332"/>
    <w:rsid w:val="00432F9B"/>
    <w:rsid w:val="004330C7"/>
    <w:rsid w:val="00435363"/>
    <w:rsid w:val="00435587"/>
    <w:rsid w:val="004371F8"/>
    <w:rsid w:val="004373F6"/>
    <w:rsid w:val="004379AA"/>
    <w:rsid w:val="00437D04"/>
    <w:rsid w:val="004408E1"/>
    <w:rsid w:val="00440A52"/>
    <w:rsid w:val="004410F1"/>
    <w:rsid w:val="00441F07"/>
    <w:rsid w:val="00441F81"/>
    <w:rsid w:val="00442435"/>
    <w:rsid w:val="00442B74"/>
    <w:rsid w:val="00444BE4"/>
    <w:rsid w:val="00444C2D"/>
    <w:rsid w:val="00444F90"/>
    <w:rsid w:val="004470BE"/>
    <w:rsid w:val="00451123"/>
    <w:rsid w:val="004516BC"/>
    <w:rsid w:val="0045207B"/>
    <w:rsid w:val="00453D13"/>
    <w:rsid w:val="00454496"/>
    <w:rsid w:val="004550A2"/>
    <w:rsid w:val="00455559"/>
    <w:rsid w:val="004557C4"/>
    <w:rsid w:val="00456976"/>
    <w:rsid w:val="00457AC8"/>
    <w:rsid w:val="004603E3"/>
    <w:rsid w:val="004614CB"/>
    <w:rsid w:val="00461892"/>
    <w:rsid w:val="00461BC3"/>
    <w:rsid w:val="00462438"/>
    <w:rsid w:val="004631E5"/>
    <w:rsid w:val="004649E1"/>
    <w:rsid w:val="0046588B"/>
    <w:rsid w:val="00465B39"/>
    <w:rsid w:val="00466668"/>
    <w:rsid w:val="00466851"/>
    <w:rsid w:val="00467B78"/>
    <w:rsid w:val="00467F90"/>
    <w:rsid w:val="00470BFD"/>
    <w:rsid w:val="00471A69"/>
    <w:rsid w:val="004727D8"/>
    <w:rsid w:val="004729F3"/>
    <w:rsid w:val="00472E19"/>
    <w:rsid w:val="0047416E"/>
    <w:rsid w:val="0047558B"/>
    <w:rsid w:val="00476411"/>
    <w:rsid w:val="00476679"/>
    <w:rsid w:val="004772CD"/>
    <w:rsid w:val="00477506"/>
    <w:rsid w:val="00477669"/>
    <w:rsid w:val="0048034C"/>
    <w:rsid w:val="00480FF5"/>
    <w:rsid w:val="00481088"/>
    <w:rsid w:val="00481262"/>
    <w:rsid w:val="00482B1E"/>
    <w:rsid w:val="00483155"/>
    <w:rsid w:val="004837FA"/>
    <w:rsid w:val="00483AD0"/>
    <w:rsid w:val="004842BC"/>
    <w:rsid w:val="0048457E"/>
    <w:rsid w:val="00485902"/>
    <w:rsid w:val="00485A52"/>
    <w:rsid w:val="00485E51"/>
    <w:rsid w:val="004864A9"/>
    <w:rsid w:val="00486F27"/>
    <w:rsid w:val="004871CF"/>
    <w:rsid w:val="0048780B"/>
    <w:rsid w:val="004879E6"/>
    <w:rsid w:val="00487D9A"/>
    <w:rsid w:val="004905AF"/>
    <w:rsid w:val="00490B3B"/>
    <w:rsid w:val="004919CD"/>
    <w:rsid w:val="00491A05"/>
    <w:rsid w:val="00491A08"/>
    <w:rsid w:val="00491FD6"/>
    <w:rsid w:val="00492C3B"/>
    <w:rsid w:val="00493BAA"/>
    <w:rsid w:val="0049450A"/>
    <w:rsid w:val="00494DFB"/>
    <w:rsid w:val="00494EDB"/>
    <w:rsid w:val="00495C34"/>
    <w:rsid w:val="00496AAD"/>
    <w:rsid w:val="00496ADA"/>
    <w:rsid w:val="00496BF7"/>
    <w:rsid w:val="00496C62"/>
    <w:rsid w:val="00497C50"/>
    <w:rsid w:val="00497FB4"/>
    <w:rsid w:val="004A000B"/>
    <w:rsid w:val="004A09D4"/>
    <w:rsid w:val="004A0C12"/>
    <w:rsid w:val="004A1245"/>
    <w:rsid w:val="004A149F"/>
    <w:rsid w:val="004A1C6A"/>
    <w:rsid w:val="004A26E2"/>
    <w:rsid w:val="004A2A75"/>
    <w:rsid w:val="004A4A99"/>
    <w:rsid w:val="004A57D6"/>
    <w:rsid w:val="004A610E"/>
    <w:rsid w:val="004A666F"/>
    <w:rsid w:val="004B0411"/>
    <w:rsid w:val="004B099F"/>
    <w:rsid w:val="004B171C"/>
    <w:rsid w:val="004B4E2A"/>
    <w:rsid w:val="004B5F6D"/>
    <w:rsid w:val="004B6278"/>
    <w:rsid w:val="004B6DE3"/>
    <w:rsid w:val="004B6EEC"/>
    <w:rsid w:val="004B6FBB"/>
    <w:rsid w:val="004B7797"/>
    <w:rsid w:val="004B7969"/>
    <w:rsid w:val="004C05BC"/>
    <w:rsid w:val="004C16E8"/>
    <w:rsid w:val="004C1BEE"/>
    <w:rsid w:val="004C1D3F"/>
    <w:rsid w:val="004C21F1"/>
    <w:rsid w:val="004C27D4"/>
    <w:rsid w:val="004C2E94"/>
    <w:rsid w:val="004C3607"/>
    <w:rsid w:val="004C47EF"/>
    <w:rsid w:val="004C4959"/>
    <w:rsid w:val="004C4B45"/>
    <w:rsid w:val="004C4EC5"/>
    <w:rsid w:val="004C5244"/>
    <w:rsid w:val="004C534D"/>
    <w:rsid w:val="004C5E86"/>
    <w:rsid w:val="004C6EF6"/>
    <w:rsid w:val="004D03D0"/>
    <w:rsid w:val="004D17D7"/>
    <w:rsid w:val="004D7918"/>
    <w:rsid w:val="004E0173"/>
    <w:rsid w:val="004E02D9"/>
    <w:rsid w:val="004E0522"/>
    <w:rsid w:val="004E09A7"/>
    <w:rsid w:val="004E0DF0"/>
    <w:rsid w:val="004E115E"/>
    <w:rsid w:val="004E15BE"/>
    <w:rsid w:val="004E1CA8"/>
    <w:rsid w:val="004E1E84"/>
    <w:rsid w:val="004E28D8"/>
    <w:rsid w:val="004E29FE"/>
    <w:rsid w:val="004E2F77"/>
    <w:rsid w:val="004E34EC"/>
    <w:rsid w:val="004E4A4D"/>
    <w:rsid w:val="004E5AFD"/>
    <w:rsid w:val="004E5EB7"/>
    <w:rsid w:val="004E6291"/>
    <w:rsid w:val="004E7598"/>
    <w:rsid w:val="004F088C"/>
    <w:rsid w:val="004F0C40"/>
    <w:rsid w:val="004F0C81"/>
    <w:rsid w:val="004F301F"/>
    <w:rsid w:val="004F3682"/>
    <w:rsid w:val="004F3E08"/>
    <w:rsid w:val="004F40AE"/>
    <w:rsid w:val="004F481B"/>
    <w:rsid w:val="004F50FD"/>
    <w:rsid w:val="004F5715"/>
    <w:rsid w:val="004F68E3"/>
    <w:rsid w:val="004F6E25"/>
    <w:rsid w:val="004F75DD"/>
    <w:rsid w:val="00500F87"/>
    <w:rsid w:val="005019E1"/>
    <w:rsid w:val="0050271B"/>
    <w:rsid w:val="005037DC"/>
    <w:rsid w:val="00504113"/>
    <w:rsid w:val="005048E3"/>
    <w:rsid w:val="00504D62"/>
    <w:rsid w:val="00510274"/>
    <w:rsid w:val="005102D0"/>
    <w:rsid w:val="00510DC3"/>
    <w:rsid w:val="00510DDD"/>
    <w:rsid w:val="0051148C"/>
    <w:rsid w:val="00511981"/>
    <w:rsid w:val="00511DED"/>
    <w:rsid w:val="00512F0E"/>
    <w:rsid w:val="00513843"/>
    <w:rsid w:val="00513BC1"/>
    <w:rsid w:val="00513BD9"/>
    <w:rsid w:val="005148B8"/>
    <w:rsid w:val="00514A09"/>
    <w:rsid w:val="00515A00"/>
    <w:rsid w:val="0051698D"/>
    <w:rsid w:val="00516EBD"/>
    <w:rsid w:val="005176D9"/>
    <w:rsid w:val="00517CE4"/>
    <w:rsid w:val="005201FE"/>
    <w:rsid w:val="00520577"/>
    <w:rsid w:val="00520A83"/>
    <w:rsid w:val="00520D9A"/>
    <w:rsid w:val="00520EF4"/>
    <w:rsid w:val="00521A38"/>
    <w:rsid w:val="00522209"/>
    <w:rsid w:val="00522D55"/>
    <w:rsid w:val="00522DD6"/>
    <w:rsid w:val="00523927"/>
    <w:rsid w:val="00523C19"/>
    <w:rsid w:val="00524163"/>
    <w:rsid w:val="00524434"/>
    <w:rsid w:val="00526279"/>
    <w:rsid w:val="00526436"/>
    <w:rsid w:val="005269B1"/>
    <w:rsid w:val="00526FA3"/>
    <w:rsid w:val="00527354"/>
    <w:rsid w:val="0053052B"/>
    <w:rsid w:val="00530857"/>
    <w:rsid w:val="00532959"/>
    <w:rsid w:val="00532FB9"/>
    <w:rsid w:val="005337AF"/>
    <w:rsid w:val="005337E0"/>
    <w:rsid w:val="00533E11"/>
    <w:rsid w:val="005344AF"/>
    <w:rsid w:val="0053469F"/>
    <w:rsid w:val="00535074"/>
    <w:rsid w:val="005364DF"/>
    <w:rsid w:val="005374C7"/>
    <w:rsid w:val="00540A57"/>
    <w:rsid w:val="00540BC6"/>
    <w:rsid w:val="0054127D"/>
    <w:rsid w:val="00541BFB"/>
    <w:rsid w:val="0054261D"/>
    <w:rsid w:val="00543767"/>
    <w:rsid w:val="005445EB"/>
    <w:rsid w:val="005448E8"/>
    <w:rsid w:val="00544A01"/>
    <w:rsid w:val="00545DAA"/>
    <w:rsid w:val="00551830"/>
    <w:rsid w:val="0055224E"/>
    <w:rsid w:val="00552B06"/>
    <w:rsid w:val="0055300A"/>
    <w:rsid w:val="0055352C"/>
    <w:rsid w:val="005537F7"/>
    <w:rsid w:val="00553D7D"/>
    <w:rsid w:val="00554CBF"/>
    <w:rsid w:val="005554DC"/>
    <w:rsid w:val="0055651B"/>
    <w:rsid w:val="00556732"/>
    <w:rsid w:val="005570C9"/>
    <w:rsid w:val="00557690"/>
    <w:rsid w:val="00561133"/>
    <w:rsid w:val="005614AC"/>
    <w:rsid w:val="005618FF"/>
    <w:rsid w:val="00563487"/>
    <w:rsid w:val="00564181"/>
    <w:rsid w:val="005641D2"/>
    <w:rsid w:val="00564AB7"/>
    <w:rsid w:val="005654CB"/>
    <w:rsid w:val="005656CF"/>
    <w:rsid w:val="00565DB4"/>
    <w:rsid w:val="00567164"/>
    <w:rsid w:val="00567BEA"/>
    <w:rsid w:val="005703D9"/>
    <w:rsid w:val="00570CE0"/>
    <w:rsid w:val="00570E35"/>
    <w:rsid w:val="00572C5F"/>
    <w:rsid w:val="00572E8A"/>
    <w:rsid w:val="005738EE"/>
    <w:rsid w:val="005742C2"/>
    <w:rsid w:val="005746C4"/>
    <w:rsid w:val="00575908"/>
    <w:rsid w:val="00575E80"/>
    <w:rsid w:val="00576119"/>
    <w:rsid w:val="005762C4"/>
    <w:rsid w:val="00576455"/>
    <w:rsid w:val="00576A1A"/>
    <w:rsid w:val="00576EB0"/>
    <w:rsid w:val="005773A3"/>
    <w:rsid w:val="00577BA2"/>
    <w:rsid w:val="00580365"/>
    <w:rsid w:val="0058064F"/>
    <w:rsid w:val="00580915"/>
    <w:rsid w:val="00580CF2"/>
    <w:rsid w:val="0058133E"/>
    <w:rsid w:val="005816D7"/>
    <w:rsid w:val="00581EF4"/>
    <w:rsid w:val="00582DE1"/>
    <w:rsid w:val="0058311D"/>
    <w:rsid w:val="005831F2"/>
    <w:rsid w:val="00583390"/>
    <w:rsid w:val="005837F3"/>
    <w:rsid w:val="00583B0B"/>
    <w:rsid w:val="00583CE7"/>
    <w:rsid w:val="005862BA"/>
    <w:rsid w:val="005870A6"/>
    <w:rsid w:val="0058775A"/>
    <w:rsid w:val="005877D0"/>
    <w:rsid w:val="00587FBF"/>
    <w:rsid w:val="0059008C"/>
    <w:rsid w:val="005904C0"/>
    <w:rsid w:val="00590E7F"/>
    <w:rsid w:val="005923BE"/>
    <w:rsid w:val="00592AD7"/>
    <w:rsid w:val="00592FE5"/>
    <w:rsid w:val="00593A20"/>
    <w:rsid w:val="00593F1C"/>
    <w:rsid w:val="00594DEB"/>
    <w:rsid w:val="00596582"/>
    <w:rsid w:val="005979F1"/>
    <w:rsid w:val="00597CB1"/>
    <w:rsid w:val="005A0775"/>
    <w:rsid w:val="005A3CA5"/>
    <w:rsid w:val="005A3D43"/>
    <w:rsid w:val="005A4412"/>
    <w:rsid w:val="005A4543"/>
    <w:rsid w:val="005A4F75"/>
    <w:rsid w:val="005A4FD1"/>
    <w:rsid w:val="005A6791"/>
    <w:rsid w:val="005A745A"/>
    <w:rsid w:val="005A7B07"/>
    <w:rsid w:val="005A7D38"/>
    <w:rsid w:val="005B0607"/>
    <w:rsid w:val="005B0B4F"/>
    <w:rsid w:val="005B1021"/>
    <w:rsid w:val="005B1EC7"/>
    <w:rsid w:val="005B24D5"/>
    <w:rsid w:val="005B3EE2"/>
    <w:rsid w:val="005B47C3"/>
    <w:rsid w:val="005B4F0D"/>
    <w:rsid w:val="005B4F13"/>
    <w:rsid w:val="005B4F39"/>
    <w:rsid w:val="005B5E70"/>
    <w:rsid w:val="005B68A5"/>
    <w:rsid w:val="005B6CAE"/>
    <w:rsid w:val="005B757C"/>
    <w:rsid w:val="005C130C"/>
    <w:rsid w:val="005C1406"/>
    <w:rsid w:val="005C2BE6"/>
    <w:rsid w:val="005C4E63"/>
    <w:rsid w:val="005C5387"/>
    <w:rsid w:val="005C6CAA"/>
    <w:rsid w:val="005C7272"/>
    <w:rsid w:val="005C7CAE"/>
    <w:rsid w:val="005D0C17"/>
    <w:rsid w:val="005D28A9"/>
    <w:rsid w:val="005D2958"/>
    <w:rsid w:val="005D2C7E"/>
    <w:rsid w:val="005D2D7C"/>
    <w:rsid w:val="005D3228"/>
    <w:rsid w:val="005D4395"/>
    <w:rsid w:val="005D46F5"/>
    <w:rsid w:val="005D4DD2"/>
    <w:rsid w:val="005D50C3"/>
    <w:rsid w:val="005D5799"/>
    <w:rsid w:val="005D5935"/>
    <w:rsid w:val="005D742A"/>
    <w:rsid w:val="005E0306"/>
    <w:rsid w:val="005E0342"/>
    <w:rsid w:val="005E0C24"/>
    <w:rsid w:val="005E0D55"/>
    <w:rsid w:val="005E1FD0"/>
    <w:rsid w:val="005E2387"/>
    <w:rsid w:val="005E3628"/>
    <w:rsid w:val="005E3EAD"/>
    <w:rsid w:val="005E4095"/>
    <w:rsid w:val="005E45DC"/>
    <w:rsid w:val="005E4BE4"/>
    <w:rsid w:val="005E6FF6"/>
    <w:rsid w:val="005E79E3"/>
    <w:rsid w:val="005E7BAF"/>
    <w:rsid w:val="005F03AE"/>
    <w:rsid w:val="005F0F57"/>
    <w:rsid w:val="005F1149"/>
    <w:rsid w:val="005F207C"/>
    <w:rsid w:val="005F228B"/>
    <w:rsid w:val="005F365B"/>
    <w:rsid w:val="005F3C04"/>
    <w:rsid w:val="005F41EF"/>
    <w:rsid w:val="005F462A"/>
    <w:rsid w:val="005F4A1C"/>
    <w:rsid w:val="005F4E3C"/>
    <w:rsid w:val="005F51E8"/>
    <w:rsid w:val="005F5A4B"/>
    <w:rsid w:val="005F6493"/>
    <w:rsid w:val="005F66BA"/>
    <w:rsid w:val="005F6722"/>
    <w:rsid w:val="005F7004"/>
    <w:rsid w:val="005F72CD"/>
    <w:rsid w:val="005F72F8"/>
    <w:rsid w:val="005F7485"/>
    <w:rsid w:val="005F7885"/>
    <w:rsid w:val="005F7C5C"/>
    <w:rsid w:val="00600AEA"/>
    <w:rsid w:val="00600D38"/>
    <w:rsid w:val="00601799"/>
    <w:rsid w:val="00601805"/>
    <w:rsid w:val="00601901"/>
    <w:rsid w:val="00601DD2"/>
    <w:rsid w:val="00602B91"/>
    <w:rsid w:val="0060382E"/>
    <w:rsid w:val="00605FBF"/>
    <w:rsid w:val="00607036"/>
    <w:rsid w:val="00610609"/>
    <w:rsid w:val="00610894"/>
    <w:rsid w:val="00610A29"/>
    <w:rsid w:val="00610B0B"/>
    <w:rsid w:val="00610B26"/>
    <w:rsid w:val="00610B57"/>
    <w:rsid w:val="006116B2"/>
    <w:rsid w:val="00612238"/>
    <w:rsid w:val="00613042"/>
    <w:rsid w:val="0061322C"/>
    <w:rsid w:val="006138F0"/>
    <w:rsid w:val="00613DE8"/>
    <w:rsid w:val="006150AE"/>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8DE"/>
    <w:rsid w:val="00626FFF"/>
    <w:rsid w:val="00627CF4"/>
    <w:rsid w:val="006306C3"/>
    <w:rsid w:val="00630BB0"/>
    <w:rsid w:val="00631B8B"/>
    <w:rsid w:val="0063412E"/>
    <w:rsid w:val="00634C2E"/>
    <w:rsid w:val="006355D6"/>
    <w:rsid w:val="00635E41"/>
    <w:rsid w:val="0063608D"/>
    <w:rsid w:val="0063613E"/>
    <w:rsid w:val="00636CF8"/>
    <w:rsid w:val="00636DC3"/>
    <w:rsid w:val="00637EF6"/>
    <w:rsid w:val="0064054D"/>
    <w:rsid w:val="00640EF4"/>
    <w:rsid w:val="006417E2"/>
    <w:rsid w:val="00641D82"/>
    <w:rsid w:val="00642051"/>
    <w:rsid w:val="00642770"/>
    <w:rsid w:val="00642FD3"/>
    <w:rsid w:val="00643054"/>
    <w:rsid w:val="00643A32"/>
    <w:rsid w:val="0064469B"/>
    <w:rsid w:val="00644E17"/>
    <w:rsid w:val="006450DF"/>
    <w:rsid w:val="00645198"/>
    <w:rsid w:val="006454C1"/>
    <w:rsid w:val="0064645A"/>
    <w:rsid w:val="00646606"/>
    <w:rsid w:val="006471CC"/>
    <w:rsid w:val="00647926"/>
    <w:rsid w:val="00647F7C"/>
    <w:rsid w:val="00651347"/>
    <w:rsid w:val="00651C14"/>
    <w:rsid w:val="0065392D"/>
    <w:rsid w:val="006547A3"/>
    <w:rsid w:val="00655358"/>
    <w:rsid w:val="00657358"/>
    <w:rsid w:val="00657608"/>
    <w:rsid w:val="0065777F"/>
    <w:rsid w:val="006602A0"/>
    <w:rsid w:val="00661512"/>
    <w:rsid w:val="00661843"/>
    <w:rsid w:val="0066190B"/>
    <w:rsid w:val="006626D0"/>
    <w:rsid w:val="00662E67"/>
    <w:rsid w:val="006644D8"/>
    <w:rsid w:val="00664E6A"/>
    <w:rsid w:val="0066735E"/>
    <w:rsid w:val="00667C10"/>
    <w:rsid w:val="00670200"/>
    <w:rsid w:val="00670B25"/>
    <w:rsid w:val="00670EAA"/>
    <w:rsid w:val="00671599"/>
    <w:rsid w:val="00672AB3"/>
    <w:rsid w:val="00673089"/>
    <w:rsid w:val="00673497"/>
    <w:rsid w:val="006734F0"/>
    <w:rsid w:val="00674731"/>
    <w:rsid w:val="00674E45"/>
    <w:rsid w:val="00675448"/>
    <w:rsid w:val="0067550F"/>
    <w:rsid w:val="006764F5"/>
    <w:rsid w:val="0067683E"/>
    <w:rsid w:val="0067689E"/>
    <w:rsid w:val="00677288"/>
    <w:rsid w:val="00680365"/>
    <w:rsid w:val="00681023"/>
    <w:rsid w:val="006810F1"/>
    <w:rsid w:val="00682716"/>
    <w:rsid w:val="00682D16"/>
    <w:rsid w:val="0068390D"/>
    <w:rsid w:val="006866D7"/>
    <w:rsid w:val="006867E0"/>
    <w:rsid w:val="00686D22"/>
    <w:rsid w:val="00687171"/>
    <w:rsid w:val="00687888"/>
    <w:rsid w:val="00687D81"/>
    <w:rsid w:val="0069041B"/>
    <w:rsid w:val="00690731"/>
    <w:rsid w:val="0069254C"/>
    <w:rsid w:val="00693296"/>
    <w:rsid w:val="006943FD"/>
    <w:rsid w:val="00694DBF"/>
    <w:rsid w:val="00695A91"/>
    <w:rsid w:val="00697D90"/>
    <w:rsid w:val="006A0331"/>
    <w:rsid w:val="006A0AB8"/>
    <w:rsid w:val="006A0ADA"/>
    <w:rsid w:val="006A0BD1"/>
    <w:rsid w:val="006A13CA"/>
    <w:rsid w:val="006A144F"/>
    <w:rsid w:val="006A296C"/>
    <w:rsid w:val="006A2B73"/>
    <w:rsid w:val="006A3104"/>
    <w:rsid w:val="006A3479"/>
    <w:rsid w:val="006A370A"/>
    <w:rsid w:val="006A37A0"/>
    <w:rsid w:val="006A4383"/>
    <w:rsid w:val="006A461D"/>
    <w:rsid w:val="006A549D"/>
    <w:rsid w:val="006A60C3"/>
    <w:rsid w:val="006A678E"/>
    <w:rsid w:val="006A6884"/>
    <w:rsid w:val="006A7145"/>
    <w:rsid w:val="006A71AC"/>
    <w:rsid w:val="006A78D2"/>
    <w:rsid w:val="006B1138"/>
    <w:rsid w:val="006B2E09"/>
    <w:rsid w:val="006B3CF0"/>
    <w:rsid w:val="006B47BA"/>
    <w:rsid w:val="006B52D9"/>
    <w:rsid w:val="006B62F9"/>
    <w:rsid w:val="006B64A1"/>
    <w:rsid w:val="006B7BE4"/>
    <w:rsid w:val="006C014C"/>
    <w:rsid w:val="006C03A4"/>
    <w:rsid w:val="006C0C08"/>
    <w:rsid w:val="006C0D91"/>
    <w:rsid w:val="006C0DEE"/>
    <w:rsid w:val="006C1708"/>
    <w:rsid w:val="006C1B07"/>
    <w:rsid w:val="006C210E"/>
    <w:rsid w:val="006C2DA7"/>
    <w:rsid w:val="006C2FD6"/>
    <w:rsid w:val="006C3D34"/>
    <w:rsid w:val="006C43D4"/>
    <w:rsid w:val="006C51C1"/>
    <w:rsid w:val="006C529D"/>
    <w:rsid w:val="006C6B61"/>
    <w:rsid w:val="006C7757"/>
    <w:rsid w:val="006C790A"/>
    <w:rsid w:val="006D00FC"/>
    <w:rsid w:val="006D02C3"/>
    <w:rsid w:val="006D0824"/>
    <w:rsid w:val="006D11C9"/>
    <w:rsid w:val="006D1CB3"/>
    <w:rsid w:val="006D2329"/>
    <w:rsid w:val="006D2D0E"/>
    <w:rsid w:val="006D3A79"/>
    <w:rsid w:val="006D549D"/>
    <w:rsid w:val="006D5B41"/>
    <w:rsid w:val="006D63E3"/>
    <w:rsid w:val="006D7937"/>
    <w:rsid w:val="006D7A86"/>
    <w:rsid w:val="006E0C76"/>
    <w:rsid w:val="006E1B7D"/>
    <w:rsid w:val="006E1FDA"/>
    <w:rsid w:val="006E2321"/>
    <w:rsid w:val="006E3319"/>
    <w:rsid w:val="006E400E"/>
    <w:rsid w:val="006E4162"/>
    <w:rsid w:val="006E4B2A"/>
    <w:rsid w:val="006E5A72"/>
    <w:rsid w:val="006E5E0A"/>
    <w:rsid w:val="006F022F"/>
    <w:rsid w:val="006F0380"/>
    <w:rsid w:val="006F0A45"/>
    <w:rsid w:val="006F22E7"/>
    <w:rsid w:val="006F403D"/>
    <w:rsid w:val="006F578B"/>
    <w:rsid w:val="006F5AB1"/>
    <w:rsid w:val="006F5B1E"/>
    <w:rsid w:val="007001BE"/>
    <w:rsid w:val="0070047E"/>
    <w:rsid w:val="0070188E"/>
    <w:rsid w:val="0070277D"/>
    <w:rsid w:val="00702799"/>
    <w:rsid w:val="00702978"/>
    <w:rsid w:val="00703579"/>
    <w:rsid w:val="0070393F"/>
    <w:rsid w:val="007040DF"/>
    <w:rsid w:val="007043E2"/>
    <w:rsid w:val="0070461D"/>
    <w:rsid w:val="00704BFD"/>
    <w:rsid w:val="00704CA4"/>
    <w:rsid w:val="007056B8"/>
    <w:rsid w:val="007061C7"/>
    <w:rsid w:val="007072AD"/>
    <w:rsid w:val="0070788E"/>
    <w:rsid w:val="007103B3"/>
    <w:rsid w:val="0071087D"/>
    <w:rsid w:val="0071245A"/>
    <w:rsid w:val="00712AEB"/>
    <w:rsid w:val="00712FE8"/>
    <w:rsid w:val="00713840"/>
    <w:rsid w:val="0071385A"/>
    <w:rsid w:val="0071483B"/>
    <w:rsid w:val="00715346"/>
    <w:rsid w:val="00716898"/>
    <w:rsid w:val="00716BFA"/>
    <w:rsid w:val="00717521"/>
    <w:rsid w:val="00717AC0"/>
    <w:rsid w:val="00720BBB"/>
    <w:rsid w:val="00720F2F"/>
    <w:rsid w:val="00720FA4"/>
    <w:rsid w:val="00720FCE"/>
    <w:rsid w:val="0072148D"/>
    <w:rsid w:val="0072336E"/>
    <w:rsid w:val="007240D5"/>
    <w:rsid w:val="00725373"/>
    <w:rsid w:val="00725E55"/>
    <w:rsid w:val="00725E6B"/>
    <w:rsid w:val="007265B3"/>
    <w:rsid w:val="007267F7"/>
    <w:rsid w:val="007275BD"/>
    <w:rsid w:val="00727A46"/>
    <w:rsid w:val="00727CED"/>
    <w:rsid w:val="00730006"/>
    <w:rsid w:val="0073070A"/>
    <w:rsid w:val="00730819"/>
    <w:rsid w:val="00730F66"/>
    <w:rsid w:val="0073126C"/>
    <w:rsid w:val="00731C9A"/>
    <w:rsid w:val="007328EB"/>
    <w:rsid w:val="007329A1"/>
    <w:rsid w:val="00732C08"/>
    <w:rsid w:val="00734349"/>
    <w:rsid w:val="00736FA1"/>
    <w:rsid w:val="0073750A"/>
    <w:rsid w:val="007401F1"/>
    <w:rsid w:val="00740AEE"/>
    <w:rsid w:val="00740E9E"/>
    <w:rsid w:val="007422FA"/>
    <w:rsid w:val="00742441"/>
    <w:rsid w:val="00743163"/>
    <w:rsid w:val="00744627"/>
    <w:rsid w:val="007465A1"/>
    <w:rsid w:val="0074695F"/>
    <w:rsid w:val="0075292C"/>
    <w:rsid w:val="00752C63"/>
    <w:rsid w:val="00752E05"/>
    <w:rsid w:val="007535ED"/>
    <w:rsid w:val="00755339"/>
    <w:rsid w:val="0075575C"/>
    <w:rsid w:val="00755777"/>
    <w:rsid w:val="007557F3"/>
    <w:rsid w:val="00755AB0"/>
    <w:rsid w:val="00756271"/>
    <w:rsid w:val="00756BC1"/>
    <w:rsid w:val="00756CCA"/>
    <w:rsid w:val="00756F2A"/>
    <w:rsid w:val="00757294"/>
    <w:rsid w:val="00757839"/>
    <w:rsid w:val="00757A21"/>
    <w:rsid w:val="007606E1"/>
    <w:rsid w:val="00762669"/>
    <w:rsid w:val="00763288"/>
    <w:rsid w:val="0076359B"/>
    <w:rsid w:val="00764B11"/>
    <w:rsid w:val="00765174"/>
    <w:rsid w:val="00765C63"/>
    <w:rsid w:val="00766015"/>
    <w:rsid w:val="0076642B"/>
    <w:rsid w:val="00766497"/>
    <w:rsid w:val="00766B69"/>
    <w:rsid w:val="00767316"/>
    <w:rsid w:val="00767942"/>
    <w:rsid w:val="00767C00"/>
    <w:rsid w:val="00770AE2"/>
    <w:rsid w:val="007711CE"/>
    <w:rsid w:val="00772295"/>
    <w:rsid w:val="00773565"/>
    <w:rsid w:val="00773916"/>
    <w:rsid w:val="00774BE4"/>
    <w:rsid w:val="00776F69"/>
    <w:rsid w:val="00777803"/>
    <w:rsid w:val="00777AF8"/>
    <w:rsid w:val="00780D30"/>
    <w:rsid w:val="007818F4"/>
    <w:rsid w:val="00782519"/>
    <w:rsid w:val="00783C9B"/>
    <w:rsid w:val="0078431B"/>
    <w:rsid w:val="007847B0"/>
    <w:rsid w:val="00784AF1"/>
    <w:rsid w:val="00784F01"/>
    <w:rsid w:val="007850F2"/>
    <w:rsid w:val="007853B1"/>
    <w:rsid w:val="00785976"/>
    <w:rsid w:val="00785C34"/>
    <w:rsid w:val="007865C8"/>
    <w:rsid w:val="0078670E"/>
    <w:rsid w:val="00790037"/>
    <w:rsid w:val="00790CE9"/>
    <w:rsid w:val="00790FDF"/>
    <w:rsid w:val="007911E1"/>
    <w:rsid w:val="007913E3"/>
    <w:rsid w:val="00792622"/>
    <w:rsid w:val="00792F7C"/>
    <w:rsid w:val="00793CFA"/>
    <w:rsid w:val="00794198"/>
    <w:rsid w:val="00794234"/>
    <w:rsid w:val="007955E1"/>
    <w:rsid w:val="00795D4B"/>
    <w:rsid w:val="00795F10"/>
    <w:rsid w:val="00796113"/>
    <w:rsid w:val="007969FB"/>
    <w:rsid w:val="00796E5A"/>
    <w:rsid w:val="00796F08"/>
    <w:rsid w:val="007A052A"/>
    <w:rsid w:val="007A0ED4"/>
    <w:rsid w:val="007A2118"/>
    <w:rsid w:val="007A24A7"/>
    <w:rsid w:val="007A27C2"/>
    <w:rsid w:val="007A3C36"/>
    <w:rsid w:val="007A4179"/>
    <w:rsid w:val="007A420A"/>
    <w:rsid w:val="007A5BDC"/>
    <w:rsid w:val="007A6333"/>
    <w:rsid w:val="007A6385"/>
    <w:rsid w:val="007A6CBC"/>
    <w:rsid w:val="007A71AE"/>
    <w:rsid w:val="007A72B1"/>
    <w:rsid w:val="007A7C11"/>
    <w:rsid w:val="007B040B"/>
    <w:rsid w:val="007B0E84"/>
    <w:rsid w:val="007B0F48"/>
    <w:rsid w:val="007B13DA"/>
    <w:rsid w:val="007B22F2"/>
    <w:rsid w:val="007B3EEE"/>
    <w:rsid w:val="007B46E8"/>
    <w:rsid w:val="007B589F"/>
    <w:rsid w:val="007B5B1C"/>
    <w:rsid w:val="007B6034"/>
    <w:rsid w:val="007B61EB"/>
    <w:rsid w:val="007B6AE0"/>
    <w:rsid w:val="007B714D"/>
    <w:rsid w:val="007C02A2"/>
    <w:rsid w:val="007C150E"/>
    <w:rsid w:val="007C1A42"/>
    <w:rsid w:val="007C1D8D"/>
    <w:rsid w:val="007C2500"/>
    <w:rsid w:val="007C277D"/>
    <w:rsid w:val="007C33A9"/>
    <w:rsid w:val="007C3608"/>
    <w:rsid w:val="007C399C"/>
    <w:rsid w:val="007C558F"/>
    <w:rsid w:val="007C740A"/>
    <w:rsid w:val="007C78F7"/>
    <w:rsid w:val="007C7F12"/>
    <w:rsid w:val="007D24D9"/>
    <w:rsid w:val="007D3284"/>
    <w:rsid w:val="007D4899"/>
    <w:rsid w:val="007D4C2D"/>
    <w:rsid w:val="007D4F1B"/>
    <w:rsid w:val="007D5444"/>
    <w:rsid w:val="007D5A0A"/>
    <w:rsid w:val="007D5CD7"/>
    <w:rsid w:val="007D60D5"/>
    <w:rsid w:val="007D61AB"/>
    <w:rsid w:val="007D6560"/>
    <w:rsid w:val="007D67A2"/>
    <w:rsid w:val="007D6996"/>
    <w:rsid w:val="007D6B72"/>
    <w:rsid w:val="007D79FF"/>
    <w:rsid w:val="007D7B2A"/>
    <w:rsid w:val="007E00F2"/>
    <w:rsid w:val="007E15BB"/>
    <w:rsid w:val="007E2320"/>
    <w:rsid w:val="007E2355"/>
    <w:rsid w:val="007E2AC9"/>
    <w:rsid w:val="007E42E4"/>
    <w:rsid w:val="007E4DF6"/>
    <w:rsid w:val="007E58ED"/>
    <w:rsid w:val="007E5BBF"/>
    <w:rsid w:val="007E69FF"/>
    <w:rsid w:val="007F1EE9"/>
    <w:rsid w:val="007F25D1"/>
    <w:rsid w:val="007F27BA"/>
    <w:rsid w:val="007F2D32"/>
    <w:rsid w:val="007F3E86"/>
    <w:rsid w:val="007F41B4"/>
    <w:rsid w:val="007F4369"/>
    <w:rsid w:val="007F5344"/>
    <w:rsid w:val="007F5BCD"/>
    <w:rsid w:val="007F5DEE"/>
    <w:rsid w:val="007F5F75"/>
    <w:rsid w:val="007F6FE2"/>
    <w:rsid w:val="007F77A1"/>
    <w:rsid w:val="008001D6"/>
    <w:rsid w:val="00800267"/>
    <w:rsid w:val="00800665"/>
    <w:rsid w:val="008014FD"/>
    <w:rsid w:val="00801946"/>
    <w:rsid w:val="00801EBE"/>
    <w:rsid w:val="00801F32"/>
    <w:rsid w:val="00802889"/>
    <w:rsid w:val="00802D35"/>
    <w:rsid w:val="00803252"/>
    <w:rsid w:val="00803E2B"/>
    <w:rsid w:val="008040C6"/>
    <w:rsid w:val="0080485F"/>
    <w:rsid w:val="00804878"/>
    <w:rsid w:val="00804EB6"/>
    <w:rsid w:val="008054F6"/>
    <w:rsid w:val="008064D1"/>
    <w:rsid w:val="00807B11"/>
    <w:rsid w:val="00811308"/>
    <w:rsid w:val="0081176B"/>
    <w:rsid w:val="008121C4"/>
    <w:rsid w:val="008133D2"/>
    <w:rsid w:val="00813EDE"/>
    <w:rsid w:val="00814D99"/>
    <w:rsid w:val="00816384"/>
    <w:rsid w:val="00817E5C"/>
    <w:rsid w:val="00820341"/>
    <w:rsid w:val="00820471"/>
    <w:rsid w:val="008205D2"/>
    <w:rsid w:val="00820F16"/>
    <w:rsid w:val="0082140A"/>
    <w:rsid w:val="008214BD"/>
    <w:rsid w:val="008219D0"/>
    <w:rsid w:val="00821EF8"/>
    <w:rsid w:val="00823824"/>
    <w:rsid w:val="008242DA"/>
    <w:rsid w:val="0082610A"/>
    <w:rsid w:val="0082685E"/>
    <w:rsid w:val="00826A76"/>
    <w:rsid w:val="008272FE"/>
    <w:rsid w:val="00827AFB"/>
    <w:rsid w:val="00827EEF"/>
    <w:rsid w:val="00830EC6"/>
    <w:rsid w:val="00831087"/>
    <w:rsid w:val="0083119D"/>
    <w:rsid w:val="00831CA6"/>
    <w:rsid w:val="008322AD"/>
    <w:rsid w:val="00832733"/>
    <w:rsid w:val="00833178"/>
    <w:rsid w:val="00833F14"/>
    <w:rsid w:val="00834598"/>
    <w:rsid w:val="0083679E"/>
    <w:rsid w:val="00836AB0"/>
    <w:rsid w:val="008376DE"/>
    <w:rsid w:val="008376F6"/>
    <w:rsid w:val="00837941"/>
    <w:rsid w:val="00837D67"/>
    <w:rsid w:val="00837F39"/>
    <w:rsid w:val="00840504"/>
    <w:rsid w:val="0084092D"/>
    <w:rsid w:val="008417D9"/>
    <w:rsid w:val="00841D7B"/>
    <w:rsid w:val="008443D2"/>
    <w:rsid w:val="00844899"/>
    <w:rsid w:val="008458CE"/>
    <w:rsid w:val="0084641C"/>
    <w:rsid w:val="00846459"/>
    <w:rsid w:val="00850916"/>
    <w:rsid w:val="00850957"/>
    <w:rsid w:val="00850A23"/>
    <w:rsid w:val="00850E77"/>
    <w:rsid w:val="008510A3"/>
    <w:rsid w:val="00851905"/>
    <w:rsid w:val="00851C3D"/>
    <w:rsid w:val="008537D5"/>
    <w:rsid w:val="00853B33"/>
    <w:rsid w:val="00853F0A"/>
    <w:rsid w:val="00854DDB"/>
    <w:rsid w:val="00855403"/>
    <w:rsid w:val="008554DC"/>
    <w:rsid w:val="0085643E"/>
    <w:rsid w:val="00856887"/>
    <w:rsid w:val="00856D2A"/>
    <w:rsid w:val="00856FB6"/>
    <w:rsid w:val="00857350"/>
    <w:rsid w:val="00857AA9"/>
    <w:rsid w:val="00860537"/>
    <w:rsid w:val="00861691"/>
    <w:rsid w:val="00861B8C"/>
    <w:rsid w:val="00862288"/>
    <w:rsid w:val="00862345"/>
    <w:rsid w:val="00862A82"/>
    <w:rsid w:val="00862E91"/>
    <w:rsid w:val="008631CF"/>
    <w:rsid w:val="00863202"/>
    <w:rsid w:val="008637C7"/>
    <w:rsid w:val="00863E7C"/>
    <w:rsid w:val="008642F3"/>
    <w:rsid w:val="00865888"/>
    <w:rsid w:val="00866D5D"/>
    <w:rsid w:val="008678EE"/>
    <w:rsid w:val="00867C9A"/>
    <w:rsid w:val="008713B9"/>
    <w:rsid w:val="00872E8B"/>
    <w:rsid w:val="008731AA"/>
    <w:rsid w:val="0087344A"/>
    <w:rsid w:val="00874911"/>
    <w:rsid w:val="00874A57"/>
    <w:rsid w:val="0087682C"/>
    <w:rsid w:val="00876FE5"/>
    <w:rsid w:val="0087767D"/>
    <w:rsid w:val="00877BF0"/>
    <w:rsid w:val="0088040B"/>
    <w:rsid w:val="008824A8"/>
    <w:rsid w:val="00882C62"/>
    <w:rsid w:val="0088335F"/>
    <w:rsid w:val="0088416B"/>
    <w:rsid w:val="00885F96"/>
    <w:rsid w:val="0088650C"/>
    <w:rsid w:val="00890516"/>
    <w:rsid w:val="00891C87"/>
    <w:rsid w:val="00891EA8"/>
    <w:rsid w:val="00892FE9"/>
    <w:rsid w:val="0089382E"/>
    <w:rsid w:val="00895374"/>
    <w:rsid w:val="00895A76"/>
    <w:rsid w:val="00895D3C"/>
    <w:rsid w:val="00895DE5"/>
    <w:rsid w:val="00896BFC"/>
    <w:rsid w:val="00896EB9"/>
    <w:rsid w:val="00897208"/>
    <w:rsid w:val="00897468"/>
    <w:rsid w:val="008978FE"/>
    <w:rsid w:val="008A0790"/>
    <w:rsid w:val="008A130F"/>
    <w:rsid w:val="008A1382"/>
    <w:rsid w:val="008A231D"/>
    <w:rsid w:val="008A3766"/>
    <w:rsid w:val="008A38F0"/>
    <w:rsid w:val="008A654D"/>
    <w:rsid w:val="008A6BD7"/>
    <w:rsid w:val="008A7024"/>
    <w:rsid w:val="008A75B6"/>
    <w:rsid w:val="008A777C"/>
    <w:rsid w:val="008A78D7"/>
    <w:rsid w:val="008A7A4D"/>
    <w:rsid w:val="008B0B0D"/>
    <w:rsid w:val="008B1786"/>
    <w:rsid w:val="008B1EB6"/>
    <w:rsid w:val="008B2060"/>
    <w:rsid w:val="008B2EE5"/>
    <w:rsid w:val="008B3547"/>
    <w:rsid w:val="008B4688"/>
    <w:rsid w:val="008B46CD"/>
    <w:rsid w:val="008B4BFE"/>
    <w:rsid w:val="008B5261"/>
    <w:rsid w:val="008B528F"/>
    <w:rsid w:val="008B5321"/>
    <w:rsid w:val="008B6F2E"/>
    <w:rsid w:val="008B713E"/>
    <w:rsid w:val="008B7A87"/>
    <w:rsid w:val="008C0553"/>
    <w:rsid w:val="008C0EF2"/>
    <w:rsid w:val="008C190D"/>
    <w:rsid w:val="008C236F"/>
    <w:rsid w:val="008C24C6"/>
    <w:rsid w:val="008C3947"/>
    <w:rsid w:val="008C3C84"/>
    <w:rsid w:val="008C480D"/>
    <w:rsid w:val="008C4B6B"/>
    <w:rsid w:val="008C4D1E"/>
    <w:rsid w:val="008C571A"/>
    <w:rsid w:val="008C60A6"/>
    <w:rsid w:val="008C6282"/>
    <w:rsid w:val="008C6936"/>
    <w:rsid w:val="008C6946"/>
    <w:rsid w:val="008C74F0"/>
    <w:rsid w:val="008C7A3B"/>
    <w:rsid w:val="008D00A9"/>
    <w:rsid w:val="008D2504"/>
    <w:rsid w:val="008D3DBC"/>
    <w:rsid w:val="008D3E7E"/>
    <w:rsid w:val="008D3EF4"/>
    <w:rsid w:val="008D567B"/>
    <w:rsid w:val="008D5787"/>
    <w:rsid w:val="008D776C"/>
    <w:rsid w:val="008E1808"/>
    <w:rsid w:val="008E22E5"/>
    <w:rsid w:val="008E34AE"/>
    <w:rsid w:val="008E3ECB"/>
    <w:rsid w:val="008E423C"/>
    <w:rsid w:val="008E4C2E"/>
    <w:rsid w:val="008E51DA"/>
    <w:rsid w:val="008E52B7"/>
    <w:rsid w:val="008E53DF"/>
    <w:rsid w:val="008E59E9"/>
    <w:rsid w:val="008E65BD"/>
    <w:rsid w:val="008F030F"/>
    <w:rsid w:val="008F0766"/>
    <w:rsid w:val="008F0B3A"/>
    <w:rsid w:val="008F1C72"/>
    <w:rsid w:val="008F23A7"/>
    <w:rsid w:val="008F2869"/>
    <w:rsid w:val="008F35C7"/>
    <w:rsid w:val="008F4329"/>
    <w:rsid w:val="008F4652"/>
    <w:rsid w:val="008F4936"/>
    <w:rsid w:val="008F4D68"/>
    <w:rsid w:val="008F5751"/>
    <w:rsid w:val="008F5DAC"/>
    <w:rsid w:val="008F6C53"/>
    <w:rsid w:val="008F6E41"/>
    <w:rsid w:val="008F746C"/>
    <w:rsid w:val="00900253"/>
    <w:rsid w:val="00901C33"/>
    <w:rsid w:val="00901CF9"/>
    <w:rsid w:val="009028BF"/>
    <w:rsid w:val="00902ACF"/>
    <w:rsid w:val="00902B22"/>
    <w:rsid w:val="009033AA"/>
    <w:rsid w:val="00903EAC"/>
    <w:rsid w:val="00903F33"/>
    <w:rsid w:val="00903F45"/>
    <w:rsid w:val="00903F4F"/>
    <w:rsid w:val="0090531D"/>
    <w:rsid w:val="00905603"/>
    <w:rsid w:val="00906875"/>
    <w:rsid w:val="00906E5F"/>
    <w:rsid w:val="0090755C"/>
    <w:rsid w:val="00907752"/>
    <w:rsid w:val="00907999"/>
    <w:rsid w:val="00907D39"/>
    <w:rsid w:val="00910C5B"/>
    <w:rsid w:val="00910F8F"/>
    <w:rsid w:val="0091170F"/>
    <w:rsid w:val="00911B0A"/>
    <w:rsid w:val="00912152"/>
    <w:rsid w:val="00913343"/>
    <w:rsid w:val="00914AE1"/>
    <w:rsid w:val="00914C9C"/>
    <w:rsid w:val="00915518"/>
    <w:rsid w:val="00915DFF"/>
    <w:rsid w:val="009160C9"/>
    <w:rsid w:val="009161C3"/>
    <w:rsid w:val="00916CE1"/>
    <w:rsid w:val="00917932"/>
    <w:rsid w:val="00917BFF"/>
    <w:rsid w:val="00922378"/>
    <w:rsid w:val="00922CC2"/>
    <w:rsid w:val="00923B15"/>
    <w:rsid w:val="0092503E"/>
    <w:rsid w:val="00930051"/>
    <w:rsid w:val="00930916"/>
    <w:rsid w:val="009309AB"/>
    <w:rsid w:val="009330E6"/>
    <w:rsid w:val="00933215"/>
    <w:rsid w:val="0093341A"/>
    <w:rsid w:val="009336BE"/>
    <w:rsid w:val="00933884"/>
    <w:rsid w:val="009339E2"/>
    <w:rsid w:val="00934AD2"/>
    <w:rsid w:val="00934F1F"/>
    <w:rsid w:val="0093508F"/>
    <w:rsid w:val="00935C34"/>
    <w:rsid w:val="009373BB"/>
    <w:rsid w:val="00937AD7"/>
    <w:rsid w:val="00940AB8"/>
    <w:rsid w:val="009411C0"/>
    <w:rsid w:val="00941BDF"/>
    <w:rsid w:val="0094465C"/>
    <w:rsid w:val="009446EF"/>
    <w:rsid w:val="0094556D"/>
    <w:rsid w:val="00945C05"/>
    <w:rsid w:val="00945D6B"/>
    <w:rsid w:val="00946335"/>
    <w:rsid w:val="00946474"/>
    <w:rsid w:val="00947E84"/>
    <w:rsid w:val="00952FCC"/>
    <w:rsid w:val="00953464"/>
    <w:rsid w:val="009536D0"/>
    <w:rsid w:val="00954314"/>
    <w:rsid w:val="00954A8F"/>
    <w:rsid w:val="009569FC"/>
    <w:rsid w:val="00957889"/>
    <w:rsid w:val="00960596"/>
    <w:rsid w:val="00960AB9"/>
    <w:rsid w:val="00961B4E"/>
    <w:rsid w:val="00962791"/>
    <w:rsid w:val="00965368"/>
    <w:rsid w:val="009671FD"/>
    <w:rsid w:val="00967850"/>
    <w:rsid w:val="00971297"/>
    <w:rsid w:val="00972B3A"/>
    <w:rsid w:val="00975A9A"/>
    <w:rsid w:val="00976816"/>
    <w:rsid w:val="00980569"/>
    <w:rsid w:val="00980673"/>
    <w:rsid w:val="00980B44"/>
    <w:rsid w:val="00981432"/>
    <w:rsid w:val="009821F9"/>
    <w:rsid w:val="009828B1"/>
    <w:rsid w:val="00983BAF"/>
    <w:rsid w:val="00985510"/>
    <w:rsid w:val="00985DD3"/>
    <w:rsid w:val="00987291"/>
    <w:rsid w:val="0098755E"/>
    <w:rsid w:val="00990D55"/>
    <w:rsid w:val="00991B7D"/>
    <w:rsid w:val="009927E6"/>
    <w:rsid w:val="0099465D"/>
    <w:rsid w:val="00994CDC"/>
    <w:rsid w:val="0099554B"/>
    <w:rsid w:val="00996D35"/>
    <w:rsid w:val="00997418"/>
    <w:rsid w:val="009976D2"/>
    <w:rsid w:val="00997769"/>
    <w:rsid w:val="009A0B86"/>
    <w:rsid w:val="009A0F1E"/>
    <w:rsid w:val="009A0FE9"/>
    <w:rsid w:val="009A2018"/>
    <w:rsid w:val="009A29A3"/>
    <w:rsid w:val="009A404F"/>
    <w:rsid w:val="009A468E"/>
    <w:rsid w:val="009A46B5"/>
    <w:rsid w:val="009A48C7"/>
    <w:rsid w:val="009A4C31"/>
    <w:rsid w:val="009A510A"/>
    <w:rsid w:val="009A62E6"/>
    <w:rsid w:val="009A6609"/>
    <w:rsid w:val="009A6D12"/>
    <w:rsid w:val="009A72C2"/>
    <w:rsid w:val="009B0B76"/>
    <w:rsid w:val="009B1B23"/>
    <w:rsid w:val="009B24BE"/>
    <w:rsid w:val="009B283A"/>
    <w:rsid w:val="009B2A7A"/>
    <w:rsid w:val="009B3197"/>
    <w:rsid w:val="009B33FB"/>
    <w:rsid w:val="009B3709"/>
    <w:rsid w:val="009B3728"/>
    <w:rsid w:val="009B41BF"/>
    <w:rsid w:val="009B4422"/>
    <w:rsid w:val="009B463A"/>
    <w:rsid w:val="009B4D52"/>
    <w:rsid w:val="009B5C2E"/>
    <w:rsid w:val="009B6D4A"/>
    <w:rsid w:val="009B7351"/>
    <w:rsid w:val="009B7981"/>
    <w:rsid w:val="009C073D"/>
    <w:rsid w:val="009C1582"/>
    <w:rsid w:val="009C1F5D"/>
    <w:rsid w:val="009C25A0"/>
    <w:rsid w:val="009C2A6C"/>
    <w:rsid w:val="009C3561"/>
    <w:rsid w:val="009C36D4"/>
    <w:rsid w:val="009C3957"/>
    <w:rsid w:val="009C475C"/>
    <w:rsid w:val="009C4B6F"/>
    <w:rsid w:val="009C53C2"/>
    <w:rsid w:val="009C55FD"/>
    <w:rsid w:val="009C5798"/>
    <w:rsid w:val="009C5D6A"/>
    <w:rsid w:val="009C5D93"/>
    <w:rsid w:val="009C5F71"/>
    <w:rsid w:val="009C6223"/>
    <w:rsid w:val="009C6380"/>
    <w:rsid w:val="009C6870"/>
    <w:rsid w:val="009C6C63"/>
    <w:rsid w:val="009C6F86"/>
    <w:rsid w:val="009D0712"/>
    <w:rsid w:val="009D0DD0"/>
    <w:rsid w:val="009D2ED7"/>
    <w:rsid w:val="009D3325"/>
    <w:rsid w:val="009D552E"/>
    <w:rsid w:val="009D684B"/>
    <w:rsid w:val="009D6B09"/>
    <w:rsid w:val="009D6BA9"/>
    <w:rsid w:val="009D6BBD"/>
    <w:rsid w:val="009D72BD"/>
    <w:rsid w:val="009D7D95"/>
    <w:rsid w:val="009E0D46"/>
    <w:rsid w:val="009E0FB2"/>
    <w:rsid w:val="009E149C"/>
    <w:rsid w:val="009E3C7B"/>
    <w:rsid w:val="009E40CF"/>
    <w:rsid w:val="009E4C95"/>
    <w:rsid w:val="009E5075"/>
    <w:rsid w:val="009E5369"/>
    <w:rsid w:val="009E5940"/>
    <w:rsid w:val="009E5985"/>
    <w:rsid w:val="009E5F60"/>
    <w:rsid w:val="009E79FB"/>
    <w:rsid w:val="009E7E64"/>
    <w:rsid w:val="009F0FD9"/>
    <w:rsid w:val="009F18A2"/>
    <w:rsid w:val="009F2D61"/>
    <w:rsid w:val="009F314A"/>
    <w:rsid w:val="009F3CA7"/>
    <w:rsid w:val="009F5690"/>
    <w:rsid w:val="009F5A55"/>
    <w:rsid w:val="009F5BCF"/>
    <w:rsid w:val="009F6503"/>
    <w:rsid w:val="009F749A"/>
    <w:rsid w:val="009F76B1"/>
    <w:rsid w:val="009F7730"/>
    <w:rsid w:val="009F7D35"/>
    <w:rsid w:val="009F7ECB"/>
    <w:rsid w:val="00A00130"/>
    <w:rsid w:val="00A00227"/>
    <w:rsid w:val="00A00358"/>
    <w:rsid w:val="00A01BA4"/>
    <w:rsid w:val="00A020D0"/>
    <w:rsid w:val="00A02367"/>
    <w:rsid w:val="00A056B8"/>
    <w:rsid w:val="00A06059"/>
    <w:rsid w:val="00A06957"/>
    <w:rsid w:val="00A10319"/>
    <w:rsid w:val="00A110CD"/>
    <w:rsid w:val="00A136BD"/>
    <w:rsid w:val="00A1447A"/>
    <w:rsid w:val="00A1534A"/>
    <w:rsid w:val="00A15382"/>
    <w:rsid w:val="00A17EDC"/>
    <w:rsid w:val="00A2090E"/>
    <w:rsid w:val="00A20D10"/>
    <w:rsid w:val="00A21546"/>
    <w:rsid w:val="00A21CD6"/>
    <w:rsid w:val="00A221FD"/>
    <w:rsid w:val="00A2230B"/>
    <w:rsid w:val="00A225D2"/>
    <w:rsid w:val="00A2369E"/>
    <w:rsid w:val="00A2457E"/>
    <w:rsid w:val="00A265B1"/>
    <w:rsid w:val="00A2677D"/>
    <w:rsid w:val="00A26F6E"/>
    <w:rsid w:val="00A275FF"/>
    <w:rsid w:val="00A2766E"/>
    <w:rsid w:val="00A344CE"/>
    <w:rsid w:val="00A34FC3"/>
    <w:rsid w:val="00A35082"/>
    <w:rsid w:val="00A354FA"/>
    <w:rsid w:val="00A354FE"/>
    <w:rsid w:val="00A35CC6"/>
    <w:rsid w:val="00A371E0"/>
    <w:rsid w:val="00A3720C"/>
    <w:rsid w:val="00A3733B"/>
    <w:rsid w:val="00A37A37"/>
    <w:rsid w:val="00A41BA8"/>
    <w:rsid w:val="00A42261"/>
    <w:rsid w:val="00A42327"/>
    <w:rsid w:val="00A42FFC"/>
    <w:rsid w:val="00A43378"/>
    <w:rsid w:val="00A43A54"/>
    <w:rsid w:val="00A45057"/>
    <w:rsid w:val="00A451BA"/>
    <w:rsid w:val="00A460C8"/>
    <w:rsid w:val="00A46CAE"/>
    <w:rsid w:val="00A46DEF"/>
    <w:rsid w:val="00A46F32"/>
    <w:rsid w:val="00A50777"/>
    <w:rsid w:val="00A507A3"/>
    <w:rsid w:val="00A51A13"/>
    <w:rsid w:val="00A521DC"/>
    <w:rsid w:val="00A5244B"/>
    <w:rsid w:val="00A5353A"/>
    <w:rsid w:val="00A53647"/>
    <w:rsid w:val="00A54E71"/>
    <w:rsid w:val="00A55354"/>
    <w:rsid w:val="00A60940"/>
    <w:rsid w:val="00A60D00"/>
    <w:rsid w:val="00A61128"/>
    <w:rsid w:val="00A613AD"/>
    <w:rsid w:val="00A6235B"/>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3DD5"/>
    <w:rsid w:val="00A73DE4"/>
    <w:rsid w:val="00A73F4D"/>
    <w:rsid w:val="00A742E1"/>
    <w:rsid w:val="00A74342"/>
    <w:rsid w:val="00A74A07"/>
    <w:rsid w:val="00A74C91"/>
    <w:rsid w:val="00A74DA8"/>
    <w:rsid w:val="00A74EAD"/>
    <w:rsid w:val="00A75211"/>
    <w:rsid w:val="00A7633A"/>
    <w:rsid w:val="00A77B62"/>
    <w:rsid w:val="00A812AD"/>
    <w:rsid w:val="00A8141C"/>
    <w:rsid w:val="00A81D83"/>
    <w:rsid w:val="00A822DA"/>
    <w:rsid w:val="00A823B8"/>
    <w:rsid w:val="00A82C37"/>
    <w:rsid w:val="00A8307F"/>
    <w:rsid w:val="00A8395B"/>
    <w:rsid w:val="00A85852"/>
    <w:rsid w:val="00A86DCD"/>
    <w:rsid w:val="00A87A94"/>
    <w:rsid w:val="00A90063"/>
    <w:rsid w:val="00A90CB6"/>
    <w:rsid w:val="00A910CB"/>
    <w:rsid w:val="00A912FC"/>
    <w:rsid w:val="00A917DD"/>
    <w:rsid w:val="00A93F91"/>
    <w:rsid w:val="00A945B5"/>
    <w:rsid w:val="00A95235"/>
    <w:rsid w:val="00A95782"/>
    <w:rsid w:val="00A96615"/>
    <w:rsid w:val="00AA0FC9"/>
    <w:rsid w:val="00AA1279"/>
    <w:rsid w:val="00AA1EAC"/>
    <w:rsid w:val="00AA33F3"/>
    <w:rsid w:val="00AA498B"/>
    <w:rsid w:val="00AA4BC3"/>
    <w:rsid w:val="00AA52C8"/>
    <w:rsid w:val="00AA7362"/>
    <w:rsid w:val="00AA7D97"/>
    <w:rsid w:val="00AB04E3"/>
    <w:rsid w:val="00AB0C12"/>
    <w:rsid w:val="00AB0CD2"/>
    <w:rsid w:val="00AB0F7E"/>
    <w:rsid w:val="00AB1406"/>
    <w:rsid w:val="00AB1905"/>
    <w:rsid w:val="00AB1B4B"/>
    <w:rsid w:val="00AB1C51"/>
    <w:rsid w:val="00AB2A27"/>
    <w:rsid w:val="00AB2C07"/>
    <w:rsid w:val="00AB353B"/>
    <w:rsid w:val="00AB3D35"/>
    <w:rsid w:val="00AB3D50"/>
    <w:rsid w:val="00AB42BC"/>
    <w:rsid w:val="00AB456B"/>
    <w:rsid w:val="00AB5088"/>
    <w:rsid w:val="00AB57A8"/>
    <w:rsid w:val="00AB5946"/>
    <w:rsid w:val="00AB6072"/>
    <w:rsid w:val="00AC0076"/>
    <w:rsid w:val="00AC0418"/>
    <w:rsid w:val="00AC0E45"/>
    <w:rsid w:val="00AC100F"/>
    <w:rsid w:val="00AC187D"/>
    <w:rsid w:val="00AC1B50"/>
    <w:rsid w:val="00AC285C"/>
    <w:rsid w:val="00AC2FA0"/>
    <w:rsid w:val="00AC32E7"/>
    <w:rsid w:val="00AC4F32"/>
    <w:rsid w:val="00AC53CB"/>
    <w:rsid w:val="00AC5441"/>
    <w:rsid w:val="00AC61D0"/>
    <w:rsid w:val="00AC6809"/>
    <w:rsid w:val="00AC7ACA"/>
    <w:rsid w:val="00AC7FC6"/>
    <w:rsid w:val="00AD0780"/>
    <w:rsid w:val="00AD0E27"/>
    <w:rsid w:val="00AD17A0"/>
    <w:rsid w:val="00AD2692"/>
    <w:rsid w:val="00AD2CB9"/>
    <w:rsid w:val="00AD3968"/>
    <w:rsid w:val="00AD3AB7"/>
    <w:rsid w:val="00AD4534"/>
    <w:rsid w:val="00AD4996"/>
    <w:rsid w:val="00AD5581"/>
    <w:rsid w:val="00AD5AAC"/>
    <w:rsid w:val="00AD67C2"/>
    <w:rsid w:val="00AD733B"/>
    <w:rsid w:val="00AE06D8"/>
    <w:rsid w:val="00AE104F"/>
    <w:rsid w:val="00AE1063"/>
    <w:rsid w:val="00AE1952"/>
    <w:rsid w:val="00AE2536"/>
    <w:rsid w:val="00AE26DF"/>
    <w:rsid w:val="00AE27F7"/>
    <w:rsid w:val="00AE3146"/>
    <w:rsid w:val="00AE37BA"/>
    <w:rsid w:val="00AE45FB"/>
    <w:rsid w:val="00AE5E02"/>
    <w:rsid w:val="00AE7BF0"/>
    <w:rsid w:val="00AF0E51"/>
    <w:rsid w:val="00AF2279"/>
    <w:rsid w:val="00AF2569"/>
    <w:rsid w:val="00AF2C25"/>
    <w:rsid w:val="00AF38C1"/>
    <w:rsid w:val="00AF3EC7"/>
    <w:rsid w:val="00AF3F36"/>
    <w:rsid w:val="00AF3F98"/>
    <w:rsid w:val="00AF4B50"/>
    <w:rsid w:val="00AF4B63"/>
    <w:rsid w:val="00AF501A"/>
    <w:rsid w:val="00AF6001"/>
    <w:rsid w:val="00AF67D6"/>
    <w:rsid w:val="00AF6A03"/>
    <w:rsid w:val="00AF6ED0"/>
    <w:rsid w:val="00B00383"/>
    <w:rsid w:val="00B00BD1"/>
    <w:rsid w:val="00B0196D"/>
    <w:rsid w:val="00B01B62"/>
    <w:rsid w:val="00B02AB6"/>
    <w:rsid w:val="00B03CD1"/>
    <w:rsid w:val="00B03CD3"/>
    <w:rsid w:val="00B048AF"/>
    <w:rsid w:val="00B04A82"/>
    <w:rsid w:val="00B05C72"/>
    <w:rsid w:val="00B064BB"/>
    <w:rsid w:val="00B067F3"/>
    <w:rsid w:val="00B06EB9"/>
    <w:rsid w:val="00B07207"/>
    <w:rsid w:val="00B07469"/>
    <w:rsid w:val="00B10182"/>
    <w:rsid w:val="00B10B4D"/>
    <w:rsid w:val="00B10F81"/>
    <w:rsid w:val="00B12252"/>
    <w:rsid w:val="00B13363"/>
    <w:rsid w:val="00B136A5"/>
    <w:rsid w:val="00B148F7"/>
    <w:rsid w:val="00B14CDC"/>
    <w:rsid w:val="00B15462"/>
    <w:rsid w:val="00B17A88"/>
    <w:rsid w:val="00B17C77"/>
    <w:rsid w:val="00B20ADB"/>
    <w:rsid w:val="00B21837"/>
    <w:rsid w:val="00B22068"/>
    <w:rsid w:val="00B23A08"/>
    <w:rsid w:val="00B23D8B"/>
    <w:rsid w:val="00B241D0"/>
    <w:rsid w:val="00B249DF"/>
    <w:rsid w:val="00B24C13"/>
    <w:rsid w:val="00B27E93"/>
    <w:rsid w:val="00B30B33"/>
    <w:rsid w:val="00B30CCB"/>
    <w:rsid w:val="00B312ED"/>
    <w:rsid w:val="00B31AE3"/>
    <w:rsid w:val="00B31D54"/>
    <w:rsid w:val="00B322E1"/>
    <w:rsid w:val="00B32CF9"/>
    <w:rsid w:val="00B34217"/>
    <w:rsid w:val="00B3432B"/>
    <w:rsid w:val="00B3593C"/>
    <w:rsid w:val="00B35B95"/>
    <w:rsid w:val="00B35C57"/>
    <w:rsid w:val="00B36904"/>
    <w:rsid w:val="00B374AB"/>
    <w:rsid w:val="00B37555"/>
    <w:rsid w:val="00B403AC"/>
    <w:rsid w:val="00B41072"/>
    <w:rsid w:val="00B417FB"/>
    <w:rsid w:val="00B41823"/>
    <w:rsid w:val="00B42BD9"/>
    <w:rsid w:val="00B43357"/>
    <w:rsid w:val="00B4359C"/>
    <w:rsid w:val="00B43672"/>
    <w:rsid w:val="00B43807"/>
    <w:rsid w:val="00B46896"/>
    <w:rsid w:val="00B47263"/>
    <w:rsid w:val="00B53176"/>
    <w:rsid w:val="00B54587"/>
    <w:rsid w:val="00B551F1"/>
    <w:rsid w:val="00B552DE"/>
    <w:rsid w:val="00B55992"/>
    <w:rsid w:val="00B55A5C"/>
    <w:rsid w:val="00B60716"/>
    <w:rsid w:val="00B60BCF"/>
    <w:rsid w:val="00B60C8E"/>
    <w:rsid w:val="00B60E93"/>
    <w:rsid w:val="00B6188E"/>
    <w:rsid w:val="00B61C88"/>
    <w:rsid w:val="00B6261B"/>
    <w:rsid w:val="00B638C5"/>
    <w:rsid w:val="00B63E45"/>
    <w:rsid w:val="00B649A1"/>
    <w:rsid w:val="00B654C3"/>
    <w:rsid w:val="00B6607B"/>
    <w:rsid w:val="00B6763E"/>
    <w:rsid w:val="00B700A3"/>
    <w:rsid w:val="00B7097B"/>
    <w:rsid w:val="00B709C4"/>
    <w:rsid w:val="00B70C74"/>
    <w:rsid w:val="00B72209"/>
    <w:rsid w:val="00B7356A"/>
    <w:rsid w:val="00B74E92"/>
    <w:rsid w:val="00B75D7C"/>
    <w:rsid w:val="00B7608F"/>
    <w:rsid w:val="00B7680A"/>
    <w:rsid w:val="00B7731A"/>
    <w:rsid w:val="00B7746B"/>
    <w:rsid w:val="00B775A9"/>
    <w:rsid w:val="00B77B50"/>
    <w:rsid w:val="00B77B57"/>
    <w:rsid w:val="00B80706"/>
    <w:rsid w:val="00B8273B"/>
    <w:rsid w:val="00B82AEF"/>
    <w:rsid w:val="00B83395"/>
    <w:rsid w:val="00B851E3"/>
    <w:rsid w:val="00B879D3"/>
    <w:rsid w:val="00B87B7C"/>
    <w:rsid w:val="00B9005E"/>
    <w:rsid w:val="00B916EC"/>
    <w:rsid w:val="00B91A82"/>
    <w:rsid w:val="00B91A86"/>
    <w:rsid w:val="00B91BAF"/>
    <w:rsid w:val="00B925B5"/>
    <w:rsid w:val="00B950E5"/>
    <w:rsid w:val="00B954D7"/>
    <w:rsid w:val="00B95A4A"/>
    <w:rsid w:val="00B965FC"/>
    <w:rsid w:val="00B97158"/>
    <w:rsid w:val="00B977BF"/>
    <w:rsid w:val="00BA049D"/>
    <w:rsid w:val="00BA095E"/>
    <w:rsid w:val="00BA15BE"/>
    <w:rsid w:val="00BA1D2D"/>
    <w:rsid w:val="00BA3C87"/>
    <w:rsid w:val="00BA46DF"/>
    <w:rsid w:val="00BA478D"/>
    <w:rsid w:val="00BA5E22"/>
    <w:rsid w:val="00BA632B"/>
    <w:rsid w:val="00BA6BB1"/>
    <w:rsid w:val="00BA728E"/>
    <w:rsid w:val="00BA7426"/>
    <w:rsid w:val="00BA7C73"/>
    <w:rsid w:val="00BB1188"/>
    <w:rsid w:val="00BB129A"/>
    <w:rsid w:val="00BB138C"/>
    <w:rsid w:val="00BB176D"/>
    <w:rsid w:val="00BB22B4"/>
    <w:rsid w:val="00BB27B3"/>
    <w:rsid w:val="00BB2A9B"/>
    <w:rsid w:val="00BB329C"/>
    <w:rsid w:val="00BB49EF"/>
    <w:rsid w:val="00BB5511"/>
    <w:rsid w:val="00BB5F75"/>
    <w:rsid w:val="00BB5FC2"/>
    <w:rsid w:val="00BB682B"/>
    <w:rsid w:val="00BB6EA7"/>
    <w:rsid w:val="00BB7346"/>
    <w:rsid w:val="00BB749B"/>
    <w:rsid w:val="00BB7646"/>
    <w:rsid w:val="00BB7AE1"/>
    <w:rsid w:val="00BC007A"/>
    <w:rsid w:val="00BC1666"/>
    <w:rsid w:val="00BC17F5"/>
    <w:rsid w:val="00BC1FD2"/>
    <w:rsid w:val="00BC20FC"/>
    <w:rsid w:val="00BC3BE8"/>
    <w:rsid w:val="00BC412E"/>
    <w:rsid w:val="00BC533A"/>
    <w:rsid w:val="00BC6A31"/>
    <w:rsid w:val="00BC7307"/>
    <w:rsid w:val="00BC734F"/>
    <w:rsid w:val="00BC78CC"/>
    <w:rsid w:val="00BD0610"/>
    <w:rsid w:val="00BD081D"/>
    <w:rsid w:val="00BD0B3F"/>
    <w:rsid w:val="00BD1277"/>
    <w:rsid w:val="00BD13D3"/>
    <w:rsid w:val="00BD1643"/>
    <w:rsid w:val="00BD25F3"/>
    <w:rsid w:val="00BD2644"/>
    <w:rsid w:val="00BD37E5"/>
    <w:rsid w:val="00BD4059"/>
    <w:rsid w:val="00BD5276"/>
    <w:rsid w:val="00BD565A"/>
    <w:rsid w:val="00BD683A"/>
    <w:rsid w:val="00BE1526"/>
    <w:rsid w:val="00BE158C"/>
    <w:rsid w:val="00BE168D"/>
    <w:rsid w:val="00BE25D0"/>
    <w:rsid w:val="00BE27CE"/>
    <w:rsid w:val="00BE2B02"/>
    <w:rsid w:val="00BE2B07"/>
    <w:rsid w:val="00BE4139"/>
    <w:rsid w:val="00BE4859"/>
    <w:rsid w:val="00BE56E8"/>
    <w:rsid w:val="00BE57E8"/>
    <w:rsid w:val="00BE5D39"/>
    <w:rsid w:val="00BE6CC5"/>
    <w:rsid w:val="00BE723C"/>
    <w:rsid w:val="00BE79AD"/>
    <w:rsid w:val="00BF1176"/>
    <w:rsid w:val="00BF176C"/>
    <w:rsid w:val="00BF2AA6"/>
    <w:rsid w:val="00BF2E59"/>
    <w:rsid w:val="00BF3DAC"/>
    <w:rsid w:val="00BF4F8D"/>
    <w:rsid w:val="00BF66BB"/>
    <w:rsid w:val="00BF70D9"/>
    <w:rsid w:val="00BF7353"/>
    <w:rsid w:val="00BF7611"/>
    <w:rsid w:val="00BF7C86"/>
    <w:rsid w:val="00C00C1B"/>
    <w:rsid w:val="00C012C5"/>
    <w:rsid w:val="00C01FD7"/>
    <w:rsid w:val="00C023B7"/>
    <w:rsid w:val="00C0462A"/>
    <w:rsid w:val="00C0476B"/>
    <w:rsid w:val="00C04885"/>
    <w:rsid w:val="00C04BE4"/>
    <w:rsid w:val="00C055E1"/>
    <w:rsid w:val="00C059A4"/>
    <w:rsid w:val="00C05AF9"/>
    <w:rsid w:val="00C06071"/>
    <w:rsid w:val="00C06EC9"/>
    <w:rsid w:val="00C06F3E"/>
    <w:rsid w:val="00C07521"/>
    <w:rsid w:val="00C07A7A"/>
    <w:rsid w:val="00C07AA0"/>
    <w:rsid w:val="00C1029A"/>
    <w:rsid w:val="00C102B1"/>
    <w:rsid w:val="00C102B4"/>
    <w:rsid w:val="00C104EE"/>
    <w:rsid w:val="00C10545"/>
    <w:rsid w:val="00C129E3"/>
    <w:rsid w:val="00C12E86"/>
    <w:rsid w:val="00C13570"/>
    <w:rsid w:val="00C13DC6"/>
    <w:rsid w:val="00C14659"/>
    <w:rsid w:val="00C148A2"/>
    <w:rsid w:val="00C14B75"/>
    <w:rsid w:val="00C15665"/>
    <w:rsid w:val="00C16DC7"/>
    <w:rsid w:val="00C171E7"/>
    <w:rsid w:val="00C176E8"/>
    <w:rsid w:val="00C20089"/>
    <w:rsid w:val="00C200BB"/>
    <w:rsid w:val="00C20E85"/>
    <w:rsid w:val="00C21471"/>
    <w:rsid w:val="00C219C6"/>
    <w:rsid w:val="00C22025"/>
    <w:rsid w:val="00C226BA"/>
    <w:rsid w:val="00C23DBC"/>
    <w:rsid w:val="00C24A83"/>
    <w:rsid w:val="00C250B7"/>
    <w:rsid w:val="00C25E71"/>
    <w:rsid w:val="00C27048"/>
    <w:rsid w:val="00C275C6"/>
    <w:rsid w:val="00C27665"/>
    <w:rsid w:val="00C300AA"/>
    <w:rsid w:val="00C30639"/>
    <w:rsid w:val="00C30749"/>
    <w:rsid w:val="00C313F5"/>
    <w:rsid w:val="00C3229A"/>
    <w:rsid w:val="00C32BF5"/>
    <w:rsid w:val="00C348FE"/>
    <w:rsid w:val="00C34BC6"/>
    <w:rsid w:val="00C34C01"/>
    <w:rsid w:val="00C353C6"/>
    <w:rsid w:val="00C36160"/>
    <w:rsid w:val="00C36A81"/>
    <w:rsid w:val="00C36AF0"/>
    <w:rsid w:val="00C376B0"/>
    <w:rsid w:val="00C37AB9"/>
    <w:rsid w:val="00C37F3E"/>
    <w:rsid w:val="00C37FE5"/>
    <w:rsid w:val="00C408A8"/>
    <w:rsid w:val="00C40DFC"/>
    <w:rsid w:val="00C41723"/>
    <w:rsid w:val="00C41D44"/>
    <w:rsid w:val="00C41FBB"/>
    <w:rsid w:val="00C42C1C"/>
    <w:rsid w:val="00C42DF6"/>
    <w:rsid w:val="00C43AF5"/>
    <w:rsid w:val="00C43DE4"/>
    <w:rsid w:val="00C44D52"/>
    <w:rsid w:val="00C460C3"/>
    <w:rsid w:val="00C465D5"/>
    <w:rsid w:val="00C507E2"/>
    <w:rsid w:val="00C508E3"/>
    <w:rsid w:val="00C510B6"/>
    <w:rsid w:val="00C51220"/>
    <w:rsid w:val="00C512DB"/>
    <w:rsid w:val="00C5149E"/>
    <w:rsid w:val="00C524B5"/>
    <w:rsid w:val="00C52933"/>
    <w:rsid w:val="00C52DB6"/>
    <w:rsid w:val="00C52EC5"/>
    <w:rsid w:val="00C52F06"/>
    <w:rsid w:val="00C53885"/>
    <w:rsid w:val="00C54589"/>
    <w:rsid w:val="00C54AF7"/>
    <w:rsid w:val="00C576AC"/>
    <w:rsid w:val="00C57810"/>
    <w:rsid w:val="00C604AF"/>
    <w:rsid w:val="00C61E27"/>
    <w:rsid w:val="00C61E9D"/>
    <w:rsid w:val="00C62BC6"/>
    <w:rsid w:val="00C64803"/>
    <w:rsid w:val="00C649FB"/>
    <w:rsid w:val="00C64E1A"/>
    <w:rsid w:val="00C651D3"/>
    <w:rsid w:val="00C673B1"/>
    <w:rsid w:val="00C676ED"/>
    <w:rsid w:val="00C702E2"/>
    <w:rsid w:val="00C70570"/>
    <w:rsid w:val="00C707B6"/>
    <w:rsid w:val="00C708A9"/>
    <w:rsid w:val="00C70EAF"/>
    <w:rsid w:val="00C716E7"/>
    <w:rsid w:val="00C71B55"/>
    <w:rsid w:val="00C72CB1"/>
    <w:rsid w:val="00C73C7D"/>
    <w:rsid w:val="00C73F57"/>
    <w:rsid w:val="00C740F4"/>
    <w:rsid w:val="00C74920"/>
    <w:rsid w:val="00C758E2"/>
    <w:rsid w:val="00C76ABE"/>
    <w:rsid w:val="00C7719A"/>
    <w:rsid w:val="00C8016C"/>
    <w:rsid w:val="00C8053B"/>
    <w:rsid w:val="00C8151F"/>
    <w:rsid w:val="00C817E3"/>
    <w:rsid w:val="00C81D42"/>
    <w:rsid w:val="00C82A1A"/>
    <w:rsid w:val="00C83546"/>
    <w:rsid w:val="00C83B27"/>
    <w:rsid w:val="00C840B0"/>
    <w:rsid w:val="00C85096"/>
    <w:rsid w:val="00C85255"/>
    <w:rsid w:val="00C85C90"/>
    <w:rsid w:val="00C873F9"/>
    <w:rsid w:val="00C8771A"/>
    <w:rsid w:val="00C878EE"/>
    <w:rsid w:val="00C87D3F"/>
    <w:rsid w:val="00C90143"/>
    <w:rsid w:val="00C90331"/>
    <w:rsid w:val="00C90532"/>
    <w:rsid w:val="00C90F6B"/>
    <w:rsid w:val="00C92B38"/>
    <w:rsid w:val="00C93526"/>
    <w:rsid w:val="00C9411B"/>
    <w:rsid w:val="00C95943"/>
    <w:rsid w:val="00C95CF1"/>
    <w:rsid w:val="00C9769A"/>
    <w:rsid w:val="00C97E13"/>
    <w:rsid w:val="00CA0028"/>
    <w:rsid w:val="00CA2E54"/>
    <w:rsid w:val="00CA2FE6"/>
    <w:rsid w:val="00CA393C"/>
    <w:rsid w:val="00CA527B"/>
    <w:rsid w:val="00CA56F6"/>
    <w:rsid w:val="00CA6093"/>
    <w:rsid w:val="00CA7023"/>
    <w:rsid w:val="00CA7510"/>
    <w:rsid w:val="00CA7F6F"/>
    <w:rsid w:val="00CB02BA"/>
    <w:rsid w:val="00CB0D94"/>
    <w:rsid w:val="00CB1BFA"/>
    <w:rsid w:val="00CB2472"/>
    <w:rsid w:val="00CB331A"/>
    <w:rsid w:val="00CB4D39"/>
    <w:rsid w:val="00CB5C2A"/>
    <w:rsid w:val="00CB61AD"/>
    <w:rsid w:val="00CB645C"/>
    <w:rsid w:val="00CB69C4"/>
    <w:rsid w:val="00CB6C97"/>
    <w:rsid w:val="00CB700F"/>
    <w:rsid w:val="00CC096D"/>
    <w:rsid w:val="00CC11C2"/>
    <w:rsid w:val="00CC13AD"/>
    <w:rsid w:val="00CC20FA"/>
    <w:rsid w:val="00CC3272"/>
    <w:rsid w:val="00CC3A09"/>
    <w:rsid w:val="00CC44E6"/>
    <w:rsid w:val="00CC582A"/>
    <w:rsid w:val="00CC585D"/>
    <w:rsid w:val="00CC5E3C"/>
    <w:rsid w:val="00CC61D2"/>
    <w:rsid w:val="00CC7E4E"/>
    <w:rsid w:val="00CD0913"/>
    <w:rsid w:val="00CD0AA7"/>
    <w:rsid w:val="00CD22F3"/>
    <w:rsid w:val="00CD2553"/>
    <w:rsid w:val="00CD2EBC"/>
    <w:rsid w:val="00CD4B70"/>
    <w:rsid w:val="00CD4CDD"/>
    <w:rsid w:val="00CD532E"/>
    <w:rsid w:val="00CD55EC"/>
    <w:rsid w:val="00CD57A7"/>
    <w:rsid w:val="00CD5879"/>
    <w:rsid w:val="00CD63F4"/>
    <w:rsid w:val="00CD6792"/>
    <w:rsid w:val="00CD7466"/>
    <w:rsid w:val="00CD76FB"/>
    <w:rsid w:val="00CE19D3"/>
    <w:rsid w:val="00CE1D07"/>
    <w:rsid w:val="00CE230D"/>
    <w:rsid w:val="00CE26BB"/>
    <w:rsid w:val="00CE2B5B"/>
    <w:rsid w:val="00CE30C4"/>
    <w:rsid w:val="00CE3571"/>
    <w:rsid w:val="00CE3BC7"/>
    <w:rsid w:val="00CE5CB9"/>
    <w:rsid w:val="00CE5DB2"/>
    <w:rsid w:val="00CE7401"/>
    <w:rsid w:val="00CE7DF9"/>
    <w:rsid w:val="00CF0A26"/>
    <w:rsid w:val="00CF1746"/>
    <w:rsid w:val="00CF20EC"/>
    <w:rsid w:val="00CF24A8"/>
    <w:rsid w:val="00CF291F"/>
    <w:rsid w:val="00CF4471"/>
    <w:rsid w:val="00CF5000"/>
    <w:rsid w:val="00CF5F98"/>
    <w:rsid w:val="00D02814"/>
    <w:rsid w:val="00D040DB"/>
    <w:rsid w:val="00D043C5"/>
    <w:rsid w:val="00D04AC0"/>
    <w:rsid w:val="00D05DFE"/>
    <w:rsid w:val="00D07034"/>
    <w:rsid w:val="00D07302"/>
    <w:rsid w:val="00D07517"/>
    <w:rsid w:val="00D0758D"/>
    <w:rsid w:val="00D11892"/>
    <w:rsid w:val="00D11CD6"/>
    <w:rsid w:val="00D11E9C"/>
    <w:rsid w:val="00D124E9"/>
    <w:rsid w:val="00D12D38"/>
    <w:rsid w:val="00D12D90"/>
    <w:rsid w:val="00D133CD"/>
    <w:rsid w:val="00D1533C"/>
    <w:rsid w:val="00D15719"/>
    <w:rsid w:val="00D15AE6"/>
    <w:rsid w:val="00D163BD"/>
    <w:rsid w:val="00D16BD4"/>
    <w:rsid w:val="00D17589"/>
    <w:rsid w:val="00D17B80"/>
    <w:rsid w:val="00D17D06"/>
    <w:rsid w:val="00D20468"/>
    <w:rsid w:val="00D20980"/>
    <w:rsid w:val="00D23132"/>
    <w:rsid w:val="00D25494"/>
    <w:rsid w:val="00D256CD"/>
    <w:rsid w:val="00D25B95"/>
    <w:rsid w:val="00D26985"/>
    <w:rsid w:val="00D30341"/>
    <w:rsid w:val="00D30974"/>
    <w:rsid w:val="00D313D1"/>
    <w:rsid w:val="00D3154F"/>
    <w:rsid w:val="00D321A1"/>
    <w:rsid w:val="00D33C4E"/>
    <w:rsid w:val="00D34487"/>
    <w:rsid w:val="00D34504"/>
    <w:rsid w:val="00D349C0"/>
    <w:rsid w:val="00D34C28"/>
    <w:rsid w:val="00D34C9F"/>
    <w:rsid w:val="00D35FD6"/>
    <w:rsid w:val="00D37944"/>
    <w:rsid w:val="00D37992"/>
    <w:rsid w:val="00D404B7"/>
    <w:rsid w:val="00D41369"/>
    <w:rsid w:val="00D4307B"/>
    <w:rsid w:val="00D43628"/>
    <w:rsid w:val="00D43A24"/>
    <w:rsid w:val="00D44443"/>
    <w:rsid w:val="00D4596D"/>
    <w:rsid w:val="00D45B7B"/>
    <w:rsid w:val="00D4607E"/>
    <w:rsid w:val="00D4614E"/>
    <w:rsid w:val="00D464EE"/>
    <w:rsid w:val="00D478E1"/>
    <w:rsid w:val="00D50962"/>
    <w:rsid w:val="00D50B0E"/>
    <w:rsid w:val="00D519E1"/>
    <w:rsid w:val="00D52994"/>
    <w:rsid w:val="00D52E36"/>
    <w:rsid w:val="00D53593"/>
    <w:rsid w:val="00D55031"/>
    <w:rsid w:val="00D55C87"/>
    <w:rsid w:val="00D56520"/>
    <w:rsid w:val="00D604C2"/>
    <w:rsid w:val="00D60E21"/>
    <w:rsid w:val="00D6129E"/>
    <w:rsid w:val="00D62138"/>
    <w:rsid w:val="00D63A09"/>
    <w:rsid w:val="00D63AC3"/>
    <w:rsid w:val="00D64475"/>
    <w:rsid w:val="00D65C37"/>
    <w:rsid w:val="00D65F4F"/>
    <w:rsid w:val="00D66415"/>
    <w:rsid w:val="00D66D7F"/>
    <w:rsid w:val="00D67686"/>
    <w:rsid w:val="00D71518"/>
    <w:rsid w:val="00D717C2"/>
    <w:rsid w:val="00D72941"/>
    <w:rsid w:val="00D7427E"/>
    <w:rsid w:val="00D74FDB"/>
    <w:rsid w:val="00D75F75"/>
    <w:rsid w:val="00D762DA"/>
    <w:rsid w:val="00D764F5"/>
    <w:rsid w:val="00D770F7"/>
    <w:rsid w:val="00D7782B"/>
    <w:rsid w:val="00D778CB"/>
    <w:rsid w:val="00D80567"/>
    <w:rsid w:val="00D806FC"/>
    <w:rsid w:val="00D814D4"/>
    <w:rsid w:val="00D82446"/>
    <w:rsid w:val="00D83163"/>
    <w:rsid w:val="00D851E6"/>
    <w:rsid w:val="00D85F06"/>
    <w:rsid w:val="00D86196"/>
    <w:rsid w:val="00D907C3"/>
    <w:rsid w:val="00D91B25"/>
    <w:rsid w:val="00D93211"/>
    <w:rsid w:val="00D932DF"/>
    <w:rsid w:val="00D93ADA"/>
    <w:rsid w:val="00D94312"/>
    <w:rsid w:val="00D95F25"/>
    <w:rsid w:val="00D961AA"/>
    <w:rsid w:val="00D9780C"/>
    <w:rsid w:val="00D97AD0"/>
    <w:rsid w:val="00D97D57"/>
    <w:rsid w:val="00DA0D57"/>
    <w:rsid w:val="00DA23D5"/>
    <w:rsid w:val="00DA2FF4"/>
    <w:rsid w:val="00DA5659"/>
    <w:rsid w:val="00DA5A46"/>
    <w:rsid w:val="00DA6C17"/>
    <w:rsid w:val="00DA706A"/>
    <w:rsid w:val="00DA7540"/>
    <w:rsid w:val="00DB1CC5"/>
    <w:rsid w:val="00DB20A4"/>
    <w:rsid w:val="00DB2F6B"/>
    <w:rsid w:val="00DB31F9"/>
    <w:rsid w:val="00DB45D0"/>
    <w:rsid w:val="00DB4ED8"/>
    <w:rsid w:val="00DB56CF"/>
    <w:rsid w:val="00DB5D2E"/>
    <w:rsid w:val="00DB5F9A"/>
    <w:rsid w:val="00DB60D9"/>
    <w:rsid w:val="00DB69E0"/>
    <w:rsid w:val="00DB6C33"/>
    <w:rsid w:val="00DB6E5A"/>
    <w:rsid w:val="00DB7AE7"/>
    <w:rsid w:val="00DC00FA"/>
    <w:rsid w:val="00DC05AB"/>
    <w:rsid w:val="00DC0E29"/>
    <w:rsid w:val="00DC0E87"/>
    <w:rsid w:val="00DC1947"/>
    <w:rsid w:val="00DC35ED"/>
    <w:rsid w:val="00DC4B1D"/>
    <w:rsid w:val="00DC4C5B"/>
    <w:rsid w:val="00DC4C7E"/>
    <w:rsid w:val="00DC4FD3"/>
    <w:rsid w:val="00DC602D"/>
    <w:rsid w:val="00DC682D"/>
    <w:rsid w:val="00DC6DF7"/>
    <w:rsid w:val="00DC73C0"/>
    <w:rsid w:val="00DC747D"/>
    <w:rsid w:val="00DC7636"/>
    <w:rsid w:val="00DD06E8"/>
    <w:rsid w:val="00DD1732"/>
    <w:rsid w:val="00DD1A57"/>
    <w:rsid w:val="00DD36D4"/>
    <w:rsid w:val="00DD38F3"/>
    <w:rsid w:val="00DD3FCC"/>
    <w:rsid w:val="00DD45B1"/>
    <w:rsid w:val="00DD4B65"/>
    <w:rsid w:val="00DD572E"/>
    <w:rsid w:val="00DD672F"/>
    <w:rsid w:val="00DD6778"/>
    <w:rsid w:val="00DD6B4B"/>
    <w:rsid w:val="00DD6DEA"/>
    <w:rsid w:val="00DD7680"/>
    <w:rsid w:val="00DD7AE0"/>
    <w:rsid w:val="00DE0738"/>
    <w:rsid w:val="00DE0CDC"/>
    <w:rsid w:val="00DE16B1"/>
    <w:rsid w:val="00DE255F"/>
    <w:rsid w:val="00DE281C"/>
    <w:rsid w:val="00DE2E61"/>
    <w:rsid w:val="00DE359D"/>
    <w:rsid w:val="00DE3A97"/>
    <w:rsid w:val="00DE4566"/>
    <w:rsid w:val="00DE52CE"/>
    <w:rsid w:val="00DE61E6"/>
    <w:rsid w:val="00DE62C6"/>
    <w:rsid w:val="00DE6478"/>
    <w:rsid w:val="00DE68AE"/>
    <w:rsid w:val="00DE6F13"/>
    <w:rsid w:val="00DE7B70"/>
    <w:rsid w:val="00DF0899"/>
    <w:rsid w:val="00DF0FE9"/>
    <w:rsid w:val="00DF14EE"/>
    <w:rsid w:val="00DF150A"/>
    <w:rsid w:val="00DF209B"/>
    <w:rsid w:val="00DF37DE"/>
    <w:rsid w:val="00DF4649"/>
    <w:rsid w:val="00DF4A21"/>
    <w:rsid w:val="00DF55FA"/>
    <w:rsid w:val="00DF5C64"/>
    <w:rsid w:val="00DF6384"/>
    <w:rsid w:val="00DF638D"/>
    <w:rsid w:val="00DF6795"/>
    <w:rsid w:val="00DF760D"/>
    <w:rsid w:val="00DF7C90"/>
    <w:rsid w:val="00E0069F"/>
    <w:rsid w:val="00E0073E"/>
    <w:rsid w:val="00E014E7"/>
    <w:rsid w:val="00E016C3"/>
    <w:rsid w:val="00E01991"/>
    <w:rsid w:val="00E019DB"/>
    <w:rsid w:val="00E01F59"/>
    <w:rsid w:val="00E02F13"/>
    <w:rsid w:val="00E03C42"/>
    <w:rsid w:val="00E04B30"/>
    <w:rsid w:val="00E062CD"/>
    <w:rsid w:val="00E06547"/>
    <w:rsid w:val="00E070C5"/>
    <w:rsid w:val="00E073A9"/>
    <w:rsid w:val="00E077FA"/>
    <w:rsid w:val="00E07B17"/>
    <w:rsid w:val="00E07B89"/>
    <w:rsid w:val="00E102E0"/>
    <w:rsid w:val="00E104D5"/>
    <w:rsid w:val="00E10A22"/>
    <w:rsid w:val="00E11AFF"/>
    <w:rsid w:val="00E11E53"/>
    <w:rsid w:val="00E12F55"/>
    <w:rsid w:val="00E1684E"/>
    <w:rsid w:val="00E16DA2"/>
    <w:rsid w:val="00E2040D"/>
    <w:rsid w:val="00E20F59"/>
    <w:rsid w:val="00E210A0"/>
    <w:rsid w:val="00E21332"/>
    <w:rsid w:val="00E215A1"/>
    <w:rsid w:val="00E2168B"/>
    <w:rsid w:val="00E22254"/>
    <w:rsid w:val="00E24292"/>
    <w:rsid w:val="00E247C4"/>
    <w:rsid w:val="00E26672"/>
    <w:rsid w:val="00E277FC"/>
    <w:rsid w:val="00E27C5A"/>
    <w:rsid w:val="00E309AA"/>
    <w:rsid w:val="00E31C80"/>
    <w:rsid w:val="00E323EF"/>
    <w:rsid w:val="00E33382"/>
    <w:rsid w:val="00E342D1"/>
    <w:rsid w:val="00E35266"/>
    <w:rsid w:val="00E354B8"/>
    <w:rsid w:val="00E35F65"/>
    <w:rsid w:val="00E37762"/>
    <w:rsid w:val="00E4118B"/>
    <w:rsid w:val="00E417F0"/>
    <w:rsid w:val="00E4205D"/>
    <w:rsid w:val="00E426A7"/>
    <w:rsid w:val="00E42956"/>
    <w:rsid w:val="00E42F99"/>
    <w:rsid w:val="00E43B3F"/>
    <w:rsid w:val="00E4458F"/>
    <w:rsid w:val="00E44B72"/>
    <w:rsid w:val="00E44DC5"/>
    <w:rsid w:val="00E465B0"/>
    <w:rsid w:val="00E476F9"/>
    <w:rsid w:val="00E50774"/>
    <w:rsid w:val="00E52EEC"/>
    <w:rsid w:val="00E538EC"/>
    <w:rsid w:val="00E54621"/>
    <w:rsid w:val="00E5465A"/>
    <w:rsid w:val="00E55477"/>
    <w:rsid w:val="00E55B7A"/>
    <w:rsid w:val="00E56B04"/>
    <w:rsid w:val="00E57CC9"/>
    <w:rsid w:val="00E60376"/>
    <w:rsid w:val="00E60DFA"/>
    <w:rsid w:val="00E61B72"/>
    <w:rsid w:val="00E62018"/>
    <w:rsid w:val="00E6277A"/>
    <w:rsid w:val="00E62928"/>
    <w:rsid w:val="00E6375F"/>
    <w:rsid w:val="00E64DA6"/>
    <w:rsid w:val="00E64E0A"/>
    <w:rsid w:val="00E6595B"/>
    <w:rsid w:val="00E6641E"/>
    <w:rsid w:val="00E66F4C"/>
    <w:rsid w:val="00E67318"/>
    <w:rsid w:val="00E675BA"/>
    <w:rsid w:val="00E70DEC"/>
    <w:rsid w:val="00E71031"/>
    <w:rsid w:val="00E710ED"/>
    <w:rsid w:val="00E72A88"/>
    <w:rsid w:val="00E73809"/>
    <w:rsid w:val="00E73935"/>
    <w:rsid w:val="00E73973"/>
    <w:rsid w:val="00E73DB8"/>
    <w:rsid w:val="00E75FC3"/>
    <w:rsid w:val="00E763F4"/>
    <w:rsid w:val="00E766F6"/>
    <w:rsid w:val="00E768BC"/>
    <w:rsid w:val="00E772BD"/>
    <w:rsid w:val="00E7762B"/>
    <w:rsid w:val="00E77BC0"/>
    <w:rsid w:val="00E82C49"/>
    <w:rsid w:val="00E831CA"/>
    <w:rsid w:val="00E833EA"/>
    <w:rsid w:val="00E84DE8"/>
    <w:rsid w:val="00E867CE"/>
    <w:rsid w:val="00E867D2"/>
    <w:rsid w:val="00E86963"/>
    <w:rsid w:val="00E869D1"/>
    <w:rsid w:val="00E872BD"/>
    <w:rsid w:val="00E9004E"/>
    <w:rsid w:val="00E90C01"/>
    <w:rsid w:val="00E91FD9"/>
    <w:rsid w:val="00E936B2"/>
    <w:rsid w:val="00E9405B"/>
    <w:rsid w:val="00E94FDA"/>
    <w:rsid w:val="00E9586C"/>
    <w:rsid w:val="00E95A99"/>
    <w:rsid w:val="00E96215"/>
    <w:rsid w:val="00E96600"/>
    <w:rsid w:val="00E96A48"/>
    <w:rsid w:val="00E97CE3"/>
    <w:rsid w:val="00EA0374"/>
    <w:rsid w:val="00EA03DE"/>
    <w:rsid w:val="00EA078D"/>
    <w:rsid w:val="00EA0B9B"/>
    <w:rsid w:val="00EA0F4D"/>
    <w:rsid w:val="00EA169A"/>
    <w:rsid w:val="00EA1C60"/>
    <w:rsid w:val="00EA288D"/>
    <w:rsid w:val="00EA54BD"/>
    <w:rsid w:val="00EA6DD3"/>
    <w:rsid w:val="00EA7BA5"/>
    <w:rsid w:val="00EB06B1"/>
    <w:rsid w:val="00EB08BA"/>
    <w:rsid w:val="00EB13C2"/>
    <w:rsid w:val="00EB1D88"/>
    <w:rsid w:val="00EB2138"/>
    <w:rsid w:val="00EB231B"/>
    <w:rsid w:val="00EB3443"/>
    <w:rsid w:val="00EB3898"/>
    <w:rsid w:val="00EB4697"/>
    <w:rsid w:val="00EB4E46"/>
    <w:rsid w:val="00EB5D26"/>
    <w:rsid w:val="00EB5DD8"/>
    <w:rsid w:val="00EB6534"/>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5E54"/>
    <w:rsid w:val="00EC622B"/>
    <w:rsid w:val="00EC6904"/>
    <w:rsid w:val="00EC6EF0"/>
    <w:rsid w:val="00EC744E"/>
    <w:rsid w:val="00ED0A60"/>
    <w:rsid w:val="00ED295A"/>
    <w:rsid w:val="00ED37D4"/>
    <w:rsid w:val="00ED3B60"/>
    <w:rsid w:val="00ED50D6"/>
    <w:rsid w:val="00ED54DA"/>
    <w:rsid w:val="00ED55AB"/>
    <w:rsid w:val="00ED6052"/>
    <w:rsid w:val="00ED6E8D"/>
    <w:rsid w:val="00ED6F3E"/>
    <w:rsid w:val="00ED71BC"/>
    <w:rsid w:val="00EE1267"/>
    <w:rsid w:val="00EE153D"/>
    <w:rsid w:val="00EE1692"/>
    <w:rsid w:val="00EE213A"/>
    <w:rsid w:val="00EE2451"/>
    <w:rsid w:val="00EE2ADD"/>
    <w:rsid w:val="00EE3350"/>
    <w:rsid w:val="00EE37E1"/>
    <w:rsid w:val="00EE4A62"/>
    <w:rsid w:val="00EE59A3"/>
    <w:rsid w:val="00EE5DD3"/>
    <w:rsid w:val="00EF0048"/>
    <w:rsid w:val="00EF2411"/>
    <w:rsid w:val="00EF2B89"/>
    <w:rsid w:val="00EF3000"/>
    <w:rsid w:val="00EF35C6"/>
    <w:rsid w:val="00EF3AE9"/>
    <w:rsid w:val="00EF57A5"/>
    <w:rsid w:val="00EF63CB"/>
    <w:rsid w:val="00EF67E0"/>
    <w:rsid w:val="00EF706D"/>
    <w:rsid w:val="00EF7FB4"/>
    <w:rsid w:val="00F0053A"/>
    <w:rsid w:val="00F00F89"/>
    <w:rsid w:val="00F01919"/>
    <w:rsid w:val="00F030F4"/>
    <w:rsid w:val="00F034EC"/>
    <w:rsid w:val="00F0390F"/>
    <w:rsid w:val="00F04312"/>
    <w:rsid w:val="00F04393"/>
    <w:rsid w:val="00F04F64"/>
    <w:rsid w:val="00F05191"/>
    <w:rsid w:val="00F060F3"/>
    <w:rsid w:val="00F07556"/>
    <w:rsid w:val="00F10320"/>
    <w:rsid w:val="00F11119"/>
    <w:rsid w:val="00F112D7"/>
    <w:rsid w:val="00F117A2"/>
    <w:rsid w:val="00F1206A"/>
    <w:rsid w:val="00F133B3"/>
    <w:rsid w:val="00F15621"/>
    <w:rsid w:val="00F15A8B"/>
    <w:rsid w:val="00F166C3"/>
    <w:rsid w:val="00F167FB"/>
    <w:rsid w:val="00F16995"/>
    <w:rsid w:val="00F16D0A"/>
    <w:rsid w:val="00F1710A"/>
    <w:rsid w:val="00F17465"/>
    <w:rsid w:val="00F205C0"/>
    <w:rsid w:val="00F21ED2"/>
    <w:rsid w:val="00F23BCD"/>
    <w:rsid w:val="00F23D6A"/>
    <w:rsid w:val="00F23F35"/>
    <w:rsid w:val="00F245D9"/>
    <w:rsid w:val="00F25257"/>
    <w:rsid w:val="00F25A6A"/>
    <w:rsid w:val="00F26F40"/>
    <w:rsid w:val="00F27417"/>
    <w:rsid w:val="00F27574"/>
    <w:rsid w:val="00F30F70"/>
    <w:rsid w:val="00F31116"/>
    <w:rsid w:val="00F31121"/>
    <w:rsid w:val="00F3149B"/>
    <w:rsid w:val="00F31F71"/>
    <w:rsid w:val="00F32373"/>
    <w:rsid w:val="00F33D74"/>
    <w:rsid w:val="00F34452"/>
    <w:rsid w:val="00F3480D"/>
    <w:rsid w:val="00F34D6C"/>
    <w:rsid w:val="00F3564C"/>
    <w:rsid w:val="00F4037E"/>
    <w:rsid w:val="00F407F8"/>
    <w:rsid w:val="00F409B6"/>
    <w:rsid w:val="00F43053"/>
    <w:rsid w:val="00F434B1"/>
    <w:rsid w:val="00F44EF9"/>
    <w:rsid w:val="00F46185"/>
    <w:rsid w:val="00F467F9"/>
    <w:rsid w:val="00F46897"/>
    <w:rsid w:val="00F4708C"/>
    <w:rsid w:val="00F47A41"/>
    <w:rsid w:val="00F50AAB"/>
    <w:rsid w:val="00F50BCD"/>
    <w:rsid w:val="00F50CE6"/>
    <w:rsid w:val="00F510FE"/>
    <w:rsid w:val="00F52124"/>
    <w:rsid w:val="00F527F4"/>
    <w:rsid w:val="00F52C8C"/>
    <w:rsid w:val="00F53196"/>
    <w:rsid w:val="00F53B70"/>
    <w:rsid w:val="00F54848"/>
    <w:rsid w:val="00F54D8E"/>
    <w:rsid w:val="00F552E4"/>
    <w:rsid w:val="00F566D8"/>
    <w:rsid w:val="00F56E79"/>
    <w:rsid w:val="00F5747B"/>
    <w:rsid w:val="00F578ED"/>
    <w:rsid w:val="00F57D8D"/>
    <w:rsid w:val="00F57DFB"/>
    <w:rsid w:val="00F57F5B"/>
    <w:rsid w:val="00F60FF3"/>
    <w:rsid w:val="00F61395"/>
    <w:rsid w:val="00F61552"/>
    <w:rsid w:val="00F61D9D"/>
    <w:rsid w:val="00F63118"/>
    <w:rsid w:val="00F646C0"/>
    <w:rsid w:val="00F648E8"/>
    <w:rsid w:val="00F64E4E"/>
    <w:rsid w:val="00F6521A"/>
    <w:rsid w:val="00F66929"/>
    <w:rsid w:val="00F66A10"/>
    <w:rsid w:val="00F67711"/>
    <w:rsid w:val="00F67CB9"/>
    <w:rsid w:val="00F67F10"/>
    <w:rsid w:val="00F7242F"/>
    <w:rsid w:val="00F7352B"/>
    <w:rsid w:val="00F7373E"/>
    <w:rsid w:val="00F739BC"/>
    <w:rsid w:val="00F73D3E"/>
    <w:rsid w:val="00F74871"/>
    <w:rsid w:val="00F75788"/>
    <w:rsid w:val="00F75D45"/>
    <w:rsid w:val="00F7698F"/>
    <w:rsid w:val="00F77795"/>
    <w:rsid w:val="00F808C7"/>
    <w:rsid w:val="00F80B43"/>
    <w:rsid w:val="00F80ECA"/>
    <w:rsid w:val="00F81006"/>
    <w:rsid w:val="00F8104F"/>
    <w:rsid w:val="00F81A05"/>
    <w:rsid w:val="00F81C7D"/>
    <w:rsid w:val="00F82228"/>
    <w:rsid w:val="00F82590"/>
    <w:rsid w:val="00F82A8D"/>
    <w:rsid w:val="00F830CF"/>
    <w:rsid w:val="00F8436C"/>
    <w:rsid w:val="00F8545F"/>
    <w:rsid w:val="00F8612E"/>
    <w:rsid w:val="00F86325"/>
    <w:rsid w:val="00F86A3F"/>
    <w:rsid w:val="00F86CD3"/>
    <w:rsid w:val="00F87EE3"/>
    <w:rsid w:val="00F906E1"/>
    <w:rsid w:val="00F90781"/>
    <w:rsid w:val="00F90D7C"/>
    <w:rsid w:val="00F9117C"/>
    <w:rsid w:val="00F919DF"/>
    <w:rsid w:val="00F949F5"/>
    <w:rsid w:val="00F94A49"/>
    <w:rsid w:val="00F951F3"/>
    <w:rsid w:val="00F95693"/>
    <w:rsid w:val="00F9684E"/>
    <w:rsid w:val="00F96A81"/>
    <w:rsid w:val="00F970E7"/>
    <w:rsid w:val="00F976D0"/>
    <w:rsid w:val="00FA0BC8"/>
    <w:rsid w:val="00FA0DCF"/>
    <w:rsid w:val="00FA3956"/>
    <w:rsid w:val="00FA3D7C"/>
    <w:rsid w:val="00FA4142"/>
    <w:rsid w:val="00FA5165"/>
    <w:rsid w:val="00FA537B"/>
    <w:rsid w:val="00FA69A7"/>
    <w:rsid w:val="00FA7083"/>
    <w:rsid w:val="00FA7C4A"/>
    <w:rsid w:val="00FB0071"/>
    <w:rsid w:val="00FB0E83"/>
    <w:rsid w:val="00FB156E"/>
    <w:rsid w:val="00FB1B95"/>
    <w:rsid w:val="00FB1D65"/>
    <w:rsid w:val="00FB326E"/>
    <w:rsid w:val="00FB35A5"/>
    <w:rsid w:val="00FB35F0"/>
    <w:rsid w:val="00FB48C7"/>
    <w:rsid w:val="00FB523A"/>
    <w:rsid w:val="00FB5CDF"/>
    <w:rsid w:val="00FB7C53"/>
    <w:rsid w:val="00FC0184"/>
    <w:rsid w:val="00FC0382"/>
    <w:rsid w:val="00FC17F1"/>
    <w:rsid w:val="00FC1D9E"/>
    <w:rsid w:val="00FC2851"/>
    <w:rsid w:val="00FC35E6"/>
    <w:rsid w:val="00FC4159"/>
    <w:rsid w:val="00FC52A1"/>
    <w:rsid w:val="00FC5EE6"/>
    <w:rsid w:val="00FC6FBD"/>
    <w:rsid w:val="00FC78F0"/>
    <w:rsid w:val="00FD07CA"/>
    <w:rsid w:val="00FD2EE9"/>
    <w:rsid w:val="00FD3527"/>
    <w:rsid w:val="00FD4BE9"/>
    <w:rsid w:val="00FD5413"/>
    <w:rsid w:val="00FD551E"/>
    <w:rsid w:val="00FD556A"/>
    <w:rsid w:val="00FD5669"/>
    <w:rsid w:val="00FD63D9"/>
    <w:rsid w:val="00FD643B"/>
    <w:rsid w:val="00FD73E8"/>
    <w:rsid w:val="00FD7D8D"/>
    <w:rsid w:val="00FE08EF"/>
    <w:rsid w:val="00FE1D15"/>
    <w:rsid w:val="00FE2CC4"/>
    <w:rsid w:val="00FE315D"/>
    <w:rsid w:val="00FE40ED"/>
    <w:rsid w:val="00FE46DF"/>
    <w:rsid w:val="00FE513E"/>
    <w:rsid w:val="00FE5713"/>
    <w:rsid w:val="00FE6395"/>
    <w:rsid w:val="00FE6F4C"/>
    <w:rsid w:val="00FE7025"/>
    <w:rsid w:val="00FE79A1"/>
    <w:rsid w:val="00FF0271"/>
    <w:rsid w:val="00FF1554"/>
    <w:rsid w:val="00FF2981"/>
    <w:rsid w:val="00FF2C37"/>
    <w:rsid w:val="00FF3B87"/>
    <w:rsid w:val="00FF459B"/>
    <w:rsid w:val="00FF4BE4"/>
    <w:rsid w:val="00FF500E"/>
    <w:rsid w:val="00FF6104"/>
    <w:rsid w:val="00FF69FB"/>
    <w:rsid w:val="00FF6A0E"/>
    <w:rsid w:val="00FF7DEC"/>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294285"/>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294285"/>
    <w:pPr>
      <w:numPr>
        <w:numId w:val="1"/>
      </w:numPr>
      <w:tabs>
        <w:tab w:val="clear" w:pos="567"/>
      </w:tabs>
      <w:adjustRightInd w:val="0"/>
      <w:spacing w:after="240"/>
    </w:pPr>
  </w:style>
  <w:style w:type="paragraph" w:customStyle="1" w:styleId="a">
    <w:name w:val="(a)"/>
    <w:basedOn w:val="Normal"/>
    <w:link w:val="aCar"/>
    <w:rsid w:val="00294285"/>
    <w:pPr>
      <w:tabs>
        <w:tab w:val="left" w:pos="-737"/>
      </w:tabs>
      <w:spacing w:after="240"/>
      <w:ind w:left="567" w:hanging="567"/>
    </w:pPr>
    <w:rPr>
      <w:rFonts w:eastAsia="Times New Roman"/>
      <w:lang w:eastAsia="en-US"/>
    </w:rPr>
  </w:style>
  <w:style w:type="paragraph" w:customStyle="1" w:styleId="b">
    <w:name w:val="(b)"/>
    <w:basedOn w:val="a"/>
    <w:link w:val="bCar"/>
    <w:rsid w:val="00294285"/>
    <w:pPr>
      <w:tabs>
        <w:tab w:val="clear" w:pos="567"/>
        <w:tab w:val="left" w:pos="1134"/>
      </w:tabs>
      <w:ind w:left="1134"/>
    </w:pPr>
  </w:style>
  <w:style w:type="paragraph" w:customStyle="1" w:styleId="c">
    <w:name w:val="(c)"/>
    <w:basedOn w:val="Normal"/>
    <w:rsid w:val="00294285"/>
    <w:pPr>
      <w:tabs>
        <w:tab w:val="clear" w:pos="567"/>
        <w:tab w:val="left" w:pos="1701"/>
      </w:tabs>
      <w:spacing w:after="240"/>
      <w:ind w:left="1701" w:hanging="567"/>
    </w:pPr>
  </w:style>
  <w:style w:type="paragraph" w:customStyle="1" w:styleId="alina">
    <w:name w:val="alinéa"/>
    <w:basedOn w:val="Normal"/>
    <w:rsid w:val="00294285"/>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Heading1"/>
    <w:link w:val="TitcoulCar"/>
    <w:rsid w:val="00DD45B1"/>
    <w:pPr>
      <w:keepNext/>
      <w:widowControl/>
      <w:numPr>
        <w:numId w:val="0"/>
      </w:numPr>
      <w:pBdr>
        <w:bottom w:val="none" w:sz="0" w:space="0" w:color="auto"/>
      </w:pBdr>
      <w:spacing w:after="480" w:line="480" w:lineRule="exact"/>
    </w:pPr>
    <w:rPr>
      <w:b/>
      <w:caps/>
      <w:noProof/>
      <w:snapToGrid w:val="0"/>
      <w:color w:val="3366FF"/>
      <w:sz w:val="32"/>
      <w:szCs w:val="32"/>
      <w:lang w:val="en-GB"/>
    </w:rPr>
  </w:style>
  <w:style w:type="character" w:customStyle="1" w:styleId="TitcoulCar">
    <w:name w:val="Titcoul Car"/>
    <w:link w:val="Titcoul"/>
    <w:rsid w:val="00DD45B1"/>
    <w:rPr>
      <w:rFonts w:ascii="Arial" w:hAnsi="Arial" w:cs="Arial"/>
      <w:b/>
      <w:bCs/>
      <w:caps/>
      <w:noProof/>
      <w:snapToGrid w:val="0"/>
      <w:color w:val="3366FF"/>
      <w:kern w:val="28"/>
      <w:sz w:val="32"/>
      <w:szCs w:val="32"/>
      <w:lang w:val="en-GB"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val="0"/>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DD45B1"/>
    <w:pPr>
      <w:spacing w:after="0"/>
    </w:pPr>
    <w:rPr>
      <w:sz w:val="48"/>
      <w:szCs w:val="48"/>
    </w:rPr>
  </w:style>
  <w:style w:type="character" w:customStyle="1" w:styleId="UPlanCar">
    <w:name w:val="UPlan Car"/>
    <w:basedOn w:val="TitcoulCar"/>
    <w:link w:val="UPlan"/>
    <w:rsid w:val="00DD45B1"/>
    <w:rPr>
      <w:rFonts w:ascii="Arial" w:hAnsi="Arial"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spacing w:after="0"/>
    </w:pPr>
    <w:rPr>
      <w:bCs w:val="0"/>
      <w:caps w:val="0"/>
      <w:lang w:val="en-US"/>
    </w:rPr>
  </w:style>
  <w:style w:type="character" w:customStyle="1" w:styleId="HO1Car">
    <w:name w:val="HO1 Car"/>
    <w:basedOn w:val="TitcoulCar"/>
    <w:link w:val="HO1"/>
    <w:rsid w:val="000D44A5"/>
    <w:rPr>
      <w:rFonts w:ascii="Arial" w:hAnsi="Arial" w:cs="Arial"/>
      <w:b/>
      <w:bCs w:val="0"/>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val="0"/>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294285"/>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294285"/>
    <w:pPr>
      <w:numPr>
        <w:numId w:val="1"/>
      </w:numPr>
      <w:tabs>
        <w:tab w:val="clear" w:pos="567"/>
      </w:tabs>
      <w:adjustRightInd w:val="0"/>
      <w:spacing w:after="240"/>
    </w:pPr>
  </w:style>
  <w:style w:type="paragraph" w:customStyle="1" w:styleId="a">
    <w:name w:val="(a)"/>
    <w:basedOn w:val="Normal"/>
    <w:link w:val="aCar"/>
    <w:rsid w:val="00294285"/>
    <w:pPr>
      <w:tabs>
        <w:tab w:val="left" w:pos="-737"/>
      </w:tabs>
      <w:spacing w:after="240"/>
      <w:ind w:left="567" w:hanging="567"/>
    </w:pPr>
    <w:rPr>
      <w:rFonts w:eastAsia="Times New Roman"/>
      <w:lang w:eastAsia="en-US"/>
    </w:rPr>
  </w:style>
  <w:style w:type="paragraph" w:customStyle="1" w:styleId="b">
    <w:name w:val="(b)"/>
    <w:basedOn w:val="a"/>
    <w:link w:val="bCar"/>
    <w:rsid w:val="00294285"/>
    <w:pPr>
      <w:tabs>
        <w:tab w:val="clear" w:pos="567"/>
        <w:tab w:val="left" w:pos="1134"/>
      </w:tabs>
      <w:ind w:left="1134"/>
    </w:pPr>
  </w:style>
  <w:style w:type="paragraph" w:customStyle="1" w:styleId="c">
    <w:name w:val="(c)"/>
    <w:basedOn w:val="Normal"/>
    <w:rsid w:val="00294285"/>
    <w:pPr>
      <w:tabs>
        <w:tab w:val="clear" w:pos="567"/>
        <w:tab w:val="left" w:pos="1701"/>
      </w:tabs>
      <w:spacing w:after="240"/>
      <w:ind w:left="1701" w:hanging="567"/>
    </w:pPr>
  </w:style>
  <w:style w:type="paragraph" w:customStyle="1" w:styleId="alina">
    <w:name w:val="alinéa"/>
    <w:basedOn w:val="Normal"/>
    <w:rsid w:val="00294285"/>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Heading1"/>
    <w:link w:val="TitcoulCar"/>
    <w:rsid w:val="00DD45B1"/>
    <w:pPr>
      <w:keepNext/>
      <w:widowControl/>
      <w:numPr>
        <w:numId w:val="0"/>
      </w:numPr>
      <w:pBdr>
        <w:bottom w:val="none" w:sz="0" w:space="0" w:color="auto"/>
      </w:pBdr>
      <w:spacing w:after="480" w:line="480" w:lineRule="exact"/>
    </w:pPr>
    <w:rPr>
      <w:b/>
      <w:caps/>
      <w:noProof/>
      <w:snapToGrid w:val="0"/>
      <w:color w:val="3366FF"/>
      <w:sz w:val="32"/>
      <w:szCs w:val="32"/>
      <w:lang w:val="en-GB"/>
    </w:rPr>
  </w:style>
  <w:style w:type="character" w:customStyle="1" w:styleId="TitcoulCar">
    <w:name w:val="Titcoul Car"/>
    <w:link w:val="Titcoul"/>
    <w:rsid w:val="00DD45B1"/>
    <w:rPr>
      <w:rFonts w:ascii="Arial" w:hAnsi="Arial" w:cs="Arial"/>
      <w:b/>
      <w:bCs/>
      <w:caps/>
      <w:noProof/>
      <w:snapToGrid w:val="0"/>
      <w:color w:val="3366FF"/>
      <w:kern w:val="28"/>
      <w:sz w:val="32"/>
      <w:szCs w:val="32"/>
      <w:lang w:val="en-GB"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val="0"/>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DD45B1"/>
    <w:pPr>
      <w:spacing w:after="0"/>
    </w:pPr>
    <w:rPr>
      <w:sz w:val="48"/>
      <w:szCs w:val="48"/>
    </w:rPr>
  </w:style>
  <w:style w:type="character" w:customStyle="1" w:styleId="UPlanCar">
    <w:name w:val="UPlan Car"/>
    <w:basedOn w:val="TitcoulCar"/>
    <w:link w:val="UPlan"/>
    <w:rsid w:val="00DD45B1"/>
    <w:rPr>
      <w:rFonts w:ascii="Arial" w:hAnsi="Arial" w:cs="Arial"/>
      <w:b/>
      <w:bCs/>
      <w:caps/>
      <w:noProof/>
      <w:snapToGrid w:val="0"/>
      <w:color w:val="3366FF"/>
      <w:kern w:val="28"/>
      <w:sz w:val="48"/>
      <w:szCs w:val="48"/>
      <w:lang w:val="en-GB" w:eastAsia="zh-CN"/>
    </w:rPr>
  </w:style>
  <w:style w:type="paragraph" w:customStyle="1" w:styleId="Upuce">
    <w:name w:val="Upuce"/>
    <w:basedOn w:val="UTxt"/>
    <w:rsid w:val="00B17C77"/>
    <w:pPr>
      <w:numPr>
        <w:numId w:val="15"/>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spacing w:after="0"/>
    </w:pPr>
    <w:rPr>
      <w:bCs w:val="0"/>
      <w:caps w:val="0"/>
      <w:lang w:val="en-US"/>
    </w:rPr>
  </w:style>
  <w:style w:type="character" w:customStyle="1" w:styleId="HO1Car">
    <w:name w:val="HO1 Car"/>
    <w:basedOn w:val="TitcoulCar"/>
    <w:link w:val="HO1"/>
    <w:rsid w:val="000D44A5"/>
    <w:rPr>
      <w:rFonts w:ascii="Arial" w:hAnsi="Arial" w:cs="Arial"/>
      <w:b/>
      <w:bCs w:val="0"/>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val="0"/>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index.php?lg=fr&amp;pg=00102" TargetMode="External"/><Relationship Id="rId18" Type="http://schemas.openxmlformats.org/officeDocument/2006/relationships/hyperlink" Target="http://www.unesco.org/culture/ich/fr/lis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www.unesco.org/languages-atlas/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nesco.org/culture/ich/index.php?lg=fr&amp;pg=00011&amp;USL=00313" TargetMode="External"/><Relationship Id="rId20" Type="http://schemas.openxmlformats.org/officeDocument/2006/relationships/hyperlink" Target="http://www.unesco.org/culture/ich/en/RL00015" TargetMode="External"/><Relationship Id="rId29" Type="http://schemas.openxmlformats.org/officeDocument/2006/relationships/footer" Target="footer3.xml"/><Relationship Id="rId187"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en/form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7.jpe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books.google.co.uk/books?id=DgJekXyACmgC&amp;lpg=PP1&amp;ots=hkpWfHw2AI&amp;dq=Ethiopian%20Christian%20liturgical%20chant%3A%20an%20anthology&amp;pg=PP1" TargetMode="External"/><Relationship Id="rId31" Type="http://schemas.openxmlformats.org/officeDocument/2006/relationships/theme" Target="theme/theme1.xm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www.unesco.org/culture/ich/fr/RL=00073"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ED46-2A28-463B-BCEA-5CC313AE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6580</Words>
  <Characters>36190</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U003-v1.0-FN-FRA</vt:lpstr>
    </vt:vector>
  </TitlesOfParts>
  <Company>UNESCO</Company>
  <LinksUpToDate>false</LinksUpToDate>
  <CharactersWithSpaces>42685</CharactersWithSpaces>
  <SharedDoc>false</SharedDoc>
  <HyperlinkBase/>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U003-v1.0-FN-FRA</dc:title>
  <dc:creator>CLD</dc:creator>
  <cp:keywords>3959.11F</cp:keywords>
  <cp:lastModifiedBy>A. Cunningham</cp:lastModifiedBy>
  <cp:revision>10</cp:revision>
  <cp:lastPrinted>2014-06-30T09:01:00Z</cp:lastPrinted>
  <dcterms:created xsi:type="dcterms:W3CDTF">2015-08-21T14:34:00Z</dcterms:created>
  <dcterms:modified xsi:type="dcterms:W3CDTF">2015-09-28T08:29:00Z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