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B43EB" w14:textId="77777777" w:rsidR="00F83B7E" w:rsidRPr="00746132" w:rsidRDefault="00F83B7E" w:rsidP="00F83B7E">
      <w:pPr>
        <w:spacing w:before="1440"/>
        <w:jc w:val="center"/>
        <w:rPr>
          <w:rFonts w:ascii="Arial" w:hAnsi="Arial" w:cs="Arial"/>
          <w:b/>
          <w:sz w:val="22"/>
          <w:szCs w:val="22"/>
        </w:rPr>
      </w:pPr>
      <w:bookmarkStart w:id="0" w:name="_Hlk70514086"/>
      <w:r w:rsidRPr="00746132">
        <w:rPr>
          <w:rFonts w:ascii="Arial" w:hAnsi="Arial"/>
          <w:b/>
          <w:sz w:val="22"/>
        </w:rPr>
        <w:t>CONVENTION POUR LA SAUVEGARDE DU</w:t>
      </w:r>
      <w:r w:rsidRPr="00746132">
        <w:rPr>
          <w:rFonts w:ascii="Arial" w:hAnsi="Arial"/>
          <w:b/>
          <w:sz w:val="22"/>
        </w:rPr>
        <w:br/>
        <w:t>PATRIMOINE CULTUREL IMMATÉRIEL</w:t>
      </w:r>
    </w:p>
    <w:p w14:paraId="01AA9777" w14:textId="5E4FD003" w:rsidR="00F83B7E" w:rsidRPr="00746132" w:rsidRDefault="00F83B7E" w:rsidP="00F83B7E">
      <w:pPr>
        <w:spacing w:before="1200"/>
        <w:ind w:right="-1"/>
        <w:jc w:val="center"/>
        <w:rPr>
          <w:rFonts w:ascii="Arial" w:eastAsia="Calibri" w:hAnsi="Arial" w:cs="Arial"/>
          <w:b/>
          <w:bCs/>
          <w:caps/>
          <w:sz w:val="22"/>
          <w:szCs w:val="22"/>
        </w:rPr>
      </w:pPr>
      <w:r w:rsidRPr="00746132">
        <w:rPr>
          <w:rFonts w:ascii="Arial" w:eastAsia="Calibri" w:hAnsi="Arial" w:cs="Arial"/>
          <w:b/>
          <w:bCs/>
          <w:caps/>
          <w:sz w:val="22"/>
          <w:szCs w:val="22"/>
        </w:rPr>
        <w:t xml:space="preserve">PROGRAMME DE FORMATION POUR LE RÉSEAU </w:t>
      </w:r>
      <w:r w:rsidR="0005371E" w:rsidRPr="00746132">
        <w:rPr>
          <w:rFonts w:ascii="Arial" w:eastAsia="Calibri" w:hAnsi="Arial" w:cs="Arial"/>
          <w:b/>
          <w:bCs/>
          <w:caps/>
          <w:sz w:val="22"/>
          <w:szCs w:val="22"/>
        </w:rPr>
        <w:t xml:space="preserve">MONDIAL </w:t>
      </w:r>
      <w:r w:rsidRPr="00746132">
        <w:rPr>
          <w:rFonts w:ascii="Arial" w:eastAsia="Calibri" w:hAnsi="Arial" w:cs="Arial"/>
          <w:b/>
          <w:bCs/>
          <w:caps/>
          <w:sz w:val="22"/>
          <w:szCs w:val="22"/>
        </w:rPr>
        <w:t>DES FACILITATEURS</w:t>
      </w:r>
    </w:p>
    <w:bookmarkEnd w:id="0"/>
    <w:p w14:paraId="717F0A4F" w14:textId="77777777" w:rsidR="00F83B7E" w:rsidRPr="00746132" w:rsidRDefault="00F83B7E" w:rsidP="00F83B7E">
      <w:pPr>
        <w:spacing w:before="840"/>
        <w:jc w:val="center"/>
        <w:rPr>
          <w:rFonts w:ascii="Arial" w:eastAsia="Calibri" w:hAnsi="Arial" w:cs="Arial"/>
          <w:b/>
          <w:bCs/>
          <w:caps/>
          <w:sz w:val="22"/>
          <w:szCs w:val="22"/>
        </w:rPr>
      </w:pPr>
      <w:r w:rsidRPr="00746132">
        <w:rPr>
          <w:rFonts w:ascii="Arial" w:eastAsia="Calibri" w:hAnsi="Arial" w:cs="Arial"/>
          <w:b/>
          <w:bCs/>
          <w:caps/>
          <w:sz w:val="22"/>
          <w:szCs w:val="22"/>
        </w:rPr>
        <w:t>PATRIMOINE VIVANT ET RÉDUCTION DES RISQUES DE CATASTROPHE</w:t>
      </w:r>
    </w:p>
    <w:p w14:paraId="1BA8DE75" w14:textId="73EAC44D" w:rsidR="00174D0C" w:rsidRPr="00746132" w:rsidRDefault="0015117E" w:rsidP="00F83B7E">
      <w:pPr>
        <w:spacing w:before="840"/>
        <w:jc w:val="center"/>
        <w:rPr>
          <w:rFonts w:ascii="Arial" w:eastAsia="Calibri" w:hAnsi="Arial" w:cs="Arial"/>
          <w:b/>
          <w:bCs/>
          <w:sz w:val="22"/>
          <w:szCs w:val="22"/>
        </w:rPr>
      </w:pPr>
      <w:r w:rsidRPr="00746132">
        <w:rPr>
          <w:rFonts w:ascii="Arial" w:eastAsia="Calibri" w:hAnsi="Arial" w:cs="Arial"/>
          <w:b/>
          <w:bCs/>
          <w:sz w:val="22"/>
          <w:szCs w:val="22"/>
        </w:rPr>
        <w:t xml:space="preserve">27 </w:t>
      </w:r>
      <w:r w:rsidR="00F83B7E" w:rsidRPr="00746132">
        <w:rPr>
          <w:rFonts w:ascii="Arial" w:eastAsia="Calibri" w:hAnsi="Arial" w:cs="Arial"/>
          <w:b/>
          <w:bCs/>
          <w:sz w:val="22"/>
          <w:szCs w:val="22"/>
        </w:rPr>
        <w:t>et</w:t>
      </w:r>
      <w:r w:rsidRPr="00746132">
        <w:rPr>
          <w:rFonts w:ascii="Arial" w:eastAsia="Calibri" w:hAnsi="Arial" w:cs="Arial"/>
          <w:b/>
          <w:bCs/>
          <w:sz w:val="22"/>
          <w:szCs w:val="22"/>
        </w:rPr>
        <w:t xml:space="preserve"> 28</w:t>
      </w:r>
      <w:r w:rsidR="00277688" w:rsidRPr="00746132">
        <w:rPr>
          <w:rFonts w:ascii="Arial" w:eastAsia="Calibri" w:hAnsi="Arial" w:cs="Arial"/>
          <w:b/>
          <w:bCs/>
          <w:sz w:val="22"/>
          <w:szCs w:val="22"/>
        </w:rPr>
        <w:t xml:space="preserve"> </w:t>
      </w:r>
      <w:r w:rsidR="00F83B7E" w:rsidRPr="00746132">
        <w:rPr>
          <w:rFonts w:ascii="Arial" w:eastAsia="Calibri" w:hAnsi="Arial" w:cs="Arial"/>
          <w:b/>
          <w:bCs/>
          <w:sz w:val="22"/>
          <w:szCs w:val="22"/>
        </w:rPr>
        <w:t>mars</w:t>
      </w:r>
      <w:r w:rsidR="00277688" w:rsidRPr="00746132">
        <w:rPr>
          <w:rFonts w:ascii="Arial" w:eastAsia="Calibri" w:hAnsi="Arial" w:cs="Arial"/>
          <w:b/>
          <w:bCs/>
          <w:sz w:val="22"/>
          <w:szCs w:val="22"/>
        </w:rPr>
        <w:t xml:space="preserve"> </w:t>
      </w:r>
      <w:r w:rsidR="00174D0C" w:rsidRPr="00746132">
        <w:rPr>
          <w:rFonts w:ascii="Arial" w:eastAsia="Calibri" w:hAnsi="Arial" w:cs="Arial"/>
          <w:b/>
          <w:bCs/>
          <w:sz w:val="22"/>
          <w:szCs w:val="22"/>
        </w:rPr>
        <w:t>2025</w:t>
      </w:r>
      <w:r w:rsidR="00174D0C" w:rsidRPr="00746132">
        <w:rPr>
          <w:rFonts w:ascii="Arial" w:eastAsia="Calibri" w:hAnsi="Arial" w:cs="Arial"/>
          <w:b/>
          <w:bCs/>
          <w:sz w:val="22"/>
          <w:szCs w:val="22"/>
        </w:rPr>
        <w:br/>
      </w:r>
      <w:r w:rsidR="00F83B7E" w:rsidRPr="00746132">
        <w:rPr>
          <w:rFonts w:ascii="Arial" w:eastAsia="Calibri" w:hAnsi="Arial" w:cs="Arial"/>
          <w:b/>
          <w:bCs/>
          <w:sz w:val="22"/>
          <w:szCs w:val="22"/>
        </w:rPr>
        <w:t>En ligne</w:t>
      </w:r>
    </w:p>
    <w:p w14:paraId="51D6CE8D" w14:textId="48D6F990" w:rsidR="0015117E" w:rsidRPr="00746132" w:rsidRDefault="0015117E" w:rsidP="00F83B7E">
      <w:pPr>
        <w:spacing w:before="840"/>
        <w:jc w:val="center"/>
        <w:rPr>
          <w:rFonts w:ascii="Arial" w:eastAsia="Calibri" w:hAnsi="Arial" w:cs="Arial"/>
          <w:b/>
          <w:bCs/>
          <w:sz w:val="22"/>
          <w:szCs w:val="22"/>
        </w:rPr>
      </w:pPr>
      <w:r w:rsidRPr="00746132">
        <w:rPr>
          <w:rFonts w:ascii="Arial" w:eastAsia="Calibri" w:hAnsi="Arial" w:cs="Arial"/>
          <w:b/>
          <w:bCs/>
          <w:sz w:val="22"/>
          <w:szCs w:val="22"/>
        </w:rPr>
        <w:t>Session I</w:t>
      </w:r>
      <w:r w:rsidR="0005371E" w:rsidRPr="00746132">
        <w:rPr>
          <w:rFonts w:ascii="Arial" w:eastAsia="Calibri" w:hAnsi="Arial" w:cs="Arial"/>
          <w:b/>
          <w:bCs/>
          <w:sz w:val="22"/>
          <w:szCs w:val="22"/>
        </w:rPr>
        <w:t xml:space="preserve"> </w:t>
      </w:r>
      <w:r w:rsidRPr="00746132">
        <w:rPr>
          <w:rFonts w:ascii="Arial" w:eastAsia="Calibri" w:hAnsi="Arial" w:cs="Arial"/>
          <w:b/>
          <w:bCs/>
          <w:sz w:val="22"/>
          <w:szCs w:val="22"/>
        </w:rPr>
        <w:t xml:space="preserve">: </w:t>
      </w:r>
      <w:r w:rsidR="00782E7B" w:rsidRPr="00746132">
        <w:rPr>
          <w:rFonts w:ascii="Arial" w:eastAsia="Calibri" w:hAnsi="Arial" w:cs="Arial"/>
          <w:b/>
          <w:bCs/>
          <w:sz w:val="22"/>
          <w:szCs w:val="22"/>
        </w:rPr>
        <w:t xml:space="preserve">27 </w:t>
      </w:r>
      <w:r w:rsidR="00F83B7E" w:rsidRPr="00746132">
        <w:rPr>
          <w:rFonts w:ascii="Arial" w:eastAsia="Calibri" w:hAnsi="Arial" w:cs="Arial"/>
          <w:b/>
          <w:bCs/>
          <w:sz w:val="22"/>
          <w:szCs w:val="22"/>
        </w:rPr>
        <w:t>mars</w:t>
      </w:r>
      <w:r w:rsidR="00782E7B" w:rsidRPr="00746132">
        <w:rPr>
          <w:rFonts w:ascii="Arial" w:eastAsia="Calibri" w:hAnsi="Arial" w:cs="Arial"/>
          <w:b/>
          <w:bCs/>
          <w:sz w:val="22"/>
          <w:szCs w:val="22"/>
        </w:rPr>
        <w:t xml:space="preserve"> 2025, </w:t>
      </w:r>
      <w:r w:rsidR="00F83B7E" w:rsidRPr="00746132">
        <w:rPr>
          <w:rFonts w:ascii="Arial" w:eastAsia="Calibri" w:hAnsi="Arial" w:cs="Arial"/>
          <w:b/>
          <w:bCs/>
          <w:sz w:val="22"/>
          <w:szCs w:val="22"/>
        </w:rPr>
        <w:t xml:space="preserve">de </w:t>
      </w:r>
      <w:r w:rsidRPr="00746132">
        <w:rPr>
          <w:rFonts w:ascii="Arial" w:eastAsia="Calibri" w:hAnsi="Arial" w:cs="Arial"/>
          <w:b/>
          <w:bCs/>
          <w:sz w:val="22"/>
          <w:szCs w:val="22"/>
        </w:rPr>
        <w:t>10</w:t>
      </w:r>
      <w:r w:rsidR="00F83B7E" w:rsidRPr="00746132">
        <w:rPr>
          <w:rFonts w:ascii="Arial" w:eastAsia="Calibri" w:hAnsi="Arial" w:cs="Arial"/>
          <w:b/>
          <w:bCs/>
          <w:sz w:val="22"/>
          <w:szCs w:val="22"/>
        </w:rPr>
        <w:t>h</w:t>
      </w:r>
      <w:r w:rsidR="00F83B7E" w:rsidRPr="00746132">
        <w:t xml:space="preserve"> </w:t>
      </w:r>
      <w:r w:rsidR="00F83B7E" w:rsidRPr="00746132">
        <w:rPr>
          <w:rFonts w:ascii="Arial" w:eastAsia="Calibri" w:hAnsi="Arial" w:cs="Arial"/>
          <w:b/>
          <w:bCs/>
          <w:sz w:val="22"/>
          <w:szCs w:val="22"/>
        </w:rPr>
        <w:t>à</w:t>
      </w:r>
      <w:r w:rsidRPr="00746132">
        <w:rPr>
          <w:rFonts w:ascii="Arial" w:eastAsia="Calibri" w:hAnsi="Arial" w:cs="Arial"/>
          <w:b/>
          <w:bCs/>
          <w:sz w:val="22"/>
          <w:szCs w:val="22"/>
        </w:rPr>
        <w:t xml:space="preserve"> 1</w:t>
      </w:r>
      <w:r w:rsidR="00F83B7E" w:rsidRPr="00746132">
        <w:rPr>
          <w:rFonts w:ascii="Arial" w:eastAsia="Calibri" w:hAnsi="Arial" w:cs="Arial"/>
          <w:b/>
          <w:bCs/>
          <w:sz w:val="22"/>
          <w:szCs w:val="22"/>
        </w:rPr>
        <w:t>3h</w:t>
      </w:r>
      <w:r w:rsidRPr="00746132">
        <w:rPr>
          <w:rFonts w:ascii="Arial" w:eastAsia="Calibri" w:hAnsi="Arial" w:cs="Arial"/>
          <w:b/>
          <w:bCs/>
          <w:sz w:val="22"/>
          <w:szCs w:val="22"/>
        </w:rPr>
        <w:t xml:space="preserve"> </w:t>
      </w:r>
      <w:r w:rsidRPr="00746132">
        <w:rPr>
          <w:rFonts w:ascii="Arial" w:eastAsia="Calibri" w:hAnsi="Arial" w:cs="Arial"/>
          <w:b/>
          <w:bCs/>
          <w:sz w:val="22"/>
          <w:szCs w:val="22"/>
        </w:rPr>
        <w:br/>
        <w:t>Session II</w:t>
      </w:r>
      <w:r w:rsidR="0005371E" w:rsidRPr="00746132">
        <w:rPr>
          <w:rFonts w:ascii="Arial" w:eastAsia="Calibri" w:hAnsi="Arial" w:cs="Arial"/>
          <w:b/>
          <w:bCs/>
          <w:sz w:val="22"/>
          <w:szCs w:val="22"/>
        </w:rPr>
        <w:t xml:space="preserve"> </w:t>
      </w:r>
      <w:r w:rsidRPr="00746132">
        <w:rPr>
          <w:rFonts w:ascii="Arial" w:eastAsia="Calibri" w:hAnsi="Arial" w:cs="Arial"/>
          <w:b/>
          <w:bCs/>
          <w:sz w:val="22"/>
          <w:szCs w:val="22"/>
        </w:rPr>
        <w:t xml:space="preserve">: </w:t>
      </w:r>
      <w:r w:rsidR="00782E7B" w:rsidRPr="00746132">
        <w:rPr>
          <w:rFonts w:ascii="Arial" w:eastAsia="Calibri" w:hAnsi="Arial" w:cs="Arial"/>
          <w:b/>
          <w:bCs/>
          <w:sz w:val="22"/>
          <w:szCs w:val="22"/>
        </w:rPr>
        <w:t xml:space="preserve">28 </w:t>
      </w:r>
      <w:r w:rsidR="00F83B7E" w:rsidRPr="00746132">
        <w:rPr>
          <w:rFonts w:ascii="Arial" w:eastAsia="Calibri" w:hAnsi="Arial" w:cs="Arial"/>
          <w:b/>
          <w:bCs/>
          <w:sz w:val="22"/>
          <w:szCs w:val="22"/>
        </w:rPr>
        <w:t>mars</w:t>
      </w:r>
      <w:r w:rsidR="00782E7B" w:rsidRPr="00746132">
        <w:rPr>
          <w:rFonts w:ascii="Arial" w:eastAsia="Calibri" w:hAnsi="Arial" w:cs="Arial"/>
          <w:b/>
          <w:bCs/>
          <w:sz w:val="22"/>
          <w:szCs w:val="22"/>
        </w:rPr>
        <w:t xml:space="preserve"> 2025, </w:t>
      </w:r>
      <w:r w:rsidR="00F83B7E" w:rsidRPr="00746132">
        <w:rPr>
          <w:rFonts w:ascii="Arial" w:eastAsia="Calibri" w:hAnsi="Arial" w:cs="Arial"/>
          <w:b/>
          <w:bCs/>
          <w:sz w:val="22"/>
          <w:szCs w:val="22"/>
        </w:rPr>
        <w:t>de 14h</w:t>
      </w:r>
      <w:r w:rsidRPr="00746132">
        <w:rPr>
          <w:rFonts w:ascii="Arial" w:eastAsia="Calibri" w:hAnsi="Arial" w:cs="Arial"/>
          <w:b/>
          <w:bCs/>
          <w:sz w:val="22"/>
          <w:szCs w:val="22"/>
        </w:rPr>
        <w:t xml:space="preserve"> </w:t>
      </w:r>
      <w:r w:rsidR="00F83B7E" w:rsidRPr="00746132">
        <w:rPr>
          <w:rFonts w:ascii="Arial" w:eastAsia="Calibri" w:hAnsi="Arial" w:cs="Arial"/>
          <w:b/>
          <w:bCs/>
          <w:sz w:val="22"/>
          <w:szCs w:val="22"/>
        </w:rPr>
        <w:t>à 17h</w:t>
      </w:r>
      <w:r w:rsidRPr="00746132">
        <w:rPr>
          <w:rFonts w:ascii="Arial" w:eastAsia="Calibri" w:hAnsi="Arial" w:cs="Arial"/>
          <w:b/>
          <w:bCs/>
          <w:sz w:val="22"/>
          <w:szCs w:val="22"/>
        </w:rPr>
        <w:t xml:space="preserve"> </w:t>
      </w:r>
    </w:p>
    <w:p w14:paraId="5BBC5BDE" w14:textId="4AAE8F7C" w:rsidR="0015117E" w:rsidRPr="00746132" w:rsidRDefault="00734E1A" w:rsidP="0015117E">
      <w:pPr>
        <w:spacing w:before="840"/>
        <w:jc w:val="center"/>
        <w:rPr>
          <w:rFonts w:ascii="Arial" w:eastAsia="Calibri" w:hAnsi="Arial" w:cs="Arial"/>
          <w:b/>
          <w:bCs/>
          <w:sz w:val="22"/>
          <w:szCs w:val="22"/>
          <w:lang w:val="en-US"/>
        </w:rPr>
      </w:pPr>
      <w:r w:rsidRPr="00746132">
        <w:rPr>
          <w:rFonts w:ascii="Arial" w:eastAsia="Calibri" w:hAnsi="Arial" w:cs="Arial"/>
          <w:b/>
          <w:bCs/>
          <w:sz w:val="22"/>
          <w:szCs w:val="22"/>
          <w:lang w:val="en-US"/>
        </w:rPr>
        <w:t xml:space="preserve">Note </w:t>
      </w:r>
      <w:proofErr w:type="spellStart"/>
      <w:r w:rsidRPr="00746132">
        <w:rPr>
          <w:rFonts w:ascii="Arial" w:eastAsia="Calibri" w:hAnsi="Arial" w:cs="Arial"/>
          <w:b/>
          <w:bCs/>
          <w:sz w:val="22"/>
          <w:szCs w:val="22"/>
          <w:lang w:val="en-US"/>
        </w:rPr>
        <w:t>conceptuelle</w:t>
      </w:r>
      <w:proofErr w:type="spellEnd"/>
      <w:r w:rsidRPr="00746132">
        <w:rPr>
          <w:rFonts w:ascii="Arial" w:eastAsia="Calibri" w:hAnsi="Arial" w:cs="Arial"/>
          <w:b/>
          <w:bCs/>
          <w:sz w:val="22"/>
          <w:szCs w:val="22"/>
          <w:lang w:val="en-US"/>
        </w:rPr>
        <w:t xml:space="preserve"> et </w:t>
      </w:r>
      <w:proofErr w:type="spellStart"/>
      <w:r w:rsidRPr="00746132">
        <w:rPr>
          <w:rFonts w:ascii="Arial" w:eastAsia="Calibri" w:hAnsi="Arial" w:cs="Arial"/>
          <w:b/>
          <w:bCs/>
          <w:sz w:val="22"/>
          <w:szCs w:val="22"/>
          <w:lang w:val="en-US"/>
        </w:rPr>
        <w:t>programme</w:t>
      </w:r>
      <w:proofErr w:type="spellEnd"/>
    </w:p>
    <w:p w14:paraId="713D819F" w14:textId="77777777" w:rsidR="004A2875" w:rsidRPr="00746132"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746132">
        <w:rPr>
          <w:lang w:val="en-US"/>
        </w:rPr>
        <w:br w:type="page"/>
      </w:r>
    </w:p>
    <w:p w14:paraId="4796323A" w14:textId="5E4C4362" w:rsidR="0015117E" w:rsidRPr="00746132" w:rsidRDefault="00286302" w:rsidP="00AE3878">
      <w:pPr>
        <w:pStyle w:val="Heading4"/>
      </w:pPr>
      <w:proofErr w:type="spellStart"/>
      <w:r w:rsidRPr="00746132">
        <w:lastRenderedPageBreak/>
        <w:t>Contexte</w:t>
      </w:r>
      <w:proofErr w:type="spellEnd"/>
    </w:p>
    <w:p w14:paraId="245DCF46" w14:textId="4D086AAB" w:rsidR="00286302" w:rsidRPr="00746132" w:rsidRDefault="00286302" w:rsidP="00286302">
      <w:pPr>
        <w:pStyle w:val="COMPara"/>
        <w:ind w:left="567" w:hanging="567"/>
        <w:jc w:val="both"/>
        <w:rPr>
          <w:lang w:val="fr-FR"/>
        </w:rPr>
      </w:pPr>
      <w:r w:rsidRPr="00746132">
        <w:rPr>
          <w:lang w:val="fr-FR"/>
        </w:rPr>
        <w:t xml:space="preserve">L’objectif de cette session est de fournir aux facilitateurs </w:t>
      </w:r>
      <w:r w:rsidR="00481873" w:rsidRPr="00746132">
        <w:rPr>
          <w:lang w:val="fr-FR"/>
        </w:rPr>
        <w:t>du</w:t>
      </w:r>
      <w:r w:rsidRPr="00746132">
        <w:rPr>
          <w:lang w:val="fr-FR"/>
        </w:rPr>
        <w:t xml:space="preserve"> réseau </w:t>
      </w:r>
      <w:r w:rsidR="00481873" w:rsidRPr="00746132">
        <w:rPr>
          <w:lang w:val="fr-FR"/>
        </w:rPr>
        <w:t>mondial</w:t>
      </w:r>
      <w:r w:rsidRPr="00746132">
        <w:rPr>
          <w:lang w:val="fr-FR"/>
        </w:rPr>
        <w:t xml:space="preserve"> de la Convention de 2003</w:t>
      </w:r>
      <w:r w:rsidR="00992C99">
        <w:rPr>
          <w:lang w:val="fr-FR"/>
        </w:rPr>
        <w:t xml:space="preserve"> </w:t>
      </w:r>
      <w:r w:rsidR="00481873" w:rsidRPr="00746132">
        <w:rPr>
          <w:lang w:val="fr-FR"/>
        </w:rPr>
        <w:t xml:space="preserve">une brève introduction </w:t>
      </w:r>
      <w:r w:rsidRPr="00746132">
        <w:rPr>
          <w:lang w:val="fr-FR"/>
        </w:rPr>
        <w:t xml:space="preserve">sur les nouveaux supports de formation </w:t>
      </w:r>
      <w:r w:rsidR="00481873" w:rsidRPr="00746132">
        <w:rPr>
          <w:lang w:val="fr-FR"/>
        </w:rPr>
        <w:t>sur le</w:t>
      </w:r>
      <w:r w:rsidRPr="00746132">
        <w:rPr>
          <w:lang w:val="fr-FR"/>
        </w:rPr>
        <w:t xml:space="preserve"> patrimoine culturel immatériel et la réduction des risques de catastrophe. Cette session fait partie du programme de formation 2025 du réseau </w:t>
      </w:r>
      <w:r w:rsidR="00481873" w:rsidRPr="00746132">
        <w:rPr>
          <w:lang w:val="fr-FR"/>
        </w:rPr>
        <w:t>mondial</w:t>
      </w:r>
      <w:r w:rsidRPr="00746132">
        <w:rPr>
          <w:lang w:val="fr-FR"/>
        </w:rPr>
        <w:t xml:space="preserve"> des facilitateurs, qui adopte une approche bilatérale visant à mettre à jour les connaissances des facilitateurs dans des domaines thématiques clés tout en offrant des opportunités de partage d’expériences.</w:t>
      </w:r>
    </w:p>
    <w:p w14:paraId="18F39867" w14:textId="43C084FA" w:rsidR="00286302" w:rsidRPr="00746132" w:rsidRDefault="00286302" w:rsidP="00286302">
      <w:pPr>
        <w:pStyle w:val="COMPara"/>
        <w:ind w:left="567" w:hanging="567"/>
        <w:jc w:val="both"/>
        <w:rPr>
          <w:lang w:val="fr-FR"/>
        </w:rPr>
      </w:pPr>
      <w:r w:rsidRPr="00746132">
        <w:rPr>
          <w:lang w:val="fr-FR"/>
        </w:rPr>
        <w:t xml:space="preserve">L’approche de l’UNESCO pour la sauvegarde du patrimoine culturel immatériel dans les contextes de catastrophe est guidée par les </w:t>
      </w:r>
      <w:hyperlink r:id="rId8" w:history="1">
        <w:r w:rsidRPr="00746132">
          <w:rPr>
            <w:rStyle w:val="Hyperlink"/>
            <w:lang w:val="fr-FR"/>
          </w:rPr>
          <w:t xml:space="preserve">Principes </w:t>
        </w:r>
        <w:r w:rsidR="00852F74" w:rsidRPr="00746132">
          <w:rPr>
            <w:rStyle w:val="Hyperlink"/>
            <w:lang w:val="fr-FR"/>
          </w:rPr>
          <w:t xml:space="preserve">et modalités </w:t>
        </w:r>
        <w:r w:rsidRPr="00746132">
          <w:rPr>
            <w:rStyle w:val="Hyperlink"/>
            <w:lang w:val="fr-FR"/>
          </w:rPr>
          <w:t>opérationnels pour la sauvegarde du patrimoine culturel immatériel en situations d'urgence</w:t>
        </w:r>
      </w:hyperlink>
      <w:r w:rsidRPr="00746132">
        <w:rPr>
          <w:lang w:val="fr-FR"/>
        </w:rPr>
        <w:t>, adoptés par l</w:t>
      </w:r>
      <w:r w:rsidR="004D5DB8" w:rsidRPr="00746132">
        <w:rPr>
          <w:lang w:val="fr-FR"/>
        </w:rPr>
        <w:t>’</w:t>
      </w:r>
      <w:r w:rsidRPr="00746132">
        <w:rPr>
          <w:lang w:val="fr-FR"/>
        </w:rPr>
        <w:t>Assemblée générale des États parties en 2020, et intégré</w:t>
      </w:r>
      <w:r w:rsidR="00852F74" w:rsidRPr="00746132">
        <w:rPr>
          <w:lang w:val="fr-FR"/>
        </w:rPr>
        <w:t>e</w:t>
      </w:r>
      <w:r w:rsidRPr="00746132">
        <w:rPr>
          <w:lang w:val="fr-FR"/>
        </w:rPr>
        <w:t xml:space="preserve"> dans le cadre plus large de l’action climatique pour le patrimoine vivant. Sur la base de cette approche, deux unités de formation ont été développées dans le cadre du programme de formation de la Convention de 2003 afin de fournir des connaissances et des compétences pour la sauvegarde du patrimoine culturel immatériel en contexte de catastrophe :</w:t>
      </w:r>
    </w:p>
    <w:p w14:paraId="385854F8" w14:textId="0FC841F6" w:rsidR="00286302" w:rsidRPr="00746132" w:rsidRDefault="00286302" w:rsidP="003C14E3">
      <w:pPr>
        <w:pStyle w:val="COMPara"/>
        <w:numPr>
          <w:ilvl w:val="0"/>
          <w:numId w:val="46"/>
        </w:numPr>
        <w:jc w:val="both"/>
        <w:rPr>
          <w:lang w:val="fr-FR"/>
        </w:rPr>
      </w:pPr>
      <w:hyperlink r:id="rId9" w:anchor=":~:text=Unit%2063%3A-,Principes%20de%20base%20de%20la%20r%C3%A9duction%20des%20risques%20de%20catastrophes%20et%20patrimoine%20culturel%20immat%C3%A9riel,-Imprim%C3%A9%201%0AU063" w:history="1">
        <w:r w:rsidRPr="00746132">
          <w:rPr>
            <w:rStyle w:val="Hyperlink"/>
            <w:lang w:val="fr-FR"/>
          </w:rPr>
          <w:t>Unité 63</w:t>
        </w:r>
      </w:hyperlink>
      <w:r w:rsidRPr="00746132">
        <w:rPr>
          <w:lang w:val="fr-FR"/>
        </w:rPr>
        <w:t xml:space="preserve"> : </w:t>
      </w:r>
      <w:r w:rsidR="00D25E54" w:rsidRPr="00746132">
        <w:rPr>
          <w:lang w:val="fr-FR"/>
        </w:rPr>
        <w:t>Principes de b</w:t>
      </w:r>
      <w:r w:rsidRPr="00746132">
        <w:rPr>
          <w:lang w:val="fr-FR"/>
        </w:rPr>
        <w:t>ase de la réduction des risques de catastrophe et patrimoine culturel immatériel</w:t>
      </w:r>
      <w:r w:rsidR="00D25E54" w:rsidRPr="00746132">
        <w:rPr>
          <w:lang w:val="fr-FR"/>
        </w:rPr>
        <w:t> ; et</w:t>
      </w:r>
    </w:p>
    <w:p w14:paraId="3ABCE872" w14:textId="10972C46" w:rsidR="00286302" w:rsidRPr="00746132" w:rsidRDefault="00286302" w:rsidP="003C14E3">
      <w:pPr>
        <w:pStyle w:val="COMPara"/>
        <w:numPr>
          <w:ilvl w:val="0"/>
          <w:numId w:val="46"/>
        </w:numPr>
        <w:jc w:val="both"/>
        <w:rPr>
          <w:lang w:val="fr-FR"/>
        </w:rPr>
      </w:pPr>
      <w:hyperlink r:id="rId10" w:anchor=":~:text=Unit%2064%3A-,Int%C3%A9gration%20de%20la%20r%C3%A9duction%20des%20risques%20de%20catastrophes%20dans%20les%20inventaires%20du%20patrimoine%20culturel%20immat%C3%A9riel,-%C3%89TUDE%20DE%20CAS" w:history="1">
        <w:r w:rsidRPr="00746132">
          <w:rPr>
            <w:rStyle w:val="Hyperlink"/>
            <w:lang w:val="fr-FR"/>
          </w:rPr>
          <w:t>Unité 64</w:t>
        </w:r>
      </w:hyperlink>
      <w:r w:rsidRPr="00746132">
        <w:rPr>
          <w:lang w:val="fr-FR"/>
        </w:rPr>
        <w:t xml:space="preserve"> : Intégration de la réduction des risques de catastrophe dans l</w:t>
      </w:r>
      <w:r w:rsidR="0096698A" w:rsidRPr="00746132">
        <w:rPr>
          <w:lang w:val="fr-FR"/>
        </w:rPr>
        <w:t xml:space="preserve">es </w:t>
      </w:r>
      <w:r w:rsidRPr="00746132">
        <w:rPr>
          <w:lang w:val="fr-FR"/>
        </w:rPr>
        <w:t>inventaire</w:t>
      </w:r>
      <w:r w:rsidR="0096698A" w:rsidRPr="00746132">
        <w:rPr>
          <w:lang w:val="fr-FR"/>
        </w:rPr>
        <w:t>s</w:t>
      </w:r>
      <w:r w:rsidRPr="00746132">
        <w:rPr>
          <w:lang w:val="fr-FR"/>
        </w:rPr>
        <w:t xml:space="preserve"> du </w:t>
      </w:r>
      <w:r w:rsidR="005A02CA" w:rsidRPr="00746132">
        <w:rPr>
          <w:lang w:val="fr-FR"/>
        </w:rPr>
        <w:t>patrimoine culturel immatériel</w:t>
      </w:r>
      <w:r w:rsidR="00D25E54" w:rsidRPr="00746132">
        <w:rPr>
          <w:lang w:val="fr-FR"/>
        </w:rPr>
        <w:t>.</w:t>
      </w:r>
    </w:p>
    <w:p w14:paraId="49DE3980" w14:textId="5DD421AB" w:rsidR="00286302" w:rsidRPr="00746132" w:rsidRDefault="00286302" w:rsidP="00286302">
      <w:pPr>
        <w:pStyle w:val="COMPara"/>
        <w:ind w:left="567" w:hanging="567"/>
        <w:jc w:val="both"/>
        <w:rPr>
          <w:sz w:val="24"/>
          <w:szCs w:val="24"/>
          <w:lang w:val="fr-FR"/>
        </w:rPr>
      </w:pPr>
      <w:r w:rsidRPr="00746132">
        <w:rPr>
          <w:lang w:val="fr-FR"/>
        </w:rPr>
        <w:t>En outre, l</w:t>
      </w:r>
      <w:r w:rsidR="004D5DB8" w:rsidRPr="00746132">
        <w:rPr>
          <w:lang w:val="fr-FR"/>
        </w:rPr>
        <w:t>’</w:t>
      </w:r>
      <w:r w:rsidRPr="00746132">
        <w:rPr>
          <w:lang w:val="fr-FR"/>
        </w:rPr>
        <w:t xml:space="preserve">UNESCO a acquis une expérience solide dans la mise en œuvre de renforcement des capacités pour la sauvegarde du patrimoine culturel immatériel dans les contextes de catastrophe grâce à plusieurs </w:t>
      </w:r>
      <w:hyperlink r:id="rId11" w:history="1">
        <w:r w:rsidRPr="00746132">
          <w:rPr>
            <w:rStyle w:val="Hyperlink"/>
            <w:lang w:val="fr-FR"/>
          </w:rPr>
          <w:t>projets nationaux</w:t>
        </w:r>
      </w:hyperlink>
      <w:r w:rsidRPr="00746132">
        <w:rPr>
          <w:lang w:val="fr-FR"/>
        </w:rPr>
        <w:t xml:space="preserve">. Des exemples récents incluent des projets de renforcement des capacités dans les </w:t>
      </w:r>
      <w:hyperlink r:id="rId12" w:history="1">
        <w:r w:rsidRPr="00746132">
          <w:rPr>
            <w:rStyle w:val="Hyperlink"/>
            <w:lang w:val="fr-FR"/>
          </w:rPr>
          <w:t>petits États insulaires en développement du Pacifique et des Caraïbes</w:t>
        </w:r>
      </w:hyperlink>
      <w:r w:rsidRPr="00746132">
        <w:rPr>
          <w:lang w:val="fr-FR"/>
        </w:rPr>
        <w:t xml:space="preserve"> (Bahamas, Belize, Fidji, Tonga et Vanuatu), ainsi que des projets pilotes au </w:t>
      </w:r>
      <w:hyperlink r:id="rId13" w:history="1">
        <w:r w:rsidRPr="00746132">
          <w:rPr>
            <w:rStyle w:val="Hyperlink"/>
            <w:lang w:val="fr-FR"/>
          </w:rPr>
          <w:t>Honduras et aux Philippines</w:t>
        </w:r>
      </w:hyperlink>
      <w:r w:rsidRPr="00746132">
        <w:rPr>
          <w:lang w:val="fr-FR"/>
        </w:rPr>
        <w:t xml:space="preserve">. Par ailleurs, en décembre 2024, la </w:t>
      </w:r>
      <w:r w:rsidRPr="00746132">
        <w:rPr>
          <w:rStyle w:val="Emphasis"/>
          <w:i w:val="0"/>
          <w:iCs w:val="0"/>
          <w:lang w:val="fr-FR"/>
        </w:rPr>
        <w:t>Note d</w:t>
      </w:r>
      <w:r w:rsidR="004D5DB8" w:rsidRPr="00746132">
        <w:rPr>
          <w:rStyle w:val="Emphasis"/>
          <w:i w:val="0"/>
          <w:iCs w:val="0"/>
          <w:lang w:val="fr-FR"/>
        </w:rPr>
        <w:t>’</w:t>
      </w:r>
      <w:r w:rsidRPr="00746132">
        <w:rPr>
          <w:rStyle w:val="Emphasis"/>
          <w:i w:val="0"/>
          <w:iCs w:val="0"/>
          <w:lang w:val="fr-FR"/>
        </w:rPr>
        <w:t>orientation sur l</w:t>
      </w:r>
      <w:r w:rsidR="004D5DB8" w:rsidRPr="00746132">
        <w:rPr>
          <w:rStyle w:val="Emphasis"/>
          <w:i w:val="0"/>
          <w:iCs w:val="0"/>
          <w:lang w:val="fr-FR"/>
        </w:rPr>
        <w:t>’</w:t>
      </w:r>
      <w:r w:rsidRPr="00746132">
        <w:rPr>
          <w:rStyle w:val="Emphasis"/>
          <w:i w:val="0"/>
          <w:iCs w:val="0"/>
          <w:lang w:val="fr-FR"/>
        </w:rPr>
        <w:t>action climatique pour le patrimoine vivant</w:t>
      </w:r>
      <w:r w:rsidRPr="00746132">
        <w:rPr>
          <w:i/>
          <w:iCs/>
          <w:lang w:val="fr-FR"/>
        </w:rPr>
        <w:t xml:space="preserve"> </w:t>
      </w:r>
      <w:r w:rsidRPr="00746132">
        <w:rPr>
          <w:lang w:val="fr-FR"/>
        </w:rPr>
        <w:t>a été présentée lors de la dix-neuvième session du Comité intergouvernemental pour la sauvegarde du patrimoine culturel immatériel, soulignant la nécessité d</w:t>
      </w:r>
      <w:r w:rsidR="004D5DB8" w:rsidRPr="00746132">
        <w:rPr>
          <w:lang w:val="fr-FR"/>
        </w:rPr>
        <w:t>’</w:t>
      </w:r>
      <w:r w:rsidRPr="00746132">
        <w:rPr>
          <w:lang w:val="fr-FR"/>
        </w:rPr>
        <w:t xml:space="preserve">une approche synergique entre la réduction des risques de catastrophe et l'action climatique (voir la Décision </w:t>
      </w:r>
      <w:hyperlink r:id="rId14" w:history="1">
        <w:r w:rsidRPr="00746132">
          <w:rPr>
            <w:rStyle w:val="Hyperlink"/>
            <w:lang w:val="fr-FR"/>
          </w:rPr>
          <w:t>19.COM 11</w:t>
        </w:r>
      </w:hyperlink>
      <w:r w:rsidRPr="00746132">
        <w:rPr>
          <w:lang w:val="fr-FR"/>
        </w:rPr>
        <w:t>).</w:t>
      </w:r>
    </w:p>
    <w:p w14:paraId="016FD921" w14:textId="3615C094" w:rsidR="0015117E" w:rsidRPr="00746132" w:rsidRDefault="00286302" w:rsidP="00AE3878">
      <w:pPr>
        <w:pStyle w:val="Heading4"/>
      </w:pPr>
      <w:proofErr w:type="spellStart"/>
      <w:r w:rsidRPr="00746132">
        <w:t>Objectifs</w:t>
      </w:r>
      <w:proofErr w:type="spellEnd"/>
    </w:p>
    <w:p w14:paraId="250BDACD" w14:textId="2E1C8CC4" w:rsidR="00286302" w:rsidRPr="00746132" w:rsidRDefault="00286302" w:rsidP="00286302">
      <w:pPr>
        <w:pStyle w:val="COMPara"/>
        <w:ind w:left="567" w:hanging="567"/>
        <w:jc w:val="both"/>
        <w:rPr>
          <w:lang w:val="fr-FR"/>
        </w:rPr>
      </w:pPr>
      <w:r w:rsidRPr="00746132">
        <w:rPr>
          <w:lang w:val="fr-FR"/>
        </w:rPr>
        <w:t xml:space="preserve">S’appuyant sur ces expériences, l’UNESCO organise une session de formation en ligne pour les membres du réseau mondial des facilitateurs afin de mettre à jour leurs connaissances conceptuelles et pratiques dans ce domaine thématique spécifique. Cette courte formation en ligne offrira une introduction aux supports de formation ainsi qu’une opportunité de partager les leçons apprises et les expériences de travail dans des contextes de catastrophe </w:t>
      </w:r>
      <w:r w:rsidR="00232ACE" w:rsidRPr="00746132">
        <w:rPr>
          <w:lang w:val="fr-FR"/>
        </w:rPr>
        <w:t xml:space="preserve">dans le cadre de </w:t>
      </w:r>
      <w:r w:rsidRPr="00746132">
        <w:rPr>
          <w:lang w:val="fr-FR"/>
        </w:rPr>
        <w:t>la Convention de 2003. Plus précisément, les objectifs d</w:t>
      </w:r>
      <w:r w:rsidR="004D5DB8" w:rsidRPr="00746132">
        <w:rPr>
          <w:lang w:val="fr-FR"/>
        </w:rPr>
        <w:t>’</w:t>
      </w:r>
      <w:r w:rsidRPr="00746132">
        <w:rPr>
          <w:lang w:val="fr-FR"/>
        </w:rPr>
        <w:t xml:space="preserve">apprentissage sont </w:t>
      </w:r>
      <w:r w:rsidR="00232ACE" w:rsidRPr="00746132">
        <w:rPr>
          <w:lang w:val="fr-FR"/>
        </w:rPr>
        <w:t xml:space="preserve">de </w:t>
      </w:r>
      <w:r w:rsidRPr="00746132">
        <w:rPr>
          <w:lang w:val="fr-FR"/>
        </w:rPr>
        <w:t>:</w:t>
      </w:r>
    </w:p>
    <w:p w14:paraId="15CEE553" w14:textId="18510768" w:rsidR="00286302" w:rsidRPr="00746132" w:rsidRDefault="00286302" w:rsidP="00286302">
      <w:pPr>
        <w:pStyle w:val="COMPara"/>
        <w:numPr>
          <w:ilvl w:val="0"/>
          <w:numId w:val="14"/>
        </w:numPr>
        <w:jc w:val="both"/>
        <w:rPr>
          <w:lang w:val="fr-FR"/>
        </w:rPr>
      </w:pPr>
      <w:r w:rsidRPr="00746132">
        <w:rPr>
          <w:lang w:val="fr-FR"/>
        </w:rPr>
        <w:t xml:space="preserve">Se familiariser avec les Principes opérationnels </w:t>
      </w:r>
      <w:r w:rsidR="005A02CA" w:rsidRPr="00746132">
        <w:rPr>
          <w:lang w:val="fr-FR"/>
        </w:rPr>
        <w:t xml:space="preserve">et modalités opérationnels </w:t>
      </w:r>
      <w:r w:rsidRPr="00746132">
        <w:rPr>
          <w:lang w:val="fr-FR"/>
        </w:rPr>
        <w:t xml:space="preserve">pour la sauvegarde du patrimoine culturel immatériel en situations d'urgence </w:t>
      </w:r>
      <w:r w:rsidR="00232ACE" w:rsidRPr="00746132">
        <w:rPr>
          <w:lang w:val="fr-FR"/>
        </w:rPr>
        <w:t xml:space="preserve">de l'UNESCO </w:t>
      </w:r>
      <w:r w:rsidRPr="00746132">
        <w:rPr>
          <w:lang w:val="fr-FR"/>
        </w:rPr>
        <w:t>(2020) et la Note d</w:t>
      </w:r>
      <w:r w:rsidR="004D5DB8" w:rsidRPr="00746132">
        <w:rPr>
          <w:lang w:val="fr-FR"/>
        </w:rPr>
        <w:t>’</w:t>
      </w:r>
      <w:r w:rsidRPr="00746132">
        <w:rPr>
          <w:lang w:val="fr-FR"/>
        </w:rPr>
        <w:t>orientation sur l'action climatique pour le patrimoine vivant (2024) ;</w:t>
      </w:r>
    </w:p>
    <w:p w14:paraId="3D404E2F" w14:textId="7795F034" w:rsidR="00286302" w:rsidRPr="00746132" w:rsidRDefault="00286302" w:rsidP="00286302">
      <w:pPr>
        <w:pStyle w:val="COMPara"/>
        <w:numPr>
          <w:ilvl w:val="0"/>
          <w:numId w:val="14"/>
        </w:numPr>
        <w:jc w:val="both"/>
        <w:rPr>
          <w:lang w:val="fr-FR"/>
        </w:rPr>
      </w:pPr>
      <w:r w:rsidRPr="00746132">
        <w:rPr>
          <w:lang w:val="fr-FR"/>
        </w:rPr>
        <w:t xml:space="preserve">Développer une compréhension des </w:t>
      </w:r>
      <w:r w:rsidR="00232ACE" w:rsidRPr="00746132">
        <w:rPr>
          <w:lang w:val="fr-FR"/>
        </w:rPr>
        <w:t xml:space="preserve">principes de </w:t>
      </w:r>
      <w:r w:rsidRPr="00746132">
        <w:rPr>
          <w:lang w:val="fr-FR"/>
        </w:rPr>
        <w:t>base de la réduction des risques de catastrophe et de son lien avec le patrimoine culturel immatériel (Unité 63) ;</w:t>
      </w:r>
    </w:p>
    <w:p w14:paraId="67044148" w14:textId="723D384E" w:rsidR="00286302" w:rsidRPr="00746132" w:rsidRDefault="00286302" w:rsidP="00286302">
      <w:pPr>
        <w:pStyle w:val="COMPara"/>
        <w:numPr>
          <w:ilvl w:val="0"/>
          <w:numId w:val="14"/>
        </w:numPr>
        <w:jc w:val="both"/>
        <w:rPr>
          <w:lang w:val="fr-FR"/>
        </w:rPr>
      </w:pPr>
      <w:r w:rsidRPr="00746132">
        <w:rPr>
          <w:lang w:val="fr-FR"/>
        </w:rPr>
        <w:t>Explorer l'intégration de la réduction des risques de catastrophe dans le processus d'inventaire du patrimoine culturel immatériel (Unité 64) ;</w:t>
      </w:r>
    </w:p>
    <w:p w14:paraId="294949B0" w14:textId="3919647E" w:rsidR="00286302" w:rsidRPr="00746132" w:rsidRDefault="00286302" w:rsidP="00286302">
      <w:pPr>
        <w:pStyle w:val="COMPara"/>
        <w:numPr>
          <w:ilvl w:val="0"/>
          <w:numId w:val="14"/>
        </w:numPr>
        <w:jc w:val="both"/>
        <w:rPr>
          <w:lang w:val="fr-FR"/>
        </w:rPr>
      </w:pPr>
      <w:r w:rsidRPr="00746132">
        <w:rPr>
          <w:lang w:val="fr-FR"/>
        </w:rPr>
        <w:t>Offrir une plateforme de partage d</w:t>
      </w:r>
      <w:r w:rsidR="004D5DB8" w:rsidRPr="00746132">
        <w:rPr>
          <w:lang w:val="fr-FR"/>
        </w:rPr>
        <w:t>’</w:t>
      </w:r>
      <w:r w:rsidRPr="00746132">
        <w:rPr>
          <w:lang w:val="fr-FR"/>
        </w:rPr>
        <w:t>expériences et des leçons apprises lors de l'organisation d'ateliers sur les catastrophes dans différents contextes ;</w:t>
      </w:r>
    </w:p>
    <w:p w14:paraId="74CC0D0A" w14:textId="4E2CE969" w:rsidR="00286302" w:rsidRPr="00746132" w:rsidRDefault="00286302" w:rsidP="00286302">
      <w:pPr>
        <w:pStyle w:val="COMPara"/>
        <w:numPr>
          <w:ilvl w:val="0"/>
          <w:numId w:val="14"/>
        </w:numPr>
        <w:jc w:val="both"/>
        <w:rPr>
          <w:lang w:val="fr-FR"/>
        </w:rPr>
      </w:pPr>
      <w:r w:rsidRPr="00746132">
        <w:rPr>
          <w:lang w:val="fr-FR"/>
        </w:rPr>
        <w:t xml:space="preserve">Favoriser la collaboration entre les facilitateurs au sein du réseau mondial </w:t>
      </w:r>
      <w:r w:rsidR="003D5275" w:rsidRPr="00746132">
        <w:rPr>
          <w:lang w:val="fr-FR"/>
        </w:rPr>
        <w:t xml:space="preserve">sur </w:t>
      </w:r>
      <w:r w:rsidRPr="00746132">
        <w:rPr>
          <w:lang w:val="fr-FR"/>
        </w:rPr>
        <w:t>la sauvegarde du patrimoine vivant dans les contextes de catastrophe.</w:t>
      </w:r>
    </w:p>
    <w:p w14:paraId="2BA1064C" w14:textId="79ED5D1A" w:rsidR="00EE5D7D" w:rsidRPr="00746132" w:rsidRDefault="00286302" w:rsidP="00286302">
      <w:pPr>
        <w:pStyle w:val="COMPara"/>
        <w:ind w:left="567" w:hanging="567"/>
        <w:jc w:val="both"/>
        <w:rPr>
          <w:lang w:val="fr-FR"/>
        </w:rPr>
      </w:pPr>
      <w:r w:rsidRPr="00746132">
        <w:rPr>
          <w:lang w:val="fr-FR"/>
        </w:rPr>
        <w:t xml:space="preserve">Cette session est conçue pour les facilitateurs, quelle que soit leur expérience préalable en situations d’urgence, et sert d’introduction au sujet. Un court sondage sera mené avant la </w:t>
      </w:r>
      <w:r w:rsidRPr="00746132">
        <w:rPr>
          <w:lang w:val="fr-FR"/>
        </w:rPr>
        <w:lastRenderedPageBreak/>
        <w:t xml:space="preserve">formation pour recueillir des exemples et des </w:t>
      </w:r>
      <w:r w:rsidR="00AF6523" w:rsidRPr="00746132">
        <w:rPr>
          <w:lang w:val="fr-FR"/>
        </w:rPr>
        <w:t>idées</w:t>
      </w:r>
      <w:r w:rsidRPr="00746132">
        <w:rPr>
          <w:lang w:val="fr-FR"/>
        </w:rPr>
        <w:t xml:space="preserve"> des participants à partir de leurs expériences pertinentes</w:t>
      </w:r>
      <w:r w:rsidR="00AF6523" w:rsidRPr="00746132">
        <w:rPr>
          <w:lang w:val="fr-FR"/>
        </w:rPr>
        <w:t>, qui pourront être partagés pendant la session</w:t>
      </w:r>
      <w:r w:rsidRPr="00746132">
        <w:rPr>
          <w:lang w:val="fr-FR"/>
        </w:rPr>
        <w:t xml:space="preserve">. </w:t>
      </w:r>
      <w:r w:rsidR="00EE5D7D" w:rsidRPr="00746132">
        <w:rPr>
          <w:lang w:val="fr-FR"/>
        </w:rPr>
        <w:br w:type="page"/>
      </w:r>
    </w:p>
    <w:p w14:paraId="40303697" w14:textId="4DADF381" w:rsidR="005777E8" w:rsidRPr="00746132" w:rsidRDefault="00786E25" w:rsidP="005777E8">
      <w:pPr>
        <w:pStyle w:val="COMPara"/>
        <w:numPr>
          <w:ilvl w:val="0"/>
          <w:numId w:val="0"/>
        </w:numPr>
        <w:spacing w:after="240"/>
        <w:ind w:left="567" w:hanging="567"/>
        <w:jc w:val="both"/>
        <w:rPr>
          <w:b/>
          <w:bCs/>
        </w:rPr>
      </w:pPr>
      <w:r w:rsidRPr="00746132">
        <w:rPr>
          <w:b/>
          <w:bCs/>
        </w:rPr>
        <w:t>Programme</w:t>
      </w:r>
    </w:p>
    <w:tbl>
      <w:tblPr>
        <w:tblStyle w:val="TableGrid"/>
        <w:tblW w:w="0" w:type="auto"/>
        <w:tblLook w:val="04A0" w:firstRow="1" w:lastRow="0" w:firstColumn="1" w:lastColumn="0" w:noHBand="0" w:noVBand="1"/>
      </w:tblPr>
      <w:tblGrid>
        <w:gridCol w:w="2689"/>
        <w:gridCol w:w="6936"/>
      </w:tblGrid>
      <w:tr w:rsidR="00C12190" w:rsidRPr="00746132" w14:paraId="1A968A12" w14:textId="77777777" w:rsidTr="0004329D">
        <w:tc>
          <w:tcPr>
            <w:tcW w:w="9625" w:type="dxa"/>
            <w:gridSpan w:val="2"/>
            <w:shd w:val="clear" w:color="auto" w:fill="D9D9D9" w:themeFill="background1" w:themeFillShade="D9"/>
          </w:tcPr>
          <w:p w14:paraId="75F8893F" w14:textId="501133AC" w:rsidR="00C12190" w:rsidRPr="00746132" w:rsidRDefault="00C12190" w:rsidP="00F83211">
            <w:pPr>
              <w:pStyle w:val="COMPara"/>
              <w:numPr>
                <w:ilvl w:val="0"/>
                <w:numId w:val="0"/>
              </w:numPr>
              <w:jc w:val="both"/>
              <w:rPr>
                <w:lang w:val="fr-FR"/>
              </w:rPr>
            </w:pPr>
            <w:r w:rsidRPr="00746132">
              <w:rPr>
                <w:rFonts w:eastAsia="Calibri"/>
                <w:b/>
                <w:bCs/>
                <w:lang w:val="fr-FR"/>
              </w:rPr>
              <w:t>Session I</w:t>
            </w:r>
            <w:r w:rsidR="00F6079E" w:rsidRPr="00746132">
              <w:rPr>
                <w:rFonts w:eastAsia="Calibri"/>
                <w:b/>
                <w:bCs/>
                <w:lang w:val="fr-FR"/>
              </w:rPr>
              <w:t xml:space="preserve"> </w:t>
            </w:r>
            <w:r w:rsidRPr="00746132">
              <w:rPr>
                <w:rFonts w:eastAsia="Calibri"/>
                <w:b/>
                <w:bCs/>
                <w:lang w:val="fr-FR"/>
              </w:rPr>
              <w:t xml:space="preserve">: 27 </w:t>
            </w:r>
            <w:r w:rsidR="00786E25" w:rsidRPr="00746132">
              <w:rPr>
                <w:rFonts w:eastAsia="Calibri"/>
                <w:b/>
                <w:bCs/>
                <w:lang w:val="fr-FR"/>
              </w:rPr>
              <w:t>mars</w:t>
            </w:r>
            <w:r w:rsidRPr="00746132">
              <w:rPr>
                <w:rFonts w:eastAsia="Calibri"/>
                <w:b/>
                <w:bCs/>
                <w:lang w:val="fr-FR"/>
              </w:rPr>
              <w:t xml:space="preserve"> 2025, </w:t>
            </w:r>
            <w:r w:rsidR="00786E25" w:rsidRPr="00746132">
              <w:rPr>
                <w:rFonts w:eastAsia="Calibri"/>
                <w:b/>
                <w:bCs/>
                <w:lang w:val="fr-FR"/>
              </w:rPr>
              <w:t xml:space="preserve">de </w:t>
            </w:r>
            <w:r w:rsidRPr="00746132">
              <w:rPr>
                <w:rFonts w:eastAsia="Calibri"/>
                <w:b/>
                <w:bCs/>
                <w:lang w:val="fr-FR"/>
              </w:rPr>
              <w:t>10</w:t>
            </w:r>
            <w:r w:rsidR="00786E25" w:rsidRPr="00746132">
              <w:rPr>
                <w:rFonts w:eastAsia="Calibri"/>
                <w:b/>
                <w:bCs/>
                <w:lang w:val="fr-FR"/>
              </w:rPr>
              <w:t>h à</w:t>
            </w:r>
            <w:r w:rsidRPr="00746132">
              <w:rPr>
                <w:rFonts w:eastAsia="Calibri"/>
                <w:b/>
                <w:bCs/>
                <w:lang w:val="fr-FR"/>
              </w:rPr>
              <w:t xml:space="preserve"> 1</w:t>
            </w:r>
            <w:r w:rsidR="00786E25" w:rsidRPr="00746132">
              <w:rPr>
                <w:rFonts w:eastAsia="Calibri"/>
                <w:b/>
                <w:bCs/>
                <w:lang w:val="fr-FR"/>
              </w:rPr>
              <w:t>3h</w:t>
            </w:r>
            <w:r w:rsidRPr="00746132">
              <w:rPr>
                <w:rFonts w:eastAsia="Calibri"/>
                <w:b/>
                <w:bCs/>
                <w:lang w:val="fr-FR"/>
              </w:rPr>
              <w:t xml:space="preserve"> </w:t>
            </w:r>
            <w:r w:rsidR="00396280" w:rsidRPr="00746132">
              <w:rPr>
                <w:rFonts w:eastAsia="Calibri"/>
                <w:b/>
                <w:bCs/>
                <w:lang w:val="fr-FR"/>
              </w:rPr>
              <w:t>(</w:t>
            </w:r>
            <w:r w:rsidR="00786E25" w:rsidRPr="00746132">
              <w:rPr>
                <w:rFonts w:eastAsia="Calibri"/>
                <w:b/>
                <w:bCs/>
                <w:lang w:val="fr-FR"/>
              </w:rPr>
              <w:t>anglais uniquement</w:t>
            </w:r>
            <w:r w:rsidR="00396280" w:rsidRPr="00746132">
              <w:rPr>
                <w:rFonts w:eastAsia="Calibri"/>
                <w:b/>
                <w:bCs/>
                <w:lang w:val="fr-FR"/>
              </w:rPr>
              <w:t>)</w:t>
            </w:r>
          </w:p>
        </w:tc>
      </w:tr>
      <w:tr w:rsidR="001A49CF" w:rsidRPr="00746132" w14:paraId="3E5EBCE2" w14:textId="77777777" w:rsidTr="00FD0EE6">
        <w:tc>
          <w:tcPr>
            <w:tcW w:w="2689" w:type="dxa"/>
          </w:tcPr>
          <w:p w14:paraId="1C3B8459" w14:textId="3EF82C0B" w:rsidR="001A49CF" w:rsidRPr="00746132" w:rsidRDefault="001A49CF" w:rsidP="00F83211">
            <w:pPr>
              <w:pStyle w:val="COMPara"/>
              <w:numPr>
                <w:ilvl w:val="0"/>
                <w:numId w:val="0"/>
              </w:numPr>
            </w:pPr>
            <w:r w:rsidRPr="00746132">
              <w:t>10</w:t>
            </w:r>
            <w:r w:rsidR="0092296C" w:rsidRPr="00746132">
              <w:t>h</w:t>
            </w:r>
            <w:r w:rsidRPr="00746132">
              <w:t xml:space="preserve"> – 10</w:t>
            </w:r>
            <w:r w:rsidR="0092296C" w:rsidRPr="00746132">
              <w:t>h</w:t>
            </w:r>
            <w:r w:rsidRPr="00746132">
              <w:t xml:space="preserve">05 </w:t>
            </w:r>
          </w:p>
        </w:tc>
        <w:tc>
          <w:tcPr>
            <w:tcW w:w="6936" w:type="dxa"/>
          </w:tcPr>
          <w:p w14:paraId="4230ABFC" w14:textId="18B2CB81" w:rsidR="00AC23B5" w:rsidRPr="00746132" w:rsidRDefault="00786E25"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Point</w:t>
            </w:r>
            <w:r w:rsidR="00AC23B5" w:rsidRPr="00746132">
              <w:rPr>
                <w:rFonts w:ascii="Arial" w:hAnsi="Arial" w:cs="Arial"/>
                <w:b/>
                <w:bCs/>
                <w:snapToGrid w:val="0"/>
                <w:sz w:val="22"/>
                <w:szCs w:val="22"/>
                <w:lang w:eastAsia="en-US"/>
              </w:rPr>
              <w:t xml:space="preserve"> 1</w:t>
            </w:r>
          </w:p>
          <w:p w14:paraId="3D4DE2C8" w14:textId="59C153C3" w:rsidR="00786E25" w:rsidRPr="00746132" w:rsidRDefault="00786E25"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 xml:space="preserve">Accueil et ouverture par </w:t>
            </w:r>
            <w:r w:rsidR="00900DAC">
              <w:rPr>
                <w:rFonts w:ascii="Arial" w:hAnsi="Arial" w:cs="Arial"/>
                <w:snapToGrid w:val="0"/>
                <w:sz w:val="22"/>
                <w:szCs w:val="22"/>
                <w:lang w:val="fr-FR" w:eastAsia="en-US"/>
              </w:rPr>
              <w:t>Fumiko Ohinata, Secrétaire</w:t>
            </w:r>
            <w:r w:rsidR="00AF6523" w:rsidRPr="00746132">
              <w:rPr>
                <w:rFonts w:ascii="Arial" w:hAnsi="Arial" w:cs="Arial"/>
                <w:snapToGrid w:val="0"/>
                <w:sz w:val="22"/>
                <w:szCs w:val="22"/>
                <w:lang w:val="fr-FR" w:eastAsia="en-US"/>
              </w:rPr>
              <w:t xml:space="preserve"> de la Convention pour la sauvegarde du patrimoine culturel immatériel, </w:t>
            </w:r>
            <w:r w:rsidRPr="00746132">
              <w:rPr>
                <w:rFonts w:ascii="Arial" w:hAnsi="Arial" w:cs="Arial"/>
                <w:snapToGrid w:val="0"/>
                <w:sz w:val="22"/>
                <w:szCs w:val="22"/>
                <w:lang w:val="fr-FR" w:eastAsia="en-US"/>
              </w:rPr>
              <w:t>UNESCO</w:t>
            </w:r>
          </w:p>
          <w:p w14:paraId="677F075F" w14:textId="14F4C328" w:rsidR="001A49CF" w:rsidRPr="00746132" w:rsidRDefault="00786E25"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Introduction au p</w:t>
            </w:r>
            <w:r w:rsidR="00AF6523" w:rsidRPr="00746132">
              <w:rPr>
                <w:rFonts w:ascii="Arial" w:hAnsi="Arial" w:cs="Arial"/>
                <w:snapToGrid w:val="0"/>
                <w:sz w:val="22"/>
                <w:szCs w:val="22"/>
                <w:lang w:eastAsia="en-US"/>
              </w:rPr>
              <w:t>rogramme</w:t>
            </w:r>
            <w:r w:rsidRPr="00746132">
              <w:rPr>
                <w:rFonts w:ascii="Arial" w:hAnsi="Arial" w:cs="Arial"/>
                <w:snapToGrid w:val="0"/>
                <w:sz w:val="22"/>
                <w:szCs w:val="22"/>
                <w:lang w:eastAsia="en-US"/>
              </w:rPr>
              <w:t xml:space="preserve"> de formation 2025 pour le réseau mondial des facilitateurs et objectifs de la session</w:t>
            </w:r>
          </w:p>
        </w:tc>
      </w:tr>
      <w:tr w:rsidR="001A49CF" w:rsidRPr="00746132" w14:paraId="320BFB56" w14:textId="77777777" w:rsidTr="00FD0EE6">
        <w:tc>
          <w:tcPr>
            <w:tcW w:w="2689" w:type="dxa"/>
          </w:tcPr>
          <w:p w14:paraId="5381024B" w14:textId="38501BB7" w:rsidR="001A49CF" w:rsidRPr="00746132" w:rsidRDefault="001A49CF" w:rsidP="00F83211">
            <w:pPr>
              <w:pStyle w:val="COMPara"/>
              <w:numPr>
                <w:ilvl w:val="0"/>
                <w:numId w:val="0"/>
              </w:numPr>
            </w:pPr>
            <w:r w:rsidRPr="00746132">
              <w:t>10</w:t>
            </w:r>
            <w:r w:rsidR="0092296C" w:rsidRPr="00746132">
              <w:t>h</w:t>
            </w:r>
            <w:r w:rsidRPr="00746132">
              <w:t>05 – 10</w:t>
            </w:r>
            <w:r w:rsidR="0092296C" w:rsidRPr="00746132">
              <w:t>h</w:t>
            </w:r>
            <w:r w:rsidRPr="00746132">
              <w:t>20</w:t>
            </w:r>
          </w:p>
        </w:tc>
        <w:tc>
          <w:tcPr>
            <w:tcW w:w="6936" w:type="dxa"/>
          </w:tcPr>
          <w:p w14:paraId="094EC255" w14:textId="754AF92E" w:rsidR="00AC23B5" w:rsidRPr="00746132" w:rsidRDefault="00786E25"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 xml:space="preserve">Point </w:t>
            </w:r>
            <w:r w:rsidR="00AC23B5" w:rsidRPr="00746132">
              <w:rPr>
                <w:rFonts w:ascii="Arial" w:hAnsi="Arial" w:cs="Arial"/>
                <w:b/>
                <w:bCs/>
                <w:snapToGrid w:val="0"/>
                <w:sz w:val="22"/>
                <w:szCs w:val="22"/>
                <w:lang w:eastAsia="en-US"/>
              </w:rPr>
              <w:t>2</w:t>
            </w:r>
          </w:p>
          <w:p w14:paraId="423B1855" w14:textId="08F990C7" w:rsidR="00786E25" w:rsidRPr="00746132" w:rsidRDefault="00786E25"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Introduction au sujet</w:t>
            </w:r>
            <w:r w:rsidR="00AF6523" w:rsidRPr="00746132">
              <w:rPr>
                <w:rFonts w:ascii="Arial" w:hAnsi="Arial" w:cs="Arial"/>
                <w:snapToGrid w:val="0"/>
                <w:sz w:val="22"/>
                <w:szCs w:val="22"/>
                <w:lang w:val="fr-FR" w:eastAsia="en-US"/>
              </w:rPr>
              <w:t xml:space="preserve"> par Chris Ballard, facilitateur</w:t>
            </w:r>
          </w:p>
          <w:p w14:paraId="51CB7880" w14:textId="0CEF9500" w:rsidR="001A49CF" w:rsidRPr="00746132" w:rsidRDefault="00786E25"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Context</w:t>
            </w:r>
            <w:r w:rsidR="00AF6523" w:rsidRPr="00746132">
              <w:rPr>
                <w:rFonts w:ascii="Arial" w:hAnsi="Arial" w:cs="Arial"/>
                <w:snapToGrid w:val="0"/>
                <w:sz w:val="22"/>
                <w:szCs w:val="22"/>
                <w:lang w:eastAsia="en-US"/>
              </w:rPr>
              <w:t>ualisation</w:t>
            </w:r>
            <w:r w:rsidRPr="00746132">
              <w:rPr>
                <w:rFonts w:ascii="Arial" w:hAnsi="Arial" w:cs="Arial"/>
                <w:snapToGrid w:val="0"/>
                <w:sz w:val="22"/>
                <w:szCs w:val="22"/>
                <w:lang w:eastAsia="en-US"/>
              </w:rPr>
              <w:t xml:space="preserve"> </w:t>
            </w:r>
            <w:r w:rsidR="00AF6523" w:rsidRPr="00746132">
              <w:rPr>
                <w:rFonts w:ascii="Arial" w:hAnsi="Arial" w:cs="Arial"/>
                <w:snapToGrid w:val="0"/>
                <w:sz w:val="22"/>
                <w:szCs w:val="22"/>
                <w:lang w:eastAsia="en-US"/>
              </w:rPr>
              <w:t xml:space="preserve">dans le cadre </w:t>
            </w:r>
            <w:r w:rsidRPr="00746132">
              <w:rPr>
                <w:rFonts w:ascii="Arial" w:hAnsi="Arial" w:cs="Arial"/>
                <w:snapToGrid w:val="0"/>
                <w:sz w:val="22"/>
                <w:szCs w:val="22"/>
                <w:lang w:eastAsia="en-US"/>
              </w:rPr>
              <w:t>des travaux thématiques sur les urgences et le changement climatique</w:t>
            </w:r>
          </w:p>
        </w:tc>
      </w:tr>
      <w:tr w:rsidR="001A49CF" w:rsidRPr="00746132" w14:paraId="42ABC6E5" w14:textId="77777777" w:rsidTr="00FD0EE6">
        <w:tc>
          <w:tcPr>
            <w:tcW w:w="2689" w:type="dxa"/>
          </w:tcPr>
          <w:p w14:paraId="10B5D72E" w14:textId="01F8EF3F" w:rsidR="001A49CF" w:rsidRPr="00746132" w:rsidRDefault="001A49CF" w:rsidP="00F83211">
            <w:pPr>
              <w:pStyle w:val="COMPara"/>
              <w:numPr>
                <w:ilvl w:val="0"/>
                <w:numId w:val="0"/>
              </w:numPr>
            </w:pPr>
            <w:r w:rsidRPr="00746132">
              <w:t>10</w:t>
            </w:r>
            <w:r w:rsidR="0092296C" w:rsidRPr="00746132">
              <w:t>h</w:t>
            </w:r>
            <w:r w:rsidRPr="00746132">
              <w:t>20 – 10</w:t>
            </w:r>
            <w:r w:rsidR="0092296C" w:rsidRPr="00746132">
              <w:t>h</w:t>
            </w:r>
            <w:r w:rsidRPr="00746132">
              <w:t xml:space="preserve">50 </w:t>
            </w:r>
          </w:p>
        </w:tc>
        <w:tc>
          <w:tcPr>
            <w:tcW w:w="6936" w:type="dxa"/>
          </w:tcPr>
          <w:p w14:paraId="566EF8A7" w14:textId="19F4E5CC" w:rsidR="00AC23B5" w:rsidRPr="00746132" w:rsidRDefault="00786E25"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 xml:space="preserve">Point </w:t>
            </w:r>
            <w:r w:rsidR="00AC23B5" w:rsidRPr="00746132">
              <w:rPr>
                <w:rFonts w:ascii="Arial" w:hAnsi="Arial" w:cs="Arial"/>
                <w:b/>
                <w:bCs/>
                <w:snapToGrid w:val="0"/>
                <w:sz w:val="22"/>
                <w:szCs w:val="22"/>
                <w:lang w:eastAsia="en-US"/>
              </w:rPr>
              <w:t>3</w:t>
            </w:r>
          </w:p>
          <w:p w14:paraId="3E9036AD" w14:textId="048DC7F4" w:rsidR="00786E25" w:rsidRPr="00746132" w:rsidRDefault="00786E25"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 xml:space="preserve">Unité 63 : </w:t>
            </w:r>
            <w:r w:rsidR="00AF6523" w:rsidRPr="00746132">
              <w:rPr>
                <w:rFonts w:ascii="Arial" w:hAnsi="Arial" w:cs="Arial"/>
                <w:snapToGrid w:val="0"/>
                <w:sz w:val="22"/>
                <w:szCs w:val="22"/>
                <w:lang w:val="fr-FR" w:eastAsia="en-US"/>
              </w:rPr>
              <w:t>Principes de b</w:t>
            </w:r>
            <w:r w:rsidRPr="00746132">
              <w:rPr>
                <w:rFonts w:ascii="Arial" w:hAnsi="Arial" w:cs="Arial"/>
                <w:snapToGrid w:val="0"/>
                <w:sz w:val="22"/>
                <w:szCs w:val="22"/>
                <w:lang w:val="fr-FR" w:eastAsia="en-US"/>
              </w:rPr>
              <w:t>ase de la réduction des risques de catastrophe et patrimoine culturel immatériel</w:t>
            </w:r>
          </w:p>
          <w:p w14:paraId="21E402DF" w14:textId="00FF98F2" w:rsidR="001A49CF" w:rsidRPr="00746132" w:rsidRDefault="00786E25" w:rsidP="00F83211">
            <w:pPr>
              <w:numPr>
                <w:ilvl w:val="0"/>
                <w:numId w:val="14"/>
              </w:numPr>
              <w:spacing w:after="120"/>
            </w:pPr>
            <w:r w:rsidRPr="00746132">
              <w:rPr>
                <w:rFonts w:ascii="Arial" w:hAnsi="Arial" w:cs="Arial"/>
                <w:snapToGrid w:val="0"/>
                <w:sz w:val="22"/>
                <w:szCs w:val="22"/>
                <w:lang w:val="en-GB" w:eastAsia="en-US"/>
              </w:rPr>
              <w:t xml:space="preserve">Introduction à </w:t>
            </w:r>
            <w:proofErr w:type="spellStart"/>
            <w:r w:rsidRPr="00746132">
              <w:rPr>
                <w:rFonts w:ascii="Arial" w:hAnsi="Arial" w:cs="Arial"/>
                <w:snapToGrid w:val="0"/>
                <w:sz w:val="22"/>
                <w:szCs w:val="22"/>
                <w:lang w:val="en-GB" w:eastAsia="en-US"/>
              </w:rPr>
              <w:t>l’Unité</w:t>
            </w:r>
            <w:proofErr w:type="spellEnd"/>
            <w:r w:rsidRPr="00746132">
              <w:rPr>
                <w:rFonts w:ascii="Arial" w:hAnsi="Arial" w:cs="Arial"/>
                <w:snapToGrid w:val="0"/>
                <w:sz w:val="22"/>
                <w:szCs w:val="22"/>
                <w:lang w:val="en-GB" w:eastAsia="en-US"/>
              </w:rPr>
              <w:t xml:space="preserve"> 63</w:t>
            </w:r>
          </w:p>
        </w:tc>
      </w:tr>
      <w:tr w:rsidR="001A49CF" w:rsidRPr="00746132" w14:paraId="283A3A4B" w14:textId="77777777" w:rsidTr="00FD0EE6">
        <w:tc>
          <w:tcPr>
            <w:tcW w:w="2689" w:type="dxa"/>
          </w:tcPr>
          <w:p w14:paraId="52FA058C" w14:textId="210114E4" w:rsidR="001A49CF" w:rsidRPr="00746132" w:rsidRDefault="001A49CF" w:rsidP="00F83211">
            <w:pPr>
              <w:pStyle w:val="COMPara"/>
              <w:numPr>
                <w:ilvl w:val="0"/>
                <w:numId w:val="0"/>
              </w:numPr>
            </w:pPr>
            <w:r w:rsidRPr="00746132">
              <w:t>1</w:t>
            </w:r>
            <w:r w:rsidR="005A02CA" w:rsidRPr="00746132">
              <w:t>0</w:t>
            </w:r>
            <w:r w:rsidR="0092296C" w:rsidRPr="00746132">
              <w:t>h</w:t>
            </w:r>
            <w:r w:rsidR="005A02CA" w:rsidRPr="00746132">
              <w:t>50</w:t>
            </w:r>
            <w:r w:rsidRPr="00746132">
              <w:t xml:space="preserve"> – 11</w:t>
            </w:r>
            <w:r w:rsidR="0092296C" w:rsidRPr="00746132">
              <w:t>h</w:t>
            </w:r>
            <w:r w:rsidR="005A02CA" w:rsidRPr="00746132">
              <w:t>3</w:t>
            </w:r>
            <w:r w:rsidRPr="00746132">
              <w:t xml:space="preserve">0 </w:t>
            </w:r>
          </w:p>
        </w:tc>
        <w:tc>
          <w:tcPr>
            <w:tcW w:w="6936" w:type="dxa"/>
          </w:tcPr>
          <w:p w14:paraId="2B5F8EDA" w14:textId="51FE254A" w:rsidR="00786E25" w:rsidRPr="00746132" w:rsidRDefault="00786E25"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Discussion</w:t>
            </w:r>
            <w:r w:rsidR="0096698A" w:rsidRPr="00746132">
              <w:rPr>
                <w:rFonts w:ascii="Arial" w:hAnsi="Arial" w:cs="Arial"/>
                <w:snapToGrid w:val="0"/>
                <w:sz w:val="22"/>
                <w:szCs w:val="22"/>
                <w:lang w:val="fr-FR" w:eastAsia="en-US"/>
              </w:rPr>
              <w:t xml:space="preserve"> modérée par Andrea Richards, facilitatrice</w:t>
            </w:r>
          </w:p>
          <w:p w14:paraId="17E6498C" w14:textId="6BBCE8F2" w:rsidR="0096698A" w:rsidRPr="00746132" w:rsidRDefault="0096698A"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Aperçu des résultats du sondage</w:t>
            </w:r>
          </w:p>
          <w:p w14:paraId="76219094" w14:textId="1B72A30F" w:rsidR="001A49CF" w:rsidRPr="00746132" w:rsidRDefault="00786E25" w:rsidP="00F83211">
            <w:pPr>
              <w:numPr>
                <w:ilvl w:val="0"/>
                <w:numId w:val="14"/>
              </w:numPr>
              <w:spacing w:after="120"/>
            </w:pPr>
            <w:r w:rsidRPr="00746132">
              <w:rPr>
                <w:rFonts w:ascii="Arial" w:hAnsi="Arial" w:cs="Arial"/>
                <w:snapToGrid w:val="0"/>
                <w:sz w:val="22"/>
                <w:szCs w:val="22"/>
                <w:lang w:val="en-GB" w:eastAsia="en-US"/>
              </w:rPr>
              <w:t xml:space="preserve">Partage </w:t>
            </w:r>
            <w:proofErr w:type="spellStart"/>
            <w:r w:rsidRPr="00746132">
              <w:rPr>
                <w:rFonts w:ascii="Arial" w:hAnsi="Arial" w:cs="Arial"/>
                <w:snapToGrid w:val="0"/>
                <w:sz w:val="22"/>
                <w:szCs w:val="22"/>
                <w:lang w:val="en-GB" w:eastAsia="en-US"/>
              </w:rPr>
              <w:t>d'expériences</w:t>
            </w:r>
            <w:proofErr w:type="spellEnd"/>
            <w:r w:rsidRPr="00746132">
              <w:rPr>
                <w:rFonts w:ascii="Arial" w:hAnsi="Arial" w:cs="Arial"/>
                <w:snapToGrid w:val="0"/>
                <w:sz w:val="22"/>
                <w:szCs w:val="22"/>
                <w:lang w:val="en-GB" w:eastAsia="en-US"/>
              </w:rPr>
              <w:t xml:space="preserve"> des </w:t>
            </w:r>
            <w:proofErr w:type="spellStart"/>
            <w:r w:rsidRPr="00746132">
              <w:rPr>
                <w:rFonts w:ascii="Arial" w:hAnsi="Arial" w:cs="Arial"/>
                <w:snapToGrid w:val="0"/>
                <w:sz w:val="22"/>
                <w:szCs w:val="22"/>
                <w:lang w:val="en-GB" w:eastAsia="en-US"/>
              </w:rPr>
              <w:t>facilitateurs</w:t>
            </w:r>
            <w:proofErr w:type="spellEnd"/>
          </w:p>
        </w:tc>
      </w:tr>
      <w:tr w:rsidR="001A49CF" w:rsidRPr="00746132" w14:paraId="589AEE0B" w14:textId="77777777" w:rsidTr="00F83B7E">
        <w:tc>
          <w:tcPr>
            <w:tcW w:w="2689" w:type="dxa"/>
            <w:shd w:val="clear" w:color="auto" w:fill="F2F2F2" w:themeFill="background1" w:themeFillShade="F2"/>
          </w:tcPr>
          <w:p w14:paraId="5CDB0DBC" w14:textId="22A5418E" w:rsidR="001A49CF" w:rsidRPr="00746132" w:rsidRDefault="005A02CA" w:rsidP="00F83211">
            <w:pPr>
              <w:pStyle w:val="COMPara"/>
              <w:numPr>
                <w:ilvl w:val="0"/>
                <w:numId w:val="0"/>
              </w:numPr>
            </w:pPr>
            <w:r w:rsidRPr="00746132">
              <w:t xml:space="preserve">11h30 </w:t>
            </w:r>
            <w:r w:rsidR="001A49CF" w:rsidRPr="00746132">
              <w:t xml:space="preserve">– </w:t>
            </w:r>
            <w:r w:rsidRPr="00746132">
              <w:t xml:space="preserve">11h40 </w:t>
            </w:r>
          </w:p>
        </w:tc>
        <w:tc>
          <w:tcPr>
            <w:tcW w:w="6936" w:type="dxa"/>
            <w:shd w:val="clear" w:color="auto" w:fill="F2F2F2" w:themeFill="background1" w:themeFillShade="F2"/>
          </w:tcPr>
          <w:p w14:paraId="67FB4F3D" w14:textId="39E15BE2" w:rsidR="001A49CF" w:rsidRPr="00746132" w:rsidRDefault="00786E25" w:rsidP="00F83211">
            <w:pPr>
              <w:pStyle w:val="COMPara"/>
              <w:numPr>
                <w:ilvl w:val="0"/>
                <w:numId w:val="0"/>
              </w:numPr>
              <w:jc w:val="both"/>
            </w:pPr>
            <w:r w:rsidRPr="00746132">
              <w:t xml:space="preserve">Pause </w:t>
            </w:r>
          </w:p>
        </w:tc>
      </w:tr>
      <w:tr w:rsidR="001A49CF" w:rsidRPr="00746132" w14:paraId="1457F8D5" w14:textId="77777777" w:rsidTr="00FD0EE6">
        <w:tc>
          <w:tcPr>
            <w:tcW w:w="2689" w:type="dxa"/>
          </w:tcPr>
          <w:p w14:paraId="2E85FCD7" w14:textId="49665F70" w:rsidR="001A49CF" w:rsidRPr="00746132" w:rsidRDefault="001A49CF" w:rsidP="00F83211">
            <w:pPr>
              <w:pStyle w:val="COMPara"/>
              <w:numPr>
                <w:ilvl w:val="0"/>
                <w:numId w:val="0"/>
              </w:numPr>
            </w:pPr>
            <w:r w:rsidRPr="00746132">
              <w:t>11</w:t>
            </w:r>
            <w:r w:rsidR="0092296C" w:rsidRPr="00746132">
              <w:t>h</w:t>
            </w:r>
            <w:r w:rsidR="005A02CA" w:rsidRPr="00746132">
              <w:t>4</w:t>
            </w:r>
            <w:r w:rsidRPr="00746132">
              <w:t xml:space="preserve">0 – </w:t>
            </w:r>
            <w:r w:rsidR="005A02CA" w:rsidRPr="00746132">
              <w:t>12h10</w:t>
            </w:r>
          </w:p>
        </w:tc>
        <w:tc>
          <w:tcPr>
            <w:tcW w:w="6936" w:type="dxa"/>
          </w:tcPr>
          <w:p w14:paraId="339F4BD9" w14:textId="71D0AEE0" w:rsidR="00AC23B5" w:rsidRPr="00746132" w:rsidRDefault="00786E25"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 xml:space="preserve">Point </w:t>
            </w:r>
            <w:r w:rsidR="00AC23B5" w:rsidRPr="00746132">
              <w:rPr>
                <w:rFonts w:ascii="Arial" w:hAnsi="Arial" w:cs="Arial"/>
                <w:b/>
                <w:bCs/>
                <w:snapToGrid w:val="0"/>
                <w:sz w:val="22"/>
                <w:szCs w:val="22"/>
                <w:lang w:eastAsia="en-US"/>
              </w:rPr>
              <w:t>4</w:t>
            </w:r>
          </w:p>
          <w:p w14:paraId="758C729D" w14:textId="6FE20FD1" w:rsidR="00786E25" w:rsidRPr="00746132" w:rsidRDefault="00786E25"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Unité 64 : Intégration de la réduction des risques de catastrophe dans l</w:t>
            </w:r>
            <w:r w:rsidR="0096698A" w:rsidRPr="00746132">
              <w:rPr>
                <w:rFonts w:ascii="Arial" w:hAnsi="Arial" w:cs="Arial"/>
                <w:snapToGrid w:val="0"/>
                <w:sz w:val="22"/>
                <w:szCs w:val="22"/>
                <w:lang w:val="fr-FR" w:eastAsia="en-US"/>
              </w:rPr>
              <w:t xml:space="preserve">es </w:t>
            </w:r>
            <w:r w:rsidRPr="00746132">
              <w:rPr>
                <w:rFonts w:ascii="Arial" w:hAnsi="Arial" w:cs="Arial"/>
                <w:snapToGrid w:val="0"/>
                <w:sz w:val="22"/>
                <w:szCs w:val="22"/>
                <w:lang w:val="fr-FR" w:eastAsia="en-US"/>
              </w:rPr>
              <w:t>inventaire</w:t>
            </w:r>
            <w:r w:rsidR="0096698A" w:rsidRPr="00746132">
              <w:rPr>
                <w:rFonts w:ascii="Arial" w:hAnsi="Arial" w:cs="Arial"/>
                <w:snapToGrid w:val="0"/>
                <w:sz w:val="22"/>
                <w:szCs w:val="22"/>
                <w:lang w:val="fr-FR" w:eastAsia="en-US"/>
              </w:rPr>
              <w:t>s</w:t>
            </w:r>
            <w:r w:rsidRPr="00746132">
              <w:rPr>
                <w:rFonts w:ascii="Arial" w:hAnsi="Arial" w:cs="Arial"/>
                <w:snapToGrid w:val="0"/>
                <w:sz w:val="22"/>
                <w:szCs w:val="22"/>
                <w:lang w:val="fr-FR" w:eastAsia="en-US"/>
              </w:rPr>
              <w:t xml:space="preserve"> du </w:t>
            </w:r>
            <w:r w:rsidR="0096698A" w:rsidRPr="00746132">
              <w:rPr>
                <w:rFonts w:ascii="Arial" w:hAnsi="Arial" w:cs="Arial"/>
                <w:snapToGrid w:val="0"/>
                <w:sz w:val="22"/>
                <w:szCs w:val="22"/>
                <w:lang w:val="fr-FR" w:eastAsia="en-US"/>
              </w:rPr>
              <w:t>patrimoine culturel immatériel, par Chris Ballard</w:t>
            </w:r>
          </w:p>
          <w:p w14:paraId="21BF79CE" w14:textId="7EEE8E50" w:rsidR="001A49CF" w:rsidRPr="00746132" w:rsidRDefault="00786E25" w:rsidP="00F83211">
            <w:pPr>
              <w:numPr>
                <w:ilvl w:val="0"/>
                <w:numId w:val="14"/>
              </w:numPr>
              <w:spacing w:after="120"/>
            </w:pPr>
            <w:r w:rsidRPr="00746132">
              <w:rPr>
                <w:rFonts w:ascii="Arial" w:hAnsi="Arial" w:cs="Arial"/>
                <w:snapToGrid w:val="0"/>
                <w:sz w:val="22"/>
                <w:szCs w:val="22"/>
                <w:lang w:val="en-GB" w:eastAsia="en-US"/>
              </w:rPr>
              <w:t xml:space="preserve">Introduction à </w:t>
            </w:r>
            <w:proofErr w:type="spellStart"/>
            <w:r w:rsidRPr="00746132">
              <w:rPr>
                <w:rFonts w:ascii="Arial" w:hAnsi="Arial" w:cs="Arial"/>
                <w:snapToGrid w:val="0"/>
                <w:sz w:val="22"/>
                <w:szCs w:val="22"/>
                <w:lang w:val="en-GB" w:eastAsia="en-US"/>
              </w:rPr>
              <w:t>l’Unité</w:t>
            </w:r>
            <w:proofErr w:type="spellEnd"/>
            <w:r w:rsidRPr="00746132">
              <w:rPr>
                <w:rFonts w:ascii="Arial" w:hAnsi="Arial" w:cs="Arial"/>
                <w:snapToGrid w:val="0"/>
                <w:sz w:val="22"/>
                <w:szCs w:val="22"/>
                <w:lang w:val="en-GB" w:eastAsia="en-US"/>
              </w:rPr>
              <w:t xml:space="preserve"> 64</w:t>
            </w:r>
          </w:p>
        </w:tc>
      </w:tr>
      <w:tr w:rsidR="001A49CF" w:rsidRPr="00746132" w14:paraId="451C70E8" w14:textId="77777777" w:rsidTr="00FD0EE6">
        <w:tc>
          <w:tcPr>
            <w:tcW w:w="2689" w:type="dxa"/>
          </w:tcPr>
          <w:p w14:paraId="636F6B64" w14:textId="47DA0B7D" w:rsidR="001A49CF" w:rsidRPr="00746132" w:rsidRDefault="005A02CA" w:rsidP="00F83211">
            <w:pPr>
              <w:pStyle w:val="COMPara"/>
              <w:numPr>
                <w:ilvl w:val="0"/>
                <w:numId w:val="0"/>
              </w:numPr>
            </w:pPr>
            <w:r w:rsidRPr="00746132">
              <w:t xml:space="preserve">12h10 </w:t>
            </w:r>
            <w:r w:rsidR="001A49CF" w:rsidRPr="00746132">
              <w:t>– 12</w:t>
            </w:r>
            <w:r w:rsidR="0092296C" w:rsidRPr="00746132">
              <w:t>h</w:t>
            </w:r>
            <w:r w:rsidR="001A49CF" w:rsidRPr="00746132">
              <w:t>50</w:t>
            </w:r>
          </w:p>
        </w:tc>
        <w:tc>
          <w:tcPr>
            <w:tcW w:w="6936" w:type="dxa"/>
          </w:tcPr>
          <w:p w14:paraId="4A26F042" w14:textId="11F48249" w:rsidR="00786E25" w:rsidRPr="00746132" w:rsidRDefault="00786E25"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Discussion</w:t>
            </w:r>
            <w:r w:rsidR="0096698A" w:rsidRPr="00746132">
              <w:rPr>
                <w:rFonts w:ascii="Arial" w:hAnsi="Arial" w:cs="Arial"/>
                <w:snapToGrid w:val="0"/>
                <w:sz w:val="22"/>
                <w:szCs w:val="22"/>
                <w:lang w:val="fr-FR" w:eastAsia="en-US"/>
              </w:rPr>
              <w:t xml:space="preserve"> modérée par Andrea Richards</w:t>
            </w:r>
          </w:p>
          <w:p w14:paraId="52DBF1C9" w14:textId="41510DE6" w:rsidR="00786E25" w:rsidRPr="00746132" w:rsidRDefault="00786E25"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Partage d’expériences des facilitateurs</w:t>
            </w:r>
            <w:r w:rsidR="00123C13" w:rsidRPr="00746132">
              <w:rPr>
                <w:rFonts w:ascii="Arial" w:hAnsi="Arial" w:cs="Arial"/>
                <w:snapToGrid w:val="0"/>
                <w:sz w:val="22"/>
                <w:szCs w:val="22"/>
                <w:lang w:eastAsia="en-US"/>
              </w:rPr>
              <w:t xml:space="preserve"> participants</w:t>
            </w:r>
          </w:p>
          <w:p w14:paraId="4081F7E1" w14:textId="369B3745" w:rsidR="001A49CF" w:rsidRPr="00746132" w:rsidRDefault="00786E25"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Potentiels défis auxquels les facilitateurs peuvent être confrontés</w:t>
            </w:r>
          </w:p>
        </w:tc>
      </w:tr>
      <w:tr w:rsidR="001A49CF" w:rsidRPr="00746132" w14:paraId="2B5C3B90" w14:textId="77777777" w:rsidTr="00FD0EE6">
        <w:tc>
          <w:tcPr>
            <w:tcW w:w="2689" w:type="dxa"/>
          </w:tcPr>
          <w:p w14:paraId="151867CB" w14:textId="12F78A36" w:rsidR="001A49CF" w:rsidRPr="00746132" w:rsidRDefault="001A49CF" w:rsidP="00F83211">
            <w:pPr>
              <w:pStyle w:val="COMPara"/>
              <w:numPr>
                <w:ilvl w:val="0"/>
                <w:numId w:val="0"/>
              </w:numPr>
            </w:pPr>
            <w:r w:rsidRPr="00746132">
              <w:t>12</w:t>
            </w:r>
            <w:r w:rsidR="0092296C" w:rsidRPr="00746132">
              <w:t>h</w:t>
            </w:r>
            <w:r w:rsidRPr="00746132">
              <w:t>50 – 1</w:t>
            </w:r>
            <w:r w:rsidR="0092296C" w:rsidRPr="00746132">
              <w:t>3h</w:t>
            </w:r>
            <w:r w:rsidRPr="00746132">
              <w:t xml:space="preserve"> </w:t>
            </w:r>
          </w:p>
        </w:tc>
        <w:tc>
          <w:tcPr>
            <w:tcW w:w="6936" w:type="dxa"/>
          </w:tcPr>
          <w:p w14:paraId="068FE392" w14:textId="55BFEB00" w:rsidR="00AC23B5" w:rsidRPr="00746132" w:rsidRDefault="00786E25" w:rsidP="00F83211">
            <w:pPr>
              <w:spacing w:after="120" w:line="280" w:lineRule="atLeast"/>
              <w:jc w:val="both"/>
              <w:rPr>
                <w:rFonts w:ascii="Arial" w:hAnsi="Arial" w:cs="Arial"/>
                <w:b/>
                <w:bCs/>
                <w:snapToGrid w:val="0"/>
                <w:sz w:val="22"/>
                <w:szCs w:val="22"/>
                <w:lang w:val="en-GB" w:eastAsia="en-US"/>
              </w:rPr>
            </w:pPr>
            <w:r w:rsidRPr="00746132">
              <w:rPr>
                <w:rFonts w:ascii="Arial" w:hAnsi="Arial" w:cs="Arial"/>
                <w:b/>
                <w:bCs/>
                <w:snapToGrid w:val="0"/>
                <w:sz w:val="22"/>
                <w:szCs w:val="22"/>
                <w:lang w:val="en-GB" w:eastAsia="en-US"/>
              </w:rPr>
              <w:t xml:space="preserve">Point </w:t>
            </w:r>
            <w:r w:rsidR="00AC23B5" w:rsidRPr="00746132">
              <w:rPr>
                <w:rFonts w:ascii="Arial" w:hAnsi="Arial" w:cs="Arial"/>
                <w:b/>
                <w:bCs/>
                <w:snapToGrid w:val="0"/>
                <w:sz w:val="22"/>
                <w:szCs w:val="22"/>
                <w:lang w:val="en-GB" w:eastAsia="en-US"/>
              </w:rPr>
              <w:t>5</w:t>
            </w:r>
          </w:p>
          <w:p w14:paraId="4CEF657E" w14:textId="7AD93E5C" w:rsidR="001A49CF" w:rsidRPr="00746132" w:rsidRDefault="00786E25" w:rsidP="00F83211">
            <w:pPr>
              <w:spacing w:after="120" w:line="280" w:lineRule="atLeast"/>
              <w:jc w:val="both"/>
              <w:rPr>
                <w:rFonts w:ascii="Arial" w:hAnsi="Arial" w:cs="Arial"/>
                <w:snapToGrid w:val="0"/>
                <w:sz w:val="22"/>
                <w:szCs w:val="22"/>
                <w:lang w:val="en-GB" w:eastAsia="en-US"/>
              </w:rPr>
            </w:pPr>
            <w:r w:rsidRPr="00746132">
              <w:rPr>
                <w:rFonts w:ascii="Arial" w:hAnsi="Arial" w:cs="Arial"/>
                <w:snapToGrid w:val="0"/>
                <w:sz w:val="22"/>
                <w:szCs w:val="22"/>
                <w:lang w:val="en-GB" w:eastAsia="en-US"/>
              </w:rPr>
              <w:t xml:space="preserve">Résumé et </w:t>
            </w:r>
            <w:proofErr w:type="spellStart"/>
            <w:r w:rsidRPr="00746132">
              <w:rPr>
                <w:rFonts w:ascii="Arial" w:hAnsi="Arial" w:cs="Arial"/>
                <w:snapToGrid w:val="0"/>
                <w:sz w:val="22"/>
                <w:szCs w:val="22"/>
                <w:lang w:val="en-GB" w:eastAsia="en-US"/>
              </w:rPr>
              <w:t>clôture</w:t>
            </w:r>
            <w:proofErr w:type="spellEnd"/>
          </w:p>
        </w:tc>
      </w:tr>
    </w:tbl>
    <w:p w14:paraId="6EC79F42" w14:textId="77777777" w:rsidR="00520908" w:rsidRPr="00746132" w:rsidRDefault="00520908">
      <w:pPr>
        <w:rPr>
          <w:lang w:val="en-GB"/>
        </w:rPr>
      </w:pPr>
      <w:r w:rsidRPr="00746132">
        <w:rPr>
          <w:lang w:val="en-GB"/>
        </w:rPr>
        <w:br w:type="page"/>
      </w:r>
    </w:p>
    <w:p w14:paraId="4F62F652" w14:textId="77777777" w:rsidR="00520908" w:rsidRPr="00746132" w:rsidRDefault="00520908">
      <w:pPr>
        <w:rPr>
          <w:lang w:val="en-GB"/>
        </w:rPr>
      </w:pPr>
    </w:p>
    <w:tbl>
      <w:tblPr>
        <w:tblStyle w:val="TableGrid"/>
        <w:tblW w:w="0" w:type="auto"/>
        <w:tblLook w:val="04A0" w:firstRow="1" w:lastRow="0" w:firstColumn="1" w:lastColumn="0" w:noHBand="0" w:noVBand="1"/>
      </w:tblPr>
      <w:tblGrid>
        <w:gridCol w:w="2689"/>
        <w:gridCol w:w="6936"/>
      </w:tblGrid>
      <w:tr w:rsidR="0082402A" w:rsidRPr="00746132" w14:paraId="15AD1636" w14:textId="77777777" w:rsidTr="003A2826">
        <w:tc>
          <w:tcPr>
            <w:tcW w:w="9625" w:type="dxa"/>
            <w:gridSpan w:val="2"/>
            <w:shd w:val="clear" w:color="auto" w:fill="D9D9D9" w:themeFill="background1" w:themeFillShade="D9"/>
          </w:tcPr>
          <w:p w14:paraId="1BE0AF2D" w14:textId="258FC5C7" w:rsidR="0082402A" w:rsidRPr="00746132" w:rsidRDefault="0082402A" w:rsidP="00F83211">
            <w:pPr>
              <w:pStyle w:val="COMPara"/>
              <w:numPr>
                <w:ilvl w:val="0"/>
                <w:numId w:val="0"/>
              </w:numPr>
              <w:jc w:val="both"/>
              <w:rPr>
                <w:lang w:val="fr-FR"/>
              </w:rPr>
            </w:pPr>
            <w:r w:rsidRPr="00746132">
              <w:rPr>
                <w:rFonts w:eastAsia="Calibri"/>
                <w:b/>
                <w:bCs/>
                <w:lang w:val="fr-FR"/>
              </w:rPr>
              <w:t xml:space="preserve">Session </w:t>
            </w:r>
            <w:r w:rsidR="00645031" w:rsidRPr="00746132">
              <w:rPr>
                <w:rFonts w:eastAsia="Calibri"/>
                <w:b/>
                <w:bCs/>
                <w:lang w:val="fr-FR"/>
              </w:rPr>
              <w:t>I</w:t>
            </w:r>
            <w:r w:rsidRPr="00746132">
              <w:rPr>
                <w:rFonts w:eastAsia="Calibri"/>
                <w:b/>
                <w:bCs/>
                <w:lang w:val="fr-FR"/>
              </w:rPr>
              <w:t>I</w:t>
            </w:r>
            <w:r w:rsidR="00F6079E" w:rsidRPr="00746132">
              <w:rPr>
                <w:rFonts w:eastAsia="Calibri"/>
                <w:b/>
                <w:bCs/>
                <w:lang w:val="fr-FR"/>
              </w:rPr>
              <w:t xml:space="preserve"> </w:t>
            </w:r>
            <w:r w:rsidRPr="00746132">
              <w:rPr>
                <w:rFonts w:eastAsia="Calibri"/>
                <w:b/>
                <w:bCs/>
                <w:lang w:val="fr-FR"/>
              </w:rPr>
              <w:t>: 28 mars 2025, de 14h à 17h (interprétation anglais/français)</w:t>
            </w:r>
          </w:p>
        </w:tc>
      </w:tr>
      <w:tr w:rsidR="0082402A" w:rsidRPr="00746132" w14:paraId="752B02A3" w14:textId="77777777" w:rsidTr="003A2826">
        <w:tc>
          <w:tcPr>
            <w:tcW w:w="2689" w:type="dxa"/>
          </w:tcPr>
          <w:p w14:paraId="2C39C652" w14:textId="17A325AF" w:rsidR="0082402A" w:rsidRPr="00746132" w:rsidRDefault="0082402A" w:rsidP="00F83211">
            <w:pPr>
              <w:pStyle w:val="COMPara"/>
              <w:numPr>
                <w:ilvl w:val="0"/>
                <w:numId w:val="0"/>
              </w:numPr>
            </w:pPr>
            <w:r w:rsidRPr="00746132">
              <w:t xml:space="preserve">14h – 10h05 </w:t>
            </w:r>
          </w:p>
        </w:tc>
        <w:tc>
          <w:tcPr>
            <w:tcW w:w="6936" w:type="dxa"/>
          </w:tcPr>
          <w:p w14:paraId="3F7A142D" w14:textId="77777777" w:rsidR="0082402A" w:rsidRPr="00746132" w:rsidRDefault="0082402A"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Point 1</w:t>
            </w:r>
          </w:p>
          <w:p w14:paraId="3D295191" w14:textId="46D7EDCC" w:rsidR="0082402A" w:rsidRPr="00746132" w:rsidRDefault="0082402A"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 xml:space="preserve">Accueil et ouverture par </w:t>
            </w:r>
            <w:r w:rsidR="00123C13" w:rsidRPr="00746132">
              <w:rPr>
                <w:rFonts w:ascii="Arial" w:hAnsi="Arial" w:cs="Arial"/>
                <w:snapToGrid w:val="0"/>
                <w:sz w:val="22"/>
                <w:szCs w:val="22"/>
                <w:lang w:eastAsia="en-US"/>
              </w:rPr>
              <w:t>le Secrétariat de la Convention pour la sauvegarde du patrimoine culturel immatériel, UNESCO</w:t>
            </w:r>
            <w:r w:rsidR="00123C13" w:rsidRPr="00746132" w:rsidDel="00123C13">
              <w:rPr>
                <w:rFonts w:ascii="Arial" w:hAnsi="Arial" w:cs="Arial"/>
                <w:snapToGrid w:val="0"/>
                <w:sz w:val="22"/>
                <w:szCs w:val="22"/>
                <w:lang w:eastAsia="en-US"/>
              </w:rPr>
              <w:t xml:space="preserve"> </w:t>
            </w:r>
            <w:r w:rsidRPr="00746132">
              <w:rPr>
                <w:rFonts w:ascii="Arial" w:hAnsi="Arial" w:cs="Arial"/>
                <w:snapToGrid w:val="0"/>
                <w:sz w:val="22"/>
                <w:szCs w:val="22"/>
                <w:lang w:eastAsia="en-US"/>
              </w:rPr>
              <w:t>Introduction au p</w:t>
            </w:r>
            <w:r w:rsidR="00123C13" w:rsidRPr="00746132">
              <w:rPr>
                <w:rFonts w:ascii="Arial" w:hAnsi="Arial" w:cs="Arial"/>
                <w:snapToGrid w:val="0"/>
                <w:sz w:val="22"/>
                <w:szCs w:val="22"/>
                <w:lang w:eastAsia="en-US"/>
              </w:rPr>
              <w:t>rogramme</w:t>
            </w:r>
            <w:r w:rsidRPr="00746132">
              <w:rPr>
                <w:rFonts w:ascii="Arial" w:hAnsi="Arial" w:cs="Arial"/>
                <w:snapToGrid w:val="0"/>
                <w:sz w:val="22"/>
                <w:szCs w:val="22"/>
                <w:lang w:eastAsia="en-US"/>
              </w:rPr>
              <w:t xml:space="preserve"> de formation 2025 pour le réseau mondial des facilitateurs et objectifs de la session</w:t>
            </w:r>
          </w:p>
        </w:tc>
      </w:tr>
      <w:tr w:rsidR="0082402A" w:rsidRPr="00746132" w14:paraId="384B8802" w14:textId="77777777" w:rsidTr="003A2826">
        <w:tc>
          <w:tcPr>
            <w:tcW w:w="2689" w:type="dxa"/>
          </w:tcPr>
          <w:p w14:paraId="0E1114B0" w14:textId="7A1818BF" w:rsidR="0082402A" w:rsidRPr="00746132" w:rsidRDefault="0082402A" w:rsidP="00F83211">
            <w:pPr>
              <w:pStyle w:val="COMPara"/>
              <w:numPr>
                <w:ilvl w:val="0"/>
                <w:numId w:val="0"/>
              </w:numPr>
            </w:pPr>
            <w:r w:rsidRPr="00746132">
              <w:t>14h05 – 14h20</w:t>
            </w:r>
          </w:p>
        </w:tc>
        <w:tc>
          <w:tcPr>
            <w:tcW w:w="6936" w:type="dxa"/>
          </w:tcPr>
          <w:p w14:paraId="405365F3" w14:textId="77777777" w:rsidR="0082402A" w:rsidRPr="00746132" w:rsidRDefault="0082402A"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Point 2</w:t>
            </w:r>
          </w:p>
          <w:p w14:paraId="3A3FAFE4" w14:textId="4A74B7C4" w:rsidR="0082402A" w:rsidRPr="00746132" w:rsidRDefault="0082402A"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Introduction au sujet</w:t>
            </w:r>
            <w:r w:rsidR="00123C13" w:rsidRPr="00746132">
              <w:rPr>
                <w:rFonts w:ascii="Arial" w:hAnsi="Arial" w:cs="Arial"/>
                <w:snapToGrid w:val="0"/>
                <w:sz w:val="22"/>
                <w:szCs w:val="22"/>
                <w:lang w:eastAsia="en-US"/>
              </w:rPr>
              <w:t xml:space="preserve"> par Chris Ballard, </w:t>
            </w:r>
            <w:proofErr w:type="spellStart"/>
            <w:r w:rsidR="00123C13" w:rsidRPr="00746132">
              <w:rPr>
                <w:rFonts w:ascii="Arial" w:hAnsi="Arial" w:cs="Arial"/>
                <w:snapToGrid w:val="0"/>
                <w:sz w:val="22"/>
                <w:szCs w:val="22"/>
                <w:lang w:eastAsia="en-US"/>
              </w:rPr>
              <w:t>facilitateurContextualisation</w:t>
            </w:r>
            <w:proofErr w:type="spellEnd"/>
            <w:r w:rsidR="00123C13" w:rsidRPr="00746132">
              <w:rPr>
                <w:rFonts w:ascii="Arial" w:hAnsi="Arial" w:cs="Arial"/>
                <w:snapToGrid w:val="0"/>
                <w:sz w:val="22"/>
                <w:szCs w:val="22"/>
                <w:lang w:eastAsia="en-US"/>
              </w:rPr>
              <w:t xml:space="preserve"> dans le cadre </w:t>
            </w:r>
            <w:r w:rsidRPr="00746132">
              <w:rPr>
                <w:rFonts w:ascii="Arial" w:hAnsi="Arial" w:cs="Arial"/>
                <w:snapToGrid w:val="0"/>
                <w:sz w:val="22"/>
                <w:szCs w:val="22"/>
                <w:lang w:eastAsia="en-US"/>
              </w:rPr>
              <w:t>des travaux thématiques sur les urgences et le changement climatique</w:t>
            </w:r>
          </w:p>
        </w:tc>
      </w:tr>
      <w:tr w:rsidR="0082402A" w:rsidRPr="00746132" w14:paraId="647652DD" w14:textId="77777777" w:rsidTr="003A2826">
        <w:tc>
          <w:tcPr>
            <w:tcW w:w="2689" w:type="dxa"/>
          </w:tcPr>
          <w:p w14:paraId="44AD87D2" w14:textId="7D272617" w:rsidR="0082402A" w:rsidRPr="00746132" w:rsidRDefault="0082402A" w:rsidP="00F83211">
            <w:pPr>
              <w:pStyle w:val="COMPara"/>
              <w:numPr>
                <w:ilvl w:val="0"/>
                <w:numId w:val="0"/>
              </w:numPr>
            </w:pPr>
            <w:r w:rsidRPr="00746132">
              <w:t xml:space="preserve">14h20 – 14h50 </w:t>
            </w:r>
          </w:p>
        </w:tc>
        <w:tc>
          <w:tcPr>
            <w:tcW w:w="6936" w:type="dxa"/>
          </w:tcPr>
          <w:p w14:paraId="50406DFC" w14:textId="77777777" w:rsidR="0082402A" w:rsidRPr="00746132" w:rsidRDefault="0082402A"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Point 3</w:t>
            </w:r>
          </w:p>
          <w:p w14:paraId="52C84F90" w14:textId="67074243" w:rsidR="0082402A" w:rsidRPr="00746132" w:rsidRDefault="0082402A"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 xml:space="preserve">Unité 63 : </w:t>
            </w:r>
            <w:r w:rsidR="00123C13" w:rsidRPr="00746132">
              <w:rPr>
                <w:rFonts w:ascii="Arial" w:hAnsi="Arial" w:cs="Arial"/>
                <w:snapToGrid w:val="0"/>
                <w:sz w:val="22"/>
                <w:szCs w:val="22"/>
                <w:lang w:val="fr-FR" w:eastAsia="en-US"/>
              </w:rPr>
              <w:t>Principes de b</w:t>
            </w:r>
            <w:r w:rsidRPr="00746132">
              <w:rPr>
                <w:rFonts w:ascii="Arial" w:hAnsi="Arial" w:cs="Arial"/>
                <w:snapToGrid w:val="0"/>
                <w:sz w:val="22"/>
                <w:szCs w:val="22"/>
                <w:lang w:val="fr-FR" w:eastAsia="en-US"/>
              </w:rPr>
              <w:t>ase de la réduction des risques de catastrophe et patrimoine culturel immatériel</w:t>
            </w:r>
          </w:p>
          <w:p w14:paraId="69A11A2E" w14:textId="6D5E60CC" w:rsidR="0082402A" w:rsidRPr="00746132" w:rsidRDefault="0082402A" w:rsidP="00F83211">
            <w:pPr>
              <w:numPr>
                <w:ilvl w:val="0"/>
                <w:numId w:val="14"/>
              </w:numPr>
              <w:spacing w:after="120"/>
            </w:pPr>
            <w:r w:rsidRPr="00746132">
              <w:rPr>
                <w:rFonts w:ascii="Arial" w:hAnsi="Arial" w:cs="Arial"/>
                <w:snapToGrid w:val="0"/>
                <w:sz w:val="22"/>
                <w:szCs w:val="22"/>
                <w:lang w:val="en-GB" w:eastAsia="en-US"/>
              </w:rPr>
              <w:t xml:space="preserve">Introduction à </w:t>
            </w:r>
            <w:proofErr w:type="spellStart"/>
            <w:r w:rsidRPr="00746132">
              <w:rPr>
                <w:rFonts w:ascii="Arial" w:hAnsi="Arial" w:cs="Arial"/>
                <w:snapToGrid w:val="0"/>
                <w:sz w:val="22"/>
                <w:szCs w:val="22"/>
                <w:lang w:val="en-GB" w:eastAsia="en-US"/>
              </w:rPr>
              <w:t>l’Unité</w:t>
            </w:r>
            <w:proofErr w:type="spellEnd"/>
            <w:r w:rsidRPr="00746132">
              <w:rPr>
                <w:rFonts w:ascii="Arial" w:hAnsi="Arial" w:cs="Arial"/>
                <w:snapToGrid w:val="0"/>
                <w:sz w:val="22"/>
                <w:szCs w:val="22"/>
                <w:lang w:val="en-GB" w:eastAsia="en-US"/>
              </w:rPr>
              <w:t xml:space="preserve"> 63</w:t>
            </w:r>
          </w:p>
        </w:tc>
      </w:tr>
      <w:tr w:rsidR="0082402A" w:rsidRPr="00746132" w14:paraId="1E3BFBD0" w14:textId="77777777" w:rsidTr="003A2826">
        <w:tc>
          <w:tcPr>
            <w:tcW w:w="2689" w:type="dxa"/>
          </w:tcPr>
          <w:p w14:paraId="2A55E7AA" w14:textId="298D1CD0" w:rsidR="0082402A" w:rsidRPr="00746132" w:rsidRDefault="0082402A" w:rsidP="00F83211">
            <w:pPr>
              <w:pStyle w:val="COMPara"/>
              <w:numPr>
                <w:ilvl w:val="0"/>
                <w:numId w:val="0"/>
              </w:numPr>
            </w:pPr>
            <w:r w:rsidRPr="00746132">
              <w:t>1</w:t>
            </w:r>
            <w:r w:rsidR="000A008B" w:rsidRPr="00746132">
              <w:t>4</w:t>
            </w:r>
            <w:r w:rsidRPr="00746132">
              <w:t>h</w:t>
            </w:r>
            <w:r w:rsidR="000A008B" w:rsidRPr="00746132">
              <w:t>50</w:t>
            </w:r>
            <w:r w:rsidRPr="00746132">
              <w:t xml:space="preserve"> – </w:t>
            </w:r>
            <w:r w:rsidR="000A008B" w:rsidRPr="00746132">
              <w:t xml:space="preserve">15h30 </w:t>
            </w:r>
          </w:p>
        </w:tc>
        <w:tc>
          <w:tcPr>
            <w:tcW w:w="6936" w:type="dxa"/>
          </w:tcPr>
          <w:p w14:paraId="67151709" w14:textId="4AF99D13" w:rsidR="00123C13" w:rsidRPr="00746132" w:rsidRDefault="0082402A" w:rsidP="00123C13">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Discussion</w:t>
            </w:r>
            <w:r w:rsidR="00123C13" w:rsidRPr="00746132">
              <w:rPr>
                <w:rFonts w:ascii="Arial" w:hAnsi="Arial" w:cs="Arial"/>
                <w:snapToGrid w:val="0"/>
                <w:sz w:val="22"/>
                <w:szCs w:val="22"/>
                <w:lang w:val="fr-FR" w:eastAsia="en-US"/>
              </w:rPr>
              <w:t xml:space="preserve"> modérée par Andrea Richards, facilitatrice</w:t>
            </w:r>
          </w:p>
          <w:p w14:paraId="3CA53681" w14:textId="1C4A8F3C" w:rsidR="0082402A" w:rsidRPr="00746132" w:rsidRDefault="00123C13" w:rsidP="003E4B3D">
            <w:pPr>
              <w:numPr>
                <w:ilvl w:val="0"/>
                <w:numId w:val="14"/>
              </w:numPr>
              <w:spacing w:after="120"/>
            </w:pPr>
            <w:r w:rsidRPr="00746132">
              <w:rPr>
                <w:rFonts w:ascii="Arial" w:hAnsi="Arial" w:cs="Arial"/>
                <w:snapToGrid w:val="0"/>
                <w:sz w:val="22"/>
                <w:szCs w:val="22"/>
                <w:lang w:eastAsia="en-US"/>
              </w:rPr>
              <w:t>Aperçu des résultats du sondage</w:t>
            </w:r>
          </w:p>
          <w:p w14:paraId="2928D339" w14:textId="047A01CA" w:rsidR="0082402A" w:rsidRPr="00746132" w:rsidRDefault="0082402A" w:rsidP="00F83211">
            <w:pPr>
              <w:numPr>
                <w:ilvl w:val="0"/>
                <w:numId w:val="14"/>
              </w:numPr>
              <w:spacing w:after="120"/>
            </w:pPr>
            <w:r w:rsidRPr="00746132">
              <w:rPr>
                <w:rFonts w:ascii="Arial" w:hAnsi="Arial" w:cs="Arial"/>
                <w:snapToGrid w:val="0"/>
                <w:sz w:val="22"/>
                <w:szCs w:val="22"/>
                <w:lang w:val="en-GB" w:eastAsia="en-US"/>
              </w:rPr>
              <w:t xml:space="preserve">Partage </w:t>
            </w:r>
            <w:proofErr w:type="spellStart"/>
            <w:r w:rsidRPr="00746132">
              <w:rPr>
                <w:rFonts w:ascii="Arial" w:hAnsi="Arial" w:cs="Arial"/>
                <w:snapToGrid w:val="0"/>
                <w:sz w:val="22"/>
                <w:szCs w:val="22"/>
                <w:lang w:val="en-GB" w:eastAsia="en-US"/>
              </w:rPr>
              <w:t>d</w:t>
            </w:r>
            <w:r w:rsidR="009E225A" w:rsidRPr="00746132">
              <w:rPr>
                <w:rFonts w:ascii="Arial" w:hAnsi="Arial" w:cs="Arial"/>
                <w:snapToGrid w:val="0"/>
                <w:sz w:val="22"/>
                <w:szCs w:val="22"/>
                <w:lang w:val="en-GB" w:eastAsia="en-US"/>
              </w:rPr>
              <w:t>’</w:t>
            </w:r>
            <w:r w:rsidRPr="00746132">
              <w:rPr>
                <w:rFonts w:ascii="Arial" w:hAnsi="Arial" w:cs="Arial"/>
                <w:snapToGrid w:val="0"/>
                <w:sz w:val="22"/>
                <w:szCs w:val="22"/>
                <w:lang w:val="en-GB" w:eastAsia="en-US"/>
              </w:rPr>
              <w:t>expériences</w:t>
            </w:r>
            <w:proofErr w:type="spellEnd"/>
            <w:r w:rsidRPr="00746132">
              <w:rPr>
                <w:rFonts w:ascii="Arial" w:hAnsi="Arial" w:cs="Arial"/>
                <w:snapToGrid w:val="0"/>
                <w:sz w:val="22"/>
                <w:szCs w:val="22"/>
                <w:lang w:val="en-GB" w:eastAsia="en-US"/>
              </w:rPr>
              <w:t xml:space="preserve"> des </w:t>
            </w:r>
            <w:proofErr w:type="spellStart"/>
            <w:r w:rsidRPr="00746132">
              <w:rPr>
                <w:rFonts w:ascii="Arial" w:hAnsi="Arial" w:cs="Arial"/>
                <w:snapToGrid w:val="0"/>
                <w:sz w:val="22"/>
                <w:szCs w:val="22"/>
                <w:lang w:val="en-GB" w:eastAsia="en-US"/>
              </w:rPr>
              <w:t>facilitateurs</w:t>
            </w:r>
            <w:proofErr w:type="spellEnd"/>
          </w:p>
        </w:tc>
      </w:tr>
      <w:tr w:rsidR="0082402A" w:rsidRPr="00746132" w14:paraId="36290AD4" w14:textId="77777777" w:rsidTr="003A2826">
        <w:tc>
          <w:tcPr>
            <w:tcW w:w="2689" w:type="dxa"/>
            <w:shd w:val="clear" w:color="auto" w:fill="F2F2F2" w:themeFill="background1" w:themeFillShade="F2"/>
          </w:tcPr>
          <w:p w14:paraId="7E3826B0" w14:textId="102875E3" w:rsidR="0082402A" w:rsidRPr="00746132" w:rsidRDefault="000A008B" w:rsidP="00F83211">
            <w:pPr>
              <w:pStyle w:val="COMPara"/>
              <w:numPr>
                <w:ilvl w:val="0"/>
                <w:numId w:val="0"/>
              </w:numPr>
            </w:pPr>
            <w:r w:rsidRPr="00746132">
              <w:t xml:space="preserve">15h30 </w:t>
            </w:r>
            <w:r w:rsidR="0082402A" w:rsidRPr="00746132">
              <w:t xml:space="preserve">– </w:t>
            </w:r>
            <w:r w:rsidRPr="00746132">
              <w:t xml:space="preserve">15h40 </w:t>
            </w:r>
          </w:p>
        </w:tc>
        <w:tc>
          <w:tcPr>
            <w:tcW w:w="6936" w:type="dxa"/>
            <w:shd w:val="clear" w:color="auto" w:fill="F2F2F2" w:themeFill="background1" w:themeFillShade="F2"/>
          </w:tcPr>
          <w:p w14:paraId="4B311CC2" w14:textId="4680644E" w:rsidR="0082402A" w:rsidRPr="00746132" w:rsidRDefault="0082402A" w:rsidP="00F83211">
            <w:pPr>
              <w:pStyle w:val="COMPara"/>
              <w:numPr>
                <w:ilvl w:val="0"/>
                <w:numId w:val="0"/>
              </w:numPr>
              <w:jc w:val="both"/>
            </w:pPr>
            <w:r w:rsidRPr="00746132">
              <w:t xml:space="preserve">Pause </w:t>
            </w:r>
          </w:p>
        </w:tc>
      </w:tr>
      <w:tr w:rsidR="0082402A" w:rsidRPr="00746132" w14:paraId="5F69E8D5" w14:textId="77777777" w:rsidTr="003A2826">
        <w:tc>
          <w:tcPr>
            <w:tcW w:w="2689" w:type="dxa"/>
          </w:tcPr>
          <w:p w14:paraId="5F914460" w14:textId="759C4967" w:rsidR="0082402A" w:rsidRPr="00746132" w:rsidRDefault="000A008B" w:rsidP="00F83211">
            <w:pPr>
              <w:pStyle w:val="COMPara"/>
              <w:numPr>
                <w:ilvl w:val="0"/>
                <w:numId w:val="0"/>
              </w:numPr>
            </w:pPr>
            <w:r w:rsidRPr="00746132">
              <w:t xml:space="preserve">15h40 </w:t>
            </w:r>
            <w:r w:rsidR="0082402A" w:rsidRPr="00746132">
              <w:t xml:space="preserve">– </w:t>
            </w:r>
            <w:r w:rsidRPr="00746132">
              <w:t>16h10</w:t>
            </w:r>
          </w:p>
        </w:tc>
        <w:tc>
          <w:tcPr>
            <w:tcW w:w="6936" w:type="dxa"/>
          </w:tcPr>
          <w:p w14:paraId="62F8FD26" w14:textId="77777777" w:rsidR="0082402A" w:rsidRPr="00746132" w:rsidRDefault="0082402A" w:rsidP="00F83211">
            <w:pPr>
              <w:spacing w:after="120" w:line="280" w:lineRule="atLeast"/>
              <w:jc w:val="both"/>
              <w:rPr>
                <w:rFonts w:ascii="Arial" w:hAnsi="Arial" w:cs="Arial"/>
                <w:b/>
                <w:bCs/>
                <w:snapToGrid w:val="0"/>
                <w:sz w:val="22"/>
                <w:szCs w:val="22"/>
                <w:lang w:eastAsia="en-US"/>
              </w:rPr>
            </w:pPr>
            <w:r w:rsidRPr="00746132">
              <w:rPr>
                <w:rFonts w:ascii="Arial" w:hAnsi="Arial" w:cs="Arial"/>
                <w:b/>
                <w:bCs/>
                <w:snapToGrid w:val="0"/>
                <w:sz w:val="22"/>
                <w:szCs w:val="22"/>
                <w:lang w:eastAsia="en-US"/>
              </w:rPr>
              <w:t>Point 4</w:t>
            </w:r>
          </w:p>
          <w:p w14:paraId="051498B0" w14:textId="07B8E2B7" w:rsidR="0082402A" w:rsidRPr="00746132" w:rsidRDefault="0082402A" w:rsidP="00123C13">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 xml:space="preserve">Unité 64 : Intégration de la réduction des risques de catastrophe dans </w:t>
            </w:r>
            <w:r w:rsidR="00123C13" w:rsidRPr="00746132">
              <w:rPr>
                <w:rFonts w:ascii="Arial" w:hAnsi="Arial" w:cs="Arial"/>
                <w:snapToGrid w:val="0"/>
                <w:sz w:val="22"/>
                <w:szCs w:val="22"/>
                <w:lang w:val="fr-FR" w:eastAsia="en-US"/>
              </w:rPr>
              <w:t xml:space="preserve">les inventaires du patrimoine culturel immatériel, par Chris Ballard </w:t>
            </w:r>
          </w:p>
          <w:p w14:paraId="02325169" w14:textId="77777777" w:rsidR="0082402A" w:rsidRPr="00746132" w:rsidRDefault="0082402A" w:rsidP="00F83211">
            <w:pPr>
              <w:numPr>
                <w:ilvl w:val="0"/>
                <w:numId w:val="14"/>
              </w:numPr>
              <w:spacing w:after="120"/>
            </w:pPr>
            <w:r w:rsidRPr="00746132">
              <w:rPr>
                <w:rFonts w:ascii="Arial" w:hAnsi="Arial" w:cs="Arial"/>
                <w:snapToGrid w:val="0"/>
                <w:sz w:val="22"/>
                <w:szCs w:val="22"/>
                <w:lang w:val="en-GB" w:eastAsia="en-US"/>
              </w:rPr>
              <w:t xml:space="preserve">Introduction à </w:t>
            </w:r>
            <w:proofErr w:type="spellStart"/>
            <w:r w:rsidRPr="00746132">
              <w:rPr>
                <w:rFonts w:ascii="Arial" w:hAnsi="Arial" w:cs="Arial"/>
                <w:snapToGrid w:val="0"/>
                <w:sz w:val="22"/>
                <w:szCs w:val="22"/>
                <w:lang w:val="en-GB" w:eastAsia="en-US"/>
              </w:rPr>
              <w:t>l’Unité</w:t>
            </w:r>
            <w:proofErr w:type="spellEnd"/>
            <w:r w:rsidRPr="00746132">
              <w:rPr>
                <w:rFonts w:ascii="Arial" w:hAnsi="Arial" w:cs="Arial"/>
                <w:snapToGrid w:val="0"/>
                <w:sz w:val="22"/>
                <w:szCs w:val="22"/>
                <w:lang w:val="en-GB" w:eastAsia="en-US"/>
              </w:rPr>
              <w:t xml:space="preserve"> 64</w:t>
            </w:r>
          </w:p>
        </w:tc>
      </w:tr>
      <w:tr w:rsidR="0082402A" w:rsidRPr="00746132" w14:paraId="3F5B2A18" w14:textId="77777777" w:rsidTr="003A2826">
        <w:tc>
          <w:tcPr>
            <w:tcW w:w="2689" w:type="dxa"/>
          </w:tcPr>
          <w:p w14:paraId="7D161C5A" w14:textId="73F6EC50" w:rsidR="0082402A" w:rsidRPr="00746132" w:rsidRDefault="000A008B" w:rsidP="00F83211">
            <w:pPr>
              <w:pStyle w:val="COMPara"/>
              <w:numPr>
                <w:ilvl w:val="0"/>
                <w:numId w:val="0"/>
              </w:numPr>
            </w:pPr>
            <w:r w:rsidRPr="00746132">
              <w:t xml:space="preserve">16h10 </w:t>
            </w:r>
            <w:r w:rsidR="0082402A" w:rsidRPr="00746132">
              <w:t xml:space="preserve">– 16h50 </w:t>
            </w:r>
          </w:p>
        </w:tc>
        <w:tc>
          <w:tcPr>
            <w:tcW w:w="6936" w:type="dxa"/>
          </w:tcPr>
          <w:p w14:paraId="544AABE5" w14:textId="40186400" w:rsidR="0082402A" w:rsidRPr="00746132" w:rsidRDefault="0082402A" w:rsidP="00F83211">
            <w:pPr>
              <w:pStyle w:val="NormalWeb"/>
              <w:spacing w:before="0" w:beforeAutospacing="0" w:after="120" w:afterAutospacing="0"/>
              <w:rPr>
                <w:rFonts w:ascii="Arial" w:hAnsi="Arial" w:cs="Arial"/>
                <w:snapToGrid w:val="0"/>
                <w:sz w:val="22"/>
                <w:szCs w:val="22"/>
                <w:lang w:val="fr-FR" w:eastAsia="en-US"/>
              </w:rPr>
            </w:pPr>
            <w:r w:rsidRPr="00746132">
              <w:rPr>
                <w:rFonts w:ascii="Arial" w:hAnsi="Arial" w:cs="Arial"/>
                <w:snapToGrid w:val="0"/>
                <w:sz w:val="22"/>
                <w:szCs w:val="22"/>
                <w:lang w:val="fr-FR" w:eastAsia="en-US"/>
              </w:rPr>
              <w:t>Discussion</w:t>
            </w:r>
            <w:r w:rsidR="00123C13" w:rsidRPr="00746132">
              <w:rPr>
                <w:rFonts w:ascii="Arial" w:hAnsi="Arial" w:cs="Arial"/>
                <w:snapToGrid w:val="0"/>
                <w:sz w:val="22"/>
                <w:szCs w:val="22"/>
                <w:lang w:val="fr-FR" w:eastAsia="en-US"/>
              </w:rPr>
              <w:t xml:space="preserve"> modérée par Andrea Richards</w:t>
            </w:r>
          </w:p>
          <w:p w14:paraId="4FB14C21" w14:textId="170B49CD" w:rsidR="0082402A" w:rsidRPr="00746132" w:rsidRDefault="0082402A"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Partage d’expériences des facilitateurs</w:t>
            </w:r>
            <w:r w:rsidR="00123C13" w:rsidRPr="00746132">
              <w:rPr>
                <w:rFonts w:ascii="Arial" w:hAnsi="Arial" w:cs="Arial"/>
                <w:snapToGrid w:val="0"/>
                <w:sz w:val="22"/>
                <w:szCs w:val="22"/>
                <w:lang w:eastAsia="en-US"/>
              </w:rPr>
              <w:t xml:space="preserve"> participants</w:t>
            </w:r>
          </w:p>
          <w:p w14:paraId="5FC262F5" w14:textId="77777777" w:rsidR="0082402A" w:rsidRPr="00746132" w:rsidRDefault="0082402A" w:rsidP="00F83211">
            <w:pPr>
              <w:numPr>
                <w:ilvl w:val="0"/>
                <w:numId w:val="14"/>
              </w:numPr>
              <w:spacing w:after="120"/>
              <w:rPr>
                <w:rFonts w:ascii="Arial" w:hAnsi="Arial" w:cs="Arial"/>
                <w:snapToGrid w:val="0"/>
                <w:sz w:val="22"/>
                <w:szCs w:val="22"/>
                <w:lang w:eastAsia="en-US"/>
              </w:rPr>
            </w:pPr>
            <w:r w:rsidRPr="00746132">
              <w:rPr>
                <w:rFonts w:ascii="Arial" w:hAnsi="Arial" w:cs="Arial"/>
                <w:snapToGrid w:val="0"/>
                <w:sz w:val="22"/>
                <w:szCs w:val="22"/>
                <w:lang w:eastAsia="en-US"/>
              </w:rPr>
              <w:t>Potentiels défis auxquels les facilitateurs peuvent être confrontés</w:t>
            </w:r>
          </w:p>
        </w:tc>
      </w:tr>
      <w:tr w:rsidR="0082402A" w:rsidRPr="00F83B7E" w14:paraId="4CB6C75A" w14:textId="77777777" w:rsidTr="003A2826">
        <w:tc>
          <w:tcPr>
            <w:tcW w:w="2689" w:type="dxa"/>
          </w:tcPr>
          <w:p w14:paraId="276AB370" w14:textId="62D4B990" w:rsidR="0082402A" w:rsidRPr="00746132" w:rsidRDefault="0082402A" w:rsidP="00F83211">
            <w:pPr>
              <w:pStyle w:val="COMPara"/>
              <w:numPr>
                <w:ilvl w:val="0"/>
                <w:numId w:val="0"/>
              </w:numPr>
            </w:pPr>
            <w:r w:rsidRPr="00746132">
              <w:t xml:space="preserve">16h50 – 17h </w:t>
            </w:r>
          </w:p>
        </w:tc>
        <w:tc>
          <w:tcPr>
            <w:tcW w:w="6936" w:type="dxa"/>
          </w:tcPr>
          <w:p w14:paraId="43728590" w14:textId="77777777" w:rsidR="0082402A" w:rsidRPr="00746132" w:rsidRDefault="0082402A" w:rsidP="00F83211">
            <w:pPr>
              <w:spacing w:after="120" w:line="280" w:lineRule="atLeast"/>
              <w:jc w:val="both"/>
              <w:rPr>
                <w:rFonts w:ascii="Arial" w:hAnsi="Arial" w:cs="Arial"/>
                <w:b/>
                <w:bCs/>
                <w:snapToGrid w:val="0"/>
                <w:sz w:val="22"/>
                <w:szCs w:val="22"/>
                <w:lang w:val="en-GB" w:eastAsia="en-US"/>
              </w:rPr>
            </w:pPr>
            <w:r w:rsidRPr="00746132">
              <w:rPr>
                <w:rFonts w:ascii="Arial" w:hAnsi="Arial" w:cs="Arial"/>
                <w:b/>
                <w:bCs/>
                <w:snapToGrid w:val="0"/>
                <w:sz w:val="22"/>
                <w:szCs w:val="22"/>
                <w:lang w:val="en-GB" w:eastAsia="en-US"/>
              </w:rPr>
              <w:t>Point 5</w:t>
            </w:r>
          </w:p>
          <w:p w14:paraId="1B7AAFCB" w14:textId="77777777" w:rsidR="0082402A" w:rsidRPr="00786E25" w:rsidRDefault="0082402A" w:rsidP="00F83211">
            <w:pPr>
              <w:spacing w:after="120" w:line="280" w:lineRule="atLeast"/>
              <w:jc w:val="both"/>
              <w:rPr>
                <w:rFonts w:ascii="Arial" w:hAnsi="Arial" w:cs="Arial"/>
                <w:snapToGrid w:val="0"/>
                <w:sz w:val="22"/>
                <w:szCs w:val="22"/>
                <w:lang w:val="en-GB" w:eastAsia="en-US"/>
              </w:rPr>
            </w:pPr>
            <w:r w:rsidRPr="00746132">
              <w:rPr>
                <w:rFonts w:ascii="Arial" w:hAnsi="Arial" w:cs="Arial"/>
                <w:snapToGrid w:val="0"/>
                <w:sz w:val="22"/>
                <w:szCs w:val="22"/>
                <w:lang w:val="en-GB" w:eastAsia="en-US"/>
              </w:rPr>
              <w:t xml:space="preserve">Résumé et </w:t>
            </w:r>
            <w:proofErr w:type="spellStart"/>
            <w:r w:rsidRPr="00746132">
              <w:rPr>
                <w:rFonts w:ascii="Arial" w:hAnsi="Arial" w:cs="Arial"/>
                <w:snapToGrid w:val="0"/>
                <w:sz w:val="22"/>
                <w:szCs w:val="22"/>
                <w:lang w:val="en-GB" w:eastAsia="en-US"/>
              </w:rPr>
              <w:t>clôture</w:t>
            </w:r>
            <w:proofErr w:type="spellEnd"/>
          </w:p>
        </w:tc>
      </w:tr>
    </w:tbl>
    <w:p w14:paraId="08CBFC64" w14:textId="77777777" w:rsidR="00C12190" w:rsidRPr="00E019FC" w:rsidRDefault="00C12190" w:rsidP="00B51431">
      <w:pPr>
        <w:pStyle w:val="COMPara"/>
        <w:numPr>
          <w:ilvl w:val="0"/>
          <w:numId w:val="0"/>
        </w:numPr>
        <w:jc w:val="both"/>
      </w:pPr>
    </w:p>
    <w:sectPr w:rsidR="00C12190" w:rsidRPr="00E019FC"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E677" w14:textId="77777777" w:rsidR="003B7522" w:rsidRDefault="003B7522" w:rsidP="00655736">
      <w:r>
        <w:separator/>
      </w:r>
    </w:p>
  </w:endnote>
  <w:endnote w:type="continuationSeparator" w:id="0">
    <w:p w14:paraId="58A2B457" w14:textId="77777777" w:rsidR="003B7522" w:rsidRDefault="003B752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3322" w14:textId="77777777" w:rsidR="003B7522" w:rsidRDefault="003B7522" w:rsidP="00655736">
      <w:r>
        <w:separator/>
      </w:r>
    </w:p>
  </w:footnote>
  <w:footnote w:type="continuationSeparator" w:id="0">
    <w:p w14:paraId="150646F0" w14:textId="77777777" w:rsidR="003B7522" w:rsidRDefault="003B752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5B00F94B" w:rsidR="00D95C4C" w:rsidRPr="00455314" w:rsidRDefault="00C5776D" w:rsidP="00C5776D">
    <w:pPr>
      <w:pStyle w:val="Header"/>
      <w:rPr>
        <w:rFonts w:ascii="Arial" w:hAnsi="Arial" w:cs="Arial"/>
        <w:lang w:val="es-ES"/>
      </w:rPr>
    </w:pPr>
    <w:r w:rsidRPr="00455314">
      <w:rPr>
        <w:rFonts w:ascii="Arial" w:hAnsi="Arial" w:cs="Arial"/>
        <w:sz w:val="20"/>
        <w:szCs w:val="20"/>
        <w:lang w:val="es-ES"/>
      </w:rPr>
      <w:t>L</w:t>
    </w:r>
    <w:r w:rsidR="00CB0542" w:rsidRPr="00455314">
      <w:rPr>
        <w:rFonts w:ascii="Arial" w:hAnsi="Arial" w:cs="Arial"/>
        <w:sz w:val="20"/>
        <w:szCs w:val="20"/>
        <w:lang w:val="es-ES"/>
      </w:rPr>
      <w:t>H</w:t>
    </w:r>
    <w:r w:rsidRPr="00455314">
      <w:rPr>
        <w:rFonts w:ascii="Arial" w:hAnsi="Arial" w:cs="Arial"/>
        <w:sz w:val="20"/>
        <w:szCs w:val="20"/>
        <w:lang w:val="es-ES"/>
      </w:rPr>
      <w:t>E</w:t>
    </w:r>
    <w:r w:rsidR="00CB0542" w:rsidRPr="00455314">
      <w:rPr>
        <w:rFonts w:ascii="Arial" w:hAnsi="Arial" w:cs="Arial"/>
        <w:sz w:val="20"/>
        <w:szCs w:val="20"/>
        <w:lang w:val="es-ES"/>
      </w:rPr>
      <w:t>/</w:t>
    </w:r>
    <w:r w:rsidR="00D7105A" w:rsidRPr="00455314">
      <w:rPr>
        <w:rFonts w:ascii="Arial" w:hAnsi="Arial" w:cs="Arial"/>
        <w:sz w:val="20"/>
        <w:szCs w:val="20"/>
        <w:lang w:val="es-ES"/>
      </w:rPr>
      <w:t>2</w:t>
    </w:r>
    <w:r w:rsidR="00174D0C">
      <w:rPr>
        <w:rFonts w:ascii="Arial" w:hAnsi="Arial" w:cs="Arial"/>
        <w:sz w:val="20"/>
        <w:szCs w:val="20"/>
        <w:lang w:val="es-ES"/>
      </w:rPr>
      <w:t>5</w:t>
    </w:r>
    <w:r w:rsidR="00CB0542" w:rsidRPr="00455314">
      <w:rPr>
        <w:rFonts w:ascii="Arial" w:hAnsi="Arial" w:cs="Arial"/>
        <w:sz w:val="20"/>
        <w:szCs w:val="20"/>
        <w:lang w:val="es-ES"/>
      </w:rPr>
      <w:t>/</w:t>
    </w:r>
    <w:r w:rsidR="007D19F4">
      <w:rPr>
        <w:rFonts w:ascii="Arial" w:hAnsi="Arial" w:cs="Arial"/>
        <w:sz w:val="20"/>
        <w:szCs w:val="20"/>
        <w:lang w:val="es-ES"/>
      </w:rPr>
      <w:t xml:space="preserve">TRA </w:t>
    </w:r>
    <w:r w:rsidR="0015117E">
      <w:rPr>
        <w:rFonts w:ascii="Arial" w:hAnsi="Arial" w:cs="Arial"/>
        <w:sz w:val="20"/>
        <w:szCs w:val="20"/>
        <w:lang w:val="es-ES"/>
      </w:rPr>
      <w:t>DRR</w:t>
    </w:r>
    <w:r w:rsidR="004E1760" w:rsidRPr="00455314">
      <w:rPr>
        <w:rFonts w:ascii="Arial" w:hAnsi="Arial" w:cs="Arial"/>
        <w:sz w:val="20"/>
        <w:szCs w:val="20"/>
        <w:lang w:val="es-ES"/>
      </w:rPr>
      <w:t>/</w:t>
    </w:r>
    <w:r w:rsidR="00900DAC">
      <w:rPr>
        <w:rFonts w:ascii="Arial" w:hAnsi="Arial" w:cs="Arial"/>
        <w:sz w:val="20"/>
        <w:szCs w:val="20"/>
        <w:lang w:val="es-ES"/>
      </w:rPr>
      <w:t>2</w:t>
    </w:r>
    <w:r w:rsidR="00900DAC" w:rsidRPr="00455314">
      <w:rPr>
        <w:rFonts w:ascii="Arial" w:hAnsi="Arial" w:cs="Arial"/>
        <w:sz w:val="20"/>
        <w:szCs w:val="20"/>
        <w:lang w:val="es-ES"/>
      </w:rPr>
      <w:t xml:space="preserve"> </w:t>
    </w:r>
    <w:r w:rsidR="00D95C4C" w:rsidRPr="00455314">
      <w:rPr>
        <w:rFonts w:ascii="Arial" w:hAnsi="Arial" w:cs="Arial"/>
        <w:sz w:val="20"/>
        <w:szCs w:val="20"/>
        <w:lang w:val="es-ES"/>
      </w:rPr>
      <w:t xml:space="preserve">– page </w:t>
    </w:r>
    <w:r w:rsidR="00D95C4C" w:rsidRPr="00C23A97">
      <w:rPr>
        <w:rStyle w:val="PageNumber"/>
        <w:rFonts w:ascii="Arial" w:hAnsi="Arial" w:cs="Arial"/>
        <w:sz w:val="20"/>
        <w:szCs w:val="20"/>
        <w:lang w:val="en-GB"/>
      </w:rPr>
      <w:fldChar w:fldCharType="begin"/>
    </w:r>
    <w:r w:rsidR="00D95C4C" w:rsidRPr="00455314">
      <w:rPr>
        <w:rStyle w:val="PageNumber"/>
        <w:rFonts w:ascii="Arial" w:hAnsi="Arial" w:cs="Arial"/>
        <w:sz w:val="20"/>
        <w:szCs w:val="20"/>
        <w:lang w:val="es-ES"/>
      </w:rPr>
      <w:instrText xml:space="preserve"> PAGE </w:instrText>
    </w:r>
    <w:r w:rsidR="00D95C4C" w:rsidRPr="00C23A97">
      <w:rPr>
        <w:rStyle w:val="PageNumber"/>
        <w:rFonts w:ascii="Arial" w:hAnsi="Arial" w:cs="Arial"/>
        <w:sz w:val="20"/>
        <w:szCs w:val="20"/>
        <w:lang w:val="en-GB"/>
      </w:rPr>
      <w:fldChar w:fldCharType="separate"/>
    </w:r>
    <w:r w:rsidR="006E75EB" w:rsidRPr="00455314">
      <w:rPr>
        <w:rStyle w:val="PageNumber"/>
        <w:rFonts w:ascii="Arial" w:hAnsi="Arial" w:cs="Arial"/>
        <w:noProof/>
        <w:sz w:val="20"/>
        <w:szCs w:val="20"/>
        <w:lang w:val="es-ES"/>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785A3F18" w:rsidR="00D95C4C" w:rsidRPr="00EE5D7D" w:rsidRDefault="00EE5D7D" w:rsidP="00EE5D7D">
    <w:pPr>
      <w:pStyle w:val="Header"/>
      <w:jc w:val="right"/>
      <w:rPr>
        <w:rFonts w:ascii="Arial" w:hAnsi="Arial" w:cs="Arial"/>
        <w:lang w:val="es-ES"/>
      </w:rPr>
    </w:pPr>
    <w:r w:rsidRPr="00455314">
      <w:rPr>
        <w:rFonts w:ascii="Arial" w:hAnsi="Arial" w:cs="Arial"/>
        <w:sz w:val="20"/>
        <w:szCs w:val="20"/>
        <w:lang w:val="es-ES"/>
      </w:rPr>
      <w:t>LHE/2</w:t>
    </w:r>
    <w:r w:rsidR="00174D0C">
      <w:rPr>
        <w:rFonts w:ascii="Arial" w:hAnsi="Arial" w:cs="Arial"/>
        <w:sz w:val="20"/>
        <w:szCs w:val="20"/>
        <w:lang w:val="es-ES"/>
      </w:rPr>
      <w:t>5</w:t>
    </w:r>
    <w:r w:rsidRPr="00455314">
      <w:rPr>
        <w:rFonts w:ascii="Arial" w:hAnsi="Arial" w:cs="Arial"/>
        <w:sz w:val="20"/>
        <w:szCs w:val="20"/>
        <w:lang w:val="es-ES"/>
      </w:rPr>
      <w:t>/</w:t>
    </w:r>
    <w:r w:rsidR="007D19F4">
      <w:rPr>
        <w:rFonts w:ascii="Arial" w:hAnsi="Arial" w:cs="Arial"/>
        <w:sz w:val="20"/>
        <w:szCs w:val="20"/>
        <w:lang w:val="es-ES"/>
      </w:rPr>
      <w:t xml:space="preserve">TRA </w:t>
    </w:r>
    <w:r w:rsidR="005777E8">
      <w:rPr>
        <w:rFonts w:ascii="Arial" w:hAnsi="Arial" w:cs="Arial"/>
        <w:sz w:val="20"/>
        <w:szCs w:val="20"/>
        <w:lang w:val="es-ES"/>
      </w:rPr>
      <w:t>DRR</w:t>
    </w:r>
    <w:r w:rsidRPr="00455314">
      <w:rPr>
        <w:rFonts w:ascii="Arial" w:hAnsi="Arial" w:cs="Arial"/>
        <w:sz w:val="20"/>
        <w:szCs w:val="20"/>
        <w:lang w:val="es-ES"/>
      </w:rPr>
      <w:t>/</w:t>
    </w:r>
    <w:r w:rsidR="00900DAC">
      <w:rPr>
        <w:rFonts w:ascii="Arial" w:hAnsi="Arial" w:cs="Arial"/>
        <w:sz w:val="20"/>
        <w:szCs w:val="20"/>
        <w:lang w:val="es-ES"/>
      </w:rPr>
      <w:t>2</w:t>
    </w:r>
    <w:r w:rsidRPr="00455314">
      <w:rPr>
        <w:rFonts w:ascii="Arial" w:hAnsi="Arial" w:cs="Arial"/>
        <w:sz w:val="20"/>
        <w:szCs w:val="20"/>
        <w:lang w:val="es-ES"/>
      </w:rPr>
      <w:t xml:space="preserve">– page </w:t>
    </w:r>
    <w:r w:rsidRPr="00C23A97">
      <w:rPr>
        <w:rStyle w:val="PageNumber"/>
        <w:rFonts w:ascii="Arial" w:hAnsi="Arial" w:cs="Arial"/>
        <w:sz w:val="20"/>
        <w:szCs w:val="20"/>
        <w:lang w:val="en-GB"/>
      </w:rPr>
      <w:fldChar w:fldCharType="begin"/>
    </w:r>
    <w:r w:rsidRPr="00455314">
      <w:rPr>
        <w:rStyle w:val="PageNumber"/>
        <w:rFonts w:ascii="Arial" w:hAnsi="Arial" w:cs="Arial"/>
        <w:sz w:val="20"/>
        <w:szCs w:val="20"/>
        <w:lang w:val="es-ES"/>
      </w:rPr>
      <w:instrText xml:space="preserve"> PAGE </w:instrText>
    </w:r>
    <w:r w:rsidRPr="00C23A97">
      <w:rPr>
        <w:rStyle w:val="PageNumber"/>
        <w:rFonts w:ascii="Arial" w:hAnsi="Arial" w:cs="Arial"/>
        <w:sz w:val="20"/>
        <w:szCs w:val="20"/>
        <w:lang w:val="en-GB"/>
      </w:rPr>
      <w:fldChar w:fldCharType="separate"/>
    </w:r>
    <w:r w:rsidRPr="00EE5D7D">
      <w:rPr>
        <w:rStyle w:val="PageNumber"/>
        <w:rFonts w:ascii="Arial" w:hAnsi="Arial" w:cs="Arial"/>
        <w:sz w:val="20"/>
        <w:szCs w:val="20"/>
        <w:lang w:val="es-ES"/>
      </w:rPr>
      <w:t>2</w:t>
    </w:r>
    <w:r w:rsidRPr="00C23A97">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07E8A6BC" w:rsidR="00D95C4C" w:rsidRPr="00E95AE2" w:rsidRDefault="00F83B7E">
    <w:pPr>
      <w:pStyle w:val="Header"/>
      <w:rPr>
        <w:sz w:val="22"/>
        <w:szCs w:val="22"/>
        <w:lang w:val="en-GB"/>
      </w:rPr>
    </w:pPr>
    <w:r>
      <w:rPr>
        <w:noProof/>
      </w:rPr>
      <w:drawing>
        <wp:anchor distT="0" distB="0" distL="114300" distR="114300" simplePos="0" relativeHeight="251659264" behindDoc="0" locked="0" layoutInCell="1" allowOverlap="1" wp14:anchorId="0351423B" wp14:editId="0B6C53B3">
          <wp:simplePos x="0" y="0"/>
          <wp:positionH relativeFrom="margin">
            <wp:posOffset>0</wp:posOffset>
          </wp:positionH>
          <wp:positionV relativeFrom="paragraph">
            <wp:posOffset>156845</wp:posOffset>
          </wp:positionV>
          <wp:extent cx="1543050" cy="1296035"/>
          <wp:effectExtent l="0" t="0" r="0" b="0"/>
          <wp:wrapSquare wrapText="bothSides"/>
          <wp:docPr id="1"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305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395A4A1" w:rsidR="004E1760" w:rsidRPr="00D7105A" w:rsidRDefault="007D19F4" w:rsidP="004E1760">
    <w:pPr>
      <w:pStyle w:val="Header"/>
      <w:spacing w:after="520"/>
      <w:jc w:val="right"/>
      <w:rPr>
        <w:rFonts w:ascii="Arial" w:hAnsi="Arial" w:cs="Arial"/>
        <w:b/>
        <w:sz w:val="44"/>
        <w:szCs w:val="44"/>
        <w:lang w:val="pt-PT"/>
      </w:rPr>
    </w:pPr>
    <w:r>
      <w:rPr>
        <w:rFonts w:ascii="Arial" w:hAnsi="Arial" w:cs="Arial"/>
        <w:b/>
        <w:sz w:val="44"/>
        <w:szCs w:val="44"/>
        <w:lang w:val="pt-PT"/>
      </w:rPr>
      <w:t xml:space="preserve">TRA </w:t>
    </w:r>
    <w:r w:rsidR="0015117E">
      <w:rPr>
        <w:rFonts w:ascii="Arial" w:hAnsi="Arial" w:cs="Arial"/>
        <w:b/>
        <w:sz w:val="44"/>
        <w:szCs w:val="44"/>
        <w:lang w:val="pt-PT"/>
      </w:rPr>
      <w:t>DRR</w:t>
    </w:r>
  </w:p>
  <w:p w14:paraId="6D1B3489" w14:textId="2ED998E5"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174D0C">
      <w:rPr>
        <w:rFonts w:ascii="Arial" w:hAnsi="Arial" w:cs="Arial"/>
        <w:b/>
        <w:sz w:val="22"/>
        <w:szCs w:val="22"/>
        <w:lang w:val="pt-PT"/>
      </w:rPr>
      <w:t>5</w:t>
    </w:r>
    <w:r w:rsidRPr="00D7105A">
      <w:rPr>
        <w:rFonts w:ascii="Arial" w:hAnsi="Arial" w:cs="Arial"/>
        <w:b/>
        <w:sz w:val="22"/>
        <w:szCs w:val="22"/>
        <w:lang w:val="pt-PT"/>
      </w:rPr>
      <w:t>/</w:t>
    </w:r>
    <w:bookmarkStart w:id="1" w:name="_Hlk94624970"/>
    <w:r w:rsidR="007D19F4">
      <w:rPr>
        <w:rFonts w:ascii="Arial" w:hAnsi="Arial" w:cs="Arial"/>
        <w:b/>
        <w:sz w:val="22"/>
        <w:szCs w:val="22"/>
        <w:lang w:val="pt-PT"/>
      </w:rPr>
      <w:t xml:space="preserve">TRA </w:t>
    </w:r>
    <w:r w:rsidR="0015117E">
      <w:rPr>
        <w:rFonts w:ascii="Arial" w:hAnsi="Arial" w:cs="Arial"/>
        <w:b/>
        <w:sz w:val="22"/>
        <w:szCs w:val="22"/>
        <w:lang w:val="pt-PT"/>
      </w:rPr>
      <w:t>DRR</w:t>
    </w:r>
    <w:r w:rsidRPr="00D7105A">
      <w:rPr>
        <w:rFonts w:ascii="Arial" w:hAnsi="Arial" w:cs="Arial"/>
        <w:b/>
        <w:sz w:val="22"/>
        <w:szCs w:val="22"/>
        <w:lang w:val="pt-PT"/>
      </w:rPr>
      <w:t>/</w:t>
    </w:r>
    <w:r w:rsidR="001C557B">
      <w:rPr>
        <w:rFonts w:ascii="Arial" w:hAnsi="Arial" w:cs="Arial"/>
        <w:b/>
        <w:sz w:val="22"/>
        <w:szCs w:val="22"/>
        <w:lang w:val="pt-PT"/>
      </w:rPr>
      <w:t>2</w:t>
    </w:r>
  </w:p>
  <w:bookmarkEnd w:id="1"/>
  <w:p w14:paraId="1B4446C3" w14:textId="0445FF98" w:rsidR="00D95C4C" w:rsidRPr="00900DAC" w:rsidRDefault="00D95C4C" w:rsidP="00655736">
    <w:pPr>
      <w:jc w:val="right"/>
      <w:rPr>
        <w:rFonts w:ascii="Arial" w:eastAsiaTheme="minorEastAsia" w:hAnsi="Arial" w:cs="Arial"/>
        <w:b/>
        <w:sz w:val="22"/>
        <w:szCs w:val="22"/>
        <w:lang w:eastAsia="ko-KR"/>
      </w:rPr>
    </w:pPr>
    <w:r w:rsidRPr="00900DAC">
      <w:rPr>
        <w:rFonts w:ascii="Arial" w:hAnsi="Arial" w:cs="Arial"/>
        <w:b/>
        <w:sz w:val="22"/>
        <w:szCs w:val="22"/>
      </w:rPr>
      <w:t xml:space="preserve">Paris, </w:t>
    </w:r>
    <w:r w:rsidR="0005371E" w:rsidRPr="00900DAC">
      <w:rPr>
        <w:rFonts w:ascii="Arial" w:hAnsi="Arial" w:cs="Arial"/>
        <w:b/>
        <w:sz w:val="22"/>
        <w:szCs w:val="22"/>
      </w:rPr>
      <w:t xml:space="preserve">le </w:t>
    </w:r>
    <w:r w:rsidR="00900DAC" w:rsidRPr="00E41E1E">
      <w:rPr>
        <w:rFonts w:ascii="Arial" w:hAnsi="Arial" w:cs="Arial"/>
        <w:b/>
        <w:sz w:val="22"/>
        <w:szCs w:val="22"/>
        <w:lang w:val="pt-PT"/>
      </w:rPr>
      <w:t>12</w:t>
    </w:r>
    <w:r w:rsidR="00900DAC" w:rsidRPr="00E41E1E">
      <w:rPr>
        <w:rFonts w:ascii="Arial" w:hAnsi="Arial" w:cs="Arial"/>
        <w:b/>
        <w:sz w:val="22"/>
        <w:szCs w:val="22"/>
      </w:rPr>
      <w:t xml:space="preserve"> </w:t>
    </w:r>
    <w:r w:rsidR="00F83B7E" w:rsidRPr="00E41E1E">
      <w:rPr>
        <w:rFonts w:ascii="Arial" w:hAnsi="Arial" w:cs="Arial"/>
        <w:b/>
        <w:sz w:val="22"/>
        <w:szCs w:val="22"/>
      </w:rPr>
      <w:t>mars</w:t>
    </w:r>
    <w:r w:rsidR="00D858FC" w:rsidRPr="00E41E1E">
      <w:rPr>
        <w:rFonts w:ascii="Arial" w:hAnsi="Arial" w:cs="Arial"/>
        <w:b/>
        <w:sz w:val="22"/>
        <w:szCs w:val="22"/>
      </w:rPr>
      <w:t xml:space="preserve"> </w:t>
    </w:r>
    <w:r w:rsidR="00174D0C" w:rsidRPr="00E41E1E">
      <w:rPr>
        <w:rFonts w:ascii="Arial" w:hAnsi="Arial" w:cs="Arial"/>
        <w:b/>
        <w:sz w:val="22"/>
        <w:szCs w:val="22"/>
      </w:rPr>
      <w:t>2025</w:t>
    </w:r>
  </w:p>
  <w:p w14:paraId="255B57FF" w14:textId="46AA48D4" w:rsidR="00D95C4C" w:rsidRPr="003E4B3D" w:rsidRDefault="00D95C4C" w:rsidP="00962034">
    <w:pPr>
      <w:spacing w:after="120"/>
      <w:jc w:val="right"/>
      <w:rPr>
        <w:rFonts w:ascii="Arial" w:hAnsi="Arial" w:cs="Arial"/>
        <w:b/>
        <w:sz w:val="22"/>
        <w:szCs w:val="22"/>
      </w:rPr>
    </w:pPr>
    <w:r w:rsidRPr="003E4B3D">
      <w:rPr>
        <w:rFonts w:ascii="Arial" w:hAnsi="Arial" w:cs="Arial"/>
        <w:b/>
        <w:sz w:val="22"/>
        <w:szCs w:val="22"/>
      </w:rPr>
      <w:t>Original</w:t>
    </w:r>
    <w:r w:rsidR="0005371E">
      <w:rPr>
        <w:rFonts w:ascii="Arial" w:hAnsi="Arial" w:cs="Arial"/>
        <w:b/>
        <w:sz w:val="22"/>
        <w:szCs w:val="22"/>
      </w:rPr>
      <w:t xml:space="preserve"> </w:t>
    </w:r>
    <w:r w:rsidRPr="003E4B3D">
      <w:rPr>
        <w:rFonts w:ascii="Arial" w:hAnsi="Arial" w:cs="Arial"/>
        <w:b/>
        <w:sz w:val="22"/>
        <w:szCs w:val="22"/>
      </w:rPr>
      <w:t xml:space="preserve">: </w:t>
    </w:r>
    <w:r w:rsidR="00F83B7E" w:rsidRPr="003E4B3D">
      <w:rPr>
        <w:rFonts w:ascii="Arial" w:hAnsi="Arial" w:cs="Arial"/>
        <w:b/>
        <w:sz w:val="22"/>
        <w:szCs w:val="22"/>
      </w:rPr>
      <w:t>anglais</w:t>
    </w:r>
  </w:p>
  <w:p w14:paraId="3C4B8B1B" w14:textId="77777777" w:rsidR="00D95C4C" w:rsidRPr="003E4B3D" w:rsidRDefault="00D95C4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1D141C5"/>
    <w:multiLevelType w:val="multilevel"/>
    <w:tmpl w:val="E036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80C9D"/>
    <w:multiLevelType w:val="multilevel"/>
    <w:tmpl w:val="249E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E242FA"/>
    <w:multiLevelType w:val="multilevel"/>
    <w:tmpl w:val="8512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95C7B"/>
    <w:multiLevelType w:val="hybridMultilevel"/>
    <w:tmpl w:val="24FAD7C0"/>
    <w:lvl w:ilvl="0" w:tplc="58587B0E">
      <w:start w:val="7"/>
      <w:numFmt w:val="bullet"/>
      <w:lvlText w:val="-"/>
      <w:lvlJc w:val="left"/>
      <w:pPr>
        <w:ind w:left="1069" w:hanging="360"/>
      </w:pPr>
      <w:rPr>
        <w:rFonts w:ascii="Calibri" w:eastAsiaTheme="minorEastAsia"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5130" w:hanging="360"/>
      </w:pPr>
    </w:lvl>
    <w:lvl w:ilvl="1" w:tplc="040C0019">
      <w:start w:val="1"/>
      <w:numFmt w:val="lowerLetter"/>
      <w:lvlText w:val="%2."/>
      <w:lvlJc w:val="left"/>
      <w:pPr>
        <w:ind w:left="5850" w:hanging="360"/>
      </w:pPr>
    </w:lvl>
    <w:lvl w:ilvl="2" w:tplc="040C001B">
      <w:start w:val="1"/>
      <w:numFmt w:val="lowerRoman"/>
      <w:lvlText w:val="%3."/>
      <w:lvlJc w:val="right"/>
      <w:pPr>
        <w:ind w:left="6570" w:hanging="180"/>
      </w:pPr>
    </w:lvl>
    <w:lvl w:ilvl="3" w:tplc="040C000F">
      <w:start w:val="1"/>
      <w:numFmt w:val="decimal"/>
      <w:lvlText w:val="%4."/>
      <w:lvlJc w:val="left"/>
      <w:pPr>
        <w:ind w:left="7290" w:hanging="360"/>
      </w:pPr>
    </w:lvl>
    <w:lvl w:ilvl="4" w:tplc="040C0019" w:tentative="1">
      <w:start w:val="1"/>
      <w:numFmt w:val="lowerLetter"/>
      <w:lvlText w:val="%5."/>
      <w:lvlJc w:val="left"/>
      <w:pPr>
        <w:ind w:left="8010" w:hanging="360"/>
      </w:pPr>
    </w:lvl>
    <w:lvl w:ilvl="5" w:tplc="040C001B" w:tentative="1">
      <w:start w:val="1"/>
      <w:numFmt w:val="lowerRoman"/>
      <w:lvlText w:val="%6."/>
      <w:lvlJc w:val="right"/>
      <w:pPr>
        <w:ind w:left="8730" w:hanging="180"/>
      </w:pPr>
    </w:lvl>
    <w:lvl w:ilvl="6" w:tplc="040C000F" w:tentative="1">
      <w:start w:val="1"/>
      <w:numFmt w:val="decimal"/>
      <w:lvlText w:val="%7."/>
      <w:lvlJc w:val="left"/>
      <w:pPr>
        <w:ind w:left="9450" w:hanging="360"/>
      </w:pPr>
    </w:lvl>
    <w:lvl w:ilvl="7" w:tplc="040C0019" w:tentative="1">
      <w:start w:val="1"/>
      <w:numFmt w:val="lowerLetter"/>
      <w:lvlText w:val="%8."/>
      <w:lvlJc w:val="left"/>
      <w:pPr>
        <w:ind w:left="10170" w:hanging="360"/>
      </w:pPr>
    </w:lvl>
    <w:lvl w:ilvl="8" w:tplc="040C001B" w:tentative="1">
      <w:start w:val="1"/>
      <w:numFmt w:val="lowerRoman"/>
      <w:lvlText w:val="%9."/>
      <w:lvlJc w:val="right"/>
      <w:pPr>
        <w:ind w:left="1089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2" w15:restartNumberingAfterBreak="0">
    <w:nsid w:val="42852B38"/>
    <w:multiLevelType w:val="multilevel"/>
    <w:tmpl w:val="6C3C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E9E5552"/>
    <w:multiLevelType w:val="hybridMultilevel"/>
    <w:tmpl w:val="98E62F48"/>
    <w:lvl w:ilvl="0" w:tplc="714E3FF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459104A"/>
    <w:multiLevelType w:val="multilevel"/>
    <w:tmpl w:val="1A9AD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507109B"/>
    <w:multiLevelType w:val="multilevel"/>
    <w:tmpl w:val="890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EB0D43"/>
    <w:multiLevelType w:val="multilevel"/>
    <w:tmpl w:val="FB3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045980658">
    <w:abstractNumId w:val="16"/>
  </w:num>
  <w:num w:numId="2" w16cid:durableId="106117979">
    <w:abstractNumId w:val="8"/>
  </w:num>
  <w:num w:numId="3" w16cid:durableId="1708022341">
    <w:abstractNumId w:val="3"/>
  </w:num>
  <w:num w:numId="4" w16cid:durableId="1640528508">
    <w:abstractNumId w:val="20"/>
  </w:num>
  <w:num w:numId="5" w16cid:durableId="468011579">
    <w:abstractNumId w:val="18"/>
  </w:num>
  <w:num w:numId="6" w16cid:durableId="577862344">
    <w:abstractNumId w:val="0"/>
  </w:num>
  <w:num w:numId="7" w16cid:durableId="309292972">
    <w:abstractNumId w:val="4"/>
  </w:num>
  <w:num w:numId="8" w16cid:durableId="415399052">
    <w:abstractNumId w:val="13"/>
  </w:num>
  <w:num w:numId="9" w16cid:durableId="217087148">
    <w:abstractNumId w:val="7"/>
  </w:num>
  <w:num w:numId="10" w16cid:durableId="347945616">
    <w:abstractNumId w:val="9"/>
  </w:num>
  <w:num w:numId="11" w16cid:durableId="1867675660">
    <w:abstractNumId w:val="11"/>
  </w:num>
  <w:num w:numId="12" w16cid:durableId="1119109097">
    <w:abstractNumId w:val="10"/>
  </w:num>
  <w:num w:numId="13" w16cid:durableId="1445689247">
    <w:abstractNumId w:val="21"/>
  </w:num>
  <w:num w:numId="14" w16cid:durableId="1476558650">
    <w:abstractNumId w:val="6"/>
  </w:num>
  <w:num w:numId="15" w16cid:durableId="237789860">
    <w:abstractNumId w:val="7"/>
  </w:num>
  <w:num w:numId="16" w16cid:durableId="566500378">
    <w:abstractNumId w:val="7"/>
  </w:num>
  <w:num w:numId="17" w16cid:durableId="574701467">
    <w:abstractNumId w:val="7"/>
  </w:num>
  <w:num w:numId="18" w16cid:durableId="174735123">
    <w:abstractNumId w:val="7"/>
  </w:num>
  <w:num w:numId="19" w16cid:durableId="1161507841">
    <w:abstractNumId w:val="10"/>
  </w:num>
  <w:num w:numId="20" w16cid:durableId="173812351">
    <w:abstractNumId w:val="7"/>
  </w:num>
  <w:num w:numId="21" w16cid:durableId="1407220964">
    <w:abstractNumId w:val="7"/>
  </w:num>
  <w:num w:numId="22" w16cid:durableId="1893540131">
    <w:abstractNumId w:val="7"/>
  </w:num>
  <w:num w:numId="23" w16cid:durableId="325128723">
    <w:abstractNumId w:val="10"/>
  </w:num>
  <w:num w:numId="24" w16cid:durableId="1243487449">
    <w:abstractNumId w:val="10"/>
  </w:num>
  <w:num w:numId="25" w16cid:durableId="216859416">
    <w:abstractNumId w:val="7"/>
  </w:num>
  <w:num w:numId="26" w16cid:durableId="1138456050">
    <w:abstractNumId w:val="7"/>
  </w:num>
  <w:num w:numId="27" w16cid:durableId="1720981195">
    <w:abstractNumId w:val="10"/>
  </w:num>
  <w:num w:numId="28" w16cid:durableId="1722706079">
    <w:abstractNumId w:val="7"/>
  </w:num>
  <w:num w:numId="29" w16cid:durableId="2139446443">
    <w:abstractNumId w:val="7"/>
  </w:num>
  <w:num w:numId="30" w16cid:durableId="1344091233">
    <w:abstractNumId w:val="7"/>
  </w:num>
  <w:num w:numId="31" w16cid:durableId="529684715">
    <w:abstractNumId w:val="7"/>
  </w:num>
  <w:num w:numId="32" w16cid:durableId="735009965">
    <w:abstractNumId w:val="7"/>
  </w:num>
  <w:num w:numId="33" w16cid:durableId="395663436">
    <w:abstractNumId w:val="7"/>
  </w:num>
  <w:num w:numId="34" w16cid:durableId="487358064">
    <w:abstractNumId w:val="15"/>
  </w:num>
  <w:num w:numId="35" w16cid:durableId="496581449">
    <w:abstractNumId w:val="7"/>
  </w:num>
  <w:num w:numId="36" w16cid:durableId="1392928167">
    <w:abstractNumId w:val="7"/>
  </w:num>
  <w:num w:numId="37" w16cid:durableId="2105690044">
    <w:abstractNumId w:val="7"/>
  </w:num>
  <w:num w:numId="38" w16cid:durableId="1418866511">
    <w:abstractNumId w:val="5"/>
  </w:num>
  <w:num w:numId="39" w16cid:durableId="736054293">
    <w:abstractNumId w:val="19"/>
  </w:num>
  <w:num w:numId="40" w16cid:durableId="837813598">
    <w:abstractNumId w:val="1"/>
  </w:num>
  <w:num w:numId="41" w16cid:durableId="1786609460">
    <w:abstractNumId w:val="12"/>
  </w:num>
  <w:num w:numId="42" w16cid:durableId="792400851">
    <w:abstractNumId w:val="2"/>
  </w:num>
  <w:num w:numId="43" w16cid:durableId="720715791">
    <w:abstractNumId w:val="17"/>
  </w:num>
  <w:num w:numId="44" w16cid:durableId="137914949">
    <w:abstractNumId w:val="7"/>
  </w:num>
  <w:num w:numId="45" w16cid:durableId="1689986476">
    <w:abstractNumId w:val="7"/>
  </w:num>
  <w:num w:numId="46" w16cid:durableId="1838762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449"/>
    <w:rsid w:val="000048BD"/>
    <w:rsid w:val="000048ED"/>
    <w:rsid w:val="0000720D"/>
    <w:rsid w:val="00014915"/>
    <w:rsid w:val="00041A66"/>
    <w:rsid w:val="00042D88"/>
    <w:rsid w:val="0004329D"/>
    <w:rsid w:val="0005176E"/>
    <w:rsid w:val="0005371E"/>
    <w:rsid w:val="000765F7"/>
    <w:rsid w:val="00077AB7"/>
    <w:rsid w:val="00081CD8"/>
    <w:rsid w:val="00091385"/>
    <w:rsid w:val="000A008B"/>
    <w:rsid w:val="000A3FF4"/>
    <w:rsid w:val="000A7F0E"/>
    <w:rsid w:val="000B1C8F"/>
    <w:rsid w:val="000B4B51"/>
    <w:rsid w:val="000C0D61"/>
    <w:rsid w:val="000D3B33"/>
    <w:rsid w:val="000D65F4"/>
    <w:rsid w:val="000F3A3F"/>
    <w:rsid w:val="00102557"/>
    <w:rsid w:val="00123C13"/>
    <w:rsid w:val="0014260A"/>
    <w:rsid w:val="0015117E"/>
    <w:rsid w:val="00151E44"/>
    <w:rsid w:val="00152867"/>
    <w:rsid w:val="001553EC"/>
    <w:rsid w:val="0015772D"/>
    <w:rsid w:val="00164D56"/>
    <w:rsid w:val="00167B10"/>
    <w:rsid w:val="0017402F"/>
    <w:rsid w:val="00174D0C"/>
    <w:rsid w:val="00190205"/>
    <w:rsid w:val="00196C1B"/>
    <w:rsid w:val="001A49CF"/>
    <w:rsid w:val="001B0F73"/>
    <w:rsid w:val="001C2DB7"/>
    <w:rsid w:val="001C557B"/>
    <w:rsid w:val="001D14FE"/>
    <w:rsid w:val="001D3E2F"/>
    <w:rsid w:val="001D5C04"/>
    <w:rsid w:val="001E135E"/>
    <w:rsid w:val="001F26CF"/>
    <w:rsid w:val="001F4E62"/>
    <w:rsid w:val="001F7778"/>
    <w:rsid w:val="00222A2D"/>
    <w:rsid w:val="00223029"/>
    <w:rsid w:val="00232ACE"/>
    <w:rsid w:val="00234745"/>
    <w:rsid w:val="002351A6"/>
    <w:rsid w:val="002407AF"/>
    <w:rsid w:val="0026221A"/>
    <w:rsid w:val="00273B6D"/>
    <w:rsid w:val="0027466B"/>
    <w:rsid w:val="00277688"/>
    <w:rsid w:val="002838A5"/>
    <w:rsid w:val="00285BB4"/>
    <w:rsid w:val="00286302"/>
    <w:rsid w:val="002C09E3"/>
    <w:rsid w:val="002D1244"/>
    <w:rsid w:val="0031456C"/>
    <w:rsid w:val="0032058A"/>
    <w:rsid w:val="00337CEB"/>
    <w:rsid w:val="00344B58"/>
    <w:rsid w:val="0034539A"/>
    <w:rsid w:val="00345CB4"/>
    <w:rsid w:val="00360422"/>
    <w:rsid w:val="003627DF"/>
    <w:rsid w:val="00375D42"/>
    <w:rsid w:val="00396280"/>
    <w:rsid w:val="003A6BB8"/>
    <w:rsid w:val="003B4595"/>
    <w:rsid w:val="003B7522"/>
    <w:rsid w:val="003C14E3"/>
    <w:rsid w:val="003C3534"/>
    <w:rsid w:val="003D069C"/>
    <w:rsid w:val="003D5275"/>
    <w:rsid w:val="003D7646"/>
    <w:rsid w:val="003E4B3D"/>
    <w:rsid w:val="003F113A"/>
    <w:rsid w:val="003F37A1"/>
    <w:rsid w:val="003F3E63"/>
    <w:rsid w:val="00407480"/>
    <w:rsid w:val="00414643"/>
    <w:rsid w:val="00424790"/>
    <w:rsid w:val="004421E5"/>
    <w:rsid w:val="00452284"/>
    <w:rsid w:val="00455314"/>
    <w:rsid w:val="00457C8E"/>
    <w:rsid w:val="00481873"/>
    <w:rsid w:val="00483586"/>
    <w:rsid w:val="004856CA"/>
    <w:rsid w:val="00487E67"/>
    <w:rsid w:val="0049705E"/>
    <w:rsid w:val="004A2875"/>
    <w:rsid w:val="004A34A0"/>
    <w:rsid w:val="004C596F"/>
    <w:rsid w:val="004C7C82"/>
    <w:rsid w:val="004D2EB4"/>
    <w:rsid w:val="004D5DB8"/>
    <w:rsid w:val="004E1760"/>
    <w:rsid w:val="004E71C9"/>
    <w:rsid w:val="004E7232"/>
    <w:rsid w:val="005008A8"/>
    <w:rsid w:val="005077A1"/>
    <w:rsid w:val="00510E9D"/>
    <w:rsid w:val="00514C11"/>
    <w:rsid w:val="00517FD8"/>
    <w:rsid w:val="00520908"/>
    <w:rsid w:val="00526B7B"/>
    <w:rsid w:val="005308CE"/>
    <w:rsid w:val="0053318C"/>
    <w:rsid w:val="0056538E"/>
    <w:rsid w:val="0057439C"/>
    <w:rsid w:val="005777E8"/>
    <w:rsid w:val="0058014D"/>
    <w:rsid w:val="005A02CA"/>
    <w:rsid w:val="005B0127"/>
    <w:rsid w:val="005B5466"/>
    <w:rsid w:val="005B7A35"/>
    <w:rsid w:val="005C4B73"/>
    <w:rsid w:val="005C55AB"/>
    <w:rsid w:val="005E1D2B"/>
    <w:rsid w:val="005E7074"/>
    <w:rsid w:val="005F2BAF"/>
    <w:rsid w:val="00600D93"/>
    <w:rsid w:val="00601718"/>
    <w:rsid w:val="00626BEA"/>
    <w:rsid w:val="0063300C"/>
    <w:rsid w:val="00645031"/>
    <w:rsid w:val="00646882"/>
    <w:rsid w:val="00651A5B"/>
    <w:rsid w:val="00655736"/>
    <w:rsid w:val="00656A6B"/>
    <w:rsid w:val="00663B8D"/>
    <w:rsid w:val="00681C2C"/>
    <w:rsid w:val="006909FD"/>
    <w:rsid w:val="00696C8D"/>
    <w:rsid w:val="006A2AC2"/>
    <w:rsid w:val="006A3617"/>
    <w:rsid w:val="006A7FB4"/>
    <w:rsid w:val="006B4452"/>
    <w:rsid w:val="006E46E4"/>
    <w:rsid w:val="006E481F"/>
    <w:rsid w:val="006E75EB"/>
    <w:rsid w:val="006F26DD"/>
    <w:rsid w:val="00706DCA"/>
    <w:rsid w:val="00716411"/>
    <w:rsid w:val="00717DA5"/>
    <w:rsid w:val="00734E1A"/>
    <w:rsid w:val="0074338E"/>
    <w:rsid w:val="00744484"/>
    <w:rsid w:val="00746132"/>
    <w:rsid w:val="00747566"/>
    <w:rsid w:val="00773188"/>
    <w:rsid w:val="00782E7B"/>
    <w:rsid w:val="00783782"/>
    <w:rsid w:val="00784B8C"/>
    <w:rsid w:val="00784D93"/>
    <w:rsid w:val="00786E25"/>
    <w:rsid w:val="007879E1"/>
    <w:rsid w:val="007C23B5"/>
    <w:rsid w:val="007D19F4"/>
    <w:rsid w:val="007D1C80"/>
    <w:rsid w:val="00800B7B"/>
    <w:rsid w:val="00822F27"/>
    <w:rsid w:val="00823A11"/>
    <w:rsid w:val="0082402A"/>
    <w:rsid w:val="0085188D"/>
    <w:rsid w:val="00852F74"/>
    <w:rsid w:val="0085405E"/>
    <w:rsid w:val="0085414A"/>
    <w:rsid w:val="00857EB9"/>
    <w:rsid w:val="0086269D"/>
    <w:rsid w:val="0086543A"/>
    <w:rsid w:val="008724E5"/>
    <w:rsid w:val="00884A9D"/>
    <w:rsid w:val="0088512B"/>
    <w:rsid w:val="008A2B2D"/>
    <w:rsid w:val="008A4E1E"/>
    <w:rsid w:val="008C296C"/>
    <w:rsid w:val="008C5741"/>
    <w:rsid w:val="008D4305"/>
    <w:rsid w:val="008E1A85"/>
    <w:rsid w:val="00900DAC"/>
    <w:rsid w:val="009163A7"/>
    <w:rsid w:val="0092296C"/>
    <w:rsid w:val="00946D0B"/>
    <w:rsid w:val="00955877"/>
    <w:rsid w:val="00962034"/>
    <w:rsid w:val="0096698A"/>
    <w:rsid w:val="009861BB"/>
    <w:rsid w:val="00992C99"/>
    <w:rsid w:val="009A18CD"/>
    <w:rsid w:val="009C0117"/>
    <w:rsid w:val="009C46C9"/>
    <w:rsid w:val="009C71DF"/>
    <w:rsid w:val="009C77F7"/>
    <w:rsid w:val="009D5428"/>
    <w:rsid w:val="009E0ED3"/>
    <w:rsid w:val="009E225A"/>
    <w:rsid w:val="009F6EB7"/>
    <w:rsid w:val="00A000DB"/>
    <w:rsid w:val="00A12558"/>
    <w:rsid w:val="00A13903"/>
    <w:rsid w:val="00A340D5"/>
    <w:rsid w:val="00A34ED5"/>
    <w:rsid w:val="00A35111"/>
    <w:rsid w:val="00A35156"/>
    <w:rsid w:val="00A45DBF"/>
    <w:rsid w:val="00A50FFA"/>
    <w:rsid w:val="00A53F11"/>
    <w:rsid w:val="00A725CF"/>
    <w:rsid w:val="00A755A2"/>
    <w:rsid w:val="00A87F8D"/>
    <w:rsid w:val="00AA6660"/>
    <w:rsid w:val="00AB2C36"/>
    <w:rsid w:val="00AB34EC"/>
    <w:rsid w:val="00AB62B7"/>
    <w:rsid w:val="00AB6DDE"/>
    <w:rsid w:val="00AB70B6"/>
    <w:rsid w:val="00AC23B5"/>
    <w:rsid w:val="00AD1A86"/>
    <w:rsid w:val="00AE103E"/>
    <w:rsid w:val="00AE33FA"/>
    <w:rsid w:val="00AE3878"/>
    <w:rsid w:val="00AF0A07"/>
    <w:rsid w:val="00AF1041"/>
    <w:rsid w:val="00AF2362"/>
    <w:rsid w:val="00AF4AEC"/>
    <w:rsid w:val="00AF625E"/>
    <w:rsid w:val="00AF6523"/>
    <w:rsid w:val="00AF70EC"/>
    <w:rsid w:val="00B139BE"/>
    <w:rsid w:val="00B2172B"/>
    <w:rsid w:val="00B51431"/>
    <w:rsid w:val="00B533C0"/>
    <w:rsid w:val="00B862A1"/>
    <w:rsid w:val="00B906F1"/>
    <w:rsid w:val="00B9146E"/>
    <w:rsid w:val="00B917D2"/>
    <w:rsid w:val="00BA241A"/>
    <w:rsid w:val="00BB04AF"/>
    <w:rsid w:val="00BB7109"/>
    <w:rsid w:val="00BD52C9"/>
    <w:rsid w:val="00BE6354"/>
    <w:rsid w:val="00BF669C"/>
    <w:rsid w:val="00C12190"/>
    <w:rsid w:val="00C138D1"/>
    <w:rsid w:val="00C20036"/>
    <w:rsid w:val="00C22B32"/>
    <w:rsid w:val="00C23A97"/>
    <w:rsid w:val="00C25B18"/>
    <w:rsid w:val="00C302B1"/>
    <w:rsid w:val="00C52EBE"/>
    <w:rsid w:val="00C5776D"/>
    <w:rsid w:val="00C64855"/>
    <w:rsid w:val="00C70EA7"/>
    <w:rsid w:val="00C7433F"/>
    <w:rsid w:val="00C7516E"/>
    <w:rsid w:val="00C75374"/>
    <w:rsid w:val="00C75770"/>
    <w:rsid w:val="00C9225A"/>
    <w:rsid w:val="00CA1C54"/>
    <w:rsid w:val="00CA56BB"/>
    <w:rsid w:val="00CB0542"/>
    <w:rsid w:val="00CC2565"/>
    <w:rsid w:val="00CD0927"/>
    <w:rsid w:val="00CE71E5"/>
    <w:rsid w:val="00CF6230"/>
    <w:rsid w:val="00D00B2B"/>
    <w:rsid w:val="00D24877"/>
    <w:rsid w:val="00D25E54"/>
    <w:rsid w:val="00D33D76"/>
    <w:rsid w:val="00D53E1F"/>
    <w:rsid w:val="00D7105A"/>
    <w:rsid w:val="00D8250F"/>
    <w:rsid w:val="00D858FC"/>
    <w:rsid w:val="00D86BB3"/>
    <w:rsid w:val="00D95C4C"/>
    <w:rsid w:val="00DA36ED"/>
    <w:rsid w:val="00DB0EB9"/>
    <w:rsid w:val="00DB1AB9"/>
    <w:rsid w:val="00DB482A"/>
    <w:rsid w:val="00DB48FE"/>
    <w:rsid w:val="00DD4BFB"/>
    <w:rsid w:val="00DE34F1"/>
    <w:rsid w:val="00DE6160"/>
    <w:rsid w:val="00DF4942"/>
    <w:rsid w:val="00E019FC"/>
    <w:rsid w:val="00E059E8"/>
    <w:rsid w:val="00E16EFD"/>
    <w:rsid w:val="00E2125F"/>
    <w:rsid w:val="00E244E1"/>
    <w:rsid w:val="00E36EF9"/>
    <w:rsid w:val="00E4150C"/>
    <w:rsid w:val="00E41E1E"/>
    <w:rsid w:val="00E5638D"/>
    <w:rsid w:val="00E627B1"/>
    <w:rsid w:val="00E70169"/>
    <w:rsid w:val="00E7332E"/>
    <w:rsid w:val="00E9376C"/>
    <w:rsid w:val="00E95AE2"/>
    <w:rsid w:val="00EA0473"/>
    <w:rsid w:val="00EA335E"/>
    <w:rsid w:val="00EA528C"/>
    <w:rsid w:val="00EA580C"/>
    <w:rsid w:val="00EC6F8D"/>
    <w:rsid w:val="00ED39B2"/>
    <w:rsid w:val="00EE49F4"/>
    <w:rsid w:val="00EE5D7D"/>
    <w:rsid w:val="00EF0247"/>
    <w:rsid w:val="00EF34E2"/>
    <w:rsid w:val="00F07AE5"/>
    <w:rsid w:val="00F10306"/>
    <w:rsid w:val="00F26478"/>
    <w:rsid w:val="00F30DC6"/>
    <w:rsid w:val="00F32C23"/>
    <w:rsid w:val="00F44731"/>
    <w:rsid w:val="00F45B84"/>
    <w:rsid w:val="00F51D61"/>
    <w:rsid w:val="00F53DE9"/>
    <w:rsid w:val="00F56FA1"/>
    <w:rsid w:val="00F576CB"/>
    <w:rsid w:val="00F6079E"/>
    <w:rsid w:val="00F6146E"/>
    <w:rsid w:val="00F7035D"/>
    <w:rsid w:val="00F71A02"/>
    <w:rsid w:val="00F83211"/>
    <w:rsid w:val="00F83B7E"/>
    <w:rsid w:val="00F91C57"/>
    <w:rsid w:val="00F92792"/>
    <w:rsid w:val="00FA0D63"/>
    <w:rsid w:val="00FD0EE6"/>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character" w:styleId="Hyperlink">
    <w:name w:val="Hyperlink"/>
    <w:basedOn w:val="DefaultParagraphFont"/>
    <w:uiPriority w:val="99"/>
    <w:unhideWhenUsed/>
    <w:rsid w:val="0015117E"/>
    <w:rPr>
      <w:color w:val="0000FF" w:themeColor="hyperlink"/>
      <w:u w:val="single"/>
    </w:rPr>
  </w:style>
  <w:style w:type="character" w:styleId="IntenseReference">
    <w:name w:val="Intense Reference"/>
    <w:basedOn w:val="DefaultParagraphFont"/>
    <w:uiPriority w:val="32"/>
    <w:qFormat/>
    <w:rsid w:val="005777E8"/>
    <w:rPr>
      <w:b/>
      <w:bCs/>
      <w:smallCaps/>
      <w:color w:val="365F91" w:themeColor="accent1" w:themeShade="BF"/>
      <w:spacing w:val="5"/>
    </w:rPr>
  </w:style>
  <w:style w:type="character" w:styleId="UnresolvedMention">
    <w:name w:val="Unresolved Mention"/>
    <w:basedOn w:val="DefaultParagraphFont"/>
    <w:uiPriority w:val="99"/>
    <w:semiHidden/>
    <w:unhideWhenUsed/>
    <w:rsid w:val="007C23B5"/>
    <w:rPr>
      <w:color w:val="605E5C"/>
      <w:shd w:val="clear" w:color="auto" w:fill="E1DFDD"/>
    </w:rPr>
  </w:style>
  <w:style w:type="character" w:styleId="FollowedHyperlink">
    <w:name w:val="FollowedHyperlink"/>
    <w:basedOn w:val="DefaultParagraphFont"/>
    <w:uiPriority w:val="99"/>
    <w:semiHidden/>
    <w:unhideWhenUsed/>
    <w:rsid w:val="006A7FB4"/>
    <w:rPr>
      <w:color w:val="800080" w:themeColor="followedHyperlink"/>
      <w:u w:val="single"/>
    </w:rPr>
  </w:style>
  <w:style w:type="paragraph" w:styleId="Revision">
    <w:name w:val="Revision"/>
    <w:hidden/>
    <w:uiPriority w:val="99"/>
    <w:semiHidden/>
    <w:rsid w:val="00520908"/>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862A1"/>
    <w:rPr>
      <w:sz w:val="16"/>
      <w:szCs w:val="16"/>
    </w:rPr>
  </w:style>
  <w:style w:type="paragraph" w:styleId="CommentText">
    <w:name w:val="annotation text"/>
    <w:basedOn w:val="Normal"/>
    <w:link w:val="CommentTextChar"/>
    <w:uiPriority w:val="99"/>
    <w:unhideWhenUsed/>
    <w:rsid w:val="00B862A1"/>
    <w:rPr>
      <w:sz w:val="20"/>
      <w:szCs w:val="20"/>
    </w:rPr>
  </w:style>
  <w:style w:type="character" w:customStyle="1" w:styleId="CommentTextChar">
    <w:name w:val="Comment Text Char"/>
    <w:basedOn w:val="DefaultParagraphFont"/>
    <w:link w:val="CommentText"/>
    <w:uiPriority w:val="99"/>
    <w:rsid w:val="00B862A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862A1"/>
    <w:rPr>
      <w:b/>
      <w:bCs/>
    </w:rPr>
  </w:style>
  <w:style w:type="character" w:customStyle="1" w:styleId="CommentSubjectChar">
    <w:name w:val="Comment Subject Char"/>
    <w:basedOn w:val="CommentTextChar"/>
    <w:link w:val="CommentSubject"/>
    <w:uiPriority w:val="99"/>
    <w:semiHidden/>
    <w:rsid w:val="00B862A1"/>
    <w:rPr>
      <w:rFonts w:ascii="Times New Roman" w:eastAsia="Times New Roman" w:hAnsi="Times New Roman"/>
      <w:b/>
      <w:bCs/>
    </w:rPr>
  </w:style>
  <w:style w:type="character" w:styleId="Emphasis">
    <w:name w:val="Emphasis"/>
    <w:basedOn w:val="DefaultParagraphFont"/>
    <w:uiPriority w:val="20"/>
    <w:qFormat/>
    <w:rsid w:val="00286302"/>
    <w:rPr>
      <w:i/>
      <w:iCs/>
    </w:rPr>
  </w:style>
  <w:style w:type="paragraph" w:styleId="NormalWeb">
    <w:name w:val="Normal (Web)"/>
    <w:basedOn w:val="Normal"/>
    <w:uiPriority w:val="99"/>
    <w:semiHidden/>
    <w:unhideWhenUsed/>
    <w:rsid w:val="00786E25"/>
    <w:pPr>
      <w:spacing w:before="100" w:beforeAutospacing="1" w:after="100" w:afterAutospacing="1"/>
    </w:pPr>
    <w:rPr>
      <w:lang w:val="en-US" w:eastAsia="zh-CN"/>
    </w:rPr>
  </w:style>
  <w:style w:type="character" w:styleId="Strong">
    <w:name w:val="Strong"/>
    <w:basedOn w:val="DefaultParagraphFont"/>
    <w:uiPriority w:val="22"/>
    <w:qFormat/>
    <w:rsid w:val="00786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50836">
      <w:bodyDiv w:val="1"/>
      <w:marLeft w:val="0"/>
      <w:marRight w:val="0"/>
      <w:marTop w:val="0"/>
      <w:marBottom w:val="0"/>
      <w:divBdr>
        <w:top w:val="none" w:sz="0" w:space="0" w:color="auto"/>
        <w:left w:val="none" w:sz="0" w:space="0" w:color="auto"/>
        <w:bottom w:val="none" w:sz="0" w:space="0" w:color="auto"/>
        <w:right w:val="none" w:sz="0" w:space="0" w:color="auto"/>
      </w:divBdr>
    </w:div>
    <w:div w:id="333071575">
      <w:bodyDiv w:val="1"/>
      <w:marLeft w:val="0"/>
      <w:marRight w:val="0"/>
      <w:marTop w:val="0"/>
      <w:marBottom w:val="0"/>
      <w:divBdr>
        <w:top w:val="none" w:sz="0" w:space="0" w:color="auto"/>
        <w:left w:val="none" w:sz="0" w:space="0" w:color="auto"/>
        <w:bottom w:val="none" w:sz="0" w:space="0" w:color="auto"/>
        <w:right w:val="none" w:sz="0" w:space="0" w:color="auto"/>
      </w:divBdr>
      <w:divsChild>
        <w:div w:id="1988198299">
          <w:marLeft w:val="0"/>
          <w:marRight w:val="0"/>
          <w:marTop w:val="0"/>
          <w:marBottom w:val="0"/>
          <w:divBdr>
            <w:top w:val="none" w:sz="0" w:space="0" w:color="auto"/>
            <w:left w:val="none" w:sz="0" w:space="0" w:color="auto"/>
            <w:bottom w:val="none" w:sz="0" w:space="0" w:color="auto"/>
            <w:right w:val="none" w:sz="0" w:space="0" w:color="auto"/>
          </w:divBdr>
          <w:divsChild>
            <w:div w:id="787241243">
              <w:marLeft w:val="0"/>
              <w:marRight w:val="0"/>
              <w:marTop w:val="0"/>
              <w:marBottom w:val="0"/>
              <w:divBdr>
                <w:top w:val="none" w:sz="0" w:space="0" w:color="auto"/>
                <w:left w:val="none" w:sz="0" w:space="0" w:color="auto"/>
                <w:bottom w:val="none" w:sz="0" w:space="0" w:color="auto"/>
                <w:right w:val="none" w:sz="0" w:space="0" w:color="auto"/>
              </w:divBdr>
              <w:divsChild>
                <w:div w:id="1468930054">
                  <w:marLeft w:val="0"/>
                  <w:marRight w:val="0"/>
                  <w:marTop w:val="0"/>
                  <w:marBottom w:val="0"/>
                  <w:divBdr>
                    <w:top w:val="none" w:sz="0" w:space="0" w:color="auto"/>
                    <w:left w:val="none" w:sz="0" w:space="0" w:color="auto"/>
                    <w:bottom w:val="none" w:sz="0" w:space="0" w:color="auto"/>
                    <w:right w:val="none" w:sz="0" w:space="0" w:color="auto"/>
                  </w:divBdr>
                  <w:divsChild>
                    <w:div w:id="2188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5247">
      <w:bodyDiv w:val="1"/>
      <w:marLeft w:val="0"/>
      <w:marRight w:val="0"/>
      <w:marTop w:val="0"/>
      <w:marBottom w:val="0"/>
      <w:divBdr>
        <w:top w:val="none" w:sz="0" w:space="0" w:color="auto"/>
        <w:left w:val="none" w:sz="0" w:space="0" w:color="auto"/>
        <w:bottom w:val="none" w:sz="0" w:space="0" w:color="auto"/>
        <w:right w:val="none" w:sz="0" w:space="0" w:color="auto"/>
      </w:divBdr>
    </w:div>
    <w:div w:id="603811061">
      <w:bodyDiv w:val="1"/>
      <w:marLeft w:val="0"/>
      <w:marRight w:val="0"/>
      <w:marTop w:val="0"/>
      <w:marBottom w:val="0"/>
      <w:divBdr>
        <w:top w:val="none" w:sz="0" w:space="0" w:color="auto"/>
        <w:left w:val="none" w:sz="0" w:space="0" w:color="auto"/>
        <w:bottom w:val="none" w:sz="0" w:space="0" w:color="auto"/>
        <w:right w:val="none" w:sz="0" w:space="0" w:color="auto"/>
      </w:divBdr>
    </w:div>
    <w:div w:id="76457158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18752855">
      <w:bodyDiv w:val="1"/>
      <w:marLeft w:val="0"/>
      <w:marRight w:val="0"/>
      <w:marTop w:val="0"/>
      <w:marBottom w:val="0"/>
      <w:divBdr>
        <w:top w:val="none" w:sz="0" w:space="0" w:color="auto"/>
        <w:left w:val="none" w:sz="0" w:space="0" w:color="auto"/>
        <w:bottom w:val="none" w:sz="0" w:space="0" w:color="auto"/>
        <w:right w:val="none" w:sz="0" w:space="0" w:color="auto"/>
      </w:divBdr>
    </w:div>
    <w:div w:id="105408314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5804767">
      <w:bodyDiv w:val="1"/>
      <w:marLeft w:val="0"/>
      <w:marRight w:val="0"/>
      <w:marTop w:val="0"/>
      <w:marBottom w:val="0"/>
      <w:divBdr>
        <w:top w:val="none" w:sz="0" w:space="0" w:color="auto"/>
        <w:left w:val="none" w:sz="0" w:space="0" w:color="auto"/>
        <w:bottom w:val="none" w:sz="0" w:space="0" w:color="auto"/>
        <w:right w:val="none" w:sz="0" w:space="0" w:color="auto"/>
      </w:divBdr>
    </w:div>
    <w:div w:id="1189222553">
      <w:bodyDiv w:val="1"/>
      <w:marLeft w:val="0"/>
      <w:marRight w:val="0"/>
      <w:marTop w:val="0"/>
      <w:marBottom w:val="0"/>
      <w:divBdr>
        <w:top w:val="none" w:sz="0" w:space="0" w:color="auto"/>
        <w:left w:val="none" w:sz="0" w:space="0" w:color="auto"/>
        <w:bottom w:val="none" w:sz="0" w:space="0" w:color="auto"/>
        <w:right w:val="none" w:sz="0" w:space="0" w:color="auto"/>
      </w:divBdr>
    </w:div>
    <w:div w:id="154390579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10504725">
      <w:bodyDiv w:val="1"/>
      <w:marLeft w:val="0"/>
      <w:marRight w:val="0"/>
      <w:marTop w:val="0"/>
      <w:marBottom w:val="0"/>
      <w:divBdr>
        <w:top w:val="none" w:sz="0" w:space="0" w:color="auto"/>
        <w:left w:val="none" w:sz="0" w:space="0" w:color="auto"/>
        <w:bottom w:val="none" w:sz="0" w:space="0" w:color="auto"/>
        <w:right w:val="none" w:sz="0" w:space="0" w:color="auto"/>
      </w:divBdr>
      <w:divsChild>
        <w:div w:id="275908411">
          <w:marLeft w:val="0"/>
          <w:marRight w:val="0"/>
          <w:marTop w:val="0"/>
          <w:marBottom w:val="0"/>
          <w:divBdr>
            <w:top w:val="none" w:sz="0" w:space="0" w:color="auto"/>
            <w:left w:val="none" w:sz="0" w:space="0" w:color="auto"/>
            <w:bottom w:val="none" w:sz="0" w:space="0" w:color="auto"/>
            <w:right w:val="none" w:sz="0" w:space="0" w:color="auto"/>
          </w:divBdr>
          <w:divsChild>
            <w:div w:id="1865945026">
              <w:marLeft w:val="0"/>
              <w:marRight w:val="0"/>
              <w:marTop w:val="0"/>
              <w:marBottom w:val="0"/>
              <w:divBdr>
                <w:top w:val="none" w:sz="0" w:space="0" w:color="auto"/>
                <w:left w:val="none" w:sz="0" w:space="0" w:color="auto"/>
                <w:bottom w:val="none" w:sz="0" w:space="0" w:color="auto"/>
                <w:right w:val="none" w:sz="0" w:space="0" w:color="auto"/>
              </w:divBdr>
              <w:divsChild>
                <w:div w:id="1721858736">
                  <w:marLeft w:val="0"/>
                  <w:marRight w:val="0"/>
                  <w:marTop w:val="0"/>
                  <w:marBottom w:val="0"/>
                  <w:divBdr>
                    <w:top w:val="none" w:sz="0" w:space="0" w:color="auto"/>
                    <w:left w:val="none" w:sz="0" w:space="0" w:color="auto"/>
                    <w:bottom w:val="none" w:sz="0" w:space="0" w:color="auto"/>
                    <w:right w:val="none" w:sz="0" w:space="0" w:color="auto"/>
                  </w:divBdr>
                  <w:divsChild>
                    <w:div w:id="589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24378710">
      <w:bodyDiv w:val="1"/>
      <w:marLeft w:val="0"/>
      <w:marRight w:val="0"/>
      <w:marTop w:val="0"/>
      <w:marBottom w:val="0"/>
      <w:divBdr>
        <w:top w:val="none" w:sz="0" w:space="0" w:color="auto"/>
        <w:left w:val="none" w:sz="0" w:space="0" w:color="auto"/>
        <w:bottom w:val="none" w:sz="0" w:space="0" w:color="auto"/>
        <w:right w:val="none" w:sz="0" w:space="0" w:color="auto"/>
      </w:divBdr>
    </w:div>
    <w:div w:id="2139565521">
      <w:bodyDiv w:val="1"/>
      <w:marLeft w:val="0"/>
      <w:marRight w:val="0"/>
      <w:marTop w:val="0"/>
      <w:marBottom w:val="0"/>
      <w:divBdr>
        <w:top w:val="none" w:sz="0" w:space="0" w:color="auto"/>
        <w:left w:val="none" w:sz="0" w:space="0" w:color="auto"/>
        <w:bottom w:val="none" w:sz="0" w:space="0" w:color="auto"/>
        <w:right w:val="none" w:sz="0" w:space="0" w:color="auto"/>
      </w:divBdr>
      <w:divsChild>
        <w:div w:id="243690437">
          <w:marLeft w:val="0"/>
          <w:marRight w:val="0"/>
          <w:marTop w:val="0"/>
          <w:marBottom w:val="0"/>
          <w:divBdr>
            <w:top w:val="none" w:sz="0" w:space="0" w:color="auto"/>
            <w:left w:val="none" w:sz="0" w:space="0" w:color="auto"/>
            <w:bottom w:val="none" w:sz="0" w:space="0" w:color="auto"/>
            <w:right w:val="none" w:sz="0" w:space="0" w:color="auto"/>
          </w:divBdr>
          <w:divsChild>
            <w:div w:id="1110200232">
              <w:marLeft w:val="0"/>
              <w:marRight w:val="0"/>
              <w:marTop w:val="0"/>
              <w:marBottom w:val="0"/>
              <w:divBdr>
                <w:top w:val="none" w:sz="0" w:space="0" w:color="auto"/>
                <w:left w:val="none" w:sz="0" w:space="0" w:color="auto"/>
                <w:bottom w:val="none" w:sz="0" w:space="0" w:color="auto"/>
                <w:right w:val="none" w:sz="0" w:space="0" w:color="auto"/>
              </w:divBdr>
              <w:divsChild>
                <w:div w:id="1844933018">
                  <w:marLeft w:val="0"/>
                  <w:marRight w:val="0"/>
                  <w:marTop w:val="0"/>
                  <w:marBottom w:val="0"/>
                  <w:divBdr>
                    <w:top w:val="none" w:sz="0" w:space="0" w:color="auto"/>
                    <w:left w:val="none" w:sz="0" w:space="0" w:color="auto"/>
                    <w:bottom w:val="none" w:sz="0" w:space="0" w:color="auto"/>
                    <w:right w:val="none" w:sz="0" w:space="0" w:color="auto"/>
                  </w:divBdr>
                  <w:divsChild>
                    <w:div w:id="14047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operational-principles-and-modalities-in-emergencies-01143" TargetMode="External"/><Relationship Id="rId13" Type="http://schemas.openxmlformats.org/officeDocument/2006/relationships/hyperlink" Target="https://ich.unesco.org/fr/projets/renforcement-des-capacites-de-sauvegarde-du-patrimoine-culturel-immateriel-dans-les-contextes-de-catastrophe-00458?projectID=004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projets/renforcement-des-capacites-pour-la-sauvegarde-du-patrimoine-culturel-immateriel-en-cas-d-urgence-dans-les-petits-etats-insulaires-en-developpement-peid-du-pacifique-et-des-caraibes-00478?projectID=0047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situations-d-urg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h.unesco.org/fr/materiel-renforcement-capaci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fr/materiel-renforcement-capacites" TargetMode="External"/><Relationship Id="rId14" Type="http://schemas.openxmlformats.org/officeDocument/2006/relationships/hyperlink" Target="https://ich.unesco.org/doc/src/LHE-24-19.COM-11_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199</TotalTime>
  <Pages>5</Pages>
  <Words>1205</Words>
  <Characters>6870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d.kim@unesco.org</dc:creator>
  <cp:lastModifiedBy>UNESCO</cp:lastModifiedBy>
  <cp:revision>64</cp:revision>
  <cp:lastPrinted>2011-08-06T10:22:00Z</cp:lastPrinted>
  <dcterms:created xsi:type="dcterms:W3CDTF">2025-02-18T09:48:00Z</dcterms:created>
  <dcterms:modified xsi:type="dcterms:W3CDTF">2025-03-12T11:31:00Z</dcterms:modified>
</cp:coreProperties>
</file>