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BB5F" w14:textId="77777777" w:rsidR="00F36124" w:rsidRDefault="00F36124" w:rsidP="00F83B7E">
      <w:pPr>
        <w:spacing w:before="1440"/>
        <w:jc w:val="center"/>
        <w:rPr>
          <w:rFonts w:ascii="Arial" w:hAnsi="Arial"/>
          <w:b/>
          <w:sz w:val="22"/>
        </w:rPr>
      </w:pPr>
      <w:bookmarkStart w:id="0" w:name="_Hlk70514086"/>
    </w:p>
    <w:p w14:paraId="0F4B43EB" w14:textId="4EA920C3" w:rsidR="00F83B7E" w:rsidRPr="00746132" w:rsidRDefault="00F83B7E" w:rsidP="00F83B7E">
      <w:pPr>
        <w:spacing w:before="1440"/>
        <w:jc w:val="center"/>
        <w:rPr>
          <w:rFonts w:ascii="Arial" w:hAnsi="Arial" w:cs="Arial"/>
          <w:b/>
          <w:sz w:val="22"/>
          <w:szCs w:val="22"/>
        </w:rPr>
      </w:pPr>
      <w:r w:rsidRPr="00746132">
        <w:rPr>
          <w:rFonts w:ascii="Arial" w:hAnsi="Arial"/>
          <w:b/>
          <w:sz w:val="22"/>
        </w:rPr>
        <w:t>CONVENTION POUR LA SAUVEGARDE DU</w:t>
      </w:r>
      <w:r w:rsidRPr="00746132">
        <w:rPr>
          <w:rFonts w:ascii="Arial" w:hAnsi="Arial"/>
          <w:b/>
          <w:sz w:val="22"/>
        </w:rPr>
        <w:br/>
        <w:t>PATRIMOINE CULTUREL IMMATÉRIEL</w:t>
      </w:r>
    </w:p>
    <w:p w14:paraId="01AA9777" w14:textId="5E4FD003" w:rsidR="00F83B7E" w:rsidRPr="00746132" w:rsidRDefault="00F83B7E" w:rsidP="00F83B7E">
      <w:pPr>
        <w:spacing w:before="1200"/>
        <w:ind w:right="-1"/>
        <w:jc w:val="center"/>
        <w:rPr>
          <w:rFonts w:ascii="Arial" w:eastAsia="Calibri" w:hAnsi="Arial" w:cs="Arial"/>
          <w:b/>
          <w:bCs/>
          <w:caps/>
          <w:sz w:val="22"/>
          <w:szCs w:val="22"/>
        </w:rPr>
      </w:pPr>
      <w:r w:rsidRPr="00746132">
        <w:rPr>
          <w:rFonts w:ascii="Arial" w:eastAsia="Calibri" w:hAnsi="Arial" w:cs="Arial"/>
          <w:b/>
          <w:bCs/>
          <w:caps/>
          <w:sz w:val="22"/>
          <w:szCs w:val="22"/>
        </w:rPr>
        <w:t xml:space="preserve">PROGRAMME DE FORMATION POUR LE RÉSEAU </w:t>
      </w:r>
      <w:r w:rsidR="0005371E" w:rsidRPr="00746132">
        <w:rPr>
          <w:rFonts w:ascii="Arial" w:eastAsia="Calibri" w:hAnsi="Arial" w:cs="Arial"/>
          <w:b/>
          <w:bCs/>
          <w:caps/>
          <w:sz w:val="22"/>
          <w:szCs w:val="22"/>
        </w:rPr>
        <w:t xml:space="preserve">MONDIAL </w:t>
      </w:r>
      <w:r w:rsidRPr="00746132">
        <w:rPr>
          <w:rFonts w:ascii="Arial" w:eastAsia="Calibri" w:hAnsi="Arial" w:cs="Arial"/>
          <w:b/>
          <w:bCs/>
          <w:caps/>
          <w:sz w:val="22"/>
          <w:szCs w:val="22"/>
        </w:rPr>
        <w:t>DES FACILITATEURS</w:t>
      </w:r>
    </w:p>
    <w:bookmarkEnd w:id="0"/>
    <w:p w14:paraId="717F0A4F" w14:textId="1FC52050" w:rsidR="00F83B7E" w:rsidRPr="00746132" w:rsidRDefault="00F83B7E" w:rsidP="00F83B7E">
      <w:pPr>
        <w:spacing w:before="840"/>
        <w:jc w:val="center"/>
        <w:rPr>
          <w:rFonts w:ascii="Arial" w:eastAsia="Calibri" w:hAnsi="Arial" w:cs="Arial"/>
          <w:b/>
          <w:bCs/>
          <w:caps/>
          <w:sz w:val="22"/>
          <w:szCs w:val="22"/>
        </w:rPr>
      </w:pPr>
      <w:r w:rsidRPr="00746132">
        <w:rPr>
          <w:rFonts w:ascii="Arial" w:eastAsia="Calibri" w:hAnsi="Arial" w:cs="Arial"/>
          <w:b/>
          <w:bCs/>
          <w:caps/>
          <w:sz w:val="22"/>
          <w:szCs w:val="22"/>
        </w:rPr>
        <w:t xml:space="preserve">PATRIMOINE VIVANT </w:t>
      </w:r>
      <w:r w:rsidR="00B911CB" w:rsidRPr="00B911CB">
        <w:rPr>
          <w:rFonts w:ascii="Arial" w:eastAsia="Calibri" w:hAnsi="Arial" w:cs="Arial"/>
          <w:b/>
          <w:bCs/>
          <w:caps/>
          <w:sz w:val="22"/>
          <w:szCs w:val="22"/>
        </w:rPr>
        <w:t>en situations de conflit et de d</w:t>
      </w:r>
      <w:r w:rsidR="004B292F">
        <w:rPr>
          <w:rFonts w:ascii="Arial" w:eastAsia="Calibri" w:hAnsi="Arial" w:cs="Arial"/>
          <w:b/>
          <w:bCs/>
          <w:caps/>
          <w:sz w:val="22"/>
          <w:szCs w:val="22"/>
        </w:rPr>
        <w:t>É</w:t>
      </w:r>
      <w:r w:rsidR="00B911CB" w:rsidRPr="00B911CB">
        <w:rPr>
          <w:rFonts w:ascii="Arial" w:eastAsia="Calibri" w:hAnsi="Arial" w:cs="Arial"/>
          <w:b/>
          <w:bCs/>
          <w:caps/>
          <w:sz w:val="22"/>
          <w:szCs w:val="22"/>
        </w:rPr>
        <w:t>placement</w:t>
      </w:r>
    </w:p>
    <w:p w14:paraId="1BA8DE75" w14:textId="061A3E0B" w:rsidR="00174D0C" w:rsidRPr="00746132" w:rsidRDefault="00B911CB" w:rsidP="00F83B7E">
      <w:pPr>
        <w:spacing w:before="840"/>
        <w:jc w:val="center"/>
        <w:rPr>
          <w:rFonts w:ascii="Arial" w:eastAsia="Calibri" w:hAnsi="Arial" w:cs="Arial"/>
          <w:b/>
          <w:bCs/>
          <w:sz w:val="22"/>
          <w:szCs w:val="22"/>
        </w:rPr>
      </w:pPr>
      <w:r>
        <w:rPr>
          <w:rFonts w:ascii="Arial" w:eastAsia="Calibri" w:hAnsi="Arial" w:cs="Arial"/>
          <w:b/>
          <w:bCs/>
          <w:sz w:val="22"/>
          <w:szCs w:val="22"/>
        </w:rPr>
        <w:t>4</w:t>
      </w:r>
      <w:r w:rsidR="00277688" w:rsidRPr="00746132">
        <w:rPr>
          <w:rFonts w:ascii="Arial" w:eastAsia="Calibri" w:hAnsi="Arial" w:cs="Arial"/>
          <w:b/>
          <w:bCs/>
          <w:sz w:val="22"/>
          <w:szCs w:val="22"/>
        </w:rPr>
        <w:t xml:space="preserve"> </w:t>
      </w:r>
      <w:r>
        <w:rPr>
          <w:rFonts w:ascii="Arial" w:eastAsia="Calibri" w:hAnsi="Arial" w:cs="Arial"/>
          <w:b/>
          <w:bCs/>
          <w:sz w:val="22"/>
          <w:szCs w:val="22"/>
        </w:rPr>
        <w:t xml:space="preserve">juin </w:t>
      </w:r>
      <w:r w:rsidR="00174D0C" w:rsidRPr="00746132">
        <w:rPr>
          <w:rFonts w:ascii="Arial" w:eastAsia="Calibri" w:hAnsi="Arial" w:cs="Arial"/>
          <w:b/>
          <w:bCs/>
          <w:sz w:val="22"/>
          <w:szCs w:val="22"/>
        </w:rPr>
        <w:t>202</w:t>
      </w:r>
      <w:r w:rsidR="009E36E2">
        <w:rPr>
          <w:rFonts w:ascii="Arial" w:eastAsia="Calibri" w:hAnsi="Arial" w:cs="Arial"/>
          <w:b/>
          <w:bCs/>
          <w:sz w:val="22"/>
          <w:szCs w:val="22"/>
        </w:rPr>
        <w:t>6</w:t>
      </w:r>
      <w:r w:rsidR="00174D0C" w:rsidRPr="00746132">
        <w:rPr>
          <w:rFonts w:ascii="Arial" w:eastAsia="Calibri" w:hAnsi="Arial" w:cs="Arial"/>
          <w:b/>
          <w:bCs/>
          <w:sz w:val="22"/>
          <w:szCs w:val="22"/>
        </w:rPr>
        <w:br/>
      </w:r>
      <w:r w:rsidR="00F83B7E" w:rsidRPr="00746132">
        <w:rPr>
          <w:rFonts w:ascii="Arial" w:eastAsia="Calibri" w:hAnsi="Arial" w:cs="Arial"/>
          <w:b/>
          <w:bCs/>
          <w:sz w:val="22"/>
          <w:szCs w:val="22"/>
        </w:rPr>
        <w:t>En ligne</w:t>
      </w:r>
    </w:p>
    <w:p w14:paraId="5BBC5BDE" w14:textId="2E50F73F" w:rsidR="0015117E" w:rsidRPr="009E36E2" w:rsidRDefault="00734E1A" w:rsidP="00A7280D">
      <w:pPr>
        <w:spacing w:before="840"/>
        <w:jc w:val="center"/>
        <w:rPr>
          <w:rFonts w:ascii="Arial" w:eastAsia="Calibri" w:hAnsi="Arial" w:cs="Arial"/>
          <w:b/>
          <w:bCs/>
          <w:sz w:val="22"/>
          <w:szCs w:val="22"/>
        </w:rPr>
      </w:pPr>
      <w:r w:rsidRPr="009E36E2">
        <w:rPr>
          <w:rFonts w:ascii="Arial" w:eastAsia="Calibri" w:hAnsi="Arial" w:cs="Arial"/>
          <w:b/>
          <w:bCs/>
          <w:sz w:val="22"/>
          <w:szCs w:val="22"/>
        </w:rPr>
        <w:t>Note conceptuelle</w:t>
      </w:r>
    </w:p>
    <w:p w14:paraId="713D819F" w14:textId="77777777" w:rsidR="004A2875" w:rsidRPr="009E36E2" w:rsidRDefault="00655736" w:rsidP="00570335">
      <w:pPr>
        <w:pStyle w:val="ListParagraph"/>
        <w:keepLines/>
        <w:numPr>
          <w:ilvl w:val="0"/>
          <w:numId w:val="5"/>
        </w:numPr>
        <w:spacing w:after="240"/>
        <w:ind w:left="567" w:hanging="567"/>
        <w:contextualSpacing w:val="0"/>
        <w:rPr>
          <w:rFonts w:ascii="Arial" w:hAnsi="Arial" w:cs="Arial"/>
          <w:b/>
          <w:snapToGrid w:val="0"/>
          <w:sz w:val="22"/>
          <w:szCs w:val="22"/>
          <w:lang w:eastAsia="en-US"/>
        </w:rPr>
      </w:pPr>
      <w:r w:rsidRPr="009E36E2">
        <w:br w:type="page"/>
      </w:r>
    </w:p>
    <w:p w14:paraId="1F108F17" w14:textId="587198C2" w:rsidR="009E36E2" w:rsidRPr="00C1208E" w:rsidRDefault="00C1208E" w:rsidP="00570335">
      <w:pPr>
        <w:pStyle w:val="COMPara"/>
        <w:numPr>
          <w:ilvl w:val="0"/>
          <w:numId w:val="6"/>
        </w:numPr>
        <w:spacing w:before="240"/>
        <w:ind w:left="540" w:hanging="540"/>
        <w:jc w:val="both"/>
        <w:rPr>
          <w:b/>
          <w:bCs/>
          <w:lang w:val="fr-FR"/>
        </w:rPr>
      </w:pPr>
      <w:bookmarkStart w:id="1" w:name="_Hlk124351255"/>
      <w:r w:rsidRPr="00C1208E">
        <w:rPr>
          <w:b/>
          <w:bCs/>
          <w:lang w:val="fr-FR"/>
        </w:rPr>
        <w:lastRenderedPageBreak/>
        <w:t>Contexte</w:t>
      </w:r>
    </w:p>
    <w:bookmarkEnd w:id="1"/>
    <w:p w14:paraId="63B258E5" w14:textId="40CA3CFD" w:rsidR="00B911CB" w:rsidRPr="00812B7B" w:rsidRDefault="00812B7B" w:rsidP="001A2FA4">
      <w:pPr>
        <w:pStyle w:val="COMPara"/>
        <w:ind w:left="567" w:hanging="567"/>
        <w:jc w:val="both"/>
        <w:rPr>
          <w:lang w:val="fr-FR"/>
        </w:rPr>
      </w:pPr>
      <w:r w:rsidRPr="00812B7B">
        <w:rPr>
          <w:lang w:val="fr-FR"/>
        </w:rPr>
        <w:t xml:space="preserve">Cette session s’inscrit dans le cadre du programme de formation 2026 du Réseau mondial des facilitateurs au titre de la Convention de 2003 pour la sauvegarde du patrimoine culturel immatériel. Elle vise à actualiser les connaissances des facilitateurs sur la sauvegarde du patrimoine culturel immatériel en situation de conflit et de déplacement, ainsi que sur les approches de renforcement des capacités </w:t>
      </w:r>
      <w:r w:rsidR="0086358D">
        <w:rPr>
          <w:lang w:val="fr-FR"/>
        </w:rPr>
        <w:t>liées</w:t>
      </w:r>
      <w:r w:rsidRPr="00812B7B">
        <w:rPr>
          <w:lang w:val="fr-FR"/>
        </w:rPr>
        <w:t xml:space="preserve">. Elle complète également </w:t>
      </w:r>
      <w:r w:rsidR="0086358D" w:rsidRPr="00F36124">
        <w:rPr>
          <w:lang w:val="fr-FR"/>
        </w:rPr>
        <w:t xml:space="preserve">la </w:t>
      </w:r>
      <w:r w:rsidR="0086358D">
        <w:fldChar w:fldCharType="begin"/>
      </w:r>
      <w:r w:rsidR="0086358D" w:rsidRPr="004814E0">
        <w:rPr>
          <w:lang w:val="fr-FR"/>
        </w:rPr>
        <w:instrText>HYPERLINK "https://ich.unesco.org/fr/evenements/formation-des-formateurs-sur-le-patrimoine-vivant-et-la-reduction-des-risques-de-catastrophes-01032"</w:instrText>
      </w:r>
      <w:r w:rsidR="0086358D">
        <w:fldChar w:fldCharType="separate"/>
      </w:r>
      <w:r w:rsidR="0086358D" w:rsidRPr="0086358D">
        <w:rPr>
          <w:rStyle w:val="Hyperlink"/>
          <w:lang w:val="fr-FR"/>
        </w:rPr>
        <w:t xml:space="preserve">formation des </w:t>
      </w:r>
      <w:r w:rsidR="0086358D">
        <w:rPr>
          <w:rStyle w:val="Hyperlink"/>
          <w:lang w:val="fr-FR"/>
        </w:rPr>
        <w:t>formateurs</w:t>
      </w:r>
      <w:r w:rsidR="0086358D" w:rsidRPr="0086358D">
        <w:rPr>
          <w:rStyle w:val="Hyperlink"/>
          <w:lang w:val="fr-FR"/>
        </w:rPr>
        <w:t xml:space="preserve"> sur le patrimoine vivant et la réduction des risques de catastrophe</w:t>
      </w:r>
      <w:r w:rsidR="0086358D">
        <w:fldChar w:fldCharType="end"/>
      </w:r>
      <w:r w:rsidR="0086358D" w:rsidRPr="00F36124">
        <w:rPr>
          <w:lang w:val="fr-FR"/>
        </w:rPr>
        <w:t xml:space="preserve"> qui s’est déroulée en mars 2025</w:t>
      </w:r>
      <w:r w:rsidR="00B911CB" w:rsidRPr="00812B7B">
        <w:rPr>
          <w:lang w:val="fr-FR"/>
        </w:rPr>
        <w:t>.</w:t>
      </w:r>
    </w:p>
    <w:p w14:paraId="43F3C3A4" w14:textId="77777777" w:rsidR="00812B7B" w:rsidRDefault="00812B7B" w:rsidP="009E36E2">
      <w:pPr>
        <w:pStyle w:val="COMPara"/>
        <w:ind w:left="567" w:hanging="567"/>
        <w:jc w:val="both"/>
        <w:rPr>
          <w:lang w:val="fr-FR"/>
        </w:rPr>
      </w:pPr>
      <w:r w:rsidRPr="00812B7B">
        <w:rPr>
          <w:lang w:val="fr-FR"/>
        </w:rPr>
        <w:t>Les situations de conflit et de déplacement peuvent engendrer des risques spécifiques et aigus pour le patrimoine vivant. Les déplacements forcés, la désorganisation des structures sociales et l’insécurité prolongée peuvent gravement affecter la pratique, la transmission et la viabilité du patrimoine culturel immatériel. Parallèlement, le patrimoine vivant peut constituer une ressource essentielle pour les communautés, leur permettant de renforcer leur résilience, de réduire leurs vulnérabilités et de les aider à se préparer aux situations d’urgence, à y faire face et à s’en relever. La sauvegarde du patrimoine vivant en situation de conflit et de déplacement est indissociable de la protection de la vie et du bien-être de ses détenteurs.</w:t>
      </w:r>
    </w:p>
    <w:p w14:paraId="13F9A181" w14:textId="642B3627" w:rsidR="00812B7B" w:rsidRDefault="00812B7B" w:rsidP="009E36E2">
      <w:pPr>
        <w:pStyle w:val="COMPara"/>
        <w:ind w:left="567" w:hanging="567"/>
        <w:jc w:val="both"/>
        <w:rPr>
          <w:lang w:val="fr-FR"/>
        </w:rPr>
      </w:pPr>
      <w:r w:rsidRPr="00812B7B">
        <w:rPr>
          <w:lang w:val="fr-FR"/>
        </w:rPr>
        <w:t>Dans ce contexte, l’UNESCO a élaboré</w:t>
      </w:r>
      <w:r>
        <w:rPr>
          <w:lang w:val="fr-FR"/>
        </w:rPr>
        <w:t xml:space="preserve"> les</w:t>
      </w:r>
      <w:r w:rsidRPr="00812B7B">
        <w:rPr>
          <w:lang w:val="fr-FR"/>
        </w:rPr>
        <w:t xml:space="preserve"> </w:t>
      </w:r>
      <w:r>
        <w:fldChar w:fldCharType="begin"/>
      </w:r>
      <w:r w:rsidRPr="004814E0">
        <w:rPr>
          <w:lang w:val="fr-FR"/>
        </w:rPr>
        <w:instrText>HYPERLINK "https://ich.unesco.org/fr/les-principes-et-modalites-operationnels-en-situations-d-urgence-01143"</w:instrText>
      </w:r>
      <w:r>
        <w:fldChar w:fldCharType="separate"/>
      </w:r>
      <w:r w:rsidRPr="00B911CB">
        <w:rPr>
          <w:rStyle w:val="Hyperlink"/>
          <w:lang w:val="fr-FR"/>
        </w:rPr>
        <w:t>principes et modalités opérationnels pour la sauvegarde du patrimoine culturel immatériel en situation d’urgence</w:t>
      </w:r>
      <w:r>
        <w:fldChar w:fldCharType="end"/>
      </w:r>
      <w:r w:rsidRPr="00812B7B">
        <w:rPr>
          <w:lang w:val="fr-FR"/>
        </w:rPr>
        <w:t>. Ces principes et modalités fournissent des orientations aux États parties et aux autres acteurs concernés sur la manière d’assurer au mieux la sauvegarde et la prise en compte du patrimoine culturel immatériel en situation d’urgence, conformément aux principes de la Convention de 2003. Ils définissent les actions appropriées aux trois grandes phases du cycle de gestion des urgences</w:t>
      </w:r>
      <w:r w:rsidR="00A91100">
        <w:rPr>
          <w:lang w:val="fr-FR"/>
        </w:rPr>
        <w:t> </w:t>
      </w:r>
      <w:r w:rsidRPr="00812B7B">
        <w:rPr>
          <w:lang w:val="fr-FR"/>
        </w:rPr>
        <w:t>: préparation, intervention et relèvement. Ces principes et modalités opérationnels ont été approuvés par le Comité intergouvernemental à sa quatorzième session, à Bogota (Colombie), en décembre 2019 (</w:t>
      </w:r>
      <w:r>
        <w:fldChar w:fldCharType="begin"/>
      </w:r>
      <w:r w:rsidRPr="004814E0">
        <w:rPr>
          <w:lang w:val="fr-FR"/>
        </w:rPr>
        <w:instrText>HYPERLINK "https://ich.unesco.org/fr/decisions/14.COM/13"</w:instrText>
      </w:r>
      <w:r>
        <w:fldChar w:fldCharType="separate"/>
      </w:r>
      <w:r>
        <w:rPr>
          <w:rStyle w:val="Hyperlink"/>
          <w:lang w:val="fr-FR"/>
        </w:rPr>
        <w:t>D</w:t>
      </w:r>
      <w:r w:rsidRPr="00B911CB">
        <w:rPr>
          <w:rStyle w:val="Hyperlink"/>
          <w:lang w:val="fr-FR"/>
        </w:rPr>
        <w:t>écision 14.COM 13</w:t>
      </w:r>
      <w:r>
        <w:fldChar w:fldCharType="end"/>
      </w:r>
      <w:r w:rsidRPr="00812B7B">
        <w:rPr>
          <w:lang w:val="fr-FR"/>
        </w:rPr>
        <w:t xml:space="preserve">) et par l’Assemblée générale à sa huitième session, en septembre 2020 </w:t>
      </w:r>
      <w:r w:rsidRPr="00B911CB">
        <w:rPr>
          <w:lang w:val="fr-FR"/>
        </w:rPr>
        <w:t>(</w:t>
      </w:r>
      <w:r>
        <w:fldChar w:fldCharType="begin"/>
      </w:r>
      <w:r w:rsidRPr="004814E0">
        <w:rPr>
          <w:lang w:val="fr-FR"/>
        </w:rPr>
        <w:instrText>HYPERLINK "https://ich.unesco.org/fr/decisions/8.GA/9"</w:instrText>
      </w:r>
      <w:r>
        <w:fldChar w:fldCharType="separate"/>
      </w:r>
      <w:r>
        <w:rPr>
          <w:rStyle w:val="Hyperlink"/>
          <w:lang w:val="fr-FR"/>
        </w:rPr>
        <w:t>R</w:t>
      </w:r>
      <w:r w:rsidRPr="00B911CB">
        <w:rPr>
          <w:rStyle w:val="Hyperlink"/>
          <w:lang w:val="fr-FR"/>
        </w:rPr>
        <w:t>ésolution 8.GA 9</w:t>
      </w:r>
      <w:r>
        <w:fldChar w:fldCharType="end"/>
      </w:r>
      <w:r w:rsidRPr="00B911CB">
        <w:rPr>
          <w:lang w:val="fr-FR"/>
        </w:rPr>
        <w:t>)</w:t>
      </w:r>
      <w:r w:rsidRPr="00812B7B">
        <w:rPr>
          <w:lang w:val="fr-FR"/>
        </w:rPr>
        <w:t>.</w:t>
      </w:r>
    </w:p>
    <w:p w14:paraId="5F9ACCB8" w14:textId="3E4C6D6D" w:rsidR="00812B7B" w:rsidRPr="00812B7B" w:rsidRDefault="00812B7B" w:rsidP="009E36E2">
      <w:pPr>
        <w:pStyle w:val="COMPara"/>
        <w:ind w:left="567" w:hanging="567"/>
        <w:jc w:val="both"/>
        <w:rPr>
          <w:lang w:val="fr-FR"/>
        </w:rPr>
      </w:pPr>
      <w:r w:rsidRPr="00812B7B">
        <w:rPr>
          <w:lang w:val="fr-FR"/>
        </w:rPr>
        <w:t xml:space="preserve">Elles devraient être considérées en parallèle </w:t>
      </w:r>
      <w:r w:rsidR="0086358D">
        <w:rPr>
          <w:lang w:val="fr-FR"/>
        </w:rPr>
        <w:t>des</w:t>
      </w:r>
      <w:r w:rsidRPr="00812B7B">
        <w:rPr>
          <w:lang w:val="fr-FR"/>
        </w:rPr>
        <w:t xml:space="preserve"> dispositions pertinentes de la Convention de 2003 et de ses </w:t>
      </w:r>
      <w:r w:rsidR="0086358D">
        <w:fldChar w:fldCharType="begin"/>
      </w:r>
      <w:r w:rsidR="0086358D" w:rsidRPr="004814E0">
        <w:rPr>
          <w:lang w:val="fr-FR"/>
        </w:rPr>
        <w:instrText>HYPERLINK "https://ich.unesco.org/fr/directives?ref_paragraph=en-directives"</w:instrText>
      </w:r>
      <w:r w:rsidR="0086358D">
        <w:fldChar w:fldCharType="separate"/>
      </w:r>
      <w:r w:rsidR="0086358D" w:rsidRPr="004B292F">
        <w:rPr>
          <w:rStyle w:val="Hyperlink"/>
          <w:lang w:val="fr-FR"/>
        </w:rPr>
        <w:t>D</w:t>
      </w:r>
      <w:r w:rsidRPr="004B292F">
        <w:rPr>
          <w:rStyle w:val="Hyperlink"/>
          <w:lang w:val="fr-FR"/>
        </w:rPr>
        <w:t>irectives opérationnelles</w:t>
      </w:r>
      <w:r w:rsidR="0086358D">
        <w:fldChar w:fldCharType="end"/>
      </w:r>
      <w:r w:rsidRPr="00812B7B">
        <w:rPr>
          <w:lang w:val="fr-FR"/>
        </w:rPr>
        <w:t xml:space="preserve">, notamment le chapitre VI sur la sauvegarde du patrimoine culturel immatériel et le développement durable au niveau national et son sous-chapitre VI.4 sur le </w:t>
      </w:r>
      <w:r w:rsidR="004B292F" w:rsidRPr="00F36124">
        <w:rPr>
          <w:lang w:val="fr-FR"/>
        </w:rPr>
        <w:t>patrimoine culturel immatériel et la paix</w:t>
      </w:r>
      <w:r w:rsidRPr="00812B7B">
        <w:rPr>
          <w:lang w:val="fr-FR"/>
        </w:rPr>
        <w:t xml:space="preserve">, ainsi que les </w:t>
      </w:r>
      <w:r w:rsidR="0086358D">
        <w:fldChar w:fldCharType="begin"/>
      </w:r>
      <w:r w:rsidR="0086358D" w:rsidRPr="004814E0">
        <w:rPr>
          <w:lang w:val="fr-FR"/>
        </w:rPr>
        <w:instrText>HYPERLINK "https://ich.unesco.org/fr/ethique-et-pci-00866"</w:instrText>
      </w:r>
      <w:r w:rsidR="0086358D">
        <w:fldChar w:fldCharType="separate"/>
      </w:r>
      <w:r w:rsidR="0086358D">
        <w:rPr>
          <w:rStyle w:val="Hyperlink"/>
          <w:lang w:val="fr-FR"/>
        </w:rPr>
        <w:t>P</w:t>
      </w:r>
      <w:r w:rsidRPr="00812B7B">
        <w:rPr>
          <w:rStyle w:val="Hyperlink"/>
          <w:lang w:val="fr-FR"/>
        </w:rPr>
        <w:t xml:space="preserve">rincipes éthiques </w:t>
      </w:r>
      <w:r w:rsidRPr="00812B7B">
        <w:rPr>
          <w:rStyle w:val="Hyperlink"/>
          <w:color w:val="auto"/>
          <w:u w:val="none"/>
          <w:lang w:val="fr-FR"/>
        </w:rPr>
        <w:t>pour la sauvegarde du patrimoine culturel immatériel</w:t>
      </w:r>
      <w:r w:rsidR="0086358D">
        <w:fldChar w:fldCharType="end"/>
      </w:r>
      <w:r w:rsidRPr="00812B7B">
        <w:rPr>
          <w:lang w:val="fr-FR"/>
        </w:rPr>
        <w:t xml:space="preserve">. </w:t>
      </w:r>
    </w:p>
    <w:p w14:paraId="0F842A05" w14:textId="77777777" w:rsidR="00812B7B" w:rsidRDefault="00812B7B" w:rsidP="009E36E2">
      <w:pPr>
        <w:pStyle w:val="COMPara"/>
        <w:ind w:left="567" w:hanging="567"/>
        <w:jc w:val="both"/>
        <w:rPr>
          <w:lang w:val="fr-FR"/>
        </w:rPr>
      </w:pPr>
      <w:r w:rsidRPr="00812B7B">
        <w:rPr>
          <w:lang w:val="fr-FR"/>
        </w:rPr>
        <w:t>Depuis l’adoption des principes et modalités opérationnels, l’UNESCO a progressivement acquis de l’expérience dans leur mise en œuvre. L’une des principales approches méthodologiques qui en découle est l’identification des besoins par les communautés, qui a été appliquée et testée dans divers contextes de conflit et de déplacement. Grâce à cette identification, les communautés elles-mêmes recensent les risques qui menacent leur patrimoine vivant, ainsi que leurs priorités et leurs capacités de sauvegarde.</w:t>
      </w:r>
    </w:p>
    <w:p w14:paraId="20941EB5" w14:textId="39BA440F" w:rsidR="00812B7B" w:rsidRDefault="00812B7B" w:rsidP="009E36E2">
      <w:pPr>
        <w:pStyle w:val="COMPara"/>
        <w:ind w:left="567" w:hanging="567"/>
        <w:jc w:val="both"/>
        <w:rPr>
          <w:lang w:val="fr-FR"/>
        </w:rPr>
      </w:pPr>
      <w:r w:rsidRPr="00812B7B">
        <w:rPr>
          <w:lang w:val="fr-FR"/>
        </w:rPr>
        <w:t xml:space="preserve">Afin de consolider ces expériences et de renforcer l’approche, l’UNESCO a élaboré et mis à l’essai des outils de formation destinés à faciliter la mise en œuvre des principes et modalités opérationnels au niveau local. Parmi ceux-ci figurent </w:t>
      </w:r>
      <w:r>
        <w:fldChar w:fldCharType="begin"/>
      </w:r>
      <w:r w:rsidRPr="004814E0">
        <w:rPr>
          <w:lang w:val="fr-FR"/>
        </w:rPr>
        <w:instrText>HYPERLINK "https://ich.unesco.org/fr/materiel-renforcement-capacites" \l "unite-65-principes-fondamentaux-de-la-sauvegarde-du-patrimoine-culturel-immateriel-dans-les-situations-de-conflit-et-de-deplacement-forcebr"</w:instrText>
      </w:r>
      <w:r>
        <w:fldChar w:fldCharType="separate"/>
      </w:r>
      <w:r w:rsidRPr="00FA6AF7">
        <w:rPr>
          <w:rStyle w:val="Hyperlink"/>
          <w:lang w:val="fr-FR"/>
        </w:rPr>
        <w:t>deux modules de formation sur la sauvegarde du patrimoine vivant en situation de conflit et de déplacement forcé</w:t>
      </w:r>
      <w:r>
        <w:fldChar w:fldCharType="end"/>
      </w:r>
      <w:r w:rsidRPr="00812B7B">
        <w:rPr>
          <w:lang w:val="fr-FR"/>
        </w:rPr>
        <w:t>. Le premier module présente le lien entre la sauvegarde du patrimoine culturel immatériel et les situations de conflit et de déplacement forcé (module 65), tandis que le second fournit des orientations pour la réalisation d’enquêtes communautaires sur les besoins dans ces contextes (module 66). Ces ressources, ainsi qu’un guide à l’intention des travailleurs humanitaires sur la sauvegarde du patrimoine vivant en situation de conflit et de déplacement forcé (à paraître), constituent des outils précieux pour le travail dans ce domaine.</w:t>
      </w:r>
    </w:p>
    <w:p w14:paraId="028B8626" w14:textId="1C524EAD" w:rsidR="009E36E2" w:rsidRPr="00C1208E" w:rsidRDefault="009E36E2" w:rsidP="001070A2">
      <w:pPr>
        <w:pStyle w:val="COMPara"/>
        <w:numPr>
          <w:ilvl w:val="0"/>
          <w:numId w:val="6"/>
        </w:numPr>
        <w:spacing w:before="120"/>
        <w:ind w:left="547" w:hanging="547"/>
        <w:jc w:val="both"/>
        <w:rPr>
          <w:b/>
          <w:bCs/>
          <w:lang w:val="fr-FR"/>
        </w:rPr>
      </w:pPr>
      <w:r w:rsidRPr="00C1208E">
        <w:rPr>
          <w:b/>
          <w:bCs/>
          <w:lang w:val="fr-FR"/>
        </w:rPr>
        <w:t>Object</w:t>
      </w:r>
      <w:r w:rsidR="003D626D">
        <w:rPr>
          <w:b/>
          <w:bCs/>
          <w:lang w:val="fr-FR"/>
        </w:rPr>
        <w:t>ifs</w:t>
      </w:r>
    </w:p>
    <w:p w14:paraId="7BE8EA79" w14:textId="77777777" w:rsidR="00C673E0" w:rsidRDefault="00C673E0" w:rsidP="00C673E0">
      <w:pPr>
        <w:pStyle w:val="COMPara"/>
        <w:ind w:left="567" w:hanging="567"/>
        <w:jc w:val="both"/>
        <w:rPr>
          <w:lang w:val="fr-FR"/>
        </w:rPr>
      </w:pPr>
      <w:r w:rsidRPr="00C673E0">
        <w:rPr>
          <w:lang w:val="fr-FR"/>
        </w:rPr>
        <w:t xml:space="preserve">Dans ce cadre, l’UNESCO organise cette session de formation en ligne afin d’approfondir les connaissances conceptuelles et pratiques des membres du Réseau mondial des facilitateurs dans ce domaine thématique. Ce webinaire présentera les ressources existantes, partagera </w:t>
      </w:r>
      <w:r w:rsidRPr="00C673E0">
        <w:rPr>
          <w:lang w:val="fr-FR"/>
        </w:rPr>
        <w:lastRenderedPageBreak/>
        <w:t>des expériences opérationnelles et offrira aux facilitateurs un espace d’échange. Les objectifs d’apprentissage sont les suivants :</w:t>
      </w:r>
    </w:p>
    <w:p w14:paraId="579526F0" w14:textId="77777777" w:rsidR="00C673E0" w:rsidRDefault="00C673E0" w:rsidP="00570335">
      <w:pPr>
        <w:pStyle w:val="COMPara"/>
        <w:numPr>
          <w:ilvl w:val="1"/>
          <w:numId w:val="2"/>
        </w:numPr>
        <w:jc w:val="both"/>
        <w:rPr>
          <w:lang w:val="fr-FR"/>
        </w:rPr>
      </w:pPr>
      <w:r w:rsidRPr="00C673E0">
        <w:rPr>
          <w:lang w:val="fr-FR"/>
        </w:rPr>
        <w:t>Approfondir la compréhension des approches de renforcement des capacités pour traduire les principes et modalités opérationnels en actions concrètes, en particulier dans les situations de conflit et de déplacement.</w:t>
      </w:r>
    </w:p>
    <w:p w14:paraId="392B7932" w14:textId="77777777" w:rsidR="00C673E0" w:rsidRDefault="00C673E0" w:rsidP="00570335">
      <w:pPr>
        <w:pStyle w:val="COMPara"/>
        <w:numPr>
          <w:ilvl w:val="1"/>
          <w:numId w:val="2"/>
        </w:numPr>
        <w:jc w:val="both"/>
        <w:rPr>
          <w:lang w:val="fr-FR"/>
        </w:rPr>
      </w:pPr>
      <w:r w:rsidRPr="00C673E0">
        <w:rPr>
          <w:lang w:val="fr-FR"/>
        </w:rPr>
        <w:t>Développer une compréhension commune des principaux défis et opportunités liés à l’intégration du patrimoine culturel immatériel tout au long du cycle d’urgence, y compris la préparation, la réponse et le relèvement.</w:t>
      </w:r>
    </w:p>
    <w:p w14:paraId="396AEBDD" w14:textId="77777777" w:rsidR="00C673E0" w:rsidRDefault="00C673E0" w:rsidP="00570335">
      <w:pPr>
        <w:pStyle w:val="COMPara"/>
        <w:numPr>
          <w:ilvl w:val="1"/>
          <w:numId w:val="2"/>
        </w:numPr>
        <w:jc w:val="both"/>
        <w:rPr>
          <w:lang w:val="fr-FR"/>
        </w:rPr>
      </w:pPr>
      <w:r w:rsidRPr="00C673E0">
        <w:rPr>
          <w:lang w:val="fr-FR"/>
        </w:rPr>
        <w:t>Analyser et partager les expériences et outils pratiques, notamment l’identification des besoins communautaires, pour la sauvegarde du patrimoine culturel immatériel dans des contextes opérationnels complexes et en constante évolution.</w:t>
      </w:r>
    </w:p>
    <w:p w14:paraId="2386D7B9" w14:textId="77777777" w:rsidR="001070A2" w:rsidRDefault="0008687B" w:rsidP="001070A2">
      <w:pPr>
        <w:pStyle w:val="COMPara"/>
        <w:numPr>
          <w:ilvl w:val="0"/>
          <w:numId w:val="0"/>
        </w:numPr>
        <w:ind w:left="360"/>
        <w:jc w:val="both"/>
        <w:rPr>
          <w:lang w:val="fr-FR"/>
        </w:rPr>
      </w:pPr>
      <w:r w:rsidRPr="00C673E0">
        <w:rPr>
          <w:lang w:val="fr-FR"/>
        </w:rPr>
        <w:t xml:space="preserve">Cette session est conçue pour tous les facilitateurs, quelle que soit leur expérience préalable en milieu urbain. </w:t>
      </w:r>
      <w:r w:rsidR="00E7012C" w:rsidRPr="00C673E0">
        <w:rPr>
          <w:lang w:val="fr-FR"/>
        </w:rPr>
        <w:t>Une courte enquête</w:t>
      </w:r>
      <w:r w:rsidR="00FE38F2" w:rsidRPr="00C673E0">
        <w:rPr>
          <w:lang w:val="fr-FR"/>
        </w:rPr>
        <w:t xml:space="preserve"> </w:t>
      </w:r>
      <w:r w:rsidRPr="00C673E0">
        <w:rPr>
          <w:lang w:val="fr-FR"/>
        </w:rPr>
        <w:t>sera mené</w:t>
      </w:r>
      <w:r w:rsidR="00FE38F2" w:rsidRPr="00C673E0">
        <w:rPr>
          <w:lang w:val="fr-FR"/>
        </w:rPr>
        <w:t>e</w:t>
      </w:r>
      <w:r w:rsidRPr="00C673E0">
        <w:rPr>
          <w:lang w:val="fr-FR"/>
        </w:rPr>
        <w:t xml:space="preserve"> </w:t>
      </w:r>
      <w:r w:rsidR="00FE38F2" w:rsidRPr="00C673E0">
        <w:rPr>
          <w:lang w:val="fr-FR"/>
        </w:rPr>
        <w:t xml:space="preserve">en amont de </w:t>
      </w:r>
      <w:r w:rsidRPr="00C673E0">
        <w:rPr>
          <w:lang w:val="fr-FR"/>
        </w:rPr>
        <w:t xml:space="preserve">la formation afin de recueillir des exemples et </w:t>
      </w:r>
      <w:r w:rsidR="00FE38F2" w:rsidRPr="00C673E0">
        <w:rPr>
          <w:lang w:val="fr-FR"/>
        </w:rPr>
        <w:t xml:space="preserve">retours d’expérience </w:t>
      </w:r>
      <w:r w:rsidRPr="00C673E0">
        <w:rPr>
          <w:lang w:val="fr-FR"/>
        </w:rPr>
        <w:t>des participants, qui pourront être partagés pendant la session</w:t>
      </w:r>
      <w:r w:rsidR="009E36E2" w:rsidRPr="00C673E0">
        <w:rPr>
          <w:lang w:val="fr-FR"/>
        </w:rPr>
        <w:t>.</w:t>
      </w:r>
    </w:p>
    <w:p w14:paraId="020EFD0F" w14:textId="77777777" w:rsidR="001070A2" w:rsidRDefault="001070A2" w:rsidP="001070A2">
      <w:pPr>
        <w:pStyle w:val="COMPara"/>
        <w:numPr>
          <w:ilvl w:val="0"/>
          <w:numId w:val="0"/>
        </w:numPr>
        <w:ind w:left="360"/>
        <w:jc w:val="both"/>
        <w:rPr>
          <w:b/>
          <w:bCs/>
          <w:lang w:val="fr-FR"/>
        </w:rPr>
      </w:pPr>
    </w:p>
    <w:p w14:paraId="2EDE05AF" w14:textId="4F015B0E" w:rsidR="009E36E2" w:rsidRPr="0008687B" w:rsidRDefault="009E36E2" w:rsidP="001070A2">
      <w:pPr>
        <w:pStyle w:val="COMPara"/>
        <w:numPr>
          <w:ilvl w:val="0"/>
          <w:numId w:val="0"/>
        </w:numPr>
        <w:ind w:left="360"/>
        <w:jc w:val="both"/>
        <w:rPr>
          <w:rFonts w:eastAsiaTheme="minorEastAsia"/>
          <w:lang w:val="fr-FR" w:eastAsia="ko-KR"/>
        </w:rPr>
      </w:pPr>
      <w:r w:rsidRPr="0008687B">
        <w:rPr>
          <w:b/>
          <w:bCs/>
          <w:lang w:val="fr-FR"/>
        </w:rPr>
        <w:t>List</w:t>
      </w:r>
      <w:r w:rsidR="00932E93">
        <w:rPr>
          <w:b/>
          <w:bCs/>
          <w:lang w:val="fr-FR"/>
        </w:rPr>
        <w:t>e</w:t>
      </w:r>
      <w:r w:rsidRPr="0008687B">
        <w:rPr>
          <w:b/>
          <w:bCs/>
          <w:lang w:val="fr-FR"/>
        </w:rPr>
        <w:t xml:space="preserve"> </w:t>
      </w:r>
      <w:r w:rsidR="000072D4" w:rsidRPr="000072D4">
        <w:rPr>
          <w:b/>
          <w:bCs/>
          <w:lang w:val="fr-FR"/>
        </w:rPr>
        <w:t>des références</w:t>
      </w:r>
    </w:p>
    <w:tbl>
      <w:tblPr>
        <w:tblStyle w:val="TableGrid"/>
        <w:tblW w:w="9796" w:type="dxa"/>
        <w:tblLayout w:type="fixed"/>
        <w:tblLook w:val="04A0" w:firstRow="1" w:lastRow="0" w:firstColumn="1" w:lastColumn="0" w:noHBand="0" w:noVBand="1"/>
      </w:tblPr>
      <w:tblGrid>
        <w:gridCol w:w="4495"/>
        <w:gridCol w:w="5301"/>
      </w:tblGrid>
      <w:tr w:rsidR="009E36E2" w:rsidRPr="00C673E0" w14:paraId="3271D2BB" w14:textId="77777777" w:rsidTr="009A4DEC">
        <w:trPr>
          <w:trHeight w:val="454"/>
        </w:trPr>
        <w:tc>
          <w:tcPr>
            <w:tcW w:w="9796" w:type="dxa"/>
            <w:gridSpan w:val="2"/>
            <w:shd w:val="clear" w:color="auto" w:fill="F2F2F2" w:themeFill="background1" w:themeFillShade="F2"/>
          </w:tcPr>
          <w:p w14:paraId="168CCBC4" w14:textId="1AF459DD" w:rsidR="009E36E2" w:rsidRPr="00C673E0" w:rsidRDefault="000072D4" w:rsidP="0089649A">
            <w:pPr>
              <w:pStyle w:val="1GAPara"/>
              <w:keepNext/>
              <w:spacing w:before="120"/>
              <w:ind w:left="0" w:firstLine="0"/>
              <w:rPr>
                <w:rFonts w:eastAsiaTheme="minorEastAsia"/>
                <w:lang w:val="fr-FR" w:eastAsia="ko-KR"/>
              </w:rPr>
            </w:pPr>
            <w:r w:rsidRPr="00C673E0">
              <w:rPr>
                <w:rFonts w:eastAsiaTheme="minorEastAsia"/>
                <w:lang w:val="fr"/>
              </w:rPr>
              <w:t>Documents de référence</w:t>
            </w:r>
          </w:p>
        </w:tc>
      </w:tr>
      <w:tr w:rsidR="000072D4" w:rsidRPr="00C673E0" w14:paraId="66CCA6D6" w14:textId="77777777" w:rsidTr="009A4DEC">
        <w:trPr>
          <w:trHeight w:val="454"/>
        </w:trPr>
        <w:tc>
          <w:tcPr>
            <w:tcW w:w="4495" w:type="dxa"/>
          </w:tcPr>
          <w:p w14:paraId="53AE1012" w14:textId="2E2605E3" w:rsidR="000072D4" w:rsidRPr="00C673E0" w:rsidRDefault="000072D4" w:rsidP="000072D4">
            <w:pPr>
              <w:pStyle w:val="1GAPara"/>
              <w:keepNext/>
              <w:spacing w:before="120"/>
              <w:ind w:left="0" w:firstLine="0"/>
              <w:rPr>
                <w:rFonts w:eastAsiaTheme="minorEastAsia"/>
                <w:lang w:val="fr-FR" w:eastAsia="ko-KR"/>
              </w:rPr>
            </w:pPr>
            <w:r w:rsidRPr="00C673E0">
              <w:rPr>
                <w:rFonts w:eastAsiaTheme="minorEastAsia"/>
                <w:lang w:val="fr"/>
              </w:rPr>
              <w:t>Textes fondamentaux de la Convention de 2003 (édition 2024)</w:t>
            </w:r>
          </w:p>
        </w:tc>
        <w:tc>
          <w:tcPr>
            <w:tcW w:w="5301" w:type="dxa"/>
            <w:vAlign w:val="center"/>
          </w:tcPr>
          <w:p w14:paraId="57AB6EF6" w14:textId="2B73596B" w:rsidR="000072D4" w:rsidRPr="00C673E0" w:rsidRDefault="00993C3C" w:rsidP="000072D4">
            <w:pPr>
              <w:pStyle w:val="1GAPara"/>
              <w:keepNext/>
              <w:spacing w:before="120"/>
              <w:ind w:left="0" w:firstLine="0"/>
              <w:rPr>
                <w:rFonts w:eastAsiaTheme="minorEastAsia"/>
                <w:lang w:val="fr-FR" w:eastAsia="ko-KR"/>
              </w:rPr>
            </w:pPr>
            <w:r>
              <w:fldChar w:fldCharType="begin"/>
            </w:r>
            <w:r w:rsidRPr="004814E0">
              <w:rPr>
                <w:lang w:val="fr-FR"/>
              </w:rPr>
              <w:instrText>HYPERLINK "https://ich.unesco.org/doc/src/2003_Convention_Basic_Texts_2024_version_FR.pdf?v=1732024325"</w:instrText>
            </w:r>
            <w:r>
              <w:fldChar w:fldCharType="separate"/>
            </w:r>
            <w:r w:rsidRPr="006C061C">
              <w:rPr>
                <w:rStyle w:val="Hyperlink"/>
                <w:rFonts w:eastAsiaTheme="minorEastAsia"/>
                <w:lang w:val="fr-FR" w:eastAsia="ko-KR"/>
              </w:rPr>
              <w:t>https://ich.unesco.org/doc/src/2003_Convention_Basic_Texts_2024_version_FR.pdf?v=1732024325</w:t>
            </w:r>
            <w:r>
              <w:fldChar w:fldCharType="end"/>
            </w:r>
            <w:r>
              <w:rPr>
                <w:rFonts w:eastAsiaTheme="minorEastAsia"/>
                <w:lang w:val="fr-FR" w:eastAsia="ko-KR"/>
              </w:rPr>
              <w:t xml:space="preserve">  </w:t>
            </w:r>
          </w:p>
        </w:tc>
      </w:tr>
      <w:tr w:rsidR="006D2047" w:rsidRPr="00C673E0" w14:paraId="3AA5779E" w14:textId="77777777" w:rsidTr="009A4DEC">
        <w:trPr>
          <w:trHeight w:val="454"/>
        </w:trPr>
        <w:tc>
          <w:tcPr>
            <w:tcW w:w="4495" w:type="dxa"/>
          </w:tcPr>
          <w:p w14:paraId="320DCEBB" w14:textId="6EF84277" w:rsidR="006D2047" w:rsidRPr="00C673E0" w:rsidRDefault="006D2047" w:rsidP="006D2047">
            <w:pPr>
              <w:pStyle w:val="1GAPara"/>
              <w:keepNext/>
              <w:spacing w:before="120"/>
              <w:ind w:left="0" w:firstLine="0"/>
              <w:rPr>
                <w:rFonts w:eastAsiaTheme="minorEastAsia"/>
                <w:lang w:val="fr"/>
              </w:rPr>
            </w:pPr>
            <w:r>
              <w:rPr>
                <w:rFonts w:eastAsiaTheme="minorEastAsia"/>
                <w:lang w:val="fr-FR" w:eastAsia="ko-KR"/>
              </w:rPr>
              <w:t>Page web </w:t>
            </w:r>
            <w:r w:rsidRPr="00C673E0">
              <w:rPr>
                <w:lang w:val="fr-FR"/>
              </w:rPr>
              <w:t>dédiée</w:t>
            </w:r>
            <w:r>
              <w:rPr>
                <w:rFonts w:eastAsiaTheme="minorEastAsia"/>
                <w:lang w:val="fr-FR" w:eastAsia="ko-KR"/>
              </w:rPr>
              <w:t xml:space="preserve"> au </w:t>
            </w:r>
            <w:r w:rsidRPr="00C673E0">
              <w:rPr>
                <w:rFonts w:eastAsiaTheme="minorEastAsia"/>
                <w:lang w:val="fr-FR" w:eastAsia="ko-KR"/>
              </w:rPr>
              <w:t>patrimoine vivant dans les situations d’urgence</w:t>
            </w:r>
          </w:p>
        </w:tc>
        <w:tc>
          <w:tcPr>
            <w:tcW w:w="5301" w:type="dxa"/>
            <w:vAlign w:val="center"/>
          </w:tcPr>
          <w:p w14:paraId="56C0B9D1" w14:textId="451ACADD" w:rsidR="006D2047" w:rsidRPr="006D2047" w:rsidRDefault="006D2047" w:rsidP="006D2047">
            <w:pPr>
              <w:pStyle w:val="1GAPara"/>
              <w:keepNext/>
              <w:spacing w:before="120"/>
              <w:ind w:left="0" w:firstLine="0"/>
              <w:rPr>
                <w:lang w:val="fr"/>
              </w:rPr>
            </w:pPr>
            <w:hyperlink r:id="rId8" w:history="1">
              <w:r w:rsidRPr="001E2BB1">
                <w:rPr>
                  <w:rStyle w:val="Hyperlink"/>
                  <w:lang w:val="fr-FR"/>
                </w:rPr>
                <w:t>https://ich.unesco.org/fr/situations-d-urgence</w:t>
              </w:r>
            </w:hyperlink>
            <w:hyperlink r:id="rId9" w:history="1"/>
          </w:p>
        </w:tc>
      </w:tr>
      <w:tr w:rsidR="009E36E2" w:rsidRPr="006D2047" w14:paraId="65D66466" w14:textId="77777777" w:rsidTr="009A4DEC">
        <w:trPr>
          <w:trHeight w:val="454"/>
        </w:trPr>
        <w:tc>
          <w:tcPr>
            <w:tcW w:w="4495" w:type="dxa"/>
          </w:tcPr>
          <w:p w14:paraId="0B15E271" w14:textId="77777777" w:rsidR="006D2047" w:rsidRDefault="00C673E0" w:rsidP="00F36124">
            <w:pPr>
              <w:pStyle w:val="1GAPara"/>
              <w:keepNext/>
              <w:spacing w:before="360"/>
              <w:ind w:left="0" w:firstLine="0"/>
              <w:rPr>
                <w:rFonts w:eastAsiaTheme="minorEastAsia"/>
                <w:lang w:val="fr-FR" w:eastAsia="ko-KR"/>
              </w:rPr>
            </w:pPr>
            <w:r w:rsidRPr="009A4DEC">
              <w:rPr>
                <w:rFonts w:eastAsiaTheme="minorEastAsia"/>
                <w:lang w:val="fr-FR" w:eastAsia="ko-KR"/>
              </w:rPr>
              <w:t>Les principes et modalités opérationnels pour la sauvegarde du patrimoine culturel immatériel en situations d’urgence</w:t>
            </w:r>
          </w:p>
          <w:p w14:paraId="5CA75CD3" w14:textId="0C55EF73" w:rsidR="009A4DEC" w:rsidRPr="00F36124" w:rsidRDefault="001070A2" w:rsidP="00F36124">
            <w:pPr>
              <w:pStyle w:val="1GAPara"/>
              <w:keepNext/>
              <w:spacing w:before="360"/>
              <w:ind w:left="0" w:firstLine="0"/>
              <w:rPr>
                <w:rFonts w:eastAsiaTheme="minorEastAsia"/>
                <w:lang w:val="fr-FR" w:eastAsia="ko-KR"/>
              </w:rPr>
            </w:pPr>
            <w:r w:rsidRPr="00F36124">
              <w:rPr>
                <w:rFonts w:eastAsiaTheme="minorEastAsia"/>
                <w:lang w:val="fr-FR" w:eastAsia="ko-KR"/>
              </w:rPr>
              <w:t>Décision</w:t>
            </w:r>
            <w:r w:rsidR="009A4DEC" w:rsidRPr="00F36124">
              <w:rPr>
                <w:rFonts w:eastAsiaTheme="minorEastAsia"/>
                <w:lang w:val="fr-FR" w:eastAsia="ko-KR"/>
              </w:rPr>
              <w:t xml:space="preserve"> 14.COM/13 </w:t>
            </w:r>
          </w:p>
          <w:p w14:paraId="542946EB" w14:textId="3E188DB6" w:rsidR="006D2047" w:rsidRPr="00C673E0" w:rsidRDefault="001070A2" w:rsidP="009A4DEC">
            <w:pPr>
              <w:pStyle w:val="1GAPara"/>
              <w:keepNext/>
              <w:spacing w:before="120"/>
              <w:ind w:left="0" w:firstLine="0"/>
              <w:rPr>
                <w:rFonts w:eastAsiaTheme="minorEastAsia"/>
                <w:lang w:val="fr-FR" w:eastAsia="ko-KR"/>
              </w:rPr>
            </w:pPr>
            <w:r w:rsidRPr="00F36124">
              <w:rPr>
                <w:rFonts w:eastAsiaTheme="minorEastAsia"/>
                <w:lang w:val="fr-FR" w:eastAsia="ko-KR"/>
              </w:rPr>
              <w:t>Résolution</w:t>
            </w:r>
            <w:r w:rsidR="009A4DEC" w:rsidRPr="00F36124">
              <w:rPr>
                <w:rFonts w:eastAsiaTheme="minorEastAsia"/>
                <w:lang w:val="fr-FR" w:eastAsia="ko-KR"/>
              </w:rPr>
              <w:t xml:space="preserve"> 8.GA 9</w:t>
            </w:r>
          </w:p>
        </w:tc>
        <w:tc>
          <w:tcPr>
            <w:tcW w:w="5301" w:type="dxa"/>
            <w:vAlign w:val="center"/>
          </w:tcPr>
          <w:p w14:paraId="17C0A875" w14:textId="339BC5D8" w:rsidR="009E36E2" w:rsidRDefault="00993C3C" w:rsidP="0089649A">
            <w:pPr>
              <w:pStyle w:val="1GAPara"/>
              <w:keepNext/>
              <w:spacing w:before="120"/>
              <w:ind w:left="0" w:firstLine="0"/>
              <w:rPr>
                <w:lang w:val="fr-FR"/>
              </w:rPr>
            </w:pPr>
            <w:r>
              <w:fldChar w:fldCharType="begin"/>
            </w:r>
            <w:r w:rsidRPr="004814E0">
              <w:rPr>
                <w:lang w:val="fr-FR"/>
              </w:rPr>
              <w:instrText>HYPERLINK "https://ich.unesco.org/fr/les-principes-et-modalites-operationnels-en-situations-d-urgence-01143"</w:instrText>
            </w:r>
            <w:r>
              <w:fldChar w:fldCharType="separate"/>
            </w:r>
            <w:r w:rsidRPr="006C061C">
              <w:rPr>
                <w:rStyle w:val="Hyperlink"/>
                <w:lang w:val="fr-FR"/>
              </w:rPr>
              <w:t>https://ich.unesco.org/fr/les-principes-et-modalites-operationnels-en-situations-d-urgence-01143</w:t>
            </w:r>
            <w:r>
              <w:fldChar w:fldCharType="end"/>
            </w:r>
          </w:p>
          <w:p w14:paraId="69CDC47B" w14:textId="77777777" w:rsidR="00993C3C" w:rsidRDefault="00993C3C" w:rsidP="0089649A">
            <w:pPr>
              <w:pStyle w:val="1GAPara"/>
              <w:keepNext/>
              <w:spacing w:before="120"/>
              <w:ind w:left="0" w:firstLine="0"/>
              <w:rPr>
                <w:lang w:val="fr-FR"/>
              </w:rPr>
            </w:pPr>
          </w:p>
          <w:p w14:paraId="16E5E57D" w14:textId="679DBAD0" w:rsidR="009A4DEC" w:rsidRPr="006D2047" w:rsidRDefault="006D2047" w:rsidP="0089649A">
            <w:pPr>
              <w:pStyle w:val="1GAPara"/>
              <w:keepNext/>
              <w:spacing w:before="120"/>
              <w:ind w:left="0" w:firstLine="0"/>
              <w:rPr>
                <w:lang w:val="fr-FR"/>
              </w:rPr>
            </w:pPr>
            <w:r>
              <w:fldChar w:fldCharType="begin"/>
            </w:r>
            <w:r w:rsidRPr="004814E0">
              <w:rPr>
                <w:lang w:val="fr-FR"/>
              </w:rPr>
              <w:instrText>HYPERLINK "https://ich.unesco.org/fr/decisions/14.COM/13"</w:instrText>
            </w:r>
            <w:r>
              <w:fldChar w:fldCharType="separate"/>
            </w:r>
            <w:r w:rsidRPr="00AA32CD">
              <w:rPr>
                <w:rStyle w:val="Hyperlink"/>
                <w:lang w:val="fr-FR"/>
              </w:rPr>
              <w:t>https://ich.unesco.org/fr/decisions/14.COM/13</w:t>
            </w:r>
            <w:r>
              <w:fldChar w:fldCharType="end"/>
            </w:r>
            <w:r>
              <w:rPr>
                <w:lang w:val="fr-FR"/>
              </w:rPr>
              <w:t xml:space="preserve"> </w:t>
            </w:r>
          </w:p>
          <w:p w14:paraId="4E9283C8" w14:textId="1A58DA36" w:rsidR="009A4DEC" w:rsidRPr="006D2047" w:rsidRDefault="006D2047" w:rsidP="0089649A">
            <w:pPr>
              <w:pStyle w:val="1GAPara"/>
              <w:keepNext/>
              <w:spacing w:before="120"/>
              <w:ind w:left="0" w:firstLine="0"/>
              <w:rPr>
                <w:lang w:val="fr-FR"/>
              </w:rPr>
            </w:pPr>
            <w:r>
              <w:fldChar w:fldCharType="begin"/>
            </w:r>
            <w:r w:rsidRPr="004814E0">
              <w:rPr>
                <w:lang w:val="fr-FR"/>
              </w:rPr>
              <w:instrText>HYPERLINK "https://ich.unesco.org/en/decisions/8.GA/9"</w:instrText>
            </w:r>
            <w:r>
              <w:fldChar w:fldCharType="separate"/>
            </w:r>
            <w:r w:rsidRPr="0070527F">
              <w:rPr>
                <w:rStyle w:val="Hyperlink"/>
                <w:lang w:val="fr-FR"/>
              </w:rPr>
              <w:t>https://ich.unesco.org/en/decisions/8.GA/9</w:t>
            </w:r>
            <w:r>
              <w:fldChar w:fldCharType="end"/>
            </w:r>
            <w:r>
              <w:rPr>
                <w:lang w:val="fr-FR"/>
              </w:rPr>
              <w:t xml:space="preserve"> </w:t>
            </w:r>
          </w:p>
        </w:tc>
      </w:tr>
      <w:tr w:rsidR="00C673E0" w:rsidRPr="00C673E0" w14:paraId="5F951B16" w14:textId="77777777" w:rsidTr="009A4DEC">
        <w:trPr>
          <w:trHeight w:val="454"/>
        </w:trPr>
        <w:tc>
          <w:tcPr>
            <w:tcW w:w="4495" w:type="dxa"/>
          </w:tcPr>
          <w:p w14:paraId="092855BC" w14:textId="77777777" w:rsidR="009A4DEC" w:rsidRDefault="009A4DEC" w:rsidP="009A4DEC">
            <w:pPr>
              <w:pStyle w:val="1GAPara"/>
              <w:keepNext/>
              <w:spacing w:before="120"/>
              <w:ind w:left="-25" w:firstLine="0"/>
              <w:rPr>
                <w:rFonts w:eastAsiaTheme="minorEastAsia"/>
                <w:lang w:val="fr-FR" w:eastAsia="ko-KR"/>
              </w:rPr>
            </w:pPr>
            <w:r w:rsidRPr="00C673E0">
              <w:rPr>
                <w:rFonts w:eastAsiaTheme="minorEastAsia"/>
                <w:lang w:val="fr-FR" w:eastAsia="ko-KR"/>
              </w:rPr>
              <w:t>Matériel de formation sur la sauvegarde du patrimoine culturel immatériel en situation de conflit et de déplacement forcé :</w:t>
            </w:r>
          </w:p>
          <w:p w14:paraId="7FBBABCC" w14:textId="0F3F4435" w:rsidR="009A4DEC" w:rsidRDefault="00C673E0" w:rsidP="009A4DEC">
            <w:pPr>
              <w:pStyle w:val="1GAPara"/>
              <w:keepNext/>
              <w:spacing w:before="120"/>
              <w:ind w:left="-25" w:firstLine="0"/>
              <w:rPr>
                <w:rFonts w:eastAsiaTheme="minorEastAsia"/>
                <w:lang w:val="fr-FR" w:eastAsia="ko-KR"/>
              </w:rPr>
            </w:pPr>
            <w:r w:rsidRPr="00C673E0">
              <w:rPr>
                <w:rFonts w:eastAsiaTheme="minorEastAsia"/>
                <w:lang w:val="fr-FR" w:eastAsia="ko-KR"/>
              </w:rPr>
              <w:t xml:space="preserve">Unité </w:t>
            </w:r>
            <w:proofErr w:type="gramStart"/>
            <w:r w:rsidRPr="00C673E0">
              <w:rPr>
                <w:rFonts w:eastAsiaTheme="minorEastAsia"/>
                <w:lang w:val="fr-FR" w:eastAsia="ko-KR"/>
              </w:rPr>
              <w:t>65:</w:t>
            </w:r>
            <w:proofErr w:type="gramEnd"/>
            <w:r w:rsidRPr="00C673E0">
              <w:rPr>
                <w:rFonts w:eastAsiaTheme="minorEastAsia"/>
                <w:lang w:val="fr-FR" w:eastAsia="ko-KR"/>
              </w:rPr>
              <w:t xml:space="preserve"> Principes fondamentaux de la sauvegarde du patrimoine culturel immatériel dans les situations de conflit et de déplacement forcé.</w:t>
            </w:r>
            <w:r w:rsidRPr="00C673E0">
              <w:rPr>
                <w:rFonts w:eastAsiaTheme="minorEastAsia"/>
                <w:lang w:val="fr-FR" w:eastAsia="ko-KR"/>
              </w:rPr>
              <w:br/>
            </w:r>
          </w:p>
          <w:p w14:paraId="21C1D692" w14:textId="6366F46B" w:rsidR="00C673E0" w:rsidRPr="00C673E0" w:rsidRDefault="00C673E0" w:rsidP="009A4DEC">
            <w:pPr>
              <w:pStyle w:val="1GAPara"/>
              <w:keepNext/>
              <w:spacing w:before="120"/>
              <w:ind w:left="-25" w:firstLine="0"/>
              <w:rPr>
                <w:rFonts w:eastAsiaTheme="minorEastAsia"/>
                <w:b/>
                <w:bCs/>
                <w:lang w:val="fr-FR" w:eastAsia="ko-KR"/>
              </w:rPr>
            </w:pPr>
            <w:r w:rsidRPr="00C673E0">
              <w:rPr>
                <w:rFonts w:eastAsiaTheme="minorEastAsia"/>
                <w:lang w:val="fr-FR" w:eastAsia="ko-KR"/>
              </w:rPr>
              <w:t xml:space="preserve">Unité </w:t>
            </w:r>
            <w:proofErr w:type="gramStart"/>
            <w:r w:rsidRPr="00C673E0">
              <w:rPr>
                <w:rFonts w:eastAsiaTheme="minorEastAsia"/>
                <w:lang w:val="fr-FR" w:eastAsia="ko-KR"/>
              </w:rPr>
              <w:t>66:</w:t>
            </w:r>
            <w:proofErr w:type="gramEnd"/>
            <w:r w:rsidRPr="00C673E0">
              <w:rPr>
                <w:rFonts w:eastAsiaTheme="minorEastAsia"/>
                <w:lang w:val="fr-FR" w:eastAsia="ko-KR"/>
              </w:rPr>
              <w:t xml:space="preserve"> Identification des besoins réalisée avec la participation des communautés concernant le patrimoine culturel immatériel dans</w:t>
            </w:r>
            <w:r w:rsidRPr="00C673E0">
              <w:rPr>
                <w:rFonts w:eastAsiaTheme="minorEastAsia"/>
                <w:b/>
                <w:bCs/>
                <w:lang w:val="fr-FR" w:eastAsia="ko-KR"/>
              </w:rPr>
              <w:t xml:space="preserve"> </w:t>
            </w:r>
            <w:r w:rsidRPr="00C673E0">
              <w:rPr>
                <w:rFonts w:eastAsiaTheme="minorEastAsia"/>
                <w:lang w:val="fr-FR" w:eastAsia="ko-KR"/>
              </w:rPr>
              <w:t>les situations de conflit et de déplacement</w:t>
            </w:r>
          </w:p>
        </w:tc>
        <w:tc>
          <w:tcPr>
            <w:tcW w:w="5301" w:type="dxa"/>
            <w:vAlign w:val="center"/>
          </w:tcPr>
          <w:p w14:paraId="24515776" w14:textId="1048713A" w:rsidR="00C673E0" w:rsidRPr="00C673E0" w:rsidRDefault="009A4DEC" w:rsidP="0089649A">
            <w:pPr>
              <w:pStyle w:val="1GAPara"/>
              <w:keepNext/>
              <w:spacing w:before="120"/>
              <w:ind w:left="0" w:firstLine="0"/>
              <w:rPr>
                <w:lang w:val="fr-FR"/>
              </w:rPr>
            </w:pPr>
            <w:hyperlink r:id="rId10" w:anchor="unite-65-principes-fondamentaux-de-la-sauvegarde-du-patrimoine-culturel-immateriel-dans-les-situations-de-conflit-et-de-deplacement-forcebr" w:history="1">
              <w:r w:rsidRPr="001E2BB1">
                <w:rPr>
                  <w:rStyle w:val="Hyperlink"/>
                  <w:lang w:val="fr-FR"/>
                </w:rPr>
                <w:t>https://ich.unesco.org/fr/materiel-renforcement-capacites</w:t>
              </w:r>
            </w:hyperlink>
            <w:r>
              <w:rPr>
                <w:lang w:val="fr-FR"/>
              </w:rPr>
              <w:t xml:space="preserve"> </w:t>
            </w:r>
          </w:p>
        </w:tc>
      </w:tr>
      <w:tr w:rsidR="000072D4" w:rsidRPr="00C673E0" w14:paraId="1685353E" w14:textId="77777777" w:rsidTr="009A4DEC">
        <w:trPr>
          <w:trHeight w:val="454"/>
        </w:trPr>
        <w:tc>
          <w:tcPr>
            <w:tcW w:w="4495" w:type="dxa"/>
          </w:tcPr>
          <w:p w14:paraId="1D7C333D" w14:textId="6729B67C" w:rsidR="000072D4" w:rsidRPr="00C673E0" w:rsidRDefault="000072D4" w:rsidP="000072D4">
            <w:pPr>
              <w:pStyle w:val="1GAPara"/>
              <w:keepNext/>
              <w:spacing w:before="120"/>
              <w:ind w:left="0" w:firstLine="0"/>
              <w:rPr>
                <w:rFonts w:eastAsiaTheme="minorEastAsia"/>
                <w:lang w:val="fr-FR" w:eastAsia="ko-KR"/>
              </w:rPr>
            </w:pPr>
            <w:r w:rsidRPr="00C673E0">
              <w:rPr>
                <w:rFonts w:eastAsiaTheme="minorEastAsia"/>
                <w:lang w:val="fr"/>
              </w:rPr>
              <w:t xml:space="preserve">Page web </w:t>
            </w:r>
            <w:r w:rsidRPr="00C673E0">
              <w:rPr>
                <w:lang w:val="fr-FR"/>
              </w:rPr>
              <w:t xml:space="preserve">dédiée </w:t>
            </w:r>
            <w:r w:rsidRPr="00C673E0">
              <w:rPr>
                <w:rFonts w:eastAsiaTheme="minorEastAsia"/>
                <w:lang w:val="fr"/>
              </w:rPr>
              <w:t>à la réunion</w:t>
            </w:r>
          </w:p>
        </w:tc>
        <w:tc>
          <w:tcPr>
            <w:tcW w:w="5301" w:type="dxa"/>
            <w:vAlign w:val="center"/>
          </w:tcPr>
          <w:p w14:paraId="40C667B4" w14:textId="3C7AB244" w:rsidR="000072D4" w:rsidRPr="00C673E0" w:rsidRDefault="00C673E0" w:rsidP="000072D4">
            <w:pPr>
              <w:pStyle w:val="1GAPara"/>
              <w:keepNext/>
              <w:spacing w:before="120"/>
              <w:ind w:left="0" w:firstLine="0"/>
              <w:rPr>
                <w:rFonts w:eastAsiaTheme="minorEastAsia"/>
                <w:lang w:val="fr-FR" w:eastAsia="ko-KR"/>
              </w:rPr>
            </w:pPr>
            <w:hyperlink r:id="rId11" w:history="1">
              <w:r w:rsidRPr="00C673E0">
                <w:rPr>
                  <w:rStyle w:val="Hyperlink"/>
                  <w:rFonts w:eastAsiaTheme="minorEastAsia"/>
                  <w:lang w:val="fr-FR" w:eastAsia="ko-KR"/>
                </w:rPr>
                <w:t>https://ich.unesco.org/fr/evenements/programme-de-formation-du-reseau-mondial-de-facilitateurs-patrimoine-vivant-et-situations-de-conflit-01066</w:t>
              </w:r>
            </w:hyperlink>
          </w:p>
        </w:tc>
      </w:tr>
    </w:tbl>
    <w:p w14:paraId="2BA1064C" w14:textId="0F583EA1" w:rsidR="00EE5D7D" w:rsidRPr="00C1208E" w:rsidRDefault="00EE5D7D" w:rsidP="009E36E2">
      <w:pPr>
        <w:pStyle w:val="COMPara"/>
        <w:numPr>
          <w:ilvl w:val="0"/>
          <w:numId w:val="0"/>
        </w:numPr>
        <w:jc w:val="both"/>
        <w:rPr>
          <w:lang w:val="fr-FR"/>
        </w:rPr>
      </w:pPr>
    </w:p>
    <w:sectPr w:rsidR="00EE5D7D" w:rsidRPr="00C1208E" w:rsidSect="00655736">
      <w:headerReference w:type="even" r:id="rId12"/>
      <w:headerReference w:type="default" r:id="rId13"/>
      <w:headerReference w:type="first" r:id="rId1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4604" w14:textId="77777777" w:rsidR="007D473E" w:rsidRDefault="007D473E" w:rsidP="00655736">
      <w:r>
        <w:separator/>
      </w:r>
    </w:p>
  </w:endnote>
  <w:endnote w:type="continuationSeparator" w:id="0">
    <w:p w14:paraId="44D0E6E0" w14:textId="77777777" w:rsidR="007D473E" w:rsidRDefault="007D473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4A24" w14:textId="77777777" w:rsidR="007D473E" w:rsidRDefault="007D473E" w:rsidP="00655736">
      <w:r>
        <w:separator/>
      </w:r>
    </w:p>
  </w:footnote>
  <w:footnote w:type="continuationSeparator" w:id="0">
    <w:p w14:paraId="7B85F4AE" w14:textId="77777777" w:rsidR="007D473E" w:rsidRDefault="007D473E"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3A3DA0B9" w:rsidR="00D95C4C" w:rsidRPr="00455314" w:rsidRDefault="00C5776D" w:rsidP="00C5776D">
    <w:pPr>
      <w:pStyle w:val="Header"/>
      <w:rPr>
        <w:rFonts w:ascii="Arial" w:hAnsi="Arial" w:cs="Arial"/>
        <w:lang w:val="es-ES"/>
      </w:rPr>
    </w:pPr>
    <w:r w:rsidRPr="00455314">
      <w:rPr>
        <w:rFonts w:ascii="Arial" w:hAnsi="Arial" w:cs="Arial"/>
        <w:sz w:val="20"/>
        <w:szCs w:val="20"/>
        <w:lang w:val="es-ES"/>
      </w:rPr>
      <w:t>L</w:t>
    </w:r>
    <w:r w:rsidR="00CB0542" w:rsidRPr="00455314">
      <w:rPr>
        <w:rFonts w:ascii="Arial" w:hAnsi="Arial" w:cs="Arial"/>
        <w:sz w:val="20"/>
        <w:szCs w:val="20"/>
        <w:lang w:val="es-ES"/>
      </w:rPr>
      <w:t>H</w:t>
    </w:r>
    <w:r w:rsidRPr="00455314">
      <w:rPr>
        <w:rFonts w:ascii="Arial" w:hAnsi="Arial" w:cs="Arial"/>
        <w:sz w:val="20"/>
        <w:szCs w:val="20"/>
        <w:lang w:val="es-ES"/>
      </w:rPr>
      <w:t>E</w:t>
    </w:r>
    <w:r w:rsidR="00CB0542" w:rsidRPr="00455314">
      <w:rPr>
        <w:rFonts w:ascii="Arial" w:hAnsi="Arial" w:cs="Arial"/>
        <w:sz w:val="20"/>
        <w:szCs w:val="20"/>
        <w:lang w:val="es-ES"/>
      </w:rPr>
      <w:t>/</w:t>
    </w:r>
    <w:r w:rsidR="009E36E2">
      <w:rPr>
        <w:rFonts w:ascii="Arial" w:hAnsi="Arial" w:cs="Arial"/>
        <w:sz w:val="20"/>
        <w:szCs w:val="20"/>
        <w:lang w:val="es-ES"/>
      </w:rPr>
      <w:t>26</w:t>
    </w:r>
    <w:r w:rsidR="00CB0542" w:rsidRPr="00455314">
      <w:rPr>
        <w:rFonts w:ascii="Arial" w:hAnsi="Arial" w:cs="Arial"/>
        <w:sz w:val="20"/>
        <w:szCs w:val="20"/>
        <w:lang w:val="es-ES"/>
      </w:rPr>
      <w:t>/</w:t>
    </w:r>
    <w:r w:rsidR="007D19F4">
      <w:rPr>
        <w:rFonts w:ascii="Arial" w:hAnsi="Arial" w:cs="Arial"/>
        <w:sz w:val="20"/>
        <w:szCs w:val="20"/>
        <w:lang w:val="es-ES"/>
      </w:rPr>
      <w:t xml:space="preserve">TRA </w:t>
    </w:r>
    <w:r w:rsidR="00B911CB">
      <w:rPr>
        <w:rFonts w:ascii="Arial" w:hAnsi="Arial" w:cs="Arial"/>
        <w:sz w:val="20"/>
        <w:szCs w:val="20"/>
        <w:lang w:val="es-ES"/>
      </w:rPr>
      <w:t>MRG</w:t>
    </w:r>
    <w:r w:rsidR="004E1760" w:rsidRPr="00455314">
      <w:rPr>
        <w:rFonts w:ascii="Arial" w:hAnsi="Arial" w:cs="Arial"/>
        <w:sz w:val="20"/>
        <w:szCs w:val="20"/>
        <w:lang w:val="es-ES"/>
      </w:rPr>
      <w:t>/</w:t>
    </w:r>
    <w:r w:rsidR="003D626D">
      <w:rPr>
        <w:rFonts w:ascii="Arial" w:hAnsi="Arial" w:cs="Arial"/>
        <w:sz w:val="20"/>
        <w:szCs w:val="20"/>
        <w:lang w:val="es-ES"/>
      </w:rPr>
      <w:t>1</w:t>
    </w:r>
    <w:r w:rsidR="00900DAC" w:rsidRPr="00455314">
      <w:rPr>
        <w:rFonts w:ascii="Arial" w:hAnsi="Arial" w:cs="Arial"/>
        <w:sz w:val="20"/>
        <w:szCs w:val="20"/>
        <w:lang w:val="es-ES"/>
      </w:rPr>
      <w:t xml:space="preserve">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7FA23C25"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w:t>
    </w:r>
    <w:r w:rsidR="009E36E2">
      <w:rPr>
        <w:rFonts w:ascii="Arial" w:hAnsi="Arial" w:cs="Arial"/>
        <w:sz w:val="20"/>
        <w:szCs w:val="20"/>
        <w:lang w:val="es-ES"/>
      </w:rPr>
      <w:t>26</w:t>
    </w:r>
    <w:r w:rsidRPr="00455314">
      <w:rPr>
        <w:rFonts w:ascii="Arial" w:hAnsi="Arial" w:cs="Arial"/>
        <w:sz w:val="20"/>
        <w:szCs w:val="20"/>
        <w:lang w:val="es-ES"/>
      </w:rPr>
      <w:t>/</w:t>
    </w:r>
    <w:r w:rsidR="007D19F4">
      <w:rPr>
        <w:rFonts w:ascii="Arial" w:hAnsi="Arial" w:cs="Arial"/>
        <w:sz w:val="20"/>
        <w:szCs w:val="20"/>
        <w:lang w:val="es-ES"/>
      </w:rPr>
      <w:t xml:space="preserve">TRA </w:t>
    </w:r>
    <w:r w:rsidR="009A4DEC">
      <w:rPr>
        <w:rFonts w:ascii="Arial" w:hAnsi="Arial" w:cs="Arial"/>
        <w:sz w:val="20"/>
        <w:szCs w:val="20"/>
        <w:lang w:val="es-ES"/>
      </w:rPr>
      <w:t>MRG</w:t>
    </w:r>
    <w:r w:rsidRPr="00455314">
      <w:rPr>
        <w:rFonts w:ascii="Arial" w:hAnsi="Arial" w:cs="Arial"/>
        <w:sz w:val="20"/>
        <w:szCs w:val="20"/>
        <w:lang w:val="es-ES"/>
      </w:rPr>
      <w:t>/</w:t>
    </w:r>
    <w:r w:rsidR="003D626D">
      <w:rPr>
        <w:rFonts w:ascii="Arial" w:hAnsi="Arial" w:cs="Arial"/>
        <w:sz w:val="20"/>
        <w:szCs w:val="20"/>
        <w:lang w:val="es-ES"/>
      </w:rPr>
      <w:t>1</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07E8A6BC" w:rsidR="00D95C4C" w:rsidRPr="00E95AE2" w:rsidRDefault="00F83B7E">
    <w:pPr>
      <w:pStyle w:val="Header"/>
      <w:rPr>
        <w:sz w:val="22"/>
        <w:szCs w:val="22"/>
        <w:lang w:val="en-GB"/>
      </w:rPr>
    </w:pPr>
    <w:r>
      <w:rPr>
        <w:noProof/>
      </w:rPr>
      <w:drawing>
        <wp:anchor distT="0" distB="0" distL="114300" distR="114300" simplePos="0" relativeHeight="251659264" behindDoc="0" locked="0" layoutInCell="1" allowOverlap="1" wp14:anchorId="0351423B" wp14:editId="0B6C53B3">
          <wp:simplePos x="0" y="0"/>
          <wp:positionH relativeFrom="margin">
            <wp:posOffset>0</wp:posOffset>
          </wp:positionH>
          <wp:positionV relativeFrom="paragraph">
            <wp:posOffset>156845</wp:posOffset>
          </wp:positionV>
          <wp:extent cx="1543050" cy="1296035"/>
          <wp:effectExtent l="0" t="0" r="0" b="0"/>
          <wp:wrapSquare wrapText="bothSides"/>
          <wp:docPr id="1" name="Imag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305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2A26E890" w:rsidR="004E1760" w:rsidRPr="00D7105A" w:rsidRDefault="007D19F4" w:rsidP="004E1760">
    <w:pPr>
      <w:pStyle w:val="Header"/>
      <w:spacing w:after="520"/>
      <w:jc w:val="right"/>
      <w:rPr>
        <w:rFonts w:ascii="Arial" w:hAnsi="Arial" w:cs="Arial"/>
        <w:b/>
        <w:sz w:val="44"/>
        <w:szCs w:val="44"/>
        <w:lang w:val="pt-PT"/>
      </w:rPr>
    </w:pPr>
    <w:r>
      <w:rPr>
        <w:rFonts w:ascii="Arial" w:hAnsi="Arial" w:cs="Arial"/>
        <w:b/>
        <w:sz w:val="44"/>
        <w:szCs w:val="44"/>
        <w:lang w:val="pt-PT"/>
      </w:rPr>
      <w:t xml:space="preserve">TRA </w:t>
    </w:r>
    <w:r w:rsidR="00FA6AF7">
      <w:rPr>
        <w:rFonts w:ascii="Arial" w:hAnsi="Arial" w:cs="Arial"/>
        <w:b/>
        <w:sz w:val="44"/>
        <w:szCs w:val="44"/>
        <w:lang w:val="pt-PT"/>
      </w:rPr>
      <w:t>MRG</w:t>
    </w:r>
  </w:p>
  <w:p w14:paraId="6D1B3489" w14:textId="7F57A729"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9E36E2">
      <w:rPr>
        <w:rFonts w:ascii="Arial" w:hAnsi="Arial" w:cs="Arial"/>
        <w:b/>
        <w:sz w:val="22"/>
        <w:szCs w:val="22"/>
        <w:lang w:val="pt-PT"/>
      </w:rPr>
      <w:t>6</w:t>
    </w:r>
    <w:r w:rsidRPr="00D7105A">
      <w:rPr>
        <w:rFonts w:ascii="Arial" w:hAnsi="Arial" w:cs="Arial"/>
        <w:b/>
        <w:sz w:val="22"/>
        <w:szCs w:val="22"/>
        <w:lang w:val="pt-PT"/>
      </w:rPr>
      <w:t>/</w:t>
    </w:r>
    <w:bookmarkStart w:id="2" w:name="_Hlk94624970"/>
    <w:r w:rsidR="007D19F4">
      <w:rPr>
        <w:rFonts w:ascii="Arial" w:hAnsi="Arial" w:cs="Arial"/>
        <w:b/>
        <w:sz w:val="22"/>
        <w:szCs w:val="22"/>
        <w:lang w:val="pt-PT"/>
      </w:rPr>
      <w:t xml:space="preserve">TRA </w:t>
    </w:r>
    <w:r w:rsidR="00B911CB">
      <w:rPr>
        <w:rFonts w:ascii="Arial" w:hAnsi="Arial" w:cs="Arial"/>
        <w:b/>
        <w:sz w:val="22"/>
        <w:szCs w:val="22"/>
        <w:lang w:val="pt-PT"/>
      </w:rPr>
      <w:t>MRG</w:t>
    </w:r>
    <w:r w:rsidRPr="00D7105A">
      <w:rPr>
        <w:rFonts w:ascii="Arial" w:hAnsi="Arial" w:cs="Arial"/>
        <w:b/>
        <w:sz w:val="22"/>
        <w:szCs w:val="22"/>
        <w:lang w:val="pt-PT"/>
      </w:rPr>
      <w:t>/</w:t>
    </w:r>
    <w:r w:rsidR="009E36E2">
      <w:rPr>
        <w:rFonts w:ascii="Arial" w:hAnsi="Arial" w:cs="Arial"/>
        <w:b/>
        <w:sz w:val="22"/>
        <w:szCs w:val="22"/>
        <w:lang w:val="pt-PT"/>
      </w:rPr>
      <w:t>1</w:t>
    </w:r>
  </w:p>
  <w:bookmarkEnd w:id="2"/>
  <w:p w14:paraId="1B4446C3" w14:textId="5A344DE2" w:rsidR="00D95C4C" w:rsidRPr="00FD5BDE" w:rsidRDefault="00D95C4C" w:rsidP="00655736">
    <w:pPr>
      <w:jc w:val="right"/>
      <w:rPr>
        <w:rFonts w:ascii="Arial" w:eastAsiaTheme="minorEastAsia" w:hAnsi="Arial" w:cs="Arial"/>
        <w:b/>
        <w:sz w:val="22"/>
        <w:szCs w:val="22"/>
        <w:lang w:eastAsia="ko-KR"/>
      </w:rPr>
    </w:pPr>
    <w:r w:rsidRPr="00900DAC">
      <w:rPr>
        <w:rFonts w:ascii="Arial" w:hAnsi="Arial" w:cs="Arial"/>
        <w:b/>
        <w:sz w:val="22"/>
        <w:szCs w:val="22"/>
      </w:rPr>
      <w:t xml:space="preserve">Paris, </w:t>
    </w:r>
    <w:r w:rsidR="0005371E" w:rsidRPr="00FD5BDE">
      <w:rPr>
        <w:rFonts w:ascii="Arial" w:hAnsi="Arial" w:cs="Arial"/>
        <w:b/>
        <w:sz w:val="22"/>
        <w:szCs w:val="22"/>
      </w:rPr>
      <w:t xml:space="preserve">le </w:t>
    </w:r>
    <w:r w:rsidR="00B911CB" w:rsidRPr="00FD5BDE">
      <w:rPr>
        <w:rFonts w:ascii="Arial" w:hAnsi="Arial" w:cs="Arial"/>
        <w:b/>
        <w:sz w:val="22"/>
        <w:szCs w:val="22"/>
      </w:rPr>
      <w:t>21 mai</w:t>
    </w:r>
    <w:r w:rsidR="00D858FC" w:rsidRPr="00FD5BDE">
      <w:rPr>
        <w:rFonts w:ascii="Arial" w:hAnsi="Arial" w:cs="Arial"/>
        <w:b/>
        <w:sz w:val="22"/>
        <w:szCs w:val="22"/>
      </w:rPr>
      <w:t xml:space="preserve"> </w:t>
    </w:r>
    <w:r w:rsidR="00174D0C" w:rsidRPr="00FD5BDE">
      <w:rPr>
        <w:rFonts w:ascii="Arial" w:hAnsi="Arial" w:cs="Arial"/>
        <w:b/>
        <w:sz w:val="22"/>
        <w:szCs w:val="22"/>
      </w:rPr>
      <w:t>202</w:t>
    </w:r>
    <w:r w:rsidR="009E36E2" w:rsidRPr="00FD5BDE">
      <w:rPr>
        <w:rFonts w:ascii="Arial" w:hAnsi="Arial" w:cs="Arial"/>
        <w:b/>
        <w:sz w:val="22"/>
        <w:szCs w:val="22"/>
      </w:rPr>
      <w:t>6</w:t>
    </w:r>
  </w:p>
  <w:p w14:paraId="255B57FF" w14:textId="46AA48D4" w:rsidR="00D95C4C" w:rsidRPr="003E4B3D" w:rsidRDefault="00D95C4C" w:rsidP="00962034">
    <w:pPr>
      <w:spacing w:after="120"/>
      <w:jc w:val="right"/>
      <w:rPr>
        <w:rFonts w:ascii="Arial" w:hAnsi="Arial" w:cs="Arial"/>
        <w:b/>
        <w:sz w:val="22"/>
        <w:szCs w:val="22"/>
      </w:rPr>
    </w:pPr>
    <w:r w:rsidRPr="00FD5BDE">
      <w:rPr>
        <w:rFonts w:ascii="Arial" w:hAnsi="Arial" w:cs="Arial"/>
        <w:b/>
        <w:sz w:val="22"/>
        <w:szCs w:val="22"/>
      </w:rPr>
      <w:t>Original</w:t>
    </w:r>
    <w:r w:rsidR="0005371E" w:rsidRPr="00FD5BDE">
      <w:rPr>
        <w:rFonts w:ascii="Arial" w:hAnsi="Arial" w:cs="Arial"/>
        <w:b/>
        <w:sz w:val="22"/>
        <w:szCs w:val="22"/>
      </w:rPr>
      <w:t xml:space="preserve"> </w:t>
    </w:r>
    <w:r w:rsidRPr="00FD5BDE">
      <w:rPr>
        <w:rFonts w:ascii="Arial" w:hAnsi="Arial" w:cs="Arial"/>
        <w:b/>
        <w:sz w:val="22"/>
        <w:szCs w:val="22"/>
      </w:rPr>
      <w:t xml:space="preserve">: </w:t>
    </w:r>
    <w:r w:rsidR="00F83B7E" w:rsidRPr="00FD5BDE">
      <w:rPr>
        <w:rFonts w:ascii="Arial" w:hAnsi="Arial" w:cs="Arial"/>
        <w:b/>
        <w:sz w:val="22"/>
        <w:szCs w:val="22"/>
      </w:rPr>
      <w:t>anglais</w:t>
    </w:r>
  </w:p>
  <w:p w14:paraId="3C4B8B1B" w14:textId="77777777" w:rsidR="00D95C4C" w:rsidRPr="003E4B3D"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5F07BFE"/>
    <w:multiLevelType w:val="hybridMultilevel"/>
    <w:tmpl w:val="F9CA57B2"/>
    <w:lvl w:ilvl="0" w:tplc="6FF0EC8E">
      <w:start w:val="1"/>
      <w:numFmt w:val="decimal"/>
      <w:pStyle w:val="COMPara"/>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AB32E1"/>
    <w:multiLevelType w:val="hybridMultilevel"/>
    <w:tmpl w:val="A6D84EDC"/>
    <w:lvl w:ilvl="0" w:tplc="7EBEB0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0"/>
  </w:num>
  <w:num w:numId="2" w16cid:durableId="217087148">
    <w:abstractNumId w:val="1"/>
  </w:num>
  <w:num w:numId="3" w16cid:durableId="347945616">
    <w:abstractNumId w:val="2"/>
  </w:num>
  <w:num w:numId="4" w16cid:durableId="1119109097">
    <w:abstractNumId w:val="3"/>
  </w:num>
  <w:num w:numId="5" w16cid:durableId="1445689247">
    <w:abstractNumId w:val="5"/>
  </w:num>
  <w:num w:numId="6" w16cid:durableId="205882260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8BD"/>
    <w:rsid w:val="000048ED"/>
    <w:rsid w:val="0000720D"/>
    <w:rsid w:val="000072D4"/>
    <w:rsid w:val="00014915"/>
    <w:rsid w:val="000264A9"/>
    <w:rsid w:val="00041A66"/>
    <w:rsid w:val="00042D88"/>
    <w:rsid w:val="0004329D"/>
    <w:rsid w:val="0005176E"/>
    <w:rsid w:val="0005371E"/>
    <w:rsid w:val="000765F7"/>
    <w:rsid w:val="00077AB7"/>
    <w:rsid w:val="00080B46"/>
    <w:rsid w:val="00081CD8"/>
    <w:rsid w:val="0008687B"/>
    <w:rsid w:val="00091385"/>
    <w:rsid w:val="000A008B"/>
    <w:rsid w:val="000A3FF4"/>
    <w:rsid w:val="000A7F0E"/>
    <w:rsid w:val="000B1C8F"/>
    <w:rsid w:val="000B4B51"/>
    <w:rsid w:val="000C0D61"/>
    <w:rsid w:val="000D3B33"/>
    <w:rsid w:val="000D65F4"/>
    <w:rsid w:val="000F3A3F"/>
    <w:rsid w:val="00102557"/>
    <w:rsid w:val="001070A2"/>
    <w:rsid w:val="00123C13"/>
    <w:rsid w:val="0014260A"/>
    <w:rsid w:val="0015117E"/>
    <w:rsid w:val="00151E44"/>
    <w:rsid w:val="00152867"/>
    <w:rsid w:val="001553EC"/>
    <w:rsid w:val="0015772D"/>
    <w:rsid w:val="00164D56"/>
    <w:rsid w:val="00167B10"/>
    <w:rsid w:val="0017402F"/>
    <w:rsid w:val="00174D0C"/>
    <w:rsid w:val="00184BBE"/>
    <w:rsid w:val="00190205"/>
    <w:rsid w:val="00191AFB"/>
    <w:rsid w:val="00196C1B"/>
    <w:rsid w:val="001A49CF"/>
    <w:rsid w:val="001A730A"/>
    <w:rsid w:val="001B0F73"/>
    <w:rsid w:val="001C2DB7"/>
    <w:rsid w:val="001C557B"/>
    <w:rsid w:val="001D14FE"/>
    <w:rsid w:val="001D3E2F"/>
    <w:rsid w:val="001D5C04"/>
    <w:rsid w:val="001D7A9A"/>
    <w:rsid w:val="001E135E"/>
    <w:rsid w:val="001F26CF"/>
    <w:rsid w:val="001F3C06"/>
    <w:rsid w:val="001F4E62"/>
    <w:rsid w:val="001F7778"/>
    <w:rsid w:val="001F7DD5"/>
    <w:rsid w:val="00222A2D"/>
    <w:rsid w:val="00223029"/>
    <w:rsid w:val="00232ACE"/>
    <w:rsid w:val="00234745"/>
    <w:rsid w:val="002351A6"/>
    <w:rsid w:val="002407AF"/>
    <w:rsid w:val="00247B5D"/>
    <w:rsid w:val="0026221A"/>
    <w:rsid w:val="00273B6D"/>
    <w:rsid w:val="0027466B"/>
    <w:rsid w:val="00277688"/>
    <w:rsid w:val="002838A5"/>
    <w:rsid w:val="0028471A"/>
    <w:rsid w:val="00285BB4"/>
    <w:rsid w:val="00286302"/>
    <w:rsid w:val="002C09E3"/>
    <w:rsid w:val="002D1244"/>
    <w:rsid w:val="0031456C"/>
    <w:rsid w:val="0032058A"/>
    <w:rsid w:val="00337CEB"/>
    <w:rsid w:val="00344B58"/>
    <w:rsid w:val="0034539A"/>
    <w:rsid w:val="00345CB4"/>
    <w:rsid w:val="00360422"/>
    <w:rsid w:val="003627DF"/>
    <w:rsid w:val="00375D42"/>
    <w:rsid w:val="003820D7"/>
    <w:rsid w:val="003857F4"/>
    <w:rsid w:val="00396280"/>
    <w:rsid w:val="003A6BB8"/>
    <w:rsid w:val="003B4595"/>
    <w:rsid w:val="003B7522"/>
    <w:rsid w:val="003C14E3"/>
    <w:rsid w:val="003C3534"/>
    <w:rsid w:val="003D069C"/>
    <w:rsid w:val="003D5275"/>
    <w:rsid w:val="003D626D"/>
    <w:rsid w:val="003D7646"/>
    <w:rsid w:val="003E4B3D"/>
    <w:rsid w:val="003F113A"/>
    <w:rsid w:val="003F37A1"/>
    <w:rsid w:val="003F3E63"/>
    <w:rsid w:val="00407480"/>
    <w:rsid w:val="00414643"/>
    <w:rsid w:val="00424790"/>
    <w:rsid w:val="004421E5"/>
    <w:rsid w:val="00452284"/>
    <w:rsid w:val="00454410"/>
    <w:rsid w:val="00455314"/>
    <w:rsid w:val="00457C8E"/>
    <w:rsid w:val="0047745A"/>
    <w:rsid w:val="004814E0"/>
    <w:rsid w:val="00481873"/>
    <w:rsid w:val="00483586"/>
    <w:rsid w:val="004856CA"/>
    <w:rsid w:val="00487E67"/>
    <w:rsid w:val="0049705E"/>
    <w:rsid w:val="004A2875"/>
    <w:rsid w:val="004A34A0"/>
    <w:rsid w:val="004B292F"/>
    <w:rsid w:val="004C596F"/>
    <w:rsid w:val="004C7C82"/>
    <w:rsid w:val="004D2EB4"/>
    <w:rsid w:val="004D5DB8"/>
    <w:rsid w:val="004E1760"/>
    <w:rsid w:val="004E71C9"/>
    <w:rsid w:val="004E7232"/>
    <w:rsid w:val="005008A8"/>
    <w:rsid w:val="005077A1"/>
    <w:rsid w:val="00510E9D"/>
    <w:rsid w:val="00514C11"/>
    <w:rsid w:val="00517FD8"/>
    <w:rsid w:val="00520908"/>
    <w:rsid w:val="00526B7B"/>
    <w:rsid w:val="005308CE"/>
    <w:rsid w:val="0053318C"/>
    <w:rsid w:val="0056538E"/>
    <w:rsid w:val="00566F3F"/>
    <w:rsid w:val="00570335"/>
    <w:rsid w:val="0057439C"/>
    <w:rsid w:val="005777E8"/>
    <w:rsid w:val="0058014D"/>
    <w:rsid w:val="005A02CA"/>
    <w:rsid w:val="005B0127"/>
    <w:rsid w:val="005B5466"/>
    <w:rsid w:val="005B7A35"/>
    <w:rsid w:val="005C34CF"/>
    <w:rsid w:val="005C4B73"/>
    <w:rsid w:val="005C55AB"/>
    <w:rsid w:val="005E1D2B"/>
    <w:rsid w:val="005E7074"/>
    <w:rsid w:val="005F2BAF"/>
    <w:rsid w:val="00600D93"/>
    <w:rsid w:val="00601718"/>
    <w:rsid w:val="00626BEA"/>
    <w:rsid w:val="00631BC9"/>
    <w:rsid w:val="0063300C"/>
    <w:rsid w:val="00645031"/>
    <w:rsid w:val="00646882"/>
    <w:rsid w:val="00651A5B"/>
    <w:rsid w:val="00655736"/>
    <w:rsid w:val="00656A6B"/>
    <w:rsid w:val="00663B8D"/>
    <w:rsid w:val="00664E20"/>
    <w:rsid w:val="00681C2C"/>
    <w:rsid w:val="00687CFB"/>
    <w:rsid w:val="006909FD"/>
    <w:rsid w:val="00696C8D"/>
    <w:rsid w:val="006A2AC2"/>
    <w:rsid w:val="006A3617"/>
    <w:rsid w:val="006A7FB4"/>
    <w:rsid w:val="006B4452"/>
    <w:rsid w:val="006D2047"/>
    <w:rsid w:val="006E46E4"/>
    <w:rsid w:val="006E481F"/>
    <w:rsid w:val="006E75EB"/>
    <w:rsid w:val="006F26DD"/>
    <w:rsid w:val="00706DCA"/>
    <w:rsid w:val="00716411"/>
    <w:rsid w:val="00717DA5"/>
    <w:rsid w:val="00734E1A"/>
    <w:rsid w:val="0074338E"/>
    <w:rsid w:val="00744484"/>
    <w:rsid w:val="00746132"/>
    <w:rsid w:val="00747566"/>
    <w:rsid w:val="00773188"/>
    <w:rsid w:val="00782E7B"/>
    <w:rsid w:val="00783782"/>
    <w:rsid w:val="00784B8C"/>
    <w:rsid w:val="00784D93"/>
    <w:rsid w:val="00786E25"/>
    <w:rsid w:val="007879E1"/>
    <w:rsid w:val="007A7276"/>
    <w:rsid w:val="007C23B5"/>
    <w:rsid w:val="007D19F4"/>
    <w:rsid w:val="007D1C80"/>
    <w:rsid w:val="007D473E"/>
    <w:rsid w:val="00800B7B"/>
    <w:rsid w:val="00812B7B"/>
    <w:rsid w:val="00822F27"/>
    <w:rsid w:val="00823A11"/>
    <w:rsid w:val="0082402A"/>
    <w:rsid w:val="0085188D"/>
    <w:rsid w:val="00852F74"/>
    <w:rsid w:val="0085405E"/>
    <w:rsid w:val="0085414A"/>
    <w:rsid w:val="00857EB9"/>
    <w:rsid w:val="0086269D"/>
    <w:rsid w:val="0086358D"/>
    <w:rsid w:val="0086543A"/>
    <w:rsid w:val="008724E5"/>
    <w:rsid w:val="00884A9D"/>
    <w:rsid w:val="0088512B"/>
    <w:rsid w:val="008A2B2D"/>
    <w:rsid w:val="008A4E1E"/>
    <w:rsid w:val="008B197D"/>
    <w:rsid w:val="008C296C"/>
    <w:rsid w:val="008C5741"/>
    <w:rsid w:val="008D4305"/>
    <w:rsid w:val="008E1A85"/>
    <w:rsid w:val="00900DAC"/>
    <w:rsid w:val="009163A7"/>
    <w:rsid w:val="0092296C"/>
    <w:rsid w:val="00932E93"/>
    <w:rsid w:val="00946D0B"/>
    <w:rsid w:val="00947C93"/>
    <w:rsid w:val="00955877"/>
    <w:rsid w:val="00962034"/>
    <w:rsid w:val="0096698A"/>
    <w:rsid w:val="009861BB"/>
    <w:rsid w:val="00992C99"/>
    <w:rsid w:val="00993C3C"/>
    <w:rsid w:val="009A18CD"/>
    <w:rsid w:val="009A4DEC"/>
    <w:rsid w:val="009B09F7"/>
    <w:rsid w:val="009C0117"/>
    <w:rsid w:val="009C46C9"/>
    <w:rsid w:val="009C71DF"/>
    <w:rsid w:val="009C77F7"/>
    <w:rsid w:val="009D5428"/>
    <w:rsid w:val="009E0ED3"/>
    <w:rsid w:val="009E225A"/>
    <w:rsid w:val="009E36E2"/>
    <w:rsid w:val="009F6EB7"/>
    <w:rsid w:val="00A000DB"/>
    <w:rsid w:val="00A12558"/>
    <w:rsid w:val="00A13903"/>
    <w:rsid w:val="00A3064E"/>
    <w:rsid w:val="00A310AC"/>
    <w:rsid w:val="00A340D5"/>
    <w:rsid w:val="00A34ED5"/>
    <w:rsid w:val="00A35111"/>
    <w:rsid w:val="00A35156"/>
    <w:rsid w:val="00A45DBF"/>
    <w:rsid w:val="00A50FFA"/>
    <w:rsid w:val="00A53F11"/>
    <w:rsid w:val="00A725CF"/>
    <w:rsid w:val="00A7280D"/>
    <w:rsid w:val="00A755A2"/>
    <w:rsid w:val="00A87F8D"/>
    <w:rsid w:val="00A91100"/>
    <w:rsid w:val="00AA6660"/>
    <w:rsid w:val="00AB2C36"/>
    <w:rsid w:val="00AB34EC"/>
    <w:rsid w:val="00AB62B7"/>
    <w:rsid w:val="00AB6DDE"/>
    <w:rsid w:val="00AB70B6"/>
    <w:rsid w:val="00AC23B5"/>
    <w:rsid w:val="00AD1A86"/>
    <w:rsid w:val="00AE103E"/>
    <w:rsid w:val="00AE33FA"/>
    <w:rsid w:val="00AE3878"/>
    <w:rsid w:val="00AF0A07"/>
    <w:rsid w:val="00AF1041"/>
    <w:rsid w:val="00AF2362"/>
    <w:rsid w:val="00AF4AEC"/>
    <w:rsid w:val="00AF625E"/>
    <w:rsid w:val="00AF6523"/>
    <w:rsid w:val="00AF70EC"/>
    <w:rsid w:val="00B139BE"/>
    <w:rsid w:val="00B16F04"/>
    <w:rsid w:val="00B2172B"/>
    <w:rsid w:val="00B51431"/>
    <w:rsid w:val="00B533C0"/>
    <w:rsid w:val="00B862A1"/>
    <w:rsid w:val="00B906F1"/>
    <w:rsid w:val="00B911CB"/>
    <w:rsid w:val="00B9146E"/>
    <w:rsid w:val="00B917D2"/>
    <w:rsid w:val="00BA241A"/>
    <w:rsid w:val="00BB04AF"/>
    <w:rsid w:val="00BB7109"/>
    <w:rsid w:val="00BD52C9"/>
    <w:rsid w:val="00BE6354"/>
    <w:rsid w:val="00BE7B04"/>
    <w:rsid w:val="00BF669C"/>
    <w:rsid w:val="00C1208E"/>
    <w:rsid w:val="00C12190"/>
    <w:rsid w:val="00C138D1"/>
    <w:rsid w:val="00C20036"/>
    <w:rsid w:val="00C22B32"/>
    <w:rsid w:val="00C23A97"/>
    <w:rsid w:val="00C25B18"/>
    <w:rsid w:val="00C302B1"/>
    <w:rsid w:val="00C52EBE"/>
    <w:rsid w:val="00C5776D"/>
    <w:rsid w:val="00C64855"/>
    <w:rsid w:val="00C673E0"/>
    <w:rsid w:val="00C70EA7"/>
    <w:rsid w:val="00C7433F"/>
    <w:rsid w:val="00C7516E"/>
    <w:rsid w:val="00C75374"/>
    <w:rsid w:val="00C75770"/>
    <w:rsid w:val="00C90B81"/>
    <w:rsid w:val="00C9225A"/>
    <w:rsid w:val="00CA1C54"/>
    <w:rsid w:val="00CA56BB"/>
    <w:rsid w:val="00CB0542"/>
    <w:rsid w:val="00CC2565"/>
    <w:rsid w:val="00CD0927"/>
    <w:rsid w:val="00CE0AC5"/>
    <w:rsid w:val="00CE71E5"/>
    <w:rsid w:val="00CF6230"/>
    <w:rsid w:val="00D00B2B"/>
    <w:rsid w:val="00D24877"/>
    <w:rsid w:val="00D25E54"/>
    <w:rsid w:val="00D27034"/>
    <w:rsid w:val="00D33D76"/>
    <w:rsid w:val="00D53E1F"/>
    <w:rsid w:val="00D7105A"/>
    <w:rsid w:val="00D8250F"/>
    <w:rsid w:val="00D858FC"/>
    <w:rsid w:val="00D86BB3"/>
    <w:rsid w:val="00D95C4C"/>
    <w:rsid w:val="00DA36ED"/>
    <w:rsid w:val="00DB0EB9"/>
    <w:rsid w:val="00DB1AB9"/>
    <w:rsid w:val="00DB2728"/>
    <w:rsid w:val="00DB482A"/>
    <w:rsid w:val="00DB48FE"/>
    <w:rsid w:val="00DD4BFB"/>
    <w:rsid w:val="00DE34F1"/>
    <w:rsid w:val="00DE6160"/>
    <w:rsid w:val="00DF4942"/>
    <w:rsid w:val="00E019FC"/>
    <w:rsid w:val="00E059E8"/>
    <w:rsid w:val="00E16EFD"/>
    <w:rsid w:val="00E2125F"/>
    <w:rsid w:val="00E244E1"/>
    <w:rsid w:val="00E36EF9"/>
    <w:rsid w:val="00E4150C"/>
    <w:rsid w:val="00E41E1E"/>
    <w:rsid w:val="00E5638D"/>
    <w:rsid w:val="00E627B1"/>
    <w:rsid w:val="00E7012C"/>
    <w:rsid w:val="00E70169"/>
    <w:rsid w:val="00E7332E"/>
    <w:rsid w:val="00E9376C"/>
    <w:rsid w:val="00E95AE2"/>
    <w:rsid w:val="00EA0473"/>
    <w:rsid w:val="00EA335E"/>
    <w:rsid w:val="00EA528C"/>
    <w:rsid w:val="00EA580C"/>
    <w:rsid w:val="00EC6F8D"/>
    <w:rsid w:val="00ED39B2"/>
    <w:rsid w:val="00EE49F4"/>
    <w:rsid w:val="00EE5D7D"/>
    <w:rsid w:val="00EF0247"/>
    <w:rsid w:val="00EF34E2"/>
    <w:rsid w:val="00F03FA9"/>
    <w:rsid w:val="00F05D8C"/>
    <w:rsid w:val="00F07AE5"/>
    <w:rsid w:val="00F10306"/>
    <w:rsid w:val="00F2011E"/>
    <w:rsid w:val="00F26478"/>
    <w:rsid w:val="00F30DC6"/>
    <w:rsid w:val="00F32C23"/>
    <w:rsid w:val="00F36124"/>
    <w:rsid w:val="00F44731"/>
    <w:rsid w:val="00F45B84"/>
    <w:rsid w:val="00F51D61"/>
    <w:rsid w:val="00F53DE9"/>
    <w:rsid w:val="00F56FA1"/>
    <w:rsid w:val="00F576CB"/>
    <w:rsid w:val="00F6079E"/>
    <w:rsid w:val="00F6146E"/>
    <w:rsid w:val="00F7035D"/>
    <w:rsid w:val="00F71A02"/>
    <w:rsid w:val="00F83211"/>
    <w:rsid w:val="00F83B7E"/>
    <w:rsid w:val="00F91C57"/>
    <w:rsid w:val="00F92792"/>
    <w:rsid w:val="00FA0D63"/>
    <w:rsid w:val="00FA6AF7"/>
    <w:rsid w:val="00FC23A7"/>
    <w:rsid w:val="00FD0EE6"/>
    <w:rsid w:val="00FD1226"/>
    <w:rsid w:val="00FD5BDE"/>
    <w:rsid w:val="00FE38F2"/>
    <w:rsid w:val="00FE77A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C673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character" w:styleId="Hyperlink">
    <w:name w:val="Hyperlink"/>
    <w:basedOn w:val="DefaultParagraphFont"/>
    <w:uiPriority w:val="99"/>
    <w:unhideWhenUsed/>
    <w:rsid w:val="0015117E"/>
    <w:rPr>
      <w:color w:val="0000FF" w:themeColor="hyperlink"/>
      <w:u w:val="single"/>
    </w:rPr>
  </w:style>
  <w:style w:type="character" w:styleId="IntenseReference">
    <w:name w:val="Intense Reference"/>
    <w:basedOn w:val="DefaultParagraphFont"/>
    <w:uiPriority w:val="32"/>
    <w:qFormat/>
    <w:rsid w:val="005777E8"/>
    <w:rPr>
      <w:b/>
      <w:bCs/>
      <w:smallCaps/>
      <w:color w:val="365F91" w:themeColor="accent1" w:themeShade="BF"/>
      <w:spacing w:val="5"/>
    </w:rPr>
  </w:style>
  <w:style w:type="character" w:styleId="UnresolvedMention">
    <w:name w:val="Unresolved Mention"/>
    <w:basedOn w:val="DefaultParagraphFont"/>
    <w:uiPriority w:val="99"/>
    <w:semiHidden/>
    <w:unhideWhenUsed/>
    <w:rsid w:val="007C23B5"/>
    <w:rPr>
      <w:color w:val="605E5C"/>
      <w:shd w:val="clear" w:color="auto" w:fill="E1DFDD"/>
    </w:rPr>
  </w:style>
  <w:style w:type="character" w:styleId="FollowedHyperlink">
    <w:name w:val="FollowedHyperlink"/>
    <w:basedOn w:val="DefaultParagraphFont"/>
    <w:uiPriority w:val="99"/>
    <w:semiHidden/>
    <w:unhideWhenUsed/>
    <w:rsid w:val="006A7FB4"/>
    <w:rPr>
      <w:color w:val="800080" w:themeColor="followedHyperlink"/>
      <w:u w:val="single"/>
    </w:rPr>
  </w:style>
  <w:style w:type="paragraph" w:styleId="Revision">
    <w:name w:val="Revision"/>
    <w:hidden/>
    <w:uiPriority w:val="99"/>
    <w:semiHidden/>
    <w:rsid w:val="0052090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862A1"/>
    <w:rPr>
      <w:sz w:val="16"/>
      <w:szCs w:val="16"/>
    </w:rPr>
  </w:style>
  <w:style w:type="paragraph" w:styleId="CommentText">
    <w:name w:val="annotation text"/>
    <w:basedOn w:val="Normal"/>
    <w:link w:val="CommentTextChar"/>
    <w:uiPriority w:val="99"/>
    <w:unhideWhenUsed/>
    <w:rsid w:val="00B862A1"/>
    <w:rPr>
      <w:sz w:val="20"/>
      <w:szCs w:val="20"/>
    </w:rPr>
  </w:style>
  <w:style w:type="character" w:customStyle="1" w:styleId="CommentTextChar">
    <w:name w:val="Comment Text Char"/>
    <w:basedOn w:val="DefaultParagraphFont"/>
    <w:link w:val="CommentText"/>
    <w:uiPriority w:val="99"/>
    <w:rsid w:val="00B862A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62A1"/>
    <w:rPr>
      <w:b/>
      <w:bCs/>
    </w:rPr>
  </w:style>
  <w:style w:type="character" w:customStyle="1" w:styleId="CommentSubjectChar">
    <w:name w:val="Comment Subject Char"/>
    <w:basedOn w:val="CommentTextChar"/>
    <w:link w:val="CommentSubject"/>
    <w:uiPriority w:val="99"/>
    <w:semiHidden/>
    <w:rsid w:val="00B862A1"/>
    <w:rPr>
      <w:rFonts w:ascii="Times New Roman" w:eastAsia="Times New Roman" w:hAnsi="Times New Roman"/>
      <w:b/>
      <w:bCs/>
    </w:rPr>
  </w:style>
  <w:style w:type="character" w:styleId="Emphasis">
    <w:name w:val="Emphasis"/>
    <w:basedOn w:val="DefaultParagraphFont"/>
    <w:uiPriority w:val="20"/>
    <w:qFormat/>
    <w:rsid w:val="00286302"/>
    <w:rPr>
      <w:i/>
      <w:iCs/>
    </w:rPr>
  </w:style>
  <w:style w:type="paragraph" w:styleId="NormalWeb">
    <w:name w:val="Normal (Web)"/>
    <w:basedOn w:val="Normal"/>
    <w:uiPriority w:val="99"/>
    <w:semiHidden/>
    <w:unhideWhenUsed/>
    <w:rsid w:val="00786E25"/>
    <w:pPr>
      <w:spacing w:before="100" w:beforeAutospacing="1" w:after="100" w:afterAutospacing="1"/>
    </w:pPr>
    <w:rPr>
      <w:lang w:val="en-US" w:eastAsia="zh-CN"/>
    </w:rPr>
  </w:style>
  <w:style w:type="character" w:styleId="Strong">
    <w:name w:val="Strong"/>
    <w:basedOn w:val="DefaultParagraphFont"/>
    <w:uiPriority w:val="22"/>
    <w:qFormat/>
    <w:rsid w:val="00786E25"/>
    <w:rPr>
      <w:b/>
      <w:bCs/>
    </w:rPr>
  </w:style>
  <w:style w:type="paragraph" w:customStyle="1" w:styleId="1GAPara">
    <w:name w:val="1. GA Para"/>
    <w:qFormat/>
    <w:rsid w:val="009E36E2"/>
    <w:pPr>
      <w:spacing w:after="120"/>
      <w:ind w:left="567" w:hanging="567"/>
    </w:pPr>
    <w:rPr>
      <w:rFonts w:ascii="Arial" w:eastAsia="Times New Roman" w:hAnsi="Arial" w:cs="Arial"/>
      <w:snapToGrid w:val="0"/>
      <w:sz w:val="22"/>
      <w:szCs w:val="22"/>
      <w:lang w:val="en-GB" w:eastAsia="en-US"/>
    </w:rPr>
  </w:style>
  <w:style w:type="character" w:customStyle="1" w:styleId="Heading1Char">
    <w:name w:val="Heading 1 Char"/>
    <w:basedOn w:val="DefaultParagraphFont"/>
    <w:link w:val="Heading1"/>
    <w:uiPriority w:val="9"/>
    <w:rsid w:val="00C673E0"/>
    <w:rPr>
      <w:rFonts w:asciiTheme="majorHAnsi" w:eastAsiaTheme="majorEastAsia" w:hAnsiTheme="majorHAnsi" w:cstheme="majorBidi"/>
      <w:color w:val="365F91" w:themeColor="accent1" w:themeShade="BF"/>
      <w:sz w:val="32"/>
      <w:szCs w:val="32"/>
    </w:rPr>
  </w:style>
  <w:style w:type="paragraph" w:customStyle="1" w:styleId="pf1">
    <w:name w:val="pf1"/>
    <w:basedOn w:val="Normal"/>
    <w:rsid w:val="009A4DEC"/>
    <w:pPr>
      <w:spacing w:before="100" w:beforeAutospacing="1" w:after="100" w:afterAutospacing="1"/>
      <w:ind w:left="360"/>
    </w:pPr>
    <w:rPr>
      <w:lang w:val="en-US" w:eastAsia="en-US"/>
    </w:rPr>
  </w:style>
  <w:style w:type="paragraph" w:styleId="HTMLPreformatted">
    <w:name w:val="HTML Preformatted"/>
    <w:basedOn w:val="Normal"/>
    <w:link w:val="HTMLPreformattedChar"/>
    <w:uiPriority w:val="99"/>
    <w:semiHidden/>
    <w:unhideWhenUsed/>
    <w:rsid w:val="00FA6A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6AF7"/>
    <w:rPr>
      <w:rFonts w:ascii="Consolas" w:eastAsia="Times New Roman"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50836">
      <w:bodyDiv w:val="1"/>
      <w:marLeft w:val="0"/>
      <w:marRight w:val="0"/>
      <w:marTop w:val="0"/>
      <w:marBottom w:val="0"/>
      <w:divBdr>
        <w:top w:val="none" w:sz="0" w:space="0" w:color="auto"/>
        <w:left w:val="none" w:sz="0" w:space="0" w:color="auto"/>
        <w:bottom w:val="none" w:sz="0" w:space="0" w:color="auto"/>
        <w:right w:val="none" w:sz="0" w:space="0" w:color="auto"/>
      </w:divBdr>
    </w:div>
    <w:div w:id="333071575">
      <w:bodyDiv w:val="1"/>
      <w:marLeft w:val="0"/>
      <w:marRight w:val="0"/>
      <w:marTop w:val="0"/>
      <w:marBottom w:val="0"/>
      <w:divBdr>
        <w:top w:val="none" w:sz="0" w:space="0" w:color="auto"/>
        <w:left w:val="none" w:sz="0" w:space="0" w:color="auto"/>
        <w:bottom w:val="none" w:sz="0" w:space="0" w:color="auto"/>
        <w:right w:val="none" w:sz="0" w:space="0" w:color="auto"/>
      </w:divBdr>
      <w:divsChild>
        <w:div w:id="1988198299">
          <w:marLeft w:val="0"/>
          <w:marRight w:val="0"/>
          <w:marTop w:val="0"/>
          <w:marBottom w:val="0"/>
          <w:divBdr>
            <w:top w:val="none" w:sz="0" w:space="0" w:color="auto"/>
            <w:left w:val="none" w:sz="0" w:space="0" w:color="auto"/>
            <w:bottom w:val="none" w:sz="0" w:space="0" w:color="auto"/>
            <w:right w:val="none" w:sz="0" w:space="0" w:color="auto"/>
          </w:divBdr>
          <w:divsChild>
            <w:div w:id="787241243">
              <w:marLeft w:val="0"/>
              <w:marRight w:val="0"/>
              <w:marTop w:val="0"/>
              <w:marBottom w:val="0"/>
              <w:divBdr>
                <w:top w:val="none" w:sz="0" w:space="0" w:color="auto"/>
                <w:left w:val="none" w:sz="0" w:space="0" w:color="auto"/>
                <w:bottom w:val="none" w:sz="0" w:space="0" w:color="auto"/>
                <w:right w:val="none" w:sz="0" w:space="0" w:color="auto"/>
              </w:divBdr>
              <w:divsChild>
                <w:div w:id="1468930054">
                  <w:marLeft w:val="0"/>
                  <w:marRight w:val="0"/>
                  <w:marTop w:val="0"/>
                  <w:marBottom w:val="0"/>
                  <w:divBdr>
                    <w:top w:val="none" w:sz="0" w:space="0" w:color="auto"/>
                    <w:left w:val="none" w:sz="0" w:space="0" w:color="auto"/>
                    <w:bottom w:val="none" w:sz="0" w:space="0" w:color="auto"/>
                    <w:right w:val="none" w:sz="0" w:space="0" w:color="auto"/>
                  </w:divBdr>
                  <w:divsChild>
                    <w:div w:id="2188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5247">
      <w:bodyDiv w:val="1"/>
      <w:marLeft w:val="0"/>
      <w:marRight w:val="0"/>
      <w:marTop w:val="0"/>
      <w:marBottom w:val="0"/>
      <w:divBdr>
        <w:top w:val="none" w:sz="0" w:space="0" w:color="auto"/>
        <w:left w:val="none" w:sz="0" w:space="0" w:color="auto"/>
        <w:bottom w:val="none" w:sz="0" w:space="0" w:color="auto"/>
        <w:right w:val="none" w:sz="0" w:space="0" w:color="auto"/>
      </w:divBdr>
    </w:div>
    <w:div w:id="603811061">
      <w:bodyDiv w:val="1"/>
      <w:marLeft w:val="0"/>
      <w:marRight w:val="0"/>
      <w:marTop w:val="0"/>
      <w:marBottom w:val="0"/>
      <w:divBdr>
        <w:top w:val="none" w:sz="0" w:space="0" w:color="auto"/>
        <w:left w:val="none" w:sz="0" w:space="0" w:color="auto"/>
        <w:bottom w:val="none" w:sz="0" w:space="0" w:color="auto"/>
        <w:right w:val="none" w:sz="0" w:space="0" w:color="auto"/>
      </w:divBdr>
    </w:div>
    <w:div w:id="76457158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8752855">
      <w:bodyDiv w:val="1"/>
      <w:marLeft w:val="0"/>
      <w:marRight w:val="0"/>
      <w:marTop w:val="0"/>
      <w:marBottom w:val="0"/>
      <w:divBdr>
        <w:top w:val="none" w:sz="0" w:space="0" w:color="auto"/>
        <w:left w:val="none" w:sz="0" w:space="0" w:color="auto"/>
        <w:bottom w:val="none" w:sz="0" w:space="0" w:color="auto"/>
        <w:right w:val="none" w:sz="0" w:space="0" w:color="auto"/>
      </w:divBdr>
    </w:div>
    <w:div w:id="105408314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55804767">
      <w:bodyDiv w:val="1"/>
      <w:marLeft w:val="0"/>
      <w:marRight w:val="0"/>
      <w:marTop w:val="0"/>
      <w:marBottom w:val="0"/>
      <w:divBdr>
        <w:top w:val="none" w:sz="0" w:space="0" w:color="auto"/>
        <w:left w:val="none" w:sz="0" w:space="0" w:color="auto"/>
        <w:bottom w:val="none" w:sz="0" w:space="0" w:color="auto"/>
        <w:right w:val="none" w:sz="0" w:space="0" w:color="auto"/>
      </w:divBdr>
    </w:div>
    <w:div w:id="1189222553">
      <w:bodyDiv w:val="1"/>
      <w:marLeft w:val="0"/>
      <w:marRight w:val="0"/>
      <w:marTop w:val="0"/>
      <w:marBottom w:val="0"/>
      <w:divBdr>
        <w:top w:val="none" w:sz="0" w:space="0" w:color="auto"/>
        <w:left w:val="none" w:sz="0" w:space="0" w:color="auto"/>
        <w:bottom w:val="none" w:sz="0" w:space="0" w:color="auto"/>
        <w:right w:val="none" w:sz="0" w:space="0" w:color="auto"/>
      </w:divBdr>
    </w:div>
    <w:div w:id="154390579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10504725">
      <w:bodyDiv w:val="1"/>
      <w:marLeft w:val="0"/>
      <w:marRight w:val="0"/>
      <w:marTop w:val="0"/>
      <w:marBottom w:val="0"/>
      <w:divBdr>
        <w:top w:val="none" w:sz="0" w:space="0" w:color="auto"/>
        <w:left w:val="none" w:sz="0" w:space="0" w:color="auto"/>
        <w:bottom w:val="none" w:sz="0" w:space="0" w:color="auto"/>
        <w:right w:val="none" w:sz="0" w:space="0" w:color="auto"/>
      </w:divBdr>
      <w:divsChild>
        <w:div w:id="275908411">
          <w:marLeft w:val="0"/>
          <w:marRight w:val="0"/>
          <w:marTop w:val="0"/>
          <w:marBottom w:val="0"/>
          <w:divBdr>
            <w:top w:val="none" w:sz="0" w:space="0" w:color="auto"/>
            <w:left w:val="none" w:sz="0" w:space="0" w:color="auto"/>
            <w:bottom w:val="none" w:sz="0" w:space="0" w:color="auto"/>
            <w:right w:val="none" w:sz="0" w:space="0" w:color="auto"/>
          </w:divBdr>
          <w:divsChild>
            <w:div w:id="1865945026">
              <w:marLeft w:val="0"/>
              <w:marRight w:val="0"/>
              <w:marTop w:val="0"/>
              <w:marBottom w:val="0"/>
              <w:divBdr>
                <w:top w:val="none" w:sz="0" w:space="0" w:color="auto"/>
                <w:left w:val="none" w:sz="0" w:space="0" w:color="auto"/>
                <w:bottom w:val="none" w:sz="0" w:space="0" w:color="auto"/>
                <w:right w:val="none" w:sz="0" w:space="0" w:color="auto"/>
              </w:divBdr>
              <w:divsChild>
                <w:div w:id="1721858736">
                  <w:marLeft w:val="0"/>
                  <w:marRight w:val="0"/>
                  <w:marTop w:val="0"/>
                  <w:marBottom w:val="0"/>
                  <w:divBdr>
                    <w:top w:val="none" w:sz="0" w:space="0" w:color="auto"/>
                    <w:left w:val="none" w:sz="0" w:space="0" w:color="auto"/>
                    <w:bottom w:val="none" w:sz="0" w:space="0" w:color="auto"/>
                    <w:right w:val="none" w:sz="0" w:space="0" w:color="auto"/>
                  </w:divBdr>
                  <w:divsChild>
                    <w:div w:id="5896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24378710">
      <w:bodyDiv w:val="1"/>
      <w:marLeft w:val="0"/>
      <w:marRight w:val="0"/>
      <w:marTop w:val="0"/>
      <w:marBottom w:val="0"/>
      <w:divBdr>
        <w:top w:val="none" w:sz="0" w:space="0" w:color="auto"/>
        <w:left w:val="none" w:sz="0" w:space="0" w:color="auto"/>
        <w:bottom w:val="none" w:sz="0" w:space="0" w:color="auto"/>
        <w:right w:val="none" w:sz="0" w:space="0" w:color="auto"/>
      </w:divBdr>
    </w:div>
    <w:div w:id="2139565521">
      <w:bodyDiv w:val="1"/>
      <w:marLeft w:val="0"/>
      <w:marRight w:val="0"/>
      <w:marTop w:val="0"/>
      <w:marBottom w:val="0"/>
      <w:divBdr>
        <w:top w:val="none" w:sz="0" w:space="0" w:color="auto"/>
        <w:left w:val="none" w:sz="0" w:space="0" w:color="auto"/>
        <w:bottom w:val="none" w:sz="0" w:space="0" w:color="auto"/>
        <w:right w:val="none" w:sz="0" w:space="0" w:color="auto"/>
      </w:divBdr>
      <w:divsChild>
        <w:div w:id="243690437">
          <w:marLeft w:val="0"/>
          <w:marRight w:val="0"/>
          <w:marTop w:val="0"/>
          <w:marBottom w:val="0"/>
          <w:divBdr>
            <w:top w:val="none" w:sz="0" w:space="0" w:color="auto"/>
            <w:left w:val="none" w:sz="0" w:space="0" w:color="auto"/>
            <w:bottom w:val="none" w:sz="0" w:space="0" w:color="auto"/>
            <w:right w:val="none" w:sz="0" w:space="0" w:color="auto"/>
          </w:divBdr>
          <w:divsChild>
            <w:div w:id="1110200232">
              <w:marLeft w:val="0"/>
              <w:marRight w:val="0"/>
              <w:marTop w:val="0"/>
              <w:marBottom w:val="0"/>
              <w:divBdr>
                <w:top w:val="none" w:sz="0" w:space="0" w:color="auto"/>
                <w:left w:val="none" w:sz="0" w:space="0" w:color="auto"/>
                <w:bottom w:val="none" w:sz="0" w:space="0" w:color="auto"/>
                <w:right w:val="none" w:sz="0" w:space="0" w:color="auto"/>
              </w:divBdr>
              <w:divsChild>
                <w:div w:id="1844933018">
                  <w:marLeft w:val="0"/>
                  <w:marRight w:val="0"/>
                  <w:marTop w:val="0"/>
                  <w:marBottom w:val="0"/>
                  <w:divBdr>
                    <w:top w:val="none" w:sz="0" w:space="0" w:color="auto"/>
                    <w:left w:val="none" w:sz="0" w:space="0" w:color="auto"/>
                    <w:bottom w:val="none" w:sz="0" w:space="0" w:color="auto"/>
                    <w:right w:val="none" w:sz="0" w:space="0" w:color="auto"/>
                  </w:divBdr>
                  <w:divsChild>
                    <w:div w:id="14047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situations-d-urge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evenements/programme-de-formation-du-reseau-mondial-de-facilitateurs-patrimoine-vivant-et-situations-de-conflit-0106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h.unesco.org/fr/materiel-renforcement-capacites" TargetMode="External"/><Relationship Id="rId4" Type="http://schemas.openxmlformats.org/officeDocument/2006/relationships/settings" Target="settings.xml"/><Relationship Id="rId9" Type="http://schemas.openxmlformats.org/officeDocument/2006/relationships/hyperlink" Target="https://ich.unesco.org/fr/situations-d-urgenc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7216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2026-05-21T15:55:00Z</dcterms:created>
  <dcterms:modified xsi:type="dcterms:W3CDTF">2026-05-21T15:55:00Z</dcterms:modified>
</cp:coreProperties>
</file>