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3318" w14:textId="77777777" w:rsidR="00DE7992" w:rsidRDefault="00DE7992" w:rsidP="00357323">
      <w:pPr>
        <w:spacing w:before="1440" w:after="120"/>
        <w:jc w:val="center"/>
        <w:rPr>
          <w:rFonts w:ascii="Arial" w:hAnsi="Arial" w:cs="Arial"/>
          <w:b/>
          <w:sz w:val="22"/>
          <w:szCs w:val="22"/>
          <w:lang w:val="en-GB"/>
        </w:rPr>
      </w:pPr>
    </w:p>
    <w:p w14:paraId="2485E36E" w14:textId="6ABBA4A5" w:rsidR="00EC6F8D" w:rsidRPr="00875673" w:rsidRDefault="00EC6F8D" w:rsidP="00357323">
      <w:pPr>
        <w:spacing w:before="1440" w:after="120"/>
        <w:jc w:val="center"/>
        <w:rPr>
          <w:rFonts w:ascii="Arial" w:hAnsi="Arial" w:cs="Arial"/>
          <w:b/>
          <w:sz w:val="22"/>
          <w:szCs w:val="22"/>
          <w:lang w:val="en-GB"/>
        </w:rPr>
      </w:pPr>
      <w:r w:rsidRPr="00875673">
        <w:rPr>
          <w:rFonts w:ascii="Arial" w:hAnsi="Arial" w:cs="Arial"/>
          <w:b/>
          <w:sz w:val="22"/>
          <w:szCs w:val="22"/>
          <w:lang w:val="en-GB"/>
        </w:rPr>
        <w:t>CONVENTION FOR THE SAFEGUARDING OF THE</w:t>
      </w:r>
      <w:r w:rsidRPr="00875673">
        <w:rPr>
          <w:rFonts w:ascii="Arial" w:hAnsi="Arial" w:cs="Arial"/>
          <w:b/>
          <w:sz w:val="22"/>
          <w:szCs w:val="22"/>
          <w:lang w:val="en-GB"/>
        </w:rPr>
        <w:br/>
        <w:t>INTANGIBLE CULTURAL HERITAGE</w:t>
      </w:r>
    </w:p>
    <w:p w14:paraId="00E2C338" w14:textId="77777777" w:rsidR="0015117E" w:rsidRPr="00875673" w:rsidRDefault="0015117E" w:rsidP="00357323">
      <w:pPr>
        <w:spacing w:before="1200" w:after="120"/>
        <w:ind w:right="-1"/>
        <w:jc w:val="center"/>
        <w:rPr>
          <w:rFonts w:ascii="Arial" w:eastAsia="Calibri" w:hAnsi="Arial" w:cs="Arial"/>
          <w:b/>
          <w:bCs/>
          <w:caps/>
          <w:sz w:val="22"/>
          <w:szCs w:val="22"/>
          <w:lang w:val="en-US"/>
        </w:rPr>
      </w:pPr>
      <w:bookmarkStart w:id="0" w:name="_Hlk70514086"/>
      <w:r w:rsidRPr="00875673">
        <w:rPr>
          <w:rFonts w:ascii="Arial" w:eastAsia="Calibri" w:hAnsi="Arial" w:cs="Arial"/>
          <w:b/>
          <w:bCs/>
          <w:caps/>
          <w:sz w:val="22"/>
          <w:szCs w:val="22"/>
          <w:lang w:val="en-US"/>
        </w:rPr>
        <w:t>Training programme for the Global facilitators’ network</w:t>
      </w:r>
    </w:p>
    <w:p w14:paraId="3C70C197" w14:textId="51FA55C2" w:rsidR="00273B6D" w:rsidRPr="00875673" w:rsidRDefault="0015117E" w:rsidP="00357323">
      <w:pPr>
        <w:spacing w:before="1200" w:after="120"/>
        <w:ind w:right="-1"/>
        <w:jc w:val="center"/>
        <w:rPr>
          <w:rFonts w:ascii="Arial" w:eastAsia="Calibri" w:hAnsi="Arial" w:cs="Arial"/>
          <w:b/>
          <w:bCs/>
          <w:caps/>
          <w:sz w:val="22"/>
          <w:szCs w:val="22"/>
          <w:lang w:val="en-US"/>
        </w:rPr>
      </w:pPr>
      <w:r w:rsidRPr="000C60F8">
        <w:rPr>
          <w:rFonts w:ascii="Arial" w:eastAsia="Calibri" w:hAnsi="Arial" w:cs="Arial"/>
          <w:b/>
          <w:bCs/>
          <w:caps/>
          <w:sz w:val="22"/>
          <w:szCs w:val="22"/>
          <w:lang w:val="en-US"/>
        </w:rPr>
        <w:t xml:space="preserve">Living heritage </w:t>
      </w:r>
      <w:r w:rsidR="00481EEA" w:rsidRPr="000C60F8">
        <w:rPr>
          <w:rFonts w:ascii="Arial" w:eastAsia="Calibri" w:hAnsi="Arial" w:cs="Arial"/>
          <w:b/>
          <w:bCs/>
          <w:caps/>
          <w:sz w:val="22"/>
          <w:szCs w:val="22"/>
          <w:lang w:val="en-US"/>
        </w:rPr>
        <w:t xml:space="preserve">IN </w:t>
      </w:r>
      <w:r w:rsidR="00A7653A">
        <w:rPr>
          <w:rFonts w:ascii="Arial" w:eastAsia="Calibri" w:hAnsi="Arial" w:cs="Arial"/>
          <w:b/>
          <w:bCs/>
          <w:caps/>
          <w:sz w:val="22"/>
          <w:szCs w:val="22"/>
          <w:lang w:val="en-US"/>
        </w:rPr>
        <w:t xml:space="preserve">SITUATIONS oF </w:t>
      </w:r>
      <w:r w:rsidR="002B443F" w:rsidRPr="00776DE0">
        <w:rPr>
          <w:rFonts w:ascii="Arial" w:eastAsia="Calibri" w:hAnsi="Arial" w:cs="Arial"/>
          <w:b/>
          <w:bCs/>
          <w:caps/>
          <w:sz w:val="22"/>
          <w:szCs w:val="22"/>
          <w:lang w:val="en-US"/>
        </w:rPr>
        <w:t xml:space="preserve">CONFLICT </w:t>
      </w:r>
      <w:r w:rsidR="00193008" w:rsidRPr="00776DE0">
        <w:rPr>
          <w:rFonts w:ascii="Arial" w:eastAsia="Calibri" w:hAnsi="Arial" w:cs="Arial"/>
          <w:b/>
          <w:bCs/>
          <w:caps/>
          <w:sz w:val="22"/>
          <w:szCs w:val="22"/>
          <w:lang w:val="en-US"/>
        </w:rPr>
        <w:t>AND DISPLACEMENT</w:t>
      </w:r>
    </w:p>
    <w:bookmarkEnd w:id="0"/>
    <w:p w14:paraId="1BA8DE75" w14:textId="456E6E3E" w:rsidR="00174D0C" w:rsidRPr="00875673" w:rsidRDefault="00193008" w:rsidP="0015218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4</w:t>
      </w:r>
      <w:r w:rsidR="00D90FC9">
        <w:rPr>
          <w:rFonts w:ascii="Arial" w:eastAsia="Calibri" w:hAnsi="Arial" w:cs="Arial"/>
          <w:b/>
          <w:bCs/>
          <w:sz w:val="22"/>
          <w:szCs w:val="22"/>
          <w:lang w:val="en-US"/>
        </w:rPr>
        <w:t xml:space="preserve"> </w:t>
      </w:r>
      <w:r>
        <w:rPr>
          <w:rFonts w:ascii="Arial" w:eastAsia="Calibri" w:hAnsi="Arial" w:cs="Arial"/>
          <w:b/>
          <w:bCs/>
          <w:sz w:val="22"/>
          <w:szCs w:val="22"/>
          <w:lang w:val="en-US"/>
        </w:rPr>
        <w:t>June</w:t>
      </w:r>
      <w:r w:rsidR="00277688" w:rsidRPr="00875673">
        <w:rPr>
          <w:rFonts w:ascii="Arial" w:eastAsia="Calibri" w:hAnsi="Arial" w:cs="Arial"/>
          <w:b/>
          <w:bCs/>
          <w:sz w:val="22"/>
          <w:szCs w:val="22"/>
          <w:lang w:val="en-US"/>
        </w:rPr>
        <w:t xml:space="preserve"> </w:t>
      </w:r>
      <w:r w:rsidR="00174D0C" w:rsidRPr="00875673">
        <w:rPr>
          <w:rFonts w:ascii="Arial" w:eastAsia="Calibri" w:hAnsi="Arial" w:cs="Arial"/>
          <w:b/>
          <w:bCs/>
          <w:sz w:val="22"/>
          <w:szCs w:val="22"/>
          <w:lang w:val="en-US"/>
        </w:rPr>
        <w:t>202</w:t>
      </w:r>
      <w:r w:rsidR="00D90FC9">
        <w:rPr>
          <w:rFonts w:ascii="Arial" w:eastAsia="Calibri" w:hAnsi="Arial" w:cs="Arial"/>
          <w:b/>
          <w:bCs/>
          <w:sz w:val="22"/>
          <w:szCs w:val="22"/>
          <w:lang w:val="en-US"/>
        </w:rPr>
        <w:t>6</w:t>
      </w:r>
      <w:r w:rsidR="00174D0C" w:rsidRPr="00875673">
        <w:rPr>
          <w:rFonts w:ascii="Arial" w:eastAsia="Calibri" w:hAnsi="Arial" w:cs="Arial"/>
          <w:b/>
          <w:bCs/>
          <w:sz w:val="22"/>
          <w:szCs w:val="22"/>
          <w:lang w:val="en-US"/>
        </w:rPr>
        <w:br/>
        <w:t>Online</w:t>
      </w:r>
    </w:p>
    <w:p w14:paraId="5BBC5BDE" w14:textId="5F181E41" w:rsidR="0015117E" w:rsidRPr="00875673" w:rsidRDefault="0015117E" w:rsidP="00657EBB">
      <w:pPr>
        <w:spacing w:before="840"/>
        <w:jc w:val="center"/>
        <w:rPr>
          <w:rFonts w:ascii="Arial" w:eastAsia="Calibri" w:hAnsi="Arial" w:cs="Arial"/>
          <w:b/>
          <w:bCs/>
          <w:sz w:val="22"/>
          <w:szCs w:val="22"/>
          <w:lang w:val="en-US"/>
        </w:rPr>
      </w:pPr>
      <w:r w:rsidRPr="00875673">
        <w:rPr>
          <w:rFonts w:ascii="Arial" w:eastAsia="Calibri" w:hAnsi="Arial" w:cs="Arial"/>
          <w:b/>
          <w:bCs/>
          <w:sz w:val="22"/>
          <w:szCs w:val="22"/>
          <w:lang w:val="en-US"/>
        </w:rPr>
        <w:t>Concept note</w:t>
      </w:r>
    </w:p>
    <w:p w14:paraId="713D819F" w14:textId="77777777" w:rsidR="004A2875" w:rsidRPr="00875673" w:rsidRDefault="00655736" w:rsidP="00922EFC">
      <w:pPr>
        <w:pStyle w:val="ListParagraph"/>
        <w:keepLines/>
        <w:numPr>
          <w:ilvl w:val="0"/>
          <w:numId w:val="5"/>
        </w:numPr>
        <w:spacing w:after="120"/>
        <w:ind w:left="567" w:hanging="567"/>
        <w:contextualSpacing w:val="0"/>
        <w:rPr>
          <w:rFonts w:ascii="Arial" w:hAnsi="Arial" w:cs="Arial"/>
          <w:b/>
          <w:snapToGrid w:val="0"/>
          <w:sz w:val="22"/>
          <w:szCs w:val="22"/>
          <w:lang w:val="en-GB" w:eastAsia="en-US"/>
        </w:rPr>
      </w:pPr>
      <w:r w:rsidRPr="00875673">
        <w:rPr>
          <w:lang w:val="en-US"/>
        </w:rPr>
        <w:br w:type="page"/>
      </w:r>
    </w:p>
    <w:p w14:paraId="42C51797" w14:textId="73C73B0B" w:rsidR="0050062D" w:rsidRDefault="0050062D" w:rsidP="00922EFC">
      <w:pPr>
        <w:pStyle w:val="COMPara"/>
        <w:numPr>
          <w:ilvl w:val="0"/>
          <w:numId w:val="6"/>
        </w:numPr>
        <w:spacing w:before="240" w:after="240"/>
        <w:ind w:left="547" w:hanging="540"/>
        <w:jc w:val="both"/>
        <w:rPr>
          <w:b/>
          <w:bCs/>
        </w:rPr>
      </w:pPr>
      <w:bookmarkStart w:id="1" w:name="_Hlk124351255"/>
      <w:r>
        <w:rPr>
          <w:b/>
          <w:bCs/>
        </w:rPr>
        <w:lastRenderedPageBreak/>
        <w:t>Background</w:t>
      </w:r>
    </w:p>
    <w:bookmarkEnd w:id="1"/>
    <w:p w14:paraId="390C26EF" w14:textId="4734ABD8" w:rsidR="00BE6C7B" w:rsidRPr="00BE6C7B" w:rsidRDefault="00BE6C7B" w:rsidP="00922EFC">
      <w:pPr>
        <w:pStyle w:val="COMPara"/>
        <w:numPr>
          <w:ilvl w:val="0"/>
          <w:numId w:val="7"/>
        </w:numPr>
        <w:ind w:left="547"/>
        <w:jc w:val="both"/>
        <w:rPr>
          <w:lang w:val="en-US"/>
        </w:rPr>
      </w:pPr>
      <w:r w:rsidRPr="00BE6C7B">
        <w:rPr>
          <w:lang w:val="en-US"/>
        </w:rPr>
        <w:t xml:space="preserve">This session is part of the 2026 training </w:t>
      </w:r>
      <w:proofErr w:type="spellStart"/>
      <w:r w:rsidRPr="00BE6C7B">
        <w:rPr>
          <w:lang w:val="en-US"/>
        </w:rPr>
        <w:t>programme</w:t>
      </w:r>
      <w:proofErr w:type="spellEnd"/>
      <w:r w:rsidRPr="00BE6C7B">
        <w:rPr>
          <w:lang w:val="en-US"/>
        </w:rPr>
        <w:t xml:space="preserve"> for the Global </w:t>
      </w:r>
      <w:r w:rsidR="008F5E82">
        <w:rPr>
          <w:lang w:val="en-US"/>
        </w:rPr>
        <w:t>facilitators</w:t>
      </w:r>
      <w:r w:rsidR="005216A5">
        <w:rPr>
          <w:lang w:val="en-US"/>
        </w:rPr>
        <w:t>’</w:t>
      </w:r>
      <w:r w:rsidR="008F5E82">
        <w:rPr>
          <w:lang w:val="en-US"/>
        </w:rPr>
        <w:t xml:space="preserve"> n</w:t>
      </w:r>
      <w:r w:rsidRPr="00BE6C7B">
        <w:rPr>
          <w:lang w:val="en-US"/>
        </w:rPr>
        <w:t xml:space="preserve">etwork under the 2003 Convention for the Safeguarding of the Intangible Cultural Heritage. It aims to </w:t>
      </w:r>
      <w:r w:rsidR="009F5C3E" w:rsidRPr="00BE6C7B">
        <w:rPr>
          <w:lang w:val="en-US"/>
        </w:rPr>
        <w:t>update</w:t>
      </w:r>
      <w:r w:rsidR="009F5C3E">
        <w:rPr>
          <w:lang w:val="en-US"/>
        </w:rPr>
        <w:t xml:space="preserve"> </w:t>
      </w:r>
      <w:r w:rsidRPr="00BE6C7B">
        <w:rPr>
          <w:lang w:val="en-US"/>
        </w:rPr>
        <w:t xml:space="preserve">facilitators’ knowledge on safeguarding intangible cultural heritage in situations of conflict and displacement, </w:t>
      </w:r>
      <w:r w:rsidR="00BC399A">
        <w:rPr>
          <w:lang w:val="en-US"/>
        </w:rPr>
        <w:t>and</w:t>
      </w:r>
      <w:r w:rsidRPr="00BE6C7B">
        <w:rPr>
          <w:lang w:val="en-US"/>
        </w:rPr>
        <w:t xml:space="preserve"> </w:t>
      </w:r>
      <w:r w:rsidR="00542384">
        <w:rPr>
          <w:lang w:val="en-US"/>
        </w:rPr>
        <w:t xml:space="preserve">on </w:t>
      </w:r>
      <w:r w:rsidRPr="00BE6C7B">
        <w:rPr>
          <w:lang w:val="en-US"/>
        </w:rPr>
        <w:t>related capacity-building approaches</w:t>
      </w:r>
      <w:r w:rsidR="00542384">
        <w:rPr>
          <w:lang w:val="en-US"/>
        </w:rPr>
        <w:t xml:space="preserve">. </w:t>
      </w:r>
      <w:r w:rsidRPr="00BE6C7B">
        <w:rPr>
          <w:lang w:val="en-US"/>
        </w:rPr>
        <w:t xml:space="preserve">It also complements the </w:t>
      </w:r>
      <w:hyperlink r:id="rId8" w:history="1">
        <w:r w:rsidRPr="00C9396C">
          <w:rPr>
            <w:rStyle w:val="Hyperlink"/>
            <w:lang w:val="en-US"/>
          </w:rPr>
          <w:t>training for facilitators on living heritage and disaster risk reduction</w:t>
        </w:r>
      </w:hyperlink>
      <w:r w:rsidR="009F5C3E" w:rsidRPr="00C9396C">
        <w:rPr>
          <w:lang w:val="en-US"/>
        </w:rPr>
        <w:t xml:space="preserve"> condu</w:t>
      </w:r>
      <w:r w:rsidR="009F5C3E" w:rsidRPr="00BE6C7B">
        <w:rPr>
          <w:lang w:val="en-US"/>
        </w:rPr>
        <w:t>cted in March</w:t>
      </w:r>
      <w:r w:rsidR="005216A5">
        <w:rPr>
          <w:lang w:val="en-US"/>
        </w:rPr>
        <w:t> </w:t>
      </w:r>
      <w:r w:rsidR="009F5C3E" w:rsidRPr="00BE6C7B">
        <w:rPr>
          <w:lang w:val="en-US"/>
        </w:rPr>
        <w:t>2025</w:t>
      </w:r>
      <w:r w:rsidRPr="00BE6C7B">
        <w:rPr>
          <w:lang w:val="en-US"/>
        </w:rPr>
        <w:t xml:space="preserve">. </w:t>
      </w:r>
    </w:p>
    <w:p w14:paraId="2315C324" w14:textId="75A6CB3D" w:rsidR="00691E64" w:rsidRPr="00963895" w:rsidRDefault="00BE6C7B" w:rsidP="00922EFC">
      <w:pPr>
        <w:pStyle w:val="COMPara"/>
        <w:numPr>
          <w:ilvl w:val="0"/>
          <w:numId w:val="7"/>
        </w:numPr>
        <w:ind w:left="540"/>
        <w:jc w:val="both"/>
      </w:pPr>
      <w:r w:rsidRPr="001E62E2">
        <w:rPr>
          <w:lang w:val="en-US"/>
        </w:rPr>
        <w:t xml:space="preserve">Situations of conflict and displacement </w:t>
      </w:r>
      <w:r w:rsidR="002307EE">
        <w:rPr>
          <w:lang w:val="en-US"/>
        </w:rPr>
        <w:t>can</w:t>
      </w:r>
      <w:r w:rsidR="00BC1AA8">
        <w:rPr>
          <w:lang w:val="en-US"/>
        </w:rPr>
        <w:t xml:space="preserve"> </w:t>
      </w:r>
      <w:r w:rsidRPr="001E62E2">
        <w:rPr>
          <w:lang w:val="en-US"/>
        </w:rPr>
        <w:t>pose specific and acute risks</w:t>
      </w:r>
      <w:r w:rsidR="00BC1AA8">
        <w:rPr>
          <w:lang w:val="en-US"/>
        </w:rPr>
        <w:t xml:space="preserve"> to living heritage</w:t>
      </w:r>
      <w:r w:rsidR="00776DE0" w:rsidRPr="001E62E2">
        <w:rPr>
          <w:lang w:val="en-US"/>
        </w:rPr>
        <w:t>.</w:t>
      </w:r>
      <w:r w:rsidRPr="00BE6C7B">
        <w:rPr>
          <w:lang w:val="en-US"/>
        </w:rPr>
        <w:t xml:space="preserve"> Forced displacement, disrupted social structures, and prolonged insecurity </w:t>
      </w:r>
      <w:r w:rsidR="002307EE">
        <w:rPr>
          <w:lang w:val="en-US"/>
        </w:rPr>
        <w:t>may</w:t>
      </w:r>
      <w:r w:rsidRPr="00BE6C7B">
        <w:rPr>
          <w:lang w:val="en-US"/>
        </w:rPr>
        <w:t xml:space="preserve"> severely affect the </w:t>
      </w:r>
      <w:r w:rsidR="00776DE0" w:rsidRPr="00BE6C7B">
        <w:rPr>
          <w:lang w:val="en-US"/>
        </w:rPr>
        <w:t>practice</w:t>
      </w:r>
      <w:r w:rsidR="00776DE0">
        <w:rPr>
          <w:lang w:val="en-US"/>
        </w:rPr>
        <w:t xml:space="preserve">, </w:t>
      </w:r>
      <w:r w:rsidRPr="00BE6C7B">
        <w:rPr>
          <w:lang w:val="en-US"/>
        </w:rPr>
        <w:t xml:space="preserve">transmission, and viability of intangible cultural heritage. At the same time, living heritage </w:t>
      </w:r>
      <w:r w:rsidR="002307EE">
        <w:rPr>
          <w:lang w:val="en-US"/>
        </w:rPr>
        <w:t>can be</w:t>
      </w:r>
      <w:r w:rsidRPr="00BE6C7B">
        <w:rPr>
          <w:lang w:val="en-US"/>
        </w:rPr>
        <w:t xml:space="preserve"> a vital </w:t>
      </w:r>
      <w:r w:rsidRPr="00963895">
        <w:t xml:space="preserve">resource for communities </w:t>
      </w:r>
      <w:r w:rsidR="00207DED" w:rsidRPr="00963895">
        <w:t xml:space="preserve">that can strengthen resilience, reduce vulnerabilities, and support </w:t>
      </w:r>
      <w:r w:rsidR="00BC399A" w:rsidRPr="00963895">
        <w:t>them</w:t>
      </w:r>
      <w:r w:rsidR="00207DED" w:rsidRPr="00963895">
        <w:t xml:space="preserve"> in preparing for, responding to, and recovering from</w:t>
      </w:r>
      <w:r w:rsidR="00703E29" w:rsidRPr="00963895">
        <w:t xml:space="preserve"> </w:t>
      </w:r>
      <w:r w:rsidR="00220CFF" w:rsidRPr="00963895">
        <w:t>emergencies</w:t>
      </w:r>
      <w:r w:rsidR="00207DED" w:rsidRPr="00963895">
        <w:t xml:space="preserve">. </w:t>
      </w:r>
      <w:r w:rsidR="00BC399A" w:rsidRPr="00963895">
        <w:t>S</w:t>
      </w:r>
      <w:r w:rsidR="00207DED" w:rsidRPr="00963895">
        <w:t xml:space="preserve">afeguarding living heritage in </w:t>
      </w:r>
      <w:r w:rsidR="004D43F3" w:rsidRPr="00963895">
        <w:t>situations</w:t>
      </w:r>
      <w:r w:rsidR="00BC399A" w:rsidRPr="00963895">
        <w:t xml:space="preserve"> of </w:t>
      </w:r>
      <w:r w:rsidR="00207DED" w:rsidRPr="00963895">
        <w:t>conflict and displacement is indivisible from the protection of the lives and well-being of its bearers</w:t>
      </w:r>
      <w:r w:rsidR="00691E64" w:rsidRPr="00963895">
        <w:t>.</w:t>
      </w:r>
    </w:p>
    <w:p w14:paraId="2986F449" w14:textId="35996964" w:rsidR="008E5A10" w:rsidRPr="00963895" w:rsidRDefault="0099698F" w:rsidP="004D43F3">
      <w:pPr>
        <w:pStyle w:val="COMPara"/>
        <w:numPr>
          <w:ilvl w:val="0"/>
          <w:numId w:val="7"/>
        </w:numPr>
        <w:ind w:left="540"/>
        <w:jc w:val="both"/>
      </w:pPr>
      <w:r>
        <w:t xml:space="preserve">Against this background, </w:t>
      </w:r>
      <w:r w:rsidR="008E5A10" w:rsidRPr="00963895">
        <w:t xml:space="preserve">UNESCO developed the </w:t>
      </w:r>
      <w:hyperlink r:id="rId9" w:history="1">
        <w:r w:rsidR="00D938E7" w:rsidRPr="00963895">
          <w:rPr>
            <w:rStyle w:val="Hyperlink"/>
          </w:rPr>
          <w:t>Operational principles and modalities for safeguarding intangible cultural heritage in emergencies</w:t>
        </w:r>
      </w:hyperlink>
      <w:r w:rsidR="00D938E7" w:rsidRPr="00963895">
        <w:t xml:space="preserve">, which </w:t>
      </w:r>
      <w:r w:rsidR="008E5A10" w:rsidRPr="00963895">
        <w:t xml:space="preserve">provide guidance to States Parties and other relevant stakeholders on how best to ensure that intangible cultural heritage is most effectively engaged and safeguarded in emergency situations in line with the principles of the 2003 Convention. </w:t>
      </w:r>
      <w:r w:rsidR="00266785" w:rsidRPr="00963895">
        <w:t>The</w:t>
      </w:r>
      <w:r>
        <w:t xml:space="preserve"> modalities </w:t>
      </w:r>
      <w:r w:rsidR="00266785" w:rsidRPr="00963895">
        <w:t xml:space="preserve">identify actions appropriate to the three main phases in an emergency management cycle of preparedness, response, and recovery efforts. </w:t>
      </w:r>
      <w:r w:rsidR="008E5A10" w:rsidRPr="00963895">
        <w:t>The</w:t>
      </w:r>
      <w:r w:rsidR="00C50A35" w:rsidRPr="00963895">
        <w:t>se</w:t>
      </w:r>
      <w:r w:rsidR="00266785" w:rsidRPr="00963895">
        <w:t xml:space="preserve"> </w:t>
      </w:r>
      <w:r w:rsidR="00C50A35" w:rsidRPr="00963895">
        <w:t>o</w:t>
      </w:r>
      <w:r w:rsidR="00266785" w:rsidRPr="00963895">
        <w:t xml:space="preserve">perational principles and modalities </w:t>
      </w:r>
      <w:r w:rsidR="008E5A10" w:rsidRPr="00963895">
        <w:t>were endorsed by the Intergovernmental Committee at its fourteenth session in Bogota, Colombia, December 2019 (</w:t>
      </w:r>
      <w:hyperlink r:id="rId10" w:history="1">
        <w:r w:rsidR="008E5A10" w:rsidRPr="00963895">
          <w:rPr>
            <w:rStyle w:val="Hyperlink"/>
          </w:rPr>
          <w:t>Decision 14.COM 13</w:t>
        </w:r>
      </w:hyperlink>
      <w:r w:rsidR="008E5A10" w:rsidRPr="00963895">
        <w:t>) and approved by the General Assembly at its eighth session in September 2020 (</w:t>
      </w:r>
      <w:hyperlink r:id="rId11" w:history="1">
        <w:r w:rsidR="008E5A10" w:rsidRPr="00963895">
          <w:rPr>
            <w:rStyle w:val="Hyperlink"/>
          </w:rPr>
          <w:t>Resolution</w:t>
        </w:r>
        <w:r w:rsidR="00AF209E">
          <w:rPr>
            <w:rStyle w:val="Hyperlink"/>
          </w:rPr>
          <w:t> </w:t>
        </w:r>
        <w:r w:rsidR="008E5A10" w:rsidRPr="00963895">
          <w:rPr>
            <w:rStyle w:val="Hyperlink"/>
          </w:rPr>
          <w:t>8.GA</w:t>
        </w:r>
        <w:r w:rsidR="00AF209E">
          <w:rPr>
            <w:rStyle w:val="Hyperlink"/>
          </w:rPr>
          <w:t> </w:t>
        </w:r>
        <w:r w:rsidR="008E5A10" w:rsidRPr="00963895">
          <w:rPr>
            <w:rStyle w:val="Hyperlink"/>
          </w:rPr>
          <w:t>9</w:t>
        </w:r>
      </w:hyperlink>
      <w:r w:rsidR="008E5A10" w:rsidRPr="00963895">
        <w:t>)</w:t>
      </w:r>
      <w:r w:rsidR="00266785" w:rsidRPr="00963895">
        <w:t xml:space="preserve">. </w:t>
      </w:r>
    </w:p>
    <w:p w14:paraId="55A5DA4D" w14:textId="6B628616" w:rsidR="00C50A35" w:rsidRPr="00963895" w:rsidRDefault="00C50A35" w:rsidP="00C50A35">
      <w:pPr>
        <w:pStyle w:val="COMPara"/>
        <w:numPr>
          <w:ilvl w:val="0"/>
          <w:numId w:val="7"/>
        </w:numPr>
        <w:ind w:left="540"/>
        <w:jc w:val="both"/>
      </w:pPr>
      <w:r w:rsidRPr="00963895">
        <w:t>They should be considered in tandem with the relevant provisions of the 2003 Convention and its Operational Directives, notably </w:t>
      </w:r>
      <w:hyperlink r:id="rId12" w:history="1">
        <w:r w:rsidRPr="00963895">
          <w:rPr>
            <w:rStyle w:val="Hyperlink"/>
          </w:rPr>
          <w:t>Chapter VI</w:t>
        </w:r>
      </w:hyperlink>
      <w:r w:rsidRPr="00963895">
        <w:t> on safeguarding intangible cultural heritage and sustainable development at the national level and its sub-chapter VI.4 on Intangible cultural heritage and peace, as well as the </w:t>
      </w:r>
      <w:hyperlink r:id="rId13" w:history="1">
        <w:r w:rsidRPr="00963895">
          <w:rPr>
            <w:rStyle w:val="Hyperlink"/>
          </w:rPr>
          <w:t>Ethical Principles</w:t>
        </w:r>
      </w:hyperlink>
      <w:r w:rsidRPr="00963895">
        <w:t> for Safeguarding Intangible Cultural Heritage.</w:t>
      </w:r>
    </w:p>
    <w:p w14:paraId="29B06F8C" w14:textId="77777777" w:rsidR="0099698F" w:rsidRDefault="00BE6C7B" w:rsidP="00F77488">
      <w:pPr>
        <w:pStyle w:val="COMPara"/>
        <w:numPr>
          <w:ilvl w:val="0"/>
          <w:numId w:val="7"/>
        </w:numPr>
        <w:ind w:left="540"/>
        <w:jc w:val="both"/>
      </w:pPr>
      <w:r w:rsidRPr="00963895">
        <w:t>Since the adoption</w:t>
      </w:r>
      <w:r w:rsidR="0099698F">
        <w:t xml:space="preserve"> of the operational principles and modalities</w:t>
      </w:r>
      <w:r w:rsidRPr="00963895">
        <w:t xml:space="preserve">, UNESCO has progressively gained experience in translating </w:t>
      </w:r>
      <w:r w:rsidR="00C50A35" w:rsidRPr="00963895">
        <w:t>the</w:t>
      </w:r>
      <w:r w:rsidR="0099698F">
        <w:t xml:space="preserve">m </w:t>
      </w:r>
      <w:r w:rsidRPr="00963895">
        <w:t xml:space="preserve">into action. </w:t>
      </w:r>
      <w:r w:rsidR="00514B0D" w:rsidRPr="00963895">
        <w:t xml:space="preserve">A key </w:t>
      </w:r>
      <w:r w:rsidR="00691E64" w:rsidRPr="00963895">
        <w:t xml:space="preserve">methodological </w:t>
      </w:r>
      <w:r w:rsidRPr="00963895">
        <w:t xml:space="preserve">approach emerging from this work is community-based needs identification, which has been applied and tested in diverse contexts of conflict and displacement. Through </w:t>
      </w:r>
      <w:r w:rsidR="00514B0D" w:rsidRPr="00963895">
        <w:t xml:space="preserve">community-based needs identification, </w:t>
      </w:r>
      <w:r w:rsidRPr="00963895">
        <w:t xml:space="preserve">communities themselves identify the risks affecting their living heritage, as well as their priorities and capacities for safeguarding. </w:t>
      </w:r>
    </w:p>
    <w:p w14:paraId="0450EE05" w14:textId="229CF6B3" w:rsidR="00691E64" w:rsidRPr="00963895" w:rsidRDefault="005F59FA" w:rsidP="00F77488">
      <w:pPr>
        <w:pStyle w:val="COMPara"/>
        <w:numPr>
          <w:ilvl w:val="0"/>
          <w:numId w:val="7"/>
        </w:numPr>
        <w:ind w:left="540"/>
        <w:jc w:val="both"/>
      </w:pPr>
      <w:r w:rsidRPr="00963895">
        <w:t>To consolidate these experiences and strengthen the approach, UNESCO has developed and piloted training materials designed</w:t>
      </w:r>
      <w:r w:rsidR="003A3CE6" w:rsidRPr="00963895">
        <w:t xml:space="preserve"> to support the translation of the </w:t>
      </w:r>
      <w:r w:rsidR="00C50A35" w:rsidRPr="00963895">
        <w:t>o</w:t>
      </w:r>
      <w:r w:rsidR="003A3CE6" w:rsidRPr="00963895">
        <w:t>perational principles and modalities into action at the local level</w:t>
      </w:r>
      <w:r w:rsidRPr="00963895">
        <w:t xml:space="preserve">. These include </w:t>
      </w:r>
      <w:hyperlink r:id="rId14" w:anchor="unit-65-basics-in-safeguarding-intangible-cultural-heritage-in-situations-of-conflict-and-forced-displacementbr" w:history="1">
        <w:r w:rsidRPr="00963895">
          <w:rPr>
            <w:rStyle w:val="Hyperlink"/>
          </w:rPr>
          <w:t>two training units on safeguarding living heritage in situations of conflict and forced displacement</w:t>
        </w:r>
      </w:hyperlink>
      <w:r w:rsidRPr="00963895">
        <w:t xml:space="preserve"> </w:t>
      </w:r>
      <w:r w:rsidR="00EA71D6" w:rsidRPr="00963895">
        <w:t xml:space="preserve">which introduce </w:t>
      </w:r>
      <w:r w:rsidR="003A3CE6" w:rsidRPr="00963895">
        <w:t>the relationship</w:t>
      </w:r>
      <w:r w:rsidR="00EA71D6" w:rsidRPr="00963895">
        <w:t xml:space="preserve"> between safeguarding intangible cultural heritage </w:t>
      </w:r>
      <w:r w:rsidR="00574154" w:rsidRPr="00963895">
        <w:t xml:space="preserve">and </w:t>
      </w:r>
      <w:r w:rsidR="00EA71D6" w:rsidRPr="00963895">
        <w:t>situations of conflict and forced displacement (Unit 65)</w:t>
      </w:r>
      <w:r w:rsidR="00574154" w:rsidRPr="00963895">
        <w:t>,</w:t>
      </w:r>
      <w:r w:rsidR="00EA71D6" w:rsidRPr="00963895">
        <w:t xml:space="preserve"> and provide guidance on conducting community-based needs identifications in these contexts (Unit 66)</w:t>
      </w:r>
      <w:r w:rsidRPr="00963895">
        <w:t xml:space="preserve">. These resources, together with a guide for humanitarian </w:t>
      </w:r>
      <w:r w:rsidR="00072A21" w:rsidRPr="00072A21">
        <w:t>workers on safeguarding living heritage in situations of conflict and forced displacement (forthcoming)</w:t>
      </w:r>
      <w:r w:rsidRPr="00963895">
        <w:t xml:space="preserve"> </w:t>
      </w:r>
      <w:r w:rsidR="00072A21">
        <w:t>provide useful tools for work in this area</w:t>
      </w:r>
      <w:r w:rsidR="003A3CE6" w:rsidRPr="00963895">
        <w:t>.</w:t>
      </w:r>
      <w:r w:rsidRPr="00963895">
        <w:t xml:space="preserve"> </w:t>
      </w:r>
    </w:p>
    <w:p w14:paraId="016FD921" w14:textId="6AC9D421" w:rsidR="0015117E" w:rsidRPr="00963895" w:rsidRDefault="0015117E" w:rsidP="00E746BB">
      <w:pPr>
        <w:pStyle w:val="COMPara"/>
        <w:keepNext/>
        <w:numPr>
          <w:ilvl w:val="0"/>
          <w:numId w:val="6"/>
        </w:numPr>
        <w:spacing w:before="240" w:after="240"/>
        <w:ind w:left="545" w:hanging="539"/>
        <w:jc w:val="both"/>
        <w:rPr>
          <w:b/>
          <w:bCs/>
        </w:rPr>
      </w:pPr>
      <w:r w:rsidRPr="00963895">
        <w:rPr>
          <w:b/>
          <w:bCs/>
        </w:rPr>
        <w:t>Objectives</w:t>
      </w:r>
    </w:p>
    <w:p w14:paraId="7AEB0F78" w14:textId="77A646FC" w:rsidR="00542384" w:rsidRPr="005F59FA" w:rsidRDefault="00072A21" w:rsidP="00922EFC">
      <w:pPr>
        <w:pStyle w:val="COMPara"/>
        <w:numPr>
          <w:ilvl w:val="0"/>
          <w:numId w:val="7"/>
        </w:numPr>
        <w:ind w:left="540"/>
        <w:jc w:val="both"/>
      </w:pPr>
      <w:r>
        <w:rPr>
          <w:lang w:val="en-US"/>
        </w:rPr>
        <w:t>In this context</w:t>
      </w:r>
      <w:r w:rsidR="00542384" w:rsidRPr="005F59FA">
        <w:rPr>
          <w:lang w:val="en-US"/>
        </w:rPr>
        <w:t>, UNESCO is organizing this online training session to further develop the conceptual and practical knowledge of members of the Global</w:t>
      </w:r>
      <w:r w:rsidR="00062FD1">
        <w:rPr>
          <w:lang w:val="en-US"/>
        </w:rPr>
        <w:t xml:space="preserve"> facilitators</w:t>
      </w:r>
      <w:r w:rsidR="00542384" w:rsidRPr="005F59FA">
        <w:rPr>
          <w:lang w:val="en-US"/>
        </w:rPr>
        <w:t xml:space="preserve"> </w:t>
      </w:r>
      <w:r w:rsidR="005F59FA" w:rsidRPr="005F59FA">
        <w:rPr>
          <w:lang w:val="en-US"/>
        </w:rPr>
        <w:t>n</w:t>
      </w:r>
      <w:r w:rsidR="00542384" w:rsidRPr="005F59FA">
        <w:rPr>
          <w:lang w:val="en-US"/>
        </w:rPr>
        <w:t xml:space="preserve">etwork in this specific thematic area. The webinar </w:t>
      </w:r>
      <w:r w:rsidR="00E746BB">
        <w:rPr>
          <w:lang w:val="en-US"/>
        </w:rPr>
        <w:t xml:space="preserve">session </w:t>
      </w:r>
      <w:r w:rsidR="00542384" w:rsidRPr="005F59FA">
        <w:rPr>
          <w:lang w:val="en-US"/>
        </w:rPr>
        <w:t xml:space="preserve">will </w:t>
      </w:r>
      <w:r w:rsidR="00E746BB">
        <w:rPr>
          <w:lang w:val="en-US"/>
        </w:rPr>
        <w:t>introduce</w:t>
      </w:r>
      <w:r w:rsidR="005F59FA" w:rsidRPr="005F59FA">
        <w:rPr>
          <w:lang w:val="en-US"/>
        </w:rPr>
        <w:t xml:space="preserve"> </w:t>
      </w:r>
      <w:r w:rsidR="00542384" w:rsidRPr="005F59FA">
        <w:rPr>
          <w:lang w:val="en-US"/>
        </w:rPr>
        <w:t xml:space="preserve">existing materials, </w:t>
      </w:r>
      <w:r w:rsidR="005F59FA" w:rsidRPr="005F59FA">
        <w:rPr>
          <w:lang w:val="en-US"/>
        </w:rPr>
        <w:t xml:space="preserve">share </w:t>
      </w:r>
      <w:r w:rsidR="00542384" w:rsidRPr="005F59FA">
        <w:rPr>
          <w:lang w:val="en-US"/>
        </w:rPr>
        <w:t xml:space="preserve">operational </w:t>
      </w:r>
      <w:r w:rsidR="005F59FA" w:rsidRPr="005F59FA">
        <w:rPr>
          <w:lang w:val="en-US"/>
        </w:rPr>
        <w:t>experiences</w:t>
      </w:r>
      <w:r w:rsidR="00A9418A">
        <w:rPr>
          <w:lang w:val="en-US"/>
        </w:rPr>
        <w:t>,</w:t>
      </w:r>
      <w:r w:rsidR="005F59FA" w:rsidRPr="005F59FA">
        <w:rPr>
          <w:lang w:val="en-US"/>
        </w:rPr>
        <w:t xml:space="preserve"> and</w:t>
      </w:r>
      <w:r w:rsidR="00542384" w:rsidRPr="005F59FA">
        <w:rPr>
          <w:lang w:val="en-US"/>
        </w:rPr>
        <w:t xml:space="preserve"> provide </w:t>
      </w:r>
      <w:r w:rsidR="005F59FA" w:rsidRPr="005F59FA">
        <w:rPr>
          <w:lang w:val="en-US"/>
        </w:rPr>
        <w:t>a platform for</w:t>
      </w:r>
      <w:r w:rsidR="00542384" w:rsidRPr="005F59FA">
        <w:rPr>
          <w:lang w:val="en-US"/>
        </w:rPr>
        <w:t xml:space="preserve"> facilitators to exchange insights. The learning objectives are the following:</w:t>
      </w:r>
    </w:p>
    <w:p w14:paraId="26BD6249" w14:textId="5A4A8ADD" w:rsidR="00542384" w:rsidRPr="00776DE0" w:rsidRDefault="00542384" w:rsidP="00922EFC">
      <w:pPr>
        <w:pStyle w:val="pf1"/>
        <w:numPr>
          <w:ilvl w:val="0"/>
          <w:numId w:val="8"/>
        </w:numPr>
        <w:tabs>
          <w:tab w:val="clear" w:pos="698"/>
          <w:tab w:val="num" w:pos="878"/>
        </w:tabs>
        <w:spacing w:before="0" w:beforeAutospacing="0" w:after="120" w:afterAutospacing="0"/>
        <w:ind w:left="720"/>
        <w:jc w:val="both"/>
        <w:rPr>
          <w:rFonts w:ascii="Arial" w:hAnsi="Arial" w:cs="Arial"/>
          <w:snapToGrid w:val="0"/>
          <w:sz w:val="22"/>
          <w:szCs w:val="22"/>
        </w:rPr>
      </w:pPr>
      <w:r w:rsidRPr="00776DE0">
        <w:rPr>
          <w:rFonts w:ascii="Arial" w:hAnsi="Arial" w:cs="Arial"/>
          <w:snapToGrid w:val="0"/>
          <w:sz w:val="22"/>
          <w:szCs w:val="22"/>
        </w:rPr>
        <w:lastRenderedPageBreak/>
        <w:t>De</w:t>
      </w:r>
      <w:r w:rsidR="005F59FA">
        <w:rPr>
          <w:rFonts w:ascii="Arial" w:hAnsi="Arial" w:cs="Arial"/>
          <w:snapToGrid w:val="0"/>
          <w:sz w:val="22"/>
          <w:szCs w:val="22"/>
        </w:rPr>
        <w:t xml:space="preserve">epen </w:t>
      </w:r>
      <w:r w:rsidRPr="00776DE0">
        <w:rPr>
          <w:rFonts w:ascii="Arial" w:hAnsi="Arial" w:cs="Arial"/>
          <w:snapToGrid w:val="0"/>
          <w:sz w:val="22"/>
          <w:szCs w:val="22"/>
        </w:rPr>
        <w:t xml:space="preserve">understanding of capacity-building </w:t>
      </w:r>
      <w:r w:rsidR="00DE7992" w:rsidRPr="00776DE0">
        <w:rPr>
          <w:rFonts w:ascii="Arial" w:hAnsi="Arial" w:cs="Arial"/>
          <w:snapToGrid w:val="0"/>
          <w:sz w:val="22"/>
          <w:szCs w:val="22"/>
        </w:rPr>
        <w:t>approaches</w:t>
      </w:r>
      <w:r w:rsidRPr="00776DE0">
        <w:rPr>
          <w:rFonts w:ascii="Arial" w:hAnsi="Arial" w:cs="Arial"/>
          <w:snapToGrid w:val="0"/>
          <w:sz w:val="22"/>
          <w:szCs w:val="22"/>
        </w:rPr>
        <w:t xml:space="preserve"> </w:t>
      </w:r>
      <w:r w:rsidR="00DE7992">
        <w:rPr>
          <w:rFonts w:ascii="Arial" w:hAnsi="Arial" w:cs="Arial"/>
          <w:snapToGrid w:val="0"/>
          <w:sz w:val="22"/>
          <w:szCs w:val="22"/>
        </w:rPr>
        <w:t xml:space="preserve">to </w:t>
      </w:r>
      <w:r w:rsidRPr="00776DE0">
        <w:rPr>
          <w:rFonts w:ascii="Arial" w:hAnsi="Arial" w:cs="Arial"/>
          <w:snapToGrid w:val="0"/>
          <w:sz w:val="22"/>
          <w:szCs w:val="22"/>
        </w:rPr>
        <w:t>translate the Operational principles and modalities</w:t>
      </w:r>
      <w:r w:rsidR="00712C97">
        <w:rPr>
          <w:rFonts w:ascii="Arial" w:hAnsi="Arial" w:cs="Arial"/>
          <w:snapToGrid w:val="0"/>
          <w:sz w:val="22"/>
          <w:szCs w:val="22"/>
        </w:rPr>
        <w:t xml:space="preserve"> for </w:t>
      </w:r>
      <w:r w:rsidR="00712C97" w:rsidRPr="00712C97">
        <w:rPr>
          <w:rFonts w:ascii="Arial" w:hAnsi="Arial" w:cs="Arial"/>
          <w:snapToGrid w:val="0"/>
          <w:sz w:val="22"/>
          <w:szCs w:val="22"/>
        </w:rPr>
        <w:t>safeguarding intangible cultural heritage in emergencies</w:t>
      </w:r>
      <w:r w:rsidRPr="00776DE0">
        <w:rPr>
          <w:rFonts w:ascii="Arial" w:hAnsi="Arial" w:cs="Arial"/>
          <w:snapToGrid w:val="0"/>
          <w:sz w:val="22"/>
          <w:szCs w:val="22"/>
        </w:rPr>
        <w:t xml:space="preserve"> into concrete action, with a focus on their application in situations of conflict and displacement. </w:t>
      </w:r>
    </w:p>
    <w:p w14:paraId="4A704F61" w14:textId="5058F49D" w:rsidR="00542384" w:rsidRPr="00776DE0" w:rsidRDefault="00542384" w:rsidP="00922EFC">
      <w:pPr>
        <w:pStyle w:val="pf1"/>
        <w:numPr>
          <w:ilvl w:val="0"/>
          <w:numId w:val="8"/>
        </w:numPr>
        <w:tabs>
          <w:tab w:val="clear" w:pos="698"/>
          <w:tab w:val="num" w:pos="878"/>
        </w:tabs>
        <w:spacing w:before="0" w:beforeAutospacing="0" w:after="120" w:afterAutospacing="0"/>
        <w:ind w:left="720"/>
        <w:jc w:val="both"/>
        <w:rPr>
          <w:rFonts w:ascii="Arial" w:hAnsi="Arial" w:cs="Arial"/>
          <w:snapToGrid w:val="0"/>
          <w:sz w:val="22"/>
          <w:szCs w:val="22"/>
        </w:rPr>
      </w:pPr>
      <w:r w:rsidRPr="00776DE0">
        <w:rPr>
          <w:rFonts w:ascii="Arial" w:hAnsi="Arial" w:cs="Arial"/>
          <w:snapToGrid w:val="0"/>
          <w:sz w:val="22"/>
          <w:szCs w:val="22"/>
        </w:rPr>
        <w:t xml:space="preserve">Build a shared understanding of key challenges and opportunities </w:t>
      </w:r>
      <w:r w:rsidR="005F59FA">
        <w:rPr>
          <w:rFonts w:ascii="Arial" w:hAnsi="Arial" w:cs="Arial"/>
          <w:snapToGrid w:val="0"/>
          <w:sz w:val="22"/>
          <w:szCs w:val="22"/>
        </w:rPr>
        <w:t>for</w:t>
      </w:r>
      <w:r w:rsidRPr="00776DE0">
        <w:rPr>
          <w:rFonts w:ascii="Arial" w:hAnsi="Arial" w:cs="Arial"/>
          <w:snapToGrid w:val="0"/>
          <w:sz w:val="22"/>
          <w:szCs w:val="22"/>
        </w:rPr>
        <w:t xml:space="preserve"> integrating intangible cultural heritage across the emergency cycle, including preparedness, response, and recovery. </w:t>
      </w:r>
    </w:p>
    <w:p w14:paraId="51A2134E" w14:textId="46BAAB07" w:rsidR="00542384" w:rsidRPr="00776DE0" w:rsidRDefault="00542384" w:rsidP="00922EFC">
      <w:pPr>
        <w:pStyle w:val="pf1"/>
        <w:numPr>
          <w:ilvl w:val="0"/>
          <w:numId w:val="8"/>
        </w:numPr>
        <w:tabs>
          <w:tab w:val="clear" w:pos="698"/>
          <w:tab w:val="num" w:pos="878"/>
        </w:tabs>
        <w:spacing w:before="0" w:beforeAutospacing="0" w:after="120" w:afterAutospacing="0"/>
        <w:ind w:left="720"/>
        <w:jc w:val="both"/>
        <w:rPr>
          <w:rFonts w:ascii="Arial" w:hAnsi="Arial" w:cs="Arial"/>
          <w:snapToGrid w:val="0"/>
          <w:sz w:val="22"/>
          <w:szCs w:val="22"/>
        </w:rPr>
      </w:pPr>
      <w:r w:rsidRPr="00776DE0">
        <w:rPr>
          <w:rFonts w:ascii="Arial" w:hAnsi="Arial" w:cs="Arial"/>
          <w:snapToGrid w:val="0"/>
          <w:sz w:val="22"/>
          <w:szCs w:val="22"/>
        </w:rPr>
        <w:t xml:space="preserve">Analyze and exchange practical experiences and tools, including community-based needs identification for safeguarding intangible cultural heritage in </w:t>
      </w:r>
      <w:r w:rsidR="00712C97" w:rsidRPr="00712C97">
        <w:rPr>
          <w:rFonts w:ascii="Arial" w:hAnsi="Arial" w:cs="Arial"/>
          <w:snapToGrid w:val="0"/>
          <w:sz w:val="22"/>
          <w:szCs w:val="22"/>
        </w:rPr>
        <w:t>situations of conflict and forced displacement</w:t>
      </w:r>
      <w:r w:rsidRPr="00776DE0">
        <w:rPr>
          <w:rFonts w:ascii="Arial" w:hAnsi="Arial" w:cs="Arial"/>
          <w:snapToGrid w:val="0"/>
          <w:sz w:val="22"/>
          <w:szCs w:val="22"/>
        </w:rPr>
        <w:t>.</w:t>
      </w:r>
    </w:p>
    <w:p w14:paraId="7BAB2AA3" w14:textId="7B7968F8" w:rsidR="00637750" w:rsidRDefault="0015117E" w:rsidP="009F5C3E">
      <w:pPr>
        <w:pStyle w:val="COMPara"/>
        <w:numPr>
          <w:ilvl w:val="0"/>
          <w:numId w:val="0"/>
        </w:numPr>
        <w:ind w:left="360"/>
        <w:jc w:val="both"/>
        <w:rPr>
          <w:lang w:val="en-US"/>
        </w:rPr>
      </w:pPr>
      <w:r w:rsidRPr="008610A2">
        <w:rPr>
          <w:lang w:val="en-US"/>
        </w:rPr>
        <w:t>This session is designed for</w:t>
      </w:r>
      <w:r w:rsidR="00CF6E68" w:rsidRPr="008610A2">
        <w:rPr>
          <w:lang w:val="en-US"/>
        </w:rPr>
        <w:t xml:space="preserve"> all</w:t>
      </w:r>
      <w:r w:rsidRPr="008610A2">
        <w:rPr>
          <w:lang w:val="en-US"/>
        </w:rPr>
        <w:t xml:space="preserve"> facilitators</w:t>
      </w:r>
      <w:r w:rsidR="00CF6E68" w:rsidRPr="008610A2">
        <w:rPr>
          <w:lang w:val="en-US"/>
        </w:rPr>
        <w:t>,</w:t>
      </w:r>
      <w:r w:rsidRPr="008610A2">
        <w:rPr>
          <w:lang w:val="en-US"/>
        </w:rPr>
        <w:t xml:space="preserve"> regardless of </w:t>
      </w:r>
      <w:r w:rsidR="00395C11" w:rsidRPr="008610A2">
        <w:rPr>
          <w:lang w:val="en-US"/>
        </w:rPr>
        <w:t xml:space="preserve">the level of their </w:t>
      </w:r>
      <w:r w:rsidRPr="008610A2">
        <w:rPr>
          <w:lang w:val="en-US"/>
        </w:rPr>
        <w:t xml:space="preserve">experience </w:t>
      </w:r>
      <w:r w:rsidR="001E40F4">
        <w:rPr>
          <w:lang w:val="en-US"/>
        </w:rPr>
        <w:t xml:space="preserve">in safeguarding living heritage in situations of conflict and displacement. </w:t>
      </w:r>
      <w:r w:rsidRPr="008610A2">
        <w:rPr>
          <w:lang w:val="en-US"/>
        </w:rPr>
        <w:t xml:space="preserve">A short survey will be conducted </w:t>
      </w:r>
      <w:r w:rsidR="000C60F8">
        <w:rPr>
          <w:lang w:val="en-US"/>
        </w:rPr>
        <w:t>before</w:t>
      </w:r>
      <w:r w:rsidR="001E40F4" w:rsidRPr="008610A2">
        <w:rPr>
          <w:lang w:val="en-US"/>
        </w:rPr>
        <w:t xml:space="preserve"> </w:t>
      </w:r>
      <w:r w:rsidRPr="008610A2">
        <w:rPr>
          <w:lang w:val="en-US"/>
        </w:rPr>
        <w:t xml:space="preserve">the training to </w:t>
      </w:r>
      <w:r w:rsidR="001E40F4">
        <w:rPr>
          <w:lang w:val="en-US"/>
        </w:rPr>
        <w:t xml:space="preserve">better understand </w:t>
      </w:r>
      <w:r w:rsidR="00CF6E68" w:rsidRPr="008610A2">
        <w:rPr>
          <w:lang w:val="en-US"/>
        </w:rPr>
        <w:t>participants’</w:t>
      </w:r>
      <w:r w:rsidRPr="008610A2">
        <w:rPr>
          <w:lang w:val="en-US"/>
        </w:rPr>
        <w:t xml:space="preserve"> </w:t>
      </w:r>
      <w:r w:rsidR="00395C11" w:rsidRPr="008610A2">
        <w:rPr>
          <w:lang w:val="en-US"/>
        </w:rPr>
        <w:t xml:space="preserve">training needs </w:t>
      </w:r>
      <w:r w:rsidR="001E40F4">
        <w:rPr>
          <w:lang w:val="en-US"/>
        </w:rPr>
        <w:t xml:space="preserve">and </w:t>
      </w:r>
      <w:r w:rsidR="001E40F4" w:rsidRPr="008610A2">
        <w:rPr>
          <w:lang w:val="en-US"/>
        </w:rPr>
        <w:t xml:space="preserve">collect </w:t>
      </w:r>
      <w:r w:rsidRPr="008610A2">
        <w:rPr>
          <w:lang w:val="en-US"/>
        </w:rPr>
        <w:t xml:space="preserve">examples and insights </w:t>
      </w:r>
      <w:r w:rsidR="00193008" w:rsidRPr="008610A2">
        <w:rPr>
          <w:lang w:val="en-US"/>
        </w:rPr>
        <w:t>into</w:t>
      </w:r>
      <w:r w:rsidRPr="008610A2">
        <w:rPr>
          <w:lang w:val="en-US"/>
        </w:rPr>
        <w:t xml:space="preserve"> their relevant experiences</w:t>
      </w:r>
      <w:r w:rsidR="00B51CDF" w:rsidRPr="008610A2">
        <w:rPr>
          <w:lang w:val="en-US"/>
        </w:rPr>
        <w:t xml:space="preserve"> that may be shared during the session</w:t>
      </w:r>
      <w:r w:rsidRPr="008610A2">
        <w:rPr>
          <w:lang w:val="en-US"/>
        </w:rPr>
        <w:t>.</w:t>
      </w:r>
      <w:r w:rsidR="001E40F4">
        <w:rPr>
          <w:lang w:val="en-US"/>
        </w:rPr>
        <w:t xml:space="preserve"> </w:t>
      </w:r>
    </w:p>
    <w:p w14:paraId="2175F022" w14:textId="77777777" w:rsidR="00191D24" w:rsidRDefault="00191D24" w:rsidP="00357323">
      <w:pPr>
        <w:pStyle w:val="COMPara"/>
        <w:keepNext/>
        <w:numPr>
          <w:ilvl w:val="0"/>
          <w:numId w:val="0"/>
        </w:numPr>
        <w:spacing w:before="240"/>
        <w:jc w:val="both"/>
        <w:rPr>
          <w:b/>
          <w:bCs/>
        </w:rPr>
      </w:pPr>
    </w:p>
    <w:p w14:paraId="70367343" w14:textId="56449E33" w:rsidR="00D676E5" w:rsidRPr="00D676E5" w:rsidRDefault="00D676E5" w:rsidP="00357323">
      <w:pPr>
        <w:pStyle w:val="COMPara"/>
        <w:keepNext/>
        <w:numPr>
          <w:ilvl w:val="0"/>
          <w:numId w:val="0"/>
        </w:numPr>
        <w:spacing w:before="240"/>
        <w:jc w:val="both"/>
        <w:rPr>
          <w:rFonts w:eastAsiaTheme="minorEastAsia"/>
          <w:lang w:eastAsia="ko-KR"/>
        </w:rPr>
      </w:pPr>
      <w:r w:rsidRPr="00D676E5">
        <w:rPr>
          <w:b/>
          <w:bCs/>
        </w:rPr>
        <w:t xml:space="preserve">List of </w:t>
      </w:r>
      <w:r w:rsidR="008610A2">
        <w:rPr>
          <w:b/>
          <w:bCs/>
        </w:rPr>
        <w:t>documents</w:t>
      </w:r>
    </w:p>
    <w:tbl>
      <w:tblPr>
        <w:tblStyle w:val="TableGrid"/>
        <w:tblW w:w="9796" w:type="dxa"/>
        <w:tblLayout w:type="fixed"/>
        <w:tblLook w:val="04A0" w:firstRow="1" w:lastRow="0" w:firstColumn="1" w:lastColumn="0" w:noHBand="0" w:noVBand="1"/>
      </w:tblPr>
      <w:tblGrid>
        <w:gridCol w:w="4405"/>
        <w:gridCol w:w="5391"/>
      </w:tblGrid>
      <w:tr w:rsidR="00D676E5" w:rsidRPr="002D659E" w14:paraId="178DB0A2" w14:textId="77777777">
        <w:trPr>
          <w:trHeight w:val="454"/>
        </w:trPr>
        <w:tc>
          <w:tcPr>
            <w:tcW w:w="9796" w:type="dxa"/>
            <w:gridSpan w:val="2"/>
            <w:shd w:val="clear" w:color="auto" w:fill="F2F2F2" w:themeFill="background1" w:themeFillShade="F2"/>
          </w:tcPr>
          <w:p w14:paraId="045DA4F3" w14:textId="085812E8" w:rsidR="00D676E5" w:rsidRPr="00081A71" w:rsidRDefault="00D676E5" w:rsidP="00792490">
            <w:pPr>
              <w:pStyle w:val="1GAPara"/>
              <w:keepNext/>
              <w:spacing w:before="120"/>
              <w:ind w:left="0" w:firstLine="0"/>
              <w:rPr>
                <w:rFonts w:eastAsiaTheme="minorEastAsia"/>
                <w:lang w:eastAsia="ko-KR"/>
              </w:rPr>
            </w:pPr>
            <w:r>
              <w:rPr>
                <w:rFonts w:eastAsiaTheme="minorEastAsia"/>
                <w:lang w:eastAsia="ko-KR"/>
              </w:rPr>
              <w:t>Reference documents</w:t>
            </w:r>
            <w:r w:rsidR="008610A2">
              <w:rPr>
                <w:rFonts w:eastAsiaTheme="minorEastAsia"/>
                <w:lang w:eastAsia="ko-KR"/>
              </w:rPr>
              <w:t xml:space="preserve"> and training materials</w:t>
            </w:r>
          </w:p>
        </w:tc>
      </w:tr>
      <w:tr w:rsidR="00D676E5" w:rsidRPr="002D659E" w14:paraId="5B6AC954" w14:textId="77777777" w:rsidTr="0042218C">
        <w:trPr>
          <w:trHeight w:val="454"/>
        </w:trPr>
        <w:tc>
          <w:tcPr>
            <w:tcW w:w="4405" w:type="dxa"/>
          </w:tcPr>
          <w:p w14:paraId="31BDECBA" w14:textId="77777777" w:rsidR="00D676E5" w:rsidRPr="00081A71" w:rsidRDefault="00D676E5" w:rsidP="00792490">
            <w:pPr>
              <w:pStyle w:val="1GAPara"/>
              <w:keepNext/>
              <w:spacing w:before="120"/>
              <w:ind w:left="0" w:firstLine="0"/>
              <w:rPr>
                <w:rFonts w:eastAsiaTheme="minorEastAsia"/>
                <w:lang w:eastAsia="ko-KR"/>
              </w:rPr>
            </w:pPr>
            <w:r w:rsidRPr="00081A71">
              <w:rPr>
                <w:rFonts w:eastAsiaTheme="minorEastAsia"/>
                <w:lang w:eastAsia="ko-KR"/>
              </w:rPr>
              <w:t>Basic Texts of the 2003 Convention (202</w:t>
            </w:r>
            <w:r>
              <w:rPr>
                <w:rFonts w:eastAsiaTheme="minorEastAsia"/>
                <w:lang w:eastAsia="ko-KR"/>
              </w:rPr>
              <w:t>4</w:t>
            </w:r>
            <w:r w:rsidRPr="00081A71">
              <w:rPr>
                <w:rFonts w:eastAsiaTheme="minorEastAsia"/>
                <w:lang w:eastAsia="ko-KR"/>
              </w:rPr>
              <w:t xml:space="preserve"> Edition)</w:t>
            </w:r>
          </w:p>
        </w:tc>
        <w:tc>
          <w:tcPr>
            <w:tcW w:w="5391" w:type="dxa"/>
            <w:vAlign w:val="center"/>
          </w:tcPr>
          <w:p w14:paraId="5E2F660C" w14:textId="77777777" w:rsidR="00D676E5" w:rsidRPr="00C66E1D" w:rsidRDefault="00D676E5" w:rsidP="00792490">
            <w:pPr>
              <w:pStyle w:val="1GAPara"/>
              <w:keepNext/>
              <w:spacing w:before="120"/>
              <w:ind w:left="0" w:firstLine="0"/>
              <w:rPr>
                <w:rFonts w:eastAsiaTheme="minorEastAsia"/>
                <w:lang w:eastAsia="ko-KR"/>
              </w:rPr>
            </w:pPr>
            <w:hyperlink r:id="rId15" w:history="1">
              <w:r>
                <w:rPr>
                  <w:rStyle w:val="Hyperlink"/>
                  <w:rFonts w:eastAsiaTheme="minorEastAsia"/>
                  <w:lang w:eastAsia="ko-KR"/>
                </w:rPr>
                <w:t>https://ich.unesco.org/doc/src/2003_Convention_Basic_Texts_2024_version_EN.pdf</w:t>
              </w:r>
            </w:hyperlink>
            <w:r w:rsidRPr="00C66E1D">
              <w:rPr>
                <w:rFonts w:eastAsiaTheme="minorEastAsia"/>
                <w:lang w:eastAsia="ko-KR"/>
              </w:rPr>
              <w:t xml:space="preserve"> </w:t>
            </w:r>
          </w:p>
        </w:tc>
      </w:tr>
      <w:tr w:rsidR="007A1D90" w:rsidRPr="002D659E" w14:paraId="3A45CDF3" w14:textId="77777777" w:rsidTr="0042218C">
        <w:trPr>
          <w:trHeight w:val="454"/>
        </w:trPr>
        <w:tc>
          <w:tcPr>
            <w:tcW w:w="4405" w:type="dxa"/>
          </w:tcPr>
          <w:p w14:paraId="7C9DF3E4" w14:textId="37CCD66A" w:rsidR="007A1D90" w:rsidRPr="00081A71" w:rsidRDefault="007A1D90" w:rsidP="00792490">
            <w:pPr>
              <w:pStyle w:val="1GAPara"/>
              <w:keepNext/>
              <w:spacing w:before="120"/>
              <w:ind w:left="0" w:firstLine="0"/>
              <w:rPr>
                <w:rFonts w:eastAsiaTheme="minorEastAsia"/>
                <w:lang w:eastAsia="ko-KR"/>
              </w:rPr>
            </w:pPr>
            <w:r>
              <w:rPr>
                <w:rFonts w:eastAsiaTheme="minorEastAsia"/>
                <w:lang w:eastAsia="ko-KR"/>
              </w:rPr>
              <w:t xml:space="preserve">Webpage dedicated to living heritage in emergencies </w:t>
            </w:r>
          </w:p>
        </w:tc>
        <w:tc>
          <w:tcPr>
            <w:tcW w:w="5391" w:type="dxa"/>
            <w:vAlign w:val="center"/>
          </w:tcPr>
          <w:p w14:paraId="52A25FE6" w14:textId="39A92B4D" w:rsidR="007A1D90" w:rsidRDefault="007A1D90" w:rsidP="00792490">
            <w:pPr>
              <w:pStyle w:val="1GAPara"/>
              <w:keepNext/>
              <w:spacing w:before="120"/>
              <w:ind w:left="0" w:firstLine="0"/>
            </w:pPr>
            <w:hyperlink r:id="rId16" w:history="1">
              <w:r w:rsidRPr="008D6664">
                <w:rPr>
                  <w:rStyle w:val="Hyperlink"/>
                </w:rPr>
                <w:t>https://ich.unesco.org/en/emergency-situations</w:t>
              </w:r>
            </w:hyperlink>
            <w:r>
              <w:t xml:space="preserve"> </w:t>
            </w:r>
          </w:p>
        </w:tc>
      </w:tr>
      <w:tr w:rsidR="00D676E5" w:rsidRPr="002D659E" w14:paraId="3E7DD055" w14:textId="77777777" w:rsidTr="0042218C">
        <w:trPr>
          <w:trHeight w:val="454"/>
        </w:trPr>
        <w:tc>
          <w:tcPr>
            <w:tcW w:w="4405" w:type="dxa"/>
          </w:tcPr>
          <w:p w14:paraId="2968982C" w14:textId="77777777" w:rsidR="005110BD" w:rsidRDefault="007A1D90" w:rsidP="00792490">
            <w:pPr>
              <w:pStyle w:val="1GAPara"/>
              <w:keepNext/>
              <w:spacing w:before="120"/>
              <w:ind w:left="0" w:firstLine="0"/>
              <w:rPr>
                <w:rFonts w:eastAsiaTheme="minorEastAsia"/>
                <w:lang w:val="en-US" w:eastAsia="ko-KR"/>
              </w:rPr>
            </w:pPr>
            <w:r w:rsidRPr="007A1D90">
              <w:rPr>
                <w:rFonts w:eastAsiaTheme="minorEastAsia"/>
                <w:lang w:val="en-US" w:eastAsia="ko-KR"/>
              </w:rPr>
              <w:t xml:space="preserve">Operational principles and modalities for safeguarding intangible cultural heritage in emergencies </w:t>
            </w:r>
          </w:p>
          <w:p w14:paraId="6A181F7A" w14:textId="7FBCC301" w:rsidR="00A9418A" w:rsidRDefault="00770F7B" w:rsidP="00A9418A">
            <w:pPr>
              <w:pStyle w:val="1GAPara"/>
              <w:keepNext/>
              <w:spacing w:before="120"/>
              <w:ind w:left="0" w:firstLine="0"/>
              <w:rPr>
                <w:rFonts w:eastAsiaTheme="minorEastAsia"/>
                <w:lang w:val="en-US" w:eastAsia="ko-KR"/>
              </w:rPr>
            </w:pPr>
            <w:r w:rsidRPr="00A9418A">
              <w:rPr>
                <w:rFonts w:eastAsiaTheme="minorEastAsia"/>
                <w:lang w:val="en-US" w:eastAsia="ko-KR"/>
              </w:rPr>
              <w:t>D</w:t>
            </w:r>
            <w:r w:rsidR="007A1D90" w:rsidRPr="00A9418A">
              <w:rPr>
                <w:rFonts w:eastAsiaTheme="minorEastAsia"/>
                <w:lang w:val="en-US" w:eastAsia="ko-KR"/>
              </w:rPr>
              <w:t>ecision 14.COM/13</w:t>
            </w:r>
            <w:r w:rsidR="005110BD" w:rsidRPr="00A9418A">
              <w:rPr>
                <w:rFonts w:eastAsiaTheme="minorEastAsia"/>
                <w:lang w:val="en-US" w:eastAsia="ko-KR"/>
              </w:rPr>
              <w:t xml:space="preserve"> </w:t>
            </w:r>
          </w:p>
          <w:p w14:paraId="0612B09E" w14:textId="16A30075" w:rsidR="00D676E5" w:rsidRPr="007A1D90" w:rsidRDefault="00A9418A" w:rsidP="00A9418A">
            <w:pPr>
              <w:pStyle w:val="1GAPara"/>
              <w:keepNext/>
              <w:spacing w:before="120"/>
              <w:ind w:left="0" w:firstLine="0"/>
              <w:rPr>
                <w:rFonts w:eastAsiaTheme="minorEastAsia"/>
                <w:lang w:val="en-US" w:eastAsia="ko-KR"/>
              </w:rPr>
            </w:pPr>
            <w:r w:rsidRPr="00A9418A">
              <w:rPr>
                <w:rFonts w:eastAsiaTheme="minorEastAsia"/>
                <w:lang w:val="en-US" w:eastAsia="ko-KR"/>
              </w:rPr>
              <w:t>Resolution 8.GA 9</w:t>
            </w:r>
          </w:p>
        </w:tc>
        <w:tc>
          <w:tcPr>
            <w:tcW w:w="5391" w:type="dxa"/>
            <w:vAlign w:val="center"/>
          </w:tcPr>
          <w:p w14:paraId="20F9C496" w14:textId="7DF0AA6C" w:rsidR="005110BD" w:rsidRDefault="00A9418A" w:rsidP="00963895">
            <w:pPr>
              <w:pStyle w:val="1GAPara"/>
              <w:keepNext/>
              <w:spacing w:before="120" w:after="240"/>
              <w:ind w:left="0" w:firstLine="0"/>
              <w:rPr>
                <w:lang w:val="en-US"/>
              </w:rPr>
            </w:pPr>
            <w:hyperlink r:id="rId17" w:history="1">
              <w:r w:rsidRPr="00CE105A">
                <w:rPr>
                  <w:rStyle w:val="Hyperlink"/>
                  <w:lang w:val="en-US"/>
                </w:rPr>
                <w:t>https://ich.unesco.org/en/operational-principles-and-modalities-in-emergencies-01143</w:t>
              </w:r>
            </w:hyperlink>
            <w:r w:rsidR="005110BD">
              <w:rPr>
                <w:lang w:val="en-US"/>
              </w:rPr>
              <w:t xml:space="preserve"> </w:t>
            </w:r>
          </w:p>
          <w:p w14:paraId="2DCCECA2" w14:textId="652CB7A8" w:rsidR="00D676E5" w:rsidRDefault="00A9418A" w:rsidP="00792490">
            <w:pPr>
              <w:pStyle w:val="1GAPara"/>
              <w:keepNext/>
              <w:spacing w:before="120"/>
              <w:ind w:left="0" w:firstLine="0"/>
              <w:rPr>
                <w:lang w:val="en-US"/>
              </w:rPr>
            </w:pPr>
            <w:hyperlink r:id="rId18" w:history="1">
              <w:r w:rsidRPr="00A9418A">
                <w:rPr>
                  <w:rStyle w:val="Hyperlink"/>
                  <w:lang w:val="en-US"/>
                </w:rPr>
                <w:t>https://ich.unesco.org/en/decisions/14.COM/13</w:t>
              </w:r>
            </w:hyperlink>
            <w:r w:rsidR="007A1D90">
              <w:rPr>
                <w:lang w:val="en-US"/>
              </w:rPr>
              <w:t xml:space="preserve"> </w:t>
            </w:r>
          </w:p>
          <w:p w14:paraId="160E5273" w14:textId="460A9DC7" w:rsidR="00A9418A" w:rsidRPr="007A1D90" w:rsidRDefault="00A9418A" w:rsidP="00792490">
            <w:pPr>
              <w:pStyle w:val="1GAPara"/>
              <w:keepNext/>
              <w:spacing w:before="120"/>
              <w:ind w:left="0" w:firstLine="0"/>
              <w:rPr>
                <w:lang w:val="en-US"/>
              </w:rPr>
            </w:pPr>
            <w:hyperlink r:id="rId19" w:history="1">
              <w:r w:rsidRPr="00CE105A">
                <w:rPr>
                  <w:rStyle w:val="Hyperlink"/>
                  <w:lang w:val="en-US"/>
                </w:rPr>
                <w:t>https://ich.unesco.org/en/decisions/8.GA/9</w:t>
              </w:r>
            </w:hyperlink>
          </w:p>
        </w:tc>
      </w:tr>
      <w:tr w:rsidR="00FF7F27" w:rsidRPr="002D659E" w14:paraId="0420D202" w14:textId="77777777" w:rsidTr="0042218C">
        <w:trPr>
          <w:trHeight w:val="454"/>
        </w:trPr>
        <w:tc>
          <w:tcPr>
            <w:tcW w:w="4405" w:type="dxa"/>
          </w:tcPr>
          <w:p w14:paraId="25DB99BF" w14:textId="48069D06" w:rsidR="00FF7F27" w:rsidRDefault="007A1D90" w:rsidP="00792490">
            <w:pPr>
              <w:pStyle w:val="1GAPara"/>
              <w:keepNext/>
              <w:spacing w:before="120"/>
              <w:ind w:left="0" w:firstLine="0"/>
              <w:rPr>
                <w:rFonts w:eastAsiaTheme="minorEastAsia"/>
                <w:lang w:eastAsia="ko-KR"/>
              </w:rPr>
            </w:pPr>
            <w:r>
              <w:rPr>
                <w:rFonts w:eastAsiaTheme="minorEastAsia"/>
                <w:lang w:eastAsia="ko-KR"/>
              </w:rPr>
              <w:t>T</w:t>
            </w:r>
            <w:r w:rsidR="00FF7F27">
              <w:rPr>
                <w:rFonts w:eastAsiaTheme="minorEastAsia"/>
                <w:lang w:eastAsia="ko-KR"/>
              </w:rPr>
              <w:t>raining</w:t>
            </w:r>
            <w:r w:rsidR="00193008">
              <w:rPr>
                <w:rFonts w:eastAsiaTheme="minorEastAsia"/>
                <w:lang w:eastAsia="ko-KR"/>
              </w:rPr>
              <w:t xml:space="preserve"> materials</w:t>
            </w:r>
            <w:r>
              <w:rPr>
                <w:rFonts w:eastAsiaTheme="minorEastAsia"/>
                <w:lang w:eastAsia="ko-KR"/>
              </w:rPr>
              <w:t xml:space="preserve"> on </w:t>
            </w:r>
            <w:r w:rsidRPr="007A1D90">
              <w:rPr>
                <w:rFonts w:eastAsiaTheme="minorEastAsia"/>
                <w:lang w:eastAsia="ko-KR"/>
              </w:rPr>
              <w:t xml:space="preserve">safeguarding intangible cultural heritage in situations of conflict and forced displacement:  </w:t>
            </w:r>
          </w:p>
          <w:p w14:paraId="5760EBAA" w14:textId="77777777" w:rsidR="0042218C" w:rsidRDefault="0042218C" w:rsidP="0042218C">
            <w:pPr>
              <w:pStyle w:val="1GAPara"/>
              <w:keepNext/>
              <w:spacing w:before="120"/>
              <w:ind w:left="0" w:firstLine="0"/>
              <w:rPr>
                <w:rFonts w:eastAsiaTheme="minorEastAsia"/>
                <w:lang w:eastAsia="ko-KR"/>
              </w:rPr>
            </w:pPr>
            <w:r w:rsidRPr="007A1D90">
              <w:rPr>
                <w:rFonts w:eastAsiaTheme="minorEastAsia"/>
                <w:lang w:eastAsia="ko-KR"/>
              </w:rPr>
              <w:t>Unit 65: Basics in safeguarding intangible cultural heritage in situations of conflict and forced displacement</w:t>
            </w:r>
          </w:p>
          <w:p w14:paraId="5868114E" w14:textId="3C3DB046" w:rsidR="007A1D90" w:rsidRPr="007A1D90" w:rsidRDefault="0042218C" w:rsidP="0042218C">
            <w:pPr>
              <w:pStyle w:val="1GAPara"/>
              <w:keepNext/>
              <w:spacing w:before="120"/>
              <w:ind w:left="0" w:firstLine="0"/>
              <w:rPr>
                <w:rFonts w:eastAsiaTheme="minorEastAsia"/>
                <w:b/>
                <w:bCs/>
                <w:lang w:eastAsia="ko-KR"/>
              </w:rPr>
            </w:pPr>
            <w:r w:rsidRPr="007A1D90">
              <w:rPr>
                <w:rFonts w:eastAsiaTheme="minorEastAsia"/>
                <w:lang w:eastAsia="ko-KR"/>
              </w:rPr>
              <w:t>Unit 66: Conducting community-based needs identifications for intangible cultural heritage in situations of conflict and forced displacement</w:t>
            </w:r>
          </w:p>
        </w:tc>
        <w:tc>
          <w:tcPr>
            <w:tcW w:w="5391" w:type="dxa"/>
            <w:vAlign w:val="center"/>
          </w:tcPr>
          <w:p w14:paraId="0FF4A43D" w14:textId="10C850FC" w:rsidR="0042218C" w:rsidRDefault="0042218C" w:rsidP="0042218C">
            <w:pPr>
              <w:pStyle w:val="1GAPara"/>
              <w:keepNext/>
              <w:spacing w:before="120"/>
              <w:ind w:left="0" w:firstLine="0"/>
            </w:pPr>
            <w:hyperlink r:id="rId20" w:history="1">
              <w:r w:rsidRPr="00A04E94">
                <w:rPr>
                  <w:rStyle w:val="Hyperlink"/>
                </w:rPr>
                <w:t>https://ich.unesco.org/en/capacity-building-materials</w:t>
              </w:r>
            </w:hyperlink>
          </w:p>
          <w:p w14:paraId="2B6CB321" w14:textId="1A129EC0" w:rsidR="0042218C" w:rsidRPr="0042218C" w:rsidRDefault="0042218C" w:rsidP="00792490">
            <w:pPr>
              <w:pStyle w:val="1GAPara"/>
              <w:keepNext/>
              <w:spacing w:before="120"/>
              <w:ind w:left="0" w:firstLine="0"/>
              <w:rPr>
                <w:rFonts w:eastAsiaTheme="minorEastAsia"/>
                <w:lang w:eastAsia="ko-KR"/>
              </w:rPr>
            </w:pPr>
          </w:p>
        </w:tc>
      </w:tr>
      <w:tr w:rsidR="00191D24" w:rsidRPr="002D659E" w14:paraId="3B1CC022" w14:textId="77777777" w:rsidTr="002F174D">
        <w:trPr>
          <w:trHeight w:val="454"/>
        </w:trPr>
        <w:tc>
          <w:tcPr>
            <w:tcW w:w="4405" w:type="dxa"/>
          </w:tcPr>
          <w:p w14:paraId="26C68095" w14:textId="77777777" w:rsidR="00191D24" w:rsidRPr="00081A71" w:rsidRDefault="00191D24" w:rsidP="002F174D">
            <w:pPr>
              <w:pStyle w:val="1GAPara"/>
              <w:keepNext/>
              <w:spacing w:before="120"/>
              <w:ind w:left="0" w:firstLine="0"/>
              <w:rPr>
                <w:rFonts w:eastAsiaTheme="minorEastAsia"/>
                <w:lang w:eastAsia="ko-KR"/>
              </w:rPr>
            </w:pPr>
            <w:r w:rsidRPr="0009734A">
              <w:rPr>
                <w:rFonts w:eastAsiaTheme="minorEastAsia"/>
                <w:lang w:eastAsia="ko-KR"/>
              </w:rPr>
              <w:t>Webpage dedicated to the meeting</w:t>
            </w:r>
          </w:p>
        </w:tc>
        <w:tc>
          <w:tcPr>
            <w:tcW w:w="5391" w:type="dxa"/>
            <w:vAlign w:val="center"/>
          </w:tcPr>
          <w:p w14:paraId="2BCB8E3F" w14:textId="229E84E3" w:rsidR="00191D24" w:rsidRPr="00464165" w:rsidRDefault="00464165" w:rsidP="002F174D">
            <w:pPr>
              <w:pStyle w:val="1GAPara"/>
              <w:keepNext/>
              <w:spacing w:before="120"/>
              <w:ind w:left="0" w:firstLine="0"/>
              <w:rPr>
                <w:rFonts w:eastAsiaTheme="minorEastAsia"/>
                <w:lang w:eastAsia="ko-KR"/>
              </w:rPr>
            </w:pPr>
            <w:hyperlink r:id="rId21" w:history="1">
              <w:r w:rsidRPr="001E2BB1">
                <w:rPr>
                  <w:rStyle w:val="Hyperlink"/>
                  <w:rFonts w:eastAsiaTheme="minorEastAsia"/>
                  <w:lang w:eastAsia="ko-KR"/>
                </w:rPr>
                <w:t>https://ich.unesco.org/en/events/training-programme-for-the-global-facilitators-network-living-heritage-and-conflict-situations-01066</w:t>
              </w:r>
            </w:hyperlink>
            <w:r w:rsidR="00191D24" w:rsidRPr="00464165">
              <w:rPr>
                <w:rFonts w:eastAsiaTheme="minorEastAsia"/>
                <w:lang w:eastAsia="ko-KR"/>
              </w:rPr>
              <w:t xml:space="preserve"> </w:t>
            </w:r>
          </w:p>
        </w:tc>
      </w:tr>
    </w:tbl>
    <w:p w14:paraId="54F7FB08" w14:textId="77777777" w:rsidR="00D676E5" w:rsidRPr="00464165" w:rsidRDefault="00D676E5" w:rsidP="00357323">
      <w:pPr>
        <w:spacing w:after="120"/>
        <w:rPr>
          <w:lang w:val="en-GB"/>
        </w:rPr>
      </w:pPr>
    </w:p>
    <w:sectPr w:rsidR="00D676E5" w:rsidRPr="00464165" w:rsidSect="00655736">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056F" w14:textId="77777777" w:rsidR="00E53EA3" w:rsidRDefault="00E53EA3" w:rsidP="00655736">
      <w:r>
        <w:separator/>
      </w:r>
    </w:p>
  </w:endnote>
  <w:endnote w:type="continuationSeparator" w:id="0">
    <w:p w14:paraId="05B713B2" w14:textId="77777777" w:rsidR="00E53EA3" w:rsidRDefault="00E53EA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F65B" w14:textId="77777777" w:rsidR="00E53EA3" w:rsidRDefault="00E53EA3" w:rsidP="00655736">
      <w:r>
        <w:separator/>
      </w:r>
    </w:p>
  </w:footnote>
  <w:footnote w:type="continuationSeparator" w:id="0">
    <w:p w14:paraId="7871D653" w14:textId="77777777" w:rsidR="00E53EA3" w:rsidRDefault="00E53EA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E90D5EC"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245680">
      <w:rPr>
        <w:rFonts w:ascii="Arial" w:hAnsi="Arial" w:cs="Arial"/>
        <w:sz w:val="20"/>
        <w:szCs w:val="20"/>
        <w:lang w:val="es-ES"/>
      </w:rPr>
      <w:t>26</w:t>
    </w:r>
    <w:r w:rsidR="00CB0542" w:rsidRPr="00455314">
      <w:rPr>
        <w:rFonts w:ascii="Arial" w:hAnsi="Arial" w:cs="Arial"/>
        <w:sz w:val="20"/>
        <w:szCs w:val="20"/>
        <w:lang w:val="es-ES"/>
      </w:rPr>
      <w:t>/</w:t>
    </w:r>
    <w:r w:rsidR="00CB7E90">
      <w:rPr>
        <w:rFonts w:ascii="Arial" w:hAnsi="Arial" w:cs="Arial"/>
        <w:sz w:val="20"/>
        <w:szCs w:val="20"/>
        <w:lang w:val="es-ES"/>
      </w:rPr>
      <w:t>TRA</w:t>
    </w:r>
    <w:r w:rsidR="0015117E">
      <w:rPr>
        <w:rFonts w:ascii="Arial" w:hAnsi="Arial" w:cs="Arial"/>
        <w:sz w:val="20"/>
        <w:szCs w:val="20"/>
        <w:lang w:val="es-ES"/>
      </w:rPr>
      <w:t xml:space="preserve"> </w:t>
    </w:r>
    <w:r w:rsidR="00193008">
      <w:rPr>
        <w:rFonts w:ascii="Arial" w:hAnsi="Arial" w:cs="Arial"/>
        <w:sz w:val="20"/>
        <w:szCs w:val="20"/>
        <w:lang w:val="es-ES"/>
      </w:rPr>
      <w:t>MRG</w:t>
    </w:r>
    <w:r w:rsidR="004E1760" w:rsidRPr="00455314">
      <w:rPr>
        <w:rFonts w:ascii="Arial" w:hAnsi="Arial" w:cs="Arial"/>
        <w:sz w:val="20"/>
        <w:szCs w:val="20"/>
        <w:lang w:val="es-ES"/>
      </w:rPr>
      <w:t>/</w:t>
    </w:r>
    <w:r w:rsidR="0050062D">
      <w:rPr>
        <w:rFonts w:ascii="Arial" w:hAnsi="Arial" w:cs="Arial"/>
        <w:sz w:val="20"/>
        <w:szCs w:val="20"/>
        <w:lang w:val="es-ES"/>
      </w:rPr>
      <w:t>1</w:t>
    </w:r>
    <w:r w:rsidR="00E36641"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356B6EFD"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245680">
      <w:rPr>
        <w:rFonts w:ascii="Arial" w:hAnsi="Arial" w:cs="Arial"/>
        <w:sz w:val="20"/>
        <w:szCs w:val="20"/>
        <w:lang w:val="es-ES"/>
      </w:rPr>
      <w:t>26</w:t>
    </w:r>
    <w:r w:rsidRPr="00455314">
      <w:rPr>
        <w:rFonts w:ascii="Arial" w:hAnsi="Arial" w:cs="Arial"/>
        <w:sz w:val="20"/>
        <w:szCs w:val="20"/>
        <w:lang w:val="es-ES"/>
      </w:rPr>
      <w:t>/</w:t>
    </w:r>
    <w:r w:rsidR="00035B98">
      <w:rPr>
        <w:rFonts w:ascii="Arial" w:hAnsi="Arial" w:cs="Arial"/>
        <w:sz w:val="20"/>
        <w:szCs w:val="20"/>
        <w:lang w:val="es-ES"/>
      </w:rPr>
      <w:t xml:space="preserve">TRA </w:t>
    </w:r>
    <w:r w:rsidR="00193008">
      <w:rPr>
        <w:rFonts w:ascii="Arial" w:hAnsi="Arial" w:cs="Arial"/>
        <w:sz w:val="20"/>
        <w:szCs w:val="20"/>
        <w:lang w:val="es-ES"/>
      </w:rPr>
      <w:t>MRG</w:t>
    </w:r>
    <w:r w:rsidRPr="00455314">
      <w:rPr>
        <w:rFonts w:ascii="Arial" w:hAnsi="Arial" w:cs="Arial"/>
        <w:sz w:val="20"/>
        <w:szCs w:val="20"/>
        <w:lang w:val="es-ES"/>
      </w:rPr>
      <w:t>/</w:t>
    </w:r>
    <w:r w:rsidR="0050062D">
      <w:rPr>
        <w:rFonts w:ascii="Arial" w:hAnsi="Arial" w:cs="Arial"/>
        <w:sz w:val="20"/>
        <w:szCs w:val="20"/>
        <w:lang w:val="es-ES"/>
      </w:rPr>
      <w:t>1</w:t>
    </w:r>
    <w:r w:rsidR="00E36641" w:rsidRPr="00455314">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851A0C0"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A7443B9" w:rsidR="004E1760" w:rsidRPr="00D7105A" w:rsidRDefault="004903C6" w:rsidP="004E1760">
    <w:pPr>
      <w:pStyle w:val="Header"/>
      <w:spacing w:after="520"/>
      <w:jc w:val="right"/>
      <w:rPr>
        <w:rFonts w:ascii="Arial" w:hAnsi="Arial" w:cs="Arial"/>
        <w:b/>
        <w:sz w:val="44"/>
        <w:szCs w:val="44"/>
        <w:lang w:val="pt-PT"/>
      </w:rPr>
    </w:pPr>
    <w:r>
      <w:rPr>
        <w:rFonts w:ascii="Arial" w:hAnsi="Arial" w:cs="Arial"/>
        <w:b/>
        <w:sz w:val="44"/>
        <w:szCs w:val="44"/>
        <w:lang w:val="pt-PT"/>
      </w:rPr>
      <w:t>TRA</w:t>
    </w:r>
    <w:r w:rsidR="0015117E">
      <w:rPr>
        <w:rFonts w:ascii="Arial" w:hAnsi="Arial" w:cs="Arial"/>
        <w:b/>
        <w:sz w:val="44"/>
        <w:szCs w:val="44"/>
        <w:lang w:val="pt-PT"/>
      </w:rPr>
      <w:t xml:space="preserve"> </w:t>
    </w:r>
    <w:r w:rsidR="00193008">
      <w:rPr>
        <w:rFonts w:ascii="Arial" w:hAnsi="Arial" w:cs="Arial"/>
        <w:b/>
        <w:sz w:val="44"/>
        <w:szCs w:val="44"/>
        <w:lang w:val="pt-PT"/>
      </w:rPr>
      <w:t>MRG</w:t>
    </w:r>
  </w:p>
  <w:p w14:paraId="6D1B3489" w14:textId="0D3585D6" w:rsidR="004E1760" w:rsidRPr="009D3418" w:rsidRDefault="004E1760" w:rsidP="004E1760">
    <w:pPr>
      <w:jc w:val="right"/>
      <w:rPr>
        <w:rFonts w:ascii="Arial" w:hAnsi="Arial" w:cs="Arial"/>
        <w:b/>
        <w:sz w:val="22"/>
        <w:szCs w:val="22"/>
        <w:lang w:val="pt-PT"/>
      </w:rPr>
    </w:pPr>
    <w:r w:rsidRPr="009D3418">
      <w:rPr>
        <w:rFonts w:ascii="Arial" w:hAnsi="Arial" w:cs="Arial"/>
        <w:b/>
        <w:sz w:val="22"/>
        <w:szCs w:val="22"/>
        <w:lang w:val="pt-PT"/>
      </w:rPr>
      <w:t>LHE/2</w:t>
    </w:r>
    <w:r w:rsidR="00D90FC9" w:rsidRPr="009D3418">
      <w:rPr>
        <w:rFonts w:ascii="Arial" w:hAnsi="Arial" w:cs="Arial"/>
        <w:b/>
        <w:sz w:val="22"/>
        <w:szCs w:val="22"/>
        <w:lang w:val="pt-PT"/>
      </w:rPr>
      <w:t>6</w:t>
    </w:r>
    <w:r w:rsidRPr="009D3418">
      <w:rPr>
        <w:rFonts w:ascii="Arial" w:hAnsi="Arial" w:cs="Arial"/>
        <w:b/>
        <w:sz w:val="22"/>
        <w:szCs w:val="22"/>
        <w:lang w:val="pt-PT"/>
      </w:rPr>
      <w:t>/</w:t>
    </w:r>
    <w:bookmarkStart w:id="2" w:name="_Hlk94624970"/>
    <w:r w:rsidR="0015117E" w:rsidRPr="009D3418">
      <w:rPr>
        <w:rFonts w:ascii="Arial" w:hAnsi="Arial" w:cs="Arial"/>
        <w:b/>
        <w:sz w:val="22"/>
        <w:szCs w:val="22"/>
        <w:lang w:val="pt-PT"/>
      </w:rPr>
      <w:t>T</w:t>
    </w:r>
    <w:r w:rsidR="004903C6" w:rsidRPr="009D3418">
      <w:rPr>
        <w:rFonts w:ascii="Arial" w:hAnsi="Arial" w:cs="Arial"/>
        <w:b/>
        <w:sz w:val="22"/>
        <w:szCs w:val="22"/>
        <w:lang w:val="pt-PT"/>
      </w:rPr>
      <w:t xml:space="preserve">RA </w:t>
    </w:r>
    <w:r w:rsidR="00193008" w:rsidRPr="009D3418">
      <w:rPr>
        <w:rFonts w:ascii="Arial" w:hAnsi="Arial" w:cs="Arial"/>
        <w:b/>
        <w:sz w:val="22"/>
        <w:szCs w:val="22"/>
        <w:lang w:val="pt-PT"/>
      </w:rPr>
      <w:t>MRG</w:t>
    </w:r>
    <w:r w:rsidRPr="009D3418">
      <w:rPr>
        <w:rFonts w:ascii="Arial" w:hAnsi="Arial" w:cs="Arial"/>
        <w:b/>
        <w:sz w:val="22"/>
        <w:szCs w:val="22"/>
        <w:lang w:val="pt-PT"/>
      </w:rPr>
      <w:t>/</w:t>
    </w:r>
    <w:r w:rsidR="00F80C08" w:rsidRPr="009D3418">
      <w:rPr>
        <w:rFonts w:ascii="Arial" w:hAnsi="Arial" w:cs="Arial"/>
        <w:b/>
        <w:sz w:val="22"/>
        <w:szCs w:val="22"/>
        <w:lang w:val="pt-PT"/>
      </w:rPr>
      <w:t>1</w:t>
    </w:r>
  </w:p>
  <w:bookmarkEnd w:id="2"/>
  <w:p w14:paraId="1B4446C3" w14:textId="165C0289" w:rsidR="00D95C4C" w:rsidRPr="00D7105A" w:rsidRDefault="00D95C4C" w:rsidP="00655736">
    <w:pPr>
      <w:jc w:val="right"/>
      <w:rPr>
        <w:rFonts w:ascii="Arial" w:eastAsiaTheme="minorEastAsia" w:hAnsi="Arial" w:cs="Arial"/>
        <w:b/>
        <w:sz w:val="22"/>
        <w:szCs w:val="22"/>
        <w:lang w:val="pt-PT" w:eastAsia="ko-KR"/>
      </w:rPr>
    </w:pPr>
    <w:r w:rsidRPr="009D3418">
      <w:rPr>
        <w:rFonts w:ascii="Arial" w:hAnsi="Arial" w:cs="Arial"/>
        <w:b/>
        <w:sz w:val="22"/>
        <w:szCs w:val="22"/>
        <w:lang w:val="pt-PT"/>
      </w:rPr>
      <w:t xml:space="preserve">Paris, </w:t>
    </w:r>
    <w:r w:rsidR="00C248B9" w:rsidRPr="009D3418">
      <w:rPr>
        <w:rFonts w:ascii="Arial" w:hAnsi="Arial" w:cs="Arial"/>
        <w:b/>
        <w:sz w:val="22"/>
        <w:szCs w:val="22"/>
        <w:lang w:val="pt-PT"/>
      </w:rPr>
      <w:t>21 May</w:t>
    </w:r>
    <w:r w:rsidR="00D858FC" w:rsidRPr="009D3418">
      <w:rPr>
        <w:rFonts w:ascii="Arial" w:hAnsi="Arial" w:cs="Arial"/>
        <w:b/>
        <w:sz w:val="22"/>
        <w:szCs w:val="22"/>
        <w:lang w:val="pt-PT"/>
      </w:rPr>
      <w:t xml:space="preserve"> </w:t>
    </w:r>
    <w:r w:rsidR="00174D0C" w:rsidRPr="009D3418">
      <w:rPr>
        <w:rFonts w:ascii="Arial" w:hAnsi="Arial" w:cs="Arial"/>
        <w:b/>
        <w:sz w:val="22"/>
        <w:szCs w:val="22"/>
        <w:lang w:val="pt-PT"/>
      </w:rPr>
      <w:t>202</w:t>
    </w:r>
    <w:r w:rsidR="00D90FC9" w:rsidRPr="009D3418">
      <w:rPr>
        <w:rFonts w:ascii="Arial" w:hAnsi="Arial" w:cs="Arial"/>
        <w:b/>
        <w:sz w:val="22"/>
        <w:szCs w:val="22"/>
        <w:lang w:val="pt-PT"/>
      </w:rPr>
      <w:t>6</w:t>
    </w:r>
  </w:p>
  <w:p w14:paraId="255B57FF" w14:textId="427DD03E"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34E7C01"/>
    <w:multiLevelType w:val="hybridMultilevel"/>
    <w:tmpl w:val="3AFC4DFE"/>
    <w:lvl w:ilvl="0" w:tplc="0409000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975BA3"/>
    <w:multiLevelType w:val="multilevel"/>
    <w:tmpl w:val="7CBA507C"/>
    <w:lvl w:ilvl="0">
      <w:start w:val="1"/>
      <w:numFmt w:val="bullet"/>
      <w:lvlText w:val=""/>
      <w:lvlJc w:val="left"/>
      <w:pPr>
        <w:tabs>
          <w:tab w:val="num" w:pos="698"/>
        </w:tabs>
        <w:ind w:left="698" w:hanging="360"/>
      </w:pPr>
      <w:rPr>
        <w:rFonts w:ascii="Symbol" w:hAnsi="Symbol" w:hint="default"/>
        <w:sz w:val="20"/>
      </w:rPr>
    </w:lvl>
    <w:lvl w:ilvl="1" w:tentative="1">
      <w:start w:val="1"/>
      <w:numFmt w:val="bullet"/>
      <w:lvlText w:val="o"/>
      <w:lvlJc w:val="left"/>
      <w:pPr>
        <w:tabs>
          <w:tab w:val="num" w:pos="1418"/>
        </w:tabs>
        <w:ind w:left="1418" w:hanging="360"/>
      </w:pPr>
      <w:rPr>
        <w:rFonts w:ascii="Courier New" w:hAnsi="Courier New" w:hint="default"/>
        <w:sz w:val="20"/>
      </w:rPr>
    </w:lvl>
    <w:lvl w:ilvl="2" w:tentative="1">
      <w:start w:val="1"/>
      <w:numFmt w:val="bullet"/>
      <w:lvlText w:val=""/>
      <w:lvlJc w:val="left"/>
      <w:pPr>
        <w:tabs>
          <w:tab w:val="num" w:pos="2138"/>
        </w:tabs>
        <w:ind w:left="2138" w:hanging="360"/>
      </w:pPr>
      <w:rPr>
        <w:rFonts w:ascii="Wingdings" w:hAnsi="Wingdings" w:hint="default"/>
        <w:sz w:val="20"/>
      </w:rPr>
    </w:lvl>
    <w:lvl w:ilvl="3" w:tentative="1">
      <w:start w:val="1"/>
      <w:numFmt w:val="bullet"/>
      <w:lvlText w:val=""/>
      <w:lvlJc w:val="left"/>
      <w:pPr>
        <w:tabs>
          <w:tab w:val="num" w:pos="2858"/>
        </w:tabs>
        <w:ind w:left="2858" w:hanging="360"/>
      </w:pPr>
      <w:rPr>
        <w:rFonts w:ascii="Wingdings" w:hAnsi="Wingdings" w:hint="default"/>
        <w:sz w:val="20"/>
      </w:rPr>
    </w:lvl>
    <w:lvl w:ilvl="4" w:tentative="1">
      <w:start w:val="1"/>
      <w:numFmt w:val="bullet"/>
      <w:lvlText w:val=""/>
      <w:lvlJc w:val="left"/>
      <w:pPr>
        <w:tabs>
          <w:tab w:val="num" w:pos="3578"/>
        </w:tabs>
        <w:ind w:left="3578" w:hanging="360"/>
      </w:pPr>
      <w:rPr>
        <w:rFonts w:ascii="Wingdings" w:hAnsi="Wingdings" w:hint="default"/>
        <w:sz w:val="20"/>
      </w:rPr>
    </w:lvl>
    <w:lvl w:ilvl="5" w:tentative="1">
      <w:start w:val="1"/>
      <w:numFmt w:val="bullet"/>
      <w:lvlText w:val=""/>
      <w:lvlJc w:val="left"/>
      <w:pPr>
        <w:tabs>
          <w:tab w:val="num" w:pos="4298"/>
        </w:tabs>
        <w:ind w:left="4298" w:hanging="360"/>
      </w:pPr>
      <w:rPr>
        <w:rFonts w:ascii="Wingdings" w:hAnsi="Wingdings" w:hint="default"/>
        <w:sz w:val="20"/>
      </w:rPr>
    </w:lvl>
    <w:lvl w:ilvl="6" w:tentative="1">
      <w:start w:val="1"/>
      <w:numFmt w:val="bullet"/>
      <w:lvlText w:val=""/>
      <w:lvlJc w:val="left"/>
      <w:pPr>
        <w:tabs>
          <w:tab w:val="num" w:pos="5018"/>
        </w:tabs>
        <w:ind w:left="5018" w:hanging="360"/>
      </w:pPr>
      <w:rPr>
        <w:rFonts w:ascii="Wingdings" w:hAnsi="Wingdings" w:hint="default"/>
        <w:sz w:val="20"/>
      </w:rPr>
    </w:lvl>
    <w:lvl w:ilvl="7" w:tentative="1">
      <w:start w:val="1"/>
      <w:numFmt w:val="bullet"/>
      <w:lvlText w:val=""/>
      <w:lvlJc w:val="left"/>
      <w:pPr>
        <w:tabs>
          <w:tab w:val="num" w:pos="5738"/>
        </w:tabs>
        <w:ind w:left="5738" w:hanging="360"/>
      </w:pPr>
      <w:rPr>
        <w:rFonts w:ascii="Wingdings" w:hAnsi="Wingdings" w:hint="default"/>
        <w:sz w:val="20"/>
      </w:rPr>
    </w:lvl>
    <w:lvl w:ilvl="8" w:tentative="1">
      <w:start w:val="1"/>
      <w:numFmt w:val="bullet"/>
      <w:lvlText w:val=""/>
      <w:lvlJc w:val="left"/>
      <w:pPr>
        <w:tabs>
          <w:tab w:val="num" w:pos="6458"/>
        </w:tabs>
        <w:ind w:left="6458" w:hanging="360"/>
      </w:pPr>
      <w:rPr>
        <w:rFonts w:ascii="Wingdings" w:hAnsi="Wingdings" w:hint="default"/>
        <w:sz w:val="20"/>
      </w:rPr>
    </w:lvl>
  </w:abstractNum>
  <w:abstractNum w:abstractNumId="6"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2"/>
  </w:num>
  <w:num w:numId="3" w16cid:durableId="347945616">
    <w:abstractNumId w:val="3"/>
  </w:num>
  <w:num w:numId="4" w16cid:durableId="1119109097">
    <w:abstractNumId w:val="4"/>
  </w:num>
  <w:num w:numId="5" w16cid:durableId="1445689247">
    <w:abstractNumId w:val="7"/>
  </w:num>
  <w:num w:numId="6" w16cid:durableId="2058822602">
    <w:abstractNumId w:val="6"/>
  </w:num>
  <w:num w:numId="7" w16cid:durableId="304314262">
    <w:abstractNumId w:val="1"/>
  </w:num>
  <w:num w:numId="8" w16cid:durableId="139814424">
    <w:abstractNumId w:val="5"/>
  </w:num>
  <w:num w:numId="9" w16cid:durableId="1765150236">
    <w:abstractNumId w:val="2"/>
  </w:num>
  <w:num w:numId="10" w16cid:durableId="1534730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4915"/>
    <w:rsid w:val="000209B7"/>
    <w:rsid w:val="000210C3"/>
    <w:rsid w:val="00025E79"/>
    <w:rsid w:val="00035B98"/>
    <w:rsid w:val="00041A66"/>
    <w:rsid w:val="00042D88"/>
    <w:rsid w:val="0004329D"/>
    <w:rsid w:val="0005176E"/>
    <w:rsid w:val="000543B6"/>
    <w:rsid w:val="00060E4F"/>
    <w:rsid w:val="00062FD1"/>
    <w:rsid w:val="00072A21"/>
    <w:rsid w:val="000765F7"/>
    <w:rsid w:val="00077AB7"/>
    <w:rsid w:val="00081CD8"/>
    <w:rsid w:val="000847ED"/>
    <w:rsid w:val="00091385"/>
    <w:rsid w:val="000974EC"/>
    <w:rsid w:val="000A09E6"/>
    <w:rsid w:val="000A3FF4"/>
    <w:rsid w:val="000A6BEC"/>
    <w:rsid w:val="000A7589"/>
    <w:rsid w:val="000A7F0E"/>
    <w:rsid w:val="000B1C8F"/>
    <w:rsid w:val="000B4B51"/>
    <w:rsid w:val="000B7036"/>
    <w:rsid w:val="000C0D61"/>
    <w:rsid w:val="000C4D68"/>
    <w:rsid w:val="000C60F8"/>
    <w:rsid w:val="000C75F8"/>
    <w:rsid w:val="000D3B33"/>
    <w:rsid w:val="000D3E7C"/>
    <w:rsid w:val="000D65F4"/>
    <w:rsid w:val="000E69D4"/>
    <w:rsid w:val="000F3A3F"/>
    <w:rsid w:val="00102557"/>
    <w:rsid w:val="00102AB5"/>
    <w:rsid w:val="001169FF"/>
    <w:rsid w:val="00125D4B"/>
    <w:rsid w:val="0014260A"/>
    <w:rsid w:val="0015117E"/>
    <w:rsid w:val="00151E44"/>
    <w:rsid w:val="0015218B"/>
    <w:rsid w:val="00152867"/>
    <w:rsid w:val="001553EC"/>
    <w:rsid w:val="00157641"/>
    <w:rsid w:val="0015772D"/>
    <w:rsid w:val="0016165B"/>
    <w:rsid w:val="00164D56"/>
    <w:rsid w:val="00167B10"/>
    <w:rsid w:val="0017402F"/>
    <w:rsid w:val="00174D0C"/>
    <w:rsid w:val="00184DAD"/>
    <w:rsid w:val="001875DB"/>
    <w:rsid w:val="00190205"/>
    <w:rsid w:val="001904A2"/>
    <w:rsid w:val="00191D24"/>
    <w:rsid w:val="00193008"/>
    <w:rsid w:val="00196C1B"/>
    <w:rsid w:val="00197BC4"/>
    <w:rsid w:val="001A49CF"/>
    <w:rsid w:val="001A730A"/>
    <w:rsid w:val="001B0F73"/>
    <w:rsid w:val="001B5D51"/>
    <w:rsid w:val="001C2DB7"/>
    <w:rsid w:val="001C78AC"/>
    <w:rsid w:val="001D124C"/>
    <w:rsid w:val="001D14FE"/>
    <w:rsid w:val="001D5C04"/>
    <w:rsid w:val="001D7A9A"/>
    <w:rsid w:val="001E135E"/>
    <w:rsid w:val="001E40F4"/>
    <w:rsid w:val="001E62E2"/>
    <w:rsid w:val="001F26CF"/>
    <w:rsid w:val="001F4E62"/>
    <w:rsid w:val="001F7778"/>
    <w:rsid w:val="00207DED"/>
    <w:rsid w:val="00220CFF"/>
    <w:rsid w:val="00222A2D"/>
    <w:rsid w:val="00223029"/>
    <w:rsid w:val="002307EE"/>
    <w:rsid w:val="00231492"/>
    <w:rsid w:val="00234745"/>
    <w:rsid w:val="002351A6"/>
    <w:rsid w:val="00240072"/>
    <w:rsid w:val="002407AF"/>
    <w:rsid w:val="00245680"/>
    <w:rsid w:val="00246BFF"/>
    <w:rsid w:val="00247071"/>
    <w:rsid w:val="0026221A"/>
    <w:rsid w:val="00266785"/>
    <w:rsid w:val="00273B6D"/>
    <w:rsid w:val="0027466B"/>
    <w:rsid w:val="00277688"/>
    <w:rsid w:val="002838A5"/>
    <w:rsid w:val="0028471A"/>
    <w:rsid w:val="0028474A"/>
    <w:rsid w:val="00285BB4"/>
    <w:rsid w:val="002874F5"/>
    <w:rsid w:val="002B443F"/>
    <w:rsid w:val="002C09E3"/>
    <w:rsid w:val="002C77AD"/>
    <w:rsid w:val="002D1244"/>
    <w:rsid w:val="002D1E6F"/>
    <w:rsid w:val="002D2821"/>
    <w:rsid w:val="002D659E"/>
    <w:rsid w:val="002E2F7C"/>
    <w:rsid w:val="00313A17"/>
    <w:rsid w:val="00314101"/>
    <w:rsid w:val="0031456C"/>
    <w:rsid w:val="00317CF8"/>
    <w:rsid w:val="0032056C"/>
    <w:rsid w:val="0032564A"/>
    <w:rsid w:val="00327002"/>
    <w:rsid w:val="00337CEB"/>
    <w:rsid w:val="003411B7"/>
    <w:rsid w:val="003417FD"/>
    <w:rsid w:val="00342495"/>
    <w:rsid w:val="00344B58"/>
    <w:rsid w:val="0034539A"/>
    <w:rsid w:val="00345CB4"/>
    <w:rsid w:val="00357323"/>
    <w:rsid w:val="00360422"/>
    <w:rsid w:val="003627DF"/>
    <w:rsid w:val="00367270"/>
    <w:rsid w:val="00375D42"/>
    <w:rsid w:val="003820D7"/>
    <w:rsid w:val="00382619"/>
    <w:rsid w:val="00395C11"/>
    <w:rsid w:val="00396280"/>
    <w:rsid w:val="003A3CE6"/>
    <w:rsid w:val="003A6BB8"/>
    <w:rsid w:val="003B0B4B"/>
    <w:rsid w:val="003B0EC4"/>
    <w:rsid w:val="003B4595"/>
    <w:rsid w:val="003B4CF8"/>
    <w:rsid w:val="003B7522"/>
    <w:rsid w:val="003B79BD"/>
    <w:rsid w:val="003C0ADD"/>
    <w:rsid w:val="003C3534"/>
    <w:rsid w:val="003C3C87"/>
    <w:rsid w:val="003C7A41"/>
    <w:rsid w:val="003D069C"/>
    <w:rsid w:val="003D7646"/>
    <w:rsid w:val="003F113A"/>
    <w:rsid w:val="003F37A1"/>
    <w:rsid w:val="003F3E63"/>
    <w:rsid w:val="00407480"/>
    <w:rsid w:val="004144C4"/>
    <w:rsid w:val="00414643"/>
    <w:rsid w:val="004162DA"/>
    <w:rsid w:val="0042218C"/>
    <w:rsid w:val="00424790"/>
    <w:rsid w:val="004421E5"/>
    <w:rsid w:val="00445647"/>
    <w:rsid w:val="00450D12"/>
    <w:rsid w:val="00452284"/>
    <w:rsid w:val="00455314"/>
    <w:rsid w:val="00457C8E"/>
    <w:rsid w:val="00464165"/>
    <w:rsid w:val="004738C1"/>
    <w:rsid w:val="00473E7F"/>
    <w:rsid w:val="00481EEA"/>
    <w:rsid w:val="00483586"/>
    <w:rsid w:val="004856CA"/>
    <w:rsid w:val="00487E67"/>
    <w:rsid w:val="004903C6"/>
    <w:rsid w:val="0049705E"/>
    <w:rsid w:val="004A2875"/>
    <w:rsid w:val="004A34A0"/>
    <w:rsid w:val="004A3554"/>
    <w:rsid w:val="004C3A08"/>
    <w:rsid w:val="004C596F"/>
    <w:rsid w:val="004C7C82"/>
    <w:rsid w:val="004D2EB4"/>
    <w:rsid w:val="004D43F3"/>
    <w:rsid w:val="004D5733"/>
    <w:rsid w:val="004E1760"/>
    <w:rsid w:val="004E7232"/>
    <w:rsid w:val="004F2E1B"/>
    <w:rsid w:val="0050062D"/>
    <w:rsid w:val="005008A8"/>
    <w:rsid w:val="00500AA5"/>
    <w:rsid w:val="00507AAC"/>
    <w:rsid w:val="00510E9D"/>
    <w:rsid w:val="005110BD"/>
    <w:rsid w:val="00514B0D"/>
    <w:rsid w:val="00514C11"/>
    <w:rsid w:val="00517F71"/>
    <w:rsid w:val="00517FD8"/>
    <w:rsid w:val="00520908"/>
    <w:rsid w:val="005216A5"/>
    <w:rsid w:val="00526B7B"/>
    <w:rsid w:val="00527174"/>
    <w:rsid w:val="005308CE"/>
    <w:rsid w:val="0053318C"/>
    <w:rsid w:val="005410A0"/>
    <w:rsid w:val="00542384"/>
    <w:rsid w:val="00556D71"/>
    <w:rsid w:val="0056538E"/>
    <w:rsid w:val="00566F3F"/>
    <w:rsid w:val="00574154"/>
    <w:rsid w:val="0057439C"/>
    <w:rsid w:val="00575956"/>
    <w:rsid w:val="005777E8"/>
    <w:rsid w:val="0058014D"/>
    <w:rsid w:val="0059276C"/>
    <w:rsid w:val="00592933"/>
    <w:rsid w:val="0059511D"/>
    <w:rsid w:val="005A1339"/>
    <w:rsid w:val="005A764B"/>
    <w:rsid w:val="005B0127"/>
    <w:rsid w:val="005B7A35"/>
    <w:rsid w:val="005C4B73"/>
    <w:rsid w:val="005C55AB"/>
    <w:rsid w:val="005D6C8D"/>
    <w:rsid w:val="005E0154"/>
    <w:rsid w:val="005E1D2B"/>
    <w:rsid w:val="005E6606"/>
    <w:rsid w:val="005E7074"/>
    <w:rsid w:val="005F0274"/>
    <w:rsid w:val="005F169F"/>
    <w:rsid w:val="005F2BAF"/>
    <w:rsid w:val="005F59FA"/>
    <w:rsid w:val="00600D93"/>
    <w:rsid w:val="00601718"/>
    <w:rsid w:val="00612EA5"/>
    <w:rsid w:val="00626BEA"/>
    <w:rsid w:val="00631BC9"/>
    <w:rsid w:val="0063300C"/>
    <w:rsid w:val="00637750"/>
    <w:rsid w:val="00646685"/>
    <w:rsid w:val="00646882"/>
    <w:rsid w:val="00650AC4"/>
    <w:rsid w:val="00651A5B"/>
    <w:rsid w:val="00655736"/>
    <w:rsid w:val="00656A6B"/>
    <w:rsid w:val="00656E33"/>
    <w:rsid w:val="00657EBB"/>
    <w:rsid w:val="00660ECF"/>
    <w:rsid w:val="00663B8D"/>
    <w:rsid w:val="00667235"/>
    <w:rsid w:val="00672F4E"/>
    <w:rsid w:val="006763C4"/>
    <w:rsid w:val="006829AA"/>
    <w:rsid w:val="00687912"/>
    <w:rsid w:val="0069033E"/>
    <w:rsid w:val="006909FD"/>
    <w:rsid w:val="00691E64"/>
    <w:rsid w:val="00696C8D"/>
    <w:rsid w:val="006A15CE"/>
    <w:rsid w:val="006A2AC2"/>
    <w:rsid w:val="006A3617"/>
    <w:rsid w:val="006A7F00"/>
    <w:rsid w:val="006A7FB4"/>
    <w:rsid w:val="006B4452"/>
    <w:rsid w:val="006B4B82"/>
    <w:rsid w:val="006C7060"/>
    <w:rsid w:val="006D7125"/>
    <w:rsid w:val="006E0D89"/>
    <w:rsid w:val="006E46E4"/>
    <w:rsid w:val="006E75EB"/>
    <w:rsid w:val="006F26DD"/>
    <w:rsid w:val="006F57C3"/>
    <w:rsid w:val="00703E29"/>
    <w:rsid w:val="00712429"/>
    <w:rsid w:val="00712C97"/>
    <w:rsid w:val="00717DA5"/>
    <w:rsid w:val="00723D16"/>
    <w:rsid w:val="007356F1"/>
    <w:rsid w:val="0074329F"/>
    <w:rsid w:val="00744484"/>
    <w:rsid w:val="00747566"/>
    <w:rsid w:val="00757F4A"/>
    <w:rsid w:val="00770F7B"/>
    <w:rsid w:val="00773188"/>
    <w:rsid w:val="007760B6"/>
    <w:rsid w:val="00776DE0"/>
    <w:rsid w:val="00777F32"/>
    <w:rsid w:val="00780C59"/>
    <w:rsid w:val="00782E7B"/>
    <w:rsid w:val="00783782"/>
    <w:rsid w:val="00784B8C"/>
    <w:rsid w:val="00784D93"/>
    <w:rsid w:val="00785470"/>
    <w:rsid w:val="0078586C"/>
    <w:rsid w:val="007879E1"/>
    <w:rsid w:val="00792490"/>
    <w:rsid w:val="00797843"/>
    <w:rsid w:val="007A1D90"/>
    <w:rsid w:val="007A3712"/>
    <w:rsid w:val="007B126F"/>
    <w:rsid w:val="007B618D"/>
    <w:rsid w:val="007C23B5"/>
    <w:rsid w:val="007C42C6"/>
    <w:rsid w:val="007F0B02"/>
    <w:rsid w:val="007F58E5"/>
    <w:rsid w:val="007F674C"/>
    <w:rsid w:val="00800B7B"/>
    <w:rsid w:val="00802381"/>
    <w:rsid w:val="00805323"/>
    <w:rsid w:val="00815F5B"/>
    <w:rsid w:val="00822F27"/>
    <w:rsid w:val="00823A11"/>
    <w:rsid w:val="00847B41"/>
    <w:rsid w:val="0085188D"/>
    <w:rsid w:val="0085405E"/>
    <w:rsid w:val="0085414A"/>
    <w:rsid w:val="00857EB9"/>
    <w:rsid w:val="008603E7"/>
    <w:rsid w:val="008610A2"/>
    <w:rsid w:val="0086269D"/>
    <w:rsid w:val="0086543A"/>
    <w:rsid w:val="00871F19"/>
    <w:rsid w:val="008724E5"/>
    <w:rsid w:val="00875673"/>
    <w:rsid w:val="00884A9D"/>
    <w:rsid w:val="0088512B"/>
    <w:rsid w:val="008939BC"/>
    <w:rsid w:val="008A2B2D"/>
    <w:rsid w:val="008A4E1E"/>
    <w:rsid w:val="008C22BE"/>
    <w:rsid w:val="008C296C"/>
    <w:rsid w:val="008D4305"/>
    <w:rsid w:val="008E1A85"/>
    <w:rsid w:val="008E5A10"/>
    <w:rsid w:val="008E7072"/>
    <w:rsid w:val="008F5E82"/>
    <w:rsid w:val="008F784C"/>
    <w:rsid w:val="009163A7"/>
    <w:rsid w:val="00922EFC"/>
    <w:rsid w:val="00923574"/>
    <w:rsid w:val="009246C8"/>
    <w:rsid w:val="00946D0B"/>
    <w:rsid w:val="00955877"/>
    <w:rsid w:val="00956784"/>
    <w:rsid w:val="00962034"/>
    <w:rsid w:val="00963895"/>
    <w:rsid w:val="00970E3F"/>
    <w:rsid w:val="0099698F"/>
    <w:rsid w:val="009A0D57"/>
    <w:rsid w:val="009A18CD"/>
    <w:rsid w:val="009C0117"/>
    <w:rsid w:val="009C77F7"/>
    <w:rsid w:val="009D3418"/>
    <w:rsid w:val="009D5428"/>
    <w:rsid w:val="009D7F4B"/>
    <w:rsid w:val="009E2765"/>
    <w:rsid w:val="009E4537"/>
    <w:rsid w:val="009F3E65"/>
    <w:rsid w:val="009F4E80"/>
    <w:rsid w:val="009F5C3E"/>
    <w:rsid w:val="00A000DB"/>
    <w:rsid w:val="00A01033"/>
    <w:rsid w:val="00A12558"/>
    <w:rsid w:val="00A13903"/>
    <w:rsid w:val="00A23E3D"/>
    <w:rsid w:val="00A305B8"/>
    <w:rsid w:val="00A34ED5"/>
    <w:rsid w:val="00A35111"/>
    <w:rsid w:val="00A35156"/>
    <w:rsid w:val="00A45DBF"/>
    <w:rsid w:val="00A50FFA"/>
    <w:rsid w:val="00A51135"/>
    <w:rsid w:val="00A52532"/>
    <w:rsid w:val="00A53F11"/>
    <w:rsid w:val="00A725CF"/>
    <w:rsid w:val="00A72DDC"/>
    <w:rsid w:val="00A755A2"/>
    <w:rsid w:val="00A7653A"/>
    <w:rsid w:val="00A76DD0"/>
    <w:rsid w:val="00A85A0E"/>
    <w:rsid w:val="00A87F8D"/>
    <w:rsid w:val="00A9418A"/>
    <w:rsid w:val="00AA6660"/>
    <w:rsid w:val="00AA6917"/>
    <w:rsid w:val="00AB0981"/>
    <w:rsid w:val="00AB2C36"/>
    <w:rsid w:val="00AB3993"/>
    <w:rsid w:val="00AB6DDE"/>
    <w:rsid w:val="00AB70B6"/>
    <w:rsid w:val="00AC23B5"/>
    <w:rsid w:val="00AD1A86"/>
    <w:rsid w:val="00AD2B7A"/>
    <w:rsid w:val="00AE103E"/>
    <w:rsid w:val="00AE33FA"/>
    <w:rsid w:val="00AE3878"/>
    <w:rsid w:val="00AF0A07"/>
    <w:rsid w:val="00AF1041"/>
    <w:rsid w:val="00AF209E"/>
    <w:rsid w:val="00AF279F"/>
    <w:rsid w:val="00AF4AEC"/>
    <w:rsid w:val="00AF5507"/>
    <w:rsid w:val="00AF625E"/>
    <w:rsid w:val="00AF70EC"/>
    <w:rsid w:val="00B139BE"/>
    <w:rsid w:val="00B2172B"/>
    <w:rsid w:val="00B2755D"/>
    <w:rsid w:val="00B343E0"/>
    <w:rsid w:val="00B40D0B"/>
    <w:rsid w:val="00B4410C"/>
    <w:rsid w:val="00B51431"/>
    <w:rsid w:val="00B51CDF"/>
    <w:rsid w:val="00B533C0"/>
    <w:rsid w:val="00B55E50"/>
    <w:rsid w:val="00B56EE0"/>
    <w:rsid w:val="00B70453"/>
    <w:rsid w:val="00B76B72"/>
    <w:rsid w:val="00B862A1"/>
    <w:rsid w:val="00B906F1"/>
    <w:rsid w:val="00B9146E"/>
    <w:rsid w:val="00B917D2"/>
    <w:rsid w:val="00BA2063"/>
    <w:rsid w:val="00BA241A"/>
    <w:rsid w:val="00BB04AF"/>
    <w:rsid w:val="00BB7109"/>
    <w:rsid w:val="00BC1AA8"/>
    <w:rsid w:val="00BC399A"/>
    <w:rsid w:val="00BD52C9"/>
    <w:rsid w:val="00BD5A75"/>
    <w:rsid w:val="00BE6354"/>
    <w:rsid w:val="00BE6C7B"/>
    <w:rsid w:val="00BF4A97"/>
    <w:rsid w:val="00BF65EF"/>
    <w:rsid w:val="00BF669C"/>
    <w:rsid w:val="00C010F8"/>
    <w:rsid w:val="00C12190"/>
    <w:rsid w:val="00C12DC0"/>
    <w:rsid w:val="00C138D1"/>
    <w:rsid w:val="00C20036"/>
    <w:rsid w:val="00C22B32"/>
    <w:rsid w:val="00C23A97"/>
    <w:rsid w:val="00C248B9"/>
    <w:rsid w:val="00C25B18"/>
    <w:rsid w:val="00C302B1"/>
    <w:rsid w:val="00C312D9"/>
    <w:rsid w:val="00C31B25"/>
    <w:rsid w:val="00C41F06"/>
    <w:rsid w:val="00C50A35"/>
    <w:rsid w:val="00C52EBE"/>
    <w:rsid w:val="00C5316C"/>
    <w:rsid w:val="00C53186"/>
    <w:rsid w:val="00C5776D"/>
    <w:rsid w:val="00C60337"/>
    <w:rsid w:val="00C62F18"/>
    <w:rsid w:val="00C62F70"/>
    <w:rsid w:val="00C64855"/>
    <w:rsid w:val="00C70EA7"/>
    <w:rsid w:val="00C71238"/>
    <w:rsid w:val="00C7433F"/>
    <w:rsid w:val="00C7516E"/>
    <w:rsid w:val="00C75374"/>
    <w:rsid w:val="00C75770"/>
    <w:rsid w:val="00C80F58"/>
    <w:rsid w:val="00C84D17"/>
    <w:rsid w:val="00C9225A"/>
    <w:rsid w:val="00C9396C"/>
    <w:rsid w:val="00C947DB"/>
    <w:rsid w:val="00C9562A"/>
    <w:rsid w:val="00CA33FC"/>
    <w:rsid w:val="00CA56BB"/>
    <w:rsid w:val="00CB0542"/>
    <w:rsid w:val="00CB2393"/>
    <w:rsid w:val="00CB4E91"/>
    <w:rsid w:val="00CB7E90"/>
    <w:rsid w:val="00CC2565"/>
    <w:rsid w:val="00CD0927"/>
    <w:rsid w:val="00CD15A7"/>
    <w:rsid w:val="00CD268B"/>
    <w:rsid w:val="00CD4ED5"/>
    <w:rsid w:val="00CD5577"/>
    <w:rsid w:val="00CD5ACB"/>
    <w:rsid w:val="00CE71E5"/>
    <w:rsid w:val="00CF510D"/>
    <w:rsid w:val="00CF6230"/>
    <w:rsid w:val="00CF6E68"/>
    <w:rsid w:val="00D00B2B"/>
    <w:rsid w:val="00D04B7E"/>
    <w:rsid w:val="00D06866"/>
    <w:rsid w:val="00D176DA"/>
    <w:rsid w:val="00D24877"/>
    <w:rsid w:val="00D33D76"/>
    <w:rsid w:val="00D35F86"/>
    <w:rsid w:val="00D53E1F"/>
    <w:rsid w:val="00D56A06"/>
    <w:rsid w:val="00D63F34"/>
    <w:rsid w:val="00D676E5"/>
    <w:rsid w:val="00D7105A"/>
    <w:rsid w:val="00D76AD9"/>
    <w:rsid w:val="00D8250F"/>
    <w:rsid w:val="00D84F06"/>
    <w:rsid w:val="00D858FC"/>
    <w:rsid w:val="00D86BB3"/>
    <w:rsid w:val="00D90FC9"/>
    <w:rsid w:val="00D938E7"/>
    <w:rsid w:val="00D95C4C"/>
    <w:rsid w:val="00D97765"/>
    <w:rsid w:val="00DA2903"/>
    <w:rsid w:val="00DA36ED"/>
    <w:rsid w:val="00DB0EB9"/>
    <w:rsid w:val="00DB1AB9"/>
    <w:rsid w:val="00DB482A"/>
    <w:rsid w:val="00DB48FE"/>
    <w:rsid w:val="00DC7879"/>
    <w:rsid w:val="00DD4BFB"/>
    <w:rsid w:val="00DE34F1"/>
    <w:rsid w:val="00DE6160"/>
    <w:rsid w:val="00DE7992"/>
    <w:rsid w:val="00DF08B6"/>
    <w:rsid w:val="00DF1D21"/>
    <w:rsid w:val="00DF4942"/>
    <w:rsid w:val="00E019FC"/>
    <w:rsid w:val="00E01A25"/>
    <w:rsid w:val="00E16EFD"/>
    <w:rsid w:val="00E2125F"/>
    <w:rsid w:val="00E244E1"/>
    <w:rsid w:val="00E3188D"/>
    <w:rsid w:val="00E36641"/>
    <w:rsid w:val="00E36EF9"/>
    <w:rsid w:val="00E4150C"/>
    <w:rsid w:val="00E42DBE"/>
    <w:rsid w:val="00E51D8E"/>
    <w:rsid w:val="00E523C9"/>
    <w:rsid w:val="00E53EA3"/>
    <w:rsid w:val="00E5638D"/>
    <w:rsid w:val="00E6157A"/>
    <w:rsid w:val="00E627B1"/>
    <w:rsid w:val="00E70169"/>
    <w:rsid w:val="00E711B1"/>
    <w:rsid w:val="00E7332E"/>
    <w:rsid w:val="00E746BB"/>
    <w:rsid w:val="00E9376C"/>
    <w:rsid w:val="00E94B6F"/>
    <w:rsid w:val="00E95AE2"/>
    <w:rsid w:val="00EA0473"/>
    <w:rsid w:val="00EA2B78"/>
    <w:rsid w:val="00EA335E"/>
    <w:rsid w:val="00EA4A03"/>
    <w:rsid w:val="00EA528C"/>
    <w:rsid w:val="00EA580C"/>
    <w:rsid w:val="00EA71D6"/>
    <w:rsid w:val="00EB375D"/>
    <w:rsid w:val="00EB6260"/>
    <w:rsid w:val="00EC14A5"/>
    <w:rsid w:val="00EC6F8D"/>
    <w:rsid w:val="00ED39B2"/>
    <w:rsid w:val="00ED70CE"/>
    <w:rsid w:val="00EE06D1"/>
    <w:rsid w:val="00EE3233"/>
    <w:rsid w:val="00EE3BEC"/>
    <w:rsid w:val="00EE47C7"/>
    <w:rsid w:val="00EE49F4"/>
    <w:rsid w:val="00EE5D7D"/>
    <w:rsid w:val="00EF34E2"/>
    <w:rsid w:val="00EF7498"/>
    <w:rsid w:val="00F07AE5"/>
    <w:rsid w:val="00F26478"/>
    <w:rsid w:val="00F30DC6"/>
    <w:rsid w:val="00F32C23"/>
    <w:rsid w:val="00F37D2E"/>
    <w:rsid w:val="00F45B84"/>
    <w:rsid w:val="00F47A20"/>
    <w:rsid w:val="00F53DE9"/>
    <w:rsid w:val="00F53ECA"/>
    <w:rsid w:val="00F544D0"/>
    <w:rsid w:val="00F56FA1"/>
    <w:rsid w:val="00F576CB"/>
    <w:rsid w:val="00F6146E"/>
    <w:rsid w:val="00F7035D"/>
    <w:rsid w:val="00F71A02"/>
    <w:rsid w:val="00F75F42"/>
    <w:rsid w:val="00F7777C"/>
    <w:rsid w:val="00F80C08"/>
    <w:rsid w:val="00F90AB3"/>
    <w:rsid w:val="00F91C57"/>
    <w:rsid w:val="00F92792"/>
    <w:rsid w:val="00FA0D63"/>
    <w:rsid w:val="00FC27CF"/>
    <w:rsid w:val="00FC4B10"/>
    <w:rsid w:val="00FC78FA"/>
    <w:rsid w:val="00FD0EE6"/>
    <w:rsid w:val="00FD1226"/>
    <w:rsid w:val="00FD1E79"/>
    <w:rsid w:val="00FF4830"/>
    <w:rsid w:val="00FF51C4"/>
    <w:rsid w:val="00FF739D"/>
    <w:rsid w:val="00FF7F2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B76B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7A1D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paragraph" w:customStyle="1" w:styleId="1GAPara">
    <w:name w:val="1. GA Para"/>
    <w:qFormat/>
    <w:rsid w:val="00D676E5"/>
    <w:pPr>
      <w:spacing w:after="120"/>
      <w:ind w:left="567" w:hanging="567"/>
    </w:pPr>
    <w:rPr>
      <w:rFonts w:ascii="Arial" w:eastAsia="Times New Roman" w:hAnsi="Arial" w:cs="Arial"/>
      <w:snapToGrid w:val="0"/>
      <w:sz w:val="22"/>
      <w:szCs w:val="22"/>
      <w:lang w:val="en-GB" w:eastAsia="en-US"/>
    </w:rPr>
  </w:style>
  <w:style w:type="character" w:customStyle="1" w:styleId="Heading3Char">
    <w:name w:val="Heading 3 Char"/>
    <w:basedOn w:val="DefaultParagraphFont"/>
    <w:link w:val="Heading3"/>
    <w:uiPriority w:val="9"/>
    <w:semiHidden/>
    <w:rsid w:val="007A1D9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76B72"/>
    <w:rPr>
      <w:rFonts w:asciiTheme="majorHAnsi" w:eastAsiaTheme="majorEastAsia" w:hAnsiTheme="majorHAnsi" w:cstheme="majorBidi"/>
      <w:color w:val="365F91" w:themeColor="accent1" w:themeShade="BF"/>
      <w:sz w:val="32"/>
      <w:szCs w:val="32"/>
    </w:rPr>
  </w:style>
  <w:style w:type="paragraph" w:customStyle="1" w:styleId="pf1">
    <w:name w:val="pf1"/>
    <w:basedOn w:val="Normal"/>
    <w:rsid w:val="00542384"/>
    <w:pPr>
      <w:spacing w:before="100" w:beforeAutospacing="1" w:after="100" w:afterAutospacing="1"/>
      <w:ind w:left="360"/>
    </w:pPr>
    <w:rPr>
      <w:lang w:val="en-US" w:eastAsia="en-US"/>
    </w:rPr>
  </w:style>
  <w:style w:type="paragraph" w:customStyle="1" w:styleId="pf0">
    <w:name w:val="pf0"/>
    <w:basedOn w:val="Normal"/>
    <w:rsid w:val="00542384"/>
    <w:pPr>
      <w:spacing w:before="100" w:beforeAutospacing="1" w:after="100" w:afterAutospacing="1"/>
    </w:pPr>
    <w:rPr>
      <w:lang w:val="en-US" w:eastAsia="en-US"/>
    </w:rPr>
  </w:style>
  <w:style w:type="character" w:customStyle="1" w:styleId="cf01">
    <w:name w:val="cf01"/>
    <w:basedOn w:val="DefaultParagraphFont"/>
    <w:rsid w:val="005423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events/training-of-trainers-on-living-heritage-and-disaster-risk-reduction-01032" TargetMode="External"/><Relationship Id="rId13" Type="http://schemas.openxmlformats.org/officeDocument/2006/relationships/hyperlink" Target="https://ich.unesco.org/en/ethics-and-ich-00866" TargetMode="External"/><Relationship Id="rId18" Type="http://schemas.openxmlformats.org/officeDocument/2006/relationships/hyperlink" Target="https://ich.unesco.org/en/decisions/14.COM/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events/training-programme-for-the-global-facilitators-network-living-heritage-and-conflict-situations-01066" TargetMode="External"/><Relationship Id="rId7" Type="http://schemas.openxmlformats.org/officeDocument/2006/relationships/endnotes" Target="endnotes.xml"/><Relationship Id="rId12" Type="http://schemas.openxmlformats.org/officeDocument/2006/relationships/hyperlink" Target="https://ich.unesco.org/en/directives" TargetMode="External"/><Relationship Id="rId17" Type="http://schemas.openxmlformats.org/officeDocument/2006/relationships/hyperlink" Target="https://ich.unesco.org/en/operational-principles-and-modalities-in-emergencies-011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emergency-situations" TargetMode="External"/><Relationship Id="rId20" Type="http://schemas.openxmlformats.org/officeDocument/2006/relationships/hyperlink" Target="https://ich.unesco.org/en/capacity-building-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8.GA/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2003_Convention_Basic_Texts_2024_version_EN.pdf" TargetMode="External"/><Relationship Id="rId23" Type="http://schemas.openxmlformats.org/officeDocument/2006/relationships/header" Target="header2.xml"/><Relationship Id="rId10" Type="http://schemas.openxmlformats.org/officeDocument/2006/relationships/hyperlink" Target="https://ich.unesco.org/en/decisions/14.COM/13" TargetMode="External"/><Relationship Id="rId19" Type="http://schemas.openxmlformats.org/officeDocument/2006/relationships/hyperlink" Target="https://ich.unesco.org/en/decisions/8.GA/9" TargetMode="External"/><Relationship Id="rId4" Type="http://schemas.openxmlformats.org/officeDocument/2006/relationships/settings" Target="settings.xml"/><Relationship Id="rId9" Type="http://schemas.openxmlformats.org/officeDocument/2006/relationships/hyperlink" Target="https://ich.unesco.org/en/operational-principles-and-modalities-in-emergencies-01143" TargetMode="External"/><Relationship Id="rId14" Type="http://schemas.openxmlformats.org/officeDocument/2006/relationships/hyperlink" Target="https://ich.unesco.org/en/capacity-building-materials"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6520</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2026-05-21T15:56:00Z</dcterms:created>
  <dcterms:modified xsi:type="dcterms:W3CDTF">2026-05-21T15:56:00Z</dcterms:modified>
</cp:coreProperties>
</file>