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A972FE">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3C73EFB5" w:rsidR="00BC3420" w:rsidRPr="00A61C6E" w:rsidRDefault="00886994" w:rsidP="00A972FE">
      <w:pPr>
        <w:spacing w:before="1200"/>
        <w:jc w:val="center"/>
        <w:rPr>
          <w:rFonts w:ascii="Arial" w:hAnsi="Arial" w:cs="Arial"/>
          <w:b/>
          <w:sz w:val="22"/>
          <w:szCs w:val="22"/>
        </w:rPr>
      </w:pPr>
      <w:r w:rsidRPr="00886994">
        <w:rPr>
          <w:rFonts w:ascii="Arial" w:hAnsi="Arial" w:cs="Arial"/>
          <w:b/>
          <w:sz w:val="22"/>
          <w:szCs w:val="22"/>
        </w:rPr>
        <w:t>ASSEMBLÉE GÉNÉRALE DES ÉTATS PARTIES À LA CONVENTION</w:t>
      </w:r>
    </w:p>
    <w:p w14:paraId="32D15B6C" w14:textId="50CF73AD" w:rsidR="00BC3420" w:rsidRPr="00B43974" w:rsidRDefault="009E23EE" w:rsidP="00A972FE">
      <w:pPr>
        <w:spacing w:before="840"/>
        <w:jc w:val="center"/>
        <w:rPr>
          <w:rFonts w:ascii="Arial" w:hAnsi="Arial" w:cs="Arial"/>
          <w:b/>
          <w:sz w:val="22"/>
          <w:szCs w:val="22"/>
        </w:rPr>
      </w:pPr>
      <w:r>
        <w:rPr>
          <w:rFonts w:ascii="Arial" w:hAnsi="Arial" w:cs="Arial"/>
          <w:b/>
          <w:sz w:val="22"/>
          <w:szCs w:val="22"/>
        </w:rPr>
        <w:t xml:space="preserve">Onzième </w:t>
      </w:r>
      <w:r w:rsidR="00BC3420" w:rsidRPr="00B43974">
        <w:rPr>
          <w:rFonts w:ascii="Arial" w:hAnsi="Arial" w:cs="Arial"/>
          <w:b/>
          <w:sz w:val="22"/>
          <w:szCs w:val="22"/>
        </w:rPr>
        <w:t>session</w:t>
      </w:r>
    </w:p>
    <w:p w14:paraId="7309CEF6" w14:textId="5F6FA9C8" w:rsidR="00F4581D" w:rsidRPr="00F4581D" w:rsidRDefault="00886994" w:rsidP="00A972FE">
      <w:pPr>
        <w:tabs>
          <w:tab w:val="center" w:pos="4819"/>
          <w:tab w:val="left" w:pos="7073"/>
        </w:tabs>
        <w:jc w:val="center"/>
        <w:rPr>
          <w:rFonts w:ascii="Arial" w:hAnsi="Arial"/>
          <w:b/>
          <w:sz w:val="22"/>
        </w:rPr>
      </w:pPr>
      <w:r w:rsidRPr="00886994">
        <w:rPr>
          <w:rFonts w:ascii="Arial" w:hAnsi="Arial"/>
          <w:b/>
          <w:sz w:val="22"/>
        </w:rPr>
        <w:t>Siège de l’UNESCO, Salle I</w:t>
      </w:r>
    </w:p>
    <w:p w14:paraId="552550E8" w14:textId="36789A92" w:rsidR="00EF74E3" w:rsidRPr="00F4581D" w:rsidRDefault="00AA5314" w:rsidP="00A972FE">
      <w:pPr>
        <w:jc w:val="center"/>
        <w:rPr>
          <w:rFonts w:ascii="Arial" w:hAnsi="Arial"/>
          <w:b/>
          <w:sz w:val="22"/>
        </w:rPr>
      </w:pPr>
      <w:r>
        <w:rPr>
          <w:rFonts w:ascii="Arial" w:hAnsi="Arial"/>
          <w:b/>
          <w:sz w:val="22"/>
        </w:rPr>
        <w:t>17</w:t>
      </w:r>
      <w:r w:rsidR="00F4581D" w:rsidRPr="00F4581D">
        <w:rPr>
          <w:rFonts w:ascii="Arial" w:hAnsi="Arial"/>
          <w:b/>
          <w:sz w:val="22"/>
        </w:rPr>
        <w:t> </w:t>
      </w:r>
      <w:r w:rsidR="007A000F">
        <w:rPr>
          <w:rFonts w:ascii="Arial" w:hAnsi="Arial"/>
          <w:b/>
          <w:sz w:val="22"/>
        </w:rPr>
        <w:t>–</w:t>
      </w:r>
      <w:r w:rsidR="00F4581D" w:rsidRPr="00F4581D">
        <w:rPr>
          <w:rFonts w:ascii="Arial" w:hAnsi="Arial"/>
          <w:b/>
          <w:sz w:val="22"/>
        </w:rPr>
        <w:t xml:space="preserve"> </w:t>
      </w:r>
      <w:r w:rsidR="007C38A9">
        <w:rPr>
          <w:rFonts w:ascii="Arial" w:hAnsi="Arial"/>
          <w:b/>
          <w:sz w:val="22"/>
        </w:rPr>
        <w:t>1</w:t>
      </w:r>
      <w:r>
        <w:rPr>
          <w:rFonts w:ascii="Arial" w:hAnsi="Arial"/>
          <w:b/>
          <w:sz w:val="22"/>
        </w:rPr>
        <w:t>8</w:t>
      </w:r>
      <w:r w:rsidR="007C38A9">
        <w:rPr>
          <w:rFonts w:ascii="Arial" w:hAnsi="Arial"/>
          <w:b/>
          <w:sz w:val="22"/>
        </w:rPr>
        <w:t xml:space="preserve"> juin</w:t>
      </w:r>
      <w:r w:rsidR="00F4581D" w:rsidRPr="00F4581D">
        <w:rPr>
          <w:rFonts w:ascii="Arial" w:hAnsi="Arial"/>
          <w:b/>
          <w:sz w:val="22"/>
        </w:rPr>
        <w:t> 202</w:t>
      </w:r>
      <w:r>
        <w:rPr>
          <w:rFonts w:ascii="Arial" w:hAnsi="Arial"/>
          <w:b/>
          <w:sz w:val="22"/>
        </w:rPr>
        <w:t>6</w:t>
      </w:r>
    </w:p>
    <w:p w14:paraId="630B69F1" w14:textId="3B998E61" w:rsidR="008F09EC" w:rsidRDefault="008F09EC" w:rsidP="00A972FE">
      <w:pPr>
        <w:pStyle w:val="NoSpacing"/>
        <w:tabs>
          <w:tab w:val="left" w:pos="4410"/>
          <w:tab w:val="center" w:pos="4819"/>
        </w:tabs>
        <w:spacing w:after="1200"/>
        <w:jc w:val="center"/>
        <w:rPr>
          <w:rFonts w:ascii="Arial" w:hAnsi="Arial" w:cs="Arial"/>
          <w:b/>
          <w:sz w:val="22"/>
          <w:szCs w:val="22"/>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D074E3">
        <w:trPr>
          <w:jc w:val="center"/>
        </w:trPr>
        <w:tc>
          <w:tcPr>
            <w:tcW w:w="5670" w:type="dxa"/>
            <w:vAlign w:val="center"/>
          </w:tcPr>
          <w:p w14:paraId="17E62457" w14:textId="010C93D8" w:rsidR="008F09EC" w:rsidRPr="00B43974" w:rsidRDefault="00D074E3" w:rsidP="00A972FE">
            <w:pPr>
              <w:pStyle w:val="Sansinterligne2"/>
              <w:spacing w:before="200" w:after="200"/>
              <w:ind w:right="284"/>
              <w:jc w:val="center"/>
              <w:rPr>
                <w:rFonts w:ascii="Arial" w:hAnsi="Arial" w:cs="Arial"/>
                <w:b/>
                <w:sz w:val="22"/>
                <w:szCs w:val="22"/>
              </w:rPr>
            </w:pPr>
            <w:r w:rsidRPr="0073388D">
              <w:rPr>
                <w:rFonts w:ascii="Arial" w:hAnsi="Arial" w:cs="Arial"/>
                <w:b/>
                <w:sz w:val="36"/>
                <w:szCs w:val="36"/>
              </w:rPr>
              <w:t>Résolutions</w:t>
            </w:r>
          </w:p>
        </w:tc>
      </w:tr>
    </w:tbl>
    <w:p w14:paraId="5072A522" w14:textId="77777777" w:rsidR="009B5302" w:rsidRDefault="00BC3420" w:rsidP="00A972FE">
      <w:pPr>
        <w:pStyle w:val="COMTitleDecision"/>
        <w:spacing w:before="360" w:after="240"/>
        <w:ind w:left="0"/>
      </w:pPr>
      <w:r w:rsidRPr="00022428">
        <w:br w:type="page"/>
      </w:r>
    </w:p>
    <w:p w14:paraId="740A2119" w14:textId="388FC178" w:rsidR="008E4D0D" w:rsidRPr="008E4D0D" w:rsidRDefault="008E4D0D" w:rsidP="00A972FE">
      <w:pPr>
        <w:keepNext/>
        <w:spacing w:before="240" w:after="120"/>
        <w:jc w:val="both"/>
        <w:rPr>
          <w:rFonts w:ascii="Arial" w:eastAsia="SimSun" w:hAnsi="Arial" w:cs="Arial"/>
          <w:b/>
          <w:sz w:val="22"/>
          <w:szCs w:val="22"/>
        </w:rPr>
      </w:pPr>
      <w:r w:rsidRPr="008E4D0D">
        <w:rPr>
          <w:rFonts w:ascii="Arial" w:hAnsi="Arial" w:cs="Arial"/>
          <w:b/>
          <w:sz w:val="22"/>
          <w:szCs w:val="22"/>
        </w:rPr>
        <w:lastRenderedPageBreak/>
        <w:t>RÉSOLUTION</w:t>
      </w:r>
      <w:r w:rsidR="0058384F">
        <w:rPr>
          <w:rFonts w:ascii="Arial" w:hAnsi="Arial" w:cs="Arial"/>
          <w:b/>
          <w:sz w:val="22"/>
          <w:szCs w:val="22"/>
        </w:rPr>
        <w:t xml:space="preserve"> </w:t>
      </w:r>
      <w:r w:rsidRPr="008E4D0D">
        <w:rPr>
          <w:rFonts w:ascii="Arial" w:hAnsi="Arial" w:cs="Arial"/>
          <w:b/>
          <w:sz w:val="22"/>
          <w:szCs w:val="22"/>
        </w:rPr>
        <w:t>1</w:t>
      </w:r>
      <w:r w:rsidR="009E23EE">
        <w:rPr>
          <w:rFonts w:ascii="Arial" w:hAnsi="Arial" w:cs="Arial"/>
          <w:b/>
          <w:sz w:val="22"/>
          <w:szCs w:val="22"/>
        </w:rPr>
        <w:t>1</w:t>
      </w:r>
      <w:r w:rsidRPr="008E4D0D">
        <w:rPr>
          <w:rFonts w:ascii="Arial" w:hAnsi="Arial" w:cs="Arial"/>
          <w:b/>
          <w:sz w:val="22"/>
          <w:szCs w:val="22"/>
        </w:rPr>
        <w:t>.GA</w:t>
      </w:r>
      <w:r w:rsidR="00F10BF6">
        <w:rPr>
          <w:rFonts w:ascii="Arial" w:hAnsi="Arial" w:cs="Arial"/>
          <w:b/>
          <w:sz w:val="22"/>
          <w:szCs w:val="22"/>
        </w:rPr>
        <w:t xml:space="preserve"> </w:t>
      </w:r>
      <w:r w:rsidRPr="008E4D0D">
        <w:rPr>
          <w:rFonts w:ascii="Arial" w:hAnsi="Arial" w:cs="Arial"/>
          <w:b/>
          <w:sz w:val="22"/>
          <w:szCs w:val="22"/>
        </w:rPr>
        <w:t>2</w:t>
      </w:r>
    </w:p>
    <w:p w14:paraId="15845759" w14:textId="77777777" w:rsidR="009E23EE" w:rsidRPr="00B43974" w:rsidRDefault="009E23EE" w:rsidP="009E23EE">
      <w:pPr>
        <w:pStyle w:val="COMPreambulaDecision"/>
        <w:ind w:left="0"/>
      </w:pPr>
      <w:r w:rsidRPr="00886994">
        <w:t>L’Assemblée générale,</w:t>
      </w:r>
    </w:p>
    <w:p w14:paraId="1117AABB" w14:textId="5D6A0647" w:rsidR="009E23EE" w:rsidRDefault="009E23EE" w:rsidP="009E23EE">
      <w:pPr>
        <w:pStyle w:val="COMParaDecision"/>
        <w:ind w:left="567" w:hanging="567"/>
      </w:pPr>
      <w:r>
        <w:t>Ayant examiné</w:t>
      </w:r>
      <w:r w:rsidRPr="009A07A1">
        <w:rPr>
          <w:u w:val="none"/>
        </w:rPr>
        <w:t xml:space="preserve"> le document </w:t>
      </w:r>
      <w:hyperlink r:id="rId8" w:history="1">
        <w:r w:rsidRPr="009E23EE">
          <w:rPr>
            <w:rStyle w:val="Hyperlink"/>
          </w:rPr>
          <w:t>LHE/26/11.GA/2</w:t>
        </w:r>
      </w:hyperlink>
      <w:r w:rsidRPr="009A07A1">
        <w:rPr>
          <w:u w:val="none"/>
        </w:rPr>
        <w:t>,</w:t>
      </w:r>
    </w:p>
    <w:p w14:paraId="53FD80A7" w14:textId="77777777" w:rsidR="009E23EE" w:rsidRPr="009A07A1" w:rsidRDefault="009E23EE" w:rsidP="009E23EE">
      <w:pPr>
        <w:pStyle w:val="COMParaDecision"/>
        <w:ind w:left="567" w:hanging="567"/>
        <w:rPr>
          <w:u w:val="none"/>
        </w:rPr>
      </w:pPr>
      <w:r>
        <w:t>Rappelant</w:t>
      </w:r>
      <w:r w:rsidRPr="009A07A1">
        <w:rPr>
          <w:u w:val="none"/>
        </w:rPr>
        <w:t xml:space="preserve"> l’article 11 de son Règlement intérieur,</w:t>
      </w:r>
    </w:p>
    <w:p w14:paraId="3F3D73C4" w14:textId="4C77A5BC" w:rsidR="009E23EE" w:rsidRPr="00993F33" w:rsidRDefault="009E23EE" w:rsidP="009E23EE">
      <w:pPr>
        <w:pStyle w:val="COMParaDecision"/>
        <w:ind w:left="567" w:hanging="567"/>
      </w:pPr>
      <w:r w:rsidRPr="00993F33">
        <w:t>Élit</w:t>
      </w:r>
      <w:r w:rsidRPr="00993F33">
        <w:rPr>
          <w:u w:val="none"/>
        </w:rPr>
        <w:t xml:space="preserve"> </w:t>
      </w:r>
      <w:r w:rsidR="008A1EF1" w:rsidRPr="00993F33">
        <w:rPr>
          <w:u w:val="none"/>
        </w:rPr>
        <w:t>S.Exc. M</w:t>
      </w:r>
      <w:r w:rsidR="005D10EB" w:rsidRPr="00993F33">
        <w:rPr>
          <w:u w:val="none"/>
        </w:rPr>
        <w:t>.</w:t>
      </w:r>
      <w:r w:rsidR="00E65673" w:rsidRPr="00993F33">
        <w:rPr>
          <w:u w:val="none"/>
        </w:rPr>
        <w:t xml:space="preserve"> </w:t>
      </w:r>
      <w:r w:rsidR="008A1EF1" w:rsidRPr="00993F33">
        <w:rPr>
          <w:u w:val="none"/>
        </w:rPr>
        <w:t xml:space="preserve">Tomas Guardia Williamson (Panama) </w:t>
      </w:r>
      <w:r w:rsidRPr="00993F33">
        <w:rPr>
          <w:u w:val="none"/>
        </w:rPr>
        <w:t>Président</w:t>
      </w:r>
      <w:r w:rsidR="008A1EF1" w:rsidRPr="00993F33">
        <w:rPr>
          <w:u w:val="none"/>
        </w:rPr>
        <w:t xml:space="preserve"> </w:t>
      </w:r>
      <w:r w:rsidRPr="00993F33">
        <w:rPr>
          <w:u w:val="none"/>
        </w:rPr>
        <w:t>de l’Assemblée générale ;</w:t>
      </w:r>
    </w:p>
    <w:p w14:paraId="338EEBAA" w14:textId="251DF2F1" w:rsidR="009E23EE" w:rsidRPr="00993F33" w:rsidRDefault="009E23EE" w:rsidP="009E23EE">
      <w:pPr>
        <w:pStyle w:val="COMParaDecision"/>
        <w:ind w:left="567" w:hanging="567"/>
      </w:pPr>
      <w:r w:rsidRPr="00993F33">
        <w:t>Élit</w:t>
      </w:r>
      <w:r w:rsidRPr="00993F33">
        <w:rPr>
          <w:u w:val="none"/>
        </w:rPr>
        <w:t xml:space="preserve"> </w:t>
      </w:r>
      <w:r w:rsidR="008A1EF1" w:rsidRPr="00993F33">
        <w:rPr>
          <w:u w:val="none"/>
        </w:rPr>
        <w:t>M</w:t>
      </w:r>
      <w:r w:rsidR="005D10EB" w:rsidRPr="00993F33">
        <w:rPr>
          <w:u w:val="none"/>
        </w:rPr>
        <w:t>me</w:t>
      </w:r>
      <w:r w:rsidR="008A1EF1" w:rsidRPr="00993F33">
        <w:rPr>
          <w:u w:val="none"/>
        </w:rPr>
        <w:t xml:space="preserve"> Joan Tan (Singapour) </w:t>
      </w:r>
      <w:r w:rsidRPr="00993F33">
        <w:rPr>
          <w:u w:val="none"/>
        </w:rPr>
        <w:t>Rapporteur de l’Assemblée générale ;</w:t>
      </w:r>
    </w:p>
    <w:p w14:paraId="0CF39AD9" w14:textId="062708FB" w:rsidR="009E23EE" w:rsidRDefault="009E23EE" w:rsidP="009E23EE">
      <w:pPr>
        <w:pStyle w:val="COMParaDecision"/>
        <w:ind w:left="567" w:hanging="567"/>
      </w:pPr>
      <w:r w:rsidRPr="00993F33">
        <w:t>Élit</w:t>
      </w:r>
      <w:r w:rsidRPr="00993F33">
        <w:rPr>
          <w:u w:val="none"/>
        </w:rPr>
        <w:t xml:space="preserve"> </w:t>
      </w:r>
      <w:r w:rsidR="008A1EF1" w:rsidRPr="00993F33">
        <w:rPr>
          <w:u w:val="none"/>
        </w:rPr>
        <w:t xml:space="preserve">le </w:t>
      </w:r>
      <w:r w:rsidR="005D4262" w:rsidRPr="00993F33">
        <w:rPr>
          <w:u w:val="none"/>
        </w:rPr>
        <w:t xml:space="preserve">Royaume des </w:t>
      </w:r>
      <w:r w:rsidR="008A1EF1" w:rsidRPr="00993F33">
        <w:rPr>
          <w:u w:val="none"/>
        </w:rPr>
        <w:t>Pays-Bas, l’Estonie, le Pakistan, le Nigéria et le Koweit</w:t>
      </w:r>
      <w:r w:rsidR="005D10EB" w:rsidRPr="00993F33">
        <w:rPr>
          <w:u w:val="none"/>
        </w:rPr>
        <w:t xml:space="preserve"> </w:t>
      </w:r>
      <w:r w:rsidRPr="00993F33">
        <w:rPr>
          <w:u w:val="none"/>
        </w:rPr>
        <w:t>Vice-</w:t>
      </w:r>
      <w:r w:rsidRPr="009A07A1">
        <w:rPr>
          <w:u w:val="none"/>
        </w:rPr>
        <w:t>Président de l’Assemblée générale.</w:t>
      </w:r>
    </w:p>
    <w:p w14:paraId="7AC1E455" w14:textId="6CF21685" w:rsidR="008E4D0D" w:rsidRPr="00B43974" w:rsidRDefault="008E4D0D" w:rsidP="00A972FE">
      <w:pPr>
        <w:pStyle w:val="GATitleResolution"/>
        <w:ind w:left="0"/>
      </w:pPr>
      <w:r>
        <w:t>RÉSOLUTION 1</w:t>
      </w:r>
      <w:r w:rsidR="009E23EE">
        <w:t>1</w:t>
      </w:r>
      <w:r w:rsidRPr="0020150F">
        <w:t>.</w:t>
      </w:r>
      <w:r>
        <w:t>GA</w:t>
      </w:r>
      <w:r w:rsidR="00F10BF6">
        <w:t xml:space="preserve"> </w:t>
      </w:r>
      <w:r>
        <w:t>3</w:t>
      </w:r>
    </w:p>
    <w:p w14:paraId="7B617880" w14:textId="77777777" w:rsidR="008E4D0D" w:rsidRPr="00B43974" w:rsidRDefault="008E4D0D" w:rsidP="00A972FE">
      <w:pPr>
        <w:pStyle w:val="COMPreambulaDecision"/>
        <w:ind w:left="0"/>
      </w:pPr>
      <w:r w:rsidRPr="00886994">
        <w:t>L’Assemblée générale,</w:t>
      </w:r>
    </w:p>
    <w:p w14:paraId="76E4D7CF" w14:textId="30A0AE29" w:rsidR="009E23EE" w:rsidRPr="009E23EE" w:rsidRDefault="008E4D0D" w:rsidP="00CF526C">
      <w:pPr>
        <w:pStyle w:val="COMParaDecision"/>
        <w:numPr>
          <w:ilvl w:val="0"/>
          <w:numId w:val="32"/>
        </w:numPr>
        <w:ind w:left="567" w:hanging="567"/>
        <w:jc w:val="left"/>
      </w:pPr>
      <w:r w:rsidRPr="00B43974">
        <w:t>Ayant examiné</w:t>
      </w:r>
      <w:r w:rsidRPr="009E23EE">
        <w:rPr>
          <w:u w:val="none"/>
        </w:rPr>
        <w:t xml:space="preserve"> le document </w:t>
      </w:r>
      <w:hyperlink r:id="rId9" w:history="1">
        <w:r w:rsidR="009E23EE" w:rsidRPr="009E23EE">
          <w:rPr>
            <w:rStyle w:val="Hyperlink"/>
          </w:rPr>
          <w:t>LHE/26/11.GA/3</w:t>
        </w:r>
      </w:hyperlink>
      <w:r w:rsidR="009E23EE">
        <w:rPr>
          <w:u w:val="none"/>
        </w:rPr>
        <w:t>,</w:t>
      </w:r>
    </w:p>
    <w:p w14:paraId="54103672" w14:textId="77777777" w:rsidR="009E23EE" w:rsidRPr="009E23EE" w:rsidRDefault="008E4D0D" w:rsidP="009E23EE">
      <w:pPr>
        <w:pStyle w:val="COMParaDecision"/>
        <w:numPr>
          <w:ilvl w:val="0"/>
          <w:numId w:val="32"/>
        </w:numPr>
        <w:ind w:left="567" w:hanging="567"/>
        <w:rPr>
          <w:u w:val="none"/>
        </w:rPr>
      </w:pPr>
      <w:r w:rsidRPr="009E23EE">
        <w:t>Adopte</w:t>
      </w:r>
      <w:r w:rsidRPr="009E23EE">
        <w:rPr>
          <w:u w:val="none"/>
        </w:rPr>
        <w:t xml:space="preserve"> l’ordre du jour </w:t>
      </w:r>
      <w:r w:rsidR="009E23EE" w:rsidRPr="009E23EE">
        <w:rPr>
          <w:u w:val="none"/>
        </w:rPr>
        <w:t>de sa onzième session (Paris, siège de l’UNESCO, 17 – 18 juin 2026) comme suit :</w:t>
      </w:r>
    </w:p>
    <w:p w14:paraId="3D3F0044" w14:textId="77777777" w:rsidR="008E4D0D" w:rsidRPr="00D237DD" w:rsidRDefault="008E4D0D" w:rsidP="0078459C">
      <w:pPr>
        <w:pStyle w:val="COMParaDecision"/>
        <w:numPr>
          <w:ilvl w:val="0"/>
          <w:numId w:val="0"/>
        </w:numPr>
        <w:spacing w:after="240"/>
        <w:ind w:left="567"/>
        <w:jc w:val="left"/>
        <w:rPr>
          <w:b/>
          <w:bCs/>
          <w:u w:val="none"/>
        </w:rPr>
      </w:pPr>
      <w:r>
        <w:rPr>
          <w:b/>
          <w:bCs/>
          <w:u w:val="none"/>
        </w:rPr>
        <w:t>Ordre du jour</w:t>
      </w:r>
    </w:p>
    <w:p w14:paraId="34F9FCE8" w14:textId="77777777" w:rsidR="008E4D0D" w:rsidRDefault="008E4D0D" w:rsidP="001C14F4">
      <w:pPr>
        <w:pStyle w:val="COMParaDecision"/>
        <w:numPr>
          <w:ilvl w:val="0"/>
          <w:numId w:val="20"/>
        </w:numPr>
        <w:ind w:left="1134" w:hanging="567"/>
        <w:rPr>
          <w:u w:val="none"/>
        </w:rPr>
      </w:pPr>
      <w:r w:rsidRPr="00D237DD">
        <w:rPr>
          <w:u w:val="none"/>
        </w:rPr>
        <w:t>Ouverture</w:t>
      </w:r>
    </w:p>
    <w:p w14:paraId="75681FB4" w14:textId="77777777" w:rsidR="008E4D0D" w:rsidRDefault="008E4D0D" w:rsidP="001C14F4">
      <w:pPr>
        <w:pStyle w:val="COMParaDecision"/>
        <w:numPr>
          <w:ilvl w:val="0"/>
          <w:numId w:val="20"/>
        </w:numPr>
        <w:ind w:left="1134" w:hanging="567"/>
        <w:rPr>
          <w:u w:val="none"/>
        </w:rPr>
      </w:pPr>
      <w:r>
        <w:rPr>
          <w:u w:val="none"/>
        </w:rPr>
        <w:t xml:space="preserve">Élection du Bureau </w:t>
      </w:r>
    </w:p>
    <w:p w14:paraId="36952AE9" w14:textId="77777777" w:rsidR="008E4D0D" w:rsidRDefault="008E4D0D" w:rsidP="001C14F4">
      <w:pPr>
        <w:pStyle w:val="COMParaDecision"/>
        <w:numPr>
          <w:ilvl w:val="0"/>
          <w:numId w:val="20"/>
        </w:numPr>
        <w:ind w:left="1134" w:hanging="567"/>
        <w:rPr>
          <w:u w:val="none"/>
        </w:rPr>
      </w:pPr>
      <w:r>
        <w:rPr>
          <w:u w:val="none"/>
        </w:rPr>
        <w:t>Adoption de l’ordre du jour</w:t>
      </w:r>
    </w:p>
    <w:p w14:paraId="139C037D" w14:textId="77777777" w:rsidR="008E4D0D" w:rsidRPr="00D237DD" w:rsidRDefault="008E4D0D" w:rsidP="001C14F4">
      <w:pPr>
        <w:pStyle w:val="COMParaDecision"/>
        <w:numPr>
          <w:ilvl w:val="0"/>
          <w:numId w:val="20"/>
        </w:numPr>
        <w:ind w:left="1134" w:hanging="567"/>
        <w:rPr>
          <w:u w:val="none"/>
        </w:rPr>
      </w:pPr>
      <w:r w:rsidRPr="00D237DD">
        <w:rPr>
          <w:u w:val="none"/>
        </w:rPr>
        <w:t>Distribution des sièges au Comité par groupe électoral</w:t>
      </w:r>
    </w:p>
    <w:p w14:paraId="633E99E4" w14:textId="7DCC4593" w:rsidR="008E4D0D" w:rsidRDefault="008E4D0D" w:rsidP="001C14F4">
      <w:pPr>
        <w:pStyle w:val="COMParaDecision"/>
        <w:numPr>
          <w:ilvl w:val="0"/>
          <w:numId w:val="20"/>
        </w:numPr>
        <w:ind w:left="1134" w:hanging="567"/>
        <w:rPr>
          <w:u w:val="none"/>
        </w:rPr>
      </w:pPr>
      <w:r w:rsidRPr="00D237DD">
        <w:rPr>
          <w:u w:val="none"/>
        </w:rPr>
        <w:t xml:space="preserve">Rapport du Comité à l’Assemblée générale (de janvier </w:t>
      </w:r>
      <w:r w:rsidR="009E23EE">
        <w:rPr>
          <w:u w:val="none"/>
        </w:rPr>
        <w:t>2024</w:t>
      </w:r>
      <w:r w:rsidRPr="00D237DD">
        <w:rPr>
          <w:u w:val="none"/>
        </w:rPr>
        <w:t xml:space="preserve"> à décembre </w:t>
      </w:r>
      <w:r w:rsidR="009E23EE">
        <w:rPr>
          <w:u w:val="none"/>
        </w:rPr>
        <w:t>2025</w:t>
      </w:r>
      <w:r w:rsidRPr="00D237DD">
        <w:rPr>
          <w:u w:val="none"/>
        </w:rPr>
        <w:t>)</w:t>
      </w:r>
    </w:p>
    <w:p w14:paraId="73A2A49B" w14:textId="2856CC4C" w:rsidR="008E4D0D" w:rsidRDefault="008E4D0D" w:rsidP="001C14F4">
      <w:pPr>
        <w:pStyle w:val="COMParaDecision"/>
        <w:numPr>
          <w:ilvl w:val="0"/>
          <w:numId w:val="20"/>
        </w:numPr>
        <w:ind w:left="1134" w:hanging="567"/>
        <w:rPr>
          <w:u w:val="none"/>
        </w:rPr>
      </w:pPr>
      <w:r w:rsidRPr="00D237DD">
        <w:rPr>
          <w:u w:val="none"/>
        </w:rPr>
        <w:t xml:space="preserve">Rapport du Secrétariat sur ses activités (de janvier </w:t>
      </w:r>
      <w:r w:rsidR="009E23EE">
        <w:rPr>
          <w:u w:val="none"/>
        </w:rPr>
        <w:t>2024</w:t>
      </w:r>
      <w:r w:rsidRPr="00D237DD">
        <w:rPr>
          <w:u w:val="none"/>
        </w:rPr>
        <w:t xml:space="preserve"> à décembre </w:t>
      </w:r>
      <w:r w:rsidR="009E23EE">
        <w:rPr>
          <w:u w:val="none"/>
        </w:rPr>
        <w:t>2025</w:t>
      </w:r>
      <w:r w:rsidRPr="00D237DD">
        <w:rPr>
          <w:u w:val="none"/>
        </w:rPr>
        <w:t>)</w:t>
      </w:r>
    </w:p>
    <w:p w14:paraId="4191B3E9" w14:textId="77777777" w:rsidR="008E4D0D" w:rsidRPr="00402861" w:rsidRDefault="008E4D0D" w:rsidP="001C14F4">
      <w:pPr>
        <w:pStyle w:val="COMParaDecision"/>
        <w:numPr>
          <w:ilvl w:val="0"/>
          <w:numId w:val="20"/>
        </w:numPr>
        <w:ind w:left="1134" w:hanging="567"/>
        <w:rPr>
          <w:u w:val="none"/>
        </w:rPr>
      </w:pPr>
      <w:r w:rsidRPr="00402861">
        <w:rPr>
          <w:u w:val="none"/>
        </w:rPr>
        <w:t xml:space="preserve">Révisions proposées aux Directives opérationnelles pour la mise en œuvre de la Convention </w:t>
      </w:r>
    </w:p>
    <w:p w14:paraId="0DAFD72D" w14:textId="77777777" w:rsidR="008E4D0D" w:rsidRPr="00402861" w:rsidRDefault="008E4D0D" w:rsidP="001C14F4">
      <w:pPr>
        <w:pStyle w:val="ListParagraph"/>
        <w:numPr>
          <w:ilvl w:val="0"/>
          <w:numId w:val="20"/>
        </w:numPr>
        <w:spacing w:after="120"/>
        <w:ind w:left="1134" w:hanging="567"/>
        <w:contextualSpacing w:val="0"/>
        <w:jc w:val="both"/>
        <w:rPr>
          <w:rFonts w:ascii="Arial" w:hAnsi="Arial" w:cs="Arial"/>
          <w:sz w:val="22"/>
          <w:szCs w:val="22"/>
        </w:rPr>
      </w:pPr>
      <w:r w:rsidRPr="00402861">
        <w:rPr>
          <w:rFonts w:ascii="Arial" w:hAnsi="Arial" w:cs="Arial"/>
          <w:sz w:val="22"/>
          <w:szCs w:val="22"/>
        </w:rPr>
        <w:t>Utilisation des ressources du Fonds du patrimoine culturel immatériel</w:t>
      </w:r>
    </w:p>
    <w:p w14:paraId="2DDE918C" w14:textId="77777777" w:rsidR="008E4D0D" w:rsidRPr="00402861" w:rsidRDefault="008E4D0D" w:rsidP="001C14F4">
      <w:pPr>
        <w:pStyle w:val="COMParaDecision"/>
        <w:numPr>
          <w:ilvl w:val="0"/>
          <w:numId w:val="20"/>
        </w:numPr>
        <w:ind w:left="1134" w:hanging="567"/>
      </w:pPr>
      <w:r w:rsidRPr="00402861">
        <w:rPr>
          <w:u w:val="none"/>
        </w:rPr>
        <w:t>Accréditation des organisations non gouvernementales à des fins d’assistance consultative auprès du Comité</w:t>
      </w:r>
    </w:p>
    <w:p w14:paraId="7B49F4A6" w14:textId="77777777" w:rsidR="008E4D0D" w:rsidRPr="00402861" w:rsidRDefault="008E4D0D" w:rsidP="001C14F4">
      <w:pPr>
        <w:pStyle w:val="COMParaDecision"/>
        <w:numPr>
          <w:ilvl w:val="0"/>
          <w:numId w:val="20"/>
        </w:numPr>
        <w:ind w:left="1134" w:hanging="567"/>
      </w:pPr>
      <w:r w:rsidRPr="00402861">
        <w:rPr>
          <w:u w:val="none"/>
        </w:rPr>
        <w:t>Élection des membres du Comité intergouvernemental de sauvegarde du patrimoine culturel immatériel</w:t>
      </w:r>
    </w:p>
    <w:p w14:paraId="5F3B907E" w14:textId="77777777" w:rsidR="008E4D0D" w:rsidRPr="00B1273A" w:rsidRDefault="008E4D0D" w:rsidP="001C14F4">
      <w:pPr>
        <w:pStyle w:val="ListParagraph"/>
        <w:numPr>
          <w:ilvl w:val="0"/>
          <w:numId w:val="20"/>
        </w:numPr>
        <w:spacing w:after="120"/>
        <w:ind w:left="1134" w:hanging="567"/>
        <w:contextualSpacing w:val="0"/>
        <w:jc w:val="both"/>
        <w:rPr>
          <w:rFonts w:ascii="Arial" w:hAnsi="Arial" w:cs="Arial"/>
          <w:sz w:val="22"/>
          <w:szCs w:val="22"/>
        </w:rPr>
      </w:pPr>
      <w:r w:rsidRPr="00B1273A">
        <w:rPr>
          <w:rFonts w:ascii="Arial" w:hAnsi="Arial" w:cs="Arial"/>
          <w:sz w:val="22"/>
          <w:szCs w:val="22"/>
        </w:rPr>
        <w:t>Questions diverses</w:t>
      </w:r>
    </w:p>
    <w:p w14:paraId="0B232C49" w14:textId="77777777" w:rsidR="008E4D0D" w:rsidRDefault="008E4D0D" w:rsidP="001C14F4">
      <w:pPr>
        <w:pStyle w:val="ListParagraph"/>
        <w:numPr>
          <w:ilvl w:val="0"/>
          <w:numId w:val="20"/>
        </w:numPr>
        <w:spacing w:after="120"/>
        <w:ind w:left="1134" w:hanging="567"/>
        <w:contextualSpacing w:val="0"/>
        <w:rPr>
          <w:rFonts w:ascii="Arial" w:hAnsi="Arial" w:cs="Arial"/>
          <w:sz w:val="22"/>
          <w:szCs w:val="22"/>
        </w:rPr>
      </w:pPr>
      <w:r w:rsidRPr="00B1273A">
        <w:rPr>
          <w:rFonts w:ascii="Arial" w:hAnsi="Arial" w:cs="Arial"/>
          <w:sz w:val="22"/>
          <w:szCs w:val="22"/>
        </w:rPr>
        <w:t>Clôture</w:t>
      </w:r>
    </w:p>
    <w:p w14:paraId="55D54CBF" w14:textId="7E764BBE" w:rsidR="008E4D0D" w:rsidRPr="00D5195B" w:rsidRDefault="008E4D0D" w:rsidP="00A972FE">
      <w:pPr>
        <w:pStyle w:val="COMTitleDecision"/>
        <w:ind w:left="0"/>
        <w:rPr>
          <w:rFonts w:eastAsia="SimSun"/>
        </w:rPr>
      </w:pPr>
      <w:r>
        <w:t>RÉSOLUTION</w:t>
      </w:r>
      <w:r w:rsidR="0058384F">
        <w:t xml:space="preserve"> </w:t>
      </w:r>
      <w:r w:rsidR="009E23EE">
        <w:t>11</w:t>
      </w:r>
      <w:r>
        <w:t>.GA</w:t>
      </w:r>
      <w:r w:rsidR="00F10BF6">
        <w:t xml:space="preserve"> </w:t>
      </w:r>
      <w:r>
        <w:t>4</w:t>
      </w:r>
    </w:p>
    <w:p w14:paraId="18217C6D" w14:textId="77777777" w:rsidR="009E23EE" w:rsidRPr="00D5195B" w:rsidRDefault="009E23EE" w:rsidP="009E23EE">
      <w:pPr>
        <w:pStyle w:val="COMPreambulaDecisions"/>
        <w:ind w:left="0"/>
        <w:rPr>
          <w:rFonts w:eastAsia="SimSun"/>
        </w:rPr>
      </w:pPr>
      <w:r>
        <w:t>L’Assemblée générale,</w:t>
      </w:r>
    </w:p>
    <w:p w14:paraId="57AF2F99" w14:textId="15DCE458" w:rsidR="009E23EE" w:rsidRPr="00D5195B" w:rsidRDefault="009E23EE" w:rsidP="009E23EE">
      <w:pPr>
        <w:pStyle w:val="COMParaDecision"/>
        <w:numPr>
          <w:ilvl w:val="0"/>
          <w:numId w:val="33"/>
        </w:numPr>
        <w:ind w:left="567" w:hanging="567"/>
      </w:pPr>
      <w:r>
        <w:t>Ayant examiné</w:t>
      </w:r>
      <w:r w:rsidRPr="009E23EE">
        <w:rPr>
          <w:u w:val="none"/>
        </w:rPr>
        <w:t xml:space="preserve"> le document </w:t>
      </w:r>
      <w:hyperlink r:id="rId10" w:history="1">
        <w:r w:rsidRPr="009E23EE">
          <w:rPr>
            <w:rStyle w:val="Hyperlink"/>
          </w:rPr>
          <w:t>LHE/26/11.GA/4</w:t>
        </w:r>
      </w:hyperlink>
      <w:r w:rsidRPr="009E23EE">
        <w:rPr>
          <w:u w:val="none"/>
        </w:rPr>
        <w:t>,</w:t>
      </w:r>
    </w:p>
    <w:p w14:paraId="76C1DDCA" w14:textId="77777777" w:rsidR="009E23EE" w:rsidRPr="00D5195B" w:rsidRDefault="009E23EE" w:rsidP="009E23EE">
      <w:pPr>
        <w:pStyle w:val="COMParaDecision"/>
        <w:numPr>
          <w:ilvl w:val="0"/>
          <w:numId w:val="33"/>
        </w:numPr>
        <w:ind w:left="567" w:hanging="567"/>
      </w:pPr>
      <w:r>
        <w:t>Rappelant</w:t>
      </w:r>
      <w:r w:rsidRPr="009E23EE">
        <w:rPr>
          <w:u w:val="none"/>
        </w:rPr>
        <w:t xml:space="preserve"> l’article 6 de la Convention,</w:t>
      </w:r>
    </w:p>
    <w:p w14:paraId="06668D17" w14:textId="5839765A" w:rsidR="009E23EE" w:rsidRPr="00D5195B" w:rsidRDefault="009E23EE" w:rsidP="009E23EE">
      <w:pPr>
        <w:pStyle w:val="COMParaDecision"/>
        <w:numPr>
          <w:ilvl w:val="0"/>
          <w:numId w:val="33"/>
        </w:numPr>
        <w:ind w:left="567" w:hanging="567"/>
        <w:jc w:val="left"/>
      </w:pPr>
      <w:r>
        <w:t>Rappelant en outre</w:t>
      </w:r>
      <w:r w:rsidRPr="009E23EE">
        <w:rPr>
          <w:u w:val="none"/>
        </w:rPr>
        <w:t xml:space="preserve"> l’article 35 du Règlement intérieur, ainsi que la résolution</w:t>
      </w:r>
      <w:r w:rsidR="00D11B17">
        <w:rPr>
          <w:u w:val="none"/>
        </w:rPr>
        <w:t xml:space="preserve"> </w:t>
      </w:r>
      <w:hyperlink r:id="rId11" w:history="1">
        <w:r>
          <w:rPr>
            <w:rStyle w:val="Hyperlink"/>
          </w:rPr>
          <w:t>3.GA</w:t>
        </w:r>
        <w:r w:rsidR="00D11B17">
          <w:rPr>
            <w:rStyle w:val="Hyperlink"/>
          </w:rPr>
          <w:t xml:space="preserve"> </w:t>
        </w:r>
        <w:r>
          <w:rPr>
            <w:rStyle w:val="Hyperlink"/>
          </w:rPr>
          <w:t>12</w:t>
        </w:r>
      </w:hyperlink>
      <w:r w:rsidRPr="009E23EE">
        <w:rPr>
          <w:u w:val="none"/>
        </w:rPr>
        <w:t>,</w:t>
      </w:r>
    </w:p>
    <w:p w14:paraId="273F64D4" w14:textId="77777777" w:rsidR="009E23EE" w:rsidRPr="00D5195B" w:rsidRDefault="009E23EE" w:rsidP="009E23EE">
      <w:pPr>
        <w:pStyle w:val="COMParaDecision"/>
        <w:numPr>
          <w:ilvl w:val="0"/>
          <w:numId w:val="33"/>
        </w:numPr>
        <w:ind w:left="567" w:hanging="567"/>
      </w:pPr>
      <w:r>
        <w:t>Décide</w:t>
      </w:r>
      <w:r w:rsidRPr="009E23EE">
        <w:rPr>
          <w:u w:val="none"/>
        </w:rPr>
        <w:t xml:space="preserve"> qu’aux fins de l’élection lors de sa onzième session, les vingt-quatre sièges du Comité seront répartis entre les groupes électoraux comme suit : Groupe I – trois sièges ; Groupe II – trois sièges ; Groupe III – quatre sièges ; Groupe IV – cinq sièges ; Groupe V(a) – six sièges ; et Groupe V(b) – trois sièges.</w:t>
      </w:r>
    </w:p>
    <w:p w14:paraId="3A3F3508" w14:textId="04A8FA32" w:rsidR="00E86980" w:rsidRPr="00BB6EEC" w:rsidRDefault="00E86980" w:rsidP="00E86980">
      <w:pPr>
        <w:pStyle w:val="COMTitleDecision"/>
        <w:ind w:left="0"/>
        <w:rPr>
          <w:rFonts w:eastAsia="SimSun"/>
        </w:rPr>
      </w:pPr>
      <w:r>
        <w:lastRenderedPageBreak/>
        <w:t>RÉSOLUTION 1</w:t>
      </w:r>
      <w:r w:rsidR="009E23EE">
        <w:t>1</w:t>
      </w:r>
      <w:r>
        <w:t>.GA</w:t>
      </w:r>
      <w:r w:rsidR="00F10BF6">
        <w:t xml:space="preserve"> </w:t>
      </w:r>
      <w:r>
        <w:t>5</w:t>
      </w:r>
    </w:p>
    <w:p w14:paraId="25E25338" w14:textId="77777777" w:rsidR="00E86980" w:rsidRPr="00BB6EEC" w:rsidRDefault="00E86980" w:rsidP="00E86980">
      <w:pPr>
        <w:pStyle w:val="COMPreambulaDecisions"/>
        <w:ind w:left="0"/>
        <w:rPr>
          <w:rFonts w:eastAsia="SimSun"/>
        </w:rPr>
      </w:pPr>
      <w:r>
        <w:t>L’Assemblée générale,</w:t>
      </w:r>
    </w:p>
    <w:p w14:paraId="34E7341E" w14:textId="5E369234"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u w:val="single"/>
        </w:rPr>
      </w:pPr>
      <w:r w:rsidRPr="00EF2C08">
        <w:rPr>
          <w:rFonts w:ascii="Arial" w:hAnsi="Arial" w:cs="Arial"/>
          <w:sz w:val="22"/>
          <w:szCs w:val="22"/>
          <w:u w:val="single"/>
          <w:lang w:bidi="fr-FR"/>
        </w:rPr>
        <w:t>Ayant examiné</w:t>
      </w:r>
      <w:r w:rsidRPr="00EF2C08">
        <w:rPr>
          <w:rFonts w:ascii="Arial" w:hAnsi="Arial" w:cs="Arial"/>
          <w:sz w:val="22"/>
          <w:szCs w:val="22"/>
          <w:lang w:bidi="fr-FR"/>
        </w:rPr>
        <w:t xml:space="preserve"> le document </w:t>
      </w:r>
      <w:hyperlink r:id="rId12" w:history="1">
        <w:r w:rsidRPr="00EF2C08">
          <w:rPr>
            <w:rStyle w:val="Hyperlink"/>
            <w:rFonts w:ascii="Arial" w:hAnsi="Arial" w:cs="Arial"/>
            <w:sz w:val="22"/>
            <w:szCs w:val="22"/>
            <w:lang w:bidi="fr-FR"/>
          </w:rPr>
          <w:t>LHE/26/11.GA/5</w:t>
        </w:r>
      </w:hyperlink>
      <w:r w:rsidRPr="00EF2C08">
        <w:rPr>
          <w:rFonts w:ascii="Arial" w:hAnsi="Arial" w:cs="Arial"/>
          <w:sz w:val="22"/>
          <w:szCs w:val="22"/>
          <w:lang w:bidi="fr-FR"/>
        </w:rPr>
        <w:t xml:space="preserve"> et son annexe ;</w:t>
      </w:r>
    </w:p>
    <w:p w14:paraId="24C73A6B" w14:textId="77777777"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u w:val="single"/>
        </w:rPr>
      </w:pPr>
      <w:r w:rsidRPr="00EF2C08">
        <w:rPr>
          <w:rFonts w:ascii="Arial" w:hAnsi="Arial" w:cs="Arial"/>
          <w:sz w:val="22"/>
          <w:szCs w:val="22"/>
          <w:u w:val="single"/>
          <w:lang w:bidi="fr-FR"/>
        </w:rPr>
        <w:t>Rappelant</w:t>
      </w:r>
      <w:r w:rsidRPr="00EF2C08">
        <w:rPr>
          <w:rFonts w:ascii="Arial" w:hAnsi="Arial" w:cs="Arial"/>
          <w:sz w:val="22"/>
          <w:szCs w:val="22"/>
          <w:lang w:bidi="fr-FR"/>
        </w:rPr>
        <w:t xml:space="preserve"> l’article 30 de la Convention et la résolution </w:t>
      </w:r>
      <w:hyperlink r:id="rId13" w:history="1">
        <w:r w:rsidRPr="00EF2C08">
          <w:rPr>
            <w:rFonts w:ascii="Arial" w:hAnsi="Arial" w:cs="Arial"/>
            <w:color w:val="0000FF" w:themeColor="hyperlink"/>
            <w:sz w:val="22"/>
            <w:szCs w:val="22"/>
            <w:u w:val="single"/>
            <w:lang w:bidi="fr-FR"/>
          </w:rPr>
          <w:t>6.GA 5</w:t>
        </w:r>
      </w:hyperlink>
      <w:r w:rsidRPr="00EF2C08">
        <w:rPr>
          <w:rFonts w:ascii="Arial" w:hAnsi="Arial" w:cs="Arial"/>
          <w:sz w:val="22"/>
          <w:szCs w:val="22"/>
          <w:lang w:bidi="fr-FR"/>
        </w:rPr>
        <w:t>,</w:t>
      </w:r>
    </w:p>
    <w:p w14:paraId="0A18D458" w14:textId="77777777"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u w:val="single"/>
        </w:rPr>
      </w:pPr>
      <w:r w:rsidRPr="00EF2C08">
        <w:rPr>
          <w:rFonts w:ascii="Arial" w:hAnsi="Arial" w:cs="Arial"/>
          <w:sz w:val="22"/>
          <w:szCs w:val="22"/>
          <w:u w:val="single"/>
          <w:lang w:bidi="fr-FR"/>
        </w:rPr>
        <w:t>Accueille</w:t>
      </w:r>
      <w:r w:rsidRPr="00EF2C08">
        <w:rPr>
          <w:rFonts w:ascii="Arial" w:hAnsi="Arial" w:cs="Arial"/>
          <w:sz w:val="22"/>
          <w:szCs w:val="22"/>
          <w:lang w:bidi="fr-FR"/>
        </w:rPr>
        <w:t xml:space="preserve"> la Libye, la Sierra Leone, l‘Afrique du Sud et le Royaume-Uni de Grande-Bretagne et d’Irlande du Nord, qui ont ratifié la Convention au cours de la période considérée, portant ainsi à 185 le nombre total d’États parties, et </w:t>
      </w:r>
      <w:r w:rsidRPr="00EF2C08">
        <w:rPr>
          <w:rFonts w:ascii="Arial" w:hAnsi="Arial" w:cs="Arial"/>
          <w:sz w:val="22"/>
          <w:szCs w:val="22"/>
          <w:u w:val="single"/>
          <w:lang w:bidi="fr-FR"/>
        </w:rPr>
        <w:t>encourage</w:t>
      </w:r>
      <w:r w:rsidRPr="00EF2C08">
        <w:rPr>
          <w:rFonts w:ascii="Arial" w:hAnsi="Arial" w:cs="Arial"/>
          <w:sz w:val="22"/>
          <w:szCs w:val="22"/>
          <w:lang w:bidi="fr-FR"/>
        </w:rPr>
        <w:t xml:space="preserve"> les États qui ne l’ont pas encore fait à envisager de ratifier la Convention ;</w:t>
      </w:r>
    </w:p>
    <w:p w14:paraId="7596F3A8" w14:textId="77777777"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u w:val="single"/>
        </w:rPr>
      </w:pPr>
      <w:r w:rsidRPr="00EF2C08">
        <w:rPr>
          <w:rFonts w:ascii="Arial" w:hAnsi="Arial" w:cs="Arial"/>
          <w:sz w:val="22"/>
          <w:szCs w:val="22"/>
          <w:u w:val="single"/>
          <w:lang w:bidi="fr-FR"/>
        </w:rPr>
        <w:t>Prend note</w:t>
      </w:r>
      <w:r w:rsidRPr="00EF2C08">
        <w:rPr>
          <w:rFonts w:ascii="Arial" w:hAnsi="Arial" w:cs="Arial"/>
          <w:sz w:val="22"/>
          <w:szCs w:val="22"/>
          <w:lang w:bidi="fr-FR"/>
        </w:rPr>
        <w:t xml:space="preserve"> du rapport du Comité à l’Assemblée générale sur ses activités menées entre janvier 2024 et décembre 2025, tel qu’il figure en annexe au présent document, et </w:t>
      </w:r>
      <w:r w:rsidRPr="00EF2C08">
        <w:rPr>
          <w:rFonts w:ascii="Arial" w:hAnsi="Arial" w:cs="Arial"/>
          <w:sz w:val="22"/>
          <w:szCs w:val="22"/>
          <w:u w:val="single"/>
          <w:lang w:bidi="fr-FR"/>
        </w:rPr>
        <w:t>remercie</w:t>
      </w:r>
      <w:r w:rsidRPr="00EF2C08">
        <w:rPr>
          <w:rFonts w:ascii="Arial" w:hAnsi="Arial" w:cs="Arial"/>
          <w:sz w:val="22"/>
          <w:szCs w:val="22"/>
          <w:lang w:bidi="fr-FR"/>
        </w:rPr>
        <w:t xml:space="preserve"> le Comité pour l’efficacité de son travail ;</w:t>
      </w:r>
    </w:p>
    <w:p w14:paraId="3B0E5D02" w14:textId="77777777"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u w:val="single"/>
        </w:rPr>
      </w:pPr>
      <w:r w:rsidRPr="00EF2C08">
        <w:rPr>
          <w:rFonts w:ascii="Arial" w:hAnsi="Arial" w:cs="Arial"/>
          <w:sz w:val="22"/>
          <w:szCs w:val="22"/>
          <w:u w:val="single"/>
          <w:lang w:bidi="fr-FR"/>
        </w:rPr>
        <w:t>Félicite</w:t>
      </w:r>
      <w:r w:rsidRPr="00EF2C08">
        <w:rPr>
          <w:rFonts w:ascii="Arial" w:hAnsi="Arial" w:cs="Arial"/>
          <w:sz w:val="22"/>
          <w:szCs w:val="22"/>
          <w:lang w:bidi="fr-FR"/>
        </w:rPr>
        <w:t xml:space="preserve"> le Comité d’avoir fait progresser les initiatives thématiques de la Convention, notamment la note d’orientation sur l’action climatique pour le patrimoine vivant (2024) et la note d’orientation sur la sauvegarde du patrimoine culturel immatériel en milieu urbain (2025), en plus de la note d’orientation sur les dimensions économiques de la sauvegarde du patrimoine culturel immatériel (2023), et </w:t>
      </w:r>
      <w:r w:rsidRPr="00EF2C08">
        <w:rPr>
          <w:rFonts w:ascii="Arial" w:hAnsi="Arial" w:cs="Arial"/>
          <w:sz w:val="22"/>
          <w:szCs w:val="22"/>
          <w:u w:val="single"/>
          <w:lang w:bidi="fr-FR"/>
        </w:rPr>
        <w:t>demande</w:t>
      </w:r>
      <w:r w:rsidRPr="00EF2C08">
        <w:rPr>
          <w:rFonts w:ascii="Arial" w:hAnsi="Arial" w:cs="Arial"/>
          <w:sz w:val="22"/>
          <w:szCs w:val="22"/>
          <w:lang w:bidi="fr-FR"/>
        </w:rPr>
        <w:t xml:space="preserve"> leur intégration dans les programmes de la Convention, les interventions de renforcement des capacités et d’autres cadres internationaux ;</w:t>
      </w:r>
    </w:p>
    <w:p w14:paraId="3112DBA3" w14:textId="77777777"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u w:val="single"/>
        </w:rPr>
      </w:pPr>
      <w:r w:rsidRPr="00EF2C08">
        <w:rPr>
          <w:rFonts w:ascii="Arial" w:hAnsi="Arial" w:cs="Arial"/>
          <w:sz w:val="22"/>
          <w:szCs w:val="22"/>
          <w:u w:val="single"/>
          <w:lang w:bidi="fr-FR"/>
        </w:rPr>
        <w:t>Félicite en outre</w:t>
      </w:r>
      <w:r w:rsidRPr="00EF2C08">
        <w:rPr>
          <w:rFonts w:ascii="Arial" w:hAnsi="Arial" w:cs="Arial"/>
          <w:sz w:val="22"/>
          <w:szCs w:val="22"/>
          <w:lang w:bidi="fr-FR"/>
        </w:rPr>
        <w:t xml:space="preserve"> le Comité pour les progrès accomplis dans le cadre de la réflexion sur une application plus large de l’article 18, notamment en ce qui concerne la mise en place d’une plateforme en ligne de partage de bonnes expériences de sauvegarde, afin de refléter les aspirations, les expériences et les connaissances des communautés de toutes les régions ;</w:t>
      </w:r>
    </w:p>
    <w:p w14:paraId="3B80C1C0" w14:textId="77777777"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rPr>
      </w:pPr>
      <w:r w:rsidRPr="00EF2C08">
        <w:rPr>
          <w:rFonts w:ascii="Arial" w:hAnsi="Arial" w:cs="Arial"/>
          <w:sz w:val="22"/>
          <w:szCs w:val="22"/>
          <w:u w:val="single"/>
          <w:lang w:bidi="fr-FR"/>
        </w:rPr>
        <w:t>Prend acte</w:t>
      </w:r>
      <w:r w:rsidRPr="00EF2C08">
        <w:rPr>
          <w:rFonts w:ascii="Arial" w:hAnsi="Arial" w:cs="Arial"/>
          <w:sz w:val="22"/>
          <w:szCs w:val="22"/>
          <w:lang w:bidi="fr-FR"/>
        </w:rPr>
        <w:t xml:space="preserve"> des résultats positifs obtenus dans le cadre des deux priorités de financement pour la période 2022-2025, </w:t>
      </w:r>
      <w:r w:rsidRPr="00EF2C08">
        <w:rPr>
          <w:rFonts w:ascii="Arial" w:hAnsi="Arial" w:cs="Arial"/>
          <w:sz w:val="22"/>
          <w:szCs w:val="22"/>
          <w:u w:val="single"/>
          <w:lang w:bidi="fr-FR"/>
        </w:rPr>
        <w:t>se félicite</w:t>
      </w:r>
      <w:r w:rsidRPr="00EF2C08">
        <w:rPr>
          <w:rFonts w:ascii="Arial" w:hAnsi="Arial" w:cs="Arial"/>
          <w:sz w:val="22"/>
          <w:szCs w:val="22"/>
          <w:lang w:bidi="fr-FR"/>
        </w:rPr>
        <w:t xml:space="preserve"> de l’approbation par le Comité des deux nouvelles priorités de</w:t>
      </w:r>
      <w:r w:rsidRPr="00EF2C08">
        <w:rPr>
          <w:rFonts w:asciiTheme="minorBidi" w:hAnsiTheme="minorBidi" w:cstheme="minorBidi"/>
          <w:sz w:val="22"/>
          <w:szCs w:val="22"/>
          <w:lang w:bidi="fr-FR"/>
        </w:rPr>
        <w:t xml:space="preserve"> financement pour la période 2026-2029 : « Améliorer les approches de renforcement des capacités pour la sauvegarde du patrimoine culturel immatériel en mettant l’accent sur le bien-être humain et l’autonomisation des communautés » (Priorité de financement A) et « Affiner les approches de sauvegarde du patrimoine culturel immatériel » (Priorité de financement B), et </w:t>
      </w:r>
      <w:r w:rsidRPr="00EF2C08">
        <w:rPr>
          <w:rFonts w:asciiTheme="minorBidi" w:hAnsiTheme="minorBidi" w:cstheme="minorBidi"/>
          <w:sz w:val="22"/>
          <w:szCs w:val="22"/>
          <w:u w:val="single"/>
          <w:lang w:bidi="fr-FR"/>
        </w:rPr>
        <w:t>invite</w:t>
      </w:r>
      <w:r w:rsidRPr="00EF2C08">
        <w:rPr>
          <w:rFonts w:asciiTheme="minorBidi" w:hAnsiTheme="minorBidi" w:cstheme="minorBidi"/>
          <w:sz w:val="22"/>
          <w:szCs w:val="22"/>
          <w:lang w:bidi="fr-FR"/>
        </w:rPr>
        <w:t xml:space="preserve"> tous les États parties à fournir des contributions volontaires supplémentaires afin de soutenir les activités relevant de ces priorités ;</w:t>
      </w:r>
    </w:p>
    <w:p w14:paraId="5595ABCE" w14:textId="624174C2" w:rsidR="00EF2C08" w:rsidRPr="00EF2C08" w:rsidRDefault="00EF2C08" w:rsidP="00EF2C08">
      <w:pPr>
        <w:pStyle w:val="ListParagraph"/>
        <w:keepLines/>
        <w:numPr>
          <w:ilvl w:val="0"/>
          <w:numId w:val="42"/>
        </w:numPr>
        <w:autoSpaceDE w:val="0"/>
        <w:autoSpaceDN w:val="0"/>
        <w:adjustRightInd w:val="0"/>
        <w:spacing w:after="120"/>
        <w:ind w:left="567" w:hanging="567"/>
        <w:contextualSpacing w:val="0"/>
        <w:jc w:val="both"/>
        <w:rPr>
          <w:rFonts w:ascii="Arial" w:hAnsi="Arial" w:cs="Arial"/>
          <w:sz w:val="22"/>
          <w:szCs w:val="22"/>
        </w:rPr>
      </w:pPr>
      <w:r w:rsidRPr="00EF2C08">
        <w:rPr>
          <w:rFonts w:ascii="Arial" w:hAnsi="Arial" w:cs="Arial"/>
          <w:sz w:val="22"/>
          <w:szCs w:val="22"/>
          <w:u w:val="single"/>
          <w:lang w:bidi="fr-FR"/>
        </w:rPr>
        <w:t>Prend note avec satisfaction</w:t>
      </w:r>
      <w:r w:rsidRPr="00EF2C08">
        <w:rPr>
          <w:rFonts w:ascii="Arial" w:hAnsi="Arial" w:cs="Arial"/>
          <w:sz w:val="22"/>
          <w:szCs w:val="22"/>
          <w:lang w:bidi="fr-FR"/>
        </w:rPr>
        <w:t xml:space="preserve"> du taux de soumission particulièrement élevé enregistré lors du premier cycle régional de rapports </w:t>
      </w:r>
      <w:r w:rsidRPr="00D11B17">
        <w:rPr>
          <w:rFonts w:ascii="Arial" w:hAnsi="Arial" w:cs="Arial"/>
          <w:sz w:val="22"/>
          <w:szCs w:val="22"/>
          <w:lang w:bidi="fr-FR"/>
        </w:rPr>
        <w:t xml:space="preserve">périodiques et </w:t>
      </w:r>
      <w:r w:rsidR="008A1EF1" w:rsidRPr="00D11B17">
        <w:rPr>
          <w:rFonts w:ascii="Arial" w:hAnsi="Arial" w:cs="Arial"/>
          <w:sz w:val="22"/>
          <w:szCs w:val="22"/>
          <w:u w:val="single"/>
          <w:lang w:bidi="fr-FR"/>
        </w:rPr>
        <w:t>prend note</w:t>
      </w:r>
      <w:r w:rsidR="008A1EF1" w:rsidRPr="00D11B17">
        <w:rPr>
          <w:rFonts w:ascii="Arial" w:hAnsi="Arial" w:cs="Arial"/>
          <w:sz w:val="22"/>
          <w:szCs w:val="22"/>
          <w:lang w:bidi="fr-FR"/>
        </w:rPr>
        <w:t xml:space="preserve"> du </w:t>
      </w:r>
      <w:r w:rsidRPr="00D11B17">
        <w:rPr>
          <w:rFonts w:ascii="Arial" w:hAnsi="Arial" w:cs="Arial"/>
          <w:sz w:val="22"/>
          <w:szCs w:val="22"/>
          <w:lang w:bidi="fr-FR"/>
        </w:rPr>
        <w:t>soutien</w:t>
      </w:r>
      <w:r w:rsidRPr="00EF2C08">
        <w:rPr>
          <w:rFonts w:ascii="Arial" w:hAnsi="Arial" w:cs="Arial"/>
          <w:sz w:val="22"/>
          <w:szCs w:val="22"/>
          <w:lang w:bidi="fr-FR"/>
        </w:rPr>
        <w:t xml:space="preserve"> apporté par le Comité à la transition vers un système de soumission unique des rapports périodiques à l’échelle mondiale ;</w:t>
      </w:r>
    </w:p>
    <w:p w14:paraId="69ECDB7E" w14:textId="77777777" w:rsidR="00EF2C08" w:rsidRPr="00EF2C08" w:rsidRDefault="00EF2C08" w:rsidP="00EF2C08">
      <w:pPr>
        <w:pStyle w:val="ListParagraph"/>
        <w:numPr>
          <w:ilvl w:val="0"/>
          <w:numId w:val="42"/>
        </w:numPr>
        <w:autoSpaceDE w:val="0"/>
        <w:autoSpaceDN w:val="0"/>
        <w:adjustRightInd w:val="0"/>
        <w:spacing w:after="120"/>
        <w:ind w:left="567" w:hanging="567"/>
        <w:contextualSpacing w:val="0"/>
        <w:jc w:val="both"/>
        <w:rPr>
          <w:rFonts w:ascii="Arial" w:hAnsi="Arial" w:cs="Arial"/>
          <w:sz w:val="22"/>
          <w:szCs w:val="22"/>
          <w:u w:val="single"/>
        </w:rPr>
      </w:pPr>
      <w:r w:rsidRPr="00EF2C08">
        <w:rPr>
          <w:rFonts w:ascii="Arial" w:hAnsi="Arial" w:cs="Arial"/>
          <w:sz w:val="22"/>
          <w:szCs w:val="22"/>
          <w:u w:val="single"/>
          <w:lang w:bidi="fr-FR"/>
        </w:rPr>
        <w:t>Demande</w:t>
      </w:r>
      <w:r w:rsidRPr="00EF2C08">
        <w:rPr>
          <w:rFonts w:ascii="Arial" w:hAnsi="Arial" w:cs="Arial"/>
          <w:sz w:val="22"/>
          <w:szCs w:val="22"/>
          <w:lang w:bidi="fr-FR"/>
        </w:rPr>
        <w:t xml:space="preserve"> au Directeur général de porter le présent rapport à l’attention de la Conférence générale de l’UNESCO, conformément à l’article 30, paragraphe 2, de la Convention.</w:t>
      </w:r>
    </w:p>
    <w:p w14:paraId="44F19B2D" w14:textId="1A0ADDC0" w:rsidR="00FC161D" w:rsidRDefault="00FC161D" w:rsidP="00FC161D">
      <w:pPr>
        <w:keepNext/>
        <w:spacing w:before="240" w:after="120"/>
        <w:jc w:val="both"/>
        <w:rPr>
          <w:rFonts w:ascii="Arial" w:hAnsi="Arial" w:cs="Arial"/>
          <w:b/>
          <w:sz w:val="22"/>
          <w:szCs w:val="22"/>
        </w:rPr>
      </w:pPr>
      <w:r w:rsidRPr="00E86980">
        <w:rPr>
          <w:rFonts w:ascii="Arial" w:hAnsi="Arial" w:cs="Arial"/>
          <w:b/>
          <w:sz w:val="22"/>
          <w:szCs w:val="22"/>
        </w:rPr>
        <w:t>RÉSOLUTION</w:t>
      </w:r>
      <w:r w:rsidR="0058384F">
        <w:rPr>
          <w:rFonts w:ascii="Arial" w:hAnsi="Arial" w:cs="Arial"/>
          <w:b/>
          <w:sz w:val="22"/>
          <w:szCs w:val="22"/>
        </w:rPr>
        <w:t xml:space="preserve"> </w:t>
      </w:r>
      <w:r w:rsidR="00EF2C08">
        <w:rPr>
          <w:rFonts w:ascii="Arial" w:hAnsi="Arial" w:cs="Arial"/>
          <w:b/>
          <w:sz w:val="22"/>
          <w:szCs w:val="22"/>
        </w:rPr>
        <w:t>11</w:t>
      </w:r>
      <w:r w:rsidRPr="00E86980">
        <w:rPr>
          <w:rFonts w:ascii="Arial" w:hAnsi="Arial" w:cs="Arial"/>
          <w:b/>
          <w:sz w:val="22"/>
          <w:szCs w:val="22"/>
        </w:rPr>
        <w:t>.GA</w:t>
      </w:r>
      <w:r w:rsidR="00F10BF6">
        <w:rPr>
          <w:rFonts w:ascii="Arial" w:hAnsi="Arial" w:cs="Arial"/>
          <w:b/>
          <w:sz w:val="22"/>
          <w:szCs w:val="22"/>
        </w:rPr>
        <w:t xml:space="preserve"> </w:t>
      </w:r>
      <w:r w:rsidRPr="00E86980">
        <w:rPr>
          <w:rFonts w:ascii="Arial" w:hAnsi="Arial" w:cs="Arial"/>
          <w:b/>
          <w:sz w:val="22"/>
          <w:szCs w:val="22"/>
        </w:rPr>
        <w:t>6</w:t>
      </w:r>
    </w:p>
    <w:p w14:paraId="6A6C7E70" w14:textId="77777777" w:rsidR="005708B8" w:rsidRPr="005708B8" w:rsidRDefault="005708B8" w:rsidP="005708B8">
      <w:pPr>
        <w:keepNext/>
        <w:tabs>
          <w:tab w:val="left" w:pos="567"/>
        </w:tabs>
        <w:snapToGrid w:val="0"/>
        <w:spacing w:after="120"/>
        <w:jc w:val="both"/>
        <w:rPr>
          <w:rFonts w:ascii="Arial" w:eastAsia="SimSun" w:hAnsi="Arial" w:cs="Arial"/>
          <w:snapToGrid w:val="0"/>
          <w:sz w:val="22"/>
          <w:szCs w:val="22"/>
          <w:lang w:eastAsia="en-US"/>
        </w:rPr>
      </w:pPr>
      <w:r w:rsidRPr="005708B8">
        <w:rPr>
          <w:rFonts w:ascii="Arial" w:eastAsia="SimSun" w:hAnsi="Arial" w:cs="Arial"/>
          <w:snapToGrid w:val="0"/>
          <w:sz w:val="22"/>
          <w:szCs w:val="22"/>
        </w:rPr>
        <w:t>L’Assemblée générale,</w:t>
      </w:r>
    </w:p>
    <w:p w14:paraId="5F3B8CB7" w14:textId="5A8DD614"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Ayant examiné</w:t>
      </w:r>
      <w:r w:rsidRPr="005708B8">
        <w:rPr>
          <w:rFonts w:ascii="Arial" w:hAnsi="Arial" w:cs="Arial"/>
          <w:sz w:val="22"/>
          <w:szCs w:val="22"/>
          <w:lang w:bidi="fr-FR"/>
        </w:rPr>
        <w:t xml:space="preserve"> le document </w:t>
      </w:r>
      <w:hyperlink r:id="rId14" w:history="1">
        <w:r w:rsidRPr="007066E8">
          <w:rPr>
            <w:rStyle w:val="Hyperlink"/>
            <w:rFonts w:ascii="Arial" w:hAnsi="Arial" w:cs="Arial"/>
            <w:sz w:val="22"/>
            <w:szCs w:val="22"/>
            <w:lang w:bidi="fr-FR"/>
          </w:rPr>
          <w:t>LHE/26/11.GA/6</w:t>
        </w:r>
      </w:hyperlink>
      <w:r w:rsidRPr="005708B8">
        <w:rPr>
          <w:rFonts w:ascii="Arial" w:hAnsi="Arial" w:cs="Arial"/>
          <w:sz w:val="22"/>
          <w:szCs w:val="22"/>
          <w:lang w:bidi="fr-FR"/>
        </w:rPr>
        <w:t xml:space="preserve"> et ses annexes ;</w:t>
      </w:r>
    </w:p>
    <w:p w14:paraId="0A923641"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Rappelant</w:t>
      </w:r>
      <w:r w:rsidRPr="00F10BF6">
        <w:rPr>
          <w:rFonts w:ascii="Arial" w:hAnsi="Arial" w:cs="Arial"/>
          <w:sz w:val="22"/>
          <w:szCs w:val="22"/>
          <w:lang w:bidi="fr-FR"/>
        </w:rPr>
        <w:t xml:space="preserve"> la</w:t>
      </w:r>
      <w:r w:rsidRPr="005708B8">
        <w:rPr>
          <w:rFonts w:ascii="Arial" w:hAnsi="Arial" w:cs="Arial"/>
          <w:sz w:val="22"/>
          <w:szCs w:val="22"/>
          <w:lang w:bidi="fr-FR"/>
        </w:rPr>
        <w:t xml:space="preserve"> résolution </w:t>
      </w:r>
      <w:hyperlink r:id="rId15" w:history="1">
        <w:r w:rsidRPr="005708B8">
          <w:rPr>
            <w:rFonts w:ascii="Arial" w:hAnsi="Arial" w:cs="Arial"/>
            <w:color w:val="0000FF" w:themeColor="hyperlink"/>
            <w:sz w:val="22"/>
            <w:szCs w:val="22"/>
            <w:u w:val="single"/>
            <w:lang w:bidi="fr-FR"/>
          </w:rPr>
          <w:t>10.GA 6,</w:t>
        </w:r>
      </w:hyperlink>
      <w:r w:rsidRPr="005708B8">
        <w:rPr>
          <w:rFonts w:ascii="Arial" w:hAnsi="Arial" w:cs="Arial"/>
          <w:sz w:val="22"/>
          <w:szCs w:val="22"/>
          <w:lang w:bidi="fr-FR"/>
        </w:rPr>
        <w:t xml:space="preserve"> ainsi que les décisions </w:t>
      </w:r>
      <w:hyperlink r:id="rId16" w:history="1">
        <w:r w:rsidRPr="005708B8">
          <w:rPr>
            <w:rFonts w:ascii="Arial" w:hAnsi="Arial" w:cs="Arial"/>
            <w:color w:val="0000FF" w:themeColor="hyperlink"/>
            <w:sz w:val="22"/>
            <w:szCs w:val="22"/>
            <w:u w:val="single"/>
            <w:lang w:bidi="fr-FR"/>
          </w:rPr>
          <w:t>19.COM 15</w:t>
        </w:r>
      </w:hyperlink>
      <w:r w:rsidRPr="005708B8">
        <w:rPr>
          <w:rFonts w:ascii="Arial" w:hAnsi="Arial" w:cs="Arial"/>
          <w:sz w:val="22"/>
          <w:szCs w:val="22"/>
          <w:lang w:bidi="fr-FR"/>
        </w:rPr>
        <w:t xml:space="preserve"> et </w:t>
      </w:r>
      <w:hyperlink r:id="rId17" w:history="1">
        <w:r w:rsidRPr="005708B8">
          <w:rPr>
            <w:rFonts w:ascii="Arial" w:hAnsi="Arial" w:cs="Arial"/>
            <w:color w:val="0000FF" w:themeColor="hyperlink"/>
            <w:sz w:val="22"/>
            <w:szCs w:val="22"/>
            <w:u w:val="single"/>
            <w:lang w:bidi="fr-FR"/>
          </w:rPr>
          <w:t>20.COM 6.c</w:t>
        </w:r>
      </w:hyperlink>
      <w:r w:rsidRPr="005708B8">
        <w:rPr>
          <w:rFonts w:ascii="Arial" w:hAnsi="Arial" w:cs="Arial"/>
          <w:sz w:val="22"/>
          <w:szCs w:val="22"/>
          <w:lang w:bidi="fr-FR"/>
        </w:rPr>
        <w:t>,</w:t>
      </w:r>
    </w:p>
    <w:p w14:paraId="26381310"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Rappelant en outre</w:t>
      </w:r>
      <w:r w:rsidRPr="005708B8">
        <w:rPr>
          <w:rFonts w:ascii="Arial" w:hAnsi="Arial" w:cs="Arial"/>
          <w:sz w:val="22"/>
          <w:szCs w:val="22"/>
          <w:lang w:bidi="fr-FR"/>
        </w:rPr>
        <w:t xml:space="preserve"> la décision </w:t>
      </w:r>
      <w:hyperlink r:id="rId18" w:history="1">
        <w:r w:rsidRPr="005708B8">
          <w:rPr>
            <w:rFonts w:ascii="Arial" w:hAnsi="Arial" w:cs="Arial"/>
            <w:color w:val="0000FF" w:themeColor="hyperlink"/>
            <w:sz w:val="22"/>
            <w:szCs w:val="22"/>
            <w:u w:val="single"/>
            <w:lang w:bidi="fr-FR"/>
          </w:rPr>
          <w:t>224 EX/4.I</w:t>
        </w:r>
      </w:hyperlink>
      <w:r w:rsidRPr="005708B8">
        <w:rPr>
          <w:rFonts w:ascii="Arial" w:hAnsi="Arial" w:cs="Arial"/>
          <w:sz w:val="22"/>
          <w:szCs w:val="22"/>
          <w:lang w:bidi="fr-FR"/>
        </w:rPr>
        <w:t xml:space="preserve"> du Conseil exécutif de l’UNESCO, ainsi que l’évaluation réalisée en 2021 par le Service d’évaluation et d’audit (IOS) concernant l’action de l’UNESCO dans le cadre de la Convention de 2003 et l’évaluation réalisée en 2024 par l’IOS concernant les rapports périodiques de l’UNESCO sur les conventions et recommandations du Secteur de la culture,</w:t>
      </w:r>
    </w:p>
    <w:p w14:paraId="5040102C"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Félicite</w:t>
      </w:r>
      <w:r w:rsidRPr="005708B8">
        <w:rPr>
          <w:rFonts w:ascii="Arial" w:hAnsi="Arial" w:cs="Arial"/>
          <w:sz w:val="22"/>
          <w:szCs w:val="22"/>
          <w:lang w:bidi="fr-FR"/>
        </w:rPr>
        <w:t xml:space="preserve"> le Secrétariat pour le soutien continu qu’il apporte à la bonne gouvernance de la Convention, grâce à l’organisation efficace des réunions prévues par les textes et à la gestion </w:t>
      </w:r>
      <w:r w:rsidRPr="005708B8">
        <w:rPr>
          <w:rFonts w:ascii="Arial" w:hAnsi="Arial" w:cs="Arial"/>
          <w:sz w:val="22"/>
          <w:szCs w:val="22"/>
          <w:lang w:bidi="fr-FR"/>
        </w:rPr>
        <w:lastRenderedPageBreak/>
        <w:t>des mécanismes de coopération internationale, en particulier la systématisation et l’élargissement de la portée du mécanisme d’assistance internationale ;</w:t>
      </w:r>
    </w:p>
    <w:p w14:paraId="44B94D23"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Prend note</w:t>
      </w:r>
      <w:r w:rsidRPr="005708B8">
        <w:rPr>
          <w:rFonts w:ascii="Arial" w:hAnsi="Arial" w:cs="Arial"/>
          <w:sz w:val="22"/>
          <w:szCs w:val="22"/>
          <w:lang w:bidi="fr-FR"/>
        </w:rPr>
        <w:t xml:space="preserve"> des questions soulevées concernant le nombre et le traitement des dossiers de candidature soumis, compte tenu de l’intérêt et du soutien croissants dont bénéficient les mécanismes d’inscription sur les listes prévus par la Convention, et </w:t>
      </w:r>
      <w:r w:rsidRPr="005708B8">
        <w:rPr>
          <w:rFonts w:ascii="Arial" w:hAnsi="Arial" w:cs="Arial"/>
          <w:sz w:val="22"/>
          <w:szCs w:val="22"/>
          <w:u w:val="single"/>
          <w:lang w:bidi="fr-FR"/>
        </w:rPr>
        <w:t>demande</w:t>
      </w:r>
      <w:r w:rsidRPr="005708B8">
        <w:rPr>
          <w:rFonts w:ascii="Arial" w:hAnsi="Arial" w:cs="Arial"/>
          <w:sz w:val="22"/>
          <w:szCs w:val="22"/>
          <w:lang w:bidi="fr-FR"/>
        </w:rPr>
        <w:t xml:space="preserve"> au Secrétariat de lui présenter un rapport sur l’évolution de la situation, pour examen lors de la douzième session de l’Assemblée générale, en tenant compte des discussions qui auront lieu lors des vingt-et-unième (2026) et vingt-deuxième (2027) sessions du Comité ;</w:t>
      </w:r>
    </w:p>
    <w:p w14:paraId="13D119CD"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Prend note avec satisfaction</w:t>
      </w:r>
      <w:r w:rsidRPr="005708B8">
        <w:rPr>
          <w:rFonts w:ascii="Arial" w:hAnsi="Arial" w:cs="Arial"/>
          <w:sz w:val="22"/>
          <w:szCs w:val="22"/>
          <w:lang w:bidi="fr-FR"/>
        </w:rPr>
        <w:t xml:space="preserve"> de l’achèvement du premier cycle régional de rapports périodiques et de l’amélioration substantielle des taux de soumission des rapports périodiques dans toutes les régions, et </w:t>
      </w:r>
      <w:r w:rsidRPr="005708B8">
        <w:rPr>
          <w:rFonts w:ascii="Arial" w:hAnsi="Arial" w:cs="Arial"/>
          <w:sz w:val="22"/>
          <w:szCs w:val="22"/>
          <w:u w:val="single"/>
          <w:lang w:bidi="fr-FR"/>
        </w:rPr>
        <w:t>encourage</w:t>
      </w:r>
      <w:r w:rsidRPr="005708B8">
        <w:rPr>
          <w:rFonts w:ascii="Arial" w:hAnsi="Arial" w:cs="Arial"/>
          <w:sz w:val="22"/>
          <w:szCs w:val="22"/>
          <w:lang w:bidi="fr-FR"/>
        </w:rPr>
        <w:t xml:space="preserve"> le Secrétariat à adapter les bonnes pratiques issues de ce cycle en vue de la transition vers le système mondial unique de soumission des rapports ;</w:t>
      </w:r>
    </w:p>
    <w:p w14:paraId="57D77808"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Apprécie</w:t>
      </w:r>
      <w:r w:rsidRPr="005708B8">
        <w:rPr>
          <w:rFonts w:ascii="Arial" w:hAnsi="Arial" w:cs="Arial"/>
          <w:sz w:val="22"/>
          <w:szCs w:val="22"/>
          <w:lang w:bidi="fr-FR"/>
        </w:rPr>
        <w:t xml:space="preserve"> la réorientation du programme mondial de renforcement des capacités vers une approche multimodale et intersectorielle, ainsi que les progrès réalisés dans le cadre des initiatives thématiques de la Convention ;</w:t>
      </w:r>
    </w:p>
    <w:p w14:paraId="0024AB58"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Prend également note</w:t>
      </w:r>
      <w:r w:rsidRPr="005708B8">
        <w:rPr>
          <w:rFonts w:ascii="Arial" w:hAnsi="Arial" w:cs="Arial"/>
          <w:sz w:val="22"/>
          <w:szCs w:val="22"/>
          <w:lang w:bidi="fr-FR"/>
        </w:rPr>
        <w:t xml:space="preserve"> des réalisations accomplies dans le cadre des priorités de financement pour la période 2022</w:t>
      </w:r>
      <w:r w:rsidRPr="005708B8">
        <w:rPr>
          <w:rFonts w:ascii="Arial" w:hAnsi="Arial" w:cs="Arial"/>
          <w:sz w:val="22"/>
          <w:szCs w:val="22"/>
        </w:rPr>
        <w:t>–</w:t>
      </w:r>
      <w:r w:rsidRPr="005708B8">
        <w:rPr>
          <w:rFonts w:ascii="Arial" w:hAnsi="Arial" w:cs="Arial"/>
          <w:sz w:val="22"/>
          <w:szCs w:val="22"/>
          <w:lang w:bidi="fr-FR"/>
        </w:rPr>
        <w:t>2025 ainsi que des nouvelles priorités de financement de la Convention pour la période 2026</w:t>
      </w:r>
      <w:r w:rsidRPr="005708B8">
        <w:rPr>
          <w:rFonts w:ascii="Arial" w:hAnsi="Arial" w:cs="Arial"/>
          <w:sz w:val="22"/>
          <w:szCs w:val="22"/>
        </w:rPr>
        <w:t>–</w:t>
      </w:r>
      <w:r w:rsidRPr="005708B8">
        <w:rPr>
          <w:rFonts w:ascii="Arial" w:hAnsi="Arial" w:cs="Arial"/>
          <w:sz w:val="22"/>
          <w:szCs w:val="22"/>
          <w:lang w:bidi="fr-FR"/>
        </w:rPr>
        <w:t xml:space="preserve">2029, et </w:t>
      </w:r>
      <w:r w:rsidRPr="005708B8">
        <w:rPr>
          <w:rFonts w:ascii="Arial" w:hAnsi="Arial" w:cs="Arial"/>
          <w:sz w:val="22"/>
          <w:szCs w:val="22"/>
          <w:u w:val="single"/>
          <w:lang w:bidi="fr-FR"/>
        </w:rPr>
        <w:t>invite</w:t>
      </w:r>
      <w:r w:rsidRPr="005708B8">
        <w:rPr>
          <w:rFonts w:ascii="Arial" w:hAnsi="Arial" w:cs="Arial"/>
          <w:sz w:val="22"/>
          <w:szCs w:val="22"/>
          <w:lang w:bidi="fr-FR"/>
        </w:rPr>
        <w:t xml:space="preserve"> le Secrétariat à continuer d’aligner le programme mondial de renforcement des capacités et les initiatives thématiques de la Convention sur les principaux domaines d’action, tout en approfondissant sa coopération avec les autres programmes de l’UNESCO et le système des Nations Unies au sens large;</w:t>
      </w:r>
    </w:p>
    <w:p w14:paraId="19CDF9AE" w14:textId="6E53EC8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Apprécie également</w:t>
      </w:r>
      <w:r w:rsidRPr="005708B8">
        <w:rPr>
          <w:rFonts w:ascii="Arial" w:hAnsi="Arial" w:cs="Arial"/>
          <w:sz w:val="22"/>
          <w:szCs w:val="22"/>
          <w:lang w:bidi="fr-FR"/>
        </w:rPr>
        <w:t xml:space="preserve"> la pleine mise en œuvre des recommandations formulées par l’évaluation IOS de 2021 sur l’action de l’UNESCO dans le cadre de la Convention de 2003, </w:t>
      </w:r>
      <w:r w:rsidRPr="005708B8">
        <w:rPr>
          <w:rFonts w:ascii="Arial" w:hAnsi="Arial" w:cs="Arial"/>
          <w:sz w:val="22"/>
          <w:szCs w:val="22"/>
          <w:u w:val="single"/>
          <w:lang w:bidi="fr-FR"/>
        </w:rPr>
        <w:t>remercie</w:t>
      </w:r>
      <w:r w:rsidRPr="005708B8">
        <w:rPr>
          <w:rFonts w:ascii="Arial" w:hAnsi="Arial" w:cs="Arial"/>
          <w:sz w:val="22"/>
          <w:szCs w:val="22"/>
          <w:lang w:bidi="fr-FR"/>
        </w:rPr>
        <w:t xml:space="preserve"> le Secrétariat pour le rapport présenté à cet égard, et </w:t>
      </w:r>
      <w:r w:rsidRPr="005708B8">
        <w:rPr>
          <w:rFonts w:ascii="Arial" w:hAnsi="Arial" w:cs="Arial"/>
          <w:sz w:val="22"/>
          <w:szCs w:val="22"/>
          <w:u w:val="single"/>
          <w:lang w:bidi="fr-FR"/>
        </w:rPr>
        <w:t>considère</w:t>
      </w:r>
      <w:r w:rsidRPr="005708B8">
        <w:rPr>
          <w:rFonts w:ascii="Arial" w:hAnsi="Arial" w:cs="Arial"/>
          <w:sz w:val="22"/>
          <w:szCs w:val="22"/>
          <w:lang w:bidi="fr-FR"/>
        </w:rPr>
        <w:t xml:space="preserve"> que les futurs rapports sur la mise en œuvre des recommandations devront être fournis selon les besoins;</w:t>
      </w:r>
    </w:p>
    <w:p w14:paraId="0DF05039" w14:textId="77777777" w:rsidR="005708B8" w:rsidRPr="005708B8" w:rsidRDefault="005708B8" w:rsidP="005708B8">
      <w:pPr>
        <w:pStyle w:val="ListParagraph"/>
        <w:numPr>
          <w:ilvl w:val="0"/>
          <w:numId w:val="43"/>
        </w:numPr>
        <w:autoSpaceDE w:val="0"/>
        <w:autoSpaceDN w:val="0"/>
        <w:adjustRightInd w:val="0"/>
        <w:spacing w:after="120"/>
        <w:ind w:left="567" w:hanging="567"/>
        <w:contextualSpacing w:val="0"/>
        <w:jc w:val="both"/>
        <w:rPr>
          <w:rFonts w:ascii="Arial" w:hAnsi="Arial" w:cs="Arial"/>
          <w:sz w:val="22"/>
          <w:szCs w:val="22"/>
          <w:u w:val="single"/>
        </w:rPr>
      </w:pPr>
      <w:r w:rsidRPr="005708B8">
        <w:rPr>
          <w:rFonts w:ascii="Arial" w:hAnsi="Arial" w:cs="Arial"/>
          <w:sz w:val="22"/>
          <w:szCs w:val="22"/>
          <w:u w:val="single"/>
          <w:lang w:bidi="fr-FR"/>
        </w:rPr>
        <w:t>Demande en outre</w:t>
      </w:r>
      <w:r w:rsidRPr="005708B8">
        <w:rPr>
          <w:rFonts w:ascii="Arial" w:hAnsi="Arial" w:cs="Arial"/>
          <w:sz w:val="22"/>
          <w:szCs w:val="22"/>
          <w:lang w:bidi="fr-FR"/>
        </w:rPr>
        <w:t xml:space="preserve"> que le Secrétariat rende compte de ses activités pour la période comprise entre janvier 2026 et décembre 2027, pour examen par l’Assemblée générale à sa douzième session.</w:t>
      </w:r>
    </w:p>
    <w:p w14:paraId="3E9B4B6E" w14:textId="1276B747" w:rsidR="00FC161D" w:rsidRPr="00B91626" w:rsidRDefault="00FC161D" w:rsidP="00FC161D">
      <w:pPr>
        <w:keepNext/>
        <w:spacing w:before="240" w:after="120"/>
        <w:jc w:val="both"/>
        <w:rPr>
          <w:rFonts w:ascii="Arial" w:eastAsia="SimSun" w:hAnsi="Arial" w:cs="Arial"/>
          <w:b/>
          <w:sz w:val="22"/>
          <w:szCs w:val="22"/>
        </w:rPr>
      </w:pPr>
      <w:r w:rsidRPr="00B91626">
        <w:rPr>
          <w:rFonts w:ascii="Arial" w:hAnsi="Arial" w:cs="Arial"/>
          <w:b/>
          <w:sz w:val="22"/>
          <w:szCs w:val="22"/>
        </w:rPr>
        <w:t>RÉSOLUTION 1</w:t>
      </w:r>
      <w:r w:rsidR="00EF2C08">
        <w:rPr>
          <w:rFonts w:ascii="Arial" w:hAnsi="Arial" w:cs="Arial"/>
          <w:b/>
          <w:sz w:val="22"/>
          <w:szCs w:val="22"/>
        </w:rPr>
        <w:t>1</w:t>
      </w:r>
      <w:r w:rsidRPr="00B91626">
        <w:rPr>
          <w:rFonts w:ascii="Arial" w:hAnsi="Arial" w:cs="Arial"/>
          <w:b/>
          <w:sz w:val="22"/>
          <w:szCs w:val="22"/>
        </w:rPr>
        <w:t>.GA</w:t>
      </w:r>
      <w:r w:rsidR="00F10BF6">
        <w:rPr>
          <w:rFonts w:ascii="Arial" w:hAnsi="Arial" w:cs="Arial"/>
          <w:b/>
          <w:sz w:val="22"/>
          <w:szCs w:val="22"/>
        </w:rPr>
        <w:t xml:space="preserve"> </w:t>
      </w:r>
      <w:r w:rsidRPr="00B91626">
        <w:rPr>
          <w:rFonts w:ascii="Arial" w:hAnsi="Arial" w:cs="Arial"/>
          <w:b/>
          <w:sz w:val="22"/>
          <w:szCs w:val="22"/>
        </w:rPr>
        <w:t>7</w:t>
      </w:r>
    </w:p>
    <w:p w14:paraId="14D18E09" w14:textId="77777777" w:rsidR="005708B8" w:rsidRPr="005708B8" w:rsidRDefault="005708B8" w:rsidP="005708B8">
      <w:pPr>
        <w:keepNext/>
        <w:spacing w:after="120"/>
        <w:jc w:val="both"/>
        <w:rPr>
          <w:rFonts w:ascii="Arial" w:eastAsia="SimSun" w:hAnsi="Arial" w:cs="Arial"/>
          <w:sz w:val="22"/>
          <w:szCs w:val="22"/>
        </w:rPr>
      </w:pPr>
      <w:r w:rsidRPr="005708B8">
        <w:rPr>
          <w:rFonts w:ascii="Arial" w:hAnsi="Arial" w:cs="Arial"/>
          <w:sz w:val="22"/>
          <w:szCs w:val="22"/>
        </w:rPr>
        <w:t>L’Assemblée générale,</w:t>
      </w:r>
    </w:p>
    <w:p w14:paraId="46429C27" w14:textId="6BF6D5CC" w:rsidR="005708B8" w:rsidRPr="005708B8" w:rsidRDefault="005708B8" w:rsidP="005708B8">
      <w:pPr>
        <w:pStyle w:val="ListParagraph"/>
        <w:numPr>
          <w:ilvl w:val="0"/>
          <w:numId w:val="44"/>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Ayant examiné</w:t>
      </w:r>
      <w:r w:rsidRPr="005708B8">
        <w:rPr>
          <w:rFonts w:ascii="Arial" w:eastAsia="SimSun" w:hAnsi="Arial" w:cs="Arial"/>
          <w:sz w:val="22"/>
          <w:szCs w:val="22"/>
        </w:rPr>
        <w:t xml:space="preserve"> le document </w:t>
      </w:r>
      <w:hyperlink r:id="rId19" w:history="1">
        <w:r w:rsidRPr="007066E8">
          <w:rPr>
            <w:rStyle w:val="Hyperlink"/>
            <w:rFonts w:ascii="Arial" w:eastAsia="SimSun" w:hAnsi="Arial" w:cs="Arial"/>
            <w:sz w:val="22"/>
            <w:szCs w:val="22"/>
          </w:rPr>
          <w:t>LHE/26/11.GA/7</w:t>
        </w:r>
      </w:hyperlink>
      <w:r w:rsidRPr="005708B8">
        <w:rPr>
          <w:rFonts w:ascii="Arial" w:eastAsia="SimSun" w:hAnsi="Arial" w:cs="Arial"/>
          <w:sz w:val="22"/>
          <w:szCs w:val="22"/>
        </w:rPr>
        <w:t xml:space="preserve"> et son annexe,</w:t>
      </w:r>
    </w:p>
    <w:p w14:paraId="046D5671" w14:textId="79A00B99" w:rsidR="005708B8" w:rsidRPr="005708B8" w:rsidRDefault="005708B8" w:rsidP="005708B8">
      <w:pPr>
        <w:pStyle w:val="ListParagraph"/>
        <w:numPr>
          <w:ilvl w:val="0"/>
          <w:numId w:val="44"/>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Rappelant</w:t>
      </w:r>
      <w:r w:rsidRPr="005708B8">
        <w:rPr>
          <w:rFonts w:ascii="Arial" w:eastAsia="SimSun" w:hAnsi="Arial" w:cs="Arial"/>
          <w:sz w:val="22"/>
          <w:szCs w:val="22"/>
        </w:rPr>
        <w:t xml:space="preserve"> les décisions </w:t>
      </w:r>
      <w:hyperlink r:id="rId20" w:history="1">
        <w:r w:rsidRPr="005708B8">
          <w:rPr>
            <w:rFonts w:ascii="Arial" w:eastAsia="SimSun" w:hAnsi="Arial" w:cs="Arial"/>
            <w:color w:val="0000FF" w:themeColor="hyperlink"/>
            <w:sz w:val="22"/>
            <w:szCs w:val="22"/>
            <w:u w:val="single"/>
          </w:rPr>
          <w:t>20.COM</w:t>
        </w:r>
        <w:r w:rsidR="0058384F">
          <w:rPr>
            <w:rFonts w:ascii="Arial" w:eastAsia="SimSun" w:hAnsi="Arial" w:cs="Arial"/>
            <w:color w:val="0000FF" w:themeColor="hyperlink"/>
            <w:sz w:val="22"/>
            <w:szCs w:val="22"/>
            <w:u w:val="single"/>
          </w:rPr>
          <w:t xml:space="preserve"> </w:t>
        </w:r>
        <w:r w:rsidRPr="005708B8">
          <w:rPr>
            <w:rFonts w:ascii="Arial" w:eastAsia="SimSun" w:hAnsi="Arial" w:cs="Arial"/>
            <w:color w:val="0000FF" w:themeColor="hyperlink"/>
            <w:sz w:val="22"/>
            <w:szCs w:val="22"/>
            <w:u w:val="single"/>
          </w:rPr>
          <w:t>6.c</w:t>
        </w:r>
      </w:hyperlink>
      <w:r w:rsidRPr="005708B8">
        <w:rPr>
          <w:rFonts w:ascii="Arial" w:eastAsia="SimSun" w:hAnsi="Arial" w:cs="Arial"/>
          <w:sz w:val="22"/>
          <w:szCs w:val="22"/>
        </w:rPr>
        <w:t xml:space="preserve"> et </w:t>
      </w:r>
      <w:hyperlink r:id="rId21" w:history="1">
        <w:r w:rsidRPr="005708B8">
          <w:rPr>
            <w:rFonts w:ascii="Arial" w:eastAsia="SimSun" w:hAnsi="Arial" w:cs="Arial"/>
            <w:color w:val="0000FF" w:themeColor="hyperlink"/>
            <w:sz w:val="22"/>
            <w:szCs w:val="22"/>
            <w:u w:val="single"/>
          </w:rPr>
          <w:t>20.COM</w:t>
        </w:r>
        <w:r w:rsidR="0058384F">
          <w:rPr>
            <w:rFonts w:ascii="Arial" w:eastAsia="SimSun" w:hAnsi="Arial" w:cs="Arial"/>
            <w:color w:val="0000FF" w:themeColor="hyperlink"/>
            <w:sz w:val="22"/>
            <w:szCs w:val="22"/>
            <w:u w:val="single"/>
          </w:rPr>
          <w:t xml:space="preserve"> </w:t>
        </w:r>
        <w:r w:rsidRPr="005708B8">
          <w:rPr>
            <w:rFonts w:ascii="Arial" w:eastAsia="SimSun" w:hAnsi="Arial" w:cs="Arial"/>
            <w:color w:val="0000FF" w:themeColor="hyperlink"/>
            <w:sz w:val="22"/>
            <w:szCs w:val="22"/>
            <w:u w:val="single"/>
          </w:rPr>
          <w:t>8</w:t>
        </w:r>
      </w:hyperlink>
      <w:r w:rsidRPr="005708B8">
        <w:rPr>
          <w:rFonts w:ascii="Arial" w:eastAsia="SimSun" w:hAnsi="Arial" w:cs="Arial"/>
          <w:sz w:val="22"/>
          <w:szCs w:val="22"/>
        </w:rPr>
        <w:t>,</w:t>
      </w:r>
    </w:p>
    <w:p w14:paraId="7199F175" w14:textId="77777777" w:rsidR="005708B8" w:rsidRPr="005708B8" w:rsidRDefault="005708B8" w:rsidP="0078459C">
      <w:pPr>
        <w:autoSpaceDE w:val="0"/>
        <w:autoSpaceDN w:val="0"/>
        <w:adjustRightInd w:val="0"/>
        <w:spacing w:after="120"/>
        <w:ind w:left="567"/>
        <w:jc w:val="both"/>
        <w:rPr>
          <w:rFonts w:ascii="Arial" w:eastAsia="SimSun" w:hAnsi="Arial" w:cs="Arial"/>
          <w:b/>
          <w:bCs/>
          <w:sz w:val="22"/>
          <w:szCs w:val="22"/>
        </w:rPr>
      </w:pPr>
      <w:r w:rsidRPr="005708B8">
        <w:rPr>
          <w:rFonts w:ascii="Arial" w:eastAsia="SimSun" w:hAnsi="Arial" w:cs="Arial"/>
          <w:b/>
          <w:sz w:val="22"/>
          <w:szCs w:val="22"/>
        </w:rPr>
        <w:t>Traitement des dossiers de candidature pour les mécanismes d’inscription sur les listes de la Convention</w:t>
      </w:r>
    </w:p>
    <w:p w14:paraId="39D10F7D" w14:textId="77777777" w:rsidR="005708B8" w:rsidRPr="005708B8" w:rsidRDefault="005708B8" w:rsidP="005708B8">
      <w:pPr>
        <w:pStyle w:val="ListParagraph"/>
        <w:numPr>
          <w:ilvl w:val="0"/>
          <w:numId w:val="44"/>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Prend note</w:t>
      </w:r>
      <w:r w:rsidRPr="005708B8">
        <w:rPr>
          <w:rFonts w:ascii="Arial" w:eastAsia="SimSun" w:hAnsi="Arial" w:cs="Arial"/>
          <w:sz w:val="22"/>
          <w:szCs w:val="22"/>
        </w:rPr>
        <w:t xml:space="preserve"> des révisions proposées aux Directives opérationnelles approuvées lors de la vingtième session du Comité concernant le traitement des dossiers de candidature pour les mécanismes d’inscription sur les listes de la Convention ;</w:t>
      </w:r>
    </w:p>
    <w:p w14:paraId="244BFD29" w14:textId="0429199C" w:rsidR="005708B8" w:rsidRDefault="005708B8" w:rsidP="005708B8">
      <w:pPr>
        <w:pStyle w:val="ListParagraph"/>
        <w:numPr>
          <w:ilvl w:val="0"/>
          <w:numId w:val="44"/>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Apprécie</w:t>
      </w:r>
      <w:r w:rsidRPr="005708B8">
        <w:rPr>
          <w:rFonts w:ascii="Arial" w:eastAsia="SimSun" w:hAnsi="Arial" w:cs="Arial"/>
          <w:sz w:val="22"/>
          <w:szCs w:val="22"/>
        </w:rPr>
        <w:t xml:space="preserve"> les effets positifs de l’approche actuelle appliquée lors de la phase de vérification de complétude technique du traitement des candidatures, qui soutient les efforts des États et des communautés, et, en même temps, </w:t>
      </w:r>
      <w:r w:rsidR="0010460D" w:rsidRPr="0058384F">
        <w:rPr>
          <w:rFonts w:ascii="Arial" w:eastAsia="SimSun" w:hAnsi="Arial" w:cs="Arial"/>
          <w:sz w:val="22"/>
          <w:szCs w:val="22"/>
        </w:rPr>
        <w:t>garantit</w:t>
      </w:r>
      <w:r w:rsidR="00A74E7F" w:rsidRPr="0058384F">
        <w:rPr>
          <w:rFonts w:ascii="Arial" w:eastAsia="SimSun" w:hAnsi="Arial" w:cs="Arial"/>
          <w:sz w:val="22"/>
          <w:szCs w:val="22"/>
        </w:rPr>
        <w:t xml:space="preserve"> la transparence, le traitement égal, et l’équité procédurale lors de ce processus et</w:t>
      </w:r>
      <w:r w:rsidR="00A74E7F">
        <w:rPr>
          <w:rFonts w:ascii="Arial" w:eastAsia="SimSun" w:hAnsi="Arial" w:cs="Arial"/>
          <w:sz w:val="22"/>
          <w:szCs w:val="22"/>
        </w:rPr>
        <w:t xml:space="preserve"> </w:t>
      </w:r>
      <w:r w:rsidRPr="005708B8">
        <w:rPr>
          <w:rFonts w:ascii="Arial" w:eastAsia="SimSun" w:hAnsi="Arial" w:cs="Arial"/>
          <w:sz w:val="22"/>
          <w:szCs w:val="22"/>
          <w:u w:val="single"/>
        </w:rPr>
        <w:t>invite</w:t>
      </w:r>
      <w:r w:rsidRPr="005708B8">
        <w:rPr>
          <w:rFonts w:ascii="Arial" w:eastAsia="SimSun" w:hAnsi="Arial" w:cs="Arial"/>
          <w:sz w:val="22"/>
          <w:szCs w:val="22"/>
        </w:rPr>
        <w:t xml:space="preserve"> les États parties à s’abstenir d’apporter des modifications substantielles au cours de cette phase ;</w:t>
      </w:r>
    </w:p>
    <w:p w14:paraId="7810FF02" w14:textId="5B543D37" w:rsidR="00A74E7F" w:rsidRPr="0058384F" w:rsidRDefault="00A74E7F" w:rsidP="00A74E7F">
      <w:pPr>
        <w:pStyle w:val="ListParagraph"/>
        <w:numPr>
          <w:ilvl w:val="0"/>
          <w:numId w:val="44"/>
        </w:numPr>
        <w:autoSpaceDE w:val="0"/>
        <w:autoSpaceDN w:val="0"/>
        <w:adjustRightInd w:val="0"/>
        <w:spacing w:after="120"/>
        <w:ind w:left="567" w:hanging="567"/>
        <w:contextualSpacing w:val="0"/>
        <w:jc w:val="both"/>
        <w:rPr>
          <w:rFonts w:ascii="Arial" w:eastAsia="SimSun" w:hAnsi="Arial" w:cs="Arial"/>
          <w:sz w:val="22"/>
          <w:szCs w:val="22"/>
        </w:rPr>
      </w:pPr>
      <w:r w:rsidRPr="0058384F">
        <w:rPr>
          <w:rFonts w:ascii="Arial" w:eastAsia="SimSun" w:hAnsi="Arial" w:cs="Arial"/>
          <w:sz w:val="22"/>
          <w:szCs w:val="22"/>
          <w:u w:val="single"/>
        </w:rPr>
        <w:t>Prie</w:t>
      </w:r>
      <w:r w:rsidRPr="0058384F">
        <w:rPr>
          <w:rFonts w:ascii="Arial" w:eastAsia="SimSun" w:hAnsi="Arial" w:cs="Arial"/>
          <w:sz w:val="22"/>
          <w:szCs w:val="22"/>
        </w:rPr>
        <w:t xml:space="preserve"> le Comité intergouvernemental, sur la base de la décision </w:t>
      </w:r>
      <w:hyperlink r:id="rId22" w:history="1">
        <w:r w:rsidRPr="0058384F">
          <w:rPr>
            <w:rStyle w:val="Hyperlink"/>
            <w:rFonts w:ascii="Arial" w:eastAsia="SimSun" w:hAnsi="Arial" w:cs="Arial"/>
            <w:sz w:val="22"/>
            <w:szCs w:val="22"/>
          </w:rPr>
          <w:t>19.COM</w:t>
        </w:r>
        <w:r w:rsidR="0058384F" w:rsidRPr="0058384F">
          <w:rPr>
            <w:rStyle w:val="Hyperlink"/>
            <w:rFonts w:ascii="Arial" w:eastAsia="SimSun" w:hAnsi="Arial" w:cs="Arial"/>
            <w:sz w:val="22"/>
            <w:szCs w:val="22"/>
          </w:rPr>
          <w:t xml:space="preserve"> </w:t>
        </w:r>
        <w:r w:rsidRPr="0058384F">
          <w:rPr>
            <w:rStyle w:val="Hyperlink"/>
            <w:rFonts w:ascii="Arial" w:eastAsia="SimSun" w:hAnsi="Arial" w:cs="Arial"/>
            <w:sz w:val="22"/>
            <w:szCs w:val="22"/>
          </w:rPr>
          <w:t>15</w:t>
        </w:r>
      </w:hyperlink>
      <w:r w:rsidRPr="0058384F">
        <w:rPr>
          <w:rFonts w:ascii="Arial" w:eastAsia="SimSun" w:hAnsi="Arial" w:cs="Arial"/>
          <w:sz w:val="22"/>
          <w:szCs w:val="22"/>
        </w:rPr>
        <w:t>, d’examiner le rapport devant être fourni par le Secrétariat comme demandé dans ladite décision sur le nombre de dossiers soumis pour les cycles 2026 et 2027, ainsi que son expérience dans la mise en œuvre des Directives opérationnelles et de cette décision, y compris entre autres</w:t>
      </w:r>
      <w:r w:rsidR="00507C40" w:rsidRPr="0058384F">
        <w:rPr>
          <w:rFonts w:ascii="Arial" w:eastAsia="SimSun" w:hAnsi="Arial" w:cs="Arial"/>
          <w:sz w:val="22"/>
          <w:szCs w:val="22"/>
        </w:rPr>
        <w:t>,</w:t>
      </w:r>
      <w:r w:rsidRPr="0058384F">
        <w:rPr>
          <w:rFonts w:ascii="Arial" w:eastAsia="SimSun" w:hAnsi="Arial" w:cs="Arial"/>
          <w:sz w:val="22"/>
          <w:szCs w:val="22"/>
        </w:rPr>
        <w:t xml:space="preserve"> la viabilité du système actuel de traitement des dossiers de candidature et des propositions dans le cadre des mécanismes d’inscription sur les </w:t>
      </w:r>
      <w:r w:rsidR="00507C40" w:rsidRPr="0058384F">
        <w:rPr>
          <w:rFonts w:ascii="Arial" w:eastAsia="SimSun" w:hAnsi="Arial" w:cs="Arial"/>
          <w:sz w:val="22"/>
          <w:szCs w:val="22"/>
        </w:rPr>
        <w:t>L</w:t>
      </w:r>
      <w:r w:rsidRPr="0058384F">
        <w:rPr>
          <w:rFonts w:ascii="Arial" w:eastAsia="SimSun" w:hAnsi="Arial" w:cs="Arial"/>
          <w:sz w:val="22"/>
          <w:szCs w:val="22"/>
        </w:rPr>
        <w:t xml:space="preserve">istes de la Convention, compte tenu du </w:t>
      </w:r>
      <w:r w:rsidRPr="0058384F">
        <w:rPr>
          <w:rFonts w:ascii="Arial" w:eastAsia="SimSun" w:hAnsi="Arial" w:cs="Arial"/>
          <w:sz w:val="22"/>
          <w:szCs w:val="22"/>
        </w:rPr>
        <w:lastRenderedPageBreak/>
        <w:t>nombre élevé de candidatures soumises, du plafond annuel applicable à leur examen et de l’augmentation des dossiers</w:t>
      </w:r>
      <w:r w:rsidR="00507C40" w:rsidRPr="0058384F">
        <w:rPr>
          <w:rFonts w:ascii="Arial" w:eastAsia="SimSun" w:hAnsi="Arial" w:cs="Arial"/>
          <w:sz w:val="22"/>
          <w:szCs w:val="22"/>
        </w:rPr>
        <w:t xml:space="preserve"> en attente, </w:t>
      </w:r>
      <w:r w:rsidRPr="0058384F">
        <w:rPr>
          <w:rFonts w:ascii="Arial" w:eastAsia="SimSun" w:hAnsi="Arial" w:cs="Arial"/>
          <w:sz w:val="22"/>
          <w:szCs w:val="22"/>
        </w:rPr>
        <w:t>en prenant en compte les objectifs de la Convention</w:t>
      </w:r>
      <w:r w:rsidR="00507C40" w:rsidRPr="0058384F">
        <w:rPr>
          <w:rFonts w:ascii="Arial" w:eastAsia="SimSun" w:hAnsi="Arial" w:cs="Arial"/>
          <w:sz w:val="22"/>
          <w:szCs w:val="22"/>
        </w:rPr>
        <w:t xml:space="preserve">, </w:t>
      </w:r>
      <w:r w:rsidRPr="0058384F">
        <w:rPr>
          <w:rFonts w:ascii="Arial" w:eastAsia="SimSun" w:hAnsi="Arial" w:cs="Arial"/>
          <w:sz w:val="22"/>
          <w:szCs w:val="22"/>
        </w:rPr>
        <w:t>et de rendre compte des options possibles pour aborder ces tendances et ces défis liées à la procédure lors de la prochaine session de l’Assemblée générale ;</w:t>
      </w:r>
    </w:p>
    <w:p w14:paraId="123BE411" w14:textId="77777777" w:rsidR="005708B8" w:rsidRDefault="005708B8" w:rsidP="003B1F9A">
      <w:pPr>
        <w:pStyle w:val="ListParagraph"/>
        <w:numPr>
          <w:ilvl w:val="0"/>
          <w:numId w:val="44"/>
        </w:numPr>
        <w:autoSpaceDE w:val="0"/>
        <w:autoSpaceDN w:val="0"/>
        <w:adjustRightInd w:val="0"/>
        <w:spacing w:before="240"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Approuve</w:t>
      </w:r>
      <w:r w:rsidRPr="005708B8">
        <w:rPr>
          <w:rFonts w:ascii="Arial" w:eastAsia="SimSun" w:hAnsi="Arial" w:cs="Arial"/>
          <w:sz w:val="22"/>
          <w:szCs w:val="22"/>
        </w:rPr>
        <w:t xml:space="preserve"> les révisions apportées aux Directives opérationnelles figurant en annexe de la présente résolution (concernant le traitement des dossiers de candidature pour les mécanismes d’inscription sur les listes de la Convention), et </w:t>
      </w:r>
      <w:r w:rsidRPr="005708B8">
        <w:rPr>
          <w:rFonts w:ascii="Arial" w:eastAsia="SimSun" w:hAnsi="Arial" w:cs="Arial"/>
          <w:sz w:val="22"/>
          <w:szCs w:val="22"/>
          <w:u w:val="single"/>
        </w:rPr>
        <w:t>prend acte</w:t>
      </w:r>
      <w:r w:rsidRPr="005708B8">
        <w:rPr>
          <w:rFonts w:ascii="Arial" w:eastAsia="SimSun" w:hAnsi="Arial" w:cs="Arial"/>
          <w:sz w:val="22"/>
          <w:szCs w:val="22"/>
        </w:rPr>
        <w:t xml:space="preserve"> du fait que le calendrier révisé qui y est inclus sera mis en œuvre à compter du cycle de candidatures 2027 ;</w:t>
      </w:r>
    </w:p>
    <w:p w14:paraId="1EA90F4F" w14:textId="6B287DF2" w:rsidR="005708B8" w:rsidRPr="005708B8" w:rsidRDefault="005708B8" w:rsidP="0078459C">
      <w:pPr>
        <w:autoSpaceDE w:val="0"/>
        <w:autoSpaceDN w:val="0"/>
        <w:adjustRightInd w:val="0"/>
        <w:spacing w:after="120"/>
        <w:ind w:left="567"/>
        <w:jc w:val="both"/>
        <w:rPr>
          <w:rFonts w:ascii="Arial" w:eastAsia="SimSun" w:hAnsi="Arial" w:cs="Arial"/>
          <w:b/>
          <w:bCs/>
          <w:sz w:val="22"/>
          <w:szCs w:val="22"/>
        </w:rPr>
      </w:pPr>
      <w:r w:rsidRPr="005708B8">
        <w:rPr>
          <w:rFonts w:ascii="Arial" w:eastAsia="SimSun" w:hAnsi="Arial" w:cs="Arial"/>
          <w:b/>
          <w:sz w:val="22"/>
          <w:szCs w:val="22"/>
        </w:rPr>
        <w:t>Système de soumission unique des rapports périodiques à l’échelle mondiale</w:t>
      </w:r>
    </w:p>
    <w:p w14:paraId="45637A28" w14:textId="2A38292F" w:rsidR="00FA0FD1" w:rsidRPr="00FA0FD1" w:rsidRDefault="005708B8" w:rsidP="00474750">
      <w:pPr>
        <w:pStyle w:val="ListParagraph"/>
        <w:numPr>
          <w:ilvl w:val="0"/>
          <w:numId w:val="44"/>
        </w:numPr>
        <w:autoSpaceDE w:val="0"/>
        <w:autoSpaceDN w:val="0"/>
        <w:adjustRightInd w:val="0"/>
        <w:spacing w:after="120"/>
        <w:ind w:left="567" w:hanging="567"/>
        <w:contextualSpacing w:val="0"/>
        <w:jc w:val="both"/>
      </w:pPr>
      <w:r w:rsidRPr="00FA0FD1">
        <w:rPr>
          <w:rFonts w:ascii="Arial" w:eastAsia="SimSun" w:hAnsi="Arial" w:cs="Arial"/>
          <w:sz w:val="22"/>
          <w:szCs w:val="22"/>
          <w:u w:val="single"/>
        </w:rPr>
        <w:t>Prend note en outre</w:t>
      </w:r>
      <w:r w:rsidRPr="00FA0FD1">
        <w:rPr>
          <w:rFonts w:ascii="Arial" w:eastAsia="SimSun" w:hAnsi="Arial" w:cs="Arial"/>
          <w:sz w:val="22"/>
          <w:szCs w:val="22"/>
        </w:rPr>
        <w:t xml:space="preserve"> des révisions proposées aux Directives opérationnelles approuvées lors de la vingtième session du Comité concernant la transition vers un système de soumission unique des rapports périodiques à l’échelle mondiale ;</w:t>
      </w:r>
      <w:r w:rsidR="00FA0FD1" w:rsidRPr="00FA0FD1">
        <w:rPr>
          <w:rFonts w:ascii="Arial" w:eastAsia="SimSun" w:hAnsi="Arial" w:cs="Arial"/>
          <w:sz w:val="22"/>
          <w:szCs w:val="22"/>
        </w:rPr>
        <w:t xml:space="preserve"> </w:t>
      </w:r>
    </w:p>
    <w:p w14:paraId="272A08C9" w14:textId="37C83510" w:rsidR="005708B8" w:rsidRPr="0058384F" w:rsidRDefault="005708B8" w:rsidP="00474750">
      <w:pPr>
        <w:pStyle w:val="ListParagraph"/>
        <w:numPr>
          <w:ilvl w:val="0"/>
          <w:numId w:val="44"/>
        </w:numPr>
        <w:autoSpaceDE w:val="0"/>
        <w:autoSpaceDN w:val="0"/>
        <w:adjustRightInd w:val="0"/>
        <w:spacing w:after="120"/>
        <w:ind w:left="567" w:hanging="567"/>
        <w:contextualSpacing w:val="0"/>
        <w:jc w:val="both"/>
        <w:rPr>
          <w:rFonts w:ascii="Arial" w:eastAsia="SimSun" w:hAnsi="Arial" w:cs="Arial"/>
          <w:sz w:val="22"/>
          <w:szCs w:val="22"/>
        </w:rPr>
      </w:pPr>
      <w:r w:rsidRPr="0058384F">
        <w:rPr>
          <w:rFonts w:ascii="Arial" w:eastAsia="SimSun" w:hAnsi="Arial" w:cs="Arial"/>
          <w:sz w:val="22"/>
          <w:szCs w:val="22"/>
          <w:u w:val="single"/>
        </w:rPr>
        <w:t>Approuve</w:t>
      </w:r>
      <w:r w:rsidRPr="0058384F">
        <w:rPr>
          <w:rFonts w:ascii="Arial" w:eastAsia="SimSun" w:hAnsi="Arial" w:cs="Arial"/>
          <w:sz w:val="22"/>
          <w:szCs w:val="22"/>
        </w:rPr>
        <w:t xml:space="preserve"> </w:t>
      </w:r>
      <w:r w:rsidR="007066E8" w:rsidRPr="0058384F">
        <w:rPr>
          <w:rFonts w:ascii="Arial" w:eastAsia="SimSun" w:hAnsi="Arial" w:cs="Arial"/>
          <w:sz w:val="22"/>
          <w:szCs w:val="22"/>
        </w:rPr>
        <w:t xml:space="preserve">de manière provisoire et sur une base expérimentale </w:t>
      </w:r>
      <w:r w:rsidRPr="0058384F">
        <w:rPr>
          <w:rFonts w:ascii="Arial" w:eastAsia="SimSun" w:hAnsi="Arial" w:cs="Arial"/>
          <w:sz w:val="22"/>
          <w:szCs w:val="22"/>
        </w:rPr>
        <w:t>les révisions apportées aux Directives opérationnelles figurant en annexe de la présente résolution (nécessaires pour soutenir l’avancée vers le système de soumission unique des rapports périodiques à l’échelle mondiale)</w:t>
      </w:r>
      <w:r w:rsidR="00A74E7F" w:rsidRPr="0058384F">
        <w:rPr>
          <w:rFonts w:ascii="Arial" w:eastAsia="SimSun" w:hAnsi="Arial" w:cs="Arial"/>
          <w:sz w:val="22"/>
          <w:szCs w:val="22"/>
        </w:rPr>
        <w:t xml:space="preserve"> ; </w:t>
      </w:r>
    </w:p>
    <w:p w14:paraId="54C18AF3" w14:textId="0E3BF4F7" w:rsidR="00A74E7F" w:rsidRPr="0058384F" w:rsidRDefault="00A74E7F" w:rsidP="00A74E7F">
      <w:pPr>
        <w:pStyle w:val="ListParagraph"/>
        <w:numPr>
          <w:ilvl w:val="0"/>
          <w:numId w:val="44"/>
        </w:numPr>
        <w:autoSpaceDE w:val="0"/>
        <w:autoSpaceDN w:val="0"/>
        <w:adjustRightInd w:val="0"/>
        <w:spacing w:after="120"/>
        <w:ind w:left="567" w:hanging="567"/>
        <w:contextualSpacing w:val="0"/>
        <w:jc w:val="both"/>
        <w:rPr>
          <w:rFonts w:ascii="Arial" w:eastAsia="SimSun" w:hAnsi="Arial" w:cs="Arial"/>
          <w:sz w:val="22"/>
          <w:szCs w:val="22"/>
        </w:rPr>
      </w:pPr>
      <w:r w:rsidRPr="0058384F">
        <w:rPr>
          <w:rFonts w:ascii="Arial" w:eastAsia="SimSun" w:hAnsi="Arial" w:cs="Arial"/>
          <w:sz w:val="22"/>
          <w:szCs w:val="22"/>
          <w:u w:val="single"/>
        </w:rPr>
        <w:t>Pri</w:t>
      </w:r>
      <w:r w:rsidRPr="0058384F">
        <w:rPr>
          <w:rFonts w:ascii="Arial" w:eastAsia="SimSun" w:hAnsi="Arial" w:cs="Arial"/>
          <w:sz w:val="22"/>
          <w:szCs w:val="22"/>
        </w:rPr>
        <w:t>e le Secrétariat de lui présenter à sa quatorzième session un rapport qualitatif et quantitatif sur la phase expérimentale du système de soumission unique des rapports périodiques à l’échelle mondiale afin d’en évaluer le processus.</w:t>
      </w:r>
    </w:p>
    <w:p w14:paraId="155E7E67" w14:textId="195B890E" w:rsidR="00FA0FD1" w:rsidRDefault="00FA0FD1" w:rsidP="00F10BF6">
      <w:pPr>
        <w:pStyle w:val="Sansinterligne2"/>
        <w:jc w:val="center"/>
        <w:rPr>
          <w:rFonts w:asciiTheme="minorBidi" w:hAnsiTheme="minorBidi" w:cstheme="minorBidi"/>
          <w:b/>
          <w:bCs/>
        </w:rPr>
      </w:pPr>
      <w:r w:rsidRPr="002B7179">
        <w:rPr>
          <w:rFonts w:asciiTheme="minorBidi" w:hAnsiTheme="minorBidi" w:cstheme="minorBidi"/>
          <w:b/>
          <w:bCs/>
        </w:rPr>
        <w:t>ANNEXE</w:t>
      </w:r>
    </w:p>
    <w:tbl>
      <w:tblPr>
        <w:tblW w:w="4548" w:type="pct"/>
        <w:tblCellMar>
          <w:top w:w="57" w:type="dxa"/>
          <w:bottom w:w="57" w:type="dxa"/>
        </w:tblCellMar>
        <w:tblLook w:val="04A0" w:firstRow="1" w:lastRow="0" w:firstColumn="1" w:lastColumn="0" w:noHBand="0" w:noVBand="1"/>
      </w:tblPr>
      <w:tblGrid>
        <w:gridCol w:w="677"/>
        <w:gridCol w:w="7961"/>
      </w:tblGrid>
      <w:tr w:rsidR="00EF5990" w:rsidRPr="001A1E48" w14:paraId="6BE92045" w14:textId="77777777" w:rsidTr="00F10BF6">
        <w:trPr>
          <w:trHeight w:val="280"/>
        </w:trPr>
        <w:tc>
          <w:tcPr>
            <w:tcW w:w="392" w:type="pct"/>
          </w:tcPr>
          <w:p w14:paraId="0E7F3216" w14:textId="77777777" w:rsidR="00EF5990" w:rsidRPr="00181BC1" w:rsidRDefault="00EF5990" w:rsidP="000C3BEA">
            <w:pPr>
              <w:spacing w:before="120" w:after="120"/>
              <w:rPr>
                <w:rFonts w:ascii="Arial" w:hAnsi="Arial" w:cs="Arial"/>
                <w:b/>
                <w:bCs/>
                <w:sz w:val="22"/>
                <w:szCs w:val="22"/>
              </w:rPr>
            </w:pPr>
            <w:r w:rsidRPr="00181BC1">
              <w:rPr>
                <w:rFonts w:ascii="Arial" w:hAnsi="Arial" w:cs="Arial"/>
                <w:b/>
                <w:sz w:val="22"/>
              </w:rPr>
              <w:t>I.7</w:t>
            </w:r>
          </w:p>
        </w:tc>
        <w:tc>
          <w:tcPr>
            <w:tcW w:w="4608" w:type="pct"/>
          </w:tcPr>
          <w:p w14:paraId="69653D2F"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66A65808" w14:textId="77777777" w:rsidTr="00F10BF6">
        <w:tc>
          <w:tcPr>
            <w:tcW w:w="392" w:type="pct"/>
          </w:tcPr>
          <w:p w14:paraId="6987DBFE"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20.2</w:t>
            </w:r>
          </w:p>
        </w:tc>
        <w:tc>
          <w:tcPr>
            <w:tcW w:w="4608" w:type="pct"/>
          </w:tcPr>
          <w:p w14:paraId="1C82F2B9"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67B0A135" w14:textId="77777777" w:rsidTr="00F10BF6">
        <w:tc>
          <w:tcPr>
            <w:tcW w:w="392" w:type="pct"/>
          </w:tcPr>
          <w:p w14:paraId="168C06EC" w14:textId="77777777" w:rsidR="00EF5990" w:rsidRPr="00181BC1" w:rsidRDefault="00EF5990" w:rsidP="000C3BEA">
            <w:pPr>
              <w:spacing w:before="120" w:after="120"/>
              <w:rPr>
                <w:rFonts w:ascii="Arial" w:hAnsi="Arial" w:cs="Arial"/>
                <w:b/>
                <w:bCs/>
                <w:sz w:val="22"/>
                <w:szCs w:val="22"/>
              </w:rPr>
            </w:pPr>
            <w:r w:rsidRPr="00181BC1">
              <w:rPr>
                <w:rFonts w:ascii="Arial" w:hAnsi="Arial" w:cs="Arial"/>
                <w:b/>
                <w:sz w:val="22"/>
              </w:rPr>
              <w:t>I.15</w:t>
            </w:r>
          </w:p>
        </w:tc>
        <w:tc>
          <w:tcPr>
            <w:tcW w:w="4608" w:type="pct"/>
          </w:tcPr>
          <w:p w14:paraId="2CC048AB" w14:textId="77777777" w:rsidR="00EF5990" w:rsidRPr="001A1E48" w:rsidRDefault="00EF5990" w:rsidP="000C3BEA">
            <w:pPr>
              <w:spacing w:before="120" w:after="120"/>
              <w:jc w:val="both"/>
              <w:rPr>
                <w:rFonts w:ascii="Arial" w:hAnsi="Arial" w:cs="Arial"/>
                <w:color w:val="4F81BD" w:themeColor="accent1"/>
                <w:sz w:val="22"/>
                <w:szCs w:val="22"/>
              </w:rPr>
            </w:pPr>
            <w:r w:rsidRPr="001A1E48">
              <w:rPr>
                <w:rFonts w:ascii="Arial" w:hAnsi="Arial" w:cs="Arial"/>
                <w:sz w:val="22"/>
              </w:rPr>
              <w:t>Aucun changement</w:t>
            </w:r>
          </w:p>
        </w:tc>
      </w:tr>
      <w:tr w:rsidR="00EF5990" w:rsidRPr="001A1E48" w14:paraId="3DC82CCE" w14:textId="77777777" w:rsidTr="00F10BF6">
        <w:tc>
          <w:tcPr>
            <w:tcW w:w="392" w:type="pct"/>
          </w:tcPr>
          <w:p w14:paraId="7E256D54"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54.</w:t>
            </w:r>
          </w:p>
        </w:tc>
        <w:tc>
          <w:tcPr>
            <w:tcW w:w="4608" w:type="pct"/>
          </w:tcPr>
          <w:tbl>
            <w:tblPr>
              <w:tblStyle w:val="TableGrid"/>
              <w:tblW w:w="7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1512"/>
              <w:gridCol w:w="5982"/>
            </w:tblGrid>
            <w:tr w:rsidR="00EF5990" w:rsidRPr="001A1E48" w14:paraId="38513A72" w14:textId="77777777" w:rsidTr="000C3BEA">
              <w:trPr>
                <w:cantSplit/>
              </w:trPr>
              <w:tc>
                <w:tcPr>
                  <w:tcW w:w="1512" w:type="dxa"/>
                  <w:shd w:val="clear" w:color="auto" w:fill="FFFFFF"/>
                </w:tcPr>
                <w:p w14:paraId="3FEF7374"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Phase 1 :</w:t>
                  </w:r>
                </w:p>
              </w:tc>
              <w:tc>
                <w:tcPr>
                  <w:tcW w:w="5982" w:type="dxa"/>
                  <w:shd w:val="clear" w:color="auto" w:fill="FFFFFF"/>
                </w:tcPr>
                <w:p w14:paraId="602CF8CA"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r w:rsidR="00EF5990" w:rsidRPr="001A1E48" w14:paraId="407E801A" w14:textId="77777777" w:rsidTr="000C3BEA">
              <w:trPr>
                <w:cantSplit/>
              </w:trPr>
              <w:tc>
                <w:tcPr>
                  <w:tcW w:w="1512" w:type="dxa"/>
                  <w:shd w:val="clear" w:color="auto" w:fill="FFFFFF"/>
                </w:tcPr>
                <w:p w14:paraId="1F3BF1D2"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31 mars</w:t>
                  </w:r>
                </w:p>
                <w:p w14:paraId="59B8C6ED"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année 0</w:t>
                  </w:r>
                </w:p>
              </w:tc>
              <w:tc>
                <w:tcPr>
                  <w:tcW w:w="5982" w:type="dxa"/>
                  <w:shd w:val="clear" w:color="auto" w:fill="FFFFFF"/>
                </w:tcPr>
                <w:p w14:paraId="20B4506F"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r w:rsidR="00EF5990" w:rsidRPr="001A1E48" w14:paraId="112230A8" w14:textId="77777777" w:rsidTr="00F10BF6">
              <w:trPr>
                <w:cantSplit/>
              </w:trPr>
              <w:tc>
                <w:tcPr>
                  <w:tcW w:w="1512" w:type="dxa"/>
                </w:tcPr>
                <w:p w14:paraId="50052DC0" w14:textId="77777777" w:rsidR="00EF5990" w:rsidRPr="001A1E48" w:rsidRDefault="00EF5990" w:rsidP="000C3BEA">
                  <w:pPr>
                    <w:spacing w:before="60" w:after="60"/>
                    <w:jc w:val="right"/>
                    <w:rPr>
                      <w:rFonts w:ascii="Arial" w:hAnsi="Arial" w:cs="Arial"/>
                      <w:strike/>
                      <w:sz w:val="22"/>
                      <w:szCs w:val="22"/>
                    </w:rPr>
                  </w:pPr>
                  <w:r w:rsidRPr="001A1E48">
                    <w:rPr>
                      <w:rFonts w:ascii="Arial" w:hAnsi="Arial" w:cs="Arial"/>
                      <w:strike/>
                      <w:sz w:val="22"/>
                    </w:rPr>
                    <w:t>15 décembre</w:t>
                  </w:r>
                </w:p>
                <w:p w14:paraId="71B90373"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trike/>
                      <w:sz w:val="22"/>
                    </w:rPr>
                    <w:t>Année 0</w:t>
                  </w:r>
                </w:p>
              </w:tc>
              <w:tc>
                <w:tcPr>
                  <w:tcW w:w="5982" w:type="dxa"/>
                </w:tcPr>
                <w:p w14:paraId="61C657C6" w14:textId="77777777" w:rsidR="00EF5990" w:rsidRPr="001A1E48" w:rsidRDefault="00EF5990" w:rsidP="000C3BEA">
                  <w:pPr>
                    <w:spacing w:before="60" w:after="60"/>
                    <w:jc w:val="both"/>
                    <w:rPr>
                      <w:rFonts w:ascii="Arial" w:hAnsi="Arial" w:cs="Arial"/>
                      <w:strike/>
                      <w:sz w:val="22"/>
                      <w:szCs w:val="22"/>
                    </w:rPr>
                  </w:pPr>
                  <w:r w:rsidRPr="001A1E48">
                    <w:rPr>
                      <w:rFonts w:ascii="Arial" w:hAnsi="Arial" w:cs="Arial"/>
                      <w:strike/>
                      <w:sz w:val="22"/>
                    </w:rPr>
                    <w:t>Date limite pour la soumission des demandes de transfert de la Liste du patrimoine culturel immatériel nécessitant une sauvegarde urgente à la Liste représentative du patrimoine culturel immatériel de l’humanité.</w:t>
                  </w:r>
                </w:p>
              </w:tc>
            </w:tr>
            <w:tr w:rsidR="00EF5990" w:rsidRPr="001A1E48" w14:paraId="48B2ACC2" w14:textId="77777777" w:rsidTr="00F10BF6">
              <w:trPr>
                <w:cantSplit/>
                <w:trHeight w:val="641"/>
              </w:trPr>
              <w:tc>
                <w:tcPr>
                  <w:tcW w:w="1512" w:type="dxa"/>
                  <w:shd w:val="clear" w:color="auto" w:fill="FFFFFF"/>
                </w:tcPr>
                <w:p w14:paraId="67B15BD2"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31 mars</w:t>
                  </w:r>
                </w:p>
                <w:p w14:paraId="1A1C695F"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année 1</w:t>
                  </w:r>
                </w:p>
              </w:tc>
              <w:tc>
                <w:tcPr>
                  <w:tcW w:w="5982" w:type="dxa"/>
                  <w:shd w:val="clear" w:color="auto" w:fill="FFFFFF"/>
                </w:tcPr>
                <w:p w14:paraId="4F03326F"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r w:rsidR="00EF5990" w:rsidRPr="001A1E48" w14:paraId="6C92E575" w14:textId="77777777" w:rsidTr="00F10BF6">
              <w:trPr>
                <w:cantSplit/>
              </w:trPr>
              <w:tc>
                <w:tcPr>
                  <w:tcW w:w="1512" w:type="dxa"/>
                </w:tcPr>
                <w:p w14:paraId="099A5F8D" w14:textId="77777777" w:rsidR="00EF5990" w:rsidRPr="001A1E48" w:rsidRDefault="00EF5990" w:rsidP="000C3BEA">
                  <w:pPr>
                    <w:spacing w:before="60" w:after="60"/>
                    <w:jc w:val="right"/>
                    <w:rPr>
                      <w:rFonts w:ascii="Arial" w:hAnsi="Arial" w:cs="Arial"/>
                      <w:b/>
                      <w:bCs/>
                      <w:sz w:val="22"/>
                      <w:szCs w:val="22"/>
                      <w:u w:val="single"/>
                    </w:rPr>
                  </w:pPr>
                  <w:r w:rsidRPr="001A1E48">
                    <w:rPr>
                      <w:rFonts w:ascii="Arial" w:hAnsi="Arial" w:cs="Arial"/>
                      <w:b/>
                      <w:bCs/>
                      <w:sz w:val="22"/>
                      <w:u w:val="single"/>
                    </w:rPr>
                    <w:t>30 juin</w:t>
                  </w:r>
                </w:p>
                <w:p w14:paraId="02506C3C" w14:textId="77777777" w:rsidR="00EF5990" w:rsidRPr="001A1E48" w:rsidRDefault="00EF5990" w:rsidP="000C3BEA">
                  <w:pPr>
                    <w:spacing w:before="60" w:after="60"/>
                    <w:jc w:val="right"/>
                    <w:rPr>
                      <w:rFonts w:ascii="Arial" w:hAnsi="Arial" w:cs="Arial"/>
                      <w:sz w:val="22"/>
                    </w:rPr>
                  </w:pPr>
                  <w:r w:rsidRPr="001A1E48">
                    <w:rPr>
                      <w:rFonts w:ascii="Arial" w:hAnsi="Arial" w:cs="Arial"/>
                      <w:b/>
                      <w:bCs/>
                      <w:sz w:val="22"/>
                      <w:u w:val="single"/>
                    </w:rPr>
                    <w:t>année 1</w:t>
                  </w:r>
                </w:p>
              </w:tc>
              <w:tc>
                <w:tcPr>
                  <w:tcW w:w="5982" w:type="dxa"/>
                </w:tcPr>
                <w:p w14:paraId="6254DC43" w14:textId="77777777" w:rsidR="00EF5990" w:rsidRPr="001A1E48" w:rsidRDefault="00EF5990" w:rsidP="000C3BEA">
                  <w:pPr>
                    <w:spacing w:before="60" w:after="60"/>
                    <w:jc w:val="both"/>
                    <w:rPr>
                      <w:rFonts w:ascii="Arial" w:hAnsi="Arial" w:cs="Arial"/>
                      <w:sz w:val="22"/>
                    </w:rPr>
                  </w:pPr>
                  <w:r w:rsidRPr="001A1E48">
                    <w:rPr>
                      <w:rFonts w:ascii="Arial" w:hAnsi="Arial" w:cs="Arial"/>
                      <w:b/>
                      <w:sz w:val="22"/>
                      <w:u w:val="single"/>
                    </w:rPr>
                    <w:t>Date limite pour la soumission des demandes de transfert de la Liste du patrimoine culturel immatériel nécessitant une sauvegarde urgente à la Liste représentative du patrimoine culturel immatériel de l’humanité.</w:t>
                  </w:r>
                </w:p>
              </w:tc>
            </w:tr>
            <w:tr w:rsidR="00EF5990" w:rsidRPr="001A1E48" w14:paraId="270D4782" w14:textId="77777777" w:rsidTr="00F10BF6">
              <w:trPr>
                <w:cantSplit/>
              </w:trPr>
              <w:tc>
                <w:tcPr>
                  <w:tcW w:w="1512" w:type="dxa"/>
                </w:tcPr>
                <w:p w14:paraId="5A79B8A8" w14:textId="77777777" w:rsidR="00EF5990" w:rsidRPr="001A1E48" w:rsidRDefault="00EF5990" w:rsidP="000C3BEA">
                  <w:pPr>
                    <w:spacing w:before="60" w:after="60"/>
                    <w:jc w:val="right"/>
                    <w:rPr>
                      <w:rFonts w:ascii="Arial" w:hAnsi="Arial" w:cs="Arial"/>
                      <w:strike/>
                      <w:sz w:val="22"/>
                      <w:szCs w:val="22"/>
                    </w:rPr>
                  </w:pPr>
                  <w:r w:rsidRPr="001A1E48">
                    <w:rPr>
                      <w:rFonts w:ascii="Arial" w:hAnsi="Arial" w:cs="Arial"/>
                      <w:strike/>
                      <w:sz w:val="22"/>
                    </w:rPr>
                    <w:t>30 juin</w:t>
                  </w:r>
                </w:p>
                <w:p w14:paraId="0AADE851" w14:textId="77777777" w:rsidR="00EF5990" w:rsidRPr="001A1E48" w:rsidRDefault="00EF5990" w:rsidP="000C3BEA">
                  <w:pPr>
                    <w:spacing w:before="60" w:after="60"/>
                    <w:jc w:val="right"/>
                    <w:rPr>
                      <w:rFonts w:ascii="Arial" w:hAnsi="Arial" w:cs="Arial"/>
                      <w:sz w:val="22"/>
                    </w:rPr>
                  </w:pPr>
                  <w:r w:rsidRPr="001A1E48">
                    <w:rPr>
                      <w:rFonts w:ascii="Arial" w:hAnsi="Arial" w:cs="Arial"/>
                      <w:b/>
                      <w:bCs/>
                      <w:sz w:val="22"/>
                      <w:u w:val="single"/>
                    </w:rPr>
                    <w:t>31 août</w:t>
                  </w:r>
                </w:p>
                <w:p w14:paraId="4CB61263"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année 1</w:t>
                  </w:r>
                </w:p>
              </w:tc>
              <w:tc>
                <w:tcPr>
                  <w:tcW w:w="5982" w:type="dxa"/>
                </w:tcPr>
                <w:p w14:paraId="7FEC4B2F"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Date limite à laquelle le Secrétariat doit avoir traité les dossiers, y compris l’enregistrement et l’accusé de réception. Si un dossier est incomplet, l’État partie est invité à le compléter.</w:t>
                  </w:r>
                </w:p>
              </w:tc>
            </w:tr>
            <w:tr w:rsidR="00EF5990" w:rsidRPr="001A1E48" w14:paraId="60F1DFEF" w14:textId="77777777" w:rsidTr="00F10BF6">
              <w:trPr>
                <w:cantSplit/>
              </w:trPr>
              <w:tc>
                <w:tcPr>
                  <w:tcW w:w="1512" w:type="dxa"/>
                </w:tcPr>
                <w:p w14:paraId="437CFC66"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trike/>
                      <w:sz w:val="22"/>
                    </w:rPr>
                    <w:lastRenderedPageBreak/>
                    <w:t>30</w:t>
                  </w:r>
                  <w:r w:rsidRPr="001A1E48">
                    <w:rPr>
                      <w:rFonts w:ascii="Arial" w:hAnsi="Arial" w:cs="Arial"/>
                      <w:sz w:val="22"/>
                    </w:rPr>
                    <w:t xml:space="preserve"> </w:t>
                  </w:r>
                  <w:r w:rsidRPr="001A1E48">
                    <w:rPr>
                      <w:rFonts w:ascii="Arial" w:hAnsi="Arial" w:cs="Arial"/>
                      <w:strike/>
                      <w:sz w:val="22"/>
                    </w:rPr>
                    <w:t>septembre</w:t>
                  </w:r>
                </w:p>
                <w:p w14:paraId="2CEBBB69" w14:textId="77777777" w:rsidR="00EF5990" w:rsidRPr="001A1E48" w:rsidRDefault="00EF5990" w:rsidP="000C3BEA">
                  <w:pPr>
                    <w:spacing w:before="60" w:after="60"/>
                    <w:jc w:val="right"/>
                    <w:rPr>
                      <w:rFonts w:ascii="Arial" w:hAnsi="Arial" w:cs="Arial"/>
                      <w:b/>
                      <w:bCs/>
                      <w:sz w:val="22"/>
                      <w:u w:val="single"/>
                    </w:rPr>
                  </w:pPr>
                  <w:r w:rsidRPr="001A1E48">
                    <w:rPr>
                      <w:rFonts w:ascii="Arial" w:hAnsi="Arial" w:cs="Arial"/>
                      <w:b/>
                      <w:bCs/>
                      <w:sz w:val="22"/>
                      <w:u w:val="single"/>
                    </w:rPr>
                    <w:t>30 novembre</w:t>
                  </w:r>
                </w:p>
                <w:p w14:paraId="6A816343"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année 1</w:t>
                  </w:r>
                </w:p>
              </w:tc>
              <w:tc>
                <w:tcPr>
                  <w:tcW w:w="5982" w:type="dxa"/>
                </w:tcPr>
                <w:p w14:paraId="00CA036B"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Date limite à laquelle les informations manquantes requises pour compléter le dossier, si nécessaire, doivent être soumises par l’État partie au Secrétariat. Les dossiers restés incomplets sont retournés aux États parties qui peuvent les compléter pour un prochain cycle. Les dossiers révisés par les États soumissionnaires et transmis au Secrétariat suite à ses demandes d’informations complémentaires, sont publiés sur le site et remplacent les dossiers initialement reçus. Leurs traductions en anglais ou en français sont également publiées sur le site dès qu’elles sont disponibles.</w:t>
                  </w:r>
                </w:p>
              </w:tc>
            </w:tr>
            <w:tr w:rsidR="00EF5990" w:rsidRPr="001A1E48" w14:paraId="1424CD58" w14:textId="77777777" w:rsidTr="000C3BEA">
              <w:trPr>
                <w:cantSplit/>
              </w:trPr>
              <w:tc>
                <w:tcPr>
                  <w:tcW w:w="1512" w:type="dxa"/>
                  <w:shd w:val="clear" w:color="auto" w:fill="FFFFFF"/>
                </w:tcPr>
                <w:p w14:paraId="3A28B947"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31 janvier</w:t>
                  </w:r>
                </w:p>
                <w:p w14:paraId="4758BBD9"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année 2</w:t>
                  </w:r>
                </w:p>
              </w:tc>
              <w:tc>
                <w:tcPr>
                  <w:tcW w:w="5982" w:type="dxa"/>
                  <w:shd w:val="clear" w:color="auto" w:fill="FFFFFF"/>
                </w:tcPr>
                <w:p w14:paraId="430D489F" w14:textId="2E9DA385" w:rsidR="00EF5990" w:rsidRPr="001A1E48" w:rsidRDefault="00EF5990" w:rsidP="00A50663">
                  <w:pPr>
                    <w:spacing w:before="60" w:after="60"/>
                    <w:jc w:val="both"/>
                    <w:rPr>
                      <w:rFonts w:ascii="Arial" w:hAnsi="Arial" w:cs="Arial"/>
                      <w:sz w:val="22"/>
                      <w:szCs w:val="22"/>
                    </w:rPr>
                  </w:pPr>
                  <w:r w:rsidRPr="001A1E48">
                    <w:rPr>
                      <w:rFonts w:ascii="Arial" w:hAnsi="Arial" w:cs="Arial"/>
                      <w:sz w:val="22"/>
                    </w:rPr>
                    <w:t>Aucun changement.</w:t>
                  </w:r>
                </w:p>
                <w:p w14:paraId="6FA7D1B4" w14:textId="77777777" w:rsidR="00EF5990" w:rsidRPr="001A1E48" w:rsidRDefault="00EF5990" w:rsidP="000C3BEA">
                  <w:pPr>
                    <w:spacing w:before="60" w:after="60"/>
                    <w:jc w:val="both"/>
                    <w:rPr>
                      <w:rFonts w:ascii="Arial" w:hAnsi="Arial" w:cs="Arial"/>
                      <w:sz w:val="22"/>
                      <w:szCs w:val="22"/>
                    </w:rPr>
                  </w:pPr>
                </w:p>
              </w:tc>
            </w:tr>
          </w:tbl>
          <w:p w14:paraId="62E6729F" w14:textId="77777777" w:rsidR="00EF5990" w:rsidRPr="001A1E48" w:rsidRDefault="00EF5990" w:rsidP="000C3BEA">
            <w:pPr>
              <w:spacing w:before="120" w:after="120"/>
              <w:jc w:val="both"/>
              <w:rPr>
                <w:rFonts w:ascii="Arial" w:hAnsi="Arial" w:cs="Arial"/>
                <w:sz w:val="22"/>
                <w:szCs w:val="22"/>
              </w:rPr>
            </w:pPr>
          </w:p>
        </w:tc>
      </w:tr>
      <w:tr w:rsidR="00EF5990" w:rsidRPr="001A1E48" w14:paraId="2F0F7F32" w14:textId="77777777" w:rsidTr="00F10BF6">
        <w:tc>
          <w:tcPr>
            <w:tcW w:w="392" w:type="pct"/>
          </w:tcPr>
          <w:p w14:paraId="436BBC05" w14:textId="77777777" w:rsidR="00EF5990" w:rsidRPr="001A1E48" w:rsidRDefault="00EF5990" w:rsidP="000C3BEA">
            <w:pPr>
              <w:spacing w:before="120" w:after="120"/>
              <w:rPr>
                <w:rFonts w:ascii="Arial" w:hAnsi="Arial" w:cs="Arial"/>
                <w:sz w:val="22"/>
              </w:rPr>
            </w:pPr>
            <w:r w:rsidRPr="001A1E48">
              <w:rPr>
                <w:rFonts w:ascii="Arial" w:hAnsi="Arial" w:cs="Arial"/>
                <w:sz w:val="22"/>
              </w:rPr>
              <w:lastRenderedPageBreak/>
              <w:t>55</w:t>
            </w:r>
          </w:p>
        </w:tc>
        <w:tc>
          <w:tcPr>
            <w:tcW w:w="4608" w:type="pct"/>
          </w:tcPr>
          <w:tbl>
            <w:tblPr>
              <w:tblStyle w:val="TableGrid"/>
              <w:tblW w:w="7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6000"/>
            </w:tblGrid>
            <w:tr w:rsidR="00EF5990" w:rsidRPr="001A1E48" w14:paraId="2EA6DD19" w14:textId="77777777" w:rsidTr="000C3BEA">
              <w:trPr>
                <w:cantSplit/>
              </w:trPr>
              <w:tc>
                <w:tcPr>
                  <w:tcW w:w="1364" w:type="dxa"/>
                </w:tcPr>
                <w:p w14:paraId="2ED0AAFE"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Phase 2 :</w:t>
                  </w:r>
                </w:p>
              </w:tc>
              <w:tc>
                <w:tcPr>
                  <w:tcW w:w="6000" w:type="dxa"/>
                </w:tcPr>
                <w:p w14:paraId="163C9EDA"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r w:rsidR="00EF5990" w:rsidRPr="001A1E48" w14:paraId="6607950F" w14:textId="77777777" w:rsidTr="00F10BF6">
              <w:trPr>
                <w:cantSplit/>
              </w:trPr>
              <w:tc>
                <w:tcPr>
                  <w:tcW w:w="1364" w:type="dxa"/>
                </w:tcPr>
                <w:p w14:paraId="527CE1FF"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 xml:space="preserve">décembre année 1 à </w:t>
                  </w:r>
                  <w:r w:rsidRPr="001A1E48">
                    <w:rPr>
                      <w:rFonts w:ascii="Arial" w:hAnsi="Arial" w:cs="Arial"/>
                      <w:strike/>
                      <w:sz w:val="22"/>
                    </w:rPr>
                    <w:t>mai</w:t>
                  </w:r>
                  <w:r w:rsidRPr="001A1E48">
                    <w:rPr>
                      <w:rFonts w:ascii="Arial" w:hAnsi="Arial" w:cs="Arial"/>
                      <w:sz w:val="22"/>
                    </w:rPr>
                    <w:t xml:space="preserve"> </w:t>
                  </w:r>
                  <w:r w:rsidRPr="001A1E48">
                    <w:rPr>
                      <w:rFonts w:ascii="Arial" w:hAnsi="Arial" w:cs="Arial"/>
                      <w:b/>
                      <w:bCs/>
                      <w:sz w:val="22"/>
                      <w:u w:val="single"/>
                    </w:rPr>
                    <w:t>juin</w:t>
                  </w:r>
                  <w:r w:rsidRPr="001A1E48">
                    <w:rPr>
                      <w:rFonts w:ascii="Arial" w:hAnsi="Arial" w:cs="Arial"/>
                      <w:sz w:val="22"/>
                    </w:rPr>
                    <w:t xml:space="preserve"> année 2</w:t>
                  </w:r>
                </w:p>
              </w:tc>
              <w:tc>
                <w:tcPr>
                  <w:tcW w:w="6000" w:type="dxa"/>
                </w:tcPr>
                <w:p w14:paraId="1BF6CC48"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Évaluation individuelle des dossiers par les membres de l’Organe d’évaluation.</w:t>
                  </w:r>
                </w:p>
              </w:tc>
            </w:tr>
            <w:tr w:rsidR="00EF5990" w:rsidRPr="001A1E48" w14:paraId="03EF3713" w14:textId="77777777" w:rsidTr="00F10BF6">
              <w:trPr>
                <w:cantSplit/>
                <w:trHeight w:val="806"/>
              </w:trPr>
              <w:tc>
                <w:tcPr>
                  <w:tcW w:w="1364" w:type="dxa"/>
                </w:tcPr>
                <w:p w14:paraId="4BEE5569"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 xml:space="preserve">juin </w:t>
                  </w:r>
                </w:p>
                <w:p w14:paraId="114F8BBE"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année 2</w:t>
                  </w:r>
                </w:p>
              </w:tc>
              <w:tc>
                <w:tcPr>
                  <w:tcW w:w="6000" w:type="dxa"/>
                </w:tcPr>
                <w:p w14:paraId="36D4272A" w14:textId="4AF87B5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r w:rsidR="00EF5990" w:rsidRPr="001A1E48" w14:paraId="7248C719" w14:textId="77777777" w:rsidTr="000C3BEA">
              <w:trPr>
                <w:cantSplit/>
              </w:trPr>
              <w:tc>
                <w:tcPr>
                  <w:tcW w:w="1364" w:type="dxa"/>
                </w:tcPr>
                <w:p w14:paraId="0B208BF4"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Deux semaines après la réunion de juin année 2</w:t>
                  </w:r>
                </w:p>
              </w:tc>
              <w:tc>
                <w:tcPr>
                  <w:tcW w:w="6000" w:type="dxa"/>
                </w:tcPr>
                <w:p w14:paraId="7AA5BE05"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p w14:paraId="4377B05D" w14:textId="77777777" w:rsidR="00EF5990" w:rsidRPr="001A1E48" w:rsidRDefault="00EF5990" w:rsidP="000C3BEA">
                  <w:pPr>
                    <w:spacing w:before="60" w:after="60"/>
                    <w:jc w:val="both"/>
                    <w:rPr>
                      <w:rFonts w:ascii="Arial" w:hAnsi="Arial" w:cs="Arial"/>
                      <w:sz w:val="22"/>
                      <w:szCs w:val="22"/>
                    </w:rPr>
                  </w:pPr>
                </w:p>
                <w:p w14:paraId="61B5C503" w14:textId="77777777" w:rsidR="00EF5990" w:rsidRPr="001A1E48" w:rsidRDefault="00EF5990" w:rsidP="000C3BEA">
                  <w:pPr>
                    <w:spacing w:before="60" w:after="60"/>
                    <w:jc w:val="both"/>
                    <w:rPr>
                      <w:rFonts w:ascii="Arial" w:hAnsi="Arial" w:cs="Arial"/>
                      <w:sz w:val="22"/>
                      <w:szCs w:val="22"/>
                    </w:rPr>
                  </w:pPr>
                </w:p>
                <w:p w14:paraId="1553ED24" w14:textId="77777777" w:rsidR="00EF5990" w:rsidRPr="001A1E48" w:rsidRDefault="00EF5990" w:rsidP="000C3BEA">
                  <w:pPr>
                    <w:spacing w:before="60" w:after="60"/>
                    <w:jc w:val="both"/>
                    <w:rPr>
                      <w:rFonts w:ascii="Arial" w:hAnsi="Arial" w:cs="Arial"/>
                      <w:sz w:val="22"/>
                      <w:szCs w:val="22"/>
                    </w:rPr>
                  </w:pPr>
                </w:p>
                <w:p w14:paraId="73753395" w14:textId="77777777" w:rsidR="00EF5990" w:rsidRPr="001A1E48" w:rsidRDefault="00EF5990" w:rsidP="00F10BF6">
                  <w:pPr>
                    <w:spacing w:before="60" w:after="60"/>
                    <w:jc w:val="both"/>
                    <w:rPr>
                      <w:rFonts w:ascii="Arial" w:hAnsi="Arial" w:cs="Arial"/>
                      <w:sz w:val="22"/>
                      <w:szCs w:val="22"/>
                    </w:rPr>
                  </w:pPr>
                </w:p>
              </w:tc>
            </w:tr>
            <w:tr w:rsidR="00EF5990" w:rsidRPr="001A1E48" w14:paraId="33CF9F5A" w14:textId="77777777" w:rsidTr="000C3BEA">
              <w:trPr>
                <w:cantSplit/>
              </w:trPr>
              <w:tc>
                <w:tcPr>
                  <w:tcW w:w="1364" w:type="dxa"/>
                </w:tcPr>
                <w:p w14:paraId="6D0B008B"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Au plus tard en septembre année 2</w:t>
                  </w:r>
                </w:p>
              </w:tc>
              <w:tc>
                <w:tcPr>
                  <w:tcW w:w="6000" w:type="dxa"/>
                </w:tcPr>
                <w:p w14:paraId="5A20B514"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r w:rsidR="00EF5990" w:rsidRPr="001A1E48" w14:paraId="38BF4452" w14:textId="77777777" w:rsidTr="000C3BEA">
              <w:trPr>
                <w:cantSplit/>
              </w:trPr>
              <w:tc>
                <w:tcPr>
                  <w:tcW w:w="1364" w:type="dxa"/>
                </w:tcPr>
                <w:p w14:paraId="3F21066E"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Quatre semaines avant la session du Comité</w:t>
                  </w:r>
                </w:p>
              </w:tc>
              <w:tc>
                <w:tcPr>
                  <w:tcW w:w="6000" w:type="dxa"/>
                </w:tcPr>
                <w:p w14:paraId="71006F6B"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bl>
          <w:p w14:paraId="1CACDFB9" w14:textId="77777777" w:rsidR="00EF5990" w:rsidRPr="001A1E48" w:rsidRDefault="00EF5990" w:rsidP="000C3BEA">
            <w:pPr>
              <w:spacing w:before="60" w:after="60"/>
              <w:jc w:val="right"/>
              <w:rPr>
                <w:rFonts w:ascii="Arial" w:hAnsi="Arial" w:cs="Arial"/>
                <w:sz w:val="22"/>
              </w:rPr>
            </w:pPr>
          </w:p>
        </w:tc>
      </w:tr>
      <w:tr w:rsidR="00EF5990" w:rsidRPr="001A1E48" w14:paraId="3A706818" w14:textId="77777777" w:rsidTr="00F10BF6">
        <w:tc>
          <w:tcPr>
            <w:tcW w:w="392" w:type="pct"/>
          </w:tcPr>
          <w:p w14:paraId="008F637B" w14:textId="77777777" w:rsidR="00EF5990" w:rsidRPr="001A1E48" w:rsidRDefault="00EF5990" w:rsidP="000C3BEA">
            <w:pPr>
              <w:spacing w:before="120" w:after="120"/>
              <w:rPr>
                <w:rFonts w:ascii="Arial" w:hAnsi="Arial" w:cs="Arial"/>
                <w:sz w:val="22"/>
              </w:rPr>
            </w:pPr>
            <w:r w:rsidRPr="001A1E48">
              <w:rPr>
                <w:rFonts w:ascii="Arial" w:hAnsi="Arial" w:cs="Arial"/>
                <w:sz w:val="22"/>
              </w:rPr>
              <w:t>56.</w:t>
            </w:r>
          </w:p>
        </w:tc>
        <w:tc>
          <w:tcPr>
            <w:tcW w:w="4608" w:type="pct"/>
          </w:tcPr>
          <w:tbl>
            <w:tblPr>
              <w:tblStyle w:val="TableGrid"/>
              <w:tblW w:w="7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5793"/>
            </w:tblGrid>
            <w:tr w:rsidR="00EF5990" w:rsidRPr="001A1E48" w14:paraId="290633C3" w14:textId="77777777" w:rsidTr="000C3BEA">
              <w:trPr>
                <w:cantSplit/>
                <w:trHeight w:val="352"/>
              </w:trPr>
              <w:tc>
                <w:tcPr>
                  <w:tcW w:w="1612" w:type="dxa"/>
                </w:tcPr>
                <w:p w14:paraId="3CACFBFE"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Phase 3 :</w:t>
                  </w:r>
                </w:p>
              </w:tc>
              <w:tc>
                <w:tcPr>
                  <w:tcW w:w="5793" w:type="dxa"/>
                </w:tcPr>
                <w:p w14:paraId="534C1674" w14:textId="77777777" w:rsidR="00EF5990" w:rsidRPr="001A1E48" w:rsidRDefault="00EF5990" w:rsidP="000C3BEA">
                  <w:pPr>
                    <w:spacing w:before="60" w:after="60"/>
                    <w:jc w:val="both"/>
                    <w:rPr>
                      <w:rFonts w:ascii="Arial" w:hAnsi="Arial" w:cs="Arial"/>
                      <w:sz w:val="22"/>
                      <w:szCs w:val="22"/>
                    </w:rPr>
                  </w:pPr>
                  <w:r w:rsidRPr="001A1E48">
                    <w:rPr>
                      <w:rFonts w:ascii="Arial" w:hAnsi="Arial" w:cs="Arial"/>
                      <w:sz w:val="22"/>
                    </w:rPr>
                    <w:t>Aucun changement</w:t>
                  </w:r>
                </w:p>
              </w:tc>
            </w:tr>
            <w:tr w:rsidR="00EF5990" w:rsidRPr="001A1E48" w14:paraId="7ED5B515" w14:textId="77777777" w:rsidTr="000C3BEA">
              <w:trPr>
                <w:cantSplit/>
                <w:trHeight w:val="846"/>
              </w:trPr>
              <w:tc>
                <w:tcPr>
                  <w:tcW w:w="1612" w:type="dxa"/>
                </w:tcPr>
                <w:p w14:paraId="6DFC8E96"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novembre</w:t>
                  </w:r>
                </w:p>
                <w:p w14:paraId="0CF70D07" w14:textId="77777777" w:rsidR="00EF5990" w:rsidRPr="001A1E48" w:rsidRDefault="00EF5990" w:rsidP="000C3BEA">
                  <w:pPr>
                    <w:spacing w:before="60" w:after="60"/>
                    <w:jc w:val="right"/>
                    <w:rPr>
                      <w:rFonts w:ascii="Arial" w:hAnsi="Arial" w:cs="Arial"/>
                      <w:sz w:val="22"/>
                      <w:szCs w:val="22"/>
                    </w:rPr>
                  </w:pPr>
                  <w:r w:rsidRPr="001A1E48">
                    <w:rPr>
                      <w:rFonts w:ascii="Arial" w:hAnsi="Arial" w:cs="Arial"/>
                      <w:sz w:val="22"/>
                    </w:rPr>
                    <w:t>année 2</w:t>
                  </w:r>
                </w:p>
              </w:tc>
              <w:tc>
                <w:tcPr>
                  <w:tcW w:w="5793" w:type="dxa"/>
                </w:tcPr>
                <w:p w14:paraId="7CBB74D2" w14:textId="77777777" w:rsidR="00EF5990" w:rsidRPr="001A1E48" w:rsidRDefault="00EF5990" w:rsidP="000C3BEA">
                  <w:pPr>
                    <w:spacing w:before="60" w:after="60"/>
                    <w:jc w:val="both"/>
                    <w:rPr>
                      <w:rFonts w:ascii="Arial" w:hAnsi="Arial" w:cs="Arial"/>
                      <w:sz w:val="22"/>
                    </w:rPr>
                  </w:pPr>
                  <w:r w:rsidRPr="001A1E48">
                    <w:rPr>
                      <w:rFonts w:ascii="Arial" w:hAnsi="Arial" w:cs="Arial"/>
                      <w:sz w:val="22"/>
                    </w:rPr>
                    <w:t>Aucun changement</w:t>
                  </w:r>
                </w:p>
                <w:p w14:paraId="71B31912" w14:textId="77777777" w:rsidR="00EF5990" w:rsidRPr="001A1E48" w:rsidRDefault="00EF5990" w:rsidP="000C3BEA">
                  <w:pPr>
                    <w:jc w:val="both"/>
                    <w:rPr>
                      <w:rFonts w:ascii="Arial" w:hAnsi="Arial" w:cs="Arial"/>
                      <w:sz w:val="22"/>
                      <w:szCs w:val="22"/>
                    </w:rPr>
                  </w:pPr>
                </w:p>
              </w:tc>
            </w:tr>
          </w:tbl>
          <w:p w14:paraId="6790D60C" w14:textId="77777777" w:rsidR="00EF5990" w:rsidRPr="001A1E48" w:rsidRDefault="00EF5990" w:rsidP="000C3BEA">
            <w:pPr>
              <w:spacing w:before="60" w:after="60"/>
              <w:jc w:val="right"/>
              <w:rPr>
                <w:rFonts w:ascii="Arial" w:hAnsi="Arial" w:cs="Arial"/>
                <w:sz w:val="22"/>
              </w:rPr>
            </w:pPr>
          </w:p>
        </w:tc>
      </w:tr>
      <w:tr w:rsidR="00EF5990" w:rsidRPr="001A1E48" w14:paraId="4EF26086" w14:textId="77777777" w:rsidTr="00F10BF6">
        <w:tc>
          <w:tcPr>
            <w:tcW w:w="392" w:type="pct"/>
          </w:tcPr>
          <w:p w14:paraId="0556437A" w14:textId="77777777" w:rsidR="00EF5990" w:rsidRPr="00181BC1" w:rsidRDefault="00EF5990" w:rsidP="000C3BEA">
            <w:pPr>
              <w:spacing w:before="120" w:after="120"/>
              <w:rPr>
                <w:rFonts w:ascii="Arial" w:hAnsi="Arial" w:cs="Arial"/>
                <w:sz w:val="22"/>
                <w:szCs w:val="22"/>
              </w:rPr>
            </w:pPr>
            <w:r w:rsidRPr="00181BC1">
              <w:rPr>
                <w:rFonts w:ascii="Arial" w:hAnsi="Arial" w:cs="Arial"/>
                <w:b/>
                <w:sz w:val="22"/>
              </w:rPr>
              <w:t>V.1</w:t>
            </w:r>
          </w:p>
        </w:tc>
        <w:tc>
          <w:tcPr>
            <w:tcW w:w="4608" w:type="pct"/>
          </w:tcPr>
          <w:p w14:paraId="6E305323"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7C2ACE2F" w14:textId="77777777" w:rsidTr="00F10BF6">
        <w:tc>
          <w:tcPr>
            <w:tcW w:w="392" w:type="pct"/>
          </w:tcPr>
          <w:p w14:paraId="436DC36E" w14:textId="77777777" w:rsidR="00EF5990" w:rsidRPr="001A1E48" w:rsidRDefault="00EF5990" w:rsidP="000C3BEA">
            <w:pPr>
              <w:spacing w:before="120" w:after="120"/>
              <w:rPr>
                <w:rFonts w:ascii="Arial" w:hAnsi="Arial" w:cs="Arial"/>
                <w:sz w:val="22"/>
                <w:szCs w:val="22"/>
              </w:rPr>
            </w:pPr>
            <w:r w:rsidRPr="001A1E48">
              <w:rPr>
                <w:rFonts w:ascii="Arial" w:hAnsi="Arial" w:cs="Arial"/>
                <w:sz w:val="22"/>
              </w:rPr>
              <w:t>151.</w:t>
            </w:r>
          </w:p>
        </w:tc>
        <w:tc>
          <w:tcPr>
            <w:tcW w:w="4608" w:type="pct"/>
          </w:tcPr>
          <w:p w14:paraId="4609AC7B" w14:textId="77777777" w:rsidR="00EF5990" w:rsidRPr="001A1E48" w:rsidRDefault="00EF5990" w:rsidP="000C3BEA">
            <w:pPr>
              <w:spacing w:before="120" w:after="120"/>
              <w:ind w:right="175"/>
              <w:jc w:val="both"/>
              <w:rPr>
                <w:rFonts w:ascii="Arial" w:hAnsi="Arial" w:cs="Arial"/>
                <w:sz w:val="22"/>
                <w:szCs w:val="22"/>
              </w:rPr>
            </w:pPr>
            <w:r w:rsidRPr="001A1E48">
              <w:rPr>
                <w:rFonts w:ascii="Arial" w:hAnsi="Arial" w:cs="Arial"/>
                <w:sz w:val="22"/>
              </w:rPr>
              <w:t>Aucun changement</w:t>
            </w:r>
          </w:p>
        </w:tc>
      </w:tr>
      <w:tr w:rsidR="00EF5990" w:rsidRPr="001A1E48" w14:paraId="5D639A96" w14:textId="77777777" w:rsidTr="00F10BF6">
        <w:tc>
          <w:tcPr>
            <w:tcW w:w="392" w:type="pct"/>
          </w:tcPr>
          <w:p w14:paraId="1134E9AC" w14:textId="77777777" w:rsidR="00EF5990" w:rsidRPr="001A1E48" w:rsidRDefault="00EF5990" w:rsidP="000C3BEA">
            <w:pPr>
              <w:spacing w:before="120" w:after="120"/>
              <w:rPr>
                <w:rFonts w:ascii="Arial" w:hAnsi="Arial" w:cs="Arial"/>
                <w:sz w:val="22"/>
                <w:szCs w:val="22"/>
              </w:rPr>
            </w:pPr>
            <w:r w:rsidRPr="001A1E48">
              <w:rPr>
                <w:rFonts w:ascii="Arial" w:hAnsi="Arial" w:cs="Arial"/>
                <w:sz w:val="22"/>
              </w:rPr>
              <w:t>152.</w:t>
            </w:r>
          </w:p>
        </w:tc>
        <w:tc>
          <w:tcPr>
            <w:tcW w:w="4608" w:type="pct"/>
          </w:tcPr>
          <w:p w14:paraId="18750C3F" w14:textId="77777777" w:rsidR="00EF5990" w:rsidRPr="001A1E48" w:rsidRDefault="00EF5990" w:rsidP="000C3BEA">
            <w:pPr>
              <w:spacing w:before="120" w:after="120"/>
              <w:jc w:val="both"/>
              <w:rPr>
                <w:rFonts w:ascii="Arial" w:hAnsi="Arial" w:cs="Arial"/>
                <w:strike/>
                <w:color w:val="000000"/>
                <w:sz w:val="22"/>
                <w:szCs w:val="22"/>
              </w:rPr>
            </w:pPr>
            <w:r w:rsidRPr="001A1E48">
              <w:rPr>
                <w:rFonts w:ascii="Arial" w:hAnsi="Arial" w:cs="Arial"/>
                <w:color w:val="000000"/>
                <w:sz w:val="22"/>
              </w:rPr>
              <w:t xml:space="preserve">Les États parties soumettent leurs rapports périodiques au Comité, au plus tard le </w:t>
            </w:r>
            <w:r w:rsidRPr="001A1E48">
              <w:rPr>
                <w:rFonts w:ascii="Arial" w:hAnsi="Arial" w:cs="Arial"/>
                <w:strike/>
                <w:color w:val="000000"/>
                <w:sz w:val="22"/>
              </w:rPr>
              <w:t>15 décembre tous les six ans, selon une rotation région par région.</w:t>
            </w:r>
            <w:r w:rsidRPr="001A1E48">
              <w:rPr>
                <w:rFonts w:ascii="Arial" w:hAnsi="Arial" w:cs="Arial"/>
                <w:color w:val="000000"/>
                <w:sz w:val="22"/>
              </w:rPr>
              <w:t xml:space="preserve"> </w:t>
            </w:r>
            <w:r w:rsidRPr="001A1E48">
              <w:rPr>
                <w:rFonts w:ascii="Arial" w:hAnsi="Arial" w:cs="Arial"/>
                <w:b/>
                <w:color w:val="000000"/>
                <w:sz w:val="22"/>
                <w:u w:val="single"/>
              </w:rPr>
              <w:t>30 juin, tous les quatre ans, selon un calendrier établi par le Comité.</w:t>
            </w:r>
            <w:r w:rsidRPr="001A1E48">
              <w:rPr>
                <w:rFonts w:ascii="Arial" w:hAnsi="Arial" w:cs="Arial"/>
                <w:color w:val="000000"/>
                <w:sz w:val="22"/>
              </w:rPr>
              <w:t xml:space="preserve"> </w:t>
            </w:r>
            <w:r w:rsidRPr="001A1E48">
              <w:rPr>
                <w:rFonts w:ascii="Arial" w:hAnsi="Arial" w:cs="Arial"/>
                <w:strike/>
                <w:color w:val="000000"/>
                <w:sz w:val="22"/>
              </w:rPr>
              <w:t xml:space="preserve">L’ordre de cette rotation est établi par le Comité au début du cycle de soumission des rapports </w:t>
            </w:r>
            <w:r w:rsidRPr="001A1E48">
              <w:rPr>
                <w:rFonts w:ascii="Arial" w:hAnsi="Arial" w:cs="Arial"/>
                <w:strike/>
                <w:color w:val="000000"/>
                <w:sz w:val="22"/>
              </w:rPr>
              <w:lastRenderedPageBreak/>
              <w:t>périodiques de six ans.</w:t>
            </w:r>
            <w:r w:rsidRPr="001A1E48">
              <w:rPr>
                <w:rFonts w:ascii="Arial" w:hAnsi="Arial" w:cs="Arial"/>
                <w:color w:val="000000"/>
                <w:sz w:val="22"/>
              </w:rPr>
              <w:t xml:space="preserve"> Les États parties utilisent le processus de soumission des rapports périodiques pour renforcer les mesures de suivi, ainsi que la coopération et les échanges actifs au niveau régional, afin d’assurer une sauvegarde efficace du patrimoine culturel immatériel. Le formulaire ICH-10 est utilisé pour ces rapports, il peut être rempli en ligne par chaque État partie (</w:t>
            </w:r>
            <w:hyperlink r:id="rId23" w:history="1">
              <w:r w:rsidRPr="001A1E48">
                <w:rPr>
                  <w:rFonts w:ascii="Arial" w:hAnsi="Arial" w:cs="Arial"/>
                  <w:b/>
                  <w:bCs/>
                  <w:color w:val="0000FF"/>
                  <w:sz w:val="22"/>
                  <w:u w:val="single"/>
                </w:rPr>
                <w:t>https://ich.unesco.org</w:t>
              </w:r>
            </w:hyperlink>
            <w:r w:rsidRPr="001A1E48">
              <w:rPr>
                <w:rFonts w:ascii="Arial" w:hAnsi="Arial" w:cs="Arial"/>
                <w:color w:val="000000"/>
                <w:sz w:val="22"/>
              </w:rPr>
              <w:t>), et il est révisé par le Secrétariat à intervalles appropriés.</w:t>
            </w:r>
          </w:p>
        </w:tc>
      </w:tr>
      <w:tr w:rsidR="00EF5990" w:rsidRPr="001A1E48" w14:paraId="693BF8EB" w14:textId="77777777" w:rsidTr="00F10BF6">
        <w:tc>
          <w:tcPr>
            <w:tcW w:w="392" w:type="pct"/>
          </w:tcPr>
          <w:p w14:paraId="512E5431"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lastRenderedPageBreak/>
              <w:t>153.</w:t>
            </w:r>
          </w:p>
        </w:tc>
        <w:tc>
          <w:tcPr>
            <w:tcW w:w="4608" w:type="pct"/>
          </w:tcPr>
          <w:p w14:paraId="10640C63" w14:textId="77777777" w:rsidR="00EF5990" w:rsidRPr="001A1E48" w:rsidRDefault="00EF5990" w:rsidP="000C3BEA">
            <w:pPr>
              <w:spacing w:before="120" w:after="120"/>
              <w:ind w:right="175"/>
              <w:jc w:val="both"/>
              <w:rPr>
                <w:rFonts w:ascii="Arial" w:hAnsi="Arial" w:cs="Arial"/>
                <w:sz w:val="22"/>
                <w:szCs w:val="22"/>
              </w:rPr>
            </w:pPr>
            <w:r w:rsidRPr="001A1E48">
              <w:rPr>
                <w:rFonts w:ascii="Arial" w:hAnsi="Arial" w:cs="Arial"/>
                <w:sz w:val="22"/>
              </w:rPr>
              <w:t>Aucun changement</w:t>
            </w:r>
          </w:p>
        </w:tc>
      </w:tr>
      <w:tr w:rsidR="00EF5990" w:rsidRPr="001A1E48" w14:paraId="5D85D2E4" w14:textId="77777777" w:rsidTr="00F10BF6">
        <w:tc>
          <w:tcPr>
            <w:tcW w:w="392" w:type="pct"/>
          </w:tcPr>
          <w:p w14:paraId="3CC95019"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154.</w:t>
            </w:r>
          </w:p>
        </w:tc>
        <w:tc>
          <w:tcPr>
            <w:tcW w:w="4608" w:type="pct"/>
          </w:tcPr>
          <w:p w14:paraId="713D7386" w14:textId="77777777" w:rsidR="00EF5990" w:rsidRPr="001A1E48" w:rsidRDefault="00EF5990" w:rsidP="000C3BEA">
            <w:pPr>
              <w:spacing w:before="120" w:after="120"/>
              <w:jc w:val="both"/>
              <w:rPr>
                <w:rFonts w:ascii="Arial" w:hAnsi="Arial" w:cs="Arial"/>
                <w:sz w:val="22"/>
                <w:szCs w:val="22"/>
                <w:u w:val="single"/>
              </w:rPr>
            </w:pPr>
            <w:r w:rsidRPr="001A1E48">
              <w:rPr>
                <w:rFonts w:ascii="Arial" w:hAnsi="Arial" w:cs="Arial"/>
                <w:sz w:val="22"/>
              </w:rPr>
              <w:t>Aucun changement</w:t>
            </w:r>
          </w:p>
        </w:tc>
      </w:tr>
      <w:tr w:rsidR="00EF5990" w:rsidRPr="001A1E48" w14:paraId="5B41DBDE" w14:textId="77777777" w:rsidTr="00F10BF6">
        <w:tc>
          <w:tcPr>
            <w:tcW w:w="392" w:type="pct"/>
          </w:tcPr>
          <w:p w14:paraId="71F84E5D"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155.</w:t>
            </w:r>
          </w:p>
        </w:tc>
        <w:tc>
          <w:tcPr>
            <w:tcW w:w="4608" w:type="pct"/>
          </w:tcPr>
          <w:p w14:paraId="7359E8B8"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773BD8F5" w14:textId="77777777" w:rsidTr="00F10BF6">
        <w:tc>
          <w:tcPr>
            <w:tcW w:w="392" w:type="pct"/>
          </w:tcPr>
          <w:p w14:paraId="089CCBC3"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156.</w:t>
            </w:r>
          </w:p>
        </w:tc>
        <w:tc>
          <w:tcPr>
            <w:tcW w:w="4608" w:type="pct"/>
          </w:tcPr>
          <w:p w14:paraId="2D5028D9"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71A1E29F" w14:textId="77777777" w:rsidTr="00F10BF6">
        <w:tc>
          <w:tcPr>
            <w:tcW w:w="392" w:type="pct"/>
          </w:tcPr>
          <w:p w14:paraId="4DFF34D3"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157.</w:t>
            </w:r>
          </w:p>
        </w:tc>
        <w:tc>
          <w:tcPr>
            <w:tcW w:w="4608" w:type="pct"/>
          </w:tcPr>
          <w:p w14:paraId="093C8408"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0AB1914C" w14:textId="77777777" w:rsidTr="00F10BF6">
        <w:tc>
          <w:tcPr>
            <w:tcW w:w="392" w:type="pct"/>
          </w:tcPr>
          <w:p w14:paraId="6A7FE50C"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158.</w:t>
            </w:r>
          </w:p>
        </w:tc>
        <w:tc>
          <w:tcPr>
            <w:tcW w:w="4608" w:type="pct"/>
          </w:tcPr>
          <w:p w14:paraId="028385D3"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67BBA510" w14:textId="77777777" w:rsidTr="00F10BF6">
        <w:tc>
          <w:tcPr>
            <w:tcW w:w="392" w:type="pct"/>
          </w:tcPr>
          <w:p w14:paraId="591FD971"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159.</w:t>
            </w:r>
          </w:p>
        </w:tc>
        <w:tc>
          <w:tcPr>
            <w:tcW w:w="4608" w:type="pct"/>
          </w:tcPr>
          <w:p w14:paraId="45C9BF45"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 xml:space="preserve">Les États parties répondent, en temps utile, aux demandes d’informations complémentaires spécifiques qui leur sont adressées par le Comité, si nécessaire et indépendamment du </w:t>
            </w:r>
            <w:r w:rsidRPr="001A1E48">
              <w:rPr>
                <w:rFonts w:ascii="Arial" w:hAnsi="Arial" w:cs="Arial"/>
                <w:bCs/>
                <w:strike/>
                <w:sz w:val="22"/>
              </w:rPr>
              <w:t xml:space="preserve">cycle </w:t>
            </w:r>
            <w:r w:rsidRPr="001A1E48">
              <w:rPr>
                <w:rFonts w:ascii="Arial" w:hAnsi="Arial" w:cs="Arial"/>
                <w:strike/>
                <w:sz w:val="22"/>
              </w:rPr>
              <w:t>régional</w:t>
            </w:r>
            <w:r w:rsidRPr="001A1E48">
              <w:rPr>
                <w:rFonts w:ascii="Arial" w:hAnsi="Arial" w:cs="Arial"/>
                <w:sz w:val="22"/>
              </w:rPr>
              <w:t xml:space="preserve"> </w:t>
            </w:r>
            <w:r w:rsidRPr="001A1E48">
              <w:rPr>
                <w:rFonts w:ascii="Arial" w:hAnsi="Arial" w:cs="Arial"/>
                <w:b/>
                <w:bCs/>
                <w:sz w:val="22"/>
                <w:u w:val="single"/>
              </w:rPr>
              <w:t xml:space="preserve">cycle </w:t>
            </w:r>
            <w:r w:rsidRPr="001A1E48">
              <w:rPr>
                <w:rFonts w:ascii="Arial" w:hAnsi="Arial" w:cs="Arial"/>
                <w:b/>
                <w:sz w:val="22"/>
                <w:u w:val="single"/>
              </w:rPr>
              <w:t>ordinaire de rapport</w:t>
            </w:r>
            <w:r w:rsidRPr="001A1E48">
              <w:rPr>
                <w:rFonts w:ascii="Arial" w:hAnsi="Arial" w:cs="Arial"/>
                <w:bCs/>
                <w:sz w:val="22"/>
              </w:rPr>
              <w:t xml:space="preserve"> </w:t>
            </w:r>
            <w:r w:rsidRPr="001A1E48">
              <w:rPr>
                <w:rFonts w:ascii="Arial" w:hAnsi="Arial" w:cs="Arial"/>
                <w:sz w:val="22"/>
              </w:rPr>
              <w:t xml:space="preserve">établi par le Comité, conformément au paragraphe 152 ci-dessus. </w:t>
            </w:r>
          </w:p>
        </w:tc>
      </w:tr>
      <w:tr w:rsidR="00EF5990" w:rsidRPr="001A1E48" w14:paraId="67DB0E9A" w14:textId="77777777" w:rsidTr="00F10BF6">
        <w:tc>
          <w:tcPr>
            <w:tcW w:w="392" w:type="pct"/>
          </w:tcPr>
          <w:p w14:paraId="24B83F57" w14:textId="77777777" w:rsidR="00EF5990" w:rsidRPr="00181BC1" w:rsidRDefault="00EF5990" w:rsidP="000C3BEA">
            <w:pPr>
              <w:spacing w:before="120" w:after="120"/>
              <w:rPr>
                <w:rFonts w:ascii="Arial" w:hAnsi="Arial" w:cs="Arial"/>
                <w:sz w:val="22"/>
                <w:szCs w:val="22"/>
              </w:rPr>
            </w:pPr>
            <w:r w:rsidRPr="00181BC1">
              <w:rPr>
                <w:rFonts w:ascii="Arial" w:hAnsi="Arial" w:cs="Arial"/>
                <w:b/>
                <w:sz w:val="22"/>
              </w:rPr>
              <w:t>V.2</w:t>
            </w:r>
          </w:p>
        </w:tc>
        <w:tc>
          <w:tcPr>
            <w:tcW w:w="4608" w:type="pct"/>
          </w:tcPr>
          <w:p w14:paraId="23E01D91"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3E901909" w14:textId="77777777" w:rsidTr="00F10BF6">
        <w:tc>
          <w:tcPr>
            <w:tcW w:w="392" w:type="pct"/>
          </w:tcPr>
          <w:p w14:paraId="59CC1C5C"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160.</w:t>
            </w:r>
          </w:p>
        </w:tc>
        <w:tc>
          <w:tcPr>
            <w:tcW w:w="4608" w:type="pct"/>
          </w:tcPr>
          <w:p w14:paraId="7FFD96D3"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6E6D12AB" w14:textId="77777777" w:rsidTr="00F10BF6">
        <w:tc>
          <w:tcPr>
            <w:tcW w:w="392" w:type="pct"/>
          </w:tcPr>
          <w:p w14:paraId="391D35D4"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161.</w:t>
            </w:r>
          </w:p>
        </w:tc>
        <w:tc>
          <w:tcPr>
            <w:tcW w:w="4608" w:type="pct"/>
          </w:tcPr>
          <w:p w14:paraId="09D5E98A"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 xml:space="preserve">Ces rapports sont normalement soumis au Comité, au plus tard le </w:t>
            </w:r>
            <w:r w:rsidRPr="001A1E48">
              <w:rPr>
                <w:rFonts w:ascii="Arial" w:hAnsi="Arial" w:cs="Arial"/>
                <w:strike/>
                <w:sz w:val="22"/>
              </w:rPr>
              <w:t xml:space="preserve">15 décembre de la quatrième année qui suit l’année au cours de laquelle l’élément a été inscrit, et ensuite tous les quatre ans </w:t>
            </w:r>
            <w:r w:rsidRPr="001A1E48">
              <w:rPr>
                <w:rFonts w:ascii="Arial" w:hAnsi="Arial" w:cs="Arial"/>
                <w:b/>
                <w:color w:val="000000"/>
                <w:sz w:val="22"/>
                <w:u w:val="single"/>
              </w:rPr>
              <w:t>30 juin tous les quatre ans, sur la base d’un calendrier établi par le Comité</w:t>
            </w:r>
            <w:r w:rsidRPr="001A1E48">
              <w:rPr>
                <w:rFonts w:ascii="Arial" w:hAnsi="Arial" w:cs="Arial"/>
                <w:bCs/>
                <w:color w:val="000000"/>
                <w:sz w:val="22"/>
              </w:rPr>
              <w:t>.</w:t>
            </w:r>
            <w:r w:rsidRPr="001A1E48">
              <w:rPr>
                <w:rFonts w:ascii="Arial" w:hAnsi="Arial" w:cs="Arial"/>
                <w:sz w:val="22"/>
              </w:rPr>
              <w:t xml:space="preserve"> Le formulaire ICH-11 est utilisé pour ces rapports, il </w:t>
            </w:r>
            <w:r w:rsidRPr="001A1E48">
              <w:rPr>
                <w:rFonts w:ascii="Arial" w:hAnsi="Arial" w:cs="Arial"/>
                <w:color w:val="000000"/>
                <w:sz w:val="22"/>
              </w:rPr>
              <w:t xml:space="preserve">peut être </w:t>
            </w:r>
            <w:r w:rsidRPr="001A1E48">
              <w:rPr>
                <w:rFonts w:ascii="Arial" w:hAnsi="Arial" w:cs="Arial"/>
                <w:sz w:val="22"/>
              </w:rPr>
              <w:t>rempli en ligne par chaque État partie (</w:t>
            </w:r>
            <w:hyperlink r:id="rId24" w:history="1">
              <w:r w:rsidRPr="001A1E48">
                <w:rPr>
                  <w:rFonts w:ascii="Arial" w:hAnsi="Arial" w:cs="Arial"/>
                  <w:b/>
                  <w:bCs/>
                  <w:color w:val="0000FF"/>
                  <w:sz w:val="22"/>
                  <w:u w:val="single"/>
                </w:rPr>
                <w:t>https://ich.unesco.org</w:t>
              </w:r>
            </w:hyperlink>
            <w:r w:rsidRPr="001A1E48">
              <w:rPr>
                <w:rFonts w:ascii="Arial" w:hAnsi="Arial" w:cs="Arial"/>
                <w:sz w:val="22"/>
              </w:rPr>
              <w:t>), et il est révisé par le Secrétariat à intervalles appropriés. Au moment de l’inscription, le Comité peut, au cas par cas, établir un calendrier spécifique pour la présentation des rapports qui prévaudra sur le cycle normal de quatre ans.</w:t>
            </w:r>
          </w:p>
        </w:tc>
      </w:tr>
      <w:tr w:rsidR="00EF5990" w:rsidRPr="001A1E48" w14:paraId="7FED545A" w14:textId="77777777" w:rsidTr="00F10BF6">
        <w:tc>
          <w:tcPr>
            <w:tcW w:w="392" w:type="pct"/>
          </w:tcPr>
          <w:p w14:paraId="69722B85"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162.</w:t>
            </w:r>
          </w:p>
        </w:tc>
        <w:tc>
          <w:tcPr>
            <w:tcW w:w="4608" w:type="pct"/>
          </w:tcPr>
          <w:p w14:paraId="010D8D2B"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3248854D" w14:textId="77777777" w:rsidTr="00F10BF6">
        <w:tc>
          <w:tcPr>
            <w:tcW w:w="392" w:type="pct"/>
          </w:tcPr>
          <w:p w14:paraId="4ECA0791"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163.</w:t>
            </w:r>
          </w:p>
        </w:tc>
        <w:tc>
          <w:tcPr>
            <w:tcW w:w="4608" w:type="pct"/>
          </w:tcPr>
          <w:p w14:paraId="56E88BD0"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12B7F038" w14:textId="77777777" w:rsidTr="00F10BF6">
        <w:tc>
          <w:tcPr>
            <w:tcW w:w="392" w:type="pct"/>
          </w:tcPr>
          <w:p w14:paraId="232EB38A" w14:textId="77777777" w:rsidR="00EF5990" w:rsidRPr="00181BC1" w:rsidRDefault="00EF5990" w:rsidP="000C3BEA">
            <w:pPr>
              <w:spacing w:before="120" w:after="120"/>
              <w:rPr>
                <w:rFonts w:ascii="Arial" w:hAnsi="Arial" w:cs="Arial"/>
                <w:sz w:val="22"/>
                <w:szCs w:val="22"/>
              </w:rPr>
            </w:pPr>
            <w:r w:rsidRPr="00181BC1">
              <w:rPr>
                <w:rFonts w:ascii="Arial" w:hAnsi="Arial" w:cs="Arial"/>
                <w:sz w:val="22"/>
              </w:rPr>
              <w:t>164.</w:t>
            </w:r>
          </w:p>
        </w:tc>
        <w:tc>
          <w:tcPr>
            <w:tcW w:w="4608" w:type="pct"/>
          </w:tcPr>
          <w:p w14:paraId="15810C0C"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6286B6C6" w14:textId="77777777" w:rsidTr="00F10BF6">
        <w:tc>
          <w:tcPr>
            <w:tcW w:w="392" w:type="pct"/>
          </w:tcPr>
          <w:p w14:paraId="35874F3D" w14:textId="77777777" w:rsidR="00EF5990" w:rsidRPr="00181BC1" w:rsidRDefault="00EF5990" w:rsidP="000C3BEA">
            <w:pPr>
              <w:spacing w:before="120" w:after="120"/>
              <w:rPr>
                <w:rFonts w:ascii="Arial" w:hAnsi="Arial" w:cs="Arial"/>
                <w:sz w:val="22"/>
                <w:szCs w:val="22"/>
              </w:rPr>
            </w:pPr>
            <w:r w:rsidRPr="00181BC1">
              <w:rPr>
                <w:rFonts w:ascii="Arial" w:hAnsi="Arial" w:cs="Arial"/>
                <w:b/>
                <w:sz w:val="22"/>
              </w:rPr>
              <w:t>V.3</w:t>
            </w:r>
          </w:p>
        </w:tc>
        <w:tc>
          <w:tcPr>
            <w:tcW w:w="4608" w:type="pct"/>
          </w:tcPr>
          <w:p w14:paraId="11FAEDEF"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0F42BF06" w14:textId="77777777" w:rsidTr="00F10BF6">
        <w:tc>
          <w:tcPr>
            <w:tcW w:w="392" w:type="pct"/>
          </w:tcPr>
          <w:p w14:paraId="651EB8AC" w14:textId="77777777" w:rsidR="00EF5990" w:rsidRPr="001A1E48" w:rsidRDefault="00EF5990" w:rsidP="000C3BEA">
            <w:pPr>
              <w:spacing w:before="120" w:after="120"/>
              <w:rPr>
                <w:rFonts w:ascii="Arial" w:hAnsi="Arial" w:cs="Arial"/>
                <w:sz w:val="22"/>
                <w:szCs w:val="22"/>
              </w:rPr>
            </w:pPr>
            <w:r w:rsidRPr="001A1E48">
              <w:rPr>
                <w:rFonts w:ascii="Arial" w:hAnsi="Arial" w:cs="Arial"/>
                <w:sz w:val="22"/>
              </w:rPr>
              <w:t>165.</w:t>
            </w:r>
          </w:p>
        </w:tc>
        <w:tc>
          <w:tcPr>
            <w:tcW w:w="4608" w:type="pct"/>
          </w:tcPr>
          <w:p w14:paraId="1183FB0C"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5792DD1C" w14:textId="77777777" w:rsidTr="00F10BF6">
        <w:tc>
          <w:tcPr>
            <w:tcW w:w="392" w:type="pct"/>
          </w:tcPr>
          <w:p w14:paraId="0EA6FD7C" w14:textId="77777777" w:rsidR="00EF5990" w:rsidRPr="001A1E48" w:rsidRDefault="00EF5990" w:rsidP="000C3BEA">
            <w:pPr>
              <w:spacing w:before="120" w:after="120"/>
              <w:rPr>
                <w:rFonts w:ascii="Arial" w:hAnsi="Arial" w:cs="Arial"/>
                <w:sz w:val="22"/>
                <w:szCs w:val="22"/>
              </w:rPr>
            </w:pPr>
            <w:bookmarkStart w:id="0" w:name="_Hlk208236816"/>
            <w:r w:rsidRPr="001A1E48">
              <w:rPr>
                <w:rFonts w:ascii="Arial" w:hAnsi="Arial" w:cs="Arial"/>
                <w:sz w:val="22"/>
              </w:rPr>
              <w:lastRenderedPageBreak/>
              <w:t>166.</w:t>
            </w:r>
          </w:p>
        </w:tc>
        <w:tc>
          <w:tcPr>
            <w:tcW w:w="4608" w:type="pct"/>
          </w:tcPr>
          <w:p w14:paraId="25D78194"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 xml:space="preserve">Le Secrétariat transmet au Comité, quatre semaines avant sa session, un aperçu de tous les rapports reçus conformément </w:t>
            </w:r>
            <w:r w:rsidRPr="001A1E48">
              <w:rPr>
                <w:rFonts w:ascii="Arial" w:hAnsi="Arial" w:cs="Arial"/>
                <w:strike/>
                <w:sz w:val="22"/>
              </w:rPr>
              <w:t>au paragraphe</w:t>
            </w:r>
            <w:r w:rsidRPr="001A1E48">
              <w:rPr>
                <w:rFonts w:ascii="Arial" w:hAnsi="Arial" w:cs="Arial"/>
                <w:sz w:val="22"/>
              </w:rPr>
              <w:t xml:space="preserve"> </w:t>
            </w:r>
            <w:r w:rsidRPr="001A1E48">
              <w:rPr>
                <w:rFonts w:ascii="Arial" w:hAnsi="Arial" w:cs="Arial"/>
                <w:b/>
                <w:bCs/>
                <w:sz w:val="22"/>
                <w:u w:val="single"/>
              </w:rPr>
              <w:t>aux paragraphes</w:t>
            </w:r>
            <w:r w:rsidRPr="001A1E48">
              <w:rPr>
                <w:rFonts w:ascii="Arial" w:hAnsi="Arial" w:cs="Arial"/>
                <w:sz w:val="22"/>
              </w:rPr>
              <w:t xml:space="preserve"> 152 </w:t>
            </w:r>
            <w:r w:rsidRPr="001A1E48">
              <w:rPr>
                <w:rFonts w:ascii="Arial" w:hAnsi="Arial" w:cs="Arial"/>
                <w:b/>
                <w:sz w:val="22"/>
                <w:u w:val="single"/>
              </w:rPr>
              <w:t>et 161, en conformité avec un calendrier établi par le Comité</w:t>
            </w:r>
            <w:r w:rsidRPr="001A1E48">
              <w:rPr>
                <w:rFonts w:ascii="Arial" w:hAnsi="Arial" w:cs="Arial"/>
                <w:bCs/>
                <w:sz w:val="22"/>
              </w:rPr>
              <w:t xml:space="preserve">. </w:t>
            </w:r>
            <w:r w:rsidRPr="001A1E48">
              <w:rPr>
                <w:rFonts w:ascii="Arial" w:hAnsi="Arial" w:cs="Arial"/>
                <w:sz w:val="22"/>
              </w:rPr>
              <w:t xml:space="preserve">Cet aperçu est également mis en ligne pour consultation publique, de même que les rapports reçus conformément aux paragraphes 152 et 161, dans la langue dans laquelle ils ont été soumis par les États parties, sauf si le Comité en décide autrement dans des cas exceptionnels. </w:t>
            </w:r>
          </w:p>
        </w:tc>
      </w:tr>
      <w:tr w:rsidR="00EF5990" w:rsidRPr="001A1E48" w14:paraId="0B472D58" w14:textId="77777777" w:rsidTr="00F10BF6">
        <w:tc>
          <w:tcPr>
            <w:tcW w:w="392" w:type="pct"/>
          </w:tcPr>
          <w:p w14:paraId="38396CEA" w14:textId="77777777" w:rsidR="00EF5990" w:rsidRPr="001A1E48" w:rsidRDefault="00EF5990" w:rsidP="000C3BEA">
            <w:pPr>
              <w:spacing w:before="120" w:after="120"/>
              <w:rPr>
                <w:rFonts w:ascii="Arial" w:hAnsi="Arial" w:cs="Arial"/>
                <w:sz w:val="22"/>
                <w:szCs w:val="22"/>
              </w:rPr>
            </w:pPr>
            <w:r w:rsidRPr="001A1E48">
              <w:rPr>
                <w:rFonts w:ascii="Arial" w:hAnsi="Arial" w:cs="Arial"/>
                <w:sz w:val="22"/>
              </w:rPr>
              <w:t>167.</w:t>
            </w:r>
          </w:p>
        </w:tc>
        <w:tc>
          <w:tcPr>
            <w:tcW w:w="4608" w:type="pct"/>
          </w:tcPr>
          <w:p w14:paraId="3496765A"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bookmarkEnd w:id="0"/>
      <w:tr w:rsidR="00EF5990" w:rsidRPr="001A1E48" w14:paraId="2CE88E20" w14:textId="77777777" w:rsidTr="00F10BF6">
        <w:tc>
          <w:tcPr>
            <w:tcW w:w="392" w:type="pct"/>
          </w:tcPr>
          <w:p w14:paraId="44A349DB" w14:textId="77777777" w:rsidR="00EF5990" w:rsidRPr="00181BC1" w:rsidRDefault="00EF5990" w:rsidP="000C3BEA">
            <w:pPr>
              <w:spacing w:before="120" w:after="120"/>
              <w:rPr>
                <w:rFonts w:ascii="Arial" w:hAnsi="Arial" w:cs="Arial"/>
                <w:b/>
                <w:sz w:val="22"/>
                <w:szCs w:val="22"/>
              </w:rPr>
            </w:pPr>
            <w:r w:rsidRPr="00181BC1">
              <w:rPr>
                <w:rFonts w:ascii="Arial" w:hAnsi="Arial" w:cs="Arial"/>
                <w:b/>
                <w:sz w:val="22"/>
              </w:rPr>
              <w:t>V.4</w:t>
            </w:r>
          </w:p>
        </w:tc>
        <w:tc>
          <w:tcPr>
            <w:tcW w:w="4608" w:type="pct"/>
          </w:tcPr>
          <w:p w14:paraId="2BE936D0"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51F419F0" w14:textId="77777777" w:rsidTr="00F10BF6">
        <w:tc>
          <w:tcPr>
            <w:tcW w:w="392" w:type="pct"/>
          </w:tcPr>
          <w:p w14:paraId="70A11CD1" w14:textId="77777777" w:rsidR="00EF5990" w:rsidRPr="001A1E48" w:rsidRDefault="00EF5990" w:rsidP="000C3BEA">
            <w:pPr>
              <w:spacing w:before="120" w:after="120"/>
              <w:rPr>
                <w:rFonts w:ascii="Arial" w:hAnsi="Arial" w:cs="Arial"/>
                <w:sz w:val="22"/>
                <w:szCs w:val="22"/>
              </w:rPr>
            </w:pPr>
            <w:r w:rsidRPr="001A1E48">
              <w:rPr>
                <w:rFonts w:ascii="Arial" w:hAnsi="Arial" w:cs="Arial"/>
                <w:sz w:val="22"/>
              </w:rPr>
              <w:t>168.</w:t>
            </w:r>
          </w:p>
        </w:tc>
        <w:tc>
          <w:tcPr>
            <w:tcW w:w="4608" w:type="pct"/>
          </w:tcPr>
          <w:p w14:paraId="4F9CEB1A" w14:textId="77777777" w:rsidR="00EF5990" w:rsidRPr="001A1E48" w:rsidRDefault="00EF5990" w:rsidP="000C3BEA">
            <w:pPr>
              <w:spacing w:before="120" w:after="120"/>
              <w:jc w:val="both"/>
              <w:rPr>
                <w:rFonts w:ascii="Arial" w:hAnsi="Arial" w:cs="Arial"/>
                <w:sz w:val="22"/>
                <w:szCs w:val="22"/>
              </w:rPr>
            </w:pPr>
            <w:r w:rsidRPr="001A1E48">
              <w:rPr>
                <w:rFonts w:ascii="Arial" w:hAnsi="Arial" w:cs="Arial"/>
                <w:sz w:val="22"/>
              </w:rPr>
              <w:t>Aucun changement</w:t>
            </w:r>
          </w:p>
        </w:tc>
      </w:tr>
      <w:tr w:rsidR="00EF5990" w:rsidRPr="001A1E48" w14:paraId="05FF9C0C" w14:textId="77777777" w:rsidTr="00F10BF6">
        <w:tc>
          <w:tcPr>
            <w:tcW w:w="392" w:type="pct"/>
          </w:tcPr>
          <w:p w14:paraId="1C93EFB2" w14:textId="044939C7" w:rsidR="00EF5990" w:rsidRPr="001A1E48" w:rsidRDefault="00EF5990" w:rsidP="000C3BEA">
            <w:pPr>
              <w:spacing w:before="120" w:after="120"/>
              <w:rPr>
                <w:rFonts w:ascii="Arial" w:hAnsi="Arial" w:cs="Arial"/>
                <w:sz w:val="22"/>
                <w:szCs w:val="22"/>
              </w:rPr>
            </w:pPr>
            <w:r w:rsidRPr="001A1E48">
              <w:rPr>
                <w:rFonts w:ascii="Arial" w:hAnsi="Arial" w:cs="Arial"/>
                <w:sz w:val="22"/>
              </w:rPr>
              <w:t>169.</w:t>
            </w:r>
          </w:p>
        </w:tc>
        <w:tc>
          <w:tcPr>
            <w:tcW w:w="4608" w:type="pct"/>
          </w:tcPr>
          <w:p w14:paraId="4A7BAF44" w14:textId="77777777" w:rsidR="00EF5990" w:rsidRPr="001A1E48" w:rsidRDefault="00EF5990" w:rsidP="000C3BEA">
            <w:pPr>
              <w:jc w:val="both"/>
              <w:rPr>
                <w:rFonts w:ascii="Arial" w:hAnsi="Arial" w:cs="Arial"/>
                <w:sz w:val="22"/>
                <w:szCs w:val="22"/>
              </w:rPr>
            </w:pPr>
            <w:r w:rsidRPr="001A1E48">
              <w:rPr>
                <w:rFonts w:ascii="Arial" w:hAnsi="Arial" w:cs="Arial"/>
                <w:sz w:val="22"/>
              </w:rPr>
              <w:t xml:space="preserve">Ces rapports sont présentés au Comité par les États non </w:t>
            </w:r>
            <w:r w:rsidRPr="001A1E48">
              <w:rPr>
                <w:rFonts w:ascii="Arial" w:hAnsi="Arial" w:cs="Arial"/>
                <w:bCs/>
                <w:sz w:val="22"/>
              </w:rPr>
              <w:t xml:space="preserve">parties </w:t>
            </w:r>
            <w:r w:rsidRPr="001A1E48">
              <w:rPr>
                <w:rFonts w:ascii="Arial" w:hAnsi="Arial" w:cs="Arial"/>
                <w:sz w:val="22"/>
              </w:rPr>
              <w:t xml:space="preserve">au plus tard le </w:t>
            </w:r>
            <w:r w:rsidRPr="001A1E48">
              <w:rPr>
                <w:rFonts w:ascii="Arial" w:hAnsi="Arial" w:cs="Arial"/>
                <w:strike/>
                <w:sz w:val="22"/>
              </w:rPr>
              <w:t>15 décembre 2014 et ensuite tous les six ans</w:t>
            </w:r>
            <w:r w:rsidRPr="001A1E48">
              <w:rPr>
                <w:rFonts w:ascii="Arial" w:hAnsi="Arial" w:cs="Arial"/>
                <w:sz w:val="22"/>
              </w:rPr>
              <w:t xml:space="preserve"> </w:t>
            </w:r>
            <w:r w:rsidRPr="001A1E48">
              <w:rPr>
                <w:rFonts w:ascii="Arial" w:hAnsi="Arial" w:cs="Arial"/>
                <w:b/>
                <w:color w:val="000000"/>
                <w:sz w:val="22"/>
                <w:u w:val="single"/>
              </w:rPr>
              <w:t>30 juin</w:t>
            </w:r>
            <w:r w:rsidRPr="001A1E48">
              <w:rPr>
                <w:rFonts w:ascii="Arial" w:hAnsi="Arial" w:cs="Arial"/>
                <w:b/>
                <w:sz w:val="22"/>
                <w:u w:val="single"/>
              </w:rPr>
              <w:t xml:space="preserve"> tous les quatre</w:t>
            </w:r>
            <w:r w:rsidRPr="001A1E48">
              <w:rPr>
                <w:rFonts w:ascii="Arial" w:hAnsi="Arial" w:cs="Arial"/>
                <w:b/>
                <w:bCs/>
                <w:sz w:val="22"/>
                <w:u w:val="single"/>
              </w:rPr>
              <w:t xml:space="preserve"> ans, sur la base d’un calendrier établi par le Comité</w:t>
            </w:r>
            <w:r w:rsidRPr="001A1E48">
              <w:rPr>
                <w:rFonts w:ascii="Arial" w:hAnsi="Arial" w:cs="Arial"/>
                <w:sz w:val="22"/>
              </w:rPr>
              <w:t>. Le formulaire ICH-10 est utilisé pour ces rapports, il peut être rempli en ligne par chaque État concerné (</w:t>
            </w:r>
            <w:hyperlink r:id="rId25" w:history="1">
              <w:r w:rsidRPr="001A1E48">
                <w:rPr>
                  <w:rFonts w:ascii="Arial" w:hAnsi="Arial" w:cs="Arial"/>
                  <w:b/>
                  <w:bCs/>
                  <w:color w:val="0000FF"/>
                  <w:sz w:val="22"/>
                  <w:u w:val="single"/>
                </w:rPr>
                <w:t>https://ich.unesco.org</w:t>
              </w:r>
            </w:hyperlink>
            <w:r w:rsidRPr="001A1E48">
              <w:rPr>
                <w:rFonts w:ascii="Arial" w:hAnsi="Arial" w:cs="Arial"/>
                <w:sz w:val="22"/>
              </w:rPr>
              <w:t>), et il est révisé par le Secrétariat à intervalles appropriés.</w:t>
            </w:r>
          </w:p>
        </w:tc>
      </w:tr>
    </w:tbl>
    <w:p w14:paraId="14B3A673" w14:textId="20B79AB4" w:rsidR="00FC161D" w:rsidRPr="00B91626" w:rsidRDefault="00FC161D" w:rsidP="00FC161D">
      <w:pPr>
        <w:keepNext/>
        <w:spacing w:before="240" w:after="120"/>
        <w:jc w:val="both"/>
        <w:rPr>
          <w:rFonts w:ascii="Arial" w:eastAsia="SimSun" w:hAnsi="Arial" w:cs="Arial"/>
          <w:b/>
          <w:sz w:val="22"/>
          <w:szCs w:val="22"/>
        </w:rPr>
      </w:pPr>
      <w:r w:rsidRPr="00B91626">
        <w:rPr>
          <w:rFonts w:ascii="Arial" w:hAnsi="Arial" w:cs="Arial"/>
          <w:b/>
          <w:sz w:val="22"/>
          <w:szCs w:val="22"/>
        </w:rPr>
        <w:t>RÉSOLUTION</w:t>
      </w:r>
      <w:r w:rsidR="0058384F">
        <w:rPr>
          <w:rFonts w:ascii="Arial" w:hAnsi="Arial" w:cs="Arial"/>
          <w:b/>
          <w:sz w:val="22"/>
          <w:szCs w:val="22"/>
        </w:rPr>
        <w:t xml:space="preserve"> </w:t>
      </w:r>
      <w:r w:rsidRPr="00B91626">
        <w:rPr>
          <w:rFonts w:ascii="Arial" w:hAnsi="Arial" w:cs="Arial"/>
          <w:b/>
          <w:sz w:val="22"/>
          <w:szCs w:val="22"/>
        </w:rPr>
        <w:t>1</w:t>
      </w:r>
      <w:r w:rsidR="00EF2C08">
        <w:rPr>
          <w:rFonts w:ascii="Arial" w:hAnsi="Arial" w:cs="Arial"/>
          <w:b/>
          <w:sz w:val="22"/>
          <w:szCs w:val="22"/>
        </w:rPr>
        <w:t>1</w:t>
      </w:r>
      <w:r w:rsidRPr="00B91626">
        <w:rPr>
          <w:rFonts w:ascii="Arial" w:hAnsi="Arial" w:cs="Arial"/>
          <w:b/>
          <w:sz w:val="22"/>
          <w:szCs w:val="22"/>
        </w:rPr>
        <w:t>.GA</w:t>
      </w:r>
      <w:r w:rsidR="00F10BF6">
        <w:rPr>
          <w:rFonts w:ascii="Arial" w:hAnsi="Arial" w:cs="Arial"/>
          <w:b/>
          <w:sz w:val="22"/>
          <w:szCs w:val="22"/>
        </w:rPr>
        <w:t xml:space="preserve"> </w:t>
      </w:r>
      <w:r w:rsidRPr="00B91626">
        <w:rPr>
          <w:rFonts w:ascii="Arial" w:hAnsi="Arial" w:cs="Arial"/>
          <w:b/>
          <w:sz w:val="22"/>
          <w:szCs w:val="22"/>
        </w:rPr>
        <w:t>8</w:t>
      </w:r>
    </w:p>
    <w:p w14:paraId="436D2D85" w14:textId="5976DFEF" w:rsidR="005708B8" w:rsidRPr="005708B8" w:rsidRDefault="005708B8" w:rsidP="005708B8">
      <w:pPr>
        <w:keepNext/>
        <w:spacing w:after="120"/>
        <w:jc w:val="both"/>
        <w:rPr>
          <w:rFonts w:ascii="Arial" w:eastAsia="SimSun" w:hAnsi="Arial" w:cs="Arial"/>
          <w:sz w:val="22"/>
          <w:szCs w:val="22"/>
        </w:rPr>
      </w:pPr>
      <w:r w:rsidRPr="005708B8">
        <w:rPr>
          <w:rFonts w:ascii="Arial" w:hAnsi="Arial" w:cs="Arial"/>
          <w:sz w:val="22"/>
          <w:szCs w:val="22"/>
        </w:rPr>
        <w:t>L’Assemblée générale,</w:t>
      </w:r>
    </w:p>
    <w:p w14:paraId="4E780F52" w14:textId="7A85FAEA"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Ayant examiné</w:t>
      </w:r>
      <w:r w:rsidRPr="005708B8">
        <w:rPr>
          <w:rFonts w:ascii="Arial" w:eastAsia="SimSun" w:hAnsi="Arial" w:cs="Arial"/>
          <w:sz w:val="22"/>
          <w:szCs w:val="22"/>
        </w:rPr>
        <w:t xml:space="preserve"> les documents </w:t>
      </w:r>
      <w:hyperlink r:id="rId26" w:history="1">
        <w:r w:rsidRPr="007066E8">
          <w:rPr>
            <w:rStyle w:val="Hyperlink"/>
            <w:rFonts w:ascii="Arial" w:eastAsia="SimSun" w:hAnsi="Arial" w:cs="Arial"/>
            <w:sz w:val="22"/>
            <w:szCs w:val="22"/>
          </w:rPr>
          <w:t>LHE/26/11.GA/8</w:t>
        </w:r>
      </w:hyperlink>
      <w:r w:rsidRPr="005708B8">
        <w:rPr>
          <w:rFonts w:ascii="Arial" w:eastAsia="SimSun" w:hAnsi="Arial" w:cs="Arial"/>
          <w:sz w:val="22"/>
          <w:szCs w:val="22"/>
        </w:rPr>
        <w:t xml:space="preserve"> et </w:t>
      </w:r>
      <w:hyperlink r:id="rId27" w:history="1">
        <w:r w:rsidRPr="005708B8">
          <w:rPr>
            <w:rFonts w:ascii="Arial" w:eastAsia="SimSun" w:hAnsi="Arial" w:cs="Arial"/>
            <w:color w:val="0000FF"/>
            <w:sz w:val="22"/>
            <w:szCs w:val="22"/>
            <w:u w:val="single"/>
          </w:rPr>
          <w:t>LHE/26/11.GA/INF.8</w:t>
        </w:r>
      </w:hyperlink>
      <w:r w:rsidRPr="005708B8">
        <w:rPr>
          <w:rFonts w:ascii="Arial" w:eastAsia="SimSun" w:hAnsi="Arial" w:cs="Arial"/>
          <w:sz w:val="22"/>
          <w:szCs w:val="22"/>
        </w:rPr>
        <w:t xml:space="preserve"> et leurs annexes respectives, </w:t>
      </w:r>
    </w:p>
    <w:p w14:paraId="6EF0ABFB"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 xml:space="preserve">Rappelant </w:t>
      </w:r>
      <w:r w:rsidRPr="005708B8">
        <w:rPr>
          <w:rFonts w:ascii="Arial" w:eastAsia="SimSun" w:hAnsi="Arial" w:cs="Arial"/>
          <w:sz w:val="22"/>
          <w:szCs w:val="22"/>
        </w:rPr>
        <w:t>l’article 7(c) de la Convention et le chapitre II.1 des Directives opérationnelles,</w:t>
      </w:r>
    </w:p>
    <w:p w14:paraId="2202AB4E" w14:textId="1975608A"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Rappelant en outre</w:t>
      </w:r>
      <w:r w:rsidRPr="005708B8">
        <w:rPr>
          <w:rFonts w:ascii="Arial" w:eastAsia="SimSun" w:hAnsi="Arial" w:cs="Arial"/>
          <w:sz w:val="22"/>
          <w:szCs w:val="22"/>
        </w:rPr>
        <w:t xml:space="preserve"> la Résolution de la Conférence générale de l’UNESCO portant ouverture de crédits pour </w:t>
      </w:r>
      <w:bookmarkStart w:id="1" w:name="_Hlk150367455"/>
      <w:r w:rsidRPr="005708B8">
        <w:rPr>
          <w:rFonts w:ascii="Arial" w:eastAsia="SimSun" w:hAnsi="Arial" w:cs="Arial"/>
          <w:sz w:val="22"/>
          <w:szCs w:val="22"/>
        </w:rPr>
        <w:t>2026</w:t>
      </w:r>
      <w:bookmarkEnd w:id="1"/>
      <w:r w:rsidRPr="005708B8">
        <w:rPr>
          <w:rFonts w:ascii="Arial" w:eastAsia="SimSun" w:hAnsi="Arial" w:cs="Arial"/>
          <w:sz w:val="22"/>
          <w:szCs w:val="22"/>
        </w:rPr>
        <w:t xml:space="preserve">-2027 </w:t>
      </w:r>
      <w:r w:rsidRPr="005708B8">
        <w:rPr>
          <w:rFonts w:ascii="Arial" w:eastAsia="SimSun" w:hAnsi="Arial" w:cs="Arial"/>
          <w:color w:val="212121"/>
          <w:sz w:val="22"/>
          <w:szCs w:val="22"/>
          <w:shd w:val="clear" w:color="auto" w:fill="FFFFFF"/>
        </w:rPr>
        <w:t>(</w:t>
      </w:r>
      <w:hyperlink r:id="rId28" w:history="1">
        <w:r w:rsidRPr="005708B8">
          <w:rPr>
            <w:rFonts w:ascii="Arial" w:eastAsia="SimSun" w:hAnsi="Arial" w:cs="Arial"/>
            <w:color w:val="0000FF"/>
            <w:sz w:val="22"/>
            <w:szCs w:val="22"/>
            <w:u w:val="single"/>
          </w:rPr>
          <w:t>43 C/Résolution</w:t>
        </w:r>
        <w:r w:rsidR="0058384F">
          <w:rPr>
            <w:rFonts w:ascii="Arial" w:eastAsia="SimSun" w:hAnsi="Arial" w:cs="Arial"/>
            <w:color w:val="0000FF"/>
            <w:sz w:val="22"/>
            <w:szCs w:val="22"/>
            <w:u w:val="single"/>
          </w:rPr>
          <w:t xml:space="preserve"> </w:t>
        </w:r>
        <w:r w:rsidRPr="005708B8">
          <w:rPr>
            <w:rFonts w:ascii="Arial" w:eastAsia="SimSun" w:hAnsi="Arial" w:cs="Arial"/>
            <w:color w:val="0000FF"/>
            <w:sz w:val="22"/>
            <w:szCs w:val="22"/>
            <w:u w:val="single"/>
          </w:rPr>
          <w:t>84</w:t>
        </w:r>
      </w:hyperlink>
      <w:r w:rsidRPr="005708B8">
        <w:rPr>
          <w:rFonts w:ascii="Arial" w:eastAsia="SimSun" w:hAnsi="Arial" w:cs="Arial"/>
          <w:color w:val="212121"/>
          <w:sz w:val="22"/>
          <w:szCs w:val="22"/>
          <w:shd w:val="clear" w:color="auto" w:fill="FFFFFF"/>
        </w:rPr>
        <w:t>)</w:t>
      </w:r>
      <w:r w:rsidRPr="005708B8">
        <w:rPr>
          <w:rFonts w:ascii="Arial" w:eastAsia="SimSun" w:hAnsi="Arial" w:cs="Arial"/>
          <w:sz w:val="22"/>
          <w:szCs w:val="22"/>
        </w:rPr>
        <w:t>,</w:t>
      </w:r>
    </w:p>
    <w:p w14:paraId="5B729132" w14:textId="33B044ED"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Rappelant également</w:t>
      </w:r>
      <w:r w:rsidRPr="005708B8">
        <w:rPr>
          <w:rFonts w:ascii="Arial" w:eastAsia="SimSun" w:hAnsi="Arial" w:cs="Arial"/>
          <w:sz w:val="22"/>
          <w:szCs w:val="22"/>
        </w:rPr>
        <w:t xml:space="preserve"> les décisions </w:t>
      </w:r>
      <w:hyperlink r:id="rId29" w:history="1">
        <w:r w:rsidRPr="005708B8">
          <w:rPr>
            <w:rFonts w:ascii="Arial" w:eastAsia="SimSun" w:hAnsi="Arial" w:cs="Arial"/>
            <w:color w:val="0000FF"/>
            <w:sz w:val="22"/>
            <w:szCs w:val="22"/>
            <w:u w:val="single"/>
          </w:rPr>
          <w:t>20.COM</w:t>
        </w:r>
        <w:r w:rsidR="0058384F">
          <w:rPr>
            <w:rFonts w:ascii="Arial" w:eastAsia="SimSun" w:hAnsi="Arial" w:cs="Arial"/>
            <w:color w:val="0000FF"/>
            <w:sz w:val="22"/>
            <w:szCs w:val="22"/>
            <w:u w:val="single"/>
          </w:rPr>
          <w:t xml:space="preserve"> </w:t>
        </w:r>
        <w:r w:rsidRPr="005708B8">
          <w:rPr>
            <w:rFonts w:ascii="Arial" w:eastAsia="SimSun" w:hAnsi="Arial" w:cs="Arial"/>
            <w:color w:val="0000FF"/>
            <w:sz w:val="22"/>
            <w:szCs w:val="22"/>
            <w:u w:val="single"/>
          </w:rPr>
          <w:t>13</w:t>
        </w:r>
      </w:hyperlink>
      <w:r w:rsidRPr="005708B8">
        <w:rPr>
          <w:rFonts w:ascii="Arial" w:eastAsia="SimSun" w:hAnsi="Arial" w:cs="Arial"/>
          <w:sz w:val="22"/>
          <w:szCs w:val="22"/>
        </w:rPr>
        <w:t xml:space="preserve"> et </w:t>
      </w:r>
      <w:hyperlink r:id="rId30" w:history="1">
        <w:r w:rsidRPr="005708B8">
          <w:rPr>
            <w:rFonts w:ascii="Arial" w:eastAsia="SimSun" w:hAnsi="Arial" w:cs="Arial"/>
            <w:color w:val="0000FF"/>
            <w:sz w:val="22"/>
            <w:szCs w:val="22"/>
            <w:u w:val="single"/>
          </w:rPr>
          <w:t>20.COM</w:t>
        </w:r>
        <w:r w:rsidR="0058384F">
          <w:rPr>
            <w:rFonts w:ascii="Arial" w:eastAsia="SimSun" w:hAnsi="Arial" w:cs="Arial"/>
            <w:color w:val="0000FF"/>
            <w:sz w:val="22"/>
            <w:szCs w:val="22"/>
            <w:u w:val="single"/>
          </w:rPr>
          <w:t xml:space="preserve"> </w:t>
        </w:r>
        <w:r w:rsidRPr="005708B8">
          <w:rPr>
            <w:rFonts w:ascii="Arial" w:eastAsia="SimSun" w:hAnsi="Arial" w:cs="Arial"/>
            <w:color w:val="0000FF"/>
            <w:sz w:val="22"/>
            <w:szCs w:val="22"/>
            <w:u w:val="single"/>
          </w:rPr>
          <w:t>14</w:t>
        </w:r>
      </w:hyperlink>
      <w:r w:rsidRPr="005708B8">
        <w:rPr>
          <w:rFonts w:ascii="Arial" w:eastAsia="SimSun" w:hAnsi="Arial" w:cs="Arial"/>
          <w:sz w:val="22"/>
          <w:szCs w:val="22"/>
        </w:rPr>
        <w:t xml:space="preserve"> du Comité, </w:t>
      </w:r>
    </w:p>
    <w:p w14:paraId="55391E67" w14:textId="77777777" w:rsidR="005708B8" w:rsidRPr="005708B8" w:rsidRDefault="005708B8" w:rsidP="005708B8">
      <w:pPr>
        <w:keepNext/>
        <w:keepLines/>
        <w:autoSpaceDE w:val="0"/>
        <w:autoSpaceDN w:val="0"/>
        <w:adjustRightInd w:val="0"/>
        <w:spacing w:after="120"/>
        <w:ind w:left="567"/>
        <w:jc w:val="both"/>
        <w:rPr>
          <w:rFonts w:ascii="Arial" w:eastAsia="SimSun" w:hAnsi="Arial" w:cs="Arial"/>
          <w:b/>
          <w:bCs/>
          <w:sz w:val="22"/>
          <w:szCs w:val="22"/>
        </w:rPr>
      </w:pPr>
      <w:r w:rsidRPr="005708B8">
        <w:rPr>
          <w:rFonts w:ascii="Arial" w:eastAsia="SimSun" w:hAnsi="Arial" w:cs="Arial"/>
          <w:b/>
          <w:sz w:val="22"/>
          <w:szCs w:val="22"/>
        </w:rPr>
        <w:t>Situation et évolution du Fonds</w:t>
      </w:r>
    </w:p>
    <w:p w14:paraId="0B503D32"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Prend note</w:t>
      </w:r>
      <w:r w:rsidRPr="005708B8">
        <w:rPr>
          <w:rFonts w:ascii="Arial" w:eastAsia="SimSun" w:hAnsi="Arial" w:cs="Arial"/>
          <w:sz w:val="22"/>
          <w:szCs w:val="22"/>
        </w:rPr>
        <w:t xml:space="preserve"> de l’état des contributions mises en recouvrement du Fonds pour 2024-2025, </w:t>
      </w:r>
      <w:r w:rsidRPr="005708B8">
        <w:rPr>
          <w:rFonts w:ascii="Arial" w:eastAsia="SimSun" w:hAnsi="Arial" w:cs="Arial"/>
          <w:sz w:val="22"/>
          <w:szCs w:val="22"/>
          <w:u w:val="single"/>
        </w:rPr>
        <w:t>rappelle</w:t>
      </w:r>
      <w:r w:rsidRPr="005708B8">
        <w:rPr>
          <w:rFonts w:ascii="Arial" w:eastAsia="SimSun" w:hAnsi="Arial" w:cs="Arial"/>
          <w:sz w:val="22"/>
          <w:szCs w:val="22"/>
        </w:rPr>
        <w:t xml:space="preserve"> que le paiement des contributions obligatoires et des contributions volontaires mises en recouvrement est, en vertu de l’article 26 de la Convention, une obligation qui incombe à tous les États parties qui ont ratifié la Convention, et </w:t>
      </w:r>
      <w:r w:rsidRPr="005708B8">
        <w:rPr>
          <w:rFonts w:ascii="Arial" w:eastAsia="SimSun" w:hAnsi="Arial" w:cs="Arial"/>
          <w:sz w:val="22"/>
          <w:szCs w:val="22"/>
          <w:u w:val="single"/>
        </w:rPr>
        <w:t>demande</w:t>
      </w:r>
      <w:r w:rsidRPr="005708B8">
        <w:rPr>
          <w:rFonts w:ascii="Arial" w:eastAsia="SimSun" w:hAnsi="Arial" w:cs="Arial"/>
          <w:sz w:val="22"/>
          <w:szCs w:val="22"/>
        </w:rPr>
        <w:t xml:space="preserve"> à tous les États parties qui n’ont pas encore réglé la totalité de leurs contributions mises en recouvrement, y compris leurs contributions volontaires mises en recouvrement, à s’assurer que leurs contributions soient payées le plus tôt possible ; </w:t>
      </w:r>
    </w:p>
    <w:p w14:paraId="20487099"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Prend en outre note</w:t>
      </w:r>
      <w:r w:rsidRPr="005708B8">
        <w:rPr>
          <w:rFonts w:ascii="Arial" w:eastAsia="SimSun" w:hAnsi="Arial" w:cs="Arial"/>
          <w:sz w:val="22"/>
          <w:szCs w:val="22"/>
        </w:rPr>
        <w:t xml:space="preserve"> des donateurs qui ont versé au cours de l’exercice biennal 2024-2025 : (a) des contributions volontaires supplémentaires pour des activités du programme, à savoir Saint-Vincent-et-les-Grenadines, (b) des contributions supplémentaires volontaires pour des activités spécifiques approuvées par le Comité, à savoir le Royaume des Pays-Bas et la Suède, ainsi que (c) des contributions volontaires supplémentaires au sous-fonds pour le renforcement des capacités humaines du Secrétariat, à savoir la France, la Lituanie, Monaco, la Slovénie et le Royaume-Uni de Grande-Bretagne et d’Irlande du Nord ;</w:t>
      </w:r>
    </w:p>
    <w:p w14:paraId="1614515C"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Remercie</w:t>
      </w:r>
      <w:r w:rsidRPr="005708B8">
        <w:rPr>
          <w:rFonts w:ascii="Arial" w:eastAsia="SimSun" w:hAnsi="Arial" w:cs="Arial"/>
          <w:sz w:val="22"/>
          <w:szCs w:val="22"/>
        </w:rPr>
        <w:t xml:space="preserve"> tous les contributeurs qui ont soutenu la Convention et son Secrétariat, depuis sa dernière session, par différentes formes de soutien, financier ou en nature, telles que les contributions volontaires supplémentaires au Fonds du patrimoine culturel immatériel, y compris le sous-fonds pour le renforcement des capacités humaines du Secrétariat, les fonds-en-dépôt, ou le personnel détaché, et </w:t>
      </w:r>
      <w:r w:rsidRPr="005708B8">
        <w:rPr>
          <w:rFonts w:ascii="Arial" w:eastAsia="SimSun" w:hAnsi="Arial" w:cs="Arial"/>
          <w:sz w:val="22"/>
          <w:szCs w:val="22"/>
          <w:u w:val="single"/>
        </w:rPr>
        <w:t>encourage</w:t>
      </w:r>
      <w:r w:rsidRPr="005708B8">
        <w:rPr>
          <w:rFonts w:ascii="Arial" w:eastAsia="SimSun" w:hAnsi="Arial" w:cs="Arial"/>
          <w:sz w:val="22"/>
          <w:szCs w:val="22"/>
        </w:rPr>
        <w:t xml:space="preserve"> les contributeurs potentiels à envisager la possibilité de soutenir la Convention par le biais de la modalité de leur choix ;</w:t>
      </w:r>
    </w:p>
    <w:p w14:paraId="2481FD9B"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lastRenderedPageBreak/>
        <w:t>Réaffirme</w:t>
      </w:r>
      <w:r w:rsidRPr="005708B8">
        <w:rPr>
          <w:rFonts w:ascii="Arial" w:eastAsia="SimSun" w:hAnsi="Arial" w:cs="Arial"/>
          <w:sz w:val="22"/>
          <w:szCs w:val="22"/>
        </w:rPr>
        <w:t xml:space="preserve"> la nécessité de renforcer durablement les ressources humaines du Secrétariat pour lui permettre de répondre aux besoins des États parties et </w:t>
      </w:r>
      <w:r w:rsidRPr="005708B8">
        <w:rPr>
          <w:rFonts w:ascii="Arial" w:eastAsia="SimSun" w:hAnsi="Arial" w:cs="Arial"/>
          <w:sz w:val="22"/>
          <w:szCs w:val="22"/>
          <w:u w:val="single"/>
        </w:rPr>
        <w:t>invite</w:t>
      </w:r>
      <w:r w:rsidRPr="005708B8">
        <w:rPr>
          <w:rFonts w:ascii="Arial" w:eastAsia="SimSun" w:hAnsi="Arial" w:cs="Arial"/>
          <w:sz w:val="22"/>
          <w:szCs w:val="22"/>
        </w:rPr>
        <w:t xml:space="preserve"> les États parties à verser des contributions volontaires supplémentaires au sous-fonds pour le renforcement des capacités humaines du Secrétariat ;</w:t>
      </w:r>
    </w:p>
    <w:p w14:paraId="29EAEC37" w14:textId="77777777" w:rsidR="005708B8" w:rsidRPr="005708B8" w:rsidRDefault="005708B8" w:rsidP="005708B8">
      <w:pPr>
        <w:keepNext/>
        <w:keepLines/>
        <w:autoSpaceDE w:val="0"/>
        <w:autoSpaceDN w:val="0"/>
        <w:adjustRightInd w:val="0"/>
        <w:spacing w:after="120"/>
        <w:ind w:left="567"/>
        <w:jc w:val="both"/>
        <w:rPr>
          <w:rFonts w:ascii="Arial" w:eastAsia="SimSun" w:hAnsi="Arial" w:cs="Arial"/>
          <w:b/>
          <w:bCs/>
          <w:sz w:val="22"/>
          <w:szCs w:val="22"/>
        </w:rPr>
      </w:pPr>
      <w:r w:rsidRPr="005708B8">
        <w:rPr>
          <w:rFonts w:ascii="Arial" w:eastAsia="SimSun" w:hAnsi="Arial" w:cs="Arial"/>
          <w:b/>
          <w:sz w:val="22"/>
          <w:szCs w:val="22"/>
        </w:rPr>
        <w:t>Plan relatif à l’utilisation des ressources du Fonds</w:t>
      </w:r>
    </w:p>
    <w:p w14:paraId="3474C9B5"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Approuve</w:t>
      </w:r>
      <w:r w:rsidRPr="005708B8">
        <w:rPr>
          <w:rFonts w:ascii="Arial" w:eastAsia="SimSun" w:hAnsi="Arial" w:cs="Arial"/>
          <w:sz w:val="22"/>
          <w:szCs w:val="22"/>
        </w:rPr>
        <w:t> le Plan d’utilisation des ressources du Fonds pour la période du 1 janvier 2026 au 31 décembre 2027 ainsi que pour la période du 1 janvier 2028 au 30 juin 2028, qui figure en annexe de la présente résolution ;</w:t>
      </w:r>
    </w:p>
    <w:p w14:paraId="7F6AE26B"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Comprend</w:t>
      </w:r>
      <w:r w:rsidRPr="005708B8">
        <w:rPr>
          <w:rFonts w:ascii="Arial" w:eastAsia="SimSun" w:hAnsi="Arial" w:cs="Arial"/>
          <w:sz w:val="22"/>
          <w:szCs w:val="22"/>
        </w:rPr>
        <w:t xml:space="preserve"> que, lors de sa douzième session en 2028, elle pourra réajuster le plan budgétaire du 1 janvier 2028 au 30 juin 2028 ; si l’Assemblée générale n’est pas en mesure de se réunir avant le 30 juin 2028, le Secrétariat est autorisé à poursuivre ses activités jusqu’à ce que l’Assemblée générale soit en mesure de se réunir ;</w:t>
      </w:r>
    </w:p>
    <w:p w14:paraId="427D0F84"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Prend également note</w:t>
      </w:r>
      <w:r w:rsidRPr="005708B8">
        <w:rPr>
          <w:rFonts w:ascii="Arial" w:eastAsia="SimSun" w:hAnsi="Arial" w:cs="Arial"/>
          <w:sz w:val="22"/>
          <w:szCs w:val="22"/>
        </w:rPr>
        <w:t xml:space="preserve"> de l’autorisation accordée par le Comité au Secrétariat d’utiliser un montant ne dépassant pas 10 pour cent du budget approuvé de chaque projet d’aide internationale, en plus du montant accordé par le Comité ou son Bureau pour chaque projet, afin de suivre et d’évaluer l’impact des projets soutenus par le Fonds ;</w:t>
      </w:r>
    </w:p>
    <w:p w14:paraId="52C9237A"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Prend note en outre</w:t>
      </w:r>
      <w:r w:rsidRPr="005708B8">
        <w:rPr>
          <w:rFonts w:ascii="Arial" w:eastAsia="SimSun" w:hAnsi="Arial" w:cs="Arial"/>
          <w:sz w:val="22"/>
          <w:szCs w:val="22"/>
        </w:rPr>
        <w:t xml:space="preserve"> de l’autorisation accordée par le Comité au Secrétariat, lorsqu’il utilise les fonds alloués au titre de la ligne budgétaire 3 du Plan, d’effectuer des transferts entre les activités relevant de la ligne budgétaire 3 jusqu’à un montant cumulé équivalent à 5 pour cent de l’allocation initiale totale proposée à l’Assemblée générale à cette fin ;</w:t>
      </w:r>
    </w:p>
    <w:p w14:paraId="0962E813"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Autorise</w:t>
      </w:r>
      <w:r w:rsidRPr="005708B8">
        <w:rPr>
          <w:rFonts w:ascii="Arial" w:eastAsia="SimSun" w:hAnsi="Arial" w:cs="Arial"/>
          <w:sz w:val="22"/>
          <w:szCs w:val="22"/>
        </w:rPr>
        <w:t xml:space="preserve"> le Comité à utiliser immédiatement toute contribution volontaire supplémentaire qui pourrait être reçue durant ces périodes, comme le prévoit l’article 27 de la Convention, conformément aux pourcentages définis par le Plan ;</w:t>
      </w:r>
    </w:p>
    <w:p w14:paraId="326DD1D5" w14:textId="77777777" w:rsidR="005708B8" w:rsidRPr="005708B8" w:rsidRDefault="005708B8" w:rsidP="005708B8">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rPr>
      </w:pPr>
      <w:r w:rsidRPr="005708B8">
        <w:rPr>
          <w:rFonts w:ascii="Arial" w:eastAsia="SimSun" w:hAnsi="Arial" w:cs="Arial"/>
          <w:sz w:val="22"/>
          <w:szCs w:val="22"/>
          <w:u w:val="single"/>
        </w:rPr>
        <w:t>Autorise en outre</w:t>
      </w:r>
      <w:r w:rsidRPr="005708B8">
        <w:rPr>
          <w:rFonts w:ascii="Arial" w:eastAsia="SimSun" w:hAnsi="Arial" w:cs="Arial"/>
          <w:sz w:val="22"/>
          <w:szCs w:val="22"/>
        </w:rPr>
        <w:t xml:space="preserve"> le Comité à utiliser immédiatement toute contribution qu’il pourrait accepter, durant ces périodes, à des fins spécifiques se rapportant à des projets déterminés, pourvu que ces projets aient été approuvés par le Comité avant la réception des fonds, comme le prévoit l’article 25.5 de la Convention ;</w:t>
      </w:r>
    </w:p>
    <w:p w14:paraId="0B454BA7" w14:textId="77777777" w:rsidR="005708B8" w:rsidRPr="005708B8" w:rsidRDefault="005708B8" w:rsidP="005D6AF6">
      <w:pPr>
        <w:pStyle w:val="ListParagraph"/>
        <w:numPr>
          <w:ilvl w:val="0"/>
          <w:numId w:val="45"/>
        </w:numPr>
        <w:autoSpaceDE w:val="0"/>
        <w:autoSpaceDN w:val="0"/>
        <w:adjustRightInd w:val="0"/>
        <w:spacing w:after="120"/>
        <w:ind w:left="567" w:hanging="567"/>
        <w:contextualSpacing w:val="0"/>
        <w:jc w:val="both"/>
        <w:rPr>
          <w:rFonts w:ascii="Arial" w:eastAsia="SimSun" w:hAnsi="Arial" w:cs="Arial"/>
          <w:sz w:val="22"/>
          <w:szCs w:val="22"/>
          <w:u w:val="single"/>
        </w:rPr>
      </w:pPr>
      <w:r w:rsidRPr="005708B8">
        <w:rPr>
          <w:rFonts w:ascii="Arial" w:eastAsia="SimSun" w:hAnsi="Arial" w:cs="Arial"/>
          <w:sz w:val="22"/>
          <w:szCs w:val="22"/>
          <w:u w:val="single"/>
        </w:rPr>
        <w:t>Autorise également</w:t>
      </w:r>
      <w:r w:rsidRPr="005708B8">
        <w:rPr>
          <w:rFonts w:ascii="Arial" w:eastAsia="SimSun" w:hAnsi="Arial" w:cs="Arial"/>
          <w:sz w:val="22"/>
          <w:szCs w:val="22"/>
        </w:rPr>
        <w:t xml:space="preserve"> le Secrétariat à opérer des transferts entre les lignes budgétaires 4, 5, 6 et 7 jusqu’à un montant équivalent à 30 % de leur allocation initiale totale et </w:t>
      </w:r>
      <w:r w:rsidRPr="005708B8">
        <w:rPr>
          <w:rFonts w:ascii="Arial" w:eastAsia="SimSun" w:hAnsi="Arial" w:cs="Arial"/>
          <w:sz w:val="22"/>
          <w:szCs w:val="22"/>
          <w:u w:val="single"/>
        </w:rPr>
        <w:t>demande</w:t>
      </w:r>
      <w:r w:rsidRPr="005708B8">
        <w:rPr>
          <w:rFonts w:ascii="Arial" w:eastAsia="SimSun" w:hAnsi="Arial" w:cs="Arial"/>
          <w:sz w:val="22"/>
          <w:szCs w:val="22"/>
        </w:rPr>
        <w:t xml:space="preserve"> au Secrétariat d’informer par écrit le Comité et l’Assemblée générale, lors de la session suivant cette action, des détails et motifs de ces transferts.</w:t>
      </w:r>
    </w:p>
    <w:p w14:paraId="1FFB7800" w14:textId="77777777" w:rsidR="005708B8" w:rsidRDefault="005708B8" w:rsidP="00F10BF6">
      <w:pPr>
        <w:pStyle w:val="ListParagraph"/>
        <w:autoSpaceDE w:val="0"/>
        <w:autoSpaceDN w:val="0"/>
        <w:adjustRightInd w:val="0"/>
        <w:spacing w:after="120"/>
        <w:ind w:left="567"/>
        <w:contextualSpacing w:val="0"/>
        <w:jc w:val="center"/>
        <w:rPr>
          <w:rFonts w:ascii="Arial" w:eastAsia="SimSun" w:hAnsi="Arial" w:cs="Arial"/>
          <w:b/>
          <w:bCs/>
          <w:sz w:val="22"/>
          <w:szCs w:val="22"/>
        </w:rPr>
      </w:pPr>
      <w:r w:rsidRPr="005708B8">
        <w:rPr>
          <w:rFonts w:ascii="Arial" w:eastAsia="SimSun" w:hAnsi="Arial" w:cs="Arial"/>
          <w:b/>
          <w:bCs/>
          <w:sz w:val="22"/>
          <w:szCs w:val="22"/>
        </w:rPr>
        <w:t>ANNEXE</w:t>
      </w:r>
    </w:p>
    <w:tbl>
      <w:tblPr>
        <w:tblW w:w="10070" w:type="dxa"/>
        <w:tblCellMar>
          <w:left w:w="70" w:type="dxa"/>
          <w:right w:w="70" w:type="dxa"/>
        </w:tblCellMar>
        <w:tblLook w:val="04A0" w:firstRow="1" w:lastRow="0" w:firstColumn="1" w:lastColumn="0" w:noHBand="0" w:noVBand="1"/>
      </w:tblPr>
      <w:tblGrid>
        <w:gridCol w:w="416"/>
        <w:gridCol w:w="4819"/>
        <w:gridCol w:w="1276"/>
        <w:gridCol w:w="1559"/>
        <w:gridCol w:w="1835"/>
        <w:gridCol w:w="16"/>
        <w:gridCol w:w="133"/>
        <w:gridCol w:w="16"/>
      </w:tblGrid>
      <w:tr w:rsidR="005708B8" w:rsidRPr="005708B8" w14:paraId="0D3AEEB3" w14:textId="77777777" w:rsidTr="00F10BF6">
        <w:trPr>
          <w:gridAfter w:val="3"/>
          <w:wAfter w:w="165" w:type="dxa"/>
          <w:trHeight w:val="313"/>
        </w:trPr>
        <w:tc>
          <w:tcPr>
            <w:tcW w:w="6511" w:type="dxa"/>
            <w:gridSpan w:val="3"/>
            <w:tcBorders>
              <w:top w:val="single" w:sz="8" w:space="0" w:color="auto"/>
              <w:left w:val="single" w:sz="8" w:space="0" w:color="auto"/>
              <w:bottom w:val="single" w:sz="8" w:space="0" w:color="auto"/>
              <w:right w:val="nil"/>
            </w:tcBorders>
            <w:shd w:val="clear" w:color="000000" w:fill="D8D8D8"/>
            <w:vAlign w:val="center"/>
            <w:hideMark/>
          </w:tcPr>
          <w:p w14:paraId="2F0263C7" w14:textId="5773AE53" w:rsidR="005708B8" w:rsidRPr="005708B8" w:rsidRDefault="007C0B29" w:rsidP="005708B8">
            <w:pPr>
              <w:jc w:val="center"/>
              <w:rPr>
                <w:rFonts w:ascii="Arial" w:hAnsi="Arial" w:cs="Arial"/>
                <w:b/>
                <w:bCs/>
                <w:color w:val="000000"/>
                <w:sz w:val="18"/>
                <w:szCs w:val="18"/>
              </w:rPr>
            </w:pPr>
            <w:r>
              <w:rPr>
                <w:rFonts w:ascii="Arial" w:hAnsi="Arial"/>
                <w:b/>
                <w:color w:val="000000"/>
                <w:sz w:val="18"/>
              </w:rPr>
              <w:t>P</w:t>
            </w:r>
            <w:r w:rsidR="005708B8" w:rsidRPr="005708B8">
              <w:rPr>
                <w:rFonts w:ascii="Arial" w:hAnsi="Arial"/>
                <w:b/>
                <w:color w:val="000000"/>
                <w:sz w:val="18"/>
              </w:rPr>
              <w:t>lan d’utilisation des ressources du Fonds</w:t>
            </w:r>
          </w:p>
        </w:tc>
        <w:tc>
          <w:tcPr>
            <w:tcW w:w="1559" w:type="dxa"/>
            <w:tcBorders>
              <w:top w:val="dashed" w:sz="4" w:space="0" w:color="auto"/>
              <w:left w:val="dashed" w:sz="4" w:space="0" w:color="auto"/>
              <w:bottom w:val="dashed" w:sz="4" w:space="0" w:color="auto"/>
              <w:right w:val="dashed" w:sz="4" w:space="0" w:color="auto"/>
            </w:tcBorders>
            <w:shd w:val="clear" w:color="000000" w:fill="FFFFFF"/>
            <w:vAlign w:val="center"/>
            <w:hideMark/>
          </w:tcPr>
          <w:p w14:paraId="09BA87A3" w14:textId="77777777" w:rsidR="005708B8" w:rsidRPr="005708B8" w:rsidRDefault="005708B8" w:rsidP="005708B8">
            <w:pPr>
              <w:jc w:val="center"/>
              <w:rPr>
                <w:rFonts w:ascii="Arial" w:hAnsi="Arial" w:cs="Arial"/>
                <w:b/>
                <w:bCs/>
                <w:color w:val="000000"/>
                <w:sz w:val="18"/>
                <w:szCs w:val="18"/>
              </w:rPr>
            </w:pPr>
            <w:r w:rsidRPr="005708B8">
              <w:rPr>
                <w:rFonts w:ascii="Arial" w:hAnsi="Arial"/>
                <w:b/>
                <w:color w:val="000000"/>
                <w:sz w:val="18"/>
              </w:rPr>
              <w:t> </w:t>
            </w:r>
          </w:p>
        </w:tc>
        <w:tc>
          <w:tcPr>
            <w:tcW w:w="1835" w:type="dxa"/>
            <w:tcBorders>
              <w:top w:val="dashed" w:sz="4" w:space="0" w:color="auto"/>
              <w:left w:val="nil"/>
              <w:bottom w:val="dashed" w:sz="4" w:space="0" w:color="auto"/>
              <w:right w:val="dashed" w:sz="4" w:space="0" w:color="auto"/>
            </w:tcBorders>
            <w:shd w:val="clear" w:color="000000" w:fill="FFFFFF"/>
            <w:vAlign w:val="center"/>
            <w:hideMark/>
          </w:tcPr>
          <w:p w14:paraId="53F2307C" w14:textId="77777777" w:rsidR="005708B8" w:rsidRPr="005708B8" w:rsidRDefault="005708B8" w:rsidP="005708B8">
            <w:pPr>
              <w:jc w:val="center"/>
              <w:rPr>
                <w:rFonts w:ascii="Arial" w:hAnsi="Arial" w:cs="Arial"/>
                <w:b/>
                <w:bCs/>
                <w:color w:val="000000"/>
                <w:sz w:val="18"/>
                <w:szCs w:val="18"/>
              </w:rPr>
            </w:pPr>
            <w:r w:rsidRPr="005708B8">
              <w:rPr>
                <w:rFonts w:ascii="Arial" w:hAnsi="Arial"/>
                <w:b/>
                <w:color w:val="000000"/>
                <w:sz w:val="18"/>
              </w:rPr>
              <w:t> </w:t>
            </w:r>
          </w:p>
        </w:tc>
      </w:tr>
      <w:tr w:rsidR="00EE0841" w:rsidRPr="005708B8" w14:paraId="7A9CE099" w14:textId="77777777" w:rsidTr="008B5DA0">
        <w:trPr>
          <w:gridAfter w:val="3"/>
          <w:wAfter w:w="165" w:type="dxa"/>
          <w:trHeight w:val="978"/>
        </w:trPr>
        <w:tc>
          <w:tcPr>
            <w:tcW w:w="5235" w:type="dxa"/>
            <w:gridSpan w:val="2"/>
            <w:tcBorders>
              <w:top w:val="single" w:sz="8" w:space="0" w:color="auto"/>
              <w:left w:val="single" w:sz="8" w:space="0" w:color="auto"/>
              <w:bottom w:val="single" w:sz="8" w:space="0" w:color="auto"/>
              <w:right w:val="nil"/>
            </w:tcBorders>
            <w:vAlign w:val="center"/>
            <w:hideMark/>
          </w:tcPr>
          <w:p w14:paraId="28E400DA" w14:textId="77777777" w:rsidR="00EE0841" w:rsidRPr="005708B8" w:rsidRDefault="00EE0841" w:rsidP="005708B8">
            <w:pPr>
              <w:jc w:val="both"/>
              <w:rPr>
                <w:rFonts w:asciiTheme="minorBidi" w:hAnsiTheme="minorBidi" w:cstheme="minorBidi"/>
                <w:color w:val="000000"/>
                <w:sz w:val="18"/>
                <w:szCs w:val="18"/>
              </w:rPr>
            </w:pPr>
            <w:r w:rsidRPr="005708B8">
              <w:rPr>
                <w:rFonts w:asciiTheme="minorBidi" w:hAnsiTheme="minorBidi"/>
                <w:color w:val="000000"/>
                <w:sz w:val="18"/>
              </w:rPr>
              <w:t>Pour la période du 1 janvier 2026 au 31 décembre 2027, ainsi que pour la période du 1 janvier au 30 juin 2028, les ressources du Fonds du patrimoine culturel immatériel peuvent être utilisées aux fins suivantes :</w:t>
            </w:r>
          </w:p>
        </w:tc>
        <w:tc>
          <w:tcPr>
            <w:tcW w:w="1276" w:type="dxa"/>
            <w:tcBorders>
              <w:top w:val="single" w:sz="4" w:space="0" w:color="auto"/>
              <w:left w:val="single" w:sz="4" w:space="0" w:color="auto"/>
              <w:bottom w:val="single" w:sz="4" w:space="0" w:color="auto"/>
              <w:right w:val="dashed" w:sz="4" w:space="0" w:color="auto"/>
            </w:tcBorders>
            <w:vAlign w:val="center"/>
          </w:tcPr>
          <w:p w14:paraId="0B814310" w14:textId="08B1E928" w:rsidR="00EE0841" w:rsidRPr="005708B8" w:rsidRDefault="00EE0841" w:rsidP="005708B8">
            <w:pPr>
              <w:jc w:val="center"/>
              <w:rPr>
                <w:rFonts w:asciiTheme="minorBidi" w:hAnsiTheme="minorBidi" w:cstheme="minorBidi"/>
                <w:color w:val="000000"/>
                <w:sz w:val="18"/>
                <w:szCs w:val="18"/>
              </w:rPr>
            </w:pPr>
          </w:p>
          <w:p w14:paraId="277408D2" w14:textId="4E78CDF0"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 du montant total proposé 2026-2027 [1]</w:t>
            </w:r>
          </w:p>
        </w:tc>
        <w:tc>
          <w:tcPr>
            <w:tcW w:w="1559" w:type="dxa"/>
            <w:tcBorders>
              <w:top w:val="nil"/>
              <w:left w:val="nil"/>
              <w:bottom w:val="dashed" w:sz="4" w:space="0" w:color="auto"/>
              <w:right w:val="dashed" w:sz="4" w:space="0" w:color="auto"/>
            </w:tcBorders>
            <w:vAlign w:val="center"/>
            <w:hideMark/>
          </w:tcPr>
          <w:p w14:paraId="29831DE2"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Montants indicatifs</w:t>
            </w:r>
          </w:p>
          <w:p w14:paraId="261E266B"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 xml:space="preserve">2026-2027 </w:t>
            </w:r>
          </w:p>
        </w:tc>
        <w:tc>
          <w:tcPr>
            <w:tcW w:w="1835" w:type="dxa"/>
            <w:tcBorders>
              <w:top w:val="nil"/>
              <w:left w:val="nil"/>
              <w:bottom w:val="dashed" w:sz="4" w:space="0" w:color="auto"/>
              <w:right w:val="dashed" w:sz="4" w:space="0" w:color="auto"/>
            </w:tcBorders>
            <w:vAlign w:val="center"/>
            <w:hideMark/>
          </w:tcPr>
          <w:p w14:paraId="6DB49D00"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Montants indicatifs</w:t>
            </w:r>
          </w:p>
          <w:p w14:paraId="44F809CD"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De janvier à juin 2028</w:t>
            </w:r>
          </w:p>
        </w:tc>
      </w:tr>
      <w:tr w:rsidR="00EE0841" w:rsidRPr="005708B8" w14:paraId="3A47867D" w14:textId="77777777" w:rsidTr="008B5DA0">
        <w:trPr>
          <w:gridAfter w:val="3"/>
          <w:wAfter w:w="165" w:type="dxa"/>
          <w:trHeight w:val="1446"/>
        </w:trPr>
        <w:tc>
          <w:tcPr>
            <w:tcW w:w="416" w:type="dxa"/>
            <w:tcBorders>
              <w:top w:val="nil"/>
              <w:left w:val="single" w:sz="8" w:space="0" w:color="auto"/>
              <w:bottom w:val="single" w:sz="8" w:space="0" w:color="auto"/>
              <w:right w:val="single" w:sz="8" w:space="0" w:color="auto"/>
            </w:tcBorders>
            <w:noWrap/>
            <w:hideMark/>
          </w:tcPr>
          <w:p w14:paraId="6F6159B2"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t>1.</w:t>
            </w:r>
          </w:p>
        </w:tc>
        <w:tc>
          <w:tcPr>
            <w:tcW w:w="4819" w:type="dxa"/>
            <w:tcBorders>
              <w:top w:val="nil"/>
              <w:left w:val="nil"/>
              <w:bottom w:val="single" w:sz="8" w:space="0" w:color="auto"/>
              <w:right w:val="nil"/>
            </w:tcBorders>
            <w:vAlign w:val="center"/>
            <w:hideMark/>
          </w:tcPr>
          <w:p w14:paraId="04BAF548"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Assistance internationale, y compris la sauvegarde du patrimoine inscrit sur la Liste du patrimoine culturel immatériel nécessitant une sauvegarde urgente, la préparation d’inventaires, et l’appui à d’autres programmes, projets ou activités de sauvegarde, y compris le suivi et l’évaluation des demandes approuvées</w:t>
            </w:r>
          </w:p>
        </w:tc>
        <w:tc>
          <w:tcPr>
            <w:tcW w:w="1276" w:type="dxa"/>
            <w:tcBorders>
              <w:top w:val="nil"/>
              <w:left w:val="single" w:sz="4" w:space="0" w:color="auto"/>
              <w:bottom w:val="single" w:sz="4" w:space="0" w:color="auto"/>
              <w:right w:val="dashed" w:sz="4" w:space="0" w:color="auto"/>
            </w:tcBorders>
            <w:shd w:val="clear" w:color="000000" w:fill="FFFFFF"/>
            <w:vAlign w:val="center"/>
          </w:tcPr>
          <w:p w14:paraId="04F1B220" w14:textId="05395CDD" w:rsidR="00EE0841" w:rsidRPr="005708B8" w:rsidRDefault="00EE0841" w:rsidP="005708B8">
            <w:pPr>
              <w:jc w:val="center"/>
              <w:rPr>
                <w:rFonts w:asciiTheme="minorBidi" w:hAnsiTheme="minorBidi" w:cstheme="minorBidi"/>
                <w:color w:val="000000"/>
                <w:sz w:val="18"/>
                <w:szCs w:val="18"/>
              </w:rPr>
            </w:pPr>
          </w:p>
          <w:p w14:paraId="79794C6A" w14:textId="4AB460C8"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50,0 %</w:t>
            </w:r>
          </w:p>
        </w:tc>
        <w:tc>
          <w:tcPr>
            <w:tcW w:w="1559" w:type="dxa"/>
            <w:tcBorders>
              <w:top w:val="nil"/>
              <w:left w:val="nil"/>
              <w:bottom w:val="dashed" w:sz="4" w:space="0" w:color="auto"/>
              <w:right w:val="dashed" w:sz="4" w:space="0" w:color="auto"/>
            </w:tcBorders>
            <w:vAlign w:val="center"/>
            <w:hideMark/>
          </w:tcPr>
          <w:p w14:paraId="3D757CC3"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3 938 295 $</w:t>
            </w:r>
          </w:p>
        </w:tc>
        <w:tc>
          <w:tcPr>
            <w:tcW w:w="1835" w:type="dxa"/>
            <w:tcBorders>
              <w:top w:val="nil"/>
              <w:left w:val="nil"/>
              <w:bottom w:val="dashed" w:sz="4" w:space="0" w:color="auto"/>
              <w:right w:val="dashed" w:sz="4" w:space="0" w:color="auto"/>
            </w:tcBorders>
            <w:vAlign w:val="center"/>
            <w:hideMark/>
          </w:tcPr>
          <w:p w14:paraId="5F40213A"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984 574 $</w:t>
            </w:r>
          </w:p>
        </w:tc>
      </w:tr>
      <w:tr w:rsidR="00EE0841" w:rsidRPr="005708B8" w14:paraId="681564FB" w14:textId="77777777" w:rsidTr="008B5DA0">
        <w:trPr>
          <w:gridAfter w:val="3"/>
          <w:wAfter w:w="165" w:type="dxa"/>
          <w:trHeight w:val="969"/>
        </w:trPr>
        <w:tc>
          <w:tcPr>
            <w:tcW w:w="416" w:type="dxa"/>
            <w:tcBorders>
              <w:top w:val="nil"/>
              <w:left w:val="single" w:sz="8" w:space="0" w:color="auto"/>
              <w:bottom w:val="single" w:sz="8" w:space="0" w:color="auto"/>
              <w:right w:val="single" w:sz="8" w:space="0" w:color="auto"/>
            </w:tcBorders>
            <w:noWrap/>
            <w:hideMark/>
          </w:tcPr>
          <w:p w14:paraId="64FF29C6"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t>1.1</w:t>
            </w:r>
          </w:p>
        </w:tc>
        <w:tc>
          <w:tcPr>
            <w:tcW w:w="4819" w:type="dxa"/>
            <w:tcBorders>
              <w:top w:val="nil"/>
              <w:left w:val="nil"/>
              <w:bottom w:val="single" w:sz="8" w:space="0" w:color="auto"/>
              <w:right w:val="nil"/>
            </w:tcBorders>
            <w:vAlign w:val="center"/>
            <w:hideMark/>
          </w:tcPr>
          <w:p w14:paraId="2BF26BE5"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Renforcement des ressources humaines pour améliorer la mise en œuvre des mécanismes d’assistance internationale à travers trois postes à durée déterminée financés à l’aide de fonds extrabudgétaires (un P3, un P2 et un G5)</w:t>
            </w:r>
          </w:p>
        </w:tc>
        <w:tc>
          <w:tcPr>
            <w:tcW w:w="1276" w:type="dxa"/>
            <w:tcBorders>
              <w:top w:val="nil"/>
              <w:left w:val="single" w:sz="4" w:space="0" w:color="auto"/>
              <w:bottom w:val="single" w:sz="4" w:space="0" w:color="auto"/>
              <w:right w:val="dashed" w:sz="4" w:space="0" w:color="auto"/>
            </w:tcBorders>
            <w:shd w:val="clear" w:color="000000" w:fill="FFFFFF"/>
            <w:vAlign w:val="center"/>
          </w:tcPr>
          <w:p w14:paraId="5469E3F8" w14:textId="60382995" w:rsidR="00EE0841" w:rsidRPr="005708B8" w:rsidRDefault="00EE0841" w:rsidP="005708B8">
            <w:pPr>
              <w:jc w:val="center"/>
              <w:rPr>
                <w:rFonts w:asciiTheme="minorBidi" w:hAnsiTheme="minorBidi" w:cstheme="minorBidi"/>
                <w:color w:val="000000"/>
                <w:sz w:val="18"/>
                <w:szCs w:val="18"/>
              </w:rPr>
            </w:pPr>
          </w:p>
          <w:p w14:paraId="481906E9" w14:textId="4B429563"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13,4 %</w:t>
            </w:r>
          </w:p>
        </w:tc>
        <w:tc>
          <w:tcPr>
            <w:tcW w:w="1559" w:type="dxa"/>
            <w:tcBorders>
              <w:top w:val="nil"/>
              <w:left w:val="nil"/>
              <w:bottom w:val="dashed" w:sz="4" w:space="0" w:color="auto"/>
              <w:right w:val="dashed" w:sz="4" w:space="0" w:color="auto"/>
            </w:tcBorders>
            <w:shd w:val="clear" w:color="000000" w:fill="FFFFFF"/>
            <w:vAlign w:val="center"/>
            <w:hideMark/>
          </w:tcPr>
          <w:p w14:paraId="032AEC7E"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1 055 463 $</w:t>
            </w:r>
          </w:p>
        </w:tc>
        <w:tc>
          <w:tcPr>
            <w:tcW w:w="1835" w:type="dxa"/>
            <w:tcBorders>
              <w:top w:val="nil"/>
              <w:left w:val="nil"/>
              <w:bottom w:val="dashed" w:sz="4" w:space="0" w:color="auto"/>
              <w:right w:val="dashed" w:sz="4" w:space="0" w:color="auto"/>
            </w:tcBorders>
            <w:vAlign w:val="center"/>
            <w:hideMark/>
          </w:tcPr>
          <w:p w14:paraId="20BF5B11"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263 866 $</w:t>
            </w:r>
          </w:p>
        </w:tc>
      </w:tr>
      <w:tr w:rsidR="00EE0841" w:rsidRPr="005708B8" w14:paraId="0396E4C3" w14:textId="77777777" w:rsidTr="008B5DA0">
        <w:trPr>
          <w:gridAfter w:val="3"/>
          <w:wAfter w:w="165" w:type="dxa"/>
          <w:trHeight w:val="730"/>
        </w:trPr>
        <w:tc>
          <w:tcPr>
            <w:tcW w:w="416" w:type="dxa"/>
            <w:tcBorders>
              <w:top w:val="nil"/>
              <w:left w:val="single" w:sz="8" w:space="0" w:color="auto"/>
              <w:bottom w:val="single" w:sz="8" w:space="0" w:color="auto"/>
              <w:right w:val="single" w:sz="8" w:space="0" w:color="auto"/>
            </w:tcBorders>
            <w:noWrap/>
            <w:hideMark/>
          </w:tcPr>
          <w:p w14:paraId="17CFDECE"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t>2.</w:t>
            </w:r>
          </w:p>
        </w:tc>
        <w:tc>
          <w:tcPr>
            <w:tcW w:w="4819" w:type="dxa"/>
            <w:tcBorders>
              <w:top w:val="nil"/>
              <w:left w:val="nil"/>
              <w:bottom w:val="single" w:sz="8" w:space="0" w:color="auto"/>
              <w:right w:val="nil"/>
            </w:tcBorders>
            <w:vAlign w:val="center"/>
            <w:hideMark/>
          </w:tcPr>
          <w:p w14:paraId="1CA354B6"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Assistance préparatoire pour les demandes d’assistance internationale, les candidatures et les propositions pour les listes et le registre de la Convention</w:t>
            </w:r>
          </w:p>
        </w:tc>
        <w:tc>
          <w:tcPr>
            <w:tcW w:w="1276" w:type="dxa"/>
            <w:tcBorders>
              <w:top w:val="nil"/>
              <w:left w:val="single" w:sz="4" w:space="0" w:color="auto"/>
              <w:bottom w:val="single" w:sz="4" w:space="0" w:color="auto"/>
              <w:right w:val="dashed" w:sz="4" w:space="0" w:color="auto"/>
            </w:tcBorders>
            <w:shd w:val="clear" w:color="000000" w:fill="FFFFFF"/>
            <w:vAlign w:val="center"/>
          </w:tcPr>
          <w:p w14:paraId="57E6B5E4" w14:textId="5E7DFCB9" w:rsidR="00EE0841" w:rsidRPr="005708B8" w:rsidRDefault="00EE0841" w:rsidP="005708B8">
            <w:pPr>
              <w:jc w:val="center"/>
              <w:rPr>
                <w:rFonts w:asciiTheme="minorBidi" w:hAnsiTheme="minorBidi" w:cstheme="minorBidi"/>
                <w:color w:val="000000"/>
                <w:sz w:val="18"/>
                <w:szCs w:val="18"/>
              </w:rPr>
            </w:pPr>
          </w:p>
          <w:p w14:paraId="287D9840" w14:textId="7BA083A1"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1,7 %</w:t>
            </w:r>
          </w:p>
        </w:tc>
        <w:tc>
          <w:tcPr>
            <w:tcW w:w="1559" w:type="dxa"/>
            <w:tcBorders>
              <w:top w:val="nil"/>
              <w:left w:val="nil"/>
              <w:bottom w:val="dashed" w:sz="4" w:space="0" w:color="auto"/>
              <w:right w:val="dashed" w:sz="4" w:space="0" w:color="auto"/>
            </w:tcBorders>
            <w:vAlign w:val="center"/>
            <w:hideMark/>
          </w:tcPr>
          <w:p w14:paraId="75469202"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133 902 $</w:t>
            </w:r>
          </w:p>
        </w:tc>
        <w:tc>
          <w:tcPr>
            <w:tcW w:w="1835" w:type="dxa"/>
            <w:tcBorders>
              <w:top w:val="nil"/>
              <w:left w:val="nil"/>
              <w:bottom w:val="dashed" w:sz="4" w:space="0" w:color="auto"/>
              <w:right w:val="dashed" w:sz="4" w:space="0" w:color="auto"/>
            </w:tcBorders>
            <w:vAlign w:val="center"/>
            <w:hideMark/>
          </w:tcPr>
          <w:p w14:paraId="2F5C50DC"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33 476 $</w:t>
            </w:r>
          </w:p>
        </w:tc>
      </w:tr>
      <w:tr w:rsidR="00EE0841" w:rsidRPr="005708B8" w14:paraId="0BEEE454" w14:textId="77777777" w:rsidTr="008B5DA0">
        <w:trPr>
          <w:gridAfter w:val="3"/>
          <w:wAfter w:w="165" w:type="dxa"/>
          <w:trHeight w:val="1832"/>
        </w:trPr>
        <w:tc>
          <w:tcPr>
            <w:tcW w:w="416" w:type="dxa"/>
            <w:tcBorders>
              <w:top w:val="nil"/>
              <w:left w:val="single" w:sz="8" w:space="0" w:color="auto"/>
              <w:bottom w:val="single" w:sz="8" w:space="0" w:color="auto"/>
              <w:right w:val="single" w:sz="8" w:space="0" w:color="auto"/>
            </w:tcBorders>
            <w:noWrap/>
            <w:hideMark/>
          </w:tcPr>
          <w:p w14:paraId="4ED2C257"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lastRenderedPageBreak/>
              <w:t>3.</w:t>
            </w:r>
          </w:p>
        </w:tc>
        <w:tc>
          <w:tcPr>
            <w:tcW w:w="4819" w:type="dxa"/>
            <w:tcBorders>
              <w:top w:val="nil"/>
              <w:left w:val="nil"/>
              <w:bottom w:val="single" w:sz="8" w:space="0" w:color="auto"/>
              <w:right w:val="nil"/>
            </w:tcBorders>
            <w:vAlign w:val="center"/>
            <w:hideMark/>
          </w:tcPr>
          <w:p w14:paraId="0676519C"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 xml:space="preserve">Autres fonctions du Comité telles que décrites à l’article 7 de la Convention, visant à promouvoir les objectifs de la Convention et à encourager et assurer le suivi de sa mise en œuvre, à travers notamment le renforcement des capacités en vue d’une sauvegarde efficace du patrimoine culturel immatériel, une plus grande sensibilisation à l’importance de ce patrimoine, et la fourniture de conseils sur les bonnes pratiques de sauvegarde : </w:t>
            </w:r>
          </w:p>
        </w:tc>
        <w:tc>
          <w:tcPr>
            <w:tcW w:w="1276" w:type="dxa"/>
            <w:tcBorders>
              <w:top w:val="nil"/>
              <w:left w:val="single" w:sz="4" w:space="0" w:color="auto"/>
              <w:bottom w:val="single" w:sz="4" w:space="0" w:color="auto"/>
              <w:right w:val="dashed" w:sz="4" w:space="0" w:color="auto"/>
            </w:tcBorders>
            <w:shd w:val="clear" w:color="000000" w:fill="FFFFFF"/>
            <w:vAlign w:val="center"/>
          </w:tcPr>
          <w:p w14:paraId="0FFE9C1C" w14:textId="08455B3C" w:rsidR="00EE0841" w:rsidRPr="005708B8" w:rsidRDefault="00EE0841" w:rsidP="005708B8">
            <w:pPr>
              <w:jc w:val="center"/>
              <w:rPr>
                <w:rFonts w:asciiTheme="minorBidi" w:hAnsiTheme="minorBidi" w:cstheme="minorBidi"/>
                <w:color w:val="000000"/>
                <w:sz w:val="18"/>
                <w:szCs w:val="18"/>
              </w:rPr>
            </w:pPr>
          </w:p>
          <w:p w14:paraId="2E59BAA9" w14:textId="69D79F13"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20,0 %</w:t>
            </w:r>
          </w:p>
        </w:tc>
        <w:tc>
          <w:tcPr>
            <w:tcW w:w="1559" w:type="dxa"/>
            <w:tcBorders>
              <w:top w:val="nil"/>
              <w:left w:val="nil"/>
              <w:bottom w:val="dashed" w:sz="4" w:space="0" w:color="auto"/>
              <w:right w:val="dashed" w:sz="4" w:space="0" w:color="auto"/>
            </w:tcBorders>
            <w:vAlign w:val="center"/>
            <w:hideMark/>
          </w:tcPr>
          <w:p w14:paraId="435A9ECA"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1 575 318 $</w:t>
            </w:r>
          </w:p>
        </w:tc>
        <w:tc>
          <w:tcPr>
            <w:tcW w:w="1835" w:type="dxa"/>
            <w:tcBorders>
              <w:top w:val="nil"/>
              <w:left w:val="nil"/>
              <w:bottom w:val="dashed" w:sz="4" w:space="0" w:color="auto"/>
              <w:right w:val="dashed" w:sz="4" w:space="0" w:color="auto"/>
            </w:tcBorders>
            <w:vAlign w:val="center"/>
            <w:hideMark/>
          </w:tcPr>
          <w:p w14:paraId="068A8A78"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393 830 $</w:t>
            </w:r>
          </w:p>
        </w:tc>
      </w:tr>
      <w:tr w:rsidR="00EE0841" w:rsidRPr="005708B8" w14:paraId="4CCB5AFD" w14:textId="77777777" w:rsidTr="008B5DA0">
        <w:trPr>
          <w:gridAfter w:val="3"/>
          <w:wAfter w:w="165"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66BA2FF9"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val="restart"/>
            <w:tcBorders>
              <w:top w:val="nil"/>
              <w:left w:val="single" w:sz="8" w:space="0" w:color="auto"/>
              <w:bottom w:val="single" w:sz="8" w:space="0" w:color="000000"/>
              <w:right w:val="nil"/>
            </w:tcBorders>
            <w:shd w:val="clear" w:color="000000" w:fill="E7E6E6"/>
            <w:vAlign w:val="bottom"/>
            <w:hideMark/>
          </w:tcPr>
          <w:p w14:paraId="0FCF4BE9" w14:textId="77777777" w:rsidR="00EE0841" w:rsidRPr="005708B8" w:rsidRDefault="00EE0841" w:rsidP="005708B8">
            <w:pPr>
              <w:spacing w:before="20" w:after="20"/>
              <w:rPr>
                <w:rFonts w:asciiTheme="minorBidi" w:hAnsiTheme="minorBidi" w:cstheme="minorBidi"/>
                <w:b/>
                <w:bCs/>
                <w:i/>
                <w:iCs/>
                <w:color w:val="000000"/>
                <w:sz w:val="16"/>
                <w:szCs w:val="16"/>
              </w:rPr>
            </w:pPr>
            <w:r w:rsidRPr="005708B8">
              <w:rPr>
                <w:rFonts w:asciiTheme="minorBidi" w:hAnsiTheme="minorBidi"/>
                <w:b/>
                <w:i/>
                <w:color w:val="000000"/>
                <w:sz w:val="16"/>
              </w:rPr>
              <w:t>RE 1 : Mise en œuvre de la Convention améliorée grâce à un programme renforcé de renforcement des capacités et à l’intégration du patrimoine culturel immatériel dans les plans et cadres de développement</w:t>
            </w:r>
          </w:p>
        </w:tc>
        <w:tc>
          <w:tcPr>
            <w:tcW w:w="1276" w:type="dxa"/>
            <w:vMerge w:val="restart"/>
            <w:tcBorders>
              <w:top w:val="nil"/>
              <w:left w:val="single" w:sz="4" w:space="0" w:color="auto"/>
              <w:right w:val="dashed" w:sz="4" w:space="0" w:color="auto"/>
            </w:tcBorders>
            <w:shd w:val="clear" w:color="000000" w:fill="D0CECE"/>
            <w:vAlign w:val="center"/>
          </w:tcPr>
          <w:p w14:paraId="77237239" w14:textId="683DD194" w:rsidR="00EE0841" w:rsidRPr="005708B8" w:rsidRDefault="00EE0841" w:rsidP="00EE0841">
            <w:pPr>
              <w:jc w:val="center"/>
              <w:rPr>
                <w:rFonts w:asciiTheme="minorBidi" w:hAnsiTheme="minorBidi" w:cstheme="minorBidi"/>
                <w:i/>
                <w:iCs/>
                <w:color w:val="000000"/>
                <w:sz w:val="18"/>
                <w:szCs w:val="18"/>
              </w:rPr>
            </w:pPr>
            <w:r w:rsidRPr="005708B8">
              <w:rPr>
                <w:rFonts w:asciiTheme="minorBidi" w:hAnsiTheme="minorBidi"/>
                <w:i/>
                <w:color w:val="000000"/>
                <w:sz w:val="18"/>
              </w:rPr>
              <w:t>10,0 %</w:t>
            </w:r>
          </w:p>
        </w:tc>
        <w:tc>
          <w:tcPr>
            <w:tcW w:w="1559" w:type="dxa"/>
            <w:vMerge w:val="restart"/>
            <w:tcBorders>
              <w:top w:val="nil"/>
              <w:left w:val="dashed" w:sz="4" w:space="0" w:color="auto"/>
              <w:bottom w:val="dashed" w:sz="4" w:space="0" w:color="auto"/>
              <w:right w:val="dashed" w:sz="4" w:space="0" w:color="auto"/>
            </w:tcBorders>
            <w:shd w:val="clear" w:color="000000" w:fill="E7E6E6"/>
            <w:vAlign w:val="center"/>
            <w:hideMark/>
          </w:tcPr>
          <w:p w14:paraId="25E1E5A0"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787 659 $</w:t>
            </w:r>
          </w:p>
        </w:tc>
        <w:tc>
          <w:tcPr>
            <w:tcW w:w="1835" w:type="dxa"/>
            <w:vMerge w:val="restart"/>
            <w:tcBorders>
              <w:top w:val="nil"/>
              <w:left w:val="dashed" w:sz="4" w:space="0" w:color="auto"/>
              <w:bottom w:val="dashed" w:sz="4" w:space="0" w:color="auto"/>
              <w:right w:val="dashed" w:sz="4" w:space="0" w:color="auto"/>
            </w:tcBorders>
            <w:shd w:val="clear" w:color="000000" w:fill="E7E6E6"/>
            <w:vAlign w:val="center"/>
            <w:hideMark/>
          </w:tcPr>
          <w:p w14:paraId="6632FAC6"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196 915 $</w:t>
            </w:r>
          </w:p>
        </w:tc>
      </w:tr>
      <w:tr w:rsidR="00EE0841" w:rsidRPr="005708B8" w14:paraId="4212C8A0" w14:textId="77777777" w:rsidTr="008B5DA0">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306E8CAE"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tcBorders>
              <w:top w:val="nil"/>
              <w:left w:val="single" w:sz="8" w:space="0" w:color="auto"/>
              <w:bottom w:val="single" w:sz="8" w:space="0" w:color="000000"/>
              <w:right w:val="nil"/>
            </w:tcBorders>
            <w:vAlign w:val="center"/>
            <w:hideMark/>
          </w:tcPr>
          <w:p w14:paraId="1C17B0DA" w14:textId="77777777" w:rsidR="00EE0841" w:rsidRPr="005708B8" w:rsidRDefault="00EE0841" w:rsidP="005708B8">
            <w:pPr>
              <w:spacing w:before="20" w:after="20"/>
              <w:rPr>
                <w:rFonts w:asciiTheme="minorBidi" w:hAnsiTheme="minorBidi" w:cstheme="minorBidi"/>
                <w:b/>
                <w:bCs/>
                <w:i/>
                <w:iCs/>
                <w:color w:val="000000"/>
                <w:sz w:val="16"/>
                <w:szCs w:val="16"/>
              </w:rPr>
            </w:pPr>
          </w:p>
        </w:tc>
        <w:tc>
          <w:tcPr>
            <w:tcW w:w="1276" w:type="dxa"/>
            <w:vMerge/>
            <w:tcBorders>
              <w:left w:val="single" w:sz="4" w:space="0" w:color="auto"/>
              <w:bottom w:val="single" w:sz="4" w:space="0" w:color="000000"/>
              <w:right w:val="dashed" w:sz="4" w:space="0" w:color="auto"/>
            </w:tcBorders>
            <w:vAlign w:val="center"/>
          </w:tcPr>
          <w:p w14:paraId="12CB6666" w14:textId="77777777" w:rsidR="00EE0841" w:rsidRPr="005708B8" w:rsidRDefault="00EE0841" w:rsidP="005708B8">
            <w:pPr>
              <w:rPr>
                <w:rFonts w:asciiTheme="minorBidi" w:hAnsiTheme="minorBidi" w:cstheme="minorBidi"/>
                <w:i/>
                <w:iCs/>
                <w:color w:val="000000"/>
                <w:sz w:val="18"/>
                <w:szCs w:val="18"/>
              </w:rPr>
            </w:pPr>
          </w:p>
        </w:tc>
        <w:tc>
          <w:tcPr>
            <w:tcW w:w="1559" w:type="dxa"/>
            <w:vMerge/>
            <w:tcBorders>
              <w:top w:val="nil"/>
              <w:left w:val="dashed" w:sz="4" w:space="0" w:color="auto"/>
              <w:bottom w:val="dashed" w:sz="4" w:space="0" w:color="auto"/>
              <w:right w:val="dashed" w:sz="4" w:space="0" w:color="auto"/>
            </w:tcBorders>
            <w:vAlign w:val="center"/>
            <w:hideMark/>
          </w:tcPr>
          <w:p w14:paraId="20241F5D" w14:textId="77777777" w:rsidR="00EE0841" w:rsidRPr="005708B8" w:rsidRDefault="00EE0841" w:rsidP="005708B8">
            <w:pPr>
              <w:rPr>
                <w:rFonts w:asciiTheme="minorBidi" w:hAnsiTheme="minorBidi" w:cstheme="minorBidi"/>
                <w:i/>
                <w:iCs/>
                <w:color w:val="000000"/>
                <w:sz w:val="18"/>
                <w:szCs w:val="18"/>
              </w:rPr>
            </w:pPr>
          </w:p>
        </w:tc>
        <w:tc>
          <w:tcPr>
            <w:tcW w:w="1835" w:type="dxa"/>
            <w:vMerge/>
            <w:tcBorders>
              <w:top w:val="nil"/>
              <w:left w:val="dashed" w:sz="4" w:space="0" w:color="auto"/>
              <w:bottom w:val="dashed" w:sz="4" w:space="0" w:color="auto"/>
              <w:right w:val="dashed" w:sz="4" w:space="0" w:color="auto"/>
            </w:tcBorders>
            <w:vAlign w:val="center"/>
            <w:hideMark/>
          </w:tcPr>
          <w:p w14:paraId="24D3F121" w14:textId="77777777" w:rsidR="00EE0841" w:rsidRPr="005708B8" w:rsidRDefault="00EE0841" w:rsidP="005708B8">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71D63742" w14:textId="77777777" w:rsidR="00EE0841" w:rsidRPr="005708B8" w:rsidRDefault="00EE0841" w:rsidP="005708B8">
            <w:pPr>
              <w:jc w:val="center"/>
              <w:rPr>
                <w:rFonts w:ascii="Arial" w:hAnsi="Arial" w:cs="Arial"/>
                <w:i/>
                <w:iCs/>
                <w:color w:val="000000"/>
                <w:sz w:val="18"/>
                <w:szCs w:val="18"/>
              </w:rPr>
            </w:pPr>
          </w:p>
        </w:tc>
      </w:tr>
      <w:tr w:rsidR="00EE0841" w:rsidRPr="005708B8" w14:paraId="021B190F" w14:textId="77777777" w:rsidTr="008B5DA0">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65A78075"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tcBorders>
              <w:top w:val="nil"/>
              <w:left w:val="single" w:sz="8" w:space="0" w:color="auto"/>
              <w:bottom w:val="single" w:sz="8" w:space="0" w:color="000000"/>
              <w:right w:val="nil"/>
            </w:tcBorders>
            <w:vAlign w:val="center"/>
            <w:hideMark/>
          </w:tcPr>
          <w:p w14:paraId="65F7FCA4" w14:textId="77777777" w:rsidR="00EE0841" w:rsidRPr="005708B8" w:rsidRDefault="00EE0841" w:rsidP="005708B8">
            <w:pPr>
              <w:spacing w:before="20" w:after="20"/>
              <w:rPr>
                <w:rFonts w:asciiTheme="minorBidi" w:hAnsiTheme="minorBidi" w:cstheme="minorBidi"/>
                <w:b/>
                <w:bCs/>
                <w:i/>
                <w:iCs/>
                <w:color w:val="000000"/>
                <w:sz w:val="16"/>
                <w:szCs w:val="16"/>
              </w:rPr>
            </w:pPr>
          </w:p>
        </w:tc>
        <w:tc>
          <w:tcPr>
            <w:tcW w:w="1276" w:type="dxa"/>
            <w:vMerge w:val="restart"/>
            <w:tcBorders>
              <w:top w:val="nil"/>
              <w:left w:val="single" w:sz="4" w:space="0" w:color="auto"/>
              <w:right w:val="dashed" w:sz="4" w:space="0" w:color="auto"/>
            </w:tcBorders>
            <w:shd w:val="clear" w:color="000000" w:fill="D0CECE"/>
            <w:vAlign w:val="center"/>
          </w:tcPr>
          <w:p w14:paraId="63A255C9" w14:textId="3AB5674B" w:rsidR="00EE0841" w:rsidRPr="005708B8" w:rsidRDefault="00EE0841" w:rsidP="005708B8">
            <w:pPr>
              <w:jc w:val="center"/>
              <w:rPr>
                <w:rFonts w:asciiTheme="minorBidi" w:hAnsiTheme="minorBidi" w:cstheme="minorBidi"/>
                <w:i/>
                <w:iCs/>
                <w:color w:val="000000"/>
                <w:sz w:val="18"/>
                <w:szCs w:val="18"/>
              </w:rPr>
            </w:pPr>
          </w:p>
          <w:p w14:paraId="31C36B97" w14:textId="2621395C"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(50 % de la ligne 3)</w:t>
            </w:r>
          </w:p>
        </w:tc>
        <w:tc>
          <w:tcPr>
            <w:tcW w:w="1559" w:type="dxa"/>
            <w:vMerge/>
            <w:tcBorders>
              <w:top w:val="nil"/>
              <w:left w:val="dashed" w:sz="4" w:space="0" w:color="auto"/>
              <w:bottom w:val="dashed" w:sz="4" w:space="0" w:color="auto"/>
              <w:right w:val="dashed" w:sz="4" w:space="0" w:color="auto"/>
            </w:tcBorders>
            <w:vAlign w:val="center"/>
            <w:hideMark/>
          </w:tcPr>
          <w:p w14:paraId="31035E7E" w14:textId="77777777" w:rsidR="00EE0841" w:rsidRPr="005708B8" w:rsidRDefault="00EE0841" w:rsidP="005708B8">
            <w:pPr>
              <w:rPr>
                <w:rFonts w:asciiTheme="minorBidi" w:hAnsiTheme="minorBidi" w:cstheme="minorBidi"/>
                <w:i/>
                <w:iCs/>
                <w:color w:val="000000"/>
                <w:sz w:val="18"/>
                <w:szCs w:val="18"/>
              </w:rPr>
            </w:pPr>
          </w:p>
        </w:tc>
        <w:tc>
          <w:tcPr>
            <w:tcW w:w="1835" w:type="dxa"/>
            <w:vMerge/>
            <w:tcBorders>
              <w:top w:val="nil"/>
              <w:left w:val="dashed" w:sz="4" w:space="0" w:color="auto"/>
              <w:bottom w:val="dashed" w:sz="4" w:space="0" w:color="auto"/>
              <w:right w:val="dashed" w:sz="4" w:space="0" w:color="auto"/>
            </w:tcBorders>
            <w:vAlign w:val="center"/>
            <w:hideMark/>
          </w:tcPr>
          <w:p w14:paraId="694CCB0F" w14:textId="77777777" w:rsidR="00EE0841" w:rsidRPr="005708B8" w:rsidRDefault="00EE0841" w:rsidP="005708B8">
            <w:pPr>
              <w:rPr>
                <w:rFonts w:asciiTheme="minorBidi" w:hAnsiTheme="minorBidi" w:cstheme="minorBidi"/>
                <w:i/>
                <w:iCs/>
                <w:color w:val="000000"/>
                <w:sz w:val="18"/>
                <w:szCs w:val="18"/>
              </w:rPr>
            </w:pPr>
          </w:p>
        </w:tc>
        <w:tc>
          <w:tcPr>
            <w:tcW w:w="149" w:type="dxa"/>
            <w:gridSpan w:val="2"/>
            <w:vAlign w:val="center"/>
            <w:hideMark/>
          </w:tcPr>
          <w:p w14:paraId="4216DCA2" w14:textId="77777777" w:rsidR="00EE0841" w:rsidRPr="005708B8" w:rsidRDefault="00EE0841" w:rsidP="005708B8">
            <w:pPr>
              <w:rPr>
                <w:sz w:val="20"/>
                <w:szCs w:val="20"/>
              </w:rPr>
            </w:pPr>
          </w:p>
        </w:tc>
      </w:tr>
      <w:tr w:rsidR="00EE0841" w:rsidRPr="005708B8" w14:paraId="72CE70A8" w14:textId="77777777" w:rsidTr="008B5DA0">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649CFEA2"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tcBorders>
              <w:top w:val="nil"/>
              <w:left w:val="single" w:sz="8" w:space="0" w:color="auto"/>
              <w:bottom w:val="single" w:sz="8" w:space="0" w:color="000000"/>
              <w:right w:val="nil"/>
            </w:tcBorders>
            <w:vAlign w:val="center"/>
            <w:hideMark/>
          </w:tcPr>
          <w:p w14:paraId="75E170CE" w14:textId="77777777" w:rsidR="00EE0841" w:rsidRPr="005708B8" w:rsidRDefault="00EE0841" w:rsidP="005708B8">
            <w:pPr>
              <w:spacing w:before="20" w:after="20"/>
              <w:rPr>
                <w:rFonts w:asciiTheme="minorBidi" w:hAnsiTheme="minorBidi" w:cstheme="minorBidi"/>
                <w:b/>
                <w:bCs/>
                <w:i/>
                <w:iCs/>
                <w:color w:val="000000"/>
                <w:sz w:val="16"/>
                <w:szCs w:val="16"/>
              </w:rPr>
            </w:pPr>
          </w:p>
        </w:tc>
        <w:tc>
          <w:tcPr>
            <w:tcW w:w="1276" w:type="dxa"/>
            <w:vMerge/>
            <w:tcBorders>
              <w:left w:val="single" w:sz="4" w:space="0" w:color="auto"/>
              <w:bottom w:val="single" w:sz="4" w:space="0" w:color="000000"/>
              <w:right w:val="dashed" w:sz="4" w:space="0" w:color="auto"/>
            </w:tcBorders>
            <w:vAlign w:val="center"/>
          </w:tcPr>
          <w:p w14:paraId="0A422A63" w14:textId="77777777" w:rsidR="00EE0841" w:rsidRPr="005708B8" w:rsidRDefault="00EE0841" w:rsidP="005708B8">
            <w:pPr>
              <w:rPr>
                <w:rFonts w:asciiTheme="minorBidi" w:hAnsiTheme="minorBidi" w:cstheme="minorBidi"/>
                <w:i/>
                <w:iCs/>
                <w:color w:val="000000"/>
                <w:sz w:val="18"/>
                <w:szCs w:val="18"/>
              </w:rPr>
            </w:pPr>
          </w:p>
        </w:tc>
        <w:tc>
          <w:tcPr>
            <w:tcW w:w="1559" w:type="dxa"/>
            <w:vMerge/>
            <w:tcBorders>
              <w:top w:val="nil"/>
              <w:left w:val="dashed" w:sz="4" w:space="0" w:color="auto"/>
              <w:bottom w:val="dashed" w:sz="4" w:space="0" w:color="auto"/>
              <w:right w:val="dashed" w:sz="4" w:space="0" w:color="auto"/>
            </w:tcBorders>
            <w:vAlign w:val="center"/>
            <w:hideMark/>
          </w:tcPr>
          <w:p w14:paraId="2760CCDE" w14:textId="77777777" w:rsidR="00EE0841" w:rsidRPr="005708B8" w:rsidRDefault="00EE0841" w:rsidP="005708B8">
            <w:pPr>
              <w:rPr>
                <w:rFonts w:asciiTheme="minorBidi" w:hAnsiTheme="minorBidi" w:cstheme="minorBidi"/>
                <w:i/>
                <w:iCs/>
                <w:color w:val="000000"/>
                <w:sz w:val="18"/>
                <w:szCs w:val="18"/>
              </w:rPr>
            </w:pPr>
          </w:p>
        </w:tc>
        <w:tc>
          <w:tcPr>
            <w:tcW w:w="1835" w:type="dxa"/>
            <w:vMerge/>
            <w:tcBorders>
              <w:top w:val="nil"/>
              <w:left w:val="dashed" w:sz="4" w:space="0" w:color="auto"/>
              <w:bottom w:val="dashed" w:sz="4" w:space="0" w:color="auto"/>
              <w:right w:val="dashed" w:sz="4" w:space="0" w:color="auto"/>
            </w:tcBorders>
            <w:vAlign w:val="center"/>
            <w:hideMark/>
          </w:tcPr>
          <w:p w14:paraId="47A01D44" w14:textId="77777777" w:rsidR="00EE0841" w:rsidRPr="005708B8" w:rsidRDefault="00EE0841" w:rsidP="005708B8">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648F9184" w14:textId="77777777" w:rsidR="00EE0841" w:rsidRPr="005708B8" w:rsidRDefault="00EE0841" w:rsidP="005708B8">
            <w:pPr>
              <w:jc w:val="center"/>
              <w:rPr>
                <w:rFonts w:ascii="Arial" w:hAnsi="Arial" w:cs="Arial"/>
                <w:i/>
                <w:iCs/>
                <w:color w:val="000000"/>
                <w:sz w:val="16"/>
                <w:szCs w:val="16"/>
              </w:rPr>
            </w:pPr>
          </w:p>
        </w:tc>
      </w:tr>
      <w:tr w:rsidR="00EE0841" w:rsidRPr="005708B8" w14:paraId="706E19EC" w14:textId="77777777" w:rsidTr="008B5DA0">
        <w:trPr>
          <w:gridAfter w:val="1"/>
          <w:wAfter w:w="16"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74C4D8F6"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val="restart"/>
            <w:tcBorders>
              <w:top w:val="nil"/>
              <w:left w:val="single" w:sz="8" w:space="0" w:color="auto"/>
              <w:bottom w:val="single" w:sz="8" w:space="0" w:color="000000"/>
              <w:right w:val="nil"/>
            </w:tcBorders>
            <w:shd w:val="clear" w:color="000000" w:fill="E7E6E6"/>
            <w:vAlign w:val="bottom"/>
            <w:hideMark/>
          </w:tcPr>
          <w:p w14:paraId="3EC43FFE" w14:textId="77777777" w:rsidR="00EE0841" w:rsidRPr="005708B8" w:rsidRDefault="00EE0841" w:rsidP="005708B8">
            <w:pPr>
              <w:spacing w:before="20" w:after="20"/>
              <w:rPr>
                <w:rFonts w:asciiTheme="minorBidi" w:hAnsiTheme="minorBidi" w:cstheme="minorBidi"/>
                <w:b/>
                <w:bCs/>
                <w:i/>
                <w:iCs/>
                <w:color w:val="000000"/>
                <w:sz w:val="16"/>
                <w:szCs w:val="16"/>
              </w:rPr>
            </w:pPr>
            <w:r w:rsidRPr="005708B8">
              <w:rPr>
                <w:rFonts w:asciiTheme="minorBidi" w:hAnsiTheme="minorBidi"/>
                <w:b/>
                <w:i/>
                <w:color w:val="000000"/>
                <w:sz w:val="16"/>
              </w:rPr>
              <w:t>RE 2 : Bonne gouvernance de la Convention renforcée par l’amélioration du suivi, des services de gestion des connaissances et des actions de sensibilisation associés aux mécanismes de coopération internationale</w:t>
            </w:r>
          </w:p>
        </w:tc>
        <w:tc>
          <w:tcPr>
            <w:tcW w:w="1276" w:type="dxa"/>
            <w:vMerge w:val="restart"/>
            <w:tcBorders>
              <w:top w:val="nil"/>
              <w:left w:val="single" w:sz="4" w:space="0" w:color="auto"/>
              <w:right w:val="dashed" w:sz="4" w:space="0" w:color="auto"/>
            </w:tcBorders>
            <w:shd w:val="clear" w:color="000000" w:fill="D0CECE"/>
            <w:vAlign w:val="center"/>
          </w:tcPr>
          <w:p w14:paraId="33E245DE" w14:textId="18E95AE3" w:rsidR="00EE0841" w:rsidRPr="005708B8" w:rsidRDefault="00EE0841" w:rsidP="00EE0841">
            <w:pPr>
              <w:jc w:val="center"/>
              <w:rPr>
                <w:rFonts w:asciiTheme="minorBidi" w:hAnsiTheme="minorBidi" w:cstheme="minorBidi"/>
                <w:i/>
                <w:iCs/>
                <w:color w:val="000000"/>
                <w:sz w:val="18"/>
                <w:szCs w:val="18"/>
              </w:rPr>
            </w:pPr>
            <w:r w:rsidRPr="005708B8">
              <w:rPr>
                <w:rFonts w:asciiTheme="minorBidi" w:hAnsiTheme="minorBidi"/>
                <w:i/>
                <w:color w:val="000000"/>
                <w:sz w:val="18"/>
              </w:rPr>
              <w:t>10,0 %</w:t>
            </w:r>
          </w:p>
        </w:tc>
        <w:tc>
          <w:tcPr>
            <w:tcW w:w="1559" w:type="dxa"/>
            <w:vMerge w:val="restart"/>
            <w:tcBorders>
              <w:top w:val="nil"/>
              <w:left w:val="dashed" w:sz="4" w:space="0" w:color="auto"/>
              <w:bottom w:val="dashed" w:sz="4" w:space="0" w:color="auto"/>
              <w:right w:val="dashed" w:sz="4" w:space="0" w:color="auto"/>
            </w:tcBorders>
            <w:shd w:val="clear" w:color="000000" w:fill="E7E6E6"/>
            <w:vAlign w:val="center"/>
            <w:hideMark/>
          </w:tcPr>
          <w:p w14:paraId="0A9F26F3"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787 659 $</w:t>
            </w:r>
          </w:p>
        </w:tc>
        <w:tc>
          <w:tcPr>
            <w:tcW w:w="1835" w:type="dxa"/>
            <w:vMerge w:val="restart"/>
            <w:tcBorders>
              <w:top w:val="nil"/>
              <w:left w:val="dashed" w:sz="4" w:space="0" w:color="auto"/>
              <w:bottom w:val="dashed" w:sz="4" w:space="0" w:color="auto"/>
              <w:right w:val="dashed" w:sz="4" w:space="0" w:color="auto"/>
            </w:tcBorders>
            <w:shd w:val="clear" w:color="000000" w:fill="E7E6E6"/>
            <w:vAlign w:val="center"/>
            <w:hideMark/>
          </w:tcPr>
          <w:p w14:paraId="16A5EED4"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196 915 $</w:t>
            </w:r>
          </w:p>
        </w:tc>
        <w:tc>
          <w:tcPr>
            <w:tcW w:w="149" w:type="dxa"/>
            <w:gridSpan w:val="2"/>
            <w:vAlign w:val="center"/>
            <w:hideMark/>
          </w:tcPr>
          <w:p w14:paraId="76C7F77B" w14:textId="77777777" w:rsidR="00EE0841" w:rsidRPr="005708B8" w:rsidRDefault="00EE0841" w:rsidP="005708B8">
            <w:pPr>
              <w:rPr>
                <w:sz w:val="20"/>
                <w:szCs w:val="20"/>
              </w:rPr>
            </w:pPr>
          </w:p>
        </w:tc>
      </w:tr>
      <w:tr w:rsidR="00EE0841" w:rsidRPr="005708B8" w14:paraId="6F7E8B65" w14:textId="77777777" w:rsidTr="008B5DA0">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4AE576D5"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tcBorders>
              <w:top w:val="nil"/>
              <w:left w:val="single" w:sz="8" w:space="0" w:color="auto"/>
              <w:bottom w:val="single" w:sz="8" w:space="0" w:color="000000"/>
              <w:right w:val="nil"/>
            </w:tcBorders>
            <w:vAlign w:val="center"/>
            <w:hideMark/>
          </w:tcPr>
          <w:p w14:paraId="600CAC35" w14:textId="77777777" w:rsidR="00EE0841" w:rsidRPr="005708B8" w:rsidRDefault="00EE0841" w:rsidP="005708B8">
            <w:pPr>
              <w:spacing w:before="20" w:after="20"/>
              <w:rPr>
                <w:rFonts w:asciiTheme="minorBidi" w:hAnsiTheme="minorBidi" w:cstheme="minorBidi"/>
                <w:b/>
                <w:bCs/>
                <w:i/>
                <w:iCs/>
                <w:color w:val="000000"/>
                <w:sz w:val="18"/>
                <w:szCs w:val="18"/>
              </w:rPr>
            </w:pPr>
          </w:p>
        </w:tc>
        <w:tc>
          <w:tcPr>
            <w:tcW w:w="1276" w:type="dxa"/>
            <w:vMerge/>
            <w:tcBorders>
              <w:left w:val="single" w:sz="4" w:space="0" w:color="auto"/>
              <w:bottom w:val="single" w:sz="4" w:space="0" w:color="000000"/>
              <w:right w:val="dashed" w:sz="4" w:space="0" w:color="auto"/>
            </w:tcBorders>
            <w:vAlign w:val="center"/>
          </w:tcPr>
          <w:p w14:paraId="240AAEB9" w14:textId="77777777" w:rsidR="00EE0841" w:rsidRPr="005708B8" w:rsidRDefault="00EE0841" w:rsidP="005708B8">
            <w:pPr>
              <w:rPr>
                <w:rFonts w:asciiTheme="minorBidi" w:hAnsiTheme="minorBidi" w:cstheme="minorBidi"/>
                <w:i/>
                <w:iCs/>
                <w:color w:val="000000"/>
                <w:sz w:val="18"/>
                <w:szCs w:val="18"/>
              </w:rPr>
            </w:pPr>
          </w:p>
        </w:tc>
        <w:tc>
          <w:tcPr>
            <w:tcW w:w="1559" w:type="dxa"/>
            <w:vMerge/>
            <w:tcBorders>
              <w:top w:val="nil"/>
              <w:left w:val="dashed" w:sz="4" w:space="0" w:color="auto"/>
              <w:bottom w:val="dashed" w:sz="4" w:space="0" w:color="auto"/>
              <w:right w:val="dashed" w:sz="4" w:space="0" w:color="auto"/>
            </w:tcBorders>
            <w:vAlign w:val="center"/>
            <w:hideMark/>
          </w:tcPr>
          <w:p w14:paraId="48DDC407" w14:textId="77777777" w:rsidR="00EE0841" w:rsidRPr="005708B8" w:rsidRDefault="00EE0841" w:rsidP="005708B8">
            <w:pPr>
              <w:rPr>
                <w:rFonts w:asciiTheme="minorBidi" w:hAnsiTheme="minorBidi" w:cstheme="minorBidi"/>
                <w:i/>
                <w:iCs/>
                <w:color w:val="000000"/>
                <w:sz w:val="18"/>
                <w:szCs w:val="18"/>
              </w:rPr>
            </w:pPr>
          </w:p>
        </w:tc>
        <w:tc>
          <w:tcPr>
            <w:tcW w:w="1835" w:type="dxa"/>
            <w:vMerge/>
            <w:tcBorders>
              <w:top w:val="nil"/>
              <w:left w:val="dashed" w:sz="4" w:space="0" w:color="auto"/>
              <w:bottom w:val="dashed" w:sz="4" w:space="0" w:color="auto"/>
              <w:right w:val="dashed" w:sz="4" w:space="0" w:color="auto"/>
            </w:tcBorders>
            <w:vAlign w:val="center"/>
            <w:hideMark/>
          </w:tcPr>
          <w:p w14:paraId="7EB60BB1" w14:textId="77777777" w:rsidR="00EE0841" w:rsidRPr="005708B8" w:rsidRDefault="00EE0841" w:rsidP="005708B8">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28EB8C9F" w14:textId="77777777" w:rsidR="00EE0841" w:rsidRPr="005708B8" w:rsidRDefault="00EE0841" w:rsidP="005708B8">
            <w:pPr>
              <w:jc w:val="center"/>
              <w:rPr>
                <w:rFonts w:ascii="Arial" w:hAnsi="Arial" w:cs="Arial"/>
                <w:i/>
                <w:iCs/>
                <w:color w:val="000000"/>
                <w:sz w:val="18"/>
                <w:szCs w:val="18"/>
              </w:rPr>
            </w:pPr>
          </w:p>
        </w:tc>
      </w:tr>
      <w:tr w:rsidR="00EE0841" w:rsidRPr="005708B8" w14:paraId="0C25299B" w14:textId="77777777" w:rsidTr="008B5DA0">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64B6A783"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tcBorders>
              <w:top w:val="nil"/>
              <w:left w:val="single" w:sz="8" w:space="0" w:color="auto"/>
              <w:bottom w:val="single" w:sz="8" w:space="0" w:color="000000"/>
              <w:right w:val="nil"/>
            </w:tcBorders>
            <w:vAlign w:val="center"/>
            <w:hideMark/>
          </w:tcPr>
          <w:p w14:paraId="4E453650" w14:textId="77777777" w:rsidR="00EE0841" w:rsidRPr="005708B8" w:rsidRDefault="00EE0841" w:rsidP="005708B8">
            <w:pPr>
              <w:spacing w:before="20" w:after="20"/>
              <w:rPr>
                <w:rFonts w:asciiTheme="minorBidi" w:hAnsiTheme="minorBidi" w:cstheme="minorBidi"/>
                <w:b/>
                <w:bCs/>
                <w:i/>
                <w:iCs/>
                <w:color w:val="000000"/>
                <w:sz w:val="18"/>
                <w:szCs w:val="18"/>
              </w:rPr>
            </w:pPr>
          </w:p>
        </w:tc>
        <w:tc>
          <w:tcPr>
            <w:tcW w:w="1276" w:type="dxa"/>
            <w:vMerge w:val="restart"/>
            <w:tcBorders>
              <w:top w:val="nil"/>
              <w:left w:val="single" w:sz="4" w:space="0" w:color="auto"/>
              <w:right w:val="dashed" w:sz="4" w:space="0" w:color="auto"/>
            </w:tcBorders>
            <w:shd w:val="clear" w:color="000000" w:fill="D0CECE"/>
            <w:vAlign w:val="center"/>
          </w:tcPr>
          <w:p w14:paraId="13D70E78" w14:textId="5842E59A" w:rsidR="00EE0841" w:rsidRPr="005708B8" w:rsidRDefault="00EE0841" w:rsidP="005708B8">
            <w:pPr>
              <w:jc w:val="center"/>
              <w:rPr>
                <w:rFonts w:asciiTheme="minorBidi" w:hAnsiTheme="minorBidi" w:cstheme="minorBidi"/>
                <w:i/>
                <w:iCs/>
                <w:color w:val="000000"/>
                <w:sz w:val="18"/>
                <w:szCs w:val="18"/>
              </w:rPr>
            </w:pPr>
          </w:p>
          <w:p w14:paraId="7BE0A00F" w14:textId="0CD2F393"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(50 % de la ligne 3)</w:t>
            </w:r>
          </w:p>
        </w:tc>
        <w:tc>
          <w:tcPr>
            <w:tcW w:w="1559" w:type="dxa"/>
            <w:vMerge/>
            <w:tcBorders>
              <w:top w:val="nil"/>
              <w:left w:val="dashed" w:sz="4" w:space="0" w:color="auto"/>
              <w:bottom w:val="dashed" w:sz="4" w:space="0" w:color="auto"/>
              <w:right w:val="dashed" w:sz="4" w:space="0" w:color="auto"/>
            </w:tcBorders>
            <w:vAlign w:val="center"/>
            <w:hideMark/>
          </w:tcPr>
          <w:p w14:paraId="736956BB" w14:textId="77777777" w:rsidR="00EE0841" w:rsidRPr="005708B8" w:rsidRDefault="00EE0841" w:rsidP="005708B8">
            <w:pPr>
              <w:rPr>
                <w:rFonts w:asciiTheme="minorBidi" w:hAnsiTheme="minorBidi" w:cstheme="minorBidi"/>
                <w:i/>
                <w:iCs/>
                <w:color w:val="000000"/>
                <w:sz w:val="18"/>
                <w:szCs w:val="18"/>
              </w:rPr>
            </w:pPr>
          </w:p>
        </w:tc>
        <w:tc>
          <w:tcPr>
            <w:tcW w:w="1835" w:type="dxa"/>
            <w:vMerge/>
            <w:tcBorders>
              <w:top w:val="nil"/>
              <w:left w:val="dashed" w:sz="4" w:space="0" w:color="auto"/>
              <w:bottom w:val="dashed" w:sz="4" w:space="0" w:color="auto"/>
              <w:right w:val="dashed" w:sz="4" w:space="0" w:color="auto"/>
            </w:tcBorders>
            <w:vAlign w:val="center"/>
            <w:hideMark/>
          </w:tcPr>
          <w:p w14:paraId="2B314ABB" w14:textId="77777777" w:rsidR="00EE0841" w:rsidRPr="005708B8" w:rsidRDefault="00EE0841" w:rsidP="005708B8">
            <w:pPr>
              <w:rPr>
                <w:rFonts w:asciiTheme="minorBidi" w:hAnsiTheme="minorBidi" w:cstheme="minorBidi"/>
                <w:i/>
                <w:iCs/>
                <w:color w:val="000000"/>
                <w:sz w:val="18"/>
                <w:szCs w:val="18"/>
              </w:rPr>
            </w:pPr>
          </w:p>
        </w:tc>
        <w:tc>
          <w:tcPr>
            <w:tcW w:w="149" w:type="dxa"/>
            <w:gridSpan w:val="2"/>
            <w:vAlign w:val="center"/>
            <w:hideMark/>
          </w:tcPr>
          <w:p w14:paraId="1D0CB915" w14:textId="77777777" w:rsidR="00EE0841" w:rsidRPr="005708B8" w:rsidRDefault="00EE0841" w:rsidP="005708B8">
            <w:pPr>
              <w:rPr>
                <w:sz w:val="20"/>
                <w:szCs w:val="20"/>
              </w:rPr>
            </w:pPr>
          </w:p>
        </w:tc>
      </w:tr>
      <w:tr w:rsidR="00EE0841" w:rsidRPr="005708B8" w14:paraId="6ECFDB35" w14:textId="77777777" w:rsidTr="008B5DA0">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08B9E406" w14:textId="77777777" w:rsidR="00EE0841" w:rsidRPr="005708B8" w:rsidRDefault="00EE0841" w:rsidP="005708B8">
            <w:pPr>
              <w:spacing w:before="60"/>
              <w:rPr>
                <w:rFonts w:asciiTheme="minorBidi" w:hAnsiTheme="minorBidi" w:cstheme="minorBidi"/>
                <w:i/>
                <w:iCs/>
                <w:color w:val="000000"/>
                <w:sz w:val="18"/>
                <w:szCs w:val="18"/>
              </w:rPr>
            </w:pPr>
          </w:p>
        </w:tc>
        <w:tc>
          <w:tcPr>
            <w:tcW w:w="4819" w:type="dxa"/>
            <w:vMerge/>
            <w:tcBorders>
              <w:top w:val="nil"/>
              <w:left w:val="single" w:sz="8" w:space="0" w:color="auto"/>
              <w:bottom w:val="single" w:sz="8" w:space="0" w:color="000000"/>
              <w:right w:val="nil"/>
            </w:tcBorders>
            <w:vAlign w:val="center"/>
            <w:hideMark/>
          </w:tcPr>
          <w:p w14:paraId="5E6D5CF2" w14:textId="77777777" w:rsidR="00EE0841" w:rsidRPr="005708B8" w:rsidRDefault="00EE0841" w:rsidP="005708B8">
            <w:pPr>
              <w:spacing w:before="20" w:after="20"/>
              <w:rPr>
                <w:rFonts w:asciiTheme="minorBidi" w:hAnsiTheme="minorBidi" w:cstheme="minorBidi"/>
                <w:b/>
                <w:bCs/>
                <w:i/>
                <w:iCs/>
                <w:color w:val="000000"/>
                <w:sz w:val="18"/>
                <w:szCs w:val="18"/>
              </w:rPr>
            </w:pPr>
          </w:p>
        </w:tc>
        <w:tc>
          <w:tcPr>
            <w:tcW w:w="1276" w:type="dxa"/>
            <w:vMerge/>
            <w:tcBorders>
              <w:left w:val="single" w:sz="4" w:space="0" w:color="auto"/>
              <w:bottom w:val="single" w:sz="4" w:space="0" w:color="000000"/>
              <w:right w:val="dashed" w:sz="4" w:space="0" w:color="auto"/>
            </w:tcBorders>
            <w:vAlign w:val="center"/>
          </w:tcPr>
          <w:p w14:paraId="4CB67029" w14:textId="77777777" w:rsidR="00EE0841" w:rsidRPr="005708B8" w:rsidRDefault="00EE0841" w:rsidP="005708B8">
            <w:pPr>
              <w:rPr>
                <w:rFonts w:asciiTheme="minorBidi" w:hAnsiTheme="minorBidi" w:cstheme="minorBidi"/>
                <w:i/>
                <w:iCs/>
                <w:color w:val="000000"/>
                <w:sz w:val="18"/>
                <w:szCs w:val="18"/>
              </w:rPr>
            </w:pPr>
          </w:p>
        </w:tc>
        <w:tc>
          <w:tcPr>
            <w:tcW w:w="1559" w:type="dxa"/>
            <w:vMerge/>
            <w:tcBorders>
              <w:top w:val="nil"/>
              <w:left w:val="dashed" w:sz="4" w:space="0" w:color="auto"/>
              <w:bottom w:val="dashed" w:sz="4" w:space="0" w:color="auto"/>
              <w:right w:val="dashed" w:sz="4" w:space="0" w:color="auto"/>
            </w:tcBorders>
            <w:vAlign w:val="center"/>
            <w:hideMark/>
          </w:tcPr>
          <w:p w14:paraId="0DF9C2AB" w14:textId="77777777" w:rsidR="00EE0841" w:rsidRPr="005708B8" w:rsidRDefault="00EE0841" w:rsidP="005708B8">
            <w:pPr>
              <w:rPr>
                <w:rFonts w:asciiTheme="minorBidi" w:hAnsiTheme="minorBidi" w:cstheme="minorBidi"/>
                <w:i/>
                <w:iCs/>
                <w:color w:val="000000"/>
                <w:sz w:val="18"/>
                <w:szCs w:val="18"/>
              </w:rPr>
            </w:pPr>
          </w:p>
        </w:tc>
        <w:tc>
          <w:tcPr>
            <w:tcW w:w="1835" w:type="dxa"/>
            <w:vMerge/>
            <w:tcBorders>
              <w:top w:val="nil"/>
              <w:left w:val="dashed" w:sz="4" w:space="0" w:color="auto"/>
              <w:bottom w:val="dashed" w:sz="4" w:space="0" w:color="auto"/>
              <w:right w:val="dashed" w:sz="4" w:space="0" w:color="auto"/>
            </w:tcBorders>
            <w:vAlign w:val="center"/>
            <w:hideMark/>
          </w:tcPr>
          <w:p w14:paraId="41ADD191" w14:textId="77777777" w:rsidR="00EE0841" w:rsidRPr="005708B8" w:rsidRDefault="00EE0841" w:rsidP="005708B8">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444D9166" w14:textId="77777777" w:rsidR="00EE0841" w:rsidRPr="005708B8" w:rsidRDefault="00EE0841" w:rsidP="005708B8">
            <w:pPr>
              <w:jc w:val="center"/>
              <w:rPr>
                <w:rFonts w:ascii="Arial" w:hAnsi="Arial" w:cs="Arial"/>
                <w:i/>
                <w:iCs/>
                <w:color w:val="000000"/>
                <w:sz w:val="16"/>
                <w:szCs w:val="16"/>
              </w:rPr>
            </w:pPr>
          </w:p>
        </w:tc>
      </w:tr>
      <w:tr w:rsidR="00EE0841" w:rsidRPr="005708B8" w14:paraId="2E2FDB01" w14:textId="77777777" w:rsidTr="008B5DA0">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37196256"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t>4.</w:t>
            </w:r>
          </w:p>
        </w:tc>
        <w:tc>
          <w:tcPr>
            <w:tcW w:w="4819" w:type="dxa"/>
            <w:tcBorders>
              <w:top w:val="nil"/>
              <w:left w:val="nil"/>
              <w:bottom w:val="single" w:sz="8" w:space="0" w:color="auto"/>
              <w:right w:val="nil"/>
            </w:tcBorders>
            <w:vAlign w:val="center"/>
            <w:hideMark/>
          </w:tcPr>
          <w:p w14:paraId="63DE4E3D"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Participation aux sessions du Comité, de son Bureau et de ses organes subsidiaires d’experts du patrimoine culturel immatériel représentant des pays en développement membres du Comité</w:t>
            </w:r>
          </w:p>
        </w:tc>
        <w:tc>
          <w:tcPr>
            <w:tcW w:w="1276" w:type="dxa"/>
            <w:tcBorders>
              <w:top w:val="nil"/>
              <w:left w:val="single" w:sz="4" w:space="0" w:color="auto"/>
              <w:bottom w:val="single" w:sz="4" w:space="0" w:color="auto"/>
              <w:right w:val="dashed" w:sz="4" w:space="0" w:color="auto"/>
            </w:tcBorders>
            <w:vAlign w:val="center"/>
          </w:tcPr>
          <w:p w14:paraId="441D1513" w14:textId="16321A08" w:rsidR="00EE0841" w:rsidRPr="005708B8" w:rsidRDefault="00EE0841" w:rsidP="005708B8">
            <w:pPr>
              <w:jc w:val="center"/>
              <w:rPr>
                <w:rFonts w:asciiTheme="minorBidi" w:hAnsiTheme="minorBidi" w:cstheme="minorBidi"/>
                <w:color w:val="000000"/>
                <w:sz w:val="18"/>
                <w:szCs w:val="18"/>
              </w:rPr>
            </w:pPr>
          </w:p>
          <w:p w14:paraId="72E79E43" w14:textId="51F521C3"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2,5 %</w:t>
            </w:r>
          </w:p>
        </w:tc>
        <w:tc>
          <w:tcPr>
            <w:tcW w:w="1559" w:type="dxa"/>
            <w:tcBorders>
              <w:top w:val="nil"/>
              <w:left w:val="nil"/>
              <w:bottom w:val="dashed" w:sz="4" w:space="0" w:color="auto"/>
              <w:right w:val="dashed" w:sz="4" w:space="0" w:color="auto"/>
            </w:tcBorders>
            <w:vAlign w:val="center"/>
            <w:hideMark/>
          </w:tcPr>
          <w:p w14:paraId="3AAF5F16"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196 915 $</w:t>
            </w:r>
          </w:p>
        </w:tc>
        <w:tc>
          <w:tcPr>
            <w:tcW w:w="1835" w:type="dxa"/>
            <w:tcBorders>
              <w:top w:val="nil"/>
              <w:left w:val="nil"/>
              <w:bottom w:val="dashed" w:sz="4" w:space="0" w:color="auto"/>
              <w:right w:val="dashed" w:sz="4" w:space="0" w:color="auto"/>
            </w:tcBorders>
            <w:vAlign w:val="center"/>
            <w:hideMark/>
          </w:tcPr>
          <w:p w14:paraId="74DF9473"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49 229 $</w:t>
            </w:r>
          </w:p>
        </w:tc>
        <w:tc>
          <w:tcPr>
            <w:tcW w:w="149" w:type="dxa"/>
            <w:gridSpan w:val="2"/>
            <w:vAlign w:val="center"/>
            <w:hideMark/>
          </w:tcPr>
          <w:p w14:paraId="404EE83A" w14:textId="77777777" w:rsidR="00EE0841" w:rsidRPr="005708B8" w:rsidRDefault="00EE0841" w:rsidP="005708B8">
            <w:pPr>
              <w:rPr>
                <w:sz w:val="20"/>
                <w:szCs w:val="20"/>
              </w:rPr>
            </w:pPr>
          </w:p>
        </w:tc>
      </w:tr>
      <w:tr w:rsidR="00EE0841" w:rsidRPr="005708B8" w14:paraId="6DAB3607" w14:textId="77777777" w:rsidTr="008B5DA0">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7CF17859"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t>5.</w:t>
            </w:r>
          </w:p>
        </w:tc>
        <w:tc>
          <w:tcPr>
            <w:tcW w:w="4819" w:type="dxa"/>
            <w:tcBorders>
              <w:top w:val="nil"/>
              <w:left w:val="nil"/>
              <w:bottom w:val="single" w:sz="8" w:space="0" w:color="auto"/>
              <w:right w:val="nil"/>
            </w:tcBorders>
            <w:vAlign w:val="center"/>
            <w:hideMark/>
          </w:tcPr>
          <w:p w14:paraId="56A2D701"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Participation aux sessions du Comité et de ses organes consultatifs d’experts du patrimoine culturel immatériel représentant des pays en développement Parties à la Convention mais non membres du Comité</w:t>
            </w:r>
          </w:p>
        </w:tc>
        <w:tc>
          <w:tcPr>
            <w:tcW w:w="1276" w:type="dxa"/>
            <w:tcBorders>
              <w:top w:val="nil"/>
              <w:left w:val="single" w:sz="4" w:space="0" w:color="auto"/>
              <w:bottom w:val="single" w:sz="4" w:space="0" w:color="auto"/>
              <w:right w:val="dashed" w:sz="4" w:space="0" w:color="auto"/>
            </w:tcBorders>
            <w:vAlign w:val="center"/>
          </w:tcPr>
          <w:p w14:paraId="440384CD" w14:textId="371CE9A3" w:rsidR="00EE0841" w:rsidRPr="005708B8" w:rsidRDefault="00EE0841" w:rsidP="005708B8">
            <w:pPr>
              <w:jc w:val="center"/>
              <w:rPr>
                <w:rFonts w:asciiTheme="minorBidi" w:hAnsiTheme="minorBidi" w:cstheme="minorBidi"/>
                <w:color w:val="000000"/>
                <w:sz w:val="18"/>
                <w:szCs w:val="18"/>
              </w:rPr>
            </w:pPr>
          </w:p>
          <w:p w14:paraId="08B8F9A5" w14:textId="4FA69088"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2,7 %</w:t>
            </w:r>
          </w:p>
        </w:tc>
        <w:tc>
          <w:tcPr>
            <w:tcW w:w="1559" w:type="dxa"/>
            <w:tcBorders>
              <w:top w:val="nil"/>
              <w:left w:val="nil"/>
              <w:bottom w:val="dashed" w:sz="4" w:space="0" w:color="auto"/>
              <w:right w:val="dashed" w:sz="4" w:space="0" w:color="auto"/>
            </w:tcBorders>
            <w:vAlign w:val="center"/>
            <w:hideMark/>
          </w:tcPr>
          <w:p w14:paraId="3B4DF680"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212 668 $</w:t>
            </w:r>
          </w:p>
        </w:tc>
        <w:tc>
          <w:tcPr>
            <w:tcW w:w="1835" w:type="dxa"/>
            <w:tcBorders>
              <w:top w:val="nil"/>
              <w:left w:val="nil"/>
              <w:bottom w:val="dashed" w:sz="4" w:space="0" w:color="auto"/>
              <w:right w:val="dashed" w:sz="4" w:space="0" w:color="auto"/>
            </w:tcBorders>
            <w:vAlign w:val="center"/>
            <w:hideMark/>
          </w:tcPr>
          <w:p w14:paraId="38F651E2"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53 167 $</w:t>
            </w:r>
          </w:p>
        </w:tc>
        <w:tc>
          <w:tcPr>
            <w:tcW w:w="149" w:type="dxa"/>
            <w:gridSpan w:val="2"/>
            <w:vAlign w:val="center"/>
            <w:hideMark/>
          </w:tcPr>
          <w:p w14:paraId="5CB02C95" w14:textId="77777777" w:rsidR="00EE0841" w:rsidRPr="005708B8" w:rsidRDefault="00EE0841" w:rsidP="005708B8">
            <w:pPr>
              <w:rPr>
                <w:sz w:val="20"/>
                <w:szCs w:val="20"/>
              </w:rPr>
            </w:pPr>
          </w:p>
        </w:tc>
      </w:tr>
      <w:tr w:rsidR="00EE0841" w:rsidRPr="005708B8" w14:paraId="421EFF33" w14:textId="77777777" w:rsidTr="008B5DA0">
        <w:trPr>
          <w:gridAfter w:val="1"/>
          <w:wAfter w:w="16" w:type="dxa"/>
          <w:trHeight w:val="1684"/>
        </w:trPr>
        <w:tc>
          <w:tcPr>
            <w:tcW w:w="416" w:type="dxa"/>
            <w:tcBorders>
              <w:top w:val="nil"/>
              <w:left w:val="single" w:sz="8" w:space="0" w:color="auto"/>
              <w:bottom w:val="single" w:sz="8" w:space="0" w:color="auto"/>
              <w:right w:val="single" w:sz="8" w:space="0" w:color="auto"/>
            </w:tcBorders>
            <w:noWrap/>
            <w:hideMark/>
          </w:tcPr>
          <w:p w14:paraId="5C44ABF1"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t>6.</w:t>
            </w:r>
          </w:p>
        </w:tc>
        <w:tc>
          <w:tcPr>
            <w:tcW w:w="4819" w:type="dxa"/>
            <w:tcBorders>
              <w:top w:val="nil"/>
              <w:left w:val="nil"/>
              <w:bottom w:val="single" w:sz="8" w:space="0" w:color="auto"/>
              <w:right w:val="nil"/>
            </w:tcBorders>
            <w:vAlign w:val="center"/>
            <w:hideMark/>
          </w:tcPr>
          <w:p w14:paraId="51853110"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Participation aux sessions du Comité, de son Bureau et de ses organes consultatifs d’entités publiques ou privées, de personnes physiques, notamment de membres de communautés et de groupes, qui ont été invitées par le Comité à titre consultatif sur des questions spécifiques, ainsi que d’experts du patrimoine culturel immatériel représentant des ONG accréditées de pays en développement</w:t>
            </w:r>
          </w:p>
        </w:tc>
        <w:tc>
          <w:tcPr>
            <w:tcW w:w="1276" w:type="dxa"/>
            <w:tcBorders>
              <w:top w:val="nil"/>
              <w:left w:val="single" w:sz="4" w:space="0" w:color="auto"/>
              <w:bottom w:val="single" w:sz="4" w:space="0" w:color="auto"/>
              <w:right w:val="dashed" w:sz="4" w:space="0" w:color="auto"/>
            </w:tcBorders>
            <w:vAlign w:val="center"/>
          </w:tcPr>
          <w:p w14:paraId="4A91723E" w14:textId="720EA6BC" w:rsidR="00EE0841" w:rsidRPr="005708B8" w:rsidRDefault="00EE0841" w:rsidP="005708B8">
            <w:pPr>
              <w:jc w:val="center"/>
              <w:rPr>
                <w:rFonts w:asciiTheme="minorBidi" w:hAnsiTheme="minorBidi" w:cstheme="minorBidi"/>
                <w:color w:val="000000"/>
                <w:sz w:val="18"/>
                <w:szCs w:val="18"/>
              </w:rPr>
            </w:pPr>
          </w:p>
          <w:p w14:paraId="1B623678" w14:textId="4208116E"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2,7 %</w:t>
            </w:r>
          </w:p>
        </w:tc>
        <w:tc>
          <w:tcPr>
            <w:tcW w:w="1559" w:type="dxa"/>
            <w:tcBorders>
              <w:top w:val="nil"/>
              <w:left w:val="nil"/>
              <w:bottom w:val="dashed" w:sz="4" w:space="0" w:color="auto"/>
              <w:right w:val="dashed" w:sz="4" w:space="0" w:color="auto"/>
            </w:tcBorders>
            <w:vAlign w:val="center"/>
            <w:hideMark/>
          </w:tcPr>
          <w:p w14:paraId="21D053D1"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212 668 $</w:t>
            </w:r>
          </w:p>
        </w:tc>
        <w:tc>
          <w:tcPr>
            <w:tcW w:w="1835" w:type="dxa"/>
            <w:tcBorders>
              <w:top w:val="nil"/>
              <w:left w:val="nil"/>
              <w:bottom w:val="dashed" w:sz="4" w:space="0" w:color="auto"/>
              <w:right w:val="dashed" w:sz="4" w:space="0" w:color="auto"/>
            </w:tcBorders>
            <w:vAlign w:val="center"/>
            <w:hideMark/>
          </w:tcPr>
          <w:p w14:paraId="502C3192"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53 167 $</w:t>
            </w:r>
          </w:p>
        </w:tc>
        <w:tc>
          <w:tcPr>
            <w:tcW w:w="149" w:type="dxa"/>
            <w:gridSpan w:val="2"/>
            <w:vAlign w:val="center"/>
            <w:hideMark/>
          </w:tcPr>
          <w:p w14:paraId="4A76942A" w14:textId="77777777" w:rsidR="00EE0841" w:rsidRPr="005708B8" w:rsidRDefault="00EE0841" w:rsidP="005708B8">
            <w:pPr>
              <w:rPr>
                <w:sz w:val="20"/>
                <w:szCs w:val="20"/>
              </w:rPr>
            </w:pPr>
          </w:p>
        </w:tc>
      </w:tr>
      <w:tr w:rsidR="00EE0841" w:rsidRPr="005708B8" w14:paraId="3BE64382" w14:textId="77777777" w:rsidTr="008B5DA0">
        <w:trPr>
          <w:gridAfter w:val="1"/>
          <w:wAfter w:w="16" w:type="dxa"/>
          <w:trHeight w:val="492"/>
        </w:trPr>
        <w:tc>
          <w:tcPr>
            <w:tcW w:w="416" w:type="dxa"/>
            <w:tcBorders>
              <w:top w:val="nil"/>
              <w:left w:val="single" w:sz="8" w:space="0" w:color="auto"/>
              <w:bottom w:val="single" w:sz="8" w:space="0" w:color="auto"/>
              <w:right w:val="single" w:sz="8" w:space="0" w:color="auto"/>
            </w:tcBorders>
            <w:noWrap/>
            <w:hideMark/>
          </w:tcPr>
          <w:p w14:paraId="3A312F9A" w14:textId="77777777" w:rsidR="00EE0841" w:rsidRPr="005708B8" w:rsidRDefault="00EE0841" w:rsidP="005708B8">
            <w:pPr>
              <w:spacing w:before="60"/>
              <w:rPr>
                <w:rFonts w:asciiTheme="minorBidi" w:hAnsiTheme="minorBidi" w:cstheme="minorBidi"/>
                <w:color w:val="000000"/>
                <w:sz w:val="18"/>
                <w:szCs w:val="18"/>
              </w:rPr>
            </w:pPr>
            <w:r w:rsidRPr="005708B8">
              <w:rPr>
                <w:rFonts w:asciiTheme="minorBidi" w:hAnsiTheme="minorBidi"/>
                <w:color w:val="000000"/>
                <w:sz w:val="18"/>
              </w:rPr>
              <w:t>7.</w:t>
            </w:r>
          </w:p>
        </w:tc>
        <w:tc>
          <w:tcPr>
            <w:tcW w:w="4819" w:type="dxa"/>
            <w:tcBorders>
              <w:top w:val="nil"/>
              <w:left w:val="nil"/>
              <w:bottom w:val="single" w:sz="8" w:space="0" w:color="auto"/>
              <w:right w:val="nil"/>
            </w:tcBorders>
            <w:vAlign w:val="center"/>
            <w:hideMark/>
          </w:tcPr>
          <w:p w14:paraId="0BFC0C40" w14:textId="77777777" w:rsidR="00EE0841" w:rsidRPr="005708B8" w:rsidRDefault="00EE0841" w:rsidP="005708B8">
            <w:pPr>
              <w:spacing w:before="20" w:after="20"/>
              <w:jc w:val="both"/>
              <w:rPr>
                <w:rFonts w:asciiTheme="minorBidi" w:hAnsiTheme="minorBidi" w:cstheme="minorBidi"/>
                <w:color w:val="000000"/>
                <w:sz w:val="18"/>
                <w:szCs w:val="18"/>
              </w:rPr>
            </w:pPr>
            <w:r w:rsidRPr="005708B8">
              <w:rPr>
                <w:rFonts w:asciiTheme="minorBidi" w:hAnsiTheme="minorBidi"/>
                <w:color w:val="000000"/>
                <w:sz w:val="18"/>
              </w:rPr>
              <w:t>Coût des services consultatifs à fournir à la demande du Comité</w:t>
            </w:r>
          </w:p>
        </w:tc>
        <w:tc>
          <w:tcPr>
            <w:tcW w:w="1276" w:type="dxa"/>
            <w:tcBorders>
              <w:top w:val="nil"/>
              <w:left w:val="single" w:sz="4" w:space="0" w:color="auto"/>
              <w:bottom w:val="single" w:sz="4" w:space="0" w:color="auto"/>
              <w:right w:val="dashed" w:sz="4" w:space="0" w:color="auto"/>
            </w:tcBorders>
            <w:vAlign w:val="center"/>
          </w:tcPr>
          <w:p w14:paraId="52A1F59F" w14:textId="644D97EB" w:rsidR="00EE0841" w:rsidRPr="005708B8" w:rsidRDefault="00EE0841" w:rsidP="005708B8">
            <w:pPr>
              <w:jc w:val="center"/>
              <w:rPr>
                <w:rFonts w:asciiTheme="minorBidi" w:hAnsiTheme="minorBidi" w:cstheme="minorBidi"/>
                <w:color w:val="000000"/>
                <w:sz w:val="18"/>
                <w:szCs w:val="18"/>
              </w:rPr>
            </w:pPr>
          </w:p>
          <w:p w14:paraId="3651D8F6" w14:textId="6E1910AF" w:rsidR="00EE0841" w:rsidRPr="005708B8" w:rsidRDefault="00EE0841" w:rsidP="005708B8">
            <w:pPr>
              <w:jc w:val="center"/>
              <w:rPr>
                <w:rFonts w:asciiTheme="minorBidi" w:hAnsiTheme="minorBidi" w:cstheme="minorBidi"/>
                <w:color w:val="000000"/>
                <w:sz w:val="18"/>
                <w:szCs w:val="18"/>
              </w:rPr>
            </w:pPr>
            <w:r w:rsidRPr="005708B8">
              <w:rPr>
                <w:rFonts w:asciiTheme="minorBidi" w:hAnsiTheme="minorBidi"/>
                <w:color w:val="000000"/>
                <w:sz w:val="18"/>
              </w:rPr>
              <w:t>7,0 %</w:t>
            </w:r>
          </w:p>
        </w:tc>
        <w:tc>
          <w:tcPr>
            <w:tcW w:w="1559" w:type="dxa"/>
            <w:tcBorders>
              <w:top w:val="nil"/>
              <w:left w:val="nil"/>
              <w:bottom w:val="dashed" w:sz="4" w:space="0" w:color="auto"/>
              <w:right w:val="dashed" w:sz="4" w:space="0" w:color="auto"/>
            </w:tcBorders>
            <w:vAlign w:val="center"/>
            <w:hideMark/>
          </w:tcPr>
          <w:p w14:paraId="7CFD368C"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551 361 $</w:t>
            </w:r>
          </w:p>
        </w:tc>
        <w:tc>
          <w:tcPr>
            <w:tcW w:w="1835" w:type="dxa"/>
            <w:tcBorders>
              <w:top w:val="nil"/>
              <w:left w:val="nil"/>
              <w:bottom w:val="dashed" w:sz="4" w:space="0" w:color="auto"/>
              <w:right w:val="dashed" w:sz="4" w:space="0" w:color="auto"/>
            </w:tcBorders>
            <w:vAlign w:val="center"/>
            <w:hideMark/>
          </w:tcPr>
          <w:p w14:paraId="19228941" w14:textId="77777777" w:rsidR="00EE0841" w:rsidRPr="005708B8" w:rsidRDefault="00EE0841" w:rsidP="005708B8">
            <w:pPr>
              <w:jc w:val="center"/>
              <w:rPr>
                <w:rFonts w:asciiTheme="minorBidi" w:hAnsiTheme="minorBidi" w:cstheme="minorBidi"/>
                <w:i/>
                <w:iCs/>
                <w:color w:val="000000"/>
                <w:sz w:val="18"/>
                <w:szCs w:val="18"/>
              </w:rPr>
            </w:pPr>
            <w:r w:rsidRPr="005708B8">
              <w:rPr>
                <w:rFonts w:asciiTheme="minorBidi" w:hAnsiTheme="minorBidi"/>
                <w:i/>
                <w:color w:val="000000"/>
                <w:sz w:val="18"/>
              </w:rPr>
              <w:t>137 840 $</w:t>
            </w:r>
          </w:p>
        </w:tc>
        <w:tc>
          <w:tcPr>
            <w:tcW w:w="149" w:type="dxa"/>
            <w:gridSpan w:val="2"/>
            <w:vAlign w:val="center"/>
            <w:hideMark/>
          </w:tcPr>
          <w:p w14:paraId="5CF847C5" w14:textId="77777777" w:rsidR="00EE0841" w:rsidRPr="005708B8" w:rsidRDefault="00EE0841" w:rsidP="005708B8">
            <w:pPr>
              <w:rPr>
                <w:sz w:val="20"/>
                <w:szCs w:val="20"/>
              </w:rPr>
            </w:pPr>
          </w:p>
        </w:tc>
      </w:tr>
      <w:tr w:rsidR="00EE0841" w:rsidRPr="005708B8" w14:paraId="0BE48696" w14:textId="77777777" w:rsidTr="008B5DA0">
        <w:trPr>
          <w:gridAfter w:val="1"/>
          <w:wAfter w:w="16" w:type="dxa"/>
          <w:trHeight w:val="298"/>
        </w:trPr>
        <w:tc>
          <w:tcPr>
            <w:tcW w:w="416" w:type="dxa"/>
            <w:tcBorders>
              <w:top w:val="nil"/>
              <w:left w:val="single" w:sz="8" w:space="0" w:color="auto"/>
              <w:bottom w:val="single" w:sz="4" w:space="0" w:color="auto"/>
              <w:right w:val="single" w:sz="8" w:space="0" w:color="auto"/>
            </w:tcBorders>
            <w:noWrap/>
            <w:vAlign w:val="center"/>
            <w:hideMark/>
          </w:tcPr>
          <w:p w14:paraId="0BB89E22" w14:textId="77777777" w:rsidR="00EE0841" w:rsidRPr="005708B8" w:rsidRDefault="00EE0841" w:rsidP="005708B8">
            <w:pPr>
              <w:ind w:firstLineChars="100" w:firstLine="181"/>
              <w:rPr>
                <w:rFonts w:asciiTheme="minorBidi" w:hAnsiTheme="minorBidi" w:cstheme="minorBidi"/>
                <w:b/>
                <w:bCs/>
                <w:color w:val="000000"/>
                <w:sz w:val="18"/>
                <w:szCs w:val="18"/>
              </w:rPr>
            </w:pPr>
            <w:r w:rsidRPr="005708B8">
              <w:rPr>
                <w:rFonts w:asciiTheme="minorBidi" w:hAnsiTheme="minorBidi"/>
                <w:b/>
                <w:color w:val="000000"/>
                <w:sz w:val="18"/>
              </w:rPr>
              <w:t> </w:t>
            </w:r>
          </w:p>
        </w:tc>
        <w:tc>
          <w:tcPr>
            <w:tcW w:w="4819" w:type="dxa"/>
            <w:tcBorders>
              <w:top w:val="nil"/>
              <w:left w:val="nil"/>
              <w:bottom w:val="single" w:sz="4" w:space="0" w:color="auto"/>
              <w:right w:val="nil"/>
            </w:tcBorders>
            <w:vAlign w:val="center"/>
            <w:hideMark/>
          </w:tcPr>
          <w:p w14:paraId="449731E7" w14:textId="77777777" w:rsidR="00EE0841" w:rsidRPr="005708B8" w:rsidRDefault="00EE0841" w:rsidP="005708B8">
            <w:pPr>
              <w:jc w:val="both"/>
              <w:rPr>
                <w:rFonts w:asciiTheme="minorBidi" w:hAnsiTheme="minorBidi" w:cstheme="minorBidi"/>
                <w:b/>
                <w:bCs/>
                <w:color w:val="000000"/>
                <w:sz w:val="18"/>
                <w:szCs w:val="18"/>
              </w:rPr>
            </w:pPr>
            <w:r w:rsidRPr="005708B8">
              <w:rPr>
                <w:rFonts w:asciiTheme="minorBidi" w:hAnsiTheme="minorBidi"/>
                <w:b/>
                <w:color w:val="000000"/>
                <w:sz w:val="18"/>
              </w:rPr>
              <w:t>TOTAL</w:t>
            </w:r>
          </w:p>
        </w:tc>
        <w:tc>
          <w:tcPr>
            <w:tcW w:w="1276" w:type="dxa"/>
            <w:tcBorders>
              <w:top w:val="nil"/>
              <w:left w:val="single" w:sz="4" w:space="0" w:color="auto"/>
              <w:bottom w:val="single" w:sz="4" w:space="0" w:color="auto"/>
              <w:right w:val="dashed" w:sz="4" w:space="0" w:color="auto"/>
            </w:tcBorders>
            <w:vAlign w:val="center"/>
          </w:tcPr>
          <w:p w14:paraId="0FC69A39" w14:textId="084A4CAA" w:rsidR="00EE0841" w:rsidRPr="005708B8" w:rsidRDefault="00EE0841" w:rsidP="00EE0841">
            <w:pPr>
              <w:jc w:val="center"/>
              <w:rPr>
                <w:rFonts w:asciiTheme="minorBidi" w:hAnsiTheme="minorBidi" w:cstheme="minorBidi"/>
                <w:b/>
                <w:bCs/>
                <w:color w:val="000000"/>
                <w:sz w:val="18"/>
                <w:szCs w:val="18"/>
              </w:rPr>
            </w:pPr>
            <w:r w:rsidRPr="005708B8">
              <w:rPr>
                <w:rFonts w:asciiTheme="minorBidi" w:hAnsiTheme="minorBidi"/>
                <w:b/>
                <w:color w:val="000000"/>
                <w:sz w:val="18"/>
              </w:rPr>
              <w:t>100,00 %</w:t>
            </w:r>
          </w:p>
        </w:tc>
        <w:tc>
          <w:tcPr>
            <w:tcW w:w="1559" w:type="dxa"/>
            <w:tcBorders>
              <w:top w:val="nil"/>
              <w:left w:val="nil"/>
              <w:bottom w:val="dashed" w:sz="4" w:space="0" w:color="auto"/>
              <w:right w:val="dashed" w:sz="4" w:space="0" w:color="auto"/>
            </w:tcBorders>
            <w:vAlign w:val="center"/>
            <w:hideMark/>
          </w:tcPr>
          <w:p w14:paraId="51172518" w14:textId="77777777" w:rsidR="00EE0841" w:rsidRPr="005708B8" w:rsidRDefault="00EE0841" w:rsidP="005708B8">
            <w:pPr>
              <w:jc w:val="center"/>
              <w:rPr>
                <w:rFonts w:asciiTheme="minorBidi" w:hAnsiTheme="minorBidi" w:cstheme="minorBidi"/>
                <w:b/>
                <w:bCs/>
                <w:i/>
                <w:iCs/>
                <w:color w:val="000000"/>
                <w:sz w:val="18"/>
                <w:szCs w:val="18"/>
              </w:rPr>
            </w:pPr>
            <w:r w:rsidRPr="005708B8">
              <w:rPr>
                <w:rFonts w:asciiTheme="minorBidi" w:hAnsiTheme="minorBidi"/>
                <w:b/>
                <w:i/>
                <w:color w:val="000000"/>
                <w:sz w:val="18"/>
              </w:rPr>
              <w:t>7 876 590 $</w:t>
            </w:r>
          </w:p>
        </w:tc>
        <w:tc>
          <w:tcPr>
            <w:tcW w:w="1835" w:type="dxa"/>
            <w:tcBorders>
              <w:top w:val="nil"/>
              <w:left w:val="nil"/>
              <w:bottom w:val="dashed" w:sz="4" w:space="0" w:color="auto"/>
              <w:right w:val="dashed" w:sz="4" w:space="0" w:color="auto"/>
            </w:tcBorders>
            <w:vAlign w:val="center"/>
            <w:hideMark/>
          </w:tcPr>
          <w:p w14:paraId="7FF6DFE2" w14:textId="77777777" w:rsidR="00EE0841" w:rsidRPr="005708B8" w:rsidRDefault="00EE0841" w:rsidP="005708B8">
            <w:pPr>
              <w:jc w:val="center"/>
              <w:rPr>
                <w:rFonts w:asciiTheme="minorBidi" w:hAnsiTheme="minorBidi" w:cstheme="minorBidi"/>
                <w:b/>
                <w:bCs/>
                <w:i/>
                <w:iCs/>
                <w:color w:val="000000"/>
                <w:sz w:val="18"/>
                <w:szCs w:val="18"/>
              </w:rPr>
            </w:pPr>
            <w:r w:rsidRPr="005708B8">
              <w:rPr>
                <w:rFonts w:asciiTheme="minorBidi" w:hAnsiTheme="minorBidi"/>
                <w:b/>
                <w:i/>
                <w:color w:val="000000"/>
                <w:sz w:val="18"/>
              </w:rPr>
              <w:t>1 969 148 $</w:t>
            </w:r>
          </w:p>
        </w:tc>
        <w:tc>
          <w:tcPr>
            <w:tcW w:w="149" w:type="dxa"/>
            <w:gridSpan w:val="2"/>
            <w:vAlign w:val="center"/>
            <w:hideMark/>
          </w:tcPr>
          <w:p w14:paraId="3CF7DCF5" w14:textId="77777777" w:rsidR="00EE0841" w:rsidRPr="005708B8" w:rsidRDefault="00EE0841" w:rsidP="005708B8">
            <w:pPr>
              <w:rPr>
                <w:sz w:val="20"/>
                <w:szCs w:val="20"/>
              </w:rPr>
            </w:pPr>
          </w:p>
        </w:tc>
      </w:tr>
      <w:tr w:rsidR="005708B8" w:rsidRPr="005708B8" w14:paraId="45F5262E" w14:textId="77777777" w:rsidTr="00D70CD5">
        <w:trPr>
          <w:trHeight w:val="565"/>
        </w:trPr>
        <w:tc>
          <w:tcPr>
            <w:tcW w:w="9921" w:type="dxa"/>
            <w:gridSpan w:val="6"/>
            <w:tcBorders>
              <w:top w:val="single" w:sz="4" w:space="0" w:color="auto"/>
              <w:left w:val="single" w:sz="4" w:space="0" w:color="auto"/>
              <w:bottom w:val="single" w:sz="4" w:space="0" w:color="auto"/>
              <w:right w:val="single" w:sz="4" w:space="0" w:color="auto"/>
            </w:tcBorders>
            <w:vAlign w:val="center"/>
            <w:hideMark/>
          </w:tcPr>
          <w:p w14:paraId="590BEB54" w14:textId="77777777" w:rsidR="005708B8" w:rsidRPr="005708B8" w:rsidRDefault="005708B8" w:rsidP="005708B8">
            <w:pPr>
              <w:spacing w:before="120" w:after="120"/>
              <w:jc w:val="both"/>
              <w:rPr>
                <w:rFonts w:ascii="Arial" w:hAnsi="Arial" w:cs="Arial"/>
                <w:color w:val="000000"/>
                <w:sz w:val="18"/>
                <w:szCs w:val="18"/>
              </w:rPr>
            </w:pPr>
            <w:r w:rsidRPr="005708B8">
              <w:rPr>
                <w:rFonts w:ascii="Arial" w:hAnsi="Arial"/>
                <w:color w:val="000000"/>
                <w:sz w:val="18"/>
              </w:rPr>
              <w:t>[1] Les pourcentages sont appliqués au solde du Fonds au 31 décembre 2025. Ce solde ne comprend pas le fonds de réserve (1 million de dollars des États-Unis).</w:t>
            </w:r>
          </w:p>
        </w:tc>
        <w:tc>
          <w:tcPr>
            <w:tcW w:w="149" w:type="dxa"/>
            <w:gridSpan w:val="2"/>
            <w:vAlign w:val="center"/>
            <w:hideMark/>
          </w:tcPr>
          <w:p w14:paraId="394FD041" w14:textId="77777777" w:rsidR="005708B8" w:rsidRPr="005708B8" w:rsidRDefault="005708B8" w:rsidP="005708B8">
            <w:pPr>
              <w:rPr>
                <w:sz w:val="20"/>
                <w:szCs w:val="20"/>
              </w:rPr>
            </w:pPr>
          </w:p>
        </w:tc>
      </w:tr>
      <w:tr w:rsidR="005708B8" w:rsidRPr="005708B8" w14:paraId="77544D6A" w14:textId="77777777" w:rsidTr="00D70CD5">
        <w:trPr>
          <w:trHeight w:val="404"/>
        </w:trPr>
        <w:tc>
          <w:tcPr>
            <w:tcW w:w="992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8C68102" w14:textId="77777777" w:rsidR="005708B8" w:rsidRPr="005708B8" w:rsidRDefault="005708B8" w:rsidP="005708B8">
            <w:pPr>
              <w:spacing w:before="120" w:after="120"/>
              <w:jc w:val="both"/>
              <w:rPr>
                <w:rFonts w:ascii="Arial" w:hAnsi="Arial" w:cs="Arial"/>
                <w:color w:val="000000"/>
                <w:sz w:val="18"/>
                <w:szCs w:val="18"/>
              </w:rPr>
            </w:pPr>
            <w:r w:rsidRPr="005708B8">
              <w:rPr>
                <w:rFonts w:ascii="Arial" w:hAnsi="Arial"/>
                <w:color w:val="000000"/>
                <w:sz w:val="18"/>
              </w:rPr>
              <w:t>Les fonds non engagés à la fin de la période couverte par ce plan sont reportés sur l’exercice financier suivant et doivent être affectés conformément au plan approuvé par l’Assemblée générale à ce moment.</w:t>
            </w:r>
          </w:p>
        </w:tc>
        <w:tc>
          <w:tcPr>
            <w:tcW w:w="149" w:type="dxa"/>
            <w:gridSpan w:val="2"/>
            <w:vAlign w:val="center"/>
            <w:hideMark/>
          </w:tcPr>
          <w:p w14:paraId="225022D0" w14:textId="77777777" w:rsidR="005708B8" w:rsidRPr="005708B8" w:rsidRDefault="005708B8" w:rsidP="005708B8">
            <w:pPr>
              <w:rPr>
                <w:sz w:val="20"/>
                <w:szCs w:val="20"/>
              </w:rPr>
            </w:pPr>
          </w:p>
        </w:tc>
      </w:tr>
      <w:tr w:rsidR="005708B8" w:rsidRPr="005708B8" w14:paraId="73BB1FC3" w14:textId="77777777" w:rsidTr="00D70CD5">
        <w:trPr>
          <w:trHeight w:val="626"/>
        </w:trPr>
        <w:tc>
          <w:tcPr>
            <w:tcW w:w="9921" w:type="dxa"/>
            <w:gridSpan w:val="6"/>
            <w:tcBorders>
              <w:top w:val="single" w:sz="4" w:space="0" w:color="auto"/>
              <w:left w:val="single" w:sz="4" w:space="0" w:color="auto"/>
              <w:bottom w:val="single" w:sz="4" w:space="0" w:color="auto"/>
              <w:right w:val="single" w:sz="4" w:space="0" w:color="auto"/>
            </w:tcBorders>
            <w:vAlign w:val="center"/>
            <w:hideMark/>
          </w:tcPr>
          <w:p w14:paraId="782AE320" w14:textId="1AE39112" w:rsidR="005708B8" w:rsidRPr="005708B8" w:rsidRDefault="005708B8" w:rsidP="005708B8">
            <w:pPr>
              <w:spacing w:before="120" w:after="120"/>
              <w:jc w:val="both"/>
              <w:rPr>
                <w:rFonts w:ascii="Arial" w:hAnsi="Arial" w:cs="Arial"/>
                <w:color w:val="000000"/>
                <w:sz w:val="18"/>
                <w:szCs w:val="18"/>
              </w:rPr>
            </w:pPr>
            <w:r w:rsidRPr="005708B8">
              <w:rPr>
                <w:rFonts w:ascii="Arial" w:hAnsi="Arial"/>
                <w:color w:val="000000"/>
                <w:sz w:val="18"/>
              </w:rPr>
              <w:t xml:space="preserve">Pour la période allant du </w:t>
            </w:r>
            <w:r w:rsidRPr="005708B8">
              <w:rPr>
                <w:rFonts w:asciiTheme="minorBidi" w:hAnsiTheme="minorBidi"/>
                <w:color w:val="000000"/>
                <w:sz w:val="18"/>
              </w:rPr>
              <w:t xml:space="preserve">1 janvier 2028 au 30 juin 2028, un quart du montant établi pour les vingt-quatre mois de l’exercice financier 2026-2027 sera alloué à titre provisoire, à l’exception du Fonds de réserve, dont le montant a été fixé par le Comité à 1 million de dollars des États-Unis (décision </w:t>
            </w:r>
            <w:hyperlink r:id="rId31" w:history="1">
              <w:r w:rsidRPr="005708B8">
                <w:rPr>
                  <w:rFonts w:asciiTheme="minorBidi" w:hAnsiTheme="minorBidi"/>
                  <w:color w:val="0000FF"/>
                  <w:sz w:val="18"/>
                  <w:u w:val="single"/>
                </w:rPr>
                <w:t>10.COM</w:t>
              </w:r>
              <w:r w:rsidR="0058384F">
                <w:rPr>
                  <w:rFonts w:asciiTheme="minorBidi" w:hAnsiTheme="minorBidi"/>
                  <w:color w:val="0000FF"/>
                  <w:sz w:val="18"/>
                  <w:u w:val="single"/>
                </w:rPr>
                <w:t xml:space="preserve"> </w:t>
              </w:r>
              <w:r w:rsidRPr="005708B8">
                <w:rPr>
                  <w:rFonts w:asciiTheme="minorBidi" w:hAnsiTheme="minorBidi"/>
                  <w:color w:val="0000FF"/>
                  <w:sz w:val="18"/>
                  <w:u w:val="single"/>
                </w:rPr>
                <w:t>8</w:t>
              </w:r>
            </w:hyperlink>
            <w:r w:rsidRPr="005708B8">
              <w:rPr>
                <w:rFonts w:asciiTheme="minorBidi" w:hAnsiTheme="minorBidi"/>
                <w:sz w:val="18"/>
              </w:rPr>
              <w:t>).</w:t>
            </w:r>
          </w:p>
        </w:tc>
        <w:tc>
          <w:tcPr>
            <w:tcW w:w="149" w:type="dxa"/>
            <w:gridSpan w:val="2"/>
            <w:vAlign w:val="center"/>
            <w:hideMark/>
          </w:tcPr>
          <w:p w14:paraId="20583A23" w14:textId="77777777" w:rsidR="005708B8" w:rsidRPr="005708B8" w:rsidRDefault="005708B8" w:rsidP="005708B8">
            <w:pPr>
              <w:rPr>
                <w:sz w:val="20"/>
                <w:szCs w:val="20"/>
              </w:rPr>
            </w:pPr>
          </w:p>
        </w:tc>
      </w:tr>
    </w:tbl>
    <w:p w14:paraId="2C25E8E9" w14:textId="77777777" w:rsidR="00116719" w:rsidRDefault="00FC161D" w:rsidP="00116719">
      <w:pPr>
        <w:keepNext/>
        <w:spacing w:before="360" w:after="120"/>
        <w:jc w:val="both"/>
        <w:rPr>
          <w:rFonts w:asciiTheme="minorBidi" w:hAnsiTheme="minorBidi" w:cs="Arial"/>
          <w:b/>
          <w:sz w:val="22"/>
          <w:szCs w:val="22"/>
        </w:rPr>
      </w:pPr>
      <w:r w:rsidRPr="00A972FE">
        <w:rPr>
          <w:rFonts w:asciiTheme="minorBidi" w:hAnsiTheme="minorBidi" w:cs="Arial"/>
          <w:b/>
          <w:sz w:val="22"/>
          <w:szCs w:val="22"/>
        </w:rPr>
        <w:t>RÉSOLUTION 1</w:t>
      </w:r>
      <w:r w:rsidR="00EF2C08">
        <w:rPr>
          <w:rFonts w:asciiTheme="minorBidi" w:hAnsiTheme="minorBidi" w:cs="Arial"/>
          <w:b/>
          <w:sz w:val="22"/>
          <w:szCs w:val="22"/>
        </w:rPr>
        <w:t>1</w:t>
      </w:r>
      <w:r w:rsidRPr="00A972FE">
        <w:rPr>
          <w:rFonts w:asciiTheme="minorBidi" w:hAnsiTheme="minorBidi" w:cs="Arial"/>
          <w:b/>
          <w:sz w:val="22"/>
          <w:szCs w:val="22"/>
        </w:rPr>
        <w:t>.GA 9</w:t>
      </w:r>
    </w:p>
    <w:p w14:paraId="23A82794" w14:textId="35733CD2" w:rsidR="00116719" w:rsidRDefault="00116719" w:rsidP="00116719">
      <w:pPr>
        <w:pStyle w:val="COMPara"/>
      </w:pPr>
      <w:r w:rsidRPr="00F10BF6">
        <w:rPr>
          <w:lang w:val="fr-FR"/>
        </w:rPr>
        <w:t>L’Assemblée générale</w:t>
      </w:r>
      <w:r>
        <w:t xml:space="preserve">, </w:t>
      </w:r>
    </w:p>
    <w:p w14:paraId="28468933" w14:textId="2DCBD183" w:rsidR="00116719" w:rsidRPr="00116719" w:rsidRDefault="00116719" w:rsidP="00116719">
      <w:pPr>
        <w:pStyle w:val="ListParagraph"/>
        <w:numPr>
          <w:ilvl w:val="0"/>
          <w:numId w:val="46"/>
        </w:numPr>
        <w:autoSpaceDE w:val="0"/>
        <w:autoSpaceDN w:val="0"/>
        <w:adjustRightInd w:val="0"/>
        <w:spacing w:after="120"/>
        <w:ind w:left="567" w:hanging="567"/>
        <w:contextualSpacing w:val="0"/>
        <w:jc w:val="both"/>
        <w:rPr>
          <w:rFonts w:asciiTheme="minorBidi" w:hAnsiTheme="minorBidi" w:cstheme="minorBidi"/>
          <w:sz w:val="22"/>
          <w:szCs w:val="22"/>
          <w:u w:val="single"/>
        </w:rPr>
      </w:pPr>
      <w:r w:rsidRPr="00116719">
        <w:rPr>
          <w:rFonts w:asciiTheme="minorBidi" w:hAnsiTheme="minorBidi" w:cstheme="minorBidi"/>
          <w:sz w:val="22"/>
          <w:szCs w:val="22"/>
          <w:u w:val="single"/>
          <w:lang w:bidi="fr-FR"/>
        </w:rPr>
        <w:t>Ayant examiné</w:t>
      </w:r>
      <w:r w:rsidRPr="00116719">
        <w:rPr>
          <w:rFonts w:asciiTheme="minorBidi" w:hAnsiTheme="minorBidi" w:cstheme="minorBidi"/>
          <w:sz w:val="22"/>
          <w:szCs w:val="22"/>
          <w:lang w:bidi="fr-FR"/>
        </w:rPr>
        <w:t xml:space="preserve"> le document </w:t>
      </w:r>
      <w:hyperlink r:id="rId32" w:history="1">
        <w:r w:rsidRPr="00507C40">
          <w:rPr>
            <w:rStyle w:val="Hyperlink"/>
            <w:rFonts w:asciiTheme="minorBidi" w:hAnsiTheme="minorBidi" w:cstheme="minorBidi"/>
            <w:sz w:val="22"/>
            <w:szCs w:val="22"/>
            <w:lang w:bidi="fr-FR"/>
          </w:rPr>
          <w:t>LHE/26/11.GA/9</w:t>
        </w:r>
      </w:hyperlink>
      <w:r w:rsidRPr="00116719">
        <w:rPr>
          <w:rFonts w:asciiTheme="minorBidi" w:hAnsiTheme="minorBidi" w:cstheme="minorBidi"/>
          <w:sz w:val="22"/>
          <w:szCs w:val="22"/>
          <w:lang w:bidi="fr-FR"/>
        </w:rPr>
        <w:t xml:space="preserve"> et son annexe,</w:t>
      </w:r>
    </w:p>
    <w:p w14:paraId="350A44DE" w14:textId="77777777" w:rsidR="00116719" w:rsidRPr="00116719" w:rsidRDefault="00116719" w:rsidP="00116719">
      <w:pPr>
        <w:pStyle w:val="ListParagraph"/>
        <w:numPr>
          <w:ilvl w:val="0"/>
          <w:numId w:val="46"/>
        </w:numPr>
        <w:autoSpaceDE w:val="0"/>
        <w:autoSpaceDN w:val="0"/>
        <w:adjustRightInd w:val="0"/>
        <w:spacing w:after="120"/>
        <w:ind w:left="567" w:hanging="567"/>
        <w:contextualSpacing w:val="0"/>
        <w:jc w:val="both"/>
        <w:rPr>
          <w:rFonts w:asciiTheme="minorBidi" w:hAnsiTheme="minorBidi" w:cstheme="minorBidi"/>
          <w:sz w:val="22"/>
          <w:szCs w:val="22"/>
          <w:u w:val="single"/>
        </w:rPr>
      </w:pPr>
      <w:r w:rsidRPr="00116719">
        <w:rPr>
          <w:rFonts w:asciiTheme="minorBidi" w:hAnsiTheme="minorBidi" w:cstheme="minorBidi"/>
          <w:sz w:val="22"/>
          <w:szCs w:val="22"/>
          <w:u w:val="single"/>
          <w:lang w:bidi="fr-FR"/>
        </w:rPr>
        <w:t>Rappelant</w:t>
      </w:r>
      <w:r w:rsidRPr="00116719">
        <w:rPr>
          <w:rFonts w:asciiTheme="minorBidi" w:hAnsiTheme="minorBidi" w:cstheme="minorBidi"/>
          <w:sz w:val="22"/>
          <w:szCs w:val="22"/>
          <w:lang w:bidi="fr-FR"/>
        </w:rPr>
        <w:t xml:space="preserve"> l’article 9 de la Convention et les paragraphes 91 à 99 des Directives opérationnelles,</w:t>
      </w:r>
    </w:p>
    <w:p w14:paraId="6600BC3B" w14:textId="77777777" w:rsidR="00116719" w:rsidRPr="00116719" w:rsidRDefault="00116719" w:rsidP="00116719">
      <w:pPr>
        <w:pStyle w:val="ListParagraph"/>
        <w:numPr>
          <w:ilvl w:val="0"/>
          <w:numId w:val="46"/>
        </w:numPr>
        <w:autoSpaceDE w:val="0"/>
        <w:autoSpaceDN w:val="0"/>
        <w:adjustRightInd w:val="0"/>
        <w:spacing w:after="120"/>
        <w:ind w:left="567" w:hanging="567"/>
        <w:contextualSpacing w:val="0"/>
        <w:jc w:val="both"/>
        <w:rPr>
          <w:rFonts w:asciiTheme="minorBidi" w:hAnsiTheme="minorBidi" w:cstheme="minorBidi"/>
          <w:sz w:val="22"/>
          <w:szCs w:val="22"/>
          <w:u w:val="single"/>
        </w:rPr>
      </w:pPr>
      <w:r w:rsidRPr="00116719">
        <w:rPr>
          <w:rFonts w:asciiTheme="minorBidi" w:hAnsiTheme="minorBidi" w:cstheme="minorBidi"/>
          <w:sz w:val="22"/>
          <w:szCs w:val="22"/>
          <w:u w:val="single"/>
          <w:lang w:bidi="fr-FR"/>
        </w:rPr>
        <w:t>Rappelant en outre</w:t>
      </w:r>
      <w:r w:rsidRPr="00116719">
        <w:rPr>
          <w:rFonts w:asciiTheme="minorBidi" w:hAnsiTheme="minorBidi" w:cstheme="minorBidi"/>
          <w:sz w:val="22"/>
          <w:szCs w:val="22"/>
          <w:lang w:bidi="fr-FR"/>
        </w:rPr>
        <w:t xml:space="preserve"> la résolution </w:t>
      </w:r>
      <w:hyperlink r:id="rId33" w:history="1">
        <w:r w:rsidRPr="00116719">
          <w:rPr>
            <w:rFonts w:asciiTheme="minorBidi" w:hAnsiTheme="minorBidi" w:cstheme="minorBidi"/>
            <w:color w:val="0000FF" w:themeColor="hyperlink"/>
            <w:sz w:val="22"/>
            <w:szCs w:val="22"/>
            <w:u w:val="single"/>
            <w:lang w:bidi="fr-FR"/>
          </w:rPr>
          <w:t>10.GA 9 Add.</w:t>
        </w:r>
      </w:hyperlink>
      <w:r w:rsidRPr="00116719">
        <w:rPr>
          <w:rFonts w:asciiTheme="minorBidi" w:hAnsiTheme="minorBidi" w:cstheme="minorBidi"/>
          <w:sz w:val="22"/>
          <w:szCs w:val="22"/>
          <w:lang w:bidi="fr-FR"/>
        </w:rPr>
        <w:t xml:space="preserve"> et la décision </w:t>
      </w:r>
      <w:hyperlink r:id="rId34" w:history="1">
        <w:r w:rsidRPr="00116719">
          <w:rPr>
            <w:rFonts w:asciiTheme="minorBidi" w:hAnsiTheme="minorBidi" w:cstheme="minorBidi"/>
            <w:color w:val="0000FF" w:themeColor="hyperlink"/>
            <w:sz w:val="22"/>
            <w:szCs w:val="22"/>
            <w:u w:val="single"/>
            <w:lang w:bidi="fr-FR"/>
          </w:rPr>
          <w:t>20.COM 16</w:t>
        </w:r>
      </w:hyperlink>
      <w:r w:rsidRPr="00116719">
        <w:rPr>
          <w:rFonts w:asciiTheme="minorBidi" w:hAnsiTheme="minorBidi" w:cstheme="minorBidi"/>
          <w:sz w:val="22"/>
          <w:szCs w:val="22"/>
          <w:lang w:bidi="fr-FR"/>
        </w:rPr>
        <w:t>,</w:t>
      </w:r>
    </w:p>
    <w:p w14:paraId="45421D7E" w14:textId="77777777" w:rsidR="00116719" w:rsidRPr="00116719" w:rsidRDefault="00116719" w:rsidP="00116719">
      <w:pPr>
        <w:pStyle w:val="ListParagraph"/>
        <w:numPr>
          <w:ilvl w:val="0"/>
          <w:numId w:val="46"/>
        </w:numPr>
        <w:autoSpaceDE w:val="0"/>
        <w:autoSpaceDN w:val="0"/>
        <w:adjustRightInd w:val="0"/>
        <w:spacing w:after="120"/>
        <w:ind w:left="567" w:hanging="567"/>
        <w:contextualSpacing w:val="0"/>
        <w:jc w:val="both"/>
        <w:rPr>
          <w:rFonts w:asciiTheme="minorBidi" w:hAnsiTheme="minorBidi" w:cstheme="minorBidi"/>
          <w:sz w:val="22"/>
          <w:szCs w:val="22"/>
          <w:u w:val="single"/>
        </w:rPr>
      </w:pPr>
      <w:r w:rsidRPr="00116719">
        <w:rPr>
          <w:rFonts w:asciiTheme="minorBidi" w:hAnsiTheme="minorBidi" w:cstheme="minorBidi"/>
          <w:sz w:val="22"/>
          <w:szCs w:val="22"/>
          <w:u w:val="single"/>
          <w:lang w:bidi="fr-FR"/>
        </w:rPr>
        <w:t>Accrédite</w:t>
      </w:r>
      <w:r w:rsidRPr="00116719">
        <w:rPr>
          <w:rFonts w:asciiTheme="minorBidi" w:hAnsiTheme="minorBidi" w:cstheme="minorBidi"/>
          <w:sz w:val="22"/>
          <w:szCs w:val="22"/>
          <w:lang w:bidi="fr-FR"/>
        </w:rPr>
        <w:t xml:space="preserve"> les cinquante-neuf ONG énumérées dans l’annexe à la présente résolution pour assurer des fonctions consultatives auprès du Comité ;</w:t>
      </w:r>
    </w:p>
    <w:p w14:paraId="1472407F" w14:textId="77777777" w:rsidR="00116719" w:rsidRPr="00116719" w:rsidRDefault="00116719" w:rsidP="00116719">
      <w:pPr>
        <w:pStyle w:val="ListParagraph"/>
        <w:numPr>
          <w:ilvl w:val="0"/>
          <w:numId w:val="46"/>
        </w:numPr>
        <w:autoSpaceDE w:val="0"/>
        <w:autoSpaceDN w:val="0"/>
        <w:adjustRightInd w:val="0"/>
        <w:spacing w:after="120"/>
        <w:ind w:left="567" w:hanging="567"/>
        <w:contextualSpacing w:val="0"/>
        <w:jc w:val="both"/>
        <w:rPr>
          <w:rFonts w:asciiTheme="minorBidi" w:hAnsiTheme="minorBidi" w:cstheme="minorBidi"/>
          <w:sz w:val="22"/>
          <w:szCs w:val="22"/>
          <w:u w:val="single"/>
        </w:rPr>
      </w:pPr>
      <w:bookmarkStart w:id="2" w:name="_Hlk47615881"/>
      <w:r w:rsidRPr="00116719">
        <w:rPr>
          <w:rFonts w:asciiTheme="minorBidi" w:hAnsiTheme="minorBidi" w:cstheme="minorBidi"/>
          <w:sz w:val="22"/>
          <w:szCs w:val="22"/>
          <w:u w:val="single"/>
          <w:lang w:bidi="fr-FR"/>
        </w:rPr>
        <w:lastRenderedPageBreak/>
        <w:t>Prend note</w:t>
      </w:r>
      <w:r w:rsidRPr="00116719">
        <w:rPr>
          <w:rFonts w:asciiTheme="minorBidi" w:hAnsiTheme="minorBidi" w:cstheme="minorBidi"/>
          <w:sz w:val="22"/>
          <w:szCs w:val="22"/>
          <w:lang w:bidi="fr-FR"/>
        </w:rPr>
        <w:t xml:space="preserve"> des résultats des mesures prises pour améliorer la répartition géographique des ONG accréditées au titre de la Convention de 2003, </w:t>
      </w:r>
      <w:r w:rsidRPr="00116719">
        <w:rPr>
          <w:rFonts w:asciiTheme="minorBidi" w:hAnsiTheme="minorBidi" w:cstheme="minorBidi"/>
          <w:sz w:val="22"/>
          <w:szCs w:val="22"/>
          <w:u w:val="single"/>
          <w:lang w:bidi="fr-FR"/>
        </w:rPr>
        <w:t>encourage</w:t>
      </w:r>
      <w:r w:rsidRPr="00116719">
        <w:rPr>
          <w:rFonts w:asciiTheme="minorBidi" w:hAnsiTheme="minorBidi" w:cstheme="minorBidi"/>
          <w:sz w:val="22"/>
          <w:szCs w:val="22"/>
          <w:lang w:bidi="fr-FR"/>
        </w:rPr>
        <w:t xml:space="preserve"> le Secrétariat, le forum des ONG du PCI, les centres de catégorie 2 et les autres parties prenantes à poursuivre leurs efforts, et </w:t>
      </w:r>
      <w:r w:rsidRPr="00116719">
        <w:rPr>
          <w:rFonts w:asciiTheme="minorBidi" w:hAnsiTheme="minorBidi" w:cstheme="minorBidi"/>
          <w:sz w:val="22"/>
          <w:szCs w:val="22"/>
          <w:u w:val="single"/>
          <w:lang w:bidi="fr-FR"/>
        </w:rPr>
        <w:t>réitère</w:t>
      </w:r>
      <w:r w:rsidRPr="00116719">
        <w:rPr>
          <w:rFonts w:asciiTheme="minorBidi" w:hAnsiTheme="minorBidi" w:cstheme="minorBidi"/>
          <w:sz w:val="22"/>
          <w:szCs w:val="22"/>
          <w:lang w:bidi="fr-FR"/>
        </w:rPr>
        <w:t xml:space="preserve"> son invitation aux États parties appartenant à des groupes électoraux sous-représentés à encourager les ONG opérant sur leur territoire et répondant aux critères d’accréditation à soumettre des demandes d’accréditation dans les meilleurs délais ;</w:t>
      </w:r>
    </w:p>
    <w:bookmarkEnd w:id="2"/>
    <w:p w14:paraId="7E20F3D1" w14:textId="2081FB9E" w:rsidR="00116719" w:rsidRDefault="00116719" w:rsidP="00116719">
      <w:pPr>
        <w:pStyle w:val="ListParagraph"/>
        <w:numPr>
          <w:ilvl w:val="0"/>
          <w:numId w:val="46"/>
        </w:numPr>
        <w:autoSpaceDE w:val="0"/>
        <w:autoSpaceDN w:val="0"/>
        <w:adjustRightInd w:val="0"/>
        <w:spacing w:after="120"/>
        <w:ind w:left="567" w:hanging="567"/>
        <w:contextualSpacing w:val="0"/>
        <w:jc w:val="both"/>
        <w:rPr>
          <w:rFonts w:asciiTheme="minorBidi" w:hAnsiTheme="minorBidi" w:cstheme="minorBidi"/>
          <w:sz w:val="22"/>
          <w:szCs w:val="22"/>
          <w:lang w:bidi="fr-FR"/>
        </w:rPr>
      </w:pPr>
      <w:r w:rsidRPr="00116719">
        <w:rPr>
          <w:rFonts w:asciiTheme="minorBidi" w:hAnsiTheme="minorBidi" w:cstheme="minorBidi"/>
          <w:sz w:val="22"/>
          <w:szCs w:val="22"/>
          <w:u w:val="single"/>
          <w:lang w:bidi="fr-FR"/>
        </w:rPr>
        <w:t>Rappelle</w:t>
      </w:r>
      <w:r w:rsidRPr="00116719">
        <w:rPr>
          <w:rFonts w:asciiTheme="minorBidi" w:hAnsiTheme="minorBidi" w:cstheme="minorBidi"/>
          <w:sz w:val="22"/>
          <w:szCs w:val="22"/>
          <w:lang w:bidi="fr-FR"/>
        </w:rPr>
        <w:t xml:space="preserve"> aux ONG accréditées en 2010, 2014, 2018 et 2022 qu’elles doivent soumettre leur rapport quadriennal au Secrétariat avant la date limite du 15 février 2027, afin que la vingt-deuxième session du Comité puisse examiner les contributions et l’engagement de chaque organisation consultative.</w:t>
      </w:r>
    </w:p>
    <w:p w14:paraId="034CE544" w14:textId="10D9CE53" w:rsidR="00116719" w:rsidRPr="00116719" w:rsidRDefault="00116719" w:rsidP="00F10BF6">
      <w:pPr>
        <w:spacing w:after="120"/>
        <w:jc w:val="center"/>
        <w:rPr>
          <w:rFonts w:asciiTheme="minorBidi" w:hAnsiTheme="minorBidi"/>
          <w:b/>
          <w:bCs/>
          <w:sz w:val="22"/>
          <w:szCs w:val="22"/>
        </w:rPr>
      </w:pPr>
      <w:r w:rsidRPr="00116719">
        <w:rPr>
          <w:rFonts w:asciiTheme="minorBidi" w:hAnsiTheme="minorBidi"/>
          <w:b/>
          <w:bCs/>
          <w:sz w:val="22"/>
          <w:szCs w:val="22"/>
        </w:rPr>
        <w:t>Annexe : Cinquante-neuf organisations non gouvernementales recommandées pour accréditation par la vingtième session du Comité</w:t>
      </w:r>
    </w:p>
    <w:tbl>
      <w:tblPr>
        <w:tblStyle w:val="TableGrid"/>
        <w:tblW w:w="5000" w:type="pct"/>
        <w:tblLayout w:type="fixed"/>
        <w:tblLook w:val="04A0" w:firstRow="1" w:lastRow="0" w:firstColumn="1" w:lastColumn="0" w:noHBand="0" w:noVBand="1"/>
      </w:tblPr>
      <w:tblGrid>
        <w:gridCol w:w="5937"/>
        <w:gridCol w:w="2077"/>
        <w:gridCol w:w="1472"/>
      </w:tblGrid>
      <w:tr w:rsidR="00116719" w:rsidRPr="002F7C87" w14:paraId="33D974B6" w14:textId="77777777" w:rsidTr="00D70CD5">
        <w:trPr>
          <w:trHeight w:val="624"/>
        </w:trPr>
        <w:tc>
          <w:tcPr>
            <w:tcW w:w="3129" w:type="pct"/>
            <w:shd w:val="clear" w:color="auto" w:fill="365F91" w:themeFill="accent1" w:themeFillShade="BF"/>
            <w:noWrap/>
            <w:vAlign w:val="center"/>
            <w:hideMark/>
          </w:tcPr>
          <w:p w14:paraId="38041DA6" w14:textId="77777777" w:rsidR="00116719" w:rsidRPr="002F7C87" w:rsidRDefault="00116719" w:rsidP="00D70CD5">
            <w:pPr>
              <w:spacing w:before="120" w:after="120"/>
              <w:jc w:val="center"/>
              <w:rPr>
                <w:rFonts w:ascii="Arial" w:hAnsi="Arial" w:cs="Arial"/>
                <w:b/>
                <w:bCs/>
                <w:color w:val="FFFFFF" w:themeColor="background1"/>
                <w:sz w:val="20"/>
                <w:szCs w:val="20"/>
              </w:rPr>
            </w:pPr>
            <w:r w:rsidRPr="002F7C87">
              <w:rPr>
                <w:rFonts w:ascii="Arial" w:hAnsi="Arial" w:cs="Arial"/>
                <w:b/>
                <w:bCs/>
                <w:color w:val="FFFFFF" w:themeColor="background1"/>
                <w:sz w:val="20"/>
                <w:szCs w:val="20"/>
              </w:rPr>
              <w:t>Nom de l</w:t>
            </w:r>
            <w:r>
              <w:rPr>
                <w:rFonts w:ascii="Arial" w:hAnsi="Arial" w:cs="Arial"/>
                <w:b/>
                <w:bCs/>
                <w:color w:val="FFFFFF" w:themeColor="background1"/>
                <w:sz w:val="20"/>
                <w:szCs w:val="20"/>
              </w:rPr>
              <w:t>’</w:t>
            </w:r>
            <w:r w:rsidRPr="002F7C87">
              <w:rPr>
                <w:rFonts w:ascii="Arial" w:hAnsi="Arial" w:cs="Arial"/>
                <w:b/>
                <w:bCs/>
                <w:color w:val="FFFFFF" w:themeColor="background1"/>
                <w:sz w:val="20"/>
                <w:szCs w:val="20"/>
              </w:rPr>
              <w:t>organisation</w:t>
            </w:r>
          </w:p>
        </w:tc>
        <w:tc>
          <w:tcPr>
            <w:tcW w:w="1092" w:type="pct"/>
            <w:shd w:val="clear" w:color="auto" w:fill="365F91" w:themeFill="accent1" w:themeFillShade="BF"/>
            <w:noWrap/>
            <w:vAlign w:val="center"/>
            <w:hideMark/>
          </w:tcPr>
          <w:p w14:paraId="10F228C6" w14:textId="77777777" w:rsidR="00116719" w:rsidRPr="002F7C87" w:rsidRDefault="00116719" w:rsidP="00D70CD5">
            <w:pPr>
              <w:spacing w:before="120" w:after="120"/>
              <w:jc w:val="center"/>
              <w:rPr>
                <w:rFonts w:ascii="Arial" w:hAnsi="Arial" w:cs="Arial"/>
                <w:b/>
                <w:bCs/>
                <w:color w:val="FFFFFF" w:themeColor="background1"/>
                <w:sz w:val="20"/>
                <w:szCs w:val="20"/>
              </w:rPr>
            </w:pPr>
            <w:r w:rsidRPr="002F7C87">
              <w:rPr>
                <w:rFonts w:ascii="Arial" w:hAnsi="Arial" w:cs="Arial"/>
                <w:b/>
                <w:bCs/>
                <w:color w:val="FFFFFF" w:themeColor="background1"/>
                <w:sz w:val="20"/>
                <w:szCs w:val="20"/>
              </w:rPr>
              <w:t>Pays du siège social</w:t>
            </w:r>
          </w:p>
        </w:tc>
        <w:tc>
          <w:tcPr>
            <w:tcW w:w="779" w:type="pct"/>
            <w:shd w:val="clear" w:color="auto" w:fill="365F91" w:themeFill="accent1" w:themeFillShade="BF"/>
            <w:noWrap/>
            <w:vAlign w:val="center"/>
            <w:hideMark/>
          </w:tcPr>
          <w:p w14:paraId="3512F8A4" w14:textId="77777777" w:rsidR="00116719" w:rsidRPr="002F7C87" w:rsidRDefault="00116719" w:rsidP="00D70CD5">
            <w:pPr>
              <w:spacing w:before="120" w:after="120"/>
              <w:jc w:val="center"/>
              <w:rPr>
                <w:rFonts w:ascii="Arial" w:hAnsi="Arial" w:cs="Arial"/>
                <w:b/>
                <w:bCs/>
                <w:color w:val="FFFFFF" w:themeColor="background1"/>
                <w:sz w:val="20"/>
                <w:szCs w:val="20"/>
              </w:rPr>
            </w:pPr>
            <w:r w:rsidRPr="002F7C87">
              <w:rPr>
                <w:rFonts w:ascii="Arial" w:hAnsi="Arial" w:cs="Arial"/>
                <w:b/>
                <w:bCs/>
                <w:color w:val="FFFFFF" w:themeColor="background1"/>
                <w:sz w:val="20"/>
                <w:szCs w:val="20"/>
              </w:rPr>
              <w:t>Numéro de demande</w:t>
            </w:r>
          </w:p>
        </w:tc>
      </w:tr>
      <w:tr w:rsidR="00116719" w:rsidRPr="002F7C87" w14:paraId="1E5CACC5" w14:textId="77777777" w:rsidTr="00D70CD5">
        <w:trPr>
          <w:trHeight w:val="290"/>
        </w:trPr>
        <w:tc>
          <w:tcPr>
            <w:tcW w:w="3126" w:type="pct"/>
            <w:noWrap/>
            <w:vAlign w:val="center"/>
            <w:hideMark/>
          </w:tcPr>
          <w:p w14:paraId="385F2862"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94GREEN </w:t>
            </w:r>
            <w:proofErr w:type="spellStart"/>
            <w:r w:rsidRPr="002F7C87">
              <w:rPr>
                <w:rFonts w:ascii="Arial" w:hAnsi="Arial" w:cs="Arial"/>
                <w:b/>
                <w:bCs/>
                <w:sz w:val="20"/>
                <w:szCs w:val="20"/>
              </w:rPr>
              <w:t>Foundation</w:t>
            </w:r>
            <w:proofErr w:type="spellEnd"/>
          </w:p>
        </w:tc>
        <w:tc>
          <w:tcPr>
            <w:tcW w:w="1095" w:type="pct"/>
            <w:noWrap/>
            <w:vAlign w:val="center"/>
            <w:hideMark/>
          </w:tcPr>
          <w:p w14:paraId="359D0F4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Suriname</w:t>
            </w:r>
          </w:p>
        </w:tc>
        <w:tc>
          <w:tcPr>
            <w:tcW w:w="779" w:type="pct"/>
            <w:noWrap/>
            <w:vAlign w:val="center"/>
            <w:hideMark/>
          </w:tcPr>
          <w:p w14:paraId="655F9179"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665</w:t>
            </w:r>
          </w:p>
        </w:tc>
      </w:tr>
      <w:tr w:rsidR="00116719" w:rsidRPr="002F7C87" w14:paraId="30B0C7CD" w14:textId="77777777" w:rsidTr="00D70CD5">
        <w:trPr>
          <w:trHeight w:val="624"/>
        </w:trPr>
        <w:tc>
          <w:tcPr>
            <w:tcW w:w="3129" w:type="pct"/>
            <w:shd w:val="clear" w:color="auto" w:fill="DBE5F1" w:themeFill="accent1" w:themeFillTint="33"/>
            <w:noWrap/>
            <w:vAlign w:val="center"/>
            <w:hideMark/>
          </w:tcPr>
          <w:p w14:paraId="645CC4ED" w14:textId="77777777" w:rsidR="00116719" w:rsidRPr="008B5DA0" w:rsidRDefault="00116719" w:rsidP="00D70CD5">
            <w:pPr>
              <w:spacing w:before="120" w:after="120"/>
              <w:rPr>
                <w:rFonts w:ascii="Arial" w:hAnsi="Arial" w:cs="Arial"/>
                <w:b/>
                <w:bCs/>
                <w:sz w:val="20"/>
                <w:szCs w:val="20"/>
              </w:rPr>
            </w:pPr>
            <w:r w:rsidRPr="008B5DA0">
              <w:rPr>
                <w:rFonts w:ascii="Arial" w:hAnsi="Arial" w:cs="Arial"/>
                <w:b/>
                <w:bCs/>
                <w:sz w:val="20"/>
                <w:szCs w:val="20"/>
              </w:rPr>
              <w:t>"Umrboqiy meros" O’zbekiston madaniyati va san’ati targï bot Markazi</w:t>
            </w:r>
          </w:p>
        </w:tc>
        <w:tc>
          <w:tcPr>
            <w:tcW w:w="1092" w:type="pct"/>
            <w:shd w:val="clear" w:color="auto" w:fill="DBE5F1" w:themeFill="accent1" w:themeFillTint="33"/>
            <w:noWrap/>
            <w:vAlign w:val="center"/>
            <w:hideMark/>
          </w:tcPr>
          <w:p w14:paraId="55FB9D40"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Ouzbékistan</w:t>
            </w:r>
          </w:p>
        </w:tc>
        <w:tc>
          <w:tcPr>
            <w:tcW w:w="779" w:type="pct"/>
            <w:shd w:val="clear" w:color="auto" w:fill="DBE5F1" w:themeFill="accent1" w:themeFillTint="33"/>
            <w:noWrap/>
            <w:vAlign w:val="center"/>
            <w:hideMark/>
          </w:tcPr>
          <w:p w14:paraId="30CC8255"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616</w:t>
            </w:r>
          </w:p>
        </w:tc>
      </w:tr>
      <w:tr w:rsidR="00116719" w:rsidRPr="002F7C87" w14:paraId="22E4A002" w14:textId="77777777" w:rsidTr="00D70CD5">
        <w:trPr>
          <w:trHeight w:val="290"/>
        </w:trPr>
        <w:tc>
          <w:tcPr>
            <w:tcW w:w="3126" w:type="pct"/>
            <w:noWrap/>
            <w:vAlign w:val="center"/>
          </w:tcPr>
          <w:p w14:paraId="08EDE3E9"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Akademsko</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društvo</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za</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negovanje</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muzike</w:t>
            </w:r>
            <w:proofErr w:type="spellEnd"/>
            <w:r w:rsidRPr="002F7C87">
              <w:rPr>
                <w:rFonts w:ascii="Arial" w:hAnsi="Arial" w:cs="Arial"/>
                <w:b/>
                <w:bCs/>
                <w:sz w:val="20"/>
                <w:szCs w:val="20"/>
              </w:rPr>
              <w:t xml:space="preserve"> "Gusle" Kikinda - ADZNM "Gusle" Kikinda</w:t>
            </w:r>
            <w:r w:rsidRPr="002F7C87">
              <w:rPr>
                <w:rFonts w:ascii="Arial" w:hAnsi="Arial" w:cs="Arial"/>
                <w:b/>
                <w:bCs/>
                <w:sz w:val="20"/>
                <w:szCs w:val="20"/>
              </w:rPr>
              <w:br/>
            </w:r>
            <w:r w:rsidRPr="002F7C87">
              <w:rPr>
                <w:rFonts w:ascii="Arial" w:hAnsi="Arial" w:cs="Arial"/>
                <w:sz w:val="20"/>
                <w:szCs w:val="20"/>
              </w:rPr>
              <w:t xml:space="preserve">Academic Society for music </w:t>
            </w:r>
            <w:proofErr w:type="spellStart"/>
            <w:r w:rsidRPr="0068060E">
              <w:rPr>
                <w:rFonts w:ascii="Arial" w:hAnsi="Arial" w:cs="Arial"/>
                <w:sz w:val="20"/>
                <w:szCs w:val="20"/>
              </w:rPr>
              <w:t>cherishing</w:t>
            </w:r>
            <w:proofErr w:type="spellEnd"/>
            <w:r w:rsidRPr="0068060E">
              <w:rPr>
                <w:rFonts w:ascii="Arial" w:hAnsi="Arial" w:cs="Arial"/>
                <w:sz w:val="20"/>
                <w:szCs w:val="20"/>
              </w:rPr>
              <w:t xml:space="preserve"> </w:t>
            </w:r>
            <w:r w:rsidRPr="001711D4">
              <w:rPr>
                <w:rFonts w:ascii="Arial" w:hAnsi="Arial" w:cs="Arial"/>
                <w:sz w:val="20"/>
                <w:szCs w:val="20"/>
              </w:rPr>
              <w:t>"</w:t>
            </w:r>
            <w:r w:rsidRPr="0068060E">
              <w:rPr>
                <w:rFonts w:ascii="Arial" w:hAnsi="Arial" w:cs="Arial"/>
                <w:sz w:val="20"/>
                <w:szCs w:val="20"/>
              </w:rPr>
              <w:t>Gusle</w:t>
            </w:r>
            <w:r w:rsidRPr="001711D4">
              <w:rPr>
                <w:rFonts w:ascii="Arial" w:hAnsi="Arial" w:cs="Arial"/>
                <w:sz w:val="20"/>
                <w:szCs w:val="20"/>
              </w:rPr>
              <w:t>"</w:t>
            </w:r>
            <w:r w:rsidRPr="0068060E">
              <w:rPr>
                <w:rFonts w:ascii="Arial" w:hAnsi="Arial" w:cs="Arial"/>
                <w:sz w:val="20"/>
                <w:szCs w:val="20"/>
              </w:rPr>
              <w:t xml:space="preserve"> Kikinda</w:t>
            </w:r>
          </w:p>
        </w:tc>
        <w:tc>
          <w:tcPr>
            <w:tcW w:w="1095" w:type="pct"/>
            <w:noWrap/>
            <w:vAlign w:val="center"/>
          </w:tcPr>
          <w:p w14:paraId="294D0C5B"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Serbie</w:t>
            </w:r>
          </w:p>
        </w:tc>
        <w:tc>
          <w:tcPr>
            <w:tcW w:w="779" w:type="pct"/>
            <w:noWrap/>
            <w:vAlign w:val="center"/>
          </w:tcPr>
          <w:p w14:paraId="0BDFC711"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668</w:t>
            </w:r>
          </w:p>
        </w:tc>
      </w:tr>
      <w:tr w:rsidR="00116719" w:rsidRPr="002F7C87" w14:paraId="42227647" w14:textId="77777777" w:rsidTr="00D70CD5">
        <w:trPr>
          <w:trHeight w:val="290"/>
        </w:trPr>
        <w:tc>
          <w:tcPr>
            <w:tcW w:w="3126" w:type="pct"/>
            <w:shd w:val="clear" w:color="auto" w:fill="DBE5F1" w:themeFill="accent1" w:themeFillTint="33"/>
            <w:noWrap/>
            <w:vAlign w:val="center"/>
          </w:tcPr>
          <w:p w14:paraId="37DB357C" w14:textId="77777777" w:rsidR="00116719" w:rsidRPr="00F10BF6" w:rsidRDefault="00116719" w:rsidP="00D70CD5">
            <w:pPr>
              <w:spacing w:before="120" w:after="120"/>
              <w:rPr>
                <w:rFonts w:ascii="Arial" w:hAnsi="Arial" w:cs="Arial"/>
                <w:b/>
                <w:bCs/>
                <w:sz w:val="20"/>
                <w:szCs w:val="20"/>
                <w:lang w:val="pt-BR"/>
              </w:rPr>
            </w:pPr>
            <w:r w:rsidRPr="00F10BF6">
              <w:rPr>
                <w:rFonts w:ascii="Arial" w:hAnsi="Arial" w:cs="Arial"/>
                <w:b/>
                <w:bCs/>
                <w:sz w:val="20"/>
                <w:szCs w:val="20"/>
                <w:lang w:val="pt-BR"/>
              </w:rPr>
              <w:t>Associação Portuguesa para a Salvaguarda do Património Cultural Imaterial</w:t>
            </w:r>
            <w:r w:rsidRPr="00F10BF6">
              <w:rPr>
                <w:rFonts w:ascii="Arial" w:hAnsi="Arial" w:cs="Arial"/>
                <w:b/>
                <w:bCs/>
                <w:sz w:val="20"/>
                <w:szCs w:val="20"/>
                <w:lang w:val="pt-BR"/>
              </w:rPr>
              <w:br/>
            </w:r>
            <w:r w:rsidRPr="00F10BF6">
              <w:rPr>
                <w:rFonts w:ascii="Arial" w:hAnsi="Arial" w:cs="Arial"/>
                <w:sz w:val="20"/>
                <w:szCs w:val="20"/>
                <w:lang w:val="pt-BR"/>
              </w:rPr>
              <w:t>Portuguese Association for the Safeguard of the Intangible Cultural Heritage</w:t>
            </w:r>
          </w:p>
        </w:tc>
        <w:tc>
          <w:tcPr>
            <w:tcW w:w="1095" w:type="pct"/>
            <w:shd w:val="clear" w:color="auto" w:fill="DBE5F1" w:themeFill="accent1" w:themeFillTint="33"/>
            <w:noWrap/>
            <w:vAlign w:val="center"/>
          </w:tcPr>
          <w:p w14:paraId="6F9F97D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Portugal</w:t>
            </w:r>
          </w:p>
        </w:tc>
        <w:tc>
          <w:tcPr>
            <w:tcW w:w="779" w:type="pct"/>
            <w:shd w:val="clear" w:color="auto" w:fill="DBE5F1" w:themeFill="accent1" w:themeFillTint="33"/>
            <w:noWrap/>
            <w:vAlign w:val="center"/>
          </w:tcPr>
          <w:p w14:paraId="5890B2A6"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686</w:t>
            </w:r>
          </w:p>
        </w:tc>
      </w:tr>
      <w:tr w:rsidR="00116719" w:rsidRPr="002F7C87" w14:paraId="47DE8B34" w14:textId="77777777" w:rsidTr="00D70CD5">
        <w:trPr>
          <w:trHeight w:val="290"/>
        </w:trPr>
        <w:tc>
          <w:tcPr>
            <w:tcW w:w="3126" w:type="pct"/>
            <w:noWrap/>
            <w:vAlign w:val="center"/>
            <w:hideMark/>
          </w:tcPr>
          <w:p w14:paraId="3F2051D1"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Association Culturelle de Wilaya "Biskra Takraa"</w:t>
            </w:r>
          </w:p>
        </w:tc>
        <w:tc>
          <w:tcPr>
            <w:tcW w:w="1095" w:type="pct"/>
            <w:noWrap/>
            <w:vAlign w:val="center"/>
            <w:hideMark/>
          </w:tcPr>
          <w:p w14:paraId="55EF9877"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Algérie</w:t>
            </w:r>
          </w:p>
        </w:tc>
        <w:tc>
          <w:tcPr>
            <w:tcW w:w="779" w:type="pct"/>
            <w:noWrap/>
            <w:vAlign w:val="center"/>
            <w:hideMark/>
          </w:tcPr>
          <w:p w14:paraId="63B8E964"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688</w:t>
            </w:r>
          </w:p>
        </w:tc>
      </w:tr>
      <w:tr w:rsidR="00116719" w:rsidRPr="002F7C87" w14:paraId="5DD932EB" w14:textId="77777777" w:rsidTr="00D70CD5">
        <w:trPr>
          <w:trHeight w:val="624"/>
        </w:trPr>
        <w:tc>
          <w:tcPr>
            <w:tcW w:w="3129" w:type="pct"/>
            <w:shd w:val="clear" w:color="auto" w:fill="DBE5F1" w:themeFill="accent1" w:themeFillTint="33"/>
            <w:noWrap/>
            <w:vAlign w:val="center"/>
            <w:hideMark/>
          </w:tcPr>
          <w:p w14:paraId="3F8F169E"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Association El </w:t>
            </w:r>
            <w:proofErr w:type="spellStart"/>
            <w:r w:rsidRPr="002F7C87">
              <w:rPr>
                <w:rFonts w:ascii="Arial" w:hAnsi="Arial" w:cs="Arial"/>
                <w:b/>
                <w:bCs/>
                <w:sz w:val="20"/>
                <w:szCs w:val="20"/>
              </w:rPr>
              <w:t>Mouahidia</w:t>
            </w:r>
            <w:proofErr w:type="spellEnd"/>
            <w:r w:rsidRPr="002F7C87">
              <w:rPr>
                <w:rFonts w:ascii="Arial" w:hAnsi="Arial" w:cs="Arial"/>
                <w:b/>
                <w:bCs/>
                <w:sz w:val="20"/>
                <w:szCs w:val="20"/>
              </w:rPr>
              <w:t xml:space="preserve"> de sauvegarde du patrimoine historique, culturel et touristique. </w:t>
            </w:r>
            <w:proofErr w:type="spellStart"/>
            <w:r w:rsidRPr="002F7C87">
              <w:rPr>
                <w:rFonts w:ascii="Arial" w:hAnsi="Arial" w:cs="Arial"/>
                <w:b/>
                <w:bCs/>
                <w:sz w:val="20"/>
                <w:szCs w:val="20"/>
              </w:rPr>
              <w:t>Nédroma</w:t>
            </w:r>
            <w:proofErr w:type="spellEnd"/>
            <w:r w:rsidRPr="002F7C87">
              <w:rPr>
                <w:rFonts w:ascii="Arial" w:hAnsi="Arial" w:cs="Arial"/>
                <w:b/>
                <w:bCs/>
                <w:sz w:val="20"/>
                <w:szCs w:val="20"/>
              </w:rPr>
              <w:t xml:space="preserve"> Wilaya de Tlemcen – Algérie</w:t>
            </w:r>
          </w:p>
        </w:tc>
        <w:tc>
          <w:tcPr>
            <w:tcW w:w="1092" w:type="pct"/>
            <w:shd w:val="clear" w:color="auto" w:fill="DBE5F1" w:themeFill="accent1" w:themeFillTint="33"/>
            <w:noWrap/>
            <w:vAlign w:val="center"/>
            <w:hideMark/>
          </w:tcPr>
          <w:p w14:paraId="6F63853C"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Algérie</w:t>
            </w:r>
          </w:p>
        </w:tc>
        <w:tc>
          <w:tcPr>
            <w:tcW w:w="779" w:type="pct"/>
            <w:shd w:val="clear" w:color="auto" w:fill="DBE5F1" w:themeFill="accent1" w:themeFillTint="33"/>
            <w:noWrap/>
            <w:vAlign w:val="center"/>
            <w:hideMark/>
          </w:tcPr>
          <w:p w14:paraId="57FB46D5"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620</w:t>
            </w:r>
          </w:p>
        </w:tc>
      </w:tr>
      <w:tr w:rsidR="00116719" w:rsidRPr="002F7C87" w14:paraId="4AC229E3" w14:textId="77777777" w:rsidTr="00D70CD5">
        <w:trPr>
          <w:trHeight w:val="624"/>
        </w:trPr>
        <w:tc>
          <w:tcPr>
            <w:tcW w:w="3129" w:type="pct"/>
            <w:noWrap/>
            <w:vAlign w:val="center"/>
            <w:hideMark/>
          </w:tcPr>
          <w:p w14:paraId="70833D88"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Association for the Protection of Gastronomic Heritage</w:t>
            </w:r>
          </w:p>
        </w:tc>
        <w:tc>
          <w:tcPr>
            <w:tcW w:w="1092" w:type="pct"/>
            <w:noWrap/>
            <w:vAlign w:val="center"/>
            <w:hideMark/>
          </w:tcPr>
          <w:p w14:paraId="75DC7447"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Espagne</w:t>
            </w:r>
          </w:p>
        </w:tc>
        <w:tc>
          <w:tcPr>
            <w:tcW w:w="779" w:type="pct"/>
            <w:noWrap/>
            <w:vAlign w:val="center"/>
            <w:hideMark/>
          </w:tcPr>
          <w:p w14:paraId="2565BAF6"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615</w:t>
            </w:r>
          </w:p>
        </w:tc>
      </w:tr>
      <w:tr w:rsidR="00116719" w:rsidRPr="002F7C87" w14:paraId="3AE6BDBA" w14:textId="77777777" w:rsidTr="00D70CD5">
        <w:trPr>
          <w:trHeight w:val="290"/>
        </w:trPr>
        <w:tc>
          <w:tcPr>
            <w:tcW w:w="3126" w:type="pct"/>
            <w:shd w:val="clear" w:color="auto" w:fill="DBE5F1" w:themeFill="accent1" w:themeFillTint="33"/>
            <w:noWrap/>
            <w:vAlign w:val="center"/>
          </w:tcPr>
          <w:p w14:paraId="15CDBDFD"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Association imekres pour le patrimoine et le folklore</w:t>
            </w:r>
          </w:p>
        </w:tc>
        <w:tc>
          <w:tcPr>
            <w:tcW w:w="1095" w:type="pct"/>
            <w:shd w:val="clear" w:color="auto" w:fill="DBE5F1" w:themeFill="accent1" w:themeFillTint="33"/>
            <w:noWrap/>
            <w:vAlign w:val="center"/>
          </w:tcPr>
          <w:p w14:paraId="10FE4231"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Algérie</w:t>
            </w:r>
          </w:p>
        </w:tc>
        <w:tc>
          <w:tcPr>
            <w:tcW w:w="779" w:type="pct"/>
            <w:shd w:val="clear" w:color="auto" w:fill="DBE5F1" w:themeFill="accent1" w:themeFillTint="33"/>
            <w:noWrap/>
            <w:vAlign w:val="center"/>
          </w:tcPr>
          <w:p w14:paraId="053E1CE2"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619</w:t>
            </w:r>
          </w:p>
        </w:tc>
      </w:tr>
      <w:tr w:rsidR="00116719" w:rsidRPr="002F7C87" w14:paraId="76BD4F43" w14:textId="77777777" w:rsidTr="00D70CD5">
        <w:trPr>
          <w:trHeight w:val="290"/>
        </w:trPr>
        <w:tc>
          <w:tcPr>
            <w:tcW w:w="3126" w:type="pct"/>
            <w:noWrap/>
            <w:vAlign w:val="center"/>
          </w:tcPr>
          <w:p w14:paraId="4109682E"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Association Métis</w:t>
            </w:r>
          </w:p>
        </w:tc>
        <w:tc>
          <w:tcPr>
            <w:tcW w:w="1095" w:type="pct"/>
            <w:noWrap/>
            <w:vAlign w:val="center"/>
          </w:tcPr>
          <w:p w14:paraId="20EE7DDC"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France</w:t>
            </w:r>
          </w:p>
        </w:tc>
        <w:tc>
          <w:tcPr>
            <w:tcW w:w="779" w:type="pct"/>
            <w:noWrap/>
            <w:vAlign w:val="center"/>
          </w:tcPr>
          <w:p w14:paraId="785F2FE5"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679</w:t>
            </w:r>
          </w:p>
        </w:tc>
      </w:tr>
      <w:tr w:rsidR="00116719" w:rsidRPr="002F7C87" w14:paraId="1FDD6432" w14:textId="77777777" w:rsidTr="00D70CD5">
        <w:trPr>
          <w:trHeight w:val="290"/>
        </w:trPr>
        <w:tc>
          <w:tcPr>
            <w:tcW w:w="3126" w:type="pct"/>
            <w:shd w:val="clear" w:color="auto" w:fill="DBE5F1" w:themeFill="accent1" w:themeFillTint="33"/>
            <w:noWrap/>
            <w:vAlign w:val="center"/>
          </w:tcPr>
          <w:p w14:paraId="5796ACE8"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Association Nationale du Patrimoine </w:t>
            </w:r>
            <w:proofErr w:type="spellStart"/>
            <w:r w:rsidRPr="002F7C87">
              <w:rPr>
                <w:rFonts w:ascii="Arial" w:hAnsi="Arial" w:cs="Arial"/>
                <w:b/>
                <w:bCs/>
                <w:sz w:val="20"/>
                <w:szCs w:val="20"/>
              </w:rPr>
              <w:t>Tourath</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Djazairna</w:t>
            </w:r>
            <w:proofErr w:type="spellEnd"/>
          </w:p>
        </w:tc>
        <w:tc>
          <w:tcPr>
            <w:tcW w:w="1095" w:type="pct"/>
            <w:shd w:val="clear" w:color="auto" w:fill="DBE5F1" w:themeFill="accent1" w:themeFillTint="33"/>
            <w:noWrap/>
            <w:vAlign w:val="center"/>
          </w:tcPr>
          <w:p w14:paraId="4A742BF4"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Algérie</w:t>
            </w:r>
          </w:p>
        </w:tc>
        <w:tc>
          <w:tcPr>
            <w:tcW w:w="779" w:type="pct"/>
            <w:shd w:val="clear" w:color="auto" w:fill="DBE5F1" w:themeFill="accent1" w:themeFillTint="33"/>
            <w:noWrap/>
            <w:vAlign w:val="center"/>
          </w:tcPr>
          <w:p w14:paraId="65C70A27"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628</w:t>
            </w:r>
          </w:p>
        </w:tc>
      </w:tr>
      <w:tr w:rsidR="00116719" w:rsidRPr="002F7C87" w14:paraId="79C86A08" w14:textId="77777777" w:rsidTr="00D70CD5">
        <w:trPr>
          <w:trHeight w:val="624"/>
        </w:trPr>
        <w:tc>
          <w:tcPr>
            <w:tcW w:w="3129" w:type="pct"/>
            <w:noWrap/>
            <w:vAlign w:val="center"/>
            <w:hideMark/>
          </w:tcPr>
          <w:p w14:paraId="0B598678"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Association Les Savoir-faire du Cognac - ASFC </w:t>
            </w:r>
            <w:r w:rsidRPr="002F7C87">
              <w:rPr>
                <w:rFonts w:ascii="Arial" w:hAnsi="Arial" w:cs="Arial"/>
                <w:b/>
                <w:bCs/>
                <w:sz w:val="20"/>
                <w:szCs w:val="20"/>
              </w:rPr>
              <w:br/>
            </w:r>
            <w:r w:rsidRPr="002F7C87">
              <w:rPr>
                <w:rFonts w:ascii="Arial" w:hAnsi="Arial" w:cs="Arial"/>
                <w:sz w:val="20"/>
                <w:szCs w:val="20"/>
              </w:rPr>
              <w:t>Cognac Heritage and Know-How Association</w:t>
            </w:r>
          </w:p>
        </w:tc>
        <w:tc>
          <w:tcPr>
            <w:tcW w:w="1092" w:type="pct"/>
            <w:noWrap/>
            <w:vAlign w:val="center"/>
            <w:hideMark/>
          </w:tcPr>
          <w:p w14:paraId="048854D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France</w:t>
            </w:r>
          </w:p>
        </w:tc>
        <w:tc>
          <w:tcPr>
            <w:tcW w:w="779" w:type="pct"/>
            <w:noWrap/>
            <w:vAlign w:val="center"/>
            <w:hideMark/>
          </w:tcPr>
          <w:p w14:paraId="7D2B1B6F"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635</w:t>
            </w:r>
          </w:p>
        </w:tc>
      </w:tr>
      <w:tr w:rsidR="00116719" w:rsidRPr="002F7C87" w14:paraId="29C4E81C" w14:textId="77777777" w:rsidTr="00D70CD5">
        <w:trPr>
          <w:trHeight w:val="290"/>
        </w:trPr>
        <w:tc>
          <w:tcPr>
            <w:tcW w:w="3126" w:type="pct"/>
            <w:shd w:val="clear" w:color="auto" w:fill="DBE5F1" w:themeFill="accent1" w:themeFillTint="33"/>
            <w:noWrap/>
            <w:vAlign w:val="center"/>
          </w:tcPr>
          <w:p w14:paraId="1898A6BA"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Associazione</w:t>
            </w:r>
            <w:proofErr w:type="spellEnd"/>
            <w:r w:rsidRPr="002F7C87">
              <w:rPr>
                <w:rFonts w:ascii="Arial" w:hAnsi="Arial" w:cs="Arial"/>
                <w:b/>
                <w:bCs/>
                <w:sz w:val="20"/>
                <w:szCs w:val="20"/>
              </w:rPr>
              <w:t xml:space="preserve"> Polo Poschiavo</w:t>
            </w:r>
            <w:r w:rsidRPr="002F7C87">
              <w:rPr>
                <w:rFonts w:ascii="Arial" w:hAnsi="Arial" w:cs="Arial"/>
                <w:b/>
                <w:bCs/>
                <w:sz w:val="20"/>
                <w:szCs w:val="20"/>
              </w:rPr>
              <w:tab/>
            </w:r>
          </w:p>
        </w:tc>
        <w:tc>
          <w:tcPr>
            <w:tcW w:w="1095" w:type="pct"/>
            <w:shd w:val="clear" w:color="auto" w:fill="DBE5F1" w:themeFill="accent1" w:themeFillTint="33"/>
            <w:noWrap/>
            <w:vAlign w:val="center"/>
          </w:tcPr>
          <w:p w14:paraId="3340DDC0"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Suisse</w:t>
            </w:r>
          </w:p>
        </w:tc>
        <w:tc>
          <w:tcPr>
            <w:tcW w:w="779" w:type="pct"/>
            <w:shd w:val="clear" w:color="auto" w:fill="DBE5F1" w:themeFill="accent1" w:themeFillTint="33"/>
            <w:noWrap/>
            <w:vAlign w:val="center"/>
          </w:tcPr>
          <w:p w14:paraId="5A87E0B8"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631</w:t>
            </w:r>
          </w:p>
        </w:tc>
      </w:tr>
      <w:tr w:rsidR="00116719" w:rsidRPr="002F7C87" w14:paraId="37ADD2A0" w14:textId="77777777" w:rsidTr="00D70CD5">
        <w:trPr>
          <w:trHeight w:val="624"/>
        </w:trPr>
        <w:tc>
          <w:tcPr>
            <w:tcW w:w="3129" w:type="pct"/>
            <w:noWrap/>
            <w:vAlign w:val="center"/>
            <w:hideMark/>
          </w:tcPr>
          <w:p w14:paraId="020937EB"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Babatunde Development And Empowerment Initiative - BDEI</w:t>
            </w:r>
          </w:p>
        </w:tc>
        <w:tc>
          <w:tcPr>
            <w:tcW w:w="1092" w:type="pct"/>
            <w:noWrap/>
            <w:vAlign w:val="center"/>
            <w:hideMark/>
          </w:tcPr>
          <w:p w14:paraId="36B2D943"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Nigéria</w:t>
            </w:r>
          </w:p>
        </w:tc>
        <w:tc>
          <w:tcPr>
            <w:tcW w:w="779" w:type="pct"/>
            <w:noWrap/>
            <w:vAlign w:val="center"/>
            <w:hideMark/>
          </w:tcPr>
          <w:p w14:paraId="06459D3D"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608</w:t>
            </w:r>
          </w:p>
        </w:tc>
      </w:tr>
      <w:tr w:rsidR="00116719" w:rsidRPr="002F7C87" w14:paraId="610CF6C5" w14:textId="77777777" w:rsidTr="00D70CD5">
        <w:trPr>
          <w:trHeight w:val="290"/>
        </w:trPr>
        <w:tc>
          <w:tcPr>
            <w:tcW w:w="3126" w:type="pct"/>
            <w:shd w:val="clear" w:color="auto" w:fill="DBE5F1" w:themeFill="accent1" w:themeFillTint="33"/>
            <w:noWrap/>
            <w:vAlign w:val="center"/>
            <w:hideMark/>
          </w:tcPr>
          <w:p w14:paraId="22761713"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 xml:space="preserve">Cenan </w:t>
            </w:r>
            <w:proofErr w:type="spellStart"/>
            <w:r w:rsidRPr="002F7C87">
              <w:rPr>
                <w:rFonts w:ascii="Arial" w:hAnsi="Arial" w:cs="Arial"/>
                <w:b/>
                <w:bCs/>
                <w:sz w:val="20"/>
                <w:szCs w:val="20"/>
                <w:lang w:val="en-GB"/>
              </w:rPr>
              <w:t>Eğitim</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Kültür</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ve</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Sağlık</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Vakfı</w:t>
            </w:r>
            <w:proofErr w:type="spellEnd"/>
            <w:r w:rsidRPr="002F7C87">
              <w:rPr>
                <w:rFonts w:ascii="Arial" w:hAnsi="Arial" w:cs="Arial"/>
                <w:b/>
                <w:bCs/>
                <w:sz w:val="20"/>
                <w:szCs w:val="20"/>
                <w:lang w:val="en-GB"/>
              </w:rPr>
              <w:t xml:space="preserve"> </w:t>
            </w:r>
            <w:r w:rsidRPr="002F7C87">
              <w:rPr>
                <w:rFonts w:ascii="Arial" w:hAnsi="Arial" w:cs="Arial"/>
                <w:b/>
                <w:bCs/>
                <w:sz w:val="20"/>
                <w:szCs w:val="20"/>
                <w:lang w:val="en-GB"/>
              </w:rPr>
              <w:br/>
            </w:r>
            <w:r w:rsidRPr="002F7C87">
              <w:rPr>
                <w:rFonts w:ascii="Arial" w:hAnsi="Arial" w:cs="Arial"/>
                <w:sz w:val="20"/>
                <w:szCs w:val="20"/>
                <w:lang w:val="en-GB"/>
              </w:rPr>
              <w:t>Cenan Foundation for Education, Culture and Health</w:t>
            </w:r>
          </w:p>
        </w:tc>
        <w:tc>
          <w:tcPr>
            <w:tcW w:w="1095" w:type="pct"/>
            <w:shd w:val="clear" w:color="auto" w:fill="DBE5F1" w:themeFill="accent1" w:themeFillTint="33"/>
            <w:noWrap/>
            <w:vAlign w:val="center"/>
            <w:hideMark/>
          </w:tcPr>
          <w:p w14:paraId="275FEA4D"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shd w:val="clear" w:color="auto" w:fill="DBE5F1" w:themeFill="accent1" w:themeFillTint="33"/>
            <w:noWrap/>
            <w:vAlign w:val="center"/>
            <w:hideMark/>
          </w:tcPr>
          <w:p w14:paraId="25AC60DE"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653</w:t>
            </w:r>
          </w:p>
        </w:tc>
      </w:tr>
      <w:tr w:rsidR="00116719" w:rsidRPr="002F7C87" w14:paraId="31BDB6BE" w14:textId="77777777" w:rsidTr="00D70CD5">
        <w:trPr>
          <w:trHeight w:val="624"/>
        </w:trPr>
        <w:tc>
          <w:tcPr>
            <w:tcW w:w="3129" w:type="pct"/>
            <w:noWrap/>
            <w:vAlign w:val="center"/>
            <w:hideMark/>
          </w:tcPr>
          <w:p w14:paraId="4963C067"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Centre régional d</w:t>
            </w:r>
            <w:r>
              <w:rPr>
                <w:rFonts w:ascii="Arial" w:hAnsi="Arial" w:cs="Arial"/>
                <w:b/>
                <w:bCs/>
                <w:sz w:val="20"/>
                <w:szCs w:val="20"/>
              </w:rPr>
              <w:t>’</w:t>
            </w:r>
            <w:r w:rsidRPr="002F7C87">
              <w:rPr>
                <w:rFonts w:ascii="Arial" w:hAnsi="Arial" w:cs="Arial"/>
                <w:b/>
                <w:bCs/>
                <w:sz w:val="20"/>
                <w:szCs w:val="20"/>
              </w:rPr>
              <w:t>études des populations alpines - CREPA</w:t>
            </w:r>
          </w:p>
        </w:tc>
        <w:tc>
          <w:tcPr>
            <w:tcW w:w="1092" w:type="pct"/>
            <w:noWrap/>
            <w:vAlign w:val="center"/>
            <w:hideMark/>
          </w:tcPr>
          <w:p w14:paraId="12D90B48"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Suisse</w:t>
            </w:r>
          </w:p>
        </w:tc>
        <w:tc>
          <w:tcPr>
            <w:tcW w:w="779" w:type="pct"/>
            <w:noWrap/>
            <w:vAlign w:val="center"/>
            <w:hideMark/>
          </w:tcPr>
          <w:p w14:paraId="2B929728"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618</w:t>
            </w:r>
          </w:p>
        </w:tc>
      </w:tr>
      <w:tr w:rsidR="00116719" w:rsidRPr="002F7C87" w14:paraId="3D04D3DD" w14:textId="77777777" w:rsidTr="00D70CD5">
        <w:trPr>
          <w:trHeight w:val="290"/>
        </w:trPr>
        <w:tc>
          <w:tcPr>
            <w:tcW w:w="3126" w:type="pct"/>
            <w:shd w:val="clear" w:color="auto" w:fill="DBE5F1" w:themeFill="accent1" w:themeFillTint="33"/>
            <w:noWrap/>
            <w:vAlign w:val="center"/>
          </w:tcPr>
          <w:p w14:paraId="56186F5D"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lastRenderedPageBreak/>
              <w:t xml:space="preserve">Centrum </w:t>
            </w:r>
            <w:proofErr w:type="spellStart"/>
            <w:r w:rsidRPr="002F7C87">
              <w:rPr>
                <w:rFonts w:ascii="Arial" w:hAnsi="Arial" w:cs="Arial"/>
                <w:b/>
                <w:bCs/>
                <w:sz w:val="20"/>
                <w:szCs w:val="20"/>
                <w:lang w:val="en-GB"/>
              </w:rPr>
              <w:t>voor</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Muziek</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en</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Podiumerfgoed</w:t>
            </w:r>
            <w:proofErr w:type="spellEnd"/>
            <w:r w:rsidRPr="002F7C87">
              <w:rPr>
                <w:rFonts w:ascii="Arial" w:hAnsi="Arial" w:cs="Arial"/>
                <w:b/>
                <w:bCs/>
                <w:sz w:val="20"/>
                <w:szCs w:val="20"/>
                <w:lang w:val="en-GB"/>
              </w:rPr>
              <w:t xml:space="preserve"> – CEMPER</w:t>
            </w:r>
            <w:r w:rsidRPr="002F7C87">
              <w:rPr>
                <w:rFonts w:ascii="Arial" w:hAnsi="Arial" w:cs="Arial"/>
                <w:b/>
                <w:bCs/>
                <w:sz w:val="20"/>
                <w:szCs w:val="20"/>
                <w:lang w:val="en-GB"/>
              </w:rPr>
              <w:br/>
            </w:r>
            <w:r w:rsidRPr="002F7C87">
              <w:rPr>
                <w:rFonts w:ascii="Arial" w:hAnsi="Arial" w:cs="Arial"/>
                <w:sz w:val="20"/>
                <w:szCs w:val="20"/>
                <w:lang w:val="en-GB"/>
              </w:rPr>
              <w:t>Centre for Music and Performing Arts Heritage – CEMPER</w:t>
            </w:r>
          </w:p>
        </w:tc>
        <w:tc>
          <w:tcPr>
            <w:tcW w:w="1095" w:type="pct"/>
            <w:shd w:val="clear" w:color="auto" w:fill="DBE5F1" w:themeFill="accent1" w:themeFillTint="33"/>
            <w:noWrap/>
            <w:vAlign w:val="center"/>
          </w:tcPr>
          <w:p w14:paraId="0275228C"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Belgique</w:t>
            </w:r>
          </w:p>
        </w:tc>
        <w:tc>
          <w:tcPr>
            <w:tcW w:w="779" w:type="pct"/>
            <w:shd w:val="clear" w:color="auto" w:fill="DBE5F1" w:themeFill="accent1" w:themeFillTint="33"/>
            <w:noWrap/>
            <w:vAlign w:val="center"/>
          </w:tcPr>
          <w:p w14:paraId="62BB0D94"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613</w:t>
            </w:r>
          </w:p>
        </w:tc>
      </w:tr>
      <w:tr w:rsidR="00116719" w:rsidRPr="002F7C87" w14:paraId="5F932E31" w14:textId="77777777" w:rsidTr="00D70CD5">
        <w:trPr>
          <w:trHeight w:val="290"/>
        </w:trPr>
        <w:tc>
          <w:tcPr>
            <w:tcW w:w="3126" w:type="pct"/>
            <w:noWrap/>
            <w:vAlign w:val="center"/>
            <w:hideMark/>
          </w:tcPr>
          <w:p w14:paraId="7D40A1BE"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Clean Climate And Environment Campaign Initiative - CCAECI</w:t>
            </w:r>
          </w:p>
        </w:tc>
        <w:tc>
          <w:tcPr>
            <w:tcW w:w="1095" w:type="pct"/>
            <w:noWrap/>
            <w:vAlign w:val="center"/>
            <w:hideMark/>
          </w:tcPr>
          <w:p w14:paraId="3389FBC6"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Nigéria</w:t>
            </w:r>
          </w:p>
        </w:tc>
        <w:tc>
          <w:tcPr>
            <w:tcW w:w="779" w:type="pct"/>
            <w:noWrap/>
            <w:vAlign w:val="center"/>
            <w:hideMark/>
          </w:tcPr>
          <w:p w14:paraId="4F8C973F"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599</w:t>
            </w:r>
          </w:p>
        </w:tc>
      </w:tr>
      <w:tr w:rsidR="00116719" w:rsidRPr="002F7C87" w14:paraId="4CE30252" w14:textId="77777777" w:rsidTr="00D70CD5">
        <w:trPr>
          <w:trHeight w:val="290"/>
        </w:trPr>
        <w:tc>
          <w:tcPr>
            <w:tcW w:w="3126" w:type="pct"/>
            <w:shd w:val="clear" w:color="auto" w:fill="DBE5F1" w:themeFill="accent1" w:themeFillTint="33"/>
            <w:noWrap/>
            <w:vAlign w:val="center"/>
            <w:hideMark/>
          </w:tcPr>
          <w:p w14:paraId="2C5FF3A1"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Cultural Association </w:t>
            </w:r>
            <w:proofErr w:type="spellStart"/>
            <w:r w:rsidRPr="002F7C87">
              <w:rPr>
                <w:rFonts w:ascii="Arial" w:hAnsi="Arial" w:cs="Arial"/>
                <w:b/>
                <w:bCs/>
                <w:sz w:val="20"/>
                <w:szCs w:val="20"/>
              </w:rPr>
              <w:t>Baizara</w:t>
            </w:r>
            <w:proofErr w:type="spellEnd"/>
          </w:p>
        </w:tc>
        <w:tc>
          <w:tcPr>
            <w:tcW w:w="1095" w:type="pct"/>
            <w:shd w:val="clear" w:color="auto" w:fill="DBE5F1" w:themeFill="accent1" w:themeFillTint="33"/>
            <w:noWrap/>
            <w:vAlign w:val="center"/>
            <w:hideMark/>
          </w:tcPr>
          <w:p w14:paraId="78123B8E"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Espagne</w:t>
            </w:r>
          </w:p>
        </w:tc>
        <w:tc>
          <w:tcPr>
            <w:tcW w:w="779" w:type="pct"/>
            <w:shd w:val="clear" w:color="auto" w:fill="DBE5F1" w:themeFill="accent1" w:themeFillTint="33"/>
            <w:noWrap/>
            <w:vAlign w:val="center"/>
            <w:hideMark/>
          </w:tcPr>
          <w:p w14:paraId="6E83AF25"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657</w:t>
            </w:r>
          </w:p>
        </w:tc>
      </w:tr>
      <w:tr w:rsidR="00116719" w:rsidRPr="002F7C87" w14:paraId="20030521" w14:textId="77777777" w:rsidTr="00D70CD5">
        <w:trPr>
          <w:trHeight w:val="624"/>
        </w:trPr>
        <w:tc>
          <w:tcPr>
            <w:tcW w:w="3129" w:type="pct"/>
            <w:noWrap/>
            <w:vAlign w:val="center"/>
            <w:hideMark/>
          </w:tcPr>
          <w:p w14:paraId="3BDCE293"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 xml:space="preserve">Doğu </w:t>
            </w:r>
            <w:proofErr w:type="spellStart"/>
            <w:r w:rsidRPr="002F7C87">
              <w:rPr>
                <w:rFonts w:ascii="Arial" w:hAnsi="Arial" w:cs="Arial"/>
                <w:b/>
                <w:bCs/>
                <w:sz w:val="20"/>
                <w:szCs w:val="20"/>
                <w:lang w:val="en-GB"/>
              </w:rPr>
              <w:t>Kültür</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ve</w:t>
            </w:r>
            <w:proofErr w:type="spellEnd"/>
            <w:r w:rsidRPr="002F7C87">
              <w:rPr>
                <w:rFonts w:ascii="Arial" w:hAnsi="Arial" w:cs="Arial"/>
                <w:b/>
                <w:bCs/>
                <w:sz w:val="20"/>
                <w:szCs w:val="20"/>
                <w:lang w:val="en-GB"/>
              </w:rPr>
              <w:t xml:space="preserve"> Sanat </w:t>
            </w:r>
            <w:proofErr w:type="spellStart"/>
            <w:r w:rsidRPr="002F7C87">
              <w:rPr>
                <w:rFonts w:ascii="Arial" w:hAnsi="Arial" w:cs="Arial"/>
                <w:b/>
                <w:bCs/>
                <w:sz w:val="20"/>
                <w:szCs w:val="20"/>
                <w:lang w:val="en-GB"/>
              </w:rPr>
              <w:t>Merkezi</w:t>
            </w:r>
            <w:proofErr w:type="spellEnd"/>
            <w:r w:rsidRPr="002F7C87">
              <w:rPr>
                <w:rFonts w:ascii="Arial" w:hAnsi="Arial" w:cs="Arial"/>
                <w:b/>
                <w:bCs/>
                <w:sz w:val="20"/>
                <w:szCs w:val="20"/>
                <w:lang w:val="en-GB"/>
              </w:rPr>
              <w:t xml:space="preserve"> Derneği - DKSM </w:t>
            </w:r>
            <w:r w:rsidRPr="002F7C87">
              <w:rPr>
                <w:rFonts w:ascii="Arial" w:hAnsi="Arial" w:cs="Arial"/>
                <w:b/>
                <w:bCs/>
                <w:sz w:val="20"/>
                <w:szCs w:val="20"/>
                <w:lang w:val="en-GB"/>
              </w:rPr>
              <w:br/>
            </w:r>
            <w:r w:rsidRPr="002F7C87">
              <w:rPr>
                <w:rFonts w:ascii="Arial" w:hAnsi="Arial" w:cs="Arial"/>
                <w:sz w:val="20"/>
                <w:szCs w:val="20"/>
                <w:lang w:val="en-GB"/>
              </w:rPr>
              <w:t>Eastern Culture and Art Center Association - DKSM</w:t>
            </w:r>
          </w:p>
        </w:tc>
        <w:tc>
          <w:tcPr>
            <w:tcW w:w="1092" w:type="pct"/>
            <w:noWrap/>
            <w:vAlign w:val="center"/>
            <w:hideMark/>
          </w:tcPr>
          <w:p w14:paraId="23ECF2A0"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noWrap/>
            <w:vAlign w:val="center"/>
            <w:hideMark/>
          </w:tcPr>
          <w:p w14:paraId="5424BA11"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661</w:t>
            </w:r>
          </w:p>
        </w:tc>
      </w:tr>
      <w:tr w:rsidR="00116719" w:rsidRPr="002F7C87" w14:paraId="5EFD9F89" w14:textId="77777777" w:rsidTr="00D70CD5">
        <w:trPr>
          <w:trHeight w:val="290"/>
        </w:trPr>
        <w:tc>
          <w:tcPr>
            <w:tcW w:w="3126" w:type="pct"/>
            <w:shd w:val="clear" w:color="auto" w:fill="DBE5F1" w:themeFill="accent1" w:themeFillTint="33"/>
            <w:noWrap/>
            <w:vAlign w:val="center"/>
            <w:hideMark/>
          </w:tcPr>
          <w:p w14:paraId="2EE88C7F"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 xml:space="preserve">Dünya </w:t>
            </w:r>
            <w:proofErr w:type="spellStart"/>
            <w:r w:rsidRPr="002F7C87">
              <w:rPr>
                <w:rFonts w:ascii="Arial" w:hAnsi="Arial" w:cs="Arial"/>
                <w:b/>
                <w:bCs/>
                <w:sz w:val="20"/>
                <w:szCs w:val="20"/>
                <w:lang w:val="en-GB"/>
              </w:rPr>
              <w:t>Etnospor</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Konfederasyonu</w:t>
            </w:r>
            <w:proofErr w:type="spellEnd"/>
            <w:r w:rsidRPr="002F7C87">
              <w:rPr>
                <w:rFonts w:ascii="Arial" w:hAnsi="Arial" w:cs="Arial"/>
                <w:b/>
                <w:bCs/>
                <w:sz w:val="20"/>
                <w:szCs w:val="20"/>
                <w:lang w:val="en-GB"/>
              </w:rPr>
              <w:t xml:space="preserve"> - DEK </w:t>
            </w:r>
            <w:r w:rsidRPr="002F7C87">
              <w:rPr>
                <w:rFonts w:ascii="Arial" w:hAnsi="Arial" w:cs="Arial"/>
                <w:b/>
                <w:bCs/>
                <w:sz w:val="20"/>
                <w:szCs w:val="20"/>
                <w:lang w:val="en-GB"/>
              </w:rPr>
              <w:br/>
            </w:r>
            <w:r w:rsidRPr="002F7C87">
              <w:rPr>
                <w:rFonts w:ascii="Arial" w:hAnsi="Arial" w:cs="Arial"/>
                <w:sz w:val="20"/>
                <w:szCs w:val="20"/>
                <w:lang w:val="en-GB"/>
              </w:rPr>
              <w:t>World</w:t>
            </w:r>
            <w:r w:rsidRPr="002F7C87">
              <w:rPr>
                <w:rFonts w:ascii="Arial" w:hAnsi="Arial" w:cs="Arial"/>
                <w:b/>
                <w:bCs/>
                <w:sz w:val="20"/>
                <w:szCs w:val="20"/>
                <w:lang w:val="en-GB"/>
              </w:rPr>
              <w:t xml:space="preserve"> </w:t>
            </w:r>
            <w:r w:rsidRPr="002F7C87">
              <w:rPr>
                <w:rFonts w:ascii="Arial" w:hAnsi="Arial" w:cs="Arial"/>
                <w:sz w:val="20"/>
                <w:szCs w:val="20"/>
                <w:lang w:val="en-GB"/>
              </w:rPr>
              <w:t>Ethnosport Confederation - WEC</w:t>
            </w:r>
          </w:p>
        </w:tc>
        <w:tc>
          <w:tcPr>
            <w:tcW w:w="1095" w:type="pct"/>
            <w:shd w:val="clear" w:color="auto" w:fill="DBE5F1" w:themeFill="accent1" w:themeFillTint="33"/>
            <w:noWrap/>
            <w:vAlign w:val="center"/>
            <w:hideMark/>
          </w:tcPr>
          <w:p w14:paraId="2A629EE2"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shd w:val="clear" w:color="auto" w:fill="DBE5F1" w:themeFill="accent1" w:themeFillTint="33"/>
            <w:noWrap/>
            <w:vAlign w:val="center"/>
            <w:hideMark/>
          </w:tcPr>
          <w:p w14:paraId="2476072A"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659</w:t>
            </w:r>
          </w:p>
        </w:tc>
      </w:tr>
      <w:tr w:rsidR="00116719" w:rsidRPr="002F7C87" w14:paraId="6E11358F" w14:textId="77777777" w:rsidTr="00D70CD5">
        <w:trPr>
          <w:trHeight w:val="624"/>
        </w:trPr>
        <w:tc>
          <w:tcPr>
            <w:tcW w:w="3129" w:type="pct"/>
            <w:noWrap/>
            <w:vAlign w:val="center"/>
            <w:hideMark/>
          </w:tcPr>
          <w:p w14:paraId="42DE3D56" w14:textId="77777777" w:rsidR="00116719" w:rsidRPr="002F7C87" w:rsidRDefault="00116719" w:rsidP="00D70CD5">
            <w:pPr>
              <w:spacing w:before="120" w:after="120"/>
              <w:rPr>
                <w:rFonts w:ascii="Arial" w:hAnsi="Arial" w:cs="Arial"/>
                <w:b/>
                <w:bCs/>
                <w:sz w:val="20"/>
                <w:szCs w:val="20"/>
                <w:lang w:val="en-GB"/>
              </w:rPr>
            </w:pPr>
            <w:proofErr w:type="spellStart"/>
            <w:r w:rsidRPr="002F7C87">
              <w:rPr>
                <w:rFonts w:ascii="Arial" w:hAnsi="Arial" w:cs="Arial"/>
                <w:b/>
                <w:bCs/>
                <w:sz w:val="20"/>
                <w:szCs w:val="20"/>
                <w:lang w:val="en-GB"/>
              </w:rPr>
              <w:t>Folkdansringen</w:t>
            </w:r>
            <w:proofErr w:type="spellEnd"/>
            <w:r w:rsidRPr="002F7C87">
              <w:rPr>
                <w:rFonts w:ascii="Arial" w:hAnsi="Arial" w:cs="Arial"/>
                <w:b/>
                <w:bCs/>
                <w:sz w:val="20"/>
                <w:szCs w:val="20"/>
                <w:lang w:val="en-GB"/>
              </w:rPr>
              <w:t xml:space="preserve"> Dalarna - </w:t>
            </w:r>
            <w:proofErr w:type="spellStart"/>
            <w:r w:rsidRPr="002F7C87">
              <w:rPr>
                <w:rFonts w:ascii="Arial" w:hAnsi="Arial" w:cs="Arial"/>
                <w:b/>
                <w:bCs/>
                <w:sz w:val="20"/>
                <w:szCs w:val="20"/>
                <w:lang w:val="en-GB"/>
              </w:rPr>
              <w:t>Polskmärkesuppdansningen</w:t>
            </w:r>
            <w:proofErr w:type="spellEnd"/>
            <w:r w:rsidRPr="002F7C87">
              <w:rPr>
                <w:rFonts w:ascii="Arial" w:hAnsi="Arial" w:cs="Arial"/>
                <w:b/>
                <w:bCs/>
                <w:sz w:val="20"/>
                <w:szCs w:val="20"/>
                <w:lang w:val="en-GB"/>
              </w:rPr>
              <w:t xml:space="preserve"> </w:t>
            </w:r>
            <w:r w:rsidRPr="002F7C87">
              <w:rPr>
                <w:rFonts w:ascii="Arial" w:hAnsi="Arial" w:cs="Arial"/>
                <w:b/>
                <w:bCs/>
                <w:sz w:val="20"/>
                <w:szCs w:val="20"/>
                <w:lang w:val="en-GB"/>
              </w:rPr>
              <w:br/>
            </w:r>
            <w:r w:rsidRPr="002F7C87">
              <w:rPr>
                <w:rFonts w:ascii="Arial" w:hAnsi="Arial" w:cs="Arial"/>
                <w:sz w:val="20"/>
                <w:szCs w:val="20"/>
                <w:lang w:val="en-GB"/>
              </w:rPr>
              <w:t>Folk dance society in Dalarna County - The Polska Medal &amp; Reward</w:t>
            </w:r>
          </w:p>
        </w:tc>
        <w:tc>
          <w:tcPr>
            <w:tcW w:w="1092" w:type="pct"/>
            <w:noWrap/>
            <w:vAlign w:val="center"/>
            <w:hideMark/>
          </w:tcPr>
          <w:p w14:paraId="62E3DBAA"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Suède</w:t>
            </w:r>
          </w:p>
        </w:tc>
        <w:tc>
          <w:tcPr>
            <w:tcW w:w="779" w:type="pct"/>
            <w:noWrap/>
            <w:vAlign w:val="center"/>
            <w:hideMark/>
          </w:tcPr>
          <w:p w14:paraId="5A6EF747"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633</w:t>
            </w:r>
          </w:p>
        </w:tc>
      </w:tr>
      <w:tr w:rsidR="00116719" w:rsidRPr="002F7C87" w14:paraId="5DF0A4B7" w14:textId="77777777" w:rsidTr="00D70CD5">
        <w:trPr>
          <w:trHeight w:val="624"/>
        </w:trPr>
        <w:tc>
          <w:tcPr>
            <w:tcW w:w="3129" w:type="pct"/>
            <w:shd w:val="clear" w:color="auto" w:fill="DBE5F1" w:themeFill="accent1" w:themeFillTint="33"/>
            <w:noWrap/>
            <w:vAlign w:val="center"/>
            <w:hideMark/>
          </w:tcPr>
          <w:p w14:paraId="254095D4"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Folklor</w:t>
            </w:r>
            <w:proofErr w:type="spellEnd"/>
            <w:r w:rsidRPr="002F7C87">
              <w:rPr>
                <w:rFonts w:ascii="Arial" w:hAnsi="Arial" w:cs="Arial"/>
                <w:b/>
                <w:bCs/>
                <w:sz w:val="20"/>
                <w:szCs w:val="20"/>
              </w:rPr>
              <w:t xml:space="preserve"> Kurumu Derneği </w:t>
            </w:r>
            <w:r w:rsidRPr="002F7C87">
              <w:rPr>
                <w:rFonts w:ascii="Arial" w:hAnsi="Arial" w:cs="Arial"/>
                <w:b/>
                <w:bCs/>
                <w:sz w:val="20"/>
                <w:szCs w:val="20"/>
              </w:rPr>
              <w:br/>
            </w:r>
            <w:r w:rsidRPr="002F7C87">
              <w:rPr>
                <w:rFonts w:ascii="Arial" w:hAnsi="Arial" w:cs="Arial"/>
                <w:sz w:val="20"/>
                <w:szCs w:val="20"/>
              </w:rPr>
              <w:t>Folklore Institution Association</w:t>
            </w:r>
          </w:p>
        </w:tc>
        <w:tc>
          <w:tcPr>
            <w:tcW w:w="1092" w:type="pct"/>
            <w:shd w:val="clear" w:color="auto" w:fill="DBE5F1" w:themeFill="accent1" w:themeFillTint="33"/>
            <w:noWrap/>
            <w:vAlign w:val="center"/>
            <w:hideMark/>
          </w:tcPr>
          <w:p w14:paraId="39C0A8A1"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shd w:val="clear" w:color="auto" w:fill="DBE5F1" w:themeFill="accent1" w:themeFillTint="33"/>
            <w:noWrap/>
            <w:vAlign w:val="center"/>
            <w:hideMark/>
          </w:tcPr>
          <w:p w14:paraId="2F11EE53"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643</w:t>
            </w:r>
          </w:p>
        </w:tc>
      </w:tr>
      <w:tr w:rsidR="00116719" w:rsidRPr="002F7C87" w14:paraId="1130E4A0" w14:textId="77777777" w:rsidTr="00D70CD5">
        <w:trPr>
          <w:trHeight w:val="290"/>
        </w:trPr>
        <w:tc>
          <w:tcPr>
            <w:tcW w:w="3126" w:type="pct"/>
            <w:noWrap/>
            <w:vAlign w:val="center"/>
            <w:hideMark/>
          </w:tcPr>
          <w:p w14:paraId="73EBF404"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Groupe </w:t>
            </w:r>
            <w:r w:rsidRPr="00877870">
              <w:rPr>
                <w:rFonts w:ascii="Arial" w:hAnsi="Arial" w:cs="Arial"/>
                <w:b/>
                <w:bCs/>
                <w:sz w:val="20"/>
                <w:szCs w:val="20"/>
              </w:rPr>
              <w:t>d</w:t>
            </w:r>
            <w:r>
              <w:rPr>
                <w:rFonts w:ascii="Arial" w:hAnsi="Arial" w:cs="Arial"/>
                <w:b/>
                <w:bCs/>
                <w:sz w:val="20"/>
                <w:szCs w:val="20"/>
              </w:rPr>
              <w:t>’</w:t>
            </w:r>
            <w:r w:rsidRPr="00877870">
              <w:rPr>
                <w:rFonts w:ascii="Arial" w:hAnsi="Arial" w:cs="Arial"/>
                <w:b/>
                <w:bCs/>
                <w:sz w:val="20"/>
                <w:szCs w:val="20"/>
              </w:rPr>
              <w:t>Etudes sur l</w:t>
            </w:r>
            <w:r>
              <w:rPr>
                <w:rFonts w:ascii="Arial" w:hAnsi="Arial" w:cs="Arial"/>
                <w:b/>
                <w:bCs/>
                <w:sz w:val="20"/>
                <w:szCs w:val="20"/>
              </w:rPr>
              <w:t>’</w:t>
            </w:r>
            <w:r w:rsidRPr="00877870">
              <w:rPr>
                <w:rFonts w:ascii="Arial" w:hAnsi="Arial" w:cs="Arial"/>
                <w:b/>
                <w:bCs/>
                <w:sz w:val="20"/>
                <w:szCs w:val="20"/>
              </w:rPr>
              <w:t xml:space="preserve">Histoire </w:t>
            </w:r>
            <w:r w:rsidRPr="002F7C87">
              <w:rPr>
                <w:rFonts w:ascii="Arial" w:hAnsi="Arial" w:cs="Arial"/>
                <w:b/>
                <w:bCs/>
                <w:sz w:val="20"/>
                <w:szCs w:val="20"/>
              </w:rPr>
              <w:t>des Mathématiques à Béjaïa - GEHIMAB</w:t>
            </w:r>
          </w:p>
        </w:tc>
        <w:tc>
          <w:tcPr>
            <w:tcW w:w="1095" w:type="pct"/>
            <w:noWrap/>
            <w:vAlign w:val="center"/>
            <w:hideMark/>
          </w:tcPr>
          <w:p w14:paraId="3DFD411A"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Algérie</w:t>
            </w:r>
          </w:p>
        </w:tc>
        <w:tc>
          <w:tcPr>
            <w:tcW w:w="779" w:type="pct"/>
            <w:noWrap/>
            <w:vAlign w:val="center"/>
            <w:hideMark/>
          </w:tcPr>
          <w:p w14:paraId="37B761D4"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621</w:t>
            </w:r>
          </w:p>
        </w:tc>
      </w:tr>
      <w:tr w:rsidR="00116719" w:rsidRPr="002F7C87" w14:paraId="4A0F57AA" w14:textId="77777777" w:rsidTr="00D70CD5">
        <w:trPr>
          <w:trHeight w:val="624"/>
        </w:trPr>
        <w:tc>
          <w:tcPr>
            <w:tcW w:w="3129" w:type="pct"/>
            <w:shd w:val="clear" w:color="auto" w:fill="DBE5F1" w:themeFill="accent1" w:themeFillTint="33"/>
            <w:noWrap/>
            <w:vAlign w:val="center"/>
            <w:hideMark/>
          </w:tcPr>
          <w:p w14:paraId="1BBF831A" w14:textId="77777777" w:rsidR="00116719" w:rsidRPr="002F7C87" w:rsidRDefault="00116719" w:rsidP="00D70CD5">
            <w:pPr>
              <w:spacing w:before="120" w:after="120"/>
              <w:rPr>
                <w:rFonts w:ascii="Arial" w:hAnsi="Arial" w:cs="Arial"/>
                <w:b/>
                <w:bCs/>
                <w:sz w:val="20"/>
                <w:szCs w:val="20"/>
              </w:rPr>
            </w:pPr>
            <w:proofErr w:type="gramStart"/>
            <w:r w:rsidRPr="002F7C87">
              <w:rPr>
                <w:rFonts w:ascii="Arial" w:hAnsi="Arial" w:cs="Arial"/>
                <w:b/>
                <w:bCs/>
                <w:sz w:val="20"/>
                <w:szCs w:val="20"/>
              </w:rPr>
              <w:t>Histories</w:t>
            </w:r>
            <w:proofErr w:type="gramEnd"/>
            <w:r w:rsidRPr="002F7C87">
              <w:rPr>
                <w:rFonts w:ascii="Arial" w:hAnsi="Arial" w:cs="Arial"/>
                <w:b/>
                <w:bCs/>
                <w:sz w:val="20"/>
                <w:szCs w:val="20"/>
              </w:rPr>
              <w:t xml:space="preserve"> </w:t>
            </w:r>
            <w:proofErr w:type="spellStart"/>
            <w:r w:rsidRPr="002F7C87">
              <w:rPr>
                <w:rFonts w:ascii="Arial" w:hAnsi="Arial" w:cs="Arial"/>
                <w:b/>
                <w:bCs/>
                <w:sz w:val="20"/>
                <w:szCs w:val="20"/>
              </w:rPr>
              <w:t>vzw</w:t>
            </w:r>
            <w:proofErr w:type="spellEnd"/>
          </w:p>
        </w:tc>
        <w:tc>
          <w:tcPr>
            <w:tcW w:w="1092" w:type="pct"/>
            <w:shd w:val="clear" w:color="auto" w:fill="DBE5F1" w:themeFill="accent1" w:themeFillTint="33"/>
            <w:noWrap/>
            <w:vAlign w:val="center"/>
            <w:hideMark/>
          </w:tcPr>
          <w:p w14:paraId="1D154008"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Belgique</w:t>
            </w:r>
          </w:p>
        </w:tc>
        <w:tc>
          <w:tcPr>
            <w:tcW w:w="779" w:type="pct"/>
            <w:shd w:val="clear" w:color="auto" w:fill="DBE5F1" w:themeFill="accent1" w:themeFillTint="33"/>
            <w:noWrap/>
            <w:vAlign w:val="center"/>
            <w:hideMark/>
          </w:tcPr>
          <w:p w14:paraId="5346469A"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634</w:t>
            </w:r>
          </w:p>
        </w:tc>
      </w:tr>
      <w:tr w:rsidR="00116719" w:rsidRPr="002F7C87" w14:paraId="0DDDD781" w14:textId="77777777" w:rsidTr="00D70CD5">
        <w:trPr>
          <w:trHeight w:val="624"/>
        </w:trPr>
        <w:tc>
          <w:tcPr>
            <w:tcW w:w="3129" w:type="pct"/>
            <w:noWrap/>
            <w:vAlign w:val="center"/>
            <w:hideMark/>
          </w:tcPr>
          <w:p w14:paraId="49A2E6CE" w14:textId="77777777" w:rsidR="00116719" w:rsidRPr="0057731E" w:rsidRDefault="00116719" w:rsidP="00D70CD5">
            <w:pPr>
              <w:spacing w:before="120" w:after="120"/>
              <w:rPr>
                <w:rFonts w:ascii="Arial" w:hAnsi="Arial" w:cs="Arial"/>
                <w:b/>
                <w:bCs/>
                <w:sz w:val="20"/>
                <w:szCs w:val="20"/>
                <w:lang w:val="en-GB"/>
              </w:rPr>
            </w:pPr>
            <w:r w:rsidRPr="0057731E">
              <w:rPr>
                <w:rFonts w:ascii="Arial" w:hAnsi="Arial" w:cs="Arial"/>
                <w:b/>
                <w:bCs/>
                <w:sz w:val="20"/>
                <w:szCs w:val="20"/>
                <w:lang w:val="en-GB"/>
              </w:rPr>
              <w:t xml:space="preserve">Hrvatsko kulturno-umjetničko društvo "Rodoč" </w:t>
            </w:r>
            <w:r w:rsidRPr="0057731E">
              <w:rPr>
                <w:rFonts w:ascii="Arial" w:hAnsi="Arial" w:cs="Arial"/>
                <w:b/>
                <w:bCs/>
                <w:sz w:val="20"/>
                <w:szCs w:val="20"/>
                <w:lang w:val="en-GB"/>
              </w:rPr>
              <w:br/>
            </w:r>
            <w:r w:rsidRPr="0057731E">
              <w:rPr>
                <w:rFonts w:ascii="Arial" w:hAnsi="Arial" w:cs="Arial"/>
                <w:sz w:val="20"/>
                <w:szCs w:val="20"/>
                <w:lang w:val="en-GB"/>
              </w:rPr>
              <w:t>Croatian Cultural and Artistic Society - HKUD "Rodoč"</w:t>
            </w:r>
          </w:p>
        </w:tc>
        <w:tc>
          <w:tcPr>
            <w:tcW w:w="1092" w:type="pct"/>
            <w:noWrap/>
            <w:vAlign w:val="center"/>
            <w:hideMark/>
          </w:tcPr>
          <w:p w14:paraId="097D42B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Bosnie-Herzégovine</w:t>
            </w:r>
          </w:p>
        </w:tc>
        <w:tc>
          <w:tcPr>
            <w:tcW w:w="779" w:type="pct"/>
            <w:noWrap/>
            <w:vAlign w:val="center"/>
            <w:hideMark/>
          </w:tcPr>
          <w:p w14:paraId="2574D360"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638</w:t>
            </w:r>
          </w:p>
        </w:tc>
      </w:tr>
      <w:tr w:rsidR="00116719" w:rsidRPr="002F7C87" w14:paraId="7B10B6F3" w14:textId="77777777" w:rsidTr="00D70CD5">
        <w:trPr>
          <w:trHeight w:val="624"/>
        </w:trPr>
        <w:tc>
          <w:tcPr>
            <w:tcW w:w="3129" w:type="pct"/>
            <w:shd w:val="clear" w:color="auto" w:fill="DBE5F1" w:themeFill="accent1" w:themeFillTint="33"/>
            <w:noWrap/>
            <w:vAlign w:val="center"/>
            <w:hideMark/>
          </w:tcPr>
          <w:p w14:paraId="12A12A3C"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Intangible Heritage Association</w:t>
            </w:r>
          </w:p>
        </w:tc>
        <w:tc>
          <w:tcPr>
            <w:tcW w:w="1092" w:type="pct"/>
            <w:shd w:val="clear" w:color="auto" w:fill="DBE5F1" w:themeFill="accent1" w:themeFillTint="33"/>
            <w:noWrap/>
            <w:vAlign w:val="center"/>
            <w:hideMark/>
          </w:tcPr>
          <w:p w14:paraId="4BDE0661"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Arabie saoudite</w:t>
            </w:r>
          </w:p>
        </w:tc>
        <w:tc>
          <w:tcPr>
            <w:tcW w:w="779" w:type="pct"/>
            <w:shd w:val="clear" w:color="auto" w:fill="DBE5F1" w:themeFill="accent1" w:themeFillTint="33"/>
            <w:noWrap/>
            <w:vAlign w:val="center"/>
            <w:hideMark/>
          </w:tcPr>
          <w:p w14:paraId="1FA79520"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610</w:t>
            </w:r>
          </w:p>
        </w:tc>
      </w:tr>
      <w:tr w:rsidR="00116719" w:rsidRPr="002F7C87" w14:paraId="1D787B5C" w14:textId="77777777" w:rsidTr="00D70CD5">
        <w:trPr>
          <w:trHeight w:val="624"/>
        </w:trPr>
        <w:tc>
          <w:tcPr>
            <w:tcW w:w="3129" w:type="pct"/>
            <w:noWrap/>
            <w:vAlign w:val="center"/>
            <w:hideMark/>
          </w:tcPr>
          <w:p w14:paraId="4B478FAC"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İstanbul </w:t>
            </w:r>
            <w:proofErr w:type="spellStart"/>
            <w:r w:rsidRPr="002F7C87">
              <w:rPr>
                <w:rFonts w:ascii="Arial" w:hAnsi="Arial" w:cs="Arial"/>
                <w:b/>
                <w:bCs/>
                <w:sz w:val="20"/>
                <w:szCs w:val="20"/>
              </w:rPr>
              <w:t>Kültürlerarası</w:t>
            </w:r>
            <w:proofErr w:type="spellEnd"/>
            <w:r w:rsidRPr="002F7C87">
              <w:rPr>
                <w:rFonts w:ascii="Arial" w:hAnsi="Arial" w:cs="Arial"/>
                <w:b/>
                <w:bCs/>
                <w:sz w:val="20"/>
                <w:szCs w:val="20"/>
              </w:rPr>
              <w:t xml:space="preserve"> Sanat </w:t>
            </w:r>
            <w:proofErr w:type="spellStart"/>
            <w:r w:rsidRPr="002F7C87">
              <w:rPr>
                <w:rFonts w:ascii="Arial" w:hAnsi="Arial" w:cs="Arial"/>
                <w:b/>
                <w:bCs/>
                <w:sz w:val="20"/>
                <w:szCs w:val="20"/>
              </w:rPr>
              <w:t>Diyalogları</w:t>
            </w:r>
            <w:proofErr w:type="spellEnd"/>
            <w:r w:rsidRPr="002F7C87">
              <w:rPr>
                <w:rFonts w:ascii="Arial" w:hAnsi="Arial" w:cs="Arial"/>
                <w:b/>
                <w:bCs/>
                <w:sz w:val="20"/>
                <w:szCs w:val="20"/>
              </w:rPr>
              <w:t xml:space="preserve"> Derneği - IKASD </w:t>
            </w:r>
            <w:r w:rsidRPr="002F7C87">
              <w:rPr>
                <w:rFonts w:ascii="Arial" w:hAnsi="Arial" w:cs="Arial"/>
                <w:b/>
                <w:bCs/>
                <w:sz w:val="20"/>
                <w:szCs w:val="20"/>
              </w:rPr>
              <w:br/>
            </w:r>
            <w:r w:rsidRPr="002F7C87">
              <w:rPr>
                <w:rFonts w:ascii="Arial" w:hAnsi="Arial" w:cs="Arial"/>
                <w:sz w:val="20"/>
                <w:szCs w:val="20"/>
              </w:rPr>
              <w:t xml:space="preserve">Istanbul </w:t>
            </w:r>
            <w:proofErr w:type="spellStart"/>
            <w:r w:rsidRPr="002F7C87">
              <w:rPr>
                <w:rFonts w:ascii="Arial" w:hAnsi="Arial" w:cs="Arial"/>
                <w:sz w:val="20"/>
                <w:szCs w:val="20"/>
              </w:rPr>
              <w:t>Intercultural</w:t>
            </w:r>
            <w:proofErr w:type="spellEnd"/>
            <w:r w:rsidRPr="002F7C87">
              <w:rPr>
                <w:rFonts w:ascii="Arial" w:hAnsi="Arial" w:cs="Arial"/>
                <w:sz w:val="20"/>
                <w:szCs w:val="20"/>
              </w:rPr>
              <w:t xml:space="preserve"> Art Dialogues Association - IKASD</w:t>
            </w:r>
          </w:p>
        </w:tc>
        <w:tc>
          <w:tcPr>
            <w:tcW w:w="1092" w:type="pct"/>
            <w:noWrap/>
            <w:vAlign w:val="center"/>
            <w:hideMark/>
          </w:tcPr>
          <w:p w14:paraId="135F9C0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noWrap/>
            <w:vAlign w:val="center"/>
            <w:hideMark/>
          </w:tcPr>
          <w:p w14:paraId="55F119D2"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641</w:t>
            </w:r>
          </w:p>
        </w:tc>
      </w:tr>
      <w:tr w:rsidR="00116719" w:rsidRPr="002F7C87" w14:paraId="2B61ED45" w14:textId="77777777" w:rsidTr="00D70CD5">
        <w:trPr>
          <w:trHeight w:val="624"/>
        </w:trPr>
        <w:tc>
          <w:tcPr>
            <w:tcW w:w="3129" w:type="pct"/>
            <w:shd w:val="clear" w:color="auto" w:fill="DBE5F1" w:themeFill="accent1" w:themeFillTint="33"/>
            <w:noWrap/>
            <w:vAlign w:val="center"/>
            <w:hideMark/>
          </w:tcPr>
          <w:p w14:paraId="32214BBE"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Itinérance Méditerranée</w:t>
            </w:r>
          </w:p>
        </w:tc>
        <w:tc>
          <w:tcPr>
            <w:tcW w:w="1092" w:type="pct"/>
            <w:shd w:val="clear" w:color="auto" w:fill="DBE5F1" w:themeFill="accent1" w:themeFillTint="33"/>
            <w:noWrap/>
            <w:vAlign w:val="center"/>
            <w:hideMark/>
          </w:tcPr>
          <w:p w14:paraId="42639143"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France</w:t>
            </w:r>
          </w:p>
        </w:tc>
        <w:tc>
          <w:tcPr>
            <w:tcW w:w="779" w:type="pct"/>
            <w:shd w:val="clear" w:color="auto" w:fill="DBE5F1" w:themeFill="accent1" w:themeFillTint="33"/>
            <w:noWrap/>
            <w:vAlign w:val="center"/>
            <w:hideMark/>
          </w:tcPr>
          <w:p w14:paraId="00C89DFF"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650</w:t>
            </w:r>
          </w:p>
        </w:tc>
      </w:tr>
      <w:tr w:rsidR="00116719" w:rsidRPr="002F7C87" w14:paraId="3874C3BF" w14:textId="77777777" w:rsidTr="00D70CD5">
        <w:trPr>
          <w:trHeight w:val="624"/>
        </w:trPr>
        <w:tc>
          <w:tcPr>
            <w:tcW w:w="3129" w:type="pct"/>
            <w:noWrap/>
            <w:vAlign w:val="center"/>
            <w:hideMark/>
          </w:tcPr>
          <w:p w14:paraId="66D83B4B"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KADAM</w:t>
            </w:r>
          </w:p>
        </w:tc>
        <w:tc>
          <w:tcPr>
            <w:tcW w:w="1092" w:type="pct"/>
            <w:noWrap/>
            <w:vAlign w:val="center"/>
            <w:hideMark/>
          </w:tcPr>
          <w:p w14:paraId="10679FAD"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Inde</w:t>
            </w:r>
          </w:p>
        </w:tc>
        <w:tc>
          <w:tcPr>
            <w:tcW w:w="779" w:type="pct"/>
            <w:noWrap/>
            <w:vAlign w:val="center"/>
            <w:hideMark/>
          </w:tcPr>
          <w:p w14:paraId="72656F89"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602</w:t>
            </w:r>
          </w:p>
        </w:tc>
      </w:tr>
      <w:tr w:rsidR="00116719" w:rsidRPr="002F7C87" w14:paraId="6BFCC6CB" w14:textId="77777777" w:rsidTr="00D70CD5">
        <w:trPr>
          <w:trHeight w:val="290"/>
        </w:trPr>
        <w:tc>
          <w:tcPr>
            <w:tcW w:w="3126" w:type="pct"/>
            <w:shd w:val="clear" w:color="auto" w:fill="DBE5F1" w:themeFill="accent1" w:themeFillTint="33"/>
            <w:noWrap/>
            <w:vAlign w:val="center"/>
            <w:hideMark/>
          </w:tcPr>
          <w:p w14:paraId="72863C4B"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Karagöz Derneği</w:t>
            </w:r>
            <w:r w:rsidRPr="002F7C87">
              <w:rPr>
                <w:rFonts w:ascii="Arial" w:hAnsi="Arial" w:cs="Arial"/>
                <w:b/>
                <w:bCs/>
                <w:sz w:val="20"/>
                <w:szCs w:val="20"/>
              </w:rPr>
              <w:br/>
            </w:r>
            <w:r w:rsidRPr="002F7C87">
              <w:rPr>
                <w:rFonts w:ascii="Arial" w:hAnsi="Arial" w:cs="Arial"/>
                <w:sz w:val="20"/>
                <w:szCs w:val="20"/>
              </w:rPr>
              <w:t>Karagöz Association</w:t>
            </w:r>
          </w:p>
        </w:tc>
        <w:tc>
          <w:tcPr>
            <w:tcW w:w="1095" w:type="pct"/>
            <w:shd w:val="clear" w:color="auto" w:fill="DBE5F1" w:themeFill="accent1" w:themeFillTint="33"/>
            <w:noWrap/>
            <w:vAlign w:val="center"/>
            <w:hideMark/>
          </w:tcPr>
          <w:p w14:paraId="22C3F52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shd w:val="clear" w:color="auto" w:fill="DBE5F1" w:themeFill="accent1" w:themeFillTint="33"/>
            <w:noWrap/>
            <w:vAlign w:val="center"/>
            <w:hideMark/>
          </w:tcPr>
          <w:p w14:paraId="52A0557F"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677</w:t>
            </w:r>
          </w:p>
        </w:tc>
      </w:tr>
      <w:tr w:rsidR="00116719" w:rsidRPr="002F7C87" w14:paraId="08B36483" w14:textId="77777777" w:rsidTr="00D70CD5">
        <w:trPr>
          <w:trHeight w:val="624"/>
        </w:trPr>
        <w:tc>
          <w:tcPr>
            <w:tcW w:w="3129" w:type="pct"/>
            <w:noWrap/>
            <w:vAlign w:val="center"/>
            <w:hideMark/>
          </w:tcPr>
          <w:p w14:paraId="5B635BE5"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Kattaikkuttu</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Sangam</w:t>
            </w:r>
            <w:proofErr w:type="spellEnd"/>
          </w:p>
        </w:tc>
        <w:tc>
          <w:tcPr>
            <w:tcW w:w="1092" w:type="pct"/>
            <w:noWrap/>
            <w:vAlign w:val="center"/>
            <w:hideMark/>
          </w:tcPr>
          <w:p w14:paraId="0DC94DAA"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Inde</w:t>
            </w:r>
          </w:p>
        </w:tc>
        <w:tc>
          <w:tcPr>
            <w:tcW w:w="779" w:type="pct"/>
            <w:noWrap/>
            <w:vAlign w:val="center"/>
            <w:hideMark/>
          </w:tcPr>
          <w:p w14:paraId="7EB534B1"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612</w:t>
            </w:r>
          </w:p>
        </w:tc>
      </w:tr>
      <w:tr w:rsidR="00116719" w:rsidRPr="002F7C87" w14:paraId="04512BB4" w14:textId="77777777" w:rsidTr="00D70CD5">
        <w:trPr>
          <w:trHeight w:val="290"/>
        </w:trPr>
        <w:tc>
          <w:tcPr>
            <w:tcW w:w="3126" w:type="pct"/>
            <w:shd w:val="clear" w:color="auto" w:fill="DBE5F1" w:themeFill="accent1" w:themeFillTint="33"/>
            <w:noWrap/>
            <w:vAlign w:val="center"/>
          </w:tcPr>
          <w:p w14:paraId="6523B2F4"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Kgosi Sechele I Museum Trust</w:t>
            </w:r>
          </w:p>
        </w:tc>
        <w:tc>
          <w:tcPr>
            <w:tcW w:w="1095" w:type="pct"/>
            <w:shd w:val="clear" w:color="auto" w:fill="DBE5F1" w:themeFill="accent1" w:themeFillTint="33"/>
            <w:noWrap/>
            <w:vAlign w:val="center"/>
          </w:tcPr>
          <w:p w14:paraId="259531C7"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Botswana</w:t>
            </w:r>
          </w:p>
        </w:tc>
        <w:tc>
          <w:tcPr>
            <w:tcW w:w="779" w:type="pct"/>
            <w:shd w:val="clear" w:color="auto" w:fill="DBE5F1" w:themeFill="accent1" w:themeFillTint="33"/>
            <w:noWrap/>
            <w:vAlign w:val="center"/>
          </w:tcPr>
          <w:p w14:paraId="67A371C9"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647</w:t>
            </w:r>
          </w:p>
        </w:tc>
      </w:tr>
      <w:tr w:rsidR="00116719" w:rsidRPr="002F7C87" w14:paraId="1C9E74A7" w14:textId="77777777" w:rsidTr="00D70CD5">
        <w:trPr>
          <w:trHeight w:val="624"/>
        </w:trPr>
        <w:tc>
          <w:tcPr>
            <w:tcW w:w="3129" w:type="pct"/>
            <w:noWrap/>
            <w:vAlign w:val="center"/>
            <w:hideMark/>
          </w:tcPr>
          <w:p w14:paraId="39063949"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Les Gardiens du Patrimoine Culturel de Domoni - GPCD</w:t>
            </w:r>
          </w:p>
        </w:tc>
        <w:tc>
          <w:tcPr>
            <w:tcW w:w="1092" w:type="pct"/>
            <w:noWrap/>
            <w:vAlign w:val="center"/>
            <w:hideMark/>
          </w:tcPr>
          <w:p w14:paraId="3ED0756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Comores</w:t>
            </w:r>
          </w:p>
        </w:tc>
        <w:tc>
          <w:tcPr>
            <w:tcW w:w="779" w:type="pct"/>
            <w:noWrap/>
            <w:vAlign w:val="center"/>
            <w:hideMark/>
          </w:tcPr>
          <w:p w14:paraId="5E346F4B"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676</w:t>
            </w:r>
          </w:p>
        </w:tc>
      </w:tr>
      <w:tr w:rsidR="00116719" w:rsidRPr="002F7C87" w14:paraId="3EAE63B0" w14:textId="77777777" w:rsidTr="00D70CD5">
        <w:trPr>
          <w:trHeight w:val="624"/>
        </w:trPr>
        <w:tc>
          <w:tcPr>
            <w:tcW w:w="3129" w:type="pct"/>
            <w:shd w:val="clear" w:color="auto" w:fill="DBE5F1" w:themeFill="accent1" w:themeFillTint="33"/>
            <w:noWrap/>
            <w:vAlign w:val="center"/>
            <w:hideMark/>
          </w:tcPr>
          <w:p w14:paraId="05EDED6F"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Lietuvos</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antropologų</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asociacija</w:t>
            </w:r>
            <w:proofErr w:type="spellEnd"/>
            <w:r w:rsidRPr="002F7C87">
              <w:rPr>
                <w:rFonts w:ascii="Arial" w:hAnsi="Arial" w:cs="Arial"/>
                <w:b/>
                <w:bCs/>
                <w:sz w:val="20"/>
                <w:szCs w:val="20"/>
              </w:rPr>
              <w:t xml:space="preserve"> - LAA </w:t>
            </w:r>
            <w:r w:rsidRPr="002F7C87">
              <w:rPr>
                <w:rFonts w:ascii="Arial" w:hAnsi="Arial" w:cs="Arial"/>
                <w:b/>
                <w:bCs/>
                <w:sz w:val="20"/>
                <w:szCs w:val="20"/>
              </w:rPr>
              <w:br/>
            </w:r>
            <w:r w:rsidRPr="002F7C87">
              <w:rPr>
                <w:rFonts w:ascii="Arial" w:hAnsi="Arial" w:cs="Arial"/>
                <w:sz w:val="20"/>
                <w:szCs w:val="20"/>
              </w:rPr>
              <w:t xml:space="preserve">Lithuanian </w:t>
            </w:r>
            <w:proofErr w:type="spellStart"/>
            <w:r w:rsidRPr="002F7C87">
              <w:rPr>
                <w:rFonts w:ascii="Arial" w:hAnsi="Arial" w:cs="Arial"/>
                <w:sz w:val="20"/>
                <w:szCs w:val="20"/>
              </w:rPr>
              <w:t>Anthropological</w:t>
            </w:r>
            <w:proofErr w:type="spellEnd"/>
            <w:r w:rsidRPr="002F7C87">
              <w:rPr>
                <w:rFonts w:ascii="Arial" w:hAnsi="Arial" w:cs="Arial"/>
                <w:sz w:val="20"/>
                <w:szCs w:val="20"/>
              </w:rPr>
              <w:t xml:space="preserve"> Association - LAA</w:t>
            </w:r>
          </w:p>
        </w:tc>
        <w:tc>
          <w:tcPr>
            <w:tcW w:w="1092" w:type="pct"/>
            <w:shd w:val="clear" w:color="auto" w:fill="DBE5F1" w:themeFill="accent1" w:themeFillTint="33"/>
            <w:noWrap/>
            <w:vAlign w:val="center"/>
            <w:hideMark/>
          </w:tcPr>
          <w:p w14:paraId="13BA68BC"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Lituanie</w:t>
            </w:r>
          </w:p>
        </w:tc>
        <w:tc>
          <w:tcPr>
            <w:tcW w:w="779" w:type="pct"/>
            <w:shd w:val="clear" w:color="auto" w:fill="DBE5F1" w:themeFill="accent1" w:themeFillTint="33"/>
            <w:noWrap/>
            <w:vAlign w:val="center"/>
            <w:hideMark/>
          </w:tcPr>
          <w:p w14:paraId="7150AA9E"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655</w:t>
            </w:r>
          </w:p>
        </w:tc>
      </w:tr>
      <w:tr w:rsidR="00116719" w:rsidRPr="002F7C87" w14:paraId="0DFE9DC2" w14:textId="77777777" w:rsidTr="00D70CD5">
        <w:trPr>
          <w:trHeight w:val="290"/>
        </w:trPr>
        <w:tc>
          <w:tcPr>
            <w:tcW w:w="3126" w:type="pct"/>
            <w:noWrap/>
            <w:vAlign w:val="center"/>
            <w:hideMark/>
          </w:tcPr>
          <w:p w14:paraId="43332D2E"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Memoar</w:t>
            </w:r>
            <w:proofErr w:type="spellEnd"/>
          </w:p>
        </w:tc>
        <w:tc>
          <w:tcPr>
            <w:tcW w:w="1095" w:type="pct"/>
            <w:noWrap/>
            <w:vAlign w:val="center"/>
            <w:hideMark/>
          </w:tcPr>
          <w:p w14:paraId="1D591A2D"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Norvège</w:t>
            </w:r>
          </w:p>
        </w:tc>
        <w:tc>
          <w:tcPr>
            <w:tcW w:w="779" w:type="pct"/>
            <w:noWrap/>
            <w:vAlign w:val="center"/>
            <w:hideMark/>
          </w:tcPr>
          <w:p w14:paraId="7E4DE95D"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652</w:t>
            </w:r>
          </w:p>
        </w:tc>
      </w:tr>
      <w:tr w:rsidR="00116719" w:rsidRPr="002F7C87" w14:paraId="58C5EA29" w14:textId="77777777" w:rsidTr="00D70CD5">
        <w:trPr>
          <w:trHeight w:val="624"/>
        </w:trPr>
        <w:tc>
          <w:tcPr>
            <w:tcW w:w="3129" w:type="pct"/>
            <w:shd w:val="clear" w:color="auto" w:fill="DBE5F1" w:themeFill="accent1" w:themeFillTint="33"/>
            <w:noWrap/>
            <w:vAlign w:val="center"/>
            <w:hideMark/>
          </w:tcPr>
          <w:p w14:paraId="7BF6D073"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Mim Sanat Derneği </w:t>
            </w:r>
            <w:r w:rsidRPr="002F7C87">
              <w:rPr>
                <w:rFonts w:ascii="Arial" w:hAnsi="Arial" w:cs="Arial"/>
                <w:b/>
                <w:bCs/>
                <w:sz w:val="20"/>
                <w:szCs w:val="20"/>
              </w:rPr>
              <w:br/>
            </w:r>
            <w:r w:rsidRPr="002F7C87">
              <w:rPr>
                <w:rFonts w:ascii="Arial" w:hAnsi="Arial" w:cs="Arial"/>
                <w:sz w:val="20"/>
                <w:szCs w:val="20"/>
              </w:rPr>
              <w:t>Mim Art Association</w:t>
            </w:r>
          </w:p>
        </w:tc>
        <w:tc>
          <w:tcPr>
            <w:tcW w:w="1092" w:type="pct"/>
            <w:shd w:val="clear" w:color="auto" w:fill="DBE5F1" w:themeFill="accent1" w:themeFillTint="33"/>
            <w:noWrap/>
            <w:vAlign w:val="center"/>
            <w:hideMark/>
          </w:tcPr>
          <w:p w14:paraId="46A7B5BA"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shd w:val="clear" w:color="auto" w:fill="DBE5F1" w:themeFill="accent1" w:themeFillTint="33"/>
            <w:noWrap/>
            <w:vAlign w:val="center"/>
            <w:hideMark/>
          </w:tcPr>
          <w:p w14:paraId="2AF3746B"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654</w:t>
            </w:r>
          </w:p>
        </w:tc>
      </w:tr>
      <w:tr w:rsidR="00116719" w:rsidRPr="002F7C87" w14:paraId="2B127BB3" w14:textId="77777777" w:rsidTr="00D70CD5">
        <w:trPr>
          <w:trHeight w:val="290"/>
        </w:trPr>
        <w:tc>
          <w:tcPr>
            <w:tcW w:w="3126" w:type="pct"/>
            <w:noWrap/>
            <w:vAlign w:val="center"/>
            <w:hideMark/>
          </w:tcPr>
          <w:p w14:paraId="3BB51710"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lastRenderedPageBreak/>
              <w:t xml:space="preserve">National Association of Garinagu Teachers - Garinagu </w:t>
            </w:r>
            <w:proofErr w:type="spellStart"/>
            <w:r w:rsidRPr="002F7C87">
              <w:rPr>
                <w:rFonts w:ascii="Arial" w:hAnsi="Arial" w:cs="Arial"/>
                <w:b/>
                <w:bCs/>
                <w:sz w:val="20"/>
                <w:szCs w:val="20"/>
                <w:lang w:val="en-GB"/>
              </w:rPr>
              <w:t>Dundei</w:t>
            </w:r>
            <w:proofErr w:type="spellEnd"/>
          </w:p>
        </w:tc>
        <w:tc>
          <w:tcPr>
            <w:tcW w:w="1095" w:type="pct"/>
            <w:noWrap/>
            <w:vAlign w:val="center"/>
            <w:hideMark/>
          </w:tcPr>
          <w:p w14:paraId="2D42976E"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Guatemala</w:t>
            </w:r>
          </w:p>
        </w:tc>
        <w:tc>
          <w:tcPr>
            <w:tcW w:w="779" w:type="pct"/>
            <w:noWrap/>
            <w:vAlign w:val="center"/>
            <w:hideMark/>
          </w:tcPr>
          <w:p w14:paraId="6EB82FE6"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603</w:t>
            </w:r>
          </w:p>
        </w:tc>
      </w:tr>
      <w:tr w:rsidR="00116719" w:rsidRPr="002F7C87" w14:paraId="7BE0EC0E" w14:textId="77777777" w:rsidTr="00D70CD5">
        <w:trPr>
          <w:trHeight w:val="290"/>
        </w:trPr>
        <w:tc>
          <w:tcPr>
            <w:tcW w:w="3126" w:type="pct"/>
            <w:shd w:val="clear" w:color="auto" w:fill="DBE5F1" w:themeFill="accent1" w:themeFillTint="33"/>
            <w:noWrap/>
            <w:vAlign w:val="center"/>
          </w:tcPr>
          <w:p w14:paraId="7F20404A"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 xml:space="preserve">Norsk </w:t>
            </w:r>
            <w:proofErr w:type="spellStart"/>
            <w:r w:rsidRPr="002F7C87">
              <w:rPr>
                <w:rFonts w:ascii="Arial" w:hAnsi="Arial" w:cs="Arial"/>
                <w:b/>
                <w:bCs/>
                <w:sz w:val="20"/>
                <w:szCs w:val="20"/>
                <w:lang w:val="en-GB"/>
              </w:rPr>
              <w:t>folkedraktforum</w:t>
            </w:r>
            <w:proofErr w:type="spellEnd"/>
            <w:r w:rsidRPr="002F7C87">
              <w:rPr>
                <w:rFonts w:ascii="Arial" w:hAnsi="Arial" w:cs="Arial"/>
                <w:b/>
                <w:bCs/>
                <w:sz w:val="20"/>
                <w:szCs w:val="20"/>
                <w:lang w:val="en-GB"/>
              </w:rPr>
              <w:br/>
            </w:r>
            <w:r w:rsidRPr="002F7C87">
              <w:rPr>
                <w:rFonts w:ascii="Arial" w:hAnsi="Arial" w:cs="Arial"/>
                <w:sz w:val="20"/>
                <w:szCs w:val="20"/>
                <w:lang w:val="en-GB"/>
              </w:rPr>
              <w:t>Forum for National Costumes in Norway</w:t>
            </w:r>
          </w:p>
        </w:tc>
        <w:tc>
          <w:tcPr>
            <w:tcW w:w="1095" w:type="pct"/>
            <w:shd w:val="clear" w:color="auto" w:fill="DBE5F1" w:themeFill="accent1" w:themeFillTint="33"/>
            <w:noWrap/>
            <w:vAlign w:val="center"/>
          </w:tcPr>
          <w:p w14:paraId="134F54EA"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Norvège</w:t>
            </w:r>
          </w:p>
        </w:tc>
        <w:tc>
          <w:tcPr>
            <w:tcW w:w="779" w:type="pct"/>
            <w:shd w:val="clear" w:color="auto" w:fill="DBE5F1" w:themeFill="accent1" w:themeFillTint="33"/>
            <w:noWrap/>
            <w:vAlign w:val="center"/>
          </w:tcPr>
          <w:p w14:paraId="65795C90"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598</w:t>
            </w:r>
          </w:p>
        </w:tc>
      </w:tr>
      <w:tr w:rsidR="00116719" w:rsidRPr="002F7C87" w14:paraId="597E747D" w14:textId="77777777" w:rsidTr="00D70CD5">
        <w:trPr>
          <w:trHeight w:val="624"/>
        </w:trPr>
        <w:tc>
          <w:tcPr>
            <w:tcW w:w="3129" w:type="pct"/>
            <w:noWrap/>
            <w:vAlign w:val="center"/>
            <w:hideMark/>
          </w:tcPr>
          <w:p w14:paraId="7ECCDCED"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ONG Génération </w:t>
            </w:r>
            <w:proofErr w:type="spellStart"/>
            <w:r w:rsidRPr="002F7C87">
              <w:rPr>
                <w:rFonts w:ascii="Arial" w:hAnsi="Arial" w:cs="Arial"/>
                <w:b/>
                <w:bCs/>
                <w:sz w:val="20"/>
                <w:szCs w:val="20"/>
              </w:rPr>
              <w:t>Ekang</w:t>
            </w:r>
            <w:proofErr w:type="spellEnd"/>
            <w:r w:rsidRPr="002F7C87">
              <w:rPr>
                <w:rFonts w:ascii="Arial" w:hAnsi="Arial" w:cs="Arial"/>
                <w:b/>
                <w:bCs/>
                <w:sz w:val="20"/>
                <w:szCs w:val="20"/>
              </w:rPr>
              <w:t xml:space="preserve"> - GEK</w:t>
            </w:r>
          </w:p>
        </w:tc>
        <w:tc>
          <w:tcPr>
            <w:tcW w:w="1092" w:type="pct"/>
            <w:noWrap/>
            <w:vAlign w:val="center"/>
            <w:hideMark/>
          </w:tcPr>
          <w:p w14:paraId="14447C71"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Gabon</w:t>
            </w:r>
          </w:p>
        </w:tc>
        <w:tc>
          <w:tcPr>
            <w:tcW w:w="779" w:type="pct"/>
            <w:noWrap/>
            <w:vAlign w:val="center"/>
            <w:hideMark/>
          </w:tcPr>
          <w:p w14:paraId="2266B6C5"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649</w:t>
            </w:r>
          </w:p>
        </w:tc>
      </w:tr>
      <w:tr w:rsidR="00116719" w:rsidRPr="002F7C87" w14:paraId="21496BB2" w14:textId="77777777" w:rsidTr="00D70CD5">
        <w:trPr>
          <w:trHeight w:val="290"/>
        </w:trPr>
        <w:tc>
          <w:tcPr>
            <w:tcW w:w="3126" w:type="pct"/>
            <w:shd w:val="clear" w:color="auto" w:fill="DBE5F1" w:themeFill="accent1" w:themeFillTint="33"/>
            <w:noWrap/>
            <w:vAlign w:val="center"/>
          </w:tcPr>
          <w:p w14:paraId="6347BFD7" w14:textId="77777777" w:rsidR="00116719" w:rsidRPr="002F7C87" w:rsidRDefault="00116719" w:rsidP="00D70CD5">
            <w:pPr>
              <w:spacing w:before="120" w:after="120"/>
              <w:rPr>
                <w:rFonts w:ascii="Arial" w:hAnsi="Arial" w:cs="Arial"/>
                <w:b/>
                <w:bCs/>
                <w:sz w:val="20"/>
                <w:szCs w:val="20"/>
                <w:lang w:val="en-GB"/>
              </w:rPr>
            </w:pPr>
            <w:proofErr w:type="spellStart"/>
            <w:r w:rsidRPr="002F7C87">
              <w:rPr>
                <w:rFonts w:ascii="Arial" w:hAnsi="Arial" w:cs="Arial"/>
                <w:b/>
                <w:bCs/>
                <w:sz w:val="20"/>
                <w:szCs w:val="20"/>
                <w:lang w:val="en-GB"/>
              </w:rPr>
              <w:t>Persatuan</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Penggiat</w:t>
            </w:r>
            <w:proofErr w:type="spellEnd"/>
            <w:r w:rsidRPr="002F7C87">
              <w:rPr>
                <w:rFonts w:ascii="Arial" w:hAnsi="Arial" w:cs="Arial"/>
                <w:b/>
                <w:bCs/>
                <w:sz w:val="20"/>
                <w:szCs w:val="20"/>
                <w:lang w:val="en-GB"/>
              </w:rPr>
              <w:t xml:space="preserve"> Seni Dan Kebudayaan Malaysia Kuching</w:t>
            </w:r>
            <w:r w:rsidRPr="002F7C87">
              <w:rPr>
                <w:rFonts w:ascii="Arial" w:hAnsi="Arial" w:cs="Arial"/>
                <w:b/>
                <w:bCs/>
                <w:sz w:val="20"/>
                <w:szCs w:val="20"/>
                <w:lang w:val="en-GB"/>
              </w:rPr>
              <w:br/>
            </w:r>
            <w:r w:rsidRPr="002F7C87">
              <w:rPr>
                <w:rFonts w:ascii="Arial" w:hAnsi="Arial" w:cs="Arial"/>
                <w:sz w:val="20"/>
                <w:szCs w:val="20"/>
                <w:lang w:val="en-GB"/>
              </w:rPr>
              <w:t>Malaysia Arts And Cultural Practitioners Association Kuching – MACPA</w:t>
            </w:r>
          </w:p>
        </w:tc>
        <w:tc>
          <w:tcPr>
            <w:tcW w:w="1095" w:type="pct"/>
            <w:shd w:val="clear" w:color="auto" w:fill="DBE5F1" w:themeFill="accent1" w:themeFillTint="33"/>
            <w:noWrap/>
            <w:vAlign w:val="center"/>
          </w:tcPr>
          <w:p w14:paraId="5297928A"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Malaisie</w:t>
            </w:r>
          </w:p>
        </w:tc>
        <w:tc>
          <w:tcPr>
            <w:tcW w:w="779" w:type="pct"/>
            <w:shd w:val="clear" w:color="auto" w:fill="DBE5F1" w:themeFill="accent1" w:themeFillTint="33"/>
            <w:noWrap/>
            <w:vAlign w:val="center"/>
          </w:tcPr>
          <w:p w14:paraId="1BDDA681"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669</w:t>
            </w:r>
          </w:p>
        </w:tc>
      </w:tr>
      <w:tr w:rsidR="00116719" w:rsidRPr="002F7C87" w14:paraId="4E6090F7" w14:textId="77777777" w:rsidTr="00D70CD5">
        <w:trPr>
          <w:trHeight w:val="624"/>
        </w:trPr>
        <w:tc>
          <w:tcPr>
            <w:tcW w:w="3129" w:type="pct"/>
            <w:noWrap/>
            <w:vAlign w:val="center"/>
            <w:hideMark/>
          </w:tcPr>
          <w:p w14:paraId="18B5546C" w14:textId="77777777" w:rsidR="00116719" w:rsidRPr="002F7C87" w:rsidRDefault="00116719" w:rsidP="00D70CD5">
            <w:pPr>
              <w:spacing w:before="120" w:after="120"/>
              <w:rPr>
                <w:rFonts w:ascii="Arial" w:hAnsi="Arial" w:cs="Arial"/>
                <w:b/>
                <w:bCs/>
                <w:sz w:val="20"/>
                <w:szCs w:val="20"/>
                <w:lang w:val="en-GB"/>
              </w:rPr>
            </w:pPr>
            <w:proofErr w:type="spellStart"/>
            <w:r w:rsidRPr="002F7C87">
              <w:rPr>
                <w:rFonts w:ascii="Arial" w:hAnsi="Arial" w:cs="Arial"/>
                <w:b/>
                <w:bCs/>
                <w:sz w:val="20"/>
                <w:szCs w:val="20"/>
                <w:lang w:val="en-GB"/>
              </w:rPr>
              <w:t>Persatuan</w:t>
            </w:r>
            <w:proofErr w:type="spellEnd"/>
            <w:r w:rsidRPr="002F7C87">
              <w:rPr>
                <w:rFonts w:ascii="Arial" w:hAnsi="Arial" w:cs="Arial"/>
                <w:b/>
                <w:bCs/>
                <w:sz w:val="20"/>
                <w:szCs w:val="20"/>
                <w:lang w:val="en-GB"/>
              </w:rPr>
              <w:t xml:space="preserve"> Peranakan Baba Nyonya Malaysia </w:t>
            </w:r>
            <w:r w:rsidRPr="002F7C87">
              <w:rPr>
                <w:rFonts w:ascii="Arial" w:hAnsi="Arial" w:cs="Arial"/>
                <w:b/>
                <w:bCs/>
                <w:sz w:val="20"/>
                <w:szCs w:val="20"/>
                <w:lang w:val="en-GB"/>
              </w:rPr>
              <w:br/>
            </w:r>
            <w:r w:rsidRPr="002F7C87">
              <w:rPr>
                <w:rFonts w:ascii="Arial" w:hAnsi="Arial" w:cs="Arial"/>
                <w:sz w:val="20"/>
                <w:szCs w:val="20"/>
                <w:lang w:val="en-GB"/>
              </w:rPr>
              <w:t>Baba Nyonya Association of Malaysia</w:t>
            </w:r>
          </w:p>
        </w:tc>
        <w:tc>
          <w:tcPr>
            <w:tcW w:w="1092" w:type="pct"/>
            <w:noWrap/>
            <w:vAlign w:val="center"/>
            <w:hideMark/>
          </w:tcPr>
          <w:p w14:paraId="7F74750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Malaisie</w:t>
            </w:r>
          </w:p>
        </w:tc>
        <w:tc>
          <w:tcPr>
            <w:tcW w:w="779" w:type="pct"/>
            <w:noWrap/>
            <w:vAlign w:val="center"/>
            <w:hideMark/>
          </w:tcPr>
          <w:p w14:paraId="31BA2D17"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651</w:t>
            </w:r>
          </w:p>
        </w:tc>
      </w:tr>
      <w:tr w:rsidR="00116719" w:rsidRPr="002F7C87" w14:paraId="714F24E3" w14:textId="77777777" w:rsidTr="00D70CD5">
        <w:trPr>
          <w:trHeight w:val="624"/>
        </w:trPr>
        <w:tc>
          <w:tcPr>
            <w:tcW w:w="3129" w:type="pct"/>
            <w:shd w:val="clear" w:color="auto" w:fill="DBE5F1" w:themeFill="accent1" w:themeFillTint="33"/>
            <w:noWrap/>
            <w:vAlign w:val="center"/>
            <w:hideMark/>
          </w:tcPr>
          <w:p w14:paraId="69A623C0"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Pinelands</w:t>
            </w:r>
            <w:proofErr w:type="spellEnd"/>
            <w:r w:rsidRPr="002F7C87">
              <w:rPr>
                <w:rFonts w:ascii="Arial" w:hAnsi="Arial" w:cs="Arial"/>
                <w:b/>
                <w:bCs/>
                <w:sz w:val="20"/>
                <w:szCs w:val="20"/>
              </w:rPr>
              <w:t xml:space="preserve"> Creative Workshop - PCW</w:t>
            </w:r>
          </w:p>
        </w:tc>
        <w:tc>
          <w:tcPr>
            <w:tcW w:w="1092" w:type="pct"/>
            <w:shd w:val="clear" w:color="auto" w:fill="DBE5F1" w:themeFill="accent1" w:themeFillTint="33"/>
            <w:noWrap/>
            <w:vAlign w:val="center"/>
            <w:hideMark/>
          </w:tcPr>
          <w:p w14:paraId="25B67CA8"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Barbade</w:t>
            </w:r>
          </w:p>
        </w:tc>
        <w:tc>
          <w:tcPr>
            <w:tcW w:w="779" w:type="pct"/>
            <w:shd w:val="clear" w:color="auto" w:fill="DBE5F1" w:themeFill="accent1" w:themeFillTint="33"/>
            <w:noWrap/>
            <w:vAlign w:val="center"/>
            <w:hideMark/>
          </w:tcPr>
          <w:p w14:paraId="64D8EED4"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607</w:t>
            </w:r>
          </w:p>
        </w:tc>
      </w:tr>
      <w:tr w:rsidR="00116719" w:rsidRPr="002F7C87" w14:paraId="0E9C7B76" w14:textId="77777777" w:rsidTr="00D70CD5">
        <w:trPr>
          <w:trHeight w:val="290"/>
        </w:trPr>
        <w:tc>
          <w:tcPr>
            <w:tcW w:w="3126" w:type="pct"/>
            <w:noWrap/>
            <w:vAlign w:val="center"/>
          </w:tcPr>
          <w:p w14:paraId="04470B8F"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Poetawango</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Spoken</w:t>
            </w:r>
            <w:proofErr w:type="spellEnd"/>
            <w:r w:rsidRPr="002F7C87">
              <w:rPr>
                <w:rFonts w:ascii="Arial" w:hAnsi="Arial" w:cs="Arial"/>
                <w:b/>
                <w:bCs/>
                <w:sz w:val="20"/>
                <w:szCs w:val="20"/>
              </w:rPr>
              <w:t xml:space="preserve"> Word Poetry</w:t>
            </w:r>
          </w:p>
        </w:tc>
        <w:tc>
          <w:tcPr>
            <w:tcW w:w="1095" w:type="pct"/>
            <w:noWrap/>
            <w:vAlign w:val="center"/>
          </w:tcPr>
          <w:p w14:paraId="3493206D"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Botswana</w:t>
            </w:r>
          </w:p>
        </w:tc>
        <w:tc>
          <w:tcPr>
            <w:tcW w:w="779" w:type="pct"/>
            <w:noWrap/>
            <w:vAlign w:val="center"/>
          </w:tcPr>
          <w:p w14:paraId="0B4FC746"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646</w:t>
            </w:r>
          </w:p>
        </w:tc>
      </w:tr>
      <w:tr w:rsidR="00116719" w:rsidRPr="002F7C87" w14:paraId="0D2AC2E5" w14:textId="77777777" w:rsidTr="00D70CD5">
        <w:trPr>
          <w:trHeight w:val="624"/>
        </w:trPr>
        <w:tc>
          <w:tcPr>
            <w:tcW w:w="3129" w:type="pct"/>
            <w:shd w:val="clear" w:color="auto" w:fill="DBE5F1" w:themeFill="accent1" w:themeFillTint="33"/>
            <w:noWrap/>
            <w:vAlign w:val="center"/>
            <w:hideMark/>
          </w:tcPr>
          <w:p w14:paraId="243905BB"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Proyecto</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Impacto</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Consultores</w:t>
            </w:r>
            <w:proofErr w:type="spellEnd"/>
          </w:p>
        </w:tc>
        <w:tc>
          <w:tcPr>
            <w:tcW w:w="1092" w:type="pct"/>
            <w:shd w:val="clear" w:color="auto" w:fill="DBE5F1" w:themeFill="accent1" w:themeFillTint="33"/>
            <w:noWrap/>
            <w:vAlign w:val="center"/>
            <w:hideMark/>
          </w:tcPr>
          <w:p w14:paraId="3A9DA2B0"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Mexique</w:t>
            </w:r>
          </w:p>
        </w:tc>
        <w:tc>
          <w:tcPr>
            <w:tcW w:w="779" w:type="pct"/>
            <w:shd w:val="clear" w:color="auto" w:fill="DBE5F1" w:themeFill="accent1" w:themeFillTint="33"/>
            <w:noWrap/>
            <w:vAlign w:val="center"/>
            <w:hideMark/>
          </w:tcPr>
          <w:p w14:paraId="4C7705EA"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663</w:t>
            </w:r>
          </w:p>
        </w:tc>
      </w:tr>
      <w:tr w:rsidR="00116719" w:rsidRPr="002F7C87" w14:paraId="407B0E8B" w14:textId="77777777" w:rsidTr="00D70CD5">
        <w:trPr>
          <w:trHeight w:val="624"/>
        </w:trPr>
        <w:tc>
          <w:tcPr>
            <w:tcW w:w="3129" w:type="pct"/>
            <w:noWrap/>
            <w:vAlign w:val="center"/>
            <w:hideMark/>
          </w:tcPr>
          <w:p w14:paraId="3C837959"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Sevenadurioù</w:t>
            </w:r>
            <w:proofErr w:type="spellEnd"/>
            <w:r w:rsidRPr="002F7C87">
              <w:rPr>
                <w:rFonts w:ascii="Arial" w:hAnsi="Arial" w:cs="Arial"/>
                <w:b/>
                <w:bCs/>
                <w:sz w:val="20"/>
                <w:szCs w:val="20"/>
              </w:rPr>
              <w:t xml:space="preserve"> Breizh </w:t>
            </w:r>
            <w:r w:rsidRPr="002F7C87">
              <w:rPr>
                <w:rFonts w:ascii="Arial" w:hAnsi="Arial" w:cs="Arial"/>
                <w:b/>
                <w:bCs/>
                <w:sz w:val="20"/>
                <w:szCs w:val="20"/>
              </w:rPr>
              <w:br/>
            </w:r>
            <w:r w:rsidRPr="002F7C87">
              <w:rPr>
                <w:rFonts w:ascii="Arial" w:hAnsi="Arial" w:cs="Arial"/>
                <w:sz w:val="20"/>
                <w:szCs w:val="20"/>
              </w:rPr>
              <w:t>Bretagne Culture Diversité - BCD</w:t>
            </w:r>
          </w:p>
        </w:tc>
        <w:tc>
          <w:tcPr>
            <w:tcW w:w="1092" w:type="pct"/>
            <w:noWrap/>
            <w:vAlign w:val="center"/>
            <w:hideMark/>
          </w:tcPr>
          <w:p w14:paraId="1AD320FA"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France</w:t>
            </w:r>
          </w:p>
        </w:tc>
        <w:tc>
          <w:tcPr>
            <w:tcW w:w="779" w:type="pct"/>
            <w:noWrap/>
            <w:vAlign w:val="center"/>
            <w:hideMark/>
          </w:tcPr>
          <w:p w14:paraId="30A4E1E6"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614</w:t>
            </w:r>
          </w:p>
        </w:tc>
      </w:tr>
      <w:tr w:rsidR="00116719" w:rsidRPr="002F7C87" w14:paraId="4BF760E4" w14:textId="77777777" w:rsidTr="00D70CD5">
        <w:trPr>
          <w:trHeight w:val="290"/>
        </w:trPr>
        <w:tc>
          <w:tcPr>
            <w:tcW w:w="3126" w:type="pct"/>
            <w:shd w:val="clear" w:color="auto" w:fill="DBE5F1" w:themeFill="accent1" w:themeFillTint="33"/>
            <w:noWrap/>
            <w:vAlign w:val="center"/>
            <w:hideMark/>
          </w:tcPr>
          <w:p w14:paraId="4BE9CA1B"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Slow Food Bergen</w:t>
            </w:r>
          </w:p>
        </w:tc>
        <w:tc>
          <w:tcPr>
            <w:tcW w:w="1095" w:type="pct"/>
            <w:shd w:val="clear" w:color="auto" w:fill="DBE5F1" w:themeFill="accent1" w:themeFillTint="33"/>
            <w:noWrap/>
            <w:vAlign w:val="center"/>
            <w:hideMark/>
          </w:tcPr>
          <w:p w14:paraId="62FB3EF4"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Norvège</w:t>
            </w:r>
          </w:p>
        </w:tc>
        <w:tc>
          <w:tcPr>
            <w:tcW w:w="779" w:type="pct"/>
            <w:shd w:val="clear" w:color="auto" w:fill="DBE5F1" w:themeFill="accent1" w:themeFillTint="33"/>
            <w:noWrap/>
            <w:vAlign w:val="center"/>
            <w:hideMark/>
          </w:tcPr>
          <w:p w14:paraId="5BAB0BFA"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660</w:t>
            </w:r>
          </w:p>
        </w:tc>
      </w:tr>
      <w:tr w:rsidR="00116719" w:rsidRPr="002F7C87" w14:paraId="3C6DB569" w14:textId="77777777" w:rsidTr="00D70CD5">
        <w:trPr>
          <w:trHeight w:val="624"/>
        </w:trPr>
        <w:tc>
          <w:tcPr>
            <w:tcW w:w="3129" w:type="pct"/>
            <w:noWrap/>
            <w:vAlign w:val="center"/>
            <w:hideMark/>
          </w:tcPr>
          <w:p w14:paraId="6C4CFA52"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Stichting</w:t>
            </w:r>
            <w:proofErr w:type="spellEnd"/>
            <w:r w:rsidRPr="002F7C87">
              <w:rPr>
                <w:rFonts w:ascii="Arial" w:hAnsi="Arial" w:cs="Arial"/>
                <w:b/>
                <w:bCs/>
                <w:sz w:val="20"/>
                <w:szCs w:val="20"/>
              </w:rPr>
              <w:t xml:space="preserve"> Caravane Earth</w:t>
            </w:r>
          </w:p>
        </w:tc>
        <w:tc>
          <w:tcPr>
            <w:tcW w:w="1092" w:type="pct"/>
            <w:noWrap/>
            <w:vAlign w:val="center"/>
            <w:hideMark/>
          </w:tcPr>
          <w:p w14:paraId="602C006B"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 xml:space="preserve">Pays-Bas </w:t>
            </w:r>
            <w:r w:rsidRPr="002F7C87">
              <w:rPr>
                <w:rFonts w:ascii="Arial" w:hAnsi="Arial" w:cs="Arial"/>
                <w:sz w:val="20"/>
                <w:szCs w:val="20"/>
              </w:rPr>
              <w:br/>
              <w:t>(Royaume des)</w:t>
            </w:r>
          </w:p>
        </w:tc>
        <w:tc>
          <w:tcPr>
            <w:tcW w:w="779" w:type="pct"/>
            <w:noWrap/>
            <w:vAlign w:val="center"/>
            <w:hideMark/>
          </w:tcPr>
          <w:p w14:paraId="1318E09D"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601</w:t>
            </w:r>
          </w:p>
        </w:tc>
      </w:tr>
      <w:tr w:rsidR="00116719" w:rsidRPr="002F7C87" w14:paraId="34682E1E" w14:textId="77777777" w:rsidTr="00D70CD5">
        <w:trPr>
          <w:trHeight w:val="290"/>
        </w:trPr>
        <w:tc>
          <w:tcPr>
            <w:tcW w:w="3126" w:type="pct"/>
            <w:shd w:val="clear" w:color="auto" w:fill="DBE5F1" w:themeFill="accent1" w:themeFillTint="33"/>
            <w:noWrap/>
            <w:vAlign w:val="center"/>
          </w:tcPr>
          <w:p w14:paraId="57D556D5" w14:textId="77777777" w:rsidR="00116719" w:rsidRPr="002F7C87" w:rsidRDefault="00116719" w:rsidP="00D70CD5">
            <w:pPr>
              <w:spacing w:before="120" w:after="120"/>
              <w:rPr>
                <w:rFonts w:ascii="Arial" w:hAnsi="Arial" w:cs="Arial"/>
                <w:b/>
                <w:bCs/>
                <w:sz w:val="20"/>
                <w:szCs w:val="20"/>
                <w:lang w:val="en-GB"/>
              </w:rPr>
            </w:pPr>
            <w:proofErr w:type="spellStart"/>
            <w:r w:rsidRPr="002F7C87">
              <w:rPr>
                <w:rFonts w:ascii="Arial" w:hAnsi="Arial" w:cs="Arial"/>
                <w:b/>
                <w:bCs/>
                <w:sz w:val="20"/>
                <w:szCs w:val="20"/>
                <w:lang w:val="en-GB"/>
              </w:rPr>
              <w:t>Stiftelsen</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Länsmuseet</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Västernorrland</w:t>
            </w:r>
            <w:proofErr w:type="spellEnd"/>
            <w:r w:rsidRPr="002F7C87">
              <w:rPr>
                <w:rFonts w:ascii="Arial" w:hAnsi="Arial" w:cs="Arial"/>
                <w:b/>
                <w:bCs/>
                <w:sz w:val="20"/>
                <w:szCs w:val="20"/>
                <w:lang w:val="en-GB"/>
              </w:rPr>
              <w:br/>
            </w:r>
            <w:proofErr w:type="spellStart"/>
            <w:r w:rsidRPr="002F7C87">
              <w:rPr>
                <w:rFonts w:ascii="Arial" w:hAnsi="Arial" w:cs="Arial"/>
                <w:sz w:val="20"/>
                <w:szCs w:val="20"/>
                <w:lang w:val="en-GB"/>
              </w:rPr>
              <w:t>Västernorrland</w:t>
            </w:r>
            <w:proofErr w:type="spellEnd"/>
            <w:r w:rsidRPr="002F7C87">
              <w:rPr>
                <w:rFonts w:ascii="Arial" w:hAnsi="Arial" w:cs="Arial"/>
                <w:sz w:val="20"/>
                <w:szCs w:val="20"/>
                <w:lang w:val="en-GB"/>
              </w:rPr>
              <w:t xml:space="preserve"> County Museum Foundation</w:t>
            </w:r>
          </w:p>
        </w:tc>
        <w:tc>
          <w:tcPr>
            <w:tcW w:w="1095" w:type="pct"/>
            <w:shd w:val="clear" w:color="auto" w:fill="DBE5F1" w:themeFill="accent1" w:themeFillTint="33"/>
            <w:noWrap/>
            <w:vAlign w:val="center"/>
          </w:tcPr>
          <w:p w14:paraId="2E71137B"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Suède</w:t>
            </w:r>
          </w:p>
        </w:tc>
        <w:tc>
          <w:tcPr>
            <w:tcW w:w="779" w:type="pct"/>
            <w:shd w:val="clear" w:color="auto" w:fill="DBE5F1" w:themeFill="accent1" w:themeFillTint="33"/>
            <w:noWrap/>
            <w:vAlign w:val="center"/>
          </w:tcPr>
          <w:p w14:paraId="430510F4"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626</w:t>
            </w:r>
          </w:p>
        </w:tc>
      </w:tr>
      <w:tr w:rsidR="00116719" w:rsidRPr="002F7C87" w14:paraId="2828BA3C" w14:textId="77777777" w:rsidTr="00D70CD5">
        <w:trPr>
          <w:trHeight w:val="624"/>
        </w:trPr>
        <w:tc>
          <w:tcPr>
            <w:tcW w:w="3129" w:type="pct"/>
            <w:noWrap/>
            <w:vAlign w:val="center"/>
            <w:hideMark/>
          </w:tcPr>
          <w:p w14:paraId="1BBE07B2"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Sylvia Lanka </w:t>
            </w:r>
            <w:proofErr w:type="spellStart"/>
            <w:r w:rsidRPr="002F7C87">
              <w:rPr>
                <w:rFonts w:ascii="Arial" w:hAnsi="Arial" w:cs="Arial"/>
                <w:b/>
                <w:bCs/>
                <w:sz w:val="20"/>
                <w:szCs w:val="20"/>
              </w:rPr>
              <w:t>Foundation</w:t>
            </w:r>
            <w:proofErr w:type="spellEnd"/>
            <w:r w:rsidRPr="002F7C87">
              <w:rPr>
                <w:rFonts w:ascii="Arial" w:hAnsi="Arial" w:cs="Arial"/>
                <w:b/>
                <w:bCs/>
                <w:sz w:val="20"/>
                <w:szCs w:val="20"/>
              </w:rPr>
              <w:t xml:space="preserve"> - SLF</w:t>
            </w:r>
          </w:p>
        </w:tc>
        <w:tc>
          <w:tcPr>
            <w:tcW w:w="1092" w:type="pct"/>
            <w:noWrap/>
            <w:vAlign w:val="center"/>
            <w:hideMark/>
          </w:tcPr>
          <w:p w14:paraId="643A067D"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Royaume-Uni de Grande-Bretagne et d</w:t>
            </w:r>
            <w:r>
              <w:rPr>
                <w:rFonts w:ascii="Arial" w:hAnsi="Arial" w:cs="Arial"/>
                <w:sz w:val="20"/>
                <w:szCs w:val="20"/>
              </w:rPr>
              <w:t>’</w:t>
            </w:r>
            <w:r w:rsidRPr="002F7C87">
              <w:rPr>
                <w:rFonts w:ascii="Arial" w:hAnsi="Arial" w:cs="Arial"/>
                <w:sz w:val="20"/>
                <w:szCs w:val="20"/>
              </w:rPr>
              <w:t>Irlande du Nord</w:t>
            </w:r>
          </w:p>
        </w:tc>
        <w:tc>
          <w:tcPr>
            <w:tcW w:w="779" w:type="pct"/>
            <w:noWrap/>
            <w:vAlign w:val="center"/>
            <w:hideMark/>
          </w:tcPr>
          <w:p w14:paraId="2117C68C"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605</w:t>
            </w:r>
          </w:p>
        </w:tc>
      </w:tr>
      <w:tr w:rsidR="00116719" w:rsidRPr="002F7C87" w14:paraId="5AD23723" w14:textId="77777777" w:rsidTr="00D70CD5">
        <w:trPr>
          <w:trHeight w:val="624"/>
        </w:trPr>
        <w:tc>
          <w:tcPr>
            <w:tcW w:w="3129" w:type="pct"/>
            <w:shd w:val="clear" w:color="auto" w:fill="DBE5F1" w:themeFill="accent1" w:themeFillTint="33"/>
            <w:noWrap/>
            <w:vAlign w:val="center"/>
            <w:hideMark/>
          </w:tcPr>
          <w:p w14:paraId="3D7D4D50"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t xml:space="preserve">Théâtre des Arts Vivants - TAV </w:t>
            </w:r>
            <w:r w:rsidRPr="002F7C87">
              <w:rPr>
                <w:rFonts w:ascii="Arial" w:hAnsi="Arial" w:cs="Arial"/>
                <w:b/>
                <w:bCs/>
                <w:sz w:val="20"/>
                <w:szCs w:val="20"/>
              </w:rPr>
              <w:br/>
            </w:r>
            <w:r w:rsidRPr="002F7C87">
              <w:rPr>
                <w:rFonts w:ascii="Arial" w:hAnsi="Arial" w:cs="Arial"/>
                <w:sz w:val="20"/>
                <w:szCs w:val="20"/>
              </w:rPr>
              <w:t>Living Arts Theatre</w:t>
            </w:r>
          </w:p>
        </w:tc>
        <w:tc>
          <w:tcPr>
            <w:tcW w:w="1092" w:type="pct"/>
            <w:shd w:val="clear" w:color="auto" w:fill="DBE5F1" w:themeFill="accent1" w:themeFillTint="33"/>
            <w:noWrap/>
            <w:vAlign w:val="center"/>
            <w:hideMark/>
          </w:tcPr>
          <w:p w14:paraId="0B0BD4C7"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France</w:t>
            </w:r>
          </w:p>
        </w:tc>
        <w:tc>
          <w:tcPr>
            <w:tcW w:w="779" w:type="pct"/>
            <w:shd w:val="clear" w:color="auto" w:fill="DBE5F1" w:themeFill="accent1" w:themeFillTint="33"/>
            <w:noWrap/>
            <w:vAlign w:val="center"/>
            <w:hideMark/>
          </w:tcPr>
          <w:p w14:paraId="5FEE7A2F"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680</w:t>
            </w:r>
          </w:p>
        </w:tc>
      </w:tr>
      <w:tr w:rsidR="00116719" w:rsidRPr="002F7C87" w14:paraId="302DCFD8" w14:textId="77777777" w:rsidTr="00D70CD5">
        <w:trPr>
          <w:trHeight w:val="290"/>
        </w:trPr>
        <w:tc>
          <w:tcPr>
            <w:tcW w:w="3126" w:type="pct"/>
            <w:noWrap/>
            <w:vAlign w:val="center"/>
            <w:hideMark/>
          </w:tcPr>
          <w:p w14:paraId="4D9A204B"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 xml:space="preserve">Trung </w:t>
            </w:r>
            <w:proofErr w:type="spellStart"/>
            <w:r w:rsidRPr="002F7C87">
              <w:rPr>
                <w:rFonts w:ascii="Arial" w:hAnsi="Arial" w:cs="Arial"/>
                <w:b/>
                <w:bCs/>
                <w:sz w:val="20"/>
                <w:szCs w:val="20"/>
                <w:lang w:val="en-GB"/>
              </w:rPr>
              <w:t>tâm</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Nghiên</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cứu</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và</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Phát</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huy</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giá</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trị</w:t>
            </w:r>
            <w:proofErr w:type="spellEnd"/>
            <w:r w:rsidRPr="002F7C87">
              <w:rPr>
                <w:rFonts w:ascii="Arial" w:hAnsi="Arial" w:cs="Arial"/>
                <w:b/>
                <w:bCs/>
                <w:sz w:val="20"/>
                <w:szCs w:val="20"/>
                <w:lang w:val="en-GB"/>
              </w:rPr>
              <w:t xml:space="preserve"> di </w:t>
            </w:r>
            <w:proofErr w:type="spellStart"/>
            <w:r w:rsidRPr="002F7C87">
              <w:rPr>
                <w:rFonts w:ascii="Arial" w:hAnsi="Arial" w:cs="Arial"/>
                <w:b/>
                <w:bCs/>
                <w:sz w:val="20"/>
                <w:szCs w:val="20"/>
                <w:lang w:val="en-GB"/>
              </w:rPr>
              <w:t>sản</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văn</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hóa</w:t>
            </w:r>
            <w:proofErr w:type="spellEnd"/>
            <w:r w:rsidRPr="002F7C87">
              <w:rPr>
                <w:rFonts w:ascii="Arial" w:hAnsi="Arial" w:cs="Arial"/>
                <w:b/>
                <w:bCs/>
                <w:sz w:val="20"/>
                <w:szCs w:val="20"/>
                <w:lang w:val="en-GB"/>
              </w:rPr>
              <w:t xml:space="preserve"> </w:t>
            </w:r>
            <w:r w:rsidRPr="002F7C87">
              <w:rPr>
                <w:rFonts w:ascii="Arial" w:hAnsi="Arial" w:cs="Arial"/>
                <w:b/>
                <w:bCs/>
                <w:sz w:val="20"/>
                <w:szCs w:val="20"/>
                <w:lang w:val="en-GB"/>
              </w:rPr>
              <w:br/>
            </w:r>
            <w:r w:rsidRPr="002F7C87">
              <w:rPr>
                <w:rFonts w:ascii="Arial" w:hAnsi="Arial" w:cs="Arial"/>
                <w:sz w:val="20"/>
                <w:szCs w:val="20"/>
                <w:lang w:val="en-GB"/>
              </w:rPr>
              <w:t>Center for Research and Promotion of Cultural Heritage - CCH</w:t>
            </w:r>
          </w:p>
        </w:tc>
        <w:tc>
          <w:tcPr>
            <w:tcW w:w="1095" w:type="pct"/>
            <w:noWrap/>
            <w:vAlign w:val="center"/>
            <w:hideMark/>
          </w:tcPr>
          <w:p w14:paraId="2CD5AA46"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Viet Nam</w:t>
            </w:r>
          </w:p>
        </w:tc>
        <w:tc>
          <w:tcPr>
            <w:tcW w:w="779" w:type="pct"/>
            <w:noWrap/>
            <w:vAlign w:val="center"/>
            <w:hideMark/>
          </w:tcPr>
          <w:p w14:paraId="1BF20EC8"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666</w:t>
            </w:r>
          </w:p>
        </w:tc>
      </w:tr>
      <w:tr w:rsidR="00116719" w:rsidRPr="002F7C87" w14:paraId="21056EFC" w14:textId="77777777" w:rsidTr="00D70CD5">
        <w:trPr>
          <w:trHeight w:val="290"/>
        </w:trPr>
        <w:tc>
          <w:tcPr>
            <w:tcW w:w="3126" w:type="pct"/>
            <w:shd w:val="clear" w:color="auto" w:fill="DBE5F1" w:themeFill="accent1" w:themeFillTint="33"/>
            <w:noWrap/>
            <w:vAlign w:val="center"/>
          </w:tcPr>
          <w:p w14:paraId="688B6C5B" w14:textId="77777777" w:rsidR="00116719" w:rsidRPr="002F7C87" w:rsidRDefault="00116719" w:rsidP="00D70CD5">
            <w:pPr>
              <w:spacing w:before="120" w:after="120"/>
              <w:rPr>
                <w:rFonts w:ascii="Arial" w:hAnsi="Arial" w:cs="Arial"/>
                <w:b/>
                <w:bCs/>
                <w:sz w:val="20"/>
                <w:szCs w:val="20"/>
                <w:lang w:val="en-GB"/>
              </w:rPr>
            </w:pPr>
            <w:proofErr w:type="spellStart"/>
            <w:r w:rsidRPr="002F7C87">
              <w:rPr>
                <w:rFonts w:ascii="Arial" w:hAnsi="Arial" w:cs="Arial"/>
                <w:b/>
                <w:bCs/>
                <w:sz w:val="20"/>
                <w:szCs w:val="20"/>
                <w:lang w:val="en-GB"/>
              </w:rPr>
              <w:t>Udruženje</w:t>
            </w:r>
            <w:proofErr w:type="spellEnd"/>
            <w:r w:rsidRPr="002F7C87">
              <w:rPr>
                <w:rFonts w:ascii="Arial" w:hAnsi="Arial" w:cs="Arial"/>
                <w:b/>
                <w:bCs/>
                <w:sz w:val="20"/>
                <w:szCs w:val="20"/>
                <w:lang w:val="en-GB"/>
              </w:rPr>
              <w:t xml:space="preserve"> za </w:t>
            </w:r>
            <w:proofErr w:type="spellStart"/>
            <w:r w:rsidRPr="002F7C87">
              <w:rPr>
                <w:rFonts w:ascii="Arial" w:hAnsi="Arial" w:cs="Arial"/>
                <w:b/>
                <w:bCs/>
                <w:sz w:val="20"/>
                <w:szCs w:val="20"/>
                <w:lang w:val="en-GB"/>
              </w:rPr>
              <w:t>istraživanje</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očuvanje</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i</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prezentaciju</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tradicije</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i</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kulturne</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baštine</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naroda</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i</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nacionalnih</w:t>
            </w:r>
            <w:proofErr w:type="spellEnd"/>
            <w:r w:rsidRPr="002F7C87">
              <w:rPr>
                <w:rFonts w:ascii="Arial" w:hAnsi="Arial" w:cs="Arial"/>
                <w:b/>
                <w:bCs/>
                <w:sz w:val="20"/>
                <w:szCs w:val="20"/>
                <w:lang w:val="en-GB"/>
              </w:rPr>
              <w:t xml:space="preserve"> </w:t>
            </w:r>
            <w:proofErr w:type="spellStart"/>
            <w:r w:rsidRPr="002F7C87">
              <w:rPr>
                <w:rFonts w:ascii="Arial" w:hAnsi="Arial" w:cs="Arial"/>
                <w:b/>
                <w:bCs/>
                <w:sz w:val="20"/>
                <w:szCs w:val="20"/>
                <w:lang w:val="en-GB"/>
              </w:rPr>
              <w:t>manjina</w:t>
            </w:r>
            <w:proofErr w:type="spellEnd"/>
            <w:r w:rsidRPr="002F7C87">
              <w:rPr>
                <w:rFonts w:ascii="Arial" w:hAnsi="Arial" w:cs="Arial"/>
                <w:b/>
                <w:bCs/>
                <w:sz w:val="20"/>
                <w:szCs w:val="20"/>
                <w:lang w:val="en-GB"/>
              </w:rPr>
              <w:br/>
            </w:r>
            <w:r w:rsidRPr="002F7C87">
              <w:rPr>
                <w:rFonts w:ascii="Arial" w:hAnsi="Arial" w:cs="Arial"/>
                <w:sz w:val="20"/>
                <w:szCs w:val="20"/>
                <w:lang w:val="en-GB"/>
              </w:rPr>
              <w:t>Association for research, preservation and presentation of the tradition and cultural heritage of the people and national minorities</w:t>
            </w:r>
          </w:p>
        </w:tc>
        <w:tc>
          <w:tcPr>
            <w:tcW w:w="1095" w:type="pct"/>
            <w:shd w:val="clear" w:color="auto" w:fill="DBE5F1" w:themeFill="accent1" w:themeFillTint="33"/>
            <w:noWrap/>
            <w:vAlign w:val="center"/>
          </w:tcPr>
          <w:p w14:paraId="47C8C58F"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Bosnie-Herzégovine</w:t>
            </w:r>
          </w:p>
        </w:tc>
        <w:tc>
          <w:tcPr>
            <w:tcW w:w="779" w:type="pct"/>
            <w:shd w:val="clear" w:color="auto" w:fill="DBE5F1" w:themeFill="accent1" w:themeFillTint="33"/>
            <w:noWrap/>
            <w:vAlign w:val="center"/>
          </w:tcPr>
          <w:p w14:paraId="7C4FEB5E"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636</w:t>
            </w:r>
          </w:p>
        </w:tc>
      </w:tr>
      <w:tr w:rsidR="00116719" w:rsidRPr="002F7C87" w14:paraId="6371714A" w14:textId="77777777" w:rsidTr="00D70CD5">
        <w:trPr>
          <w:trHeight w:val="290"/>
        </w:trPr>
        <w:tc>
          <w:tcPr>
            <w:tcW w:w="3126" w:type="pct"/>
            <w:noWrap/>
            <w:vAlign w:val="center"/>
            <w:hideMark/>
          </w:tcPr>
          <w:p w14:paraId="687F7A82" w14:textId="77777777" w:rsidR="00116719" w:rsidRPr="001711D4" w:rsidRDefault="00116719" w:rsidP="00D70CD5">
            <w:pPr>
              <w:spacing w:before="120" w:after="120"/>
              <w:rPr>
                <w:rFonts w:ascii="Arial" w:hAnsi="Arial" w:cs="Arial"/>
                <w:b/>
                <w:bCs/>
                <w:sz w:val="20"/>
                <w:szCs w:val="20"/>
                <w:lang w:val="it-IT"/>
              </w:rPr>
            </w:pPr>
            <w:r w:rsidRPr="001711D4">
              <w:rPr>
                <w:rFonts w:ascii="Arial" w:hAnsi="Arial" w:cs="Arial"/>
                <w:b/>
                <w:bCs/>
                <w:sz w:val="20"/>
                <w:szCs w:val="20"/>
                <w:lang w:val="it-IT"/>
              </w:rPr>
              <w:t xml:space="preserve">UNIMA Türkiye Millî Merkezi </w:t>
            </w:r>
            <w:r w:rsidRPr="001711D4">
              <w:rPr>
                <w:rFonts w:ascii="Arial" w:hAnsi="Arial" w:cs="Arial"/>
                <w:b/>
                <w:bCs/>
                <w:sz w:val="20"/>
                <w:szCs w:val="20"/>
                <w:lang w:val="it-IT"/>
              </w:rPr>
              <w:br/>
            </w:r>
            <w:r w:rsidRPr="001711D4">
              <w:rPr>
                <w:rFonts w:ascii="Arial" w:hAnsi="Arial" w:cs="Arial"/>
                <w:sz w:val="20"/>
                <w:szCs w:val="20"/>
                <w:lang w:val="it-IT"/>
              </w:rPr>
              <w:t>UNIMA Türkiye National Center</w:t>
            </w:r>
          </w:p>
        </w:tc>
        <w:tc>
          <w:tcPr>
            <w:tcW w:w="1095" w:type="pct"/>
            <w:noWrap/>
            <w:vAlign w:val="center"/>
            <w:hideMark/>
          </w:tcPr>
          <w:p w14:paraId="7D8BB992"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noWrap/>
            <w:vAlign w:val="center"/>
            <w:hideMark/>
          </w:tcPr>
          <w:p w14:paraId="745B08E7"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673</w:t>
            </w:r>
          </w:p>
        </w:tc>
      </w:tr>
      <w:tr w:rsidR="00116719" w:rsidRPr="002F7C87" w14:paraId="08FBB6A2" w14:textId="77777777" w:rsidTr="00D70CD5">
        <w:trPr>
          <w:trHeight w:val="290"/>
        </w:trPr>
        <w:tc>
          <w:tcPr>
            <w:tcW w:w="3126" w:type="pct"/>
            <w:shd w:val="clear" w:color="auto" w:fill="DBE5F1" w:themeFill="accent1" w:themeFillTint="33"/>
            <w:noWrap/>
            <w:vAlign w:val="center"/>
            <w:hideMark/>
          </w:tcPr>
          <w:p w14:paraId="121408F7" w14:textId="77777777" w:rsidR="00116719" w:rsidRPr="002F7C87" w:rsidRDefault="00116719" w:rsidP="00D70CD5">
            <w:pPr>
              <w:spacing w:before="120" w:after="120"/>
              <w:rPr>
                <w:rFonts w:ascii="Arial" w:hAnsi="Arial" w:cs="Arial"/>
                <w:b/>
                <w:bCs/>
                <w:sz w:val="20"/>
                <w:szCs w:val="20"/>
                <w:lang w:val="en-GB"/>
              </w:rPr>
            </w:pPr>
            <w:r w:rsidRPr="002F7C87">
              <w:rPr>
                <w:rFonts w:ascii="Arial" w:hAnsi="Arial" w:cs="Arial"/>
                <w:b/>
                <w:bCs/>
                <w:sz w:val="20"/>
                <w:szCs w:val="20"/>
                <w:lang w:val="en-GB"/>
              </w:rPr>
              <w:t>World Intangible Cultural Heritage Protection and Development Foundation, Inc. - WICHPDF</w:t>
            </w:r>
          </w:p>
        </w:tc>
        <w:tc>
          <w:tcPr>
            <w:tcW w:w="1095" w:type="pct"/>
            <w:shd w:val="clear" w:color="auto" w:fill="DBE5F1" w:themeFill="accent1" w:themeFillTint="33"/>
            <w:noWrap/>
            <w:vAlign w:val="center"/>
            <w:hideMark/>
          </w:tcPr>
          <w:p w14:paraId="25A8A07B"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États-Unis d</w:t>
            </w:r>
            <w:r>
              <w:rPr>
                <w:rFonts w:ascii="Arial" w:hAnsi="Arial" w:cs="Arial"/>
                <w:sz w:val="20"/>
                <w:szCs w:val="20"/>
              </w:rPr>
              <w:t>’</w:t>
            </w:r>
            <w:r w:rsidRPr="002F7C87">
              <w:rPr>
                <w:rFonts w:ascii="Arial" w:hAnsi="Arial" w:cs="Arial"/>
                <w:sz w:val="20"/>
                <w:szCs w:val="20"/>
              </w:rPr>
              <w:t>Amérique</w:t>
            </w:r>
          </w:p>
        </w:tc>
        <w:tc>
          <w:tcPr>
            <w:tcW w:w="779" w:type="pct"/>
            <w:shd w:val="clear" w:color="auto" w:fill="DBE5F1" w:themeFill="accent1" w:themeFillTint="33"/>
            <w:noWrap/>
            <w:vAlign w:val="center"/>
            <w:hideMark/>
          </w:tcPr>
          <w:p w14:paraId="512163BA"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685</w:t>
            </w:r>
          </w:p>
        </w:tc>
      </w:tr>
      <w:tr w:rsidR="00116719" w:rsidRPr="002F7C87" w14:paraId="798F670B" w14:textId="77777777" w:rsidTr="00D70CD5">
        <w:trPr>
          <w:trHeight w:val="290"/>
        </w:trPr>
        <w:tc>
          <w:tcPr>
            <w:tcW w:w="3126" w:type="pct"/>
            <w:noWrap/>
            <w:vAlign w:val="center"/>
          </w:tcPr>
          <w:p w14:paraId="3B9A1315"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Yolda</w:t>
            </w:r>
            <w:proofErr w:type="spellEnd"/>
            <w:r w:rsidRPr="002F7C87">
              <w:rPr>
                <w:rFonts w:ascii="Arial" w:hAnsi="Arial" w:cs="Arial"/>
                <w:b/>
                <w:bCs/>
                <w:sz w:val="20"/>
                <w:szCs w:val="20"/>
              </w:rPr>
              <w:t xml:space="preserve"> Derneği</w:t>
            </w:r>
            <w:r w:rsidRPr="002F7C87">
              <w:rPr>
                <w:rFonts w:ascii="Arial" w:hAnsi="Arial" w:cs="Arial"/>
                <w:b/>
                <w:bCs/>
                <w:sz w:val="20"/>
                <w:szCs w:val="20"/>
              </w:rPr>
              <w:br/>
            </w:r>
            <w:r w:rsidRPr="002F7C87">
              <w:rPr>
                <w:rFonts w:ascii="Arial" w:hAnsi="Arial" w:cs="Arial"/>
                <w:sz w:val="20"/>
                <w:szCs w:val="20"/>
              </w:rPr>
              <w:t>Yolda Association</w:t>
            </w:r>
            <w:r w:rsidRPr="002F7C87">
              <w:rPr>
                <w:rFonts w:ascii="Arial" w:hAnsi="Arial" w:cs="Arial"/>
                <w:b/>
                <w:bCs/>
                <w:sz w:val="20"/>
                <w:szCs w:val="20"/>
              </w:rPr>
              <w:tab/>
            </w:r>
          </w:p>
        </w:tc>
        <w:tc>
          <w:tcPr>
            <w:tcW w:w="1095" w:type="pct"/>
            <w:noWrap/>
            <w:vAlign w:val="center"/>
          </w:tcPr>
          <w:p w14:paraId="20DAE93E"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Türkiye</w:t>
            </w:r>
          </w:p>
        </w:tc>
        <w:tc>
          <w:tcPr>
            <w:tcW w:w="779" w:type="pct"/>
            <w:noWrap/>
            <w:vAlign w:val="center"/>
          </w:tcPr>
          <w:p w14:paraId="0932B67C"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622</w:t>
            </w:r>
          </w:p>
        </w:tc>
      </w:tr>
      <w:tr w:rsidR="00116719" w:rsidRPr="002F7C87" w14:paraId="51133992" w14:textId="77777777" w:rsidTr="00D70CD5">
        <w:trPr>
          <w:trHeight w:val="624"/>
        </w:trPr>
        <w:tc>
          <w:tcPr>
            <w:tcW w:w="3129" w:type="pct"/>
            <w:shd w:val="clear" w:color="auto" w:fill="DBE5F1" w:themeFill="accent1" w:themeFillTint="33"/>
            <w:noWrap/>
            <w:vAlign w:val="center"/>
            <w:hideMark/>
          </w:tcPr>
          <w:p w14:paraId="0D711373" w14:textId="77777777" w:rsidR="00116719" w:rsidRPr="002F7C87" w:rsidRDefault="00116719" w:rsidP="00D70CD5">
            <w:pPr>
              <w:spacing w:before="120" w:after="120"/>
              <w:rPr>
                <w:rFonts w:ascii="Arial" w:hAnsi="Arial" w:cs="Arial"/>
                <w:b/>
                <w:bCs/>
                <w:sz w:val="20"/>
                <w:szCs w:val="20"/>
              </w:rPr>
            </w:pPr>
            <w:r w:rsidRPr="002F7C87">
              <w:rPr>
                <w:rFonts w:ascii="Arial" w:hAnsi="Arial" w:cs="Arial"/>
                <w:b/>
                <w:bCs/>
                <w:sz w:val="20"/>
                <w:szCs w:val="20"/>
              </w:rPr>
              <w:lastRenderedPageBreak/>
              <w:t xml:space="preserve">АЛЄМ </w:t>
            </w:r>
            <w:r w:rsidRPr="002F7C87">
              <w:rPr>
                <w:rFonts w:ascii="Arial" w:hAnsi="Arial" w:cs="Arial"/>
                <w:b/>
                <w:bCs/>
                <w:sz w:val="20"/>
                <w:szCs w:val="20"/>
              </w:rPr>
              <w:br/>
            </w:r>
            <w:r w:rsidRPr="002F7C87">
              <w:rPr>
                <w:rFonts w:ascii="Arial" w:hAnsi="Arial" w:cs="Arial"/>
                <w:sz w:val="20"/>
                <w:szCs w:val="20"/>
              </w:rPr>
              <w:t>ALEM</w:t>
            </w:r>
          </w:p>
        </w:tc>
        <w:tc>
          <w:tcPr>
            <w:tcW w:w="1092" w:type="pct"/>
            <w:shd w:val="clear" w:color="auto" w:fill="DBE5F1" w:themeFill="accent1" w:themeFillTint="33"/>
            <w:noWrap/>
            <w:vAlign w:val="center"/>
            <w:hideMark/>
          </w:tcPr>
          <w:p w14:paraId="4603DF65"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Ukraine</w:t>
            </w:r>
          </w:p>
        </w:tc>
        <w:tc>
          <w:tcPr>
            <w:tcW w:w="779" w:type="pct"/>
            <w:shd w:val="clear" w:color="auto" w:fill="DBE5F1" w:themeFill="accent1" w:themeFillTint="33"/>
            <w:noWrap/>
            <w:vAlign w:val="center"/>
            <w:hideMark/>
          </w:tcPr>
          <w:p w14:paraId="1D9DFD83"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609</w:t>
            </w:r>
          </w:p>
        </w:tc>
      </w:tr>
      <w:tr w:rsidR="00116719" w:rsidRPr="002F7C87" w14:paraId="63F0576F" w14:textId="77777777" w:rsidTr="00D70CD5">
        <w:trPr>
          <w:trHeight w:val="624"/>
        </w:trPr>
        <w:tc>
          <w:tcPr>
            <w:tcW w:w="3129" w:type="pct"/>
            <w:noWrap/>
            <w:vAlign w:val="center"/>
            <w:hideMark/>
          </w:tcPr>
          <w:p w14:paraId="69946B9B" w14:textId="77777777" w:rsidR="00116719" w:rsidRPr="002F7C87"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Pr>
              <w:t>Մշակույթը</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հանուն</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կայուն</w:t>
            </w:r>
            <w:proofErr w:type="spellEnd"/>
            <w:r w:rsidRPr="002F7C87">
              <w:rPr>
                <w:rFonts w:ascii="Arial" w:hAnsi="Arial" w:cs="Arial"/>
                <w:b/>
                <w:bCs/>
                <w:sz w:val="20"/>
                <w:szCs w:val="20"/>
              </w:rPr>
              <w:t xml:space="preserve"> </w:t>
            </w:r>
            <w:proofErr w:type="spellStart"/>
            <w:r w:rsidRPr="002F7C87">
              <w:rPr>
                <w:rFonts w:ascii="Arial" w:hAnsi="Arial" w:cs="Arial"/>
                <w:b/>
                <w:bCs/>
                <w:sz w:val="20"/>
                <w:szCs w:val="20"/>
              </w:rPr>
              <w:t>զարգացման</w:t>
            </w:r>
            <w:proofErr w:type="spellEnd"/>
            <w:r w:rsidRPr="002F7C87">
              <w:rPr>
                <w:rFonts w:ascii="Arial" w:hAnsi="Arial" w:cs="Arial"/>
                <w:b/>
                <w:bCs/>
                <w:sz w:val="20"/>
                <w:szCs w:val="20"/>
              </w:rPr>
              <w:t xml:space="preserve"> </w:t>
            </w:r>
            <w:r w:rsidRPr="002F7C87">
              <w:rPr>
                <w:rFonts w:ascii="Arial" w:hAnsi="Arial" w:cs="Arial"/>
                <w:b/>
                <w:bCs/>
                <w:sz w:val="20"/>
                <w:szCs w:val="20"/>
              </w:rPr>
              <w:br/>
            </w:r>
            <w:r w:rsidRPr="002F7C87">
              <w:rPr>
                <w:rFonts w:ascii="Arial" w:hAnsi="Arial" w:cs="Arial"/>
                <w:sz w:val="20"/>
                <w:szCs w:val="20"/>
              </w:rPr>
              <w:t xml:space="preserve">Culture for </w:t>
            </w:r>
            <w:proofErr w:type="spellStart"/>
            <w:r w:rsidRPr="002F7C87">
              <w:rPr>
                <w:rFonts w:ascii="Arial" w:hAnsi="Arial" w:cs="Arial"/>
                <w:sz w:val="20"/>
                <w:szCs w:val="20"/>
              </w:rPr>
              <w:t>Sustainable</w:t>
            </w:r>
            <w:proofErr w:type="spellEnd"/>
            <w:r w:rsidRPr="002F7C87">
              <w:rPr>
                <w:rFonts w:ascii="Arial" w:hAnsi="Arial" w:cs="Arial"/>
                <w:sz w:val="20"/>
                <w:szCs w:val="20"/>
              </w:rPr>
              <w:t xml:space="preserve"> Development</w:t>
            </w:r>
          </w:p>
        </w:tc>
        <w:tc>
          <w:tcPr>
            <w:tcW w:w="1092" w:type="pct"/>
            <w:noWrap/>
            <w:vAlign w:val="center"/>
            <w:hideMark/>
          </w:tcPr>
          <w:p w14:paraId="7DF103C7" w14:textId="77777777" w:rsidR="00116719" w:rsidRPr="002F7C87" w:rsidRDefault="00116719" w:rsidP="00D70CD5">
            <w:pPr>
              <w:spacing w:before="120" w:after="120"/>
              <w:jc w:val="center"/>
              <w:rPr>
                <w:rFonts w:ascii="Arial" w:hAnsi="Arial" w:cs="Arial"/>
                <w:sz w:val="20"/>
                <w:szCs w:val="20"/>
              </w:rPr>
            </w:pPr>
            <w:r w:rsidRPr="002F7C87">
              <w:rPr>
                <w:rFonts w:ascii="Arial" w:hAnsi="Arial" w:cs="Arial"/>
                <w:sz w:val="20"/>
                <w:szCs w:val="20"/>
              </w:rPr>
              <w:t>Arménie</w:t>
            </w:r>
          </w:p>
        </w:tc>
        <w:tc>
          <w:tcPr>
            <w:tcW w:w="779" w:type="pct"/>
            <w:noWrap/>
            <w:vAlign w:val="center"/>
            <w:hideMark/>
          </w:tcPr>
          <w:p w14:paraId="222AEDC5"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632</w:t>
            </w:r>
          </w:p>
        </w:tc>
      </w:tr>
      <w:tr w:rsidR="00116719" w:rsidRPr="002F7C87" w14:paraId="14A64940" w14:textId="77777777" w:rsidTr="00D70CD5">
        <w:trPr>
          <w:trHeight w:val="624"/>
        </w:trPr>
        <w:tc>
          <w:tcPr>
            <w:tcW w:w="3129" w:type="pct"/>
            <w:shd w:val="clear" w:color="auto" w:fill="DBE5F1" w:themeFill="accent1" w:themeFillTint="33"/>
            <w:noWrap/>
            <w:vAlign w:val="center"/>
            <w:hideMark/>
          </w:tcPr>
          <w:p w14:paraId="1657385C" w14:textId="77777777" w:rsidR="00116719" w:rsidRPr="002F7C87" w:rsidRDefault="00116719" w:rsidP="00D70CD5">
            <w:pPr>
              <w:keepNext/>
              <w:spacing w:before="120" w:after="120"/>
              <w:rPr>
                <w:rFonts w:ascii="Arial" w:hAnsi="Arial" w:cs="Arial"/>
                <w:b/>
                <w:bCs/>
                <w:sz w:val="20"/>
                <w:szCs w:val="20"/>
              </w:rPr>
            </w:pPr>
            <w:r w:rsidRPr="002F7C87">
              <w:rPr>
                <w:rFonts w:ascii="Nirmala UI" w:hAnsi="Nirmala UI" w:cs="Nirmala UI" w:hint="cs"/>
                <w:b/>
                <w:bCs/>
                <w:sz w:val="20"/>
                <w:szCs w:val="20"/>
                <w:cs/>
                <w:lang w:bidi="hi-IN"/>
              </w:rPr>
              <w:t>राजस्थान</w:t>
            </w:r>
            <w:r w:rsidRPr="002F7C87">
              <w:rPr>
                <w:rFonts w:ascii="Arial" w:hAnsi="Arial" w:cs="Arial"/>
                <w:b/>
                <w:bCs/>
                <w:sz w:val="20"/>
                <w:szCs w:val="20"/>
              </w:rPr>
              <w:t xml:space="preserve"> </w:t>
            </w:r>
            <w:r w:rsidRPr="002F7C87">
              <w:rPr>
                <w:rFonts w:ascii="Nirmala UI" w:hAnsi="Nirmala UI" w:cs="Nirmala UI" w:hint="cs"/>
                <w:b/>
                <w:bCs/>
                <w:sz w:val="20"/>
                <w:szCs w:val="20"/>
                <w:cs/>
                <w:lang w:bidi="hi-IN"/>
              </w:rPr>
              <w:t>समग्र</w:t>
            </w:r>
            <w:r w:rsidRPr="002F7C87">
              <w:rPr>
                <w:rFonts w:ascii="Arial" w:hAnsi="Arial" w:cs="Arial"/>
                <w:b/>
                <w:bCs/>
                <w:sz w:val="20"/>
                <w:szCs w:val="20"/>
              </w:rPr>
              <w:t xml:space="preserve"> </w:t>
            </w:r>
            <w:r w:rsidRPr="002F7C87">
              <w:rPr>
                <w:rFonts w:ascii="Nirmala UI" w:hAnsi="Nirmala UI" w:cs="Nirmala UI" w:hint="cs"/>
                <w:b/>
                <w:bCs/>
                <w:sz w:val="20"/>
                <w:szCs w:val="20"/>
                <w:cs/>
                <w:lang w:bidi="hi-IN"/>
              </w:rPr>
              <w:t>कल्याण</w:t>
            </w:r>
            <w:r w:rsidRPr="002F7C87">
              <w:rPr>
                <w:rFonts w:ascii="Arial" w:hAnsi="Arial" w:cs="Arial"/>
                <w:b/>
                <w:bCs/>
                <w:sz w:val="20"/>
                <w:szCs w:val="20"/>
              </w:rPr>
              <w:t xml:space="preserve"> </w:t>
            </w:r>
            <w:r w:rsidRPr="002F7C87">
              <w:rPr>
                <w:rFonts w:ascii="Nirmala UI" w:hAnsi="Nirmala UI" w:cs="Nirmala UI" w:hint="cs"/>
                <w:b/>
                <w:bCs/>
                <w:sz w:val="20"/>
                <w:szCs w:val="20"/>
                <w:cs/>
                <w:lang w:bidi="hi-IN"/>
              </w:rPr>
              <w:t>संस्थान</w:t>
            </w:r>
            <w:r w:rsidRPr="002F7C87">
              <w:rPr>
                <w:rFonts w:ascii="Arial" w:hAnsi="Arial" w:cs="Arial"/>
                <w:b/>
                <w:bCs/>
                <w:sz w:val="20"/>
                <w:szCs w:val="20"/>
              </w:rPr>
              <w:t xml:space="preserve"> </w:t>
            </w:r>
            <w:r w:rsidRPr="002F7C87">
              <w:rPr>
                <w:rFonts w:ascii="Arial" w:hAnsi="Arial" w:cs="Arial"/>
                <w:b/>
                <w:bCs/>
                <w:sz w:val="20"/>
                <w:szCs w:val="20"/>
              </w:rPr>
              <w:br/>
            </w:r>
            <w:r w:rsidRPr="002F7C87">
              <w:rPr>
                <w:rFonts w:ascii="Arial" w:hAnsi="Arial" w:cs="Arial"/>
                <w:sz w:val="20"/>
                <w:szCs w:val="20"/>
              </w:rPr>
              <w:t>Rajasthan Samgrah Kalyan Sansthan - RSKS India</w:t>
            </w:r>
          </w:p>
        </w:tc>
        <w:tc>
          <w:tcPr>
            <w:tcW w:w="1092" w:type="pct"/>
            <w:shd w:val="clear" w:color="auto" w:fill="DBE5F1" w:themeFill="accent1" w:themeFillTint="33"/>
            <w:noWrap/>
            <w:vAlign w:val="center"/>
            <w:hideMark/>
          </w:tcPr>
          <w:p w14:paraId="2B19DEA4" w14:textId="77777777" w:rsidR="00116719" w:rsidRPr="002F7C87" w:rsidRDefault="00116719" w:rsidP="00D70CD5">
            <w:pPr>
              <w:keepNext/>
              <w:spacing w:before="120" w:after="120"/>
              <w:jc w:val="center"/>
              <w:rPr>
                <w:rFonts w:ascii="Arial" w:hAnsi="Arial" w:cs="Arial"/>
                <w:sz w:val="20"/>
                <w:szCs w:val="20"/>
              </w:rPr>
            </w:pPr>
            <w:r w:rsidRPr="002F7C87">
              <w:rPr>
                <w:rFonts w:ascii="Arial" w:hAnsi="Arial" w:cs="Arial"/>
                <w:sz w:val="20"/>
                <w:szCs w:val="20"/>
              </w:rPr>
              <w:t>Inde</w:t>
            </w:r>
          </w:p>
        </w:tc>
        <w:tc>
          <w:tcPr>
            <w:tcW w:w="779" w:type="pct"/>
            <w:shd w:val="clear" w:color="auto" w:fill="DBE5F1" w:themeFill="accent1" w:themeFillTint="33"/>
            <w:noWrap/>
            <w:vAlign w:val="center"/>
            <w:hideMark/>
          </w:tcPr>
          <w:p w14:paraId="1A7EFC6B" w14:textId="77777777" w:rsidR="00116719" w:rsidRPr="002F7C87" w:rsidRDefault="00116719" w:rsidP="00D70CD5">
            <w:pPr>
              <w:keepNext/>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625</w:t>
            </w:r>
          </w:p>
        </w:tc>
      </w:tr>
      <w:tr w:rsidR="00116719" w:rsidRPr="002F7C87" w14:paraId="425B46C9" w14:textId="77777777" w:rsidTr="00D70CD5">
        <w:trPr>
          <w:trHeight w:val="290"/>
        </w:trPr>
        <w:tc>
          <w:tcPr>
            <w:tcW w:w="3126" w:type="pct"/>
            <w:noWrap/>
            <w:vAlign w:val="center"/>
            <w:hideMark/>
          </w:tcPr>
          <w:p w14:paraId="4A54CE74" w14:textId="77777777" w:rsidR="00116719" w:rsidRPr="001711D4" w:rsidRDefault="00116719" w:rsidP="00D70CD5">
            <w:pPr>
              <w:spacing w:before="120" w:after="120"/>
              <w:rPr>
                <w:rFonts w:ascii="Arial" w:hAnsi="Arial" w:cs="Arial"/>
                <w:b/>
                <w:bCs/>
                <w:sz w:val="20"/>
                <w:szCs w:val="20"/>
              </w:rPr>
            </w:pPr>
            <w:proofErr w:type="spellStart"/>
            <w:r w:rsidRPr="002F7C87">
              <w:rPr>
                <w:rFonts w:ascii="Arial" w:hAnsi="Arial" w:cs="Arial"/>
                <w:b/>
                <w:bCs/>
                <w:sz w:val="20"/>
                <w:szCs w:val="20"/>
                <w:rtl/>
              </w:rPr>
              <w:t>میراث</w:t>
            </w:r>
            <w:proofErr w:type="spellEnd"/>
            <w:r w:rsidRPr="002F7C87">
              <w:rPr>
                <w:rFonts w:ascii="Arial" w:hAnsi="Arial" w:cs="Arial"/>
                <w:b/>
                <w:bCs/>
                <w:sz w:val="20"/>
                <w:szCs w:val="20"/>
                <w:rtl/>
              </w:rPr>
              <w:t xml:space="preserve"> داران </w:t>
            </w:r>
            <w:proofErr w:type="spellStart"/>
            <w:r w:rsidRPr="002F7C87">
              <w:rPr>
                <w:rFonts w:ascii="Arial" w:hAnsi="Arial" w:cs="Arial"/>
                <w:b/>
                <w:bCs/>
                <w:sz w:val="20"/>
                <w:szCs w:val="20"/>
                <w:rtl/>
              </w:rPr>
              <w:t>فرهنگ</w:t>
            </w:r>
            <w:proofErr w:type="spellEnd"/>
            <w:r w:rsidRPr="002F7C87">
              <w:rPr>
                <w:rFonts w:ascii="Arial" w:hAnsi="Arial" w:cs="Arial"/>
                <w:b/>
                <w:bCs/>
                <w:sz w:val="20"/>
                <w:szCs w:val="20"/>
                <w:rtl/>
              </w:rPr>
              <w:t xml:space="preserve"> </w:t>
            </w:r>
            <w:proofErr w:type="spellStart"/>
            <w:r w:rsidRPr="002F7C87">
              <w:rPr>
                <w:rFonts w:ascii="Arial" w:hAnsi="Arial" w:cs="Arial"/>
                <w:b/>
                <w:bCs/>
                <w:sz w:val="20"/>
                <w:szCs w:val="20"/>
                <w:rtl/>
              </w:rPr>
              <w:t>هرمزگان</w:t>
            </w:r>
            <w:proofErr w:type="spellEnd"/>
            <w:r w:rsidRPr="002F7C87">
              <w:rPr>
                <w:rFonts w:ascii="Arial" w:hAnsi="Arial" w:cs="Arial"/>
                <w:b/>
                <w:bCs/>
                <w:sz w:val="20"/>
                <w:szCs w:val="20"/>
                <w:rtl/>
              </w:rPr>
              <w:t xml:space="preserve"> </w:t>
            </w:r>
            <w:r w:rsidRPr="001711D4">
              <w:rPr>
                <w:rFonts w:ascii="Arial" w:hAnsi="Arial" w:cs="Arial"/>
                <w:b/>
                <w:bCs/>
                <w:sz w:val="20"/>
                <w:szCs w:val="20"/>
              </w:rPr>
              <w:br/>
            </w:r>
            <w:proofErr w:type="spellStart"/>
            <w:r w:rsidRPr="001711D4">
              <w:rPr>
                <w:rFonts w:ascii="Arial" w:hAnsi="Arial" w:cs="Arial"/>
                <w:sz w:val="20"/>
                <w:szCs w:val="20"/>
              </w:rPr>
              <w:t>Hormozgan</w:t>
            </w:r>
            <w:proofErr w:type="spellEnd"/>
            <w:r w:rsidRPr="001711D4">
              <w:rPr>
                <w:rFonts w:ascii="Arial" w:hAnsi="Arial" w:cs="Arial"/>
                <w:sz w:val="20"/>
                <w:szCs w:val="20"/>
              </w:rPr>
              <w:t xml:space="preserve"> Cultural Heritage Custodians</w:t>
            </w:r>
            <w:r w:rsidRPr="002F7C87">
              <w:rPr>
                <w:rFonts w:ascii="Arial" w:hAnsi="Arial" w:cs="Arial"/>
                <w:sz w:val="20"/>
                <w:szCs w:val="20"/>
                <w:rtl/>
              </w:rPr>
              <w:t xml:space="preserve"> </w:t>
            </w:r>
            <w:r w:rsidRPr="001711D4">
              <w:rPr>
                <w:rFonts w:ascii="Arial" w:hAnsi="Arial" w:cs="Arial"/>
                <w:sz w:val="20"/>
                <w:szCs w:val="20"/>
              </w:rPr>
              <w:t>Association - HCHCA</w:t>
            </w:r>
          </w:p>
        </w:tc>
        <w:tc>
          <w:tcPr>
            <w:tcW w:w="1095" w:type="pct"/>
            <w:noWrap/>
            <w:vAlign w:val="center"/>
            <w:hideMark/>
          </w:tcPr>
          <w:p w14:paraId="32810671" w14:textId="77777777" w:rsidR="00116719" w:rsidRPr="002F7C87" w:rsidRDefault="00116719" w:rsidP="00D70CD5">
            <w:pPr>
              <w:spacing w:before="120" w:after="120"/>
              <w:jc w:val="center"/>
              <w:rPr>
                <w:rFonts w:ascii="Arial" w:hAnsi="Arial" w:cs="Arial"/>
                <w:sz w:val="20"/>
                <w:szCs w:val="20"/>
                <w:rtl/>
              </w:rPr>
            </w:pPr>
            <w:r w:rsidRPr="002F7C87">
              <w:rPr>
                <w:rFonts w:ascii="Arial" w:hAnsi="Arial" w:cs="Arial"/>
                <w:sz w:val="20"/>
                <w:szCs w:val="20"/>
              </w:rPr>
              <w:t>Iran (République islamique d</w:t>
            </w:r>
            <w:r>
              <w:rPr>
                <w:rFonts w:ascii="Arial" w:hAnsi="Arial" w:cs="Arial"/>
                <w:sz w:val="20"/>
                <w:szCs w:val="20"/>
              </w:rPr>
              <w:t>’</w:t>
            </w:r>
            <w:r w:rsidRPr="002F7C87">
              <w:rPr>
                <w:rFonts w:ascii="Arial" w:hAnsi="Arial" w:cs="Arial"/>
                <w:sz w:val="20"/>
                <w:szCs w:val="20"/>
              </w:rPr>
              <w:t>)</w:t>
            </w:r>
          </w:p>
        </w:tc>
        <w:tc>
          <w:tcPr>
            <w:tcW w:w="779" w:type="pct"/>
            <w:noWrap/>
            <w:vAlign w:val="center"/>
            <w:hideMark/>
          </w:tcPr>
          <w:p w14:paraId="1AE0EFC6" w14:textId="77777777" w:rsidR="00116719" w:rsidRPr="002F7C87" w:rsidRDefault="00116719" w:rsidP="00D70CD5">
            <w:pPr>
              <w:spacing w:before="120" w:after="120"/>
              <w:jc w:val="center"/>
              <w:rPr>
                <w:rFonts w:ascii="Arial" w:hAnsi="Arial" w:cs="Arial"/>
                <w:sz w:val="20"/>
                <w:szCs w:val="20"/>
              </w:rPr>
            </w:pPr>
            <w:r>
              <w:rPr>
                <w:rFonts w:ascii="Arial" w:hAnsi="Arial" w:cs="Arial"/>
                <w:sz w:val="20"/>
                <w:szCs w:val="20"/>
              </w:rPr>
              <w:t>ONG-90</w:t>
            </w:r>
            <w:r w:rsidRPr="002F7C87">
              <w:rPr>
                <w:rFonts w:ascii="Arial" w:hAnsi="Arial" w:cs="Arial"/>
                <w:sz w:val="20"/>
                <w:szCs w:val="20"/>
              </w:rPr>
              <w:t>644</w:t>
            </w:r>
          </w:p>
        </w:tc>
      </w:tr>
    </w:tbl>
    <w:p w14:paraId="469BDAE5" w14:textId="4D439C7A" w:rsidR="00FC161D" w:rsidRDefault="00FC161D" w:rsidP="00116719">
      <w:pPr>
        <w:pStyle w:val="COMTitleDecision"/>
        <w:ind w:left="0"/>
      </w:pPr>
      <w:r>
        <w:t>RÉSOLUTION 1</w:t>
      </w:r>
      <w:r w:rsidR="00EF2C08">
        <w:t>1</w:t>
      </w:r>
      <w:r>
        <w:t>.GA 10</w:t>
      </w:r>
    </w:p>
    <w:p w14:paraId="721FD1A8" w14:textId="604D4A6B" w:rsidR="00116719" w:rsidRPr="00116719" w:rsidRDefault="00116719" w:rsidP="00116719">
      <w:pPr>
        <w:keepNext/>
        <w:spacing w:after="120"/>
        <w:jc w:val="both"/>
        <w:rPr>
          <w:rFonts w:ascii="Arial" w:eastAsia="SimSun" w:hAnsi="Arial" w:cs="Arial"/>
          <w:sz w:val="22"/>
          <w:szCs w:val="22"/>
        </w:rPr>
      </w:pPr>
      <w:r w:rsidRPr="00116719">
        <w:rPr>
          <w:rFonts w:ascii="Arial" w:hAnsi="Arial" w:cs="Arial"/>
          <w:sz w:val="22"/>
          <w:szCs w:val="22"/>
        </w:rPr>
        <w:t>L’Assemblée générale,</w:t>
      </w:r>
    </w:p>
    <w:p w14:paraId="49BB1C42" w14:textId="0E489A6B" w:rsidR="00116719" w:rsidRPr="00116719" w:rsidRDefault="00116719" w:rsidP="00116719">
      <w:pPr>
        <w:pStyle w:val="ListParagraph"/>
        <w:numPr>
          <w:ilvl w:val="0"/>
          <w:numId w:val="47"/>
        </w:numPr>
        <w:autoSpaceDE w:val="0"/>
        <w:autoSpaceDN w:val="0"/>
        <w:adjustRightInd w:val="0"/>
        <w:spacing w:after="120"/>
        <w:ind w:left="567" w:hanging="567"/>
        <w:contextualSpacing w:val="0"/>
        <w:jc w:val="both"/>
        <w:rPr>
          <w:rFonts w:ascii="Arial" w:hAnsi="Arial" w:cs="Arial"/>
          <w:sz w:val="22"/>
          <w:szCs w:val="22"/>
          <w:u w:val="single"/>
        </w:rPr>
      </w:pPr>
      <w:r w:rsidRPr="00116719">
        <w:rPr>
          <w:rFonts w:ascii="Arial" w:hAnsi="Arial" w:cs="Arial"/>
          <w:sz w:val="22"/>
          <w:szCs w:val="22"/>
          <w:u w:val="single"/>
        </w:rPr>
        <w:t>Ayant examiné</w:t>
      </w:r>
      <w:r w:rsidRPr="00116719">
        <w:rPr>
          <w:rFonts w:ascii="Arial" w:hAnsi="Arial" w:cs="Arial"/>
          <w:sz w:val="22"/>
          <w:szCs w:val="22"/>
        </w:rPr>
        <w:t xml:space="preserve"> le document </w:t>
      </w:r>
      <w:hyperlink r:id="rId35" w:history="1">
        <w:r w:rsidRPr="00507C40">
          <w:rPr>
            <w:rStyle w:val="Hyperlink"/>
            <w:rFonts w:ascii="Arial" w:hAnsi="Arial" w:cs="Arial"/>
            <w:sz w:val="22"/>
            <w:szCs w:val="22"/>
          </w:rPr>
          <w:t>LHE/26/11.GA/10</w:t>
        </w:r>
      </w:hyperlink>
      <w:r w:rsidRPr="00116719">
        <w:rPr>
          <w:rFonts w:ascii="Arial" w:hAnsi="Arial" w:cs="Arial"/>
          <w:sz w:val="22"/>
          <w:szCs w:val="22"/>
        </w:rPr>
        <w:t>,</w:t>
      </w:r>
    </w:p>
    <w:p w14:paraId="2A37DE21" w14:textId="77777777" w:rsidR="00116719" w:rsidRPr="00116719" w:rsidRDefault="00116719" w:rsidP="00116719">
      <w:pPr>
        <w:pStyle w:val="ListParagraph"/>
        <w:numPr>
          <w:ilvl w:val="0"/>
          <w:numId w:val="47"/>
        </w:numPr>
        <w:autoSpaceDE w:val="0"/>
        <w:autoSpaceDN w:val="0"/>
        <w:adjustRightInd w:val="0"/>
        <w:spacing w:after="120"/>
        <w:ind w:left="567" w:hanging="567"/>
        <w:contextualSpacing w:val="0"/>
        <w:jc w:val="both"/>
        <w:rPr>
          <w:rFonts w:ascii="Arial" w:hAnsi="Arial" w:cs="Arial"/>
          <w:sz w:val="22"/>
          <w:szCs w:val="22"/>
          <w:u w:val="single"/>
        </w:rPr>
      </w:pPr>
      <w:r w:rsidRPr="00116719">
        <w:rPr>
          <w:rFonts w:ascii="Arial" w:hAnsi="Arial" w:cs="Arial"/>
          <w:sz w:val="22"/>
          <w:szCs w:val="22"/>
          <w:u w:val="single"/>
        </w:rPr>
        <w:t>Rappelant</w:t>
      </w:r>
      <w:r w:rsidRPr="00116719">
        <w:rPr>
          <w:rFonts w:ascii="Arial" w:hAnsi="Arial" w:cs="Arial"/>
          <w:sz w:val="22"/>
          <w:szCs w:val="22"/>
        </w:rPr>
        <w:t xml:space="preserve"> les articles 5, 6 et 26.5 de la Convention et les articles 35, 36 et 37 de son Règlement intérieur,</w:t>
      </w:r>
    </w:p>
    <w:p w14:paraId="3C515CC6" w14:textId="77777777" w:rsidR="00116719" w:rsidRPr="00116719" w:rsidRDefault="00116719" w:rsidP="00116719">
      <w:pPr>
        <w:pStyle w:val="ListParagraph"/>
        <w:numPr>
          <w:ilvl w:val="0"/>
          <w:numId w:val="47"/>
        </w:numPr>
        <w:autoSpaceDE w:val="0"/>
        <w:autoSpaceDN w:val="0"/>
        <w:adjustRightInd w:val="0"/>
        <w:spacing w:after="120"/>
        <w:ind w:left="567" w:hanging="567"/>
        <w:contextualSpacing w:val="0"/>
        <w:rPr>
          <w:rFonts w:ascii="Arial" w:hAnsi="Arial" w:cs="Arial"/>
          <w:sz w:val="22"/>
          <w:szCs w:val="22"/>
          <w:u w:val="single"/>
        </w:rPr>
      </w:pPr>
      <w:r w:rsidRPr="00116719">
        <w:rPr>
          <w:rFonts w:ascii="Arial" w:hAnsi="Arial" w:cs="Arial"/>
          <w:sz w:val="22"/>
          <w:szCs w:val="22"/>
          <w:u w:val="single"/>
        </w:rPr>
        <w:t>Rappelant en outre</w:t>
      </w:r>
      <w:r w:rsidRPr="00116719">
        <w:rPr>
          <w:rFonts w:ascii="Arial" w:hAnsi="Arial" w:cs="Arial"/>
          <w:sz w:val="22"/>
          <w:szCs w:val="22"/>
        </w:rPr>
        <w:t xml:space="preserve"> la résolution 11.GA 4,</w:t>
      </w:r>
    </w:p>
    <w:p w14:paraId="1860E808" w14:textId="77777777" w:rsidR="00116719" w:rsidRPr="00116719" w:rsidRDefault="00116719" w:rsidP="00116719">
      <w:pPr>
        <w:pStyle w:val="ListParagraph"/>
        <w:keepNext/>
        <w:numPr>
          <w:ilvl w:val="0"/>
          <w:numId w:val="47"/>
        </w:numPr>
        <w:autoSpaceDE w:val="0"/>
        <w:autoSpaceDN w:val="0"/>
        <w:adjustRightInd w:val="0"/>
        <w:spacing w:after="120"/>
        <w:ind w:left="567" w:hanging="567"/>
        <w:contextualSpacing w:val="0"/>
        <w:jc w:val="both"/>
        <w:rPr>
          <w:rFonts w:ascii="Arial" w:hAnsi="Arial" w:cs="Arial"/>
          <w:sz w:val="22"/>
          <w:szCs w:val="22"/>
          <w:u w:val="single"/>
        </w:rPr>
      </w:pPr>
      <w:r w:rsidRPr="00116719">
        <w:rPr>
          <w:rFonts w:ascii="Arial" w:hAnsi="Arial" w:cs="Arial"/>
          <w:sz w:val="22"/>
          <w:szCs w:val="22"/>
          <w:u w:val="single"/>
        </w:rPr>
        <w:t>Élit</w:t>
      </w:r>
      <w:r w:rsidRPr="00116719">
        <w:rPr>
          <w:rFonts w:ascii="Arial" w:hAnsi="Arial" w:cs="Arial"/>
          <w:sz w:val="22"/>
          <w:szCs w:val="22"/>
        </w:rPr>
        <w:t xml:space="preserve"> les douze États parties suivants au Comité intergouvernemental de sauvegarde du patrimoine culturel immatériel pour un mandat de quatre ans à compter de la date de l’élection :</w:t>
      </w:r>
    </w:p>
    <w:p w14:paraId="58B2350D" w14:textId="233C64F1" w:rsidR="00116719" w:rsidRPr="008F3398" w:rsidRDefault="00116719" w:rsidP="00116719">
      <w:pPr>
        <w:autoSpaceDE w:val="0"/>
        <w:autoSpaceDN w:val="0"/>
        <w:adjustRightInd w:val="0"/>
        <w:spacing w:after="120"/>
        <w:ind w:left="567"/>
        <w:jc w:val="both"/>
        <w:rPr>
          <w:rFonts w:ascii="Arial" w:hAnsi="Arial" w:cs="Arial"/>
          <w:sz w:val="22"/>
          <w:szCs w:val="22"/>
        </w:rPr>
      </w:pPr>
      <w:r w:rsidRPr="00116719">
        <w:rPr>
          <w:rFonts w:ascii="Arial" w:hAnsi="Arial" w:cs="Arial"/>
          <w:sz w:val="22"/>
          <w:szCs w:val="22"/>
        </w:rPr>
        <w:t xml:space="preserve">Groupe I : </w:t>
      </w:r>
      <w:r w:rsidR="00496453" w:rsidRPr="008F3398">
        <w:rPr>
          <w:rFonts w:ascii="Arial" w:hAnsi="Arial" w:cs="Arial"/>
          <w:sz w:val="22"/>
          <w:szCs w:val="22"/>
        </w:rPr>
        <w:t>Norvège</w:t>
      </w:r>
    </w:p>
    <w:p w14:paraId="47AA0BC3" w14:textId="04F3784D" w:rsidR="00116719" w:rsidRPr="008F3398" w:rsidRDefault="00116719" w:rsidP="00116719">
      <w:pPr>
        <w:autoSpaceDE w:val="0"/>
        <w:autoSpaceDN w:val="0"/>
        <w:adjustRightInd w:val="0"/>
        <w:spacing w:after="120"/>
        <w:ind w:left="567"/>
        <w:jc w:val="both"/>
        <w:rPr>
          <w:rFonts w:ascii="Arial" w:hAnsi="Arial" w:cs="Arial"/>
          <w:sz w:val="22"/>
          <w:szCs w:val="22"/>
        </w:rPr>
      </w:pPr>
      <w:r w:rsidRPr="008F3398">
        <w:rPr>
          <w:rFonts w:ascii="Arial" w:hAnsi="Arial" w:cs="Arial"/>
          <w:sz w:val="22"/>
          <w:szCs w:val="22"/>
        </w:rPr>
        <w:t xml:space="preserve">Groupe II : </w:t>
      </w:r>
      <w:r w:rsidR="004A7079" w:rsidRPr="008F3398">
        <w:rPr>
          <w:rFonts w:ascii="Arial" w:hAnsi="Arial" w:cs="Arial"/>
          <w:sz w:val="22"/>
          <w:szCs w:val="22"/>
        </w:rPr>
        <w:t>Albanie, Bulgarie</w:t>
      </w:r>
    </w:p>
    <w:p w14:paraId="61922216" w14:textId="62C28BDC" w:rsidR="00116719" w:rsidRPr="008F3398" w:rsidRDefault="00116719" w:rsidP="00116719">
      <w:pPr>
        <w:autoSpaceDE w:val="0"/>
        <w:autoSpaceDN w:val="0"/>
        <w:adjustRightInd w:val="0"/>
        <w:spacing w:after="120"/>
        <w:ind w:left="567"/>
        <w:jc w:val="both"/>
        <w:rPr>
          <w:rFonts w:ascii="Arial" w:hAnsi="Arial" w:cs="Arial"/>
          <w:sz w:val="22"/>
          <w:szCs w:val="22"/>
        </w:rPr>
      </w:pPr>
      <w:r w:rsidRPr="008F3398">
        <w:rPr>
          <w:rFonts w:ascii="Arial" w:hAnsi="Arial" w:cs="Arial"/>
          <w:sz w:val="22"/>
          <w:szCs w:val="22"/>
        </w:rPr>
        <w:t xml:space="preserve">Groupe III : </w:t>
      </w:r>
      <w:r w:rsidR="00496453" w:rsidRPr="008F3398">
        <w:rPr>
          <w:rFonts w:ascii="Arial" w:hAnsi="Arial" w:cs="Arial"/>
          <w:sz w:val="22"/>
          <w:szCs w:val="22"/>
        </w:rPr>
        <w:t>Guatemala</w:t>
      </w:r>
    </w:p>
    <w:p w14:paraId="3E329590" w14:textId="781727FC" w:rsidR="00116719" w:rsidRPr="008F3398" w:rsidRDefault="00116719" w:rsidP="00116719">
      <w:pPr>
        <w:autoSpaceDE w:val="0"/>
        <w:autoSpaceDN w:val="0"/>
        <w:adjustRightInd w:val="0"/>
        <w:spacing w:after="120"/>
        <w:ind w:left="567"/>
        <w:jc w:val="both"/>
        <w:rPr>
          <w:rFonts w:ascii="Arial" w:hAnsi="Arial" w:cs="Arial"/>
          <w:sz w:val="22"/>
          <w:szCs w:val="22"/>
        </w:rPr>
      </w:pPr>
      <w:r w:rsidRPr="008F3398">
        <w:rPr>
          <w:rFonts w:ascii="Arial" w:hAnsi="Arial" w:cs="Arial"/>
          <w:sz w:val="22"/>
          <w:szCs w:val="22"/>
        </w:rPr>
        <w:t xml:space="preserve">Groupe IV : </w:t>
      </w:r>
      <w:r w:rsidR="004A7079" w:rsidRPr="008F3398">
        <w:rPr>
          <w:rFonts w:ascii="Arial" w:hAnsi="Arial" w:cs="Arial"/>
          <w:sz w:val="22"/>
          <w:szCs w:val="22"/>
        </w:rPr>
        <w:t>Cambodge, Indonésie, Japon, Philippines</w:t>
      </w:r>
    </w:p>
    <w:p w14:paraId="35A07A8C" w14:textId="04DCA1F2" w:rsidR="00116719" w:rsidRPr="008F3398" w:rsidRDefault="00116719" w:rsidP="00116719">
      <w:pPr>
        <w:autoSpaceDE w:val="0"/>
        <w:autoSpaceDN w:val="0"/>
        <w:adjustRightInd w:val="0"/>
        <w:spacing w:after="120"/>
        <w:ind w:left="567"/>
        <w:jc w:val="both"/>
        <w:rPr>
          <w:rFonts w:ascii="Arial" w:hAnsi="Arial" w:cs="Arial"/>
          <w:sz w:val="22"/>
          <w:szCs w:val="22"/>
        </w:rPr>
      </w:pPr>
      <w:r w:rsidRPr="008F3398">
        <w:rPr>
          <w:rFonts w:ascii="Arial" w:hAnsi="Arial" w:cs="Arial"/>
          <w:sz w:val="22"/>
          <w:szCs w:val="22"/>
        </w:rPr>
        <w:t xml:space="preserve">Groupe V(a) : </w:t>
      </w:r>
      <w:r w:rsidR="00496453" w:rsidRPr="008F3398">
        <w:rPr>
          <w:rFonts w:ascii="Arial" w:hAnsi="Arial" w:cs="Arial"/>
          <w:sz w:val="22"/>
          <w:szCs w:val="22"/>
        </w:rPr>
        <w:t xml:space="preserve">Djibouti, Guinée, Mali </w:t>
      </w:r>
    </w:p>
    <w:p w14:paraId="688A2067" w14:textId="73B90D83" w:rsidR="00116719" w:rsidRPr="00116719" w:rsidRDefault="00116719" w:rsidP="00116719">
      <w:pPr>
        <w:autoSpaceDE w:val="0"/>
        <w:autoSpaceDN w:val="0"/>
        <w:adjustRightInd w:val="0"/>
        <w:spacing w:after="120"/>
        <w:ind w:left="567"/>
        <w:jc w:val="both"/>
        <w:rPr>
          <w:rFonts w:ascii="Arial" w:hAnsi="Arial" w:cs="Arial"/>
          <w:sz w:val="22"/>
          <w:szCs w:val="22"/>
        </w:rPr>
      </w:pPr>
      <w:r w:rsidRPr="008F3398">
        <w:rPr>
          <w:rFonts w:ascii="Arial" w:hAnsi="Arial" w:cs="Arial"/>
          <w:sz w:val="22"/>
          <w:szCs w:val="22"/>
        </w:rPr>
        <w:t xml:space="preserve">Groupe V(b) : </w:t>
      </w:r>
      <w:r w:rsidR="00496453" w:rsidRPr="008F3398">
        <w:rPr>
          <w:rFonts w:ascii="Arial" w:hAnsi="Arial" w:cs="Arial"/>
          <w:sz w:val="22"/>
          <w:szCs w:val="22"/>
        </w:rPr>
        <w:t>Oman</w:t>
      </w:r>
      <w:r w:rsidR="00496453">
        <w:rPr>
          <w:rFonts w:ascii="Arial" w:hAnsi="Arial" w:cs="Arial"/>
          <w:sz w:val="22"/>
          <w:szCs w:val="22"/>
        </w:rPr>
        <w:t xml:space="preserve"> </w:t>
      </w:r>
    </w:p>
    <w:p w14:paraId="0DF6E6B7" w14:textId="77777777" w:rsidR="00116719" w:rsidRPr="00BB6EEC" w:rsidRDefault="00116719" w:rsidP="00116719">
      <w:pPr>
        <w:pStyle w:val="Sansinterligne2"/>
        <w:rPr>
          <w:rFonts w:eastAsia="SimSun"/>
        </w:rPr>
      </w:pPr>
    </w:p>
    <w:sectPr w:rsidR="00116719" w:rsidRPr="00BB6EEC" w:rsidSect="00EA1F08">
      <w:headerReference w:type="even" r:id="rId36"/>
      <w:headerReference w:type="default" r:id="rId37"/>
      <w:headerReference w:type="first" r:id="rId38"/>
      <w:pgSz w:w="11906" w:h="16838" w:code="9"/>
      <w:pgMar w:top="1418" w:right="1134" w:bottom="1134" w:left="1276"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A097" w14:textId="77777777" w:rsidR="0028508E" w:rsidRDefault="0028508E" w:rsidP="00655736">
      <w:r>
        <w:separator/>
      </w:r>
    </w:p>
    <w:p w14:paraId="29DF924E" w14:textId="77777777" w:rsidR="0028508E" w:rsidRDefault="0028508E"/>
    <w:p w14:paraId="00FC7ED3" w14:textId="77777777" w:rsidR="0028508E" w:rsidRDefault="0028508E" w:rsidP="002E58D4"/>
    <w:p w14:paraId="719A18E0" w14:textId="77777777" w:rsidR="0028508E" w:rsidRDefault="0028508E" w:rsidP="002E58D4"/>
    <w:p w14:paraId="3FB93A5E" w14:textId="77777777" w:rsidR="0028508E" w:rsidRDefault="0028508E" w:rsidP="002E58D4"/>
  </w:endnote>
  <w:endnote w:type="continuationSeparator" w:id="0">
    <w:p w14:paraId="02F24A5C" w14:textId="77777777" w:rsidR="0028508E" w:rsidRDefault="0028508E" w:rsidP="00655736">
      <w:r>
        <w:continuationSeparator/>
      </w:r>
    </w:p>
    <w:p w14:paraId="241B657E" w14:textId="77777777" w:rsidR="0028508E" w:rsidRDefault="0028508E"/>
    <w:p w14:paraId="4A1163D9" w14:textId="77777777" w:rsidR="0028508E" w:rsidRDefault="0028508E" w:rsidP="002E58D4"/>
    <w:p w14:paraId="18305AD8" w14:textId="77777777" w:rsidR="0028508E" w:rsidRDefault="0028508E" w:rsidP="002E58D4"/>
    <w:p w14:paraId="1219D03C" w14:textId="77777777" w:rsidR="0028508E" w:rsidRDefault="0028508E"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6ACE" w14:textId="77777777" w:rsidR="0028508E" w:rsidRDefault="0028508E" w:rsidP="00655736">
      <w:r>
        <w:separator/>
      </w:r>
    </w:p>
  </w:footnote>
  <w:footnote w:type="continuationSeparator" w:id="0">
    <w:p w14:paraId="11D3F8DF" w14:textId="77777777" w:rsidR="0028508E" w:rsidRDefault="0028508E" w:rsidP="00655736">
      <w:r>
        <w:continuationSeparator/>
      </w:r>
    </w:p>
    <w:p w14:paraId="0BFF49D3" w14:textId="77777777" w:rsidR="0028508E" w:rsidRDefault="0028508E"/>
    <w:p w14:paraId="5BBFC9B7" w14:textId="77777777" w:rsidR="0028508E" w:rsidRDefault="0028508E" w:rsidP="002E58D4"/>
    <w:p w14:paraId="67AA55CF" w14:textId="77777777" w:rsidR="0028508E" w:rsidRDefault="0028508E" w:rsidP="002E58D4"/>
    <w:p w14:paraId="0CAAC85C" w14:textId="77777777" w:rsidR="0028508E" w:rsidRDefault="0028508E"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606E" w14:textId="61EE78D0" w:rsidR="00B91626" w:rsidRPr="00C23A97" w:rsidRDefault="00B91626" w:rsidP="00C5776D">
    <w:pPr>
      <w:pStyle w:val="Header"/>
      <w:rPr>
        <w:rFonts w:ascii="Arial" w:hAnsi="Arial" w:cs="Arial"/>
      </w:rPr>
    </w:pPr>
    <w:r>
      <w:rPr>
        <w:rFonts w:ascii="Arial" w:hAnsi="Arial"/>
        <w:sz w:val="20"/>
      </w:rPr>
      <w:t>LHE/</w:t>
    </w:r>
    <w:r w:rsidR="009E23EE">
      <w:rPr>
        <w:rFonts w:ascii="Arial" w:hAnsi="Arial"/>
        <w:sz w:val="20"/>
      </w:rPr>
      <w:t>26</w:t>
    </w:r>
    <w:r>
      <w:rPr>
        <w:rFonts w:ascii="Arial" w:hAnsi="Arial"/>
        <w:sz w:val="20"/>
      </w:rPr>
      <w:t>/1</w:t>
    </w:r>
    <w:r w:rsidR="009E23EE">
      <w:rPr>
        <w:rFonts w:ascii="Arial" w:hAnsi="Arial"/>
        <w:sz w:val="20"/>
      </w:rPr>
      <w:t>1</w:t>
    </w:r>
    <w:r>
      <w:rPr>
        <w:rFonts w:ascii="Arial" w:hAnsi="Arial"/>
        <w:sz w:val="20"/>
      </w:rPr>
      <w:t>.GA/</w:t>
    </w:r>
    <w:r w:rsidR="00103637" w:rsidRPr="00A82031">
      <w:rPr>
        <w:rFonts w:ascii="Arial" w:hAnsi="Arial"/>
        <w:sz w:val="20"/>
        <w:szCs w:val="20"/>
      </w:rPr>
      <w:t>Résolutions</w:t>
    </w:r>
    <w:r>
      <w:rPr>
        <w:rFonts w:ascii="Arial" w:hAnsi="Arial"/>
        <w:sz w:val="20"/>
      </w:rPr>
      <w:t xml:space="preserve"> – page </w:t>
    </w:r>
    <w:r w:rsidRPr="00C23A97">
      <w:rPr>
        <w:rStyle w:val="PageNumber"/>
        <w:rFonts w:ascii="Arial" w:hAnsi="Arial" w:cs="Arial"/>
        <w:sz w:val="20"/>
      </w:rPr>
      <w:fldChar w:fldCharType="begin"/>
    </w:r>
    <w:r w:rsidRPr="00C23A97">
      <w:rPr>
        <w:rStyle w:val="PageNumber"/>
        <w:rFonts w:ascii="Arial" w:hAnsi="Arial" w:cs="Arial"/>
        <w:sz w:val="20"/>
      </w:rPr>
      <w:instrText xml:space="preserve"> PAGE </w:instrText>
    </w:r>
    <w:r w:rsidRPr="00C23A97">
      <w:rPr>
        <w:rStyle w:val="PageNumber"/>
        <w:rFonts w:ascii="Arial" w:hAnsi="Arial" w:cs="Arial"/>
        <w:sz w:val="20"/>
      </w:rPr>
      <w:fldChar w:fldCharType="separate"/>
    </w:r>
    <w:r>
      <w:rPr>
        <w:rStyle w:val="PageNumber"/>
        <w:rFonts w:ascii="Arial" w:hAnsi="Arial" w:cs="Arial"/>
        <w:sz w:val="20"/>
      </w:rPr>
      <w:t>2</w:t>
    </w:r>
    <w:r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B5CC" w14:textId="46EDD7F3" w:rsidR="00E27468" w:rsidRDefault="00E27468" w:rsidP="00FA0FD1">
    <w:pPr>
      <w:pStyle w:val="Header"/>
      <w:jc w:val="right"/>
    </w:pPr>
    <w:r>
      <w:rPr>
        <w:rFonts w:ascii="Arial" w:hAnsi="Arial"/>
        <w:sz w:val="20"/>
      </w:rPr>
      <w:t>LHE/26/11.GA/</w:t>
    </w:r>
    <w:r w:rsidRPr="00A82031">
      <w:rPr>
        <w:rFonts w:ascii="Arial" w:hAnsi="Arial"/>
        <w:sz w:val="20"/>
        <w:szCs w:val="20"/>
      </w:rPr>
      <w:t>Résolutions</w:t>
    </w:r>
    <w:r>
      <w:rPr>
        <w:rFonts w:ascii="Arial" w:hAnsi="Arial"/>
        <w:sz w:val="20"/>
      </w:rPr>
      <w:t xml:space="preserve"> – page </w:t>
    </w:r>
    <w:r w:rsidRPr="00C23A97">
      <w:rPr>
        <w:rStyle w:val="PageNumber"/>
        <w:rFonts w:ascii="Arial" w:hAnsi="Arial" w:cs="Arial"/>
        <w:sz w:val="20"/>
      </w:rPr>
      <w:fldChar w:fldCharType="begin"/>
    </w:r>
    <w:r w:rsidRPr="00C23A97">
      <w:rPr>
        <w:rStyle w:val="PageNumber"/>
        <w:rFonts w:ascii="Arial" w:hAnsi="Arial" w:cs="Arial"/>
        <w:sz w:val="20"/>
      </w:rPr>
      <w:instrText xml:space="preserve"> PAGE </w:instrText>
    </w:r>
    <w:r w:rsidRPr="00C23A97">
      <w:rPr>
        <w:rStyle w:val="PageNumber"/>
        <w:rFonts w:ascii="Arial" w:hAnsi="Arial" w:cs="Arial"/>
        <w:sz w:val="20"/>
      </w:rPr>
      <w:fldChar w:fldCharType="separate"/>
    </w:r>
    <w:r>
      <w:rPr>
        <w:rStyle w:val="PageNumber"/>
        <w:rFonts w:ascii="Arial" w:hAnsi="Arial" w:cs="Arial"/>
        <w:sz w:val="20"/>
      </w:rPr>
      <w:t>2</w:t>
    </w:r>
    <w:r w:rsidRPr="00C23A97">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7A56" w14:textId="77777777" w:rsidR="00B91626" w:rsidRPr="00E95AE2" w:rsidRDefault="00B91626">
    <w:pPr>
      <w:pStyle w:val="Header"/>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1F17A337" wp14:editId="68DD4048">
          <wp:simplePos x="0" y="0"/>
          <wp:positionH relativeFrom="column">
            <wp:posOffset>32893</wp:posOffset>
          </wp:positionH>
          <wp:positionV relativeFrom="paragraph">
            <wp:posOffset>76073</wp:posOffset>
          </wp:positionV>
          <wp:extent cx="1657350" cy="1391920"/>
          <wp:effectExtent l="0" t="0" r="0" b="0"/>
          <wp:wrapSquare wrapText="bothSides"/>
          <wp:docPr id="1604911792"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217C6" w14:textId="75951DDE" w:rsidR="00B91626" w:rsidRPr="00D7105A" w:rsidRDefault="00B91626" w:rsidP="00C5776D">
    <w:pPr>
      <w:pStyle w:val="Header"/>
      <w:spacing w:after="520"/>
      <w:jc w:val="right"/>
      <w:rPr>
        <w:rFonts w:ascii="Arial" w:hAnsi="Arial" w:cs="Arial"/>
        <w:b/>
        <w:sz w:val="44"/>
        <w:szCs w:val="44"/>
      </w:rPr>
    </w:pPr>
    <w:r>
      <w:rPr>
        <w:rFonts w:ascii="Arial" w:hAnsi="Arial"/>
        <w:b/>
        <w:sz w:val="44"/>
      </w:rPr>
      <w:t>1</w:t>
    </w:r>
    <w:r w:rsidR="009E23EE">
      <w:rPr>
        <w:rFonts w:ascii="Arial" w:hAnsi="Arial"/>
        <w:b/>
        <w:sz w:val="44"/>
      </w:rPr>
      <w:t>1</w:t>
    </w:r>
    <w:r>
      <w:rPr>
        <w:rFonts w:ascii="Arial" w:hAnsi="Arial"/>
        <w:b/>
        <w:sz w:val="44"/>
      </w:rPr>
      <w:t xml:space="preserve"> GA</w:t>
    </w:r>
  </w:p>
  <w:p w14:paraId="28D6DB4D" w14:textId="0BF38996" w:rsidR="00B91626" w:rsidRPr="0057731E" w:rsidRDefault="00B91626" w:rsidP="00C5776D">
    <w:pPr>
      <w:jc w:val="right"/>
      <w:rPr>
        <w:rFonts w:ascii="Arial" w:hAnsi="Arial" w:cs="Arial"/>
        <w:b/>
        <w:sz w:val="22"/>
        <w:szCs w:val="22"/>
      </w:rPr>
    </w:pPr>
    <w:r w:rsidRPr="0057731E">
      <w:rPr>
        <w:rFonts w:ascii="Arial" w:hAnsi="Arial"/>
        <w:b/>
        <w:sz w:val="22"/>
        <w:szCs w:val="22"/>
      </w:rPr>
      <w:t>LHE/</w:t>
    </w:r>
    <w:r w:rsidR="009E23EE" w:rsidRPr="0057731E">
      <w:rPr>
        <w:rFonts w:ascii="Arial" w:hAnsi="Arial"/>
        <w:b/>
        <w:sz w:val="22"/>
        <w:szCs w:val="22"/>
      </w:rPr>
      <w:t>26</w:t>
    </w:r>
    <w:r w:rsidRPr="0057731E">
      <w:rPr>
        <w:rFonts w:ascii="Arial" w:hAnsi="Arial"/>
        <w:b/>
        <w:sz w:val="22"/>
        <w:szCs w:val="22"/>
      </w:rPr>
      <w:t>/1</w:t>
    </w:r>
    <w:r w:rsidR="009E23EE" w:rsidRPr="0057731E">
      <w:rPr>
        <w:rFonts w:ascii="Arial" w:hAnsi="Arial"/>
        <w:b/>
        <w:sz w:val="22"/>
        <w:szCs w:val="22"/>
      </w:rPr>
      <w:t>1</w:t>
    </w:r>
    <w:r w:rsidRPr="0057731E">
      <w:rPr>
        <w:rFonts w:ascii="Arial" w:hAnsi="Arial"/>
        <w:b/>
        <w:sz w:val="22"/>
        <w:szCs w:val="22"/>
      </w:rPr>
      <w:t>.GA/</w:t>
    </w:r>
    <w:r w:rsidR="00103637" w:rsidRPr="0057731E">
      <w:rPr>
        <w:rFonts w:ascii="Arial" w:hAnsi="Arial"/>
        <w:b/>
        <w:sz w:val="22"/>
        <w:szCs w:val="22"/>
      </w:rPr>
      <w:t>Résolutions</w:t>
    </w:r>
  </w:p>
  <w:p w14:paraId="55A7E0AE" w14:textId="16177E8A" w:rsidR="00B91626" w:rsidRPr="00F10BF6" w:rsidRDefault="00B91626" w:rsidP="00655736">
    <w:pPr>
      <w:jc w:val="right"/>
      <w:rPr>
        <w:rFonts w:ascii="Arial" w:eastAsiaTheme="minorEastAsia" w:hAnsi="Arial" w:cs="Arial"/>
        <w:b/>
        <w:sz w:val="22"/>
        <w:szCs w:val="22"/>
      </w:rPr>
    </w:pPr>
    <w:r w:rsidRPr="00F10BF6">
      <w:rPr>
        <w:rFonts w:ascii="Arial" w:hAnsi="Arial"/>
        <w:b/>
        <w:sz w:val="22"/>
      </w:rPr>
      <w:t>Paris, le</w:t>
    </w:r>
    <w:r w:rsidR="009E23EE" w:rsidRPr="00F10BF6">
      <w:rPr>
        <w:rFonts w:ascii="Arial" w:hAnsi="Arial"/>
        <w:b/>
        <w:sz w:val="22"/>
      </w:rPr>
      <w:t xml:space="preserve"> </w:t>
    </w:r>
    <w:r w:rsidR="007C0B29">
      <w:rPr>
        <w:rFonts w:ascii="Arial" w:hAnsi="Arial"/>
        <w:b/>
        <w:sz w:val="22"/>
      </w:rPr>
      <w:t>2</w:t>
    </w:r>
    <w:r w:rsidR="0057731E">
      <w:rPr>
        <w:rFonts w:ascii="Arial" w:hAnsi="Arial"/>
        <w:b/>
        <w:sz w:val="22"/>
      </w:rPr>
      <w:t>7</w:t>
    </w:r>
    <w:r w:rsidRPr="00F10BF6">
      <w:rPr>
        <w:rFonts w:ascii="Arial" w:hAnsi="Arial"/>
        <w:b/>
        <w:sz w:val="22"/>
      </w:rPr>
      <w:t xml:space="preserve"> </w:t>
    </w:r>
    <w:r w:rsidR="009E23EE" w:rsidRPr="00F10BF6">
      <w:rPr>
        <w:rFonts w:ascii="Arial" w:hAnsi="Arial"/>
        <w:b/>
        <w:sz w:val="22"/>
      </w:rPr>
      <w:t>juin 2026</w:t>
    </w:r>
  </w:p>
  <w:p w14:paraId="24634689" w14:textId="45024A14" w:rsidR="00B91626" w:rsidRPr="005A74ED" w:rsidRDefault="00B91626" w:rsidP="00962034">
    <w:pPr>
      <w:spacing w:after="120"/>
      <w:jc w:val="right"/>
      <w:rPr>
        <w:rFonts w:ascii="Arial" w:hAnsi="Arial" w:cs="Arial"/>
        <w:b/>
        <w:sz w:val="22"/>
        <w:szCs w:val="22"/>
      </w:rPr>
    </w:pPr>
    <w:r w:rsidRPr="00F10BF6">
      <w:rPr>
        <w:rFonts w:ascii="Arial" w:hAnsi="Arial"/>
        <w:b/>
        <w:sz w:val="22"/>
      </w:rPr>
      <w:t xml:space="preserve">Original : </w:t>
    </w:r>
    <w:r w:rsidR="00103637" w:rsidRPr="00F10BF6">
      <w:rPr>
        <w:rFonts w:ascii="Arial" w:hAnsi="Arial"/>
        <w:b/>
      </w:rPr>
      <w:t>anglais/français</w:t>
    </w:r>
  </w:p>
  <w:p w14:paraId="0F95A8A6" w14:textId="77777777" w:rsidR="00B91626" w:rsidRPr="005A74ED" w:rsidRDefault="00B9162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A8C"/>
    <w:multiLevelType w:val="hybridMultilevel"/>
    <w:tmpl w:val="B0F6487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3665A57"/>
    <w:multiLevelType w:val="hybridMultilevel"/>
    <w:tmpl w:val="15ACCE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27952D27"/>
    <w:multiLevelType w:val="hybridMultilevel"/>
    <w:tmpl w:val="ABBE3550"/>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41360434"/>
    <w:lvl w:ilvl="0" w:tplc="B35A244C">
      <w:start w:val="1"/>
      <w:numFmt w:val="decimal"/>
      <w:pStyle w:val="COMParaDecision"/>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3A2B5538"/>
    <w:multiLevelType w:val="hybridMultilevel"/>
    <w:tmpl w:val="2B76B6C6"/>
    <w:lvl w:ilvl="0" w:tplc="FFFFFFFF">
      <w:start w:val="1"/>
      <w:numFmt w:val="lowerLetter"/>
      <w:lvlText w:val="(%1)"/>
      <w:lvlJc w:val="left"/>
      <w:pPr>
        <w:ind w:left="720" w:hanging="360"/>
      </w:pPr>
      <w:rPr>
        <w:rFonts w:asciiTheme="minorBidi" w:eastAsia="Yu Mincho" w:hAnsiTheme="minorBidi"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95216A"/>
    <w:multiLevelType w:val="hybridMultilevel"/>
    <w:tmpl w:val="D4D2177C"/>
    <w:lvl w:ilvl="0" w:tplc="D626FAFA">
      <w:start w:val="1"/>
      <w:numFmt w:val="lowerLetter"/>
      <w:lvlText w:val="%1)"/>
      <w:lvlJc w:val="left"/>
      <w:pPr>
        <w:ind w:left="1494" w:hanging="360"/>
      </w:pPr>
      <w:rPr>
        <w:rFonts w:hint="default"/>
        <w:u w:val="no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31D7A9A"/>
    <w:multiLevelType w:val="hybridMultilevel"/>
    <w:tmpl w:val="5A001D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A7C3DB9"/>
    <w:multiLevelType w:val="hybridMultilevel"/>
    <w:tmpl w:val="38CEA9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864D2D"/>
    <w:multiLevelType w:val="hybridMultilevel"/>
    <w:tmpl w:val="232A5FE0"/>
    <w:lvl w:ilvl="0" w:tplc="5B704648">
      <w:start w:val="1"/>
      <w:numFmt w:val="decimal"/>
      <w:lvlText w:val="%1."/>
      <w:lvlJc w:val="left"/>
      <w:pPr>
        <w:ind w:left="1287" w:hanging="363"/>
      </w:pPr>
      <w:rPr>
        <w:rFonts w:hint="default"/>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74907"/>
    <w:multiLevelType w:val="hybridMultilevel"/>
    <w:tmpl w:val="4636D7F2"/>
    <w:lvl w:ilvl="0" w:tplc="F89296DE">
      <w:start w:val="1"/>
      <w:numFmt w:val="decimal"/>
      <w:lvlText w:val="%1."/>
      <w:lvlJc w:val="left"/>
      <w:pPr>
        <w:ind w:left="720" w:hanging="360"/>
      </w:pPr>
      <w:rPr>
        <w:rFonts w:asciiTheme="minorBidi" w:hAnsiTheme="minorBidi" w:cstheme="minorBidi"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26FDC"/>
    <w:multiLevelType w:val="hybridMultilevel"/>
    <w:tmpl w:val="54BAB3B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15:restartNumberingAfterBreak="0">
    <w:nsid w:val="6B6F4E0E"/>
    <w:multiLevelType w:val="hybridMultilevel"/>
    <w:tmpl w:val="12C6B15C"/>
    <w:lvl w:ilvl="0" w:tplc="738A04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23"/>
  </w:num>
  <w:num w:numId="2" w16cid:durableId="853350057">
    <w:abstractNumId w:val="10"/>
  </w:num>
  <w:num w:numId="3" w16cid:durableId="1589851626">
    <w:abstractNumId w:val="3"/>
  </w:num>
  <w:num w:numId="4" w16cid:durableId="1870560250">
    <w:abstractNumId w:val="30"/>
  </w:num>
  <w:num w:numId="5" w16cid:durableId="1596859225">
    <w:abstractNumId w:val="24"/>
  </w:num>
  <w:num w:numId="6" w16cid:durableId="2080975943">
    <w:abstractNumId w:val="1"/>
  </w:num>
  <w:num w:numId="7" w16cid:durableId="1851137970">
    <w:abstractNumId w:val="4"/>
  </w:num>
  <w:num w:numId="8" w16cid:durableId="1715739635">
    <w:abstractNumId w:val="16"/>
  </w:num>
  <w:num w:numId="9" w16cid:durableId="1954705027">
    <w:abstractNumId w:val="9"/>
  </w:num>
  <w:num w:numId="10" w16cid:durableId="1949507549">
    <w:abstractNumId w:val="11"/>
  </w:num>
  <w:num w:numId="11" w16cid:durableId="671029231">
    <w:abstractNumId w:val="8"/>
  </w:num>
  <w:num w:numId="12" w16cid:durableId="1165126896">
    <w:abstractNumId w:val="6"/>
  </w:num>
  <w:num w:numId="13" w16cid:durableId="90053317">
    <w:abstractNumId w:val="21"/>
  </w:num>
  <w:num w:numId="14" w16cid:durableId="1645357661">
    <w:abstractNumId w:val="5"/>
  </w:num>
  <w:num w:numId="15" w16cid:durableId="797996451">
    <w:abstractNumId w:val="28"/>
  </w:num>
  <w:num w:numId="16" w16cid:durableId="164127508">
    <w:abstractNumId w:val="18"/>
  </w:num>
  <w:num w:numId="17" w16cid:durableId="1405369454">
    <w:abstractNumId w:val="11"/>
    <w:lvlOverride w:ilvl="0">
      <w:startOverride w:val="1"/>
    </w:lvlOverride>
  </w:num>
  <w:num w:numId="18" w16cid:durableId="918949064">
    <w:abstractNumId w:val="25"/>
  </w:num>
  <w:num w:numId="19" w16cid:durableId="1916747193">
    <w:abstractNumId w:val="13"/>
  </w:num>
  <w:num w:numId="20" w16cid:durableId="113792129">
    <w:abstractNumId w:val="20"/>
  </w:num>
  <w:num w:numId="21" w16cid:durableId="2059426798">
    <w:abstractNumId w:val="11"/>
    <w:lvlOverride w:ilvl="0">
      <w:startOverride w:val="1"/>
    </w:lvlOverride>
  </w:num>
  <w:num w:numId="22" w16cid:durableId="759330329">
    <w:abstractNumId w:val="14"/>
  </w:num>
  <w:num w:numId="23" w16cid:durableId="429279862">
    <w:abstractNumId w:val="11"/>
    <w:lvlOverride w:ilvl="0">
      <w:startOverride w:val="1"/>
    </w:lvlOverride>
  </w:num>
  <w:num w:numId="24" w16cid:durableId="1198470061">
    <w:abstractNumId w:val="29"/>
  </w:num>
  <w:num w:numId="25" w16cid:durableId="2077506205">
    <w:abstractNumId w:val="19"/>
  </w:num>
  <w:num w:numId="26" w16cid:durableId="1282955655">
    <w:abstractNumId w:val="27"/>
  </w:num>
  <w:num w:numId="27" w16cid:durableId="383218301">
    <w:abstractNumId w:val="12"/>
  </w:num>
  <w:num w:numId="28" w16cid:durableId="1956401713">
    <w:abstractNumId w:val="11"/>
    <w:lvlOverride w:ilvl="0">
      <w:startOverride w:val="1"/>
    </w:lvlOverride>
  </w:num>
  <w:num w:numId="29" w16cid:durableId="1731270475">
    <w:abstractNumId w:val="11"/>
    <w:lvlOverride w:ilvl="0">
      <w:startOverride w:val="1"/>
    </w:lvlOverride>
  </w:num>
  <w:num w:numId="30" w16cid:durableId="1730877188">
    <w:abstractNumId w:val="11"/>
    <w:lvlOverride w:ilvl="0">
      <w:startOverride w:val="1"/>
    </w:lvlOverride>
  </w:num>
  <w:num w:numId="31" w16cid:durableId="1778408646">
    <w:abstractNumId w:val="11"/>
    <w:lvlOverride w:ilvl="0">
      <w:startOverride w:val="1"/>
    </w:lvlOverride>
  </w:num>
  <w:num w:numId="32" w16cid:durableId="1985544719">
    <w:abstractNumId w:val="11"/>
    <w:lvlOverride w:ilvl="0">
      <w:startOverride w:val="1"/>
    </w:lvlOverride>
  </w:num>
  <w:num w:numId="33" w16cid:durableId="1902444642">
    <w:abstractNumId w:val="11"/>
    <w:lvlOverride w:ilvl="0">
      <w:startOverride w:val="1"/>
    </w:lvlOverride>
  </w:num>
  <w:num w:numId="34" w16cid:durableId="974607072">
    <w:abstractNumId w:val="11"/>
    <w:lvlOverride w:ilvl="0">
      <w:startOverride w:val="1"/>
    </w:lvlOverride>
  </w:num>
  <w:num w:numId="35" w16cid:durableId="1659533646">
    <w:abstractNumId w:val="11"/>
    <w:lvlOverride w:ilvl="0">
      <w:startOverride w:val="1"/>
    </w:lvlOverride>
  </w:num>
  <w:num w:numId="36" w16cid:durableId="1000697169">
    <w:abstractNumId w:val="11"/>
    <w:lvlOverride w:ilvl="0">
      <w:startOverride w:val="1"/>
    </w:lvlOverride>
  </w:num>
  <w:num w:numId="37" w16cid:durableId="1380085080">
    <w:abstractNumId w:val="7"/>
  </w:num>
  <w:num w:numId="38" w16cid:durableId="834105201">
    <w:abstractNumId w:val="11"/>
    <w:lvlOverride w:ilvl="0">
      <w:startOverride w:val="1"/>
    </w:lvlOverride>
  </w:num>
  <w:num w:numId="39" w16cid:durableId="1715615864">
    <w:abstractNumId w:val="11"/>
  </w:num>
  <w:num w:numId="40" w16cid:durableId="1116019052">
    <w:abstractNumId w:val="11"/>
  </w:num>
  <w:num w:numId="41" w16cid:durableId="725376600">
    <w:abstractNumId w:val="11"/>
  </w:num>
  <w:num w:numId="42" w16cid:durableId="1290359075">
    <w:abstractNumId w:val="26"/>
  </w:num>
  <w:num w:numId="43" w16cid:durableId="1140272908">
    <w:abstractNumId w:val="2"/>
  </w:num>
  <w:num w:numId="44" w16cid:durableId="696197254">
    <w:abstractNumId w:val="22"/>
  </w:num>
  <w:num w:numId="45" w16cid:durableId="1723019608">
    <w:abstractNumId w:val="15"/>
  </w:num>
  <w:num w:numId="46" w16cid:durableId="198667019">
    <w:abstractNumId w:val="17"/>
  </w:num>
  <w:num w:numId="47" w16cid:durableId="13422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112E5"/>
    <w:rsid w:val="00020BFC"/>
    <w:rsid w:val="00022428"/>
    <w:rsid w:val="000263BA"/>
    <w:rsid w:val="000279C1"/>
    <w:rsid w:val="0003530D"/>
    <w:rsid w:val="00040164"/>
    <w:rsid w:val="0005176E"/>
    <w:rsid w:val="000551BF"/>
    <w:rsid w:val="000573DC"/>
    <w:rsid w:val="00077AB7"/>
    <w:rsid w:val="00081CD8"/>
    <w:rsid w:val="0008289D"/>
    <w:rsid w:val="0008329C"/>
    <w:rsid w:val="00084F78"/>
    <w:rsid w:val="000A3553"/>
    <w:rsid w:val="000A6B95"/>
    <w:rsid w:val="000A7F0E"/>
    <w:rsid w:val="000E6CD7"/>
    <w:rsid w:val="000F3A3F"/>
    <w:rsid w:val="00100B12"/>
    <w:rsid w:val="00103637"/>
    <w:rsid w:val="0010460D"/>
    <w:rsid w:val="00114C01"/>
    <w:rsid w:val="00116719"/>
    <w:rsid w:val="00122206"/>
    <w:rsid w:val="00161EF5"/>
    <w:rsid w:val="00164D56"/>
    <w:rsid w:val="00165170"/>
    <w:rsid w:val="00167B10"/>
    <w:rsid w:val="00181BC1"/>
    <w:rsid w:val="0018234C"/>
    <w:rsid w:val="00187571"/>
    <w:rsid w:val="0019264E"/>
    <w:rsid w:val="00196C1B"/>
    <w:rsid w:val="001A766C"/>
    <w:rsid w:val="001B0F73"/>
    <w:rsid w:val="001B28AF"/>
    <w:rsid w:val="001C14F4"/>
    <w:rsid w:val="0020150F"/>
    <w:rsid w:val="00222A2D"/>
    <w:rsid w:val="002407AF"/>
    <w:rsid w:val="00251BE5"/>
    <w:rsid w:val="00254A44"/>
    <w:rsid w:val="00280D62"/>
    <w:rsid w:val="0028508E"/>
    <w:rsid w:val="0029418D"/>
    <w:rsid w:val="002A6C11"/>
    <w:rsid w:val="002A6F73"/>
    <w:rsid w:val="002B7179"/>
    <w:rsid w:val="002C0D14"/>
    <w:rsid w:val="002C1FBD"/>
    <w:rsid w:val="002C454D"/>
    <w:rsid w:val="002C6E48"/>
    <w:rsid w:val="002E2F53"/>
    <w:rsid w:val="002E3D25"/>
    <w:rsid w:val="002E58D4"/>
    <w:rsid w:val="002E5DF5"/>
    <w:rsid w:val="002F5F54"/>
    <w:rsid w:val="003256A8"/>
    <w:rsid w:val="0032583C"/>
    <w:rsid w:val="003732E4"/>
    <w:rsid w:val="003845BE"/>
    <w:rsid w:val="003A146B"/>
    <w:rsid w:val="003A51E9"/>
    <w:rsid w:val="003B1F9A"/>
    <w:rsid w:val="003C15CD"/>
    <w:rsid w:val="003C1678"/>
    <w:rsid w:val="003D069C"/>
    <w:rsid w:val="003D4F67"/>
    <w:rsid w:val="003E07D8"/>
    <w:rsid w:val="003E2A08"/>
    <w:rsid w:val="003E5945"/>
    <w:rsid w:val="003F113A"/>
    <w:rsid w:val="00401183"/>
    <w:rsid w:val="00402861"/>
    <w:rsid w:val="004061CA"/>
    <w:rsid w:val="004239C7"/>
    <w:rsid w:val="00426C8E"/>
    <w:rsid w:val="00440F9B"/>
    <w:rsid w:val="004417A7"/>
    <w:rsid w:val="004421E5"/>
    <w:rsid w:val="00443880"/>
    <w:rsid w:val="004514DE"/>
    <w:rsid w:val="00452284"/>
    <w:rsid w:val="00461168"/>
    <w:rsid w:val="00467FBE"/>
    <w:rsid w:val="004764E9"/>
    <w:rsid w:val="0048558A"/>
    <w:rsid w:val="00486948"/>
    <w:rsid w:val="00490804"/>
    <w:rsid w:val="00493EF8"/>
    <w:rsid w:val="00494725"/>
    <w:rsid w:val="00495C25"/>
    <w:rsid w:val="004962EB"/>
    <w:rsid w:val="00496453"/>
    <w:rsid w:val="0049705E"/>
    <w:rsid w:val="004A7079"/>
    <w:rsid w:val="004B3F6F"/>
    <w:rsid w:val="004E2C78"/>
    <w:rsid w:val="00507C40"/>
    <w:rsid w:val="00510255"/>
    <w:rsid w:val="00510344"/>
    <w:rsid w:val="0051413C"/>
    <w:rsid w:val="005158FF"/>
    <w:rsid w:val="00517612"/>
    <w:rsid w:val="00526B7B"/>
    <w:rsid w:val="005308CE"/>
    <w:rsid w:val="0053487A"/>
    <w:rsid w:val="00546486"/>
    <w:rsid w:val="005678AF"/>
    <w:rsid w:val="005708B8"/>
    <w:rsid w:val="0057439C"/>
    <w:rsid w:val="0057731E"/>
    <w:rsid w:val="00577793"/>
    <w:rsid w:val="0058384F"/>
    <w:rsid w:val="005A3183"/>
    <w:rsid w:val="005B0127"/>
    <w:rsid w:val="005B2955"/>
    <w:rsid w:val="005C094D"/>
    <w:rsid w:val="005C4B73"/>
    <w:rsid w:val="005D10EB"/>
    <w:rsid w:val="005D4262"/>
    <w:rsid w:val="00600D93"/>
    <w:rsid w:val="006018AA"/>
    <w:rsid w:val="006042C6"/>
    <w:rsid w:val="00616C7B"/>
    <w:rsid w:val="00626E9D"/>
    <w:rsid w:val="00627C5C"/>
    <w:rsid w:val="00655736"/>
    <w:rsid w:val="00663B8D"/>
    <w:rsid w:val="00676EAA"/>
    <w:rsid w:val="006811A0"/>
    <w:rsid w:val="006923BD"/>
    <w:rsid w:val="00696C8D"/>
    <w:rsid w:val="006A2AC2"/>
    <w:rsid w:val="006A3617"/>
    <w:rsid w:val="006B5001"/>
    <w:rsid w:val="006C2C54"/>
    <w:rsid w:val="006D21D9"/>
    <w:rsid w:val="006D251D"/>
    <w:rsid w:val="006D2536"/>
    <w:rsid w:val="006D5404"/>
    <w:rsid w:val="006D7AE5"/>
    <w:rsid w:val="006E46E4"/>
    <w:rsid w:val="006F444F"/>
    <w:rsid w:val="007066E8"/>
    <w:rsid w:val="00707ACA"/>
    <w:rsid w:val="007113C6"/>
    <w:rsid w:val="00711B90"/>
    <w:rsid w:val="00717AAB"/>
    <w:rsid w:val="00717DBD"/>
    <w:rsid w:val="00725B20"/>
    <w:rsid w:val="0073618F"/>
    <w:rsid w:val="007409AA"/>
    <w:rsid w:val="00741016"/>
    <w:rsid w:val="00764CF9"/>
    <w:rsid w:val="00775451"/>
    <w:rsid w:val="0078459C"/>
    <w:rsid w:val="00784B8C"/>
    <w:rsid w:val="007A000F"/>
    <w:rsid w:val="007C0B29"/>
    <w:rsid w:val="007C34DB"/>
    <w:rsid w:val="007C354B"/>
    <w:rsid w:val="007C38A9"/>
    <w:rsid w:val="007E60C6"/>
    <w:rsid w:val="007F04EB"/>
    <w:rsid w:val="007F5BCA"/>
    <w:rsid w:val="008064F0"/>
    <w:rsid w:val="00823A11"/>
    <w:rsid w:val="00824EF7"/>
    <w:rsid w:val="00850505"/>
    <w:rsid w:val="0085414A"/>
    <w:rsid w:val="0086269D"/>
    <w:rsid w:val="00863302"/>
    <w:rsid w:val="008712A2"/>
    <w:rsid w:val="00871C8F"/>
    <w:rsid w:val="008724E5"/>
    <w:rsid w:val="00877131"/>
    <w:rsid w:val="00884A9D"/>
    <w:rsid w:val="00886994"/>
    <w:rsid w:val="008A1EF1"/>
    <w:rsid w:val="008A32C2"/>
    <w:rsid w:val="008A4E1E"/>
    <w:rsid w:val="008A6E56"/>
    <w:rsid w:val="008B2D55"/>
    <w:rsid w:val="008B5DA0"/>
    <w:rsid w:val="008B64DF"/>
    <w:rsid w:val="008C0E44"/>
    <w:rsid w:val="008C296C"/>
    <w:rsid w:val="008D4305"/>
    <w:rsid w:val="008D4D0D"/>
    <w:rsid w:val="008E4D0D"/>
    <w:rsid w:val="008E6FC5"/>
    <w:rsid w:val="008F09EC"/>
    <w:rsid w:val="008F3398"/>
    <w:rsid w:val="008F5A4F"/>
    <w:rsid w:val="00902AFE"/>
    <w:rsid w:val="00907938"/>
    <w:rsid w:val="0091182F"/>
    <w:rsid w:val="00913D86"/>
    <w:rsid w:val="009163A7"/>
    <w:rsid w:val="009207B8"/>
    <w:rsid w:val="00922E3E"/>
    <w:rsid w:val="00933C6B"/>
    <w:rsid w:val="00937240"/>
    <w:rsid w:val="00950F68"/>
    <w:rsid w:val="00961E53"/>
    <w:rsid w:val="00962119"/>
    <w:rsid w:val="00963A5C"/>
    <w:rsid w:val="00974249"/>
    <w:rsid w:val="00993211"/>
    <w:rsid w:val="00993F33"/>
    <w:rsid w:val="009A18CD"/>
    <w:rsid w:val="009A1A99"/>
    <w:rsid w:val="009B1E51"/>
    <w:rsid w:val="009B223B"/>
    <w:rsid w:val="009B5302"/>
    <w:rsid w:val="009E0554"/>
    <w:rsid w:val="009E1B50"/>
    <w:rsid w:val="009E23EE"/>
    <w:rsid w:val="00A12558"/>
    <w:rsid w:val="00A13903"/>
    <w:rsid w:val="00A219C3"/>
    <w:rsid w:val="00A22951"/>
    <w:rsid w:val="00A34ED5"/>
    <w:rsid w:val="00A45836"/>
    <w:rsid w:val="00A45DBF"/>
    <w:rsid w:val="00A50663"/>
    <w:rsid w:val="00A61C6E"/>
    <w:rsid w:val="00A66AE8"/>
    <w:rsid w:val="00A712C4"/>
    <w:rsid w:val="00A74E7F"/>
    <w:rsid w:val="00A755A2"/>
    <w:rsid w:val="00A90761"/>
    <w:rsid w:val="00A92469"/>
    <w:rsid w:val="00A972FE"/>
    <w:rsid w:val="00AA5314"/>
    <w:rsid w:val="00AB2C36"/>
    <w:rsid w:val="00AC35FB"/>
    <w:rsid w:val="00AD1A86"/>
    <w:rsid w:val="00AE103E"/>
    <w:rsid w:val="00AE3322"/>
    <w:rsid w:val="00AE37D7"/>
    <w:rsid w:val="00AF0A07"/>
    <w:rsid w:val="00AF5AE5"/>
    <w:rsid w:val="00AF625E"/>
    <w:rsid w:val="00AF721B"/>
    <w:rsid w:val="00B073DE"/>
    <w:rsid w:val="00B152B1"/>
    <w:rsid w:val="00B432D0"/>
    <w:rsid w:val="00B43974"/>
    <w:rsid w:val="00B45750"/>
    <w:rsid w:val="00B45C6F"/>
    <w:rsid w:val="00B50A18"/>
    <w:rsid w:val="00B5229C"/>
    <w:rsid w:val="00B568CC"/>
    <w:rsid w:val="00B63F99"/>
    <w:rsid w:val="00B675B6"/>
    <w:rsid w:val="00B7248D"/>
    <w:rsid w:val="00B73DEE"/>
    <w:rsid w:val="00B82FF7"/>
    <w:rsid w:val="00B90701"/>
    <w:rsid w:val="00B907C4"/>
    <w:rsid w:val="00B91626"/>
    <w:rsid w:val="00BA2D42"/>
    <w:rsid w:val="00BA6102"/>
    <w:rsid w:val="00BC3420"/>
    <w:rsid w:val="00BD52C9"/>
    <w:rsid w:val="00BE0D52"/>
    <w:rsid w:val="00BE24A3"/>
    <w:rsid w:val="00BE6201"/>
    <w:rsid w:val="00BE6354"/>
    <w:rsid w:val="00C00273"/>
    <w:rsid w:val="00C06C42"/>
    <w:rsid w:val="00C1022C"/>
    <w:rsid w:val="00C1238A"/>
    <w:rsid w:val="00C318BF"/>
    <w:rsid w:val="00C358C4"/>
    <w:rsid w:val="00C377F5"/>
    <w:rsid w:val="00C503E6"/>
    <w:rsid w:val="00C70EA7"/>
    <w:rsid w:val="00C7516E"/>
    <w:rsid w:val="00C8040F"/>
    <w:rsid w:val="00C923F2"/>
    <w:rsid w:val="00CB2BA1"/>
    <w:rsid w:val="00CC031E"/>
    <w:rsid w:val="00CC16FF"/>
    <w:rsid w:val="00CD0D5A"/>
    <w:rsid w:val="00CF0647"/>
    <w:rsid w:val="00D02494"/>
    <w:rsid w:val="00D074E3"/>
    <w:rsid w:val="00D11B17"/>
    <w:rsid w:val="00D24877"/>
    <w:rsid w:val="00D25D69"/>
    <w:rsid w:val="00D33941"/>
    <w:rsid w:val="00D33AEB"/>
    <w:rsid w:val="00D34D13"/>
    <w:rsid w:val="00D35E2A"/>
    <w:rsid w:val="00D46D9F"/>
    <w:rsid w:val="00D520C1"/>
    <w:rsid w:val="00D5368D"/>
    <w:rsid w:val="00D7247C"/>
    <w:rsid w:val="00D7579B"/>
    <w:rsid w:val="00D75D42"/>
    <w:rsid w:val="00DA3480"/>
    <w:rsid w:val="00DA36ED"/>
    <w:rsid w:val="00DB207A"/>
    <w:rsid w:val="00DB4217"/>
    <w:rsid w:val="00DB4A84"/>
    <w:rsid w:val="00DB6BA2"/>
    <w:rsid w:val="00DC0F3C"/>
    <w:rsid w:val="00DC7565"/>
    <w:rsid w:val="00DE228D"/>
    <w:rsid w:val="00DE34F1"/>
    <w:rsid w:val="00DF4942"/>
    <w:rsid w:val="00E07947"/>
    <w:rsid w:val="00E22288"/>
    <w:rsid w:val="00E27468"/>
    <w:rsid w:val="00E47AD3"/>
    <w:rsid w:val="00E5423E"/>
    <w:rsid w:val="00E60B9D"/>
    <w:rsid w:val="00E627B1"/>
    <w:rsid w:val="00E62B4C"/>
    <w:rsid w:val="00E65673"/>
    <w:rsid w:val="00E6706F"/>
    <w:rsid w:val="00E86980"/>
    <w:rsid w:val="00E9376C"/>
    <w:rsid w:val="00EA1F08"/>
    <w:rsid w:val="00EA602C"/>
    <w:rsid w:val="00EC06C6"/>
    <w:rsid w:val="00ED3691"/>
    <w:rsid w:val="00EE0841"/>
    <w:rsid w:val="00EF2C08"/>
    <w:rsid w:val="00EF5990"/>
    <w:rsid w:val="00EF74E3"/>
    <w:rsid w:val="00F0109C"/>
    <w:rsid w:val="00F10BF6"/>
    <w:rsid w:val="00F13249"/>
    <w:rsid w:val="00F134B7"/>
    <w:rsid w:val="00F14572"/>
    <w:rsid w:val="00F4581D"/>
    <w:rsid w:val="00F576CB"/>
    <w:rsid w:val="00F62542"/>
    <w:rsid w:val="00F84A0B"/>
    <w:rsid w:val="00FA0FD1"/>
    <w:rsid w:val="00FB420E"/>
    <w:rsid w:val="00FC161D"/>
    <w:rsid w:val="00FC2940"/>
    <w:rsid w:val="00FC4715"/>
    <w:rsid w:val="00FD1226"/>
    <w:rsid w:val="00FE0BC7"/>
    <w:rsid w:val="00FE41C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paragraph" w:styleId="Heading7">
    <w:name w:val="heading 7"/>
    <w:basedOn w:val="Normal"/>
    <w:next w:val="Normal"/>
    <w:link w:val="Heading7Char"/>
    <w:uiPriority w:val="9"/>
    <w:semiHidden/>
    <w:unhideWhenUsed/>
    <w:qFormat/>
    <w:rsid w:val="00A972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A972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unhideWhenUsed/>
    <w:rsid w:val="008F5A4F"/>
    <w:rPr>
      <w:sz w:val="20"/>
      <w:szCs w:val="20"/>
    </w:rPr>
  </w:style>
  <w:style w:type="character" w:customStyle="1" w:styleId="FootnoteTextChar">
    <w:name w:val="Footnote Text Char"/>
    <w:basedOn w:val="DefaultParagraphFont"/>
    <w:link w:val="FootnoteText"/>
    <w:uiPriority w:val="99"/>
    <w:rsid w:val="008F5A4F"/>
    <w:rPr>
      <w:rFonts w:ascii="Times New Roman" w:eastAsia="Times New Roman" w:hAnsi="Times New Roman"/>
    </w:rPr>
  </w:style>
  <w:style w:type="character" w:styleId="FootnoteReference">
    <w:name w:val="footnote reference"/>
    <w:basedOn w:val="DefaultParagraphFont"/>
    <w:uiPriority w:val="99"/>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table" w:customStyle="1" w:styleId="TableGrid2">
    <w:name w:val="Table Grid2"/>
    <w:basedOn w:val="TableNormal"/>
    <w:next w:val="TableGrid"/>
    <w:uiPriority w:val="59"/>
    <w:rsid w:val="008E4D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Normal"/>
    <w:next w:val="TableGrid"/>
    <w:uiPriority w:val="39"/>
    <w:rsid w:val="00B91626"/>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A972FE"/>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semiHidden/>
    <w:rsid w:val="00A972F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02861"/>
    <w:rPr>
      <w:color w:val="605E5C"/>
      <w:shd w:val="clear" w:color="auto" w:fill="E1DFDD"/>
    </w:rPr>
  </w:style>
  <w:style w:type="character" w:styleId="FollowedHyperlink">
    <w:name w:val="FollowedHyperlink"/>
    <w:basedOn w:val="DefaultParagraphFont"/>
    <w:uiPriority w:val="99"/>
    <w:semiHidden/>
    <w:unhideWhenUsed/>
    <w:rsid w:val="004028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6-11.GA-2_FR.docx?v=1779132395" TargetMode="External"/><Relationship Id="rId13" Type="http://schemas.openxmlformats.org/officeDocument/2006/relationships/hyperlink" Target="https://ich.unesco.org/fr/decisions/6.GA/5" TargetMode="External"/><Relationship Id="rId18" Type="http://schemas.openxmlformats.org/officeDocument/2006/relationships/hyperlink" Target="https://unesdoc.unesco.org/ark:/48223/pf0000398080_fre" TargetMode="External"/><Relationship Id="rId26" Type="http://schemas.openxmlformats.org/officeDocument/2006/relationships/hyperlink" Target="https://ich.unesco.org/doc/src/LHE-26-11.GA-8_FR.docx?v=177914246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h.unesco.org/fr/decisions/20.COM/8" TargetMode="External"/><Relationship Id="rId34" Type="http://schemas.openxmlformats.org/officeDocument/2006/relationships/hyperlink" Target="https://ich.unesco.org/en/decisions/20.COM/16" TargetMode="External"/><Relationship Id="rId7" Type="http://schemas.openxmlformats.org/officeDocument/2006/relationships/endnotes" Target="endnotes.xml"/><Relationship Id="rId12" Type="http://schemas.openxmlformats.org/officeDocument/2006/relationships/hyperlink" Target="https://ich.unesco.org/doc/src/LHE-26-11.GA-5_FR.docx?v=1779140970" TargetMode="External"/><Relationship Id="rId17" Type="http://schemas.openxmlformats.org/officeDocument/2006/relationships/hyperlink" Target="https://ich.unesco.org/fr/decisions/20.COM/6.C" TargetMode="External"/><Relationship Id="rId25" Type="http://schemas.openxmlformats.org/officeDocument/2006/relationships/hyperlink" Target="https://ich.unesco.org" TargetMode="External"/><Relationship Id="rId33" Type="http://schemas.openxmlformats.org/officeDocument/2006/relationships/hyperlink" Target="https://ich.unesco.org/en/decisions/10.GA/9%20ADD."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fr/decisions/19.COM/15" TargetMode="External"/><Relationship Id="rId20" Type="http://schemas.openxmlformats.org/officeDocument/2006/relationships/hyperlink" Target="https://ich.unesco.org/fr/decisions/20.COM/6.C" TargetMode="External"/><Relationship Id="rId29" Type="http://schemas.openxmlformats.org/officeDocument/2006/relationships/hyperlink" Target="https://ich.unesco.org/fr/decisions/20.COM/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r%C3%A9solutions/3.GA/12" TargetMode="External"/><Relationship Id="rId24" Type="http://schemas.openxmlformats.org/officeDocument/2006/relationships/hyperlink" Target="https://ich.unesco.org" TargetMode="External"/><Relationship Id="rId32" Type="http://schemas.openxmlformats.org/officeDocument/2006/relationships/hyperlink" Target="https://ich.unesco.org/doc/src/LHE-26-11.GA-9_FR.docx?v=1779140436"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fr/decisions/10.GA/6" TargetMode="External"/><Relationship Id="rId23" Type="http://schemas.openxmlformats.org/officeDocument/2006/relationships/hyperlink" Target="https://ich.unesco.org" TargetMode="External"/><Relationship Id="rId28" Type="http://schemas.openxmlformats.org/officeDocument/2006/relationships/hyperlink" Target="https://unesdoc.unesco.org/ark:/48223/pf0000396877_fre" TargetMode="External"/><Relationship Id="rId36" Type="http://schemas.openxmlformats.org/officeDocument/2006/relationships/header" Target="header1.xml"/><Relationship Id="rId10" Type="http://schemas.openxmlformats.org/officeDocument/2006/relationships/hyperlink" Target="https://ich.unesco.org/doc/src/LHE-26-11.GA-4_FR.docx?v=1779099459" TargetMode="External"/><Relationship Id="rId19" Type="http://schemas.openxmlformats.org/officeDocument/2006/relationships/hyperlink" Target="https://ich.unesco.org/doc/src/LHE-26-11.GA-7_FR.docx?v=1779131997" TargetMode="External"/><Relationship Id="rId31" Type="http://schemas.openxmlformats.org/officeDocument/2006/relationships/hyperlink" Target="https://ich.unesco.org/fr/decisions/10.COM/8" TargetMode="External"/><Relationship Id="rId4" Type="http://schemas.openxmlformats.org/officeDocument/2006/relationships/settings" Target="settings.xml"/><Relationship Id="rId9" Type="http://schemas.openxmlformats.org/officeDocument/2006/relationships/hyperlink" Target="https://ich.unesco.org/doc/src/LHE-26-11.GA-3_FR.docx?v=1779099090" TargetMode="External"/><Relationship Id="rId14" Type="http://schemas.openxmlformats.org/officeDocument/2006/relationships/hyperlink" Target="https://ich.unesco.org/doc/src/LHE-26-11.GA-6_FR.docx?v=1779140683" TargetMode="External"/><Relationship Id="rId22" Type="http://schemas.openxmlformats.org/officeDocument/2006/relationships/hyperlink" Target="https://ich.unesco.org/fr/decisions/19.COM/15" TargetMode="External"/><Relationship Id="rId27" Type="http://schemas.openxmlformats.org/officeDocument/2006/relationships/hyperlink" Target="https://ich.unesco.org/doc/src/LHE-26-11.GA-INF.8_FR.docx" TargetMode="External"/><Relationship Id="rId30" Type="http://schemas.openxmlformats.org/officeDocument/2006/relationships/hyperlink" Target="https://ich.unesco.org/fr/decisions/20.COM/14" TargetMode="External"/><Relationship Id="rId35" Type="http://schemas.openxmlformats.org/officeDocument/2006/relationships/hyperlink" Target="https://ich.unesco.org/doc/src/LHE-26-11.GA-10_FR.docx?v=177911383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224</TotalTime>
  <Pages>14</Pages>
  <Words>5118</Words>
  <Characters>28154</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22</cp:revision>
  <cp:lastPrinted>2024-06-12T17:40:00Z</cp:lastPrinted>
  <dcterms:created xsi:type="dcterms:W3CDTF">2026-06-17T16:42:00Z</dcterms:created>
  <dcterms:modified xsi:type="dcterms:W3CDTF">2026-06-27T11:21:00Z</dcterms:modified>
</cp:coreProperties>
</file>