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512A" w14:textId="5F98C2C0" w:rsidR="00655736" w:rsidRPr="00F3039A" w:rsidRDefault="00655736" w:rsidP="00655736">
      <w:pPr>
        <w:spacing w:before="1440"/>
        <w:jc w:val="center"/>
        <w:rPr>
          <w:rFonts w:ascii="Arial" w:hAnsi="Arial" w:cs="Arial"/>
          <w:b/>
          <w:sz w:val="22"/>
          <w:szCs w:val="22"/>
          <w:lang w:val="en-GB"/>
        </w:rPr>
      </w:pPr>
      <w:r w:rsidRPr="00F3039A">
        <w:rPr>
          <w:rFonts w:ascii="Arial" w:hAnsi="Arial" w:cs="Arial"/>
          <w:b/>
          <w:sz w:val="22"/>
          <w:szCs w:val="22"/>
          <w:lang w:val="en-GB"/>
        </w:rPr>
        <w:t>CONVENTION FOR THE SAFEGUARDING OF THE</w:t>
      </w:r>
      <w:r w:rsidRPr="00F3039A">
        <w:rPr>
          <w:rFonts w:ascii="Arial" w:hAnsi="Arial" w:cs="Arial"/>
          <w:b/>
          <w:sz w:val="22"/>
          <w:szCs w:val="22"/>
          <w:lang w:val="en-GB"/>
        </w:rPr>
        <w:br/>
        <w:t>INTANGIBLE CULTURAL HERITAGE</w:t>
      </w:r>
    </w:p>
    <w:p w14:paraId="4E5F911F" w14:textId="77777777" w:rsidR="00655736" w:rsidRPr="00F3039A" w:rsidRDefault="00D95C4C" w:rsidP="00655736">
      <w:pPr>
        <w:spacing w:before="1200"/>
        <w:jc w:val="center"/>
        <w:rPr>
          <w:rFonts w:ascii="Arial" w:hAnsi="Arial" w:cs="Arial"/>
          <w:b/>
          <w:sz w:val="22"/>
          <w:szCs w:val="22"/>
          <w:lang w:val="en-GB"/>
        </w:rPr>
      </w:pPr>
      <w:r w:rsidRPr="00F3039A">
        <w:rPr>
          <w:rFonts w:ascii="Arial" w:hAnsi="Arial" w:cs="Arial"/>
          <w:b/>
          <w:sz w:val="22"/>
          <w:szCs w:val="22"/>
          <w:lang w:val="en-GB"/>
        </w:rPr>
        <w:t>GENERAL ASSEMBLY OF THE S</w:t>
      </w:r>
      <w:r w:rsidR="00C23A97" w:rsidRPr="00F3039A">
        <w:rPr>
          <w:rFonts w:ascii="Arial" w:hAnsi="Arial" w:cs="Arial"/>
          <w:b/>
          <w:sz w:val="22"/>
          <w:szCs w:val="22"/>
          <w:lang w:val="en-GB"/>
        </w:rPr>
        <w:t>TATES PARTIES TO THE CONVENTION</w:t>
      </w:r>
    </w:p>
    <w:p w14:paraId="0DB1B243" w14:textId="2E696847" w:rsidR="00246C33" w:rsidRPr="00F3039A" w:rsidRDefault="001B3EFA" w:rsidP="009C0F15">
      <w:pPr>
        <w:spacing w:before="840"/>
        <w:jc w:val="center"/>
        <w:rPr>
          <w:rFonts w:ascii="Arial" w:hAnsi="Arial" w:cs="Arial"/>
          <w:b/>
          <w:szCs w:val="22"/>
          <w:lang w:val="en-US"/>
        </w:rPr>
      </w:pPr>
      <w:r>
        <w:rPr>
          <w:rFonts w:ascii="Arial" w:hAnsi="Arial" w:cs="Arial"/>
          <w:b/>
          <w:szCs w:val="22"/>
          <w:lang w:val="en-US"/>
        </w:rPr>
        <w:t>Eleventh</w:t>
      </w:r>
      <w:r w:rsidR="00246C33" w:rsidRPr="00F3039A">
        <w:rPr>
          <w:rFonts w:ascii="Arial" w:hAnsi="Arial" w:cs="Arial"/>
          <w:b/>
          <w:szCs w:val="22"/>
          <w:lang w:val="en-US"/>
        </w:rPr>
        <w:t xml:space="preserve"> session</w:t>
      </w:r>
    </w:p>
    <w:p w14:paraId="751062CB" w14:textId="77777777" w:rsidR="00246C33" w:rsidRPr="00F3039A" w:rsidRDefault="00246C33" w:rsidP="009C0F15">
      <w:pPr>
        <w:jc w:val="center"/>
        <w:rPr>
          <w:rFonts w:ascii="Arial" w:hAnsi="Arial" w:cs="Arial"/>
          <w:b/>
          <w:szCs w:val="22"/>
          <w:lang w:val="en-US"/>
        </w:rPr>
      </w:pPr>
      <w:r w:rsidRPr="00F3039A">
        <w:rPr>
          <w:rFonts w:ascii="Arial" w:hAnsi="Arial" w:cs="Arial"/>
          <w:b/>
          <w:szCs w:val="22"/>
          <w:lang w:val="en-US"/>
        </w:rPr>
        <w:t>UNESCO Headquarters, Room I</w:t>
      </w:r>
    </w:p>
    <w:p w14:paraId="10AAF744" w14:textId="453118DC" w:rsidR="00246C33" w:rsidRPr="00F3039A" w:rsidRDefault="001B3EFA" w:rsidP="00810A5E">
      <w:pPr>
        <w:spacing w:after="1400"/>
        <w:jc w:val="center"/>
        <w:rPr>
          <w:rFonts w:ascii="Arial" w:hAnsi="Arial" w:cs="Arial"/>
          <w:b/>
          <w:szCs w:val="22"/>
        </w:rPr>
      </w:pPr>
      <w:r>
        <w:rPr>
          <w:rFonts w:ascii="Arial" w:hAnsi="Arial" w:cs="Arial"/>
          <w:b/>
          <w:szCs w:val="22"/>
        </w:rPr>
        <w:t>17</w:t>
      </w:r>
      <w:r w:rsidR="004D2974" w:rsidRPr="00F3039A">
        <w:rPr>
          <w:rFonts w:ascii="Arial" w:hAnsi="Arial" w:cs="Arial"/>
          <w:b/>
          <w:szCs w:val="22"/>
        </w:rPr>
        <w:t xml:space="preserve"> to</w:t>
      </w:r>
      <w:r w:rsidR="000E29C9">
        <w:rPr>
          <w:rFonts w:ascii="Arial" w:hAnsi="Arial" w:cs="Arial"/>
          <w:b/>
          <w:szCs w:val="22"/>
        </w:rPr>
        <w:t xml:space="preserve"> </w:t>
      </w:r>
      <w:r>
        <w:rPr>
          <w:rFonts w:ascii="Arial" w:hAnsi="Arial" w:cs="Arial"/>
          <w:b/>
          <w:szCs w:val="22"/>
        </w:rPr>
        <w:t>18</w:t>
      </w:r>
      <w:r w:rsidR="00246C33" w:rsidRPr="00F3039A">
        <w:rPr>
          <w:rFonts w:ascii="Arial" w:hAnsi="Arial" w:cs="Arial"/>
          <w:b/>
          <w:szCs w:val="22"/>
        </w:rPr>
        <w:t xml:space="preserve"> Ju</w:t>
      </w:r>
      <w:r w:rsidR="004D2974" w:rsidRPr="00F3039A">
        <w:rPr>
          <w:rFonts w:ascii="Arial" w:hAnsi="Arial" w:cs="Arial"/>
          <w:b/>
          <w:szCs w:val="22"/>
        </w:rPr>
        <w:t>ne</w:t>
      </w:r>
      <w:r w:rsidR="00246C33" w:rsidRPr="00F3039A">
        <w:rPr>
          <w:rFonts w:ascii="Arial" w:hAnsi="Arial" w:cs="Arial"/>
          <w:b/>
          <w:szCs w:val="22"/>
        </w:rPr>
        <w:t xml:space="preserve"> 202</w:t>
      </w:r>
      <w:r>
        <w:rPr>
          <w:rFonts w:ascii="Arial" w:hAnsi="Arial" w:cs="Arial"/>
          <w:b/>
          <w:szCs w:val="22"/>
        </w:rPr>
        <w:t>6</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F3039A" w14:paraId="13ED2C85" w14:textId="77777777" w:rsidTr="002F312A">
        <w:trPr>
          <w:jc w:val="center"/>
        </w:trPr>
        <w:tc>
          <w:tcPr>
            <w:tcW w:w="5670" w:type="dxa"/>
            <w:vAlign w:val="center"/>
          </w:tcPr>
          <w:p w14:paraId="6197B44F" w14:textId="77777777" w:rsidR="00655736" w:rsidRPr="00F3039A" w:rsidRDefault="00DA4672" w:rsidP="0013022E">
            <w:pPr>
              <w:pStyle w:val="Sansinterligne2"/>
              <w:spacing w:before="240" w:after="240"/>
              <w:jc w:val="center"/>
              <w:rPr>
                <w:rFonts w:ascii="Arial" w:hAnsi="Arial" w:cs="Arial"/>
                <w:b/>
                <w:sz w:val="22"/>
                <w:szCs w:val="22"/>
                <w:lang w:val="en-GB"/>
              </w:rPr>
            </w:pPr>
            <w:r w:rsidRPr="00F3039A">
              <w:rPr>
                <w:rFonts w:ascii="Arial" w:hAnsi="Arial" w:cs="Arial"/>
                <w:b/>
                <w:sz w:val="36"/>
                <w:szCs w:val="36"/>
                <w:lang w:val="en-GB"/>
              </w:rPr>
              <w:t>Resolutions</w:t>
            </w:r>
          </w:p>
        </w:tc>
      </w:tr>
    </w:tbl>
    <w:p w14:paraId="7CA5FD51" w14:textId="77777777" w:rsidR="00774834" w:rsidRPr="00F3039A" w:rsidRDefault="00655736" w:rsidP="009A6BC5">
      <w:pPr>
        <w:pStyle w:val="GATitleResolution"/>
      </w:pPr>
      <w:r w:rsidRPr="00F3039A">
        <w:br w:type="page"/>
      </w:r>
    </w:p>
    <w:p w14:paraId="1323EA0D" w14:textId="38227C2B" w:rsidR="008B2A1B" w:rsidRDefault="008B2A1B" w:rsidP="008B2A1B">
      <w:pPr>
        <w:pStyle w:val="GATitleResolution"/>
        <w:rPr>
          <w:b w:val="0"/>
          <w:bCs/>
        </w:rPr>
      </w:pPr>
      <w:r w:rsidRPr="008B2A1B">
        <w:lastRenderedPageBreak/>
        <w:t>RESOLUTION</w:t>
      </w:r>
      <w:r w:rsidRPr="008D53C8">
        <w:rPr>
          <w:bCs/>
        </w:rPr>
        <w:t xml:space="preserve"> 11.GA 2</w:t>
      </w:r>
    </w:p>
    <w:p w14:paraId="63D6B7C8" w14:textId="77777777" w:rsidR="008B2A1B" w:rsidRDefault="008B2A1B" w:rsidP="008B2A1B">
      <w:pPr>
        <w:pStyle w:val="GAPreambulaResolution"/>
        <w:ind w:left="0"/>
      </w:pPr>
      <w:r w:rsidRPr="00FB4206">
        <w:t>The General Assembly</w:t>
      </w:r>
      <w:r>
        <w:t>,</w:t>
      </w:r>
    </w:p>
    <w:p w14:paraId="3F55634D" w14:textId="0E4A98AE" w:rsidR="008B2A1B" w:rsidRDefault="008B2A1B" w:rsidP="00057159">
      <w:pPr>
        <w:pStyle w:val="GAPara"/>
        <w:ind w:left="630" w:hanging="630"/>
      </w:pPr>
      <w:r w:rsidRPr="00FB4206">
        <w:rPr>
          <w:u w:val="single"/>
        </w:rPr>
        <w:t>Having examined</w:t>
      </w:r>
      <w:r>
        <w:t xml:space="preserve"> document </w:t>
      </w:r>
      <w:hyperlink r:id="rId8" w:history="1">
        <w:r w:rsidRPr="004F67E5">
          <w:rPr>
            <w:rStyle w:val="Hyperlink"/>
          </w:rPr>
          <w:t>LHE/26/11.GA/2</w:t>
        </w:r>
      </w:hyperlink>
      <w:r w:rsidRPr="004F67E5">
        <w:t>,</w:t>
      </w:r>
    </w:p>
    <w:p w14:paraId="49CF4D2D" w14:textId="77777777" w:rsidR="008B2A1B" w:rsidRDefault="008B2A1B" w:rsidP="00057159">
      <w:pPr>
        <w:pStyle w:val="GAPara"/>
        <w:ind w:left="630" w:hanging="630"/>
      </w:pPr>
      <w:r w:rsidRPr="00FB4206">
        <w:rPr>
          <w:u w:val="single"/>
        </w:rPr>
        <w:t>Recalling</w:t>
      </w:r>
      <w:r>
        <w:t xml:space="preserve"> Rule 11 of its Rules of Procedure,</w:t>
      </w:r>
    </w:p>
    <w:p w14:paraId="30D086C6" w14:textId="7ACF3559" w:rsidR="008B2A1B" w:rsidRPr="0026734C" w:rsidRDefault="008B2A1B" w:rsidP="00B9385D">
      <w:pPr>
        <w:pStyle w:val="GAPara"/>
        <w:tabs>
          <w:tab w:val="left" w:pos="180"/>
        </w:tabs>
        <w:ind w:left="630" w:hanging="630"/>
      </w:pPr>
      <w:r w:rsidRPr="0026734C">
        <w:rPr>
          <w:u w:val="single"/>
        </w:rPr>
        <w:t>Elects</w:t>
      </w:r>
      <w:r w:rsidRPr="0026734C">
        <w:t xml:space="preserve"> </w:t>
      </w:r>
      <w:r w:rsidR="000D6177" w:rsidRPr="0026734C">
        <w:t xml:space="preserve">H.E. Mr Tomas Guardia Williamson (Panama) </w:t>
      </w:r>
      <w:r w:rsidRPr="0026734C">
        <w:t>as Chairperson of the General Assembly;</w:t>
      </w:r>
    </w:p>
    <w:p w14:paraId="4ACF2216" w14:textId="7A3E8639" w:rsidR="008B2A1B" w:rsidRPr="0026734C" w:rsidRDefault="008B2A1B" w:rsidP="00057159">
      <w:pPr>
        <w:pStyle w:val="GAPara"/>
        <w:ind w:left="630" w:hanging="630"/>
      </w:pPr>
      <w:r w:rsidRPr="0026734C">
        <w:rPr>
          <w:u w:val="single"/>
        </w:rPr>
        <w:t>Elects</w:t>
      </w:r>
      <w:r w:rsidRPr="0026734C">
        <w:t xml:space="preserve"> </w:t>
      </w:r>
      <w:r w:rsidR="000D6177" w:rsidRPr="0026734C">
        <w:t xml:space="preserve">Ms Joan Tan (Singapore) </w:t>
      </w:r>
      <w:r w:rsidRPr="0026734C">
        <w:t>as Rapporteur of the General Assembly;</w:t>
      </w:r>
    </w:p>
    <w:p w14:paraId="075B7CC3" w14:textId="31DB9F2D" w:rsidR="008B2A1B" w:rsidRPr="00FB4206" w:rsidRDefault="008B2A1B" w:rsidP="00057159">
      <w:pPr>
        <w:pStyle w:val="GAPara"/>
        <w:ind w:left="630" w:hanging="630"/>
      </w:pPr>
      <w:r w:rsidRPr="0026734C">
        <w:rPr>
          <w:u w:val="single"/>
        </w:rPr>
        <w:t>Elects</w:t>
      </w:r>
      <w:r w:rsidRPr="0026734C">
        <w:t xml:space="preserve"> </w:t>
      </w:r>
      <w:r w:rsidR="000D6177" w:rsidRPr="0026734C">
        <w:t>Kingdom of the Netherlands, Estonia, Pakistan, Nigeria and Kuwait</w:t>
      </w:r>
      <w:r w:rsidR="0026734C">
        <w:rPr>
          <w:sz w:val="36"/>
          <w:szCs w:val="36"/>
        </w:rPr>
        <w:t xml:space="preserve"> </w:t>
      </w:r>
      <w:r w:rsidRPr="0026734C">
        <w:t>as</w:t>
      </w:r>
      <w:r>
        <w:t xml:space="preserve"> Vice-Chairpersons of the General Assembly.</w:t>
      </w:r>
    </w:p>
    <w:p w14:paraId="67F7EA59" w14:textId="7E94183C" w:rsidR="008B2A1B" w:rsidRPr="00534D34" w:rsidRDefault="008B2A1B" w:rsidP="002B582C">
      <w:pPr>
        <w:pStyle w:val="GATitleResolution"/>
        <w:rPr>
          <w:rFonts w:eastAsia="SimSun"/>
        </w:rPr>
      </w:pPr>
      <w:r w:rsidRPr="008B2A1B">
        <w:rPr>
          <w:bCs/>
        </w:rPr>
        <w:t>RESOLUTION</w:t>
      </w:r>
      <w:r w:rsidRPr="00BB6EEC">
        <w:t xml:space="preserve"> 1</w:t>
      </w:r>
      <w:r>
        <w:t>1</w:t>
      </w:r>
      <w:r w:rsidRPr="00BB6EEC">
        <w:t>.</w:t>
      </w:r>
      <w:r w:rsidRPr="00534D34">
        <w:t>GA 3</w:t>
      </w:r>
    </w:p>
    <w:p w14:paraId="2CE634DF" w14:textId="77777777" w:rsidR="008B2A1B" w:rsidRPr="00534D34" w:rsidRDefault="008B2A1B" w:rsidP="008B2A1B">
      <w:pPr>
        <w:pStyle w:val="GAPreambulaResolution"/>
        <w:ind w:left="0"/>
        <w:rPr>
          <w:rFonts w:eastAsia="SimSun"/>
        </w:rPr>
      </w:pPr>
      <w:r w:rsidRPr="00534D34">
        <w:t>The General Assembly,</w:t>
      </w:r>
    </w:p>
    <w:p w14:paraId="16870F01" w14:textId="2083AA05" w:rsidR="008B2A1B" w:rsidRPr="00534D34" w:rsidRDefault="008B2A1B" w:rsidP="008B2A1B">
      <w:pPr>
        <w:pStyle w:val="COMParaDecision"/>
        <w:numPr>
          <w:ilvl w:val="0"/>
          <w:numId w:val="3"/>
        </w:numPr>
        <w:ind w:left="567" w:hanging="567"/>
      </w:pPr>
      <w:r w:rsidRPr="00534D34">
        <w:t>Having examined</w:t>
      </w:r>
      <w:r w:rsidRPr="00534D34">
        <w:rPr>
          <w:u w:val="none"/>
        </w:rPr>
        <w:t xml:space="preserve"> document </w:t>
      </w:r>
      <w:hyperlink r:id="rId9" w:history="1">
        <w:r w:rsidRPr="004F67E5">
          <w:rPr>
            <w:rStyle w:val="Hyperlink"/>
          </w:rPr>
          <w:t>LHE/26/11.GA/3</w:t>
        </w:r>
      </w:hyperlink>
      <w:r w:rsidRPr="004F67E5">
        <w:rPr>
          <w:u w:val="none"/>
        </w:rPr>
        <w:t>,</w:t>
      </w:r>
    </w:p>
    <w:p w14:paraId="5657517C" w14:textId="77777777" w:rsidR="008B2A1B" w:rsidRPr="003A1BA9" w:rsidRDefault="008B2A1B" w:rsidP="008B2A1B">
      <w:pPr>
        <w:pStyle w:val="COMParaDecision"/>
        <w:numPr>
          <w:ilvl w:val="0"/>
          <w:numId w:val="3"/>
        </w:numPr>
        <w:ind w:left="567" w:hanging="567"/>
        <w:rPr>
          <w:u w:val="none"/>
        </w:rPr>
      </w:pPr>
      <w:r w:rsidRPr="003A1BA9">
        <w:t>Adopts</w:t>
      </w:r>
      <w:r w:rsidRPr="003A1BA9">
        <w:rPr>
          <w:u w:val="none"/>
        </w:rPr>
        <w:t xml:space="preserve"> the agenda of its eleventh session (Paris, UNESCO Headquarters, 17 to 18 June 2026) as follows,</w:t>
      </w:r>
    </w:p>
    <w:p w14:paraId="6EDDDDC2" w14:textId="77777777" w:rsidR="008B2A1B" w:rsidRPr="003A1BA9" w:rsidRDefault="008B2A1B" w:rsidP="008B2A1B">
      <w:pPr>
        <w:tabs>
          <w:tab w:val="left" w:pos="1134"/>
        </w:tabs>
        <w:spacing w:before="360" w:after="240"/>
        <w:ind w:left="1134" w:hanging="567"/>
        <w:outlineLvl w:val="0"/>
        <w:rPr>
          <w:rFonts w:ascii="Arial" w:eastAsia="SimSun" w:hAnsi="Arial" w:cs="Arial"/>
          <w:b/>
          <w:sz w:val="22"/>
          <w:szCs w:val="22"/>
          <w:lang w:val="en-GB"/>
        </w:rPr>
      </w:pPr>
      <w:r w:rsidRPr="003A1BA9">
        <w:rPr>
          <w:rFonts w:ascii="Arial" w:eastAsia="SimSun" w:hAnsi="Arial" w:cs="Arial"/>
          <w:b/>
          <w:sz w:val="22"/>
          <w:szCs w:val="22"/>
          <w:lang w:val="en-GB"/>
        </w:rPr>
        <w:t>Agenda</w:t>
      </w:r>
    </w:p>
    <w:p w14:paraId="509141E7" w14:textId="77777777" w:rsidR="008B2A1B" w:rsidRPr="00863B9D" w:rsidRDefault="008B2A1B" w:rsidP="008B2A1B">
      <w:pPr>
        <w:pStyle w:val="COMParaDecision"/>
        <w:numPr>
          <w:ilvl w:val="0"/>
          <w:numId w:val="6"/>
        </w:numPr>
        <w:ind w:left="1134" w:hanging="567"/>
        <w:rPr>
          <w:u w:val="none"/>
        </w:rPr>
      </w:pPr>
      <w:r w:rsidRPr="00863B9D">
        <w:rPr>
          <w:u w:val="none"/>
        </w:rPr>
        <w:t>Opening</w:t>
      </w:r>
    </w:p>
    <w:p w14:paraId="6F9A2071" w14:textId="77777777" w:rsidR="008B2A1B" w:rsidRPr="00863B9D" w:rsidRDefault="008B2A1B" w:rsidP="008B2A1B">
      <w:pPr>
        <w:pStyle w:val="COMParaDecision"/>
        <w:numPr>
          <w:ilvl w:val="0"/>
          <w:numId w:val="6"/>
        </w:numPr>
        <w:ind w:left="1134" w:hanging="567"/>
        <w:rPr>
          <w:u w:val="none"/>
        </w:rPr>
      </w:pPr>
      <w:r>
        <w:rPr>
          <w:u w:val="none"/>
        </w:rPr>
        <w:t>Election of the Bureau</w:t>
      </w:r>
    </w:p>
    <w:p w14:paraId="06DB93FA" w14:textId="77777777" w:rsidR="008B2A1B" w:rsidRPr="00863B9D" w:rsidRDefault="008B2A1B" w:rsidP="008B2A1B">
      <w:pPr>
        <w:pStyle w:val="COMParaDecision"/>
        <w:numPr>
          <w:ilvl w:val="0"/>
          <w:numId w:val="6"/>
        </w:numPr>
        <w:ind w:left="1134" w:hanging="567"/>
        <w:rPr>
          <w:u w:val="none"/>
        </w:rPr>
      </w:pPr>
      <w:r>
        <w:rPr>
          <w:u w:val="none"/>
        </w:rPr>
        <w:t>Adoption of the agenda</w:t>
      </w:r>
    </w:p>
    <w:p w14:paraId="30C89A4A" w14:textId="77777777" w:rsidR="008B2A1B" w:rsidRDefault="008B2A1B" w:rsidP="008B2A1B">
      <w:pPr>
        <w:pStyle w:val="COMParaDecision"/>
        <w:numPr>
          <w:ilvl w:val="0"/>
          <w:numId w:val="6"/>
        </w:numPr>
        <w:ind w:left="1134" w:hanging="567"/>
        <w:rPr>
          <w:u w:val="none"/>
        </w:rPr>
      </w:pPr>
      <w:r>
        <w:rPr>
          <w:u w:val="none"/>
        </w:rPr>
        <w:t>Distribution of seats in the Committee per electoral group</w:t>
      </w:r>
    </w:p>
    <w:p w14:paraId="1AD3D2C4" w14:textId="77777777" w:rsidR="008B2A1B" w:rsidRPr="003F10AE" w:rsidRDefault="008B2A1B" w:rsidP="008B2A1B">
      <w:pPr>
        <w:pStyle w:val="COMParaDecision"/>
        <w:numPr>
          <w:ilvl w:val="0"/>
          <w:numId w:val="6"/>
        </w:numPr>
        <w:ind w:left="1134" w:hanging="567"/>
        <w:rPr>
          <w:u w:val="none"/>
        </w:rPr>
      </w:pPr>
      <w:r w:rsidRPr="00A41372">
        <w:rPr>
          <w:u w:val="none"/>
        </w:rPr>
        <w:t xml:space="preserve">Report </w:t>
      </w:r>
      <w:r>
        <w:rPr>
          <w:u w:val="none"/>
        </w:rPr>
        <w:t>by</w:t>
      </w:r>
      <w:r w:rsidRPr="00A41372">
        <w:rPr>
          <w:u w:val="none"/>
        </w:rPr>
        <w:t xml:space="preserve"> the Committee to the General Assembly (</w:t>
      </w:r>
      <w:r w:rsidRPr="003F10AE">
        <w:rPr>
          <w:u w:val="none"/>
        </w:rPr>
        <w:t>January 202</w:t>
      </w:r>
      <w:r>
        <w:rPr>
          <w:u w:val="none"/>
        </w:rPr>
        <w:t>4</w:t>
      </w:r>
      <w:r w:rsidRPr="003F10AE">
        <w:rPr>
          <w:u w:val="none"/>
        </w:rPr>
        <w:t xml:space="preserve"> to December 202</w:t>
      </w:r>
      <w:r>
        <w:rPr>
          <w:u w:val="none"/>
        </w:rPr>
        <w:t>5</w:t>
      </w:r>
      <w:r w:rsidRPr="003F10AE">
        <w:rPr>
          <w:u w:val="none"/>
        </w:rPr>
        <w:t>)</w:t>
      </w:r>
    </w:p>
    <w:p w14:paraId="4B49606D" w14:textId="77777777" w:rsidR="008B2A1B" w:rsidRDefault="008B2A1B" w:rsidP="008B2A1B">
      <w:pPr>
        <w:pStyle w:val="COMParaDecision"/>
        <w:numPr>
          <w:ilvl w:val="0"/>
          <w:numId w:val="6"/>
        </w:numPr>
        <w:ind w:left="1134" w:hanging="567"/>
        <w:rPr>
          <w:u w:val="none"/>
        </w:rPr>
      </w:pPr>
      <w:r w:rsidRPr="00C230E9">
        <w:rPr>
          <w:u w:val="none"/>
        </w:rPr>
        <w:t xml:space="preserve">Report </w:t>
      </w:r>
      <w:r>
        <w:rPr>
          <w:u w:val="none"/>
        </w:rPr>
        <w:t>by</w:t>
      </w:r>
      <w:r w:rsidRPr="00C230E9">
        <w:rPr>
          <w:u w:val="none"/>
        </w:rPr>
        <w:t xml:space="preserve"> the Secretariat on its </w:t>
      </w:r>
      <w:r w:rsidRPr="00011D08">
        <w:rPr>
          <w:u w:val="none"/>
        </w:rPr>
        <w:t>activities (January 202</w:t>
      </w:r>
      <w:r>
        <w:rPr>
          <w:u w:val="none"/>
        </w:rPr>
        <w:t>4</w:t>
      </w:r>
      <w:r w:rsidRPr="00011D08">
        <w:rPr>
          <w:u w:val="none"/>
        </w:rPr>
        <w:t xml:space="preserve"> to December 202</w:t>
      </w:r>
      <w:r>
        <w:rPr>
          <w:u w:val="none"/>
        </w:rPr>
        <w:t>5</w:t>
      </w:r>
      <w:r w:rsidRPr="00011D08">
        <w:rPr>
          <w:u w:val="none"/>
        </w:rPr>
        <w:t>)</w:t>
      </w:r>
    </w:p>
    <w:p w14:paraId="59050A6A" w14:textId="77777777" w:rsidR="008B2A1B" w:rsidRDefault="008B2A1B" w:rsidP="008B2A1B">
      <w:pPr>
        <w:pStyle w:val="COMParaDecision"/>
        <w:numPr>
          <w:ilvl w:val="0"/>
          <w:numId w:val="6"/>
        </w:numPr>
        <w:ind w:left="1134" w:hanging="567"/>
        <w:rPr>
          <w:u w:val="none"/>
        </w:rPr>
      </w:pPr>
      <w:r>
        <w:rPr>
          <w:u w:val="none"/>
        </w:rPr>
        <w:t>Proposed revisions to the Operational Directives for the implementation of the Convention</w:t>
      </w:r>
    </w:p>
    <w:p w14:paraId="316D7606" w14:textId="77777777" w:rsidR="008B2A1B" w:rsidRDefault="008B2A1B" w:rsidP="008B2A1B">
      <w:pPr>
        <w:pStyle w:val="COMParaDecision"/>
        <w:numPr>
          <w:ilvl w:val="0"/>
          <w:numId w:val="6"/>
        </w:numPr>
        <w:ind w:left="1134" w:hanging="567"/>
        <w:rPr>
          <w:u w:val="none"/>
        </w:rPr>
      </w:pPr>
      <w:r w:rsidRPr="00C230E9">
        <w:rPr>
          <w:u w:val="none"/>
        </w:rPr>
        <w:t>Use of the resources of the Intangible Cultural Heritage Fund</w:t>
      </w:r>
    </w:p>
    <w:p w14:paraId="4F55A523" w14:textId="77777777" w:rsidR="008B2A1B" w:rsidRDefault="008B2A1B" w:rsidP="008B2A1B">
      <w:pPr>
        <w:pStyle w:val="COMParaDecision"/>
        <w:numPr>
          <w:ilvl w:val="0"/>
          <w:numId w:val="6"/>
        </w:numPr>
        <w:ind w:left="1134" w:hanging="567"/>
        <w:rPr>
          <w:u w:val="none"/>
        </w:rPr>
      </w:pPr>
      <w:r w:rsidRPr="00C230E9">
        <w:rPr>
          <w:u w:val="none"/>
        </w:rPr>
        <w:t>Accreditation of non-governmental organizations to act in an advisory capacity to the Committee</w:t>
      </w:r>
    </w:p>
    <w:p w14:paraId="23AD0B34" w14:textId="77777777" w:rsidR="008B2A1B" w:rsidRDefault="008B2A1B" w:rsidP="008B2A1B">
      <w:pPr>
        <w:pStyle w:val="COMParaDecision"/>
        <w:numPr>
          <w:ilvl w:val="0"/>
          <w:numId w:val="6"/>
        </w:numPr>
        <w:ind w:left="1134" w:hanging="567"/>
        <w:rPr>
          <w:u w:val="none"/>
        </w:rPr>
      </w:pPr>
      <w:r w:rsidRPr="00C230E9">
        <w:rPr>
          <w:u w:val="none"/>
        </w:rPr>
        <w:t>Election of the members of the Intergovernmental Committee for the Safeguarding of the Intangible Cultural Heritage</w:t>
      </w:r>
    </w:p>
    <w:p w14:paraId="40939B6A" w14:textId="77777777" w:rsidR="008B2A1B" w:rsidRPr="00C230E9" w:rsidRDefault="008B2A1B" w:rsidP="008B2A1B">
      <w:pPr>
        <w:pStyle w:val="COMParaDecision"/>
        <w:numPr>
          <w:ilvl w:val="0"/>
          <w:numId w:val="6"/>
        </w:numPr>
        <w:ind w:left="1134" w:hanging="567"/>
        <w:rPr>
          <w:u w:val="none"/>
        </w:rPr>
      </w:pPr>
      <w:r w:rsidRPr="00C230E9">
        <w:rPr>
          <w:u w:val="none"/>
        </w:rPr>
        <w:t>Other business</w:t>
      </w:r>
    </w:p>
    <w:p w14:paraId="79BDFCF5" w14:textId="77777777" w:rsidR="008B2A1B" w:rsidRDefault="008B2A1B" w:rsidP="008B2A1B">
      <w:pPr>
        <w:pStyle w:val="COMParaDecision"/>
        <w:numPr>
          <w:ilvl w:val="0"/>
          <w:numId w:val="6"/>
        </w:numPr>
        <w:ind w:left="1134" w:hanging="567"/>
        <w:rPr>
          <w:u w:val="none"/>
        </w:rPr>
      </w:pPr>
      <w:r w:rsidRPr="00C230E9">
        <w:rPr>
          <w:u w:val="none"/>
        </w:rPr>
        <w:t>Closure</w:t>
      </w:r>
    </w:p>
    <w:p w14:paraId="1871EDF4" w14:textId="4984E276" w:rsidR="008B2A1B" w:rsidRPr="0030296D" w:rsidRDefault="008B2A1B" w:rsidP="008B2A1B">
      <w:pPr>
        <w:pStyle w:val="COMTitleDecision"/>
        <w:ind w:left="0"/>
        <w:rPr>
          <w:rFonts w:eastAsia="SimSun"/>
        </w:rPr>
      </w:pPr>
      <w:r w:rsidRPr="0030296D">
        <w:t>RESOLUTION 11.GA 4</w:t>
      </w:r>
    </w:p>
    <w:p w14:paraId="65C25BC4" w14:textId="77777777" w:rsidR="008B2A1B" w:rsidRPr="0030296D" w:rsidRDefault="008B2A1B" w:rsidP="008B2A1B">
      <w:pPr>
        <w:pStyle w:val="COMPreambulaDecisions"/>
        <w:ind w:left="0"/>
        <w:rPr>
          <w:rFonts w:eastAsia="SimSun"/>
        </w:rPr>
      </w:pPr>
      <w:r w:rsidRPr="0030296D">
        <w:t>The General Assembly,</w:t>
      </w:r>
    </w:p>
    <w:p w14:paraId="6C475BE5" w14:textId="5F869C28" w:rsidR="008B2A1B" w:rsidRPr="0030296D" w:rsidRDefault="008B2A1B">
      <w:pPr>
        <w:pStyle w:val="GAPara"/>
        <w:numPr>
          <w:ilvl w:val="0"/>
          <w:numId w:val="7"/>
        </w:numPr>
        <w:ind w:left="630" w:hanging="630"/>
      </w:pPr>
      <w:r w:rsidRPr="00057159">
        <w:rPr>
          <w:u w:val="single"/>
        </w:rPr>
        <w:t>Having</w:t>
      </w:r>
      <w:r w:rsidRPr="0030296D">
        <w:t xml:space="preserve"> examined document </w:t>
      </w:r>
      <w:hyperlink r:id="rId10" w:history="1">
        <w:r w:rsidRPr="004F67E5">
          <w:rPr>
            <w:rStyle w:val="Hyperlink"/>
          </w:rPr>
          <w:t>LHE/26/11.GA/4</w:t>
        </w:r>
      </w:hyperlink>
      <w:r w:rsidRPr="004F67E5">
        <w:t>,</w:t>
      </w:r>
    </w:p>
    <w:p w14:paraId="089D5D66" w14:textId="77777777" w:rsidR="008B2A1B" w:rsidRPr="0030296D" w:rsidRDefault="008B2A1B" w:rsidP="00057159">
      <w:pPr>
        <w:pStyle w:val="GAPara"/>
        <w:ind w:left="630" w:hanging="630"/>
      </w:pPr>
      <w:r w:rsidRPr="00057159">
        <w:rPr>
          <w:u w:val="single"/>
        </w:rPr>
        <w:t>Recalling</w:t>
      </w:r>
      <w:r w:rsidRPr="0030296D">
        <w:t xml:space="preserve"> Article 6 of the Convention,</w:t>
      </w:r>
    </w:p>
    <w:p w14:paraId="1814D99D" w14:textId="77777777" w:rsidR="008B2A1B" w:rsidRPr="0030296D" w:rsidRDefault="008B2A1B" w:rsidP="00057159">
      <w:pPr>
        <w:pStyle w:val="GAPara"/>
        <w:ind w:left="630" w:hanging="630"/>
      </w:pPr>
      <w:r w:rsidRPr="0030296D">
        <w:t xml:space="preserve">Further </w:t>
      </w:r>
      <w:r w:rsidRPr="00057159">
        <w:rPr>
          <w:u w:val="single"/>
        </w:rPr>
        <w:t>recalling</w:t>
      </w:r>
      <w:r w:rsidRPr="0030296D">
        <w:t xml:space="preserve"> Rule 35 of its Rules of Procedure, as well as Resolution </w:t>
      </w:r>
      <w:hyperlink r:id="rId11" w:history="1">
        <w:r w:rsidRPr="0030296D">
          <w:rPr>
            <w:rStyle w:val="Hyperlink"/>
          </w:rPr>
          <w:t>3.GA 12</w:t>
        </w:r>
      </w:hyperlink>
      <w:r w:rsidRPr="0030296D">
        <w:t>,</w:t>
      </w:r>
    </w:p>
    <w:p w14:paraId="72ED216A" w14:textId="77777777" w:rsidR="008B2A1B" w:rsidRPr="0030296D" w:rsidRDefault="008B2A1B" w:rsidP="00057159">
      <w:pPr>
        <w:pStyle w:val="GAPara"/>
        <w:ind w:left="630" w:hanging="630"/>
      </w:pPr>
      <w:r w:rsidRPr="00057159">
        <w:rPr>
          <w:u w:val="single"/>
        </w:rPr>
        <w:t>Decides</w:t>
      </w:r>
      <w:r w:rsidRPr="0030296D">
        <w:t xml:space="preserve"> that, for the purpose of the election at its eleventh session, the twenty-four seats of the Committee shall be distributed among electoral groups as follows: Group I – three seats; Group II – three seats; Group III – four seats; Group IV – five seats; Group V(a) – six seats; and Group V(b) – three seats.</w:t>
      </w:r>
    </w:p>
    <w:p w14:paraId="0845EC8D" w14:textId="13C3EDF4" w:rsidR="002B582C" w:rsidRPr="00FB2880" w:rsidRDefault="002B582C" w:rsidP="002B582C">
      <w:pPr>
        <w:pStyle w:val="COMTitleDecision"/>
        <w:ind w:left="0"/>
        <w:rPr>
          <w:rFonts w:eastAsia="SimSun"/>
        </w:rPr>
      </w:pPr>
      <w:r w:rsidRPr="00FB2880">
        <w:lastRenderedPageBreak/>
        <w:t>RESOLUTION 11.GA 5</w:t>
      </w:r>
    </w:p>
    <w:p w14:paraId="7D908169" w14:textId="77777777" w:rsidR="002B582C" w:rsidRPr="00FB2880" w:rsidRDefault="002B582C" w:rsidP="002B582C">
      <w:pPr>
        <w:pStyle w:val="COMPreambulaDecisions"/>
        <w:ind w:left="0"/>
        <w:rPr>
          <w:rFonts w:eastAsia="SimSun"/>
        </w:rPr>
      </w:pPr>
      <w:r w:rsidRPr="00FB2880">
        <w:t>The General Assembly,</w:t>
      </w:r>
    </w:p>
    <w:p w14:paraId="2BC18F15" w14:textId="574B9460" w:rsidR="002B582C" w:rsidRPr="00FB2880" w:rsidRDefault="002B582C">
      <w:pPr>
        <w:pStyle w:val="COMParaDecision"/>
        <w:numPr>
          <w:ilvl w:val="0"/>
          <w:numId w:val="8"/>
        </w:numPr>
        <w:tabs>
          <w:tab w:val="left" w:pos="993"/>
        </w:tabs>
        <w:ind w:left="540" w:hanging="540"/>
      </w:pPr>
      <w:r w:rsidRPr="00FB2880">
        <w:t>Having examined</w:t>
      </w:r>
      <w:r w:rsidRPr="00FB2880">
        <w:rPr>
          <w:u w:val="none"/>
        </w:rPr>
        <w:t xml:space="preserve"> document </w:t>
      </w:r>
      <w:hyperlink r:id="rId12" w:history="1">
        <w:r w:rsidRPr="004F67E5">
          <w:rPr>
            <w:rStyle w:val="Hyperlink"/>
          </w:rPr>
          <w:t>LHE/26/11.GA/5</w:t>
        </w:r>
      </w:hyperlink>
      <w:r w:rsidRPr="00FB2880">
        <w:rPr>
          <w:u w:val="none"/>
        </w:rPr>
        <w:t xml:space="preserve"> and its annex,</w:t>
      </w:r>
    </w:p>
    <w:p w14:paraId="3B9AEEDF" w14:textId="77777777" w:rsidR="002B582C" w:rsidRPr="00FB2880" w:rsidRDefault="002B582C">
      <w:pPr>
        <w:pStyle w:val="COMParaDecision"/>
        <w:numPr>
          <w:ilvl w:val="0"/>
          <w:numId w:val="8"/>
        </w:numPr>
        <w:ind w:left="540" w:hanging="567"/>
      </w:pPr>
      <w:r w:rsidRPr="00FB2880">
        <w:t>Recalling</w:t>
      </w:r>
      <w:r w:rsidRPr="00FB2880">
        <w:rPr>
          <w:u w:val="none"/>
        </w:rPr>
        <w:t xml:space="preserve"> Article 30 of the Convention and Resolution </w:t>
      </w:r>
      <w:hyperlink r:id="rId13" w:history="1">
        <w:r w:rsidRPr="00FB2880">
          <w:rPr>
            <w:rStyle w:val="Hyperlink"/>
          </w:rPr>
          <w:t>6.GA 5</w:t>
        </w:r>
      </w:hyperlink>
      <w:r w:rsidRPr="00FB2880">
        <w:rPr>
          <w:u w:val="none"/>
        </w:rPr>
        <w:t>,</w:t>
      </w:r>
    </w:p>
    <w:p w14:paraId="41CABD79" w14:textId="77777777" w:rsidR="002B582C" w:rsidRPr="00FB2880" w:rsidRDefault="002B582C">
      <w:pPr>
        <w:pStyle w:val="COMParaDecision"/>
        <w:numPr>
          <w:ilvl w:val="0"/>
          <w:numId w:val="8"/>
        </w:numPr>
        <w:ind w:left="540" w:hanging="567"/>
      </w:pPr>
      <w:r w:rsidRPr="00FB2880">
        <w:t>Welcomes</w:t>
      </w:r>
      <w:r w:rsidRPr="00FB2880">
        <w:rPr>
          <w:u w:val="none"/>
        </w:rPr>
        <w:t xml:space="preserve"> Libya, Sierra Leone, South Africa and the United Kingdom of Great Britain and Northern Ireland, which ratified the Convention during the reporting period, bringing the total number of States Parties to 185, and </w:t>
      </w:r>
      <w:r w:rsidRPr="00FB2880">
        <w:t>encourages</w:t>
      </w:r>
      <w:r w:rsidRPr="00FB2880">
        <w:rPr>
          <w:u w:val="none"/>
        </w:rPr>
        <w:t xml:space="preserve"> those States which have not yet ratified to consider doing so;</w:t>
      </w:r>
    </w:p>
    <w:p w14:paraId="19D3AA58" w14:textId="77777777" w:rsidR="002B582C" w:rsidRPr="00FB2880" w:rsidRDefault="002B582C">
      <w:pPr>
        <w:pStyle w:val="COMParaDecision"/>
        <w:numPr>
          <w:ilvl w:val="0"/>
          <w:numId w:val="8"/>
        </w:numPr>
        <w:ind w:left="540" w:hanging="567"/>
      </w:pPr>
      <w:r w:rsidRPr="00FB2880">
        <w:t>Takes note</w:t>
      </w:r>
      <w:r w:rsidRPr="00FB2880">
        <w:rPr>
          <w:u w:val="none"/>
        </w:rPr>
        <w:t xml:space="preserve"> of the report by the Committee to the General Assembly on its activities between January 2024 and December 2025, as annexed to this document, and </w:t>
      </w:r>
      <w:r w:rsidRPr="00FB2880">
        <w:t>thanks</w:t>
      </w:r>
      <w:r w:rsidRPr="00FB2880">
        <w:rPr>
          <w:u w:val="none"/>
        </w:rPr>
        <w:t xml:space="preserve"> the Committee for its effective work;</w:t>
      </w:r>
    </w:p>
    <w:p w14:paraId="683AAE35" w14:textId="77777777" w:rsidR="002B582C" w:rsidRPr="00FB2880" w:rsidRDefault="002B582C">
      <w:pPr>
        <w:pStyle w:val="COMParaDecision"/>
        <w:numPr>
          <w:ilvl w:val="0"/>
          <w:numId w:val="8"/>
        </w:numPr>
        <w:ind w:left="540" w:hanging="567"/>
      </w:pPr>
      <w:r w:rsidRPr="00FB2880">
        <w:t>Commends</w:t>
      </w:r>
      <w:r w:rsidRPr="00FB2880">
        <w:rPr>
          <w:u w:val="none"/>
        </w:rPr>
        <w:t xml:space="preserve"> the Committee for advancing the thematic initiatives of the Convention, notably the Guidance note on climate action for living heritage (2024) and the Guidance note on safeguarding intangible cultural heritage in urban contexts (2025), in addition to the previously established Guidance note on the economic dimensions of intangible cultural heritage safeguarding (2023), and </w:t>
      </w:r>
      <w:r w:rsidRPr="00FB2880">
        <w:t>calls for</w:t>
      </w:r>
      <w:r w:rsidRPr="00FB2880">
        <w:rPr>
          <w:u w:val="none"/>
        </w:rPr>
        <w:t xml:space="preserve"> their integration into the Convention’s programmes, capacity-building interventions and other international frameworks;</w:t>
      </w:r>
    </w:p>
    <w:p w14:paraId="2E3A28F5" w14:textId="77777777" w:rsidR="002B582C" w:rsidRPr="00FB2880" w:rsidRDefault="002B582C">
      <w:pPr>
        <w:pStyle w:val="COMParaDecision"/>
        <w:numPr>
          <w:ilvl w:val="0"/>
          <w:numId w:val="8"/>
        </w:numPr>
        <w:ind w:left="540" w:hanging="567"/>
      </w:pPr>
      <w:r w:rsidRPr="00FB2880">
        <w:t>Further commends</w:t>
      </w:r>
      <w:r w:rsidRPr="00FB2880">
        <w:rPr>
          <w:u w:val="none"/>
        </w:rPr>
        <w:t xml:space="preserve"> the Committee for the progress it made concerning the reflection on a broader implementation of Article 18, with reference to the establishment of the online platform for sharing good safeguarding experiences to reflect aspirations, experiences and knowledge of communities across regions;</w:t>
      </w:r>
    </w:p>
    <w:p w14:paraId="08420298" w14:textId="77777777" w:rsidR="002B582C" w:rsidRPr="00FB2880" w:rsidRDefault="002B582C">
      <w:pPr>
        <w:pStyle w:val="COMParaDecision"/>
        <w:numPr>
          <w:ilvl w:val="0"/>
          <w:numId w:val="8"/>
        </w:numPr>
        <w:ind w:left="540" w:hanging="567"/>
        <w:rPr>
          <w:u w:val="none"/>
        </w:rPr>
      </w:pPr>
      <w:r w:rsidRPr="00FB2880">
        <w:t>Acknowledges</w:t>
      </w:r>
      <w:r w:rsidRPr="00FB2880">
        <w:rPr>
          <w:u w:val="none"/>
        </w:rPr>
        <w:t xml:space="preserve"> the positive outcomes of the two funding priorities for 2022-2025, </w:t>
      </w:r>
      <w:r w:rsidRPr="00FB2880">
        <w:t>further welcomes</w:t>
      </w:r>
      <w:r w:rsidRPr="00FB2880">
        <w:rPr>
          <w:u w:val="none"/>
        </w:rPr>
        <w:t xml:space="preserve"> the Committee’s approval of the two new f</w:t>
      </w:r>
      <w:r w:rsidRPr="00FB2880">
        <w:rPr>
          <w:rFonts w:asciiTheme="minorBidi" w:hAnsiTheme="minorBidi" w:cstheme="minorBidi"/>
          <w:u w:val="none"/>
        </w:rPr>
        <w:t>unding priorities for the period 2026</w:t>
      </w:r>
      <w:r w:rsidRPr="00FB2880">
        <w:rPr>
          <w:u w:val="none"/>
        </w:rPr>
        <w:t>-</w:t>
      </w:r>
      <w:r w:rsidRPr="00FB2880">
        <w:rPr>
          <w:rFonts w:asciiTheme="minorBidi" w:hAnsiTheme="minorBidi" w:cstheme="minorBidi"/>
          <w:u w:val="none"/>
        </w:rPr>
        <w:t xml:space="preserve">2029: ‘Enhancing capacity-building approaches for safeguarding intangible cultural heritage with a focus on human well-being and community empowerment’ (Funding Priority A) and ‘Refining approaches for safeguarding intangible cultural heritage’ (Funding Priority B), and </w:t>
      </w:r>
      <w:r w:rsidRPr="00FB2880">
        <w:rPr>
          <w:rFonts w:asciiTheme="minorBidi" w:hAnsiTheme="minorBidi" w:cstheme="minorBidi"/>
        </w:rPr>
        <w:t>invites</w:t>
      </w:r>
      <w:r w:rsidRPr="00FB2880">
        <w:rPr>
          <w:rFonts w:asciiTheme="minorBidi" w:hAnsiTheme="minorBidi" w:cstheme="minorBidi"/>
          <w:u w:val="none"/>
        </w:rPr>
        <w:t xml:space="preserve"> all States Parties to provide voluntary supplementary contributions to support activities within the scope of these priorities;</w:t>
      </w:r>
    </w:p>
    <w:p w14:paraId="676A2E8C" w14:textId="1D2A3833" w:rsidR="002B582C" w:rsidRPr="00FB2880" w:rsidRDefault="002B582C">
      <w:pPr>
        <w:pStyle w:val="COMParaDecision"/>
        <w:numPr>
          <w:ilvl w:val="0"/>
          <w:numId w:val="8"/>
        </w:numPr>
        <w:ind w:left="540" w:hanging="567"/>
        <w:rPr>
          <w:u w:val="none"/>
        </w:rPr>
      </w:pPr>
      <w:r w:rsidRPr="00FB2880">
        <w:t>Notes with satisfaction</w:t>
      </w:r>
      <w:r w:rsidRPr="00FB2880">
        <w:rPr>
          <w:u w:val="none"/>
        </w:rPr>
        <w:t xml:space="preserve"> the significantly high rates of submission under the first regional cycle of periodic </w:t>
      </w:r>
      <w:r w:rsidRPr="00252EC5">
        <w:rPr>
          <w:u w:val="none"/>
        </w:rPr>
        <w:t>reporting and</w:t>
      </w:r>
      <w:r w:rsidR="0001558A" w:rsidRPr="00252EC5">
        <w:rPr>
          <w:u w:val="none"/>
        </w:rPr>
        <w:t xml:space="preserve"> </w:t>
      </w:r>
      <w:r w:rsidR="0001558A" w:rsidRPr="00252EC5">
        <w:t>takes note</w:t>
      </w:r>
      <w:r w:rsidR="0001558A" w:rsidRPr="00252EC5">
        <w:rPr>
          <w:u w:val="none"/>
        </w:rPr>
        <w:t xml:space="preserve"> of </w:t>
      </w:r>
      <w:r w:rsidRPr="00252EC5">
        <w:rPr>
          <w:u w:val="none"/>
        </w:rPr>
        <w:t>the Committee’s</w:t>
      </w:r>
      <w:r w:rsidRPr="00FB2880">
        <w:rPr>
          <w:u w:val="none"/>
        </w:rPr>
        <w:t xml:space="preserve"> endorsement of the move towards a single global submission system for the periodic reporting mechanisms;</w:t>
      </w:r>
    </w:p>
    <w:p w14:paraId="6F88ACF0" w14:textId="77777777" w:rsidR="002B582C" w:rsidRPr="00FB2880" w:rsidRDefault="002B582C">
      <w:pPr>
        <w:pStyle w:val="COMParaDecision"/>
        <w:numPr>
          <w:ilvl w:val="0"/>
          <w:numId w:val="8"/>
        </w:numPr>
        <w:ind w:left="540" w:hanging="567"/>
      </w:pPr>
      <w:r w:rsidRPr="00FB2880">
        <w:t>Requests</w:t>
      </w:r>
      <w:r w:rsidRPr="00FB2880">
        <w:rPr>
          <w:u w:val="none"/>
        </w:rPr>
        <w:t xml:space="preserve"> that the Director-General bring this report to the attention of the General Conference of UNESCO, in conformity with Article 30, paragraph 2 of the Convention.</w:t>
      </w:r>
    </w:p>
    <w:p w14:paraId="22D001A3" w14:textId="43656141" w:rsidR="002B582C" w:rsidRPr="000F2BF8" w:rsidRDefault="002B582C" w:rsidP="002B582C">
      <w:pPr>
        <w:pStyle w:val="COMTitleDecision"/>
        <w:ind w:left="0"/>
        <w:rPr>
          <w:rFonts w:eastAsia="SimSun"/>
        </w:rPr>
      </w:pPr>
      <w:r w:rsidRPr="000F2BF8">
        <w:t>RESOLUTION 11.GA 6</w:t>
      </w:r>
    </w:p>
    <w:p w14:paraId="20DB9E23" w14:textId="77777777" w:rsidR="002B582C" w:rsidRPr="000F2BF8" w:rsidRDefault="002B582C" w:rsidP="002B582C">
      <w:pPr>
        <w:pStyle w:val="COMPreambulaDecisions"/>
        <w:ind w:left="0"/>
        <w:rPr>
          <w:rFonts w:eastAsia="SimSun"/>
        </w:rPr>
      </w:pPr>
      <w:r w:rsidRPr="000F2BF8">
        <w:t>The General Assembly,</w:t>
      </w:r>
    </w:p>
    <w:p w14:paraId="244E68FA" w14:textId="216539C1" w:rsidR="002B582C" w:rsidRPr="000F2BF8" w:rsidRDefault="002B582C">
      <w:pPr>
        <w:pStyle w:val="COMParaDecision"/>
        <w:numPr>
          <w:ilvl w:val="0"/>
          <w:numId w:val="9"/>
        </w:numPr>
        <w:ind w:left="540" w:hanging="540"/>
      </w:pPr>
      <w:r w:rsidRPr="000F2BF8">
        <w:t>Having examined</w:t>
      </w:r>
      <w:r w:rsidRPr="000F2BF8">
        <w:rPr>
          <w:u w:val="none"/>
        </w:rPr>
        <w:t xml:space="preserve"> document </w:t>
      </w:r>
      <w:hyperlink r:id="rId14" w:history="1">
        <w:r w:rsidRPr="0047351B">
          <w:rPr>
            <w:rStyle w:val="Hyperlink"/>
          </w:rPr>
          <w:t>LHE/26/11.GA/6</w:t>
        </w:r>
      </w:hyperlink>
      <w:r w:rsidRPr="000F2BF8">
        <w:rPr>
          <w:u w:val="none"/>
        </w:rPr>
        <w:t xml:space="preserve"> and its annexes,</w:t>
      </w:r>
    </w:p>
    <w:p w14:paraId="6F1E0480" w14:textId="77777777" w:rsidR="002B582C" w:rsidRPr="000F2BF8" w:rsidRDefault="002B582C">
      <w:pPr>
        <w:pStyle w:val="COMParaDecision"/>
        <w:numPr>
          <w:ilvl w:val="0"/>
          <w:numId w:val="9"/>
        </w:numPr>
        <w:ind w:left="540" w:hanging="567"/>
      </w:pPr>
      <w:r w:rsidRPr="000F2BF8">
        <w:t>Recalling</w:t>
      </w:r>
      <w:r w:rsidRPr="000F2BF8">
        <w:rPr>
          <w:u w:val="none"/>
        </w:rPr>
        <w:t xml:space="preserve"> Resolution </w:t>
      </w:r>
      <w:hyperlink r:id="rId15" w:history="1">
        <w:r w:rsidRPr="000F2BF8">
          <w:rPr>
            <w:rStyle w:val="Hyperlink"/>
          </w:rPr>
          <w:t>10.GA 6</w:t>
        </w:r>
      </w:hyperlink>
      <w:r w:rsidRPr="000F2BF8">
        <w:rPr>
          <w:u w:val="none"/>
        </w:rPr>
        <w:t xml:space="preserve">, as well as Decisions </w:t>
      </w:r>
      <w:hyperlink r:id="rId16" w:history="1">
        <w:r w:rsidRPr="000F2BF8">
          <w:rPr>
            <w:rStyle w:val="Hyperlink"/>
          </w:rPr>
          <w:t>19.COM 15</w:t>
        </w:r>
      </w:hyperlink>
      <w:r w:rsidRPr="000F2BF8">
        <w:rPr>
          <w:u w:val="none"/>
        </w:rPr>
        <w:t xml:space="preserve"> and </w:t>
      </w:r>
      <w:hyperlink r:id="rId17" w:history="1">
        <w:r w:rsidRPr="000F2BF8">
          <w:rPr>
            <w:rStyle w:val="Hyperlink"/>
          </w:rPr>
          <w:t>20.COM 6.c</w:t>
        </w:r>
      </w:hyperlink>
      <w:r w:rsidRPr="000F2BF8">
        <w:rPr>
          <w:u w:val="none"/>
        </w:rPr>
        <w:t>,</w:t>
      </w:r>
    </w:p>
    <w:p w14:paraId="6D9F9FDA" w14:textId="77777777" w:rsidR="002B582C" w:rsidRPr="000F2BF8" w:rsidRDefault="002B582C">
      <w:pPr>
        <w:pStyle w:val="COMParaDecision"/>
        <w:numPr>
          <w:ilvl w:val="0"/>
          <w:numId w:val="9"/>
        </w:numPr>
        <w:ind w:left="540" w:hanging="567"/>
      </w:pPr>
      <w:r w:rsidRPr="000F2BF8">
        <w:t>Further recalling</w:t>
      </w:r>
      <w:r w:rsidRPr="000F2BF8">
        <w:rPr>
          <w:u w:val="none"/>
        </w:rPr>
        <w:t xml:space="preserve"> </w:t>
      </w:r>
      <w:hyperlink r:id="rId18" w:history="1">
        <w:r w:rsidRPr="000F2BF8">
          <w:rPr>
            <w:rStyle w:val="Hyperlink"/>
          </w:rPr>
          <w:t>224 EX/Decision 4.I</w:t>
        </w:r>
      </w:hyperlink>
      <w:r w:rsidRPr="000F2BF8">
        <w:rPr>
          <w:u w:val="none"/>
        </w:rPr>
        <w:t xml:space="preserve"> of the Executive Board of UNESCO, as well as the 2021 IOS Evaluation of UNESCO’s action in the framework of the 2003 Convention and the 2024 IOS Evaluation of UNESCO’s periodic reporting on the Culture Sector’s Conventions and Recommendations,</w:t>
      </w:r>
    </w:p>
    <w:p w14:paraId="1FC46A0E" w14:textId="77777777" w:rsidR="002B582C" w:rsidRPr="000F2BF8" w:rsidRDefault="002B582C">
      <w:pPr>
        <w:pStyle w:val="COMParaDecision"/>
        <w:numPr>
          <w:ilvl w:val="0"/>
          <w:numId w:val="9"/>
        </w:numPr>
        <w:ind w:left="540" w:hanging="567"/>
      </w:pPr>
      <w:r w:rsidRPr="000F2BF8">
        <w:t>Commends</w:t>
      </w:r>
      <w:r w:rsidRPr="000F2BF8">
        <w:rPr>
          <w:u w:val="none"/>
        </w:rPr>
        <w:t xml:space="preserve"> the Secretariat for the continued support provided for the sound governance of the Convention, through the efficient organization of statutory meetings and management of international cooperation mechanisms, particularly the systematization and expanded reach of the International Assistance mechanism;</w:t>
      </w:r>
    </w:p>
    <w:p w14:paraId="4D25584D" w14:textId="77777777" w:rsidR="002B582C" w:rsidRPr="000F2BF8" w:rsidRDefault="002B582C">
      <w:pPr>
        <w:pStyle w:val="COMParaDecision"/>
        <w:numPr>
          <w:ilvl w:val="0"/>
          <w:numId w:val="9"/>
        </w:numPr>
        <w:ind w:left="540" w:hanging="567"/>
      </w:pPr>
      <w:r w:rsidRPr="000F2BF8">
        <w:t>Takes note</w:t>
      </w:r>
      <w:r w:rsidRPr="000F2BF8">
        <w:rPr>
          <w:u w:val="none"/>
        </w:rPr>
        <w:t xml:space="preserve"> of the issues raised concerning the number and treatment of nomination files submitted as a result of increasing interest in and support for the listing mechanisms of the </w:t>
      </w:r>
      <w:r w:rsidRPr="000F2BF8">
        <w:rPr>
          <w:u w:val="none"/>
        </w:rPr>
        <w:lastRenderedPageBreak/>
        <w:t xml:space="preserve">Convention, and </w:t>
      </w:r>
      <w:r w:rsidRPr="000F2BF8">
        <w:t>requests</w:t>
      </w:r>
      <w:r w:rsidRPr="000F2BF8">
        <w:rPr>
          <w:u w:val="none"/>
        </w:rPr>
        <w:t xml:space="preserve"> that the Secretariat report on the evolution of the situation for examination by the twelfth session of the General Assembly, taking into account the discussions to be held at the twenty-first (2026) and twenty-second (2027) sessions of the Committee;</w:t>
      </w:r>
    </w:p>
    <w:p w14:paraId="2CB96B2C" w14:textId="77777777" w:rsidR="002B582C" w:rsidRPr="000F2BF8" w:rsidRDefault="002B582C">
      <w:pPr>
        <w:pStyle w:val="COMParaDecision"/>
        <w:numPr>
          <w:ilvl w:val="0"/>
          <w:numId w:val="9"/>
        </w:numPr>
        <w:ind w:left="540" w:hanging="567"/>
      </w:pPr>
      <w:r w:rsidRPr="000F2BF8">
        <w:t>Notes with satisfaction</w:t>
      </w:r>
      <w:r w:rsidRPr="000F2BF8">
        <w:rPr>
          <w:u w:val="none"/>
        </w:rPr>
        <w:t xml:space="preserve"> the completion of the first regional cycle of periodic reporting and the substantially improved submission rates of periodic reports from all regions, and </w:t>
      </w:r>
      <w:r w:rsidRPr="000F2BF8">
        <w:t>encourages</w:t>
      </w:r>
      <w:r w:rsidRPr="000F2BF8">
        <w:rPr>
          <w:u w:val="none"/>
        </w:rPr>
        <w:t xml:space="preserve"> the Secretariat to adapt best practices from this cycle in view of the move to the single global submission system for reporting;</w:t>
      </w:r>
    </w:p>
    <w:p w14:paraId="605151B9" w14:textId="77777777" w:rsidR="002B582C" w:rsidRPr="000F2BF8" w:rsidRDefault="002B582C">
      <w:pPr>
        <w:pStyle w:val="COMParaDecision"/>
        <w:numPr>
          <w:ilvl w:val="0"/>
          <w:numId w:val="9"/>
        </w:numPr>
        <w:ind w:left="540" w:hanging="567"/>
      </w:pPr>
      <w:r w:rsidRPr="000F2BF8">
        <w:t>Appreciates</w:t>
      </w:r>
      <w:r w:rsidRPr="000F2BF8">
        <w:rPr>
          <w:u w:val="none"/>
        </w:rPr>
        <w:t xml:space="preserve"> the reorientation of the global capacity-building programme to a multi-modal and intersectoral approach, as well as the progress made under the thematic initiatives of the Convention;</w:t>
      </w:r>
    </w:p>
    <w:p w14:paraId="2AB8FEC6" w14:textId="77777777" w:rsidR="002B582C" w:rsidRPr="000F2BF8" w:rsidRDefault="002B582C">
      <w:pPr>
        <w:pStyle w:val="COMParaDecision"/>
        <w:numPr>
          <w:ilvl w:val="0"/>
          <w:numId w:val="9"/>
        </w:numPr>
        <w:ind w:left="540" w:hanging="567"/>
      </w:pPr>
      <w:r w:rsidRPr="000F2BF8">
        <w:t>Also takes note</w:t>
      </w:r>
      <w:r w:rsidRPr="000F2BF8">
        <w:rPr>
          <w:u w:val="none"/>
        </w:rPr>
        <w:t xml:space="preserve"> of the achievements made under the funding priorities for 2022–2025 as well as the new funding priorities of the Convention for 2026–2029, and </w:t>
      </w:r>
      <w:r w:rsidRPr="000F2BF8">
        <w:t>invites</w:t>
      </w:r>
      <w:r w:rsidRPr="000F2BF8">
        <w:rPr>
          <w:u w:val="none"/>
        </w:rPr>
        <w:t xml:space="preserve"> the Secretariat to continue aligning the global capacity-building programme and thematic initiatives of the Convention with their main areas of action, while deepening its cooperation with other UNESCO programmes and the wider UN system;</w:t>
      </w:r>
    </w:p>
    <w:p w14:paraId="1612C03C" w14:textId="77777777" w:rsidR="002B582C" w:rsidRPr="000F2BF8" w:rsidRDefault="002B582C">
      <w:pPr>
        <w:pStyle w:val="COMParaDecision"/>
        <w:numPr>
          <w:ilvl w:val="0"/>
          <w:numId w:val="9"/>
        </w:numPr>
        <w:ind w:left="540" w:hanging="567"/>
      </w:pPr>
      <w:r w:rsidRPr="000F2BF8">
        <w:t>Also appreciates</w:t>
      </w:r>
      <w:r w:rsidRPr="000F2BF8">
        <w:rPr>
          <w:u w:val="none"/>
        </w:rPr>
        <w:t xml:space="preserve"> the full implementation of the recommendations made by the 2021 IOS Evaluation on UNESCO’s action in the framework of the 2003 Convention, </w:t>
      </w:r>
      <w:r w:rsidRPr="000F2BF8">
        <w:t>thanks</w:t>
      </w:r>
      <w:r w:rsidRPr="000F2BF8">
        <w:rPr>
          <w:u w:val="none"/>
        </w:rPr>
        <w:t xml:space="preserve"> the Secretariat for its reporting in this regard, and </w:t>
      </w:r>
      <w:r w:rsidRPr="000F2BF8">
        <w:t>considers</w:t>
      </w:r>
      <w:r w:rsidRPr="000F2BF8">
        <w:rPr>
          <w:u w:val="none"/>
        </w:rPr>
        <w:t xml:space="preserve"> that future reporting on the implementation of the recommendations is to be provided on an as-needed basis;</w:t>
      </w:r>
    </w:p>
    <w:p w14:paraId="68656A27" w14:textId="77777777" w:rsidR="002B582C" w:rsidRPr="000F2BF8" w:rsidRDefault="002B582C">
      <w:pPr>
        <w:pStyle w:val="COMParaDecision"/>
        <w:numPr>
          <w:ilvl w:val="0"/>
          <w:numId w:val="9"/>
        </w:numPr>
        <w:ind w:left="540" w:hanging="567"/>
      </w:pPr>
      <w:r w:rsidRPr="000F2BF8">
        <w:t>Further requests</w:t>
      </w:r>
      <w:r w:rsidRPr="000F2BF8">
        <w:rPr>
          <w:u w:val="none"/>
        </w:rPr>
        <w:t xml:space="preserve"> that the Secretariat report on its activities for the period between January 2026 and December 2027 for examination by the General Assembly at its twelfth session.</w:t>
      </w:r>
    </w:p>
    <w:p w14:paraId="3DCF40B5" w14:textId="2350C0AC" w:rsidR="008C325A" w:rsidRPr="00195EB3" w:rsidRDefault="008C325A" w:rsidP="008C325A">
      <w:pPr>
        <w:pStyle w:val="COMTitleDecision"/>
        <w:ind w:left="0"/>
        <w:rPr>
          <w:rFonts w:eastAsia="SimSun"/>
        </w:rPr>
      </w:pPr>
      <w:r w:rsidRPr="00195EB3">
        <w:t>RESOLUTION 11.GA 7</w:t>
      </w:r>
    </w:p>
    <w:p w14:paraId="52F230C0" w14:textId="77777777" w:rsidR="008C325A" w:rsidRPr="00195EB3" w:rsidRDefault="008C325A" w:rsidP="008C325A">
      <w:pPr>
        <w:pStyle w:val="COMPreambulaDecisions"/>
        <w:ind w:left="0"/>
        <w:rPr>
          <w:rFonts w:eastAsia="SimSun"/>
        </w:rPr>
      </w:pPr>
      <w:r w:rsidRPr="00195EB3">
        <w:t>The General Assembly,</w:t>
      </w:r>
    </w:p>
    <w:p w14:paraId="30451D27" w14:textId="4D979B5C" w:rsidR="008C325A" w:rsidRPr="00195EB3" w:rsidRDefault="008C325A">
      <w:pPr>
        <w:pStyle w:val="COMParaDecision"/>
        <w:numPr>
          <w:ilvl w:val="0"/>
          <w:numId w:val="10"/>
        </w:numPr>
        <w:ind w:left="540" w:hanging="540"/>
      </w:pPr>
      <w:r w:rsidRPr="00195EB3">
        <w:t>Having examined</w:t>
      </w:r>
      <w:r w:rsidRPr="00195EB3">
        <w:rPr>
          <w:u w:val="none"/>
        </w:rPr>
        <w:t xml:space="preserve"> document </w:t>
      </w:r>
      <w:hyperlink r:id="rId19" w:history="1">
        <w:r w:rsidRPr="0047351B">
          <w:rPr>
            <w:rStyle w:val="Hyperlink"/>
          </w:rPr>
          <w:t>LHE/26/11.GA/7</w:t>
        </w:r>
      </w:hyperlink>
      <w:r w:rsidRPr="00195EB3">
        <w:rPr>
          <w:u w:val="none"/>
        </w:rPr>
        <w:t xml:space="preserve"> and its annex,</w:t>
      </w:r>
    </w:p>
    <w:p w14:paraId="667C2E1E" w14:textId="77777777" w:rsidR="008C325A" w:rsidRPr="00195EB3" w:rsidRDefault="008C325A">
      <w:pPr>
        <w:pStyle w:val="COMParaDecision"/>
        <w:numPr>
          <w:ilvl w:val="0"/>
          <w:numId w:val="10"/>
        </w:numPr>
        <w:ind w:left="540" w:hanging="540"/>
      </w:pPr>
      <w:r w:rsidRPr="00195EB3">
        <w:t>Recalling</w:t>
      </w:r>
      <w:r w:rsidRPr="00195EB3">
        <w:rPr>
          <w:u w:val="none"/>
        </w:rPr>
        <w:t xml:space="preserve"> Decisions </w:t>
      </w:r>
      <w:hyperlink r:id="rId20" w:history="1">
        <w:r w:rsidRPr="00195EB3">
          <w:rPr>
            <w:rStyle w:val="Hyperlink"/>
          </w:rPr>
          <w:t>20.COM 6.c</w:t>
        </w:r>
      </w:hyperlink>
      <w:r w:rsidRPr="00195EB3">
        <w:rPr>
          <w:u w:val="none"/>
        </w:rPr>
        <w:t xml:space="preserve"> and </w:t>
      </w:r>
      <w:hyperlink r:id="rId21" w:history="1">
        <w:r w:rsidRPr="00195EB3">
          <w:rPr>
            <w:rStyle w:val="Hyperlink"/>
          </w:rPr>
          <w:t>20.COM 8</w:t>
        </w:r>
      </w:hyperlink>
      <w:r w:rsidRPr="00195EB3">
        <w:rPr>
          <w:u w:val="none"/>
        </w:rPr>
        <w:t>,</w:t>
      </w:r>
    </w:p>
    <w:p w14:paraId="450223A4" w14:textId="77777777" w:rsidR="008C325A" w:rsidRPr="00195EB3" w:rsidRDefault="008C325A" w:rsidP="008C325A">
      <w:pPr>
        <w:pStyle w:val="COMParaDecision"/>
        <w:spacing w:before="240"/>
        <w:ind w:left="540" w:firstLine="0"/>
        <w:rPr>
          <w:b/>
          <w:bCs/>
          <w:u w:val="none"/>
        </w:rPr>
      </w:pPr>
      <w:r w:rsidRPr="00195EB3">
        <w:rPr>
          <w:b/>
          <w:bCs/>
          <w:u w:val="none"/>
        </w:rPr>
        <w:t>Treatment of nomination files for the listing mechanisms of the Convention</w:t>
      </w:r>
    </w:p>
    <w:p w14:paraId="7E1E363F" w14:textId="77777777" w:rsidR="008C325A" w:rsidRPr="00195EB3" w:rsidRDefault="008C325A">
      <w:pPr>
        <w:pStyle w:val="COMParaDecision"/>
        <w:numPr>
          <w:ilvl w:val="0"/>
          <w:numId w:val="10"/>
        </w:numPr>
        <w:ind w:left="540" w:hanging="540"/>
      </w:pPr>
      <w:r w:rsidRPr="00195EB3">
        <w:t>Takes note</w:t>
      </w:r>
      <w:r w:rsidRPr="00195EB3">
        <w:rPr>
          <w:u w:val="none"/>
        </w:rPr>
        <w:t xml:space="preserve"> of the proposed revisions to the Operational Directives endorsed by the twentieth session of the Committee concerning the treatment of nomination files to the listing mechanisms of the Convention;</w:t>
      </w:r>
    </w:p>
    <w:p w14:paraId="68140FC3" w14:textId="7CB5F81D" w:rsidR="008C325A" w:rsidRPr="0047351B" w:rsidRDefault="008C325A">
      <w:pPr>
        <w:pStyle w:val="COMParaDecision"/>
        <w:numPr>
          <w:ilvl w:val="0"/>
          <w:numId w:val="10"/>
        </w:numPr>
        <w:ind w:left="540" w:hanging="540"/>
        <w:rPr>
          <w:u w:val="none"/>
        </w:rPr>
      </w:pPr>
      <w:r w:rsidRPr="00195EB3">
        <w:rPr>
          <w:lang w:val="en-US"/>
        </w:rPr>
        <w:t>Appreciates</w:t>
      </w:r>
      <w:r w:rsidRPr="00195EB3">
        <w:rPr>
          <w:u w:val="none"/>
          <w:lang w:val="en-US"/>
        </w:rPr>
        <w:t xml:space="preserve"> the positive effects of the current approach applied to the technical completeness check phase of the treatment </w:t>
      </w:r>
      <w:r w:rsidRPr="00C7234C">
        <w:rPr>
          <w:u w:val="none"/>
          <w:lang w:val="en-US"/>
        </w:rPr>
        <w:t xml:space="preserve">of nominations, to support the efforts from States and communities, while, at the same time, </w:t>
      </w:r>
      <w:r w:rsidR="00D74265" w:rsidRPr="00C7234C">
        <w:rPr>
          <w:u w:val="none"/>
          <w:lang w:val="en-US"/>
        </w:rPr>
        <w:t>ensuring transparency, equal treatment</w:t>
      </w:r>
      <w:r w:rsidR="004F181E" w:rsidRPr="00C7234C">
        <w:rPr>
          <w:u w:val="none"/>
          <w:lang w:val="en-US"/>
        </w:rPr>
        <w:t>,</w:t>
      </w:r>
      <w:r w:rsidR="00D74265" w:rsidRPr="00C7234C">
        <w:rPr>
          <w:u w:val="none"/>
          <w:lang w:val="en-US"/>
        </w:rPr>
        <w:t xml:space="preserve"> and procedural fairness in this process, and </w:t>
      </w:r>
      <w:r w:rsidRPr="00C7234C">
        <w:rPr>
          <w:lang w:val="en-US"/>
        </w:rPr>
        <w:t>calls</w:t>
      </w:r>
      <w:r w:rsidRPr="00195EB3">
        <w:rPr>
          <w:lang w:val="en-US"/>
        </w:rPr>
        <w:t xml:space="preserve"> upon</w:t>
      </w:r>
      <w:r w:rsidRPr="00195EB3">
        <w:rPr>
          <w:u w:val="none"/>
          <w:lang w:val="en-US"/>
        </w:rPr>
        <w:t xml:space="preserve"> States Parties to refrain from undertaking substantial changes through this phase;</w:t>
      </w:r>
    </w:p>
    <w:p w14:paraId="7F9FEEEA" w14:textId="288E0D23" w:rsidR="00523CE7" w:rsidRPr="00C7234C" w:rsidRDefault="00523CE7">
      <w:pPr>
        <w:pStyle w:val="COMParaDecision"/>
        <w:numPr>
          <w:ilvl w:val="0"/>
          <w:numId w:val="10"/>
        </w:numPr>
        <w:ind w:left="540" w:hanging="540"/>
        <w:rPr>
          <w:u w:val="none"/>
        </w:rPr>
      </w:pPr>
      <w:r w:rsidRPr="00C7234C">
        <w:rPr>
          <w:lang w:val="en-US"/>
        </w:rPr>
        <w:t>Requests</w:t>
      </w:r>
      <w:r w:rsidRPr="00C7234C">
        <w:rPr>
          <w:u w:val="none"/>
          <w:lang w:val="en-US"/>
        </w:rPr>
        <w:t xml:space="preserve"> the Intergovernmental Committee, building on Decision </w:t>
      </w:r>
      <w:hyperlink r:id="rId22" w:history="1">
        <w:r w:rsidRPr="00C7234C">
          <w:rPr>
            <w:rStyle w:val="Hyperlink"/>
            <w:lang w:val="en-US"/>
          </w:rPr>
          <w:t>19.COM 15</w:t>
        </w:r>
      </w:hyperlink>
      <w:r w:rsidRPr="00C7234C">
        <w:rPr>
          <w:u w:val="none"/>
          <w:lang w:val="en-US"/>
        </w:rPr>
        <w:t>, to examine</w:t>
      </w:r>
      <w:r w:rsidR="004F181E" w:rsidRPr="00C7234C">
        <w:rPr>
          <w:u w:val="none"/>
          <w:lang w:val="en-US"/>
        </w:rPr>
        <w:t xml:space="preserve"> the report to be provided by the Secretariat as requested in that Decision on the number of files submitted for the 2026 and 2027 cycles, its experience in applying the Operational Directives and that Decision, including, inter alia, the sustainability of the current system for the treatment of nomination files and proposals under the listing mechanisms of the Convention, considering the high number of nominations submitted, the annual ceiling applicable to their examination, and the increasing backlog of files, taking into account all the objectives of the Convention, and to report on possible options for addressing these trends and procedural challenges at the next session of the General Assembly;</w:t>
      </w:r>
    </w:p>
    <w:p w14:paraId="64AD95DD" w14:textId="77777777" w:rsidR="008C325A" w:rsidRPr="00195EB3" w:rsidRDefault="008C325A">
      <w:pPr>
        <w:pStyle w:val="COMParaDecision"/>
        <w:numPr>
          <w:ilvl w:val="0"/>
          <w:numId w:val="10"/>
        </w:numPr>
        <w:ind w:left="540" w:hanging="540"/>
        <w:rPr>
          <w:u w:val="none"/>
        </w:rPr>
      </w:pPr>
      <w:r w:rsidRPr="00195EB3">
        <w:t>Approves</w:t>
      </w:r>
      <w:r w:rsidRPr="00195EB3">
        <w:rPr>
          <w:u w:val="none"/>
        </w:rPr>
        <w:t xml:space="preserve"> the revisions to the Operational Directives as contained in the annex of the present Resolution (concerning the treatment of nomination files for the listing mechanisms of the Convention), and </w:t>
      </w:r>
      <w:r w:rsidRPr="00195EB3">
        <w:t>understands</w:t>
      </w:r>
      <w:r w:rsidRPr="00195EB3">
        <w:rPr>
          <w:u w:val="none"/>
        </w:rPr>
        <w:t xml:space="preserve"> that the revised timetable contained thereof will be implemented from the 2027 nomination cycle onwards;</w:t>
      </w:r>
    </w:p>
    <w:p w14:paraId="725B19F2" w14:textId="77777777" w:rsidR="008C325A" w:rsidRPr="00195EB3" w:rsidRDefault="008C325A" w:rsidP="008C325A">
      <w:pPr>
        <w:pStyle w:val="COMParaDecision"/>
        <w:spacing w:before="240"/>
        <w:ind w:left="540" w:firstLine="0"/>
        <w:rPr>
          <w:b/>
          <w:bCs/>
          <w:u w:val="none"/>
        </w:rPr>
      </w:pPr>
      <w:r w:rsidRPr="00195EB3">
        <w:rPr>
          <w:b/>
          <w:bCs/>
          <w:u w:val="none"/>
        </w:rPr>
        <w:lastRenderedPageBreak/>
        <w:t>Single global submission system of periodic reporting</w:t>
      </w:r>
    </w:p>
    <w:p w14:paraId="2BFF50E0" w14:textId="77777777" w:rsidR="008C325A" w:rsidRPr="00195EB3" w:rsidRDefault="008C325A">
      <w:pPr>
        <w:pStyle w:val="COMParaDecision"/>
        <w:numPr>
          <w:ilvl w:val="0"/>
          <w:numId w:val="10"/>
        </w:numPr>
        <w:ind w:left="540" w:hanging="540"/>
      </w:pPr>
      <w:r w:rsidRPr="00195EB3">
        <w:t>Further takes note</w:t>
      </w:r>
      <w:r w:rsidRPr="00195EB3">
        <w:rPr>
          <w:u w:val="none"/>
        </w:rPr>
        <w:t xml:space="preserve"> of the proposed revisions to the Operational Directives endorsed by the twentieth session of the Committee concerning the move towards a single global submission system of periodic reporting;</w:t>
      </w:r>
    </w:p>
    <w:p w14:paraId="7CCE73DE" w14:textId="77BACBB9" w:rsidR="008C325A" w:rsidRPr="009D2B8A" w:rsidRDefault="008C325A">
      <w:pPr>
        <w:pStyle w:val="COMParaDecision"/>
        <w:numPr>
          <w:ilvl w:val="0"/>
          <w:numId w:val="10"/>
        </w:numPr>
        <w:ind w:left="540" w:hanging="540"/>
      </w:pPr>
      <w:r w:rsidRPr="009D2B8A">
        <w:t>Approves</w:t>
      </w:r>
      <w:r w:rsidRPr="009D2B8A">
        <w:rPr>
          <w:u w:val="none"/>
        </w:rPr>
        <w:t xml:space="preserve"> </w:t>
      </w:r>
      <w:r w:rsidR="00F026CC" w:rsidRPr="009D2B8A">
        <w:rPr>
          <w:u w:val="none"/>
        </w:rPr>
        <w:t xml:space="preserve">provisionally and on an experimental basis </w:t>
      </w:r>
      <w:r w:rsidRPr="009D2B8A">
        <w:rPr>
          <w:u w:val="none"/>
        </w:rPr>
        <w:t>the revisions to the Operational Directives as contained in the annex of the present Resolution (required to support the move towards the single global submission system of periodic reporting)</w:t>
      </w:r>
      <w:r w:rsidR="00F026CC" w:rsidRPr="009D2B8A">
        <w:rPr>
          <w:u w:val="none"/>
        </w:rPr>
        <w:t>;</w:t>
      </w:r>
    </w:p>
    <w:p w14:paraId="4FCF7507" w14:textId="0F33C43C" w:rsidR="00F026CC" w:rsidRPr="009D2B8A" w:rsidRDefault="00F026CC">
      <w:pPr>
        <w:pStyle w:val="COMParaDecision"/>
        <w:numPr>
          <w:ilvl w:val="0"/>
          <w:numId w:val="10"/>
        </w:numPr>
        <w:ind w:left="540" w:hanging="540"/>
        <w:rPr>
          <w:u w:val="none"/>
        </w:rPr>
      </w:pPr>
      <w:r w:rsidRPr="009D2B8A">
        <w:t>Requests</w:t>
      </w:r>
      <w:r w:rsidRPr="009D2B8A">
        <w:rPr>
          <w:u w:val="none"/>
        </w:rPr>
        <w:t xml:space="preserve"> the Secretariat to present to it at i</w:t>
      </w:r>
      <w:r w:rsidR="00CB7EB2" w:rsidRPr="009D2B8A">
        <w:rPr>
          <w:u w:val="none"/>
        </w:rPr>
        <w:t>t</w:t>
      </w:r>
      <w:r w:rsidRPr="009D2B8A">
        <w:rPr>
          <w:u w:val="none"/>
        </w:rPr>
        <w:t>s fourteenth session a qualitative and quantitative report on the experimental phase of the single global submission system with a view to evaluate the reporting process.</w:t>
      </w:r>
    </w:p>
    <w:p w14:paraId="1AF252E6" w14:textId="77777777" w:rsidR="008C325A" w:rsidRPr="00195EB3" w:rsidRDefault="008C325A" w:rsidP="002C2E92">
      <w:pPr>
        <w:pStyle w:val="COMParaDecision"/>
        <w:ind w:left="0" w:firstLine="0"/>
        <w:jc w:val="center"/>
      </w:pPr>
      <w:r w:rsidRPr="002C2E92">
        <w:rPr>
          <w:b/>
          <w:bCs/>
          <w:snapToGrid w:val="0"/>
          <w:u w:val="none"/>
          <w:lang w:eastAsia="en-US"/>
        </w:rPr>
        <w:t>ANNEX</w:t>
      </w:r>
    </w:p>
    <w:tbl>
      <w:tblPr>
        <w:tblW w:w="4998" w:type="pct"/>
        <w:tblLayout w:type="fixed"/>
        <w:tblCellMar>
          <w:top w:w="57" w:type="dxa"/>
          <w:bottom w:w="57" w:type="dxa"/>
        </w:tblCellMar>
        <w:tblLook w:val="04A0" w:firstRow="1" w:lastRow="0" w:firstColumn="1" w:lastColumn="0" w:noHBand="0" w:noVBand="1"/>
      </w:tblPr>
      <w:tblGrid>
        <w:gridCol w:w="1067"/>
        <w:gridCol w:w="8567"/>
      </w:tblGrid>
      <w:tr w:rsidR="00A10D16" w:rsidRPr="00195EB3" w14:paraId="47143290" w14:textId="77777777" w:rsidTr="0047351B">
        <w:tc>
          <w:tcPr>
            <w:tcW w:w="554" w:type="pct"/>
          </w:tcPr>
          <w:p w14:paraId="60EB4828" w14:textId="77777777" w:rsidR="00A10D16" w:rsidRPr="002E372C" w:rsidRDefault="00A10D16" w:rsidP="00526E62">
            <w:pPr>
              <w:keepLines/>
              <w:spacing w:before="60" w:after="60"/>
              <w:jc w:val="both"/>
              <w:rPr>
                <w:rFonts w:ascii="Arial" w:hAnsi="Arial" w:cs="Arial"/>
                <w:b/>
                <w:bCs/>
                <w:sz w:val="22"/>
                <w:szCs w:val="22"/>
                <w:lang w:val="en-GB"/>
              </w:rPr>
            </w:pPr>
            <w:r w:rsidRPr="002E372C">
              <w:rPr>
                <w:rFonts w:ascii="Arial" w:hAnsi="Arial" w:cs="Arial"/>
                <w:b/>
                <w:bCs/>
                <w:sz w:val="22"/>
                <w:szCs w:val="22"/>
                <w:lang w:val="en-GB"/>
              </w:rPr>
              <w:t>I.7</w:t>
            </w:r>
          </w:p>
        </w:tc>
        <w:tc>
          <w:tcPr>
            <w:tcW w:w="4446" w:type="pct"/>
          </w:tcPr>
          <w:p w14:paraId="3D3C22EA"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557AAA70" w14:textId="77777777" w:rsidTr="0047351B">
        <w:tc>
          <w:tcPr>
            <w:tcW w:w="554" w:type="pct"/>
          </w:tcPr>
          <w:p w14:paraId="6CE4AA0F" w14:textId="77777777" w:rsidR="00A10D16" w:rsidRPr="002E372C" w:rsidRDefault="00A10D16" w:rsidP="00526E62">
            <w:pPr>
              <w:keepLines/>
              <w:spacing w:before="60" w:after="60"/>
              <w:jc w:val="both"/>
              <w:rPr>
                <w:rFonts w:ascii="Arial" w:hAnsi="Arial" w:cs="Arial"/>
                <w:b/>
                <w:bCs/>
                <w:sz w:val="22"/>
                <w:szCs w:val="22"/>
                <w:lang w:val="en-GB"/>
              </w:rPr>
            </w:pPr>
            <w:r w:rsidRPr="002E372C">
              <w:rPr>
                <w:rFonts w:ascii="Arial" w:hAnsi="Arial" w:cs="Arial"/>
                <w:sz w:val="22"/>
                <w:szCs w:val="22"/>
                <w:lang w:val="en-GB"/>
              </w:rPr>
              <w:t>20.2</w:t>
            </w:r>
          </w:p>
        </w:tc>
        <w:tc>
          <w:tcPr>
            <w:tcW w:w="4446" w:type="pct"/>
          </w:tcPr>
          <w:p w14:paraId="1B5CE2EF"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79003BF3" w14:textId="77777777" w:rsidTr="0047351B">
        <w:tc>
          <w:tcPr>
            <w:tcW w:w="554" w:type="pct"/>
          </w:tcPr>
          <w:p w14:paraId="5DE96CB1" w14:textId="77777777" w:rsidR="00A10D16" w:rsidRPr="002E372C" w:rsidRDefault="00A10D16" w:rsidP="00526E62">
            <w:pPr>
              <w:keepLines/>
              <w:spacing w:before="60" w:after="60"/>
              <w:jc w:val="both"/>
              <w:rPr>
                <w:rFonts w:ascii="Arial" w:hAnsi="Arial" w:cs="Arial"/>
                <w:b/>
                <w:bCs/>
                <w:sz w:val="22"/>
                <w:szCs w:val="22"/>
                <w:lang w:val="en-GB"/>
              </w:rPr>
            </w:pPr>
            <w:r w:rsidRPr="002E372C">
              <w:rPr>
                <w:rFonts w:ascii="Arial" w:hAnsi="Arial" w:cs="Arial"/>
                <w:b/>
                <w:bCs/>
                <w:sz w:val="22"/>
                <w:szCs w:val="22"/>
                <w:lang w:val="en-GB"/>
              </w:rPr>
              <w:t>I.15</w:t>
            </w:r>
          </w:p>
        </w:tc>
        <w:tc>
          <w:tcPr>
            <w:tcW w:w="4446" w:type="pct"/>
          </w:tcPr>
          <w:p w14:paraId="5EFBB29E"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005FE6" w14:paraId="2F204A82" w14:textId="77777777" w:rsidTr="0047351B">
        <w:trPr>
          <w:trHeight w:val="1850"/>
        </w:trPr>
        <w:tc>
          <w:tcPr>
            <w:tcW w:w="554" w:type="pct"/>
          </w:tcPr>
          <w:p w14:paraId="1908D057" w14:textId="77777777" w:rsidR="00A10D16" w:rsidRPr="002E372C" w:rsidRDefault="00A10D16" w:rsidP="00526E62">
            <w:pPr>
              <w:keepLines/>
              <w:spacing w:before="60" w:after="60"/>
              <w:jc w:val="both"/>
              <w:rPr>
                <w:rFonts w:ascii="Arial" w:hAnsi="Arial" w:cs="Arial"/>
                <w:sz w:val="22"/>
                <w:szCs w:val="22"/>
                <w:lang w:val="en-GB"/>
              </w:rPr>
            </w:pPr>
            <w:r w:rsidRPr="002E372C">
              <w:rPr>
                <w:rFonts w:ascii="Arial" w:hAnsi="Arial" w:cs="Arial"/>
                <w:sz w:val="22"/>
                <w:szCs w:val="22"/>
                <w:lang w:val="en-GB"/>
              </w:rPr>
              <w:t>54.</w:t>
            </w:r>
          </w:p>
        </w:tc>
        <w:tc>
          <w:tcPr>
            <w:tcW w:w="4446" w:type="pct"/>
          </w:tcPr>
          <w:tbl>
            <w:tblPr>
              <w:tblStyle w:val="TableGrid"/>
              <w:tblW w:w="8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6826"/>
            </w:tblGrid>
            <w:tr w:rsidR="00A10D16" w:rsidRPr="00195EB3" w14:paraId="1D8AC429" w14:textId="77777777" w:rsidTr="00847203">
              <w:tc>
                <w:tcPr>
                  <w:tcW w:w="1626" w:type="dxa"/>
                </w:tcPr>
                <w:p w14:paraId="022D6536" w14:textId="77777777" w:rsidR="00A10D16" w:rsidRPr="00195EB3" w:rsidRDefault="00A10D16" w:rsidP="00526E62">
                  <w:pPr>
                    <w:keepLines/>
                    <w:spacing w:before="60" w:after="60"/>
                    <w:jc w:val="right"/>
                    <w:rPr>
                      <w:rFonts w:ascii="Arial" w:hAnsi="Arial" w:cs="Arial"/>
                      <w:color w:val="000000" w:themeColor="text1"/>
                      <w:sz w:val="22"/>
                      <w:szCs w:val="22"/>
                      <w:lang w:val="en-GB"/>
                    </w:rPr>
                  </w:pPr>
                  <w:r w:rsidRPr="00195EB3">
                    <w:rPr>
                      <w:rFonts w:ascii="Arial" w:hAnsi="Arial" w:cs="Arial"/>
                      <w:sz w:val="22"/>
                      <w:szCs w:val="22"/>
                      <w:lang w:val="en-GB"/>
                    </w:rPr>
                    <w:t>Phase 1:</w:t>
                  </w:r>
                </w:p>
              </w:tc>
              <w:tc>
                <w:tcPr>
                  <w:tcW w:w="6826" w:type="dxa"/>
                </w:tcPr>
                <w:p w14:paraId="229086A9" w14:textId="77777777" w:rsidR="00A10D16" w:rsidRPr="00195EB3" w:rsidRDefault="00A10D16" w:rsidP="00526E62">
                  <w:pPr>
                    <w:keepLines/>
                    <w:spacing w:before="60" w:after="60"/>
                    <w:jc w:val="both"/>
                    <w:rPr>
                      <w:rFonts w:ascii="Arial" w:hAnsi="Arial" w:cs="Arial"/>
                      <w:color w:val="000000" w:themeColor="text1"/>
                      <w:sz w:val="22"/>
                      <w:szCs w:val="22"/>
                      <w:lang w:val="en-GB"/>
                    </w:rPr>
                  </w:pPr>
                  <w:r w:rsidRPr="00195EB3">
                    <w:rPr>
                      <w:rFonts w:ascii="Arial" w:hAnsi="Arial" w:cs="Arial"/>
                      <w:sz w:val="22"/>
                      <w:szCs w:val="22"/>
                      <w:lang w:val="en-GB"/>
                    </w:rPr>
                    <w:t>No change</w:t>
                  </w:r>
                </w:p>
              </w:tc>
            </w:tr>
            <w:tr w:rsidR="00A10D16" w:rsidRPr="00195EB3" w14:paraId="3D677F48" w14:textId="77777777" w:rsidTr="00847203">
              <w:tc>
                <w:tcPr>
                  <w:tcW w:w="1626" w:type="dxa"/>
                </w:tcPr>
                <w:p w14:paraId="6F941D4D"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31 March</w:t>
                  </w:r>
                </w:p>
                <w:p w14:paraId="20350CF5"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0</w:t>
                  </w:r>
                </w:p>
              </w:tc>
              <w:tc>
                <w:tcPr>
                  <w:tcW w:w="6826" w:type="dxa"/>
                </w:tcPr>
                <w:p w14:paraId="2E3EE1C1" w14:textId="77777777" w:rsidR="00A10D16" w:rsidRPr="00195EB3" w:rsidRDefault="00A10D16" w:rsidP="00526E62">
                  <w:pPr>
                    <w:keepLines/>
                    <w:spacing w:before="60" w:after="60"/>
                    <w:jc w:val="both"/>
                    <w:rPr>
                      <w:rFonts w:ascii="Arial" w:hAnsi="Arial" w:cs="Arial"/>
                      <w:color w:val="000000" w:themeColor="text1"/>
                      <w:sz w:val="22"/>
                      <w:szCs w:val="22"/>
                      <w:lang w:val="en-GB"/>
                    </w:rPr>
                  </w:pPr>
                  <w:r w:rsidRPr="00195EB3">
                    <w:rPr>
                      <w:rFonts w:ascii="Arial" w:hAnsi="Arial" w:cs="Arial"/>
                      <w:sz w:val="22"/>
                      <w:szCs w:val="22"/>
                      <w:lang w:val="en-GB"/>
                    </w:rPr>
                    <w:t>No change</w:t>
                  </w:r>
                </w:p>
              </w:tc>
            </w:tr>
            <w:tr w:rsidR="00A10D16" w:rsidRPr="00005FE6" w14:paraId="5B3D2AD2" w14:textId="77777777" w:rsidTr="0047351B">
              <w:tc>
                <w:tcPr>
                  <w:tcW w:w="1626" w:type="dxa"/>
                </w:tcPr>
                <w:p w14:paraId="468AC2A6" w14:textId="77777777" w:rsidR="00A10D16" w:rsidRPr="00195EB3" w:rsidRDefault="00A10D16" w:rsidP="00526E62">
                  <w:pPr>
                    <w:keepLines/>
                    <w:spacing w:before="60" w:after="60"/>
                    <w:jc w:val="right"/>
                    <w:rPr>
                      <w:rFonts w:ascii="Arial" w:hAnsi="Arial" w:cs="Arial"/>
                      <w:strike/>
                      <w:sz w:val="22"/>
                      <w:szCs w:val="22"/>
                      <w:lang w:val="en-GB"/>
                    </w:rPr>
                  </w:pPr>
                  <w:r w:rsidRPr="00195EB3">
                    <w:rPr>
                      <w:rFonts w:ascii="Arial" w:hAnsi="Arial" w:cs="Arial"/>
                      <w:strike/>
                      <w:sz w:val="22"/>
                      <w:szCs w:val="22"/>
                      <w:lang w:val="en-GB"/>
                    </w:rPr>
                    <w:t>15 December</w:t>
                  </w:r>
                </w:p>
                <w:p w14:paraId="545A3DCF"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trike/>
                      <w:sz w:val="22"/>
                      <w:szCs w:val="22"/>
                      <w:lang w:val="en-GB"/>
                    </w:rPr>
                    <w:t>Year 0</w:t>
                  </w:r>
                </w:p>
              </w:tc>
              <w:tc>
                <w:tcPr>
                  <w:tcW w:w="6826" w:type="dxa"/>
                </w:tcPr>
                <w:p w14:paraId="2502106F" w14:textId="77777777" w:rsidR="00A10D16" w:rsidRPr="00195EB3" w:rsidRDefault="00A10D16" w:rsidP="00526E62">
                  <w:pPr>
                    <w:keepLines/>
                    <w:spacing w:before="60" w:after="60"/>
                    <w:ind w:right="315"/>
                    <w:jc w:val="both"/>
                    <w:rPr>
                      <w:rFonts w:ascii="Arial" w:hAnsi="Arial" w:cs="Arial"/>
                      <w:color w:val="000000" w:themeColor="text1"/>
                      <w:sz w:val="22"/>
                      <w:szCs w:val="22"/>
                      <w:lang w:val="en-GB"/>
                    </w:rPr>
                  </w:pPr>
                  <w:r w:rsidRPr="00195EB3">
                    <w:rPr>
                      <w:rFonts w:ascii="Arial" w:hAnsi="Arial" w:cs="Arial"/>
                      <w:strike/>
                      <w:sz w:val="22"/>
                      <w:szCs w:val="22"/>
                      <w:lang w:val="en-GB"/>
                    </w:rPr>
                    <w:t>Deadline for submission of transfer requests from the List of Intangible Cultural Heritage in Need of Urgent Safeguarding to the Representative List of the Intangible Cultural Heritage of Humanity.</w:t>
                  </w:r>
                </w:p>
              </w:tc>
            </w:tr>
          </w:tbl>
          <w:p w14:paraId="54A0927B" w14:textId="77777777" w:rsidR="00A10D16" w:rsidRPr="00195EB3" w:rsidRDefault="00A10D16" w:rsidP="00526E62">
            <w:pPr>
              <w:keepLines/>
              <w:spacing w:before="60" w:after="60"/>
              <w:jc w:val="both"/>
              <w:rPr>
                <w:rFonts w:ascii="Arial" w:hAnsi="Arial" w:cs="Arial"/>
                <w:color w:val="000000" w:themeColor="text1"/>
                <w:sz w:val="22"/>
                <w:szCs w:val="22"/>
                <w:lang w:val="en-GB"/>
              </w:rPr>
            </w:pPr>
          </w:p>
        </w:tc>
      </w:tr>
      <w:tr w:rsidR="00A10D16" w:rsidRPr="00195EB3" w14:paraId="3DD9D09A" w14:textId="77777777" w:rsidTr="0047351B">
        <w:trPr>
          <w:trHeight w:val="1904"/>
        </w:trPr>
        <w:tc>
          <w:tcPr>
            <w:tcW w:w="554" w:type="pct"/>
          </w:tcPr>
          <w:p w14:paraId="04D71E31" w14:textId="77777777" w:rsidR="00A10D16" w:rsidRPr="00195EB3" w:rsidRDefault="00A10D16" w:rsidP="00526E62">
            <w:pPr>
              <w:keepLines/>
              <w:spacing w:before="60" w:after="60"/>
              <w:jc w:val="both"/>
              <w:rPr>
                <w:rFonts w:ascii="Arial" w:hAnsi="Arial" w:cs="Arial"/>
                <w:sz w:val="22"/>
                <w:szCs w:val="22"/>
                <w:lang w:val="en-GB"/>
              </w:rPr>
            </w:pPr>
          </w:p>
        </w:tc>
        <w:tc>
          <w:tcPr>
            <w:tcW w:w="4446"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3"/>
              <w:gridCol w:w="6738"/>
            </w:tblGrid>
            <w:tr w:rsidR="00A10D16" w:rsidRPr="00195EB3" w14:paraId="52732BF4" w14:textId="77777777" w:rsidTr="009E2222">
              <w:trPr>
                <w:cantSplit/>
                <w:trHeight w:val="261"/>
              </w:trPr>
              <w:tc>
                <w:tcPr>
                  <w:tcW w:w="966" w:type="pct"/>
                </w:tcPr>
                <w:p w14:paraId="4BAE03C9"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31 March</w:t>
                  </w:r>
                </w:p>
                <w:p w14:paraId="6DD40285"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4034" w:type="pct"/>
                </w:tcPr>
                <w:p w14:paraId="7971939C"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p w14:paraId="32892592" w14:textId="77777777" w:rsidR="00A10D16" w:rsidRPr="00195EB3" w:rsidRDefault="00A10D16" w:rsidP="00847203">
                  <w:pPr>
                    <w:keepLines/>
                    <w:spacing w:before="60" w:after="60"/>
                    <w:jc w:val="both"/>
                    <w:rPr>
                      <w:rFonts w:ascii="Arial" w:hAnsi="Arial" w:cs="Arial"/>
                      <w:sz w:val="22"/>
                      <w:szCs w:val="22"/>
                      <w:lang w:val="en-GB"/>
                    </w:rPr>
                  </w:pPr>
                </w:p>
              </w:tc>
            </w:tr>
            <w:tr w:rsidR="00A10D16" w:rsidRPr="00005FE6" w14:paraId="5FB2E15F" w14:textId="77777777" w:rsidTr="0047351B">
              <w:trPr>
                <w:cantSplit/>
                <w:trHeight w:val="1347"/>
              </w:trPr>
              <w:tc>
                <w:tcPr>
                  <w:tcW w:w="966" w:type="pct"/>
                </w:tcPr>
                <w:p w14:paraId="276A0848" w14:textId="77777777" w:rsidR="00A10D16" w:rsidRPr="00195EB3" w:rsidRDefault="00A10D16" w:rsidP="00526E62">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30 June</w:t>
                  </w:r>
                </w:p>
                <w:p w14:paraId="29CC876D" w14:textId="77777777" w:rsidR="00A10D16" w:rsidRPr="00195EB3" w:rsidRDefault="00A10D16" w:rsidP="00526E62">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Year 1</w:t>
                  </w:r>
                </w:p>
                <w:p w14:paraId="26742F33" w14:textId="77777777" w:rsidR="00A10D16" w:rsidRPr="00195EB3" w:rsidRDefault="00A10D16" w:rsidP="00526E62">
                  <w:pPr>
                    <w:keepLines/>
                    <w:spacing w:before="60" w:after="60"/>
                    <w:jc w:val="right"/>
                    <w:rPr>
                      <w:rFonts w:ascii="Arial" w:hAnsi="Arial" w:cs="Arial"/>
                      <w:sz w:val="22"/>
                      <w:szCs w:val="22"/>
                      <w:lang w:val="en-GB"/>
                    </w:rPr>
                  </w:pPr>
                </w:p>
                <w:p w14:paraId="52437FC2" w14:textId="77777777" w:rsidR="00A10D16" w:rsidRPr="00195EB3" w:rsidRDefault="00A10D16" w:rsidP="00526E62">
                  <w:pPr>
                    <w:keepLines/>
                    <w:spacing w:before="60" w:after="60"/>
                    <w:jc w:val="right"/>
                    <w:rPr>
                      <w:rFonts w:ascii="Arial" w:hAnsi="Arial" w:cs="Arial"/>
                      <w:sz w:val="22"/>
                      <w:szCs w:val="22"/>
                      <w:lang w:val="en-GB"/>
                    </w:rPr>
                  </w:pPr>
                </w:p>
              </w:tc>
              <w:tc>
                <w:tcPr>
                  <w:tcW w:w="4034" w:type="pct"/>
                </w:tcPr>
                <w:p w14:paraId="02891337" w14:textId="77777777" w:rsidR="00A10D16" w:rsidRPr="00195EB3" w:rsidRDefault="00A10D16" w:rsidP="00526E62">
                  <w:pPr>
                    <w:keepLines/>
                    <w:spacing w:before="60" w:after="60"/>
                    <w:jc w:val="both"/>
                    <w:rPr>
                      <w:rFonts w:ascii="Arial" w:hAnsi="Arial" w:cs="Arial"/>
                      <w:b/>
                      <w:bCs/>
                      <w:sz w:val="22"/>
                      <w:szCs w:val="22"/>
                      <w:u w:val="single"/>
                      <w:lang w:val="en-GB"/>
                    </w:rPr>
                  </w:pPr>
                  <w:r w:rsidRPr="00195EB3">
                    <w:rPr>
                      <w:rFonts w:ascii="Arial" w:hAnsi="Arial" w:cs="Arial"/>
                      <w:b/>
                      <w:bCs/>
                      <w:sz w:val="22"/>
                      <w:szCs w:val="22"/>
                      <w:u w:val="single"/>
                      <w:lang w:val="en-GB"/>
                    </w:rPr>
                    <w:t>Deadline for submission of transfer requests from the List of Intangible Cultural Heritage in Need of Urgent Safeguarding to the Representative List of the Intangible Cultural Heritage of Humanity.</w:t>
                  </w:r>
                </w:p>
              </w:tc>
            </w:tr>
            <w:tr w:rsidR="00A10D16" w:rsidRPr="00005FE6" w14:paraId="2BBDF754" w14:textId="77777777" w:rsidTr="0047351B">
              <w:trPr>
                <w:cantSplit/>
              </w:trPr>
              <w:tc>
                <w:tcPr>
                  <w:tcW w:w="966" w:type="pct"/>
                </w:tcPr>
                <w:p w14:paraId="6C7CE2C9" w14:textId="77777777" w:rsidR="00A10D16" w:rsidRPr="00195EB3" w:rsidRDefault="00A10D16" w:rsidP="00526E62">
                  <w:pPr>
                    <w:keepLines/>
                    <w:spacing w:before="60" w:after="60"/>
                    <w:jc w:val="right"/>
                    <w:rPr>
                      <w:rFonts w:ascii="Arial" w:hAnsi="Arial" w:cs="Arial"/>
                      <w:strike/>
                      <w:sz w:val="22"/>
                      <w:szCs w:val="22"/>
                      <w:lang w:val="en-GB"/>
                    </w:rPr>
                  </w:pPr>
                  <w:r w:rsidRPr="00195EB3">
                    <w:rPr>
                      <w:rFonts w:ascii="Arial" w:hAnsi="Arial" w:cs="Arial"/>
                      <w:strike/>
                      <w:sz w:val="22"/>
                      <w:szCs w:val="22"/>
                      <w:lang w:val="en-GB"/>
                    </w:rPr>
                    <w:t>30 June</w:t>
                  </w:r>
                </w:p>
                <w:p w14:paraId="0E1531BB" w14:textId="77777777" w:rsidR="00A10D16" w:rsidRPr="00195EB3" w:rsidRDefault="00A10D16" w:rsidP="00526E62">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31 August</w:t>
                  </w:r>
                </w:p>
                <w:p w14:paraId="5E219E63"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4034" w:type="pct"/>
                </w:tcPr>
                <w:p w14:paraId="4AC6126F"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Deadline by which the Secretariat will have processed the files, including registration and acknowledgement of receipt. If a file is found incomplete, the State Party is invited to complete the file.</w:t>
                  </w:r>
                </w:p>
              </w:tc>
            </w:tr>
            <w:tr w:rsidR="00A10D16" w:rsidRPr="00005FE6" w14:paraId="4442C26A" w14:textId="77777777" w:rsidTr="0047351B">
              <w:trPr>
                <w:cantSplit/>
                <w:trHeight w:val="1215"/>
              </w:trPr>
              <w:tc>
                <w:tcPr>
                  <w:tcW w:w="966" w:type="pct"/>
                </w:tcPr>
                <w:p w14:paraId="31C6248A" w14:textId="77777777" w:rsidR="00A10D16" w:rsidRPr="00195EB3" w:rsidRDefault="00A10D16" w:rsidP="00526E62">
                  <w:pPr>
                    <w:keepLines/>
                    <w:spacing w:before="60" w:after="60"/>
                    <w:jc w:val="right"/>
                    <w:rPr>
                      <w:rFonts w:ascii="Arial" w:hAnsi="Arial" w:cs="Arial"/>
                      <w:strike/>
                      <w:sz w:val="22"/>
                      <w:szCs w:val="22"/>
                      <w:lang w:val="en-GB"/>
                    </w:rPr>
                  </w:pPr>
                  <w:r w:rsidRPr="00195EB3">
                    <w:rPr>
                      <w:rFonts w:ascii="Arial" w:hAnsi="Arial" w:cs="Arial"/>
                      <w:strike/>
                      <w:sz w:val="22"/>
                      <w:szCs w:val="22"/>
                      <w:lang w:val="en-GB"/>
                    </w:rPr>
                    <w:t>30 September</w:t>
                  </w:r>
                </w:p>
                <w:p w14:paraId="19747F80" w14:textId="77777777" w:rsidR="00A10D16" w:rsidRPr="00195EB3" w:rsidRDefault="00A10D16" w:rsidP="00526E62">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30 November</w:t>
                  </w:r>
                </w:p>
                <w:p w14:paraId="254C2246"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4034" w:type="pct"/>
                </w:tcPr>
                <w:p w14:paraId="74CBA9EC"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Deadline by which missing information required to complete the files, if any, shall be submitted by the State Party to the Secretariat. Files that remain incomplete are returned to the States Parties that may complete them for a subsequent cycle. As files revised by submitting States reach the Secretariat following its requests for additional information, they are posted online and replace the original files received. Their translations into English or French are also posted online as they become available.</w:t>
                  </w:r>
                </w:p>
              </w:tc>
            </w:tr>
            <w:tr w:rsidR="00A10D16" w:rsidRPr="00195EB3" w14:paraId="5EDE210D" w14:textId="77777777" w:rsidTr="00FA3A51">
              <w:trPr>
                <w:cantSplit/>
                <w:trHeight w:val="342"/>
              </w:trPr>
              <w:tc>
                <w:tcPr>
                  <w:tcW w:w="966" w:type="pct"/>
                </w:tcPr>
                <w:p w14:paraId="502923C4"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31 January</w:t>
                  </w:r>
                </w:p>
                <w:p w14:paraId="554DE613"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4034" w:type="pct"/>
                </w:tcPr>
                <w:p w14:paraId="288058DF"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bl>
          <w:p w14:paraId="0AA6D8DA" w14:textId="77777777" w:rsidR="00A10D16" w:rsidRPr="00195EB3" w:rsidRDefault="00A10D16" w:rsidP="00526E62">
            <w:pPr>
              <w:keepLines/>
              <w:spacing w:before="60" w:after="60"/>
              <w:jc w:val="both"/>
              <w:rPr>
                <w:rFonts w:ascii="Arial" w:hAnsi="Arial" w:cs="Arial"/>
                <w:sz w:val="22"/>
                <w:szCs w:val="22"/>
                <w:lang w:val="en-US"/>
              </w:rPr>
            </w:pPr>
          </w:p>
        </w:tc>
      </w:tr>
      <w:tr w:rsidR="00A10D16" w:rsidRPr="00195EB3" w14:paraId="013F8889" w14:textId="77777777" w:rsidTr="0047351B">
        <w:tc>
          <w:tcPr>
            <w:tcW w:w="554" w:type="pct"/>
          </w:tcPr>
          <w:p w14:paraId="682480A1"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55.</w:t>
            </w:r>
          </w:p>
        </w:tc>
        <w:tc>
          <w:tcPr>
            <w:tcW w:w="4446" w:type="pct"/>
          </w:tcPr>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2"/>
              <w:gridCol w:w="6757"/>
            </w:tblGrid>
            <w:tr w:rsidR="00A10D16" w:rsidRPr="00195EB3" w14:paraId="7727A03A" w14:textId="77777777" w:rsidTr="0063277D">
              <w:trPr>
                <w:cantSplit/>
              </w:trPr>
              <w:tc>
                <w:tcPr>
                  <w:tcW w:w="958" w:type="pct"/>
                </w:tcPr>
                <w:p w14:paraId="5B6794C7"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Phase 2:</w:t>
                  </w:r>
                </w:p>
              </w:tc>
              <w:tc>
                <w:tcPr>
                  <w:tcW w:w="4042" w:type="pct"/>
                </w:tcPr>
                <w:p w14:paraId="2FC36C89" w14:textId="77777777" w:rsidR="00A10D16" w:rsidRPr="00195EB3" w:rsidRDefault="00A10D16" w:rsidP="00526E62">
                  <w:pPr>
                    <w:keepLines/>
                    <w:spacing w:before="60" w:after="60"/>
                    <w:ind w:right="176"/>
                    <w:jc w:val="both"/>
                    <w:rPr>
                      <w:rFonts w:ascii="Arial" w:hAnsi="Arial" w:cs="Arial"/>
                      <w:sz w:val="22"/>
                      <w:szCs w:val="22"/>
                      <w:lang w:val="en-GB"/>
                    </w:rPr>
                  </w:pPr>
                  <w:r w:rsidRPr="00195EB3">
                    <w:rPr>
                      <w:rFonts w:ascii="Arial" w:hAnsi="Arial" w:cs="Arial"/>
                      <w:sz w:val="22"/>
                      <w:szCs w:val="22"/>
                      <w:lang w:val="en-GB"/>
                    </w:rPr>
                    <w:t>No change</w:t>
                  </w:r>
                </w:p>
              </w:tc>
            </w:tr>
            <w:tr w:rsidR="00A10D16" w:rsidRPr="00005FE6" w14:paraId="481B069D" w14:textId="77777777" w:rsidTr="0047351B">
              <w:trPr>
                <w:cantSplit/>
                <w:trHeight w:val="828"/>
              </w:trPr>
              <w:tc>
                <w:tcPr>
                  <w:tcW w:w="958" w:type="pct"/>
                </w:tcPr>
                <w:p w14:paraId="463AD6D1"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lastRenderedPageBreak/>
                    <w:t xml:space="preserve">December Year 1 to </w:t>
                  </w:r>
                  <w:r w:rsidRPr="00195EB3">
                    <w:rPr>
                      <w:rFonts w:ascii="Arial" w:hAnsi="Arial" w:cs="Arial"/>
                      <w:strike/>
                      <w:sz w:val="22"/>
                      <w:szCs w:val="22"/>
                      <w:lang w:val="en-GB"/>
                    </w:rPr>
                    <w:t>May</w:t>
                  </w:r>
                  <w:r w:rsidRPr="00195EB3">
                    <w:rPr>
                      <w:rFonts w:ascii="Arial" w:hAnsi="Arial" w:cs="Arial"/>
                      <w:sz w:val="22"/>
                      <w:szCs w:val="22"/>
                      <w:lang w:val="en-GB"/>
                    </w:rPr>
                    <w:t xml:space="preserve"> </w:t>
                  </w:r>
                  <w:r w:rsidRPr="00195EB3">
                    <w:rPr>
                      <w:rFonts w:ascii="Arial" w:hAnsi="Arial" w:cs="Arial"/>
                      <w:b/>
                      <w:bCs/>
                      <w:sz w:val="22"/>
                      <w:szCs w:val="22"/>
                      <w:u w:val="single"/>
                      <w:lang w:val="en-GB"/>
                    </w:rPr>
                    <w:t>June</w:t>
                  </w:r>
                  <w:r w:rsidRPr="00195EB3">
                    <w:rPr>
                      <w:rFonts w:ascii="Arial" w:hAnsi="Arial" w:cs="Arial"/>
                      <w:sz w:val="22"/>
                      <w:szCs w:val="22"/>
                      <w:lang w:val="en-GB"/>
                    </w:rPr>
                    <w:t xml:space="preserve"> Year 2</w:t>
                  </w:r>
                </w:p>
              </w:tc>
              <w:tc>
                <w:tcPr>
                  <w:tcW w:w="4042" w:type="pct"/>
                </w:tcPr>
                <w:p w14:paraId="5A4FF29B" w14:textId="77777777" w:rsidR="00A10D16" w:rsidRPr="00195EB3" w:rsidRDefault="00A10D16" w:rsidP="00526E62">
                  <w:pPr>
                    <w:keepLines/>
                    <w:tabs>
                      <w:tab w:val="left" w:pos="3851"/>
                    </w:tabs>
                    <w:spacing w:before="60" w:after="60"/>
                    <w:ind w:right="315"/>
                    <w:jc w:val="both"/>
                    <w:rPr>
                      <w:rFonts w:ascii="Arial" w:hAnsi="Arial" w:cs="Arial"/>
                      <w:sz w:val="22"/>
                      <w:szCs w:val="22"/>
                      <w:lang w:val="en-GB"/>
                    </w:rPr>
                  </w:pPr>
                  <w:r w:rsidRPr="00195EB3">
                    <w:rPr>
                      <w:rFonts w:ascii="Arial" w:hAnsi="Arial" w:cs="Arial"/>
                      <w:sz w:val="22"/>
                      <w:szCs w:val="22"/>
                      <w:lang w:val="en-GB"/>
                    </w:rPr>
                    <w:t>Individual evaluation of the files by the Evaluation Body members.</w:t>
                  </w:r>
                </w:p>
              </w:tc>
            </w:tr>
            <w:tr w:rsidR="00A10D16" w:rsidRPr="00195EB3" w14:paraId="38D3EC90" w14:textId="77777777" w:rsidTr="009E2222">
              <w:trPr>
                <w:cantSplit/>
                <w:trHeight w:val="70"/>
              </w:trPr>
              <w:tc>
                <w:tcPr>
                  <w:tcW w:w="958" w:type="pct"/>
                </w:tcPr>
                <w:p w14:paraId="4FD99ADD"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 xml:space="preserve">June </w:t>
                  </w:r>
                </w:p>
                <w:p w14:paraId="6A16E45A"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4042" w:type="pct"/>
                </w:tcPr>
                <w:p w14:paraId="0B434942"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p w14:paraId="149525B2" w14:textId="77777777" w:rsidR="00A10D16" w:rsidRPr="00195EB3" w:rsidRDefault="00A10D16" w:rsidP="00847203">
                  <w:pPr>
                    <w:keepLines/>
                    <w:spacing w:before="60" w:after="60"/>
                    <w:ind w:right="69"/>
                    <w:jc w:val="both"/>
                    <w:rPr>
                      <w:rFonts w:ascii="Arial" w:hAnsi="Arial" w:cs="Arial"/>
                      <w:sz w:val="22"/>
                      <w:szCs w:val="22"/>
                      <w:lang w:val="en-GB"/>
                    </w:rPr>
                  </w:pPr>
                </w:p>
              </w:tc>
            </w:tr>
            <w:tr w:rsidR="00A10D16" w:rsidRPr="00195EB3" w14:paraId="2FD27EDA" w14:textId="77777777" w:rsidTr="009E2222">
              <w:trPr>
                <w:cantSplit/>
                <w:trHeight w:val="70"/>
              </w:trPr>
              <w:tc>
                <w:tcPr>
                  <w:tcW w:w="958" w:type="pct"/>
                </w:tcPr>
                <w:p w14:paraId="3527346B"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Two weeks after the June meeting</w:t>
                  </w:r>
                </w:p>
                <w:p w14:paraId="3C12BA1F"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4042" w:type="pct"/>
                </w:tcPr>
                <w:p w14:paraId="357B1B84" w14:textId="77777777" w:rsidR="00A10D16" w:rsidRPr="00195EB3" w:rsidRDefault="00A10D16" w:rsidP="00526E62">
                  <w:pPr>
                    <w:keepLines/>
                    <w:spacing w:before="60" w:after="60"/>
                    <w:ind w:right="69"/>
                    <w:jc w:val="both"/>
                    <w:rPr>
                      <w:rFonts w:ascii="Arial" w:hAnsi="Arial" w:cs="Arial"/>
                      <w:sz w:val="22"/>
                      <w:szCs w:val="22"/>
                      <w:lang w:val="en-GB"/>
                    </w:rPr>
                  </w:pPr>
                  <w:r w:rsidRPr="00195EB3">
                    <w:rPr>
                      <w:rFonts w:ascii="Arial" w:hAnsi="Arial" w:cs="Arial"/>
                      <w:sz w:val="22"/>
                      <w:szCs w:val="22"/>
                      <w:lang w:val="en-GB"/>
                    </w:rPr>
                    <w:t>No change</w:t>
                  </w:r>
                </w:p>
                <w:p w14:paraId="51832941" w14:textId="77777777" w:rsidR="00A10D16" w:rsidRPr="00195EB3" w:rsidRDefault="00A10D16" w:rsidP="00847203">
                  <w:pPr>
                    <w:keepLines/>
                    <w:spacing w:before="60" w:after="60"/>
                    <w:ind w:right="69"/>
                    <w:jc w:val="both"/>
                    <w:rPr>
                      <w:rFonts w:ascii="Arial" w:hAnsi="Arial" w:cs="Arial"/>
                      <w:sz w:val="22"/>
                      <w:szCs w:val="22"/>
                      <w:lang w:val="en-GB"/>
                    </w:rPr>
                  </w:pPr>
                </w:p>
              </w:tc>
            </w:tr>
            <w:tr w:rsidR="00A10D16" w:rsidRPr="00195EB3" w14:paraId="23AA505B" w14:textId="77777777" w:rsidTr="009E2222">
              <w:trPr>
                <w:cantSplit/>
                <w:trHeight w:val="603"/>
              </w:trPr>
              <w:tc>
                <w:tcPr>
                  <w:tcW w:w="958" w:type="pct"/>
                </w:tcPr>
                <w:p w14:paraId="39593BAD" w14:textId="77777777" w:rsidR="00A10D16" w:rsidRPr="00195EB3" w:rsidRDefault="00A10D16" w:rsidP="00526E62">
                  <w:pPr>
                    <w:keepLines/>
                    <w:spacing w:before="60" w:after="60"/>
                    <w:jc w:val="right"/>
                    <w:rPr>
                      <w:rFonts w:ascii="Arial" w:hAnsi="Arial" w:cs="Arial"/>
                      <w:sz w:val="22"/>
                      <w:szCs w:val="22"/>
                      <w:highlight w:val="yellow"/>
                      <w:lang w:val="en-GB"/>
                    </w:rPr>
                  </w:pPr>
                  <w:r w:rsidRPr="00195EB3">
                    <w:rPr>
                      <w:rFonts w:ascii="Arial" w:hAnsi="Arial" w:cs="Arial"/>
                      <w:sz w:val="22"/>
                      <w:szCs w:val="22"/>
                      <w:lang w:val="en-GB"/>
                    </w:rPr>
                    <w:t>Latest by September Year 2</w:t>
                  </w:r>
                </w:p>
              </w:tc>
              <w:tc>
                <w:tcPr>
                  <w:tcW w:w="4042" w:type="pct"/>
                </w:tcPr>
                <w:p w14:paraId="2F532474"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6A91CC75" w14:textId="77777777" w:rsidTr="00FA3A51">
              <w:trPr>
                <w:cantSplit/>
                <w:trHeight w:val="801"/>
              </w:trPr>
              <w:tc>
                <w:tcPr>
                  <w:tcW w:w="958" w:type="pct"/>
                </w:tcPr>
                <w:p w14:paraId="57D98135"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Four weeks prior to the session of the Committee</w:t>
                  </w:r>
                </w:p>
              </w:tc>
              <w:tc>
                <w:tcPr>
                  <w:tcW w:w="4042" w:type="pct"/>
                </w:tcPr>
                <w:p w14:paraId="4E3EB967" w14:textId="77777777" w:rsidR="00A10D16" w:rsidRPr="00195EB3" w:rsidRDefault="00A10D16" w:rsidP="00526E62">
                  <w:pPr>
                    <w:keepLines/>
                    <w:spacing w:before="60" w:after="60"/>
                    <w:ind w:right="69"/>
                    <w:jc w:val="both"/>
                    <w:rPr>
                      <w:rFonts w:ascii="Arial" w:hAnsi="Arial" w:cs="Arial"/>
                      <w:sz w:val="22"/>
                      <w:szCs w:val="22"/>
                      <w:lang w:val="en-GB"/>
                    </w:rPr>
                  </w:pPr>
                  <w:r w:rsidRPr="00195EB3">
                    <w:rPr>
                      <w:rFonts w:ascii="Arial" w:hAnsi="Arial" w:cs="Arial"/>
                      <w:sz w:val="22"/>
                      <w:szCs w:val="22"/>
                      <w:lang w:val="en-GB"/>
                    </w:rPr>
                    <w:t>No change</w:t>
                  </w:r>
                </w:p>
                <w:p w14:paraId="575B7484" w14:textId="77777777" w:rsidR="00A10D16" w:rsidRPr="00195EB3" w:rsidRDefault="00A10D16" w:rsidP="00526E62">
                  <w:pPr>
                    <w:keepLines/>
                    <w:spacing w:before="60" w:after="60"/>
                    <w:ind w:right="69"/>
                    <w:jc w:val="both"/>
                    <w:rPr>
                      <w:rFonts w:ascii="Arial" w:hAnsi="Arial" w:cs="Arial"/>
                      <w:sz w:val="22"/>
                      <w:szCs w:val="22"/>
                      <w:lang w:val="en-GB"/>
                    </w:rPr>
                  </w:pPr>
                </w:p>
              </w:tc>
            </w:tr>
          </w:tbl>
          <w:p w14:paraId="765DA2E8" w14:textId="77777777" w:rsidR="00A10D16" w:rsidRPr="00195EB3" w:rsidRDefault="00A10D16" w:rsidP="00526E62">
            <w:pPr>
              <w:keepLines/>
              <w:spacing w:before="60" w:after="60"/>
              <w:jc w:val="both"/>
              <w:rPr>
                <w:rFonts w:ascii="Arial" w:hAnsi="Arial" w:cs="Arial"/>
                <w:sz w:val="22"/>
                <w:szCs w:val="22"/>
                <w:lang w:val="en-US"/>
              </w:rPr>
            </w:pPr>
          </w:p>
        </w:tc>
      </w:tr>
      <w:tr w:rsidR="00A10D16" w:rsidRPr="00195EB3" w14:paraId="122BC002" w14:textId="77777777" w:rsidTr="0047351B">
        <w:trPr>
          <w:trHeight w:val="726"/>
        </w:trPr>
        <w:tc>
          <w:tcPr>
            <w:tcW w:w="554" w:type="pct"/>
          </w:tcPr>
          <w:p w14:paraId="7D6592C2"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lastRenderedPageBreak/>
              <w:t>56.</w:t>
            </w:r>
          </w:p>
        </w:tc>
        <w:tc>
          <w:tcPr>
            <w:tcW w:w="4446" w:type="pct"/>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1"/>
              <w:gridCol w:w="4674"/>
            </w:tblGrid>
            <w:tr w:rsidR="00A10D16" w:rsidRPr="00195EB3" w14:paraId="5DC5634E" w14:textId="77777777" w:rsidTr="009E2222">
              <w:trPr>
                <w:cantSplit/>
              </w:trPr>
              <w:tc>
                <w:tcPr>
                  <w:tcW w:w="1282" w:type="pct"/>
                </w:tcPr>
                <w:p w14:paraId="3CBC1603"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Phase 3:</w:t>
                  </w:r>
                </w:p>
              </w:tc>
              <w:tc>
                <w:tcPr>
                  <w:tcW w:w="3718" w:type="pct"/>
                </w:tcPr>
                <w:p w14:paraId="16A547EF" w14:textId="77777777" w:rsidR="00A10D16" w:rsidRPr="00195EB3" w:rsidRDefault="00A10D16" w:rsidP="00526E62">
                  <w:pPr>
                    <w:keepLines/>
                    <w:spacing w:before="60" w:after="60"/>
                    <w:ind w:right="176"/>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4332A715" w14:textId="77777777" w:rsidTr="00FA3A51">
              <w:trPr>
                <w:cantSplit/>
                <w:trHeight w:val="70"/>
              </w:trPr>
              <w:tc>
                <w:tcPr>
                  <w:tcW w:w="1282" w:type="pct"/>
                </w:tcPr>
                <w:p w14:paraId="787F8C1D"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November</w:t>
                  </w:r>
                </w:p>
                <w:p w14:paraId="502F1A23" w14:textId="77777777" w:rsidR="00A10D16" w:rsidRPr="00195EB3" w:rsidRDefault="00A10D16" w:rsidP="00526E62">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718" w:type="pct"/>
                </w:tcPr>
                <w:p w14:paraId="3A0A963E"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bl>
          <w:p w14:paraId="0940B350" w14:textId="77777777" w:rsidR="00A10D16" w:rsidRPr="00195EB3" w:rsidRDefault="00A10D16" w:rsidP="00526E62">
            <w:pPr>
              <w:keepLines/>
              <w:spacing w:before="60" w:after="60"/>
              <w:jc w:val="both"/>
              <w:rPr>
                <w:rFonts w:ascii="Arial" w:hAnsi="Arial" w:cs="Arial"/>
                <w:sz w:val="22"/>
                <w:szCs w:val="22"/>
                <w:lang w:val="en-US"/>
              </w:rPr>
            </w:pPr>
          </w:p>
        </w:tc>
      </w:tr>
      <w:tr w:rsidR="00A10D16" w:rsidRPr="00195EB3" w14:paraId="0BD90836" w14:textId="77777777" w:rsidTr="0047351B">
        <w:tc>
          <w:tcPr>
            <w:tcW w:w="554" w:type="pct"/>
          </w:tcPr>
          <w:p w14:paraId="3371CC31" w14:textId="77777777" w:rsidR="00A10D16" w:rsidRPr="002E372C" w:rsidRDefault="00A10D16" w:rsidP="00526E62">
            <w:pPr>
              <w:keepLines/>
              <w:spacing w:before="60" w:after="60"/>
              <w:jc w:val="both"/>
              <w:rPr>
                <w:rFonts w:ascii="Arial" w:hAnsi="Arial" w:cs="Arial"/>
                <w:sz w:val="22"/>
                <w:szCs w:val="22"/>
                <w:lang w:val="en-GB"/>
              </w:rPr>
            </w:pPr>
            <w:r w:rsidRPr="002E372C">
              <w:rPr>
                <w:rFonts w:ascii="Arial" w:hAnsi="Arial" w:cs="Arial"/>
                <w:b/>
                <w:bCs/>
                <w:sz w:val="22"/>
                <w:szCs w:val="22"/>
                <w:lang w:val="en-GB"/>
              </w:rPr>
              <w:t>V.1</w:t>
            </w:r>
          </w:p>
        </w:tc>
        <w:tc>
          <w:tcPr>
            <w:tcW w:w="4446" w:type="pct"/>
          </w:tcPr>
          <w:p w14:paraId="2FB347DF"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1E12E62E" w14:textId="77777777" w:rsidTr="0047351B">
        <w:tc>
          <w:tcPr>
            <w:tcW w:w="554" w:type="pct"/>
          </w:tcPr>
          <w:p w14:paraId="201CBD10" w14:textId="77777777" w:rsidR="00A10D16" w:rsidRPr="00195EB3" w:rsidRDefault="00A10D16" w:rsidP="00526E62">
            <w:pPr>
              <w:keepLines/>
              <w:spacing w:before="60" w:after="60"/>
              <w:rPr>
                <w:rFonts w:ascii="Arial" w:hAnsi="Arial" w:cs="Arial"/>
                <w:sz w:val="22"/>
                <w:szCs w:val="22"/>
                <w:lang w:val="en-GB"/>
              </w:rPr>
            </w:pPr>
            <w:r w:rsidRPr="00195EB3">
              <w:rPr>
                <w:rFonts w:ascii="Arial" w:hAnsi="Arial" w:cs="Arial"/>
                <w:sz w:val="22"/>
                <w:szCs w:val="22"/>
                <w:lang w:val="en-GB"/>
              </w:rPr>
              <w:t>151.</w:t>
            </w:r>
          </w:p>
        </w:tc>
        <w:tc>
          <w:tcPr>
            <w:tcW w:w="4446" w:type="pct"/>
          </w:tcPr>
          <w:p w14:paraId="098DC032" w14:textId="77777777" w:rsidR="00A10D16" w:rsidRPr="00195EB3" w:rsidRDefault="00A10D16" w:rsidP="00526E62">
            <w:pPr>
              <w:keepLines/>
              <w:spacing w:before="60" w:after="60"/>
              <w:ind w:right="175"/>
              <w:jc w:val="both"/>
              <w:rPr>
                <w:rFonts w:ascii="Arial" w:hAnsi="Arial" w:cs="Arial"/>
                <w:sz w:val="22"/>
                <w:szCs w:val="22"/>
                <w:lang w:val="en-GB"/>
              </w:rPr>
            </w:pPr>
            <w:r w:rsidRPr="00195EB3">
              <w:rPr>
                <w:rFonts w:ascii="Arial" w:hAnsi="Arial" w:cs="Arial"/>
                <w:sz w:val="22"/>
                <w:szCs w:val="22"/>
                <w:lang w:val="en-GB"/>
              </w:rPr>
              <w:t>No change</w:t>
            </w:r>
          </w:p>
        </w:tc>
      </w:tr>
      <w:tr w:rsidR="00A10D16" w:rsidRPr="00005FE6" w14:paraId="1AE424C8" w14:textId="77777777" w:rsidTr="0047351B">
        <w:tc>
          <w:tcPr>
            <w:tcW w:w="554" w:type="pct"/>
          </w:tcPr>
          <w:p w14:paraId="56152609" w14:textId="77777777" w:rsidR="00A10D16" w:rsidRPr="00195EB3" w:rsidRDefault="00A10D16" w:rsidP="00526E62">
            <w:pPr>
              <w:keepLines/>
              <w:spacing w:before="60" w:after="60"/>
              <w:jc w:val="both"/>
              <w:rPr>
                <w:rFonts w:ascii="Arial" w:hAnsi="Arial" w:cs="Arial"/>
                <w:color w:val="000000"/>
                <w:sz w:val="22"/>
                <w:szCs w:val="22"/>
                <w:lang w:val="en-GB"/>
              </w:rPr>
            </w:pPr>
            <w:r w:rsidRPr="00195EB3">
              <w:rPr>
                <w:rFonts w:ascii="Arial" w:hAnsi="Arial" w:cs="Arial"/>
                <w:sz w:val="22"/>
                <w:szCs w:val="22"/>
                <w:lang w:val="en-GB"/>
              </w:rPr>
              <w:t>152.</w:t>
            </w:r>
          </w:p>
        </w:tc>
        <w:tc>
          <w:tcPr>
            <w:tcW w:w="4446" w:type="pct"/>
          </w:tcPr>
          <w:p w14:paraId="0461115F" w14:textId="77777777" w:rsidR="00A10D16" w:rsidRPr="00195EB3" w:rsidRDefault="00A10D16" w:rsidP="00526E62">
            <w:pPr>
              <w:keepLines/>
              <w:spacing w:before="60" w:after="60"/>
              <w:jc w:val="both"/>
              <w:rPr>
                <w:rFonts w:ascii="Arial" w:hAnsi="Arial" w:cs="Arial"/>
                <w:strike/>
                <w:color w:val="000000"/>
                <w:sz w:val="22"/>
                <w:szCs w:val="22"/>
                <w:lang w:val="en-GB"/>
              </w:rPr>
            </w:pPr>
            <w:r w:rsidRPr="00195EB3">
              <w:rPr>
                <w:rFonts w:ascii="Arial" w:hAnsi="Arial" w:cs="Arial"/>
                <w:color w:val="000000"/>
                <w:sz w:val="22"/>
                <w:szCs w:val="22"/>
                <w:lang w:val="en-GB"/>
              </w:rPr>
              <w:t xml:space="preserve">States Parties submit their periodic reports to the Committee by </w:t>
            </w:r>
            <w:r w:rsidRPr="00195EB3">
              <w:rPr>
                <w:rFonts w:ascii="Arial" w:hAnsi="Arial" w:cs="Arial"/>
                <w:strike/>
                <w:color w:val="000000"/>
                <w:sz w:val="22"/>
                <w:szCs w:val="22"/>
                <w:lang w:val="en-GB"/>
              </w:rPr>
              <w:t>15 December every six years on the basis of a rotation region by region</w:t>
            </w:r>
            <w:r w:rsidRPr="00195EB3">
              <w:rPr>
                <w:rFonts w:ascii="Arial" w:hAnsi="Arial" w:cs="Arial"/>
                <w:color w:val="000000"/>
                <w:sz w:val="22"/>
                <w:szCs w:val="22"/>
                <w:lang w:val="en-GB"/>
              </w:rPr>
              <w:t xml:space="preserve"> </w:t>
            </w:r>
            <w:r w:rsidRPr="00195EB3">
              <w:rPr>
                <w:rFonts w:ascii="Arial" w:hAnsi="Arial" w:cs="Arial"/>
                <w:b/>
                <w:bCs/>
                <w:color w:val="000000"/>
                <w:sz w:val="22"/>
                <w:szCs w:val="22"/>
                <w:u w:val="single"/>
                <w:lang w:val="en-GB"/>
              </w:rPr>
              <w:t>30 June every four years on the basis of a calendar established by the Committee</w:t>
            </w:r>
            <w:r w:rsidRPr="00195EB3">
              <w:rPr>
                <w:rFonts w:ascii="Arial" w:hAnsi="Arial" w:cs="Arial"/>
                <w:color w:val="000000"/>
                <w:sz w:val="22"/>
                <w:szCs w:val="22"/>
                <w:lang w:val="en-GB"/>
              </w:rPr>
              <w:t xml:space="preserve">. </w:t>
            </w:r>
            <w:r w:rsidRPr="00195EB3">
              <w:rPr>
                <w:rFonts w:ascii="Arial" w:hAnsi="Arial" w:cs="Arial"/>
                <w:strike/>
                <w:color w:val="000000"/>
                <w:sz w:val="22"/>
                <w:szCs w:val="22"/>
                <w:lang w:val="en-GB"/>
              </w:rPr>
              <w:t>The order of such rotation is established by the Committee at the beginning of the six-year periodic reporting cycle.</w:t>
            </w:r>
            <w:r w:rsidRPr="00195EB3">
              <w:rPr>
                <w:rFonts w:ascii="Arial" w:hAnsi="Arial" w:cs="Arial"/>
                <w:color w:val="000000"/>
                <w:sz w:val="22"/>
                <w:szCs w:val="22"/>
                <w:lang w:val="en-GB"/>
              </w:rPr>
              <w:t xml:space="preserve"> States Parties use the periodic reporting process to enhance the monitoring measures, as well as active regional exchange and cooperation to ensure efficient safeguarding of the intangible cultural heritage. Form ICH-10 is used for such reports; it may be completed online by each State Party (</w:t>
            </w:r>
            <w:hyperlink r:id="rId23" w:history="1">
              <w:r w:rsidRPr="00195EB3">
                <w:rPr>
                  <w:rStyle w:val="Hyperlink"/>
                  <w:rFonts w:ascii="Arial" w:hAnsi="Arial" w:cs="Arial"/>
                  <w:b/>
                  <w:bCs/>
                  <w:sz w:val="22"/>
                  <w:szCs w:val="22"/>
                  <w:lang w:val="en-GB"/>
                </w:rPr>
                <w:t>https://ich.unesco.org</w:t>
              </w:r>
            </w:hyperlink>
            <w:r w:rsidRPr="00195EB3">
              <w:rPr>
                <w:rFonts w:ascii="Arial" w:hAnsi="Arial" w:cs="Arial"/>
                <w:color w:val="000000"/>
                <w:sz w:val="22"/>
                <w:szCs w:val="22"/>
                <w:lang w:val="en-GB"/>
              </w:rPr>
              <w:t>), and is revised at appropriate intervals by the Secretariat.</w:t>
            </w:r>
          </w:p>
        </w:tc>
      </w:tr>
      <w:tr w:rsidR="00A10D16" w:rsidRPr="00195EB3" w14:paraId="2ACF09A2" w14:textId="77777777" w:rsidTr="0047351B">
        <w:tc>
          <w:tcPr>
            <w:tcW w:w="554" w:type="pct"/>
          </w:tcPr>
          <w:p w14:paraId="3D63DA22" w14:textId="77777777" w:rsidR="00A10D16" w:rsidRPr="00195EB3" w:rsidRDefault="00A10D16" w:rsidP="00526E62">
            <w:pPr>
              <w:keepLines/>
              <w:spacing w:before="60" w:after="60"/>
              <w:rPr>
                <w:rFonts w:ascii="Arial" w:hAnsi="Arial" w:cs="Arial"/>
                <w:sz w:val="22"/>
                <w:szCs w:val="22"/>
                <w:lang w:val="en-GB"/>
              </w:rPr>
            </w:pPr>
            <w:r w:rsidRPr="00195EB3">
              <w:rPr>
                <w:rFonts w:ascii="Arial" w:hAnsi="Arial" w:cs="Arial"/>
                <w:sz w:val="22"/>
                <w:szCs w:val="22"/>
                <w:lang w:val="en-GB"/>
              </w:rPr>
              <w:t>153.</w:t>
            </w:r>
          </w:p>
        </w:tc>
        <w:tc>
          <w:tcPr>
            <w:tcW w:w="4446" w:type="pct"/>
          </w:tcPr>
          <w:p w14:paraId="3AB41D26" w14:textId="77777777" w:rsidR="00A10D16" w:rsidRPr="00195EB3" w:rsidRDefault="00A10D16" w:rsidP="00526E62">
            <w:pPr>
              <w:keepLines/>
              <w:spacing w:before="60" w:after="60"/>
              <w:ind w:right="175"/>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4F867D04" w14:textId="77777777" w:rsidTr="0047351B">
        <w:tc>
          <w:tcPr>
            <w:tcW w:w="554" w:type="pct"/>
          </w:tcPr>
          <w:p w14:paraId="63B1429F"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154.</w:t>
            </w:r>
          </w:p>
        </w:tc>
        <w:tc>
          <w:tcPr>
            <w:tcW w:w="4446" w:type="pct"/>
          </w:tcPr>
          <w:p w14:paraId="2255C580" w14:textId="77777777" w:rsidR="00A10D16" w:rsidRPr="00195EB3" w:rsidRDefault="00A10D16" w:rsidP="00526E62">
            <w:pPr>
              <w:keepLines/>
              <w:spacing w:before="60" w:after="60"/>
              <w:jc w:val="both"/>
              <w:rPr>
                <w:rFonts w:ascii="Arial" w:hAnsi="Arial" w:cs="Arial"/>
                <w:sz w:val="22"/>
                <w:szCs w:val="22"/>
                <w:u w:val="single"/>
                <w:lang w:val="en-GB"/>
              </w:rPr>
            </w:pPr>
            <w:r w:rsidRPr="00195EB3">
              <w:rPr>
                <w:rFonts w:ascii="Arial" w:hAnsi="Arial" w:cs="Arial"/>
                <w:sz w:val="22"/>
                <w:szCs w:val="22"/>
                <w:lang w:val="en-GB"/>
              </w:rPr>
              <w:t>No change</w:t>
            </w:r>
          </w:p>
        </w:tc>
      </w:tr>
      <w:tr w:rsidR="00A10D16" w:rsidRPr="00195EB3" w14:paraId="23A0C5BB" w14:textId="77777777" w:rsidTr="0047351B">
        <w:tc>
          <w:tcPr>
            <w:tcW w:w="554" w:type="pct"/>
          </w:tcPr>
          <w:p w14:paraId="7576E129"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155.</w:t>
            </w:r>
          </w:p>
        </w:tc>
        <w:tc>
          <w:tcPr>
            <w:tcW w:w="4446" w:type="pct"/>
          </w:tcPr>
          <w:p w14:paraId="6CA8D282"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7FB0B172" w14:textId="77777777" w:rsidTr="0047351B">
        <w:tc>
          <w:tcPr>
            <w:tcW w:w="554" w:type="pct"/>
          </w:tcPr>
          <w:p w14:paraId="69CE5E30"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156.</w:t>
            </w:r>
          </w:p>
        </w:tc>
        <w:tc>
          <w:tcPr>
            <w:tcW w:w="4446" w:type="pct"/>
          </w:tcPr>
          <w:p w14:paraId="2D004DAD"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35CEF383" w14:textId="77777777" w:rsidTr="0047351B">
        <w:tc>
          <w:tcPr>
            <w:tcW w:w="554" w:type="pct"/>
          </w:tcPr>
          <w:p w14:paraId="38946D2F"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157.</w:t>
            </w:r>
          </w:p>
        </w:tc>
        <w:tc>
          <w:tcPr>
            <w:tcW w:w="4446" w:type="pct"/>
          </w:tcPr>
          <w:p w14:paraId="312D66D6"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3CDE2316" w14:textId="77777777" w:rsidTr="0047351B">
        <w:tc>
          <w:tcPr>
            <w:tcW w:w="554" w:type="pct"/>
          </w:tcPr>
          <w:p w14:paraId="5F60C546" w14:textId="77777777" w:rsidR="00A10D16" w:rsidRPr="00195EB3" w:rsidRDefault="00A10D16" w:rsidP="00526E62">
            <w:pPr>
              <w:keepNext/>
              <w:keepLines/>
              <w:spacing w:before="60" w:after="60"/>
              <w:jc w:val="both"/>
              <w:rPr>
                <w:rFonts w:ascii="Arial" w:hAnsi="Arial" w:cs="Arial"/>
                <w:sz w:val="22"/>
                <w:szCs w:val="22"/>
                <w:lang w:val="en-GB"/>
              </w:rPr>
            </w:pPr>
            <w:r w:rsidRPr="00195EB3">
              <w:rPr>
                <w:rFonts w:ascii="Arial" w:hAnsi="Arial" w:cs="Arial"/>
                <w:sz w:val="22"/>
                <w:szCs w:val="22"/>
                <w:lang w:val="en-GB"/>
              </w:rPr>
              <w:t>158.</w:t>
            </w:r>
          </w:p>
        </w:tc>
        <w:tc>
          <w:tcPr>
            <w:tcW w:w="4446" w:type="pct"/>
          </w:tcPr>
          <w:p w14:paraId="1E7D02B9" w14:textId="77777777" w:rsidR="00A10D16" w:rsidRPr="00195EB3" w:rsidRDefault="00A10D16" w:rsidP="00526E62">
            <w:pPr>
              <w:keepNext/>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005FE6" w14:paraId="0CAAAB4A" w14:textId="77777777" w:rsidTr="0047351B">
        <w:tc>
          <w:tcPr>
            <w:tcW w:w="554" w:type="pct"/>
          </w:tcPr>
          <w:p w14:paraId="30F4DF74"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159.</w:t>
            </w:r>
          </w:p>
        </w:tc>
        <w:tc>
          <w:tcPr>
            <w:tcW w:w="4446" w:type="pct"/>
          </w:tcPr>
          <w:p w14:paraId="3D2D4486"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 xml:space="preserve">States Parties shall respond, in a timely manner, to specific requests addressed to them by the Committee for additional information, if needed and independently of the </w:t>
            </w:r>
            <w:r w:rsidRPr="00195EB3">
              <w:rPr>
                <w:rFonts w:ascii="Arial" w:hAnsi="Arial" w:cs="Arial"/>
                <w:strike/>
                <w:sz w:val="22"/>
                <w:szCs w:val="22"/>
                <w:lang w:val="en-GB"/>
              </w:rPr>
              <w:t>regional cycle</w:t>
            </w:r>
            <w:r w:rsidRPr="00195EB3">
              <w:rPr>
                <w:rFonts w:ascii="Arial" w:hAnsi="Arial" w:cs="Arial"/>
                <w:sz w:val="22"/>
                <w:szCs w:val="22"/>
                <w:lang w:val="en-GB"/>
              </w:rPr>
              <w:t xml:space="preserve"> </w:t>
            </w:r>
            <w:r w:rsidRPr="00195EB3">
              <w:rPr>
                <w:rFonts w:ascii="Arial" w:hAnsi="Arial" w:cs="Arial"/>
                <w:b/>
                <w:bCs/>
                <w:sz w:val="22"/>
                <w:szCs w:val="22"/>
                <w:u w:val="single"/>
                <w:lang w:val="en-GB"/>
              </w:rPr>
              <w:t>regular reporting cycle</w:t>
            </w:r>
            <w:r w:rsidRPr="00195EB3">
              <w:rPr>
                <w:rFonts w:ascii="Arial" w:hAnsi="Arial" w:cs="Arial"/>
                <w:sz w:val="22"/>
                <w:szCs w:val="22"/>
                <w:lang w:val="en-GB"/>
              </w:rPr>
              <w:t xml:space="preserve"> set out by the Committee, in compliance with paragraph 152 above.</w:t>
            </w:r>
          </w:p>
        </w:tc>
      </w:tr>
      <w:tr w:rsidR="00A10D16" w:rsidRPr="00195EB3" w14:paraId="15F9F7ED" w14:textId="77777777" w:rsidTr="0047351B">
        <w:tc>
          <w:tcPr>
            <w:tcW w:w="554" w:type="pct"/>
          </w:tcPr>
          <w:p w14:paraId="0A79EADC"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b/>
                <w:bCs/>
                <w:sz w:val="22"/>
                <w:szCs w:val="22"/>
                <w:lang w:val="en-GB"/>
              </w:rPr>
              <w:t>V.2</w:t>
            </w:r>
          </w:p>
        </w:tc>
        <w:tc>
          <w:tcPr>
            <w:tcW w:w="4446" w:type="pct"/>
          </w:tcPr>
          <w:p w14:paraId="0233BD83"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3B90419A" w14:textId="77777777" w:rsidTr="0047351B">
        <w:tc>
          <w:tcPr>
            <w:tcW w:w="554" w:type="pct"/>
          </w:tcPr>
          <w:p w14:paraId="31A8EE75"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lastRenderedPageBreak/>
              <w:t>160.</w:t>
            </w:r>
          </w:p>
        </w:tc>
        <w:tc>
          <w:tcPr>
            <w:tcW w:w="4446" w:type="pct"/>
          </w:tcPr>
          <w:p w14:paraId="38D0C131"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005FE6" w14:paraId="00BC6187" w14:textId="77777777" w:rsidTr="0047351B">
        <w:tc>
          <w:tcPr>
            <w:tcW w:w="554" w:type="pct"/>
          </w:tcPr>
          <w:p w14:paraId="283191C1"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161.</w:t>
            </w:r>
          </w:p>
        </w:tc>
        <w:tc>
          <w:tcPr>
            <w:tcW w:w="4446" w:type="pct"/>
          </w:tcPr>
          <w:p w14:paraId="10B166AB"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 xml:space="preserve">Such reports shall normally be submitted to the Committee by </w:t>
            </w:r>
            <w:r w:rsidRPr="00195EB3">
              <w:rPr>
                <w:rFonts w:ascii="Arial" w:hAnsi="Arial" w:cs="Arial"/>
                <w:strike/>
                <w:sz w:val="22"/>
                <w:szCs w:val="22"/>
                <w:lang w:val="en-GB"/>
              </w:rPr>
              <w:t>15 December of the fourth year following the year in which the element was inscribed, and every fourth year thereafter</w:t>
            </w:r>
            <w:r w:rsidRPr="00195EB3">
              <w:rPr>
                <w:rFonts w:ascii="Arial" w:hAnsi="Arial" w:cs="Arial"/>
                <w:sz w:val="22"/>
                <w:szCs w:val="22"/>
                <w:lang w:val="en-GB"/>
              </w:rPr>
              <w:t xml:space="preserve"> </w:t>
            </w:r>
            <w:r w:rsidRPr="00195EB3">
              <w:rPr>
                <w:rFonts w:ascii="Arial" w:hAnsi="Arial" w:cs="Arial"/>
                <w:b/>
                <w:bCs/>
                <w:color w:val="000000"/>
                <w:sz w:val="22"/>
                <w:szCs w:val="22"/>
                <w:u w:val="single"/>
                <w:lang w:val="en-GB"/>
              </w:rPr>
              <w:t>30 June every four years on the basis of a calendar established by the Committee</w:t>
            </w:r>
            <w:r w:rsidRPr="00195EB3">
              <w:rPr>
                <w:rFonts w:ascii="Arial" w:hAnsi="Arial" w:cs="Arial"/>
                <w:sz w:val="22"/>
                <w:szCs w:val="22"/>
                <w:lang w:val="en-GB"/>
              </w:rPr>
              <w:t xml:space="preserve">. Form ICH-11 is used for such reports; it </w:t>
            </w:r>
            <w:r w:rsidRPr="00195EB3">
              <w:rPr>
                <w:rFonts w:ascii="Arial" w:hAnsi="Arial" w:cs="Arial"/>
                <w:color w:val="000000"/>
                <w:sz w:val="22"/>
                <w:szCs w:val="22"/>
                <w:lang w:val="en-GB"/>
              </w:rPr>
              <w:t xml:space="preserve">may </w:t>
            </w:r>
            <w:r w:rsidRPr="00195EB3">
              <w:rPr>
                <w:rFonts w:ascii="Arial" w:hAnsi="Arial" w:cs="Arial"/>
                <w:sz w:val="22"/>
                <w:szCs w:val="22"/>
                <w:lang w:val="en-GB"/>
              </w:rPr>
              <w:t>be completed online by each State Party (</w:t>
            </w:r>
            <w:hyperlink r:id="rId24" w:history="1">
              <w:r w:rsidRPr="00195EB3">
                <w:rPr>
                  <w:rStyle w:val="Hyperlink"/>
                  <w:rFonts w:ascii="Arial" w:hAnsi="Arial" w:cs="Arial"/>
                  <w:b/>
                  <w:bCs/>
                  <w:sz w:val="22"/>
                  <w:szCs w:val="22"/>
                  <w:lang w:val="en-GB"/>
                </w:rPr>
                <w:t>https://ich.unesco.org</w:t>
              </w:r>
            </w:hyperlink>
            <w:r w:rsidRPr="00195EB3">
              <w:rPr>
                <w:rFonts w:ascii="Arial" w:hAnsi="Arial" w:cs="Arial"/>
                <w:sz w:val="22"/>
                <w:szCs w:val="22"/>
                <w:lang w:val="en-GB"/>
              </w:rPr>
              <w:t>), and is revised at appropriate intervals by the Secretariat. At the time of inscription, the Committee may establish a specific timetable for reporting on a case-by-case basis, which will take precedence over the normal four-year cycle.</w:t>
            </w:r>
          </w:p>
        </w:tc>
      </w:tr>
      <w:tr w:rsidR="00A10D16" w:rsidRPr="00195EB3" w14:paraId="1FE966DA" w14:textId="77777777" w:rsidTr="0047351B">
        <w:tc>
          <w:tcPr>
            <w:tcW w:w="554" w:type="pct"/>
          </w:tcPr>
          <w:p w14:paraId="55F61C62"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162.</w:t>
            </w:r>
          </w:p>
        </w:tc>
        <w:tc>
          <w:tcPr>
            <w:tcW w:w="4446" w:type="pct"/>
          </w:tcPr>
          <w:p w14:paraId="5DABB91D"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6B890F0E" w14:textId="77777777" w:rsidTr="0047351B">
        <w:tc>
          <w:tcPr>
            <w:tcW w:w="554" w:type="pct"/>
          </w:tcPr>
          <w:p w14:paraId="581B8073"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163.</w:t>
            </w:r>
          </w:p>
        </w:tc>
        <w:tc>
          <w:tcPr>
            <w:tcW w:w="4446" w:type="pct"/>
          </w:tcPr>
          <w:p w14:paraId="321BB204"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44EADF8A" w14:textId="77777777" w:rsidTr="0047351B">
        <w:tc>
          <w:tcPr>
            <w:tcW w:w="554" w:type="pct"/>
          </w:tcPr>
          <w:p w14:paraId="0413707E"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164.</w:t>
            </w:r>
          </w:p>
        </w:tc>
        <w:tc>
          <w:tcPr>
            <w:tcW w:w="4446" w:type="pct"/>
          </w:tcPr>
          <w:p w14:paraId="78CF5488"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13210B02" w14:textId="77777777" w:rsidTr="0047351B">
        <w:tc>
          <w:tcPr>
            <w:tcW w:w="554" w:type="pct"/>
          </w:tcPr>
          <w:p w14:paraId="018E8DF9"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b/>
                <w:bCs/>
                <w:sz w:val="22"/>
                <w:szCs w:val="22"/>
                <w:lang w:val="en-GB"/>
              </w:rPr>
              <w:t>V.3</w:t>
            </w:r>
          </w:p>
        </w:tc>
        <w:tc>
          <w:tcPr>
            <w:tcW w:w="4446" w:type="pct"/>
          </w:tcPr>
          <w:p w14:paraId="54E93EF4"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62AF370D" w14:textId="77777777" w:rsidTr="0047351B">
        <w:tc>
          <w:tcPr>
            <w:tcW w:w="554" w:type="pct"/>
          </w:tcPr>
          <w:p w14:paraId="75B00E09"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165.</w:t>
            </w:r>
          </w:p>
        </w:tc>
        <w:tc>
          <w:tcPr>
            <w:tcW w:w="4446" w:type="pct"/>
          </w:tcPr>
          <w:p w14:paraId="7E1765F4"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005FE6" w14:paraId="276B91AA" w14:textId="77777777" w:rsidTr="0047351B">
        <w:tc>
          <w:tcPr>
            <w:tcW w:w="554" w:type="pct"/>
          </w:tcPr>
          <w:p w14:paraId="76DFDFD6"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166.</w:t>
            </w:r>
          </w:p>
        </w:tc>
        <w:tc>
          <w:tcPr>
            <w:tcW w:w="4446" w:type="pct"/>
          </w:tcPr>
          <w:p w14:paraId="059B0716"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The Secretariat transmits to the Committee an overview of all reports received in compliance with</w:t>
            </w:r>
            <w:r w:rsidRPr="00195EB3">
              <w:rPr>
                <w:rFonts w:ascii="Arial" w:hAnsi="Arial" w:cs="Arial"/>
                <w:strike/>
                <w:sz w:val="22"/>
                <w:szCs w:val="22"/>
                <w:lang w:val="en-GB"/>
              </w:rPr>
              <w:t xml:space="preserve"> paragraph</w:t>
            </w:r>
            <w:r w:rsidRPr="00195EB3">
              <w:rPr>
                <w:rFonts w:ascii="Arial" w:hAnsi="Arial" w:cs="Arial"/>
                <w:sz w:val="22"/>
                <w:szCs w:val="22"/>
                <w:lang w:val="en-GB"/>
              </w:rPr>
              <w:t xml:space="preserve"> </w:t>
            </w:r>
            <w:r w:rsidRPr="00195EB3">
              <w:rPr>
                <w:rFonts w:ascii="Arial" w:hAnsi="Arial" w:cs="Arial"/>
                <w:b/>
                <w:bCs/>
                <w:sz w:val="22"/>
                <w:szCs w:val="22"/>
                <w:u w:val="single"/>
                <w:lang w:val="en-GB"/>
              </w:rPr>
              <w:t>paragraphs</w:t>
            </w:r>
            <w:r w:rsidRPr="00195EB3">
              <w:rPr>
                <w:rFonts w:ascii="Arial" w:hAnsi="Arial" w:cs="Arial"/>
                <w:sz w:val="22"/>
                <w:szCs w:val="22"/>
                <w:lang w:val="en-GB"/>
              </w:rPr>
              <w:t xml:space="preserve"> 152 </w:t>
            </w:r>
            <w:r w:rsidRPr="00195EB3">
              <w:rPr>
                <w:rFonts w:ascii="Arial" w:hAnsi="Arial" w:cs="Arial"/>
                <w:b/>
                <w:bCs/>
                <w:sz w:val="22"/>
                <w:szCs w:val="22"/>
                <w:u w:val="single"/>
                <w:lang w:val="en-GB"/>
              </w:rPr>
              <w:t>and 161</w:t>
            </w:r>
            <w:r w:rsidRPr="00195EB3">
              <w:rPr>
                <w:rFonts w:ascii="Arial" w:hAnsi="Arial" w:cs="Arial"/>
                <w:sz w:val="22"/>
                <w:szCs w:val="22"/>
                <w:lang w:val="en-GB"/>
              </w:rPr>
              <w:t xml:space="preserve"> four weeks prior to its session, </w:t>
            </w:r>
            <w:r w:rsidRPr="00195EB3">
              <w:rPr>
                <w:rFonts w:ascii="Arial" w:hAnsi="Arial" w:cs="Arial"/>
                <w:b/>
                <w:bCs/>
                <w:sz w:val="22"/>
                <w:szCs w:val="22"/>
                <w:u w:val="single"/>
                <w:lang w:val="en-GB"/>
              </w:rPr>
              <w:t xml:space="preserve">in line with </w:t>
            </w:r>
            <w:r w:rsidRPr="00195EB3">
              <w:rPr>
                <w:rFonts w:ascii="Arial" w:hAnsi="Arial" w:cs="Arial"/>
                <w:b/>
                <w:bCs/>
                <w:color w:val="000000"/>
                <w:sz w:val="22"/>
                <w:szCs w:val="22"/>
                <w:u w:val="single"/>
                <w:lang w:val="en-GB"/>
              </w:rPr>
              <w:t>a calendar established by the Committee</w:t>
            </w:r>
            <w:r w:rsidRPr="00195EB3">
              <w:rPr>
                <w:rFonts w:ascii="Arial" w:hAnsi="Arial" w:cs="Arial"/>
                <w:sz w:val="22"/>
                <w:szCs w:val="22"/>
                <w:lang w:val="en-GB"/>
              </w:rPr>
              <w:t>. The overview is also made available online for public consultation, together with the reports received in compliance with paragraphs 152 and 161, in the language in which they were submitted by the States Parties, unless the Committee decides otherwise in exceptional cases.</w:t>
            </w:r>
          </w:p>
        </w:tc>
      </w:tr>
      <w:tr w:rsidR="00A10D16" w:rsidRPr="00195EB3" w14:paraId="1CFAC369" w14:textId="77777777" w:rsidTr="0047351B">
        <w:tc>
          <w:tcPr>
            <w:tcW w:w="554" w:type="pct"/>
          </w:tcPr>
          <w:p w14:paraId="64BFE2D9"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167.</w:t>
            </w:r>
          </w:p>
        </w:tc>
        <w:tc>
          <w:tcPr>
            <w:tcW w:w="4446" w:type="pct"/>
          </w:tcPr>
          <w:p w14:paraId="306E9299"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1DF51CCB" w14:textId="77777777" w:rsidTr="0047351B">
        <w:tc>
          <w:tcPr>
            <w:tcW w:w="554" w:type="pct"/>
          </w:tcPr>
          <w:p w14:paraId="5B276617"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b/>
                <w:sz w:val="22"/>
                <w:szCs w:val="22"/>
                <w:lang w:val="en-GB"/>
              </w:rPr>
              <w:t>V.4</w:t>
            </w:r>
          </w:p>
        </w:tc>
        <w:tc>
          <w:tcPr>
            <w:tcW w:w="4446" w:type="pct"/>
          </w:tcPr>
          <w:p w14:paraId="11845D1F"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195EB3" w14:paraId="3F6CDEE9" w14:textId="77777777" w:rsidTr="0047351B">
        <w:tc>
          <w:tcPr>
            <w:tcW w:w="554" w:type="pct"/>
          </w:tcPr>
          <w:p w14:paraId="5F5E69DE" w14:textId="77777777" w:rsidR="00A10D16" w:rsidRPr="00A00BB1" w:rsidRDefault="00A10D16" w:rsidP="00526E62">
            <w:pPr>
              <w:keepLines/>
              <w:spacing w:before="60" w:after="60"/>
              <w:jc w:val="both"/>
              <w:rPr>
                <w:rFonts w:ascii="Arial" w:hAnsi="Arial" w:cs="Arial"/>
                <w:sz w:val="22"/>
                <w:szCs w:val="22"/>
                <w:lang w:val="en-GB"/>
              </w:rPr>
            </w:pPr>
            <w:r w:rsidRPr="00A00BB1">
              <w:rPr>
                <w:rFonts w:ascii="Arial" w:hAnsi="Arial" w:cs="Arial"/>
                <w:sz w:val="22"/>
                <w:szCs w:val="22"/>
                <w:lang w:val="en-GB"/>
              </w:rPr>
              <w:t>168.</w:t>
            </w:r>
          </w:p>
        </w:tc>
        <w:tc>
          <w:tcPr>
            <w:tcW w:w="4446" w:type="pct"/>
          </w:tcPr>
          <w:p w14:paraId="4410467C"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A10D16" w:rsidRPr="00005FE6" w14:paraId="2C045983" w14:textId="77777777" w:rsidTr="0047351B">
        <w:tc>
          <w:tcPr>
            <w:tcW w:w="554" w:type="pct"/>
          </w:tcPr>
          <w:p w14:paraId="4EB05EA5"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169.</w:t>
            </w:r>
          </w:p>
        </w:tc>
        <w:tc>
          <w:tcPr>
            <w:tcW w:w="4446" w:type="pct"/>
          </w:tcPr>
          <w:p w14:paraId="5F2BBD27" w14:textId="77777777" w:rsidR="00A10D16" w:rsidRPr="00195EB3" w:rsidRDefault="00A10D16" w:rsidP="00526E62">
            <w:pPr>
              <w:keepLines/>
              <w:spacing w:before="60" w:after="60"/>
              <w:jc w:val="both"/>
              <w:rPr>
                <w:rFonts w:ascii="Arial" w:hAnsi="Arial" w:cs="Arial"/>
                <w:sz w:val="22"/>
                <w:szCs w:val="22"/>
                <w:lang w:val="en-GB"/>
              </w:rPr>
            </w:pPr>
            <w:r w:rsidRPr="00195EB3">
              <w:rPr>
                <w:rFonts w:ascii="Arial" w:hAnsi="Arial" w:cs="Arial"/>
                <w:sz w:val="22"/>
                <w:szCs w:val="22"/>
                <w:lang w:val="en-GB"/>
              </w:rPr>
              <w:t xml:space="preserve">Such reports shall be submitted to the Committee by States non party by </w:t>
            </w:r>
            <w:r w:rsidRPr="00195EB3">
              <w:rPr>
                <w:rFonts w:ascii="Arial" w:hAnsi="Arial" w:cs="Arial"/>
                <w:strike/>
                <w:sz w:val="22"/>
                <w:szCs w:val="22"/>
                <w:lang w:val="en-GB"/>
              </w:rPr>
              <w:t>15 December 2014, and every sixth year thereafter</w:t>
            </w:r>
            <w:r w:rsidRPr="00195EB3">
              <w:rPr>
                <w:rFonts w:ascii="Arial" w:hAnsi="Arial" w:cs="Arial"/>
                <w:sz w:val="22"/>
                <w:szCs w:val="22"/>
                <w:lang w:val="en-GB"/>
              </w:rPr>
              <w:t xml:space="preserve"> </w:t>
            </w:r>
            <w:r w:rsidRPr="00195EB3">
              <w:rPr>
                <w:rFonts w:ascii="Arial" w:hAnsi="Arial" w:cs="Arial"/>
                <w:b/>
                <w:bCs/>
                <w:sz w:val="22"/>
                <w:szCs w:val="22"/>
                <w:u w:val="single"/>
                <w:lang w:val="en-GB"/>
              </w:rPr>
              <w:t>3</w:t>
            </w:r>
            <w:r w:rsidRPr="00195EB3">
              <w:rPr>
                <w:rFonts w:ascii="Arial" w:hAnsi="Arial" w:cs="Arial"/>
                <w:b/>
                <w:bCs/>
                <w:color w:val="000000"/>
                <w:sz w:val="22"/>
                <w:szCs w:val="22"/>
                <w:u w:val="single"/>
                <w:lang w:val="en-GB"/>
              </w:rPr>
              <w:t>0 June every four years on the basis of a calendar established by the Committee</w:t>
            </w:r>
            <w:r w:rsidRPr="00195EB3">
              <w:rPr>
                <w:rFonts w:ascii="Arial" w:hAnsi="Arial" w:cs="Arial"/>
                <w:sz w:val="22"/>
                <w:szCs w:val="22"/>
                <w:lang w:val="en-GB"/>
              </w:rPr>
              <w:t>. Form ICH-10 is used for such reports; it may be completed online by each State concerned (</w:t>
            </w:r>
            <w:hyperlink r:id="rId25" w:history="1">
              <w:r w:rsidRPr="00195EB3">
                <w:rPr>
                  <w:rStyle w:val="Hyperlink"/>
                  <w:rFonts w:ascii="Arial" w:hAnsi="Arial" w:cs="Arial"/>
                  <w:b/>
                  <w:bCs/>
                  <w:sz w:val="22"/>
                  <w:szCs w:val="22"/>
                  <w:lang w:val="en-GB"/>
                </w:rPr>
                <w:t>https://ich.unesco.org</w:t>
              </w:r>
            </w:hyperlink>
            <w:r w:rsidRPr="00195EB3">
              <w:rPr>
                <w:rFonts w:ascii="Arial" w:hAnsi="Arial" w:cs="Arial"/>
                <w:sz w:val="22"/>
                <w:szCs w:val="22"/>
                <w:lang w:val="en-GB"/>
              </w:rPr>
              <w:t>), and is revised at appropriate intervals by the Secretariat.</w:t>
            </w:r>
          </w:p>
        </w:tc>
      </w:tr>
    </w:tbl>
    <w:p w14:paraId="660CE39D" w14:textId="6BFC59F4" w:rsidR="00242799" w:rsidRPr="00E259FA" w:rsidRDefault="00242799" w:rsidP="00242799">
      <w:pPr>
        <w:pStyle w:val="COMTitleDecision"/>
        <w:ind w:left="0"/>
        <w:rPr>
          <w:rFonts w:eastAsia="SimSun"/>
        </w:rPr>
      </w:pPr>
      <w:r w:rsidRPr="00E259FA">
        <w:t>RESOLUTION 11.GA 8</w:t>
      </w:r>
    </w:p>
    <w:p w14:paraId="1784E165" w14:textId="77777777" w:rsidR="00242799" w:rsidRPr="00E259FA" w:rsidRDefault="00242799" w:rsidP="00242799">
      <w:pPr>
        <w:pStyle w:val="COMPreambulaDecisions"/>
        <w:ind w:left="0"/>
        <w:rPr>
          <w:rFonts w:eastAsia="SimSun"/>
        </w:rPr>
      </w:pPr>
      <w:r w:rsidRPr="00E259FA">
        <w:t>The General Assembly,</w:t>
      </w:r>
    </w:p>
    <w:p w14:paraId="5FC7A4A0" w14:textId="4E7BF513" w:rsidR="00242799" w:rsidRPr="00E259FA" w:rsidRDefault="00242799">
      <w:pPr>
        <w:pStyle w:val="COMParaDecision"/>
        <w:numPr>
          <w:ilvl w:val="0"/>
          <w:numId w:val="11"/>
        </w:numPr>
        <w:ind w:left="630" w:hanging="540"/>
        <w:rPr>
          <w:u w:val="none"/>
        </w:rPr>
      </w:pPr>
      <w:r w:rsidRPr="00E259FA">
        <w:t>Having examined</w:t>
      </w:r>
      <w:r w:rsidRPr="00E259FA">
        <w:rPr>
          <w:u w:val="none"/>
        </w:rPr>
        <w:t xml:space="preserve"> documents </w:t>
      </w:r>
      <w:hyperlink r:id="rId26" w:history="1">
        <w:r w:rsidRPr="0047351B">
          <w:rPr>
            <w:rStyle w:val="Hyperlink"/>
          </w:rPr>
          <w:t>LHE/26/11.GA/8</w:t>
        </w:r>
      </w:hyperlink>
      <w:r w:rsidRPr="00E259FA">
        <w:rPr>
          <w:u w:val="none"/>
        </w:rPr>
        <w:t xml:space="preserve"> </w:t>
      </w:r>
      <w:r w:rsidRPr="00CC4CD0">
        <w:rPr>
          <w:u w:val="none"/>
        </w:rPr>
        <w:t xml:space="preserve">and </w:t>
      </w:r>
      <w:hyperlink r:id="rId27" w:history="1">
        <w:r w:rsidRPr="00CC4CD0">
          <w:rPr>
            <w:rStyle w:val="Hyperlink"/>
          </w:rPr>
          <w:t>LHE/26/11.GA/INF.8</w:t>
        </w:r>
      </w:hyperlink>
      <w:r w:rsidRPr="00CC4CD0">
        <w:rPr>
          <w:u w:val="none"/>
        </w:rPr>
        <w:t xml:space="preserve"> and</w:t>
      </w:r>
      <w:r w:rsidRPr="00E259FA">
        <w:rPr>
          <w:u w:val="none"/>
        </w:rPr>
        <w:t xml:space="preserve"> their respective annexes, </w:t>
      </w:r>
    </w:p>
    <w:p w14:paraId="09036C2A" w14:textId="77777777" w:rsidR="00242799" w:rsidRPr="00E259FA" w:rsidRDefault="00242799">
      <w:pPr>
        <w:pStyle w:val="COMParaDecision"/>
        <w:numPr>
          <w:ilvl w:val="0"/>
          <w:numId w:val="11"/>
        </w:numPr>
        <w:ind w:left="630" w:hanging="567"/>
      </w:pPr>
      <w:r w:rsidRPr="00E259FA">
        <w:t>Recalling</w:t>
      </w:r>
      <w:r w:rsidRPr="00E259FA">
        <w:rPr>
          <w:u w:val="none"/>
        </w:rPr>
        <w:t xml:space="preserve"> Article 7(c) of the Convention and Chapter II.1 of the Operational Directives,</w:t>
      </w:r>
    </w:p>
    <w:p w14:paraId="63593929" w14:textId="3236B260" w:rsidR="00242799" w:rsidRPr="006D3FCF" w:rsidRDefault="00242799">
      <w:pPr>
        <w:pStyle w:val="COMParaDecision"/>
        <w:numPr>
          <w:ilvl w:val="0"/>
          <w:numId w:val="11"/>
        </w:numPr>
        <w:ind w:left="630" w:hanging="567"/>
        <w:rPr>
          <w:u w:val="none"/>
        </w:rPr>
      </w:pPr>
      <w:r w:rsidRPr="006D3FCF">
        <w:t>Further</w:t>
      </w:r>
      <w:r w:rsidRPr="00E259FA">
        <w:t xml:space="preserve"> recalling</w:t>
      </w:r>
      <w:r w:rsidRPr="00E259FA">
        <w:rPr>
          <w:u w:val="none"/>
        </w:rPr>
        <w:t xml:space="preserve"> the UNESCO General Conference’s Appropriation resolution for 202</w:t>
      </w:r>
      <w:r w:rsidRPr="006D3FCF">
        <w:rPr>
          <w:u w:val="none"/>
        </w:rPr>
        <w:t>6</w:t>
      </w:r>
      <w:r w:rsidRPr="00E259FA">
        <w:rPr>
          <w:u w:val="none"/>
        </w:rPr>
        <w:t>–202</w:t>
      </w:r>
      <w:r w:rsidRPr="006D3FCF">
        <w:rPr>
          <w:u w:val="none"/>
        </w:rPr>
        <w:t>7</w:t>
      </w:r>
      <w:r w:rsidRPr="00E259FA">
        <w:rPr>
          <w:u w:val="none"/>
        </w:rPr>
        <w:t xml:space="preserve"> </w:t>
      </w:r>
      <w:r w:rsidRPr="00E259FA">
        <w:rPr>
          <w:color w:val="212121"/>
          <w:u w:val="none"/>
          <w:shd w:val="clear" w:color="auto" w:fill="FFFFFF"/>
        </w:rPr>
        <w:t>(</w:t>
      </w:r>
      <w:hyperlink r:id="rId28" w:history="1">
        <w:r w:rsidRPr="00E259FA">
          <w:rPr>
            <w:rStyle w:val="Hyperlink"/>
          </w:rPr>
          <w:t>4</w:t>
        </w:r>
        <w:r w:rsidRPr="006D3FCF">
          <w:rPr>
            <w:rStyle w:val="Hyperlink"/>
          </w:rPr>
          <w:t>3</w:t>
        </w:r>
        <w:r w:rsidRPr="00E259FA">
          <w:rPr>
            <w:rStyle w:val="Hyperlink"/>
          </w:rPr>
          <w:t> C/Resolution</w:t>
        </w:r>
        <w:r w:rsidR="009D2B8A">
          <w:rPr>
            <w:rStyle w:val="Hyperlink"/>
          </w:rPr>
          <w:t xml:space="preserve"> </w:t>
        </w:r>
        <w:r w:rsidRPr="00E259FA">
          <w:rPr>
            <w:rStyle w:val="Hyperlink"/>
          </w:rPr>
          <w:t>8</w:t>
        </w:r>
        <w:r w:rsidRPr="006D3FCF">
          <w:rPr>
            <w:rStyle w:val="Hyperlink"/>
          </w:rPr>
          <w:t>4</w:t>
        </w:r>
      </w:hyperlink>
      <w:r w:rsidRPr="00E259FA">
        <w:rPr>
          <w:color w:val="212121"/>
          <w:u w:val="none"/>
          <w:shd w:val="clear" w:color="auto" w:fill="FFFFFF"/>
        </w:rPr>
        <w:t>)</w:t>
      </w:r>
      <w:r w:rsidRPr="00E259FA">
        <w:rPr>
          <w:u w:val="none"/>
        </w:rPr>
        <w:t>,</w:t>
      </w:r>
    </w:p>
    <w:p w14:paraId="70F2B2AF" w14:textId="63D21223" w:rsidR="00242799" w:rsidRPr="006D3FCF" w:rsidRDefault="00242799">
      <w:pPr>
        <w:pStyle w:val="COMParaDecision"/>
        <w:numPr>
          <w:ilvl w:val="0"/>
          <w:numId w:val="11"/>
        </w:numPr>
        <w:ind w:left="630" w:hanging="567"/>
      </w:pPr>
      <w:r w:rsidRPr="006D3FCF">
        <w:t>Also recalling</w:t>
      </w:r>
      <w:r w:rsidRPr="006D3FCF">
        <w:rPr>
          <w:u w:val="none"/>
        </w:rPr>
        <w:t xml:space="preserve"> Decisions </w:t>
      </w:r>
      <w:hyperlink r:id="rId29" w:history="1">
        <w:r w:rsidRPr="006D3FCF">
          <w:rPr>
            <w:rStyle w:val="Hyperlink"/>
          </w:rPr>
          <w:t>20.COM</w:t>
        </w:r>
        <w:r w:rsidR="009D2B8A">
          <w:rPr>
            <w:rStyle w:val="Hyperlink"/>
          </w:rPr>
          <w:t xml:space="preserve"> </w:t>
        </w:r>
        <w:r w:rsidRPr="006D3FCF">
          <w:rPr>
            <w:rStyle w:val="Hyperlink"/>
          </w:rPr>
          <w:t>13</w:t>
        </w:r>
      </w:hyperlink>
      <w:r w:rsidRPr="006D3FCF">
        <w:rPr>
          <w:u w:val="none"/>
        </w:rPr>
        <w:t xml:space="preserve"> and </w:t>
      </w:r>
      <w:hyperlink r:id="rId30" w:history="1">
        <w:r w:rsidRPr="006D3FCF">
          <w:rPr>
            <w:rStyle w:val="Hyperlink"/>
          </w:rPr>
          <w:t>20.COM</w:t>
        </w:r>
        <w:r w:rsidR="009D2B8A">
          <w:rPr>
            <w:rStyle w:val="Hyperlink"/>
          </w:rPr>
          <w:t xml:space="preserve"> </w:t>
        </w:r>
        <w:r w:rsidRPr="006D3FCF">
          <w:rPr>
            <w:rStyle w:val="Hyperlink"/>
          </w:rPr>
          <w:t>14</w:t>
        </w:r>
      </w:hyperlink>
      <w:r w:rsidRPr="006D3FCF">
        <w:rPr>
          <w:u w:val="none"/>
        </w:rPr>
        <w:t xml:space="preserve"> of the Committee,</w:t>
      </w:r>
    </w:p>
    <w:p w14:paraId="29BDC6C8" w14:textId="77777777" w:rsidR="00242799" w:rsidRPr="00E259FA" w:rsidRDefault="00242799" w:rsidP="002C2E92">
      <w:pPr>
        <w:pStyle w:val="COMParaDecision"/>
        <w:keepNext/>
        <w:keepLines/>
        <w:ind w:hanging="504"/>
        <w:rPr>
          <w:b/>
          <w:bCs/>
          <w:u w:val="none"/>
        </w:rPr>
      </w:pPr>
      <w:r w:rsidRPr="00E259FA">
        <w:rPr>
          <w:b/>
          <w:bCs/>
          <w:u w:val="none"/>
        </w:rPr>
        <w:t>Status and trends of the Fund</w:t>
      </w:r>
    </w:p>
    <w:p w14:paraId="707FAD03" w14:textId="77777777" w:rsidR="00242799" w:rsidRPr="00E259FA" w:rsidRDefault="00242799">
      <w:pPr>
        <w:pStyle w:val="COMParaDecision"/>
        <w:numPr>
          <w:ilvl w:val="0"/>
          <w:numId w:val="11"/>
        </w:numPr>
        <w:ind w:left="630" w:hanging="567"/>
      </w:pPr>
      <w:r w:rsidRPr="00E259FA">
        <w:t>Takes note</w:t>
      </w:r>
      <w:r w:rsidRPr="00E259FA">
        <w:rPr>
          <w:u w:val="none"/>
        </w:rPr>
        <w:t xml:space="preserve"> of the statement of assessed contributions of the Fund for 2024–2025, </w:t>
      </w:r>
      <w:r w:rsidRPr="00E259FA">
        <w:t>recalls</w:t>
      </w:r>
      <w:r w:rsidRPr="00E259FA">
        <w:rPr>
          <w:u w:val="none"/>
        </w:rPr>
        <w:t xml:space="preserve"> that the payment of </w:t>
      </w:r>
      <w:r w:rsidRPr="00CC4CD0">
        <w:rPr>
          <w:u w:val="none"/>
        </w:rPr>
        <w:t>assessed compulsory and voluntary</w:t>
      </w:r>
      <w:r w:rsidRPr="00E259FA">
        <w:rPr>
          <w:u w:val="none"/>
        </w:rPr>
        <w:t xml:space="preserve"> contributions is, per Article 26 of the Convention, an obligation incumbent on all States Parties which have ratified the Convention, and </w:t>
      </w:r>
      <w:r w:rsidRPr="00E259FA">
        <w:t>calls upon</w:t>
      </w:r>
      <w:r w:rsidRPr="00E259FA">
        <w:rPr>
          <w:u w:val="none"/>
        </w:rPr>
        <w:t xml:space="preserve"> all States Parties which have not yet paid the totality of their assessed </w:t>
      </w:r>
      <w:r w:rsidRPr="00E259FA">
        <w:rPr>
          <w:u w:val="none"/>
        </w:rPr>
        <w:lastRenderedPageBreak/>
        <w:t xml:space="preserve">contributions, including voluntary assessed contributions, to ensure that their contributions are paid in due course; </w:t>
      </w:r>
    </w:p>
    <w:p w14:paraId="6D1D3B6E" w14:textId="77777777" w:rsidR="00242799" w:rsidRPr="00E259FA" w:rsidRDefault="00242799">
      <w:pPr>
        <w:pStyle w:val="COMParaDecision"/>
        <w:numPr>
          <w:ilvl w:val="0"/>
          <w:numId w:val="11"/>
        </w:numPr>
        <w:ind w:left="630" w:hanging="567"/>
      </w:pPr>
      <w:r w:rsidRPr="00E259FA">
        <w:t>Further takes note</w:t>
      </w:r>
      <w:r w:rsidRPr="00E259FA">
        <w:rPr>
          <w:u w:val="none"/>
        </w:rPr>
        <w:t xml:space="preserve"> of the donors that have provided during the 2024–2025 biennium (a) voluntary supplementary contributions for programme activities, namely Saint Vincent and the Grenadines, (b) voluntary supplementary contributions for specific activities approved by the Committee, namely the Kingdom of the Netherlands and Sweden, as well as (c) voluntary supplementary contributions to the Sub-fund for enhancing the human capacities of the Secretariat, namely France, Lithuania, Monaco, Slovenia and the United Kingdom of Great Britain and Northern Ireland;</w:t>
      </w:r>
    </w:p>
    <w:p w14:paraId="157DE82B" w14:textId="77777777" w:rsidR="00242799" w:rsidRPr="00E259FA" w:rsidRDefault="00242799">
      <w:pPr>
        <w:pStyle w:val="COMParaDecision"/>
        <w:numPr>
          <w:ilvl w:val="0"/>
          <w:numId w:val="11"/>
        </w:numPr>
        <w:ind w:left="630" w:hanging="567"/>
      </w:pPr>
      <w:r w:rsidRPr="00E259FA">
        <w:t>Thanks</w:t>
      </w:r>
      <w:r w:rsidRPr="00E259FA">
        <w:rPr>
          <w:u w:val="none"/>
        </w:rPr>
        <w:t xml:space="preserve"> all the contributors that have supported the Convention and its Secretariat, since its last session, through different forms of support, financial or in-kind, such as voluntary supplementary contributions to the Intangible Cultural Heritage Fund including the Sub-fund for enhancing the human capacities of the Secretariat, Funds-in-Trust, or loaned personnel, and </w:t>
      </w:r>
      <w:r w:rsidRPr="00E259FA">
        <w:t>encourages</w:t>
      </w:r>
      <w:r w:rsidRPr="00E259FA">
        <w:rPr>
          <w:u w:val="none"/>
        </w:rPr>
        <w:t xml:space="preserve"> potential contributors to consider the possibility of supporting the Convention through the modality of their choice;</w:t>
      </w:r>
    </w:p>
    <w:p w14:paraId="1A40812E" w14:textId="77777777" w:rsidR="00242799" w:rsidRPr="007E5E8B" w:rsidRDefault="00242799">
      <w:pPr>
        <w:pStyle w:val="COMParaDecision"/>
        <w:numPr>
          <w:ilvl w:val="0"/>
          <w:numId w:val="11"/>
        </w:numPr>
        <w:ind w:left="630" w:hanging="567"/>
      </w:pPr>
      <w:r w:rsidRPr="007E5E8B">
        <w:t>Reiterates</w:t>
      </w:r>
      <w:r w:rsidRPr="007E5E8B">
        <w:rPr>
          <w:u w:val="none"/>
        </w:rPr>
        <w:t xml:space="preserve"> the need to enhance the human resources of the Secretariat on a lasting basis to allow the Secretariat to respond to the needs of the States Parties and </w:t>
      </w:r>
      <w:r w:rsidRPr="007E5E8B">
        <w:t>invites</w:t>
      </w:r>
      <w:r w:rsidRPr="007E5E8B">
        <w:rPr>
          <w:u w:val="none"/>
        </w:rPr>
        <w:t xml:space="preserve"> States Parties to provide voluntary supplementary contributions to the Sub-fund for enhancing the human capacities of the Secretariat;</w:t>
      </w:r>
    </w:p>
    <w:p w14:paraId="37A88718" w14:textId="77777777" w:rsidR="00242799" w:rsidRPr="00E259FA" w:rsidRDefault="00242799" w:rsidP="002C2E92">
      <w:pPr>
        <w:pStyle w:val="COMParaDecision"/>
        <w:keepNext/>
        <w:keepLines/>
        <w:ind w:hanging="504"/>
        <w:rPr>
          <w:b/>
          <w:bCs/>
          <w:u w:val="none"/>
        </w:rPr>
      </w:pPr>
      <w:r w:rsidRPr="00E259FA">
        <w:rPr>
          <w:b/>
          <w:bCs/>
          <w:u w:val="none"/>
        </w:rPr>
        <w:t>Plan for the use of the resources of the Fund</w:t>
      </w:r>
    </w:p>
    <w:p w14:paraId="57538533" w14:textId="77777777" w:rsidR="00242799" w:rsidRPr="00E259FA" w:rsidRDefault="00242799">
      <w:pPr>
        <w:pStyle w:val="COMParaDecision"/>
        <w:numPr>
          <w:ilvl w:val="0"/>
          <w:numId w:val="11"/>
        </w:numPr>
        <w:ind w:left="630" w:hanging="567"/>
        <w:rPr>
          <w:u w:val="none"/>
        </w:rPr>
      </w:pPr>
      <w:r w:rsidRPr="00E259FA">
        <w:t>Approves</w:t>
      </w:r>
      <w:r w:rsidRPr="00E259FA">
        <w:rPr>
          <w:u w:val="none"/>
        </w:rPr>
        <w:t xml:space="preserve"> the Plan for the use of the resources of the Fund for the period 1 January 2026 to 31 December 2027 as well as for the period 1 January 2028 to 30 June 2028 in the Annex to this Resolution;</w:t>
      </w:r>
    </w:p>
    <w:p w14:paraId="3A29DB6E" w14:textId="77777777" w:rsidR="00242799" w:rsidRPr="007E5E8B" w:rsidRDefault="00242799">
      <w:pPr>
        <w:pStyle w:val="COMParaDecision"/>
        <w:numPr>
          <w:ilvl w:val="0"/>
          <w:numId w:val="11"/>
        </w:numPr>
        <w:ind w:left="630" w:hanging="567"/>
        <w:rPr>
          <w:u w:val="none"/>
        </w:rPr>
      </w:pPr>
      <w:r w:rsidRPr="007E5E8B">
        <w:t>Understands</w:t>
      </w:r>
      <w:r w:rsidRPr="007E5E8B">
        <w:rPr>
          <w:u w:val="none"/>
        </w:rPr>
        <w:t xml:space="preserve"> that, at the time of its twelfth session in 2028, it may readjust the budget plan from 1 January 2028 to 30 June 2028; if the General Assembly is unable to meet prior to 30 June 2028, the Secretariat is authorized to continue operations until such a time that the General Assembly is able to meet;</w:t>
      </w:r>
    </w:p>
    <w:p w14:paraId="72D3E5FF" w14:textId="77777777" w:rsidR="00242799" w:rsidRPr="00E259FA" w:rsidRDefault="00242799">
      <w:pPr>
        <w:pStyle w:val="COMParaDecision"/>
        <w:numPr>
          <w:ilvl w:val="0"/>
          <w:numId w:val="11"/>
        </w:numPr>
        <w:ind w:left="630" w:hanging="567"/>
        <w:rPr>
          <w:u w:val="none"/>
        </w:rPr>
      </w:pPr>
      <w:r w:rsidRPr="00E259FA">
        <w:t>Also takes note</w:t>
      </w:r>
      <w:r w:rsidRPr="00E259FA">
        <w:rPr>
          <w:u w:val="none"/>
        </w:rPr>
        <w:t xml:space="preserve"> of the authorization granted by the Committee to the Secretariat to use an amount not exceeding 10 per cent of the approved budget of each International Assistance project, in addition to the amount granted by the Committee or its Bureau for each project, to monitor and assess the impact of projects supported by the Fund;</w:t>
      </w:r>
    </w:p>
    <w:p w14:paraId="462B5C13" w14:textId="77777777" w:rsidR="00242799" w:rsidRPr="00E259FA" w:rsidRDefault="00242799">
      <w:pPr>
        <w:pStyle w:val="COMParaDecision"/>
        <w:numPr>
          <w:ilvl w:val="0"/>
          <w:numId w:val="11"/>
        </w:numPr>
        <w:ind w:left="630" w:hanging="567"/>
      </w:pPr>
      <w:r w:rsidRPr="00E259FA">
        <w:t>Takes note furthermore</w:t>
      </w:r>
      <w:r w:rsidRPr="00E259FA">
        <w:rPr>
          <w:u w:val="none"/>
        </w:rPr>
        <w:t xml:space="preserve"> of the authorization granted by the Committee to the Secretariat, when utilizing the funds allocated under budget line 3 of the Plan, to make transfers between activities included under budget line 3 up to a cumulative amount equivalent to 5 per cent of the initial total allocation proposed to the General Assembly for this purpose;</w:t>
      </w:r>
    </w:p>
    <w:p w14:paraId="0878293C" w14:textId="77777777" w:rsidR="00242799" w:rsidRPr="00E259FA" w:rsidRDefault="00242799">
      <w:pPr>
        <w:pStyle w:val="COMParaDecision"/>
        <w:numPr>
          <w:ilvl w:val="0"/>
          <w:numId w:val="11"/>
        </w:numPr>
        <w:ind w:left="630" w:hanging="567"/>
        <w:rPr>
          <w:u w:val="none"/>
        </w:rPr>
      </w:pPr>
      <w:r w:rsidRPr="00E259FA">
        <w:t>Authorizes</w:t>
      </w:r>
      <w:r w:rsidRPr="00E259FA">
        <w:rPr>
          <w:u w:val="none"/>
        </w:rPr>
        <w:t xml:space="preserve"> the Committee to make immediate use of any voluntary supplementary contributions that might be received during these periods, as described in Article 27 of the Convention, in accordance with the percentages laid out in the Plan;</w:t>
      </w:r>
    </w:p>
    <w:p w14:paraId="04D29E98" w14:textId="77777777" w:rsidR="00242799" w:rsidRPr="00E259FA" w:rsidRDefault="00242799">
      <w:pPr>
        <w:pStyle w:val="COMParaDecision"/>
        <w:numPr>
          <w:ilvl w:val="0"/>
          <w:numId w:val="11"/>
        </w:numPr>
        <w:ind w:left="630" w:hanging="567"/>
        <w:rPr>
          <w:u w:val="none"/>
        </w:rPr>
      </w:pPr>
      <w:r w:rsidRPr="00E259FA">
        <w:t>Further authorizes</w:t>
      </w:r>
      <w:r w:rsidRPr="00E259FA">
        <w:rPr>
          <w:u w:val="none"/>
        </w:rPr>
        <w:t xml:space="preserve"> the Committee to make immediate use of any contributions that it might accept, during these periods, for specific purposes relating to specific projects, provided that those projects have been approved by the Committee prior to the receipt of the funds, as described in Article 25.5 of the Convention;</w:t>
      </w:r>
    </w:p>
    <w:p w14:paraId="4C09F273" w14:textId="2046BD82" w:rsidR="00242799" w:rsidRPr="00C72113" w:rsidRDefault="00242799">
      <w:pPr>
        <w:pStyle w:val="COMParaDecision"/>
        <w:numPr>
          <w:ilvl w:val="0"/>
          <w:numId w:val="11"/>
        </w:numPr>
        <w:ind w:left="630" w:hanging="567"/>
      </w:pPr>
      <w:r w:rsidRPr="00E259FA">
        <w:t>Also authorizes</w:t>
      </w:r>
      <w:r w:rsidRPr="00E259FA">
        <w:rPr>
          <w:u w:val="none"/>
        </w:rPr>
        <w:t xml:space="preserve"> the Secretariat to make transfers between budget lines 4, 5, 6 and 7, up to an equivalent of 30 per cent of their initial total allocation, and </w:t>
      </w:r>
      <w:r w:rsidRPr="00E259FA">
        <w:t>requests</w:t>
      </w:r>
      <w:r w:rsidRPr="00E259FA">
        <w:rPr>
          <w:u w:val="none"/>
        </w:rPr>
        <w:t xml:space="preserve"> that the Secretariat inform the Committee and the General Assembly in writing, at the session following such action, of the details of and reasons for these transfers.</w:t>
      </w:r>
    </w:p>
    <w:p w14:paraId="4B58EF96" w14:textId="77777777" w:rsidR="00C72113" w:rsidRPr="00436486" w:rsidRDefault="00C72113" w:rsidP="007359D0">
      <w:pPr>
        <w:pStyle w:val="COMParaDecision"/>
        <w:keepNext/>
        <w:ind w:left="0" w:firstLine="0"/>
        <w:jc w:val="center"/>
        <w:rPr>
          <w:b/>
          <w:bCs/>
          <w:u w:val="none"/>
        </w:rPr>
      </w:pPr>
      <w:r w:rsidRPr="002C2E92">
        <w:rPr>
          <w:b/>
          <w:bCs/>
          <w:snapToGrid w:val="0"/>
          <w:u w:val="none"/>
          <w:lang w:eastAsia="en-US"/>
        </w:rPr>
        <w:lastRenderedPageBreak/>
        <w:t>ANNEX</w:t>
      </w:r>
    </w:p>
    <w:tbl>
      <w:tblPr>
        <w:tblW w:w="10070" w:type="dxa"/>
        <w:tblCellMar>
          <w:left w:w="70" w:type="dxa"/>
          <w:right w:w="70" w:type="dxa"/>
        </w:tblCellMar>
        <w:tblLook w:val="04A0" w:firstRow="1" w:lastRow="0" w:firstColumn="1" w:lastColumn="0" w:noHBand="0" w:noVBand="1"/>
      </w:tblPr>
      <w:tblGrid>
        <w:gridCol w:w="416"/>
        <w:gridCol w:w="5681"/>
        <w:gridCol w:w="1123"/>
        <w:gridCol w:w="1167"/>
        <w:gridCol w:w="1244"/>
        <w:gridCol w:w="423"/>
        <w:gridCol w:w="16"/>
      </w:tblGrid>
      <w:tr w:rsidR="00C72113" w:rsidRPr="00005FE6" w14:paraId="02E1B386" w14:textId="77777777" w:rsidTr="0047351B">
        <w:trPr>
          <w:gridAfter w:val="2"/>
          <w:wAfter w:w="439" w:type="dxa"/>
          <w:trHeight w:val="313"/>
        </w:trPr>
        <w:tc>
          <w:tcPr>
            <w:tcW w:w="7220" w:type="dxa"/>
            <w:gridSpan w:val="3"/>
            <w:tcBorders>
              <w:top w:val="single" w:sz="8" w:space="0" w:color="auto"/>
              <w:left w:val="single" w:sz="8" w:space="0" w:color="auto"/>
              <w:bottom w:val="single" w:sz="8" w:space="0" w:color="auto"/>
              <w:right w:val="nil"/>
            </w:tcBorders>
            <w:shd w:val="clear" w:color="000000" w:fill="D8D8D8"/>
            <w:vAlign w:val="center"/>
            <w:hideMark/>
          </w:tcPr>
          <w:p w14:paraId="5ADB34F3" w14:textId="26FB1E23" w:rsidR="00C72113" w:rsidRPr="009D2B8A" w:rsidRDefault="00AD1718" w:rsidP="007359D0">
            <w:pPr>
              <w:keepNext/>
              <w:jc w:val="center"/>
              <w:rPr>
                <w:rFonts w:ascii="Arial" w:hAnsi="Arial" w:cs="Arial"/>
                <w:b/>
                <w:bCs/>
                <w:color w:val="000000"/>
                <w:sz w:val="18"/>
                <w:szCs w:val="18"/>
                <w:lang w:val="en-US"/>
              </w:rPr>
            </w:pPr>
            <w:r w:rsidRPr="009D2B8A">
              <w:rPr>
                <w:rFonts w:ascii="Arial" w:hAnsi="Arial" w:cs="Arial"/>
                <w:b/>
                <w:bCs/>
                <w:color w:val="000000"/>
                <w:sz w:val="18"/>
                <w:szCs w:val="18"/>
                <w:lang w:val="en-US"/>
              </w:rPr>
              <w:t>P</w:t>
            </w:r>
            <w:r w:rsidR="00C72113" w:rsidRPr="009D2B8A">
              <w:rPr>
                <w:rFonts w:ascii="Arial" w:hAnsi="Arial" w:cs="Arial"/>
                <w:b/>
                <w:bCs/>
                <w:color w:val="000000"/>
                <w:sz w:val="18"/>
                <w:szCs w:val="18"/>
                <w:lang w:val="en-US"/>
              </w:rPr>
              <w:t>lan for the use of the resources of the Fund</w:t>
            </w:r>
          </w:p>
        </w:tc>
        <w:tc>
          <w:tcPr>
            <w:tcW w:w="1167" w:type="dxa"/>
            <w:tcBorders>
              <w:top w:val="dashed" w:sz="4" w:space="0" w:color="auto"/>
              <w:left w:val="dashed" w:sz="4" w:space="0" w:color="auto"/>
              <w:bottom w:val="dashed" w:sz="4" w:space="0" w:color="auto"/>
              <w:right w:val="dashed" w:sz="4" w:space="0" w:color="auto"/>
            </w:tcBorders>
            <w:shd w:val="clear" w:color="000000" w:fill="FFFFFF"/>
            <w:vAlign w:val="center"/>
            <w:hideMark/>
          </w:tcPr>
          <w:p w14:paraId="268B3EAC" w14:textId="77777777" w:rsidR="00C72113" w:rsidRPr="00C72113" w:rsidRDefault="00C72113" w:rsidP="007359D0">
            <w:pPr>
              <w:keepNext/>
              <w:jc w:val="center"/>
              <w:rPr>
                <w:rFonts w:ascii="Arial" w:hAnsi="Arial" w:cs="Arial"/>
                <w:b/>
                <w:bCs/>
                <w:color w:val="000000"/>
                <w:sz w:val="18"/>
                <w:szCs w:val="18"/>
                <w:lang w:val="en-US"/>
              </w:rPr>
            </w:pPr>
            <w:r w:rsidRPr="00C72113">
              <w:rPr>
                <w:rFonts w:ascii="Arial" w:hAnsi="Arial" w:cs="Arial"/>
                <w:b/>
                <w:bCs/>
                <w:color w:val="000000"/>
                <w:sz w:val="18"/>
                <w:szCs w:val="18"/>
                <w:lang w:val="en-US"/>
              </w:rPr>
              <w:t> </w:t>
            </w:r>
          </w:p>
        </w:tc>
        <w:tc>
          <w:tcPr>
            <w:tcW w:w="1244" w:type="dxa"/>
            <w:tcBorders>
              <w:top w:val="dashed" w:sz="4" w:space="0" w:color="auto"/>
              <w:left w:val="nil"/>
              <w:bottom w:val="dashed" w:sz="4" w:space="0" w:color="auto"/>
              <w:right w:val="dashed" w:sz="4" w:space="0" w:color="auto"/>
            </w:tcBorders>
            <w:shd w:val="clear" w:color="000000" w:fill="FFFFFF"/>
            <w:vAlign w:val="center"/>
            <w:hideMark/>
          </w:tcPr>
          <w:p w14:paraId="46F011A5" w14:textId="77777777" w:rsidR="00C72113" w:rsidRPr="00C72113" w:rsidRDefault="00C72113" w:rsidP="007359D0">
            <w:pPr>
              <w:keepNext/>
              <w:jc w:val="center"/>
              <w:rPr>
                <w:rFonts w:ascii="Arial" w:hAnsi="Arial" w:cs="Arial"/>
                <w:b/>
                <w:bCs/>
                <w:color w:val="000000"/>
                <w:sz w:val="18"/>
                <w:szCs w:val="18"/>
                <w:lang w:val="en-US"/>
              </w:rPr>
            </w:pPr>
            <w:r w:rsidRPr="00C72113">
              <w:rPr>
                <w:rFonts w:ascii="Arial" w:hAnsi="Arial" w:cs="Arial"/>
                <w:b/>
                <w:bCs/>
                <w:color w:val="000000"/>
                <w:sz w:val="18"/>
                <w:szCs w:val="18"/>
                <w:lang w:val="en-US"/>
              </w:rPr>
              <w:t> </w:t>
            </w:r>
          </w:p>
        </w:tc>
      </w:tr>
      <w:tr w:rsidR="00C74531" w:rsidRPr="00E259FA" w14:paraId="709D1C44" w14:textId="77777777" w:rsidTr="0047351B">
        <w:trPr>
          <w:gridAfter w:val="2"/>
          <w:wAfter w:w="439" w:type="dxa"/>
          <w:trHeight w:val="978"/>
        </w:trPr>
        <w:tc>
          <w:tcPr>
            <w:tcW w:w="6097" w:type="dxa"/>
            <w:gridSpan w:val="2"/>
            <w:tcBorders>
              <w:top w:val="single" w:sz="8" w:space="0" w:color="auto"/>
              <w:left w:val="single" w:sz="8" w:space="0" w:color="auto"/>
              <w:bottom w:val="single" w:sz="8" w:space="0" w:color="auto"/>
              <w:right w:val="nil"/>
            </w:tcBorders>
            <w:vAlign w:val="center"/>
            <w:hideMark/>
          </w:tcPr>
          <w:p w14:paraId="27B0C138" w14:textId="77777777" w:rsidR="00C74531" w:rsidRPr="00C72113" w:rsidRDefault="00C74531" w:rsidP="007359D0">
            <w:pPr>
              <w:keepNext/>
              <w:jc w:val="both"/>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For the period 1 January 2026 to 31 December 2027, as well as for the period 1 January to 30 June 2028, the resources of the Intangible Cultural Heritage Fund may be used for the following purposes:</w:t>
            </w:r>
          </w:p>
        </w:tc>
        <w:tc>
          <w:tcPr>
            <w:tcW w:w="1123" w:type="dxa"/>
            <w:tcBorders>
              <w:top w:val="single" w:sz="4" w:space="0" w:color="auto"/>
              <w:left w:val="single" w:sz="4" w:space="0" w:color="auto"/>
              <w:bottom w:val="single" w:sz="4" w:space="0" w:color="auto"/>
              <w:right w:val="dashed" w:sz="4" w:space="0" w:color="auto"/>
            </w:tcBorders>
            <w:vAlign w:val="center"/>
          </w:tcPr>
          <w:p w14:paraId="4046E29F" w14:textId="77777777" w:rsidR="00C74531" w:rsidRPr="00C72113" w:rsidRDefault="00C74531" w:rsidP="007359D0">
            <w:pPr>
              <w:keepNext/>
              <w:jc w:val="center"/>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 of the total amount proposed 2026–2027 [1]</w:t>
            </w:r>
          </w:p>
        </w:tc>
        <w:tc>
          <w:tcPr>
            <w:tcW w:w="1167" w:type="dxa"/>
            <w:tcBorders>
              <w:top w:val="nil"/>
              <w:left w:val="nil"/>
              <w:bottom w:val="dashed" w:sz="4" w:space="0" w:color="auto"/>
              <w:right w:val="dashed" w:sz="4" w:space="0" w:color="auto"/>
            </w:tcBorders>
            <w:vAlign w:val="center"/>
            <w:hideMark/>
          </w:tcPr>
          <w:p w14:paraId="7A70B9F6" w14:textId="77777777" w:rsidR="00C74531" w:rsidRPr="00E259FA" w:rsidRDefault="00C74531" w:rsidP="007359D0">
            <w:pPr>
              <w:keepNext/>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Indicative amounts</w:t>
            </w:r>
          </w:p>
          <w:p w14:paraId="519B0827" w14:textId="77777777" w:rsidR="00C74531" w:rsidRPr="00E259FA" w:rsidRDefault="00C74531" w:rsidP="007359D0">
            <w:pPr>
              <w:keepNext/>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 xml:space="preserve">2026–2027 </w:t>
            </w:r>
          </w:p>
        </w:tc>
        <w:tc>
          <w:tcPr>
            <w:tcW w:w="1244" w:type="dxa"/>
            <w:tcBorders>
              <w:top w:val="nil"/>
              <w:left w:val="nil"/>
              <w:bottom w:val="dashed" w:sz="4" w:space="0" w:color="auto"/>
              <w:right w:val="dashed" w:sz="4" w:space="0" w:color="auto"/>
            </w:tcBorders>
            <w:vAlign w:val="center"/>
            <w:hideMark/>
          </w:tcPr>
          <w:p w14:paraId="4394AEB0" w14:textId="77777777" w:rsidR="00C74531" w:rsidRPr="006D3FCF" w:rsidRDefault="00C74531" w:rsidP="007359D0">
            <w:pPr>
              <w:keepNext/>
              <w:jc w:val="center"/>
              <w:rPr>
                <w:rFonts w:asciiTheme="minorBidi" w:hAnsiTheme="minorBidi" w:cstheme="minorBidi"/>
                <w:i/>
                <w:iCs/>
                <w:color w:val="000000"/>
                <w:sz w:val="18"/>
                <w:szCs w:val="18"/>
              </w:rPr>
            </w:pPr>
            <w:r w:rsidRPr="006D3FCF">
              <w:rPr>
                <w:rFonts w:asciiTheme="minorBidi" w:hAnsiTheme="minorBidi" w:cstheme="minorBidi"/>
                <w:i/>
                <w:iCs/>
                <w:color w:val="000000"/>
                <w:sz w:val="18"/>
                <w:szCs w:val="18"/>
              </w:rPr>
              <w:t>Indicative amounts</w:t>
            </w:r>
          </w:p>
          <w:p w14:paraId="39FE6CB5" w14:textId="77777777" w:rsidR="00C74531" w:rsidRPr="006D3FCF" w:rsidRDefault="00C74531" w:rsidP="007359D0">
            <w:pPr>
              <w:keepNext/>
              <w:jc w:val="center"/>
              <w:rPr>
                <w:rFonts w:asciiTheme="minorBidi" w:hAnsiTheme="minorBidi" w:cstheme="minorBidi"/>
                <w:i/>
                <w:iCs/>
                <w:color w:val="000000"/>
                <w:sz w:val="18"/>
                <w:szCs w:val="18"/>
              </w:rPr>
            </w:pPr>
            <w:r w:rsidRPr="006D3FCF">
              <w:rPr>
                <w:rFonts w:asciiTheme="minorBidi" w:hAnsiTheme="minorBidi" w:cstheme="minorBidi"/>
                <w:i/>
                <w:iCs/>
                <w:color w:val="000000"/>
                <w:sz w:val="18"/>
                <w:szCs w:val="18"/>
              </w:rPr>
              <w:t>Jan</w:t>
            </w:r>
            <w:r>
              <w:rPr>
                <w:rFonts w:asciiTheme="minorBidi" w:hAnsiTheme="minorBidi" w:cstheme="minorBidi"/>
                <w:i/>
                <w:iCs/>
                <w:color w:val="000000"/>
                <w:sz w:val="18"/>
                <w:szCs w:val="18"/>
              </w:rPr>
              <w:t xml:space="preserve">uary </w:t>
            </w:r>
            <w:r w:rsidRPr="00E259FA">
              <w:rPr>
                <w:rFonts w:asciiTheme="minorBidi" w:hAnsiTheme="minorBidi" w:cstheme="minorBidi"/>
                <w:i/>
                <w:iCs/>
                <w:color w:val="000000"/>
                <w:sz w:val="18"/>
                <w:szCs w:val="18"/>
              </w:rPr>
              <w:t>–</w:t>
            </w:r>
            <w:r w:rsidRPr="006D3FCF">
              <w:rPr>
                <w:rFonts w:asciiTheme="minorBidi" w:hAnsiTheme="minorBidi" w:cstheme="minorBidi"/>
                <w:i/>
                <w:iCs/>
                <w:color w:val="000000"/>
                <w:sz w:val="18"/>
                <w:szCs w:val="18"/>
              </w:rPr>
              <w:t>June 2028</w:t>
            </w:r>
          </w:p>
        </w:tc>
      </w:tr>
      <w:tr w:rsidR="00C74531" w:rsidRPr="00E259FA" w14:paraId="23AD2ADE" w14:textId="77777777" w:rsidTr="0047351B">
        <w:trPr>
          <w:gridAfter w:val="2"/>
          <w:wAfter w:w="439" w:type="dxa"/>
          <w:trHeight w:val="1446"/>
        </w:trPr>
        <w:tc>
          <w:tcPr>
            <w:tcW w:w="416" w:type="dxa"/>
            <w:tcBorders>
              <w:top w:val="nil"/>
              <w:left w:val="single" w:sz="8" w:space="0" w:color="auto"/>
              <w:bottom w:val="single" w:sz="8" w:space="0" w:color="auto"/>
              <w:right w:val="single" w:sz="8" w:space="0" w:color="auto"/>
            </w:tcBorders>
            <w:noWrap/>
            <w:vAlign w:val="center"/>
            <w:hideMark/>
          </w:tcPr>
          <w:p w14:paraId="5652459A"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1.</w:t>
            </w:r>
          </w:p>
        </w:tc>
        <w:tc>
          <w:tcPr>
            <w:tcW w:w="5681" w:type="dxa"/>
            <w:tcBorders>
              <w:top w:val="nil"/>
              <w:left w:val="nil"/>
              <w:bottom w:val="single" w:sz="8" w:space="0" w:color="auto"/>
              <w:right w:val="nil"/>
            </w:tcBorders>
            <w:vAlign w:val="center"/>
            <w:hideMark/>
          </w:tcPr>
          <w:p w14:paraId="2D450A2D"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International Assistance, comprising the safeguarding of the heritage inscribed on the List of Intangible Cultural Heritage in Need of Urgent Safeguarding, the preparation of inventories and support for other safeguarding programmes, projects and activities, including the monitoring and evaluation of requests approved</w:t>
            </w:r>
          </w:p>
        </w:tc>
        <w:tc>
          <w:tcPr>
            <w:tcW w:w="1123" w:type="dxa"/>
            <w:tcBorders>
              <w:top w:val="nil"/>
              <w:left w:val="single" w:sz="4" w:space="0" w:color="auto"/>
              <w:bottom w:val="single" w:sz="4" w:space="0" w:color="auto"/>
              <w:right w:val="dashed" w:sz="4" w:space="0" w:color="auto"/>
            </w:tcBorders>
            <w:shd w:val="clear" w:color="000000" w:fill="FFFFFF"/>
            <w:vAlign w:val="center"/>
          </w:tcPr>
          <w:p w14:paraId="4FE0DD12"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50,0%</w:t>
            </w:r>
          </w:p>
        </w:tc>
        <w:tc>
          <w:tcPr>
            <w:tcW w:w="1167" w:type="dxa"/>
            <w:tcBorders>
              <w:top w:val="nil"/>
              <w:left w:val="nil"/>
              <w:bottom w:val="dashed" w:sz="4" w:space="0" w:color="auto"/>
              <w:right w:val="dashed" w:sz="4" w:space="0" w:color="auto"/>
            </w:tcBorders>
            <w:vAlign w:val="center"/>
            <w:hideMark/>
          </w:tcPr>
          <w:p w14:paraId="008DDC5A"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$3,938,295</w:t>
            </w:r>
          </w:p>
        </w:tc>
        <w:tc>
          <w:tcPr>
            <w:tcW w:w="1244" w:type="dxa"/>
            <w:tcBorders>
              <w:top w:val="nil"/>
              <w:left w:val="nil"/>
              <w:bottom w:val="dashed" w:sz="4" w:space="0" w:color="auto"/>
              <w:right w:val="dashed" w:sz="4" w:space="0" w:color="auto"/>
            </w:tcBorders>
            <w:vAlign w:val="center"/>
            <w:hideMark/>
          </w:tcPr>
          <w:p w14:paraId="5D4B0FE2"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$984,574</w:t>
            </w:r>
          </w:p>
        </w:tc>
      </w:tr>
      <w:tr w:rsidR="00C74531" w:rsidRPr="00E259FA" w14:paraId="0D3C3CE3" w14:textId="77777777" w:rsidTr="0047351B">
        <w:trPr>
          <w:gridAfter w:val="2"/>
          <w:wAfter w:w="439" w:type="dxa"/>
          <w:trHeight w:val="969"/>
        </w:trPr>
        <w:tc>
          <w:tcPr>
            <w:tcW w:w="416" w:type="dxa"/>
            <w:tcBorders>
              <w:top w:val="nil"/>
              <w:left w:val="single" w:sz="8" w:space="0" w:color="auto"/>
              <w:bottom w:val="single" w:sz="8" w:space="0" w:color="auto"/>
              <w:right w:val="single" w:sz="8" w:space="0" w:color="auto"/>
            </w:tcBorders>
            <w:noWrap/>
            <w:vAlign w:val="center"/>
            <w:hideMark/>
          </w:tcPr>
          <w:p w14:paraId="45525CD1"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1.1</w:t>
            </w:r>
          </w:p>
        </w:tc>
        <w:tc>
          <w:tcPr>
            <w:tcW w:w="5681" w:type="dxa"/>
            <w:tcBorders>
              <w:top w:val="nil"/>
              <w:left w:val="nil"/>
              <w:bottom w:val="single" w:sz="8" w:space="0" w:color="auto"/>
              <w:right w:val="nil"/>
            </w:tcBorders>
            <w:vAlign w:val="center"/>
            <w:hideMark/>
          </w:tcPr>
          <w:p w14:paraId="03BF936C"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Enhancing human resources to improve the implementation of the International Assistance mechanisms through three extra-budgetary fixed-term posts (one P3, one P2 and one G5)</w:t>
            </w:r>
          </w:p>
        </w:tc>
        <w:tc>
          <w:tcPr>
            <w:tcW w:w="1123" w:type="dxa"/>
            <w:tcBorders>
              <w:top w:val="nil"/>
              <w:left w:val="single" w:sz="4" w:space="0" w:color="auto"/>
              <w:bottom w:val="single" w:sz="4" w:space="0" w:color="auto"/>
              <w:right w:val="dashed" w:sz="4" w:space="0" w:color="auto"/>
            </w:tcBorders>
            <w:shd w:val="clear" w:color="000000" w:fill="FFFFFF"/>
            <w:vAlign w:val="center"/>
          </w:tcPr>
          <w:p w14:paraId="4D966C1B"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13,4%</w:t>
            </w:r>
          </w:p>
        </w:tc>
        <w:tc>
          <w:tcPr>
            <w:tcW w:w="1167" w:type="dxa"/>
            <w:tcBorders>
              <w:top w:val="nil"/>
              <w:left w:val="nil"/>
              <w:bottom w:val="dashed" w:sz="4" w:space="0" w:color="auto"/>
              <w:right w:val="dashed" w:sz="4" w:space="0" w:color="auto"/>
            </w:tcBorders>
            <w:shd w:val="clear" w:color="000000" w:fill="FFFFFF"/>
            <w:vAlign w:val="center"/>
            <w:hideMark/>
          </w:tcPr>
          <w:p w14:paraId="1EBE26AC"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$1,055,463</w:t>
            </w:r>
          </w:p>
        </w:tc>
        <w:tc>
          <w:tcPr>
            <w:tcW w:w="1244" w:type="dxa"/>
            <w:tcBorders>
              <w:top w:val="nil"/>
              <w:left w:val="nil"/>
              <w:bottom w:val="dashed" w:sz="4" w:space="0" w:color="auto"/>
              <w:right w:val="dashed" w:sz="4" w:space="0" w:color="auto"/>
            </w:tcBorders>
            <w:vAlign w:val="center"/>
            <w:hideMark/>
          </w:tcPr>
          <w:p w14:paraId="7FDE464F"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$263,866</w:t>
            </w:r>
          </w:p>
        </w:tc>
      </w:tr>
      <w:tr w:rsidR="00C74531" w:rsidRPr="00E259FA" w14:paraId="1C17D696" w14:textId="77777777" w:rsidTr="0047351B">
        <w:trPr>
          <w:gridAfter w:val="2"/>
          <w:wAfter w:w="439" w:type="dxa"/>
          <w:trHeight w:val="730"/>
        </w:trPr>
        <w:tc>
          <w:tcPr>
            <w:tcW w:w="416" w:type="dxa"/>
            <w:tcBorders>
              <w:top w:val="nil"/>
              <w:left w:val="single" w:sz="8" w:space="0" w:color="auto"/>
              <w:bottom w:val="single" w:sz="8" w:space="0" w:color="auto"/>
              <w:right w:val="single" w:sz="8" w:space="0" w:color="auto"/>
            </w:tcBorders>
            <w:noWrap/>
            <w:vAlign w:val="center"/>
            <w:hideMark/>
          </w:tcPr>
          <w:p w14:paraId="5AF8916D"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2.</w:t>
            </w:r>
          </w:p>
        </w:tc>
        <w:tc>
          <w:tcPr>
            <w:tcW w:w="5681" w:type="dxa"/>
            <w:tcBorders>
              <w:top w:val="nil"/>
              <w:left w:val="nil"/>
              <w:bottom w:val="single" w:sz="8" w:space="0" w:color="auto"/>
              <w:right w:val="nil"/>
            </w:tcBorders>
            <w:vAlign w:val="center"/>
            <w:hideMark/>
          </w:tcPr>
          <w:p w14:paraId="0CEFEEF3"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Preparatory assistance for International Assistance requests, nominations and proposals to the Lists and Register of the Convention</w:t>
            </w:r>
          </w:p>
        </w:tc>
        <w:tc>
          <w:tcPr>
            <w:tcW w:w="1123" w:type="dxa"/>
            <w:tcBorders>
              <w:top w:val="nil"/>
              <w:left w:val="single" w:sz="4" w:space="0" w:color="auto"/>
              <w:bottom w:val="single" w:sz="4" w:space="0" w:color="auto"/>
              <w:right w:val="dashed" w:sz="4" w:space="0" w:color="auto"/>
            </w:tcBorders>
            <w:shd w:val="clear" w:color="000000" w:fill="FFFFFF"/>
            <w:vAlign w:val="center"/>
          </w:tcPr>
          <w:p w14:paraId="21677BCF"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1,7%</w:t>
            </w:r>
          </w:p>
        </w:tc>
        <w:tc>
          <w:tcPr>
            <w:tcW w:w="1167" w:type="dxa"/>
            <w:tcBorders>
              <w:top w:val="nil"/>
              <w:left w:val="nil"/>
              <w:bottom w:val="dashed" w:sz="4" w:space="0" w:color="auto"/>
              <w:right w:val="dashed" w:sz="4" w:space="0" w:color="auto"/>
            </w:tcBorders>
            <w:vAlign w:val="center"/>
            <w:hideMark/>
          </w:tcPr>
          <w:p w14:paraId="1A056BE0"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$133,902</w:t>
            </w:r>
          </w:p>
        </w:tc>
        <w:tc>
          <w:tcPr>
            <w:tcW w:w="1244" w:type="dxa"/>
            <w:tcBorders>
              <w:top w:val="nil"/>
              <w:left w:val="nil"/>
              <w:bottom w:val="dashed" w:sz="4" w:space="0" w:color="auto"/>
              <w:right w:val="dashed" w:sz="4" w:space="0" w:color="auto"/>
            </w:tcBorders>
            <w:vAlign w:val="center"/>
            <w:hideMark/>
          </w:tcPr>
          <w:p w14:paraId="5D082247"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$33,476</w:t>
            </w:r>
          </w:p>
        </w:tc>
      </w:tr>
      <w:tr w:rsidR="00C74531" w:rsidRPr="00E259FA" w14:paraId="6A056334" w14:textId="77777777" w:rsidTr="0047351B">
        <w:trPr>
          <w:gridAfter w:val="2"/>
          <w:wAfter w:w="439" w:type="dxa"/>
          <w:trHeight w:val="1832"/>
        </w:trPr>
        <w:tc>
          <w:tcPr>
            <w:tcW w:w="416" w:type="dxa"/>
            <w:tcBorders>
              <w:top w:val="nil"/>
              <w:left w:val="single" w:sz="8" w:space="0" w:color="auto"/>
              <w:bottom w:val="single" w:sz="8" w:space="0" w:color="auto"/>
              <w:right w:val="single" w:sz="8" w:space="0" w:color="auto"/>
            </w:tcBorders>
            <w:noWrap/>
            <w:vAlign w:val="center"/>
            <w:hideMark/>
          </w:tcPr>
          <w:p w14:paraId="598FF555"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3.</w:t>
            </w:r>
          </w:p>
        </w:tc>
        <w:tc>
          <w:tcPr>
            <w:tcW w:w="5681" w:type="dxa"/>
            <w:tcBorders>
              <w:top w:val="nil"/>
              <w:left w:val="nil"/>
              <w:bottom w:val="single" w:sz="8" w:space="0" w:color="auto"/>
              <w:right w:val="nil"/>
            </w:tcBorders>
            <w:vAlign w:val="center"/>
            <w:hideMark/>
          </w:tcPr>
          <w:p w14:paraId="02C3AA9B"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 xml:space="preserve">Other functions of the Committee, as described in Article 7 of the Convention, aimed at promoting the objectives of the Convention and encouraging and monitoring its implementation, in particular by strengthening capacities to effectively safeguard intangible cultural heritage, raising awareness of the importance of such heritage, providing guidance on good safeguarding practices: </w:t>
            </w:r>
          </w:p>
        </w:tc>
        <w:tc>
          <w:tcPr>
            <w:tcW w:w="1123" w:type="dxa"/>
            <w:tcBorders>
              <w:top w:val="nil"/>
              <w:left w:val="single" w:sz="4" w:space="0" w:color="auto"/>
              <w:bottom w:val="single" w:sz="4" w:space="0" w:color="auto"/>
              <w:right w:val="dashed" w:sz="4" w:space="0" w:color="auto"/>
            </w:tcBorders>
            <w:shd w:val="clear" w:color="000000" w:fill="FFFFFF"/>
            <w:vAlign w:val="center"/>
          </w:tcPr>
          <w:p w14:paraId="4001C0CB"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20,0%</w:t>
            </w:r>
          </w:p>
        </w:tc>
        <w:tc>
          <w:tcPr>
            <w:tcW w:w="1167" w:type="dxa"/>
            <w:tcBorders>
              <w:top w:val="nil"/>
              <w:left w:val="nil"/>
              <w:bottom w:val="dashed" w:sz="4" w:space="0" w:color="auto"/>
              <w:right w:val="dashed" w:sz="4" w:space="0" w:color="auto"/>
            </w:tcBorders>
            <w:vAlign w:val="center"/>
            <w:hideMark/>
          </w:tcPr>
          <w:p w14:paraId="1E4DFC4C"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$1,575,318</w:t>
            </w:r>
          </w:p>
        </w:tc>
        <w:tc>
          <w:tcPr>
            <w:tcW w:w="1244" w:type="dxa"/>
            <w:tcBorders>
              <w:top w:val="nil"/>
              <w:left w:val="nil"/>
              <w:bottom w:val="dashed" w:sz="4" w:space="0" w:color="auto"/>
              <w:right w:val="dashed" w:sz="4" w:space="0" w:color="auto"/>
            </w:tcBorders>
            <w:vAlign w:val="center"/>
            <w:hideMark/>
          </w:tcPr>
          <w:p w14:paraId="30D4AD34"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$393,830</w:t>
            </w:r>
          </w:p>
        </w:tc>
      </w:tr>
      <w:tr w:rsidR="00C74531" w:rsidRPr="00E259FA" w14:paraId="49A3EB56" w14:textId="77777777" w:rsidTr="0047351B">
        <w:trPr>
          <w:gridAfter w:val="2"/>
          <w:wAfter w:w="439"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14:paraId="6BBBAE62"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val="restart"/>
            <w:tcBorders>
              <w:top w:val="nil"/>
              <w:left w:val="single" w:sz="8" w:space="0" w:color="auto"/>
              <w:bottom w:val="single" w:sz="8" w:space="0" w:color="000000"/>
              <w:right w:val="nil"/>
            </w:tcBorders>
            <w:shd w:val="clear" w:color="000000" w:fill="E7E6E6"/>
            <w:vAlign w:val="center"/>
            <w:hideMark/>
          </w:tcPr>
          <w:p w14:paraId="1A1DE668" w14:textId="77777777" w:rsidR="00C74531" w:rsidRPr="00C72113" w:rsidRDefault="00C74531" w:rsidP="00526E62">
            <w:pPr>
              <w:spacing w:before="20" w:after="20"/>
              <w:rPr>
                <w:rFonts w:asciiTheme="minorBidi" w:hAnsiTheme="minorBidi" w:cstheme="minorBidi"/>
                <w:b/>
                <w:bCs/>
                <w:i/>
                <w:iCs/>
                <w:color w:val="000000"/>
                <w:sz w:val="16"/>
                <w:szCs w:val="16"/>
                <w:lang w:val="en-US"/>
              </w:rPr>
            </w:pPr>
            <w:r w:rsidRPr="00C72113">
              <w:rPr>
                <w:rFonts w:asciiTheme="minorBidi" w:hAnsiTheme="minorBidi" w:cstheme="minorBidi"/>
                <w:b/>
                <w:bCs/>
                <w:i/>
                <w:iCs/>
                <w:color w:val="000000"/>
                <w:sz w:val="16"/>
                <w:szCs w:val="16"/>
                <w:lang w:val="en-US"/>
              </w:rPr>
              <w:t>ER 1: Implementation of the Convention enhanced through a strengthened capacity-building programme and the integration of intangible cultural heritage into development plans and frameworks</w:t>
            </w:r>
          </w:p>
        </w:tc>
        <w:tc>
          <w:tcPr>
            <w:tcW w:w="1123" w:type="dxa"/>
            <w:vMerge w:val="restart"/>
            <w:tcBorders>
              <w:top w:val="nil"/>
              <w:left w:val="single" w:sz="4" w:space="0" w:color="auto"/>
              <w:right w:val="dashed" w:sz="4" w:space="0" w:color="auto"/>
            </w:tcBorders>
            <w:shd w:val="clear" w:color="000000" w:fill="D0CECE"/>
            <w:vAlign w:val="center"/>
          </w:tcPr>
          <w:p w14:paraId="56DF409C"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10,0%</w:t>
            </w:r>
          </w:p>
        </w:tc>
        <w:tc>
          <w:tcPr>
            <w:tcW w:w="1167" w:type="dxa"/>
            <w:vMerge w:val="restart"/>
            <w:tcBorders>
              <w:top w:val="nil"/>
              <w:left w:val="dashed" w:sz="4" w:space="0" w:color="auto"/>
              <w:bottom w:val="dashed" w:sz="4" w:space="0" w:color="auto"/>
              <w:right w:val="dashed" w:sz="4" w:space="0" w:color="auto"/>
            </w:tcBorders>
            <w:shd w:val="clear" w:color="000000" w:fill="E7E6E6"/>
            <w:vAlign w:val="center"/>
            <w:hideMark/>
          </w:tcPr>
          <w:p w14:paraId="4DBE9423"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$787,659</w:t>
            </w:r>
          </w:p>
        </w:tc>
        <w:tc>
          <w:tcPr>
            <w:tcW w:w="1244" w:type="dxa"/>
            <w:vMerge w:val="restart"/>
            <w:tcBorders>
              <w:top w:val="nil"/>
              <w:left w:val="dashed" w:sz="4" w:space="0" w:color="auto"/>
              <w:bottom w:val="dashed" w:sz="4" w:space="0" w:color="auto"/>
              <w:right w:val="dashed" w:sz="4" w:space="0" w:color="auto"/>
            </w:tcBorders>
            <w:shd w:val="clear" w:color="000000" w:fill="E7E6E6"/>
            <w:vAlign w:val="center"/>
            <w:hideMark/>
          </w:tcPr>
          <w:p w14:paraId="2345D909"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$196,915</w:t>
            </w:r>
          </w:p>
        </w:tc>
      </w:tr>
      <w:tr w:rsidR="00C74531" w:rsidRPr="00E259FA" w14:paraId="410185C3" w14:textId="77777777" w:rsidTr="0047351B">
        <w:trPr>
          <w:gridAfter w:val="1"/>
          <w:wAfter w:w="16" w:type="dxa"/>
          <w:trHeight w:val="298"/>
        </w:trPr>
        <w:tc>
          <w:tcPr>
            <w:tcW w:w="416" w:type="dxa"/>
            <w:vMerge/>
            <w:tcBorders>
              <w:top w:val="nil"/>
              <w:left w:val="single" w:sz="8" w:space="0" w:color="auto"/>
              <w:bottom w:val="single" w:sz="8" w:space="0" w:color="000000"/>
              <w:right w:val="single" w:sz="8" w:space="0" w:color="auto"/>
            </w:tcBorders>
            <w:vAlign w:val="center"/>
            <w:hideMark/>
          </w:tcPr>
          <w:p w14:paraId="30881D82"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tcBorders>
              <w:top w:val="nil"/>
              <w:left w:val="single" w:sz="8" w:space="0" w:color="auto"/>
              <w:bottom w:val="single" w:sz="8" w:space="0" w:color="000000"/>
              <w:right w:val="nil"/>
            </w:tcBorders>
            <w:vAlign w:val="center"/>
            <w:hideMark/>
          </w:tcPr>
          <w:p w14:paraId="70E0C0D7" w14:textId="77777777" w:rsidR="00C74531" w:rsidRPr="006D3FCF" w:rsidRDefault="00C74531" w:rsidP="00526E62">
            <w:pPr>
              <w:spacing w:before="20" w:after="20"/>
              <w:rPr>
                <w:rFonts w:asciiTheme="minorBidi" w:hAnsiTheme="minorBidi" w:cstheme="minorBidi"/>
                <w:b/>
                <w:bCs/>
                <w:i/>
                <w:iCs/>
                <w:color w:val="000000"/>
                <w:sz w:val="16"/>
                <w:szCs w:val="16"/>
              </w:rPr>
            </w:pPr>
          </w:p>
        </w:tc>
        <w:tc>
          <w:tcPr>
            <w:tcW w:w="1123" w:type="dxa"/>
            <w:vMerge/>
            <w:tcBorders>
              <w:left w:val="single" w:sz="4" w:space="0" w:color="auto"/>
              <w:bottom w:val="single" w:sz="4" w:space="0" w:color="000000"/>
              <w:right w:val="dashed" w:sz="4" w:space="0" w:color="auto"/>
            </w:tcBorders>
            <w:vAlign w:val="center"/>
          </w:tcPr>
          <w:p w14:paraId="7EBF23DC" w14:textId="77777777" w:rsidR="00C74531" w:rsidRPr="00E259FA" w:rsidRDefault="00C74531" w:rsidP="00526E62">
            <w:pPr>
              <w:rPr>
                <w:rFonts w:asciiTheme="minorBidi" w:hAnsiTheme="minorBidi" w:cstheme="minorBidi"/>
                <w:i/>
                <w:iCs/>
                <w:color w:val="000000"/>
                <w:sz w:val="18"/>
                <w:szCs w:val="18"/>
              </w:rPr>
            </w:pPr>
          </w:p>
        </w:tc>
        <w:tc>
          <w:tcPr>
            <w:tcW w:w="1167" w:type="dxa"/>
            <w:vMerge/>
            <w:tcBorders>
              <w:top w:val="nil"/>
              <w:left w:val="dashed" w:sz="4" w:space="0" w:color="auto"/>
              <w:bottom w:val="dashed" w:sz="4" w:space="0" w:color="auto"/>
              <w:right w:val="dashed" w:sz="4" w:space="0" w:color="auto"/>
            </w:tcBorders>
            <w:vAlign w:val="center"/>
            <w:hideMark/>
          </w:tcPr>
          <w:p w14:paraId="05CFAAEF" w14:textId="77777777" w:rsidR="00C74531" w:rsidRPr="00E259FA" w:rsidRDefault="00C74531" w:rsidP="00526E62">
            <w:pPr>
              <w:rPr>
                <w:rFonts w:asciiTheme="minorBidi" w:hAnsiTheme="minorBidi" w:cstheme="minorBidi"/>
                <w:i/>
                <w:iCs/>
                <w:color w:val="000000"/>
                <w:sz w:val="18"/>
                <w:szCs w:val="18"/>
              </w:rPr>
            </w:pPr>
          </w:p>
        </w:tc>
        <w:tc>
          <w:tcPr>
            <w:tcW w:w="1244" w:type="dxa"/>
            <w:vMerge/>
            <w:tcBorders>
              <w:top w:val="nil"/>
              <w:left w:val="dashed" w:sz="4" w:space="0" w:color="auto"/>
              <w:bottom w:val="dashed" w:sz="4" w:space="0" w:color="auto"/>
              <w:right w:val="dashed" w:sz="4" w:space="0" w:color="auto"/>
            </w:tcBorders>
            <w:vAlign w:val="center"/>
            <w:hideMark/>
          </w:tcPr>
          <w:p w14:paraId="0ADD379E" w14:textId="77777777" w:rsidR="00C74531" w:rsidRPr="00E259FA" w:rsidRDefault="00C74531" w:rsidP="00526E62">
            <w:pPr>
              <w:rPr>
                <w:rFonts w:asciiTheme="minorBidi" w:hAnsiTheme="minorBidi" w:cstheme="minorBidi"/>
                <w:i/>
                <w:iCs/>
                <w:color w:val="000000"/>
                <w:sz w:val="18"/>
                <w:szCs w:val="18"/>
              </w:rPr>
            </w:pPr>
          </w:p>
        </w:tc>
        <w:tc>
          <w:tcPr>
            <w:tcW w:w="423" w:type="dxa"/>
            <w:tcBorders>
              <w:top w:val="nil"/>
              <w:left w:val="nil"/>
              <w:bottom w:val="nil"/>
              <w:right w:val="nil"/>
            </w:tcBorders>
            <w:noWrap/>
            <w:vAlign w:val="bottom"/>
            <w:hideMark/>
          </w:tcPr>
          <w:p w14:paraId="63AB62FE" w14:textId="77777777" w:rsidR="00C74531" w:rsidRPr="00E259FA" w:rsidRDefault="00C74531" w:rsidP="00526E62">
            <w:pPr>
              <w:jc w:val="center"/>
              <w:rPr>
                <w:rFonts w:ascii="Arial" w:hAnsi="Arial" w:cs="Arial"/>
                <w:i/>
                <w:iCs/>
                <w:color w:val="000000"/>
                <w:sz w:val="18"/>
                <w:szCs w:val="18"/>
              </w:rPr>
            </w:pPr>
          </w:p>
        </w:tc>
      </w:tr>
      <w:tr w:rsidR="00C74531" w:rsidRPr="00E259FA" w14:paraId="68EE551E" w14:textId="77777777" w:rsidTr="0047351B">
        <w:trPr>
          <w:gridAfter w:val="1"/>
          <w:wAfter w:w="16" w:type="dxa"/>
          <w:trHeight w:val="298"/>
        </w:trPr>
        <w:tc>
          <w:tcPr>
            <w:tcW w:w="416" w:type="dxa"/>
            <w:vMerge/>
            <w:tcBorders>
              <w:top w:val="nil"/>
              <w:left w:val="single" w:sz="8" w:space="0" w:color="auto"/>
              <w:bottom w:val="single" w:sz="8" w:space="0" w:color="000000"/>
              <w:right w:val="single" w:sz="8" w:space="0" w:color="auto"/>
            </w:tcBorders>
            <w:vAlign w:val="center"/>
            <w:hideMark/>
          </w:tcPr>
          <w:p w14:paraId="72755B5C"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tcBorders>
              <w:top w:val="nil"/>
              <w:left w:val="single" w:sz="8" w:space="0" w:color="auto"/>
              <w:bottom w:val="single" w:sz="8" w:space="0" w:color="000000"/>
              <w:right w:val="nil"/>
            </w:tcBorders>
            <w:vAlign w:val="center"/>
            <w:hideMark/>
          </w:tcPr>
          <w:p w14:paraId="1B3ECA3E" w14:textId="77777777" w:rsidR="00C74531" w:rsidRPr="006D3FCF" w:rsidRDefault="00C74531" w:rsidP="00526E62">
            <w:pPr>
              <w:spacing w:before="20" w:after="20"/>
              <w:rPr>
                <w:rFonts w:asciiTheme="minorBidi" w:hAnsiTheme="minorBidi" w:cstheme="minorBidi"/>
                <w:b/>
                <w:bCs/>
                <w:i/>
                <w:iCs/>
                <w:color w:val="000000"/>
                <w:sz w:val="16"/>
                <w:szCs w:val="16"/>
              </w:rPr>
            </w:pPr>
          </w:p>
        </w:tc>
        <w:tc>
          <w:tcPr>
            <w:tcW w:w="1123" w:type="dxa"/>
            <w:vMerge w:val="restart"/>
            <w:tcBorders>
              <w:top w:val="nil"/>
              <w:left w:val="single" w:sz="4" w:space="0" w:color="auto"/>
              <w:right w:val="dashed" w:sz="4" w:space="0" w:color="auto"/>
            </w:tcBorders>
            <w:shd w:val="clear" w:color="000000" w:fill="D0CECE"/>
            <w:vAlign w:val="center"/>
          </w:tcPr>
          <w:p w14:paraId="2AAE375D"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(50% of line 3)</w:t>
            </w:r>
          </w:p>
        </w:tc>
        <w:tc>
          <w:tcPr>
            <w:tcW w:w="1167" w:type="dxa"/>
            <w:vMerge/>
            <w:tcBorders>
              <w:top w:val="nil"/>
              <w:left w:val="dashed" w:sz="4" w:space="0" w:color="auto"/>
              <w:bottom w:val="dashed" w:sz="4" w:space="0" w:color="auto"/>
              <w:right w:val="dashed" w:sz="4" w:space="0" w:color="auto"/>
            </w:tcBorders>
            <w:vAlign w:val="center"/>
            <w:hideMark/>
          </w:tcPr>
          <w:p w14:paraId="788EB9AE" w14:textId="77777777" w:rsidR="00C74531" w:rsidRPr="00E259FA" w:rsidRDefault="00C74531" w:rsidP="00526E62">
            <w:pPr>
              <w:rPr>
                <w:rFonts w:asciiTheme="minorBidi" w:hAnsiTheme="minorBidi" w:cstheme="minorBidi"/>
                <w:i/>
                <w:iCs/>
                <w:color w:val="000000"/>
                <w:sz w:val="18"/>
                <w:szCs w:val="18"/>
              </w:rPr>
            </w:pPr>
          </w:p>
        </w:tc>
        <w:tc>
          <w:tcPr>
            <w:tcW w:w="1244" w:type="dxa"/>
            <w:vMerge/>
            <w:tcBorders>
              <w:top w:val="nil"/>
              <w:left w:val="dashed" w:sz="4" w:space="0" w:color="auto"/>
              <w:bottom w:val="dashed" w:sz="4" w:space="0" w:color="auto"/>
              <w:right w:val="dashed" w:sz="4" w:space="0" w:color="auto"/>
            </w:tcBorders>
            <w:vAlign w:val="center"/>
            <w:hideMark/>
          </w:tcPr>
          <w:p w14:paraId="167652AE" w14:textId="77777777" w:rsidR="00C74531" w:rsidRPr="00E259FA" w:rsidRDefault="00C74531" w:rsidP="00526E62">
            <w:pPr>
              <w:rPr>
                <w:rFonts w:asciiTheme="minorBidi" w:hAnsiTheme="minorBidi" w:cstheme="minorBidi"/>
                <w:i/>
                <w:iCs/>
                <w:color w:val="000000"/>
                <w:sz w:val="18"/>
                <w:szCs w:val="18"/>
              </w:rPr>
            </w:pPr>
          </w:p>
        </w:tc>
        <w:tc>
          <w:tcPr>
            <w:tcW w:w="423" w:type="dxa"/>
            <w:vAlign w:val="center"/>
            <w:hideMark/>
          </w:tcPr>
          <w:p w14:paraId="544EAA76" w14:textId="77777777" w:rsidR="00C74531" w:rsidRPr="00E259FA" w:rsidRDefault="00C74531" w:rsidP="00526E62">
            <w:pPr>
              <w:rPr>
                <w:sz w:val="20"/>
                <w:szCs w:val="20"/>
              </w:rPr>
            </w:pPr>
          </w:p>
        </w:tc>
      </w:tr>
      <w:tr w:rsidR="00C74531" w:rsidRPr="00E259FA" w14:paraId="0794A80D" w14:textId="77777777" w:rsidTr="0047351B">
        <w:trPr>
          <w:gridAfter w:val="1"/>
          <w:wAfter w:w="16" w:type="dxa"/>
          <w:trHeight w:val="46"/>
        </w:trPr>
        <w:tc>
          <w:tcPr>
            <w:tcW w:w="416" w:type="dxa"/>
            <w:vMerge/>
            <w:tcBorders>
              <w:top w:val="nil"/>
              <w:left w:val="single" w:sz="8" w:space="0" w:color="auto"/>
              <w:bottom w:val="single" w:sz="8" w:space="0" w:color="000000"/>
              <w:right w:val="single" w:sz="8" w:space="0" w:color="auto"/>
            </w:tcBorders>
            <w:vAlign w:val="center"/>
            <w:hideMark/>
          </w:tcPr>
          <w:p w14:paraId="1A446174"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tcBorders>
              <w:top w:val="nil"/>
              <w:left w:val="single" w:sz="8" w:space="0" w:color="auto"/>
              <w:bottom w:val="single" w:sz="8" w:space="0" w:color="000000"/>
              <w:right w:val="nil"/>
            </w:tcBorders>
            <w:vAlign w:val="center"/>
            <w:hideMark/>
          </w:tcPr>
          <w:p w14:paraId="4C5B54CA" w14:textId="77777777" w:rsidR="00C74531" w:rsidRPr="006D3FCF" w:rsidRDefault="00C74531" w:rsidP="00526E62">
            <w:pPr>
              <w:spacing w:before="20" w:after="20"/>
              <w:rPr>
                <w:rFonts w:asciiTheme="minorBidi" w:hAnsiTheme="minorBidi" w:cstheme="minorBidi"/>
                <w:b/>
                <w:bCs/>
                <w:i/>
                <w:iCs/>
                <w:color w:val="000000"/>
                <w:sz w:val="16"/>
                <w:szCs w:val="16"/>
              </w:rPr>
            </w:pPr>
          </w:p>
        </w:tc>
        <w:tc>
          <w:tcPr>
            <w:tcW w:w="1123" w:type="dxa"/>
            <w:vMerge/>
            <w:tcBorders>
              <w:left w:val="single" w:sz="4" w:space="0" w:color="auto"/>
              <w:bottom w:val="single" w:sz="4" w:space="0" w:color="000000"/>
              <w:right w:val="dashed" w:sz="4" w:space="0" w:color="auto"/>
            </w:tcBorders>
            <w:vAlign w:val="center"/>
          </w:tcPr>
          <w:p w14:paraId="6D630FC1" w14:textId="77777777" w:rsidR="00C74531" w:rsidRPr="00E259FA" w:rsidRDefault="00C74531" w:rsidP="00526E62">
            <w:pPr>
              <w:rPr>
                <w:rFonts w:asciiTheme="minorBidi" w:hAnsiTheme="minorBidi" w:cstheme="minorBidi"/>
                <w:i/>
                <w:iCs/>
                <w:color w:val="000000"/>
                <w:sz w:val="18"/>
                <w:szCs w:val="18"/>
              </w:rPr>
            </w:pPr>
          </w:p>
        </w:tc>
        <w:tc>
          <w:tcPr>
            <w:tcW w:w="1167" w:type="dxa"/>
            <w:vMerge/>
            <w:tcBorders>
              <w:top w:val="nil"/>
              <w:left w:val="dashed" w:sz="4" w:space="0" w:color="auto"/>
              <w:bottom w:val="dashed" w:sz="4" w:space="0" w:color="auto"/>
              <w:right w:val="dashed" w:sz="4" w:space="0" w:color="auto"/>
            </w:tcBorders>
            <w:vAlign w:val="center"/>
            <w:hideMark/>
          </w:tcPr>
          <w:p w14:paraId="0C605E92" w14:textId="77777777" w:rsidR="00C74531" w:rsidRPr="00E259FA" w:rsidRDefault="00C74531" w:rsidP="00526E62">
            <w:pPr>
              <w:rPr>
                <w:rFonts w:asciiTheme="minorBidi" w:hAnsiTheme="minorBidi" w:cstheme="minorBidi"/>
                <w:i/>
                <w:iCs/>
                <w:color w:val="000000"/>
                <w:sz w:val="18"/>
                <w:szCs w:val="18"/>
              </w:rPr>
            </w:pPr>
          </w:p>
        </w:tc>
        <w:tc>
          <w:tcPr>
            <w:tcW w:w="1244" w:type="dxa"/>
            <w:vMerge/>
            <w:tcBorders>
              <w:top w:val="nil"/>
              <w:left w:val="dashed" w:sz="4" w:space="0" w:color="auto"/>
              <w:bottom w:val="dashed" w:sz="4" w:space="0" w:color="auto"/>
              <w:right w:val="dashed" w:sz="4" w:space="0" w:color="auto"/>
            </w:tcBorders>
            <w:vAlign w:val="center"/>
            <w:hideMark/>
          </w:tcPr>
          <w:p w14:paraId="6818B977" w14:textId="77777777" w:rsidR="00C74531" w:rsidRPr="00E259FA" w:rsidRDefault="00C74531" w:rsidP="00526E62">
            <w:pPr>
              <w:rPr>
                <w:rFonts w:asciiTheme="minorBidi" w:hAnsiTheme="minorBidi" w:cstheme="minorBidi"/>
                <w:i/>
                <w:iCs/>
                <w:color w:val="000000"/>
                <w:sz w:val="18"/>
                <w:szCs w:val="18"/>
              </w:rPr>
            </w:pPr>
          </w:p>
        </w:tc>
        <w:tc>
          <w:tcPr>
            <w:tcW w:w="423" w:type="dxa"/>
            <w:tcBorders>
              <w:top w:val="nil"/>
              <w:left w:val="nil"/>
              <w:bottom w:val="nil"/>
              <w:right w:val="nil"/>
            </w:tcBorders>
            <w:noWrap/>
            <w:vAlign w:val="bottom"/>
            <w:hideMark/>
          </w:tcPr>
          <w:p w14:paraId="178FED70" w14:textId="77777777" w:rsidR="00C74531" w:rsidRPr="00E259FA" w:rsidRDefault="00C74531" w:rsidP="00526E62">
            <w:pPr>
              <w:jc w:val="center"/>
              <w:rPr>
                <w:rFonts w:ascii="Arial" w:hAnsi="Arial" w:cs="Arial"/>
                <w:i/>
                <w:iCs/>
                <w:color w:val="000000"/>
                <w:sz w:val="16"/>
                <w:szCs w:val="16"/>
              </w:rPr>
            </w:pPr>
          </w:p>
        </w:tc>
      </w:tr>
      <w:tr w:rsidR="00C74531" w:rsidRPr="00E259FA" w14:paraId="45CA7BCC" w14:textId="77777777" w:rsidTr="0047351B">
        <w:trPr>
          <w:gridAfter w:val="1"/>
          <w:wAfter w:w="16"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14:paraId="6CFF9D56"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val="restart"/>
            <w:tcBorders>
              <w:top w:val="nil"/>
              <w:left w:val="single" w:sz="8" w:space="0" w:color="auto"/>
              <w:bottom w:val="single" w:sz="8" w:space="0" w:color="000000"/>
              <w:right w:val="nil"/>
            </w:tcBorders>
            <w:shd w:val="clear" w:color="000000" w:fill="E7E6E6"/>
            <w:vAlign w:val="center"/>
            <w:hideMark/>
          </w:tcPr>
          <w:p w14:paraId="2543E94D" w14:textId="77777777" w:rsidR="00C74531" w:rsidRPr="00C72113" w:rsidRDefault="00C74531" w:rsidP="00526E62">
            <w:pPr>
              <w:spacing w:before="20" w:after="20"/>
              <w:rPr>
                <w:rFonts w:asciiTheme="minorBidi" w:hAnsiTheme="minorBidi" w:cstheme="minorBidi"/>
                <w:b/>
                <w:bCs/>
                <w:i/>
                <w:iCs/>
                <w:color w:val="000000"/>
                <w:sz w:val="16"/>
                <w:szCs w:val="16"/>
                <w:lang w:val="en-US"/>
              </w:rPr>
            </w:pPr>
            <w:r w:rsidRPr="00C72113">
              <w:rPr>
                <w:rFonts w:asciiTheme="minorBidi" w:hAnsiTheme="minorBidi" w:cstheme="minorBidi"/>
                <w:b/>
                <w:bCs/>
                <w:i/>
                <w:iCs/>
                <w:color w:val="000000"/>
                <w:sz w:val="16"/>
                <w:szCs w:val="16"/>
                <w:lang w:val="en-US"/>
              </w:rPr>
              <w:t>ER 2: Sound governance of the Convention facilitated by enhanced monitoring, knowledge management services and awareness-raising associated with international cooperation mechanisms</w:t>
            </w:r>
          </w:p>
        </w:tc>
        <w:tc>
          <w:tcPr>
            <w:tcW w:w="1123" w:type="dxa"/>
            <w:vMerge w:val="restart"/>
            <w:tcBorders>
              <w:top w:val="nil"/>
              <w:left w:val="single" w:sz="4" w:space="0" w:color="auto"/>
              <w:right w:val="dashed" w:sz="4" w:space="0" w:color="auto"/>
            </w:tcBorders>
            <w:shd w:val="clear" w:color="000000" w:fill="D0CECE"/>
            <w:vAlign w:val="center"/>
          </w:tcPr>
          <w:p w14:paraId="493CDCD8"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10,0%</w:t>
            </w:r>
          </w:p>
        </w:tc>
        <w:tc>
          <w:tcPr>
            <w:tcW w:w="116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EF12B34"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$787,659</w:t>
            </w:r>
          </w:p>
        </w:tc>
        <w:tc>
          <w:tcPr>
            <w:tcW w:w="1244" w:type="dxa"/>
            <w:vMerge w:val="restart"/>
            <w:tcBorders>
              <w:top w:val="nil"/>
              <w:left w:val="dashed" w:sz="4" w:space="0" w:color="auto"/>
              <w:bottom w:val="dashed" w:sz="4" w:space="0" w:color="auto"/>
              <w:right w:val="dashed" w:sz="4" w:space="0" w:color="auto"/>
            </w:tcBorders>
            <w:shd w:val="clear" w:color="000000" w:fill="E7E6E6"/>
            <w:vAlign w:val="center"/>
            <w:hideMark/>
          </w:tcPr>
          <w:p w14:paraId="45133079"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$196,915</w:t>
            </w:r>
          </w:p>
        </w:tc>
        <w:tc>
          <w:tcPr>
            <w:tcW w:w="423" w:type="dxa"/>
            <w:vAlign w:val="center"/>
            <w:hideMark/>
          </w:tcPr>
          <w:p w14:paraId="0C376FD8" w14:textId="77777777" w:rsidR="00C74531" w:rsidRPr="00E259FA" w:rsidRDefault="00C74531" w:rsidP="00526E62">
            <w:pPr>
              <w:rPr>
                <w:sz w:val="20"/>
                <w:szCs w:val="20"/>
              </w:rPr>
            </w:pPr>
          </w:p>
        </w:tc>
      </w:tr>
      <w:tr w:rsidR="00C74531" w:rsidRPr="00E259FA" w14:paraId="0AF3F033" w14:textId="77777777" w:rsidTr="0047351B">
        <w:trPr>
          <w:gridAfter w:val="1"/>
          <w:wAfter w:w="16" w:type="dxa"/>
          <w:trHeight w:val="298"/>
        </w:trPr>
        <w:tc>
          <w:tcPr>
            <w:tcW w:w="416" w:type="dxa"/>
            <w:vMerge/>
            <w:tcBorders>
              <w:top w:val="nil"/>
              <w:left w:val="single" w:sz="8" w:space="0" w:color="auto"/>
              <w:bottom w:val="single" w:sz="8" w:space="0" w:color="000000"/>
              <w:right w:val="single" w:sz="8" w:space="0" w:color="auto"/>
            </w:tcBorders>
            <w:vAlign w:val="center"/>
            <w:hideMark/>
          </w:tcPr>
          <w:p w14:paraId="03FC2225"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tcBorders>
              <w:top w:val="nil"/>
              <w:left w:val="single" w:sz="8" w:space="0" w:color="auto"/>
              <w:bottom w:val="single" w:sz="8" w:space="0" w:color="000000"/>
              <w:right w:val="nil"/>
            </w:tcBorders>
            <w:vAlign w:val="center"/>
            <w:hideMark/>
          </w:tcPr>
          <w:p w14:paraId="7AB6A188" w14:textId="77777777" w:rsidR="00C74531" w:rsidRPr="00E259FA" w:rsidRDefault="00C74531" w:rsidP="00526E62">
            <w:pPr>
              <w:spacing w:before="20" w:after="20"/>
              <w:rPr>
                <w:rFonts w:asciiTheme="minorBidi" w:hAnsiTheme="minorBidi" w:cstheme="minorBidi"/>
                <w:b/>
                <w:bCs/>
                <w:i/>
                <w:iCs/>
                <w:color w:val="000000"/>
                <w:sz w:val="18"/>
                <w:szCs w:val="18"/>
              </w:rPr>
            </w:pPr>
          </w:p>
        </w:tc>
        <w:tc>
          <w:tcPr>
            <w:tcW w:w="1123" w:type="dxa"/>
            <w:vMerge/>
            <w:tcBorders>
              <w:left w:val="single" w:sz="4" w:space="0" w:color="auto"/>
              <w:bottom w:val="single" w:sz="4" w:space="0" w:color="000000"/>
              <w:right w:val="dashed" w:sz="4" w:space="0" w:color="auto"/>
            </w:tcBorders>
            <w:vAlign w:val="center"/>
          </w:tcPr>
          <w:p w14:paraId="360EADE3" w14:textId="77777777" w:rsidR="00C74531" w:rsidRPr="00E259FA" w:rsidRDefault="00C74531" w:rsidP="00526E62">
            <w:pPr>
              <w:rPr>
                <w:rFonts w:asciiTheme="minorBidi" w:hAnsiTheme="minorBidi" w:cstheme="minorBidi"/>
                <w:i/>
                <w:iCs/>
                <w:color w:val="000000"/>
                <w:sz w:val="18"/>
                <w:szCs w:val="18"/>
              </w:rPr>
            </w:pPr>
          </w:p>
        </w:tc>
        <w:tc>
          <w:tcPr>
            <w:tcW w:w="1167" w:type="dxa"/>
            <w:vMerge/>
            <w:tcBorders>
              <w:top w:val="nil"/>
              <w:left w:val="dashed" w:sz="4" w:space="0" w:color="auto"/>
              <w:bottom w:val="dashed" w:sz="4" w:space="0" w:color="auto"/>
              <w:right w:val="dashed" w:sz="4" w:space="0" w:color="auto"/>
            </w:tcBorders>
            <w:vAlign w:val="center"/>
            <w:hideMark/>
          </w:tcPr>
          <w:p w14:paraId="6C31B760" w14:textId="77777777" w:rsidR="00C74531" w:rsidRPr="00E259FA" w:rsidRDefault="00C74531" w:rsidP="00526E62">
            <w:pPr>
              <w:rPr>
                <w:rFonts w:asciiTheme="minorBidi" w:hAnsiTheme="minorBidi" w:cstheme="minorBidi"/>
                <w:i/>
                <w:iCs/>
                <w:color w:val="000000"/>
                <w:sz w:val="18"/>
                <w:szCs w:val="18"/>
              </w:rPr>
            </w:pPr>
          </w:p>
        </w:tc>
        <w:tc>
          <w:tcPr>
            <w:tcW w:w="1244" w:type="dxa"/>
            <w:vMerge/>
            <w:tcBorders>
              <w:top w:val="nil"/>
              <w:left w:val="dashed" w:sz="4" w:space="0" w:color="auto"/>
              <w:bottom w:val="dashed" w:sz="4" w:space="0" w:color="auto"/>
              <w:right w:val="dashed" w:sz="4" w:space="0" w:color="auto"/>
            </w:tcBorders>
            <w:vAlign w:val="center"/>
            <w:hideMark/>
          </w:tcPr>
          <w:p w14:paraId="4A54DCE1" w14:textId="77777777" w:rsidR="00C74531" w:rsidRPr="00E259FA" w:rsidRDefault="00C74531" w:rsidP="00526E62">
            <w:pPr>
              <w:rPr>
                <w:rFonts w:asciiTheme="minorBidi" w:hAnsiTheme="minorBidi" w:cstheme="minorBidi"/>
                <w:i/>
                <w:iCs/>
                <w:color w:val="000000"/>
                <w:sz w:val="18"/>
                <w:szCs w:val="18"/>
              </w:rPr>
            </w:pPr>
          </w:p>
        </w:tc>
        <w:tc>
          <w:tcPr>
            <w:tcW w:w="423" w:type="dxa"/>
            <w:tcBorders>
              <w:top w:val="nil"/>
              <w:left w:val="nil"/>
              <w:bottom w:val="nil"/>
              <w:right w:val="nil"/>
            </w:tcBorders>
            <w:noWrap/>
            <w:vAlign w:val="bottom"/>
            <w:hideMark/>
          </w:tcPr>
          <w:p w14:paraId="34AA7915" w14:textId="77777777" w:rsidR="00C74531" w:rsidRPr="00E259FA" w:rsidRDefault="00C74531" w:rsidP="00526E62">
            <w:pPr>
              <w:jc w:val="center"/>
              <w:rPr>
                <w:rFonts w:ascii="Arial" w:hAnsi="Arial" w:cs="Arial"/>
                <w:i/>
                <w:iCs/>
                <w:color w:val="000000"/>
                <w:sz w:val="18"/>
                <w:szCs w:val="18"/>
              </w:rPr>
            </w:pPr>
          </w:p>
        </w:tc>
      </w:tr>
      <w:tr w:rsidR="00C74531" w:rsidRPr="00E259FA" w14:paraId="40C5996B" w14:textId="77777777" w:rsidTr="0047351B">
        <w:trPr>
          <w:gridAfter w:val="1"/>
          <w:wAfter w:w="16" w:type="dxa"/>
          <w:trHeight w:val="298"/>
        </w:trPr>
        <w:tc>
          <w:tcPr>
            <w:tcW w:w="416" w:type="dxa"/>
            <w:vMerge/>
            <w:tcBorders>
              <w:top w:val="nil"/>
              <w:left w:val="single" w:sz="8" w:space="0" w:color="auto"/>
              <w:bottom w:val="single" w:sz="8" w:space="0" w:color="000000"/>
              <w:right w:val="single" w:sz="8" w:space="0" w:color="auto"/>
            </w:tcBorders>
            <w:vAlign w:val="center"/>
            <w:hideMark/>
          </w:tcPr>
          <w:p w14:paraId="4B5298A3"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tcBorders>
              <w:top w:val="nil"/>
              <w:left w:val="single" w:sz="8" w:space="0" w:color="auto"/>
              <w:bottom w:val="single" w:sz="8" w:space="0" w:color="000000"/>
              <w:right w:val="nil"/>
            </w:tcBorders>
            <w:vAlign w:val="center"/>
            <w:hideMark/>
          </w:tcPr>
          <w:p w14:paraId="3AB68353" w14:textId="77777777" w:rsidR="00C74531" w:rsidRPr="00E259FA" w:rsidRDefault="00C74531" w:rsidP="00526E62">
            <w:pPr>
              <w:spacing w:before="20" w:after="20"/>
              <w:rPr>
                <w:rFonts w:asciiTheme="minorBidi" w:hAnsiTheme="minorBidi" w:cstheme="minorBidi"/>
                <w:b/>
                <w:bCs/>
                <w:i/>
                <w:iCs/>
                <w:color w:val="000000"/>
                <w:sz w:val="18"/>
                <w:szCs w:val="18"/>
              </w:rPr>
            </w:pPr>
          </w:p>
        </w:tc>
        <w:tc>
          <w:tcPr>
            <w:tcW w:w="1123" w:type="dxa"/>
            <w:vMerge w:val="restart"/>
            <w:tcBorders>
              <w:top w:val="nil"/>
              <w:left w:val="single" w:sz="4" w:space="0" w:color="auto"/>
              <w:right w:val="dashed" w:sz="4" w:space="0" w:color="auto"/>
            </w:tcBorders>
            <w:shd w:val="clear" w:color="000000" w:fill="D0CECE"/>
            <w:vAlign w:val="center"/>
          </w:tcPr>
          <w:p w14:paraId="4A0B38A2"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(50% of line 3)</w:t>
            </w:r>
          </w:p>
        </w:tc>
        <w:tc>
          <w:tcPr>
            <w:tcW w:w="1167" w:type="dxa"/>
            <w:vMerge/>
            <w:tcBorders>
              <w:top w:val="nil"/>
              <w:left w:val="dashed" w:sz="4" w:space="0" w:color="auto"/>
              <w:bottom w:val="dashed" w:sz="4" w:space="0" w:color="auto"/>
              <w:right w:val="dashed" w:sz="4" w:space="0" w:color="auto"/>
            </w:tcBorders>
            <w:vAlign w:val="center"/>
            <w:hideMark/>
          </w:tcPr>
          <w:p w14:paraId="2B88826F" w14:textId="77777777" w:rsidR="00C74531" w:rsidRPr="00E259FA" w:rsidRDefault="00C74531" w:rsidP="00526E62">
            <w:pPr>
              <w:rPr>
                <w:rFonts w:asciiTheme="minorBidi" w:hAnsiTheme="minorBidi" w:cstheme="minorBidi"/>
                <w:i/>
                <w:iCs/>
                <w:color w:val="000000"/>
                <w:sz w:val="18"/>
                <w:szCs w:val="18"/>
              </w:rPr>
            </w:pPr>
          </w:p>
        </w:tc>
        <w:tc>
          <w:tcPr>
            <w:tcW w:w="1244" w:type="dxa"/>
            <w:vMerge/>
            <w:tcBorders>
              <w:top w:val="nil"/>
              <w:left w:val="dashed" w:sz="4" w:space="0" w:color="auto"/>
              <w:bottom w:val="dashed" w:sz="4" w:space="0" w:color="auto"/>
              <w:right w:val="dashed" w:sz="4" w:space="0" w:color="auto"/>
            </w:tcBorders>
            <w:vAlign w:val="center"/>
            <w:hideMark/>
          </w:tcPr>
          <w:p w14:paraId="2F009F29" w14:textId="77777777" w:rsidR="00C74531" w:rsidRPr="00E259FA" w:rsidRDefault="00C74531" w:rsidP="00526E62">
            <w:pPr>
              <w:rPr>
                <w:rFonts w:asciiTheme="minorBidi" w:hAnsiTheme="minorBidi" w:cstheme="minorBidi"/>
                <w:i/>
                <w:iCs/>
                <w:color w:val="000000"/>
                <w:sz w:val="18"/>
                <w:szCs w:val="18"/>
              </w:rPr>
            </w:pPr>
          </w:p>
        </w:tc>
        <w:tc>
          <w:tcPr>
            <w:tcW w:w="423" w:type="dxa"/>
            <w:vAlign w:val="center"/>
            <w:hideMark/>
          </w:tcPr>
          <w:p w14:paraId="45E6C2A2" w14:textId="77777777" w:rsidR="00C74531" w:rsidRPr="00E259FA" w:rsidRDefault="00C74531" w:rsidP="00526E62">
            <w:pPr>
              <w:rPr>
                <w:sz w:val="20"/>
                <w:szCs w:val="20"/>
              </w:rPr>
            </w:pPr>
          </w:p>
        </w:tc>
      </w:tr>
      <w:tr w:rsidR="00C74531" w:rsidRPr="00E259FA" w14:paraId="7D34232D" w14:textId="77777777" w:rsidTr="0047351B">
        <w:trPr>
          <w:gridAfter w:val="1"/>
          <w:wAfter w:w="16" w:type="dxa"/>
          <w:trHeight w:val="46"/>
        </w:trPr>
        <w:tc>
          <w:tcPr>
            <w:tcW w:w="416" w:type="dxa"/>
            <w:vMerge/>
            <w:tcBorders>
              <w:top w:val="nil"/>
              <w:left w:val="single" w:sz="8" w:space="0" w:color="auto"/>
              <w:bottom w:val="single" w:sz="8" w:space="0" w:color="000000"/>
              <w:right w:val="single" w:sz="8" w:space="0" w:color="auto"/>
            </w:tcBorders>
            <w:vAlign w:val="center"/>
            <w:hideMark/>
          </w:tcPr>
          <w:p w14:paraId="779B6C2B" w14:textId="77777777" w:rsidR="00C74531" w:rsidRPr="00E259FA" w:rsidRDefault="00C74531" w:rsidP="00526E62">
            <w:pPr>
              <w:spacing w:before="60"/>
              <w:rPr>
                <w:rFonts w:asciiTheme="minorBidi" w:hAnsiTheme="minorBidi" w:cstheme="minorBidi"/>
                <w:i/>
                <w:iCs/>
                <w:color w:val="000000"/>
                <w:sz w:val="18"/>
                <w:szCs w:val="18"/>
              </w:rPr>
            </w:pPr>
          </w:p>
        </w:tc>
        <w:tc>
          <w:tcPr>
            <w:tcW w:w="5681" w:type="dxa"/>
            <w:vMerge/>
            <w:tcBorders>
              <w:top w:val="nil"/>
              <w:left w:val="single" w:sz="8" w:space="0" w:color="auto"/>
              <w:bottom w:val="single" w:sz="8" w:space="0" w:color="000000"/>
              <w:right w:val="nil"/>
            </w:tcBorders>
            <w:vAlign w:val="center"/>
            <w:hideMark/>
          </w:tcPr>
          <w:p w14:paraId="2091A6B5" w14:textId="77777777" w:rsidR="00C74531" w:rsidRPr="00E259FA" w:rsidRDefault="00C74531" w:rsidP="00526E62">
            <w:pPr>
              <w:spacing w:before="20" w:after="20"/>
              <w:rPr>
                <w:rFonts w:asciiTheme="minorBidi" w:hAnsiTheme="minorBidi" w:cstheme="minorBidi"/>
                <w:b/>
                <w:bCs/>
                <w:i/>
                <w:iCs/>
                <w:color w:val="000000"/>
                <w:sz w:val="18"/>
                <w:szCs w:val="18"/>
              </w:rPr>
            </w:pPr>
          </w:p>
        </w:tc>
        <w:tc>
          <w:tcPr>
            <w:tcW w:w="1123" w:type="dxa"/>
            <w:vMerge/>
            <w:tcBorders>
              <w:left w:val="single" w:sz="4" w:space="0" w:color="auto"/>
              <w:bottom w:val="single" w:sz="4" w:space="0" w:color="000000"/>
              <w:right w:val="dashed" w:sz="4" w:space="0" w:color="auto"/>
            </w:tcBorders>
            <w:vAlign w:val="center"/>
          </w:tcPr>
          <w:p w14:paraId="58D682ED" w14:textId="77777777" w:rsidR="00C74531" w:rsidRPr="00E259FA" w:rsidRDefault="00C74531" w:rsidP="00526E62">
            <w:pPr>
              <w:rPr>
                <w:rFonts w:asciiTheme="minorBidi" w:hAnsiTheme="minorBidi" w:cstheme="minorBidi"/>
                <w:i/>
                <w:iCs/>
                <w:color w:val="000000"/>
                <w:sz w:val="18"/>
                <w:szCs w:val="18"/>
              </w:rPr>
            </w:pPr>
          </w:p>
        </w:tc>
        <w:tc>
          <w:tcPr>
            <w:tcW w:w="1167" w:type="dxa"/>
            <w:vMerge/>
            <w:tcBorders>
              <w:top w:val="nil"/>
              <w:left w:val="dashed" w:sz="4" w:space="0" w:color="auto"/>
              <w:bottom w:val="dashed" w:sz="4" w:space="0" w:color="auto"/>
              <w:right w:val="dashed" w:sz="4" w:space="0" w:color="auto"/>
            </w:tcBorders>
            <w:vAlign w:val="center"/>
            <w:hideMark/>
          </w:tcPr>
          <w:p w14:paraId="3869B576" w14:textId="77777777" w:rsidR="00C74531" w:rsidRPr="00E259FA" w:rsidRDefault="00C74531" w:rsidP="00526E62">
            <w:pPr>
              <w:rPr>
                <w:rFonts w:asciiTheme="minorBidi" w:hAnsiTheme="minorBidi" w:cstheme="minorBidi"/>
                <w:i/>
                <w:iCs/>
                <w:color w:val="000000"/>
                <w:sz w:val="18"/>
                <w:szCs w:val="18"/>
              </w:rPr>
            </w:pPr>
          </w:p>
        </w:tc>
        <w:tc>
          <w:tcPr>
            <w:tcW w:w="1244" w:type="dxa"/>
            <w:vMerge/>
            <w:tcBorders>
              <w:top w:val="nil"/>
              <w:left w:val="dashed" w:sz="4" w:space="0" w:color="auto"/>
              <w:bottom w:val="dashed" w:sz="4" w:space="0" w:color="auto"/>
              <w:right w:val="dashed" w:sz="4" w:space="0" w:color="auto"/>
            </w:tcBorders>
            <w:vAlign w:val="center"/>
            <w:hideMark/>
          </w:tcPr>
          <w:p w14:paraId="4A6330E8" w14:textId="77777777" w:rsidR="00C74531" w:rsidRPr="00E259FA" w:rsidRDefault="00C74531" w:rsidP="00526E62">
            <w:pPr>
              <w:rPr>
                <w:rFonts w:asciiTheme="minorBidi" w:hAnsiTheme="minorBidi" w:cstheme="minorBidi"/>
                <w:i/>
                <w:iCs/>
                <w:color w:val="000000"/>
                <w:sz w:val="18"/>
                <w:szCs w:val="18"/>
              </w:rPr>
            </w:pPr>
          </w:p>
        </w:tc>
        <w:tc>
          <w:tcPr>
            <w:tcW w:w="423" w:type="dxa"/>
            <w:tcBorders>
              <w:top w:val="nil"/>
              <w:left w:val="nil"/>
              <w:bottom w:val="nil"/>
              <w:right w:val="nil"/>
            </w:tcBorders>
            <w:noWrap/>
            <w:vAlign w:val="bottom"/>
            <w:hideMark/>
          </w:tcPr>
          <w:p w14:paraId="5A58013B" w14:textId="77777777" w:rsidR="00C74531" w:rsidRPr="00E259FA" w:rsidRDefault="00C74531" w:rsidP="00526E62">
            <w:pPr>
              <w:jc w:val="center"/>
              <w:rPr>
                <w:rFonts w:ascii="Arial" w:hAnsi="Arial" w:cs="Arial"/>
                <w:i/>
                <w:iCs/>
                <w:color w:val="000000"/>
                <w:sz w:val="16"/>
                <w:szCs w:val="16"/>
              </w:rPr>
            </w:pPr>
          </w:p>
        </w:tc>
      </w:tr>
      <w:tr w:rsidR="00C74531" w:rsidRPr="00E259FA" w14:paraId="6D08D3FA" w14:textId="77777777" w:rsidTr="0047351B">
        <w:trPr>
          <w:gridAfter w:val="1"/>
          <w:wAfter w:w="16" w:type="dxa"/>
          <w:trHeight w:val="969"/>
        </w:trPr>
        <w:tc>
          <w:tcPr>
            <w:tcW w:w="416" w:type="dxa"/>
            <w:tcBorders>
              <w:top w:val="nil"/>
              <w:left w:val="single" w:sz="8" w:space="0" w:color="auto"/>
              <w:bottom w:val="single" w:sz="8" w:space="0" w:color="auto"/>
              <w:right w:val="single" w:sz="8" w:space="0" w:color="auto"/>
            </w:tcBorders>
            <w:noWrap/>
            <w:vAlign w:val="center"/>
            <w:hideMark/>
          </w:tcPr>
          <w:p w14:paraId="54366105"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4.</w:t>
            </w:r>
          </w:p>
        </w:tc>
        <w:tc>
          <w:tcPr>
            <w:tcW w:w="5681" w:type="dxa"/>
            <w:tcBorders>
              <w:top w:val="nil"/>
              <w:left w:val="nil"/>
              <w:bottom w:val="single" w:sz="8" w:space="0" w:color="auto"/>
              <w:right w:val="nil"/>
            </w:tcBorders>
            <w:vAlign w:val="center"/>
            <w:hideMark/>
          </w:tcPr>
          <w:p w14:paraId="4534D768"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Participation in the sessions of the Committee, its Bureau and subsidiary bodies of experts in intangible cultural heritage representing developing States that are Members of the Committee</w:t>
            </w:r>
          </w:p>
        </w:tc>
        <w:tc>
          <w:tcPr>
            <w:tcW w:w="1123" w:type="dxa"/>
            <w:tcBorders>
              <w:top w:val="nil"/>
              <w:left w:val="single" w:sz="4" w:space="0" w:color="auto"/>
              <w:bottom w:val="single" w:sz="4" w:space="0" w:color="auto"/>
              <w:right w:val="dashed" w:sz="4" w:space="0" w:color="auto"/>
            </w:tcBorders>
            <w:vAlign w:val="center"/>
          </w:tcPr>
          <w:p w14:paraId="6CE341AF"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2,5%</w:t>
            </w:r>
          </w:p>
        </w:tc>
        <w:tc>
          <w:tcPr>
            <w:tcW w:w="1167" w:type="dxa"/>
            <w:tcBorders>
              <w:top w:val="nil"/>
              <w:left w:val="nil"/>
              <w:bottom w:val="dashed" w:sz="4" w:space="0" w:color="auto"/>
              <w:right w:val="dashed" w:sz="4" w:space="0" w:color="auto"/>
            </w:tcBorders>
            <w:vAlign w:val="center"/>
            <w:hideMark/>
          </w:tcPr>
          <w:p w14:paraId="655BCEE8"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$196,915</w:t>
            </w:r>
          </w:p>
        </w:tc>
        <w:tc>
          <w:tcPr>
            <w:tcW w:w="1244" w:type="dxa"/>
            <w:tcBorders>
              <w:top w:val="nil"/>
              <w:left w:val="nil"/>
              <w:bottom w:val="dashed" w:sz="4" w:space="0" w:color="auto"/>
              <w:right w:val="dashed" w:sz="4" w:space="0" w:color="auto"/>
            </w:tcBorders>
            <w:vAlign w:val="center"/>
            <w:hideMark/>
          </w:tcPr>
          <w:p w14:paraId="0E1D8FB2"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$49,229</w:t>
            </w:r>
          </w:p>
        </w:tc>
        <w:tc>
          <w:tcPr>
            <w:tcW w:w="423" w:type="dxa"/>
            <w:vAlign w:val="center"/>
            <w:hideMark/>
          </w:tcPr>
          <w:p w14:paraId="1F1E6B58" w14:textId="77777777" w:rsidR="00C74531" w:rsidRPr="00E259FA" w:rsidRDefault="00C74531" w:rsidP="00526E62">
            <w:pPr>
              <w:rPr>
                <w:sz w:val="20"/>
                <w:szCs w:val="20"/>
              </w:rPr>
            </w:pPr>
          </w:p>
        </w:tc>
      </w:tr>
      <w:tr w:rsidR="00C74531" w:rsidRPr="00E259FA" w14:paraId="73F3E2F3" w14:textId="77777777" w:rsidTr="0047351B">
        <w:trPr>
          <w:gridAfter w:val="1"/>
          <w:wAfter w:w="16" w:type="dxa"/>
          <w:trHeight w:val="969"/>
        </w:trPr>
        <w:tc>
          <w:tcPr>
            <w:tcW w:w="416" w:type="dxa"/>
            <w:tcBorders>
              <w:top w:val="nil"/>
              <w:left w:val="single" w:sz="8" w:space="0" w:color="auto"/>
              <w:bottom w:val="single" w:sz="8" w:space="0" w:color="auto"/>
              <w:right w:val="single" w:sz="8" w:space="0" w:color="auto"/>
            </w:tcBorders>
            <w:noWrap/>
            <w:vAlign w:val="center"/>
            <w:hideMark/>
          </w:tcPr>
          <w:p w14:paraId="06B902D4"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5.</w:t>
            </w:r>
          </w:p>
        </w:tc>
        <w:tc>
          <w:tcPr>
            <w:tcW w:w="5681" w:type="dxa"/>
            <w:tcBorders>
              <w:top w:val="nil"/>
              <w:left w:val="nil"/>
              <w:bottom w:val="single" w:sz="8" w:space="0" w:color="auto"/>
              <w:right w:val="nil"/>
            </w:tcBorders>
            <w:vAlign w:val="center"/>
            <w:hideMark/>
          </w:tcPr>
          <w:p w14:paraId="02AE2CCD"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Participation in the sessions of the Committee and its consultative bodies of experts in intangible cultural heritage representing developing States that are Parties to the Convention but not Members of the Committee</w:t>
            </w:r>
          </w:p>
        </w:tc>
        <w:tc>
          <w:tcPr>
            <w:tcW w:w="1123" w:type="dxa"/>
            <w:tcBorders>
              <w:top w:val="nil"/>
              <w:left w:val="single" w:sz="4" w:space="0" w:color="auto"/>
              <w:bottom w:val="single" w:sz="4" w:space="0" w:color="auto"/>
              <w:right w:val="dashed" w:sz="4" w:space="0" w:color="auto"/>
            </w:tcBorders>
            <w:vAlign w:val="center"/>
          </w:tcPr>
          <w:p w14:paraId="70FBC81D"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2,7%</w:t>
            </w:r>
          </w:p>
        </w:tc>
        <w:tc>
          <w:tcPr>
            <w:tcW w:w="1167" w:type="dxa"/>
            <w:tcBorders>
              <w:top w:val="nil"/>
              <w:left w:val="nil"/>
              <w:bottom w:val="dashed" w:sz="4" w:space="0" w:color="auto"/>
              <w:right w:val="dashed" w:sz="4" w:space="0" w:color="auto"/>
            </w:tcBorders>
            <w:vAlign w:val="center"/>
            <w:hideMark/>
          </w:tcPr>
          <w:p w14:paraId="0638EFA8"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$212,668</w:t>
            </w:r>
          </w:p>
        </w:tc>
        <w:tc>
          <w:tcPr>
            <w:tcW w:w="1244" w:type="dxa"/>
            <w:tcBorders>
              <w:top w:val="nil"/>
              <w:left w:val="nil"/>
              <w:bottom w:val="dashed" w:sz="4" w:space="0" w:color="auto"/>
              <w:right w:val="dashed" w:sz="4" w:space="0" w:color="auto"/>
            </w:tcBorders>
            <w:vAlign w:val="center"/>
            <w:hideMark/>
          </w:tcPr>
          <w:p w14:paraId="514EC1E4"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$53,167</w:t>
            </w:r>
          </w:p>
        </w:tc>
        <w:tc>
          <w:tcPr>
            <w:tcW w:w="423" w:type="dxa"/>
            <w:vAlign w:val="center"/>
            <w:hideMark/>
          </w:tcPr>
          <w:p w14:paraId="55713B11" w14:textId="77777777" w:rsidR="00C74531" w:rsidRPr="00E259FA" w:rsidRDefault="00C74531" w:rsidP="00526E62">
            <w:pPr>
              <w:rPr>
                <w:sz w:val="20"/>
                <w:szCs w:val="20"/>
              </w:rPr>
            </w:pPr>
          </w:p>
        </w:tc>
      </w:tr>
      <w:tr w:rsidR="00C74531" w:rsidRPr="00E259FA" w14:paraId="1C68553F" w14:textId="77777777" w:rsidTr="0047351B">
        <w:trPr>
          <w:gridAfter w:val="1"/>
          <w:wAfter w:w="16" w:type="dxa"/>
          <w:trHeight w:val="1684"/>
        </w:trPr>
        <w:tc>
          <w:tcPr>
            <w:tcW w:w="416" w:type="dxa"/>
            <w:tcBorders>
              <w:top w:val="nil"/>
              <w:left w:val="single" w:sz="8" w:space="0" w:color="auto"/>
              <w:bottom w:val="single" w:sz="8" w:space="0" w:color="auto"/>
              <w:right w:val="single" w:sz="8" w:space="0" w:color="auto"/>
            </w:tcBorders>
            <w:noWrap/>
            <w:vAlign w:val="center"/>
            <w:hideMark/>
          </w:tcPr>
          <w:p w14:paraId="6E567411"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6.</w:t>
            </w:r>
          </w:p>
        </w:tc>
        <w:tc>
          <w:tcPr>
            <w:tcW w:w="5681" w:type="dxa"/>
            <w:tcBorders>
              <w:top w:val="nil"/>
              <w:left w:val="nil"/>
              <w:bottom w:val="single" w:sz="8" w:space="0" w:color="auto"/>
              <w:right w:val="nil"/>
            </w:tcBorders>
            <w:vAlign w:val="center"/>
            <w:hideMark/>
          </w:tcPr>
          <w:p w14:paraId="05AFB0AF"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Participation in the sessions of the Committee, its Bureau and consultative bodies of public or private bodies, private persons, notably members of communities and groups, that have been invited by the Committee to advise it on specific matters, as well as experts in intangible cultural heritage representing accredited NGOs from developing countries</w:t>
            </w:r>
          </w:p>
        </w:tc>
        <w:tc>
          <w:tcPr>
            <w:tcW w:w="1123" w:type="dxa"/>
            <w:tcBorders>
              <w:top w:val="nil"/>
              <w:left w:val="single" w:sz="4" w:space="0" w:color="auto"/>
              <w:bottom w:val="single" w:sz="4" w:space="0" w:color="auto"/>
              <w:right w:val="dashed" w:sz="4" w:space="0" w:color="auto"/>
            </w:tcBorders>
            <w:vAlign w:val="center"/>
          </w:tcPr>
          <w:p w14:paraId="38792D78"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2,7%</w:t>
            </w:r>
          </w:p>
        </w:tc>
        <w:tc>
          <w:tcPr>
            <w:tcW w:w="1167" w:type="dxa"/>
            <w:tcBorders>
              <w:top w:val="nil"/>
              <w:left w:val="nil"/>
              <w:bottom w:val="dashed" w:sz="4" w:space="0" w:color="auto"/>
              <w:right w:val="dashed" w:sz="4" w:space="0" w:color="auto"/>
            </w:tcBorders>
            <w:vAlign w:val="center"/>
            <w:hideMark/>
          </w:tcPr>
          <w:p w14:paraId="1BD22033"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$212,668</w:t>
            </w:r>
          </w:p>
        </w:tc>
        <w:tc>
          <w:tcPr>
            <w:tcW w:w="1244" w:type="dxa"/>
            <w:tcBorders>
              <w:top w:val="nil"/>
              <w:left w:val="nil"/>
              <w:bottom w:val="dashed" w:sz="4" w:space="0" w:color="auto"/>
              <w:right w:val="dashed" w:sz="4" w:space="0" w:color="auto"/>
            </w:tcBorders>
            <w:vAlign w:val="center"/>
            <w:hideMark/>
          </w:tcPr>
          <w:p w14:paraId="672A0291"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$53,167</w:t>
            </w:r>
          </w:p>
        </w:tc>
        <w:tc>
          <w:tcPr>
            <w:tcW w:w="423" w:type="dxa"/>
            <w:vAlign w:val="center"/>
            <w:hideMark/>
          </w:tcPr>
          <w:p w14:paraId="51B15DCD" w14:textId="77777777" w:rsidR="00C74531" w:rsidRPr="00E259FA" w:rsidRDefault="00C74531" w:rsidP="00526E62">
            <w:pPr>
              <w:rPr>
                <w:sz w:val="20"/>
                <w:szCs w:val="20"/>
              </w:rPr>
            </w:pPr>
          </w:p>
        </w:tc>
      </w:tr>
      <w:tr w:rsidR="00C74531" w:rsidRPr="00E259FA" w14:paraId="18C3D37C" w14:textId="77777777" w:rsidTr="0047351B">
        <w:trPr>
          <w:gridAfter w:val="1"/>
          <w:wAfter w:w="16" w:type="dxa"/>
          <w:trHeight w:val="492"/>
        </w:trPr>
        <w:tc>
          <w:tcPr>
            <w:tcW w:w="416" w:type="dxa"/>
            <w:tcBorders>
              <w:top w:val="nil"/>
              <w:left w:val="single" w:sz="8" w:space="0" w:color="auto"/>
              <w:bottom w:val="single" w:sz="8" w:space="0" w:color="auto"/>
              <w:right w:val="single" w:sz="8" w:space="0" w:color="auto"/>
            </w:tcBorders>
            <w:noWrap/>
            <w:vAlign w:val="center"/>
            <w:hideMark/>
          </w:tcPr>
          <w:p w14:paraId="699B0835" w14:textId="77777777" w:rsidR="00C74531" w:rsidRPr="00E259FA" w:rsidRDefault="00C74531" w:rsidP="00526E62">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7.</w:t>
            </w:r>
          </w:p>
        </w:tc>
        <w:tc>
          <w:tcPr>
            <w:tcW w:w="5681" w:type="dxa"/>
            <w:tcBorders>
              <w:top w:val="nil"/>
              <w:left w:val="nil"/>
              <w:bottom w:val="single" w:sz="8" w:space="0" w:color="auto"/>
              <w:right w:val="nil"/>
            </w:tcBorders>
            <w:vAlign w:val="center"/>
            <w:hideMark/>
          </w:tcPr>
          <w:p w14:paraId="7B96CD8A" w14:textId="77777777" w:rsidR="00C74531" w:rsidRPr="00C72113" w:rsidRDefault="00C74531" w:rsidP="00526E62">
            <w:pPr>
              <w:spacing w:before="20" w:after="20"/>
              <w:rPr>
                <w:rFonts w:asciiTheme="minorBidi" w:hAnsiTheme="minorBidi" w:cstheme="minorBidi"/>
                <w:color w:val="000000"/>
                <w:sz w:val="18"/>
                <w:szCs w:val="18"/>
                <w:lang w:val="en-US"/>
              </w:rPr>
            </w:pPr>
            <w:r w:rsidRPr="00C72113">
              <w:rPr>
                <w:rFonts w:asciiTheme="minorBidi" w:hAnsiTheme="minorBidi" w:cstheme="minorBidi"/>
                <w:color w:val="000000"/>
                <w:sz w:val="18"/>
                <w:szCs w:val="18"/>
                <w:lang w:val="en-US"/>
              </w:rPr>
              <w:t>The costs of advisory services to be provided at the request of the Committee</w:t>
            </w:r>
          </w:p>
        </w:tc>
        <w:tc>
          <w:tcPr>
            <w:tcW w:w="1123" w:type="dxa"/>
            <w:tcBorders>
              <w:top w:val="nil"/>
              <w:left w:val="single" w:sz="4" w:space="0" w:color="auto"/>
              <w:bottom w:val="single" w:sz="4" w:space="0" w:color="auto"/>
              <w:right w:val="dashed" w:sz="4" w:space="0" w:color="auto"/>
            </w:tcBorders>
            <w:vAlign w:val="center"/>
          </w:tcPr>
          <w:p w14:paraId="475FE632" w14:textId="77777777" w:rsidR="00C74531" w:rsidRPr="00E259FA" w:rsidRDefault="00C74531" w:rsidP="00526E62">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7,0%</w:t>
            </w:r>
          </w:p>
        </w:tc>
        <w:tc>
          <w:tcPr>
            <w:tcW w:w="1167" w:type="dxa"/>
            <w:tcBorders>
              <w:top w:val="nil"/>
              <w:left w:val="nil"/>
              <w:bottom w:val="dashed" w:sz="4" w:space="0" w:color="auto"/>
              <w:right w:val="dashed" w:sz="4" w:space="0" w:color="auto"/>
            </w:tcBorders>
            <w:vAlign w:val="center"/>
            <w:hideMark/>
          </w:tcPr>
          <w:p w14:paraId="450EF284"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$551,361</w:t>
            </w:r>
          </w:p>
        </w:tc>
        <w:tc>
          <w:tcPr>
            <w:tcW w:w="1244" w:type="dxa"/>
            <w:tcBorders>
              <w:top w:val="nil"/>
              <w:left w:val="nil"/>
              <w:bottom w:val="dashed" w:sz="4" w:space="0" w:color="auto"/>
              <w:right w:val="dashed" w:sz="4" w:space="0" w:color="auto"/>
            </w:tcBorders>
            <w:vAlign w:val="center"/>
            <w:hideMark/>
          </w:tcPr>
          <w:p w14:paraId="697A906F" w14:textId="77777777" w:rsidR="00C74531" w:rsidRPr="00E259FA" w:rsidRDefault="00C74531" w:rsidP="00526E62">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$137,840</w:t>
            </w:r>
          </w:p>
        </w:tc>
        <w:tc>
          <w:tcPr>
            <w:tcW w:w="423" w:type="dxa"/>
            <w:vAlign w:val="center"/>
            <w:hideMark/>
          </w:tcPr>
          <w:p w14:paraId="1E03F467" w14:textId="77777777" w:rsidR="00C74531" w:rsidRPr="00E259FA" w:rsidRDefault="00C74531" w:rsidP="00526E62">
            <w:pPr>
              <w:rPr>
                <w:sz w:val="20"/>
                <w:szCs w:val="20"/>
              </w:rPr>
            </w:pPr>
          </w:p>
        </w:tc>
      </w:tr>
      <w:tr w:rsidR="00C74531" w:rsidRPr="00E259FA" w14:paraId="0E8FE07B" w14:textId="77777777" w:rsidTr="0047351B">
        <w:trPr>
          <w:gridAfter w:val="1"/>
          <w:wAfter w:w="16" w:type="dxa"/>
          <w:trHeight w:val="298"/>
        </w:trPr>
        <w:tc>
          <w:tcPr>
            <w:tcW w:w="416" w:type="dxa"/>
            <w:tcBorders>
              <w:top w:val="nil"/>
              <w:left w:val="single" w:sz="8" w:space="0" w:color="auto"/>
              <w:bottom w:val="single" w:sz="4" w:space="0" w:color="auto"/>
              <w:right w:val="single" w:sz="8" w:space="0" w:color="auto"/>
            </w:tcBorders>
            <w:noWrap/>
            <w:vAlign w:val="center"/>
            <w:hideMark/>
          </w:tcPr>
          <w:p w14:paraId="2B94FB23" w14:textId="77777777" w:rsidR="00C74531" w:rsidRPr="00E259FA" w:rsidRDefault="00C74531" w:rsidP="00526E62">
            <w:pPr>
              <w:ind w:firstLineChars="100" w:firstLine="181"/>
              <w:rPr>
                <w:rFonts w:asciiTheme="minorBidi" w:hAnsiTheme="minorBidi" w:cstheme="minorBidi"/>
                <w:b/>
                <w:bCs/>
                <w:color w:val="000000"/>
                <w:sz w:val="18"/>
                <w:szCs w:val="18"/>
              </w:rPr>
            </w:pPr>
            <w:r w:rsidRPr="00E259FA">
              <w:rPr>
                <w:rFonts w:asciiTheme="minorBidi" w:hAnsiTheme="minorBidi" w:cstheme="minorBidi"/>
                <w:b/>
                <w:bCs/>
                <w:color w:val="000000"/>
                <w:sz w:val="18"/>
                <w:szCs w:val="18"/>
              </w:rPr>
              <w:t> </w:t>
            </w:r>
          </w:p>
        </w:tc>
        <w:tc>
          <w:tcPr>
            <w:tcW w:w="5681" w:type="dxa"/>
            <w:tcBorders>
              <w:top w:val="nil"/>
              <w:left w:val="nil"/>
              <w:bottom w:val="single" w:sz="4" w:space="0" w:color="auto"/>
              <w:right w:val="nil"/>
            </w:tcBorders>
            <w:vAlign w:val="center"/>
            <w:hideMark/>
          </w:tcPr>
          <w:p w14:paraId="0D73454F" w14:textId="77777777" w:rsidR="00C74531" w:rsidRPr="00E259FA" w:rsidRDefault="00C74531" w:rsidP="00526E62">
            <w:pPr>
              <w:jc w:val="both"/>
              <w:rPr>
                <w:rFonts w:asciiTheme="minorBidi" w:hAnsiTheme="minorBidi" w:cstheme="minorBidi"/>
                <w:b/>
                <w:bCs/>
                <w:color w:val="000000"/>
                <w:sz w:val="18"/>
                <w:szCs w:val="18"/>
              </w:rPr>
            </w:pPr>
            <w:r w:rsidRPr="00E259FA">
              <w:rPr>
                <w:rFonts w:asciiTheme="minorBidi" w:hAnsiTheme="minorBidi" w:cstheme="minorBidi"/>
                <w:b/>
                <w:bCs/>
                <w:color w:val="000000"/>
                <w:sz w:val="18"/>
                <w:szCs w:val="18"/>
              </w:rPr>
              <w:t>TOTAL</w:t>
            </w:r>
          </w:p>
        </w:tc>
        <w:tc>
          <w:tcPr>
            <w:tcW w:w="1123" w:type="dxa"/>
            <w:tcBorders>
              <w:top w:val="nil"/>
              <w:left w:val="single" w:sz="4" w:space="0" w:color="auto"/>
              <w:bottom w:val="single" w:sz="4" w:space="0" w:color="auto"/>
              <w:right w:val="dashed" w:sz="4" w:space="0" w:color="auto"/>
            </w:tcBorders>
            <w:vAlign w:val="center"/>
          </w:tcPr>
          <w:p w14:paraId="3DDD28A6" w14:textId="77777777" w:rsidR="00C74531" w:rsidRPr="00E259FA" w:rsidRDefault="00C74531" w:rsidP="00526E62">
            <w:pPr>
              <w:jc w:val="center"/>
              <w:rPr>
                <w:rFonts w:asciiTheme="minorBidi" w:hAnsiTheme="minorBidi" w:cstheme="minorBidi"/>
                <w:b/>
                <w:bCs/>
                <w:color w:val="000000"/>
                <w:sz w:val="18"/>
                <w:szCs w:val="18"/>
              </w:rPr>
            </w:pPr>
            <w:r w:rsidRPr="00E259FA">
              <w:rPr>
                <w:rFonts w:asciiTheme="minorBidi" w:hAnsiTheme="minorBidi" w:cstheme="minorBidi"/>
                <w:b/>
                <w:bCs/>
                <w:color w:val="000000"/>
                <w:sz w:val="18"/>
                <w:szCs w:val="18"/>
              </w:rPr>
              <w:t>100,00%</w:t>
            </w:r>
          </w:p>
        </w:tc>
        <w:tc>
          <w:tcPr>
            <w:tcW w:w="1167" w:type="dxa"/>
            <w:tcBorders>
              <w:top w:val="nil"/>
              <w:left w:val="nil"/>
              <w:bottom w:val="dashed" w:sz="4" w:space="0" w:color="auto"/>
              <w:right w:val="dashed" w:sz="4" w:space="0" w:color="auto"/>
            </w:tcBorders>
            <w:vAlign w:val="center"/>
            <w:hideMark/>
          </w:tcPr>
          <w:p w14:paraId="686D2B4A" w14:textId="77777777" w:rsidR="00C74531" w:rsidRPr="00E259FA" w:rsidRDefault="00C74531" w:rsidP="00526E62">
            <w:pPr>
              <w:jc w:val="center"/>
              <w:rPr>
                <w:rFonts w:asciiTheme="minorBidi" w:hAnsiTheme="minorBidi" w:cstheme="minorBidi"/>
                <w:b/>
                <w:bCs/>
                <w:i/>
                <w:iCs/>
                <w:color w:val="000000"/>
                <w:sz w:val="18"/>
                <w:szCs w:val="18"/>
              </w:rPr>
            </w:pPr>
            <w:r w:rsidRPr="00E259FA">
              <w:rPr>
                <w:rFonts w:asciiTheme="minorBidi" w:hAnsiTheme="minorBidi" w:cstheme="minorBidi"/>
                <w:b/>
                <w:bCs/>
                <w:i/>
                <w:iCs/>
                <w:color w:val="000000"/>
                <w:sz w:val="18"/>
                <w:szCs w:val="18"/>
              </w:rPr>
              <w:t>$7,876,590</w:t>
            </w:r>
          </w:p>
        </w:tc>
        <w:tc>
          <w:tcPr>
            <w:tcW w:w="1244" w:type="dxa"/>
            <w:tcBorders>
              <w:top w:val="nil"/>
              <w:left w:val="nil"/>
              <w:bottom w:val="dashed" w:sz="4" w:space="0" w:color="auto"/>
              <w:right w:val="dashed" w:sz="4" w:space="0" w:color="auto"/>
            </w:tcBorders>
            <w:vAlign w:val="center"/>
            <w:hideMark/>
          </w:tcPr>
          <w:p w14:paraId="3F229E8F" w14:textId="77777777" w:rsidR="00C74531" w:rsidRPr="00E259FA" w:rsidRDefault="00C74531" w:rsidP="00526E62">
            <w:pPr>
              <w:jc w:val="center"/>
              <w:rPr>
                <w:rFonts w:asciiTheme="minorBidi" w:hAnsiTheme="minorBidi" w:cstheme="minorBidi"/>
                <w:b/>
                <w:bCs/>
                <w:i/>
                <w:iCs/>
                <w:color w:val="000000"/>
                <w:sz w:val="18"/>
                <w:szCs w:val="18"/>
              </w:rPr>
            </w:pPr>
            <w:r w:rsidRPr="00E259FA">
              <w:rPr>
                <w:rFonts w:asciiTheme="minorBidi" w:hAnsiTheme="minorBidi" w:cstheme="minorBidi"/>
                <w:b/>
                <w:bCs/>
                <w:i/>
                <w:iCs/>
                <w:color w:val="000000"/>
                <w:sz w:val="18"/>
                <w:szCs w:val="18"/>
              </w:rPr>
              <w:t>$1,969,148</w:t>
            </w:r>
          </w:p>
        </w:tc>
        <w:tc>
          <w:tcPr>
            <w:tcW w:w="423" w:type="dxa"/>
            <w:vAlign w:val="center"/>
            <w:hideMark/>
          </w:tcPr>
          <w:p w14:paraId="2E29A446" w14:textId="77777777" w:rsidR="00C74531" w:rsidRPr="00E259FA" w:rsidRDefault="00C74531" w:rsidP="00526E62">
            <w:pPr>
              <w:rPr>
                <w:sz w:val="20"/>
                <w:szCs w:val="20"/>
              </w:rPr>
            </w:pPr>
          </w:p>
        </w:tc>
      </w:tr>
      <w:tr w:rsidR="00C72113" w:rsidRPr="00005FE6" w14:paraId="59BC9EC0" w14:textId="77777777" w:rsidTr="0047351B">
        <w:trPr>
          <w:trHeight w:val="565"/>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40A39A5D" w14:textId="77777777" w:rsidR="00C72113" w:rsidRPr="00C72113" w:rsidRDefault="00C72113" w:rsidP="00526E62">
            <w:pPr>
              <w:spacing w:before="120" w:after="120"/>
              <w:jc w:val="both"/>
              <w:rPr>
                <w:rFonts w:ascii="Arial" w:hAnsi="Arial" w:cs="Arial"/>
                <w:color w:val="000000"/>
                <w:sz w:val="18"/>
                <w:szCs w:val="18"/>
                <w:lang w:val="en-US"/>
              </w:rPr>
            </w:pPr>
            <w:r w:rsidRPr="00C72113">
              <w:rPr>
                <w:rFonts w:ascii="Arial" w:hAnsi="Arial" w:cs="Arial"/>
                <w:color w:val="000000"/>
                <w:sz w:val="18"/>
                <w:szCs w:val="18"/>
                <w:lang w:val="en-US"/>
              </w:rPr>
              <w:lastRenderedPageBreak/>
              <w:t>[1] Percentages are applied to the balance of the Fund as of 31 December 2025. This balance does not include the Reserve Fund (US$1 million).</w:t>
            </w:r>
          </w:p>
        </w:tc>
        <w:tc>
          <w:tcPr>
            <w:tcW w:w="439" w:type="dxa"/>
            <w:gridSpan w:val="2"/>
            <w:vAlign w:val="center"/>
            <w:hideMark/>
          </w:tcPr>
          <w:p w14:paraId="5F65A6CB" w14:textId="77777777" w:rsidR="00C72113" w:rsidRPr="00C72113" w:rsidRDefault="00C72113" w:rsidP="00526E62">
            <w:pPr>
              <w:rPr>
                <w:sz w:val="20"/>
                <w:szCs w:val="20"/>
                <w:lang w:val="en-US"/>
              </w:rPr>
            </w:pPr>
          </w:p>
        </w:tc>
      </w:tr>
      <w:tr w:rsidR="00C72113" w:rsidRPr="00005FE6" w14:paraId="0235FBBF" w14:textId="77777777" w:rsidTr="0047351B">
        <w:trPr>
          <w:trHeight w:val="404"/>
        </w:trPr>
        <w:tc>
          <w:tcPr>
            <w:tcW w:w="963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422FFE5" w14:textId="77777777" w:rsidR="00C72113" w:rsidRPr="00C72113" w:rsidRDefault="00C72113" w:rsidP="00526E62">
            <w:pPr>
              <w:spacing w:before="120" w:after="120"/>
              <w:jc w:val="both"/>
              <w:rPr>
                <w:rFonts w:ascii="Arial" w:hAnsi="Arial" w:cs="Arial"/>
                <w:color w:val="000000"/>
                <w:sz w:val="18"/>
                <w:szCs w:val="18"/>
                <w:lang w:val="en-US"/>
              </w:rPr>
            </w:pPr>
            <w:r w:rsidRPr="00C72113">
              <w:rPr>
                <w:rFonts w:ascii="Arial" w:hAnsi="Arial" w:cs="Arial"/>
                <w:color w:val="000000"/>
                <w:sz w:val="18"/>
                <w:szCs w:val="18"/>
                <w:lang w:val="en-US"/>
              </w:rPr>
              <w:t>Funds that have not been committed at the end of the period of this Plan are carried over to the next financial period and shall be allocated in accordance with the Plan approved by the General Assembly at that time.</w:t>
            </w:r>
          </w:p>
        </w:tc>
        <w:tc>
          <w:tcPr>
            <w:tcW w:w="439" w:type="dxa"/>
            <w:gridSpan w:val="2"/>
            <w:vAlign w:val="center"/>
            <w:hideMark/>
          </w:tcPr>
          <w:p w14:paraId="3DBFCD5B" w14:textId="77777777" w:rsidR="00C72113" w:rsidRPr="00C72113" w:rsidRDefault="00C72113" w:rsidP="00526E62">
            <w:pPr>
              <w:rPr>
                <w:sz w:val="20"/>
                <w:szCs w:val="20"/>
                <w:lang w:val="en-US"/>
              </w:rPr>
            </w:pPr>
          </w:p>
        </w:tc>
      </w:tr>
      <w:tr w:rsidR="00C72113" w:rsidRPr="00005FE6" w14:paraId="7F293FE8" w14:textId="77777777" w:rsidTr="0047351B">
        <w:trPr>
          <w:trHeight w:val="626"/>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6C078023" w14:textId="77777777" w:rsidR="00C72113" w:rsidRPr="00C72113" w:rsidRDefault="00C72113" w:rsidP="00526E62">
            <w:pPr>
              <w:spacing w:before="120" w:after="120"/>
              <w:jc w:val="both"/>
              <w:rPr>
                <w:rFonts w:ascii="Arial" w:hAnsi="Arial" w:cs="Arial"/>
                <w:color w:val="000000"/>
                <w:sz w:val="18"/>
                <w:szCs w:val="18"/>
                <w:lang w:val="en-US"/>
              </w:rPr>
            </w:pPr>
            <w:r w:rsidRPr="00C72113">
              <w:rPr>
                <w:rFonts w:ascii="Arial" w:hAnsi="Arial" w:cs="Arial"/>
                <w:color w:val="000000"/>
                <w:sz w:val="18"/>
                <w:szCs w:val="18"/>
                <w:lang w:val="en-US"/>
              </w:rPr>
              <w:t xml:space="preserve">For the period </w:t>
            </w:r>
            <w:r w:rsidRPr="00C72113">
              <w:rPr>
                <w:rFonts w:asciiTheme="minorBidi" w:hAnsiTheme="minorBidi" w:cstheme="minorBidi"/>
                <w:color w:val="000000"/>
                <w:sz w:val="18"/>
                <w:szCs w:val="18"/>
                <w:lang w:val="en-US"/>
              </w:rPr>
              <w:t xml:space="preserve">1 January 2028 to 30 June 2028, one-fourth of the amount established for the twenty-four months of the financial period 2026–2027 shall be allocated on a provisional basis, except for the Reserve Fund, whose amount was set by the Committee at US$1 million (Decision </w:t>
            </w:r>
            <w:hyperlink r:id="rId31" w:history="1">
              <w:r w:rsidRPr="00C72113">
                <w:rPr>
                  <w:rStyle w:val="Hyperlink"/>
                  <w:rFonts w:asciiTheme="minorBidi" w:hAnsiTheme="minorBidi" w:cstheme="minorBidi"/>
                  <w:sz w:val="18"/>
                  <w:szCs w:val="18"/>
                  <w:lang w:val="en-US"/>
                </w:rPr>
                <w:t>10.COM 8</w:t>
              </w:r>
            </w:hyperlink>
            <w:r w:rsidRPr="00C72113">
              <w:rPr>
                <w:rFonts w:asciiTheme="minorBidi" w:hAnsiTheme="minorBidi" w:cstheme="minorBidi"/>
                <w:sz w:val="18"/>
                <w:szCs w:val="18"/>
                <w:lang w:val="en-US"/>
              </w:rPr>
              <w:t>).</w:t>
            </w:r>
          </w:p>
        </w:tc>
        <w:tc>
          <w:tcPr>
            <w:tcW w:w="439" w:type="dxa"/>
            <w:gridSpan w:val="2"/>
            <w:vAlign w:val="center"/>
            <w:hideMark/>
          </w:tcPr>
          <w:p w14:paraId="76CBAFEE" w14:textId="77777777" w:rsidR="00C72113" w:rsidRPr="00C72113" w:rsidRDefault="00C72113" w:rsidP="00526E62">
            <w:pPr>
              <w:rPr>
                <w:sz w:val="20"/>
                <w:szCs w:val="20"/>
                <w:lang w:val="en-US"/>
              </w:rPr>
            </w:pPr>
          </w:p>
        </w:tc>
      </w:tr>
    </w:tbl>
    <w:p w14:paraId="309411B4" w14:textId="4B13CCD1" w:rsidR="00C72113" w:rsidRPr="00043B08" w:rsidRDefault="00C72113" w:rsidP="00C72113">
      <w:pPr>
        <w:pStyle w:val="GATitleResolution"/>
      </w:pPr>
      <w:r w:rsidRPr="00043B08">
        <w:t>RESOLUTION 11.GA 9</w:t>
      </w:r>
    </w:p>
    <w:p w14:paraId="3B77F451" w14:textId="77777777" w:rsidR="00C72113" w:rsidRPr="00043B08" w:rsidRDefault="00C72113" w:rsidP="00C72113">
      <w:pPr>
        <w:pStyle w:val="GAPreambulaResolution"/>
        <w:ind w:left="0"/>
      </w:pPr>
      <w:r w:rsidRPr="00043B08">
        <w:t>The General Assembly,</w:t>
      </w:r>
    </w:p>
    <w:p w14:paraId="03E49DAC" w14:textId="6CE3C975" w:rsidR="00C72113" w:rsidRPr="00043B08" w:rsidRDefault="00C72113">
      <w:pPr>
        <w:pStyle w:val="COMParaDecision"/>
        <w:numPr>
          <w:ilvl w:val="0"/>
          <w:numId w:val="12"/>
        </w:numPr>
        <w:ind w:left="630" w:hanging="540"/>
        <w:jc w:val="left"/>
      </w:pPr>
      <w:r w:rsidRPr="00043B08">
        <w:t>Having examined</w:t>
      </w:r>
      <w:r w:rsidRPr="00043B08">
        <w:rPr>
          <w:u w:val="none"/>
        </w:rPr>
        <w:t xml:space="preserve"> document </w:t>
      </w:r>
      <w:hyperlink r:id="rId32" w:history="1">
        <w:r w:rsidRPr="0047351B">
          <w:rPr>
            <w:rStyle w:val="Hyperlink"/>
          </w:rPr>
          <w:t>LHE/26/11.GA/9</w:t>
        </w:r>
      </w:hyperlink>
      <w:r w:rsidRPr="00043B08">
        <w:rPr>
          <w:u w:val="none"/>
        </w:rPr>
        <w:t xml:space="preserve"> and its annex,</w:t>
      </w:r>
    </w:p>
    <w:p w14:paraId="74818594" w14:textId="77777777" w:rsidR="00C72113" w:rsidRPr="00043B08" w:rsidRDefault="00C72113">
      <w:pPr>
        <w:pStyle w:val="COMParaDecision"/>
        <w:numPr>
          <w:ilvl w:val="0"/>
          <w:numId w:val="12"/>
        </w:numPr>
        <w:ind w:left="630" w:hanging="567"/>
      </w:pPr>
      <w:r w:rsidRPr="00043B08">
        <w:t>Recalling</w:t>
      </w:r>
      <w:r w:rsidRPr="00043B08">
        <w:rPr>
          <w:u w:val="none"/>
        </w:rPr>
        <w:t xml:space="preserve"> Article 9 of the Convention and paragraphs 91 to 99 of the Operational Directives,</w:t>
      </w:r>
    </w:p>
    <w:p w14:paraId="27EE8484" w14:textId="77777777" w:rsidR="00C72113" w:rsidRPr="00043B08" w:rsidRDefault="00C72113">
      <w:pPr>
        <w:pStyle w:val="COMParaDecision"/>
        <w:numPr>
          <w:ilvl w:val="0"/>
          <w:numId w:val="12"/>
        </w:numPr>
        <w:ind w:left="630" w:hanging="567"/>
      </w:pPr>
      <w:r w:rsidRPr="00043B08">
        <w:t>Further recalling</w:t>
      </w:r>
      <w:r w:rsidRPr="00043B08">
        <w:rPr>
          <w:u w:val="none"/>
        </w:rPr>
        <w:t xml:space="preserve"> Resolution </w:t>
      </w:r>
      <w:hyperlink r:id="rId33" w:history="1">
        <w:r w:rsidRPr="00043B08">
          <w:rPr>
            <w:rStyle w:val="Hyperlink"/>
          </w:rPr>
          <w:t>10.GA 9 Add.</w:t>
        </w:r>
      </w:hyperlink>
      <w:r w:rsidRPr="00043B08">
        <w:rPr>
          <w:u w:val="none"/>
        </w:rPr>
        <w:t xml:space="preserve"> and Decision </w:t>
      </w:r>
      <w:hyperlink r:id="rId34" w:history="1">
        <w:r w:rsidRPr="00043B08">
          <w:rPr>
            <w:rStyle w:val="Hyperlink"/>
          </w:rPr>
          <w:t>20.COM 16</w:t>
        </w:r>
      </w:hyperlink>
      <w:r w:rsidRPr="00043B08">
        <w:rPr>
          <w:rStyle w:val="Hyperlink"/>
          <w:color w:val="auto"/>
          <w:u w:val="none"/>
        </w:rPr>
        <w:t>,</w:t>
      </w:r>
    </w:p>
    <w:p w14:paraId="045E7846" w14:textId="77777777" w:rsidR="00C72113" w:rsidRPr="00043B08" w:rsidRDefault="00C72113">
      <w:pPr>
        <w:pStyle w:val="COMParaDecision"/>
        <w:numPr>
          <w:ilvl w:val="0"/>
          <w:numId w:val="12"/>
        </w:numPr>
        <w:ind w:left="630" w:hanging="567"/>
      </w:pPr>
      <w:r w:rsidRPr="00043B08">
        <w:t>Accredits</w:t>
      </w:r>
      <w:r w:rsidRPr="00043B08">
        <w:rPr>
          <w:u w:val="none"/>
        </w:rPr>
        <w:t xml:space="preserve"> the fifty-nine NGOs listed in the annex to this resolution to act in an advisory capacity to the Committee;</w:t>
      </w:r>
    </w:p>
    <w:p w14:paraId="3738D160" w14:textId="77777777" w:rsidR="00C72113" w:rsidRPr="00043B08" w:rsidRDefault="00C72113">
      <w:pPr>
        <w:pStyle w:val="COMParaDecision"/>
        <w:numPr>
          <w:ilvl w:val="0"/>
          <w:numId w:val="12"/>
        </w:numPr>
        <w:ind w:left="630" w:hanging="567"/>
      </w:pPr>
      <w:r w:rsidRPr="00043B08">
        <w:t>Takes note</w:t>
      </w:r>
      <w:r w:rsidRPr="00043B08">
        <w:rPr>
          <w:u w:val="none"/>
        </w:rPr>
        <w:t xml:space="preserve"> of the actions taken to improve the geographical distribution of the accredited NGOs under the 2003 Convention, </w:t>
      </w:r>
      <w:r w:rsidRPr="00043B08">
        <w:t>encourages</w:t>
      </w:r>
      <w:r w:rsidRPr="00043B08">
        <w:rPr>
          <w:u w:val="none"/>
        </w:rPr>
        <w:t xml:space="preserve"> the Secretariat, the ICH NGO Forum, Category 2 Centres and other stakeholders to pursue their efforts, and </w:t>
      </w:r>
      <w:r w:rsidRPr="00043B08">
        <w:t>reiterates</w:t>
      </w:r>
      <w:r w:rsidRPr="00043B08">
        <w:rPr>
          <w:u w:val="none"/>
        </w:rPr>
        <w:t xml:space="preserve"> its invitation to States Parties from under-represented Electoral Groups to encourage NGOs operating within their territories and meeting the criteria for accreditation to submit requests for accreditation at the earliest opportunity;</w:t>
      </w:r>
    </w:p>
    <w:p w14:paraId="19C50F58" w14:textId="20CC9C92" w:rsidR="00C72113" w:rsidRPr="00043B08" w:rsidRDefault="00C72113">
      <w:pPr>
        <w:pStyle w:val="COMParaDecision"/>
        <w:keepLines/>
        <w:numPr>
          <w:ilvl w:val="0"/>
          <w:numId w:val="12"/>
        </w:numPr>
        <w:ind w:left="630" w:hanging="567"/>
      </w:pPr>
      <w:r w:rsidRPr="00043B08">
        <w:t>Reminds</w:t>
      </w:r>
      <w:r w:rsidRPr="00043B08">
        <w:rPr>
          <w:u w:val="none"/>
        </w:rPr>
        <w:t xml:space="preserve"> the NGOs accredited in 2010, 2014, 2018 and 2022 that they are to submit their quadrennial report to the Secretariat before the deadline of 15 February 2027 so that the twenty-second session of the Committee can review the contributions and commitment of each advisory organization.</w:t>
      </w:r>
    </w:p>
    <w:p w14:paraId="37EA50AD" w14:textId="77777777" w:rsidR="00C72113" w:rsidRPr="00043B08" w:rsidRDefault="00C72113" w:rsidP="002C2E92">
      <w:pPr>
        <w:pStyle w:val="COMParaDecision"/>
        <w:ind w:left="0" w:firstLine="0"/>
        <w:jc w:val="center"/>
        <w:rPr>
          <w:b/>
          <w:bCs/>
          <w:snapToGrid w:val="0"/>
          <w:u w:val="none"/>
          <w:lang w:eastAsia="en-US"/>
        </w:rPr>
      </w:pPr>
      <w:r w:rsidRPr="00043B08">
        <w:rPr>
          <w:b/>
          <w:bCs/>
          <w:snapToGrid w:val="0"/>
          <w:u w:val="none"/>
          <w:lang w:eastAsia="en-US"/>
        </w:rPr>
        <w:t>Annex: Fifty-nine non-governmental organizations recommended for accreditation by the twentieth session of the Committee</w:t>
      </w:r>
    </w:p>
    <w:tbl>
      <w:tblPr>
        <w:tblStyle w:val="TableGrid"/>
        <w:tblW w:w="5000" w:type="pct"/>
        <w:tblInd w:w="-5" w:type="dxa"/>
        <w:tblLayout w:type="fixed"/>
        <w:tblLook w:val="04A0" w:firstRow="1" w:lastRow="0" w:firstColumn="1" w:lastColumn="0" w:noHBand="0" w:noVBand="1"/>
      </w:tblPr>
      <w:tblGrid>
        <w:gridCol w:w="5954"/>
        <w:gridCol w:w="2182"/>
        <w:gridCol w:w="1492"/>
      </w:tblGrid>
      <w:tr w:rsidR="00C72113" w:rsidRPr="00043B08" w14:paraId="484BF85B" w14:textId="77777777" w:rsidTr="00526E62">
        <w:trPr>
          <w:trHeight w:val="624"/>
        </w:trPr>
        <w:tc>
          <w:tcPr>
            <w:tcW w:w="3092" w:type="pct"/>
            <w:shd w:val="clear" w:color="auto" w:fill="2E74B5" w:themeFill="accent1" w:themeFillShade="BF"/>
            <w:noWrap/>
            <w:vAlign w:val="center"/>
            <w:hideMark/>
          </w:tcPr>
          <w:p w14:paraId="3325CF0C" w14:textId="77777777" w:rsidR="00C72113" w:rsidRPr="00043B08" w:rsidRDefault="00C72113" w:rsidP="00526E62">
            <w:pPr>
              <w:spacing w:before="120" w:after="120"/>
              <w:jc w:val="center"/>
              <w:rPr>
                <w:rFonts w:ascii="Arial" w:hAnsi="Arial" w:cs="Arial"/>
                <w:b/>
                <w:bCs/>
                <w:color w:val="FFFFFF" w:themeColor="background1"/>
                <w:sz w:val="20"/>
                <w:szCs w:val="20"/>
                <w:lang w:val="en-GB"/>
              </w:rPr>
            </w:pPr>
            <w:r w:rsidRPr="00043B08">
              <w:rPr>
                <w:rFonts w:ascii="Arial" w:hAnsi="Arial" w:cs="Arial"/>
                <w:b/>
                <w:bCs/>
                <w:color w:val="FFFFFF" w:themeColor="background1"/>
                <w:sz w:val="20"/>
                <w:szCs w:val="20"/>
                <w:lang w:val="en-GB"/>
              </w:rPr>
              <w:t>Organization name</w:t>
            </w:r>
          </w:p>
        </w:tc>
        <w:tc>
          <w:tcPr>
            <w:tcW w:w="1133" w:type="pct"/>
            <w:shd w:val="clear" w:color="auto" w:fill="2E74B5" w:themeFill="accent1" w:themeFillShade="BF"/>
            <w:noWrap/>
            <w:vAlign w:val="center"/>
            <w:hideMark/>
          </w:tcPr>
          <w:p w14:paraId="4C84BCCD" w14:textId="77777777" w:rsidR="00C72113" w:rsidRPr="00043B08" w:rsidRDefault="00C72113" w:rsidP="00526E62">
            <w:pPr>
              <w:spacing w:before="120" w:after="120"/>
              <w:jc w:val="center"/>
              <w:rPr>
                <w:rFonts w:ascii="Arial" w:hAnsi="Arial" w:cs="Arial"/>
                <w:b/>
                <w:bCs/>
                <w:color w:val="FFFFFF" w:themeColor="background1"/>
                <w:sz w:val="20"/>
                <w:szCs w:val="20"/>
                <w:lang w:val="en-GB"/>
              </w:rPr>
            </w:pPr>
            <w:r w:rsidRPr="00043B08">
              <w:rPr>
                <w:rFonts w:ascii="Arial" w:hAnsi="Arial" w:cs="Arial"/>
                <w:b/>
                <w:bCs/>
                <w:color w:val="FFFFFF" w:themeColor="background1"/>
                <w:sz w:val="20"/>
                <w:szCs w:val="20"/>
                <w:lang w:val="en-GB"/>
              </w:rPr>
              <w:t>Country of registered office</w:t>
            </w:r>
          </w:p>
        </w:tc>
        <w:tc>
          <w:tcPr>
            <w:tcW w:w="775" w:type="pct"/>
            <w:shd w:val="clear" w:color="auto" w:fill="2E74B5" w:themeFill="accent1" w:themeFillShade="BF"/>
            <w:noWrap/>
            <w:vAlign w:val="center"/>
            <w:hideMark/>
          </w:tcPr>
          <w:p w14:paraId="1B4BDC37" w14:textId="77777777" w:rsidR="00C72113" w:rsidRPr="00043B08" w:rsidRDefault="00C72113" w:rsidP="00526E62">
            <w:pPr>
              <w:spacing w:before="120" w:after="120"/>
              <w:jc w:val="center"/>
              <w:rPr>
                <w:rFonts w:ascii="Arial" w:hAnsi="Arial" w:cs="Arial"/>
                <w:b/>
                <w:bCs/>
                <w:color w:val="FFFFFF" w:themeColor="background1"/>
                <w:sz w:val="20"/>
                <w:szCs w:val="20"/>
                <w:lang w:val="en-GB"/>
              </w:rPr>
            </w:pPr>
            <w:r w:rsidRPr="00043B08">
              <w:rPr>
                <w:rFonts w:ascii="Arial" w:hAnsi="Arial" w:cs="Arial"/>
                <w:b/>
                <w:bCs/>
                <w:color w:val="FFFFFF" w:themeColor="background1"/>
                <w:sz w:val="20"/>
                <w:szCs w:val="20"/>
                <w:lang w:val="en-GB"/>
              </w:rPr>
              <w:t>Application number</w:t>
            </w:r>
          </w:p>
        </w:tc>
      </w:tr>
      <w:tr w:rsidR="00C72113" w:rsidRPr="00043B08" w14:paraId="590C33B0" w14:textId="77777777" w:rsidTr="00526E62">
        <w:trPr>
          <w:trHeight w:val="290"/>
        </w:trPr>
        <w:tc>
          <w:tcPr>
            <w:tcW w:w="3092" w:type="pct"/>
            <w:noWrap/>
            <w:vAlign w:val="center"/>
            <w:hideMark/>
          </w:tcPr>
          <w:p w14:paraId="258394C0"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94GREEN Foundation</w:t>
            </w:r>
          </w:p>
        </w:tc>
        <w:tc>
          <w:tcPr>
            <w:tcW w:w="1133" w:type="pct"/>
            <w:noWrap/>
            <w:vAlign w:val="center"/>
            <w:hideMark/>
          </w:tcPr>
          <w:p w14:paraId="43EE4D7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Suriname</w:t>
            </w:r>
          </w:p>
        </w:tc>
        <w:tc>
          <w:tcPr>
            <w:tcW w:w="775" w:type="pct"/>
            <w:noWrap/>
            <w:vAlign w:val="center"/>
            <w:hideMark/>
          </w:tcPr>
          <w:p w14:paraId="281F6FAE"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NGO-90665</w:t>
            </w:r>
          </w:p>
        </w:tc>
      </w:tr>
      <w:tr w:rsidR="00C72113" w:rsidRPr="00043B08" w14:paraId="3B8F046D" w14:textId="77777777" w:rsidTr="00526E62">
        <w:trPr>
          <w:trHeight w:val="624"/>
        </w:trPr>
        <w:tc>
          <w:tcPr>
            <w:tcW w:w="3092" w:type="pct"/>
            <w:shd w:val="clear" w:color="auto" w:fill="DEEAF6" w:themeFill="accent1" w:themeFillTint="33"/>
            <w:noWrap/>
            <w:vAlign w:val="center"/>
            <w:hideMark/>
          </w:tcPr>
          <w:p w14:paraId="4427B9BC" w14:textId="77777777" w:rsidR="00C72113" w:rsidRPr="00005FE6" w:rsidRDefault="00C72113" w:rsidP="00526E62">
            <w:pPr>
              <w:spacing w:before="120" w:after="120"/>
              <w:rPr>
                <w:rFonts w:ascii="Arial" w:hAnsi="Arial" w:cs="Arial"/>
                <w:b/>
                <w:bCs/>
                <w:sz w:val="20"/>
                <w:szCs w:val="20"/>
              </w:rPr>
            </w:pPr>
            <w:r w:rsidRPr="00005FE6">
              <w:rPr>
                <w:rFonts w:ascii="Arial" w:hAnsi="Arial" w:cs="Arial"/>
                <w:b/>
                <w:bCs/>
                <w:sz w:val="20"/>
                <w:szCs w:val="20"/>
              </w:rPr>
              <w:t>"Umrboqiy meros" O'zbekiston madaniyati va san’ati targï bot Markazi</w:t>
            </w:r>
          </w:p>
        </w:tc>
        <w:tc>
          <w:tcPr>
            <w:tcW w:w="1133" w:type="pct"/>
            <w:shd w:val="clear" w:color="auto" w:fill="DEEAF6" w:themeFill="accent1" w:themeFillTint="33"/>
            <w:noWrap/>
            <w:vAlign w:val="center"/>
            <w:hideMark/>
          </w:tcPr>
          <w:p w14:paraId="430D301F"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Uzbekistan</w:t>
            </w:r>
          </w:p>
        </w:tc>
        <w:tc>
          <w:tcPr>
            <w:tcW w:w="775" w:type="pct"/>
            <w:shd w:val="clear" w:color="auto" w:fill="DEEAF6" w:themeFill="accent1" w:themeFillTint="33"/>
            <w:noWrap/>
            <w:vAlign w:val="center"/>
            <w:hideMark/>
          </w:tcPr>
          <w:p w14:paraId="6BFBF265"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NGO-90616</w:t>
            </w:r>
          </w:p>
        </w:tc>
      </w:tr>
      <w:tr w:rsidR="00C72113" w:rsidRPr="00043B08" w14:paraId="6F0D481A" w14:textId="77777777" w:rsidTr="00526E62">
        <w:trPr>
          <w:trHeight w:val="290"/>
        </w:trPr>
        <w:tc>
          <w:tcPr>
            <w:tcW w:w="3092" w:type="pct"/>
            <w:noWrap/>
            <w:vAlign w:val="center"/>
          </w:tcPr>
          <w:p w14:paraId="78A9ADA0" w14:textId="77777777" w:rsidR="00C72113" w:rsidRPr="0047351B" w:rsidRDefault="00C72113" w:rsidP="00526E62">
            <w:pPr>
              <w:spacing w:before="120" w:after="120"/>
              <w:rPr>
                <w:rFonts w:ascii="Arial" w:hAnsi="Arial" w:cs="Arial"/>
                <w:b/>
                <w:bCs/>
                <w:sz w:val="20"/>
                <w:szCs w:val="20"/>
              </w:rPr>
            </w:pPr>
            <w:r w:rsidRPr="0047351B">
              <w:rPr>
                <w:rFonts w:ascii="Arial" w:hAnsi="Arial" w:cs="Arial"/>
                <w:b/>
                <w:bCs/>
                <w:sz w:val="20"/>
                <w:szCs w:val="20"/>
              </w:rPr>
              <w:t>Akademsko društvo za negovanje muzike "Gusle" Kikinda - ADZNM "Gusle" Kikinda</w:t>
            </w:r>
            <w:r w:rsidRPr="0047351B">
              <w:rPr>
                <w:rFonts w:ascii="Arial" w:hAnsi="Arial" w:cs="Arial"/>
                <w:b/>
                <w:bCs/>
                <w:sz w:val="20"/>
                <w:szCs w:val="20"/>
              </w:rPr>
              <w:br/>
            </w:r>
            <w:r w:rsidRPr="0047351B">
              <w:rPr>
                <w:rFonts w:ascii="Arial" w:hAnsi="Arial" w:cs="Arial"/>
                <w:sz w:val="20"/>
                <w:szCs w:val="20"/>
              </w:rPr>
              <w:t>Academic Society for music cherishing "Gusle" Kikinda</w:t>
            </w:r>
          </w:p>
        </w:tc>
        <w:tc>
          <w:tcPr>
            <w:tcW w:w="1133" w:type="pct"/>
            <w:noWrap/>
            <w:vAlign w:val="center"/>
          </w:tcPr>
          <w:p w14:paraId="2076BFC6"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Serbia</w:t>
            </w:r>
          </w:p>
        </w:tc>
        <w:tc>
          <w:tcPr>
            <w:tcW w:w="775" w:type="pct"/>
            <w:noWrap/>
            <w:vAlign w:val="center"/>
          </w:tcPr>
          <w:p w14:paraId="06A7D11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NGO-90668</w:t>
            </w:r>
          </w:p>
        </w:tc>
      </w:tr>
      <w:tr w:rsidR="00C72113" w:rsidRPr="00043B08" w14:paraId="20B3D2B6" w14:textId="77777777" w:rsidTr="00526E62">
        <w:trPr>
          <w:trHeight w:val="290"/>
        </w:trPr>
        <w:tc>
          <w:tcPr>
            <w:tcW w:w="3092" w:type="pct"/>
            <w:shd w:val="clear" w:color="auto" w:fill="DEEAF6" w:themeFill="accent1" w:themeFillTint="33"/>
            <w:noWrap/>
            <w:vAlign w:val="center"/>
          </w:tcPr>
          <w:p w14:paraId="6B940B19" w14:textId="77777777" w:rsidR="00C72113" w:rsidRPr="00043B08" w:rsidRDefault="00C72113" w:rsidP="00526E62">
            <w:pPr>
              <w:spacing w:before="120" w:after="120"/>
              <w:rPr>
                <w:rFonts w:ascii="Arial" w:hAnsi="Arial" w:cs="Arial"/>
                <w:b/>
                <w:bCs/>
                <w:sz w:val="20"/>
                <w:szCs w:val="20"/>
                <w:lang w:val="pt-PT"/>
              </w:rPr>
            </w:pPr>
            <w:r w:rsidRPr="00043B08">
              <w:rPr>
                <w:rFonts w:ascii="Arial" w:hAnsi="Arial" w:cs="Arial"/>
                <w:b/>
                <w:bCs/>
                <w:sz w:val="20"/>
                <w:szCs w:val="20"/>
                <w:lang w:val="pt-PT"/>
              </w:rPr>
              <w:t>Associação Portuguesa para a Salvaguarda do Património Cultural Imaterial</w:t>
            </w:r>
            <w:r w:rsidRPr="00043B08">
              <w:rPr>
                <w:rFonts w:ascii="Arial" w:hAnsi="Arial" w:cs="Arial"/>
                <w:b/>
                <w:bCs/>
                <w:sz w:val="20"/>
                <w:szCs w:val="20"/>
                <w:lang w:val="pt-PT"/>
              </w:rPr>
              <w:br/>
            </w:r>
            <w:r w:rsidRPr="00043B08">
              <w:rPr>
                <w:rFonts w:ascii="Arial" w:hAnsi="Arial" w:cs="Arial"/>
                <w:sz w:val="20"/>
                <w:szCs w:val="20"/>
                <w:lang w:val="pt-PT"/>
              </w:rPr>
              <w:t>Portuguese Association for the Safeguard of the Intangible Cultural Heritage</w:t>
            </w:r>
          </w:p>
        </w:tc>
        <w:tc>
          <w:tcPr>
            <w:tcW w:w="1133" w:type="pct"/>
            <w:shd w:val="clear" w:color="auto" w:fill="DEEAF6" w:themeFill="accent1" w:themeFillTint="33"/>
            <w:noWrap/>
            <w:vAlign w:val="center"/>
          </w:tcPr>
          <w:p w14:paraId="297AAF7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Portugal</w:t>
            </w:r>
          </w:p>
        </w:tc>
        <w:tc>
          <w:tcPr>
            <w:tcW w:w="775" w:type="pct"/>
            <w:shd w:val="clear" w:color="auto" w:fill="DEEAF6" w:themeFill="accent1" w:themeFillTint="33"/>
            <w:noWrap/>
            <w:vAlign w:val="center"/>
          </w:tcPr>
          <w:p w14:paraId="62A9A1DF"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NGO-90686</w:t>
            </w:r>
          </w:p>
        </w:tc>
      </w:tr>
      <w:tr w:rsidR="00C72113" w:rsidRPr="00043B08" w14:paraId="11B191B4" w14:textId="77777777" w:rsidTr="00526E62">
        <w:trPr>
          <w:trHeight w:val="290"/>
        </w:trPr>
        <w:tc>
          <w:tcPr>
            <w:tcW w:w="3092" w:type="pct"/>
            <w:noWrap/>
            <w:vAlign w:val="center"/>
            <w:hideMark/>
          </w:tcPr>
          <w:p w14:paraId="2DA75CC5"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Association Culturelle de Wilaya "Biskra Takraa"</w:t>
            </w:r>
          </w:p>
        </w:tc>
        <w:tc>
          <w:tcPr>
            <w:tcW w:w="1133" w:type="pct"/>
            <w:noWrap/>
            <w:vAlign w:val="center"/>
            <w:hideMark/>
          </w:tcPr>
          <w:p w14:paraId="089EC47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noWrap/>
            <w:vAlign w:val="center"/>
            <w:hideMark/>
          </w:tcPr>
          <w:p w14:paraId="4DE2D27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NGO-90688</w:t>
            </w:r>
          </w:p>
        </w:tc>
      </w:tr>
      <w:tr w:rsidR="00C72113" w:rsidRPr="00043B08" w14:paraId="5F179709" w14:textId="77777777" w:rsidTr="00526E62">
        <w:trPr>
          <w:trHeight w:val="624"/>
        </w:trPr>
        <w:tc>
          <w:tcPr>
            <w:tcW w:w="3092" w:type="pct"/>
            <w:shd w:val="clear" w:color="auto" w:fill="DEEAF6" w:themeFill="accent1" w:themeFillTint="33"/>
            <w:noWrap/>
            <w:vAlign w:val="center"/>
            <w:hideMark/>
          </w:tcPr>
          <w:p w14:paraId="642F51C6"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rPr>
              <w:t xml:space="preserve">Association El Mouahidia de sauvegarde du patrimoine historique, culturel et touristique. </w:t>
            </w:r>
            <w:r w:rsidRPr="00043B08">
              <w:rPr>
                <w:rFonts w:ascii="Arial" w:hAnsi="Arial" w:cs="Arial"/>
                <w:b/>
                <w:bCs/>
                <w:sz w:val="20"/>
                <w:szCs w:val="20"/>
                <w:lang w:val="en-GB"/>
              </w:rPr>
              <w:t>Nédroma Wilaya de Tlemcen – Algérie</w:t>
            </w:r>
          </w:p>
        </w:tc>
        <w:tc>
          <w:tcPr>
            <w:tcW w:w="1133" w:type="pct"/>
            <w:shd w:val="clear" w:color="auto" w:fill="DEEAF6" w:themeFill="accent1" w:themeFillTint="33"/>
            <w:noWrap/>
            <w:vAlign w:val="center"/>
            <w:hideMark/>
          </w:tcPr>
          <w:p w14:paraId="0660F94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shd w:val="clear" w:color="auto" w:fill="DEEAF6" w:themeFill="accent1" w:themeFillTint="33"/>
            <w:noWrap/>
            <w:vAlign w:val="center"/>
            <w:hideMark/>
          </w:tcPr>
          <w:p w14:paraId="514855F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NGO-90620</w:t>
            </w:r>
          </w:p>
        </w:tc>
      </w:tr>
      <w:tr w:rsidR="00C72113" w:rsidRPr="00043B08" w14:paraId="00F11AED" w14:textId="77777777" w:rsidTr="00526E62">
        <w:trPr>
          <w:trHeight w:val="624"/>
        </w:trPr>
        <w:tc>
          <w:tcPr>
            <w:tcW w:w="3092" w:type="pct"/>
            <w:noWrap/>
            <w:vAlign w:val="center"/>
            <w:hideMark/>
          </w:tcPr>
          <w:p w14:paraId="270A2317"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lastRenderedPageBreak/>
              <w:t>Association for the Protection of Gastronomic Heritage</w:t>
            </w:r>
          </w:p>
        </w:tc>
        <w:tc>
          <w:tcPr>
            <w:tcW w:w="1133" w:type="pct"/>
            <w:noWrap/>
            <w:vAlign w:val="center"/>
            <w:hideMark/>
          </w:tcPr>
          <w:p w14:paraId="4AF0F5A2"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Spain</w:t>
            </w:r>
          </w:p>
        </w:tc>
        <w:tc>
          <w:tcPr>
            <w:tcW w:w="775" w:type="pct"/>
            <w:noWrap/>
            <w:vAlign w:val="center"/>
            <w:hideMark/>
          </w:tcPr>
          <w:p w14:paraId="190C1E3F"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NGO-90615</w:t>
            </w:r>
          </w:p>
        </w:tc>
      </w:tr>
      <w:tr w:rsidR="00C72113" w:rsidRPr="00043B08" w14:paraId="4CFAE862" w14:textId="77777777" w:rsidTr="00526E62">
        <w:trPr>
          <w:trHeight w:val="290"/>
        </w:trPr>
        <w:tc>
          <w:tcPr>
            <w:tcW w:w="3092" w:type="pct"/>
            <w:shd w:val="clear" w:color="auto" w:fill="DEEAF6" w:themeFill="accent1" w:themeFillTint="33"/>
            <w:noWrap/>
            <w:vAlign w:val="center"/>
          </w:tcPr>
          <w:p w14:paraId="3CA2A6E0"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Association imekres pour le patrimoine et le folklore</w:t>
            </w:r>
          </w:p>
        </w:tc>
        <w:tc>
          <w:tcPr>
            <w:tcW w:w="1133" w:type="pct"/>
            <w:shd w:val="clear" w:color="auto" w:fill="DEEAF6" w:themeFill="accent1" w:themeFillTint="33"/>
            <w:noWrap/>
            <w:vAlign w:val="center"/>
          </w:tcPr>
          <w:p w14:paraId="46E8C2B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shd w:val="clear" w:color="auto" w:fill="DEEAF6" w:themeFill="accent1" w:themeFillTint="33"/>
            <w:noWrap/>
            <w:vAlign w:val="center"/>
          </w:tcPr>
          <w:p w14:paraId="6A835FB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NGO-90619</w:t>
            </w:r>
          </w:p>
        </w:tc>
      </w:tr>
      <w:tr w:rsidR="00C72113" w:rsidRPr="00043B08" w14:paraId="11061EEC" w14:textId="77777777" w:rsidTr="00526E62">
        <w:trPr>
          <w:trHeight w:val="290"/>
        </w:trPr>
        <w:tc>
          <w:tcPr>
            <w:tcW w:w="3092" w:type="pct"/>
            <w:noWrap/>
            <w:vAlign w:val="center"/>
          </w:tcPr>
          <w:p w14:paraId="50B1E4B2"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Association Métis</w:t>
            </w:r>
          </w:p>
        </w:tc>
        <w:tc>
          <w:tcPr>
            <w:tcW w:w="1133" w:type="pct"/>
            <w:noWrap/>
            <w:vAlign w:val="center"/>
          </w:tcPr>
          <w:p w14:paraId="539F6C7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noWrap/>
            <w:vAlign w:val="center"/>
          </w:tcPr>
          <w:p w14:paraId="2611B980"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NGO-90679</w:t>
            </w:r>
          </w:p>
        </w:tc>
      </w:tr>
      <w:tr w:rsidR="00C72113" w:rsidRPr="00043B08" w14:paraId="0464D3EB" w14:textId="77777777" w:rsidTr="00526E62">
        <w:trPr>
          <w:trHeight w:val="290"/>
        </w:trPr>
        <w:tc>
          <w:tcPr>
            <w:tcW w:w="3092" w:type="pct"/>
            <w:shd w:val="clear" w:color="auto" w:fill="DEEAF6" w:themeFill="accent1" w:themeFillTint="33"/>
            <w:noWrap/>
            <w:vAlign w:val="center"/>
          </w:tcPr>
          <w:p w14:paraId="32DCF8C9"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Association Nationale du Patrimoine Tourath Djazairna</w:t>
            </w:r>
          </w:p>
        </w:tc>
        <w:tc>
          <w:tcPr>
            <w:tcW w:w="1133" w:type="pct"/>
            <w:shd w:val="clear" w:color="auto" w:fill="DEEAF6" w:themeFill="accent1" w:themeFillTint="33"/>
            <w:noWrap/>
            <w:vAlign w:val="center"/>
          </w:tcPr>
          <w:p w14:paraId="62410192"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shd w:val="clear" w:color="auto" w:fill="DEEAF6" w:themeFill="accent1" w:themeFillTint="33"/>
            <w:noWrap/>
            <w:vAlign w:val="center"/>
          </w:tcPr>
          <w:p w14:paraId="72E633F9"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NGO-90628</w:t>
            </w:r>
          </w:p>
        </w:tc>
      </w:tr>
      <w:tr w:rsidR="00C72113" w:rsidRPr="00043B08" w14:paraId="22EF9E6D" w14:textId="77777777" w:rsidTr="00526E62">
        <w:trPr>
          <w:trHeight w:val="624"/>
        </w:trPr>
        <w:tc>
          <w:tcPr>
            <w:tcW w:w="3092" w:type="pct"/>
            <w:noWrap/>
            <w:vAlign w:val="center"/>
            <w:hideMark/>
          </w:tcPr>
          <w:p w14:paraId="2B22869C"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Association Les Savoir-faire du Cognac - ASFC </w:t>
            </w:r>
            <w:r w:rsidRPr="00043B08">
              <w:rPr>
                <w:rFonts w:ascii="Arial" w:hAnsi="Arial" w:cs="Arial"/>
                <w:b/>
                <w:bCs/>
                <w:sz w:val="20"/>
                <w:szCs w:val="20"/>
                <w:lang w:val="en-GB"/>
              </w:rPr>
              <w:br/>
            </w:r>
            <w:r w:rsidRPr="00043B08">
              <w:rPr>
                <w:rFonts w:ascii="Arial" w:hAnsi="Arial" w:cs="Arial"/>
                <w:sz w:val="20"/>
                <w:szCs w:val="20"/>
                <w:lang w:val="en-GB"/>
              </w:rPr>
              <w:t>Cognac Heritage and Know-How Association</w:t>
            </w:r>
          </w:p>
        </w:tc>
        <w:tc>
          <w:tcPr>
            <w:tcW w:w="1133" w:type="pct"/>
            <w:noWrap/>
            <w:vAlign w:val="center"/>
            <w:hideMark/>
          </w:tcPr>
          <w:p w14:paraId="6692D6E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noWrap/>
            <w:vAlign w:val="center"/>
            <w:hideMark/>
          </w:tcPr>
          <w:p w14:paraId="2A4B39A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NGO-90635</w:t>
            </w:r>
          </w:p>
        </w:tc>
      </w:tr>
      <w:tr w:rsidR="00C72113" w:rsidRPr="00043B08" w14:paraId="4118C8D1" w14:textId="77777777" w:rsidTr="00526E62">
        <w:trPr>
          <w:trHeight w:val="290"/>
        </w:trPr>
        <w:tc>
          <w:tcPr>
            <w:tcW w:w="3092" w:type="pct"/>
            <w:shd w:val="clear" w:color="auto" w:fill="DEEAF6" w:themeFill="accent1" w:themeFillTint="33"/>
            <w:noWrap/>
            <w:vAlign w:val="center"/>
          </w:tcPr>
          <w:p w14:paraId="5D9D7E82"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Associazione Polo Poschiavo</w:t>
            </w:r>
            <w:r w:rsidRPr="00043B08">
              <w:rPr>
                <w:rFonts w:ascii="Arial" w:hAnsi="Arial" w:cs="Arial"/>
                <w:b/>
                <w:bCs/>
                <w:sz w:val="20"/>
                <w:szCs w:val="20"/>
                <w:lang w:val="en-GB"/>
              </w:rPr>
              <w:tab/>
            </w:r>
          </w:p>
        </w:tc>
        <w:tc>
          <w:tcPr>
            <w:tcW w:w="1133" w:type="pct"/>
            <w:shd w:val="clear" w:color="auto" w:fill="DEEAF6" w:themeFill="accent1" w:themeFillTint="33"/>
            <w:noWrap/>
            <w:vAlign w:val="center"/>
          </w:tcPr>
          <w:p w14:paraId="7E0B22EE"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Switzerland</w:t>
            </w:r>
          </w:p>
        </w:tc>
        <w:tc>
          <w:tcPr>
            <w:tcW w:w="775" w:type="pct"/>
            <w:shd w:val="clear" w:color="auto" w:fill="DEEAF6" w:themeFill="accent1" w:themeFillTint="33"/>
            <w:noWrap/>
            <w:vAlign w:val="center"/>
          </w:tcPr>
          <w:p w14:paraId="0C47FF46"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NGO-90631</w:t>
            </w:r>
          </w:p>
        </w:tc>
      </w:tr>
      <w:tr w:rsidR="00C72113" w:rsidRPr="00043B08" w14:paraId="1EE2045E" w14:textId="77777777" w:rsidTr="00526E62">
        <w:trPr>
          <w:trHeight w:val="624"/>
        </w:trPr>
        <w:tc>
          <w:tcPr>
            <w:tcW w:w="3092" w:type="pct"/>
            <w:noWrap/>
            <w:vAlign w:val="center"/>
            <w:hideMark/>
          </w:tcPr>
          <w:p w14:paraId="6EDCD017"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Babatunde Development And Empowerment Initiative - BDEI</w:t>
            </w:r>
          </w:p>
        </w:tc>
        <w:tc>
          <w:tcPr>
            <w:tcW w:w="1133" w:type="pct"/>
            <w:noWrap/>
            <w:vAlign w:val="center"/>
            <w:hideMark/>
          </w:tcPr>
          <w:p w14:paraId="2827FE3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Nigeria</w:t>
            </w:r>
          </w:p>
        </w:tc>
        <w:tc>
          <w:tcPr>
            <w:tcW w:w="775" w:type="pct"/>
            <w:noWrap/>
            <w:vAlign w:val="center"/>
            <w:hideMark/>
          </w:tcPr>
          <w:p w14:paraId="2150413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NGO-90608</w:t>
            </w:r>
          </w:p>
        </w:tc>
      </w:tr>
      <w:tr w:rsidR="00C72113" w:rsidRPr="00043B08" w14:paraId="47CD3228" w14:textId="77777777" w:rsidTr="00526E62">
        <w:trPr>
          <w:trHeight w:val="290"/>
        </w:trPr>
        <w:tc>
          <w:tcPr>
            <w:tcW w:w="3092" w:type="pct"/>
            <w:shd w:val="clear" w:color="auto" w:fill="DEEAF6" w:themeFill="accent1" w:themeFillTint="33"/>
            <w:noWrap/>
            <w:vAlign w:val="center"/>
            <w:hideMark/>
          </w:tcPr>
          <w:p w14:paraId="5FCE3E86"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Cenan Eğitim, Kültür ve Sağlık Vakfı </w:t>
            </w:r>
            <w:r w:rsidRPr="00043B08">
              <w:rPr>
                <w:rFonts w:ascii="Arial" w:hAnsi="Arial" w:cs="Arial"/>
                <w:b/>
                <w:bCs/>
                <w:sz w:val="20"/>
                <w:szCs w:val="20"/>
                <w:lang w:val="en-GB"/>
              </w:rPr>
              <w:br/>
            </w:r>
            <w:r w:rsidRPr="00043B08">
              <w:rPr>
                <w:rFonts w:ascii="Arial" w:hAnsi="Arial" w:cs="Arial"/>
                <w:sz w:val="20"/>
                <w:szCs w:val="20"/>
                <w:lang w:val="en-GB"/>
              </w:rPr>
              <w:t>Cenan Foundation for Education, Culture and Health</w:t>
            </w:r>
          </w:p>
        </w:tc>
        <w:tc>
          <w:tcPr>
            <w:tcW w:w="1133" w:type="pct"/>
            <w:shd w:val="clear" w:color="auto" w:fill="DEEAF6" w:themeFill="accent1" w:themeFillTint="33"/>
            <w:noWrap/>
            <w:vAlign w:val="center"/>
            <w:hideMark/>
          </w:tcPr>
          <w:p w14:paraId="06417340"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EEAF6" w:themeFill="accent1" w:themeFillTint="33"/>
            <w:noWrap/>
            <w:vAlign w:val="center"/>
            <w:hideMark/>
          </w:tcPr>
          <w:p w14:paraId="17EF063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NGO-90653</w:t>
            </w:r>
          </w:p>
        </w:tc>
      </w:tr>
      <w:tr w:rsidR="00C72113" w:rsidRPr="00043B08" w14:paraId="4F9BB6AF" w14:textId="77777777" w:rsidTr="00526E62">
        <w:trPr>
          <w:trHeight w:val="624"/>
        </w:trPr>
        <w:tc>
          <w:tcPr>
            <w:tcW w:w="3092" w:type="pct"/>
            <w:noWrap/>
            <w:vAlign w:val="center"/>
            <w:hideMark/>
          </w:tcPr>
          <w:p w14:paraId="260A16C1"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Centre régional d’études des populations alpines - CREPA</w:t>
            </w:r>
          </w:p>
        </w:tc>
        <w:tc>
          <w:tcPr>
            <w:tcW w:w="1133" w:type="pct"/>
            <w:noWrap/>
            <w:vAlign w:val="center"/>
            <w:hideMark/>
          </w:tcPr>
          <w:p w14:paraId="6C17A50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Switzerland</w:t>
            </w:r>
          </w:p>
        </w:tc>
        <w:tc>
          <w:tcPr>
            <w:tcW w:w="775" w:type="pct"/>
            <w:noWrap/>
            <w:vAlign w:val="center"/>
            <w:hideMark/>
          </w:tcPr>
          <w:p w14:paraId="62220EB9"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NGO-90618</w:t>
            </w:r>
          </w:p>
        </w:tc>
      </w:tr>
      <w:tr w:rsidR="00C72113" w:rsidRPr="00043B08" w14:paraId="3D4642A7" w14:textId="77777777" w:rsidTr="00526E62">
        <w:trPr>
          <w:trHeight w:val="290"/>
        </w:trPr>
        <w:tc>
          <w:tcPr>
            <w:tcW w:w="3092" w:type="pct"/>
            <w:shd w:val="clear" w:color="auto" w:fill="DEEAF6" w:themeFill="accent1" w:themeFillTint="33"/>
            <w:noWrap/>
            <w:vAlign w:val="center"/>
          </w:tcPr>
          <w:p w14:paraId="23BC2B7F"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Centrum voor Muziek- en Podiumerfgoed – CEMPER</w:t>
            </w:r>
            <w:r w:rsidRPr="00043B08">
              <w:rPr>
                <w:rFonts w:ascii="Arial" w:hAnsi="Arial" w:cs="Arial"/>
                <w:b/>
                <w:bCs/>
                <w:sz w:val="20"/>
                <w:szCs w:val="20"/>
                <w:lang w:val="en-GB"/>
              </w:rPr>
              <w:br/>
            </w:r>
            <w:r w:rsidRPr="00043B08">
              <w:rPr>
                <w:rFonts w:ascii="Arial" w:hAnsi="Arial" w:cs="Arial"/>
                <w:sz w:val="20"/>
                <w:szCs w:val="20"/>
                <w:lang w:val="en-GB"/>
              </w:rPr>
              <w:t>Centre for Music and Performing Arts Heritage – CEMPER</w:t>
            </w:r>
          </w:p>
        </w:tc>
        <w:tc>
          <w:tcPr>
            <w:tcW w:w="1133" w:type="pct"/>
            <w:shd w:val="clear" w:color="auto" w:fill="DEEAF6" w:themeFill="accent1" w:themeFillTint="33"/>
            <w:noWrap/>
            <w:vAlign w:val="center"/>
          </w:tcPr>
          <w:p w14:paraId="04DD6B66"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Belgium</w:t>
            </w:r>
          </w:p>
        </w:tc>
        <w:tc>
          <w:tcPr>
            <w:tcW w:w="775" w:type="pct"/>
            <w:shd w:val="clear" w:color="auto" w:fill="DEEAF6" w:themeFill="accent1" w:themeFillTint="33"/>
            <w:noWrap/>
            <w:vAlign w:val="center"/>
          </w:tcPr>
          <w:p w14:paraId="3D6DEDBD"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NGO-90613</w:t>
            </w:r>
          </w:p>
        </w:tc>
      </w:tr>
      <w:tr w:rsidR="00C72113" w:rsidRPr="00043B08" w14:paraId="60C9942D" w14:textId="77777777" w:rsidTr="00526E62">
        <w:trPr>
          <w:trHeight w:val="290"/>
        </w:trPr>
        <w:tc>
          <w:tcPr>
            <w:tcW w:w="3092" w:type="pct"/>
            <w:noWrap/>
            <w:vAlign w:val="center"/>
            <w:hideMark/>
          </w:tcPr>
          <w:p w14:paraId="4B77D616"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Clean Climate And Environment Campaign Initiative - CCAECI</w:t>
            </w:r>
          </w:p>
        </w:tc>
        <w:tc>
          <w:tcPr>
            <w:tcW w:w="1133" w:type="pct"/>
            <w:noWrap/>
            <w:vAlign w:val="center"/>
            <w:hideMark/>
          </w:tcPr>
          <w:p w14:paraId="4F5CE68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Nigeria</w:t>
            </w:r>
          </w:p>
        </w:tc>
        <w:tc>
          <w:tcPr>
            <w:tcW w:w="775" w:type="pct"/>
            <w:noWrap/>
            <w:vAlign w:val="center"/>
            <w:hideMark/>
          </w:tcPr>
          <w:p w14:paraId="3A04AF65"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NGO-90599</w:t>
            </w:r>
          </w:p>
        </w:tc>
      </w:tr>
      <w:tr w:rsidR="00C72113" w:rsidRPr="00043B08" w14:paraId="4D965D9B" w14:textId="77777777" w:rsidTr="00526E62">
        <w:trPr>
          <w:trHeight w:val="290"/>
        </w:trPr>
        <w:tc>
          <w:tcPr>
            <w:tcW w:w="3092" w:type="pct"/>
            <w:shd w:val="clear" w:color="auto" w:fill="DEEAF6" w:themeFill="accent1" w:themeFillTint="33"/>
            <w:noWrap/>
            <w:vAlign w:val="center"/>
            <w:hideMark/>
          </w:tcPr>
          <w:p w14:paraId="30465E10"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Cultural Association Baizara</w:t>
            </w:r>
          </w:p>
        </w:tc>
        <w:tc>
          <w:tcPr>
            <w:tcW w:w="1133" w:type="pct"/>
            <w:shd w:val="clear" w:color="auto" w:fill="DEEAF6" w:themeFill="accent1" w:themeFillTint="33"/>
            <w:noWrap/>
            <w:vAlign w:val="center"/>
            <w:hideMark/>
          </w:tcPr>
          <w:p w14:paraId="16934BE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Spain</w:t>
            </w:r>
          </w:p>
        </w:tc>
        <w:tc>
          <w:tcPr>
            <w:tcW w:w="775" w:type="pct"/>
            <w:shd w:val="clear" w:color="auto" w:fill="DEEAF6" w:themeFill="accent1" w:themeFillTint="33"/>
            <w:noWrap/>
            <w:vAlign w:val="center"/>
            <w:hideMark/>
          </w:tcPr>
          <w:p w14:paraId="2BD2B5D4"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NGO-90657</w:t>
            </w:r>
          </w:p>
        </w:tc>
      </w:tr>
      <w:tr w:rsidR="00C72113" w:rsidRPr="00043B08" w14:paraId="22B0706C" w14:textId="77777777" w:rsidTr="00526E62">
        <w:trPr>
          <w:trHeight w:val="624"/>
        </w:trPr>
        <w:tc>
          <w:tcPr>
            <w:tcW w:w="3092" w:type="pct"/>
            <w:noWrap/>
            <w:vAlign w:val="center"/>
            <w:hideMark/>
          </w:tcPr>
          <w:p w14:paraId="1C91EA1D"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Doğu Kültür ve Sanat Merkezi Derneği - DKSM </w:t>
            </w:r>
            <w:r w:rsidRPr="00043B08">
              <w:rPr>
                <w:rFonts w:ascii="Arial" w:hAnsi="Arial" w:cs="Arial"/>
                <w:b/>
                <w:bCs/>
                <w:sz w:val="20"/>
                <w:szCs w:val="20"/>
                <w:lang w:val="en-GB"/>
              </w:rPr>
              <w:br/>
            </w:r>
            <w:r w:rsidRPr="00043B08">
              <w:rPr>
                <w:rFonts w:ascii="Arial" w:hAnsi="Arial" w:cs="Arial"/>
                <w:sz w:val="20"/>
                <w:szCs w:val="20"/>
                <w:lang w:val="en-GB"/>
              </w:rPr>
              <w:t>Eastern Culture and Art Center Association - DKSM</w:t>
            </w:r>
          </w:p>
        </w:tc>
        <w:tc>
          <w:tcPr>
            <w:tcW w:w="1133" w:type="pct"/>
            <w:noWrap/>
            <w:vAlign w:val="center"/>
            <w:hideMark/>
          </w:tcPr>
          <w:p w14:paraId="24CF161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hideMark/>
          </w:tcPr>
          <w:p w14:paraId="378FCCC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NGO-90661</w:t>
            </w:r>
          </w:p>
        </w:tc>
      </w:tr>
      <w:tr w:rsidR="00C72113" w:rsidRPr="00043B08" w14:paraId="17BDE739" w14:textId="77777777" w:rsidTr="00526E62">
        <w:trPr>
          <w:trHeight w:val="290"/>
        </w:trPr>
        <w:tc>
          <w:tcPr>
            <w:tcW w:w="3092" w:type="pct"/>
            <w:shd w:val="clear" w:color="auto" w:fill="DEEAF6" w:themeFill="accent1" w:themeFillTint="33"/>
            <w:noWrap/>
            <w:vAlign w:val="center"/>
            <w:hideMark/>
          </w:tcPr>
          <w:p w14:paraId="65D5AF8E"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Dünya Etnospor Konfederasyonu - DEK </w:t>
            </w:r>
            <w:r w:rsidRPr="00043B08">
              <w:rPr>
                <w:rFonts w:ascii="Arial" w:hAnsi="Arial" w:cs="Arial"/>
                <w:b/>
                <w:bCs/>
                <w:sz w:val="20"/>
                <w:szCs w:val="20"/>
                <w:lang w:val="en-GB"/>
              </w:rPr>
              <w:br/>
            </w:r>
            <w:r w:rsidRPr="00043B08">
              <w:rPr>
                <w:rFonts w:ascii="Arial" w:hAnsi="Arial" w:cs="Arial"/>
                <w:sz w:val="20"/>
                <w:szCs w:val="20"/>
                <w:lang w:val="en-GB"/>
              </w:rPr>
              <w:t>World</w:t>
            </w:r>
            <w:r w:rsidRPr="00043B08">
              <w:rPr>
                <w:rFonts w:ascii="Arial" w:hAnsi="Arial" w:cs="Arial"/>
                <w:b/>
                <w:bCs/>
                <w:sz w:val="20"/>
                <w:szCs w:val="20"/>
                <w:lang w:val="en-GB"/>
              </w:rPr>
              <w:t xml:space="preserve"> </w:t>
            </w:r>
            <w:r w:rsidRPr="00043B08">
              <w:rPr>
                <w:rFonts w:ascii="Arial" w:hAnsi="Arial" w:cs="Arial"/>
                <w:sz w:val="20"/>
                <w:szCs w:val="20"/>
                <w:lang w:val="en-GB"/>
              </w:rPr>
              <w:t>Ethnosport Confederation - WEC</w:t>
            </w:r>
          </w:p>
        </w:tc>
        <w:tc>
          <w:tcPr>
            <w:tcW w:w="1133" w:type="pct"/>
            <w:shd w:val="clear" w:color="auto" w:fill="DEEAF6" w:themeFill="accent1" w:themeFillTint="33"/>
            <w:noWrap/>
            <w:vAlign w:val="center"/>
            <w:hideMark/>
          </w:tcPr>
          <w:p w14:paraId="51BCCFFF"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EEAF6" w:themeFill="accent1" w:themeFillTint="33"/>
            <w:noWrap/>
            <w:vAlign w:val="center"/>
            <w:hideMark/>
          </w:tcPr>
          <w:p w14:paraId="53845BAD"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NGO-90659</w:t>
            </w:r>
          </w:p>
        </w:tc>
      </w:tr>
      <w:tr w:rsidR="00C72113" w:rsidRPr="00043B08" w14:paraId="00514F9B" w14:textId="77777777" w:rsidTr="00526E62">
        <w:trPr>
          <w:trHeight w:val="624"/>
        </w:trPr>
        <w:tc>
          <w:tcPr>
            <w:tcW w:w="3092" w:type="pct"/>
            <w:noWrap/>
            <w:vAlign w:val="center"/>
            <w:hideMark/>
          </w:tcPr>
          <w:p w14:paraId="6B5C3458"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Folkdansringen Dalarna - Polskmärkesuppdansningen </w:t>
            </w:r>
            <w:r w:rsidRPr="00043B08">
              <w:rPr>
                <w:rFonts w:ascii="Arial" w:hAnsi="Arial" w:cs="Arial"/>
                <w:b/>
                <w:bCs/>
                <w:sz w:val="20"/>
                <w:szCs w:val="20"/>
                <w:lang w:val="en-GB"/>
              </w:rPr>
              <w:br/>
            </w:r>
            <w:r w:rsidRPr="00043B08">
              <w:rPr>
                <w:rFonts w:ascii="Arial" w:hAnsi="Arial" w:cs="Arial"/>
                <w:sz w:val="20"/>
                <w:szCs w:val="20"/>
                <w:lang w:val="en-GB"/>
              </w:rPr>
              <w:t>Folk dance society in Dalarna County - The Polska Medal &amp; Reward</w:t>
            </w:r>
          </w:p>
        </w:tc>
        <w:tc>
          <w:tcPr>
            <w:tcW w:w="1133" w:type="pct"/>
            <w:noWrap/>
            <w:vAlign w:val="center"/>
            <w:hideMark/>
          </w:tcPr>
          <w:p w14:paraId="4B510E7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Sweden</w:t>
            </w:r>
          </w:p>
        </w:tc>
        <w:tc>
          <w:tcPr>
            <w:tcW w:w="775" w:type="pct"/>
            <w:noWrap/>
            <w:vAlign w:val="center"/>
            <w:hideMark/>
          </w:tcPr>
          <w:p w14:paraId="7FA5378E"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NGO-90633</w:t>
            </w:r>
          </w:p>
        </w:tc>
      </w:tr>
      <w:tr w:rsidR="00C72113" w:rsidRPr="00043B08" w14:paraId="38FB7F49" w14:textId="77777777" w:rsidTr="00526E62">
        <w:trPr>
          <w:trHeight w:val="624"/>
        </w:trPr>
        <w:tc>
          <w:tcPr>
            <w:tcW w:w="3092" w:type="pct"/>
            <w:shd w:val="clear" w:color="auto" w:fill="DEEAF6" w:themeFill="accent1" w:themeFillTint="33"/>
            <w:noWrap/>
            <w:vAlign w:val="center"/>
            <w:hideMark/>
          </w:tcPr>
          <w:p w14:paraId="4A679B17"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 xml:space="preserve">Folklor Kurumu Derneği </w:t>
            </w:r>
            <w:r w:rsidRPr="00043B08">
              <w:rPr>
                <w:rFonts w:ascii="Arial" w:hAnsi="Arial" w:cs="Arial"/>
                <w:b/>
                <w:bCs/>
                <w:sz w:val="20"/>
                <w:szCs w:val="20"/>
              </w:rPr>
              <w:br/>
            </w:r>
            <w:r w:rsidRPr="00043B08">
              <w:rPr>
                <w:rFonts w:ascii="Arial" w:hAnsi="Arial" w:cs="Arial"/>
                <w:sz w:val="20"/>
                <w:szCs w:val="20"/>
              </w:rPr>
              <w:t>Folklore Institution Association</w:t>
            </w:r>
          </w:p>
        </w:tc>
        <w:tc>
          <w:tcPr>
            <w:tcW w:w="1133" w:type="pct"/>
            <w:shd w:val="clear" w:color="auto" w:fill="DEEAF6" w:themeFill="accent1" w:themeFillTint="33"/>
            <w:noWrap/>
            <w:vAlign w:val="center"/>
            <w:hideMark/>
          </w:tcPr>
          <w:p w14:paraId="03B59A8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EEAF6" w:themeFill="accent1" w:themeFillTint="33"/>
            <w:noWrap/>
            <w:vAlign w:val="center"/>
            <w:hideMark/>
          </w:tcPr>
          <w:p w14:paraId="68F5CE62"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NGO-90643</w:t>
            </w:r>
          </w:p>
        </w:tc>
      </w:tr>
      <w:tr w:rsidR="00C72113" w:rsidRPr="00043B08" w14:paraId="08993CC7" w14:textId="77777777" w:rsidTr="00526E62">
        <w:trPr>
          <w:trHeight w:val="290"/>
        </w:trPr>
        <w:tc>
          <w:tcPr>
            <w:tcW w:w="3092" w:type="pct"/>
            <w:noWrap/>
            <w:vAlign w:val="center"/>
            <w:hideMark/>
          </w:tcPr>
          <w:p w14:paraId="234EECC3"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Groupe d'Etudes sur l'Histoire des Mathématiques à Béjaïa - GEHIMAB</w:t>
            </w:r>
          </w:p>
        </w:tc>
        <w:tc>
          <w:tcPr>
            <w:tcW w:w="1133" w:type="pct"/>
            <w:noWrap/>
            <w:vAlign w:val="center"/>
            <w:hideMark/>
          </w:tcPr>
          <w:p w14:paraId="25DDB52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noWrap/>
            <w:vAlign w:val="center"/>
            <w:hideMark/>
          </w:tcPr>
          <w:p w14:paraId="457A86F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NGO-90621</w:t>
            </w:r>
          </w:p>
        </w:tc>
      </w:tr>
      <w:tr w:rsidR="00C72113" w:rsidRPr="00043B08" w14:paraId="2C316263" w14:textId="77777777" w:rsidTr="00526E62">
        <w:trPr>
          <w:trHeight w:val="624"/>
        </w:trPr>
        <w:tc>
          <w:tcPr>
            <w:tcW w:w="3092" w:type="pct"/>
            <w:shd w:val="clear" w:color="auto" w:fill="DEEAF6" w:themeFill="accent1" w:themeFillTint="33"/>
            <w:noWrap/>
            <w:vAlign w:val="center"/>
            <w:hideMark/>
          </w:tcPr>
          <w:p w14:paraId="79BD5FDA"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Histories vzw</w:t>
            </w:r>
          </w:p>
        </w:tc>
        <w:tc>
          <w:tcPr>
            <w:tcW w:w="1133" w:type="pct"/>
            <w:shd w:val="clear" w:color="auto" w:fill="DEEAF6" w:themeFill="accent1" w:themeFillTint="33"/>
            <w:noWrap/>
            <w:vAlign w:val="center"/>
            <w:hideMark/>
          </w:tcPr>
          <w:p w14:paraId="71132BE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Belgium</w:t>
            </w:r>
          </w:p>
        </w:tc>
        <w:tc>
          <w:tcPr>
            <w:tcW w:w="775" w:type="pct"/>
            <w:shd w:val="clear" w:color="auto" w:fill="DEEAF6" w:themeFill="accent1" w:themeFillTint="33"/>
            <w:noWrap/>
            <w:vAlign w:val="center"/>
            <w:hideMark/>
          </w:tcPr>
          <w:p w14:paraId="0788F526"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NGO-90634</w:t>
            </w:r>
          </w:p>
        </w:tc>
      </w:tr>
      <w:tr w:rsidR="00C72113" w:rsidRPr="00043B08" w14:paraId="6926E829" w14:textId="77777777" w:rsidTr="00526E62">
        <w:trPr>
          <w:trHeight w:val="624"/>
        </w:trPr>
        <w:tc>
          <w:tcPr>
            <w:tcW w:w="3092" w:type="pct"/>
            <w:noWrap/>
            <w:vAlign w:val="center"/>
            <w:hideMark/>
          </w:tcPr>
          <w:p w14:paraId="7D98308D" w14:textId="77777777" w:rsidR="00C72113" w:rsidRPr="00005FE6" w:rsidRDefault="00C72113" w:rsidP="00526E62">
            <w:pPr>
              <w:spacing w:before="120" w:after="120"/>
              <w:rPr>
                <w:rFonts w:ascii="Arial" w:hAnsi="Arial" w:cs="Arial"/>
                <w:b/>
                <w:bCs/>
                <w:sz w:val="20"/>
                <w:szCs w:val="20"/>
                <w:lang w:val="en-GB"/>
              </w:rPr>
            </w:pPr>
            <w:r w:rsidRPr="00005FE6">
              <w:rPr>
                <w:rFonts w:ascii="Arial" w:hAnsi="Arial" w:cs="Arial"/>
                <w:b/>
                <w:bCs/>
                <w:sz w:val="20"/>
                <w:szCs w:val="20"/>
                <w:lang w:val="en-GB"/>
              </w:rPr>
              <w:t xml:space="preserve">Hrvatsko kulturno-umjetničko društvo "Rodoč" </w:t>
            </w:r>
            <w:r w:rsidRPr="00005FE6">
              <w:rPr>
                <w:rFonts w:ascii="Arial" w:hAnsi="Arial" w:cs="Arial"/>
                <w:b/>
                <w:bCs/>
                <w:sz w:val="20"/>
                <w:szCs w:val="20"/>
                <w:lang w:val="en-GB"/>
              </w:rPr>
              <w:br/>
            </w:r>
            <w:r w:rsidRPr="00005FE6">
              <w:rPr>
                <w:rFonts w:ascii="Arial" w:hAnsi="Arial" w:cs="Arial"/>
                <w:sz w:val="20"/>
                <w:szCs w:val="20"/>
                <w:lang w:val="en-GB"/>
              </w:rPr>
              <w:t>Croatian Cultural and Artistic Society - HKUD "Rodoč"</w:t>
            </w:r>
          </w:p>
        </w:tc>
        <w:tc>
          <w:tcPr>
            <w:tcW w:w="1133" w:type="pct"/>
            <w:noWrap/>
            <w:vAlign w:val="center"/>
            <w:hideMark/>
          </w:tcPr>
          <w:p w14:paraId="528B811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Bosnia and Herzegovina</w:t>
            </w:r>
          </w:p>
        </w:tc>
        <w:tc>
          <w:tcPr>
            <w:tcW w:w="775" w:type="pct"/>
            <w:noWrap/>
            <w:vAlign w:val="center"/>
            <w:hideMark/>
          </w:tcPr>
          <w:p w14:paraId="4CE43089"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NGO-90638</w:t>
            </w:r>
          </w:p>
        </w:tc>
      </w:tr>
      <w:tr w:rsidR="00C72113" w:rsidRPr="00043B08" w14:paraId="03F86D21" w14:textId="77777777" w:rsidTr="00526E62">
        <w:trPr>
          <w:trHeight w:val="624"/>
        </w:trPr>
        <w:tc>
          <w:tcPr>
            <w:tcW w:w="3092" w:type="pct"/>
            <w:shd w:val="clear" w:color="auto" w:fill="DEEAF6" w:themeFill="accent1" w:themeFillTint="33"/>
            <w:noWrap/>
            <w:vAlign w:val="center"/>
            <w:hideMark/>
          </w:tcPr>
          <w:p w14:paraId="14A5586B"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Intangible Heritage Association</w:t>
            </w:r>
          </w:p>
        </w:tc>
        <w:tc>
          <w:tcPr>
            <w:tcW w:w="1133" w:type="pct"/>
            <w:shd w:val="clear" w:color="auto" w:fill="DEEAF6" w:themeFill="accent1" w:themeFillTint="33"/>
            <w:noWrap/>
            <w:vAlign w:val="center"/>
            <w:hideMark/>
          </w:tcPr>
          <w:p w14:paraId="263DCD7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Saudi Arabia</w:t>
            </w:r>
          </w:p>
        </w:tc>
        <w:tc>
          <w:tcPr>
            <w:tcW w:w="775" w:type="pct"/>
            <w:shd w:val="clear" w:color="auto" w:fill="DEEAF6" w:themeFill="accent1" w:themeFillTint="33"/>
            <w:noWrap/>
            <w:vAlign w:val="center"/>
            <w:hideMark/>
          </w:tcPr>
          <w:p w14:paraId="2BFF80AE"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NGO-90610</w:t>
            </w:r>
          </w:p>
        </w:tc>
      </w:tr>
      <w:tr w:rsidR="00C72113" w:rsidRPr="00043B08" w14:paraId="38CC286C" w14:textId="77777777" w:rsidTr="00526E62">
        <w:trPr>
          <w:trHeight w:val="624"/>
        </w:trPr>
        <w:tc>
          <w:tcPr>
            <w:tcW w:w="3092" w:type="pct"/>
            <w:noWrap/>
            <w:vAlign w:val="center"/>
            <w:hideMark/>
          </w:tcPr>
          <w:p w14:paraId="6C7F3D43"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 xml:space="preserve">İstanbul Kültürlerarası Sanat Diyalogları Derneği - IKASD </w:t>
            </w:r>
            <w:r w:rsidRPr="00043B08">
              <w:rPr>
                <w:rFonts w:ascii="Arial" w:hAnsi="Arial" w:cs="Arial"/>
                <w:b/>
                <w:bCs/>
                <w:sz w:val="20"/>
                <w:szCs w:val="20"/>
              </w:rPr>
              <w:br/>
            </w:r>
            <w:r w:rsidRPr="00043B08">
              <w:rPr>
                <w:rFonts w:ascii="Arial" w:hAnsi="Arial" w:cs="Arial"/>
                <w:sz w:val="20"/>
                <w:szCs w:val="20"/>
              </w:rPr>
              <w:t>Istanbul Intercultural Art Dialogues Association - IKASD</w:t>
            </w:r>
          </w:p>
        </w:tc>
        <w:tc>
          <w:tcPr>
            <w:tcW w:w="1133" w:type="pct"/>
            <w:noWrap/>
            <w:vAlign w:val="center"/>
            <w:hideMark/>
          </w:tcPr>
          <w:p w14:paraId="685E2EF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hideMark/>
          </w:tcPr>
          <w:p w14:paraId="003CD536"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NGO-90641</w:t>
            </w:r>
          </w:p>
        </w:tc>
      </w:tr>
      <w:tr w:rsidR="00C72113" w:rsidRPr="00043B08" w14:paraId="63C8284B" w14:textId="77777777" w:rsidTr="00526E62">
        <w:trPr>
          <w:trHeight w:val="624"/>
        </w:trPr>
        <w:tc>
          <w:tcPr>
            <w:tcW w:w="3092" w:type="pct"/>
            <w:shd w:val="clear" w:color="auto" w:fill="DEEAF6" w:themeFill="accent1" w:themeFillTint="33"/>
            <w:noWrap/>
            <w:vAlign w:val="center"/>
            <w:hideMark/>
          </w:tcPr>
          <w:p w14:paraId="0B378CBC"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lastRenderedPageBreak/>
              <w:t>Itinérance Méditerranée</w:t>
            </w:r>
          </w:p>
        </w:tc>
        <w:tc>
          <w:tcPr>
            <w:tcW w:w="1133" w:type="pct"/>
            <w:shd w:val="clear" w:color="auto" w:fill="DEEAF6" w:themeFill="accent1" w:themeFillTint="33"/>
            <w:noWrap/>
            <w:vAlign w:val="center"/>
            <w:hideMark/>
          </w:tcPr>
          <w:p w14:paraId="6D1EAD75"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shd w:val="clear" w:color="auto" w:fill="DEEAF6" w:themeFill="accent1" w:themeFillTint="33"/>
            <w:noWrap/>
            <w:vAlign w:val="center"/>
            <w:hideMark/>
          </w:tcPr>
          <w:p w14:paraId="4CF1654D"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NGO-90650</w:t>
            </w:r>
          </w:p>
        </w:tc>
      </w:tr>
      <w:tr w:rsidR="00C72113" w:rsidRPr="00043B08" w14:paraId="5467B873" w14:textId="77777777" w:rsidTr="00526E62">
        <w:trPr>
          <w:trHeight w:val="624"/>
        </w:trPr>
        <w:tc>
          <w:tcPr>
            <w:tcW w:w="3092" w:type="pct"/>
            <w:noWrap/>
            <w:vAlign w:val="center"/>
            <w:hideMark/>
          </w:tcPr>
          <w:p w14:paraId="10BE9F9D"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KADAM</w:t>
            </w:r>
          </w:p>
        </w:tc>
        <w:tc>
          <w:tcPr>
            <w:tcW w:w="1133" w:type="pct"/>
            <w:noWrap/>
            <w:vAlign w:val="center"/>
            <w:hideMark/>
          </w:tcPr>
          <w:p w14:paraId="7BFDFFC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India</w:t>
            </w:r>
          </w:p>
        </w:tc>
        <w:tc>
          <w:tcPr>
            <w:tcW w:w="775" w:type="pct"/>
            <w:noWrap/>
            <w:vAlign w:val="center"/>
            <w:hideMark/>
          </w:tcPr>
          <w:p w14:paraId="5A49986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NGO-90602</w:t>
            </w:r>
          </w:p>
        </w:tc>
      </w:tr>
      <w:tr w:rsidR="00C72113" w:rsidRPr="00043B08" w14:paraId="2B18BEAD" w14:textId="77777777" w:rsidTr="00526E62">
        <w:trPr>
          <w:trHeight w:val="290"/>
        </w:trPr>
        <w:tc>
          <w:tcPr>
            <w:tcW w:w="3092" w:type="pct"/>
            <w:shd w:val="clear" w:color="auto" w:fill="DEEAF6" w:themeFill="accent1" w:themeFillTint="33"/>
            <w:noWrap/>
            <w:vAlign w:val="center"/>
            <w:hideMark/>
          </w:tcPr>
          <w:p w14:paraId="2A1BED3E"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Karagöz Derneği</w:t>
            </w:r>
            <w:r w:rsidRPr="00043B08">
              <w:rPr>
                <w:rFonts w:ascii="Arial" w:hAnsi="Arial" w:cs="Arial"/>
                <w:b/>
                <w:bCs/>
                <w:sz w:val="20"/>
                <w:szCs w:val="20"/>
                <w:lang w:val="en-GB"/>
              </w:rPr>
              <w:br/>
            </w:r>
            <w:r w:rsidRPr="00043B08">
              <w:rPr>
                <w:rFonts w:ascii="Arial" w:hAnsi="Arial" w:cs="Arial"/>
                <w:sz w:val="20"/>
                <w:szCs w:val="20"/>
                <w:lang w:val="en-GB"/>
              </w:rPr>
              <w:t>Karagöz Association</w:t>
            </w:r>
          </w:p>
        </w:tc>
        <w:tc>
          <w:tcPr>
            <w:tcW w:w="1133" w:type="pct"/>
            <w:shd w:val="clear" w:color="auto" w:fill="DEEAF6" w:themeFill="accent1" w:themeFillTint="33"/>
            <w:noWrap/>
            <w:vAlign w:val="center"/>
            <w:hideMark/>
          </w:tcPr>
          <w:p w14:paraId="0C6938B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EEAF6" w:themeFill="accent1" w:themeFillTint="33"/>
            <w:noWrap/>
            <w:vAlign w:val="center"/>
            <w:hideMark/>
          </w:tcPr>
          <w:p w14:paraId="3BB1B27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NGO-90677</w:t>
            </w:r>
          </w:p>
        </w:tc>
      </w:tr>
      <w:tr w:rsidR="00C72113" w:rsidRPr="00043B08" w14:paraId="1242ECA0" w14:textId="77777777" w:rsidTr="00526E62">
        <w:trPr>
          <w:trHeight w:val="624"/>
        </w:trPr>
        <w:tc>
          <w:tcPr>
            <w:tcW w:w="3092" w:type="pct"/>
            <w:noWrap/>
            <w:vAlign w:val="center"/>
            <w:hideMark/>
          </w:tcPr>
          <w:p w14:paraId="6F57A9D8"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Kattaikkuttu Sangam</w:t>
            </w:r>
          </w:p>
        </w:tc>
        <w:tc>
          <w:tcPr>
            <w:tcW w:w="1133" w:type="pct"/>
            <w:noWrap/>
            <w:vAlign w:val="center"/>
            <w:hideMark/>
          </w:tcPr>
          <w:p w14:paraId="111BA9C0"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India</w:t>
            </w:r>
          </w:p>
        </w:tc>
        <w:tc>
          <w:tcPr>
            <w:tcW w:w="775" w:type="pct"/>
            <w:noWrap/>
            <w:vAlign w:val="center"/>
            <w:hideMark/>
          </w:tcPr>
          <w:p w14:paraId="6D4BDBF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NGO-90612</w:t>
            </w:r>
          </w:p>
        </w:tc>
      </w:tr>
      <w:tr w:rsidR="00C72113" w:rsidRPr="00043B08" w14:paraId="0D3B7183" w14:textId="77777777" w:rsidTr="00526E62">
        <w:trPr>
          <w:trHeight w:val="290"/>
        </w:trPr>
        <w:tc>
          <w:tcPr>
            <w:tcW w:w="3092" w:type="pct"/>
            <w:shd w:val="clear" w:color="auto" w:fill="DEEAF6" w:themeFill="accent1" w:themeFillTint="33"/>
            <w:noWrap/>
            <w:vAlign w:val="center"/>
          </w:tcPr>
          <w:p w14:paraId="2C7C71B2"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Kgosi Sechele I Museum Trust</w:t>
            </w:r>
          </w:p>
        </w:tc>
        <w:tc>
          <w:tcPr>
            <w:tcW w:w="1133" w:type="pct"/>
            <w:shd w:val="clear" w:color="auto" w:fill="DEEAF6" w:themeFill="accent1" w:themeFillTint="33"/>
            <w:noWrap/>
            <w:vAlign w:val="center"/>
          </w:tcPr>
          <w:p w14:paraId="3D227CA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Botswana</w:t>
            </w:r>
          </w:p>
        </w:tc>
        <w:tc>
          <w:tcPr>
            <w:tcW w:w="775" w:type="pct"/>
            <w:shd w:val="clear" w:color="auto" w:fill="DEEAF6" w:themeFill="accent1" w:themeFillTint="33"/>
            <w:noWrap/>
            <w:vAlign w:val="center"/>
          </w:tcPr>
          <w:p w14:paraId="6F14D4F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NGO-90647</w:t>
            </w:r>
          </w:p>
        </w:tc>
      </w:tr>
      <w:tr w:rsidR="00C72113" w:rsidRPr="00043B08" w14:paraId="065850BD" w14:textId="77777777" w:rsidTr="00526E62">
        <w:trPr>
          <w:trHeight w:val="624"/>
        </w:trPr>
        <w:tc>
          <w:tcPr>
            <w:tcW w:w="3092" w:type="pct"/>
            <w:noWrap/>
            <w:vAlign w:val="center"/>
            <w:hideMark/>
          </w:tcPr>
          <w:p w14:paraId="3C7E5747"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Les Gardiens du Patrimoine Culturel de Domoni - GPCD</w:t>
            </w:r>
          </w:p>
        </w:tc>
        <w:tc>
          <w:tcPr>
            <w:tcW w:w="1133" w:type="pct"/>
            <w:noWrap/>
            <w:vAlign w:val="center"/>
            <w:hideMark/>
          </w:tcPr>
          <w:p w14:paraId="55E70A7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Comoros</w:t>
            </w:r>
          </w:p>
        </w:tc>
        <w:tc>
          <w:tcPr>
            <w:tcW w:w="775" w:type="pct"/>
            <w:noWrap/>
            <w:vAlign w:val="center"/>
            <w:hideMark/>
          </w:tcPr>
          <w:p w14:paraId="1B8988F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NGO-90676</w:t>
            </w:r>
          </w:p>
        </w:tc>
      </w:tr>
      <w:tr w:rsidR="00C72113" w:rsidRPr="00043B08" w14:paraId="594032F2" w14:textId="77777777" w:rsidTr="00526E62">
        <w:trPr>
          <w:trHeight w:val="624"/>
        </w:trPr>
        <w:tc>
          <w:tcPr>
            <w:tcW w:w="3092" w:type="pct"/>
            <w:shd w:val="clear" w:color="auto" w:fill="DEEAF6" w:themeFill="accent1" w:themeFillTint="33"/>
            <w:noWrap/>
            <w:vAlign w:val="center"/>
            <w:hideMark/>
          </w:tcPr>
          <w:p w14:paraId="051E1072"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Lietuvos antropologų asociacija - LAA </w:t>
            </w:r>
            <w:r w:rsidRPr="00043B08">
              <w:rPr>
                <w:rFonts w:ascii="Arial" w:hAnsi="Arial" w:cs="Arial"/>
                <w:b/>
                <w:bCs/>
                <w:sz w:val="20"/>
                <w:szCs w:val="20"/>
                <w:lang w:val="en-GB"/>
              </w:rPr>
              <w:br/>
            </w:r>
            <w:r w:rsidRPr="00043B08">
              <w:rPr>
                <w:rFonts w:ascii="Arial" w:hAnsi="Arial" w:cs="Arial"/>
                <w:sz w:val="20"/>
                <w:szCs w:val="20"/>
                <w:lang w:val="en-GB"/>
              </w:rPr>
              <w:t>Lithuanian Anthropological Association - LAA</w:t>
            </w:r>
          </w:p>
        </w:tc>
        <w:tc>
          <w:tcPr>
            <w:tcW w:w="1133" w:type="pct"/>
            <w:shd w:val="clear" w:color="auto" w:fill="DEEAF6" w:themeFill="accent1" w:themeFillTint="33"/>
            <w:noWrap/>
            <w:vAlign w:val="center"/>
            <w:hideMark/>
          </w:tcPr>
          <w:p w14:paraId="6D69983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Lithuania</w:t>
            </w:r>
          </w:p>
        </w:tc>
        <w:tc>
          <w:tcPr>
            <w:tcW w:w="775" w:type="pct"/>
            <w:shd w:val="clear" w:color="auto" w:fill="DEEAF6" w:themeFill="accent1" w:themeFillTint="33"/>
            <w:noWrap/>
            <w:vAlign w:val="center"/>
            <w:hideMark/>
          </w:tcPr>
          <w:p w14:paraId="070155A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NGO-90655</w:t>
            </w:r>
          </w:p>
        </w:tc>
      </w:tr>
      <w:tr w:rsidR="00C72113" w:rsidRPr="00043B08" w14:paraId="78B64C7D" w14:textId="77777777" w:rsidTr="00526E62">
        <w:trPr>
          <w:trHeight w:val="290"/>
        </w:trPr>
        <w:tc>
          <w:tcPr>
            <w:tcW w:w="3092" w:type="pct"/>
            <w:noWrap/>
            <w:vAlign w:val="center"/>
            <w:hideMark/>
          </w:tcPr>
          <w:p w14:paraId="0EEF661A"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Memoar</w:t>
            </w:r>
          </w:p>
        </w:tc>
        <w:tc>
          <w:tcPr>
            <w:tcW w:w="1133" w:type="pct"/>
            <w:noWrap/>
            <w:vAlign w:val="center"/>
            <w:hideMark/>
          </w:tcPr>
          <w:p w14:paraId="112CB469"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Norway</w:t>
            </w:r>
          </w:p>
        </w:tc>
        <w:tc>
          <w:tcPr>
            <w:tcW w:w="775" w:type="pct"/>
            <w:noWrap/>
            <w:vAlign w:val="center"/>
            <w:hideMark/>
          </w:tcPr>
          <w:p w14:paraId="7B11E620"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NGO-90652</w:t>
            </w:r>
          </w:p>
        </w:tc>
      </w:tr>
      <w:tr w:rsidR="00C72113" w:rsidRPr="00043B08" w14:paraId="6594EB30" w14:textId="77777777" w:rsidTr="00526E62">
        <w:trPr>
          <w:trHeight w:val="624"/>
        </w:trPr>
        <w:tc>
          <w:tcPr>
            <w:tcW w:w="3092" w:type="pct"/>
            <w:shd w:val="clear" w:color="auto" w:fill="DEEAF6" w:themeFill="accent1" w:themeFillTint="33"/>
            <w:noWrap/>
            <w:vAlign w:val="center"/>
            <w:hideMark/>
          </w:tcPr>
          <w:p w14:paraId="04A142C9"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Mim Sanat Derneği </w:t>
            </w:r>
            <w:r w:rsidRPr="00043B08">
              <w:rPr>
                <w:rFonts w:ascii="Arial" w:hAnsi="Arial" w:cs="Arial"/>
                <w:b/>
                <w:bCs/>
                <w:sz w:val="20"/>
                <w:szCs w:val="20"/>
                <w:lang w:val="en-GB"/>
              </w:rPr>
              <w:br/>
            </w:r>
            <w:r w:rsidRPr="00043B08">
              <w:rPr>
                <w:rFonts w:ascii="Arial" w:hAnsi="Arial" w:cs="Arial"/>
                <w:sz w:val="20"/>
                <w:szCs w:val="20"/>
                <w:lang w:val="en-GB"/>
              </w:rPr>
              <w:t>Mim Art Association</w:t>
            </w:r>
          </w:p>
        </w:tc>
        <w:tc>
          <w:tcPr>
            <w:tcW w:w="1133" w:type="pct"/>
            <w:shd w:val="clear" w:color="auto" w:fill="DEEAF6" w:themeFill="accent1" w:themeFillTint="33"/>
            <w:noWrap/>
            <w:vAlign w:val="center"/>
            <w:hideMark/>
          </w:tcPr>
          <w:p w14:paraId="398BD7B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EEAF6" w:themeFill="accent1" w:themeFillTint="33"/>
            <w:noWrap/>
            <w:vAlign w:val="center"/>
            <w:hideMark/>
          </w:tcPr>
          <w:p w14:paraId="44E02269"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NGO-90654</w:t>
            </w:r>
          </w:p>
        </w:tc>
      </w:tr>
      <w:tr w:rsidR="00C72113" w:rsidRPr="00043B08" w14:paraId="70C4C7D0" w14:textId="77777777" w:rsidTr="00526E62">
        <w:trPr>
          <w:trHeight w:val="290"/>
        </w:trPr>
        <w:tc>
          <w:tcPr>
            <w:tcW w:w="3092" w:type="pct"/>
            <w:noWrap/>
            <w:vAlign w:val="center"/>
            <w:hideMark/>
          </w:tcPr>
          <w:p w14:paraId="1D0F707F"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National Association of Garinagu Teachers - Garinagu Dundei</w:t>
            </w:r>
          </w:p>
        </w:tc>
        <w:tc>
          <w:tcPr>
            <w:tcW w:w="1133" w:type="pct"/>
            <w:noWrap/>
            <w:vAlign w:val="center"/>
            <w:hideMark/>
          </w:tcPr>
          <w:p w14:paraId="745B8CB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Guatemala</w:t>
            </w:r>
          </w:p>
        </w:tc>
        <w:tc>
          <w:tcPr>
            <w:tcW w:w="775" w:type="pct"/>
            <w:noWrap/>
            <w:vAlign w:val="center"/>
            <w:hideMark/>
          </w:tcPr>
          <w:p w14:paraId="7732BE8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NGO-90603</w:t>
            </w:r>
          </w:p>
        </w:tc>
      </w:tr>
      <w:tr w:rsidR="00C72113" w:rsidRPr="00043B08" w14:paraId="482798F1" w14:textId="77777777" w:rsidTr="00526E62">
        <w:trPr>
          <w:trHeight w:val="290"/>
        </w:trPr>
        <w:tc>
          <w:tcPr>
            <w:tcW w:w="3092" w:type="pct"/>
            <w:shd w:val="clear" w:color="auto" w:fill="DEEAF6" w:themeFill="accent1" w:themeFillTint="33"/>
            <w:noWrap/>
            <w:vAlign w:val="center"/>
          </w:tcPr>
          <w:p w14:paraId="4832775D"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Norsk folkedraktforum</w:t>
            </w:r>
            <w:r w:rsidRPr="00043B08">
              <w:rPr>
                <w:rFonts w:ascii="Arial" w:hAnsi="Arial" w:cs="Arial"/>
                <w:b/>
                <w:bCs/>
                <w:sz w:val="20"/>
                <w:szCs w:val="20"/>
                <w:lang w:val="en-GB"/>
              </w:rPr>
              <w:br/>
            </w:r>
            <w:r w:rsidRPr="00043B08">
              <w:rPr>
                <w:rFonts w:ascii="Arial" w:hAnsi="Arial" w:cs="Arial"/>
                <w:sz w:val="20"/>
                <w:szCs w:val="20"/>
                <w:lang w:val="en-GB"/>
              </w:rPr>
              <w:t>Forum for National Costumes in Norway</w:t>
            </w:r>
          </w:p>
        </w:tc>
        <w:tc>
          <w:tcPr>
            <w:tcW w:w="1133" w:type="pct"/>
            <w:shd w:val="clear" w:color="auto" w:fill="DEEAF6" w:themeFill="accent1" w:themeFillTint="33"/>
            <w:noWrap/>
            <w:vAlign w:val="center"/>
          </w:tcPr>
          <w:p w14:paraId="531A0DE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Norway</w:t>
            </w:r>
          </w:p>
        </w:tc>
        <w:tc>
          <w:tcPr>
            <w:tcW w:w="775" w:type="pct"/>
            <w:shd w:val="clear" w:color="auto" w:fill="DEEAF6" w:themeFill="accent1" w:themeFillTint="33"/>
            <w:noWrap/>
            <w:vAlign w:val="center"/>
          </w:tcPr>
          <w:p w14:paraId="2994AFC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NGO-90598</w:t>
            </w:r>
          </w:p>
        </w:tc>
      </w:tr>
      <w:tr w:rsidR="00C72113" w:rsidRPr="00043B08" w14:paraId="724C8F05" w14:textId="77777777" w:rsidTr="00526E62">
        <w:trPr>
          <w:trHeight w:val="624"/>
        </w:trPr>
        <w:tc>
          <w:tcPr>
            <w:tcW w:w="3092" w:type="pct"/>
            <w:noWrap/>
            <w:vAlign w:val="center"/>
            <w:hideMark/>
          </w:tcPr>
          <w:p w14:paraId="32232BDF"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ONG Génération Ekang - GEK</w:t>
            </w:r>
          </w:p>
        </w:tc>
        <w:tc>
          <w:tcPr>
            <w:tcW w:w="1133" w:type="pct"/>
            <w:noWrap/>
            <w:vAlign w:val="center"/>
            <w:hideMark/>
          </w:tcPr>
          <w:p w14:paraId="0A56C715"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Gabon</w:t>
            </w:r>
          </w:p>
        </w:tc>
        <w:tc>
          <w:tcPr>
            <w:tcW w:w="775" w:type="pct"/>
            <w:noWrap/>
            <w:vAlign w:val="center"/>
            <w:hideMark/>
          </w:tcPr>
          <w:p w14:paraId="3E20258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NGO-90649</w:t>
            </w:r>
          </w:p>
        </w:tc>
      </w:tr>
      <w:tr w:rsidR="00C72113" w:rsidRPr="00043B08" w14:paraId="40950D2B" w14:textId="77777777" w:rsidTr="00526E62">
        <w:trPr>
          <w:trHeight w:val="290"/>
        </w:trPr>
        <w:tc>
          <w:tcPr>
            <w:tcW w:w="3092" w:type="pct"/>
            <w:shd w:val="clear" w:color="auto" w:fill="DEEAF6" w:themeFill="accent1" w:themeFillTint="33"/>
            <w:noWrap/>
            <w:vAlign w:val="center"/>
          </w:tcPr>
          <w:p w14:paraId="7E17B0FE"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Persatuan Penggiat Seni Dan Kebudayaan Malaysia Kuching</w:t>
            </w:r>
            <w:r w:rsidRPr="00043B08">
              <w:rPr>
                <w:rFonts w:ascii="Arial" w:hAnsi="Arial" w:cs="Arial"/>
                <w:b/>
                <w:bCs/>
                <w:sz w:val="20"/>
                <w:szCs w:val="20"/>
                <w:lang w:val="en-GB"/>
              </w:rPr>
              <w:br/>
            </w:r>
            <w:r w:rsidRPr="00043B08">
              <w:rPr>
                <w:rFonts w:ascii="Arial" w:hAnsi="Arial" w:cs="Arial"/>
                <w:sz w:val="20"/>
                <w:szCs w:val="20"/>
                <w:lang w:val="en-GB"/>
              </w:rPr>
              <w:t>Malaysia Arts And Cultural Practitioners Association Kuching – MACPA</w:t>
            </w:r>
          </w:p>
        </w:tc>
        <w:tc>
          <w:tcPr>
            <w:tcW w:w="1133" w:type="pct"/>
            <w:shd w:val="clear" w:color="auto" w:fill="DEEAF6" w:themeFill="accent1" w:themeFillTint="33"/>
            <w:noWrap/>
            <w:vAlign w:val="center"/>
          </w:tcPr>
          <w:p w14:paraId="6DEDFBF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Malaysia</w:t>
            </w:r>
          </w:p>
        </w:tc>
        <w:tc>
          <w:tcPr>
            <w:tcW w:w="775" w:type="pct"/>
            <w:shd w:val="clear" w:color="auto" w:fill="DEEAF6" w:themeFill="accent1" w:themeFillTint="33"/>
            <w:noWrap/>
            <w:vAlign w:val="center"/>
          </w:tcPr>
          <w:p w14:paraId="5DE8A1D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NGO-90669</w:t>
            </w:r>
          </w:p>
        </w:tc>
      </w:tr>
      <w:tr w:rsidR="00C72113" w:rsidRPr="00043B08" w14:paraId="3600452B" w14:textId="77777777" w:rsidTr="00526E62">
        <w:trPr>
          <w:trHeight w:val="624"/>
        </w:trPr>
        <w:tc>
          <w:tcPr>
            <w:tcW w:w="3092" w:type="pct"/>
            <w:noWrap/>
            <w:vAlign w:val="center"/>
            <w:hideMark/>
          </w:tcPr>
          <w:p w14:paraId="31270B94"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Persatuan Peranakan Baba Nyonya Malaysia </w:t>
            </w:r>
            <w:r w:rsidRPr="00043B08">
              <w:rPr>
                <w:rFonts w:ascii="Arial" w:hAnsi="Arial" w:cs="Arial"/>
                <w:b/>
                <w:bCs/>
                <w:sz w:val="20"/>
                <w:szCs w:val="20"/>
                <w:lang w:val="en-GB"/>
              </w:rPr>
              <w:br/>
            </w:r>
            <w:r w:rsidRPr="00043B08">
              <w:rPr>
                <w:rFonts w:ascii="Arial" w:hAnsi="Arial" w:cs="Arial"/>
                <w:sz w:val="20"/>
                <w:szCs w:val="20"/>
                <w:lang w:val="en-GB"/>
              </w:rPr>
              <w:t>Baba Nyonya Association of Malaysia</w:t>
            </w:r>
          </w:p>
        </w:tc>
        <w:tc>
          <w:tcPr>
            <w:tcW w:w="1133" w:type="pct"/>
            <w:noWrap/>
            <w:vAlign w:val="center"/>
            <w:hideMark/>
          </w:tcPr>
          <w:p w14:paraId="41F4084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Malaysia</w:t>
            </w:r>
          </w:p>
        </w:tc>
        <w:tc>
          <w:tcPr>
            <w:tcW w:w="775" w:type="pct"/>
            <w:noWrap/>
            <w:vAlign w:val="center"/>
            <w:hideMark/>
          </w:tcPr>
          <w:p w14:paraId="49ED772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NGO-90651</w:t>
            </w:r>
          </w:p>
        </w:tc>
      </w:tr>
      <w:tr w:rsidR="00C72113" w:rsidRPr="00043B08" w14:paraId="685520C7" w14:textId="77777777" w:rsidTr="00526E62">
        <w:trPr>
          <w:trHeight w:val="624"/>
        </w:trPr>
        <w:tc>
          <w:tcPr>
            <w:tcW w:w="3092" w:type="pct"/>
            <w:shd w:val="clear" w:color="auto" w:fill="DEEAF6" w:themeFill="accent1" w:themeFillTint="33"/>
            <w:noWrap/>
            <w:vAlign w:val="center"/>
            <w:hideMark/>
          </w:tcPr>
          <w:p w14:paraId="436A5917"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Pinelands Creative Workshop - PCW</w:t>
            </w:r>
          </w:p>
        </w:tc>
        <w:tc>
          <w:tcPr>
            <w:tcW w:w="1133" w:type="pct"/>
            <w:shd w:val="clear" w:color="auto" w:fill="DEEAF6" w:themeFill="accent1" w:themeFillTint="33"/>
            <w:noWrap/>
            <w:vAlign w:val="center"/>
            <w:hideMark/>
          </w:tcPr>
          <w:p w14:paraId="61E8925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Barbados</w:t>
            </w:r>
          </w:p>
        </w:tc>
        <w:tc>
          <w:tcPr>
            <w:tcW w:w="775" w:type="pct"/>
            <w:shd w:val="clear" w:color="auto" w:fill="DEEAF6" w:themeFill="accent1" w:themeFillTint="33"/>
            <w:noWrap/>
            <w:vAlign w:val="center"/>
            <w:hideMark/>
          </w:tcPr>
          <w:p w14:paraId="3243A672"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NGO-90607</w:t>
            </w:r>
          </w:p>
        </w:tc>
      </w:tr>
      <w:tr w:rsidR="00C72113" w:rsidRPr="00043B08" w14:paraId="2370C78C" w14:textId="77777777" w:rsidTr="00526E62">
        <w:trPr>
          <w:trHeight w:val="290"/>
        </w:trPr>
        <w:tc>
          <w:tcPr>
            <w:tcW w:w="3092" w:type="pct"/>
            <w:noWrap/>
            <w:vAlign w:val="center"/>
          </w:tcPr>
          <w:p w14:paraId="24D7696E"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Poetawango Spoken Word Poetry</w:t>
            </w:r>
          </w:p>
        </w:tc>
        <w:tc>
          <w:tcPr>
            <w:tcW w:w="1133" w:type="pct"/>
            <w:noWrap/>
            <w:vAlign w:val="center"/>
          </w:tcPr>
          <w:p w14:paraId="76F47374"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Botswana</w:t>
            </w:r>
          </w:p>
        </w:tc>
        <w:tc>
          <w:tcPr>
            <w:tcW w:w="775" w:type="pct"/>
            <w:noWrap/>
            <w:vAlign w:val="center"/>
          </w:tcPr>
          <w:p w14:paraId="1AFE28D2"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NGO-90646</w:t>
            </w:r>
          </w:p>
        </w:tc>
      </w:tr>
      <w:tr w:rsidR="00C72113" w:rsidRPr="00043B08" w14:paraId="78090720" w14:textId="77777777" w:rsidTr="00526E62">
        <w:trPr>
          <w:trHeight w:val="624"/>
        </w:trPr>
        <w:tc>
          <w:tcPr>
            <w:tcW w:w="3092" w:type="pct"/>
            <w:shd w:val="clear" w:color="auto" w:fill="DEEAF6" w:themeFill="accent1" w:themeFillTint="33"/>
            <w:noWrap/>
            <w:vAlign w:val="center"/>
            <w:hideMark/>
          </w:tcPr>
          <w:p w14:paraId="38A415BC"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Proyecto Impacto Consultores</w:t>
            </w:r>
          </w:p>
        </w:tc>
        <w:tc>
          <w:tcPr>
            <w:tcW w:w="1133" w:type="pct"/>
            <w:shd w:val="clear" w:color="auto" w:fill="DEEAF6" w:themeFill="accent1" w:themeFillTint="33"/>
            <w:noWrap/>
            <w:vAlign w:val="center"/>
            <w:hideMark/>
          </w:tcPr>
          <w:p w14:paraId="09E298E7"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Mexico</w:t>
            </w:r>
          </w:p>
        </w:tc>
        <w:tc>
          <w:tcPr>
            <w:tcW w:w="775" w:type="pct"/>
            <w:shd w:val="clear" w:color="auto" w:fill="DEEAF6" w:themeFill="accent1" w:themeFillTint="33"/>
            <w:noWrap/>
            <w:vAlign w:val="center"/>
            <w:hideMark/>
          </w:tcPr>
          <w:p w14:paraId="551093F5"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NGO-90663</w:t>
            </w:r>
          </w:p>
        </w:tc>
      </w:tr>
      <w:tr w:rsidR="00C72113" w:rsidRPr="00043B08" w14:paraId="0717011A" w14:textId="77777777" w:rsidTr="00526E62">
        <w:trPr>
          <w:trHeight w:val="624"/>
        </w:trPr>
        <w:tc>
          <w:tcPr>
            <w:tcW w:w="3092" w:type="pct"/>
            <w:noWrap/>
            <w:vAlign w:val="center"/>
            <w:hideMark/>
          </w:tcPr>
          <w:p w14:paraId="0D6350C3" w14:textId="77777777" w:rsidR="00C72113" w:rsidRPr="00043B08" w:rsidRDefault="00C72113" w:rsidP="00526E62">
            <w:pPr>
              <w:spacing w:before="120" w:after="120"/>
              <w:rPr>
                <w:rFonts w:ascii="Arial" w:hAnsi="Arial" w:cs="Arial"/>
                <w:b/>
                <w:bCs/>
                <w:sz w:val="20"/>
                <w:szCs w:val="20"/>
              </w:rPr>
            </w:pPr>
            <w:r w:rsidRPr="00043B08">
              <w:rPr>
                <w:rFonts w:ascii="Arial" w:hAnsi="Arial" w:cs="Arial"/>
                <w:b/>
                <w:bCs/>
                <w:sz w:val="20"/>
                <w:szCs w:val="20"/>
              </w:rPr>
              <w:t xml:space="preserve">Sevenadurioù Breizh </w:t>
            </w:r>
            <w:r w:rsidRPr="00043B08">
              <w:rPr>
                <w:rFonts w:ascii="Arial" w:hAnsi="Arial" w:cs="Arial"/>
                <w:b/>
                <w:bCs/>
                <w:sz w:val="20"/>
                <w:szCs w:val="20"/>
              </w:rPr>
              <w:br/>
            </w:r>
            <w:r w:rsidRPr="00043B08">
              <w:rPr>
                <w:rFonts w:ascii="Arial" w:hAnsi="Arial" w:cs="Arial"/>
                <w:sz w:val="20"/>
                <w:szCs w:val="20"/>
              </w:rPr>
              <w:t>Bretagne Culture Diversité - BCD</w:t>
            </w:r>
          </w:p>
        </w:tc>
        <w:tc>
          <w:tcPr>
            <w:tcW w:w="1133" w:type="pct"/>
            <w:noWrap/>
            <w:vAlign w:val="center"/>
            <w:hideMark/>
          </w:tcPr>
          <w:p w14:paraId="361DFF50"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noWrap/>
            <w:vAlign w:val="center"/>
            <w:hideMark/>
          </w:tcPr>
          <w:p w14:paraId="37D87BED"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NGO-90614</w:t>
            </w:r>
          </w:p>
        </w:tc>
      </w:tr>
      <w:tr w:rsidR="00C72113" w:rsidRPr="00043B08" w14:paraId="2F158256" w14:textId="77777777" w:rsidTr="00526E62">
        <w:trPr>
          <w:trHeight w:val="290"/>
        </w:trPr>
        <w:tc>
          <w:tcPr>
            <w:tcW w:w="3092" w:type="pct"/>
            <w:shd w:val="clear" w:color="auto" w:fill="DEEAF6" w:themeFill="accent1" w:themeFillTint="33"/>
            <w:noWrap/>
            <w:vAlign w:val="center"/>
            <w:hideMark/>
          </w:tcPr>
          <w:p w14:paraId="1891F94C"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Slow Food Bergen</w:t>
            </w:r>
          </w:p>
        </w:tc>
        <w:tc>
          <w:tcPr>
            <w:tcW w:w="1133" w:type="pct"/>
            <w:shd w:val="clear" w:color="auto" w:fill="DEEAF6" w:themeFill="accent1" w:themeFillTint="33"/>
            <w:noWrap/>
            <w:vAlign w:val="center"/>
            <w:hideMark/>
          </w:tcPr>
          <w:p w14:paraId="33158A96"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Norway</w:t>
            </w:r>
          </w:p>
        </w:tc>
        <w:tc>
          <w:tcPr>
            <w:tcW w:w="775" w:type="pct"/>
            <w:shd w:val="clear" w:color="auto" w:fill="DEEAF6" w:themeFill="accent1" w:themeFillTint="33"/>
            <w:noWrap/>
            <w:vAlign w:val="center"/>
            <w:hideMark/>
          </w:tcPr>
          <w:p w14:paraId="5C727C40"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NGO-90660</w:t>
            </w:r>
          </w:p>
        </w:tc>
      </w:tr>
      <w:tr w:rsidR="00C72113" w:rsidRPr="00043B08" w14:paraId="5C8E934E" w14:textId="77777777" w:rsidTr="00526E62">
        <w:trPr>
          <w:trHeight w:val="624"/>
        </w:trPr>
        <w:tc>
          <w:tcPr>
            <w:tcW w:w="3092" w:type="pct"/>
            <w:noWrap/>
            <w:vAlign w:val="center"/>
            <w:hideMark/>
          </w:tcPr>
          <w:p w14:paraId="6735E3F9"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Stichting Caravane Earth</w:t>
            </w:r>
          </w:p>
        </w:tc>
        <w:tc>
          <w:tcPr>
            <w:tcW w:w="1133" w:type="pct"/>
            <w:noWrap/>
            <w:vAlign w:val="center"/>
            <w:hideMark/>
          </w:tcPr>
          <w:p w14:paraId="1977B34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Netherlands (Kingdom of the)</w:t>
            </w:r>
          </w:p>
        </w:tc>
        <w:tc>
          <w:tcPr>
            <w:tcW w:w="775" w:type="pct"/>
            <w:noWrap/>
            <w:vAlign w:val="center"/>
            <w:hideMark/>
          </w:tcPr>
          <w:p w14:paraId="2025933F"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NGO-90601</w:t>
            </w:r>
          </w:p>
        </w:tc>
      </w:tr>
      <w:tr w:rsidR="00C72113" w:rsidRPr="00043B08" w14:paraId="1B7FADBD" w14:textId="77777777" w:rsidTr="00526E62">
        <w:trPr>
          <w:trHeight w:val="290"/>
        </w:trPr>
        <w:tc>
          <w:tcPr>
            <w:tcW w:w="3092" w:type="pct"/>
            <w:shd w:val="clear" w:color="auto" w:fill="DEEAF6" w:themeFill="accent1" w:themeFillTint="33"/>
            <w:noWrap/>
            <w:vAlign w:val="center"/>
          </w:tcPr>
          <w:p w14:paraId="64B5F2BF"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Stiftelsen Länsmuseet Västernorrland</w:t>
            </w:r>
            <w:r w:rsidRPr="00043B08">
              <w:rPr>
                <w:rFonts w:ascii="Arial" w:hAnsi="Arial" w:cs="Arial"/>
                <w:b/>
                <w:bCs/>
                <w:sz w:val="20"/>
                <w:szCs w:val="20"/>
                <w:lang w:val="en-GB"/>
              </w:rPr>
              <w:br/>
            </w:r>
            <w:r w:rsidRPr="00043B08">
              <w:rPr>
                <w:rFonts w:ascii="Arial" w:hAnsi="Arial" w:cs="Arial"/>
                <w:sz w:val="20"/>
                <w:szCs w:val="20"/>
                <w:lang w:val="en-GB"/>
              </w:rPr>
              <w:t>Västernorrland County Museum Foundation</w:t>
            </w:r>
          </w:p>
        </w:tc>
        <w:tc>
          <w:tcPr>
            <w:tcW w:w="1133" w:type="pct"/>
            <w:shd w:val="clear" w:color="auto" w:fill="DEEAF6" w:themeFill="accent1" w:themeFillTint="33"/>
            <w:noWrap/>
            <w:vAlign w:val="center"/>
          </w:tcPr>
          <w:p w14:paraId="332E7A4E"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Sweden</w:t>
            </w:r>
          </w:p>
        </w:tc>
        <w:tc>
          <w:tcPr>
            <w:tcW w:w="775" w:type="pct"/>
            <w:shd w:val="clear" w:color="auto" w:fill="DEEAF6" w:themeFill="accent1" w:themeFillTint="33"/>
            <w:noWrap/>
            <w:vAlign w:val="center"/>
          </w:tcPr>
          <w:p w14:paraId="1916D1E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NGO-90626</w:t>
            </w:r>
          </w:p>
        </w:tc>
      </w:tr>
      <w:tr w:rsidR="00C72113" w:rsidRPr="00043B08" w14:paraId="3613087C" w14:textId="77777777" w:rsidTr="00526E62">
        <w:trPr>
          <w:trHeight w:val="624"/>
        </w:trPr>
        <w:tc>
          <w:tcPr>
            <w:tcW w:w="3092" w:type="pct"/>
            <w:noWrap/>
            <w:vAlign w:val="center"/>
            <w:hideMark/>
          </w:tcPr>
          <w:p w14:paraId="0C38FA30"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lastRenderedPageBreak/>
              <w:t>Sylvia Lanka Foundation - SLF</w:t>
            </w:r>
          </w:p>
        </w:tc>
        <w:tc>
          <w:tcPr>
            <w:tcW w:w="1133" w:type="pct"/>
            <w:noWrap/>
            <w:vAlign w:val="center"/>
            <w:hideMark/>
          </w:tcPr>
          <w:p w14:paraId="00E2C4B4"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United Kingdom of Great Britain and Northern Ireland</w:t>
            </w:r>
          </w:p>
        </w:tc>
        <w:tc>
          <w:tcPr>
            <w:tcW w:w="775" w:type="pct"/>
            <w:noWrap/>
            <w:vAlign w:val="center"/>
            <w:hideMark/>
          </w:tcPr>
          <w:p w14:paraId="16A0E8E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NGO-90605</w:t>
            </w:r>
          </w:p>
        </w:tc>
      </w:tr>
      <w:tr w:rsidR="00C72113" w:rsidRPr="00043B08" w14:paraId="703003B2" w14:textId="77777777" w:rsidTr="00526E62">
        <w:trPr>
          <w:trHeight w:val="624"/>
        </w:trPr>
        <w:tc>
          <w:tcPr>
            <w:tcW w:w="3092" w:type="pct"/>
            <w:shd w:val="clear" w:color="auto" w:fill="DEEAF6" w:themeFill="accent1" w:themeFillTint="33"/>
            <w:noWrap/>
            <w:vAlign w:val="center"/>
            <w:hideMark/>
          </w:tcPr>
          <w:p w14:paraId="13394EFC"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Théâtre des Arts Vivants - TAV </w:t>
            </w:r>
            <w:r w:rsidRPr="00043B08">
              <w:rPr>
                <w:rFonts w:ascii="Arial" w:hAnsi="Arial" w:cs="Arial"/>
                <w:b/>
                <w:bCs/>
                <w:sz w:val="20"/>
                <w:szCs w:val="20"/>
                <w:lang w:val="en-GB"/>
              </w:rPr>
              <w:br/>
            </w:r>
            <w:r w:rsidRPr="00043B08">
              <w:rPr>
                <w:rFonts w:ascii="Arial" w:hAnsi="Arial" w:cs="Arial"/>
                <w:sz w:val="20"/>
                <w:szCs w:val="20"/>
                <w:lang w:val="en-GB"/>
              </w:rPr>
              <w:t>Living Arts Theatre</w:t>
            </w:r>
          </w:p>
        </w:tc>
        <w:tc>
          <w:tcPr>
            <w:tcW w:w="1133" w:type="pct"/>
            <w:shd w:val="clear" w:color="auto" w:fill="DEEAF6" w:themeFill="accent1" w:themeFillTint="33"/>
            <w:noWrap/>
            <w:vAlign w:val="center"/>
            <w:hideMark/>
          </w:tcPr>
          <w:p w14:paraId="1897D1BF"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shd w:val="clear" w:color="auto" w:fill="DEEAF6" w:themeFill="accent1" w:themeFillTint="33"/>
            <w:noWrap/>
            <w:vAlign w:val="center"/>
            <w:hideMark/>
          </w:tcPr>
          <w:p w14:paraId="135648B5"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NGO-90680</w:t>
            </w:r>
          </w:p>
        </w:tc>
      </w:tr>
      <w:tr w:rsidR="00C72113" w:rsidRPr="00043B08" w14:paraId="6DBD8152" w14:textId="77777777" w:rsidTr="00526E62">
        <w:trPr>
          <w:trHeight w:val="290"/>
        </w:trPr>
        <w:tc>
          <w:tcPr>
            <w:tcW w:w="3092" w:type="pct"/>
            <w:noWrap/>
            <w:vAlign w:val="center"/>
            <w:hideMark/>
          </w:tcPr>
          <w:p w14:paraId="7D0AA97D"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Trung tâm Nghiên cứu và Phát huy giá trị di sản văn hóa </w:t>
            </w:r>
            <w:r w:rsidRPr="00043B08">
              <w:rPr>
                <w:rFonts w:ascii="Arial" w:hAnsi="Arial" w:cs="Arial"/>
                <w:b/>
                <w:bCs/>
                <w:sz w:val="20"/>
                <w:szCs w:val="20"/>
                <w:lang w:val="en-GB"/>
              </w:rPr>
              <w:br/>
            </w:r>
            <w:r w:rsidRPr="00043B08">
              <w:rPr>
                <w:rFonts w:ascii="Arial" w:hAnsi="Arial" w:cs="Arial"/>
                <w:sz w:val="20"/>
                <w:szCs w:val="20"/>
                <w:lang w:val="en-GB"/>
              </w:rPr>
              <w:t>Center for Research and Promotion of Cultural Heritage - CCH</w:t>
            </w:r>
          </w:p>
        </w:tc>
        <w:tc>
          <w:tcPr>
            <w:tcW w:w="1133" w:type="pct"/>
            <w:noWrap/>
            <w:vAlign w:val="center"/>
            <w:hideMark/>
          </w:tcPr>
          <w:p w14:paraId="1D151AE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Viet Nam</w:t>
            </w:r>
          </w:p>
        </w:tc>
        <w:tc>
          <w:tcPr>
            <w:tcW w:w="775" w:type="pct"/>
            <w:noWrap/>
            <w:vAlign w:val="center"/>
            <w:hideMark/>
          </w:tcPr>
          <w:p w14:paraId="4DB6829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NGO-90666</w:t>
            </w:r>
          </w:p>
        </w:tc>
      </w:tr>
      <w:tr w:rsidR="00C72113" w:rsidRPr="00043B08" w14:paraId="677768A2" w14:textId="77777777" w:rsidTr="00526E62">
        <w:trPr>
          <w:trHeight w:val="290"/>
        </w:trPr>
        <w:tc>
          <w:tcPr>
            <w:tcW w:w="3092" w:type="pct"/>
            <w:shd w:val="clear" w:color="auto" w:fill="DEEAF6" w:themeFill="accent1" w:themeFillTint="33"/>
            <w:noWrap/>
            <w:vAlign w:val="center"/>
          </w:tcPr>
          <w:p w14:paraId="1A172126"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Udruženje za istraživanje, očuvanje i prezentaciju tradicije i kulturne baštine naroda i nacionalnih manjina</w:t>
            </w:r>
            <w:r w:rsidRPr="00043B08">
              <w:rPr>
                <w:rFonts w:ascii="Arial" w:hAnsi="Arial" w:cs="Arial"/>
                <w:b/>
                <w:bCs/>
                <w:sz w:val="20"/>
                <w:szCs w:val="20"/>
                <w:lang w:val="en-GB"/>
              </w:rPr>
              <w:br/>
            </w:r>
            <w:r w:rsidRPr="00043B08">
              <w:rPr>
                <w:rFonts w:ascii="Arial" w:hAnsi="Arial" w:cs="Arial"/>
                <w:sz w:val="20"/>
                <w:szCs w:val="20"/>
                <w:lang w:val="en-GB"/>
              </w:rPr>
              <w:t>Association for research, preservation and presentation of the tradition and cultural heritage of the people and national minorities</w:t>
            </w:r>
          </w:p>
        </w:tc>
        <w:tc>
          <w:tcPr>
            <w:tcW w:w="1133" w:type="pct"/>
            <w:shd w:val="clear" w:color="auto" w:fill="DEEAF6" w:themeFill="accent1" w:themeFillTint="33"/>
            <w:noWrap/>
            <w:vAlign w:val="center"/>
          </w:tcPr>
          <w:p w14:paraId="045F7A1D"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Bosnia and Herzegovina</w:t>
            </w:r>
          </w:p>
        </w:tc>
        <w:tc>
          <w:tcPr>
            <w:tcW w:w="775" w:type="pct"/>
            <w:shd w:val="clear" w:color="auto" w:fill="DEEAF6" w:themeFill="accent1" w:themeFillTint="33"/>
            <w:noWrap/>
            <w:vAlign w:val="center"/>
          </w:tcPr>
          <w:p w14:paraId="5DDC4CB3"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NGO-90636</w:t>
            </w:r>
          </w:p>
        </w:tc>
      </w:tr>
      <w:tr w:rsidR="00C72113" w:rsidRPr="00043B08" w14:paraId="6C2FB256" w14:textId="77777777" w:rsidTr="00526E62">
        <w:trPr>
          <w:trHeight w:val="290"/>
        </w:trPr>
        <w:tc>
          <w:tcPr>
            <w:tcW w:w="3092" w:type="pct"/>
            <w:noWrap/>
            <w:vAlign w:val="center"/>
            <w:hideMark/>
          </w:tcPr>
          <w:p w14:paraId="6AF6077C" w14:textId="77777777" w:rsidR="00C72113" w:rsidRPr="00043B08" w:rsidRDefault="00C72113" w:rsidP="00526E62">
            <w:pPr>
              <w:spacing w:before="120" w:after="120"/>
              <w:rPr>
                <w:rFonts w:ascii="Arial" w:hAnsi="Arial" w:cs="Arial"/>
                <w:b/>
                <w:bCs/>
                <w:sz w:val="20"/>
                <w:szCs w:val="20"/>
                <w:lang w:val="it-IT"/>
              </w:rPr>
            </w:pPr>
            <w:r w:rsidRPr="00043B08">
              <w:rPr>
                <w:rFonts w:ascii="Arial" w:hAnsi="Arial" w:cs="Arial"/>
                <w:b/>
                <w:bCs/>
                <w:sz w:val="20"/>
                <w:szCs w:val="20"/>
                <w:lang w:val="it-IT"/>
              </w:rPr>
              <w:t xml:space="preserve">UNIMA Türkiye Millî Merkezi </w:t>
            </w:r>
            <w:r w:rsidRPr="00043B08">
              <w:rPr>
                <w:rFonts w:ascii="Arial" w:hAnsi="Arial" w:cs="Arial"/>
                <w:b/>
                <w:bCs/>
                <w:sz w:val="20"/>
                <w:szCs w:val="20"/>
                <w:lang w:val="it-IT"/>
              </w:rPr>
              <w:br/>
            </w:r>
            <w:r w:rsidRPr="00043B08">
              <w:rPr>
                <w:rFonts w:ascii="Arial" w:hAnsi="Arial" w:cs="Arial"/>
                <w:sz w:val="20"/>
                <w:szCs w:val="20"/>
                <w:lang w:val="it-IT"/>
              </w:rPr>
              <w:t>UNIMA Türkiye National Center</w:t>
            </w:r>
          </w:p>
        </w:tc>
        <w:tc>
          <w:tcPr>
            <w:tcW w:w="1133" w:type="pct"/>
            <w:noWrap/>
            <w:vAlign w:val="center"/>
            <w:hideMark/>
          </w:tcPr>
          <w:p w14:paraId="7B8A0AD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hideMark/>
          </w:tcPr>
          <w:p w14:paraId="79CDEDF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NGO-90673</w:t>
            </w:r>
          </w:p>
        </w:tc>
      </w:tr>
      <w:tr w:rsidR="00C72113" w:rsidRPr="00043B08" w14:paraId="7732368F" w14:textId="77777777" w:rsidTr="00526E62">
        <w:trPr>
          <w:trHeight w:val="290"/>
        </w:trPr>
        <w:tc>
          <w:tcPr>
            <w:tcW w:w="3092" w:type="pct"/>
            <w:shd w:val="clear" w:color="auto" w:fill="DEEAF6" w:themeFill="accent1" w:themeFillTint="33"/>
            <w:noWrap/>
            <w:vAlign w:val="center"/>
            <w:hideMark/>
          </w:tcPr>
          <w:p w14:paraId="7CD98CB1"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World Intangible Cultural Heritage Protection and Development Foundation, Inc. - WICHPDF</w:t>
            </w:r>
          </w:p>
        </w:tc>
        <w:tc>
          <w:tcPr>
            <w:tcW w:w="1133" w:type="pct"/>
            <w:shd w:val="clear" w:color="auto" w:fill="DEEAF6" w:themeFill="accent1" w:themeFillTint="33"/>
            <w:noWrap/>
            <w:vAlign w:val="center"/>
            <w:hideMark/>
          </w:tcPr>
          <w:p w14:paraId="40F76174"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United States of America</w:t>
            </w:r>
          </w:p>
        </w:tc>
        <w:tc>
          <w:tcPr>
            <w:tcW w:w="775" w:type="pct"/>
            <w:shd w:val="clear" w:color="auto" w:fill="DEEAF6" w:themeFill="accent1" w:themeFillTint="33"/>
            <w:noWrap/>
            <w:vAlign w:val="center"/>
            <w:hideMark/>
          </w:tcPr>
          <w:p w14:paraId="6D62826B"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NGO-90685</w:t>
            </w:r>
          </w:p>
        </w:tc>
      </w:tr>
      <w:tr w:rsidR="00C72113" w:rsidRPr="00043B08" w14:paraId="7893A17A" w14:textId="77777777" w:rsidTr="00526E62">
        <w:trPr>
          <w:trHeight w:val="290"/>
        </w:trPr>
        <w:tc>
          <w:tcPr>
            <w:tcW w:w="3092" w:type="pct"/>
            <w:noWrap/>
            <w:vAlign w:val="center"/>
          </w:tcPr>
          <w:p w14:paraId="5C63F72C"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Yolda Derneği</w:t>
            </w:r>
            <w:r w:rsidRPr="00043B08">
              <w:rPr>
                <w:rFonts w:ascii="Arial" w:hAnsi="Arial" w:cs="Arial"/>
                <w:b/>
                <w:bCs/>
                <w:sz w:val="20"/>
                <w:szCs w:val="20"/>
                <w:lang w:val="en-GB"/>
              </w:rPr>
              <w:br/>
            </w:r>
            <w:r w:rsidRPr="00043B08">
              <w:rPr>
                <w:rFonts w:ascii="Arial" w:hAnsi="Arial" w:cs="Arial"/>
                <w:sz w:val="20"/>
                <w:szCs w:val="20"/>
                <w:lang w:val="en-GB"/>
              </w:rPr>
              <w:t>Yolda Association</w:t>
            </w:r>
            <w:r w:rsidRPr="00043B08">
              <w:rPr>
                <w:rFonts w:ascii="Arial" w:hAnsi="Arial" w:cs="Arial"/>
                <w:b/>
                <w:bCs/>
                <w:sz w:val="20"/>
                <w:szCs w:val="20"/>
                <w:lang w:val="en-GB"/>
              </w:rPr>
              <w:tab/>
            </w:r>
            <w:r w:rsidRPr="00043B08">
              <w:rPr>
                <w:rFonts w:ascii="Arial" w:hAnsi="Arial" w:cs="Arial"/>
                <w:b/>
                <w:bCs/>
                <w:sz w:val="20"/>
                <w:szCs w:val="20"/>
                <w:lang w:val="en-GB"/>
              </w:rPr>
              <w:tab/>
            </w:r>
          </w:p>
        </w:tc>
        <w:tc>
          <w:tcPr>
            <w:tcW w:w="1133" w:type="pct"/>
            <w:noWrap/>
            <w:vAlign w:val="center"/>
          </w:tcPr>
          <w:p w14:paraId="020E2A21"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tcPr>
          <w:p w14:paraId="7472F0FA"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NGO-90622</w:t>
            </w:r>
          </w:p>
        </w:tc>
      </w:tr>
      <w:tr w:rsidR="00C72113" w:rsidRPr="00043B08" w14:paraId="651F6B6E" w14:textId="77777777" w:rsidTr="00526E62">
        <w:trPr>
          <w:trHeight w:val="624"/>
        </w:trPr>
        <w:tc>
          <w:tcPr>
            <w:tcW w:w="3092" w:type="pct"/>
            <w:shd w:val="clear" w:color="auto" w:fill="DEEAF6" w:themeFill="accent1" w:themeFillTint="33"/>
            <w:noWrap/>
            <w:vAlign w:val="center"/>
            <w:hideMark/>
          </w:tcPr>
          <w:p w14:paraId="52A6C36C" w14:textId="77777777" w:rsidR="00C72113" w:rsidRPr="00043B08" w:rsidRDefault="00C72113" w:rsidP="00526E62">
            <w:pPr>
              <w:spacing w:before="120" w:after="120"/>
              <w:rPr>
                <w:rFonts w:ascii="Arial" w:hAnsi="Arial" w:cs="Arial"/>
                <w:b/>
                <w:bCs/>
                <w:sz w:val="20"/>
                <w:szCs w:val="20"/>
                <w:lang w:val="en-GB"/>
              </w:rPr>
            </w:pPr>
            <w:r w:rsidRPr="00043B08">
              <w:rPr>
                <w:rFonts w:ascii="Arial" w:hAnsi="Arial" w:cs="Arial"/>
                <w:b/>
                <w:bCs/>
                <w:sz w:val="20"/>
                <w:szCs w:val="20"/>
                <w:lang w:val="en-GB"/>
              </w:rPr>
              <w:t xml:space="preserve">АЛЄМ </w:t>
            </w:r>
            <w:r w:rsidRPr="00043B08">
              <w:rPr>
                <w:rFonts w:ascii="Arial" w:hAnsi="Arial" w:cs="Arial"/>
                <w:b/>
                <w:bCs/>
                <w:sz w:val="20"/>
                <w:szCs w:val="20"/>
                <w:lang w:val="en-GB"/>
              </w:rPr>
              <w:br/>
            </w:r>
            <w:r w:rsidRPr="00043B08">
              <w:rPr>
                <w:rFonts w:ascii="Arial" w:hAnsi="Arial" w:cs="Arial"/>
                <w:sz w:val="20"/>
                <w:szCs w:val="20"/>
                <w:lang w:val="en-GB"/>
              </w:rPr>
              <w:t>ALEM</w:t>
            </w:r>
          </w:p>
        </w:tc>
        <w:tc>
          <w:tcPr>
            <w:tcW w:w="1133" w:type="pct"/>
            <w:shd w:val="clear" w:color="auto" w:fill="DEEAF6" w:themeFill="accent1" w:themeFillTint="33"/>
            <w:noWrap/>
            <w:vAlign w:val="center"/>
            <w:hideMark/>
          </w:tcPr>
          <w:p w14:paraId="62A3FB0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Ukraine</w:t>
            </w:r>
          </w:p>
        </w:tc>
        <w:tc>
          <w:tcPr>
            <w:tcW w:w="775" w:type="pct"/>
            <w:shd w:val="clear" w:color="auto" w:fill="DEEAF6" w:themeFill="accent1" w:themeFillTint="33"/>
            <w:noWrap/>
            <w:vAlign w:val="center"/>
            <w:hideMark/>
          </w:tcPr>
          <w:p w14:paraId="47E2DC04"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NGO-90609</w:t>
            </w:r>
          </w:p>
        </w:tc>
      </w:tr>
      <w:tr w:rsidR="00C72113" w:rsidRPr="00043B08" w14:paraId="16F09D2C" w14:textId="77777777" w:rsidTr="00526E62">
        <w:trPr>
          <w:trHeight w:val="624"/>
        </w:trPr>
        <w:tc>
          <w:tcPr>
            <w:tcW w:w="3092" w:type="pct"/>
            <w:noWrap/>
            <w:vAlign w:val="center"/>
            <w:hideMark/>
          </w:tcPr>
          <w:p w14:paraId="01693CF9" w14:textId="77777777" w:rsidR="00C72113" w:rsidRPr="0047351B" w:rsidRDefault="00C72113" w:rsidP="00526E62">
            <w:pPr>
              <w:spacing w:before="120" w:after="120"/>
              <w:rPr>
                <w:rFonts w:ascii="Arial" w:hAnsi="Arial" w:cs="Arial"/>
                <w:b/>
                <w:bCs/>
                <w:sz w:val="20"/>
                <w:szCs w:val="20"/>
              </w:rPr>
            </w:pPr>
            <w:r w:rsidRPr="00043B08">
              <w:rPr>
                <w:rFonts w:ascii="Arial" w:hAnsi="Arial" w:cs="Arial"/>
                <w:b/>
                <w:bCs/>
                <w:sz w:val="20"/>
                <w:szCs w:val="20"/>
                <w:lang w:val="en-GB"/>
              </w:rPr>
              <w:t>Մշակույթը</w:t>
            </w:r>
            <w:r w:rsidRPr="0047351B">
              <w:rPr>
                <w:rFonts w:ascii="Arial" w:hAnsi="Arial" w:cs="Arial"/>
                <w:b/>
                <w:bCs/>
                <w:sz w:val="20"/>
                <w:szCs w:val="20"/>
              </w:rPr>
              <w:t xml:space="preserve"> </w:t>
            </w:r>
            <w:r w:rsidRPr="00043B08">
              <w:rPr>
                <w:rFonts w:ascii="Arial" w:hAnsi="Arial" w:cs="Arial"/>
                <w:b/>
                <w:bCs/>
                <w:sz w:val="20"/>
                <w:szCs w:val="20"/>
                <w:lang w:val="en-GB"/>
              </w:rPr>
              <w:t>հանուն</w:t>
            </w:r>
            <w:r w:rsidRPr="0047351B">
              <w:rPr>
                <w:rFonts w:ascii="Arial" w:hAnsi="Arial" w:cs="Arial"/>
                <w:b/>
                <w:bCs/>
                <w:sz w:val="20"/>
                <w:szCs w:val="20"/>
              </w:rPr>
              <w:t xml:space="preserve"> </w:t>
            </w:r>
            <w:r w:rsidRPr="00043B08">
              <w:rPr>
                <w:rFonts w:ascii="Arial" w:hAnsi="Arial" w:cs="Arial"/>
                <w:b/>
                <w:bCs/>
                <w:sz w:val="20"/>
                <w:szCs w:val="20"/>
                <w:lang w:val="en-GB"/>
              </w:rPr>
              <w:t>կայուն</w:t>
            </w:r>
            <w:r w:rsidRPr="0047351B">
              <w:rPr>
                <w:rFonts w:ascii="Arial" w:hAnsi="Arial" w:cs="Arial"/>
                <w:b/>
                <w:bCs/>
                <w:sz w:val="20"/>
                <w:szCs w:val="20"/>
              </w:rPr>
              <w:t xml:space="preserve"> </w:t>
            </w:r>
            <w:r w:rsidRPr="00043B08">
              <w:rPr>
                <w:rFonts w:ascii="Arial" w:hAnsi="Arial" w:cs="Arial"/>
                <w:b/>
                <w:bCs/>
                <w:sz w:val="20"/>
                <w:szCs w:val="20"/>
                <w:lang w:val="en-GB"/>
              </w:rPr>
              <w:t>զարգացման</w:t>
            </w:r>
            <w:r w:rsidRPr="0047351B">
              <w:rPr>
                <w:rFonts w:ascii="Arial" w:hAnsi="Arial" w:cs="Arial"/>
                <w:b/>
                <w:bCs/>
                <w:sz w:val="20"/>
                <w:szCs w:val="20"/>
              </w:rPr>
              <w:t xml:space="preserve"> </w:t>
            </w:r>
            <w:r w:rsidRPr="0047351B">
              <w:rPr>
                <w:rFonts w:ascii="Arial" w:hAnsi="Arial" w:cs="Arial"/>
                <w:b/>
                <w:bCs/>
                <w:sz w:val="20"/>
                <w:szCs w:val="20"/>
              </w:rPr>
              <w:br/>
            </w:r>
            <w:r w:rsidRPr="0047351B">
              <w:rPr>
                <w:rFonts w:ascii="Arial" w:hAnsi="Arial" w:cs="Arial"/>
                <w:sz w:val="20"/>
                <w:szCs w:val="20"/>
              </w:rPr>
              <w:t>Culture for Sustainable Development</w:t>
            </w:r>
          </w:p>
        </w:tc>
        <w:tc>
          <w:tcPr>
            <w:tcW w:w="1133" w:type="pct"/>
            <w:noWrap/>
            <w:vAlign w:val="center"/>
            <w:hideMark/>
          </w:tcPr>
          <w:p w14:paraId="3D54C00C"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Armenia</w:t>
            </w:r>
          </w:p>
        </w:tc>
        <w:tc>
          <w:tcPr>
            <w:tcW w:w="775" w:type="pct"/>
            <w:noWrap/>
            <w:vAlign w:val="center"/>
            <w:hideMark/>
          </w:tcPr>
          <w:p w14:paraId="775870E9"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NGO-90632</w:t>
            </w:r>
          </w:p>
        </w:tc>
      </w:tr>
      <w:tr w:rsidR="00C72113" w:rsidRPr="00043B08" w14:paraId="1CC2BDB4" w14:textId="77777777" w:rsidTr="00526E62">
        <w:trPr>
          <w:trHeight w:val="624"/>
        </w:trPr>
        <w:tc>
          <w:tcPr>
            <w:tcW w:w="3092" w:type="pct"/>
            <w:shd w:val="clear" w:color="auto" w:fill="DEEAF6" w:themeFill="accent1" w:themeFillTint="33"/>
            <w:noWrap/>
            <w:vAlign w:val="center"/>
            <w:hideMark/>
          </w:tcPr>
          <w:p w14:paraId="27CA64A5" w14:textId="77777777" w:rsidR="00C72113" w:rsidRPr="00043B08" w:rsidRDefault="00C72113" w:rsidP="00526E62">
            <w:pPr>
              <w:keepNext/>
              <w:spacing w:before="120" w:after="120"/>
              <w:rPr>
                <w:rFonts w:ascii="Arial" w:hAnsi="Arial" w:cs="Arial"/>
                <w:b/>
                <w:bCs/>
                <w:sz w:val="20"/>
                <w:szCs w:val="20"/>
              </w:rPr>
            </w:pPr>
            <w:r w:rsidRPr="00043B08">
              <w:rPr>
                <w:rFonts w:ascii="Nirmala UI" w:hAnsi="Nirmala UI" w:cs="Nirmala UI" w:hint="cs"/>
                <w:b/>
                <w:bCs/>
                <w:sz w:val="20"/>
                <w:szCs w:val="20"/>
                <w:cs/>
                <w:lang w:val="en-GB" w:bidi="hi-IN"/>
              </w:rPr>
              <w:t>राजस्थान</w:t>
            </w:r>
            <w:r w:rsidRPr="00043B08">
              <w:rPr>
                <w:rFonts w:ascii="Arial" w:hAnsi="Arial" w:cs="Arial"/>
                <w:b/>
                <w:bCs/>
                <w:sz w:val="20"/>
                <w:szCs w:val="20"/>
              </w:rPr>
              <w:t xml:space="preserve"> </w:t>
            </w:r>
            <w:r w:rsidRPr="00043B08">
              <w:rPr>
                <w:rFonts w:ascii="Nirmala UI" w:hAnsi="Nirmala UI" w:cs="Nirmala UI" w:hint="cs"/>
                <w:b/>
                <w:bCs/>
                <w:sz w:val="20"/>
                <w:szCs w:val="20"/>
                <w:cs/>
                <w:lang w:val="en-GB" w:bidi="hi-IN"/>
              </w:rPr>
              <w:t>समग्र</w:t>
            </w:r>
            <w:r w:rsidRPr="00043B08">
              <w:rPr>
                <w:rFonts w:ascii="Arial" w:hAnsi="Arial" w:cs="Arial"/>
                <w:b/>
                <w:bCs/>
                <w:sz w:val="20"/>
                <w:szCs w:val="20"/>
              </w:rPr>
              <w:t xml:space="preserve"> </w:t>
            </w:r>
            <w:r w:rsidRPr="00043B08">
              <w:rPr>
                <w:rFonts w:ascii="Nirmala UI" w:hAnsi="Nirmala UI" w:cs="Nirmala UI" w:hint="cs"/>
                <w:b/>
                <w:bCs/>
                <w:sz w:val="20"/>
                <w:szCs w:val="20"/>
                <w:cs/>
                <w:lang w:val="en-GB" w:bidi="hi-IN"/>
              </w:rPr>
              <w:t>कल्याण</w:t>
            </w:r>
            <w:r w:rsidRPr="00043B08">
              <w:rPr>
                <w:rFonts w:ascii="Arial" w:hAnsi="Arial" w:cs="Arial"/>
                <w:b/>
                <w:bCs/>
                <w:sz w:val="20"/>
                <w:szCs w:val="20"/>
              </w:rPr>
              <w:t xml:space="preserve"> </w:t>
            </w:r>
            <w:r w:rsidRPr="00043B08">
              <w:rPr>
                <w:rFonts w:ascii="Nirmala UI" w:hAnsi="Nirmala UI" w:cs="Nirmala UI" w:hint="cs"/>
                <w:b/>
                <w:bCs/>
                <w:sz w:val="20"/>
                <w:szCs w:val="20"/>
                <w:cs/>
                <w:lang w:val="en-GB" w:bidi="hi-IN"/>
              </w:rPr>
              <w:t>संस्थान</w:t>
            </w:r>
            <w:r w:rsidRPr="00043B08">
              <w:rPr>
                <w:rFonts w:ascii="Arial" w:hAnsi="Arial" w:cs="Arial"/>
                <w:b/>
                <w:bCs/>
                <w:sz w:val="20"/>
                <w:szCs w:val="20"/>
              </w:rPr>
              <w:t xml:space="preserve"> </w:t>
            </w:r>
            <w:r w:rsidRPr="00043B08">
              <w:rPr>
                <w:rFonts w:ascii="Arial" w:hAnsi="Arial" w:cs="Arial"/>
                <w:b/>
                <w:bCs/>
                <w:sz w:val="20"/>
                <w:szCs w:val="20"/>
              </w:rPr>
              <w:br/>
            </w:r>
            <w:r w:rsidRPr="00043B08">
              <w:rPr>
                <w:rFonts w:ascii="Arial" w:hAnsi="Arial" w:cs="Arial"/>
                <w:sz w:val="20"/>
                <w:szCs w:val="20"/>
              </w:rPr>
              <w:t>Rajasthan Samgrah Kalyan Sansthan - RSKS India</w:t>
            </w:r>
          </w:p>
        </w:tc>
        <w:tc>
          <w:tcPr>
            <w:tcW w:w="1133" w:type="pct"/>
            <w:shd w:val="clear" w:color="auto" w:fill="DEEAF6" w:themeFill="accent1" w:themeFillTint="33"/>
            <w:noWrap/>
            <w:vAlign w:val="center"/>
            <w:hideMark/>
          </w:tcPr>
          <w:p w14:paraId="1A83E89B" w14:textId="77777777" w:rsidR="00C72113" w:rsidRPr="00043B08" w:rsidRDefault="00C72113" w:rsidP="00526E62">
            <w:pPr>
              <w:keepNext/>
              <w:spacing w:before="120" w:after="120"/>
              <w:jc w:val="center"/>
              <w:rPr>
                <w:rFonts w:ascii="Arial" w:hAnsi="Arial" w:cs="Arial"/>
                <w:sz w:val="20"/>
                <w:szCs w:val="20"/>
                <w:lang w:val="en-GB"/>
              </w:rPr>
            </w:pPr>
            <w:r w:rsidRPr="00043B08">
              <w:rPr>
                <w:rFonts w:ascii="Arial" w:hAnsi="Arial" w:cs="Arial"/>
                <w:sz w:val="20"/>
                <w:szCs w:val="20"/>
                <w:lang w:val="en-GB"/>
              </w:rPr>
              <w:t>India</w:t>
            </w:r>
          </w:p>
        </w:tc>
        <w:tc>
          <w:tcPr>
            <w:tcW w:w="775" w:type="pct"/>
            <w:shd w:val="clear" w:color="auto" w:fill="DEEAF6" w:themeFill="accent1" w:themeFillTint="33"/>
            <w:noWrap/>
            <w:vAlign w:val="center"/>
            <w:hideMark/>
          </w:tcPr>
          <w:p w14:paraId="517F53E8" w14:textId="77777777" w:rsidR="00C72113" w:rsidRPr="00043B08" w:rsidRDefault="00C72113" w:rsidP="00526E62">
            <w:pPr>
              <w:keepNext/>
              <w:spacing w:before="120" w:after="120"/>
              <w:jc w:val="center"/>
              <w:rPr>
                <w:rFonts w:ascii="Arial" w:hAnsi="Arial" w:cs="Arial"/>
                <w:sz w:val="20"/>
                <w:szCs w:val="20"/>
                <w:lang w:val="en-GB"/>
              </w:rPr>
            </w:pPr>
            <w:r w:rsidRPr="00043B08">
              <w:rPr>
                <w:rFonts w:ascii="Arial" w:hAnsi="Arial" w:cs="Arial"/>
                <w:sz w:val="20"/>
                <w:szCs w:val="20"/>
                <w:lang w:val="en-GB"/>
              </w:rPr>
              <w:t>NGO-90625</w:t>
            </w:r>
          </w:p>
        </w:tc>
      </w:tr>
      <w:tr w:rsidR="00C72113" w:rsidRPr="00043B08" w14:paraId="03D92C39" w14:textId="77777777" w:rsidTr="00526E62">
        <w:trPr>
          <w:trHeight w:val="290"/>
        </w:trPr>
        <w:tc>
          <w:tcPr>
            <w:tcW w:w="3092" w:type="pct"/>
            <w:noWrap/>
            <w:vAlign w:val="center"/>
            <w:hideMark/>
          </w:tcPr>
          <w:p w14:paraId="75F474BC" w14:textId="77777777" w:rsidR="00C72113" w:rsidRPr="0047351B" w:rsidRDefault="00C72113" w:rsidP="00526E62">
            <w:pPr>
              <w:spacing w:before="120" w:after="120"/>
              <w:rPr>
                <w:rFonts w:ascii="Arial" w:hAnsi="Arial" w:cs="Arial"/>
                <w:b/>
                <w:bCs/>
                <w:sz w:val="20"/>
                <w:szCs w:val="20"/>
              </w:rPr>
            </w:pPr>
            <w:r w:rsidRPr="00043B08">
              <w:rPr>
                <w:rFonts w:ascii="Arial" w:hAnsi="Arial" w:cs="Arial"/>
                <w:b/>
                <w:bCs/>
                <w:sz w:val="20"/>
                <w:szCs w:val="20"/>
                <w:rtl/>
                <w:lang w:val="en-GB"/>
              </w:rPr>
              <w:t xml:space="preserve">میراث داران فرهنگ هرمزگان </w:t>
            </w:r>
            <w:r w:rsidRPr="0047351B">
              <w:rPr>
                <w:rFonts w:ascii="Arial" w:hAnsi="Arial" w:cs="Arial"/>
                <w:b/>
                <w:bCs/>
                <w:sz w:val="20"/>
                <w:szCs w:val="20"/>
              </w:rPr>
              <w:br/>
            </w:r>
            <w:r w:rsidRPr="0047351B">
              <w:rPr>
                <w:rFonts w:ascii="Arial" w:hAnsi="Arial" w:cs="Arial"/>
                <w:sz w:val="20"/>
                <w:szCs w:val="20"/>
              </w:rPr>
              <w:t>Hormozgan Cultural Heritage Custodians</w:t>
            </w:r>
            <w:r w:rsidRPr="00043B08">
              <w:rPr>
                <w:rFonts w:ascii="Arial" w:hAnsi="Arial" w:cs="Arial"/>
                <w:sz w:val="20"/>
                <w:szCs w:val="20"/>
                <w:rtl/>
                <w:lang w:val="en-GB"/>
              </w:rPr>
              <w:t xml:space="preserve"> </w:t>
            </w:r>
            <w:r w:rsidRPr="0047351B">
              <w:rPr>
                <w:rFonts w:ascii="Arial" w:hAnsi="Arial" w:cs="Arial"/>
                <w:sz w:val="20"/>
                <w:szCs w:val="20"/>
              </w:rPr>
              <w:t>Association - HCHCA</w:t>
            </w:r>
          </w:p>
        </w:tc>
        <w:tc>
          <w:tcPr>
            <w:tcW w:w="1133" w:type="pct"/>
            <w:noWrap/>
            <w:vAlign w:val="center"/>
            <w:hideMark/>
          </w:tcPr>
          <w:p w14:paraId="3E2F420A" w14:textId="77777777" w:rsidR="00C72113" w:rsidRPr="00043B08" w:rsidRDefault="00C72113" w:rsidP="00526E62">
            <w:pPr>
              <w:spacing w:before="120" w:after="120"/>
              <w:jc w:val="center"/>
              <w:rPr>
                <w:rFonts w:ascii="Arial" w:hAnsi="Arial" w:cs="Arial"/>
                <w:sz w:val="20"/>
                <w:szCs w:val="20"/>
                <w:rtl/>
                <w:lang w:val="en-GB"/>
              </w:rPr>
            </w:pPr>
            <w:r w:rsidRPr="00043B08">
              <w:rPr>
                <w:rFonts w:ascii="Arial" w:hAnsi="Arial" w:cs="Arial"/>
                <w:sz w:val="20"/>
                <w:szCs w:val="20"/>
                <w:lang w:val="en-GB"/>
              </w:rPr>
              <w:t>Iran (Islamic Republic of)</w:t>
            </w:r>
          </w:p>
        </w:tc>
        <w:tc>
          <w:tcPr>
            <w:tcW w:w="775" w:type="pct"/>
            <w:noWrap/>
            <w:vAlign w:val="center"/>
            <w:hideMark/>
          </w:tcPr>
          <w:p w14:paraId="36054948" w14:textId="77777777" w:rsidR="00C72113" w:rsidRPr="00043B08" w:rsidRDefault="00C72113" w:rsidP="00526E62">
            <w:pPr>
              <w:spacing w:before="120" w:after="120"/>
              <w:jc w:val="center"/>
              <w:rPr>
                <w:rFonts w:ascii="Arial" w:hAnsi="Arial" w:cs="Arial"/>
                <w:sz w:val="20"/>
                <w:szCs w:val="20"/>
                <w:lang w:val="en-GB"/>
              </w:rPr>
            </w:pPr>
            <w:r w:rsidRPr="00043B08">
              <w:rPr>
                <w:rFonts w:ascii="Arial" w:hAnsi="Arial" w:cs="Arial"/>
                <w:sz w:val="20"/>
                <w:szCs w:val="20"/>
                <w:lang w:val="en-GB"/>
              </w:rPr>
              <w:t>NGO-90644</w:t>
            </w:r>
          </w:p>
        </w:tc>
      </w:tr>
    </w:tbl>
    <w:p w14:paraId="11D701C7" w14:textId="51A54C69" w:rsidR="00C72113" w:rsidRPr="00BB6EEC" w:rsidRDefault="00C72113" w:rsidP="00C72113">
      <w:pPr>
        <w:pStyle w:val="COMTitleDecision"/>
        <w:ind w:left="0"/>
        <w:rPr>
          <w:rFonts w:eastAsia="SimSun"/>
        </w:rPr>
      </w:pPr>
      <w:r>
        <w:t>RESOLUTION</w:t>
      </w:r>
      <w:r w:rsidRPr="00BB6EEC">
        <w:t xml:space="preserve"> 1</w:t>
      </w:r>
      <w:r>
        <w:t>1</w:t>
      </w:r>
      <w:r w:rsidRPr="00BB6EEC">
        <w:t>.</w:t>
      </w:r>
      <w:r>
        <w:t>GA</w:t>
      </w:r>
      <w:r w:rsidRPr="00BB6EEC">
        <w:t xml:space="preserve"> </w:t>
      </w:r>
      <w:r>
        <w:t>10</w:t>
      </w:r>
    </w:p>
    <w:p w14:paraId="006BF9DA" w14:textId="77777777" w:rsidR="00C72113" w:rsidRPr="00BB6EEC" w:rsidRDefault="00C72113" w:rsidP="00C72113">
      <w:pPr>
        <w:pStyle w:val="COMPreambulaDecisions"/>
        <w:ind w:left="0"/>
        <w:rPr>
          <w:rFonts w:eastAsia="SimSun"/>
        </w:rPr>
      </w:pPr>
      <w:r w:rsidRPr="005C792B">
        <w:t>The General Assembly,</w:t>
      </w:r>
    </w:p>
    <w:p w14:paraId="495CC968" w14:textId="7E4F3111" w:rsidR="00C72113" w:rsidRPr="00BB6EEC" w:rsidRDefault="00C72113">
      <w:pPr>
        <w:pStyle w:val="COMParaDecision"/>
        <w:numPr>
          <w:ilvl w:val="0"/>
          <w:numId w:val="13"/>
        </w:numPr>
        <w:ind w:left="540" w:hanging="540"/>
      </w:pPr>
      <w:r w:rsidRPr="00BB6EEC">
        <w:t>Having examined</w:t>
      </w:r>
      <w:r w:rsidRPr="00BB6EEC">
        <w:rPr>
          <w:u w:val="none"/>
        </w:rPr>
        <w:t xml:space="preserve"> document </w:t>
      </w:r>
      <w:hyperlink r:id="rId35" w:history="1">
        <w:r w:rsidRPr="0047351B">
          <w:rPr>
            <w:rStyle w:val="Hyperlink"/>
          </w:rPr>
          <w:t>LHE/26/11.GA/10</w:t>
        </w:r>
      </w:hyperlink>
      <w:r w:rsidRPr="00061A87">
        <w:rPr>
          <w:u w:val="none"/>
        </w:rPr>
        <w:t>,</w:t>
      </w:r>
    </w:p>
    <w:p w14:paraId="07A770E1" w14:textId="77777777" w:rsidR="00C72113" w:rsidRPr="005C792B" w:rsidRDefault="00C72113">
      <w:pPr>
        <w:pStyle w:val="COMParaDecision"/>
        <w:numPr>
          <w:ilvl w:val="0"/>
          <w:numId w:val="13"/>
        </w:numPr>
        <w:ind w:left="540" w:hanging="540"/>
      </w:pPr>
      <w:r w:rsidRPr="00BB6EEC">
        <w:t>Recalling</w:t>
      </w:r>
      <w:r w:rsidRPr="00BB6EEC">
        <w:rPr>
          <w:u w:val="none"/>
        </w:rPr>
        <w:t xml:space="preserve"> </w:t>
      </w:r>
      <w:r w:rsidRPr="00661AC6">
        <w:rPr>
          <w:u w:val="none"/>
        </w:rPr>
        <w:t>Articles 5, 6 and 26.5 of the Convention and Rules 35, 36 and 37 of its Rules of Procedure</w:t>
      </w:r>
      <w:r w:rsidRPr="00BB6EEC">
        <w:rPr>
          <w:u w:val="none"/>
        </w:rPr>
        <w:t>,</w:t>
      </w:r>
    </w:p>
    <w:p w14:paraId="3DA21B5D" w14:textId="77777777" w:rsidR="00C72113" w:rsidRPr="00345CB4" w:rsidRDefault="00C72113">
      <w:pPr>
        <w:pStyle w:val="COMParaDecision"/>
        <w:numPr>
          <w:ilvl w:val="0"/>
          <w:numId w:val="13"/>
        </w:numPr>
        <w:ind w:left="540" w:hanging="540"/>
        <w:jc w:val="left"/>
      </w:pPr>
      <w:r w:rsidRPr="00345CB4">
        <w:t>Further recalling</w:t>
      </w:r>
      <w:r w:rsidRPr="00F32C23">
        <w:rPr>
          <w:u w:val="none"/>
        </w:rPr>
        <w:t xml:space="preserve"> </w:t>
      </w:r>
      <w:r>
        <w:rPr>
          <w:u w:val="none"/>
        </w:rPr>
        <w:t>Resolution 11.GA 4</w:t>
      </w:r>
      <w:r w:rsidRPr="00F32C23">
        <w:rPr>
          <w:u w:val="none"/>
        </w:rPr>
        <w:t>,</w:t>
      </w:r>
    </w:p>
    <w:p w14:paraId="0F009E66" w14:textId="77777777" w:rsidR="00C72113" w:rsidRPr="006902C8" w:rsidRDefault="00C72113">
      <w:pPr>
        <w:pStyle w:val="COMParaDecision"/>
        <w:numPr>
          <w:ilvl w:val="0"/>
          <w:numId w:val="13"/>
        </w:numPr>
        <w:ind w:left="540" w:hanging="540"/>
      </w:pPr>
      <w:r>
        <w:t>Elects</w:t>
      </w:r>
      <w:r w:rsidRPr="00BB6EEC">
        <w:rPr>
          <w:u w:val="none"/>
        </w:rPr>
        <w:t xml:space="preserve"> </w:t>
      </w:r>
      <w:r w:rsidRPr="00661AC6">
        <w:rPr>
          <w:u w:val="none"/>
        </w:rPr>
        <w:t>the following twelve States Parties to the Intergovernmental Committee for the Safeguarding of the Intangible Cultural Heritage for a term of four years from the date of electio</w:t>
      </w:r>
      <w:r>
        <w:rPr>
          <w:u w:val="none"/>
        </w:rPr>
        <w:t>n:</w:t>
      </w:r>
    </w:p>
    <w:p w14:paraId="25C959D7" w14:textId="0E087964" w:rsidR="00C72113" w:rsidRPr="009D2B8A" w:rsidRDefault="00C72113" w:rsidP="00C72113">
      <w:pPr>
        <w:pStyle w:val="COMParaDecision"/>
        <w:ind w:left="1080" w:hanging="540"/>
        <w:rPr>
          <w:u w:val="none"/>
        </w:rPr>
      </w:pPr>
      <w:r w:rsidRPr="009D2B8A">
        <w:rPr>
          <w:u w:val="none"/>
        </w:rPr>
        <w:t xml:space="preserve">Group I: </w:t>
      </w:r>
      <w:r w:rsidR="005C3D99" w:rsidRPr="009D2B8A">
        <w:rPr>
          <w:u w:val="none"/>
        </w:rPr>
        <w:t>Norway</w:t>
      </w:r>
    </w:p>
    <w:p w14:paraId="38885C15" w14:textId="6478663B" w:rsidR="00C72113" w:rsidRPr="009D2B8A" w:rsidRDefault="00C72113" w:rsidP="00C72113">
      <w:pPr>
        <w:pStyle w:val="COMParaDecision"/>
        <w:ind w:left="1080" w:hanging="540"/>
        <w:rPr>
          <w:u w:val="none"/>
        </w:rPr>
      </w:pPr>
      <w:r w:rsidRPr="009D2B8A">
        <w:rPr>
          <w:u w:val="none"/>
        </w:rPr>
        <w:t xml:space="preserve">Group II: </w:t>
      </w:r>
      <w:r w:rsidR="005C3D99" w:rsidRPr="009D2B8A">
        <w:rPr>
          <w:u w:val="none"/>
        </w:rPr>
        <w:t>Albania, Bulgaria</w:t>
      </w:r>
    </w:p>
    <w:p w14:paraId="62415656" w14:textId="61B0EB14" w:rsidR="00C72113" w:rsidRPr="009D2B8A" w:rsidRDefault="00C72113" w:rsidP="00C72113">
      <w:pPr>
        <w:pStyle w:val="COMParaDecision"/>
        <w:ind w:left="1080" w:hanging="540"/>
        <w:rPr>
          <w:u w:val="none"/>
        </w:rPr>
      </w:pPr>
      <w:r w:rsidRPr="009D2B8A">
        <w:rPr>
          <w:u w:val="none"/>
        </w:rPr>
        <w:t xml:space="preserve">Group III: </w:t>
      </w:r>
      <w:r w:rsidR="005C3D99" w:rsidRPr="009D2B8A">
        <w:rPr>
          <w:u w:val="none"/>
        </w:rPr>
        <w:t>Guatemala</w:t>
      </w:r>
    </w:p>
    <w:p w14:paraId="7F9A10BB" w14:textId="54EB6D0B" w:rsidR="00C72113" w:rsidRPr="009D2B8A" w:rsidRDefault="00C72113" w:rsidP="00C72113">
      <w:pPr>
        <w:pStyle w:val="COMParaDecision"/>
        <w:ind w:left="1080" w:hanging="540"/>
        <w:rPr>
          <w:u w:val="none"/>
        </w:rPr>
      </w:pPr>
      <w:r w:rsidRPr="009D2B8A">
        <w:rPr>
          <w:u w:val="none"/>
        </w:rPr>
        <w:t xml:space="preserve">Group IV: </w:t>
      </w:r>
      <w:r w:rsidR="005C3D99" w:rsidRPr="009D2B8A">
        <w:rPr>
          <w:u w:val="none"/>
        </w:rPr>
        <w:t>Cambodia, Indonesia, Japan, Philippines</w:t>
      </w:r>
    </w:p>
    <w:p w14:paraId="5480E0ED" w14:textId="18FC262E" w:rsidR="00C72113" w:rsidRPr="009D2B8A" w:rsidRDefault="00C72113" w:rsidP="00C72113">
      <w:pPr>
        <w:pStyle w:val="COMParaDecision"/>
        <w:ind w:left="1080" w:hanging="540"/>
        <w:rPr>
          <w:u w:val="none"/>
        </w:rPr>
      </w:pPr>
      <w:r w:rsidRPr="009D2B8A">
        <w:rPr>
          <w:u w:val="none"/>
        </w:rPr>
        <w:t xml:space="preserve">Group V(a): </w:t>
      </w:r>
      <w:r w:rsidR="005C3D99" w:rsidRPr="009D2B8A">
        <w:rPr>
          <w:u w:val="none"/>
        </w:rPr>
        <w:t>Djibouti, Guinea, Mali</w:t>
      </w:r>
    </w:p>
    <w:p w14:paraId="55409FFA" w14:textId="17485BF6" w:rsidR="00A90C2B" w:rsidRPr="00C72113" w:rsidRDefault="00C72113" w:rsidP="00C72113">
      <w:pPr>
        <w:pStyle w:val="COMParaDecision"/>
        <w:ind w:left="1080" w:hanging="540"/>
        <w:rPr>
          <w:u w:val="none"/>
        </w:rPr>
      </w:pPr>
      <w:r w:rsidRPr="009D2B8A">
        <w:rPr>
          <w:u w:val="none"/>
        </w:rPr>
        <w:t xml:space="preserve">Group V(b): </w:t>
      </w:r>
      <w:r w:rsidR="005C3D99" w:rsidRPr="009D2B8A">
        <w:rPr>
          <w:u w:val="none"/>
        </w:rPr>
        <w:t>Oman</w:t>
      </w:r>
    </w:p>
    <w:sectPr w:rsidR="00A90C2B" w:rsidRPr="00C72113" w:rsidSect="00AA47C0">
      <w:headerReference w:type="even" r:id="rId36"/>
      <w:headerReference w:type="default" r:id="rId37"/>
      <w:footerReference w:type="even" r:id="rId38"/>
      <w:footerReference w:type="default" r:id="rId39"/>
      <w:headerReference w:type="first" r:id="rId40"/>
      <w:footerReference w:type="first" r:id="rId4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979A" w14:textId="77777777" w:rsidR="00C1767E" w:rsidRDefault="00C1767E" w:rsidP="00655736">
      <w:r>
        <w:separator/>
      </w:r>
    </w:p>
  </w:endnote>
  <w:endnote w:type="continuationSeparator" w:id="0">
    <w:p w14:paraId="5011F4FF" w14:textId="77777777" w:rsidR="00C1767E" w:rsidRDefault="00C1767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DC26" w14:textId="77777777" w:rsidR="00005FE6" w:rsidRDefault="000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DB6C" w14:textId="77777777" w:rsidR="00005FE6" w:rsidRDefault="000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1D8D" w14:textId="77777777" w:rsidR="00005FE6" w:rsidRDefault="000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87D2" w14:textId="77777777" w:rsidR="00C1767E" w:rsidRDefault="00C1767E" w:rsidP="00655736">
      <w:r>
        <w:separator/>
      </w:r>
    </w:p>
  </w:footnote>
  <w:footnote w:type="continuationSeparator" w:id="0">
    <w:p w14:paraId="0C04B3FB" w14:textId="77777777" w:rsidR="00C1767E" w:rsidRDefault="00C1767E"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B336" w14:textId="62DD8634" w:rsidR="004B3817" w:rsidRPr="00AE7841" w:rsidRDefault="00AA47C0" w:rsidP="002F0671">
    <w:pPr>
      <w:pStyle w:val="Header"/>
      <w:rPr>
        <w:rFonts w:ascii="Arial" w:hAnsi="Arial" w:cs="Arial"/>
        <w:lang w:val="en-GB"/>
      </w:rPr>
    </w:pPr>
    <w:r>
      <w:rPr>
        <w:rFonts w:ascii="Arial" w:hAnsi="Arial" w:cs="Arial"/>
        <w:sz w:val="20"/>
        <w:szCs w:val="20"/>
        <w:lang w:val="en-GB"/>
      </w:rPr>
      <w:t>LHE/</w:t>
    </w:r>
    <w:r w:rsidR="0039383F">
      <w:rPr>
        <w:rFonts w:ascii="Arial" w:hAnsi="Arial" w:cs="Arial"/>
        <w:sz w:val="20"/>
        <w:szCs w:val="20"/>
        <w:lang w:val="en-GB"/>
      </w:rPr>
      <w:t>26</w:t>
    </w:r>
    <w:r>
      <w:rPr>
        <w:rFonts w:ascii="Arial" w:hAnsi="Arial" w:cs="Arial"/>
        <w:sz w:val="20"/>
        <w:szCs w:val="20"/>
        <w:lang w:val="en-GB"/>
      </w:rPr>
      <w:t>/</w:t>
    </w:r>
    <w:r w:rsidR="00901C5E">
      <w:rPr>
        <w:rFonts w:ascii="Arial" w:hAnsi="Arial" w:cs="Arial"/>
        <w:sz w:val="20"/>
        <w:szCs w:val="20"/>
        <w:lang w:val="en-GB"/>
      </w:rPr>
      <w:t>1</w:t>
    </w:r>
    <w:r w:rsidR="008B2A1B">
      <w:rPr>
        <w:rFonts w:ascii="Arial" w:hAnsi="Arial" w:cs="Arial"/>
        <w:sz w:val="20"/>
        <w:szCs w:val="20"/>
        <w:lang w:val="en-GB"/>
      </w:rPr>
      <w:t>1</w:t>
    </w:r>
    <w:r w:rsidRPr="00C23A97">
      <w:rPr>
        <w:rFonts w:ascii="Arial" w:hAnsi="Arial" w:cs="Arial"/>
        <w:sz w:val="20"/>
        <w:szCs w:val="20"/>
        <w:lang w:val="en-GB"/>
      </w:rPr>
      <w:t>.GA/</w:t>
    </w:r>
    <w:r w:rsidR="00C23046">
      <w:rPr>
        <w:rFonts w:ascii="Arial" w:hAnsi="Arial" w:cs="Arial"/>
        <w:sz w:val="20"/>
        <w:szCs w:val="20"/>
        <w:lang w:val="en-GB"/>
      </w:rPr>
      <w:t>Resolutions</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noProof/>
        <w:sz w:val="20"/>
        <w:szCs w:val="20"/>
        <w:lang w:val="en-GB"/>
      </w:rPr>
      <w:t>14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812" w14:textId="29548BC9" w:rsidR="004B3817" w:rsidRDefault="00AA47C0" w:rsidP="00AE7841">
    <w:pPr>
      <w:pStyle w:val="Header"/>
      <w:jc w:val="right"/>
    </w:pPr>
    <w:r>
      <w:rPr>
        <w:rFonts w:ascii="Arial" w:hAnsi="Arial" w:cs="Arial"/>
        <w:sz w:val="20"/>
        <w:szCs w:val="20"/>
        <w:lang w:val="en-GB"/>
      </w:rPr>
      <w:t>LHE/2</w:t>
    </w:r>
    <w:r w:rsidR="002B582C">
      <w:rPr>
        <w:rFonts w:ascii="Arial" w:hAnsi="Arial" w:cs="Arial"/>
        <w:sz w:val="20"/>
        <w:szCs w:val="20"/>
        <w:lang w:val="en-GB"/>
      </w:rPr>
      <w:t>6</w:t>
    </w:r>
    <w:r>
      <w:rPr>
        <w:rFonts w:ascii="Arial" w:hAnsi="Arial" w:cs="Arial"/>
        <w:sz w:val="20"/>
        <w:szCs w:val="20"/>
        <w:lang w:val="en-GB"/>
      </w:rPr>
      <w:t>/</w:t>
    </w:r>
    <w:r w:rsidR="00901C5E">
      <w:rPr>
        <w:rFonts w:ascii="Arial" w:hAnsi="Arial" w:cs="Arial"/>
        <w:sz w:val="20"/>
        <w:szCs w:val="20"/>
        <w:lang w:val="en-GB"/>
      </w:rPr>
      <w:t>1</w:t>
    </w:r>
    <w:r w:rsidR="002B582C">
      <w:rPr>
        <w:rFonts w:ascii="Arial" w:hAnsi="Arial" w:cs="Arial"/>
        <w:sz w:val="20"/>
        <w:szCs w:val="20"/>
        <w:lang w:val="en-GB"/>
      </w:rPr>
      <w:t>1</w:t>
    </w:r>
    <w:r w:rsidRPr="00C23A97">
      <w:rPr>
        <w:rFonts w:ascii="Arial" w:hAnsi="Arial" w:cs="Arial"/>
        <w:sz w:val="20"/>
        <w:szCs w:val="20"/>
        <w:lang w:val="en-GB"/>
      </w:rPr>
      <w:t>.GA/</w:t>
    </w:r>
    <w:r w:rsidR="007E2BD8">
      <w:rPr>
        <w:rFonts w:ascii="Arial" w:hAnsi="Arial" w:cs="Arial"/>
        <w:sz w:val="20"/>
        <w:szCs w:val="20"/>
        <w:lang w:val="en-GB"/>
      </w:rPr>
      <w:t>Resolutions</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noProof/>
        <w:sz w:val="20"/>
        <w:szCs w:val="20"/>
        <w:lang w:val="en-GB"/>
      </w:rPr>
      <w:t>3</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68B" w14:textId="2B16EAFB" w:rsidR="0023791D" w:rsidRDefault="0023791D" w:rsidP="0023791D">
    <w:pPr>
      <w:pStyle w:val="Header"/>
    </w:pPr>
    <w:r>
      <w:rPr>
        <w:noProof/>
      </w:rPr>
      <w:drawing>
        <wp:anchor distT="0" distB="0" distL="114300" distR="114300" simplePos="0" relativeHeight="251663360" behindDoc="0" locked="0" layoutInCell="1" allowOverlap="1" wp14:anchorId="3F39B5EE" wp14:editId="29C95036">
          <wp:simplePos x="0" y="0"/>
          <wp:positionH relativeFrom="column">
            <wp:posOffset>10160</wp:posOffset>
          </wp:positionH>
          <wp:positionV relativeFrom="paragraph">
            <wp:posOffset>0</wp:posOffset>
          </wp:positionV>
          <wp:extent cx="1711325" cy="1296035"/>
          <wp:effectExtent l="0" t="0" r="3175" b="0"/>
          <wp:wrapSquare wrapText="bothSides"/>
          <wp:docPr id="721748135" name="Picture 72174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pic:spPr>
              </pic:pic>
            </a:graphicData>
          </a:graphic>
          <wp14:sizeRelH relativeFrom="page">
            <wp14:pctWidth>0</wp14:pctWidth>
          </wp14:sizeRelH>
          <wp14:sizeRelV relativeFrom="page">
            <wp14:pctHeight>0</wp14:pctHeight>
          </wp14:sizeRelV>
        </wp:anchor>
      </w:drawing>
    </w:r>
  </w:p>
  <w:p w14:paraId="770A261E" w14:textId="1104D31E" w:rsidR="0023791D" w:rsidRDefault="004D2974" w:rsidP="0023791D">
    <w:pPr>
      <w:pStyle w:val="Header"/>
      <w:spacing w:after="520"/>
      <w:jc w:val="right"/>
      <w:rPr>
        <w:rFonts w:ascii="Arial" w:hAnsi="Arial" w:cs="Arial"/>
        <w:b/>
        <w:sz w:val="44"/>
        <w:szCs w:val="44"/>
        <w:lang w:val="en-US"/>
      </w:rPr>
    </w:pPr>
    <w:r>
      <w:rPr>
        <w:rFonts w:ascii="Arial" w:hAnsi="Arial" w:cs="Arial"/>
        <w:b/>
        <w:sz w:val="44"/>
        <w:szCs w:val="44"/>
        <w:lang w:val="en-US"/>
      </w:rPr>
      <w:t>1</w:t>
    </w:r>
    <w:r w:rsidR="008B2A1B">
      <w:rPr>
        <w:rFonts w:ascii="Arial" w:hAnsi="Arial" w:cs="Arial"/>
        <w:b/>
        <w:sz w:val="44"/>
        <w:szCs w:val="44"/>
        <w:lang w:val="en-US"/>
      </w:rPr>
      <w:t>1</w:t>
    </w:r>
    <w:r w:rsidR="0023791D">
      <w:rPr>
        <w:rFonts w:ascii="Arial" w:hAnsi="Arial" w:cs="Arial"/>
        <w:b/>
        <w:sz w:val="44"/>
        <w:szCs w:val="44"/>
        <w:lang w:val="en-US"/>
      </w:rPr>
      <w:t xml:space="preserve"> GA</w:t>
    </w:r>
  </w:p>
  <w:p w14:paraId="5B6552DE" w14:textId="67725EA4" w:rsidR="0023791D" w:rsidRDefault="0023791D" w:rsidP="0023791D">
    <w:pPr>
      <w:jc w:val="right"/>
      <w:rPr>
        <w:rFonts w:ascii="Arial" w:hAnsi="Arial" w:cs="Arial"/>
        <w:b/>
        <w:sz w:val="22"/>
        <w:szCs w:val="22"/>
        <w:lang w:val="en-US"/>
      </w:rPr>
    </w:pPr>
    <w:r>
      <w:rPr>
        <w:rFonts w:ascii="Arial" w:hAnsi="Arial" w:cs="Arial"/>
        <w:b/>
        <w:sz w:val="22"/>
        <w:szCs w:val="22"/>
        <w:lang w:val="en-US"/>
      </w:rPr>
      <w:t>LHE/2</w:t>
    </w:r>
    <w:r w:rsidR="0039383F">
      <w:rPr>
        <w:rFonts w:ascii="Arial" w:hAnsi="Arial" w:cs="Arial"/>
        <w:b/>
        <w:sz w:val="22"/>
        <w:szCs w:val="22"/>
        <w:lang w:val="en-US"/>
      </w:rPr>
      <w:t>6</w:t>
    </w:r>
    <w:r>
      <w:rPr>
        <w:rFonts w:ascii="Arial" w:hAnsi="Arial" w:cs="Arial"/>
        <w:b/>
        <w:sz w:val="22"/>
        <w:szCs w:val="22"/>
        <w:lang w:val="en-US"/>
      </w:rPr>
      <w:t>/</w:t>
    </w:r>
    <w:r w:rsidR="004D2974">
      <w:rPr>
        <w:rFonts w:ascii="Arial" w:hAnsi="Arial" w:cs="Arial"/>
        <w:b/>
        <w:sz w:val="22"/>
        <w:szCs w:val="22"/>
        <w:lang w:val="en-US"/>
      </w:rPr>
      <w:t>1</w:t>
    </w:r>
    <w:r w:rsidR="001B3EFA">
      <w:rPr>
        <w:rFonts w:ascii="Arial" w:hAnsi="Arial" w:cs="Arial"/>
        <w:b/>
        <w:sz w:val="22"/>
        <w:szCs w:val="22"/>
        <w:lang w:val="en-US"/>
      </w:rPr>
      <w:t>1</w:t>
    </w:r>
    <w:r>
      <w:rPr>
        <w:rFonts w:ascii="Arial" w:hAnsi="Arial" w:cs="Arial"/>
        <w:b/>
        <w:sz w:val="22"/>
        <w:szCs w:val="22"/>
        <w:lang w:val="en-US"/>
      </w:rPr>
      <w:t>.GA/Resolutions</w:t>
    </w:r>
  </w:p>
  <w:p w14:paraId="59290628" w14:textId="6B54EE29" w:rsidR="0023791D" w:rsidRDefault="0023791D" w:rsidP="0023791D">
    <w:pPr>
      <w:jc w:val="right"/>
      <w:rPr>
        <w:rFonts w:ascii="Arial" w:hAnsi="Arial" w:cs="Arial"/>
        <w:b/>
        <w:sz w:val="22"/>
        <w:szCs w:val="22"/>
        <w:lang w:val="en-US"/>
      </w:rPr>
    </w:pPr>
    <w:r>
      <w:rPr>
        <w:rFonts w:ascii="Arial" w:hAnsi="Arial" w:cs="Arial"/>
        <w:b/>
        <w:sz w:val="22"/>
        <w:szCs w:val="22"/>
        <w:lang w:val="en-US"/>
      </w:rPr>
      <w:t xml:space="preserve">Paris, </w:t>
    </w:r>
    <w:r w:rsidR="00270D62" w:rsidRPr="00270D62">
      <w:rPr>
        <w:rFonts w:ascii="Arial" w:hAnsi="Arial" w:cs="Arial"/>
        <w:b/>
        <w:sz w:val="22"/>
        <w:szCs w:val="22"/>
        <w:lang w:val="en-US"/>
      </w:rPr>
      <w:t>2</w:t>
    </w:r>
    <w:r w:rsidR="00005FE6">
      <w:rPr>
        <w:rFonts w:ascii="Arial" w:hAnsi="Arial" w:cs="Arial"/>
        <w:b/>
        <w:sz w:val="22"/>
        <w:szCs w:val="22"/>
        <w:lang w:val="en-US"/>
      </w:rPr>
      <w:t>7</w:t>
    </w:r>
    <w:r w:rsidR="000E29C9" w:rsidRPr="00270D62">
      <w:rPr>
        <w:rFonts w:ascii="Arial" w:hAnsi="Arial" w:cs="Arial"/>
        <w:b/>
        <w:sz w:val="22"/>
        <w:szCs w:val="22"/>
        <w:lang w:val="en-US"/>
      </w:rPr>
      <w:t xml:space="preserve"> </w:t>
    </w:r>
    <w:r w:rsidR="00DD7BA1">
      <w:rPr>
        <w:rFonts w:ascii="Arial" w:hAnsi="Arial" w:cs="Arial"/>
        <w:b/>
        <w:sz w:val="22"/>
        <w:szCs w:val="22"/>
        <w:lang w:val="en-US"/>
      </w:rPr>
      <w:t>June</w:t>
    </w:r>
    <w:r w:rsidR="00EB322A">
      <w:rPr>
        <w:rFonts w:ascii="Arial" w:hAnsi="Arial" w:cs="Arial"/>
        <w:b/>
        <w:sz w:val="22"/>
        <w:szCs w:val="22"/>
        <w:lang w:val="en-US"/>
      </w:rPr>
      <w:t xml:space="preserve"> </w:t>
    </w:r>
    <w:r>
      <w:rPr>
        <w:rFonts w:ascii="Arial" w:hAnsi="Arial" w:cs="Arial"/>
        <w:b/>
        <w:sz w:val="22"/>
        <w:szCs w:val="22"/>
        <w:lang w:val="en-US"/>
      </w:rPr>
      <w:t>202</w:t>
    </w:r>
    <w:r w:rsidR="00057159">
      <w:rPr>
        <w:rFonts w:ascii="Arial" w:hAnsi="Arial" w:cs="Arial"/>
        <w:b/>
        <w:sz w:val="22"/>
        <w:szCs w:val="22"/>
        <w:lang w:val="en-US"/>
      </w:rPr>
      <w:t>6</w:t>
    </w:r>
  </w:p>
  <w:p w14:paraId="2DF3B27A" w14:textId="29415DFA" w:rsidR="004B3817" w:rsidRPr="00632565" w:rsidRDefault="0023791D" w:rsidP="00632565">
    <w:pPr>
      <w:jc w:val="right"/>
      <w:rPr>
        <w:rFonts w:ascii="Arial" w:hAnsi="Arial" w:cs="Arial"/>
        <w:b/>
        <w:sz w:val="22"/>
        <w:szCs w:val="22"/>
        <w:lang w:val="en-GB"/>
      </w:rPr>
    </w:pPr>
    <w:r>
      <w:rPr>
        <w:rFonts w:ascii="Arial" w:hAnsi="Arial" w:cs="Arial"/>
        <w:b/>
        <w:sz w:val="22"/>
        <w:szCs w:val="22"/>
        <w:lang w:val="en-GB"/>
      </w:rPr>
      <w:t>Original: English/French</w:t>
    </w:r>
  </w:p>
  <w:p w14:paraId="20346665" w14:textId="77777777" w:rsidR="004B3817" w:rsidRPr="00632565" w:rsidRDefault="004B38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3CA5"/>
    <w:multiLevelType w:val="hybridMultilevel"/>
    <w:tmpl w:val="19F638FC"/>
    <w:lvl w:ilvl="0" w:tplc="FFFFFFFF">
      <w:start w:val="1"/>
      <w:numFmt w:val="decimal"/>
      <w:lvlText w:val="%1."/>
      <w:lvlJc w:val="left"/>
      <w:pPr>
        <w:ind w:left="1353" w:hanging="360"/>
      </w:pPr>
      <w:rPr>
        <w:rFonts w:ascii="Arial" w:hAnsi="Arial" w:cs="Arial" w:hint="default"/>
        <w:b w:val="0"/>
        <w:bCs/>
        <w:sz w:val="22"/>
        <w:szCs w:val="22"/>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CD31B5D"/>
    <w:multiLevelType w:val="hybridMultilevel"/>
    <w:tmpl w:val="19F638FC"/>
    <w:lvl w:ilvl="0" w:tplc="FFFFFFFF">
      <w:start w:val="1"/>
      <w:numFmt w:val="decimal"/>
      <w:lvlText w:val="%1."/>
      <w:lvlJc w:val="left"/>
      <w:pPr>
        <w:ind w:left="1353" w:hanging="360"/>
      </w:pPr>
      <w:rPr>
        <w:rFonts w:ascii="Arial" w:hAnsi="Arial" w:cs="Arial" w:hint="default"/>
        <w:b w:val="0"/>
        <w:bCs/>
        <w:sz w:val="22"/>
        <w:szCs w:val="22"/>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79E0101"/>
    <w:multiLevelType w:val="hybridMultilevel"/>
    <w:tmpl w:val="19F638FC"/>
    <w:lvl w:ilvl="0" w:tplc="FFFFFFFF">
      <w:start w:val="1"/>
      <w:numFmt w:val="decimal"/>
      <w:lvlText w:val="%1."/>
      <w:lvlJc w:val="left"/>
      <w:pPr>
        <w:ind w:left="1353" w:hanging="360"/>
      </w:pPr>
      <w:rPr>
        <w:rFonts w:ascii="Arial" w:hAnsi="Arial" w:cs="Arial" w:hint="default"/>
        <w:b w:val="0"/>
        <w:bCs/>
        <w:sz w:val="22"/>
        <w:szCs w:val="22"/>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2F0D54E6"/>
    <w:multiLevelType w:val="hybridMultilevel"/>
    <w:tmpl w:val="19F638FC"/>
    <w:lvl w:ilvl="0" w:tplc="FFFFFFFF">
      <w:start w:val="1"/>
      <w:numFmt w:val="decimal"/>
      <w:lvlText w:val="%1."/>
      <w:lvlJc w:val="left"/>
      <w:pPr>
        <w:ind w:left="4590" w:hanging="360"/>
      </w:pPr>
      <w:rPr>
        <w:rFonts w:ascii="Arial" w:hAnsi="Arial" w:cs="Arial" w:hint="default"/>
        <w:b w:val="0"/>
        <w:bCs/>
        <w:sz w:val="22"/>
        <w:szCs w:val="22"/>
      </w:rPr>
    </w:lvl>
    <w:lvl w:ilvl="1" w:tplc="FFFFFFFF">
      <w:start w:val="1"/>
      <w:numFmt w:val="lowerLetter"/>
      <w:lvlText w:val="%2."/>
      <w:lvlJc w:val="left"/>
      <w:pPr>
        <w:ind w:left="5310" w:hanging="360"/>
      </w:pPr>
    </w:lvl>
    <w:lvl w:ilvl="2" w:tplc="FFFFFFFF" w:tentative="1">
      <w:start w:val="1"/>
      <w:numFmt w:val="lowerRoman"/>
      <w:lvlText w:val="%3."/>
      <w:lvlJc w:val="right"/>
      <w:pPr>
        <w:ind w:left="6030" w:hanging="180"/>
      </w:pPr>
    </w:lvl>
    <w:lvl w:ilvl="3" w:tplc="FFFFFFFF" w:tentative="1">
      <w:start w:val="1"/>
      <w:numFmt w:val="decimal"/>
      <w:lvlText w:val="%4."/>
      <w:lvlJc w:val="left"/>
      <w:pPr>
        <w:ind w:left="6750" w:hanging="360"/>
      </w:pPr>
    </w:lvl>
    <w:lvl w:ilvl="4" w:tplc="FFFFFFFF" w:tentative="1">
      <w:start w:val="1"/>
      <w:numFmt w:val="lowerLetter"/>
      <w:lvlText w:val="%5."/>
      <w:lvlJc w:val="left"/>
      <w:pPr>
        <w:ind w:left="7470" w:hanging="360"/>
      </w:pPr>
    </w:lvl>
    <w:lvl w:ilvl="5" w:tplc="FFFFFFFF" w:tentative="1">
      <w:start w:val="1"/>
      <w:numFmt w:val="lowerRoman"/>
      <w:lvlText w:val="%6."/>
      <w:lvlJc w:val="right"/>
      <w:pPr>
        <w:ind w:left="8190" w:hanging="180"/>
      </w:pPr>
    </w:lvl>
    <w:lvl w:ilvl="6" w:tplc="FFFFFFFF" w:tentative="1">
      <w:start w:val="1"/>
      <w:numFmt w:val="decimal"/>
      <w:lvlText w:val="%7."/>
      <w:lvlJc w:val="left"/>
      <w:pPr>
        <w:ind w:left="8910" w:hanging="360"/>
      </w:pPr>
    </w:lvl>
    <w:lvl w:ilvl="7" w:tplc="FFFFFFFF" w:tentative="1">
      <w:start w:val="1"/>
      <w:numFmt w:val="lowerLetter"/>
      <w:lvlText w:val="%8."/>
      <w:lvlJc w:val="left"/>
      <w:pPr>
        <w:ind w:left="9630" w:hanging="360"/>
      </w:pPr>
    </w:lvl>
    <w:lvl w:ilvl="8" w:tplc="FFFFFFFF" w:tentative="1">
      <w:start w:val="1"/>
      <w:numFmt w:val="lowerRoman"/>
      <w:lvlText w:val="%9."/>
      <w:lvlJc w:val="right"/>
      <w:pPr>
        <w:ind w:left="10350" w:hanging="180"/>
      </w:pPr>
    </w:lvl>
  </w:abstractNum>
  <w:abstractNum w:abstractNumId="5"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19F638FC"/>
    <w:lvl w:ilvl="0" w:tplc="6FCA1F78">
      <w:start w:val="1"/>
      <w:numFmt w:val="decimal"/>
      <w:lvlText w:val="%1."/>
      <w:lvlJc w:val="left"/>
      <w:pPr>
        <w:ind w:left="1353" w:hanging="360"/>
      </w:pPr>
      <w:rPr>
        <w:rFonts w:ascii="Arial" w:hAnsi="Arial" w:cs="Arial" w:hint="default"/>
        <w:b w:val="0"/>
        <w:bCs/>
        <w:sz w:val="22"/>
        <w:szCs w:val="22"/>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B11272"/>
    <w:multiLevelType w:val="hybridMultilevel"/>
    <w:tmpl w:val="19F638FC"/>
    <w:lvl w:ilvl="0" w:tplc="FFFFFFFF">
      <w:start w:val="1"/>
      <w:numFmt w:val="decimal"/>
      <w:lvlText w:val="%1."/>
      <w:lvlJc w:val="left"/>
      <w:pPr>
        <w:ind w:left="1353" w:hanging="360"/>
      </w:pPr>
      <w:rPr>
        <w:rFonts w:ascii="Arial" w:hAnsi="Arial" w:cs="Arial" w:hint="default"/>
        <w:b w:val="0"/>
        <w:bCs/>
        <w:sz w:val="22"/>
        <w:szCs w:val="22"/>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10" w15:restartNumberingAfterBreak="0">
    <w:nsid w:val="7E357F8C"/>
    <w:multiLevelType w:val="hybridMultilevel"/>
    <w:tmpl w:val="19F638FC"/>
    <w:lvl w:ilvl="0" w:tplc="FFFFFFFF">
      <w:start w:val="1"/>
      <w:numFmt w:val="decimal"/>
      <w:lvlText w:val="%1."/>
      <w:lvlJc w:val="left"/>
      <w:pPr>
        <w:ind w:left="1353" w:hanging="360"/>
      </w:pPr>
      <w:rPr>
        <w:rFonts w:ascii="Arial" w:hAnsi="Arial" w:cs="Arial" w:hint="default"/>
        <w:b w:val="0"/>
        <w:bCs/>
        <w:sz w:val="22"/>
        <w:szCs w:val="22"/>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981738130">
    <w:abstractNumId w:val="2"/>
  </w:num>
  <w:num w:numId="2" w16cid:durableId="2058621764">
    <w:abstractNumId w:val="5"/>
  </w:num>
  <w:num w:numId="3" w16cid:durableId="1338576425">
    <w:abstractNumId w:val="6"/>
  </w:num>
  <w:num w:numId="4" w16cid:durableId="433981803">
    <w:abstractNumId w:val="7"/>
  </w:num>
  <w:num w:numId="5" w16cid:durableId="1298418401">
    <w:abstractNumId w:val="9"/>
  </w:num>
  <w:num w:numId="6" w16cid:durableId="1165776439">
    <w:abstractNumId w:val="6"/>
    <w:lvlOverride w:ilvl="0">
      <w:startOverride w:val="1"/>
    </w:lvlOverride>
  </w:num>
  <w:num w:numId="7" w16cid:durableId="94599345">
    <w:abstractNumId w:val="5"/>
    <w:lvlOverride w:ilvl="0">
      <w:startOverride w:val="1"/>
    </w:lvlOverride>
  </w:num>
  <w:num w:numId="8" w16cid:durableId="1137454785">
    <w:abstractNumId w:val="0"/>
  </w:num>
  <w:num w:numId="9" w16cid:durableId="1797211494">
    <w:abstractNumId w:val="1"/>
  </w:num>
  <w:num w:numId="10" w16cid:durableId="1706976873">
    <w:abstractNumId w:val="8"/>
  </w:num>
  <w:num w:numId="11" w16cid:durableId="1074277713">
    <w:abstractNumId w:val="4"/>
  </w:num>
  <w:num w:numId="12" w16cid:durableId="1095370529">
    <w:abstractNumId w:val="3"/>
  </w:num>
  <w:num w:numId="13" w16cid:durableId="165067419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05DD9"/>
    <w:rsid w:val="00005FE6"/>
    <w:rsid w:val="0001558A"/>
    <w:rsid w:val="00015EE8"/>
    <w:rsid w:val="000178CB"/>
    <w:rsid w:val="00024F0E"/>
    <w:rsid w:val="000328A8"/>
    <w:rsid w:val="00041A66"/>
    <w:rsid w:val="00045E93"/>
    <w:rsid w:val="00047AE2"/>
    <w:rsid w:val="0005176E"/>
    <w:rsid w:val="00054254"/>
    <w:rsid w:val="00055C79"/>
    <w:rsid w:val="00057159"/>
    <w:rsid w:val="00061A87"/>
    <w:rsid w:val="000703B5"/>
    <w:rsid w:val="000711A1"/>
    <w:rsid w:val="00071429"/>
    <w:rsid w:val="00074E7C"/>
    <w:rsid w:val="000765F7"/>
    <w:rsid w:val="00077AB7"/>
    <w:rsid w:val="00081CD8"/>
    <w:rsid w:val="000A0780"/>
    <w:rsid w:val="000A0C5D"/>
    <w:rsid w:val="000A0CA0"/>
    <w:rsid w:val="000A1E20"/>
    <w:rsid w:val="000A7F0E"/>
    <w:rsid w:val="000B17EE"/>
    <w:rsid w:val="000B731C"/>
    <w:rsid w:val="000C0D61"/>
    <w:rsid w:val="000D6177"/>
    <w:rsid w:val="000D6FAD"/>
    <w:rsid w:val="000E1C55"/>
    <w:rsid w:val="000E29C9"/>
    <w:rsid w:val="000F3A3F"/>
    <w:rsid w:val="000F70AF"/>
    <w:rsid w:val="0010138F"/>
    <w:rsid w:val="00102557"/>
    <w:rsid w:val="0013022E"/>
    <w:rsid w:val="00134B86"/>
    <w:rsid w:val="00141005"/>
    <w:rsid w:val="00146250"/>
    <w:rsid w:val="00146A38"/>
    <w:rsid w:val="00150A6D"/>
    <w:rsid w:val="0015601E"/>
    <w:rsid w:val="0016009C"/>
    <w:rsid w:val="0016075C"/>
    <w:rsid w:val="00164D56"/>
    <w:rsid w:val="00167B10"/>
    <w:rsid w:val="0017402F"/>
    <w:rsid w:val="00176720"/>
    <w:rsid w:val="0018702D"/>
    <w:rsid w:val="001925D8"/>
    <w:rsid w:val="00192854"/>
    <w:rsid w:val="001930AD"/>
    <w:rsid w:val="001952ED"/>
    <w:rsid w:val="00196C1B"/>
    <w:rsid w:val="001B0F73"/>
    <w:rsid w:val="001B3AC9"/>
    <w:rsid w:val="001B3EFA"/>
    <w:rsid w:val="001B7D04"/>
    <w:rsid w:val="001B7FC6"/>
    <w:rsid w:val="001C1811"/>
    <w:rsid w:val="001C3F32"/>
    <w:rsid w:val="001C5CA9"/>
    <w:rsid w:val="001C5F3E"/>
    <w:rsid w:val="001D5C04"/>
    <w:rsid w:val="001E365A"/>
    <w:rsid w:val="001E3A9D"/>
    <w:rsid w:val="00203C40"/>
    <w:rsid w:val="00203D91"/>
    <w:rsid w:val="00216546"/>
    <w:rsid w:val="00217A08"/>
    <w:rsid w:val="00221994"/>
    <w:rsid w:val="00222A2D"/>
    <w:rsid w:val="00223029"/>
    <w:rsid w:val="0023115D"/>
    <w:rsid w:val="00233F7B"/>
    <w:rsid w:val="00234745"/>
    <w:rsid w:val="0023791D"/>
    <w:rsid w:val="002407AF"/>
    <w:rsid w:val="00242799"/>
    <w:rsid w:val="00246C33"/>
    <w:rsid w:val="00252EC5"/>
    <w:rsid w:val="002546E6"/>
    <w:rsid w:val="0026734C"/>
    <w:rsid w:val="00270B5B"/>
    <w:rsid w:val="00270D62"/>
    <w:rsid w:val="002748B9"/>
    <w:rsid w:val="00277458"/>
    <w:rsid w:val="00280B5F"/>
    <w:rsid w:val="00283F74"/>
    <w:rsid w:val="00295421"/>
    <w:rsid w:val="002A2FEA"/>
    <w:rsid w:val="002A3FFB"/>
    <w:rsid w:val="002A75F9"/>
    <w:rsid w:val="002B086B"/>
    <w:rsid w:val="002B28E0"/>
    <w:rsid w:val="002B504E"/>
    <w:rsid w:val="002B582C"/>
    <w:rsid w:val="002C09E3"/>
    <w:rsid w:val="002C1D8E"/>
    <w:rsid w:val="002C1FBD"/>
    <w:rsid w:val="002C2E92"/>
    <w:rsid w:val="002D035A"/>
    <w:rsid w:val="002D10BB"/>
    <w:rsid w:val="002E372C"/>
    <w:rsid w:val="002F0057"/>
    <w:rsid w:val="002F0671"/>
    <w:rsid w:val="002F312A"/>
    <w:rsid w:val="002F424F"/>
    <w:rsid w:val="00316D73"/>
    <w:rsid w:val="00317617"/>
    <w:rsid w:val="00325C5B"/>
    <w:rsid w:val="00325CAD"/>
    <w:rsid w:val="00327EFF"/>
    <w:rsid w:val="003313C0"/>
    <w:rsid w:val="00341C77"/>
    <w:rsid w:val="00345C50"/>
    <w:rsid w:val="00345CB4"/>
    <w:rsid w:val="00345FB9"/>
    <w:rsid w:val="00346241"/>
    <w:rsid w:val="003549B8"/>
    <w:rsid w:val="00356D7F"/>
    <w:rsid w:val="003611CB"/>
    <w:rsid w:val="003667E2"/>
    <w:rsid w:val="00380240"/>
    <w:rsid w:val="00380822"/>
    <w:rsid w:val="00380BB1"/>
    <w:rsid w:val="00382061"/>
    <w:rsid w:val="0039383F"/>
    <w:rsid w:val="003A7F31"/>
    <w:rsid w:val="003B6872"/>
    <w:rsid w:val="003C3775"/>
    <w:rsid w:val="003D069C"/>
    <w:rsid w:val="003D1C83"/>
    <w:rsid w:val="003D4D07"/>
    <w:rsid w:val="003D6324"/>
    <w:rsid w:val="003D6FCE"/>
    <w:rsid w:val="003D7646"/>
    <w:rsid w:val="003E0C17"/>
    <w:rsid w:val="003F113A"/>
    <w:rsid w:val="003F1808"/>
    <w:rsid w:val="003F2BAA"/>
    <w:rsid w:val="003F3CFF"/>
    <w:rsid w:val="003F45CA"/>
    <w:rsid w:val="003F6774"/>
    <w:rsid w:val="00400D8C"/>
    <w:rsid w:val="004016D5"/>
    <w:rsid w:val="004024DB"/>
    <w:rsid w:val="00403B2B"/>
    <w:rsid w:val="004133FC"/>
    <w:rsid w:val="00414643"/>
    <w:rsid w:val="00415E72"/>
    <w:rsid w:val="00426C8E"/>
    <w:rsid w:val="00427F74"/>
    <w:rsid w:val="00436486"/>
    <w:rsid w:val="004421E5"/>
    <w:rsid w:val="00443417"/>
    <w:rsid w:val="004460E5"/>
    <w:rsid w:val="00452284"/>
    <w:rsid w:val="00460B7B"/>
    <w:rsid w:val="0046114A"/>
    <w:rsid w:val="00465C6C"/>
    <w:rsid w:val="0047295A"/>
    <w:rsid w:val="0047351B"/>
    <w:rsid w:val="00476AC2"/>
    <w:rsid w:val="00476DED"/>
    <w:rsid w:val="00482107"/>
    <w:rsid w:val="004856CA"/>
    <w:rsid w:val="004867DB"/>
    <w:rsid w:val="00492114"/>
    <w:rsid w:val="00492FB9"/>
    <w:rsid w:val="004935FF"/>
    <w:rsid w:val="00496121"/>
    <w:rsid w:val="0049705E"/>
    <w:rsid w:val="004A34A0"/>
    <w:rsid w:val="004A3579"/>
    <w:rsid w:val="004A48CD"/>
    <w:rsid w:val="004B3817"/>
    <w:rsid w:val="004C0B36"/>
    <w:rsid w:val="004C0CE1"/>
    <w:rsid w:val="004C1B01"/>
    <w:rsid w:val="004D1983"/>
    <w:rsid w:val="004D1AB0"/>
    <w:rsid w:val="004D22F9"/>
    <w:rsid w:val="004D2974"/>
    <w:rsid w:val="004E2910"/>
    <w:rsid w:val="004F181E"/>
    <w:rsid w:val="004F3FB1"/>
    <w:rsid w:val="004F67E5"/>
    <w:rsid w:val="00521AD5"/>
    <w:rsid w:val="00521F6F"/>
    <w:rsid w:val="00523CE7"/>
    <w:rsid w:val="00526B7B"/>
    <w:rsid w:val="005308CE"/>
    <w:rsid w:val="00540A8E"/>
    <w:rsid w:val="00554FA7"/>
    <w:rsid w:val="00556F28"/>
    <w:rsid w:val="00562DDD"/>
    <w:rsid w:val="0057439C"/>
    <w:rsid w:val="00574F0E"/>
    <w:rsid w:val="00583C2D"/>
    <w:rsid w:val="005856E2"/>
    <w:rsid w:val="005908CE"/>
    <w:rsid w:val="005A1402"/>
    <w:rsid w:val="005A7471"/>
    <w:rsid w:val="005B0127"/>
    <w:rsid w:val="005B2955"/>
    <w:rsid w:val="005B338A"/>
    <w:rsid w:val="005B7A35"/>
    <w:rsid w:val="005C2FE3"/>
    <w:rsid w:val="005C3D99"/>
    <w:rsid w:val="005C4B73"/>
    <w:rsid w:val="005D4B3A"/>
    <w:rsid w:val="005D7248"/>
    <w:rsid w:val="005E19E5"/>
    <w:rsid w:val="005E1D2B"/>
    <w:rsid w:val="005E6489"/>
    <w:rsid w:val="005F13FE"/>
    <w:rsid w:val="005F25DB"/>
    <w:rsid w:val="005F6F69"/>
    <w:rsid w:val="00600009"/>
    <w:rsid w:val="00600587"/>
    <w:rsid w:val="00600745"/>
    <w:rsid w:val="00600D93"/>
    <w:rsid w:val="0060367E"/>
    <w:rsid w:val="00605D0F"/>
    <w:rsid w:val="00617229"/>
    <w:rsid w:val="00621882"/>
    <w:rsid w:val="00622067"/>
    <w:rsid w:val="0062283E"/>
    <w:rsid w:val="0063065A"/>
    <w:rsid w:val="00632565"/>
    <w:rsid w:val="0063277D"/>
    <w:rsid w:val="0063300C"/>
    <w:rsid w:val="006359DF"/>
    <w:rsid w:val="00643090"/>
    <w:rsid w:val="0064646B"/>
    <w:rsid w:val="00655736"/>
    <w:rsid w:val="00663B8D"/>
    <w:rsid w:val="00665F59"/>
    <w:rsid w:val="006816C9"/>
    <w:rsid w:val="0068469E"/>
    <w:rsid w:val="00687EAD"/>
    <w:rsid w:val="0069541A"/>
    <w:rsid w:val="00696220"/>
    <w:rsid w:val="00696C8D"/>
    <w:rsid w:val="006A2AC2"/>
    <w:rsid w:val="006A3617"/>
    <w:rsid w:val="006A7A56"/>
    <w:rsid w:val="006B0437"/>
    <w:rsid w:val="006B09B9"/>
    <w:rsid w:val="006B5E02"/>
    <w:rsid w:val="006B723A"/>
    <w:rsid w:val="006C3B8C"/>
    <w:rsid w:val="006C5C1C"/>
    <w:rsid w:val="006C7B36"/>
    <w:rsid w:val="006D2321"/>
    <w:rsid w:val="006E0A45"/>
    <w:rsid w:val="006E46E4"/>
    <w:rsid w:val="006E5316"/>
    <w:rsid w:val="006F6FF4"/>
    <w:rsid w:val="007035FF"/>
    <w:rsid w:val="007147E7"/>
    <w:rsid w:val="00715E86"/>
    <w:rsid w:val="00717DA5"/>
    <w:rsid w:val="00730268"/>
    <w:rsid w:val="00730BBD"/>
    <w:rsid w:val="007359D0"/>
    <w:rsid w:val="00737B55"/>
    <w:rsid w:val="00744484"/>
    <w:rsid w:val="00747438"/>
    <w:rsid w:val="0075084F"/>
    <w:rsid w:val="00752F2B"/>
    <w:rsid w:val="00755520"/>
    <w:rsid w:val="00763A0D"/>
    <w:rsid w:val="00773188"/>
    <w:rsid w:val="00773EDA"/>
    <w:rsid w:val="00774834"/>
    <w:rsid w:val="00776659"/>
    <w:rsid w:val="007774A5"/>
    <w:rsid w:val="00783782"/>
    <w:rsid w:val="00783D90"/>
    <w:rsid w:val="00784B8C"/>
    <w:rsid w:val="007931FE"/>
    <w:rsid w:val="00793BED"/>
    <w:rsid w:val="00793E2E"/>
    <w:rsid w:val="007A6236"/>
    <w:rsid w:val="007B5887"/>
    <w:rsid w:val="007C0D2D"/>
    <w:rsid w:val="007D1891"/>
    <w:rsid w:val="007E1035"/>
    <w:rsid w:val="007E2BD8"/>
    <w:rsid w:val="007E54D9"/>
    <w:rsid w:val="007F13B2"/>
    <w:rsid w:val="008065E7"/>
    <w:rsid w:val="00807D5B"/>
    <w:rsid w:val="00810A5E"/>
    <w:rsid w:val="0081785D"/>
    <w:rsid w:val="00823A11"/>
    <w:rsid w:val="00826DFC"/>
    <w:rsid w:val="0083254A"/>
    <w:rsid w:val="00835382"/>
    <w:rsid w:val="00835C89"/>
    <w:rsid w:val="00843D7F"/>
    <w:rsid w:val="008441EA"/>
    <w:rsid w:val="00847203"/>
    <w:rsid w:val="00852866"/>
    <w:rsid w:val="0085414A"/>
    <w:rsid w:val="00862592"/>
    <w:rsid w:val="0086269D"/>
    <w:rsid w:val="00864884"/>
    <w:rsid w:val="0086543A"/>
    <w:rsid w:val="008667CA"/>
    <w:rsid w:val="008724E5"/>
    <w:rsid w:val="008810CF"/>
    <w:rsid w:val="00882E97"/>
    <w:rsid w:val="00884A9D"/>
    <w:rsid w:val="0088512B"/>
    <w:rsid w:val="0089230F"/>
    <w:rsid w:val="008A2B2D"/>
    <w:rsid w:val="008A4E1E"/>
    <w:rsid w:val="008A5594"/>
    <w:rsid w:val="008B2A1B"/>
    <w:rsid w:val="008B7340"/>
    <w:rsid w:val="008C1917"/>
    <w:rsid w:val="008C296C"/>
    <w:rsid w:val="008C325A"/>
    <w:rsid w:val="008D0C04"/>
    <w:rsid w:val="008D4191"/>
    <w:rsid w:val="008D4305"/>
    <w:rsid w:val="008E1887"/>
    <w:rsid w:val="008F0288"/>
    <w:rsid w:val="008F039E"/>
    <w:rsid w:val="008F690A"/>
    <w:rsid w:val="008F7166"/>
    <w:rsid w:val="008F7882"/>
    <w:rsid w:val="009004E5"/>
    <w:rsid w:val="00901C5E"/>
    <w:rsid w:val="0091182F"/>
    <w:rsid w:val="00913D85"/>
    <w:rsid w:val="0091465D"/>
    <w:rsid w:val="009163A7"/>
    <w:rsid w:val="00916ED8"/>
    <w:rsid w:val="009219B1"/>
    <w:rsid w:val="00931F9E"/>
    <w:rsid w:val="00940108"/>
    <w:rsid w:val="009434D5"/>
    <w:rsid w:val="00945FE9"/>
    <w:rsid w:val="00946D0B"/>
    <w:rsid w:val="00950ECA"/>
    <w:rsid w:val="00955A60"/>
    <w:rsid w:val="00960A7C"/>
    <w:rsid w:val="0097030A"/>
    <w:rsid w:val="00970AA9"/>
    <w:rsid w:val="009760B8"/>
    <w:rsid w:val="00985ACB"/>
    <w:rsid w:val="009A0F88"/>
    <w:rsid w:val="009A18CD"/>
    <w:rsid w:val="009A6BC5"/>
    <w:rsid w:val="009B792E"/>
    <w:rsid w:val="009C0307"/>
    <w:rsid w:val="009C0757"/>
    <w:rsid w:val="009C239B"/>
    <w:rsid w:val="009D1761"/>
    <w:rsid w:val="009D2B8A"/>
    <w:rsid w:val="009E2222"/>
    <w:rsid w:val="00A00BB1"/>
    <w:rsid w:val="00A10D16"/>
    <w:rsid w:val="00A12558"/>
    <w:rsid w:val="00A13903"/>
    <w:rsid w:val="00A13AE9"/>
    <w:rsid w:val="00A14914"/>
    <w:rsid w:val="00A1719E"/>
    <w:rsid w:val="00A17EF2"/>
    <w:rsid w:val="00A219C3"/>
    <w:rsid w:val="00A34ED5"/>
    <w:rsid w:val="00A36B14"/>
    <w:rsid w:val="00A45DBF"/>
    <w:rsid w:val="00A52A2E"/>
    <w:rsid w:val="00A52F22"/>
    <w:rsid w:val="00A53407"/>
    <w:rsid w:val="00A645DF"/>
    <w:rsid w:val="00A707EC"/>
    <w:rsid w:val="00A73D1A"/>
    <w:rsid w:val="00A74714"/>
    <w:rsid w:val="00A755A2"/>
    <w:rsid w:val="00A84790"/>
    <w:rsid w:val="00A86770"/>
    <w:rsid w:val="00A90C2B"/>
    <w:rsid w:val="00A91486"/>
    <w:rsid w:val="00A921DC"/>
    <w:rsid w:val="00A92469"/>
    <w:rsid w:val="00A936FB"/>
    <w:rsid w:val="00A974BD"/>
    <w:rsid w:val="00AA45A4"/>
    <w:rsid w:val="00AA47C0"/>
    <w:rsid w:val="00AA4C52"/>
    <w:rsid w:val="00AA6660"/>
    <w:rsid w:val="00AA7720"/>
    <w:rsid w:val="00AB2C36"/>
    <w:rsid w:val="00AB6F04"/>
    <w:rsid w:val="00AB70B6"/>
    <w:rsid w:val="00AB7E1F"/>
    <w:rsid w:val="00AC24EA"/>
    <w:rsid w:val="00AD0D97"/>
    <w:rsid w:val="00AD111A"/>
    <w:rsid w:val="00AD1718"/>
    <w:rsid w:val="00AD1A86"/>
    <w:rsid w:val="00AD1B19"/>
    <w:rsid w:val="00AE103E"/>
    <w:rsid w:val="00AF0A07"/>
    <w:rsid w:val="00AF4AEC"/>
    <w:rsid w:val="00AF625E"/>
    <w:rsid w:val="00B05A51"/>
    <w:rsid w:val="00B06467"/>
    <w:rsid w:val="00B209EB"/>
    <w:rsid w:val="00B218BB"/>
    <w:rsid w:val="00B26B9A"/>
    <w:rsid w:val="00B335C7"/>
    <w:rsid w:val="00B3497A"/>
    <w:rsid w:val="00B35D86"/>
    <w:rsid w:val="00B43C6F"/>
    <w:rsid w:val="00B45139"/>
    <w:rsid w:val="00B50004"/>
    <w:rsid w:val="00B51DDB"/>
    <w:rsid w:val="00B5665A"/>
    <w:rsid w:val="00B568F6"/>
    <w:rsid w:val="00B61BE4"/>
    <w:rsid w:val="00B62CB1"/>
    <w:rsid w:val="00B6539A"/>
    <w:rsid w:val="00B709C3"/>
    <w:rsid w:val="00B83C29"/>
    <w:rsid w:val="00B84559"/>
    <w:rsid w:val="00B85D31"/>
    <w:rsid w:val="00B9385D"/>
    <w:rsid w:val="00B964DC"/>
    <w:rsid w:val="00B96B09"/>
    <w:rsid w:val="00B97CE3"/>
    <w:rsid w:val="00BB0472"/>
    <w:rsid w:val="00BB04AF"/>
    <w:rsid w:val="00BB414C"/>
    <w:rsid w:val="00BB6BEB"/>
    <w:rsid w:val="00BC1E90"/>
    <w:rsid w:val="00BD4276"/>
    <w:rsid w:val="00BD52C9"/>
    <w:rsid w:val="00BE24A3"/>
    <w:rsid w:val="00BE6354"/>
    <w:rsid w:val="00BF6C2F"/>
    <w:rsid w:val="00BF7904"/>
    <w:rsid w:val="00C03EF6"/>
    <w:rsid w:val="00C0778A"/>
    <w:rsid w:val="00C1567B"/>
    <w:rsid w:val="00C157A0"/>
    <w:rsid w:val="00C1767E"/>
    <w:rsid w:val="00C201F4"/>
    <w:rsid w:val="00C23046"/>
    <w:rsid w:val="00C23A97"/>
    <w:rsid w:val="00C26388"/>
    <w:rsid w:val="00C3000C"/>
    <w:rsid w:val="00C351B5"/>
    <w:rsid w:val="00C41BAF"/>
    <w:rsid w:val="00C44206"/>
    <w:rsid w:val="00C46C61"/>
    <w:rsid w:val="00C50DDB"/>
    <w:rsid w:val="00C53CE0"/>
    <w:rsid w:val="00C605F1"/>
    <w:rsid w:val="00C6574E"/>
    <w:rsid w:val="00C70EA7"/>
    <w:rsid w:val="00C72113"/>
    <w:rsid w:val="00C7234C"/>
    <w:rsid w:val="00C74531"/>
    <w:rsid w:val="00C7516E"/>
    <w:rsid w:val="00C75770"/>
    <w:rsid w:val="00C979CC"/>
    <w:rsid w:val="00CA1A55"/>
    <w:rsid w:val="00CA49EB"/>
    <w:rsid w:val="00CA67D4"/>
    <w:rsid w:val="00CB0D71"/>
    <w:rsid w:val="00CB223B"/>
    <w:rsid w:val="00CB7EB2"/>
    <w:rsid w:val="00CD1380"/>
    <w:rsid w:val="00CD3FF6"/>
    <w:rsid w:val="00CF2CFD"/>
    <w:rsid w:val="00CF2D18"/>
    <w:rsid w:val="00CF79BA"/>
    <w:rsid w:val="00D00B2B"/>
    <w:rsid w:val="00D0757A"/>
    <w:rsid w:val="00D1245E"/>
    <w:rsid w:val="00D15C68"/>
    <w:rsid w:val="00D24877"/>
    <w:rsid w:val="00D25D69"/>
    <w:rsid w:val="00D36339"/>
    <w:rsid w:val="00D40870"/>
    <w:rsid w:val="00D509C6"/>
    <w:rsid w:val="00D50BE9"/>
    <w:rsid w:val="00D577BE"/>
    <w:rsid w:val="00D62693"/>
    <w:rsid w:val="00D63147"/>
    <w:rsid w:val="00D6683B"/>
    <w:rsid w:val="00D74265"/>
    <w:rsid w:val="00D813DA"/>
    <w:rsid w:val="00D82A00"/>
    <w:rsid w:val="00D8711B"/>
    <w:rsid w:val="00D876F7"/>
    <w:rsid w:val="00D90F9F"/>
    <w:rsid w:val="00D92D05"/>
    <w:rsid w:val="00D95C4C"/>
    <w:rsid w:val="00D96263"/>
    <w:rsid w:val="00D96DA1"/>
    <w:rsid w:val="00D97EE2"/>
    <w:rsid w:val="00DA2729"/>
    <w:rsid w:val="00DA3044"/>
    <w:rsid w:val="00DA36ED"/>
    <w:rsid w:val="00DA404A"/>
    <w:rsid w:val="00DA4672"/>
    <w:rsid w:val="00DB027F"/>
    <w:rsid w:val="00DB07BB"/>
    <w:rsid w:val="00DB0C1A"/>
    <w:rsid w:val="00DB5736"/>
    <w:rsid w:val="00DD0438"/>
    <w:rsid w:val="00DD2014"/>
    <w:rsid w:val="00DD2731"/>
    <w:rsid w:val="00DD502D"/>
    <w:rsid w:val="00DD6AAC"/>
    <w:rsid w:val="00DD7BA1"/>
    <w:rsid w:val="00DE34F1"/>
    <w:rsid w:val="00DE4ECF"/>
    <w:rsid w:val="00DF04E2"/>
    <w:rsid w:val="00DF0967"/>
    <w:rsid w:val="00DF0C76"/>
    <w:rsid w:val="00DF27C8"/>
    <w:rsid w:val="00DF397B"/>
    <w:rsid w:val="00DF4671"/>
    <w:rsid w:val="00DF4942"/>
    <w:rsid w:val="00E06B65"/>
    <w:rsid w:val="00E070F4"/>
    <w:rsid w:val="00E15725"/>
    <w:rsid w:val="00E206E4"/>
    <w:rsid w:val="00E26882"/>
    <w:rsid w:val="00E31EB4"/>
    <w:rsid w:val="00E32FA6"/>
    <w:rsid w:val="00E3408C"/>
    <w:rsid w:val="00E357DC"/>
    <w:rsid w:val="00E35EDA"/>
    <w:rsid w:val="00E42C85"/>
    <w:rsid w:val="00E52485"/>
    <w:rsid w:val="00E53AF6"/>
    <w:rsid w:val="00E572C6"/>
    <w:rsid w:val="00E627B1"/>
    <w:rsid w:val="00E654FB"/>
    <w:rsid w:val="00E70AAD"/>
    <w:rsid w:val="00E9376C"/>
    <w:rsid w:val="00EA115B"/>
    <w:rsid w:val="00EA1476"/>
    <w:rsid w:val="00EA335E"/>
    <w:rsid w:val="00EA528C"/>
    <w:rsid w:val="00EB0E66"/>
    <w:rsid w:val="00EB233E"/>
    <w:rsid w:val="00EB322A"/>
    <w:rsid w:val="00EB687F"/>
    <w:rsid w:val="00EB69AC"/>
    <w:rsid w:val="00EB6E34"/>
    <w:rsid w:val="00EC1261"/>
    <w:rsid w:val="00EE2AAE"/>
    <w:rsid w:val="00EE4653"/>
    <w:rsid w:val="00EE4C26"/>
    <w:rsid w:val="00EF34E2"/>
    <w:rsid w:val="00EF4F1F"/>
    <w:rsid w:val="00EF6E63"/>
    <w:rsid w:val="00F026CC"/>
    <w:rsid w:val="00F0628D"/>
    <w:rsid w:val="00F1233B"/>
    <w:rsid w:val="00F146EF"/>
    <w:rsid w:val="00F15A4B"/>
    <w:rsid w:val="00F15DF1"/>
    <w:rsid w:val="00F24669"/>
    <w:rsid w:val="00F2533F"/>
    <w:rsid w:val="00F279AD"/>
    <w:rsid w:val="00F3039A"/>
    <w:rsid w:val="00F336EC"/>
    <w:rsid w:val="00F33BB4"/>
    <w:rsid w:val="00F33C47"/>
    <w:rsid w:val="00F408D4"/>
    <w:rsid w:val="00F43D52"/>
    <w:rsid w:val="00F477F0"/>
    <w:rsid w:val="00F537F4"/>
    <w:rsid w:val="00F53DE9"/>
    <w:rsid w:val="00F576CB"/>
    <w:rsid w:val="00F71A02"/>
    <w:rsid w:val="00F77D87"/>
    <w:rsid w:val="00F85083"/>
    <w:rsid w:val="00FA20D2"/>
    <w:rsid w:val="00FA29A7"/>
    <w:rsid w:val="00FA3A51"/>
    <w:rsid w:val="00FA59E3"/>
    <w:rsid w:val="00FA7166"/>
    <w:rsid w:val="00FB4554"/>
    <w:rsid w:val="00FB6630"/>
    <w:rsid w:val="00FC017A"/>
    <w:rsid w:val="00FC033F"/>
    <w:rsid w:val="00FC076B"/>
    <w:rsid w:val="00FD07EB"/>
    <w:rsid w:val="00FD1226"/>
    <w:rsid w:val="00FD3ED2"/>
    <w:rsid w:val="00FE0F49"/>
    <w:rsid w:val="00FE5202"/>
    <w:rsid w:val="00FE523F"/>
    <w:rsid w:val="00FF45EA"/>
    <w:rsid w:val="00FF4830"/>
    <w:rsid w:val="00FF5FAC"/>
    <w:rsid w:val="00FF66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66AF4"/>
  <w15:docId w15:val="{4E64178C-3778-41F6-A258-D0207964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rsid w:val="001B3A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7">
    <w:name w:val="heading 7"/>
    <w:basedOn w:val="Normal"/>
    <w:next w:val="Normal"/>
    <w:link w:val="Heading7Char"/>
    <w:uiPriority w:val="9"/>
    <w:semiHidden/>
    <w:unhideWhenUsed/>
    <w:qFormat/>
    <w:rsid w:val="00521F6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521F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24F0E"/>
    <w:pPr>
      <w:keepNext/>
      <w:spacing w:before="360" w:after="120"/>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ListParagraphChar"/>
    <w:uiPriority w:val="34"/>
    <w:qFormat/>
    <w:rsid w:val="002F312A"/>
    <w:pPr>
      <w:ind w:left="720"/>
      <w:contextualSpacing/>
    </w:pPr>
  </w:style>
  <w:style w:type="paragraph" w:customStyle="1" w:styleId="5GAParaResolution">
    <w:name w:val="5GA Para Resolution"/>
    <w:basedOn w:val="Normal"/>
    <w:qFormat/>
    <w:rsid w:val="00F85083"/>
    <w:pPr>
      <w:autoSpaceDE w:val="0"/>
      <w:autoSpaceDN w:val="0"/>
      <w:adjustRightInd w:val="0"/>
      <w:spacing w:after="120"/>
      <w:ind w:left="1134" w:hanging="567"/>
      <w:jc w:val="both"/>
    </w:pPr>
    <w:rPr>
      <w:rFonts w:ascii="Arial" w:eastAsia="SimSun" w:hAnsi="Arial" w:cs="Arial"/>
      <w:sz w:val="22"/>
      <w:szCs w:val="22"/>
      <w:lang w:val="en-GB"/>
    </w:rPr>
  </w:style>
  <w:style w:type="paragraph" w:customStyle="1" w:styleId="COMPara">
    <w:name w:val="COM Para"/>
    <w:qFormat/>
    <w:rsid w:val="006C3B8C"/>
    <w:pPr>
      <w:spacing w:after="120"/>
      <w:ind w:left="720" w:hanging="360"/>
    </w:pPr>
    <w:rPr>
      <w:rFonts w:ascii="Arial" w:eastAsia="Times New Roman" w:hAnsi="Arial" w:cs="Arial"/>
      <w:snapToGrid w:val="0"/>
      <w:sz w:val="22"/>
      <w:szCs w:val="22"/>
      <w:lang w:eastAsia="en-US"/>
    </w:rPr>
  </w:style>
  <w:style w:type="paragraph" w:customStyle="1" w:styleId="I1">
    <w:name w:val="I.1"/>
    <w:basedOn w:val="Normal"/>
    <w:qFormat/>
    <w:rsid w:val="00CF79BA"/>
    <w:pPr>
      <w:keepNext/>
      <w:widowControl w:val="0"/>
      <w:tabs>
        <w:tab w:val="left" w:pos="567"/>
      </w:tabs>
      <w:autoSpaceDE w:val="0"/>
      <w:autoSpaceDN w:val="0"/>
      <w:adjustRightInd w:val="0"/>
      <w:spacing w:before="240" w:after="120"/>
      <w:ind w:left="567" w:hanging="567"/>
    </w:pPr>
    <w:rPr>
      <w:rFonts w:ascii="Arial" w:hAnsi="Arial" w:cs="Arial"/>
      <w:spacing w:val="-12"/>
      <w:sz w:val="22"/>
      <w:szCs w:val="22"/>
      <w:lang w:val="en-US"/>
    </w:rPr>
  </w:style>
  <w:style w:type="paragraph" w:customStyle="1" w:styleId="U1">
    <w:name w:val="U.1"/>
    <w:basedOn w:val="Normal"/>
    <w:qFormat/>
    <w:rsid w:val="00CF79BA"/>
    <w:pPr>
      <w:widowControl w:val="0"/>
      <w:tabs>
        <w:tab w:val="left" w:pos="1701"/>
      </w:tabs>
      <w:autoSpaceDE w:val="0"/>
      <w:autoSpaceDN w:val="0"/>
      <w:adjustRightInd w:val="0"/>
      <w:spacing w:after="120"/>
      <w:ind w:left="1701" w:hanging="567"/>
    </w:pPr>
    <w:rPr>
      <w:rFonts w:ascii="Arial" w:hAnsi="Arial" w:cs="Arial"/>
      <w:sz w:val="22"/>
      <w:szCs w:val="22"/>
      <w:lang w:val="en-US"/>
    </w:rPr>
  </w:style>
  <w:style w:type="paragraph" w:customStyle="1" w:styleId="1">
    <w:name w:val="1."/>
    <w:basedOn w:val="Normal"/>
    <w:qFormat/>
    <w:rsid w:val="00CF79BA"/>
    <w:pPr>
      <w:widowControl w:val="0"/>
      <w:tabs>
        <w:tab w:val="left" w:pos="1134"/>
      </w:tabs>
      <w:autoSpaceDE w:val="0"/>
      <w:autoSpaceDN w:val="0"/>
      <w:adjustRightInd w:val="0"/>
      <w:spacing w:after="120"/>
      <w:ind w:left="1134" w:hanging="567"/>
    </w:pPr>
    <w:rPr>
      <w:rFonts w:ascii="Arial" w:hAnsi="Arial" w:cs="Arial"/>
      <w:w w:val="96"/>
      <w:sz w:val="22"/>
      <w:szCs w:val="22"/>
      <w:lang w:val="en-US"/>
    </w:rPr>
  </w:style>
  <w:style w:type="paragraph" w:customStyle="1" w:styleId="ChapitreI1">
    <w:name w:val="Chapitre I.1"/>
    <w:basedOn w:val="Normal"/>
    <w:rsid w:val="00CF79BA"/>
    <w:pPr>
      <w:keepNext/>
      <w:keepLines/>
      <w:spacing w:before="240"/>
    </w:pPr>
    <w:rPr>
      <w:rFonts w:ascii="Arial" w:eastAsia="SimSun" w:hAnsi="Arial"/>
      <w:b/>
      <w:sz w:val="22"/>
      <w:lang w:eastAsia="zh-CN"/>
    </w:rPr>
  </w:style>
  <w:style w:type="paragraph" w:customStyle="1" w:styleId="dates">
    <w:name w:val="dates"/>
    <w:basedOn w:val="Normal"/>
    <w:qFormat/>
    <w:rsid w:val="00415E72"/>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character" w:customStyle="1" w:styleId="st1">
    <w:name w:val="st1"/>
    <w:rsid w:val="002B28E0"/>
  </w:style>
  <w:style w:type="character" w:styleId="Hyperlink">
    <w:name w:val="Hyperlink"/>
    <w:aliases w:val=" Car Car3 Char, Car Car3 Char Char Char Char"/>
    <w:link w:val="CarCar3"/>
    <w:uiPriority w:val="99"/>
    <w:unhideWhenUsed/>
    <w:rsid w:val="008F039E"/>
    <w:rPr>
      <w:color w:val="0000FF"/>
      <w:u w:val="single"/>
    </w:rPr>
  </w:style>
  <w:style w:type="paragraph" w:customStyle="1" w:styleId="i">
    <w:name w:val="(i)"/>
    <w:basedOn w:val="Normal"/>
    <w:link w:val="iChar"/>
    <w:autoRedefine/>
    <w:qFormat/>
    <w:rsid w:val="008F039E"/>
    <w:pPr>
      <w:numPr>
        <w:numId w:val="5"/>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8F039E"/>
    <w:rPr>
      <w:rFonts w:ascii="Arial" w:hAnsi="Arial" w:cs="Arial"/>
      <w:w w:val="90"/>
      <w:sz w:val="22"/>
      <w:szCs w:val="22"/>
      <w:lang w:val="en-US" w:eastAsia="fr-FR"/>
    </w:rPr>
  </w:style>
  <w:style w:type="table" w:customStyle="1" w:styleId="TableGrid1">
    <w:name w:val="Table Grid1"/>
    <w:basedOn w:val="TableNormal"/>
    <w:next w:val="TableGrid"/>
    <w:uiPriority w:val="59"/>
    <w:rsid w:val="00C15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Decision">
    <w:name w:val="COM Para Decision"/>
    <w:basedOn w:val="Normal"/>
    <w:qFormat/>
    <w:rsid w:val="00C157A0"/>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5GAparabodytext">
    <w:name w:val="5GA para body text"/>
    <w:qFormat/>
    <w:rsid w:val="00FF45EA"/>
    <w:pPr>
      <w:keepNext/>
      <w:spacing w:after="120" w:line="360" w:lineRule="auto"/>
      <w:ind w:left="720" w:hanging="360"/>
    </w:pPr>
    <w:rPr>
      <w:rFonts w:ascii="Arial" w:eastAsia="Times New Roman" w:hAnsi="Arial" w:cs="Arial"/>
      <w:snapToGrid w:val="0"/>
      <w:sz w:val="22"/>
      <w:szCs w:val="22"/>
      <w:lang w:eastAsia="en-US"/>
    </w:rPr>
  </w:style>
  <w:style w:type="paragraph" w:customStyle="1" w:styleId="5GATitleResolution">
    <w:name w:val="5GA Title Resolution"/>
    <w:basedOn w:val="Normal"/>
    <w:qFormat/>
    <w:rsid w:val="00FF45EA"/>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FF45EA"/>
    <w:pPr>
      <w:keepNext/>
      <w:spacing w:after="120"/>
      <w:ind w:left="567"/>
      <w:jc w:val="both"/>
    </w:pPr>
    <w:rPr>
      <w:rFonts w:ascii="Arial" w:hAnsi="Arial" w:cs="Arial"/>
      <w:sz w:val="22"/>
      <w:szCs w:val="22"/>
      <w:lang w:val="en-GB"/>
    </w:rPr>
  </w:style>
  <w:style w:type="paragraph" w:styleId="FootnoteText">
    <w:name w:val="footnote text"/>
    <w:basedOn w:val="Normal"/>
    <w:link w:val="FootnoteTextChar"/>
    <w:uiPriority w:val="99"/>
    <w:unhideWhenUsed/>
    <w:rsid w:val="00FF45EA"/>
    <w:rPr>
      <w:sz w:val="20"/>
      <w:szCs w:val="20"/>
      <w:lang w:val="x-none"/>
    </w:rPr>
  </w:style>
  <w:style w:type="character" w:customStyle="1" w:styleId="FootnoteTextChar">
    <w:name w:val="Footnote Text Char"/>
    <w:basedOn w:val="DefaultParagraphFont"/>
    <w:link w:val="FootnoteText"/>
    <w:uiPriority w:val="99"/>
    <w:rsid w:val="00FF45EA"/>
    <w:rPr>
      <w:rFonts w:ascii="Times New Roman" w:eastAsia="Times New Roman" w:hAnsi="Times New Roman"/>
      <w:lang w:val="x-none" w:eastAsia="fr-FR"/>
    </w:rPr>
  </w:style>
  <w:style w:type="character" w:styleId="FootnoteReference">
    <w:name w:val="footnote reference"/>
    <w:uiPriority w:val="99"/>
    <w:unhideWhenUsed/>
    <w:rsid w:val="00FF45EA"/>
    <w:rPr>
      <w:vertAlign w:val="superscript"/>
    </w:rPr>
  </w:style>
  <w:style w:type="paragraph" w:customStyle="1" w:styleId="alina">
    <w:name w:val="alinéa"/>
    <w:basedOn w:val="Normal"/>
    <w:rsid w:val="00FF45EA"/>
    <w:pPr>
      <w:spacing w:after="240"/>
      <w:ind w:left="567"/>
      <w:jc w:val="both"/>
    </w:pPr>
    <w:rPr>
      <w:rFonts w:ascii="Arial" w:hAnsi="Arial"/>
      <w:snapToGrid w:val="0"/>
      <w:lang w:val="en-US"/>
    </w:rPr>
  </w:style>
  <w:style w:type="paragraph" w:customStyle="1" w:styleId="c">
    <w:name w:val="(c)"/>
    <w:basedOn w:val="Normal"/>
    <w:rsid w:val="00FF45EA"/>
    <w:pPr>
      <w:tabs>
        <w:tab w:val="left" w:pos="1701"/>
      </w:tabs>
      <w:spacing w:after="240"/>
      <w:ind w:left="1701" w:hanging="567"/>
      <w:jc w:val="both"/>
    </w:pPr>
    <w:rPr>
      <w:rFonts w:ascii="Arial" w:hAnsi="Arial"/>
      <w:lang w:val="en-US"/>
    </w:rPr>
  </w:style>
  <w:style w:type="paragraph" w:customStyle="1" w:styleId="COMTitleDecision">
    <w:name w:val="COM Title Decision"/>
    <w:basedOn w:val="Normal"/>
    <w:qFormat/>
    <w:rsid w:val="00A9148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91486"/>
    <w:pPr>
      <w:keepNext/>
      <w:spacing w:after="120"/>
      <w:ind w:left="567"/>
      <w:jc w:val="both"/>
    </w:pPr>
    <w:rPr>
      <w:rFonts w:ascii="Arial" w:hAnsi="Arial" w:cs="Arial"/>
      <w:sz w:val="22"/>
      <w:szCs w:val="22"/>
      <w:lang w:val="en-GB"/>
    </w:rPr>
  </w:style>
  <w:style w:type="paragraph" w:customStyle="1" w:styleId="Annex">
    <w:name w:val="Annex"/>
    <w:basedOn w:val="Normal"/>
    <w:next w:val="Normal"/>
    <w:rsid w:val="00622067"/>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paragraph" w:styleId="NoSpacing">
    <w:name w:val="No Spacing"/>
    <w:uiPriority w:val="1"/>
    <w:qFormat/>
    <w:rsid w:val="00622067"/>
    <w:rPr>
      <w:rFonts w:asciiTheme="minorHAnsi" w:eastAsiaTheme="minorHAnsi" w:hAnsiTheme="minorHAnsi" w:cstheme="minorBidi"/>
      <w:sz w:val="22"/>
      <w:szCs w:val="22"/>
      <w:lang w:val="fr-FR" w:eastAsia="en-US"/>
    </w:rPr>
  </w:style>
  <w:style w:type="character" w:customStyle="1" w:styleId="ListParagraphChar">
    <w:name w:val="List Paragraph Char"/>
    <w:aliases w:val="Table of contents numbered Char,Normal bullet 2 Char,Bullet list Char,List Paragraph1 Char,Numbered List Char,1st level - Bullet List Paragraph Char,Lettre d'introduction Char,lp1 Char,Farbige Liste - Akzent 11 Char"/>
    <w:link w:val="ListParagraph"/>
    <w:uiPriority w:val="34"/>
    <w:qFormat/>
    <w:locked/>
    <w:rsid w:val="00622067"/>
    <w:rPr>
      <w:rFonts w:ascii="Times New Roman" w:eastAsia="Times New Roman" w:hAnsi="Times New Roman"/>
      <w:sz w:val="24"/>
      <w:szCs w:val="24"/>
      <w:lang w:val="fr-FR" w:eastAsia="fr-FR"/>
    </w:rPr>
  </w:style>
  <w:style w:type="paragraph" w:styleId="NormalWeb">
    <w:name w:val="Normal (Web)"/>
    <w:basedOn w:val="Normal"/>
    <w:uiPriority w:val="99"/>
    <w:unhideWhenUsed/>
    <w:rsid w:val="007E54D9"/>
    <w:pPr>
      <w:spacing w:before="100" w:beforeAutospacing="1" w:after="100" w:afterAutospacing="1"/>
    </w:pPr>
    <w:rPr>
      <w:lang w:val="en-AU" w:eastAsia="en-GB"/>
    </w:rPr>
  </w:style>
  <w:style w:type="paragraph" w:customStyle="1" w:styleId="CarCar3">
    <w:name w:val="Car Car3"/>
    <w:aliases w:val=" Car Car3 Char Char"/>
    <w:basedOn w:val="Normal"/>
    <w:link w:val="Hyperlink"/>
    <w:uiPriority w:val="99"/>
    <w:rsid w:val="007E54D9"/>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en-GB" w:eastAsia="en-GB"/>
    </w:rPr>
  </w:style>
  <w:style w:type="paragraph" w:styleId="Revision">
    <w:name w:val="Revision"/>
    <w:hidden/>
    <w:semiHidden/>
    <w:rsid w:val="00E206E4"/>
    <w:rPr>
      <w:rFonts w:ascii="Times New Roman" w:eastAsia="Times New Roman" w:hAnsi="Times New Roman"/>
      <w:sz w:val="24"/>
      <w:szCs w:val="24"/>
      <w:lang w:val="fr-FR" w:eastAsia="fr-FR"/>
    </w:rPr>
  </w:style>
  <w:style w:type="paragraph" w:customStyle="1" w:styleId="BODYTEXT">
    <w:name w:val="¬BODY TEXT"/>
    <w:basedOn w:val="Normal"/>
    <w:link w:val="BODYTEXTChar"/>
    <w:qFormat/>
    <w:rsid w:val="00AB7E1F"/>
    <w:p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AB7E1F"/>
    <w:rPr>
      <w:rFonts w:ascii="Arial" w:eastAsia="Calibri" w:hAnsi="Arial" w:cs="Arial"/>
      <w:color w:val="000000"/>
      <w:sz w:val="22"/>
      <w:szCs w:val="22"/>
      <w:lang w:eastAsia="fr-FR"/>
    </w:rPr>
  </w:style>
  <w:style w:type="character" w:styleId="UnresolvedMention">
    <w:name w:val="Unresolved Mention"/>
    <w:basedOn w:val="DefaultParagraphFont"/>
    <w:uiPriority w:val="99"/>
    <w:semiHidden/>
    <w:unhideWhenUsed/>
    <w:rsid w:val="0015601E"/>
    <w:rPr>
      <w:color w:val="605E5C"/>
      <w:shd w:val="clear" w:color="auto" w:fill="E1DFDD"/>
    </w:rPr>
  </w:style>
  <w:style w:type="character" w:styleId="FollowedHyperlink">
    <w:name w:val="FollowedHyperlink"/>
    <w:basedOn w:val="DefaultParagraphFont"/>
    <w:semiHidden/>
    <w:unhideWhenUsed/>
    <w:rsid w:val="008C1917"/>
    <w:rPr>
      <w:color w:val="954F72" w:themeColor="followedHyperlink"/>
      <w:u w:val="single"/>
    </w:rPr>
  </w:style>
  <w:style w:type="character" w:styleId="CommentReference">
    <w:name w:val="annotation reference"/>
    <w:basedOn w:val="DefaultParagraphFont"/>
    <w:unhideWhenUsed/>
    <w:rsid w:val="008F7166"/>
    <w:rPr>
      <w:sz w:val="16"/>
      <w:szCs w:val="16"/>
    </w:rPr>
  </w:style>
  <w:style w:type="paragraph" w:styleId="CommentText">
    <w:name w:val="annotation text"/>
    <w:basedOn w:val="Normal"/>
    <w:link w:val="CommentTextChar"/>
    <w:unhideWhenUsed/>
    <w:rsid w:val="008F7166"/>
    <w:rPr>
      <w:sz w:val="20"/>
      <w:szCs w:val="20"/>
    </w:rPr>
  </w:style>
  <w:style w:type="character" w:customStyle="1" w:styleId="CommentTextChar">
    <w:name w:val="Comment Text Char"/>
    <w:basedOn w:val="DefaultParagraphFont"/>
    <w:link w:val="CommentText"/>
    <w:rsid w:val="008F7166"/>
    <w:rPr>
      <w:rFonts w:ascii="Times New Roman" w:eastAsia="Times New Roman" w:hAnsi="Times New Roman"/>
      <w:lang w:val="fr-FR" w:eastAsia="fr-FR"/>
    </w:rPr>
  </w:style>
  <w:style w:type="paragraph" w:styleId="CommentSubject">
    <w:name w:val="annotation subject"/>
    <w:basedOn w:val="CommentText"/>
    <w:next w:val="CommentText"/>
    <w:link w:val="CommentSubjectChar"/>
    <w:unhideWhenUsed/>
    <w:rsid w:val="008F7166"/>
    <w:rPr>
      <w:b/>
      <w:bCs/>
    </w:rPr>
  </w:style>
  <w:style w:type="character" w:customStyle="1" w:styleId="CommentSubjectChar">
    <w:name w:val="Comment Subject Char"/>
    <w:basedOn w:val="CommentTextChar"/>
    <w:link w:val="CommentSubject"/>
    <w:rsid w:val="008F7166"/>
    <w:rPr>
      <w:rFonts w:ascii="Times New Roman" w:eastAsia="Times New Roman" w:hAnsi="Times New Roman"/>
      <w:b/>
      <w:bCs/>
      <w:lang w:val="fr-FR" w:eastAsia="fr-FR"/>
    </w:rPr>
  </w:style>
  <w:style w:type="table" w:styleId="GridTable4-Accent1">
    <w:name w:val="Grid Table 4 Accent 1"/>
    <w:basedOn w:val="TableNormal"/>
    <w:uiPriority w:val="49"/>
    <w:rsid w:val="00600587"/>
    <w:rPr>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lledutableau2">
    <w:name w:val="Grille du tableau2"/>
    <w:basedOn w:val="TableNormal"/>
    <w:next w:val="TableGrid"/>
    <w:uiPriority w:val="39"/>
    <w:rsid w:val="00B335C7"/>
    <w:rPr>
      <w:rFonts w:eastAsia="Yu Mincho" w:cs="Arial"/>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3AC9"/>
    <w:rPr>
      <w:rFonts w:asciiTheme="majorHAnsi" w:eastAsiaTheme="majorEastAsia" w:hAnsiTheme="majorHAnsi" w:cstheme="majorBidi"/>
      <w:color w:val="2E74B5" w:themeColor="accent1" w:themeShade="BF"/>
      <w:sz w:val="32"/>
      <w:szCs w:val="32"/>
      <w:lang w:val="fr-FR" w:eastAsia="fr-FR"/>
    </w:rPr>
  </w:style>
  <w:style w:type="paragraph" w:customStyle="1" w:styleId="Remarks">
    <w:name w:val="Remarks"/>
    <w:basedOn w:val="Header"/>
    <w:link w:val="RemarksChar"/>
    <w:qFormat/>
    <w:rsid w:val="001B3AC9"/>
    <w:pPr>
      <w:tabs>
        <w:tab w:val="clear" w:pos="4536"/>
        <w:tab w:val="clear" w:pos="9072"/>
      </w:tabs>
      <w:spacing w:before="240" w:after="240" w:line="360" w:lineRule="auto"/>
      <w:jc w:val="both"/>
    </w:pPr>
    <w:rPr>
      <w:rFonts w:ascii="Arial" w:eastAsia="Times" w:hAnsi="Arial" w:cs="Arial"/>
      <w:bCs/>
      <w:sz w:val="28"/>
      <w:szCs w:val="28"/>
      <w:lang w:val="en-GB" w:eastAsia="en-US"/>
    </w:rPr>
  </w:style>
  <w:style w:type="character" w:customStyle="1" w:styleId="RemarksChar">
    <w:name w:val="Remarks Char"/>
    <w:link w:val="Remarks"/>
    <w:rsid w:val="001B3AC9"/>
    <w:rPr>
      <w:rFonts w:ascii="Arial" w:eastAsia="Times" w:hAnsi="Arial" w:cs="Arial"/>
      <w:bCs/>
      <w:sz w:val="28"/>
      <w:szCs w:val="28"/>
      <w:lang w:eastAsia="en-US"/>
    </w:rPr>
  </w:style>
  <w:style w:type="paragraph" w:customStyle="1" w:styleId="1GAPara">
    <w:name w:val="1. GA Para"/>
    <w:qFormat/>
    <w:rsid w:val="001B3AC9"/>
    <w:pPr>
      <w:spacing w:after="120"/>
      <w:ind w:left="567" w:hanging="567"/>
    </w:pPr>
    <w:rPr>
      <w:rFonts w:ascii="Arial" w:eastAsia="Times New Roman" w:hAnsi="Arial" w:cs="Arial"/>
      <w:snapToGrid w:val="0"/>
      <w:sz w:val="22"/>
      <w:szCs w:val="22"/>
      <w:lang w:eastAsia="en-US"/>
    </w:rPr>
  </w:style>
  <w:style w:type="character" w:styleId="Strong">
    <w:name w:val="Strong"/>
    <w:uiPriority w:val="22"/>
    <w:qFormat/>
    <w:rsid w:val="001B3AC9"/>
    <w:rPr>
      <w:b/>
      <w:bCs/>
    </w:rPr>
  </w:style>
  <w:style w:type="paragraph" w:customStyle="1" w:styleId="1GAParabodytext">
    <w:name w:val="1.GA Para body text"/>
    <w:basedOn w:val="Marge"/>
    <w:qFormat/>
    <w:rsid w:val="001B3AC9"/>
    <w:pPr>
      <w:spacing w:after="120"/>
      <w:ind w:left="567" w:hanging="567"/>
    </w:pPr>
    <w:rPr>
      <w:rFonts w:cs="Arial"/>
      <w:szCs w:val="22"/>
    </w:rPr>
  </w:style>
  <w:style w:type="character" w:customStyle="1" w:styleId="Aucun">
    <w:name w:val="Aucun"/>
    <w:rsid w:val="007A6236"/>
    <w:rPr>
      <w:lang w:val="en-GB"/>
    </w:rPr>
  </w:style>
  <w:style w:type="character" w:customStyle="1" w:styleId="Heading7Char">
    <w:name w:val="Heading 7 Char"/>
    <w:basedOn w:val="DefaultParagraphFont"/>
    <w:link w:val="Heading7"/>
    <w:uiPriority w:val="9"/>
    <w:semiHidden/>
    <w:rsid w:val="00521F6F"/>
    <w:rPr>
      <w:rFonts w:asciiTheme="majorHAnsi" w:eastAsiaTheme="majorEastAsia" w:hAnsiTheme="majorHAnsi" w:cstheme="majorBidi"/>
      <w:i/>
      <w:iCs/>
      <w:color w:val="1F4D78" w:themeColor="accent1" w:themeShade="7F"/>
      <w:sz w:val="24"/>
      <w:szCs w:val="24"/>
      <w:lang w:val="fr-FR" w:eastAsia="fr-FR"/>
    </w:rPr>
  </w:style>
  <w:style w:type="character" w:customStyle="1" w:styleId="Heading9Char">
    <w:name w:val="Heading 9 Char"/>
    <w:basedOn w:val="DefaultParagraphFont"/>
    <w:link w:val="Heading9"/>
    <w:uiPriority w:val="9"/>
    <w:semiHidden/>
    <w:rsid w:val="00521F6F"/>
    <w:rPr>
      <w:rFonts w:asciiTheme="majorHAnsi" w:eastAsiaTheme="majorEastAsia" w:hAnsiTheme="majorHAnsi" w:cstheme="majorBidi"/>
      <w:i/>
      <w:iCs/>
      <w:color w:val="272727" w:themeColor="text1" w:themeTint="D8"/>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9530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13757574">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6-11.GA-2_EN.docx?v=1779132425" TargetMode="External"/><Relationship Id="rId13" Type="http://schemas.openxmlformats.org/officeDocument/2006/relationships/hyperlink" Target="https://ich.unesco.org/en/Decisions/6.GA/5" TargetMode="External"/><Relationship Id="rId18" Type="http://schemas.openxmlformats.org/officeDocument/2006/relationships/hyperlink" Target="https://unesdoc.unesco.org/ark:/48223/pf0000398080/PDF/398080eng.pdf.multi" TargetMode="External"/><Relationship Id="rId26" Type="http://schemas.openxmlformats.org/officeDocument/2006/relationships/hyperlink" Target="https://ich.unesco.org/doc/src/LHE-26-11.GA-8_EN.docx?v=1779142413"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ch.unesco.org/en/decisions/20.COM/8" TargetMode="External"/><Relationship Id="rId34" Type="http://schemas.openxmlformats.org/officeDocument/2006/relationships/hyperlink" Target="https://ich.unesco.org/en/decisions/20.COM/1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doc/src/LHE-26-11.GA-5_EN.docx?v=1779140957" TargetMode="External"/><Relationship Id="rId17" Type="http://schemas.openxmlformats.org/officeDocument/2006/relationships/hyperlink" Target="https://ich.unesco.org/en/decisions/20.COM/6.C" TargetMode="External"/><Relationship Id="rId25" Type="http://schemas.openxmlformats.org/officeDocument/2006/relationships/hyperlink" Target="https://ich.unesco.org" TargetMode="External"/><Relationship Id="rId33" Type="http://schemas.openxmlformats.org/officeDocument/2006/relationships/hyperlink" Target="https://ich.unesco.org/en/decisions/10.GA/9%20ADD."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ch.unesco.org/en/decisions/19.COM/15" TargetMode="External"/><Relationship Id="rId20" Type="http://schemas.openxmlformats.org/officeDocument/2006/relationships/hyperlink" Target="https://ich.unesco.org/en/decisions/20.COM/6.C" TargetMode="External"/><Relationship Id="rId29" Type="http://schemas.openxmlformats.org/officeDocument/2006/relationships/hyperlink" Target="https://ich.unesco.org/en/decisions/20.COM/1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3.GA/12" TargetMode="External"/><Relationship Id="rId24" Type="http://schemas.openxmlformats.org/officeDocument/2006/relationships/hyperlink" Target="https://ich.unesco.org" TargetMode="External"/><Relationship Id="rId32" Type="http://schemas.openxmlformats.org/officeDocument/2006/relationships/hyperlink" Target="https://ich.unesco.org/doc/src/LHE-26-11.GA-9_EN.docx?v=177914042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decisions/10.GA/6" TargetMode="External"/><Relationship Id="rId23" Type="http://schemas.openxmlformats.org/officeDocument/2006/relationships/hyperlink" Target="https://ich.unesco.org" TargetMode="External"/><Relationship Id="rId28" Type="http://schemas.openxmlformats.org/officeDocument/2006/relationships/hyperlink" Target="https://unesdoc.unesco.org/ark:/48223/pf0000396877" TargetMode="External"/><Relationship Id="rId36" Type="http://schemas.openxmlformats.org/officeDocument/2006/relationships/header" Target="header1.xml"/><Relationship Id="rId10" Type="http://schemas.openxmlformats.org/officeDocument/2006/relationships/hyperlink" Target="https://ich.unesco.org/doc/src/LHE-26-11.GA-4_EN.docx?v=1779099426" TargetMode="External"/><Relationship Id="rId19" Type="http://schemas.openxmlformats.org/officeDocument/2006/relationships/hyperlink" Target="https://ich.unesco.org/doc/src/LHE-26-11.GA-7_EN.docx?v=1779131985" TargetMode="External"/><Relationship Id="rId31" Type="http://schemas.openxmlformats.org/officeDocument/2006/relationships/hyperlink" Target="https://ich.unesco.org/en/decisions/10.COM/8" TargetMode="External"/><Relationship Id="rId4" Type="http://schemas.openxmlformats.org/officeDocument/2006/relationships/settings" Target="settings.xml"/><Relationship Id="rId9" Type="http://schemas.openxmlformats.org/officeDocument/2006/relationships/hyperlink" Target="https://ich.unesco.org/doc/src/LHE-26-11.GA-3_EN.docx?v=1779098727" TargetMode="External"/><Relationship Id="rId14" Type="http://schemas.openxmlformats.org/officeDocument/2006/relationships/hyperlink" Target="https://ich.unesco.org/doc/src/LHE-26-11.GA-6_EN.docx?v=1779140667" TargetMode="External"/><Relationship Id="rId22" Type="http://schemas.openxmlformats.org/officeDocument/2006/relationships/hyperlink" Target="https://ich.unesco.org/en/decisions/19.COM/15" TargetMode="External"/><Relationship Id="rId27" Type="http://schemas.openxmlformats.org/officeDocument/2006/relationships/hyperlink" Target="https://ich.unesco.org/doc/src/LHE-26-11.GA-INF.8_EN.docx" TargetMode="External"/><Relationship Id="rId30" Type="http://schemas.openxmlformats.org/officeDocument/2006/relationships/hyperlink" Target="https://ich.unesco.org/en/decisions/20.COM/14" TargetMode="External"/><Relationship Id="rId35" Type="http://schemas.openxmlformats.org/officeDocument/2006/relationships/hyperlink" Target="https://ich.unesco.org/doc/src/LHE-26-11.GA-10_EN.docx?v=1779113829" TargetMode="Externa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62C0-4EBE-41A3-BA57-313A2582A923}">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GA_Working document_EN</Template>
  <TotalTime>23</TotalTime>
  <Pages>13</Pages>
  <Words>4787</Words>
  <Characters>26334</Characters>
  <Application>Microsoft Office Word</Application>
  <DocSecurity>0</DocSecurity>
  <Lines>219</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Delsol, Christine</dc:creator>
  <cp:lastModifiedBy>Nakata Glenat, Keiichi Julien</cp:lastModifiedBy>
  <cp:revision>10</cp:revision>
  <cp:lastPrinted>2024-06-12T17:41:00Z</cp:lastPrinted>
  <dcterms:created xsi:type="dcterms:W3CDTF">2026-06-25T08:00:00Z</dcterms:created>
  <dcterms:modified xsi:type="dcterms:W3CDTF">2026-06-27T11:20:00Z</dcterms:modified>
</cp:coreProperties>
</file>