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30B" w14:textId="77777777" w:rsidR="002938F2" w:rsidRPr="001E0BE0" w:rsidRDefault="002938F2" w:rsidP="001E3343">
      <w:pPr>
        <w:spacing w:before="1440"/>
        <w:jc w:val="center"/>
        <w:rPr>
          <w:rFonts w:ascii="Arial" w:hAnsi="Arial" w:cs="Arial"/>
          <w:b/>
          <w:szCs w:val="22"/>
        </w:rPr>
      </w:pPr>
      <w:r w:rsidRPr="001E0BE0">
        <w:rPr>
          <w:rFonts w:ascii="Arial" w:hAnsi="Arial" w:cs="Arial"/>
          <w:b/>
        </w:rPr>
        <w:t>CONVENTION POUR LA SAUVEGARDE DU</w:t>
      </w:r>
      <w:r w:rsidRPr="001E0BE0">
        <w:rPr>
          <w:rFonts w:ascii="Arial" w:hAnsi="Arial" w:cs="Arial"/>
          <w:b/>
        </w:rPr>
        <w:br/>
        <w:t>PATRIMOINE CULTUREL IMMATÉRIEL</w:t>
      </w:r>
    </w:p>
    <w:p w14:paraId="1D2DE622" w14:textId="1C0D8222" w:rsidR="007E4E37" w:rsidRPr="001E0BE0" w:rsidRDefault="00BF2D93" w:rsidP="001E3343">
      <w:pPr>
        <w:spacing w:before="1200"/>
        <w:jc w:val="center"/>
        <w:rPr>
          <w:rFonts w:ascii="Arial" w:hAnsi="Arial" w:cs="Arial"/>
          <w:b/>
          <w:szCs w:val="22"/>
        </w:rPr>
      </w:pPr>
      <w:r w:rsidRPr="001E0BE0">
        <w:rPr>
          <w:rFonts w:ascii="Arial" w:hAnsi="Arial" w:cs="Arial"/>
          <w:b/>
        </w:rPr>
        <w:t>ASSEMBLÉE GÉNÉRALE DES ÉTATS PARTIES À LA CONVENTION</w:t>
      </w:r>
    </w:p>
    <w:p w14:paraId="04E2757B" w14:textId="2B51B3FE" w:rsidR="00FD1941" w:rsidRPr="001E0BE0" w:rsidRDefault="00206EFE" w:rsidP="001E3343">
      <w:pPr>
        <w:spacing w:before="840" w:after="0"/>
        <w:jc w:val="center"/>
        <w:rPr>
          <w:rFonts w:ascii="Arial" w:eastAsiaTheme="minorEastAsia" w:hAnsi="Arial" w:cs="Arial"/>
          <w:b/>
          <w:szCs w:val="22"/>
        </w:rPr>
      </w:pPr>
      <w:r w:rsidRPr="001E0BE0">
        <w:rPr>
          <w:rFonts w:ascii="Arial" w:hAnsi="Arial" w:cs="Arial"/>
          <w:b/>
        </w:rPr>
        <w:t>Onzième session</w:t>
      </w:r>
    </w:p>
    <w:p w14:paraId="7EC19BF6" w14:textId="03699452" w:rsidR="00FD1941" w:rsidRPr="001E0BE0" w:rsidRDefault="00BF2D93" w:rsidP="001E3343">
      <w:pPr>
        <w:spacing w:after="0"/>
        <w:jc w:val="center"/>
        <w:rPr>
          <w:rFonts w:ascii="Arial" w:eastAsiaTheme="minorEastAsia" w:hAnsi="Arial" w:cs="Arial"/>
          <w:b/>
          <w:szCs w:val="22"/>
        </w:rPr>
      </w:pPr>
      <w:bookmarkStart w:id="0" w:name="_Hlk70514101"/>
      <w:r w:rsidRPr="001E0BE0">
        <w:rPr>
          <w:rFonts w:ascii="Arial" w:hAnsi="Arial" w:cs="Arial"/>
          <w:b/>
        </w:rPr>
        <w:t xml:space="preserve">Siège de l’UNESCO, </w:t>
      </w:r>
      <w:r w:rsidR="008329B9">
        <w:rPr>
          <w:rFonts w:ascii="Arial" w:hAnsi="Arial" w:cs="Arial"/>
          <w:b/>
        </w:rPr>
        <w:t>S</w:t>
      </w:r>
      <w:r w:rsidRPr="001E0BE0">
        <w:rPr>
          <w:rFonts w:ascii="Arial" w:hAnsi="Arial" w:cs="Arial"/>
          <w:b/>
        </w:rPr>
        <w:t>alle I</w:t>
      </w:r>
    </w:p>
    <w:p w14:paraId="1F8ED81E" w14:textId="1EFAF38B" w:rsidR="00F228E9" w:rsidRPr="001E0BE0" w:rsidRDefault="00C0388B" w:rsidP="001E3343">
      <w:pPr>
        <w:spacing w:after="0"/>
        <w:jc w:val="center"/>
        <w:rPr>
          <w:rFonts w:ascii="Arial" w:eastAsiaTheme="minorEastAsia" w:hAnsi="Arial" w:cs="Arial"/>
          <w:b/>
          <w:szCs w:val="22"/>
        </w:rPr>
      </w:pPr>
      <w:r w:rsidRPr="001E0BE0">
        <w:rPr>
          <w:rFonts w:ascii="Arial" w:hAnsi="Arial" w:cs="Arial"/>
          <w:b/>
        </w:rPr>
        <w:t>17 - 18 juin 2026</w:t>
      </w:r>
    </w:p>
    <w:bookmarkEnd w:id="0"/>
    <w:p w14:paraId="65E6ABAF" w14:textId="6787EC95" w:rsidR="00785A3E" w:rsidRPr="001E0BE0" w:rsidRDefault="00022C09" w:rsidP="001E3343">
      <w:pPr>
        <w:spacing w:before="1200" w:after="0"/>
        <w:jc w:val="center"/>
        <w:rPr>
          <w:rFonts w:ascii="Arial" w:eastAsiaTheme="minorEastAsia" w:hAnsi="Arial" w:cs="Arial"/>
          <w:b/>
          <w:szCs w:val="22"/>
          <w:u w:val="single"/>
        </w:rPr>
      </w:pPr>
      <w:r w:rsidRPr="001E0BE0">
        <w:rPr>
          <w:rFonts w:ascii="Arial" w:hAnsi="Arial" w:cs="Arial"/>
          <w:b/>
          <w:u w:val="single"/>
        </w:rPr>
        <w:t xml:space="preserve">Rapport </w:t>
      </w:r>
      <w:r w:rsidR="00CE2202" w:rsidRPr="001E0BE0">
        <w:rPr>
          <w:rFonts w:ascii="Arial" w:hAnsi="Arial" w:cs="Arial"/>
          <w:b/>
          <w:u w:val="single"/>
        </w:rPr>
        <w:t>sur le</w:t>
      </w:r>
      <w:r w:rsidRPr="001E0BE0">
        <w:rPr>
          <w:rFonts w:ascii="Arial" w:hAnsi="Arial" w:cs="Arial"/>
          <w:b/>
          <w:u w:val="single"/>
        </w:rPr>
        <w:t xml:space="preserve"> Fonds du patrimoine culturel immatériel</w:t>
      </w:r>
    </w:p>
    <w:p w14:paraId="7F8237B5" w14:textId="648BFCFF" w:rsidR="00851458" w:rsidRPr="001E0BE0" w:rsidRDefault="00022C09" w:rsidP="001E3343">
      <w:pPr>
        <w:spacing w:after="0"/>
        <w:jc w:val="center"/>
        <w:rPr>
          <w:rFonts w:ascii="Arial" w:eastAsiaTheme="minorEastAsia" w:hAnsi="Arial" w:cs="Arial"/>
          <w:b/>
          <w:szCs w:val="22"/>
          <w:u w:val="single"/>
        </w:rPr>
      </w:pPr>
      <w:r w:rsidRPr="001E0BE0">
        <w:rPr>
          <w:rFonts w:ascii="Arial" w:hAnsi="Arial" w:cs="Arial"/>
          <w:b/>
          <w:u w:val="single"/>
        </w:rPr>
        <w:t>pour la période du 1 janvier 2024 au 31 décembre 2025</w:t>
      </w:r>
    </w:p>
    <w:p w14:paraId="77E7FBF4" w14:textId="77777777" w:rsidR="00022C09" w:rsidRPr="001E0BE0" w:rsidRDefault="00022C09" w:rsidP="001E3343">
      <w:pPr>
        <w:spacing w:before="840" w:after="0"/>
        <w:jc w:val="center"/>
        <w:rPr>
          <w:rFonts w:ascii="Arial" w:eastAsiaTheme="minorEastAsia" w:hAnsi="Arial" w:cs="Arial"/>
          <w:b/>
          <w:szCs w:val="22"/>
          <w:u w:val="single"/>
          <w:lang w:eastAsia="ko-KR"/>
        </w:rPr>
      </w:pP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022C09" w:rsidRPr="001E0BE0" w14:paraId="6EE1551D" w14:textId="77777777" w:rsidTr="00C204CC">
        <w:trPr>
          <w:jc w:val="center"/>
        </w:trPr>
        <w:tc>
          <w:tcPr>
            <w:tcW w:w="5669" w:type="dxa"/>
          </w:tcPr>
          <w:p w14:paraId="63D3C16A" w14:textId="77777777" w:rsidR="00022C09" w:rsidRPr="001E0BE0" w:rsidRDefault="00022C09" w:rsidP="001E3343">
            <w:pPr>
              <w:pStyle w:val="NoSpacing"/>
              <w:spacing w:before="200" w:after="200"/>
              <w:ind w:left="284" w:right="284"/>
              <w:jc w:val="center"/>
              <w:rPr>
                <w:rFonts w:ascii="Arial" w:hAnsi="Arial" w:cs="Arial"/>
                <w:b/>
                <w:sz w:val="22"/>
                <w:szCs w:val="22"/>
              </w:rPr>
            </w:pPr>
            <w:r w:rsidRPr="001E0BE0">
              <w:rPr>
                <w:rFonts w:ascii="Arial" w:hAnsi="Arial" w:cs="Arial"/>
                <w:b/>
                <w:sz w:val="22"/>
              </w:rPr>
              <w:t>Résumé</w:t>
            </w:r>
          </w:p>
          <w:p w14:paraId="4DAFDDEB" w14:textId="29A2B3A3" w:rsidR="00022C09" w:rsidRPr="001E0BE0" w:rsidRDefault="00022C09" w:rsidP="001E3343">
            <w:pPr>
              <w:pStyle w:val="Pranumrotrecommenc1"/>
              <w:tabs>
                <w:tab w:val="clear" w:pos="360"/>
              </w:tabs>
              <w:spacing w:before="200" w:after="200"/>
              <w:ind w:left="0" w:firstLine="0"/>
              <w:jc w:val="both"/>
              <w:rPr>
                <w:rFonts w:cs="Arial"/>
                <w:sz w:val="22"/>
                <w:szCs w:val="22"/>
              </w:rPr>
            </w:pPr>
            <w:r w:rsidRPr="001E0BE0">
              <w:rPr>
                <w:rFonts w:cs="Arial"/>
                <w:sz w:val="22"/>
              </w:rPr>
              <w:t xml:space="preserve">Conformément à l’article 10 du Règlement financier du Compte spécial du Fonds pour la sauvegarde du patrimoine culturel immatériel, </w:t>
            </w:r>
            <w:bookmarkStart w:id="1" w:name="_Hlk101342700"/>
            <w:r w:rsidRPr="001E0BE0">
              <w:rPr>
                <w:rFonts w:cs="Arial"/>
                <w:sz w:val="22"/>
              </w:rPr>
              <w:t>le présent document comprend les rapports narratifs et financiers du Fonds du patrimoine culturel immatériel pour la période allant du 1 janvier 2024 au 31 décembre 2025.</w:t>
            </w:r>
            <w:bookmarkEnd w:id="1"/>
          </w:p>
        </w:tc>
      </w:tr>
    </w:tbl>
    <w:p w14:paraId="41A01FAD" w14:textId="43AFAA9C" w:rsidR="00E22B99" w:rsidRPr="001E0BE0" w:rsidRDefault="00851458" w:rsidP="001E3343">
      <w:pPr>
        <w:pStyle w:val="1GAPara"/>
        <w:numPr>
          <w:ilvl w:val="0"/>
          <w:numId w:val="0"/>
        </w:numPr>
      </w:pPr>
      <w:r w:rsidRPr="001E0BE0">
        <w:br w:type="page"/>
      </w:r>
      <w:r w:rsidRPr="001E0BE0">
        <w:rPr>
          <w:b/>
        </w:rPr>
        <w:lastRenderedPageBreak/>
        <w:t>Contexte</w:t>
      </w:r>
    </w:p>
    <w:p w14:paraId="5B2F12D8" w14:textId="7B2C06E3" w:rsidR="00785A3E" w:rsidRPr="001E0BE0" w:rsidRDefault="00785A3E" w:rsidP="001E3343">
      <w:pPr>
        <w:pStyle w:val="1GAPara"/>
        <w:snapToGrid w:val="0"/>
        <w:ind w:left="567" w:hanging="567"/>
        <w:jc w:val="both"/>
      </w:pPr>
      <w:r w:rsidRPr="001E0BE0">
        <w:t xml:space="preserve">Le Compte spécial </w:t>
      </w:r>
      <w:r w:rsidR="005A69F7" w:rsidRPr="001E0BE0">
        <w:t>du</w:t>
      </w:r>
      <w:r w:rsidRPr="001E0BE0">
        <w:t xml:space="preserve"> Fonds pour la sauvegarde du patrimoine culturel immatériel (ci-après « le Fonds ») est régi par son Règlement financier, adopté par le Comité lors de sa première session extraordinaire et modifié pour la dernière fois par l’Assemblée générale </w:t>
      </w:r>
      <w:r w:rsidR="005A69F7" w:rsidRPr="001E0BE0">
        <w:t xml:space="preserve">lors </w:t>
      </w:r>
      <w:r w:rsidRPr="001E0BE0">
        <w:t>de sa huitième session (Résolution </w:t>
      </w:r>
      <w:hyperlink r:id="rId8" w:history="1">
        <w:r w:rsidRPr="001E0BE0">
          <w:rPr>
            <w:rStyle w:val="Hyperlink"/>
          </w:rPr>
          <w:t>8.GA 7</w:t>
        </w:r>
      </w:hyperlink>
      <w:r w:rsidRPr="001E0BE0">
        <w:t xml:space="preserve">). Conformément à son article 10, le rapport </w:t>
      </w:r>
      <w:r w:rsidR="005A69F7" w:rsidRPr="001E0BE0">
        <w:t xml:space="preserve">narratif </w:t>
      </w:r>
      <w:r w:rsidRPr="001E0BE0">
        <w:t xml:space="preserve">et les rapports financiers biennaux doivent être </w:t>
      </w:r>
      <w:r w:rsidR="005A69F7" w:rsidRPr="001E0BE0">
        <w:t xml:space="preserve">soumis </w:t>
      </w:r>
      <w:r w:rsidRPr="001E0BE0">
        <w:t>à l’Assemblée générale. Le présent document</w:t>
      </w:r>
      <w:r w:rsidR="005A69F7" w:rsidRPr="001E0BE0">
        <w:t xml:space="preserve"> </w:t>
      </w:r>
      <w:r w:rsidRPr="001E0BE0">
        <w:t>inclut ces rapports</w:t>
      </w:r>
      <w:r w:rsidR="005A69F7" w:rsidRPr="001E0BE0">
        <w:t xml:space="preserve"> et </w:t>
      </w:r>
      <w:r w:rsidRPr="001E0BE0">
        <w:t xml:space="preserve">couvre la période allant du 1 janvier 2024 au 31 décembre 2025. </w:t>
      </w:r>
    </w:p>
    <w:p w14:paraId="66183DCA" w14:textId="68FD768C" w:rsidR="00785A3E" w:rsidRPr="001E0BE0" w:rsidRDefault="00785A3E" w:rsidP="001E3343">
      <w:pPr>
        <w:pStyle w:val="1GAPara"/>
        <w:snapToGrid w:val="0"/>
        <w:ind w:left="567" w:hanging="567"/>
        <w:jc w:val="both"/>
      </w:pPr>
      <w:r w:rsidRPr="001E0BE0">
        <w:t xml:space="preserve">Les rapports doivent être lus </w:t>
      </w:r>
      <w:r w:rsidR="005A69F7" w:rsidRPr="001E0BE0">
        <w:t xml:space="preserve">conjointement avec la présentation </w:t>
      </w:r>
      <w:r w:rsidRPr="001E0BE0">
        <w:t xml:space="preserve">de la situation et des tendances du Fonds qui figure dans le document </w:t>
      </w:r>
      <w:hyperlink r:id="rId9" w:history="1">
        <w:r w:rsidRPr="001E0BE0">
          <w:rPr>
            <w:rStyle w:val="Hyperlink"/>
          </w:rPr>
          <w:t>LHE/26/11.GA/8</w:t>
        </w:r>
      </w:hyperlink>
      <w:r w:rsidRPr="001E0BE0">
        <w:t xml:space="preserve"> et </w:t>
      </w:r>
      <w:r w:rsidR="005A69F7" w:rsidRPr="001E0BE0">
        <w:t xml:space="preserve">le </w:t>
      </w:r>
      <w:r w:rsidRPr="001E0BE0">
        <w:t xml:space="preserve">Rapport du Secrétariat sur ses activités pendant la même période (document </w:t>
      </w:r>
      <w:hyperlink r:id="rId10" w:history="1">
        <w:r w:rsidRPr="001E0BE0">
          <w:rPr>
            <w:rStyle w:val="Hyperlink"/>
          </w:rPr>
          <w:t>LHE/26/11.GA/6</w:t>
        </w:r>
      </w:hyperlink>
      <w:r w:rsidRPr="001E0BE0">
        <w:t xml:space="preserve">). En outre, des informations complémentaires concernant des aspects spécifiques du Fonds figurent dans les documents examinés </w:t>
      </w:r>
      <w:r w:rsidR="005A69F7" w:rsidRPr="001E0BE0">
        <w:t xml:space="preserve">au cours </w:t>
      </w:r>
      <w:r w:rsidRPr="001E0BE0">
        <w:t>de la vingtième session du Comité en 2025, notamment les documents « Rapport sur l’assistance internationale du Fonds du patrimoine culturel immatériel » (document </w:t>
      </w:r>
      <w:hyperlink r:id="rId11" w:history="1">
        <w:r w:rsidRPr="001E0BE0">
          <w:rPr>
            <w:rStyle w:val="Hyperlink"/>
          </w:rPr>
          <w:t>LHE/25/20.COM/10</w:t>
        </w:r>
      </w:hyperlink>
      <w:r w:rsidRPr="001E0BE0">
        <w:t>) et « Fonds du patrimoine culturel immatériel : contributions volontaires supplémentaires et autres questions » (document </w:t>
      </w:r>
      <w:hyperlink r:id="rId12" w:history="1">
        <w:r w:rsidRPr="001E0BE0">
          <w:rPr>
            <w:rStyle w:val="Hyperlink"/>
          </w:rPr>
          <w:t>LHE/25/20.COM/13</w:t>
        </w:r>
      </w:hyperlink>
      <w:r w:rsidRPr="001E0BE0">
        <w:t>).</w:t>
      </w:r>
    </w:p>
    <w:p w14:paraId="6838209D" w14:textId="77777777" w:rsidR="00741933" w:rsidRPr="001E0BE0" w:rsidRDefault="00741933" w:rsidP="001E3343">
      <w:pPr>
        <w:pStyle w:val="1GAPara"/>
        <w:ind w:left="567" w:hanging="567"/>
      </w:pPr>
      <w:r w:rsidRPr="001E0BE0">
        <w:t xml:space="preserve">Le présent document contient : </w:t>
      </w:r>
    </w:p>
    <w:p w14:paraId="4C4811A8" w14:textId="1B8EC0C5" w:rsidR="00741933" w:rsidRPr="001E0BE0" w:rsidRDefault="00741933" w:rsidP="001E3343">
      <w:pPr>
        <w:pStyle w:val="1GAPara"/>
        <w:numPr>
          <w:ilvl w:val="1"/>
          <w:numId w:val="10"/>
        </w:numPr>
        <w:snapToGrid w:val="0"/>
        <w:ind w:left="1134" w:hanging="567"/>
        <w:jc w:val="both"/>
      </w:pPr>
      <w:r w:rsidRPr="001E0BE0">
        <w:t>une vue d’ensemble des recettes du Fonds (</w:t>
      </w:r>
      <w:hyperlink w:anchor="PartA" w:history="1">
        <w:r w:rsidRPr="001E0BE0">
          <w:rPr>
            <w:rStyle w:val="Hyperlink"/>
          </w:rPr>
          <w:t>partie A</w:t>
        </w:r>
      </w:hyperlink>
      <w:r w:rsidRPr="001E0BE0">
        <w:t>) ;</w:t>
      </w:r>
    </w:p>
    <w:p w14:paraId="03DA4615" w14:textId="3A729F08" w:rsidR="00741933" w:rsidRPr="001E0BE0" w:rsidRDefault="00741933" w:rsidP="001E3343">
      <w:pPr>
        <w:pStyle w:val="1GAPara"/>
        <w:numPr>
          <w:ilvl w:val="1"/>
          <w:numId w:val="10"/>
        </w:numPr>
        <w:snapToGrid w:val="0"/>
        <w:ind w:left="1134" w:hanging="567"/>
        <w:jc w:val="both"/>
      </w:pPr>
      <w:r w:rsidRPr="001E0BE0">
        <w:t>un rapport sur l’utilisation des ressources financières du Fonds (</w:t>
      </w:r>
      <w:hyperlink w:anchor="PartB" w:history="1">
        <w:r w:rsidRPr="001E0BE0">
          <w:rPr>
            <w:rStyle w:val="Hyperlink"/>
          </w:rPr>
          <w:t>partie B</w:t>
        </w:r>
      </w:hyperlink>
      <w:r w:rsidRPr="001E0BE0">
        <w:t>) ;</w:t>
      </w:r>
    </w:p>
    <w:p w14:paraId="67BF4441" w14:textId="5ECCFFB5" w:rsidR="00741933" w:rsidRPr="001E0BE0" w:rsidRDefault="00741933" w:rsidP="001E3343">
      <w:pPr>
        <w:pStyle w:val="1GAPara"/>
        <w:numPr>
          <w:ilvl w:val="1"/>
          <w:numId w:val="10"/>
        </w:numPr>
        <w:snapToGrid w:val="0"/>
        <w:ind w:left="1134" w:hanging="567"/>
        <w:jc w:val="both"/>
      </w:pPr>
      <w:hyperlink w:anchor="AnnexI" w:history="1">
        <w:r w:rsidRPr="001E0BE0">
          <w:rPr>
            <w:rStyle w:val="Hyperlink"/>
          </w:rPr>
          <w:t>Annexe I</w:t>
        </w:r>
      </w:hyperlink>
      <w:r w:rsidRPr="001E0BE0">
        <w:t xml:space="preserve"> - le rapport financier du Fonds pour la période considérée (</w:t>
      </w:r>
      <w:r w:rsidR="005A69F7" w:rsidRPr="001E0BE0">
        <w:t>état financier </w:t>
      </w:r>
      <w:r w:rsidRPr="001E0BE0">
        <w:t>I) et l’échelonnement des crédits et des dépenses pour la même période (tableau 1.1) ;</w:t>
      </w:r>
    </w:p>
    <w:p w14:paraId="2FAA6D65" w14:textId="6FBF45EC" w:rsidR="00741933" w:rsidRPr="001E0BE0" w:rsidRDefault="00741933" w:rsidP="001E3343">
      <w:pPr>
        <w:pStyle w:val="1GAPara"/>
        <w:numPr>
          <w:ilvl w:val="1"/>
          <w:numId w:val="10"/>
        </w:numPr>
        <w:snapToGrid w:val="0"/>
        <w:ind w:left="1134" w:hanging="567"/>
        <w:jc w:val="both"/>
      </w:pPr>
      <w:hyperlink w:anchor="ANNEXEII" w:history="1">
        <w:r w:rsidRPr="001E0BE0">
          <w:rPr>
            <w:rStyle w:val="Hyperlink"/>
          </w:rPr>
          <w:t>Annexe II</w:t>
        </w:r>
      </w:hyperlink>
      <w:r w:rsidRPr="001E0BE0">
        <w:t xml:space="preserve"> - la liste des contributions volontaires supplémentaires versées entre le 1 janvier 2024 et le 31 décembre 2025 à des fins spécifiques, comme stipulé à l’article 25.5 de la Convention, à la suite d’une décision du Comité ; </w:t>
      </w:r>
    </w:p>
    <w:p w14:paraId="3833983B" w14:textId="16D448C4" w:rsidR="00741933" w:rsidRPr="001E0BE0" w:rsidRDefault="00741933" w:rsidP="001E3343">
      <w:pPr>
        <w:pStyle w:val="1GAPara"/>
        <w:numPr>
          <w:ilvl w:val="1"/>
          <w:numId w:val="10"/>
        </w:numPr>
        <w:snapToGrid w:val="0"/>
        <w:ind w:left="1134" w:hanging="567"/>
        <w:jc w:val="both"/>
      </w:pPr>
      <w:hyperlink w:anchor="ANNEXEIII" w:history="1">
        <w:r w:rsidRPr="001E0BE0">
          <w:rPr>
            <w:rStyle w:val="Hyperlink"/>
          </w:rPr>
          <w:t>Annexe III</w:t>
        </w:r>
      </w:hyperlink>
      <w:r w:rsidRPr="001E0BE0">
        <w:t xml:space="preserve"> - les dépenses totales encourues pour chaque activité/projet spécifique approuvé par le Comité, depuis le</w:t>
      </w:r>
      <w:r w:rsidR="005A69F7" w:rsidRPr="001E0BE0">
        <w:t xml:space="preserve">ur </w:t>
      </w:r>
      <w:r w:rsidRPr="001E0BE0">
        <w:t>début jusqu’au 31 décembre 2025 ;</w:t>
      </w:r>
    </w:p>
    <w:p w14:paraId="2E63CF6C" w14:textId="17DB80C5" w:rsidR="00741933" w:rsidRPr="001E0BE0" w:rsidRDefault="00741933" w:rsidP="001E3343">
      <w:pPr>
        <w:pStyle w:val="1GAPara"/>
        <w:numPr>
          <w:ilvl w:val="1"/>
          <w:numId w:val="10"/>
        </w:numPr>
        <w:snapToGrid w:val="0"/>
        <w:ind w:left="1134" w:hanging="567"/>
        <w:jc w:val="both"/>
      </w:pPr>
      <w:hyperlink w:anchor="ANNEXEIV" w:history="1">
        <w:r w:rsidRPr="001E0BE0">
          <w:rPr>
            <w:rStyle w:val="Hyperlink"/>
          </w:rPr>
          <w:t>Annexe IV</w:t>
        </w:r>
      </w:hyperlink>
      <w:r w:rsidRPr="001E0BE0">
        <w:t xml:space="preserve"> - les prévisions, basées sur l’estimation du Secrétariat, </w:t>
      </w:r>
      <w:r w:rsidR="00B5091B" w:rsidRPr="001E0BE0">
        <w:t xml:space="preserve">concernant </w:t>
      </w:r>
      <w:r w:rsidRPr="001E0BE0">
        <w:t>l’utilisation future des fonds alloués aux activités/projets spécifiques en cours approuvés par le Comité ;</w:t>
      </w:r>
    </w:p>
    <w:p w14:paraId="461940B8" w14:textId="0A41E3AD" w:rsidR="00741933" w:rsidRPr="001E0BE0" w:rsidRDefault="00741933" w:rsidP="001E3343">
      <w:pPr>
        <w:pStyle w:val="1GAPara"/>
        <w:numPr>
          <w:ilvl w:val="1"/>
          <w:numId w:val="10"/>
        </w:numPr>
        <w:snapToGrid w:val="0"/>
        <w:ind w:left="1134" w:hanging="567"/>
        <w:jc w:val="both"/>
      </w:pPr>
      <w:hyperlink w:anchor="ANNEXEV" w:history="1">
        <w:r w:rsidRPr="001E0BE0">
          <w:rPr>
            <w:rStyle w:val="Hyperlink"/>
          </w:rPr>
          <w:t>Annexe V</w:t>
        </w:r>
      </w:hyperlink>
      <w:r w:rsidRPr="001E0BE0">
        <w:t xml:space="preserve"> - la liste des projets d’assistance internationale mis en œuvre pendant la période du 1 janvier 2024 au 31 décembre 2025 ;</w:t>
      </w:r>
    </w:p>
    <w:p w14:paraId="51D4AE8E" w14:textId="42D4C118" w:rsidR="00741933" w:rsidRPr="001E0BE0" w:rsidRDefault="00741933" w:rsidP="001E3343">
      <w:pPr>
        <w:pStyle w:val="1GAPara"/>
        <w:numPr>
          <w:ilvl w:val="1"/>
          <w:numId w:val="10"/>
        </w:numPr>
        <w:snapToGrid w:val="0"/>
        <w:ind w:left="1134" w:hanging="567"/>
        <w:jc w:val="both"/>
      </w:pPr>
      <w:hyperlink w:anchor="AnnexVI" w:history="1">
        <w:r w:rsidRPr="001E0BE0">
          <w:rPr>
            <w:rStyle w:val="Hyperlink"/>
          </w:rPr>
          <w:t>Annexe VI</w:t>
        </w:r>
      </w:hyperlink>
      <w:r w:rsidRPr="001E0BE0">
        <w:t xml:space="preserve"> - un rapport spécifique sur la mise en œuvre des « autres fonctions du Comité » (ligne budgétaire 3) pour la période du 1 janvier 2024 au 31 décembre 2025.</w:t>
      </w:r>
    </w:p>
    <w:p w14:paraId="56338D95" w14:textId="2235FB5C" w:rsidR="00741933" w:rsidRPr="001E0BE0" w:rsidRDefault="00741933" w:rsidP="001E3343">
      <w:pPr>
        <w:pStyle w:val="1GAPara"/>
        <w:numPr>
          <w:ilvl w:val="4"/>
          <w:numId w:val="10"/>
        </w:numPr>
        <w:spacing w:before="240"/>
        <w:ind w:left="567" w:hanging="567"/>
        <w:rPr>
          <w:b/>
          <w:bCs/>
        </w:rPr>
      </w:pPr>
      <w:bookmarkStart w:id="2" w:name="PartA"/>
      <w:r w:rsidRPr="001E0BE0">
        <w:rPr>
          <w:b/>
        </w:rPr>
        <w:t>Recettes</w:t>
      </w:r>
      <w:bookmarkEnd w:id="2"/>
      <w:r w:rsidRPr="001E0BE0">
        <w:rPr>
          <w:b/>
        </w:rPr>
        <w:t xml:space="preserve"> (</w:t>
      </w:r>
      <w:r w:rsidR="00B5091B" w:rsidRPr="001E0BE0">
        <w:rPr>
          <w:b/>
        </w:rPr>
        <w:t>é</w:t>
      </w:r>
      <w:r w:rsidRPr="001E0BE0">
        <w:rPr>
          <w:b/>
        </w:rPr>
        <w:t>tat financier I dans l’</w:t>
      </w:r>
      <w:r w:rsidR="00B5091B" w:rsidRPr="001E0BE0">
        <w:rPr>
          <w:b/>
        </w:rPr>
        <w:t>a</w:t>
      </w:r>
      <w:r w:rsidRPr="001E0BE0">
        <w:rPr>
          <w:b/>
        </w:rPr>
        <w:t>nnexe I et l’</w:t>
      </w:r>
      <w:r w:rsidR="00B5091B" w:rsidRPr="001E0BE0">
        <w:rPr>
          <w:b/>
        </w:rPr>
        <w:t>a</w:t>
      </w:r>
      <w:r w:rsidRPr="001E0BE0">
        <w:rPr>
          <w:b/>
        </w:rPr>
        <w:t>nnexe III)</w:t>
      </w:r>
      <w:r w:rsidRPr="001E0BE0">
        <w:rPr>
          <w:rStyle w:val="FootnoteReference"/>
          <w:b/>
          <w:bCs/>
        </w:rPr>
        <w:footnoteReference w:id="1"/>
      </w:r>
    </w:p>
    <w:p w14:paraId="709A13EA" w14:textId="3DE2C825" w:rsidR="00517D40" w:rsidRPr="001E0BE0" w:rsidRDefault="00741933" w:rsidP="001E3343">
      <w:pPr>
        <w:pStyle w:val="1GAPara"/>
        <w:ind w:left="567" w:hanging="567"/>
        <w:jc w:val="both"/>
      </w:pPr>
      <w:r w:rsidRPr="001E0BE0">
        <w:t>Les sources des recettes sont régies par l’Article 25.3 de la Convention et l’Article 5 du Règlement financier susmentionné. Au cours de la période considérée, les recettes du Fonds ont été les suivantes :</w:t>
      </w:r>
    </w:p>
    <w:tbl>
      <w:tblPr>
        <w:tblStyle w:val="TableGrid"/>
        <w:tblW w:w="0" w:type="auto"/>
        <w:tblInd w:w="567" w:type="dxa"/>
        <w:tblLook w:val="04A0" w:firstRow="1" w:lastRow="0" w:firstColumn="1" w:lastColumn="0" w:noHBand="0" w:noVBand="1"/>
      </w:tblPr>
      <w:tblGrid>
        <w:gridCol w:w="7077"/>
        <w:gridCol w:w="1984"/>
      </w:tblGrid>
      <w:tr w:rsidR="00741933" w:rsidRPr="001E0BE0" w14:paraId="6ACCD2A5" w14:textId="77777777" w:rsidTr="00C204CC">
        <w:trPr>
          <w:cantSplit/>
        </w:trPr>
        <w:tc>
          <w:tcPr>
            <w:tcW w:w="9061" w:type="dxa"/>
            <w:gridSpan w:val="2"/>
          </w:tcPr>
          <w:p w14:paraId="0FDB4AAF" w14:textId="77777777" w:rsidR="00741933" w:rsidRPr="001E0BE0" w:rsidRDefault="00741933" w:rsidP="001E3343">
            <w:pPr>
              <w:pStyle w:val="1GAPara"/>
              <w:numPr>
                <w:ilvl w:val="0"/>
                <w:numId w:val="14"/>
              </w:numPr>
              <w:ind w:left="318"/>
              <w:jc w:val="both"/>
              <w:rPr>
                <w:sz w:val="20"/>
                <w:szCs w:val="20"/>
              </w:rPr>
            </w:pPr>
            <w:r w:rsidRPr="001E0BE0">
              <w:rPr>
                <w:color w:val="000000"/>
                <w:sz w:val="20"/>
                <w:u w:val="single"/>
              </w:rPr>
              <w:t>Contributions obligatoires et volontaires mises en recouvrement des États parties</w:t>
            </w:r>
            <w:r w:rsidRPr="001E0BE0">
              <w:rPr>
                <w:rFonts w:eastAsia="SimSun"/>
                <w:bCs/>
                <w:color w:val="000000"/>
                <w:sz w:val="20"/>
                <w:szCs w:val="20"/>
                <w:vertAlign w:val="superscript"/>
                <w:lang w:eastAsia="zh-CN"/>
              </w:rPr>
              <w:footnoteReference w:id="2"/>
            </w:r>
          </w:p>
        </w:tc>
      </w:tr>
      <w:tr w:rsidR="00741933" w:rsidRPr="001E0BE0" w14:paraId="4FFB3854" w14:textId="77777777" w:rsidTr="00C204CC">
        <w:trPr>
          <w:cantSplit/>
        </w:trPr>
        <w:tc>
          <w:tcPr>
            <w:tcW w:w="7077" w:type="dxa"/>
            <w:vAlign w:val="center"/>
          </w:tcPr>
          <w:p w14:paraId="4EB9F130" w14:textId="0BF8C0CE" w:rsidR="00741933" w:rsidRPr="001E0BE0" w:rsidRDefault="00741933" w:rsidP="001E3343">
            <w:pPr>
              <w:pStyle w:val="1GAPara"/>
              <w:numPr>
                <w:ilvl w:val="0"/>
                <w:numId w:val="0"/>
              </w:numPr>
              <w:ind w:left="318"/>
              <w:jc w:val="both"/>
              <w:rPr>
                <w:sz w:val="20"/>
                <w:szCs w:val="20"/>
              </w:rPr>
            </w:pPr>
            <w:r w:rsidRPr="001E0BE0">
              <w:rPr>
                <w:color w:val="000000"/>
                <w:sz w:val="20"/>
              </w:rPr>
              <w:t xml:space="preserve">Contributions obligatoires </w:t>
            </w:r>
            <w:r w:rsidR="00B80BF3" w:rsidRPr="001E0BE0">
              <w:rPr>
                <w:color w:val="000000"/>
                <w:sz w:val="20"/>
              </w:rPr>
              <w:t xml:space="preserve">mises en recouvrement </w:t>
            </w:r>
            <w:r w:rsidRPr="001E0BE0">
              <w:rPr>
                <w:color w:val="000000"/>
                <w:sz w:val="20"/>
              </w:rPr>
              <w:t>de</w:t>
            </w:r>
            <w:r w:rsidRPr="001E0BE0">
              <w:rPr>
                <w:sz w:val="20"/>
              </w:rPr>
              <w:t xml:space="preserve"> 180 </w:t>
            </w:r>
            <w:r w:rsidRPr="001E0BE0">
              <w:rPr>
                <w:color w:val="000000"/>
                <w:sz w:val="20"/>
              </w:rPr>
              <w:t>États parties à la Convention, telles que décrites à l’article 26.1 de la Convention</w:t>
            </w:r>
          </w:p>
        </w:tc>
        <w:tc>
          <w:tcPr>
            <w:tcW w:w="1984" w:type="dxa"/>
          </w:tcPr>
          <w:p w14:paraId="4E6691FB" w14:textId="14604AD2" w:rsidR="00741933" w:rsidRPr="001E0BE0" w:rsidRDefault="00741933" w:rsidP="001E3343">
            <w:pPr>
              <w:pStyle w:val="1GAPara"/>
              <w:numPr>
                <w:ilvl w:val="0"/>
                <w:numId w:val="0"/>
              </w:numPr>
              <w:jc w:val="right"/>
              <w:rPr>
                <w:sz w:val="20"/>
                <w:szCs w:val="20"/>
              </w:rPr>
            </w:pPr>
            <w:r w:rsidRPr="001E0BE0">
              <w:rPr>
                <w:color w:val="000000"/>
                <w:sz w:val="20"/>
              </w:rPr>
              <w:t>4 218 345 dollars des États-Unis</w:t>
            </w:r>
          </w:p>
        </w:tc>
      </w:tr>
      <w:tr w:rsidR="00741933" w:rsidRPr="001E0BE0" w14:paraId="10F486AC" w14:textId="77777777" w:rsidTr="00C204CC">
        <w:trPr>
          <w:cantSplit/>
        </w:trPr>
        <w:tc>
          <w:tcPr>
            <w:tcW w:w="7077" w:type="dxa"/>
            <w:vAlign w:val="center"/>
          </w:tcPr>
          <w:p w14:paraId="73ACC8CD" w14:textId="31B62539" w:rsidR="00741933" w:rsidRPr="001E0BE0" w:rsidRDefault="00741933" w:rsidP="001E3343">
            <w:pPr>
              <w:pStyle w:val="1GAPara"/>
              <w:numPr>
                <w:ilvl w:val="0"/>
                <w:numId w:val="0"/>
              </w:numPr>
              <w:ind w:left="318"/>
              <w:jc w:val="both"/>
              <w:rPr>
                <w:sz w:val="20"/>
                <w:szCs w:val="20"/>
              </w:rPr>
            </w:pPr>
            <w:r w:rsidRPr="001E0BE0">
              <w:rPr>
                <w:color w:val="000000"/>
                <w:sz w:val="20"/>
              </w:rPr>
              <w:lastRenderedPageBreak/>
              <w:t xml:space="preserve">Contributions volontaires </w:t>
            </w:r>
            <w:r w:rsidR="00BA662B" w:rsidRPr="001E0BE0">
              <w:rPr>
                <w:color w:val="000000"/>
                <w:sz w:val="20"/>
              </w:rPr>
              <w:t xml:space="preserve">mises en recouvrement </w:t>
            </w:r>
            <w:r w:rsidRPr="001E0BE0">
              <w:rPr>
                <w:color w:val="000000"/>
                <w:sz w:val="20"/>
              </w:rPr>
              <w:t xml:space="preserve">reçues de </w:t>
            </w:r>
            <w:r w:rsidRPr="001E0BE0">
              <w:rPr>
                <w:sz w:val="20"/>
              </w:rPr>
              <w:t xml:space="preserve">quatre des </w:t>
            </w:r>
            <w:r w:rsidRPr="001E0BE0">
              <w:rPr>
                <w:color w:val="000000"/>
                <w:sz w:val="20"/>
              </w:rPr>
              <w:t xml:space="preserve">cinq États parties qui, au moment de leur ratification, ont eu recours à l’article 26.2 de la Convention </w:t>
            </w:r>
          </w:p>
        </w:tc>
        <w:tc>
          <w:tcPr>
            <w:tcW w:w="1984" w:type="dxa"/>
          </w:tcPr>
          <w:p w14:paraId="46A05BF4" w14:textId="21E3B72C" w:rsidR="00741933" w:rsidRPr="001E0BE0" w:rsidRDefault="00741933" w:rsidP="001E3343">
            <w:pPr>
              <w:pStyle w:val="1GAPara"/>
              <w:numPr>
                <w:ilvl w:val="0"/>
                <w:numId w:val="0"/>
              </w:numPr>
              <w:jc w:val="right"/>
              <w:rPr>
                <w:sz w:val="20"/>
                <w:szCs w:val="20"/>
              </w:rPr>
            </w:pPr>
            <w:r w:rsidRPr="001E0BE0">
              <w:rPr>
                <w:color w:val="000000"/>
                <w:sz w:val="20"/>
              </w:rPr>
              <w:t>509 604 dollars des États-Unis</w:t>
            </w:r>
          </w:p>
        </w:tc>
      </w:tr>
      <w:tr w:rsidR="008102DE" w:rsidRPr="001E0BE0" w14:paraId="27857188" w14:textId="77777777" w:rsidTr="00C204CC">
        <w:trPr>
          <w:cantSplit/>
        </w:trPr>
        <w:tc>
          <w:tcPr>
            <w:tcW w:w="7077" w:type="dxa"/>
            <w:vAlign w:val="center"/>
          </w:tcPr>
          <w:p w14:paraId="38A1209D" w14:textId="774AB864" w:rsidR="008102DE" w:rsidRPr="001E0BE0" w:rsidRDefault="008102DE" w:rsidP="001E3343">
            <w:pPr>
              <w:pStyle w:val="1GAPara"/>
              <w:numPr>
                <w:ilvl w:val="0"/>
                <w:numId w:val="14"/>
              </w:numPr>
              <w:ind w:left="317" w:hanging="357"/>
              <w:jc w:val="both"/>
              <w:rPr>
                <w:rFonts w:eastAsia="MS Mincho"/>
                <w:color w:val="000000"/>
                <w:sz w:val="20"/>
                <w:szCs w:val="20"/>
              </w:rPr>
            </w:pPr>
            <w:r w:rsidRPr="001E0BE0">
              <w:rPr>
                <w:color w:val="000000"/>
                <w:sz w:val="20"/>
                <w:u w:val="single"/>
              </w:rPr>
              <w:t>Contributions volontaires supplémentaires</w:t>
            </w:r>
          </w:p>
        </w:tc>
        <w:tc>
          <w:tcPr>
            <w:tcW w:w="1984" w:type="dxa"/>
          </w:tcPr>
          <w:p w14:paraId="186CF87C" w14:textId="77777777" w:rsidR="008102DE" w:rsidRPr="001E0BE0" w:rsidRDefault="008102DE" w:rsidP="001E3343">
            <w:pPr>
              <w:pStyle w:val="1GAPara"/>
              <w:numPr>
                <w:ilvl w:val="0"/>
                <w:numId w:val="0"/>
              </w:numPr>
              <w:jc w:val="right"/>
              <w:rPr>
                <w:rFonts w:eastAsia="SimSun"/>
                <w:bCs/>
                <w:color w:val="000000"/>
                <w:sz w:val="20"/>
                <w:szCs w:val="20"/>
                <w:lang w:eastAsia="zh-CN"/>
              </w:rPr>
            </w:pPr>
          </w:p>
        </w:tc>
      </w:tr>
      <w:tr w:rsidR="00741933" w:rsidRPr="001E0BE0" w14:paraId="7DA58A34" w14:textId="77777777" w:rsidTr="00C204CC">
        <w:trPr>
          <w:cantSplit/>
        </w:trPr>
        <w:tc>
          <w:tcPr>
            <w:tcW w:w="9061" w:type="dxa"/>
            <w:gridSpan w:val="2"/>
          </w:tcPr>
          <w:p w14:paraId="0FDF1E99" w14:textId="6763376C" w:rsidR="00741933" w:rsidRPr="001E0BE0" w:rsidRDefault="008102DE" w:rsidP="001E3343">
            <w:pPr>
              <w:pStyle w:val="1GAPara"/>
              <w:keepNext/>
              <w:numPr>
                <w:ilvl w:val="0"/>
                <w:numId w:val="0"/>
              </w:numPr>
              <w:jc w:val="both"/>
              <w:rPr>
                <w:sz w:val="20"/>
                <w:szCs w:val="20"/>
              </w:rPr>
            </w:pPr>
            <w:r w:rsidRPr="001E0BE0">
              <w:rPr>
                <w:i/>
                <w:sz w:val="20"/>
              </w:rPr>
              <w:t>Fonds reçus pour les activités du programme :</w:t>
            </w:r>
          </w:p>
        </w:tc>
      </w:tr>
      <w:tr w:rsidR="008102DE" w:rsidRPr="001E0BE0" w14:paraId="1F739055" w14:textId="6D92A0CE" w:rsidTr="008102DE">
        <w:trPr>
          <w:cantSplit/>
        </w:trPr>
        <w:tc>
          <w:tcPr>
            <w:tcW w:w="7077" w:type="dxa"/>
            <w:tcBorders>
              <w:right w:val="single" w:sz="4" w:space="0" w:color="auto"/>
            </w:tcBorders>
          </w:tcPr>
          <w:p w14:paraId="1C6D12B6" w14:textId="130D9BEC" w:rsidR="008102DE" w:rsidRPr="001E0BE0" w:rsidRDefault="008102DE" w:rsidP="001E3343">
            <w:pPr>
              <w:pStyle w:val="1GAPara"/>
              <w:keepNext/>
              <w:numPr>
                <w:ilvl w:val="0"/>
                <w:numId w:val="0"/>
              </w:numPr>
              <w:ind w:left="310"/>
              <w:jc w:val="both"/>
              <w:rPr>
                <w:bCs/>
                <w:sz w:val="20"/>
                <w:szCs w:val="20"/>
              </w:rPr>
            </w:pPr>
            <w:r w:rsidRPr="001E0BE0">
              <w:rPr>
                <w:sz w:val="20"/>
              </w:rPr>
              <w:t>Saint-Vincent-et-les Grenadines</w:t>
            </w:r>
          </w:p>
        </w:tc>
        <w:tc>
          <w:tcPr>
            <w:tcW w:w="1984" w:type="dxa"/>
            <w:tcBorders>
              <w:left w:val="single" w:sz="4" w:space="0" w:color="auto"/>
            </w:tcBorders>
            <w:vAlign w:val="center"/>
          </w:tcPr>
          <w:p w14:paraId="2D2FDDD9" w14:textId="2FD52FA5" w:rsidR="008102DE" w:rsidRPr="001E0BE0" w:rsidRDefault="008102DE" w:rsidP="001E3343">
            <w:pPr>
              <w:pStyle w:val="1GAPara"/>
              <w:keepNext/>
              <w:numPr>
                <w:ilvl w:val="0"/>
                <w:numId w:val="0"/>
              </w:numPr>
              <w:jc w:val="right"/>
              <w:rPr>
                <w:bCs/>
                <w:i/>
                <w:iCs/>
                <w:sz w:val="20"/>
                <w:szCs w:val="20"/>
              </w:rPr>
            </w:pPr>
            <w:r w:rsidRPr="001E0BE0">
              <w:rPr>
                <w:color w:val="000000"/>
                <w:sz w:val="20"/>
              </w:rPr>
              <w:t>73 dollars des États-Unis</w:t>
            </w:r>
          </w:p>
        </w:tc>
      </w:tr>
      <w:tr w:rsidR="00741933" w:rsidRPr="001E0BE0" w14:paraId="2BCEBF69" w14:textId="77777777" w:rsidTr="008102DE">
        <w:trPr>
          <w:cantSplit/>
        </w:trPr>
        <w:tc>
          <w:tcPr>
            <w:tcW w:w="7077" w:type="dxa"/>
            <w:tcBorders>
              <w:right w:val="single" w:sz="4" w:space="0" w:color="auto"/>
            </w:tcBorders>
          </w:tcPr>
          <w:p w14:paraId="52B3D6B0" w14:textId="6711AFA9" w:rsidR="00741933" w:rsidRPr="001E0BE0" w:rsidRDefault="00741933" w:rsidP="001E3343">
            <w:pPr>
              <w:pStyle w:val="1GAPara"/>
              <w:keepNext/>
              <w:numPr>
                <w:ilvl w:val="0"/>
                <w:numId w:val="0"/>
              </w:numPr>
              <w:jc w:val="both"/>
              <w:rPr>
                <w:sz w:val="20"/>
                <w:szCs w:val="20"/>
              </w:rPr>
            </w:pPr>
            <w:r w:rsidRPr="001E0BE0">
              <w:rPr>
                <w:i/>
                <w:color w:val="000000"/>
                <w:sz w:val="20"/>
              </w:rPr>
              <w:t xml:space="preserve">Contributions affectées à des fins spécifiques </w:t>
            </w:r>
            <w:r w:rsidR="00B5091B" w:rsidRPr="001E0BE0">
              <w:rPr>
                <w:i/>
                <w:color w:val="000000"/>
                <w:sz w:val="20"/>
              </w:rPr>
              <w:t xml:space="preserve">relatives </w:t>
            </w:r>
            <w:r w:rsidRPr="001E0BE0">
              <w:rPr>
                <w:i/>
                <w:color w:val="000000"/>
                <w:sz w:val="20"/>
              </w:rPr>
              <w:t xml:space="preserve">à des projets </w:t>
            </w:r>
            <w:r w:rsidR="00B5091B" w:rsidRPr="001E0BE0">
              <w:rPr>
                <w:i/>
                <w:color w:val="000000"/>
                <w:sz w:val="20"/>
              </w:rPr>
              <w:t xml:space="preserve">spécifiques </w:t>
            </w:r>
            <w:r w:rsidRPr="001E0BE0">
              <w:rPr>
                <w:i/>
                <w:color w:val="000000"/>
                <w:sz w:val="20"/>
              </w:rPr>
              <w:t>approuvés par le Comité, conformément à l’article 25.5 de la Convention :</w:t>
            </w:r>
          </w:p>
        </w:tc>
        <w:tc>
          <w:tcPr>
            <w:tcW w:w="1984" w:type="dxa"/>
            <w:tcBorders>
              <w:left w:val="single" w:sz="4" w:space="0" w:color="auto"/>
            </w:tcBorders>
          </w:tcPr>
          <w:p w14:paraId="58400A0F" w14:textId="77777777" w:rsidR="00741933" w:rsidRPr="001E0BE0" w:rsidRDefault="00741933" w:rsidP="001E3343">
            <w:pPr>
              <w:pStyle w:val="1GAPara"/>
              <w:keepNext/>
              <w:numPr>
                <w:ilvl w:val="0"/>
                <w:numId w:val="0"/>
              </w:numPr>
              <w:jc w:val="both"/>
              <w:rPr>
                <w:sz w:val="20"/>
                <w:szCs w:val="20"/>
              </w:rPr>
            </w:pPr>
          </w:p>
        </w:tc>
      </w:tr>
      <w:tr w:rsidR="00741933" w:rsidRPr="001E0BE0" w14:paraId="3EEBEF33" w14:textId="77777777" w:rsidTr="00C204CC">
        <w:trPr>
          <w:cantSplit/>
        </w:trPr>
        <w:tc>
          <w:tcPr>
            <w:tcW w:w="7077" w:type="dxa"/>
          </w:tcPr>
          <w:p w14:paraId="3591F071" w14:textId="0E203232" w:rsidR="00741933" w:rsidRPr="001E0BE0" w:rsidRDefault="008102DE" w:rsidP="001E3343">
            <w:pPr>
              <w:pStyle w:val="1GAPara"/>
              <w:numPr>
                <w:ilvl w:val="0"/>
                <w:numId w:val="0"/>
              </w:numPr>
              <w:ind w:left="318"/>
              <w:jc w:val="both"/>
              <w:rPr>
                <w:sz w:val="20"/>
                <w:szCs w:val="20"/>
              </w:rPr>
            </w:pPr>
            <w:r w:rsidRPr="001E0BE0">
              <w:rPr>
                <w:sz w:val="20"/>
              </w:rPr>
              <w:t>Du Royaume des Pays-Bas pour la mise en œuvre du programme « Réflexion sur une mise en œuvre plus large de l’article 18 de la Convention » (Décision </w:t>
            </w:r>
            <w:hyperlink r:id="rId13" w:history="1">
              <w:r w:rsidRPr="001E0BE0">
                <w:rPr>
                  <w:rStyle w:val="Hyperlink"/>
                  <w:sz w:val="20"/>
                </w:rPr>
                <w:t>19.COM.12</w:t>
              </w:r>
            </w:hyperlink>
            <w:r w:rsidRPr="001E0BE0">
              <w:rPr>
                <w:sz w:val="20"/>
              </w:rPr>
              <w:t>)</w:t>
            </w:r>
          </w:p>
        </w:tc>
        <w:tc>
          <w:tcPr>
            <w:tcW w:w="1984" w:type="dxa"/>
          </w:tcPr>
          <w:p w14:paraId="3AC1FBF6" w14:textId="17301F41" w:rsidR="00741933" w:rsidRPr="001E0BE0" w:rsidRDefault="008102DE" w:rsidP="001E3343">
            <w:pPr>
              <w:pStyle w:val="1GAPara"/>
              <w:numPr>
                <w:ilvl w:val="0"/>
                <w:numId w:val="0"/>
              </w:numPr>
              <w:jc w:val="right"/>
              <w:rPr>
                <w:sz w:val="20"/>
                <w:szCs w:val="20"/>
              </w:rPr>
            </w:pPr>
            <w:r w:rsidRPr="001E0BE0">
              <w:rPr>
                <w:color w:val="000000"/>
                <w:sz w:val="20"/>
              </w:rPr>
              <w:t>128 692 dollars des États-Unis</w:t>
            </w:r>
          </w:p>
        </w:tc>
      </w:tr>
      <w:tr w:rsidR="00741933" w:rsidRPr="001E0BE0" w14:paraId="2216BB0B" w14:textId="77777777" w:rsidTr="00C204CC">
        <w:trPr>
          <w:cantSplit/>
        </w:trPr>
        <w:tc>
          <w:tcPr>
            <w:tcW w:w="7077" w:type="dxa"/>
          </w:tcPr>
          <w:p w14:paraId="7C444167" w14:textId="36CF45B2" w:rsidR="00741933" w:rsidRPr="001E0BE0" w:rsidRDefault="008102DE" w:rsidP="001E3343">
            <w:pPr>
              <w:pStyle w:val="1GAPara"/>
              <w:numPr>
                <w:ilvl w:val="0"/>
                <w:numId w:val="0"/>
              </w:numPr>
              <w:ind w:left="318"/>
              <w:jc w:val="both"/>
              <w:rPr>
                <w:sz w:val="20"/>
                <w:szCs w:val="20"/>
              </w:rPr>
            </w:pPr>
            <w:r w:rsidRPr="001E0BE0">
              <w:rPr>
                <w:sz w:val="20"/>
              </w:rPr>
              <w:t xml:space="preserve">Du Royaume des Pays-Bas pour la mise en œuvre de l’initiative thématique sur l’intelligence artificielle et le patrimoine vivant (Décision </w:t>
            </w:r>
            <w:hyperlink r:id="rId14" w:history="1">
              <w:r w:rsidRPr="001E0BE0">
                <w:rPr>
                  <w:rStyle w:val="Hyperlink"/>
                  <w:sz w:val="20"/>
                </w:rPr>
                <w:t>20.COM 13</w:t>
              </w:r>
            </w:hyperlink>
            <w:r w:rsidRPr="001E0BE0">
              <w:rPr>
                <w:sz w:val="20"/>
              </w:rPr>
              <w:t>)</w:t>
            </w:r>
          </w:p>
        </w:tc>
        <w:tc>
          <w:tcPr>
            <w:tcW w:w="1984" w:type="dxa"/>
          </w:tcPr>
          <w:p w14:paraId="618E105D" w14:textId="4BB266AD" w:rsidR="00741933" w:rsidRPr="001E0BE0" w:rsidRDefault="00741933" w:rsidP="001E3343">
            <w:pPr>
              <w:pStyle w:val="1GAPara"/>
              <w:numPr>
                <w:ilvl w:val="0"/>
                <w:numId w:val="0"/>
              </w:numPr>
              <w:jc w:val="right"/>
              <w:rPr>
                <w:rFonts w:eastAsia="SimSun"/>
                <w:bCs/>
                <w:color w:val="000000"/>
                <w:sz w:val="20"/>
                <w:szCs w:val="20"/>
              </w:rPr>
            </w:pPr>
            <w:r w:rsidRPr="001E0BE0">
              <w:rPr>
                <w:color w:val="000000"/>
                <w:sz w:val="20"/>
              </w:rPr>
              <w:t>141 040 dollars des États-Unis</w:t>
            </w:r>
          </w:p>
        </w:tc>
      </w:tr>
      <w:tr w:rsidR="00741933" w:rsidRPr="001E0BE0" w14:paraId="0676F62A" w14:textId="77777777" w:rsidTr="00C204CC">
        <w:trPr>
          <w:cantSplit/>
        </w:trPr>
        <w:tc>
          <w:tcPr>
            <w:tcW w:w="7077" w:type="dxa"/>
          </w:tcPr>
          <w:p w14:paraId="5D12671E" w14:textId="62E79311" w:rsidR="00741933" w:rsidRPr="001E0BE0" w:rsidRDefault="00741933" w:rsidP="001E3343">
            <w:pPr>
              <w:pStyle w:val="1GAPara"/>
              <w:numPr>
                <w:ilvl w:val="0"/>
                <w:numId w:val="0"/>
              </w:numPr>
              <w:ind w:left="318"/>
              <w:jc w:val="both"/>
              <w:rPr>
                <w:sz w:val="20"/>
                <w:szCs w:val="20"/>
              </w:rPr>
            </w:pPr>
            <w:r w:rsidRPr="001E0BE0">
              <w:rPr>
                <w:sz w:val="20"/>
              </w:rPr>
              <w:t xml:space="preserve">De la Suède pour la mise en œuvre de l’initiative thématique sur l’intelligence artificielle et le patrimoine vivant (Décision </w:t>
            </w:r>
            <w:hyperlink r:id="rId15" w:history="1">
              <w:r w:rsidRPr="001E0BE0">
                <w:rPr>
                  <w:rStyle w:val="Hyperlink"/>
                  <w:sz w:val="20"/>
                </w:rPr>
                <w:t>20.COM 13</w:t>
              </w:r>
            </w:hyperlink>
            <w:r w:rsidRPr="001E0BE0">
              <w:rPr>
                <w:sz w:val="20"/>
              </w:rPr>
              <w:t xml:space="preserve">) </w:t>
            </w:r>
          </w:p>
        </w:tc>
        <w:tc>
          <w:tcPr>
            <w:tcW w:w="1984" w:type="dxa"/>
          </w:tcPr>
          <w:p w14:paraId="260AC6BD" w14:textId="6FC56A57" w:rsidR="00741933" w:rsidRPr="001E0BE0" w:rsidRDefault="00741933" w:rsidP="001E3343">
            <w:pPr>
              <w:pStyle w:val="1GAPara"/>
              <w:numPr>
                <w:ilvl w:val="0"/>
                <w:numId w:val="0"/>
              </w:numPr>
              <w:jc w:val="right"/>
              <w:rPr>
                <w:rFonts w:eastAsia="SimSun"/>
                <w:bCs/>
                <w:color w:val="000000"/>
                <w:sz w:val="20"/>
                <w:szCs w:val="20"/>
              </w:rPr>
            </w:pPr>
            <w:r w:rsidRPr="001E0BE0">
              <w:rPr>
                <w:color w:val="000000"/>
                <w:sz w:val="20"/>
              </w:rPr>
              <w:t>30 041 dollars des États-Unis</w:t>
            </w:r>
          </w:p>
        </w:tc>
      </w:tr>
      <w:tr w:rsidR="00741933" w:rsidRPr="001E0BE0" w14:paraId="292C93D6" w14:textId="77777777" w:rsidTr="00C204CC">
        <w:trPr>
          <w:cantSplit/>
        </w:trPr>
        <w:tc>
          <w:tcPr>
            <w:tcW w:w="7077" w:type="dxa"/>
          </w:tcPr>
          <w:p w14:paraId="54826B3C" w14:textId="67FE6BB5" w:rsidR="00741933" w:rsidRPr="001E0BE0" w:rsidRDefault="00741933" w:rsidP="001E3343">
            <w:pPr>
              <w:pStyle w:val="1GAPara"/>
              <w:numPr>
                <w:ilvl w:val="0"/>
                <w:numId w:val="0"/>
              </w:numPr>
              <w:jc w:val="both"/>
              <w:rPr>
                <w:sz w:val="20"/>
                <w:szCs w:val="20"/>
              </w:rPr>
            </w:pPr>
            <w:r w:rsidRPr="001E0BE0">
              <w:rPr>
                <w:i/>
                <w:color w:val="000000"/>
                <w:sz w:val="20"/>
              </w:rPr>
              <w:t xml:space="preserve">Sous-fonds destiné exclusivement au renforcement des capacités humaines du Secrétariat </w:t>
            </w:r>
            <w:r w:rsidRPr="001E0BE0">
              <w:rPr>
                <w:i/>
                <w:sz w:val="20"/>
              </w:rPr>
              <w:t>(Résolution </w:t>
            </w:r>
            <w:hyperlink r:id="rId16" w:history="1">
              <w:r w:rsidRPr="001E0BE0">
                <w:rPr>
                  <w:rStyle w:val="Hyperlink"/>
                  <w:sz w:val="20"/>
                </w:rPr>
                <w:t>3.GA 9</w:t>
              </w:r>
            </w:hyperlink>
            <w:r w:rsidRPr="001E0BE0">
              <w:rPr>
                <w:i/>
                <w:sz w:val="20"/>
              </w:rPr>
              <w:t>)</w:t>
            </w:r>
          </w:p>
        </w:tc>
        <w:tc>
          <w:tcPr>
            <w:tcW w:w="1984" w:type="dxa"/>
          </w:tcPr>
          <w:p w14:paraId="2A58BBE2" w14:textId="77777777" w:rsidR="00741933" w:rsidRPr="001E0BE0" w:rsidRDefault="00741933" w:rsidP="001E3343">
            <w:pPr>
              <w:pStyle w:val="1GAPara"/>
              <w:numPr>
                <w:ilvl w:val="0"/>
                <w:numId w:val="0"/>
              </w:numPr>
              <w:jc w:val="both"/>
              <w:rPr>
                <w:rFonts w:eastAsia="SimSun"/>
                <w:bCs/>
                <w:color w:val="000000"/>
                <w:sz w:val="20"/>
                <w:szCs w:val="20"/>
                <w:lang w:eastAsia="zh-CN"/>
              </w:rPr>
            </w:pPr>
          </w:p>
        </w:tc>
      </w:tr>
      <w:tr w:rsidR="00AA1E54" w:rsidRPr="001E0BE0" w14:paraId="2217E29B" w14:textId="77777777" w:rsidTr="00246910">
        <w:trPr>
          <w:cantSplit/>
        </w:trPr>
        <w:tc>
          <w:tcPr>
            <w:tcW w:w="7077" w:type="dxa"/>
          </w:tcPr>
          <w:p w14:paraId="2E303E34" w14:textId="77777777" w:rsidR="00AA1E54" w:rsidRPr="001E0BE0" w:rsidRDefault="00AA1E54" w:rsidP="001E3343">
            <w:pPr>
              <w:pStyle w:val="1GAPara"/>
              <w:numPr>
                <w:ilvl w:val="0"/>
                <w:numId w:val="0"/>
              </w:numPr>
              <w:ind w:firstLine="340"/>
              <w:jc w:val="both"/>
              <w:rPr>
                <w:sz w:val="20"/>
                <w:szCs w:val="20"/>
              </w:rPr>
            </w:pPr>
            <w:r w:rsidRPr="001E0BE0">
              <w:rPr>
                <w:sz w:val="20"/>
              </w:rPr>
              <w:t>France</w:t>
            </w:r>
          </w:p>
        </w:tc>
        <w:tc>
          <w:tcPr>
            <w:tcW w:w="1984" w:type="dxa"/>
            <w:vAlign w:val="center"/>
          </w:tcPr>
          <w:p w14:paraId="0BCF12FB" w14:textId="50E3B175" w:rsidR="00AA1E54" w:rsidRPr="001E0BE0" w:rsidRDefault="00AA1E54" w:rsidP="001E3343">
            <w:pPr>
              <w:pStyle w:val="1GAPara"/>
              <w:numPr>
                <w:ilvl w:val="0"/>
                <w:numId w:val="0"/>
              </w:numPr>
              <w:jc w:val="right"/>
              <w:rPr>
                <w:rFonts w:eastAsia="SimSun"/>
                <w:bCs/>
                <w:color w:val="000000"/>
                <w:sz w:val="20"/>
                <w:szCs w:val="20"/>
              </w:rPr>
            </w:pPr>
            <w:r w:rsidRPr="001E0BE0">
              <w:rPr>
                <w:color w:val="000000"/>
                <w:sz w:val="20"/>
              </w:rPr>
              <w:t>109 529 dollars des États-Unis</w:t>
            </w:r>
          </w:p>
        </w:tc>
      </w:tr>
      <w:tr w:rsidR="00AA1E54" w:rsidRPr="001E0BE0" w14:paraId="265CBE65" w14:textId="77777777" w:rsidTr="00246910">
        <w:trPr>
          <w:cantSplit/>
        </w:trPr>
        <w:tc>
          <w:tcPr>
            <w:tcW w:w="7077" w:type="dxa"/>
          </w:tcPr>
          <w:p w14:paraId="095D095D" w14:textId="77777777" w:rsidR="00AA1E54" w:rsidRPr="001E0BE0" w:rsidRDefault="00AA1E54" w:rsidP="001E3343">
            <w:pPr>
              <w:pStyle w:val="1GAPara"/>
              <w:numPr>
                <w:ilvl w:val="0"/>
                <w:numId w:val="0"/>
              </w:numPr>
              <w:ind w:firstLine="340"/>
              <w:jc w:val="both"/>
              <w:rPr>
                <w:sz w:val="20"/>
                <w:szCs w:val="20"/>
              </w:rPr>
            </w:pPr>
            <w:r w:rsidRPr="001E0BE0">
              <w:rPr>
                <w:sz w:val="20"/>
              </w:rPr>
              <w:t>Lituanie</w:t>
            </w:r>
          </w:p>
        </w:tc>
        <w:tc>
          <w:tcPr>
            <w:tcW w:w="1984" w:type="dxa"/>
            <w:vAlign w:val="center"/>
          </w:tcPr>
          <w:p w14:paraId="513CD8FA" w14:textId="245EC66B" w:rsidR="00AA1E54" w:rsidRPr="001E0BE0" w:rsidRDefault="00AA1E54" w:rsidP="001E3343">
            <w:pPr>
              <w:pStyle w:val="1GAPara"/>
              <w:numPr>
                <w:ilvl w:val="0"/>
                <w:numId w:val="0"/>
              </w:numPr>
              <w:jc w:val="right"/>
              <w:rPr>
                <w:rFonts w:eastAsia="SimSun"/>
                <w:bCs/>
                <w:color w:val="000000"/>
                <w:sz w:val="20"/>
                <w:szCs w:val="20"/>
              </w:rPr>
            </w:pPr>
            <w:r w:rsidRPr="001E0BE0">
              <w:rPr>
                <w:color w:val="000000"/>
                <w:sz w:val="20"/>
              </w:rPr>
              <w:t>5 320 dollars des États-Unis</w:t>
            </w:r>
          </w:p>
        </w:tc>
      </w:tr>
      <w:tr w:rsidR="00AA1E54" w:rsidRPr="001E0BE0" w14:paraId="1E354320" w14:textId="77777777" w:rsidTr="00246910">
        <w:trPr>
          <w:cantSplit/>
        </w:trPr>
        <w:tc>
          <w:tcPr>
            <w:tcW w:w="7077" w:type="dxa"/>
          </w:tcPr>
          <w:p w14:paraId="4F00FEC9" w14:textId="77777777" w:rsidR="00AA1E54" w:rsidRPr="001E0BE0" w:rsidRDefault="00AA1E54" w:rsidP="001E3343">
            <w:pPr>
              <w:pStyle w:val="1GAPara"/>
              <w:numPr>
                <w:ilvl w:val="0"/>
                <w:numId w:val="0"/>
              </w:numPr>
              <w:ind w:firstLine="340"/>
              <w:jc w:val="both"/>
              <w:rPr>
                <w:sz w:val="20"/>
                <w:szCs w:val="20"/>
              </w:rPr>
            </w:pPr>
            <w:r w:rsidRPr="001E0BE0">
              <w:rPr>
                <w:sz w:val="20"/>
              </w:rPr>
              <w:t>Monaco</w:t>
            </w:r>
          </w:p>
        </w:tc>
        <w:tc>
          <w:tcPr>
            <w:tcW w:w="1984" w:type="dxa"/>
            <w:vAlign w:val="center"/>
          </w:tcPr>
          <w:p w14:paraId="743B338B" w14:textId="7A06DE9F" w:rsidR="00AA1E54" w:rsidRPr="001E0BE0" w:rsidRDefault="00AA1E54" w:rsidP="001E3343">
            <w:pPr>
              <w:pStyle w:val="1GAPara"/>
              <w:numPr>
                <w:ilvl w:val="0"/>
                <w:numId w:val="0"/>
              </w:numPr>
              <w:jc w:val="right"/>
              <w:rPr>
                <w:rFonts w:eastAsia="SimSun"/>
                <w:bCs/>
                <w:color w:val="000000"/>
                <w:sz w:val="20"/>
                <w:szCs w:val="20"/>
              </w:rPr>
            </w:pPr>
            <w:r w:rsidRPr="001E0BE0">
              <w:rPr>
                <w:color w:val="000000"/>
                <w:sz w:val="20"/>
              </w:rPr>
              <w:t>21 994 dollars des États-Unis</w:t>
            </w:r>
          </w:p>
        </w:tc>
      </w:tr>
      <w:tr w:rsidR="00AA1E54" w:rsidRPr="001E0BE0" w14:paraId="49E485A1" w14:textId="77777777" w:rsidTr="00246910">
        <w:trPr>
          <w:cantSplit/>
        </w:trPr>
        <w:tc>
          <w:tcPr>
            <w:tcW w:w="7077" w:type="dxa"/>
          </w:tcPr>
          <w:p w14:paraId="7C5CDE31" w14:textId="5D5018AF" w:rsidR="00AA1E54" w:rsidRPr="001E0BE0" w:rsidRDefault="00AA1E54" w:rsidP="001E3343">
            <w:pPr>
              <w:pStyle w:val="1GAPara"/>
              <w:numPr>
                <w:ilvl w:val="0"/>
                <w:numId w:val="0"/>
              </w:numPr>
              <w:ind w:firstLine="340"/>
              <w:jc w:val="both"/>
              <w:rPr>
                <w:sz w:val="20"/>
                <w:szCs w:val="20"/>
              </w:rPr>
            </w:pPr>
            <w:r w:rsidRPr="001E0BE0">
              <w:rPr>
                <w:sz w:val="20"/>
              </w:rPr>
              <w:t>Slovénie</w:t>
            </w:r>
          </w:p>
        </w:tc>
        <w:tc>
          <w:tcPr>
            <w:tcW w:w="1984" w:type="dxa"/>
            <w:vAlign w:val="center"/>
          </w:tcPr>
          <w:p w14:paraId="11C4E727" w14:textId="6F82A941" w:rsidR="00AA1E54" w:rsidRPr="001E0BE0" w:rsidRDefault="00AA1E54" w:rsidP="001E3343">
            <w:pPr>
              <w:pStyle w:val="1GAPara"/>
              <w:numPr>
                <w:ilvl w:val="0"/>
                <w:numId w:val="0"/>
              </w:numPr>
              <w:jc w:val="right"/>
              <w:rPr>
                <w:rFonts w:eastAsia="SimSun"/>
                <w:bCs/>
                <w:color w:val="000000"/>
                <w:sz w:val="20"/>
                <w:szCs w:val="20"/>
              </w:rPr>
            </w:pPr>
            <w:r w:rsidRPr="001E0BE0">
              <w:rPr>
                <w:color w:val="000000"/>
                <w:sz w:val="20"/>
              </w:rPr>
              <w:t>5 274 dollars des États-Unis</w:t>
            </w:r>
          </w:p>
        </w:tc>
      </w:tr>
      <w:tr w:rsidR="00AA1E54" w:rsidRPr="001E0BE0" w14:paraId="5DF21D60" w14:textId="77777777" w:rsidTr="00246910">
        <w:trPr>
          <w:cantSplit/>
        </w:trPr>
        <w:tc>
          <w:tcPr>
            <w:tcW w:w="7077" w:type="dxa"/>
          </w:tcPr>
          <w:p w14:paraId="5EE74FBF" w14:textId="004A3238" w:rsidR="00AA1E54" w:rsidRPr="001E0BE0" w:rsidRDefault="00AA1E54" w:rsidP="001E3343">
            <w:pPr>
              <w:pStyle w:val="1GAPara"/>
              <w:numPr>
                <w:ilvl w:val="0"/>
                <w:numId w:val="0"/>
              </w:numPr>
              <w:ind w:firstLine="340"/>
              <w:jc w:val="both"/>
              <w:rPr>
                <w:sz w:val="20"/>
                <w:szCs w:val="20"/>
              </w:rPr>
            </w:pPr>
            <w:r w:rsidRPr="001E0BE0">
              <w:rPr>
                <w:sz w:val="20"/>
              </w:rPr>
              <w:t>Royaume-Uni de Grande-Bretagne et d’Irlande du Nord</w:t>
            </w:r>
          </w:p>
        </w:tc>
        <w:tc>
          <w:tcPr>
            <w:tcW w:w="1984" w:type="dxa"/>
            <w:vAlign w:val="center"/>
          </w:tcPr>
          <w:p w14:paraId="6AEB3F8E" w14:textId="6C574F00" w:rsidR="00AA1E54" w:rsidRPr="001E0BE0" w:rsidRDefault="00AA1E54" w:rsidP="001E3343">
            <w:pPr>
              <w:pStyle w:val="1GAPara"/>
              <w:numPr>
                <w:ilvl w:val="0"/>
                <w:numId w:val="0"/>
              </w:numPr>
              <w:jc w:val="right"/>
              <w:rPr>
                <w:rFonts w:eastAsia="SimSun"/>
                <w:bCs/>
                <w:color w:val="000000"/>
                <w:sz w:val="20"/>
                <w:szCs w:val="20"/>
              </w:rPr>
            </w:pPr>
            <w:r w:rsidRPr="001E0BE0">
              <w:rPr>
                <w:color w:val="000000"/>
                <w:sz w:val="20"/>
              </w:rPr>
              <w:t>95 995 dollars des États-Unis</w:t>
            </w:r>
          </w:p>
        </w:tc>
      </w:tr>
      <w:tr w:rsidR="00741933" w:rsidRPr="001E0BE0" w14:paraId="4B77CD40" w14:textId="77777777" w:rsidTr="00C204CC">
        <w:trPr>
          <w:cantSplit/>
        </w:trPr>
        <w:tc>
          <w:tcPr>
            <w:tcW w:w="7077" w:type="dxa"/>
          </w:tcPr>
          <w:p w14:paraId="2C5DD035" w14:textId="39A13CFC" w:rsidR="00741933" w:rsidRPr="001E0BE0" w:rsidRDefault="008A0F0E" w:rsidP="001E3343">
            <w:pPr>
              <w:pStyle w:val="1GAPara"/>
              <w:numPr>
                <w:ilvl w:val="0"/>
                <w:numId w:val="14"/>
              </w:numPr>
              <w:ind w:left="318"/>
              <w:jc w:val="both"/>
              <w:rPr>
                <w:sz w:val="20"/>
                <w:szCs w:val="20"/>
              </w:rPr>
            </w:pPr>
            <w:r w:rsidRPr="001E0BE0">
              <w:rPr>
                <w:color w:val="000000"/>
                <w:sz w:val="20"/>
                <w:u w:val="single"/>
              </w:rPr>
              <w:t>Recettes d’investissement créditées au Fonds</w:t>
            </w:r>
          </w:p>
        </w:tc>
        <w:tc>
          <w:tcPr>
            <w:tcW w:w="1984" w:type="dxa"/>
          </w:tcPr>
          <w:p w14:paraId="26093D0C" w14:textId="6EFBBDB4" w:rsidR="00741933" w:rsidRPr="001E0BE0" w:rsidRDefault="00741933" w:rsidP="001E3343">
            <w:pPr>
              <w:pStyle w:val="1GAPara"/>
              <w:numPr>
                <w:ilvl w:val="0"/>
                <w:numId w:val="0"/>
              </w:numPr>
              <w:jc w:val="right"/>
              <w:rPr>
                <w:rFonts w:eastAsia="SimSun"/>
                <w:bCs/>
                <w:color w:val="000000"/>
                <w:sz w:val="20"/>
                <w:szCs w:val="20"/>
              </w:rPr>
            </w:pPr>
            <w:r w:rsidRPr="001E0BE0">
              <w:rPr>
                <w:color w:val="000000"/>
                <w:sz w:val="20"/>
              </w:rPr>
              <w:t>1 159 821 dollars des États-Unis</w:t>
            </w:r>
          </w:p>
        </w:tc>
      </w:tr>
      <w:tr w:rsidR="00741933" w:rsidRPr="001E0BE0" w14:paraId="3EACFA53" w14:textId="77777777" w:rsidTr="00C204CC">
        <w:trPr>
          <w:cantSplit/>
        </w:trPr>
        <w:tc>
          <w:tcPr>
            <w:tcW w:w="7077" w:type="dxa"/>
          </w:tcPr>
          <w:p w14:paraId="4E09EC90" w14:textId="77777777" w:rsidR="00741933" w:rsidRPr="001E0BE0" w:rsidRDefault="00741933" w:rsidP="001E3343">
            <w:pPr>
              <w:pStyle w:val="1GAPara"/>
              <w:numPr>
                <w:ilvl w:val="0"/>
                <w:numId w:val="0"/>
              </w:numPr>
              <w:jc w:val="both"/>
              <w:rPr>
                <w:sz w:val="20"/>
                <w:szCs w:val="20"/>
              </w:rPr>
            </w:pPr>
          </w:p>
        </w:tc>
        <w:tc>
          <w:tcPr>
            <w:tcW w:w="1984" w:type="dxa"/>
          </w:tcPr>
          <w:p w14:paraId="6DC521C2" w14:textId="77777777" w:rsidR="00741933" w:rsidRPr="001E0BE0" w:rsidRDefault="00741933" w:rsidP="001E3343">
            <w:pPr>
              <w:pStyle w:val="1GAPara"/>
              <w:numPr>
                <w:ilvl w:val="0"/>
                <w:numId w:val="0"/>
              </w:numPr>
              <w:jc w:val="right"/>
              <w:rPr>
                <w:sz w:val="20"/>
                <w:szCs w:val="20"/>
              </w:rPr>
            </w:pPr>
          </w:p>
        </w:tc>
      </w:tr>
      <w:tr w:rsidR="00741933" w:rsidRPr="001E0BE0" w14:paraId="08D003FF" w14:textId="77777777" w:rsidTr="00C204CC">
        <w:trPr>
          <w:cantSplit/>
        </w:trPr>
        <w:tc>
          <w:tcPr>
            <w:tcW w:w="7077" w:type="dxa"/>
            <w:vAlign w:val="center"/>
          </w:tcPr>
          <w:p w14:paraId="0D0C1CE5" w14:textId="77777777" w:rsidR="00741933" w:rsidRPr="001E0BE0" w:rsidRDefault="00741933" w:rsidP="001E3343">
            <w:pPr>
              <w:pStyle w:val="1GAPara"/>
              <w:numPr>
                <w:ilvl w:val="0"/>
                <w:numId w:val="0"/>
              </w:numPr>
              <w:jc w:val="right"/>
              <w:rPr>
                <w:sz w:val="20"/>
                <w:szCs w:val="20"/>
              </w:rPr>
            </w:pPr>
            <w:r w:rsidRPr="001E0BE0">
              <w:rPr>
                <w:b/>
                <w:color w:val="000000"/>
                <w:sz w:val="20"/>
              </w:rPr>
              <w:t>TOTAL</w:t>
            </w:r>
          </w:p>
        </w:tc>
        <w:tc>
          <w:tcPr>
            <w:tcW w:w="1984" w:type="dxa"/>
            <w:vAlign w:val="center"/>
          </w:tcPr>
          <w:p w14:paraId="24BD2F65" w14:textId="239440E3" w:rsidR="00741933" w:rsidRPr="001E0BE0" w:rsidRDefault="00741933" w:rsidP="001E3343">
            <w:pPr>
              <w:pStyle w:val="1GAPara"/>
              <w:numPr>
                <w:ilvl w:val="0"/>
                <w:numId w:val="0"/>
              </w:numPr>
              <w:jc w:val="right"/>
              <w:rPr>
                <w:rFonts w:eastAsia="SimSun"/>
                <w:bCs/>
                <w:color w:val="000000"/>
                <w:sz w:val="20"/>
                <w:szCs w:val="20"/>
              </w:rPr>
            </w:pPr>
            <w:r w:rsidRPr="001E0BE0">
              <w:rPr>
                <w:b/>
                <w:color w:val="000000"/>
                <w:sz w:val="20"/>
              </w:rPr>
              <w:t>6 425 729 dollars des États-Unis</w:t>
            </w:r>
          </w:p>
        </w:tc>
      </w:tr>
    </w:tbl>
    <w:p w14:paraId="73AB5B52" w14:textId="77777777" w:rsidR="00741933" w:rsidRPr="001E0BE0" w:rsidRDefault="00741933" w:rsidP="001E3343">
      <w:pPr>
        <w:pStyle w:val="1GAPara"/>
        <w:numPr>
          <w:ilvl w:val="0"/>
          <w:numId w:val="0"/>
        </w:numPr>
        <w:ind w:left="567"/>
        <w:jc w:val="both"/>
      </w:pPr>
    </w:p>
    <w:p w14:paraId="1830845F" w14:textId="1CE21CCD" w:rsidR="00FD3235" w:rsidRPr="001E0BE0" w:rsidRDefault="001635EF" w:rsidP="001E3343">
      <w:pPr>
        <w:pStyle w:val="1GAPara"/>
        <w:ind w:left="567" w:hanging="567"/>
        <w:jc w:val="both"/>
      </w:pPr>
      <w:r w:rsidRPr="001E0BE0">
        <w:t xml:space="preserve">En comparaison </w:t>
      </w:r>
      <w:r w:rsidR="008A0F0E" w:rsidRPr="001E0BE0">
        <w:t>à la même période de l’exercice biennal précédent, les recettes totales ont augmenté de 10 %, passant de 5 841 338 dollars des États-Unis en</w:t>
      </w:r>
      <w:r w:rsidR="00B80BF3" w:rsidRPr="001E0BE0">
        <w:t xml:space="preserve"> 2022-</w:t>
      </w:r>
      <w:r w:rsidR="008A0F0E" w:rsidRPr="001E0BE0">
        <w:t xml:space="preserve">2023 à 6 425 729 dollars des États-Unis en </w:t>
      </w:r>
      <w:r w:rsidR="00B80BF3" w:rsidRPr="001E0BE0">
        <w:t>2024-</w:t>
      </w:r>
      <w:r w:rsidR="008A0F0E" w:rsidRPr="001E0BE0">
        <w:t>2025. Ce résultat positif reflète (i) une augmentation de 38 % des recettes d’investissement (anciennement appelées « intérêts ») (de 840 315 dollars des États-Unis à 1 159 821 dollars des États-Unis), sous l’effet de la hausse des taux d’intérêt du marché, en plus de légères augmentations (ii) des contributions volontaires supplémentaires de 7 % (de 502 929 dollars des États-Unis à 537 959 dollars des États-Unis), et (iii) des contributions obligatoires mises en recouvrement de 7 % (de 3 956 410 dollars des États-Unis à 4 218 335 dollars des États-Unis). En revanche, les contributions volontaires ont diminué de 6 %, passant de 541 684 dollars des États-Unis à 509 604 dollars des États-Unis.</w:t>
      </w:r>
    </w:p>
    <w:p w14:paraId="0ECB1444" w14:textId="4688AC9F" w:rsidR="00706C1E" w:rsidRPr="001E0BE0" w:rsidRDefault="00706C1E" w:rsidP="001E3343">
      <w:pPr>
        <w:pStyle w:val="1GAPara"/>
        <w:keepNext/>
        <w:keepLines/>
        <w:numPr>
          <w:ilvl w:val="4"/>
          <w:numId w:val="10"/>
        </w:numPr>
        <w:spacing w:before="240"/>
        <w:ind w:left="567" w:hanging="567"/>
        <w:jc w:val="both"/>
        <w:rPr>
          <w:b/>
          <w:bCs/>
        </w:rPr>
      </w:pPr>
      <w:bookmarkStart w:id="3" w:name="PartB"/>
      <w:r w:rsidRPr="001E0BE0">
        <w:rPr>
          <w:b/>
        </w:rPr>
        <w:lastRenderedPageBreak/>
        <w:t>Utilisation des ressources financières du Fonds (</w:t>
      </w:r>
      <w:r w:rsidR="001635EF" w:rsidRPr="001E0BE0">
        <w:rPr>
          <w:b/>
        </w:rPr>
        <w:t>é</w:t>
      </w:r>
      <w:r w:rsidRPr="001E0BE0">
        <w:rPr>
          <w:b/>
        </w:rPr>
        <w:t xml:space="preserve">tat financier I et </w:t>
      </w:r>
      <w:r w:rsidR="001635EF" w:rsidRPr="001E0BE0">
        <w:rPr>
          <w:b/>
        </w:rPr>
        <w:t xml:space="preserve">tableau </w:t>
      </w:r>
      <w:r w:rsidRPr="001E0BE0">
        <w:rPr>
          <w:b/>
        </w:rPr>
        <w:t>1.1</w:t>
      </w:r>
      <w:r w:rsidR="001635EF" w:rsidRPr="001E0BE0">
        <w:rPr>
          <w:b/>
        </w:rPr>
        <w:t xml:space="preserve"> de l’a</w:t>
      </w:r>
      <w:r w:rsidRPr="001E0BE0">
        <w:rPr>
          <w:b/>
        </w:rPr>
        <w:t>nnexe I)</w:t>
      </w:r>
    </w:p>
    <w:bookmarkEnd w:id="3"/>
    <w:p w14:paraId="7F82F288" w14:textId="28D98ADD" w:rsidR="00706C1E" w:rsidRPr="001E0BE0" w:rsidRDefault="001635EF" w:rsidP="001E3343">
      <w:pPr>
        <w:pStyle w:val="1GAPara"/>
        <w:keepNext/>
        <w:keepLines/>
        <w:ind w:left="567" w:hanging="567"/>
        <w:jc w:val="both"/>
      </w:pPr>
      <w:r w:rsidRPr="001E0BE0">
        <w:t xml:space="preserve">Au cours de </w:t>
      </w:r>
      <w:r w:rsidR="00706C1E" w:rsidRPr="001E0BE0">
        <w:t>la période considérée, les ressources du Fonds en lien avec les contributions obligatoires et volontaires mises en recouvrement des États parties ont été utilisées conformément au plan d’utilisation des ressources du Fonds approuvé lors de la dixième session de l’Assemblée générale (Résolution </w:t>
      </w:r>
      <w:hyperlink r:id="rId17" w:history="1">
        <w:r w:rsidR="00706C1E" w:rsidRPr="001E0BE0">
          <w:rPr>
            <w:rStyle w:val="Hyperlink"/>
          </w:rPr>
          <w:t>10.GA 8</w:t>
        </w:r>
      </w:hyperlink>
      <w:r w:rsidR="00706C1E" w:rsidRPr="001E0BE0">
        <w:t>). Par cette résolution, l’Assemblée générale a approuvé un budget de 8 189 </w:t>
      </w:r>
      <w:r w:rsidR="00BF673E" w:rsidRPr="001E0BE0">
        <w:t>577 </w:t>
      </w:r>
      <w:r w:rsidR="00706C1E" w:rsidRPr="001E0BE0">
        <w:t>dollars des États-Unis pour la période du 1 janvier 2024 au 31 décembre 2025. Cela correspond au solde du Fonds (à l’exclusion du sous-fonds consacré aux activités spécifiques approuvées par le Comité et du sous-fonds destiné à renforcer les capacités humaines du Secrétariat) au 1</w:t>
      </w:r>
      <w:r w:rsidRPr="001E0BE0">
        <w:t> </w:t>
      </w:r>
      <w:r w:rsidR="00706C1E" w:rsidRPr="001E0BE0">
        <w:t>janvier 2024 (9 189 </w:t>
      </w:r>
      <w:r w:rsidR="00BF673E" w:rsidRPr="001E0BE0">
        <w:t>577 </w:t>
      </w:r>
      <w:r w:rsidR="00706C1E" w:rsidRPr="001E0BE0">
        <w:t>dollars des États-Unis) moins le Fonds de réserve accumulé jusqu’à cette date (1 000 000 dollars des États-Unis).</w:t>
      </w:r>
    </w:p>
    <w:p w14:paraId="691702A7" w14:textId="4A2E25CB" w:rsidR="00AB6E28" w:rsidRPr="001E0BE0" w:rsidRDefault="00AB6E28" w:rsidP="001E3343">
      <w:pPr>
        <w:pStyle w:val="1GAPara"/>
        <w:ind w:left="567" w:hanging="567"/>
        <w:jc w:val="both"/>
      </w:pPr>
      <w:r w:rsidRPr="001E0BE0">
        <w:t xml:space="preserve">Le Rapport financier (tableau 1.1) fait état de dépenses totales de 6 293 792 dollars des États-Unis au 31 décembre 2025, ce qui correspond à 76,9 % du budget approuvé. Cela représente une légère augmentation en ce qui concerne le taux de dépenses par rapport à l’exercice biennal 2022-2023 (taux de dépenses de 73,2 % au 31 décembre 2023). Des explications pour chaque ligne budgétaire de l’échelonnement des crédits et des dépenses sont fournies ci-dessous. </w:t>
      </w:r>
    </w:p>
    <w:p w14:paraId="0FE6A09E" w14:textId="7C82439E" w:rsidR="00FD1941" w:rsidRPr="001E0BE0" w:rsidRDefault="003F35F5" w:rsidP="001E3343">
      <w:pPr>
        <w:pStyle w:val="1GAPara"/>
        <w:numPr>
          <w:ilvl w:val="0"/>
          <w:numId w:val="0"/>
        </w:numPr>
        <w:ind w:left="567"/>
        <w:rPr>
          <w:b/>
          <w:bCs/>
        </w:rPr>
      </w:pPr>
      <w:r w:rsidRPr="001E0BE0">
        <w:rPr>
          <w:b/>
        </w:rPr>
        <w:t>Assistance internationale</w:t>
      </w:r>
    </w:p>
    <w:p w14:paraId="0FB8E913" w14:textId="6E89E210" w:rsidR="003F35F5" w:rsidRPr="001E0BE0" w:rsidRDefault="003F35F5" w:rsidP="001E3343">
      <w:pPr>
        <w:pStyle w:val="1GAPara"/>
        <w:ind w:left="567" w:hanging="567"/>
        <w:jc w:val="both"/>
      </w:pPr>
      <w:r w:rsidRPr="001E0BE0">
        <w:t xml:space="preserve">Conformément aux priorités fixées par les </w:t>
      </w:r>
      <w:r w:rsidR="001635EF" w:rsidRPr="001E0BE0">
        <w:t xml:space="preserve">Orientations </w:t>
      </w:r>
      <w:r w:rsidRPr="001E0BE0">
        <w:t>pour l’utilisation des ressources du Fonds au chapitre II.1 des Directives opérationnelles, l’Assemblée générale a décidé, lors de sa dixième session, que la moitié des ressources (</w:t>
      </w:r>
      <w:r w:rsidRPr="001E0BE0">
        <w:rPr>
          <w:b/>
        </w:rPr>
        <w:t>ligne budgétaire 1</w:t>
      </w:r>
      <w:r w:rsidRPr="001E0BE0">
        <w:t>, 50 % du Plan approuvé à l’exclusion de la ligne budgétaire 1.1) serait allouée à l</w:t>
      </w:r>
      <w:r w:rsidR="001635EF" w:rsidRPr="001E0BE0">
        <w:t xml:space="preserve">’attribution </w:t>
      </w:r>
      <w:r w:rsidRPr="001E0BE0">
        <w:t xml:space="preserve">d’assistance internationale aux États parties </w:t>
      </w:r>
      <w:r w:rsidR="00BD10AE" w:rsidRPr="001E0BE0">
        <w:t xml:space="preserve">pour appuyer </w:t>
      </w:r>
      <w:r w:rsidRPr="001E0BE0">
        <w:t xml:space="preserve">leurs efforts nationaux </w:t>
      </w:r>
      <w:r w:rsidR="00BD10AE" w:rsidRPr="001E0BE0">
        <w:t xml:space="preserve">de sauvegarde du </w:t>
      </w:r>
      <w:r w:rsidRPr="001E0BE0">
        <w:t xml:space="preserve">patrimoine culturel immatériel. </w:t>
      </w:r>
    </w:p>
    <w:p w14:paraId="47DC6679" w14:textId="593AE22D" w:rsidR="00EE1657" w:rsidRPr="001E0BE0" w:rsidRDefault="003F35F5" w:rsidP="001E3343">
      <w:pPr>
        <w:pStyle w:val="1GAPara"/>
        <w:keepLines/>
        <w:ind w:left="567" w:hanging="567"/>
        <w:jc w:val="both"/>
      </w:pPr>
      <w:r w:rsidRPr="001E0BE0">
        <w:t xml:space="preserve">Au 31 décembre 2025, les dépenses au titre de la ligne budgétaire 1 s’élevaient à 2 996 390 dollars des États-Unis, un montant comparable au niveau de dépenses de 3 038 832 dollars </w:t>
      </w:r>
      <w:r w:rsidR="00BD10AE" w:rsidRPr="001E0BE0">
        <w:t xml:space="preserve">durant </w:t>
      </w:r>
      <w:r w:rsidRPr="001E0BE0">
        <w:t>l’exercice biennal précédent. Cela témoigne d’un niveau de dépenses relativement stable sur les deux exercices biennaux, malgré une somme approuvée inférieure pour cette ligne budgétaire au cours de l’exercice biennal 2024-2025. Ce montant correspond aux dépenses de 33 projets d’assistance internationale</w:t>
      </w:r>
      <w:r w:rsidR="007760E0" w:rsidRPr="001E0BE0">
        <w:rPr>
          <w:rStyle w:val="FootnoteReference"/>
        </w:rPr>
        <w:footnoteReference w:id="3"/>
      </w:r>
      <w:r w:rsidRPr="001E0BE0">
        <w:t>, dont 12 dans des États d’Afrique (groupe électoral Va) (49 % des dépenses totales liées à l’assistance internationale) et 8 projets dans des petits États insulaires en développement (PEID) (21 % des dépenses totales liées à l’assistance internationale). Pour dix-huit</w:t>
      </w:r>
      <w:r w:rsidR="00EE1657" w:rsidRPr="001E0BE0">
        <w:rPr>
          <w:rStyle w:val="FootnoteReference"/>
        </w:rPr>
        <w:footnoteReference w:id="4"/>
      </w:r>
      <w:r w:rsidRPr="001E0BE0">
        <w:t xml:space="preserve"> États parties bénéficiaires (dont cinq PEID), il s’agissait du premier projet soutenu par le Fonds au titre des mécanismes d’assistance internationale, ce qui témoigne des efforts pour élargir </w:t>
      </w:r>
      <w:r w:rsidR="00BD10AE" w:rsidRPr="001E0BE0">
        <w:t xml:space="preserve">sa </w:t>
      </w:r>
      <w:r w:rsidRPr="001E0BE0">
        <w:t>portée géographique</w:t>
      </w:r>
      <w:r w:rsidR="000507F5" w:rsidRPr="001E0BE0">
        <w:rPr>
          <w:rStyle w:val="FootnoteReference"/>
        </w:rPr>
        <w:footnoteReference w:id="5"/>
      </w:r>
      <w:r w:rsidRPr="001E0BE0">
        <w:t>. Une liste des projets d’assistance internationale pour lesquelles des dépenses ont été encourues pendant la période considérée figure à l’</w:t>
      </w:r>
      <w:hyperlink w:anchor="ANNEXEV" w:history="1">
        <w:r w:rsidR="008329B9">
          <w:rPr>
            <w:rStyle w:val="Hyperlink"/>
          </w:rPr>
          <w:t>a</w:t>
        </w:r>
        <w:r w:rsidRPr="001E0BE0">
          <w:rPr>
            <w:rStyle w:val="Hyperlink"/>
          </w:rPr>
          <w:t>nnexe V</w:t>
        </w:r>
      </w:hyperlink>
      <w:r w:rsidRPr="001E0BE0">
        <w:t>.</w:t>
      </w:r>
    </w:p>
    <w:p w14:paraId="79AB8623" w14:textId="2C8E5D02" w:rsidR="00321880" w:rsidRPr="001E0BE0" w:rsidRDefault="00321880" w:rsidP="001E3343">
      <w:pPr>
        <w:pStyle w:val="1GAPara"/>
        <w:keepLines/>
        <w:ind w:left="567" w:hanging="567"/>
        <w:jc w:val="both"/>
      </w:pPr>
      <w:r w:rsidRPr="001E0BE0">
        <w:lastRenderedPageBreak/>
        <w:t xml:space="preserve">En outre, les dépenses comprennent les coûts liés à l’exercice </w:t>
      </w:r>
      <w:r w:rsidR="00BD10AE" w:rsidRPr="001E0BE0">
        <w:t xml:space="preserve">pilote </w:t>
      </w:r>
      <w:r w:rsidRPr="001E0BE0">
        <w:t>d’évaluation pour deux projets achevés</w:t>
      </w:r>
      <w:r w:rsidRPr="001E0BE0">
        <w:rPr>
          <w:rStyle w:val="FootnoteReference"/>
        </w:rPr>
        <w:footnoteReference w:id="6"/>
      </w:r>
      <w:r w:rsidRPr="001E0BE0">
        <w:t>, mené conformément à la stratégie approuvée par la dix-septième session du Comité (Décision </w:t>
      </w:r>
      <w:hyperlink r:id="rId18" w:history="1">
        <w:r w:rsidRPr="001E0BE0">
          <w:rPr>
            <w:rStyle w:val="Hyperlink"/>
          </w:rPr>
          <w:t>17.COM 11</w:t>
        </w:r>
      </w:hyperlink>
      <w:r w:rsidRPr="001E0BE0">
        <w:t>), les coûts d’évaluation étant couverts par la ligne budgétaire 1 pour un montant ne dépassant pas 10 % du budget de chaque projet d’assistance internationale sélectionné (Résolution </w:t>
      </w:r>
      <w:hyperlink r:id="rId19" w:history="1">
        <w:r w:rsidRPr="001E0BE0">
          <w:rPr>
            <w:rStyle w:val="Hyperlink"/>
          </w:rPr>
          <w:t>10.GA 8</w:t>
        </w:r>
      </w:hyperlink>
      <w:r w:rsidRPr="001E0BE0">
        <w:t xml:space="preserve"> et Décision </w:t>
      </w:r>
      <w:hyperlink r:id="rId20" w:history="1">
        <w:r w:rsidRPr="001E0BE0">
          <w:rPr>
            <w:rStyle w:val="Hyperlink"/>
          </w:rPr>
          <w:t>18.COM.14</w:t>
        </w:r>
      </w:hyperlink>
      <w:r w:rsidRPr="001E0BE0">
        <w:t xml:space="preserve">). </w:t>
      </w:r>
    </w:p>
    <w:p w14:paraId="264BFBCA" w14:textId="3A676402" w:rsidR="00321880" w:rsidRPr="001E0BE0" w:rsidRDefault="00321880" w:rsidP="001E3343">
      <w:pPr>
        <w:pStyle w:val="1GAPara"/>
        <w:tabs>
          <w:tab w:val="left" w:pos="567"/>
        </w:tabs>
        <w:ind w:left="567" w:hanging="567"/>
        <w:jc w:val="both"/>
      </w:pPr>
      <w:r w:rsidRPr="001E0BE0">
        <w:t xml:space="preserve">La </w:t>
      </w:r>
      <w:r w:rsidRPr="001E0BE0">
        <w:rPr>
          <w:b/>
        </w:rPr>
        <w:t>ligne budgétaire 1.1</w:t>
      </w:r>
      <w:r w:rsidRPr="001E0BE0">
        <w:t xml:space="preserve"> (12,3 % du plan approuvé) a été utilisée pour couvrir les coûts biennaux de trois postes à durée déterminée (un P3, un P2 et un G5) qui ont été créés par l’Assemblée générale lors de sa septième session en 2018 pour activer pleinement les mécanismes de l’assistance internationale et suivre et évaluer efficacement leur mise en œuvre (Résolution </w:t>
      </w:r>
      <w:hyperlink r:id="rId21" w:history="1">
        <w:r w:rsidRPr="001E0BE0">
          <w:rPr>
            <w:rStyle w:val="Hyperlink"/>
          </w:rPr>
          <w:t>7.GA 8</w:t>
        </w:r>
      </w:hyperlink>
      <w:r w:rsidRPr="001E0BE0">
        <w:t>). L’équipe de mise en œuvre et de suivi de la sauvegarde a été créée et continue d’être opérationnelle depuis février 2020. Le taux de dépenses de cette ligne budgétaire était de 82,4 %.</w:t>
      </w:r>
    </w:p>
    <w:p w14:paraId="333F831B" w14:textId="27A9FA30" w:rsidR="00321880" w:rsidRPr="001E0BE0" w:rsidRDefault="00321880" w:rsidP="001E3343">
      <w:pPr>
        <w:pStyle w:val="1GAPara"/>
        <w:tabs>
          <w:tab w:val="left" w:pos="567"/>
        </w:tabs>
        <w:ind w:left="567" w:hanging="567"/>
        <w:jc w:val="both"/>
      </w:pPr>
      <w:r w:rsidRPr="001E0BE0">
        <w:t xml:space="preserve">En ce qui concerne la </w:t>
      </w:r>
      <w:r w:rsidRPr="001E0BE0">
        <w:rPr>
          <w:b/>
        </w:rPr>
        <w:t>ligne budgétaire 2</w:t>
      </w:r>
      <w:r w:rsidRPr="001E0BE0">
        <w:t xml:space="preserve"> (2,8 % du plan approuvé), les dépenses étaient liées à trois</w:t>
      </w:r>
      <w:r w:rsidR="00921FB4" w:rsidRPr="001E0BE0">
        <w:rPr>
          <w:rStyle w:val="FootnoteReference"/>
        </w:rPr>
        <w:footnoteReference w:id="7"/>
      </w:r>
      <w:r w:rsidRPr="001E0BE0">
        <w:t xml:space="preserve"> demandes d’assistance préparatoire pour l’élaboration de dossier de candidature à la Liste du patrimoine culturel immatériel nécessitant une sauvegarde urgente et à cinq</w:t>
      </w:r>
      <w:r w:rsidR="00921FB4" w:rsidRPr="001E0BE0">
        <w:rPr>
          <w:rStyle w:val="FootnoteReference"/>
          <w:bCs/>
        </w:rPr>
        <w:footnoteReference w:id="8"/>
      </w:r>
      <w:r w:rsidRPr="001E0BE0">
        <w:t xml:space="preserve"> demandes d’assistance préparatoire pour l’élaboration de dossiers de candidature à la Liste représentative. Les dépenses </w:t>
      </w:r>
      <w:r w:rsidR="00654DAC" w:rsidRPr="001E0BE0">
        <w:t xml:space="preserve">effectuées </w:t>
      </w:r>
      <w:r w:rsidRPr="001E0BE0">
        <w:t>incluent également l’octroi d’une assistance technique à cinq</w:t>
      </w:r>
      <w:r w:rsidRPr="001E0BE0">
        <w:rPr>
          <w:rStyle w:val="FootnoteReference"/>
        </w:rPr>
        <w:footnoteReference w:id="9"/>
      </w:r>
      <w:r w:rsidRPr="001E0BE0">
        <w:t xml:space="preserve"> États parties pour l’élaboration et la révision de leurs demandes d’assistance internationale, conformément à la décision </w:t>
      </w:r>
      <w:hyperlink r:id="rId22" w:history="1">
        <w:r w:rsidRPr="001E0BE0">
          <w:rPr>
            <w:rStyle w:val="Hyperlink"/>
          </w:rPr>
          <w:t>8.COM 7.c</w:t>
        </w:r>
      </w:hyperlink>
      <w:r w:rsidRPr="001E0BE0">
        <w:t xml:space="preserve">. Parmi ces États parties, un </w:t>
      </w:r>
      <w:r w:rsidR="00654DAC" w:rsidRPr="001E0BE0">
        <w:t xml:space="preserve">est de </w:t>
      </w:r>
      <w:r w:rsidRPr="001E0BE0">
        <w:t xml:space="preserve">la région Afrique, trois </w:t>
      </w:r>
      <w:r w:rsidR="00654DAC" w:rsidRPr="001E0BE0">
        <w:t xml:space="preserve">sont de </w:t>
      </w:r>
      <w:r w:rsidRPr="001E0BE0">
        <w:t xml:space="preserve">la région Amérique latine et Caraïbes (dont deux PEID), et un </w:t>
      </w:r>
      <w:r w:rsidR="00654DAC" w:rsidRPr="001E0BE0">
        <w:t xml:space="preserve">est de </w:t>
      </w:r>
      <w:r w:rsidRPr="001E0BE0">
        <w:t>la région des États arabes. Au cours de la période considérée, quatre</w:t>
      </w:r>
      <w:r w:rsidRPr="001E0BE0">
        <w:rPr>
          <w:rStyle w:val="FootnoteReference"/>
        </w:rPr>
        <w:footnoteReference w:id="10"/>
      </w:r>
      <w:r w:rsidRPr="001E0BE0">
        <w:t xml:space="preserve"> demandes d’assistance internationale ont été finalisées par le biais de ce mécanisme de soutien, toutes approuvées par le Bureau, tandis que la cinquième est en cours d’élaboration par l’État partie concerné. Le taux de dépenses de cette ligne budgétaire a atteint 50 %, contre 42 % pour l’exercice biennal 2022</w:t>
      </w:r>
      <w:r w:rsidR="00654DAC" w:rsidRPr="001E0BE0">
        <w:t>-</w:t>
      </w:r>
      <w:r w:rsidRPr="001E0BE0">
        <w:t>2023.</w:t>
      </w:r>
    </w:p>
    <w:p w14:paraId="10AD9586" w14:textId="4A0AB33F" w:rsidR="00D05278" w:rsidRPr="001E0BE0" w:rsidRDefault="00D05278" w:rsidP="001E3343">
      <w:pPr>
        <w:pStyle w:val="1GAPara"/>
        <w:ind w:left="567" w:hanging="567"/>
        <w:jc w:val="both"/>
      </w:pPr>
      <w:r w:rsidRPr="001E0BE0">
        <w:t xml:space="preserve">L’utilisation du budget pour les « autres fonctions du Comité » qui concerne la </w:t>
      </w:r>
      <w:r w:rsidRPr="001E0BE0">
        <w:rPr>
          <w:b/>
          <w:bCs/>
        </w:rPr>
        <w:t>ligne budgétaire 3</w:t>
      </w:r>
      <w:r w:rsidRPr="001E0BE0">
        <w:t xml:space="preserve"> (20 % du plan approuvé) s’appuie sur une ventilation en pourcentage en termes de résultats escomptés, qui </w:t>
      </w:r>
      <w:r w:rsidRPr="001E0BE0">
        <w:rPr>
          <w:rStyle w:val="hps"/>
        </w:rPr>
        <w:t xml:space="preserve">sont alignés sur les </w:t>
      </w:r>
      <w:r w:rsidRPr="001E0BE0">
        <w:t>indicateurs de performance définis dans le plan </w:t>
      </w:r>
      <w:r w:rsidR="00850CA0" w:rsidRPr="001E0BE0">
        <w:t xml:space="preserve">du </w:t>
      </w:r>
      <w:hyperlink r:id="rId23" w:anchor="p. 128" w:history="1">
        <w:r w:rsidRPr="001E0BE0">
          <w:rPr>
            <w:rStyle w:val="Hyperlink"/>
          </w:rPr>
          <w:t>42 C/5</w:t>
        </w:r>
      </w:hyperlink>
      <w:r w:rsidRPr="001E0BE0">
        <w:t xml:space="preserve"> </w:t>
      </w:r>
      <w:r w:rsidR="00850CA0" w:rsidRPr="001E0BE0">
        <w:t>tel qu’</w:t>
      </w:r>
      <w:r w:rsidRPr="001E0BE0">
        <w:t xml:space="preserve">approuvé pour le Grand programme IV Culture, Résultat 5, Produit 5.CLT4 « Renforcement des capacités des États membres et des communautés en matière d’identification, de sauvegarde et de promotion du patrimoine vivant ». Selon le plan approuvé par l’Assemblée générale (voir document </w:t>
      </w:r>
      <w:hyperlink r:id="rId24" w:history="1">
        <w:r w:rsidRPr="001E0BE0">
          <w:rPr>
            <w:rStyle w:val="Hyperlink"/>
          </w:rPr>
          <w:t>LHE/24/10.GA/8</w:t>
        </w:r>
      </w:hyperlink>
      <w:r w:rsidRPr="001E0BE0">
        <w:t>), ces fonds ont été consacrés à : 1) la consolidation du programme de renforcement des capacités et l’intégration du patrimoine culturel immatériel dans les plans, politiques et programmes de développement (52 % de la ligne budgétaire 3), et 2) la facilitation de la bonne gouvernance de la Convention par un suivi renforcé, des services de gestion des connaissances et une sensibilisation associée aux mécanismes de coopération internationale (48 % de la ligne budgétaire 3). Au 31 décembre 2025, le taux de mise en œuvre des fonds approuvés se maintenait à un niveau élevé (77,9 %), contre 85,8 % pour l’exercice biennal 2022-2023. Un rapport descriptif détaillé sur la mise en œuvre de ces fonds figure à l’</w:t>
      </w:r>
      <w:hyperlink w:anchor="AnnexVI" w:history="1">
        <w:r w:rsidR="008329B9">
          <w:rPr>
            <w:rStyle w:val="Hyperlink"/>
          </w:rPr>
          <w:t>a</w:t>
        </w:r>
        <w:r w:rsidRPr="001E0BE0">
          <w:rPr>
            <w:rStyle w:val="Hyperlink"/>
          </w:rPr>
          <w:t>nnexe VI</w:t>
        </w:r>
      </w:hyperlink>
      <w:r w:rsidRPr="001E0BE0">
        <w:t>.</w:t>
      </w:r>
    </w:p>
    <w:p w14:paraId="44C62FF9" w14:textId="0EC46F9D" w:rsidR="00F57BF0" w:rsidRPr="001E0BE0" w:rsidRDefault="00F57BF0" w:rsidP="001E3343">
      <w:pPr>
        <w:pStyle w:val="1GAPara"/>
        <w:ind w:left="567" w:hanging="567"/>
        <w:jc w:val="both"/>
      </w:pPr>
      <w:r w:rsidRPr="001E0BE0">
        <w:t>À la suite de la recommandation du Service d’évaluation et d’audit dans son audit des méthodes de travail des conventions culturelles (document </w:t>
      </w:r>
      <w:hyperlink r:id="rId25" w:history="1">
        <w:r w:rsidRPr="001E0BE0">
          <w:rPr>
            <w:rStyle w:val="Hyperlink"/>
          </w:rPr>
          <w:t>IOS/AUD/2013/06</w:t>
        </w:r>
      </w:hyperlink>
      <w:r w:rsidRPr="001E0BE0">
        <w:t>), le Comité a demandé au Secrétariat d’appliquer la politique de recouvrement des coûts de manière cohérente dans le cadre de l’utilisation des ressources du Fonds (décision </w:t>
      </w:r>
      <w:hyperlink r:id="rId26" w:history="1">
        <w:r w:rsidRPr="001E0BE0">
          <w:rPr>
            <w:rStyle w:val="Hyperlink"/>
          </w:rPr>
          <w:t>8.COM 11</w:t>
        </w:r>
      </w:hyperlink>
      <w:r w:rsidRPr="001E0BE0">
        <w:t xml:space="preserve">). Par </w:t>
      </w:r>
      <w:r w:rsidRPr="001E0BE0">
        <w:lastRenderedPageBreak/>
        <w:t>conséquent, et conformément à l’article 6.2 du Règlement financier du Fonds, le recouvrement des coût</w:t>
      </w:r>
      <w:r w:rsidR="00850CA0" w:rsidRPr="001E0BE0">
        <w:t xml:space="preserve">s </w:t>
      </w:r>
      <w:r w:rsidRPr="001E0BE0">
        <w:t xml:space="preserve">a été imputé aux lignes budgétaires 1 à 3. </w:t>
      </w:r>
    </w:p>
    <w:p w14:paraId="4A06BC2A" w14:textId="20FA862C" w:rsidR="00F57BF0" w:rsidRPr="001E0BE0" w:rsidRDefault="00F57BF0" w:rsidP="001E3343">
      <w:pPr>
        <w:pStyle w:val="1GAPara"/>
        <w:ind w:left="567" w:hanging="567"/>
        <w:jc w:val="both"/>
      </w:pPr>
      <w:r w:rsidRPr="001E0BE0">
        <w:t xml:space="preserve">La </w:t>
      </w:r>
      <w:r w:rsidRPr="001E0BE0">
        <w:rPr>
          <w:b/>
        </w:rPr>
        <w:t xml:space="preserve">ligne budgétaire 4 </w:t>
      </w:r>
      <w:r w:rsidRPr="001E0BE0">
        <w:t xml:space="preserve">(2,5 % du Plan approuvé) a été utilisée pour financer la participation d’experts représentant des États </w:t>
      </w:r>
      <w:r w:rsidR="00170967" w:rsidRPr="001E0BE0">
        <w:t xml:space="preserve">parties </w:t>
      </w:r>
      <w:r w:rsidR="00850CA0" w:rsidRPr="001E0BE0">
        <w:t xml:space="preserve">en développement qui sont membres du Comité </w:t>
      </w:r>
      <w:r w:rsidRPr="001E0BE0">
        <w:t>aux sessions du Comité, de son Bureau et de ses organes subsidiaires. Le taux de dépenses de 79,2 % correspond aux coûts de participation de quinze experts à la dix-neuvième session du Comité et de seize experts à la vingtième session du Comité.</w:t>
      </w:r>
    </w:p>
    <w:p w14:paraId="79BDE1DB" w14:textId="45F9F8F0" w:rsidR="00EF4985" w:rsidRPr="001E0BE0" w:rsidRDefault="00EF4985" w:rsidP="001E3343">
      <w:pPr>
        <w:pStyle w:val="1GAPara"/>
        <w:ind w:left="567" w:hanging="567"/>
        <w:jc w:val="both"/>
      </w:pPr>
      <w:r w:rsidRPr="001E0BE0">
        <w:rPr>
          <w:snapToGrid/>
        </w:rPr>
        <w:t xml:space="preserve">Le taux de dépenses de la </w:t>
      </w:r>
      <w:r w:rsidRPr="001E0BE0">
        <w:rPr>
          <w:b/>
          <w:snapToGrid/>
        </w:rPr>
        <w:t>ligne budgétaire 5</w:t>
      </w:r>
      <w:r w:rsidRPr="001E0BE0">
        <w:rPr>
          <w:snapToGrid/>
        </w:rPr>
        <w:t xml:space="preserve"> (2,7% du Plan approuvé), utilisée pour </w:t>
      </w:r>
      <w:r w:rsidR="00170967" w:rsidRPr="001E0BE0">
        <w:t xml:space="preserve">couvrir </w:t>
      </w:r>
      <w:r w:rsidRPr="001E0BE0">
        <w:t xml:space="preserve">la participation d’experts d’États parties en développement non membres du Comité aux sessions du Comité et d’experts membres de l’Organe d’évaluation aux réunions de l’Organe, </w:t>
      </w:r>
      <w:r w:rsidRPr="001E0BE0">
        <w:rPr>
          <w:snapToGrid/>
        </w:rPr>
        <w:t>a atteint 91 %. Cela correspond à la participation de :</w:t>
      </w:r>
      <w:r w:rsidRPr="001E0BE0">
        <w:t xml:space="preserve"> </w:t>
      </w:r>
      <w:bookmarkStart w:id="4" w:name="_Hlk147489302"/>
      <w:r w:rsidRPr="001E0BE0">
        <w:t>(a) vingt-trois experts à la dix-neuvième session du Comité ; (b) vingt- quatre experts à la vingtième session du Comité ; et (c) plusieurs membres de l’Organe d’évaluation (quatre experts en 2024 et cinq experts en 2025), éligibles à ce soutien aux réunions de l’Organe d’évaluation tenues au siège de l’UNESCO pendant la période considérée</w:t>
      </w:r>
      <w:bookmarkEnd w:id="4"/>
      <w:r w:rsidRPr="001E0BE0">
        <w:t>.</w:t>
      </w:r>
    </w:p>
    <w:p w14:paraId="25D90D84" w14:textId="20C7E9CC" w:rsidR="00EF4985" w:rsidRPr="001E0BE0" w:rsidRDefault="00EF4985" w:rsidP="001E3343">
      <w:pPr>
        <w:pStyle w:val="1GAPara"/>
        <w:ind w:left="567" w:hanging="567"/>
        <w:jc w:val="both"/>
      </w:pPr>
      <w:r w:rsidRPr="001E0BE0">
        <w:rPr>
          <w:bCs/>
          <w:snapToGrid/>
        </w:rPr>
        <w:t>La</w:t>
      </w:r>
      <w:r w:rsidRPr="001E0BE0">
        <w:rPr>
          <w:b/>
          <w:snapToGrid/>
        </w:rPr>
        <w:t xml:space="preserve"> ligne budgétaire 6 </w:t>
      </w:r>
      <w:r w:rsidRPr="001E0BE0">
        <w:t xml:space="preserve">(2,7 % du plan approuvé) </w:t>
      </w:r>
      <w:r w:rsidRPr="001E0BE0">
        <w:rPr>
          <w:snapToGrid/>
        </w:rPr>
        <w:t>indique un taux de dépenses de 87,4 % et</w:t>
      </w:r>
      <w:r w:rsidRPr="001E0BE0">
        <w:t xml:space="preserve"> reflète les coûts de participation de sept organisations non gouvernementales (ONG) accréditées siégeant à l’Organe d’évaluation en 2024 et/ou en 2025, ainsi que ceux du président, du vice-président et/ou du rapporteur aux dix-neuvième et vingtième sessions du Comité. Les dépenses sont également liées aux frais de participation de vingt-cinq ONG accréditées de pays en développement à la dix-neuvième session du Comité, et de vingt-quatre ONG à sa vingtième session. </w:t>
      </w:r>
    </w:p>
    <w:p w14:paraId="38C715F8" w14:textId="1FEB9FCC" w:rsidR="00C22FF6" w:rsidRPr="001E0BE0" w:rsidRDefault="00C22FF6" w:rsidP="001E3343">
      <w:pPr>
        <w:pStyle w:val="COMPara"/>
        <w:numPr>
          <w:ilvl w:val="0"/>
          <w:numId w:val="8"/>
        </w:numPr>
        <w:ind w:left="567" w:hanging="567"/>
        <w:jc w:val="both"/>
      </w:pPr>
      <w:r w:rsidRPr="001E0BE0">
        <w:t xml:space="preserve">Lors de sa dixième session, l’Assemblée générale a recommandé que le Secrétariat soit autorisé à effectuer des transferts entre les lignes budgétaires 4, 5, 6 et 7, à hauteur de 30 % de leur allocation initiale totale (Résolution </w:t>
      </w:r>
      <w:hyperlink r:id="rId27" w:history="1">
        <w:r w:rsidRPr="001E0BE0">
          <w:rPr>
            <w:rStyle w:val="Hyperlink"/>
          </w:rPr>
          <w:t>10.GA 8</w:t>
        </w:r>
      </w:hyperlink>
      <w:r w:rsidRPr="001E0BE0">
        <w:t xml:space="preserve">). Au cours de l’exercice biennal 2024-2025, trois transferts budgétaires ont été effectués simultanément en juillet 2025, respectivement de la ligne budgétaire 4 à la ligne budgétaire 5 (10 000 dollars des États-Unis), de la ligne budgétaire 7 à la ligne budgétaire 5 (40 000 dollars des États-Unis) et de la ligne budgétaire 7 à la ligne budgétaire 6 (110 000 dollars des États-Unis). Ces transferts étaient destinés à permettre au Fonds de répondre positivement à plus de demandes pour couvrir les coûts de participation des experts représentant les États parties en développement non-membres du Comité (ligne budgétaire 5) et les ONG accréditées des pays en développement (ligne budgétaire 6) à la vingtième session du Comité. </w:t>
      </w:r>
    </w:p>
    <w:p w14:paraId="3E3F7D65" w14:textId="21CFD672" w:rsidR="0059040F" w:rsidRPr="001E0BE0" w:rsidRDefault="00C22FF6" w:rsidP="001E3343">
      <w:pPr>
        <w:pStyle w:val="1GAPara"/>
        <w:ind w:left="567" w:hanging="567"/>
        <w:jc w:val="both"/>
      </w:pPr>
      <w:r w:rsidRPr="001E0BE0">
        <w:t xml:space="preserve">Enfin, </w:t>
      </w:r>
      <w:r w:rsidRPr="001E0BE0">
        <w:rPr>
          <w:b/>
        </w:rPr>
        <w:t>la ligne budgétaire 7</w:t>
      </w:r>
      <w:r w:rsidRPr="001E0BE0">
        <w:t xml:space="preserve"> (7 % du plan approuvé) affiche un taux de dépenses de 91,4 % (supérieur à celui de l’exercice biennal précédent en raison des transferts budgétaires susmentionnés), correspondant aux honoraires des membres de l’Organe d’évaluation (douze membres en 2024 et onze membres en 2025), y compris ceux des présidents, vice-présidents et rapporteurs de l’Organe pour les tâches supplémentaires qu’ils accomplissent. Au total, soixante-sept dossiers de candidature ont été évalués par l’Organe d’évaluation en 2024, et soixante-huit autres dossiers ont été évalués en 2025. En outre, conformément à l’article 6.2 du Règlement financier du Fonds et comme indiqué dans le document </w:t>
      </w:r>
      <w:hyperlink r:id="rId28" w:history="1">
        <w:r w:rsidRPr="001E0BE0">
          <w:rPr>
            <w:rStyle w:val="Hyperlink"/>
          </w:rPr>
          <w:t>LHE/24/10.GA/8</w:t>
        </w:r>
      </w:hyperlink>
      <w:r w:rsidRPr="001E0BE0">
        <w:t>, la ligne budgétaire 7 a été imputée des dépenses directes liées à la mise en place de la plateforme en ligne pour le partage des bonnes pratiques en matière de sauvegarde, afin de mettre pleinement en œuvre l’article 18 de la Convention.</w:t>
      </w:r>
    </w:p>
    <w:p w14:paraId="25D9DBF4" w14:textId="41BD7B9D" w:rsidR="00F43420" w:rsidRPr="001E0BE0" w:rsidRDefault="0059040F" w:rsidP="001E3343">
      <w:pPr>
        <w:spacing w:after="0"/>
        <w:rPr>
          <w:rFonts w:ascii="Arial" w:hAnsi="Arial" w:cs="Arial"/>
        </w:rPr>
      </w:pPr>
      <w:r w:rsidRPr="001E0BE0">
        <w:rPr>
          <w:rFonts w:ascii="Arial" w:hAnsi="Arial" w:cs="Arial"/>
        </w:rPr>
        <w:br w:type="page"/>
      </w:r>
    </w:p>
    <w:bookmarkStart w:id="5" w:name="AnnexI"/>
    <w:p w14:paraId="27A27BCA" w14:textId="3D62A34A" w:rsidR="0059040F" w:rsidRPr="001E0BE0" w:rsidRDefault="0059040F" w:rsidP="001E3343">
      <w:pPr>
        <w:spacing w:after="0"/>
        <w:jc w:val="center"/>
        <w:rPr>
          <w:rFonts w:ascii="Arial" w:hAnsi="Arial" w:cs="Arial"/>
          <w:b/>
          <w:u w:val="single"/>
        </w:rPr>
      </w:pPr>
      <w:r w:rsidRPr="001E0BE0">
        <w:rPr>
          <w:rFonts w:ascii="Arial" w:hAnsi="Arial" w:cs="Arial"/>
          <w:b/>
          <w:u w:val="single"/>
        </w:rPr>
        <w:lastRenderedPageBreak/>
        <w:fldChar w:fldCharType="begin"/>
      </w:r>
      <w:r w:rsidRPr="001E0BE0">
        <w:rPr>
          <w:rFonts w:ascii="Arial" w:hAnsi="Arial" w:cs="Arial"/>
          <w:b/>
          <w:u w:val="single"/>
        </w:rPr>
        <w:instrText>HYPERLINK \l "AnnexI"</w:instrText>
      </w:r>
      <w:r w:rsidRPr="001E0BE0">
        <w:rPr>
          <w:rFonts w:ascii="Arial" w:hAnsi="Arial" w:cs="Arial"/>
          <w:b/>
          <w:u w:val="single"/>
        </w:rPr>
      </w:r>
      <w:r w:rsidRPr="001E0BE0">
        <w:rPr>
          <w:rFonts w:ascii="Arial" w:hAnsi="Arial" w:cs="Arial"/>
          <w:b/>
          <w:u w:val="single"/>
        </w:rPr>
        <w:fldChar w:fldCharType="separate"/>
      </w:r>
      <w:r w:rsidRPr="001E0BE0">
        <w:rPr>
          <w:rFonts w:ascii="Arial" w:hAnsi="Arial" w:cs="Arial"/>
          <w:b/>
        </w:rPr>
        <w:t>A</w:t>
      </w:r>
      <w:r w:rsidRPr="001E0BE0">
        <w:rPr>
          <w:rFonts w:ascii="Arial" w:hAnsi="Arial" w:cs="Arial"/>
          <w:b/>
          <w:u w:val="single"/>
        </w:rPr>
        <w:t xml:space="preserve">NNEXE </w:t>
      </w:r>
      <w:r w:rsidRPr="001E0BE0">
        <w:rPr>
          <w:rFonts w:ascii="Arial" w:hAnsi="Arial" w:cs="Arial"/>
          <w:b/>
        </w:rPr>
        <w:t>I</w:t>
      </w:r>
      <w:r w:rsidRPr="001E0BE0">
        <w:rPr>
          <w:rFonts w:ascii="Arial" w:hAnsi="Arial" w:cs="Arial"/>
          <w:b/>
          <w:u w:val="single"/>
        </w:rPr>
        <w:fldChar w:fldCharType="end"/>
      </w:r>
    </w:p>
    <w:p w14:paraId="25335E18" w14:textId="380CBEDE" w:rsidR="005D452A" w:rsidRPr="001E0BE0" w:rsidRDefault="005D452A" w:rsidP="001E3343">
      <w:pPr>
        <w:pStyle w:val="1GAPara"/>
        <w:numPr>
          <w:ilvl w:val="0"/>
          <w:numId w:val="0"/>
        </w:numPr>
        <w:ind w:left="567"/>
        <w:jc w:val="right"/>
      </w:pPr>
      <w:bookmarkStart w:id="6" w:name="Etatfinancier"/>
      <w:bookmarkEnd w:id="5"/>
      <w:r w:rsidRPr="001E0BE0">
        <w:rPr>
          <w:noProof/>
        </w:rPr>
        <w:drawing>
          <wp:anchor distT="0" distB="0" distL="114300" distR="114300" simplePos="0" relativeHeight="251658240" behindDoc="0" locked="0" layoutInCell="1" allowOverlap="1" wp14:anchorId="7E5F1EEA" wp14:editId="0AAD5FFF">
            <wp:simplePos x="0" y="0"/>
            <wp:positionH relativeFrom="margin">
              <wp:posOffset>43132</wp:posOffset>
            </wp:positionH>
            <wp:positionV relativeFrom="margin">
              <wp:posOffset>500104</wp:posOffset>
            </wp:positionV>
            <wp:extent cx="6120130" cy="4897755"/>
            <wp:effectExtent l="0" t="0" r="0" b="0"/>
            <wp:wrapSquare wrapText="bothSides"/>
            <wp:docPr id="20890413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4897755"/>
                    </a:xfrm>
                    <a:prstGeom prst="rect">
                      <a:avLst/>
                    </a:prstGeom>
                    <a:noFill/>
                    <a:ln>
                      <a:noFill/>
                    </a:ln>
                  </pic:spPr>
                </pic:pic>
              </a:graphicData>
            </a:graphic>
          </wp:anchor>
        </w:drawing>
      </w:r>
      <w:r w:rsidR="0059040F" w:rsidRPr="001E0BE0">
        <w:t>État financier I</w:t>
      </w:r>
      <w:bookmarkStart w:id="7" w:name="Tableau1"/>
      <w:bookmarkEnd w:id="6"/>
    </w:p>
    <w:p w14:paraId="3B4B640B" w14:textId="77777777" w:rsidR="005D452A" w:rsidRPr="001E0BE0" w:rsidRDefault="005D452A" w:rsidP="001E3343">
      <w:pPr>
        <w:spacing w:after="0"/>
        <w:rPr>
          <w:rFonts w:ascii="Arial" w:hAnsi="Arial" w:cs="Arial"/>
          <w:snapToGrid w:val="0"/>
          <w:szCs w:val="22"/>
          <w:lang w:eastAsia="en-US"/>
        </w:rPr>
      </w:pPr>
      <w:r w:rsidRPr="001E0BE0">
        <w:rPr>
          <w:rFonts w:ascii="Arial" w:hAnsi="Arial" w:cs="Arial"/>
        </w:rPr>
        <w:br w:type="page"/>
      </w:r>
    </w:p>
    <w:p w14:paraId="2F642BC2" w14:textId="3AEAA2B2" w:rsidR="0059040F" w:rsidRPr="001E0BE0" w:rsidRDefault="0059040F" w:rsidP="001E3343">
      <w:pPr>
        <w:pStyle w:val="1GAPara"/>
        <w:numPr>
          <w:ilvl w:val="0"/>
          <w:numId w:val="0"/>
        </w:numPr>
        <w:ind w:left="567"/>
        <w:jc w:val="right"/>
      </w:pPr>
      <w:r w:rsidRPr="001E0BE0">
        <w:lastRenderedPageBreak/>
        <w:t>Tableau 1.1</w:t>
      </w:r>
    </w:p>
    <w:p w14:paraId="3E3EFA67" w14:textId="567062D3" w:rsidR="005D452A" w:rsidRPr="001E0BE0" w:rsidRDefault="005D452A" w:rsidP="001E3343">
      <w:pPr>
        <w:pStyle w:val="1GAPara"/>
        <w:numPr>
          <w:ilvl w:val="0"/>
          <w:numId w:val="0"/>
        </w:numPr>
        <w:ind w:left="567"/>
        <w:jc w:val="right"/>
      </w:pPr>
      <w:r w:rsidRPr="001E0BE0">
        <w:rPr>
          <w:noProof/>
        </w:rPr>
        <w:drawing>
          <wp:anchor distT="0" distB="0" distL="114300" distR="114300" simplePos="0" relativeHeight="251659264" behindDoc="0" locked="0" layoutInCell="1" allowOverlap="1" wp14:anchorId="71D449ED" wp14:editId="6B5E9AB7">
            <wp:simplePos x="0" y="0"/>
            <wp:positionH relativeFrom="margin">
              <wp:posOffset>0</wp:posOffset>
            </wp:positionH>
            <wp:positionV relativeFrom="margin">
              <wp:posOffset>500248</wp:posOffset>
            </wp:positionV>
            <wp:extent cx="6120130" cy="7679055"/>
            <wp:effectExtent l="0" t="0" r="0" b="0"/>
            <wp:wrapSquare wrapText="bothSides"/>
            <wp:docPr id="2096944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7679055"/>
                    </a:xfrm>
                    <a:prstGeom prst="rect">
                      <a:avLst/>
                    </a:prstGeom>
                    <a:noFill/>
                    <a:ln>
                      <a:noFill/>
                    </a:ln>
                  </pic:spPr>
                </pic:pic>
              </a:graphicData>
            </a:graphic>
          </wp:anchor>
        </w:drawing>
      </w:r>
    </w:p>
    <w:bookmarkEnd w:id="7"/>
    <w:p w14:paraId="357CA3F2" w14:textId="18DAAACA" w:rsidR="0059040F" w:rsidRPr="001E0BE0" w:rsidRDefault="0059040F" w:rsidP="001E3343">
      <w:pPr>
        <w:spacing w:after="0"/>
        <w:rPr>
          <w:rFonts w:ascii="Arial" w:hAnsi="Arial" w:cs="Arial"/>
          <w:b/>
        </w:rPr>
      </w:pPr>
    </w:p>
    <w:p w14:paraId="7AE77F73" w14:textId="2370C39A" w:rsidR="0059040F" w:rsidRPr="001E0BE0" w:rsidRDefault="0059040F" w:rsidP="001E3343">
      <w:pPr>
        <w:spacing w:after="0"/>
        <w:rPr>
          <w:rFonts w:ascii="Arial" w:hAnsi="Arial" w:cs="Arial"/>
          <w:b/>
        </w:rPr>
      </w:pPr>
      <w:r w:rsidRPr="001E0BE0">
        <w:rPr>
          <w:rFonts w:ascii="Arial" w:hAnsi="Arial" w:cs="Arial"/>
          <w:b/>
        </w:rPr>
        <w:br w:type="page"/>
      </w:r>
      <w:r w:rsidR="005D452A" w:rsidRPr="001E0BE0">
        <w:rPr>
          <w:rFonts w:ascii="Arial" w:hAnsi="Arial" w:cs="Arial"/>
          <w:noProof/>
        </w:rPr>
        <w:lastRenderedPageBreak/>
        <w:drawing>
          <wp:inline distT="0" distB="0" distL="0" distR="0" wp14:anchorId="48D4E7F3" wp14:editId="3421D4F1">
            <wp:extent cx="653415" cy="173990"/>
            <wp:effectExtent l="0" t="0" r="0" b="0"/>
            <wp:docPr id="1047723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3415" cy="173990"/>
                    </a:xfrm>
                    <a:prstGeom prst="rect">
                      <a:avLst/>
                    </a:prstGeom>
                    <a:noFill/>
                    <a:ln>
                      <a:noFill/>
                    </a:ln>
                  </pic:spPr>
                </pic:pic>
              </a:graphicData>
            </a:graphic>
          </wp:inline>
        </w:drawing>
      </w:r>
    </w:p>
    <w:bookmarkStart w:id="8" w:name="ANNEXEII"/>
    <w:p w14:paraId="4F602AA1" w14:textId="77777777" w:rsidR="005D452A" w:rsidRPr="001E0BE0" w:rsidRDefault="0059040F" w:rsidP="001E3343">
      <w:pPr>
        <w:spacing w:after="0"/>
        <w:jc w:val="center"/>
        <w:rPr>
          <w:rFonts w:ascii="Arial" w:hAnsi="Arial" w:cs="Arial"/>
          <w:b/>
          <w:u w:val="single"/>
          <w:lang w:val="en-US"/>
        </w:rPr>
      </w:pPr>
      <w:r w:rsidRPr="001E0BE0">
        <w:rPr>
          <w:rFonts w:ascii="Arial" w:hAnsi="Arial" w:cs="Arial"/>
          <w:b/>
          <w:u w:val="single"/>
          <w:lang w:val="en-US"/>
        </w:rPr>
        <w:fldChar w:fldCharType="begin"/>
      </w:r>
      <w:r w:rsidRPr="001E0BE0">
        <w:rPr>
          <w:rFonts w:ascii="Arial" w:hAnsi="Arial" w:cs="Arial"/>
          <w:b/>
          <w:u w:val="single"/>
          <w:lang w:val="en-US"/>
        </w:rPr>
        <w:instrText>HYPERLINK \l "AnnexI"</w:instrText>
      </w:r>
      <w:r w:rsidRPr="001E0BE0">
        <w:rPr>
          <w:rFonts w:ascii="Arial" w:hAnsi="Arial" w:cs="Arial"/>
          <w:b/>
          <w:u w:val="single"/>
          <w:lang w:val="en-US"/>
        </w:rPr>
      </w:r>
      <w:r w:rsidRPr="001E0BE0">
        <w:rPr>
          <w:rFonts w:ascii="Arial" w:hAnsi="Arial" w:cs="Arial"/>
          <w:b/>
          <w:u w:val="single"/>
          <w:lang w:val="en-US"/>
        </w:rPr>
        <w:fldChar w:fldCharType="separate"/>
      </w:r>
      <w:r w:rsidRPr="001E0BE0">
        <w:rPr>
          <w:rFonts w:ascii="Arial" w:hAnsi="Arial" w:cs="Arial"/>
          <w:b/>
          <w:u w:val="single"/>
          <w:lang w:val="en-US"/>
        </w:rPr>
        <w:t>ANNEXE I</w:t>
      </w:r>
      <w:r w:rsidRPr="001E0BE0">
        <w:rPr>
          <w:rFonts w:ascii="Arial" w:hAnsi="Arial" w:cs="Arial"/>
          <w:b/>
          <w:u w:val="single"/>
          <w:lang w:val="en-US"/>
        </w:rPr>
        <w:fldChar w:fldCharType="end"/>
      </w:r>
      <w:r w:rsidRPr="001E0BE0">
        <w:rPr>
          <w:rFonts w:ascii="Arial" w:hAnsi="Arial" w:cs="Arial"/>
          <w:b/>
          <w:u w:val="single"/>
          <w:lang w:val="en-US"/>
        </w:rPr>
        <w:t>I</w:t>
      </w:r>
    </w:p>
    <w:p w14:paraId="3C0C5F10" w14:textId="77777777" w:rsidR="005D452A" w:rsidRPr="001E0BE0" w:rsidRDefault="005D452A" w:rsidP="001E3343">
      <w:pPr>
        <w:spacing w:after="0"/>
        <w:jc w:val="center"/>
        <w:rPr>
          <w:rFonts w:ascii="Arial" w:hAnsi="Arial" w:cs="Arial"/>
          <w:b/>
          <w:u w:val="single"/>
          <w:lang w:val="en-US"/>
        </w:rPr>
      </w:pPr>
    </w:p>
    <w:p w14:paraId="4F3C81F3" w14:textId="7201EFF9" w:rsidR="0059040F" w:rsidRPr="001E0BE0" w:rsidRDefault="005D452A" w:rsidP="001E3343">
      <w:pPr>
        <w:spacing w:after="0"/>
        <w:jc w:val="center"/>
        <w:rPr>
          <w:rFonts w:ascii="Arial" w:hAnsi="Arial" w:cs="Arial"/>
          <w:b/>
          <w:u w:val="single"/>
          <w:lang w:val="en-US"/>
        </w:rPr>
      </w:pPr>
      <w:r w:rsidRPr="001E0BE0">
        <w:rPr>
          <w:rFonts w:ascii="Arial" w:hAnsi="Arial" w:cs="Arial"/>
          <w:noProof/>
        </w:rPr>
        <w:drawing>
          <wp:inline distT="0" distB="0" distL="0" distR="0" wp14:anchorId="251F15D5" wp14:editId="349555BC">
            <wp:extent cx="6064250" cy="5891530"/>
            <wp:effectExtent l="0" t="0" r="0" b="0"/>
            <wp:docPr id="6920387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64250" cy="5891530"/>
                    </a:xfrm>
                    <a:prstGeom prst="rect">
                      <a:avLst/>
                    </a:prstGeom>
                    <a:noFill/>
                    <a:ln>
                      <a:noFill/>
                    </a:ln>
                  </pic:spPr>
                </pic:pic>
              </a:graphicData>
            </a:graphic>
          </wp:inline>
        </w:drawing>
      </w:r>
    </w:p>
    <w:bookmarkEnd w:id="8"/>
    <w:p w14:paraId="5F521DBE" w14:textId="79053EFB" w:rsidR="0059040F" w:rsidRPr="001E0BE0" w:rsidRDefault="0059040F" w:rsidP="001E3343">
      <w:pPr>
        <w:spacing w:after="0"/>
        <w:rPr>
          <w:rFonts w:ascii="Arial" w:hAnsi="Arial" w:cs="Arial"/>
          <w:b/>
          <w:lang w:val="en-US"/>
        </w:rPr>
      </w:pPr>
      <w:r w:rsidRPr="001E0BE0">
        <w:rPr>
          <w:rFonts w:ascii="Arial" w:hAnsi="Arial" w:cs="Arial"/>
          <w:b/>
          <w:lang w:val="en-US"/>
        </w:rPr>
        <w:br w:type="page"/>
      </w:r>
    </w:p>
    <w:bookmarkStart w:id="9" w:name="ANNEXEIII"/>
    <w:p w14:paraId="53777821" w14:textId="1DBB1569" w:rsidR="0059040F" w:rsidRPr="001E0BE0" w:rsidRDefault="0059040F" w:rsidP="001E3343">
      <w:pPr>
        <w:spacing w:after="0"/>
        <w:jc w:val="center"/>
        <w:rPr>
          <w:rFonts w:ascii="Arial" w:hAnsi="Arial" w:cs="Arial"/>
          <w:b/>
          <w:u w:val="single"/>
          <w:lang w:val="en-US"/>
        </w:rPr>
      </w:pPr>
      <w:r w:rsidRPr="001E0BE0">
        <w:rPr>
          <w:rFonts w:ascii="Arial" w:hAnsi="Arial" w:cs="Arial"/>
          <w:b/>
          <w:u w:val="single"/>
          <w:lang w:val="en-US"/>
        </w:rPr>
        <w:lastRenderedPageBreak/>
        <w:fldChar w:fldCharType="begin"/>
      </w:r>
      <w:r w:rsidRPr="001E0BE0">
        <w:rPr>
          <w:rFonts w:ascii="Arial" w:hAnsi="Arial" w:cs="Arial"/>
          <w:b/>
          <w:u w:val="single"/>
          <w:lang w:val="en-US"/>
        </w:rPr>
        <w:instrText>HYPERLINK \l "AnnexI"</w:instrText>
      </w:r>
      <w:r w:rsidRPr="001E0BE0">
        <w:rPr>
          <w:rFonts w:ascii="Arial" w:hAnsi="Arial" w:cs="Arial"/>
          <w:b/>
          <w:u w:val="single"/>
          <w:lang w:val="en-US"/>
        </w:rPr>
      </w:r>
      <w:r w:rsidRPr="001E0BE0">
        <w:rPr>
          <w:rFonts w:ascii="Arial" w:hAnsi="Arial" w:cs="Arial"/>
          <w:b/>
          <w:u w:val="single"/>
          <w:lang w:val="en-US"/>
        </w:rPr>
        <w:fldChar w:fldCharType="separate"/>
      </w:r>
      <w:r w:rsidRPr="001E0BE0">
        <w:rPr>
          <w:rFonts w:ascii="Arial" w:hAnsi="Arial" w:cs="Arial"/>
          <w:b/>
          <w:u w:val="single"/>
          <w:lang w:val="en-US"/>
        </w:rPr>
        <w:t>ANNEXE III</w:t>
      </w:r>
      <w:r w:rsidRPr="001E0BE0">
        <w:rPr>
          <w:rFonts w:ascii="Arial" w:hAnsi="Arial" w:cs="Arial"/>
          <w:b/>
          <w:u w:val="single"/>
          <w:lang w:val="en-US"/>
        </w:rPr>
        <w:fldChar w:fldCharType="end"/>
      </w:r>
    </w:p>
    <w:p w14:paraId="32A0F425" w14:textId="77777777" w:rsidR="005D452A" w:rsidRPr="001E0BE0" w:rsidRDefault="005D452A" w:rsidP="001E3343">
      <w:pPr>
        <w:spacing w:after="0"/>
        <w:jc w:val="center"/>
        <w:rPr>
          <w:rFonts w:ascii="Arial" w:hAnsi="Arial" w:cs="Arial"/>
          <w:b/>
          <w:u w:val="single"/>
          <w:lang w:val="en-US"/>
        </w:rPr>
      </w:pPr>
    </w:p>
    <w:p w14:paraId="04CB668D" w14:textId="77777777" w:rsidR="005D452A" w:rsidRPr="001E0BE0" w:rsidRDefault="005D452A" w:rsidP="001E3343">
      <w:pPr>
        <w:spacing w:after="0"/>
        <w:jc w:val="center"/>
        <w:rPr>
          <w:rFonts w:ascii="Arial" w:hAnsi="Arial" w:cs="Arial"/>
          <w:b/>
          <w:u w:val="single"/>
          <w:lang w:val="en-US"/>
        </w:rPr>
      </w:pPr>
    </w:p>
    <w:bookmarkEnd w:id="9"/>
    <w:p w14:paraId="2948755D" w14:textId="4C022EF5" w:rsidR="0059040F" w:rsidRPr="001E0BE0" w:rsidRDefault="005D452A" w:rsidP="001E3343">
      <w:pPr>
        <w:spacing w:after="0"/>
        <w:rPr>
          <w:rFonts w:ascii="Arial" w:hAnsi="Arial" w:cs="Arial"/>
          <w:b/>
          <w:lang w:val="en-US"/>
        </w:rPr>
      </w:pPr>
      <w:r w:rsidRPr="001E0BE0">
        <w:rPr>
          <w:rFonts w:ascii="Arial" w:hAnsi="Arial" w:cs="Arial"/>
          <w:noProof/>
        </w:rPr>
        <w:drawing>
          <wp:inline distT="0" distB="0" distL="0" distR="0" wp14:anchorId="3534E07A" wp14:editId="4A61768B">
            <wp:extent cx="6120130" cy="6310630"/>
            <wp:effectExtent l="0" t="0" r="0" b="0"/>
            <wp:docPr id="15688578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6310630"/>
                    </a:xfrm>
                    <a:prstGeom prst="rect">
                      <a:avLst/>
                    </a:prstGeom>
                    <a:noFill/>
                    <a:ln>
                      <a:noFill/>
                    </a:ln>
                  </pic:spPr>
                </pic:pic>
              </a:graphicData>
            </a:graphic>
          </wp:inline>
        </w:drawing>
      </w:r>
    </w:p>
    <w:p w14:paraId="06C1560E" w14:textId="77777777" w:rsidR="005D452A" w:rsidRPr="001E0BE0" w:rsidRDefault="005D452A" w:rsidP="001E3343">
      <w:pPr>
        <w:spacing w:after="0"/>
        <w:rPr>
          <w:rFonts w:ascii="Arial" w:hAnsi="Arial" w:cs="Arial"/>
          <w:b/>
          <w:u w:val="single"/>
          <w:lang w:val="en-US"/>
        </w:rPr>
      </w:pPr>
      <w:bookmarkStart w:id="10" w:name="ANNEXEIV"/>
      <w:r w:rsidRPr="001E0BE0">
        <w:rPr>
          <w:rFonts w:ascii="Arial" w:hAnsi="Arial" w:cs="Arial"/>
          <w:b/>
          <w:u w:val="single"/>
          <w:lang w:val="en-US"/>
        </w:rPr>
        <w:br w:type="page"/>
      </w:r>
    </w:p>
    <w:p w14:paraId="583034D5" w14:textId="2386DCF1" w:rsidR="0059040F" w:rsidRPr="001E0BE0" w:rsidRDefault="0059040F" w:rsidP="001E3343">
      <w:pPr>
        <w:spacing w:after="0"/>
        <w:jc w:val="center"/>
        <w:rPr>
          <w:rFonts w:ascii="Arial" w:hAnsi="Arial" w:cs="Arial"/>
          <w:b/>
          <w:u w:val="single"/>
        </w:rPr>
      </w:pPr>
      <w:hyperlink w:anchor="AnnexI" w:history="1">
        <w:r w:rsidRPr="001E0BE0">
          <w:rPr>
            <w:rFonts w:ascii="Arial" w:hAnsi="Arial" w:cs="Arial"/>
            <w:b/>
            <w:u w:val="single"/>
          </w:rPr>
          <w:t>ANNEXE I</w:t>
        </w:r>
      </w:hyperlink>
      <w:r w:rsidRPr="001E0BE0">
        <w:rPr>
          <w:rFonts w:ascii="Arial" w:hAnsi="Arial" w:cs="Arial"/>
          <w:b/>
          <w:u w:val="single"/>
        </w:rPr>
        <w:t>V</w:t>
      </w:r>
    </w:p>
    <w:p w14:paraId="1CED530E" w14:textId="5B2E57B4" w:rsidR="005D452A" w:rsidRPr="001E0BE0" w:rsidRDefault="005D452A" w:rsidP="001E3343">
      <w:pPr>
        <w:spacing w:after="0"/>
        <w:jc w:val="center"/>
        <w:rPr>
          <w:rFonts w:ascii="Arial" w:hAnsi="Arial" w:cs="Arial"/>
          <w:b/>
          <w:u w:val="single"/>
        </w:rPr>
      </w:pPr>
    </w:p>
    <w:p w14:paraId="34857991" w14:textId="1BE7854F" w:rsidR="005D452A" w:rsidRPr="001E0BE0" w:rsidRDefault="00957439" w:rsidP="001E3343">
      <w:pPr>
        <w:spacing w:after="0"/>
        <w:jc w:val="center"/>
        <w:rPr>
          <w:rFonts w:ascii="Arial" w:hAnsi="Arial" w:cs="Arial"/>
          <w:b/>
          <w:u w:val="single"/>
        </w:rPr>
      </w:pPr>
      <w:r w:rsidRPr="001E0BE0">
        <w:rPr>
          <w:rFonts w:ascii="Arial" w:hAnsi="Arial" w:cs="Arial"/>
          <w:noProof/>
        </w:rPr>
        <w:drawing>
          <wp:anchor distT="0" distB="0" distL="114300" distR="114300" simplePos="0" relativeHeight="251660288" behindDoc="0" locked="0" layoutInCell="1" allowOverlap="1" wp14:anchorId="2B5874D0" wp14:editId="2CA80E86">
            <wp:simplePos x="0" y="0"/>
            <wp:positionH relativeFrom="margin">
              <wp:posOffset>0</wp:posOffset>
            </wp:positionH>
            <wp:positionV relativeFrom="margin">
              <wp:posOffset>497205</wp:posOffset>
            </wp:positionV>
            <wp:extent cx="6120130" cy="5855970"/>
            <wp:effectExtent l="0" t="0" r="0" b="0"/>
            <wp:wrapSquare wrapText="bothSides"/>
            <wp:docPr id="1005968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5855970"/>
                    </a:xfrm>
                    <a:prstGeom prst="rect">
                      <a:avLst/>
                    </a:prstGeom>
                    <a:noFill/>
                    <a:ln>
                      <a:noFill/>
                    </a:ln>
                  </pic:spPr>
                </pic:pic>
              </a:graphicData>
            </a:graphic>
          </wp:anchor>
        </w:drawing>
      </w:r>
    </w:p>
    <w:bookmarkEnd w:id="10"/>
    <w:p w14:paraId="4C67BAD3" w14:textId="77777777" w:rsidR="0059040F" w:rsidRPr="001E0BE0" w:rsidRDefault="0059040F" w:rsidP="001E3343">
      <w:pPr>
        <w:spacing w:after="0"/>
        <w:rPr>
          <w:rFonts w:ascii="Arial" w:hAnsi="Arial" w:cs="Arial"/>
          <w:b/>
        </w:rPr>
      </w:pPr>
      <w:r w:rsidRPr="001E0BE0">
        <w:rPr>
          <w:rFonts w:ascii="Arial" w:hAnsi="Arial" w:cs="Arial"/>
          <w:b/>
        </w:rPr>
        <w:br w:type="page"/>
      </w:r>
    </w:p>
    <w:bookmarkStart w:id="11" w:name="ANNEXEV"/>
    <w:p w14:paraId="7ABA3E07" w14:textId="3DDB736C" w:rsidR="0059040F" w:rsidRPr="001E0BE0" w:rsidRDefault="0059040F" w:rsidP="001E3343">
      <w:pPr>
        <w:spacing w:after="0"/>
        <w:jc w:val="center"/>
        <w:rPr>
          <w:rFonts w:ascii="Arial" w:hAnsi="Arial" w:cs="Arial"/>
          <w:b/>
          <w:u w:val="single"/>
        </w:rPr>
      </w:pPr>
      <w:r w:rsidRPr="001E0BE0">
        <w:rPr>
          <w:rFonts w:ascii="Arial" w:hAnsi="Arial" w:cs="Arial"/>
          <w:b/>
          <w:u w:val="single"/>
          <w:lang w:val="en-US"/>
        </w:rPr>
        <w:lastRenderedPageBreak/>
        <w:fldChar w:fldCharType="begin"/>
      </w:r>
      <w:r w:rsidRPr="001E0BE0">
        <w:rPr>
          <w:rFonts w:ascii="Arial" w:hAnsi="Arial" w:cs="Arial"/>
          <w:b/>
          <w:u w:val="single"/>
        </w:rPr>
        <w:instrText>HYPERLINK \l "AnnexI"</w:instrText>
      </w:r>
      <w:r w:rsidRPr="001E0BE0">
        <w:rPr>
          <w:rFonts w:ascii="Arial" w:hAnsi="Arial" w:cs="Arial"/>
          <w:b/>
          <w:u w:val="single"/>
          <w:lang w:val="en-US"/>
        </w:rPr>
      </w:r>
      <w:r w:rsidRPr="001E0BE0">
        <w:rPr>
          <w:rFonts w:ascii="Arial" w:hAnsi="Arial" w:cs="Arial"/>
          <w:b/>
          <w:u w:val="single"/>
          <w:lang w:val="en-US"/>
        </w:rPr>
        <w:fldChar w:fldCharType="separate"/>
      </w:r>
      <w:r w:rsidRPr="001E0BE0">
        <w:rPr>
          <w:rFonts w:ascii="Arial" w:hAnsi="Arial" w:cs="Arial"/>
          <w:b/>
          <w:u w:val="single"/>
        </w:rPr>
        <w:t>ANNEXE V</w:t>
      </w:r>
      <w:r w:rsidRPr="001E0BE0">
        <w:rPr>
          <w:rFonts w:ascii="Arial" w:hAnsi="Arial" w:cs="Arial"/>
          <w:b/>
          <w:u w:val="single"/>
          <w:lang w:val="en-US"/>
        </w:rPr>
        <w:fldChar w:fldCharType="end"/>
      </w:r>
    </w:p>
    <w:p w14:paraId="518D33FB" w14:textId="77777777" w:rsidR="00922075" w:rsidRPr="001E0BE0" w:rsidRDefault="00922075" w:rsidP="001E3343">
      <w:pPr>
        <w:spacing w:after="0"/>
        <w:jc w:val="center"/>
        <w:rPr>
          <w:rFonts w:ascii="Arial" w:hAnsi="Arial" w:cs="Arial"/>
          <w:b/>
          <w:u w:val="single"/>
        </w:rPr>
      </w:pPr>
    </w:p>
    <w:p w14:paraId="3CE2DF88" w14:textId="77777777" w:rsidR="00922075" w:rsidRPr="001E0BE0" w:rsidRDefault="00922075" w:rsidP="001E3343">
      <w:pPr>
        <w:pStyle w:val="1GAPara"/>
        <w:numPr>
          <w:ilvl w:val="0"/>
          <w:numId w:val="0"/>
        </w:numPr>
        <w:spacing w:after="0"/>
        <w:ind w:left="142"/>
        <w:jc w:val="center"/>
      </w:pPr>
      <w:r w:rsidRPr="001E0BE0">
        <w:t xml:space="preserve">Liste des projets d’assistance internationale avec les dépenses encourues au cours de la période </w:t>
      </w:r>
    </w:p>
    <w:p w14:paraId="66A63C72" w14:textId="0C1F197D" w:rsidR="00922075" w:rsidRPr="001E0BE0" w:rsidRDefault="00922075" w:rsidP="001E3343">
      <w:pPr>
        <w:pStyle w:val="1GAPara"/>
        <w:numPr>
          <w:ilvl w:val="0"/>
          <w:numId w:val="0"/>
        </w:numPr>
        <w:spacing w:after="0"/>
        <w:ind w:left="142"/>
        <w:jc w:val="center"/>
      </w:pPr>
      <w:r w:rsidRPr="001E0BE0">
        <w:t>du 1 janvier 2024 au 31 décembre 2025</w:t>
      </w:r>
    </w:p>
    <w:p w14:paraId="1269CBAA" w14:textId="77777777" w:rsidR="00922075" w:rsidRPr="001E0BE0" w:rsidRDefault="00922075" w:rsidP="001E3343">
      <w:pPr>
        <w:pStyle w:val="1GAPara"/>
        <w:numPr>
          <w:ilvl w:val="0"/>
          <w:numId w:val="0"/>
        </w:numPr>
        <w:spacing w:after="0"/>
        <w:ind w:left="142"/>
        <w:jc w:val="center"/>
        <w:rPr>
          <w:b/>
          <w:bCs/>
          <w:u w:val="single"/>
        </w:rPr>
      </w:pPr>
    </w:p>
    <w:tbl>
      <w:tblPr>
        <w:tblStyle w:val="TableGrid"/>
        <w:tblW w:w="10206" w:type="dxa"/>
        <w:tblInd w:w="-147" w:type="dxa"/>
        <w:shd w:val="clear" w:color="auto" w:fill="FFFFFF" w:themeFill="background1"/>
        <w:tblLayout w:type="fixed"/>
        <w:tblLook w:val="04A0" w:firstRow="1" w:lastRow="0" w:firstColumn="1" w:lastColumn="0" w:noHBand="0" w:noVBand="1"/>
      </w:tblPr>
      <w:tblGrid>
        <w:gridCol w:w="568"/>
        <w:gridCol w:w="2409"/>
        <w:gridCol w:w="5245"/>
        <w:gridCol w:w="1984"/>
      </w:tblGrid>
      <w:tr w:rsidR="00922075" w:rsidRPr="001E0BE0" w14:paraId="456B48B1" w14:textId="77777777" w:rsidTr="002C4850">
        <w:trPr>
          <w:trHeight w:val="567"/>
        </w:trPr>
        <w:tc>
          <w:tcPr>
            <w:tcW w:w="568" w:type="dxa"/>
            <w:shd w:val="clear" w:color="auto" w:fill="FFFFFF" w:themeFill="background1"/>
            <w:vAlign w:val="center"/>
          </w:tcPr>
          <w:p w14:paraId="7FB701F6" w14:textId="77777777" w:rsidR="00922075" w:rsidRPr="001E0BE0" w:rsidRDefault="00922075" w:rsidP="001E3343">
            <w:pPr>
              <w:pStyle w:val="1GAPara"/>
              <w:numPr>
                <w:ilvl w:val="0"/>
                <w:numId w:val="0"/>
              </w:numPr>
              <w:spacing w:before="40" w:afterLines="40" w:after="96"/>
              <w:ind w:left="440"/>
              <w:rPr>
                <w:sz w:val="20"/>
                <w:szCs w:val="20"/>
              </w:rPr>
            </w:pPr>
          </w:p>
        </w:tc>
        <w:tc>
          <w:tcPr>
            <w:tcW w:w="2409" w:type="dxa"/>
            <w:shd w:val="clear" w:color="auto" w:fill="FFFFFF" w:themeFill="background1"/>
            <w:vAlign w:val="center"/>
          </w:tcPr>
          <w:p w14:paraId="2AD325F7" w14:textId="77777777" w:rsidR="00922075" w:rsidRPr="001E0BE0" w:rsidRDefault="00922075" w:rsidP="001E3343">
            <w:pPr>
              <w:pStyle w:val="1GAPara"/>
              <w:numPr>
                <w:ilvl w:val="0"/>
                <w:numId w:val="0"/>
              </w:numPr>
              <w:spacing w:before="40" w:afterLines="40" w:after="96"/>
              <w:rPr>
                <w:b/>
                <w:bCs/>
                <w:sz w:val="20"/>
                <w:szCs w:val="20"/>
              </w:rPr>
            </w:pPr>
            <w:r w:rsidRPr="001E0BE0">
              <w:rPr>
                <w:b/>
                <w:sz w:val="20"/>
              </w:rPr>
              <w:t>État bénéficiaire</w:t>
            </w:r>
          </w:p>
        </w:tc>
        <w:tc>
          <w:tcPr>
            <w:tcW w:w="5245" w:type="dxa"/>
            <w:shd w:val="clear" w:color="auto" w:fill="FFFFFF" w:themeFill="background1"/>
            <w:vAlign w:val="center"/>
          </w:tcPr>
          <w:p w14:paraId="01644848" w14:textId="77777777" w:rsidR="00922075" w:rsidRPr="001E0BE0" w:rsidRDefault="00922075" w:rsidP="001E3343">
            <w:pPr>
              <w:pStyle w:val="1GAPara"/>
              <w:numPr>
                <w:ilvl w:val="0"/>
                <w:numId w:val="0"/>
              </w:numPr>
              <w:spacing w:before="40" w:afterLines="40" w:after="96"/>
              <w:rPr>
                <w:b/>
                <w:bCs/>
                <w:sz w:val="20"/>
                <w:szCs w:val="20"/>
              </w:rPr>
            </w:pPr>
            <w:r w:rsidRPr="001E0BE0">
              <w:rPr>
                <w:b/>
                <w:sz w:val="20"/>
              </w:rPr>
              <w:t>Projet</w:t>
            </w:r>
          </w:p>
        </w:tc>
        <w:tc>
          <w:tcPr>
            <w:tcW w:w="1984" w:type="dxa"/>
            <w:shd w:val="clear" w:color="auto" w:fill="FFFFFF" w:themeFill="background1"/>
            <w:vAlign w:val="center"/>
          </w:tcPr>
          <w:p w14:paraId="7F359392" w14:textId="77777777" w:rsidR="00922075" w:rsidRPr="001E0BE0" w:rsidRDefault="00922075" w:rsidP="001E3343">
            <w:pPr>
              <w:pStyle w:val="1GAPara"/>
              <w:numPr>
                <w:ilvl w:val="0"/>
                <w:numId w:val="0"/>
              </w:numPr>
              <w:spacing w:before="40" w:afterLines="40" w:after="96"/>
              <w:rPr>
                <w:b/>
                <w:bCs/>
                <w:sz w:val="20"/>
                <w:szCs w:val="20"/>
              </w:rPr>
            </w:pPr>
            <w:r w:rsidRPr="001E0BE0">
              <w:rPr>
                <w:b/>
                <w:sz w:val="20"/>
              </w:rPr>
              <w:t>Décision</w:t>
            </w:r>
          </w:p>
        </w:tc>
      </w:tr>
      <w:tr w:rsidR="00922075" w:rsidRPr="001E0BE0" w14:paraId="78A75608" w14:textId="77777777" w:rsidTr="002C4850">
        <w:trPr>
          <w:trHeight w:val="688"/>
        </w:trPr>
        <w:tc>
          <w:tcPr>
            <w:tcW w:w="568" w:type="dxa"/>
            <w:shd w:val="clear" w:color="auto" w:fill="FFFFFF" w:themeFill="background1"/>
            <w:vAlign w:val="center"/>
          </w:tcPr>
          <w:p w14:paraId="3FD08F09" w14:textId="77777777" w:rsidR="00922075" w:rsidRPr="001E0BE0" w:rsidRDefault="00922075" w:rsidP="001E3343">
            <w:pPr>
              <w:pStyle w:val="1GAPara"/>
              <w:numPr>
                <w:ilvl w:val="0"/>
                <w:numId w:val="12"/>
              </w:numPr>
              <w:spacing w:before="40" w:afterLines="40" w:after="96"/>
              <w:ind w:left="436" w:hanging="357"/>
              <w:jc w:val="center"/>
              <w:rPr>
                <w:sz w:val="20"/>
                <w:szCs w:val="20"/>
              </w:rPr>
            </w:pPr>
          </w:p>
        </w:tc>
        <w:tc>
          <w:tcPr>
            <w:tcW w:w="2409" w:type="dxa"/>
            <w:shd w:val="clear" w:color="auto" w:fill="FFFFFF" w:themeFill="background1"/>
            <w:vAlign w:val="center"/>
          </w:tcPr>
          <w:p w14:paraId="3F0C12DA" w14:textId="77777777" w:rsidR="00922075" w:rsidRPr="001E0BE0" w:rsidRDefault="00922075" w:rsidP="001E3343">
            <w:pPr>
              <w:pStyle w:val="1GAPara"/>
              <w:numPr>
                <w:ilvl w:val="0"/>
                <w:numId w:val="0"/>
              </w:numPr>
              <w:spacing w:before="40" w:afterLines="40" w:after="96"/>
              <w:rPr>
                <w:sz w:val="20"/>
                <w:szCs w:val="20"/>
              </w:rPr>
            </w:pPr>
            <w:r w:rsidRPr="001E0BE0">
              <w:rPr>
                <w:sz w:val="20"/>
              </w:rPr>
              <w:t>Angola*</w:t>
            </w:r>
          </w:p>
        </w:tc>
        <w:tc>
          <w:tcPr>
            <w:tcW w:w="5245" w:type="dxa"/>
            <w:shd w:val="clear" w:color="auto" w:fill="FFFFFF" w:themeFill="background1"/>
            <w:vAlign w:val="center"/>
          </w:tcPr>
          <w:p w14:paraId="4D3C1314" w14:textId="77777777" w:rsidR="00922075" w:rsidRPr="001E0BE0" w:rsidRDefault="00922075" w:rsidP="001E3343">
            <w:pPr>
              <w:pStyle w:val="1GAPara"/>
              <w:numPr>
                <w:ilvl w:val="0"/>
                <w:numId w:val="0"/>
              </w:numPr>
              <w:spacing w:before="40" w:afterLines="40" w:after="96"/>
              <w:rPr>
                <w:sz w:val="20"/>
                <w:szCs w:val="20"/>
              </w:rPr>
            </w:pPr>
            <w:r w:rsidRPr="001E0BE0">
              <w:rPr>
                <w:sz w:val="20"/>
              </w:rPr>
              <w:t>La sauvegarde du semba à travers la création de nouveaux leviers de transmission intergénérationnelle et opportunités de génération de revenus (n° 02124)</w:t>
            </w:r>
          </w:p>
        </w:tc>
        <w:tc>
          <w:tcPr>
            <w:tcW w:w="1984" w:type="dxa"/>
            <w:shd w:val="clear" w:color="auto" w:fill="FFFFFF" w:themeFill="background1"/>
            <w:vAlign w:val="center"/>
          </w:tcPr>
          <w:p w14:paraId="14B4D6F6" w14:textId="77777777" w:rsidR="00922075" w:rsidRPr="001E0BE0" w:rsidRDefault="00922075" w:rsidP="001E3343">
            <w:pPr>
              <w:pStyle w:val="1GAPara"/>
              <w:numPr>
                <w:ilvl w:val="0"/>
                <w:numId w:val="0"/>
              </w:numPr>
              <w:spacing w:before="40" w:afterLines="40" w:after="96"/>
              <w:rPr>
                <w:rStyle w:val="Hyperlink"/>
              </w:rPr>
            </w:pPr>
            <w:hyperlink r:id="rId35" w:history="1">
              <w:r w:rsidRPr="001E0BE0">
                <w:rPr>
                  <w:rStyle w:val="Hyperlink"/>
                  <w:sz w:val="20"/>
                </w:rPr>
                <w:t>19.COM 2.BUR 3.1</w:t>
              </w:r>
            </w:hyperlink>
          </w:p>
        </w:tc>
      </w:tr>
      <w:tr w:rsidR="00922075" w:rsidRPr="001E0BE0" w14:paraId="09EE0A24" w14:textId="77777777" w:rsidTr="002C4850">
        <w:tc>
          <w:tcPr>
            <w:tcW w:w="568" w:type="dxa"/>
            <w:shd w:val="clear" w:color="auto" w:fill="FFFFFF" w:themeFill="background1"/>
            <w:vAlign w:val="center"/>
          </w:tcPr>
          <w:p w14:paraId="469C79BA"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7BF6A21E" w14:textId="77777777" w:rsidR="00922075" w:rsidRPr="001E0BE0" w:rsidRDefault="00922075" w:rsidP="001E3343">
            <w:pPr>
              <w:pStyle w:val="1GAPara"/>
              <w:numPr>
                <w:ilvl w:val="0"/>
                <w:numId w:val="0"/>
              </w:numPr>
              <w:spacing w:before="40" w:afterLines="40" w:after="96"/>
              <w:rPr>
                <w:sz w:val="20"/>
                <w:szCs w:val="20"/>
              </w:rPr>
            </w:pPr>
            <w:r w:rsidRPr="001E0BE0">
              <w:rPr>
                <w:sz w:val="20"/>
              </w:rPr>
              <w:t>Antigua-et-Barbuda*</w:t>
            </w:r>
          </w:p>
        </w:tc>
        <w:tc>
          <w:tcPr>
            <w:tcW w:w="5245" w:type="dxa"/>
            <w:shd w:val="clear" w:color="auto" w:fill="FFFFFF" w:themeFill="background1"/>
            <w:vAlign w:val="center"/>
          </w:tcPr>
          <w:p w14:paraId="3FB65907" w14:textId="77777777" w:rsidR="00922075" w:rsidRPr="001E0BE0" w:rsidRDefault="00922075" w:rsidP="001E3343">
            <w:pPr>
              <w:pStyle w:val="1GAPara"/>
              <w:numPr>
                <w:ilvl w:val="0"/>
                <w:numId w:val="0"/>
              </w:numPr>
              <w:spacing w:before="40" w:afterLines="40" w:after="96"/>
              <w:rPr>
                <w:b/>
                <w:bCs/>
                <w:sz w:val="20"/>
                <w:szCs w:val="20"/>
                <w:u w:val="single"/>
              </w:rPr>
            </w:pPr>
            <w:r w:rsidRPr="001E0BE0">
              <w:rPr>
                <w:sz w:val="20"/>
              </w:rPr>
              <w:t xml:space="preserve">Renforcement des capacités pour la mise en œuvre de la Convention de 2003 pour la sauvegarde du patrimoine culturel immatériel à Antigua-et-Barbuda (n° 01624) </w:t>
            </w:r>
          </w:p>
        </w:tc>
        <w:tc>
          <w:tcPr>
            <w:tcW w:w="1984" w:type="dxa"/>
            <w:shd w:val="clear" w:color="auto" w:fill="FFFFFF" w:themeFill="background1"/>
            <w:vAlign w:val="center"/>
          </w:tcPr>
          <w:p w14:paraId="51822C65" w14:textId="77777777" w:rsidR="00922075" w:rsidRPr="001E0BE0" w:rsidRDefault="00922075" w:rsidP="001E3343">
            <w:pPr>
              <w:pStyle w:val="1GAPara"/>
              <w:numPr>
                <w:ilvl w:val="0"/>
                <w:numId w:val="0"/>
              </w:numPr>
              <w:spacing w:before="40" w:afterLines="40" w:after="96"/>
              <w:rPr>
                <w:rStyle w:val="Hyperlink"/>
                <w:sz w:val="20"/>
                <w:szCs w:val="20"/>
              </w:rPr>
            </w:pPr>
            <w:hyperlink r:id="rId36" w:history="1">
              <w:r w:rsidRPr="001E0BE0">
                <w:rPr>
                  <w:rStyle w:val="Hyperlink"/>
                  <w:sz w:val="20"/>
                </w:rPr>
                <w:t>15.COM 2.BUR 3.1</w:t>
              </w:r>
            </w:hyperlink>
          </w:p>
        </w:tc>
      </w:tr>
      <w:tr w:rsidR="00922075" w:rsidRPr="001E0BE0" w14:paraId="3B7E55ED" w14:textId="77777777" w:rsidTr="002C4850">
        <w:tc>
          <w:tcPr>
            <w:tcW w:w="568" w:type="dxa"/>
            <w:shd w:val="clear" w:color="auto" w:fill="FFFFFF" w:themeFill="background1"/>
            <w:vAlign w:val="center"/>
          </w:tcPr>
          <w:p w14:paraId="0C07CCB1"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22444BF7" w14:textId="77777777" w:rsidR="00922075" w:rsidRPr="001E0BE0" w:rsidRDefault="00922075" w:rsidP="001E3343">
            <w:pPr>
              <w:pStyle w:val="1GAPara"/>
              <w:numPr>
                <w:ilvl w:val="0"/>
                <w:numId w:val="0"/>
              </w:numPr>
              <w:spacing w:before="40" w:afterLines="40" w:after="96"/>
              <w:rPr>
                <w:sz w:val="20"/>
                <w:szCs w:val="20"/>
              </w:rPr>
            </w:pPr>
            <w:r w:rsidRPr="001E0BE0">
              <w:rPr>
                <w:sz w:val="20"/>
              </w:rPr>
              <w:t>Bahamas*</w:t>
            </w:r>
          </w:p>
        </w:tc>
        <w:tc>
          <w:tcPr>
            <w:tcW w:w="5245" w:type="dxa"/>
            <w:shd w:val="clear" w:color="auto" w:fill="FFFFFF" w:themeFill="background1"/>
            <w:vAlign w:val="center"/>
          </w:tcPr>
          <w:p w14:paraId="3122F5E8" w14:textId="77777777" w:rsidR="00922075" w:rsidRPr="001E0BE0" w:rsidRDefault="00922075" w:rsidP="001E3343">
            <w:pPr>
              <w:pStyle w:val="1GAPara"/>
              <w:numPr>
                <w:ilvl w:val="0"/>
                <w:numId w:val="0"/>
              </w:numPr>
              <w:spacing w:before="40" w:afterLines="40" w:after="96"/>
              <w:rPr>
                <w:sz w:val="20"/>
                <w:szCs w:val="20"/>
              </w:rPr>
            </w:pPr>
            <w:r w:rsidRPr="001E0BE0">
              <w:rPr>
                <w:sz w:val="20"/>
              </w:rPr>
              <w:t>Inventaire communautaire du patrimoine culturel immatériel dans le Commonwealth des Bahamas (n° 02004)</w:t>
            </w:r>
          </w:p>
        </w:tc>
        <w:tc>
          <w:tcPr>
            <w:tcW w:w="1984" w:type="dxa"/>
            <w:shd w:val="clear" w:color="auto" w:fill="FFFFFF" w:themeFill="background1"/>
            <w:vAlign w:val="center"/>
          </w:tcPr>
          <w:p w14:paraId="2540A172" w14:textId="77777777" w:rsidR="00922075" w:rsidRPr="001E0BE0" w:rsidRDefault="00922075" w:rsidP="001E3343">
            <w:pPr>
              <w:pStyle w:val="1GAPara"/>
              <w:numPr>
                <w:ilvl w:val="0"/>
                <w:numId w:val="0"/>
              </w:numPr>
              <w:spacing w:before="40" w:afterLines="40" w:after="96"/>
              <w:rPr>
                <w:rStyle w:val="Hyperlink"/>
              </w:rPr>
            </w:pPr>
            <w:hyperlink r:id="rId37" w:history="1">
              <w:r w:rsidRPr="001E0BE0">
                <w:rPr>
                  <w:rStyle w:val="Hyperlink"/>
                  <w:sz w:val="20"/>
                </w:rPr>
                <w:t>18.COM 2.BUR 4.1</w:t>
              </w:r>
            </w:hyperlink>
          </w:p>
        </w:tc>
      </w:tr>
      <w:tr w:rsidR="00922075" w:rsidRPr="001E0BE0" w14:paraId="055070F5" w14:textId="77777777" w:rsidTr="002C4850">
        <w:tc>
          <w:tcPr>
            <w:tcW w:w="568" w:type="dxa"/>
            <w:shd w:val="clear" w:color="auto" w:fill="FFFFFF" w:themeFill="background1"/>
            <w:vAlign w:val="center"/>
          </w:tcPr>
          <w:p w14:paraId="78B331D2"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0D8B457F" w14:textId="77777777" w:rsidR="00922075" w:rsidRPr="001E0BE0" w:rsidRDefault="00922075" w:rsidP="001E3343">
            <w:pPr>
              <w:pStyle w:val="1GAPara"/>
              <w:numPr>
                <w:ilvl w:val="0"/>
                <w:numId w:val="0"/>
              </w:numPr>
              <w:spacing w:before="40" w:afterLines="40" w:after="96"/>
              <w:rPr>
                <w:sz w:val="20"/>
                <w:szCs w:val="20"/>
              </w:rPr>
            </w:pPr>
            <w:r w:rsidRPr="001E0BE0">
              <w:rPr>
                <w:sz w:val="20"/>
              </w:rPr>
              <w:t>Bangladesh*</w:t>
            </w:r>
          </w:p>
        </w:tc>
        <w:tc>
          <w:tcPr>
            <w:tcW w:w="5245" w:type="dxa"/>
            <w:shd w:val="clear" w:color="auto" w:fill="FFFFFF" w:themeFill="background1"/>
            <w:vAlign w:val="center"/>
          </w:tcPr>
          <w:p w14:paraId="32F5C485" w14:textId="77777777" w:rsidR="00922075" w:rsidRPr="001E0BE0" w:rsidRDefault="00922075" w:rsidP="001E3343">
            <w:pPr>
              <w:pStyle w:val="1GAPara"/>
              <w:numPr>
                <w:ilvl w:val="0"/>
                <w:numId w:val="0"/>
              </w:numPr>
              <w:spacing w:before="40" w:afterLines="40" w:after="96"/>
              <w:rPr>
                <w:sz w:val="20"/>
                <w:szCs w:val="20"/>
              </w:rPr>
            </w:pPr>
            <w:r w:rsidRPr="001E0BE0">
              <w:rPr>
                <w:sz w:val="20"/>
              </w:rPr>
              <w:t>Mise en œuvre de festivals du patrimoine avec la participation des communautés dans huit divisions administratives du Bangladesh (n° 02226)</w:t>
            </w:r>
          </w:p>
        </w:tc>
        <w:tc>
          <w:tcPr>
            <w:tcW w:w="1984" w:type="dxa"/>
            <w:shd w:val="clear" w:color="auto" w:fill="FFFFFF" w:themeFill="background1"/>
            <w:vAlign w:val="center"/>
          </w:tcPr>
          <w:p w14:paraId="198102AD" w14:textId="77777777" w:rsidR="00922075" w:rsidRPr="001E0BE0" w:rsidRDefault="00922075" w:rsidP="001E3343">
            <w:pPr>
              <w:spacing w:before="40" w:afterLines="40" w:after="96"/>
              <w:rPr>
                <w:rFonts w:ascii="Arial" w:hAnsi="Arial" w:cs="Arial"/>
                <w:sz w:val="20"/>
              </w:rPr>
            </w:pPr>
            <w:hyperlink r:id="rId38" w:history="1">
              <w:r w:rsidRPr="001E0BE0">
                <w:rPr>
                  <w:rStyle w:val="Hyperlink"/>
                  <w:rFonts w:ascii="Arial" w:hAnsi="Arial" w:cs="Arial"/>
                  <w:sz w:val="20"/>
                </w:rPr>
                <w:t>19.COM 2.BUR 3.2</w:t>
              </w:r>
            </w:hyperlink>
          </w:p>
        </w:tc>
      </w:tr>
      <w:tr w:rsidR="00922075" w:rsidRPr="001E0BE0" w14:paraId="196ABF6E" w14:textId="77777777" w:rsidTr="002C4850">
        <w:tc>
          <w:tcPr>
            <w:tcW w:w="568" w:type="dxa"/>
            <w:shd w:val="clear" w:color="auto" w:fill="FFFFFF" w:themeFill="background1"/>
            <w:vAlign w:val="center"/>
          </w:tcPr>
          <w:p w14:paraId="7A0A0CC4"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6E98AA05" w14:textId="77777777" w:rsidR="00922075" w:rsidRPr="001E0BE0" w:rsidRDefault="00922075" w:rsidP="001E3343">
            <w:pPr>
              <w:pStyle w:val="1GAPara"/>
              <w:numPr>
                <w:ilvl w:val="0"/>
                <w:numId w:val="0"/>
              </w:numPr>
              <w:spacing w:before="40" w:afterLines="40" w:after="96"/>
              <w:rPr>
                <w:sz w:val="20"/>
                <w:szCs w:val="20"/>
              </w:rPr>
            </w:pPr>
            <w:r w:rsidRPr="001E0BE0">
              <w:rPr>
                <w:sz w:val="20"/>
              </w:rPr>
              <w:t>Belize*</w:t>
            </w:r>
          </w:p>
        </w:tc>
        <w:tc>
          <w:tcPr>
            <w:tcW w:w="5245" w:type="dxa"/>
            <w:shd w:val="clear" w:color="auto" w:fill="FFFFFF" w:themeFill="background1"/>
            <w:vAlign w:val="center"/>
          </w:tcPr>
          <w:p w14:paraId="71BF7487" w14:textId="77777777" w:rsidR="00922075" w:rsidRPr="001E0BE0" w:rsidRDefault="00922075" w:rsidP="001E3343">
            <w:pPr>
              <w:pStyle w:val="1GAPara"/>
              <w:numPr>
                <w:ilvl w:val="0"/>
                <w:numId w:val="0"/>
              </w:numPr>
              <w:spacing w:before="40" w:afterLines="40" w:after="96"/>
              <w:rPr>
                <w:sz w:val="20"/>
                <w:szCs w:val="20"/>
              </w:rPr>
            </w:pPr>
            <w:r w:rsidRPr="001E0BE0">
              <w:rPr>
                <w:sz w:val="20"/>
              </w:rPr>
              <w:t>Renforcement des communautés pour sauvegarder le patrimoine alimentaire du Belize : un projet d’inventaire basé sur les communautés pour le développement durable et la résilience aux catastrophes naturelles (n° 02127)</w:t>
            </w:r>
          </w:p>
        </w:tc>
        <w:tc>
          <w:tcPr>
            <w:tcW w:w="1984" w:type="dxa"/>
            <w:shd w:val="clear" w:color="auto" w:fill="FFFFFF" w:themeFill="background1"/>
            <w:vAlign w:val="center"/>
          </w:tcPr>
          <w:p w14:paraId="58E662D7" w14:textId="77777777" w:rsidR="00922075" w:rsidRPr="001E0BE0" w:rsidRDefault="00922075" w:rsidP="001E3343">
            <w:pPr>
              <w:spacing w:before="40" w:afterLines="40" w:after="96"/>
              <w:rPr>
                <w:rStyle w:val="Hyperlink"/>
                <w:rFonts w:ascii="Arial" w:hAnsi="Arial" w:cs="Arial"/>
                <w:snapToGrid w:val="0"/>
                <w:szCs w:val="22"/>
                <w:lang w:eastAsia="en-US"/>
              </w:rPr>
            </w:pPr>
            <w:hyperlink r:id="rId39" w:history="1">
              <w:r w:rsidRPr="001E0BE0">
                <w:rPr>
                  <w:rStyle w:val="Hyperlink"/>
                  <w:rFonts w:ascii="Arial" w:hAnsi="Arial" w:cs="Arial"/>
                  <w:sz w:val="20"/>
                </w:rPr>
                <w:t>19.COM 3.BUR 3.1</w:t>
              </w:r>
            </w:hyperlink>
          </w:p>
        </w:tc>
      </w:tr>
      <w:tr w:rsidR="00922075" w:rsidRPr="001E0BE0" w14:paraId="13BACFB9" w14:textId="77777777" w:rsidTr="002C4850">
        <w:tc>
          <w:tcPr>
            <w:tcW w:w="568" w:type="dxa"/>
            <w:shd w:val="clear" w:color="auto" w:fill="FFFFFF" w:themeFill="background1"/>
            <w:vAlign w:val="center"/>
          </w:tcPr>
          <w:p w14:paraId="2F3E92F6"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0E98C375" w14:textId="77777777" w:rsidR="00922075" w:rsidRPr="001E0BE0" w:rsidRDefault="00922075" w:rsidP="001E3343">
            <w:pPr>
              <w:pStyle w:val="1GAPara"/>
              <w:numPr>
                <w:ilvl w:val="0"/>
                <w:numId w:val="0"/>
              </w:numPr>
              <w:spacing w:before="40" w:afterLines="40" w:after="96"/>
              <w:rPr>
                <w:sz w:val="20"/>
                <w:szCs w:val="20"/>
                <w:lang w:val="es-ES"/>
              </w:rPr>
            </w:pPr>
            <w:r w:rsidRPr="001E0BE0">
              <w:rPr>
                <w:sz w:val="20"/>
                <w:szCs w:val="20"/>
                <w:lang w:val="es-ES"/>
              </w:rPr>
              <w:t>Belize, Costa Rica, Cuba, République dominicaine, El Salvador, Guatemala, Honduras, Nicaragua, Panama</w:t>
            </w:r>
          </w:p>
        </w:tc>
        <w:tc>
          <w:tcPr>
            <w:tcW w:w="5245" w:type="dxa"/>
            <w:shd w:val="clear" w:color="auto" w:fill="FFFFFF" w:themeFill="background1"/>
            <w:vAlign w:val="center"/>
          </w:tcPr>
          <w:p w14:paraId="158F1C0D" w14:textId="77777777" w:rsidR="00922075" w:rsidRPr="001E0BE0" w:rsidRDefault="00922075" w:rsidP="001E3343">
            <w:pPr>
              <w:pStyle w:val="1GAPara"/>
              <w:numPr>
                <w:ilvl w:val="0"/>
                <w:numId w:val="0"/>
              </w:numPr>
              <w:spacing w:before="40" w:afterLines="40" w:after="96"/>
              <w:rPr>
                <w:sz w:val="20"/>
                <w:szCs w:val="20"/>
              </w:rPr>
            </w:pPr>
            <w:r w:rsidRPr="001E0BE0">
              <w:rPr>
                <w:sz w:val="20"/>
              </w:rPr>
              <w:t xml:space="preserve">Partage d’expériences et échanges culturels sur la sauvegarde du patrimoine culturel immatériel des communautés </w:t>
            </w:r>
            <w:proofErr w:type="spellStart"/>
            <w:r w:rsidRPr="001E0BE0">
              <w:rPr>
                <w:sz w:val="20"/>
              </w:rPr>
              <w:t>afro-descendantes</w:t>
            </w:r>
            <w:proofErr w:type="spellEnd"/>
            <w:r w:rsidRPr="001E0BE0">
              <w:rPr>
                <w:sz w:val="20"/>
              </w:rPr>
              <w:t xml:space="preserve"> dans le cadre de la préparation des inventaires dans la région SICA et à Cuba (n° 02229)</w:t>
            </w:r>
          </w:p>
        </w:tc>
        <w:tc>
          <w:tcPr>
            <w:tcW w:w="1984" w:type="dxa"/>
            <w:shd w:val="clear" w:color="auto" w:fill="FFFFFF" w:themeFill="background1"/>
            <w:vAlign w:val="center"/>
          </w:tcPr>
          <w:p w14:paraId="2E33C935" w14:textId="77777777" w:rsidR="00922075" w:rsidRPr="001E0BE0" w:rsidRDefault="00922075" w:rsidP="001E3343">
            <w:pPr>
              <w:spacing w:before="40" w:afterLines="40" w:after="96"/>
              <w:rPr>
                <w:rStyle w:val="Hyperlink"/>
                <w:rFonts w:ascii="Arial" w:hAnsi="Arial" w:cs="Arial"/>
                <w:snapToGrid w:val="0"/>
                <w:szCs w:val="22"/>
                <w:lang w:eastAsia="en-US"/>
              </w:rPr>
            </w:pPr>
            <w:hyperlink r:id="rId40" w:history="1">
              <w:r w:rsidRPr="001E0BE0">
                <w:rPr>
                  <w:rStyle w:val="Hyperlink"/>
                  <w:rFonts w:ascii="Arial" w:hAnsi="Arial" w:cs="Arial"/>
                  <w:sz w:val="20"/>
                </w:rPr>
                <w:t>19.COM 2.BUR 3.3</w:t>
              </w:r>
            </w:hyperlink>
          </w:p>
        </w:tc>
      </w:tr>
      <w:tr w:rsidR="00922075" w:rsidRPr="001E0BE0" w14:paraId="7228B8E7" w14:textId="77777777" w:rsidTr="002C4850">
        <w:tc>
          <w:tcPr>
            <w:tcW w:w="568" w:type="dxa"/>
            <w:shd w:val="clear" w:color="auto" w:fill="FFFFFF" w:themeFill="background1"/>
            <w:vAlign w:val="center"/>
          </w:tcPr>
          <w:p w14:paraId="00BF9B0B"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51AB9643" w14:textId="77777777" w:rsidR="00922075" w:rsidRPr="001E0BE0" w:rsidRDefault="00922075" w:rsidP="001E3343">
            <w:pPr>
              <w:pStyle w:val="1GAPara"/>
              <w:numPr>
                <w:ilvl w:val="0"/>
                <w:numId w:val="0"/>
              </w:numPr>
              <w:spacing w:before="40" w:afterLines="40" w:after="96"/>
              <w:rPr>
                <w:sz w:val="20"/>
                <w:szCs w:val="20"/>
              </w:rPr>
            </w:pPr>
            <w:r w:rsidRPr="001E0BE0">
              <w:rPr>
                <w:sz w:val="20"/>
              </w:rPr>
              <w:t>Cameroun*</w:t>
            </w:r>
          </w:p>
        </w:tc>
        <w:tc>
          <w:tcPr>
            <w:tcW w:w="5245" w:type="dxa"/>
            <w:shd w:val="clear" w:color="auto" w:fill="FFFFFF" w:themeFill="background1"/>
            <w:vAlign w:val="center"/>
          </w:tcPr>
          <w:p w14:paraId="3EB07B0E" w14:textId="77777777" w:rsidR="00922075" w:rsidRPr="001E0BE0" w:rsidRDefault="00922075" w:rsidP="001E3343">
            <w:pPr>
              <w:spacing w:before="40" w:afterLines="40" w:after="96"/>
              <w:rPr>
                <w:rFonts w:ascii="Arial" w:hAnsi="Arial" w:cs="Arial"/>
                <w:b/>
                <w:bCs/>
                <w:sz w:val="20"/>
                <w:u w:val="single"/>
              </w:rPr>
            </w:pPr>
            <w:r w:rsidRPr="001E0BE0">
              <w:rPr>
                <w:rFonts w:ascii="Arial" w:hAnsi="Arial" w:cs="Arial"/>
                <w:sz w:val="20"/>
              </w:rPr>
              <w:t>Inventaire pilote du patrimoine culturel immatériel dans les dix départements de la région du Centre au Cameroun (n° 01622)</w:t>
            </w:r>
          </w:p>
        </w:tc>
        <w:tc>
          <w:tcPr>
            <w:tcW w:w="1984" w:type="dxa"/>
            <w:shd w:val="clear" w:color="auto" w:fill="FFFFFF" w:themeFill="background1"/>
            <w:vAlign w:val="center"/>
          </w:tcPr>
          <w:p w14:paraId="136DB0EA" w14:textId="77777777" w:rsidR="00922075" w:rsidRPr="001E0BE0" w:rsidRDefault="00922075" w:rsidP="001E3343">
            <w:pPr>
              <w:spacing w:before="40" w:afterLines="40" w:after="96"/>
              <w:rPr>
                <w:rStyle w:val="Hyperlink"/>
                <w:rFonts w:ascii="Arial" w:hAnsi="Arial" w:cs="Arial"/>
              </w:rPr>
            </w:pPr>
            <w:hyperlink r:id="rId41" w:history="1">
              <w:r w:rsidRPr="001E0BE0">
                <w:rPr>
                  <w:rStyle w:val="Hyperlink"/>
                  <w:rFonts w:ascii="Arial" w:hAnsi="Arial" w:cs="Arial"/>
                  <w:sz w:val="20"/>
                </w:rPr>
                <w:t>18.COM 3.BUR 3.1</w:t>
              </w:r>
            </w:hyperlink>
          </w:p>
        </w:tc>
      </w:tr>
      <w:tr w:rsidR="00922075" w:rsidRPr="001E0BE0" w14:paraId="4CBBD77C" w14:textId="77777777" w:rsidTr="002C4850">
        <w:tc>
          <w:tcPr>
            <w:tcW w:w="568" w:type="dxa"/>
            <w:shd w:val="clear" w:color="auto" w:fill="FFFFFF" w:themeFill="background1"/>
            <w:vAlign w:val="center"/>
          </w:tcPr>
          <w:p w14:paraId="1F4A6317"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03C835DC" w14:textId="77777777" w:rsidR="00922075" w:rsidRPr="001E0BE0" w:rsidRDefault="00922075" w:rsidP="001E3343">
            <w:pPr>
              <w:pStyle w:val="1GAPara"/>
              <w:numPr>
                <w:ilvl w:val="0"/>
                <w:numId w:val="0"/>
              </w:numPr>
              <w:spacing w:before="40" w:afterLines="40" w:after="96"/>
              <w:rPr>
                <w:sz w:val="20"/>
                <w:szCs w:val="20"/>
              </w:rPr>
            </w:pPr>
            <w:r w:rsidRPr="001E0BE0">
              <w:rPr>
                <w:sz w:val="20"/>
              </w:rPr>
              <w:t>République centrafricaine*</w:t>
            </w:r>
          </w:p>
        </w:tc>
        <w:tc>
          <w:tcPr>
            <w:tcW w:w="5245" w:type="dxa"/>
            <w:shd w:val="clear" w:color="auto" w:fill="FFFFFF" w:themeFill="background1"/>
            <w:vAlign w:val="center"/>
          </w:tcPr>
          <w:p w14:paraId="32C6FDDB" w14:textId="77777777" w:rsidR="00922075" w:rsidRPr="001E0BE0" w:rsidRDefault="00922075" w:rsidP="001E3343">
            <w:pPr>
              <w:spacing w:before="40" w:afterLines="40" w:after="96"/>
              <w:rPr>
                <w:rFonts w:ascii="Arial" w:hAnsi="Arial" w:cs="Arial"/>
                <w:sz w:val="20"/>
              </w:rPr>
            </w:pPr>
            <w:r w:rsidRPr="001E0BE0">
              <w:rPr>
                <w:rFonts w:ascii="Arial" w:hAnsi="Arial" w:cs="Arial"/>
                <w:sz w:val="20"/>
              </w:rPr>
              <w:t xml:space="preserve">Inventaire pilote du patrimoine culturel immatériel des communautés de la préfecture forestière de </w:t>
            </w:r>
            <w:proofErr w:type="spellStart"/>
            <w:r w:rsidRPr="001E0BE0">
              <w:rPr>
                <w:rFonts w:ascii="Arial" w:hAnsi="Arial" w:cs="Arial"/>
                <w:sz w:val="20"/>
              </w:rPr>
              <w:t>Lobaye</w:t>
            </w:r>
            <w:proofErr w:type="spellEnd"/>
            <w:r w:rsidRPr="001E0BE0">
              <w:rPr>
                <w:rFonts w:ascii="Arial" w:hAnsi="Arial" w:cs="Arial"/>
                <w:sz w:val="20"/>
              </w:rPr>
              <w:t xml:space="preserve"> (n° 01931)</w:t>
            </w:r>
          </w:p>
        </w:tc>
        <w:tc>
          <w:tcPr>
            <w:tcW w:w="1984" w:type="dxa"/>
            <w:shd w:val="clear" w:color="auto" w:fill="FFFFFF" w:themeFill="background1"/>
            <w:vAlign w:val="center"/>
          </w:tcPr>
          <w:p w14:paraId="17059899" w14:textId="77777777" w:rsidR="00922075" w:rsidRPr="001E0BE0" w:rsidRDefault="00922075" w:rsidP="001E3343">
            <w:pPr>
              <w:spacing w:before="40" w:afterLines="40" w:after="96"/>
              <w:rPr>
                <w:rStyle w:val="Hyperlink"/>
                <w:rFonts w:ascii="Arial" w:hAnsi="Arial" w:cs="Arial"/>
              </w:rPr>
            </w:pPr>
            <w:hyperlink r:id="rId42" w:history="1">
              <w:r w:rsidRPr="001E0BE0">
                <w:rPr>
                  <w:rStyle w:val="Hyperlink"/>
                  <w:rFonts w:ascii="Arial" w:hAnsi="Arial" w:cs="Arial"/>
                  <w:sz w:val="20"/>
                </w:rPr>
                <w:t>18.COM 1.BUR 4.2</w:t>
              </w:r>
            </w:hyperlink>
          </w:p>
        </w:tc>
      </w:tr>
      <w:tr w:rsidR="00922075" w:rsidRPr="001E0BE0" w14:paraId="417C4ECD" w14:textId="77777777" w:rsidTr="002C4850">
        <w:tc>
          <w:tcPr>
            <w:tcW w:w="568" w:type="dxa"/>
            <w:shd w:val="clear" w:color="auto" w:fill="FFFFFF" w:themeFill="background1"/>
            <w:vAlign w:val="center"/>
          </w:tcPr>
          <w:p w14:paraId="5D4688D6"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75FC5CF2" w14:textId="77777777" w:rsidR="00922075" w:rsidRPr="001E0BE0" w:rsidRDefault="00922075" w:rsidP="001E3343">
            <w:pPr>
              <w:pStyle w:val="1GAPara"/>
              <w:numPr>
                <w:ilvl w:val="0"/>
                <w:numId w:val="0"/>
              </w:numPr>
              <w:spacing w:before="40" w:afterLines="40" w:after="96"/>
              <w:rPr>
                <w:sz w:val="20"/>
                <w:szCs w:val="20"/>
              </w:rPr>
            </w:pPr>
            <w:r w:rsidRPr="001E0BE0">
              <w:rPr>
                <w:sz w:val="20"/>
              </w:rPr>
              <w:t>Côte d’Ivoire</w:t>
            </w:r>
          </w:p>
        </w:tc>
        <w:tc>
          <w:tcPr>
            <w:tcW w:w="5245" w:type="dxa"/>
            <w:shd w:val="clear" w:color="auto" w:fill="FFFFFF" w:themeFill="background1"/>
            <w:vAlign w:val="center"/>
          </w:tcPr>
          <w:p w14:paraId="6D869CA2" w14:textId="77777777" w:rsidR="00922075" w:rsidRPr="001E0BE0" w:rsidRDefault="00922075" w:rsidP="001E3343">
            <w:pPr>
              <w:pStyle w:val="1GAPara"/>
              <w:numPr>
                <w:ilvl w:val="0"/>
                <w:numId w:val="0"/>
              </w:numPr>
              <w:spacing w:before="40" w:afterLines="40" w:after="96"/>
              <w:rPr>
                <w:sz w:val="20"/>
                <w:szCs w:val="20"/>
              </w:rPr>
            </w:pPr>
            <w:r w:rsidRPr="001E0BE0">
              <w:rPr>
                <w:sz w:val="20"/>
              </w:rPr>
              <w:t xml:space="preserve">Sauvegarde et valorisation du </w:t>
            </w:r>
            <w:proofErr w:type="spellStart"/>
            <w:r w:rsidRPr="001E0BE0">
              <w:rPr>
                <w:sz w:val="20"/>
              </w:rPr>
              <w:t>Gbofé</w:t>
            </w:r>
            <w:proofErr w:type="spellEnd"/>
            <w:r w:rsidRPr="001E0BE0">
              <w:rPr>
                <w:sz w:val="20"/>
              </w:rPr>
              <w:t xml:space="preserve"> (n° 02204)</w:t>
            </w:r>
          </w:p>
        </w:tc>
        <w:tc>
          <w:tcPr>
            <w:tcW w:w="1984" w:type="dxa"/>
            <w:shd w:val="clear" w:color="auto" w:fill="FFFFFF" w:themeFill="background1"/>
            <w:vAlign w:val="center"/>
          </w:tcPr>
          <w:p w14:paraId="6033E245" w14:textId="77777777" w:rsidR="00922075" w:rsidRPr="001E0BE0" w:rsidRDefault="00922075" w:rsidP="001E3343">
            <w:pPr>
              <w:spacing w:before="40" w:afterLines="40" w:after="96"/>
              <w:rPr>
                <w:rStyle w:val="Hyperlink"/>
                <w:rFonts w:ascii="Arial" w:hAnsi="Arial" w:cs="Arial"/>
                <w:snapToGrid w:val="0"/>
                <w:szCs w:val="22"/>
                <w:lang w:eastAsia="en-US"/>
              </w:rPr>
            </w:pPr>
            <w:hyperlink r:id="rId43" w:history="1">
              <w:r w:rsidRPr="001E0BE0">
                <w:rPr>
                  <w:rStyle w:val="Hyperlink"/>
                  <w:rFonts w:ascii="Arial" w:hAnsi="Arial" w:cs="Arial"/>
                  <w:sz w:val="20"/>
                </w:rPr>
                <w:t>19.COM 1.BUR 4.1</w:t>
              </w:r>
            </w:hyperlink>
          </w:p>
        </w:tc>
      </w:tr>
      <w:tr w:rsidR="00922075" w:rsidRPr="001E0BE0" w14:paraId="4AE544EC" w14:textId="77777777" w:rsidTr="002C4850">
        <w:tc>
          <w:tcPr>
            <w:tcW w:w="568" w:type="dxa"/>
            <w:shd w:val="clear" w:color="auto" w:fill="FFFFFF" w:themeFill="background1"/>
            <w:vAlign w:val="center"/>
          </w:tcPr>
          <w:p w14:paraId="58E7F13A"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551E2758" w14:textId="77777777" w:rsidR="00922075" w:rsidRPr="001E0BE0" w:rsidRDefault="00922075" w:rsidP="001E3343">
            <w:pPr>
              <w:pStyle w:val="1GAPara"/>
              <w:numPr>
                <w:ilvl w:val="0"/>
                <w:numId w:val="0"/>
              </w:numPr>
              <w:spacing w:before="40" w:afterLines="40" w:after="96"/>
              <w:rPr>
                <w:sz w:val="20"/>
                <w:szCs w:val="20"/>
              </w:rPr>
            </w:pPr>
            <w:r w:rsidRPr="001E0BE0">
              <w:rPr>
                <w:sz w:val="20"/>
              </w:rPr>
              <w:t>République populaire démocratique de Corée</w:t>
            </w:r>
          </w:p>
        </w:tc>
        <w:tc>
          <w:tcPr>
            <w:tcW w:w="5245" w:type="dxa"/>
            <w:shd w:val="clear" w:color="auto" w:fill="FFFFFF" w:themeFill="background1"/>
            <w:vAlign w:val="center"/>
          </w:tcPr>
          <w:p w14:paraId="00D83CAE" w14:textId="77777777" w:rsidR="00922075" w:rsidRPr="001E0BE0" w:rsidRDefault="00922075" w:rsidP="001E3343">
            <w:pPr>
              <w:pStyle w:val="1GAPara"/>
              <w:numPr>
                <w:ilvl w:val="0"/>
                <w:numId w:val="0"/>
              </w:numPr>
              <w:spacing w:before="40" w:afterLines="40" w:after="96"/>
              <w:rPr>
                <w:sz w:val="20"/>
                <w:szCs w:val="20"/>
              </w:rPr>
            </w:pPr>
            <w:r w:rsidRPr="001E0BE0">
              <w:rPr>
                <w:sz w:val="20"/>
              </w:rPr>
              <w:t>Renforcement des capacités liées à la technique traditionnelle de fabrication du céladon de Goryeo (n° 01619)</w:t>
            </w:r>
          </w:p>
        </w:tc>
        <w:tc>
          <w:tcPr>
            <w:tcW w:w="1984" w:type="dxa"/>
            <w:shd w:val="clear" w:color="auto" w:fill="FFFFFF" w:themeFill="background1"/>
            <w:vAlign w:val="center"/>
          </w:tcPr>
          <w:p w14:paraId="029C8D4C" w14:textId="77777777" w:rsidR="00922075" w:rsidRPr="001E0BE0" w:rsidRDefault="00922075" w:rsidP="001E3343">
            <w:pPr>
              <w:spacing w:before="40" w:afterLines="40" w:after="96"/>
              <w:rPr>
                <w:rFonts w:ascii="Arial" w:hAnsi="Arial" w:cs="Arial"/>
                <w:sz w:val="20"/>
              </w:rPr>
            </w:pPr>
            <w:hyperlink r:id="rId44" w:history="1">
              <w:r w:rsidRPr="001E0BE0">
                <w:rPr>
                  <w:rStyle w:val="Hyperlink"/>
                  <w:rFonts w:ascii="Arial" w:hAnsi="Arial" w:cs="Arial"/>
                  <w:sz w:val="20"/>
                </w:rPr>
                <w:t>17.COM 4.BUR 3.4</w:t>
              </w:r>
            </w:hyperlink>
          </w:p>
        </w:tc>
      </w:tr>
      <w:tr w:rsidR="00922075" w:rsidRPr="001E0BE0" w14:paraId="42796D4E" w14:textId="77777777" w:rsidTr="002C4850">
        <w:trPr>
          <w:trHeight w:val="400"/>
        </w:trPr>
        <w:tc>
          <w:tcPr>
            <w:tcW w:w="568" w:type="dxa"/>
            <w:shd w:val="clear" w:color="auto" w:fill="FFFFFF" w:themeFill="background1"/>
            <w:vAlign w:val="center"/>
          </w:tcPr>
          <w:p w14:paraId="5891EC6E"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71282F9E" w14:textId="77777777" w:rsidR="00922075" w:rsidRPr="001E0BE0" w:rsidRDefault="00922075" w:rsidP="001E3343">
            <w:pPr>
              <w:pStyle w:val="1GAPara"/>
              <w:numPr>
                <w:ilvl w:val="0"/>
                <w:numId w:val="0"/>
              </w:numPr>
              <w:spacing w:before="40" w:afterLines="40" w:after="96"/>
              <w:rPr>
                <w:sz w:val="20"/>
                <w:szCs w:val="20"/>
              </w:rPr>
            </w:pPr>
            <w:r w:rsidRPr="001E0BE0">
              <w:rPr>
                <w:sz w:val="20"/>
              </w:rPr>
              <w:t>République dominicaine*</w:t>
            </w:r>
          </w:p>
        </w:tc>
        <w:tc>
          <w:tcPr>
            <w:tcW w:w="5245" w:type="dxa"/>
            <w:shd w:val="clear" w:color="auto" w:fill="FFFFFF" w:themeFill="background1"/>
            <w:vAlign w:val="center"/>
          </w:tcPr>
          <w:p w14:paraId="2DB7C3AD" w14:textId="77777777" w:rsidR="00922075" w:rsidRPr="001E0BE0" w:rsidRDefault="00922075" w:rsidP="001E3343">
            <w:pPr>
              <w:pStyle w:val="1GAPara"/>
              <w:numPr>
                <w:ilvl w:val="0"/>
                <w:numId w:val="0"/>
              </w:numPr>
              <w:spacing w:before="40" w:afterLines="40" w:after="96"/>
              <w:rPr>
                <w:sz w:val="20"/>
                <w:szCs w:val="20"/>
              </w:rPr>
            </w:pPr>
            <w:r w:rsidRPr="001E0BE0">
              <w:rPr>
                <w:sz w:val="20"/>
              </w:rPr>
              <w:t xml:space="preserve">Renforcement des capacités de la Fraternité du Saint-Esprit des </w:t>
            </w:r>
            <w:proofErr w:type="spellStart"/>
            <w:r w:rsidRPr="001E0BE0">
              <w:rPr>
                <w:sz w:val="20"/>
              </w:rPr>
              <w:t>congos</w:t>
            </w:r>
            <w:proofErr w:type="spellEnd"/>
            <w:r w:rsidRPr="001E0BE0">
              <w:rPr>
                <w:sz w:val="20"/>
              </w:rPr>
              <w:t xml:space="preserve"> de Villa Mella et de La tradition du théâtre dansé </w:t>
            </w:r>
            <w:proofErr w:type="spellStart"/>
            <w:r w:rsidRPr="001E0BE0">
              <w:rPr>
                <w:sz w:val="20"/>
              </w:rPr>
              <w:t>Cocolo</w:t>
            </w:r>
            <w:proofErr w:type="spellEnd"/>
            <w:r w:rsidRPr="001E0BE0">
              <w:rPr>
                <w:sz w:val="20"/>
              </w:rPr>
              <w:t xml:space="preserve"> de San Pedro de Macorís afin de sauvegarder leur patrimoine (n° 02003)</w:t>
            </w:r>
          </w:p>
        </w:tc>
        <w:tc>
          <w:tcPr>
            <w:tcW w:w="1984" w:type="dxa"/>
            <w:shd w:val="clear" w:color="auto" w:fill="FFFFFF" w:themeFill="background1"/>
            <w:vAlign w:val="center"/>
          </w:tcPr>
          <w:p w14:paraId="7DDA8050" w14:textId="77777777" w:rsidR="00922075" w:rsidRPr="001E0BE0" w:rsidRDefault="00922075" w:rsidP="001E3343">
            <w:pPr>
              <w:spacing w:before="40" w:afterLines="40" w:after="96"/>
              <w:rPr>
                <w:rFonts w:ascii="Arial" w:hAnsi="Arial" w:cs="Arial"/>
                <w:sz w:val="20"/>
              </w:rPr>
            </w:pPr>
            <w:hyperlink r:id="rId45" w:history="1">
              <w:r w:rsidRPr="001E0BE0">
                <w:rPr>
                  <w:rStyle w:val="Hyperlink"/>
                  <w:rFonts w:ascii="Arial" w:hAnsi="Arial" w:cs="Arial"/>
                  <w:sz w:val="20"/>
                </w:rPr>
                <w:t>17.COM 4.BUR 3.2</w:t>
              </w:r>
            </w:hyperlink>
          </w:p>
        </w:tc>
      </w:tr>
      <w:tr w:rsidR="00922075" w:rsidRPr="001E0BE0" w14:paraId="5836E09F" w14:textId="77777777" w:rsidTr="002C4850">
        <w:trPr>
          <w:trHeight w:val="400"/>
        </w:trPr>
        <w:tc>
          <w:tcPr>
            <w:tcW w:w="568" w:type="dxa"/>
            <w:shd w:val="clear" w:color="auto" w:fill="FFFFFF" w:themeFill="background1"/>
            <w:vAlign w:val="center"/>
          </w:tcPr>
          <w:p w14:paraId="47632712"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41DEC04B" w14:textId="77777777" w:rsidR="00922075" w:rsidRPr="001E0BE0" w:rsidRDefault="00922075" w:rsidP="001E3343">
            <w:pPr>
              <w:pStyle w:val="1GAPara"/>
              <w:numPr>
                <w:ilvl w:val="0"/>
                <w:numId w:val="0"/>
              </w:numPr>
              <w:spacing w:before="40" w:afterLines="40" w:after="96"/>
              <w:rPr>
                <w:sz w:val="20"/>
              </w:rPr>
            </w:pPr>
            <w:r w:rsidRPr="001E0BE0">
              <w:rPr>
                <w:sz w:val="20"/>
              </w:rPr>
              <w:t>Égypte</w:t>
            </w:r>
          </w:p>
        </w:tc>
        <w:tc>
          <w:tcPr>
            <w:tcW w:w="5245" w:type="dxa"/>
            <w:shd w:val="clear" w:color="auto" w:fill="FFFFFF" w:themeFill="background1"/>
            <w:vAlign w:val="center"/>
          </w:tcPr>
          <w:p w14:paraId="1983E686" w14:textId="77777777" w:rsidR="00922075" w:rsidRPr="001E0BE0" w:rsidRDefault="00922075" w:rsidP="001E3343">
            <w:pPr>
              <w:pStyle w:val="1GAPara"/>
              <w:numPr>
                <w:ilvl w:val="0"/>
                <w:numId w:val="0"/>
              </w:numPr>
              <w:spacing w:before="40" w:afterLines="40" w:after="96"/>
              <w:rPr>
                <w:sz w:val="20"/>
              </w:rPr>
            </w:pPr>
            <w:r w:rsidRPr="001E0BE0">
              <w:rPr>
                <w:sz w:val="20"/>
              </w:rPr>
              <w:t>Sauvegarde et renforcement des capacités pour le patrimoine culturel immatériel des marionnettes à gaine traditionnelles Al-</w:t>
            </w:r>
            <w:proofErr w:type="spellStart"/>
            <w:r w:rsidRPr="001E0BE0">
              <w:rPr>
                <w:sz w:val="20"/>
              </w:rPr>
              <w:t>Aragoz</w:t>
            </w:r>
            <w:proofErr w:type="spellEnd"/>
            <w:r w:rsidRPr="001E0BE0">
              <w:rPr>
                <w:sz w:val="20"/>
              </w:rPr>
              <w:t xml:space="preserve"> en Égypte (n° 2460)</w:t>
            </w:r>
          </w:p>
        </w:tc>
        <w:tc>
          <w:tcPr>
            <w:tcW w:w="1984" w:type="dxa"/>
            <w:shd w:val="clear" w:color="auto" w:fill="FFFFFF" w:themeFill="background1"/>
            <w:vAlign w:val="center"/>
          </w:tcPr>
          <w:p w14:paraId="742F5E05" w14:textId="77777777" w:rsidR="00922075" w:rsidRPr="001E0BE0" w:rsidRDefault="00922075" w:rsidP="001E3343">
            <w:pPr>
              <w:spacing w:before="40" w:afterLines="40" w:after="96"/>
              <w:rPr>
                <w:rFonts w:ascii="Arial" w:hAnsi="Arial" w:cs="Arial"/>
                <w:sz w:val="20"/>
              </w:rPr>
            </w:pPr>
            <w:hyperlink r:id="rId46" w:history="1">
              <w:r w:rsidRPr="001E0BE0">
                <w:rPr>
                  <w:rStyle w:val="Hyperlink"/>
                  <w:rFonts w:ascii="Arial" w:hAnsi="Arial" w:cs="Arial"/>
                  <w:sz w:val="20"/>
                </w:rPr>
                <w:t>20.COM 4.BUR 3.1</w:t>
              </w:r>
            </w:hyperlink>
          </w:p>
        </w:tc>
      </w:tr>
      <w:tr w:rsidR="00922075" w:rsidRPr="001E0BE0" w14:paraId="1F5E99BE" w14:textId="77777777" w:rsidTr="002C4850">
        <w:tc>
          <w:tcPr>
            <w:tcW w:w="568" w:type="dxa"/>
            <w:shd w:val="clear" w:color="auto" w:fill="FFFFFF" w:themeFill="background1"/>
            <w:vAlign w:val="center"/>
          </w:tcPr>
          <w:p w14:paraId="4C5428E0"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53B0EF8B" w14:textId="77777777" w:rsidR="00922075" w:rsidRPr="001E0BE0" w:rsidRDefault="00922075" w:rsidP="001E3343">
            <w:pPr>
              <w:pStyle w:val="1GAPara"/>
              <w:numPr>
                <w:ilvl w:val="0"/>
                <w:numId w:val="0"/>
              </w:numPr>
              <w:spacing w:before="40" w:afterLines="40" w:after="96"/>
              <w:rPr>
                <w:sz w:val="20"/>
                <w:szCs w:val="20"/>
              </w:rPr>
            </w:pPr>
            <w:r w:rsidRPr="001E0BE0">
              <w:rPr>
                <w:sz w:val="20"/>
              </w:rPr>
              <w:t>Guinée équatoriale*</w:t>
            </w:r>
          </w:p>
        </w:tc>
        <w:tc>
          <w:tcPr>
            <w:tcW w:w="5245" w:type="dxa"/>
            <w:shd w:val="clear" w:color="auto" w:fill="FFFFFF" w:themeFill="background1"/>
            <w:vAlign w:val="center"/>
          </w:tcPr>
          <w:p w14:paraId="45E27CFD" w14:textId="77777777" w:rsidR="00922075" w:rsidRPr="001E0BE0" w:rsidRDefault="00922075" w:rsidP="001E3343">
            <w:pPr>
              <w:pStyle w:val="1GAPara"/>
              <w:numPr>
                <w:ilvl w:val="0"/>
                <w:numId w:val="0"/>
              </w:numPr>
              <w:spacing w:before="40" w:afterLines="40" w:after="96"/>
              <w:rPr>
                <w:sz w:val="20"/>
                <w:szCs w:val="20"/>
              </w:rPr>
            </w:pPr>
            <w:r w:rsidRPr="001E0BE0">
              <w:rPr>
                <w:sz w:val="20"/>
              </w:rPr>
              <w:t>Mise en œuvre d’un plan de sauvegarde du patrimoine culturel immatériel en Guinée équatoriale : formation et inventaire pilote des danses traditionnelles (n° 02147)</w:t>
            </w:r>
          </w:p>
        </w:tc>
        <w:tc>
          <w:tcPr>
            <w:tcW w:w="1984" w:type="dxa"/>
            <w:shd w:val="clear" w:color="auto" w:fill="FFFFFF" w:themeFill="background1"/>
            <w:vAlign w:val="center"/>
          </w:tcPr>
          <w:p w14:paraId="1CE1D96B" w14:textId="77777777" w:rsidR="00922075" w:rsidRPr="001E0BE0" w:rsidRDefault="00922075" w:rsidP="001E3343">
            <w:pPr>
              <w:spacing w:before="40" w:afterLines="40" w:after="96"/>
              <w:rPr>
                <w:rFonts w:ascii="Arial" w:hAnsi="Arial" w:cs="Arial"/>
                <w:sz w:val="20"/>
              </w:rPr>
            </w:pPr>
            <w:hyperlink r:id="rId47" w:history="1">
              <w:r w:rsidRPr="001E0BE0">
                <w:rPr>
                  <w:rStyle w:val="Hyperlink"/>
                  <w:rFonts w:ascii="Arial" w:hAnsi="Arial" w:cs="Arial"/>
                  <w:sz w:val="20"/>
                </w:rPr>
                <w:t>19.COM 3.BUR 3.2</w:t>
              </w:r>
            </w:hyperlink>
          </w:p>
        </w:tc>
      </w:tr>
      <w:tr w:rsidR="00922075" w:rsidRPr="001E0BE0" w14:paraId="6AE125EB" w14:textId="77777777" w:rsidTr="002C4850">
        <w:tc>
          <w:tcPr>
            <w:tcW w:w="568" w:type="dxa"/>
            <w:shd w:val="clear" w:color="auto" w:fill="FFFFFF" w:themeFill="background1"/>
            <w:vAlign w:val="center"/>
          </w:tcPr>
          <w:p w14:paraId="0B3CC686"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3598B482" w14:textId="77777777" w:rsidR="00922075" w:rsidRPr="001E0BE0" w:rsidRDefault="00922075" w:rsidP="001E3343">
            <w:pPr>
              <w:pStyle w:val="1GAPara"/>
              <w:numPr>
                <w:ilvl w:val="0"/>
                <w:numId w:val="0"/>
              </w:numPr>
              <w:spacing w:before="40" w:afterLines="40" w:after="96"/>
              <w:rPr>
                <w:sz w:val="20"/>
                <w:szCs w:val="20"/>
              </w:rPr>
            </w:pPr>
            <w:r w:rsidRPr="001E0BE0">
              <w:rPr>
                <w:sz w:val="20"/>
              </w:rPr>
              <w:t>Gambie*</w:t>
            </w:r>
          </w:p>
        </w:tc>
        <w:tc>
          <w:tcPr>
            <w:tcW w:w="5245" w:type="dxa"/>
            <w:shd w:val="clear" w:color="auto" w:fill="FFFFFF" w:themeFill="background1"/>
            <w:vAlign w:val="center"/>
          </w:tcPr>
          <w:p w14:paraId="3E51B10C" w14:textId="77777777" w:rsidR="00922075" w:rsidRPr="001E0BE0" w:rsidRDefault="00922075" w:rsidP="001E3343">
            <w:pPr>
              <w:pStyle w:val="1GAPara"/>
              <w:numPr>
                <w:ilvl w:val="0"/>
                <w:numId w:val="0"/>
              </w:numPr>
              <w:spacing w:before="40" w:afterLines="40" w:after="96"/>
              <w:rPr>
                <w:sz w:val="20"/>
                <w:szCs w:val="20"/>
              </w:rPr>
            </w:pPr>
            <w:r w:rsidRPr="001E0BE0">
              <w:rPr>
                <w:sz w:val="20"/>
              </w:rPr>
              <w:t>Renforcement des capacités en matière d’inventaire et de sauvegarde et sensibilisation au patrimoine culturel immatériel en Gambie (n° 02344)</w:t>
            </w:r>
          </w:p>
        </w:tc>
        <w:tc>
          <w:tcPr>
            <w:tcW w:w="1984" w:type="dxa"/>
            <w:shd w:val="clear" w:color="auto" w:fill="FFFFFF" w:themeFill="background1"/>
            <w:vAlign w:val="center"/>
          </w:tcPr>
          <w:p w14:paraId="5F0200AF" w14:textId="77777777" w:rsidR="00922075" w:rsidRPr="001E0BE0" w:rsidRDefault="00922075" w:rsidP="001E3343">
            <w:pPr>
              <w:spacing w:before="40" w:afterLines="40" w:after="96"/>
              <w:rPr>
                <w:rFonts w:ascii="Arial" w:hAnsi="Arial" w:cs="Arial"/>
                <w:sz w:val="20"/>
              </w:rPr>
            </w:pPr>
            <w:hyperlink r:id="rId48" w:history="1">
              <w:r w:rsidRPr="001E0BE0">
                <w:rPr>
                  <w:rStyle w:val="Hyperlink"/>
                  <w:rFonts w:ascii="Arial" w:hAnsi="Arial" w:cs="Arial"/>
                  <w:sz w:val="20"/>
                </w:rPr>
                <w:t>19.COM 3.BUR 3.3</w:t>
              </w:r>
            </w:hyperlink>
          </w:p>
        </w:tc>
      </w:tr>
      <w:tr w:rsidR="00922075" w:rsidRPr="001E0BE0" w14:paraId="13FFA43C" w14:textId="77777777" w:rsidTr="002C4850">
        <w:trPr>
          <w:trHeight w:val="439"/>
        </w:trPr>
        <w:tc>
          <w:tcPr>
            <w:tcW w:w="568" w:type="dxa"/>
            <w:shd w:val="clear" w:color="auto" w:fill="FFFFFF" w:themeFill="background1"/>
            <w:vAlign w:val="center"/>
          </w:tcPr>
          <w:p w14:paraId="5A789B3C"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5FE8382B" w14:textId="77777777" w:rsidR="00922075" w:rsidRPr="001E0BE0" w:rsidRDefault="00922075" w:rsidP="001E3343">
            <w:pPr>
              <w:pStyle w:val="1GAPara"/>
              <w:numPr>
                <w:ilvl w:val="0"/>
                <w:numId w:val="0"/>
              </w:numPr>
              <w:spacing w:before="40" w:afterLines="40" w:after="96"/>
              <w:rPr>
                <w:sz w:val="20"/>
                <w:szCs w:val="20"/>
              </w:rPr>
            </w:pPr>
            <w:r w:rsidRPr="001E0BE0">
              <w:rPr>
                <w:sz w:val="20"/>
              </w:rPr>
              <w:t>Haïti</w:t>
            </w:r>
          </w:p>
        </w:tc>
        <w:tc>
          <w:tcPr>
            <w:tcW w:w="5245" w:type="dxa"/>
            <w:shd w:val="clear" w:color="auto" w:fill="FFFFFF" w:themeFill="background1"/>
            <w:vAlign w:val="center"/>
          </w:tcPr>
          <w:p w14:paraId="6ABFAE9F" w14:textId="77777777" w:rsidR="00922075" w:rsidRPr="001E0BE0" w:rsidRDefault="00922075" w:rsidP="001E3343">
            <w:pPr>
              <w:pStyle w:val="1GAPara"/>
              <w:numPr>
                <w:ilvl w:val="0"/>
                <w:numId w:val="0"/>
              </w:numPr>
              <w:spacing w:before="40" w:afterLines="40" w:after="96"/>
              <w:rPr>
                <w:b/>
                <w:bCs/>
                <w:sz w:val="20"/>
                <w:szCs w:val="20"/>
                <w:u w:val="single"/>
              </w:rPr>
            </w:pPr>
            <w:r w:rsidRPr="001E0BE0">
              <w:rPr>
                <w:sz w:val="20"/>
                <w:shd w:val="clear" w:color="auto" w:fill="FAFAFA"/>
              </w:rPr>
              <w:t>Soutenir la communauté des artistes et artisans du village de Noailles pour sauvegarder le patrimoine culturel immatériel du métal découpé dans le contexte de crise sécuritaire et pour la résilience en Haïti (n° 02049)</w:t>
            </w:r>
          </w:p>
        </w:tc>
        <w:tc>
          <w:tcPr>
            <w:tcW w:w="1984" w:type="dxa"/>
            <w:shd w:val="clear" w:color="auto" w:fill="FFFFFF" w:themeFill="background1"/>
            <w:vAlign w:val="center"/>
          </w:tcPr>
          <w:p w14:paraId="569B0445" w14:textId="77777777" w:rsidR="00922075" w:rsidRPr="001E0BE0" w:rsidRDefault="00922075" w:rsidP="001E3343">
            <w:pPr>
              <w:spacing w:before="40" w:afterLines="40" w:after="96"/>
              <w:rPr>
                <w:rFonts w:ascii="Arial" w:hAnsi="Arial" w:cs="Arial"/>
                <w:color w:val="0563C1"/>
                <w:sz w:val="20"/>
                <w:u w:val="single"/>
              </w:rPr>
            </w:pPr>
            <w:hyperlink r:id="rId49" w:history="1">
              <w:r w:rsidRPr="001E0BE0">
                <w:rPr>
                  <w:rStyle w:val="Hyperlink"/>
                  <w:rFonts w:ascii="Arial" w:hAnsi="Arial" w:cs="Arial"/>
                  <w:sz w:val="20"/>
                </w:rPr>
                <w:t>18.COM 2.BUR 3.1</w:t>
              </w:r>
            </w:hyperlink>
          </w:p>
        </w:tc>
      </w:tr>
      <w:tr w:rsidR="00922075" w:rsidRPr="001E0BE0" w14:paraId="103C8580" w14:textId="77777777" w:rsidTr="002C4850">
        <w:tc>
          <w:tcPr>
            <w:tcW w:w="568" w:type="dxa"/>
            <w:shd w:val="clear" w:color="auto" w:fill="FFFFFF" w:themeFill="background1"/>
            <w:vAlign w:val="center"/>
          </w:tcPr>
          <w:p w14:paraId="514C4B1E"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76EA9603" w14:textId="77777777" w:rsidR="00922075" w:rsidRPr="001E0BE0" w:rsidRDefault="00922075" w:rsidP="001E3343">
            <w:pPr>
              <w:pStyle w:val="1GAPara"/>
              <w:numPr>
                <w:ilvl w:val="0"/>
                <w:numId w:val="0"/>
              </w:numPr>
              <w:spacing w:before="40" w:afterLines="40" w:after="96"/>
              <w:rPr>
                <w:sz w:val="20"/>
                <w:szCs w:val="20"/>
              </w:rPr>
            </w:pPr>
            <w:r w:rsidRPr="001E0BE0">
              <w:rPr>
                <w:sz w:val="20"/>
              </w:rPr>
              <w:t>Honduras</w:t>
            </w:r>
          </w:p>
        </w:tc>
        <w:tc>
          <w:tcPr>
            <w:tcW w:w="5245" w:type="dxa"/>
            <w:shd w:val="clear" w:color="auto" w:fill="FFFFFF" w:themeFill="background1"/>
            <w:vAlign w:val="center"/>
          </w:tcPr>
          <w:p w14:paraId="2089E24F" w14:textId="77777777" w:rsidR="00922075" w:rsidRPr="001E0BE0" w:rsidRDefault="00922075" w:rsidP="001E3343">
            <w:pPr>
              <w:pStyle w:val="1GAPara"/>
              <w:numPr>
                <w:ilvl w:val="0"/>
                <w:numId w:val="0"/>
              </w:numPr>
              <w:spacing w:before="40" w:afterLines="40" w:after="96"/>
              <w:rPr>
                <w:sz w:val="20"/>
                <w:szCs w:val="20"/>
              </w:rPr>
            </w:pPr>
            <w:r w:rsidRPr="001E0BE0">
              <w:rPr>
                <w:sz w:val="20"/>
              </w:rPr>
              <w:t>Préparation des inventaires du patrimoine culturel immatériel du Honduras avec la participation active des communautés (n° 02209)</w:t>
            </w:r>
          </w:p>
        </w:tc>
        <w:tc>
          <w:tcPr>
            <w:tcW w:w="1984" w:type="dxa"/>
            <w:shd w:val="clear" w:color="auto" w:fill="FFFFFF" w:themeFill="background1"/>
            <w:vAlign w:val="center"/>
          </w:tcPr>
          <w:p w14:paraId="64BBB5DB" w14:textId="77777777" w:rsidR="00922075" w:rsidRPr="001E0BE0" w:rsidRDefault="00922075" w:rsidP="001E3343">
            <w:pPr>
              <w:spacing w:before="40" w:afterLines="40" w:after="96"/>
              <w:rPr>
                <w:rFonts w:ascii="Arial" w:hAnsi="Arial" w:cs="Arial"/>
                <w:sz w:val="20"/>
              </w:rPr>
            </w:pPr>
            <w:hyperlink r:id="rId50" w:history="1">
              <w:r w:rsidRPr="001E0BE0">
                <w:rPr>
                  <w:rStyle w:val="Hyperlink"/>
                  <w:rFonts w:ascii="Arial" w:hAnsi="Arial" w:cs="Arial"/>
                  <w:sz w:val="20"/>
                </w:rPr>
                <w:t>20.COM 2.BUR 3</w:t>
              </w:r>
            </w:hyperlink>
          </w:p>
        </w:tc>
      </w:tr>
      <w:tr w:rsidR="00922075" w:rsidRPr="001E0BE0" w14:paraId="160CC518" w14:textId="77777777" w:rsidTr="002C4850">
        <w:trPr>
          <w:trHeight w:val="572"/>
        </w:trPr>
        <w:tc>
          <w:tcPr>
            <w:tcW w:w="568" w:type="dxa"/>
            <w:shd w:val="clear" w:color="auto" w:fill="FFFFFF" w:themeFill="background1"/>
            <w:vAlign w:val="center"/>
          </w:tcPr>
          <w:p w14:paraId="7CDA4B66"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5D8B8855" w14:textId="77777777" w:rsidR="00922075" w:rsidRPr="001E0BE0" w:rsidRDefault="00922075" w:rsidP="001E3343">
            <w:pPr>
              <w:pStyle w:val="1GAPara"/>
              <w:numPr>
                <w:ilvl w:val="0"/>
                <w:numId w:val="0"/>
              </w:numPr>
              <w:spacing w:before="40" w:afterLines="40" w:after="96"/>
              <w:rPr>
                <w:sz w:val="20"/>
                <w:szCs w:val="20"/>
              </w:rPr>
            </w:pPr>
            <w:r w:rsidRPr="001E0BE0">
              <w:rPr>
                <w:sz w:val="20"/>
              </w:rPr>
              <w:t>Hongrie*</w:t>
            </w:r>
          </w:p>
        </w:tc>
        <w:tc>
          <w:tcPr>
            <w:tcW w:w="5245" w:type="dxa"/>
            <w:shd w:val="clear" w:color="auto" w:fill="FFFFFF" w:themeFill="background1"/>
            <w:vAlign w:val="center"/>
          </w:tcPr>
          <w:p w14:paraId="4CF9FD85" w14:textId="77777777" w:rsidR="00922075" w:rsidRPr="001E0BE0" w:rsidRDefault="00922075" w:rsidP="001E3343">
            <w:pPr>
              <w:pStyle w:val="1GAPara"/>
              <w:numPr>
                <w:ilvl w:val="0"/>
                <w:numId w:val="0"/>
              </w:numPr>
              <w:spacing w:before="40" w:afterLines="40" w:after="96"/>
              <w:rPr>
                <w:sz w:val="20"/>
                <w:szCs w:val="20"/>
              </w:rPr>
            </w:pPr>
            <w:r w:rsidRPr="001E0BE0">
              <w:rPr>
                <w:sz w:val="20"/>
              </w:rPr>
              <w:t>Sauvegarde du patrimoine culturel immatériel de personnes ukrainiennes déplacées en Hongrie : pratiques communautaires inclusives (n° 02210)</w:t>
            </w:r>
          </w:p>
        </w:tc>
        <w:tc>
          <w:tcPr>
            <w:tcW w:w="1984" w:type="dxa"/>
            <w:shd w:val="clear" w:color="auto" w:fill="FFFFFF" w:themeFill="background1"/>
            <w:vAlign w:val="center"/>
          </w:tcPr>
          <w:p w14:paraId="2D7FAC96" w14:textId="77777777" w:rsidR="00922075" w:rsidRPr="001E0BE0" w:rsidRDefault="00922075" w:rsidP="001E3343">
            <w:pPr>
              <w:spacing w:before="40" w:afterLines="40" w:after="96"/>
              <w:rPr>
                <w:rFonts w:ascii="Arial" w:hAnsi="Arial" w:cs="Arial"/>
                <w:snapToGrid w:val="0"/>
                <w:sz w:val="20"/>
              </w:rPr>
            </w:pPr>
            <w:hyperlink r:id="rId51" w:history="1">
              <w:r w:rsidRPr="001E0BE0">
                <w:rPr>
                  <w:rStyle w:val="Hyperlink"/>
                  <w:rFonts w:ascii="Arial" w:hAnsi="Arial" w:cs="Arial"/>
                  <w:snapToGrid w:val="0"/>
                  <w:sz w:val="20"/>
                </w:rPr>
                <w:t>19.COM 1.BUR 3.1</w:t>
              </w:r>
            </w:hyperlink>
          </w:p>
        </w:tc>
      </w:tr>
      <w:tr w:rsidR="00922075" w:rsidRPr="001E0BE0" w14:paraId="76848406" w14:textId="77777777" w:rsidTr="002C4850">
        <w:tc>
          <w:tcPr>
            <w:tcW w:w="568" w:type="dxa"/>
            <w:shd w:val="clear" w:color="auto" w:fill="FFFFFF" w:themeFill="background1"/>
            <w:vAlign w:val="center"/>
          </w:tcPr>
          <w:p w14:paraId="02F1F1F4"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16DBD504" w14:textId="77777777" w:rsidR="00922075" w:rsidRPr="001E0BE0" w:rsidRDefault="00922075" w:rsidP="001E3343">
            <w:pPr>
              <w:pStyle w:val="1GAPara"/>
              <w:numPr>
                <w:ilvl w:val="0"/>
                <w:numId w:val="0"/>
              </w:numPr>
              <w:spacing w:before="40" w:afterLines="40" w:after="96"/>
              <w:rPr>
                <w:sz w:val="20"/>
                <w:szCs w:val="20"/>
                <w:shd w:val="clear" w:color="auto" w:fill="FAFAFA"/>
              </w:rPr>
            </w:pPr>
            <w:r w:rsidRPr="001E0BE0">
              <w:rPr>
                <w:sz w:val="20"/>
              </w:rPr>
              <w:t>Kazakhstan*</w:t>
            </w:r>
          </w:p>
        </w:tc>
        <w:tc>
          <w:tcPr>
            <w:tcW w:w="5245" w:type="dxa"/>
            <w:shd w:val="clear" w:color="auto" w:fill="FFFFFF" w:themeFill="background1"/>
            <w:vAlign w:val="center"/>
          </w:tcPr>
          <w:p w14:paraId="0A87B6DA" w14:textId="77777777" w:rsidR="00922075" w:rsidRPr="001E0BE0" w:rsidRDefault="00922075" w:rsidP="001E3343">
            <w:pPr>
              <w:pStyle w:val="1GAPara"/>
              <w:numPr>
                <w:ilvl w:val="0"/>
                <w:numId w:val="0"/>
              </w:numPr>
              <w:spacing w:before="40" w:afterLines="40" w:after="96"/>
              <w:rPr>
                <w:sz w:val="20"/>
                <w:szCs w:val="20"/>
                <w:shd w:val="clear" w:color="auto" w:fill="FAFAFA"/>
              </w:rPr>
            </w:pPr>
            <w:r w:rsidRPr="001E0BE0">
              <w:rPr>
                <w:sz w:val="20"/>
                <w:shd w:val="clear" w:color="auto" w:fill="FAFAFA"/>
              </w:rPr>
              <w:t>Révision de l’inventaire national du patrimoine culturel immatériel et renforcement des capacités des communautés locales sur la mise en œuvre de la Convention de 2003 dans cinq provinces du Kazakhstan (n° 02207)</w:t>
            </w:r>
          </w:p>
        </w:tc>
        <w:tc>
          <w:tcPr>
            <w:tcW w:w="1984" w:type="dxa"/>
            <w:shd w:val="clear" w:color="auto" w:fill="FFFFFF" w:themeFill="background1"/>
            <w:vAlign w:val="center"/>
          </w:tcPr>
          <w:p w14:paraId="137E7CC0" w14:textId="77777777" w:rsidR="00922075" w:rsidRPr="001E0BE0" w:rsidRDefault="00922075" w:rsidP="001E3343">
            <w:pPr>
              <w:spacing w:before="40" w:afterLines="40" w:after="96"/>
              <w:rPr>
                <w:rFonts w:ascii="Arial" w:hAnsi="Arial" w:cs="Arial"/>
                <w:snapToGrid w:val="0"/>
                <w:sz w:val="20"/>
                <w:shd w:val="clear" w:color="auto" w:fill="FAFAFA"/>
              </w:rPr>
            </w:pPr>
            <w:hyperlink r:id="rId52" w:history="1">
              <w:r w:rsidRPr="001E0BE0">
                <w:rPr>
                  <w:rStyle w:val="Hyperlink"/>
                  <w:rFonts w:ascii="Arial" w:hAnsi="Arial" w:cs="Arial"/>
                  <w:sz w:val="20"/>
                </w:rPr>
                <w:t>19.COM 1.BUR 4.2</w:t>
              </w:r>
            </w:hyperlink>
          </w:p>
        </w:tc>
      </w:tr>
      <w:tr w:rsidR="00922075" w:rsidRPr="001E0BE0" w14:paraId="2F82559B" w14:textId="77777777" w:rsidTr="002C4850">
        <w:tc>
          <w:tcPr>
            <w:tcW w:w="568" w:type="dxa"/>
            <w:shd w:val="clear" w:color="auto" w:fill="FFFFFF" w:themeFill="background1"/>
            <w:vAlign w:val="center"/>
          </w:tcPr>
          <w:p w14:paraId="54C9D5CF"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5E1C5B50" w14:textId="77777777" w:rsidR="00922075" w:rsidRPr="001E0BE0" w:rsidRDefault="00922075" w:rsidP="001E3343">
            <w:pPr>
              <w:pStyle w:val="1GAPara"/>
              <w:numPr>
                <w:ilvl w:val="0"/>
                <w:numId w:val="0"/>
              </w:numPr>
              <w:spacing w:before="40" w:afterLines="40" w:after="96"/>
              <w:rPr>
                <w:sz w:val="20"/>
                <w:szCs w:val="20"/>
                <w:shd w:val="clear" w:color="auto" w:fill="FAFAFA"/>
              </w:rPr>
            </w:pPr>
            <w:r w:rsidRPr="001E0BE0">
              <w:rPr>
                <w:sz w:val="20"/>
              </w:rPr>
              <w:t xml:space="preserve">Kirghizistan </w:t>
            </w:r>
          </w:p>
        </w:tc>
        <w:tc>
          <w:tcPr>
            <w:tcW w:w="5245" w:type="dxa"/>
            <w:shd w:val="clear" w:color="auto" w:fill="FFFFFF" w:themeFill="background1"/>
            <w:vAlign w:val="center"/>
          </w:tcPr>
          <w:p w14:paraId="00E7E23C" w14:textId="77777777" w:rsidR="00922075" w:rsidRPr="001E0BE0" w:rsidRDefault="00922075" w:rsidP="001E3343">
            <w:pPr>
              <w:pStyle w:val="1GAPara"/>
              <w:numPr>
                <w:ilvl w:val="0"/>
                <w:numId w:val="0"/>
              </w:numPr>
              <w:spacing w:before="40" w:afterLines="40" w:after="96"/>
              <w:rPr>
                <w:sz w:val="20"/>
                <w:szCs w:val="20"/>
                <w:shd w:val="clear" w:color="auto" w:fill="FAFAFA"/>
              </w:rPr>
            </w:pPr>
            <w:r w:rsidRPr="001E0BE0">
              <w:rPr>
                <w:sz w:val="20"/>
                <w:shd w:val="clear" w:color="auto" w:fill="FAFAFA"/>
              </w:rPr>
              <w:t>Voyage numérique vers le patrimoine culturel immatériel du Kirghizstan (n° 02007)</w:t>
            </w:r>
          </w:p>
        </w:tc>
        <w:tc>
          <w:tcPr>
            <w:tcW w:w="1984" w:type="dxa"/>
            <w:shd w:val="clear" w:color="auto" w:fill="FFFFFF" w:themeFill="background1"/>
            <w:vAlign w:val="center"/>
          </w:tcPr>
          <w:p w14:paraId="5ADEC6ED" w14:textId="77777777" w:rsidR="00922075" w:rsidRPr="001E0BE0" w:rsidRDefault="00922075" w:rsidP="001E3343">
            <w:pPr>
              <w:spacing w:before="40" w:afterLines="40" w:after="96"/>
              <w:rPr>
                <w:rFonts w:ascii="Arial" w:hAnsi="Arial" w:cs="Arial"/>
                <w:snapToGrid w:val="0"/>
                <w:sz w:val="20"/>
                <w:shd w:val="clear" w:color="auto" w:fill="FAFAFA"/>
              </w:rPr>
            </w:pPr>
            <w:hyperlink r:id="rId53" w:history="1">
              <w:r w:rsidRPr="001E0BE0">
                <w:rPr>
                  <w:rStyle w:val="Hyperlink"/>
                  <w:rFonts w:ascii="Arial" w:hAnsi="Arial" w:cs="Arial"/>
                  <w:sz w:val="20"/>
                </w:rPr>
                <w:t>17.COM 5.BUR 3.2</w:t>
              </w:r>
            </w:hyperlink>
          </w:p>
        </w:tc>
      </w:tr>
      <w:tr w:rsidR="00922075" w:rsidRPr="001E0BE0" w14:paraId="0788F0A8" w14:textId="77777777" w:rsidTr="002C4850">
        <w:tc>
          <w:tcPr>
            <w:tcW w:w="568" w:type="dxa"/>
            <w:shd w:val="clear" w:color="auto" w:fill="FFFFFF" w:themeFill="background1"/>
            <w:vAlign w:val="center"/>
          </w:tcPr>
          <w:p w14:paraId="361AE2A4"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4075846C" w14:textId="77777777" w:rsidR="00922075" w:rsidRPr="001E0BE0" w:rsidRDefault="00922075" w:rsidP="001E3343">
            <w:pPr>
              <w:pStyle w:val="1GAPara"/>
              <w:numPr>
                <w:ilvl w:val="0"/>
                <w:numId w:val="0"/>
              </w:numPr>
              <w:spacing w:before="40" w:afterLines="40" w:after="96"/>
              <w:rPr>
                <w:sz w:val="20"/>
                <w:szCs w:val="20"/>
              </w:rPr>
            </w:pPr>
            <w:r w:rsidRPr="001E0BE0">
              <w:rPr>
                <w:sz w:val="20"/>
              </w:rPr>
              <w:t>Mali</w:t>
            </w:r>
          </w:p>
        </w:tc>
        <w:tc>
          <w:tcPr>
            <w:tcW w:w="5245" w:type="dxa"/>
            <w:shd w:val="clear" w:color="auto" w:fill="FFFFFF" w:themeFill="background1"/>
            <w:vAlign w:val="center"/>
          </w:tcPr>
          <w:p w14:paraId="7765EAB7" w14:textId="77777777" w:rsidR="00922075" w:rsidRPr="001E0BE0" w:rsidRDefault="00922075" w:rsidP="001E3343">
            <w:pPr>
              <w:pStyle w:val="1GAPara"/>
              <w:numPr>
                <w:ilvl w:val="0"/>
                <w:numId w:val="0"/>
              </w:numPr>
              <w:spacing w:before="40" w:afterLines="40" w:after="96"/>
              <w:rPr>
                <w:sz w:val="20"/>
                <w:szCs w:val="20"/>
                <w:shd w:val="clear" w:color="auto" w:fill="FAFAFA"/>
              </w:rPr>
            </w:pPr>
            <w:r w:rsidRPr="001E0BE0">
              <w:rPr>
                <w:sz w:val="20"/>
                <w:shd w:val="clear" w:color="auto" w:fill="FAFAFA"/>
              </w:rPr>
              <w:t>Plans de sauvegarde pour le transfert de trois éléments du patrimoine culturel immatériel du Mali inscrits sur la Liste de sauvegarde urgente vers la Liste représentative (n° 02149)</w:t>
            </w:r>
          </w:p>
        </w:tc>
        <w:tc>
          <w:tcPr>
            <w:tcW w:w="1984" w:type="dxa"/>
            <w:shd w:val="clear" w:color="auto" w:fill="FFFFFF" w:themeFill="background1"/>
            <w:vAlign w:val="center"/>
          </w:tcPr>
          <w:p w14:paraId="1BEA5343" w14:textId="77777777" w:rsidR="00922075" w:rsidRPr="001E0BE0" w:rsidRDefault="00922075" w:rsidP="001E3343">
            <w:pPr>
              <w:spacing w:before="40" w:afterLines="40" w:after="96"/>
              <w:rPr>
                <w:rStyle w:val="Hyperlink"/>
                <w:rFonts w:ascii="Arial" w:hAnsi="Arial" w:cs="Arial"/>
                <w:snapToGrid w:val="0"/>
                <w:szCs w:val="22"/>
                <w:lang w:eastAsia="en-US"/>
              </w:rPr>
            </w:pPr>
            <w:hyperlink r:id="rId54" w:history="1">
              <w:r w:rsidRPr="001E0BE0">
                <w:rPr>
                  <w:rStyle w:val="Hyperlink"/>
                  <w:rFonts w:ascii="Arial" w:hAnsi="Arial" w:cs="Arial"/>
                  <w:sz w:val="20"/>
                </w:rPr>
                <w:t>18.COM 3.BUR 3.2</w:t>
              </w:r>
            </w:hyperlink>
          </w:p>
        </w:tc>
      </w:tr>
      <w:tr w:rsidR="00922075" w:rsidRPr="001E0BE0" w14:paraId="254C91B6" w14:textId="77777777" w:rsidTr="002C4850">
        <w:tc>
          <w:tcPr>
            <w:tcW w:w="568" w:type="dxa"/>
            <w:shd w:val="clear" w:color="auto" w:fill="FFFFFF" w:themeFill="background1"/>
            <w:vAlign w:val="center"/>
          </w:tcPr>
          <w:p w14:paraId="2B85232A"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2DA2DCB3" w14:textId="77777777" w:rsidR="00922075" w:rsidRPr="001E0BE0" w:rsidRDefault="00922075" w:rsidP="001E3343">
            <w:pPr>
              <w:pStyle w:val="1GAPara"/>
              <w:numPr>
                <w:ilvl w:val="0"/>
                <w:numId w:val="0"/>
              </w:numPr>
              <w:spacing w:before="40" w:afterLines="40" w:after="96"/>
              <w:rPr>
                <w:sz w:val="20"/>
                <w:szCs w:val="20"/>
              </w:rPr>
            </w:pPr>
            <w:r w:rsidRPr="001E0BE0">
              <w:rPr>
                <w:sz w:val="20"/>
              </w:rPr>
              <w:t xml:space="preserve">Mauritanie </w:t>
            </w:r>
          </w:p>
        </w:tc>
        <w:tc>
          <w:tcPr>
            <w:tcW w:w="5245" w:type="dxa"/>
            <w:shd w:val="clear" w:color="auto" w:fill="FFFFFF" w:themeFill="background1"/>
            <w:vAlign w:val="center"/>
          </w:tcPr>
          <w:p w14:paraId="5BF97BB8" w14:textId="77777777" w:rsidR="00922075" w:rsidRPr="001E0BE0" w:rsidRDefault="00922075" w:rsidP="001E3343">
            <w:pPr>
              <w:pStyle w:val="1GAPara"/>
              <w:numPr>
                <w:ilvl w:val="0"/>
                <w:numId w:val="0"/>
              </w:numPr>
              <w:spacing w:before="40" w:afterLines="40" w:after="96"/>
              <w:rPr>
                <w:sz w:val="20"/>
                <w:szCs w:val="20"/>
                <w:shd w:val="clear" w:color="auto" w:fill="FAFAFA"/>
              </w:rPr>
            </w:pPr>
            <w:r w:rsidRPr="001E0BE0">
              <w:rPr>
                <w:sz w:val="20"/>
                <w:shd w:val="clear" w:color="auto" w:fill="FAFAFA"/>
              </w:rPr>
              <w:t>Sauvegarde et inventaire des contes et récits pour enfants en Mauritanie (n° 02046)</w:t>
            </w:r>
          </w:p>
        </w:tc>
        <w:tc>
          <w:tcPr>
            <w:tcW w:w="1984" w:type="dxa"/>
            <w:shd w:val="clear" w:color="auto" w:fill="FFFFFF" w:themeFill="background1"/>
            <w:vAlign w:val="center"/>
          </w:tcPr>
          <w:p w14:paraId="0D0C20A2" w14:textId="77777777" w:rsidR="00922075" w:rsidRPr="001E0BE0" w:rsidRDefault="00922075" w:rsidP="001E3343">
            <w:pPr>
              <w:spacing w:before="40" w:afterLines="40" w:after="96"/>
              <w:rPr>
                <w:rStyle w:val="Hyperlink"/>
                <w:rFonts w:ascii="Arial" w:hAnsi="Arial" w:cs="Arial"/>
                <w:snapToGrid w:val="0"/>
                <w:sz w:val="20"/>
                <w:szCs w:val="22"/>
                <w:lang w:eastAsia="en-US"/>
              </w:rPr>
            </w:pPr>
            <w:hyperlink r:id="rId55" w:history="1">
              <w:r w:rsidRPr="001E0BE0">
                <w:rPr>
                  <w:rStyle w:val="Hyperlink"/>
                  <w:rFonts w:ascii="Arial" w:hAnsi="Arial" w:cs="Arial"/>
                  <w:sz w:val="20"/>
                </w:rPr>
                <w:t>18.COM 2.BUR 4.2</w:t>
              </w:r>
            </w:hyperlink>
          </w:p>
        </w:tc>
      </w:tr>
      <w:tr w:rsidR="00922075" w:rsidRPr="001E0BE0" w14:paraId="59C75666" w14:textId="77777777" w:rsidTr="002C4850">
        <w:tc>
          <w:tcPr>
            <w:tcW w:w="568" w:type="dxa"/>
            <w:shd w:val="clear" w:color="auto" w:fill="FFFFFF" w:themeFill="background1"/>
            <w:vAlign w:val="center"/>
          </w:tcPr>
          <w:p w14:paraId="057EC910"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6BF42B66" w14:textId="77777777" w:rsidR="00922075" w:rsidRPr="001E0BE0" w:rsidRDefault="00922075" w:rsidP="001E3343">
            <w:pPr>
              <w:pStyle w:val="1GAPara"/>
              <w:numPr>
                <w:ilvl w:val="0"/>
                <w:numId w:val="0"/>
              </w:numPr>
              <w:spacing w:before="40" w:afterLines="40" w:after="96"/>
              <w:rPr>
                <w:sz w:val="20"/>
                <w:szCs w:val="20"/>
              </w:rPr>
            </w:pPr>
            <w:r w:rsidRPr="001E0BE0">
              <w:rPr>
                <w:sz w:val="20"/>
              </w:rPr>
              <w:t xml:space="preserve">Nicaragua </w:t>
            </w:r>
          </w:p>
        </w:tc>
        <w:tc>
          <w:tcPr>
            <w:tcW w:w="5245" w:type="dxa"/>
            <w:shd w:val="clear" w:color="auto" w:fill="FFFFFF" w:themeFill="background1"/>
            <w:vAlign w:val="center"/>
          </w:tcPr>
          <w:p w14:paraId="1131D7ED" w14:textId="77777777" w:rsidR="00922075" w:rsidRPr="001E0BE0" w:rsidRDefault="00922075" w:rsidP="001E3343">
            <w:pPr>
              <w:pStyle w:val="1GAPara"/>
              <w:numPr>
                <w:ilvl w:val="0"/>
                <w:numId w:val="0"/>
              </w:numPr>
              <w:spacing w:before="40" w:afterLines="40" w:after="96"/>
              <w:rPr>
                <w:sz w:val="20"/>
                <w:szCs w:val="20"/>
              </w:rPr>
            </w:pPr>
            <w:r w:rsidRPr="001E0BE0">
              <w:rPr>
                <w:sz w:val="20"/>
              </w:rPr>
              <w:t xml:space="preserve">Inventaire du patrimoine culturel immatériel des fêtes traditionnelles et religieuses dans les municipalités de Bluefields, </w:t>
            </w:r>
            <w:proofErr w:type="spellStart"/>
            <w:r w:rsidRPr="001E0BE0">
              <w:rPr>
                <w:sz w:val="20"/>
              </w:rPr>
              <w:t>Diriamba</w:t>
            </w:r>
            <w:proofErr w:type="spellEnd"/>
            <w:r w:rsidRPr="001E0BE0">
              <w:rPr>
                <w:sz w:val="20"/>
              </w:rPr>
              <w:t>, León, El Viejo et Masaya (n° 02042)</w:t>
            </w:r>
          </w:p>
        </w:tc>
        <w:tc>
          <w:tcPr>
            <w:tcW w:w="1984" w:type="dxa"/>
            <w:shd w:val="clear" w:color="auto" w:fill="FFFFFF" w:themeFill="background1"/>
            <w:vAlign w:val="center"/>
          </w:tcPr>
          <w:p w14:paraId="403559EB" w14:textId="77777777" w:rsidR="00922075" w:rsidRPr="001E0BE0" w:rsidRDefault="00922075" w:rsidP="001E3343">
            <w:pPr>
              <w:spacing w:before="40" w:afterLines="40" w:after="96"/>
              <w:rPr>
                <w:rStyle w:val="Hyperlink"/>
                <w:rFonts w:ascii="Arial" w:hAnsi="Arial" w:cs="Arial"/>
                <w:snapToGrid w:val="0"/>
                <w:sz w:val="20"/>
                <w:szCs w:val="22"/>
                <w:lang w:eastAsia="en-US"/>
              </w:rPr>
            </w:pPr>
            <w:hyperlink r:id="rId56" w:history="1">
              <w:r w:rsidRPr="001E0BE0">
                <w:rPr>
                  <w:rStyle w:val="Hyperlink"/>
                  <w:rFonts w:ascii="Arial" w:hAnsi="Arial" w:cs="Arial"/>
                  <w:sz w:val="20"/>
                </w:rPr>
                <w:t>18.COM 2.BUR 4.3</w:t>
              </w:r>
            </w:hyperlink>
          </w:p>
        </w:tc>
      </w:tr>
      <w:tr w:rsidR="00922075" w:rsidRPr="001E0BE0" w14:paraId="6C72F7AE" w14:textId="77777777" w:rsidTr="002C4850">
        <w:tc>
          <w:tcPr>
            <w:tcW w:w="568" w:type="dxa"/>
            <w:shd w:val="clear" w:color="auto" w:fill="FFFFFF" w:themeFill="background1"/>
            <w:vAlign w:val="center"/>
          </w:tcPr>
          <w:p w14:paraId="4F4A7294"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761A6457" w14:textId="77777777" w:rsidR="00922075" w:rsidRPr="001E0BE0" w:rsidRDefault="00922075" w:rsidP="001E3343">
            <w:pPr>
              <w:pStyle w:val="1GAPara"/>
              <w:numPr>
                <w:ilvl w:val="0"/>
                <w:numId w:val="0"/>
              </w:numPr>
              <w:spacing w:before="40" w:afterLines="40" w:after="96"/>
              <w:rPr>
                <w:sz w:val="20"/>
              </w:rPr>
            </w:pPr>
            <w:r w:rsidRPr="001E0BE0">
              <w:rPr>
                <w:sz w:val="20"/>
              </w:rPr>
              <w:t>Pakistan</w:t>
            </w:r>
          </w:p>
        </w:tc>
        <w:tc>
          <w:tcPr>
            <w:tcW w:w="5245" w:type="dxa"/>
            <w:shd w:val="clear" w:color="auto" w:fill="FFFFFF" w:themeFill="background1"/>
            <w:vAlign w:val="center"/>
          </w:tcPr>
          <w:p w14:paraId="6D884FDE" w14:textId="77777777" w:rsidR="00922075" w:rsidRPr="001E0BE0" w:rsidRDefault="00922075" w:rsidP="001E3343">
            <w:pPr>
              <w:pStyle w:val="1GAPara"/>
              <w:numPr>
                <w:ilvl w:val="0"/>
                <w:numId w:val="0"/>
              </w:numPr>
              <w:spacing w:before="40" w:afterLines="40" w:after="96"/>
              <w:rPr>
                <w:sz w:val="20"/>
              </w:rPr>
            </w:pPr>
            <w:r w:rsidRPr="001E0BE0">
              <w:rPr>
                <w:sz w:val="20"/>
              </w:rPr>
              <w:t>Inventaire communautaire et renforcement des capacités des communautés autochtones pour la sauvegarde du patrimoine culturel immatériel dans les provinces de Sindh et Khyber Pakhtunkhwa (n° 01809)</w:t>
            </w:r>
          </w:p>
        </w:tc>
        <w:tc>
          <w:tcPr>
            <w:tcW w:w="1984" w:type="dxa"/>
            <w:shd w:val="clear" w:color="auto" w:fill="FFFFFF" w:themeFill="background1"/>
            <w:vAlign w:val="center"/>
          </w:tcPr>
          <w:p w14:paraId="216CF801" w14:textId="77777777" w:rsidR="00922075" w:rsidRPr="001E0BE0" w:rsidRDefault="00922075" w:rsidP="001E3343">
            <w:pPr>
              <w:spacing w:before="40" w:afterLines="40" w:after="96"/>
              <w:rPr>
                <w:rFonts w:ascii="Arial" w:hAnsi="Arial" w:cs="Arial"/>
                <w:sz w:val="20"/>
              </w:rPr>
            </w:pPr>
            <w:hyperlink r:id="rId57" w:history="1">
              <w:r w:rsidRPr="001E0BE0">
                <w:rPr>
                  <w:rStyle w:val="Hyperlink"/>
                  <w:rFonts w:ascii="Arial" w:hAnsi="Arial" w:cs="Arial"/>
                  <w:sz w:val="20"/>
                </w:rPr>
                <w:t>16.COM 2.BUR 3.2</w:t>
              </w:r>
            </w:hyperlink>
          </w:p>
        </w:tc>
      </w:tr>
      <w:tr w:rsidR="00922075" w:rsidRPr="001E0BE0" w14:paraId="33AA1FC0" w14:textId="77777777" w:rsidTr="002C4850">
        <w:tc>
          <w:tcPr>
            <w:tcW w:w="568" w:type="dxa"/>
            <w:shd w:val="clear" w:color="auto" w:fill="FFFFFF" w:themeFill="background1"/>
            <w:vAlign w:val="center"/>
          </w:tcPr>
          <w:p w14:paraId="1194CCB1"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147D6D28" w14:textId="77777777" w:rsidR="00922075" w:rsidRPr="001E0BE0" w:rsidRDefault="00922075" w:rsidP="001E3343">
            <w:pPr>
              <w:pStyle w:val="1GAPara"/>
              <w:numPr>
                <w:ilvl w:val="0"/>
                <w:numId w:val="0"/>
              </w:numPr>
              <w:spacing w:before="40" w:afterLines="40" w:after="96"/>
              <w:rPr>
                <w:sz w:val="20"/>
                <w:szCs w:val="20"/>
              </w:rPr>
            </w:pPr>
            <w:r w:rsidRPr="001E0BE0">
              <w:rPr>
                <w:sz w:val="20"/>
              </w:rPr>
              <w:t>Paraguay*</w:t>
            </w:r>
          </w:p>
        </w:tc>
        <w:tc>
          <w:tcPr>
            <w:tcW w:w="5245" w:type="dxa"/>
            <w:shd w:val="clear" w:color="auto" w:fill="FFFFFF" w:themeFill="background1"/>
            <w:vAlign w:val="center"/>
          </w:tcPr>
          <w:p w14:paraId="2AD15C9E" w14:textId="77777777" w:rsidR="00922075" w:rsidRPr="001E0BE0" w:rsidRDefault="00922075" w:rsidP="001E3343">
            <w:pPr>
              <w:pStyle w:val="1GAPara"/>
              <w:numPr>
                <w:ilvl w:val="0"/>
                <w:numId w:val="0"/>
              </w:numPr>
              <w:spacing w:before="40" w:afterLines="40" w:after="96"/>
              <w:rPr>
                <w:sz w:val="20"/>
                <w:szCs w:val="20"/>
              </w:rPr>
            </w:pPr>
            <w:r w:rsidRPr="001E0BE0">
              <w:rPr>
                <w:sz w:val="20"/>
              </w:rPr>
              <w:t xml:space="preserve">Les techniques ancestrales et traditionnelles d’élaboration du « Poncho </w:t>
            </w:r>
            <w:proofErr w:type="spellStart"/>
            <w:r w:rsidRPr="001E0BE0">
              <w:rPr>
                <w:sz w:val="20"/>
              </w:rPr>
              <w:t>Para’i</w:t>
            </w:r>
            <w:proofErr w:type="spellEnd"/>
            <w:r w:rsidRPr="001E0BE0">
              <w:rPr>
                <w:sz w:val="20"/>
              </w:rPr>
              <w:t xml:space="preserve"> de 60 Listas » de la ville de </w:t>
            </w:r>
            <w:proofErr w:type="spellStart"/>
            <w:r w:rsidRPr="001E0BE0">
              <w:rPr>
                <w:sz w:val="20"/>
              </w:rPr>
              <w:t>Piribebuy</w:t>
            </w:r>
            <w:proofErr w:type="spellEnd"/>
            <w:r w:rsidRPr="001E0BE0">
              <w:rPr>
                <w:sz w:val="20"/>
              </w:rPr>
              <w:t>, République du Paraguay (n° 02076)</w:t>
            </w:r>
          </w:p>
        </w:tc>
        <w:tc>
          <w:tcPr>
            <w:tcW w:w="1984" w:type="dxa"/>
            <w:shd w:val="clear" w:color="auto" w:fill="FFFFFF" w:themeFill="background1"/>
            <w:vAlign w:val="center"/>
          </w:tcPr>
          <w:p w14:paraId="3CDADF02" w14:textId="77777777" w:rsidR="00922075" w:rsidRPr="001E0BE0" w:rsidRDefault="00922075" w:rsidP="001E3343">
            <w:pPr>
              <w:spacing w:before="40" w:afterLines="40" w:after="96"/>
              <w:rPr>
                <w:rStyle w:val="Hyperlink"/>
                <w:rFonts w:ascii="Arial" w:hAnsi="Arial" w:cs="Arial"/>
                <w:snapToGrid w:val="0"/>
                <w:sz w:val="20"/>
                <w:szCs w:val="22"/>
                <w:lang w:eastAsia="en-US"/>
              </w:rPr>
            </w:pPr>
            <w:hyperlink r:id="rId58" w:history="1">
              <w:r w:rsidRPr="001E0BE0">
                <w:rPr>
                  <w:rStyle w:val="Hyperlink"/>
                  <w:rFonts w:ascii="Arial" w:hAnsi="Arial" w:cs="Arial"/>
                  <w:sz w:val="20"/>
                </w:rPr>
                <w:t>18.COM 8.a.6</w:t>
              </w:r>
            </w:hyperlink>
          </w:p>
        </w:tc>
      </w:tr>
      <w:tr w:rsidR="00922075" w:rsidRPr="001E0BE0" w14:paraId="2DA78F5F" w14:textId="77777777" w:rsidTr="002C4850">
        <w:tc>
          <w:tcPr>
            <w:tcW w:w="568" w:type="dxa"/>
            <w:shd w:val="clear" w:color="auto" w:fill="FFFFFF" w:themeFill="background1"/>
            <w:vAlign w:val="center"/>
          </w:tcPr>
          <w:p w14:paraId="2090E24B"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71460D0B" w14:textId="77777777" w:rsidR="00922075" w:rsidRPr="001E0BE0" w:rsidRDefault="00922075" w:rsidP="001E3343">
            <w:pPr>
              <w:pStyle w:val="1GAPara"/>
              <w:numPr>
                <w:ilvl w:val="0"/>
                <w:numId w:val="0"/>
              </w:numPr>
              <w:spacing w:before="40" w:afterLines="40" w:after="96"/>
              <w:rPr>
                <w:sz w:val="20"/>
                <w:szCs w:val="20"/>
              </w:rPr>
            </w:pPr>
            <w:r w:rsidRPr="001E0BE0">
              <w:rPr>
                <w:sz w:val="20"/>
              </w:rPr>
              <w:t>Pérou</w:t>
            </w:r>
          </w:p>
        </w:tc>
        <w:tc>
          <w:tcPr>
            <w:tcW w:w="5245" w:type="dxa"/>
            <w:shd w:val="clear" w:color="auto" w:fill="FFFFFF" w:themeFill="background1"/>
            <w:vAlign w:val="center"/>
          </w:tcPr>
          <w:p w14:paraId="276F48DF" w14:textId="77777777" w:rsidR="00922075" w:rsidRPr="001E0BE0" w:rsidRDefault="00922075" w:rsidP="001E3343">
            <w:pPr>
              <w:pStyle w:val="1GAPara"/>
              <w:numPr>
                <w:ilvl w:val="0"/>
                <w:numId w:val="0"/>
              </w:numPr>
              <w:spacing w:before="40" w:afterLines="40" w:after="96"/>
              <w:rPr>
                <w:sz w:val="20"/>
                <w:szCs w:val="20"/>
              </w:rPr>
            </w:pPr>
            <w:r w:rsidRPr="001E0BE0">
              <w:rPr>
                <w:sz w:val="20"/>
              </w:rPr>
              <w:t xml:space="preserve">Renforcement et promotion de la transmission intergénérationnelle des connaissances et des significations liées à la production de poteries traditionnelles à Checca </w:t>
            </w:r>
            <w:proofErr w:type="spellStart"/>
            <w:r w:rsidRPr="001E0BE0">
              <w:rPr>
                <w:sz w:val="20"/>
              </w:rPr>
              <w:t>Pupuja</w:t>
            </w:r>
            <w:proofErr w:type="spellEnd"/>
            <w:r w:rsidRPr="001E0BE0">
              <w:rPr>
                <w:sz w:val="20"/>
              </w:rPr>
              <w:t>, Puno (n° 02078)</w:t>
            </w:r>
          </w:p>
        </w:tc>
        <w:tc>
          <w:tcPr>
            <w:tcW w:w="1984" w:type="dxa"/>
            <w:shd w:val="clear" w:color="auto" w:fill="FFFFFF" w:themeFill="background1"/>
            <w:vAlign w:val="center"/>
          </w:tcPr>
          <w:p w14:paraId="734B5FCF" w14:textId="77777777" w:rsidR="00922075" w:rsidRPr="001E0BE0" w:rsidRDefault="00922075" w:rsidP="001E3343">
            <w:pPr>
              <w:spacing w:before="40" w:afterLines="40" w:after="96"/>
              <w:rPr>
                <w:rStyle w:val="Hyperlink"/>
                <w:rFonts w:ascii="Arial" w:hAnsi="Arial" w:cs="Arial"/>
                <w:snapToGrid w:val="0"/>
                <w:szCs w:val="22"/>
                <w:lang w:eastAsia="en-US"/>
              </w:rPr>
            </w:pPr>
            <w:hyperlink r:id="rId59" w:history="1">
              <w:r w:rsidRPr="001E0BE0">
                <w:rPr>
                  <w:rStyle w:val="Hyperlink"/>
                  <w:rFonts w:ascii="Arial" w:hAnsi="Arial" w:cs="Arial"/>
                  <w:sz w:val="20"/>
                </w:rPr>
                <w:t>18.COM 2.BUR 4.4</w:t>
              </w:r>
            </w:hyperlink>
          </w:p>
        </w:tc>
      </w:tr>
      <w:tr w:rsidR="00922075" w:rsidRPr="001E0BE0" w14:paraId="53C92EA9" w14:textId="77777777" w:rsidTr="002C4850">
        <w:tc>
          <w:tcPr>
            <w:tcW w:w="568" w:type="dxa"/>
            <w:shd w:val="clear" w:color="auto" w:fill="FFFFFF" w:themeFill="background1"/>
            <w:vAlign w:val="center"/>
          </w:tcPr>
          <w:p w14:paraId="1033FD11"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35802894" w14:textId="77777777" w:rsidR="00922075" w:rsidRPr="001E0BE0" w:rsidRDefault="00922075" w:rsidP="001E3343">
            <w:pPr>
              <w:pStyle w:val="1GAPara"/>
              <w:numPr>
                <w:ilvl w:val="0"/>
                <w:numId w:val="0"/>
              </w:numPr>
              <w:spacing w:before="40" w:afterLines="40" w:after="96"/>
              <w:rPr>
                <w:sz w:val="20"/>
                <w:szCs w:val="20"/>
              </w:rPr>
            </w:pPr>
            <w:r w:rsidRPr="001E0BE0">
              <w:rPr>
                <w:sz w:val="20"/>
              </w:rPr>
              <w:t>Saint-Kitts-et-Nevis</w:t>
            </w:r>
          </w:p>
        </w:tc>
        <w:tc>
          <w:tcPr>
            <w:tcW w:w="5245" w:type="dxa"/>
            <w:shd w:val="clear" w:color="auto" w:fill="FFFFFF" w:themeFill="background1"/>
            <w:vAlign w:val="center"/>
          </w:tcPr>
          <w:p w14:paraId="10A18079" w14:textId="77777777" w:rsidR="00922075" w:rsidRPr="001E0BE0" w:rsidRDefault="00922075" w:rsidP="001E3343">
            <w:pPr>
              <w:pStyle w:val="1GAPara"/>
              <w:numPr>
                <w:ilvl w:val="0"/>
                <w:numId w:val="0"/>
              </w:numPr>
              <w:spacing w:before="40" w:afterLines="40" w:after="96"/>
              <w:rPr>
                <w:sz w:val="20"/>
                <w:szCs w:val="20"/>
              </w:rPr>
            </w:pPr>
            <w:r w:rsidRPr="001E0BE0">
              <w:rPr>
                <w:sz w:val="20"/>
              </w:rPr>
              <w:t>Sauvegarde du patrimoine culturel immatériel de Saint-Kitts-et-Nevis : élaboration d’une politique nationale en matière de patrimoine culturel immatériel (n° 01930)</w:t>
            </w:r>
          </w:p>
        </w:tc>
        <w:tc>
          <w:tcPr>
            <w:tcW w:w="1984" w:type="dxa"/>
            <w:shd w:val="clear" w:color="auto" w:fill="FFFFFF" w:themeFill="background1"/>
            <w:vAlign w:val="center"/>
          </w:tcPr>
          <w:p w14:paraId="1ECA591B" w14:textId="77777777" w:rsidR="00922075" w:rsidRPr="001E0BE0" w:rsidRDefault="00922075" w:rsidP="001E3343">
            <w:pPr>
              <w:spacing w:before="40" w:afterLines="40" w:after="96"/>
              <w:rPr>
                <w:rStyle w:val="Hyperlink"/>
                <w:rFonts w:ascii="Arial" w:hAnsi="Arial" w:cs="Arial"/>
                <w:snapToGrid w:val="0"/>
                <w:szCs w:val="22"/>
                <w:lang w:eastAsia="en-US"/>
              </w:rPr>
            </w:pPr>
            <w:hyperlink r:id="rId60" w:history="1">
              <w:r w:rsidRPr="001E0BE0">
                <w:rPr>
                  <w:rStyle w:val="Hyperlink"/>
                  <w:rFonts w:ascii="Arial" w:hAnsi="Arial" w:cs="Arial"/>
                  <w:sz w:val="20"/>
                </w:rPr>
                <w:t>17.COM 4.BUR 3.3</w:t>
              </w:r>
            </w:hyperlink>
          </w:p>
        </w:tc>
      </w:tr>
      <w:tr w:rsidR="00922075" w:rsidRPr="001E0BE0" w14:paraId="78A357A7" w14:textId="77777777" w:rsidTr="002C4850">
        <w:tc>
          <w:tcPr>
            <w:tcW w:w="568" w:type="dxa"/>
            <w:shd w:val="clear" w:color="auto" w:fill="FFFFFF" w:themeFill="background1"/>
            <w:vAlign w:val="center"/>
          </w:tcPr>
          <w:p w14:paraId="680FD8AB"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42F7F8B4" w14:textId="77777777" w:rsidR="00922075" w:rsidRPr="001E0BE0" w:rsidRDefault="00922075" w:rsidP="001E3343">
            <w:pPr>
              <w:pStyle w:val="1GAPara"/>
              <w:numPr>
                <w:ilvl w:val="0"/>
                <w:numId w:val="0"/>
              </w:numPr>
              <w:spacing w:before="40" w:afterLines="40" w:after="96"/>
              <w:rPr>
                <w:sz w:val="20"/>
                <w:szCs w:val="20"/>
              </w:rPr>
            </w:pPr>
            <w:r w:rsidRPr="001E0BE0">
              <w:rPr>
                <w:sz w:val="20"/>
              </w:rPr>
              <w:t>Sao Tomé-et-Principe*</w:t>
            </w:r>
          </w:p>
        </w:tc>
        <w:tc>
          <w:tcPr>
            <w:tcW w:w="5245" w:type="dxa"/>
            <w:shd w:val="clear" w:color="auto" w:fill="FFFFFF" w:themeFill="background1"/>
            <w:vAlign w:val="center"/>
          </w:tcPr>
          <w:p w14:paraId="3E0CF066" w14:textId="77777777" w:rsidR="00922075" w:rsidRPr="001E0BE0" w:rsidRDefault="00922075" w:rsidP="001E3343">
            <w:pPr>
              <w:spacing w:before="40" w:afterLines="40" w:after="96"/>
              <w:rPr>
                <w:rFonts w:ascii="Arial" w:hAnsi="Arial" w:cs="Arial"/>
                <w:sz w:val="20"/>
              </w:rPr>
            </w:pPr>
            <w:r w:rsidRPr="001E0BE0">
              <w:rPr>
                <w:rFonts w:ascii="Arial" w:hAnsi="Arial" w:cs="Arial"/>
                <w:sz w:val="20"/>
              </w:rPr>
              <w:t>Élaboration d’un inventaire national du patrimoine culturel immatériel à Sao Tomé-et-Principe (n° 02125)</w:t>
            </w:r>
          </w:p>
        </w:tc>
        <w:tc>
          <w:tcPr>
            <w:tcW w:w="1984" w:type="dxa"/>
            <w:shd w:val="clear" w:color="auto" w:fill="FFFFFF" w:themeFill="background1"/>
            <w:vAlign w:val="center"/>
          </w:tcPr>
          <w:p w14:paraId="116F5F2F" w14:textId="77777777" w:rsidR="00922075" w:rsidRPr="001E0BE0" w:rsidRDefault="00922075" w:rsidP="001E3343">
            <w:pPr>
              <w:spacing w:before="40" w:afterLines="40" w:after="96"/>
              <w:rPr>
                <w:rStyle w:val="Hyperlink"/>
                <w:rFonts w:ascii="Arial" w:hAnsi="Arial" w:cs="Arial"/>
              </w:rPr>
            </w:pPr>
            <w:hyperlink r:id="rId61" w:history="1">
              <w:r w:rsidRPr="001E0BE0">
                <w:rPr>
                  <w:rStyle w:val="Hyperlink"/>
                  <w:rFonts w:ascii="Arial" w:hAnsi="Arial" w:cs="Arial"/>
                  <w:sz w:val="20"/>
                </w:rPr>
                <w:t>19.COM 3.BUR 3.4</w:t>
              </w:r>
            </w:hyperlink>
          </w:p>
        </w:tc>
      </w:tr>
      <w:tr w:rsidR="00922075" w:rsidRPr="001E0BE0" w14:paraId="3C9C9A25" w14:textId="77777777" w:rsidTr="002C4850">
        <w:tc>
          <w:tcPr>
            <w:tcW w:w="568" w:type="dxa"/>
            <w:shd w:val="clear" w:color="auto" w:fill="FFFFFF" w:themeFill="background1"/>
            <w:vAlign w:val="center"/>
          </w:tcPr>
          <w:p w14:paraId="2D6689BF"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51BF2367" w14:textId="77777777" w:rsidR="00922075" w:rsidRPr="001E0BE0" w:rsidRDefault="00922075" w:rsidP="001E3343">
            <w:pPr>
              <w:pStyle w:val="1GAPara"/>
              <w:numPr>
                <w:ilvl w:val="0"/>
                <w:numId w:val="0"/>
              </w:numPr>
              <w:spacing w:before="40" w:afterLines="40" w:after="96"/>
              <w:rPr>
                <w:sz w:val="20"/>
                <w:szCs w:val="20"/>
              </w:rPr>
            </w:pPr>
            <w:r w:rsidRPr="001E0BE0">
              <w:rPr>
                <w:sz w:val="20"/>
              </w:rPr>
              <w:t>Soudan du Sud*</w:t>
            </w:r>
          </w:p>
        </w:tc>
        <w:tc>
          <w:tcPr>
            <w:tcW w:w="5245" w:type="dxa"/>
            <w:shd w:val="clear" w:color="auto" w:fill="FFFFFF" w:themeFill="background1"/>
            <w:vAlign w:val="center"/>
          </w:tcPr>
          <w:p w14:paraId="2CBDF70B" w14:textId="77777777" w:rsidR="00922075" w:rsidRPr="001E0BE0" w:rsidRDefault="00922075" w:rsidP="001E3343">
            <w:pPr>
              <w:spacing w:before="40" w:afterLines="40" w:after="96"/>
              <w:rPr>
                <w:rFonts w:ascii="Arial" w:hAnsi="Arial" w:cs="Arial"/>
                <w:b/>
                <w:bCs/>
                <w:sz w:val="20"/>
                <w:u w:val="single"/>
              </w:rPr>
            </w:pPr>
            <w:r w:rsidRPr="001E0BE0">
              <w:rPr>
                <w:rFonts w:ascii="Arial" w:hAnsi="Arial" w:cs="Arial"/>
                <w:sz w:val="20"/>
              </w:rPr>
              <w:t xml:space="preserve">Élaboration d’un inventaire du patrimoine culturel immatériel au Soudan du Sud (n° 01535) </w:t>
            </w:r>
          </w:p>
        </w:tc>
        <w:tc>
          <w:tcPr>
            <w:tcW w:w="1984" w:type="dxa"/>
            <w:shd w:val="clear" w:color="auto" w:fill="FFFFFF" w:themeFill="background1"/>
            <w:vAlign w:val="center"/>
          </w:tcPr>
          <w:p w14:paraId="0EBB258F" w14:textId="77777777" w:rsidR="00922075" w:rsidRPr="001E0BE0" w:rsidRDefault="00922075" w:rsidP="001E3343">
            <w:pPr>
              <w:spacing w:before="40" w:afterLines="40" w:after="96"/>
              <w:rPr>
                <w:rStyle w:val="Hyperlink"/>
                <w:rFonts w:ascii="Arial" w:hAnsi="Arial" w:cs="Arial"/>
                <w:sz w:val="20"/>
              </w:rPr>
            </w:pPr>
            <w:hyperlink r:id="rId62" w:history="1">
              <w:r w:rsidRPr="001E0BE0">
                <w:rPr>
                  <w:rStyle w:val="Hyperlink"/>
                  <w:rFonts w:ascii="Arial" w:hAnsi="Arial" w:cs="Arial"/>
                  <w:sz w:val="20"/>
                </w:rPr>
                <w:t>15.COM 2.BUR 3.5</w:t>
              </w:r>
            </w:hyperlink>
          </w:p>
        </w:tc>
      </w:tr>
      <w:tr w:rsidR="00922075" w:rsidRPr="001E0BE0" w14:paraId="4A127B6E" w14:textId="77777777" w:rsidTr="002C4850">
        <w:tc>
          <w:tcPr>
            <w:tcW w:w="568" w:type="dxa"/>
            <w:shd w:val="clear" w:color="auto" w:fill="FFFFFF" w:themeFill="background1"/>
            <w:vAlign w:val="center"/>
          </w:tcPr>
          <w:p w14:paraId="5ED243F3"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43859832" w14:textId="77777777" w:rsidR="00922075" w:rsidRPr="001E0BE0" w:rsidRDefault="00922075" w:rsidP="001E3343">
            <w:pPr>
              <w:pStyle w:val="1GAPara"/>
              <w:numPr>
                <w:ilvl w:val="0"/>
                <w:numId w:val="0"/>
              </w:numPr>
              <w:spacing w:before="40" w:afterLines="40" w:after="96"/>
              <w:rPr>
                <w:sz w:val="20"/>
                <w:szCs w:val="20"/>
              </w:rPr>
            </w:pPr>
            <w:r w:rsidRPr="001E0BE0">
              <w:rPr>
                <w:sz w:val="20"/>
              </w:rPr>
              <w:t>Thaïlande*</w:t>
            </w:r>
          </w:p>
        </w:tc>
        <w:tc>
          <w:tcPr>
            <w:tcW w:w="5245" w:type="dxa"/>
            <w:shd w:val="clear" w:color="auto" w:fill="FFFFFF" w:themeFill="background1"/>
            <w:vAlign w:val="center"/>
          </w:tcPr>
          <w:p w14:paraId="772C849C" w14:textId="77777777" w:rsidR="00922075" w:rsidRPr="001E0BE0" w:rsidRDefault="00922075" w:rsidP="001E3343">
            <w:pPr>
              <w:pStyle w:val="1GAPara"/>
              <w:numPr>
                <w:ilvl w:val="0"/>
                <w:numId w:val="0"/>
              </w:numPr>
              <w:spacing w:before="40" w:afterLines="40" w:after="96"/>
              <w:rPr>
                <w:b/>
                <w:bCs/>
                <w:sz w:val="20"/>
                <w:szCs w:val="20"/>
                <w:u w:val="single"/>
              </w:rPr>
            </w:pPr>
            <w:r w:rsidRPr="001E0BE0">
              <w:rPr>
                <w:sz w:val="20"/>
              </w:rPr>
              <w:t>École de terrain pour le renforcement des capacités de sauvegarde du patrimoine vivant des communautés ethniques en Thaïlande (n° 2006)</w:t>
            </w:r>
            <w:r w:rsidRPr="001E0BE0">
              <w:rPr>
                <w:b/>
                <w:sz w:val="20"/>
                <w:u w:val="single"/>
              </w:rPr>
              <w:t xml:space="preserve"> </w:t>
            </w:r>
          </w:p>
        </w:tc>
        <w:tc>
          <w:tcPr>
            <w:tcW w:w="1984" w:type="dxa"/>
            <w:shd w:val="clear" w:color="auto" w:fill="FFFFFF" w:themeFill="background1"/>
            <w:vAlign w:val="center"/>
          </w:tcPr>
          <w:p w14:paraId="01E85BB2" w14:textId="77777777" w:rsidR="00922075" w:rsidRPr="001E0BE0" w:rsidRDefault="00922075" w:rsidP="001E3343">
            <w:pPr>
              <w:spacing w:before="40" w:afterLines="40" w:after="96"/>
              <w:rPr>
                <w:rStyle w:val="Hyperlink"/>
                <w:rFonts w:ascii="Arial" w:hAnsi="Arial" w:cs="Arial"/>
                <w:snapToGrid w:val="0"/>
                <w:szCs w:val="22"/>
                <w:lang w:eastAsia="en-US"/>
              </w:rPr>
            </w:pPr>
            <w:hyperlink r:id="rId63" w:history="1">
              <w:r w:rsidRPr="001E0BE0">
                <w:rPr>
                  <w:rStyle w:val="Hyperlink"/>
                  <w:rFonts w:ascii="Arial" w:hAnsi="Arial" w:cs="Arial"/>
                  <w:sz w:val="20"/>
                </w:rPr>
                <w:t>17.COM 5.BUR 3.3</w:t>
              </w:r>
            </w:hyperlink>
          </w:p>
        </w:tc>
      </w:tr>
      <w:tr w:rsidR="00922075" w:rsidRPr="001E0BE0" w14:paraId="7E8A543C" w14:textId="77777777" w:rsidTr="002C4850">
        <w:tc>
          <w:tcPr>
            <w:tcW w:w="568" w:type="dxa"/>
            <w:shd w:val="clear" w:color="auto" w:fill="FFFFFF" w:themeFill="background1"/>
            <w:vAlign w:val="center"/>
          </w:tcPr>
          <w:p w14:paraId="4215F48B"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5F535136" w14:textId="77777777" w:rsidR="00922075" w:rsidRPr="001E0BE0" w:rsidRDefault="00922075" w:rsidP="001E3343">
            <w:pPr>
              <w:pStyle w:val="1GAPara"/>
              <w:numPr>
                <w:ilvl w:val="0"/>
                <w:numId w:val="0"/>
              </w:numPr>
              <w:spacing w:before="40" w:afterLines="40" w:after="96"/>
              <w:rPr>
                <w:sz w:val="20"/>
                <w:szCs w:val="20"/>
              </w:rPr>
            </w:pPr>
            <w:r w:rsidRPr="001E0BE0">
              <w:rPr>
                <w:sz w:val="20"/>
              </w:rPr>
              <w:t>Ouganda</w:t>
            </w:r>
          </w:p>
        </w:tc>
        <w:tc>
          <w:tcPr>
            <w:tcW w:w="5245" w:type="dxa"/>
            <w:shd w:val="clear" w:color="auto" w:fill="FFFFFF" w:themeFill="background1"/>
            <w:vAlign w:val="center"/>
          </w:tcPr>
          <w:p w14:paraId="1A5F60DB" w14:textId="77777777" w:rsidR="00922075" w:rsidRPr="001E0BE0" w:rsidRDefault="00922075" w:rsidP="001E3343">
            <w:pPr>
              <w:pStyle w:val="1GAPara"/>
              <w:numPr>
                <w:ilvl w:val="0"/>
                <w:numId w:val="0"/>
              </w:numPr>
              <w:spacing w:before="40" w:afterLines="40" w:after="96"/>
              <w:rPr>
                <w:sz w:val="20"/>
                <w:szCs w:val="20"/>
              </w:rPr>
            </w:pPr>
            <w:r w:rsidRPr="001E0BE0">
              <w:rPr>
                <w:sz w:val="20"/>
              </w:rPr>
              <w:t>Consolider et développer les efforts des musées communautaires pour la sauvegarde de six éléments du patrimoine culturel immatériel en Ouganda (n° 02152)</w:t>
            </w:r>
          </w:p>
        </w:tc>
        <w:tc>
          <w:tcPr>
            <w:tcW w:w="1984" w:type="dxa"/>
            <w:shd w:val="clear" w:color="auto" w:fill="FFFFFF" w:themeFill="background1"/>
            <w:vAlign w:val="center"/>
          </w:tcPr>
          <w:p w14:paraId="58137C09" w14:textId="77777777" w:rsidR="00922075" w:rsidRPr="001E0BE0" w:rsidRDefault="00922075" w:rsidP="001E3343">
            <w:pPr>
              <w:spacing w:before="40" w:afterLines="40" w:after="96"/>
              <w:rPr>
                <w:rFonts w:ascii="Arial" w:hAnsi="Arial" w:cs="Arial"/>
                <w:sz w:val="20"/>
              </w:rPr>
            </w:pPr>
            <w:hyperlink r:id="rId64" w:history="1">
              <w:r w:rsidRPr="001E0BE0">
                <w:rPr>
                  <w:rStyle w:val="Hyperlink"/>
                  <w:rFonts w:ascii="Arial" w:hAnsi="Arial" w:cs="Arial"/>
                  <w:sz w:val="20"/>
                </w:rPr>
                <w:t>19.COM 1.BUR 4.3</w:t>
              </w:r>
            </w:hyperlink>
          </w:p>
        </w:tc>
      </w:tr>
      <w:tr w:rsidR="00922075" w:rsidRPr="001E0BE0" w14:paraId="4B5EA58B" w14:textId="77777777" w:rsidTr="002C4850">
        <w:tc>
          <w:tcPr>
            <w:tcW w:w="568" w:type="dxa"/>
            <w:shd w:val="clear" w:color="auto" w:fill="FFFFFF" w:themeFill="background1"/>
            <w:vAlign w:val="center"/>
          </w:tcPr>
          <w:p w14:paraId="1BCE8260"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5C6C6B06" w14:textId="77777777" w:rsidR="00922075" w:rsidRPr="001E0BE0" w:rsidRDefault="00922075" w:rsidP="001E3343">
            <w:pPr>
              <w:pStyle w:val="1GAPara"/>
              <w:numPr>
                <w:ilvl w:val="0"/>
                <w:numId w:val="0"/>
              </w:numPr>
              <w:spacing w:before="40" w:afterLines="40" w:after="96"/>
              <w:rPr>
                <w:sz w:val="20"/>
                <w:szCs w:val="20"/>
              </w:rPr>
            </w:pPr>
            <w:r w:rsidRPr="001E0BE0">
              <w:rPr>
                <w:sz w:val="20"/>
              </w:rPr>
              <w:t>Ouganda</w:t>
            </w:r>
          </w:p>
        </w:tc>
        <w:tc>
          <w:tcPr>
            <w:tcW w:w="5245" w:type="dxa"/>
            <w:shd w:val="clear" w:color="auto" w:fill="FFFFFF" w:themeFill="background1"/>
            <w:vAlign w:val="center"/>
          </w:tcPr>
          <w:p w14:paraId="4652B054" w14:textId="77777777" w:rsidR="00922075" w:rsidRPr="001E0BE0" w:rsidRDefault="00922075" w:rsidP="001E3343">
            <w:pPr>
              <w:pStyle w:val="1GAPara"/>
              <w:numPr>
                <w:ilvl w:val="0"/>
                <w:numId w:val="0"/>
              </w:numPr>
              <w:spacing w:before="40" w:afterLines="40" w:after="96"/>
              <w:rPr>
                <w:sz w:val="20"/>
                <w:szCs w:val="20"/>
              </w:rPr>
            </w:pPr>
            <w:r w:rsidRPr="001E0BE0">
              <w:rPr>
                <w:sz w:val="20"/>
              </w:rPr>
              <w:t>Consolider la promotion de l’éducation au patrimoine culturel immatériel dans les établissements d’enseignement supérieur en collaboration avec les communautés détentrices (n° 02160)</w:t>
            </w:r>
          </w:p>
        </w:tc>
        <w:tc>
          <w:tcPr>
            <w:tcW w:w="1984" w:type="dxa"/>
            <w:shd w:val="clear" w:color="auto" w:fill="FFFFFF" w:themeFill="background1"/>
            <w:vAlign w:val="center"/>
          </w:tcPr>
          <w:p w14:paraId="6D43569D" w14:textId="77777777" w:rsidR="00922075" w:rsidRPr="001E0BE0" w:rsidRDefault="00922075" w:rsidP="001E3343">
            <w:pPr>
              <w:spacing w:before="40" w:afterLines="40" w:after="96"/>
              <w:rPr>
                <w:rFonts w:ascii="Arial" w:hAnsi="Arial" w:cs="Arial"/>
                <w:sz w:val="20"/>
              </w:rPr>
            </w:pPr>
            <w:hyperlink r:id="rId65" w:history="1">
              <w:r w:rsidRPr="001E0BE0">
                <w:rPr>
                  <w:rStyle w:val="Hyperlink"/>
                  <w:rFonts w:ascii="Arial" w:hAnsi="Arial" w:cs="Arial"/>
                  <w:sz w:val="20"/>
                </w:rPr>
                <w:t>18.COM 3.BUR 3.3</w:t>
              </w:r>
            </w:hyperlink>
          </w:p>
        </w:tc>
      </w:tr>
      <w:tr w:rsidR="00922075" w:rsidRPr="001E0BE0" w14:paraId="286ECD0E" w14:textId="77777777" w:rsidTr="002C4850">
        <w:tc>
          <w:tcPr>
            <w:tcW w:w="568" w:type="dxa"/>
            <w:shd w:val="clear" w:color="auto" w:fill="FFFFFF" w:themeFill="background1"/>
            <w:vAlign w:val="center"/>
          </w:tcPr>
          <w:p w14:paraId="09019D8A"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1E057B05" w14:textId="77777777" w:rsidR="00922075" w:rsidRPr="001E0BE0" w:rsidRDefault="00922075" w:rsidP="001E3343">
            <w:pPr>
              <w:pStyle w:val="1GAPara"/>
              <w:numPr>
                <w:ilvl w:val="0"/>
                <w:numId w:val="0"/>
              </w:numPr>
              <w:spacing w:before="40" w:afterLines="40" w:after="96"/>
              <w:rPr>
                <w:sz w:val="20"/>
                <w:szCs w:val="20"/>
              </w:rPr>
            </w:pPr>
            <w:r w:rsidRPr="001E0BE0">
              <w:rPr>
                <w:sz w:val="20"/>
              </w:rPr>
              <w:t>Ouzbékistan*</w:t>
            </w:r>
          </w:p>
        </w:tc>
        <w:tc>
          <w:tcPr>
            <w:tcW w:w="5245" w:type="dxa"/>
            <w:shd w:val="clear" w:color="auto" w:fill="FFFFFF" w:themeFill="background1"/>
            <w:vAlign w:val="center"/>
          </w:tcPr>
          <w:p w14:paraId="534D3805" w14:textId="77777777" w:rsidR="00922075" w:rsidRPr="001E0BE0" w:rsidRDefault="00922075" w:rsidP="001E3343">
            <w:pPr>
              <w:spacing w:before="40" w:afterLines="40" w:after="96"/>
              <w:rPr>
                <w:rFonts w:ascii="Arial" w:hAnsi="Arial" w:cs="Arial"/>
                <w:b/>
                <w:bCs/>
                <w:sz w:val="20"/>
                <w:u w:val="single"/>
              </w:rPr>
            </w:pPr>
            <w:r w:rsidRPr="001E0BE0">
              <w:rPr>
                <w:rFonts w:ascii="Arial" w:hAnsi="Arial" w:cs="Arial"/>
                <w:sz w:val="20"/>
              </w:rPr>
              <w:t xml:space="preserve">Sauvegarde urgente de la fabrication de l’instrument de musique traditionnel Kobyz et de sa pratique traditionnelle </w:t>
            </w:r>
            <w:proofErr w:type="spellStart"/>
            <w:r w:rsidRPr="001E0BE0">
              <w:rPr>
                <w:rFonts w:ascii="Arial" w:hAnsi="Arial" w:cs="Arial"/>
                <w:sz w:val="20"/>
              </w:rPr>
              <w:t>Zhyrau</w:t>
            </w:r>
            <w:proofErr w:type="spellEnd"/>
            <w:r w:rsidRPr="001E0BE0">
              <w:rPr>
                <w:rFonts w:ascii="Arial" w:hAnsi="Arial" w:cs="Arial"/>
                <w:sz w:val="20"/>
              </w:rPr>
              <w:t xml:space="preserve"> (n° 02146)</w:t>
            </w:r>
          </w:p>
        </w:tc>
        <w:tc>
          <w:tcPr>
            <w:tcW w:w="1984" w:type="dxa"/>
            <w:shd w:val="clear" w:color="auto" w:fill="FFFFFF" w:themeFill="background1"/>
            <w:vAlign w:val="center"/>
          </w:tcPr>
          <w:p w14:paraId="546B036A" w14:textId="77777777" w:rsidR="00922075" w:rsidRPr="001E0BE0" w:rsidRDefault="00922075" w:rsidP="001E3343">
            <w:pPr>
              <w:spacing w:before="40" w:afterLines="40" w:after="96"/>
              <w:rPr>
                <w:rStyle w:val="Hyperlink"/>
                <w:rFonts w:ascii="Arial" w:hAnsi="Arial" w:cs="Arial"/>
                <w:color w:val="0563C1"/>
                <w:sz w:val="20"/>
              </w:rPr>
            </w:pPr>
            <w:hyperlink r:id="rId66" w:history="1">
              <w:r w:rsidRPr="001E0BE0">
                <w:rPr>
                  <w:rStyle w:val="Hyperlink"/>
                  <w:rFonts w:ascii="Arial" w:hAnsi="Arial" w:cs="Arial"/>
                  <w:sz w:val="20"/>
                </w:rPr>
                <w:t>18.COM 2.BUR 4.7</w:t>
              </w:r>
            </w:hyperlink>
          </w:p>
        </w:tc>
      </w:tr>
      <w:tr w:rsidR="00922075" w:rsidRPr="001E0BE0" w14:paraId="2D1B0656" w14:textId="77777777" w:rsidTr="002C4850">
        <w:tc>
          <w:tcPr>
            <w:tcW w:w="568" w:type="dxa"/>
            <w:shd w:val="clear" w:color="auto" w:fill="FFFFFF" w:themeFill="background1"/>
            <w:vAlign w:val="center"/>
          </w:tcPr>
          <w:p w14:paraId="3DBD59DE" w14:textId="77777777" w:rsidR="00922075" w:rsidRPr="001E0BE0" w:rsidRDefault="00922075" w:rsidP="001E3343">
            <w:pPr>
              <w:pStyle w:val="1GAPara"/>
              <w:spacing w:before="40" w:afterLines="40" w:after="96"/>
              <w:ind w:left="440"/>
              <w:rPr>
                <w:sz w:val="20"/>
                <w:szCs w:val="20"/>
              </w:rPr>
            </w:pPr>
          </w:p>
        </w:tc>
        <w:tc>
          <w:tcPr>
            <w:tcW w:w="2409" w:type="dxa"/>
            <w:shd w:val="clear" w:color="auto" w:fill="FFFFFF" w:themeFill="background1"/>
            <w:vAlign w:val="center"/>
          </w:tcPr>
          <w:p w14:paraId="242D73F0" w14:textId="77777777" w:rsidR="00922075" w:rsidRPr="001E0BE0" w:rsidRDefault="00922075" w:rsidP="001E3343">
            <w:pPr>
              <w:spacing w:before="40" w:afterLines="40" w:after="96"/>
              <w:rPr>
                <w:rFonts w:ascii="Arial" w:hAnsi="Arial" w:cs="Arial"/>
                <w:sz w:val="20"/>
              </w:rPr>
            </w:pPr>
            <w:r w:rsidRPr="001E0BE0">
              <w:rPr>
                <w:rFonts w:ascii="Arial" w:hAnsi="Arial" w:cs="Arial"/>
                <w:sz w:val="20"/>
              </w:rPr>
              <w:t>Zimbabwe</w:t>
            </w:r>
          </w:p>
        </w:tc>
        <w:tc>
          <w:tcPr>
            <w:tcW w:w="5245" w:type="dxa"/>
            <w:shd w:val="clear" w:color="auto" w:fill="FFFFFF" w:themeFill="background1"/>
            <w:vAlign w:val="center"/>
          </w:tcPr>
          <w:p w14:paraId="7EC5934D" w14:textId="77777777" w:rsidR="00922075" w:rsidRPr="001E0BE0" w:rsidRDefault="00922075" w:rsidP="001E3343">
            <w:pPr>
              <w:spacing w:before="40" w:afterLines="40" w:after="96"/>
              <w:rPr>
                <w:rFonts w:ascii="Arial" w:hAnsi="Arial" w:cs="Arial"/>
                <w:sz w:val="20"/>
              </w:rPr>
            </w:pPr>
            <w:r w:rsidRPr="001E0BE0">
              <w:rPr>
                <w:rFonts w:ascii="Arial" w:hAnsi="Arial" w:cs="Arial"/>
                <w:sz w:val="20"/>
              </w:rPr>
              <w:t>La sensibilisation à l’importance de la Convention de l’UNESCO de 2003 pour la sauvegarde du patrimoine culturel immatériel parmi l’autorité traditionnelle et les communautés locales au Zimbabwe (n° 01901)</w:t>
            </w:r>
          </w:p>
        </w:tc>
        <w:tc>
          <w:tcPr>
            <w:tcW w:w="1984" w:type="dxa"/>
            <w:shd w:val="clear" w:color="auto" w:fill="FFFFFF" w:themeFill="background1"/>
            <w:vAlign w:val="center"/>
          </w:tcPr>
          <w:p w14:paraId="7CB0FE5C" w14:textId="77777777" w:rsidR="00922075" w:rsidRPr="001E0BE0" w:rsidRDefault="00922075" w:rsidP="001E3343">
            <w:pPr>
              <w:spacing w:before="40" w:afterLines="40" w:after="96"/>
              <w:rPr>
                <w:rFonts w:ascii="Arial" w:hAnsi="Arial" w:cs="Arial"/>
                <w:sz w:val="20"/>
              </w:rPr>
            </w:pPr>
            <w:hyperlink r:id="rId67" w:history="1">
              <w:r w:rsidRPr="001E0BE0">
                <w:rPr>
                  <w:rStyle w:val="Hyperlink"/>
                  <w:rFonts w:ascii="Arial" w:hAnsi="Arial" w:cs="Arial"/>
                  <w:sz w:val="20"/>
                </w:rPr>
                <w:t>18.COM 8.d</w:t>
              </w:r>
            </w:hyperlink>
          </w:p>
        </w:tc>
      </w:tr>
    </w:tbl>
    <w:p w14:paraId="00CECEEA" w14:textId="77777777" w:rsidR="00922075" w:rsidRPr="001E0BE0" w:rsidRDefault="00922075" w:rsidP="001E3343">
      <w:pPr>
        <w:pStyle w:val="1GAPara"/>
        <w:numPr>
          <w:ilvl w:val="0"/>
          <w:numId w:val="0"/>
        </w:numPr>
      </w:pPr>
      <w:r w:rsidRPr="001E0BE0">
        <w:rPr>
          <w:sz w:val="18"/>
        </w:rPr>
        <w:t>* Première assistance internationale accordée</w:t>
      </w:r>
    </w:p>
    <w:p w14:paraId="45FA2347" w14:textId="77777777" w:rsidR="00922075" w:rsidRPr="001E0BE0" w:rsidRDefault="00922075" w:rsidP="001E3343">
      <w:pPr>
        <w:spacing w:after="0"/>
        <w:jc w:val="center"/>
        <w:rPr>
          <w:rFonts w:ascii="Arial" w:hAnsi="Arial" w:cs="Arial"/>
          <w:b/>
          <w:u w:val="single"/>
          <w:lang w:val="en-US"/>
        </w:rPr>
      </w:pPr>
    </w:p>
    <w:bookmarkEnd w:id="11"/>
    <w:p w14:paraId="55EA834F" w14:textId="77777777" w:rsidR="0059040F" w:rsidRPr="001E0BE0" w:rsidRDefault="0059040F" w:rsidP="001E3343">
      <w:pPr>
        <w:spacing w:after="0"/>
        <w:rPr>
          <w:rFonts w:ascii="Arial" w:hAnsi="Arial" w:cs="Arial"/>
          <w:b/>
        </w:rPr>
      </w:pPr>
      <w:r w:rsidRPr="001E0BE0">
        <w:rPr>
          <w:rFonts w:ascii="Arial" w:hAnsi="Arial" w:cs="Arial"/>
          <w:b/>
        </w:rPr>
        <w:br w:type="page"/>
      </w:r>
    </w:p>
    <w:p w14:paraId="14B7EA60" w14:textId="2B9DEAD5" w:rsidR="009133B9" w:rsidRPr="001E0BE0" w:rsidRDefault="009133B9" w:rsidP="001E3343">
      <w:pPr>
        <w:spacing w:after="0"/>
        <w:jc w:val="center"/>
        <w:rPr>
          <w:rFonts w:ascii="Arial" w:hAnsi="Arial" w:cs="Arial"/>
        </w:rPr>
      </w:pPr>
      <w:bookmarkStart w:id="12" w:name="AnnexVI"/>
      <w:r w:rsidRPr="001E0BE0">
        <w:rPr>
          <w:rFonts w:ascii="Arial" w:hAnsi="Arial" w:cs="Arial"/>
          <w:b/>
          <w:u w:val="single"/>
        </w:rPr>
        <w:lastRenderedPageBreak/>
        <w:t>ANNEXE VI</w:t>
      </w:r>
    </w:p>
    <w:bookmarkEnd w:id="12"/>
    <w:p w14:paraId="208FB452" w14:textId="77777777" w:rsidR="00A57CDC" w:rsidRPr="001E0BE0" w:rsidRDefault="00A57CDC" w:rsidP="001E3343">
      <w:pPr>
        <w:spacing w:after="0"/>
        <w:jc w:val="center"/>
        <w:rPr>
          <w:rFonts w:ascii="Arial" w:eastAsiaTheme="minorEastAsia" w:hAnsi="Arial" w:cs="Arial"/>
          <w:b/>
          <w:szCs w:val="22"/>
          <w:lang w:eastAsia="ko-KR"/>
        </w:rPr>
      </w:pPr>
    </w:p>
    <w:p w14:paraId="44056815" w14:textId="77777777" w:rsidR="00A57CDC" w:rsidRPr="001E0BE0" w:rsidRDefault="00A57CDC" w:rsidP="001E3343">
      <w:pPr>
        <w:spacing w:after="0"/>
        <w:jc w:val="center"/>
        <w:rPr>
          <w:rFonts w:ascii="Arial" w:eastAsiaTheme="minorEastAsia" w:hAnsi="Arial" w:cs="Arial"/>
          <w:b/>
          <w:bCs/>
        </w:rPr>
      </w:pPr>
      <w:r w:rsidRPr="001E0BE0">
        <w:rPr>
          <w:rFonts w:ascii="Arial" w:hAnsi="Arial" w:cs="Arial"/>
          <w:b/>
        </w:rPr>
        <w:t>RAPPORT SUR LA MISE EN ŒUVRE</w:t>
      </w:r>
      <w:bookmarkStart w:id="13" w:name="_Hlk208418445"/>
      <w:r w:rsidRPr="001E0BE0">
        <w:rPr>
          <w:rFonts w:ascii="Arial" w:hAnsi="Arial" w:cs="Arial"/>
          <w:b/>
        </w:rPr>
        <w:t xml:space="preserve"> DU PLAN DE DÉPENSES POUR </w:t>
      </w:r>
    </w:p>
    <w:p w14:paraId="1E76D39C" w14:textId="77777777" w:rsidR="00A57CDC" w:rsidRPr="001E0BE0" w:rsidRDefault="00A57CDC" w:rsidP="001E3343">
      <w:pPr>
        <w:spacing w:after="0"/>
        <w:jc w:val="center"/>
        <w:rPr>
          <w:rFonts w:ascii="Arial" w:eastAsiaTheme="minorEastAsia" w:hAnsi="Arial" w:cs="Arial"/>
          <w:b/>
          <w:bCs/>
        </w:rPr>
      </w:pPr>
      <w:r w:rsidRPr="001E0BE0">
        <w:rPr>
          <w:rFonts w:ascii="Arial" w:hAnsi="Arial" w:cs="Arial"/>
          <w:b/>
        </w:rPr>
        <w:t>LES « AUTRES FONCTIONS DU COMITÉ »</w:t>
      </w:r>
    </w:p>
    <w:bookmarkEnd w:id="13"/>
    <w:p w14:paraId="4FA0C350" w14:textId="77777777" w:rsidR="00A57CDC" w:rsidRPr="001E0BE0" w:rsidRDefault="00A57CDC" w:rsidP="001E3343">
      <w:pPr>
        <w:spacing w:after="0"/>
        <w:jc w:val="center"/>
        <w:rPr>
          <w:rFonts w:ascii="Arial" w:eastAsiaTheme="minorEastAsia" w:hAnsi="Arial" w:cs="Arial"/>
          <w:b/>
          <w:bCs/>
        </w:rPr>
      </w:pPr>
    </w:p>
    <w:p w14:paraId="6571C461" w14:textId="20218E74" w:rsidR="00A57CDC" w:rsidRPr="001E0BE0" w:rsidRDefault="00A57CDC" w:rsidP="001E3343">
      <w:pPr>
        <w:spacing w:after="360"/>
        <w:jc w:val="center"/>
        <w:rPr>
          <w:rFonts w:ascii="Arial" w:eastAsiaTheme="minorEastAsia" w:hAnsi="Arial" w:cs="Arial"/>
          <w:b/>
          <w:bCs/>
        </w:rPr>
      </w:pPr>
      <w:r w:rsidRPr="001E0BE0">
        <w:rPr>
          <w:rFonts w:ascii="Arial" w:hAnsi="Arial" w:cs="Arial"/>
          <w:b/>
        </w:rPr>
        <w:t>1 JANVIER 2024 AU 31 DÉCEMBRE 2025</w:t>
      </w:r>
    </w:p>
    <w:p w14:paraId="5887A1CA" w14:textId="60A903B0" w:rsidR="00A57CDC" w:rsidRPr="001E0BE0" w:rsidRDefault="00A57CDC" w:rsidP="001E3343">
      <w:pPr>
        <w:spacing w:after="0"/>
        <w:jc w:val="both"/>
        <w:rPr>
          <w:rFonts w:ascii="Arial" w:hAnsi="Arial" w:cs="Arial"/>
          <w:snapToGrid w:val="0"/>
          <w:szCs w:val="22"/>
        </w:rPr>
      </w:pPr>
      <w:r w:rsidRPr="001E0BE0">
        <w:rPr>
          <w:rFonts w:ascii="Arial" w:hAnsi="Arial" w:cs="Arial"/>
          <w:snapToGrid w:val="0"/>
        </w:rPr>
        <w:t xml:space="preserve">Pour la période allant du 1 janvier 2024 au 31 décembre 2025, le plan de dépenses pour les </w:t>
      </w:r>
      <w:bookmarkStart w:id="14" w:name="_Hlk101342770"/>
      <w:r w:rsidRPr="001E0BE0">
        <w:rPr>
          <w:rFonts w:ascii="Arial" w:hAnsi="Arial" w:cs="Arial"/>
          <w:snapToGrid w:val="0"/>
        </w:rPr>
        <w:t xml:space="preserve">« autres fonctions du Comité » </w:t>
      </w:r>
      <w:bookmarkEnd w:id="14"/>
      <w:r w:rsidRPr="001E0BE0">
        <w:rPr>
          <w:rFonts w:ascii="Arial" w:hAnsi="Arial" w:cs="Arial"/>
          <w:snapToGrid w:val="0"/>
        </w:rPr>
        <w:t>a été approuvé par l’Assemblée générale en juillet 2024 (Résolution </w:t>
      </w:r>
      <w:hyperlink r:id="rId68" w:history="1">
        <w:r w:rsidRPr="001E0BE0">
          <w:rPr>
            <w:rFonts w:ascii="Arial" w:hAnsi="Arial" w:cs="Arial"/>
            <w:snapToGrid w:val="0"/>
            <w:color w:val="0000FF" w:themeColor="hyperlink"/>
            <w:u w:val="single"/>
          </w:rPr>
          <w:t>10.GA 8</w:t>
        </w:r>
      </w:hyperlink>
      <w:r w:rsidRPr="001E0BE0">
        <w:rPr>
          <w:rFonts w:ascii="Arial" w:hAnsi="Arial" w:cs="Arial"/>
          <w:snapToGrid w:val="0"/>
        </w:rPr>
        <w:t>). Les tableaux ci-dessous fournissent des informations sur (a) la mise en œuvre des activités pour la période allant du 1 janvier 2024 au 31 décembre 2025, telles qu’approuvée dans le plan de dépenses, ainsi que (b) un tableau sous chaque résultat escompté fournissant une analyse des principaux défis rencontrés et des mesures correctives adoptées.</w:t>
      </w:r>
    </w:p>
    <w:p w14:paraId="6656B971" w14:textId="77777777" w:rsidR="00A57CDC" w:rsidRPr="001E0BE0" w:rsidRDefault="00A57CDC" w:rsidP="001E3343">
      <w:pPr>
        <w:pStyle w:val="1GAPara"/>
        <w:numPr>
          <w:ilvl w:val="0"/>
          <w:numId w:val="0"/>
        </w:numPr>
        <w:spacing w:before="240"/>
        <w:ind w:left="567" w:hanging="567"/>
        <w:jc w:val="both"/>
        <w:rPr>
          <w:b/>
          <w:bCs/>
          <w:caps/>
        </w:rPr>
      </w:pPr>
      <w:r w:rsidRPr="001E0BE0">
        <w:rPr>
          <w:b/>
          <w:caps/>
        </w:rPr>
        <w:t>Évaluation par résultat escompté</w:t>
      </w:r>
      <w:r w:rsidRPr="001E0BE0">
        <w:rPr>
          <w:rStyle w:val="FootnoteReference"/>
          <w:b/>
          <w:bCs/>
          <w:caps/>
        </w:rPr>
        <w:footnoteReference w:id="11"/>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4083"/>
        <w:gridCol w:w="1700"/>
      </w:tblGrid>
      <w:tr w:rsidR="00A57CDC" w:rsidRPr="001E0BE0" w14:paraId="1A8CE225" w14:textId="77777777" w:rsidTr="00A559D2">
        <w:trPr>
          <w:trHeight w:val="465"/>
          <w:jc w:val="center"/>
        </w:trPr>
        <w:tc>
          <w:tcPr>
            <w:tcW w:w="2000" w:type="pct"/>
            <w:shd w:val="clear" w:color="auto" w:fill="C6D9F1"/>
            <w:vAlign w:val="center"/>
          </w:tcPr>
          <w:p w14:paraId="281515F2" w14:textId="77777777" w:rsidR="00A57CDC" w:rsidRPr="001E0BE0" w:rsidRDefault="00A57CDC" w:rsidP="001E3343">
            <w:pPr>
              <w:keepNext/>
              <w:spacing w:before="120"/>
              <w:jc w:val="center"/>
              <w:rPr>
                <w:rFonts w:ascii="Arial" w:eastAsia="Calibri" w:hAnsi="Arial" w:cs="Arial"/>
                <w:b/>
                <w:sz w:val="20"/>
                <w:szCs w:val="20"/>
              </w:rPr>
            </w:pPr>
            <w:r w:rsidRPr="001E0BE0">
              <w:rPr>
                <w:rFonts w:ascii="Arial" w:hAnsi="Arial" w:cs="Arial"/>
                <w:b/>
                <w:sz w:val="20"/>
              </w:rPr>
              <w:t>Budget approuvé pour 2024-2025</w:t>
            </w:r>
          </w:p>
        </w:tc>
        <w:tc>
          <w:tcPr>
            <w:tcW w:w="2118" w:type="pct"/>
            <w:shd w:val="clear" w:color="auto" w:fill="C6D9F1"/>
            <w:vAlign w:val="center"/>
          </w:tcPr>
          <w:p w14:paraId="4BF79BFC" w14:textId="77777777" w:rsidR="00A57CDC" w:rsidRPr="001E0BE0" w:rsidRDefault="00A57CDC" w:rsidP="001E3343">
            <w:pPr>
              <w:keepNext/>
              <w:spacing w:before="120"/>
              <w:jc w:val="center"/>
              <w:rPr>
                <w:rFonts w:ascii="Arial" w:eastAsia="Calibri" w:hAnsi="Arial" w:cs="Arial"/>
                <w:b/>
                <w:sz w:val="20"/>
                <w:szCs w:val="20"/>
              </w:rPr>
            </w:pPr>
            <w:r w:rsidRPr="001E0BE0">
              <w:rPr>
                <w:rFonts w:ascii="Arial" w:hAnsi="Arial" w:cs="Arial"/>
                <w:b/>
                <w:sz w:val="20"/>
              </w:rPr>
              <w:t>Dépenses au 31/12/2025</w:t>
            </w:r>
          </w:p>
        </w:tc>
        <w:tc>
          <w:tcPr>
            <w:tcW w:w="882" w:type="pct"/>
            <w:shd w:val="clear" w:color="auto" w:fill="C6D9F1"/>
            <w:vAlign w:val="center"/>
          </w:tcPr>
          <w:p w14:paraId="7527FFCA" w14:textId="77777777" w:rsidR="00A57CDC" w:rsidRPr="001E0BE0" w:rsidRDefault="00A57CDC" w:rsidP="001E3343">
            <w:pPr>
              <w:keepNext/>
              <w:spacing w:before="120"/>
              <w:jc w:val="center"/>
              <w:rPr>
                <w:rFonts w:ascii="Arial" w:eastAsia="Calibri" w:hAnsi="Arial" w:cs="Arial"/>
                <w:b/>
                <w:sz w:val="20"/>
                <w:szCs w:val="20"/>
              </w:rPr>
            </w:pPr>
            <w:r w:rsidRPr="001E0BE0">
              <w:rPr>
                <w:rFonts w:ascii="Arial" w:hAnsi="Arial" w:cs="Arial"/>
                <w:b/>
                <w:sz w:val="20"/>
              </w:rPr>
              <w:t>Taux de dépense (%)</w:t>
            </w:r>
            <w:r w:rsidRPr="001E0BE0">
              <w:rPr>
                <w:rFonts w:ascii="Arial" w:hAnsi="Arial" w:cs="Arial"/>
                <w:b/>
                <w:sz w:val="20"/>
              </w:rPr>
              <w:br/>
              <w:t>au 31/12/2025</w:t>
            </w:r>
          </w:p>
        </w:tc>
      </w:tr>
      <w:tr w:rsidR="00A57CDC" w:rsidRPr="001E0BE0" w14:paraId="35F681A1" w14:textId="77777777" w:rsidTr="00A559D2">
        <w:trPr>
          <w:trHeight w:val="465"/>
          <w:jc w:val="center"/>
        </w:trPr>
        <w:tc>
          <w:tcPr>
            <w:tcW w:w="2000" w:type="pct"/>
          </w:tcPr>
          <w:p w14:paraId="29CC5F5D" w14:textId="77777777" w:rsidR="00A57CDC" w:rsidRPr="001E0BE0" w:rsidRDefault="00A57CDC" w:rsidP="001E3343">
            <w:pPr>
              <w:keepNext/>
              <w:spacing w:before="120"/>
              <w:jc w:val="center"/>
              <w:rPr>
                <w:rFonts w:ascii="Arial" w:eastAsia="Calibri" w:hAnsi="Arial" w:cs="Arial"/>
                <w:sz w:val="20"/>
                <w:szCs w:val="20"/>
              </w:rPr>
            </w:pPr>
            <w:r w:rsidRPr="001E0BE0">
              <w:rPr>
                <w:rFonts w:ascii="Arial" w:hAnsi="Arial" w:cs="Arial"/>
                <w:sz w:val="20"/>
              </w:rPr>
              <w:t>1 637 915</w:t>
            </w:r>
          </w:p>
        </w:tc>
        <w:tc>
          <w:tcPr>
            <w:tcW w:w="2118" w:type="pct"/>
          </w:tcPr>
          <w:p w14:paraId="207335EC" w14:textId="77777777" w:rsidR="00A57CDC" w:rsidRPr="001E0BE0" w:rsidRDefault="00A57CDC" w:rsidP="001E3343">
            <w:pPr>
              <w:keepNext/>
              <w:spacing w:before="120"/>
              <w:jc w:val="center"/>
              <w:rPr>
                <w:rFonts w:ascii="Arial" w:eastAsia="Calibri" w:hAnsi="Arial" w:cs="Arial"/>
                <w:sz w:val="20"/>
                <w:szCs w:val="20"/>
              </w:rPr>
            </w:pPr>
            <w:r w:rsidRPr="001E0BE0">
              <w:rPr>
                <w:rFonts w:ascii="Arial" w:hAnsi="Arial" w:cs="Arial"/>
                <w:sz w:val="20"/>
              </w:rPr>
              <w:t>1 275 873,56</w:t>
            </w:r>
          </w:p>
        </w:tc>
        <w:tc>
          <w:tcPr>
            <w:tcW w:w="882" w:type="pct"/>
          </w:tcPr>
          <w:p w14:paraId="7EE86EFB" w14:textId="77777777" w:rsidR="00A57CDC" w:rsidRPr="001E0BE0" w:rsidRDefault="00A57CDC" w:rsidP="001E3343">
            <w:pPr>
              <w:keepNext/>
              <w:spacing w:before="120"/>
              <w:jc w:val="center"/>
              <w:rPr>
                <w:rFonts w:ascii="Arial" w:eastAsia="Calibri" w:hAnsi="Arial" w:cs="Arial"/>
                <w:sz w:val="20"/>
                <w:szCs w:val="20"/>
              </w:rPr>
            </w:pPr>
            <w:r w:rsidRPr="001E0BE0">
              <w:rPr>
                <w:rFonts w:ascii="Arial" w:hAnsi="Arial" w:cs="Arial"/>
                <w:sz w:val="20"/>
              </w:rPr>
              <w:t>77,9 %</w:t>
            </w:r>
          </w:p>
        </w:tc>
      </w:tr>
    </w:tbl>
    <w:p w14:paraId="4CD7CD70" w14:textId="3D9E2F31" w:rsidR="00A57CDC" w:rsidRPr="001E0BE0" w:rsidRDefault="00A57CDC" w:rsidP="001E3343">
      <w:pPr>
        <w:keepNext/>
        <w:spacing w:before="240"/>
        <w:jc w:val="both"/>
        <w:rPr>
          <w:rFonts w:ascii="Arial" w:hAnsi="Arial" w:cs="Arial"/>
          <w:b/>
          <w:bCs/>
          <w:szCs w:val="22"/>
        </w:rPr>
      </w:pPr>
      <w:r w:rsidRPr="001E0BE0">
        <w:rPr>
          <w:rFonts w:ascii="Arial" w:hAnsi="Arial" w:cs="Arial"/>
          <w:b/>
        </w:rPr>
        <w:t>Résultat escompté 1 :</w:t>
      </w:r>
      <w:r w:rsidR="004F7A88" w:rsidRPr="001E0BE0">
        <w:rPr>
          <w:rFonts w:ascii="Arial" w:hAnsi="Arial" w:cs="Arial"/>
          <w:b/>
        </w:rPr>
        <w:t xml:space="preserve"> </w:t>
      </w:r>
      <w:r w:rsidRPr="001E0BE0">
        <w:rPr>
          <w:rFonts w:ascii="Arial" w:hAnsi="Arial" w:cs="Arial"/>
          <w:b/>
        </w:rPr>
        <w:t xml:space="preserve">Mise en œuvre de la Convention </w:t>
      </w:r>
      <w:r w:rsidR="00620857" w:rsidRPr="001E0BE0">
        <w:rPr>
          <w:rFonts w:ascii="Arial" w:hAnsi="Arial" w:cs="Arial"/>
          <w:b/>
        </w:rPr>
        <w:t>améliorée</w:t>
      </w:r>
      <w:r w:rsidR="004F7A88" w:rsidRPr="001E0BE0">
        <w:rPr>
          <w:rFonts w:ascii="Arial" w:hAnsi="Arial" w:cs="Arial"/>
          <w:b/>
        </w:rPr>
        <w:t xml:space="preserve"> </w:t>
      </w:r>
      <w:r w:rsidR="00620857" w:rsidRPr="001E0BE0">
        <w:rPr>
          <w:rFonts w:ascii="Arial" w:hAnsi="Arial" w:cs="Arial"/>
          <w:b/>
        </w:rPr>
        <w:t xml:space="preserve">grâce à </w:t>
      </w:r>
      <w:r w:rsidRPr="001E0BE0">
        <w:rPr>
          <w:rFonts w:ascii="Arial" w:hAnsi="Arial" w:cs="Arial"/>
          <w:b/>
        </w:rPr>
        <w:t xml:space="preserve">un programme de renforcement des capacités et </w:t>
      </w:r>
      <w:r w:rsidR="00620857" w:rsidRPr="001E0BE0">
        <w:rPr>
          <w:rFonts w:ascii="Arial" w:hAnsi="Arial" w:cs="Arial"/>
          <w:b/>
        </w:rPr>
        <w:t xml:space="preserve">à </w:t>
      </w:r>
      <w:r w:rsidRPr="001E0BE0">
        <w:rPr>
          <w:rFonts w:ascii="Arial" w:hAnsi="Arial" w:cs="Arial"/>
          <w:b/>
        </w:rPr>
        <w:t>l’intégration du patrimoine culturel immatériel dans les plans, politiques et programmes de développement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081"/>
        <w:gridCol w:w="1702"/>
      </w:tblGrid>
      <w:tr w:rsidR="00A57CDC" w:rsidRPr="001E0BE0" w14:paraId="3DBED992" w14:textId="77777777" w:rsidTr="00A559D2">
        <w:trPr>
          <w:jc w:val="center"/>
        </w:trPr>
        <w:tc>
          <w:tcPr>
            <w:tcW w:w="1999" w:type="pct"/>
            <w:shd w:val="clear" w:color="auto" w:fill="C6D9F1"/>
            <w:vAlign w:val="center"/>
          </w:tcPr>
          <w:p w14:paraId="0DF11443" w14:textId="77777777" w:rsidR="00A57CDC" w:rsidRPr="001E0BE0" w:rsidRDefault="00A57CDC" w:rsidP="001E3343">
            <w:pPr>
              <w:keepNext/>
              <w:spacing w:before="120"/>
              <w:jc w:val="center"/>
              <w:rPr>
                <w:rFonts w:ascii="Arial" w:eastAsia="Calibri" w:hAnsi="Arial" w:cs="Arial"/>
                <w:b/>
                <w:sz w:val="20"/>
                <w:szCs w:val="20"/>
              </w:rPr>
            </w:pPr>
            <w:bookmarkStart w:id="15" w:name="_Hlk81489931"/>
            <w:r w:rsidRPr="001E0BE0">
              <w:rPr>
                <w:rFonts w:ascii="Arial" w:hAnsi="Arial" w:cs="Arial"/>
                <w:b/>
                <w:sz w:val="20"/>
              </w:rPr>
              <w:t>Somme allouée</w:t>
            </w:r>
          </w:p>
        </w:tc>
        <w:tc>
          <w:tcPr>
            <w:tcW w:w="2118" w:type="pct"/>
            <w:shd w:val="clear" w:color="auto" w:fill="C6D9F1"/>
            <w:vAlign w:val="center"/>
          </w:tcPr>
          <w:p w14:paraId="74A30842" w14:textId="77777777" w:rsidR="00A57CDC" w:rsidRPr="001E0BE0" w:rsidRDefault="00A57CDC" w:rsidP="001E3343">
            <w:pPr>
              <w:spacing w:before="120"/>
              <w:jc w:val="center"/>
              <w:rPr>
                <w:rFonts w:ascii="Arial" w:eastAsia="Calibri" w:hAnsi="Arial" w:cs="Arial"/>
                <w:b/>
                <w:sz w:val="20"/>
                <w:szCs w:val="20"/>
              </w:rPr>
            </w:pPr>
            <w:r w:rsidRPr="001E0BE0">
              <w:rPr>
                <w:rFonts w:ascii="Arial" w:hAnsi="Arial" w:cs="Arial"/>
                <w:b/>
                <w:sz w:val="20"/>
              </w:rPr>
              <w:t>Dépenses</w:t>
            </w:r>
          </w:p>
        </w:tc>
        <w:tc>
          <w:tcPr>
            <w:tcW w:w="883" w:type="pct"/>
            <w:shd w:val="clear" w:color="auto" w:fill="C6D9F1"/>
            <w:vAlign w:val="center"/>
          </w:tcPr>
          <w:p w14:paraId="2D80B57A" w14:textId="77777777" w:rsidR="00A57CDC" w:rsidRPr="001E0BE0" w:rsidRDefault="00A57CDC" w:rsidP="001E3343">
            <w:pPr>
              <w:spacing w:before="120"/>
              <w:jc w:val="center"/>
              <w:rPr>
                <w:rFonts w:ascii="Arial" w:eastAsia="Calibri" w:hAnsi="Arial" w:cs="Arial"/>
                <w:b/>
                <w:sz w:val="20"/>
                <w:szCs w:val="20"/>
              </w:rPr>
            </w:pPr>
            <w:r w:rsidRPr="001E0BE0">
              <w:rPr>
                <w:rFonts w:ascii="Arial" w:hAnsi="Arial" w:cs="Arial"/>
                <w:b/>
                <w:sz w:val="20"/>
              </w:rPr>
              <w:t>Taux de dépense (%)</w:t>
            </w:r>
            <w:r w:rsidRPr="001E0BE0">
              <w:rPr>
                <w:rFonts w:ascii="Arial" w:hAnsi="Arial" w:cs="Arial"/>
                <w:b/>
                <w:sz w:val="20"/>
              </w:rPr>
              <w:br/>
              <w:t>au 31/12/2025</w:t>
            </w:r>
          </w:p>
        </w:tc>
      </w:tr>
      <w:tr w:rsidR="00A57CDC" w:rsidRPr="001E0BE0" w14:paraId="57C592F0" w14:textId="77777777" w:rsidTr="00A559D2">
        <w:trPr>
          <w:jc w:val="center"/>
        </w:trPr>
        <w:tc>
          <w:tcPr>
            <w:tcW w:w="1999" w:type="pct"/>
          </w:tcPr>
          <w:p w14:paraId="5DAD7E1E" w14:textId="77777777" w:rsidR="00A57CDC" w:rsidRPr="001E0BE0" w:rsidRDefault="00A57CDC" w:rsidP="001E3343">
            <w:pPr>
              <w:spacing w:before="120"/>
              <w:jc w:val="center"/>
              <w:rPr>
                <w:rFonts w:ascii="Arial" w:eastAsia="Calibri" w:hAnsi="Arial" w:cs="Arial"/>
                <w:sz w:val="20"/>
                <w:szCs w:val="20"/>
              </w:rPr>
            </w:pPr>
            <w:r w:rsidRPr="001E0BE0">
              <w:rPr>
                <w:rFonts w:ascii="Arial" w:hAnsi="Arial" w:cs="Arial"/>
                <w:sz w:val="20"/>
              </w:rPr>
              <w:t>851 716</w:t>
            </w:r>
          </w:p>
        </w:tc>
        <w:tc>
          <w:tcPr>
            <w:tcW w:w="2118" w:type="pct"/>
          </w:tcPr>
          <w:p w14:paraId="63CC3B0F" w14:textId="77777777" w:rsidR="00A57CDC" w:rsidRPr="001E0BE0" w:rsidRDefault="00A57CDC" w:rsidP="001E3343">
            <w:pPr>
              <w:spacing w:before="120"/>
              <w:jc w:val="center"/>
              <w:rPr>
                <w:rFonts w:ascii="Arial" w:eastAsia="Calibri" w:hAnsi="Arial" w:cs="Arial"/>
                <w:sz w:val="20"/>
                <w:szCs w:val="20"/>
              </w:rPr>
            </w:pPr>
            <w:r w:rsidRPr="001E0BE0">
              <w:rPr>
                <w:rFonts w:ascii="Arial" w:hAnsi="Arial" w:cs="Arial"/>
                <w:sz w:val="20"/>
              </w:rPr>
              <w:t>663 421,80</w:t>
            </w:r>
          </w:p>
        </w:tc>
        <w:tc>
          <w:tcPr>
            <w:tcW w:w="883" w:type="pct"/>
          </w:tcPr>
          <w:p w14:paraId="2D029973" w14:textId="77777777" w:rsidR="00A57CDC" w:rsidRPr="001E0BE0" w:rsidRDefault="00A57CDC" w:rsidP="001E3343">
            <w:pPr>
              <w:spacing w:before="120"/>
              <w:jc w:val="center"/>
              <w:rPr>
                <w:rFonts w:ascii="Arial" w:eastAsia="Calibri" w:hAnsi="Arial" w:cs="Arial"/>
                <w:sz w:val="20"/>
                <w:szCs w:val="20"/>
              </w:rPr>
            </w:pPr>
            <w:r w:rsidRPr="001E0BE0">
              <w:rPr>
                <w:rFonts w:ascii="Arial" w:hAnsi="Arial" w:cs="Arial"/>
                <w:sz w:val="20"/>
              </w:rPr>
              <w:t>77,9 %</w:t>
            </w:r>
          </w:p>
        </w:tc>
      </w:tr>
    </w:tbl>
    <w:p w14:paraId="51A2E9F0" w14:textId="77777777" w:rsidR="00A57CDC" w:rsidRPr="001E0BE0" w:rsidRDefault="00A57CDC" w:rsidP="001E3343">
      <w:pPr>
        <w:spacing w:after="0"/>
        <w:rPr>
          <w:rFonts w:ascii="Arial" w:hAnsi="Arial" w:cs="Arial"/>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A57CDC" w:rsidRPr="001E0BE0" w14:paraId="705C009C" w14:textId="77777777" w:rsidTr="00A559D2">
        <w:trPr>
          <w:jc w:val="center"/>
        </w:trPr>
        <w:tc>
          <w:tcPr>
            <w:tcW w:w="9640" w:type="dxa"/>
            <w:shd w:val="clear" w:color="auto" w:fill="D9D9D9"/>
            <w:vAlign w:val="center"/>
          </w:tcPr>
          <w:p w14:paraId="71F5737A" w14:textId="77777777" w:rsidR="00A57CDC" w:rsidRPr="001E0BE0" w:rsidRDefault="00A57CDC" w:rsidP="001E3343">
            <w:pPr>
              <w:spacing w:before="60" w:after="60"/>
              <w:jc w:val="center"/>
              <w:rPr>
                <w:rFonts w:ascii="Arial" w:eastAsia="Calibri" w:hAnsi="Arial" w:cs="Arial"/>
                <w:b/>
                <w:sz w:val="20"/>
                <w:szCs w:val="20"/>
              </w:rPr>
            </w:pPr>
            <w:r w:rsidRPr="001E0BE0">
              <w:rPr>
                <w:rFonts w:ascii="Arial" w:hAnsi="Arial" w:cs="Arial"/>
                <w:b/>
                <w:sz w:val="20"/>
              </w:rPr>
              <w:t>Principales réalisations (du 01/01/2024 au 31/12/2025)</w:t>
            </w:r>
          </w:p>
        </w:tc>
      </w:tr>
      <w:tr w:rsidR="00A57CDC" w:rsidRPr="001E0BE0" w14:paraId="70BAE4B4" w14:textId="77777777" w:rsidTr="00A559D2">
        <w:trPr>
          <w:trHeight w:val="532"/>
          <w:jc w:val="center"/>
        </w:trPr>
        <w:tc>
          <w:tcPr>
            <w:tcW w:w="9640" w:type="dxa"/>
          </w:tcPr>
          <w:p w14:paraId="14905317" w14:textId="78854A2E" w:rsidR="00A57CDC" w:rsidRPr="001E0BE0" w:rsidRDefault="00A57CDC" w:rsidP="001E3343">
            <w:pPr>
              <w:spacing w:before="60" w:after="60"/>
              <w:jc w:val="both"/>
              <w:rPr>
                <w:rFonts w:ascii="Arial" w:eastAsia="Calibri" w:hAnsi="Arial" w:cs="Arial"/>
                <w:b/>
                <w:bCs/>
                <w:sz w:val="20"/>
                <w:szCs w:val="20"/>
              </w:rPr>
            </w:pPr>
            <w:r w:rsidRPr="001E0BE0">
              <w:rPr>
                <w:rFonts w:ascii="Arial" w:hAnsi="Arial" w:cs="Arial"/>
                <w:b/>
                <w:sz w:val="20"/>
              </w:rPr>
              <w:t xml:space="preserve">Réorientation </w:t>
            </w:r>
            <w:r w:rsidR="004F7A88" w:rsidRPr="001E0BE0">
              <w:rPr>
                <w:rFonts w:ascii="Arial" w:hAnsi="Arial" w:cs="Arial"/>
                <w:b/>
                <w:sz w:val="20"/>
              </w:rPr>
              <w:t xml:space="preserve">conduite </w:t>
            </w:r>
            <w:r w:rsidRPr="001E0BE0">
              <w:rPr>
                <w:rFonts w:ascii="Arial" w:hAnsi="Arial" w:cs="Arial"/>
                <w:b/>
                <w:sz w:val="20"/>
              </w:rPr>
              <w:t xml:space="preserve">du programme global de renforcement des capacités </w:t>
            </w:r>
          </w:p>
          <w:p w14:paraId="23AF64F1" w14:textId="05A2E1D0" w:rsidR="0035123B" w:rsidRPr="001E0BE0" w:rsidRDefault="00114A4D" w:rsidP="001E3343">
            <w:pPr>
              <w:pStyle w:val="ListParagraph"/>
              <w:numPr>
                <w:ilvl w:val="0"/>
                <w:numId w:val="25"/>
              </w:numPr>
              <w:tabs>
                <w:tab w:val="clear" w:pos="567"/>
              </w:tabs>
              <w:spacing w:before="60"/>
              <w:ind w:left="591" w:hanging="567"/>
              <w:rPr>
                <w:rFonts w:eastAsia="Calibri"/>
                <w:sz w:val="20"/>
                <w:szCs w:val="20"/>
              </w:rPr>
            </w:pPr>
            <w:r w:rsidRPr="001E0BE0">
              <w:rPr>
                <w:sz w:val="20"/>
              </w:rPr>
              <w:t xml:space="preserve">Lancement de la </w:t>
            </w:r>
            <w:hyperlink r:id="rId69" w:history="1">
              <w:r w:rsidRPr="001E0BE0">
                <w:rPr>
                  <w:rStyle w:val="Hyperlink"/>
                  <w:sz w:val="20"/>
                </w:rPr>
                <w:t>plateforme d’apprentissage de l’UNESCO</w:t>
              </w:r>
            </w:hyperlink>
            <w:r w:rsidRPr="001E0BE0">
              <w:rPr>
                <w:sz w:val="20"/>
              </w:rPr>
              <w:t xml:space="preserve"> pour la sauvegarde du patrimoine culturel immatériel en mai 2025, offrant un nouveau point d’accès </w:t>
            </w:r>
            <w:r w:rsidR="004F7A88" w:rsidRPr="001E0BE0">
              <w:rPr>
                <w:sz w:val="20"/>
              </w:rPr>
              <w:t xml:space="preserve">pour le </w:t>
            </w:r>
            <w:r w:rsidRPr="001E0BE0">
              <w:rPr>
                <w:sz w:val="20"/>
              </w:rPr>
              <w:t xml:space="preserve">renforcement des capacités </w:t>
            </w:r>
            <w:r w:rsidR="004F7A88" w:rsidRPr="001E0BE0">
              <w:rPr>
                <w:sz w:val="20"/>
              </w:rPr>
              <w:t xml:space="preserve">en ligne </w:t>
            </w:r>
            <w:r w:rsidRPr="001E0BE0">
              <w:rPr>
                <w:sz w:val="20"/>
              </w:rPr>
              <w:t>dans le cadre de la Convention, avec trois premiers cours axés sur :</w:t>
            </w:r>
          </w:p>
          <w:p w14:paraId="1BC60424" w14:textId="3712C61E" w:rsidR="00114A4D" w:rsidRPr="001E0BE0" w:rsidRDefault="0035123B" w:rsidP="001E3343">
            <w:pPr>
              <w:pStyle w:val="ListParagraph"/>
              <w:numPr>
                <w:ilvl w:val="0"/>
                <w:numId w:val="29"/>
              </w:numPr>
              <w:tabs>
                <w:tab w:val="clear" w:pos="567"/>
              </w:tabs>
              <w:spacing w:before="60"/>
              <w:ind w:left="1158" w:hanging="567"/>
              <w:rPr>
                <w:rFonts w:eastAsia="Calibri"/>
                <w:sz w:val="20"/>
                <w:szCs w:val="20"/>
              </w:rPr>
            </w:pPr>
            <w:r w:rsidRPr="001E0BE0">
              <w:rPr>
                <w:sz w:val="20"/>
              </w:rPr>
              <w:t>Le cadre global de résultats de la Convention de 2003 et son application à la conception, à la mise en œuvre et au suivi des projets axés sur les résultats (disponible en anglais, arabe, chinois, espagnol, français et russe) ;</w:t>
            </w:r>
          </w:p>
          <w:p w14:paraId="00708341" w14:textId="173C3146" w:rsidR="0035123B" w:rsidRPr="001E0BE0" w:rsidRDefault="0035123B" w:rsidP="001E3343">
            <w:pPr>
              <w:pStyle w:val="ListParagraph"/>
              <w:numPr>
                <w:ilvl w:val="0"/>
                <w:numId w:val="29"/>
              </w:numPr>
              <w:tabs>
                <w:tab w:val="clear" w:pos="567"/>
              </w:tabs>
              <w:spacing w:before="60"/>
              <w:ind w:left="1158" w:hanging="567"/>
              <w:rPr>
                <w:rFonts w:eastAsia="Calibri"/>
                <w:sz w:val="20"/>
                <w:szCs w:val="20"/>
              </w:rPr>
            </w:pPr>
            <w:r w:rsidRPr="001E0BE0">
              <w:rPr>
                <w:sz w:val="20"/>
              </w:rPr>
              <w:t>La mise en œuvre de la Convention de 2003 (anglais/français) ;</w:t>
            </w:r>
          </w:p>
          <w:p w14:paraId="773CC0BC" w14:textId="2DC9E3E4" w:rsidR="00A57CDC" w:rsidRPr="001E0BE0" w:rsidRDefault="0035123B" w:rsidP="001E3343">
            <w:pPr>
              <w:pStyle w:val="ListParagraph"/>
              <w:numPr>
                <w:ilvl w:val="0"/>
                <w:numId w:val="29"/>
              </w:numPr>
              <w:tabs>
                <w:tab w:val="clear" w:pos="567"/>
              </w:tabs>
              <w:spacing w:before="60"/>
              <w:ind w:left="1158" w:hanging="567"/>
              <w:rPr>
                <w:rFonts w:eastAsia="Calibri"/>
              </w:rPr>
            </w:pPr>
            <w:r w:rsidRPr="001E0BE0">
              <w:rPr>
                <w:sz w:val="20"/>
              </w:rPr>
              <w:t>La transformation de l’apprentissage avec le patrimoine vivant (anglais/français).</w:t>
            </w:r>
          </w:p>
        </w:tc>
      </w:tr>
      <w:tr w:rsidR="00A57CDC" w:rsidRPr="001E0BE0" w14:paraId="6E521EEA" w14:textId="77777777" w:rsidTr="00A559D2">
        <w:trPr>
          <w:trHeight w:val="673"/>
          <w:jc w:val="center"/>
        </w:trPr>
        <w:tc>
          <w:tcPr>
            <w:tcW w:w="9640" w:type="dxa"/>
          </w:tcPr>
          <w:p w14:paraId="4CE4C9B2" w14:textId="77777777" w:rsidR="00A57CDC" w:rsidRPr="001E0BE0" w:rsidRDefault="00A57CDC" w:rsidP="001E3343">
            <w:pPr>
              <w:spacing w:before="60" w:after="60"/>
              <w:jc w:val="both"/>
              <w:rPr>
                <w:rFonts w:ascii="Arial" w:eastAsia="Calibri" w:hAnsi="Arial" w:cs="Arial"/>
                <w:b/>
                <w:bCs/>
                <w:sz w:val="20"/>
                <w:szCs w:val="20"/>
              </w:rPr>
            </w:pPr>
            <w:r w:rsidRPr="001E0BE0">
              <w:rPr>
                <w:rFonts w:ascii="Arial" w:hAnsi="Arial" w:cs="Arial"/>
                <w:b/>
                <w:sz w:val="20"/>
              </w:rPr>
              <w:t>R</w:t>
            </w:r>
            <w:r w:rsidRPr="001E0BE0">
              <w:rPr>
                <w:rFonts w:ascii="Arial" w:hAnsi="Arial" w:cs="Arial"/>
                <w:b/>
                <w:snapToGrid w:val="0"/>
                <w:sz w:val="20"/>
              </w:rPr>
              <w:t xml:space="preserve">enforcement du réseau de facilitateurs </w:t>
            </w:r>
            <w:r w:rsidRPr="001E0BE0">
              <w:rPr>
                <w:rFonts w:ascii="Arial" w:hAnsi="Arial" w:cs="Arial"/>
                <w:b/>
                <w:sz w:val="20"/>
              </w:rPr>
              <w:t>du programme global de renforcement des capacités</w:t>
            </w:r>
          </w:p>
          <w:p w14:paraId="001A98B2" w14:textId="35387453" w:rsidR="00A57CDC" w:rsidRPr="001E0BE0" w:rsidRDefault="00A57CDC" w:rsidP="001E3343">
            <w:pPr>
              <w:pStyle w:val="ListParagraph"/>
              <w:numPr>
                <w:ilvl w:val="0"/>
                <w:numId w:val="25"/>
              </w:numPr>
              <w:tabs>
                <w:tab w:val="clear" w:pos="567"/>
              </w:tabs>
              <w:spacing w:before="60"/>
              <w:ind w:left="591" w:hanging="591"/>
              <w:rPr>
                <w:rFonts w:eastAsia="Calibri"/>
                <w:sz w:val="20"/>
                <w:szCs w:val="20"/>
              </w:rPr>
            </w:pPr>
            <w:r w:rsidRPr="001E0BE0">
              <w:rPr>
                <w:sz w:val="20"/>
              </w:rPr>
              <w:t>Expansion du réseau global de facilitateurs achevée avec l’</w:t>
            </w:r>
            <w:hyperlink r:id="rId70" w:history="1">
              <w:r w:rsidRPr="001E0BE0">
                <w:rPr>
                  <w:rStyle w:val="Hyperlink"/>
                  <w:sz w:val="20"/>
                </w:rPr>
                <w:t>atelier régional de formation des facilitateurs</w:t>
              </w:r>
            </w:hyperlink>
            <w:r w:rsidRPr="001E0BE0">
              <w:rPr>
                <w:sz w:val="20"/>
              </w:rPr>
              <w:t xml:space="preserve"> pour 26 facilitateurs nouvellement sélectionnés d’Amérique latine et des Caraïbes en mai 2024 (248 facilitateurs au total dans toutes les régions).</w:t>
            </w:r>
          </w:p>
          <w:p w14:paraId="17608EC7" w14:textId="54BD95E5" w:rsidR="00A57CDC" w:rsidRPr="001E0BE0" w:rsidRDefault="00A57CDC" w:rsidP="001E3343">
            <w:pPr>
              <w:pStyle w:val="ListParagraph"/>
              <w:numPr>
                <w:ilvl w:val="0"/>
                <w:numId w:val="25"/>
              </w:numPr>
              <w:tabs>
                <w:tab w:val="clear" w:pos="567"/>
              </w:tabs>
              <w:spacing w:before="60"/>
              <w:ind w:left="591" w:hanging="591"/>
              <w:rPr>
                <w:rFonts w:eastAsia="Calibri"/>
                <w:sz w:val="20"/>
                <w:szCs w:val="20"/>
              </w:rPr>
            </w:pPr>
            <w:r w:rsidRPr="001E0BE0">
              <w:rPr>
                <w:sz w:val="20"/>
              </w:rPr>
              <w:t xml:space="preserve">Renforcement des capacités du </w:t>
            </w:r>
            <w:r w:rsidR="004F7A88" w:rsidRPr="001E0BE0">
              <w:rPr>
                <w:sz w:val="20"/>
              </w:rPr>
              <w:t xml:space="preserve">global </w:t>
            </w:r>
            <w:r w:rsidRPr="001E0BE0">
              <w:rPr>
                <w:sz w:val="20"/>
              </w:rPr>
              <w:t xml:space="preserve">mondial de facilitateurs avec le </w:t>
            </w:r>
            <w:hyperlink r:id="rId71" w:history="1">
              <w:r w:rsidRPr="001E0BE0">
                <w:rPr>
                  <w:rStyle w:val="Hyperlink"/>
                  <w:sz w:val="20"/>
                </w:rPr>
                <w:t>programme de formation mondiale 2025 pour le réseau mondial de facilitateurs</w:t>
              </w:r>
            </w:hyperlink>
            <w:r w:rsidRPr="001E0BE0">
              <w:rPr>
                <w:sz w:val="20"/>
              </w:rPr>
              <w:t xml:space="preserve"> (en ligne, février à juillet 2025) comprenant un webinaire d’introduction et trois sessions thématiques axées sur le patrimoine vivant et la réduction </w:t>
            </w:r>
            <w:r w:rsidRPr="001E0BE0">
              <w:rPr>
                <w:sz w:val="20"/>
              </w:rPr>
              <w:lastRenderedPageBreak/>
              <w:t xml:space="preserve">des risques de catastrophe, la préparation des candidatures aux listes et au registre de la Convention, et le patrimoine vivant et l’éducation. </w:t>
            </w:r>
          </w:p>
        </w:tc>
      </w:tr>
      <w:tr w:rsidR="00A57CDC" w:rsidRPr="001E0BE0" w14:paraId="064DAA46" w14:textId="77777777" w:rsidTr="00A559D2">
        <w:trPr>
          <w:trHeight w:val="1377"/>
          <w:jc w:val="center"/>
        </w:trPr>
        <w:tc>
          <w:tcPr>
            <w:tcW w:w="9640" w:type="dxa"/>
          </w:tcPr>
          <w:p w14:paraId="5F78EF2C" w14:textId="1F6C670A" w:rsidR="00A57CDC" w:rsidRPr="001E0BE0" w:rsidRDefault="00A57CDC" w:rsidP="001E3343">
            <w:pPr>
              <w:spacing w:before="60" w:after="60"/>
              <w:jc w:val="both"/>
              <w:rPr>
                <w:rFonts w:ascii="Arial" w:eastAsia="Calibri" w:hAnsi="Arial" w:cs="Arial"/>
                <w:b/>
                <w:bCs/>
                <w:sz w:val="20"/>
                <w:szCs w:val="20"/>
              </w:rPr>
            </w:pPr>
            <w:r w:rsidRPr="001E0BE0">
              <w:rPr>
                <w:rFonts w:ascii="Arial" w:hAnsi="Arial" w:cs="Arial"/>
                <w:b/>
                <w:sz w:val="20"/>
              </w:rPr>
              <w:lastRenderedPageBreak/>
              <w:t>Soutien au lancement du programme de renforcement des capacités en matière de rapports périodiques</w:t>
            </w:r>
          </w:p>
          <w:p w14:paraId="669F3F56" w14:textId="15EF3818" w:rsidR="00A57CDC" w:rsidRPr="001E0BE0" w:rsidRDefault="00A57CDC" w:rsidP="001E3343">
            <w:pPr>
              <w:pStyle w:val="ListParagraph"/>
              <w:numPr>
                <w:ilvl w:val="0"/>
                <w:numId w:val="25"/>
              </w:numPr>
              <w:tabs>
                <w:tab w:val="clear" w:pos="567"/>
              </w:tabs>
              <w:spacing w:before="60"/>
              <w:ind w:left="591" w:hanging="591"/>
              <w:rPr>
                <w:rFonts w:eastAsia="Calibri"/>
                <w:sz w:val="20"/>
                <w:szCs w:val="20"/>
              </w:rPr>
            </w:pPr>
            <w:r w:rsidRPr="001E0BE0">
              <w:rPr>
                <w:sz w:val="20"/>
              </w:rPr>
              <w:t xml:space="preserve">Renforcement des connaissances et des compétences de 42 points focaux pour les rapports périodiques en Asie et dans le Pacifique grâce à un programme régional de renforcement des capacités en partenariat avec des centres de catégorie 2. Il s’agissait notamment de réunions sous-régionales mensuelles en ligne (de mars à juillet 2024) et de deux sessions régionales d’échange en ligne (14 mai et 10 octobre 2024) (voir le document </w:t>
            </w:r>
            <w:hyperlink r:id="rId72" w:history="1">
              <w:r w:rsidRPr="001E0BE0">
                <w:rPr>
                  <w:rStyle w:val="Hyperlink"/>
                  <w:sz w:val="20"/>
                </w:rPr>
                <w:t>LHE/25/10.COM/6.b</w:t>
              </w:r>
            </w:hyperlink>
            <w:r w:rsidRPr="001E0BE0">
              <w:rPr>
                <w:sz w:val="20"/>
              </w:rPr>
              <w:t>)</w:t>
            </w:r>
            <w:r w:rsidRPr="001E0BE0">
              <w:t>.</w:t>
            </w:r>
          </w:p>
        </w:tc>
      </w:tr>
      <w:tr w:rsidR="00A57CDC" w:rsidRPr="001E0BE0" w14:paraId="0BB1BCE6" w14:textId="77777777" w:rsidTr="00A559D2">
        <w:trPr>
          <w:trHeight w:val="1872"/>
          <w:jc w:val="center"/>
        </w:trPr>
        <w:tc>
          <w:tcPr>
            <w:tcW w:w="9640" w:type="dxa"/>
          </w:tcPr>
          <w:p w14:paraId="6C8A05B6" w14:textId="77777777" w:rsidR="00A57CDC" w:rsidRPr="001E0BE0" w:rsidRDefault="00A57CDC" w:rsidP="001E3343">
            <w:pPr>
              <w:spacing w:before="60" w:after="60"/>
              <w:jc w:val="both"/>
              <w:rPr>
                <w:rFonts w:ascii="Arial" w:eastAsia="Calibri" w:hAnsi="Arial" w:cs="Arial"/>
                <w:b/>
                <w:bCs/>
                <w:sz w:val="20"/>
                <w:szCs w:val="20"/>
              </w:rPr>
            </w:pPr>
            <w:r w:rsidRPr="001E0BE0">
              <w:rPr>
                <w:rFonts w:ascii="Arial" w:hAnsi="Arial" w:cs="Arial"/>
                <w:b/>
                <w:sz w:val="20"/>
              </w:rPr>
              <w:t>Renforcement des partenariats avec les centres de catégorie 2 et les universités</w:t>
            </w:r>
          </w:p>
          <w:p w14:paraId="0609FF7F" w14:textId="77777777" w:rsidR="00A57CDC" w:rsidRPr="001E0BE0" w:rsidRDefault="00A57CDC" w:rsidP="001E3343">
            <w:pPr>
              <w:pStyle w:val="ListParagraph"/>
              <w:numPr>
                <w:ilvl w:val="0"/>
                <w:numId w:val="25"/>
              </w:numPr>
              <w:tabs>
                <w:tab w:val="clear" w:pos="567"/>
              </w:tabs>
              <w:spacing w:before="60"/>
              <w:ind w:left="591" w:hanging="591"/>
              <w:rPr>
                <w:rFonts w:eastAsia="Calibri"/>
                <w:sz w:val="20"/>
                <w:szCs w:val="20"/>
              </w:rPr>
            </w:pPr>
            <w:r w:rsidRPr="001E0BE0">
              <w:rPr>
                <w:sz w:val="20"/>
              </w:rPr>
              <w:t xml:space="preserve">Coordination et planification collaborative du programme renforcées avec huit centres de catégorie 2 spécialisés dans le domaine du patrimoine culturel immatériel grâce à l’organisation des </w:t>
            </w:r>
            <w:hyperlink r:id="rId73" w:history="1">
              <w:r w:rsidRPr="001E0BE0">
                <w:rPr>
                  <w:rStyle w:val="Hyperlink"/>
                  <w:sz w:val="20"/>
                </w:rPr>
                <w:t>douzième</w:t>
              </w:r>
            </w:hyperlink>
            <w:r w:rsidRPr="001E0BE0">
              <w:rPr>
                <w:sz w:val="20"/>
              </w:rPr>
              <w:t xml:space="preserve"> (13 juin 2024) et </w:t>
            </w:r>
            <w:hyperlink r:id="rId74" w:history="1">
              <w:r w:rsidRPr="001E0BE0">
                <w:rPr>
                  <w:rStyle w:val="Hyperlink"/>
                  <w:sz w:val="20"/>
                </w:rPr>
                <w:t>treizième</w:t>
              </w:r>
            </w:hyperlink>
            <w:r w:rsidRPr="001E0BE0">
              <w:rPr>
                <w:sz w:val="20"/>
              </w:rPr>
              <w:t xml:space="preserve"> (16 juillet 2025) réunions annuelles de coordination.</w:t>
            </w:r>
          </w:p>
          <w:p w14:paraId="489B5FA9" w14:textId="77777777" w:rsidR="00A57CDC" w:rsidRPr="001E0BE0" w:rsidRDefault="00A57CDC" w:rsidP="001E3343">
            <w:pPr>
              <w:pStyle w:val="ListParagraph"/>
              <w:numPr>
                <w:ilvl w:val="0"/>
                <w:numId w:val="25"/>
              </w:numPr>
              <w:tabs>
                <w:tab w:val="clear" w:pos="567"/>
              </w:tabs>
              <w:spacing w:before="60"/>
              <w:ind w:left="591" w:hanging="591"/>
              <w:rPr>
                <w:rFonts w:eastAsia="Calibri"/>
              </w:rPr>
            </w:pPr>
            <w:r w:rsidRPr="001E0BE0">
              <w:rPr>
                <w:sz w:val="20"/>
              </w:rPr>
              <w:t xml:space="preserve">Renouvellement de cinq chaires UNESCO/UNITWIN spécialisées dans le patrimoine culturel immatériel, création d’une nouvelle chaire et facilitation des échanges avec les chaires et les réseaux UNITWIN grâce à la création d’une </w:t>
            </w:r>
            <w:hyperlink r:id="rId75" w:history="1">
              <w:r w:rsidRPr="001E0BE0">
                <w:rPr>
                  <w:rStyle w:val="Hyperlink"/>
                  <w:sz w:val="20"/>
                </w:rPr>
                <w:t>page internet</w:t>
              </w:r>
            </w:hyperlink>
            <w:r w:rsidRPr="001E0BE0">
              <w:t xml:space="preserve"> </w:t>
            </w:r>
            <w:r w:rsidRPr="001E0BE0">
              <w:rPr>
                <w:sz w:val="20"/>
              </w:rPr>
              <w:t>dédiée.</w:t>
            </w:r>
          </w:p>
        </w:tc>
      </w:tr>
      <w:tr w:rsidR="00A57CDC" w:rsidRPr="001E0BE0" w14:paraId="4FFB810B" w14:textId="77777777" w:rsidTr="00A559D2">
        <w:trPr>
          <w:trHeight w:val="404"/>
          <w:jc w:val="center"/>
        </w:trPr>
        <w:tc>
          <w:tcPr>
            <w:tcW w:w="9640" w:type="dxa"/>
          </w:tcPr>
          <w:p w14:paraId="3CA8899D" w14:textId="082C47EA" w:rsidR="00A57CDC" w:rsidRPr="001E0BE0" w:rsidRDefault="00826F37" w:rsidP="001E3343">
            <w:pPr>
              <w:spacing w:before="60" w:after="60"/>
              <w:jc w:val="both"/>
              <w:rPr>
                <w:rFonts w:ascii="Arial" w:eastAsia="Calibri" w:hAnsi="Arial" w:cs="Arial"/>
                <w:b/>
                <w:bCs/>
                <w:sz w:val="20"/>
                <w:szCs w:val="20"/>
              </w:rPr>
            </w:pPr>
            <w:r w:rsidRPr="001E0BE0">
              <w:rPr>
                <w:rFonts w:ascii="Arial" w:hAnsi="Arial" w:cs="Arial"/>
                <w:b/>
                <w:sz w:val="20"/>
              </w:rPr>
              <w:t>Amélioration du programme ‘</w:t>
            </w:r>
            <w:r w:rsidR="00A57CDC" w:rsidRPr="001E0BE0">
              <w:rPr>
                <w:rFonts w:ascii="Arial" w:hAnsi="Arial" w:cs="Arial"/>
                <w:b/>
                <w:sz w:val="20"/>
              </w:rPr>
              <w:t>Sauvegarde du patrimoine culturel immatériel dans l’éducation formelle et non formelle</w:t>
            </w:r>
            <w:r w:rsidRPr="001E0BE0">
              <w:rPr>
                <w:rFonts w:ascii="Arial" w:hAnsi="Arial" w:cs="Arial"/>
                <w:b/>
                <w:sz w:val="20"/>
              </w:rPr>
              <w:t>’</w:t>
            </w:r>
          </w:p>
          <w:p w14:paraId="28B41F82" w14:textId="2595672C" w:rsidR="00A57CDC" w:rsidRPr="001E0BE0" w:rsidRDefault="00A57CDC" w:rsidP="001E3343">
            <w:pPr>
              <w:pStyle w:val="ListParagraph"/>
              <w:numPr>
                <w:ilvl w:val="0"/>
                <w:numId w:val="25"/>
              </w:numPr>
              <w:tabs>
                <w:tab w:val="clear" w:pos="567"/>
              </w:tabs>
              <w:spacing w:before="60"/>
              <w:ind w:left="591" w:hanging="591"/>
              <w:rPr>
                <w:sz w:val="20"/>
                <w:szCs w:val="20"/>
              </w:rPr>
            </w:pPr>
            <w:r w:rsidRPr="001E0BE0">
              <w:rPr>
                <w:sz w:val="20"/>
              </w:rPr>
              <w:t xml:space="preserve">Marquant la conclusion de la deuxième priorité de financement dans le cadre de la Convention (voir le document </w:t>
            </w:r>
            <w:hyperlink r:id="rId76" w:history="1">
              <w:r w:rsidRPr="001E0BE0">
                <w:rPr>
                  <w:rStyle w:val="Hyperlink"/>
                  <w:sz w:val="20"/>
                </w:rPr>
                <w:t>LHE/25/20.COM/INF.13.2</w:t>
              </w:r>
            </w:hyperlink>
            <w:r w:rsidRPr="001E0BE0">
              <w:rPr>
                <w:sz w:val="20"/>
              </w:rPr>
              <w:t xml:space="preserve">), </w:t>
            </w:r>
            <w:r w:rsidR="00826F37" w:rsidRPr="001E0BE0">
              <w:rPr>
                <w:sz w:val="20"/>
              </w:rPr>
              <w:t xml:space="preserve">la </w:t>
            </w:r>
            <w:r w:rsidRPr="001E0BE0">
              <w:rPr>
                <w:sz w:val="20"/>
              </w:rPr>
              <w:t xml:space="preserve">réalisation d’une enquête d’experts et </w:t>
            </w:r>
            <w:r w:rsidR="00826F37" w:rsidRPr="001E0BE0">
              <w:rPr>
                <w:sz w:val="20"/>
              </w:rPr>
              <w:t xml:space="preserve">l’organisation d’une </w:t>
            </w:r>
            <w:hyperlink r:id="rId77" w:history="1">
              <w:r w:rsidRPr="001E0BE0">
                <w:rPr>
                  <w:rStyle w:val="Hyperlink"/>
                  <w:sz w:val="20"/>
                </w:rPr>
                <w:t>réunion de réflexion en ligne</w:t>
              </w:r>
            </w:hyperlink>
            <w:r w:rsidRPr="001E0BE0">
              <w:rPr>
                <w:sz w:val="20"/>
              </w:rPr>
              <w:t xml:space="preserve"> avec des experts des secteurs de la culture et de l’éducation ont permis d’identifier les leçons à tirer et de formuler des recommandations pour l’avenir (juillet 2025).</w:t>
            </w:r>
          </w:p>
          <w:p w14:paraId="21297F0B" w14:textId="6FA3BC9A" w:rsidR="00A57CDC" w:rsidRPr="001E0BE0" w:rsidRDefault="00A57CDC" w:rsidP="001E3343">
            <w:pPr>
              <w:pStyle w:val="ListParagraph"/>
              <w:numPr>
                <w:ilvl w:val="0"/>
                <w:numId w:val="25"/>
              </w:numPr>
              <w:tabs>
                <w:tab w:val="clear" w:pos="567"/>
              </w:tabs>
              <w:spacing w:before="60"/>
              <w:ind w:left="591" w:hanging="591"/>
              <w:rPr>
                <w:sz w:val="20"/>
                <w:szCs w:val="20"/>
              </w:rPr>
            </w:pPr>
            <w:r w:rsidRPr="001E0BE0">
              <w:rPr>
                <w:sz w:val="20"/>
              </w:rPr>
              <w:t xml:space="preserve">Intégration de la sauvegarde du patrimoine vivant dans les principaux cadres éducatifs internationaux, y compris le </w:t>
            </w:r>
            <w:hyperlink r:id="rId78" w:history="1">
              <w:r w:rsidRPr="001E0BE0">
                <w:rPr>
                  <w:rStyle w:val="Hyperlink"/>
                  <w:sz w:val="20"/>
                </w:rPr>
                <w:t>Cadre de l’UNESCO pour l’éducation culturelle et artistique</w:t>
              </w:r>
            </w:hyperlink>
            <w:r w:rsidRPr="001E0BE0">
              <w:rPr>
                <w:sz w:val="20"/>
              </w:rPr>
              <w:t xml:space="preserve"> (2024), soutenue par une collaboration intersectorielle, l’élaboration d’un outil d’évaluation sur « l’apprentissage avec le patrimoine vivant », et la mise à jour du </w:t>
            </w:r>
            <w:hyperlink r:id="rId79" w:history="1">
              <w:r w:rsidRPr="001E0BE0">
                <w:rPr>
                  <w:rStyle w:val="Hyperlink"/>
                  <w:sz w:val="20"/>
                </w:rPr>
                <w:t>Centre d’échange d’information</w:t>
              </w:r>
            </w:hyperlink>
            <w:r w:rsidRPr="001E0BE0">
              <w:rPr>
                <w:sz w:val="20"/>
              </w:rPr>
              <w:t xml:space="preserve"> sur le patrimoine vivant et l’éducation avec des projets et des ressources supplémentaires (183 entrées au total).</w:t>
            </w:r>
          </w:p>
        </w:tc>
      </w:tr>
      <w:tr w:rsidR="00A57CDC" w:rsidRPr="001E0BE0" w14:paraId="0B1A281A" w14:textId="77777777" w:rsidTr="00332373">
        <w:trPr>
          <w:trHeight w:val="699"/>
          <w:jc w:val="center"/>
        </w:trPr>
        <w:tc>
          <w:tcPr>
            <w:tcW w:w="9640" w:type="dxa"/>
          </w:tcPr>
          <w:p w14:paraId="7E9257BD" w14:textId="649FAC9B" w:rsidR="00A57CDC" w:rsidRPr="001E0BE0" w:rsidRDefault="00826F37" w:rsidP="001E3343">
            <w:pPr>
              <w:spacing w:before="60" w:after="60"/>
              <w:jc w:val="both"/>
              <w:rPr>
                <w:rFonts w:ascii="Arial" w:eastAsia="Calibri" w:hAnsi="Arial" w:cs="Arial"/>
                <w:b/>
                <w:bCs/>
                <w:sz w:val="20"/>
                <w:szCs w:val="20"/>
              </w:rPr>
            </w:pPr>
            <w:r w:rsidRPr="001E0BE0">
              <w:rPr>
                <w:rFonts w:ascii="Arial" w:hAnsi="Arial" w:cs="Arial"/>
                <w:b/>
                <w:sz w:val="20"/>
              </w:rPr>
              <w:t>L</w:t>
            </w:r>
            <w:r w:rsidR="00A57CDC" w:rsidRPr="001E0BE0">
              <w:rPr>
                <w:rFonts w:ascii="Arial" w:hAnsi="Arial" w:cs="Arial"/>
                <w:b/>
                <w:sz w:val="20"/>
              </w:rPr>
              <w:t xml:space="preserve">’importance de la sauvegarde du patrimoine vivant pour le développement durable </w:t>
            </w:r>
            <w:r w:rsidRPr="001E0BE0">
              <w:rPr>
                <w:rFonts w:ascii="Arial" w:hAnsi="Arial" w:cs="Arial"/>
                <w:b/>
                <w:sz w:val="20"/>
              </w:rPr>
              <w:t>à travers la mise en place d’</w:t>
            </w:r>
            <w:r w:rsidR="00A57CDC" w:rsidRPr="001E0BE0">
              <w:rPr>
                <w:rFonts w:ascii="Arial" w:hAnsi="Arial" w:cs="Arial"/>
                <w:b/>
                <w:sz w:val="20"/>
              </w:rPr>
              <w:t>initiatives thématiques</w:t>
            </w:r>
          </w:p>
          <w:p w14:paraId="4F3CD835" w14:textId="77777777" w:rsidR="00A57CDC" w:rsidRPr="001E0BE0" w:rsidRDefault="00A57CDC" w:rsidP="001E3343">
            <w:pPr>
              <w:rPr>
                <w:rFonts w:ascii="Arial" w:hAnsi="Arial" w:cs="Arial"/>
                <w:sz w:val="20"/>
                <w:szCs w:val="20"/>
              </w:rPr>
            </w:pPr>
            <w:r w:rsidRPr="001E0BE0">
              <w:rPr>
                <w:rFonts w:ascii="Arial" w:hAnsi="Arial" w:cs="Arial"/>
                <w:sz w:val="20"/>
                <w:u w:val="single"/>
              </w:rPr>
              <w:t>Dimensions économiques de la sauvegarde du patrimoine culturel immatériel</w:t>
            </w:r>
          </w:p>
          <w:p w14:paraId="6C3F4E7B" w14:textId="2395D7A3" w:rsidR="00A57CDC" w:rsidRPr="001E0BE0" w:rsidRDefault="00A57CDC" w:rsidP="001E3343">
            <w:pPr>
              <w:pStyle w:val="ListParagraph"/>
              <w:numPr>
                <w:ilvl w:val="0"/>
                <w:numId w:val="25"/>
              </w:numPr>
              <w:tabs>
                <w:tab w:val="clear" w:pos="567"/>
              </w:tabs>
              <w:spacing w:before="60"/>
              <w:ind w:left="591" w:hanging="591"/>
              <w:rPr>
                <w:rStyle w:val="Strong"/>
                <w:b w:val="0"/>
                <w:bCs w:val="0"/>
                <w:sz w:val="20"/>
                <w:szCs w:val="20"/>
              </w:rPr>
            </w:pPr>
            <w:r w:rsidRPr="001E0BE0">
              <w:rPr>
                <w:sz w:val="20"/>
              </w:rPr>
              <w:t xml:space="preserve">Engagement actif et meilleure coopération intersectorielle assurés afin d’améliorer et de </w:t>
            </w:r>
            <w:r w:rsidRPr="001E0BE0">
              <w:rPr>
                <w:rStyle w:val="Strong"/>
                <w:b w:val="0"/>
                <w:sz w:val="20"/>
              </w:rPr>
              <w:t>développer les connaissances spécifiques au secteur,</w:t>
            </w:r>
            <w:r w:rsidRPr="001E0BE0">
              <w:rPr>
                <w:sz w:val="20"/>
              </w:rPr>
              <w:t xml:space="preserve"> en s’appuyant sur la « </w:t>
            </w:r>
            <w:hyperlink r:id="rId80" w:history="1">
              <w:r w:rsidRPr="001E0BE0">
                <w:rPr>
                  <w:rStyle w:val="Hyperlink"/>
                  <w:sz w:val="20"/>
                </w:rPr>
                <w:t>Note d’orientation sur les dimensions économiques de la sauvegarde du patrimoine culturel immatériel </w:t>
              </w:r>
            </w:hyperlink>
            <w:r w:rsidRPr="001E0BE0">
              <w:rPr>
                <w:sz w:val="20"/>
              </w:rPr>
              <w:t>» (Décision </w:t>
            </w:r>
            <w:hyperlink r:id="rId81" w:history="1">
              <w:r w:rsidRPr="001E0BE0">
                <w:rPr>
                  <w:rStyle w:val="Hyperlink"/>
                  <w:sz w:val="20"/>
                </w:rPr>
                <w:t>18.COM 12</w:t>
              </w:r>
            </w:hyperlink>
            <w:r w:rsidRPr="001E0BE0">
              <w:rPr>
                <w:sz w:val="20"/>
              </w:rPr>
              <w:t>)</w:t>
            </w:r>
            <w:r w:rsidRPr="001E0BE0">
              <w:rPr>
                <w:rStyle w:val="Strong"/>
                <w:b w:val="0"/>
                <w:sz w:val="20"/>
              </w:rPr>
              <w:t xml:space="preserve">. Cela inclut des consultations techniques informelles avec des experts sur les </w:t>
            </w:r>
            <w:r w:rsidRPr="001E0BE0">
              <w:rPr>
                <w:sz w:val="20"/>
              </w:rPr>
              <w:t>terminologies et les méthodologies, ainsi qu’avec des institutions et d’autres agences de l’ONU, y compris le Secrétariat de la Convention sur la diversité biologique (CDB), l’Organisation pour l’alimentation et l’agriculture (FAO), l’ONU Tourisme, l’ONU Femmes et l’Organisation mondiale de la propriété intellectuelle (OMPI).</w:t>
            </w:r>
          </w:p>
          <w:p w14:paraId="53B2ADBB" w14:textId="32EC2A35" w:rsidR="00A57CDC" w:rsidRPr="001E0BE0" w:rsidRDefault="00A57CDC" w:rsidP="001E3343">
            <w:pPr>
              <w:pStyle w:val="ListParagraph"/>
              <w:numPr>
                <w:ilvl w:val="0"/>
                <w:numId w:val="25"/>
              </w:numPr>
              <w:tabs>
                <w:tab w:val="clear" w:pos="567"/>
              </w:tabs>
              <w:spacing w:before="60"/>
              <w:ind w:left="591" w:hanging="591"/>
              <w:rPr>
                <w:sz w:val="20"/>
                <w:szCs w:val="20"/>
              </w:rPr>
            </w:pPr>
            <w:r w:rsidRPr="001E0BE0">
              <w:rPr>
                <w:sz w:val="20"/>
              </w:rPr>
              <w:t>Création continue de ressources destinées au renforcement des capacités et à la sensibilisation, adaptées à des secteurs spécifiques (tels que la propriété intellectuelle et le marketing) et des parties prenantes (dont les communautés locales et les entrepreneurs).</w:t>
            </w:r>
          </w:p>
          <w:p w14:paraId="08BFD240" w14:textId="77777777" w:rsidR="00A57CDC" w:rsidRPr="001E0BE0" w:rsidRDefault="00A57CDC" w:rsidP="001E3343">
            <w:pPr>
              <w:keepNext/>
              <w:rPr>
                <w:rFonts w:ascii="Arial" w:hAnsi="Arial" w:cs="Arial"/>
                <w:sz w:val="20"/>
                <w:szCs w:val="20"/>
              </w:rPr>
            </w:pPr>
            <w:r w:rsidRPr="001E0BE0">
              <w:rPr>
                <w:rFonts w:ascii="Arial" w:hAnsi="Arial" w:cs="Arial"/>
                <w:sz w:val="20"/>
                <w:u w:val="single"/>
              </w:rPr>
              <w:t>Sauvegarde du patrimoine culturel immatériel et changement climatique</w:t>
            </w:r>
          </w:p>
          <w:p w14:paraId="41F1A9A2" w14:textId="0B266078" w:rsidR="00A57CDC" w:rsidRPr="001E0BE0" w:rsidRDefault="00A57CDC" w:rsidP="001E3343">
            <w:pPr>
              <w:pStyle w:val="ListParagraph"/>
              <w:numPr>
                <w:ilvl w:val="0"/>
                <w:numId w:val="25"/>
              </w:numPr>
              <w:tabs>
                <w:tab w:val="clear" w:pos="567"/>
              </w:tabs>
              <w:spacing w:before="60"/>
              <w:ind w:left="591" w:hanging="567"/>
              <w:rPr>
                <w:sz w:val="20"/>
                <w:szCs w:val="20"/>
              </w:rPr>
            </w:pPr>
            <w:r w:rsidRPr="001E0BE0">
              <w:rPr>
                <w:sz w:val="20"/>
              </w:rPr>
              <w:t xml:space="preserve">Développement de connaissances et d’expertise grâce à la préparation d’une étude documentaire et à une </w:t>
            </w:r>
            <w:hyperlink r:id="rId82" w:history="1">
              <w:r w:rsidRPr="001E0BE0">
                <w:rPr>
                  <w:color w:val="0000FF"/>
                  <w:sz w:val="20"/>
                  <w:u w:val="single"/>
                </w:rPr>
                <w:t>réunion d’experts</w:t>
              </w:r>
            </w:hyperlink>
            <w:r w:rsidRPr="001E0BE0">
              <w:rPr>
                <w:sz w:val="20"/>
              </w:rPr>
              <w:t xml:space="preserve"> en deux parties</w:t>
            </w:r>
            <w:r w:rsidR="00826F37" w:rsidRPr="001E0BE0">
              <w:rPr>
                <w:sz w:val="20"/>
              </w:rPr>
              <w:t xml:space="preserve"> </w:t>
            </w:r>
            <w:r w:rsidRPr="001E0BE0">
              <w:rPr>
                <w:sz w:val="20"/>
              </w:rPr>
              <w:t>en 2024</w:t>
            </w:r>
            <w:r w:rsidR="00826F37" w:rsidRPr="001E0BE0">
              <w:rPr>
                <w:sz w:val="20"/>
              </w:rPr>
              <w:t xml:space="preserve"> </w:t>
            </w:r>
            <w:r w:rsidRPr="001E0BE0">
              <w:rPr>
                <w:sz w:val="20"/>
              </w:rPr>
              <w:t>sur la sauvegarde du patrimoine culturel immatériel et le changement climatique, engageant des experts des deux domaines et de toutes les régions</w:t>
            </w:r>
            <w:r w:rsidRPr="001E0BE0">
              <w:t>.</w:t>
            </w:r>
            <w:r w:rsidRPr="001E0BE0">
              <w:rPr>
                <w:sz w:val="20"/>
              </w:rPr>
              <w:t xml:space="preserve"> </w:t>
            </w:r>
          </w:p>
          <w:p w14:paraId="6F057128" w14:textId="6C888430" w:rsidR="00A57CDC" w:rsidRPr="001E0BE0" w:rsidRDefault="00A57CDC" w:rsidP="001E3343">
            <w:pPr>
              <w:pStyle w:val="ListParagraph"/>
              <w:numPr>
                <w:ilvl w:val="0"/>
                <w:numId w:val="25"/>
              </w:numPr>
              <w:tabs>
                <w:tab w:val="clear" w:pos="567"/>
              </w:tabs>
              <w:spacing w:before="60"/>
              <w:ind w:left="591" w:hanging="567"/>
              <w:rPr>
                <w:sz w:val="20"/>
                <w:szCs w:val="20"/>
              </w:rPr>
            </w:pPr>
            <w:r w:rsidRPr="001E0BE0">
              <w:rPr>
                <w:sz w:val="20"/>
              </w:rPr>
              <w:t>Définition d’orientations pour les États parties et les autres parties prenantes concernées, avec la « </w:t>
            </w:r>
            <w:hyperlink r:id="rId83" w:history="1">
              <w:r w:rsidRPr="001E0BE0">
                <w:rPr>
                  <w:rStyle w:val="Hyperlink"/>
                  <w:sz w:val="20"/>
                </w:rPr>
                <w:t>Note d’orientation sur l’action climatique pour le patrimoine vivant </w:t>
              </w:r>
            </w:hyperlink>
            <w:r w:rsidRPr="001E0BE0">
              <w:rPr>
                <w:sz w:val="20"/>
              </w:rPr>
              <w:t>», examinée par le Comité lors de sa dix-neuvième session (Décision </w:t>
            </w:r>
            <w:hyperlink r:id="rId84" w:history="1">
              <w:r w:rsidRPr="001E0BE0">
                <w:rPr>
                  <w:rStyle w:val="Hyperlink"/>
                  <w:sz w:val="20"/>
                </w:rPr>
                <w:t>19.COM 11</w:t>
              </w:r>
            </w:hyperlink>
            <w:r w:rsidRPr="001E0BE0">
              <w:rPr>
                <w:sz w:val="20"/>
              </w:rPr>
              <w:t>).</w:t>
            </w:r>
          </w:p>
          <w:p w14:paraId="3ED30C69" w14:textId="77777777" w:rsidR="00A57CDC" w:rsidRPr="001E0BE0" w:rsidRDefault="00A57CDC" w:rsidP="001E3343">
            <w:pPr>
              <w:keepNext/>
              <w:tabs>
                <w:tab w:val="left" w:pos="357"/>
              </w:tabs>
              <w:spacing w:before="60"/>
              <w:rPr>
                <w:rFonts w:ascii="Arial" w:hAnsi="Arial" w:cs="Arial"/>
                <w:sz w:val="20"/>
                <w:szCs w:val="20"/>
                <w:u w:val="single"/>
              </w:rPr>
            </w:pPr>
            <w:r w:rsidRPr="001E0BE0">
              <w:rPr>
                <w:rFonts w:ascii="Arial" w:hAnsi="Arial" w:cs="Arial"/>
                <w:sz w:val="20"/>
                <w:u w:val="single"/>
              </w:rPr>
              <w:lastRenderedPageBreak/>
              <w:t>Sauvegarde du patrimoine culturel immatériel en milieu urbain</w:t>
            </w:r>
          </w:p>
          <w:p w14:paraId="418FDBCE" w14:textId="35135FB4" w:rsidR="00A57CDC" w:rsidRPr="001E0BE0" w:rsidRDefault="00A57CDC" w:rsidP="001E3343">
            <w:pPr>
              <w:pStyle w:val="ListParagraph"/>
              <w:numPr>
                <w:ilvl w:val="0"/>
                <w:numId w:val="25"/>
              </w:numPr>
              <w:tabs>
                <w:tab w:val="clear" w:pos="567"/>
              </w:tabs>
              <w:spacing w:before="60"/>
              <w:ind w:left="591" w:hanging="567"/>
              <w:rPr>
                <w:sz w:val="20"/>
                <w:szCs w:val="20"/>
              </w:rPr>
            </w:pPr>
            <w:r w:rsidRPr="001E0BE0">
              <w:rPr>
                <w:sz w:val="20"/>
              </w:rPr>
              <w:t xml:space="preserve">Développement de connaissances et d’expertise grâce à l’organisation d’une </w:t>
            </w:r>
            <w:hyperlink r:id="rId85" w:history="1">
              <w:r w:rsidRPr="001E0BE0">
                <w:rPr>
                  <w:rStyle w:val="Hyperlink"/>
                  <w:sz w:val="20"/>
                </w:rPr>
                <w:t>réunion d’experts</w:t>
              </w:r>
            </w:hyperlink>
            <w:r w:rsidRPr="001E0BE0">
              <w:rPr>
                <w:sz w:val="20"/>
              </w:rPr>
              <w:t xml:space="preserve"> en deux parties en 2025 sur la sauvegarde du patrimoine culturel immatériel en milieu urbain, qui a rassemblé des experts de l’urbanisme et du patrimoine vivant.</w:t>
            </w:r>
          </w:p>
          <w:p w14:paraId="46F04880" w14:textId="244F63C0" w:rsidR="00A57CDC" w:rsidRPr="001E0BE0" w:rsidRDefault="00A57CDC" w:rsidP="001E3343">
            <w:pPr>
              <w:pStyle w:val="ListParagraph"/>
              <w:numPr>
                <w:ilvl w:val="0"/>
                <w:numId w:val="25"/>
              </w:numPr>
              <w:tabs>
                <w:tab w:val="clear" w:pos="567"/>
              </w:tabs>
              <w:spacing w:before="60"/>
              <w:ind w:left="591" w:hanging="567"/>
              <w:rPr>
                <w:rFonts w:eastAsia="Calibri"/>
                <w:sz w:val="20"/>
                <w:szCs w:val="20"/>
              </w:rPr>
            </w:pPr>
            <w:r w:rsidRPr="001E0BE0">
              <w:rPr>
                <w:sz w:val="20"/>
                <w:szCs w:val="20"/>
              </w:rPr>
              <w:t xml:space="preserve">Définition d’orientations pour les États parties et les autres parties prenantes concernées, avec la </w:t>
            </w:r>
            <w:hyperlink r:id="rId86" w:history="1">
              <w:r w:rsidRPr="001E0BE0">
                <w:rPr>
                  <w:rStyle w:val="Hyperlink"/>
                  <w:sz w:val="20"/>
                  <w:szCs w:val="20"/>
                </w:rPr>
                <w:t>« Note d’orientation sur la sauvegarde du patrimoine culturel immatériel en milieu urbain »</w:t>
              </w:r>
            </w:hyperlink>
            <w:r w:rsidRPr="001E0BE0">
              <w:rPr>
                <w:sz w:val="20"/>
                <w:szCs w:val="20"/>
              </w:rPr>
              <w:t xml:space="preserve">, examinée par le Comité lors de sa vingtième session (Décision </w:t>
            </w:r>
            <w:hyperlink r:id="rId87" w:history="1">
              <w:r w:rsidRPr="001E0BE0">
                <w:rPr>
                  <w:rStyle w:val="Hyperlink"/>
                  <w:sz w:val="20"/>
                  <w:szCs w:val="20"/>
                </w:rPr>
                <w:t>20.COM 12</w:t>
              </w:r>
            </w:hyperlink>
            <w:r w:rsidRPr="001E0BE0">
              <w:rPr>
                <w:sz w:val="20"/>
                <w:szCs w:val="20"/>
              </w:rPr>
              <w:t>).</w:t>
            </w:r>
          </w:p>
        </w:tc>
      </w:tr>
    </w:tbl>
    <w:bookmarkEnd w:id="15"/>
    <w:p w14:paraId="05811982" w14:textId="77777777" w:rsidR="00A57CDC" w:rsidRPr="001E0BE0" w:rsidRDefault="00A57CDC" w:rsidP="001E3343">
      <w:pPr>
        <w:keepNext/>
        <w:spacing w:before="240"/>
        <w:rPr>
          <w:rFonts w:ascii="Arial" w:hAnsi="Arial" w:cs="Arial"/>
          <w:b/>
          <w:szCs w:val="22"/>
        </w:rPr>
      </w:pPr>
      <w:r w:rsidRPr="001E0BE0">
        <w:rPr>
          <w:rFonts w:ascii="Arial" w:hAnsi="Arial" w:cs="Arial"/>
          <w:b/>
        </w:rPr>
        <w:lastRenderedPageBreak/>
        <w:t>Défis et risques liés à la mise en œuvre et mesures correctives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A57CDC" w:rsidRPr="001E0BE0" w14:paraId="3F6C3C23" w14:textId="77777777" w:rsidTr="00A559D2">
        <w:trPr>
          <w:tblHeader/>
          <w:jc w:val="center"/>
        </w:trPr>
        <w:tc>
          <w:tcPr>
            <w:tcW w:w="2500" w:type="pct"/>
            <w:shd w:val="clear" w:color="auto" w:fill="D9D9D9"/>
            <w:vAlign w:val="center"/>
          </w:tcPr>
          <w:p w14:paraId="44BC3C36" w14:textId="77777777" w:rsidR="00A57CDC" w:rsidRPr="001E0BE0" w:rsidRDefault="00A57CDC" w:rsidP="001E3343">
            <w:pPr>
              <w:keepNext/>
              <w:spacing w:before="60" w:after="60"/>
              <w:jc w:val="center"/>
              <w:rPr>
                <w:rFonts w:ascii="Arial" w:hAnsi="Arial" w:cs="Arial"/>
                <w:b/>
                <w:sz w:val="20"/>
                <w:szCs w:val="20"/>
              </w:rPr>
            </w:pPr>
            <w:r w:rsidRPr="001E0BE0">
              <w:rPr>
                <w:rFonts w:ascii="Arial" w:hAnsi="Arial" w:cs="Arial"/>
                <w:b/>
                <w:sz w:val="20"/>
              </w:rPr>
              <w:t>Principaux défis</w:t>
            </w:r>
          </w:p>
        </w:tc>
        <w:tc>
          <w:tcPr>
            <w:tcW w:w="2500" w:type="pct"/>
            <w:shd w:val="clear" w:color="auto" w:fill="D9D9D9"/>
            <w:vAlign w:val="center"/>
          </w:tcPr>
          <w:p w14:paraId="045EAF00" w14:textId="77777777" w:rsidR="00A57CDC" w:rsidRPr="001E0BE0" w:rsidRDefault="00A57CDC" w:rsidP="001E3343">
            <w:pPr>
              <w:keepNext/>
              <w:spacing w:before="60" w:after="60"/>
              <w:jc w:val="center"/>
              <w:rPr>
                <w:rFonts w:ascii="Arial" w:hAnsi="Arial" w:cs="Arial"/>
                <w:b/>
                <w:sz w:val="20"/>
                <w:szCs w:val="20"/>
              </w:rPr>
            </w:pPr>
            <w:r w:rsidRPr="001E0BE0">
              <w:rPr>
                <w:rFonts w:ascii="Arial" w:hAnsi="Arial" w:cs="Arial"/>
                <w:b/>
                <w:sz w:val="20"/>
              </w:rPr>
              <w:t>Mesures correctives</w:t>
            </w:r>
          </w:p>
        </w:tc>
      </w:tr>
      <w:tr w:rsidR="00A57CDC" w:rsidRPr="001E0BE0" w14:paraId="31C4B001" w14:textId="77777777" w:rsidTr="00A559D2">
        <w:trPr>
          <w:jc w:val="center"/>
        </w:trPr>
        <w:tc>
          <w:tcPr>
            <w:tcW w:w="2500" w:type="pct"/>
          </w:tcPr>
          <w:p w14:paraId="364BD9D7" w14:textId="77777777" w:rsidR="00A57CDC" w:rsidRPr="001E0BE0" w:rsidRDefault="00A57CDC" w:rsidP="001E3343">
            <w:pPr>
              <w:spacing w:before="60" w:after="60"/>
              <w:jc w:val="both"/>
              <w:rPr>
                <w:rFonts w:ascii="Arial" w:hAnsi="Arial" w:cs="Arial"/>
                <w:sz w:val="20"/>
                <w:szCs w:val="20"/>
              </w:rPr>
            </w:pPr>
            <w:r w:rsidRPr="001E0BE0">
              <w:rPr>
                <w:rFonts w:ascii="Arial" w:hAnsi="Arial" w:cs="Arial"/>
                <w:sz w:val="20"/>
              </w:rPr>
              <w:t>Les développements récents dans le cadre de la Convention, y compris les résultats de la réflexion globale sur les mécanismes d’inscription, la mise en œuvre des initiatives thématiques, l’évolution des approches du programme « Patrimoine vivant et éducation » et les nouveaux matériels de renforcement des capacités dans les thèmes émergents, n’étaient pas largement connus au sein du réseau de facilitateurs et ont nécessité l’apport d’expertise dans d’autres domaines. Cela a limité l’efficacité de l’utilisation et de la diffusion des outils et matériaux mis à jour.</w:t>
            </w:r>
          </w:p>
        </w:tc>
        <w:tc>
          <w:tcPr>
            <w:tcW w:w="2500" w:type="pct"/>
          </w:tcPr>
          <w:p w14:paraId="16F0DFC1" w14:textId="5A4F96A3" w:rsidR="00A57CDC" w:rsidRPr="001E0BE0" w:rsidRDefault="00A57CDC" w:rsidP="001E3343">
            <w:pPr>
              <w:spacing w:before="60" w:after="60"/>
              <w:jc w:val="both"/>
              <w:rPr>
                <w:rFonts w:ascii="Arial" w:eastAsia="Calibri" w:hAnsi="Arial" w:cs="Arial"/>
                <w:sz w:val="20"/>
                <w:szCs w:val="20"/>
              </w:rPr>
            </w:pPr>
            <w:r w:rsidRPr="001E0BE0">
              <w:rPr>
                <w:rFonts w:ascii="Arial" w:hAnsi="Arial" w:cs="Arial"/>
                <w:sz w:val="20"/>
              </w:rPr>
              <w:t>Le Secrétariat a développé une série de formations en ligne couvrant les principaux développements récents dans le cadre de la Convention. Des sessions dédiées ont été conçues pour améliorer les connaissances et compétences des facilitateurs en matière d’outils et de méthodologies spécifiques, tout en facilitant le dialogue et l</w:t>
            </w:r>
            <w:r w:rsidR="00BF2F5D" w:rsidRPr="001E0BE0">
              <w:rPr>
                <w:rFonts w:ascii="Arial" w:hAnsi="Arial" w:cs="Arial"/>
                <w:sz w:val="20"/>
              </w:rPr>
              <w:t xml:space="preserve">es </w:t>
            </w:r>
            <w:r w:rsidRPr="001E0BE0">
              <w:rPr>
                <w:rFonts w:ascii="Arial" w:hAnsi="Arial" w:cs="Arial"/>
                <w:sz w:val="20"/>
              </w:rPr>
              <w:t>échange</w:t>
            </w:r>
            <w:r w:rsidR="00BF2F5D" w:rsidRPr="001E0BE0">
              <w:rPr>
                <w:rFonts w:ascii="Arial" w:hAnsi="Arial" w:cs="Arial"/>
                <w:sz w:val="20"/>
              </w:rPr>
              <w:t>s</w:t>
            </w:r>
            <w:r w:rsidRPr="001E0BE0">
              <w:rPr>
                <w:rFonts w:ascii="Arial" w:hAnsi="Arial" w:cs="Arial"/>
                <w:sz w:val="20"/>
              </w:rPr>
              <w:t xml:space="preserve"> au sein du réseau de facilitateurs. En outre, le Secrétariat s’est engagé dans un dialogue intersectoriel et, le cas échéant, a élargi son champ d’action à de nouveaux réseaux lorsqu’il a organisé des consultations d’experts.</w:t>
            </w:r>
          </w:p>
        </w:tc>
      </w:tr>
      <w:tr w:rsidR="00A57CDC" w:rsidRPr="001E0BE0" w14:paraId="52DB74D8" w14:textId="77777777" w:rsidTr="00A559D2">
        <w:trPr>
          <w:jc w:val="center"/>
        </w:trPr>
        <w:tc>
          <w:tcPr>
            <w:tcW w:w="2500" w:type="pct"/>
          </w:tcPr>
          <w:p w14:paraId="61A0D560" w14:textId="77777777" w:rsidR="00A57CDC" w:rsidRPr="001E0BE0" w:rsidRDefault="00A57CDC" w:rsidP="001E3343">
            <w:pPr>
              <w:spacing w:before="60" w:after="60"/>
              <w:jc w:val="both"/>
              <w:rPr>
                <w:rFonts w:ascii="Arial" w:hAnsi="Arial" w:cs="Arial"/>
                <w:sz w:val="20"/>
                <w:szCs w:val="20"/>
              </w:rPr>
            </w:pPr>
            <w:r w:rsidRPr="001E0BE0">
              <w:rPr>
                <w:rFonts w:ascii="Arial" w:hAnsi="Arial" w:cs="Arial"/>
                <w:sz w:val="20"/>
              </w:rPr>
              <w:t>Les professionnels de l’éducation qui participent aux travaux de l’UNESCO sur l’intégration du patrimoine vivant dans l’éducation ont identifié le besoin d’outils pour évaluer les résultats de l’apprentissage liés au patrimoine vivant. Le fait que les systèmes d’évaluation formelle ne couvrent pas encore suffisamment ces effets entrave l’inclusion à long terme du patrimoine vivant dans l’éducation formelle. L’impact de l’intégration du patrimoine vivant reste difficile à démontrer, ce qui limite l’intégration durable au sein des établissements d’enseignement.</w:t>
            </w:r>
          </w:p>
        </w:tc>
        <w:tc>
          <w:tcPr>
            <w:tcW w:w="2500" w:type="pct"/>
          </w:tcPr>
          <w:p w14:paraId="7226BADC" w14:textId="3A52CA26" w:rsidR="00A57CDC" w:rsidRPr="001E0BE0" w:rsidRDefault="00A57CDC" w:rsidP="001E3343">
            <w:pPr>
              <w:spacing w:before="60" w:after="60"/>
              <w:jc w:val="both"/>
              <w:rPr>
                <w:rFonts w:ascii="Arial" w:hAnsi="Arial" w:cs="Arial"/>
                <w:sz w:val="20"/>
                <w:szCs w:val="20"/>
              </w:rPr>
            </w:pPr>
            <w:r w:rsidRPr="001E0BE0">
              <w:rPr>
                <w:rFonts w:ascii="Arial" w:hAnsi="Arial" w:cs="Arial"/>
                <w:sz w:val="20"/>
              </w:rPr>
              <w:t xml:space="preserve">L’UNESCO a confié à une équipe universitaire spécialisée dans l’éducation le développement d’un outil d’évaluation de « l’apprentissage avec le patrimoine vivant ». Reconnaissant que les systèmes d’évaluation formels </w:t>
            </w:r>
            <w:r w:rsidR="00BF2F5D" w:rsidRPr="001E0BE0">
              <w:rPr>
                <w:rFonts w:ascii="Arial" w:hAnsi="Arial" w:cs="Arial"/>
                <w:sz w:val="20"/>
              </w:rPr>
              <w:t>n’aient</w:t>
            </w:r>
            <w:r w:rsidRPr="001E0BE0">
              <w:rPr>
                <w:rFonts w:ascii="Arial" w:hAnsi="Arial" w:cs="Arial"/>
                <w:sz w:val="20"/>
              </w:rPr>
              <w:t xml:space="preserve"> pas encore intégré cette approche, l’outil, conçu comme une méthode d’évaluation qualitative et continue pour compléter les cadres existants, a été testé auprès d’un groupe d’enseignants et a reçu des commentaires positifs. Il fait actuellement l’objet d’un examen intersectoriel en vue d’une éventuelle adoption plus large.</w:t>
            </w:r>
          </w:p>
        </w:tc>
      </w:tr>
    </w:tbl>
    <w:p w14:paraId="481E641A" w14:textId="168D52AA" w:rsidR="00A57CDC" w:rsidRPr="001E0BE0" w:rsidRDefault="00A57CDC" w:rsidP="001E3343">
      <w:pPr>
        <w:keepNext/>
        <w:spacing w:before="240"/>
        <w:jc w:val="both"/>
        <w:rPr>
          <w:rFonts w:ascii="Arial" w:hAnsi="Arial" w:cs="Arial"/>
          <w:b/>
          <w:szCs w:val="22"/>
        </w:rPr>
      </w:pPr>
      <w:r w:rsidRPr="001E0BE0">
        <w:rPr>
          <w:rFonts w:ascii="Arial" w:hAnsi="Arial" w:cs="Arial"/>
          <w:b/>
        </w:rPr>
        <w:t xml:space="preserve">Résultat escompté 2 : Bonne gouvernance de la Convention </w:t>
      </w:r>
      <w:r w:rsidR="00620857" w:rsidRPr="001E0BE0">
        <w:rPr>
          <w:rFonts w:ascii="Arial" w:hAnsi="Arial" w:cs="Arial"/>
          <w:b/>
        </w:rPr>
        <w:t xml:space="preserve">renforcée </w:t>
      </w:r>
      <w:r w:rsidRPr="001E0BE0">
        <w:rPr>
          <w:rFonts w:ascii="Arial" w:hAnsi="Arial" w:cs="Arial"/>
          <w:b/>
        </w:rPr>
        <w:t xml:space="preserve">par l’amélioration du suivi, des services de gestion des connaissances et </w:t>
      </w:r>
      <w:r w:rsidR="00620857" w:rsidRPr="001E0BE0">
        <w:rPr>
          <w:rFonts w:ascii="Arial" w:hAnsi="Arial" w:cs="Arial"/>
          <w:b/>
        </w:rPr>
        <w:t xml:space="preserve">des actions de </w:t>
      </w:r>
      <w:r w:rsidRPr="001E0BE0">
        <w:rPr>
          <w:rFonts w:ascii="Arial" w:hAnsi="Arial" w:cs="Arial"/>
          <w:b/>
        </w:rPr>
        <w:t>sensibilisation associés aux mécanismes de coopération internationale</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081"/>
        <w:gridCol w:w="1702"/>
      </w:tblGrid>
      <w:tr w:rsidR="00A57CDC" w:rsidRPr="001E0BE0" w14:paraId="02F8F293" w14:textId="77777777" w:rsidTr="00A559D2">
        <w:trPr>
          <w:jc w:val="center"/>
        </w:trPr>
        <w:tc>
          <w:tcPr>
            <w:tcW w:w="1999" w:type="pct"/>
            <w:shd w:val="clear" w:color="auto" w:fill="C6D9F1"/>
            <w:vAlign w:val="center"/>
          </w:tcPr>
          <w:p w14:paraId="50F306EC" w14:textId="77777777" w:rsidR="00A57CDC" w:rsidRPr="001E0BE0" w:rsidRDefault="00A57CDC" w:rsidP="001E3343">
            <w:pPr>
              <w:keepNext/>
              <w:spacing w:before="120"/>
              <w:jc w:val="center"/>
              <w:rPr>
                <w:rFonts w:ascii="Arial" w:eastAsia="Calibri" w:hAnsi="Arial" w:cs="Arial"/>
                <w:b/>
                <w:sz w:val="20"/>
                <w:szCs w:val="20"/>
              </w:rPr>
            </w:pPr>
            <w:bookmarkStart w:id="16" w:name="_Hlk81490153"/>
            <w:r w:rsidRPr="001E0BE0">
              <w:rPr>
                <w:rFonts w:ascii="Arial" w:hAnsi="Arial" w:cs="Arial"/>
                <w:b/>
                <w:sz w:val="20"/>
              </w:rPr>
              <w:t>Somme allouée</w:t>
            </w:r>
          </w:p>
        </w:tc>
        <w:tc>
          <w:tcPr>
            <w:tcW w:w="2118" w:type="pct"/>
            <w:shd w:val="clear" w:color="auto" w:fill="C6D9F1"/>
            <w:vAlign w:val="center"/>
          </w:tcPr>
          <w:p w14:paraId="165D5E88" w14:textId="77777777" w:rsidR="00A57CDC" w:rsidRPr="001E0BE0" w:rsidRDefault="00A57CDC" w:rsidP="001E3343">
            <w:pPr>
              <w:spacing w:before="120"/>
              <w:jc w:val="center"/>
              <w:rPr>
                <w:rFonts w:ascii="Arial" w:eastAsia="Calibri" w:hAnsi="Arial" w:cs="Arial"/>
                <w:b/>
                <w:sz w:val="20"/>
                <w:szCs w:val="20"/>
              </w:rPr>
            </w:pPr>
            <w:r w:rsidRPr="001E0BE0">
              <w:rPr>
                <w:rFonts w:ascii="Arial" w:hAnsi="Arial" w:cs="Arial"/>
                <w:b/>
                <w:sz w:val="20"/>
              </w:rPr>
              <w:t>Dépenses</w:t>
            </w:r>
          </w:p>
        </w:tc>
        <w:tc>
          <w:tcPr>
            <w:tcW w:w="883" w:type="pct"/>
            <w:shd w:val="clear" w:color="auto" w:fill="C6D9F1"/>
            <w:vAlign w:val="center"/>
          </w:tcPr>
          <w:p w14:paraId="1700563C" w14:textId="14B294CB" w:rsidR="00A57CDC" w:rsidRPr="001E0BE0" w:rsidRDefault="00A57CDC" w:rsidP="001E3343">
            <w:pPr>
              <w:spacing w:before="120"/>
              <w:jc w:val="center"/>
              <w:rPr>
                <w:rFonts w:ascii="Arial" w:eastAsia="Calibri" w:hAnsi="Arial" w:cs="Arial"/>
                <w:b/>
                <w:sz w:val="20"/>
                <w:szCs w:val="20"/>
              </w:rPr>
            </w:pPr>
            <w:r w:rsidRPr="001E0BE0">
              <w:rPr>
                <w:rFonts w:ascii="Arial" w:hAnsi="Arial" w:cs="Arial"/>
                <w:b/>
                <w:sz w:val="20"/>
              </w:rPr>
              <w:t>Taux de dépense (%)</w:t>
            </w:r>
            <w:r w:rsidRPr="001E0BE0">
              <w:rPr>
                <w:rFonts w:ascii="Arial" w:hAnsi="Arial" w:cs="Arial"/>
                <w:b/>
                <w:sz w:val="20"/>
              </w:rPr>
              <w:br/>
              <w:t>au 31/12/2025</w:t>
            </w:r>
          </w:p>
        </w:tc>
      </w:tr>
      <w:tr w:rsidR="00A57CDC" w:rsidRPr="001E0BE0" w14:paraId="78AC4D60" w14:textId="77777777" w:rsidTr="00A559D2">
        <w:trPr>
          <w:jc w:val="center"/>
        </w:trPr>
        <w:tc>
          <w:tcPr>
            <w:tcW w:w="1999" w:type="pct"/>
          </w:tcPr>
          <w:p w14:paraId="237E9C6A" w14:textId="77777777" w:rsidR="00A57CDC" w:rsidRPr="001E0BE0" w:rsidRDefault="00A57CDC" w:rsidP="001E3343">
            <w:pPr>
              <w:spacing w:before="120"/>
              <w:jc w:val="center"/>
              <w:rPr>
                <w:rFonts w:ascii="Arial" w:eastAsia="Calibri" w:hAnsi="Arial" w:cs="Arial"/>
                <w:sz w:val="20"/>
                <w:szCs w:val="20"/>
              </w:rPr>
            </w:pPr>
            <w:r w:rsidRPr="001E0BE0">
              <w:rPr>
                <w:rFonts w:ascii="Arial" w:hAnsi="Arial" w:cs="Arial"/>
                <w:sz w:val="20"/>
              </w:rPr>
              <w:t>786 199</w:t>
            </w:r>
          </w:p>
        </w:tc>
        <w:tc>
          <w:tcPr>
            <w:tcW w:w="2118" w:type="pct"/>
          </w:tcPr>
          <w:p w14:paraId="4B434C07" w14:textId="77777777" w:rsidR="00A57CDC" w:rsidRPr="001E0BE0" w:rsidRDefault="00A57CDC" w:rsidP="001E3343">
            <w:pPr>
              <w:spacing w:before="120"/>
              <w:jc w:val="center"/>
              <w:rPr>
                <w:rFonts w:ascii="Arial" w:eastAsia="Calibri" w:hAnsi="Arial" w:cs="Arial"/>
                <w:sz w:val="20"/>
                <w:szCs w:val="20"/>
              </w:rPr>
            </w:pPr>
            <w:r w:rsidRPr="001E0BE0">
              <w:rPr>
                <w:rFonts w:ascii="Arial" w:hAnsi="Arial" w:cs="Arial"/>
                <w:sz w:val="20"/>
              </w:rPr>
              <w:t>612 451,76</w:t>
            </w:r>
          </w:p>
        </w:tc>
        <w:tc>
          <w:tcPr>
            <w:tcW w:w="883" w:type="pct"/>
          </w:tcPr>
          <w:p w14:paraId="6FC877E4" w14:textId="77777777" w:rsidR="00A57CDC" w:rsidRPr="001E0BE0" w:rsidRDefault="00A57CDC" w:rsidP="001E3343">
            <w:pPr>
              <w:spacing w:before="120"/>
              <w:jc w:val="center"/>
              <w:rPr>
                <w:rFonts w:ascii="Arial" w:eastAsia="Calibri" w:hAnsi="Arial" w:cs="Arial"/>
                <w:sz w:val="20"/>
                <w:szCs w:val="20"/>
              </w:rPr>
            </w:pPr>
            <w:r w:rsidRPr="001E0BE0">
              <w:rPr>
                <w:rFonts w:ascii="Arial" w:hAnsi="Arial" w:cs="Arial"/>
                <w:sz w:val="20"/>
              </w:rPr>
              <w:t>77,9 %</w:t>
            </w:r>
          </w:p>
        </w:tc>
      </w:tr>
    </w:tbl>
    <w:p w14:paraId="05215D48" w14:textId="77777777" w:rsidR="00A57CDC" w:rsidRPr="001E0BE0" w:rsidRDefault="00A57CDC" w:rsidP="001E3343">
      <w:pPr>
        <w:spacing w:after="0"/>
        <w:jc w:val="both"/>
        <w:rPr>
          <w:rFonts w:ascii="Arial" w:hAnsi="Arial" w:cs="Arial"/>
          <w:szCs w:val="22"/>
        </w:rPr>
      </w:pPr>
    </w:p>
    <w:p w14:paraId="1E75ECE6" w14:textId="2D0E04EE" w:rsidR="008329B9" w:rsidRDefault="008329B9" w:rsidP="001E3343">
      <w:pPr>
        <w:spacing w:after="0"/>
        <w:rPr>
          <w:rFonts w:ascii="Arial" w:hAnsi="Arial" w:cs="Arial"/>
          <w:szCs w:val="22"/>
        </w:rPr>
      </w:pPr>
      <w:r>
        <w:rPr>
          <w:rFonts w:ascii="Arial" w:hAnsi="Arial" w:cs="Arial"/>
          <w:szCs w:val="22"/>
        </w:rPr>
        <w:br w:type="page"/>
      </w:r>
    </w:p>
    <w:p w14:paraId="0DDFDBFB" w14:textId="77777777" w:rsidR="008329B9" w:rsidRPr="001E0BE0" w:rsidRDefault="008329B9" w:rsidP="001E3343">
      <w:pPr>
        <w:spacing w:after="0"/>
        <w:jc w:val="both"/>
        <w:rPr>
          <w:rFonts w:ascii="Arial" w:hAnsi="Arial" w:cs="Arial"/>
          <w:szCs w:val="22"/>
        </w:rPr>
      </w:pPr>
    </w:p>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9634"/>
      </w:tblGrid>
      <w:tr w:rsidR="00A57CDC" w:rsidRPr="001E0BE0" w14:paraId="774B1546" w14:textId="77777777" w:rsidTr="00A559D2">
        <w:trPr>
          <w:tblHeader/>
        </w:trPr>
        <w:tc>
          <w:tcPr>
            <w:tcW w:w="9634" w:type="dxa"/>
            <w:shd w:val="clear" w:color="auto" w:fill="D9D9D9"/>
            <w:vAlign w:val="center"/>
          </w:tcPr>
          <w:p w14:paraId="79561AB2" w14:textId="2202F3A2" w:rsidR="00A57CDC" w:rsidRPr="001E0BE0" w:rsidRDefault="00A57CDC" w:rsidP="001E3343">
            <w:pPr>
              <w:keepNext/>
              <w:spacing w:before="60" w:after="60"/>
              <w:jc w:val="center"/>
              <w:rPr>
                <w:rFonts w:ascii="Arial" w:eastAsia="Calibri" w:hAnsi="Arial" w:cs="Arial"/>
                <w:b/>
                <w:sz w:val="20"/>
                <w:szCs w:val="20"/>
              </w:rPr>
            </w:pPr>
            <w:r w:rsidRPr="001E0BE0">
              <w:rPr>
                <w:rFonts w:ascii="Arial" w:hAnsi="Arial" w:cs="Arial"/>
                <w:b/>
                <w:sz w:val="20"/>
              </w:rPr>
              <w:t>Principales réalisations (du 01/01/2024 au 31/12/2025)</w:t>
            </w:r>
          </w:p>
        </w:tc>
      </w:tr>
    </w:tbl>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A57CDC" w:rsidRPr="001E0BE0" w14:paraId="79FADECC" w14:textId="77777777" w:rsidTr="00A559D2">
        <w:trPr>
          <w:trHeight w:val="2394"/>
          <w:jc w:val="center"/>
        </w:trPr>
        <w:tc>
          <w:tcPr>
            <w:tcW w:w="9640" w:type="dxa"/>
          </w:tcPr>
          <w:p w14:paraId="167C0CF4" w14:textId="77777777" w:rsidR="00A57CDC" w:rsidRPr="001E0BE0" w:rsidRDefault="00A57CDC" w:rsidP="001E3343">
            <w:pPr>
              <w:spacing w:before="60" w:after="60"/>
              <w:jc w:val="both"/>
              <w:rPr>
                <w:rFonts w:ascii="Arial" w:eastAsia="Calibri" w:hAnsi="Arial" w:cs="Arial"/>
                <w:b/>
                <w:bCs/>
                <w:sz w:val="20"/>
                <w:szCs w:val="20"/>
              </w:rPr>
            </w:pPr>
            <w:r w:rsidRPr="001E0BE0">
              <w:rPr>
                <w:rFonts w:ascii="Arial" w:hAnsi="Arial" w:cs="Arial"/>
                <w:b/>
                <w:sz w:val="20"/>
              </w:rPr>
              <w:t>Optimisation des processus de gestion des connaissances grâce à des interfaces de suivi et à des flux de travail en ligne</w:t>
            </w:r>
          </w:p>
          <w:p w14:paraId="30099D1F" w14:textId="46A90638" w:rsidR="00A57CDC" w:rsidRPr="001E0BE0" w:rsidRDefault="00A57CDC" w:rsidP="001E3343">
            <w:pPr>
              <w:numPr>
                <w:ilvl w:val="0"/>
                <w:numId w:val="21"/>
              </w:numPr>
              <w:spacing w:before="60" w:after="60"/>
              <w:ind w:left="591" w:hanging="591"/>
              <w:jc w:val="both"/>
              <w:rPr>
                <w:rFonts w:ascii="Arial" w:eastAsia="Calibri" w:hAnsi="Arial" w:cs="Arial"/>
                <w:sz w:val="20"/>
                <w:szCs w:val="20"/>
              </w:rPr>
            </w:pPr>
            <w:r w:rsidRPr="001E0BE0">
              <w:rPr>
                <w:rFonts w:ascii="Arial" w:hAnsi="Arial" w:cs="Arial"/>
                <w:sz w:val="20"/>
              </w:rPr>
              <w:t xml:space="preserve">Maintien de l’infrastructure du système de gestion des connaissances pour des raisons de sécurité, et mise à jour des services internes de gestion des connaissances et des flux de travail pour refléter les résultats de la réflexion globale sur les mécanismes d’inscription de la Convention (transferts entre les listes et inclusion connexe d’expériences de sauvegarde réussies dans le registre, </w:t>
            </w:r>
            <w:r w:rsidR="00BF2F5D" w:rsidRPr="001E0BE0">
              <w:rPr>
                <w:rFonts w:ascii="Arial" w:hAnsi="Arial" w:cs="Arial"/>
                <w:sz w:val="20"/>
              </w:rPr>
              <w:t xml:space="preserve">intégration </w:t>
            </w:r>
            <w:r w:rsidRPr="001E0BE0">
              <w:rPr>
                <w:rFonts w:ascii="Arial" w:hAnsi="Arial" w:cs="Arial"/>
                <w:sz w:val="20"/>
              </w:rPr>
              <w:t>des documents de candidatures pour les extensions).</w:t>
            </w:r>
          </w:p>
          <w:p w14:paraId="7BDD75BD" w14:textId="77777777" w:rsidR="00A57CDC" w:rsidRPr="001E0BE0" w:rsidRDefault="00A57CDC" w:rsidP="001E3343">
            <w:pPr>
              <w:numPr>
                <w:ilvl w:val="0"/>
                <w:numId w:val="21"/>
              </w:numPr>
              <w:spacing w:before="60" w:after="60"/>
              <w:ind w:left="591" w:hanging="591"/>
              <w:jc w:val="both"/>
              <w:rPr>
                <w:rFonts w:ascii="Arial" w:eastAsia="Calibri" w:hAnsi="Arial" w:cs="Arial"/>
                <w:sz w:val="20"/>
                <w:szCs w:val="20"/>
              </w:rPr>
            </w:pPr>
            <w:r w:rsidRPr="001E0BE0">
              <w:rPr>
                <w:rFonts w:ascii="Arial" w:hAnsi="Arial" w:cs="Arial"/>
                <w:sz w:val="20"/>
              </w:rPr>
              <w:t>Création ou pilotage de nouvelles fonctionnalités pour présenter les activités et les expériences dans le cadre de la Journée internationale du patrimoine culturel immatériel et dans le contexte de la réflexion sur une mise en œuvre plus large de l’article 18. Introduction d’une nouvelle fonctionnalité pour améliorer l’accessibilité du site web de la Convention pour le contraste des couleurs et la mise à l’échelle du texte afin de faciliter la lisibilité des pages web.</w:t>
            </w:r>
          </w:p>
        </w:tc>
      </w:tr>
    </w:tbl>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9634"/>
      </w:tblGrid>
      <w:tr w:rsidR="00A57CDC" w:rsidRPr="001E0BE0" w14:paraId="7CC6BF16" w14:textId="77777777" w:rsidTr="00A559D2">
        <w:tc>
          <w:tcPr>
            <w:tcW w:w="9634" w:type="dxa"/>
          </w:tcPr>
          <w:p w14:paraId="28424427" w14:textId="77777777" w:rsidR="00A57CDC" w:rsidRPr="001E0BE0" w:rsidRDefault="00A57CDC" w:rsidP="001E3343">
            <w:pPr>
              <w:spacing w:before="60" w:after="60"/>
              <w:jc w:val="both"/>
              <w:rPr>
                <w:rFonts w:ascii="Arial" w:eastAsia="Calibri" w:hAnsi="Arial" w:cs="Arial"/>
                <w:b/>
                <w:bCs/>
                <w:sz w:val="20"/>
                <w:szCs w:val="20"/>
              </w:rPr>
            </w:pPr>
            <w:r w:rsidRPr="001E0BE0">
              <w:rPr>
                <w:rFonts w:ascii="Arial" w:hAnsi="Arial" w:cs="Arial"/>
                <w:b/>
                <w:sz w:val="20"/>
              </w:rPr>
              <w:t>Renforcement de la mise en œuvre de l’article 18 pour favoriser le partage de bonnes expériences de sauvegarde</w:t>
            </w:r>
          </w:p>
          <w:p w14:paraId="113D5261" w14:textId="1EE78C7C" w:rsidR="00A57CDC" w:rsidRPr="001E0BE0" w:rsidRDefault="00A57CDC" w:rsidP="001E3343">
            <w:pPr>
              <w:numPr>
                <w:ilvl w:val="0"/>
                <w:numId w:val="21"/>
              </w:numPr>
              <w:spacing w:before="60" w:after="60"/>
              <w:ind w:left="591" w:hanging="591"/>
              <w:jc w:val="both"/>
              <w:rPr>
                <w:rFonts w:ascii="Arial" w:eastAsia="Calibri" w:hAnsi="Arial" w:cs="Arial"/>
                <w:sz w:val="20"/>
                <w:szCs w:val="20"/>
              </w:rPr>
            </w:pPr>
            <w:r w:rsidRPr="001E0BE0">
              <w:rPr>
                <w:rFonts w:ascii="Arial" w:hAnsi="Arial" w:cs="Arial"/>
                <w:sz w:val="20"/>
              </w:rPr>
              <w:t xml:space="preserve">Dans le cadre de la </w:t>
            </w:r>
            <w:hyperlink r:id="rId88" w:history="1">
              <w:r w:rsidRPr="001E0BE0">
                <w:rPr>
                  <w:rStyle w:val="Hyperlink"/>
                  <w:rFonts w:ascii="Arial" w:hAnsi="Arial" w:cs="Arial"/>
                  <w:sz w:val="20"/>
                </w:rPr>
                <w:t>réflexion en cours sur une mise en œuvre plus large de l’article 18</w:t>
              </w:r>
            </w:hyperlink>
            <w:r w:rsidRPr="001E0BE0">
              <w:rPr>
                <w:rFonts w:ascii="Arial" w:hAnsi="Arial" w:cs="Arial"/>
                <w:sz w:val="20"/>
              </w:rPr>
              <w:t xml:space="preserve">, lancée en 2023 (décision </w:t>
            </w:r>
            <w:hyperlink r:id="rId89" w:history="1">
              <w:r w:rsidRPr="001E0BE0">
                <w:rPr>
                  <w:rStyle w:val="Hyperlink"/>
                  <w:rFonts w:ascii="Arial" w:hAnsi="Arial" w:cs="Arial"/>
                  <w:sz w:val="20"/>
                </w:rPr>
                <w:t>18.COM 11</w:t>
              </w:r>
            </w:hyperlink>
            <w:r w:rsidRPr="001E0BE0">
              <w:rPr>
                <w:rFonts w:ascii="Arial" w:hAnsi="Arial" w:cs="Arial"/>
                <w:sz w:val="20"/>
              </w:rPr>
              <w:t xml:space="preserve">), et </w:t>
            </w:r>
            <w:r w:rsidRPr="001E0BE0">
              <w:rPr>
                <w:rStyle w:val="Strong"/>
                <w:rFonts w:ascii="Arial" w:hAnsi="Arial" w:cs="Arial"/>
                <w:b w:val="0"/>
                <w:sz w:val="20"/>
              </w:rPr>
              <w:t>compte tenu</w:t>
            </w:r>
            <w:r w:rsidRPr="001E0BE0">
              <w:rPr>
                <w:rFonts w:ascii="Arial" w:hAnsi="Arial" w:cs="Arial"/>
                <w:sz w:val="20"/>
              </w:rPr>
              <w:t xml:space="preserve"> de l’approche progressive et de la feuille de route examinées par le Comité pour le développement et le fonctionnement d’une nouvelle plateforme de partage des bonnes pratiques de sauvegarde (décisions </w:t>
            </w:r>
            <w:hyperlink r:id="rId90" w:history="1">
              <w:r w:rsidRPr="001E0BE0">
                <w:rPr>
                  <w:rStyle w:val="Hyperlink"/>
                  <w:rFonts w:ascii="Arial" w:hAnsi="Arial" w:cs="Arial"/>
                  <w:sz w:val="20"/>
                </w:rPr>
                <w:t>19.COM 10</w:t>
              </w:r>
            </w:hyperlink>
            <w:r w:rsidRPr="001E0BE0">
              <w:rPr>
                <w:rFonts w:ascii="Arial" w:hAnsi="Arial" w:cs="Arial"/>
                <w:sz w:val="20"/>
              </w:rPr>
              <w:t xml:space="preserve"> et </w:t>
            </w:r>
            <w:hyperlink r:id="rId91" w:history="1">
              <w:r w:rsidRPr="001E0BE0">
                <w:rPr>
                  <w:rStyle w:val="Hyperlink"/>
                  <w:rFonts w:ascii="Arial" w:hAnsi="Arial" w:cs="Arial"/>
                  <w:sz w:val="20"/>
                </w:rPr>
                <w:t>20.COM 11</w:t>
              </w:r>
            </w:hyperlink>
            <w:r w:rsidRPr="001E0BE0">
              <w:rPr>
                <w:rFonts w:ascii="Arial" w:hAnsi="Arial" w:cs="Arial"/>
                <w:sz w:val="20"/>
              </w:rPr>
              <w:t xml:space="preserve">), un </w:t>
            </w:r>
            <w:r w:rsidR="007079A0" w:rsidRPr="001E0BE0">
              <w:rPr>
                <w:rFonts w:ascii="Arial" w:hAnsi="Arial" w:cs="Arial"/>
                <w:sz w:val="20"/>
              </w:rPr>
              <w:t>sélection</w:t>
            </w:r>
            <w:r w:rsidR="00BF2F5D" w:rsidRPr="001E0BE0">
              <w:rPr>
                <w:rFonts w:ascii="Arial" w:hAnsi="Arial" w:cs="Arial"/>
                <w:sz w:val="20"/>
              </w:rPr>
              <w:t xml:space="preserve"> </w:t>
            </w:r>
            <w:r w:rsidR="007079A0" w:rsidRPr="001E0BE0">
              <w:rPr>
                <w:rFonts w:ascii="Arial" w:hAnsi="Arial" w:cs="Arial"/>
                <w:sz w:val="20"/>
              </w:rPr>
              <w:t xml:space="preserve">initiale de </w:t>
            </w:r>
            <w:r w:rsidRPr="001E0BE0">
              <w:rPr>
                <w:rFonts w:ascii="Arial" w:hAnsi="Arial" w:cs="Arial"/>
                <w:sz w:val="20"/>
              </w:rPr>
              <w:t xml:space="preserve">quatorze bonnes expériences de sauvegarde mises en œuvre grâce aux mécanismes de coopération internationale de la Convention a été </w:t>
            </w:r>
            <w:r w:rsidR="00BF2F5D" w:rsidRPr="001E0BE0">
              <w:rPr>
                <w:rFonts w:ascii="Arial" w:hAnsi="Arial" w:cs="Arial"/>
                <w:sz w:val="20"/>
              </w:rPr>
              <w:t>cartographié</w:t>
            </w:r>
            <w:r w:rsidRPr="001E0BE0">
              <w:rPr>
                <w:rFonts w:ascii="Arial" w:hAnsi="Arial" w:cs="Arial"/>
                <w:sz w:val="20"/>
              </w:rPr>
              <w:t>. Elles figurent dans une « </w:t>
            </w:r>
            <w:hyperlink r:id="rId92" w:history="1">
              <w:r w:rsidRPr="001E0BE0">
                <w:rPr>
                  <w:rStyle w:val="Hyperlink"/>
                  <w:rFonts w:ascii="Arial" w:hAnsi="Arial" w:cs="Arial"/>
                  <w:sz w:val="20"/>
                </w:rPr>
                <w:t>version pilote</w:t>
              </w:r>
            </w:hyperlink>
            <w:r w:rsidRPr="001E0BE0">
              <w:rPr>
                <w:rFonts w:ascii="Arial" w:hAnsi="Arial" w:cs="Arial"/>
                <w:sz w:val="20"/>
              </w:rPr>
              <w:t> » de la plateforme, lancée en mai 2025.</w:t>
            </w:r>
          </w:p>
          <w:p w14:paraId="788E0E47" w14:textId="521F6949" w:rsidR="00A57CDC" w:rsidRPr="001E0BE0" w:rsidRDefault="00A57CDC" w:rsidP="001E3343">
            <w:pPr>
              <w:pStyle w:val="ListParagraph"/>
              <w:numPr>
                <w:ilvl w:val="0"/>
                <w:numId w:val="25"/>
              </w:numPr>
              <w:tabs>
                <w:tab w:val="clear" w:pos="567"/>
              </w:tabs>
              <w:spacing w:before="60" w:after="60"/>
              <w:ind w:left="591" w:hanging="591"/>
            </w:pPr>
            <w:r w:rsidRPr="001E0BE0">
              <w:rPr>
                <w:sz w:val="20"/>
              </w:rPr>
              <w:t>Établissement en cours de la structure de la « plateforme de l’article 18 », ce qui passe notamment par des consultations en ligne avec les experts pour recueillir leur avis et développer de nouveaux contenus.</w:t>
            </w:r>
          </w:p>
        </w:tc>
      </w:tr>
    </w:tbl>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A57CDC" w:rsidRPr="001E0BE0" w14:paraId="1719AD35" w14:textId="77777777" w:rsidTr="00A559D2">
        <w:trPr>
          <w:trHeight w:val="566"/>
          <w:jc w:val="center"/>
        </w:trPr>
        <w:tc>
          <w:tcPr>
            <w:tcW w:w="9640" w:type="dxa"/>
          </w:tcPr>
          <w:p w14:paraId="6F9DB496" w14:textId="77777777" w:rsidR="00A57CDC" w:rsidRPr="001E0BE0" w:rsidRDefault="00A57CDC" w:rsidP="001E3343">
            <w:pPr>
              <w:spacing w:before="60" w:after="60"/>
              <w:jc w:val="both"/>
              <w:rPr>
                <w:rFonts w:ascii="Arial" w:eastAsia="Calibri" w:hAnsi="Arial" w:cs="Arial"/>
                <w:sz w:val="20"/>
                <w:szCs w:val="20"/>
              </w:rPr>
            </w:pPr>
            <w:r w:rsidRPr="001E0BE0">
              <w:rPr>
                <w:rFonts w:ascii="Arial" w:hAnsi="Arial" w:cs="Arial"/>
                <w:b/>
                <w:sz w:val="20"/>
              </w:rPr>
              <w:t>Préparation de l’année de réflexion (2026) initiée sur le mécanisme de rapports périodiques</w:t>
            </w:r>
          </w:p>
          <w:p w14:paraId="1025D99A" w14:textId="34052CD7" w:rsidR="00A57CDC" w:rsidRPr="001E0BE0" w:rsidRDefault="00A57CDC" w:rsidP="001E3343">
            <w:pPr>
              <w:pStyle w:val="ListParagraph"/>
              <w:numPr>
                <w:ilvl w:val="0"/>
                <w:numId w:val="25"/>
              </w:numPr>
              <w:tabs>
                <w:tab w:val="clear" w:pos="567"/>
              </w:tabs>
              <w:spacing w:before="60"/>
              <w:ind w:left="591" w:hanging="591"/>
              <w:rPr>
                <w:sz w:val="20"/>
                <w:szCs w:val="20"/>
              </w:rPr>
            </w:pPr>
            <w:r w:rsidRPr="001E0BE0">
              <w:rPr>
                <w:sz w:val="20"/>
                <w:szCs w:val="20"/>
              </w:rPr>
              <w:t xml:space="preserve">Organisation de cinq </w:t>
            </w:r>
            <w:hyperlink r:id="rId93" w:history="1">
              <w:r w:rsidRPr="001E0BE0">
                <w:rPr>
                  <w:rStyle w:val="Hyperlink"/>
                  <w:sz w:val="20"/>
                  <w:szCs w:val="20"/>
                </w:rPr>
                <w:t>réunions de consultation régionales</w:t>
              </w:r>
            </w:hyperlink>
            <w:r w:rsidRPr="001E0BE0">
              <w:rPr>
                <w:sz w:val="20"/>
                <w:szCs w:val="20"/>
              </w:rPr>
              <w:t xml:space="preserve"> en ligne avec les points focaux pour les rapports périodiques, les facilitateurs du réseau </w:t>
            </w:r>
            <w:r w:rsidR="007079A0" w:rsidRPr="001E0BE0">
              <w:rPr>
                <w:sz w:val="20"/>
                <w:szCs w:val="20"/>
              </w:rPr>
              <w:t xml:space="preserve">global </w:t>
            </w:r>
            <w:r w:rsidRPr="001E0BE0">
              <w:rPr>
                <w:sz w:val="20"/>
                <w:szCs w:val="20"/>
              </w:rPr>
              <w:t>de l’UNESCO et les représentants des centres de catégorie 2, qui ont joué un rôle clé dans la mise en œuvre du premier cycle régional de rapports. Les résultats de ces</w:t>
            </w:r>
            <w:r w:rsidRPr="001E0BE0">
              <w:rPr>
                <w:sz w:val="20"/>
              </w:rPr>
              <w:t xml:space="preserve"> réunions devraient alimenter l’année de réflexion (2026), permettant ainsi d’évaluer les enseignements tirés, de remédier aux lacunes (notamment des formulaires de rapport) et de s’appuyer sur les expériences concrètes des États en matière de rapports.</w:t>
            </w:r>
          </w:p>
        </w:tc>
      </w:tr>
      <w:tr w:rsidR="00A57CDC" w:rsidRPr="001E0BE0" w14:paraId="2BABD721" w14:textId="77777777" w:rsidTr="00A559D2">
        <w:trPr>
          <w:trHeight w:val="900"/>
          <w:jc w:val="center"/>
        </w:trPr>
        <w:tc>
          <w:tcPr>
            <w:tcW w:w="9640" w:type="dxa"/>
          </w:tcPr>
          <w:p w14:paraId="4F168FF0" w14:textId="77777777" w:rsidR="00A57CDC" w:rsidRPr="001E0BE0" w:rsidRDefault="00A57CDC" w:rsidP="001E3343">
            <w:pPr>
              <w:spacing w:before="60" w:after="60"/>
              <w:jc w:val="both"/>
              <w:rPr>
                <w:rFonts w:ascii="Arial" w:eastAsia="Calibri" w:hAnsi="Arial" w:cs="Arial"/>
                <w:b/>
                <w:bCs/>
                <w:sz w:val="20"/>
                <w:szCs w:val="20"/>
              </w:rPr>
            </w:pPr>
            <w:r w:rsidRPr="001E0BE0">
              <w:rPr>
                <w:rFonts w:ascii="Arial" w:hAnsi="Arial" w:cs="Arial"/>
                <w:b/>
                <w:sz w:val="20"/>
              </w:rPr>
              <w:t>Révision et publication des textes fondamentaux de la Convention</w:t>
            </w:r>
          </w:p>
          <w:p w14:paraId="2F9CC12E" w14:textId="77777777" w:rsidR="00A57CDC" w:rsidRPr="001E0BE0" w:rsidRDefault="00A57CDC" w:rsidP="001E3343">
            <w:pPr>
              <w:pStyle w:val="ListParagraph"/>
              <w:numPr>
                <w:ilvl w:val="0"/>
                <w:numId w:val="23"/>
              </w:numPr>
              <w:tabs>
                <w:tab w:val="clear" w:pos="567"/>
              </w:tabs>
              <w:snapToGrid/>
              <w:spacing w:before="60" w:after="60"/>
              <w:ind w:left="591" w:hanging="591"/>
              <w:contextualSpacing/>
              <w:rPr>
                <w:rFonts w:eastAsia="Calibri"/>
                <w:sz w:val="20"/>
                <w:szCs w:val="20"/>
              </w:rPr>
            </w:pPr>
            <w:r w:rsidRPr="001E0BE0">
              <w:rPr>
                <w:sz w:val="20"/>
                <w:szCs w:val="20"/>
              </w:rPr>
              <w:t>Publication de l’</w:t>
            </w:r>
            <w:hyperlink r:id="rId94" w:history="1">
              <w:r w:rsidRPr="001E0BE0">
                <w:rPr>
                  <w:rStyle w:val="Hyperlink"/>
                  <w:sz w:val="20"/>
                  <w:szCs w:val="20"/>
                </w:rPr>
                <w:t>édition 2024 des Textes fondamentaux</w:t>
              </w:r>
            </w:hyperlink>
            <w:r w:rsidRPr="001E0BE0">
              <w:rPr>
                <w:sz w:val="20"/>
                <w:szCs w:val="20"/>
              </w:rPr>
              <w:t xml:space="preserve"> de la Convention. Cette version comprend les amendements</w:t>
            </w:r>
            <w:r w:rsidRPr="001E0BE0">
              <w:rPr>
                <w:sz w:val="20"/>
              </w:rPr>
              <w:t xml:space="preserve"> apportés aux Directives opérationnelles qui ont été adoptés lors de la dixième session de l’Assemblée générale, en 2024.</w:t>
            </w:r>
          </w:p>
        </w:tc>
      </w:tr>
      <w:tr w:rsidR="00A57CDC" w:rsidRPr="001E0BE0" w14:paraId="13EE8740" w14:textId="77777777" w:rsidTr="00A559D2">
        <w:trPr>
          <w:trHeight w:val="699"/>
          <w:jc w:val="center"/>
        </w:trPr>
        <w:tc>
          <w:tcPr>
            <w:tcW w:w="9640" w:type="dxa"/>
          </w:tcPr>
          <w:p w14:paraId="7A68E985" w14:textId="77777777" w:rsidR="00A57CDC" w:rsidRPr="001E0BE0" w:rsidRDefault="00A57CDC" w:rsidP="001E3343">
            <w:pPr>
              <w:spacing w:before="60" w:after="60"/>
              <w:jc w:val="both"/>
              <w:rPr>
                <w:rFonts w:ascii="Arial" w:eastAsia="Calibri" w:hAnsi="Arial" w:cs="Arial"/>
                <w:b/>
                <w:bCs/>
                <w:sz w:val="20"/>
                <w:szCs w:val="20"/>
              </w:rPr>
            </w:pPr>
            <w:r w:rsidRPr="001E0BE0">
              <w:rPr>
                <w:rFonts w:ascii="Arial" w:hAnsi="Arial" w:cs="Arial"/>
                <w:b/>
                <w:sz w:val="20"/>
              </w:rPr>
              <w:t>Mise en œuvre d’actions de communication et de sensibilisation en amont pour promouvoir les objectifs de la Convention</w:t>
            </w:r>
          </w:p>
          <w:p w14:paraId="25D3A009" w14:textId="7C2A69DD" w:rsidR="00A57CDC" w:rsidRPr="001E0BE0" w:rsidRDefault="00A57CDC" w:rsidP="001E3343">
            <w:pPr>
              <w:pStyle w:val="ListParagraph"/>
              <w:numPr>
                <w:ilvl w:val="0"/>
                <w:numId w:val="26"/>
              </w:numPr>
              <w:tabs>
                <w:tab w:val="clear" w:pos="567"/>
              </w:tabs>
              <w:snapToGrid/>
              <w:spacing w:before="60" w:after="60"/>
              <w:ind w:left="591" w:hanging="591"/>
              <w:rPr>
                <w:sz w:val="20"/>
                <w:szCs w:val="20"/>
              </w:rPr>
            </w:pPr>
            <w:r w:rsidRPr="001E0BE0">
              <w:rPr>
                <w:snapToGrid/>
                <w:sz w:val="20"/>
              </w:rPr>
              <w:t xml:space="preserve">Campagnes mondiales menées pour les deux premières éditions de la </w:t>
            </w:r>
            <w:r w:rsidRPr="001E0BE0">
              <w:rPr>
                <w:sz w:val="20"/>
              </w:rPr>
              <w:t>Journée internationale du patrimoine culturel immatériel en 2024 et en 2025 :</w:t>
            </w:r>
          </w:p>
          <w:p w14:paraId="42AF318A" w14:textId="47750C8C" w:rsidR="00A57CDC" w:rsidRPr="001E0BE0" w:rsidRDefault="00A57CDC" w:rsidP="001E3343">
            <w:pPr>
              <w:pStyle w:val="ListParagraph"/>
              <w:numPr>
                <w:ilvl w:val="0"/>
                <w:numId w:val="31"/>
              </w:numPr>
              <w:tabs>
                <w:tab w:val="clear" w:pos="567"/>
              </w:tabs>
              <w:spacing w:before="60" w:after="60"/>
              <w:ind w:left="1158" w:hanging="591"/>
              <w:rPr>
                <w:rFonts w:eastAsia="Calibri"/>
                <w:sz w:val="20"/>
                <w:szCs w:val="20"/>
              </w:rPr>
            </w:pPr>
            <w:r w:rsidRPr="001E0BE0">
              <w:rPr>
                <w:sz w:val="20"/>
              </w:rPr>
              <w:t xml:space="preserve">Mise en place d’une </w:t>
            </w:r>
            <w:hyperlink r:id="rId95" w:history="1">
              <w:r w:rsidRPr="001E0BE0">
                <w:rPr>
                  <w:rStyle w:val="Hyperlink"/>
                  <w:sz w:val="20"/>
                </w:rPr>
                <w:t>plateforme</w:t>
              </w:r>
            </w:hyperlink>
            <w:r w:rsidRPr="001E0BE0">
              <w:rPr>
                <w:sz w:val="20"/>
              </w:rPr>
              <w:t xml:space="preserve"> dédiée pour mettre en avant 234 activités (100 en 2024 et 134 en 2025) menées par diverses parties prenantes de la Convention à travers le monde, et comprenant une </w:t>
            </w:r>
            <w:hyperlink r:id="rId96" w:history="1">
              <w:r w:rsidRPr="001E0BE0">
                <w:rPr>
                  <w:rStyle w:val="Hyperlink"/>
                  <w:sz w:val="20"/>
                </w:rPr>
                <w:t>vidéo</w:t>
              </w:r>
            </w:hyperlink>
            <w:r w:rsidRPr="001E0BE0">
              <w:rPr>
                <w:sz w:val="20"/>
              </w:rPr>
              <w:t xml:space="preserve"> commémorative. En 2025, une </w:t>
            </w:r>
            <w:hyperlink r:id="rId97" w:history="1">
              <w:r w:rsidRPr="001E0BE0">
                <w:rPr>
                  <w:rStyle w:val="Hyperlink"/>
                  <w:sz w:val="20"/>
                </w:rPr>
                <w:t>affiche</w:t>
              </w:r>
            </w:hyperlink>
            <w:r w:rsidRPr="001E0BE0">
              <w:rPr>
                <w:sz w:val="20"/>
              </w:rPr>
              <w:t xml:space="preserve"> a été mise à disposition et adaptée dans plus de 8 langues.</w:t>
            </w:r>
          </w:p>
          <w:p w14:paraId="560C64C8" w14:textId="706F35DE" w:rsidR="00A57CDC" w:rsidRPr="001E0BE0" w:rsidRDefault="00A57CDC" w:rsidP="001E3343">
            <w:pPr>
              <w:pStyle w:val="ListParagraph"/>
              <w:numPr>
                <w:ilvl w:val="0"/>
                <w:numId w:val="31"/>
              </w:numPr>
              <w:tabs>
                <w:tab w:val="clear" w:pos="567"/>
              </w:tabs>
              <w:spacing w:before="60" w:after="60"/>
              <w:ind w:left="1158" w:hanging="591"/>
              <w:rPr>
                <w:rFonts w:eastAsia="Calibri"/>
                <w:sz w:val="20"/>
                <w:szCs w:val="20"/>
              </w:rPr>
            </w:pPr>
            <w:r w:rsidRPr="001E0BE0">
              <w:rPr>
                <w:sz w:val="20"/>
                <w:szCs w:val="20"/>
              </w:rPr>
              <w:t xml:space="preserve">Organisation d’un </w:t>
            </w:r>
            <w:hyperlink r:id="rId98" w:history="1">
              <w:r w:rsidRPr="001E0BE0">
                <w:rPr>
                  <w:rStyle w:val="Hyperlink"/>
                  <w:sz w:val="20"/>
                  <w:szCs w:val="20"/>
                </w:rPr>
                <w:t>webinaire</w:t>
              </w:r>
            </w:hyperlink>
            <w:r w:rsidRPr="001E0BE0">
              <w:rPr>
                <w:sz w:val="20"/>
                <w:szCs w:val="20"/>
              </w:rPr>
              <w:t xml:space="preserve"> mondial</w:t>
            </w:r>
            <w:r w:rsidRPr="001E0BE0">
              <w:t xml:space="preserve"> </w:t>
            </w:r>
            <w:r w:rsidRPr="001E0BE0">
              <w:rPr>
                <w:sz w:val="20"/>
              </w:rPr>
              <w:t>sur l’intelligence artificielle et le patrimoine culturel immatériel le 17 octobre 2024 pour marquer la première édition de la Journée internationale.</w:t>
            </w:r>
          </w:p>
          <w:p w14:paraId="270F604F" w14:textId="022C2E70" w:rsidR="00A57CDC" w:rsidRPr="001E0BE0" w:rsidRDefault="00C559B2" w:rsidP="001E3343">
            <w:pPr>
              <w:pStyle w:val="ListParagraph"/>
              <w:numPr>
                <w:ilvl w:val="0"/>
                <w:numId w:val="26"/>
              </w:numPr>
              <w:spacing w:before="60" w:after="60"/>
              <w:ind w:left="591" w:hanging="591"/>
              <w:rPr>
                <w:rFonts w:eastAsia="Calibri"/>
              </w:rPr>
            </w:pPr>
            <w:r w:rsidRPr="001E0BE0">
              <w:rPr>
                <w:sz w:val="20"/>
              </w:rPr>
              <w:t xml:space="preserve">Élaboration de publications sur le thème </w:t>
            </w:r>
            <w:hyperlink r:id="rId99" w:history="1">
              <w:r w:rsidRPr="001E0BE0">
                <w:rPr>
                  <w:rStyle w:val="Hyperlink"/>
                  <w:sz w:val="20"/>
                </w:rPr>
                <w:t>Célébrer le patrimoine vivant des peuples autochtones</w:t>
              </w:r>
            </w:hyperlink>
            <w:r w:rsidRPr="001E0BE0">
              <w:rPr>
                <w:sz w:val="20"/>
              </w:rPr>
              <w:t xml:space="preserve"> pour mettre en évidence les expériences et améliorer la compréhension du rôle crucial joué par les peuples autochtones dans la sauvegarde de leur patrimoine vivant dans le cadre des actions de l’UNESCO dans le contexte de la Décennie internationale des langues autochtones (2023-2033).</w:t>
            </w:r>
          </w:p>
        </w:tc>
      </w:tr>
    </w:tbl>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9634"/>
      </w:tblGrid>
      <w:tr w:rsidR="00A57CDC" w:rsidRPr="001E0BE0" w14:paraId="7297839B" w14:textId="77777777" w:rsidTr="00A559D2">
        <w:tc>
          <w:tcPr>
            <w:tcW w:w="9634" w:type="dxa"/>
          </w:tcPr>
          <w:p w14:paraId="40C75FD7" w14:textId="77777777" w:rsidR="00A57CDC" w:rsidRPr="001E0BE0" w:rsidRDefault="00A57CDC" w:rsidP="001E3343">
            <w:pPr>
              <w:keepLines/>
              <w:spacing w:before="60" w:after="60"/>
              <w:jc w:val="both"/>
              <w:rPr>
                <w:rFonts w:ascii="Arial" w:eastAsia="Calibri" w:hAnsi="Arial" w:cs="Arial"/>
                <w:b/>
                <w:bCs/>
                <w:sz w:val="20"/>
                <w:szCs w:val="20"/>
              </w:rPr>
            </w:pPr>
            <w:r w:rsidRPr="001E0BE0">
              <w:rPr>
                <w:rFonts w:ascii="Arial" w:hAnsi="Arial" w:cs="Arial"/>
                <w:b/>
                <w:sz w:val="20"/>
              </w:rPr>
              <w:t>Renforcement de la coopération</w:t>
            </w:r>
            <w:r w:rsidRPr="001E0BE0">
              <w:rPr>
                <w:rFonts w:ascii="Arial" w:hAnsi="Arial" w:cs="Arial"/>
                <w:b/>
                <w:snapToGrid w:val="0"/>
                <w:sz w:val="20"/>
              </w:rPr>
              <w:t xml:space="preserve"> avec les organisations non gouvernementales (ONG) accréditées</w:t>
            </w:r>
          </w:p>
          <w:p w14:paraId="3BB4A0C9" w14:textId="6DB66C0D" w:rsidR="00A57CDC" w:rsidRPr="001E0BE0" w:rsidRDefault="00A57CDC" w:rsidP="001E3343">
            <w:pPr>
              <w:pStyle w:val="ListParagraph"/>
              <w:keepLines/>
              <w:numPr>
                <w:ilvl w:val="0"/>
                <w:numId w:val="24"/>
              </w:numPr>
              <w:tabs>
                <w:tab w:val="clear" w:pos="567"/>
              </w:tabs>
              <w:spacing w:before="60" w:after="60"/>
              <w:ind w:left="591" w:hanging="567"/>
              <w:rPr>
                <w:rFonts w:eastAsia="Calibri"/>
                <w:sz w:val="20"/>
                <w:szCs w:val="20"/>
              </w:rPr>
            </w:pPr>
            <w:r w:rsidRPr="001E0BE0">
              <w:rPr>
                <w:sz w:val="20"/>
              </w:rPr>
              <w:t xml:space="preserve">Après l’achèvement de la première phase du projet, </w:t>
            </w:r>
            <w:r w:rsidR="007079A0" w:rsidRPr="001E0BE0">
              <w:rPr>
                <w:sz w:val="20"/>
              </w:rPr>
              <w:t xml:space="preserve">une </w:t>
            </w:r>
            <w:r w:rsidRPr="001E0BE0">
              <w:rPr>
                <w:sz w:val="20"/>
              </w:rPr>
              <w:t xml:space="preserve">cartographie des domaines de compétences de 60 ONG accréditées (Décision </w:t>
            </w:r>
            <w:hyperlink r:id="rId100" w:tgtFrame="_blank" w:tooltip="https://ich.unesco.org/fr/decisions/14.COM/15" w:history="1">
              <w:r w:rsidRPr="001E0BE0">
                <w:rPr>
                  <w:rStyle w:val="Hyperlink"/>
                  <w:sz w:val="20"/>
                </w:rPr>
                <w:t>14.COM 15</w:t>
              </w:r>
            </w:hyperlink>
            <w:r w:rsidRPr="001E0BE0">
              <w:rPr>
                <w:sz w:val="20"/>
              </w:rPr>
              <w:t xml:space="preserve">) </w:t>
            </w:r>
            <w:r w:rsidR="007079A0" w:rsidRPr="001E0BE0">
              <w:rPr>
                <w:sz w:val="20"/>
              </w:rPr>
              <w:t xml:space="preserve">est </w:t>
            </w:r>
            <w:r w:rsidRPr="001E0BE0">
              <w:rPr>
                <w:sz w:val="20"/>
              </w:rPr>
              <w:t xml:space="preserve">désormais disponible sur la </w:t>
            </w:r>
            <w:hyperlink r:id="rId101" w:tgtFrame="_blank" w:tooltip="https://ich.unesco.org/fr/ong-accreditees" w:history="1">
              <w:r w:rsidRPr="001E0BE0">
                <w:rPr>
                  <w:rStyle w:val="Hyperlink"/>
                  <w:sz w:val="20"/>
                </w:rPr>
                <w:t xml:space="preserve">page internet de la </w:t>
              </w:r>
              <w:r w:rsidRPr="001E0BE0">
                <w:rPr>
                  <w:rStyle w:val="Hyperlink"/>
                  <w:sz w:val="20"/>
                </w:rPr>
                <w:lastRenderedPageBreak/>
                <w:t>Convention</w:t>
              </w:r>
            </w:hyperlink>
            <w:r w:rsidR="007079A0" w:rsidRPr="001E0BE0">
              <w:t xml:space="preserve">. </w:t>
            </w:r>
            <w:r w:rsidR="007079A0" w:rsidRPr="001E0BE0">
              <w:rPr>
                <w:sz w:val="20"/>
                <w:szCs w:val="20"/>
              </w:rPr>
              <w:t>La</w:t>
            </w:r>
            <w:r w:rsidRPr="001E0BE0">
              <w:t xml:space="preserve"> </w:t>
            </w:r>
            <w:r w:rsidRPr="001E0BE0">
              <w:rPr>
                <w:sz w:val="20"/>
              </w:rPr>
              <w:t xml:space="preserve">mise en œuvre de la deuxième phase du projet </w:t>
            </w:r>
            <w:r w:rsidR="007079A0" w:rsidRPr="001E0BE0">
              <w:rPr>
                <w:sz w:val="20"/>
              </w:rPr>
              <w:t xml:space="preserve">va permettre de </w:t>
            </w:r>
            <w:r w:rsidRPr="001E0BE0">
              <w:rPr>
                <w:sz w:val="20"/>
              </w:rPr>
              <w:t xml:space="preserve">produire 100 profils supplémentaires. </w:t>
            </w:r>
          </w:p>
          <w:p w14:paraId="1B890528" w14:textId="4D28DFE1" w:rsidR="00A57CDC" w:rsidRPr="001E0BE0" w:rsidRDefault="00A57CDC" w:rsidP="001E3343">
            <w:pPr>
              <w:pStyle w:val="ListParagraph"/>
              <w:keepLines/>
              <w:numPr>
                <w:ilvl w:val="0"/>
                <w:numId w:val="24"/>
              </w:numPr>
              <w:tabs>
                <w:tab w:val="clear" w:pos="567"/>
              </w:tabs>
              <w:spacing w:before="60" w:after="60"/>
              <w:ind w:left="591" w:hanging="591"/>
              <w:rPr>
                <w:rFonts w:eastAsia="Calibri"/>
              </w:rPr>
            </w:pPr>
            <w:r w:rsidRPr="001E0BE0">
              <w:rPr>
                <w:sz w:val="20"/>
              </w:rPr>
              <w:t xml:space="preserve">Renforcement de la collaboration avec le forum des ONG du PCI par une série d’actions, notamment des réunions régulières d’échange d’informations avec le Conseil exécutif du Forum et les groupes de travail créés dans le cadre du forum des ONG du PCI ; organisation d’événements conjoints en marge des réunions du Comité ; et facilitation de la contribution des ONG accréditées à des réflexions plus larges, telles que la réflexion générale sur les synergies entre les Conventions de 1972 et </w:t>
            </w:r>
            <w:r w:rsidR="007079A0" w:rsidRPr="001E0BE0">
              <w:rPr>
                <w:sz w:val="20"/>
              </w:rPr>
              <w:t xml:space="preserve">celle </w:t>
            </w:r>
            <w:r w:rsidRPr="001E0BE0">
              <w:rPr>
                <w:sz w:val="20"/>
              </w:rPr>
              <w:t>de 2003.</w:t>
            </w:r>
          </w:p>
        </w:tc>
      </w:tr>
    </w:tbl>
    <w:p w14:paraId="39A0B45D" w14:textId="77777777" w:rsidR="00A57CDC" w:rsidRPr="001E0BE0" w:rsidRDefault="00A57CDC" w:rsidP="001E3343">
      <w:pPr>
        <w:keepNext/>
        <w:spacing w:before="240"/>
        <w:rPr>
          <w:rFonts w:ascii="Arial" w:hAnsi="Arial" w:cs="Arial"/>
          <w:b/>
          <w:szCs w:val="22"/>
        </w:rPr>
      </w:pPr>
      <w:r w:rsidRPr="001E0BE0">
        <w:rPr>
          <w:rFonts w:ascii="Arial" w:hAnsi="Arial" w:cs="Arial"/>
          <w:b/>
        </w:rPr>
        <w:lastRenderedPageBreak/>
        <w:t>Défis et risques liés à la mise en œuvre et mesures correctives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A57CDC" w:rsidRPr="001E0BE0" w14:paraId="468FA010" w14:textId="77777777" w:rsidTr="00A559D2">
        <w:trPr>
          <w:tblHeader/>
          <w:jc w:val="center"/>
        </w:trPr>
        <w:tc>
          <w:tcPr>
            <w:tcW w:w="2500" w:type="pct"/>
            <w:shd w:val="clear" w:color="auto" w:fill="D9D9D9"/>
            <w:vAlign w:val="center"/>
          </w:tcPr>
          <w:p w14:paraId="653432B8" w14:textId="77777777" w:rsidR="00A57CDC" w:rsidRPr="001E0BE0" w:rsidRDefault="00A57CDC" w:rsidP="001E3343">
            <w:pPr>
              <w:keepNext/>
              <w:spacing w:before="60" w:after="60"/>
              <w:jc w:val="center"/>
              <w:rPr>
                <w:rFonts w:ascii="Arial" w:hAnsi="Arial" w:cs="Arial"/>
                <w:b/>
                <w:sz w:val="20"/>
                <w:szCs w:val="20"/>
              </w:rPr>
            </w:pPr>
            <w:r w:rsidRPr="001E0BE0">
              <w:rPr>
                <w:rFonts w:ascii="Arial" w:hAnsi="Arial" w:cs="Arial"/>
                <w:b/>
                <w:sz w:val="20"/>
              </w:rPr>
              <w:t>Principaux défis</w:t>
            </w:r>
          </w:p>
        </w:tc>
        <w:tc>
          <w:tcPr>
            <w:tcW w:w="2500" w:type="pct"/>
            <w:shd w:val="clear" w:color="auto" w:fill="D9D9D9"/>
            <w:vAlign w:val="center"/>
          </w:tcPr>
          <w:p w14:paraId="1E8A9C01" w14:textId="77777777" w:rsidR="00A57CDC" w:rsidRPr="001E0BE0" w:rsidRDefault="00A57CDC" w:rsidP="001E3343">
            <w:pPr>
              <w:keepNext/>
              <w:spacing w:before="60" w:after="60"/>
              <w:jc w:val="center"/>
              <w:rPr>
                <w:rFonts w:ascii="Arial" w:hAnsi="Arial" w:cs="Arial"/>
                <w:b/>
                <w:sz w:val="20"/>
                <w:szCs w:val="20"/>
              </w:rPr>
            </w:pPr>
            <w:r w:rsidRPr="001E0BE0">
              <w:rPr>
                <w:rFonts w:ascii="Arial" w:hAnsi="Arial" w:cs="Arial"/>
                <w:b/>
                <w:sz w:val="20"/>
              </w:rPr>
              <w:t>Mesures correctives</w:t>
            </w:r>
          </w:p>
        </w:tc>
      </w:tr>
      <w:tr w:rsidR="00A57CDC" w:rsidRPr="001E0BE0" w14:paraId="58A0875F" w14:textId="77777777" w:rsidTr="00A559D2">
        <w:trPr>
          <w:jc w:val="center"/>
        </w:trPr>
        <w:tc>
          <w:tcPr>
            <w:tcW w:w="2500" w:type="pct"/>
          </w:tcPr>
          <w:p w14:paraId="0EFC6D84" w14:textId="0A5C2FAE" w:rsidR="00A57CDC" w:rsidRPr="001E0BE0" w:rsidRDefault="00A57CDC" w:rsidP="001E3343">
            <w:pPr>
              <w:spacing w:before="60" w:after="60"/>
              <w:jc w:val="both"/>
              <w:rPr>
                <w:rFonts w:ascii="Arial" w:hAnsi="Arial" w:cs="Arial"/>
                <w:sz w:val="20"/>
                <w:szCs w:val="20"/>
              </w:rPr>
            </w:pPr>
            <w:r w:rsidRPr="001E0BE0">
              <w:rPr>
                <w:rFonts w:ascii="Arial" w:hAnsi="Arial" w:cs="Arial"/>
                <w:sz w:val="20"/>
              </w:rPr>
              <w:t xml:space="preserve">Le développement géographique et substantiel continu de la Convention, démontré notamment par les nouvelles ratifications, l’expansion des initiatives thématiques, le nombre croissant d’ONG accréditées et la sensibilisation grandissante d’un public plus large à la Convention, nécessite en continu de développer et d’adapter le contenu et les outils dans </w:t>
            </w:r>
            <w:r w:rsidR="007079A0" w:rsidRPr="001E0BE0">
              <w:rPr>
                <w:rFonts w:ascii="Arial" w:hAnsi="Arial" w:cs="Arial"/>
                <w:sz w:val="20"/>
              </w:rPr>
              <w:t xml:space="preserve">différents </w:t>
            </w:r>
            <w:r w:rsidRPr="001E0BE0">
              <w:rPr>
                <w:rFonts w:ascii="Arial" w:hAnsi="Arial" w:cs="Arial"/>
                <w:sz w:val="20"/>
              </w:rPr>
              <w:t>formats, et de s’adresser à des publics nouveaux et changeants ayant des attentes différentes.</w:t>
            </w:r>
          </w:p>
        </w:tc>
        <w:tc>
          <w:tcPr>
            <w:tcW w:w="2500" w:type="pct"/>
          </w:tcPr>
          <w:p w14:paraId="0502236B" w14:textId="77777777" w:rsidR="00A57CDC" w:rsidRPr="001E0BE0" w:rsidRDefault="00A57CDC" w:rsidP="001E3343">
            <w:pPr>
              <w:spacing w:before="60" w:after="60"/>
              <w:jc w:val="both"/>
              <w:rPr>
                <w:rFonts w:ascii="Arial" w:eastAsia="Calibri" w:hAnsi="Arial" w:cs="Arial"/>
                <w:sz w:val="20"/>
                <w:szCs w:val="20"/>
              </w:rPr>
            </w:pPr>
            <w:r w:rsidRPr="001E0BE0">
              <w:rPr>
                <w:rFonts w:ascii="Arial" w:hAnsi="Arial" w:cs="Arial"/>
                <w:sz w:val="20"/>
              </w:rPr>
              <w:t xml:space="preserve">Pour ce qui est de gestion des connaissances et de la sensibilisation, la priorité continue d’être accordée à l’adaptation et à l’amélioration des outils et interfaces en ligne. En outre, de nouvelles fonctionnalités et caractéristiques sont introduites et testées pour améliorer l’accessibilité du site web, les vidéos, outils en ligne et réseaux sociaux étant de plus en plus utilisés. </w:t>
            </w:r>
          </w:p>
          <w:p w14:paraId="3E1577C5" w14:textId="77777777" w:rsidR="00A57CDC" w:rsidRPr="001E0BE0" w:rsidRDefault="00A57CDC" w:rsidP="001E3343">
            <w:pPr>
              <w:spacing w:before="60" w:after="60"/>
              <w:jc w:val="both"/>
              <w:rPr>
                <w:rFonts w:ascii="Arial" w:eastAsia="Calibri" w:hAnsi="Arial" w:cs="Arial"/>
                <w:sz w:val="20"/>
                <w:szCs w:val="20"/>
              </w:rPr>
            </w:pPr>
            <w:r w:rsidRPr="001E0BE0">
              <w:rPr>
                <w:rFonts w:ascii="Arial" w:hAnsi="Arial" w:cs="Arial"/>
                <w:sz w:val="20"/>
              </w:rPr>
              <w:t>Parallèlement, la coopération est renforcée avec les principales parties prenantes (forum des ONG du PCI, centres de catégorie 2, chaires UNESCO) afin d’accroître la portée des efforts, notamment en exploitant encore plus efficacement le large éventail d’expertise disponible dans la société civile.</w:t>
            </w:r>
          </w:p>
        </w:tc>
      </w:tr>
      <w:tr w:rsidR="00A57CDC" w:rsidRPr="001E0BE0" w14:paraId="67F1EC20" w14:textId="77777777" w:rsidTr="00A559D2">
        <w:trPr>
          <w:jc w:val="center"/>
        </w:trPr>
        <w:tc>
          <w:tcPr>
            <w:tcW w:w="2500" w:type="pct"/>
          </w:tcPr>
          <w:p w14:paraId="21763A4E" w14:textId="25FDF201" w:rsidR="00A57CDC" w:rsidRPr="001E0BE0" w:rsidRDefault="00A57CDC" w:rsidP="001E3343">
            <w:pPr>
              <w:spacing w:before="60" w:after="60"/>
              <w:jc w:val="both"/>
              <w:rPr>
                <w:rFonts w:ascii="Arial" w:hAnsi="Arial" w:cs="Arial"/>
                <w:sz w:val="20"/>
                <w:szCs w:val="20"/>
              </w:rPr>
            </w:pPr>
            <w:r w:rsidRPr="001E0BE0">
              <w:rPr>
                <w:rFonts w:ascii="Arial" w:hAnsi="Arial" w:cs="Arial"/>
                <w:sz w:val="20"/>
              </w:rPr>
              <w:t xml:space="preserve">Après l’achèvement du premier cycle régional de rapports périodiques par toutes les régions, la transition à venir vers un système unique et mondial de soumission des rapports périodiques a soulevé des questions sur les implications pour les cycles de rapports futurs et l’engagement des différentes parties prenantes dans ce processus (voir le document </w:t>
            </w:r>
            <w:hyperlink r:id="rId102" w:history="1">
              <w:r w:rsidRPr="001E0BE0">
                <w:rPr>
                  <w:rStyle w:val="Hyperlink"/>
                  <w:rFonts w:ascii="Arial" w:hAnsi="Arial" w:cs="Arial"/>
                  <w:sz w:val="20"/>
                </w:rPr>
                <w:t>LHE/25/20.COM/6.c</w:t>
              </w:r>
            </w:hyperlink>
            <w:r w:rsidRPr="001E0BE0">
              <w:rPr>
                <w:rFonts w:ascii="Arial" w:hAnsi="Arial" w:cs="Arial"/>
                <w:sz w:val="20"/>
              </w:rPr>
              <w:t>).</w:t>
            </w:r>
          </w:p>
        </w:tc>
        <w:tc>
          <w:tcPr>
            <w:tcW w:w="2500" w:type="pct"/>
          </w:tcPr>
          <w:p w14:paraId="4FA7804D" w14:textId="7E2CB326" w:rsidR="00A57CDC" w:rsidRPr="001E0BE0" w:rsidRDefault="00A57CDC" w:rsidP="001E3343">
            <w:pPr>
              <w:spacing w:before="60" w:after="60"/>
              <w:jc w:val="both"/>
              <w:rPr>
                <w:rFonts w:ascii="Arial" w:hAnsi="Arial" w:cs="Arial"/>
                <w:sz w:val="20"/>
              </w:rPr>
            </w:pPr>
            <w:r w:rsidRPr="001E0BE0">
              <w:rPr>
                <w:rFonts w:ascii="Arial" w:hAnsi="Arial" w:cs="Arial"/>
                <w:sz w:val="20"/>
              </w:rPr>
              <w:t>En préparation de l’année de réflexion en 2026, une approche</w:t>
            </w:r>
            <w:r w:rsidR="00831F2A" w:rsidRPr="001E0BE0">
              <w:rPr>
                <w:rFonts w:ascii="Arial" w:hAnsi="Arial" w:cs="Arial"/>
                <w:sz w:val="20"/>
              </w:rPr>
              <w:t xml:space="preserve"> plus </w:t>
            </w:r>
            <w:r w:rsidRPr="001E0BE0">
              <w:rPr>
                <w:rFonts w:ascii="Arial" w:hAnsi="Arial" w:cs="Arial"/>
                <w:sz w:val="20"/>
              </w:rPr>
              <w:t xml:space="preserve">participative </w:t>
            </w:r>
            <w:r w:rsidR="00831F2A" w:rsidRPr="001E0BE0">
              <w:rPr>
                <w:rFonts w:ascii="Arial" w:hAnsi="Arial" w:cs="Arial"/>
                <w:sz w:val="20"/>
              </w:rPr>
              <w:t xml:space="preserve">a été mise en place afin d’associer les principales parties prenantes du processus de rapports périodiques à faire le point et à évaluer les enseignements tirés du cycle régional de rapports. </w:t>
            </w:r>
            <w:r w:rsidRPr="001E0BE0">
              <w:rPr>
                <w:rFonts w:ascii="Arial" w:hAnsi="Arial" w:cs="Arial"/>
                <w:sz w:val="20"/>
              </w:rPr>
              <w:t>Ce processus vise à faciliter une réflexion commune sur les améliorations à apporter, par exemple lors de la réunion de réflexion mondiale sur les mécanismes de rapports périodiques (en ligne, du 28 au 30 avril 2026).</w:t>
            </w:r>
          </w:p>
        </w:tc>
      </w:tr>
      <w:bookmarkEnd w:id="16"/>
    </w:tbl>
    <w:p w14:paraId="216F635F" w14:textId="77777777" w:rsidR="009133B9" w:rsidRPr="001E0BE0" w:rsidRDefault="009133B9" w:rsidP="001E3343">
      <w:pPr>
        <w:pStyle w:val="1GAPara"/>
        <w:numPr>
          <w:ilvl w:val="0"/>
          <w:numId w:val="0"/>
        </w:numPr>
        <w:jc w:val="both"/>
      </w:pPr>
    </w:p>
    <w:sectPr w:rsidR="009133B9" w:rsidRPr="001E0BE0" w:rsidSect="002938F2">
      <w:headerReference w:type="even" r:id="rId103"/>
      <w:headerReference w:type="default" r:id="rId104"/>
      <w:headerReference w:type="first" r:id="rId10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2017" w14:textId="77777777" w:rsidR="008A6A86" w:rsidRDefault="008A6A86" w:rsidP="002938F2">
      <w:r>
        <w:separator/>
      </w:r>
    </w:p>
    <w:p w14:paraId="1240D56B" w14:textId="77777777" w:rsidR="008A6A86" w:rsidRDefault="008A6A86"/>
  </w:endnote>
  <w:endnote w:type="continuationSeparator" w:id="0">
    <w:p w14:paraId="58DF2B5E" w14:textId="77777777" w:rsidR="008A6A86" w:rsidRDefault="008A6A86" w:rsidP="002938F2">
      <w:r>
        <w:continuationSeparator/>
      </w:r>
    </w:p>
    <w:p w14:paraId="048FAAF1" w14:textId="77777777" w:rsidR="008A6A86" w:rsidRDefault="008A6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C72C4" w14:textId="77777777" w:rsidR="008A6A86" w:rsidRDefault="008A6A86" w:rsidP="002938F2">
      <w:r>
        <w:separator/>
      </w:r>
    </w:p>
  </w:footnote>
  <w:footnote w:type="continuationSeparator" w:id="0">
    <w:p w14:paraId="0BD4F32E" w14:textId="77777777" w:rsidR="008A6A86" w:rsidRDefault="008A6A86" w:rsidP="002938F2">
      <w:r>
        <w:continuationSeparator/>
      </w:r>
    </w:p>
  </w:footnote>
  <w:footnote w:id="1">
    <w:p w14:paraId="12CB7176" w14:textId="626BD6F6" w:rsidR="00741933" w:rsidRPr="00277F60" w:rsidRDefault="00741933" w:rsidP="00163C1B">
      <w:pPr>
        <w:pStyle w:val="FootnoteText"/>
        <w:spacing w:after="60"/>
        <w:ind w:left="567" w:hanging="567"/>
        <w:jc w:val="both"/>
        <w:rPr>
          <w:rFonts w:asciiTheme="minorBidi" w:hAnsiTheme="minorBidi" w:cstheme="minorBidi"/>
          <w:sz w:val="18"/>
          <w:szCs w:val="18"/>
        </w:rPr>
      </w:pPr>
      <w:r>
        <w:rPr>
          <w:rStyle w:val="FootnoteReference"/>
          <w:rFonts w:asciiTheme="minorBidi" w:hAnsiTheme="minorBidi" w:cstheme="minorBidi"/>
          <w:sz w:val="18"/>
          <w:szCs w:val="18"/>
        </w:rPr>
        <w:footnoteRef/>
      </w:r>
      <w:r>
        <w:rPr>
          <w:rFonts w:asciiTheme="minorBidi" w:hAnsiTheme="minorBidi"/>
          <w:sz w:val="18"/>
        </w:rPr>
        <w:t> </w:t>
      </w:r>
      <w:r w:rsidR="00163C1B">
        <w:rPr>
          <w:rFonts w:asciiTheme="minorBidi" w:hAnsiTheme="minorBidi"/>
          <w:sz w:val="18"/>
        </w:rPr>
        <w:tab/>
      </w:r>
      <w:r>
        <w:rPr>
          <w:rFonts w:asciiTheme="minorBidi" w:hAnsiTheme="minorBidi"/>
          <w:sz w:val="18"/>
        </w:rPr>
        <w:t xml:space="preserve">Les chiffres ont été arrondis par rapport aux </w:t>
      </w:r>
      <w:r w:rsidR="00B5091B">
        <w:rPr>
          <w:rFonts w:asciiTheme="minorBidi" w:hAnsiTheme="minorBidi"/>
          <w:sz w:val="18"/>
        </w:rPr>
        <w:t>a</w:t>
      </w:r>
      <w:r>
        <w:rPr>
          <w:rFonts w:asciiTheme="minorBidi" w:hAnsiTheme="minorBidi"/>
          <w:sz w:val="18"/>
        </w:rPr>
        <w:t>nnexes I et II</w:t>
      </w:r>
      <w:r>
        <w:t>.</w:t>
      </w:r>
      <w:r>
        <w:rPr>
          <w:rFonts w:asciiTheme="minorBidi" w:hAnsiTheme="minorBidi"/>
          <w:sz w:val="18"/>
        </w:rPr>
        <w:t xml:space="preserve"> </w:t>
      </w:r>
    </w:p>
  </w:footnote>
  <w:footnote w:id="2">
    <w:p w14:paraId="2F35F9FF" w14:textId="6B7E5DD8" w:rsidR="00741933" w:rsidRPr="00277F60" w:rsidRDefault="00741933" w:rsidP="00163C1B">
      <w:pPr>
        <w:pStyle w:val="FootnoteText"/>
        <w:spacing w:after="60"/>
        <w:ind w:left="567" w:hanging="567"/>
        <w:jc w:val="both"/>
        <w:rPr>
          <w:rFonts w:asciiTheme="minorBidi" w:hAnsiTheme="minorBidi" w:cstheme="minorBidi"/>
          <w:sz w:val="18"/>
          <w:szCs w:val="18"/>
        </w:rPr>
      </w:pPr>
      <w:r>
        <w:rPr>
          <w:rStyle w:val="FootnoteReference"/>
          <w:rFonts w:asciiTheme="minorBidi" w:eastAsia="Calibri" w:hAnsiTheme="minorBidi" w:cstheme="minorBidi"/>
          <w:sz w:val="18"/>
          <w:szCs w:val="18"/>
          <w:lang w:eastAsia="en-US"/>
        </w:rPr>
        <w:footnoteRef/>
      </w:r>
      <w:r>
        <w:rPr>
          <w:rFonts w:asciiTheme="minorBidi" w:hAnsiTheme="minorBidi"/>
          <w:sz w:val="18"/>
        </w:rPr>
        <w:t> </w:t>
      </w:r>
      <w:r w:rsidR="00163C1B">
        <w:rPr>
          <w:rFonts w:asciiTheme="minorBidi" w:hAnsiTheme="minorBidi"/>
          <w:sz w:val="18"/>
        </w:rPr>
        <w:tab/>
      </w:r>
      <w:r>
        <w:rPr>
          <w:rFonts w:asciiTheme="minorBidi" w:hAnsiTheme="minorBidi"/>
          <w:sz w:val="18"/>
        </w:rPr>
        <w:t>Dans l’État financier (</w:t>
      </w:r>
      <w:hyperlink w:anchor="AnnexI" w:history="1">
        <w:r w:rsidR="00922075">
          <w:rPr>
            <w:rStyle w:val="Hyperlink"/>
            <w:rFonts w:asciiTheme="minorBidi" w:hAnsiTheme="minorBidi"/>
            <w:sz w:val="18"/>
          </w:rPr>
          <w:t>A</w:t>
        </w:r>
        <w:r>
          <w:rPr>
            <w:rStyle w:val="Hyperlink"/>
            <w:rFonts w:asciiTheme="minorBidi" w:hAnsiTheme="minorBidi"/>
            <w:sz w:val="18"/>
          </w:rPr>
          <w:t>nnexe I</w:t>
        </w:r>
      </w:hyperlink>
      <w:r>
        <w:rPr>
          <w:rFonts w:asciiTheme="minorBidi" w:hAnsiTheme="minorBidi"/>
          <w:sz w:val="18"/>
        </w:rPr>
        <w:t xml:space="preserve">), les contributions obligatoires pour la période 2024-2025 sont </w:t>
      </w:r>
      <w:r w:rsidR="00B5091B">
        <w:rPr>
          <w:rFonts w:asciiTheme="minorBidi" w:hAnsiTheme="minorBidi"/>
          <w:sz w:val="18"/>
        </w:rPr>
        <w:t xml:space="preserve">indiquées </w:t>
      </w:r>
      <w:r>
        <w:rPr>
          <w:rFonts w:asciiTheme="minorBidi" w:hAnsiTheme="minorBidi"/>
          <w:sz w:val="18"/>
        </w:rPr>
        <w:t xml:space="preserve">comme des recettes, qu’elles aient été reçues ou non. Au 31 décembre 2025, le solde impayé des contributions </w:t>
      </w:r>
      <w:r w:rsidR="00B80BF3">
        <w:rPr>
          <w:rFonts w:asciiTheme="minorBidi" w:hAnsiTheme="minorBidi"/>
          <w:sz w:val="18"/>
        </w:rPr>
        <w:t xml:space="preserve">obligatoires </w:t>
      </w:r>
      <w:r>
        <w:rPr>
          <w:rFonts w:asciiTheme="minorBidi" w:hAnsiTheme="minorBidi"/>
          <w:sz w:val="18"/>
        </w:rPr>
        <w:t xml:space="preserve">mises en recouvrement pour la période 2024–2025 </w:t>
      </w:r>
      <w:r w:rsidR="00BA662B">
        <w:rPr>
          <w:rFonts w:asciiTheme="minorBidi" w:hAnsiTheme="minorBidi"/>
          <w:sz w:val="18"/>
        </w:rPr>
        <w:t xml:space="preserve">concernait </w:t>
      </w:r>
      <w:r w:rsidR="00B80BF3">
        <w:rPr>
          <w:rFonts w:asciiTheme="minorBidi" w:hAnsiTheme="minorBidi"/>
          <w:sz w:val="18"/>
        </w:rPr>
        <w:t xml:space="preserve">89 États parties et </w:t>
      </w:r>
      <w:r>
        <w:rPr>
          <w:rFonts w:asciiTheme="minorBidi" w:hAnsiTheme="minorBidi"/>
          <w:sz w:val="18"/>
        </w:rPr>
        <w:t xml:space="preserve">représentait 3 % </w:t>
      </w:r>
      <w:r w:rsidR="00B80BF3">
        <w:rPr>
          <w:rFonts w:asciiTheme="minorBidi" w:hAnsiTheme="minorBidi"/>
          <w:sz w:val="18"/>
        </w:rPr>
        <w:t xml:space="preserve">du montant </w:t>
      </w:r>
      <w:r>
        <w:rPr>
          <w:rFonts w:asciiTheme="minorBidi" w:hAnsiTheme="minorBidi"/>
          <w:sz w:val="18"/>
        </w:rPr>
        <w:t xml:space="preserve">des contributions. Un compte rendu détaillé des contributions reçues par chaque État partie est disponible dans les </w:t>
      </w:r>
      <w:hyperlink r:id="rId1" w:history="1">
        <w:r>
          <w:rPr>
            <w:rStyle w:val="Hyperlink"/>
            <w:rFonts w:asciiTheme="minorBidi" w:hAnsiTheme="minorBidi"/>
            <w:sz w:val="18"/>
          </w:rPr>
          <w:t>États des contributions mises en recouvrement pour la période du 1 janvier 2024 au 31 décembre 2025</w:t>
        </w:r>
      </w:hyperlink>
      <w:r>
        <w:rPr>
          <w:rFonts w:asciiTheme="minorBidi" w:hAnsiTheme="minorBidi"/>
          <w:sz w:val="18"/>
        </w:rPr>
        <w:t>.</w:t>
      </w:r>
    </w:p>
  </w:footnote>
  <w:footnote w:id="3">
    <w:p w14:paraId="77A3FA26" w14:textId="365FE886" w:rsidR="007760E0" w:rsidRPr="00324F03" w:rsidRDefault="007760E0" w:rsidP="00163C1B">
      <w:pPr>
        <w:pStyle w:val="FootnoteText"/>
        <w:spacing w:after="60"/>
        <w:ind w:left="567" w:hanging="567"/>
        <w:jc w:val="both"/>
        <w:rPr>
          <w:rFonts w:asciiTheme="minorBidi" w:hAnsiTheme="minorBidi" w:cstheme="minorBidi"/>
          <w:sz w:val="18"/>
          <w:szCs w:val="18"/>
        </w:rPr>
      </w:pPr>
      <w:r>
        <w:rPr>
          <w:rStyle w:val="FootnoteReference"/>
          <w:rFonts w:asciiTheme="minorBidi" w:hAnsiTheme="minorBidi" w:cstheme="minorBidi"/>
          <w:sz w:val="18"/>
          <w:szCs w:val="18"/>
        </w:rPr>
        <w:footnoteRef/>
      </w:r>
      <w:r>
        <w:rPr>
          <w:rFonts w:asciiTheme="minorBidi" w:hAnsiTheme="minorBidi"/>
          <w:sz w:val="18"/>
        </w:rPr>
        <w:t> </w:t>
      </w:r>
      <w:r w:rsidR="00163C1B">
        <w:rPr>
          <w:rFonts w:asciiTheme="minorBidi" w:hAnsiTheme="minorBidi"/>
          <w:sz w:val="18"/>
        </w:rPr>
        <w:tab/>
      </w:r>
      <w:r>
        <w:rPr>
          <w:rFonts w:asciiTheme="minorBidi" w:hAnsiTheme="minorBidi"/>
          <w:sz w:val="18"/>
        </w:rPr>
        <w:t xml:space="preserve">En outre, six demandes d’assistance internationale approuvées au cours de l’exercice biennal 2024-2025 seront mises en œuvre au cours de l’exercice biennal actuel en raison : a) de l’approbation de la demande par le Comité au cours du dernier trimestre de l’exercice biennal ; b) du souhait exprimé par les agences </w:t>
      </w:r>
      <w:r w:rsidR="00BD10AE">
        <w:rPr>
          <w:rFonts w:asciiTheme="minorBidi" w:hAnsiTheme="minorBidi"/>
          <w:sz w:val="18"/>
        </w:rPr>
        <w:t xml:space="preserve">de mise en œuvre </w:t>
      </w:r>
      <w:r>
        <w:rPr>
          <w:rFonts w:asciiTheme="minorBidi" w:hAnsiTheme="minorBidi"/>
          <w:sz w:val="18"/>
        </w:rPr>
        <w:t>de démarrer le projet en 2026 ; ou c) de retards ou de difficultés d’ordre administratif et technique. Elles figureront dans le prochain rapport qui sera présenté lors de la vingt-deuxième session du Comité en 2027 et de la douzième session de l’Assemblée générale en 2028.</w:t>
      </w:r>
    </w:p>
  </w:footnote>
  <w:footnote w:id="4">
    <w:p w14:paraId="385BD8D3" w14:textId="18684069" w:rsidR="00EE1657" w:rsidRPr="00277F60" w:rsidRDefault="00EE1657" w:rsidP="00163C1B">
      <w:pPr>
        <w:pStyle w:val="FootnoteText"/>
        <w:spacing w:after="60"/>
        <w:ind w:left="567" w:hanging="567"/>
        <w:jc w:val="both"/>
        <w:rPr>
          <w:rFonts w:asciiTheme="minorBidi" w:hAnsiTheme="minorBidi" w:cstheme="minorBidi"/>
          <w:sz w:val="18"/>
          <w:szCs w:val="18"/>
        </w:rPr>
      </w:pPr>
      <w:r>
        <w:rPr>
          <w:rStyle w:val="FootnoteReference"/>
          <w:rFonts w:asciiTheme="minorBidi" w:hAnsiTheme="minorBidi" w:cstheme="minorBidi"/>
          <w:sz w:val="18"/>
          <w:szCs w:val="18"/>
        </w:rPr>
        <w:footnoteRef/>
      </w:r>
      <w:r>
        <w:rPr>
          <w:rFonts w:asciiTheme="minorBidi" w:hAnsiTheme="minorBidi"/>
          <w:sz w:val="18"/>
        </w:rPr>
        <w:t> </w:t>
      </w:r>
      <w:r w:rsidR="00163C1B">
        <w:rPr>
          <w:rFonts w:asciiTheme="minorBidi" w:hAnsiTheme="minorBidi"/>
          <w:sz w:val="18"/>
        </w:rPr>
        <w:tab/>
      </w:r>
      <w:r>
        <w:rPr>
          <w:rFonts w:asciiTheme="minorBidi" w:hAnsiTheme="minorBidi"/>
          <w:sz w:val="18"/>
        </w:rPr>
        <w:t>Angola, Antigua-et-Barbuda, Bahamas, Bangladesh, Belize*, Cameroun, Gambie, Guinée équatoriale, Hongrie, Kazakhstan, Ouzbékistan, Pakistan, Paraguay, République centrafricaine, République dominicaine, Sao Tomé-et-Principe, Soudan du Sud et Thaïlande (* État ayant précédemment bénéficié de l’assistance internationale par le biais d’une demande multinationale).</w:t>
      </w:r>
    </w:p>
  </w:footnote>
  <w:footnote w:id="5">
    <w:p w14:paraId="0FA6592C" w14:textId="727BCCEA" w:rsidR="000507F5" w:rsidRPr="00324F03" w:rsidRDefault="000507F5" w:rsidP="00163C1B">
      <w:pPr>
        <w:pStyle w:val="FootnoteText"/>
        <w:spacing w:after="60"/>
        <w:ind w:left="567" w:hanging="567"/>
        <w:jc w:val="both"/>
        <w:rPr>
          <w:rFonts w:asciiTheme="minorBidi" w:hAnsiTheme="minorBidi" w:cstheme="minorBidi"/>
          <w:sz w:val="18"/>
          <w:szCs w:val="18"/>
        </w:rPr>
      </w:pPr>
      <w:r>
        <w:rPr>
          <w:rStyle w:val="FootnoteReference"/>
          <w:rFonts w:asciiTheme="minorBidi" w:hAnsiTheme="minorBidi" w:cstheme="minorBidi"/>
          <w:sz w:val="18"/>
          <w:szCs w:val="18"/>
        </w:rPr>
        <w:footnoteRef/>
      </w:r>
      <w:r>
        <w:rPr>
          <w:rFonts w:asciiTheme="minorBidi" w:hAnsiTheme="minorBidi"/>
          <w:sz w:val="18"/>
        </w:rPr>
        <w:t xml:space="preserve"> </w:t>
      </w:r>
      <w:r w:rsidR="00163C1B">
        <w:rPr>
          <w:rFonts w:asciiTheme="minorBidi" w:hAnsiTheme="minorBidi"/>
          <w:sz w:val="18"/>
        </w:rPr>
        <w:tab/>
      </w:r>
      <w:r>
        <w:rPr>
          <w:rFonts w:asciiTheme="minorBidi" w:hAnsiTheme="minorBidi"/>
          <w:sz w:val="18"/>
        </w:rPr>
        <w:t xml:space="preserve">Voir le document </w:t>
      </w:r>
      <w:hyperlink r:id="rId2" w:history="1">
        <w:r>
          <w:rPr>
            <w:rStyle w:val="Hyperlink"/>
            <w:rFonts w:asciiTheme="minorBidi" w:hAnsiTheme="minorBidi"/>
            <w:sz w:val="18"/>
          </w:rPr>
          <w:t>LHE/25/20.COM/10</w:t>
        </w:r>
      </w:hyperlink>
      <w:r>
        <w:rPr>
          <w:rFonts w:asciiTheme="minorBidi" w:hAnsiTheme="minorBidi"/>
          <w:sz w:val="18"/>
        </w:rPr>
        <w:t xml:space="preserve"> pour plus d’informations concernant la mise en œuvre des mécanismes de l’assistance internationale.</w:t>
      </w:r>
    </w:p>
  </w:footnote>
  <w:footnote w:id="6">
    <w:p w14:paraId="499065D7" w14:textId="1FED0BAD" w:rsidR="00321880" w:rsidRPr="00BD10AE" w:rsidRDefault="00321880" w:rsidP="00163C1B">
      <w:pPr>
        <w:pStyle w:val="FootnoteText"/>
        <w:spacing w:after="60"/>
        <w:ind w:left="567" w:hanging="567"/>
        <w:jc w:val="both"/>
        <w:rPr>
          <w:rFonts w:asciiTheme="minorBidi" w:hAnsiTheme="minorBidi" w:cstheme="minorBidi"/>
          <w:sz w:val="18"/>
          <w:szCs w:val="18"/>
        </w:rPr>
      </w:pPr>
      <w:r w:rsidRPr="00BD10AE">
        <w:rPr>
          <w:rStyle w:val="FootnoteReference"/>
          <w:rFonts w:asciiTheme="minorBidi" w:hAnsiTheme="minorBidi" w:cstheme="minorBidi"/>
          <w:sz w:val="18"/>
          <w:szCs w:val="18"/>
        </w:rPr>
        <w:footnoteRef/>
      </w:r>
      <w:r w:rsidRPr="00CE2202">
        <w:rPr>
          <w:rFonts w:asciiTheme="minorBidi" w:hAnsiTheme="minorBidi"/>
          <w:sz w:val="18"/>
          <w:szCs w:val="18"/>
        </w:rPr>
        <w:t> </w:t>
      </w:r>
      <w:r w:rsidR="00163C1B">
        <w:rPr>
          <w:rFonts w:asciiTheme="minorBidi" w:hAnsiTheme="minorBidi"/>
          <w:sz w:val="18"/>
          <w:szCs w:val="18"/>
        </w:rPr>
        <w:tab/>
      </w:r>
      <w:r w:rsidRPr="00CE2202">
        <w:rPr>
          <w:rFonts w:asciiTheme="minorBidi" w:hAnsiTheme="minorBidi"/>
          <w:sz w:val="18"/>
          <w:szCs w:val="18"/>
        </w:rPr>
        <w:t>République démocratique populaire lao (Décision </w:t>
      </w:r>
      <w:hyperlink r:id="rId3" w:history="1">
        <w:r w:rsidRPr="00CE2202">
          <w:rPr>
            <w:rStyle w:val="Hyperlink"/>
            <w:rFonts w:asciiTheme="minorBidi" w:hAnsiTheme="minorBidi"/>
            <w:sz w:val="18"/>
            <w:szCs w:val="18"/>
          </w:rPr>
          <w:t>14.COM 2.BUR 5.3</w:t>
        </w:r>
      </w:hyperlink>
      <w:r w:rsidRPr="00CE2202">
        <w:rPr>
          <w:rFonts w:asciiTheme="minorBidi" w:hAnsiTheme="minorBidi"/>
          <w:sz w:val="18"/>
          <w:szCs w:val="18"/>
        </w:rPr>
        <w:t>) et Tonga (décision</w:t>
      </w:r>
      <w:r w:rsidRPr="00CE2202">
        <w:rPr>
          <w:sz w:val="18"/>
          <w:szCs w:val="18"/>
        </w:rPr>
        <w:t> </w:t>
      </w:r>
      <w:hyperlink r:id="rId4" w:history="1">
        <w:r w:rsidRPr="00CE2202">
          <w:rPr>
            <w:rStyle w:val="Hyperlink"/>
            <w:rFonts w:asciiTheme="minorBidi" w:hAnsiTheme="minorBidi"/>
            <w:sz w:val="18"/>
            <w:szCs w:val="18"/>
          </w:rPr>
          <w:t>13.COM 2.BUR 4.6</w:t>
        </w:r>
      </w:hyperlink>
      <w:r w:rsidRPr="00CE2202">
        <w:rPr>
          <w:rFonts w:asciiTheme="minorBidi" w:hAnsiTheme="minorBidi"/>
          <w:sz w:val="18"/>
          <w:szCs w:val="18"/>
        </w:rPr>
        <w:t>).</w:t>
      </w:r>
    </w:p>
  </w:footnote>
  <w:footnote w:id="7">
    <w:p w14:paraId="67E3FFAF" w14:textId="63E5A9BD" w:rsidR="00921FB4" w:rsidRPr="00BD10AE" w:rsidRDefault="00921FB4" w:rsidP="00163C1B">
      <w:pPr>
        <w:pStyle w:val="FootnoteText"/>
        <w:spacing w:after="60"/>
        <w:ind w:left="567" w:hanging="567"/>
        <w:jc w:val="both"/>
        <w:rPr>
          <w:rFonts w:asciiTheme="minorBidi" w:hAnsiTheme="minorBidi" w:cstheme="minorBidi"/>
          <w:sz w:val="18"/>
          <w:szCs w:val="18"/>
        </w:rPr>
      </w:pPr>
      <w:r w:rsidRPr="00BD10AE">
        <w:rPr>
          <w:rStyle w:val="FootnoteReference"/>
          <w:rFonts w:asciiTheme="minorBidi" w:hAnsiTheme="minorBidi" w:cstheme="minorBidi"/>
          <w:sz w:val="18"/>
          <w:szCs w:val="18"/>
        </w:rPr>
        <w:footnoteRef/>
      </w:r>
      <w:r w:rsidRPr="00CE2202">
        <w:rPr>
          <w:sz w:val="18"/>
          <w:szCs w:val="18"/>
        </w:rPr>
        <w:t> </w:t>
      </w:r>
      <w:r w:rsidR="00163C1B">
        <w:rPr>
          <w:sz w:val="18"/>
          <w:szCs w:val="18"/>
        </w:rPr>
        <w:tab/>
      </w:r>
      <w:r w:rsidRPr="00CE2202">
        <w:rPr>
          <w:rFonts w:asciiTheme="minorBidi" w:hAnsiTheme="minorBidi"/>
          <w:sz w:val="18"/>
          <w:szCs w:val="18"/>
        </w:rPr>
        <w:t xml:space="preserve">Gambie (Décision </w:t>
      </w:r>
      <w:hyperlink r:id="rId5" w:history="1">
        <w:r w:rsidRPr="00CE2202">
          <w:rPr>
            <w:rStyle w:val="Hyperlink"/>
            <w:rFonts w:asciiTheme="minorBidi" w:hAnsiTheme="minorBidi"/>
            <w:sz w:val="18"/>
            <w:szCs w:val="18"/>
          </w:rPr>
          <w:t>20.COM 3.BUR 4.1</w:t>
        </w:r>
      </w:hyperlink>
      <w:r w:rsidRPr="00CE2202">
        <w:rPr>
          <w:rFonts w:asciiTheme="minorBidi" w:hAnsiTheme="minorBidi"/>
          <w:sz w:val="18"/>
          <w:szCs w:val="18"/>
        </w:rPr>
        <w:t>)</w:t>
      </w:r>
      <w:r w:rsidRPr="00CE2202">
        <w:rPr>
          <w:sz w:val="18"/>
          <w:szCs w:val="18"/>
        </w:rPr>
        <w:t xml:space="preserve">, </w:t>
      </w:r>
      <w:r w:rsidRPr="00CE2202">
        <w:rPr>
          <w:rFonts w:asciiTheme="minorBidi" w:hAnsiTheme="minorBidi"/>
          <w:sz w:val="18"/>
          <w:szCs w:val="18"/>
        </w:rPr>
        <w:t xml:space="preserve">Ouganda (Décision </w:t>
      </w:r>
      <w:hyperlink r:id="rId6" w:history="1">
        <w:r w:rsidRPr="00CE2202">
          <w:rPr>
            <w:rStyle w:val="Hyperlink"/>
            <w:rFonts w:asciiTheme="minorBidi" w:hAnsiTheme="minorBidi"/>
            <w:sz w:val="18"/>
            <w:szCs w:val="18"/>
          </w:rPr>
          <w:t>19.COM 2.BUR 4.2</w:t>
        </w:r>
      </w:hyperlink>
      <w:r w:rsidRPr="00CE2202">
        <w:rPr>
          <w:rFonts w:asciiTheme="minorBidi" w:hAnsiTheme="minorBidi"/>
          <w:sz w:val="18"/>
          <w:szCs w:val="18"/>
        </w:rPr>
        <w:t>)</w:t>
      </w:r>
      <w:r w:rsidRPr="00CE2202">
        <w:rPr>
          <w:sz w:val="18"/>
          <w:szCs w:val="18"/>
        </w:rPr>
        <w:t xml:space="preserve"> et </w:t>
      </w:r>
      <w:r w:rsidRPr="00CE2202">
        <w:rPr>
          <w:rFonts w:asciiTheme="minorBidi" w:hAnsiTheme="minorBidi"/>
          <w:sz w:val="18"/>
          <w:szCs w:val="18"/>
        </w:rPr>
        <w:t xml:space="preserve">Papouasie-Nouvelle-Guinée (Décision </w:t>
      </w:r>
      <w:hyperlink r:id="rId7" w:history="1">
        <w:r w:rsidRPr="00CE2202">
          <w:rPr>
            <w:rStyle w:val="Hyperlink"/>
            <w:rFonts w:asciiTheme="minorBidi" w:hAnsiTheme="minorBidi"/>
            <w:sz w:val="18"/>
            <w:szCs w:val="18"/>
          </w:rPr>
          <w:t>19.COM 2.BUR 4.1</w:t>
        </w:r>
      </w:hyperlink>
      <w:r w:rsidRPr="00CE2202">
        <w:rPr>
          <w:rFonts w:asciiTheme="minorBidi" w:hAnsiTheme="minorBidi"/>
          <w:sz w:val="18"/>
          <w:szCs w:val="18"/>
        </w:rPr>
        <w:t>)</w:t>
      </w:r>
      <w:r w:rsidRPr="00CE2202">
        <w:rPr>
          <w:sz w:val="18"/>
          <w:szCs w:val="18"/>
        </w:rPr>
        <w:t>.</w:t>
      </w:r>
    </w:p>
  </w:footnote>
  <w:footnote w:id="8">
    <w:p w14:paraId="64C1BF1E" w14:textId="7CAD92D8" w:rsidR="00921FB4" w:rsidRPr="00BD10AE" w:rsidRDefault="00921FB4" w:rsidP="00163C1B">
      <w:pPr>
        <w:pStyle w:val="FootnoteText"/>
        <w:spacing w:after="60"/>
        <w:ind w:left="567" w:hanging="567"/>
        <w:jc w:val="both"/>
        <w:rPr>
          <w:rFonts w:asciiTheme="minorBidi" w:hAnsiTheme="minorBidi" w:cstheme="minorBidi"/>
          <w:sz w:val="18"/>
          <w:szCs w:val="18"/>
        </w:rPr>
      </w:pPr>
      <w:r w:rsidRPr="00BD10AE">
        <w:rPr>
          <w:rStyle w:val="FootnoteReference"/>
          <w:rFonts w:asciiTheme="minorBidi" w:hAnsiTheme="minorBidi" w:cstheme="minorBidi"/>
          <w:sz w:val="18"/>
          <w:szCs w:val="18"/>
        </w:rPr>
        <w:footnoteRef/>
      </w:r>
      <w:r w:rsidR="00654DAC">
        <w:rPr>
          <w:rFonts w:asciiTheme="minorBidi" w:hAnsiTheme="minorBidi"/>
          <w:sz w:val="18"/>
          <w:szCs w:val="18"/>
        </w:rPr>
        <w:t> </w:t>
      </w:r>
      <w:r w:rsidR="00163C1B">
        <w:rPr>
          <w:rFonts w:asciiTheme="minorBidi" w:hAnsiTheme="minorBidi"/>
          <w:sz w:val="18"/>
          <w:szCs w:val="18"/>
        </w:rPr>
        <w:tab/>
      </w:r>
      <w:r w:rsidRPr="00CE2202">
        <w:rPr>
          <w:rFonts w:asciiTheme="minorBidi" w:hAnsiTheme="minorBidi"/>
          <w:sz w:val="18"/>
          <w:szCs w:val="18"/>
        </w:rPr>
        <w:t>Bénin (Décision </w:t>
      </w:r>
      <w:hyperlink r:id="rId8" w:history="1">
        <w:r w:rsidRPr="00CE2202">
          <w:rPr>
            <w:rStyle w:val="Hyperlink"/>
            <w:rFonts w:asciiTheme="minorBidi" w:hAnsiTheme="minorBidi"/>
            <w:sz w:val="18"/>
            <w:szCs w:val="18"/>
          </w:rPr>
          <w:t>20.COM 3.BUR 4.2</w:t>
        </w:r>
      </w:hyperlink>
      <w:r w:rsidRPr="00CE2202">
        <w:rPr>
          <w:rFonts w:asciiTheme="minorBidi" w:hAnsiTheme="minorBidi"/>
          <w:sz w:val="18"/>
          <w:szCs w:val="18"/>
        </w:rPr>
        <w:t>), Burkina Faso (Décision </w:t>
      </w:r>
      <w:hyperlink r:id="rId9" w:history="1">
        <w:r w:rsidRPr="00CE2202">
          <w:rPr>
            <w:rStyle w:val="Hyperlink"/>
            <w:rFonts w:asciiTheme="minorBidi" w:hAnsiTheme="minorBidi"/>
            <w:sz w:val="18"/>
            <w:szCs w:val="18"/>
          </w:rPr>
          <w:t>20.COM 3.BUR 4.3</w:t>
        </w:r>
      </w:hyperlink>
      <w:r w:rsidRPr="00CE2202">
        <w:rPr>
          <w:rFonts w:asciiTheme="minorBidi" w:hAnsiTheme="minorBidi"/>
          <w:sz w:val="18"/>
          <w:szCs w:val="18"/>
        </w:rPr>
        <w:t>), la République-Unie de Tanzanie (Décision </w:t>
      </w:r>
      <w:hyperlink r:id="rId10" w:history="1">
        <w:r w:rsidRPr="00CE2202">
          <w:rPr>
            <w:rStyle w:val="Hyperlink"/>
            <w:rFonts w:asciiTheme="minorBidi" w:hAnsiTheme="minorBidi"/>
            <w:sz w:val="18"/>
            <w:szCs w:val="18"/>
          </w:rPr>
          <w:t>20.COM 3.BUR 4.6</w:t>
        </w:r>
      </w:hyperlink>
      <w:r w:rsidRPr="00CE2202">
        <w:rPr>
          <w:rFonts w:asciiTheme="minorBidi" w:hAnsiTheme="minorBidi"/>
          <w:sz w:val="18"/>
          <w:szCs w:val="18"/>
        </w:rPr>
        <w:t>),</w:t>
      </w:r>
      <w:r w:rsidR="00654DAC">
        <w:rPr>
          <w:rFonts w:asciiTheme="minorBidi" w:hAnsiTheme="minorBidi"/>
          <w:sz w:val="18"/>
          <w:szCs w:val="18"/>
        </w:rPr>
        <w:t xml:space="preserve"> Saint-Kitts-et-Nevis </w:t>
      </w:r>
      <w:r w:rsidRPr="00CE2202">
        <w:rPr>
          <w:rFonts w:asciiTheme="minorBidi" w:hAnsiTheme="minorBidi"/>
          <w:sz w:val="18"/>
          <w:szCs w:val="18"/>
        </w:rPr>
        <w:t>(Décision </w:t>
      </w:r>
      <w:hyperlink r:id="rId11" w:history="1">
        <w:r w:rsidRPr="00CE2202">
          <w:rPr>
            <w:rStyle w:val="Hyperlink"/>
            <w:rFonts w:asciiTheme="minorBidi" w:hAnsiTheme="minorBidi"/>
            <w:sz w:val="18"/>
            <w:szCs w:val="18"/>
          </w:rPr>
          <w:t>20.COM 3.BUR 4.4</w:t>
        </w:r>
      </w:hyperlink>
      <w:r w:rsidRPr="00CE2202">
        <w:rPr>
          <w:rFonts w:asciiTheme="minorBidi" w:hAnsiTheme="minorBidi"/>
          <w:sz w:val="18"/>
          <w:szCs w:val="18"/>
        </w:rPr>
        <w:t>) et Sainte-Lucie (Décision </w:t>
      </w:r>
      <w:hyperlink r:id="rId12" w:history="1">
        <w:r w:rsidRPr="00CE2202">
          <w:rPr>
            <w:rStyle w:val="Hyperlink"/>
            <w:rFonts w:asciiTheme="minorBidi" w:hAnsiTheme="minorBidi"/>
            <w:sz w:val="18"/>
            <w:szCs w:val="18"/>
          </w:rPr>
          <w:t>20.COM 3.BUR 4.5</w:t>
        </w:r>
      </w:hyperlink>
      <w:r w:rsidRPr="00CE2202">
        <w:rPr>
          <w:rFonts w:asciiTheme="minorBidi" w:hAnsiTheme="minorBidi"/>
          <w:sz w:val="18"/>
          <w:szCs w:val="18"/>
        </w:rPr>
        <w:t>).</w:t>
      </w:r>
    </w:p>
  </w:footnote>
  <w:footnote w:id="9">
    <w:p w14:paraId="26955F6D" w14:textId="668CBA72" w:rsidR="00321880" w:rsidRPr="00BD10AE" w:rsidRDefault="00321880" w:rsidP="00163C1B">
      <w:pPr>
        <w:pStyle w:val="FootnoteText"/>
        <w:spacing w:after="60"/>
        <w:ind w:left="567" w:hanging="567"/>
        <w:jc w:val="both"/>
        <w:rPr>
          <w:rFonts w:asciiTheme="minorBidi" w:hAnsiTheme="minorBidi" w:cstheme="minorBidi"/>
          <w:sz w:val="18"/>
          <w:szCs w:val="18"/>
        </w:rPr>
      </w:pPr>
      <w:r w:rsidRPr="00BD10AE">
        <w:rPr>
          <w:rStyle w:val="FootnoteReference"/>
          <w:rFonts w:asciiTheme="minorBidi" w:hAnsiTheme="minorBidi" w:cstheme="minorBidi"/>
          <w:sz w:val="18"/>
          <w:szCs w:val="18"/>
        </w:rPr>
        <w:footnoteRef/>
      </w:r>
      <w:r w:rsidRPr="00CE2202">
        <w:rPr>
          <w:rFonts w:asciiTheme="minorBidi" w:hAnsiTheme="minorBidi"/>
          <w:sz w:val="18"/>
          <w:szCs w:val="18"/>
        </w:rPr>
        <w:t> </w:t>
      </w:r>
      <w:r w:rsidR="00163C1B">
        <w:rPr>
          <w:rFonts w:asciiTheme="minorBidi" w:hAnsiTheme="minorBidi"/>
          <w:sz w:val="18"/>
          <w:szCs w:val="18"/>
        </w:rPr>
        <w:tab/>
      </w:r>
      <w:r w:rsidRPr="00CE2202">
        <w:rPr>
          <w:rFonts w:asciiTheme="minorBidi" w:hAnsiTheme="minorBidi"/>
          <w:sz w:val="18"/>
          <w:szCs w:val="18"/>
        </w:rPr>
        <w:t>Belize, État de Palestine, Guinée équatoriale, Honduras et Sainte-Lucie.</w:t>
      </w:r>
    </w:p>
  </w:footnote>
  <w:footnote w:id="10">
    <w:p w14:paraId="4B7AB06A" w14:textId="45830AF3" w:rsidR="00321880" w:rsidRPr="00277F60" w:rsidRDefault="00321880" w:rsidP="00163C1B">
      <w:pPr>
        <w:pStyle w:val="FootnoteText"/>
        <w:spacing w:after="60"/>
        <w:ind w:left="567" w:hanging="567"/>
        <w:jc w:val="both"/>
        <w:rPr>
          <w:rFonts w:asciiTheme="minorBidi" w:hAnsiTheme="minorBidi" w:cstheme="minorBidi"/>
          <w:sz w:val="18"/>
          <w:szCs w:val="18"/>
        </w:rPr>
      </w:pPr>
      <w:r w:rsidRPr="00BD10AE">
        <w:rPr>
          <w:rStyle w:val="FootnoteReference"/>
          <w:rFonts w:asciiTheme="minorBidi" w:hAnsiTheme="minorBidi" w:cstheme="minorBidi"/>
          <w:sz w:val="18"/>
          <w:szCs w:val="18"/>
        </w:rPr>
        <w:footnoteRef/>
      </w:r>
      <w:r w:rsidR="00654DAC">
        <w:rPr>
          <w:rFonts w:asciiTheme="minorBidi" w:hAnsiTheme="minorBidi"/>
          <w:sz w:val="18"/>
          <w:szCs w:val="18"/>
        </w:rPr>
        <w:t> </w:t>
      </w:r>
      <w:r w:rsidR="00163C1B">
        <w:rPr>
          <w:rFonts w:asciiTheme="minorBidi" w:hAnsiTheme="minorBidi"/>
          <w:sz w:val="18"/>
          <w:szCs w:val="18"/>
        </w:rPr>
        <w:tab/>
      </w:r>
      <w:r w:rsidR="00654DAC">
        <w:rPr>
          <w:rFonts w:asciiTheme="minorBidi" w:hAnsiTheme="minorBidi"/>
          <w:sz w:val="18"/>
          <w:szCs w:val="18"/>
        </w:rPr>
        <w:t>Be</w:t>
      </w:r>
      <w:r w:rsidRPr="00CE2202">
        <w:rPr>
          <w:rFonts w:asciiTheme="minorBidi" w:hAnsiTheme="minorBidi"/>
          <w:sz w:val="18"/>
          <w:szCs w:val="18"/>
        </w:rPr>
        <w:t>lize</w:t>
      </w:r>
      <w:r w:rsidR="00163C1B">
        <w:rPr>
          <w:rFonts w:asciiTheme="minorBidi" w:hAnsiTheme="minorBidi"/>
          <w:sz w:val="18"/>
          <w:szCs w:val="18"/>
        </w:rPr>
        <w:t xml:space="preserve"> </w:t>
      </w:r>
      <w:r w:rsidRPr="00CE2202">
        <w:rPr>
          <w:rFonts w:asciiTheme="minorBidi" w:hAnsiTheme="minorBidi"/>
          <w:sz w:val="18"/>
          <w:szCs w:val="18"/>
        </w:rPr>
        <w:t>(Décision </w:t>
      </w:r>
      <w:hyperlink r:id="rId13" w:history="1">
        <w:r w:rsidRPr="00CE2202">
          <w:rPr>
            <w:rStyle w:val="Hyperlink"/>
            <w:rFonts w:asciiTheme="minorBidi" w:hAnsiTheme="minorBidi"/>
            <w:sz w:val="18"/>
            <w:szCs w:val="18"/>
          </w:rPr>
          <w:t>19.COM 3.BUR 3.1</w:t>
        </w:r>
      </w:hyperlink>
      <w:r w:rsidRPr="00CE2202">
        <w:rPr>
          <w:rFonts w:asciiTheme="minorBidi" w:hAnsiTheme="minorBidi"/>
          <w:sz w:val="18"/>
          <w:szCs w:val="18"/>
        </w:rPr>
        <w:t>), État de Palestine (Décision </w:t>
      </w:r>
      <w:hyperlink r:id="rId14" w:history="1">
        <w:r w:rsidRPr="00CE2202">
          <w:rPr>
            <w:rStyle w:val="Hyperlink"/>
            <w:rFonts w:asciiTheme="minorBidi" w:hAnsiTheme="minorBidi"/>
            <w:sz w:val="18"/>
            <w:szCs w:val="18"/>
          </w:rPr>
          <w:t>20.COM 3.BUR 3.1</w:t>
        </w:r>
      </w:hyperlink>
      <w:r w:rsidRPr="00CE2202">
        <w:rPr>
          <w:rFonts w:asciiTheme="minorBidi" w:hAnsiTheme="minorBidi"/>
          <w:sz w:val="18"/>
          <w:szCs w:val="18"/>
        </w:rPr>
        <w:t>), Guinée équatoriale (Décision </w:t>
      </w:r>
      <w:hyperlink r:id="rId15" w:history="1">
        <w:r w:rsidRPr="00CE2202">
          <w:rPr>
            <w:rStyle w:val="Hyperlink"/>
            <w:rFonts w:asciiTheme="minorBidi" w:hAnsiTheme="minorBidi"/>
            <w:sz w:val="18"/>
            <w:szCs w:val="18"/>
          </w:rPr>
          <w:t>19.COM 1.BUR 3.2</w:t>
        </w:r>
      </w:hyperlink>
      <w:r w:rsidRPr="00CE2202">
        <w:rPr>
          <w:rFonts w:asciiTheme="minorBidi" w:hAnsiTheme="minorBidi"/>
          <w:sz w:val="18"/>
          <w:szCs w:val="18"/>
        </w:rPr>
        <w:t>) et Honduras (Décision </w:t>
      </w:r>
      <w:hyperlink r:id="rId16" w:history="1">
        <w:r w:rsidRPr="00CE2202">
          <w:rPr>
            <w:rStyle w:val="Hyperlink"/>
            <w:rFonts w:asciiTheme="minorBidi" w:hAnsiTheme="minorBidi"/>
            <w:sz w:val="18"/>
            <w:szCs w:val="18"/>
          </w:rPr>
          <w:t>20.COM 2.BUR 3</w:t>
        </w:r>
      </w:hyperlink>
      <w:r w:rsidRPr="00CE2202">
        <w:rPr>
          <w:rFonts w:asciiTheme="minorBidi" w:hAnsiTheme="minorBidi"/>
          <w:sz w:val="18"/>
          <w:szCs w:val="18"/>
        </w:rPr>
        <w:t>).</w:t>
      </w:r>
    </w:p>
  </w:footnote>
  <w:footnote w:id="11">
    <w:p w14:paraId="4A67F52B" w14:textId="142E8041" w:rsidR="00A57CDC" w:rsidRPr="002C3F72" w:rsidRDefault="00A57CDC" w:rsidP="00163C1B">
      <w:pPr>
        <w:pStyle w:val="FootnoteText"/>
        <w:ind w:left="567" w:hanging="567"/>
        <w:jc w:val="both"/>
        <w:rPr>
          <w:rFonts w:asciiTheme="minorBidi" w:hAnsiTheme="minorBidi" w:cstheme="minorBidi"/>
          <w:sz w:val="18"/>
          <w:szCs w:val="18"/>
        </w:rPr>
      </w:pPr>
      <w:r>
        <w:rPr>
          <w:rStyle w:val="FootnoteReference"/>
          <w:rFonts w:asciiTheme="minorBidi" w:hAnsiTheme="minorBidi" w:cstheme="minorBidi"/>
          <w:sz w:val="18"/>
          <w:szCs w:val="18"/>
        </w:rPr>
        <w:footnoteRef/>
      </w:r>
      <w:r w:rsidR="00163C1B">
        <w:rPr>
          <w:rFonts w:asciiTheme="minorBidi" w:hAnsiTheme="minorBidi"/>
          <w:sz w:val="18"/>
        </w:rPr>
        <w:t xml:space="preserve"> </w:t>
      </w:r>
      <w:r w:rsidR="00163C1B">
        <w:rPr>
          <w:rFonts w:asciiTheme="minorBidi" w:hAnsiTheme="minorBidi"/>
          <w:sz w:val="18"/>
        </w:rPr>
        <w:tab/>
      </w:r>
      <w:r>
        <w:rPr>
          <w:rFonts w:asciiTheme="minorBidi" w:hAnsiTheme="minorBidi"/>
          <w:sz w:val="18"/>
        </w:rPr>
        <w:t>Tous les chiffres figurant dans les tableaux sont extraits du rapport financier (au 31 décembre 2025) émis par le Bureau de la planification stratégique de l’UNESCO – Section Gestion des financements. Tous les chiffres des tableaux sont exprimés en dollars des États-Unis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6B9C" w14:textId="13E1C6B9" w:rsidR="00B6167A" w:rsidRPr="007E4E37" w:rsidRDefault="00FD1941" w:rsidP="009B55AC">
    <w:pPr>
      <w:pStyle w:val="Header"/>
      <w:rPr>
        <w:rFonts w:ascii="Arial" w:hAnsi="Arial" w:cs="Arial"/>
      </w:rPr>
    </w:pPr>
    <w:r>
      <w:rPr>
        <w:rFonts w:ascii="Arial" w:hAnsi="Arial"/>
        <w:sz w:val="20"/>
      </w:rPr>
      <w:t xml:space="preserve"> LHE/26/11.GA/INF.8 – page </w:t>
    </w:r>
    <w:r w:rsidR="00B6167A" w:rsidRPr="00D81948">
      <w:rPr>
        <w:rStyle w:val="PageNumber"/>
        <w:rFonts w:ascii="Arial" w:hAnsi="Arial" w:cs="Arial"/>
        <w:sz w:val="20"/>
      </w:rPr>
      <w:fldChar w:fldCharType="begin"/>
    </w:r>
    <w:r w:rsidR="00B6167A" w:rsidRPr="00D81948">
      <w:rPr>
        <w:rStyle w:val="PageNumber"/>
        <w:rFonts w:ascii="Arial" w:hAnsi="Arial" w:cs="Arial"/>
        <w:sz w:val="20"/>
      </w:rPr>
      <w:instrText xml:space="preserve"> PAGE </w:instrText>
    </w:r>
    <w:r w:rsidR="00B6167A" w:rsidRPr="00D81948">
      <w:rPr>
        <w:rStyle w:val="PageNumber"/>
        <w:rFonts w:ascii="Arial" w:hAnsi="Arial" w:cs="Arial"/>
        <w:sz w:val="20"/>
      </w:rPr>
      <w:fldChar w:fldCharType="separate"/>
    </w:r>
    <w:r w:rsidR="00570814">
      <w:rPr>
        <w:rStyle w:val="PageNumber"/>
        <w:rFonts w:ascii="Arial" w:hAnsi="Arial" w:cs="Arial"/>
        <w:sz w:val="20"/>
      </w:rPr>
      <w:t>2</w:t>
    </w:r>
    <w:r w:rsidR="00B6167A" w:rsidRPr="00D81948">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5B8C" w14:textId="57915BE1" w:rsidR="00B6167A" w:rsidRPr="007E4E37" w:rsidRDefault="00FD1941" w:rsidP="007D13D9">
    <w:pPr>
      <w:pStyle w:val="Header"/>
      <w:ind w:left="2544" w:firstLine="3828"/>
      <w:jc w:val="right"/>
      <w:rPr>
        <w:rFonts w:ascii="Arial" w:hAnsi="Arial" w:cs="Arial"/>
      </w:rPr>
    </w:pPr>
    <w:r>
      <w:rPr>
        <w:rFonts w:ascii="Arial" w:hAnsi="Arial"/>
        <w:sz w:val="20"/>
      </w:rPr>
      <w:t xml:space="preserve"> LHE/26/11.GA/INF.8 – page </w:t>
    </w:r>
    <w:r w:rsidR="001E4EEB" w:rsidRPr="00EF563B">
      <w:rPr>
        <w:rStyle w:val="PageNumber"/>
        <w:rFonts w:ascii="Arial" w:hAnsi="Arial" w:cs="Arial"/>
        <w:sz w:val="20"/>
      </w:rPr>
      <w:fldChar w:fldCharType="begin"/>
    </w:r>
    <w:r w:rsidR="001E4EEB" w:rsidRPr="00EF563B">
      <w:rPr>
        <w:rStyle w:val="PageNumber"/>
        <w:rFonts w:ascii="Arial" w:hAnsi="Arial" w:cs="Arial"/>
        <w:sz w:val="20"/>
      </w:rPr>
      <w:instrText xml:space="preserve"> </w:instrText>
    </w:r>
    <w:r w:rsidR="001E4EEB">
      <w:rPr>
        <w:rStyle w:val="PageNumber"/>
        <w:rFonts w:ascii="Arial" w:hAnsi="Arial" w:cs="Arial"/>
        <w:sz w:val="20"/>
      </w:rPr>
      <w:instrText>PAGE</w:instrText>
    </w:r>
    <w:r w:rsidR="001E4EEB" w:rsidRPr="00EF563B">
      <w:rPr>
        <w:rStyle w:val="PageNumber"/>
        <w:rFonts w:ascii="Arial" w:hAnsi="Arial" w:cs="Arial"/>
        <w:sz w:val="20"/>
      </w:rPr>
      <w:instrText xml:space="preserve"> </w:instrText>
    </w:r>
    <w:r w:rsidR="001E4EEB" w:rsidRPr="00EF563B">
      <w:rPr>
        <w:rStyle w:val="PageNumber"/>
        <w:rFonts w:ascii="Arial" w:hAnsi="Arial" w:cs="Arial"/>
        <w:sz w:val="20"/>
      </w:rPr>
      <w:fldChar w:fldCharType="separate"/>
    </w:r>
    <w:r w:rsidR="00570814">
      <w:rPr>
        <w:rStyle w:val="PageNumber"/>
        <w:rFonts w:ascii="Arial" w:hAnsi="Arial" w:cs="Arial"/>
        <w:sz w:val="20"/>
      </w:rPr>
      <w:t>3</w:t>
    </w:r>
    <w:r w:rsidR="001E4EEB" w:rsidRPr="00EF563B">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8CC4" w14:textId="1DAAA482" w:rsidR="00B6167A" w:rsidRPr="008724E5" w:rsidRDefault="00F27249">
    <w:pPr>
      <w:pStyle w:val="Header"/>
    </w:pPr>
    <w:r>
      <w:rPr>
        <w:rFonts w:ascii="Arial" w:hAnsi="Arial" w:cs="Arial"/>
        <w:b/>
        <w:noProof/>
        <w:sz w:val="44"/>
        <w:szCs w:val="44"/>
        <w:lang w:val="pt-PT"/>
      </w:rPr>
      <w:drawing>
        <wp:anchor distT="0" distB="0" distL="114300" distR="114300" simplePos="0" relativeHeight="251659264" behindDoc="1" locked="0" layoutInCell="1" allowOverlap="1" wp14:anchorId="3675D73C" wp14:editId="61CEE1A0">
          <wp:simplePos x="0" y="0"/>
          <wp:positionH relativeFrom="margin">
            <wp:posOffset>0</wp:posOffset>
          </wp:positionH>
          <wp:positionV relativeFrom="paragraph">
            <wp:posOffset>0</wp:posOffset>
          </wp:positionV>
          <wp:extent cx="1710000" cy="1436138"/>
          <wp:effectExtent l="0" t="0" r="508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A2FC2B" w14:textId="5A96F993" w:rsidR="00B6167A" w:rsidRPr="00B75428" w:rsidRDefault="00BF2D93" w:rsidP="001943EE">
    <w:pPr>
      <w:pStyle w:val="Header"/>
      <w:spacing w:after="520"/>
      <w:jc w:val="right"/>
      <w:rPr>
        <w:rFonts w:ascii="Arial" w:hAnsi="Arial" w:cs="Arial"/>
        <w:b/>
        <w:sz w:val="44"/>
        <w:szCs w:val="44"/>
      </w:rPr>
    </w:pPr>
    <w:r>
      <w:rPr>
        <w:rFonts w:ascii="Arial" w:hAnsi="Arial"/>
        <w:b/>
        <w:sz w:val="44"/>
      </w:rPr>
      <w:t>11 GA</w:t>
    </w:r>
  </w:p>
  <w:p w14:paraId="49B0C39B" w14:textId="6B0138FB" w:rsidR="00B6167A" w:rsidRPr="00B75428" w:rsidRDefault="00FD1941" w:rsidP="009B55AC">
    <w:pPr>
      <w:spacing w:after="0"/>
      <w:jc w:val="right"/>
      <w:rPr>
        <w:rFonts w:ascii="Arial" w:hAnsi="Arial" w:cs="Arial"/>
        <w:b/>
        <w:szCs w:val="22"/>
      </w:rPr>
    </w:pPr>
    <w:r>
      <w:rPr>
        <w:rFonts w:ascii="Arial" w:hAnsi="Arial"/>
        <w:b/>
      </w:rPr>
      <w:t>LHE/26/11.GA/INF.8</w:t>
    </w:r>
  </w:p>
  <w:p w14:paraId="1D4CE950" w14:textId="376B0623" w:rsidR="00B6167A" w:rsidRPr="00B75428" w:rsidRDefault="00B6167A" w:rsidP="002D396D">
    <w:pPr>
      <w:spacing w:after="0"/>
      <w:jc w:val="right"/>
      <w:rPr>
        <w:rFonts w:ascii="Arial" w:eastAsiaTheme="minorEastAsia" w:hAnsi="Arial" w:cs="Arial"/>
        <w:b/>
        <w:szCs w:val="22"/>
      </w:rPr>
    </w:pPr>
    <w:r>
      <w:rPr>
        <w:rFonts w:ascii="Arial" w:hAnsi="Arial"/>
        <w:b/>
      </w:rPr>
      <w:t>Paris, le 18 mai 2026</w:t>
    </w:r>
  </w:p>
  <w:p w14:paraId="2A9F75AF" w14:textId="66BEB524" w:rsidR="00B6167A" w:rsidRPr="00B75428" w:rsidRDefault="00B6167A" w:rsidP="008F7B13">
    <w:pPr>
      <w:jc w:val="right"/>
      <w:rPr>
        <w:rFonts w:ascii="Arial" w:hAnsi="Arial" w:cs="Arial"/>
        <w:b/>
        <w:szCs w:val="22"/>
      </w:rPr>
    </w:pPr>
    <w:r>
      <w:rPr>
        <w:rFonts w:ascii="Arial" w:hAnsi="Arial"/>
        <w:b/>
      </w:rPr>
      <w:t>Original : anglais</w:t>
    </w:r>
  </w:p>
  <w:p w14:paraId="42728953" w14:textId="77777777" w:rsidR="00B6167A" w:rsidRPr="00CE2202" w:rsidRDefault="00B6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F8F"/>
    <w:multiLevelType w:val="hybridMultilevel"/>
    <w:tmpl w:val="9F48024E"/>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62534C"/>
    <w:multiLevelType w:val="hybridMultilevel"/>
    <w:tmpl w:val="1F9AD21C"/>
    <w:lvl w:ilvl="0" w:tplc="08090003">
      <w:start w:val="1"/>
      <w:numFmt w:val="bullet"/>
      <w:lvlText w:val="o"/>
      <w:lvlJc w:val="left"/>
      <w:pPr>
        <w:ind w:left="360" w:hanging="360"/>
      </w:pPr>
      <w:rPr>
        <w:rFonts w:ascii="Courier New" w:hAnsi="Courier New" w:cs="Courier New" w:hint="default"/>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1DD074D"/>
    <w:multiLevelType w:val="hybridMultilevel"/>
    <w:tmpl w:val="A6F23FA6"/>
    <w:lvl w:ilvl="0" w:tplc="08090001">
      <w:start w:val="1"/>
      <w:numFmt w:val="bullet"/>
      <w:lvlText w:val=""/>
      <w:lvlJc w:val="left"/>
      <w:pPr>
        <w:ind w:left="360" w:hanging="360"/>
      </w:pPr>
      <w:rPr>
        <w:rFonts w:ascii="Symbol" w:hAnsi="Symbol" w:hint="default"/>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5713607"/>
    <w:multiLevelType w:val="hybridMultilevel"/>
    <w:tmpl w:val="D11E195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90B363B"/>
    <w:multiLevelType w:val="multilevel"/>
    <w:tmpl w:val="8A00B4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CDB7662"/>
    <w:multiLevelType w:val="hybridMultilevel"/>
    <w:tmpl w:val="F27AF1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F07BFE"/>
    <w:multiLevelType w:val="hybridMultilevel"/>
    <w:tmpl w:val="479CB838"/>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FD5B5E"/>
    <w:multiLevelType w:val="hybridMultilevel"/>
    <w:tmpl w:val="44721D4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321A9F96">
      <w:start w:val="1"/>
      <w:numFmt w:val="upperLetter"/>
      <w:lvlText w:val="%5."/>
      <w:lvlJc w:val="left"/>
      <w:pPr>
        <w:ind w:left="3600" w:hanging="360"/>
      </w:pPr>
      <w:rPr>
        <w:rFonts w:hint="default"/>
      </w:rPr>
    </w:lvl>
    <w:lvl w:ilvl="5" w:tplc="6C7E8AF0">
      <w:start w:val="1"/>
      <w:numFmt w:val="lowerRoman"/>
      <w:lvlText w:val="(%6)"/>
      <w:lvlJc w:val="left"/>
      <w:pPr>
        <w:ind w:left="4860" w:hanging="720"/>
      </w:pPr>
      <w:rPr>
        <w:rFonts w:eastAsia="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F802DE"/>
    <w:multiLevelType w:val="hybridMultilevel"/>
    <w:tmpl w:val="B672A3A8"/>
    <w:lvl w:ilvl="0" w:tplc="E27AF890">
      <w:start w:val="1"/>
      <w:numFmt w:val="lowerLetter"/>
      <w:lvlText w:val="%1)"/>
      <w:lvlJc w:val="left"/>
      <w:pPr>
        <w:ind w:left="720" w:hanging="360"/>
      </w:pPr>
      <w:rPr>
        <w:rFonts w:eastAsia="SimSun"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71665"/>
    <w:multiLevelType w:val="hybridMultilevel"/>
    <w:tmpl w:val="929CF4D0"/>
    <w:lvl w:ilvl="0" w:tplc="D04ECF5C">
      <w:start w:val="1"/>
      <w:numFmt w:val="decimal"/>
      <w:pStyle w:val="ListParagraph"/>
      <w:lvlText w:val="%1."/>
      <w:lvlJc w:val="left"/>
      <w:pPr>
        <w:ind w:left="502"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9956E5"/>
    <w:multiLevelType w:val="hybridMultilevel"/>
    <w:tmpl w:val="53B26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322B1"/>
    <w:multiLevelType w:val="hybridMultilevel"/>
    <w:tmpl w:val="0EDEA51A"/>
    <w:lvl w:ilvl="0" w:tplc="08090003">
      <w:start w:val="1"/>
      <w:numFmt w:val="bullet"/>
      <w:lvlText w:val="o"/>
      <w:lvlJc w:val="left"/>
      <w:pPr>
        <w:ind w:left="720" w:hanging="360"/>
      </w:pPr>
      <w:rPr>
        <w:rFonts w:ascii="Courier New" w:hAnsi="Courier New" w:cs="Courier New" w:hint="default"/>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3872E2"/>
    <w:multiLevelType w:val="hybridMultilevel"/>
    <w:tmpl w:val="3E70CE88"/>
    <w:lvl w:ilvl="0" w:tplc="44A86D06">
      <w:start w:val="1"/>
      <w:numFmt w:val="bullet"/>
      <w:lvlText w:val=""/>
      <w:lvlJc w:val="left"/>
      <w:pPr>
        <w:ind w:left="360" w:hanging="360"/>
      </w:pPr>
      <w:rPr>
        <w:rFonts w:ascii="Symbol" w:hAnsi="Symbol" w:cs="Symbol" w:hint="default"/>
        <w:u w:color="FFFFFF" w:themeColor="background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3C7470E"/>
    <w:multiLevelType w:val="hybridMultilevel"/>
    <w:tmpl w:val="A8CE726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9697567">
    <w:abstractNumId w:val="18"/>
  </w:num>
  <w:num w:numId="2" w16cid:durableId="1986422179">
    <w:abstractNumId w:val="10"/>
  </w:num>
  <w:num w:numId="3" w16cid:durableId="138770645">
    <w:abstractNumId w:val="5"/>
  </w:num>
  <w:num w:numId="4" w16cid:durableId="606740845">
    <w:abstractNumId w:val="21"/>
  </w:num>
  <w:num w:numId="5" w16cid:durableId="1588272912">
    <w:abstractNumId w:val="19"/>
  </w:num>
  <w:num w:numId="6" w16cid:durableId="1889413046">
    <w:abstractNumId w:val="2"/>
  </w:num>
  <w:num w:numId="7" w16cid:durableId="1976568949">
    <w:abstractNumId w:val="6"/>
  </w:num>
  <w:num w:numId="8" w16cid:durableId="1683429667">
    <w:abstractNumId w:val="9"/>
  </w:num>
  <w:num w:numId="9" w16cid:durableId="205987581">
    <w:abstractNumId w:val="20"/>
  </w:num>
  <w:num w:numId="10" w16cid:durableId="1675575119">
    <w:abstractNumId w:val="11"/>
  </w:num>
  <w:num w:numId="11" w16cid:durableId="399405554">
    <w:abstractNumId w:val="14"/>
  </w:num>
  <w:num w:numId="12" w16cid:durableId="1493789827">
    <w:abstractNumId w:val="9"/>
    <w:lvlOverride w:ilvl="0">
      <w:startOverride w:val="1"/>
    </w:lvlOverride>
  </w:num>
  <w:num w:numId="13" w16cid:durableId="1223566647">
    <w:abstractNumId w:val="9"/>
  </w:num>
  <w:num w:numId="14" w16cid:durableId="2040007478">
    <w:abstractNumId w:val="12"/>
  </w:num>
  <w:num w:numId="15" w16cid:durableId="782460853">
    <w:abstractNumId w:val="9"/>
  </w:num>
  <w:num w:numId="16" w16cid:durableId="1735158396">
    <w:abstractNumId w:val="17"/>
  </w:num>
  <w:num w:numId="17" w16cid:durableId="1550805582">
    <w:abstractNumId w:val="9"/>
  </w:num>
  <w:num w:numId="18" w16cid:durableId="1174346864">
    <w:abstractNumId w:val="9"/>
  </w:num>
  <w:num w:numId="19" w16cid:durableId="761756747">
    <w:abstractNumId w:val="9"/>
  </w:num>
  <w:num w:numId="20" w16cid:durableId="677848638">
    <w:abstractNumId w:val="9"/>
  </w:num>
  <w:num w:numId="21" w16cid:durableId="1350911261">
    <w:abstractNumId w:val="0"/>
  </w:num>
  <w:num w:numId="22" w16cid:durableId="2076783575">
    <w:abstractNumId w:val="13"/>
  </w:num>
  <w:num w:numId="23" w16cid:durableId="953289886">
    <w:abstractNumId w:val="4"/>
  </w:num>
  <w:num w:numId="24" w16cid:durableId="238712257">
    <w:abstractNumId w:val="16"/>
  </w:num>
  <w:num w:numId="25" w16cid:durableId="1400247666">
    <w:abstractNumId w:val="8"/>
  </w:num>
  <w:num w:numId="26" w16cid:durableId="925310434">
    <w:abstractNumId w:val="3"/>
  </w:num>
  <w:num w:numId="27" w16cid:durableId="604965476">
    <w:abstractNumId w:val="7"/>
  </w:num>
  <w:num w:numId="28" w16cid:durableId="46533972">
    <w:abstractNumId w:val="13"/>
  </w:num>
  <w:num w:numId="29" w16cid:durableId="64374970">
    <w:abstractNumId w:val="15"/>
  </w:num>
  <w:num w:numId="30" w16cid:durableId="2055078163">
    <w:abstractNumId w:val="13"/>
  </w:num>
  <w:num w:numId="31" w16cid:durableId="16321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47CC"/>
    <w:rsid w:val="000120FD"/>
    <w:rsid w:val="00021831"/>
    <w:rsid w:val="00022C09"/>
    <w:rsid w:val="00024229"/>
    <w:rsid w:val="00025B58"/>
    <w:rsid w:val="000404D3"/>
    <w:rsid w:val="00047554"/>
    <w:rsid w:val="00047E58"/>
    <w:rsid w:val="000507F5"/>
    <w:rsid w:val="000572EC"/>
    <w:rsid w:val="00073D20"/>
    <w:rsid w:val="000755E1"/>
    <w:rsid w:val="000819FD"/>
    <w:rsid w:val="00085541"/>
    <w:rsid w:val="00093063"/>
    <w:rsid w:val="000A34CE"/>
    <w:rsid w:val="000A686D"/>
    <w:rsid w:val="000B0E08"/>
    <w:rsid w:val="000B6EEE"/>
    <w:rsid w:val="000B6F56"/>
    <w:rsid w:val="000C65E4"/>
    <w:rsid w:val="000D0960"/>
    <w:rsid w:val="000E01E2"/>
    <w:rsid w:val="000E452F"/>
    <w:rsid w:val="000F7AE0"/>
    <w:rsid w:val="001064D8"/>
    <w:rsid w:val="00106B72"/>
    <w:rsid w:val="00112189"/>
    <w:rsid w:val="00114A4D"/>
    <w:rsid w:val="0011750D"/>
    <w:rsid w:val="00120307"/>
    <w:rsid w:val="001412DE"/>
    <w:rsid w:val="0014279C"/>
    <w:rsid w:val="00144A4D"/>
    <w:rsid w:val="00151351"/>
    <w:rsid w:val="001635EF"/>
    <w:rsid w:val="00163C1B"/>
    <w:rsid w:val="00170967"/>
    <w:rsid w:val="00174B39"/>
    <w:rsid w:val="00187711"/>
    <w:rsid w:val="001943EE"/>
    <w:rsid w:val="001A431C"/>
    <w:rsid w:val="001B648E"/>
    <w:rsid w:val="001C5BA7"/>
    <w:rsid w:val="001D00B5"/>
    <w:rsid w:val="001D3B29"/>
    <w:rsid w:val="001E0BE0"/>
    <w:rsid w:val="001E3343"/>
    <w:rsid w:val="001E4EEB"/>
    <w:rsid w:val="001E6026"/>
    <w:rsid w:val="001F3696"/>
    <w:rsid w:val="001F37CA"/>
    <w:rsid w:val="002010B9"/>
    <w:rsid w:val="00204B37"/>
    <w:rsid w:val="00205635"/>
    <w:rsid w:val="00206EFE"/>
    <w:rsid w:val="002105E4"/>
    <w:rsid w:val="00227173"/>
    <w:rsid w:val="00237E43"/>
    <w:rsid w:val="00252134"/>
    <w:rsid w:val="0027198B"/>
    <w:rsid w:val="00277732"/>
    <w:rsid w:val="00277F60"/>
    <w:rsid w:val="002868CD"/>
    <w:rsid w:val="00286C0C"/>
    <w:rsid w:val="00290D5F"/>
    <w:rsid w:val="002938F2"/>
    <w:rsid w:val="002A0D5D"/>
    <w:rsid w:val="002C5280"/>
    <w:rsid w:val="002D396D"/>
    <w:rsid w:val="002E114A"/>
    <w:rsid w:val="002E3493"/>
    <w:rsid w:val="00303907"/>
    <w:rsid w:val="00307B6A"/>
    <w:rsid w:val="0031682E"/>
    <w:rsid w:val="00321880"/>
    <w:rsid w:val="00324F03"/>
    <w:rsid w:val="00332373"/>
    <w:rsid w:val="003464A7"/>
    <w:rsid w:val="00347A6E"/>
    <w:rsid w:val="0035123B"/>
    <w:rsid w:val="0035648A"/>
    <w:rsid w:val="00363995"/>
    <w:rsid w:val="003905DF"/>
    <w:rsid w:val="0039446E"/>
    <w:rsid w:val="003B46F2"/>
    <w:rsid w:val="003C7065"/>
    <w:rsid w:val="003D0FE5"/>
    <w:rsid w:val="003F35F5"/>
    <w:rsid w:val="004108B6"/>
    <w:rsid w:val="004166EF"/>
    <w:rsid w:val="00434773"/>
    <w:rsid w:val="00447C66"/>
    <w:rsid w:val="0045528B"/>
    <w:rsid w:val="00455752"/>
    <w:rsid w:val="004607EF"/>
    <w:rsid w:val="0046520F"/>
    <w:rsid w:val="00471B34"/>
    <w:rsid w:val="00483688"/>
    <w:rsid w:val="0049136D"/>
    <w:rsid w:val="004C08A6"/>
    <w:rsid w:val="004C7220"/>
    <w:rsid w:val="004D4A12"/>
    <w:rsid w:val="004E056C"/>
    <w:rsid w:val="004E2817"/>
    <w:rsid w:val="004E3E85"/>
    <w:rsid w:val="004F4A99"/>
    <w:rsid w:val="004F7A88"/>
    <w:rsid w:val="005016FB"/>
    <w:rsid w:val="005058F9"/>
    <w:rsid w:val="00511D17"/>
    <w:rsid w:val="005130AC"/>
    <w:rsid w:val="0051699F"/>
    <w:rsid w:val="00517D40"/>
    <w:rsid w:val="005215FC"/>
    <w:rsid w:val="00537A63"/>
    <w:rsid w:val="005414A1"/>
    <w:rsid w:val="0054582F"/>
    <w:rsid w:val="00570814"/>
    <w:rsid w:val="00582433"/>
    <w:rsid w:val="0059040F"/>
    <w:rsid w:val="005A3F58"/>
    <w:rsid w:val="005A6866"/>
    <w:rsid w:val="005A69F7"/>
    <w:rsid w:val="005C0660"/>
    <w:rsid w:val="005C2360"/>
    <w:rsid w:val="005C3E4A"/>
    <w:rsid w:val="005D0E79"/>
    <w:rsid w:val="005D452A"/>
    <w:rsid w:val="00601DD6"/>
    <w:rsid w:val="00603F71"/>
    <w:rsid w:val="00620857"/>
    <w:rsid w:val="00636760"/>
    <w:rsid w:val="006515C9"/>
    <w:rsid w:val="00652318"/>
    <w:rsid w:val="00654DAC"/>
    <w:rsid w:val="0067005F"/>
    <w:rsid w:val="00672ADC"/>
    <w:rsid w:val="00694DB9"/>
    <w:rsid w:val="006A0D86"/>
    <w:rsid w:val="006C0911"/>
    <w:rsid w:val="006D46FB"/>
    <w:rsid w:val="006E0812"/>
    <w:rsid w:val="006E22E6"/>
    <w:rsid w:val="006F04DF"/>
    <w:rsid w:val="00706C1E"/>
    <w:rsid w:val="007079A0"/>
    <w:rsid w:val="00710542"/>
    <w:rsid w:val="00734FE6"/>
    <w:rsid w:val="00735B86"/>
    <w:rsid w:val="00737D3F"/>
    <w:rsid w:val="00741933"/>
    <w:rsid w:val="00743B42"/>
    <w:rsid w:val="00746204"/>
    <w:rsid w:val="00747715"/>
    <w:rsid w:val="00750138"/>
    <w:rsid w:val="00753C52"/>
    <w:rsid w:val="00753DA3"/>
    <w:rsid w:val="00764F50"/>
    <w:rsid w:val="00770A92"/>
    <w:rsid w:val="00774A47"/>
    <w:rsid w:val="007760E0"/>
    <w:rsid w:val="0077642F"/>
    <w:rsid w:val="007843C7"/>
    <w:rsid w:val="00785A3E"/>
    <w:rsid w:val="00790C65"/>
    <w:rsid w:val="00792817"/>
    <w:rsid w:val="00795991"/>
    <w:rsid w:val="007A088C"/>
    <w:rsid w:val="007A7D45"/>
    <w:rsid w:val="007B3693"/>
    <w:rsid w:val="007B5137"/>
    <w:rsid w:val="007C1B00"/>
    <w:rsid w:val="007D13D9"/>
    <w:rsid w:val="007D31CE"/>
    <w:rsid w:val="007D5BB7"/>
    <w:rsid w:val="007E0621"/>
    <w:rsid w:val="007E4E37"/>
    <w:rsid w:val="007F3697"/>
    <w:rsid w:val="007F4B07"/>
    <w:rsid w:val="008102DE"/>
    <w:rsid w:val="00826F37"/>
    <w:rsid w:val="0083071A"/>
    <w:rsid w:val="00831F2A"/>
    <w:rsid w:val="008329B9"/>
    <w:rsid w:val="0083488D"/>
    <w:rsid w:val="00842830"/>
    <w:rsid w:val="008466C3"/>
    <w:rsid w:val="00850CA0"/>
    <w:rsid w:val="00851458"/>
    <w:rsid w:val="00861A47"/>
    <w:rsid w:val="008707FF"/>
    <w:rsid w:val="008724E5"/>
    <w:rsid w:val="0087494E"/>
    <w:rsid w:val="00874C15"/>
    <w:rsid w:val="00874EE6"/>
    <w:rsid w:val="00882460"/>
    <w:rsid w:val="00890A0C"/>
    <w:rsid w:val="0089261B"/>
    <w:rsid w:val="008A0F0E"/>
    <w:rsid w:val="008A27FC"/>
    <w:rsid w:val="008A2DF0"/>
    <w:rsid w:val="008A38AB"/>
    <w:rsid w:val="008A6A86"/>
    <w:rsid w:val="008C49C6"/>
    <w:rsid w:val="008D3BF7"/>
    <w:rsid w:val="008E2BC3"/>
    <w:rsid w:val="008E5376"/>
    <w:rsid w:val="008E6A8F"/>
    <w:rsid w:val="008E7DC6"/>
    <w:rsid w:val="008F16C6"/>
    <w:rsid w:val="008F34A1"/>
    <w:rsid w:val="008F7B13"/>
    <w:rsid w:val="00902732"/>
    <w:rsid w:val="009105A7"/>
    <w:rsid w:val="00910D9B"/>
    <w:rsid w:val="009121CE"/>
    <w:rsid w:val="009127D8"/>
    <w:rsid w:val="009133B9"/>
    <w:rsid w:val="00915E13"/>
    <w:rsid w:val="00921F65"/>
    <w:rsid w:val="00921FB4"/>
    <w:rsid w:val="00922075"/>
    <w:rsid w:val="009274ED"/>
    <w:rsid w:val="00932F55"/>
    <w:rsid w:val="00936A1B"/>
    <w:rsid w:val="00936BFD"/>
    <w:rsid w:val="00957439"/>
    <w:rsid w:val="0097349C"/>
    <w:rsid w:val="009735E2"/>
    <w:rsid w:val="00991901"/>
    <w:rsid w:val="00995235"/>
    <w:rsid w:val="00995F4B"/>
    <w:rsid w:val="009B40C6"/>
    <w:rsid w:val="009B55AC"/>
    <w:rsid w:val="009C14BE"/>
    <w:rsid w:val="009C3BE6"/>
    <w:rsid w:val="009D4547"/>
    <w:rsid w:val="009D5E38"/>
    <w:rsid w:val="009F194B"/>
    <w:rsid w:val="009F34A4"/>
    <w:rsid w:val="009F3988"/>
    <w:rsid w:val="00A00592"/>
    <w:rsid w:val="00A110D7"/>
    <w:rsid w:val="00A150C7"/>
    <w:rsid w:val="00A519A2"/>
    <w:rsid w:val="00A57CDC"/>
    <w:rsid w:val="00A70699"/>
    <w:rsid w:val="00A70883"/>
    <w:rsid w:val="00A77AEB"/>
    <w:rsid w:val="00A86042"/>
    <w:rsid w:val="00AA1E54"/>
    <w:rsid w:val="00AA444A"/>
    <w:rsid w:val="00AB1528"/>
    <w:rsid w:val="00AB6E28"/>
    <w:rsid w:val="00AE1B18"/>
    <w:rsid w:val="00AE4418"/>
    <w:rsid w:val="00AF1C32"/>
    <w:rsid w:val="00B11AE3"/>
    <w:rsid w:val="00B13339"/>
    <w:rsid w:val="00B429E0"/>
    <w:rsid w:val="00B43FD6"/>
    <w:rsid w:val="00B46D2E"/>
    <w:rsid w:val="00B5091B"/>
    <w:rsid w:val="00B6167A"/>
    <w:rsid w:val="00B6472A"/>
    <w:rsid w:val="00B75428"/>
    <w:rsid w:val="00B75904"/>
    <w:rsid w:val="00B80BF3"/>
    <w:rsid w:val="00B81608"/>
    <w:rsid w:val="00B94F7C"/>
    <w:rsid w:val="00B973B5"/>
    <w:rsid w:val="00BA662B"/>
    <w:rsid w:val="00BD10AE"/>
    <w:rsid w:val="00BD59BD"/>
    <w:rsid w:val="00BE55D5"/>
    <w:rsid w:val="00BF2D93"/>
    <w:rsid w:val="00BF2F5D"/>
    <w:rsid w:val="00BF60E9"/>
    <w:rsid w:val="00BF673E"/>
    <w:rsid w:val="00C0388B"/>
    <w:rsid w:val="00C1651E"/>
    <w:rsid w:val="00C22FF6"/>
    <w:rsid w:val="00C55897"/>
    <w:rsid w:val="00C559B2"/>
    <w:rsid w:val="00C6478B"/>
    <w:rsid w:val="00C65379"/>
    <w:rsid w:val="00C70EFC"/>
    <w:rsid w:val="00C86AB5"/>
    <w:rsid w:val="00CB0F37"/>
    <w:rsid w:val="00CB40FC"/>
    <w:rsid w:val="00CC2A60"/>
    <w:rsid w:val="00CC2BC6"/>
    <w:rsid w:val="00CE2198"/>
    <w:rsid w:val="00CE2202"/>
    <w:rsid w:val="00CE2586"/>
    <w:rsid w:val="00D05278"/>
    <w:rsid w:val="00D10294"/>
    <w:rsid w:val="00D1260D"/>
    <w:rsid w:val="00D25D36"/>
    <w:rsid w:val="00D3555C"/>
    <w:rsid w:val="00D404B7"/>
    <w:rsid w:val="00D46EBD"/>
    <w:rsid w:val="00D809E5"/>
    <w:rsid w:val="00D81948"/>
    <w:rsid w:val="00D9501F"/>
    <w:rsid w:val="00DA4E8A"/>
    <w:rsid w:val="00DA6E64"/>
    <w:rsid w:val="00DB1B54"/>
    <w:rsid w:val="00DB50D5"/>
    <w:rsid w:val="00DC265C"/>
    <w:rsid w:val="00DE02CA"/>
    <w:rsid w:val="00DF3DA3"/>
    <w:rsid w:val="00DF56FF"/>
    <w:rsid w:val="00DF5F41"/>
    <w:rsid w:val="00E06A00"/>
    <w:rsid w:val="00E22B99"/>
    <w:rsid w:val="00E258D9"/>
    <w:rsid w:val="00E3509F"/>
    <w:rsid w:val="00E378D8"/>
    <w:rsid w:val="00E439CA"/>
    <w:rsid w:val="00E451A9"/>
    <w:rsid w:val="00E461A6"/>
    <w:rsid w:val="00E5219B"/>
    <w:rsid w:val="00E5401C"/>
    <w:rsid w:val="00E54F4B"/>
    <w:rsid w:val="00E72B36"/>
    <w:rsid w:val="00E93F6E"/>
    <w:rsid w:val="00EA198F"/>
    <w:rsid w:val="00EC69C3"/>
    <w:rsid w:val="00ED4AF4"/>
    <w:rsid w:val="00EE1657"/>
    <w:rsid w:val="00EF0BCB"/>
    <w:rsid w:val="00EF0E74"/>
    <w:rsid w:val="00EF4985"/>
    <w:rsid w:val="00EF7380"/>
    <w:rsid w:val="00F00E8A"/>
    <w:rsid w:val="00F070FA"/>
    <w:rsid w:val="00F228E9"/>
    <w:rsid w:val="00F27249"/>
    <w:rsid w:val="00F33650"/>
    <w:rsid w:val="00F41A1D"/>
    <w:rsid w:val="00F43420"/>
    <w:rsid w:val="00F473CB"/>
    <w:rsid w:val="00F50245"/>
    <w:rsid w:val="00F57BF0"/>
    <w:rsid w:val="00F63DDA"/>
    <w:rsid w:val="00F70858"/>
    <w:rsid w:val="00F7397F"/>
    <w:rsid w:val="00F75949"/>
    <w:rsid w:val="00F8437A"/>
    <w:rsid w:val="00F85278"/>
    <w:rsid w:val="00F92D72"/>
    <w:rsid w:val="00F941F0"/>
    <w:rsid w:val="00FC5422"/>
    <w:rsid w:val="00FD1941"/>
    <w:rsid w:val="00FD3235"/>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fr-FR"/>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fr-FR"/>
    </w:rPr>
  </w:style>
  <w:style w:type="paragraph" w:customStyle="1" w:styleId="1GAPara">
    <w:name w:val="1. GA Para"/>
    <w:qFormat/>
    <w:rsid w:val="00E22B99"/>
    <w:pPr>
      <w:numPr>
        <w:numId w:val="8"/>
      </w:numPr>
      <w:spacing w:after="120"/>
    </w:pPr>
    <w:rPr>
      <w:rFonts w:ascii="Arial" w:eastAsia="Times New Roman" w:hAnsi="Arial" w:cs="Arial"/>
      <w:snapToGrid w:val="0"/>
      <w:sz w:val="22"/>
      <w:szCs w:val="22"/>
      <w:lang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semiHidden/>
    <w:rsid w:val="00BF2D93"/>
    <w:rPr>
      <w:rFonts w:ascii="Times New Roman" w:eastAsia="Times New Roman" w:hAnsi="Times New Roman"/>
      <w:sz w:val="22"/>
      <w:szCs w:val="24"/>
    </w:rPr>
  </w:style>
  <w:style w:type="paragraph" w:styleId="NoSpacing">
    <w:name w:val="No Spacing"/>
    <w:link w:val="NoSpacingChar"/>
    <w:uiPriority w:val="1"/>
    <w:qFormat/>
    <w:rsid w:val="00022C09"/>
    <w:rPr>
      <w:rFonts w:ascii="Times New Roman" w:eastAsia="Times New Roman" w:hAnsi="Times New Roman"/>
      <w:sz w:val="24"/>
      <w:szCs w:val="24"/>
    </w:rPr>
  </w:style>
  <w:style w:type="character" w:customStyle="1" w:styleId="NoSpacingChar">
    <w:name w:val="No Spacing Char"/>
    <w:link w:val="NoSpacing"/>
    <w:uiPriority w:val="1"/>
    <w:locked/>
    <w:rsid w:val="00022C09"/>
    <w:rPr>
      <w:rFonts w:ascii="Times New Roman" w:eastAsia="Times New Roman" w:hAnsi="Times New Roman"/>
      <w:sz w:val="24"/>
      <w:szCs w:val="24"/>
    </w:rPr>
  </w:style>
  <w:style w:type="paragraph" w:customStyle="1" w:styleId="Pranumrotrecommenc1">
    <w:name w:val="Pra numéroté recommencé à 1"/>
    <w:basedOn w:val="Normal"/>
    <w:rsid w:val="00022C09"/>
    <w:pPr>
      <w:tabs>
        <w:tab w:val="num" w:pos="360"/>
      </w:tabs>
      <w:spacing w:after="0"/>
      <w:ind w:left="360" w:hanging="360"/>
    </w:pPr>
    <w:rPr>
      <w:rFonts w:ascii="Arial" w:hAnsi="Arial"/>
      <w:sz w:val="24"/>
    </w:rPr>
  </w:style>
  <w:style w:type="character" w:styleId="Hyperlink">
    <w:name w:val="Hyperlink"/>
    <w:unhideWhenUsed/>
    <w:rsid w:val="00785A3E"/>
    <w:rPr>
      <w:color w:val="0000FF"/>
      <w:u w:val="single"/>
    </w:rPr>
  </w:style>
  <w:style w:type="character" w:styleId="UnresolvedMention">
    <w:name w:val="Unresolved Mention"/>
    <w:basedOn w:val="DefaultParagraphFont"/>
    <w:uiPriority w:val="99"/>
    <w:semiHidden/>
    <w:unhideWhenUsed/>
    <w:rsid w:val="00785A3E"/>
    <w:rPr>
      <w:color w:val="605E5C"/>
      <w:shd w:val="clear" w:color="auto" w:fill="E1DFDD"/>
    </w:rPr>
  </w:style>
  <w:style w:type="character" w:styleId="FollowedHyperlink">
    <w:name w:val="FollowedHyperlink"/>
    <w:basedOn w:val="DefaultParagraphFont"/>
    <w:semiHidden/>
    <w:unhideWhenUsed/>
    <w:rsid w:val="00785A3E"/>
    <w:rPr>
      <w:color w:val="800080" w:themeColor="followedHyperlink"/>
      <w:u w:val="single"/>
    </w:rPr>
  </w:style>
  <w:style w:type="paragraph" w:styleId="FootnoteText">
    <w:name w:val="footnote text"/>
    <w:basedOn w:val="Normal"/>
    <w:link w:val="FootnoteTextChar"/>
    <w:unhideWhenUsed/>
    <w:rsid w:val="00741933"/>
    <w:pPr>
      <w:spacing w:after="0"/>
    </w:pPr>
    <w:rPr>
      <w:sz w:val="20"/>
      <w:szCs w:val="20"/>
    </w:rPr>
  </w:style>
  <w:style w:type="character" w:customStyle="1" w:styleId="FootnoteTextChar">
    <w:name w:val="Footnote Text Char"/>
    <w:basedOn w:val="DefaultParagraphFont"/>
    <w:link w:val="FootnoteText"/>
    <w:rsid w:val="00741933"/>
    <w:rPr>
      <w:rFonts w:ascii="Times New Roman" w:eastAsia="Times New Roman" w:hAnsi="Times New Roman"/>
      <w:lang w:val="fr-FR"/>
    </w:rPr>
  </w:style>
  <w:style w:type="character" w:styleId="FootnoteReference">
    <w:name w:val="footnote reference"/>
    <w:uiPriority w:val="99"/>
    <w:unhideWhenUsed/>
    <w:rsid w:val="00741933"/>
    <w:rPr>
      <w:vertAlign w:val="superscript"/>
    </w:rPr>
  </w:style>
  <w:style w:type="character" w:customStyle="1" w:styleId="hps">
    <w:name w:val="hps"/>
    <w:rsid w:val="00753C52"/>
  </w:style>
  <w:style w:type="paragraph" w:customStyle="1" w:styleId="COMPara">
    <w:name w:val="COM Para"/>
    <w:qFormat/>
    <w:rsid w:val="00C22FF6"/>
    <w:pPr>
      <w:spacing w:after="120"/>
      <w:ind w:left="720" w:hanging="360"/>
    </w:pPr>
    <w:rPr>
      <w:rFonts w:ascii="Arial" w:eastAsia="Times New Roman" w:hAnsi="Arial" w:cs="Arial"/>
      <w:snapToGrid w:val="0"/>
      <w:sz w:val="22"/>
      <w:szCs w:val="22"/>
      <w:lang w:eastAsia="en-US"/>
    </w:rPr>
  </w:style>
  <w:style w:type="paragraph" w:styleId="ListParagraph">
    <w:name w:val="List Paragraph"/>
    <w:basedOn w:val="Marge"/>
    <w:qFormat/>
    <w:rsid w:val="00A57CDC"/>
    <w:pPr>
      <w:numPr>
        <w:numId w:val="22"/>
      </w:numPr>
      <w:spacing w:after="120"/>
    </w:pPr>
    <w:rPr>
      <w:rFonts w:cs="Arial"/>
      <w:szCs w:val="22"/>
    </w:rPr>
  </w:style>
  <w:style w:type="character" w:styleId="Strong">
    <w:name w:val="Strong"/>
    <w:basedOn w:val="DefaultParagraphFont"/>
    <w:uiPriority w:val="22"/>
    <w:qFormat/>
    <w:rsid w:val="00A57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fr/decisions/8.COM/11" TargetMode="External"/><Relationship Id="rId21" Type="http://schemas.openxmlformats.org/officeDocument/2006/relationships/hyperlink" Target="https://ich.unesco.org/fr/Decisions/7.GA/8" TargetMode="External"/><Relationship Id="rId42" Type="http://schemas.openxmlformats.org/officeDocument/2006/relationships/hyperlink" Target="https://ich.unesco.org/fr/decisions/18.COM%201.BUR/4.2" TargetMode="External"/><Relationship Id="rId47" Type="http://schemas.openxmlformats.org/officeDocument/2006/relationships/hyperlink" Target="https://ich.unesco.org/fr/decisions-bureau/19.COM%203.BUR/3.2" TargetMode="External"/><Relationship Id="rId63" Type="http://schemas.openxmlformats.org/officeDocument/2006/relationships/hyperlink" Target="https://ich.unesco.org/fr/decisions-bureau/17.COM%205.BUR/3.3" TargetMode="External"/><Relationship Id="rId68" Type="http://schemas.openxmlformats.org/officeDocument/2006/relationships/hyperlink" Target="https://ich.unesco.org/fr/decisions/10.GA/8" TargetMode="External"/><Relationship Id="rId84" Type="http://schemas.openxmlformats.org/officeDocument/2006/relationships/hyperlink" Target="https://ich.unesco.org/fr/decisions/19.COM/11" TargetMode="External"/><Relationship Id="rId89" Type="http://schemas.openxmlformats.org/officeDocument/2006/relationships/hyperlink" Target="https://ich.unesco.org/fr/decisions/18.COM/11" TargetMode="External"/><Relationship Id="rId7" Type="http://schemas.openxmlformats.org/officeDocument/2006/relationships/endnotes" Target="endnotes.xml"/><Relationship Id="rId71" Type="http://schemas.openxmlformats.org/officeDocument/2006/relationships/hyperlink" Target="https://ich.unesco.org/fr/evenements/programme-de-formation-pour-le-reseau-mondial-de-facilitateurs-webinaire-d-information-01031" TargetMode="External"/><Relationship Id="rId92" Type="http://schemas.openxmlformats.org/officeDocument/2006/relationships/hyperlink" Target="https://ich.unesco.org/fr/partager-les-bonnes-pratiques-de-sauvegarde" TargetMode="External"/><Relationship Id="rId2" Type="http://schemas.openxmlformats.org/officeDocument/2006/relationships/numbering" Target="numbering.xml"/><Relationship Id="rId16" Type="http://schemas.openxmlformats.org/officeDocument/2006/relationships/hyperlink" Target="https://ich.unesco.org/fr/resolutions/3.GA/9" TargetMode="External"/><Relationship Id="rId29" Type="http://schemas.openxmlformats.org/officeDocument/2006/relationships/image" Target="media/image1.emf"/><Relationship Id="rId107" Type="http://schemas.openxmlformats.org/officeDocument/2006/relationships/theme" Target="theme/theme1.xml"/><Relationship Id="rId11" Type="http://schemas.openxmlformats.org/officeDocument/2006/relationships/hyperlink" Target="https://ich.unesco.org/doc/src/LHE-25-20.COM-10-FR.docx" TargetMode="External"/><Relationship Id="rId24" Type="http://schemas.openxmlformats.org/officeDocument/2006/relationships/hyperlink" Target="https://ich.unesco.org/doc/src/LHE-24-10.GA-8_FR.docx" TargetMode="External"/><Relationship Id="rId32" Type="http://schemas.openxmlformats.org/officeDocument/2006/relationships/image" Target="media/image4.emf"/><Relationship Id="rId37" Type="http://schemas.openxmlformats.org/officeDocument/2006/relationships/hyperlink" Target="https://ich.unesco.org/fr/decisions/18.COM%202.BUR/4.1" TargetMode="External"/><Relationship Id="rId40" Type="http://schemas.openxmlformats.org/officeDocument/2006/relationships/hyperlink" Target="https://ich.unesco.org/fr/decisions/19.COM%202.BUR/3.3" TargetMode="External"/><Relationship Id="rId45" Type="http://schemas.openxmlformats.org/officeDocument/2006/relationships/hyperlink" Target="https://ich.unesco.org/fr/decisions/17.COM%204.BUR/3.2" TargetMode="External"/><Relationship Id="rId53" Type="http://schemas.openxmlformats.org/officeDocument/2006/relationships/hyperlink" Target="https://ich.unesco.org/fr/decisions-bureau/17.COM%205.BUR/3.2" TargetMode="External"/><Relationship Id="rId58" Type="http://schemas.openxmlformats.org/officeDocument/2006/relationships/hyperlink" Target="https://ich.unesco.org/fr/decisions/18.COM/8.A.6" TargetMode="External"/><Relationship Id="rId66" Type="http://schemas.openxmlformats.org/officeDocument/2006/relationships/hyperlink" Target="https://ich.unesco.org/fr/decisions-bureau/18.COM%202.BUR/4.7" TargetMode="External"/><Relationship Id="rId74" Type="http://schemas.openxmlformats.org/officeDocument/2006/relationships/hyperlink" Target="https://ich.unesco.org/fr/evenements/treizieme-reunion-annuelle-des-centres-de-categorie-2-actifs-dans-le-domaine-du-patrimoine-culturel-immateriel-01042" TargetMode="External"/><Relationship Id="rId79" Type="http://schemas.openxmlformats.org/officeDocument/2006/relationships/hyperlink" Target="https://ich.unesco.org/fr/resources-education" TargetMode="External"/><Relationship Id="rId87" Type="http://schemas.openxmlformats.org/officeDocument/2006/relationships/hyperlink" Target="https://ich.unesco.org/fr/decisions/20.COM/12" TargetMode="External"/><Relationship Id="rId102" Type="http://schemas.openxmlformats.org/officeDocument/2006/relationships/hyperlink" Target="https://ich.unesco.org/doc/src/LHE-25-20.COM-6.c_FR.docx" TargetMode="External"/><Relationship Id="rId5" Type="http://schemas.openxmlformats.org/officeDocument/2006/relationships/webSettings" Target="webSettings.xml"/><Relationship Id="rId61" Type="http://schemas.openxmlformats.org/officeDocument/2006/relationships/hyperlink" Target="https://ich.unesco.org/fr/decisions-bureau/19.COM%203.BUR/3.4" TargetMode="External"/><Relationship Id="rId82" Type="http://schemas.openxmlformats.org/officeDocument/2006/relationships/hyperlink" Target="https://ich.unesco.org/fr/reunion-d-experts-sur-la-sauvegarde-du-patrimoine-culturel-immateriel-et-le-changement-climatique-01353" TargetMode="External"/><Relationship Id="rId90" Type="http://schemas.openxmlformats.org/officeDocument/2006/relationships/hyperlink" Target="https://ich.unesco.org/fr/decisions/19.COM/10" TargetMode="External"/><Relationship Id="rId95" Type="http://schemas.openxmlformats.org/officeDocument/2006/relationships/hyperlink" Target="https://ich.unesco.org/fr/celebrations-de-2024-01400" TargetMode="External"/><Relationship Id="rId19" Type="http://schemas.openxmlformats.org/officeDocument/2006/relationships/hyperlink" Target="https://ich.unesco.org/fr/decisions/10.GA/8" TargetMode="External"/><Relationship Id="rId14" Type="http://schemas.openxmlformats.org/officeDocument/2006/relationships/hyperlink" Target="https://ich.unesco.org/fr/decisions/20.COM/13" TargetMode="External"/><Relationship Id="rId22" Type="http://schemas.openxmlformats.org/officeDocument/2006/relationships/hyperlink" Target="https://ich.unesco.org/fr/decisions/8.COM/7.C" TargetMode="External"/><Relationship Id="rId27" Type="http://schemas.openxmlformats.org/officeDocument/2006/relationships/hyperlink" Target="https://ich.unesco.org/fr/decisions/10.GA/8" TargetMode="External"/><Relationship Id="rId30" Type="http://schemas.openxmlformats.org/officeDocument/2006/relationships/image" Target="media/image2.emf"/><Relationship Id="rId35" Type="http://schemas.openxmlformats.org/officeDocument/2006/relationships/hyperlink" Target="https://ich.unesco.org/fr/decisions-bureau/19.COM%202.BUR/3.1" TargetMode="External"/><Relationship Id="rId43" Type="http://schemas.openxmlformats.org/officeDocument/2006/relationships/hyperlink" Target="https://ich.unesco.org/fr/decisions/19.COM%201.BUR/4.1" TargetMode="External"/><Relationship Id="rId48" Type="http://schemas.openxmlformats.org/officeDocument/2006/relationships/hyperlink" Target="https://ich.unesco.org/fr/decisions-bureau/19.COM%203.BUR/3.3" TargetMode="External"/><Relationship Id="rId56" Type="http://schemas.openxmlformats.org/officeDocument/2006/relationships/hyperlink" Target="https://ich.unesco.org/fr/decisions/18.COM%202.BUR/4.3" TargetMode="External"/><Relationship Id="rId64" Type="http://schemas.openxmlformats.org/officeDocument/2006/relationships/hyperlink" Target="https://ich.unesco.org/fr/decisions-bureau/19.COM%201.BUR/4.3" TargetMode="External"/><Relationship Id="rId69" Type="http://schemas.openxmlformats.org/officeDocument/2006/relationships/hyperlink" Target="https://ich.unesco.org/fr/plateforme-d-apprentissage-01397" TargetMode="External"/><Relationship Id="rId77" Type="http://schemas.openxmlformats.org/officeDocument/2006/relationships/hyperlink" Target="https://ich.unesco.org/fr/evenements/reunion-de-reflexion-sur-la-sauvegarde-du-patrimoine-vivant-dans-l-education-formelle-et-non-formelle-01039" TargetMode="External"/><Relationship Id="rId100" Type="http://schemas.openxmlformats.org/officeDocument/2006/relationships/hyperlink" Target="https://ich.unesco.org/fr/Decisions/14.COM/15" TargetMode="External"/><Relationship Id="rId105" Type="http://schemas.openxmlformats.org/officeDocument/2006/relationships/header" Target="header3.xml"/><Relationship Id="rId8" Type="http://schemas.openxmlformats.org/officeDocument/2006/relationships/hyperlink" Target="https://ich.unesco.org/fr/decisions/8.GA/7" TargetMode="External"/><Relationship Id="rId51" Type="http://schemas.openxmlformats.org/officeDocument/2006/relationships/hyperlink" Target="https://ich.unesco.org/fr/decisions/19.COM%201.BUR/3.1" TargetMode="External"/><Relationship Id="rId72" Type="http://schemas.openxmlformats.org/officeDocument/2006/relationships/hyperlink" Target="https://ich.unesco.org/doc/src/LHE-24-19.COM-6.b_FR.docx" TargetMode="External"/><Relationship Id="rId80" Type="http://schemas.openxmlformats.org/officeDocument/2006/relationships/hyperlink" Target="https://ich.unesco.org/doc/src/68297-FR.pdf" TargetMode="External"/><Relationship Id="rId85" Type="http://schemas.openxmlformats.org/officeDocument/2006/relationships/hyperlink" Target="https://ich.unesco.org/fr/reunion-d-experts-sur-les-milieux-urbains-01405" TargetMode="External"/><Relationship Id="rId93" Type="http://schemas.openxmlformats.org/officeDocument/2006/relationships/hyperlink" Target="https://ich.unesco.org/fr/reunions-de-consultation-regionale-en-preparation-de-l-annee-de-reflexion-01394" TargetMode="External"/><Relationship Id="rId98" Type="http://schemas.openxmlformats.org/officeDocument/2006/relationships/hyperlink" Target="https://ich.unesco.org/fr/evenements/webinaire-sur-l-intelligence-artificielle-et-le-patrimoine-culturel-immateriel-01012" TargetMode="External"/><Relationship Id="rId3" Type="http://schemas.openxmlformats.org/officeDocument/2006/relationships/styles" Target="styles.xml"/><Relationship Id="rId12" Type="http://schemas.openxmlformats.org/officeDocument/2006/relationships/hyperlink" Target="https://ich.unesco.org/doc/src/LHE-25-20.COM-13_FR.docx" TargetMode="External"/><Relationship Id="rId17" Type="http://schemas.openxmlformats.org/officeDocument/2006/relationships/hyperlink" Target="https://ich.unesco.org/fr/decisions/10.GA/8" TargetMode="External"/><Relationship Id="rId25" Type="http://schemas.openxmlformats.org/officeDocument/2006/relationships/hyperlink" Target="https://ich.unesco.org/doc/src/IOS-AUD-2013-06-FR.pdf" TargetMode="External"/><Relationship Id="rId33" Type="http://schemas.openxmlformats.org/officeDocument/2006/relationships/image" Target="media/image5.emf"/><Relationship Id="rId38" Type="http://schemas.openxmlformats.org/officeDocument/2006/relationships/hyperlink" Target="https://ich.unesco.org/fr/decisions/19.COM%202.BUR/3.2" TargetMode="External"/><Relationship Id="rId46" Type="http://schemas.openxmlformats.org/officeDocument/2006/relationships/hyperlink" Target="https://ich.unesco.org/fr/decisions/20.COM%204.BUR/3.1" TargetMode="External"/><Relationship Id="rId59" Type="http://schemas.openxmlformats.org/officeDocument/2006/relationships/hyperlink" Target="https://ich.unesco.org/fr/decisions-bureau/18.COM%202.BUR/4.4" TargetMode="External"/><Relationship Id="rId67" Type="http://schemas.openxmlformats.org/officeDocument/2006/relationships/hyperlink" Target="https://ich.unesco.org/fr/decisions/18.COM/8.D" TargetMode="External"/><Relationship Id="rId103" Type="http://schemas.openxmlformats.org/officeDocument/2006/relationships/header" Target="header1.xml"/><Relationship Id="rId20" Type="http://schemas.openxmlformats.org/officeDocument/2006/relationships/hyperlink" Target="https://ich.unesco.org/fr/decisions/18.COM/14" TargetMode="External"/><Relationship Id="rId41" Type="http://schemas.openxmlformats.org/officeDocument/2006/relationships/hyperlink" Target="https://ich.unesco.org/fr/decisions-bureau/18.COM%203.BUR/3.1" TargetMode="External"/><Relationship Id="rId54" Type="http://schemas.openxmlformats.org/officeDocument/2006/relationships/hyperlink" Target="https://ich.unesco.org/fr/decisions-bureau/18.COM%203.BUR/3.2" TargetMode="External"/><Relationship Id="rId62" Type="http://schemas.openxmlformats.org/officeDocument/2006/relationships/hyperlink" Target="https://ich.unesco.org/fr/decisions-bureau/15.COM%202.BUR/3.5" TargetMode="External"/><Relationship Id="rId70" Type="http://schemas.openxmlformats.org/officeDocument/2006/relationships/hyperlink" Target="https://ich.unesco.org/fr/evenements/renforcement-du-reseau-global-de-facilitateurs-de-la-convention-de-2003-atelier-de-formation-pour-les-nouveaux-facilitateurs-d-amerique-latine-et-des-caraibes-01016" TargetMode="External"/><Relationship Id="rId75" Type="http://schemas.openxmlformats.org/officeDocument/2006/relationships/hyperlink" Target="https://ich.unesco.org/fr/chaires-unesco-et-reseaux-unitwin-01333" TargetMode="External"/><Relationship Id="rId83" Type="http://schemas.openxmlformats.org/officeDocument/2006/relationships/hyperlink" Target="https://ich.unesco.org/doc/src/68292-FR.pdf" TargetMode="External"/><Relationship Id="rId88" Type="http://schemas.openxmlformats.org/officeDocument/2006/relationships/hyperlink" Target="https://ich.unesco.org/fr/reflexion-sur-une-mise-en-oeuvre-plus-large-de-l-article-18-01302" TargetMode="External"/><Relationship Id="rId91" Type="http://schemas.openxmlformats.org/officeDocument/2006/relationships/hyperlink" Target="https://ich.unesco.org/fr/decisions/20.COM/11" TargetMode="External"/><Relationship Id="rId96" Type="http://schemas.openxmlformats.org/officeDocument/2006/relationships/hyperlink" Target="https://youtu.be/sDf-xQ83Z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fr/decisions/20.COM/13" TargetMode="External"/><Relationship Id="rId23" Type="http://schemas.openxmlformats.org/officeDocument/2006/relationships/hyperlink" Target="https://unesdoc.unesco.org/ark:/48223/pf0000389188_fre" TargetMode="External"/><Relationship Id="rId28" Type="http://schemas.openxmlformats.org/officeDocument/2006/relationships/hyperlink" Target="https://ich.unesco.org/doc/src/LHE-24-10.GA-8_FR.docx" TargetMode="External"/><Relationship Id="rId36" Type="http://schemas.openxmlformats.org/officeDocument/2006/relationships/hyperlink" Target="https://ich.unesco.org/fr/decisions-bureau/15.COM%202.BUR/3.1" TargetMode="External"/><Relationship Id="rId49" Type="http://schemas.openxmlformats.org/officeDocument/2006/relationships/hyperlink" Target="https://ich.unesco.org/fr/decisions-bureau/18.COM%202.BUR/3.1" TargetMode="External"/><Relationship Id="rId57" Type="http://schemas.openxmlformats.org/officeDocument/2006/relationships/hyperlink" Target="https://ich.unesco.org/fr/decisions-bureau/16.COM%202.BUR/3.2" TargetMode="External"/><Relationship Id="rId106" Type="http://schemas.openxmlformats.org/officeDocument/2006/relationships/fontTable" Target="fontTable.xml"/><Relationship Id="rId10" Type="http://schemas.openxmlformats.org/officeDocument/2006/relationships/hyperlink" Target="https://ich.unesco.org/doc/src/LHE-26-11.GA-6_FR.docx" TargetMode="External"/><Relationship Id="rId31" Type="http://schemas.openxmlformats.org/officeDocument/2006/relationships/image" Target="media/image3.emf"/><Relationship Id="rId44" Type="http://schemas.openxmlformats.org/officeDocument/2006/relationships/hyperlink" Target="https://ich.unesco.org/fr/decisions-bureau/17.COM%204.BUR/3.4" TargetMode="External"/><Relationship Id="rId52" Type="http://schemas.openxmlformats.org/officeDocument/2006/relationships/hyperlink" Target="https://ich.unesco.org/fr/decisions-bureau/19.COM%201.BUR/4.2" TargetMode="External"/><Relationship Id="rId60" Type="http://schemas.openxmlformats.org/officeDocument/2006/relationships/hyperlink" Target="https://ich.unesco.org/fr/decisions-bureau/17.COM%204.BUR/3.3" TargetMode="External"/><Relationship Id="rId65" Type="http://schemas.openxmlformats.org/officeDocument/2006/relationships/hyperlink" Target="https://ich.unesco.org/fr/decisions/18.COM%203.BUR/3.3" TargetMode="External"/><Relationship Id="rId73" Type="http://schemas.openxmlformats.org/officeDocument/2006/relationships/hyperlink" Target="https://ich.unesco.org/fr/evenements/douzieme-reunion-annuelle-de-coordination-des-centres-de-categorie-2-actifs-dans-le-domaine-du-patrimoine-culturel-immateriel-00999" TargetMode="External"/><Relationship Id="rId78" Type="http://schemas.openxmlformats.org/officeDocument/2006/relationships/hyperlink" Target="https://www.unesco.org/sites/default/files/medias/fichiers/2024/02/WCCAE_UNESCO%20Framework_FR_0.pdf" TargetMode="External"/><Relationship Id="rId81" Type="http://schemas.openxmlformats.org/officeDocument/2006/relationships/hyperlink" Target="https://ich.unesco.org/fr/decisions/18.COM/12" TargetMode="External"/><Relationship Id="rId86" Type="http://schemas.openxmlformats.org/officeDocument/2006/relationships/hyperlink" Target="https://ich.unesco.org/doc/src/72796-FR.pdf?v=1769168252" TargetMode="External"/><Relationship Id="rId94" Type="http://schemas.openxmlformats.org/officeDocument/2006/relationships/hyperlink" Target="https://ich.unesco.org/fr/textes-fondamentaux-00503" TargetMode="External"/><Relationship Id="rId99" Type="http://schemas.openxmlformats.org/officeDocument/2006/relationships/hyperlink" Target="https://unesdoc.unesco.org/ark:/48223/pf0000391860" TargetMode="External"/><Relationship Id="rId101" Type="http://schemas.openxmlformats.org/officeDocument/2006/relationships/hyperlink" Target="https://ich.unesco.org/fr/ong-accreditees" TargetMode="External"/><Relationship Id="rId4" Type="http://schemas.openxmlformats.org/officeDocument/2006/relationships/settings" Target="settings.xml"/><Relationship Id="rId9" Type="http://schemas.openxmlformats.org/officeDocument/2006/relationships/hyperlink" Target="https://ich.unesco.org/doc/src/LHE-26-11.GA-8_FR.docx" TargetMode="External"/><Relationship Id="rId13" Type="http://schemas.openxmlformats.org/officeDocument/2006/relationships/hyperlink" Target="https://ich.unesco.org/fr/decisions/19.COM/12" TargetMode="External"/><Relationship Id="rId18" Type="http://schemas.openxmlformats.org/officeDocument/2006/relationships/hyperlink" Target="https://ich.unesco.org/fr/decisions/17.COM/11" TargetMode="External"/><Relationship Id="rId39" Type="http://schemas.openxmlformats.org/officeDocument/2006/relationships/hyperlink" Target="https://ich.unesco.org/fr/decisions/19.COM%203.BUR/3.1" TargetMode="External"/><Relationship Id="rId34" Type="http://schemas.openxmlformats.org/officeDocument/2006/relationships/image" Target="media/image6.emf"/><Relationship Id="rId50" Type="http://schemas.openxmlformats.org/officeDocument/2006/relationships/hyperlink" Target="https://ich.unesco.org/fr/decisions-bureau/20.COM%202.BUR/3" TargetMode="External"/><Relationship Id="rId55" Type="http://schemas.openxmlformats.org/officeDocument/2006/relationships/hyperlink" Target="https://ich.unesco.org/fr/decisions-bureau/18.COM%202.BUR/4.2" TargetMode="External"/><Relationship Id="rId76" Type="http://schemas.openxmlformats.org/officeDocument/2006/relationships/hyperlink" Target="https://ich.unesco.org/doc/src/LHE-25-20.COM-INF.13.2_FR.docx" TargetMode="External"/><Relationship Id="rId97" Type="http://schemas.openxmlformats.org/officeDocument/2006/relationships/hyperlink" Target="https://unesdoc.unesco.org/ark:/48223/pf0000395508_fre" TargetMode="External"/><Relationship Id="rId10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fr/decisions-bureau/20.COM%203.BUR/4.2" TargetMode="External"/><Relationship Id="rId13" Type="http://schemas.openxmlformats.org/officeDocument/2006/relationships/hyperlink" Target="https://ich.unesco.org/fr/decisions/19.COM%203.BUR/3.1" TargetMode="External"/><Relationship Id="rId3" Type="http://schemas.openxmlformats.org/officeDocument/2006/relationships/hyperlink" Target="https://ich.unesco.org/fr/decisions-bureau/14.COM%202.BUR/5.3" TargetMode="External"/><Relationship Id="rId7" Type="http://schemas.openxmlformats.org/officeDocument/2006/relationships/hyperlink" Target="https://ich.unesco.org/fr/decisions-bureau/19.COM%202.BUR/4.1" TargetMode="External"/><Relationship Id="rId12" Type="http://schemas.openxmlformats.org/officeDocument/2006/relationships/hyperlink" Target="https://ich.unesco.org/fr/decisions-bureau/20.COM%203.BUR/4.5" TargetMode="External"/><Relationship Id="rId2" Type="http://schemas.openxmlformats.org/officeDocument/2006/relationships/hyperlink" Target="https://ich.unesco.org/doc/src/LHE-25-20.COM-10-FR.docx?t=1764259444" TargetMode="External"/><Relationship Id="rId16" Type="http://schemas.openxmlformats.org/officeDocument/2006/relationships/hyperlink" Target="https://ich.unesco.org/fr/decisions-bureau/20.COM%202.BUR/3" TargetMode="External"/><Relationship Id="rId1" Type="http://schemas.openxmlformats.org/officeDocument/2006/relationships/hyperlink" Target="https://ich.unesco.org/doc/download.php?versionID=86634" TargetMode="External"/><Relationship Id="rId6" Type="http://schemas.openxmlformats.org/officeDocument/2006/relationships/hyperlink" Target="https://ich.unesco.org/fr/decisions-bureau/19.COM%202.BUR/4.2" TargetMode="External"/><Relationship Id="rId11" Type="http://schemas.openxmlformats.org/officeDocument/2006/relationships/hyperlink" Target="https://ich.unesco.org/fr/decisions-bureau/20.COM%203.BUR/4.4" TargetMode="External"/><Relationship Id="rId5" Type="http://schemas.openxmlformats.org/officeDocument/2006/relationships/hyperlink" Target="https://ich.unesco.org/fr/decisions-bureau/20.COM%203.BUR/4.1" TargetMode="External"/><Relationship Id="rId15" Type="http://schemas.openxmlformats.org/officeDocument/2006/relationships/hyperlink" Target="https://ich.unesco.org/fr/decisions-bureau/19.COM%203.BUR/3.2" TargetMode="External"/><Relationship Id="rId10" Type="http://schemas.openxmlformats.org/officeDocument/2006/relationships/hyperlink" Target="https://ich.unesco.org/fr/decisions-bureau/20.COM%203.BUR/4.6" TargetMode="External"/><Relationship Id="rId4" Type="http://schemas.openxmlformats.org/officeDocument/2006/relationships/hyperlink" Target="https://ich.unesco.org/fr/decisions/13.COM%202.BUR/4.6" TargetMode="External"/><Relationship Id="rId9" Type="http://schemas.openxmlformats.org/officeDocument/2006/relationships/hyperlink" Target="https://ich.unesco.org/fr/decisions-bureau/20.COM%203.BUR/4.3" TargetMode="External"/><Relationship Id="rId14" Type="http://schemas.openxmlformats.org/officeDocument/2006/relationships/hyperlink" Target="https://ich.unesco.org/fr/decisions-bureau/20.COM%203.BUR/3.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7314</Words>
  <Characters>40227</Characters>
  <Application>Microsoft Office Word</Application>
  <DocSecurity>0</DocSecurity>
  <Lines>335</Lines>
  <Paragraphs>94</Paragraphs>
  <ScaleCrop>false</ScaleCrop>
  <Company/>
  <LinksUpToDate>false</LinksUpToDate>
  <CharactersWithSpaces>47447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2026-05-18T18:18:00Z</dcterms:created>
  <dcterms:modified xsi:type="dcterms:W3CDTF">2026-05-18T18:43:00Z</dcterms:modified>
</cp:coreProperties>
</file>