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7FAB988E" w:rsidR="00EC6F8D" w:rsidRPr="00BB6EEC" w:rsidRDefault="00EC6F8D" w:rsidP="00D464EF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КОНВЕНЦИЯ ОБ ОХРАНЕ </w:t>
      </w:r>
      <w:r w:rsidR="00D464EF" w:rsidRPr="00A26C1D">
        <w:rPr>
          <w:rFonts w:ascii="Arial" w:hAnsi="Arial"/>
          <w:b/>
          <w:sz w:val="22"/>
        </w:rPr>
        <w:br/>
      </w:r>
      <w:r>
        <w:rPr>
          <w:rFonts w:ascii="Arial" w:hAnsi="Arial"/>
          <w:b/>
          <w:sz w:val="22"/>
        </w:rPr>
        <w:t>НЕМАТЕРИАЛЬНОГО КУЛЬТУРНОГО НАСЛЕДИЯ</w:t>
      </w:r>
    </w:p>
    <w:p w14:paraId="3F72B1D3" w14:textId="37133200" w:rsidR="00EC6F8D" w:rsidRPr="00BB6EEC" w:rsidRDefault="005C792B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ГЕНЕРАЛЬНАЯ АССАМБЛЕЯ ГОСУДАРСТВ - УЧАСТНИКОВ КОНВЕНЦИИ</w:t>
      </w:r>
    </w:p>
    <w:p w14:paraId="2E1CD4B4" w14:textId="762C97E8" w:rsidR="00EC6F8D" w:rsidRPr="00BB6EEC" w:rsidRDefault="0026085B" w:rsidP="001D14F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Одиннадцатая сессия</w:t>
      </w:r>
    </w:p>
    <w:p w14:paraId="1FD89575" w14:textId="05D2C62D" w:rsidR="00B2172B" w:rsidRPr="00BB6EEC" w:rsidRDefault="005C792B" w:rsidP="00B217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Штаб-квартира ЮНЕСКО, зал I</w:t>
      </w:r>
    </w:p>
    <w:p w14:paraId="52EA6D50" w14:textId="46BCF87A" w:rsidR="00B2172B" w:rsidRPr="00BB6EEC" w:rsidRDefault="00544C93" w:rsidP="00B217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17–18 июня 2026 r.</w:t>
      </w:r>
    </w:p>
    <w:p w14:paraId="0365203A" w14:textId="7BFEA6C8" w:rsidR="00EC6F8D" w:rsidRPr="00BB6EEC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Пункт 9 предварительной повестки дня</w:t>
      </w:r>
      <w:r>
        <w:rPr>
          <w:rFonts w:ascii="Arial" w:hAnsi="Arial"/>
          <w:b/>
          <w:sz w:val="22"/>
        </w:rPr>
        <w:t>:</w:t>
      </w:r>
    </w:p>
    <w:p w14:paraId="59920478" w14:textId="33FABFA9" w:rsidR="004A2875" w:rsidRPr="00BB6EEC" w:rsidRDefault="00327DA4" w:rsidP="004A2875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</w:rPr>
        <w:t>Аккредитация неправительственных организаций для выполнения консультативных функций при Комитете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327DA4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77777777" w:rsidR="00EC6F8D" w:rsidRPr="00BB6EEC" w:rsidRDefault="00EC6F8D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Краткое изложение</w:t>
            </w:r>
          </w:p>
          <w:p w14:paraId="1DA7ACFC" w14:textId="2C0C6929" w:rsidR="00327DA4" w:rsidRPr="00132C8D" w:rsidRDefault="00327DA4" w:rsidP="00327DA4">
            <w:pPr>
              <w:pStyle w:val="pf0"/>
              <w:spacing w:before="120" w:beforeAutospacing="0" w:after="120" w:afterAutospacing="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</w:rPr>
              <w:t>В настоящем документе представлены пятьдесят девять новых заявок от неправительственных организаций (НПО) на получение аккредитации для выполнения консультативных функций в Комитете в соответствии с рекомендациями его двадцатой сессии.</w:t>
            </w:r>
          </w:p>
          <w:p w14:paraId="290310E8" w14:textId="28D82110" w:rsidR="00EC6F8D" w:rsidRPr="00BB6EEC" w:rsidRDefault="00327DA4" w:rsidP="00327DA4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sz w:val="22"/>
              </w:rPr>
              <w:t>Требуемое решение:</w:t>
            </w:r>
            <w:r>
              <w:rPr>
                <w:rFonts w:asciiTheme="minorBidi" w:hAnsiTheme="minorBidi"/>
                <w:sz w:val="22"/>
              </w:rPr>
              <w:t xml:space="preserve"> </w:t>
            </w:r>
            <w:r w:rsidR="00946940">
              <w:rPr>
                <w:rFonts w:ascii="Arial" w:hAnsi="Arial"/>
                <w:sz w:val="22"/>
              </w:rPr>
              <w:t>пункт</w:t>
            </w:r>
            <w:r>
              <w:rPr>
                <w:rFonts w:asciiTheme="minorBidi" w:hAnsiTheme="minorBidi"/>
                <w:sz w:val="22"/>
              </w:rPr>
              <w:t xml:space="preserve"> 10</w:t>
            </w:r>
          </w:p>
        </w:tc>
      </w:tr>
    </w:tbl>
    <w:p w14:paraId="713D819F" w14:textId="77777777" w:rsidR="004A2875" w:rsidRPr="00BB6EEC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</w:rPr>
      </w:pPr>
      <w:r>
        <w:br w:type="page"/>
      </w:r>
    </w:p>
    <w:p w14:paraId="6C62585F" w14:textId="21742B01" w:rsidR="00F70CC5" w:rsidRPr="00BB6EEC" w:rsidRDefault="00327DA4" w:rsidP="00F70CC5">
      <w:pPr>
        <w:pStyle w:val="COMPara"/>
        <w:numPr>
          <w:ilvl w:val="0"/>
          <w:numId w:val="0"/>
        </w:numPr>
        <w:spacing w:before="240"/>
        <w:jc w:val="both"/>
        <w:rPr>
          <w:b/>
          <w:bCs/>
        </w:rPr>
      </w:pPr>
      <w:bookmarkStart w:id="0" w:name="_Hlk124351255"/>
      <w:r>
        <w:rPr>
          <w:b/>
        </w:rPr>
        <w:lastRenderedPageBreak/>
        <w:t>Введение</w:t>
      </w:r>
    </w:p>
    <w:bookmarkEnd w:id="0"/>
    <w:p w14:paraId="376E896B" w14:textId="55915CCD" w:rsidR="00327DA4" w:rsidRDefault="00327DA4" w:rsidP="00CF750D">
      <w:pPr>
        <w:pStyle w:val="COMPara"/>
        <w:ind w:left="567" w:hanging="567"/>
        <w:jc w:val="both"/>
      </w:pPr>
      <w:r>
        <w:t>Статья 9.1 Конвенции требует, чтобы Комитет предложил Генеральной Ассамблее для работы в качестве консультантов при Комитете аккредитовать неправительственные организации (НПО) с признанной компетенцией в области нематериального культурного наследия. Критерии и условия такой аккредитации включены в главу III.2.2 Оперативного руководства (параграфы 91-99). На сегодняшний день Генеральная Ассамблея аккредитовала 358 организаций.</w:t>
      </w:r>
      <w:r>
        <w:rPr>
          <w:rStyle w:val="FootnoteReference"/>
        </w:rPr>
        <w:footnoteReference w:id="1"/>
      </w:r>
    </w:p>
    <w:p w14:paraId="3C285FA5" w14:textId="77777777" w:rsidR="00A26C1D" w:rsidRPr="00A26C1D" w:rsidRDefault="00CF750D" w:rsidP="00A26C1D">
      <w:pPr>
        <w:pStyle w:val="COMPara"/>
        <w:spacing w:after="240"/>
        <w:ind w:left="567" w:hanging="567"/>
        <w:jc w:val="both"/>
      </w:pPr>
      <w:r>
        <w:t>Вклад и обязательства аккредитованных НПО подлежат рассмотрению Комитетом каждые четыре года после аккредитации в соответствии с условиями и процедурами, определенными в главе III.2.2 Оперативного руководства (параграфы 92-95). В результате такого рассмотрения Комитет может принять решение о сохранении или прекращении отношений с соответствующими НПО. В соответствии с решениями Комитета в этой области, принятыми за последние циклы работы, в настоящее время</w:t>
      </w:r>
      <w:r w:rsidR="00F05F3E">
        <w:rPr>
          <w:rStyle w:val="FootnoteReference"/>
        </w:rPr>
        <w:footnoteReference w:id="2"/>
      </w:r>
      <w:r>
        <w:t xml:space="preserve"> 258 НПО аккредитованы для выполнения консультативных функций при Комитете. Их географическое распределение выглядит следующим образом: Электоральная группа I: 126</w:t>
      </w:r>
      <w:r w:rsidR="002471CD">
        <w:rPr>
          <w:rStyle w:val="FootnoteReference"/>
        </w:rPr>
        <w:footnoteReference w:id="3"/>
      </w:r>
      <w:r>
        <w:t xml:space="preserve">; Электоральная группа II: 27; Электоральная группа III: 29; Электоральная группа IV: 36; Электоральная группа V(a): 25 и Электоральная группа V(b): 15. </w:t>
      </w:r>
    </w:p>
    <w:p w14:paraId="4BC6784B" w14:textId="34DC8A6E" w:rsidR="00D464EF" w:rsidRPr="00A26C1D" w:rsidRDefault="00A26C1D" w:rsidP="00BE6893">
      <w:pPr>
        <w:pStyle w:val="COMPara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0BB7624D" wp14:editId="23CFB8D6">
            <wp:extent cx="5311472" cy="2981739"/>
            <wp:effectExtent l="0" t="0" r="3810" b="9525"/>
            <wp:docPr id="4577000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EA41AE6-4910-BAEC-A240-023F46CC5D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DBC711" w14:textId="20B64325" w:rsidR="00F05F3E" w:rsidRPr="00345080" w:rsidRDefault="00F05F3E" w:rsidP="00BE6893">
      <w:pPr>
        <w:pStyle w:val="COMPara"/>
        <w:numPr>
          <w:ilvl w:val="0"/>
          <w:numId w:val="21"/>
        </w:numPr>
        <w:ind w:left="567" w:hanging="567"/>
        <w:jc w:val="both"/>
        <w:rPr>
          <w:rFonts w:asciiTheme="minorBidi" w:hAnsiTheme="minorBidi" w:cstheme="minorBidi"/>
          <w:bCs/>
        </w:rPr>
      </w:pPr>
      <w:r>
        <w:rPr>
          <w:b/>
        </w:rPr>
        <w:lastRenderedPageBreak/>
        <w:t>Аккредитация НПО, рекомендованных двадцатой сессией Комитета</w:t>
      </w:r>
    </w:p>
    <w:p w14:paraId="1B08DF9D" w14:textId="2790B863" w:rsidR="00190205" w:rsidRDefault="0005126D" w:rsidP="00F95E6F">
      <w:pPr>
        <w:pStyle w:val="COMPara"/>
        <w:spacing w:after="240"/>
        <w:ind w:left="567" w:hanging="567"/>
        <w:jc w:val="both"/>
        <w:rPr>
          <w:rFonts w:eastAsia="SimSun"/>
        </w:rPr>
      </w:pPr>
      <w:r>
        <w:t xml:space="preserve">На своей двадцатой сессии в 2025 году Комитет рассмотрел новые заявки на аккредитацию от девяноста шести НПО и рекомендовал Генеральной Ассамблее аккредитовать пятьдесят девять из них (Решение </w:t>
      </w:r>
      <w:hyperlink r:id="rId9" w:history="1">
        <w:r>
          <w:rPr>
            <w:rStyle w:val="Hyperlink"/>
          </w:rPr>
          <w:t>20.COM 16</w:t>
        </w:r>
      </w:hyperlink>
      <w:r>
        <w:t xml:space="preserve">). Эти организации перечислены в приложении к настоящему документу. На </w:t>
      </w:r>
      <w:hyperlink r:id="rId10" w:history="1">
        <w:r w:rsidRPr="00A26C1D">
          <w:rPr>
            <w:rStyle w:val="Hyperlink"/>
          </w:rPr>
          <w:t>веб-сайте Конвенции</w:t>
        </w:r>
      </w:hyperlink>
      <w:r>
        <w:t xml:space="preserve"> размещены все заявки, подготовленные в срок для рассмотрения на двадцатой сессии Комитета, на том языке, на котором они были поданы, а именно: форма </w:t>
      </w:r>
      <w:hyperlink r:id="rId11" w:history="1">
        <w:r>
          <w:rPr>
            <w:rStyle w:val="Hyperlink"/>
          </w:rPr>
          <w:t>ICH-09</w:t>
        </w:r>
      </w:hyperlink>
      <w:r>
        <w:t>, заполненная каждой организацией, вместе с дополнительными документами, касающимися пунктов 8.a, 8.b и 8.c этой формы. Географическое распределение пятидесяти девяти НПО, предложенных для аккредитации, выглядит следующим образом: Электоральная группа I: 29; Электоральная группа II: 7; Электоральная группа III: 4; Электоральная группа IV: 7; Электоральная группа V(a): 6 и Электоральная группа V(b): 6.</w:t>
      </w:r>
    </w:p>
    <w:p w14:paraId="4FD43C64" w14:textId="559971CC" w:rsidR="002A1481" w:rsidRDefault="00D464EF" w:rsidP="002A1481">
      <w:pPr>
        <w:pStyle w:val="COMPara"/>
        <w:numPr>
          <w:ilvl w:val="0"/>
          <w:numId w:val="0"/>
        </w:numPr>
        <w:ind w:left="567"/>
        <w:jc w:val="center"/>
        <w:rPr>
          <w:rFonts w:eastAsia="SimSun"/>
        </w:rPr>
      </w:pPr>
      <w:r>
        <w:rPr>
          <w:noProof/>
        </w:rPr>
        <w:drawing>
          <wp:inline distT="0" distB="0" distL="0" distR="0" wp14:anchorId="7AAF938B" wp14:editId="3CBC460A">
            <wp:extent cx="4572000" cy="2743200"/>
            <wp:effectExtent l="0" t="0" r="0" b="0"/>
            <wp:docPr id="779014213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387540B8-4A70-4ACF-BB1B-A87FEE1F0B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91675E4" w14:textId="2D9799BC" w:rsidR="002A1481" w:rsidRDefault="002A1481" w:rsidP="00F95E6F">
      <w:pPr>
        <w:pStyle w:val="COMPara"/>
        <w:spacing w:before="240"/>
        <w:ind w:left="567" w:hanging="567"/>
        <w:jc w:val="both"/>
        <w:rPr>
          <w:rFonts w:eastAsia="SimSun"/>
        </w:rPr>
      </w:pPr>
      <w:r>
        <w:t>Заявки аккредитацию и продление существующих рассматриваются Секретариатом Конвенции 2003 года в соответствии с критериями, изложенными в Оперативном руководстве. Секретариат регистрирует предложения в соответствии с параграфом 99 Оперативного руководства, помогает организациям предоставить любую недостающую информацию, если это необходимо, и готовит рекомендации для Комитета в соответствии с требованиями параграфа 92 Оперативного руководства. Соответствующие формы и соответствующие рабочие документы размещаются на веб-странице Конвенции не позднее чем за четыре недели до открытия соответствующей сессии Комитета и за тридцать дней до открытия соответствующей сессии Генеральной Ассамблеи.</w:t>
      </w:r>
    </w:p>
    <w:p w14:paraId="742EE503" w14:textId="70691F5C" w:rsidR="00981850" w:rsidRDefault="002A1481" w:rsidP="00981850">
      <w:pPr>
        <w:pStyle w:val="COMPara"/>
        <w:ind w:left="567" w:hanging="567"/>
        <w:jc w:val="both"/>
        <w:rPr>
          <w:rFonts w:eastAsia="SimSun"/>
        </w:rPr>
      </w:pPr>
      <w:r>
        <w:t xml:space="preserve">В соответствии с Резолюцией </w:t>
      </w:r>
      <w:hyperlink r:id="rId13" w:history="1">
        <w:r w:rsidR="00632A9C" w:rsidRPr="00632A9C">
          <w:rPr>
            <w:rStyle w:val="Hyperlink"/>
          </w:rPr>
          <w:t>9.GA</w:t>
        </w:r>
        <w:r w:rsidR="00632A9C" w:rsidRPr="00A26C1D">
          <w:rPr>
            <w:rStyle w:val="Hyperlink"/>
          </w:rPr>
          <w:t xml:space="preserve"> 7</w:t>
        </w:r>
      </w:hyperlink>
      <w:r>
        <w:t xml:space="preserve">, принятой на девятой сессии Генеральной ассамблеи в 2022 году по инициативе восемнадцатой сессии Комитета (Решение </w:t>
      </w:r>
      <w:hyperlink r:id="rId14" w:history="1">
        <w:r>
          <w:rPr>
            <w:rStyle w:val="Hyperlink"/>
          </w:rPr>
          <w:t>18.COM 16</w:t>
        </w:r>
      </w:hyperlink>
      <w:r>
        <w:t>), Секретариат обратился к региональным отделениям ЮНЕСКО с просьбой о сотрудничестве в рассмотрении вновь поступивших заявок на аккредитацию. Список заявок на аккредитацию и продление аккредитации НПО был передан в офисы на местах, а также была предоставлена форма для сбора соответствующей информации. Четыре офиса ЮНЕСКО на местах оказали поддержку в этом процессе, предоставив дополнительную информацию к заявкам на новую аккредитацию, поданным неправительственными организациями, с которыми они взаимодействовали.</w:t>
      </w:r>
    </w:p>
    <w:p w14:paraId="43CECCA6" w14:textId="4788F877" w:rsidR="00F20866" w:rsidRPr="006240B0" w:rsidRDefault="006240B0" w:rsidP="00981850">
      <w:pPr>
        <w:pStyle w:val="COMPara"/>
        <w:ind w:left="567" w:hanging="567"/>
        <w:jc w:val="both"/>
        <w:rPr>
          <w:rFonts w:eastAsia="SimSun"/>
        </w:rPr>
      </w:pPr>
      <w:r>
        <w:t xml:space="preserve">Кроме того, после введения системы аккредитации в 2010 году некоторые аккредитованные организации выразили желание обновить информацию, предоставленную при подаче заявки на первоначальную аккредитацию, с тем чтобы отразить изменившуюся ситуацию в соответствующей НПО. Соответственно, на </w:t>
      </w:r>
      <w:r>
        <w:lastRenderedPageBreak/>
        <w:t>двадцатой сессии Комитета была принята к сведению обновленная административная информация, представленная шестью аккредитованными неправительственными организациями (см. документ</w:t>
      </w:r>
      <w:r>
        <w:rPr>
          <w:rFonts w:asciiTheme="minorBidi" w:hAnsiTheme="minorBidi"/>
        </w:rPr>
        <w:t xml:space="preserve"> </w:t>
      </w:r>
      <w:hyperlink r:id="rId15" w:history="1">
        <w:r>
          <w:rPr>
            <w:rStyle w:val="Hyperlink"/>
            <w:rFonts w:asciiTheme="minorBidi" w:hAnsiTheme="minorBidi"/>
          </w:rPr>
          <w:t>LHE/25/20.COM/16 Rev.</w:t>
        </w:r>
      </w:hyperlink>
      <w:r>
        <w:rPr>
          <w:rFonts w:asciiTheme="minorBidi" w:hAnsiTheme="minorBidi"/>
        </w:rPr>
        <w:t>)</w:t>
      </w:r>
      <w:r>
        <w:t>.</w:t>
      </w:r>
    </w:p>
    <w:p w14:paraId="70851338" w14:textId="77777777" w:rsidR="00AB3F36" w:rsidRPr="00AA48D9" w:rsidRDefault="00AB3F36" w:rsidP="00AB3F36">
      <w:pPr>
        <w:pStyle w:val="COMPara"/>
        <w:numPr>
          <w:ilvl w:val="0"/>
          <w:numId w:val="21"/>
        </w:numPr>
        <w:ind w:left="567" w:hanging="567"/>
        <w:jc w:val="both"/>
        <w:rPr>
          <w:b/>
          <w:bCs/>
        </w:rPr>
      </w:pPr>
      <w:r>
        <w:rPr>
          <w:b/>
        </w:rPr>
        <w:t xml:space="preserve">Географический баланс среди аккредитованных неправительственных организаций </w:t>
      </w:r>
    </w:p>
    <w:p w14:paraId="3C3F4EFE" w14:textId="4F228178" w:rsidR="00AB3F36" w:rsidRPr="00AA48D9" w:rsidRDefault="00AB3F36" w:rsidP="00AB3F36">
      <w:pPr>
        <w:pStyle w:val="COMPara"/>
        <w:ind w:left="567" w:hanging="567"/>
        <w:jc w:val="both"/>
      </w:pPr>
      <w:r>
        <w:t xml:space="preserve">В </w:t>
      </w:r>
      <w:r w:rsidRPr="00D10390">
        <w:t xml:space="preserve">соответствии с пожеланием девятой сессии Генеральной ассамблеи (Резолюция </w:t>
      </w:r>
      <w:hyperlink r:id="rId16" w:history="1">
        <w:r w:rsidR="00797D28" w:rsidRPr="00D10390">
          <w:rPr>
            <w:rStyle w:val="Hyperlink"/>
          </w:rPr>
          <w:t>9.GA</w:t>
        </w:r>
        <w:r w:rsidR="00D10390" w:rsidRPr="00A26C1D">
          <w:rPr>
            <w:rStyle w:val="Hyperlink"/>
            <w:lang w:val="en-US"/>
          </w:rPr>
          <w:t> </w:t>
        </w:r>
        <w:r w:rsidR="00797D28" w:rsidRPr="00A26C1D">
          <w:rPr>
            <w:rStyle w:val="Hyperlink"/>
          </w:rPr>
          <w:t>7</w:t>
        </w:r>
      </w:hyperlink>
      <w:r w:rsidRPr="00D10390">
        <w:t>) десятая сессия Генеральной ассамблеи, после проведения консультаций с государствами</w:t>
      </w:r>
      <w:r>
        <w:t xml:space="preserve">-участниками, Форумом НПО по НКН и центрами категории 2, приняла план по обеспечению географического баланса среди аккредитованных НПО в соответствии с Конвенцией 2003 года (Резолюция </w:t>
      </w:r>
      <w:hyperlink r:id="rId17" w:history="1">
        <w:r w:rsidR="00786236" w:rsidRPr="00786236">
          <w:rPr>
            <w:rStyle w:val="Hyperlink"/>
          </w:rPr>
          <w:t>10.GA</w:t>
        </w:r>
        <w:r w:rsidR="00786236" w:rsidRPr="00A26C1D">
          <w:rPr>
            <w:rStyle w:val="Hyperlink"/>
          </w:rPr>
          <w:t xml:space="preserve"> 9 </w:t>
        </w:r>
        <w:r w:rsidR="00786236">
          <w:rPr>
            <w:rStyle w:val="Hyperlink"/>
            <w:lang w:val="en-US"/>
          </w:rPr>
          <w:t>Add</w:t>
        </w:r>
        <w:r w:rsidR="00786236" w:rsidRPr="00A26C1D">
          <w:rPr>
            <w:rStyle w:val="Hyperlink"/>
          </w:rPr>
          <w:t>.</w:t>
        </w:r>
      </w:hyperlink>
      <w:r>
        <w:t xml:space="preserve">), который будет осуществляться Секретариатом, Форумом НПО по НКН, центрами категории 2 и другими заинтересованными сторонами. </w:t>
      </w:r>
    </w:p>
    <w:p w14:paraId="63C645A8" w14:textId="77777777" w:rsidR="00AB3F36" w:rsidRPr="00AA48D9" w:rsidRDefault="00AB3F36" w:rsidP="00AB3F36">
      <w:pPr>
        <w:pStyle w:val="COMPara"/>
        <w:ind w:left="567" w:hanging="567"/>
        <w:jc w:val="both"/>
      </w:pPr>
      <w:r>
        <w:t xml:space="preserve">IВ связи с этим в 2024 и 2025 годах Форум НПО по НКН провел мероприятия, специально ориентированные на НПО из недостаточно представленных регионов, которые могут воспользоваться преимуществами системы аккредитации в рамках Конвенции 2003 года (документ </w:t>
      </w:r>
      <w:hyperlink r:id="rId18" w:history="1">
        <w:r>
          <w:rPr>
            <w:rStyle w:val="Hyperlink"/>
          </w:rPr>
          <w:t>LHE/25/20.COM/15</w:t>
        </w:r>
      </w:hyperlink>
      <w:r>
        <w:t>).</w:t>
      </w:r>
    </w:p>
    <w:p w14:paraId="486B20A3" w14:textId="77777777" w:rsidR="00AB3F36" w:rsidRPr="00AA48D9" w:rsidRDefault="00AB3F36" w:rsidP="00AB3F36">
      <w:pPr>
        <w:pStyle w:val="COMPara"/>
        <w:numPr>
          <w:ilvl w:val="0"/>
          <w:numId w:val="24"/>
        </w:numPr>
        <w:ind w:left="1134" w:hanging="567"/>
        <w:jc w:val="both"/>
      </w:pPr>
      <w:r>
        <w:t xml:space="preserve">Вслед за аналогичными пилотными мероприятиями, проведенными в 2023 году, в марте 2025 года, непосредственно перед истечением срока подачи заявок на аккредитацию (30 апреля 2025 года), Форум организовал серию онлайн-информационных сессий для потенциальных заявителей; эти сессии были проведены для стран Восточной Европы, Латинской Америки, Азиатско-Тихоокеанского региона, Африки и арабских государств. В ходе веб-семинаров были рассмотрены вопросы, касающиеся системы аккредитации, критериев отбора и преимуществ аккредитации, а также членства в Форуме. </w:t>
      </w:r>
    </w:p>
    <w:p w14:paraId="50CFE88D" w14:textId="120E7AD1" w:rsidR="00AB3F36" w:rsidRPr="00AA48D9" w:rsidRDefault="00AB3F36" w:rsidP="00AB3F36">
      <w:pPr>
        <w:pStyle w:val="COMPara"/>
        <w:numPr>
          <w:ilvl w:val="0"/>
          <w:numId w:val="24"/>
        </w:numPr>
        <w:ind w:left="1134" w:hanging="567"/>
        <w:jc w:val="both"/>
      </w:pPr>
      <w:r>
        <w:t xml:space="preserve">Кроме того, в рамках форума продолжилась работа над проектом по определению сфер компетенции аккредитованных НПО. По итогам первого этапа, реализованного в 2023–2024 годах, Форум продолжил сотрудничество с Секретариатом в целях продвижения второго этапа проекта в 2025 году — результаты этой работы представлены на </w:t>
      </w:r>
      <w:hyperlink r:id="rId19" w:history="1">
        <w:r>
          <w:rPr>
            <w:rStyle w:val="Hyperlink"/>
          </w:rPr>
          <w:t>веб-сайте</w:t>
        </w:r>
      </w:hyperlink>
      <w:r>
        <w:t xml:space="preserve"> Конвенции. По завершении второго этапа в сети будут доступны информационные материалы о 160 из 258 НПО, имеющих в настоящее время аккредитацию</w:t>
      </w:r>
      <w:r w:rsidRPr="00A26C1D">
        <w:t>. Ожидается, что результаты анализа позволят выяснить, в каких областях сосредоточены экспертные знания, а в каких их не хватает, что поможет направить усилия на расширение представительства из недостаточно представленных регионов.</w:t>
      </w:r>
      <w:r>
        <w:t xml:space="preserve"> </w:t>
      </w:r>
    </w:p>
    <w:p w14:paraId="5319532C" w14:textId="550B4CA0" w:rsidR="00AB3F36" w:rsidRDefault="00AB3F36" w:rsidP="00930EF2">
      <w:pPr>
        <w:pStyle w:val="COMPara"/>
        <w:ind w:left="567" w:hanging="567"/>
        <w:jc w:val="both"/>
      </w:pPr>
      <w:r>
        <w:t xml:space="preserve">Число заявок на аккредитацию неуклонно растет: с 46 в цикле 2022 года, 73 в цикле 2024 года до 96 в цикле аккредитации 2026 года. Эта положительная тенденция является результатом вышеупомянутых мер по повышению осведомлённости и укреплению потенциала в сочетании с возросшим интересом к Конвенции и её механизмам. Однако следует отметить, что интерес к живому наследию привлекает внимание и новой категории НПО, которые стремятся получить аккредитацию, но не всегда в полной мере соответствуют установленным критериям: в ряде случаев речь идет о организациях общего профиля, работающих в нескольких сферах устойчивого развития, но зачастую не обладающих конкретным опытом в области охраны нематериального культурного наследия или имеющих лишь очень ограниченный опыт в этой области. В то же время, хотя географическое распределение НПО, рекомендованных к аккредитации, в текущем цикле остается относительно стабильным по сравнению с предыдущим, важно отметить, что число НПО из Электоральной группы V(a), рекомендованных к аккредитации на текущей сессии Генеральной Ассамблеи, увеличилось: в 2023–2024 годах они составляли 4 % от общего числа рекомендованных заявок, тогда как в текущем цикле — 10 %. </w:t>
      </w:r>
    </w:p>
    <w:p w14:paraId="70093D18" w14:textId="0E1FC756" w:rsidR="00981850" w:rsidRPr="00981850" w:rsidRDefault="00981850" w:rsidP="00981850">
      <w:pPr>
        <w:pStyle w:val="COMPara"/>
        <w:ind w:left="567" w:hanging="567"/>
        <w:jc w:val="both"/>
        <w:rPr>
          <w:rFonts w:eastAsia="SimSun"/>
        </w:rPr>
      </w:pPr>
      <w:r>
        <w:t>Генеральная ассамблея, возможно, пожелает принять следующую резолюцию:</w:t>
      </w:r>
    </w:p>
    <w:p w14:paraId="2D79A4A0" w14:textId="1FAAD1AF" w:rsidR="00981850" w:rsidRPr="00132C8D" w:rsidRDefault="00981850" w:rsidP="00981850">
      <w:pPr>
        <w:pStyle w:val="GATitleResolution"/>
        <w:spacing w:before="360"/>
        <w:rPr>
          <w:rFonts w:asciiTheme="minorBidi" w:hAnsiTheme="minorBidi" w:cstheme="minorBidi"/>
        </w:rPr>
      </w:pPr>
      <w:r>
        <w:rPr>
          <w:rFonts w:asciiTheme="minorBidi" w:hAnsiTheme="minorBidi"/>
        </w:rPr>
        <w:lastRenderedPageBreak/>
        <w:t>ПРОЕКТ РЕЗОЛЮЦИИ 11.GA 9</w:t>
      </w:r>
    </w:p>
    <w:p w14:paraId="2EAD5EF9" w14:textId="77777777" w:rsidR="00981850" w:rsidRPr="00132C8D" w:rsidRDefault="00981850" w:rsidP="00981850">
      <w:pPr>
        <w:pStyle w:val="GAPreambulaResolution"/>
        <w:rPr>
          <w:rFonts w:asciiTheme="minorBidi" w:hAnsiTheme="minorBidi" w:cstheme="minorBidi"/>
        </w:rPr>
      </w:pPr>
      <w:r>
        <w:rPr>
          <w:rFonts w:asciiTheme="minorBidi" w:hAnsiTheme="minorBidi"/>
        </w:rPr>
        <w:t>Генеральная ассамблея,</w:t>
      </w:r>
    </w:p>
    <w:p w14:paraId="4C214FEC" w14:textId="57636194" w:rsidR="00981850" w:rsidRPr="00132C8D" w:rsidRDefault="00D7422F" w:rsidP="00BE6893">
      <w:pPr>
        <w:pStyle w:val="COMParaDecision"/>
        <w:jc w:val="left"/>
        <w:rPr>
          <w:rFonts w:asciiTheme="minorBidi" w:hAnsiTheme="minorBidi" w:cstheme="minorBidi"/>
        </w:rPr>
      </w:pPr>
      <w:r>
        <w:rPr>
          <w:rFonts w:asciiTheme="minorBidi" w:hAnsiTheme="minorBidi"/>
        </w:rPr>
        <w:t>Рассмотрев</w:t>
      </w:r>
      <w:r>
        <w:rPr>
          <w:rFonts w:asciiTheme="minorBidi" w:hAnsiTheme="minorBidi"/>
          <w:u w:val="none"/>
        </w:rPr>
        <w:t xml:space="preserve"> </w:t>
      </w:r>
      <w:r w:rsidR="00981850">
        <w:rPr>
          <w:rFonts w:asciiTheme="minorBidi" w:hAnsiTheme="minorBidi"/>
          <w:u w:val="none"/>
        </w:rPr>
        <w:t>документ LHE/26/11.GA/9 с приложением,</w:t>
      </w:r>
    </w:p>
    <w:p w14:paraId="3503E5EE" w14:textId="56667C74" w:rsidR="00981850" w:rsidRPr="00132C8D" w:rsidRDefault="00D7422F" w:rsidP="00BE6893">
      <w:pPr>
        <w:pStyle w:val="COMParaDecision"/>
        <w:rPr>
          <w:rFonts w:asciiTheme="minorBidi" w:hAnsiTheme="minorBidi" w:cstheme="minorBidi"/>
        </w:rPr>
      </w:pPr>
      <w:r>
        <w:rPr>
          <w:rFonts w:asciiTheme="minorBidi" w:hAnsiTheme="minorBidi"/>
        </w:rPr>
        <w:t>Ссылаясь</w:t>
      </w:r>
      <w:r>
        <w:rPr>
          <w:rFonts w:asciiTheme="minorBidi" w:hAnsiTheme="minorBidi"/>
          <w:u w:val="none"/>
        </w:rPr>
        <w:t xml:space="preserve"> </w:t>
      </w:r>
      <w:r w:rsidR="00981850">
        <w:rPr>
          <w:rFonts w:asciiTheme="minorBidi" w:hAnsiTheme="minorBidi"/>
          <w:u w:val="none"/>
        </w:rPr>
        <w:t>на статью 9 Конвенции и пункты 91-99 Оперативного руководства,</w:t>
      </w:r>
    </w:p>
    <w:p w14:paraId="7198A317" w14:textId="0BE4FFAA" w:rsidR="00981850" w:rsidRPr="00132C8D" w:rsidRDefault="00D7422F" w:rsidP="00BE6893">
      <w:pPr>
        <w:pStyle w:val="COMParaDecision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Ссылаясь </w:t>
      </w:r>
      <w:r w:rsidR="00981850">
        <w:rPr>
          <w:rFonts w:asciiTheme="minorBidi" w:hAnsiTheme="minorBidi"/>
        </w:rPr>
        <w:t>также</w:t>
      </w:r>
      <w:r w:rsidR="00981850">
        <w:rPr>
          <w:rFonts w:asciiTheme="minorBidi" w:hAnsiTheme="minorBidi"/>
          <w:u w:val="none"/>
        </w:rPr>
        <w:t xml:space="preserve"> на Резолюцию</w:t>
      </w:r>
      <w:r w:rsidR="00786236" w:rsidRPr="00A26C1D">
        <w:rPr>
          <w:rFonts w:asciiTheme="minorBidi" w:hAnsiTheme="minorBidi"/>
          <w:u w:val="none"/>
        </w:rPr>
        <w:t xml:space="preserve"> </w:t>
      </w:r>
      <w:hyperlink r:id="rId20" w:history="1">
        <w:r w:rsidR="00786236" w:rsidRPr="00786236">
          <w:rPr>
            <w:rStyle w:val="Hyperlink"/>
            <w:rFonts w:asciiTheme="minorBidi" w:hAnsiTheme="minorBidi"/>
          </w:rPr>
          <w:t>10</w:t>
        </w:r>
        <w:r w:rsidR="00786236" w:rsidRPr="00A26C1D">
          <w:rPr>
            <w:rStyle w:val="Hyperlink"/>
            <w:rFonts w:asciiTheme="minorBidi" w:hAnsiTheme="minorBidi"/>
          </w:rPr>
          <w:t>.</w:t>
        </w:r>
        <w:r w:rsidR="00786236" w:rsidRPr="00786236">
          <w:rPr>
            <w:rStyle w:val="Hyperlink"/>
            <w:rFonts w:asciiTheme="minorBidi" w:hAnsiTheme="minorBidi"/>
            <w:lang w:val="en-US"/>
          </w:rPr>
          <w:t>GA</w:t>
        </w:r>
        <w:r w:rsidR="00786236" w:rsidRPr="00A26C1D">
          <w:rPr>
            <w:rStyle w:val="Hyperlink"/>
            <w:rFonts w:asciiTheme="minorBidi" w:hAnsiTheme="minorBidi"/>
          </w:rPr>
          <w:t xml:space="preserve"> 9 </w:t>
        </w:r>
        <w:r w:rsidR="00786236" w:rsidRPr="00786236">
          <w:rPr>
            <w:rStyle w:val="Hyperlink"/>
            <w:rFonts w:asciiTheme="minorBidi" w:hAnsiTheme="minorBidi"/>
            <w:lang w:val="en-US"/>
          </w:rPr>
          <w:t>A</w:t>
        </w:r>
        <w:r w:rsidR="00786236">
          <w:rPr>
            <w:rStyle w:val="Hyperlink"/>
            <w:rFonts w:asciiTheme="minorBidi" w:hAnsiTheme="minorBidi"/>
            <w:lang w:val="en-US"/>
          </w:rPr>
          <w:t>dd</w:t>
        </w:r>
      </w:hyperlink>
      <w:proofErr w:type="gramStart"/>
      <w:r w:rsidR="00786236" w:rsidRPr="00A26C1D">
        <w:t>.</w:t>
      </w:r>
      <w:proofErr w:type="gramEnd"/>
      <w:r w:rsidR="00981850">
        <w:rPr>
          <w:rFonts w:asciiTheme="minorBidi" w:hAnsiTheme="minorBidi"/>
          <w:u w:val="none"/>
        </w:rPr>
        <w:t xml:space="preserve"> и Решение </w:t>
      </w:r>
      <w:hyperlink r:id="rId21" w:history="1">
        <w:r w:rsidR="00981850">
          <w:rPr>
            <w:rStyle w:val="Hyperlink"/>
            <w:rFonts w:asciiTheme="minorBidi" w:hAnsiTheme="minorBidi"/>
          </w:rPr>
          <w:t>20.COM 16</w:t>
        </w:r>
      </w:hyperlink>
      <w:r w:rsidR="00981850">
        <w:rPr>
          <w:rStyle w:val="Hyperlink"/>
          <w:rFonts w:asciiTheme="minorBidi" w:hAnsiTheme="minorBidi"/>
          <w:color w:val="auto"/>
          <w:u w:val="none"/>
        </w:rPr>
        <w:t>,</w:t>
      </w:r>
    </w:p>
    <w:p w14:paraId="07B59C13" w14:textId="2F8DB794" w:rsidR="00981850" w:rsidRPr="00132C8D" w:rsidRDefault="00D7422F" w:rsidP="00BE6893">
      <w:pPr>
        <w:pStyle w:val="COMParaDecision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Аккредитует </w:t>
      </w:r>
      <w:r w:rsidR="00981850">
        <w:rPr>
          <w:rFonts w:asciiTheme="minorBidi" w:hAnsiTheme="minorBidi"/>
          <w:u w:val="none"/>
        </w:rPr>
        <w:t>пятьдесят девять НПО, перечисленные в Приложении к настоящей резолюции для выполнения консультативных функций при Комитете;</w:t>
      </w:r>
    </w:p>
    <w:p w14:paraId="2D6DFE8C" w14:textId="29C2E06C" w:rsidR="00AB3F36" w:rsidRPr="00132C8D" w:rsidRDefault="00D7422F" w:rsidP="00BE6893">
      <w:pPr>
        <w:pStyle w:val="COMParaDecision"/>
        <w:rPr>
          <w:rFonts w:asciiTheme="minorBidi" w:hAnsiTheme="minorBidi" w:cstheme="minorBidi"/>
        </w:rPr>
      </w:pPr>
      <w:bookmarkStart w:id="2" w:name="_Hlk47615881"/>
      <w:r>
        <w:rPr>
          <w:rFonts w:asciiTheme="minorBidi" w:hAnsiTheme="minorBidi"/>
        </w:rPr>
        <w:t xml:space="preserve">Принимает </w:t>
      </w:r>
      <w:r w:rsidR="00AB3F36">
        <w:rPr>
          <w:rFonts w:asciiTheme="minorBidi" w:hAnsiTheme="minorBidi"/>
        </w:rPr>
        <w:t>к сведению</w:t>
      </w:r>
      <w:r w:rsidR="00AB3F36">
        <w:rPr>
          <w:rFonts w:asciiTheme="minorBidi" w:hAnsiTheme="minorBidi"/>
          <w:u w:val="none"/>
        </w:rPr>
        <w:t xml:space="preserve"> меры, принятые в целях улучшения географического распределения аккредитованных НПО в рамках Конвенции 2003 года, </w:t>
      </w:r>
      <w:r w:rsidR="00AB3F36">
        <w:rPr>
          <w:rFonts w:asciiTheme="minorBidi" w:hAnsiTheme="minorBidi"/>
        </w:rPr>
        <w:t>призывает</w:t>
      </w:r>
      <w:r w:rsidR="00AB3F36">
        <w:rPr>
          <w:rFonts w:asciiTheme="minorBidi" w:hAnsiTheme="minorBidi"/>
          <w:u w:val="none"/>
        </w:rPr>
        <w:t xml:space="preserve"> Секретариат, Форум НПО по НКН, центры категории 2 и другие заинтересованные стороны продолжать свои усилия и </w:t>
      </w:r>
      <w:r w:rsidR="00AB3F36">
        <w:rPr>
          <w:rFonts w:asciiTheme="minorBidi" w:hAnsiTheme="minorBidi"/>
        </w:rPr>
        <w:t>вновь обращается</w:t>
      </w:r>
      <w:r w:rsidR="00AB3F36">
        <w:rPr>
          <w:rFonts w:asciiTheme="minorBidi" w:hAnsiTheme="minorBidi"/>
          <w:u w:val="none"/>
        </w:rPr>
        <w:t xml:space="preserve"> к государствам-участникам из групп с недостаточным представительством с призывом поощрять НПО, действующие на их территории и отвечающие критериям аккредитации, подавать заявки на аккредитацию в кратчайшие сроки;</w:t>
      </w:r>
    </w:p>
    <w:bookmarkEnd w:id="2"/>
    <w:p w14:paraId="20CA9162" w14:textId="45BA3FAE" w:rsidR="008524D5" w:rsidRPr="00A26C1D" w:rsidRDefault="00D7422F" w:rsidP="00BE6893">
      <w:pPr>
        <w:pStyle w:val="COMParaDecision"/>
        <w:keepLines/>
        <w:rPr>
          <w:rFonts w:asciiTheme="minorBidi" w:hAnsiTheme="minorBidi" w:cstheme="minorBidi"/>
        </w:rPr>
      </w:pPr>
      <w:r>
        <w:rPr>
          <w:rFonts w:asciiTheme="minorBidi" w:hAnsiTheme="minorBidi"/>
        </w:rPr>
        <w:t>Напоминает</w:t>
      </w:r>
      <w:r>
        <w:rPr>
          <w:rFonts w:asciiTheme="minorBidi" w:hAnsiTheme="minorBidi"/>
          <w:u w:val="none"/>
        </w:rPr>
        <w:t xml:space="preserve"> </w:t>
      </w:r>
      <w:r w:rsidR="00981850">
        <w:rPr>
          <w:rFonts w:asciiTheme="minorBidi" w:hAnsiTheme="minorBidi"/>
          <w:u w:val="none"/>
        </w:rPr>
        <w:t>НПО, аккредитованным в 2010, 2014, 2018 и 2022 годах, что они должны представить свой четырехлетний отчет в Секретариат не позднее 15 февраля 2027 года, с тем чтобы на двадцать второй сессии Комитета можно было рассмотреть вклад и выполнение обязательств каждой консультативной организации.</w:t>
      </w:r>
    </w:p>
    <w:p w14:paraId="204DB2AD" w14:textId="06915A64" w:rsidR="005656C9" w:rsidRPr="00A26C1D" w:rsidRDefault="005656C9">
      <w:pPr>
        <w:rPr>
          <w:rFonts w:asciiTheme="minorBidi" w:eastAsia="SimSun" w:hAnsiTheme="minorBidi" w:cs="Arial"/>
          <w:sz w:val="22"/>
          <w:szCs w:val="22"/>
          <w:u w:val="single"/>
        </w:rPr>
      </w:pPr>
      <w:r w:rsidRPr="00A26C1D">
        <w:rPr>
          <w:rFonts w:asciiTheme="minorBidi" w:hAnsiTheme="minorBidi"/>
        </w:rPr>
        <w:br w:type="page"/>
      </w:r>
    </w:p>
    <w:p w14:paraId="688E3698" w14:textId="38E81DA5" w:rsidR="005656C9" w:rsidRPr="00A26C1D" w:rsidRDefault="005656C9" w:rsidP="00A26C1D">
      <w:pPr>
        <w:pStyle w:val="COMParaDecision"/>
        <w:numPr>
          <w:ilvl w:val="0"/>
          <w:numId w:val="0"/>
        </w:numPr>
        <w:rPr>
          <w:rFonts w:cstheme="minorBidi"/>
          <w:b/>
          <w:bCs/>
          <w:snapToGrid w:val="0"/>
        </w:rPr>
      </w:pPr>
      <w:r w:rsidRPr="00A26C1D">
        <w:rPr>
          <w:b/>
          <w:bCs/>
          <w:snapToGrid w:val="0"/>
        </w:rPr>
        <w:lastRenderedPageBreak/>
        <w:t>Приложение: Пятьдесят девять неправительственных организаций, рекомендованных к аккредитации на двадцатой сессии Комитета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2182"/>
        <w:gridCol w:w="1492"/>
      </w:tblGrid>
      <w:tr w:rsidR="005656C9" w:rsidRPr="005656C9" w14:paraId="01F1CE8C" w14:textId="77777777" w:rsidTr="00A26C1D">
        <w:trPr>
          <w:trHeight w:val="624"/>
        </w:trPr>
        <w:tc>
          <w:tcPr>
            <w:tcW w:w="3092" w:type="pct"/>
            <w:shd w:val="clear" w:color="auto" w:fill="365F91" w:themeFill="accent1" w:themeFillShade="BF"/>
            <w:noWrap/>
            <w:vAlign w:val="center"/>
            <w:hideMark/>
          </w:tcPr>
          <w:p w14:paraId="32D150AB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6C1D">
              <w:rPr>
                <w:rFonts w:ascii="Arial" w:hAnsi="Arial"/>
                <w:b/>
                <w:color w:val="FFFFFF" w:themeColor="background1"/>
                <w:sz w:val="20"/>
              </w:rPr>
              <w:t>Название организации</w:t>
            </w:r>
          </w:p>
        </w:tc>
        <w:tc>
          <w:tcPr>
            <w:tcW w:w="1133" w:type="pct"/>
            <w:shd w:val="clear" w:color="auto" w:fill="365F91" w:themeFill="accent1" w:themeFillShade="BF"/>
            <w:noWrap/>
            <w:vAlign w:val="center"/>
            <w:hideMark/>
          </w:tcPr>
          <w:p w14:paraId="231075BB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6C1D">
              <w:rPr>
                <w:rFonts w:ascii="Arial" w:hAnsi="Arial"/>
                <w:b/>
                <w:color w:val="FFFFFF" w:themeColor="background1"/>
                <w:sz w:val="20"/>
              </w:rPr>
              <w:t>Страна, в которой зарегистрирован офис</w:t>
            </w:r>
          </w:p>
        </w:tc>
        <w:tc>
          <w:tcPr>
            <w:tcW w:w="775" w:type="pct"/>
            <w:shd w:val="clear" w:color="auto" w:fill="365F91" w:themeFill="accent1" w:themeFillShade="BF"/>
            <w:noWrap/>
            <w:vAlign w:val="center"/>
            <w:hideMark/>
          </w:tcPr>
          <w:p w14:paraId="498156F5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6C1D">
              <w:rPr>
                <w:rFonts w:ascii="Arial" w:hAnsi="Arial"/>
                <w:b/>
                <w:color w:val="FFFFFF" w:themeColor="background1"/>
                <w:sz w:val="20"/>
              </w:rPr>
              <w:t>Номер заявки</w:t>
            </w:r>
          </w:p>
        </w:tc>
      </w:tr>
      <w:tr w:rsidR="005656C9" w:rsidRPr="00AA48D9" w14:paraId="70E62FDC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348D86A9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94GREEN Foundation</w:t>
            </w:r>
          </w:p>
        </w:tc>
        <w:tc>
          <w:tcPr>
            <w:tcW w:w="1133" w:type="pct"/>
            <w:noWrap/>
            <w:vAlign w:val="center"/>
            <w:hideMark/>
          </w:tcPr>
          <w:p w14:paraId="3473C4E9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Суринам</w:t>
            </w:r>
          </w:p>
        </w:tc>
        <w:tc>
          <w:tcPr>
            <w:tcW w:w="775" w:type="pct"/>
            <w:noWrap/>
            <w:vAlign w:val="center"/>
            <w:hideMark/>
          </w:tcPr>
          <w:p w14:paraId="5855DC02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NGO-90665</w:t>
            </w:r>
          </w:p>
        </w:tc>
      </w:tr>
      <w:tr w:rsidR="005656C9" w:rsidRPr="00AA48D9" w14:paraId="1E31293F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49C703C8" w14:textId="014D83FD" w:rsidR="005656C9" w:rsidRPr="00A83DF5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"Umrboqiy meros" </w:t>
            </w:r>
            <w:r w:rsidRPr="00A83DF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'</w:t>
            </w:r>
            <w:r w:rsidRPr="00A83DF5">
              <w:rPr>
                <w:rFonts w:ascii="Arial" w:hAnsi="Arial" w:cs="Arial"/>
                <w:b/>
                <w:bCs/>
                <w:sz w:val="20"/>
                <w:szCs w:val="20"/>
              </w:rPr>
              <w:t>zbekiston</w:t>
            </w:r>
            <w:r>
              <w:rPr>
                <w:rFonts w:ascii="Arial" w:hAnsi="Arial"/>
                <w:b/>
                <w:sz w:val="20"/>
              </w:rPr>
              <w:t xml:space="preserve"> madaniyati va san’ati targï bot Markazi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72E8E90B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Узбекистан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6C413F95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NGO-90616</w:t>
            </w:r>
          </w:p>
        </w:tc>
      </w:tr>
      <w:tr w:rsidR="005656C9" w:rsidRPr="00AA48D9" w14:paraId="4613D4ED" w14:textId="77777777" w:rsidTr="00DD441D">
        <w:trPr>
          <w:trHeight w:val="290"/>
        </w:trPr>
        <w:tc>
          <w:tcPr>
            <w:tcW w:w="3092" w:type="pct"/>
            <w:noWrap/>
            <w:vAlign w:val="center"/>
          </w:tcPr>
          <w:p w14:paraId="5F0821F0" w14:textId="799EDFCA" w:rsidR="005656C9" w:rsidRPr="00A83DF5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Akademsko društvo za negovanje muzike </w:t>
            </w:r>
            <w:r w:rsidRPr="00A83D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"Gusle" </w:t>
            </w:r>
            <w:r>
              <w:rPr>
                <w:rFonts w:ascii="Arial" w:hAnsi="Arial"/>
                <w:b/>
                <w:sz w:val="20"/>
              </w:rPr>
              <w:t xml:space="preserve">Kikinda - ADZNM </w:t>
            </w:r>
            <w:r w:rsidRPr="00A83D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"Gusle" </w:t>
            </w:r>
            <w:r>
              <w:rPr>
                <w:rFonts w:ascii="Arial" w:hAnsi="Arial"/>
                <w:b/>
                <w:sz w:val="20"/>
              </w:rPr>
              <w:t>Kikinda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 xml:space="preserve">Academic Society for music </w:t>
            </w:r>
            <w:r w:rsidRPr="005656C9">
              <w:rPr>
                <w:rFonts w:ascii="Arial" w:hAnsi="Arial"/>
                <w:sz w:val="20"/>
              </w:rPr>
              <w:t xml:space="preserve">cherishing </w:t>
            </w:r>
            <w:r w:rsidRPr="00A26C1D">
              <w:rPr>
                <w:rFonts w:ascii="Arial" w:hAnsi="Arial" w:cs="Arial"/>
                <w:sz w:val="20"/>
                <w:szCs w:val="20"/>
              </w:rPr>
              <w:t>"</w:t>
            </w:r>
            <w:r w:rsidRPr="005656C9">
              <w:rPr>
                <w:rFonts w:ascii="Arial" w:hAnsi="Arial"/>
                <w:sz w:val="20"/>
              </w:rPr>
              <w:t>Gusle</w:t>
            </w:r>
            <w:r w:rsidRPr="00A26C1D">
              <w:rPr>
                <w:rFonts w:ascii="Arial" w:hAnsi="Arial" w:cs="Arial"/>
                <w:sz w:val="20"/>
                <w:szCs w:val="20"/>
              </w:rPr>
              <w:t>"</w:t>
            </w:r>
            <w:r w:rsidRPr="005656C9">
              <w:rPr>
                <w:rFonts w:ascii="Arial" w:hAnsi="Arial"/>
                <w:sz w:val="20"/>
              </w:rPr>
              <w:t xml:space="preserve"> Kikinda</w:t>
            </w:r>
          </w:p>
        </w:tc>
        <w:tc>
          <w:tcPr>
            <w:tcW w:w="1133" w:type="pct"/>
            <w:noWrap/>
            <w:vAlign w:val="center"/>
          </w:tcPr>
          <w:p w14:paraId="560ADC09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Сербия</w:t>
            </w:r>
          </w:p>
        </w:tc>
        <w:tc>
          <w:tcPr>
            <w:tcW w:w="775" w:type="pct"/>
            <w:noWrap/>
            <w:vAlign w:val="center"/>
          </w:tcPr>
          <w:p w14:paraId="79A83C07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NGO-90668</w:t>
            </w:r>
          </w:p>
        </w:tc>
      </w:tr>
      <w:tr w:rsidR="005656C9" w:rsidRPr="00AA48D9" w14:paraId="60124AD0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01DC4FA9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Associação Portuguesa para a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Salvaguarda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do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Património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Cultural Imaterial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Portuguese Association for the Safeguard of the Intangible Cultural Heritage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7BE8A569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Португалия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271EB4FE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NGO-90686</w:t>
            </w:r>
          </w:p>
        </w:tc>
      </w:tr>
      <w:tr w:rsidR="005656C9" w:rsidRPr="00AA48D9" w14:paraId="532EBB23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38CD05E6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26C1D">
              <w:rPr>
                <w:rFonts w:ascii="Arial" w:hAnsi="Arial"/>
                <w:b/>
                <w:sz w:val="20"/>
                <w:lang w:val="fr-FR"/>
              </w:rPr>
              <w:t>Association Culturelle de Wilaya "Biskra Takraa"</w:t>
            </w:r>
          </w:p>
        </w:tc>
        <w:tc>
          <w:tcPr>
            <w:tcW w:w="1133" w:type="pct"/>
            <w:noWrap/>
            <w:vAlign w:val="center"/>
            <w:hideMark/>
          </w:tcPr>
          <w:p w14:paraId="2C681775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Алжир</w:t>
            </w:r>
          </w:p>
        </w:tc>
        <w:tc>
          <w:tcPr>
            <w:tcW w:w="775" w:type="pct"/>
            <w:noWrap/>
            <w:vAlign w:val="center"/>
            <w:hideMark/>
          </w:tcPr>
          <w:p w14:paraId="3058A13F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NGO-90688</w:t>
            </w:r>
          </w:p>
        </w:tc>
      </w:tr>
      <w:tr w:rsidR="005656C9" w:rsidRPr="00AA48D9" w14:paraId="4693DD8F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42CE11F8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C1D">
              <w:rPr>
                <w:rFonts w:ascii="Arial" w:hAnsi="Arial"/>
                <w:b/>
                <w:sz w:val="20"/>
                <w:lang w:val="fr-FR"/>
              </w:rPr>
              <w:t xml:space="preserve">Association El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fr-FR"/>
              </w:rPr>
              <w:t>Mouahidia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fr-FR"/>
              </w:rPr>
              <w:t xml:space="preserve"> de sauvegarde du patrimoine historique, culturel et touristique. </w:t>
            </w:r>
            <w:r>
              <w:rPr>
                <w:rFonts w:ascii="Arial" w:hAnsi="Arial"/>
                <w:b/>
                <w:sz w:val="20"/>
              </w:rPr>
              <w:t>Nédroma Wilaya de Tlemcen – Algérie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76943247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Алжир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2E59D02B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NGO-90620</w:t>
            </w:r>
          </w:p>
        </w:tc>
      </w:tr>
      <w:tr w:rsidR="005656C9" w:rsidRPr="00AA48D9" w14:paraId="2FAE825E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31A78BEB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>Association for the Protection of Gastronomic Heritage</w:t>
            </w:r>
          </w:p>
        </w:tc>
        <w:tc>
          <w:tcPr>
            <w:tcW w:w="1133" w:type="pct"/>
            <w:noWrap/>
            <w:vAlign w:val="center"/>
            <w:hideMark/>
          </w:tcPr>
          <w:p w14:paraId="03AF8F77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Испания</w:t>
            </w:r>
          </w:p>
        </w:tc>
        <w:tc>
          <w:tcPr>
            <w:tcW w:w="775" w:type="pct"/>
            <w:noWrap/>
            <w:vAlign w:val="center"/>
            <w:hideMark/>
          </w:tcPr>
          <w:p w14:paraId="011F7A96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NGO-90615</w:t>
            </w:r>
          </w:p>
        </w:tc>
      </w:tr>
      <w:tr w:rsidR="005656C9" w:rsidRPr="00AA48D9" w14:paraId="719C6A20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54CC1AA1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26C1D">
              <w:rPr>
                <w:rFonts w:ascii="Arial" w:hAnsi="Arial"/>
                <w:b/>
                <w:sz w:val="20"/>
                <w:lang w:val="fr-FR"/>
              </w:rPr>
              <w:t>Association imekres pour le patrimoine et le folklore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35266699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Алжир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1D3ABE1F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NGO-90619</w:t>
            </w:r>
          </w:p>
        </w:tc>
      </w:tr>
      <w:tr w:rsidR="005656C9" w:rsidRPr="00AA48D9" w14:paraId="054865DF" w14:textId="77777777" w:rsidTr="00DD441D">
        <w:trPr>
          <w:trHeight w:val="290"/>
        </w:trPr>
        <w:tc>
          <w:tcPr>
            <w:tcW w:w="3092" w:type="pct"/>
            <w:noWrap/>
            <w:vAlign w:val="center"/>
          </w:tcPr>
          <w:p w14:paraId="18A036AD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Association Métis</w:t>
            </w:r>
          </w:p>
        </w:tc>
        <w:tc>
          <w:tcPr>
            <w:tcW w:w="1133" w:type="pct"/>
            <w:noWrap/>
            <w:vAlign w:val="center"/>
          </w:tcPr>
          <w:p w14:paraId="555E57CC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Франция</w:t>
            </w:r>
          </w:p>
        </w:tc>
        <w:tc>
          <w:tcPr>
            <w:tcW w:w="775" w:type="pct"/>
            <w:noWrap/>
            <w:vAlign w:val="center"/>
          </w:tcPr>
          <w:p w14:paraId="1F5B1BDB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NGO-90679</w:t>
            </w:r>
          </w:p>
        </w:tc>
      </w:tr>
      <w:tr w:rsidR="005656C9" w:rsidRPr="00AA48D9" w14:paraId="1158C2DF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4578D029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26C1D">
              <w:rPr>
                <w:rFonts w:ascii="Arial" w:hAnsi="Arial"/>
                <w:b/>
                <w:sz w:val="20"/>
                <w:lang w:val="fr-FR"/>
              </w:rPr>
              <w:t xml:space="preserve">Association Nationale du Patrimoine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fr-FR"/>
              </w:rPr>
              <w:t>Tourath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fr-FR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fr-FR"/>
              </w:rPr>
              <w:t>Djazairna</w:t>
            </w:r>
            <w:proofErr w:type="spellEnd"/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46D69EEB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Алжир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329B7809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NGO-90628</w:t>
            </w:r>
          </w:p>
        </w:tc>
      </w:tr>
      <w:tr w:rsidR="005656C9" w:rsidRPr="00AA48D9" w14:paraId="3BEDD9F8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15389113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Association Les Savoir-faire du Cognac - ASFC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Cognac Heritage and Know-How Association</w:t>
            </w:r>
          </w:p>
        </w:tc>
        <w:tc>
          <w:tcPr>
            <w:tcW w:w="1133" w:type="pct"/>
            <w:noWrap/>
            <w:vAlign w:val="center"/>
            <w:hideMark/>
          </w:tcPr>
          <w:p w14:paraId="362231E3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Франция</w:t>
            </w:r>
          </w:p>
        </w:tc>
        <w:tc>
          <w:tcPr>
            <w:tcW w:w="775" w:type="pct"/>
            <w:noWrap/>
            <w:vAlign w:val="center"/>
            <w:hideMark/>
          </w:tcPr>
          <w:p w14:paraId="58E09CD7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NGO-90635</w:t>
            </w:r>
          </w:p>
        </w:tc>
      </w:tr>
      <w:tr w:rsidR="005656C9" w:rsidRPr="00AA48D9" w14:paraId="4B13636C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2ECFCE38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Associazione Polo Poschiavo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75270CF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Швейцария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762A2D29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NGO-90631</w:t>
            </w:r>
          </w:p>
        </w:tc>
      </w:tr>
      <w:tr w:rsidR="005656C9" w:rsidRPr="00AA48D9" w14:paraId="363B20F3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41DA04DE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>Babatunde Development And Empowerment Initiative - BDEI</w:t>
            </w:r>
          </w:p>
        </w:tc>
        <w:tc>
          <w:tcPr>
            <w:tcW w:w="1133" w:type="pct"/>
            <w:noWrap/>
            <w:vAlign w:val="center"/>
            <w:hideMark/>
          </w:tcPr>
          <w:p w14:paraId="63F9A24C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Нигерия</w:t>
            </w:r>
          </w:p>
        </w:tc>
        <w:tc>
          <w:tcPr>
            <w:tcW w:w="775" w:type="pct"/>
            <w:noWrap/>
            <w:vAlign w:val="center"/>
            <w:hideMark/>
          </w:tcPr>
          <w:p w14:paraId="7AD41BCA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NGO-90608</w:t>
            </w:r>
          </w:p>
        </w:tc>
      </w:tr>
      <w:tr w:rsidR="005656C9" w:rsidRPr="00AA48D9" w14:paraId="5F43470B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156BDAD4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Cenan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Eğitim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,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Kültür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ve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Sağlık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Vakfı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Cenan Foundation for Education, Culture and Health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65B6B49B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2D3B83FD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NGO-90653</w:t>
            </w:r>
          </w:p>
        </w:tc>
      </w:tr>
      <w:tr w:rsidR="005656C9" w:rsidRPr="00AA48D9" w14:paraId="68976366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33094B70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26C1D">
              <w:rPr>
                <w:rFonts w:ascii="Arial" w:hAnsi="Arial"/>
                <w:b/>
                <w:sz w:val="20"/>
                <w:lang w:val="fr-FR"/>
              </w:rPr>
              <w:t>Centre régional d’études des populations alpines - CREPA</w:t>
            </w:r>
          </w:p>
        </w:tc>
        <w:tc>
          <w:tcPr>
            <w:tcW w:w="1133" w:type="pct"/>
            <w:noWrap/>
            <w:vAlign w:val="center"/>
            <w:hideMark/>
          </w:tcPr>
          <w:p w14:paraId="069FC462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Швейцария</w:t>
            </w:r>
          </w:p>
        </w:tc>
        <w:tc>
          <w:tcPr>
            <w:tcW w:w="775" w:type="pct"/>
            <w:noWrap/>
            <w:vAlign w:val="center"/>
            <w:hideMark/>
          </w:tcPr>
          <w:p w14:paraId="3A3D9C06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NGO-90618</w:t>
            </w:r>
          </w:p>
        </w:tc>
      </w:tr>
      <w:tr w:rsidR="005656C9" w:rsidRPr="00AA48D9" w14:paraId="7148C258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12CD3C5D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Centrum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voor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Muziek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-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en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Podiumerfgoed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– CEMPER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Centre for Music and Performing Arts Heritage – CEMPER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66917C5F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Бельгия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765D3860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NGO-90613</w:t>
            </w:r>
          </w:p>
        </w:tc>
      </w:tr>
      <w:tr w:rsidR="005656C9" w:rsidRPr="00AA48D9" w14:paraId="1DB21AB6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0F549365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>Clean Climate And Environment Campaign Initiative - CCAECI</w:t>
            </w:r>
          </w:p>
        </w:tc>
        <w:tc>
          <w:tcPr>
            <w:tcW w:w="1133" w:type="pct"/>
            <w:noWrap/>
            <w:vAlign w:val="center"/>
            <w:hideMark/>
          </w:tcPr>
          <w:p w14:paraId="3AA7530C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Нигерия</w:t>
            </w:r>
          </w:p>
        </w:tc>
        <w:tc>
          <w:tcPr>
            <w:tcW w:w="775" w:type="pct"/>
            <w:noWrap/>
            <w:vAlign w:val="center"/>
            <w:hideMark/>
          </w:tcPr>
          <w:p w14:paraId="4029C688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NGO-90599</w:t>
            </w:r>
          </w:p>
        </w:tc>
      </w:tr>
      <w:tr w:rsidR="005656C9" w:rsidRPr="00AA48D9" w14:paraId="36DD1E8C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54B780A6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Cultural Association Baizara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1ECF338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Испания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0DF97A7F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NGO-90657</w:t>
            </w:r>
          </w:p>
        </w:tc>
      </w:tr>
      <w:tr w:rsidR="005656C9" w:rsidRPr="00AA48D9" w14:paraId="6F64B844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5BE9B47A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Doğu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Kültür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ve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Sanat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Merkezi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Derneği - DKSM 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Eastern Culture and Art Center Association - DKSM</w:t>
            </w:r>
          </w:p>
        </w:tc>
        <w:tc>
          <w:tcPr>
            <w:tcW w:w="1133" w:type="pct"/>
            <w:noWrap/>
            <w:vAlign w:val="center"/>
            <w:hideMark/>
          </w:tcPr>
          <w:p w14:paraId="2FBDA16F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noWrap/>
            <w:vAlign w:val="center"/>
            <w:hideMark/>
          </w:tcPr>
          <w:p w14:paraId="18E6F57F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NGO-90661</w:t>
            </w:r>
          </w:p>
        </w:tc>
      </w:tr>
      <w:tr w:rsidR="005656C9" w:rsidRPr="00AA48D9" w14:paraId="3324AA9F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05FDEC36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lastRenderedPageBreak/>
              <w:t xml:space="preserve">Dünya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Etnospor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Konfederasyonu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- DEK 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World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A26C1D">
              <w:rPr>
                <w:rFonts w:ascii="Arial" w:hAnsi="Arial"/>
                <w:sz w:val="20"/>
                <w:lang w:val="en-GB"/>
              </w:rPr>
              <w:t>Ethnosport Confederation - WEC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795B8F7B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489C66E8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NGO-90659</w:t>
            </w:r>
          </w:p>
        </w:tc>
      </w:tr>
      <w:tr w:rsidR="005656C9" w:rsidRPr="00AA48D9" w14:paraId="195479A1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20B27586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Folkdansringen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Dalarna -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Polskmärkesuppdansningen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Folk dance society in Dalarna County - The Polska Medal &amp; Reward</w:t>
            </w:r>
          </w:p>
        </w:tc>
        <w:tc>
          <w:tcPr>
            <w:tcW w:w="1133" w:type="pct"/>
            <w:noWrap/>
            <w:vAlign w:val="center"/>
            <w:hideMark/>
          </w:tcPr>
          <w:p w14:paraId="79534E66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Швеция</w:t>
            </w:r>
          </w:p>
        </w:tc>
        <w:tc>
          <w:tcPr>
            <w:tcW w:w="775" w:type="pct"/>
            <w:noWrap/>
            <w:vAlign w:val="center"/>
            <w:hideMark/>
          </w:tcPr>
          <w:p w14:paraId="0BF38C27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NGO-90633</w:t>
            </w:r>
          </w:p>
        </w:tc>
      </w:tr>
      <w:tr w:rsidR="005656C9" w:rsidRPr="00AA48D9" w14:paraId="39DA37F7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58CAD793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A26C1D">
              <w:rPr>
                <w:rFonts w:ascii="Arial" w:hAnsi="Arial"/>
                <w:b/>
                <w:sz w:val="20"/>
                <w:lang w:val="fr-FR"/>
              </w:rPr>
              <w:t>Folklor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fr-FR"/>
              </w:rPr>
              <w:t xml:space="preserve"> Kurumu Derneği </w:t>
            </w:r>
            <w:r w:rsidRPr="00A26C1D">
              <w:rPr>
                <w:rFonts w:ascii="Arial" w:hAnsi="Arial"/>
                <w:b/>
                <w:sz w:val="20"/>
                <w:lang w:val="fr-FR"/>
              </w:rPr>
              <w:br/>
            </w:r>
            <w:r w:rsidRPr="00A26C1D">
              <w:rPr>
                <w:rFonts w:ascii="Arial" w:hAnsi="Arial"/>
                <w:sz w:val="20"/>
                <w:lang w:val="fr-FR"/>
              </w:rPr>
              <w:t>Folklore Institution Association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78BD042E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06565A7E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NGO-90643</w:t>
            </w:r>
          </w:p>
        </w:tc>
      </w:tr>
      <w:tr w:rsidR="005656C9" w:rsidRPr="00AA48D9" w14:paraId="6E079AAC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03A1CE4F" w14:textId="7BD5D3FD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26C1D">
              <w:rPr>
                <w:rFonts w:ascii="Arial" w:hAnsi="Arial"/>
                <w:b/>
                <w:sz w:val="20"/>
                <w:lang w:val="fr-FR"/>
              </w:rPr>
              <w:t xml:space="preserve">Groupe </w:t>
            </w:r>
            <w:r w:rsidRPr="00A26C1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d'Etudes sur l'Histoire </w:t>
            </w:r>
            <w:r w:rsidRPr="00A26C1D">
              <w:rPr>
                <w:rFonts w:ascii="Arial" w:hAnsi="Arial"/>
                <w:b/>
                <w:sz w:val="20"/>
                <w:lang w:val="fr-FR"/>
              </w:rPr>
              <w:t>des Mathématiques à Béjaïa - GEHIMAB</w:t>
            </w:r>
          </w:p>
        </w:tc>
        <w:tc>
          <w:tcPr>
            <w:tcW w:w="1133" w:type="pct"/>
            <w:noWrap/>
            <w:vAlign w:val="center"/>
            <w:hideMark/>
          </w:tcPr>
          <w:p w14:paraId="71745C6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Алжир</w:t>
            </w:r>
          </w:p>
        </w:tc>
        <w:tc>
          <w:tcPr>
            <w:tcW w:w="775" w:type="pct"/>
            <w:noWrap/>
            <w:vAlign w:val="center"/>
            <w:hideMark/>
          </w:tcPr>
          <w:p w14:paraId="180AB67D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NGO-90621</w:t>
            </w:r>
          </w:p>
        </w:tc>
      </w:tr>
      <w:tr w:rsidR="005656C9" w:rsidRPr="00AA48D9" w14:paraId="743548B2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34C59A57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Histories vzw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1BBEDE24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Бельгия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045CB917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NGO-90634</w:t>
            </w:r>
          </w:p>
        </w:tc>
      </w:tr>
      <w:tr w:rsidR="005656C9" w:rsidRPr="00AA48D9" w14:paraId="7083924B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3B32CE59" w14:textId="77777777" w:rsidR="005656C9" w:rsidRPr="00946940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46940">
              <w:rPr>
                <w:rFonts w:ascii="Arial" w:hAnsi="Arial"/>
                <w:b/>
                <w:sz w:val="20"/>
                <w:lang w:val="en-GB"/>
              </w:rPr>
              <w:t>Hrvatsko</w:t>
            </w:r>
            <w:proofErr w:type="spellEnd"/>
            <w:r w:rsidRPr="00946940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946940">
              <w:rPr>
                <w:rFonts w:ascii="Arial" w:hAnsi="Arial"/>
                <w:b/>
                <w:sz w:val="20"/>
                <w:lang w:val="en-GB"/>
              </w:rPr>
              <w:t>kulturno-umjetničko</w:t>
            </w:r>
            <w:proofErr w:type="spellEnd"/>
            <w:r w:rsidRPr="00946940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946940">
              <w:rPr>
                <w:rFonts w:ascii="Arial" w:hAnsi="Arial"/>
                <w:b/>
                <w:sz w:val="20"/>
                <w:lang w:val="en-GB"/>
              </w:rPr>
              <w:t>društvo</w:t>
            </w:r>
            <w:proofErr w:type="spellEnd"/>
            <w:r w:rsidRPr="00946940">
              <w:rPr>
                <w:rFonts w:ascii="Arial" w:hAnsi="Arial"/>
                <w:b/>
                <w:sz w:val="20"/>
                <w:lang w:val="en-GB"/>
              </w:rPr>
              <w:t xml:space="preserve"> "</w:t>
            </w:r>
            <w:proofErr w:type="spellStart"/>
            <w:r w:rsidRPr="00946940">
              <w:rPr>
                <w:rFonts w:ascii="Arial" w:hAnsi="Arial"/>
                <w:b/>
                <w:sz w:val="20"/>
                <w:lang w:val="en-GB"/>
              </w:rPr>
              <w:t>Rodoč</w:t>
            </w:r>
            <w:proofErr w:type="spellEnd"/>
            <w:r w:rsidRPr="00946940">
              <w:rPr>
                <w:rFonts w:ascii="Arial" w:hAnsi="Arial"/>
                <w:b/>
                <w:sz w:val="20"/>
                <w:lang w:val="en-GB"/>
              </w:rPr>
              <w:t xml:space="preserve">" </w:t>
            </w:r>
            <w:r w:rsidRPr="00946940">
              <w:rPr>
                <w:rFonts w:ascii="Arial" w:hAnsi="Arial"/>
                <w:b/>
                <w:sz w:val="20"/>
                <w:lang w:val="en-GB"/>
              </w:rPr>
              <w:br/>
            </w:r>
            <w:r w:rsidRPr="00946940">
              <w:rPr>
                <w:rFonts w:ascii="Arial" w:hAnsi="Arial"/>
                <w:sz w:val="20"/>
                <w:lang w:val="en-GB"/>
              </w:rPr>
              <w:t>Croatian Cultural and Artistic Society - HKUD "</w:t>
            </w:r>
            <w:proofErr w:type="spellStart"/>
            <w:r w:rsidRPr="00946940">
              <w:rPr>
                <w:rFonts w:ascii="Arial" w:hAnsi="Arial"/>
                <w:sz w:val="20"/>
                <w:lang w:val="en-GB"/>
              </w:rPr>
              <w:t>Rodoč</w:t>
            </w:r>
            <w:proofErr w:type="spellEnd"/>
            <w:r w:rsidRPr="00946940">
              <w:rPr>
                <w:rFonts w:ascii="Arial" w:hAnsi="Arial"/>
                <w:sz w:val="20"/>
                <w:lang w:val="en-GB"/>
              </w:rPr>
              <w:t>"</w:t>
            </w:r>
          </w:p>
        </w:tc>
        <w:tc>
          <w:tcPr>
            <w:tcW w:w="1133" w:type="pct"/>
            <w:noWrap/>
            <w:vAlign w:val="center"/>
            <w:hideMark/>
          </w:tcPr>
          <w:p w14:paraId="27230593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Босния и Герцеговина</w:t>
            </w:r>
          </w:p>
        </w:tc>
        <w:tc>
          <w:tcPr>
            <w:tcW w:w="775" w:type="pct"/>
            <w:noWrap/>
            <w:vAlign w:val="center"/>
            <w:hideMark/>
          </w:tcPr>
          <w:p w14:paraId="059998B2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NGO-90638</w:t>
            </w:r>
          </w:p>
        </w:tc>
      </w:tr>
      <w:tr w:rsidR="005656C9" w:rsidRPr="00AA48D9" w14:paraId="5F787862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029038D7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Intangible Heritage Association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71E151AA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Саудовская Аравия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6C06E47D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NGO-90610</w:t>
            </w:r>
          </w:p>
        </w:tc>
      </w:tr>
      <w:tr w:rsidR="005656C9" w:rsidRPr="00AA48D9" w14:paraId="0A313CC4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2BAF33E0" w14:textId="77777777" w:rsidR="005656C9" w:rsidRPr="00A83DF5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İstanbul Kültürlerarası Sanat Diyalogları Derneği - IKASD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Istanbul Intercultural Art Dialogues Association - IKASD</w:t>
            </w:r>
          </w:p>
        </w:tc>
        <w:tc>
          <w:tcPr>
            <w:tcW w:w="1133" w:type="pct"/>
            <w:noWrap/>
            <w:vAlign w:val="center"/>
            <w:hideMark/>
          </w:tcPr>
          <w:p w14:paraId="7B65DDE8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noWrap/>
            <w:vAlign w:val="center"/>
            <w:hideMark/>
          </w:tcPr>
          <w:p w14:paraId="0DFEFCB4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NGO-90641</w:t>
            </w:r>
          </w:p>
        </w:tc>
      </w:tr>
      <w:tr w:rsidR="005656C9" w:rsidRPr="00AA48D9" w14:paraId="73D0CD20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1DF4E799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Itinérance Méditerranée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57659B7E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Франция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700B127A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NGO-90650</w:t>
            </w:r>
          </w:p>
        </w:tc>
      </w:tr>
      <w:tr w:rsidR="005656C9" w:rsidRPr="00AA48D9" w14:paraId="6A9A3F9F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2C5A39BD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KADAM</w:t>
            </w:r>
          </w:p>
        </w:tc>
        <w:tc>
          <w:tcPr>
            <w:tcW w:w="1133" w:type="pct"/>
            <w:noWrap/>
            <w:vAlign w:val="center"/>
            <w:hideMark/>
          </w:tcPr>
          <w:p w14:paraId="1C65DDE8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Индия</w:t>
            </w:r>
          </w:p>
        </w:tc>
        <w:tc>
          <w:tcPr>
            <w:tcW w:w="775" w:type="pct"/>
            <w:noWrap/>
            <w:vAlign w:val="center"/>
            <w:hideMark/>
          </w:tcPr>
          <w:p w14:paraId="0AFEC362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NGO-90602</w:t>
            </w:r>
          </w:p>
        </w:tc>
      </w:tr>
      <w:tr w:rsidR="005656C9" w:rsidRPr="00AA48D9" w14:paraId="4C9A067B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3A87995E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Karagöz Derneği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Karagöz Association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7F13867C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2B1B2CFF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NGO-90677</w:t>
            </w:r>
          </w:p>
        </w:tc>
      </w:tr>
      <w:tr w:rsidR="005656C9" w:rsidRPr="00AA48D9" w14:paraId="4F1A46C7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4BF78056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Kattaikkuttu Sangam</w:t>
            </w:r>
          </w:p>
        </w:tc>
        <w:tc>
          <w:tcPr>
            <w:tcW w:w="1133" w:type="pct"/>
            <w:noWrap/>
            <w:vAlign w:val="center"/>
            <w:hideMark/>
          </w:tcPr>
          <w:p w14:paraId="71035368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Индия</w:t>
            </w:r>
          </w:p>
        </w:tc>
        <w:tc>
          <w:tcPr>
            <w:tcW w:w="775" w:type="pct"/>
            <w:noWrap/>
            <w:vAlign w:val="center"/>
            <w:hideMark/>
          </w:tcPr>
          <w:p w14:paraId="27A3B9C3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NGO-90612</w:t>
            </w:r>
          </w:p>
        </w:tc>
      </w:tr>
      <w:tr w:rsidR="005656C9" w:rsidRPr="00AA48D9" w14:paraId="14D5BD54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3E1A316F" w14:textId="77777777" w:rsidR="005656C9" w:rsidRPr="00946940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940">
              <w:rPr>
                <w:rFonts w:ascii="Arial" w:hAnsi="Arial"/>
                <w:b/>
                <w:sz w:val="20"/>
                <w:lang w:val="en-GB"/>
              </w:rPr>
              <w:t>Kgosi Sechele I Museum Trust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0DE753CE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Ботсвана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7E86CF90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NGO-90647</w:t>
            </w:r>
          </w:p>
        </w:tc>
      </w:tr>
      <w:tr w:rsidR="005656C9" w:rsidRPr="00AA48D9" w14:paraId="367C337C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66CCF649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26C1D">
              <w:rPr>
                <w:rFonts w:ascii="Arial" w:hAnsi="Arial"/>
                <w:b/>
                <w:sz w:val="20"/>
                <w:lang w:val="fr-FR"/>
              </w:rPr>
              <w:t>Les Gardiens du Patrimoine Culturel de Domoni - GPCD</w:t>
            </w:r>
          </w:p>
        </w:tc>
        <w:tc>
          <w:tcPr>
            <w:tcW w:w="1133" w:type="pct"/>
            <w:noWrap/>
            <w:vAlign w:val="center"/>
            <w:hideMark/>
          </w:tcPr>
          <w:p w14:paraId="60114641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Коморы</w:t>
            </w:r>
          </w:p>
        </w:tc>
        <w:tc>
          <w:tcPr>
            <w:tcW w:w="775" w:type="pct"/>
            <w:noWrap/>
            <w:vAlign w:val="center"/>
            <w:hideMark/>
          </w:tcPr>
          <w:p w14:paraId="11C10F7F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NGO-90676</w:t>
            </w:r>
          </w:p>
        </w:tc>
      </w:tr>
      <w:tr w:rsidR="005656C9" w:rsidRPr="00AA48D9" w14:paraId="1B6E36DC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55CFE64D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Lietuvos antropologų asociacija - LAA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Lithuanian Anthropological Association - LAA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23C2F20A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Литва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08CC29DA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NGO-90655</w:t>
            </w:r>
          </w:p>
        </w:tc>
      </w:tr>
      <w:tr w:rsidR="005656C9" w:rsidRPr="00AA48D9" w14:paraId="60A9A5D6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6E3B6545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Memoar</w:t>
            </w:r>
          </w:p>
        </w:tc>
        <w:tc>
          <w:tcPr>
            <w:tcW w:w="1133" w:type="pct"/>
            <w:noWrap/>
            <w:vAlign w:val="center"/>
            <w:hideMark/>
          </w:tcPr>
          <w:p w14:paraId="77A8EF9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Норвегия</w:t>
            </w:r>
          </w:p>
        </w:tc>
        <w:tc>
          <w:tcPr>
            <w:tcW w:w="775" w:type="pct"/>
            <w:noWrap/>
            <w:vAlign w:val="center"/>
            <w:hideMark/>
          </w:tcPr>
          <w:p w14:paraId="26FD5B70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NGO-90652</w:t>
            </w:r>
          </w:p>
        </w:tc>
      </w:tr>
      <w:tr w:rsidR="005656C9" w:rsidRPr="00AA48D9" w14:paraId="63A85159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674BEDE3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Mim Sanat Derneği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Mim Art Association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66F213E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6FF34B9A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NGO-90654</w:t>
            </w:r>
          </w:p>
        </w:tc>
      </w:tr>
      <w:tr w:rsidR="005656C9" w:rsidRPr="00AA48D9" w14:paraId="222C9A12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4B45ADA8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National Association of Garinagu Teachers - Garinagu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Dundei</w:t>
            </w:r>
            <w:proofErr w:type="spellEnd"/>
          </w:p>
        </w:tc>
        <w:tc>
          <w:tcPr>
            <w:tcW w:w="1133" w:type="pct"/>
            <w:noWrap/>
            <w:vAlign w:val="center"/>
            <w:hideMark/>
          </w:tcPr>
          <w:p w14:paraId="4B23D634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Гватемала</w:t>
            </w:r>
          </w:p>
        </w:tc>
        <w:tc>
          <w:tcPr>
            <w:tcW w:w="775" w:type="pct"/>
            <w:noWrap/>
            <w:vAlign w:val="center"/>
            <w:hideMark/>
          </w:tcPr>
          <w:p w14:paraId="38DD705E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NGO-90603</w:t>
            </w:r>
          </w:p>
        </w:tc>
      </w:tr>
      <w:tr w:rsidR="005656C9" w:rsidRPr="00AA48D9" w14:paraId="259F411A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241F68CD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Norsk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folkedraktforum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Forum for National Costumes in Norway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64044627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Норвегия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13044387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NGO-90598</w:t>
            </w:r>
          </w:p>
        </w:tc>
      </w:tr>
      <w:tr w:rsidR="005656C9" w:rsidRPr="00AA48D9" w14:paraId="5062F083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6991389E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ONG Génération Ekang - GEK</w:t>
            </w:r>
          </w:p>
        </w:tc>
        <w:tc>
          <w:tcPr>
            <w:tcW w:w="1133" w:type="pct"/>
            <w:noWrap/>
            <w:vAlign w:val="center"/>
            <w:hideMark/>
          </w:tcPr>
          <w:p w14:paraId="0335EBC1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Габон</w:t>
            </w:r>
          </w:p>
        </w:tc>
        <w:tc>
          <w:tcPr>
            <w:tcW w:w="775" w:type="pct"/>
            <w:noWrap/>
            <w:vAlign w:val="center"/>
            <w:hideMark/>
          </w:tcPr>
          <w:p w14:paraId="46A2033C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NGO-90649</w:t>
            </w:r>
          </w:p>
        </w:tc>
      </w:tr>
      <w:tr w:rsidR="005656C9" w:rsidRPr="00AA48D9" w14:paraId="1738CD1F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7EB1A8A7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Persatuan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Penggiat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Seni Dan Kebudayaan Malaysia Kuching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lastRenderedPageBreak/>
              <w:t>Malaysia Arts And Cultural Practitioners Association Kuching – MACPA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00A0116C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lastRenderedPageBreak/>
              <w:t>Малайзия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17C90E5D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NGO-90669</w:t>
            </w:r>
          </w:p>
        </w:tc>
      </w:tr>
      <w:tr w:rsidR="005656C9" w:rsidRPr="00AA48D9" w14:paraId="10CFFB3E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7921DA3D" w14:textId="77777777" w:rsidR="005656C9" w:rsidRPr="00946940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46940">
              <w:rPr>
                <w:rFonts w:ascii="Arial" w:hAnsi="Arial"/>
                <w:b/>
                <w:sz w:val="20"/>
                <w:lang w:val="en-GB"/>
              </w:rPr>
              <w:t>Persatuan</w:t>
            </w:r>
            <w:proofErr w:type="spellEnd"/>
            <w:r w:rsidRPr="00946940">
              <w:rPr>
                <w:rFonts w:ascii="Arial" w:hAnsi="Arial"/>
                <w:b/>
                <w:sz w:val="20"/>
                <w:lang w:val="en-GB"/>
              </w:rPr>
              <w:t xml:space="preserve"> Peranakan Baba Nyonya Malaysia </w:t>
            </w:r>
            <w:r w:rsidRPr="00946940">
              <w:rPr>
                <w:rFonts w:ascii="Arial" w:hAnsi="Arial"/>
                <w:b/>
                <w:sz w:val="20"/>
                <w:lang w:val="en-GB"/>
              </w:rPr>
              <w:br/>
            </w:r>
            <w:r w:rsidRPr="00946940">
              <w:rPr>
                <w:rFonts w:ascii="Arial" w:hAnsi="Arial"/>
                <w:sz w:val="20"/>
                <w:lang w:val="en-GB"/>
              </w:rPr>
              <w:t>Baba Nyonya Association of Malaysia</w:t>
            </w:r>
          </w:p>
        </w:tc>
        <w:tc>
          <w:tcPr>
            <w:tcW w:w="1133" w:type="pct"/>
            <w:noWrap/>
            <w:vAlign w:val="center"/>
            <w:hideMark/>
          </w:tcPr>
          <w:p w14:paraId="22BE52A8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Малайзия</w:t>
            </w:r>
          </w:p>
        </w:tc>
        <w:tc>
          <w:tcPr>
            <w:tcW w:w="775" w:type="pct"/>
            <w:noWrap/>
            <w:vAlign w:val="center"/>
            <w:hideMark/>
          </w:tcPr>
          <w:p w14:paraId="7A75B5E5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NGO-90651</w:t>
            </w:r>
          </w:p>
        </w:tc>
      </w:tr>
      <w:tr w:rsidR="005656C9" w:rsidRPr="00AA48D9" w14:paraId="0F2EA18B" w14:textId="77777777" w:rsidTr="00A26C1D">
        <w:trPr>
          <w:trHeight w:val="489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15E6467A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Pinelands Creative Workshop - PCW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3E2A7EB4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Барбадос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7F4B84B2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NGO-90607</w:t>
            </w:r>
          </w:p>
        </w:tc>
      </w:tr>
      <w:tr w:rsidR="005656C9" w:rsidRPr="00AA48D9" w14:paraId="5E868842" w14:textId="77777777" w:rsidTr="00DD441D">
        <w:trPr>
          <w:trHeight w:val="290"/>
        </w:trPr>
        <w:tc>
          <w:tcPr>
            <w:tcW w:w="3092" w:type="pct"/>
            <w:noWrap/>
            <w:vAlign w:val="center"/>
          </w:tcPr>
          <w:p w14:paraId="0AF81529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Poetawango Spoken Word Poetry</w:t>
            </w:r>
          </w:p>
        </w:tc>
        <w:tc>
          <w:tcPr>
            <w:tcW w:w="1133" w:type="pct"/>
            <w:noWrap/>
            <w:vAlign w:val="center"/>
          </w:tcPr>
          <w:p w14:paraId="6A507A31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Ботсвана</w:t>
            </w:r>
          </w:p>
        </w:tc>
        <w:tc>
          <w:tcPr>
            <w:tcW w:w="775" w:type="pct"/>
            <w:noWrap/>
            <w:vAlign w:val="center"/>
          </w:tcPr>
          <w:p w14:paraId="2C6CA1C3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NGO-90646</w:t>
            </w:r>
          </w:p>
        </w:tc>
      </w:tr>
      <w:tr w:rsidR="005656C9" w:rsidRPr="00AA48D9" w14:paraId="7C8B5438" w14:textId="77777777" w:rsidTr="00A26C1D">
        <w:trPr>
          <w:trHeight w:val="453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6A2644AF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Proyecto Impacto Consultores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5925DF50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Мексика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1CF4F5ED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NGO-90663</w:t>
            </w:r>
          </w:p>
        </w:tc>
      </w:tr>
      <w:tr w:rsidR="005656C9" w:rsidRPr="00AA48D9" w14:paraId="71BD7CE8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082AE15B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A26C1D">
              <w:rPr>
                <w:rFonts w:ascii="Arial" w:hAnsi="Arial"/>
                <w:b/>
                <w:sz w:val="20"/>
                <w:lang w:val="fr-FR"/>
              </w:rPr>
              <w:t>Sevenadurioù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fr-FR"/>
              </w:rPr>
              <w:t xml:space="preserve"> Breizh </w:t>
            </w:r>
            <w:r w:rsidRPr="00A26C1D">
              <w:rPr>
                <w:rFonts w:ascii="Arial" w:hAnsi="Arial"/>
                <w:b/>
                <w:sz w:val="20"/>
                <w:lang w:val="fr-FR"/>
              </w:rPr>
              <w:br/>
            </w:r>
            <w:r w:rsidRPr="00A26C1D">
              <w:rPr>
                <w:rFonts w:ascii="Arial" w:hAnsi="Arial"/>
                <w:sz w:val="20"/>
                <w:lang w:val="fr-FR"/>
              </w:rPr>
              <w:t>Bretagne Culture Diversité - BCD</w:t>
            </w:r>
          </w:p>
        </w:tc>
        <w:tc>
          <w:tcPr>
            <w:tcW w:w="1133" w:type="pct"/>
            <w:noWrap/>
            <w:vAlign w:val="center"/>
            <w:hideMark/>
          </w:tcPr>
          <w:p w14:paraId="70142105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Франция</w:t>
            </w:r>
          </w:p>
        </w:tc>
        <w:tc>
          <w:tcPr>
            <w:tcW w:w="775" w:type="pct"/>
            <w:noWrap/>
            <w:vAlign w:val="center"/>
            <w:hideMark/>
          </w:tcPr>
          <w:p w14:paraId="4F43A92A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NGO-90614</w:t>
            </w:r>
          </w:p>
        </w:tc>
      </w:tr>
      <w:tr w:rsidR="005656C9" w:rsidRPr="00AA48D9" w14:paraId="343ADEF2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0D6DC985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Slow Food Bergen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47D8A2E5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Норвегия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5CEE1224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NGO-90660</w:t>
            </w:r>
          </w:p>
        </w:tc>
      </w:tr>
      <w:tr w:rsidR="005656C9" w:rsidRPr="00AA48D9" w14:paraId="22C03A0A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5187CB05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Stichting Caravane Earth</w:t>
            </w:r>
          </w:p>
        </w:tc>
        <w:tc>
          <w:tcPr>
            <w:tcW w:w="1133" w:type="pct"/>
            <w:noWrap/>
            <w:vAlign w:val="center"/>
            <w:hideMark/>
          </w:tcPr>
          <w:p w14:paraId="6184683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Нидерланды (Королевство)</w:t>
            </w:r>
          </w:p>
        </w:tc>
        <w:tc>
          <w:tcPr>
            <w:tcW w:w="775" w:type="pct"/>
            <w:noWrap/>
            <w:vAlign w:val="center"/>
            <w:hideMark/>
          </w:tcPr>
          <w:p w14:paraId="2F9FDBCE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NGO-90601</w:t>
            </w:r>
          </w:p>
        </w:tc>
      </w:tr>
      <w:tr w:rsidR="005656C9" w:rsidRPr="00AA48D9" w14:paraId="29EC50C8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437F610F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Stiftelsen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Länsmuseet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Västernorrland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proofErr w:type="spellStart"/>
            <w:r w:rsidRPr="00A26C1D">
              <w:rPr>
                <w:rFonts w:ascii="Arial" w:hAnsi="Arial"/>
                <w:sz w:val="20"/>
                <w:lang w:val="en-GB"/>
              </w:rPr>
              <w:t>Västernorrland</w:t>
            </w:r>
            <w:proofErr w:type="spellEnd"/>
            <w:r w:rsidRPr="00A26C1D">
              <w:rPr>
                <w:rFonts w:ascii="Arial" w:hAnsi="Arial"/>
                <w:sz w:val="20"/>
                <w:lang w:val="en-GB"/>
              </w:rPr>
              <w:t xml:space="preserve"> County Museum Foundation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08BB449C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Швеция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1343C514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NGO-90626</w:t>
            </w:r>
          </w:p>
        </w:tc>
      </w:tr>
      <w:tr w:rsidR="005656C9" w:rsidRPr="00AA48D9" w14:paraId="118B7106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69E3CB31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Sylvia Lanka Foundation - SLF</w:t>
            </w:r>
          </w:p>
        </w:tc>
        <w:tc>
          <w:tcPr>
            <w:tcW w:w="1133" w:type="pct"/>
            <w:noWrap/>
            <w:vAlign w:val="center"/>
            <w:hideMark/>
          </w:tcPr>
          <w:p w14:paraId="62F6FC07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Соединенное Королевство Великобритании и Северной Ирландии</w:t>
            </w:r>
          </w:p>
        </w:tc>
        <w:tc>
          <w:tcPr>
            <w:tcW w:w="775" w:type="pct"/>
            <w:noWrap/>
            <w:vAlign w:val="center"/>
            <w:hideMark/>
          </w:tcPr>
          <w:p w14:paraId="382F8198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NGO-90605</w:t>
            </w:r>
          </w:p>
        </w:tc>
      </w:tr>
      <w:tr w:rsidR="005656C9" w:rsidRPr="00AA48D9" w14:paraId="42FBDFE3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2D7BADA0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Théâtre des Arts Vivants - TAV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Living Arts Theatre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7CC0A0AC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Франция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04E0E69E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NGO-90680</w:t>
            </w:r>
          </w:p>
        </w:tc>
      </w:tr>
      <w:tr w:rsidR="005656C9" w:rsidRPr="00AA48D9" w14:paraId="4B7631C6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53C8F2E9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Trung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tâm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Nghiên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cứu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và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Phát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huy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giá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trị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di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sản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văn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hóa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Center for Research and Promotion of Cultural Heritage - CCH</w:t>
            </w:r>
          </w:p>
        </w:tc>
        <w:tc>
          <w:tcPr>
            <w:tcW w:w="1133" w:type="pct"/>
            <w:noWrap/>
            <w:vAlign w:val="center"/>
            <w:hideMark/>
          </w:tcPr>
          <w:p w14:paraId="5F1BC09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Вьетнам</w:t>
            </w:r>
          </w:p>
        </w:tc>
        <w:tc>
          <w:tcPr>
            <w:tcW w:w="775" w:type="pct"/>
            <w:noWrap/>
            <w:vAlign w:val="center"/>
            <w:hideMark/>
          </w:tcPr>
          <w:p w14:paraId="46B93D6C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NGO-90666</w:t>
            </w:r>
          </w:p>
        </w:tc>
      </w:tr>
      <w:tr w:rsidR="005656C9" w:rsidRPr="00AA48D9" w14:paraId="435577BC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</w:tcPr>
          <w:p w14:paraId="10605518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Udruženje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za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istraživanje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,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očuvanje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i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prezentaciju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tradicije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i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kulturne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baštine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naroda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i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nacionalnih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proofErr w:type="spellStart"/>
            <w:r w:rsidRPr="00A26C1D">
              <w:rPr>
                <w:rFonts w:ascii="Arial" w:hAnsi="Arial"/>
                <w:b/>
                <w:sz w:val="20"/>
                <w:lang w:val="en-GB"/>
              </w:rPr>
              <w:t>manjina</w:t>
            </w:r>
            <w:proofErr w:type="spellEnd"/>
            <w:r w:rsidRPr="00A26C1D">
              <w:rPr>
                <w:rFonts w:ascii="Arial" w:hAnsi="Arial"/>
                <w:b/>
                <w:sz w:val="20"/>
                <w:lang w:val="en-GB"/>
              </w:rPr>
              <w:br/>
            </w:r>
            <w:r w:rsidRPr="00A26C1D">
              <w:rPr>
                <w:rFonts w:ascii="Arial" w:hAnsi="Arial"/>
                <w:sz w:val="20"/>
                <w:lang w:val="en-GB"/>
              </w:rPr>
              <w:t>Association for research, preservation and presentation of the tradition and cultural heritage of the people and national minorities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</w:tcPr>
          <w:p w14:paraId="5AAD3D3A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Босния и Герцеговина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</w:tcPr>
          <w:p w14:paraId="4312CD29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NGO-90636</w:t>
            </w:r>
          </w:p>
        </w:tc>
      </w:tr>
      <w:tr w:rsidR="005656C9" w:rsidRPr="00AA48D9" w14:paraId="71C7B32E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40DF38F8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26C1D">
              <w:rPr>
                <w:rFonts w:ascii="Arial" w:hAnsi="Arial"/>
                <w:b/>
                <w:sz w:val="20"/>
                <w:lang w:val="it-IT"/>
              </w:rPr>
              <w:t xml:space="preserve">UNIMA Türkiye Millî Merkezi </w:t>
            </w:r>
            <w:r w:rsidRPr="00A26C1D">
              <w:rPr>
                <w:rFonts w:ascii="Arial" w:hAnsi="Arial"/>
                <w:b/>
                <w:sz w:val="20"/>
                <w:lang w:val="it-IT"/>
              </w:rPr>
              <w:br/>
            </w:r>
            <w:r w:rsidRPr="00A26C1D">
              <w:rPr>
                <w:rFonts w:ascii="Arial" w:hAnsi="Arial"/>
                <w:sz w:val="20"/>
                <w:lang w:val="it-IT"/>
              </w:rPr>
              <w:t>UNIMA Türkiye National Center</w:t>
            </w:r>
          </w:p>
        </w:tc>
        <w:tc>
          <w:tcPr>
            <w:tcW w:w="1133" w:type="pct"/>
            <w:noWrap/>
            <w:vAlign w:val="center"/>
            <w:hideMark/>
          </w:tcPr>
          <w:p w14:paraId="4E995B7C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noWrap/>
            <w:vAlign w:val="center"/>
            <w:hideMark/>
          </w:tcPr>
          <w:p w14:paraId="6C577245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NGO-90673</w:t>
            </w:r>
          </w:p>
        </w:tc>
      </w:tr>
      <w:tr w:rsidR="005656C9" w:rsidRPr="00AA48D9" w14:paraId="39C06BC1" w14:textId="77777777" w:rsidTr="00DD441D">
        <w:trPr>
          <w:trHeight w:val="290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1531DE21" w14:textId="77777777" w:rsidR="005656C9" w:rsidRPr="00A26C1D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1D">
              <w:rPr>
                <w:rFonts w:ascii="Arial" w:hAnsi="Arial"/>
                <w:b/>
                <w:sz w:val="20"/>
                <w:lang w:val="en-GB"/>
              </w:rPr>
              <w:t>World Intangible Cultural Heritage Protection and Development Foundation, Inc. - WICHPDF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3523598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США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282F4D97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NGO-90685</w:t>
            </w:r>
          </w:p>
        </w:tc>
      </w:tr>
      <w:tr w:rsidR="005656C9" w:rsidRPr="00AA48D9" w14:paraId="75A633E7" w14:textId="77777777" w:rsidTr="00DD441D">
        <w:trPr>
          <w:trHeight w:val="290"/>
        </w:trPr>
        <w:tc>
          <w:tcPr>
            <w:tcW w:w="3092" w:type="pct"/>
            <w:noWrap/>
            <w:vAlign w:val="center"/>
          </w:tcPr>
          <w:p w14:paraId="25F2930C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Yolda Derneği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Yolda Association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1133" w:type="pct"/>
            <w:noWrap/>
            <w:vAlign w:val="center"/>
          </w:tcPr>
          <w:p w14:paraId="65FFF538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Турция</w:t>
            </w:r>
          </w:p>
        </w:tc>
        <w:tc>
          <w:tcPr>
            <w:tcW w:w="775" w:type="pct"/>
            <w:noWrap/>
            <w:vAlign w:val="center"/>
          </w:tcPr>
          <w:p w14:paraId="276F5896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NGO-90622</w:t>
            </w:r>
          </w:p>
        </w:tc>
      </w:tr>
      <w:tr w:rsidR="005656C9" w:rsidRPr="00AA48D9" w14:paraId="521C90CD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042214B7" w14:textId="77777777" w:rsidR="005656C9" w:rsidRPr="00AA48D9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АЛЄМ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ALEM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2A816442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Украина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40EFFF29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NGO-90609</w:t>
            </w:r>
          </w:p>
        </w:tc>
      </w:tr>
      <w:tr w:rsidR="005656C9" w:rsidRPr="00AA48D9" w14:paraId="0A48DBF1" w14:textId="77777777" w:rsidTr="00DD441D">
        <w:trPr>
          <w:trHeight w:val="624"/>
        </w:trPr>
        <w:tc>
          <w:tcPr>
            <w:tcW w:w="3092" w:type="pct"/>
            <w:noWrap/>
            <w:vAlign w:val="center"/>
            <w:hideMark/>
          </w:tcPr>
          <w:p w14:paraId="2CEBD833" w14:textId="77777777" w:rsidR="005656C9" w:rsidRPr="00A83DF5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Մշակույթը հանուն կայուն զարգացման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Culture for Sustainable Development</w:t>
            </w:r>
          </w:p>
        </w:tc>
        <w:tc>
          <w:tcPr>
            <w:tcW w:w="1133" w:type="pct"/>
            <w:noWrap/>
            <w:vAlign w:val="center"/>
            <w:hideMark/>
          </w:tcPr>
          <w:p w14:paraId="6ED1DA31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Армения</w:t>
            </w:r>
          </w:p>
        </w:tc>
        <w:tc>
          <w:tcPr>
            <w:tcW w:w="775" w:type="pct"/>
            <w:noWrap/>
            <w:vAlign w:val="center"/>
            <w:hideMark/>
          </w:tcPr>
          <w:p w14:paraId="03AC7673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NGO-90632</w:t>
            </w:r>
          </w:p>
        </w:tc>
      </w:tr>
      <w:tr w:rsidR="005656C9" w:rsidRPr="00AA48D9" w14:paraId="441DEC16" w14:textId="77777777" w:rsidTr="00DD441D">
        <w:trPr>
          <w:trHeight w:val="624"/>
        </w:trPr>
        <w:tc>
          <w:tcPr>
            <w:tcW w:w="3092" w:type="pct"/>
            <w:shd w:val="clear" w:color="auto" w:fill="DBE5F1" w:themeFill="accent1" w:themeFillTint="33"/>
            <w:noWrap/>
            <w:vAlign w:val="center"/>
            <w:hideMark/>
          </w:tcPr>
          <w:p w14:paraId="282A6EF0" w14:textId="77777777" w:rsidR="005656C9" w:rsidRPr="00A83DF5" w:rsidRDefault="005656C9" w:rsidP="00946940">
            <w:pPr>
              <w:keepNext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Nirmala UI" w:hAnsi="Nirmala UI"/>
                <w:b/>
                <w:sz w:val="20"/>
              </w:rPr>
              <w:lastRenderedPageBreak/>
              <w:t>राजस्थान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Nirmala UI" w:hAnsi="Nirmala UI"/>
                <w:b/>
                <w:sz w:val="20"/>
              </w:rPr>
              <w:t>समग्र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Nirmala UI" w:hAnsi="Nirmala UI"/>
                <w:b/>
                <w:sz w:val="20"/>
              </w:rPr>
              <w:t>कल्याण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Nirmala UI" w:hAnsi="Nirmala UI"/>
                <w:b/>
                <w:sz w:val="20"/>
              </w:rPr>
              <w:t>संस्थान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Rajasthan Samgrah Kalyan Sansthan - RSKS India</w:t>
            </w:r>
          </w:p>
        </w:tc>
        <w:tc>
          <w:tcPr>
            <w:tcW w:w="1133" w:type="pct"/>
            <w:shd w:val="clear" w:color="auto" w:fill="DBE5F1" w:themeFill="accent1" w:themeFillTint="33"/>
            <w:noWrap/>
            <w:vAlign w:val="center"/>
            <w:hideMark/>
          </w:tcPr>
          <w:p w14:paraId="7EEEC47A" w14:textId="77777777" w:rsidR="005656C9" w:rsidRPr="00A26C1D" w:rsidRDefault="005656C9" w:rsidP="00946940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C1D">
              <w:rPr>
                <w:rFonts w:ascii="Arial" w:hAnsi="Arial"/>
                <w:sz w:val="20"/>
              </w:rPr>
              <w:t>Индия</w:t>
            </w:r>
          </w:p>
        </w:tc>
        <w:tc>
          <w:tcPr>
            <w:tcW w:w="775" w:type="pct"/>
            <w:shd w:val="clear" w:color="auto" w:fill="DBE5F1" w:themeFill="accent1" w:themeFillTint="33"/>
            <w:noWrap/>
            <w:vAlign w:val="center"/>
            <w:hideMark/>
          </w:tcPr>
          <w:p w14:paraId="28F46D9D" w14:textId="77777777" w:rsidR="005656C9" w:rsidRPr="00AA48D9" w:rsidRDefault="005656C9" w:rsidP="00946940">
            <w:pPr>
              <w:keepNext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NGO-90625</w:t>
            </w:r>
          </w:p>
        </w:tc>
      </w:tr>
      <w:tr w:rsidR="005656C9" w:rsidRPr="00AA48D9" w14:paraId="34BBA2AE" w14:textId="77777777" w:rsidTr="00DD441D">
        <w:trPr>
          <w:trHeight w:val="290"/>
        </w:trPr>
        <w:tc>
          <w:tcPr>
            <w:tcW w:w="3092" w:type="pct"/>
            <w:noWrap/>
            <w:vAlign w:val="center"/>
            <w:hideMark/>
          </w:tcPr>
          <w:p w14:paraId="4AF6EFD8" w14:textId="77777777" w:rsidR="005656C9" w:rsidRPr="00A83DF5" w:rsidRDefault="005656C9" w:rsidP="00DD441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rtl/>
              </w:rPr>
              <w:t xml:space="preserve">میراث داران فرهنگ هرمزگان </w:t>
            </w:r>
            <w:r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sz w:val="20"/>
              </w:rPr>
              <w:t>Hormozgan Cultural Heritage Custodians</w:t>
            </w:r>
            <w:r>
              <w:rPr>
                <w:rFonts w:ascii="Arial" w:hAnsi="Arial"/>
                <w:sz w:val="20"/>
                <w:rtl/>
              </w:rPr>
              <w:t xml:space="preserve"> </w:t>
            </w:r>
            <w:r>
              <w:rPr>
                <w:rFonts w:ascii="Arial" w:hAnsi="Arial"/>
                <w:sz w:val="20"/>
              </w:rPr>
              <w:t>Association - HCHCA</w:t>
            </w:r>
          </w:p>
        </w:tc>
        <w:tc>
          <w:tcPr>
            <w:tcW w:w="1133" w:type="pct"/>
            <w:noWrap/>
            <w:vAlign w:val="center"/>
            <w:hideMark/>
          </w:tcPr>
          <w:p w14:paraId="7E5C01DD" w14:textId="77777777" w:rsidR="005656C9" w:rsidRPr="00A26C1D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26C1D">
              <w:rPr>
                <w:rFonts w:ascii="Arial" w:hAnsi="Arial"/>
                <w:sz w:val="20"/>
              </w:rPr>
              <w:t>Иран (Исламская Республика)</w:t>
            </w:r>
          </w:p>
        </w:tc>
        <w:tc>
          <w:tcPr>
            <w:tcW w:w="775" w:type="pct"/>
            <w:noWrap/>
            <w:vAlign w:val="center"/>
            <w:hideMark/>
          </w:tcPr>
          <w:p w14:paraId="2AC077AB" w14:textId="77777777" w:rsidR="005656C9" w:rsidRPr="00AA48D9" w:rsidRDefault="005656C9" w:rsidP="00DD44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NGO-90644</w:t>
            </w:r>
          </w:p>
        </w:tc>
      </w:tr>
    </w:tbl>
    <w:p w14:paraId="083C52B4" w14:textId="77777777" w:rsidR="005656C9" w:rsidRDefault="005656C9" w:rsidP="00A26C1D">
      <w:pPr>
        <w:pStyle w:val="COMParaDecision"/>
        <w:numPr>
          <w:ilvl w:val="0"/>
          <w:numId w:val="0"/>
        </w:numPr>
      </w:pPr>
    </w:p>
    <w:p w14:paraId="4C21BC4D" w14:textId="77777777" w:rsidR="005656C9" w:rsidRPr="00930EF2" w:rsidRDefault="005656C9" w:rsidP="00A26C1D">
      <w:pPr>
        <w:pStyle w:val="COMParaDecision"/>
        <w:keepLines/>
        <w:numPr>
          <w:ilvl w:val="0"/>
          <w:numId w:val="0"/>
        </w:numPr>
        <w:ind w:left="1134"/>
        <w:rPr>
          <w:rFonts w:asciiTheme="minorBidi" w:hAnsiTheme="minorBidi" w:cstheme="minorBidi"/>
        </w:rPr>
      </w:pPr>
    </w:p>
    <w:sectPr w:rsidR="005656C9" w:rsidRPr="00930EF2" w:rsidSect="00655736">
      <w:headerReference w:type="even" r:id="rId22"/>
      <w:headerReference w:type="default" r:id="rId23"/>
      <w:headerReference w:type="first" r:id="rId2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ED47" w14:textId="77777777" w:rsidR="0023145E" w:rsidRDefault="0023145E" w:rsidP="00655736">
      <w:r>
        <w:separator/>
      </w:r>
    </w:p>
  </w:endnote>
  <w:endnote w:type="continuationSeparator" w:id="0">
    <w:p w14:paraId="72FA86F2" w14:textId="77777777" w:rsidR="0023145E" w:rsidRDefault="0023145E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8E87" w14:textId="77777777" w:rsidR="0023145E" w:rsidRDefault="0023145E" w:rsidP="00655736">
      <w:r>
        <w:separator/>
      </w:r>
    </w:p>
  </w:footnote>
  <w:footnote w:type="continuationSeparator" w:id="0">
    <w:p w14:paraId="205AFD9E" w14:textId="77777777" w:rsidR="0023145E" w:rsidRDefault="0023145E" w:rsidP="00655736">
      <w:r>
        <w:continuationSeparator/>
      </w:r>
    </w:p>
  </w:footnote>
  <w:footnote w:id="1">
    <w:p w14:paraId="0372223B" w14:textId="75FE7A9D" w:rsidR="00327DA4" w:rsidRPr="00B41500" w:rsidRDefault="00327DA4" w:rsidP="002471CD">
      <w:pPr>
        <w:pStyle w:val="FootnoteText"/>
        <w:spacing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41500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Pr="00B41500">
        <w:rPr>
          <w:rFonts w:ascii="Arial" w:hAnsi="Arial" w:cs="Arial"/>
          <w:sz w:val="18"/>
          <w:szCs w:val="18"/>
        </w:rPr>
        <w:t>.</w:t>
      </w:r>
      <w:r w:rsidRPr="00B41500">
        <w:rPr>
          <w:rFonts w:ascii="Arial" w:hAnsi="Arial" w:cs="Arial"/>
          <w:sz w:val="18"/>
          <w:szCs w:val="18"/>
        </w:rPr>
        <w:tab/>
      </w:r>
      <w:r w:rsidRPr="00B41500">
        <w:rPr>
          <w:rFonts w:ascii="Arial" w:hAnsi="Arial" w:cs="Arial"/>
          <w:snapToGrid w:val="0"/>
          <w:sz w:val="18"/>
          <w:szCs w:val="18"/>
        </w:rPr>
        <w:t xml:space="preserve">На сегодняшний день Генеральная Ассамблея аккредитовала 358 организаций (97 Резолюцией </w:t>
      </w:r>
      <w:hyperlink r:id="rId1" w:history="1">
        <w:r w:rsidRPr="00B41500">
          <w:rPr>
            <w:rStyle w:val="Hyperlink"/>
            <w:rFonts w:ascii="Arial" w:hAnsi="Arial" w:cs="Arial"/>
            <w:sz w:val="18"/>
            <w:szCs w:val="18"/>
          </w:rPr>
          <w:t>3.GA 7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, 59</w:t>
      </w:r>
      <w:r w:rsidR="00683046" w:rsidRPr="00B41500">
        <w:rPr>
          <w:rFonts w:ascii="Arial" w:hAnsi="Arial" w:cs="Arial"/>
          <w:snapToGrid w:val="0"/>
          <w:sz w:val="18"/>
          <w:szCs w:val="18"/>
          <w:lang w:val="en-US"/>
        </w:rPr>
        <w:t> </w:t>
      </w:r>
      <w:r w:rsidR="00683046" w:rsidRPr="00B41500">
        <w:rPr>
          <w:rFonts w:ascii="Arial" w:hAnsi="Arial" w:cs="Arial"/>
          <w:snapToGrid w:val="0"/>
          <w:sz w:val="18"/>
          <w:szCs w:val="18"/>
        </w:rPr>
        <w:t>Резолюцией</w:t>
      </w:r>
      <w:r w:rsidRPr="00B41500">
        <w:rPr>
          <w:rFonts w:ascii="Arial" w:hAnsi="Arial" w:cs="Arial"/>
          <w:snapToGrid w:val="0"/>
          <w:sz w:val="18"/>
          <w:szCs w:val="18"/>
        </w:rPr>
        <w:t xml:space="preserve"> </w:t>
      </w:r>
      <w:hyperlink r:id="rId2" w:history="1">
        <w:r w:rsidR="00683046" w:rsidRPr="00B41500">
          <w:rPr>
            <w:rStyle w:val="Hyperlink"/>
            <w:rFonts w:ascii="Arial" w:hAnsi="Arial" w:cs="Arial"/>
            <w:sz w:val="18"/>
            <w:szCs w:val="18"/>
          </w:rPr>
          <w:t>4.</w:t>
        </w:r>
        <w:r w:rsidRPr="00B41500">
          <w:rPr>
            <w:rStyle w:val="Hyperlink"/>
            <w:rFonts w:ascii="Arial" w:hAnsi="Arial" w:cs="Arial"/>
            <w:sz w:val="18"/>
            <w:szCs w:val="18"/>
          </w:rPr>
          <w:t>GA 6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, 22 Резолюцией</w:t>
      </w:r>
      <w:hyperlink r:id="rId3" w:history="1">
        <w:r w:rsidRPr="00B41500">
          <w:rPr>
            <w:rStyle w:val="Hyperlink"/>
            <w:rFonts w:ascii="Arial" w:hAnsi="Arial" w:cs="Arial"/>
            <w:sz w:val="18"/>
            <w:szCs w:val="18"/>
            <w:u w:val="none"/>
          </w:rPr>
          <w:t xml:space="preserve"> </w:t>
        </w:r>
        <w:r w:rsidRPr="00B41500">
          <w:rPr>
            <w:rStyle w:val="Hyperlink"/>
            <w:rFonts w:ascii="Arial" w:hAnsi="Arial" w:cs="Arial"/>
            <w:sz w:val="18"/>
            <w:szCs w:val="18"/>
          </w:rPr>
          <w:t>5.GA 6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, 24</w:t>
      </w:r>
      <w:r w:rsidR="00683046" w:rsidRPr="00B41500">
        <w:rPr>
          <w:rFonts w:ascii="Arial" w:hAnsi="Arial" w:cs="Arial"/>
          <w:snapToGrid w:val="0"/>
          <w:sz w:val="18"/>
          <w:szCs w:val="18"/>
        </w:rPr>
        <w:t xml:space="preserve"> Резолюцией</w:t>
      </w:r>
      <w:r w:rsidRPr="00B41500">
        <w:rPr>
          <w:rFonts w:ascii="Arial" w:hAnsi="Arial" w:cs="Arial"/>
          <w:snapToGrid w:val="0"/>
          <w:sz w:val="18"/>
          <w:szCs w:val="18"/>
        </w:rPr>
        <w:t xml:space="preserve"> </w:t>
      </w:r>
      <w:hyperlink r:id="rId4" w:history="1">
        <w:r w:rsidRPr="00B41500">
          <w:rPr>
            <w:rStyle w:val="Hyperlink"/>
            <w:rFonts w:ascii="Arial" w:hAnsi="Arial" w:cs="Arial"/>
            <w:sz w:val="18"/>
            <w:szCs w:val="18"/>
          </w:rPr>
          <w:t>6.GA 8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, 29</w:t>
      </w:r>
      <w:r w:rsidRPr="00B41500">
        <w:rPr>
          <w:rFonts w:ascii="Arial" w:hAnsi="Arial" w:cs="Arial"/>
          <w:sz w:val="18"/>
          <w:szCs w:val="18"/>
        </w:rPr>
        <w:t xml:space="preserve"> </w:t>
      </w:r>
      <w:r w:rsidRPr="00B41500">
        <w:rPr>
          <w:rFonts w:ascii="Arial" w:hAnsi="Arial" w:cs="Arial"/>
          <w:snapToGrid w:val="0"/>
          <w:sz w:val="18"/>
          <w:szCs w:val="18"/>
        </w:rPr>
        <w:t xml:space="preserve">Резолюцией </w:t>
      </w:r>
      <w:hyperlink r:id="rId5" w:history="1">
        <w:r w:rsidRPr="00B41500">
          <w:rPr>
            <w:rStyle w:val="Hyperlink"/>
            <w:rFonts w:ascii="Arial" w:hAnsi="Arial" w:cs="Arial"/>
            <w:sz w:val="18"/>
            <w:szCs w:val="18"/>
          </w:rPr>
          <w:t>7.GA 11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, 36</w:t>
      </w:r>
      <w:r w:rsidR="00683046" w:rsidRPr="00B41500">
        <w:rPr>
          <w:rFonts w:ascii="Arial" w:hAnsi="Arial" w:cs="Arial"/>
          <w:sz w:val="18"/>
          <w:szCs w:val="18"/>
          <w:lang w:val="en-US"/>
        </w:rPr>
        <w:t> </w:t>
      </w:r>
      <w:r w:rsidRPr="00B41500">
        <w:rPr>
          <w:rFonts w:ascii="Arial" w:hAnsi="Arial" w:cs="Arial"/>
          <w:snapToGrid w:val="0"/>
          <w:sz w:val="18"/>
          <w:szCs w:val="18"/>
        </w:rPr>
        <w:t xml:space="preserve">Резолюцией </w:t>
      </w:r>
      <w:hyperlink r:id="rId6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8.GA 13</w:t>
        </w:r>
      </w:hyperlink>
      <w:r w:rsidRPr="00B41500">
        <w:rPr>
          <w:rStyle w:val="Hyperlink"/>
          <w:rFonts w:ascii="Arial" w:hAnsi="Arial" w:cs="Arial"/>
          <w:snapToGrid w:val="0"/>
          <w:color w:val="auto"/>
          <w:sz w:val="18"/>
          <w:szCs w:val="18"/>
          <w:u w:val="none"/>
        </w:rPr>
        <w:t xml:space="preserve">, 33 Резолюцией </w:t>
      </w:r>
      <w:hyperlink r:id="rId7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9.GA 7</w:t>
        </w:r>
      </w:hyperlink>
      <w:r w:rsidRPr="00B41500">
        <w:rPr>
          <w:rFonts w:ascii="Arial" w:hAnsi="Arial" w:cs="Arial"/>
          <w:sz w:val="18"/>
          <w:szCs w:val="18"/>
        </w:rPr>
        <w:t xml:space="preserve">, и 58 Резолюцией </w:t>
      </w:r>
      <w:hyperlink r:id="rId8" w:history="1">
        <w:r w:rsidR="00632A9C" w:rsidRPr="00B41500">
          <w:rPr>
            <w:rStyle w:val="Hyperlink"/>
            <w:rFonts w:ascii="Arial" w:hAnsi="Arial" w:cs="Arial"/>
            <w:sz w:val="18"/>
            <w:szCs w:val="18"/>
          </w:rPr>
          <w:t>10.GA 9</w:t>
        </w:r>
      </w:hyperlink>
      <w:r w:rsidRPr="00B41500">
        <w:rPr>
          <w:rStyle w:val="Hyperlink"/>
          <w:rFonts w:ascii="Arial" w:hAnsi="Arial" w:cs="Arial"/>
          <w:snapToGrid w:val="0"/>
          <w:color w:val="auto"/>
          <w:sz w:val="18"/>
          <w:szCs w:val="18"/>
          <w:u w:val="none"/>
        </w:rPr>
        <w:t>)</w:t>
      </w:r>
      <w:r w:rsidRPr="00B41500">
        <w:rPr>
          <w:rFonts w:ascii="Arial" w:hAnsi="Arial" w:cs="Arial"/>
          <w:snapToGrid w:val="0"/>
          <w:sz w:val="18"/>
          <w:szCs w:val="18"/>
        </w:rPr>
        <w:t>.</w:t>
      </w:r>
    </w:p>
  </w:footnote>
  <w:footnote w:id="2">
    <w:p w14:paraId="1546C6E2" w14:textId="15734F4E" w:rsidR="00F05F3E" w:rsidRPr="00B41500" w:rsidRDefault="00F05F3E" w:rsidP="00BE6893">
      <w:pPr>
        <w:pStyle w:val="FootnoteText"/>
        <w:spacing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41500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Pr="00B41500">
        <w:rPr>
          <w:rFonts w:ascii="Arial" w:hAnsi="Arial" w:cs="Arial"/>
          <w:sz w:val="18"/>
          <w:szCs w:val="18"/>
        </w:rPr>
        <w:t>.</w:t>
      </w:r>
      <w:r w:rsidRPr="00B41500">
        <w:rPr>
          <w:rFonts w:ascii="Arial" w:hAnsi="Arial" w:cs="Arial"/>
          <w:sz w:val="18"/>
          <w:szCs w:val="18"/>
        </w:rPr>
        <w:tab/>
      </w:r>
      <w:r w:rsidRPr="00B41500">
        <w:rPr>
          <w:rFonts w:ascii="Arial" w:hAnsi="Arial" w:cs="Arial"/>
          <w:snapToGrid w:val="0"/>
          <w:sz w:val="18"/>
          <w:szCs w:val="18"/>
        </w:rPr>
        <w:t xml:space="preserve">На своей десятой </w:t>
      </w:r>
      <w:bookmarkStart w:id="1" w:name="_Hlk159519092"/>
      <w:r w:rsidRPr="00B41500">
        <w:rPr>
          <w:rFonts w:ascii="Arial" w:hAnsi="Arial" w:cs="Arial"/>
          <w:snapToGrid w:val="0"/>
          <w:sz w:val="18"/>
          <w:szCs w:val="18"/>
        </w:rPr>
        <w:t xml:space="preserve">сессии в 2015 году Комитет постановил продолжить отношения с 59 НПО и прекратить отношения с 38 НПО (Решение </w:t>
      </w:r>
      <w:hyperlink r:id="rId9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10.COM 16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),</w:t>
      </w:r>
      <w:bookmarkEnd w:id="1"/>
      <w:r w:rsidRPr="00B41500">
        <w:rPr>
          <w:rFonts w:ascii="Arial" w:hAnsi="Arial" w:cs="Arial"/>
          <w:snapToGrid w:val="0"/>
          <w:sz w:val="18"/>
          <w:szCs w:val="18"/>
        </w:rPr>
        <w:t xml:space="preserve"> все из которых были аккредитованы на третьей сессии Генеральной Ассамблеи в 2010 году; на своей двенадцатой сессии в 2017 году Комитет постановил продолжить отношения с 42 НПО и прекратить отношения с 17 НПО (Решение </w:t>
      </w:r>
      <w:hyperlink r:id="rId10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12.COM 17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 xml:space="preserve">), все аккредитованные на четвертой сессии Генеральной Ассамблеи в 2012 году; на своей четырнадцатой сессии в 2019 году Комитет постановил продолжить отношения с 62 аккредитованными НПО и прекратить отношения с 19 НПО (Решение </w:t>
      </w:r>
      <w:hyperlink r:id="rId11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14.COM 17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 xml:space="preserve">), все аккредитованные на пятой сессии Генеральной Ассамблеи; на своей шестнадцатой сессии в 2021 году Комитет постановил продолжить отношения с 57 аккредитованными НПО и прекратить отношения с 9 НПО (Решение </w:t>
      </w:r>
      <w:hyperlink r:id="rId12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16.COM 15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), все аккредитованные на шестой сессии Генеральной Ассамблеи; на своей восемнадцатой сессии в 2023 году Комитет постановил продолжить отношения с 80 НПО и прекратить отношения с 11 НПО (Решение </w:t>
      </w:r>
      <w:hyperlink r:id="rId13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18.COM 16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), и на своей двадцатой сессии в 2025 году Комитет постановил продолжить отношения с 87 НПО и прекратить отношения с 6 НПО (Решение </w:t>
      </w:r>
      <w:hyperlink r:id="rId14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20.COM 16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>).</w:t>
      </w:r>
    </w:p>
  </w:footnote>
  <w:footnote w:id="3">
    <w:p w14:paraId="7FC8F7E2" w14:textId="5614360B" w:rsidR="002471CD" w:rsidRPr="00B41500" w:rsidRDefault="002471CD" w:rsidP="00BE6893">
      <w:pPr>
        <w:pStyle w:val="FootnoteText"/>
        <w:spacing w:after="6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41500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Pr="00B41500">
        <w:rPr>
          <w:rFonts w:ascii="Arial" w:hAnsi="Arial" w:cs="Arial"/>
          <w:sz w:val="18"/>
          <w:szCs w:val="18"/>
        </w:rPr>
        <w:t>.</w:t>
      </w:r>
      <w:r w:rsidRPr="00B41500">
        <w:rPr>
          <w:rFonts w:ascii="Arial" w:hAnsi="Arial" w:cs="Arial"/>
          <w:sz w:val="18"/>
          <w:szCs w:val="18"/>
        </w:rPr>
        <w:tab/>
        <w:t xml:space="preserve">Сюда входят </w:t>
      </w:r>
      <w:r w:rsidRPr="00B41500">
        <w:rPr>
          <w:rFonts w:ascii="Arial" w:hAnsi="Arial" w:cs="Arial"/>
          <w:snapToGrid w:val="0"/>
          <w:sz w:val="18"/>
          <w:szCs w:val="18"/>
        </w:rPr>
        <w:t xml:space="preserve">две организации, которые в настоящее время находятся в странах, входящих в Электоральную группу I, но штаб-квартиры которых перемещаются в другую страну на ротационной основе (см. документ </w:t>
      </w:r>
      <w:hyperlink r:id="rId15" w:history="1">
        <w:r w:rsidRPr="00B41500">
          <w:rPr>
            <w:rStyle w:val="Hyperlink"/>
            <w:rFonts w:ascii="Arial" w:hAnsi="Arial" w:cs="Arial"/>
            <w:snapToGrid w:val="0"/>
            <w:sz w:val="18"/>
            <w:szCs w:val="18"/>
          </w:rPr>
          <w:t>LHE/25/20.COM/16 Rev.</w:t>
        </w:r>
      </w:hyperlink>
      <w:r w:rsidRPr="00B41500">
        <w:rPr>
          <w:rFonts w:ascii="Arial" w:hAnsi="Arial" w:cs="Arial"/>
          <w:snapToGrid w:val="0"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113748CF" w:rsidR="00D95C4C" w:rsidRPr="00C23A97" w:rsidRDefault="00C5776D" w:rsidP="00C5776D">
    <w:pPr>
      <w:pStyle w:val="Header"/>
      <w:rPr>
        <w:rFonts w:ascii="Arial" w:hAnsi="Arial" w:cs="Arial"/>
      </w:rPr>
    </w:pPr>
    <w:r>
      <w:rPr>
        <w:rFonts w:ascii="Arial" w:hAnsi="Arial"/>
        <w:sz w:val="20"/>
      </w:rPr>
      <w:t xml:space="preserve">LHE/26/11.GA/9 – страница </w:t>
    </w:r>
    <w:r w:rsidR="00D95C4C" w:rsidRPr="00C23A97">
      <w:rPr>
        <w:rStyle w:val="PageNumber"/>
        <w:rFonts w:ascii="Arial" w:hAnsi="Arial" w:cs="Arial"/>
        <w:sz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</w:rPr>
      <w:fldChar w:fldCharType="separate"/>
    </w:r>
    <w:r w:rsidR="006E75EB">
      <w:rPr>
        <w:rStyle w:val="PageNumber"/>
        <w:rFonts w:ascii="Arial" w:hAnsi="Arial" w:cs="Arial"/>
        <w:sz w:val="20"/>
      </w:rPr>
      <w:t>2</w:t>
    </w:r>
    <w:r w:rsidR="00D95C4C" w:rsidRPr="00C23A97">
      <w:rPr>
        <w:rStyle w:val="PageNumber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7C3BA34" w:rsidR="00D95C4C" w:rsidRPr="0063300C" w:rsidRDefault="00C5776D" w:rsidP="00C5776D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</w:rPr>
      <w:t xml:space="preserve">LHE/26/11.GA/9 – страница </w:t>
    </w:r>
    <w:r w:rsidR="004A34A0" w:rsidRPr="0063300C">
      <w:rPr>
        <w:rStyle w:val="PageNumber"/>
        <w:rFonts w:ascii="Arial" w:hAnsi="Arial" w:cs="Arial"/>
        <w:sz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</w:rPr>
      <w:fldChar w:fldCharType="separate"/>
    </w:r>
    <w:r w:rsidR="00190205">
      <w:rPr>
        <w:rStyle w:val="PageNumber"/>
        <w:rFonts w:ascii="Arial" w:hAnsi="Arial" w:cs="Arial"/>
        <w:sz w:val="20"/>
      </w:rPr>
      <w:t>3</w:t>
    </w:r>
    <w:r w:rsidR="004A34A0" w:rsidRPr="0063300C">
      <w:rPr>
        <w:rStyle w:val="PageNumber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1758AE2" w:rsidR="00D95C4C" w:rsidRPr="00E95AE2" w:rsidRDefault="00D464EF">
    <w:pPr>
      <w:pStyle w:val="Head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DECD2" wp14:editId="2F5323A2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1677600" cy="1440000"/>
          <wp:effectExtent l="0" t="0" r="0" b="8255"/>
          <wp:wrapSquare wrapText="bothSides"/>
          <wp:docPr id="2" name="Image 2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3DF77E6D" w:rsidR="00D95C4C" w:rsidRPr="00D7105A" w:rsidRDefault="005C792B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</w:rPr>
      <w:t>11 GA</w:t>
    </w:r>
  </w:p>
  <w:p w14:paraId="306484B8" w14:textId="71D1F64E" w:rsidR="00D95C4C" w:rsidRPr="00D7105A" w:rsidRDefault="00C5776D" w:rsidP="00C5776D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LHE/26/11.GA/9</w:t>
    </w:r>
  </w:p>
  <w:p w14:paraId="1B4446C3" w14:textId="6C7AD1A8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</w:rPr>
      <w:t>Париж, 18 мая 2026 г.</w:t>
    </w:r>
  </w:p>
  <w:p w14:paraId="255B57FF" w14:textId="24A68A51" w:rsidR="00D95C4C" w:rsidRPr="00F32C23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</w:rPr>
      <w:t>Оригинал: английский</w:t>
    </w:r>
  </w:p>
  <w:p w14:paraId="3C4B8B1B" w14:textId="77777777" w:rsidR="00D95C4C" w:rsidRDefault="00D95C4C">
    <w:pPr>
      <w:pStyle w:val="Header"/>
      <w:rPr>
        <w:sz w:val="22"/>
        <w:szCs w:val="22"/>
        <w:lang w:val="en-GB"/>
      </w:rPr>
    </w:pPr>
  </w:p>
  <w:p w14:paraId="2DED3233" w14:textId="77777777" w:rsidR="00D464EF" w:rsidRPr="00E95AE2" w:rsidRDefault="00D464EF">
    <w:pPr>
      <w:pStyle w:val="Head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76F"/>
    <w:multiLevelType w:val="hybridMultilevel"/>
    <w:tmpl w:val="695ED68C"/>
    <w:lvl w:ilvl="0" w:tplc="5582BC92">
      <w:start w:val="1"/>
      <w:numFmt w:val="decimal"/>
      <w:lvlText w:val="%1."/>
      <w:lvlJc w:val="left"/>
      <w:pPr>
        <w:ind w:left="570" w:hanging="570"/>
      </w:pPr>
      <w:rPr>
        <w:rFonts w:ascii="Arial" w:eastAsia="Times New Roman" w:hAnsi="Arial" w:cs="Arial"/>
        <w:b w:val="0"/>
        <w:bCs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BA40D70"/>
    <w:multiLevelType w:val="hybridMultilevel"/>
    <w:tmpl w:val="4C8ADD7E"/>
    <w:lvl w:ilvl="0" w:tplc="E0EC55BE">
      <w:start w:val="1"/>
      <w:numFmt w:val="upperLetter"/>
      <w:lvlText w:val="%1."/>
      <w:lvlJc w:val="left"/>
      <w:pPr>
        <w:ind w:left="502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5C75A5E"/>
    <w:multiLevelType w:val="hybridMultilevel"/>
    <w:tmpl w:val="9DB80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2628298">
    <w:abstractNumId w:val="12"/>
  </w:num>
  <w:num w:numId="2" w16cid:durableId="699629408">
    <w:abstractNumId w:val="7"/>
  </w:num>
  <w:num w:numId="3" w16cid:durableId="164177712">
    <w:abstractNumId w:val="3"/>
  </w:num>
  <w:num w:numId="4" w16cid:durableId="1416590798">
    <w:abstractNumId w:val="15"/>
  </w:num>
  <w:num w:numId="5" w16cid:durableId="1762608160">
    <w:abstractNumId w:val="14"/>
  </w:num>
  <w:num w:numId="6" w16cid:durableId="2146270374">
    <w:abstractNumId w:val="1"/>
  </w:num>
  <w:num w:numId="7" w16cid:durableId="1113592211">
    <w:abstractNumId w:val="4"/>
  </w:num>
  <w:num w:numId="8" w16cid:durableId="1920598164">
    <w:abstractNumId w:val="11"/>
  </w:num>
  <w:num w:numId="9" w16cid:durableId="1533764642">
    <w:abstractNumId w:val="6"/>
  </w:num>
  <w:num w:numId="10" w16cid:durableId="1246129">
    <w:abstractNumId w:val="8"/>
  </w:num>
  <w:num w:numId="11" w16cid:durableId="111829808">
    <w:abstractNumId w:val="10"/>
  </w:num>
  <w:num w:numId="12" w16cid:durableId="1088770206">
    <w:abstractNumId w:val="9"/>
  </w:num>
  <w:num w:numId="13" w16cid:durableId="1263951029">
    <w:abstractNumId w:val="16"/>
  </w:num>
  <w:num w:numId="14" w16cid:durableId="395903570">
    <w:abstractNumId w:val="5"/>
  </w:num>
  <w:num w:numId="15" w16cid:durableId="1857570918">
    <w:abstractNumId w:val="6"/>
  </w:num>
  <w:num w:numId="16" w16cid:durableId="248199808">
    <w:abstractNumId w:val="6"/>
  </w:num>
  <w:num w:numId="17" w16cid:durableId="350380342">
    <w:abstractNumId w:val="6"/>
  </w:num>
  <w:num w:numId="18" w16cid:durableId="944581980">
    <w:abstractNumId w:val="6"/>
  </w:num>
  <w:num w:numId="19" w16cid:durableId="772675100">
    <w:abstractNumId w:val="6"/>
  </w:num>
  <w:num w:numId="20" w16cid:durableId="1253010311">
    <w:abstractNumId w:val="6"/>
  </w:num>
  <w:num w:numId="21" w16cid:durableId="540821319">
    <w:abstractNumId w:val="2"/>
  </w:num>
  <w:num w:numId="22" w16cid:durableId="2046514942">
    <w:abstractNumId w:val="6"/>
  </w:num>
  <w:num w:numId="23" w16cid:durableId="2049720743">
    <w:abstractNumId w:val="0"/>
  </w:num>
  <w:num w:numId="24" w16cid:durableId="318466877">
    <w:abstractNumId w:val="13"/>
  </w:num>
  <w:num w:numId="25" w16cid:durableId="1875733846">
    <w:abstractNumId w:val="6"/>
  </w:num>
  <w:num w:numId="26" w16cid:durableId="721712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26D"/>
    <w:rsid w:val="0005176E"/>
    <w:rsid w:val="00071D43"/>
    <w:rsid w:val="000765F7"/>
    <w:rsid w:val="0007725F"/>
    <w:rsid w:val="00077AB7"/>
    <w:rsid w:val="000819FD"/>
    <w:rsid w:val="00081CD8"/>
    <w:rsid w:val="000A7F0E"/>
    <w:rsid w:val="000B1C8F"/>
    <w:rsid w:val="000C0D61"/>
    <w:rsid w:val="000E7C29"/>
    <w:rsid w:val="000F3A3F"/>
    <w:rsid w:val="00102557"/>
    <w:rsid w:val="001278F8"/>
    <w:rsid w:val="00147A38"/>
    <w:rsid w:val="001607BF"/>
    <w:rsid w:val="00164D56"/>
    <w:rsid w:val="001671AF"/>
    <w:rsid w:val="00167B10"/>
    <w:rsid w:val="0017402F"/>
    <w:rsid w:val="001767A8"/>
    <w:rsid w:val="00190205"/>
    <w:rsid w:val="001918D1"/>
    <w:rsid w:val="00196C1B"/>
    <w:rsid w:val="001A6C99"/>
    <w:rsid w:val="001B0F73"/>
    <w:rsid w:val="001C2DB7"/>
    <w:rsid w:val="001D14FE"/>
    <w:rsid w:val="001D5C04"/>
    <w:rsid w:val="001F26CF"/>
    <w:rsid w:val="00222A2D"/>
    <w:rsid w:val="00223029"/>
    <w:rsid w:val="0023145E"/>
    <w:rsid w:val="00234745"/>
    <w:rsid w:val="002351A6"/>
    <w:rsid w:val="00235F3C"/>
    <w:rsid w:val="002407AF"/>
    <w:rsid w:val="00245501"/>
    <w:rsid w:val="002471CD"/>
    <w:rsid w:val="00254B26"/>
    <w:rsid w:val="0026085B"/>
    <w:rsid w:val="0026221A"/>
    <w:rsid w:val="0027466B"/>
    <w:rsid w:val="002814F6"/>
    <w:rsid w:val="002838A5"/>
    <w:rsid w:val="00285BB4"/>
    <w:rsid w:val="002950AB"/>
    <w:rsid w:val="002A1481"/>
    <w:rsid w:val="002A7A0F"/>
    <w:rsid w:val="002C09E3"/>
    <w:rsid w:val="002C2647"/>
    <w:rsid w:val="002C6A2C"/>
    <w:rsid w:val="002D06C8"/>
    <w:rsid w:val="002D1244"/>
    <w:rsid w:val="002E3493"/>
    <w:rsid w:val="00327DA4"/>
    <w:rsid w:val="00334348"/>
    <w:rsid w:val="00337CEB"/>
    <w:rsid w:val="003449CC"/>
    <w:rsid w:val="00344B58"/>
    <w:rsid w:val="0034539A"/>
    <w:rsid w:val="00345CB4"/>
    <w:rsid w:val="00361B80"/>
    <w:rsid w:val="00375D42"/>
    <w:rsid w:val="003C6FF7"/>
    <w:rsid w:val="003D069C"/>
    <w:rsid w:val="003D7646"/>
    <w:rsid w:val="003F113A"/>
    <w:rsid w:val="003F3E63"/>
    <w:rsid w:val="00407480"/>
    <w:rsid w:val="00414643"/>
    <w:rsid w:val="00425D69"/>
    <w:rsid w:val="004313C4"/>
    <w:rsid w:val="004421E5"/>
    <w:rsid w:val="00452284"/>
    <w:rsid w:val="00457C8E"/>
    <w:rsid w:val="00480175"/>
    <w:rsid w:val="004856CA"/>
    <w:rsid w:val="00487E67"/>
    <w:rsid w:val="004906B7"/>
    <w:rsid w:val="0049705E"/>
    <w:rsid w:val="004A2875"/>
    <w:rsid w:val="004A34A0"/>
    <w:rsid w:val="004C7C82"/>
    <w:rsid w:val="005008A8"/>
    <w:rsid w:val="00517FD8"/>
    <w:rsid w:val="00526B7B"/>
    <w:rsid w:val="005274D2"/>
    <w:rsid w:val="005308CE"/>
    <w:rsid w:val="0053318C"/>
    <w:rsid w:val="00544C93"/>
    <w:rsid w:val="0054535F"/>
    <w:rsid w:val="00555102"/>
    <w:rsid w:val="005656C9"/>
    <w:rsid w:val="0057439C"/>
    <w:rsid w:val="00576758"/>
    <w:rsid w:val="005960FA"/>
    <w:rsid w:val="005A6ADB"/>
    <w:rsid w:val="005B0127"/>
    <w:rsid w:val="005B7A35"/>
    <w:rsid w:val="005C4B73"/>
    <w:rsid w:val="005C58A4"/>
    <w:rsid w:val="005C792B"/>
    <w:rsid w:val="005D7740"/>
    <w:rsid w:val="005E1D2B"/>
    <w:rsid w:val="005E7074"/>
    <w:rsid w:val="005F2BAF"/>
    <w:rsid w:val="00600D93"/>
    <w:rsid w:val="00621720"/>
    <w:rsid w:val="006240B0"/>
    <w:rsid w:val="00626BEA"/>
    <w:rsid w:val="00632A9C"/>
    <w:rsid w:val="0063300C"/>
    <w:rsid w:val="00651A5B"/>
    <w:rsid w:val="00655736"/>
    <w:rsid w:val="00663B8D"/>
    <w:rsid w:val="00683046"/>
    <w:rsid w:val="00696C8D"/>
    <w:rsid w:val="006A2AC2"/>
    <w:rsid w:val="006A3617"/>
    <w:rsid w:val="006A7535"/>
    <w:rsid w:val="006B4452"/>
    <w:rsid w:val="006E46E4"/>
    <w:rsid w:val="006E75EB"/>
    <w:rsid w:val="00717DA5"/>
    <w:rsid w:val="007278E3"/>
    <w:rsid w:val="007333D0"/>
    <w:rsid w:val="00744484"/>
    <w:rsid w:val="00747566"/>
    <w:rsid w:val="00773188"/>
    <w:rsid w:val="00783782"/>
    <w:rsid w:val="00784B8C"/>
    <w:rsid w:val="00786236"/>
    <w:rsid w:val="00786F9A"/>
    <w:rsid w:val="007879E1"/>
    <w:rsid w:val="007976C4"/>
    <w:rsid w:val="00797D28"/>
    <w:rsid w:val="007A5A3C"/>
    <w:rsid w:val="007E57AA"/>
    <w:rsid w:val="00823A11"/>
    <w:rsid w:val="00826C84"/>
    <w:rsid w:val="008524D5"/>
    <w:rsid w:val="0085405E"/>
    <w:rsid w:val="0085414A"/>
    <w:rsid w:val="008577DE"/>
    <w:rsid w:val="00857EB9"/>
    <w:rsid w:val="0086269D"/>
    <w:rsid w:val="0086543A"/>
    <w:rsid w:val="008724E5"/>
    <w:rsid w:val="008765C9"/>
    <w:rsid w:val="00884A9D"/>
    <w:rsid w:val="0088512B"/>
    <w:rsid w:val="008A2B2D"/>
    <w:rsid w:val="008A4E1E"/>
    <w:rsid w:val="008A6458"/>
    <w:rsid w:val="008A7438"/>
    <w:rsid w:val="008C296C"/>
    <w:rsid w:val="008C2AC7"/>
    <w:rsid w:val="008D4305"/>
    <w:rsid w:val="008E1A85"/>
    <w:rsid w:val="008E344F"/>
    <w:rsid w:val="009163A7"/>
    <w:rsid w:val="00916992"/>
    <w:rsid w:val="00930EF2"/>
    <w:rsid w:val="00937D53"/>
    <w:rsid w:val="00946940"/>
    <w:rsid w:val="00946D0B"/>
    <w:rsid w:val="00955877"/>
    <w:rsid w:val="00962034"/>
    <w:rsid w:val="00981850"/>
    <w:rsid w:val="009A18CD"/>
    <w:rsid w:val="009C7242"/>
    <w:rsid w:val="009D5428"/>
    <w:rsid w:val="00A12558"/>
    <w:rsid w:val="00A13903"/>
    <w:rsid w:val="00A26C1D"/>
    <w:rsid w:val="00A3256B"/>
    <w:rsid w:val="00A34ED5"/>
    <w:rsid w:val="00A45DBF"/>
    <w:rsid w:val="00A725CF"/>
    <w:rsid w:val="00A755A2"/>
    <w:rsid w:val="00A83DF5"/>
    <w:rsid w:val="00A91430"/>
    <w:rsid w:val="00AA590D"/>
    <w:rsid w:val="00AA6660"/>
    <w:rsid w:val="00AB2C36"/>
    <w:rsid w:val="00AB3F36"/>
    <w:rsid w:val="00AB6DDE"/>
    <w:rsid w:val="00AB70B6"/>
    <w:rsid w:val="00AC0171"/>
    <w:rsid w:val="00AC18C1"/>
    <w:rsid w:val="00AD1A86"/>
    <w:rsid w:val="00AD5C46"/>
    <w:rsid w:val="00AE103E"/>
    <w:rsid w:val="00AE2B32"/>
    <w:rsid w:val="00AF0A07"/>
    <w:rsid w:val="00AF4AEC"/>
    <w:rsid w:val="00AF625E"/>
    <w:rsid w:val="00B03046"/>
    <w:rsid w:val="00B139BE"/>
    <w:rsid w:val="00B2172B"/>
    <w:rsid w:val="00B34428"/>
    <w:rsid w:val="00B40113"/>
    <w:rsid w:val="00B41500"/>
    <w:rsid w:val="00B5451F"/>
    <w:rsid w:val="00B917D2"/>
    <w:rsid w:val="00B97EB3"/>
    <w:rsid w:val="00BA241A"/>
    <w:rsid w:val="00BB04AF"/>
    <w:rsid w:val="00BB6EEC"/>
    <w:rsid w:val="00BB6FBC"/>
    <w:rsid w:val="00BD52C9"/>
    <w:rsid w:val="00BE6354"/>
    <w:rsid w:val="00BE6893"/>
    <w:rsid w:val="00BE6E70"/>
    <w:rsid w:val="00BF179B"/>
    <w:rsid w:val="00C06C5B"/>
    <w:rsid w:val="00C138D1"/>
    <w:rsid w:val="00C22D3F"/>
    <w:rsid w:val="00C23A97"/>
    <w:rsid w:val="00C52EBE"/>
    <w:rsid w:val="00C5776D"/>
    <w:rsid w:val="00C64855"/>
    <w:rsid w:val="00C70EA7"/>
    <w:rsid w:val="00C7433F"/>
    <w:rsid w:val="00C7516E"/>
    <w:rsid w:val="00C75770"/>
    <w:rsid w:val="00CA56BB"/>
    <w:rsid w:val="00CB0542"/>
    <w:rsid w:val="00CE4F05"/>
    <w:rsid w:val="00CF750D"/>
    <w:rsid w:val="00D00B2B"/>
    <w:rsid w:val="00D10390"/>
    <w:rsid w:val="00D24877"/>
    <w:rsid w:val="00D464EF"/>
    <w:rsid w:val="00D63318"/>
    <w:rsid w:val="00D7105A"/>
    <w:rsid w:val="00D7422F"/>
    <w:rsid w:val="00D8250F"/>
    <w:rsid w:val="00D86BB3"/>
    <w:rsid w:val="00D95C4C"/>
    <w:rsid w:val="00DA2424"/>
    <w:rsid w:val="00DA36ED"/>
    <w:rsid w:val="00DC49CB"/>
    <w:rsid w:val="00DD2741"/>
    <w:rsid w:val="00DD43A2"/>
    <w:rsid w:val="00DE34F1"/>
    <w:rsid w:val="00DE6160"/>
    <w:rsid w:val="00DF4942"/>
    <w:rsid w:val="00E2125F"/>
    <w:rsid w:val="00E244E1"/>
    <w:rsid w:val="00E34F94"/>
    <w:rsid w:val="00E4150C"/>
    <w:rsid w:val="00E57355"/>
    <w:rsid w:val="00E627B1"/>
    <w:rsid w:val="00E70169"/>
    <w:rsid w:val="00E711DB"/>
    <w:rsid w:val="00E9376C"/>
    <w:rsid w:val="00E95AE2"/>
    <w:rsid w:val="00EA335E"/>
    <w:rsid w:val="00EA528C"/>
    <w:rsid w:val="00EA580C"/>
    <w:rsid w:val="00EB08E5"/>
    <w:rsid w:val="00EC6F8D"/>
    <w:rsid w:val="00ED1C0C"/>
    <w:rsid w:val="00ED39B2"/>
    <w:rsid w:val="00EE49F4"/>
    <w:rsid w:val="00EF34E2"/>
    <w:rsid w:val="00F039D3"/>
    <w:rsid w:val="00F05F3E"/>
    <w:rsid w:val="00F20866"/>
    <w:rsid w:val="00F30DC6"/>
    <w:rsid w:val="00F31F96"/>
    <w:rsid w:val="00F32C23"/>
    <w:rsid w:val="00F33D91"/>
    <w:rsid w:val="00F53DE9"/>
    <w:rsid w:val="00F576CB"/>
    <w:rsid w:val="00F7035D"/>
    <w:rsid w:val="00F70CC5"/>
    <w:rsid w:val="00F71A02"/>
    <w:rsid w:val="00F95E6F"/>
    <w:rsid w:val="00FA0D63"/>
    <w:rsid w:val="00FD0D90"/>
    <w:rsid w:val="00FD1226"/>
    <w:rsid w:val="00FD4BC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3C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 w:cs="Arial"/>
      <w:sz w:val="22"/>
      <w:szCs w:val="22"/>
      <w:u w:val="single"/>
    </w:rPr>
  </w:style>
  <w:style w:type="paragraph" w:customStyle="1" w:styleId="pf0">
    <w:name w:val="pf0"/>
    <w:basedOn w:val="Normal"/>
    <w:rsid w:val="00327DA4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aliases w:val=" Car Car3 Char, Car Car3 Char Char Char Char"/>
    <w:link w:val="CarCar3"/>
    <w:uiPriority w:val="99"/>
    <w:rsid w:val="00327DA4"/>
    <w:rPr>
      <w:color w:val="0000FF"/>
      <w:u w:val="single"/>
    </w:rPr>
  </w:style>
  <w:style w:type="paragraph" w:customStyle="1" w:styleId="CarCar3">
    <w:name w:val="Car Car3"/>
    <w:aliases w:val=" Car Car3 Char Char"/>
    <w:basedOn w:val="Normal"/>
    <w:link w:val="Hyperlink"/>
    <w:uiPriority w:val="99"/>
    <w:rsid w:val="00327DA4"/>
    <w:pPr>
      <w:tabs>
        <w:tab w:val="left" w:pos="510"/>
        <w:tab w:val="right" w:pos="9639"/>
      </w:tabs>
      <w:autoSpaceDE w:val="0"/>
      <w:autoSpaceDN w:val="0"/>
      <w:adjustRightInd w:val="0"/>
      <w:spacing w:after="80" w:line="220" w:lineRule="exact"/>
      <w:ind w:left="1020" w:hanging="510"/>
      <w:jc w:val="both"/>
    </w:pPr>
    <w:rPr>
      <w:rFonts w:ascii="Calibri" w:eastAsia="SimSun" w:hAnsi="Calibri"/>
      <w:color w:val="0000FF"/>
      <w:sz w:val="20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DA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DA4"/>
    <w:rPr>
      <w:color w:val="605E5C"/>
      <w:shd w:val="clear" w:color="auto" w:fill="E1DFDD"/>
    </w:rPr>
  </w:style>
  <w:style w:type="paragraph" w:customStyle="1" w:styleId="GATitleResolution">
    <w:name w:val="GA Title Resolution"/>
    <w:basedOn w:val="Normal"/>
    <w:qFormat/>
    <w:rsid w:val="00981850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981850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AB3F36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3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04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04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ich.unesco.org/doc/src/LHE-22-9.GA-Resolutions-RU.docx?v=1659524022" TargetMode="External"/><Relationship Id="rId18" Type="http://schemas.openxmlformats.org/officeDocument/2006/relationships/hyperlink" Target="https://ich.unesco.org/doc/src/LHE-25-20.COM-15_EN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ch.unesco.org/en/decisions/20.COM/16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ich.unesco.org/doc/src/LHE-24-10.GA-Resolutions_RU.docx?v=172128953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ch.unesco.org/doc/src/LHE-22-9.GA-Resolutions-RU.docx?v=1659524022" TargetMode="External"/><Relationship Id="rId20" Type="http://schemas.openxmlformats.org/officeDocument/2006/relationships/hyperlink" Target="https://ich.unesco.org/doc/src/LHE-24-10.GA-Resolutions_RU.docx?v=17212895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doc/src/ICH-09-2025-EN.doc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doc/src/LHE-25-20.COM-16_Rev._EN.docx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ich.unesco.org/en/accreditation-of-ngos-01435" TargetMode="External"/><Relationship Id="rId19" Type="http://schemas.openxmlformats.org/officeDocument/2006/relationships/hyperlink" Target="https://ich.unesco.org/en/accredited-ngos-00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20.COM/16" TargetMode="External"/><Relationship Id="rId14" Type="http://schemas.openxmlformats.org/officeDocument/2006/relationships/hyperlink" Target="https://ich.unesco.org/en/decisions/18.COM/16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LHE-24-10.GA-Resolutions_RU.docx?v=1721289530" TargetMode="External"/><Relationship Id="rId13" Type="http://schemas.openxmlformats.org/officeDocument/2006/relationships/hyperlink" Target="https://ich.unesco.org/en/decisions/18.COM/16" TargetMode="External"/><Relationship Id="rId3" Type="http://schemas.openxmlformats.org/officeDocument/2006/relationships/hyperlink" Target="https://ich.unesco.org/doc/src/ITH-14-5.GA-Resolutions-RU__.doc?v=1403102214" TargetMode="External"/><Relationship Id="rId7" Type="http://schemas.openxmlformats.org/officeDocument/2006/relationships/hyperlink" Target="https://ich.unesco.org/doc/src/LHE-22-9.GA-Resolutions-RU.docx?v=1659524022" TargetMode="External"/><Relationship Id="rId12" Type="http://schemas.openxmlformats.org/officeDocument/2006/relationships/hyperlink" Target="https://ich.unesco.org/en/Decisions/16.COM/15" TargetMode="External"/><Relationship Id="rId2" Type="http://schemas.openxmlformats.org/officeDocument/2006/relationships/hyperlink" Target="https://ich.unesco.org/doc/src/ITH-12-4.GA-Resolutions-RU.doc?v=1341245222" TargetMode="External"/><Relationship Id="rId1" Type="http://schemas.openxmlformats.org/officeDocument/2006/relationships/hyperlink" Target="https://ich.unesco.org/doc/src/07003-RU.doc?v=1282654997" TargetMode="External"/><Relationship Id="rId6" Type="http://schemas.openxmlformats.org/officeDocument/2006/relationships/hyperlink" Target="https://ich.unesco.org/doc/src/LHE-20-8.GA-Resolutions-RU.docx?v=1600965908" TargetMode="External"/><Relationship Id="rId11" Type="http://schemas.openxmlformats.org/officeDocument/2006/relationships/hyperlink" Target="https://ich.unesco.org/en/Decisions/14.COM/17" TargetMode="External"/><Relationship Id="rId5" Type="http://schemas.openxmlformats.org/officeDocument/2006/relationships/hyperlink" Target="https://ich.unesco.org/doc/src/ITH-18-7.GA-Resolutions-RU.docx?v=1532091840" TargetMode="External"/><Relationship Id="rId15" Type="http://schemas.openxmlformats.org/officeDocument/2006/relationships/hyperlink" Target="https://ich.unesco.org/doc/src/LHE-25-20.COM-16_Rev._EN.docx" TargetMode="External"/><Relationship Id="rId10" Type="http://schemas.openxmlformats.org/officeDocument/2006/relationships/hyperlink" Target="https://ich.unesco.org/en/Decisions/12.COM/17" TargetMode="External"/><Relationship Id="rId4" Type="http://schemas.openxmlformats.org/officeDocument/2006/relationships/hyperlink" Target="https://ich.unesco.org/doc/src/ITH-16_6.GA-Resolutions_RU.docx?v=1465481217" TargetMode="External"/><Relationship Id="rId9" Type="http://schemas.openxmlformats.org/officeDocument/2006/relationships/hyperlink" Target="https://ich.unesco.org/en/Decisions/10.COM/16" TargetMode="External"/><Relationship Id="rId14" Type="http://schemas.openxmlformats.org/officeDocument/2006/relationships/hyperlink" Target="https://ich.unesco.org/en/decisions/20.COM/1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qfs\OurDrive\CLT\ProgrammeExecution\2003Convention\2003-StatutoryMeetings\2026\2026-06_11.GA_Paris\Documents\09_NGO%20accreditation\Drafts\Statistics%20on%20NGOs_20260505_R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TNSRWDC1.atlantique-traduction.lan\travail\CLIENTS%20LBS\UNESCO\3260160\06_Livrable\item%209\Statistics%20on%20NGOs_20260505_RU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Рис. 1. Географическое распределение аккредитованных НПО (всего 258 </a:t>
            </a:r>
            <a:r>
              <a:rPr lang="ru-RU" sz="1400" b="0" i="0" u="none" strike="noStrike" baseline="0">
                <a:effectLst/>
              </a:rPr>
              <a:t>по состоянию на </a:t>
            </a:r>
            <a:endParaRPr lang="fr-FR" sz="1400" b="0" i="0" u="none" strike="noStrike" baseline="0">
              <a:effectLst/>
            </a:endParaRPr>
          </a:p>
          <a:p>
            <a:pPr>
              <a:defRPr/>
            </a:pPr>
            <a:r>
              <a:rPr lang="ru-RU" sz="1400" b="0" i="0" u="none" strike="noStrike" baseline="0">
                <a:effectLst/>
              </a:rPr>
              <a:t>31 декабря 2025 г</a:t>
            </a:r>
            <a:r>
              <a:rPr lang="en-US" sz="1400" b="0" i="0" u="none" strike="noStrike" baseline="0">
                <a:effectLst/>
              </a:rPr>
              <a:t>.</a:t>
            </a:r>
            <a:r>
              <a:rPr lang="ru-RU"/>
              <a:t>)</a:t>
            </a:r>
          </a:p>
        </c:rich>
      </c:tx>
      <c:layout>
        <c:manualLayout>
          <c:xMode val="edge"/>
          <c:yMode val="edge"/>
          <c:x val="0.13112489063867017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B5-4555-93D7-5352A5318C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B5-4555-93D7-5352A5318C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B5-4555-93D7-5352A5318C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B5-4555-93D7-5352A5318C2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DB5-4555-93D7-5352A5318C2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DB5-4555-93D7-5352A5318C22}"/>
              </c:ext>
            </c:extLst>
          </c:dPt>
          <c:dLbls>
            <c:dLbl>
              <c:idx val="1"/>
              <c:layout>
                <c:manualLayout>
                  <c:x val="-3.0555555555555607E-2"/>
                  <c:y val="-1.388888888888888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B5-4555-93D7-5352A5318C22}"/>
                </c:ext>
              </c:extLst>
            </c:dLbl>
            <c:dLbl>
              <c:idx val="2"/>
              <c:layout>
                <c:manualLayout>
                  <c:x val="-1.6666666666666666E-2"/>
                  <c:y val="-3.703703703703703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B5-4555-93D7-5352A5318C22}"/>
                </c:ext>
              </c:extLst>
            </c:dLbl>
            <c:dLbl>
              <c:idx val="4"/>
              <c:layout>
                <c:manualLayout>
                  <c:x val="-4.1666666666666664E-2"/>
                  <c:y val="8.7962962962962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B5-4555-93D7-5352A5318C22}"/>
                </c:ext>
              </c:extLst>
            </c:dLbl>
            <c:dLbl>
              <c:idx val="5"/>
              <c:layout>
                <c:manualLayout>
                  <c:x val="-4.4444444444444446E-2"/>
                  <c:y val="1.388888888888886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DB5-4555-93D7-5352A5318C2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Graphs!$A$2:$A$7</c:f>
              <c:strCache>
                <c:ptCount val="6"/>
                <c:pt idx="0">
                  <c:v>Группа I</c:v>
                </c:pt>
                <c:pt idx="1">
                  <c:v>Группа II</c:v>
                </c:pt>
                <c:pt idx="2">
                  <c:v>Группа III</c:v>
                </c:pt>
                <c:pt idx="3">
                  <c:v>Группа IV</c:v>
                </c:pt>
                <c:pt idx="4">
                  <c:v>Группа V(a)</c:v>
                </c:pt>
                <c:pt idx="5">
                  <c:v>Группа V(b)</c:v>
                </c:pt>
              </c:strCache>
            </c:strRef>
          </c:cat>
          <c:val>
            <c:numRef>
              <c:f>Graphs!$B$2:$B$7</c:f>
              <c:numCache>
                <c:formatCode>General</c:formatCode>
                <c:ptCount val="6"/>
                <c:pt idx="0">
                  <c:v>126</c:v>
                </c:pt>
                <c:pt idx="1">
                  <c:v>27</c:v>
                </c:pt>
                <c:pt idx="2">
                  <c:v>29</c:v>
                </c:pt>
                <c:pt idx="3">
                  <c:v>36</c:v>
                </c:pt>
                <c:pt idx="4">
                  <c:v>25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DB5-4555-93D7-5352A5318C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Рис. 2. Географическое распределение НПО, рекомендованных к аккредитации 11-й Генеральной ассамблеей в 2026 году</a:t>
            </a:r>
          </a:p>
        </c:rich>
      </c:tx>
      <c:layout>
        <c:manualLayout>
          <c:xMode val="edge"/>
          <c:yMode val="edge"/>
          <c:x val="0.13112489063867017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BA-4EF7-A111-15CFE01B82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BA-4EF7-A111-15CFE01B824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BA-4EF7-A111-15CFE01B824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1BA-4EF7-A111-15CFE01B824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1BA-4EF7-A111-15CFE01B824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1BA-4EF7-A111-15CFE01B824E}"/>
              </c:ext>
            </c:extLst>
          </c:dPt>
          <c:dLbls>
            <c:dLbl>
              <c:idx val="1"/>
              <c:layout>
                <c:manualLayout>
                  <c:x val="-8.3333333333333332E-3"/>
                  <c:y val="-1.85185185185185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BA-4EF7-A111-15CFE01B824E}"/>
                </c:ext>
              </c:extLst>
            </c:dLbl>
            <c:dLbl>
              <c:idx val="2"/>
              <c:layout>
                <c:manualLayout>
                  <c:x val="-3.8888888888888938E-2"/>
                  <c:y val="-1.85185185185185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1BA-4EF7-A111-15CFE01B824E}"/>
                </c:ext>
              </c:extLst>
            </c:dLbl>
            <c:dLbl>
              <c:idx val="4"/>
              <c:layout>
                <c:manualLayout>
                  <c:x val="-1.3888888888888888E-2"/>
                  <c:y val="4.16666666666666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BA-4EF7-A111-15CFE01B824E}"/>
                </c:ext>
              </c:extLst>
            </c:dLbl>
            <c:dLbl>
              <c:idx val="5"/>
              <c:layout>
                <c:manualLayout>
                  <c:x val="-8.3333333333333332E-3"/>
                  <c:y val="1.85185185185185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1BA-4EF7-A111-15CFE01B824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Graphs!$A$2:$A$7</c:f>
              <c:strCache>
                <c:ptCount val="6"/>
                <c:pt idx="0">
                  <c:v>Группа I</c:v>
                </c:pt>
                <c:pt idx="1">
                  <c:v>Группа II</c:v>
                </c:pt>
                <c:pt idx="2">
                  <c:v>Группа III</c:v>
                </c:pt>
                <c:pt idx="3">
                  <c:v>Группа IV</c:v>
                </c:pt>
                <c:pt idx="4">
                  <c:v>Группа V(a)</c:v>
                </c:pt>
                <c:pt idx="5">
                  <c:v>Группа V(b)</c:v>
                </c:pt>
              </c:strCache>
            </c:strRef>
          </c:cat>
          <c:val>
            <c:numRef>
              <c:f>Graphs!$C$2:$C$7</c:f>
              <c:numCache>
                <c:formatCode>General</c:formatCode>
                <c:ptCount val="6"/>
                <c:pt idx="0">
                  <c:v>29</c:v>
                </c:pt>
                <c:pt idx="1">
                  <c:v>7</c:v>
                </c:pt>
                <c:pt idx="2">
                  <c:v>4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1BA-4EF7-A111-15CFE01B82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E-A1BA-4EF7-A111-15CFE01B824E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0-A1BA-4EF7-A111-15CFE01B824E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2-A1BA-4EF7-A111-15CFE01B824E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4-A1BA-4EF7-A111-15CFE01B824E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6-A1BA-4EF7-A111-15CFE01B824E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8-A1BA-4EF7-A111-15CFE01B824E}"/>
                    </c:ext>
                  </c:extLst>
                </c:dPt>
                <c:dLbls>
                  <c:dLbl>
                    <c:idx val="1"/>
                    <c:layout>
                      <c:manualLayout>
                        <c:x val="-3.0555555555555607E-2"/>
                        <c:y val="-1.3888888888888888E-2"/>
                      </c:manualLayout>
                    </c:layout>
                    <c:dLblPos val="bestFit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0-A1BA-4EF7-A111-15CFE01B824E}"/>
                      </c:ext>
                    </c:extLst>
                  </c:dLbl>
                  <c:dLbl>
                    <c:idx val="2"/>
                    <c:layout>
                      <c:manualLayout>
                        <c:x val="-1.6666666666666666E-2"/>
                        <c:y val="-3.7037037037037035E-2"/>
                      </c:manualLayout>
                    </c:layout>
                    <c:dLblPos val="bestFit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2-A1BA-4EF7-A111-15CFE01B824E}"/>
                      </c:ext>
                    </c:extLst>
                  </c:dLbl>
                  <c:dLbl>
                    <c:idx val="4"/>
                    <c:layout>
                      <c:manualLayout>
                        <c:x val="-4.1666666666666664E-2"/>
                        <c:y val="8.7962962962962923E-2"/>
                      </c:manualLayout>
                    </c:layout>
                    <c:dLblPos val="bestFit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6-A1BA-4EF7-A111-15CFE01B824E}"/>
                      </c:ext>
                    </c:extLst>
                  </c:dLbl>
                  <c:dLbl>
                    <c:idx val="5"/>
                    <c:layout>
                      <c:manualLayout>
                        <c:x val="-4.4444444444444446E-2"/>
                        <c:y val="1.3888888888888867E-2"/>
                      </c:manualLayout>
                    </c:layout>
                    <c:dLblPos val="bestFit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18-A1BA-4EF7-A111-15CFE01B824E}"/>
                      </c:ext>
                    </c:extLst>
                  </c:dLbl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fr-FR"/>
                    </a:p>
                  </c:txPr>
                  <c:dLblPos val="outEnd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0"/>
                  <c:extLst>
                    <c:ext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Graphs!$A$2:$A$7</c15:sqref>
                        </c15:formulaRef>
                      </c:ext>
                    </c:extLst>
                    <c:strCache>
                      <c:ptCount val="6"/>
                      <c:pt idx="0">
                        <c:v>Группа I</c:v>
                      </c:pt>
                      <c:pt idx="1">
                        <c:v>Группа II</c:v>
                      </c:pt>
                      <c:pt idx="2">
                        <c:v>Группа III</c:v>
                      </c:pt>
                      <c:pt idx="3">
                        <c:v>Группа IV</c:v>
                      </c:pt>
                      <c:pt idx="4">
                        <c:v>Группа V(a)</c:v>
                      </c:pt>
                      <c:pt idx="5">
                        <c:v>Группа V(b)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Graphs!$B$2:$B$7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126</c:v>
                      </c:pt>
                      <c:pt idx="1">
                        <c:v>27</c:v>
                      </c:pt>
                      <c:pt idx="2">
                        <c:v>29</c:v>
                      </c:pt>
                      <c:pt idx="3">
                        <c:v>36</c:v>
                      </c:pt>
                      <c:pt idx="4">
                        <c:v>25</c:v>
                      </c:pt>
                      <c:pt idx="5">
                        <c:v>15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9-A1BA-4EF7-A111-15CFE01B824E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2329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2026-05-18T19:26:00Z</dcterms:created>
  <dcterms:modified xsi:type="dcterms:W3CDTF">2026-05-18T20:24:00Z</dcterms:modified>
</cp:coreProperties>
</file>