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6FC07C36" w:rsidR="00EC6F8D" w:rsidRPr="007B01DE" w:rsidRDefault="00EC6F8D" w:rsidP="00EC6F8D">
      <w:pPr>
        <w:spacing w:before="1440"/>
        <w:jc w:val="center"/>
        <w:rPr>
          <w:rFonts w:ascii="Arial" w:hAnsi="Arial" w:cs="Arial"/>
          <w:b/>
          <w:sz w:val="22"/>
          <w:szCs w:val="22"/>
        </w:rPr>
      </w:pPr>
      <w:r w:rsidRPr="007B01DE">
        <w:rPr>
          <w:rFonts w:ascii="Arial" w:hAnsi="Arial" w:cs="Arial"/>
          <w:b/>
          <w:sz w:val="22"/>
        </w:rPr>
        <w:t>CONVENCIÓN PARA LA SALVAGUARDIA DEL</w:t>
      </w:r>
      <w:r w:rsidRPr="007B01DE">
        <w:rPr>
          <w:rFonts w:ascii="Arial" w:hAnsi="Arial" w:cs="Arial"/>
          <w:b/>
          <w:sz w:val="22"/>
        </w:rPr>
        <w:br/>
        <w:t>PATRIMONIO CULTURAL INMATERIAL</w:t>
      </w:r>
    </w:p>
    <w:p w14:paraId="3F72B1D3" w14:textId="37133200" w:rsidR="00EC6F8D" w:rsidRPr="007B01DE" w:rsidRDefault="005C792B" w:rsidP="00EC6F8D">
      <w:pPr>
        <w:spacing w:before="1200"/>
        <w:jc w:val="center"/>
        <w:rPr>
          <w:rFonts w:ascii="Arial" w:hAnsi="Arial" w:cs="Arial"/>
          <w:b/>
          <w:sz w:val="22"/>
          <w:szCs w:val="22"/>
        </w:rPr>
      </w:pPr>
      <w:r w:rsidRPr="007B01DE">
        <w:rPr>
          <w:rFonts w:ascii="Arial" w:hAnsi="Arial" w:cs="Arial"/>
          <w:b/>
          <w:sz w:val="22"/>
        </w:rPr>
        <w:t xml:space="preserve">ASAMBLEA GENERAL DE LOS </w:t>
      </w:r>
      <w:proofErr w:type="gramStart"/>
      <w:r w:rsidRPr="007B01DE">
        <w:rPr>
          <w:rFonts w:ascii="Arial" w:hAnsi="Arial" w:cs="Arial"/>
          <w:b/>
          <w:sz w:val="22"/>
        </w:rPr>
        <w:t>ESTADOS PARTES</w:t>
      </w:r>
      <w:proofErr w:type="gramEnd"/>
      <w:r w:rsidRPr="007B01DE">
        <w:rPr>
          <w:rFonts w:ascii="Arial" w:hAnsi="Arial" w:cs="Arial"/>
          <w:b/>
          <w:sz w:val="22"/>
        </w:rPr>
        <w:t xml:space="preserve"> EN LA CONVENCIÓN</w:t>
      </w:r>
    </w:p>
    <w:p w14:paraId="2E1CD4B4" w14:textId="761739AB" w:rsidR="00EC6F8D" w:rsidRPr="007B01DE" w:rsidRDefault="00671799" w:rsidP="001D14FE">
      <w:pPr>
        <w:spacing w:before="840"/>
        <w:jc w:val="center"/>
        <w:rPr>
          <w:rFonts w:ascii="Arial" w:hAnsi="Arial" w:cs="Arial"/>
          <w:b/>
          <w:sz w:val="22"/>
          <w:szCs w:val="22"/>
        </w:rPr>
      </w:pPr>
      <w:r w:rsidRPr="007B01DE">
        <w:rPr>
          <w:rFonts w:ascii="Arial" w:hAnsi="Arial" w:cs="Arial"/>
          <w:b/>
          <w:sz w:val="22"/>
        </w:rPr>
        <w:t>Undécima reunión</w:t>
      </w:r>
    </w:p>
    <w:p w14:paraId="1FD89575" w14:textId="05D2C62D" w:rsidR="00B2172B" w:rsidRPr="007B01DE" w:rsidRDefault="005C792B" w:rsidP="00B2172B">
      <w:pPr>
        <w:jc w:val="center"/>
        <w:rPr>
          <w:rFonts w:ascii="Arial" w:hAnsi="Arial" w:cs="Arial"/>
          <w:b/>
          <w:sz w:val="22"/>
          <w:szCs w:val="22"/>
        </w:rPr>
      </w:pPr>
      <w:r w:rsidRPr="007B01DE">
        <w:rPr>
          <w:rFonts w:ascii="Arial" w:hAnsi="Arial" w:cs="Arial"/>
          <w:b/>
          <w:sz w:val="22"/>
        </w:rPr>
        <w:t>Sede de la UNESCO, Sala I</w:t>
      </w:r>
    </w:p>
    <w:p w14:paraId="52EA6D50" w14:textId="038451F8" w:rsidR="00B2172B" w:rsidRPr="007B01DE" w:rsidRDefault="0054535F" w:rsidP="00B2172B">
      <w:pPr>
        <w:jc w:val="center"/>
        <w:rPr>
          <w:rFonts w:ascii="Arial" w:hAnsi="Arial" w:cs="Arial"/>
          <w:b/>
          <w:sz w:val="22"/>
          <w:szCs w:val="22"/>
        </w:rPr>
      </w:pPr>
      <w:r w:rsidRPr="007B01DE">
        <w:rPr>
          <w:rFonts w:ascii="Arial" w:hAnsi="Arial" w:cs="Arial"/>
          <w:b/>
          <w:sz w:val="22"/>
        </w:rPr>
        <w:t>17 al 18 de junio de 2026</w:t>
      </w:r>
    </w:p>
    <w:p w14:paraId="0365203A" w14:textId="1063E90B" w:rsidR="00EC6F8D" w:rsidRPr="007B01DE" w:rsidRDefault="00EC6F8D" w:rsidP="00EC6F8D">
      <w:pPr>
        <w:pStyle w:val="Sansinterligne2"/>
        <w:spacing w:before="1200"/>
        <w:jc w:val="center"/>
        <w:rPr>
          <w:rFonts w:ascii="Arial" w:hAnsi="Arial" w:cs="Arial"/>
          <w:b/>
          <w:sz w:val="22"/>
          <w:szCs w:val="22"/>
        </w:rPr>
      </w:pPr>
      <w:r w:rsidRPr="007B01DE">
        <w:rPr>
          <w:rFonts w:ascii="Arial" w:hAnsi="Arial" w:cs="Arial"/>
          <w:b/>
          <w:sz w:val="22"/>
          <w:u w:val="single"/>
        </w:rPr>
        <w:t>Punto 9 del orden del día provisional</w:t>
      </w:r>
      <w:r w:rsidRPr="007B01DE">
        <w:rPr>
          <w:rFonts w:ascii="Arial" w:hAnsi="Arial" w:cs="Arial"/>
          <w:b/>
          <w:sz w:val="22"/>
        </w:rPr>
        <w:t>:</w:t>
      </w:r>
    </w:p>
    <w:p w14:paraId="59920478" w14:textId="4D8D7EBE" w:rsidR="004A2875" w:rsidRPr="007B01DE" w:rsidRDefault="003640B8" w:rsidP="004A2875">
      <w:pPr>
        <w:pStyle w:val="Sansinterligne2"/>
        <w:spacing w:after="960"/>
        <w:jc w:val="center"/>
        <w:rPr>
          <w:rFonts w:ascii="Arial" w:hAnsi="Arial" w:cs="Arial"/>
          <w:bCs/>
          <w:sz w:val="22"/>
          <w:szCs w:val="22"/>
        </w:rPr>
      </w:pPr>
      <w:r w:rsidRPr="007B01DE">
        <w:rPr>
          <w:rFonts w:ascii="Arial" w:eastAsia="Arial" w:hAnsi="Arial" w:cs="Arial"/>
          <w:b/>
          <w:sz w:val="22"/>
          <w:szCs w:val="22"/>
          <w:lang w:bidi="es-ES"/>
        </w:rPr>
        <w:t>Acreditación de las organizaciones no gubernamentales</w:t>
      </w:r>
      <w:r w:rsidRPr="007B01DE">
        <w:rPr>
          <w:rFonts w:ascii="Arial" w:eastAsia="Arial" w:hAnsi="Arial" w:cs="Arial"/>
          <w:b/>
          <w:sz w:val="22"/>
          <w:szCs w:val="22"/>
          <w:lang w:bidi="es-ES"/>
        </w:rPr>
        <w:br/>
        <w:t>con fines de asistencia consultiva ante el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7B01DE" w14:paraId="75AC6221" w14:textId="77777777" w:rsidTr="00EC6F8D">
        <w:trPr>
          <w:jc w:val="center"/>
        </w:trPr>
        <w:tc>
          <w:tcPr>
            <w:tcW w:w="5670" w:type="dxa"/>
            <w:vAlign w:val="center"/>
          </w:tcPr>
          <w:p w14:paraId="51C260A9" w14:textId="77777777" w:rsidR="00EC6F8D" w:rsidRPr="007B01DE" w:rsidRDefault="00EC6F8D" w:rsidP="00CA56BB">
            <w:pPr>
              <w:pStyle w:val="Sansinterligne1"/>
              <w:spacing w:before="200" w:after="200"/>
              <w:jc w:val="center"/>
              <w:rPr>
                <w:rFonts w:ascii="Arial" w:hAnsi="Arial" w:cs="Arial"/>
                <w:b/>
                <w:sz w:val="22"/>
                <w:szCs w:val="22"/>
              </w:rPr>
            </w:pPr>
            <w:r w:rsidRPr="007B01DE">
              <w:rPr>
                <w:rFonts w:ascii="Arial" w:hAnsi="Arial" w:cs="Arial"/>
                <w:b/>
                <w:sz w:val="22"/>
              </w:rPr>
              <w:t>Resumen</w:t>
            </w:r>
          </w:p>
          <w:p w14:paraId="612E5DE6" w14:textId="60E1A2B2" w:rsidR="00BB6EEC" w:rsidRPr="007B01DE" w:rsidRDefault="003640B8" w:rsidP="00BB6EEC">
            <w:pPr>
              <w:pStyle w:val="Sansinterligne1"/>
              <w:jc w:val="both"/>
              <w:rPr>
                <w:rFonts w:ascii="Arial" w:hAnsi="Arial" w:cs="Arial"/>
                <w:bCs/>
                <w:sz w:val="22"/>
                <w:szCs w:val="22"/>
              </w:rPr>
            </w:pPr>
            <w:r w:rsidRPr="007B01DE">
              <w:rPr>
                <w:rFonts w:ascii="Arial" w:hAnsi="Arial" w:cs="Arial"/>
                <w:sz w:val="22"/>
                <w:szCs w:val="22"/>
                <w:lang w:bidi="es-ES"/>
              </w:rPr>
              <w:t>Este documento presenta las 59 solicitudes de nuevas organizaciones no gubernamentales (ONG) para obtener acreditación a fin de desempeñar funciones consultivas ante el Comité, tal y como recomendó su vigésima reunión.</w:t>
            </w:r>
          </w:p>
          <w:p w14:paraId="290310E8" w14:textId="5734313F" w:rsidR="00EC6F8D" w:rsidRPr="007B01DE" w:rsidRDefault="00EC6F8D" w:rsidP="00CA56BB">
            <w:pPr>
              <w:pStyle w:val="Sansinterligne2"/>
              <w:spacing w:before="200" w:after="200"/>
              <w:jc w:val="both"/>
              <w:rPr>
                <w:rFonts w:ascii="Arial" w:hAnsi="Arial" w:cs="Arial"/>
                <w:b/>
                <w:sz w:val="22"/>
                <w:szCs w:val="22"/>
              </w:rPr>
            </w:pPr>
            <w:r w:rsidRPr="007B01DE">
              <w:rPr>
                <w:rFonts w:ascii="Arial" w:hAnsi="Arial" w:cs="Arial"/>
                <w:b/>
                <w:sz w:val="22"/>
              </w:rPr>
              <w:t xml:space="preserve">Decisión requerida: </w:t>
            </w:r>
            <w:r w:rsidRPr="007B01DE">
              <w:rPr>
                <w:rFonts w:ascii="Arial" w:hAnsi="Arial" w:cs="Arial"/>
                <w:sz w:val="22"/>
              </w:rPr>
              <w:t>párrafo 10</w:t>
            </w:r>
          </w:p>
        </w:tc>
      </w:tr>
    </w:tbl>
    <w:p w14:paraId="713D819F" w14:textId="77777777" w:rsidR="004A2875" w:rsidRPr="007B01DE"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7B01DE">
        <w:rPr>
          <w:rFonts w:ascii="Arial" w:hAnsi="Arial" w:cs="Arial"/>
          <w:lang w:bidi="es-ES"/>
        </w:rPr>
        <w:br w:type="page"/>
      </w:r>
    </w:p>
    <w:p w14:paraId="6C62585F" w14:textId="1FBD00B9" w:rsidR="00F70CC5" w:rsidRPr="007B01DE" w:rsidRDefault="00FD4BC8" w:rsidP="00F70CC5">
      <w:pPr>
        <w:pStyle w:val="COMPara"/>
        <w:numPr>
          <w:ilvl w:val="0"/>
          <w:numId w:val="0"/>
        </w:numPr>
        <w:spacing w:before="240"/>
        <w:jc w:val="both"/>
        <w:rPr>
          <w:b/>
          <w:bCs/>
        </w:rPr>
      </w:pPr>
      <w:bookmarkStart w:id="0" w:name="_Hlk124351255"/>
      <w:r w:rsidRPr="007B01DE">
        <w:rPr>
          <w:b/>
          <w:lang w:bidi="es-ES"/>
        </w:rPr>
        <w:lastRenderedPageBreak/>
        <w:t>Antecedentes</w:t>
      </w:r>
    </w:p>
    <w:bookmarkEnd w:id="0"/>
    <w:p w14:paraId="6EFAA0B6" w14:textId="77777777" w:rsidR="003640B8" w:rsidRPr="007B01DE" w:rsidRDefault="003640B8" w:rsidP="009C5798">
      <w:pPr>
        <w:pStyle w:val="COMPara"/>
        <w:ind w:left="567" w:hanging="567"/>
        <w:jc w:val="both"/>
      </w:pPr>
      <w:r w:rsidRPr="007B01DE">
        <w:rPr>
          <w:lang w:bidi="es-ES"/>
        </w:rPr>
        <w:t>En el Artículo 9.1 de la Convención, se estipula que el Comité propondrá a la Asamblea General la acreditación de organizaciones no gubernamentales (ONG) de probada competencia en el terreno del patrimonio cultural inmaterial con fines de asistencia consultiva ante el Comité. Los criterios y las modalidades de dicha acreditación figuran en el capítulo III.2.2 de las Directrices Operativas (párrafos 91 a 99). Hasta la fecha, la Asamblea General ha acreditado a 358 organizaciones</w:t>
      </w:r>
      <w:r w:rsidRPr="007B01DE">
        <w:rPr>
          <w:rStyle w:val="FootnoteReference"/>
          <w:lang w:bidi="es-ES"/>
        </w:rPr>
        <w:footnoteReference w:id="1"/>
      </w:r>
      <w:r w:rsidRPr="007B01DE">
        <w:rPr>
          <w:lang w:bidi="es-ES"/>
        </w:rPr>
        <w:t>.</w:t>
      </w:r>
    </w:p>
    <w:p w14:paraId="5FA2B7DB" w14:textId="35315861" w:rsidR="0057439C" w:rsidRPr="007B01DE" w:rsidRDefault="003640B8" w:rsidP="005F4EBC">
      <w:pPr>
        <w:pStyle w:val="COMPara"/>
        <w:ind w:left="567" w:hanging="567"/>
        <w:jc w:val="both"/>
      </w:pPr>
      <w:r w:rsidRPr="007B01DE">
        <w:rPr>
          <w:lang w:bidi="es-ES"/>
        </w:rPr>
        <w:t>La contribución y el compromiso de las ONG acreditadas están sujetos a un examen por el Comité cada cuatro años tras la acreditación, sobre la base de las modalidades y los procedimientos determinados en el capítulo III.2.2 de las Directrices Operativas (párrafos 92 a 95). Como resultado de dicho examen, el Comité podrá decidir mantener o poner fin a las relaciones con las ONG en cuestión. A raíz de las decisiones del Comité a este respecto en los últimos ciclos</w:t>
      </w:r>
      <w:r w:rsidRPr="007B01DE">
        <w:rPr>
          <w:rStyle w:val="FootnoteReference"/>
          <w:lang w:bidi="es-ES"/>
        </w:rPr>
        <w:footnoteReference w:id="2"/>
      </w:r>
      <w:r w:rsidRPr="007B01DE">
        <w:rPr>
          <w:lang w:bidi="es-ES"/>
        </w:rPr>
        <w:t>, en la actualidad hay 258 ONG acreditadas para ejercer funciones consultivas ante el Comité. Su distribución geográfica es la siguiente: Grupo electoral I: 126</w:t>
      </w:r>
      <w:r w:rsidRPr="007B01DE">
        <w:rPr>
          <w:rStyle w:val="FootnoteReference"/>
          <w:lang w:bidi="es-ES"/>
        </w:rPr>
        <w:footnoteReference w:id="3"/>
      </w:r>
      <w:r w:rsidRPr="007B01DE">
        <w:rPr>
          <w:lang w:bidi="es-ES"/>
        </w:rPr>
        <w:t>; Grupo electoral II: 27; Grupo electoral III: 29; Grupo electoral</w:t>
      </w:r>
      <w:r w:rsidR="006648CB" w:rsidRPr="007B01DE">
        <w:rPr>
          <w:lang w:bidi="es-ES"/>
        </w:rPr>
        <w:t xml:space="preserve"> IV</w:t>
      </w:r>
      <w:r w:rsidRPr="007B01DE">
        <w:rPr>
          <w:lang w:bidi="es-ES"/>
        </w:rPr>
        <w:t>: 36; Grupo electoral V(a): 25; y Grupo electoral V(b): 15.</w:t>
      </w:r>
    </w:p>
    <w:p w14:paraId="00743995" w14:textId="385C03A9" w:rsidR="0057439C" w:rsidRPr="007B01DE" w:rsidRDefault="007A1AEC" w:rsidP="003640B8">
      <w:pPr>
        <w:pStyle w:val="COMPara"/>
        <w:numPr>
          <w:ilvl w:val="0"/>
          <w:numId w:val="0"/>
        </w:numPr>
        <w:ind w:left="567"/>
        <w:jc w:val="center"/>
      </w:pPr>
      <w:r w:rsidRPr="007B01DE">
        <w:rPr>
          <w:noProof/>
        </w:rPr>
        <w:drawing>
          <wp:inline distT="0" distB="0" distL="0" distR="0" wp14:anchorId="3D05383F" wp14:editId="33781555">
            <wp:extent cx="4690745" cy="2736376"/>
            <wp:effectExtent l="0" t="0" r="14605" b="6985"/>
            <wp:docPr id="1003389807" name="Chart 1">
              <a:extLst xmlns:a="http://schemas.openxmlformats.org/drawingml/2006/main">
                <a:ext uri="{FF2B5EF4-FFF2-40B4-BE49-F238E27FC236}">
                  <a16:creationId xmlns:a16="http://schemas.microsoft.com/office/drawing/2014/main" id="{4EA41AE6-4910-BAEC-A240-023F46CC5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3B6521" w14:textId="77AEFB7B" w:rsidR="00F70CC5" w:rsidRPr="007B01DE" w:rsidRDefault="003640B8" w:rsidP="00AC18C1">
      <w:pPr>
        <w:pStyle w:val="COMPara"/>
        <w:numPr>
          <w:ilvl w:val="0"/>
          <w:numId w:val="21"/>
        </w:numPr>
        <w:spacing w:before="240"/>
        <w:ind w:left="567" w:hanging="567"/>
        <w:jc w:val="both"/>
        <w:rPr>
          <w:b/>
          <w:bCs/>
        </w:rPr>
      </w:pPr>
      <w:r w:rsidRPr="007B01DE">
        <w:rPr>
          <w:b/>
          <w:lang w:bidi="es-ES"/>
        </w:rPr>
        <w:t>Acreditación de ONG recomendada por la vigésima reunión del Comité</w:t>
      </w:r>
    </w:p>
    <w:p w14:paraId="05D1C79F" w14:textId="7656B49C" w:rsidR="0057439C" w:rsidRPr="007B01DE" w:rsidRDefault="003640B8" w:rsidP="007565D3">
      <w:pPr>
        <w:pStyle w:val="COMPara"/>
        <w:ind w:left="567" w:hanging="567"/>
        <w:jc w:val="both"/>
      </w:pPr>
      <w:r w:rsidRPr="007B01DE">
        <w:rPr>
          <w:rFonts w:eastAsia="SimSun"/>
          <w:lang w:bidi="es-ES"/>
        </w:rPr>
        <w:t xml:space="preserve">En su vigésima reunión de 2025, el Comité examinó las nuevas solicitudes de acreditación de 96 ONG y recomendó a la Asamblea General que acreditara a 59 de ellas (Decisión </w:t>
      </w:r>
      <w:hyperlink r:id="rId9" w:history="1">
        <w:r w:rsidRPr="007B01DE">
          <w:rPr>
            <w:rStyle w:val="Hyperlink"/>
            <w:rFonts w:eastAsia="SimSun"/>
            <w:lang w:bidi="es-ES"/>
          </w:rPr>
          <w:t>20.COM</w:t>
        </w:r>
        <w:r w:rsidR="00F7596A" w:rsidRPr="007B01DE">
          <w:rPr>
            <w:rStyle w:val="Hyperlink"/>
            <w:rFonts w:eastAsia="SimSun"/>
            <w:lang w:bidi="es-ES"/>
          </w:rPr>
          <w:t> </w:t>
        </w:r>
        <w:r w:rsidRPr="007B01DE">
          <w:rPr>
            <w:rStyle w:val="Hyperlink"/>
            <w:rFonts w:eastAsia="SimSun"/>
            <w:lang w:bidi="es-ES"/>
          </w:rPr>
          <w:t>16</w:t>
        </w:r>
      </w:hyperlink>
      <w:r w:rsidRPr="007B01DE">
        <w:rPr>
          <w:rFonts w:eastAsia="SimSun"/>
          <w:lang w:bidi="es-ES"/>
        </w:rPr>
        <w:t xml:space="preserve">). La lista de estas organizaciones figura en el anexo del presente documento. En </w:t>
      </w:r>
      <w:r w:rsidRPr="007B01DE">
        <w:rPr>
          <w:rFonts w:eastAsia="SimSun"/>
          <w:lang w:bidi="es-ES"/>
        </w:rPr>
        <w:lastRenderedPageBreak/>
        <w:t xml:space="preserve">la </w:t>
      </w:r>
      <w:hyperlink r:id="rId10" w:history="1">
        <w:r w:rsidRPr="007B01DE">
          <w:rPr>
            <w:rStyle w:val="Hyperlink"/>
            <w:rFonts w:eastAsia="SimSun"/>
            <w:lang w:bidi="es-ES"/>
          </w:rPr>
          <w:t>página web de la Convención</w:t>
        </w:r>
      </w:hyperlink>
      <w:r w:rsidRPr="007B01DE">
        <w:rPr>
          <w:rFonts w:eastAsia="SimSun"/>
          <w:lang w:bidi="es-ES"/>
        </w:rPr>
        <w:t xml:space="preserve">, se publican todas las solicitudes que se completaron dentro del plazo para su examen </w:t>
      </w:r>
      <w:r w:rsidR="007565D3" w:rsidRPr="007B01DE">
        <w:rPr>
          <w:rFonts w:eastAsia="SimSun"/>
          <w:lang w:bidi="es-ES"/>
        </w:rPr>
        <w:t xml:space="preserve">por </w:t>
      </w:r>
      <w:r w:rsidRPr="007B01DE">
        <w:rPr>
          <w:rFonts w:eastAsia="SimSun"/>
          <w:lang w:bidi="es-ES"/>
        </w:rPr>
        <w:t xml:space="preserve">la vigésima reunión del Comité en el idioma en que se presentaron, a saber, el formulario </w:t>
      </w:r>
      <w:hyperlink r:id="rId11" w:history="1">
        <w:r w:rsidRPr="007B01DE">
          <w:rPr>
            <w:rStyle w:val="Hyperlink"/>
            <w:rFonts w:eastAsia="SimSun"/>
            <w:lang w:bidi="es-ES"/>
          </w:rPr>
          <w:t>ICH-09</w:t>
        </w:r>
      </w:hyperlink>
      <w:r w:rsidRPr="007B01DE">
        <w:rPr>
          <w:rFonts w:eastAsia="SimSun"/>
          <w:lang w:bidi="es-ES"/>
        </w:rPr>
        <w:t xml:space="preserve"> cumplimentado por cada organización, junto con los documentos complementarios relativos a los puntos 8.a, 8.b y 8.c de dicho formulario. La distribución geográfica de las 59 ONG propuestas para la acreditación es la siguiente: Grupo electoral I: 29; Grupo electoral II: 7; Grupo electoral III: 4; Grupo electoral IV: 7; Grupo electoral V(a): 6; y Grupo electoral V(b): 6.</w:t>
      </w:r>
    </w:p>
    <w:p w14:paraId="6F96D034" w14:textId="323DD935" w:rsidR="003640B8" w:rsidRPr="007B01DE" w:rsidRDefault="007A1AEC" w:rsidP="003640B8">
      <w:pPr>
        <w:pStyle w:val="COMPara"/>
        <w:numPr>
          <w:ilvl w:val="0"/>
          <w:numId w:val="0"/>
        </w:numPr>
        <w:ind w:left="567"/>
        <w:jc w:val="center"/>
      </w:pPr>
      <w:r w:rsidRPr="007B01DE">
        <w:rPr>
          <w:noProof/>
        </w:rPr>
        <w:drawing>
          <wp:inline distT="0" distB="0" distL="0" distR="0" wp14:anchorId="06FB8D2E" wp14:editId="0BE42750">
            <wp:extent cx="4690745" cy="2736376"/>
            <wp:effectExtent l="0" t="0" r="14605" b="6985"/>
            <wp:docPr id="1031411962" name="Chart 1">
              <a:extLst xmlns:a="http://schemas.openxmlformats.org/drawingml/2006/main">
                <a:ext uri="{FF2B5EF4-FFF2-40B4-BE49-F238E27FC236}">
                  <a16:creationId xmlns:a16="http://schemas.microsoft.com/office/drawing/2014/main" id="{387540B8-4A70-4ACF-BB1B-A87FEE1F0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7C02C1" w14:textId="6B597CB4" w:rsidR="003640B8" w:rsidRPr="007B01DE" w:rsidRDefault="003640B8" w:rsidP="003640B8">
      <w:pPr>
        <w:pStyle w:val="COMPara"/>
        <w:spacing w:before="240"/>
        <w:ind w:left="567" w:hanging="567"/>
        <w:jc w:val="both"/>
        <w:rPr>
          <w:rFonts w:eastAsia="SimSun"/>
        </w:rPr>
      </w:pPr>
      <w:r w:rsidRPr="007B01DE">
        <w:rPr>
          <w:rFonts w:eastAsia="SimSun"/>
          <w:lang w:bidi="es-ES"/>
        </w:rPr>
        <w:t>La Secretaría de la Convención de 2003 examina las solicitudes de acreditación y renovación con arreglo a los criterios establecidos en las Directrices Operativas. La Secretaría registra las propuestas de conformidad con el párrafo 99 de las Directrices Operativas, ayuda a las organizaciones a proporcionar la información que falte, si es necesario, y prepara recomendaciones para el Comité, tal y como se solicita en el párrafo 92 de las Directrices Operativas. Los formularios pertinentes y los documentos de trabajo correspondientes se publican en la página web de la Convención a más tardar cuatro semanas antes de la apertura de la reunión relevante del Comité y treinta días antes de la apertura de la reunión relevante de la Asamblea General.</w:t>
      </w:r>
    </w:p>
    <w:p w14:paraId="448266C7" w14:textId="37C34114" w:rsidR="003640B8" w:rsidRPr="007B01DE" w:rsidRDefault="003640B8" w:rsidP="003640B8">
      <w:pPr>
        <w:pStyle w:val="COMPara"/>
        <w:ind w:left="567" w:hanging="567"/>
        <w:jc w:val="both"/>
        <w:rPr>
          <w:rFonts w:eastAsia="SimSun"/>
        </w:rPr>
      </w:pPr>
      <w:r w:rsidRPr="007B01DE">
        <w:rPr>
          <w:rFonts w:eastAsia="SimSun"/>
          <w:lang w:bidi="es-ES"/>
        </w:rPr>
        <w:t xml:space="preserve">En consonancia con la Resolución </w:t>
      </w:r>
      <w:hyperlink r:id="rId13" w:history="1">
        <w:r w:rsidRPr="007B01DE">
          <w:rPr>
            <w:rStyle w:val="Hyperlink"/>
            <w:rFonts w:eastAsia="SimSun"/>
            <w:lang w:bidi="es-ES"/>
          </w:rPr>
          <w:t>9.GA 7</w:t>
        </w:r>
      </w:hyperlink>
      <w:r w:rsidRPr="007B01DE">
        <w:rPr>
          <w:rFonts w:eastAsia="SimSun"/>
          <w:lang w:bidi="es-ES"/>
        </w:rPr>
        <w:t xml:space="preserve"> adoptada por la novena reunión de la Asamblea General en 2022 e </w:t>
      </w:r>
      <w:r w:rsidRPr="007B01DE">
        <w:rPr>
          <w:lang w:bidi="es-ES"/>
        </w:rPr>
        <w:t xml:space="preserve">iniciada por la decimoctava reunión del Comité (Decisión </w:t>
      </w:r>
      <w:hyperlink r:id="rId14" w:history="1">
        <w:r w:rsidRPr="007B01DE">
          <w:rPr>
            <w:rStyle w:val="Hyperlink"/>
            <w:lang w:bidi="es-ES"/>
          </w:rPr>
          <w:t>18.COM 16</w:t>
        </w:r>
      </w:hyperlink>
      <w:r w:rsidRPr="007B01DE">
        <w:rPr>
          <w:lang w:bidi="es-ES"/>
        </w:rPr>
        <w:t xml:space="preserve">), </w:t>
      </w:r>
      <w:r w:rsidRPr="007B01DE">
        <w:rPr>
          <w:rFonts w:eastAsia="SimSun"/>
          <w:lang w:bidi="es-ES"/>
        </w:rPr>
        <w:t>la Secretaría solicitó la cooperación de las oficinas fuera de la Sede de la UNESCO en el examen de las nuevas solicitudes de acreditación presentadas. La lista de solicitudes de acreditación y renovación de ONG se puso a disposición de las oficinas fuera de la Sede y se facilitó un formulario para recabar la información pertinente. Cuatro oficinas fuera de la Sede de la UNESCO apoyaron el proceso, proporcionando información complementaria a las solicitudes de nueva acreditación de las organizaciones no gubernamentales con las que interactuaban.</w:t>
      </w:r>
    </w:p>
    <w:p w14:paraId="7858E8FF" w14:textId="38D515A9" w:rsidR="003640B8" w:rsidRPr="007B01DE" w:rsidRDefault="003640B8" w:rsidP="005F4EBC">
      <w:pPr>
        <w:pStyle w:val="COMPara"/>
        <w:ind w:left="567" w:hanging="567"/>
        <w:jc w:val="both"/>
      </w:pPr>
      <w:r w:rsidRPr="007B01DE">
        <w:rPr>
          <w:rFonts w:eastAsia="SimSun"/>
          <w:lang w:bidi="es-ES"/>
        </w:rPr>
        <w:t xml:space="preserve">Además, dado que el sistema de acreditación se estableció en 2010, algunas organizaciones acreditadas expresaron su deseo de actualizar la información facilitada en el momento de presentar su acreditación inicial para reflejar </w:t>
      </w:r>
      <w:r w:rsidR="00370E83" w:rsidRPr="007B01DE">
        <w:rPr>
          <w:rFonts w:eastAsia="SimSun"/>
          <w:lang w:bidi="es-ES"/>
        </w:rPr>
        <w:t xml:space="preserve">cambios en </w:t>
      </w:r>
      <w:r w:rsidR="00C24416" w:rsidRPr="007B01DE">
        <w:rPr>
          <w:rFonts w:eastAsia="SimSun"/>
          <w:lang w:bidi="es-ES"/>
        </w:rPr>
        <w:t>la</w:t>
      </w:r>
      <w:r w:rsidR="00370E83" w:rsidRPr="007B01DE">
        <w:rPr>
          <w:rFonts w:eastAsia="SimSun"/>
          <w:lang w:bidi="es-ES"/>
        </w:rPr>
        <w:t xml:space="preserve"> </w:t>
      </w:r>
      <w:r w:rsidRPr="007B01DE">
        <w:rPr>
          <w:rFonts w:eastAsia="SimSun"/>
          <w:lang w:bidi="es-ES"/>
        </w:rPr>
        <w:t>situación de la</w:t>
      </w:r>
      <w:r w:rsidR="00C24416" w:rsidRPr="007B01DE">
        <w:rPr>
          <w:rFonts w:eastAsia="SimSun"/>
          <w:lang w:bidi="es-ES"/>
        </w:rPr>
        <w:t>s</w:t>
      </w:r>
      <w:r w:rsidRPr="007B01DE">
        <w:rPr>
          <w:rFonts w:eastAsia="SimSun"/>
          <w:lang w:bidi="es-ES"/>
        </w:rPr>
        <w:t xml:space="preserve"> ONG en cuestión. Por consiguiente, la vigésima reunión del Comité tomó nota de la información administrativa actualizada de seis organizaciones no gubernamentales acreditadas (véase el documento </w:t>
      </w:r>
      <w:hyperlink r:id="rId15" w:history="1">
        <w:r w:rsidRPr="007B01DE">
          <w:rPr>
            <w:rStyle w:val="Hyperlink"/>
            <w:lang w:bidi="es-ES"/>
          </w:rPr>
          <w:t>LHE/25/20.COM/16 Rev.</w:t>
        </w:r>
      </w:hyperlink>
      <w:r w:rsidRPr="007B01DE">
        <w:rPr>
          <w:lang w:bidi="es-ES"/>
        </w:rPr>
        <w:t>).</w:t>
      </w:r>
    </w:p>
    <w:p w14:paraId="77321678" w14:textId="5F92467E" w:rsidR="00D63318" w:rsidRPr="007B01DE" w:rsidRDefault="003640B8" w:rsidP="00AC18C1">
      <w:pPr>
        <w:pStyle w:val="COMPara"/>
        <w:numPr>
          <w:ilvl w:val="0"/>
          <w:numId w:val="21"/>
        </w:numPr>
        <w:spacing w:before="240"/>
        <w:ind w:left="567" w:hanging="567"/>
        <w:jc w:val="both"/>
        <w:rPr>
          <w:b/>
          <w:bCs/>
        </w:rPr>
      </w:pPr>
      <w:r w:rsidRPr="007B01DE">
        <w:rPr>
          <w:b/>
          <w:lang w:bidi="es-ES"/>
        </w:rPr>
        <w:t>Equilibrio geográfico entre las organizaciones no gubernamentales acreditadas</w:t>
      </w:r>
    </w:p>
    <w:p w14:paraId="57C82222" w14:textId="40432575" w:rsidR="003640B8" w:rsidRPr="007B01DE" w:rsidRDefault="003640B8" w:rsidP="003640B8">
      <w:pPr>
        <w:pStyle w:val="COMPara"/>
        <w:ind w:left="567" w:hanging="567"/>
        <w:jc w:val="both"/>
      </w:pPr>
      <w:r w:rsidRPr="007B01DE">
        <w:rPr>
          <w:lang w:bidi="es-ES"/>
        </w:rPr>
        <w:t>De conformidad con la solicitud de la novena reunión de la Asamblea General (Resolución</w:t>
      </w:r>
      <w:r w:rsidR="005F4EBC" w:rsidRPr="007B01DE">
        <w:rPr>
          <w:lang w:bidi="es-ES"/>
        </w:rPr>
        <w:t> </w:t>
      </w:r>
      <w:hyperlink r:id="rId16" w:history="1">
        <w:r w:rsidRPr="007B01DE">
          <w:rPr>
            <w:rStyle w:val="Hyperlink"/>
            <w:lang w:bidi="es-ES"/>
          </w:rPr>
          <w:t>9.GA 7</w:t>
        </w:r>
      </w:hyperlink>
      <w:r w:rsidRPr="007B01DE">
        <w:rPr>
          <w:lang w:bidi="es-ES"/>
        </w:rPr>
        <w:t xml:space="preserve">), la décima reunión de la Asamblea General, tras una consulta con los Estados Partes, el Foro de ONG del PCI y los centros de categoría 2, adoptó un plan destinado a garantizar el equilibrio geográfico entre las ONG acreditadas en virtud de la Convención de </w:t>
      </w:r>
      <w:r w:rsidRPr="007B01DE">
        <w:rPr>
          <w:lang w:bidi="es-ES"/>
        </w:rPr>
        <w:lastRenderedPageBreak/>
        <w:t xml:space="preserve">2003 (Resolución </w:t>
      </w:r>
      <w:hyperlink r:id="rId17" w:history="1">
        <w:r w:rsidRPr="007B01DE">
          <w:rPr>
            <w:rStyle w:val="Hyperlink"/>
            <w:lang w:bidi="es-ES"/>
          </w:rPr>
          <w:t>10.GA 9 Add.</w:t>
        </w:r>
      </w:hyperlink>
      <w:r w:rsidRPr="007B01DE">
        <w:rPr>
          <w:lang w:bidi="es-ES"/>
        </w:rPr>
        <w:t xml:space="preserve">), que aplicarán la Secretaría, el Foro de ONG del PCI, los centros de categoría 2 y otras partes interesadas. </w:t>
      </w:r>
    </w:p>
    <w:p w14:paraId="33D24E24" w14:textId="54D082A8" w:rsidR="003640B8" w:rsidRPr="007B01DE" w:rsidRDefault="003640B8" w:rsidP="003640B8">
      <w:pPr>
        <w:pStyle w:val="COMPara"/>
        <w:ind w:left="567" w:hanging="567"/>
        <w:jc w:val="both"/>
      </w:pPr>
      <w:r w:rsidRPr="007B01DE">
        <w:rPr>
          <w:lang w:bidi="es-ES"/>
        </w:rPr>
        <w:t xml:space="preserve">En este sentido, el Foro de ONG del PCI llevó a cabo actividades en 2024 y 2025 dirigidas en particular a las ONG de regiones infrarrepresentadas que podrían beneficiarse del sistema de acreditación previsto en la Convención de 2003 (documento </w:t>
      </w:r>
      <w:hyperlink r:id="rId18" w:history="1">
        <w:r w:rsidRPr="007B01DE">
          <w:rPr>
            <w:rStyle w:val="Hyperlink"/>
            <w:lang w:bidi="es-ES"/>
          </w:rPr>
          <w:t>LHE/25/20.COM/15</w:t>
        </w:r>
      </w:hyperlink>
      <w:r w:rsidRPr="007B01DE">
        <w:rPr>
          <w:lang w:bidi="es-ES"/>
        </w:rPr>
        <w:t>).</w:t>
      </w:r>
    </w:p>
    <w:p w14:paraId="260C821D" w14:textId="77777777" w:rsidR="003640B8" w:rsidRPr="007B01DE" w:rsidRDefault="003640B8" w:rsidP="003640B8">
      <w:pPr>
        <w:pStyle w:val="COMPara"/>
        <w:numPr>
          <w:ilvl w:val="0"/>
          <w:numId w:val="23"/>
        </w:numPr>
        <w:ind w:left="1134" w:hanging="567"/>
        <w:jc w:val="both"/>
      </w:pPr>
      <w:r w:rsidRPr="007B01DE">
        <w:rPr>
          <w:lang w:bidi="es-ES"/>
        </w:rPr>
        <w:t xml:space="preserve">Tras actividades piloto similares en 2023, el Foro coordinó una serie de sesiones informativas en línea para posibles solicitantes en marzo de 2025, justo antes de la fecha límite de presentación de solicitudes de acreditación (30 de abril de 2025); estas sesiones se organizaron para Europa Oriental, América Latina, Asia-Pacífico, África y los Estados Árabes. Los seminarios web trataron sobre una introducción al sistema de acreditación, los criterios de admisibilidad y las ventajas de la acreditación, así como la pertenencia al Foro. </w:t>
      </w:r>
    </w:p>
    <w:p w14:paraId="48E84D81" w14:textId="768547D4" w:rsidR="003640B8" w:rsidRPr="007B01DE" w:rsidRDefault="003640B8" w:rsidP="003640B8">
      <w:pPr>
        <w:pStyle w:val="COMPara"/>
        <w:numPr>
          <w:ilvl w:val="0"/>
          <w:numId w:val="23"/>
        </w:numPr>
        <w:ind w:left="1134" w:hanging="567"/>
        <w:jc w:val="both"/>
      </w:pPr>
      <w:r w:rsidRPr="007B01DE">
        <w:rPr>
          <w:lang w:bidi="es-ES"/>
        </w:rPr>
        <w:t xml:space="preserve">El Foro también prosiguió el proyecto de cartografía de los ámbitos de competencia de las ONG acreditadas. Basándose en los resultados de la fase inicial en 2023-2024, </w:t>
      </w:r>
      <w:r w:rsidR="002027B3" w:rsidRPr="007B01DE">
        <w:rPr>
          <w:lang w:bidi="es-ES"/>
        </w:rPr>
        <w:t>disponibles</w:t>
      </w:r>
      <w:r w:rsidR="00D60B23" w:rsidRPr="007B01DE">
        <w:rPr>
          <w:lang w:bidi="es-ES"/>
        </w:rPr>
        <w:t xml:space="preserve"> en la </w:t>
      </w:r>
      <w:hyperlink r:id="rId19" w:history="1">
        <w:r w:rsidR="00D60B23" w:rsidRPr="007B01DE">
          <w:rPr>
            <w:rStyle w:val="Hyperlink"/>
            <w:lang w:bidi="es-ES"/>
          </w:rPr>
          <w:t>página web</w:t>
        </w:r>
      </w:hyperlink>
      <w:r w:rsidR="00D60B23" w:rsidRPr="007B01DE">
        <w:rPr>
          <w:lang w:bidi="es-ES"/>
        </w:rPr>
        <w:t xml:space="preserve"> de la Convención, </w:t>
      </w:r>
      <w:r w:rsidRPr="007B01DE">
        <w:rPr>
          <w:lang w:bidi="es-ES"/>
        </w:rPr>
        <w:t xml:space="preserve">el Foro prosiguió su colaboración con la Secretaría para avanzar en la segunda fase del proyecto en 2025. Una vez concluida la segunda fase, los perfiles de 160 de las 258 ONG acreditadas en este momento estarán disponibles en línea. Se espera que los resultados de la cartografía aclaren en qué áreas se concentran los conocimientos especializados y dónde faltan, orientando así los esfuerzos para reforzar la representación de las regiones infrarrepresentadas. </w:t>
      </w:r>
    </w:p>
    <w:p w14:paraId="1AD5C246" w14:textId="2C5476EF" w:rsidR="00D63318" w:rsidRPr="007B01DE" w:rsidRDefault="003640B8" w:rsidP="005F4EBC">
      <w:pPr>
        <w:pStyle w:val="COMPara"/>
        <w:ind w:left="567" w:hanging="567"/>
        <w:jc w:val="both"/>
      </w:pPr>
      <w:r w:rsidRPr="007B01DE">
        <w:rPr>
          <w:lang w:bidi="es-ES"/>
        </w:rPr>
        <w:t>El número de solicitudes de acreditación aumenta de forma constante, pasando de 46 en el ciclo de 2022 a 73 en el de 2024</w:t>
      </w:r>
      <w:r w:rsidR="001D4D42" w:rsidRPr="007B01DE">
        <w:rPr>
          <w:lang w:bidi="es-ES"/>
        </w:rPr>
        <w:t>,</w:t>
      </w:r>
      <w:r w:rsidRPr="007B01DE">
        <w:rPr>
          <w:lang w:bidi="es-ES"/>
        </w:rPr>
        <w:t xml:space="preserve"> y a 96 en el de 2026. Esta evolución positiva es el resultado de los esfuerzos de sensibilización y refuerzo de las capacidades antes mencionados, combinados con el creciente interés que se observa en torno a la Convención y sus mecanismos. Sin embargo, hay que mencionar que el interés que suscita el patrimonio vivo también atrae la atención de una nueva categoría de ONG que buscan acreditación y pueden no cumplir todos los criterios</w:t>
      </w:r>
      <w:r w:rsidR="000D226E" w:rsidRPr="007B01DE">
        <w:rPr>
          <w:lang w:bidi="es-ES"/>
        </w:rPr>
        <w:t>. E</w:t>
      </w:r>
      <w:r w:rsidRPr="007B01DE">
        <w:rPr>
          <w:lang w:bidi="es-ES"/>
        </w:rPr>
        <w:t xml:space="preserve">n </w:t>
      </w:r>
      <w:r w:rsidR="00AC3B3E" w:rsidRPr="007B01DE">
        <w:rPr>
          <w:lang w:bidi="es-ES"/>
        </w:rPr>
        <w:t xml:space="preserve">algunos </w:t>
      </w:r>
      <w:r w:rsidRPr="007B01DE">
        <w:rPr>
          <w:lang w:bidi="es-ES"/>
        </w:rPr>
        <w:t xml:space="preserve">casos, estas entidades son organizaciones más bien generalistas, activas en varios campos del desarrollo sostenible, pero que, en ocasiones, carecen </w:t>
      </w:r>
      <w:r w:rsidR="005E21CB" w:rsidRPr="007B01DE">
        <w:rPr>
          <w:lang w:bidi="es-ES"/>
        </w:rPr>
        <w:t xml:space="preserve">o tienen experiencia </w:t>
      </w:r>
      <w:r w:rsidRPr="007B01DE">
        <w:rPr>
          <w:lang w:bidi="es-ES"/>
        </w:rPr>
        <w:t>específica demostrada</w:t>
      </w:r>
      <w:r w:rsidR="00776EFF" w:rsidRPr="007B01DE">
        <w:rPr>
          <w:lang w:bidi="es-ES"/>
        </w:rPr>
        <w:t xml:space="preserve"> </w:t>
      </w:r>
      <w:r w:rsidRPr="007B01DE">
        <w:rPr>
          <w:lang w:bidi="es-ES"/>
        </w:rPr>
        <w:t xml:space="preserve">muy limitada en la salvaguardia del patrimonio cultural inmaterial. Mientras tanto, aunque la distribución geográfica entre las ONG recomendadas para acreditación se mantiene bastante estable en este ciclo en comparación con el anterior, cabe señalar que el número de ONG del Grupo electoral V(a) que </w:t>
      </w:r>
      <w:r w:rsidR="003427D0" w:rsidRPr="007B01DE">
        <w:rPr>
          <w:lang w:bidi="es-ES"/>
        </w:rPr>
        <w:t xml:space="preserve">se recomienda </w:t>
      </w:r>
      <w:r w:rsidR="00064B0A" w:rsidRPr="007B01DE">
        <w:rPr>
          <w:lang w:bidi="es-ES"/>
        </w:rPr>
        <w:t>a</w:t>
      </w:r>
      <w:r w:rsidR="00776EFF" w:rsidRPr="007B01DE">
        <w:rPr>
          <w:lang w:bidi="es-ES"/>
        </w:rPr>
        <w:t xml:space="preserve"> acreditación por la </w:t>
      </w:r>
      <w:r w:rsidRPr="007B01DE">
        <w:rPr>
          <w:lang w:bidi="es-ES"/>
        </w:rPr>
        <w:t>presente reunión de la Asamblea General ha aumentado: representaban el 4 % de las solicitudes recomendadas en 2023-2024, frente al 10 % de las solicitudes recomendadas en el ciclo actual.</w:t>
      </w:r>
    </w:p>
    <w:p w14:paraId="50D3EAFF" w14:textId="3A349EC1" w:rsidR="00D95C4C" w:rsidRPr="007B01DE" w:rsidRDefault="005C792B" w:rsidP="005C792B">
      <w:pPr>
        <w:pStyle w:val="COMPara"/>
        <w:ind w:left="567" w:hanging="567"/>
      </w:pPr>
      <w:r w:rsidRPr="007B01DE">
        <w:rPr>
          <w:lang w:eastAsia="fr-FR"/>
        </w:rPr>
        <w:t>La Asamblea General podría aprobar la siguiente resolución:</w:t>
      </w:r>
    </w:p>
    <w:p w14:paraId="6CEB1E9D" w14:textId="342CA58C" w:rsidR="00D95C4C" w:rsidRPr="007B01DE" w:rsidRDefault="004A34A0" w:rsidP="001D14FE">
      <w:pPr>
        <w:pStyle w:val="COMTitleDecision"/>
        <w:rPr>
          <w:rFonts w:eastAsia="SimSun"/>
        </w:rPr>
      </w:pPr>
      <w:r w:rsidRPr="007B01DE">
        <w:t>PROYECTO DE RESOLUCIÓN 11.GA 9</w:t>
      </w:r>
    </w:p>
    <w:p w14:paraId="13024F0B" w14:textId="5181E164" w:rsidR="00D95C4C" w:rsidRPr="007B01DE" w:rsidRDefault="005C792B" w:rsidP="00285BB4">
      <w:pPr>
        <w:pStyle w:val="COMPreambulaDecisions"/>
        <w:rPr>
          <w:rFonts w:eastAsia="SimSun"/>
        </w:rPr>
      </w:pPr>
      <w:r w:rsidRPr="007B01DE">
        <w:t>La Asamblea General,</w:t>
      </w:r>
    </w:p>
    <w:p w14:paraId="3C86A9E2" w14:textId="3F637BED" w:rsidR="003640B8" w:rsidRPr="007B01DE" w:rsidRDefault="003640B8" w:rsidP="003640B8">
      <w:pPr>
        <w:pStyle w:val="COMParaDecision"/>
        <w:jc w:val="left"/>
      </w:pPr>
      <w:r w:rsidRPr="007B01DE">
        <w:rPr>
          <w:lang w:bidi="es-ES"/>
        </w:rPr>
        <w:t>Habiendo examinado</w:t>
      </w:r>
      <w:r w:rsidRPr="007B01DE">
        <w:rPr>
          <w:u w:val="none"/>
          <w:lang w:bidi="es-ES"/>
        </w:rPr>
        <w:t xml:space="preserve"> el documento LHE/26/11.GA/9 y su anexo</w:t>
      </w:r>
      <w:r w:rsidR="00934032" w:rsidRPr="007B01DE">
        <w:rPr>
          <w:u w:val="none"/>
          <w:lang w:bidi="es-ES"/>
        </w:rPr>
        <w:t>,</w:t>
      </w:r>
    </w:p>
    <w:p w14:paraId="15302A95" w14:textId="6696096A" w:rsidR="003640B8" w:rsidRPr="007B01DE" w:rsidRDefault="003640B8" w:rsidP="003640B8">
      <w:pPr>
        <w:pStyle w:val="COMParaDecision"/>
      </w:pPr>
      <w:r w:rsidRPr="007B01DE">
        <w:rPr>
          <w:lang w:bidi="es-ES"/>
        </w:rPr>
        <w:t>Recordando</w:t>
      </w:r>
      <w:r w:rsidRPr="007B01DE">
        <w:rPr>
          <w:u w:val="none"/>
          <w:lang w:bidi="es-ES"/>
        </w:rPr>
        <w:t xml:space="preserve"> el Artículo 9 de la Convención y los párrafos 91 a 99 de las Directrices Operativas</w:t>
      </w:r>
      <w:r w:rsidR="00934032" w:rsidRPr="007B01DE">
        <w:rPr>
          <w:u w:val="none"/>
          <w:lang w:bidi="es-ES"/>
        </w:rPr>
        <w:t>,</w:t>
      </w:r>
    </w:p>
    <w:p w14:paraId="73DE43AF" w14:textId="41547473" w:rsidR="003640B8" w:rsidRPr="007B01DE" w:rsidRDefault="003640B8" w:rsidP="003640B8">
      <w:pPr>
        <w:pStyle w:val="COMParaDecision"/>
      </w:pPr>
      <w:r w:rsidRPr="007B01DE">
        <w:rPr>
          <w:lang w:bidi="es-ES"/>
        </w:rPr>
        <w:t>Recordando asimismo</w:t>
      </w:r>
      <w:r w:rsidRPr="007B01DE">
        <w:rPr>
          <w:u w:val="none"/>
          <w:lang w:bidi="es-ES"/>
        </w:rPr>
        <w:t xml:space="preserve"> la Resolución </w:t>
      </w:r>
      <w:hyperlink r:id="rId20" w:history="1">
        <w:r w:rsidRPr="007B01DE">
          <w:rPr>
            <w:rStyle w:val="Hyperlink"/>
            <w:lang w:bidi="es-ES"/>
          </w:rPr>
          <w:t>10.GA 9 Add.</w:t>
        </w:r>
      </w:hyperlink>
      <w:r w:rsidRPr="007B01DE">
        <w:rPr>
          <w:u w:val="none"/>
          <w:lang w:bidi="es-ES"/>
        </w:rPr>
        <w:t xml:space="preserve"> y la Decisión </w:t>
      </w:r>
      <w:hyperlink r:id="rId21" w:history="1">
        <w:r w:rsidRPr="007B01DE">
          <w:rPr>
            <w:rStyle w:val="Hyperlink"/>
            <w:lang w:bidi="es-ES"/>
          </w:rPr>
          <w:t>20.COM 16</w:t>
        </w:r>
      </w:hyperlink>
      <w:r w:rsidR="001F6CB6" w:rsidRPr="007B01DE">
        <w:rPr>
          <w:rStyle w:val="Hyperlink"/>
          <w:color w:val="auto"/>
          <w:u w:val="none"/>
          <w:lang w:bidi="es-ES"/>
        </w:rPr>
        <w:t>,</w:t>
      </w:r>
    </w:p>
    <w:p w14:paraId="30D77B33" w14:textId="3877064E" w:rsidR="003640B8" w:rsidRPr="007B01DE" w:rsidRDefault="003640B8" w:rsidP="003640B8">
      <w:pPr>
        <w:pStyle w:val="COMParaDecision"/>
      </w:pPr>
      <w:r w:rsidRPr="007B01DE">
        <w:rPr>
          <w:lang w:bidi="es-ES"/>
        </w:rPr>
        <w:t>Acredita</w:t>
      </w:r>
      <w:r w:rsidRPr="007B01DE">
        <w:rPr>
          <w:u w:val="none"/>
          <w:lang w:bidi="es-ES"/>
        </w:rPr>
        <w:t xml:space="preserve"> a las 59 ONG enumeradas en el anexo de esta resolución con fines de asistencia consultiva ante el Comité;</w:t>
      </w:r>
    </w:p>
    <w:p w14:paraId="559E1949" w14:textId="77777777" w:rsidR="003640B8" w:rsidRPr="007B01DE" w:rsidRDefault="003640B8" w:rsidP="003640B8">
      <w:pPr>
        <w:pStyle w:val="COMParaDecision"/>
      </w:pPr>
      <w:bookmarkStart w:id="2" w:name="_Hlk47615881"/>
      <w:r w:rsidRPr="007B01DE">
        <w:rPr>
          <w:lang w:bidi="es-ES"/>
        </w:rPr>
        <w:t>Toma nota</w:t>
      </w:r>
      <w:r w:rsidRPr="007B01DE">
        <w:rPr>
          <w:u w:val="none"/>
          <w:lang w:bidi="es-ES"/>
        </w:rPr>
        <w:t xml:space="preserve"> de las medidas adoptadas para mejorar la distribución geográfica de las ONG acreditadas en virtud de la Convención de 2003, </w:t>
      </w:r>
      <w:r w:rsidRPr="007B01DE">
        <w:rPr>
          <w:lang w:bidi="es-ES"/>
        </w:rPr>
        <w:t>alienta</w:t>
      </w:r>
      <w:r w:rsidRPr="007B01DE">
        <w:rPr>
          <w:u w:val="none"/>
          <w:lang w:bidi="es-ES"/>
        </w:rPr>
        <w:t xml:space="preserve"> a la Secretaría, al Foro de ONG del PCI, a los centros de categoría 2 y a otras partes interesadas a seguir trabajando en sus objetivos, y </w:t>
      </w:r>
      <w:r w:rsidRPr="007B01DE">
        <w:rPr>
          <w:lang w:bidi="es-ES"/>
        </w:rPr>
        <w:t>reitera</w:t>
      </w:r>
      <w:r w:rsidRPr="007B01DE">
        <w:rPr>
          <w:u w:val="none"/>
          <w:lang w:bidi="es-ES"/>
        </w:rPr>
        <w:t xml:space="preserve"> su invitación a los Estados Partes de los Grupos electorales infrarrepresentados para que alienten a las ONG que operan en sus territorios y cumplen los criterios de acreditación a presentar solicitudes de acreditación lo antes posible;</w:t>
      </w:r>
    </w:p>
    <w:bookmarkEnd w:id="2"/>
    <w:p w14:paraId="5A9F22F3" w14:textId="4B6BF71E" w:rsidR="0057439C" w:rsidRPr="007B01DE" w:rsidRDefault="003640B8" w:rsidP="003640B8">
      <w:pPr>
        <w:pStyle w:val="COMParaDecision"/>
      </w:pPr>
      <w:r w:rsidRPr="007B01DE">
        <w:rPr>
          <w:lang w:bidi="es-ES"/>
        </w:rPr>
        <w:lastRenderedPageBreak/>
        <w:t>Recuerda</w:t>
      </w:r>
      <w:r w:rsidRPr="007B01DE">
        <w:rPr>
          <w:u w:val="none"/>
          <w:lang w:bidi="es-ES"/>
        </w:rPr>
        <w:t xml:space="preserve"> a las ONG acreditadas en 2010, 2014, 2018 y 2022 que deben presentar su informe cuatrienal a la Secretaría antes de la fecha límite del 15 de febrero de 2027 para que la vigésima segunda reunión del Comité pueda examinar las contribuciones y el compromiso de cada organización consultiva.</w:t>
      </w:r>
    </w:p>
    <w:p w14:paraId="282701A8" w14:textId="39D0B973" w:rsidR="00224018" w:rsidRPr="007B01DE" w:rsidRDefault="00937D53" w:rsidP="005F4EBC">
      <w:pPr>
        <w:pStyle w:val="COMParaDecision"/>
        <w:numPr>
          <w:ilvl w:val="0"/>
          <w:numId w:val="0"/>
        </w:numPr>
        <w:rPr>
          <w:b/>
          <w:bCs/>
          <w:snapToGrid w:val="0"/>
          <w:u w:val="none"/>
          <w:lang w:val="es-BO" w:eastAsia="en-US"/>
        </w:rPr>
      </w:pPr>
      <w:r w:rsidRPr="007B01DE">
        <w:rPr>
          <w:lang w:bidi="es-ES"/>
        </w:rPr>
        <w:br w:type="page"/>
      </w:r>
      <w:r w:rsidR="00224018" w:rsidRPr="007B01DE">
        <w:rPr>
          <w:b/>
          <w:snapToGrid w:val="0"/>
          <w:u w:val="none"/>
          <w:lang w:bidi="es-ES"/>
        </w:rPr>
        <w:lastRenderedPageBreak/>
        <w:t>Anexo: Cincuenta y nueve organizaciones no gubernamentales cuya acreditación se recomienda</w:t>
      </w:r>
      <w:r w:rsidR="0082391A" w:rsidRPr="007B01DE">
        <w:rPr>
          <w:b/>
          <w:snapToGrid w:val="0"/>
          <w:u w:val="none"/>
          <w:lang w:bidi="es-ES"/>
        </w:rPr>
        <w:t xml:space="preserve"> </w:t>
      </w:r>
      <w:r w:rsidR="00224018" w:rsidRPr="007B01DE">
        <w:rPr>
          <w:b/>
          <w:snapToGrid w:val="0"/>
          <w:u w:val="none"/>
          <w:lang w:bidi="es-ES"/>
        </w:rPr>
        <w:t>por parte de la vigésima reunión del Comité</w:t>
      </w:r>
    </w:p>
    <w:tbl>
      <w:tblPr>
        <w:tblStyle w:val="TableGrid"/>
        <w:tblW w:w="5000" w:type="pct"/>
        <w:tblInd w:w="-5" w:type="dxa"/>
        <w:tblLayout w:type="fixed"/>
        <w:tblLook w:val="04A0" w:firstRow="1" w:lastRow="0" w:firstColumn="1" w:lastColumn="0" w:noHBand="0" w:noVBand="1"/>
      </w:tblPr>
      <w:tblGrid>
        <w:gridCol w:w="5954"/>
        <w:gridCol w:w="2182"/>
        <w:gridCol w:w="1492"/>
      </w:tblGrid>
      <w:tr w:rsidR="00224018" w:rsidRPr="007B01DE" w14:paraId="4DCFCFB1" w14:textId="77777777" w:rsidTr="007B01DE">
        <w:trPr>
          <w:trHeight w:val="624"/>
        </w:trPr>
        <w:tc>
          <w:tcPr>
            <w:tcW w:w="3092" w:type="pct"/>
            <w:shd w:val="clear" w:color="auto" w:fill="365F91" w:themeFill="accent1" w:themeFillShade="BF"/>
            <w:noWrap/>
            <w:vAlign w:val="center"/>
            <w:hideMark/>
          </w:tcPr>
          <w:p w14:paraId="7B775568" w14:textId="77777777" w:rsidR="00224018" w:rsidRPr="007B01DE" w:rsidRDefault="00224018" w:rsidP="00EE21E8">
            <w:pPr>
              <w:spacing w:before="120" w:after="120"/>
              <w:jc w:val="center"/>
              <w:rPr>
                <w:rFonts w:ascii="Arial" w:hAnsi="Arial" w:cs="Arial"/>
                <w:b/>
                <w:bCs/>
                <w:color w:val="FFFFFF" w:themeColor="background1"/>
                <w:sz w:val="20"/>
                <w:szCs w:val="20"/>
                <w:lang w:val="en-GB"/>
              </w:rPr>
            </w:pPr>
            <w:r w:rsidRPr="007B01DE">
              <w:rPr>
                <w:rFonts w:ascii="Arial" w:eastAsia="Arial" w:hAnsi="Arial" w:cs="Arial"/>
                <w:b/>
                <w:color w:val="FFFFFF" w:themeColor="background1"/>
                <w:sz w:val="20"/>
                <w:szCs w:val="20"/>
                <w:lang w:bidi="es-ES"/>
              </w:rPr>
              <w:t>Nombre de la organización</w:t>
            </w:r>
          </w:p>
        </w:tc>
        <w:tc>
          <w:tcPr>
            <w:tcW w:w="1133" w:type="pct"/>
            <w:shd w:val="clear" w:color="auto" w:fill="365F91" w:themeFill="accent1" w:themeFillShade="BF"/>
            <w:noWrap/>
            <w:vAlign w:val="center"/>
            <w:hideMark/>
          </w:tcPr>
          <w:p w14:paraId="2C146CA5" w14:textId="77777777" w:rsidR="00224018" w:rsidRPr="007B01DE" w:rsidRDefault="00224018" w:rsidP="00EE21E8">
            <w:pPr>
              <w:spacing w:before="120" w:after="120"/>
              <w:jc w:val="center"/>
              <w:rPr>
                <w:rFonts w:ascii="Arial" w:hAnsi="Arial" w:cs="Arial"/>
                <w:b/>
                <w:bCs/>
                <w:color w:val="FFFFFF" w:themeColor="background1"/>
                <w:sz w:val="20"/>
                <w:szCs w:val="20"/>
                <w:lang w:val="en-GB"/>
              </w:rPr>
            </w:pPr>
            <w:r w:rsidRPr="007B01DE">
              <w:rPr>
                <w:rFonts w:ascii="Arial" w:eastAsia="Arial" w:hAnsi="Arial" w:cs="Arial"/>
                <w:b/>
                <w:color w:val="FFFFFF" w:themeColor="background1"/>
                <w:sz w:val="20"/>
                <w:szCs w:val="20"/>
                <w:lang w:bidi="es-ES"/>
              </w:rPr>
              <w:t>País del domicilio social</w:t>
            </w:r>
          </w:p>
        </w:tc>
        <w:tc>
          <w:tcPr>
            <w:tcW w:w="775" w:type="pct"/>
            <w:shd w:val="clear" w:color="auto" w:fill="365F91" w:themeFill="accent1" w:themeFillShade="BF"/>
            <w:noWrap/>
            <w:vAlign w:val="center"/>
            <w:hideMark/>
          </w:tcPr>
          <w:p w14:paraId="2698C524" w14:textId="77777777" w:rsidR="00224018" w:rsidRPr="007B01DE" w:rsidRDefault="00224018" w:rsidP="00EE21E8">
            <w:pPr>
              <w:spacing w:before="120" w:after="120"/>
              <w:jc w:val="center"/>
              <w:rPr>
                <w:rFonts w:ascii="Arial" w:hAnsi="Arial" w:cs="Arial"/>
                <w:b/>
                <w:bCs/>
                <w:color w:val="FFFFFF" w:themeColor="background1"/>
                <w:sz w:val="20"/>
                <w:szCs w:val="20"/>
                <w:lang w:val="en-GB"/>
              </w:rPr>
            </w:pPr>
            <w:r w:rsidRPr="007B01DE">
              <w:rPr>
                <w:rFonts w:ascii="Arial" w:eastAsia="Arial" w:hAnsi="Arial" w:cs="Arial"/>
                <w:b/>
                <w:color w:val="FFFFFF" w:themeColor="background1"/>
                <w:sz w:val="20"/>
                <w:szCs w:val="20"/>
                <w:lang w:bidi="es-ES"/>
              </w:rPr>
              <w:t>Número de solicitud</w:t>
            </w:r>
          </w:p>
        </w:tc>
      </w:tr>
      <w:tr w:rsidR="00224018" w:rsidRPr="007B01DE" w14:paraId="2AA21473" w14:textId="77777777" w:rsidTr="00EE21E8">
        <w:trPr>
          <w:trHeight w:val="290"/>
        </w:trPr>
        <w:tc>
          <w:tcPr>
            <w:tcW w:w="3092" w:type="pct"/>
            <w:noWrap/>
            <w:vAlign w:val="center"/>
            <w:hideMark/>
          </w:tcPr>
          <w:p w14:paraId="385F9C6F"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94GREEN Foundation</w:t>
            </w:r>
          </w:p>
        </w:tc>
        <w:tc>
          <w:tcPr>
            <w:tcW w:w="1133" w:type="pct"/>
            <w:noWrap/>
            <w:vAlign w:val="center"/>
            <w:hideMark/>
          </w:tcPr>
          <w:p w14:paraId="47010DB7"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Suriname</w:t>
            </w:r>
          </w:p>
        </w:tc>
        <w:tc>
          <w:tcPr>
            <w:tcW w:w="775" w:type="pct"/>
            <w:noWrap/>
            <w:vAlign w:val="center"/>
            <w:hideMark/>
          </w:tcPr>
          <w:p w14:paraId="0E77F296"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NGO-90665</w:t>
            </w:r>
          </w:p>
        </w:tc>
      </w:tr>
      <w:tr w:rsidR="00224018" w:rsidRPr="007B01DE" w14:paraId="29C71DE6" w14:textId="77777777" w:rsidTr="00EE21E8">
        <w:trPr>
          <w:trHeight w:val="624"/>
        </w:trPr>
        <w:tc>
          <w:tcPr>
            <w:tcW w:w="3092" w:type="pct"/>
            <w:shd w:val="clear" w:color="auto" w:fill="DBE5F1" w:themeFill="accent1" w:themeFillTint="33"/>
            <w:noWrap/>
            <w:vAlign w:val="center"/>
            <w:hideMark/>
          </w:tcPr>
          <w:p w14:paraId="26F73CD9" w14:textId="77777777" w:rsidR="00224018" w:rsidRPr="007B01DE" w:rsidRDefault="00224018" w:rsidP="00EE21E8">
            <w:pPr>
              <w:spacing w:before="120" w:after="120"/>
              <w:rPr>
                <w:rFonts w:ascii="Arial" w:hAnsi="Arial" w:cs="Arial"/>
                <w:b/>
                <w:bCs/>
                <w:sz w:val="20"/>
                <w:szCs w:val="20"/>
              </w:rPr>
            </w:pPr>
            <w:r w:rsidRPr="007B01DE">
              <w:rPr>
                <w:rFonts w:ascii="Arial" w:hAnsi="Arial" w:cs="Arial"/>
                <w:b/>
                <w:bCs/>
                <w:sz w:val="20"/>
                <w:szCs w:val="20"/>
                <w:lang w:eastAsia="zh-CN"/>
              </w:rPr>
              <w:t>"</w:t>
            </w:r>
            <w:proofErr w:type="spellStart"/>
            <w:r w:rsidRPr="007B01DE">
              <w:rPr>
                <w:rFonts w:ascii="Arial" w:hAnsi="Arial" w:cs="Arial"/>
                <w:b/>
                <w:bCs/>
                <w:sz w:val="20"/>
                <w:szCs w:val="20"/>
                <w:lang w:eastAsia="zh-CN"/>
              </w:rPr>
              <w:t>Umrboqiy</w:t>
            </w:r>
            <w:proofErr w:type="spellEnd"/>
            <w:r w:rsidRPr="007B01DE">
              <w:rPr>
                <w:rFonts w:ascii="Arial" w:hAnsi="Arial" w:cs="Arial"/>
                <w:b/>
                <w:bCs/>
                <w:sz w:val="20"/>
                <w:szCs w:val="20"/>
                <w:lang w:eastAsia="zh-CN"/>
              </w:rPr>
              <w:t xml:space="preserve"> meros" </w:t>
            </w:r>
            <w:proofErr w:type="spellStart"/>
            <w:r w:rsidRPr="007B01DE">
              <w:rPr>
                <w:rFonts w:ascii="Arial" w:hAnsi="Arial" w:cs="Arial"/>
                <w:b/>
                <w:bCs/>
                <w:sz w:val="20"/>
                <w:szCs w:val="20"/>
                <w:lang w:eastAsia="zh-CN"/>
              </w:rPr>
              <w:t>O’zbekiston</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madaniyati</w:t>
            </w:r>
            <w:proofErr w:type="spellEnd"/>
            <w:r w:rsidRPr="007B01DE">
              <w:rPr>
                <w:rFonts w:ascii="Arial" w:hAnsi="Arial" w:cs="Arial"/>
                <w:b/>
                <w:bCs/>
                <w:sz w:val="20"/>
                <w:szCs w:val="20"/>
                <w:lang w:eastAsia="zh-CN"/>
              </w:rPr>
              <w:t xml:space="preserve"> va </w:t>
            </w:r>
            <w:proofErr w:type="spellStart"/>
            <w:r w:rsidRPr="007B01DE">
              <w:rPr>
                <w:rFonts w:ascii="Arial" w:hAnsi="Arial" w:cs="Arial"/>
                <w:b/>
                <w:bCs/>
                <w:sz w:val="20"/>
                <w:szCs w:val="20"/>
                <w:lang w:eastAsia="zh-CN"/>
              </w:rPr>
              <w:t>san’ati</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targï</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bot</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Markazi</w:t>
            </w:r>
            <w:proofErr w:type="spellEnd"/>
          </w:p>
        </w:tc>
        <w:tc>
          <w:tcPr>
            <w:tcW w:w="1133" w:type="pct"/>
            <w:shd w:val="clear" w:color="auto" w:fill="DBE5F1" w:themeFill="accent1" w:themeFillTint="33"/>
            <w:noWrap/>
            <w:vAlign w:val="center"/>
            <w:hideMark/>
          </w:tcPr>
          <w:p w14:paraId="75E605BA"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Uzbekistán</w:t>
            </w:r>
          </w:p>
        </w:tc>
        <w:tc>
          <w:tcPr>
            <w:tcW w:w="775" w:type="pct"/>
            <w:shd w:val="clear" w:color="auto" w:fill="DBE5F1" w:themeFill="accent1" w:themeFillTint="33"/>
            <w:noWrap/>
            <w:vAlign w:val="center"/>
            <w:hideMark/>
          </w:tcPr>
          <w:p w14:paraId="1476B9E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NGO-90616</w:t>
            </w:r>
          </w:p>
        </w:tc>
      </w:tr>
      <w:tr w:rsidR="00224018" w:rsidRPr="007B01DE" w14:paraId="6CFFBE69" w14:textId="77777777" w:rsidTr="00EE21E8">
        <w:trPr>
          <w:trHeight w:val="290"/>
        </w:trPr>
        <w:tc>
          <w:tcPr>
            <w:tcW w:w="3092" w:type="pct"/>
            <w:noWrap/>
            <w:vAlign w:val="center"/>
          </w:tcPr>
          <w:p w14:paraId="56D2DCDE" w14:textId="56964F2C" w:rsidR="00224018" w:rsidRPr="007B01DE" w:rsidRDefault="00224018" w:rsidP="00EE21E8">
            <w:pPr>
              <w:spacing w:before="120" w:after="120"/>
              <w:rPr>
                <w:rFonts w:ascii="Arial" w:hAnsi="Arial" w:cs="Arial"/>
                <w:b/>
                <w:bCs/>
                <w:sz w:val="20"/>
                <w:szCs w:val="20"/>
              </w:rPr>
            </w:pPr>
            <w:proofErr w:type="spellStart"/>
            <w:r w:rsidRPr="007B01DE">
              <w:rPr>
                <w:rFonts w:ascii="Arial" w:hAnsi="Arial" w:cs="Arial"/>
                <w:b/>
                <w:bCs/>
                <w:sz w:val="20"/>
                <w:szCs w:val="20"/>
                <w:lang w:eastAsia="zh-CN"/>
              </w:rPr>
              <w:t>Akademsko</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društvo</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za</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negovanje</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muzike</w:t>
            </w:r>
            <w:proofErr w:type="spellEnd"/>
            <w:r w:rsidRPr="007B01DE">
              <w:rPr>
                <w:rFonts w:ascii="Arial" w:hAnsi="Arial" w:cs="Arial"/>
                <w:b/>
                <w:bCs/>
                <w:sz w:val="20"/>
                <w:szCs w:val="20"/>
                <w:lang w:eastAsia="zh-CN"/>
              </w:rPr>
              <w:t xml:space="preserve"> </w:t>
            </w:r>
            <w:r w:rsidR="0082391A" w:rsidRPr="007B01DE">
              <w:rPr>
                <w:rFonts w:ascii="Arial" w:hAnsi="Arial" w:cs="Arial"/>
                <w:b/>
                <w:bCs/>
                <w:sz w:val="20"/>
                <w:szCs w:val="20"/>
                <w:lang w:eastAsia="zh-CN"/>
              </w:rPr>
              <w:t>"</w:t>
            </w:r>
            <w:r w:rsidRPr="007B01DE">
              <w:rPr>
                <w:rFonts w:ascii="Arial" w:hAnsi="Arial" w:cs="Arial"/>
                <w:b/>
                <w:bCs/>
                <w:sz w:val="20"/>
                <w:szCs w:val="20"/>
                <w:lang w:eastAsia="zh-CN"/>
              </w:rPr>
              <w:t>Gusle</w:t>
            </w:r>
            <w:r w:rsidR="0082391A" w:rsidRPr="007B01DE">
              <w:rPr>
                <w:rFonts w:ascii="Arial" w:hAnsi="Arial" w:cs="Arial"/>
                <w:b/>
                <w:bCs/>
                <w:sz w:val="20"/>
                <w:szCs w:val="20"/>
                <w:lang w:eastAsia="zh-CN"/>
              </w:rPr>
              <w:t>"</w:t>
            </w:r>
            <w:r w:rsidRPr="007B01DE">
              <w:rPr>
                <w:rFonts w:ascii="Arial" w:hAnsi="Arial" w:cs="Arial"/>
                <w:b/>
                <w:bCs/>
                <w:sz w:val="20"/>
                <w:szCs w:val="20"/>
                <w:lang w:eastAsia="zh-CN"/>
              </w:rPr>
              <w:t xml:space="preserve"> Kikinda - ADZNM </w:t>
            </w:r>
            <w:r w:rsidR="0082391A" w:rsidRPr="007B01DE">
              <w:rPr>
                <w:rFonts w:ascii="Arial" w:hAnsi="Arial" w:cs="Arial"/>
                <w:b/>
                <w:bCs/>
                <w:sz w:val="20"/>
                <w:szCs w:val="20"/>
                <w:lang w:eastAsia="zh-CN"/>
              </w:rPr>
              <w:t>"</w:t>
            </w:r>
            <w:r w:rsidRPr="007B01DE">
              <w:rPr>
                <w:rFonts w:ascii="Arial" w:hAnsi="Arial" w:cs="Arial"/>
                <w:b/>
                <w:bCs/>
                <w:sz w:val="20"/>
                <w:szCs w:val="20"/>
                <w:lang w:eastAsia="zh-CN"/>
              </w:rPr>
              <w:t>Gusle</w:t>
            </w:r>
            <w:r w:rsidR="0082391A" w:rsidRPr="007B01DE">
              <w:rPr>
                <w:rFonts w:ascii="Arial" w:hAnsi="Arial" w:cs="Arial"/>
                <w:b/>
                <w:bCs/>
                <w:sz w:val="20"/>
                <w:szCs w:val="20"/>
                <w:lang w:eastAsia="zh-CN"/>
              </w:rPr>
              <w:t xml:space="preserve">" </w:t>
            </w:r>
            <w:r w:rsidRPr="007B01DE">
              <w:rPr>
                <w:rFonts w:ascii="Arial" w:hAnsi="Arial" w:cs="Arial"/>
                <w:b/>
                <w:bCs/>
                <w:sz w:val="20"/>
                <w:szCs w:val="20"/>
                <w:lang w:eastAsia="zh-CN"/>
              </w:rPr>
              <w:t>Kikinda</w:t>
            </w:r>
            <w:r w:rsidRPr="007B01DE">
              <w:rPr>
                <w:rFonts w:ascii="Arial" w:hAnsi="Arial" w:cs="Arial"/>
                <w:b/>
                <w:bCs/>
                <w:sz w:val="20"/>
                <w:szCs w:val="20"/>
                <w:lang w:eastAsia="zh-CN"/>
              </w:rPr>
              <w:br/>
            </w:r>
            <w:r w:rsidRPr="007B01DE">
              <w:rPr>
                <w:rFonts w:ascii="Arial" w:hAnsi="Arial" w:cs="Arial"/>
                <w:sz w:val="20"/>
                <w:szCs w:val="20"/>
                <w:lang w:eastAsia="zh-CN"/>
              </w:rPr>
              <w:t xml:space="preserve">Academic </w:t>
            </w:r>
            <w:proofErr w:type="spellStart"/>
            <w:r w:rsidRPr="007B01DE">
              <w:rPr>
                <w:rFonts w:ascii="Arial" w:hAnsi="Arial" w:cs="Arial"/>
                <w:sz w:val="20"/>
                <w:szCs w:val="20"/>
                <w:lang w:eastAsia="zh-CN"/>
              </w:rPr>
              <w:t>Society</w:t>
            </w:r>
            <w:proofErr w:type="spellEnd"/>
            <w:r w:rsidRPr="007B01DE">
              <w:rPr>
                <w:rFonts w:ascii="Arial" w:hAnsi="Arial" w:cs="Arial"/>
                <w:sz w:val="20"/>
                <w:szCs w:val="20"/>
                <w:lang w:eastAsia="zh-CN"/>
              </w:rPr>
              <w:t xml:space="preserve"> for music </w:t>
            </w:r>
            <w:proofErr w:type="spellStart"/>
            <w:r w:rsidRPr="007B01DE">
              <w:rPr>
                <w:rFonts w:ascii="Arial" w:hAnsi="Arial" w:cs="Arial"/>
                <w:sz w:val="20"/>
                <w:szCs w:val="20"/>
                <w:lang w:eastAsia="zh-CN"/>
              </w:rPr>
              <w:t>cherishing</w:t>
            </w:r>
            <w:proofErr w:type="spellEnd"/>
            <w:r w:rsidR="0082391A" w:rsidRPr="007B01DE">
              <w:rPr>
                <w:rFonts w:ascii="Arial" w:hAnsi="Arial" w:cs="Arial"/>
                <w:sz w:val="20"/>
                <w:szCs w:val="20"/>
                <w:lang w:eastAsia="zh-CN"/>
              </w:rPr>
              <w:t xml:space="preserve"> "</w:t>
            </w:r>
            <w:r w:rsidRPr="007B01DE">
              <w:rPr>
                <w:rFonts w:ascii="Arial" w:hAnsi="Arial" w:cs="Arial"/>
                <w:sz w:val="20"/>
                <w:szCs w:val="20"/>
                <w:lang w:eastAsia="zh-CN"/>
              </w:rPr>
              <w:t>Gusle</w:t>
            </w:r>
            <w:r w:rsidR="0082391A" w:rsidRPr="007B01DE">
              <w:rPr>
                <w:rFonts w:ascii="Arial" w:hAnsi="Arial" w:cs="Arial"/>
                <w:sz w:val="20"/>
                <w:szCs w:val="20"/>
                <w:lang w:eastAsia="zh-CN"/>
              </w:rPr>
              <w:t xml:space="preserve">" </w:t>
            </w:r>
            <w:r w:rsidRPr="007B01DE">
              <w:rPr>
                <w:rFonts w:ascii="Arial" w:hAnsi="Arial" w:cs="Arial"/>
                <w:sz w:val="20"/>
                <w:szCs w:val="20"/>
                <w:lang w:eastAsia="zh-CN"/>
              </w:rPr>
              <w:t>Kikinda</w:t>
            </w:r>
          </w:p>
        </w:tc>
        <w:tc>
          <w:tcPr>
            <w:tcW w:w="1133" w:type="pct"/>
            <w:noWrap/>
            <w:vAlign w:val="center"/>
          </w:tcPr>
          <w:p w14:paraId="72700218"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Serbia</w:t>
            </w:r>
          </w:p>
        </w:tc>
        <w:tc>
          <w:tcPr>
            <w:tcW w:w="775" w:type="pct"/>
            <w:noWrap/>
            <w:vAlign w:val="center"/>
          </w:tcPr>
          <w:p w14:paraId="4E0D3D9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NGO-90668</w:t>
            </w:r>
          </w:p>
        </w:tc>
      </w:tr>
      <w:tr w:rsidR="00224018" w:rsidRPr="007B01DE" w14:paraId="00F50FAD" w14:textId="77777777" w:rsidTr="00EE21E8">
        <w:trPr>
          <w:trHeight w:val="290"/>
        </w:trPr>
        <w:tc>
          <w:tcPr>
            <w:tcW w:w="3092" w:type="pct"/>
            <w:shd w:val="clear" w:color="auto" w:fill="DBE5F1" w:themeFill="accent1" w:themeFillTint="33"/>
            <w:noWrap/>
            <w:vAlign w:val="center"/>
          </w:tcPr>
          <w:p w14:paraId="2A38C113" w14:textId="77777777" w:rsidR="00224018" w:rsidRPr="007B01DE" w:rsidRDefault="00224018" w:rsidP="00EE21E8">
            <w:pPr>
              <w:spacing w:before="120" w:after="120"/>
              <w:rPr>
                <w:rFonts w:ascii="Arial" w:hAnsi="Arial" w:cs="Arial"/>
                <w:b/>
                <w:bCs/>
                <w:sz w:val="20"/>
                <w:szCs w:val="20"/>
                <w:lang w:val="pt-PT"/>
              </w:rPr>
            </w:pPr>
            <w:r w:rsidRPr="007B01DE">
              <w:rPr>
                <w:rFonts w:ascii="Arial" w:hAnsi="Arial" w:cs="Arial"/>
                <w:b/>
                <w:bCs/>
                <w:sz w:val="20"/>
                <w:szCs w:val="20"/>
                <w:lang w:val="pt-PT" w:eastAsia="pt-PT" w:bidi="pt-PT"/>
              </w:rPr>
              <w:t>Associação Portuguesa para a Salvaguarda do Património Cultural Imaterial</w:t>
            </w:r>
            <w:r w:rsidRPr="007B01DE">
              <w:rPr>
                <w:rFonts w:ascii="Arial" w:hAnsi="Arial" w:cs="Arial"/>
                <w:b/>
                <w:bCs/>
                <w:sz w:val="20"/>
                <w:szCs w:val="20"/>
                <w:lang w:val="pt-PT" w:eastAsia="pt-PT" w:bidi="pt-PT"/>
              </w:rPr>
              <w:br/>
            </w:r>
            <w:r w:rsidRPr="007B01DE">
              <w:rPr>
                <w:rFonts w:ascii="Arial" w:hAnsi="Arial" w:cs="Arial"/>
                <w:sz w:val="20"/>
                <w:szCs w:val="20"/>
                <w:lang w:val="pt-PT" w:eastAsia="pt-PT" w:bidi="pt-PT"/>
              </w:rPr>
              <w:t>Portuguese Association for the Safeguard of the Intangible Cultural Heritage</w:t>
            </w:r>
          </w:p>
        </w:tc>
        <w:tc>
          <w:tcPr>
            <w:tcW w:w="1133" w:type="pct"/>
            <w:shd w:val="clear" w:color="auto" w:fill="DBE5F1" w:themeFill="accent1" w:themeFillTint="33"/>
            <w:noWrap/>
            <w:vAlign w:val="center"/>
          </w:tcPr>
          <w:p w14:paraId="5E53C45A"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Portugal</w:t>
            </w:r>
          </w:p>
        </w:tc>
        <w:tc>
          <w:tcPr>
            <w:tcW w:w="775" w:type="pct"/>
            <w:shd w:val="clear" w:color="auto" w:fill="DBE5F1" w:themeFill="accent1" w:themeFillTint="33"/>
            <w:noWrap/>
            <w:vAlign w:val="center"/>
          </w:tcPr>
          <w:p w14:paraId="4EA0915A"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NGO-90686</w:t>
            </w:r>
          </w:p>
        </w:tc>
      </w:tr>
      <w:tr w:rsidR="00224018" w:rsidRPr="007B01DE" w14:paraId="3DE86689" w14:textId="77777777" w:rsidTr="00EE21E8">
        <w:trPr>
          <w:trHeight w:val="290"/>
        </w:trPr>
        <w:tc>
          <w:tcPr>
            <w:tcW w:w="3092" w:type="pct"/>
            <w:noWrap/>
            <w:vAlign w:val="center"/>
            <w:hideMark/>
          </w:tcPr>
          <w:p w14:paraId="54671B7D" w14:textId="77777777" w:rsidR="00224018" w:rsidRPr="007B01DE" w:rsidRDefault="00224018" w:rsidP="00EE21E8">
            <w:pPr>
              <w:spacing w:before="120" w:after="120"/>
              <w:rPr>
                <w:rFonts w:ascii="Arial" w:hAnsi="Arial" w:cs="Arial"/>
                <w:b/>
                <w:bCs/>
                <w:sz w:val="20"/>
                <w:szCs w:val="20"/>
                <w:lang w:val="fr-FR"/>
              </w:rPr>
            </w:pPr>
            <w:r w:rsidRPr="007B01DE">
              <w:rPr>
                <w:rFonts w:ascii="Arial" w:hAnsi="Arial" w:cs="Arial"/>
                <w:b/>
                <w:bCs/>
                <w:sz w:val="20"/>
                <w:szCs w:val="20"/>
                <w:lang w:val="fr-FR" w:eastAsia="zh-CN"/>
              </w:rPr>
              <w:t>Association Culturelle de Wilaya "Biskra Takraa"</w:t>
            </w:r>
          </w:p>
        </w:tc>
        <w:tc>
          <w:tcPr>
            <w:tcW w:w="1133" w:type="pct"/>
            <w:noWrap/>
            <w:vAlign w:val="center"/>
            <w:hideMark/>
          </w:tcPr>
          <w:p w14:paraId="12967AB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Argelia</w:t>
            </w:r>
          </w:p>
        </w:tc>
        <w:tc>
          <w:tcPr>
            <w:tcW w:w="775" w:type="pct"/>
            <w:noWrap/>
            <w:vAlign w:val="center"/>
            <w:hideMark/>
          </w:tcPr>
          <w:p w14:paraId="31EF2197"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NGO-90688</w:t>
            </w:r>
          </w:p>
        </w:tc>
      </w:tr>
      <w:tr w:rsidR="00224018" w:rsidRPr="007B01DE" w14:paraId="44A5FD85" w14:textId="77777777" w:rsidTr="00EE21E8">
        <w:trPr>
          <w:trHeight w:val="624"/>
        </w:trPr>
        <w:tc>
          <w:tcPr>
            <w:tcW w:w="3092" w:type="pct"/>
            <w:shd w:val="clear" w:color="auto" w:fill="DBE5F1" w:themeFill="accent1" w:themeFillTint="33"/>
            <w:noWrap/>
            <w:vAlign w:val="center"/>
            <w:hideMark/>
          </w:tcPr>
          <w:p w14:paraId="17B276F4"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fr-FR" w:eastAsia="zh-CN"/>
              </w:rPr>
              <w:t xml:space="preserve">Association El </w:t>
            </w:r>
            <w:proofErr w:type="spellStart"/>
            <w:r w:rsidRPr="007B01DE">
              <w:rPr>
                <w:rFonts w:ascii="Arial" w:hAnsi="Arial" w:cs="Arial"/>
                <w:b/>
                <w:bCs/>
                <w:sz w:val="20"/>
                <w:szCs w:val="20"/>
                <w:lang w:val="fr-FR" w:eastAsia="zh-CN"/>
              </w:rPr>
              <w:t>Mouahidia</w:t>
            </w:r>
            <w:proofErr w:type="spellEnd"/>
            <w:r w:rsidRPr="007B01DE">
              <w:rPr>
                <w:rFonts w:ascii="Arial" w:hAnsi="Arial" w:cs="Arial"/>
                <w:b/>
                <w:bCs/>
                <w:sz w:val="20"/>
                <w:szCs w:val="20"/>
                <w:lang w:val="fr-FR" w:eastAsia="zh-CN"/>
              </w:rPr>
              <w:t xml:space="preserve"> de sauvegarde du patrimoine historique, culturel et touristique. </w:t>
            </w:r>
            <w:proofErr w:type="spellStart"/>
            <w:r w:rsidRPr="007B01DE">
              <w:rPr>
                <w:rFonts w:ascii="Arial" w:hAnsi="Arial" w:cs="Arial"/>
                <w:b/>
                <w:bCs/>
                <w:sz w:val="20"/>
                <w:szCs w:val="20"/>
                <w:lang w:val="en-GB" w:eastAsia="en-GB" w:bidi="en-GB"/>
              </w:rPr>
              <w:t>Nédroma</w:t>
            </w:r>
            <w:proofErr w:type="spellEnd"/>
            <w:r w:rsidRPr="007B01DE">
              <w:rPr>
                <w:rFonts w:ascii="Arial" w:hAnsi="Arial" w:cs="Arial"/>
                <w:b/>
                <w:bCs/>
                <w:sz w:val="20"/>
                <w:szCs w:val="20"/>
                <w:lang w:val="en-GB" w:eastAsia="en-GB" w:bidi="en-GB"/>
              </w:rPr>
              <w:t xml:space="preserve"> Wilaya de </w:t>
            </w:r>
            <w:proofErr w:type="spellStart"/>
            <w:r w:rsidRPr="007B01DE">
              <w:rPr>
                <w:rFonts w:ascii="Arial" w:hAnsi="Arial" w:cs="Arial"/>
                <w:b/>
                <w:bCs/>
                <w:sz w:val="20"/>
                <w:szCs w:val="20"/>
                <w:lang w:val="en-GB" w:eastAsia="en-GB" w:bidi="en-GB"/>
              </w:rPr>
              <w:t>Tlemcen</w:t>
            </w:r>
            <w:proofErr w:type="spellEnd"/>
            <w:r w:rsidRPr="007B01DE">
              <w:rPr>
                <w:rFonts w:ascii="Arial" w:hAnsi="Arial" w:cs="Arial"/>
                <w:b/>
                <w:bCs/>
                <w:sz w:val="20"/>
                <w:szCs w:val="20"/>
                <w:lang w:val="en-GB" w:eastAsia="en-GB" w:bidi="en-GB"/>
              </w:rPr>
              <w:t xml:space="preserve"> – Algérie</w:t>
            </w:r>
          </w:p>
        </w:tc>
        <w:tc>
          <w:tcPr>
            <w:tcW w:w="1133" w:type="pct"/>
            <w:shd w:val="clear" w:color="auto" w:fill="DBE5F1" w:themeFill="accent1" w:themeFillTint="33"/>
            <w:noWrap/>
            <w:vAlign w:val="center"/>
            <w:hideMark/>
          </w:tcPr>
          <w:p w14:paraId="348A38AC"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Argelia</w:t>
            </w:r>
          </w:p>
        </w:tc>
        <w:tc>
          <w:tcPr>
            <w:tcW w:w="775" w:type="pct"/>
            <w:shd w:val="clear" w:color="auto" w:fill="DBE5F1" w:themeFill="accent1" w:themeFillTint="33"/>
            <w:noWrap/>
            <w:vAlign w:val="center"/>
            <w:hideMark/>
          </w:tcPr>
          <w:p w14:paraId="35ACE3A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NGO-90620</w:t>
            </w:r>
          </w:p>
        </w:tc>
      </w:tr>
      <w:tr w:rsidR="00224018" w:rsidRPr="007B01DE" w14:paraId="6204ABAA" w14:textId="77777777" w:rsidTr="00EE21E8">
        <w:trPr>
          <w:trHeight w:val="624"/>
        </w:trPr>
        <w:tc>
          <w:tcPr>
            <w:tcW w:w="3092" w:type="pct"/>
            <w:noWrap/>
            <w:vAlign w:val="center"/>
            <w:hideMark/>
          </w:tcPr>
          <w:p w14:paraId="2EFBA338"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Association for the Protection of Gastronomic Heritage</w:t>
            </w:r>
          </w:p>
        </w:tc>
        <w:tc>
          <w:tcPr>
            <w:tcW w:w="1133" w:type="pct"/>
            <w:noWrap/>
            <w:vAlign w:val="center"/>
            <w:hideMark/>
          </w:tcPr>
          <w:p w14:paraId="06B1754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España</w:t>
            </w:r>
          </w:p>
        </w:tc>
        <w:tc>
          <w:tcPr>
            <w:tcW w:w="775" w:type="pct"/>
            <w:noWrap/>
            <w:vAlign w:val="center"/>
            <w:hideMark/>
          </w:tcPr>
          <w:p w14:paraId="60EC3D9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NGO-90615</w:t>
            </w:r>
          </w:p>
        </w:tc>
      </w:tr>
      <w:tr w:rsidR="00224018" w:rsidRPr="007B01DE" w14:paraId="52DD69FD" w14:textId="77777777" w:rsidTr="00EE21E8">
        <w:trPr>
          <w:trHeight w:val="290"/>
        </w:trPr>
        <w:tc>
          <w:tcPr>
            <w:tcW w:w="3092" w:type="pct"/>
            <w:shd w:val="clear" w:color="auto" w:fill="DBE5F1" w:themeFill="accent1" w:themeFillTint="33"/>
            <w:noWrap/>
            <w:vAlign w:val="center"/>
          </w:tcPr>
          <w:p w14:paraId="683A8DB8" w14:textId="77777777" w:rsidR="00224018" w:rsidRPr="007B01DE" w:rsidRDefault="00224018" w:rsidP="00EE21E8">
            <w:pPr>
              <w:spacing w:before="120" w:after="120"/>
              <w:rPr>
                <w:rFonts w:ascii="Arial" w:hAnsi="Arial" w:cs="Arial"/>
                <w:b/>
                <w:bCs/>
                <w:sz w:val="20"/>
                <w:szCs w:val="20"/>
                <w:lang w:val="fr-FR"/>
              </w:rPr>
            </w:pPr>
            <w:r w:rsidRPr="007B01DE">
              <w:rPr>
                <w:rFonts w:ascii="Arial" w:hAnsi="Arial" w:cs="Arial"/>
                <w:b/>
                <w:bCs/>
                <w:sz w:val="20"/>
                <w:szCs w:val="20"/>
                <w:lang w:val="fr-FR" w:eastAsia="zh-CN"/>
              </w:rPr>
              <w:t>Association imekres pour le patrimoine et le folklore</w:t>
            </w:r>
          </w:p>
        </w:tc>
        <w:tc>
          <w:tcPr>
            <w:tcW w:w="1133" w:type="pct"/>
            <w:shd w:val="clear" w:color="auto" w:fill="DBE5F1" w:themeFill="accent1" w:themeFillTint="33"/>
            <w:noWrap/>
            <w:vAlign w:val="center"/>
          </w:tcPr>
          <w:p w14:paraId="295BBA7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Argelia</w:t>
            </w:r>
          </w:p>
        </w:tc>
        <w:tc>
          <w:tcPr>
            <w:tcW w:w="775" w:type="pct"/>
            <w:shd w:val="clear" w:color="auto" w:fill="DBE5F1" w:themeFill="accent1" w:themeFillTint="33"/>
            <w:noWrap/>
            <w:vAlign w:val="center"/>
          </w:tcPr>
          <w:p w14:paraId="3F0C386C"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NGO-90619</w:t>
            </w:r>
          </w:p>
        </w:tc>
      </w:tr>
      <w:tr w:rsidR="00224018" w:rsidRPr="007B01DE" w14:paraId="61C3511E" w14:textId="77777777" w:rsidTr="00EE21E8">
        <w:trPr>
          <w:trHeight w:val="290"/>
        </w:trPr>
        <w:tc>
          <w:tcPr>
            <w:tcW w:w="3092" w:type="pct"/>
            <w:noWrap/>
            <w:vAlign w:val="center"/>
          </w:tcPr>
          <w:p w14:paraId="1337F830"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Association Métis</w:t>
            </w:r>
          </w:p>
        </w:tc>
        <w:tc>
          <w:tcPr>
            <w:tcW w:w="1133" w:type="pct"/>
            <w:noWrap/>
            <w:vAlign w:val="center"/>
          </w:tcPr>
          <w:p w14:paraId="653904C7"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Francia</w:t>
            </w:r>
          </w:p>
        </w:tc>
        <w:tc>
          <w:tcPr>
            <w:tcW w:w="775" w:type="pct"/>
            <w:noWrap/>
            <w:vAlign w:val="center"/>
          </w:tcPr>
          <w:p w14:paraId="57794119"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NGO-90679</w:t>
            </w:r>
          </w:p>
        </w:tc>
      </w:tr>
      <w:tr w:rsidR="00224018" w:rsidRPr="007B01DE" w14:paraId="34F6AB64" w14:textId="77777777" w:rsidTr="00EE21E8">
        <w:trPr>
          <w:trHeight w:val="290"/>
        </w:trPr>
        <w:tc>
          <w:tcPr>
            <w:tcW w:w="3092" w:type="pct"/>
            <w:shd w:val="clear" w:color="auto" w:fill="DBE5F1" w:themeFill="accent1" w:themeFillTint="33"/>
            <w:noWrap/>
            <w:vAlign w:val="center"/>
          </w:tcPr>
          <w:p w14:paraId="1D0BE177" w14:textId="77777777" w:rsidR="00224018" w:rsidRPr="007B01DE" w:rsidRDefault="00224018" w:rsidP="00EE21E8">
            <w:pPr>
              <w:spacing w:before="120" w:after="120"/>
              <w:rPr>
                <w:rFonts w:ascii="Arial" w:hAnsi="Arial" w:cs="Arial"/>
                <w:b/>
                <w:bCs/>
                <w:sz w:val="20"/>
                <w:szCs w:val="20"/>
                <w:lang w:val="fr-FR"/>
              </w:rPr>
            </w:pPr>
            <w:r w:rsidRPr="007B01DE">
              <w:rPr>
                <w:rFonts w:ascii="Arial" w:hAnsi="Arial" w:cs="Arial"/>
                <w:b/>
                <w:bCs/>
                <w:sz w:val="20"/>
                <w:szCs w:val="20"/>
                <w:lang w:val="fr-FR" w:eastAsia="zh-CN"/>
              </w:rPr>
              <w:t xml:space="preserve">Association Nationale du Patrimoine </w:t>
            </w:r>
            <w:proofErr w:type="spellStart"/>
            <w:r w:rsidRPr="007B01DE">
              <w:rPr>
                <w:rFonts w:ascii="Arial" w:hAnsi="Arial" w:cs="Arial"/>
                <w:b/>
                <w:bCs/>
                <w:sz w:val="20"/>
                <w:szCs w:val="20"/>
                <w:lang w:val="fr-FR" w:eastAsia="zh-CN"/>
              </w:rPr>
              <w:t>Tourath</w:t>
            </w:r>
            <w:proofErr w:type="spellEnd"/>
            <w:r w:rsidRPr="007B01DE">
              <w:rPr>
                <w:rFonts w:ascii="Arial" w:hAnsi="Arial" w:cs="Arial"/>
                <w:b/>
                <w:bCs/>
                <w:sz w:val="20"/>
                <w:szCs w:val="20"/>
                <w:lang w:val="fr-FR" w:eastAsia="zh-CN"/>
              </w:rPr>
              <w:t xml:space="preserve"> </w:t>
            </w:r>
            <w:proofErr w:type="spellStart"/>
            <w:r w:rsidRPr="007B01DE">
              <w:rPr>
                <w:rFonts w:ascii="Arial" w:hAnsi="Arial" w:cs="Arial"/>
                <w:b/>
                <w:bCs/>
                <w:sz w:val="20"/>
                <w:szCs w:val="20"/>
                <w:lang w:val="fr-FR" w:eastAsia="zh-CN"/>
              </w:rPr>
              <w:t>Djazairna</w:t>
            </w:r>
            <w:proofErr w:type="spellEnd"/>
          </w:p>
        </w:tc>
        <w:tc>
          <w:tcPr>
            <w:tcW w:w="1133" w:type="pct"/>
            <w:shd w:val="clear" w:color="auto" w:fill="DBE5F1" w:themeFill="accent1" w:themeFillTint="33"/>
            <w:noWrap/>
            <w:vAlign w:val="center"/>
          </w:tcPr>
          <w:p w14:paraId="6BD5457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Argelia</w:t>
            </w:r>
          </w:p>
        </w:tc>
        <w:tc>
          <w:tcPr>
            <w:tcW w:w="775" w:type="pct"/>
            <w:shd w:val="clear" w:color="auto" w:fill="DBE5F1" w:themeFill="accent1" w:themeFillTint="33"/>
            <w:noWrap/>
            <w:vAlign w:val="center"/>
          </w:tcPr>
          <w:p w14:paraId="6FD762D0"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NGO-90628</w:t>
            </w:r>
          </w:p>
        </w:tc>
      </w:tr>
      <w:tr w:rsidR="00224018" w:rsidRPr="007B01DE" w14:paraId="08078DC6" w14:textId="77777777" w:rsidTr="00EE21E8">
        <w:trPr>
          <w:trHeight w:val="624"/>
        </w:trPr>
        <w:tc>
          <w:tcPr>
            <w:tcW w:w="3092" w:type="pct"/>
            <w:noWrap/>
            <w:vAlign w:val="center"/>
            <w:hideMark/>
          </w:tcPr>
          <w:p w14:paraId="7619EF78"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Association Les Savoir-faire du Cognac - ASFC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Cognac Heritage and Know-How Association</w:t>
            </w:r>
          </w:p>
        </w:tc>
        <w:tc>
          <w:tcPr>
            <w:tcW w:w="1133" w:type="pct"/>
            <w:noWrap/>
            <w:vAlign w:val="center"/>
            <w:hideMark/>
          </w:tcPr>
          <w:p w14:paraId="5C04CE1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Francia</w:t>
            </w:r>
          </w:p>
        </w:tc>
        <w:tc>
          <w:tcPr>
            <w:tcW w:w="775" w:type="pct"/>
            <w:noWrap/>
            <w:vAlign w:val="center"/>
            <w:hideMark/>
          </w:tcPr>
          <w:p w14:paraId="3F645B18"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NGO-90635</w:t>
            </w:r>
          </w:p>
        </w:tc>
      </w:tr>
      <w:tr w:rsidR="00224018" w:rsidRPr="007B01DE" w14:paraId="4D5EBE97" w14:textId="77777777" w:rsidTr="00EE21E8">
        <w:trPr>
          <w:trHeight w:val="290"/>
        </w:trPr>
        <w:tc>
          <w:tcPr>
            <w:tcW w:w="3092" w:type="pct"/>
            <w:shd w:val="clear" w:color="auto" w:fill="DBE5F1" w:themeFill="accent1" w:themeFillTint="33"/>
            <w:noWrap/>
            <w:vAlign w:val="center"/>
          </w:tcPr>
          <w:p w14:paraId="24D6A78B"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Associazione</w:t>
            </w:r>
            <w:proofErr w:type="spellEnd"/>
            <w:r w:rsidRPr="007B01DE">
              <w:rPr>
                <w:rFonts w:ascii="Arial" w:hAnsi="Arial" w:cs="Arial"/>
                <w:b/>
                <w:bCs/>
                <w:sz w:val="20"/>
                <w:szCs w:val="20"/>
                <w:lang w:val="en-GB" w:eastAsia="en-GB" w:bidi="en-GB"/>
              </w:rPr>
              <w:t xml:space="preserve"> Polo </w:t>
            </w:r>
            <w:proofErr w:type="spellStart"/>
            <w:r w:rsidRPr="007B01DE">
              <w:rPr>
                <w:rFonts w:ascii="Arial" w:hAnsi="Arial" w:cs="Arial"/>
                <w:b/>
                <w:bCs/>
                <w:sz w:val="20"/>
                <w:szCs w:val="20"/>
                <w:lang w:val="en-GB" w:eastAsia="en-GB" w:bidi="en-GB"/>
              </w:rPr>
              <w:t>Poschiavo</w:t>
            </w:r>
            <w:proofErr w:type="spellEnd"/>
            <w:r w:rsidRPr="007B01DE">
              <w:rPr>
                <w:rFonts w:ascii="Arial" w:hAnsi="Arial" w:cs="Arial"/>
                <w:b/>
                <w:bCs/>
                <w:sz w:val="20"/>
                <w:szCs w:val="20"/>
                <w:lang w:val="en-GB" w:eastAsia="en-GB" w:bidi="en-GB"/>
              </w:rPr>
              <w:tab/>
            </w:r>
          </w:p>
        </w:tc>
        <w:tc>
          <w:tcPr>
            <w:tcW w:w="1133" w:type="pct"/>
            <w:shd w:val="clear" w:color="auto" w:fill="DBE5F1" w:themeFill="accent1" w:themeFillTint="33"/>
            <w:noWrap/>
            <w:vAlign w:val="center"/>
          </w:tcPr>
          <w:p w14:paraId="59E64554"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Suiza</w:t>
            </w:r>
          </w:p>
        </w:tc>
        <w:tc>
          <w:tcPr>
            <w:tcW w:w="775" w:type="pct"/>
            <w:shd w:val="clear" w:color="auto" w:fill="DBE5F1" w:themeFill="accent1" w:themeFillTint="33"/>
            <w:noWrap/>
            <w:vAlign w:val="center"/>
          </w:tcPr>
          <w:p w14:paraId="71FE8C7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NGO-90631</w:t>
            </w:r>
          </w:p>
        </w:tc>
      </w:tr>
      <w:tr w:rsidR="00224018" w:rsidRPr="007B01DE" w14:paraId="3589D8CF" w14:textId="77777777" w:rsidTr="00EE21E8">
        <w:trPr>
          <w:trHeight w:val="624"/>
        </w:trPr>
        <w:tc>
          <w:tcPr>
            <w:tcW w:w="3092" w:type="pct"/>
            <w:noWrap/>
            <w:vAlign w:val="center"/>
            <w:hideMark/>
          </w:tcPr>
          <w:p w14:paraId="46C2844A"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Babatunde Development And Empowerment Initiative - BDEI</w:t>
            </w:r>
          </w:p>
        </w:tc>
        <w:tc>
          <w:tcPr>
            <w:tcW w:w="1133" w:type="pct"/>
            <w:noWrap/>
            <w:vAlign w:val="center"/>
            <w:hideMark/>
          </w:tcPr>
          <w:p w14:paraId="2F59F82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Nigeria</w:t>
            </w:r>
          </w:p>
        </w:tc>
        <w:tc>
          <w:tcPr>
            <w:tcW w:w="775" w:type="pct"/>
            <w:noWrap/>
            <w:vAlign w:val="center"/>
            <w:hideMark/>
          </w:tcPr>
          <w:p w14:paraId="2990DD6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NGO-90608</w:t>
            </w:r>
          </w:p>
        </w:tc>
      </w:tr>
      <w:tr w:rsidR="00224018" w:rsidRPr="007B01DE" w14:paraId="1B8C1665" w14:textId="77777777" w:rsidTr="00EE21E8">
        <w:trPr>
          <w:trHeight w:val="290"/>
        </w:trPr>
        <w:tc>
          <w:tcPr>
            <w:tcW w:w="3092" w:type="pct"/>
            <w:shd w:val="clear" w:color="auto" w:fill="DBE5F1" w:themeFill="accent1" w:themeFillTint="33"/>
            <w:noWrap/>
            <w:vAlign w:val="center"/>
            <w:hideMark/>
          </w:tcPr>
          <w:p w14:paraId="044F5FBC"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Cenan </w:t>
            </w:r>
            <w:proofErr w:type="spellStart"/>
            <w:r w:rsidRPr="007B01DE">
              <w:rPr>
                <w:rFonts w:ascii="Arial" w:hAnsi="Arial" w:cs="Arial"/>
                <w:b/>
                <w:bCs/>
                <w:sz w:val="20"/>
                <w:szCs w:val="20"/>
                <w:lang w:val="en-GB" w:eastAsia="en-GB" w:bidi="en-GB"/>
              </w:rPr>
              <w:t>Eğitim</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Kültür</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ve</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Sağlık</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Vakfı</w:t>
            </w:r>
            <w:proofErr w:type="spellEnd"/>
            <w:r w:rsidRPr="007B01DE">
              <w:rPr>
                <w:rFonts w:ascii="Arial" w:hAnsi="Arial" w:cs="Arial"/>
                <w:b/>
                <w:bCs/>
                <w:sz w:val="20"/>
                <w:szCs w:val="20"/>
                <w:lang w:val="en-GB" w:eastAsia="en-GB" w:bidi="en-GB"/>
              </w:rPr>
              <w:t xml:space="preserve">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Cenan Foundation for Education, Culture and Health</w:t>
            </w:r>
          </w:p>
        </w:tc>
        <w:tc>
          <w:tcPr>
            <w:tcW w:w="1133" w:type="pct"/>
            <w:shd w:val="clear" w:color="auto" w:fill="DBE5F1" w:themeFill="accent1" w:themeFillTint="33"/>
            <w:noWrap/>
            <w:vAlign w:val="center"/>
            <w:hideMark/>
          </w:tcPr>
          <w:p w14:paraId="74185D4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shd w:val="clear" w:color="auto" w:fill="DBE5F1" w:themeFill="accent1" w:themeFillTint="33"/>
            <w:noWrap/>
            <w:vAlign w:val="center"/>
            <w:hideMark/>
          </w:tcPr>
          <w:p w14:paraId="65C0410A"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NGO-90653</w:t>
            </w:r>
          </w:p>
        </w:tc>
      </w:tr>
      <w:tr w:rsidR="00224018" w:rsidRPr="007B01DE" w14:paraId="590999AD" w14:textId="77777777" w:rsidTr="00EE21E8">
        <w:trPr>
          <w:trHeight w:val="624"/>
        </w:trPr>
        <w:tc>
          <w:tcPr>
            <w:tcW w:w="3092" w:type="pct"/>
            <w:noWrap/>
            <w:vAlign w:val="center"/>
            <w:hideMark/>
          </w:tcPr>
          <w:p w14:paraId="6843DA89" w14:textId="77777777" w:rsidR="00224018" w:rsidRPr="007B01DE" w:rsidRDefault="00224018" w:rsidP="00EE21E8">
            <w:pPr>
              <w:spacing w:before="120" w:after="120"/>
              <w:rPr>
                <w:rFonts w:ascii="Arial" w:hAnsi="Arial" w:cs="Arial"/>
                <w:b/>
                <w:bCs/>
                <w:sz w:val="20"/>
                <w:szCs w:val="20"/>
                <w:lang w:val="fr-FR"/>
              </w:rPr>
            </w:pPr>
            <w:r w:rsidRPr="007B01DE">
              <w:rPr>
                <w:rFonts w:ascii="Arial" w:hAnsi="Arial" w:cs="Arial"/>
                <w:b/>
                <w:bCs/>
                <w:sz w:val="20"/>
                <w:szCs w:val="20"/>
                <w:lang w:val="fr-FR" w:eastAsia="zh-CN"/>
              </w:rPr>
              <w:t>Centre régional d’études des populations alpines - CREPA</w:t>
            </w:r>
          </w:p>
        </w:tc>
        <w:tc>
          <w:tcPr>
            <w:tcW w:w="1133" w:type="pct"/>
            <w:noWrap/>
            <w:vAlign w:val="center"/>
            <w:hideMark/>
          </w:tcPr>
          <w:p w14:paraId="0E239C4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Suiza</w:t>
            </w:r>
          </w:p>
        </w:tc>
        <w:tc>
          <w:tcPr>
            <w:tcW w:w="775" w:type="pct"/>
            <w:noWrap/>
            <w:vAlign w:val="center"/>
            <w:hideMark/>
          </w:tcPr>
          <w:p w14:paraId="07300A59"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NGO-90618</w:t>
            </w:r>
          </w:p>
        </w:tc>
      </w:tr>
      <w:tr w:rsidR="00224018" w:rsidRPr="007B01DE" w14:paraId="3AAE4466" w14:textId="77777777" w:rsidTr="00EE21E8">
        <w:trPr>
          <w:trHeight w:val="290"/>
        </w:trPr>
        <w:tc>
          <w:tcPr>
            <w:tcW w:w="3092" w:type="pct"/>
            <w:shd w:val="clear" w:color="auto" w:fill="DBE5F1" w:themeFill="accent1" w:themeFillTint="33"/>
            <w:noWrap/>
            <w:vAlign w:val="center"/>
          </w:tcPr>
          <w:p w14:paraId="6059552B"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Centrum </w:t>
            </w:r>
            <w:proofErr w:type="spellStart"/>
            <w:r w:rsidRPr="007B01DE">
              <w:rPr>
                <w:rFonts w:ascii="Arial" w:hAnsi="Arial" w:cs="Arial"/>
                <w:b/>
                <w:bCs/>
                <w:sz w:val="20"/>
                <w:szCs w:val="20"/>
                <w:lang w:val="en-GB" w:eastAsia="en-GB" w:bidi="en-GB"/>
              </w:rPr>
              <w:t>voor</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Muziek</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en</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Podiumerfgoed</w:t>
            </w:r>
            <w:proofErr w:type="spellEnd"/>
            <w:r w:rsidRPr="007B01DE">
              <w:rPr>
                <w:rFonts w:ascii="Arial" w:hAnsi="Arial" w:cs="Arial"/>
                <w:b/>
                <w:bCs/>
                <w:sz w:val="20"/>
                <w:szCs w:val="20"/>
                <w:lang w:val="en-GB" w:eastAsia="en-GB" w:bidi="en-GB"/>
              </w:rPr>
              <w:t xml:space="preserve"> – CEMPER</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Centre for Music and Performing Arts Heritage – CEMPER</w:t>
            </w:r>
          </w:p>
        </w:tc>
        <w:tc>
          <w:tcPr>
            <w:tcW w:w="1133" w:type="pct"/>
            <w:shd w:val="clear" w:color="auto" w:fill="DBE5F1" w:themeFill="accent1" w:themeFillTint="33"/>
            <w:noWrap/>
            <w:vAlign w:val="center"/>
          </w:tcPr>
          <w:p w14:paraId="5E252BDC"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Bélgica</w:t>
            </w:r>
          </w:p>
        </w:tc>
        <w:tc>
          <w:tcPr>
            <w:tcW w:w="775" w:type="pct"/>
            <w:shd w:val="clear" w:color="auto" w:fill="DBE5F1" w:themeFill="accent1" w:themeFillTint="33"/>
            <w:noWrap/>
            <w:vAlign w:val="center"/>
          </w:tcPr>
          <w:p w14:paraId="53107D9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NGO-90613</w:t>
            </w:r>
          </w:p>
        </w:tc>
      </w:tr>
      <w:tr w:rsidR="00224018" w:rsidRPr="007B01DE" w14:paraId="5A3C3E88" w14:textId="77777777" w:rsidTr="00EE21E8">
        <w:trPr>
          <w:trHeight w:val="290"/>
        </w:trPr>
        <w:tc>
          <w:tcPr>
            <w:tcW w:w="3092" w:type="pct"/>
            <w:noWrap/>
            <w:vAlign w:val="center"/>
            <w:hideMark/>
          </w:tcPr>
          <w:p w14:paraId="4A82C848"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Clean Climate And Environment Campaign Initiative - CCAECI</w:t>
            </w:r>
          </w:p>
        </w:tc>
        <w:tc>
          <w:tcPr>
            <w:tcW w:w="1133" w:type="pct"/>
            <w:noWrap/>
            <w:vAlign w:val="center"/>
            <w:hideMark/>
          </w:tcPr>
          <w:p w14:paraId="164A5A16"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Nigeria</w:t>
            </w:r>
          </w:p>
        </w:tc>
        <w:tc>
          <w:tcPr>
            <w:tcW w:w="775" w:type="pct"/>
            <w:noWrap/>
            <w:vAlign w:val="center"/>
            <w:hideMark/>
          </w:tcPr>
          <w:p w14:paraId="3D6EAEF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NGO-90599</w:t>
            </w:r>
          </w:p>
        </w:tc>
      </w:tr>
      <w:tr w:rsidR="00224018" w:rsidRPr="007B01DE" w14:paraId="498BC156" w14:textId="77777777" w:rsidTr="00EE21E8">
        <w:trPr>
          <w:trHeight w:val="290"/>
        </w:trPr>
        <w:tc>
          <w:tcPr>
            <w:tcW w:w="3092" w:type="pct"/>
            <w:shd w:val="clear" w:color="auto" w:fill="DBE5F1" w:themeFill="accent1" w:themeFillTint="33"/>
            <w:noWrap/>
            <w:vAlign w:val="center"/>
            <w:hideMark/>
          </w:tcPr>
          <w:p w14:paraId="5437D5B3"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Cultural Association </w:t>
            </w:r>
            <w:proofErr w:type="spellStart"/>
            <w:r w:rsidRPr="007B01DE">
              <w:rPr>
                <w:rFonts w:ascii="Arial" w:hAnsi="Arial" w:cs="Arial"/>
                <w:b/>
                <w:bCs/>
                <w:sz w:val="20"/>
                <w:szCs w:val="20"/>
                <w:lang w:val="en-GB" w:eastAsia="en-GB" w:bidi="en-GB"/>
              </w:rPr>
              <w:t>Baizara</w:t>
            </w:r>
            <w:proofErr w:type="spellEnd"/>
          </w:p>
        </w:tc>
        <w:tc>
          <w:tcPr>
            <w:tcW w:w="1133" w:type="pct"/>
            <w:shd w:val="clear" w:color="auto" w:fill="DBE5F1" w:themeFill="accent1" w:themeFillTint="33"/>
            <w:noWrap/>
            <w:vAlign w:val="center"/>
            <w:hideMark/>
          </w:tcPr>
          <w:p w14:paraId="7D0E1C40"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España</w:t>
            </w:r>
          </w:p>
        </w:tc>
        <w:tc>
          <w:tcPr>
            <w:tcW w:w="775" w:type="pct"/>
            <w:shd w:val="clear" w:color="auto" w:fill="DBE5F1" w:themeFill="accent1" w:themeFillTint="33"/>
            <w:noWrap/>
            <w:vAlign w:val="center"/>
            <w:hideMark/>
          </w:tcPr>
          <w:p w14:paraId="215EB67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NGO-90657</w:t>
            </w:r>
          </w:p>
        </w:tc>
      </w:tr>
      <w:tr w:rsidR="00224018" w:rsidRPr="007B01DE" w14:paraId="469E8F52" w14:textId="77777777" w:rsidTr="00EE21E8">
        <w:trPr>
          <w:trHeight w:val="624"/>
        </w:trPr>
        <w:tc>
          <w:tcPr>
            <w:tcW w:w="3092" w:type="pct"/>
            <w:noWrap/>
            <w:vAlign w:val="center"/>
            <w:hideMark/>
          </w:tcPr>
          <w:p w14:paraId="1184D79D"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Doğu </w:t>
            </w:r>
            <w:proofErr w:type="spellStart"/>
            <w:r w:rsidRPr="007B01DE">
              <w:rPr>
                <w:rFonts w:ascii="Arial" w:hAnsi="Arial" w:cs="Arial"/>
                <w:b/>
                <w:bCs/>
                <w:sz w:val="20"/>
                <w:szCs w:val="20"/>
                <w:lang w:val="en-GB" w:eastAsia="en-GB" w:bidi="en-GB"/>
              </w:rPr>
              <w:t>Kültür</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ve</w:t>
            </w:r>
            <w:proofErr w:type="spellEnd"/>
            <w:r w:rsidRPr="007B01DE">
              <w:rPr>
                <w:rFonts w:ascii="Arial" w:hAnsi="Arial" w:cs="Arial"/>
                <w:b/>
                <w:bCs/>
                <w:sz w:val="20"/>
                <w:szCs w:val="20"/>
                <w:lang w:val="en-GB" w:eastAsia="en-GB" w:bidi="en-GB"/>
              </w:rPr>
              <w:t xml:space="preserve"> Sanat </w:t>
            </w:r>
            <w:proofErr w:type="spellStart"/>
            <w:r w:rsidRPr="007B01DE">
              <w:rPr>
                <w:rFonts w:ascii="Arial" w:hAnsi="Arial" w:cs="Arial"/>
                <w:b/>
                <w:bCs/>
                <w:sz w:val="20"/>
                <w:szCs w:val="20"/>
                <w:lang w:val="en-GB" w:eastAsia="en-GB" w:bidi="en-GB"/>
              </w:rPr>
              <w:t>Merkezi</w:t>
            </w:r>
            <w:proofErr w:type="spellEnd"/>
            <w:r w:rsidRPr="007B01DE">
              <w:rPr>
                <w:rFonts w:ascii="Arial" w:hAnsi="Arial" w:cs="Arial"/>
                <w:b/>
                <w:bCs/>
                <w:sz w:val="20"/>
                <w:szCs w:val="20"/>
                <w:lang w:val="en-GB" w:eastAsia="en-GB" w:bidi="en-GB"/>
              </w:rPr>
              <w:t xml:space="preserve"> Derneği - DKSM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Eastern Culture and Art Center Association - DKSM</w:t>
            </w:r>
          </w:p>
        </w:tc>
        <w:tc>
          <w:tcPr>
            <w:tcW w:w="1133" w:type="pct"/>
            <w:noWrap/>
            <w:vAlign w:val="center"/>
            <w:hideMark/>
          </w:tcPr>
          <w:p w14:paraId="30504D9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noWrap/>
            <w:vAlign w:val="center"/>
            <w:hideMark/>
          </w:tcPr>
          <w:p w14:paraId="13BCA1F9"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NGO-90661</w:t>
            </w:r>
          </w:p>
        </w:tc>
      </w:tr>
      <w:tr w:rsidR="00224018" w:rsidRPr="007B01DE" w14:paraId="039D41AC" w14:textId="77777777" w:rsidTr="00EE21E8">
        <w:trPr>
          <w:trHeight w:val="290"/>
        </w:trPr>
        <w:tc>
          <w:tcPr>
            <w:tcW w:w="3092" w:type="pct"/>
            <w:shd w:val="clear" w:color="auto" w:fill="DBE5F1" w:themeFill="accent1" w:themeFillTint="33"/>
            <w:noWrap/>
            <w:vAlign w:val="center"/>
            <w:hideMark/>
          </w:tcPr>
          <w:p w14:paraId="4BED09AA"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lastRenderedPageBreak/>
              <w:t xml:space="preserve">Dünya </w:t>
            </w:r>
            <w:proofErr w:type="spellStart"/>
            <w:r w:rsidRPr="007B01DE">
              <w:rPr>
                <w:rFonts w:ascii="Arial" w:hAnsi="Arial" w:cs="Arial"/>
                <w:b/>
                <w:bCs/>
                <w:sz w:val="20"/>
                <w:szCs w:val="20"/>
                <w:lang w:val="en-GB" w:eastAsia="en-GB" w:bidi="en-GB"/>
              </w:rPr>
              <w:t>Etnospor</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Konfederasyonu</w:t>
            </w:r>
            <w:proofErr w:type="spellEnd"/>
            <w:r w:rsidRPr="007B01DE">
              <w:rPr>
                <w:rFonts w:ascii="Arial" w:hAnsi="Arial" w:cs="Arial"/>
                <w:b/>
                <w:bCs/>
                <w:sz w:val="20"/>
                <w:szCs w:val="20"/>
                <w:lang w:val="en-GB" w:eastAsia="en-GB" w:bidi="en-GB"/>
              </w:rPr>
              <w:t xml:space="preserve"> - DEK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World Ethnosport Confederation - WEC</w:t>
            </w:r>
          </w:p>
        </w:tc>
        <w:tc>
          <w:tcPr>
            <w:tcW w:w="1133" w:type="pct"/>
            <w:shd w:val="clear" w:color="auto" w:fill="DBE5F1" w:themeFill="accent1" w:themeFillTint="33"/>
            <w:noWrap/>
            <w:vAlign w:val="center"/>
            <w:hideMark/>
          </w:tcPr>
          <w:p w14:paraId="5F98A688"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shd w:val="clear" w:color="auto" w:fill="DBE5F1" w:themeFill="accent1" w:themeFillTint="33"/>
            <w:noWrap/>
            <w:vAlign w:val="center"/>
            <w:hideMark/>
          </w:tcPr>
          <w:p w14:paraId="7E399F3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NGO-90659</w:t>
            </w:r>
          </w:p>
        </w:tc>
      </w:tr>
      <w:tr w:rsidR="00224018" w:rsidRPr="007B01DE" w14:paraId="21932C1F" w14:textId="77777777" w:rsidTr="00EE21E8">
        <w:trPr>
          <w:trHeight w:val="624"/>
        </w:trPr>
        <w:tc>
          <w:tcPr>
            <w:tcW w:w="3092" w:type="pct"/>
            <w:noWrap/>
            <w:vAlign w:val="center"/>
            <w:hideMark/>
          </w:tcPr>
          <w:p w14:paraId="42ED0461"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Folkdansringen</w:t>
            </w:r>
            <w:proofErr w:type="spellEnd"/>
            <w:r w:rsidRPr="007B01DE">
              <w:rPr>
                <w:rFonts w:ascii="Arial" w:hAnsi="Arial" w:cs="Arial"/>
                <w:b/>
                <w:bCs/>
                <w:sz w:val="20"/>
                <w:szCs w:val="20"/>
                <w:lang w:val="en-GB" w:eastAsia="en-GB" w:bidi="en-GB"/>
              </w:rPr>
              <w:t xml:space="preserve"> Dalarna - </w:t>
            </w:r>
            <w:proofErr w:type="spellStart"/>
            <w:r w:rsidRPr="007B01DE">
              <w:rPr>
                <w:rFonts w:ascii="Arial" w:hAnsi="Arial" w:cs="Arial"/>
                <w:b/>
                <w:bCs/>
                <w:sz w:val="20"/>
                <w:szCs w:val="20"/>
                <w:lang w:val="en-GB" w:eastAsia="en-GB" w:bidi="en-GB"/>
              </w:rPr>
              <w:t>Polskmärkesuppdansningen</w:t>
            </w:r>
            <w:proofErr w:type="spellEnd"/>
            <w:r w:rsidRPr="007B01DE">
              <w:rPr>
                <w:rFonts w:ascii="Arial" w:hAnsi="Arial" w:cs="Arial"/>
                <w:b/>
                <w:bCs/>
                <w:sz w:val="20"/>
                <w:szCs w:val="20"/>
                <w:lang w:val="en-GB" w:eastAsia="en-GB" w:bidi="en-GB"/>
              </w:rPr>
              <w:t xml:space="preserve">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Folk dance society in Dalarna County - The Polska Medal &amp; Reward</w:t>
            </w:r>
          </w:p>
        </w:tc>
        <w:tc>
          <w:tcPr>
            <w:tcW w:w="1133" w:type="pct"/>
            <w:noWrap/>
            <w:vAlign w:val="center"/>
            <w:hideMark/>
          </w:tcPr>
          <w:p w14:paraId="19CDCD1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Suecia</w:t>
            </w:r>
          </w:p>
        </w:tc>
        <w:tc>
          <w:tcPr>
            <w:tcW w:w="775" w:type="pct"/>
            <w:noWrap/>
            <w:vAlign w:val="center"/>
            <w:hideMark/>
          </w:tcPr>
          <w:p w14:paraId="07429D24"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NGO-90633</w:t>
            </w:r>
          </w:p>
        </w:tc>
      </w:tr>
      <w:tr w:rsidR="00224018" w:rsidRPr="007B01DE" w14:paraId="2B4974A8" w14:textId="77777777" w:rsidTr="00EE21E8">
        <w:trPr>
          <w:trHeight w:val="624"/>
        </w:trPr>
        <w:tc>
          <w:tcPr>
            <w:tcW w:w="3092" w:type="pct"/>
            <w:shd w:val="clear" w:color="auto" w:fill="DBE5F1" w:themeFill="accent1" w:themeFillTint="33"/>
            <w:noWrap/>
            <w:vAlign w:val="center"/>
            <w:hideMark/>
          </w:tcPr>
          <w:p w14:paraId="26106406" w14:textId="77777777" w:rsidR="00224018" w:rsidRPr="007B01DE" w:rsidRDefault="00224018" w:rsidP="00EE21E8">
            <w:pPr>
              <w:spacing w:before="120" w:after="120"/>
              <w:rPr>
                <w:rFonts w:ascii="Arial" w:hAnsi="Arial" w:cs="Arial"/>
                <w:b/>
                <w:bCs/>
                <w:sz w:val="20"/>
                <w:szCs w:val="20"/>
                <w:lang w:val="fr-FR"/>
              </w:rPr>
            </w:pPr>
            <w:proofErr w:type="spellStart"/>
            <w:r w:rsidRPr="007B01DE">
              <w:rPr>
                <w:rFonts w:ascii="Arial" w:hAnsi="Arial" w:cs="Arial"/>
                <w:b/>
                <w:bCs/>
                <w:sz w:val="20"/>
                <w:szCs w:val="20"/>
                <w:lang w:val="fr-FR" w:eastAsia="zh-CN"/>
              </w:rPr>
              <w:t>Folklor</w:t>
            </w:r>
            <w:proofErr w:type="spellEnd"/>
            <w:r w:rsidRPr="007B01DE">
              <w:rPr>
                <w:rFonts w:ascii="Arial" w:hAnsi="Arial" w:cs="Arial"/>
                <w:b/>
                <w:bCs/>
                <w:sz w:val="20"/>
                <w:szCs w:val="20"/>
                <w:lang w:val="fr-FR" w:eastAsia="zh-CN"/>
              </w:rPr>
              <w:t xml:space="preserve"> Kurumu Derneği </w:t>
            </w:r>
            <w:r w:rsidRPr="007B01DE">
              <w:rPr>
                <w:rFonts w:ascii="Arial" w:hAnsi="Arial" w:cs="Arial"/>
                <w:b/>
                <w:bCs/>
                <w:sz w:val="20"/>
                <w:szCs w:val="20"/>
                <w:lang w:val="fr-FR" w:eastAsia="zh-CN"/>
              </w:rPr>
              <w:br/>
            </w:r>
            <w:r w:rsidRPr="007B01DE">
              <w:rPr>
                <w:rFonts w:ascii="Arial" w:hAnsi="Arial" w:cs="Arial"/>
                <w:sz w:val="20"/>
                <w:szCs w:val="20"/>
                <w:lang w:val="fr-FR" w:eastAsia="zh-CN"/>
              </w:rPr>
              <w:t>Folklore Institution Association</w:t>
            </w:r>
          </w:p>
        </w:tc>
        <w:tc>
          <w:tcPr>
            <w:tcW w:w="1133" w:type="pct"/>
            <w:shd w:val="clear" w:color="auto" w:fill="DBE5F1" w:themeFill="accent1" w:themeFillTint="33"/>
            <w:noWrap/>
            <w:vAlign w:val="center"/>
            <w:hideMark/>
          </w:tcPr>
          <w:p w14:paraId="5DDA0DF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shd w:val="clear" w:color="auto" w:fill="DBE5F1" w:themeFill="accent1" w:themeFillTint="33"/>
            <w:noWrap/>
            <w:vAlign w:val="center"/>
            <w:hideMark/>
          </w:tcPr>
          <w:p w14:paraId="1155FFF8"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NGO-90643</w:t>
            </w:r>
          </w:p>
        </w:tc>
      </w:tr>
      <w:tr w:rsidR="00224018" w:rsidRPr="007B01DE" w14:paraId="776B4038" w14:textId="77777777" w:rsidTr="00EE21E8">
        <w:trPr>
          <w:trHeight w:val="290"/>
        </w:trPr>
        <w:tc>
          <w:tcPr>
            <w:tcW w:w="3092" w:type="pct"/>
            <w:noWrap/>
            <w:vAlign w:val="center"/>
            <w:hideMark/>
          </w:tcPr>
          <w:p w14:paraId="3C0D2746" w14:textId="77777777" w:rsidR="00224018" w:rsidRPr="007B01DE" w:rsidRDefault="00224018" w:rsidP="00EE21E8">
            <w:pPr>
              <w:spacing w:before="120" w:after="120"/>
              <w:rPr>
                <w:rFonts w:ascii="Arial" w:hAnsi="Arial" w:cs="Arial"/>
                <w:b/>
                <w:bCs/>
                <w:sz w:val="20"/>
                <w:szCs w:val="20"/>
                <w:lang w:val="fr-FR"/>
              </w:rPr>
            </w:pPr>
            <w:r w:rsidRPr="007B01DE">
              <w:rPr>
                <w:rFonts w:ascii="Arial" w:hAnsi="Arial" w:cs="Arial"/>
                <w:b/>
                <w:bCs/>
                <w:sz w:val="20"/>
                <w:szCs w:val="20"/>
                <w:lang w:val="fr-FR" w:eastAsia="zh-CN"/>
              </w:rPr>
              <w:t>Groupe d’Etudes sur l’Histoire des Mathématiques à Béjaïa - GEHIMAB</w:t>
            </w:r>
          </w:p>
        </w:tc>
        <w:tc>
          <w:tcPr>
            <w:tcW w:w="1133" w:type="pct"/>
            <w:noWrap/>
            <w:vAlign w:val="center"/>
            <w:hideMark/>
          </w:tcPr>
          <w:p w14:paraId="5FA884E4"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Argelia</w:t>
            </w:r>
          </w:p>
        </w:tc>
        <w:tc>
          <w:tcPr>
            <w:tcW w:w="775" w:type="pct"/>
            <w:noWrap/>
            <w:vAlign w:val="center"/>
            <w:hideMark/>
          </w:tcPr>
          <w:p w14:paraId="5EFEFE36"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NGO-90621</w:t>
            </w:r>
          </w:p>
        </w:tc>
      </w:tr>
      <w:tr w:rsidR="00224018" w:rsidRPr="007B01DE" w14:paraId="59158048" w14:textId="77777777" w:rsidTr="00EE21E8">
        <w:trPr>
          <w:trHeight w:val="624"/>
        </w:trPr>
        <w:tc>
          <w:tcPr>
            <w:tcW w:w="3092" w:type="pct"/>
            <w:shd w:val="clear" w:color="auto" w:fill="DBE5F1" w:themeFill="accent1" w:themeFillTint="33"/>
            <w:noWrap/>
            <w:vAlign w:val="center"/>
            <w:hideMark/>
          </w:tcPr>
          <w:p w14:paraId="688BA60B"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Histories </w:t>
            </w:r>
            <w:proofErr w:type="spellStart"/>
            <w:r w:rsidRPr="007B01DE">
              <w:rPr>
                <w:rFonts w:ascii="Arial" w:hAnsi="Arial" w:cs="Arial"/>
                <w:b/>
                <w:bCs/>
                <w:sz w:val="20"/>
                <w:szCs w:val="20"/>
                <w:lang w:val="en-GB" w:eastAsia="en-GB" w:bidi="en-GB"/>
              </w:rPr>
              <w:t>vzw</w:t>
            </w:r>
            <w:proofErr w:type="spellEnd"/>
          </w:p>
        </w:tc>
        <w:tc>
          <w:tcPr>
            <w:tcW w:w="1133" w:type="pct"/>
            <w:shd w:val="clear" w:color="auto" w:fill="DBE5F1" w:themeFill="accent1" w:themeFillTint="33"/>
            <w:noWrap/>
            <w:vAlign w:val="center"/>
            <w:hideMark/>
          </w:tcPr>
          <w:p w14:paraId="506DDE0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Bélgica</w:t>
            </w:r>
          </w:p>
        </w:tc>
        <w:tc>
          <w:tcPr>
            <w:tcW w:w="775" w:type="pct"/>
            <w:shd w:val="clear" w:color="auto" w:fill="DBE5F1" w:themeFill="accent1" w:themeFillTint="33"/>
            <w:noWrap/>
            <w:vAlign w:val="center"/>
            <w:hideMark/>
          </w:tcPr>
          <w:p w14:paraId="21EB407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NGO-90634</w:t>
            </w:r>
          </w:p>
        </w:tc>
      </w:tr>
      <w:tr w:rsidR="00224018" w:rsidRPr="007B01DE" w14:paraId="0F7A2383" w14:textId="77777777" w:rsidTr="00EE21E8">
        <w:trPr>
          <w:trHeight w:val="624"/>
        </w:trPr>
        <w:tc>
          <w:tcPr>
            <w:tcW w:w="3092" w:type="pct"/>
            <w:noWrap/>
            <w:vAlign w:val="center"/>
            <w:hideMark/>
          </w:tcPr>
          <w:p w14:paraId="28E71C94" w14:textId="77777777" w:rsidR="00224018" w:rsidRPr="003A339B" w:rsidRDefault="00224018" w:rsidP="00EE21E8">
            <w:pPr>
              <w:spacing w:before="120" w:after="120"/>
              <w:rPr>
                <w:rFonts w:ascii="Arial" w:hAnsi="Arial" w:cs="Arial"/>
                <w:b/>
                <w:bCs/>
                <w:sz w:val="20"/>
                <w:szCs w:val="20"/>
                <w:lang w:val="en-GB"/>
              </w:rPr>
            </w:pPr>
            <w:proofErr w:type="spellStart"/>
            <w:r w:rsidRPr="003A339B">
              <w:rPr>
                <w:rFonts w:ascii="Arial" w:hAnsi="Arial" w:cs="Arial"/>
                <w:b/>
                <w:bCs/>
                <w:sz w:val="20"/>
                <w:szCs w:val="20"/>
                <w:lang w:val="en-GB" w:eastAsia="en-GB" w:bidi="en-GB"/>
              </w:rPr>
              <w:t>Hrvatsko</w:t>
            </w:r>
            <w:proofErr w:type="spellEnd"/>
            <w:r w:rsidRPr="003A339B">
              <w:rPr>
                <w:rFonts w:ascii="Arial" w:hAnsi="Arial" w:cs="Arial"/>
                <w:b/>
                <w:bCs/>
                <w:sz w:val="20"/>
                <w:szCs w:val="20"/>
                <w:lang w:val="en-GB" w:eastAsia="en-GB" w:bidi="en-GB"/>
              </w:rPr>
              <w:t xml:space="preserve"> </w:t>
            </w:r>
            <w:proofErr w:type="spellStart"/>
            <w:r w:rsidRPr="003A339B">
              <w:rPr>
                <w:rFonts w:ascii="Arial" w:hAnsi="Arial" w:cs="Arial"/>
                <w:b/>
                <w:bCs/>
                <w:sz w:val="20"/>
                <w:szCs w:val="20"/>
                <w:lang w:val="en-GB" w:eastAsia="en-GB" w:bidi="en-GB"/>
              </w:rPr>
              <w:t>kulturno-umjetničko</w:t>
            </w:r>
            <w:proofErr w:type="spellEnd"/>
            <w:r w:rsidRPr="003A339B">
              <w:rPr>
                <w:rFonts w:ascii="Arial" w:hAnsi="Arial" w:cs="Arial"/>
                <w:b/>
                <w:bCs/>
                <w:sz w:val="20"/>
                <w:szCs w:val="20"/>
                <w:lang w:val="en-GB" w:eastAsia="en-GB" w:bidi="en-GB"/>
              </w:rPr>
              <w:t xml:space="preserve"> </w:t>
            </w:r>
            <w:proofErr w:type="spellStart"/>
            <w:r w:rsidRPr="003A339B">
              <w:rPr>
                <w:rFonts w:ascii="Arial" w:hAnsi="Arial" w:cs="Arial"/>
                <w:b/>
                <w:bCs/>
                <w:sz w:val="20"/>
                <w:szCs w:val="20"/>
                <w:lang w:val="en-GB" w:eastAsia="en-GB" w:bidi="en-GB"/>
              </w:rPr>
              <w:t>društvo</w:t>
            </w:r>
            <w:proofErr w:type="spellEnd"/>
            <w:r w:rsidRPr="003A339B">
              <w:rPr>
                <w:rFonts w:ascii="Arial" w:hAnsi="Arial" w:cs="Arial"/>
                <w:b/>
                <w:bCs/>
                <w:sz w:val="20"/>
                <w:szCs w:val="20"/>
                <w:lang w:val="en-GB" w:eastAsia="en-GB" w:bidi="en-GB"/>
              </w:rPr>
              <w:t xml:space="preserve"> "</w:t>
            </w:r>
            <w:proofErr w:type="spellStart"/>
            <w:r w:rsidRPr="003A339B">
              <w:rPr>
                <w:rFonts w:ascii="Arial" w:hAnsi="Arial" w:cs="Arial"/>
                <w:b/>
                <w:bCs/>
                <w:sz w:val="20"/>
                <w:szCs w:val="20"/>
                <w:lang w:val="en-GB" w:eastAsia="en-GB" w:bidi="en-GB"/>
              </w:rPr>
              <w:t>Rodoč</w:t>
            </w:r>
            <w:proofErr w:type="spellEnd"/>
            <w:r w:rsidRPr="003A339B">
              <w:rPr>
                <w:rFonts w:ascii="Arial" w:hAnsi="Arial" w:cs="Arial"/>
                <w:b/>
                <w:bCs/>
                <w:sz w:val="20"/>
                <w:szCs w:val="20"/>
                <w:lang w:val="en-GB" w:eastAsia="en-GB" w:bidi="en-GB"/>
              </w:rPr>
              <w:t xml:space="preserve">" </w:t>
            </w:r>
            <w:r w:rsidRPr="003A339B">
              <w:rPr>
                <w:rFonts w:ascii="Arial" w:hAnsi="Arial" w:cs="Arial"/>
                <w:b/>
                <w:bCs/>
                <w:sz w:val="20"/>
                <w:szCs w:val="20"/>
                <w:lang w:val="en-GB" w:eastAsia="en-GB" w:bidi="en-GB"/>
              </w:rPr>
              <w:br/>
            </w:r>
            <w:r w:rsidRPr="003A339B">
              <w:rPr>
                <w:rFonts w:ascii="Arial" w:hAnsi="Arial" w:cs="Arial"/>
                <w:sz w:val="20"/>
                <w:szCs w:val="20"/>
                <w:lang w:val="en-GB" w:eastAsia="en-GB" w:bidi="en-GB"/>
              </w:rPr>
              <w:t>Croatian Cultural and Artistic Society - HKUD "</w:t>
            </w:r>
            <w:proofErr w:type="spellStart"/>
            <w:r w:rsidRPr="003A339B">
              <w:rPr>
                <w:rFonts w:ascii="Arial" w:hAnsi="Arial" w:cs="Arial"/>
                <w:sz w:val="20"/>
                <w:szCs w:val="20"/>
                <w:lang w:val="en-GB" w:eastAsia="en-GB" w:bidi="en-GB"/>
              </w:rPr>
              <w:t>Rodoč</w:t>
            </w:r>
            <w:proofErr w:type="spellEnd"/>
            <w:r w:rsidRPr="003A339B">
              <w:rPr>
                <w:rFonts w:ascii="Arial" w:hAnsi="Arial" w:cs="Arial"/>
                <w:sz w:val="20"/>
                <w:szCs w:val="20"/>
                <w:lang w:val="en-GB" w:eastAsia="en-GB" w:bidi="en-GB"/>
              </w:rPr>
              <w:t>"</w:t>
            </w:r>
          </w:p>
        </w:tc>
        <w:tc>
          <w:tcPr>
            <w:tcW w:w="1133" w:type="pct"/>
            <w:noWrap/>
            <w:vAlign w:val="center"/>
            <w:hideMark/>
          </w:tcPr>
          <w:p w14:paraId="45402C1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Bosnia y Herzegovina</w:t>
            </w:r>
          </w:p>
        </w:tc>
        <w:tc>
          <w:tcPr>
            <w:tcW w:w="775" w:type="pct"/>
            <w:noWrap/>
            <w:vAlign w:val="center"/>
            <w:hideMark/>
          </w:tcPr>
          <w:p w14:paraId="49E91FEA"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NGO-90638</w:t>
            </w:r>
          </w:p>
        </w:tc>
      </w:tr>
      <w:tr w:rsidR="00224018" w:rsidRPr="007B01DE" w14:paraId="5871F2EF" w14:textId="77777777" w:rsidTr="00EE21E8">
        <w:trPr>
          <w:trHeight w:val="624"/>
        </w:trPr>
        <w:tc>
          <w:tcPr>
            <w:tcW w:w="3092" w:type="pct"/>
            <w:shd w:val="clear" w:color="auto" w:fill="DBE5F1" w:themeFill="accent1" w:themeFillTint="33"/>
            <w:noWrap/>
            <w:vAlign w:val="center"/>
            <w:hideMark/>
          </w:tcPr>
          <w:p w14:paraId="5BB10159"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Intangible Heritage Association</w:t>
            </w:r>
          </w:p>
        </w:tc>
        <w:tc>
          <w:tcPr>
            <w:tcW w:w="1133" w:type="pct"/>
            <w:shd w:val="clear" w:color="auto" w:fill="DBE5F1" w:themeFill="accent1" w:themeFillTint="33"/>
            <w:noWrap/>
            <w:vAlign w:val="center"/>
            <w:hideMark/>
          </w:tcPr>
          <w:p w14:paraId="308DAC58"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Arabia Saudita</w:t>
            </w:r>
          </w:p>
        </w:tc>
        <w:tc>
          <w:tcPr>
            <w:tcW w:w="775" w:type="pct"/>
            <w:shd w:val="clear" w:color="auto" w:fill="DBE5F1" w:themeFill="accent1" w:themeFillTint="33"/>
            <w:noWrap/>
            <w:vAlign w:val="center"/>
            <w:hideMark/>
          </w:tcPr>
          <w:p w14:paraId="46196CD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NGO-90610</w:t>
            </w:r>
          </w:p>
        </w:tc>
      </w:tr>
      <w:tr w:rsidR="00224018" w:rsidRPr="007B01DE" w14:paraId="55EDD1CC" w14:textId="77777777" w:rsidTr="00EE21E8">
        <w:trPr>
          <w:trHeight w:val="624"/>
        </w:trPr>
        <w:tc>
          <w:tcPr>
            <w:tcW w:w="3092" w:type="pct"/>
            <w:noWrap/>
            <w:vAlign w:val="center"/>
            <w:hideMark/>
          </w:tcPr>
          <w:p w14:paraId="2681B1D0" w14:textId="77777777" w:rsidR="00224018" w:rsidRPr="007B01DE" w:rsidRDefault="00224018" w:rsidP="00EE21E8">
            <w:pPr>
              <w:spacing w:before="120" w:after="120"/>
              <w:rPr>
                <w:rFonts w:ascii="Arial" w:hAnsi="Arial" w:cs="Arial"/>
                <w:b/>
                <w:bCs/>
                <w:sz w:val="20"/>
                <w:szCs w:val="20"/>
              </w:rPr>
            </w:pPr>
            <w:proofErr w:type="spellStart"/>
            <w:r w:rsidRPr="007B01DE">
              <w:rPr>
                <w:rFonts w:ascii="Arial" w:hAnsi="Arial" w:cs="Arial"/>
                <w:b/>
                <w:bCs/>
                <w:sz w:val="20"/>
                <w:szCs w:val="20"/>
                <w:lang w:eastAsia="zh-CN"/>
              </w:rPr>
              <w:t>İstanbul</w:t>
            </w:r>
            <w:proofErr w:type="spellEnd"/>
            <w:r w:rsidRPr="007B01DE">
              <w:rPr>
                <w:rFonts w:ascii="Arial" w:hAnsi="Arial" w:cs="Arial"/>
                <w:b/>
                <w:bCs/>
                <w:sz w:val="20"/>
                <w:szCs w:val="20"/>
                <w:lang w:eastAsia="zh-CN"/>
              </w:rPr>
              <w:t xml:space="preserve"> </w:t>
            </w:r>
            <w:proofErr w:type="spellStart"/>
            <w:r w:rsidRPr="007B01DE">
              <w:rPr>
                <w:rFonts w:ascii="Arial" w:hAnsi="Arial" w:cs="Arial"/>
                <w:b/>
                <w:bCs/>
                <w:sz w:val="20"/>
                <w:szCs w:val="20"/>
                <w:lang w:eastAsia="zh-CN"/>
              </w:rPr>
              <w:t>Kültürlerarası</w:t>
            </w:r>
            <w:proofErr w:type="spellEnd"/>
            <w:r w:rsidRPr="007B01DE">
              <w:rPr>
                <w:rFonts w:ascii="Arial" w:hAnsi="Arial" w:cs="Arial"/>
                <w:b/>
                <w:bCs/>
                <w:sz w:val="20"/>
                <w:szCs w:val="20"/>
                <w:lang w:eastAsia="zh-CN"/>
              </w:rPr>
              <w:t xml:space="preserve"> Sanat </w:t>
            </w:r>
            <w:proofErr w:type="spellStart"/>
            <w:r w:rsidRPr="007B01DE">
              <w:rPr>
                <w:rFonts w:ascii="Arial" w:hAnsi="Arial" w:cs="Arial"/>
                <w:b/>
                <w:bCs/>
                <w:sz w:val="20"/>
                <w:szCs w:val="20"/>
                <w:lang w:eastAsia="zh-CN"/>
              </w:rPr>
              <w:t>Diyalogları</w:t>
            </w:r>
            <w:proofErr w:type="spellEnd"/>
            <w:r w:rsidRPr="007B01DE">
              <w:rPr>
                <w:rFonts w:ascii="Arial" w:hAnsi="Arial" w:cs="Arial"/>
                <w:b/>
                <w:bCs/>
                <w:sz w:val="20"/>
                <w:szCs w:val="20"/>
                <w:lang w:eastAsia="zh-CN"/>
              </w:rPr>
              <w:t xml:space="preserve"> Derneği - IKASD </w:t>
            </w:r>
            <w:r w:rsidRPr="007B01DE">
              <w:rPr>
                <w:rFonts w:ascii="Arial" w:hAnsi="Arial" w:cs="Arial"/>
                <w:b/>
                <w:bCs/>
                <w:sz w:val="20"/>
                <w:szCs w:val="20"/>
                <w:lang w:eastAsia="zh-CN"/>
              </w:rPr>
              <w:br/>
            </w:r>
            <w:proofErr w:type="spellStart"/>
            <w:r w:rsidRPr="007B01DE">
              <w:rPr>
                <w:rFonts w:ascii="Arial" w:hAnsi="Arial" w:cs="Arial"/>
                <w:sz w:val="20"/>
                <w:szCs w:val="20"/>
                <w:lang w:eastAsia="zh-CN"/>
              </w:rPr>
              <w:t>Istanbul</w:t>
            </w:r>
            <w:proofErr w:type="spellEnd"/>
            <w:r w:rsidRPr="007B01DE">
              <w:rPr>
                <w:rFonts w:ascii="Arial" w:hAnsi="Arial" w:cs="Arial"/>
                <w:sz w:val="20"/>
                <w:szCs w:val="20"/>
                <w:lang w:eastAsia="zh-CN"/>
              </w:rPr>
              <w:t xml:space="preserve"> Intercultural Art Dialogues Association - IKASD</w:t>
            </w:r>
          </w:p>
        </w:tc>
        <w:tc>
          <w:tcPr>
            <w:tcW w:w="1133" w:type="pct"/>
            <w:noWrap/>
            <w:vAlign w:val="center"/>
            <w:hideMark/>
          </w:tcPr>
          <w:p w14:paraId="588F3D1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noWrap/>
            <w:vAlign w:val="center"/>
            <w:hideMark/>
          </w:tcPr>
          <w:p w14:paraId="0A28AFD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NGO-90641</w:t>
            </w:r>
          </w:p>
        </w:tc>
      </w:tr>
      <w:tr w:rsidR="00224018" w:rsidRPr="007B01DE" w14:paraId="1D439871" w14:textId="77777777" w:rsidTr="00EE21E8">
        <w:trPr>
          <w:trHeight w:val="624"/>
        </w:trPr>
        <w:tc>
          <w:tcPr>
            <w:tcW w:w="3092" w:type="pct"/>
            <w:shd w:val="clear" w:color="auto" w:fill="DBE5F1" w:themeFill="accent1" w:themeFillTint="33"/>
            <w:noWrap/>
            <w:vAlign w:val="center"/>
            <w:hideMark/>
          </w:tcPr>
          <w:p w14:paraId="1F965607"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Itinérance</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Méditerranée</w:t>
            </w:r>
            <w:proofErr w:type="spellEnd"/>
          </w:p>
        </w:tc>
        <w:tc>
          <w:tcPr>
            <w:tcW w:w="1133" w:type="pct"/>
            <w:shd w:val="clear" w:color="auto" w:fill="DBE5F1" w:themeFill="accent1" w:themeFillTint="33"/>
            <w:noWrap/>
            <w:vAlign w:val="center"/>
            <w:hideMark/>
          </w:tcPr>
          <w:p w14:paraId="656F18F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Francia</w:t>
            </w:r>
          </w:p>
        </w:tc>
        <w:tc>
          <w:tcPr>
            <w:tcW w:w="775" w:type="pct"/>
            <w:shd w:val="clear" w:color="auto" w:fill="DBE5F1" w:themeFill="accent1" w:themeFillTint="33"/>
            <w:noWrap/>
            <w:vAlign w:val="center"/>
            <w:hideMark/>
          </w:tcPr>
          <w:p w14:paraId="721EA8E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NGO-90650</w:t>
            </w:r>
          </w:p>
        </w:tc>
      </w:tr>
      <w:tr w:rsidR="00224018" w:rsidRPr="007B01DE" w14:paraId="4F216E8A" w14:textId="77777777" w:rsidTr="00EE21E8">
        <w:trPr>
          <w:trHeight w:val="624"/>
        </w:trPr>
        <w:tc>
          <w:tcPr>
            <w:tcW w:w="3092" w:type="pct"/>
            <w:noWrap/>
            <w:vAlign w:val="center"/>
            <w:hideMark/>
          </w:tcPr>
          <w:p w14:paraId="453BE2C5"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KADAM</w:t>
            </w:r>
          </w:p>
        </w:tc>
        <w:tc>
          <w:tcPr>
            <w:tcW w:w="1133" w:type="pct"/>
            <w:noWrap/>
            <w:vAlign w:val="center"/>
            <w:hideMark/>
          </w:tcPr>
          <w:p w14:paraId="2577707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India</w:t>
            </w:r>
          </w:p>
        </w:tc>
        <w:tc>
          <w:tcPr>
            <w:tcW w:w="775" w:type="pct"/>
            <w:noWrap/>
            <w:vAlign w:val="center"/>
            <w:hideMark/>
          </w:tcPr>
          <w:p w14:paraId="72234BD7"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NGO-90602</w:t>
            </w:r>
          </w:p>
        </w:tc>
      </w:tr>
      <w:tr w:rsidR="00224018" w:rsidRPr="007B01DE" w14:paraId="2A1DB16E" w14:textId="77777777" w:rsidTr="00EE21E8">
        <w:trPr>
          <w:trHeight w:val="290"/>
        </w:trPr>
        <w:tc>
          <w:tcPr>
            <w:tcW w:w="3092" w:type="pct"/>
            <w:shd w:val="clear" w:color="auto" w:fill="DBE5F1" w:themeFill="accent1" w:themeFillTint="33"/>
            <w:noWrap/>
            <w:vAlign w:val="center"/>
            <w:hideMark/>
          </w:tcPr>
          <w:p w14:paraId="509A92A7"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Karagöz Derneği</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Karagöz Association</w:t>
            </w:r>
          </w:p>
        </w:tc>
        <w:tc>
          <w:tcPr>
            <w:tcW w:w="1133" w:type="pct"/>
            <w:shd w:val="clear" w:color="auto" w:fill="DBE5F1" w:themeFill="accent1" w:themeFillTint="33"/>
            <w:noWrap/>
            <w:vAlign w:val="center"/>
            <w:hideMark/>
          </w:tcPr>
          <w:p w14:paraId="54F8E76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shd w:val="clear" w:color="auto" w:fill="DBE5F1" w:themeFill="accent1" w:themeFillTint="33"/>
            <w:noWrap/>
            <w:vAlign w:val="center"/>
            <w:hideMark/>
          </w:tcPr>
          <w:p w14:paraId="6BD3743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NGO-90677</w:t>
            </w:r>
          </w:p>
        </w:tc>
      </w:tr>
      <w:tr w:rsidR="00224018" w:rsidRPr="007B01DE" w14:paraId="6DE2C89B" w14:textId="77777777" w:rsidTr="00EE21E8">
        <w:trPr>
          <w:trHeight w:val="624"/>
        </w:trPr>
        <w:tc>
          <w:tcPr>
            <w:tcW w:w="3092" w:type="pct"/>
            <w:noWrap/>
            <w:vAlign w:val="center"/>
            <w:hideMark/>
          </w:tcPr>
          <w:p w14:paraId="502C87D3"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Kattaikkuttu</w:t>
            </w:r>
            <w:proofErr w:type="spellEnd"/>
            <w:r w:rsidRPr="007B01DE">
              <w:rPr>
                <w:rFonts w:ascii="Arial" w:hAnsi="Arial" w:cs="Arial"/>
                <w:b/>
                <w:bCs/>
                <w:sz w:val="20"/>
                <w:szCs w:val="20"/>
                <w:lang w:val="en-GB" w:eastAsia="en-GB" w:bidi="en-GB"/>
              </w:rPr>
              <w:t xml:space="preserve"> Sangam</w:t>
            </w:r>
          </w:p>
        </w:tc>
        <w:tc>
          <w:tcPr>
            <w:tcW w:w="1133" w:type="pct"/>
            <w:noWrap/>
            <w:vAlign w:val="center"/>
            <w:hideMark/>
          </w:tcPr>
          <w:p w14:paraId="576392B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India</w:t>
            </w:r>
          </w:p>
        </w:tc>
        <w:tc>
          <w:tcPr>
            <w:tcW w:w="775" w:type="pct"/>
            <w:noWrap/>
            <w:vAlign w:val="center"/>
            <w:hideMark/>
          </w:tcPr>
          <w:p w14:paraId="21FFD03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NGO-90612</w:t>
            </w:r>
          </w:p>
        </w:tc>
      </w:tr>
      <w:tr w:rsidR="00224018" w:rsidRPr="007B01DE" w14:paraId="4F9208CC" w14:textId="77777777" w:rsidTr="00EE21E8">
        <w:trPr>
          <w:trHeight w:val="290"/>
        </w:trPr>
        <w:tc>
          <w:tcPr>
            <w:tcW w:w="3092" w:type="pct"/>
            <w:shd w:val="clear" w:color="auto" w:fill="DBE5F1" w:themeFill="accent1" w:themeFillTint="33"/>
            <w:noWrap/>
            <w:vAlign w:val="center"/>
          </w:tcPr>
          <w:p w14:paraId="3036D639"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Kgosi Sechele I Museum Trust</w:t>
            </w:r>
          </w:p>
        </w:tc>
        <w:tc>
          <w:tcPr>
            <w:tcW w:w="1133" w:type="pct"/>
            <w:shd w:val="clear" w:color="auto" w:fill="DBE5F1" w:themeFill="accent1" w:themeFillTint="33"/>
            <w:noWrap/>
            <w:vAlign w:val="center"/>
          </w:tcPr>
          <w:p w14:paraId="42C5228C"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Botswana</w:t>
            </w:r>
          </w:p>
        </w:tc>
        <w:tc>
          <w:tcPr>
            <w:tcW w:w="775" w:type="pct"/>
            <w:shd w:val="clear" w:color="auto" w:fill="DBE5F1" w:themeFill="accent1" w:themeFillTint="33"/>
            <w:noWrap/>
            <w:vAlign w:val="center"/>
          </w:tcPr>
          <w:p w14:paraId="1FCB2689"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NGO-90647</w:t>
            </w:r>
          </w:p>
        </w:tc>
      </w:tr>
      <w:tr w:rsidR="00224018" w:rsidRPr="007B01DE" w14:paraId="5FE127EA" w14:textId="77777777" w:rsidTr="00EE21E8">
        <w:trPr>
          <w:trHeight w:val="624"/>
        </w:trPr>
        <w:tc>
          <w:tcPr>
            <w:tcW w:w="3092" w:type="pct"/>
            <w:noWrap/>
            <w:vAlign w:val="center"/>
            <w:hideMark/>
          </w:tcPr>
          <w:p w14:paraId="30684856" w14:textId="77777777" w:rsidR="00224018" w:rsidRPr="007B01DE" w:rsidRDefault="00224018" w:rsidP="00EE21E8">
            <w:pPr>
              <w:spacing w:before="120" w:after="120"/>
              <w:rPr>
                <w:rFonts w:ascii="Arial" w:hAnsi="Arial" w:cs="Arial"/>
                <w:b/>
                <w:bCs/>
                <w:sz w:val="20"/>
                <w:szCs w:val="20"/>
                <w:lang w:val="fr-FR"/>
              </w:rPr>
            </w:pPr>
            <w:r w:rsidRPr="007B01DE">
              <w:rPr>
                <w:rFonts w:ascii="Arial" w:hAnsi="Arial" w:cs="Arial"/>
                <w:b/>
                <w:bCs/>
                <w:sz w:val="20"/>
                <w:szCs w:val="20"/>
                <w:lang w:val="fr-FR" w:eastAsia="zh-CN"/>
              </w:rPr>
              <w:t>Les Gardiens du Patrimoine Culturel de Domoni - GPCD</w:t>
            </w:r>
          </w:p>
        </w:tc>
        <w:tc>
          <w:tcPr>
            <w:tcW w:w="1133" w:type="pct"/>
            <w:noWrap/>
            <w:vAlign w:val="center"/>
            <w:hideMark/>
          </w:tcPr>
          <w:p w14:paraId="2BABD6F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Comoras</w:t>
            </w:r>
          </w:p>
        </w:tc>
        <w:tc>
          <w:tcPr>
            <w:tcW w:w="775" w:type="pct"/>
            <w:noWrap/>
            <w:vAlign w:val="center"/>
            <w:hideMark/>
          </w:tcPr>
          <w:p w14:paraId="7A63C09C"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NGO-90676</w:t>
            </w:r>
          </w:p>
        </w:tc>
      </w:tr>
      <w:tr w:rsidR="00224018" w:rsidRPr="007B01DE" w14:paraId="79B5AA75" w14:textId="77777777" w:rsidTr="00EE21E8">
        <w:trPr>
          <w:trHeight w:val="624"/>
        </w:trPr>
        <w:tc>
          <w:tcPr>
            <w:tcW w:w="3092" w:type="pct"/>
            <w:shd w:val="clear" w:color="auto" w:fill="DBE5F1" w:themeFill="accent1" w:themeFillTint="33"/>
            <w:noWrap/>
            <w:vAlign w:val="center"/>
            <w:hideMark/>
          </w:tcPr>
          <w:p w14:paraId="5BC536F7"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Lietuvos </w:t>
            </w:r>
            <w:proofErr w:type="spellStart"/>
            <w:r w:rsidRPr="007B01DE">
              <w:rPr>
                <w:rFonts w:ascii="Arial" w:hAnsi="Arial" w:cs="Arial"/>
                <w:b/>
                <w:bCs/>
                <w:sz w:val="20"/>
                <w:szCs w:val="20"/>
                <w:lang w:val="en-GB" w:eastAsia="en-GB" w:bidi="en-GB"/>
              </w:rPr>
              <w:t>antropologų</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asociacija</w:t>
            </w:r>
            <w:proofErr w:type="spellEnd"/>
            <w:r w:rsidRPr="007B01DE">
              <w:rPr>
                <w:rFonts w:ascii="Arial" w:hAnsi="Arial" w:cs="Arial"/>
                <w:b/>
                <w:bCs/>
                <w:sz w:val="20"/>
                <w:szCs w:val="20"/>
                <w:lang w:val="en-GB" w:eastAsia="en-GB" w:bidi="en-GB"/>
              </w:rPr>
              <w:t xml:space="preserve"> - LAA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Lithuanian Anthropological Association - LAA</w:t>
            </w:r>
          </w:p>
        </w:tc>
        <w:tc>
          <w:tcPr>
            <w:tcW w:w="1133" w:type="pct"/>
            <w:shd w:val="clear" w:color="auto" w:fill="DBE5F1" w:themeFill="accent1" w:themeFillTint="33"/>
            <w:noWrap/>
            <w:vAlign w:val="center"/>
            <w:hideMark/>
          </w:tcPr>
          <w:p w14:paraId="37DA7E58"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Lituania</w:t>
            </w:r>
          </w:p>
        </w:tc>
        <w:tc>
          <w:tcPr>
            <w:tcW w:w="775" w:type="pct"/>
            <w:shd w:val="clear" w:color="auto" w:fill="DBE5F1" w:themeFill="accent1" w:themeFillTint="33"/>
            <w:noWrap/>
            <w:vAlign w:val="center"/>
            <w:hideMark/>
          </w:tcPr>
          <w:p w14:paraId="542DBCE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NGO-90655</w:t>
            </w:r>
          </w:p>
        </w:tc>
      </w:tr>
      <w:tr w:rsidR="00224018" w:rsidRPr="007B01DE" w14:paraId="67AFE91C" w14:textId="77777777" w:rsidTr="00EE21E8">
        <w:trPr>
          <w:trHeight w:val="290"/>
        </w:trPr>
        <w:tc>
          <w:tcPr>
            <w:tcW w:w="3092" w:type="pct"/>
            <w:noWrap/>
            <w:vAlign w:val="center"/>
            <w:hideMark/>
          </w:tcPr>
          <w:p w14:paraId="49594CF4"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Memoar</w:t>
            </w:r>
            <w:proofErr w:type="spellEnd"/>
          </w:p>
        </w:tc>
        <w:tc>
          <w:tcPr>
            <w:tcW w:w="1133" w:type="pct"/>
            <w:noWrap/>
            <w:vAlign w:val="center"/>
            <w:hideMark/>
          </w:tcPr>
          <w:p w14:paraId="01EA0FA0"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Noruega</w:t>
            </w:r>
          </w:p>
        </w:tc>
        <w:tc>
          <w:tcPr>
            <w:tcW w:w="775" w:type="pct"/>
            <w:noWrap/>
            <w:vAlign w:val="center"/>
            <w:hideMark/>
          </w:tcPr>
          <w:p w14:paraId="0B661E9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NGO-90652</w:t>
            </w:r>
          </w:p>
        </w:tc>
      </w:tr>
      <w:tr w:rsidR="00224018" w:rsidRPr="007B01DE" w14:paraId="057C699F" w14:textId="77777777" w:rsidTr="00EE21E8">
        <w:trPr>
          <w:trHeight w:val="624"/>
        </w:trPr>
        <w:tc>
          <w:tcPr>
            <w:tcW w:w="3092" w:type="pct"/>
            <w:shd w:val="clear" w:color="auto" w:fill="DBE5F1" w:themeFill="accent1" w:themeFillTint="33"/>
            <w:noWrap/>
            <w:vAlign w:val="center"/>
            <w:hideMark/>
          </w:tcPr>
          <w:p w14:paraId="628EC3BB"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Mim Sanat Derneği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Mim Art Association</w:t>
            </w:r>
          </w:p>
        </w:tc>
        <w:tc>
          <w:tcPr>
            <w:tcW w:w="1133" w:type="pct"/>
            <w:shd w:val="clear" w:color="auto" w:fill="DBE5F1" w:themeFill="accent1" w:themeFillTint="33"/>
            <w:noWrap/>
            <w:vAlign w:val="center"/>
            <w:hideMark/>
          </w:tcPr>
          <w:p w14:paraId="19F7D56C"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shd w:val="clear" w:color="auto" w:fill="DBE5F1" w:themeFill="accent1" w:themeFillTint="33"/>
            <w:noWrap/>
            <w:vAlign w:val="center"/>
            <w:hideMark/>
          </w:tcPr>
          <w:p w14:paraId="53C346B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NGO-90654</w:t>
            </w:r>
          </w:p>
        </w:tc>
      </w:tr>
      <w:tr w:rsidR="00224018" w:rsidRPr="007B01DE" w14:paraId="5A89C0C1" w14:textId="77777777" w:rsidTr="00EE21E8">
        <w:trPr>
          <w:trHeight w:val="290"/>
        </w:trPr>
        <w:tc>
          <w:tcPr>
            <w:tcW w:w="3092" w:type="pct"/>
            <w:noWrap/>
            <w:vAlign w:val="center"/>
            <w:hideMark/>
          </w:tcPr>
          <w:p w14:paraId="10ECA067"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National Association of Garinagu Teachers - Garinagu </w:t>
            </w:r>
            <w:proofErr w:type="spellStart"/>
            <w:r w:rsidRPr="007B01DE">
              <w:rPr>
                <w:rFonts w:ascii="Arial" w:hAnsi="Arial" w:cs="Arial"/>
                <w:b/>
                <w:bCs/>
                <w:sz w:val="20"/>
                <w:szCs w:val="20"/>
                <w:lang w:val="en-GB" w:eastAsia="en-GB" w:bidi="en-GB"/>
              </w:rPr>
              <w:t>Dundei</w:t>
            </w:r>
            <w:proofErr w:type="spellEnd"/>
          </w:p>
        </w:tc>
        <w:tc>
          <w:tcPr>
            <w:tcW w:w="1133" w:type="pct"/>
            <w:noWrap/>
            <w:vAlign w:val="center"/>
            <w:hideMark/>
          </w:tcPr>
          <w:p w14:paraId="60D24644"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Guatemala</w:t>
            </w:r>
          </w:p>
        </w:tc>
        <w:tc>
          <w:tcPr>
            <w:tcW w:w="775" w:type="pct"/>
            <w:noWrap/>
            <w:vAlign w:val="center"/>
            <w:hideMark/>
          </w:tcPr>
          <w:p w14:paraId="7DDE770A"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NGO-90603</w:t>
            </w:r>
          </w:p>
        </w:tc>
      </w:tr>
      <w:tr w:rsidR="00224018" w:rsidRPr="007B01DE" w14:paraId="5CF2C7B4" w14:textId="77777777" w:rsidTr="00EE21E8">
        <w:trPr>
          <w:trHeight w:val="290"/>
        </w:trPr>
        <w:tc>
          <w:tcPr>
            <w:tcW w:w="3092" w:type="pct"/>
            <w:shd w:val="clear" w:color="auto" w:fill="DBE5F1" w:themeFill="accent1" w:themeFillTint="33"/>
            <w:noWrap/>
            <w:vAlign w:val="center"/>
          </w:tcPr>
          <w:p w14:paraId="71B48B58"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Norsk </w:t>
            </w:r>
            <w:proofErr w:type="spellStart"/>
            <w:r w:rsidRPr="007B01DE">
              <w:rPr>
                <w:rFonts w:ascii="Arial" w:hAnsi="Arial" w:cs="Arial"/>
                <w:b/>
                <w:bCs/>
                <w:sz w:val="20"/>
                <w:szCs w:val="20"/>
                <w:lang w:val="en-GB" w:eastAsia="en-GB" w:bidi="en-GB"/>
              </w:rPr>
              <w:t>folkedraktforum</w:t>
            </w:r>
            <w:proofErr w:type="spellEnd"/>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Forum for National Costumes in Norway</w:t>
            </w:r>
          </w:p>
        </w:tc>
        <w:tc>
          <w:tcPr>
            <w:tcW w:w="1133" w:type="pct"/>
            <w:shd w:val="clear" w:color="auto" w:fill="DBE5F1" w:themeFill="accent1" w:themeFillTint="33"/>
            <w:noWrap/>
            <w:vAlign w:val="center"/>
          </w:tcPr>
          <w:p w14:paraId="3652AA00"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Noruega</w:t>
            </w:r>
          </w:p>
        </w:tc>
        <w:tc>
          <w:tcPr>
            <w:tcW w:w="775" w:type="pct"/>
            <w:shd w:val="clear" w:color="auto" w:fill="DBE5F1" w:themeFill="accent1" w:themeFillTint="33"/>
            <w:noWrap/>
            <w:vAlign w:val="center"/>
          </w:tcPr>
          <w:p w14:paraId="1C50A5B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NGO-90598</w:t>
            </w:r>
          </w:p>
        </w:tc>
      </w:tr>
      <w:tr w:rsidR="00224018" w:rsidRPr="007B01DE" w14:paraId="1E4A9EB3" w14:textId="77777777" w:rsidTr="00EE21E8">
        <w:trPr>
          <w:trHeight w:val="624"/>
        </w:trPr>
        <w:tc>
          <w:tcPr>
            <w:tcW w:w="3092" w:type="pct"/>
            <w:noWrap/>
            <w:vAlign w:val="center"/>
            <w:hideMark/>
          </w:tcPr>
          <w:p w14:paraId="68E43D3F"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ONG </w:t>
            </w:r>
            <w:proofErr w:type="spellStart"/>
            <w:r w:rsidRPr="007B01DE">
              <w:rPr>
                <w:rFonts w:ascii="Arial" w:hAnsi="Arial" w:cs="Arial"/>
                <w:b/>
                <w:bCs/>
                <w:sz w:val="20"/>
                <w:szCs w:val="20"/>
                <w:lang w:val="en-GB" w:eastAsia="en-GB" w:bidi="en-GB"/>
              </w:rPr>
              <w:t>Génération</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Ekang</w:t>
            </w:r>
            <w:proofErr w:type="spellEnd"/>
            <w:r w:rsidRPr="007B01DE">
              <w:rPr>
                <w:rFonts w:ascii="Arial" w:hAnsi="Arial" w:cs="Arial"/>
                <w:b/>
                <w:bCs/>
                <w:sz w:val="20"/>
                <w:szCs w:val="20"/>
                <w:lang w:val="en-GB" w:eastAsia="en-GB" w:bidi="en-GB"/>
              </w:rPr>
              <w:t xml:space="preserve"> - GEK</w:t>
            </w:r>
          </w:p>
        </w:tc>
        <w:tc>
          <w:tcPr>
            <w:tcW w:w="1133" w:type="pct"/>
            <w:noWrap/>
            <w:vAlign w:val="center"/>
            <w:hideMark/>
          </w:tcPr>
          <w:p w14:paraId="170E999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Gabón</w:t>
            </w:r>
          </w:p>
        </w:tc>
        <w:tc>
          <w:tcPr>
            <w:tcW w:w="775" w:type="pct"/>
            <w:noWrap/>
            <w:vAlign w:val="center"/>
            <w:hideMark/>
          </w:tcPr>
          <w:p w14:paraId="262616E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NGO-90649</w:t>
            </w:r>
          </w:p>
        </w:tc>
      </w:tr>
      <w:tr w:rsidR="00224018" w:rsidRPr="007B01DE" w14:paraId="4DD48369" w14:textId="77777777" w:rsidTr="00EE21E8">
        <w:trPr>
          <w:trHeight w:val="290"/>
        </w:trPr>
        <w:tc>
          <w:tcPr>
            <w:tcW w:w="3092" w:type="pct"/>
            <w:shd w:val="clear" w:color="auto" w:fill="DBE5F1" w:themeFill="accent1" w:themeFillTint="33"/>
            <w:noWrap/>
            <w:vAlign w:val="center"/>
          </w:tcPr>
          <w:p w14:paraId="2FB704A2"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Persatuan</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Penggiat</w:t>
            </w:r>
            <w:proofErr w:type="spellEnd"/>
            <w:r w:rsidRPr="007B01DE">
              <w:rPr>
                <w:rFonts w:ascii="Arial" w:hAnsi="Arial" w:cs="Arial"/>
                <w:b/>
                <w:bCs/>
                <w:sz w:val="20"/>
                <w:szCs w:val="20"/>
                <w:lang w:val="en-GB" w:eastAsia="en-GB" w:bidi="en-GB"/>
              </w:rPr>
              <w:t xml:space="preserve"> Seni Dan Kebudayaan Malaysia Kuching</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lastRenderedPageBreak/>
              <w:t>Malaysia Arts And Cultural Practitioners Association Kuching – MACPA</w:t>
            </w:r>
          </w:p>
        </w:tc>
        <w:tc>
          <w:tcPr>
            <w:tcW w:w="1133" w:type="pct"/>
            <w:shd w:val="clear" w:color="auto" w:fill="DBE5F1" w:themeFill="accent1" w:themeFillTint="33"/>
            <w:noWrap/>
            <w:vAlign w:val="center"/>
          </w:tcPr>
          <w:p w14:paraId="1B3978E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lastRenderedPageBreak/>
              <w:t>Malasia</w:t>
            </w:r>
          </w:p>
        </w:tc>
        <w:tc>
          <w:tcPr>
            <w:tcW w:w="775" w:type="pct"/>
            <w:shd w:val="clear" w:color="auto" w:fill="DBE5F1" w:themeFill="accent1" w:themeFillTint="33"/>
            <w:noWrap/>
            <w:vAlign w:val="center"/>
          </w:tcPr>
          <w:p w14:paraId="06DFABF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NGO-90669</w:t>
            </w:r>
          </w:p>
        </w:tc>
      </w:tr>
      <w:tr w:rsidR="00224018" w:rsidRPr="007B01DE" w14:paraId="0A24E44E" w14:textId="77777777" w:rsidTr="00EE21E8">
        <w:trPr>
          <w:trHeight w:val="624"/>
        </w:trPr>
        <w:tc>
          <w:tcPr>
            <w:tcW w:w="3092" w:type="pct"/>
            <w:noWrap/>
            <w:vAlign w:val="center"/>
            <w:hideMark/>
          </w:tcPr>
          <w:p w14:paraId="6CC22FD4"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Persatuan</w:t>
            </w:r>
            <w:proofErr w:type="spellEnd"/>
            <w:r w:rsidRPr="007B01DE">
              <w:rPr>
                <w:rFonts w:ascii="Arial" w:hAnsi="Arial" w:cs="Arial"/>
                <w:b/>
                <w:bCs/>
                <w:sz w:val="20"/>
                <w:szCs w:val="20"/>
                <w:lang w:val="en-GB" w:eastAsia="en-GB" w:bidi="en-GB"/>
              </w:rPr>
              <w:t xml:space="preserve"> Peranakan Baba Nyonya Malaysia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Baba Nyonya Association of Malaysia</w:t>
            </w:r>
          </w:p>
        </w:tc>
        <w:tc>
          <w:tcPr>
            <w:tcW w:w="1133" w:type="pct"/>
            <w:noWrap/>
            <w:vAlign w:val="center"/>
            <w:hideMark/>
          </w:tcPr>
          <w:p w14:paraId="70B1CC4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Malasia</w:t>
            </w:r>
          </w:p>
        </w:tc>
        <w:tc>
          <w:tcPr>
            <w:tcW w:w="775" w:type="pct"/>
            <w:noWrap/>
            <w:vAlign w:val="center"/>
            <w:hideMark/>
          </w:tcPr>
          <w:p w14:paraId="6FF7A29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NGO-90651</w:t>
            </w:r>
          </w:p>
        </w:tc>
      </w:tr>
      <w:tr w:rsidR="00224018" w:rsidRPr="007B01DE" w14:paraId="3A0074BA" w14:textId="77777777" w:rsidTr="00EE21E8">
        <w:trPr>
          <w:trHeight w:val="624"/>
        </w:trPr>
        <w:tc>
          <w:tcPr>
            <w:tcW w:w="3092" w:type="pct"/>
            <w:shd w:val="clear" w:color="auto" w:fill="DBE5F1" w:themeFill="accent1" w:themeFillTint="33"/>
            <w:noWrap/>
            <w:vAlign w:val="center"/>
            <w:hideMark/>
          </w:tcPr>
          <w:p w14:paraId="44574466"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Pinelands Creative Workshop - PCW</w:t>
            </w:r>
          </w:p>
        </w:tc>
        <w:tc>
          <w:tcPr>
            <w:tcW w:w="1133" w:type="pct"/>
            <w:shd w:val="clear" w:color="auto" w:fill="DBE5F1" w:themeFill="accent1" w:themeFillTint="33"/>
            <w:noWrap/>
            <w:vAlign w:val="center"/>
            <w:hideMark/>
          </w:tcPr>
          <w:p w14:paraId="62E7E28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Barbados</w:t>
            </w:r>
          </w:p>
        </w:tc>
        <w:tc>
          <w:tcPr>
            <w:tcW w:w="775" w:type="pct"/>
            <w:shd w:val="clear" w:color="auto" w:fill="DBE5F1" w:themeFill="accent1" w:themeFillTint="33"/>
            <w:noWrap/>
            <w:vAlign w:val="center"/>
            <w:hideMark/>
          </w:tcPr>
          <w:p w14:paraId="74E96CD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NGO-90607</w:t>
            </w:r>
          </w:p>
        </w:tc>
      </w:tr>
      <w:tr w:rsidR="00224018" w:rsidRPr="007B01DE" w14:paraId="599A6CA0" w14:textId="77777777" w:rsidTr="00EE21E8">
        <w:trPr>
          <w:trHeight w:val="290"/>
        </w:trPr>
        <w:tc>
          <w:tcPr>
            <w:tcW w:w="3092" w:type="pct"/>
            <w:noWrap/>
            <w:vAlign w:val="center"/>
          </w:tcPr>
          <w:p w14:paraId="3E8AE581"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Poetawango</w:t>
            </w:r>
            <w:proofErr w:type="spellEnd"/>
            <w:r w:rsidRPr="007B01DE">
              <w:rPr>
                <w:rFonts w:ascii="Arial" w:hAnsi="Arial" w:cs="Arial"/>
                <w:b/>
                <w:bCs/>
                <w:sz w:val="20"/>
                <w:szCs w:val="20"/>
                <w:lang w:val="en-GB" w:eastAsia="en-GB" w:bidi="en-GB"/>
              </w:rPr>
              <w:t xml:space="preserve"> Spoken Word Poetry</w:t>
            </w:r>
          </w:p>
        </w:tc>
        <w:tc>
          <w:tcPr>
            <w:tcW w:w="1133" w:type="pct"/>
            <w:noWrap/>
            <w:vAlign w:val="center"/>
          </w:tcPr>
          <w:p w14:paraId="719348D9"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Botswana</w:t>
            </w:r>
          </w:p>
        </w:tc>
        <w:tc>
          <w:tcPr>
            <w:tcW w:w="775" w:type="pct"/>
            <w:noWrap/>
            <w:vAlign w:val="center"/>
          </w:tcPr>
          <w:p w14:paraId="3A5E958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NGO-90646</w:t>
            </w:r>
          </w:p>
        </w:tc>
      </w:tr>
      <w:tr w:rsidR="00224018" w:rsidRPr="007B01DE" w14:paraId="0C658916" w14:textId="77777777" w:rsidTr="00EE21E8">
        <w:trPr>
          <w:trHeight w:val="624"/>
        </w:trPr>
        <w:tc>
          <w:tcPr>
            <w:tcW w:w="3092" w:type="pct"/>
            <w:shd w:val="clear" w:color="auto" w:fill="DBE5F1" w:themeFill="accent1" w:themeFillTint="33"/>
            <w:noWrap/>
            <w:vAlign w:val="center"/>
            <w:hideMark/>
          </w:tcPr>
          <w:p w14:paraId="14460C25"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Proyecto Impacto Consultores</w:t>
            </w:r>
          </w:p>
        </w:tc>
        <w:tc>
          <w:tcPr>
            <w:tcW w:w="1133" w:type="pct"/>
            <w:shd w:val="clear" w:color="auto" w:fill="DBE5F1" w:themeFill="accent1" w:themeFillTint="33"/>
            <w:noWrap/>
            <w:vAlign w:val="center"/>
            <w:hideMark/>
          </w:tcPr>
          <w:p w14:paraId="5E4CAEF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México</w:t>
            </w:r>
          </w:p>
        </w:tc>
        <w:tc>
          <w:tcPr>
            <w:tcW w:w="775" w:type="pct"/>
            <w:shd w:val="clear" w:color="auto" w:fill="DBE5F1" w:themeFill="accent1" w:themeFillTint="33"/>
            <w:noWrap/>
            <w:vAlign w:val="center"/>
            <w:hideMark/>
          </w:tcPr>
          <w:p w14:paraId="3EE2586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NGO-90663</w:t>
            </w:r>
          </w:p>
        </w:tc>
      </w:tr>
      <w:tr w:rsidR="00224018" w:rsidRPr="007B01DE" w14:paraId="38FD4297" w14:textId="77777777" w:rsidTr="00EE21E8">
        <w:trPr>
          <w:trHeight w:val="624"/>
        </w:trPr>
        <w:tc>
          <w:tcPr>
            <w:tcW w:w="3092" w:type="pct"/>
            <w:noWrap/>
            <w:vAlign w:val="center"/>
            <w:hideMark/>
          </w:tcPr>
          <w:p w14:paraId="2E48D088" w14:textId="77777777" w:rsidR="00224018" w:rsidRPr="007B01DE" w:rsidRDefault="00224018" w:rsidP="00EE21E8">
            <w:pPr>
              <w:spacing w:before="120" w:after="120"/>
              <w:rPr>
                <w:rFonts w:ascii="Arial" w:hAnsi="Arial" w:cs="Arial"/>
                <w:b/>
                <w:bCs/>
                <w:sz w:val="20"/>
                <w:szCs w:val="20"/>
                <w:lang w:val="fr-FR"/>
              </w:rPr>
            </w:pPr>
            <w:proofErr w:type="spellStart"/>
            <w:r w:rsidRPr="007B01DE">
              <w:rPr>
                <w:rFonts w:ascii="Arial" w:hAnsi="Arial" w:cs="Arial"/>
                <w:b/>
                <w:bCs/>
                <w:sz w:val="20"/>
                <w:szCs w:val="20"/>
                <w:lang w:val="fr-FR" w:eastAsia="zh-CN"/>
              </w:rPr>
              <w:t>Sevenadurioù</w:t>
            </w:r>
            <w:proofErr w:type="spellEnd"/>
            <w:r w:rsidRPr="007B01DE">
              <w:rPr>
                <w:rFonts w:ascii="Arial" w:hAnsi="Arial" w:cs="Arial"/>
                <w:b/>
                <w:bCs/>
                <w:sz w:val="20"/>
                <w:szCs w:val="20"/>
                <w:lang w:val="fr-FR" w:eastAsia="zh-CN"/>
              </w:rPr>
              <w:t xml:space="preserve"> Breizh </w:t>
            </w:r>
            <w:r w:rsidRPr="007B01DE">
              <w:rPr>
                <w:rFonts w:ascii="Arial" w:hAnsi="Arial" w:cs="Arial"/>
                <w:b/>
                <w:bCs/>
                <w:sz w:val="20"/>
                <w:szCs w:val="20"/>
                <w:lang w:val="fr-FR" w:eastAsia="zh-CN"/>
              </w:rPr>
              <w:br/>
            </w:r>
            <w:r w:rsidRPr="007B01DE">
              <w:rPr>
                <w:rFonts w:ascii="Arial" w:hAnsi="Arial" w:cs="Arial"/>
                <w:sz w:val="20"/>
                <w:szCs w:val="20"/>
                <w:lang w:val="fr-FR" w:eastAsia="zh-CN"/>
              </w:rPr>
              <w:t>Bretagne Culture Diversité - BCD</w:t>
            </w:r>
          </w:p>
        </w:tc>
        <w:tc>
          <w:tcPr>
            <w:tcW w:w="1133" w:type="pct"/>
            <w:noWrap/>
            <w:vAlign w:val="center"/>
            <w:hideMark/>
          </w:tcPr>
          <w:p w14:paraId="3A74CC7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Francia</w:t>
            </w:r>
          </w:p>
        </w:tc>
        <w:tc>
          <w:tcPr>
            <w:tcW w:w="775" w:type="pct"/>
            <w:noWrap/>
            <w:vAlign w:val="center"/>
            <w:hideMark/>
          </w:tcPr>
          <w:p w14:paraId="2DD3FF7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NGO-90614</w:t>
            </w:r>
          </w:p>
        </w:tc>
      </w:tr>
      <w:tr w:rsidR="00224018" w:rsidRPr="007B01DE" w14:paraId="436513DF" w14:textId="77777777" w:rsidTr="00EE21E8">
        <w:trPr>
          <w:trHeight w:val="290"/>
        </w:trPr>
        <w:tc>
          <w:tcPr>
            <w:tcW w:w="3092" w:type="pct"/>
            <w:shd w:val="clear" w:color="auto" w:fill="DBE5F1" w:themeFill="accent1" w:themeFillTint="33"/>
            <w:noWrap/>
            <w:vAlign w:val="center"/>
            <w:hideMark/>
          </w:tcPr>
          <w:p w14:paraId="66F06F13"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Slow Food Bergen</w:t>
            </w:r>
          </w:p>
        </w:tc>
        <w:tc>
          <w:tcPr>
            <w:tcW w:w="1133" w:type="pct"/>
            <w:shd w:val="clear" w:color="auto" w:fill="DBE5F1" w:themeFill="accent1" w:themeFillTint="33"/>
            <w:noWrap/>
            <w:vAlign w:val="center"/>
            <w:hideMark/>
          </w:tcPr>
          <w:p w14:paraId="30E20C09"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Noruega</w:t>
            </w:r>
          </w:p>
        </w:tc>
        <w:tc>
          <w:tcPr>
            <w:tcW w:w="775" w:type="pct"/>
            <w:shd w:val="clear" w:color="auto" w:fill="DBE5F1" w:themeFill="accent1" w:themeFillTint="33"/>
            <w:noWrap/>
            <w:vAlign w:val="center"/>
            <w:hideMark/>
          </w:tcPr>
          <w:p w14:paraId="6AF490D4"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NGO-90660</w:t>
            </w:r>
          </w:p>
        </w:tc>
      </w:tr>
      <w:tr w:rsidR="00224018" w:rsidRPr="007B01DE" w14:paraId="606154FA" w14:textId="77777777" w:rsidTr="00EE21E8">
        <w:trPr>
          <w:trHeight w:val="624"/>
        </w:trPr>
        <w:tc>
          <w:tcPr>
            <w:tcW w:w="3092" w:type="pct"/>
            <w:noWrap/>
            <w:vAlign w:val="center"/>
            <w:hideMark/>
          </w:tcPr>
          <w:p w14:paraId="17B8196C"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Stichting</w:t>
            </w:r>
            <w:proofErr w:type="spellEnd"/>
            <w:r w:rsidRPr="007B01DE">
              <w:rPr>
                <w:rFonts w:ascii="Arial" w:hAnsi="Arial" w:cs="Arial"/>
                <w:b/>
                <w:bCs/>
                <w:sz w:val="20"/>
                <w:szCs w:val="20"/>
                <w:lang w:val="en-GB" w:eastAsia="en-GB" w:bidi="en-GB"/>
              </w:rPr>
              <w:t xml:space="preserve"> Caravane Earth</w:t>
            </w:r>
          </w:p>
        </w:tc>
        <w:tc>
          <w:tcPr>
            <w:tcW w:w="1133" w:type="pct"/>
            <w:noWrap/>
            <w:vAlign w:val="center"/>
            <w:hideMark/>
          </w:tcPr>
          <w:p w14:paraId="0CB3FBAF" w14:textId="77777777" w:rsidR="00224018" w:rsidRPr="007B01DE" w:rsidRDefault="00224018" w:rsidP="00EE21E8">
            <w:pPr>
              <w:spacing w:before="120" w:after="120"/>
              <w:jc w:val="center"/>
              <w:rPr>
                <w:rFonts w:ascii="Arial" w:hAnsi="Arial" w:cs="Arial"/>
                <w:sz w:val="20"/>
                <w:szCs w:val="20"/>
                <w:lang w:val="es-BO"/>
              </w:rPr>
            </w:pPr>
            <w:r w:rsidRPr="007B01DE">
              <w:rPr>
                <w:rFonts w:ascii="Arial" w:eastAsia="Arial" w:hAnsi="Arial" w:cs="Arial"/>
                <w:sz w:val="20"/>
                <w:szCs w:val="20"/>
                <w:lang w:bidi="es-ES"/>
              </w:rPr>
              <w:t>Países Bajos (Reino de los)</w:t>
            </w:r>
          </w:p>
        </w:tc>
        <w:tc>
          <w:tcPr>
            <w:tcW w:w="775" w:type="pct"/>
            <w:noWrap/>
            <w:vAlign w:val="center"/>
            <w:hideMark/>
          </w:tcPr>
          <w:p w14:paraId="6FCB2BEF"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NGO-90601</w:t>
            </w:r>
          </w:p>
        </w:tc>
      </w:tr>
      <w:tr w:rsidR="00224018" w:rsidRPr="007B01DE" w14:paraId="5E1C819C" w14:textId="77777777" w:rsidTr="00EE21E8">
        <w:trPr>
          <w:trHeight w:val="290"/>
        </w:trPr>
        <w:tc>
          <w:tcPr>
            <w:tcW w:w="3092" w:type="pct"/>
            <w:shd w:val="clear" w:color="auto" w:fill="DBE5F1" w:themeFill="accent1" w:themeFillTint="33"/>
            <w:noWrap/>
            <w:vAlign w:val="center"/>
          </w:tcPr>
          <w:p w14:paraId="1105DD0E"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Stiftelsen</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Länsmuseet</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Västernorrland</w:t>
            </w:r>
            <w:proofErr w:type="spellEnd"/>
            <w:r w:rsidRPr="007B01DE">
              <w:rPr>
                <w:rFonts w:ascii="Arial" w:hAnsi="Arial" w:cs="Arial"/>
                <w:b/>
                <w:bCs/>
                <w:sz w:val="20"/>
                <w:szCs w:val="20"/>
                <w:lang w:val="en-GB" w:eastAsia="en-GB" w:bidi="en-GB"/>
              </w:rPr>
              <w:br/>
            </w:r>
            <w:proofErr w:type="spellStart"/>
            <w:r w:rsidRPr="007B01DE">
              <w:rPr>
                <w:rFonts w:ascii="Arial" w:hAnsi="Arial" w:cs="Arial"/>
                <w:sz w:val="20"/>
                <w:szCs w:val="20"/>
                <w:lang w:val="en-GB" w:eastAsia="en-GB" w:bidi="en-GB"/>
              </w:rPr>
              <w:t>Västernorrland</w:t>
            </w:r>
            <w:proofErr w:type="spellEnd"/>
            <w:r w:rsidRPr="007B01DE">
              <w:rPr>
                <w:rFonts w:ascii="Arial" w:hAnsi="Arial" w:cs="Arial"/>
                <w:sz w:val="20"/>
                <w:szCs w:val="20"/>
                <w:lang w:val="en-GB" w:eastAsia="en-GB" w:bidi="en-GB"/>
              </w:rPr>
              <w:t xml:space="preserve"> County Museum Foundation</w:t>
            </w:r>
          </w:p>
        </w:tc>
        <w:tc>
          <w:tcPr>
            <w:tcW w:w="1133" w:type="pct"/>
            <w:shd w:val="clear" w:color="auto" w:fill="DBE5F1" w:themeFill="accent1" w:themeFillTint="33"/>
            <w:noWrap/>
            <w:vAlign w:val="center"/>
          </w:tcPr>
          <w:p w14:paraId="28FE1A9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Suecia</w:t>
            </w:r>
          </w:p>
        </w:tc>
        <w:tc>
          <w:tcPr>
            <w:tcW w:w="775" w:type="pct"/>
            <w:shd w:val="clear" w:color="auto" w:fill="DBE5F1" w:themeFill="accent1" w:themeFillTint="33"/>
            <w:noWrap/>
            <w:vAlign w:val="center"/>
          </w:tcPr>
          <w:p w14:paraId="374E9E5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NGO-90626</w:t>
            </w:r>
          </w:p>
        </w:tc>
      </w:tr>
      <w:tr w:rsidR="00224018" w:rsidRPr="007B01DE" w14:paraId="48666DA8" w14:textId="77777777" w:rsidTr="00EE21E8">
        <w:trPr>
          <w:trHeight w:val="624"/>
        </w:trPr>
        <w:tc>
          <w:tcPr>
            <w:tcW w:w="3092" w:type="pct"/>
            <w:noWrap/>
            <w:vAlign w:val="center"/>
            <w:hideMark/>
          </w:tcPr>
          <w:p w14:paraId="06A52500"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Sylvia Lanka Foundation - SLF</w:t>
            </w:r>
          </w:p>
        </w:tc>
        <w:tc>
          <w:tcPr>
            <w:tcW w:w="1133" w:type="pct"/>
            <w:noWrap/>
            <w:vAlign w:val="center"/>
            <w:hideMark/>
          </w:tcPr>
          <w:p w14:paraId="088936FD" w14:textId="77777777" w:rsidR="00224018" w:rsidRPr="007B01DE" w:rsidRDefault="00224018" w:rsidP="00EE21E8">
            <w:pPr>
              <w:spacing w:before="120" w:after="120"/>
              <w:jc w:val="center"/>
              <w:rPr>
                <w:rFonts w:ascii="Arial" w:hAnsi="Arial" w:cs="Arial"/>
                <w:sz w:val="20"/>
                <w:szCs w:val="20"/>
              </w:rPr>
            </w:pPr>
            <w:r w:rsidRPr="007B01DE">
              <w:rPr>
                <w:rFonts w:ascii="Arial" w:eastAsia="Arial" w:hAnsi="Arial" w:cs="Arial"/>
                <w:sz w:val="20"/>
                <w:szCs w:val="20"/>
                <w:lang w:bidi="es-ES"/>
              </w:rPr>
              <w:t>Reino Unido de Gran Bretaña e Irlanda del Norte</w:t>
            </w:r>
          </w:p>
        </w:tc>
        <w:tc>
          <w:tcPr>
            <w:tcW w:w="775" w:type="pct"/>
            <w:noWrap/>
            <w:vAlign w:val="center"/>
            <w:hideMark/>
          </w:tcPr>
          <w:p w14:paraId="130F2E0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NGO-90605</w:t>
            </w:r>
          </w:p>
        </w:tc>
      </w:tr>
      <w:tr w:rsidR="00224018" w:rsidRPr="007B01DE" w14:paraId="5B421E4F" w14:textId="77777777" w:rsidTr="00EE21E8">
        <w:trPr>
          <w:trHeight w:val="624"/>
        </w:trPr>
        <w:tc>
          <w:tcPr>
            <w:tcW w:w="3092" w:type="pct"/>
            <w:shd w:val="clear" w:color="auto" w:fill="DBE5F1" w:themeFill="accent1" w:themeFillTint="33"/>
            <w:noWrap/>
            <w:vAlign w:val="center"/>
            <w:hideMark/>
          </w:tcPr>
          <w:p w14:paraId="1C89A412"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Théâtre des Arts </w:t>
            </w:r>
            <w:proofErr w:type="spellStart"/>
            <w:r w:rsidRPr="007B01DE">
              <w:rPr>
                <w:rFonts w:ascii="Arial" w:hAnsi="Arial" w:cs="Arial"/>
                <w:b/>
                <w:bCs/>
                <w:sz w:val="20"/>
                <w:szCs w:val="20"/>
                <w:lang w:val="en-GB" w:eastAsia="en-GB" w:bidi="en-GB"/>
              </w:rPr>
              <w:t>Vivants</w:t>
            </w:r>
            <w:proofErr w:type="spellEnd"/>
            <w:r w:rsidRPr="007B01DE">
              <w:rPr>
                <w:rFonts w:ascii="Arial" w:hAnsi="Arial" w:cs="Arial"/>
                <w:b/>
                <w:bCs/>
                <w:sz w:val="20"/>
                <w:szCs w:val="20"/>
                <w:lang w:val="en-GB" w:eastAsia="en-GB" w:bidi="en-GB"/>
              </w:rPr>
              <w:t xml:space="preserve"> - TAV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Living Arts Theatre</w:t>
            </w:r>
          </w:p>
        </w:tc>
        <w:tc>
          <w:tcPr>
            <w:tcW w:w="1133" w:type="pct"/>
            <w:shd w:val="clear" w:color="auto" w:fill="DBE5F1" w:themeFill="accent1" w:themeFillTint="33"/>
            <w:noWrap/>
            <w:vAlign w:val="center"/>
            <w:hideMark/>
          </w:tcPr>
          <w:p w14:paraId="6767F870"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Francia</w:t>
            </w:r>
          </w:p>
        </w:tc>
        <w:tc>
          <w:tcPr>
            <w:tcW w:w="775" w:type="pct"/>
            <w:shd w:val="clear" w:color="auto" w:fill="DBE5F1" w:themeFill="accent1" w:themeFillTint="33"/>
            <w:noWrap/>
            <w:vAlign w:val="center"/>
            <w:hideMark/>
          </w:tcPr>
          <w:p w14:paraId="1AB2DFD8"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NGO-90680</w:t>
            </w:r>
          </w:p>
        </w:tc>
      </w:tr>
      <w:tr w:rsidR="00224018" w:rsidRPr="007B01DE" w14:paraId="3B7DEF78" w14:textId="77777777" w:rsidTr="00EE21E8">
        <w:trPr>
          <w:trHeight w:val="290"/>
        </w:trPr>
        <w:tc>
          <w:tcPr>
            <w:tcW w:w="3092" w:type="pct"/>
            <w:noWrap/>
            <w:vAlign w:val="center"/>
            <w:hideMark/>
          </w:tcPr>
          <w:p w14:paraId="1291A96C"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Trung </w:t>
            </w:r>
            <w:proofErr w:type="spellStart"/>
            <w:r w:rsidRPr="007B01DE">
              <w:rPr>
                <w:rFonts w:ascii="Arial" w:hAnsi="Arial" w:cs="Arial"/>
                <w:b/>
                <w:bCs/>
                <w:sz w:val="20"/>
                <w:szCs w:val="20"/>
                <w:lang w:val="en-GB" w:eastAsia="en-GB" w:bidi="en-GB"/>
              </w:rPr>
              <w:t>tâm</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Nghiên</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cứu</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và</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Phát</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huy</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giá</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trị</w:t>
            </w:r>
            <w:proofErr w:type="spellEnd"/>
            <w:r w:rsidRPr="007B01DE">
              <w:rPr>
                <w:rFonts w:ascii="Arial" w:hAnsi="Arial" w:cs="Arial"/>
                <w:b/>
                <w:bCs/>
                <w:sz w:val="20"/>
                <w:szCs w:val="20"/>
                <w:lang w:val="en-GB" w:eastAsia="en-GB" w:bidi="en-GB"/>
              </w:rPr>
              <w:t xml:space="preserve"> di </w:t>
            </w:r>
            <w:proofErr w:type="spellStart"/>
            <w:r w:rsidRPr="007B01DE">
              <w:rPr>
                <w:rFonts w:ascii="Arial" w:hAnsi="Arial" w:cs="Arial"/>
                <w:b/>
                <w:bCs/>
                <w:sz w:val="20"/>
                <w:szCs w:val="20"/>
                <w:lang w:val="en-GB" w:eastAsia="en-GB" w:bidi="en-GB"/>
              </w:rPr>
              <w:t>sản</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văn</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hóa</w:t>
            </w:r>
            <w:proofErr w:type="spellEnd"/>
            <w:r w:rsidRPr="007B01DE">
              <w:rPr>
                <w:rFonts w:ascii="Arial" w:hAnsi="Arial" w:cs="Arial"/>
                <w:b/>
                <w:bCs/>
                <w:sz w:val="20"/>
                <w:szCs w:val="20"/>
                <w:lang w:val="en-GB" w:eastAsia="en-GB" w:bidi="en-GB"/>
              </w:rPr>
              <w:t xml:space="preserve">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Center for Research and Promotion of Cultural Heritage - CCH</w:t>
            </w:r>
          </w:p>
        </w:tc>
        <w:tc>
          <w:tcPr>
            <w:tcW w:w="1133" w:type="pct"/>
            <w:noWrap/>
            <w:vAlign w:val="center"/>
            <w:hideMark/>
          </w:tcPr>
          <w:p w14:paraId="791D5D36"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Vietnam</w:t>
            </w:r>
          </w:p>
        </w:tc>
        <w:tc>
          <w:tcPr>
            <w:tcW w:w="775" w:type="pct"/>
            <w:noWrap/>
            <w:vAlign w:val="center"/>
            <w:hideMark/>
          </w:tcPr>
          <w:p w14:paraId="768DDDA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NGO-90666</w:t>
            </w:r>
          </w:p>
        </w:tc>
      </w:tr>
      <w:tr w:rsidR="00224018" w:rsidRPr="007B01DE" w14:paraId="19B17CEC" w14:textId="77777777" w:rsidTr="00EE21E8">
        <w:trPr>
          <w:trHeight w:val="290"/>
        </w:trPr>
        <w:tc>
          <w:tcPr>
            <w:tcW w:w="3092" w:type="pct"/>
            <w:shd w:val="clear" w:color="auto" w:fill="DBE5F1" w:themeFill="accent1" w:themeFillTint="33"/>
            <w:noWrap/>
            <w:vAlign w:val="center"/>
          </w:tcPr>
          <w:p w14:paraId="69589C4B"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Udruženje</w:t>
            </w:r>
            <w:proofErr w:type="spellEnd"/>
            <w:r w:rsidRPr="007B01DE">
              <w:rPr>
                <w:rFonts w:ascii="Arial" w:hAnsi="Arial" w:cs="Arial"/>
                <w:b/>
                <w:bCs/>
                <w:sz w:val="20"/>
                <w:szCs w:val="20"/>
                <w:lang w:val="en-GB" w:eastAsia="en-GB" w:bidi="en-GB"/>
              </w:rPr>
              <w:t xml:space="preserve"> za </w:t>
            </w:r>
            <w:proofErr w:type="spellStart"/>
            <w:r w:rsidRPr="007B01DE">
              <w:rPr>
                <w:rFonts w:ascii="Arial" w:hAnsi="Arial" w:cs="Arial"/>
                <w:b/>
                <w:bCs/>
                <w:sz w:val="20"/>
                <w:szCs w:val="20"/>
                <w:lang w:val="en-GB" w:eastAsia="en-GB" w:bidi="en-GB"/>
              </w:rPr>
              <w:t>istraživanje</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očuvanje</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i</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prezentaciju</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tradicije</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i</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kulturne</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baštine</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naroda</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i</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nacionalnih</w:t>
            </w:r>
            <w:proofErr w:type="spellEnd"/>
            <w:r w:rsidRPr="007B01DE">
              <w:rPr>
                <w:rFonts w:ascii="Arial" w:hAnsi="Arial" w:cs="Arial"/>
                <w:b/>
                <w:bCs/>
                <w:sz w:val="20"/>
                <w:szCs w:val="20"/>
                <w:lang w:val="en-GB" w:eastAsia="en-GB" w:bidi="en-GB"/>
              </w:rPr>
              <w:t xml:space="preserve"> </w:t>
            </w:r>
            <w:proofErr w:type="spellStart"/>
            <w:r w:rsidRPr="007B01DE">
              <w:rPr>
                <w:rFonts w:ascii="Arial" w:hAnsi="Arial" w:cs="Arial"/>
                <w:b/>
                <w:bCs/>
                <w:sz w:val="20"/>
                <w:szCs w:val="20"/>
                <w:lang w:val="en-GB" w:eastAsia="en-GB" w:bidi="en-GB"/>
              </w:rPr>
              <w:t>manjina</w:t>
            </w:r>
            <w:proofErr w:type="spellEnd"/>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Association for research, preservation and presentation of the tradition and cultural heritage of the people and national minorities</w:t>
            </w:r>
          </w:p>
        </w:tc>
        <w:tc>
          <w:tcPr>
            <w:tcW w:w="1133" w:type="pct"/>
            <w:shd w:val="clear" w:color="auto" w:fill="DBE5F1" w:themeFill="accent1" w:themeFillTint="33"/>
            <w:noWrap/>
            <w:vAlign w:val="center"/>
          </w:tcPr>
          <w:p w14:paraId="0770D0F3"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Bosnia y Herzegovina</w:t>
            </w:r>
          </w:p>
        </w:tc>
        <w:tc>
          <w:tcPr>
            <w:tcW w:w="775" w:type="pct"/>
            <w:shd w:val="clear" w:color="auto" w:fill="DBE5F1" w:themeFill="accent1" w:themeFillTint="33"/>
            <w:noWrap/>
            <w:vAlign w:val="center"/>
          </w:tcPr>
          <w:p w14:paraId="0E0CBCB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NGO-90636</w:t>
            </w:r>
          </w:p>
        </w:tc>
      </w:tr>
      <w:tr w:rsidR="00224018" w:rsidRPr="007B01DE" w14:paraId="58C4D1F8" w14:textId="77777777" w:rsidTr="00EE21E8">
        <w:trPr>
          <w:trHeight w:val="290"/>
        </w:trPr>
        <w:tc>
          <w:tcPr>
            <w:tcW w:w="3092" w:type="pct"/>
            <w:noWrap/>
            <w:vAlign w:val="center"/>
            <w:hideMark/>
          </w:tcPr>
          <w:p w14:paraId="4912308B" w14:textId="77777777" w:rsidR="00224018" w:rsidRPr="007B01DE" w:rsidRDefault="00224018" w:rsidP="00EE21E8">
            <w:pPr>
              <w:spacing w:before="120" w:after="120"/>
              <w:rPr>
                <w:rFonts w:ascii="Arial" w:hAnsi="Arial" w:cs="Arial"/>
                <w:b/>
                <w:bCs/>
                <w:sz w:val="20"/>
                <w:szCs w:val="20"/>
                <w:lang w:val="it-IT"/>
              </w:rPr>
            </w:pPr>
            <w:r w:rsidRPr="007B01DE">
              <w:rPr>
                <w:rFonts w:ascii="Arial" w:hAnsi="Arial" w:cs="Arial"/>
                <w:b/>
                <w:bCs/>
                <w:sz w:val="20"/>
                <w:szCs w:val="20"/>
                <w:lang w:val="it-IT" w:eastAsia="it-IT" w:bidi="it-IT"/>
              </w:rPr>
              <w:t xml:space="preserve">UNIMA Türkiye Millî Merkezi </w:t>
            </w:r>
            <w:r w:rsidRPr="007B01DE">
              <w:rPr>
                <w:rFonts w:ascii="Arial" w:hAnsi="Arial" w:cs="Arial"/>
                <w:b/>
                <w:bCs/>
                <w:sz w:val="20"/>
                <w:szCs w:val="20"/>
                <w:lang w:val="it-IT" w:eastAsia="it-IT" w:bidi="it-IT"/>
              </w:rPr>
              <w:br/>
            </w:r>
            <w:r w:rsidRPr="007B01DE">
              <w:rPr>
                <w:rFonts w:ascii="Arial" w:hAnsi="Arial" w:cs="Arial"/>
                <w:sz w:val="20"/>
                <w:szCs w:val="20"/>
                <w:lang w:val="it-IT" w:eastAsia="it-IT" w:bidi="it-IT"/>
              </w:rPr>
              <w:t>UNIMA Türkiye National Center</w:t>
            </w:r>
          </w:p>
        </w:tc>
        <w:tc>
          <w:tcPr>
            <w:tcW w:w="1133" w:type="pct"/>
            <w:noWrap/>
            <w:vAlign w:val="center"/>
            <w:hideMark/>
          </w:tcPr>
          <w:p w14:paraId="59DD10EC"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noWrap/>
            <w:vAlign w:val="center"/>
            <w:hideMark/>
          </w:tcPr>
          <w:p w14:paraId="10DF121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NGO-90673</w:t>
            </w:r>
          </w:p>
        </w:tc>
      </w:tr>
      <w:tr w:rsidR="00224018" w:rsidRPr="007B01DE" w14:paraId="563C82FF" w14:textId="77777777" w:rsidTr="00EE21E8">
        <w:trPr>
          <w:trHeight w:val="290"/>
        </w:trPr>
        <w:tc>
          <w:tcPr>
            <w:tcW w:w="3092" w:type="pct"/>
            <w:shd w:val="clear" w:color="auto" w:fill="DBE5F1" w:themeFill="accent1" w:themeFillTint="33"/>
            <w:noWrap/>
            <w:vAlign w:val="center"/>
            <w:hideMark/>
          </w:tcPr>
          <w:p w14:paraId="11B7EEFD"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World Intangible Cultural Heritage Protection and Development Foundation, Inc. - WICHPDF</w:t>
            </w:r>
          </w:p>
        </w:tc>
        <w:tc>
          <w:tcPr>
            <w:tcW w:w="1133" w:type="pct"/>
            <w:shd w:val="clear" w:color="auto" w:fill="DBE5F1" w:themeFill="accent1" w:themeFillTint="33"/>
            <w:noWrap/>
            <w:vAlign w:val="center"/>
            <w:hideMark/>
          </w:tcPr>
          <w:p w14:paraId="585815DB"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Estados Unidos de América</w:t>
            </w:r>
          </w:p>
        </w:tc>
        <w:tc>
          <w:tcPr>
            <w:tcW w:w="775" w:type="pct"/>
            <w:shd w:val="clear" w:color="auto" w:fill="DBE5F1" w:themeFill="accent1" w:themeFillTint="33"/>
            <w:noWrap/>
            <w:vAlign w:val="center"/>
            <w:hideMark/>
          </w:tcPr>
          <w:p w14:paraId="464B6A5E"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NGO-90685</w:t>
            </w:r>
          </w:p>
        </w:tc>
      </w:tr>
      <w:tr w:rsidR="00224018" w:rsidRPr="007B01DE" w14:paraId="30492216" w14:textId="77777777" w:rsidTr="00EE21E8">
        <w:trPr>
          <w:trHeight w:val="290"/>
        </w:trPr>
        <w:tc>
          <w:tcPr>
            <w:tcW w:w="3092" w:type="pct"/>
            <w:noWrap/>
            <w:vAlign w:val="center"/>
          </w:tcPr>
          <w:p w14:paraId="6A7A4B39" w14:textId="77777777" w:rsidR="00224018" w:rsidRPr="007B01DE" w:rsidRDefault="00224018" w:rsidP="00EE21E8">
            <w:pPr>
              <w:spacing w:before="120" w:after="120"/>
              <w:rPr>
                <w:rFonts w:ascii="Arial" w:hAnsi="Arial" w:cs="Arial"/>
                <w:b/>
                <w:bCs/>
                <w:sz w:val="20"/>
                <w:szCs w:val="20"/>
                <w:lang w:val="en-GB"/>
              </w:rPr>
            </w:pPr>
            <w:proofErr w:type="spellStart"/>
            <w:r w:rsidRPr="007B01DE">
              <w:rPr>
                <w:rFonts w:ascii="Arial" w:hAnsi="Arial" w:cs="Arial"/>
                <w:b/>
                <w:bCs/>
                <w:sz w:val="20"/>
                <w:szCs w:val="20"/>
                <w:lang w:val="en-GB" w:eastAsia="en-GB" w:bidi="en-GB"/>
              </w:rPr>
              <w:t>Yolda</w:t>
            </w:r>
            <w:proofErr w:type="spellEnd"/>
            <w:r w:rsidRPr="007B01DE">
              <w:rPr>
                <w:rFonts w:ascii="Arial" w:hAnsi="Arial" w:cs="Arial"/>
                <w:b/>
                <w:bCs/>
                <w:sz w:val="20"/>
                <w:szCs w:val="20"/>
                <w:lang w:val="en-GB" w:eastAsia="en-GB" w:bidi="en-GB"/>
              </w:rPr>
              <w:t xml:space="preserve"> Derneği</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Yolda Association</w:t>
            </w:r>
            <w:r w:rsidRPr="007B01DE">
              <w:rPr>
                <w:rFonts w:ascii="Arial" w:hAnsi="Arial" w:cs="Arial"/>
                <w:sz w:val="20"/>
                <w:szCs w:val="20"/>
                <w:lang w:val="en-GB" w:eastAsia="en-GB" w:bidi="en-GB"/>
              </w:rPr>
              <w:tab/>
            </w:r>
            <w:r w:rsidRPr="007B01DE">
              <w:rPr>
                <w:rFonts w:ascii="Arial" w:hAnsi="Arial" w:cs="Arial"/>
                <w:sz w:val="20"/>
                <w:szCs w:val="20"/>
                <w:lang w:val="en-GB" w:eastAsia="en-GB" w:bidi="en-GB"/>
              </w:rPr>
              <w:tab/>
            </w:r>
          </w:p>
        </w:tc>
        <w:tc>
          <w:tcPr>
            <w:tcW w:w="1133" w:type="pct"/>
            <w:noWrap/>
            <w:vAlign w:val="center"/>
          </w:tcPr>
          <w:p w14:paraId="70A4BAB2"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Türkiye</w:t>
            </w:r>
          </w:p>
        </w:tc>
        <w:tc>
          <w:tcPr>
            <w:tcW w:w="775" w:type="pct"/>
            <w:noWrap/>
            <w:vAlign w:val="center"/>
          </w:tcPr>
          <w:p w14:paraId="7A9B3B91"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NGO-90622</w:t>
            </w:r>
          </w:p>
        </w:tc>
      </w:tr>
      <w:tr w:rsidR="00224018" w:rsidRPr="007B01DE" w14:paraId="127DE3B9" w14:textId="77777777" w:rsidTr="00EE21E8">
        <w:trPr>
          <w:trHeight w:val="624"/>
        </w:trPr>
        <w:tc>
          <w:tcPr>
            <w:tcW w:w="3092" w:type="pct"/>
            <w:shd w:val="clear" w:color="auto" w:fill="DBE5F1" w:themeFill="accent1" w:themeFillTint="33"/>
            <w:noWrap/>
            <w:vAlign w:val="center"/>
            <w:hideMark/>
          </w:tcPr>
          <w:p w14:paraId="00AD7BF0" w14:textId="77777777" w:rsidR="00224018" w:rsidRPr="007B01DE" w:rsidRDefault="00224018" w:rsidP="00EE21E8">
            <w:pPr>
              <w:spacing w:before="120" w:after="120"/>
              <w:rPr>
                <w:rFonts w:ascii="Arial" w:hAnsi="Arial" w:cs="Arial"/>
                <w:b/>
                <w:bCs/>
                <w:sz w:val="20"/>
                <w:szCs w:val="20"/>
                <w:lang w:val="en-GB"/>
              </w:rPr>
            </w:pPr>
            <w:r w:rsidRPr="007B01DE">
              <w:rPr>
                <w:rFonts w:ascii="Arial" w:hAnsi="Arial" w:cs="Arial"/>
                <w:b/>
                <w:bCs/>
                <w:sz w:val="20"/>
                <w:szCs w:val="20"/>
                <w:lang w:val="en-GB" w:eastAsia="en-GB" w:bidi="en-GB"/>
              </w:rPr>
              <w:t xml:space="preserve">АЛЄМ </w:t>
            </w:r>
            <w:r w:rsidRPr="007B01DE">
              <w:rPr>
                <w:rFonts w:ascii="Arial" w:hAnsi="Arial" w:cs="Arial"/>
                <w:b/>
                <w:bCs/>
                <w:sz w:val="20"/>
                <w:szCs w:val="20"/>
                <w:lang w:val="en-GB" w:eastAsia="en-GB" w:bidi="en-GB"/>
              </w:rPr>
              <w:br/>
            </w:r>
            <w:r w:rsidRPr="007B01DE">
              <w:rPr>
                <w:rFonts w:ascii="Arial" w:hAnsi="Arial" w:cs="Arial"/>
                <w:sz w:val="20"/>
                <w:szCs w:val="20"/>
                <w:lang w:val="en-GB" w:eastAsia="en-GB" w:bidi="en-GB"/>
              </w:rPr>
              <w:t>ALEM</w:t>
            </w:r>
          </w:p>
        </w:tc>
        <w:tc>
          <w:tcPr>
            <w:tcW w:w="1133" w:type="pct"/>
            <w:shd w:val="clear" w:color="auto" w:fill="DBE5F1" w:themeFill="accent1" w:themeFillTint="33"/>
            <w:noWrap/>
            <w:vAlign w:val="center"/>
            <w:hideMark/>
          </w:tcPr>
          <w:p w14:paraId="1A7866C7"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Ucrania</w:t>
            </w:r>
          </w:p>
        </w:tc>
        <w:tc>
          <w:tcPr>
            <w:tcW w:w="775" w:type="pct"/>
            <w:shd w:val="clear" w:color="auto" w:fill="DBE5F1" w:themeFill="accent1" w:themeFillTint="33"/>
            <w:noWrap/>
            <w:vAlign w:val="center"/>
            <w:hideMark/>
          </w:tcPr>
          <w:p w14:paraId="180BA9CD"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NGO-90609</w:t>
            </w:r>
          </w:p>
        </w:tc>
      </w:tr>
      <w:tr w:rsidR="00224018" w:rsidRPr="007B01DE" w14:paraId="34607EFC" w14:textId="77777777" w:rsidTr="00EE21E8">
        <w:trPr>
          <w:trHeight w:val="624"/>
        </w:trPr>
        <w:tc>
          <w:tcPr>
            <w:tcW w:w="3092" w:type="pct"/>
            <w:noWrap/>
            <w:vAlign w:val="center"/>
            <w:hideMark/>
          </w:tcPr>
          <w:p w14:paraId="0295DB8F" w14:textId="77777777" w:rsidR="00224018" w:rsidRPr="007B01DE" w:rsidRDefault="00224018" w:rsidP="00EE21E8">
            <w:pPr>
              <w:spacing w:before="120" w:after="120"/>
              <w:rPr>
                <w:rFonts w:ascii="Arial" w:hAnsi="Arial" w:cs="Arial"/>
                <w:b/>
                <w:bCs/>
                <w:sz w:val="20"/>
                <w:szCs w:val="20"/>
              </w:rPr>
            </w:pPr>
            <w:proofErr w:type="spellStart"/>
            <w:r w:rsidRPr="007B01DE">
              <w:rPr>
                <w:rFonts w:ascii="Arial" w:hAnsi="Arial" w:cs="Arial"/>
                <w:b/>
                <w:bCs/>
                <w:sz w:val="20"/>
                <w:szCs w:val="20"/>
                <w:lang w:val="en-GB" w:eastAsia="en-GB" w:bidi="en-GB"/>
              </w:rPr>
              <w:t>Մշակույթը</w:t>
            </w:r>
            <w:proofErr w:type="spellEnd"/>
            <w:r w:rsidRPr="007B01DE">
              <w:rPr>
                <w:rFonts w:ascii="Arial" w:hAnsi="Arial" w:cs="Arial"/>
                <w:b/>
                <w:bCs/>
                <w:sz w:val="20"/>
                <w:szCs w:val="20"/>
                <w:lang w:eastAsia="en-GB" w:bidi="en-GB"/>
              </w:rPr>
              <w:t xml:space="preserve"> </w:t>
            </w:r>
            <w:proofErr w:type="spellStart"/>
            <w:r w:rsidRPr="007B01DE">
              <w:rPr>
                <w:rFonts w:ascii="Arial" w:hAnsi="Arial" w:cs="Arial"/>
                <w:b/>
                <w:bCs/>
                <w:sz w:val="20"/>
                <w:szCs w:val="20"/>
                <w:lang w:val="en-GB" w:eastAsia="en-GB" w:bidi="en-GB"/>
              </w:rPr>
              <w:t>հանուն</w:t>
            </w:r>
            <w:proofErr w:type="spellEnd"/>
            <w:r w:rsidRPr="007B01DE">
              <w:rPr>
                <w:rFonts w:ascii="Arial" w:hAnsi="Arial" w:cs="Arial"/>
                <w:b/>
                <w:bCs/>
                <w:sz w:val="20"/>
                <w:szCs w:val="20"/>
                <w:lang w:eastAsia="en-GB" w:bidi="en-GB"/>
              </w:rPr>
              <w:t xml:space="preserve"> </w:t>
            </w:r>
            <w:proofErr w:type="spellStart"/>
            <w:r w:rsidRPr="007B01DE">
              <w:rPr>
                <w:rFonts w:ascii="Arial" w:hAnsi="Arial" w:cs="Arial"/>
                <w:b/>
                <w:bCs/>
                <w:sz w:val="20"/>
                <w:szCs w:val="20"/>
                <w:lang w:val="en-GB" w:eastAsia="en-GB" w:bidi="en-GB"/>
              </w:rPr>
              <w:t>կայուն</w:t>
            </w:r>
            <w:proofErr w:type="spellEnd"/>
            <w:r w:rsidRPr="007B01DE">
              <w:rPr>
                <w:rFonts w:ascii="Arial" w:hAnsi="Arial" w:cs="Arial"/>
                <w:b/>
                <w:bCs/>
                <w:sz w:val="20"/>
                <w:szCs w:val="20"/>
                <w:lang w:eastAsia="en-GB" w:bidi="en-GB"/>
              </w:rPr>
              <w:t xml:space="preserve"> </w:t>
            </w:r>
            <w:proofErr w:type="spellStart"/>
            <w:r w:rsidRPr="007B01DE">
              <w:rPr>
                <w:rFonts w:ascii="Arial" w:hAnsi="Arial" w:cs="Arial"/>
                <w:b/>
                <w:bCs/>
                <w:sz w:val="20"/>
                <w:szCs w:val="20"/>
                <w:lang w:val="en-GB" w:eastAsia="en-GB" w:bidi="en-GB"/>
              </w:rPr>
              <w:t>զարգացման</w:t>
            </w:r>
            <w:proofErr w:type="spellEnd"/>
            <w:r w:rsidRPr="007B01DE">
              <w:rPr>
                <w:rFonts w:ascii="Arial" w:hAnsi="Arial" w:cs="Arial"/>
                <w:b/>
                <w:bCs/>
                <w:sz w:val="20"/>
                <w:szCs w:val="20"/>
                <w:lang w:eastAsia="en-GB" w:bidi="en-GB"/>
              </w:rPr>
              <w:t xml:space="preserve"> </w:t>
            </w:r>
            <w:r w:rsidRPr="007B01DE">
              <w:rPr>
                <w:rFonts w:ascii="Arial" w:hAnsi="Arial" w:cs="Arial"/>
                <w:b/>
                <w:bCs/>
                <w:sz w:val="20"/>
                <w:szCs w:val="20"/>
                <w:lang w:eastAsia="en-GB" w:bidi="en-GB"/>
              </w:rPr>
              <w:br/>
            </w:r>
            <w:r w:rsidRPr="007B01DE">
              <w:rPr>
                <w:rFonts w:ascii="Arial" w:hAnsi="Arial" w:cs="Arial"/>
                <w:sz w:val="20"/>
                <w:szCs w:val="20"/>
                <w:lang w:eastAsia="zh-CN"/>
              </w:rPr>
              <w:t xml:space="preserve">Culture for </w:t>
            </w:r>
            <w:proofErr w:type="spellStart"/>
            <w:r w:rsidRPr="007B01DE">
              <w:rPr>
                <w:rFonts w:ascii="Arial" w:hAnsi="Arial" w:cs="Arial"/>
                <w:sz w:val="20"/>
                <w:szCs w:val="20"/>
                <w:lang w:eastAsia="zh-CN"/>
              </w:rPr>
              <w:t>Sustainable</w:t>
            </w:r>
            <w:proofErr w:type="spellEnd"/>
            <w:r w:rsidRPr="007B01DE">
              <w:rPr>
                <w:rFonts w:ascii="Arial" w:hAnsi="Arial" w:cs="Arial"/>
                <w:sz w:val="20"/>
                <w:szCs w:val="20"/>
                <w:lang w:eastAsia="zh-CN"/>
              </w:rPr>
              <w:t xml:space="preserve"> Development</w:t>
            </w:r>
          </w:p>
        </w:tc>
        <w:tc>
          <w:tcPr>
            <w:tcW w:w="1133" w:type="pct"/>
            <w:noWrap/>
            <w:vAlign w:val="center"/>
            <w:hideMark/>
          </w:tcPr>
          <w:p w14:paraId="4A14A047" w14:textId="77777777" w:rsidR="00224018" w:rsidRPr="007B01DE" w:rsidRDefault="00224018" w:rsidP="00EE21E8">
            <w:pPr>
              <w:spacing w:before="120" w:after="120"/>
              <w:jc w:val="center"/>
              <w:rPr>
                <w:rFonts w:ascii="Arial" w:hAnsi="Arial" w:cs="Arial"/>
                <w:sz w:val="20"/>
                <w:szCs w:val="20"/>
                <w:lang w:val="en-GB"/>
              </w:rPr>
            </w:pPr>
            <w:r w:rsidRPr="007B01DE">
              <w:rPr>
                <w:rFonts w:ascii="Arial" w:eastAsia="Arial" w:hAnsi="Arial" w:cs="Arial"/>
                <w:sz w:val="20"/>
                <w:szCs w:val="20"/>
                <w:lang w:bidi="es-ES"/>
              </w:rPr>
              <w:t>Armenia</w:t>
            </w:r>
          </w:p>
        </w:tc>
        <w:tc>
          <w:tcPr>
            <w:tcW w:w="775" w:type="pct"/>
            <w:noWrap/>
            <w:vAlign w:val="center"/>
            <w:hideMark/>
          </w:tcPr>
          <w:p w14:paraId="1455A32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NGO-90632</w:t>
            </w:r>
          </w:p>
        </w:tc>
      </w:tr>
      <w:tr w:rsidR="00224018" w:rsidRPr="007B01DE" w14:paraId="0F71ABF2" w14:textId="77777777" w:rsidTr="00EE21E8">
        <w:trPr>
          <w:trHeight w:val="624"/>
        </w:trPr>
        <w:tc>
          <w:tcPr>
            <w:tcW w:w="3092" w:type="pct"/>
            <w:shd w:val="clear" w:color="auto" w:fill="DBE5F1" w:themeFill="accent1" w:themeFillTint="33"/>
            <w:noWrap/>
            <w:vAlign w:val="center"/>
            <w:hideMark/>
          </w:tcPr>
          <w:p w14:paraId="74F45A64" w14:textId="77777777" w:rsidR="00224018" w:rsidRPr="007B01DE" w:rsidRDefault="00224018" w:rsidP="003A339B">
            <w:pPr>
              <w:keepNext/>
              <w:spacing w:before="120" w:after="120"/>
              <w:rPr>
                <w:rFonts w:ascii="Arial" w:hAnsi="Arial" w:cs="Arial"/>
                <w:b/>
                <w:bCs/>
                <w:sz w:val="20"/>
                <w:szCs w:val="20"/>
              </w:rPr>
            </w:pPr>
            <w:r w:rsidRPr="007B01DE">
              <w:rPr>
                <w:rFonts w:ascii="Nirmala UI" w:hAnsi="Nirmala UI" w:cs="Nirmala UI" w:hint="cs"/>
                <w:b/>
                <w:bCs/>
                <w:sz w:val="20"/>
                <w:szCs w:val="20"/>
                <w:cs/>
                <w:lang w:val="en-GB" w:eastAsia="en-GB" w:bidi="hi-IN"/>
              </w:rPr>
              <w:lastRenderedPageBreak/>
              <w:t>राजस्थान</w:t>
            </w:r>
            <w:r w:rsidRPr="007B01DE">
              <w:rPr>
                <w:rFonts w:ascii="Arial" w:hAnsi="Arial" w:cs="Arial"/>
                <w:b/>
                <w:bCs/>
                <w:sz w:val="20"/>
                <w:szCs w:val="20"/>
                <w:cs/>
                <w:lang w:val="en-GB" w:eastAsia="en-GB" w:bidi="hi-IN"/>
              </w:rPr>
              <w:t xml:space="preserve"> </w:t>
            </w:r>
            <w:r w:rsidRPr="007B01DE">
              <w:rPr>
                <w:rFonts w:ascii="Nirmala UI" w:hAnsi="Nirmala UI" w:cs="Nirmala UI" w:hint="cs"/>
                <w:b/>
                <w:bCs/>
                <w:sz w:val="20"/>
                <w:szCs w:val="20"/>
                <w:cs/>
                <w:lang w:val="en-GB" w:eastAsia="en-GB" w:bidi="hi-IN"/>
              </w:rPr>
              <w:t>समग्र</w:t>
            </w:r>
            <w:r w:rsidRPr="007B01DE">
              <w:rPr>
                <w:rFonts w:ascii="Arial" w:hAnsi="Arial" w:cs="Arial"/>
                <w:b/>
                <w:bCs/>
                <w:sz w:val="20"/>
                <w:szCs w:val="20"/>
                <w:cs/>
                <w:lang w:val="en-GB" w:eastAsia="en-GB" w:bidi="hi-IN"/>
              </w:rPr>
              <w:t xml:space="preserve"> </w:t>
            </w:r>
            <w:r w:rsidRPr="007B01DE">
              <w:rPr>
                <w:rFonts w:ascii="Nirmala UI" w:hAnsi="Nirmala UI" w:cs="Nirmala UI" w:hint="cs"/>
                <w:b/>
                <w:bCs/>
                <w:sz w:val="20"/>
                <w:szCs w:val="20"/>
                <w:cs/>
                <w:lang w:val="en-GB" w:eastAsia="en-GB" w:bidi="hi-IN"/>
              </w:rPr>
              <w:t>कल्याण</w:t>
            </w:r>
            <w:r w:rsidRPr="007B01DE">
              <w:rPr>
                <w:rFonts w:ascii="Arial" w:hAnsi="Arial" w:cs="Arial"/>
                <w:b/>
                <w:bCs/>
                <w:sz w:val="20"/>
                <w:szCs w:val="20"/>
                <w:cs/>
                <w:lang w:val="en-GB" w:eastAsia="en-GB" w:bidi="hi-IN"/>
              </w:rPr>
              <w:t xml:space="preserve"> </w:t>
            </w:r>
            <w:r w:rsidRPr="007B01DE">
              <w:rPr>
                <w:rFonts w:ascii="Nirmala UI" w:hAnsi="Nirmala UI" w:cs="Nirmala UI" w:hint="cs"/>
                <w:b/>
                <w:bCs/>
                <w:sz w:val="20"/>
                <w:szCs w:val="20"/>
                <w:cs/>
                <w:lang w:val="en-GB" w:eastAsia="en-GB" w:bidi="hi-IN"/>
              </w:rPr>
              <w:t>संस्थान</w:t>
            </w:r>
            <w:r w:rsidRPr="007B01DE">
              <w:rPr>
                <w:rFonts w:ascii="Arial" w:hAnsi="Arial" w:cs="Arial"/>
                <w:b/>
                <w:bCs/>
                <w:sz w:val="20"/>
                <w:szCs w:val="20"/>
                <w:cs/>
                <w:lang w:val="en-GB" w:eastAsia="en-GB" w:bidi="hi-IN"/>
              </w:rPr>
              <w:t xml:space="preserve"> </w:t>
            </w:r>
            <w:r w:rsidRPr="007B01DE">
              <w:rPr>
                <w:rFonts w:ascii="Arial" w:hAnsi="Arial" w:cs="Arial"/>
                <w:b/>
                <w:bCs/>
                <w:sz w:val="20"/>
                <w:szCs w:val="20"/>
                <w:cs/>
                <w:lang w:val="en-GB" w:eastAsia="en-GB" w:bidi="hi-IN"/>
              </w:rPr>
              <w:br/>
            </w:r>
            <w:proofErr w:type="spellStart"/>
            <w:r w:rsidRPr="007B01DE">
              <w:rPr>
                <w:rFonts w:ascii="Arial" w:hAnsi="Arial" w:cs="Arial"/>
                <w:sz w:val="20"/>
                <w:szCs w:val="20"/>
                <w:lang w:eastAsia="zh-CN"/>
              </w:rPr>
              <w:t>Rajasthan</w:t>
            </w:r>
            <w:proofErr w:type="spellEnd"/>
            <w:r w:rsidRPr="007B01DE">
              <w:rPr>
                <w:rFonts w:ascii="Arial" w:hAnsi="Arial" w:cs="Arial"/>
                <w:sz w:val="20"/>
                <w:szCs w:val="20"/>
                <w:lang w:eastAsia="zh-CN"/>
              </w:rPr>
              <w:t xml:space="preserve"> Samgrah Kalyan Sansthan - RSKS India</w:t>
            </w:r>
          </w:p>
        </w:tc>
        <w:tc>
          <w:tcPr>
            <w:tcW w:w="1133" w:type="pct"/>
            <w:shd w:val="clear" w:color="auto" w:fill="DBE5F1" w:themeFill="accent1" w:themeFillTint="33"/>
            <w:noWrap/>
            <w:vAlign w:val="center"/>
            <w:hideMark/>
          </w:tcPr>
          <w:p w14:paraId="5D3CAE28" w14:textId="77777777" w:rsidR="00224018" w:rsidRPr="007B01DE" w:rsidRDefault="00224018" w:rsidP="003A339B">
            <w:pPr>
              <w:keepNext/>
              <w:spacing w:before="120" w:after="120"/>
              <w:jc w:val="center"/>
              <w:rPr>
                <w:rFonts w:ascii="Arial" w:hAnsi="Arial" w:cs="Arial"/>
                <w:sz w:val="20"/>
                <w:szCs w:val="20"/>
                <w:lang w:val="en-GB"/>
              </w:rPr>
            </w:pPr>
            <w:r w:rsidRPr="007B01DE">
              <w:rPr>
                <w:rFonts w:ascii="Arial" w:eastAsia="Arial" w:hAnsi="Arial" w:cs="Arial"/>
                <w:sz w:val="20"/>
                <w:szCs w:val="20"/>
                <w:lang w:bidi="es-ES"/>
              </w:rPr>
              <w:t>India</w:t>
            </w:r>
          </w:p>
        </w:tc>
        <w:tc>
          <w:tcPr>
            <w:tcW w:w="775" w:type="pct"/>
            <w:shd w:val="clear" w:color="auto" w:fill="DBE5F1" w:themeFill="accent1" w:themeFillTint="33"/>
            <w:noWrap/>
            <w:vAlign w:val="center"/>
            <w:hideMark/>
          </w:tcPr>
          <w:p w14:paraId="7BF209DF" w14:textId="77777777" w:rsidR="00224018" w:rsidRPr="007B01DE" w:rsidRDefault="00224018" w:rsidP="003A339B">
            <w:pPr>
              <w:keepNext/>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NGO-90625</w:t>
            </w:r>
          </w:p>
        </w:tc>
      </w:tr>
      <w:tr w:rsidR="00224018" w:rsidRPr="007B01DE" w14:paraId="5133F8F9" w14:textId="77777777" w:rsidTr="00EE21E8">
        <w:trPr>
          <w:trHeight w:val="290"/>
        </w:trPr>
        <w:tc>
          <w:tcPr>
            <w:tcW w:w="3092" w:type="pct"/>
            <w:noWrap/>
            <w:vAlign w:val="center"/>
            <w:hideMark/>
          </w:tcPr>
          <w:p w14:paraId="16DE272D" w14:textId="77777777" w:rsidR="00224018" w:rsidRPr="007B01DE" w:rsidRDefault="00224018" w:rsidP="00EE21E8">
            <w:pPr>
              <w:spacing w:before="120" w:after="120"/>
              <w:rPr>
                <w:rFonts w:ascii="Arial" w:hAnsi="Arial" w:cs="Arial"/>
                <w:b/>
                <w:bCs/>
                <w:sz w:val="20"/>
                <w:szCs w:val="20"/>
              </w:rPr>
            </w:pPr>
            <w:proofErr w:type="spellStart"/>
            <w:r w:rsidRPr="007B01DE">
              <w:rPr>
                <w:rFonts w:ascii="Arial" w:hAnsi="Arial" w:cs="Arial"/>
                <w:b/>
                <w:bCs/>
                <w:sz w:val="20"/>
                <w:szCs w:val="20"/>
                <w:rtl/>
                <w:lang w:val="en-GB" w:eastAsia="en-GB" w:bidi="en-GB"/>
              </w:rPr>
              <w:t>میراث</w:t>
            </w:r>
            <w:proofErr w:type="spellEnd"/>
            <w:r w:rsidRPr="007B01DE">
              <w:rPr>
                <w:rFonts w:ascii="Arial" w:hAnsi="Arial" w:cs="Arial"/>
                <w:b/>
                <w:bCs/>
                <w:sz w:val="20"/>
                <w:szCs w:val="20"/>
                <w:rtl/>
                <w:lang w:val="en-GB" w:eastAsia="en-GB" w:bidi="en-GB"/>
              </w:rPr>
              <w:t xml:space="preserve"> </w:t>
            </w:r>
            <w:proofErr w:type="spellStart"/>
            <w:r w:rsidRPr="007B01DE">
              <w:rPr>
                <w:rFonts w:ascii="Arial" w:hAnsi="Arial" w:cs="Arial"/>
                <w:b/>
                <w:bCs/>
                <w:sz w:val="20"/>
                <w:szCs w:val="20"/>
                <w:rtl/>
                <w:lang w:val="en-GB" w:eastAsia="en-GB" w:bidi="en-GB"/>
              </w:rPr>
              <w:t>داران</w:t>
            </w:r>
            <w:proofErr w:type="spellEnd"/>
            <w:r w:rsidRPr="007B01DE">
              <w:rPr>
                <w:rFonts w:ascii="Arial" w:hAnsi="Arial" w:cs="Arial"/>
                <w:b/>
                <w:bCs/>
                <w:sz w:val="20"/>
                <w:szCs w:val="20"/>
                <w:rtl/>
                <w:lang w:val="en-GB" w:eastAsia="en-GB" w:bidi="en-GB"/>
              </w:rPr>
              <w:t xml:space="preserve"> </w:t>
            </w:r>
            <w:proofErr w:type="spellStart"/>
            <w:r w:rsidRPr="007B01DE">
              <w:rPr>
                <w:rFonts w:ascii="Arial" w:hAnsi="Arial" w:cs="Arial"/>
                <w:b/>
                <w:bCs/>
                <w:sz w:val="20"/>
                <w:szCs w:val="20"/>
                <w:rtl/>
                <w:lang w:val="en-GB" w:eastAsia="en-GB" w:bidi="en-GB"/>
              </w:rPr>
              <w:t>فرهنگ</w:t>
            </w:r>
            <w:proofErr w:type="spellEnd"/>
            <w:r w:rsidRPr="007B01DE">
              <w:rPr>
                <w:rFonts w:ascii="Arial" w:hAnsi="Arial" w:cs="Arial"/>
                <w:b/>
                <w:bCs/>
                <w:sz w:val="20"/>
                <w:szCs w:val="20"/>
                <w:rtl/>
                <w:lang w:val="en-GB" w:eastAsia="en-GB" w:bidi="en-GB"/>
              </w:rPr>
              <w:t xml:space="preserve"> </w:t>
            </w:r>
            <w:proofErr w:type="spellStart"/>
            <w:r w:rsidRPr="007B01DE">
              <w:rPr>
                <w:rFonts w:ascii="Arial" w:hAnsi="Arial" w:cs="Arial"/>
                <w:b/>
                <w:bCs/>
                <w:sz w:val="20"/>
                <w:szCs w:val="20"/>
                <w:rtl/>
                <w:lang w:val="en-GB" w:eastAsia="en-GB" w:bidi="en-GB"/>
              </w:rPr>
              <w:t>هرمزگان</w:t>
            </w:r>
            <w:proofErr w:type="spellEnd"/>
            <w:r w:rsidRPr="007B01DE">
              <w:rPr>
                <w:rFonts w:ascii="Arial" w:hAnsi="Arial" w:cs="Arial"/>
                <w:b/>
                <w:bCs/>
                <w:sz w:val="20"/>
                <w:szCs w:val="20"/>
                <w:rtl/>
                <w:lang w:val="en-GB" w:eastAsia="en-GB" w:bidi="en-GB"/>
              </w:rPr>
              <w:t xml:space="preserve"> </w:t>
            </w:r>
            <w:r w:rsidRPr="007B01DE">
              <w:rPr>
                <w:rFonts w:ascii="Arial" w:hAnsi="Arial" w:cs="Arial"/>
                <w:b/>
                <w:bCs/>
                <w:sz w:val="20"/>
                <w:szCs w:val="20"/>
                <w:rtl/>
                <w:lang w:val="en-GB" w:eastAsia="en-GB" w:bidi="en-GB"/>
              </w:rPr>
              <w:br/>
            </w:r>
            <w:proofErr w:type="spellStart"/>
            <w:r w:rsidRPr="007B01DE">
              <w:rPr>
                <w:rFonts w:ascii="Arial" w:hAnsi="Arial" w:cs="Arial"/>
                <w:sz w:val="20"/>
                <w:szCs w:val="20"/>
                <w:lang w:eastAsia="zh-CN"/>
              </w:rPr>
              <w:t>Hormozgan</w:t>
            </w:r>
            <w:proofErr w:type="spellEnd"/>
            <w:r w:rsidRPr="007B01DE">
              <w:rPr>
                <w:rFonts w:ascii="Arial" w:hAnsi="Arial" w:cs="Arial"/>
                <w:sz w:val="20"/>
                <w:szCs w:val="20"/>
                <w:lang w:eastAsia="zh-CN"/>
              </w:rPr>
              <w:t xml:space="preserve"> Cultural Heritage </w:t>
            </w:r>
            <w:proofErr w:type="spellStart"/>
            <w:r w:rsidRPr="007B01DE">
              <w:rPr>
                <w:rFonts w:ascii="Arial" w:hAnsi="Arial" w:cs="Arial"/>
                <w:sz w:val="20"/>
                <w:szCs w:val="20"/>
                <w:lang w:eastAsia="zh-CN"/>
              </w:rPr>
              <w:t>Custodians</w:t>
            </w:r>
            <w:proofErr w:type="spellEnd"/>
            <w:r w:rsidRPr="007B01DE">
              <w:rPr>
                <w:rFonts w:ascii="Arial" w:hAnsi="Arial" w:cs="Arial"/>
                <w:sz w:val="20"/>
                <w:szCs w:val="20"/>
                <w:lang w:eastAsia="zh-CN"/>
              </w:rPr>
              <w:t xml:space="preserve"> Association - HCHCA</w:t>
            </w:r>
          </w:p>
        </w:tc>
        <w:tc>
          <w:tcPr>
            <w:tcW w:w="1133" w:type="pct"/>
            <w:noWrap/>
            <w:vAlign w:val="center"/>
            <w:hideMark/>
          </w:tcPr>
          <w:p w14:paraId="6391AF07" w14:textId="77777777" w:rsidR="00224018" w:rsidRPr="007B01DE" w:rsidRDefault="00224018" w:rsidP="00EE21E8">
            <w:pPr>
              <w:spacing w:before="120" w:after="120"/>
              <w:jc w:val="center"/>
              <w:rPr>
                <w:rFonts w:ascii="Arial" w:hAnsi="Arial" w:cs="Arial"/>
                <w:sz w:val="20"/>
                <w:szCs w:val="20"/>
                <w:rtl/>
                <w:lang w:val="en-GB"/>
              </w:rPr>
            </w:pPr>
            <w:r w:rsidRPr="007B01DE">
              <w:rPr>
                <w:rFonts w:ascii="Arial" w:eastAsia="Arial" w:hAnsi="Arial" w:cs="Arial"/>
                <w:sz w:val="20"/>
                <w:szCs w:val="20"/>
                <w:lang w:bidi="es-ES"/>
              </w:rPr>
              <w:t>Irán (República Islámica del)</w:t>
            </w:r>
          </w:p>
        </w:tc>
        <w:tc>
          <w:tcPr>
            <w:tcW w:w="775" w:type="pct"/>
            <w:noWrap/>
            <w:vAlign w:val="center"/>
            <w:hideMark/>
          </w:tcPr>
          <w:p w14:paraId="66F49CE5" w14:textId="77777777" w:rsidR="00224018" w:rsidRPr="007B01DE" w:rsidRDefault="00224018" w:rsidP="00EE21E8">
            <w:pPr>
              <w:spacing w:before="120" w:after="120"/>
              <w:jc w:val="center"/>
              <w:rPr>
                <w:rFonts w:ascii="Arial" w:hAnsi="Arial" w:cs="Arial"/>
                <w:sz w:val="20"/>
                <w:szCs w:val="20"/>
                <w:lang w:val="en-GB"/>
              </w:rPr>
            </w:pPr>
            <w:r w:rsidRPr="007B01DE">
              <w:rPr>
                <w:rFonts w:ascii="Arial" w:hAnsi="Arial" w:cs="Arial"/>
                <w:sz w:val="20"/>
                <w:szCs w:val="20"/>
                <w:lang w:val="en-GB" w:eastAsia="en-GB" w:bidi="en-GB"/>
              </w:rPr>
              <w:t>NGO-90644</w:t>
            </w:r>
          </w:p>
        </w:tc>
      </w:tr>
    </w:tbl>
    <w:p w14:paraId="51E344FE" w14:textId="77777777" w:rsidR="00224018" w:rsidRPr="007B01DE" w:rsidRDefault="00224018" w:rsidP="00224018">
      <w:pPr>
        <w:pStyle w:val="COMParaDecision"/>
        <w:numPr>
          <w:ilvl w:val="0"/>
          <w:numId w:val="0"/>
        </w:numPr>
        <w:ind w:left="927"/>
      </w:pPr>
    </w:p>
    <w:p w14:paraId="16DAAAA1" w14:textId="77777777" w:rsidR="00224018" w:rsidRPr="007B01DE" w:rsidRDefault="00224018" w:rsidP="00224018">
      <w:pPr>
        <w:rPr>
          <w:rFonts w:ascii="Arial" w:hAnsi="Arial" w:cs="Arial"/>
        </w:rPr>
      </w:pPr>
    </w:p>
    <w:p w14:paraId="19AC5F4A" w14:textId="5DD09A9C" w:rsidR="00937D53" w:rsidRPr="007B01DE" w:rsidRDefault="00937D53" w:rsidP="006C54C9">
      <w:pPr>
        <w:rPr>
          <w:rFonts w:ascii="Arial" w:eastAsia="SimSun" w:hAnsi="Arial" w:cs="Arial"/>
          <w:sz w:val="22"/>
          <w:szCs w:val="22"/>
          <w:u w:val="single"/>
        </w:rPr>
      </w:pPr>
    </w:p>
    <w:sectPr w:rsidR="00937D53" w:rsidRPr="007B01DE" w:rsidSect="00655736">
      <w:headerReference w:type="even" r:id="rId22"/>
      <w:headerReference w:type="default" r:id="rId23"/>
      <w:headerReference w:type="first" r:id="rId2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2325" w14:textId="77777777" w:rsidR="00C12E84" w:rsidRDefault="00C12E84" w:rsidP="00655736">
      <w:r>
        <w:separator/>
      </w:r>
    </w:p>
  </w:endnote>
  <w:endnote w:type="continuationSeparator" w:id="0">
    <w:p w14:paraId="4C607E25" w14:textId="77777777" w:rsidR="00C12E84" w:rsidRDefault="00C12E8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B60E" w14:textId="77777777" w:rsidR="00C12E84" w:rsidRDefault="00C12E84" w:rsidP="00655736">
      <w:r>
        <w:separator/>
      </w:r>
    </w:p>
  </w:footnote>
  <w:footnote w:type="continuationSeparator" w:id="0">
    <w:p w14:paraId="15A73339" w14:textId="77777777" w:rsidR="00C12E84" w:rsidRDefault="00C12E84" w:rsidP="00655736">
      <w:r>
        <w:continuationSeparator/>
      </w:r>
    </w:p>
  </w:footnote>
  <w:footnote w:id="1">
    <w:p w14:paraId="3BA8B989" w14:textId="10594641" w:rsidR="00F408D9" w:rsidRPr="005F4EBC" w:rsidRDefault="003640B8" w:rsidP="003640B8">
      <w:pPr>
        <w:pStyle w:val="FootnoteText"/>
        <w:spacing w:after="60"/>
        <w:ind w:left="567" w:hanging="567"/>
        <w:jc w:val="both"/>
        <w:rPr>
          <w:rFonts w:asciiTheme="minorBidi" w:hAnsiTheme="minorBidi" w:cstheme="minorBidi"/>
          <w:sz w:val="18"/>
          <w:szCs w:val="18"/>
        </w:rPr>
      </w:pPr>
      <w:r w:rsidRPr="00BE6893">
        <w:rPr>
          <w:rStyle w:val="FootnoteReference"/>
          <w:rFonts w:asciiTheme="minorBidi" w:hAnsiTheme="minorBidi" w:cstheme="minorBidi"/>
          <w:sz w:val="18"/>
          <w:szCs w:val="18"/>
          <w:vertAlign w:val="baseline"/>
          <w:lang w:bidi="es-ES"/>
        </w:rPr>
        <w:footnoteRef/>
      </w:r>
      <w:r w:rsidRPr="00BE6893">
        <w:rPr>
          <w:rFonts w:asciiTheme="minorBidi" w:hAnsiTheme="minorBidi" w:cstheme="minorBidi"/>
          <w:sz w:val="18"/>
          <w:szCs w:val="18"/>
          <w:lang w:bidi="es-ES"/>
        </w:rPr>
        <w:t>.</w:t>
      </w:r>
      <w:r w:rsidRPr="00BE6893">
        <w:rPr>
          <w:rFonts w:asciiTheme="minorBidi" w:hAnsiTheme="minorBidi" w:cstheme="minorBidi"/>
          <w:sz w:val="18"/>
          <w:szCs w:val="18"/>
          <w:lang w:bidi="es-ES"/>
        </w:rPr>
        <w:tab/>
        <w:t>Hasta la fecha, la Asamblea General ha acreditado a 358 organizaciones (97 mediante la Resolución</w:t>
      </w:r>
      <w:r w:rsidR="00F408D9">
        <w:rPr>
          <w:rFonts w:asciiTheme="minorBidi" w:hAnsiTheme="minorBidi" w:cstheme="minorBidi"/>
          <w:sz w:val="18"/>
          <w:szCs w:val="18"/>
          <w:lang w:bidi="es-ES"/>
        </w:rPr>
        <w:t xml:space="preserve"> </w:t>
      </w:r>
      <w:hyperlink r:id="rId1" w:history="1">
        <w:r w:rsidR="00F408D9" w:rsidRPr="00EA22EA">
          <w:rPr>
            <w:rStyle w:val="Hyperlink"/>
            <w:rFonts w:asciiTheme="minorBidi" w:hAnsiTheme="minorBidi" w:cstheme="minorBidi"/>
            <w:sz w:val="18"/>
            <w:szCs w:val="18"/>
          </w:rPr>
          <w:t>3.</w:t>
        </w:r>
        <w:r w:rsidR="00F408D9">
          <w:rPr>
            <w:rStyle w:val="Hyperlink"/>
            <w:rFonts w:asciiTheme="minorBidi" w:hAnsiTheme="minorBidi" w:cstheme="minorBidi"/>
            <w:sz w:val="18"/>
            <w:szCs w:val="18"/>
          </w:rPr>
          <w:t>GA</w:t>
        </w:r>
        <w:r w:rsidR="00F408D9" w:rsidRPr="00EA22EA">
          <w:rPr>
            <w:rStyle w:val="Hyperlink"/>
            <w:rFonts w:asciiTheme="minorBidi" w:hAnsiTheme="minorBidi" w:cstheme="minorBidi"/>
            <w:sz w:val="18"/>
            <w:szCs w:val="18"/>
          </w:rPr>
          <w:t xml:space="preserve"> 7</w:t>
        </w:r>
      </w:hyperlink>
      <w:r w:rsidR="00F408D9" w:rsidRPr="00EA22EA">
        <w:rPr>
          <w:rFonts w:asciiTheme="minorBidi" w:hAnsiTheme="minorBidi" w:cstheme="minorBidi"/>
          <w:snapToGrid w:val="0"/>
          <w:sz w:val="18"/>
          <w:szCs w:val="18"/>
        </w:rPr>
        <w:t xml:space="preserve">, 59 por </w:t>
      </w:r>
      <w:hyperlink r:id="rId2" w:history="1">
        <w:r w:rsidR="00F408D9" w:rsidRPr="00EA22EA">
          <w:rPr>
            <w:rFonts w:asciiTheme="minorBidi" w:hAnsiTheme="minorBidi" w:cstheme="minorBidi"/>
            <w:snapToGrid w:val="0"/>
            <w:sz w:val="18"/>
            <w:szCs w:val="18"/>
          </w:rPr>
          <w:t xml:space="preserve">la Resolución </w:t>
        </w:r>
        <w:r w:rsidR="00F408D9" w:rsidRPr="00EA22EA">
          <w:rPr>
            <w:rStyle w:val="Hyperlink"/>
            <w:rFonts w:asciiTheme="minorBidi" w:hAnsiTheme="minorBidi" w:cstheme="minorBidi"/>
            <w:sz w:val="18"/>
            <w:szCs w:val="18"/>
          </w:rPr>
          <w:t>4.</w:t>
        </w:r>
        <w:r w:rsidR="00F408D9">
          <w:rPr>
            <w:rStyle w:val="Hyperlink"/>
            <w:rFonts w:asciiTheme="minorBidi" w:hAnsiTheme="minorBidi" w:cstheme="minorBidi"/>
            <w:sz w:val="18"/>
            <w:szCs w:val="18"/>
          </w:rPr>
          <w:t>GA</w:t>
        </w:r>
        <w:r w:rsidR="00F408D9" w:rsidRPr="00EA22EA">
          <w:rPr>
            <w:rStyle w:val="Hyperlink"/>
            <w:rFonts w:asciiTheme="minorBidi" w:hAnsiTheme="minorBidi" w:cstheme="minorBidi"/>
            <w:sz w:val="18"/>
            <w:szCs w:val="18"/>
          </w:rPr>
          <w:t xml:space="preserve"> 6</w:t>
        </w:r>
      </w:hyperlink>
      <w:r w:rsidR="00F408D9" w:rsidRPr="00EA22EA">
        <w:rPr>
          <w:rFonts w:asciiTheme="minorBidi" w:hAnsiTheme="minorBidi" w:cstheme="minorBidi"/>
          <w:snapToGrid w:val="0"/>
          <w:sz w:val="18"/>
          <w:szCs w:val="18"/>
        </w:rPr>
        <w:t>, 22 por la Resolución</w:t>
      </w:r>
      <w:hyperlink r:id="rId3" w:history="1">
        <w:r w:rsidR="00F408D9" w:rsidRPr="00EA22EA">
          <w:rPr>
            <w:rStyle w:val="Hyperlink"/>
            <w:rFonts w:asciiTheme="minorBidi" w:hAnsiTheme="minorBidi" w:cstheme="minorBidi"/>
            <w:sz w:val="18"/>
            <w:szCs w:val="18"/>
          </w:rPr>
          <w:t xml:space="preserve"> 5.</w:t>
        </w:r>
        <w:r w:rsidR="00F408D9">
          <w:rPr>
            <w:rStyle w:val="Hyperlink"/>
            <w:rFonts w:asciiTheme="minorBidi" w:hAnsiTheme="minorBidi" w:cstheme="minorBidi"/>
            <w:sz w:val="18"/>
            <w:szCs w:val="18"/>
          </w:rPr>
          <w:t>GA</w:t>
        </w:r>
        <w:r w:rsidR="00F408D9" w:rsidRPr="00EA22EA">
          <w:rPr>
            <w:rStyle w:val="Hyperlink"/>
            <w:rFonts w:asciiTheme="minorBidi" w:hAnsiTheme="minorBidi" w:cstheme="minorBidi"/>
            <w:sz w:val="18"/>
            <w:szCs w:val="18"/>
          </w:rPr>
          <w:t xml:space="preserve"> 6</w:t>
        </w:r>
      </w:hyperlink>
      <w:r w:rsidR="00F408D9" w:rsidRPr="00EA22EA">
        <w:rPr>
          <w:rFonts w:asciiTheme="minorBidi" w:hAnsiTheme="minorBidi" w:cstheme="minorBidi"/>
          <w:snapToGrid w:val="0"/>
          <w:sz w:val="18"/>
          <w:szCs w:val="18"/>
        </w:rPr>
        <w:t xml:space="preserve">, 24 por </w:t>
      </w:r>
      <w:hyperlink r:id="rId4" w:history="1">
        <w:r w:rsidR="00F408D9" w:rsidRPr="00EA22EA">
          <w:rPr>
            <w:rFonts w:asciiTheme="minorBidi" w:hAnsiTheme="minorBidi" w:cstheme="minorBidi"/>
            <w:snapToGrid w:val="0"/>
            <w:sz w:val="18"/>
            <w:szCs w:val="18"/>
          </w:rPr>
          <w:t>la Resolución</w:t>
        </w:r>
        <w:r w:rsidR="00F408D9" w:rsidRPr="00EA22EA">
          <w:rPr>
            <w:rFonts w:asciiTheme="minorBidi" w:hAnsiTheme="minorBidi" w:cstheme="minorBidi"/>
            <w:sz w:val="18"/>
            <w:szCs w:val="18"/>
          </w:rPr>
          <w:t xml:space="preserve"> </w:t>
        </w:r>
        <w:r w:rsidR="00F408D9" w:rsidRPr="00EA22EA">
          <w:rPr>
            <w:rStyle w:val="Hyperlink"/>
            <w:rFonts w:asciiTheme="minorBidi" w:hAnsiTheme="minorBidi" w:cstheme="minorBidi"/>
            <w:sz w:val="18"/>
            <w:szCs w:val="18"/>
          </w:rPr>
          <w:t>6.</w:t>
        </w:r>
        <w:r w:rsidR="00F408D9">
          <w:rPr>
            <w:rStyle w:val="Hyperlink"/>
            <w:rFonts w:asciiTheme="minorBidi" w:hAnsiTheme="minorBidi" w:cstheme="minorBidi"/>
            <w:sz w:val="18"/>
            <w:szCs w:val="18"/>
          </w:rPr>
          <w:t>GA</w:t>
        </w:r>
        <w:r w:rsidR="00F408D9" w:rsidRPr="00EA22EA">
          <w:rPr>
            <w:rStyle w:val="Hyperlink"/>
            <w:rFonts w:asciiTheme="minorBidi" w:hAnsiTheme="minorBidi" w:cstheme="minorBidi"/>
            <w:sz w:val="18"/>
            <w:szCs w:val="18"/>
          </w:rPr>
          <w:t xml:space="preserve"> 8</w:t>
        </w:r>
      </w:hyperlink>
      <w:r w:rsidR="00F408D9" w:rsidRPr="00EA22EA">
        <w:rPr>
          <w:rFonts w:asciiTheme="minorBidi" w:hAnsiTheme="minorBidi" w:cstheme="minorBidi"/>
          <w:snapToGrid w:val="0"/>
          <w:sz w:val="18"/>
          <w:szCs w:val="18"/>
        </w:rPr>
        <w:t>, 29 por</w:t>
      </w:r>
      <w:r w:rsidR="00F408D9" w:rsidRPr="00EA22EA">
        <w:rPr>
          <w:rFonts w:asciiTheme="minorBidi" w:hAnsiTheme="minorBidi" w:cstheme="minorBidi"/>
          <w:sz w:val="18"/>
          <w:szCs w:val="18"/>
        </w:rPr>
        <w:t xml:space="preserve"> </w:t>
      </w:r>
      <w:r w:rsidR="00F408D9" w:rsidRPr="00EA22EA">
        <w:rPr>
          <w:rFonts w:asciiTheme="minorBidi" w:hAnsiTheme="minorBidi" w:cstheme="minorBidi"/>
          <w:snapToGrid w:val="0"/>
          <w:sz w:val="18"/>
          <w:szCs w:val="18"/>
        </w:rPr>
        <w:t xml:space="preserve">la Resolución </w:t>
      </w:r>
      <w:hyperlink r:id="rId5" w:history="1">
        <w:r w:rsidR="00F408D9" w:rsidRPr="00EA22EA">
          <w:rPr>
            <w:rStyle w:val="Hyperlink"/>
            <w:rFonts w:asciiTheme="minorBidi" w:hAnsiTheme="minorBidi" w:cstheme="minorBidi"/>
            <w:sz w:val="18"/>
            <w:szCs w:val="18"/>
          </w:rPr>
          <w:t>7.</w:t>
        </w:r>
        <w:r w:rsidR="00F408D9">
          <w:rPr>
            <w:rStyle w:val="Hyperlink"/>
            <w:rFonts w:asciiTheme="minorBidi" w:hAnsiTheme="minorBidi" w:cstheme="minorBidi"/>
            <w:sz w:val="18"/>
            <w:szCs w:val="18"/>
          </w:rPr>
          <w:t>GA </w:t>
        </w:r>
        <w:r w:rsidR="00F408D9" w:rsidRPr="00EA22EA">
          <w:rPr>
            <w:rStyle w:val="Hyperlink"/>
            <w:rFonts w:asciiTheme="minorBidi" w:hAnsiTheme="minorBidi" w:cstheme="minorBidi"/>
            <w:sz w:val="18"/>
            <w:szCs w:val="18"/>
          </w:rPr>
          <w:t>11</w:t>
        </w:r>
      </w:hyperlink>
      <w:r w:rsidR="00F408D9" w:rsidRPr="00EA22EA">
        <w:rPr>
          <w:rFonts w:asciiTheme="minorBidi" w:hAnsiTheme="minorBidi" w:cstheme="minorBidi"/>
          <w:snapToGrid w:val="0"/>
          <w:sz w:val="18"/>
          <w:szCs w:val="18"/>
        </w:rPr>
        <w:t>, 36 por</w:t>
      </w:r>
      <w:r w:rsidR="00F408D9" w:rsidRPr="00EA22EA">
        <w:rPr>
          <w:rFonts w:asciiTheme="minorBidi" w:hAnsiTheme="minorBidi" w:cstheme="minorBidi"/>
          <w:sz w:val="18"/>
          <w:szCs w:val="18"/>
        </w:rPr>
        <w:t xml:space="preserve"> </w:t>
      </w:r>
      <w:r w:rsidR="00F408D9" w:rsidRPr="00EA22EA">
        <w:rPr>
          <w:rFonts w:asciiTheme="minorBidi" w:hAnsiTheme="minorBidi" w:cstheme="minorBidi"/>
          <w:snapToGrid w:val="0"/>
          <w:sz w:val="18"/>
          <w:szCs w:val="18"/>
        </w:rPr>
        <w:t xml:space="preserve">la Resolución </w:t>
      </w:r>
      <w:hyperlink r:id="rId6" w:history="1">
        <w:r w:rsidR="00F408D9" w:rsidRPr="00EA22EA">
          <w:rPr>
            <w:rStyle w:val="Hyperlink"/>
            <w:rFonts w:asciiTheme="minorBidi" w:hAnsiTheme="minorBidi" w:cstheme="minorBidi"/>
            <w:snapToGrid w:val="0"/>
            <w:sz w:val="18"/>
            <w:szCs w:val="18"/>
          </w:rPr>
          <w:t>8.</w:t>
        </w:r>
        <w:r w:rsidR="00F408D9">
          <w:rPr>
            <w:rStyle w:val="Hyperlink"/>
            <w:rFonts w:asciiTheme="minorBidi" w:hAnsiTheme="minorBidi" w:cstheme="minorBidi"/>
            <w:snapToGrid w:val="0"/>
            <w:sz w:val="18"/>
            <w:szCs w:val="18"/>
          </w:rPr>
          <w:t>GA</w:t>
        </w:r>
        <w:r w:rsidR="00F408D9" w:rsidRPr="00EA22EA">
          <w:rPr>
            <w:rStyle w:val="Hyperlink"/>
            <w:rFonts w:asciiTheme="minorBidi" w:hAnsiTheme="minorBidi" w:cstheme="minorBidi"/>
            <w:snapToGrid w:val="0"/>
            <w:sz w:val="18"/>
            <w:szCs w:val="18"/>
          </w:rPr>
          <w:t xml:space="preserve"> 13</w:t>
        </w:r>
      </w:hyperlink>
      <w:r w:rsidR="00F408D9" w:rsidRPr="000A6CCB">
        <w:rPr>
          <w:rStyle w:val="Hyperlink"/>
          <w:rFonts w:asciiTheme="minorBidi" w:hAnsiTheme="minorBidi" w:cstheme="minorBidi"/>
          <w:snapToGrid w:val="0"/>
          <w:sz w:val="18"/>
          <w:szCs w:val="18"/>
          <w:u w:val="none"/>
        </w:rPr>
        <w:t xml:space="preserve"> </w:t>
      </w:r>
      <w:r w:rsidR="00F408D9" w:rsidRPr="00EA22EA">
        <w:rPr>
          <w:rStyle w:val="Hyperlink"/>
          <w:rFonts w:asciiTheme="minorBidi" w:hAnsiTheme="minorBidi" w:cstheme="minorBidi"/>
          <w:snapToGrid w:val="0"/>
          <w:color w:val="auto"/>
          <w:sz w:val="18"/>
          <w:szCs w:val="18"/>
          <w:u w:val="none"/>
        </w:rPr>
        <w:t xml:space="preserve">y 33 por la Resolución </w:t>
      </w:r>
      <w:hyperlink r:id="rId7" w:history="1">
        <w:r w:rsidR="00F408D9" w:rsidRPr="00EA22EA">
          <w:rPr>
            <w:rStyle w:val="Hyperlink"/>
            <w:rFonts w:asciiTheme="minorBidi" w:hAnsiTheme="minorBidi" w:cstheme="minorBidi"/>
            <w:snapToGrid w:val="0"/>
            <w:sz w:val="18"/>
            <w:szCs w:val="18"/>
          </w:rPr>
          <w:t>9.</w:t>
        </w:r>
        <w:r w:rsidR="00F408D9">
          <w:rPr>
            <w:rStyle w:val="Hyperlink"/>
            <w:rFonts w:asciiTheme="minorBidi" w:hAnsiTheme="minorBidi" w:cstheme="minorBidi"/>
            <w:snapToGrid w:val="0"/>
            <w:sz w:val="18"/>
            <w:szCs w:val="18"/>
          </w:rPr>
          <w:t>GA</w:t>
        </w:r>
        <w:r w:rsidR="00F408D9" w:rsidRPr="00EA22EA">
          <w:rPr>
            <w:rStyle w:val="Hyperlink"/>
            <w:rFonts w:asciiTheme="minorBidi" w:hAnsiTheme="minorBidi" w:cstheme="minorBidi"/>
            <w:snapToGrid w:val="0"/>
            <w:sz w:val="18"/>
            <w:szCs w:val="18"/>
          </w:rPr>
          <w:t xml:space="preserve"> 7</w:t>
        </w:r>
      </w:hyperlink>
      <w:r w:rsidR="00F408D9">
        <w:rPr>
          <w:rFonts w:asciiTheme="minorBidi" w:hAnsiTheme="minorBidi" w:cstheme="minorBidi"/>
          <w:sz w:val="18"/>
          <w:szCs w:val="18"/>
          <w:lang w:bidi="es-ES"/>
        </w:rPr>
        <w:t xml:space="preserve">, </w:t>
      </w:r>
      <w:r w:rsidRPr="00BE6893">
        <w:rPr>
          <w:rFonts w:asciiTheme="minorBidi" w:hAnsiTheme="minorBidi" w:cstheme="minorBidi"/>
          <w:sz w:val="18"/>
          <w:szCs w:val="18"/>
          <w:lang w:bidi="es-ES"/>
        </w:rPr>
        <w:t xml:space="preserve">y 58 mediante la Resolución </w:t>
      </w:r>
      <w:hyperlink r:id="rId8" w:history="1">
        <w:r w:rsidRPr="00BE6893">
          <w:rPr>
            <w:rStyle w:val="Hyperlink"/>
            <w:rFonts w:asciiTheme="minorBidi" w:hAnsiTheme="minorBidi" w:cstheme="minorBidi"/>
            <w:sz w:val="18"/>
            <w:szCs w:val="18"/>
            <w:lang w:bidi="es-ES"/>
          </w:rPr>
          <w:t>10.GA 9</w:t>
        </w:r>
      </w:hyperlink>
      <w:r w:rsidRPr="00BE6893">
        <w:rPr>
          <w:rStyle w:val="Hyperlink"/>
          <w:rFonts w:asciiTheme="minorBidi" w:hAnsiTheme="minorBidi" w:cstheme="minorBidi"/>
          <w:snapToGrid w:val="0"/>
          <w:color w:val="auto"/>
          <w:sz w:val="18"/>
          <w:szCs w:val="18"/>
          <w:u w:val="none"/>
          <w:lang w:bidi="es-ES"/>
        </w:rPr>
        <w:t>)</w:t>
      </w:r>
      <w:r w:rsidRPr="00BE6893">
        <w:rPr>
          <w:rFonts w:asciiTheme="minorBidi" w:hAnsiTheme="minorBidi" w:cstheme="minorBidi"/>
          <w:snapToGrid w:val="0"/>
          <w:sz w:val="18"/>
          <w:szCs w:val="18"/>
          <w:lang w:bidi="es-ES"/>
        </w:rPr>
        <w:t>.</w:t>
      </w:r>
    </w:p>
  </w:footnote>
  <w:footnote w:id="2">
    <w:p w14:paraId="7CB108EB" w14:textId="0AB0AF75" w:rsidR="003640B8" w:rsidRPr="00C01521" w:rsidRDefault="003640B8" w:rsidP="003640B8">
      <w:pPr>
        <w:pStyle w:val="FootnoteText"/>
        <w:spacing w:after="60"/>
        <w:ind w:left="567" w:hanging="567"/>
        <w:jc w:val="both"/>
        <w:rPr>
          <w:rFonts w:asciiTheme="minorBidi" w:hAnsiTheme="minorBidi" w:cstheme="minorBidi"/>
          <w:sz w:val="18"/>
          <w:szCs w:val="18"/>
          <w:lang w:val="es-BO"/>
        </w:rPr>
      </w:pPr>
      <w:r w:rsidRPr="00BE6893">
        <w:rPr>
          <w:rStyle w:val="FootnoteReference"/>
          <w:rFonts w:asciiTheme="minorBidi" w:hAnsiTheme="minorBidi" w:cstheme="minorBidi"/>
          <w:sz w:val="18"/>
          <w:szCs w:val="18"/>
          <w:vertAlign w:val="baseline"/>
          <w:lang w:bidi="es-ES"/>
        </w:rPr>
        <w:footnoteRef/>
      </w:r>
      <w:r w:rsidRPr="00BE6893">
        <w:rPr>
          <w:rFonts w:asciiTheme="minorBidi" w:hAnsiTheme="minorBidi" w:cstheme="minorBidi"/>
          <w:sz w:val="18"/>
          <w:szCs w:val="18"/>
          <w:lang w:bidi="es-ES"/>
        </w:rPr>
        <w:t>.</w:t>
      </w:r>
      <w:r w:rsidRPr="00BE6893">
        <w:rPr>
          <w:rFonts w:asciiTheme="minorBidi" w:hAnsiTheme="minorBidi" w:cstheme="minorBidi"/>
          <w:sz w:val="18"/>
          <w:szCs w:val="18"/>
          <w:lang w:bidi="es-ES"/>
        </w:rPr>
        <w:tab/>
        <w:t xml:space="preserve">En su décima </w:t>
      </w:r>
      <w:bookmarkStart w:id="1" w:name="_Hlk159519092"/>
      <w:r w:rsidRPr="00BE6893">
        <w:rPr>
          <w:rFonts w:asciiTheme="minorBidi" w:hAnsiTheme="minorBidi" w:cstheme="minorBidi"/>
          <w:snapToGrid w:val="0"/>
          <w:sz w:val="18"/>
          <w:szCs w:val="18"/>
          <w:lang w:bidi="es-ES"/>
        </w:rPr>
        <w:t xml:space="preserve">reunión de 2015, el Comité decidió continuar las relaciones con 59 ONG y poner fin a las relaciones con 38 ONG (Decisión </w:t>
      </w:r>
      <w:hyperlink r:id="rId9" w:history="1">
        <w:r w:rsidRPr="00BE6893">
          <w:rPr>
            <w:rStyle w:val="Hyperlink"/>
            <w:rFonts w:asciiTheme="minorBidi" w:hAnsiTheme="minorBidi" w:cstheme="minorBidi"/>
            <w:snapToGrid w:val="0"/>
            <w:sz w:val="18"/>
            <w:szCs w:val="18"/>
            <w:lang w:bidi="es-ES"/>
          </w:rPr>
          <w:t>10.COM 16</w:t>
        </w:r>
      </w:hyperlink>
      <w:r w:rsidRPr="00BE6893">
        <w:rPr>
          <w:rFonts w:asciiTheme="minorBidi" w:hAnsiTheme="minorBidi" w:cstheme="minorBidi"/>
          <w:snapToGrid w:val="0"/>
          <w:sz w:val="18"/>
          <w:szCs w:val="18"/>
          <w:lang w:bidi="es-ES"/>
        </w:rPr>
        <w:t>),</w:t>
      </w:r>
      <w:bookmarkEnd w:id="1"/>
      <w:r w:rsidRPr="00BE6893">
        <w:rPr>
          <w:rFonts w:asciiTheme="minorBidi" w:hAnsiTheme="minorBidi" w:cstheme="minorBidi"/>
          <w:snapToGrid w:val="0"/>
          <w:sz w:val="18"/>
          <w:szCs w:val="18"/>
          <w:lang w:bidi="es-ES"/>
        </w:rPr>
        <w:t xml:space="preserve"> todas ellas acreditadas por la tercera reunión de la Asamblea General en 2010; en su duodécima reunión de 2017, el Comité decidió continuar las relaciones con 42 ONG y poner fin a las relaciones con 17 ONG (Decisión </w:t>
      </w:r>
      <w:hyperlink r:id="rId10" w:history="1">
        <w:r w:rsidRPr="00BE6893">
          <w:rPr>
            <w:rStyle w:val="Hyperlink"/>
            <w:rFonts w:asciiTheme="minorBidi" w:hAnsiTheme="minorBidi" w:cstheme="minorBidi"/>
            <w:snapToGrid w:val="0"/>
            <w:sz w:val="18"/>
            <w:szCs w:val="18"/>
            <w:lang w:bidi="es-ES"/>
          </w:rPr>
          <w:t>12.COM 17</w:t>
        </w:r>
      </w:hyperlink>
      <w:r w:rsidRPr="00BE6893">
        <w:rPr>
          <w:rFonts w:asciiTheme="minorBidi" w:hAnsiTheme="minorBidi" w:cstheme="minorBidi"/>
          <w:snapToGrid w:val="0"/>
          <w:sz w:val="18"/>
          <w:szCs w:val="18"/>
          <w:lang w:bidi="es-ES"/>
        </w:rPr>
        <w:t xml:space="preserve">), todas ellas acreditadas por la cuarta reunión de la Asamblea General en 2012; en su decimocuarta reunión de 2019, el Comité decidió continuar las relaciones con 62 ONG acreditadas y poner fin a las relaciones con 19 ONG (Decisión </w:t>
      </w:r>
      <w:hyperlink r:id="rId11" w:history="1">
        <w:r w:rsidRPr="00BE6893">
          <w:rPr>
            <w:rStyle w:val="Hyperlink"/>
            <w:rFonts w:asciiTheme="minorBidi" w:hAnsiTheme="minorBidi" w:cstheme="minorBidi"/>
            <w:snapToGrid w:val="0"/>
            <w:sz w:val="18"/>
            <w:szCs w:val="18"/>
            <w:lang w:bidi="es-ES"/>
          </w:rPr>
          <w:t>14.COM 17</w:t>
        </w:r>
      </w:hyperlink>
      <w:r w:rsidRPr="00BE6893">
        <w:rPr>
          <w:rFonts w:asciiTheme="minorBidi" w:hAnsiTheme="minorBidi" w:cstheme="minorBidi"/>
          <w:snapToGrid w:val="0"/>
          <w:sz w:val="18"/>
          <w:szCs w:val="18"/>
          <w:lang w:bidi="es-ES"/>
        </w:rPr>
        <w:t xml:space="preserve">), todas ellas acreditadas por la quinta reunión de la Asamblea General; en su decimosexta reunión de 2021, el Comité decidió continuar las relaciones con 57 ONG acreditadas y poner fin a las relaciones con 9 ONG (Decisión </w:t>
      </w:r>
      <w:hyperlink r:id="rId12" w:history="1">
        <w:r w:rsidRPr="00BE6893">
          <w:rPr>
            <w:rStyle w:val="Hyperlink"/>
            <w:rFonts w:asciiTheme="minorBidi" w:hAnsiTheme="minorBidi" w:cstheme="minorBidi"/>
            <w:snapToGrid w:val="0"/>
            <w:sz w:val="18"/>
            <w:szCs w:val="18"/>
            <w:lang w:bidi="es-ES"/>
          </w:rPr>
          <w:t>16.COM 15</w:t>
        </w:r>
      </w:hyperlink>
      <w:r w:rsidRPr="00BE6893">
        <w:rPr>
          <w:rFonts w:asciiTheme="minorBidi" w:hAnsiTheme="minorBidi" w:cstheme="minorBidi"/>
          <w:snapToGrid w:val="0"/>
          <w:sz w:val="18"/>
          <w:szCs w:val="18"/>
          <w:lang w:bidi="es-ES"/>
        </w:rPr>
        <w:t>), todas ellas acreditadas en la sexta reunión de la Asamblea General; en su decimoctava reunión en 2023, el Comité decidió continuar las relaciones con 80 ONG y poner fin a las relaciones con 11 ONG (Decisión </w:t>
      </w:r>
      <w:hyperlink r:id="rId13" w:history="1">
        <w:r w:rsidRPr="00BE6893">
          <w:rPr>
            <w:rStyle w:val="Hyperlink"/>
            <w:rFonts w:asciiTheme="minorBidi" w:hAnsiTheme="minorBidi" w:cstheme="minorBidi"/>
            <w:snapToGrid w:val="0"/>
            <w:sz w:val="18"/>
            <w:szCs w:val="18"/>
            <w:lang w:bidi="es-ES"/>
          </w:rPr>
          <w:t>18.COM 16</w:t>
        </w:r>
      </w:hyperlink>
      <w:r w:rsidRPr="00BE6893">
        <w:rPr>
          <w:rFonts w:asciiTheme="minorBidi" w:hAnsiTheme="minorBidi" w:cstheme="minorBidi"/>
          <w:snapToGrid w:val="0"/>
          <w:sz w:val="18"/>
          <w:szCs w:val="18"/>
          <w:lang w:bidi="es-ES"/>
        </w:rPr>
        <w:t>), y; en su vigésima reunión en 2025, el Comité decidió continuar las relaciones con 87 ONG y poner fin a las relaciones con 6 ONG (Decisión </w:t>
      </w:r>
      <w:hyperlink r:id="rId14" w:history="1">
        <w:r w:rsidRPr="00BE6893">
          <w:rPr>
            <w:rStyle w:val="Hyperlink"/>
            <w:rFonts w:asciiTheme="minorBidi" w:hAnsiTheme="minorBidi" w:cstheme="minorBidi"/>
            <w:snapToGrid w:val="0"/>
            <w:sz w:val="18"/>
            <w:szCs w:val="18"/>
            <w:lang w:bidi="es-ES"/>
          </w:rPr>
          <w:t>20.COM 16</w:t>
        </w:r>
      </w:hyperlink>
      <w:r w:rsidRPr="00BE6893">
        <w:rPr>
          <w:rFonts w:asciiTheme="minorBidi" w:hAnsiTheme="minorBidi" w:cstheme="minorBidi"/>
          <w:snapToGrid w:val="0"/>
          <w:sz w:val="18"/>
          <w:szCs w:val="18"/>
          <w:lang w:bidi="es-ES"/>
        </w:rPr>
        <w:t>).</w:t>
      </w:r>
    </w:p>
  </w:footnote>
  <w:footnote w:id="3">
    <w:p w14:paraId="2EB012FD" w14:textId="1DF4D8D5" w:rsidR="003640B8" w:rsidRPr="00C01521" w:rsidRDefault="003640B8" w:rsidP="003640B8">
      <w:pPr>
        <w:pStyle w:val="FootnoteText"/>
        <w:spacing w:after="60"/>
        <w:ind w:left="567" w:hanging="567"/>
        <w:jc w:val="both"/>
        <w:rPr>
          <w:rFonts w:asciiTheme="minorBidi" w:hAnsiTheme="minorBidi" w:cstheme="minorBidi"/>
          <w:sz w:val="18"/>
          <w:szCs w:val="18"/>
          <w:lang w:val="es-BO"/>
        </w:rPr>
      </w:pPr>
      <w:r w:rsidRPr="00BE6893">
        <w:rPr>
          <w:rStyle w:val="FootnoteReference"/>
          <w:rFonts w:asciiTheme="minorBidi" w:hAnsiTheme="minorBidi" w:cstheme="minorBidi"/>
          <w:sz w:val="18"/>
          <w:szCs w:val="18"/>
          <w:vertAlign w:val="baseline"/>
          <w:lang w:bidi="es-ES"/>
        </w:rPr>
        <w:footnoteRef/>
      </w:r>
      <w:r w:rsidRPr="00BE6893">
        <w:rPr>
          <w:rFonts w:asciiTheme="minorBidi" w:hAnsiTheme="minorBidi" w:cstheme="minorBidi"/>
          <w:sz w:val="18"/>
          <w:szCs w:val="18"/>
          <w:lang w:bidi="es-ES"/>
        </w:rPr>
        <w:t>.</w:t>
      </w:r>
      <w:r w:rsidRPr="00BE6893">
        <w:rPr>
          <w:rFonts w:asciiTheme="minorBidi" w:hAnsiTheme="minorBidi" w:cstheme="minorBidi"/>
          <w:sz w:val="18"/>
          <w:szCs w:val="18"/>
          <w:lang w:bidi="es-ES"/>
        </w:rPr>
        <w:tab/>
        <w:t>Esto incluye a dos organizaciones que en la actualidad tienen su sede en países pertenecientes al Grupo electoral</w:t>
      </w:r>
      <w:r w:rsidR="00064B0A">
        <w:rPr>
          <w:rFonts w:asciiTheme="minorBidi" w:hAnsiTheme="minorBidi" w:cstheme="minorBidi"/>
          <w:sz w:val="18"/>
          <w:szCs w:val="18"/>
          <w:lang w:bidi="es-ES"/>
        </w:rPr>
        <w:t> </w:t>
      </w:r>
      <w:r w:rsidRPr="00BE6893">
        <w:rPr>
          <w:rFonts w:asciiTheme="minorBidi" w:hAnsiTheme="minorBidi" w:cstheme="minorBidi"/>
          <w:sz w:val="18"/>
          <w:szCs w:val="18"/>
          <w:lang w:bidi="es-ES"/>
        </w:rPr>
        <w:t xml:space="preserve">I, pero cuya sede se traslada a un país diferente de forma rotatoria (véase el documento </w:t>
      </w:r>
      <w:hyperlink r:id="rId15" w:history="1">
        <w:r w:rsidRPr="00BE6893">
          <w:rPr>
            <w:rStyle w:val="Hyperlink"/>
            <w:rFonts w:asciiTheme="minorBidi" w:hAnsiTheme="minorBidi" w:cstheme="minorBidi"/>
            <w:snapToGrid w:val="0"/>
            <w:sz w:val="18"/>
            <w:szCs w:val="18"/>
            <w:lang w:bidi="es-ES"/>
          </w:rPr>
          <w:t>LHE/25/20.COM/16 Rev.</w:t>
        </w:r>
      </w:hyperlink>
      <w:r w:rsidRPr="00BE6893">
        <w:rPr>
          <w:rFonts w:asciiTheme="minorBidi" w:hAnsiTheme="minorBidi" w:cstheme="minorBidi"/>
          <w:snapToGrid w:val="0"/>
          <w:sz w:val="18"/>
          <w:szCs w:val="18"/>
          <w:lang w:bidi="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51707677" w:rsidR="00D95C4C" w:rsidRPr="00C23A97" w:rsidRDefault="00C5776D" w:rsidP="00C5776D">
    <w:pPr>
      <w:pStyle w:val="Header"/>
      <w:rPr>
        <w:rFonts w:ascii="Arial" w:hAnsi="Arial" w:cs="Arial"/>
      </w:rPr>
    </w:pPr>
    <w:r>
      <w:rPr>
        <w:rFonts w:ascii="Arial" w:eastAsia="Arial" w:hAnsi="Arial" w:cs="Arial"/>
        <w:sz w:val="20"/>
        <w:lang w:bidi="es-ES"/>
      </w:rPr>
      <w:t xml:space="preserve">LHE/26/11.GA/9 - página </w:t>
    </w:r>
    <w:r w:rsidR="00D95C4C" w:rsidRPr="00C23A97">
      <w:rPr>
        <w:rStyle w:val="PageNumber"/>
        <w:rFonts w:ascii="Arial" w:eastAsia="Arial" w:hAnsi="Arial" w:cs="Arial"/>
        <w:sz w:val="20"/>
        <w:lang w:bidi="es-ES"/>
      </w:rPr>
      <w:fldChar w:fldCharType="begin"/>
    </w:r>
    <w:r w:rsidR="00D95C4C" w:rsidRPr="00C23A97">
      <w:rPr>
        <w:rStyle w:val="PageNumber"/>
        <w:rFonts w:ascii="Arial" w:eastAsia="Arial" w:hAnsi="Arial" w:cs="Arial"/>
        <w:sz w:val="20"/>
        <w:lang w:bidi="es-ES"/>
      </w:rPr>
      <w:instrText xml:space="preserve"> PAGE </w:instrText>
    </w:r>
    <w:r w:rsidR="00D95C4C" w:rsidRPr="00C23A97">
      <w:rPr>
        <w:rStyle w:val="PageNumber"/>
        <w:rFonts w:ascii="Arial" w:eastAsia="Arial" w:hAnsi="Arial" w:cs="Arial"/>
        <w:sz w:val="20"/>
        <w:lang w:bidi="es-ES"/>
      </w:rPr>
      <w:fldChar w:fldCharType="separate"/>
    </w:r>
    <w:r w:rsidR="006E75EB">
      <w:rPr>
        <w:rStyle w:val="PageNumber"/>
        <w:rFonts w:ascii="Arial" w:eastAsia="Arial" w:hAnsi="Arial" w:cs="Arial"/>
        <w:sz w:val="20"/>
        <w:lang w:bidi="es-ES"/>
      </w:rPr>
      <w:t>2</w:t>
    </w:r>
    <w:r w:rsidR="00D95C4C" w:rsidRPr="00C23A97">
      <w:rPr>
        <w:rStyle w:val="PageNumber"/>
        <w:rFonts w:ascii="Arial" w:eastAsia="Arial" w:hAnsi="Arial" w:cs="Arial"/>
        <w:sz w:val="20"/>
        <w:lang w:bidi="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3C046681" w:rsidR="00D95C4C" w:rsidRPr="0063300C" w:rsidRDefault="00C5776D" w:rsidP="00C5776D">
    <w:pPr>
      <w:pStyle w:val="Header"/>
      <w:jc w:val="right"/>
      <w:rPr>
        <w:rFonts w:ascii="Arial" w:hAnsi="Arial" w:cs="Arial"/>
      </w:rPr>
    </w:pPr>
    <w:r>
      <w:rPr>
        <w:rFonts w:ascii="Arial" w:eastAsia="Arial" w:hAnsi="Arial" w:cs="Arial"/>
        <w:sz w:val="20"/>
        <w:lang w:bidi="es-ES"/>
      </w:rPr>
      <w:t xml:space="preserve">LHE/26/11.GA/9 - página </w:t>
    </w:r>
    <w:r w:rsidR="004A34A0" w:rsidRPr="0063300C">
      <w:rPr>
        <w:rStyle w:val="PageNumber"/>
        <w:rFonts w:ascii="Arial" w:eastAsia="Arial" w:hAnsi="Arial" w:cs="Arial"/>
        <w:sz w:val="20"/>
        <w:lang w:bidi="es-ES"/>
      </w:rPr>
      <w:fldChar w:fldCharType="begin"/>
    </w:r>
    <w:r w:rsidR="004A34A0" w:rsidRPr="0063300C">
      <w:rPr>
        <w:rStyle w:val="PageNumber"/>
        <w:rFonts w:ascii="Arial" w:eastAsia="Arial" w:hAnsi="Arial" w:cs="Arial"/>
        <w:sz w:val="20"/>
        <w:lang w:bidi="es-ES"/>
      </w:rPr>
      <w:instrText xml:space="preserve"> PAGE </w:instrText>
    </w:r>
    <w:r w:rsidR="004A34A0" w:rsidRPr="0063300C">
      <w:rPr>
        <w:rStyle w:val="PageNumber"/>
        <w:rFonts w:ascii="Arial" w:eastAsia="Arial" w:hAnsi="Arial" w:cs="Arial"/>
        <w:sz w:val="20"/>
        <w:lang w:bidi="es-ES"/>
      </w:rPr>
      <w:fldChar w:fldCharType="separate"/>
    </w:r>
    <w:r w:rsidR="00190205">
      <w:rPr>
        <w:rStyle w:val="PageNumber"/>
        <w:rFonts w:ascii="Arial" w:eastAsia="Arial" w:hAnsi="Arial" w:cs="Arial"/>
        <w:sz w:val="20"/>
        <w:lang w:bidi="es-ES"/>
      </w:rPr>
      <w:t>3</w:t>
    </w:r>
    <w:r w:rsidR="004A34A0" w:rsidRPr="0063300C">
      <w:rPr>
        <w:rStyle w:val="PageNumber"/>
        <w:rFonts w:ascii="Arial" w:eastAsia="Arial" w:hAnsi="Arial" w:cs="Arial"/>
        <w:sz w:val="20"/>
        <w:lang w:bidi="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0838DBA" w:rsidR="00D95C4C" w:rsidRPr="00E95AE2" w:rsidRDefault="000875B4">
    <w:pPr>
      <w:pStyle w:val="Header"/>
      <w:rPr>
        <w:sz w:val="22"/>
        <w:szCs w:val="22"/>
      </w:rPr>
    </w:pPr>
    <w:r>
      <w:rPr>
        <w:noProof/>
        <w:lang w:bidi="es-ES"/>
      </w:rPr>
      <w:drawing>
        <wp:anchor distT="0" distB="0" distL="114300" distR="114300" simplePos="0" relativeHeight="251661312" behindDoc="0" locked="0" layoutInCell="1" allowOverlap="1" wp14:anchorId="38876ACA" wp14:editId="7B03A841">
          <wp:simplePos x="0" y="0"/>
          <wp:positionH relativeFrom="margin">
            <wp:posOffset>-558</wp:posOffset>
          </wp:positionH>
          <wp:positionV relativeFrom="paragraph">
            <wp:posOffset>102058</wp:posOffset>
          </wp:positionV>
          <wp:extent cx="1709420" cy="1439545"/>
          <wp:effectExtent l="0" t="0" r="5080" b="8255"/>
          <wp:wrapSquare wrapText="bothSides"/>
          <wp:docPr id="2"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6DA8A611" w:rsidR="00D95C4C" w:rsidRPr="006C54C9" w:rsidRDefault="005C792B" w:rsidP="00C5776D">
    <w:pPr>
      <w:pStyle w:val="Header"/>
      <w:spacing w:after="520"/>
      <w:jc w:val="right"/>
      <w:rPr>
        <w:rFonts w:ascii="Arial" w:hAnsi="Arial" w:cs="Arial"/>
        <w:b/>
        <w:sz w:val="44"/>
        <w:szCs w:val="44"/>
        <w:lang w:val="pt-BR"/>
      </w:rPr>
    </w:pPr>
    <w:r w:rsidRPr="006C54C9">
      <w:rPr>
        <w:rFonts w:ascii="Arial" w:hAnsi="Arial"/>
        <w:b/>
        <w:sz w:val="44"/>
        <w:lang w:val="pt-BR" w:eastAsia="pt-BR" w:bidi="pt-BR"/>
      </w:rPr>
      <w:t>11 GA</w:t>
    </w:r>
  </w:p>
  <w:p w14:paraId="306484B8" w14:textId="5E59404B" w:rsidR="00D95C4C" w:rsidRPr="006C54C9" w:rsidRDefault="00C5776D" w:rsidP="00C5776D">
    <w:pPr>
      <w:jc w:val="right"/>
      <w:rPr>
        <w:rFonts w:ascii="Arial" w:hAnsi="Arial" w:cs="Arial"/>
        <w:b/>
        <w:sz w:val="22"/>
        <w:szCs w:val="22"/>
        <w:lang w:val="pt-BR"/>
      </w:rPr>
    </w:pPr>
    <w:r w:rsidRPr="006C54C9">
      <w:rPr>
        <w:rFonts w:ascii="Arial" w:hAnsi="Arial"/>
        <w:b/>
        <w:sz w:val="22"/>
        <w:lang w:val="pt-BR" w:eastAsia="pt-BR" w:bidi="pt-BR"/>
      </w:rPr>
      <w:t>LHE/26/11.GA/9</w:t>
    </w:r>
  </w:p>
  <w:p w14:paraId="1B4446C3" w14:textId="71EDF218" w:rsidR="00D95C4C" w:rsidRPr="006C54C9" w:rsidRDefault="00D95C4C" w:rsidP="00655736">
    <w:pPr>
      <w:jc w:val="right"/>
      <w:rPr>
        <w:rFonts w:ascii="Arial" w:eastAsiaTheme="minorEastAsia" w:hAnsi="Arial" w:cs="Arial"/>
        <w:b/>
        <w:sz w:val="22"/>
        <w:szCs w:val="22"/>
        <w:lang w:val="pt-BR"/>
      </w:rPr>
    </w:pPr>
    <w:proofErr w:type="spellStart"/>
    <w:r w:rsidRPr="006C54C9">
      <w:rPr>
        <w:rFonts w:ascii="Arial" w:hAnsi="Arial"/>
        <w:b/>
        <w:sz w:val="22"/>
        <w:lang w:val="pt-BR" w:eastAsia="pt-BR" w:bidi="pt-BR"/>
      </w:rPr>
      <w:t>París</w:t>
    </w:r>
    <w:proofErr w:type="spellEnd"/>
    <w:r w:rsidRPr="006C54C9">
      <w:rPr>
        <w:rFonts w:ascii="Arial" w:hAnsi="Arial"/>
        <w:b/>
        <w:sz w:val="22"/>
        <w:lang w:val="pt-BR" w:eastAsia="pt-BR" w:bidi="pt-BR"/>
      </w:rPr>
      <w:t xml:space="preserve">, 18 de </w:t>
    </w:r>
    <w:proofErr w:type="spellStart"/>
    <w:r w:rsidRPr="006C54C9">
      <w:rPr>
        <w:rFonts w:ascii="Arial" w:hAnsi="Arial"/>
        <w:b/>
        <w:sz w:val="22"/>
        <w:lang w:val="pt-BR" w:eastAsia="pt-BR" w:bidi="pt-BR"/>
      </w:rPr>
      <w:t>mayo</w:t>
    </w:r>
    <w:proofErr w:type="spellEnd"/>
    <w:r w:rsidRPr="006C54C9">
      <w:rPr>
        <w:rFonts w:ascii="Arial" w:hAnsi="Arial"/>
        <w:b/>
        <w:sz w:val="22"/>
        <w:lang w:val="pt-BR" w:eastAsia="pt-BR" w:bidi="pt-BR"/>
      </w:rPr>
      <w:t xml:space="preserve"> de 2026</w:t>
    </w:r>
  </w:p>
  <w:p w14:paraId="255B57FF" w14:textId="1D72292B" w:rsidR="00D95C4C" w:rsidRPr="006C54C9" w:rsidRDefault="00D95C4C" w:rsidP="00962034">
    <w:pPr>
      <w:spacing w:after="120"/>
      <w:jc w:val="right"/>
      <w:rPr>
        <w:rFonts w:ascii="Arial" w:hAnsi="Arial" w:cs="Arial"/>
        <w:b/>
        <w:sz w:val="22"/>
        <w:szCs w:val="22"/>
      </w:rPr>
    </w:pPr>
    <w:r w:rsidRPr="006C54C9">
      <w:rPr>
        <w:rFonts w:ascii="Arial" w:hAnsi="Arial"/>
        <w:b/>
        <w:sz w:val="22"/>
      </w:rPr>
      <w:t>Original: inglés</w:t>
    </w:r>
  </w:p>
  <w:p w14:paraId="3C4B8B1B" w14:textId="77777777" w:rsidR="00D95C4C" w:rsidRPr="00671799" w:rsidRDefault="00D95C4C">
    <w:pPr>
      <w:pStyle w:val="Header"/>
      <w:rPr>
        <w:sz w:val="22"/>
        <w:szCs w:val="22"/>
      </w:rPr>
    </w:pPr>
  </w:p>
  <w:p w14:paraId="3C997849" w14:textId="77777777" w:rsidR="007F171D" w:rsidRPr="00671799" w:rsidRDefault="007F171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5C75A5E"/>
    <w:multiLevelType w:val="hybridMultilevel"/>
    <w:tmpl w:val="9DB803E8"/>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4"/>
  </w:num>
  <w:num w:numId="5" w16cid:durableId="1762608160">
    <w:abstractNumId w:val="13"/>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5"/>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 w:numId="23" w16cid:durableId="318466877">
    <w:abstractNumId w:val="12"/>
  </w:num>
  <w:num w:numId="24" w16cid:durableId="867721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16E94"/>
    <w:rsid w:val="0003000E"/>
    <w:rsid w:val="00041A66"/>
    <w:rsid w:val="00042D88"/>
    <w:rsid w:val="0005176E"/>
    <w:rsid w:val="00064B0A"/>
    <w:rsid w:val="000765F7"/>
    <w:rsid w:val="0007725F"/>
    <w:rsid w:val="00077AB7"/>
    <w:rsid w:val="000819FD"/>
    <w:rsid w:val="00081CD8"/>
    <w:rsid w:val="000875B4"/>
    <w:rsid w:val="000A7F0E"/>
    <w:rsid w:val="000B1C8F"/>
    <w:rsid w:val="000C0D61"/>
    <w:rsid w:val="000D226E"/>
    <w:rsid w:val="000F3A3F"/>
    <w:rsid w:val="00102557"/>
    <w:rsid w:val="00111ADB"/>
    <w:rsid w:val="00147A38"/>
    <w:rsid w:val="00150BF2"/>
    <w:rsid w:val="00164D56"/>
    <w:rsid w:val="00167B10"/>
    <w:rsid w:val="0017402F"/>
    <w:rsid w:val="00190205"/>
    <w:rsid w:val="00196C1B"/>
    <w:rsid w:val="001B0F73"/>
    <w:rsid w:val="001C2DB7"/>
    <w:rsid w:val="001D14FE"/>
    <w:rsid w:val="001D4D42"/>
    <w:rsid w:val="001D5C04"/>
    <w:rsid w:val="001F26CF"/>
    <w:rsid w:val="001F6CB6"/>
    <w:rsid w:val="002027B3"/>
    <w:rsid w:val="00213CD2"/>
    <w:rsid w:val="00222A2D"/>
    <w:rsid w:val="00223029"/>
    <w:rsid w:val="00224018"/>
    <w:rsid w:val="00234745"/>
    <w:rsid w:val="002351A6"/>
    <w:rsid w:val="002407AF"/>
    <w:rsid w:val="00245501"/>
    <w:rsid w:val="00254B26"/>
    <w:rsid w:val="0026221A"/>
    <w:rsid w:val="0027466B"/>
    <w:rsid w:val="00280CC6"/>
    <w:rsid w:val="002814F6"/>
    <w:rsid w:val="002838A5"/>
    <w:rsid w:val="00285BB4"/>
    <w:rsid w:val="002C09E3"/>
    <w:rsid w:val="002C6A2C"/>
    <w:rsid w:val="002D1244"/>
    <w:rsid w:val="002F7152"/>
    <w:rsid w:val="00326CB7"/>
    <w:rsid w:val="00331A2E"/>
    <w:rsid w:val="00332E92"/>
    <w:rsid w:val="00337CEB"/>
    <w:rsid w:val="003427D0"/>
    <w:rsid w:val="00344B58"/>
    <w:rsid w:val="0034539A"/>
    <w:rsid w:val="00345CB4"/>
    <w:rsid w:val="003640B8"/>
    <w:rsid w:val="00370E83"/>
    <w:rsid w:val="00375D42"/>
    <w:rsid w:val="003A339B"/>
    <w:rsid w:val="003D069C"/>
    <w:rsid w:val="003D7646"/>
    <w:rsid w:val="003F113A"/>
    <w:rsid w:val="003F3E63"/>
    <w:rsid w:val="00407480"/>
    <w:rsid w:val="00414643"/>
    <w:rsid w:val="004240B1"/>
    <w:rsid w:val="004313C4"/>
    <w:rsid w:val="004421E5"/>
    <w:rsid w:val="00452284"/>
    <w:rsid w:val="00457C8E"/>
    <w:rsid w:val="00480175"/>
    <w:rsid w:val="004856CA"/>
    <w:rsid w:val="00487E67"/>
    <w:rsid w:val="004906B7"/>
    <w:rsid w:val="00491273"/>
    <w:rsid w:val="004947E3"/>
    <w:rsid w:val="0049705E"/>
    <w:rsid w:val="004A2875"/>
    <w:rsid w:val="004A34A0"/>
    <w:rsid w:val="004C7C82"/>
    <w:rsid w:val="004E164E"/>
    <w:rsid w:val="005008A8"/>
    <w:rsid w:val="00511444"/>
    <w:rsid w:val="00517FD8"/>
    <w:rsid w:val="00526B7B"/>
    <w:rsid w:val="005274D2"/>
    <w:rsid w:val="00527A08"/>
    <w:rsid w:val="00527BCC"/>
    <w:rsid w:val="005308CE"/>
    <w:rsid w:val="0053318C"/>
    <w:rsid w:val="0054535F"/>
    <w:rsid w:val="00546CB5"/>
    <w:rsid w:val="0057439C"/>
    <w:rsid w:val="005960FA"/>
    <w:rsid w:val="005B0127"/>
    <w:rsid w:val="005B7A35"/>
    <w:rsid w:val="005C4B73"/>
    <w:rsid w:val="005C792B"/>
    <w:rsid w:val="005E1D2B"/>
    <w:rsid w:val="005E21CB"/>
    <w:rsid w:val="005E7074"/>
    <w:rsid w:val="005F2BAF"/>
    <w:rsid w:val="005F4EBC"/>
    <w:rsid w:val="00600D93"/>
    <w:rsid w:val="00624A48"/>
    <w:rsid w:val="00625D4D"/>
    <w:rsid w:val="00626BEA"/>
    <w:rsid w:val="0063300C"/>
    <w:rsid w:val="00651A5B"/>
    <w:rsid w:val="00655736"/>
    <w:rsid w:val="00663B8D"/>
    <w:rsid w:val="006648CB"/>
    <w:rsid w:val="00671799"/>
    <w:rsid w:val="00696C8D"/>
    <w:rsid w:val="006A2AC2"/>
    <w:rsid w:val="006A3617"/>
    <w:rsid w:val="006B4452"/>
    <w:rsid w:val="006B462F"/>
    <w:rsid w:val="006C54C9"/>
    <w:rsid w:val="006E46E4"/>
    <w:rsid w:val="006E75EB"/>
    <w:rsid w:val="00717DA5"/>
    <w:rsid w:val="007333D0"/>
    <w:rsid w:val="00744484"/>
    <w:rsid w:val="00747566"/>
    <w:rsid w:val="007565D3"/>
    <w:rsid w:val="00761B49"/>
    <w:rsid w:val="00773188"/>
    <w:rsid w:val="00776EFF"/>
    <w:rsid w:val="00783782"/>
    <w:rsid w:val="00784B8C"/>
    <w:rsid w:val="007879E1"/>
    <w:rsid w:val="007A1AEC"/>
    <w:rsid w:val="007B01DE"/>
    <w:rsid w:val="007E57AA"/>
    <w:rsid w:val="007F171D"/>
    <w:rsid w:val="0082391A"/>
    <w:rsid w:val="00823A11"/>
    <w:rsid w:val="0085405E"/>
    <w:rsid w:val="0085414A"/>
    <w:rsid w:val="00857EB9"/>
    <w:rsid w:val="0086269D"/>
    <w:rsid w:val="0086543A"/>
    <w:rsid w:val="008724E5"/>
    <w:rsid w:val="008765C9"/>
    <w:rsid w:val="00884A9D"/>
    <w:rsid w:val="0088512B"/>
    <w:rsid w:val="008A2B2D"/>
    <w:rsid w:val="008A4E1E"/>
    <w:rsid w:val="008A6458"/>
    <w:rsid w:val="008C296C"/>
    <w:rsid w:val="008D4305"/>
    <w:rsid w:val="008E1A85"/>
    <w:rsid w:val="008E344F"/>
    <w:rsid w:val="009127DF"/>
    <w:rsid w:val="009163A7"/>
    <w:rsid w:val="00934032"/>
    <w:rsid w:val="00937D53"/>
    <w:rsid w:val="00946D0B"/>
    <w:rsid w:val="00951166"/>
    <w:rsid w:val="00955877"/>
    <w:rsid w:val="00962034"/>
    <w:rsid w:val="00973326"/>
    <w:rsid w:val="00976F83"/>
    <w:rsid w:val="00994FA4"/>
    <w:rsid w:val="009A18CD"/>
    <w:rsid w:val="009B51D2"/>
    <w:rsid w:val="009C0325"/>
    <w:rsid w:val="009C5798"/>
    <w:rsid w:val="009D5428"/>
    <w:rsid w:val="00A12558"/>
    <w:rsid w:val="00A13903"/>
    <w:rsid w:val="00A13AE4"/>
    <w:rsid w:val="00A34ED5"/>
    <w:rsid w:val="00A45DBF"/>
    <w:rsid w:val="00A725CF"/>
    <w:rsid w:val="00A755A2"/>
    <w:rsid w:val="00A91430"/>
    <w:rsid w:val="00AA590D"/>
    <w:rsid w:val="00AA6660"/>
    <w:rsid w:val="00AA7917"/>
    <w:rsid w:val="00AB2C36"/>
    <w:rsid w:val="00AB3C92"/>
    <w:rsid w:val="00AB6DDE"/>
    <w:rsid w:val="00AB70B6"/>
    <w:rsid w:val="00AC18C1"/>
    <w:rsid w:val="00AC3B3E"/>
    <w:rsid w:val="00AC58F6"/>
    <w:rsid w:val="00AD1A86"/>
    <w:rsid w:val="00AD5C46"/>
    <w:rsid w:val="00AE103E"/>
    <w:rsid w:val="00AF0A07"/>
    <w:rsid w:val="00AF4AEC"/>
    <w:rsid w:val="00AF625E"/>
    <w:rsid w:val="00B139BE"/>
    <w:rsid w:val="00B2172B"/>
    <w:rsid w:val="00B34428"/>
    <w:rsid w:val="00B677BB"/>
    <w:rsid w:val="00B749E5"/>
    <w:rsid w:val="00B917D2"/>
    <w:rsid w:val="00B97EB3"/>
    <w:rsid w:val="00BA241A"/>
    <w:rsid w:val="00BA7529"/>
    <w:rsid w:val="00BB04AF"/>
    <w:rsid w:val="00BB6EEC"/>
    <w:rsid w:val="00BD52C9"/>
    <w:rsid w:val="00BE6354"/>
    <w:rsid w:val="00C01521"/>
    <w:rsid w:val="00C12E84"/>
    <w:rsid w:val="00C138D1"/>
    <w:rsid w:val="00C23A97"/>
    <w:rsid w:val="00C2405C"/>
    <w:rsid w:val="00C24416"/>
    <w:rsid w:val="00C52EBE"/>
    <w:rsid w:val="00C5776D"/>
    <w:rsid w:val="00C64855"/>
    <w:rsid w:val="00C70EA7"/>
    <w:rsid w:val="00C7433F"/>
    <w:rsid w:val="00C7516E"/>
    <w:rsid w:val="00C75770"/>
    <w:rsid w:val="00CA56BB"/>
    <w:rsid w:val="00CA5D00"/>
    <w:rsid w:val="00CB0542"/>
    <w:rsid w:val="00CD155C"/>
    <w:rsid w:val="00D00B2B"/>
    <w:rsid w:val="00D24877"/>
    <w:rsid w:val="00D60B23"/>
    <w:rsid w:val="00D63318"/>
    <w:rsid w:val="00D64D9C"/>
    <w:rsid w:val="00D7105A"/>
    <w:rsid w:val="00D822AC"/>
    <w:rsid w:val="00D8250F"/>
    <w:rsid w:val="00D86BB3"/>
    <w:rsid w:val="00D95C4C"/>
    <w:rsid w:val="00DA36ED"/>
    <w:rsid w:val="00DC49CB"/>
    <w:rsid w:val="00DE34F1"/>
    <w:rsid w:val="00DE6160"/>
    <w:rsid w:val="00DF4942"/>
    <w:rsid w:val="00E2125F"/>
    <w:rsid w:val="00E244E1"/>
    <w:rsid w:val="00E4150C"/>
    <w:rsid w:val="00E627B1"/>
    <w:rsid w:val="00E70169"/>
    <w:rsid w:val="00E9376C"/>
    <w:rsid w:val="00E95AE2"/>
    <w:rsid w:val="00EA335E"/>
    <w:rsid w:val="00EA528C"/>
    <w:rsid w:val="00EA580C"/>
    <w:rsid w:val="00EC6F8D"/>
    <w:rsid w:val="00ED39B2"/>
    <w:rsid w:val="00EE49F4"/>
    <w:rsid w:val="00EF34E2"/>
    <w:rsid w:val="00F30DC6"/>
    <w:rsid w:val="00F31F96"/>
    <w:rsid w:val="00F32C23"/>
    <w:rsid w:val="00F408D9"/>
    <w:rsid w:val="00F53DE9"/>
    <w:rsid w:val="00F576CB"/>
    <w:rsid w:val="00F7035D"/>
    <w:rsid w:val="00F70CC5"/>
    <w:rsid w:val="00F71A02"/>
    <w:rsid w:val="00F7596A"/>
    <w:rsid w:val="00FA0D63"/>
    <w:rsid w:val="00FD1226"/>
    <w:rsid w:val="00FD4BC8"/>
    <w:rsid w:val="00FF3039"/>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styleId="Revision">
    <w:name w:val="Revision"/>
    <w:hidden/>
    <w:uiPriority w:val="99"/>
    <w:semiHidden/>
    <w:rsid w:val="0003000E"/>
    <w:rPr>
      <w:rFonts w:ascii="Times New Roman" w:eastAsia="Times New Roman" w:hAnsi="Times New Roman"/>
      <w:sz w:val="24"/>
      <w:szCs w:val="24"/>
    </w:rPr>
  </w:style>
  <w:style w:type="character" w:styleId="Hyperlink">
    <w:name w:val="Hyperlink"/>
    <w:aliases w:val=" Car Car3 Char, Car Car3 Char Char Char Char"/>
    <w:link w:val="CarCar3"/>
    <w:uiPriority w:val="99"/>
    <w:rsid w:val="003640B8"/>
    <w:rPr>
      <w:color w:val="0000FF"/>
      <w:u w:val="single"/>
    </w:rPr>
  </w:style>
  <w:style w:type="paragraph" w:customStyle="1" w:styleId="CarCar3">
    <w:name w:val="Car Car3"/>
    <w:aliases w:val=" Car Car3 Char Char"/>
    <w:basedOn w:val="Normal"/>
    <w:link w:val="Hyperlink"/>
    <w:uiPriority w:val="99"/>
    <w:rsid w:val="003640B8"/>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 w:type="character" w:styleId="FollowedHyperlink">
    <w:name w:val="FollowedHyperlink"/>
    <w:basedOn w:val="DefaultParagraphFont"/>
    <w:uiPriority w:val="99"/>
    <w:semiHidden/>
    <w:unhideWhenUsed/>
    <w:rsid w:val="00D60B23"/>
    <w:rPr>
      <w:color w:val="800080" w:themeColor="followedHyperlink"/>
      <w:u w:val="single"/>
    </w:rPr>
  </w:style>
  <w:style w:type="character" w:styleId="UnresolvedMention">
    <w:name w:val="Unresolved Mention"/>
    <w:basedOn w:val="DefaultParagraphFont"/>
    <w:uiPriority w:val="99"/>
    <w:semiHidden/>
    <w:unhideWhenUsed/>
    <w:rsid w:val="0032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doc/src/LHE-22-9.GA-Resolutions-ES.docx" TargetMode="External"/><Relationship Id="rId18" Type="http://schemas.openxmlformats.org/officeDocument/2006/relationships/hyperlink" Target="https://ich.unesco.org/doc/src/LHE-25-20.COM-15_EN.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decisions/20.COM/16"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ich.unesco.org/doc/src/LHE-24-10.GA-Resolutions_SP.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22-9.GA-Resolutions-ES.docx" TargetMode="External"/><Relationship Id="rId20" Type="http://schemas.openxmlformats.org/officeDocument/2006/relationships/hyperlink" Target="https://ich.unesco.org/doc/src/LHE-24-10.GA-Resolutions_SP.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CH-09-2025-EN.do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LHE-25-20.COM-16_Rev._EN.docx" TargetMode="External"/><Relationship Id="rId23" Type="http://schemas.openxmlformats.org/officeDocument/2006/relationships/header" Target="header2.xml"/><Relationship Id="rId10" Type="http://schemas.openxmlformats.org/officeDocument/2006/relationships/hyperlink" Target="https://ich.unesco.org/en/accreditation-of-ngos-01435" TargetMode="External"/><Relationship Id="rId19" Type="http://schemas.openxmlformats.org/officeDocument/2006/relationships/hyperlink" Target="https://ich.unesco.org/en/accredited-ngos-00331" TargetMode="External"/><Relationship Id="rId4" Type="http://schemas.openxmlformats.org/officeDocument/2006/relationships/settings" Target="settings.xml"/><Relationship Id="rId9" Type="http://schemas.openxmlformats.org/officeDocument/2006/relationships/hyperlink" Target="https://ich.unesco.org/en/decisions/20.COM/16" TargetMode="External"/><Relationship Id="rId14" Type="http://schemas.openxmlformats.org/officeDocument/2006/relationships/hyperlink" Target="https://ich.unesco.org/en/decisions/18.COM/16"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doc/src/LHE-24-10.GA-Resolutions_SP.docx" TargetMode="External"/><Relationship Id="rId13" Type="http://schemas.openxmlformats.org/officeDocument/2006/relationships/hyperlink" Target="https://ich.unesco.org/en/decisions/18.COM/16" TargetMode="External"/><Relationship Id="rId3" Type="http://schemas.openxmlformats.org/officeDocument/2006/relationships/hyperlink" Target="https://ich.unesco.org/doc/src/ITH-14-5.GA-Resolutions-ES__.doc" TargetMode="External"/><Relationship Id="rId7" Type="http://schemas.openxmlformats.org/officeDocument/2006/relationships/hyperlink" Target="https://ich.unesco.org/doc/src/LHE-22-9.GA-Resolutions-ES.docx" TargetMode="External"/><Relationship Id="rId12" Type="http://schemas.openxmlformats.org/officeDocument/2006/relationships/hyperlink" Target="https://ich.unesco.org/en/Decisions/16.COM/15" TargetMode="External"/><Relationship Id="rId2" Type="http://schemas.openxmlformats.org/officeDocument/2006/relationships/hyperlink" Target="https://ich.unesco.org/doc/src/ITH-12-4.GA-Resolutions-ES.doc" TargetMode="External"/><Relationship Id="rId1" Type="http://schemas.openxmlformats.org/officeDocument/2006/relationships/hyperlink" Target="https://ich.unesco.org/doc/src/07003-ES.doc" TargetMode="External"/><Relationship Id="rId6" Type="http://schemas.openxmlformats.org/officeDocument/2006/relationships/hyperlink" Target="https://ich.unesco.org/doc/src/LHE-20-8.GA-Resolutions-ES.docx" TargetMode="External"/><Relationship Id="rId11" Type="http://schemas.openxmlformats.org/officeDocument/2006/relationships/hyperlink" Target="https://ich.unesco.org/en/Decisions/14.COM/17" TargetMode="External"/><Relationship Id="rId5" Type="http://schemas.openxmlformats.org/officeDocument/2006/relationships/hyperlink" Target="https://ich.unesco.org/doc/src/ITH-18-7.GA-Resolutions-ES.docx" TargetMode="External"/><Relationship Id="rId15" Type="http://schemas.openxmlformats.org/officeDocument/2006/relationships/hyperlink" Target="https://ich.unesco.org/doc/src/LHE-25-20.COM-16_Rev._EN.docx" TargetMode="External"/><Relationship Id="rId10" Type="http://schemas.openxmlformats.org/officeDocument/2006/relationships/hyperlink" Target="https://ich.unesco.org/en/Decisions/12.COM/17" TargetMode="External"/><Relationship Id="rId4" Type="http://schemas.openxmlformats.org/officeDocument/2006/relationships/hyperlink" Target="https://ich.unesco.org/doc/src/ITH-16_6.GA-Resolutions_SP.docx" TargetMode="External"/><Relationship Id="rId9" Type="http://schemas.openxmlformats.org/officeDocument/2006/relationships/hyperlink" Target="https://ich.unesco.org/en/Decisions/10.COM/16" TargetMode="External"/><Relationship Id="rId14" Type="http://schemas.openxmlformats.org/officeDocument/2006/relationships/hyperlink" Target="https://ich.unesco.org/en/decisions/20.COM/1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colad.lan\tempo\TEMPO-PM\Projects\U\UNESCO\PM-LLI2603010\07_FINAL\_WORK\Statistics%20on%20NGOs_20260505_es_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colad.lan\tempo\TEMPO-PM\Projects\U\UNESCO\PM-LLI2603010\07_FINAL\_WORK\Statistics%20on%20NGOs_20260505_es_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t>Figura 1. Distribución geográfica de las ONG acreditadas (258 en total en 2025)</a:t>
            </a:r>
          </a:p>
        </c:rich>
      </c:tx>
      <c:layout>
        <c:manualLayout>
          <c:xMode val="edge"/>
          <c:yMode val="edge"/>
          <c:x val="0.13112489063867017"/>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9E-46AB-ACDC-4F14C54791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9E-46AB-ACDC-4F14C54791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9E-46AB-ACDC-4F14C547914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9E-46AB-ACDC-4F14C547914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9E-46AB-ACDC-4F14C547914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D9E-46AB-ACDC-4F14C5479149}"/>
              </c:ext>
            </c:extLst>
          </c:dPt>
          <c:dLbls>
            <c:dLbl>
              <c:idx val="1"/>
              <c:layout>
                <c:manualLayout>
                  <c:x val="-3.0555555555555607E-2"/>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9E-46AB-ACDC-4F14C5479149}"/>
                </c:ext>
              </c:extLst>
            </c:dLbl>
            <c:dLbl>
              <c:idx val="2"/>
              <c:layout>
                <c:manualLayout>
                  <c:x val="-1.6666666666666666E-2"/>
                  <c:y val="-3.70370370370370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9E-46AB-ACDC-4F14C5479149}"/>
                </c:ext>
              </c:extLst>
            </c:dLbl>
            <c:dLbl>
              <c:idx val="4"/>
              <c:layout>
                <c:manualLayout>
                  <c:x val="-4.1666666666666664E-2"/>
                  <c:y val="8.79629629629629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D9E-46AB-ACDC-4F14C5479149}"/>
                </c:ext>
              </c:extLst>
            </c:dLbl>
            <c:dLbl>
              <c:idx val="5"/>
              <c:layout>
                <c:manualLayout>
                  <c:x val="-4.4444444444444446E-2"/>
                  <c:y val="1.3888888888888867E-2"/>
                </c:manualLayout>
              </c:layout>
              <c:tx>
                <c:rich>
                  <a:bodyPr/>
                  <a:lstStyle/>
                  <a:p>
                    <a:r>
                      <a:rPr lang="en-US"/>
                      <a:t>Grupo V(b)</a:t>
                    </a:r>
                    <a:r>
                      <a:rPr lang="en-US" baseline="0"/>
                      <a:t>
</a:t>
                    </a:r>
                    <a:fld id="{A4734BD0-5D6A-4F1B-BBA9-B740F3831F22}"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D9E-46AB-ACDC-4F14C54791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Graphs!$A$2:$A$7</c:f>
              <c:strCache>
                <c:ptCount val="6"/>
                <c:pt idx="0">
                  <c:v>Grupo I</c:v>
                </c:pt>
                <c:pt idx="1">
                  <c:v>Grupo II</c:v>
                </c:pt>
                <c:pt idx="2">
                  <c:v>Grupo III</c:v>
                </c:pt>
                <c:pt idx="3">
                  <c:v>Grupo IV</c:v>
                </c:pt>
                <c:pt idx="4">
                  <c:v>Grupo V(a)</c:v>
                </c:pt>
                <c:pt idx="5">
                  <c:v>Grupo V b)</c:v>
                </c:pt>
              </c:strCache>
            </c:strRef>
          </c:cat>
          <c:val>
            <c:numRef>
              <c:f>Graphs!$B$2:$B$7</c:f>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0C-0D9E-46AB-ACDC-4F14C547914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t>Figura 2. Distribución geográfica de las ONG cuya</a:t>
            </a:r>
            <a:r>
              <a:rPr lang="fr-FR" sz="1200" baseline="0"/>
              <a:t>acreditación recomienda la 11.GA en 2026</a:t>
            </a:r>
            <a:endParaRPr lang="fr-FR" sz="1200"/>
          </a:p>
        </c:rich>
      </c:tx>
      <c:layout>
        <c:manualLayout>
          <c:xMode val="edge"/>
          <c:yMode val="edge"/>
          <c:x val="0.13112489063867017"/>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62-4F50-B552-DA0632EBB5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62-4F50-B552-DA0632EBB5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62-4F50-B552-DA0632EBB5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62-4F50-B552-DA0632EBB5F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F62-4F50-B552-DA0632EBB5F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F62-4F50-B552-DA0632EBB5FD}"/>
              </c:ext>
            </c:extLst>
          </c:dPt>
          <c:dLbls>
            <c:dLbl>
              <c:idx val="1"/>
              <c:layout>
                <c:manualLayout>
                  <c:x val="-8.3333333333333332E-3"/>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62-4F50-B552-DA0632EBB5FD}"/>
                </c:ext>
              </c:extLst>
            </c:dLbl>
            <c:dLbl>
              <c:idx val="2"/>
              <c:layout>
                <c:manualLayout>
                  <c:x val="-3.8888888888888938E-2"/>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F62-4F50-B552-DA0632EBB5FD}"/>
                </c:ext>
              </c:extLst>
            </c:dLbl>
            <c:dLbl>
              <c:idx val="4"/>
              <c:layout>
                <c:manualLayout>
                  <c:x val="-1.3888888888888888E-2"/>
                  <c:y val="4.16666666666666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F62-4F50-B552-DA0632EBB5FD}"/>
                </c:ext>
              </c:extLst>
            </c:dLbl>
            <c:dLbl>
              <c:idx val="5"/>
              <c:layout>
                <c:manualLayout>
                  <c:x val="-8.3333333333333332E-3"/>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F62-4F50-B552-DA0632EBB5F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Graphs!$A$2:$A$7</c:f>
              <c:strCache>
                <c:ptCount val="6"/>
                <c:pt idx="0">
                  <c:v>Grupo I</c:v>
                </c:pt>
                <c:pt idx="1">
                  <c:v>Grupo II</c:v>
                </c:pt>
                <c:pt idx="2">
                  <c:v>Grupo III</c:v>
                </c:pt>
                <c:pt idx="3">
                  <c:v>Grupo IV</c:v>
                </c:pt>
                <c:pt idx="4">
                  <c:v>Grupo V(a)</c:v>
                </c:pt>
                <c:pt idx="5">
                  <c:v>Grupo V b)</c:v>
                </c:pt>
              </c:strCache>
            </c:strRef>
          </c:cat>
          <c:val>
            <c:numRef>
              <c:f>Graphs!$C$2:$C$7</c:f>
              <c:numCache>
                <c:formatCode>General</c:formatCode>
                <c:ptCount val="6"/>
                <c:pt idx="0">
                  <c:v>29</c:v>
                </c:pt>
                <c:pt idx="1">
                  <c:v>7</c:v>
                </c:pt>
                <c:pt idx="2">
                  <c:v>4</c:v>
                </c:pt>
                <c:pt idx="3">
                  <c:v>7</c:v>
                </c:pt>
                <c:pt idx="4">
                  <c:v>6</c:v>
                </c:pt>
                <c:pt idx="5">
                  <c:v>6</c:v>
                </c:pt>
              </c:numCache>
            </c:numRef>
          </c:val>
          <c:extLst>
            <c:ext xmlns:c16="http://schemas.microsoft.com/office/drawing/2014/chart" uri="{C3380CC4-5D6E-409C-BE32-E72D297353CC}">
              <c16:uniqueId val="{0000000C-EF62-4F50-B552-DA0632EBB5FD}"/>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E-EF62-4F50-B552-DA0632EBB5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EF62-4F50-B552-DA0632EBB5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EF62-4F50-B552-DA0632EBB5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EF62-4F50-B552-DA0632EBB5F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EF62-4F50-B552-DA0632EBB5F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EF62-4F50-B552-DA0632EBB5FD}"/>
                    </c:ext>
                  </c:extLst>
                </c:dPt>
                <c:dLbls>
                  <c:dLbl>
                    <c:idx val="1"/>
                    <c:layout>
                      <c:manualLayout>
                        <c:x val="-3.0555555555555607E-2"/>
                        <c:y val="-1.3888888888888888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0-EF62-4F50-B552-DA0632EBB5FD}"/>
                      </c:ext>
                    </c:extLst>
                  </c:dLbl>
                  <c:dLbl>
                    <c:idx val="2"/>
                    <c:layout>
                      <c:manualLayout>
                        <c:x val="-1.6666666666666666E-2"/>
                        <c:y val="-3.7037037037037035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2-EF62-4F50-B552-DA0632EBB5FD}"/>
                      </c:ext>
                    </c:extLst>
                  </c:dLbl>
                  <c:dLbl>
                    <c:idx val="4"/>
                    <c:layout>
                      <c:manualLayout>
                        <c:x val="-4.1666666666666664E-2"/>
                        <c:y val="8.7962962962962923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6-EF62-4F50-B552-DA0632EBB5FD}"/>
                      </c:ext>
                    </c:extLst>
                  </c:dLbl>
                  <c:dLbl>
                    <c:idx val="5"/>
                    <c:layout>
                      <c:manualLayout>
                        <c:x val="-4.4444444444444446E-2"/>
                        <c:y val="1.3888888888888867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8-EF62-4F50-B552-DA0632EBB5F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Graphs!$A$2:$A$7</c15:sqref>
                        </c15:formulaRef>
                      </c:ext>
                    </c:extLst>
                    <c:strCache>
                      <c:ptCount val="6"/>
                      <c:pt idx="0">
                        <c:v>Grupo I</c:v>
                      </c:pt>
                      <c:pt idx="1">
                        <c:v>Grupo II</c:v>
                      </c:pt>
                      <c:pt idx="2">
                        <c:v>Grupo III</c:v>
                      </c:pt>
                      <c:pt idx="3">
                        <c:v>Grupo IV</c:v>
                      </c:pt>
                      <c:pt idx="4">
                        <c:v>Grupo V(a)</c:v>
                      </c:pt>
                      <c:pt idx="5">
                        <c:v>Grupo V b)</c:v>
                      </c:pt>
                    </c:strCache>
                  </c:strRef>
                </c:cat>
                <c:val>
                  <c:numRef>
                    <c:extLst>
                      <c:ext uri="{02D57815-91ED-43cb-92C2-25804820EDAC}">
                        <c15:formulaRef>
                          <c15:sqref>Graphs!$B$2:$B$7</c15:sqref>
                        </c15:formulaRef>
                      </c:ext>
                    </c:extLst>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19-EF62-4F50-B552-DA0632EBB5FD}"/>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12983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2026-05-18T19:08:00Z</dcterms:created>
  <dcterms:modified xsi:type="dcterms:W3CDTF">2026-05-18T20:20:00Z</dcterms:modified>
</cp:coreProperties>
</file>